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MY" w:eastAsia="en-MY"/>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w:t>
      </w:r>
      <w:proofErr w:type="gramStart"/>
      <w:r w:rsidRPr="009B5832">
        <w:rPr>
          <w:rFonts w:ascii="Arial" w:hAnsi="Arial" w:cs="Arial"/>
          <w:sz w:val="22"/>
          <w:szCs w:val="22"/>
          <w:lang w:val="en-GB"/>
        </w:rPr>
        <w:t>a</w:t>
      </w:r>
      <w:proofErr w:type="gramEnd"/>
      <w:r w:rsidRPr="009B5832">
        <w:rPr>
          <w:rFonts w:ascii="Arial" w:hAnsi="Arial" w:cs="Arial"/>
          <w:sz w:val="22"/>
          <w:szCs w:val="22"/>
          <w:lang w:val="en-GB"/>
        </w:rPr>
        <w:t xml:space="preserve">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proofErr w:type="gramStart"/>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w:t>
      </w:r>
      <w:proofErr w:type="gramEnd"/>
      <w:r w:rsidRPr="009B5832">
        <w:rPr>
          <w:rFonts w:ascii="Arial" w:hAnsi="Arial" w:cs="Arial"/>
          <w:b/>
          <w:bCs/>
          <w:color w:val="FF0000"/>
          <w:sz w:val="22"/>
          <w:szCs w:val="22"/>
          <w:lang w:val="en-GB"/>
        </w:rPr>
        <w:t xml:space="preserv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w:t>
      </w:r>
      <w:proofErr w:type="gramStart"/>
      <w:r w:rsidRPr="009B5832">
        <w:rPr>
          <w:rFonts w:ascii="Arial" w:hAnsi="Arial" w:cs="Arial"/>
          <w:sz w:val="22"/>
          <w:szCs w:val="22"/>
          <w:lang w:val="en-GB"/>
        </w:rPr>
        <w:t>are</w:t>
      </w:r>
      <w:proofErr w:type="gramEnd"/>
      <w:r w:rsidRPr="009B5832">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192331" w:rsidRDefault="0050157D" w:rsidP="00F81868">
      <w:pPr>
        <w:pStyle w:val="ListParagraph"/>
        <w:numPr>
          <w:ilvl w:val="0"/>
          <w:numId w:val="1"/>
        </w:numPr>
        <w:ind w:left="426"/>
        <w:jc w:val="both"/>
        <w:rPr>
          <w:rFonts w:ascii="Arial" w:hAnsi="Arial" w:cs="Arial"/>
          <w:sz w:val="22"/>
          <w:szCs w:val="22"/>
          <w:lang w:val="en-GB"/>
        </w:rPr>
      </w:pPr>
      <w:bookmarkStart w:id="0" w:name="_Hlk1391126"/>
      <w:r w:rsidRPr="009B5832">
        <w:rPr>
          <w:rFonts w:ascii="Arial" w:hAnsi="Arial" w:cs="Arial"/>
          <w:sz w:val="22"/>
          <w:szCs w:val="22"/>
          <w:lang w:val="en-GB"/>
        </w:rPr>
        <w:t xml:space="preserve">The Model Law provides </w:t>
      </w:r>
      <w:r w:rsidRPr="00192331">
        <w:rPr>
          <w:rFonts w:ascii="Arial" w:hAnsi="Arial" w:cs="Arial"/>
          <w:sz w:val="22"/>
          <w:szCs w:val="22"/>
          <w:lang w:val="en-GB"/>
        </w:rPr>
        <w:t>effective mechanisms for dealing with cases of cross-border insolvency so as to promote a number of objectives</w:t>
      </w:r>
      <w:r w:rsidR="00A83CB5" w:rsidRPr="00192331">
        <w:rPr>
          <w:rFonts w:ascii="Arial" w:hAnsi="Arial" w:cs="Arial"/>
          <w:sz w:val="22"/>
          <w:szCs w:val="22"/>
          <w:lang w:val="en-GB"/>
        </w:rPr>
        <w:t>,</w:t>
      </w:r>
      <w:r w:rsidRPr="00192331">
        <w:rPr>
          <w:rFonts w:ascii="Arial" w:hAnsi="Arial" w:cs="Arial"/>
          <w:sz w:val="22"/>
          <w:szCs w:val="22"/>
          <w:lang w:val="en-GB"/>
        </w:rPr>
        <w:t xml:space="preserve"> including the protection and maximisation of trade and investment. </w:t>
      </w:r>
    </w:p>
    <w:p w14:paraId="4AD6E3C9" w14:textId="77777777" w:rsidR="00D45AEA" w:rsidRPr="00192331" w:rsidRDefault="00D45AEA" w:rsidP="00D45AEA">
      <w:pPr>
        <w:jc w:val="both"/>
        <w:rPr>
          <w:rFonts w:ascii="Arial" w:hAnsi="Arial" w:cs="Arial"/>
          <w:sz w:val="22"/>
          <w:szCs w:val="22"/>
          <w:lang w:val="en-GB"/>
        </w:rPr>
      </w:pPr>
    </w:p>
    <w:bookmarkEnd w:id="0"/>
    <w:p w14:paraId="4EF6F0F3" w14:textId="2BA514EA" w:rsidR="0050157D" w:rsidRPr="009B5832" w:rsidRDefault="0050157D" w:rsidP="00F81868">
      <w:pPr>
        <w:pStyle w:val="ListParagraph"/>
        <w:numPr>
          <w:ilvl w:val="0"/>
          <w:numId w:val="1"/>
        </w:numPr>
        <w:ind w:left="426"/>
        <w:jc w:val="both"/>
        <w:rPr>
          <w:rFonts w:ascii="Arial" w:hAnsi="Arial" w:cs="Arial"/>
          <w:sz w:val="22"/>
          <w:szCs w:val="22"/>
          <w:lang w:val="en-GB"/>
        </w:rPr>
      </w:pPr>
      <w:r w:rsidRPr="00192331">
        <w:rPr>
          <w:rFonts w:ascii="Arial" w:hAnsi="Arial" w:cs="Arial"/>
          <w:sz w:val="22"/>
          <w:szCs w:val="22"/>
          <w:lang w:val="en-GB"/>
        </w:rPr>
        <w:t>The Model Law provides effective mechanisms for dealing with cases of cross-border insolvency so as to promote a number of objectives</w:t>
      </w:r>
      <w:r w:rsidR="00B61419" w:rsidRPr="00192331">
        <w:rPr>
          <w:rFonts w:ascii="Arial" w:hAnsi="Arial" w:cs="Arial"/>
          <w:sz w:val="22"/>
          <w:szCs w:val="22"/>
          <w:lang w:val="en-GB"/>
        </w:rPr>
        <w:t>,</w:t>
      </w:r>
      <w:r w:rsidRPr="00192331">
        <w:rPr>
          <w:rFonts w:ascii="Arial" w:hAnsi="Arial" w:cs="Arial"/>
          <w:sz w:val="22"/>
          <w:szCs w:val="22"/>
          <w:lang w:val="en-GB"/>
        </w:rPr>
        <w:t xml:space="preserve"> including the fair and efficient administration of cross-border insolvencies that protects the interests of all creditors and other interested persons, not including</w:t>
      </w:r>
      <w:r w:rsidRPr="009B5832">
        <w:rPr>
          <w:rFonts w:ascii="Arial" w:hAnsi="Arial" w:cs="Arial"/>
          <w:sz w:val="22"/>
          <w:szCs w:val="22"/>
          <w:lang w:val="en-GB"/>
        </w:rPr>
        <w:t xml:space="preserve">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F81868">
      <w:pPr>
        <w:pStyle w:val="ListParagraph"/>
        <w:numPr>
          <w:ilvl w:val="0"/>
          <w:numId w:val="1"/>
        </w:numPr>
        <w:ind w:left="426"/>
        <w:jc w:val="both"/>
        <w:rPr>
          <w:rFonts w:ascii="Arial" w:hAnsi="Arial" w:cs="Arial"/>
          <w:sz w:val="22"/>
          <w:szCs w:val="22"/>
          <w:lang w:val="en-GB"/>
        </w:rPr>
      </w:pPr>
      <w:r w:rsidRPr="009B5832">
        <w:rPr>
          <w:rFonts w:ascii="Arial" w:hAnsi="Arial" w:cs="Arial"/>
          <w:sz w:val="22"/>
          <w:szCs w:val="22"/>
          <w:lang w:val="en-GB"/>
        </w:rPr>
        <w:t>The Model Law is a substantive unification of insolvency law so as to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02166D" w:rsidRDefault="0050157D" w:rsidP="00F81868">
      <w:pPr>
        <w:pStyle w:val="ListParagraph"/>
        <w:numPr>
          <w:ilvl w:val="0"/>
          <w:numId w:val="1"/>
        </w:numPr>
        <w:ind w:left="426"/>
        <w:jc w:val="both"/>
        <w:rPr>
          <w:rFonts w:ascii="Arial" w:hAnsi="Arial" w:cs="Arial"/>
          <w:sz w:val="22"/>
          <w:szCs w:val="22"/>
          <w:highlight w:val="yellow"/>
          <w:lang w:val="en-GB"/>
        </w:rPr>
      </w:pPr>
      <w:bookmarkStart w:id="1" w:name="_Hlk47080379"/>
      <w:r w:rsidRPr="0002166D">
        <w:rPr>
          <w:rFonts w:ascii="Arial" w:hAnsi="Arial" w:cs="Arial"/>
          <w:sz w:val="22"/>
          <w:szCs w:val="22"/>
          <w:highlight w:val="yellow"/>
          <w:lang w:val="en-GB"/>
        </w:rPr>
        <w:t xml:space="preserve">All of the above. </w:t>
      </w:r>
      <w:bookmarkEnd w:id="1"/>
      <w:r w:rsidRPr="0002166D">
        <w:rPr>
          <w:rFonts w:ascii="Arial" w:hAnsi="Arial" w:cs="Arial"/>
          <w:sz w:val="22"/>
          <w:szCs w:val="22"/>
          <w:highlight w:val="yellow"/>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867FD0" w:rsidRDefault="005F21F4" w:rsidP="00F81868">
      <w:pPr>
        <w:pStyle w:val="ListParagraph"/>
        <w:numPr>
          <w:ilvl w:val="0"/>
          <w:numId w:val="2"/>
        </w:numPr>
        <w:ind w:left="426"/>
        <w:jc w:val="both"/>
        <w:rPr>
          <w:rFonts w:ascii="Arial" w:hAnsi="Arial" w:cs="Arial"/>
          <w:sz w:val="22"/>
          <w:szCs w:val="22"/>
          <w:lang w:val="en-GB"/>
        </w:rPr>
      </w:pPr>
      <w:r w:rsidRPr="00867FD0">
        <w:rPr>
          <w:rFonts w:ascii="Arial" w:hAnsi="Arial" w:cs="Arial"/>
          <w:sz w:val="22"/>
          <w:szCs w:val="22"/>
          <w:lang w:val="en-GB"/>
        </w:rPr>
        <w:t>The existence of a statutory basis in national (insolvency) laws for co</w:t>
      </w:r>
      <w:r w:rsidR="00B61419" w:rsidRPr="00867FD0">
        <w:rPr>
          <w:rFonts w:ascii="Arial" w:hAnsi="Arial" w:cs="Arial"/>
          <w:sz w:val="22"/>
          <w:szCs w:val="22"/>
          <w:lang w:val="en-GB"/>
        </w:rPr>
        <w:t>-</w:t>
      </w:r>
      <w:r w:rsidRPr="00867FD0">
        <w:rPr>
          <w:rFonts w:ascii="Arial" w:hAnsi="Arial" w:cs="Arial"/>
          <w:sz w:val="22"/>
          <w:szCs w:val="22"/>
          <w:lang w:val="en-GB"/>
        </w:rPr>
        <w:t>operation and co</w:t>
      </w:r>
      <w:r w:rsidR="00B61419" w:rsidRPr="00867FD0">
        <w:rPr>
          <w:rFonts w:ascii="Arial" w:hAnsi="Arial" w:cs="Arial"/>
          <w:sz w:val="22"/>
          <w:szCs w:val="22"/>
          <w:lang w:val="en-GB"/>
        </w:rPr>
        <w:t>-</w:t>
      </w:r>
      <w:r w:rsidRPr="00867FD0">
        <w:rPr>
          <w:rFonts w:ascii="Arial" w:hAnsi="Arial" w:cs="Arial"/>
          <w:sz w:val="22"/>
          <w:szCs w:val="22"/>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F81868">
      <w:pPr>
        <w:pStyle w:val="ListParagraph"/>
        <w:numPr>
          <w:ilvl w:val="0"/>
          <w:numId w:val="2"/>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02166D" w:rsidRDefault="005F21F4" w:rsidP="00F81868">
      <w:pPr>
        <w:pStyle w:val="ListParagraph"/>
        <w:numPr>
          <w:ilvl w:val="0"/>
          <w:numId w:val="2"/>
        </w:numPr>
        <w:ind w:left="426"/>
        <w:jc w:val="both"/>
        <w:rPr>
          <w:rFonts w:ascii="Arial" w:hAnsi="Arial" w:cs="Arial"/>
          <w:sz w:val="22"/>
          <w:szCs w:val="22"/>
          <w:highlight w:val="yellow"/>
          <w:lang w:val="en-GB"/>
        </w:rPr>
      </w:pPr>
      <w:r w:rsidRPr="0002166D">
        <w:rPr>
          <w:rFonts w:ascii="Arial" w:hAnsi="Arial" w:cs="Arial"/>
          <w:sz w:val="22"/>
          <w:szCs w:val="22"/>
          <w:highlight w:val="yellow"/>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F81868">
      <w:pPr>
        <w:pStyle w:val="ListParagraph"/>
        <w:numPr>
          <w:ilvl w:val="0"/>
          <w:numId w:val="2"/>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F81868">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9B5832" w:rsidRDefault="00853A74" w:rsidP="00F81868">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A13893" w:rsidRDefault="00853A74" w:rsidP="00F81868">
      <w:pPr>
        <w:pStyle w:val="ListParagraph"/>
        <w:numPr>
          <w:ilvl w:val="0"/>
          <w:numId w:val="3"/>
        </w:numPr>
        <w:ind w:left="426"/>
        <w:jc w:val="both"/>
        <w:rPr>
          <w:rFonts w:ascii="Arial" w:hAnsi="Arial" w:cs="Arial"/>
          <w:sz w:val="22"/>
          <w:szCs w:val="22"/>
          <w:highlight w:val="yellow"/>
          <w:lang w:val="en-GB"/>
        </w:rPr>
      </w:pPr>
      <w:r w:rsidRPr="00A13893">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F81868">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6C729A" w:rsidRDefault="00E57410" w:rsidP="00F81868">
      <w:pPr>
        <w:pStyle w:val="ListParagraph"/>
        <w:numPr>
          <w:ilvl w:val="0"/>
          <w:numId w:val="4"/>
        </w:numPr>
        <w:ind w:left="426"/>
        <w:jc w:val="both"/>
        <w:rPr>
          <w:rFonts w:ascii="Arial" w:hAnsi="Arial" w:cs="Arial"/>
          <w:sz w:val="22"/>
          <w:szCs w:val="22"/>
          <w:highlight w:val="yellow"/>
          <w:lang w:val="en-GB"/>
        </w:rPr>
      </w:pPr>
      <w:r w:rsidRPr="006C729A">
        <w:rPr>
          <w:rFonts w:ascii="Arial" w:hAnsi="Arial" w:cs="Arial"/>
          <w:sz w:val="22"/>
          <w:szCs w:val="22"/>
          <w:highlight w:val="yellow"/>
          <w:lang w:val="en-GB"/>
        </w:rPr>
        <w:t xml:space="preserve">The </w:t>
      </w:r>
      <w:r w:rsidRPr="006C729A">
        <w:rPr>
          <w:rFonts w:ascii="Arial" w:hAnsi="Arial" w:cs="Arial"/>
          <w:i/>
          <w:iCs/>
          <w:sz w:val="22"/>
          <w:szCs w:val="22"/>
          <w:highlight w:val="yellow"/>
          <w:lang w:val="en-GB"/>
        </w:rPr>
        <w:t>locus standi</w:t>
      </w:r>
      <w:r w:rsidRPr="006C729A">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F81868">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44418D" w:rsidRDefault="00E57410" w:rsidP="00F81868">
      <w:pPr>
        <w:pStyle w:val="ListParagraph"/>
        <w:numPr>
          <w:ilvl w:val="0"/>
          <w:numId w:val="4"/>
        </w:numPr>
        <w:ind w:left="426"/>
        <w:jc w:val="both"/>
        <w:rPr>
          <w:rFonts w:ascii="Arial" w:hAnsi="Arial" w:cs="Arial"/>
          <w:sz w:val="22"/>
          <w:szCs w:val="22"/>
          <w:lang w:val="en-GB"/>
        </w:rPr>
      </w:pPr>
      <w:r w:rsidRPr="0044418D">
        <w:rPr>
          <w:rFonts w:ascii="Arial" w:hAnsi="Arial" w:cs="Arial"/>
          <w:sz w:val="22"/>
          <w:szCs w:val="22"/>
          <w:lang w:val="en-GB"/>
        </w:rPr>
        <w:t>The safe conduct rule.</w:t>
      </w:r>
    </w:p>
    <w:p w14:paraId="7D82A69F" w14:textId="77777777" w:rsidR="00322F3B" w:rsidRPr="0044418D" w:rsidRDefault="00322F3B" w:rsidP="00322F3B">
      <w:pPr>
        <w:jc w:val="both"/>
        <w:rPr>
          <w:rFonts w:ascii="Arial" w:hAnsi="Arial" w:cs="Arial"/>
          <w:sz w:val="22"/>
          <w:szCs w:val="22"/>
          <w:lang w:val="en-GB"/>
        </w:rPr>
      </w:pPr>
    </w:p>
    <w:p w14:paraId="2A16E027" w14:textId="7938FA4A" w:rsidR="00E57410" w:rsidRPr="0044418D" w:rsidRDefault="00E57410" w:rsidP="00F81868">
      <w:pPr>
        <w:pStyle w:val="ListParagraph"/>
        <w:numPr>
          <w:ilvl w:val="0"/>
          <w:numId w:val="4"/>
        </w:numPr>
        <w:ind w:left="426"/>
        <w:jc w:val="both"/>
        <w:rPr>
          <w:rFonts w:ascii="Arial" w:hAnsi="Arial" w:cs="Arial"/>
          <w:sz w:val="22"/>
          <w:szCs w:val="22"/>
          <w:lang w:val="en-GB"/>
        </w:rPr>
      </w:pPr>
      <w:r w:rsidRPr="0044418D">
        <w:rPr>
          <w:rFonts w:ascii="Arial" w:hAnsi="Arial" w:cs="Arial"/>
          <w:sz w:val="22"/>
          <w:szCs w:val="22"/>
          <w:lang w:val="en-GB"/>
        </w:rPr>
        <w:t xml:space="preserve">The </w:t>
      </w:r>
      <w:r w:rsidR="001747C2" w:rsidRPr="0044418D">
        <w:rPr>
          <w:rFonts w:ascii="Arial" w:hAnsi="Arial" w:cs="Arial"/>
          <w:sz w:val="22"/>
          <w:szCs w:val="22"/>
          <w:lang w:val="en-GB"/>
        </w:rPr>
        <w:t>“</w:t>
      </w:r>
      <w:r w:rsidRPr="0044418D">
        <w:rPr>
          <w:rFonts w:ascii="Arial" w:hAnsi="Arial" w:cs="Arial"/>
          <w:sz w:val="22"/>
          <w:szCs w:val="22"/>
          <w:lang w:val="en-GB"/>
        </w:rPr>
        <w:t>hotchpot</w:t>
      </w:r>
      <w:r w:rsidR="001747C2" w:rsidRPr="0044418D">
        <w:rPr>
          <w:rFonts w:ascii="Arial" w:hAnsi="Arial" w:cs="Arial"/>
          <w:sz w:val="22"/>
          <w:szCs w:val="22"/>
          <w:lang w:val="en-GB"/>
        </w:rPr>
        <w:t>”</w:t>
      </w:r>
      <w:r w:rsidRPr="0044418D">
        <w:rPr>
          <w:rFonts w:ascii="Arial" w:hAnsi="Arial" w:cs="Arial"/>
          <w:sz w:val="22"/>
          <w:szCs w:val="22"/>
          <w:lang w:val="en-GB"/>
        </w:rPr>
        <w:t xml:space="preserve"> rule.</w:t>
      </w:r>
    </w:p>
    <w:p w14:paraId="594A9131" w14:textId="77777777" w:rsidR="00622586" w:rsidRPr="0044418D"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44418D" w:rsidRDefault="00E9597C" w:rsidP="00707FC8">
      <w:pPr>
        <w:jc w:val="both"/>
        <w:rPr>
          <w:rFonts w:ascii="Arial" w:hAnsi="Arial" w:cs="Arial"/>
          <w:b/>
          <w:bCs/>
          <w:sz w:val="22"/>
          <w:szCs w:val="22"/>
          <w:lang w:val="en-GB"/>
        </w:rPr>
      </w:pPr>
      <w:r w:rsidRPr="0044418D">
        <w:rPr>
          <w:rFonts w:ascii="Arial" w:hAnsi="Arial" w:cs="Arial"/>
          <w:b/>
          <w:bCs/>
          <w:sz w:val="22"/>
          <w:szCs w:val="22"/>
          <w:lang w:val="en-GB"/>
        </w:rPr>
        <w:t xml:space="preserve">Question 1.5 </w:t>
      </w:r>
    </w:p>
    <w:p w14:paraId="49262AAD" w14:textId="77777777" w:rsidR="00E9597C" w:rsidRPr="0044418D"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44418D">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44418D">
        <w:rPr>
          <w:rFonts w:ascii="Arial" w:hAnsi="Arial" w:cs="Arial"/>
          <w:sz w:val="22"/>
          <w:szCs w:val="22"/>
          <w:lang w:val="en-GB"/>
        </w:rPr>
        <w:t>without any so-called principle of reciprocity</w:t>
      </w:r>
      <w:bookmarkEnd w:id="3"/>
      <w:r w:rsidRPr="0044418D">
        <w:rPr>
          <w:rFonts w:ascii="Arial" w:hAnsi="Arial" w:cs="Arial"/>
          <w:sz w:val="22"/>
          <w:szCs w:val="22"/>
          <w:lang w:val="en-GB"/>
        </w:rPr>
        <w:t>. In this scenario</w:t>
      </w:r>
      <w:r w:rsidRPr="009B5832">
        <w:rPr>
          <w:rFonts w:ascii="Arial" w:hAnsi="Arial" w:cs="Arial"/>
          <w:sz w:val="22"/>
          <w:szCs w:val="22"/>
          <w:lang w:val="en-GB"/>
        </w:rPr>
        <w:t xml:space="preserve">,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F81868">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F81868">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9B5832" w:rsidRDefault="00C504E5" w:rsidP="00F81868">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B46F2D" w:rsidRDefault="00C504E5" w:rsidP="00F81868">
      <w:pPr>
        <w:pStyle w:val="ListParagraph"/>
        <w:numPr>
          <w:ilvl w:val="0"/>
          <w:numId w:val="5"/>
        </w:numPr>
        <w:ind w:left="426"/>
        <w:jc w:val="both"/>
        <w:rPr>
          <w:rFonts w:ascii="Arial" w:hAnsi="Arial" w:cs="Arial"/>
          <w:sz w:val="22"/>
          <w:szCs w:val="22"/>
          <w:highlight w:val="yellow"/>
          <w:lang w:val="en-GB"/>
        </w:rPr>
      </w:pPr>
      <w:r w:rsidRPr="00B46F2D">
        <w:rPr>
          <w:rFonts w:ascii="Arial" w:hAnsi="Arial" w:cs="Arial"/>
          <w:sz w:val="22"/>
          <w:szCs w:val="22"/>
          <w:highlight w:val="yellow"/>
          <w:lang w:val="en-GB"/>
        </w:rPr>
        <w:t xml:space="preserve">None of the statements in (a), (b) </w:t>
      </w:r>
      <w:r w:rsidR="002E00F8" w:rsidRPr="00B46F2D">
        <w:rPr>
          <w:rFonts w:ascii="Arial" w:hAnsi="Arial" w:cs="Arial"/>
          <w:sz w:val="22"/>
          <w:szCs w:val="22"/>
          <w:highlight w:val="yellow"/>
          <w:lang w:val="en-GB"/>
        </w:rPr>
        <w:t>or</w:t>
      </w:r>
      <w:r w:rsidRPr="00B46F2D">
        <w:rPr>
          <w:rFonts w:ascii="Arial" w:hAnsi="Arial" w:cs="Arial"/>
          <w:sz w:val="22"/>
          <w:szCs w:val="22"/>
          <w:highlight w:val="yellow"/>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F81868">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F81868">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F81868">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904136" w:rsidRDefault="00B72F5F" w:rsidP="00F81868">
      <w:pPr>
        <w:pStyle w:val="ListParagraph"/>
        <w:numPr>
          <w:ilvl w:val="0"/>
          <w:numId w:val="6"/>
        </w:numPr>
        <w:ind w:left="426"/>
        <w:jc w:val="both"/>
        <w:rPr>
          <w:rFonts w:ascii="Arial" w:hAnsi="Arial" w:cs="Arial"/>
          <w:sz w:val="22"/>
          <w:szCs w:val="22"/>
          <w:highlight w:val="yellow"/>
          <w:lang w:val="en-GB"/>
        </w:rPr>
      </w:pPr>
      <w:r w:rsidRPr="00904136">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904136">
        <w:rPr>
          <w:rFonts w:ascii="Arial" w:hAnsi="Arial" w:cs="Arial"/>
          <w:sz w:val="22"/>
          <w:szCs w:val="22"/>
          <w:highlight w:val="yellow"/>
          <w:lang w:val="en-GB"/>
        </w:rPr>
        <w:t>will</w:t>
      </w:r>
      <w:r w:rsidRPr="00904136">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F81868">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9B5832" w:rsidRDefault="0067294B" w:rsidP="00F81868">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F81868">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04136" w:rsidRDefault="0067294B" w:rsidP="00F81868">
      <w:pPr>
        <w:pStyle w:val="ListParagraph"/>
        <w:numPr>
          <w:ilvl w:val="0"/>
          <w:numId w:val="7"/>
        </w:numPr>
        <w:ind w:left="426"/>
        <w:jc w:val="both"/>
        <w:rPr>
          <w:rFonts w:ascii="Arial" w:hAnsi="Arial" w:cs="Arial"/>
          <w:sz w:val="22"/>
          <w:szCs w:val="22"/>
          <w:highlight w:val="yellow"/>
          <w:lang w:val="en-GB"/>
        </w:rPr>
      </w:pPr>
      <w:r w:rsidRPr="00904136">
        <w:rPr>
          <w:rFonts w:ascii="Arial" w:hAnsi="Arial" w:cs="Arial"/>
          <w:sz w:val="22"/>
          <w:szCs w:val="22"/>
          <w:highlight w:val="yellow"/>
          <w:lang w:val="en-GB"/>
        </w:rPr>
        <w:t xml:space="preserve">Neither </w:t>
      </w:r>
      <w:r w:rsidR="00E73529" w:rsidRPr="00904136">
        <w:rPr>
          <w:rFonts w:ascii="Arial" w:hAnsi="Arial" w:cs="Arial"/>
          <w:sz w:val="22"/>
          <w:szCs w:val="22"/>
          <w:highlight w:val="yellow"/>
          <w:lang w:val="en-GB"/>
        </w:rPr>
        <w:t>(</w:t>
      </w:r>
      <w:r w:rsidRPr="00904136">
        <w:rPr>
          <w:rFonts w:ascii="Arial" w:hAnsi="Arial" w:cs="Arial"/>
          <w:sz w:val="22"/>
          <w:szCs w:val="22"/>
          <w:highlight w:val="yellow"/>
          <w:lang w:val="en-GB"/>
        </w:rPr>
        <w:t>a</w:t>
      </w:r>
      <w:r w:rsidR="00E73529" w:rsidRPr="00904136">
        <w:rPr>
          <w:rFonts w:ascii="Arial" w:hAnsi="Arial" w:cs="Arial"/>
          <w:sz w:val="22"/>
          <w:szCs w:val="22"/>
          <w:highlight w:val="yellow"/>
          <w:lang w:val="en-GB"/>
        </w:rPr>
        <w:t>)</w:t>
      </w:r>
      <w:r w:rsidRPr="00904136">
        <w:rPr>
          <w:rFonts w:ascii="Arial" w:hAnsi="Arial" w:cs="Arial"/>
          <w:sz w:val="22"/>
          <w:szCs w:val="22"/>
          <w:highlight w:val="yellow"/>
          <w:lang w:val="en-GB"/>
        </w:rPr>
        <w:t xml:space="preserve"> nor </w:t>
      </w:r>
      <w:r w:rsidR="00E73529" w:rsidRPr="00904136">
        <w:rPr>
          <w:rFonts w:ascii="Arial" w:hAnsi="Arial" w:cs="Arial"/>
          <w:sz w:val="22"/>
          <w:szCs w:val="22"/>
          <w:highlight w:val="yellow"/>
          <w:lang w:val="en-GB"/>
        </w:rPr>
        <w:t>(</w:t>
      </w:r>
      <w:r w:rsidRPr="00904136">
        <w:rPr>
          <w:rFonts w:ascii="Arial" w:hAnsi="Arial" w:cs="Arial"/>
          <w:sz w:val="22"/>
          <w:szCs w:val="22"/>
          <w:highlight w:val="yellow"/>
          <w:lang w:val="en-GB"/>
        </w:rPr>
        <w:t>b</w:t>
      </w:r>
      <w:r w:rsidR="00E73529" w:rsidRPr="00904136">
        <w:rPr>
          <w:rFonts w:ascii="Arial" w:hAnsi="Arial" w:cs="Arial"/>
          <w:sz w:val="22"/>
          <w:szCs w:val="22"/>
          <w:highlight w:val="yellow"/>
          <w:lang w:val="en-GB"/>
        </w:rPr>
        <w:t>)</w:t>
      </w:r>
      <w:r w:rsidRPr="00904136">
        <w:rPr>
          <w:rFonts w:ascii="Arial" w:hAnsi="Arial" w:cs="Arial"/>
          <w:sz w:val="22"/>
          <w:szCs w:val="22"/>
          <w:highlight w:val="yellow"/>
          <w:lang w:val="en-GB"/>
        </w:rPr>
        <w:t xml:space="preserve"> must be considered by the court.</w:t>
      </w:r>
      <w:r w:rsidRPr="00904136">
        <w:rPr>
          <w:rFonts w:ascii="Arial" w:hAnsi="Arial" w:cs="Arial"/>
          <w:sz w:val="22"/>
          <w:szCs w:val="22"/>
          <w:highlight w:val="yellow"/>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D717D8" w:rsidRDefault="004E0549" w:rsidP="00F81868">
      <w:pPr>
        <w:pStyle w:val="ListParagraph"/>
        <w:numPr>
          <w:ilvl w:val="0"/>
          <w:numId w:val="8"/>
        </w:numPr>
        <w:ind w:left="426"/>
        <w:jc w:val="both"/>
        <w:rPr>
          <w:rFonts w:ascii="Arial" w:hAnsi="Arial" w:cs="Arial"/>
          <w:sz w:val="22"/>
          <w:szCs w:val="22"/>
          <w:highlight w:val="yellow"/>
          <w:lang w:val="en-GB"/>
        </w:rPr>
      </w:pPr>
      <w:r w:rsidRPr="00D717D8">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F81868">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F81868">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F81868">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860503" w:rsidRDefault="00573E73" w:rsidP="00F81868">
      <w:pPr>
        <w:pStyle w:val="ListParagraph"/>
        <w:numPr>
          <w:ilvl w:val="0"/>
          <w:numId w:val="9"/>
        </w:numPr>
        <w:ind w:left="426"/>
        <w:jc w:val="both"/>
        <w:rPr>
          <w:rFonts w:ascii="Arial" w:hAnsi="Arial" w:cs="Arial"/>
          <w:sz w:val="22"/>
          <w:szCs w:val="22"/>
          <w:highlight w:val="yellow"/>
          <w:lang w:val="en-GB"/>
        </w:rPr>
      </w:pPr>
      <w:r w:rsidRPr="00860503">
        <w:rPr>
          <w:rFonts w:ascii="Arial" w:hAnsi="Arial" w:cs="Arial"/>
          <w:sz w:val="22"/>
          <w:szCs w:val="22"/>
          <w:highlight w:val="yellow"/>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F81868">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F81868">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F81868">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AB1586" w:rsidRDefault="00114082" w:rsidP="00114082">
      <w:pPr>
        <w:ind w:left="720" w:hanging="720"/>
        <w:jc w:val="both"/>
        <w:rPr>
          <w:rFonts w:ascii="Arial" w:hAnsi="Arial" w:cs="Arial"/>
          <w:sz w:val="22"/>
          <w:szCs w:val="22"/>
          <w:lang w:val="en-GB"/>
        </w:rPr>
      </w:pPr>
    </w:p>
    <w:p w14:paraId="5B2E1C23" w14:textId="0F4B49F0" w:rsidR="00114082" w:rsidRPr="00AB1586" w:rsidRDefault="00114082" w:rsidP="00F81868">
      <w:pPr>
        <w:pStyle w:val="ListParagraph"/>
        <w:numPr>
          <w:ilvl w:val="0"/>
          <w:numId w:val="10"/>
        </w:numPr>
        <w:ind w:left="426"/>
        <w:jc w:val="both"/>
        <w:rPr>
          <w:rFonts w:ascii="Arial" w:hAnsi="Arial" w:cs="Arial"/>
          <w:sz w:val="22"/>
          <w:szCs w:val="22"/>
          <w:lang w:val="en-GB"/>
        </w:rPr>
      </w:pPr>
      <w:r w:rsidRPr="00AB1586">
        <w:rPr>
          <w:rFonts w:ascii="Arial" w:hAnsi="Arial" w:cs="Arial"/>
          <w:sz w:val="22"/>
          <w:szCs w:val="22"/>
          <w:lang w:val="en-GB"/>
        </w:rPr>
        <w:t>The UNCITRAL Guide of Enactment and the Practice Guide</w:t>
      </w:r>
      <w:r w:rsidR="00835FD1" w:rsidRPr="00AB1586">
        <w:rPr>
          <w:rFonts w:ascii="Arial" w:hAnsi="Arial" w:cs="Arial"/>
          <w:sz w:val="22"/>
          <w:szCs w:val="22"/>
          <w:lang w:val="en-GB"/>
        </w:rPr>
        <w:t>.</w:t>
      </w:r>
    </w:p>
    <w:p w14:paraId="56603A60" w14:textId="77777777" w:rsidR="00835FD1" w:rsidRPr="00AB1586" w:rsidRDefault="00835FD1" w:rsidP="00835FD1">
      <w:pPr>
        <w:jc w:val="both"/>
        <w:rPr>
          <w:rFonts w:ascii="Arial" w:hAnsi="Arial" w:cs="Arial"/>
          <w:sz w:val="22"/>
          <w:szCs w:val="22"/>
          <w:lang w:val="en-GB"/>
        </w:rPr>
      </w:pPr>
    </w:p>
    <w:p w14:paraId="12FA63E1" w14:textId="25B5A1B8" w:rsidR="00114082" w:rsidRPr="00AB1586" w:rsidRDefault="00114082" w:rsidP="00F81868">
      <w:pPr>
        <w:pStyle w:val="ListParagraph"/>
        <w:numPr>
          <w:ilvl w:val="0"/>
          <w:numId w:val="10"/>
        </w:numPr>
        <w:ind w:left="426"/>
        <w:jc w:val="both"/>
        <w:rPr>
          <w:rFonts w:ascii="Arial" w:hAnsi="Arial" w:cs="Arial"/>
          <w:sz w:val="22"/>
          <w:szCs w:val="22"/>
          <w:lang w:val="en-GB"/>
        </w:rPr>
      </w:pPr>
      <w:r w:rsidRPr="00AB1586">
        <w:rPr>
          <w:rFonts w:ascii="Arial" w:hAnsi="Arial" w:cs="Arial"/>
          <w:sz w:val="22"/>
          <w:szCs w:val="22"/>
          <w:lang w:val="en-GB"/>
        </w:rPr>
        <w:t>The UNCITRAL Guide of Enactment and the Legislative Guide – Parts One, Two, Three and Four</w:t>
      </w:r>
      <w:r w:rsidR="00835FD1" w:rsidRPr="00AB1586">
        <w:rPr>
          <w:rFonts w:ascii="Arial" w:hAnsi="Arial" w:cs="Arial"/>
          <w:sz w:val="22"/>
          <w:szCs w:val="22"/>
          <w:lang w:val="en-GB"/>
        </w:rPr>
        <w:t>.</w:t>
      </w:r>
    </w:p>
    <w:p w14:paraId="4409C6EB" w14:textId="77777777" w:rsidR="00835FD1" w:rsidRPr="00AB1586" w:rsidRDefault="00835FD1" w:rsidP="00835FD1">
      <w:pPr>
        <w:jc w:val="both"/>
        <w:rPr>
          <w:rFonts w:ascii="Arial" w:hAnsi="Arial" w:cs="Arial"/>
          <w:sz w:val="22"/>
          <w:szCs w:val="22"/>
          <w:lang w:val="en-GB"/>
        </w:rPr>
      </w:pPr>
    </w:p>
    <w:p w14:paraId="7AA8D402" w14:textId="3DDB25EF" w:rsidR="00114082" w:rsidRPr="00AB1586" w:rsidRDefault="00114082" w:rsidP="00F81868">
      <w:pPr>
        <w:pStyle w:val="ListParagraph"/>
        <w:numPr>
          <w:ilvl w:val="0"/>
          <w:numId w:val="10"/>
        </w:numPr>
        <w:spacing w:line="276" w:lineRule="auto"/>
        <w:ind w:left="426"/>
        <w:jc w:val="both"/>
        <w:rPr>
          <w:rFonts w:ascii="Arial" w:hAnsi="Arial" w:cs="Arial"/>
          <w:b/>
          <w:sz w:val="22"/>
          <w:szCs w:val="22"/>
          <w:lang w:val="en-GB"/>
        </w:rPr>
      </w:pPr>
      <w:r w:rsidRPr="00AB1586">
        <w:rPr>
          <w:rFonts w:ascii="Arial" w:hAnsi="Arial" w:cs="Arial"/>
          <w:sz w:val="22"/>
          <w:szCs w:val="22"/>
          <w:lang w:val="en-GB"/>
        </w:rPr>
        <w:t>The UNCITRAL Guide of Enactment and the Judicial Perspective</w:t>
      </w:r>
      <w:r w:rsidR="00835FD1" w:rsidRPr="00AB1586">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AB1586" w:rsidRDefault="00114082" w:rsidP="00F81868">
      <w:pPr>
        <w:pStyle w:val="ListParagraph"/>
        <w:numPr>
          <w:ilvl w:val="0"/>
          <w:numId w:val="10"/>
        </w:numPr>
        <w:spacing w:line="276" w:lineRule="auto"/>
        <w:ind w:left="426"/>
        <w:jc w:val="both"/>
        <w:rPr>
          <w:rFonts w:ascii="Arial" w:hAnsi="Arial" w:cs="Arial"/>
          <w:b/>
          <w:sz w:val="22"/>
          <w:szCs w:val="22"/>
          <w:highlight w:val="yellow"/>
          <w:lang w:val="en-GB"/>
        </w:rPr>
      </w:pPr>
      <w:r w:rsidRPr="00AB1586">
        <w:rPr>
          <w:rFonts w:ascii="Arial" w:hAnsi="Arial" w:cs="Arial"/>
          <w:sz w:val="22"/>
          <w:szCs w:val="22"/>
          <w:highlight w:val="yellow"/>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22B78D7E" w14:textId="76DA5EC0" w:rsidR="00135BB4" w:rsidRPr="009B5832" w:rsidRDefault="00AB1586" w:rsidP="008C11B0">
      <w:pPr>
        <w:pStyle w:val="BodyText"/>
      </w:pPr>
      <w:r>
        <w:t xml:space="preserve">The appropriate date for determining the COMI </w:t>
      </w:r>
      <w:r w:rsidR="008C11B0">
        <w:t xml:space="preserve">or establishment </w:t>
      </w:r>
      <w:r>
        <w:t>of a debtor is the date of commencement of the foreign proceeding.</w:t>
      </w:r>
      <w:r w:rsidR="00135BB4">
        <w:t xml:space="preserve"> This is so taking into consideration the evidence required in supporting an application for recognition (Article 15) and the decision commencing the foreign proceeding and appointing of foreign representative. Further, it is also because where business activity of the debtor ceases upon commencement of foreign proceeding, all that may exist at the time of application for recognition to indicate debtor’s COMI</w:t>
      </w:r>
      <w:r w:rsidR="008C11B0">
        <w:t xml:space="preserve"> and/or establishment</w:t>
      </w:r>
      <w:r w:rsidR="00135BB4">
        <w:t xml:space="preserve"> is the foreign proceeding and the activity of the foreign representative. Using the date of commencement of foreign proceeding is a clear test which will </w:t>
      </w:r>
      <w:r w:rsidR="008C11B0">
        <w:t>provide certainty in determining COMI</w:t>
      </w:r>
      <w:r w:rsidR="009D31F3">
        <w:t xml:space="preserve"> in all insolvency proceedings. While the COMI of a debtor may change, if such a change is within a close timing to the commencement of the foreign proceedings, the appropriate evidence will be harder to establish.</w:t>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Default="00C620F4" w:rsidP="00707FC8">
      <w:pPr>
        <w:jc w:val="both"/>
        <w:rPr>
          <w:rFonts w:ascii="Arial" w:hAnsi="Arial" w:cs="Arial"/>
          <w:sz w:val="22"/>
          <w:szCs w:val="22"/>
          <w:lang w:val="en-GB"/>
        </w:rPr>
      </w:pPr>
    </w:p>
    <w:p w14:paraId="3271EA15" w14:textId="77777777" w:rsidR="009D31F3" w:rsidRDefault="009D31F3" w:rsidP="00707FC8">
      <w:pPr>
        <w:jc w:val="both"/>
        <w:rPr>
          <w:rFonts w:ascii="Arial" w:hAnsi="Arial" w:cs="Arial"/>
          <w:sz w:val="22"/>
          <w:szCs w:val="22"/>
          <w:lang w:val="en-GB"/>
        </w:rPr>
      </w:pPr>
    </w:p>
    <w:p w14:paraId="572DF015" w14:textId="77777777" w:rsidR="009D31F3" w:rsidRDefault="009D31F3" w:rsidP="00707FC8">
      <w:pPr>
        <w:jc w:val="both"/>
        <w:rPr>
          <w:rFonts w:ascii="Arial" w:hAnsi="Arial" w:cs="Arial"/>
          <w:sz w:val="22"/>
          <w:szCs w:val="22"/>
          <w:lang w:val="en-GB"/>
        </w:rPr>
      </w:pPr>
    </w:p>
    <w:p w14:paraId="18604846" w14:textId="77777777" w:rsidR="009D31F3" w:rsidRPr="009B5832" w:rsidRDefault="009D31F3"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lastRenderedPageBreak/>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72224167" w14:textId="77777777" w:rsidR="007B0263" w:rsidRDefault="009D31F3" w:rsidP="007B0263">
      <w:pPr>
        <w:pStyle w:val="BodyText"/>
      </w:pPr>
      <w:r>
        <w:t xml:space="preserve">Statement 1 is related to </w:t>
      </w:r>
      <w:r w:rsidR="007B0263">
        <w:t xml:space="preserve">Article 31(c) which in effects provides that should there be two concurrent foreign non-main proceedings, the Court must grant, modify or terminate relief for the purpose of facilitating co-ordination of the proceedings. There are no provisions within the Model Law relating to rule of preference between concurrent foreign non-main proceedings. </w:t>
      </w:r>
    </w:p>
    <w:p w14:paraId="2F57801B" w14:textId="2733F8D7" w:rsidR="009B07AD" w:rsidRDefault="009D31F3" w:rsidP="007B026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20FB5DD5" w14:textId="33493D27" w:rsidR="009D31F3" w:rsidRDefault="009D31F3" w:rsidP="007B026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Statement 2 is related to </w:t>
      </w:r>
      <w:r w:rsidR="00876BB5">
        <w:rPr>
          <w:rFonts w:ascii="Arial" w:hAnsi="Arial" w:cs="Arial"/>
          <w:color w:val="7B7B7B" w:themeColor="accent3" w:themeShade="BF"/>
          <w:sz w:val="22"/>
          <w:szCs w:val="22"/>
          <w:lang w:val="en-GB"/>
        </w:rPr>
        <w:t xml:space="preserve">the hotchpot rule, set out in Article 32. </w:t>
      </w:r>
      <w:r w:rsidR="007B0263">
        <w:rPr>
          <w:rFonts w:ascii="Arial" w:hAnsi="Arial" w:cs="Arial"/>
          <w:color w:val="7B7B7B" w:themeColor="accent3" w:themeShade="BF"/>
          <w:sz w:val="22"/>
          <w:szCs w:val="22"/>
          <w:lang w:val="en-GB"/>
        </w:rPr>
        <w:t xml:space="preserve">This hotchpot rule intends to avoid a scenario where a creditor might obtain more favourable treatment than the other creditors within the same class by obtaining payment of the same claim in insolvency proceedings in different jurisdictions. </w:t>
      </w:r>
      <w:r w:rsidR="00BE2E3E">
        <w:rPr>
          <w:rFonts w:ascii="Arial" w:hAnsi="Arial" w:cs="Arial"/>
          <w:color w:val="7B7B7B" w:themeColor="accent3" w:themeShade="BF"/>
          <w:sz w:val="22"/>
          <w:szCs w:val="22"/>
          <w:lang w:val="en-GB"/>
        </w:rPr>
        <w:t xml:space="preserve">This rule does not affect the ranking of claims established under the law of the enacting State, thereby not affecting secured claims. </w:t>
      </w:r>
    </w:p>
    <w:p w14:paraId="5D29EB86" w14:textId="77777777" w:rsidR="007B0263" w:rsidRDefault="007B0263" w:rsidP="007B0263">
      <w:pPr>
        <w:jc w:val="both"/>
        <w:rPr>
          <w:rFonts w:ascii="Arial" w:hAnsi="Arial" w:cs="Arial"/>
          <w:color w:val="7B7B7B" w:themeColor="accent3" w:themeShade="BF"/>
          <w:sz w:val="22"/>
          <w:szCs w:val="22"/>
          <w:lang w:val="en-GB"/>
        </w:rPr>
      </w:pPr>
    </w:p>
    <w:p w14:paraId="6EA2EE05" w14:textId="2667873D" w:rsidR="00876BB5" w:rsidRPr="009B5832" w:rsidRDefault="00876BB5" w:rsidP="007B0263">
      <w:pPr>
        <w:pStyle w:val="BodyText"/>
      </w:pPr>
      <w:r>
        <w:t>Statement 3 is related to A</w:t>
      </w:r>
      <w:r w:rsidR="005D4007">
        <w:t>rticle 31 which provides a rebuttable presumption of insolvency in recogniti</w:t>
      </w:r>
      <w:r w:rsidR="00BE2E3E">
        <w:t>on of a foreign main proceeding being proof that the debtor is indeed insolvent, for the purposes of opening a domestic insolvency proceeding for the debtor in the enacting S</w:t>
      </w: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455904D0" w14:textId="031A6BD8" w:rsidR="007F0FA6" w:rsidRDefault="001168EF" w:rsidP="001168EF">
      <w:pPr>
        <w:pStyle w:val="BodyText"/>
      </w:pPr>
      <w:r w:rsidRPr="003E079E">
        <w:t>The Court of Appeal upheld the decision</w:t>
      </w:r>
      <w:r>
        <w:t xml:space="preserve"> that the Court should not exercise its power to grant indefinite Moratorium Continuation because:</w:t>
      </w:r>
    </w:p>
    <w:p w14:paraId="27A7ED80" w14:textId="77777777" w:rsidR="007F0FA6" w:rsidRDefault="007F0FA6" w:rsidP="001168EF">
      <w:pPr>
        <w:pStyle w:val="BodyText"/>
      </w:pPr>
    </w:p>
    <w:p w14:paraId="2EC1BD58" w14:textId="580B5216" w:rsidR="001168EF" w:rsidRDefault="001168EF" w:rsidP="00F81868">
      <w:pPr>
        <w:pStyle w:val="BodyText"/>
        <w:numPr>
          <w:ilvl w:val="0"/>
          <w:numId w:val="15"/>
        </w:numPr>
        <w:ind w:left="567" w:hanging="567"/>
      </w:pPr>
      <w:r>
        <w:t>The Court held that the based on the evidence before the C</w:t>
      </w:r>
      <w:r w:rsidR="007F0FA6">
        <w:t>ourt, it was satisfied that (</w:t>
      </w:r>
      <w:proofErr w:type="spellStart"/>
      <w:r w:rsidR="007F0FA6">
        <w:t>i</w:t>
      </w:r>
      <w:proofErr w:type="spellEnd"/>
      <w:r w:rsidR="007F0FA6">
        <w:t>) the stay was not necessary to protect the interests of IBA’s creditors and (ii) the stay was not an appropriate way of achieving such a protection. Therefore, the conditions to grant an indefinite Moratorium Continuation were not satisfied. In substance, such indefinite Moratorium Continuation would prevent the challenging creditors from enforcing their English law rights pursuant to the Gibbs Rule.</w:t>
      </w:r>
    </w:p>
    <w:p w14:paraId="7547A17E" w14:textId="77777777" w:rsidR="007F0FA6" w:rsidRDefault="007F0FA6" w:rsidP="007F0FA6">
      <w:pPr>
        <w:pStyle w:val="BodyText"/>
        <w:ind w:left="567"/>
      </w:pPr>
    </w:p>
    <w:p w14:paraId="5F4B0842" w14:textId="14E222B0" w:rsidR="007F0FA6" w:rsidRPr="001168EF" w:rsidRDefault="007F0FA6" w:rsidP="00F81868">
      <w:pPr>
        <w:pStyle w:val="BodyText"/>
        <w:numPr>
          <w:ilvl w:val="0"/>
          <w:numId w:val="15"/>
        </w:numPr>
        <w:ind w:left="567" w:hanging="567"/>
      </w:pPr>
      <w:r>
        <w:t>Granting of such indefinite Moratorium Continuation would prolong the stay after the Azeri reconstruction has come to an end.</w:t>
      </w:r>
      <w:r w:rsidR="003E079E">
        <w:t xml:space="preserve"> The Court opined that once the foreign proceeding has come to an end and the foreign representative no longer holds office, there is no scope for further orders to be made in relation to the foreign proceeding and any relief previously granted under the Model Law should also terminate. </w:t>
      </w: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t>
      </w:r>
      <w:r w:rsidRPr="009B5832">
        <w:rPr>
          <w:rFonts w:ascii="Arial" w:hAnsi="Arial" w:cs="Arial"/>
          <w:sz w:val="22"/>
          <w:szCs w:val="22"/>
          <w:lang w:val="en-GB"/>
        </w:rPr>
        <w:lastRenderedPageBreak/>
        <w:t xml:space="preserve">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15EE2B47" w14:textId="16D068AF" w:rsidR="0041139B" w:rsidRDefault="00BC4BC8" w:rsidP="00BC4BC8">
      <w:pPr>
        <w:pStyle w:val="BodyText"/>
      </w:pPr>
      <w:r>
        <w:t>After recognising a foreign main proceeding and there is an ongoing domestic proceeding, the Court of the enacting State will give primacy to the domestic proceeding in accordance with Article 29 of the MLCBI.</w:t>
      </w:r>
    </w:p>
    <w:p w14:paraId="544CCDED" w14:textId="77777777" w:rsidR="00BC4BC8" w:rsidRDefault="00BC4BC8" w:rsidP="0041139B">
      <w:pPr>
        <w:ind w:left="720" w:hanging="720"/>
        <w:jc w:val="both"/>
        <w:rPr>
          <w:rFonts w:ascii="Arial" w:hAnsi="Arial" w:cs="Arial"/>
          <w:color w:val="7B7B7B" w:themeColor="accent3" w:themeShade="BF"/>
          <w:sz w:val="22"/>
          <w:szCs w:val="22"/>
          <w:lang w:val="en-GB"/>
        </w:rPr>
      </w:pPr>
    </w:p>
    <w:p w14:paraId="2184DA76" w14:textId="4A928FD8" w:rsidR="00BC4BC8" w:rsidRDefault="00BC4BC8" w:rsidP="00BC4BC8">
      <w:pPr>
        <w:pStyle w:val="BodyText"/>
      </w:pPr>
      <w:r>
        <w:t xml:space="preserve">Pursuant to Article 18 of the MLBCI, the foreign representative in the foreign main proceeding is required to promptly inform the Court in the enacting States of the following, from the time of filing the recognition application: </w:t>
      </w:r>
    </w:p>
    <w:p w14:paraId="5E42FA8B" w14:textId="77777777" w:rsidR="00BC4BC8" w:rsidRDefault="00BC4BC8" w:rsidP="0041139B">
      <w:pPr>
        <w:ind w:left="720" w:hanging="720"/>
        <w:jc w:val="both"/>
        <w:rPr>
          <w:rFonts w:ascii="Arial" w:hAnsi="Arial" w:cs="Arial"/>
          <w:color w:val="7B7B7B" w:themeColor="accent3" w:themeShade="BF"/>
          <w:sz w:val="22"/>
          <w:szCs w:val="22"/>
          <w:lang w:val="en-GB"/>
        </w:rPr>
      </w:pPr>
    </w:p>
    <w:p w14:paraId="73A53A24" w14:textId="0B509482" w:rsidR="00BC4BC8" w:rsidRPr="00BC4BC8" w:rsidRDefault="00BC4BC8" w:rsidP="00F81868">
      <w:pPr>
        <w:pStyle w:val="ListParagraph"/>
        <w:numPr>
          <w:ilvl w:val="0"/>
          <w:numId w:val="16"/>
        </w:numPr>
        <w:ind w:left="567" w:hanging="567"/>
        <w:jc w:val="both"/>
        <w:rPr>
          <w:rFonts w:ascii="Arial" w:hAnsi="Arial" w:cs="Arial"/>
          <w:sz w:val="22"/>
          <w:szCs w:val="22"/>
          <w:lang w:val="en-GB"/>
        </w:rPr>
      </w:pPr>
      <w:r>
        <w:rPr>
          <w:rFonts w:ascii="Arial" w:hAnsi="Arial" w:cs="Arial"/>
          <w:color w:val="7B7B7B" w:themeColor="accent3" w:themeShade="BF"/>
          <w:sz w:val="22"/>
          <w:szCs w:val="22"/>
          <w:lang w:val="en-GB"/>
        </w:rPr>
        <w:t xml:space="preserve">Any substantial change in the status of the recognised foreign proceeding or status of the foreign representative’s appointment; and </w:t>
      </w:r>
    </w:p>
    <w:p w14:paraId="3D6CA05B" w14:textId="5AFB2063" w:rsidR="00BC4BC8" w:rsidRPr="00BC4BC8" w:rsidRDefault="00BC4BC8" w:rsidP="00F81868">
      <w:pPr>
        <w:pStyle w:val="ListParagraph"/>
        <w:numPr>
          <w:ilvl w:val="0"/>
          <w:numId w:val="16"/>
        </w:numPr>
        <w:ind w:left="567" w:hanging="567"/>
        <w:jc w:val="both"/>
        <w:rPr>
          <w:rFonts w:ascii="Arial" w:hAnsi="Arial" w:cs="Arial"/>
          <w:sz w:val="22"/>
          <w:szCs w:val="22"/>
          <w:lang w:val="en-GB"/>
        </w:rPr>
      </w:pPr>
      <w:r>
        <w:rPr>
          <w:rFonts w:ascii="Arial" w:hAnsi="Arial" w:cs="Arial"/>
          <w:color w:val="7B7B7B" w:themeColor="accent3" w:themeShade="BF"/>
          <w:sz w:val="22"/>
          <w:szCs w:val="22"/>
          <w:lang w:val="en-GB"/>
        </w:rPr>
        <w:t>Any other foreign proceeding regarding the same debtor that is made known to the foreign representative.</w:t>
      </w:r>
    </w:p>
    <w:p w14:paraId="5EE242BE" w14:textId="29275AA7" w:rsidR="0041139B" w:rsidRDefault="0041139B" w:rsidP="00707FC8">
      <w:pPr>
        <w:jc w:val="both"/>
        <w:rPr>
          <w:rFonts w:ascii="Arial" w:hAnsi="Arial" w:cs="Arial"/>
          <w:bCs/>
          <w:sz w:val="22"/>
          <w:szCs w:val="22"/>
          <w:lang w:val="en-GB"/>
        </w:rPr>
      </w:pPr>
    </w:p>
    <w:p w14:paraId="2449BEB2" w14:textId="77777777" w:rsidR="00343A42" w:rsidRPr="009B5832" w:rsidRDefault="00343A42"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887F9F">
        <w:rPr>
          <w:rFonts w:ascii="Arial" w:hAnsi="Arial" w:cs="Arial"/>
          <w:sz w:val="22"/>
          <w:szCs w:val="22"/>
          <w:lang w:val="en-GB"/>
        </w:rPr>
        <w:t>Prior to making a recognition application in State A, explain how access and co</w:t>
      </w:r>
      <w:r w:rsidRPr="00887F9F">
        <w:rPr>
          <w:rFonts w:ascii="Arial" w:hAnsi="Arial" w:cs="Arial"/>
          <w:sz w:val="22"/>
          <w:szCs w:val="22"/>
          <w:lang w:val="en-GB"/>
        </w:rPr>
        <w:softHyphen/>
        <w:t>-ordination rights in State A can benefit the foreign representative?</w:t>
      </w:r>
    </w:p>
    <w:bookmarkEnd w:id="4"/>
    <w:p w14:paraId="0D0DB993" w14:textId="77777777" w:rsidR="00D06878" w:rsidRDefault="00D06878" w:rsidP="00707FC8">
      <w:pPr>
        <w:jc w:val="both"/>
        <w:rPr>
          <w:rFonts w:ascii="Arial" w:hAnsi="Arial" w:cs="Arial"/>
          <w:sz w:val="22"/>
          <w:szCs w:val="22"/>
          <w:lang w:val="en-GB"/>
        </w:rPr>
      </w:pPr>
    </w:p>
    <w:p w14:paraId="775172F0" w14:textId="784E599A" w:rsidR="00D06878" w:rsidRDefault="00D06878"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3B073D">
        <w:rPr>
          <w:rFonts w:ascii="Arial" w:hAnsi="Arial" w:cs="Arial"/>
          <w:color w:val="7B7B7B" w:themeColor="accent3" w:themeShade="BF"/>
          <w:sz w:val="22"/>
          <w:szCs w:val="22"/>
          <w:lang w:val="en-GB"/>
        </w:rPr>
        <w:t xml:space="preserve">access for foreign representatives are provided for under Articles 9 to 14 of the MLCBI. </w:t>
      </w:r>
      <w:r w:rsidR="004D2AE5">
        <w:rPr>
          <w:rFonts w:ascii="Arial" w:hAnsi="Arial" w:cs="Arial"/>
          <w:color w:val="7B7B7B" w:themeColor="accent3" w:themeShade="BF"/>
          <w:sz w:val="22"/>
          <w:szCs w:val="22"/>
          <w:lang w:val="en-GB"/>
        </w:rPr>
        <w:t>A</w:t>
      </w:r>
      <w:r w:rsidR="004D2AE5" w:rsidRPr="004D2AE5">
        <w:rPr>
          <w:rFonts w:ascii="Arial" w:hAnsi="Arial" w:cs="Arial"/>
          <w:color w:val="7B7B7B" w:themeColor="accent3" w:themeShade="BF"/>
          <w:sz w:val="22"/>
          <w:szCs w:val="22"/>
          <w:lang w:val="en-GB"/>
        </w:rPr>
        <w:t>ccess and co-ordination rights in State A can benefit the foreign representative</w:t>
      </w:r>
      <w:r w:rsidR="004D2AE5">
        <w:rPr>
          <w:rFonts w:ascii="Arial" w:hAnsi="Arial" w:cs="Arial"/>
          <w:color w:val="7B7B7B" w:themeColor="accent3" w:themeShade="BF"/>
          <w:sz w:val="22"/>
          <w:szCs w:val="22"/>
          <w:lang w:val="en-GB"/>
        </w:rPr>
        <w:t xml:space="preserve"> in the following manner:</w:t>
      </w:r>
    </w:p>
    <w:p w14:paraId="1C50663C" w14:textId="77777777" w:rsidR="00D06878" w:rsidRDefault="00D06878" w:rsidP="00707FC8">
      <w:pPr>
        <w:jc w:val="both"/>
        <w:rPr>
          <w:rFonts w:ascii="Arial" w:hAnsi="Arial" w:cs="Arial"/>
          <w:color w:val="7B7B7B" w:themeColor="accent3" w:themeShade="BF"/>
          <w:sz w:val="22"/>
          <w:szCs w:val="22"/>
          <w:lang w:val="en-GB"/>
        </w:rPr>
      </w:pPr>
    </w:p>
    <w:p w14:paraId="2C3181C3" w14:textId="20F5C972" w:rsidR="00D06878" w:rsidRPr="00D06878" w:rsidRDefault="00D06878" w:rsidP="00F81868">
      <w:pPr>
        <w:pStyle w:val="ListParagraph"/>
        <w:numPr>
          <w:ilvl w:val="0"/>
          <w:numId w:val="17"/>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044FF4" w:rsidRPr="00D06878">
        <w:rPr>
          <w:rFonts w:ascii="Arial" w:hAnsi="Arial" w:cs="Arial"/>
          <w:color w:val="7B7B7B" w:themeColor="accent3" w:themeShade="BF"/>
          <w:sz w:val="22"/>
          <w:szCs w:val="22"/>
          <w:lang w:val="en-GB"/>
        </w:rPr>
        <w:t>ccess to</w:t>
      </w:r>
      <w:r w:rsidR="007B0263">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standing before</w:t>
      </w:r>
      <w:r w:rsidR="00044FF4" w:rsidRPr="00D06878">
        <w:rPr>
          <w:rFonts w:ascii="Arial" w:hAnsi="Arial" w:cs="Arial"/>
          <w:color w:val="7B7B7B" w:themeColor="accent3" w:themeShade="BF"/>
          <w:sz w:val="22"/>
          <w:szCs w:val="22"/>
          <w:lang w:val="en-GB"/>
        </w:rPr>
        <w:t xml:space="preserve"> the Court of State A</w:t>
      </w:r>
      <w:r>
        <w:rPr>
          <w:rFonts w:ascii="Arial" w:hAnsi="Arial" w:cs="Arial"/>
          <w:color w:val="7B7B7B" w:themeColor="accent3" w:themeShade="BF"/>
          <w:sz w:val="22"/>
          <w:szCs w:val="22"/>
          <w:lang w:val="en-GB"/>
        </w:rPr>
        <w:t>, without the need to meet formal requirements such as licenses or consular action. Consequentially,</w:t>
      </w:r>
      <w:r w:rsidR="00044FF4" w:rsidRPr="00D06878">
        <w:rPr>
          <w:rFonts w:ascii="Arial" w:hAnsi="Arial" w:cs="Arial"/>
          <w:color w:val="7B7B7B" w:themeColor="accent3" w:themeShade="BF"/>
          <w:sz w:val="22"/>
          <w:szCs w:val="22"/>
          <w:lang w:val="en-GB"/>
        </w:rPr>
        <w:t xml:space="preserve"> permitting the foreign representative to seek temporary moratorium (breathing space). </w:t>
      </w:r>
    </w:p>
    <w:p w14:paraId="26B348A7" w14:textId="3FEE745A" w:rsidR="00D06878" w:rsidRDefault="00D06878" w:rsidP="00F81868">
      <w:pPr>
        <w:pStyle w:val="ListParagraph"/>
        <w:numPr>
          <w:ilvl w:val="0"/>
          <w:numId w:val="17"/>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044FF4" w:rsidRPr="00D06878">
        <w:rPr>
          <w:rFonts w:ascii="Arial" w:hAnsi="Arial" w:cs="Arial"/>
          <w:color w:val="7B7B7B" w:themeColor="accent3" w:themeShade="BF"/>
          <w:sz w:val="22"/>
          <w:szCs w:val="22"/>
          <w:lang w:val="en-GB"/>
        </w:rPr>
        <w:t xml:space="preserve">he Court of State A </w:t>
      </w:r>
      <w:r>
        <w:rPr>
          <w:rFonts w:ascii="Arial" w:hAnsi="Arial" w:cs="Arial"/>
          <w:color w:val="7B7B7B" w:themeColor="accent3" w:themeShade="BF"/>
          <w:sz w:val="22"/>
          <w:szCs w:val="22"/>
          <w:lang w:val="en-GB"/>
        </w:rPr>
        <w:t xml:space="preserve">is able </w:t>
      </w:r>
      <w:r w:rsidR="00044FF4" w:rsidRPr="00D06878">
        <w:rPr>
          <w:rFonts w:ascii="Arial" w:hAnsi="Arial" w:cs="Arial"/>
          <w:color w:val="7B7B7B" w:themeColor="accent3" w:themeShade="BF"/>
          <w:sz w:val="22"/>
          <w:szCs w:val="22"/>
          <w:lang w:val="en-GB"/>
        </w:rPr>
        <w:t xml:space="preserve">to determine what coordination between the jurisdiction of State A and B or any other relief is warranted to ensure optimal disposition of the insolvency of the Debtor. </w:t>
      </w:r>
    </w:p>
    <w:p w14:paraId="6D08A26B" w14:textId="3AD23115" w:rsidR="00044FF4" w:rsidRDefault="00D06878" w:rsidP="00F81868">
      <w:pPr>
        <w:pStyle w:val="ListParagraph"/>
        <w:numPr>
          <w:ilvl w:val="0"/>
          <w:numId w:val="17"/>
        </w:numPr>
        <w:ind w:left="567" w:hanging="567"/>
        <w:jc w:val="both"/>
        <w:rPr>
          <w:rFonts w:ascii="Arial" w:hAnsi="Arial" w:cs="Arial"/>
          <w:color w:val="7B7B7B" w:themeColor="accent3" w:themeShade="BF"/>
          <w:sz w:val="22"/>
          <w:szCs w:val="22"/>
          <w:lang w:val="en-GB"/>
        </w:rPr>
      </w:pPr>
      <w:r w:rsidRPr="00D06878">
        <w:rPr>
          <w:rFonts w:ascii="Arial" w:hAnsi="Arial" w:cs="Arial"/>
          <w:color w:val="7B7B7B" w:themeColor="accent3" w:themeShade="BF"/>
          <w:sz w:val="22"/>
          <w:szCs w:val="22"/>
          <w:lang w:val="en-GB"/>
        </w:rPr>
        <w:t>The foreign representative will also benefit from the principle of non-discrimination</w:t>
      </w:r>
      <w:r w:rsidR="004D2AE5">
        <w:rPr>
          <w:rFonts w:ascii="Arial" w:hAnsi="Arial" w:cs="Arial"/>
          <w:color w:val="7B7B7B" w:themeColor="accent3" w:themeShade="BF"/>
          <w:sz w:val="22"/>
          <w:szCs w:val="22"/>
          <w:lang w:val="en-GB"/>
        </w:rPr>
        <w:t>, pursuant to Article 13,</w:t>
      </w:r>
      <w:r w:rsidRPr="00D06878">
        <w:rPr>
          <w:rFonts w:ascii="Arial" w:hAnsi="Arial" w:cs="Arial"/>
          <w:color w:val="7B7B7B" w:themeColor="accent3" w:themeShade="BF"/>
          <w:sz w:val="22"/>
          <w:szCs w:val="22"/>
          <w:lang w:val="en-GB"/>
        </w:rPr>
        <w:t xml:space="preserve"> which ensures that foreign creditors are afforded the same rights as local creditors.</w:t>
      </w:r>
      <w:r w:rsidR="00E279FD">
        <w:rPr>
          <w:rFonts w:ascii="Arial" w:hAnsi="Arial" w:cs="Arial"/>
          <w:color w:val="7B7B7B" w:themeColor="accent3" w:themeShade="BF"/>
          <w:sz w:val="22"/>
          <w:szCs w:val="22"/>
          <w:lang w:val="en-GB"/>
        </w:rPr>
        <w:t xml:space="preserve"> In other words, the claim of the foreign creditor in State B shall not be given a lower priority than that of general unsecured claims solely because the creditor is a foreign creditor. </w:t>
      </w:r>
    </w:p>
    <w:p w14:paraId="24C41D6B" w14:textId="3F6A717E" w:rsidR="00D06878" w:rsidRDefault="00D06878" w:rsidP="00F81868">
      <w:pPr>
        <w:pStyle w:val="ListParagraph"/>
        <w:numPr>
          <w:ilvl w:val="0"/>
          <w:numId w:val="17"/>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representative will obtain timely notice of the events taking place in State A</w:t>
      </w:r>
      <w:r w:rsidR="00E279FD">
        <w:rPr>
          <w:rFonts w:ascii="Arial" w:hAnsi="Arial" w:cs="Arial"/>
          <w:color w:val="7B7B7B" w:themeColor="accent3" w:themeShade="BF"/>
          <w:sz w:val="22"/>
          <w:szCs w:val="22"/>
          <w:lang w:val="en-GB"/>
        </w:rPr>
        <w:t xml:space="preserve">, pursuant to Article 14. </w:t>
      </w:r>
    </w:p>
    <w:p w14:paraId="52C02441" w14:textId="5107DA94" w:rsidR="00D06878" w:rsidRDefault="004D2AE5" w:rsidP="00F81868">
      <w:pPr>
        <w:pStyle w:val="ListParagraph"/>
        <w:numPr>
          <w:ilvl w:val="0"/>
          <w:numId w:val="17"/>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“safe-conduct” rules, pursuant to Article 10, ensures that the Court in State A does not assume jurisdiction over all the assets of the Debtor on the sole ground that the foreign representative has made an application for recognition, when the foreign representative does so. </w:t>
      </w:r>
    </w:p>
    <w:p w14:paraId="4A637290" w14:textId="4A0282A0" w:rsidR="00544127" w:rsidRPr="00E279FD" w:rsidRDefault="00544127" w:rsidP="00E279FD">
      <w:pPr>
        <w:pStyle w:val="ListParagraph"/>
        <w:ind w:left="567"/>
        <w:jc w:val="both"/>
        <w:rPr>
          <w:rFonts w:ascii="Arial" w:hAnsi="Arial" w:cs="Arial"/>
          <w:color w:val="7B7B7B" w:themeColor="accent3" w:themeShade="BF"/>
          <w:sz w:val="22"/>
          <w:szCs w:val="22"/>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 xml:space="preserve">relevant MLCBI </w:t>
      </w:r>
      <w:r w:rsidRPr="0044418D">
        <w:rPr>
          <w:rFonts w:ascii="Arial" w:hAnsi="Arial" w:cs="Arial"/>
          <w:sz w:val="22"/>
          <w:szCs w:val="22"/>
          <w:lang w:val="en-GB"/>
        </w:rPr>
        <w:t xml:space="preserve">articles) any other evidence, restrictions, exclusions and limitations that must be </w:t>
      </w:r>
      <w:r w:rsidRPr="00887F9F">
        <w:rPr>
          <w:rFonts w:ascii="Arial" w:hAnsi="Arial" w:cs="Arial"/>
          <w:sz w:val="22"/>
          <w:szCs w:val="22"/>
          <w:lang w:val="en-GB"/>
        </w:rPr>
        <w:t>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0AE42C0B" w14:textId="77777777" w:rsidR="00D522BC" w:rsidRPr="00D522BC" w:rsidRDefault="00D522BC" w:rsidP="00F81868">
      <w:pPr>
        <w:pStyle w:val="ListParagraph"/>
        <w:numPr>
          <w:ilvl w:val="0"/>
          <w:numId w:val="18"/>
        </w:numPr>
        <w:ind w:left="567" w:hanging="567"/>
        <w:jc w:val="both"/>
        <w:rPr>
          <w:rFonts w:ascii="Arial" w:hAnsi="Arial" w:cs="Arial"/>
          <w:sz w:val="22"/>
          <w:szCs w:val="22"/>
          <w:lang w:val="en-GB"/>
        </w:rPr>
      </w:pPr>
      <w:r>
        <w:rPr>
          <w:rFonts w:ascii="Arial" w:hAnsi="Arial" w:cs="Arial"/>
          <w:color w:val="7B7B7B" w:themeColor="accent3" w:themeShade="BF"/>
          <w:sz w:val="22"/>
          <w:szCs w:val="22"/>
          <w:lang w:val="en-GB"/>
        </w:rPr>
        <w:t xml:space="preserve">Pursuant to Article 15 of the MLCBI, an application for recognition shall be supported by: </w:t>
      </w:r>
    </w:p>
    <w:p w14:paraId="110A0C1A" w14:textId="43716749" w:rsidR="00D522BC" w:rsidRPr="00D522BC" w:rsidRDefault="00D522BC" w:rsidP="00F81868">
      <w:pPr>
        <w:pStyle w:val="ListParagraph"/>
        <w:numPr>
          <w:ilvl w:val="0"/>
          <w:numId w:val="19"/>
        </w:numPr>
        <w:ind w:left="1134" w:hanging="567"/>
        <w:jc w:val="both"/>
        <w:rPr>
          <w:rFonts w:ascii="Arial" w:hAnsi="Arial" w:cs="Arial"/>
          <w:sz w:val="22"/>
          <w:szCs w:val="22"/>
          <w:lang w:val="en-GB"/>
        </w:rPr>
      </w:pPr>
      <w:proofErr w:type="gramStart"/>
      <w:r>
        <w:rPr>
          <w:rFonts w:ascii="Arial" w:hAnsi="Arial" w:cs="Arial"/>
          <w:color w:val="7B7B7B" w:themeColor="accent3" w:themeShade="BF"/>
          <w:sz w:val="22"/>
          <w:szCs w:val="22"/>
          <w:lang w:val="en-GB"/>
        </w:rPr>
        <w:t>a</w:t>
      </w:r>
      <w:proofErr w:type="gramEnd"/>
      <w:r w:rsidRPr="00D522BC">
        <w:rPr>
          <w:rFonts w:ascii="Arial" w:hAnsi="Arial" w:cs="Arial"/>
          <w:color w:val="7B7B7B" w:themeColor="accent3" w:themeShade="BF"/>
          <w:sz w:val="22"/>
          <w:szCs w:val="22"/>
          <w:lang w:val="en-GB"/>
        </w:rPr>
        <w:t xml:space="preserve"> certified copy of the decision of the foreign proceeding in State B and the appointment of the foreign representative. </w:t>
      </w:r>
    </w:p>
    <w:p w14:paraId="6EE95B1C" w14:textId="0FC6108E" w:rsidR="00D522BC" w:rsidRPr="00D522BC" w:rsidRDefault="00D522BC" w:rsidP="00F81868">
      <w:pPr>
        <w:pStyle w:val="ListParagraph"/>
        <w:numPr>
          <w:ilvl w:val="0"/>
          <w:numId w:val="19"/>
        </w:numPr>
        <w:ind w:left="1134" w:hanging="567"/>
        <w:jc w:val="both"/>
        <w:rPr>
          <w:rFonts w:ascii="Arial" w:hAnsi="Arial" w:cs="Arial"/>
          <w:sz w:val="22"/>
          <w:szCs w:val="22"/>
          <w:lang w:val="en-GB"/>
        </w:rPr>
      </w:pPr>
      <w:r>
        <w:rPr>
          <w:rFonts w:ascii="Arial" w:hAnsi="Arial" w:cs="Arial"/>
          <w:color w:val="7B7B7B" w:themeColor="accent3" w:themeShade="BF"/>
          <w:sz w:val="22"/>
          <w:szCs w:val="22"/>
          <w:lang w:val="en-GB"/>
        </w:rPr>
        <w:t xml:space="preserve">A statement identifying all foreign proceedings in respect of the Debtor that are known to the foreign representative. </w:t>
      </w:r>
    </w:p>
    <w:p w14:paraId="1D779619" w14:textId="1EBE32BA" w:rsidR="00D522BC" w:rsidRPr="00D522BC" w:rsidRDefault="00D522BC" w:rsidP="00F81868">
      <w:pPr>
        <w:pStyle w:val="ListParagraph"/>
        <w:numPr>
          <w:ilvl w:val="0"/>
          <w:numId w:val="19"/>
        </w:numPr>
        <w:ind w:left="1134" w:hanging="567"/>
        <w:jc w:val="both"/>
        <w:rPr>
          <w:rFonts w:ascii="Arial" w:hAnsi="Arial" w:cs="Arial"/>
          <w:sz w:val="22"/>
          <w:szCs w:val="22"/>
          <w:lang w:val="en-GB"/>
        </w:rPr>
      </w:pPr>
      <w:r>
        <w:rPr>
          <w:rFonts w:ascii="Arial" w:hAnsi="Arial" w:cs="Arial"/>
          <w:color w:val="7B7B7B" w:themeColor="accent3" w:themeShade="BF"/>
          <w:sz w:val="22"/>
          <w:szCs w:val="22"/>
          <w:lang w:val="en-GB"/>
        </w:rPr>
        <w:t xml:space="preserve">A translated copy of the abovementioned supporting documents in the official language of State A, if the languages of State A and B are different. </w:t>
      </w:r>
    </w:p>
    <w:p w14:paraId="3C26274B" w14:textId="77777777" w:rsidR="00D522BC" w:rsidRDefault="00D522BC" w:rsidP="00612934">
      <w:pPr>
        <w:ind w:left="567" w:hanging="567"/>
        <w:jc w:val="both"/>
        <w:rPr>
          <w:rFonts w:ascii="Arial" w:hAnsi="Arial" w:cs="Arial"/>
          <w:sz w:val="22"/>
          <w:szCs w:val="22"/>
          <w:lang w:val="en-GB"/>
        </w:rPr>
      </w:pPr>
    </w:p>
    <w:p w14:paraId="53B9D7ED" w14:textId="454C902C" w:rsidR="00D522BC" w:rsidRPr="00D522BC" w:rsidRDefault="00D522BC" w:rsidP="00F81868">
      <w:pPr>
        <w:pStyle w:val="ListParagraph"/>
        <w:numPr>
          <w:ilvl w:val="0"/>
          <w:numId w:val="18"/>
        </w:numPr>
        <w:ind w:left="567" w:hanging="567"/>
        <w:jc w:val="both"/>
        <w:rPr>
          <w:rFonts w:ascii="Arial" w:hAnsi="Arial" w:cs="Arial"/>
          <w:sz w:val="22"/>
          <w:szCs w:val="22"/>
          <w:lang w:val="en-GB"/>
        </w:rPr>
      </w:pPr>
      <w:r>
        <w:rPr>
          <w:rFonts w:ascii="Arial" w:hAnsi="Arial" w:cs="Arial"/>
          <w:color w:val="7B7B7B" w:themeColor="accent3" w:themeShade="BF"/>
          <w:sz w:val="22"/>
          <w:szCs w:val="22"/>
          <w:lang w:val="en-GB"/>
        </w:rPr>
        <w:t xml:space="preserve">Pursuant to Article 16, the Court in State A is entitled to make the following presumptions in the recognition application which include: </w:t>
      </w:r>
    </w:p>
    <w:p w14:paraId="52EB5934" w14:textId="51246D46" w:rsidR="00612934" w:rsidRPr="00612934" w:rsidRDefault="00612934" w:rsidP="00F81868">
      <w:pPr>
        <w:pStyle w:val="ListParagraph"/>
        <w:numPr>
          <w:ilvl w:val="0"/>
          <w:numId w:val="20"/>
        </w:numPr>
        <w:ind w:left="1134" w:hanging="567"/>
        <w:jc w:val="both"/>
        <w:rPr>
          <w:rFonts w:ascii="Arial" w:hAnsi="Arial" w:cs="Arial"/>
          <w:sz w:val="22"/>
          <w:szCs w:val="22"/>
          <w:lang w:val="en-GB"/>
        </w:rPr>
      </w:pPr>
      <w:r>
        <w:rPr>
          <w:rFonts w:ascii="Arial" w:hAnsi="Arial" w:cs="Arial"/>
          <w:color w:val="7B7B7B" w:themeColor="accent3" w:themeShade="BF"/>
          <w:sz w:val="22"/>
          <w:szCs w:val="22"/>
          <w:lang w:val="en-GB"/>
        </w:rPr>
        <w:t xml:space="preserve">Presumption that the supporting documents submitted are authentic, whether or not they have been legalised. </w:t>
      </w:r>
    </w:p>
    <w:p w14:paraId="741E1185" w14:textId="79BBCCE3" w:rsidR="00612934" w:rsidRPr="00612934" w:rsidRDefault="00612934" w:rsidP="00F81868">
      <w:pPr>
        <w:pStyle w:val="ListParagraph"/>
        <w:numPr>
          <w:ilvl w:val="0"/>
          <w:numId w:val="20"/>
        </w:numPr>
        <w:ind w:left="1134" w:hanging="567"/>
        <w:jc w:val="both"/>
        <w:rPr>
          <w:rFonts w:ascii="Arial" w:hAnsi="Arial" w:cs="Arial"/>
          <w:sz w:val="22"/>
          <w:szCs w:val="22"/>
          <w:lang w:val="en-GB"/>
        </w:rPr>
      </w:pPr>
      <w:r>
        <w:rPr>
          <w:rFonts w:ascii="Arial" w:hAnsi="Arial" w:cs="Arial"/>
          <w:color w:val="7B7B7B" w:themeColor="accent3" w:themeShade="BF"/>
          <w:sz w:val="22"/>
          <w:szCs w:val="22"/>
          <w:lang w:val="en-GB"/>
        </w:rPr>
        <w:t xml:space="preserve">In the absence of proof to the contrary, the Debtor’s registered office is presumed to be the COMI of the Debtor. </w:t>
      </w:r>
    </w:p>
    <w:p w14:paraId="70E44891" w14:textId="77777777" w:rsidR="00612934" w:rsidRPr="00612934" w:rsidRDefault="00612934" w:rsidP="00612934">
      <w:pPr>
        <w:pStyle w:val="ListParagraph"/>
        <w:ind w:left="567" w:hanging="567"/>
        <w:jc w:val="both"/>
        <w:rPr>
          <w:rFonts w:ascii="Arial" w:hAnsi="Arial" w:cs="Arial"/>
          <w:sz w:val="22"/>
          <w:szCs w:val="22"/>
          <w:lang w:val="en-GB"/>
        </w:rPr>
      </w:pPr>
    </w:p>
    <w:p w14:paraId="3DAA6780" w14:textId="710E3E6E" w:rsidR="00962045" w:rsidRPr="00612934" w:rsidRDefault="00612934" w:rsidP="00F81868">
      <w:pPr>
        <w:pStyle w:val="ListParagraph"/>
        <w:numPr>
          <w:ilvl w:val="0"/>
          <w:numId w:val="18"/>
        </w:numPr>
        <w:ind w:left="567" w:hanging="567"/>
        <w:jc w:val="both"/>
        <w:rPr>
          <w:rFonts w:ascii="Arial" w:hAnsi="Arial" w:cs="Arial"/>
          <w:sz w:val="22"/>
          <w:szCs w:val="22"/>
          <w:shd w:val="clear" w:color="auto" w:fill="FFFFFF"/>
          <w:lang w:val="en-GB"/>
        </w:rPr>
      </w:pPr>
      <w:r w:rsidRPr="00612934">
        <w:rPr>
          <w:rFonts w:ascii="Arial" w:hAnsi="Arial" w:cs="Arial"/>
          <w:color w:val="7B7B7B" w:themeColor="accent3" w:themeShade="BF"/>
          <w:sz w:val="22"/>
          <w:szCs w:val="22"/>
          <w:lang w:val="en-GB"/>
        </w:rPr>
        <w:t>Pursuant to Article 1</w:t>
      </w:r>
      <w:r>
        <w:rPr>
          <w:rFonts w:ascii="Arial" w:hAnsi="Arial" w:cs="Arial"/>
          <w:color w:val="7B7B7B" w:themeColor="accent3" w:themeShade="BF"/>
          <w:sz w:val="22"/>
          <w:szCs w:val="22"/>
          <w:lang w:val="en-GB"/>
        </w:rPr>
        <w:t>7</w:t>
      </w:r>
      <w:r w:rsidRPr="00612934">
        <w:rPr>
          <w:rFonts w:ascii="Arial" w:hAnsi="Arial" w:cs="Arial"/>
          <w:color w:val="7B7B7B" w:themeColor="accent3" w:themeShade="BF"/>
          <w:sz w:val="22"/>
          <w:szCs w:val="22"/>
          <w:lang w:val="en-GB"/>
        </w:rPr>
        <w:t>, the</w:t>
      </w:r>
      <w:r>
        <w:rPr>
          <w:rFonts w:ascii="Arial" w:hAnsi="Arial" w:cs="Arial"/>
          <w:color w:val="7B7B7B" w:themeColor="accent3" w:themeShade="BF"/>
          <w:sz w:val="22"/>
          <w:szCs w:val="22"/>
          <w:lang w:val="en-GB"/>
        </w:rPr>
        <w:t xml:space="preserve"> recognition application filed by the foreign representative must be decided at the earlier possible time and recognition can be modified or terminated if it is established that the grounds of granting recognition were fully or partially lacking of have ceased to exist. </w:t>
      </w:r>
    </w:p>
    <w:p w14:paraId="4A7DF14E" w14:textId="5F1FFCD7" w:rsidR="00612934" w:rsidRPr="00AB20F7" w:rsidRDefault="00612934" w:rsidP="00F81868">
      <w:pPr>
        <w:pStyle w:val="ListParagraph"/>
        <w:numPr>
          <w:ilvl w:val="0"/>
          <w:numId w:val="18"/>
        </w:numPr>
        <w:ind w:left="567" w:hanging="567"/>
        <w:jc w:val="both"/>
        <w:rPr>
          <w:rFonts w:ascii="Arial" w:hAnsi="Arial" w:cs="Arial"/>
          <w:sz w:val="22"/>
          <w:szCs w:val="22"/>
          <w:shd w:val="clear" w:color="auto" w:fill="FFFFFF"/>
          <w:lang w:val="en-GB"/>
        </w:rPr>
      </w:pPr>
      <w:r>
        <w:rPr>
          <w:rFonts w:ascii="Arial" w:hAnsi="Arial" w:cs="Arial"/>
          <w:color w:val="7B7B7B" w:themeColor="accent3" w:themeShade="BF"/>
          <w:sz w:val="22"/>
          <w:szCs w:val="22"/>
          <w:lang w:val="en-GB"/>
        </w:rPr>
        <w:t xml:space="preserve">In the event that Article 15(2) has been met and in the absence of public policy grounds </w:t>
      </w:r>
      <w:r w:rsidR="00AB20F7">
        <w:rPr>
          <w:rFonts w:ascii="Arial" w:hAnsi="Arial" w:cs="Arial"/>
          <w:color w:val="7B7B7B" w:themeColor="accent3" w:themeShade="BF"/>
          <w:sz w:val="22"/>
          <w:szCs w:val="22"/>
          <w:lang w:val="en-GB"/>
        </w:rPr>
        <w:t xml:space="preserve">(Article 6) </w:t>
      </w:r>
      <w:r>
        <w:rPr>
          <w:rFonts w:ascii="Arial" w:hAnsi="Arial" w:cs="Arial"/>
          <w:color w:val="7B7B7B" w:themeColor="accent3" w:themeShade="BF"/>
          <w:sz w:val="22"/>
          <w:szCs w:val="22"/>
          <w:lang w:val="en-GB"/>
        </w:rPr>
        <w:t xml:space="preserve">warranting a denial of the recognition application in State A, the application shall be granted as a matter of course. </w:t>
      </w:r>
    </w:p>
    <w:p w14:paraId="6933AF53" w14:textId="3B331072" w:rsidR="00AB20F7" w:rsidRPr="00AB20F7" w:rsidRDefault="00AB20F7" w:rsidP="00F81868">
      <w:pPr>
        <w:pStyle w:val="ListParagraph"/>
        <w:numPr>
          <w:ilvl w:val="0"/>
          <w:numId w:val="18"/>
        </w:numPr>
        <w:ind w:left="567" w:hanging="567"/>
        <w:jc w:val="both"/>
        <w:rPr>
          <w:rFonts w:ascii="Arial" w:hAnsi="Arial" w:cs="Arial"/>
          <w:sz w:val="22"/>
          <w:szCs w:val="22"/>
          <w:shd w:val="clear" w:color="auto" w:fill="FFFFFF"/>
          <w:lang w:val="en-GB"/>
        </w:rPr>
      </w:pPr>
      <w:r>
        <w:rPr>
          <w:rFonts w:ascii="Arial" w:hAnsi="Arial" w:cs="Arial"/>
          <w:color w:val="7B7B7B" w:themeColor="accent3" w:themeShade="BF"/>
          <w:sz w:val="22"/>
          <w:szCs w:val="22"/>
          <w:lang w:val="en-GB"/>
        </w:rPr>
        <w:t xml:space="preserve">As a general rule of the public policy exception, it should rarely be the basis for refusing the recognition application </w:t>
      </w:r>
      <w:proofErr w:type="spellStart"/>
      <w:r>
        <w:rPr>
          <w:rFonts w:ascii="Arial" w:hAnsi="Arial" w:cs="Arial"/>
          <w:color w:val="7B7B7B" w:themeColor="accent3" w:themeShade="BF"/>
          <w:sz w:val="22"/>
          <w:szCs w:val="22"/>
          <w:lang w:val="en-GB"/>
        </w:rPr>
        <w:t>eventhough</w:t>
      </w:r>
      <w:proofErr w:type="spellEnd"/>
      <w:r>
        <w:rPr>
          <w:rFonts w:ascii="Arial" w:hAnsi="Arial" w:cs="Arial"/>
          <w:color w:val="7B7B7B" w:themeColor="accent3" w:themeShade="BF"/>
          <w:sz w:val="22"/>
          <w:szCs w:val="22"/>
          <w:lang w:val="en-GB"/>
        </w:rPr>
        <w:t>, it may be a basis for limiting the nature of relief accorded.</w:t>
      </w:r>
    </w:p>
    <w:p w14:paraId="310AACBF" w14:textId="3C8508DA" w:rsidR="00AB20F7" w:rsidRPr="00AB20F7" w:rsidRDefault="00AB20F7" w:rsidP="00F81868">
      <w:pPr>
        <w:pStyle w:val="ListParagraph"/>
        <w:numPr>
          <w:ilvl w:val="0"/>
          <w:numId w:val="18"/>
        </w:numPr>
        <w:ind w:left="567" w:hanging="567"/>
        <w:jc w:val="both"/>
        <w:rPr>
          <w:rFonts w:ascii="Arial" w:hAnsi="Arial" w:cs="Arial"/>
          <w:sz w:val="22"/>
          <w:szCs w:val="22"/>
          <w:shd w:val="clear" w:color="auto" w:fill="FFFFFF"/>
          <w:lang w:val="en-GB"/>
        </w:rPr>
      </w:pPr>
      <w:r>
        <w:rPr>
          <w:rFonts w:ascii="Arial" w:hAnsi="Arial" w:cs="Arial"/>
          <w:color w:val="7B7B7B" w:themeColor="accent3" w:themeShade="BF"/>
          <w:sz w:val="22"/>
          <w:szCs w:val="22"/>
          <w:lang w:val="en-GB"/>
        </w:rPr>
        <w:t>The Court of State A would also consider if there is any abuse of process and if the foreign representative has satisfied its obligation of full and frank disclosure before the Court. While the MLCBI does not contain a provision in relation to abuse of process, the Court of State A has the discretion to determine what amounts to abuse of process.</w:t>
      </w:r>
    </w:p>
    <w:p w14:paraId="56B1652A" w14:textId="52BBD135" w:rsidR="00AB20F7" w:rsidRPr="00612934" w:rsidRDefault="00AB20F7" w:rsidP="00F81868">
      <w:pPr>
        <w:pStyle w:val="ListParagraph"/>
        <w:numPr>
          <w:ilvl w:val="0"/>
          <w:numId w:val="18"/>
        </w:numPr>
        <w:ind w:left="567" w:hanging="567"/>
        <w:jc w:val="both"/>
        <w:rPr>
          <w:rFonts w:ascii="Arial" w:hAnsi="Arial" w:cs="Arial"/>
          <w:sz w:val="22"/>
          <w:szCs w:val="22"/>
          <w:shd w:val="clear" w:color="auto" w:fill="FFFFFF"/>
          <w:lang w:val="en-GB"/>
        </w:rPr>
      </w:pPr>
      <w:r>
        <w:rPr>
          <w:rFonts w:ascii="Arial" w:hAnsi="Arial" w:cs="Arial"/>
          <w:color w:val="7B7B7B" w:themeColor="accent3" w:themeShade="BF"/>
          <w:sz w:val="22"/>
          <w:szCs w:val="22"/>
          <w:lang w:val="en-GB"/>
        </w:rPr>
        <w:t xml:space="preserve">The foreign representative, from the filing of the recognition application, has a continuous/ongoing full and frank disclosure obligation, where the foreign representative is expected to promptly inform the Court of State A of any substantial changes in the status of the foreign proceeding/its own appointment as representative under proceeding of State B. </w:t>
      </w:r>
    </w:p>
    <w:p w14:paraId="1F31E578" w14:textId="77777777" w:rsidR="00612934" w:rsidRPr="00AB20F7" w:rsidRDefault="00612934" w:rsidP="00AB20F7">
      <w:pPr>
        <w:jc w:val="both"/>
        <w:rPr>
          <w:rFonts w:ascii="Arial" w:hAnsi="Arial" w:cs="Arial"/>
          <w:sz w:val="22"/>
          <w:szCs w:val="22"/>
          <w:shd w:val="clear" w:color="auto" w:fill="FFFFFF"/>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 xml:space="preserve">relevant MLCBI articles) </w:t>
      </w:r>
      <w:r w:rsidRPr="0044418D">
        <w:rPr>
          <w:rFonts w:ascii="Arial" w:hAnsi="Arial" w:cs="Arial"/>
          <w:sz w:val="22"/>
          <w:szCs w:val="22"/>
          <w:lang w:val="en-GB"/>
        </w:rPr>
        <w:t>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4E83D7AF" w14:textId="22147DBF" w:rsidR="00DF75F8" w:rsidRPr="0011021B" w:rsidRDefault="00CF1336" w:rsidP="00F81868">
      <w:pPr>
        <w:pStyle w:val="ListParagraph"/>
        <w:numPr>
          <w:ilvl w:val="0"/>
          <w:numId w:val="21"/>
        </w:numPr>
        <w:ind w:left="567" w:hanging="567"/>
        <w:jc w:val="both"/>
        <w:rPr>
          <w:rFonts w:ascii="Arial" w:hAnsi="Arial" w:cs="Arial"/>
          <w:sz w:val="22"/>
          <w:szCs w:val="22"/>
          <w:lang w:val="en-GB"/>
        </w:rPr>
      </w:pPr>
      <w:r>
        <w:rPr>
          <w:rFonts w:ascii="Arial" w:hAnsi="Arial" w:cs="Arial"/>
          <w:color w:val="7B7B7B" w:themeColor="accent3" w:themeShade="BF"/>
          <w:sz w:val="22"/>
          <w:szCs w:val="22"/>
          <w:lang w:val="en-GB"/>
        </w:rPr>
        <w:t xml:space="preserve">The Court in State A is entitled to grant interim relief upon the recognition application pursuant to </w:t>
      </w:r>
      <w:r w:rsidRPr="00F81868">
        <w:rPr>
          <w:rFonts w:ascii="Arial" w:hAnsi="Arial" w:cs="Arial"/>
          <w:color w:val="7B7B7B" w:themeColor="accent3" w:themeShade="BF"/>
          <w:sz w:val="22"/>
          <w:szCs w:val="22"/>
          <w:u w:val="single"/>
          <w:lang w:val="en-GB"/>
        </w:rPr>
        <w:t>A</w:t>
      </w:r>
      <w:r w:rsidR="0011021B" w:rsidRPr="00F81868">
        <w:rPr>
          <w:rFonts w:ascii="Arial" w:hAnsi="Arial" w:cs="Arial"/>
          <w:color w:val="7B7B7B" w:themeColor="accent3" w:themeShade="BF"/>
          <w:sz w:val="22"/>
          <w:szCs w:val="22"/>
          <w:u w:val="single"/>
          <w:lang w:val="en-GB"/>
        </w:rPr>
        <w:t>rticle 19</w:t>
      </w:r>
      <w:r w:rsidR="0011021B">
        <w:rPr>
          <w:rFonts w:ascii="Arial" w:hAnsi="Arial" w:cs="Arial"/>
          <w:color w:val="7B7B7B" w:themeColor="accent3" w:themeShade="BF"/>
          <w:sz w:val="22"/>
          <w:szCs w:val="22"/>
          <w:lang w:val="en-GB"/>
        </w:rPr>
        <w:t xml:space="preserve"> where relief is urgently needed to protect the assets of the Debtor or the interest of the State B creditor, from the time of filing of the recognition application until the application is decided upon. The interim relief includes: </w:t>
      </w:r>
    </w:p>
    <w:p w14:paraId="63071744" w14:textId="77777777" w:rsidR="0011021B" w:rsidRDefault="0011021B" w:rsidP="0011021B">
      <w:pPr>
        <w:pStyle w:val="ListParagraph"/>
        <w:ind w:left="567"/>
        <w:jc w:val="both"/>
        <w:rPr>
          <w:rFonts w:ascii="Arial" w:hAnsi="Arial" w:cs="Arial"/>
          <w:color w:val="7B7B7B" w:themeColor="accent3" w:themeShade="BF"/>
          <w:sz w:val="22"/>
          <w:szCs w:val="22"/>
          <w:lang w:val="en-GB"/>
        </w:rPr>
      </w:pPr>
    </w:p>
    <w:p w14:paraId="77488544" w14:textId="613645A0" w:rsidR="00F81868" w:rsidRDefault="00F81868" w:rsidP="00F81868">
      <w:pPr>
        <w:pStyle w:val="ListParagraph"/>
        <w:numPr>
          <w:ilvl w:val="0"/>
          <w:numId w:val="23"/>
        </w:numPr>
        <w:ind w:left="1134"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Stay of execution against the Debtor’s assets.</w:t>
      </w:r>
    </w:p>
    <w:p w14:paraId="68EF9A55" w14:textId="611EE2BC" w:rsidR="00F81868" w:rsidRDefault="00F81868" w:rsidP="00F81868">
      <w:pPr>
        <w:pStyle w:val="ListParagraph"/>
        <w:numPr>
          <w:ilvl w:val="0"/>
          <w:numId w:val="23"/>
        </w:numPr>
        <w:ind w:left="1134"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Entrusting the administration of part or all of the Debtor’s assets in State A to the foreign representative, in order to protect and preserve the value of the assets, by their nature of because of other circumstances, are perishable, susceptible to devaluation or jeopardy.</w:t>
      </w:r>
    </w:p>
    <w:p w14:paraId="7A19EAF4" w14:textId="6BC7BECC" w:rsidR="00F81868" w:rsidRDefault="00F81868" w:rsidP="00F81868">
      <w:pPr>
        <w:pStyle w:val="ListParagraph"/>
        <w:numPr>
          <w:ilvl w:val="0"/>
          <w:numId w:val="23"/>
        </w:numPr>
        <w:ind w:left="1134"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of the post-recognition relief provided under Article 21. </w:t>
      </w:r>
    </w:p>
    <w:p w14:paraId="3EEEFD17" w14:textId="77777777" w:rsidR="0011021B" w:rsidRPr="00CF1336" w:rsidRDefault="0011021B" w:rsidP="0011021B">
      <w:pPr>
        <w:pStyle w:val="ListParagraph"/>
        <w:ind w:left="567"/>
        <w:jc w:val="both"/>
        <w:rPr>
          <w:rFonts w:ascii="Arial" w:hAnsi="Arial" w:cs="Arial"/>
          <w:sz w:val="22"/>
          <w:szCs w:val="22"/>
          <w:lang w:val="en-GB"/>
        </w:rPr>
      </w:pPr>
    </w:p>
    <w:p w14:paraId="13E03353" w14:textId="69258CCC" w:rsidR="00CF1336" w:rsidRPr="0011021B" w:rsidRDefault="00CF1336" w:rsidP="00F81868">
      <w:pPr>
        <w:pStyle w:val="ListParagraph"/>
        <w:numPr>
          <w:ilvl w:val="0"/>
          <w:numId w:val="21"/>
        </w:numPr>
        <w:ind w:left="567" w:hanging="567"/>
        <w:jc w:val="both"/>
        <w:rPr>
          <w:rFonts w:ascii="Arial" w:hAnsi="Arial" w:cs="Arial"/>
          <w:sz w:val="22"/>
          <w:szCs w:val="22"/>
          <w:lang w:val="en-GB"/>
        </w:rPr>
      </w:pPr>
      <w:r w:rsidRPr="00F81868">
        <w:rPr>
          <w:rFonts w:ascii="Arial" w:hAnsi="Arial" w:cs="Arial"/>
          <w:color w:val="7B7B7B" w:themeColor="accent3" w:themeShade="BF"/>
          <w:sz w:val="22"/>
          <w:szCs w:val="22"/>
          <w:u w:val="single"/>
          <w:lang w:val="en-GB"/>
        </w:rPr>
        <w:t>Article 20</w:t>
      </w:r>
      <w:r>
        <w:rPr>
          <w:rFonts w:ascii="Arial" w:hAnsi="Arial" w:cs="Arial"/>
          <w:color w:val="7B7B7B" w:themeColor="accent3" w:themeShade="BF"/>
          <w:sz w:val="22"/>
          <w:szCs w:val="22"/>
          <w:lang w:val="en-GB"/>
        </w:rPr>
        <w:t xml:space="preserve"> provides for automatic mandatory relief if the foreign proceeding in State B qualifie</w:t>
      </w:r>
      <w:r w:rsidR="0011021B">
        <w:rPr>
          <w:rFonts w:ascii="Arial" w:hAnsi="Arial" w:cs="Arial"/>
          <w:color w:val="7B7B7B" w:themeColor="accent3" w:themeShade="BF"/>
          <w:sz w:val="22"/>
          <w:szCs w:val="22"/>
          <w:lang w:val="en-GB"/>
        </w:rPr>
        <w:t xml:space="preserve">s as a foreign main proceeding. The automatic mandatory relief includes: </w:t>
      </w:r>
    </w:p>
    <w:p w14:paraId="2CF0470C" w14:textId="7FB379A2" w:rsidR="0011021B" w:rsidRDefault="0011021B" w:rsidP="00F81868">
      <w:pPr>
        <w:pStyle w:val="ListParagraph"/>
        <w:numPr>
          <w:ilvl w:val="0"/>
          <w:numId w:val="23"/>
        </w:numPr>
        <w:ind w:left="1134"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Stay of commencement or continuation of individual actions or individual proceedings concerning the Debtor’s assets, rights, obligations or liabilities. </w:t>
      </w:r>
    </w:p>
    <w:p w14:paraId="18E2564D" w14:textId="04B24DD5" w:rsidR="0011021B" w:rsidRDefault="0011021B" w:rsidP="00F81868">
      <w:pPr>
        <w:pStyle w:val="ListParagraph"/>
        <w:numPr>
          <w:ilvl w:val="0"/>
          <w:numId w:val="23"/>
        </w:numPr>
        <w:ind w:left="1134"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Stay of execution against the Debtor’s assets.</w:t>
      </w:r>
    </w:p>
    <w:p w14:paraId="300C765D" w14:textId="4C01C7E7" w:rsidR="0011021B" w:rsidRDefault="0011021B" w:rsidP="00F81868">
      <w:pPr>
        <w:pStyle w:val="ListParagraph"/>
        <w:numPr>
          <w:ilvl w:val="0"/>
          <w:numId w:val="23"/>
        </w:numPr>
        <w:ind w:left="1134"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Suspending the right to transfer, encumber or otherwise dispose of any assets of the Debtor.</w:t>
      </w:r>
    </w:p>
    <w:p w14:paraId="70560CE7" w14:textId="77777777" w:rsidR="0044418D" w:rsidRPr="00F81868" w:rsidRDefault="0044418D" w:rsidP="0044418D">
      <w:pPr>
        <w:pStyle w:val="ListParagraph"/>
        <w:ind w:left="1134"/>
        <w:jc w:val="both"/>
        <w:rPr>
          <w:rFonts w:ascii="Arial" w:hAnsi="Arial" w:cs="Arial"/>
          <w:color w:val="7B7B7B" w:themeColor="accent3" w:themeShade="BF"/>
          <w:sz w:val="22"/>
          <w:szCs w:val="22"/>
          <w:lang w:val="en-GB"/>
        </w:rPr>
      </w:pPr>
    </w:p>
    <w:p w14:paraId="435C80B2" w14:textId="537AA800" w:rsidR="0011021B" w:rsidRPr="00F81868" w:rsidRDefault="00F81868" w:rsidP="00F81868">
      <w:pPr>
        <w:pStyle w:val="ListParagraph"/>
        <w:numPr>
          <w:ilvl w:val="0"/>
          <w:numId w:val="21"/>
        </w:numPr>
        <w:ind w:left="567" w:hanging="567"/>
        <w:jc w:val="both"/>
        <w:rPr>
          <w:rFonts w:ascii="Arial" w:hAnsi="Arial" w:cs="Arial"/>
          <w:sz w:val="22"/>
          <w:szCs w:val="22"/>
          <w:lang w:val="en-GB"/>
        </w:rPr>
      </w:pPr>
      <w:r>
        <w:rPr>
          <w:rFonts w:ascii="Arial" w:hAnsi="Arial" w:cs="Arial"/>
          <w:color w:val="7B7B7B" w:themeColor="accent3" w:themeShade="BF"/>
          <w:sz w:val="22"/>
          <w:szCs w:val="22"/>
          <w:lang w:val="en-GB"/>
        </w:rPr>
        <w:t xml:space="preserve">Exceptions to automatic mandatory relief includes enforcement of claims by secured creditors in State A, initiation of court action for claims that arose after the recognition of foreign main proceeding or the completion of an open financial-market transactions. </w:t>
      </w:r>
    </w:p>
    <w:p w14:paraId="67BCDD17" w14:textId="393FC46A" w:rsidR="00F81868" w:rsidRPr="00F81868" w:rsidRDefault="00F81868" w:rsidP="00F81868">
      <w:pPr>
        <w:pStyle w:val="ListParagraph"/>
        <w:numPr>
          <w:ilvl w:val="0"/>
          <w:numId w:val="21"/>
        </w:numPr>
        <w:ind w:left="567" w:hanging="567"/>
        <w:jc w:val="both"/>
        <w:rPr>
          <w:rFonts w:ascii="Arial" w:hAnsi="Arial" w:cs="Arial"/>
          <w:sz w:val="22"/>
          <w:szCs w:val="22"/>
          <w:lang w:val="en-GB"/>
        </w:rPr>
      </w:pPr>
      <w:r>
        <w:rPr>
          <w:rFonts w:ascii="Arial" w:hAnsi="Arial" w:cs="Arial"/>
          <w:color w:val="7B7B7B" w:themeColor="accent3" w:themeShade="BF"/>
          <w:sz w:val="22"/>
          <w:szCs w:val="22"/>
          <w:lang w:val="en-GB"/>
        </w:rPr>
        <w:t xml:space="preserve">Article 20(3) provides that automatic stay and suspension do not affect the right to commence individual actions to the extent necessary to preserve a claim against the Debtor. </w:t>
      </w:r>
    </w:p>
    <w:p w14:paraId="26D7A0C7" w14:textId="7247CE9D" w:rsidR="00F81868" w:rsidRPr="00F81868" w:rsidRDefault="00F81868" w:rsidP="00F81868">
      <w:pPr>
        <w:pStyle w:val="ListParagraph"/>
        <w:numPr>
          <w:ilvl w:val="0"/>
          <w:numId w:val="21"/>
        </w:numPr>
        <w:ind w:left="567" w:hanging="567"/>
        <w:jc w:val="both"/>
        <w:rPr>
          <w:rFonts w:ascii="Arial" w:hAnsi="Arial" w:cs="Arial"/>
          <w:sz w:val="22"/>
          <w:szCs w:val="22"/>
          <w:lang w:val="en-GB"/>
        </w:rPr>
      </w:pPr>
      <w:r>
        <w:rPr>
          <w:rFonts w:ascii="Arial" w:hAnsi="Arial" w:cs="Arial"/>
          <w:color w:val="7B7B7B" w:themeColor="accent3" w:themeShade="BF"/>
          <w:sz w:val="22"/>
          <w:szCs w:val="22"/>
          <w:lang w:val="en-GB"/>
        </w:rPr>
        <w:t>Article 20(4) provides that the automatic stay and suspension do not affect the right to request the commencement of certain domestic insolvency proceeding.</w:t>
      </w:r>
    </w:p>
    <w:p w14:paraId="3748789C" w14:textId="77777777" w:rsidR="00F81868" w:rsidRPr="0011021B" w:rsidRDefault="00F81868" w:rsidP="00F81868">
      <w:pPr>
        <w:pStyle w:val="ListParagraph"/>
        <w:ind w:left="567"/>
        <w:jc w:val="both"/>
        <w:rPr>
          <w:rFonts w:ascii="Arial" w:hAnsi="Arial" w:cs="Arial"/>
          <w:sz w:val="22"/>
          <w:szCs w:val="22"/>
          <w:lang w:val="en-GB"/>
        </w:rPr>
      </w:pPr>
    </w:p>
    <w:p w14:paraId="5E378A00" w14:textId="68110B65" w:rsidR="00CF1336" w:rsidRPr="00D44928" w:rsidRDefault="00CF1336" w:rsidP="00F81868">
      <w:pPr>
        <w:pStyle w:val="ListParagraph"/>
        <w:numPr>
          <w:ilvl w:val="0"/>
          <w:numId w:val="21"/>
        </w:numPr>
        <w:ind w:left="567" w:hanging="567"/>
        <w:jc w:val="both"/>
        <w:rPr>
          <w:rFonts w:ascii="Arial" w:hAnsi="Arial" w:cs="Arial"/>
          <w:sz w:val="22"/>
          <w:szCs w:val="22"/>
          <w:lang w:val="en-GB"/>
        </w:rPr>
      </w:pPr>
      <w:r w:rsidRPr="00F81868">
        <w:rPr>
          <w:rFonts w:ascii="Arial" w:hAnsi="Arial" w:cs="Arial"/>
          <w:color w:val="7B7B7B" w:themeColor="accent3" w:themeShade="BF"/>
          <w:sz w:val="22"/>
          <w:szCs w:val="22"/>
          <w:u w:val="single"/>
          <w:lang w:val="en-GB"/>
        </w:rPr>
        <w:t>Article 21</w:t>
      </w:r>
      <w:r>
        <w:rPr>
          <w:rFonts w:ascii="Arial" w:hAnsi="Arial" w:cs="Arial"/>
          <w:color w:val="7B7B7B" w:themeColor="accent3" w:themeShade="BF"/>
          <w:sz w:val="22"/>
          <w:szCs w:val="22"/>
          <w:lang w:val="en-GB"/>
        </w:rPr>
        <w:t xml:space="preserve"> sets out the court’s discretionary power to</w:t>
      </w:r>
      <w:r w:rsidR="00D44928">
        <w:rPr>
          <w:rFonts w:ascii="Arial" w:hAnsi="Arial" w:cs="Arial"/>
          <w:color w:val="7B7B7B" w:themeColor="accent3" w:themeShade="BF"/>
          <w:sz w:val="22"/>
          <w:szCs w:val="22"/>
          <w:lang w:val="en-GB"/>
        </w:rPr>
        <w:t xml:space="preserve"> grant post-recognition relief where necessary to protect the assets of the Debtor or the interest of creditors and at the request of the foreign representative. These relief includes: </w:t>
      </w:r>
    </w:p>
    <w:p w14:paraId="70EF1A2C" w14:textId="03906A4C" w:rsidR="00D44928" w:rsidRDefault="00D44928" w:rsidP="00F81868">
      <w:pPr>
        <w:pStyle w:val="ListParagraph"/>
        <w:numPr>
          <w:ilvl w:val="0"/>
          <w:numId w:val="22"/>
        </w:numPr>
        <w:ind w:left="1134"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Stay of commencement or continuation of individual actions or individual proceedings concerning the Debtor’s assets, rights, obligations or liabilities, to the extent they have not been automatically stayed under Article 20(1</w:t>
      </w:r>
      <w:proofErr w:type="gramStart"/>
      <w:r>
        <w:rPr>
          <w:rFonts w:ascii="Arial" w:hAnsi="Arial" w:cs="Arial"/>
          <w:color w:val="7B7B7B" w:themeColor="accent3" w:themeShade="BF"/>
          <w:sz w:val="22"/>
          <w:szCs w:val="22"/>
          <w:lang w:val="en-GB"/>
        </w:rPr>
        <w:t>)(</w:t>
      </w:r>
      <w:proofErr w:type="gramEnd"/>
      <w:r>
        <w:rPr>
          <w:rFonts w:ascii="Arial" w:hAnsi="Arial" w:cs="Arial"/>
          <w:color w:val="7B7B7B" w:themeColor="accent3" w:themeShade="BF"/>
          <w:sz w:val="22"/>
          <w:szCs w:val="22"/>
          <w:lang w:val="en-GB"/>
        </w:rPr>
        <w:t xml:space="preserve">a). </w:t>
      </w:r>
    </w:p>
    <w:p w14:paraId="7E1C3EF3" w14:textId="4F621F30" w:rsidR="00D44928" w:rsidRDefault="00D44928" w:rsidP="00F81868">
      <w:pPr>
        <w:pStyle w:val="ListParagraph"/>
        <w:numPr>
          <w:ilvl w:val="0"/>
          <w:numId w:val="22"/>
        </w:numPr>
        <w:ind w:left="1134"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Stay of execution against the Debtor’s assets to the extent they have not been automatically stayed under Article 20(1</w:t>
      </w:r>
      <w:proofErr w:type="gramStart"/>
      <w:r>
        <w:rPr>
          <w:rFonts w:ascii="Arial" w:hAnsi="Arial" w:cs="Arial"/>
          <w:color w:val="7B7B7B" w:themeColor="accent3" w:themeShade="BF"/>
          <w:sz w:val="22"/>
          <w:szCs w:val="22"/>
          <w:lang w:val="en-GB"/>
        </w:rPr>
        <w:t>)(</w:t>
      </w:r>
      <w:proofErr w:type="gramEnd"/>
      <w:r>
        <w:rPr>
          <w:rFonts w:ascii="Arial" w:hAnsi="Arial" w:cs="Arial"/>
          <w:color w:val="7B7B7B" w:themeColor="accent3" w:themeShade="BF"/>
          <w:sz w:val="22"/>
          <w:szCs w:val="22"/>
          <w:lang w:val="en-GB"/>
        </w:rPr>
        <w:t>b).</w:t>
      </w:r>
    </w:p>
    <w:p w14:paraId="02535D31" w14:textId="6ACD9BF2" w:rsidR="00D44928" w:rsidRDefault="00D44928" w:rsidP="00F81868">
      <w:pPr>
        <w:pStyle w:val="ListParagraph"/>
        <w:numPr>
          <w:ilvl w:val="0"/>
          <w:numId w:val="22"/>
        </w:numPr>
        <w:ind w:left="1134"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Suspending the right to transfer, encumber or otherwise dispose of any assets of the Debtor to the extent of right which has not been automatically suspended under Article 20(1</w:t>
      </w:r>
      <w:proofErr w:type="gramStart"/>
      <w:r>
        <w:rPr>
          <w:rFonts w:ascii="Arial" w:hAnsi="Arial" w:cs="Arial"/>
          <w:color w:val="7B7B7B" w:themeColor="accent3" w:themeShade="BF"/>
          <w:sz w:val="22"/>
          <w:szCs w:val="22"/>
          <w:lang w:val="en-GB"/>
        </w:rPr>
        <w:t>)(</w:t>
      </w:r>
      <w:proofErr w:type="gramEnd"/>
      <w:r>
        <w:rPr>
          <w:rFonts w:ascii="Arial" w:hAnsi="Arial" w:cs="Arial"/>
          <w:color w:val="7B7B7B" w:themeColor="accent3" w:themeShade="BF"/>
          <w:sz w:val="22"/>
          <w:szCs w:val="22"/>
          <w:lang w:val="en-GB"/>
        </w:rPr>
        <w:t>c).</w:t>
      </w:r>
    </w:p>
    <w:p w14:paraId="6CE48660" w14:textId="26774654" w:rsidR="00D44928" w:rsidRDefault="00D44928" w:rsidP="00F81868">
      <w:pPr>
        <w:pStyle w:val="ListParagraph"/>
        <w:numPr>
          <w:ilvl w:val="0"/>
          <w:numId w:val="22"/>
        </w:numPr>
        <w:ind w:left="1134"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Examination of witnesses, the taking of evidence or delivery of information concerning the Debtor’s assets, rights, obligations or liabilities.</w:t>
      </w:r>
    </w:p>
    <w:p w14:paraId="1CD4B02C" w14:textId="2A8DF0EE" w:rsidR="00D44928" w:rsidRDefault="00D44928" w:rsidP="00F81868">
      <w:pPr>
        <w:pStyle w:val="ListParagraph"/>
        <w:numPr>
          <w:ilvl w:val="0"/>
          <w:numId w:val="22"/>
        </w:numPr>
        <w:ind w:left="1134"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Extending any interim relief granted under Article 19(1). </w:t>
      </w:r>
    </w:p>
    <w:p w14:paraId="3D2B39FB" w14:textId="51F7C3AF" w:rsidR="00D44928" w:rsidRPr="00D44928" w:rsidRDefault="00D44928" w:rsidP="00F81868">
      <w:pPr>
        <w:pStyle w:val="ListParagraph"/>
        <w:numPr>
          <w:ilvl w:val="0"/>
          <w:numId w:val="22"/>
        </w:numPr>
        <w:ind w:left="1134" w:hanging="567"/>
        <w:jc w:val="both"/>
        <w:rPr>
          <w:rFonts w:ascii="Arial" w:hAnsi="Arial" w:cs="Arial"/>
          <w:color w:val="7B7B7B" w:themeColor="accent3" w:themeShade="BF"/>
          <w:sz w:val="22"/>
          <w:szCs w:val="22"/>
          <w:lang w:val="en-GB"/>
        </w:rPr>
      </w:pPr>
      <w:r w:rsidRPr="00D44928">
        <w:rPr>
          <w:rFonts w:ascii="Arial" w:hAnsi="Arial" w:cs="Arial"/>
          <w:color w:val="7B7B7B" w:themeColor="accent3" w:themeShade="BF"/>
          <w:sz w:val="22"/>
          <w:szCs w:val="22"/>
          <w:lang w:val="en-GB"/>
        </w:rPr>
        <w:t xml:space="preserve">Granting any additional relief that may be available to a domestic liquidator/office holder under the law of State A. </w:t>
      </w:r>
    </w:p>
    <w:p w14:paraId="00655351" w14:textId="77777777" w:rsidR="00D44928" w:rsidRPr="00CF1336" w:rsidRDefault="00D44928" w:rsidP="00D44928">
      <w:pPr>
        <w:pStyle w:val="ListParagraph"/>
        <w:jc w:val="both"/>
        <w:rPr>
          <w:rFonts w:ascii="Arial" w:hAnsi="Arial" w:cs="Arial"/>
          <w:sz w:val="22"/>
          <w:szCs w:val="22"/>
          <w:lang w:val="en-GB"/>
        </w:rPr>
      </w:pPr>
    </w:p>
    <w:p w14:paraId="291AF355" w14:textId="2FF91F4C" w:rsidR="00D44928" w:rsidRPr="00D44928" w:rsidRDefault="00D44928" w:rsidP="00F81868">
      <w:pPr>
        <w:pStyle w:val="ListParagraph"/>
        <w:numPr>
          <w:ilvl w:val="0"/>
          <w:numId w:val="21"/>
        </w:numPr>
        <w:ind w:left="567" w:hanging="567"/>
        <w:jc w:val="both"/>
        <w:rPr>
          <w:rFonts w:ascii="Arial" w:hAnsi="Arial" w:cs="Arial"/>
          <w:sz w:val="22"/>
          <w:szCs w:val="22"/>
          <w:lang w:val="en-GB"/>
        </w:rPr>
      </w:pPr>
      <w:r>
        <w:rPr>
          <w:rFonts w:ascii="Arial" w:hAnsi="Arial" w:cs="Arial"/>
          <w:color w:val="7B7B7B" w:themeColor="accent3" w:themeShade="BF"/>
          <w:sz w:val="22"/>
          <w:szCs w:val="22"/>
          <w:lang w:val="en-GB"/>
        </w:rPr>
        <w:t xml:space="preserve">Article 21(2) provides the Court of State A with discretionary power to hand over all or part of the Debtor’s assets located in State A to the foreign representative, at the request of the foreign representative, if the Court is satisfied that the interests of the local creditors in State A are adequately protected. </w:t>
      </w:r>
    </w:p>
    <w:p w14:paraId="1BFC0FDC" w14:textId="513F044D" w:rsidR="00D44928" w:rsidRPr="0011021B" w:rsidRDefault="0011021B" w:rsidP="00F81868">
      <w:pPr>
        <w:pStyle w:val="ListParagraph"/>
        <w:numPr>
          <w:ilvl w:val="0"/>
          <w:numId w:val="21"/>
        </w:numPr>
        <w:ind w:left="567" w:hanging="567"/>
        <w:jc w:val="both"/>
        <w:rPr>
          <w:rFonts w:ascii="Arial" w:hAnsi="Arial" w:cs="Arial"/>
          <w:sz w:val="22"/>
          <w:szCs w:val="22"/>
          <w:lang w:val="en-GB"/>
        </w:rPr>
      </w:pPr>
      <w:r w:rsidRPr="0011021B">
        <w:rPr>
          <w:rFonts w:ascii="Arial" w:hAnsi="Arial" w:cs="Arial"/>
          <w:color w:val="7B7B7B" w:themeColor="accent3" w:themeShade="BF"/>
          <w:sz w:val="22"/>
          <w:szCs w:val="22"/>
          <w:lang w:val="en-GB"/>
        </w:rPr>
        <w:t xml:space="preserve">If the proceeding at State B is not a foreign main proceeding, </w:t>
      </w:r>
      <w:r w:rsidR="00D44928" w:rsidRPr="0011021B">
        <w:rPr>
          <w:rFonts w:ascii="Arial" w:hAnsi="Arial" w:cs="Arial"/>
          <w:color w:val="7B7B7B" w:themeColor="accent3" w:themeShade="BF"/>
          <w:sz w:val="22"/>
          <w:szCs w:val="22"/>
          <w:lang w:val="en-GB"/>
        </w:rPr>
        <w:t>Article 21(4) provides that the Court must be satisfied that the relief granted is in relation to</w:t>
      </w:r>
      <w:r>
        <w:rPr>
          <w:rFonts w:ascii="Arial" w:hAnsi="Arial" w:cs="Arial"/>
          <w:color w:val="7B7B7B" w:themeColor="accent3" w:themeShade="BF"/>
          <w:sz w:val="22"/>
          <w:szCs w:val="22"/>
          <w:lang w:val="en-GB"/>
        </w:rPr>
        <w:t>, under the la</w:t>
      </w:r>
      <w:r w:rsidR="00D44928" w:rsidRPr="0011021B">
        <w:rPr>
          <w:rFonts w:ascii="Arial" w:hAnsi="Arial" w:cs="Arial"/>
          <w:color w:val="7B7B7B" w:themeColor="accent3" w:themeShade="BF"/>
          <w:sz w:val="22"/>
          <w:szCs w:val="22"/>
          <w:lang w:val="en-GB"/>
        </w:rPr>
        <w:t>w of State A</w:t>
      </w:r>
      <w:r>
        <w:rPr>
          <w:rFonts w:ascii="Arial" w:hAnsi="Arial" w:cs="Arial"/>
          <w:color w:val="7B7B7B" w:themeColor="accent3" w:themeShade="BF"/>
          <w:sz w:val="22"/>
          <w:szCs w:val="22"/>
          <w:lang w:val="en-GB"/>
        </w:rPr>
        <w:t xml:space="preserve">, assets that should be administered in the foreign non-main proceeding in State B or concerns information required in the proceeding of State B. The Court must be satisfied </w:t>
      </w:r>
      <w:r>
        <w:rPr>
          <w:rFonts w:ascii="Arial" w:hAnsi="Arial" w:cs="Arial"/>
          <w:color w:val="7B7B7B" w:themeColor="accent3" w:themeShade="BF"/>
          <w:sz w:val="22"/>
          <w:szCs w:val="22"/>
          <w:lang w:val="en-GB"/>
        </w:rPr>
        <w:lastRenderedPageBreak/>
        <w:t xml:space="preserve">that the relief granted should not interfere with the administration of another insolvency proceeding. </w:t>
      </w:r>
    </w:p>
    <w:p w14:paraId="2BBA1634" w14:textId="1D6D6344" w:rsidR="00CF1336" w:rsidRPr="00CF1336" w:rsidRDefault="00CF1336" w:rsidP="00F81868">
      <w:pPr>
        <w:pStyle w:val="ListParagraph"/>
        <w:numPr>
          <w:ilvl w:val="0"/>
          <w:numId w:val="21"/>
        </w:numPr>
        <w:ind w:left="567" w:hanging="567"/>
        <w:jc w:val="both"/>
        <w:rPr>
          <w:rFonts w:ascii="Arial" w:hAnsi="Arial" w:cs="Arial"/>
          <w:sz w:val="22"/>
          <w:szCs w:val="22"/>
          <w:lang w:val="en-GB"/>
        </w:rPr>
      </w:pPr>
      <w:r>
        <w:rPr>
          <w:rFonts w:ascii="Arial" w:hAnsi="Arial" w:cs="Arial"/>
          <w:color w:val="7B7B7B" w:themeColor="accent3" w:themeShade="BF"/>
          <w:sz w:val="22"/>
          <w:szCs w:val="22"/>
          <w:lang w:val="en-GB"/>
        </w:rPr>
        <w:t>In granting any form of pre and post-recognition relief, the Court in State A must be satisfied that the interests of the Debtor’s creditors and other interested parties are adequately protected. Therefore, the Court is afforded powers to subject reliefs to any conditions that the Court deem fit (</w:t>
      </w:r>
      <w:r w:rsidRPr="00F81868">
        <w:rPr>
          <w:rFonts w:ascii="Arial" w:hAnsi="Arial" w:cs="Arial"/>
          <w:color w:val="7B7B7B" w:themeColor="accent3" w:themeShade="BF"/>
          <w:sz w:val="22"/>
          <w:szCs w:val="22"/>
          <w:u w:val="single"/>
          <w:lang w:val="en-GB"/>
        </w:rPr>
        <w:t>Article 22</w:t>
      </w:r>
      <w:r>
        <w:rPr>
          <w:rFonts w:ascii="Arial" w:hAnsi="Arial" w:cs="Arial"/>
          <w:color w:val="7B7B7B" w:themeColor="accent3" w:themeShade="BF"/>
          <w:sz w:val="22"/>
          <w:szCs w:val="22"/>
          <w:lang w:val="en-GB"/>
        </w:rPr>
        <w:t>(2)).</w:t>
      </w:r>
    </w:p>
    <w:p w14:paraId="76A22508" w14:textId="73EE2FC6" w:rsidR="00CF1336" w:rsidRPr="00CF1336" w:rsidRDefault="00CF1336" w:rsidP="00F81868">
      <w:pPr>
        <w:pStyle w:val="ListParagraph"/>
        <w:numPr>
          <w:ilvl w:val="0"/>
          <w:numId w:val="21"/>
        </w:numPr>
        <w:ind w:left="567" w:hanging="567"/>
        <w:jc w:val="both"/>
        <w:rPr>
          <w:rFonts w:ascii="Arial" w:hAnsi="Arial" w:cs="Arial"/>
          <w:sz w:val="22"/>
          <w:szCs w:val="22"/>
          <w:lang w:val="en-GB"/>
        </w:rPr>
      </w:pPr>
      <w:r>
        <w:rPr>
          <w:rFonts w:ascii="Arial" w:hAnsi="Arial" w:cs="Arial"/>
          <w:color w:val="7B7B7B" w:themeColor="accent3" w:themeShade="BF"/>
          <w:sz w:val="22"/>
          <w:szCs w:val="22"/>
          <w:lang w:val="en-GB"/>
        </w:rPr>
        <w:t>Further, at the request of the foreign representative or an affected person, the Court in State A may further modify or terminate the relief (Article 22(3)).</w:t>
      </w:r>
    </w:p>
    <w:p w14:paraId="4AE7EA78" w14:textId="24C76947" w:rsidR="007D7C92" w:rsidRPr="009B5832" w:rsidRDefault="007D7C92" w:rsidP="00707FC8">
      <w:pPr>
        <w:ind w:left="720" w:hanging="720"/>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w:t>
      </w:r>
      <w:r w:rsidRPr="00887F9F">
        <w:rPr>
          <w:rFonts w:ascii="Arial" w:hAnsi="Arial" w:cs="Arial"/>
          <w:sz w:val="22"/>
          <w:szCs w:val="22"/>
          <w:lang w:val="en-GB"/>
        </w:rPr>
        <w:t xml:space="preserve">explain why a worldwide freezing order granted as pre-recognition interim relief </w:t>
      </w:r>
      <w:r w:rsidRPr="00887F9F">
        <w:rPr>
          <w:rFonts w:ascii="Arial" w:hAnsi="Arial" w:cs="Arial"/>
          <w:i/>
          <w:iCs/>
          <w:sz w:val="22"/>
          <w:szCs w:val="22"/>
          <w:lang w:val="en-GB"/>
        </w:rPr>
        <w:t>ex</w:t>
      </w:r>
      <w:r w:rsidRPr="00887F9F">
        <w:rPr>
          <w:rFonts w:ascii="Arial" w:hAnsi="Arial" w:cs="Arial"/>
          <w:sz w:val="22"/>
          <w:szCs w:val="22"/>
          <w:lang w:val="en-GB"/>
        </w:rPr>
        <w:t xml:space="preserve"> article 19 MLCBI</w:t>
      </w:r>
      <w:r w:rsidR="00201874" w:rsidRPr="00887F9F">
        <w:rPr>
          <w:rFonts w:ascii="Arial" w:hAnsi="Arial" w:cs="Arial"/>
          <w:sz w:val="22"/>
          <w:szCs w:val="22"/>
          <w:lang w:val="en-GB"/>
        </w:rPr>
        <w:t>,</w:t>
      </w:r>
      <w:r w:rsidRPr="00887F9F">
        <w:rPr>
          <w:rFonts w:ascii="Arial" w:hAnsi="Arial" w:cs="Arial"/>
          <w:sz w:val="22"/>
          <w:szCs w:val="22"/>
          <w:lang w:val="en-GB"/>
        </w:rPr>
        <w:t xml:space="preserve"> is unlikely to continue post-recognition </w:t>
      </w:r>
      <w:r w:rsidRPr="00887F9F">
        <w:rPr>
          <w:rFonts w:ascii="Arial" w:hAnsi="Arial" w:cs="Arial"/>
          <w:i/>
          <w:iCs/>
          <w:sz w:val="22"/>
          <w:szCs w:val="22"/>
          <w:lang w:val="en-GB"/>
        </w:rPr>
        <w:t>ex</w:t>
      </w:r>
      <w:r w:rsidRPr="00887F9F">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3D71E0FE" w:rsidR="00980314" w:rsidRPr="009B5832" w:rsidRDefault="0044418D" w:rsidP="00980314">
      <w:pPr>
        <w:jc w:val="both"/>
        <w:rPr>
          <w:rFonts w:ascii="Arial" w:hAnsi="Arial" w:cs="Arial"/>
          <w:sz w:val="22"/>
          <w:szCs w:val="22"/>
          <w:lang w:val="en-GB"/>
        </w:rPr>
      </w:pPr>
      <w:r>
        <w:rPr>
          <w:rFonts w:ascii="Arial" w:hAnsi="Arial" w:cs="Arial"/>
          <w:color w:val="7B7B7B" w:themeColor="accent3" w:themeShade="BF"/>
          <w:sz w:val="22"/>
          <w:szCs w:val="22"/>
          <w:lang w:val="en-GB"/>
        </w:rPr>
        <w:t>This is so because the post-recognition relief granted under Article 21 of the MLCBI is discretionary in nature and the Court may find that the facts of the case post recognition may no longer be suitable for the freezing order to continue, taking into consideration the interests of creditors and the debtor. It is also because once recognition is given, the relief granted should be in relation to liabilities and assets of the debtor at the enacting State only and should not be binding to all jurisdictions/worldwide.</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887F9F"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w:t>
      </w:r>
      <w:r w:rsidRPr="00887F9F">
        <w:rPr>
          <w:rFonts w:ascii="Arial" w:hAnsi="Arial" w:cs="Arial"/>
          <w:color w:val="000000"/>
          <w:sz w:val="22"/>
          <w:szCs w:val="22"/>
          <w:lang w:val="en-GB" w:eastAsia="en-GB"/>
        </w:rPr>
        <w:t xml:space="preserve">Commercial Bank for Business Corporation (the Bank) has operated since 1991. </w:t>
      </w:r>
      <w:bookmarkStart w:id="7" w:name="para20"/>
      <w:bookmarkEnd w:id="6"/>
      <w:r w:rsidRPr="00887F9F">
        <w:rPr>
          <w:rFonts w:ascii="Arial" w:hAnsi="Arial" w:cs="Arial"/>
          <w:color w:val="000000"/>
          <w:sz w:val="22"/>
          <w:szCs w:val="22"/>
          <w:lang w:val="en-GB" w:eastAsia="en-GB"/>
        </w:rPr>
        <w:t>The Bank</w:t>
      </w:r>
      <w:r w:rsidR="001747C2" w:rsidRPr="00887F9F">
        <w:rPr>
          <w:rFonts w:ascii="Arial" w:hAnsi="Arial" w:cs="Arial"/>
          <w:color w:val="000000"/>
          <w:sz w:val="22"/>
          <w:szCs w:val="22"/>
          <w:lang w:val="en-GB" w:eastAsia="en-GB"/>
        </w:rPr>
        <w:t>’</w:t>
      </w:r>
      <w:r w:rsidRPr="00887F9F">
        <w:rPr>
          <w:rFonts w:ascii="Arial" w:hAnsi="Arial" w:cs="Arial"/>
          <w:color w:val="000000"/>
          <w:sz w:val="22"/>
          <w:szCs w:val="22"/>
          <w:lang w:val="en-GB" w:eastAsia="en-GB"/>
        </w:rPr>
        <w:t xml:space="preserve">s registered office is situated in Country A, which </w:t>
      </w:r>
      <w:r w:rsidRPr="00887F9F">
        <w:rPr>
          <w:rFonts w:ascii="Arial" w:hAnsi="Arial" w:cs="Arial"/>
          <w:b/>
          <w:bCs/>
          <w:color w:val="000000"/>
          <w:sz w:val="22"/>
          <w:szCs w:val="22"/>
          <w:u w:val="single"/>
          <w:lang w:val="en-GB" w:eastAsia="en-GB"/>
        </w:rPr>
        <w:t>has not</w:t>
      </w:r>
      <w:r w:rsidRPr="00887F9F">
        <w:rPr>
          <w:rFonts w:ascii="Arial" w:hAnsi="Arial" w:cs="Arial"/>
          <w:color w:val="000000"/>
          <w:sz w:val="22"/>
          <w:szCs w:val="22"/>
          <w:lang w:val="en-GB" w:eastAsia="en-GB"/>
        </w:rPr>
        <w:t xml:space="preserve"> adopted the MLCBI.</w:t>
      </w:r>
      <w:bookmarkStart w:id="8" w:name="para21"/>
      <w:bookmarkEnd w:id="7"/>
      <w:r w:rsidR="00D97A93" w:rsidRPr="00887F9F">
        <w:rPr>
          <w:rFonts w:ascii="Arial" w:hAnsi="Arial" w:cs="Arial"/>
          <w:color w:val="000000"/>
          <w:sz w:val="22"/>
          <w:szCs w:val="22"/>
          <w:lang w:val="en-GB" w:eastAsia="en-GB"/>
        </w:rPr>
        <w:t xml:space="preserve"> </w:t>
      </w:r>
      <w:r w:rsidRPr="00887F9F">
        <w:rPr>
          <w:rFonts w:ascii="Arial" w:hAnsi="Arial" w:cs="Arial"/>
          <w:color w:val="000000"/>
          <w:sz w:val="22"/>
          <w:szCs w:val="22"/>
          <w:lang w:val="en-GB" w:eastAsia="en-GB"/>
        </w:rPr>
        <w:t>As of 13 August 2015, the Bank</w:t>
      </w:r>
      <w:r w:rsidR="001747C2" w:rsidRPr="00887F9F">
        <w:rPr>
          <w:rFonts w:ascii="Arial" w:hAnsi="Arial" w:cs="Arial"/>
          <w:color w:val="000000"/>
          <w:sz w:val="22"/>
          <w:szCs w:val="22"/>
          <w:lang w:val="en-GB" w:eastAsia="en-GB"/>
        </w:rPr>
        <w:t>’</w:t>
      </w:r>
      <w:r w:rsidRPr="00887F9F">
        <w:rPr>
          <w:rFonts w:ascii="Arial" w:hAnsi="Arial" w:cs="Arial"/>
          <w:color w:val="000000"/>
          <w:sz w:val="22"/>
          <w:szCs w:val="22"/>
          <w:lang w:val="en-GB" w:eastAsia="en-GB"/>
        </w:rPr>
        <w:t>s majority ultimate beneficial owner was Mr Z</w:t>
      </w:r>
      <w:r w:rsidR="00EC7F95" w:rsidRPr="00887F9F">
        <w:rPr>
          <w:rFonts w:ascii="Arial" w:hAnsi="Arial" w:cs="Arial"/>
          <w:color w:val="000000"/>
          <w:sz w:val="22"/>
          <w:szCs w:val="22"/>
          <w:lang w:val="en-GB" w:eastAsia="en-GB"/>
        </w:rPr>
        <w:t>,</w:t>
      </w:r>
      <w:r w:rsidRPr="00887F9F">
        <w:rPr>
          <w:rFonts w:ascii="Arial" w:hAnsi="Arial" w:cs="Arial"/>
          <w:color w:val="000000"/>
          <w:sz w:val="22"/>
          <w:szCs w:val="22"/>
          <w:lang w:val="en-GB" w:eastAsia="en-GB"/>
        </w:rPr>
        <w:t xml:space="preserve"> who held approximately 95% of the Bank</w:t>
      </w:r>
      <w:r w:rsidR="001747C2" w:rsidRPr="00887F9F">
        <w:rPr>
          <w:rFonts w:ascii="Arial" w:hAnsi="Arial" w:cs="Arial"/>
          <w:color w:val="000000"/>
          <w:sz w:val="22"/>
          <w:szCs w:val="22"/>
          <w:lang w:val="en-GB" w:eastAsia="en-GB"/>
        </w:rPr>
        <w:t>’</w:t>
      </w:r>
      <w:r w:rsidRPr="00887F9F">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887F9F" w:rsidRDefault="007C3FE5" w:rsidP="007C3FE5">
      <w:pPr>
        <w:jc w:val="both"/>
        <w:rPr>
          <w:rFonts w:ascii="Arial" w:hAnsi="Arial" w:cs="Arial"/>
          <w:color w:val="000000"/>
          <w:sz w:val="22"/>
          <w:szCs w:val="22"/>
          <w:lang w:val="en-GB" w:eastAsia="en-GB"/>
        </w:rPr>
      </w:pPr>
    </w:p>
    <w:p w14:paraId="04F53D25" w14:textId="171956B0" w:rsidR="008A7470" w:rsidRPr="00887F9F" w:rsidRDefault="008A7470" w:rsidP="007C3FE5">
      <w:pPr>
        <w:jc w:val="both"/>
        <w:rPr>
          <w:rFonts w:ascii="Arial" w:hAnsi="Arial" w:cs="Arial"/>
          <w:color w:val="000000"/>
          <w:sz w:val="22"/>
          <w:szCs w:val="22"/>
          <w:lang w:val="en-GB" w:eastAsia="en-GB"/>
        </w:rPr>
      </w:pPr>
      <w:r w:rsidRPr="00887F9F">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887F9F">
        <w:rPr>
          <w:rFonts w:ascii="Arial" w:hAnsi="Arial" w:cs="Arial"/>
          <w:color w:val="000000"/>
          <w:sz w:val="22"/>
          <w:szCs w:val="22"/>
          <w:lang w:val="en-GB" w:eastAsia="en-GB"/>
        </w:rPr>
        <w:t xml:space="preserve"> </w:t>
      </w:r>
      <w:r w:rsidRPr="00887F9F">
        <w:rPr>
          <w:rFonts w:ascii="Arial" w:hAnsi="Arial"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1" w:name="para24"/>
      <w:bookmarkEnd w:id="10"/>
    </w:p>
    <w:p w14:paraId="421F6306" w14:textId="77777777" w:rsidR="007C3FE5" w:rsidRPr="00887F9F"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887F9F">
        <w:rPr>
          <w:rFonts w:ascii="Arial" w:hAnsi="Arial" w:cs="Arial"/>
          <w:color w:val="000000"/>
          <w:sz w:val="22"/>
          <w:szCs w:val="22"/>
          <w:lang w:val="en-GB" w:eastAsia="en-GB"/>
        </w:rPr>
        <w:t>Proceedings were issued in the High Court of England and Wales (Chancery Division) against various defendants on 11 February 2021 (the English Proceedings).</w:t>
      </w:r>
      <w:r w:rsidRPr="009B5832">
        <w:rPr>
          <w:rFonts w:ascii="Arial" w:hAnsi="Arial" w:cs="Arial"/>
          <w:color w:val="000000"/>
          <w:sz w:val="22"/>
          <w:szCs w:val="22"/>
          <w:lang w:val="en-GB" w:eastAsia="en-GB"/>
        </w:rPr>
        <w:t xml:space="preserve">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F81868">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F81868">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F81868">
      <w:pPr>
        <w:pStyle w:val="ListParagraph"/>
        <w:numPr>
          <w:ilvl w:val="0"/>
          <w:numId w:val="11"/>
        </w:numPr>
        <w:ind w:left="426"/>
        <w:jc w:val="both"/>
        <w:rPr>
          <w:rFonts w:ascii="Arial" w:hAnsi="Arial" w:cs="Arial"/>
          <w:color w:val="000000"/>
          <w:sz w:val="22"/>
          <w:szCs w:val="22"/>
          <w:lang w:val="en-GB" w:eastAsia="en-GB"/>
        </w:rPr>
      </w:pPr>
      <w:proofErr w:type="gramStart"/>
      <w:r w:rsidRPr="009B5832">
        <w:rPr>
          <w:rFonts w:ascii="Arial" w:hAnsi="Arial" w:cs="Arial"/>
          <w:color w:val="000000"/>
          <w:sz w:val="22"/>
          <w:szCs w:val="22"/>
          <w:lang w:val="en-GB" w:eastAsia="en-GB"/>
        </w:rPr>
        <w:t>the</w:t>
      </w:r>
      <w:proofErr w:type="gramEnd"/>
      <w:r w:rsidRPr="009B5832">
        <w:rPr>
          <w:rFonts w:ascii="Arial" w:hAnsi="Arial" w:cs="Arial"/>
          <w:color w:val="000000"/>
          <w:sz w:val="22"/>
          <w:szCs w:val="22"/>
          <w:lang w:val="en-GB" w:eastAsia="en-GB"/>
        </w:rPr>
        <w:t xml:space="preserv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887F9F"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first go thro</w:t>
      </w:r>
      <w:r w:rsidRPr="00887F9F">
        <w:rPr>
          <w:rFonts w:ascii="Arial" w:hAnsi="Arial" w:cs="Arial"/>
          <w:color w:val="000000"/>
          <w:sz w:val="22"/>
          <w:szCs w:val="22"/>
          <w:lang w:val="en-GB" w:eastAsia="en-GB"/>
        </w:rPr>
        <w:t xml:space="preserve">ugh the troubled stage. Article 77 </w:t>
      </w:r>
      <w:r w:rsidR="0050682B" w:rsidRPr="00887F9F">
        <w:rPr>
          <w:rFonts w:ascii="Arial" w:hAnsi="Arial" w:cs="Arial"/>
          <w:color w:val="000000"/>
          <w:sz w:val="22"/>
          <w:szCs w:val="22"/>
          <w:lang w:val="en-GB" w:eastAsia="en-GB"/>
        </w:rPr>
        <w:t xml:space="preserve">of the </w:t>
      </w:r>
      <w:r w:rsidRPr="00887F9F">
        <w:rPr>
          <w:rFonts w:ascii="Arial" w:hAnsi="Arial" w:cs="Arial"/>
          <w:color w:val="000000"/>
          <w:sz w:val="22"/>
          <w:szCs w:val="22"/>
          <w:lang w:val="en-GB" w:eastAsia="en-GB"/>
        </w:rPr>
        <w:t>LBBA accordingly provides that a bank can be liquidated by the NB directly</w:t>
      </w:r>
      <w:r w:rsidR="00860E61" w:rsidRPr="00887F9F">
        <w:rPr>
          <w:rFonts w:ascii="Arial" w:hAnsi="Arial" w:cs="Arial"/>
          <w:color w:val="000000"/>
          <w:sz w:val="22"/>
          <w:szCs w:val="22"/>
          <w:lang w:val="en-GB" w:eastAsia="en-GB"/>
        </w:rPr>
        <w:t>,</w:t>
      </w:r>
      <w:r w:rsidRPr="00887F9F">
        <w:rPr>
          <w:rFonts w:ascii="Arial" w:hAnsi="Arial" w:cs="Arial"/>
          <w:color w:val="000000"/>
          <w:sz w:val="22"/>
          <w:szCs w:val="22"/>
          <w:lang w:val="en-GB" w:eastAsia="en-GB"/>
        </w:rPr>
        <w:t xml:space="preserve"> revoking its licence.</w:t>
      </w:r>
      <w:bookmarkEnd w:id="16"/>
    </w:p>
    <w:p w14:paraId="61CA2A2B" w14:textId="77777777" w:rsidR="00860E61" w:rsidRPr="00887F9F" w:rsidRDefault="00860E61" w:rsidP="00860E61">
      <w:pPr>
        <w:jc w:val="both"/>
        <w:rPr>
          <w:rFonts w:ascii="Arial" w:hAnsi="Arial" w:cs="Arial"/>
          <w:color w:val="000000"/>
          <w:sz w:val="22"/>
          <w:szCs w:val="22"/>
          <w:lang w:val="en-GB" w:eastAsia="en-GB"/>
        </w:rPr>
      </w:pPr>
    </w:p>
    <w:p w14:paraId="0F37AB01" w14:textId="77777777" w:rsidR="008A7470" w:rsidRPr="00887F9F" w:rsidRDefault="008A7470" w:rsidP="00860E61">
      <w:pPr>
        <w:jc w:val="both"/>
        <w:rPr>
          <w:rFonts w:ascii="Arial" w:hAnsi="Arial" w:cs="Arial"/>
          <w:color w:val="000000"/>
          <w:sz w:val="22"/>
          <w:szCs w:val="22"/>
          <w:lang w:val="en-GB" w:eastAsia="en-GB"/>
        </w:rPr>
      </w:pPr>
      <w:r w:rsidRPr="00887F9F">
        <w:rPr>
          <w:rFonts w:ascii="Arial" w:hAnsi="Arial" w:cs="Arial"/>
          <w:b/>
          <w:bCs/>
          <w:i/>
          <w:iCs/>
          <w:color w:val="000000"/>
          <w:sz w:val="22"/>
          <w:szCs w:val="22"/>
          <w:lang w:val="en-GB" w:eastAsia="en-GB"/>
        </w:rPr>
        <w:t>Provisional administration</w:t>
      </w:r>
    </w:p>
    <w:p w14:paraId="65A80A38" w14:textId="073937C6" w:rsidR="008A7470" w:rsidRPr="00887F9F"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887F9F">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sidRPr="00887F9F">
        <w:rPr>
          <w:rFonts w:ascii="Arial" w:hAnsi="Arial" w:cs="Arial"/>
          <w:color w:val="000000"/>
          <w:sz w:val="22"/>
          <w:szCs w:val="22"/>
          <w:lang w:val="en-GB" w:eastAsia="en-GB"/>
        </w:rPr>
        <w:t>’</w:t>
      </w:r>
      <w:r w:rsidRPr="00887F9F">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887F9F" w:rsidRDefault="008A7470" w:rsidP="00250E19">
      <w:pPr>
        <w:spacing w:before="100" w:beforeAutospacing="1" w:after="100" w:afterAutospacing="1"/>
        <w:jc w:val="both"/>
        <w:rPr>
          <w:rFonts w:ascii="Arial" w:hAnsi="Arial" w:cs="Arial"/>
          <w:color w:val="000000"/>
          <w:sz w:val="22"/>
          <w:szCs w:val="22"/>
          <w:lang w:val="en-GB" w:eastAsia="en-GB"/>
        </w:rPr>
      </w:pPr>
      <w:r w:rsidRPr="00887F9F">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887F9F" w:rsidRDefault="008A7470" w:rsidP="00F81868">
      <w:pPr>
        <w:pStyle w:val="ListParagraph"/>
        <w:numPr>
          <w:ilvl w:val="0"/>
          <w:numId w:val="12"/>
        </w:numPr>
        <w:ind w:left="425" w:hanging="357"/>
        <w:jc w:val="both"/>
        <w:rPr>
          <w:rFonts w:ascii="Arial" w:hAnsi="Arial" w:cs="Arial"/>
          <w:color w:val="000000"/>
          <w:sz w:val="22"/>
          <w:szCs w:val="22"/>
          <w:lang w:val="en-GB" w:eastAsia="en-GB"/>
        </w:rPr>
      </w:pPr>
      <w:proofErr w:type="gramStart"/>
      <w:r w:rsidRPr="00887F9F">
        <w:rPr>
          <w:rFonts w:ascii="Arial" w:hAnsi="Arial" w:cs="Arial"/>
          <w:color w:val="000000"/>
          <w:sz w:val="22"/>
          <w:szCs w:val="22"/>
          <w:lang w:val="en-GB" w:eastAsia="en-GB"/>
        </w:rPr>
        <w:t>the</w:t>
      </w:r>
      <w:proofErr w:type="gramEnd"/>
      <w:r w:rsidRPr="00887F9F">
        <w:rPr>
          <w:rFonts w:ascii="Arial" w:hAnsi="Arial" w:cs="Arial"/>
          <w:color w:val="000000"/>
          <w:sz w:val="22"/>
          <w:szCs w:val="22"/>
          <w:lang w:val="en-GB" w:eastAsia="en-GB"/>
        </w:rPr>
        <w:t xml:space="preserve"> DGF (acting via an authorised officer) begins the process of directly administering the bank</w:t>
      </w:r>
      <w:r w:rsidR="001747C2" w:rsidRPr="00887F9F">
        <w:rPr>
          <w:rFonts w:ascii="Arial" w:hAnsi="Arial" w:cs="Arial"/>
          <w:color w:val="000000"/>
          <w:sz w:val="22"/>
          <w:szCs w:val="22"/>
          <w:lang w:val="en-GB" w:eastAsia="en-GB"/>
        </w:rPr>
        <w:t>’</w:t>
      </w:r>
      <w:r w:rsidRPr="00887F9F">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sidRPr="00887F9F">
        <w:rPr>
          <w:rFonts w:ascii="Arial" w:hAnsi="Arial" w:cs="Arial"/>
          <w:color w:val="000000"/>
          <w:sz w:val="22"/>
          <w:szCs w:val="22"/>
          <w:lang w:val="en-GB" w:eastAsia="en-GB"/>
        </w:rPr>
        <w:t>’</w:t>
      </w:r>
      <w:r w:rsidRPr="00887F9F">
        <w:rPr>
          <w:rFonts w:ascii="Arial" w:hAnsi="Arial" w:cs="Arial"/>
          <w:color w:val="000000"/>
          <w:sz w:val="22"/>
          <w:szCs w:val="22"/>
          <w:lang w:val="en-GB" w:eastAsia="en-GB"/>
        </w:rPr>
        <w:t>s management.</w:t>
      </w:r>
    </w:p>
    <w:p w14:paraId="3400DEFA" w14:textId="77777777" w:rsidR="0066252C" w:rsidRPr="00887F9F" w:rsidRDefault="0066252C" w:rsidP="0066252C">
      <w:pPr>
        <w:jc w:val="both"/>
        <w:rPr>
          <w:rFonts w:ascii="Arial" w:hAnsi="Arial" w:cs="Arial"/>
          <w:color w:val="000000"/>
          <w:sz w:val="22"/>
          <w:szCs w:val="22"/>
          <w:lang w:val="en-GB" w:eastAsia="en-GB"/>
        </w:rPr>
      </w:pPr>
    </w:p>
    <w:p w14:paraId="373ABEEB" w14:textId="1883884D" w:rsidR="008A7470" w:rsidRPr="00887F9F" w:rsidRDefault="008A7470" w:rsidP="00F81868">
      <w:pPr>
        <w:pStyle w:val="ListParagraph"/>
        <w:numPr>
          <w:ilvl w:val="0"/>
          <w:numId w:val="12"/>
        </w:numPr>
        <w:ind w:left="425" w:hanging="357"/>
        <w:jc w:val="both"/>
        <w:rPr>
          <w:rFonts w:ascii="Arial" w:hAnsi="Arial" w:cs="Arial"/>
          <w:color w:val="000000"/>
          <w:sz w:val="22"/>
          <w:szCs w:val="22"/>
          <w:lang w:val="en-GB" w:eastAsia="en-GB"/>
        </w:rPr>
      </w:pPr>
      <w:r w:rsidRPr="00887F9F">
        <w:rPr>
          <w:rFonts w:ascii="Arial" w:hAnsi="Arial" w:cs="Arial"/>
          <w:color w:val="000000"/>
          <w:sz w:val="22"/>
          <w:szCs w:val="22"/>
          <w:lang w:val="en-GB" w:eastAsia="en-GB"/>
        </w:rPr>
        <w:t xml:space="preserve">Article 36(5) establishes a moratorium which prevents, </w:t>
      </w:r>
      <w:r w:rsidRPr="00887F9F">
        <w:rPr>
          <w:rFonts w:ascii="Arial" w:hAnsi="Arial" w:cs="Arial"/>
          <w:i/>
          <w:iCs/>
          <w:color w:val="000000"/>
          <w:sz w:val="22"/>
          <w:szCs w:val="22"/>
          <w:lang w:val="en-GB" w:eastAsia="en-GB"/>
        </w:rPr>
        <w:t>inter alia</w:t>
      </w:r>
      <w:r w:rsidRPr="00887F9F">
        <w:rPr>
          <w:rFonts w:ascii="Arial" w:hAnsi="Arial" w:cs="Arial"/>
          <w:color w:val="000000"/>
          <w:sz w:val="22"/>
          <w:szCs w:val="22"/>
          <w:lang w:val="en-GB" w:eastAsia="en-GB"/>
        </w:rPr>
        <w:t>: the claims of depositors or creditors being satisfied; execution or enforcement against the bank</w:t>
      </w:r>
      <w:r w:rsidR="001747C2" w:rsidRPr="00887F9F">
        <w:rPr>
          <w:rFonts w:ascii="Arial" w:hAnsi="Arial" w:cs="Arial"/>
          <w:color w:val="000000"/>
          <w:sz w:val="22"/>
          <w:szCs w:val="22"/>
          <w:lang w:val="en-GB" w:eastAsia="en-GB"/>
        </w:rPr>
        <w:t>’</w:t>
      </w:r>
      <w:r w:rsidRPr="00887F9F">
        <w:rPr>
          <w:rFonts w:ascii="Arial" w:hAnsi="Arial" w:cs="Arial"/>
          <w:color w:val="000000"/>
          <w:sz w:val="22"/>
          <w:szCs w:val="22"/>
          <w:lang w:val="en-GB" w:eastAsia="en-GB"/>
        </w:rPr>
        <w:t>s assets; encumbrances and restrictions being created over the bank</w:t>
      </w:r>
      <w:r w:rsidR="001747C2" w:rsidRPr="00887F9F">
        <w:rPr>
          <w:rFonts w:ascii="Arial" w:hAnsi="Arial" w:cs="Arial"/>
          <w:color w:val="000000"/>
          <w:sz w:val="22"/>
          <w:szCs w:val="22"/>
          <w:lang w:val="en-GB" w:eastAsia="en-GB"/>
        </w:rPr>
        <w:t>’</w:t>
      </w:r>
      <w:r w:rsidRPr="00887F9F">
        <w:rPr>
          <w:rFonts w:ascii="Arial" w:hAnsi="Arial" w:cs="Arial"/>
          <w:color w:val="000000"/>
          <w:sz w:val="22"/>
          <w:szCs w:val="22"/>
          <w:lang w:val="en-GB" w:eastAsia="en-GB"/>
        </w:rPr>
        <w:t>s property; and interest being charged.</w:t>
      </w:r>
    </w:p>
    <w:p w14:paraId="0D9FD173" w14:textId="77777777" w:rsidR="006A3DF0" w:rsidRPr="00887F9F" w:rsidRDefault="006A3DF0" w:rsidP="006A3DF0">
      <w:pPr>
        <w:jc w:val="both"/>
        <w:rPr>
          <w:rFonts w:ascii="Arial" w:hAnsi="Arial" w:cs="Arial"/>
          <w:color w:val="000000"/>
          <w:sz w:val="22"/>
          <w:szCs w:val="22"/>
          <w:lang w:val="en-GB" w:eastAsia="en-GB"/>
        </w:rPr>
      </w:pPr>
    </w:p>
    <w:p w14:paraId="63BB04C7" w14:textId="77777777" w:rsidR="008A7470" w:rsidRPr="00887F9F" w:rsidRDefault="008A7470" w:rsidP="006A3DF0">
      <w:pPr>
        <w:jc w:val="both"/>
        <w:rPr>
          <w:rFonts w:ascii="Arial" w:hAnsi="Arial" w:cs="Arial"/>
          <w:color w:val="000000"/>
          <w:sz w:val="22"/>
          <w:szCs w:val="22"/>
          <w:lang w:val="en-GB" w:eastAsia="en-GB"/>
        </w:rPr>
      </w:pPr>
      <w:r w:rsidRPr="00887F9F">
        <w:rPr>
          <w:rFonts w:ascii="Arial" w:hAnsi="Arial" w:cs="Arial"/>
          <w:b/>
          <w:bCs/>
          <w:i/>
          <w:iCs/>
          <w:color w:val="000000"/>
          <w:sz w:val="22"/>
          <w:szCs w:val="22"/>
          <w:lang w:val="en-GB" w:eastAsia="en-GB"/>
        </w:rPr>
        <w:t>Liquidation</w:t>
      </w:r>
    </w:p>
    <w:p w14:paraId="5A1B1753" w14:textId="77777777" w:rsidR="0040710D" w:rsidRPr="00887F9F"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887F9F">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sidRPr="00887F9F">
        <w:rPr>
          <w:rFonts w:ascii="Arial" w:hAnsi="Arial" w:cs="Arial"/>
          <w:color w:val="000000"/>
          <w:sz w:val="22"/>
          <w:szCs w:val="22"/>
          <w:lang w:val="en-GB" w:eastAsia="en-GB"/>
        </w:rPr>
        <w:t>’</w:t>
      </w:r>
      <w:r w:rsidRPr="00887F9F">
        <w:rPr>
          <w:rFonts w:ascii="Arial" w:hAnsi="Arial" w:cs="Arial"/>
          <w:color w:val="000000"/>
          <w:sz w:val="22"/>
          <w:szCs w:val="22"/>
          <w:lang w:val="en-GB" w:eastAsia="en-GB"/>
        </w:rPr>
        <w:t>s decision to revoke the bank</w:t>
      </w:r>
      <w:r w:rsidR="001747C2" w:rsidRPr="00887F9F">
        <w:rPr>
          <w:rFonts w:ascii="Arial" w:hAnsi="Arial" w:cs="Arial"/>
          <w:color w:val="000000"/>
          <w:sz w:val="22"/>
          <w:szCs w:val="22"/>
          <w:lang w:val="en-GB" w:eastAsia="en-GB"/>
        </w:rPr>
        <w:t>’</w:t>
      </w:r>
      <w:r w:rsidRPr="00887F9F">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887F9F"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licence. At that </w:t>
      </w:r>
      <w:r w:rsidRPr="00887F9F">
        <w:rPr>
          <w:rFonts w:ascii="Arial" w:hAnsi="Arial" w:cs="Arial"/>
          <w:color w:val="000000"/>
          <w:sz w:val="22"/>
          <w:szCs w:val="22"/>
          <w:lang w:val="en-GB" w:eastAsia="en-GB"/>
        </w:rPr>
        <w:t>point, the DGF acquires the full powers of a liquidator under the law of Country A.</w:t>
      </w:r>
      <w:bookmarkStart w:id="21" w:name="para34"/>
      <w:bookmarkEnd w:id="20"/>
    </w:p>
    <w:p w14:paraId="7E750B32" w14:textId="77777777" w:rsidR="0040710D" w:rsidRPr="00887F9F" w:rsidRDefault="0040710D" w:rsidP="0040710D">
      <w:pPr>
        <w:jc w:val="both"/>
        <w:rPr>
          <w:rFonts w:ascii="Arial" w:hAnsi="Arial" w:cs="Arial"/>
          <w:color w:val="000000"/>
          <w:sz w:val="22"/>
          <w:szCs w:val="22"/>
          <w:lang w:val="en-GB" w:eastAsia="en-GB"/>
        </w:rPr>
      </w:pPr>
    </w:p>
    <w:p w14:paraId="7123CDC6" w14:textId="2E34B048" w:rsidR="008A7470" w:rsidRPr="00887F9F" w:rsidRDefault="008A7470" w:rsidP="0040710D">
      <w:pPr>
        <w:jc w:val="both"/>
        <w:rPr>
          <w:rFonts w:ascii="Arial" w:hAnsi="Arial" w:cs="Arial"/>
          <w:color w:val="000000"/>
          <w:sz w:val="22"/>
          <w:szCs w:val="22"/>
          <w:lang w:val="en-GB" w:eastAsia="en-GB"/>
        </w:rPr>
      </w:pPr>
      <w:r w:rsidRPr="00887F9F">
        <w:rPr>
          <w:rFonts w:ascii="Arial" w:hAnsi="Arial" w:cs="Arial"/>
          <w:color w:val="000000"/>
          <w:sz w:val="22"/>
          <w:szCs w:val="22"/>
          <w:lang w:val="en-GB" w:eastAsia="en-GB"/>
        </w:rPr>
        <w:t>When the bank enters liquidation, all powers of the bank</w:t>
      </w:r>
      <w:r w:rsidR="001747C2" w:rsidRPr="00887F9F">
        <w:rPr>
          <w:rFonts w:ascii="Arial" w:hAnsi="Arial" w:cs="Arial"/>
          <w:color w:val="000000"/>
          <w:sz w:val="22"/>
          <w:szCs w:val="22"/>
          <w:lang w:val="en-GB" w:eastAsia="en-GB"/>
        </w:rPr>
        <w:t>’</w:t>
      </w:r>
      <w:r w:rsidRPr="00887F9F">
        <w:rPr>
          <w:rFonts w:ascii="Arial" w:hAnsi="Arial" w:cs="Arial"/>
          <w:color w:val="000000"/>
          <w:sz w:val="22"/>
          <w:szCs w:val="22"/>
          <w:lang w:val="en-GB" w:eastAsia="en-GB"/>
        </w:rPr>
        <w:t>s management and control bodies are terminated (as are the provisional administrators</w:t>
      </w:r>
      <w:r w:rsidR="001747C2" w:rsidRPr="00887F9F">
        <w:rPr>
          <w:rFonts w:ascii="Arial" w:hAnsi="Arial" w:cs="Arial"/>
          <w:color w:val="000000"/>
          <w:sz w:val="22"/>
          <w:szCs w:val="22"/>
          <w:lang w:val="en-GB" w:eastAsia="en-GB"/>
        </w:rPr>
        <w:t>’</w:t>
      </w:r>
      <w:r w:rsidRPr="00887F9F">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887F9F">
        <w:rPr>
          <w:rFonts w:ascii="Arial" w:hAnsi="Arial" w:cs="Arial"/>
          <w:color w:val="000000"/>
          <w:sz w:val="22"/>
          <w:szCs w:val="22"/>
          <w:lang w:val="en-GB" w:eastAsia="en-GB"/>
        </w:rPr>
        <w:t>,</w:t>
      </w:r>
      <w:r w:rsidRPr="00887F9F">
        <w:rPr>
          <w:rFonts w:ascii="Arial" w:hAnsi="Arial" w:cs="Arial"/>
          <w:color w:val="000000"/>
          <w:sz w:val="22"/>
          <w:szCs w:val="22"/>
          <w:lang w:val="en-GB" w:eastAsia="en-GB"/>
        </w:rPr>
        <w:t xml:space="preserve"> among other things, the DGF alienates the bank</w:t>
      </w:r>
      <w:r w:rsidR="001747C2" w:rsidRPr="00887F9F">
        <w:rPr>
          <w:rFonts w:ascii="Arial" w:hAnsi="Arial" w:cs="Arial"/>
          <w:color w:val="000000"/>
          <w:sz w:val="22"/>
          <w:szCs w:val="22"/>
          <w:lang w:val="en-GB" w:eastAsia="en-GB"/>
        </w:rPr>
        <w:t>’</w:t>
      </w:r>
      <w:r w:rsidRPr="00887F9F">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2" w:name="para35"/>
      <w:bookmarkEnd w:id="21"/>
    </w:p>
    <w:p w14:paraId="790F8DAA" w14:textId="77777777" w:rsidR="0040710D" w:rsidRPr="00887F9F" w:rsidRDefault="0040710D" w:rsidP="0040710D">
      <w:pPr>
        <w:jc w:val="both"/>
        <w:rPr>
          <w:rFonts w:ascii="Arial" w:hAnsi="Arial" w:cs="Arial"/>
          <w:color w:val="000000"/>
          <w:sz w:val="22"/>
          <w:szCs w:val="22"/>
          <w:lang w:val="en-GB" w:eastAsia="en-GB"/>
        </w:rPr>
      </w:pPr>
    </w:p>
    <w:p w14:paraId="059A0704" w14:textId="6FB16D2E" w:rsidR="008A7470" w:rsidRPr="00887F9F" w:rsidRDefault="008A7470" w:rsidP="0040710D">
      <w:pPr>
        <w:jc w:val="both"/>
        <w:rPr>
          <w:rFonts w:ascii="Arial" w:hAnsi="Arial" w:cs="Arial"/>
          <w:color w:val="000000"/>
          <w:sz w:val="22"/>
          <w:szCs w:val="22"/>
          <w:lang w:val="en-GB" w:eastAsia="en-GB"/>
        </w:rPr>
      </w:pPr>
      <w:r w:rsidRPr="00887F9F">
        <w:rPr>
          <w:rFonts w:ascii="Arial" w:hAnsi="Arial" w:cs="Arial"/>
          <w:color w:val="000000"/>
          <w:sz w:val="22"/>
          <w:szCs w:val="22"/>
          <w:lang w:val="en-GB" w:eastAsia="en-GB"/>
        </w:rPr>
        <w:t>As liquidator, the DGF has extensive powers, including the power to investigate the bank</w:t>
      </w:r>
      <w:r w:rsidR="001747C2" w:rsidRPr="00887F9F">
        <w:rPr>
          <w:rFonts w:ascii="Arial" w:hAnsi="Arial" w:cs="Arial"/>
          <w:color w:val="000000"/>
          <w:sz w:val="22"/>
          <w:szCs w:val="22"/>
          <w:lang w:val="en-GB" w:eastAsia="en-GB"/>
        </w:rPr>
        <w:t>’</w:t>
      </w:r>
      <w:r w:rsidRPr="00887F9F">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887F9F"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F81868">
      <w:pPr>
        <w:pStyle w:val="ListParagraph"/>
        <w:numPr>
          <w:ilvl w:val="0"/>
          <w:numId w:val="13"/>
        </w:numPr>
        <w:ind w:left="426" w:hanging="357"/>
        <w:jc w:val="both"/>
        <w:rPr>
          <w:rFonts w:ascii="Arial" w:hAnsi="Arial" w:cs="Arial"/>
          <w:color w:val="000000"/>
          <w:sz w:val="22"/>
          <w:szCs w:val="22"/>
          <w:lang w:val="en-GB" w:eastAsia="en-GB"/>
        </w:rPr>
      </w:pPr>
      <w:r w:rsidRPr="00887F9F">
        <w:rPr>
          <w:rFonts w:ascii="Arial" w:hAnsi="Arial" w:cs="Arial"/>
          <w:color w:val="000000"/>
          <w:sz w:val="22"/>
          <w:szCs w:val="22"/>
          <w:lang w:val="en-GB" w:eastAsia="en-GB"/>
        </w:rPr>
        <w:t>the power to exercise management</w:t>
      </w:r>
      <w:r w:rsidRPr="009B5832">
        <w:rPr>
          <w:rFonts w:ascii="Arial" w:hAnsi="Arial" w:cs="Arial"/>
          <w:color w:val="000000"/>
          <w:sz w:val="22"/>
          <w:szCs w:val="22"/>
          <w:lang w:val="en-GB" w:eastAsia="en-GB"/>
        </w:rPr>
        <w:t xml:space="preserve">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F81868">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F81868">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F81868">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F81868">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F81868">
      <w:pPr>
        <w:pStyle w:val="ListParagraph"/>
        <w:numPr>
          <w:ilvl w:val="0"/>
          <w:numId w:val="13"/>
        </w:numPr>
        <w:ind w:left="426" w:hanging="357"/>
        <w:jc w:val="both"/>
        <w:rPr>
          <w:rFonts w:ascii="Arial" w:hAnsi="Arial" w:cs="Arial"/>
          <w:color w:val="000000"/>
          <w:sz w:val="22"/>
          <w:szCs w:val="22"/>
          <w:lang w:val="en-GB" w:eastAsia="en-GB"/>
        </w:rPr>
      </w:pPr>
      <w:proofErr w:type="gramStart"/>
      <w:r w:rsidRPr="009B5832">
        <w:rPr>
          <w:rFonts w:ascii="Arial" w:hAnsi="Arial" w:cs="Arial"/>
          <w:color w:val="000000"/>
          <w:sz w:val="22"/>
          <w:szCs w:val="22"/>
          <w:lang w:val="en-GB" w:eastAsia="en-GB"/>
        </w:rPr>
        <w:t>the</w:t>
      </w:r>
      <w:proofErr w:type="gramEnd"/>
      <w:r w:rsidRPr="009B5832">
        <w:rPr>
          <w:rFonts w:ascii="Arial" w:hAnsi="Arial" w:cs="Arial"/>
          <w:color w:val="000000"/>
          <w:sz w:val="22"/>
          <w:szCs w:val="22"/>
          <w:lang w:val="en-GB" w:eastAsia="en-GB"/>
        </w:rPr>
        <w:t xml:space="preserv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887F9F"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 xml:space="preserve">The DGF also has powers of sale, distribution and the power to bring claims for compensation against persons </w:t>
      </w:r>
      <w:r w:rsidRPr="00887F9F">
        <w:rPr>
          <w:rFonts w:ascii="Arial" w:hAnsi="Arial" w:cs="Arial"/>
          <w:color w:val="000000"/>
          <w:sz w:val="22"/>
          <w:szCs w:val="22"/>
          <w:lang w:val="en-GB" w:eastAsia="en-GB"/>
        </w:rPr>
        <w:t>for harm inflicted on the insolvent bank.</w:t>
      </w:r>
      <w:bookmarkEnd w:id="23"/>
    </w:p>
    <w:p w14:paraId="1D223300" w14:textId="77777777" w:rsidR="006B4FFC" w:rsidRPr="00887F9F" w:rsidRDefault="006B4FFC" w:rsidP="006B4FFC">
      <w:pPr>
        <w:jc w:val="both"/>
        <w:rPr>
          <w:rFonts w:ascii="Arial" w:hAnsi="Arial" w:cs="Arial"/>
          <w:color w:val="000000"/>
          <w:sz w:val="22"/>
          <w:szCs w:val="22"/>
          <w:lang w:val="en-GB" w:eastAsia="en-GB"/>
        </w:rPr>
      </w:pPr>
    </w:p>
    <w:p w14:paraId="09753855" w14:textId="18CD7372" w:rsidR="008A7470" w:rsidRPr="00887F9F" w:rsidRDefault="008A7470" w:rsidP="006B4FFC">
      <w:pPr>
        <w:jc w:val="both"/>
        <w:rPr>
          <w:rFonts w:ascii="Arial" w:hAnsi="Arial" w:cs="Arial"/>
          <w:color w:val="000000"/>
          <w:sz w:val="22"/>
          <w:szCs w:val="22"/>
          <w:lang w:val="en-GB" w:eastAsia="en-GB"/>
        </w:rPr>
      </w:pPr>
      <w:r w:rsidRPr="00887F9F">
        <w:rPr>
          <w:rFonts w:ascii="Arial" w:hAnsi="Arial" w:cs="Arial"/>
          <w:color w:val="000000"/>
          <w:sz w:val="22"/>
          <w:szCs w:val="22"/>
          <w:lang w:val="en-GB" w:eastAsia="en-GB"/>
        </w:rPr>
        <w:t xml:space="preserve">However, article 48(3) of the DGF Law empowers the DGF to delegate its powers to an </w:t>
      </w:r>
      <w:r w:rsidR="001747C2" w:rsidRPr="00887F9F">
        <w:rPr>
          <w:rFonts w:ascii="Arial" w:hAnsi="Arial" w:cs="Arial"/>
          <w:color w:val="000000"/>
          <w:sz w:val="22"/>
          <w:szCs w:val="22"/>
          <w:lang w:val="en-GB" w:eastAsia="en-GB"/>
        </w:rPr>
        <w:t>“</w:t>
      </w:r>
      <w:r w:rsidRPr="00887F9F">
        <w:rPr>
          <w:rFonts w:ascii="Arial" w:hAnsi="Arial" w:cs="Arial"/>
          <w:color w:val="000000"/>
          <w:sz w:val="22"/>
          <w:szCs w:val="22"/>
          <w:lang w:val="en-GB" w:eastAsia="en-GB"/>
        </w:rPr>
        <w:t>authorised officer</w:t>
      </w:r>
      <w:r w:rsidR="001747C2" w:rsidRPr="00887F9F">
        <w:rPr>
          <w:rFonts w:ascii="Arial" w:hAnsi="Arial" w:cs="Arial"/>
          <w:color w:val="000000"/>
          <w:sz w:val="22"/>
          <w:szCs w:val="22"/>
          <w:lang w:val="en-GB" w:eastAsia="en-GB"/>
        </w:rPr>
        <w:t>”</w:t>
      </w:r>
      <w:r w:rsidRPr="00887F9F">
        <w:rPr>
          <w:rFonts w:ascii="Arial" w:hAnsi="Arial" w:cs="Arial"/>
          <w:color w:val="000000"/>
          <w:sz w:val="22"/>
          <w:szCs w:val="22"/>
          <w:lang w:val="en-GB" w:eastAsia="en-GB"/>
        </w:rPr>
        <w:t xml:space="preserve"> or </w:t>
      </w:r>
      <w:r w:rsidR="001747C2" w:rsidRPr="00887F9F">
        <w:rPr>
          <w:rFonts w:ascii="Arial" w:hAnsi="Arial" w:cs="Arial"/>
          <w:color w:val="000000"/>
          <w:sz w:val="22"/>
          <w:szCs w:val="22"/>
          <w:lang w:val="en-GB" w:eastAsia="en-GB"/>
        </w:rPr>
        <w:t>“</w:t>
      </w:r>
      <w:r w:rsidRPr="00887F9F">
        <w:rPr>
          <w:rFonts w:ascii="Arial" w:hAnsi="Arial" w:cs="Arial"/>
          <w:color w:val="000000"/>
          <w:sz w:val="22"/>
          <w:szCs w:val="22"/>
          <w:lang w:val="en-GB" w:eastAsia="en-GB"/>
        </w:rPr>
        <w:t>authorised person</w:t>
      </w:r>
      <w:r w:rsidR="001747C2" w:rsidRPr="00887F9F">
        <w:rPr>
          <w:rFonts w:ascii="Arial" w:hAnsi="Arial" w:cs="Arial"/>
          <w:color w:val="000000"/>
          <w:sz w:val="22"/>
          <w:szCs w:val="22"/>
          <w:lang w:val="en-GB" w:eastAsia="en-GB"/>
        </w:rPr>
        <w:t>”</w:t>
      </w:r>
      <w:r w:rsidRPr="00887F9F">
        <w:rPr>
          <w:rFonts w:ascii="Arial" w:hAnsi="Arial" w:cs="Arial"/>
          <w:color w:val="000000"/>
          <w:sz w:val="22"/>
          <w:szCs w:val="22"/>
          <w:lang w:val="en-GB" w:eastAsia="en-GB"/>
        </w:rPr>
        <w:t xml:space="preserve">. The </w:t>
      </w:r>
      <w:r w:rsidR="001747C2" w:rsidRPr="00887F9F">
        <w:rPr>
          <w:rFonts w:ascii="Arial" w:hAnsi="Arial" w:cs="Arial"/>
          <w:color w:val="000000"/>
          <w:sz w:val="22"/>
          <w:szCs w:val="22"/>
          <w:lang w:val="en-GB" w:eastAsia="en-GB"/>
        </w:rPr>
        <w:t>“</w:t>
      </w:r>
      <w:r w:rsidRPr="00887F9F">
        <w:rPr>
          <w:rFonts w:ascii="Arial" w:hAnsi="Arial" w:cs="Arial"/>
          <w:color w:val="000000"/>
          <w:sz w:val="22"/>
          <w:szCs w:val="22"/>
          <w:lang w:val="en-GB" w:eastAsia="en-GB"/>
        </w:rPr>
        <w:t>Fund</w:t>
      </w:r>
      <w:r w:rsidR="001747C2" w:rsidRPr="00887F9F">
        <w:rPr>
          <w:rFonts w:ascii="Arial" w:hAnsi="Arial" w:cs="Arial"/>
          <w:color w:val="000000"/>
          <w:sz w:val="22"/>
          <w:szCs w:val="22"/>
          <w:lang w:val="en-GB" w:eastAsia="en-GB"/>
        </w:rPr>
        <w:t>’</w:t>
      </w:r>
      <w:r w:rsidRPr="00887F9F">
        <w:rPr>
          <w:rFonts w:ascii="Arial" w:hAnsi="Arial" w:cs="Arial"/>
          <w:color w:val="000000"/>
          <w:sz w:val="22"/>
          <w:szCs w:val="22"/>
          <w:lang w:val="en-GB" w:eastAsia="en-GB"/>
        </w:rPr>
        <w:t>s authorised person</w:t>
      </w:r>
      <w:r w:rsidR="001747C2" w:rsidRPr="00887F9F">
        <w:rPr>
          <w:rFonts w:ascii="Arial" w:hAnsi="Arial" w:cs="Arial"/>
          <w:color w:val="000000"/>
          <w:sz w:val="22"/>
          <w:szCs w:val="22"/>
          <w:lang w:val="en-GB" w:eastAsia="en-GB"/>
        </w:rPr>
        <w:t>”</w:t>
      </w:r>
      <w:r w:rsidRPr="00887F9F">
        <w:rPr>
          <w:rFonts w:ascii="Arial" w:hAnsi="Arial" w:cs="Arial"/>
          <w:color w:val="000000"/>
          <w:sz w:val="22"/>
          <w:szCs w:val="22"/>
          <w:lang w:val="en-GB" w:eastAsia="en-GB"/>
        </w:rPr>
        <w:t xml:space="preserve"> is defined by article 2(1</w:t>
      </w:r>
      <w:proofErr w:type="gramStart"/>
      <w:r w:rsidRPr="00887F9F">
        <w:rPr>
          <w:rFonts w:ascii="Arial" w:hAnsi="Arial" w:cs="Arial"/>
          <w:color w:val="000000"/>
          <w:sz w:val="22"/>
          <w:szCs w:val="22"/>
          <w:lang w:val="en-GB" w:eastAsia="en-GB"/>
        </w:rPr>
        <w:t>)(</w:t>
      </w:r>
      <w:proofErr w:type="gramEnd"/>
      <w:r w:rsidRPr="00887F9F">
        <w:rPr>
          <w:rFonts w:ascii="Arial" w:hAnsi="Arial" w:cs="Arial"/>
          <w:color w:val="000000"/>
          <w:sz w:val="22"/>
          <w:szCs w:val="22"/>
          <w:lang w:val="en-GB" w:eastAsia="en-GB"/>
        </w:rPr>
        <w:t xml:space="preserve">17) of the DGF </w:t>
      </w:r>
      <w:r w:rsidR="00DC45F4" w:rsidRPr="00887F9F">
        <w:rPr>
          <w:rFonts w:ascii="Arial" w:hAnsi="Arial" w:cs="Arial"/>
          <w:color w:val="000000"/>
          <w:sz w:val="22"/>
          <w:szCs w:val="22"/>
          <w:lang w:val="en-GB" w:eastAsia="en-GB"/>
        </w:rPr>
        <w:t>L</w:t>
      </w:r>
      <w:r w:rsidRPr="00887F9F">
        <w:rPr>
          <w:rFonts w:ascii="Arial" w:hAnsi="Arial" w:cs="Arial"/>
          <w:color w:val="000000"/>
          <w:sz w:val="22"/>
          <w:szCs w:val="22"/>
          <w:lang w:val="en-GB" w:eastAsia="en-GB"/>
        </w:rPr>
        <w:t xml:space="preserve">aw as: </w:t>
      </w:r>
      <w:r w:rsidR="001747C2" w:rsidRPr="00887F9F">
        <w:rPr>
          <w:rFonts w:ascii="Arial" w:hAnsi="Arial" w:cs="Arial"/>
          <w:i/>
          <w:iCs/>
          <w:color w:val="000000"/>
          <w:sz w:val="22"/>
          <w:szCs w:val="22"/>
          <w:lang w:val="en-GB" w:eastAsia="en-GB"/>
        </w:rPr>
        <w:t>“</w:t>
      </w:r>
      <w:r w:rsidRPr="00887F9F">
        <w:rPr>
          <w:rFonts w:ascii="Arial" w:hAnsi="Arial" w:cs="Arial"/>
          <w:i/>
          <w:iCs/>
          <w:color w:val="000000"/>
          <w:sz w:val="22"/>
          <w:szCs w:val="22"/>
          <w:lang w:val="en-GB" w:eastAsia="en-GB"/>
        </w:rPr>
        <w:t>an employee of the Fund, who on behalf of the Fund and within the powers provided for by this Law and</w:t>
      </w:r>
      <w:r w:rsidR="003427B9" w:rsidRPr="00887F9F">
        <w:rPr>
          <w:rFonts w:ascii="Arial" w:hAnsi="Arial" w:cs="Arial"/>
          <w:i/>
          <w:iCs/>
          <w:color w:val="000000"/>
          <w:sz w:val="22"/>
          <w:szCs w:val="22"/>
          <w:lang w:val="en-GB" w:eastAsia="en-GB"/>
        </w:rPr>
        <w:t xml:space="preserve"> </w:t>
      </w:r>
      <w:r w:rsidRPr="00887F9F">
        <w:rPr>
          <w:rFonts w:ascii="Arial" w:hAnsi="Arial" w:cs="Arial"/>
          <w:i/>
          <w:iCs/>
          <w:color w:val="000000"/>
          <w:sz w:val="22"/>
          <w:szCs w:val="22"/>
          <w:lang w:val="en-GB" w:eastAsia="en-GB"/>
        </w:rPr>
        <w:t>/</w:t>
      </w:r>
      <w:r w:rsidR="003427B9" w:rsidRPr="00887F9F">
        <w:rPr>
          <w:rFonts w:ascii="Arial" w:hAnsi="Arial" w:cs="Arial"/>
          <w:i/>
          <w:iCs/>
          <w:color w:val="000000"/>
          <w:sz w:val="22"/>
          <w:szCs w:val="22"/>
          <w:lang w:val="en-GB" w:eastAsia="en-GB"/>
        </w:rPr>
        <w:t xml:space="preserve"> </w:t>
      </w:r>
      <w:r w:rsidRPr="00887F9F">
        <w:rPr>
          <w:rFonts w:ascii="Arial" w:hAnsi="Arial" w:cs="Arial"/>
          <w:i/>
          <w:iCs/>
          <w:color w:val="000000"/>
          <w:sz w:val="22"/>
          <w:szCs w:val="22"/>
          <w:lang w:val="en-GB" w:eastAsia="en-GB"/>
        </w:rPr>
        <w:t>or delegated by the Fund, performs actions to ensure the bank</w:t>
      </w:r>
      <w:r w:rsidR="001747C2" w:rsidRPr="00887F9F">
        <w:rPr>
          <w:rFonts w:ascii="Arial" w:hAnsi="Arial" w:cs="Arial"/>
          <w:i/>
          <w:iCs/>
          <w:color w:val="000000"/>
          <w:sz w:val="22"/>
          <w:szCs w:val="22"/>
          <w:lang w:val="en-GB" w:eastAsia="en-GB"/>
        </w:rPr>
        <w:t>’</w:t>
      </w:r>
      <w:r w:rsidRPr="00887F9F">
        <w:rPr>
          <w:rFonts w:ascii="Arial" w:hAnsi="Arial" w:cs="Arial"/>
          <w:i/>
          <w:iCs/>
          <w:color w:val="000000"/>
          <w:sz w:val="22"/>
          <w:szCs w:val="22"/>
          <w:lang w:val="en-GB" w:eastAsia="en-GB"/>
        </w:rPr>
        <w:t>s withdrawal from the market during provisional administration of the insolvent bank and/or bank liquidation</w:t>
      </w:r>
      <w:r w:rsidR="001747C2" w:rsidRPr="00887F9F">
        <w:rPr>
          <w:rFonts w:ascii="Arial" w:hAnsi="Arial" w:cs="Arial"/>
          <w:i/>
          <w:iCs/>
          <w:color w:val="000000"/>
          <w:sz w:val="22"/>
          <w:szCs w:val="22"/>
          <w:lang w:val="en-GB" w:eastAsia="en-GB"/>
        </w:rPr>
        <w:t>”</w:t>
      </w:r>
      <w:r w:rsidRPr="00887F9F">
        <w:rPr>
          <w:rFonts w:ascii="Arial" w:hAnsi="Arial" w:cs="Arial"/>
          <w:color w:val="000000"/>
          <w:sz w:val="22"/>
          <w:szCs w:val="22"/>
          <w:lang w:val="en-GB" w:eastAsia="en-GB"/>
        </w:rPr>
        <w:t>.</w:t>
      </w:r>
    </w:p>
    <w:p w14:paraId="53D09A8A" w14:textId="77777777" w:rsidR="006B4FFC" w:rsidRPr="00887F9F" w:rsidRDefault="006B4FFC" w:rsidP="006B4FFC">
      <w:pPr>
        <w:jc w:val="both"/>
        <w:rPr>
          <w:rFonts w:ascii="Arial" w:hAnsi="Arial" w:cs="Arial"/>
          <w:color w:val="000000"/>
          <w:sz w:val="22"/>
          <w:szCs w:val="22"/>
          <w:lang w:val="en-GB" w:eastAsia="en-GB"/>
        </w:rPr>
      </w:pPr>
    </w:p>
    <w:p w14:paraId="70FEDB89" w14:textId="025B0FAF" w:rsidR="008A7470" w:rsidRPr="00887F9F" w:rsidRDefault="008A7470" w:rsidP="006B4FFC">
      <w:pPr>
        <w:jc w:val="both"/>
        <w:rPr>
          <w:rFonts w:ascii="Arial" w:hAnsi="Arial" w:cs="Arial"/>
          <w:color w:val="000000"/>
          <w:sz w:val="22"/>
          <w:szCs w:val="22"/>
          <w:lang w:val="en-GB" w:eastAsia="en-GB"/>
        </w:rPr>
      </w:pPr>
      <w:r w:rsidRPr="00887F9F">
        <w:rPr>
          <w:rFonts w:ascii="Arial" w:hAnsi="Arial" w:cs="Arial"/>
          <w:color w:val="000000"/>
          <w:sz w:val="22"/>
          <w:szCs w:val="22"/>
          <w:lang w:val="en-GB" w:eastAsia="en-GB"/>
        </w:rPr>
        <w:t xml:space="preserve">Article 35(1) of the DGF Law specifies that an authorised person, must have: </w:t>
      </w:r>
      <w:r w:rsidR="001747C2" w:rsidRPr="00887F9F">
        <w:rPr>
          <w:rFonts w:ascii="Arial" w:hAnsi="Arial" w:cs="Arial"/>
          <w:color w:val="000000"/>
          <w:sz w:val="22"/>
          <w:szCs w:val="22"/>
          <w:lang w:val="en-GB" w:eastAsia="en-GB"/>
        </w:rPr>
        <w:t>“</w:t>
      </w:r>
      <w:r w:rsidRPr="00887F9F">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sidRPr="00887F9F">
        <w:rPr>
          <w:rFonts w:ascii="Arial" w:hAnsi="Arial" w:cs="Arial"/>
          <w:color w:val="000000"/>
          <w:sz w:val="22"/>
          <w:szCs w:val="22"/>
          <w:lang w:val="en-GB" w:eastAsia="en-GB"/>
        </w:rPr>
        <w:t>”</w:t>
      </w:r>
      <w:r w:rsidRPr="00887F9F">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sidRPr="00887F9F">
        <w:rPr>
          <w:rFonts w:ascii="Arial" w:hAnsi="Arial" w:cs="Arial"/>
          <w:color w:val="000000"/>
          <w:sz w:val="22"/>
          <w:szCs w:val="22"/>
          <w:lang w:val="en-GB" w:eastAsia="en-GB"/>
        </w:rPr>
        <w:t>’</w:t>
      </w:r>
      <w:r w:rsidRPr="00887F9F">
        <w:rPr>
          <w:rFonts w:ascii="Arial" w:hAnsi="Arial" w:cs="Arial"/>
          <w:color w:val="000000"/>
          <w:sz w:val="22"/>
          <w:szCs w:val="22"/>
          <w:lang w:val="en-GB" w:eastAsia="en-GB"/>
        </w:rPr>
        <w:t>s liquidation.</w:t>
      </w:r>
    </w:p>
    <w:p w14:paraId="325E25A4" w14:textId="77777777" w:rsidR="006B4FFC" w:rsidRPr="00887F9F"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887F9F">
        <w:rPr>
          <w:rFonts w:ascii="Arial" w:hAnsi="Arial" w:cs="Arial"/>
          <w:color w:val="000000"/>
          <w:sz w:val="22"/>
          <w:szCs w:val="22"/>
          <w:lang w:val="en-GB" w:eastAsia="en-GB"/>
        </w:rPr>
        <w:t>The DGF</w:t>
      </w:r>
      <w:r w:rsidR="001747C2" w:rsidRPr="00887F9F">
        <w:rPr>
          <w:rFonts w:ascii="Arial" w:hAnsi="Arial" w:cs="Arial"/>
          <w:color w:val="000000"/>
          <w:sz w:val="22"/>
          <w:szCs w:val="22"/>
          <w:lang w:val="en-GB" w:eastAsia="en-GB"/>
        </w:rPr>
        <w:t>’</w:t>
      </w:r>
      <w:r w:rsidRPr="00887F9F">
        <w:rPr>
          <w:rFonts w:ascii="Arial" w:hAnsi="Arial" w:cs="Arial"/>
          <w:color w:val="000000"/>
          <w:sz w:val="22"/>
          <w:szCs w:val="22"/>
          <w:lang w:val="en-GB" w:eastAsia="en-GB"/>
        </w:rPr>
        <w:t>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w:t>
      </w:r>
      <w:r w:rsidRPr="009B5832">
        <w:rPr>
          <w:rFonts w:ascii="Arial" w:hAnsi="Arial" w:cs="Arial"/>
          <w:color w:val="000000"/>
          <w:sz w:val="22"/>
          <w:szCs w:val="22"/>
          <w:lang w:val="en-GB" w:eastAsia="en-GB"/>
        </w:rPr>
        <w:t xml:space="preserve">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w:t>
      </w:r>
      <w:r w:rsidRPr="009B5832">
        <w:rPr>
          <w:rFonts w:ascii="Arial" w:hAnsi="Arial" w:cs="Arial"/>
          <w:color w:val="000000"/>
          <w:sz w:val="22"/>
          <w:szCs w:val="22"/>
          <w:lang w:val="en-GB" w:eastAsia="en-GB"/>
        </w:rPr>
        <w:lastRenderedPageBreak/>
        <w:t>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F81868">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F81868">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F81868">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F81868">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F81868">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887F9F"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financial position had </w:t>
      </w:r>
      <w:r w:rsidRPr="00887F9F">
        <w:rPr>
          <w:rFonts w:ascii="Arial" w:hAnsi="Arial" w:cs="Arial"/>
          <w:color w:val="000000"/>
          <w:sz w:val="22"/>
          <w:szCs w:val="22"/>
          <w:lang w:val="en-GB" w:eastAsia="en-GB"/>
        </w:rPr>
        <w:t>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887F9F" w:rsidRDefault="00424D07" w:rsidP="00424D07">
      <w:pPr>
        <w:jc w:val="both"/>
        <w:rPr>
          <w:rFonts w:ascii="Arial" w:hAnsi="Arial" w:cs="Arial"/>
          <w:color w:val="000000"/>
          <w:sz w:val="22"/>
          <w:szCs w:val="22"/>
          <w:lang w:val="en-GB" w:eastAsia="en-GB"/>
        </w:rPr>
      </w:pPr>
    </w:p>
    <w:p w14:paraId="7E962B78" w14:textId="37A582BE" w:rsidR="008A7470" w:rsidRPr="00887F9F" w:rsidRDefault="008A7470" w:rsidP="00424D07">
      <w:pPr>
        <w:jc w:val="both"/>
        <w:rPr>
          <w:rFonts w:ascii="Arial" w:hAnsi="Arial" w:cs="Arial"/>
          <w:color w:val="000000"/>
          <w:sz w:val="22"/>
          <w:szCs w:val="22"/>
          <w:lang w:val="en-GB" w:eastAsia="en-GB"/>
        </w:rPr>
      </w:pPr>
      <w:r w:rsidRPr="00887F9F">
        <w:rPr>
          <w:rFonts w:ascii="Arial" w:hAnsi="Arial" w:cs="Arial"/>
          <w:color w:val="000000"/>
          <w:sz w:val="22"/>
          <w:szCs w:val="22"/>
          <w:lang w:val="en-GB" w:eastAsia="en-GB"/>
        </w:rPr>
        <w:t>Three months later, on 17 December 2015, the NB formally revoked the Bank</w:t>
      </w:r>
      <w:r w:rsidR="001747C2" w:rsidRPr="00887F9F">
        <w:rPr>
          <w:rFonts w:ascii="Arial" w:hAnsi="Arial" w:cs="Arial"/>
          <w:color w:val="000000"/>
          <w:sz w:val="22"/>
          <w:szCs w:val="22"/>
          <w:lang w:val="en-GB" w:eastAsia="en-GB"/>
        </w:rPr>
        <w:t>’</w:t>
      </w:r>
      <w:r w:rsidRPr="00887F9F">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sidRPr="00887F9F">
        <w:rPr>
          <w:rFonts w:ascii="Arial" w:hAnsi="Arial" w:cs="Arial"/>
          <w:color w:val="000000"/>
          <w:sz w:val="22"/>
          <w:szCs w:val="22"/>
          <w:lang w:val="en-GB" w:eastAsia="en-GB"/>
        </w:rPr>
        <w:t>’</w:t>
      </w:r>
      <w:r w:rsidRPr="00887F9F">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887F9F" w:rsidRDefault="00424D07" w:rsidP="00424D07">
      <w:pPr>
        <w:jc w:val="both"/>
        <w:rPr>
          <w:rFonts w:ascii="Arial" w:hAnsi="Arial" w:cs="Arial"/>
          <w:color w:val="000000"/>
          <w:sz w:val="22"/>
          <w:szCs w:val="22"/>
          <w:lang w:val="en-GB" w:eastAsia="en-GB"/>
        </w:rPr>
      </w:pPr>
    </w:p>
    <w:p w14:paraId="620E9B3E" w14:textId="05BB1282" w:rsidR="008A7470" w:rsidRPr="00887F9F" w:rsidRDefault="008A7470" w:rsidP="00424D07">
      <w:pPr>
        <w:jc w:val="both"/>
        <w:rPr>
          <w:rFonts w:ascii="Arial" w:hAnsi="Arial" w:cs="Arial"/>
          <w:color w:val="000000"/>
          <w:sz w:val="22"/>
          <w:szCs w:val="22"/>
          <w:lang w:val="en-GB" w:eastAsia="en-GB"/>
        </w:rPr>
      </w:pPr>
      <w:r w:rsidRPr="00887F9F">
        <w:rPr>
          <w:rFonts w:ascii="Arial" w:hAnsi="Arial" w:cs="Arial"/>
          <w:color w:val="000000"/>
          <w:sz w:val="22"/>
          <w:szCs w:val="22"/>
          <w:lang w:val="en-GB" w:eastAsia="en-GB"/>
        </w:rPr>
        <w:t>Ms G</w:t>
      </w:r>
      <w:r w:rsidR="001747C2" w:rsidRPr="00887F9F">
        <w:rPr>
          <w:rFonts w:ascii="Arial" w:hAnsi="Arial" w:cs="Arial"/>
          <w:color w:val="000000"/>
          <w:sz w:val="22"/>
          <w:szCs w:val="22"/>
          <w:lang w:val="en-GB" w:eastAsia="en-GB"/>
        </w:rPr>
        <w:t>’</w:t>
      </w:r>
      <w:r w:rsidRPr="00887F9F">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sidRPr="00887F9F">
        <w:rPr>
          <w:rFonts w:ascii="Arial" w:hAnsi="Arial" w:cs="Arial"/>
          <w:color w:val="000000"/>
          <w:sz w:val="22"/>
          <w:szCs w:val="22"/>
          <w:lang w:val="en-GB" w:eastAsia="en-GB"/>
        </w:rPr>
        <w:t>“</w:t>
      </w:r>
      <w:r w:rsidRPr="00887F9F">
        <w:rPr>
          <w:rFonts w:ascii="Arial" w:hAnsi="Arial" w:cs="Arial"/>
          <w:color w:val="000000"/>
          <w:sz w:val="22"/>
          <w:szCs w:val="22"/>
          <w:lang w:val="en-GB" w:eastAsia="en-GB"/>
        </w:rPr>
        <w:t>leading bank liquidation professional</w:t>
      </w:r>
      <w:r w:rsidR="001747C2" w:rsidRPr="00887F9F">
        <w:rPr>
          <w:rFonts w:ascii="Arial" w:hAnsi="Arial" w:cs="Arial"/>
          <w:color w:val="000000"/>
          <w:sz w:val="22"/>
          <w:szCs w:val="22"/>
          <w:lang w:val="en-GB" w:eastAsia="en-GB"/>
        </w:rPr>
        <w:t>”</w:t>
      </w:r>
      <w:r w:rsidRPr="00887F9F">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sidRPr="00887F9F">
        <w:rPr>
          <w:rFonts w:ascii="Arial" w:hAnsi="Arial" w:cs="Arial"/>
          <w:color w:val="000000"/>
          <w:sz w:val="22"/>
          <w:szCs w:val="22"/>
          <w:lang w:val="en-GB" w:eastAsia="en-GB"/>
        </w:rPr>
        <w:t>’</w:t>
      </w:r>
      <w:r w:rsidRPr="00887F9F">
        <w:rPr>
          <w:rFonts w:ascii="Arial" w:hAnsi="Arial" w:cs="Arial"/>
          <w:color w:val="000000"/>
          <w:sz w:val="22"/>
          <w:szCs w:val="22"/>
          <w:lang w:val="en-GB" w:eastAsia="en-GB"/>
        </w:rPr>
        <w:t>s assets in the manner prescribed by the DGF Law. Resolution 1513 expressly excludes from Ms G</w:t>
      </w:r>
      <w:r w:rsidR="001747C2" w:rsidRPr="00887F9F">
        <w:rPr>
          <w:rFonts w:ascii="Arial" w:hAnsi="Arial" w:cs="Arial"/>
          <w:color w:val="000000"/>
          <w:sz w:val="22"/>
          <w:szCs w:val="22"/>
          <w:lang w:val="en-GB" w:eastAsia="en-GB"/>
        </w:rPr>
        <w:t>’</w:t>
      </w:r>
      <w:r w:rsidRPr="00887F9F">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sidRPr="00887F9F">
        <w:rPr>
          <w:rFonts w:ascii="Arial" w:hAnsi="Arial" w:cs="Arial"/>
          <w:color w:val="000000"/>
          <w:sz w:val="22"/>
          <w:szCs w:val="22"/>
          <w:lang w:val="en-GB" w:eastAsia="en-GB"/>
        </w:rPr>
        <w:t>’</w:t>
      </w:r>
      <w:r w:rsidRPr="00887F9F">
        <w:rPr>
          <w:rFonts w:ascii="Arial" w:hAnsi="Arial" w:cs="Arial"/>
          <w:color w:val="000000"/>
          <w:sz w:val="22"/>
          <w:szCs w:val="22"/>
          <w:lang w:val="en-GB" w:eastAsia="en-GB"/>
        </w:rPr>
        <w:t>s assets. Each of the excluded powers remains vested in the DGF as the Bank</w:t>
      </w:r>
      <w:r w:rsidR="001747C2" w:rsidRPr="00887F9F">
        <w:rPr>
          <w:rFonts w:ascii="Arial" w:hAnsi="Arial" w:cs="Arial"/>
          <w:color w:val="000000"/>
          <w:sz w:val="22"/>
          <w:szCs w:val="22"/>
          <w:lang w:val="en-GB" w:eastAsia="en-GB"/>
        </w:rPr>
        <w:t>’</w:t>
      </w:r>
      <w:r w:rsidRPr="00887F9F">
        <w:rPr>
          <w:rFonts w:ascii="Arial" w:hAnsi="Arial" w:cs="Arial"/>
          <w:color w:val="000000"/>
          <w:sz w:val="22"/>
          <w:szCs w:val="22"/>
          <w:lang w:val="en-GB" w:eastAsia="en-GB"/>
        </w:rPr>
        <w:t>s formally appointed liquidator.</w:t>
      </w:r>
    </w:p>
    <w:p w14:paraId="01BC55CD" w14:textId="77777777" w:rsidR="00424D07" w:rsidRPr="00887F9F"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887F9F">
        <w:rPr>
          <w:rFonts w:ascii="Arial" w:hAnsi="Arial" w:cs="Arial"/>
          <w:color w:val="000000"/>
          <w:sz w:val="22"/>
          <w:szCs w:val="22"/>
          <w:lang w:val="en-GB" w:eastAsia="en-GB"/>
        </w:rPr>
        <w:t>On 14 December 2020, the Bank</w:t>
      </w:r>
      <w:r w:rsidR="001747C2" w:rsidRPr="00887F9F">
        <w:rPr>
          <w:rFonts w:ascii="Arial" w:hAnsi="Arial" w:cs="Arial"/>
          <w:color w:val="000000"/>
          <w:sz w:val="22"/>
          <w:szCs w:val="22"/>
          <w:lang w:val="en-GB" w:eastAsia="en-GB"/>
        </w:rPr>
        <w:t>’</w:t>
      </w:r>
      <w:r w:rsidRPr="00887F9F">
        <w:rPr>
          <w:rFonts w:ascii="Arial" w:hAnsi="Arial" w:cs="Arial"/>
          <w:color w:val="000000"/>
          <w:sz w:val="22"/>
          <w:szCs w:val="22"/>
          <w:lang w:val="en-GB" w:eastAsia="en-GB"/>
        </w:rPr>
        <w:t>s liquidation was extended to an indefinite date, described as arising when circumstances rendered the sale of the Bank</w:t>
      </w:r>
      <w:r w:rsidR="001747C2" w:rsidRPr="00887F9F">
        <w:rPr>
          <w:rFonts w:ascii="Arial" w:hAnsi="Arial" w:cs="Arial"/>
          <w:color w:val="000000"/>
          <w:sz w:val="22"/>
          <w:szCs w:val="22"/>
          <w:lang w:val="en-GB" w:eastAsia="en-GB"/>
        </w:rPr>
        <w:t>’</w:t>
      </w:r>
      <w:r w:rsidRPr="00887F9F">
        <w:rPr>
          <w:rFonts w:ascii="Arial" w:hAnsi="Arial" w:cs="Arial"/>
          <w:color w:val="000000"/>
          <w:sz w:val="22"/>
          <w:szCs w:val="22"/>
          <w:lang w:val="en-GB" w:eastAsia="en-GB"/>
        </w:rPr>
        <w:t>s assets and satisfaction</w:t>
      </w:r>
      <w:r w:rsidRPr="009B5832">
        <w:rPr>
          <w:rFonts w:ascii="Arial" w:hAnsi="Arial" w:cs="Arial"/>
          <w:color w:val="000000"/>
          <w:sz w:val="22"/>
          <w:szCs w:val="22"/>
          <w:lang w:val="en-GB" w:eastAsia="en-GB"/>
        </w:rPr>
        <w:t xml:space="preserve">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1FB57BED" w14:textId="77777777" w:rsidR="00E620A5" w:rsidRDefault="00E620A5" w:rsidP="008A7470">
      <w:pPr>
        <w:jc w:val="both"/>
        <w:rPr>
          <w:rFonts w:ascii="Arial" w:hAnsi="Arial" w:cs="Arial"/>
          <w:b/>
          <w:bCs/>
          <w:sz w:val="22"/>
          <w:szCs w:val="22"/>
          <w:lang w:val="en-GB"/>
        </w:rPr>
      </w:pPr>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887F9F"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w:t>
      </w:r>
      <w:bookmarkStart w:id="30" w:name="_GoBack"/>
      <w:bookmarkEnd w:id="30"/>
      <w:r w:rsidRPr="00887F9F">
        <w:rPr>
          <w:rFonts w:ascii="Arial" w:hAnsi="Arial" w:cs="Arial"/>
          <w:color w:val="000000"/>
          <w:sz w:val="22"/>
          <w:szCs w:val="22"/>
          <w:lang w:val="en-GB" w:eastAsia="en-GB"/>
        </w:rPr>
        <w:t>Cross-Border Insolvency Regulations 2006 (CBIR), the English adopt</w:t>
      </w:r>
      <w:r w:rsidR="0020264E" w:rsidRPr="00887F9F">
        <w:rPr>
          <w:rFonts w:ascii="Arial" w:hAnsi="Arial" w:cs="Arial"/>
          <w:color w:val="000000"/>
          <w:sz w:val="22"/>
          <w:szCs w:val="22"/>
          <w:lang w:val="en-GB" w:eastAsia="en-GB"/>
        </w:rPr>
        <w:t>ed version</w:t>
      </w:r>
      <w:r w:rsidRPr="00887F9F">
        <w:rPr>
          <w:rFonts w:ascii="Arial" w:hAnsi="Arial" w:cs="Arial"/>
          <w:color w:val="000000"/>
          <w:sz w:val="22"/>
          <w:szCs w:val="22"/>
          <w:lang w:val="en-GB" w:eastAsia="en-GB"/>
        </w:rPr>
        <w:t xml:space="preserve"> of the MLCBI.</w:t>
      </w:r>
    </w:p>
    <w:p w14:paraId="3F177907" w14:textId="77777777" w:rsidR="0020264E" w:rsidRPr="00887F9F" w:rsidRDefault="0020264E" w:rsidP="008A7470">
      <w:pPr>
        <w:jc w:val="both"/>
        <w:rPr>
          <w:rFonts w:ascii="Arial" w:hAnsi="Arial" w:cs="Arial"/>
          <w:color w:val="000000"/>
          <w:sz w:val="22"/>
          <w:szCs w:val="22"/>
          <w:lang w:val="en-GB" w:eastAsia="en-GB"/>
        </w:rPr>
      </w:pPr>
    </w:p>
    <w:p w14:paraId="1A3D7CAD" w14:textId="66BF2732" w:rsidR="008A7470" w:rsidRPr="00887F9F" w:rsidRDefault="008A7470" w:rsidP="008A7470">
      <w:pPr>
        <w:jc w:val="both"/>
        <w:rPr>
          <w:rFonts w:ascii="Arial" w:hAnsi="Arial" w:cs="Arial"/>
          <w:color w:val="000000"/>
          <w:sz w:val="22"/>
          <w:szCs w:val="22"/>
          <w:lang w:val="en-GB" w:eastAsia="en-GB"/>
        </w:rPr>
      </w:pPr>
      <w:r w:rsidRPr="00887F9F">
        <w:rPr>
          <w:rFonts w:ascii="Arial" w:hAnsi="Arial" w:cs="Arial"/>
          <w:color w:val="000000"/>
          <w:sz w:val="22"/>
          <w:szCs w:val="22"/>
          <w:lang w:val="en-GB" w:eastAsia="en-GB"/>
        </w:rPr>
        <w:t xml:space="preserve">Assuming you are the judge in the English court considering this recognition application, </w:t>
      </w:r>
      <w:r w:rsidR="0020264E" w:rsidRPr="00887F9F">
        <w:rPr>
          <w:rFonts w:ascii="Arial" w:hAnsi="Arial" w:cs="Arial"/>
          <w:color w:val="000000"/>
          <w:sz w:val="22"/>
          <w:szCs w:val="22"/>
          <w:lang w:val="en-GB" w:eastAsia="en-GB"/>
        </w:rPr>
        <w:t>you are required to discuss</w:t>
      </w:r>
      <w:r w:rsidRPr="00887F9F">
        <w:rPr>
          <w:rFonts w:ascii="Arial" w:hAnsi="Arial" w:cs="Arial"/>
          <w:color w:val="000000"/>
          <w:sz w:val="22"/>
          <w:szCs w:val="22"/>
          <w:lang w:val="en-GB" w:eastAsia="en-GB"/>
        </w:rPr>
        <w:t>:</w:t>
      </w:r>
    </w:p>
    <w:p w14:paraId="4E4FA911" w14:textId="6115CD56" w:rsidR="00957951" w:rsidRPr="00887F9F" w:rsidRDefault="00957951" w:rsidP="008A7470">
      <w:pPr>
        <w:jc w:val="both"/>
        <w:rPr>
          <w:rFonts w:ascii="Arial" w:hAnsi="Arial" w:cs="Arial"/>
          <w:color w:val="000000"/>
          <w:sz w:val="22"/>
          <w:szCs w:val="22"/>
          <w:lang w:val="en-GB" w:eastAsia="en-GB"/>
        </w:rPr>
      </w:pPr>
    </w:p>
    <w:p w14:paraId="43E4AA00" w14:textId="3CB1AF11" w:rsidR="008A7470" w:rsidRPr="00887F9F" w:rsidRDefault="00957951" w:rsidP="00957951">
      <w:pPr>
        <w:ind w:left="720" w:hanging="720"/>
        <w:jc w:val="both"/>
        <w:rPr>
          <w:rFonts w:ascii="Arial" w:hAnsi="Arial" w:cs="Arial"/>
          <w:color w:val="000000"/>
          <w:sz w:val="22"/>
          <w:szCs w:val="22"/>
          <w:lang w:val="en-GB" w:eastAsia="en-GB"/>
        </w:rPr>
      </w:pPr>
      <w:r w:rsidRPr="00887F9F">
        <w:rPr>
          <w:rFonts w:ascii="Arial" w:hAnsi="Arial" w:cs="Arial"/>
          <w:color w:val="000000"/>
          <w:sz w:val="22"/>
          <w:szCs w:val="22"/>
          <w:lang w:val="en-GB" w:eastAsia="en-GB"/>
        </w:rPr>
        <w:t>4.1.1</w:t>
      </w:r>
      <w:r w:rsidRPr="00887F9F">
        <w:rPr>
          <w:rFonts w:ascii="Arial" w:hAnsi="Arial" w:cs="Arial"/>
          <w:color w:val="000000"/>
          <w:sz w:val="22"/>
          <w:szCs w:val="22"/>
          <w:lang w:val="en-GB" w:eastAsia="en-GB"/>
        </w:rPr>
        <w:tab/>
      </w:r>
      <w:proofErr w:type="gramStart"/>
      <w:r w:rsidR="008A7470" w:rsidRPr="00887F9F">
        <w:rPr>
          <w:rFonts w:ascii="Arial" w:hAnsi="Arial" w:cs="Arial"/>
          <w:color w:val="000000"/>
          <w:sz w:val="22"/>
          <w:szCs w:val="22"/>
          <w:lang w:val="en-GB" w:eastAsia="en-GB"/>
        </w:rPr>
        <w:t>whether</w:t>
      </w:r>
      <w:proofErr w:type="gramEnd"/>
      <w:r w:rsidR="008A7470" w:rsidRPr="00887F9F">
        <w:rPr>
          <w:rFonts w:ascii="Arial" w:hAnsi="Arial" w:cs="Arial"/>
          <w:color w:val="000000"/>
          <w:sz w:val="22"/>
          <w:szCs w:val="22"/>
          <w:lang w:val="en-GB" w:eastAsia="en-GB"/>
        </w:rPr>
        <w:t xml:space="preserve"> the Bank</w:t>
      </w:r>
      <w:r w:rsidR="001747C2" w:rsidRPr="00887F9F">
        <w:rPr>
          <w:rFonts w:ascii="Arial" w:hAnsi="Arial" w:cs="Arial"/>
          <w:color w:val="000000"/>
          <w:sz w:val="22"/>
          <w:szCs w:val="22"/>
          <w:lang w:val="en-GB" w:eastAsia="en-GB"/>
        </w:rPr>
        <w:t>’</w:t>
      </w:r>
      <w:r w:rsidR="008A7470" w:rsidRPr="00887F9F">
        <w:rPr>
          <w:rFonts w:ascii="Arial" w:hAnsi="Arial" w:cs="Arial"/>
          <w:color w:val="000000"/>
          <w:sz w:val="22"/>
          <w:szCs w:val="22"/>
          <w:lang w:val="en-GB" w:eastAsia="en-GB"/>
        </w:rPr>
        <w:t xml:space="preserve">s liquidation comprises a </w:t>
      </w:r>
      <w:r w:rsidR="001747C2" w:rsidRPr="00887F9F">
        <w:rPr>
          <w:rFonts w:ascii="Arial" w:hAnsi="Arial" w:cs="Arial"/>
          <w:color w:val="000000"/>
          <w:sz w:val="22"/>
          <w:szCs w:val="22"/>
          <w:lang w:val="en-GB" w:eastAsia="en-GB"/>
        </w:rPr>
        <w:t>“</w:t>
      </w:r>
      <w:r w:rsidR="008A7470" w:rsidRPr="00887F9F">
        <w:rPr>
          <w:rFonts w:ascii="Arial" w:hAnsi="Arial" w:cs="Arial"/>
          <w:color w:val="000000"/>
          <w:sz w:val="22"/>
          <w:szCs w:val="22"/>
          <w:lang w:val="en-GB" w:eastAsia="en-GB"/>
        </w:rPr>
        <w:t>foreign proceeding</w:t>
      </w:r>
      <w:r w:rsidR="001747C2" w:rsidRPr="00887F9F">
        <w:rPr>
          <w:rFonts w:ascii="Arial" w:hAnsi="Arial" w:cs="Arial"/>
          <w:color w:val="000000"/>
          <w:sz w:val="22"/>
          <w:szCs w:val="22"/>
          <w:lang w:val="en-GB" w:eastAsia="en-GB"/>
        </w:rPr>
        <w:t>”</w:t>
      </w:r>
      <w:r w:rsidR="008A7470" w:rsidRPr="00887F9F">
        <w:rPr>
          <w:rFonts w:ascii="Arial" w:hAnsi="Arial" w:cs="Arial"/>
          <w:color w:val="000000"/>
          <w:sz w:val="22"/>
          <w:szCs w:val="22"/>
          <w:lang w:val="en-GB" w:eastAsia="en-GB"/>
        </w:rPr>
        <w:t xml:space="preserve"> within the meaning of </w:t>
      </w:r>
      <w:r w:rsidRPr="00887F9F">
        <w:rPr>
          <w:rFonts w:ascii="Arial" w:hAnsi="Arial" w:cs="Arial"/>
          <w:color w:val="000000"/>
          <w:sz w:val="22"/>
          <w:szCs w:val="22"/>
          <w:lang w:val="en-GB" w:eastAsia="en-GB"/>
        </w:rPr>
        <w:t xml:space="preserve">article </w:t>
      </w:r>
      <w:r w:rsidR="008A7470" w:rsidRPr="00887F9F">
        <w:rPr>
          <w:rFonts w:ascii="Arial" w:hAnsi="Arial" w:cs="Arial"/>
          <w:color w:val="000000"/>
          <w:sz w:val="22"/>
          <w:szCs w:val="22"/>
          <w:lang w:val="en-GB" w:eastAsia="en-GB"/>
        </w:rPr>
        <w:t>2(a) of the MLCBI</w:t>
      </w:r>
      <w:r w:rsidR="009634F7" w:rsidRPr="00887F9F">
        <w:rPr>
          <w:rFonts w:ascii="Arial" w:hAnsi="Arial" w:cs="Arial"/>
          <w:color w:val="000000"/>
          <w:sz w:val="22"/>
          <w:szCs w:val="22"/>
          <w:lang w:val="en-GB" w:eastAsia="en-GB"/>
        </w:rPr>
        <w:t xml:space="preserve"> </w:t>
      </w:r>
      <w:r w:rsidR="009634F7" w:rsidRPr="00887F9F">
        <w:rPr>
          <w:rFonts w:ascii="Arial" w:hAnsi="Arial" w:cs="Arial"/>
          <w:b/>
          <w:bCs/>
          <w:color w:val="000000"/>
          <w:sz w:val="22"/>
          <w:szCs w:val="22"/>
          <w:lang w:val="en-GB" w:eastAsia="en-GB"/>
        </w:rPr>
        <w:t>[maximum 10 marks]</w:t>
      </w:r>
      <w:r w:rsidR="008A7470" w:rsidRPr="00887F9F">
        <w:rPr>
          <w:rFonts w:ascii="Arial" w:hAnsi="Arial" w:cs="Arial"/>
          <w:color w:val="000000"/>
          <w:sz w:val="22"/>
          <w:szCs w:val="22"/>
          <w:lang w:val="en-GB" w:eastAsia="en-GB"/>
        </w:rPr>
        <w:t>; and</w:t>
      </w:r>
    </w:p>
    <w:p w14:paraId="09C2FB61" w14:textId="18326A5E" w:rsidR="00957951" w:rsidRPr="00887F9F"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887F9F">
        <w:rPr>
          <w:rFonts w:ascii="Arial" w:hAnsi="Arial" w:cs="Arial"/>
          <w:color w:val="000000"/>
          <w:sz w:val="22"/>
          <w:szCs w:val="22"/>
          <w:lang w:val="en-GB" w:eastAsia="en-GB"/>
        </w:rPr>
        <w:t>4.1.2</w:t>
      </w:r>
      <w:r w:rsidRPr="00887F9F">
        <w:rPr>
          <w:rFonts w:ascii="Arial" w:hAnsi="Arial" w:cs="Arial"/>
          <w:color w:val="000000"/>
          <w:sz w:val="22"/>
          <w:szCs w:val="22"/>
          <w:lang w:val="en-GB" w:eastAsia="en-GB"/>
        </w:rPr>
        <w:tab/>
      </w:r>
      <w:proofErr w:type="gramStart"/>
      <w:r w:rsidR="008A7470" w:rsidRPr="00887F9F">
        <w:rPr>
          <w:rFonts w:ascii="Arial" w:hAnsi="Arial" w:cs="Arial"/>
          <w:color w:val="000000"/>
          <w:sz w:val="22"/>
          <w:szCs w:val="22"/>
          <w:lang w:val="en-GB" w:eastAsia="en-GB"/>
        </w:rPr>
        <w:t>whether</w:t>
      </w:r>
      <w:proofErr w:type="gramEnd"/>
      <w:r w:rsidR="008A7470" w:rsidRPr="00887F9F">
        <w:rPr>
          <w:rFonts w:ascii="Arial" w:hAnsi="Arial" w:cs="Arial"/>
          <w:color w:val="000000"/>
          <w:sz w:val="22"/>
          <w:szCs w:val="22"/>
          <w:lang w:val="en-GB" w:eastAsia="en-GB"/>
        </w:rPr>
        <w:t xml:space="preserve"> the Applicants fall within the description of </w:t>
      </w:r>
      <w:r w:rsidR="001747C2" w:rsidRPr="00887F9F">
        <w:rPr>
          <w:rFonts w:ascii="Arial" w:hAnsi="Arial" w:cs="Arial"/>
          <w:color w:val="000000"/>
          <w:sz w:val="22"/>
          <w:szCs w:val="22"/>
          <w:lang w:val="en-GB" w:eastAsia="en-GB"/>
        </w:rPr>
        <w:t>“</w:t>
      </w:r>
      <w:r w:rsidR="008A7470" w:rsidRPr="00887F9F">
        <w:rPr>
          <w:rFonts w:ascii="Arial" w:hAnsi="Arial" w:cs="Arial"/>
          <w:color w:val="000000"/>
          <w:sz w:val="22"/>
          <w:szCs w:val="22"/>
          <w:lang w:val="en-GB" w:eastAsia="en-GB"/>
        </w:rPr>
        <w:t>foreign representatives</w:t>
      </w:r>
      <w:r w:rsidR="001747C2" w:rsidRPr="00887F9F">
        <w:rPr>
          <w:rFonts w:ascii="Arial" w:hAnsi="Arial" w:cs="Arial"/>
          <w:color w:val="000000"/>
          <w:sz w:val="22"/>
          <w:szCs w:val="22"/>
          <w:lang w:val="en-GB" w:eastAsia="en-GB"/>
        </w:rPr>
        <w:t>”</w:t>
      </w:r>
      <w:r w:rsidR="008A7470" w:rsidRPr="00887F9F">
        <w:rPr>
          <w:rFonts w:ascii="Arial" w:hAnsi="Arial" w:cs="Arial"/>
          <w:color w:val="000000"/>
          <w:sz w:val="22"/>
          <w:szCs w:val="22"/>
          <w:lang w:val="en-GB" w:eastAsia="en-GB"/>
        </w:rPr>
        <w:t xml:space="preserve"> as defined by article 2(d) of the MLCBI</w:t>
      </w:r>
      <w:r w:rsidR="009634F7" w:rsidRPr="00887F9F">
        <w:rPr>
          <w:rFonts w:ascii="Arial" w:hAnsi="Arial" w:cs="Arial"/>
          <w:color w:val="000000"/>
          <w:sz w:val="22"/>
          <w:szCs w:val="22"/>
          <w:lang w:val="en-GB" w:eastAsia="en-GB"/>
        </w:rPr>
        <w:t xml:space="preserve"> </w:t>
      </w:r>
      <w:r w:rsidR="009634F7" w:rsidRPr="00887F9F">
        <w:rPr>
          <w:rFonts w:ascii="Arial" w:hAnsi="Arial" w:cs="Arial"/>
          <w:b/>
          <w:bCs/>
          <w:color w:val="000000"/>
          <w:sz w:val="22"/>
          <w:szCs w:val="22"/>
          <w:lang w:val="en-GB" w:eastAsia="en-GB"/>
        </w:rPr>
        <w:t>[maximum 5 marks]</w:t>
      </w:r>
      <w:r w:rsidRPr="00887F9F">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w:t>
      </w:r>
      <w:r w:rsidR="00957951" w:rsidRPr="004668DE">
        <w:rPr>
          <w:rFonts w:ascii="Arial" w:hAnsi="Arial" w:cs="Arial"/>
          <w:sz w:val="22"/>
          <w:szCs w:val="22"/>
          <w:lang w:val="en-GB"/>
        </w:rPr>
        <w:t xml:space="preserve">may </w:t>
      </w:r>
      <w:r w:rsidR="004F2492" w:rsidRPr="004668DE">
        <w:rPr>
          <w:rFonts w:ascii="Arial" w:hAnsi="Arial" w:cs="Arial"/>
          <w:sz w:val="22"/>
          <w:szCs w:val="22"/>
          <w:lang w:val="en-GB"/>
        </w:rPr>
        <w:t xml:space="preserve">further </w:t>
      </w:r>
      <w:r w:rsidR="00957951" w:rsidRPr="004668DE">
        <w:rPr>
          <w:rFonts w:ascii="Arial" w:hAnsi="Arial" w:cs="Arial"/>
          <w:sz w:val="22"/>
          <w:szCs w:val="22"/>
          <w:lang w:val="en-GB"/>
        </w:rPr>
        <w:t xml:space="preserve">assume </w:t>
      </w:r>
      <w:r w:rsidRPr="004668DE">
        <w:rPr>
          <w:rFonts w:ascii="Arial" w:hAnsi="Arial" w:cs="Arial"/>
          <w:sz w:val="22"/>
          <w:szCs w:val="22"/>
          <w:lang w:val="en-GB"/>
        </w:rPr>
        <w:t xml:space="preserve">that the Bank is </w:t>
      </w:r>
      <w:r w:rsidRPr="004668DE">
        <w:rPr>
          <w:rFonts w:ascii="Arial" w:hAnsi="Arial" w:cs="Arial"/>
          <w:b/>
          <w:bCs/>
          <w:sz w:val="22"/>
          <w:szCs w:val="22"/>
          <w:u w:val="single"/>
          <w:lang w:val="en-GB"/>
        </w:rPr>
        <w:t>not excluded</w:t>
      </w:r>
      <w:r w:rsidRPr="004668DE">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3ED327DA" w14:textId="548385B9" w:rsidR="00CF68C2" w:rsidRDefault="00CF68C2" w:rsidP="00CF68C2">
      <w:pPr>
        <w:pStyle w:val="Heading1"/>
        <w:rPr>
          <w:b/>
        </w:rPr>
      </w:pPr>
      <w:r w:rsidRPr="004668DE">
        <w:rPr>
          <w:b/>
        </w:rPr>
        <w:t xml:space="preserve">Answer for </w:t>
      </w:r>
      <w:r w:rsidR="004668DE">
        <w:rPr>
          <w:b/>
        </w:rPr>
        <w:t>Q</w:t>
      </w:r>
      <w:r w:rsidRPr="004668DE">
        <w:rPr>
          <w:b/>
        </w:rPr>
        <w:t>uestion 4.1.1</w:t>
      </w:r>
    </w:p>
    <w:p w14:paraId="30DC3F28" w14:textId="77777777" w:rsidR="00433AE1" w:rsidRPr="00433AE1" w:rsidRDefault="00433AE1" w:rsidP="00433AE1">
      <w:pPr>
        <w:rPr>
          <w:lang w:val="en-GB"/>
        </w:rPr>
      </w:pPr>
    </w:p>
    <w:p w14:paraId="5117DD50" w14:textId="412A042F" w:rsidR="00CF68C2" w:rsidRDefault="00CF68C2" w:rsidP="00DC47D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Article 2(a) of the MLCBI, “foreign proceeding” is defined as a collective judicial or administrative proceeding in a foreign State, including interim proceeding, pursuant to a law relating to insolvency in which proceeding the assets and affairs of the debtor are subject to control or supervision by a foreign court, for the purpose of reorganisation or liquidation.</w:t>
      </w:r>
    </w:p>
    <w:p w14:paraId="50281719" w14:textId="77777777" w:rsidR="00DC47D7" w:rsidRDefault="00DC47D7" w:rsidP="00DC47D7">
      <w:pPr>
        <w:jc w:val="both"/>
        <w:rPr>
          <w:rFonts w:ascii="Arial" w:hAnsi="Arial" w:cs="Arial"/>
          <w:color w:val="7B7B7B" w:themeColor="accent3" w:themeShade="BF"/>
          <w:sz w:val="22"/>
          <w:szCs w:val="22"/>
          <w:lang w:val="en-GB"/>
        </w:rPr>
      </w:pPr>
    </w:p>
    <w:p w14:paraId="2D0AF798" w14:textId="2054B293" w:rsidR="00DC47D7" w:rsidRDefault="00DC47D7" w:rsidP="00B54D51">
      <w:pPr>
        <w:pStyle w:val="BodyText"/>
      </w:pPr>
      <w:r>
        <w:t xml:space="preserve">In order for the Bank’s liquidation to be eligible for recognition of MLCBI, the proceeding must satisfy all of the elements of the abovementioned definition. These elements are set out below and will be discussed under 3 separate paragraphs (a), (b) and (c) below. Note that these elements are to be considered as a whole and the separate elements of the definition of Article 2(a) </w:t>
      </w:r>
      <w:r w:rsidR="00522C1C">
        <w:t>are</w:t>
      </w:r>
      <w:r>
        <w:t xml:space="preserve"> cumulative in effect. The Court will assess the elements on a factual basis and pursuant to Article 8, the elements should be interpreted and applied in view of their international origin. </w:t>
      </w:r>
    </w:p>
    <w:p w14:paraId="0A55E9EC" w14:textId="52637819" w:rsidR="00DC47D7" w:rsidRPr="00DC47D7" w:rsidRDefault="00DC47D7" w:rsidP="00DC47D7">
      <w:pPr>
        <w:pStyle w:val="ListParagraph"/>
        <w:numPr>
          <w:ilvl w:val="0"/>
          <w:numId w:val="25"/>
        </w:numPr>
        <w:ind w:left="567" w:hanging="567"/>
        <w:jc w:val="both"/>
        <w:rPr>
          <w:lang w:val="en-GB"/>
        </w:rPr>
      </w:pPr>
      <w:r>
        <w:rPr>
          <w:rFonts w:ascii="Arial" w:hAnsi="Arial" w:cs="Arial"/>
          <w:color w:val="7B7B7B" w:themeColor="accent3" w:themeShade="BF"/>
          <w:sz w:val="22"/>
          <w:szCs w:val="22"/>
          <w:lang w:val="en-GB"/>
        </w:rPr>
        <w:t>A proceeding</w:t>
      </w:r>
    </w:p>
    <w:p w14:paraId="6CC811E5" w14:textId="1A4CA60B" w:rsidR="00DC47D7" w:rsidRPr="00DC47D7" w:rsidRDefault="00DC47D7" w:rsidP="00DC47D7">
      <w:pPr>
        <w:pStyle w:val="ListParagraph"/>
        <w:numPr>
          <w:ilvl w:val="0"/>
          <w:numId w:val="25"/>
        </w:numPr>
        <w:ind w:left="567" w:hanging="567"/>
        <w:jc w:val="both"/>
        <w:rPr>
          <w:lang w:val="en-GB"/>
        </w:rPr>
      </w:pPr>
      <w:r>
        <w:rPr>
          <w:rFonts w:ascii="Arial" w:hAnsi="Arial" w:cs="Arial"/>
          <w:color w:val="7B7B7B" w:themeColor="accent3" w:themeShade="BF"/>
          <w:sz w:val="22"/>
          <w:szCs w:val="22"/>
          <w:lang w:val="en-GB"/>
        </w:rPr>
        <w:t>That is either judicial or administrative;</w:t>
      </w:r>
    </w:p>
    <w:p w14:paraId="098AB94F" w14:textId="62060FC1" w:rsidR="00DC47D7" w:rsidRPr="00DC47D7" w:rsidRDefault="00DC47D7" w:rsidP="00DC47D7">
      <w:pPr>
        <w:pStyle w:val="ListParagraph"/>
        <w:numPr>
          <w:ilvl w:val="0"/>
          <w:numId w:val="25"/>
        </w:numPr>
        <w:ind w:left="567" w:hanging="567"/>
        <w:jc w:val="both"/>
        <w:rPr>
          <w:lang w:val="en-GB"/>
        </w:rPr>
      </w:pPr>
      <w:r>
        <w:rPr>
          <w:rFonts w:ascii="Arial" w:hAnsi="Arial" w:cs="Arial"/>
          <w:color w:val="7B7B7B" w:themeColor="accent3" w:themeShade="BF"/>
          <w:sz w:val="22"/>
          <w:szCs w:val="22"/>
          <w:lang w:val="en-GB"/>
        </w:rPr>
        <w:t xml:space="preserve">That is collective in nature; </w:t>
      </w:r>
    </w:p>
    <w:p w14:paraId="6110F14D" w14:textId="440E95ED" w:rsidR="00DC47D7" w:rsidRPr="00DC47D7" w:rsidRDefault="00DC47D7" w:rsidP="00DC47D7">
      <w:pPr>
        <w:pStyle w:val="ListParagraph"/>
        <w:numPr>
          <w:ilvl w:val="0"/>
          <w:numId w:val="25"/>
        </w:numPr>
        <w:ind w:left="567" w:hanging="567"/>
        <w:jc w:val="both"/>
        <w:rPr>
          <w:lang w:val="en-GB"/>
        </w:rPr>
      </w:pPr>
      <w:r>
        <w:rPr>
          <w:rFonts w:ascii="Arial" w:hAnsi="Arial" w:cs="Arial"/>
          <w:color w:val="7B7B7B" w:themeColor="accent3" w:themeShade="BF"/>
          <w:sz w:val="22"/>
          <w:szCs w:val="22"/>
          <w:lang w:val="en-GB"/>
        </w:rPr>
        <w:t xml:space="preserve">That is authorised or conducted under a law relating to insolvency; </w:t>
      </w:r>
    </w:p>
    <w:p w14:paraId="3E8D0BE8" w14:textId="0AB8DD94" w:rsidR="00DC47D7" w:rsidRPr="00DC47D7" w:rsidRDefault="00DC47D7" w:rsidP="00DC47D7">
      <w:pPr>
        <w:pStyle w:val="ListParagraph"/>
        <w:numPr>
          <w:ilvl w:val="0"/>
          <w:numId w:val="25"/>
        </w:numPr>
        <w:ind w:left="567" w:hanging="567"/>
        <w:jc w:val="both"/>
        <w:rPr>
          <w:lang w:val="en-GB"/>
        </w:rPr>
      </w:pPr>
      <w:r>
        <w:rPr>
          <w:rFonts w:ascii="Arial" w:hAnsi="Arial" w:cs="Arial"/>
          <w:color w:val="7B7B7B" w:themeColor="accent3" w:themeShade="BF"/>
          <w:sz w:val="22"/>
          <w:szCs w:val="22"/>
          <w:lang w:val="en-GB"/>
        </w:rPr>
        <w:t xml:space="preserve">In which the assets and affairs of the debtor (i.e. the Bank) are subject to control or supervision of a foreign court; and </w:t>
      </w:r>
    </w:p>
    <w:p w14:paraId="65E510C4" w14:textId="4646F1F6" w:rsidR="00B54D51" w:rsidRPr="00B54D51" w:rsidRDefault="00DC47D7" w:rsidP="00CF68C2">
      <w:pPr>
        <w:pStyle w:val="ListParagraph"/>
        <w:numPr>
          <w:ilvl w:val="0"/>
          <w:numId w:val="25"/>
        </w:numPr>
        <w:ind w:left="567" w:hanging="567"/>
        <w:jc w:val="both"/>
        <w:rPr>
          <w:lang w:val="en-GB"/>
        </w:rPr>
      </w:pPr>
      <w:r>
        <w:rPr>
          <w:rFonts w:ascii="Arial" w:hAnsi="Arial" w:cs="Arial"/>
          <w:color w:val="7B7B7B" w:themeColor="accent3" w:themeShade="BF"/>
          <w:sz w:val="22"/>
          <w:szCs w:val="22"/>
          <w:lang w:val="en-GB"/>
        </w:rPr>
        <w:t xml:space="preserve">Which proceeding is for the purpose of reorganisation or </w:t>
      </w:r>
      <w:proofErr w:type="gramStart"/>
      <w:r w:rsidR="00B54D51">
        <w:rPr>
          <w:rFonts w:ascii="Arial" w:hAnsi="Arial" w:cs="Arial"/>
          <w:color w:val="7B7B7B" w:themeColor="accent3" w:themeShade="BF"/>
          <w:sz w:val="22"/>
          <w:szCs w:val="22"/>
          <w:lang w:val="en-GB"/>
        </w:rPr>
        <w:t>liquidation.</w:t>
      </w:r>
      <w:proofErr w:type="gramEnd"/>
      <w:r>
        <w:rPr>
          <w:rFonts w:ascii="Arial" w:hAnsi="Arial" w:cs="Arial"/>
          <w:color w:val="7B7B7B" w:themeColor="accent3" w:themeShade="BF"/>
          <w:sz w:val="22"/>
          <w:szCs w:val="22"/>
          <w:lang w:val="en-GB"/>
        </w:rPr>
        <w:t xml:space="preserve"> </w:t>
      </w:r>
    </w:p>
    <w:p w14:paraId="1C093C19" w14:textId="77777777" w:rsidR="00B54D51" w:rsidRDefault="00B54D51" w:rsidP="00B54D51">
      <w:pPr>
        <w:jc w:val="both"/>
        <w:rPr>
          <w:lang w:val="en-GB"/>
        </w:rPr>
      </w:pPr>
    </w:p>
    <w:p w14:paraId="2ABD3EAA" w14:textId="0EAACD93" w:rsidR="00B54D51" w:rsidRPr="00785C38" w:rsidRDefault="00B54D51" w:rsidP="00B54D51">
      <w:pPr>
        <w:pStyle w:val="ListParagraph"/>
        <w:numPr>
          <w:ilvl w:val="0"/>
          <w:numId w:val="26"/>
        </w:numPr>
        <w:ind w:left="567" w:hanging="567"/>
        <w:jc w:val="both"/>
        <w:rPr>
          <w:lang w:val="en-GB"/>
        </w:rPr>
      </w:pPr>
      <w:r>
        <w:rPr>
          <w:rFonts w:ascii="Arial" w:hAnsi="Arial" w:cs="Arial"/>
          <w:color w:val="7B7B7B" w:themeColor="accent3" w:themeShade="BF"/>
          <w:sz w:val="22"/>
          <w:szCs w:val="22"/>
          <w:u w:val="single"/>
          <w:lang w:val="en-GB"/>
        </w:rPr>
        <w:t>Judici</w:t>
      </w:r>
      <w:r w:rsidR="00785C38">
        <w:rPr>
          <w:rFonts w:ascii="Arial" w:hAnsi="Arial" w:cs="Arial"/>
          <w:color w:val="7B7B7B" w:themeColor="accent3" w:themeShade="BF"/>
          <w:sz w:val="22"/>
          <w:szCs w:val="22"/>
          <w:u w:val="single"/>
          <w:lang w:val="en-GB"/>
        </w:rPr>
        <w:t xml:space="preserve">al or administrative proceeding, which is collective in nature, </w:t>
      </w:r>
      <w:r>
        <w:rPr>
          <w:rFonts w:ascii="Arial" w:hAnsi="Arial" w:cs="Arial"/>
          <w:color w:val="7B7B7B" w:themeColor="accent3" w:themeShade="BF"/>
          <w:sz w:val="22"/>
          <w:szCs w:val="22"/>
          <w:u w:val="single"/>
          <w:lang w:val="en-GB"/>
        </w:rPr>
        <w:t xml:space="preserve">with its </w:t>
      </w:r>
      <w:r w:rsidR="00785C38">
        <w:rPr>
          <w:rFonts w:ascii="Arial" w:hAnsi="Arial" w:cs="Arial"/>
          <w:color w:val="7B7B7B" w:themeColor="accent3" w:themeShade="BF"/>
          <w:sz w:val="22"/>
          <w:szCs w:val="22"/>
          <w:u w:val="single"/>
          <w:lang w:val="en-GB"/>
        </w:rPr>
        <w:t>basis</w:t>
      </w:r>
      <w:r>
        <w:rPr>
          <w:rFonts w:ascii="Arial" w:hAnsi="Arial" w:cs="Arial"/>
          <w:color w:val="7B7B7B" w:themeColor="accent3" w:themeShade="BF"/>
          <w:sz w:val="22"/>
          <w:szCs w:val="22"/>
          <w:u w:val="single"/>
          <w:lang w:val="en-GB"/>
        </w:rPr>
        <w:t xml:space="preserve"> </w:t>
      </w:r>
      <w:r w:rsidR="00785C38">
        <w:rPr>
          <w:rFonts w:ascii="Arial" w:hAnsi="Arial" w:cs="Arial"/>
          <w:color w:val="7B7B7B" w:themeColor="accent3" w:themeShade="BF"/>
          <w:sz w:val="22"/>
          <w:szCs w:val="22"/>
          <w:u w:val="single"/>
          <w:lang w:val="en-GB"/>
        </w:rPr>
        <w:t>in insolvency-related law of Country A</w:t>
      </w:r>
    </w:p>
    <w:p w14:paraId="2F632A55" w14:textId="0E6E9157" w:rsidR="00785C38" w:rsidRDefault="00312182" w:rsidP="00A3187F">
      <w:pPr>
        <w:pStyle w:val="ListParagraph"/>
        <w:ind w:left="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requirement of judicial or administrative proceeding can be one or the other and need not be both. The</w:t>
      </w:r>
      <w:r w:rsidR="00A3187F">
        <w:rPr>
          <w:rFonts w:ascii="Arial" w:hAnsi="Arial" w:cs="Arial"/>
          <w:color w:val="7B7B7B" w:themeColor="accent3" w:themeShade="BF"/>
          <w:sz w:val="22"/>
          <w:szCs w:val="22"/>
          <w:lang w:val="en-GB"/>
        </w:rPr>
        <w:t xml:space="preserve"> United States </w:t>
      </w:r>
      <w:r>
        <w:rPr>
          <w:rFonts w:ascii="Arial" w:hAnsi="Arial" w:cs="Arial"/>
          <w:color w:val="7B7B7B" w:themeColor="accent3" w:themeShade="BF"/>
          <w:sz w:val="22"/>
          <w:szCs w:val="22"/>
          <w:lang w:val="en-GB"/>
        </w:rPr>
        <w:t xml:space="preserve">Court </w:t>
      </w:r>
      <w:r w:rsidR="00A3187F">
        <w:rPr>
          <w:rFonts w:ascii="Arial" w:hAnsi="Arial" w:cs="Arial"/>
          <w:color w:val="7B7B7B" w:themeColor="accent3" w:themeShade="BF"/>
          <w:sz w:val="22"/>
          <w:szCs w:val="22"/>
          <w:lang w:val="en-GB"/>
        </w:rPr>
        <w:t xml:space="preserve">in the case of </w:t>
      </w:r>
      <w:r w:rsidR="00A3187F">
        <w:rPr>
          <w:rFonts w:ascii="Arial" w:hAnsi="Arial" w:cs="Arial"/>
          <w:i/>
          <w:color w:val="7B7B7B" w:themeColor="accent3" w:themeShade="BF"/>
          <w:sz w:val="22"/>
          <w:szCs w:val="22"/>
          <w:lang w:val="en-GB"/>
        </w:rPr>
        <w:t xml:space="preserve">Irish Bank Resolution Corporation (IBRC) Limited, </w:t>
      </w:r>
      <w:r>
        <w:rPr>
          <w:rFonts w:ascii="Arial" w:hAnsi="Arial" w:cs="Arial"/>
          <w:color w:val="7B7B7B" w:themeColor="accent3" w:themeShade="BF"/>
          <w:sz w:val="22"/>
          <w:szCs w:val="22"/>
          <w:lang w:val="en-GB"/>
        </w:rPr>
        <w:t>suggested that the hallmark of “proceeding” was “a statutory framework that constrains a company’s actions and that regulates the final distribution of a company’s assets”.</w:t>
      </w:r>
      <w:r w:rsidR="00A3187F">
        <w:rPr>
          <w:rFonts w:ascii="Arial" w:hAnsi="Arial" w:cs="Arial"/>
          <w:color w:val="7B7B7B" w:themeColor="accent3" w:themeShade="BF"/>
          <w:sz w:val="22"/>
          <w:szCs w:val="22"/>
          <w:lang w:val="en-GB"/>
        </w:rPr>
        <w:t xml:space="preserve"> The US Court found that a winding up directed by the IBRC was a proceeding and that majority of tasks undertaken by the special liquidator and the Minister of Finance were administrative in nature.</w:t>
      </w:r>
      <w:r>
        <w:rPr>
          <w:rFonts w:ascii="Arial" w:hAnsi="Arial" w:cs="Arial"/>
          <w:color w:val="7B7B7B" w:themeColor="accent3" w:themeShade="BF"/>
          <w:sz w:val="22"/>
          <w:szCs w:val="22"/>
          <w:lang w:val="en-GB"/>
        </w:rPr>
        <w:t xml:space="preserve"> </w:t>
      </w:r>
      <w:r w:rsidRPr="00A3187F">
        <w:rPr>
          <w:rFonts w:ascii="Arial" w:hAnsi="Arial" w:cs="Arial"/>
          <w:color w:val="7B7B7B" w:themeColor="accent3" w:themeShade="BF"/>
          <w:sz w:val="22"/>
          <w:szCs w:val="22"/>
          <w:lang w:val="en-GB"/>
        </w:rPr>
        <w:t>In applying this to the facts of Question 4, it can be said that there is indeed an administrative proceeding since the liquidation proceeding of the Bank</w:t>
      </w:r>
      <w:r w:rsidR="00A3187F">
        <w:rPr>
          <w:rFonts w:ascii="Arial" w:hAnsi="Arial" w:cs="Arial"/>
          <w:color w:val="7B7B7B" w:themeColor="accent3" w:themeShade="BF"/>
          <w:sz w:val="22"/>
          <w:szCs w:val="22"/>
          <w:lang w:val="en-GB"/>
        </w:rPr>
        <w:t xml:space="preserve"> is directed by the National Bank and</w:t>
      </w:r>
      <w:r w:rsidRPr="00A3187F">
        <w:rPr>
          <w:rFonts w:ascii="Arial" w:hAnsi="Arial" w:cs="Arial"/>
          <w:color w:val="7B7B7B" w:themeColor="accent3" w:themeShade="BF"/>
          <w:sz w:val="22"/>
          <w:szCs w:val="22"/>
          <w:lang w:val="en-GB"/>
        </w:rPr>
        <w:t xml:space="preserve"> is governed by the law of Country A i.e. the Banks and Banking Activity (LBBA) which empowers the DGF with powers of a liquidator.</w:t>
      </w:r>
    </w:p>
    <w:p w14:paraId="42CA7146" w14:textId="77777777" w:rsidR="00A3187F" w:rsidRDefault="00A3187F" w:rsidP="00A3187F">
      <w:pPr>
        <w:pStyle w:val="ListParagraph"/>
        <w:ind w:left="567"/>
        <w:jc w:val="both"/>
        <w:rPr>
          <w:rFonts w:ascii="Arial" w:hAnsi="Arial" w:cs="Arial"/>
          <w:color w:val="7B7B7B" w:themeColor="accent3" w:themeShade="BF"/>
          <w:sz w:val="22"/>
          <w:szCs w:val="22"/>
          <w:lang w:val="en-GB"/>
        </w:rPr>
      </w:pPr>
    </w:p>
    <w:p w14:paraId="0E8ADB72" w14:textId="6940FB09" w:rsidR="00A3187F" w:rsidRDefault="00A3187F" w:rsidP="005B6EB7">
      <w:pPr>
        <w:pStyle w:val="ListParagraph"/>
        <w:ind w:left="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GEI explains that in evaluation whether a proceeding is collective under MLCBI, a key consideration is whether substantially all of the assets and liabilities of the Debtor Bank are dealt with in the proceeding, subject to local priorities and statutory exception, and to local exclusions relating to rights of secured creditors. In applying this to the facts, under the liquidation, the Liquidator of the Bank i.e. the DGF has the power/duty to inter alia, compile a register of creditor claims and seek to satisfy those claims. Therefore, it is reasonable to state that the Liquidation proceeding of the Bank </w:t>
      </w:r>
      <w:r w:rsidR="005B6EB7">
        <w:rPr>
          <w:rFonts w:ascii="Arial" w:hAnsi="Arial" w:cs="Arial"/>
          <w:color w:val="7B7B7B" w:themeColor="accent3" w:themeShade="BF"/>
          <w:sz w:val="22"/>
          <w:szCs w:val="22"/>
          <w:lang w:val="en-GB"/>
        </w:rPr>
        <w:t xml:space="preserve">is collective in nature. </w:t>
      </w:r>
    </w:p>
    <w:p w14:paraId="7CEB72BD" w14:textId="77777777" w:rsidR="005B6EB7" w:rsidRDefault="005B6EB7" w:rsidP="005B6EB7">
      <w:pPr>
        <w:pStyle w:val="ListParagraph"/>
        <w:ind w:left="567"/>
        <w:jc w:val="both"/>
        <w:rPr>
          <w:rFonts w:ascii="Arial" w:hAnsi="Arial" w:cs="Arial"/>
          <w:color w:val="7B7B7B" w:themeColor="accent3" w:themeShade="BF"/>
          <w:sz w:val="22"/>
          <w:szCs w:val="22"/>
          <w:lang w:val="en-GB"/>
        </w:rPr>
      </w:pPr>
    </w:p>
    <w:p w14:paraId="00115293" w14:textId="7BA54F98" w:rsidR="00A3187F" w:rsidRPr="005B6EB7" w:rsidRDefault="00FE01B0" w:rsidP="005B6EB7">
      <w:pPr>
        <w:pStyle w:val="ListParagraph"/>
        <w:ind w:left="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MLCBI does not require “insolvency-related law” as a label, it is sufficient if the law deals with or addresses insolvency or severe financial distress. </w:t>
      </w:r>
      <w:r w:rsidR="005B6EB7">
        <w:rPr>
          <w:rFonts w:ascii="Arial" w:hAnsi="Arial" w:cs="Arial"/>
          <w:color w:val="7B7B7B" w:themeColor="accent3" w:themeShade="BF"/>
          <w:sz w:val="22"/>
          <w:szCs w:val="22"/>
          <w:lang w:val="en-GB"/>
        </w:rPr>
        <w:t>The Liquidation proceeding of the Bank is pursuant to the provisions of the LBBA</w:t>
      </w:r>
      <w:r w:rsidR="005B6EB7" w:rsidRPr="00A3187F">
        <w:rPr>
          <w:rFonts w:ascii="Arial" w:hAnsi="Arial" w:cs="Arial"/>
          <w:color w:val="7B7B7B" w:themeColor="accent3" w:themeShade="BF"/>
          <w:sz w:val="22"/>
          <w:szCs w:val="22"/>
          <w:lang w:val="en-GB"/>
        </w:rPr>
        <w:t xml:space="preserve"> which empowers the DGF with powers of a liquidator</w:t>
      </w:r>
      <w:r w:rsidR="005B6EB7">
        <w:rPr>
          <w:rFonts w:ascii="Arial" w:hAnsi="Arial" w:cs="Arial"/>
          <w:color w:val="7B7B7B" w:themeColor="accent3" w:themeShade="BF"/>
          <w:sz w:val="22"/>
          <w:szCs w:val="22"/>
          <w:lang w:val="en-GB"/>
        </w:rPr>
        <w:t xml:space="preserve"> in accordance to the DGF Law. The DGF is</w:t>
      </w:r>
      <w:r w:rsidR="001126CC">
        <w:rPr>
          <w:rFonts w:ascii="Arial" w:hAnsi="Arial" w:cs="Arial"/>
          <w:color w:val="7B7B7B" w:themeColor="accent3" w:themeShade="BF"/>
          <w:sz w:val="22"/>
          <w:szCs w:val="22"/>
          <w:lang w:val="en-GB"/>
        </w:rPr>
        <w:t xml:space="preserve"> responsible for amongst others,</w:t>
      </w:r>
      <w:r w:rsidR="005B6EB7">
        <w:rPr>
          <w:rFonts w:ascii="Arial" w:hAnsi="Arial" w:cs="Arial"/>
          <w:color w:val="7B7B7B" w:themeColor="accent3" w:themeShade="BF"/>
          <w:sz w:val="22"/>
          <w:szCs w:val="22"/>
          <w:lang w:val="en-GB"/>
        </w:rPr>
        <w:t xml:space="preserve"> withdrawing insolvent banks from the market and winding down their operations via liquidation. Therefore, it can be said that the LBBA Law and DGF Law are</w:t>
      </w:r>
      <w:r w:rsidR="00ED4D98">
        <w:rPr>
          <w:rFonts w:ascii="Arial" w:hAnsi="Arial" w:cs="Arial"/>
          <w:color w:val="7B7B7B" w:themeColor="accent3" w:themeShade="BF"/>
          <w:sz w:val="22"/>
          <w:szCs w:val="22"/>
          <w:lang w:val="en-GB"/>
        </w:rPr>
        <w:t xml:space="preserve"> clearly</w:t>
      </w:r>
      <w:r w:rsidR="005B6EB7">
        <w:rPr>
          <w:rFonts w:ascii="Arial" w:hAnsi="Arial" w:cs="Arial"/>
          <w:color w:val="7B7B7B" w:themeColor="accent3" w:themeShade="BF"/>
          <w:sz w:val="22"/>
          <w:szCs w:val="22"/>
          <w:lang w:val="en-GB"/>
        </w:rPr>
        <w:t xml:space="preserve"> insolvency-related law. </w:t>
      </w:r>
    </w:p>
    <w:p w14:paraId="7424E98E" w14:textId="77777777" w:rsidR="00312182" w:rsidRPr="00785C38" w:rsidRDefault="00312182" w:rsidP="00785C38">
      <w:pPr>
        <w:pStyle w:val="ListParagraph"/>
        <w:ind w:left="567"/>
        <w:jc w:val="both"/>
        <w:rPr>
          <w:lang w:val="en-GB"/>
        </w:rPr>
      </w:pPr>
    </w:p>
    <w:p w14:paraId="2A59218E" w14:textId="76792707" w:rsidR="00785C38" w:rsidRPr="005B6EB7" w:rsidRDefault="00785C38" w:rsidP="00B54D51">
      <w:pPr>
        <w:pStyle w:val="ListParagraph"/>
        <w:numPr>
          <w:ilvl w:val="0"/>
          <w:numId w:val="26"/>
        </w:numPr>
        <w:ind w:left="567" w:hanging="567"/>
        <w:jc w:val="both"/>
        <w:rPr>
          <w:lang w:val="en-GB"/>
        </w:rPr>
      </w:pPr>
      <w:r>
        <w:rPr>
          <w:rFonts w:ascii="Arial" w:hAnsi="Arial" w:cs="Arial"/>
          <w:color w:val="7B7B7B" w:themeColor="accent3" w:themeShade="BF"/>
          <w:sz w:val="22"/>
          <w:szCs w:val="22"/>
          <w:u w:val="single"/>
          <w:lang w:val="en-GB"/>
        </w:rPr>
        <w:t>Control or supervision of the assets and affairs of the Debtor Bank by a court or another official body</w:t>
      </w:r>
    </w:p>
    <w:p w14:paraId="3D598420" w14:textId="77777777" w:rsidR="005B6EB7" w:rsidRDefault="005B6EB7" w:rsidP="005B6EB7">
      <w:pPr>
        <w:pStyle w:val="ListParagraph"/>
        <w:ind w:left="567"/>
        <w:jc w:val="both"/>
        <w:rPr>
          <w:rFonts w:ascii="Arial" w:hAnsi="Arial" w:cs="Arial"/>
          <w:color w:val="7B7B7B" w:themeColor="accent3" w:themeShade="BF"/>
          <w:sz w:val="22"/>
          <w:szCs w:val="22"/>
          <w:u w:val="single"/>
          <w:lang w:val="en-GB"/>
        </w:rPr>
      </w:pPr>
    </w:p>
    <w:p w14:paraId="2A22C3AD" w14:textId="77777777" w:rsidR="001126CC" w:rsidRDefault="005B6EB7" w:rsidP="005B6EB7">
      <w:pPr>
        <w:pStyle w:val="ListParagraph"/>
        <w:ind w:left="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365DB3">
        <w:rPr>
          <w:rFonts w:ascii="Arial" w:hAnsi="Arial" w:cs="Arial"/>
          <w:color w:val="7B7B7B" w:themeColor="accent3" w:themeShade="BF"/>
          <w:sz w:val="22"/>
          <w:szCs w:val="22"/>
          <w:lang w:val="en-GB"/>
        </w:rPr>
        <w:t xml:space="preserve">he US Court in the case of </w:t>
      </w:r>
      <w:proofErr w:type="spellStart"/>
      <w:r w:rsidR="00365DB3" w:rsidRPr="006756DB">
        <w:rPr>
          <w:rFonts w:ascii="Arial" w:hAnsi="Arial" w:cs="Arial"/>
          <w:i/>
          <w:color w:val="7B7B7B" w:themeColor="accent3" w:themeShade="BF"/>
          <w:sz w:val="22"/>
          <w:szCs w:val="22"/>
          <w:lang w:val="en-GB"/>
        </w:rPr>
        <w:t>Betcorp</w:t>
      </w:r>
      <w:proofErr w:type="spellEnd"/>
      <w:r w:rsidR="00365DB3" w:rsidRPr="006756DB">
        <w:rPr>
          <w:rFonts w:ascii="Arial" w:hAnsi="Arial" w:cs="Arial"/>
          <w:i/>
          <w:color w:val="7B7B7B" w:themeColor="accent3" w:themeShade="BF"/>
          <w:sz w:val="22"/>
          <w:szCs w:val="22"/>
          <w:lang w:val="en-GB"/>
        </w:rPr>
        <w:t xml:space="preserve"> Limited</w:t>
      </w:r>
      <w:r>
        <w:rPr>
          <w:rFonts w:ascii="Arial" w:hAnsi="Arial" w:cs="Arial"/>
          <w:color w:val="7B7B7B" w:themeColor="accent3" w:themeShade="BF"/>
          <w:sz w:val="22"/>
          <w:szCs w:val="22"/>
          <w:lang w:val="en-GB"/>
        </w:rPr>
        <w:t xml:space="preserve"> stated that control or supervision may be exercised not only directly by the Court, but also indirectly by an insolvency representative who is in turn subject to control or supervision by the Court or other regulatory authority. </w:t>
      </w:r>
    </w:p>
    <w:p w14:paraId="73EF111C" w14:textId="77777777" w:rsidR="001126CC" w:rsidRDefault="001126CC" w:rsidP="005B6EB7">
      <w:pPr>
        <w:pStyle w:val="ListParagraph"/>
        <w:ind w:left="567"/>
        <w:jc w:val="both"/>
        <w:rPr>
          <w:rFonts w:ascii="Arial" w:hAnsi="Arial" w:cs="Arial"/>
          <w:color w:val="7B7B7B" w:themeColor="accent3" w:themeShade="BF"/>
          <w:sz w:val="22"/>
          <w:szCs w:val="22"/>
          <w:lang w:val="en-GB"/>
        </w:rPr>
      </w:pPr>
    </w:p>
    <w:p w14:paraId="55B820A0" w14:textId="5EA0990B" w:rsidR="00ED4D98" w:rsidRPr="00ED4D98" w:rsidRDefault="00ED4D98" w:rsidP="005B6EB7">
      <w:pPr>
        <w:pStyle w:val="ListParagraph"/>
        <w:ind w:left="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English Court in the </w:t>
      </w:r>
      <w:r w:rsidRPr="006756DB">
        <w:rPr>
          <w:rFonts w:ascii="Arial" w:hAnsi="Arial" w:cs="Arial"/>
          <w:i/>
          <w:color w:val="7B7B7B" w:themeColor="accent3" w:themeShade="BF"/>
          <w:sz w:val="22"/>
          <w:szCs w:val="22"/>
          <w:lang w:val="en-GB"/>
        </w:rPr>
        <w:t>Angkor DD</w:t>
      </w:r>
      <w:r>
        <w:rPr>
          <w:rFonts w:ascii="Arial" w:hAnsi="Arial" w:cs="Arial"/>
          <w:color w:val="7B7B7B" w:themeColor="accent3" w:themeShade="BF"/>
          <w:sz w:val="22"/>
          <w:szCs w:val="22"/>
          <w:lang w:val="en-GB"/>
        </w:rPr>
        <w:t xml:space="preserve"> case established that the level of court supervision required under the MLCBI is relatively low and such control can be </w:t>
      </w:r>
      <w:r w:rsidR="001126CC">
        <w:rPr>
          <w:rFonts w:ascii="Arial" w:hAnsi="Arial" w:cs="Arial"/>
          <w:color w:val="7B7B7B" w:themeColor="accent3" w:themeShade="BF"/>
          <w:sz w:val="22"/>
          <w:szCs w:val="22"/>
          <w:lang w:val="en-GB"/>
        </w:rPr>
        <w:t>(</w:t>
      </w:r>
      <w:proofErr w:type="spellStart"/>
      <w:r w:rsidR="001126CC">
        <w:rPr>
          <w:rFonts w:ascii="Arial" w:hAnsi="Arial" w:cs="Arial"/>
          <w:color w:val="7B7B7B" w:themeColor="accent3" w:themeShade="BF"/>
          <w:sz w:val="22"/>
          <w:szCs w:val="22"/>
          <w:lang w:val="en-GB"/>
        </w:rPr>
        <w:t>i</w:t>
      </w:r>
      <w:proofErr w:type="spellEnd"/>
      <w:r w:rsidR="001126C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potential rather than actual and</w:t>
      </w:r>
      <w:r w:rsidR="001126CC">
        <w:rPr>
          <w:rFonts w:ascii="Arial" w:hAnsi="Arial" w:cs="Arial"/>
          <w:color w:val="7B7B7B" w:themeColor="accent3" w:themeShade="BF"/>
          <w:sz w:val="22"/>
          <w:szCs w:val="22"/>
          <w:lang w:val="en-GB"/>
        </w:rPr>
        <w:t xml:space="preserve"> (ii)</w:t>
      </w:r>
      <w:r>
        <w:rPr>
          <w:rFonts w:ascii="Arial" w:hAnsi="Arial" w:cs="Arial"/>
          <w:color w:val="7B7B7B" w:themeColor="accent3" w:themeShade="BF"/>
          <w:sz w:val="22"/>
          <w:szCs w:val="22"/>
          <w:lang w:val="en-GB"/>
        </w:rPr>
        <w:t xml:space="preserve"> indirect rather than direct. </w:t>
      </w:r>
    </w:p>
    <w:p w14:paraId="1045CC2B" w14:textId="77777777" w:rsidR="00ED4D98" w:rsidRDefault="00ED4D98" w:rsidP="005B6EB7">
      <w:pPr>
        <w:pStyle w:val="ListParagraph"/>
        <w:ind w:left="567"/>
        <w:jc w:val="both"/>
        <w:rPr>
          <w:rFonts w:ascii="Arial" w:hAnsi="Arial" w:cs="Arial"/>
          <w:color w:val="7B7B7B" w:themeColor="accent3" w:themeShade="BF"/>
          <w:sz w:val="22"/>
          <w:szCs w:val="22"/>
          <w:lang w:val="en-GB"/>
        </w:rPr>
      </w:pPr>
    </w:p>
    <w:p w14:paraId="78725867" w14:textId="766CF520" w:rsidR="00AE6067" w:rsidRDefault="005B6EB7" w:rsidP="005B6EB7">
      <w:pPr>
        <w:pStyle w:val="ListParagraph"/>
        <w:ind w:left="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 the facts, the liquidation of the B</w:t>
      </w:r>
      <w:r w:rsidR="00365DB3">
        <w:rPr>
          <w:rFonts w:ascii="Arial" w:hAnsi="Arial" w:cs="Arial"/>
          <w:color w:val="7B7B7B" w:themeColor="accent3" w:themeShade="BF"/>
          <w:sz w:val="22"/>
          <w:szCs w:val="22"/>
          <w:lang w:val="en-GB"/>
        </w:rPr>
        <w:t>ank is</w:t>
      </w:r>
      <w:r>
        <w:rPr>
          <w:rFonts w:ascii="Arial" w:hAnsi="Arial" w:cs="Arial"/>
          <w:color w:val="7B7B7B" w:themeColor="accent3" w:themeShade="BF"/>
          <w:sz w:val="22"/>
          <w:szCs w:val="22"/>
          <w:lang w:val="en-GB"/>
        </w:rPr>
        <w:t xml:space="preserve"> managed by the Liquidator i.e. the DGF which is a </w:t>
      </w:r>
      <w:r w:rsidR="00AE6067">
        <w:rPr>
          <w:rFonts w:ascii="Arial" w:hAnsi="Arial" w:cs="Arial"/>
          <w:color w:val="7B7B7B" w:themeColor="accent3" w:themeShade="BF"/>
          <w:sz w:val="22"/>
          <w:szCs w:val="22"/>
          <w:lang w:val="en-GB"/>
        </w:rPr>
        <w:t xml:space="preserve">governmental body of Country </w:t>
      </w:r>
      <w:r w:rsidR="00365DB3">
        <w:rPr>
          <w:rFonts w:ascii="Arial" w:hAnsi="Arial" w:cs="Arial"/>
          <w:color w:val="7B7B7B" w:themeColor="accent3" w:themeShade="BF"/>
          <w:sz w:val="22"/>
          <w:szCs w:val="22"/>
          <w:lang w:val="en-GB"/>
        </w:rPr>
        <w:t xml:space="preserve">A </w:t>
      </w:r>
      <w:r w:rsidR="00AE6067">
        <w:rPr>
          <w:rFonts w:ascii="Arial" w:hAnsi="Arial" w:cs="Arial"/>
          <w:color w:val="7B7B7B" w:themeColor="accent3" w:themeShade="BF"/>
          <w:sz w:val="22"/>
          <w:szCs w:val="22"/>
          <w:lang w:val="en-GB"/>
        </w:rPr>
        <w:t xml:space="preserve">which is given powers by the NB which is a regulatory body which derived its power from the Law of Country </w:t>
      </w:r>
      <w:proofErr w:type="gramStart"/>
      <w:r w:rsidR="00AE6067">
        <w:rPr>
          <w:rFonts w:ascii="Arial" w:hAnsi="Arial" w:cs="Arial"/>
          <w:color w:val="7B7B7B" w:themeColor="accent3" w:themeShade="BF"/>
          <w:sz w:val="22"/>
          <w:szCs w:val="22"/>
          <w:lang w:val="en-GB"/>
        </w:rPr>
        <w:t>A</w:t>
      </w:r>
      <w:proofErr w:type="gramEnd"/>
      <w:r w:rsidR="00AE6067">
        <w:rPr>
          <w:rFonts w:ascii="Arial" w:hAnsi="Arial" w:cs="Arial"/>
          <w:color w:val="7B7B7B" w:themeColor="accent3" w:themeShade="BF"/>
          <w:sz w:val="22"/>
          <w:szCs w:val="22"/>
          <w:lang w:val="en-GB"/>
        </w:rPr>
        <w:t xml:space="preserve"> on LBBA. The power of the liquidator under the DGF Law includes inter alia, </w:t>
      </w:r>
      <w:r w:rsidR="00AE6067" w:rsidRPr="00AE6067">
        <w:rPr>
          <w:rFonts w:ascii="Arial" w:hAnsi="Arial" w:cs="Arial"/>
          <w:color w:val="7B7B7B" w:themeColor="accent3" w:themeShade="BF"/>
          <w:sz w:val="22"/>
          <w:szCs w:val="22"/>
          <w:lang w:val="en-GB"/>
        </w:rPr>
        <w:t>power to exercise management powers and take over management of the property (i</w:t>
      </w:r>
      <w:r w:rsidR="00AE6067">
        <w:rPr>
          <w:rFonts w:ascii="Arial" w:hAnsi="Arial" w:cs="Arial"/>
          <w:color w:val="7B7B7B" w:themeColor="accent3" w:themeShade="BF"/>
          <w:sz w:val="22"/>
          <w:szCs w:val="22"/>
          <w:lang w:val="en-GB"/>
        </w:rPr>
        <w:t>ncluding the money) of the B</w:t>
      </w:r>
      <w:r w:rsidR="00ED4D98">
        <w:rPr>
          <w:rFonts w:ascii="Arial" w:hAnsi="Arial" w:cs="Arial"/>
          <w:color w:val="7B7B7B" w:themeColor="accent3" w:themeShade="BF"/>
          <w:sz w:val="22"/>
          <w:szCs w:val="22"/>
          <w:lang w:val="en-GB"/>
        </w:rPr>
        <w:t xml:space="preserve">ank and power to dispose of the Bank’s assets. </w:t>
      </w:r>
      <w:r w:rsidR="001126CC">
        <w:rPr>
          <w:rFonts w:ascii="Arial" w:hAnsi="Arial" w:cs="Arial"/>
          <w:color w:val="7B7B7B" w:themeColor="accent3" w:themeShade="BF"/>
          <w:sz w:val="22"/>
          <w:szCs w:val="22"/>
          <w:lang w:val="en-GB"/>
        </w:rPr>
        <w:t xml:space="preserve">In exercising these powers, the Liquidator would definitely need to take </w:t>
      </w:r>
      <w:r w:rsidR="00ED4D98">
        <w:rPr>
          <w:rFonts w:ascii="Arial" w:hAnsi="Arial" w:cs="Arial"/>
          <w:color w:val="7B7B7B" w:themeColor="accent3" w:themeShade="BF"/>
          <w:sz w:val="22"/>
          <w:szCs w:val="22"/>
          <w:lang w:val="en-GB"/>
        </w:rPr>
        <w:t xml:space="preserve">“control or supervision of the assets and affairs” of the Bank. </w:t>
      </w:r>
    </w:p>
    <w:p w14:paraId="06B003CC" w14:textId="77777777" w:rsidR="00AE6067" w:rsidRPr="00785C38" w:rsidRDefault="00AE6067" w:rsidP="005B6EB7">
      <w:pPr>
        <w:pStyle w:val="ListParagraph"/>
        <w:ind w:left="567"/>
        <w:jc w:val="both"/>
        <w:rPr>
          <w:lang w:val="en-GB"/>
        </w:rPr>
      </w:pPr>
    </w:p>
    <w:p w14:paraId="7FDA5844" w14:textId="2ED73797" w:rsidR="00785C38" w:rsidRPr="00AE6067" w:rsidRDefault="00785C38" w:rsidP="00B54D51">
      <w:pPr>
        <w:pStyle w:val="ListParagraph"/>
        <w:numPr>
          <w:ilvl w:val="0"/>
          <w:numId w:val="26"/>
        </w:numPr>
        <w:ind w:left="567" w:hanging="567"/>
        <w:jc w:val="both"/>
        <w:rPr>
          <w:lang w:val="en-GB"/>
        </w:rPr>
      </w:pPr>
      <w:r>
        <w:rPr>
          <w:rFonts w:ascii="Arial" w:hAnsi="Arial" w:cs="Arial"/>
          <w:color w:val="7B7B7B" w:themeColor="accent3" w:themeShade="BF"/>
          <w:sz w:val="22"/>
          <w:szCs w:val="22"/>
          <w:u w:val="single"/>
          <w:lang w:val="en-GB"/>
        </w:rPr>
        <w:t xml:space="preserve">Reorganisation or liquidation of the Debtor Bank as the purpose of the proceeding </w:t>
      </w:r>
    </w:p>
    <w:p w14:paraId="244153EC" w14:textId="77777777" w:rsidR="00AE6067" w:rsidRDefault="00AE6067" w:rsidP="00AE6067">
      <w:pPr>
        <w:pStyle w:val="ListParagraph"/>
        <w:ind w:left="567"/>
        <w:jc w:val="both"/>
        <w:rPr>
          <w:rFonts w:ascii="Arial" w:hAnsi="Arial" w:cs="Arial"/>
          <w:color w:val="7B7B7B" w:themeColor="accent3" w:themeShade="BF"/>
          <w:sz w:val="22"/>
          <w:szCs w:val="22"/>
          <w:u w:val="single"/>
          <w:lang w:val="en-GB"/>
        </w:rPr>
      </w:pPr>
    </w:p>
    <w:p w14:paraId="767EDA96" w14:textId="7ABEA6DB" w:rsidR="004668DE" w:rsidRDefault="00AE6067" w:rsidP="004668DE">
      <w:pPr>
        <w:pStyle w:val="ListParagraph"/>
        <w:ind w:left="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Based on the facts, the purpose of the proceeding is undoubtedly for the liquidation of the B</w:t>
      </w:r>
      <w:r w:rsidR="00260C25">
        <w:rPr>
          <w:rFonts w:ascii="Arial" w:hAnsi="Arial" w:cs="Arial"/>
          <w:color w:val="7B7B7B" w:themeColor="accent3" w:themeShade="BF"/>
          <w:sz w:val="22"/>
          <w:szCs w:val="22"/>
          <w:lang w:val="en-GB"/>
        </w:rPr>
        <w:t xml:space="preserve">ank as the NB was satisfied that the Bank is insolvent. That is the basis as to which </w:t>
      </w:r>
      <w:r w:rsidR="00260C25" w:rsidRPr="001126CC">
        <w:rPr>
          <w:rFonts w:ascii="Arial" w:hAnsi="Arial" w:cs="Arial"/>
          <w:color w:val="7B7B7B" w:themeColor="accent3" w:themeShade="BF"/>
          <w:sz w:val="22"/>
          <w:szCs w:val="22"/>
          <w:lang w:val="en-GB"/>
        </w:rPr>
        <w:t>the DGF was automatically appointed as the Liquidator of the Bank under Article 77 of the LBBA.</w:t>
      </w:r>
      <w:r w:rsidR="00260C25">
        <w:rPr>
          <w:rFonts w:ascii="Arial" w:hAnsi="Arial" w:cs="Arial"/>
          <w:color w:val="7B7B7B" w:themeColor="accent3" w:themeShade="BF"/>
          <w:sz w:val="22"/>
          <w:szCs w:val="22"/>
          <w:lang w:val="en-GB"/>
        </w:rPr>
        <w:t xml:space="preserve"> </w:t>
      </w:r>
    </w:p>
    <w:p w14:paraId="5C350E99" w14:textId="43E51F87" w:rsidR="004668DE" w:rsidRPr="004668DE" w:rsidRDefault="004668DE" w:rsidP="004668DE">
      <w:pPr>
        <w:jc w:val="both"/>
        <w:rPr>
          <w:lang w:val="en-GB"/>
        </w:rPr>
      </w:pPr>
      <w:r>
        <w:rPr>
          <w:rFonts w:ascii="Arial" w:hAnsi="Arial" w:cs="Arial"/>
          <w:color w:val="7B7B7B" w:themeColor="accent3" w:themeShade="BF"/>
          <w:sz w:val="22"/>
          <w:szCs w:val="22"/>
          <w:lang w:val="en-GB"/>
        </w:rPr>
        <w:lastRenderedPageBreak/>
        <w:t xml:space="preserve">Therefore, having satisfied the elements of a “foreign proceeding” as discussed above, I am of the view that the Bank’s liquidation is indeed a “foreign proceeding” within the definition of Article 2(a). </w:t>
      </w:r>
    </w:p>
    <w:p w14:paraId="2C23432D" w14:textId="77777777" w:rsidR="004668DE" w:rsidRDefault="004668DE" w:rsidP="00AE6067">
      <w:pPr>
        <w:jc w:val="both"/>
        <w:rPr>
          <w:lang w:val="en-GB"/>
        </w:rPr>
      </w:pPr>
    </w:p>
    <w:p w14:paraId="2E80DBCF" w14:textId="2DE4741A" w:rsidR="004668DE" w:rsidRDefault="004668DE" w:rsidP="004668DE">
      <w:pPr>
        <w:pStyle w:val="Heading1"/>
        <w:rPr>
          <w:b/>
        </w:rPr>
      </w:pPr>
      <w:r w:rsidRPr="004668DE">
        <w:rPr>
          <w:b/>
        </w:rPr>
        <w:t xml:space="preserve">Answer for </w:t>
      </w:r>
      <w:r>
        <w:rPr>
          <w:b/>
        </w:rPr>
        <w:t>Q</w:t>
      </w:r>
      <w:r w:rsidRPr="004668DE">
        <w:rPr>
          <w:b/>
        </w:rPr>
        <w:t>uestion 4.1.2</w:t>
      </w:r>
    </w:p>
    <w:p w14:paraId="4FBD6BC5" w14:textId="77777777" w:rsidR="00433AE1" w:rsidRPr="00433AE1" w:rsidRDefault="00433AE1" w:rsidP="00433AE1">
      <w:pPr>
        <w:rPr>
          <w:lang w:val="en-GB"/>
        </w:rPr>
      </w:pPr>
    </w:p>
    <w:p w14:paraId="59261B72" w14:textId="28DB0C98" w:rsidR="004668DE" w:rsidRDefault="004668DE" w:rsidP="004668D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Article 2(d) of the MLCBI, “foreign representative” is defined as a person or body, including one appointed on an interim basis, authorised in a foreign proceeding to administer the reorganisation or liquidation of the debtor’s assets or affairs or to act as a representative of the foreign proceeding. </w:t>
      </w:r>
    </w:p>
    <w:p w14:paraId="6021F3AD" w14:textId="77777777" w:rsidR="000E1F1A" w:rsidRDefault="000E1F1A" w:rsidP="004668DE">
      <w:pPr>
        <w:jc w:val="both"/>
        <w:rPr>
          <w:rFonts w:ascii="Arial" w:hAnsi="Arial" w:cs="Arial"/>
          <w:color w:val="7B7B7B" w:themeColor="accent3" w:themeShade="BF"/>
          <w:sz w:val="22"/>
          <w:szCs w:val="22"/>
          <w:lang w:val="en-GB"/>
        </w:rPr>
      </w:pPr>
    </w:p>
    <w:p w14:paraId="5D555918" w14:textId="7BACFF1D" w:rsidR="00A77490" w:rsidRDefault="00A77490" w:rsidP="00A77490">
      <w:pPr>
        <w:pStyle w:val="Heading1"/>
      </w:pPr>
      <w:r>
        <w:t>A person or body</w:t>
      </w:r>
      <w:r w:rsidR="00E30508">
        <w:t>, including one appointed on an interim basis</w:t>
      </w:r>
    </w:p>
    <w:p w14:paraId="053B473B" w14:textId="77777777" w:rsidR="00C92A25" w:rsidRPr="00C92A25" w:rsidRDefault="00C92A25" w:rsidP="00C92A25">
      <w:pPr>
        <w:rPr>
          <w:lang w:val="en-GB"/>
        </w:rPr>
      </w:pPr>
    </w:p>
    <w:p w14:paraId="4B385D63" w14:textId="77777777" w:rsidR="00A77490" w:rsidRDefault="000E1F1A" w:rsidP="004668DE">
      <w:pPr>
        <w:pStyle w:val="ListParagraph"/>
        <w:numPr>
          <w:ilvl w:val="0"/>
          <w:numId w:val="27"/>
        </w:numPr>
        <w:ind w:left="567" w:hanging="567"/>
        <w:jc w:val="both"/>
        <w:rPr>
          <w:rFonts w:ascii="Arial" w:hAnsi="Arial" w:cs="Arial"/>
          <w:color w:val="7B7B7B" w:themeColor="accent3" w:themeShade="BF"/>
          <w:sz w:val="22"/>
          <w:szCs w:val="22"/>
          <w:lang w:val="en-GB"/>
        </w:rPr>
      </w:pPr>
      <w:r w:rsidRPr="00A77490">
        <w:rPr>
          <w:rFonts w:ascii="Arial" w:hAnsi="Arial" w:cs="Arial"/>
          <w:color w:val="7B7B7B" w:themeColor="accent3" w:themeShade="BF"/>
          <w:sz w:val="22"/>
          <w:szCs w:val="22"/>
          <w:lang w:val="en-GB"/>
        </w:rPr>
        <w:t>The representatives in question at the point of the recognition application before the UK Court are (</w:t>
      </w:r>
      <w:proofErr w:type="spellStart"/>
      <w:r w:rsidRPr="00A77490">
        <w:rPr>
          <w:rFonts w:ascii="Arial" w:hAnsi="Arial" w:cs="Arial"/>
          <w:color w:val="7B7B7B" w:themeColor="accent3" w:themeShade="BF"/>
          <w:sz w:val="22"/>
          <w:szCs w:val="22"/>
          <w:lang w:val="en-GB"/>
        </w:rPr>
        <w:t>i</w:t>
      </w:r>
      <w:proofErr w:type="spellEnd"/>
      <w:r w:rsidRPr="00A77490">
        <w:rPr>
          <w:rFonts w:ascii="Arial" w:hAnsi="Arial" w:cs="Arial"/>
          <w:color w:val="7B7B7B" w:themeColor="accent3" w:themeShade="BF"/>
          <w:sz w:val="22"/>
          <w:szCs w:val="22"/>
          <w:lang w:val="en-GB"/>
        </w:rPr>
        <w:t xml:space="preserve">) DGF being the formally appointed Liquidator of the Bank and (ii) Ms G who is the authorised person under the DGF Law. </w:t>
      </w:r>
    </w:p>
    <w:p w14:paraId="78966FC7" w14:textId="1C3C4789" w:rsidR="00FE01B0" w:rsidRDefault="00FE01B0" w:rsidP="004668DE">
      <w:pPr>
        <w:pStyle w:val="ListParagraph"/>
        <w:numPr>
          <w:ilvl w:val="0"/>
          <w:numId w:val="27"/>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While “person” and “body” are not specifically defined, the Black’s law dictionary defines “body” as “an artificial person created by a legal authority”. </w:t>
      </w:r>
    </w:p>
    <w:p w14:paraId="2E030635" w14:textId="77777777" w:rsidR="00D1643B" w:rsidRDefault="00A77490" w:rsidP="00D1643B">
      <w:pPr>
        <w:pStyle w:val="ListParagraph"/>
        <w:numPr>
          <w:ilvl w:val="0"/>
          <w:numId w:val="27"/>
        </w:numPr>
        <w:ind w:left="567" w:hanging="567"/>
        <w:jc w:val="both"/>
        <w:rPr>
          <w:rFonts w:ascii="Arial" w:hAnsi="Arial" w:cs="Arial"/>
          <w:color w:val="7B7B7B" w:themeColor="accent3" w:themeShade="BF"/>
          <w:sz w:val="22"/>
          <w:szCs w:val="22"/>
          <w:lang w:val="en-GB"/>
        </w:rPr>
      </w:pPr>
      <w:r w:rsidRPr="00A77490">
        <w:rPr>
          <w:rFonts w:ascii="Arial" w:hAnsi="Arial" w:cs="Arial"/>
          <w:color w:val="7B7B7B" w:themeColor="accent3" w:themeShade="BF"/>
          <w:sz w:val="22"/>
          <w:szCs w:val="22"/>
          <w:lang w:val="en-GB"/>
        </w:rPr>
        <w:t xml:space="preserve">As the definition of “foreign representative” encompasses a body, </w:t>
      </w:r>
      <w:r w:rsidR="000E1F1A" w:rsidRPr="00A77490">
        <w:rPr>
          <w:rFonts w:ascii="Arial" w:hAnsi="Arial" w:cs="Arial"/>
          <w:color w:val="7B7B7B" w:themeColor="accent3" w:themeShade="BF"/>
          <w:sz w:val="22"/>
          <w:szCs w:val="22"/>
          <w:lang w:val="en-GB"/>
        </w:rPr>
        <w:t xml:space="preserve">DGF being the body who is automatically the liquidator of a bank on the date it </w:t>
      </w:r>
      <w:r w:rsidRPr="00A77490">
        <w:rPr>
          <w:rFonts w:ascii="Arial" w:hAnsi="Arial" w:cs="Arial"/>
          <w:color w:val="7B7B7B" w:themeColor="accent3" w:themeShade="BF"/>
          <w:sz w:val="22"/>
          <w:szCs w:val="22"/>
          <w:lang w:val="en-GB"/>
        </w:rPr>
        <w:t>receives</w:t>
      </w:r>
      <w:r w:rsidR="000E1F1A" w:rsidRPr="00A77490">
        <w:rPr>
          <w:rFonts w:ascii="Arial" w:hAnsi="Arial" w:cs="Arial"/>
          <w:color w:val="7B7B7B" w:themeColor="accent3" w:themeShade="BF"/>
          <w:sz w:val="22"/>
          <w:szCs w:val="22"/>
          <w:lang w:val="en-GB"/>
        </w:rPr>
        <w:t xml:space="preserve"> confirmation of the NB’s decision to revoke the Bank’s license (as per Article 77 of the LBBA)</w:t>
      </w:r>
      <w:r w:rsidR="00FE01B0">
        <w:rPr>
          <w:rFonts w:ascii="Arial" w:hAnsi="Arial" w:cs="Arial"/>
          <w:color w:val="7B7B7B" w:themeColor="accent3" w:themeShade="BF"/>
          <w:sz w:val="22"/>
          <w:szCs w:val="22"/>
          <w:lang w:val="en-GB"/>
        </w:rPr>
        <w:t xml:space="preserve"> bearing statutory powers</w:t>
      </w:r>
      <w:r w:rsidR="000E1F1A" w:rsidRPr="00A7749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should</w:t>
      </w:r>
      <w:r w:rsidRPr="00A77490">
        <w:rPr>
          <w:rFonts w:ascii="Arial" w:hAnsi="Arial" w:cs="Arial"/>
          <w:color w:val="7B7B7B" w:themeColor="accent3" w:themeShade="BF"/>
          <w:sz w:val="22"/>
          <w:szCs w:val="22"/>
          <w:lang w:val="en-GB"/>
        </w:rPr>
        <w:t xml:space="preserve"> be recognised a foreign representative. </w:t>
      </w:r>
    </w:p>
    <w:p w14:paraId="1108EE1B" w14:textId="1A634496" w:rsidR="00A77490" w:rsidRPr="00D1643B" w:rsidRDefault="00A77490" w:rsidP="00D1643B">
      <w:pPr>
        <w:pStyle w:val="ListParagraph"/>
        <w:numPr>
          <w:ilvl w:val="0"/>
          <w:numId w:val="27"/>
        </w:numPr>
        <w:ind w:left="567" w:hanging="567"/>
        <w:jc w:val="both"/>
        <w:rPr>
          <w:rFonts w:ascii="Arial" w:hAnsi="Arial" w:cs="Arial"/>
          <w:color w:val="7B7B7B" w:themeColor="accent3" w:themeShade="BF"/>
          <w:sz w:val="22"/>
          <w:szCs w:val="22"/>
          <w:lang w:val="en-GB"/>
        </w:rPr>
      </w:pPr>
      <w:r w:rsidRPr="00D1643B">
        <w:rPr>
          <w:rFonts w:ascii="Arial" w:hAnsi="Arial" w:cs="Arial"/>
          <w:color w:val="7B7B7B" w:themeColor="accent3" w:themeShade="BF"/>
          <w:sz w:val="22"/>
          <w:szCs w:val="22"/>
          <w:lang w:val="en-GB"/>
        </w:rPr>
        <w:t xml:space="preserve">Ms G, who is the authorised person </w:t>
      </w:r>
      <w:r w:rsidR="00D1643B" w:rsidRPr="00D1643B">
        <w:rPr>
          <w:rFonts w:ascii="Arial" w:hAnsi="Arial" w:cs="Arial"/>
          <w:color w:val="7B7B7B" w:themeColor="accent3" w:themeShade="BF"/>
          <w:sz w:val="22"/>
          <w:szCs w:val="22"/>
          <w:lang w:val="en-GB"/>
        </w:rPr>
        <w:t>is defined as “</w:t>
      </w:r>
      <w:r w:rsidR="00D1643B" w:rsidRPr="00D1643B">
        <w:rPr>
          <w:rFonts w:ascii="Arial" w:hAnsi="Arial" w:cs="Arial"/>
          <w:i/>
          <w:color w:val="7B7B7B" w:themeColor="accent3" w:themeShade="BF"/>
          <w:sz w:val="22"/>
          <w:szCs w:val="22"/>
          <w:lang w:val="en-GB"/>
        </w:rPr>
        <w:t>an employee of the Fund, who on behalf of the Fund and within the powers provided for by this Law and / or delegated by the Fund, performs actions to ensure the bank’s withdrawal from the market during provisional administration of the insolvent bank and/or bank liquidation</w:t>
      </w:r>
      <w:r w:rsidR="00D1643B" w:rsidRPr="00D1643B">
        <w:rPr>
          <w:rFonts w:ascii="Arial" w:hAnsi="Arial" w:cs="Arial"/>
          <w:color w:val="7B7B7B" w:themeColor="accent3" w:themeShade="BF"/>
          <w:sz w:val="22"/>
          <w:szCs w:val="22"/>
          <w:lang w:val="en-GB"/>
        </w:rPr>
        <w:t>” (</w:t>
      </w:r>
      <w:r w:rsidR="00D1643B">
        <w:rPr>
          <w:rFonts w:ascii="Arial" w:hAnsi="Arial" w:cs="Arial"/>
          <w:color w:val="7B7B7B" w:themeColor="accent3" w:themeShade="BF"/>
          <w:sz w:val="22"/>
          <w:szCs w:val="22"/>
          <w:lang w:val="en-GB"/>
        </w:rPr>
        <w:t>A</w:t>
      </w:r>
      <w:r w:rsidR="00D1643B" w:rsidRPr="00D1643B">
        <w:rPr>
          <w:rFonts w:ascii="Arial" w:hAnsi="Arial" w:cs="Arial"/>
          <w:color w:val="7B7B7B" w:themeColor="accent3" w:themeShade="BF"/>
          <w:sz w:val="22"/>
          <w:szCs w:val="22"/>
          <w:lang w:val="en-GB"/>
        </w:rPr>
        <w:t>rticle 2(1</w:t>
      </w:r>
      <w:proofErr w:type="gramStart"/>
      <w:r w:rsidR="00D1643B" w:rsidRPr="00D1643B">
        <w:rPr>
          <w:rFonts w:ascii="Arial" w:hAnsi="Arial" w:cs="Arial"/>
          <w:color w:val="7B7B7B" w:themeColor="accent3" w:themeShade="BF"/>
          <w:sz w:val="22"/>
          <w:szCs w:val="22"/>
          <w:lang w:val="en-GB"/>
        </w:rPr>
        <w:t>)(</w:t>
      </w:r>
      <w:proofErr w:type="gramEnd"/>
      <w:r w:rsidR="00D1643B" w:rsidRPr="00D1643B">
        <w:rPr>
          <w:rFonts w:ascii="Arial" w:hAnsi="Arial" w:cs="Arial"/>
          <w:color w:val="7B7B7B" w:themeColor="accent3" w:themeShade="BF"/>
          <w:sz w:val="22"/>
          <w:szCs w:val="22"/>
          <w:lang w:val="en-GB"/>
        </w:rPr>
        <w:t>17) of the DGF Law)</w:t>
      </w:r>
      <w:r w:rsidR="00D1643B">
        <w:rPr>
          <w:rFonts w:ascii="Arial" w:hAnsi="Arial" w:cs="Arial"/>
          <w:color w:val="7B7B7B" w:themeColor="accent3" w:themeShade="BF"/>
          <w:sz w:val="22"/>
          <w:szCs w:val="22"/>
          <w:lang w:val="en-GB"/>
        </w:rPr>
        <w:t xml:space="preserve">. </w:t>
      </w:r>
      <w:r w:rsidR="00D1643B" w:rsidRPr="00D1643B">
        <w:rPr>
          <w:rFonts w:ascii="Arial" w:hAnsi="Arial" w:cs="Arial"/>
          <w:color w:val="7B7B7B" w:themeColor="accent3" w:themeShade="BF"/>
          <w:sz w:val="22"/>
          <w:szCs w:val="22"/>
          <w:lang w:val="en-GB"/>
        </w:rPr>
        <w:t xml:space="preserve">In other words, Ms G is </w:t>
      </w:r>
      <w:r w:rsidRPr="00D1643B">
        <w:rPr>
          <w:rFonts w:ascii="Arial" w:hAnsi="Arial" w:cs="Arial"/>
          <w:color w:val="7B7B7B" w:themeColor="accent3" w:themeShade="BF"/>
          <w:sz w:val="22"/>
          <w:szCs w:val="22"/>
          <w:lang w:val="en-GB"/>
        </w:rPr>
        <w:t>delega</w:t>
      </w:r>
      <w:r w:rsidR="00D1643B">
        <w:rPr>
          <w:rFonts w:ascii="Arial" w:hAnsi="Arial" w:cs="Arial"/>
          <w:color w:val="7B7B7B" w:themeColor="accent3" w:themeShade="BF"/>
          <w:sz w:val="22"/>
          <w:szCs w:val="22"/>
          <w:lang w:val="en-GB"/>
        </w:rPr>
        <w:t>ted with powers of a liquidator</w:t>
      </w:r>
      <w:r w:rsidRPr="00D1643B">
        <w:rPr>
          <w:rFonts w:ascii="Arial" w:hAnsi="Arial" w:cs="Arial"/>
          <w:color w:val="7B7B7B" w:themeColor="accent3" w:themeShade="BF"/>
          <w:sz w:val="22"/>
          <w:szCs w:val="22"/>
          <w:lang w:val="en-GB"/>
        </w:rPr>
        <w:t xml:space="preserve"> (save for certain powers as set out under the DGF Law) under Article 48(3) and 35(1) of the DGF Law should also be recognised as a foreign representative under Article 2(d). </w:t>
      </w:r>
    </w:p>
    <w:p w14:paraId="7823933B" w14:textId="65B50854" w:rsidR="000E1F1A" w:rsidRDefault="000E1F1A" w:rsidP="000E1F1A">
      <w:pPr>
        <w:jc w:val="both"/>
        <w:rPr>
          <w:lang w:val="en-GB"/>
        </w:rPr>
      </w:pPr>
    </w:p>
    <w:p w14:paraId="1D1FB231" w14:textId="48C65A6E" w:rsidR="00A77490" w:rsidRDefault="00A77490" w:rsidP="00A77490">
      <w:pPr>
        <w:pStyle w:val="Heading1"/>
      </w:pPr>
      <w:r>
        <w:t xml:space="preserve">Authorised in a foreign proceeding </w:t>
      </w:r>
    </w:p>
    <w:p w14:paraId="2CEAC312" w14:textId="77777777" w:rsidR="00A77490" w:rsidRPr="00A77490" w:rsidRDefault="00A77490" w:rsidP="00A77490">
      <w:pPr>
        <w:rPr>
          <w:lang w:val="en-GB"/>
        </w:rPr>
      </w:pPr>
    </w:p>
    <w:p w14:paraId="454A475B" w14:textId="02344101" w:rsidR="00A77490" w:rsidRDefault="00A77490" w:rsidP="00A77490">
      <w:pPr>
        <w:pStyle w:val="ListParagraph"/>
        <w:numPr>
          <w:ilvl w:val="0"/>
          <w:numId w:val="27"/>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Having satisfied the pre-requisite of Article 2(a), the Liquidation proceeding of the Bank at Country A would be recognised as a foreign proceeding, as discussed at Answer 4.1.1 above. Consequentially, DGF and Ms G who are the appointed liquidator (Article 77 LBBA) and authorised officer (Article 48(d) DGF Law) respectively will be regarded as representatives “authorised in a foreign proceeding”. </w:t>
      </w:r>
    </w:p>
    <w:p w14:paraId="6F9D2DFC" w14:textId="3DF86B53" w:rsidR="00645211" w:rsidRDefault="00645211" w:rsidP="00A77490">
      <w:pPr>
        <w:pStyle w:val="ListParagraph"/>
        <w:numPr>
          <w:ilvl w:val="0"/>
          <w:numId w:val="27"/>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JP has explained that since MLCBI does not specify that the foreign repre</w:t>
      </w:r>
      <w:r w:rsidR="005A67B6">
        <w:rPr>
          <w:rFonts w:ascii="Arial" w:hAnsi="Arial" w:cs="Arial"/>
          <w:color w:val="7B7B7B" w:themeColor="accent3" w:themeShade="BF"/>
          <w:sz w:val="22"/>
          <w:szCs w:val="22"/>
          <w:lang w:val="en-GB"/>
        </w:rPr>
        <w:t>sentative needs to</w:t>
      </w:r>
      <w:r>
        <w:rPr>
          <w:rFonts w:ascii="Arial" w:hAnsi="Arial" w:cs="Arial"/>
          <w:color w:val="7B7B7B" w:themeColor="accent3" w:themeShade="BF"/>
          <w:sz w:val="22"/>
          <w:szCs w:val="22"/>
          <w:lang w:val="en-GB"/>
        </w:rPr>
        <w:t xml:space="preserve">/must be appointed or authorised by a foreign court, the definition is sufficiently broad to include representatives appointed or authorised by a special agency other than the Court. </w:t>
      </w:r>
    </w:p>
    <w:p w14:paraId="4E284D24" w14:textId="6B458AC3" w:rsidR="00C92A25" w:rsidRPr="00A77490" w:rsidRDefault="002C0E8A" w:rsidP="00A77490">
      <w:pPr>
        <w:pStyle w:val="ListParagraph"/>
        <w:numPr>
          <w:ilvl w:val="0"/>
          <w:numId w:val="27"/>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Accordingly, both Ms G who is the authorised person of the DGF and DGF being the liquidator, despite not being appointed by the Court of Country A, can be regarded as foreign representative. </w:t>
      </w:r>
    </w:p>
    <w:p w14:paraId="223E3D67" w14:textId="77777777" w:rsidR="00A77490" w:rsidRDefault="00A77490" w:rsidP="00A77490">
      <w:pPr>
        <w:rPr>
          <w:lang w:val="en-GB"/>
        </w:rPr>
      </w:pPr>
    </w:p>
    <w:p w14:paraId="42E93F29" w14:textId="504548BB" w:rsidR="00A77490" w:rsidRPr="00A77490" w:rsidRDefault="00A77490" w:rsidP="00A77490">
      <w:pPr>
        <w:pStyle w:val="Heading1"/>
      </w:pPr>
      <w:r>
        <w:t>To administer the liquidation of the debtor’s assets or affairs or to act as a representative of the foreign proceeding</w:t>
      </w:r>
    </w:p>
    <w:p w14:paraId="7C881446" w14:textId="162274D8" w:rsidR="00A77490" w:rsidRPr="00A77490" w:rsidRDefault="00A77490" w:rsidP="00A77490">
      <w:pPr>
        <w:rPr>
          <w:lang w:val="en-GB"/>
        </w:rPr>
      </w:pPr>
    </w:p>
    <w:p w14:paraId="6D0D6DB5" w14:textId="0725883A" w:rsidR="00A77490" w:rsidRDefault="00D645D8" w:rsidP="00A77490">
      <w:pPr>
        <w:pStyle w:val="ListParagraph"/>
        <w:numPr>
          <w:ilvl w:val="0"/>
          <w:numId w:val="27"/>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order to fall within the definition of Article 2(d), the representative must have power to administer the liquidation of the Bank’s assets and affairs. </w:t>
      </w:r>
    </w:p>
    <w:p w14:paraId="5BD7F6D7" w14:textId="1929F76D" w:rsidR="00D645D8" w:rsidRPr="00A77490" w:rsidRDefault="00D645D8" w:rsidP="00A77490">
      <w:pPr>
        <w:pStyle w:val="ListParagraph"/>
        <w:numPr>
          <w:ilvl w:val="0"/>
          <w:numId w:val="27"/>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the facts, it is clear that DGF being the Liquidator are empowered with statutory powers to administer the Bank’s assets and affairs as set out under the insolvency law of Country A. Such statutory powers, save for certain powers, are then further delegated to Ms G as the authorised officer under Resolution 1513. Therefore, there are sufficient </w:t>
      </w:r>
      <w:r>
        <w:rPr>
          <w:rFonts w:ascii="Arial" w:hAnsi="Arial" w:cs="Arial"/>
          <w:color w:val="7B7B7B" w:themeColor="accent3" w:themeShade="BF"/>
          <w:sz w:val="22"/>
          <w:szCs w:val="22"/>
          <w:lang w:val="en-GB"/>
        </w:rPr>
        <w:lastRenderedPageBreak/>
        <w:t xml:space="preserve">grounds to argue that both DGF and Ms G are foreign representative as both bear the power to administer the liquidation of the Bank’s assets and affairs. </w:t>
      </w:r>
    </w:p>
    <w:p w14:paraId="07D42ADC" w14:textId="77777777" w:rsidR="000E1F1A" w:rsidRDefault="000E1F1A" w:rsidP="000E1F1A">
      <w:pPr>
        <w:jc w:val="both"/>
        <w:rPr>
          <w:rFonts w:ascii="Arial" w:hAnsi="Arial" w:cs="Arial"/>
          <w:color w:val="000000"/>
          <w:sz w:val="22"/>
          <w:szCs w:val="22"/>
          <w:lang w:val="en-GB" w:eastAsia="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69494" w14:textId="77777777" w:rsidR="00BD38E9" w:rsidRDefault="00BD38E9" w:rsidP="00241B44">
      <w:r>
        <w:separator/>
      </w:r>
    </w:p>
  </w:endnote>
  <w:endnote w:type="continuationSeparator" w:id="0">
    <w:p w14:paraId="53C7A7B1" w14:textId="77777777" w:rsidR="00BD38E9" w:rsidRDefault="00BD38E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BD38E9" w:rsidRPr="00FC7B47" w:rsidRDefault="00BD38E9"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BD38E9" w:rsidRPr="00FC7B47" w:rsidRDefault="00BD38E9"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BD38E9" w:rsidRPr="00784B4B" w:rsidRDefault="00BD38E9"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Pr="00784B4B">
          <w:rPr>
            <w:rStyle w:val="PageNumber"/>
            <w:rFonts w:ascii="Arial" w:hAnsi="Arial" w:cs="Arial"/>
            <w:sz w:val="18"/>
            <w:szCs w:val="18"/>
          </w:rPr>
          <w:fldChar w:fldCharType="begin"/>
        </w:r>
        <w:r w:rsidRPr="00784B4B">
          <w:rPr>
            <w:rStyle w:val="PageNumber"/>
            <w:rFonts w:ascii="Arial" w:hAnsi="Arial" w:cs="Arial"/>
            <w:sz w:val="18"/>
            <w:szCs w:val="18"/>
          </w:rPr>
          <w:instrText xml:space="preserve"> PAGE </w:instrText>
        </w:r>
        <w:r w:rsidRPr="00784B4B">
          <w:rPr>
            <w:rStyle w:val="PageNumber"/>
            <w:rFonts w:ascii="Arial" w:hAnsi="Arial" w:cs="Arial"/>
            <w:sz w:val="18"/>
            <w:szCs w:val="18"/>
          </w:rPr>
          <w:fldChar w:fldCharType="separate"/>
        </w:r>
        <w:r w:rsidR="00887F9F">
          <w:rPr>
            <w:rStyle w:val="PageNumber"/>
            <w:rFonts w:ascii="Arial" w:hAnsi="Arial" w:cs="Arial"/>
            <w:noProof/>
            <w:sz w:val="18"/>
            <w:szCs w:val="18"/>
          </w:rPr>
          <w:t>17</w:t>
        </w:r>
        <w:r w:rsidRPr="00784B4B">
          <w:rPr>
            <w:rStyle w:val="PageNumber"/>
            <w:rFonts w:ascii="Arial" w:hAnsi="Arial" w:cs="Arial"/>
            <w:sz w:val="18"/>
            <w:szCs w:val="18"/>
          </w:rPr>
          <w:fldChar w:fldCharType="end"/>
        </w:r>
      </w:p>
    </w:sdtContent>
  </w:sdt>
  <w:p w14:paraId="7E7C1A9B" w14:textId="42BB0938" w:rsidR="00BD38E9" w:rsidRPr="00784B4B" w:rsidRDefault="0044418D" w:rsidP="0036760B">
    <w:pPr>
      <w:pStyle w:val="Footer"/>
      <w:ind w:right="360" w:firstLine="360"/>
      <w:rPr>
        <w:rFonts w:ascii="Arial" w:hAnsi="Arial" w:cs="Arial"/>
        <w:sz w:val="18"/>
        <w:szCs w:val="18"/>
      </w:rPr>
    </w:pPr>
    <w:r w:rsidRPr="0044418D">
      <w:rPr>
        <w:rFonts w:ascii="Arial" w:hAnsi="Arial" w:cs="Arial"/>
        <w:sz w:val="18"/>
        <w:szCs w:val="18"/>
      </w:rPr>
      <w:t>202122-530</w:t>
    </w:r>
    <w:r w:rsidR="00BD38E9" w:rsidRPr="00784B4B">
      <w:rPr>
        <w:rFonts w:ascii="Arial" w:hAnsi="Arial" w:cs="Arial"/>
        <w:sz w:val="18"/>
        <w:szCs w:val="18"/>
      </w:rPr>
      <w:t>.assessment2A.docx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42DCF" w14:textId="77777777" w:rsidR="00BD38E9" w:rsidRPr="00784B4B" w:rsidRDefault="00BD38E9" w:rsidP="00784B4B">
    <w:pPr>
      <w:pStyle w:val="Footer"/>
      <w:ind w:right="360"/>
      <w:rPr>
        <w:rFonts w:ascii="Arial" w:hAnsi="Arial" w:cs="Arial"/>
        <w:sz w:val="22"/>
        <w:szCs w:val="22"/>
      </w:rPr>
    </w:pPr>
    <w:proofErr w:type="gramStart"/>
    <w:r>
      <w:t>student</w:t>
    </w:r>
    <w:proofErr w:type="gramEnd"/>
    <w:r>
      <w:t xml:space="preserve"> number.assessment2A.docx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BD3B2" w14:textId="77777777" w:rsidR="00BD38E9" w:rsidRDefault="00BD38E9" w:rsidP="00241B44">
      <w:r>
        <w:separator/>
      </w:r>
    </w:p>
  </w:footnote>
  <w:footnote w:type="continuationSeparator" w:id="0">
    <w:p w14:paraId="2FE98E22" w14:textId="77777777" w:rsidR="00BD38E9" w:rsidRDefault="00BD38E9"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6B1D1D"/>
    <w:multiLevelType w:val="hybridMultilevel"/>
    <w:tmpl w:val="47061F28"/>
    <w:lvl w:ilvl="0" w:tplc="685C1B08">
      <w:start w:val="1"/>
      <w:numFmt w:val="lowerRoman"/>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 w15:restartNumberingAfterBreak="0">
    <w:nsid w:val="0F53057F"/>
    <w:multiLevelType w:val="hybridMultilevel"/>
    <w:tmpl w:val="0322A4F0"/>
    <w:lvl w:ilvl="0" w:tplc="685C1B08">
      <w:start w:val="1"/>
      <w:numFmt w:val="lowerRoman"/>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 w15:restartNumberingAfterBreak="0">
    <w:nsid w:val="11F80F09"/>
    <w:multiLevelType w:val="hybridMultilevel"/>
    <w:tmpl w:val="9BE89824"/>
    <w:lvl w:ilvl="0" w:tplc="349811E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C412A18"/>
    <w:multiLevelType w:val="hybridMultilevel"/>
    <w:tmpl w:val="B3C4E6B0"/>
    <w:lvl w:ilvl="0" w:tplc="6186B30E">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7B55D9C"/>
    <w:multiLevelType w:val="hybridMultilevel"/>
    <w:tmpl w:val="D0C01174"/>
    <w:lvl w:ilvl="0" w:tplc="C338D486">
      <w:start w:val="1"/>
      <w:numFmt w:val="lowerRoman"/>
      <w:lvlText w:val="(%1)"/>
      <w:lvlJc w:val="left"/>
      <w:pPr>
        <w:ind w:left="1440" w:hanging="720"/>
      </w:pPr>
      <w:rPr>
        <w:rFonts w:hint="default"/>
        <w:color w:val="7B7B7B" w:themeColor="accent3" w:themeShade="BF"/>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3" w15:restartNumberingAfterBreak="0">
    <w:nsid w:val="42045CF6"/>
    <w:multiLevelType w:val="hybridMultilevel"/>
    <w:tmpl w:val="E5D81BEE"/>
    <w:lvl w:ilvl="0" w:tplc="F2265276">
      <w:start w:val="1"/>
      <w:numFmt w:val="lowerLetter"/>
      <w:lvlText w:val="(%1)"/>
      <w:lvlJc w:val="left"/>
      <w:pPr>
        <w:ind w:left="720" w:hanging="360"/>
      </w:pPr>
      <w:rPr>
        <w:rFonts w:hint="default"/>
        <w:color w:val="7B7B7B" w:themeColor="accent3"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C01080F"/>
    <w:multiLevelType w:val="hybridMultilevel"/>
    <w:tmpl w:val="A2CE5888"/>
    <w:lvl w:ilvl="0" w:tplc="44090001">
      <w:start w:val="1"/>
      <w:numFmt w:val="bullet"/>
      <w:lvlText w:val=""/>
      <w:lvlJc w:val="left"/>
      <w:pPr>
        <w:ind w:left="720" w:hanging="360"/>
      </w:pPr>
      <w:rPr>
        <w:rFonts w:ascii="Symbol" w:hAnsi="Symbol" w:hint="default"/>
        <w:color w:val="7B7B7B" w:themeColor="accent3" w:themeShade="BF"/>
        <w:sz w:val="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4CB15E4A"/>
    <w:multiLevelType w:val="hybridMultilevel"/>
    <w:tmpl w:val="95509DD6"/>
    <w:lvl w:ilvl="0" w:tplc="A9F4A2CA">
      <w:start w:val="1"/>
      <w:numFmt w:val="lowerLetter"/>
      <w:lvlText w:val="(%1)"/>
      <w:lvlJc w:val="left"/>
      <w:pPr>
        <w:ind w:left="720" w:hanging="360"/>
      </w:pPr>
      <w:rPr>
        <w:rFonts w:ascii="Arial" w:hAnsi="Arial" w:cs="Arial" w:hint="default"/>
        <w:color w:val="7B7B7B" w:themeColor="accent3" w:themeShade="BF"/>
        <w:sz w:val="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4E902844"/>
    <w:multiLevelType w:val="hybridMultilevel"/>
    <w:tmpl w:val="34B8D2A4"/>
    <w:lvl w:ilvl="0" w:tplc="B9E86F52">
      <w:start w:val="1"/>
      <w:numFmt w:val="lowerLetter"/>
      <w:lvlText w:val="(%1)"/>
      <w:lvlJc w:val="left"/>
      <w:pPr>
        <w:ind w:left="720" w:hanging="360"/>
      </w:pPr>
      <w:rPr>
        <w:rFonts w:hint="default"/>
        <w:color w:val="7B7B7B" w:themeColor="accent3"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503B2B79"/>
    <w:multiLevelType w:val="hybridMultilevel"/>
    <w:tmpl w:val="F23229C4"/>
    <w:lvl w:ilvl="0" w:tplc="2A382050">
      <w:start w:val="1"/>
      <w:numFmt w:val="lowerLetter"/>
      <w:lvlText w:val="(%1)"/>
      <w:lvlJc w:val="left"/>
      <w:pPr>
        <w:ind w:left="720" w:hanging="360"/>
      </w:pPr>
      <w:rPr>
        <w:rFonts w:hint="default"/>
        <w:color w:val="7B7B7B" w:themeColor="accent3"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EE36B16"/>
    <w:multiLevelType w:val="hybridMultilevel"/>
    <w:tmpl w:val="64440538"/>
    <w:lvl w:ilvl="0" w:tplc="30B28980">
      <w:start w:val="1"/>
      <w:numFmt w:val="lowerLetter"/>
      <w:lvlText w:val="(%1)"/>
      <w:lvlJc w:val="left"/>
      <w:pPr>
        <w:ind w:left="720" w:hanging="360"/>
      </w:pPr>
      <w:rPr>
        <w:rFonts w:ascii="Arial" w:hAnsi="Arial" w:cs="Arial" w:hint="default"/>
        <w:color w:val="7B7B7B" w:themeColor="accent3" w:themeShade="BF"/>
        <w:sz w:val="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093016B"/>
    <w:multiLevelType w:val="hybridMultilevel"/>
    <w:tmpl w:val="5A500CC2"/>
    <w:lvl w:ilvl="0" w:tplc="1472AB26">
      <w:start w:val="1"/>
      <w:numFmt w:val="lowerRoman"/>
      <w:lvlText w:val="(%1)"/>
      <w:lvlJc w:val="left"/>
      <w:pPr>
        <w:ind w:left="1440" w:hanging="720"/>
      </w:pPr>
      <w:rPr>
        <w:rFonts w:hint="default"/>
        <w:color w:val="7B7B7B" w:themeColor="accent3" w:themeShade="BF"/>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4" w15:restartNumberingAfterBreak="0">
    <w:nsid w:val="74430FB6"/>
    <w:multiLevelType w:val="hybridMultilevel"/>
    <w:tmpl w:val="DE54E830"/>
    <w:lvl w:ilvl="0" w:tplc="6E344E36">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1"/>
  </w:num>
  <w:num w:numId="2">
    <w:abstractNumId w:val="19"/>
  </w:num>
  <w:num w:numId="3">
    <w:abstractNumId w:val="9"/>
  </w:num>
  <w:num w:numId="4">
    <w:abstractNumId w:val="5"/>
  </w:num>
  <w:num w:numId="5">
    <w:abstractNumId w:val="26"/>
  </w:num>
  <w:num w:numId="6">
    <w:abstractNumId w:val="25"/>
  </w:num>
  <w:num w:numId="7">
    <w:abstractNumId w:val="22"/>
  </w:num>
  <w:num w:numId="8">
    <w:abstractNumId w:val="7"/>
  </w:num>
  <w:num w:numId="9">
    <w:abstractNumId w:val="8"/>
  </w:num>
  <w:num w:numId="10">
    <w:abstractNumId w:val="14"/>
  </w:num>
  <w:num w:numId="11">
    <w:abstractNumId w:val="0"/>
  </w:num>
  <w:num w:numId="12">
    <w:abstractNumId w:val="10"/>
  </w:num>
  <w:num w:numId="13">
    <w:abstractNumId w:val="11"/>
  </w:num>
  <w:num w:numId="14">
    <w:abstractNumId w:val="4"/>
  </w:num>
  <w:num w:numId="15">
    <w:abstractNumId w:val="24"/>
  </w:num>
  <w:num w:numId="16">
    <w:abstractNumId w:val="18"/>
  </w:num>
  <w:num w:numId="17">
    <w:abstractNumId w:val="3"/>
  </w:num>
  <w:num w:numId="18">
    <w:abstractNumId w:val="17"/>
  </w:num>
  <w:num w:numId="19">
    <w:abstractNumId w:val="23"/>
  </w:num>
  <w:num w:numId="20">
    <w:abstractNumId w:val="12"/>
  </w:num>
  <w:num w:numId="21">
    <w:abstractNumId w:val="13"/>
  </w:num>
  <w:num w:numId="22">
    <w:abstractNumId w:val="2"/>
  </w:num>
  <w:num w:numId="23">
    <w:abstractNumId w:val="1"/>
  </w:num>
  <w:num w:numId="24">
    <w:abstractNumId w:val="20"/>
  </w:num>
  <w:num w:numId="25">
    <w:abstractNumId w:val="15"/>
  </w:num>
  <w:num w:numId="26">
    <w:abstractNumId w:val="16"/>
  </w:num>
  <w:num w:numId="27">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E0C"/>
    <w:rsid w:val="000077DD"/>
    <w:rsid w:val="00010BA0"/>
    <w:rsid w:val="00011778"/>
    <w:rsid w:val="00014974"/>
    <w:rsid w:val="00020557"/>
    <w:rsid w:val="0002166D"/>
    <w:rsid w:val="000232A1"/>
    <w:rsid w:val="000250C7"/>
    <w:rsid w:val="00025CCF"/>
    <w:rsid w:val="0003114A"/>
    <w:rsid w:val="0003619C"/>
    <w:rsid w:val="00037621"/>
    <w:rsid w:val="00044D46"/>
    <w:rsid w:val="00044FF4"/>
    <w:rsid w:val="00045088"/>
    <w:rsid w:val="00045904"/>
    <w:rsid w:val="000464F7"/>
    <w:rsid w:val="0005141D"/>
    <w:rsid w:val="00065166"/>
    <w:rsid w:val="00067A88"/>
    <w:rsid w:val="00073474"/>
    <w:rsid w:val="00077D49"/>
    <w:rsid w:val="00082609"/>
    <w:rsid w:val="000851CC"/>
    <w:rsid w:val="00093BE8"/>
    <w:rsid w:val="00097129"/>
    <w:rsid w:val="000A68ED"/>
    <w:rsid w:val="000B4FEB"/>
    <w:rsid w:val="000B5FF1"/>
    <w:rsid w:val="000B609F"/>
    <w:rsid w:val="000C147F"/>
    <w:rsid w:val="000C6BB9"/>
    <w:rsid w:val="000D55A8"/>
    <w:rsid w:val="000E1F1A"/>
    <w:rsid w:val="000E4841"/>
    <w:rsid w:val="000E6325"/>
    <w:rsid w:val="000F1677"/>
    <w:rsid w:val="000F3D6C"/>
    <w:rsid w:val="000F579C"/>
    <w:rsid w:val="00101707"/>
    <w:rsid w:val="0011021B"/>
    <w:rsid w:val="001126CC"/>
    <w:rsid w:val="00114082"/>
    <w:rsid w:val="0011473D"/>
    <w:rsid w:val="00115C85"/>
    <w:rsid w:val="001168EF"/>
    <w:rsid w:val="00123855"/>
    <w:rsid w:val="00126A4D"/>
    <w:rsid w:val="00135BB4"/>
    <w:rsid w:val="00140E0A"/>
    <w:rsid w:val="0014171F"/>
    <w:rsid w:val="0014622C"/>
    <w:rsid w:val="00151F58"/>
    <w:rsid w:val="00152348"/>
    <w:rsid w:val="0015456D"/>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90FD2"/>
    <w:rsid w:val="00192331"/>
    <w:rsid w:val="001966D9"/>
    <w:rsid w:val="001A24E7"/>
    <w:rsid w:val="001A2B78"/>
    <w:rsid w:val="001A7E9A"/>
    <w:rsid w:val="001B0F70"/>
    <w:rsid w:val="001B5016"/>
    <w:rsid w:val="001C45FC"/>
    <w:rsid w:val="001D02C5"/>
    <w:rsid w:val="001D4862"/>
    <w:rsid w:val="001E25B9"/>
    <w:rsid w:val="001E49E0"/>
    <w:rsid w:val="001E7B5A"/>
    <w:rsid w:val="001F7412"/>
    <w:rsid w:val="00201874"/>
    <w:rsid w:val="00202133"/>
    <w:rsid w:val="0020264E"/>
    <w:rsid w:val="0020725B"/>
    <w:rsid w:val="00215F7B"/>
    <w:rsid w:val="002175BA"/>
    <w:rsid w:val="0022599E"/>
    <w:rsid w:val="002305E8"/>
    <w:rsid w:val="0023198D"/>
    <w:rsid w:val="0023317E"/>
    <w:rsid w:val="00234F2C"/>
    <w:rsid w:val="00240B0E"/>
    <w:rsid w:val="0024116D"/>
    <w:rsid w:val="00241B44"/>
    <w:rsid w:val="00245EFB"/>
    <w:rsid w:val="00250E19"/>
    <w:rsid w:val="0025386E"/>
    <w:rsid w:val="00260C25"/>
    <w:rsid w:val="002638B0"/>
    <w:rsid w:val="00264FFF"/>
    <w:rsid w:val="002650D7"/>
    <w:rsid w:val="0026647A"/>
    <w:rsid w:val="002668D3"/>
    <w:rsid w:val="002675BE"/>
    <w:rsid w:val="00270F71"/>
    <w:rsid w:val="0027299F"/>
    <w:rsid w:val="00276913"/>
    <w:rsid w:val="0028135B"/>
    <w:rsid w:val="00282480"/>
    <w:rsid w:val="00284EBE"/>
    <w:rsid w:val="00292D06"/>
    <w:rsid w:val="0029433F"/>
    <w:rsid w:val="00294829"/>
    <w:rsid w:val="00294F3B"/>
    <w:rsid w:val="0029690F"/>
    <w:rsid w:val="002A2A60"/>
    <w:rsid w:val="002B1C45"/>
    <w:rsid w:val="002C0E8A"/>
    <w:rsid w:val="002C13C8"/>
    <w:rsid w:val="002C3547"/>
    <w:rsid w:val="002D0021"/>
    <w:rsid w:val="002D3473"/>
    <w:rsid w:val="002D5C95"/>
    <w:rsid w:val="002E00F8"/>
    <w:rsid w:val="002E1BB5"/>
    <w:rsid w:val="002E2322"/>
    <w:rsid w:val="002E38E2"/>
    <w:rsid w:val="002F1956"/>
    <w:rsid w:val="002F3440"/>
    <w:rsid w:val="002F4EC0"/>
    <w:rsid w:val="002F71BE"/>
    <w:rsid w:val="002F75A3"/>
    <w:rsid w:val="00303C2F"/>
    <w:rsid w:val="00312182"/>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3A42"/>
    <w:rsid w:val="00346B16"/>
    <w:rsid w:val="00361A0A"/>
    <w:rsid w:val="0036565C"/>
    <w:rsid w:val="00365DB3"/>
    <w:rsid w:val="0036625E"/>
    <w:rsid w:val="0036760B"/>
    <w:rsid w:val="0037465A"/>
    <w:rsid w:val="00380BAB"/>
    <w:rsid w:val="00382C98"/>
    <w:rsid w:val="0038533C"/>
    <w:rsid w:val="00386568"/>
    <w:rsid w:val="00387106"/>
    <w:rsid w:val="00391F3E"/>
    <w:rsid w:val="003948D5"/>
    <w:rsid w:val="00396821"/>
    <w:rsid w:val="00397D3A"/>
    <w:rsid w:val="003A051E"/>
    <w:rsid w:val="003A2FEE"/>
    <w:rsid w:val="003B073D"/>
    <w:rsid w:val="003B1310"/>
    <w:rsid w:val="003B170F"/>
    <w:rsid w:val="003B3C5F"/>
    <w:rsid w:val="003C1B43"/>
    <w:rsid w:val="003C2E81"/>
    <w:rsid w:val="003C4471"/>
    <w:rsid w:val="003C66B1"/>
    <w:rsid w:val="003D0A6D"/>
    <w:rsid w:val="003E079E"/>
    <w:rsid w:val="003E0B16"/>
    <w:rsid w:val="003E67D1"/>
    <w:rsid w:val="00405DC1"/>
    <w:rsid w:val="0040710D"/>
    <w:rsid w:val="0041139B"/>
    <w:rsid w:val="00413D3A"/>
    <w:rsid w:val="00415F1F"/>
    <w:rsid w:val="0042108F"/>
    <w:rsid w:val="00422242"/>
    <w:rsid w:val="00424D07"/>
    <w:rsid w:val="00430FED"/>
    <w:rsid w:val="00433AE1"/>
    <w:rsid w:val="00434A8C"/>
    <w:rsid w:val="00435583"/>
    <w:rsid w:val="00437297"/>
    <w:rsid w:val="00443403"/>
    <w:rsid w:val="0044418D"/>
    <w:rsid w:val="00444284"/>
    <w:rsid w:val="00445CE6"/>
    <w:rsid w:val="004534C2"/>
    <w:rsid w:val="0045446F"/>
    <w:rsid w:val="0045683E"/>
    <w:rsid w:val="004668DE"/>
    <w:rsid w:val="0047025B"/>
    <w:rsid w:val="00491675"/>
    <w:rsid w:val="00493855"/>
    <w:rsid w:val="0049508F"/>
    <w:rsid w:val="004A171E"/>
    <w:rsid w:val="004A57DD"/>
    <w:rsid w:val="004A7B51"/>
    <w:rsid w:val="004A7D71"/>
    <w:rsid w:val="004A7EF3"/>
    <w:rsid w:val="004B11FD"/>
    <w:rsid w:val="004B23A2"/>
    <w:rsid w:val="004C65DD"/>
    <w:rsid w:val="004D1A5A"/>
    <w:rsid w:val="004D1B3C"/>
    <w:rsid w:val="004D2AE5"/>
    <w:rsid w:val="004D2FFF"/>
    <w:rsid w:val="004D3721"/>
    <w:rsid w:val="004D64F9"/>
    <w:rsid w:val="004E0549"/>
    <w:rsid w:val="004E2E92"/>
    <w:rsid w:val="004E30B0"/>
    <w:rsid w:val="004E622C"/>
    <w:rsid w:val="004F2492"/>
    <w:rsid w:val="004F5FDF"/>
    <w:rsid w:val="0050157D"/>
    <w:rsid w:val="00506803"/>
    <w:rsid w:val="0050682B"/>
    <w:rsid w:val="00507AAC"/>
    <w:rsid w:val="005177FE"/>
    <w:rsid w:val="0052263B"/>
    <w:rsid w:val="00522C1C"/>
    <w:rsid w:val="00524728"/>
    <w:rsid w:val="00530003"/>
    <w:rsid w:val="005331CA"/>
    <w:rsid w:val="0053353F"/>
    <w:rsid w:val="00537970"/>
    <w:rsid w:val="00540B44"/>
    <w:rsid w:val="00540E3A"/>
    <w:rsid w:val="00544127"/>
    <w:rsid w:val="00544273"/>
    <w:rsid w:val="005463A9"/>
    <w:rsid w:val="00553EB2"/>
    <w:rsid w:val="00556777"/>
    <w:rsid w:val="00560534"/>
    <w:rsid w:val="0056391B"/>
    <w:rsid w:val="005650E2"/>
    <w:rsid w:val="00565292"/>
    <w:rsid w:val="0056535A"/>
    <w:rsid w:val="00565DEE"/>
    <w:rsid w:val="00567AD7"/>
    <w:rsid w:val="00573E73"/>
    <w:rsid w:val="00575B2D"/>
    <w:rsid w:val="005833D0"/>
    <w:rsid w:val="005846F3"/>
    <w:rsid w:val="0058622F"/>
    <w:rsid w:val="00587461"/>
    <w:rsid w:val="00592F82"/>
    <w:rsid w:val="005A0CCA"/>
    <w:rsid w:val="005A67B6"/>
    <w:rsid w:val="005A726D"/>
    <w:rsid w:val="005B67AC"/>
    <w:rsid w:val="005B6EB7"/>
    <w:rsid w:val="005C2C94"/>
    <w:rsid w:val="005C4865"/>
    <w:rsid w:val="005D4007"/>
    <w:rsid w:val="005D43E0"/>
    <w:rsid w:val="005D58A3"/>
    <w:rsid w:val="005E1B79"/>
    <w:rsid w:val="005E5C28"/>
    <w:rsid w:val="005F026D"/>
    <w:rsid w:val="005F21F4"/>
    <w:rsid w:val="005F2D0B"/>
    <w:rsid w:val="005F4B31"/>
    <w:rsid w:val="00610388"/>
    <w:rsid w:val="00612934"/>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45211"/>
    <w:rsid w:val="00651AE3"/>
    <w:rsid w:val="00654C2F"/>
    <w:rsid w:val="00657087"/>
    <w:rsid w:val="0066252C"/>
    <w:rsid w:val="006661EF"/>
    <w:rsid w:val="0067294B"/>
    <w:rsid w:val="006756DB"/>
    <w:rsid w:val="00677736"/>
    <w:rsid w:val="0067785F"/>
    <w:rsid w:val="00677AEB"/>
    <w:rsid w:val="00680EF2"/>
    <w:rsid w:val="006839C2"/>
    <w:rsid w:val="00687A1D"/>
    <w:rsid w:val="006920CC"/>
    <w:rsid w:val="00697EA1"/>
    <w:rsid w:val="006A1850"/>
    <w:rsid w:val="006A2646"/>
    <w:rsid w:val="006A3DF0"/>
    <w:rsid w:val="006A6530"/>
    <w:rsid w:val="006A7207"/>
    <w:rsid w:val="006B435A"/>
    <w:rsid w:val="006B4C64"/>
    <w:rsid w:val="006B4FFC"/>
    <w:rsid w:val="006C729A"/>
    <w:rsid w:val="006D6BD5"/>
    <w:rsid w:val="006E303F"/>
    <w:rsid w:val="006E481A"/>
    <w:rsid w:val="006E5298"/>
    <w:rsid w:val="006F2CE3"/>
    <w:rsid w:val="006F734A"/>
    <w:rsid w:val="00700D83"/>
    <w:rsid w:val="00704852"/>
    <w:rsid w:val="00706297"/>
    <w:rsid w:val="00706AD5"/>
    <w:rsid w:val="007074E9"/>
    <w:rsid w:val="00707FC8"/>
    <w:rsid w:val="00713DA4"/>
    <w:rsid w:val="00714BF1"/>
    <w:rsid w:val="00721383"/>
    <w:rsid w:val="0072554C"/>
    <w:rsid w:val="00725911"/>
    <w:rsid w:val="00731DBD"/>
    <w:rsid w:val="007333CC"/>
    <w:rsid w:val="0073399A"/>
    <w:rsid w:val="007422ED"/>
    <w:rsid w:val="007603F5"/>
    <w:rsid w:val="0076217D"/>
    <w:rsid w:val="00764DB0"/>
    <w:rsid w:val="0076764D"/>
    <w:rsid w:val="0077498C"/>
    <w:rsid w:val="00784128"/>
    <w:rsid w:val="00784B4B"/>
    <w:rsid w:val="007854ED"/>
    <w:rsid w:val="00785C38"/>
    <w:rsid w:val="00793173"/>
    <w:rsid w:val="007B0263"/>
    <w:rsid w:val="007B3AC7"/>
    <w:rsid w:val="007C1FCC"/>
    <w:rsid w:val="007C32A8"/>
    <w:rsid w:val="007C3FE5"/>
    <w:rsid w:val="007C6201"/>
    <w:rsid w:val="007C6988"/>
    <w:rsid w:val="007D28A1"/>
    <w:rsid w:val="007D7C92"/>
    <w:rsid w:val="007E1154"/>
    <w:rsid w:val="007E6BA4"/>
    <w:rsid w:val="007E7678"/>
    <w:rsid w:val="007F0FA6"/>
    <w:rsid w:val="007F41F8"/>
    <w:rsid w:val="007F60D0"/>
    <w:rsid w:val="0080454E"/>
    <w:rsid w:val="00804C32"/>
    <w:rsid w:val="00806302"/>
    <w:rsid w:val="00807119"/>
    <w:rsid w:val="00817D57"/>
    <w:rsid w:val="00822764"/>
    <w:rsid w:val="0082483F"/>
    <w:rsid w:val="008264CB"/>
    <w:rsid w:val="008279C0"/>
    <w:rsid w:val="00835FD1"/>
    <w:rsid w:val="0084683C"/>
    <w:rsid w:val="00853A74"/>
    <w:rsid w:val="00860503"/>
    <w:rsid w:val="00860E61"/>
    <w:rsid w:val="00867FD0"/>
    <w:rsid w:val="008723F3"/>
    <w:rsid w:val="00876BB5"/>
    <w:rsid w:val="00881DE6"/>
    <w:rsid w:val="008837A6"/>
    <w:rsid w:val="00887F9F"/>
    <w:rsid w:val="0089145D"/>
    <w:rsid w:val="008A0C6E"/>
    <w:rsid w:val="008A4DF2"/>
    <w:rsid w:val="008A6CFE"/>
    <w:rsid w:val="008A7470"/>
    <w:rsid w:val="008A77DB"/>
    <w:rsid w:val="008B1A08"/>
    <w:rsid w:val="008B2DE3"/>
    <w:rsid w:val="008B5333"/>
    <w:rsid w:val="008B6223"/>
    <w:rsid w:val="008C11B0"/>
    <w:rsid w:val="008C66E0"/>
    <w:rsid w:val="008C6978"/>
    <w:rsid w:val="008E1224"/>
    <w:rsid w:val="008E2DFA"/>
    <w:rsid w:val="008E3339"/>
    <w:rsid w:val="008E549B"/>
    <w:rsid w:val="008F18EF"/>
    <w:rsid w:val="008F20FC"/>
    <w:rsid w:val="008F2B24"/>
    <w:rsid w:val="008F5FFE"/>
    <w:rsid w:val="00901085"/>
    <w:rsid w:val="00904136"/>
    <w:rsid w:val="0090421A"/>
    <w:rsid w:val="00905A43"/>
    <w:rsid w:val="00912C79"/>
    <w:rsid w:val="009260A2"/>
    <w:rsid w:val="00942123"/>
    <w:rsid w:val="00951031"/>
    <w:rsid w:val="0095207B"/>
    <w:rsid w:val="00956085"/>
    <w:rsid w:val="00957951"/>
    <w:rsid w:val="00962045"/>
    <w:rsid w:val="009634F7"/>
    <w:rsid w:val="00967EDA"/>
    <w:rsid w:val="00970897"/>
    <w:rsid w:val="00980314"/>
    <w:rsid w:val="009816D0"/>
    <w:rsid w:val="00991428"/>
    <w:rsid w:val="00992676"/>
    <w:rsid w:val="00996691"/>
    <w:rsid w:val="009A4880"/>
    <w:rsid w:val="009A6EF2"/>
    <w:rsid w:val="009A7865"/>
    <w:rsid w:val="009B0723"/>
    <w:rsid w:val="009B07AD"/>
    <w:rsid w:val="009B0883"/>
    <w:rsid w:val="009B15E2"/>
    <w:rsid w:val="009B4A58"/>
    <w:rsid w:val="009B5832"/>
    <w:rsid w:val="009B6312"/>
    <w:rsid w:val="009C0850"/>
    <w:rsid w:val="009C0B8E"/>
    <w:rsid w:val="009C11E9"/>
    <w:rsid w:val="009C1BC8"/>
    <w:rsid w:val="009C2442"/>
    <w:rsid w:val="009D0811"/>
    <w:rsid w:val="009D0EE1"/>
    <w:rsid w:val="009D30BB"/>
    <w:rsid w:val="009D31F3"/>
    <w:rsid w:val="009E2AEB"/>
    <w:rsid w:val="009E2E27"/>
    <w:rsid w:val="009E4DE3"/>
    <w:rsid w:val="00A047EE"/>
    <w:rsid w:val="00A114EA"/>
    <w:rsid w:val="00A13893"/>
    <w:rsid w:val="00A153F7"/>
    <w:rsid w:val="00A2274A"/>
    <w:rsid w:val="00A235B7"/>
    <w:rsid w:val="00A27A7A"/>
    <w:rsid w:val="00A3187F"/>
    <w:rsid w:val="00A407EF"/>
    <w:rsid w:val="00A46B4C"/>
    <w:rsid w:val="00A5117B"/>
    <w:rsid w:val="00A54689"/>
    <w:rsid w:val="00A60074"/>
    <w:rsid w:val="00A62A08"/>
    <w:rsid w:val="00A6627C"/>
    <w:rsid w:val="00A71019"/>
    <w:rsid w:val="00A77490"/>
    <w:rsid w:val="00A81029"/>
    <w:rsid w:val="00A83CB5"/>
    <w:rsid w:val="00A96489"/>
    <w:rsid w:val="00AA3A42"/>
    <w:rsid w:val="00AA5311"/>
    <w:rsid w:val="00AB1586"/>
    <w:rsid w:val="00AB20F7"/>
    <w:rsid w:val="00AB685C"/>
    <w:rsid w:val="00AB6C2D"/>
    <w:rsid w:val="00AC08F7"/>
    <w:rsid w:val="00AC3839"/>
    <w:rsid w:val="00AC7082"/>
    <w:rsid w:val="00AD3FEA"/>
    <w:rsid w:val="00AD7BBD"/>
    <w:rsid w:val="00AE6067"/>
    <w:rsid w:val="00AF228E"/>
    <w:rsid w:val="00B0297A"/>
    <w:rsid w:val="00B04137"/>
    <w:rsid w:val="00B11D19"/>
    <w:rsid w:val="00B12936"/>
    <w:rsid w:val="00B14819"/>
    <w:rsid w:val="00B17AA9"/>
    <w:rsid w:val="00B32DE4"/>
    <w:rsid w:val="00B33578"/>
    <w:rsid w:val="00B370C3"/>
    <w:rsid w:val="00B411AE"/>
    <w:rsid w:val="00B46F2D"/>
    <w:rsid w:val="00B54D51"/>
    <w:rsid w:val="00B60190"/>
    <w:rsid w:val="00B61419"/>
    <w:rsid w:val="00B72F5F"/>
    <w:rsid w:val="00B736DF"/>
    <w:rsid w:val="00B74FBD"/>
    <w:rsid w:val="00B82586"/>
    <w:rsid w:val="00B829A3"/>
    <w:rsid w:val="00B86DB1"/>
    <w:rsid w:val="00B87869"/>
    <w:rsid w:val="00BA0E44"/>
    <w:rsid w:val="00BA47C5"/>
    <w:rsid w:val="00BB0F2B"/>
    <w:rsid w:val="00BC4BC8"/>
    <w:rsid w:val="00BD38E9"/>
    <w:rsid w:val="00BE1A50"/>
    <w:rsid w:val="00BE2E3E"/>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7ECE"/>
    <w:rsid w:val="00C72848"/>
    <w:rsid w:val="00C7736C"/>
    <w:rsid w:val="00C82D87"/>
    <w:rsid w:val="00C841ED"/>
    <w:rsid w:val="00C85F17"/>
    <w:rsid w:val="00C8712A"/>
    <w:rsid w:val="00C91324"/>
    <w:rsid w:val="00C92A25"/>
    <w:rsid w:val="00C963D3"/>
    <w:rsid w:val="00CA6E0D"/>
    <w:rsid w:val="00CB2CBB"/>
    <w:rsid w:val="00CB7CAC"/>
    <w:rsid w:val="00CC0EA0"/>
    <w:rsid w:val="00CC5335"/>
    <w:rsid w:val="00CC5BA4"/>
    <w:rsid w:val="00CC70BB"/>
    <w:rsid w:val="00CD4998"/>
    <w:rsid w:val="00CE1035"/>
    <w:rsid w:val="00CF1336"/>
    <w:rsid w:val="00CF2819"/>
    <w:rsid w:val="00CF4F9D"/>
    <w:rsid w:val="00CF68C2"/>
    <w:rsid w:val="00CF70DC"/>
    <w:rsid w:val="00D06878"/>
    <w:rsid w:val="00D148DC"/>
    <w:rsid w:val="00D1643B"/>
    <w:rsid w:val="00D17FDC"/>
    <w:rsid w:val="00D444C5"/>
    <w:rsid w:val="00D44928"/>
    <w:rsid w:val="00D45AEA"/>
    <w:rsid w:val="00D522BC"/>
    <w:rsid w:val="00D56A37"/>
    <w:rsid w:val="00D57202"/>
    <w:rsid w:val="00D63EFD"/>
    <w:rsid w:val="00D645D8"/>
    <w:rsid w:val="00D64826"/>
    <w:rsid w:val="00D717D8"/>
    <w:rsid w:val="00D80DF2"/>
    <w:rsid w:val="00D84752"/>
    <w:rsid w:val="00D85AB0"/>
    <w:rsid w:val="00D86B3B"/>
    <w:rsid w:val="00D8748A"/>
    <w:rsid w:val="00D93196"/>
    <w:rsid w:val="00D97A93"/>
    <w:rsid w:val="00DA1083"/>
    <w:rsid w:val="00DA26C8"/>
    <w:rsid w:val="00DB243C"/>
    <w:rsid w:val="00DB482A"/>
    <w:rsid w:val="00DB56F2"/>
    <w:rsid w:val="00DB6EF5"/>
    <w:rsid w:val="00DC3089"/>
    <w:rsid w:val="00DC4420"/>
    <w:rsid w:val="00DC45F4"/>
    <w:rsid w:val="00DC47D7"/>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30FA"/>
    <w:rsid w:val="00E26E19"/>
    <w:rsid w:val="00E279FD"/>
    <w:rsid w:val="00E30508"/>
    <w:rsid w:val="00E31DF3"/>
    <w:rsid w:val="00E32814"/>
    <w:rsid w:val="00E33486"/>
    <w:rsid w:val="00E36730"/>
    <w:rsid w:val="00E450A4"/>
    <w:rsid w:val="00E506BE"/>
    <w:rsid w:val="00E55547"/>
    <w:rsid w:val="00E57410"/>
    <w:rsid w:val="00E620A5"/>
    <w:rsid w:val="00E6302B"/>
    <w:rsid w:val="00E6452F"/>
    <w:rsid w:val="00E64619"/>
    <w:rsid w:val="00E64F45"/>
    <w:rsid w:val="00E6742D"/>
    <w:rsid w:val="00E71CB0"/>
    <w:rsid w:val="00E73529"/>
    <w:rsid w:val="00E77C3D"/>
    <w:rsid w:val="00E81EF6"/>
    <w:rsid w:val="00E850FE"/>
    <w:rsid w:val="00E909F0"/>
    <w:rsid w:val="00E90D47"/>
    <w:rsid w:val="00E93993"/>
    <w:rsid w:val="00E9597C"/>
    <w:rsid w:val="00EA0913"/>
    <w:rsid w:val="00EA0A2F"/>
    <w:rsid w:val="00EA20E1"/>
    <w:rsid w:val="00EB146B"/>
    <w:rsid w:val="00EB45AC"/>
    <w:rsid w:val="00EC2AEA"/>
    <w:rsid w:val="00EC7B11"/>
    <w:rsid w:val="00EC7F95"/>
    <w:rsid w:val="00ED0BC4"/>
    <w:rsid w:val="00ED3771"/>
    <w:rsid w:val="00ED4D98"/>
    <w:rsid w:val="00ED6A32"/>
    <w:rsid w:val="00EE4971"/>
    <w:rsid w:val="00EF090E"/>
    <w:rsid w:val="00F033DA"/>
    <w:rsid w:val="00F11AAB"/>
    <w:rsid w:val="00F13FB1"/>
    <w:rsid w:val="00F17C87"/>
    <w:rsid w:val="00F223E7"/>
    <w:rsid w:val="00F2288D"/>
    <w:rsid w:val="00F25779"/>
    <w:rsid w:val="00F2750A"/>
    <w:rsid w:val="00F27CD8"/>
    <w:rsid w:val="00F30351"/>
    <w:rsid w:val="00F3323E"/>
    <w:rsid w:val="00F341F4"/>
    <w:rsid w:val="00F34F9D"/>
    <w:rsid w:val="00F35CCE"/>
    <w:rsid w:val="00F36077"/>
    <w:rsid w:val="00F55241"/>
    <w:rsid w:val="00F5524B"/>
    <w:rsid w:val="00F60538"/>
    <w:rsid w:val="00F61DD2"/>
    <w:rsid w:val="00F6523A"/>
    <w:rsid w:val="00F66AFF"/>
    <w:rsid w:val="00F71433"/>
    <w:rsid w:val="00F7241A"/>
    <w:rsid w:val="00F81868"/>
    <w:rsid w:val="00F83E76"/>
    <w:rsid w:val="00F90A57"/>
    <w:rsid w:val="00F97C5B"/>
    <w:rsid w:val="00FA05D2"/>
    <w:rsid w:val="00FA359A"/>
    <w:rsid w:val="00FA3D50"/>
    <w:rsid w:val="00FB009F"/>
    <w:rsid w:val="00FB25B0"/>
    <w:rsid w:val="00FB6136"/>
    <w:rsid w:val="00FC374A"/>
    <w:rsid w:val="00FC4E99"/>
    <w:rsid w:val="00FC7B47"/>
    <w:rsid w:val="00FD035C"/>
    <w:rsid w:val="00FD1A35"/>
    <w:rsid w:val="00FD1FE6"/>
    <w:rsid w:val="00FD36C5"/>
    <w:rsid w:val="00FD428C"/>
    <w:rsid w:val="00FD6310"/>
    <w:rsid w:val="00FD7C7B"/>
    <w:rsid w:val="00FD7FD0"/>
    <w:rsid w:val="00FE01B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7F7726"/>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paragraph" w:styleId="Heading1">
    <w:name w:val="heading 1"/>
    <w:basedOn w:val="Normal"/>
    <w:next w:val="Normal"/>
    <w:link w:val="Heading1Char"/>
    <w:uiPriority w:val="9"/>
    <w:qFormat/>
    <w:rsid w:val="00CF68C2"/>
    <w:pPr>
      <w:keepNext/>
      <w:jc w:val="both"/>
      <w:outlineLvl w:val="0"/>
    </w:pPr>
    <w:rPr>
      <w:rFonts w:ascii="Arial" w:hAnsi="Arial" w:cs="Arial"/>
      <w:color w:val="7B7B7B" w:themeColor="accent3" w:themeShade="BF"/>
      <w:sz w:val="22"/>
      <w:szCs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uiPriority w:val="99"/>
    <w:unhideWhenUsed/>
    <w:rsid w:val="00135BB4"/>
    <w:pPr>
      <w:jc w:val="both"/>
    </w:pPr>
    <w:rPr>
      <w:rFonts w:ascii="Arial" w:hAnsi="Arial" w:cs="Arial"/>
      <w:color w:val="7B7B7B" w:themeColor="accent3" w:themeShade="BF"/>
      <w:sz w:val="22"/>
      <w:szCs w:val="22"/>
      <w:lang w:val="en-GB"/>
    </w:rPr>
  </w:style>
  <w:style w:type="character" w:customStyle="1" w:styleId="BodyTextChar">
    <w:name w:val="Body Text Char"/>
    <w:basedOn w:val="DefaultParagraphFont"/>
    <w:link w:val="BodyText"/>
    <w:uiPriority w:val="99"/>
    <w:rsid w:val="00135BB4"/>
    <w:rPr>
      <w:rFonts w:ascii="Arial" w:eastAsia="Times New Roman" w:hAnsi="Arial" w:cs="Arial"/>
      <w:color w:val="7B7B7B" w:themeColor="accent3" w:themeShade="BF"/>
      <w:sz w:val="22"/>
      <w:szCs w:val="22"/>
      <w:lang w:val="en-GB"/>
    </w:rPr>
  </w:style>
  <w:style w:type="character" w:customStyle="1" w:styleId="Heading1Char">
    <w:name w:val="Heading 1 Char"/>
    <w:basedOn w:val="DefaultParagraphFont"/>
    <w:link w:val="Heading1"/>
    <w:uiPriority w:val="9"/>
    <w:rsid w:val="00CF68C2"/>
    <w:rPr>
      <w:rFonts w:ascii="Arial" w:eastAsia="Times New Roman" w:hAnsi="Arial" w:cs="Arial"/>
      <w:color w:val="7B7B7B" w:themeColor="accent3" w:themeShade="BF"/>
      <w:sz w:val="22"/>
      <w:szCs w:val="2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C0994-C41A-4A18-B774-AA411BBBD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9128</TotalTime>
  <Pages>18</Pages>
  <Words>7134</Words>
  <Characters>40669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Christine Lay Kei Een</cp:lastModifiedBy>
  <cp:revision>98</cp:revision>
  <cp:lastPrinted>2019-08-27T05:42:00Z</cp:lastPrinted>
  <dcterms:created xsi:type="dcterms:W3CDTF">2021-08-31T13:05:00Z</dcterms:created>
  <dcterms:modified xsi:type="dcterms:W3CDTF">2022-02-27T15:45:00Z</dcterms:modified>
</cp:coreProperties>
</file>