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F725DC" w:rsidRDefault="0050157D" w:rsidP="00D45AEA">
      <w:pPr>
        <w:pStyle w:val="ListParagraph"/>
        <w:numPr>
          <w:ilvl w:val="0"/>
          <w:numId w:val="12"/>
        </w:numPr>
        <w:ind w:left="426"/>
        <w:jc w:val="both"/>
        <w:rPr>
          <w:rFonts w:ascii="Arial" w:hAnsi="Arial" w:cs="Arial"/>
          <w:sz w:val="22"/>
          <w:szCs w:val="22"/>
          <w:highlight w:val="yellow"/>
          <w:lang w:val="en-GB"/>
        </w:rPr>
      </w:pPr>
      <w:r w:rsidRPr="00F725DC">
        <w:rPr>
          <w:rFonts w:ascii="Arial" w:hAnsi="Arial" w:cs="Arial"/>
          <w:sz w:val="22"/>
          <w:szCs w:val="22"/>
          <w:highlight w:val="yellow"/>
          <w:lang w:val="en-GB"/>
        </w:rPr>
        <w:t>The Model Law is a substantive unification of insolvency law so as to promote co</w:t>
      </w:r>
      <w:r w:rsidR="00B61419" w:rsidRPr="00F725DC">
        <w:rPr>
          <w:rFonts w:ascii="Arial" w:hAnsi="Arial" w:cs="Arial"/>
          <w:sz w:val="22"/>
          <w:szCs w:val="22"/>
          <w:highlight w:val="yellow"/>
          <w:lang w:val="en-GB"/>
        </w:rPr>
        <w:t>-</w:t>
      </w:r>
      <w:r w:rsidRPr="00F725DC">
        <w:rPr>
          <w:rFonts w:ascii="Arial" w:hAnsi="Arial" w:cs="Arial"/>
          <w:sz w:val="22"/>
          <w:szCs w:val="22"/>
          <w:highlight w:val="yellow"/>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1" w:name="_Hlk47080379"/>
      <w:r w:rsidRPr="009B5832">
        <w:rPr>
          <w:rFonts w:ascii="Arial" w:hAnsi="Arial" w:cs="Arial"/>
          <w:sz w:val="22"/>
          <w:szCs w:val="22"/>
          <w:lang w:val="en-GB"/>
        </w:rPr>
        <w:t xml:space="preserve">All of the above.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existence of a statutory basis in national (insolvency) laws for co</w:t>
      </w:r>
      <w:r w:rsidR="00B61419" w:rsidRPr="009B5832">
        <w:rPr>
          <w:rFonts w:ascii="Arial" w:hAnsi="Arial" w:cs="Arial"/>
          <w:sz w:val="22"/>
          <w:szCs w:val="22"/>
          <w:lang w:val="en-GB"/>
        </w:rPr>
        <w:t>-</w:t>
      </w:r>
      <w:r w:rsidRPr="009B5832">
        <w:rPr>
          <w:rFonts w:ascii="Arial" w:hAnsi="Arial" w:cs="Arial"/>
          <w:sz w:val="22"/>
          <w:szCs w:val="22"/>
          <w:lang w:val="en-GB"/>
        </w:rPr>
        <w:t>operation and co</w:t>
      </w:r>
      <w:r w:rsidR="00B61419" w:rsidRPr="009B5832">
        <w:rPr>
          <w:rFonts w:ascii="Arial" w:hAnsi="Arial" w:cs="Arial"/>
          <w:sz w:val="22"/>
          <w:szCs w:val="22"/>
          <w:lang w:val="en-GB"/>
        </w:rPr>
        <w:t>-</w:t>
      </w:r>
      <w:r w:rsidRPr="009B5832">
        <w:rPr>
          <w:rFonts w:ascii="Arial" w:hAnsi="Arial" w:cs="Arial"/>
          <w:sz w:val="22"/>
          <w:szCs w:val="22"/>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F725DC" w:rsidRDefault="005F21F4" w:rsidP="005F21F4">
      <w:pPr>
        <w:pStyle w:val="ListParagraph"/>
        <w:numPr>
          <w:ilvl w:val="0"/>
          <w:numId w:val="14"/>
        </w:numPr>
        <w:ind w:left="426"/>
        <w:jc w:val="both"/>
        <w:rPr>
          <w:rFonts w:ascii="Arial" w:hAnsi="Arial" w:cs="Arial"/>
          <w:sz w:val="22"/>
          <w:szCs w:val="22"/>
          <w:highlight w:val="yellow"/>
          <w:lang w:val="en-GB"/>
        </w:rPr>
      </w:pPr>
      <w:bookmarkStart w:id="2" w:name="_Hlk47080588"/>
      <w:r w:rsidRPr="00F725DC">
        <w:rPr>
          <w:rFonts w:ascii="Arial" w:hAnsi="Arial" w:cs="Arial"/>
          <w:sz w:val="22"/>
          <w:szCs w:val="22"/>
          <w:highlight w:val="yellow"/>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F725DC" w:rsidRDefault="00853A74" w:rsidP="00853A74">
      <w:pPr>
        <w:pStyle w:val="ListParagraph"/>
        <w:numPr>
          <w:ilvl w:val="0"/>
          <w:numId w:val="16"/>
        </w:numPr>
        <w:ind w:left="426"/>
        <w:jc w:val="both"/>
        <w:rPr>
          <w:rFonts w:ascii="Arial" w:hAnsi="Arial" w:cs="Arial"/>
          <w:sz w:val="22"/>
          <w:szCs w:val="22"/>
          <w:highlight w:val="yellow"/>
          <w:lang w:val="en-GB"/>
        </w:rPr>
      </w:pPr>
      <w:r w:rsidRPr="00F725DC">
        <w:rPr>
          <w:rFonts w:ascii="Arial" w:hAnsi="Arial" w:cs="Arial"/>
          <w:sz w:val="22"/>
          <w:szCs w:val="22"/>
          <w:highlight w:val="yellow"/>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 xml:space="preserve">Cross-border insolvencies are inherently </w:t>
      </w:r>
      <w:proofErr w:type="gramStart"/>
      <w:r w:rsidR="00E57410" w:rsidRPr="009B5832">
        <w:rPr>
          <w:rFonts w:ascii="Arial" w:hAnsi="Arial" w:cs="Arial"/>
          <w:sz w:val="22"/>
          <w:szCs w:val="22"/>
          <w:lang w:val="en-GB"/>
        </w:rPr>
        <w:t>chaotic</w:t>
      </w:r>
      <w:proofErr w:type="gramEnd"/>
      <w:r w:rsidR="00E57410" w:rsidRPr="009B5832">
        <w:rPr>
          <w:rFonts w:ascii="Arial" w:hAnsi="Arial" w:cs="Arial"/>
          <w:sz w:val="22"/>
          <w:szCs w:val="22"/>
          <w:lang w:val="en-GB"/>
        </w:rPr>
        <w:t xml:space="preserve">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9B5832" w:rsidRDefault="00E57410" w:rsidP="00322F3B">
      <w:pPr>
        <w:pStyle w:val="ListParagraph"/>
        <w:numPr>
          <w:ilvl w:val="0"/>
          <w:numId w:val="18"/>
        </w:numPr>
        <w:ind w:left="426"/>
        <w:jc w:val="both"/>
        <w:rPr>
          <w:rFonts w:ascii="Arial" w:hAnsi="Arial" w:cs="Arial"/>
          <w:sz w:val="22"/>
          <w:szCs w:val="22"/>
          <w:lang w:val="en-GB"/>
        </w:rPr>
      </w:pPr>
      <w:r w:rsidRPr="00945252">
        <w:rPr>
          <w:rFonts w:ascii="Arial" w:hAnsi="Arial" w:cs="Arial"/>
          <w:sz w:val="22"/>
          <w:szCs w:val="22"/>
          <w:highlight w:val="yellow"/>
          <w:lang w:val="en-GB"/>
        </w:rPr>
        <w:t xml:space="preserve">The </w:t>
      </w:r>
      <w:r w:rsidRPr="00945252">
        <w:rPr>
          <w:rFonts w:ascii="Arial" w:hAnsi="Arial" w:cs="Arial"/>
          <w:i/>
          <w:iCs/>
          <w:sz w:val="22"/>
          <w:szCs w:val="22"/>
          <w:highlight w:val="yellow"/>
          <w:lang w:val="en-GB"/>
        </w:rPr>
        <w:t>locus standi</w:t>
      </w:r>
      <w:r w:rsidRPr="00945252">
        <w:rPr>
          <w:rFonts w:ascii="Arial" w:hAnsi="Arial" w:cs="Arial"/>
          <w:sz w:val="22"/>
          <w:szCs w:val="22"/>
          <w:highlight w:val="yellow"/>
          <w:lang w:val="en-GB"/>
        </w:rPr>
        <w:t xml:space="preserve"> access rules</w:t>
      </w:r>
      <w:r w:rsidRPr="009B5832">
        <w:rPr>
          <w:rFonts w:ascii="Arial" w:hAnsi="Arial" w:cs="Arial"/>
          <w:sz w:val="22"/>
          <w:szCs w:val="22"/>
          <w:lang w:val="en-GB"/>
        </w:rPr>
        <w:t>.</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safe conduct </w:t>
      </w:r>
      <w:proofErr w:type="gramStart"/>
      <w:r w:rsidRPr="009B5832">
        <w:rPr>
          <w:rFonts w:ascii="Arial" w:hAnsi="Arial" w:cs="Arial"/>
          <w:sz w:val="22"/>
          <w:szCs w:val="22"/>
          <w:lang w:val="en-GB"/>
        </w:rPr>
        <w:t>rule</w:t>
      </w:r>
      <w:proofErr w:type="gramEnd"/>
      <w:r w:rsidRPr="009B5832">
        <w:rPr>
          <w:rFonts w:ascii="Arial" w:hAnsi="Arial" w:cs="Arial"/>
          <w:sz w:val="22"/>
          <w:szCs w:val="22"/>
          <w:lang w:val="en-GB"/>
        </w:rPr>
        <w:t>.</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6630D7" w:rsidRDefault="00C504E5" w:rsidP="00C504E5">
      <w:pPr>
        <w:pStyle w:val="ListParagraph"/>
        <w:numPr>
          <w:ilvl w:val="0"/>
          <w:numId w:val="20"/>
        </w:numPr>
        <w:ind w:left="426"/>
        <w:jc w:val="both"/>
        <w:rPr>
          <w:rFonts w:ascii="Arial" w:hAnsi="Arial" w:cs="Arial"/>
          <w:sz w:val="22"/>
          <w:szCs w:val="22"/>
          <w:highlight w:val="yellow"/>
          <w:lang w:val="en-GB"/>
        </w:rPr>
      </w:pPr>
      <w:r w:rsidRPr="006630D7">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EF4E10" w:rsidRDefault="00B72F5F" w:rsidP="00114082">
      <w:pPr>
        <w:pStyle w:val="ListParagraph"/>
        <w:numPr>
          <w:ilvl w:val="0"/>
          <w:numId w:val="26"/>
        </w:numPr>
        <w:ind w:left="426"/>
        <w:jc w:val="both"/>
        <w:rPr>
          <w:rFonts w:ascii="Arial" w:hAnsi="Arial" w:cs="Arial"/>
          <w:sz w:val="22"/>
          <w:szCs w:val="22"/>
          <w:highlight w:val="yellow"/>
          <w:lang w:val="en-GB"/>
        </w:rPr>
      </w:pPr>
      <w:r w:rsidRPr="00EF4E10">
        <w:rPr>
          <w:rFonts w:ascii="Arial" w:hAnsi="Arial" w:cs="Arial"/>
          <w:sz w:val="22"/>
          <w:szCs w:val="22"/>
          <w:highlight w:val="yellow"/>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9B5832">
        <w:rPr>
          <w:rFonts w:ascii="Arial" w:hAnsi="Arial" w:cs="Arial"/>
          <w:sz w:val="22"/>
          <w:szCs w:val="22"/>
          <w:lang w:val="en-GB"/>
        </w:rPr>
        <w:t>will</w:t>
      </w:r>
      <w:r w:rsidRPr="009B5832">
        <w:rPr>
          <w:rFonts w:ascii="Arial" w:hAnsi="Arial" w:cs="Arial"/>
          <w:sz w:val="22"/>
          <w:szCs w:val="22"/>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77235B">
        <w:rPr>
          <w:rFonts w:ascii="Arial" w:hAnsi="Arial" w:cs="Arial"/>
          <w:sz w:val="22"/>
          <w:szCs w:val="22"/>
          <w:highlight w:val="yellow"/>
          <w:lang w:val="en-GB"/>
        </w:rPr>
        <w:t xml:space="preserve">Neither </w:t>
      </w:r>
      <w:r w:rsidR="00E73529" w:rsidRPr="0077235B">
        <w:rPr>
          <w:rFonts w:ascii="Arial" w:hAnsi="Arial" w:cs="Arial"/>
          <w:sz w:val="22"/>
          <w:szCs w:val="22"/>
          <w:highlight w:val="yellow"/>
          <w:lang w:val="en-GB"/>
        </w:rPr>
        <w:t>(</w:t>
      </w:r>
      <w:r w:rsidRPr="0077235B">
        <w:rPr>
          <w:rFonts w:ascii="Arial" w:hAnsi="Arial" w:cs="Arial"/>
          <w:sz w:val="22"/>
          <w:szCs w:val="22"/>
          <w:highlight w:val="yellow"/>
          <w:lang w:val="en-GB"/>
        </w:rPr>
        <w:t>a</w:t>
      </w:r>
      <w:r w:rsidR="00E73529" w:rsidRPr="0077235B">
        <w:rPr>
          <w:rFonts w:ascii="Arial" w:hAnsi="Arial" w:cs="Arial"/>
          <w:sz w:val="22"/>
          <w:szCs w:val="22"/>
          <w:highlight w:val="yellow"/>
          <w:lang w:val="en-GB"/>
        </w:rPr>
        <w:t>)</w:t>
      </w:r>
      <w:r w:rsidRPr="0077235B">
        <w:rPr>
          <w:rFonts w:ascii="Arial" w:hAnsi="Arial" w:cs="Arial"/>
          <w:sz w:val="22"/>
          <w:szCs w:val="22"/>
          <w:highlight w:val="yellow"/>
          <w:lang w:val="en-GB"/>
        </w:rPr>
        <w:t xml:space="preserve"> nor </w:t>
      </w:r>
      <w:r w:rsidR="00E73529" w:rsidRPr="0077235B">
        <w:rPr>
          <w:rFonts w:ascii="Arial" w:hAnsi="Arial" w:cs="Arial"/>
          <w:sz w:val="22"/>
          <w:szCs w:val="22"/>
          <w:highlight w:val="yellow"/>
          <w:lang w:val="en-GB"/>
        </w:rPr>
        <w:t>(</w:t>
      </w:r>
      <w:r w:rsidRPr="0077235B">
        <w:rPr>
          <w:rFonts w:ascii="Arial" w:hAnsi="Arial" w:cs="Arial"/>
          <w:sz w:val="22"/>
          <w:szCs w:val="22"/>
          <w:highlight w:val="yellow"/>
          <w:lang w:val="en-GB"/>
        </w:rPr>
        <w:t>b</w:t>
      </w:r>
      <w:r w:rsidR="00E73529" w:rsidRPr="0077235B">
        <w:rPr>
          <w:rFonts w:ascii="Arial" w:hAnsi="Arial" w:cs="Arial"/>
          <w:sz w:val="22"/>
          <w:szCs w:val="22"/>
          <w:highlight w:val="yellow"/>
          <w:lang w:val="en-GB"/>
        </w:rPr>
        <w:t>)</w:t>
      </w:r>
      <w:r w:rsidRPr="0077235B">
        <w:rPr>
          <w:rFonts w:ascii="Arial" w:hAnsi="Arial" w:cs="Arial"/>
          <w:sz w:val="22"/>
          <w:szCs w:val="22"/>
          <w:highlight w:val="yellow"/>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9B5832" w:rsidRDefault="004E0549" w:rsidP="00114082">
      <w:pPr>
        <w:pStyle w:val="ListParagraph"/>
        <w:numPr>
          <w:ilvl w:val="0"/>
          <w:numId w:val="28"/>
        </w:numPr>
        <w:ind w:left="426"/>
        <w:jc w:val="both"/>
        <w:rPr>
          <w:rFonts w:ascii="Arial" w:hAnsi="Arial" w:cs="Arial"/>
          <w:sz w:val="22"/>
          <w:szCs w:val="22"/>
          <w:lang w:val="en-GB"/>
        </w:rPr>
      </w:pPr>
      <w:r w:rsidRPr="00875581">
        <w:rPr>
          <w:rFonts w:ascii="Arial" w:hAnsi="Arial" w:cs="Arial"/>
          <w:sz w:val="22"/>
          <w:szCs w:val="22"/>
          <w:highlight w:val="yellow"/>
          <w:lang w:val="en-GB"/>
        </w:rPr>
        <w:t>COMI is a defined term in the Model Law</w:t>
      </w:r>
      <w:r w:rsidRPr="009B5832">
        <w:rPr>
          <w:rFonts w:ascii="Arial" w:hAnsi="Arial" w:cs="Arial"/>
          <w:sz w:val="22"/>
          <w:szCs w:val="22"/>
          <w:lang w:val="en-GB"/>
        </w:rPr>
        <w:t>.</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501F04" w:rsidRDefault="00573E73" w:rsidP="00114082">
      <w:pPr>
        <w:pStyle w:val="ListParagraph"/>
        <w:numPr>
          <w:ilvl w:val="0"/>
          <w:numId w:val="29"/>
        </w:numPr>
        <w:ind w:left="426"/>
        <w:jc w:val="both"/>
        <w:rPr>
          <w:rFonts w:ascii="Arial" w:hAnsi="Arial" w:cs="Arial"/>
          <w:sz w:val="22"/>
          <w:szCs w:val="22"/>
          <w:highlight w:val="yellow"/>
          <w:lang w:val="en-GB"/>
        </w:rPr>
      </w:pPr>
      <w:r w:rsidRPr="00501F04">
        <w:rPr>
          <w:rFonts w:ascii="Arial" w:hAnsi="Arial" w:cs="Arial"/>
          <w:sz w:val="22"/>
          <w:szCs w:val="22"/>
          <w:highlight w:val="yellow"/>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822EB5" w:rsidRDefault="00114082" w:rsidP="00114082">
      <w:pPr>
        <w:pStyle w:val="ListParagraph"/>
        <w:numPr>
          <w:ilvl w:val="0"/>
          <w:numId w:val="30"/>
        </w:numPr>
        <w:ind w:left="426"/>
        <w:jc w:val="both"/>
        <w:rPr>
          <w:rFonts w:ascii="Arial" w:hAnsi="Arial" w:cs="Arial"/>
          <w:sz w:val="22"/>
          <w:szCs w:val="22"/>
          <w:highlight w:val="yellow"/>
          <w:lang w:val="en-GB"/>
        </w:rPr>
      </w:pPr>
      <w:r w:rsidRPr="00822EB5">
        <w:rPr>
          <w:rFonts w:ascii="Arial" w:hAnsi="Arial" w:cs="Arial"/>
          <w:sz w:val="22"/>
          <w:szCs w:val="22"/>
          <w:highlight w:val="yellow"/>
          <w:lang w:val="en-GB"/>
        </w:rPr>
        <w:t>The UNCITRAL Guide of Enactment and the Legislative Guide – Parts One, Two, Three and Four</w:t>
      </w:r>
      <w:r w:rsidR="00835FD1" w:rsidRPr="00822EB5">
        <w:rPr>
          <w:rFonts w:ascii="Arial" w:hAnsi="Arial" w:cs="Arial"/>
          <w:sz w:val="22"/>
          <w:szCs w:val="22"/>
          <w:highlight w:val="yellow"/>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proofErr w:type="gramStart"/>
      <w:r w:rsidRPr="009B5832">
        <w:rPr>
          <w:rFonts w:ascii="Arial" w:hAnsi="Arial" w:cs="Arial"/>
          <w:sz w:val="22"/>
          <w:szCs w:val="22"/>
          <w:lang w:val="en-GB"/>
        </w:rPr>
        <w:t>All of</w:t>
      </w:r>
      <w:proofErr w:type="gramEnd"/>
      <w:r w:rsidRPr="009B5832">
        <w:rPr>
          <w:rFonts w:ascii="Arial" w:hAnsi="Arial" w:cs="Arial"/>
          <w:sz w:val="22"/>
          <w:szCs w:val="22"/>
          <w:lang w:val="en-GB"/>
        </w:rPr>
        <w:t xml:space="preserve">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57BCFC30" w14:textId="1D632C7C" w:rsidR="009B07AD" w:rsidRDefault="00BA6803"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appropriate date for establishing COMI or whether an establishment exists is the date </w:t>
      </w:r>
      <w:r w:rsidR="005265F8">
        <w:rPr>
          <w:rFonts w:ascii="Arial" w:hAnsi="Arial" w:cs="Arial"/>
          <w:color w:val="7B7B7B" w:themeColor="accent3" w:themeShade="BF"/>
          <w:sz w:val="22"/>
          <w:szCs w:val="22"/>
          <w:lang w:val="en-GB"/>
        </w:rPr>
        <w:t xml:space="preserve">of commencement of </w:t>
      </w:r>
      <w:r>
        <w:rPr>
          <w:rFonts w:ascii="Arial" w:hAnsi="Arial" w:cs="Arial"/>
          <w:color w:val="7B7B7B" w:themeColor="accent3" w:themeShade="BF"/>
          <w:sz w:val="22"/>
          <w:szCs w:val="22"/>
          <w:lang w:val="en-GB"/>
        </w:rPr>
        <w:t xml:space="preserve">the foreign proceeding.  </w:t>
      </w:r>
    </w:p>
    <w:p w14:paraId="00AE407B" w14:textId="7872BD22" w:rsidR="002D7AF0" w:rsidRDefault="002D7AF0"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establishment is the place of the debtor’s operations where the debtor undertakes “non-transitory economic activity with human means and goods and services.”</w:t>
      </w:r>
      <w:r>
        <w:rPr>
          <w:rStyle w:val="FootnoteReference"/>
          <w:rFonts w:ascii="Arial" w:hAnsi="Arial" w:cs="Arial"/>
          <w:color w:val="7B7B7B" w:themeColor="accent3" w:themeShade="BF"/>
          <w:sz w:val="22"/>
          <w:szCs w:val="22"/>
          <w:lang w:val="en-GB"/>
        </w:rPr>
        <w:footnoteReference w:id="1"/>
      </w:r>
    </w:p>
    <w:p w14:paraId="64CEC633" w14:textId="77777777" w:rsidR="00AD7014" w:rsidRDefault="00AD7014" w:rsidP="00707FC8">
      <w:pPr>
        <w:ind w:left="720" w:hanging="720"/>
        <w:jc w:val="both"/>
        <w:rPr>
          <w:rFonts w:ascii="Arial" w:hAnsi="Arial" w:cs="Arial"/>
          <w:color w:val="7B7B7B" w:themeColor="accent3" w:themeShade="BF"/>
          <w:sz w:val="22"/>
          <w:szCs w:val="22"/>
          <w:lang w:val="en-GB"/>
        </w:rPr>
      </w:pPr>
    </w:p>
    <w:p w14:paraId="635598AB" w14:textId="73AB2A5A" w:rsidR="00BA6803" w:rsidRDefault="00BA6803"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ascertaining the date can become a tricky issue, especially where it can be demonstrated that </w:t>
      </w:r>
      <w:r w:rsidR="00A31610">
        <w:rPr>
          <w:rFonts w:ascii="Arial" w:hAnsi="Arial" w:cs="Arial"/>
          <w:color w:val="7B7B7B" w:themeColor="accent3" w:themeShade="BF"/>
          <w:sz w:val="22"/>
          <w:szCs w:val="22"/>
          <w:lang w:val="en-GB"/>
        </w:rPr>
        <w:t>COMI has, in relation to the</w:t>
      </w:r>
      <w:r>
        <w:rPr>
          <w:rFonts w:ascii="Arial" w:hAnsi="Arial" w:cs="Arial"/>
          <w:color w:val="7B7B7B" w:themeColor="accent3" w:themeShade="BF"/>
          <w:sz w:val="22"/>
          <w:szCs w:val="22"/>
          <w:lang w:val="en-GB"/>
        </w:rPr>
        <w:t xml:space="preserve"> date on which proceedings were opened</w:t>
      </w:r>
      <w:r w:rsidR="00A31610">
        <w:rPr>
          <w:rFonts w:ascii="Arial" w:hAnsi="Arial" w:cs="Arial"/>
          <w:color w:val="7B7B7B" w:themeColor="accent3" w:themeShade="BF"/>
          <w:sz w:val="22"/>
          <w:szCs w:val="22"/>
          <w:lang w:val="en-GB"/>
        </w:rPr>
        <w:t xml:space="preserve">, </w:t>
      </w:r>
      <w:proofErr w:type="gramStart"/>
      <w:r w:rsidR="00A31610">
        <w:rPr>
          <w:rFonts w:ascii="Arial" w:hAnsi="Arial" w:cs="Arial"/>
          <w:color w:val="7B7B7B" w:themeColor="accent3" w:themeShade="BF"/>
          <w:sz w:val="22"/>
          <w:szCs w:val="22"/>
          <w:lang w:val="en-GB"/>
        </w:rPr>
        <w:t xml:space="preserve">moved </w:t>
      </w:r>
      <w:r>
        <w:rPr>
          <w:rFonts w:ascii="Arial" w:hAnsi="Arial" w:cs="Arial"/>
          <w:color w:val="7B7B7B" w:themeColor="accent3" w:themeShade="BF"/>
          <w:sz w:val="22"/>
          <w:szCs w:val="22"/>
          <w:lang w:val="en-GB"/>
        </w:rPr>
        <w:t xml:space="preserve"> –</w:t>
      </w:r>
      <w:proofErr w:type="gramEnd"/>
      <w:r>
        <w:rPr>
          <w:rFonts w:ascii="Arial" w:hAnsi="Arial" w:cs="Arial"/>
          <w:color w:val="7B7B7B" w:themeColor="accent3" w:themeShade="BF"/>
          <w:sz w:val="22"/>
          <w:szCs w:val="22"/>
          <w:lang w:val="en-GB"/>
        </w:rPr>
        <w:t xml:space="preserve"> the so-called “tourist bankruptcies” </w:t>
      </w:r>
      <w:r w:rsidR="00A31610">
        <w:rPr>
          <w:rFonts w:ascii="Arial" w:hAnsi="Arial" w:cs="Arial"/>
          <w:color w:val="7B7B7B" w:themeColor="accent3" w:themeShade="BF"/>
          <w:sz w:val="22"/>
          <w:szCs w:val="22"/>
          <w:lang w:val="en-GB"/>
        </w:rPr>
        <w:t xml:space="preserve">approach adopted by debtors.  </w:t>
      </w:r>
    </w:p>
    <w:p w14:paraId="563D975C" w14:textId="5431D804" w:rsidR="003B78C2" w:rsidRDefault="003B78C2" w:rsidP="003B78C2">
      <w:pPr>
        <w:ind w:left="720" w:hanging="720"/>
        <w:jc w:val="both"/>
        <w:rPr>
          <w:rFonts w:ascii="Arial" w:hAnsi="Arial" w:cs="Arial"/>
          <w:color w:val="7B7B7B" w:themeColor="accent3" w:themeShade="BF"/>
          <w:sz w:val="22"/>
          <w:szCs w:val="22"/>
          <w:lang w:val="en-GB"/>
        </w:rPr>
      </w:pPr>
    </w:p>
    <w:p w14:paraId="5149E79D" w14:textId="77777777" w:rsidR="00AD7014" w:rsidRDefault="003B78C2" w:rsidP="003B78C2">
      <w:pPr>
        <w:ind w:left="720" w:hanging="720"/>
        <w:jc w:val="both"/>
        <w:rPr>
          <w:rFonts w:ascii="Arial" w:hAnsi="Arial" w:cs="Arial"/>
          <w:color w:val="808080" w:themeColor="background1" w:themeShade="80"/>
          <w:sz w:val="22"/>
          <w:szCs w:val="22"/>
          <w:lang w:val="en-ZA"/>
        </w:rPr>
      </w:pPr>
      <w:r>
        <w:rPr>
          <w:rFonts w:ascii="Arial" w:hAnsi="Arial" w:cs="Arial"/>
          <w:color w:val="7B7B7B" w:themeColor="accent3" w:themeShade="BF"/>
          <w:sz w:val="22"/>
          <w:szCs w:val="22"/>
          <w:lang w:val="en-GB"/>
        </w:rPr>
        <w:t>Consider</w:t>
      </w:r>
      <w:r w:rsidR="005265F8">
        <w:rPr>
          <w:rFonts w:ascii="Arial" w:hAnsi="Arial" w:cs="Arial"/>
          <w:color w:val="7B7B7B" w:themeColor="accent3" w:themeShade="BF"/>
          <w:sz w:val="22"/>
          <w:szCs w:val="22"/>
          <w:lang w:val="en-GB"/>
        </w:rPr>
        <w:t xml:space="preserve"> the case of</w:t>
      </w:r>
      <w:r>
        <w:rPr>
          <w:rFonts w:ascii="Arial" w:hAnsi="Arial" w:cs="Arial"/>
          <w:b/>
          <w:bCs/>
          <w:color w:val="7B7B7B" w:themeColor="accent3" w:themeShade="BF"/>
          <w:sz w:val="22"/>
          <w:szCs w:val="22"/>
          <w:lang w:val="en-ZA"/>
        </w:rPr>
        <w:t xml:space="preserve"> </w:t>
      </w:r>
      <w:r w:rsidRPr="003B78C2">
        <w:rPr>
          <w:rFonts w:ascii="Arial" w:hAnsi="Arial" w:cs="Arial"/>
          <w:b/>
          <w:bCs/>
          <w:color w:val="7B7B7B" w:themeColor="accent3" w:themeShade="BF"/>
          <w:sz w:val="22"/>
          <w:szCs w:val="22"/>
          <w:lang w:val="en-ZA"/>
        </w:rPr>
        <w:t xml:space="preserve">Morning Mist Holdings Ltd. v. </w:t>
      </w:r>
      <w:proofErr w:type="spellStart"/>
      <w:r w:rsidRPr="003B78C2">
        <w:rPr>
          <w:rFonts w:ascii="Arial" w:hAnsi="Arial" w:cs="Arial"/>
          <w:b/>
          <w:bCs/>
          <w:color w:val="7B7B7B" w:themeColor="accent3" w:themeShade="BF"/>
          <w:sz w:val="22"/>
          <w:szCs w:val="22"/>
          <w:lang w:val="en-ZA"/>
        </w:rPr>
        <w:t>Krys</w:t>
      </w:r>
      <w:proofErr w:type="spellEnd"/>
      <w:r w:rsidRPr="003B78C2">
        <w:rPr>
          <w:rFonts w:ascii="Arial" w:hAnsi="Arial" w:cs="Arial"/>
          <w:b/>
          <w:bCs/>
          <w:color w:val="7B7B7B" w:themeColor="accent3" w:themeShade="BF"/>
          <w:sz w:val="22"/>
          <w:szCs w:val="22"/>
          <w:lang w:val="en-ZA"/>
        </w:rPr>
        <w:t>, No. 11-4376 (2d Cir. 2013)</w:t>
      </w:r>
      <w:r>
        <w:rPr>
          <w:rFonts w:ascii="Arial" w:hAnsi="Arial" w:cs="Arial"/>
          <w:b/>
          <w:bCs/>
          <w:color w:val="7B7B7B" w:themeColor="accent3" w:themeShade="BF"/>
          <w:sz w:val="22"/>
          <w:szCs w:val="22"/>
          <w:lang w:val="en-ZA"/>
        </w:rPr>
        <w:t xml:space="preserve"> </w:t>
      </w:r>
      <w:r w:rsidR="00AD7014">
        <w:rPr>
          <w:rFonts w:ascii="Arial" w:hAnsi="Arial" w:cs="Arial"/>
          <w:b/>
          <w:bCs/>
          <w:color w:val="7B7B7B" w:themeColor="accent3" w:themeShade="BF"/>
          <w:sz w:val="22"/>
          <w:szCs w:val="22"/>
          <w:lang w:val="en-ZA"/>
        </w:rPr>
        <w:t xml:space="preserve">in </w:t>
      </w:r>
      <w:r>
        <w:rPr>
          <w:rFonts w:ascii="Arial" w:hAnsi="Arial" w:cs="Arial"/>
          <w:color w:val="808080" w:themeColor="background1" w:themeShade="80"/>
          <w:sz w:val="22"/>
          <w:szCs w:val="22"/>
          <w:lang w:val="en-ZA"/>
        </w:rPr>
        <w:t xml:space="preserve">which </w:t>
      </w:r>
      <w:r w:rsidR="00AD7014">
        <w:rPr>
          <w:rFonts w:ascii="Arial" w:hAnsi="Arial" w:cs="Arial"/>
          <w:color w:val="808080" w:themeColor="background1" w:themeShade="80"/>
          <w:sz w:val="22"/>
          <w:szCs w:val="22"/>
          <w:lang w:val="en-ZA"/>
        </w:rPr>
        <w:t xml:space="preserve">the Court </w:t>
      </w:r>
      <w:r w:rsidR="005265F8">
        <w:rPr>
          <w:rFonts w:ascii="Arial" w:hAnsi="Arial" w:cs="Arial"/>
          <w:color w:val="808080" w:themeColor="background1" w:themeShade="80"/>
          <w:sz w:val="22"/>
          <w:szCs w:val="22"/>
          <w:lang w:val="en-ZA"/>
        </w:rPr>
        <w:t xml:space="preserve">held that the debtor’s COMI should be determined based on its activities at or around the time the Chapter 15 petition is field.  </w:t>
      </w:r>
    </w:p>
    <w:p w14:paraId="605C924C" w14:textId="17171E27" w:rsidR="00C335FA" w:rsidRDefault="003B78C2" w:rsidP="003B78C2">
      <w:pPr>
        <w:ind w:left="720" w:hanging="720"/>
        <w:jc w:val="both"/>
        <w:rPr>
          <w:rFonts w:ascii="Arial" w:hAnsi="Arial" w:cs="Arial"/>
          <w:color w:val="7B7B7B" w:themeColor="accent3" w:themeShade="BF"/>
          <w:sz w:val="22"/>
          <w:szCs w:val="22"/>
          <w:lang w:val="en-ZA"/>
        </w:rPr>
      </w:pPr>
      <w:r w:rsidRPr="003B78C2">
        <w:rPr>
          <w:rFonts w:ascii="Arial" w:hAnsi="Arial" w:cs="Arial"/>
          <w:color w:val="7B7B7B" w:themeColor="accent3" w:themeShade="BF"/>
          <w:sz w:val="22"/>
          <w:szCs w:val="22"/>
          <w:lang w:val="en-ZA"/>
        </w:rPr>
        <w:lastRenderedPageBreak/>
        <w:t xml:space="preserve">The </w:t>
      </w:r>
      <w:r w:rsidR="00AD7014">
        <w:rPr>
          <w:rFonts w:ascii="Arial" w:hAnsi="Arial" w:cs="Arial"/>
          <w:color w:val="7B7B7B" w:themeColor="accent3" w:themeShade="BF"/>
          <w:sz w:val="22"/>
          <w:szCs w:val="22"/>
          <w:lang w:val="en-ZA"/>
        </w:rPr>
        <w:t xml:space="preserve">Court reiterated the </w:t>
      </w:r>
      <w:r w:rsidRPr="003B78C2">
        <w:rPr>
          <w:rFonts w:ascii="Arial" w:hAnsi="Arial" w:cs="Arial"/>
          <w:color w:val="7B7B7B" w:themeColor="accent3" w:themeShade="BF"/>
          <w:sz w:val="22"/>
          <w:szCs w:val="22"/>
          <w:lang w:val="en-ZA"/>
        </w:rPr>
        <w:t>relevant principle</w:t>
      </w:r>
      <w:r w:rsidR="00AD7014">
        <w:rPr>
          <w:rFonts w:ascii="Arial" w:hAnsi="Arial" w:cs="Arial"/>
          <w:color w:val="7B7B7B" w:themeColor="accent3" w:themeShade="BF"/>
          <w:sz w:val="22"/>
          <w:szCs w:val="22"/>
          <w:lang w:val="en-ZA"/>
        </w:rPr>
        <w:t>,</w:t>
      </w:r>
      <w:r w:rsidRPr="003B78C2">
        <w:rPr>
          <w:rFonts w:ascii="Arial" w:hAnsi="Arial" w:cs="Arial"/>
          <w:color w:val="7B7B7B" w:themeColor="accent3" w:themeShade="BF"/>
          <w:sz w:val="22"/>
          <w:szCs w:val="22"/>
          <w:lang w:val="en-ZA"/>
        </w:rPr>
        <w:t xml:space="preserve"> that the </w:t>
      </w:r>
      <w:r w:rsidR="00AD7014">
        <w:rPr>
          <w:rFonts w:ascii="Arial" w:hAnsi="Arial" w:cs="Arial"/>
          <w:color w:val="7B7B7B" w:themeColor="accent3" w:themeShade="BF"/>
          <w:sz w:val="22"/>
          <w:szCs w:val="22"/>
          <w:lang w:val="en-ZA"/>
        </w:rPr>
        <w:t xml:space="preserve">debtor’s </w:t>
      </w:r>
      <w:r w:rsidRPr="003B78C2">
        <w:rPr>
          <w:rFonts w:ascii="Arial" w:hAnsi="Arial" w:cs="Arial"/>
          <w:color w:val="7B7B7B" w:themeColor="accent3" w:themeShade="BF"/>
          <w:sz w:val="22"/>
          <w:szCs w:val="22"/>
          <w:lang w:val="en-ZA"/>
        </w:rPr>
        <w:t xml:space="preserve">COMI lies where the debtor conducts its regular business, </w:t>
      </w:r>
      <w:r w:rsidR="00AD7014">
        <w:rPr>
          <w:rFonts w:ascii="Arial" w:hAnsi="Arial" w:cs="Arial"/>
          <w:color w:val="7B7B7B" w:themeColor="accent3" w:themeShade="BF"/>
          <w:sz w:val="22"/>
          <w:szCs w:val="22"/>
          <w:lang w:val="en-ZA"/>
        </w:rPr>
        <w:t>such that it is</w:t>
      </w:r>
      <w:r w:rsidRPr="003B78C2">
        <w:rPr>
          <w:rFonts w:ascii="Arial" w:hAnsi="Arial" w:cs="Arial"/>
          <w:color w:val="7B7B7B" w:themeColor="accent3" w:themeShade="BF"/>
          <w:sz w:val="22"/>
          <w:szCs w:val="22"/>
          <w:lang w:val="en-ZA"/>
        </w:rPr>
        <w:t xml:space="preserve"> ascertainable by third parties.</w:t>
      </w:r>
      <w:r w:rsidR="006166D0">
        <w:rPr>
          <w:rStyle w:val="FootnoteReference"/>
          <w:rFonts w:ascii="Arial" w:hAnsi="Arial" w:cs="Arial"/>
          <w:color w:val="7B7B7B" w:themeColor="accent3" w:themeShade="BF"/>
          <w:sz w:val="22"/>
          <w:szCs w:val="22"/>
          <w:lang w:val="en-ZA"/>
        </w:rPr>
        <w:footnoteReference w:id="2"/>
      </w:r>
      <w:r w:rsidR="00C335FA">
        <w:rPr>
          <w:rFonts w:ascii="Arial" w:hAnsi="Arial" w:cs="Arial"/>
          <w:color w:val="7B7B7B" w:themeColor="accent3" w:themeShade="BF"/>
          <w:sz w:val="22"/>
          <w:szCs w:val="22"/>
          <w:lang w:val="en-ZA"/>
        </w:rPr>
        <w:t xml:space="preserve">  </w:t>
      </w:r>
    </w:p>
    <w:p w14:paraId="7F1A3D3B" w14:textId="3702BF51" w:rsidR="0036086B" w:rsidRDefault="0036086B" w:rsidP="003B78C2">
      <w:pPr>
        <w:ind w:left="720" w:hanging="720"/>
        <w:jc w:val="both"/>
        <w:rPr>
          <w:rFonts w:ascii="Arial" w:hAnsi="Arial" w:cs="Arial"/>
          <w:color w:val="7B7B7B" w:themeColor="accent3" w:themeShade="BF"/>
          <w:sz w:val="22"/>
          <w:szCs w:val="22"/>
          <w:lang w:val="en-ZA"/>
        </w:rPr>
      </w:pPr>
    </w:p>
    <w:p w14:paraId="635C716E" w14:textId="435DAEF3" w:rsidR="0036086B" w:rsidRPr="0036086B" w:rsidRDefault="0036086B" w:rsidP="0036086B">
      <w:pPr>
        <w:ind w:left="720" w:hanging="720"/>
        <w:jc w:val="both"/>
        <w:rPr>
          <w:rFonts w:ascii="Arial" w:hAnsi="Arial" w:cs="Arial"/>
          <w:color w:val="7B7B7B" w:themeColor="accent3" w:themeShade="BF"/>
          <w:sz w:val="22"/>
          <w:szCs w:val="22"/>
          <w:lang w:val="en-GB"/>
        </w:rPr>
      </w:pPr>
      <w:proofErr w:type="gramStart"/>
      <w:r w:rsidRPr="0036086B">
        <w:rPr>
          <w:rFonts w:ascii="Arial" w:hAnsi="Arial" w:cs="Arial"/>
          <w:color w:val="7B7B7B" w:themeColor="accent3" w:themeShade="BF"/>
          <w:sz w:val="22"/>
          <w:szCs w:val="22"/>
          <w:lang w:val="en-GB"/>
        </w:rPr>
        <w:t>Th</w:t>
      </w:r>
      <w:r>
        <w:rPr>
          <w:rFonts w:ascii="Arial" w:hAnsi="Arial" w:cs="Arial"/>
          <w:color w:val="7B7B7B" w:themeColor="accent3" w:themeShade="BF"/>
          <w:sz w:val="22"/>
          <w:szCs w:val="22"/>
          <w:lang w:val="en-GB"/>
        </w:rPr>
        <w:t>us</w:t>
      </w:r>
      <w:proofErr w:type="gramEnd"/>
      <w:r>
        <w:rPr>
          <w:rFonts w:ascii="Arial" w:hAnsi="Arial" w:cs="Arial"/>
          <w:color w:val="7B7B7B" w:themeColor="accent3" w:themeShade="BF"/>
          <w:sz w:val="22"/>
          <w:szCs w:val="22"/>
          <w:lang w:val="en-GB"/>
        </w:rPr>
        <w:t xml:space="preserve"> the</w:t>
      </w:r>
      <w:r w:rsidRPr="0036086B">
        <w:rPr>
          <w:rFonts w:ascii="Arial" w:hAnsi="Arial" w:cs="Arial"/>
          <w:color w:val="7B7B7B" w:themeColor="accent3" w:themeShade="BF"/>
          <w:sz w:val="22"/>
          <w:szCs w:val="22"/>
          <w:lang w:val="en-GB"/>
        </w:rPr>
        <w:t xml:space="preserve"> establishment of COMI involves an exercise </w:t>
      </w:r>
      <w:r w:rsidR="00BC4306">
        <w:rPr>
          <w:rFonts w:ascii="Arial" w:hAnsi="Arial" w:cs="Arial"/>
          <w:color w:val="7B7B7B" w:themeColor="accent3" w:themeShade="BF"/>
          <w:sz w:val="22"/>
          <w:szCs w:val="22"/>
          <w:lang w:val="en-GB"/>
        </w:rPr>
        <w:t xml:space="preserve">assessing a </w:t>
      </w:r>
      <w:r w:rsidRPr="0036086B">
        <w:rPr>
          <w:rFonts w:ascii="Arial" w:hAnsi="Arial" w:cs="Arial"/>
          <w:color w:val="7B7B7B" w:themeColor="accent3" w:themeShade="BF"/>
          <w:sz w:val="22"/>
          <w:szCs w:val="22"/>
          <w:lang w:val="en-GB"/>
        </w:rPr>
        <w:t>myriad of factors</w:t>
      </w:r>
      <w:r w:rsidR="00BC4306">
        <w:rPr>
          <w:rFonts w:ascii="Arial" w:hAnsi="Arial" w:cs="Arial"/>
          <w:color w:val="7B7B7B" w:themeColor="accent3" w:themeShade="BF"/>
          <w:sz w:val="22"/>
          <w:szCs w:val="22"/>
          <w:lang w:val="en-GB"/>
        </w:rPr>
        <w:t xml:space="preserve"> such as, </w:t>
      </w:r>
      <w:r w:rsidRPr="0036086B">
        <w:rPr>
          <w:rFonts w:ascii="Arial" w:hAnsi="Arial" w:cs="Arial"/>
          <w:color w:val="7B7B7B" w:themeColor="accent3" w:themeShade="BF"/>
          <w:sz w:val="22"/>
          <w:szCs w:val="22"/>
          <w:lang w:val="en-GB"/>
        </w:rPr>
        <w:t>the place where the head of operations is conducted from, the location of financial organization of the company including where its books of accounts and debts are found, its assets, creditors and the law applicable to most disputes</w:t>
      </w:r>
      <w:r>
        <w:rPr>
          <w:rFonts w:ascii="Arial" w:hAnsi="Arial" w:cs="Arial"/>
          <w:color w:val="7B7B7B" w:themeColor="accent3" w:themeShade="BF"/>
          <w:sz w:val="22"/>
          <w:szCs w:val="22"/>
          <w:lang w:val="en-GB"/>
        </w:rPr>
        <w:t xml:space="preserve"> in conjunction with the timing of the commencement of foreign proceedings.</w:t>
      </w:r>
    </w:p>
    <w:p w14:paraId="7F726A14" w14:textId="77777777" w:rsidR="0036086B" w:rsidRDefault="0036086B" w:rsidP="003B78C2">
      <w:pPr>
        <w:ind w:left="720" w:hanging="720"/>
        <w:jc w:val="both"/>
        <w:rPr>
          <w:rFonts w:ascii="Arial" w:hAnsi="Arial" w:cs="Arial"/>
          <w:color w:val="7B7B7B" w:themeColor="accent3" w:themeShade="BF"/>
          <w:sz w:val="22"/>
          <w:szCs w:val="22"/>
          <w:lang w:val="en-ZA"/>
        </w:rPr>
      </w:pPr>
    </w:p>
    <w:p w14:paraId="39632EF9" w14:textId="77777777" w:rsidR="003B78C2" w:rsidRDefault="003B78C2" w:rsidP="00707FC8">
      <w:pPr>
        <w:ind w:left="720" w:hanging="720"/>
        <w:jc w:val="both"/>
        <w:rPr>
          <w:rFonts w:ascii="Arial" w:hAnsi="Arial" w:cs="Arial"/>
          <w:color w:val="7B7B7B" w:themeColor="accent3" w:themeShade="BF"/>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w:t>
      </w:r>
      <w:proofErr w:type="gramStart"/>
      <w:r w:rsidRPr="009B5832">
        <w:rPr>
          <w:rFonts w:ascii="Arial" w:hAnsi="Arial" w:cs="Arial"/>
          <w:sz w:val="22"/>
          <w:szCs w:val="22"/>
          <w:lang w:val="en-GB"/>
        </w:rPr>
        <w:t>particular provisions / concepts</w:t>
      </w:r>
      <w:proofErr w:type="gramEnd"/>
      <w:r w:rsidRPr="009B5832">
        <w:rPr>
          <w:rFonts w:ascii="Arial" w:hAnsi="Arial" w:cs="Arial"/>
          <w:sz w:val="22"/>
          <w:szCs w:val="22"/>
          <w:lang w:val="en-GB"/>
        </w:rPr>
        <w:t xml:space="preserve">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03EE1A21" w:rsidR="009B07AD" w:rsidRDefault="00327807"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1:  Article 29</w:t>
      </w:r>
      <w:r w:rsidR="00553564">
        <w:rPr>
          <w:rFonts w:ascii="Arial" w:hAnsi="Arial" w:cs="Arial"/>
          <w:color w:val="7B7B7B" w:themeColor="accent3" w:themeShade="BF"/>
          <w:sz w:val="22"/>
          <w:szCs w:val="22"/>
          <w:lang w:val="en-GB"/>
        </w:rPr>
        <w:t xml:space="preserve">: </w:t>
      </w:r>
      <w:r w:rsidR="00AD7014">
        <w:rPr>
          <w:rFonts w:ascii="Arial" w:hAnsi="Arial" w:cs="Arial"/>
          <w:color w:val="7B7B7B" w:themeColor="accent3" w:themeShade="BF"/>
          <w:sz w:val="22"/>
          <w:szCs w:val="22"/>
          <w:lang w:val="en-GB"/>
        </w:rPr>
        <w:t xml:space="preserve">Commencement of a proceeding between the State that has enacted a proceeding and a foreign proceeding - </w:t>
      </w:r>
      <w:r w:rsidR="00553564">
        <w:rPr>
          <w:rFonts w:ascii="Arial" w:hAnsi="Arial" w:cs="Arial"/>
          <w:color w:val="7B7B7B" w:themeColor="accent3" w:themeShade="BF"/>
          <w:sz w:val="22"/>
          <w:szCs w:val="22"/>
          <w:lang w:val="en-GB"/>
        </w:rPr>
        <w:t xml:space="preserve">The </w:t>
      </w:r>
      <w:r w:rsidR="00C66460">
        <w:rPr>
          <w:rFonts w:ascii="Arial" w:hAnsi="Arial" w:cs="Arial"/>
          <w:color w:val="7B7B7B" w:themeColor="accent3" w:themeShade="BF"/>
          <w:sz w:val="22"/>
          <w:szCs w:val="22"/>
          <w:lang w:val="en-GB"/>
        </w:rPr>
        <w:t>c</w:t>
      </w:r>
      <w:r w:rsidR="00553564">
        <w:rPr>
          <w:rFonts w:ascii="Arial" w:hAnsi="Arial" w:cs="Arial"/>
          <w:color w:val="7B7B7B" w:themeColor="accent3" w:themeShade="BF"/>
          <w:sz w:val="22"/>
          <w:szCs w:val="22"/>
          <w:lang w:val="en-GB"/>
        </w:rPr>
        <w:t xml:space="preserve">oordination of proceedings under the State which has enacted the Model Law, and a foreign proceeding.  </w:t>
      </w:r>
    </w:p>
    <w:p w14:paraId="505FAB77" w14:textId="0141D664" w:rsidR="00327807" w:rsidRDefault="00327807" w:rsidP="00707FC8">
      <w:pPr>
        <w:ind w:left="720" w:hanging="720"/>
        <w:jc w:val="both"/>
        <w:rPr>
          <w:rFonts w:ascii="Arial" w:hAnsi="Arial" w:cs="Arial"/>
          <w:color w:val="7B7B7B" w:themeColor="accent3" w:themeShade="BF"/>
          <w:sz w:val="22"/>
          <w:szCs w:val="22"/>
          <w:lang w:val="en-GB"/>
        </w:rPr>
      </w:pPr>
    </w:p>
    <w:p w14:paraId="55CA6BDB" w14:textId="10FF281E" w:rsidR="00327807" w:rsidRDefault="00327807"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2:  </w:t>
      </w:r>
      <w:r w:rsidR="00553564">
        <w:rPr>
          <w:rFonts w:ascii="Arial" w:hAnsi="Arial" w:cs="Arial"/>
          <w:color w:val="7B7B7B" w:themeColor="accent3" w:themeShade="BF"/>
          <w:sz w:val="22"/>
          <w:szCs w:val="22"/>
          <w:lang w:val="en-GB"/>
        </w:rPr>
        <w:t xml:space="preserve">Article 32:  </w:t>
      </w:r>
      <w:r w:rsidR="00AD7014">
        <w:rPr>
          <w:rFonts w:ascii="Arial" w:hAnsi="Arial" w:cs="Arial"/>
          <w:color w:val="7B7B7B" w:themeColor="accent3" w:themeShade="BF"/>
          <w:sz w:val="22"/>
          <w:szCs w:val="22"/>
          <w:lang w:val="en-GB"/>
        </w:rPr>
        <w:t xml:space="preserve">Rule of payment in concurrent proceedings - </w:t>
      </w:r>
      <w:r w:rsidR="00553564">
        <w:rPr>
          <w:rFonts w:ascii="Arial" w:hAnsi="Arial" w:cs="Arial"/>
          <w:color w:val="7B7B7B" w:themeColor="accent3" w:themeShade="BF"/>
          <w:sz w:val="22"/>
          <w:szCs w:val="22"/>
          <w:lang w:val="en-GB"/>
        </w:rPr>
        <w:t>The hotchpot rule</w:t>
      </w:r>
    </w:p>
    <w:p w14:paraId="673B5062" w14:textId="69879C83" w:rsidR="00327807" w:rsidRDefault="00327807" w:rsidP="00707FC8">
      <w:pPr>
        <w:ind w:left="720" w:hanging="720"/>
        <w:jc w:val="both"/>
        <w:rPr>
          <w:rFonts w:ascii="Arial" w:hAnsi="Arial" w:cs="Arial"/>
          <w:color w:val="7B7B7B" w:themeColor="accent3" w:themeShade="BF"/>
          <w:sz w:val="22"/>
          <w:szCs w:val="22"/>
          <w:lang w:val="en-GB"/>
        </w:rPr>
      </w:pPr>
    </w:p>
    <w:p w14:paraId="128C306C" w14:textId="545DF3B1" w:rsidR="00327807" w:rsidRPr="009B5832" w:rsidRDefault="00327807" w:rsidP="00707FC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Statement 3:</w:t>
      </w:r>
      <w:r w:rsidR="00C66460">
        <w:rPr>
          <w:rFonts w:ascii="Arial" w:hAnsi="Arial" w:cs="Arial"/>
          <w:color w:val="7B7B7B" w:themeColor="accent3" w:themeShade="BF"/>
          <w:sz w:val="22"/>
          <w:szCs w:val="22"/>
          <w:lang w:val="en-GB"/>
        </w:rPr>
        <w:t xml:space="preserve">  Article 16(3):  </w:t>
      </w:r>
      <w:r w:rsidR="00AD7014">
        <w:rPr>
          <w:rFonts w:ascii="Arial" w:hAnsi="Arial" w:cs="Arial"/>
          <w:color w:val="7B7B7B" w:themeColor="accent3" w:themeShade="BF"/>
          <w:sz w:val="22"/>
          <w:szCs w:val="22"/>
          <w:lang w:val="en-GB"/>
        </w:rPr>
        <w:t xml:space="preserve">Presumptions concerning recognition - </w:t>
      </w:r>
      <w:r w:rsidR="00C66460">
        <w:rPr>
          <w:rFonts w:ascii="Arial" w:hAnsi="Arial" w:cs="Arial"/>
          <w:color w:val="7B7B7B" w:themeColor="accent3" w:themeShade="BF"/>
          <w:sz w:val="22"/>
          <w:szCs w:val="22"/>
          <w:lang w:val="en-GB"/>
        </w:rPr>
        <w:t>There is a rebuttable presumption that the debtor’s registered office is the “centre of its main interests.”</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4BD61003" w14:textId="0CE992C0" w:rsidR="002975D7" w:rsidRDefault="002975D7"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Following a recognition order </w:t>
      </w:r>
      <w:r w:rsidR="004C043C">
        <w:rPr>
          <w:rFonts w:ascii="Arial" w:hAnsi="Arial" w:cs="Arial"/>
          <w:color w:val="7B7B7B" w:themeColor="accent3" w:themeShade="BF"/>
          <w:sz w:val="22"/>
          <w:szCs w:val="22"/>
          <w:lang w:val="en-GB"/>
        </w:rPr>
        <w:t xml:space="preserve">(the “Moratorium Continuation Application”) </w:t>
      </w:r>
      <w:r>
        <w:rPr>
          <w:rFonts w:ascii="Arial" w:hAnsi="Arial" w:cs="Arial"/>
          <w:color w:val="7B7B7B" w:themeColor="accent3" w:themeShade="BF"/>
          <w:sz w:val="22"/>
          <w:szCs w:val="22"/>
          <w:lang w:val="en-GB"/>
        </w:rPr>
        <w:t>granted in terms of the CBIR</w:t>
      </w:r>
      <w:r w:rsidR="004C043C">
        <w:rPr>
          <w:rFonts w:ascii="Arial" w:hAnsi="Arial" w:cs="Arial"/>
          <w:color w:val="7B7B7B" w:themeColor="accent3" w:themeShade="BF"/>
          <w:sz w:val="22"/>
          <w:szCs w:val="22"/>
          <w:lang w:val="en-GB"/>
        </w:rPr>
        <w:t xml:space="preserve">, the foreign representative </w:t>
      </w:r>
      <w:r>
        <w:rPr>
          <w:rFonts w:ascii="Arial" w:hAnsi="Arial" w:cs="Arial"/>
          <w:color w:val="7B7B7B" w:themeColor="accent3" w:themeShade="BF"/>
          <w:sz w:val="22"/>
          <w:szCs w:val="22"/>
          <w:lang w:val="en-GB"/>
        </w:rPr>
        <w:t>then requested an indefinite continuation of the automatic moratorium</w:t>
      </w:r>
      <w:r w:rsidR="0067161E">
        <w:rPr>
          <w:rFonts w:ascii="Arial" w:hAnsi="Arial" w:cs="Arial"/>
          <w:color w:val="7B7B7B" w:themeColor="accent3" w:themeShade="BF"/>
          <w:sz w:val="22"/>
          <w:szCs w:val="22"/>
          <w:lang w:val="en-GB"/>
        </w:rPr>
        <w:t>, which moratorium was</w:t>
      </w:r>
      <w:r>
        <w:rPr>
          <w:rFonts w:ascii="Arial" w:hAnsi="Arial" w:cs="Arial"/>
          <w:color w:val="7B7B7B" w:themeColor="accent3" w:themeShade="BF"/>
          <w:sz w:val="22"/>
          <w:szCs w:val="22"/>
          <w:lang w:val="en-GB"/>
        </w:rPr>
        <w:t xml:space="preserve"> conferred by </w:t>
      </w:r>
      <w:r w:rsidR="002162B3">
        <w:rPr>
          <w:rFonts w:ascii="Arial" w:hAnsi="Arial" w:cs="Arial"/>
          <w:color w:val="7B7B7B" w:themeColor="accent3" w:themeShade="BF"/>
          <w:sz w:val="22"/>
          <w:szCs w:val="22"/>
          <w:lang w:val="en-GB"/>
        </w:rPr>
        <w:t xml:space="preserve">the said order as under Article 21.  </w:t>
      </w:r>
    </w:p>
    <w:p w14:paraId="77AF75F6" w14:textId="55C131D9" w:rsidR="00DB62AB" w:rsidRPr="00DB62AB" w:rsidRDefault="00DB62AB"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Morgan J was asked to grant specific relief under Article 21 </w:t>
      </w:r>
      <w:r>
        <w:rPr>
          <w:rFonts w:ascii="Arial" w:hAnsi="Arial" w:cs="Arial"/>
          <w:i/>
          <w:iCs/>
          <w:color w:val="7B7B7B" w:themeColor="accent3" w:themeShade="BF"/>
          <w:sz w:val="22"/>
          <w:szCs w:val="22"/>
          <w:lang w:val="en-GB"/>
        </w:rPr>
        <w:t>viz.</w:t>
      </w:r>
      <w:r>
        <w:rPr>
          <w:rFonts w:ascii="Arial" w:hAnsi="Arial" w:cs="Arial"/>
          <w:color w:val="7B7B7B" w:themeColor="accent3" w:themeShade="BF"/>
          <w:sz w:val="22"/>
          <w:szCs w:val="22"/>
          <w:lang w:val="en-GB"/>
        </w:rPr>
        <w:t xml:space="preserve"> “any appropriate relief.”</w:t>
      </w:r>
    </w:p>
    <w:p w14:paraId="7A932F88" w14:textId="7B93635F" w:rsidR="002162B3" w:rsidRDefault="002162B3" w:rsidP="00707FC8">
      <w:pPr>
        <w:ind w:left="720" w:hanging="720"/>
        <w:jc w:val="both"/>
        <w:rPr>
          <w:rFonts w:ascii="Arial" w:hAnsi="Arial" w:cs="Arial"/>
          <w:color w:val="7B7B7B" w:themeColor="accent3" w:themeShade="BF"/>
          <w:sz w:val="22"/>
          <w:szCs w:val="22"/>
          <w:lang w:val="en-GB"/>
        </w:rPr>
      </w:pPr>
    </w:p>
    <w:p w14:paraId="552773A5" w14:textId="77777777" w:rsidR="00DB62AB" w:rsidRDefault="002162B3" w:rsidP="002162B3">
      <w:pPr>
        <w:ind w:left="720" w:hanging="720"/>
        <w:jc w:val="both"/>
        <w:rPr>
          <w:rFonts w:ascii="Arial" w:hAnsi="Arial" w:cs="Arial"/>
          <w:color w:val="7B7B7B" w:themeColor="accent3" w:themeShade="BF"/>
          <w:sz w:val="22"/>
          <w:szCs w:val="22"/>
          <w:lang w:val="en-GB"/>
        </w:rPr>
      </w:pPr>
      <w:r w:rsidRPr="002162B3">
        <w:rPr>
          <w:rFonts w:ascii="Arial" w:hAnsi="Arial" w:cs="Arial"/>
          <w:color w:val="7B7B7B" w:themeColor="accent3" w:themeShade="BF"/>
          <w:sz w:val="22"/>
          <w:szCs w:val="22"/>
          <w:lang w:val="en-GB"/>
        </w:rPr>
        <w:t>The main issue for decision turned on whether the granting of an indefinite Moratorium Continuation would deprive English creditors from enforcing their English law rights</w:t>
      </w:r>
      <w:r w:rsidR="00DB62AB">
        <w:rPr>
          <w:rFonts w:ascii="Arial" w:hAnsi="Arial" w:cs="Arial"/>
          <w:color w:val="7B7B7B" w:themeColor="accent3" w:themeShade="BF"/>
          <w:sz w:val="22"/>
          <w:szCs w:val="22"/>
          <w:lang w:val="en-GB"/>
        </w:rPr>
        <w:t xml:space="preserve">?  </w:t>
      </w:r>
    </w:p>
    <w:p w14:paraId="4ED60A30" w14:textId="5D16F7A6" w:rsidR="0093383D" w:rsidRDefault="002162B3" w:rsidP="002162B3">
      <w:pPr>
        <w:ind w:left="720" w:hanging="720"/>
        <w:jc w:val="both"/>
        <w:rPr>
          <w:rFonts w:ascii="Arial" w:hAnsi="Arial" w:cs="Arial"/>
          <w:color w:val="7B7B7B" w:themeColor="accent3" w:themeShade="BF"/>
          <w:sz w:val="22"/>
          <w:szCs w:val="22"/>
          <w:lang w:val="en-GB"/>
        </w:rPr>
      </w:pPr>
      <w:r w:rsidRPr="002162B3">
        <w:rPr>
          <w:rFonts w:ascii="Arial" w:hAnsi="Arial" w:cs="Arial"/>
          <w:color w:val="7B7B7B" w:themeColor="accent3" w:themeShade="BF"/>
          <w:sz w:val="22"/>
          <w:szCs w:val="22"/>
          <w:lang w:val="en-GB"/>
        </w:rPr>
        <w:t xml:space="preserve"> </w:t>
      </w:r>
    </w:p>
    <w:p w14:paraId="32D60474" w14:textId="65FF0378" w:rsidR="002162B3" w:rsidRPr="002162B3" w:rsidRDefault="00F42B10" w:rsidP="002162B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7C160F">
        <w:rPr>
          <w:rFonts w:ascii="Arial" w:hAnsi="Arial" w:cs="Arial"/>
          <w:color w:val="7B7B7B" w:themeColor="accent3" w:themeShade="BF"/>
          <w:sz w:val="22"/>
          <w:szCs w:val="22"/>
          <w:lang w:val="en-GB"/>
        </w:rPr>
        <w:t xml:space="preserve">issue arose out of the fact that IBA’s English </w:t>
      </w:r>
      <w:r w:rsidR="0093383D">
        <w:rPr>
          <w:rFonts w:ascii="Arial" w:hAnsi="Arial" w:cs="Arial"/>
          <w:color w:val="7B7B7B" w:themeColor="accent3" w:themeShade="BF"/>
          <w:sz w:val="22"/>
          <w:szCs w:val="22"/>
          <w:lang w:val="en-GB"/>
        </w:rPr>
        <w:t xml:space="preserve">creditors in the Moratorium Continuation Application did not submit to the foreign proceedings against IBA in Azerbaijan, and so, when IBA was successfully restructured in Azerbaijan, </w:t>
      </w:r>
      <w:r w:rsidR="007C160F">
        <w:rPr>
          <w:rFonts w:ascii="Arial" w:hAnsi="Arial" w:cs="Arial"/>
          <w:color w:val="7B7B7B" w:themeColor="accent3" w:themeShade="BF"/>
          <w:sz w:val="22"/>
          <w:szCs w:val="22"/>
          <w:lang w:val="en-GB"/>
        </w:rPr>
        <w:t xml:space="preserve">the plan would </w:t>
      </w:r>
      <w:r w:rsidR="0093383D">
        <w:rPr>
          <w:rFonts w:ascii="Arial" w:hAnsi="Arial" w:cs="Arial"/>
          <w:color w:val="7B7B7B" w:themeColor="accent3" w:themeShade="BF"/>
          <w:sz w:val="22"/>
          <w:szCs w:val="22"/>
          <w:lang w:val="en-GB"/>
        </w:rPr>
        <w:t xml:space="preserve">become </w:t>
      </w:r>
      <w:r w:rsidR="0093383D">
        <w:rPr>
          <w:rFonts w:ascii="Arial" w:hAnsi="Arial" w:cs="Arial"/>
          <w:color w:val="7B7B7B" w:themeColor="accent3" w:themeShade="BF"/>
          <w:sz w:val="22"/>
          <w:szCs w:val="22"/>
          <w:lang w:val="en-GB"/>
        </w:rPr>
        <w:lastRenderedPageBreak/>
        <w:t xml:space="preserve">binding on all creditors – including the </w:t>
      </w:r>
      <w:r w:rsidR="00A32F7F">
        <w:rPr>
          <w:rFonts w:ascii="Arial" w:hAnsi="Arial" w:cs="Arial"/>
          <w:color w:val="7B7B7B" w:themeColor="accent3" w:themeShade="BF"/>
          <w:sz w:val="22"/>
          <w:szCs w:val="22"/>
          <w:lang w:val="en-GB"/>
        </w:rPr>
        <w:t xml:space="preserve">creditors who opposed this </w:t>
      </w:r>
      <w:proofErr w:type="gramStart"/>
      <w:r w:rsidR="0093383D">
        <w:rPr>
          <w:rFonts w:ascii="Arial" w:hAnsi="Arial" w:cs="Arial"/>
          <w:color w:val="7B7B7B" w:themeColor="accent3" w:themeShade="BF"/>
          <w:sz w:val="22"/>
          <w:szCs w:val="22"/>
          <w:lang w:val="en-GB"/>
        </w:rPr>
        <w:t>application</w:t>
      </w:r>
      <w:r w:rsidR="007C160F">
        <w:rPr>
          <w:rFonts w:ascii="Arial" w:hAnsi="Arial" w:cs="Arial"/>
          <w:color w:val="7B7B7B" w:themeColor="accent3" w:themeShade="BF"/>
          <w:sz w:val="22"/>
          <w:szCs w:val="22"/>
          <w:lang w:val="en-GB"/>
        </w:rPr>
        <w:t>;</w:t>
      </w:r>
      <w:proofErr w:type="gramEnd"/>
      <w:r w:rsidR="007C160F">
        <w:rPr>
          <w:rFonts w:ascii="Arial" w:hAnsi="Arial" w:cs="Arial"/>
          <w:color w:val="7B7B7B" w:themeColor="accent3" w:themeShade="BF"/>
          <w:sz w:val="22"/>
          <w:szCs w:val="22"/>
          <w:lang w:val="en-GB"/>
        </w:rPr>
        <w:t xml:space="preserve"> hence the indefinite stay application.</w:t>
      </w:r>
    </w:p>
    <w:p w14:paraId="60583429" w14:textId="77777777" w:rsidR="002162B3" w:rsidRDefault="002162B3" w:rsidP="00707FC8">
      <w:pPr>
        <w:ind w:left="720" w:hanging="720"/>
        <w:jc w:val="both"/>
        <w:rPr>
          <w:rFonts w:ascii="Arial" w:hAnsi="Arial" w:cs="Arial"/>
          <w:color w:val="7B7B7B" w:themeColor="accent3" w:themeShade="BF"/>
          <w:sz w:val="22"/>
          <w:szCs w:val="22"/>
          <w:lang w:val="en-GB"/>
        </w:rPr>
      </w:pPr>
    </w:p>
    <w:p w14:paraId="4DA36BAA" w14:textId="1B2DD3C0" w:rsidR="00C15F2A" w:rsidRDefault="002162B3"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its deliberations, t</w:t>
      </w:r>
      <w:r w:rsidR="00C15F2A">
        <w:rPr>
          <w:rFonts w:ascii="Arial" w:hAnsi="Arial" w:cs="Arial"/>
          <w:color w:val="7B7B7B" w:themeColor="accent3" w:themeShade="BF"/>
          <w:sz w:val="22"/>
          <w:szCs w:val="22"/>
          <w:lang w:val="en-GB"/>
        </w:rPr>
        <w:t xml:space="preserve">he Court considered that </w:t>
      </w:r>
      <w:r>
        <w:rPr>
          <w:rFonts w:ascii="Arial" w:hAnsi="Arial" w:cs="Arial"/>
          <w:color w:val="7B7B7B" w:themeColor="accent3" w:themeShade="BF"/>
          <w:sz w:val="22"/>
          <w:szCs w:val="22"/>
          <w:lang w:val="en-GB"/>
        </w:rPr>
        <w:t xml:space="preserve">a </w:t>
      </w:r>
      <w:r w:rsidR="00C15F2A">
        <w:rPr>
          <w:rFonts w:ascii="Arial" w:hAnsi="Arial" w:cs="Arial"/>
          <w:color w:val="7B7B7B" w:themeColor="accent3" w:themeShade="BF"/>
          <w:sz w:val="22"/>
          <w:szCs w:val="22"/>
          <w:lang w:val="en-GB"/>
        </w:rPr>
        <w:t>stay</w:t>
      </w:r>
      <w:r w:rsidR="007C160F">
        <w:rPr>
          <w:rFonts w:ascii="Arial" w:hAnsi="Arial" w:cs="Arial"/>
          <w:color w:val="7B7B7B" w:themeColor="accent3" w:themeShade="BF"/>
          <w:sz w:val="22"/>
          <w:szCs w:val="22"/>
          <w:lang w:val="en-GB"/>
        </w:rPr>
        <w:t>, if granted,</w:t>
      </w:r>
      <w:r w:rsidR="00C15F2A">
        <w:rPr>
          <w:rFonts w:ascii="Arial" w:hAnsi="Arial" w:cs="Arial"/>
          <w:color w:val="7B7B7B" w:themeColor="accent3" w:themeShade="BF"/>
          <w:sz w:val="22"/>
          <w:szCs w:val="22"/>
          <w:lang w:val="en-GB"/>
        </w:rPr>
        <w:t xml:space="preserve"> should be necessary in favour of the protection of </w:t>
      </w:r>
      <w:r w:rsidR="00055220">
        <w:rPr>
          <w:rFonts w:ascii="Arial" w:hAnsi="Arial" w:cs="Arial"/>
          <w:color w:val="7B7B7B" w:themeColor="accent3" w:themeShade="BF"/>
          <w:sz w:val="22"/>
          <w:szCs w:val="22"/>
          <w:lang w:val="en-GB"/>
        </w:rPr>
        <w:t>IBA’s creditors, and</w:t>
      </w:r>
      <w:r>
        <w:rPr>
          <w:rFonts w:ascii="Arial" w:hAnsi="Arial" w:cs="Arial"/>
          <w:color w:val="7B7B7B" w:themeColor="accent3" w:themeShade="BF"/>
          <w:sz w:val="22"/>
          <w:szCs w:val="22"/>
          <w:lang w:val="en-GB"/>
        </w:rPr>
        <w:t xml:space="preserve"> further, that</w:t>
      </w:r>
      <w:r w:rsidR="00055220">
        <w:rPr>
          <w:rFonts w:ascii="Arial" w:hAnsi="Arial" w:cs="Arial"/>
          <w:color w:val="7B7B7B" w:themeColor="accent3" w:themeShade="BF"/>
          <w:sz w:val="22"/>
          <w:szCs w:val="22"/>
          <w:lang w:val="en-GB"/>
        </w:rPr>
        <w:t xml:space="preserve"> </w:t>
      </w:r>
      <w:r w:rsidR="007C160F">
        <w:rPr>
          <w:rFonts w:ascii="Arial" w:hAnsi="Arial" w:cs="Arial"/>
          <w:color w:val="7B7B7B" w:themeColor="accent3" w:themeShade="BF"/>
          <w:sz w:val="22"/>
          <w:szCs w:val="22"/>
          <w:lang w:val="en-GB"/>
        </w:rPr>
        <w:t>the stay would</w:t>
      </w:r>
      <w:r>
        <w:rPr>
          <w:rFonts w:ascii="Arial" w:hAnsi="Arial" w:cs="Arial"/>
          <w:color w:val="7B7B7B" w:themeColor="accent3" w:themeShade="BF"/>
          <w:sz w:val="22"/>
          <w:szCs w:val="22"/>
          <w:lang w:val="en-GB"/>
        </w:rPr>
        <w:t xml:space="preserve"> </w:t>
      </w:r>
      <w:r w:rsidR="00055220">
        <w:rPr>
          <w:rFonts w:ascii="Arial" w:hAnsi="Arial" w:cs="Arial"/>
          <w:color w:val="7B7B7B" w:themeColor="accent3" w:themeShade="BF"/>
          <w:sz w:val="22"/>
          <w:szCs w:val="22"/>
          <w:lang w:val="en-GB"/>
        </w:rPr>
        <w:t xml:space="preserve">be an appropriate way of achieving that protection.  </w:t>
      </w:r>
    </w:p>
    <w:p w14:paraId="1B6A88F4" w14:textId="6114B21C" w:rsidR="002162B3" w:rsidRDefault="002162B3" w:rsidP="00707FC8">
      <w:pPr>
        <w:ind w:left="720" w:hanging="720"/>
        <w:jc w:val="both"/>
        <w:rPr>
          <w:rFonts w:ascii="Arial" w:hAnsi="Arial" w:cs="Arial"/>
          <w:color w:val="7B7B7B" w:themeColor="accent3" w:themeShade="BF"/>
          <w:sz w:val="22"/>
          <w:szCs w:val="22"/>
          <w:lang w:val="en-GB"/>
        </w:rPr>
      </w:pPr>
    </w:p>
    <w:p w14:paraId="400E93BC" w14:textId="5DA822C9" w:rsidR="002162B3" w:rsidRDefault="002162B3" w:rsidP="002162B3">
      <w:pPr>
        <w:ind w:left="720" w:hanging="720"/>
        <w:jc w:val="both"/>
        <w:rPr>
          <w:rFonts w:ascii="Arial" w:hAnsi="Arial" w:cs="Arial"/>
          <w:color w:val="7B7B7B" w:themeColor="accent3" w:themeShade="BF"/>
          <w:sz w:val="22"/>
          <w:szCs w:val="22"/>
          <w:lang w:val="en-GB"/>
        </w:rPr>
      </w:pPr>
      <w:r w:rsidRPr="002162B3">
        <w:rPr>
          <w:rFonts w:ascii="Arial" w:hAnsi="Arial" w:cs="Arial"/>
          <w:color w:val="7B7B7B" w:themeColor="accent3" w:themeShade="BF"/>
          <w:sz w:val="22"/>
          <w:szCs w:val="22"/>
          <w:lang w:val="en-GB"/>
        </w:rPr>
        <w:t xml:space="preserve">The English Court of Appeal upheld the decision </w:t>
      </w:r>
      <w:r w:rsidR="00A32F7F">
        <w:rPr>
          <w:rFonts w:ascii="Arial" w:hAnsi="Arial" w:cs="Arial"/>
          <w:color w:val="7B7B7B" w:themeColor="accent3" w:themeShade="BF"/>
          <w:sz w:val="22"/>
          <w:szCs w:val="22"/>
          <w:lang w:val="en-GB"/>
        </w:rPr>
        <w:t xml:space="preserve">refusing the application </w:t>
      </w:r>
      <w:r w:rsidRPr="002162B3">
        <w:rPr>
          <w:rFonts w:ascii="Arial" w:hAnsi="Arial" w:cs="Arial"/>
          <w:color w:val="7B7B7B" w:themeColor="accent3" w:themeShade="BF"/>
          <w:sz w:val="22"/>
          <w:szCs w:val="22"/>
          <w:lang w:val="en-GB"/>
        </w:rPr>
        <w:t>in IBA</w:t>
      </w:r>
      <w:r w:rsidR="00A32F7F">
        <w:rPr>
          <w:rFonts w:ascii="Arial" w:hAnsi="Arial" w:cs="Arial"/>
          <w:color w:val="7B7B7B" w:themeColor="accent3" w:themeShade="BF"/>
          <w:sz w:val="22"/>
          <w:szCs w:val="22"/>
          <w:lang w:val="en-GB"/>
        </w:rPr>
        <w:t>,</w:t>
      </w:r>
      <w:r w:rsidRPr="002162B3">
        <w:rPr>
          <w:rFonts w:ascii="Arial" w:hAnsi="Arial" w:cs="Arial"/>
          <w:color w:val="7B7B7B" w:themeColor="accent3" w:themeShade="BF"/>
          <w:sz w:val="22"/>
          <w:szCs w:val="22"/>
          <w:lang w:val="en-GB"/>
        </w:rPr>
        <w:t xml:space="preserve"> </w:t>
      </w:r>
      <w:r w:rsidR="0088723D">
        <w:rPr>
          <w:rFonts w:ascii="Arial" w:hAnsi="Arial" w:cs="Arial"/>
          <w:color w:val="7B7B7B" w:themeColor="accent3" w:themeShade="BF"/>
          <w:sz w:val="22"/>
          <w:szCs w:val="22"/>
          <w:lang w:val="en-GB"/>
        </w:rPr>
        <w:t xml:space="preserve">finding that </w:t>
      </w:r>
      <w:r w:rsidR="00FD467B">
        <w:rPr>
          <w:rFonts w:ascii="Arial" w:hAnsi="Arial" w:cs="Arial"/>
          <w:color w:val="7B7B7B" w:themeColor="accent3" w:themeShade="BF"/>
          <w:sz w:val="22"/>
          <w:szCs w:val="22"/>
          <w:lang w:val="en-GB"/>
        </w:rPr>
        <w:t xml:space="preserve">the Moratorium Application was not the answer to avoiding the Gibbs Rule because </w:t>
      </w:r>
      <w:r w:rsidR="00504888">
        <w:rPr>
          <w:rFonts w:ascii="Arial" w:hAnsi="Arial" w:cs="Arial"/>
          <w:color w:val="7B7B7B" w:themeColor="accent3" w:themeShade="BF"/>
          <w:sz w:val="22"/>
          <w:szCs w:val="22"/>
          <w:lang w:val="en-GB"/>
        </w:rPr>
        <w:t xml:space="preserve">an order of such a nature </w:t>
      </w:r>
      <w:r w:rsidR="00FD467B">
        <w:rPr>
          <w:rFonts w:ascii="Arial" w:hAnsi="Arial" w:cs="Arial"/>
          <w:color w:val="7B7B7B" w:themeColor="accent3" w:themeShade="BF"/>
          <w:sz w:val="22"/>
          <w:szCs w:val="22"/>
          <w:lang w:val="en-GB"/>
        </w:rPr>
        <w:t xml:space="preserve">would prevent the </w:t>
      </w:r>
      <w:r w:rsidR="00504888">
        <w:rPr>
          <w:rFonts w:ascii="Arial" w:hAnsi="Arial" w:cs="Arial"/>
          <w:color w:val="7B7B7B" w:themeColor="accent3" w:themeShade="BF"/>
          <w:sz w:val="22"/>
          <w:szCs w:val="22"/>
          <w:lang w:val="en-GB"/>
        </w:rPr>
        <w:t xml:space="preserve">English </w:t>
      </w:r>
      <w:r w:rsidR="00FD467B">
        <w:rPr>
          <w:rFonts w:ascii="Arial" w:hAnsi="Arial" w:cs="Arial"/>
          <w:color w:val="7B7B7B" w:themeColor="accent3" w:themeShade="BF"/>
          <w:sz w:val="22"/>
          <w:szCs w:val="22"/>
          <w:lang w:val="en-GB"/>
        </w:rPr>
        <w:t xml:space="preserve">creditors from ever being able to enforce their claims.  </w:t>
      </w:r>
    </w:p>
    <w:p w14:paraId="5566921C" w14:textId="7DE3B37F" w:rsidR="00DB62AB" w:rsidRPr="002162B3" w:rsidRDefault="00DB62AB" w:rsidP="002162B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essence, Morgan J found that the relief requested could not be granted because the remedy was not available in a domestic insolvency.  </w:t>
      </w:r>
    </w:p>
    <w:p w14:paraId="0A466F16" w14:textId="77777777" w:rsidR="002162B3" w:rsidRPr="002162B3" w:rsidRDefault="002162B3" w:rsidP="002162B3">
      <w:pPr>
        <w:ind w:left="720" w:hanging="720"/>
        <w:jc w:val="both"/>
        <w:rPr>
          <w:rFonts w:ascii="Arial" w:hAnsi="Arial" w:cs="Arial"/>
          <w:color w:val="7B7B7B" w:themeColor="accent3" w:themeShade="BF"/>
          <w:sz w:val="22"/>
          <w:szCs w:val="22"/>
          <w:lang w:val="en-GB"/>
        </w:rPr>
      </w:pPr>
    </w:p>
    <w:p w14:paraId="572227E7" w14:textId="10041403" w:rsidR="0045683E" w:rsidRPr="009B5832" w:rsidRDefault="0045683E"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678E4C01" w14:textId="4613173E" w:rsidR="00F17C87" w:rsidRDefault="00A32F7F" w:rsidP="00214B6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a proceeding has been recognized as a foreign </w:t>
      </w:r>
      <w:r>
        <w:rPr>
          <w:rFonts w:ascii="Arial" w:hAnsi="Arial" w:cs="Arial"/>
          <w:i/>
          <w:iCs/>
          <w:color w:val="7B7B7B" w:themeColor="accent3" w:themeShade="BF"/>
          <w:sz w:val="22"/>
          <w:szCs w:val="22"/>
          <w:lang w:val="en-GB"/>
        </w:rPr>
        <w:t xml:space="preserve">main </w:t>
      </w:r>
      <w:r>
        <w:rPr>
          <w:rFonts w:ascii="Arial" w:hAnsi="Arial" w:cs="Arial"/>
          <w:color w:val="7B7B7B" w:themeColor="accent3" w:themeShade="BF"/>
          <w:sz w:val="22"/>
          <w:szCs w:val="22"/>
          <w:lang w:val="en-GB"/>
        </w:rPr>
        <w:t>(my emphasis) proceeding, then, i</w:t>
      </w:r>
      <w:r w:rsidR="003A6942">
        <w:rPr>
          <w:rFonts w:ascii="Arial" w:hAnsi="Arial" w:cs="Arial"/>
          <w:color w:val="7B7B7B" w:themeColor="accent3" w:themeShade="BF"/>
          <w:sz w:val="22"/>
          <w:szCs w:val="22"/>
          <w:lang w:val="en-GB"/>
        </w:rPr>
        <w:t>n terms of Article 2</w:t>
      </w:r>
      <w:r w:rsidR="0067161E">
        <w:rPr>
          <w:rFonts w:ascii="Arial" w:hAnsi="Arial" w:cs="Arial"/>
          <w:color w:val="7B7B7B" w:themeColor="accent3" w:themeShade="BF"/>
          <w:sz w:val="22"/>
          <w:szCs w:val="22"/>
          <w:lang w:val="en-GB"/>
        </w:rPr>
        <w:t xml:space="preserve">1 </w:t>
      </w:r>
      <w:r w:rsidR="003A6942">
        <w:rPr>
          <w:rFonts w:ascii="Arial" w:hAnsi="Arial" w:cs="Arial"/>
          <w:color w:val="7B7B7B" w:themeColor="accent3" w:themeShade="BF"/>
          <w:sz w:val="22"/>
          <w:szCs w:val="22"/>
          <w:lang w:val="en-GB"/>
        </w:rPr>
        <w:t xml:space="preserve">of the Model Law, the Court </w:t>
      </w:r>
      <w:r w:rsidR="00CD29C3">
        <w:rPr>
          <w:rFonts w:ascii="Arial" w:hAnsi="Arial" w:cs="Arial"/>
          <w:color w:val="7B7B7B" w:themeColor="accent3" w:themeShade="BF"/>
          <w:sz w:val="22"/>
          <w:szCs w:val="22"/>
          <w:lang w:val="en-GB"/>
        </w:rPr>
        <w:t xml:space="preserve">will grant </w:t>
      </w:r>
      <w:r w:rsidR="0067161E">
        <w:rPr>
          <w:rFonts w:ascii="Arial" w:hAnsi="Arial" w:cs="Arial"/>
          <w:color w:val="7B7B7B" w:themeColor="accent3" w:themeShade="BF"/>
          <w:sz w:val="22"/>
          <w:szCs w:val="22"/>
          <w:lang w:val="en-GB"/>
        </w:rPr>
        <w:t xml:space="preserve">post-recognition </w:t>
      </w:r>
      <w:r w:rsidR="00CD29C3">
        <w:rPr>
          <w:rFonts w:ascii="Arial" w:hAnsi="Arial" w:cs="Arial"/>
          <w:color w:val="7B7B7B" w:themeColor="accent3" w:themeShade="BF"/>
          <w:sz w:val="22"/>
          <w:szCs w:val="22"/>
          <w:lang w:val="en-GB"/>
        </w:rPr>
        <w:t>r</w:t>
      </w:r>
      <w:r w:rsidR="003A6942">
        <w:rPr>
          <w:rFonts w:ascii="Arial" w:hAnsi="Arial" w:cs="Arial"/>
          <w:color w:val="7B7B7B" w:themeColor="accent3" w:themeShade="BF"/>
          <w:sz w:val="22"/>
          <w:szCs w:val="22"/>
          <w:lang w:val="en-GB"/>
        </w:rPr>
        <w:t xml:space="preserve">elief </w:t>
      </w:r>
      <w:proofErr w:type="gramStart"/>
      <w:r w:rsidR="003A6942">
        <w:rPr>
          <w:rFonts w:ascii="Arial" w:hAnsi="Arial" w:cs="Arial"/>
          <w:color w:val="7B7B7B" w:themeColor="accent3" w:themeShade="BF"/>
          <w:sz w:val="22"/>
          <w:szCs w:val="22"/>
          <w:lang w:val="en-GB"/>
        </w:rPr>
        <w:t>including:-</w:t>
      </w:r>
      <w:proofErr w:type="gramEnd"/>
    </w:p>
    <w:p w14:paraId="605BA660" w14:textId="370A8937" w:rsidR="003A6942" w:rsidRDefault="003A6942" w:rsidP="00214B65">
      <w:pPr>
        <w:ind w:left="720" w:hanging="720"/>
        <w:jc w:val="both"/>
        <w:rPr>
          <w:rFonts w:ascii="Arial" w:hAnsi="Arial" w:cs="Arial"/>
          <w:color w:val="7B7B7B" w:themeColor="accent3" w:themeShade="BF"/>
          <w:sz w:val="22"/>
          <w:szCs w:val="22"/>
          <w:lang w:val="en-GB"/>
        </w:rPr>
      </w:pPr>
    </w:p>
    <w:p w14:paraId="2A3EE2BE" w14:textId="2FE5C8D2" w:rsidR="003A6942" w:rsidRDefault="003A6942" w:rsidP="00214B6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Staying legal actions and execution against the debtor’s assets</w:t>
      </w:r>
      <w:r w:rsidR="00B83291">
        <w:rPr>
          <w:rFonts w:ascii="Arial" w:hAnsi="Arial" w:cs="Arial"/>
          <w:color w:val="7B7B7B" w:themeColor="accent3" w:themeShade="BF"/>
          <w:sz w:val="22"/>
          <w:szCs w:val="22"/>
          <w:lang w:val="en-GB"/>
        </w:rPr>
        <w:t xml:space="preserve">, </w:t>
      </w:r>
      <w:r w:rsidR="0067161E">
        <w:rPr>
          <w:rFonts w:ascii="Arial" w:hAnsi="Arial" w:cs="Arial"/>
          <w:color w:val="7B7B7B" w:themeColor="accent3" w:themeShade="BF"/>
          <w:sz w:val="22"/>
          <w:szCs w:val="22"/>
          <w:lang w:val="en-GB"/>
        </w:rPr>
        <w:t xml:space="preserve">as well as individual actions against the </w:t>
      </w:r>
      <w:proofErr w:type="gramStart"/>
      <w:r w:rsidR="0067161E">
        <w:rPr>
          <w:rFonts w:ascii="Arial" w:hAnsi="Arial" w:cs="Arial"/>
          <w:color w:val="7B7B7B" w:themeColor="accent3" w:themeShade="BF"/>
          <w:sz w:val="22"/>
          <w:szCs w:val="22"/>
          <w:lang w:val="en-GB"/>
        </w:rPr>
        <w:t>debtor;</w:t>
      </w:r>
      <w:proofErr w:type="gramEnd"/>
    </w:p>
    <w:p w14:paraId="3FBA37A9" w14:textId="77777777" w:rsidR="0067161E" w:rsidRDefault="003A6942" w:rsidP="00214B6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  Suspend</w:t>
      </w:r>
      <w:r w:rsidR="00CD29C3">
        <w:rPr>
          <w:rFonts w:ascii="Arial" w:hAnsi="Arial" w:cs="Arial"/>
          <w:color w:val="7B7B7B" w:themeColor="accent3" w:themeShade="BF"/>
          <w:sz w:val="22"/>
          <w:szCs w:val="22"/>
          <w:lang w:val="en-GB"/>
        </w:rPr>
        <w:t>ing</w:t>
      </w:r>
      <w:r>
        <w:rPr>
          <w:rFonts w:ascii="Arial" w:hAnsi="Arial" w:cs="Arial"/>
          <w:color w:val="7B7B7B" w:themeColor="accent3" w:themeShade="BF"/>
          <w:sz w:val="22"/>
          <w:szCs w:val="22"/>
          <w:lang w:val="en-GB"/>
        </w:rPr>
        <w:t xml:space="preserve"> the rights </w:t>
      </w:r>
      <w:r w:rsidR="00CD29C3">
        <w:rPr>
          <w:rFonts w:ascii="Arial" w:hAnsi="Arial" w:cs="Arial"/>
          <w:color w:val="7B7B7B" w:themeColor="accent3" w:themeShade="BF"/>
          <w:sz w:val="22"/>
          <w:szCs w:val="22"/>
          <w:lang w:val="en-GB"/>
        </w:rPr>
        <w:t xml:space="preserve">to </w:t>
      </w:r>
      <w:r>
        <w:rPr>
          <w:rFonts w:ascii="Arial" w:hAnsi="Arial" w:cs="Arial"/>
          <w:color w:val="7B7B7B" w:themeColor="accent3" w:themeShade="BF"/>
          <w:sz w:val="22"/>
          <w:szCs w:val="22"/>
          <w:lang w:val="en-GB"/>
        </w:rPr>
        <w:t xml:space="preserve">alienate or encumber any of the debtor’s </w:t>
      </w:r>
      <w:proofErr w:type="gramStart"/>
      <w:r>
        <w:rPr>
          <w:rFonts w:ascii="Arial" w:hAnsi="Arial" w:cs="Arial"/>
          <w:color w:val="7B7B7B" w:themeColor="accent3" w:themeShade="BF"/>
          <w:sz w:val="22"/>
          <w:szCs w:val="22"/>
          <w:lang w:val="en-GB"/>
        </w:rPr>
        <w:t>assets</w:t>
      </w:r>
      <w:r w:rsidR="0067161E">
        <w:rPr>
          <w:rFonts w:ascii="Arial" w:hAnsi="Arial" w:cs="Arial"/>
          <w:color w:val="7B7B7B" w:themeColor="accent3" w:themeShade="BF"/>
          <w:sz w:val="22"/>
          <w:szCs w:val="22"/>
          <w:lang w:val="en-GB"/>
        </w:rPr>
        <w:t>;</w:t>
      </w:r>
      <w:proofErr w:type="gramEnd"/>
      <w:r w:rsidR="0067161E">
        <w:rPr>
          <w:rFonts w:ascii="Arial" w:hAnsi="Arial" w:cs="Arial"/>
          <w:color w:val="7B7B7B" w:themeColor="accent3" w:themeShade="BF"/>
          <w:sz w:val="22"/>
          <w:szCs w:val="22"/>
          <w:lang w:val="en-GB"/>
        </w:rPr>
        <w:t xml:space="preserve"> </w:t>
      </w:r>
    </w:p>
    <w:p w14:paraId="33C782B0" w14:textId="7B09FD82" w:rsidR="0067161E" w:rsidRDefault="0067161E" w:rsidP="00214B6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  Manage the debtor’s assets; and</w:t>
      </w:r>
    </w:p>
    <w:p w14:paraId="1CA019DE" w14:textId="1F3D9CDB" w:rsidR="003A6942" w:rsidRDefault="0067161E" w:rsidP="00214B6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3. </w:t>
      </w:r>
      <w:r w:rsidR="007527A6">
        <w:rPr>
          <w:rFonts w:ascii="Arial" w:hAnsi="Arial" w:cs="Arial"/>
          <w:color w:val="7B7B7B" w:themeColor="accent3" w:themeShade="BF"/>
          <w:sz w:val="22"/>
          <w:szCs w:val="22"/>
          <w:lang w:val="en-GB"/>
        </w:rPr>
        <w:t>Allowing the foreign representative to p</w:t>
      </w:r>
      <w:r>
        <w:rPr>
          <w:rFonts w:ascii="Arial" w:hAnsi="Arial" w:cs="Arial"/>
          <w:color w:val="7B7B7B" w:themeColor="accent3" w:themeShade="BF"/>
          <w:sz w:val="22"/>
          <w:szCs w:val="22"/>
          <w:lang w:val="en-GB"/>
        </w:rPr>
        <w:t xml:space="preserve">articipate in local proceedings by </w:t>
      </w:r>
      <w:r w:rsidR="007527A6">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examin</w:t>
      </w:r>
      <w:r w:rsidR="007527A6">
        <w:rPr>
          <w:rFonts w:ascii="Arial" w:hAnsi="Arial" w:cs="Arial"/>
          <w:color w:val="7B7B7B" w:themeColor="accent3" w:themeShade="BF"/>
          <w:sz w:val="22"/>
          <w:szCs w:val="22"/>
          <w:lang w:val="en-GB"/>
        </w:rPr>
        <w:t>ation of</w:t>
      </w:r>
      <w:r>
        <w:rPr>
          <w:rFonts w:ascii="Arial" w:hAnsi="Arial" w:cs="Arial"/>
          <w:color w:val="7B7B7B" w:themeColor="accent3" w:themeShade="BF"/>
          <w:sz w:val="22"/>
          <w:szCs w:val="22"/>
          <w:lang w:val="en-GB"/>
        </w:rPr>
        <w:t xml:space="preserve"> witnesses, tak</w:t>
      </w:r>
      <w:r w:rsidR="007527A6">
        <w:rPr>
          <w:rFonts w:ascii="Arial" w:hAnsi="Arial" w:cs="Arial"/>
          <w:color w:val="7B7B7B" w:themeColor="accent3" w:themeShade="BF"/>
          <w:sz w:val="22"/>
          <w:szCs w:val="22"/>
          <w:lang w:val="en-GB"/>
        </w:rPr>
        <w:t>ing of</w:t>
      </w:r>
      <w:r>
        <w:rPr>
          <w:rFonts w:ascii="Arial" w:hAnsi="Arial" w:cs="Arial"/>
          <w:color w:val="7B7B7B" w:themeColor="accent3" w:themeShade="BF"/>
          <w:sz w:val="22"/>
          <w:szCs w:val="22"/>
          <w:lang w:val="en-GB"/>
        </w:rPr>
        <w:t xml:space="preserve"> evidence, and facilitat</w:t>
      </w:r>
      <w:r w:rsidR="007527A6">
        <w:rPr>
          <w:rFonts w:ascii="Arial" w:hAnsi="Arial" w:cs="Arial"/>
          <w:color w:val="7B7B7B" w:themeColor="accent3" w:themeShade="BF"/>
          <w:sz w:val="22"/>
          <w:szCs w:val="22"/>
          <w:lang w:val="en-GB"/>
        </w:rPr>
        <w:t xml:space="preserve">ing the </w:t>
      </w:r>
      <w:r>
        <w:rPr>
          <w:rFonts w:ascii="Arial" w:hAnsi="Arial" w:cs="Arial"/>
          <w:color w:val="7B7B7B" w:themeColor="accent3" w:themeShade="BF"/>
          <w:sz w:val="22"/>
          <w:szCs w:val="22"/>
          <w:lang w:val="en-GB"/>
        </w:rPr>
        <w:t xml:space="preserve">discovery of information.  </w:t>
      </w:r>
    </w:p>
    <w:p w14:paraId="7C8E658D" w14:textId="7DDAD50B" w:rsidR="0067161E" w:rsidRDefault="0067161E" w:rsidP="00214B65">
      <w:pPr>
        <w:ind w:left="720" w:hanging="720"/>
        <w:jc w:val="both"/>
        <w:rPr>
          <w:rFonts w:ascii="Arial" w:hAnsi="Arial" w:cs="Arial"/>
          <w:color w:val="7B7B7B" w:themeColor="accent3" w:themeShade="BF"/>
          <w:sz w:val="22"/>
          <w:szCs w:val="22"/>
          <w:lang w:val="en-GB"/>
        </w:rPr>
      </w:pPr>
    </w:p>
    <w:p w14:paraId="4F2C0CE4" w14:textId="46094045" w:rsidR="0067161E" w:rsidRDefault="0067161E" w:rsidP="00214B6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may also extend the interim relief</w:t>
      </w:r>
      <w:r w:rsidR="007527A6">
        <w:rPr>
          <w:rFonts w:ascii="Arial" w:hAnsi="Arial" w:cs="Arial"/>
          <w:color w:val="7B7B7B" w:themeColor="accent3" w:themeShade="BF"/>
          <w:sz w:val="22"/>
          <w:szCs w:val="22"/>
          <w:lang w:val="en-GB"/>
        </w:rPr>
        <w:t xml:space="preserve"> made under Article 19 and/or </w:t>
      </w:r>
      <w:r>
        <w:rPr>
          <w:rFonts w:ascii="Arial" w:hAnsi="Arial" w:cs="Arial"/>
          <w:color w:val="7B7B7B" w:themeColor="accent3" w:themeShade="BF"/>
          <w:sz w:val="22"/>
          <w:szCs w:val="22"/>
          <w:lang w:val="en-GB"/>
        </w:rPr>
        <w:t xml:space="preserve">make any additional relief it sees fit.  </w:t>
      </w:r>
    </w:p>
    <w:p w14:paraId="384EE815" w14:textId="462A4F7C" w:rsidR="00E07DD9" w:rsidRDefault="00E07DD9" w:rsidP="00214B65">
      <w:pPr>
        <w:ind w:left="720" w:hanging="720"/>
        <w:jc w:val="both"/>
        <w:rPr>
          <w:rFonts w:ascii="Arial" w:hAnsi="Arial" w:cs="Arial"/>
          <w:color w:val="7B7B7B" w:themeColor="accent3" w:themeShade="BF"/>
          <w:sz w:val="22"/>
          <w:szCs w:val="22"/>
          <w:lang w:val="en-GB"/>
        </w:rPr>
      </w:pPr>
    </w:p>
    <w:p w14:paraId="60382A6D" w14:textId="3DEBC4B8" w:rsidR="00E07DD9" w:rsidRDefault="00E07DD9" w:rsidP="00214B6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terms of Article 18, the foreign representative has a duty to keep the court informed of any updates, including if any other foreign non-main proceedings have already been opened against the debtor, or are </w:t>
      </w:r>
      <w:r w:rsidR="001960B0">
        <w:rPr>
          <w:rFonts w:ascii="Arial" w:hAnsi="Arial" w:cs="Arial"/>
          <w:color w:val="7B7B7B" w:themeColor="accent3" w:themeShade="BF"/>
          <w:sz w:val="22"/>
          <w:szCs w:val="22"/>
          <w:lang w:val="en-GB"/>
        </w:rPr>
        <w:t>anticipated to be opened</w:t>
      </w:r>
      <w:r>
        <w:rPr>
          <w:rFonts w:ascii="Arial" w:hAnsi="Arial" w:cs="Arial"/>
          <w:color w:val="7B7B7B" w:themeColor="accent3" w:themeShade="BF"/>
          <w:sz w:val="22"/>
          <w:szCs w:val="22"/>
          <w:lang w:val="en-GB"/>
        </w:rPr>
        <w:t xml:space="preserve">.  </w:t>
      </w:r>
    </w:p>
    <w:p w14:paraId="1111A259" w14:textId="77777777" w:rsidR="001960B0" w:rsidRDefault="00E07DD9" w:rsidP="00214B6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More importantly, the foreign representative has an ongoing duty to inform the Court of any changes in the status of the foreign proceeding or the status of the representative. </w:t>
      </w:r>
    </w:p>
    <w:p w14:paraId="19F53EAE" w14:textId="6050A688" w:rsidR="00E07DD9" w:rsidRDefault="00E07DD9" w:rsidP="00214B6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duty is emphasized also in The Judicial Perspective which commands the duty of disclosure by a foreign representative in foreign proceedings.  </w:t>
      </w:r>
    </w:p>
    <w:p w14:paraId="5B5E2B08" w14:textId="46A5AF31" w:rsidR="0067161E" w:rsidRDefault="0067161E" w:rsidP="00214B65">
      <w:pPr>
        <w:ind w:left="720" w:hanging="720"/>
        <w:jc w:val="both"/>
        <w:rPr>
          <w:rFonts w:ascii="Arial" w:hAnsi="Arial" w:cs="Arial"/>
          <w:color w:val="7B7B7B" w:themeColor="accent3" w:themeShade="BF"/>
          <w:sz w:val="22"/>
          <w:szCs w:val="22"/>
          <w:lang w:val="en-GB"/>
        </w:rPr>
      </w:pPr>
    </w:p>
    <w:p w14:paraId="5D3ECA1C" w14:textId="77777777" w:rsidR="0067161E" w:rsidRDefault="0067161E" w:rsidP="00214B65">
      <w:pPr>
        <w:ind w:left="720" w:hanging="720"/>
        <w:jc w:val="both"/>
        <w:rPr>
          <w:rFonts w:ascii="Arial" w:hAnsi="Arial" w:cs="Arial"/>
          <w:color w:val="7B7B7B" w:themeColor="accent3" w:themeShade="BF"/>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t>
      </w:r>
      <w:proofErr w:type="gramStart"/>
      <w:r w:rsidRPr="009B5832">
        <w:rPr>
          <w:rFonts w:ascii="Arial" w:hAnsi="Arial" w:cs="Arial"/>
          <w:sz w:val="22"/>
          <w:szCs w:val="22"/>
          <w:lang w:val="en-GB"/>
        </w:rPr>
        <w:t>whether or not</w:t>
      </w:r>
      <w:proofErr w:type="gramEnd"/>
      <w:r w:rsidRPr="009B5832">
        <w:rPr>
          <w:rFonts w:ascii="Arial" w:hAnsi="Arial"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lastRenderedPageBreak/>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5C5011CA" w14:textId="4A479A9D" w:rsidR="00005292" w:rsidRDefault="00C951C3" w:rsidP="00707FC8">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ACCESS:</w:t>
      </w:r>
      <w:r w:rsidR="004742D8">
        <w:rPr>
          <w:rStyle w:val="FootnoteReference"/>
          <w:rFonts w:ascii="Arial" w:hAnsi="Arial" w:cs="Arial"/>
          <w:color w:val="7B7B7B" w:themeColor="accent3" w:themeShade="BF"/>
          <w:sz w:val="22"/>
          <w:szCs w:val="22"/>
          <w:u w:val="single"/>
          <w:lang w:val="en-GB"/>
        </w:rPr>
        <w:footnoteReference w:id="3"/>
      </w:r>
    </w:p>
    <w:p w14:paraId="2B6F654C" w14:textId="77777777" w:rsidR="00964055" w:rsidRPr="007E28F8" w:rsidRDefault="00964055" w:rsidP="00707FC8">
      <w:pPr>
        <w:jc w:val="both"/>
        <w:rPr>
          <w:rFonts w:ascii="Arial" w:hAnsi="Arial" w:cs="Arial"/>
          <w:color w:val="7B7B7B" w:themeColor="accent3" w:themeShade="BF"/>
          <w:sz w:val="22"/>
          <w:szCs w:val="22"/>
          <w:u w:val="single"/>
          <w:lang w:val="en-GB"/>
        </w:rPr>
      </w:pPr>
    </w:p>
    <w:p w14:paraId="2FF4BD5E" w14:textId="6CDB45CE" w:rsidR="00D76CCD" w:rsidRDefault="00C951C3"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Articles 9 – 14 </w:t>
      </w:r>
      <w:r w:rsidR="00484CA5">
        <w:rPr>
          <w:rFonts w:ascii="Arial" w:hAnsi="Arial" w:cs="Arial"/>
          <w:color w:val="7B7B7B" w:themeColor="accent3" w:themeShade="BF"/>
          <w:sz w:val="22"/>
          <w:szCs w:val="22"/>
          <w:lang w:val="en-GB"/>
        </w:rPr>
        <w:t xml:space="preserve">of the Model Law </w:t>
      </w:r>
      <w:r>
        <w:rPr>
          <w:rFonts w:ascii="Arial" w:hAnsi="Arial" w:cs="Arial"/>
          <w:color w:val="7B7B7B" w:themeColor="accent3" w:themeShade="BF"/>
          <w:sz w:val="22"/>
          <w:szCs w:val="22"/>
          <w:lang w:val="en-GB"/>
        </w:rPr>
        <w:t>removes fundamental challenges</w:t>
      </w:r>
      <w:r w:rsidR="00964055">
        <w:rPr>
          <w:rFonts w:ascii="Arial" w:hAnsi="Arial" w:cs="Arial"/>
          <w:color w:val="7B7B7B" w:themeColor="accent3" w:themeShade="BF"/>
          <w:sz w:val="22"/>
          <w:szCs w:val="22"/>
          <w:lang w:val="en-GB"/>
        </w:rPr>
        <w:t xml:space="preserve"> for the foreign representative</w:t>
      </w:r>
      <w:r>
        <w:rPr>
          <w:rFonts w:ascii="Arial" w:hAnsi="Arial" w:cs="Arial"/>
          <w:color w:val="7B7B7B" w:themeColor="accent3" w:themeShade="BF"/>
          <w:sz w:val="22"/>
          <w:szCs w:val="22"/>
          <w:lang w:val="en-GB"/>
        </w:rPr>
        <w:t xml:space="preserve"> relating to jurisdiction and standing.</w:t>
      </w:r>
      <w:r w:rsidR="00B868EC">
        <w:rPr>
          <w:rStyle w:val="FootnoteReference"/>
          <w:rFonts w:ascii="Arial" w:hAnsi="Arial" w:cs="Arial"/>
          <w:color w:val="7B7B7B" w:themeColor="accent3" w:themeShade="BF"/>
          <w:sz w:val="22"/>
          <w:szCs w:val="22"/>
          <w:lang w:val="en-GB"/>
        </w:rPr>
        <w:footnoteReference w:id="4"/>
      </w:r>
      <w:r>
        <w:rPr>
          <w:rFonts w:ascii="Arial" w:hAnsi="Arial" w:cs="Arial"/>
          <w:color w:val="7B7B7B" w:themeColor="accent3" w:themeShade="BF"/>
          <w:sz w:val="22"/>
          <w:szCs w:val="22"/>
          <w:lang w:val="en-GB"/>
        </w:rPr>
        <w:t xml:space="preserve"> </w:t>
      </w:r>
    </w:p>
    <w:p w14:paraId="5CB1879F" w14:textId="6C8DFC3B" w:rsidR="00A220D5" w:rsidRDefault="00D76CCD" w:rsidP="00707FC8">
      <w:pPr>
        <w:jc w:val="both"/>
        <w:rPr>
          <w:rFonts w:ascii="Arial" w:hAnsi="Arial" w:cs="Arial"/>
          <w:color w:val="7B7B7B" w:themeColor="accent3" w:themeShade="BF"/>
          <w:sz w:val="22"/>
          <w:szCs w:val="22"/>
          <w:lang w:val="en-GB"/>
        </w:rPr>
      </w:pPr>
      <w:r w:rsidRPr="00D76CCD">
        <w:rPr>
          <w:rFonts w:ascii="Arial" w:hAnsi="Arial" w:cs="Arial"/>
          <w:color w:val="7B7B7B" w:themeColor="accent3" w:themeShade="BF"/>
          <w:sz w:val="22"/>
          <w:szCs w:val="22"/>
        </w:rPr>
        <w:t xml:space="preserve">Article 9 </w:t>
      </w:r>
      <w:r>
        <w:rPr>
          <w:rFonts w:ascii="Arial" w:hAnsi="Arial" w:cs="Arial"/>
          <w:color w:val="7B7B7B" w:themeColor="accent3" w:themeShade="BF"/>
          <w:sz w:val="22"/>
          <w:szCs w:val="22"/>
        </w:rPr>
        <w:t xml:space="preserve">specifically </w:t>
      </w:r>
      <w:r w:rsidRPr="00D76CCD">
        <w:rPr>
          <w:rFonts w:ascii="Arial" w:hAnsi="Arial" w:cs="Arial"/>
          <w:color w:val="7B7B7B" w:themeColor="accent3" w:themeShade="BF"/>
          <w:sz w:val="22"/>
          <w:szCs w:val="22"/>
        </w:rPr>
        <w:t xml:space="preserve">gives power to </w:t>
      </w:r>
      <w:r>
        <w:rPr>
          <w:rFonts w:ascii="Arial" w:hAnsi="Arial" w:cs="Arial"/>
          <w:color w:val="7B7B7B" w:themeColor="accent3" w:themeShade="BF"/>
          <w:sz w:val="22"/>
          <w:szCs w:val="22"/>
        </w:rPr>
        <w:t xml:space="preserve">foreign representatives </w:t>
      </w:r>
      <w:r w:rsidRPr="00D76CCD">
        <w:rPr>
          <w:rFonts w:ascii="Arial" w:hAnsi="Arial" w:cs="Arial"/>
          <w:color w:val="7B7B7B" w:themeColor="accent3" w:themeShade="BF"/>
          <w:sz w:val="22"/>
          <w:szCs w:val="22"/>
        </w:rPr>
        <w:t>seeking assistance from other relevant jurisdictions.</w:t>
      </w:r>
      <w:r w:rsidR="00C951C3">
        <w:rPr>
          <w:rFonts w:ascii="Arial" w:hAnsi="Arial" w:cs="Arial"/>
          <w:color w:val="7B7B7B" w:themeColor="accent3" w:themeShade="BF"/>
          <w:sz w:val="22"/>
          <w:szCs w:val="22"/>
          <w:lang w:val="en-GB"/>
        </w:rPr>
        <w:t xml:space="preserve"> </w:t>
      </w:r>
    </w:p>
    <w:p w14:paraId="7EE1BF40" w14:textId="77777777" w:rsidR="00071024" w:rsidRDefault="00071024" w:rsidP="00707FC8">
      <w:pPr>
        <w:jc w:val="both"/>
        <w:rPr>
          <w:rFonts w:ascii="Arial" w:hAnsi="Arial" w:cs="Arial"/>
          <w:color w:val="7B7B7B" w:themeColor="accent3" w:themeShade="BF"/>
          <w:sz w:val="22"/>
          <w:szCs w:val="22"/>
          <w:lang w:val="en-GB"/>
        </w:rPr>
      </w:pPr>
    </w:p>
    <w:p w14:paraId="2BB3FAD5" w14:textId="70D576D9" w:rsidR="00C951C3" w:rsidRDefault="00C951C3"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terms of Articles 9 - 12 of the Model Law, a</w:t>
      </w:r>
      <w:r w:rsidR="00630135">
        <w:rPr>
          <w:rFonts w:ascii="Arial" w:hAnsi="Arial" w:cs="Arial"/>
          <w:color w:val="7B7B7B" w:themeColor="accent3" w:themeShade="BF"/>
          <w:sz w:val="22"/>
          <w:szCs w:val="22"/>
          <w:lang w:val="en-GB"/>
        </w:rPr>
        <w:t xml:space="preserve">ny </w:t>
      </w:r>
      <w:r>
        <w:rPr>
          <w:rFonts w:ascii="Arial" w:hAnsi="Arial" w:cs="Arial"/>
          <w:color w:val="7B7B7B" w:themeColor="accent3" w:themeShade="BF"/>
          <w:sz w:val="22"/>
          <w:szCs w:val="22"/>
          <w:lang w:val="en-GB"/>
        </w:rPr>
        <w:t xml:space="preserve">foreign representative </w:t>
      </w:r>
      <w:r w:rsidR="008B2327">
        <w:rPr>
          <w:rFonts w:ascii="Arial" w:hAnsi="Arial" w:cs="Arial"/>
          <w:color w:val="7B7B7B" w:themeColor="accent3" w:themeShade="BF"/>
          <w:sz w:val="22"/>
          <w:szCs w:val="22"/>
          <w:lang w:val="en-GB"/>
        </w:rPr>
        <w:t xml:space="preserve">- </w:t>
      </w:r>
      <w:r w:rsidR="00630135">
        <w:rPr>
          <w:rFonts w:ascii="Arial" w:hAnsi="Arial" w:cs="Arial"/>
          <w:color w:val="7B7B7B" w:themeColor="accent3" w:themeShade="BF"/>
          <w:sz w:val="22"/>
          <w:szCs w:val="22"/>
          <w:lang w:val="en-GB"/>
        </w:rPr>
        <w:t xml:space="preserve">even without commencing recognition proceedings </w:t>
      </w:r>
      <w:r w:rsidR="008B232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may be afforded access to a court in three ways which will be outlined below.  </w:t>
      </w:r>
    </w:p>
    <w:p w14:paraId="161F5FF2" w14:textId="77777777" w:rsidR="00071024" w:rsidRDefault="00071024" w:rsidP="00707FC8">
      <w:pPr>
        <w:jc w:val="both"/>
        <w:rPr>
          <w:rFonts w:ascii="Arial" w:hAnsi="Arial" w:cs="Arial"/>
          <w:color w:val="7B7B7B" w:themeColor="accent3" w:themeShade="BF"/>
          <w:sz w:val="22"/>
          <w:szCs w:val="22"/>
          <w:lang w:val="en-GB"/>
        </w:rPr>
      </w:pPr>
    </w:p>
    <w:p w14:paraId="4AFD597E" w14:textId="0AD91123" w:rsidR="0028704B" w:rsidRDefault="0028704B"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Direct access under Article 9, is the </w:t>
      </w:r>
      <w:r w:rsidR="007E28F8">
        <w:rPr>
          <w:rFonts w:ascii="Arial" w:hAnsi="Arial" w:cs="Arial"/>
          <w:color w:val="7B7B7B" w:themeColor="accent3" w:themeShade="BF"/>
          <w:sz w:val="22"/>
          <w:szCs w:val="22"/>
          <w:lang w:val="en-GB"/>
        </w:rPr>
        <w:t xml:space="preserve">prized </w:t>
      </w:r>
      <w:r>
        <w:rPr>
          <w:rFonts w:ascii="Arial" w:hAnsi="Arial" w:cs="Arial"/>
          <w:color w:val="7B7B7B" w:themeColor="accent3" w:themeShade="BF"/>
          <w:sz w:val="22"/>
          <w:szCs w:val="22"/>
          <w:lang w:val="en-GB"/>
        </w:rPr>
        <w:t xml:space="preserve">route </w:t>
      </w:r>
      <w:r w:rsidR="00AC55F7">
        <w:rPr>
          <w:rFonts w:ascii="Arial" w:hAnsi="Arial" w:cs="Arial"/>
          <w:color w:val="7B7B7B" w:themeColor="accent3" w:themeShade="BF"/>
          <w:sz w:val="22"/>
          <w:szCs w:val="22"/>
          <w:lang w:val="en-GB"/>
        </w:rPr>
        <w:t xml:space="preserve">for the </w:t>
      </w:r>
      <w:r w:rsidR="001960B0">
        <w:rPr>
          <w:rFonts w:ascii="Arial" w:hAnsi="Arial" w:cs="Arial"/>
          <w:color w:val="7B7B7B" w:themeColor="accent3" w:themeShade="BF"/>
          <w:sz w:val="22"/>
          <w:szCs w:val="22"/>
          <w:lang w:val="en-GB"/>
        </w:rPr>
        <w:t xml:space="preserve">foreign representative </w:t>
      </w:r>
      <w:r>
        <w:rPr>
          <w:rFonts w:ascii="Arial" w:hAnsi="Arial" w:cs="Arial"/>
          <w:color w:val="7B7B7B" w:themeColor="accent3" w:themeShade="BF"/>
          <w:sz w:val="22"/>
          <w:szCs w:val="22"/>
          <w:lang w:val="en-GB"/>
        </w:rPr>
        <w:t xml:space="preserve">because no </w:t>
      </w:r>
      <w:r w:rsidR="00AC55F7">
        <w:rPr>
          <w:rFonts w:ascii="Arial" w:hAnsi="Arial" w:cs="Arial"/>
          <w:color w:val="7B7B7B" w:themeColor="accent3" w:themeShade="BF"/>
          <w:sz w:val="22"/>
          <w:szCs w:val="22"/>
          <w:lang w:val="en-GB"/>
        </w:rPr>
        <w:t xml:space="preserve">recognition </w:t>
      </w:r>
      <w:r w:rsidR="00964055">
        <w:rPr>
          <w:rFonts w:ascii="Arial" w:hAnsi="Arial" w:cs="Arial"/>
          <w:color w:val="7B7B7B" w:themeColor="accent3" w:themeShade="BF"/>
          <w:sz w:val="22"/>
          <w:szCs w:val="22"/>
          <w:lang w:val="en-GB"/>
        </w:rPr>
        <w:t xml:space="preserve">of the judgment in the State </w:t>
      </w:r>
      <w:r w:rsidR="007E28F8">
        <w:rPr>
          <w:rFonts w:ascii="Arial" w:hAnsi="Arial" w:cs="Arial"/>
          <w:color w:val="7B7B7B" w:themeColor="accent3" w:themeShade="BF"/>
          <w:sz w:val="22"/>
          <w:szCs w:val="22"/>
          <w:lang w:val="en-GB"/>
        </w:rPr>
        <w:t>which has enacted the Model Law is necessary.</w:t>
      </w:r>
      <w:r w:rsidR="00AC55F7">
        <w:rPr>
          <w:rFonts w:ascii="Arial" w:hAnsi="Arial" w:cs="Arial"/>
          <w:color w:val="7B7B7B" w:themeColor="accent3" w:themeShade="BF"/>
          <w:sz w:val="22"/>
          <w:szCs w:val="22"/>
          <w:lang w:val="en-GB"/>
        </w:rPr>
        <w:t xml:space="preserve">  Thus</w:t>
      </w:r>
      <w:r w:rsidR="001960B0">
        <w:rPr>
          <w:rFonts w:ascii="Arial" w:hAnsi="Arial" w:cs="Arial"/>
          <w:color w:val="7B7B7B" w:themeColor="accent3" w:themeShade="BF"/>
          <w:sz w:val="22"/>
          <w:szCs w:val="22"/>
          <w:lang w:val="en-GB"/>
        </w:rPr>
        <w:t>,</w:t>
      </w:r>
      <w:r w:rsidR="00AC55F7">
        <w:rPr>
          <w:rFonts w:ascii="Arial" w:hAnsi="Arial" w:cs="Arial"/>
          <w:color w:val="7B7B7B" w:themeColor="accent3" w:themeShade="BF"/>
          <w:sz w:val="22"/>
          <w:szCs w:val="22"/>
          <w:lang w:val="en-GB"/>
        </w:rPr>
        <w:t xml:space="preserve"> the </w:t>
      </w:r>
      <w:proofErr w:type="gramStart"/>
      <w:r w:rsidR="00AC55F7">
        <w:rPr>
          <w:rFonts w:ascii="Arial" w:hAnsi="Arial" w:cs="Arial"/>
          <w:color w:val="7B7B7B" w:themeColor="accent3" w:themeShade="BF"/>
          <w:sz w:val="22"/>
          <w:szCs w:val="22"/>
          <w:lang w:val="en-GB"/>
        </w:rPr>
        <w:t>office-holder</w:t>
      </w:r>
      <w:proofErr w:type="gramEnd"/>
      <w:r w:rsidR="00AC55F7">
        <w:rPr>
          <w:rFonts w:ascii="Arial" w:hAnsi="Arial" w:cs="Arial"/>
          <w:color w:val="7B7B7B" w:themeColor="accent3" w:themeShade="BF"/>
          <w:sz w:val="22"/>
          <w:szCs w:val="22"/>
          <w:lang w:val="en-GB"/>
        </w:rPr>
        <w:t xml:space="preserve"> achieves </w:t>
      </w:r>
      <w:r w:rsidR="003C6BB9">
        <w:rPr>
          <w:rFonts w:ascii="Arial" w:hAnsi="Arial" w:cs="Arial"/>
          <w:color w:val="7B7B7B" w:themeColor="accent3" w:themeShade="BF"/>
          <w:sz w:val="22"/>
          <w:szCs w:val="22"/>
          <w:lang w:val="en-GB"/>
        </w:rPr>
        <w:t>immediate standing</w:t>
      </w:r>
      <w:r w:rsidR="00AC55F7">
        <w:rPr>
          <w:rFonts w:ascii="Arial" w:hAnsi="Arial" w:cs="Arial"/>
          <w:color w:val="7B7B7B" w:themeColor="accent3" w:themeShade="BF"/>
          <w:sz w:val="22"/>
          <w:szCs w:val="22"/>
          <w:lang w:val="en-GB"/>
        </w:rPr>
        <w:t>.</w:t>
      </w:r>
      <w:r w:rsidR="00630135">
        <w:rPr>
          <w:rFonts w:ascii="Arial" w:hAnsi="Arial" w:cs="Arial"/>
          <w:color w:val="7B7B7B" w:themeColor="accent3" w:themeShade="BF"/>
          <w:sz w:val="22"/>
          <w:szCs w:val="22"/>
          <w:lang w:val="en-GB"/>
        </w:rPr>
        <w:t xml:space="preserve">  This speedy procedure is beneficial to the foreign representative</w:t>
      </w:r>
      <w:r w:rsidR="00AC55F7">
        <w:rPr>
          <w:rFonts w:ascii="Arial" w:hAnsi="Arial" w:cs="Arial"/>
          <w:color w:val="7B7B7B" w:themeColor="accent3" w:themeShade="BF"/>
          <w:sz w:val="22"/>
          <w:szCs w:val="22"/>
          <w:lang w:val="en-GB"/>
        </w:rPr>
        <w:t xml:space="preserve"> </w:t>
      </w:r>
      <w:r w:rsidR="006A2219">
        <w:rPr>
          <w:rFonts w:ascii="Arial" w:hAnsi="Arial" w:cs="Arial"/>
          <w:color w:val="7B7B7B" w:themeColor="accent3" w:themeShade="BF"/>
          <w:sz w:val="22"/>
          <w:szCs w:val="22"/>
          <w:lang w:val="en-GB"/>
        </w:rPr>
        <w:t xml:space="preserve">where quick action is essential. The representative, usually represented by a local lawyer </w:t>
      </w:r>
      <w:r w:rsidR="00630135">
        <w:rPr>
          <w:rFonts w:ascii="Arial" w:hAnsi="Arial" w:cs="Arial"/>
          <w:color w:val="7B7B7B" w:themeColor="accent3" w:themeShade="BF"/>
          <w:sz w:val="22"/>
          <w:szCs w:val="22"/>
          <w:lang w:val="en-GB"/>
        </w:rPr>
        <w:t>simply attends a court in the normal fashion to commence a local insolvency proceeding.</w:t>
      </w:r>
      <w:r w:rsidR="006A2219">
        <w:rPr>
          <w:rStyle w:val="FootnoteReference"/>
          <w:rFonts w:ascii="Arial" w:hAnsi="Arial" w:cs="Arial"/>
          <w:color w:val="7B7B7B" w:themeColor="accent3" w:themeShade="BF"/>
          <w:sz w:val="22"/>
          <w:szCs w:val="22"/>
          <w:lang w:val="en-GB"/>
        </w:rPr>
        <w:footnoteReference w:id="5"/>
      </w:r>
    </w:p>
    <w:p w14:paraId="388F01FB" w14:textId="614BDA9D" w:rsidR="00AC55F7" w:rsidRDefault="00AC55F7" w:rsidP="00707FC8">
      <w:pPr>
        <w:jc w:val="both"/>
        <w:rPr>
          <w:rFonts w:ascii="Arial" w:hAnsi="Arial" w:cs="Arial"/>
          <w:color w:val="7B7B7B" w:themeColor="accent3" w:themeShade="BF"/>
          <w:sz w:val="22"/>
          <w:szCs w:val="22"/>
          <w:lang w:val="en-GB"/>
        </w:rPr>
      </w:pPr>
    </w:p>
    <w:p w14:paraId="360EB079" w14:textId="30CF1BA0" w:rsidR="00AC55F7" w:rsidRDefault="00AC55F7"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Article 11, access </w:t>
      </w:r>
      <w:r w:rsidR="003C6BB9">
        <w:rPr>
          <w:rFonts w:ascii="Arial" w:hAnsi="Arial" w:cs="Arial"/>
          <w:color w:val="7B7B7B" w:themeColor="accent3" w:themeShade="BF"/>
          <w:sz w:val="22"/>
          <w:szCs w:val="22"/>
          <w:lang w:val="en-GB"/>
        </w:rPr>
        <w:t xml:space="preserve">to initiate proceedings </w:t>
      </w:r>
      <w:r w:rsidR="00E25436">
        <w:rPr>
          <w:rFonts w:ascii="Arial" w:hAnsi="Arial" w:cs="Arial"/>
          <w:color w:val="7B7B7B" w:themeColor="accent3" w:themeShade="BF"/>
          <w:sz w:val="22"/>
          <w:szCs w:val="22"/>
          <w:lang w:val="en-GB"/>
        </w:rPr>
        <w:t>can</w:t>
      </w:r>
      <w:r>
        <w:rPr>
          <w:rFonts w:ascii="Arial" w:hAnsi="Arial" w:cs="Arial"/>
          <w:color w:val="7B7B7B" w:themeColor="accent3" w:themeShade="BF"/>
          <w:sz w:val="22"/>
          <w:szCs w:val="22"/>
          <w:lang w:val="en-GB"/>
        </w:rPr>
        <w:t xml:space="preserve"> be provided to the </w:t>
      </w:r>
      <w:r w:rsidR="001960B0">
        <w:rPr>
          <w:rFonts w:ascii="Arial" w:hAnsi="Arial" w:cs="Arial"/>
          <w:color w:val="7B7B7B" w:themeColor="accent3" w:themeShade="BF"/>
          <w:sz w:val="22"/>
          <w:szCs w:val="22"/>
          <w:lang w:val="en-GB"/>
        </w:rPr>
        <w:t>foreign representative</w:t>
      </w:r>
      <w:r>
        <w:rPr>
          <w:rFonts w:ascii="Arial" w:hAnsi="Arial" w:cs="Arial"/>
          <w:color w:val="7B7B7B" w:themeColor="accent3" w:themeShade="BF"/>
          <w:sz w:val="22"/>
          <w:szCs w:val="22"/>
          <w:lang w:val="en-GB"/>
        </w:rPr>
        <w:t xml:space="preserve"> but a domestic insolvency proceeding must </w:t>
      </w:r>
      <w:r w:rsidR="003C6BB9">
        <w:rPr>
          <w:rFonts w:ascii="Arial" w:hAnsi="Arial" w:cs="Arial"/>
          <w:color w:val="7B7B7B" w:themeColor="accent3" w:themeShade="BF"/>
          <w:sz w:val="22"/>
          <w:szCs w:val="22"/>
          <w:lang w:val="en-GB"/>
        </w:rPr>
        <w:t xml:space="preserve">first </w:t>
      </w:r>
      <w:r>
        <w:rPr>
          <w:rFonts w:ascii="Arial" w:hAnsi="Arial" w:cs="Arial"/>
          <w:color w:val="7B7B7B" w:themeColor="accent3" w:themeShade="BF"/>
          <w:sz w:val="22"/>
          <w:szCs w:val="22"/>
          <w:lang w:val="en-GB"/>
        </w:rPr>
        <w:t xml:space="preserve">be </w:t>
      </w:r>
      <w:r w:rsidR="003C6BB9">
        <w:rPr>
          <w:rFonts w:ascii="Arial" w:hAnsi="Arial" w:cs="Arial"/>
          <w:color w:val="7B7B7B" w:themeColor="accent3" w:themeShade="BF"/>
          <w:sz w:val="22"/>
          <w:szCs w:val="22"/>
          <w:lang w:val="en-GB"/>
        </w:rPr>
        <w:t>said to exist</w:t>
      </w:r>
      <w:r>
        <w:rPr>
          <w:rFonts w:ascii="Arial" w:hAnsi="Arial" w:cs="Arial"/>
          <w:color w:val="7B7B7B" w:themeColor="accent3" w:themeShade="BF"/>
          <w:sz w:val="22"/>
          <w:szCs w:val="22"/>
          <w:lang w:val="en-GB"/>
        </w:rPr>
        <w:t xml:space="preserve"> in the enacting State.</w:t>
      </w:r>
      <w:r w:rsidR="003C6BB9">
        <w:rPr>
          <w:rFonts w:ascii="Arial" w:hAnsi="Arial" w:cs="Arial"/>
          <w:color w:val="7B7B7B" w:themeColor="accent3" w:themeShade="BF"/>
          <w:sz w:val="22"/>
          <w:szCs w:val="22"/>
          <w:lang w:val="en-GB"/>
        </w:rPr>
        <w:t xml:space="preserve">  </w:t>
      </w:r>
    </w:p>
    <w:p w14:paraId="1A473CF0" w14:textId="39F9893F" w:rsidR="003C6BB9" w:rsidRDefault="003C6BB9" w:rsidP="00707FC8">
      <w:pPr>
        <w:jc w:val="both"/>
        <w:rPr>
          <w:rFonts w:ascii="Arial" w:hAnsi="Arial" w:cs="Arial"/>
          <w:color w:val="7B7B7B" w:themeColor="accent3" w:themeShade="BF"/>
          <w:sz w:val="22"/>
          <w:szCs w:val="22"/>
          <w:lang w:val="en-GB"/>
        </w:rPr>
      </w:pPr>
    </w:p>
    <w:p w14:paraId="3513095C" w14:textId="48998AA4" w:rsidR="003C6BB9" w:rsidRDefault="003C6BB9"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12 confers participation rights upon the </w:t>
      </w:r>
      <w:r w:rsidR="001960B0">
        <w:rPr>
          <w:rFonts w:ascii="Arial" w:hAnsi="Arial" w:cs="Arial"/>
          <w:color w:val="7B7B7B" w:themeColor="accent3" w:themeShade="BF"/>
          <w:sz w:val="22"/>
          <w:szCs w:val="22"/>
          <w:lang w:val="en-GB"/>
        </w:rPr>
        <w:t>foreign representative</w:t>
      </w:r>
      <w:r w:rsidR="00E25436">
        <w:rPr>
          <w:rFonts w:ascii="Arial" w:hAnsi="Arial" w:cs="Arial"/>
          <w:color w:val="7B7B7B" w:themeColor="accent3" w:themeShade="BF"/>
          <w:sz w:val="22"/>
          <w:szCs w:val="22"/>
          <w:lang w:val="en-GB"/>
        </w:rPr>
        <w:t xml:space="preserve"> after recognition.  </w:t>
      </w:r>
    </w:p>
    <w:p w14:paraId="29E2F78F" w14:textId="033FE4F9" w:rsidR="004C3D6F" w:rsidRDefault="004C3D6F" w:rsidP="00707FC8">
      <w:pPr>
        <w:jc w:val="both"/>
        <w:rPr>
          <w:rFonts w:ascii="Arial" w:hAnsi="Arial" w:cs="Arial"/>
          <w:color w:val="7B7B7B" w:themeColor="accent3" w:themeShade="BF"/>
          <w:sz w:val="22"/>
          <w:szCs w:val="22"/>
          <w:lang w:val="en-GB"/>
        </w:rPr>
      </w:pPr>
    </w:p>
    <w:p w14:paraId="5D4782CB" w14:textId="77777777" w:rsidR="001960B0" w:rsidRDefault="00BD4D79" w:rsidP="00707FC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It is beneficial to the foreign representative that </w:t>
      </w:r>
      <w:r>
        <w:rPr>
          <w:rFonts w:ascii="Arial" w:hAnsi="Arial" w:cs="Arial"/>
          <w:i/>
          <w:iCs/>
          <w:color w:val="7B7B7B" w:themeColor="accent3" w:themeShade="BF"/>
          <w:sz w:val="22"/>
          <w:szCs w:val="22"/>
        </w:rPr>
        <w:t xml:space="preserve">locus standi </w:t>
      </w:r>
      <w:r>
        <w:rPr>
          <w:rFonts w:ascii="Arial" w:hAnsi="Arial" w:cs="Arial"/>
          <w:color w:val="7B7B7B" w:themeColor="accent3" w:themeShade="BF"/>
          <w:sz w:val="22"/>
          <w:szCs w:val="22"/>
        </w:rPr>
        <w:t xml:space="preserve">is </w:t>
      </w:r>
      <w:r w:rsidRPr="00BD4D79">
        <w:rPr>
          <w:rFonts w:ascii="Arial" w:hAnsi="Arial" w:cs="Arial"/>
          <w:color w:val="7B7B7B" w:themeColor="accent3" w:themeShade="BF"/>
          <w:sz w:val="22"/>
          <w:szCs w:val="22"/>
        </w:rPr>
        <w:t>not depend</w:t>
      </w:r>
      <w:r w:rsidR="001960B0">
        <w:rPr>
          <w:rFonts w:ascii="Arial" w:hAnsi="Arial" w:cs="Arial"/>
          <w:color w:val="7B7B7B" w:themeColor="accent3" w:themeShade="BF"/>
          <w:sz w:val="22"/>
          <w:szCs w:val="22"/>
        </w:rPr>
        <w:t>e</w:t>
      </w:r>
      <w:r>
        <w:rPr>
          <w:rFonts w:ascii="Arial" w:hAnsi="Arial" w:cs="Arial"/>
          <w:color w:val="7B7B7B" w:themeColor="accent3" w:themeShade="BF"/>
          <w:sz w:val="22"/>
          <w:szCs w:val="22"/>
        </w:rPr>
        <w:t>nt</w:t>
      </w:r>
      <w:r w:rsidRPr="00BD4D79">
        <w:rPr>
          <w:rFonts w:ascii="Arial" w:hAnsi="Arial" w:cs="Arial"/>
          <w:color w:val="7B7B7B" w:themeColor="accent3" w:themeShade="BF"/>
          <w:sz w:val="22"/>
          <w:szCs w:val="22"/>
        </w:rPr>
        <w:t xml:space="preserve"> on prior recognition of the foreign proceeding, for reasons relating to urgency and preservation of the debtor's assets</w:t>
      </w:r>
      <w:r>
        <w:rPr>
          <w:rFonts w:ascii="Arial" w:hAnsi="Arial" w:cs="Arial"/>
          <w:color w:val="7B7B7B" w:themeColor="accent3" w:themeShade="BF"/>
          <w:sz w:val="22"/>
          <w:szCs w:val="22"/>
        </w:rPr>
        <w:t xml:space="preserve">.  </w:t>
      </w:r>
    </w:p>
    <w:p w14:paraId="453FC487" w14:textId="3DBE192C" w:rsidR="004C3D6F" w:rsidRDefault="00BD4D79"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Standing avoids</w:t>
      </w:r>
      <w:r w:rsidR="004C3D6F" w:rsidRPr="004C3D6F">
        <w:rPr>
          <w:rFonts w:ascii="Arial" w:hAnsi="Arial" w:cs="Arial"/>
          <w:color w:val="7B7B7B" w:themeColor="accent3" w:themeShade="BF"/>
          <w:sz w:val="22"/>
          <w:szCs w:val="22"/>
        </w:rPr>
        <w:t xml:space="preserve"> communications through more </w:t>
      </w:r>
      <w:r w:rsidR="001960B0">
        <w:rPr>
          <w:rFonts w:ascii="Arial" w:hAnsi="Arial" w:cs="Arial"/>
          <w:color w:val="7B7B7B" w:themeColor="accent3" w:themeShade="BF"/>
          <w:sz w:val="22"/>
          <w:szCs w:val="22"/>
        </w:rPr>
        <w:t>“</w:t>
      </w:r>
      <w:r w:rsidR="004C3D6F" w:rsidRPr="004C3D6F">
        <w:rPr>
          <w:rFonts w:ascii="Arial" w:hAnsi="Arial" w:cs="Arial"/>
          <w:color w:val="7B7B7B" w:themeColor="accent3" w:themeShade="BF"/>
          <w:sz w:val="22"/>
          <w:szCs w:val="22"/>
        </w:rPr>
        <w:t>time</w:t>
      </w:r>
      <w:r w:rsidR="004C3D6F">
        <w:rPr>
          <w:rFonts w:ascii="Arial" w:hAnsi="Arial" w:cs="Arial"/>
          <w:color w:val="7B7B7B" w:themeColor="accent3" w:themeShade="BF"/>
          <w:sz w:val="22"/>
          <w:szCs w:val="22"/>
        </w:rPr>
        <w:t>-</w:t>
      </w:r>
      <w:r w:rsidR="004C3D6F" w:rsidRPr="004C3D6F">
        <w:rPr>
          <w:rFonts w:ascii="Arial" w:hAnsi="Arial" w:cs="Arial"/>
          <w:color w:val="7B7B7B" w:themeColor="accent3" w:themeShade="BF"/>
          <w:sz w:val="22"/>
          <w:szCs w:val="22"/>
        </w:rPr>
        <w:t>consuming and cumbersome, and less predictable, procedures</w:t>
      </w:r>
      <w:r w:rsidR="00A83154">
        <w:rPr>
          <w:rFonts w:ascii="Arial" w:hAnsi="Arial" w:cs="Arial"/>
          <w:color w:val="7B7B7B" w:themeColor="accent3" w:themeShade="BF"/>
          <w:sz w:val="22"/>
          <w:szCs w:val="22"/>
        </w:rPr>
        <w:t xml:space="preserve"> that could work against the ideals of </w:t>
      </w:r>
      <w:r w:rsidR="004C3D6F" w:rsidRPr="004C3D6F">
        <w:rPr>
          <w:rFonts w:ascii="Arial" w:hAnsi="Arial" w:cs="Arial"/>
          <w:color w:val="7B7B7B" w:themeColor="accent3" w:themeShade="BF"/>
          <w:sz w:val="22"/>
          <w:szCs w:val="22"/>
        </w:rPr>
        <w:t>a coordinated administration of an insolvency</w:t>
      </w:r>
      <w:r w:rsidR="00A83154">
        <w:rPr>
          <w:rFonts w:ascii="Arial" w:hAnsi="Arial" w:cs="Arial"/>
          <w:color w:val="7B7B7B" w:themeColor="accent3" w:themeShade="BF"/>
          <w:sz w:val="22"/>
          <w:szCs w:val="22"/>
        </w:rPr>
        <w:t>, which ultimately aims to</w:t>
      </w:r>
      <w:r w:rsidR="004C3D6F" w:rsidRPr="004C3D6F">
        <w:rPr>
          <w:rFonts w:ascii="Arial" w:hAnsi="Arial" w:cs="Arial"/>
          <w:color w:val="7B7B7B" w:themeColor="accent3" w:themeShade="BF"/>
          <w:sz w:val="22"/>
          <w:szCs w:val="22"/>
        </w:rPr>
        <w:t xml:space="preserve"> preserve assets against dissipation or concealment</w:t>
      </w:r>
      <w:r w:rsidR="001960B0">
        <w:rPr>
          <w:rFonts w:ascii="Arial" w:hAnsi="Arial" w:cs="Arial"/>
          <w:color w:val="7B7B7B" w:themeColor="accent3" w:themeShade="BF"/>
          <w:sz w:val="22"/>
          <w:szCs w:val="22"/>
        </w:rPr>
        <w:t>.”</w:t>
      </w:r>
      <w:r w:rsidR="004C3D6F">
        <w:rPr>
          <w:rStyle w:val="FootnoteReference"/>
          <w:rFonts w:ascii="Arial" w:hAnsi="Arial" w:cs="Arial"/>
          <w:color w:val="7B7B7B" w:themeColor="accent3" w:themeShade="BF"/>
          <w:sz w:val="22"/>
          <w:szCs w:val="22"/>
        </w:rPr>
        <w:footnoteReference w:id="6"/>
      </w:r>
      <w:r w:rsidR="004C3D6F">
        <w:rPr>
          <w:rFonts w:ascii="Arial" w:hAnsi="Arial" w:cs="Arial"/>
          <w:color w:val="7B7B7B" w:themeColor="accent3" w:themeShade="BF"/>
          <w:sz w:val="22"/>
          <w:szCs w:val="22"/>
        </w:rPr>
        <w:t xml:space="preserve">  </w:t>
      </w:r>
    </w:p>
    <w:p w14:paraId="751E8CAC" w14:textId="77777777" w:rsidR="008B2327" w:rsidRDefault="008B2327" w:rsidP="00707FC8">
      <w:pPr>
        <w:jc w:val="both"/>
        <w:rPr>
          <w:rFonts w:ascii="Arial" w:hAnsi="Arial" w:cs="Arial"/>
          <w:color w:val="7B7B7B" w:themeColor="accent3" w:themeShade="BF"/>
          <w:sz w:val="22"/>
          <w:szCs w:val="22"/>
          <w:lang w:val="en-GB"/>
        </w:rPr>
      </w:pPr>
    </w:p>
    <w:p w14:paraId="3D8A470A" w14:textId="0705CFDC" w:rsidR="00E25436" w:rsidRDefault="00E25436" w:rsidP="00707FC8">
      <w:pPr>
        <w:jc w:val="both"/>
        <w:rPr>
          <w:rFonts w:ascii="Arial" w:hAnsi="Arial" w:cs="Arial"/>
          <w:color w:val="7B7B7B" w:themeColor="accent3" w:themeShade="BF"/>
          <w:sz w:val="22"/>
          <w:szCs w:val="22"/>
          <w:lang w:val="en-GB"/>
        </w:rPr>
      </w:pPr>
    </w:p>
    <w:p w14:paraId="4306D8DF" w14:textId="2361B364" w:rsidR="007E28F8" w:rsidRDefault="007E28F8" w:rsidP="00707FC8">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CO-OPERATION</w:t>
      </w:r>
      <w:r w:rsidR="009C1242">
        <w:rPr>
          <w:rFonts w:ascii="Arial" w:hAnsi="Arial" w:cs="Arial"/>
          <w:color w:val="7B7B7B" w:themeColor="accent3" w:themeShade="BF"/>
          <w:sz w:val="22"/>
          <w:szCs w:val="22"/>
          <w:u w:val="single"/>
          <w:lang w:val="en-GB"/>
        </w:rPr>
        <w:t>:</w:t>
      </w:r>
      <w:r w:rsidR="009C1242">
        <w:rPr>
          <w:rStyle w:val="FootnoteReference"/>
          <w:rFonts w:ascii="Arial" w:hAnsi="Arial" w:cs="Arial"/>
          <w:color w:val="7B7B7B" w:themeColor="accent3" w:themeShade="BF"/>
          <w:sz w:val="22"/>
          <w:szCs w:val="22"/>
          <w:u w:val="single"/>
          <w:lang w:val="en-GB"/>
        </w:rPr>
        <w:footnoteReference w:id="7"/>
      </w:r>
    </w:p>
    <w:p w14:paraId="02A7D840" w14:textId="77777777" w:rsidR="00075C0D" w:rsidRPr="007E28F8" w:rsidRDefault="00075C0D" w:rsidP="00707FC8">
      <w:pPr>
        <w:jc w:val="both"/>
        <w:rPr>
          <w:rFonts w:ascii="Arial" w:hAnsi="Arial" w:cs="Arial"/>
          <w:color w:val="7B7B7B" w:themeColor="accent3" w:themeShade="BF"/>
          <w:sz w:val="22"/>
          <w:szCs w:val="22"/>
          <w:u w:val="single"/>
          <w:lang w:val="en-GB"/>
        </w:rPr>
      </w:pPr>
    </w:p>
    <w:p w14:paraId="7A32A3DA" w14:textId="3311E852" w:rsidR="008E5423" w:rsidRDefault="00EF7C91"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Co-operation </w:t>
      </w:r>
      <w:r w:rsidR="008E5423">
        <w:rPr>
          <w:rFonts w:ascii="Arial" w:hAnsi="Arial" w:cs="Arial"/>
          <w:color w:val="7B7B7B" w:themeColor="accent3" w:themeShade="BF"/>
          <w:sz w:val="22"/>
          <w:szCs w:val="22"/>
          <w:lang w:val="en-GB"/>
        </w:rPr>
        <w:t>is enumerated under Articles 25 – 27</w:t>
      </w:r>
      <w:r w:rsidR="001960B0">
        <w:rPr>
          <w:rFonts w:ascii="Arial" w:hAnsi="Arial" w:cs="Arial"/>
          <w:color w:val="7B7B7B" w:themeColor="accent3" w:themeShade="BF"/>
          <w:sz w:val="22"/>
          <w:szCs w:val="22"/>
          <w:lang w:val="en-GB"/>
        </w:rPr>
        <w:t xml:space="preserve"> of the Model Law.</w:t>
      </w:r>
      <w:r w:rsidR="008E5423">
        <w:rPr>
          <w:rFonts w:ascii="Arial" w:hAnsi="Arial" w:cs="Arial"/>
          <w:color w:val="7B7B7B" w:themeColor="accent3" w:themeShade="BF"/>
          <w:sz w:val="22"/>
          <w:szCs w:val="22"/>
          <w:lang w:val="en-GB"/>
        </w:rPr>
        <w:t xml:space="preserve"> </w:t>
      </w:r>
    </w:p>
    <w:p w14:paraId="5E80B5B4" w14:textId="77777777" w:rsidR="009C1242" w:rsidRDefault="009C1242" w:rsidP="005E0DDB">
      <w:pPr>
        <w:jc w:val="both"/>
        <w:rPr>
          <w:rFonts w:ascii="Arial" w:hAnsi="Arial" w:cs="Arial"/>
          <w:color w:val="7B7B7B" w:themeColor="accent3" w:themeShade="BF"/>
          <w:sz w:val="22"/>
          <w:szCs w:val="22"/>
          <w:lang w:val="en-GB"/>
        </w:rPr>
      </w:pPr>
    </w:p>
    <w:p w14:paraId="024C475B" w14:textId="125EC552" w:rsidR="005E0DDB" w:rsidRDefault="005E0DDB" w:rsidP="005E0DD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25(1) entitles a court to communicate directly with, or </w:t>
      </w:r>
      <w:proofErr w:type="gramStart"/>
      <w:r>
        <w:rPr>
          <w:rFonts w:ascii="Arial" w:hAnsi="Arial" w:cs="Arial"/>
          <w:color w:val="7B7B7B" w:themeColor="accent3" w:themeShade="BF"/>
          <w:sz w:val="22"/>
          <w:szCs w:val="22"/>
          <w:lang w:val="en-GB"/>
        </w:rPr>
        <w:t>offer assistance</w:t>
      </w:r>
      <w:proofErr w:type="gramEnd"/>
      <w:r>
        <w:rPr>
          <w:rFonts w:ascii="Arial" w:hAnsi="Arial" w:cs="Arial"/>
          <w:color w:val="7B7B7B" w:themeColor="accent3" w:themeShade="BF"/>
          <w:sz w:val="22"/>
          <w:szCs w:val="22"/>
          <w:lang w:val="en-GB"/>
        </w:rPr>
        <w:t xml:space="preserve">, or request information from a foreign court or representative.  </w:t>
      </w:r>
    </w:p>
    <w:p w14:paraId="58C4A797" w14:textId="1417848F" w:rsidR="008E5423" w:rsidRDefault="008E5423" w:rsidP="005E0DD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26 deals with the cooperation of domestic representatives with foreign courts and representatives.</w:t>
      </w:r>
    </w:p>
    <w:p w14:paraId="4172611E" w14:textId="7835F256" w:rsidR="007E28F8" w:rsidRDefault="000B2D1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As cooperation may be implemented in any “appropriate means,” </w:t>
      </w:r>
      <w:r w:rsidR="005154E1">
        <w:rPr>
          <w:rFonts w:ascii="Arial" w:hAnsi="Arial" w:cs="Arial"/>
          <w:color w:val="7B7B7B" w:themeColor="accent3" w:themeShade="BF"/>
          <w:sz w:val="22"/>
          <w:szCs w:val="22"/>
          <w:lang w:val="en-GB"/>
        </w:rPr>
        <w:t xml:space="preserve">Article 27 lists the non-exclusive methods which may be employed in communication, although the courts are given a wide measure of latitude in its choice of implementation.  </w:t>
      </w:r>
    </w:p>
    <w:p w14:paraId="373113E8" w14:textId="70D58AAA" w:rsidR="008E5423" w:rsidRDefault="008E5423" w:rsidP="00707FC8">
      <w:pPr>
        <w:jc w:val="both"/>
        <w:rPr>
          <w:rFonts w:ascii="Arial" w:hAnsi="Arial" w:cs="Arial"/>
          <w:color w:val="7B7B7B" w:themeColor="accent3" w:themeShade="BF"/>
          <w:sz w:val="22"/>
          <w:szCs w:val="22"/>
          <w:lang w:val="en-GB"/>
        </w:rPr>
      </w:pPr>
    </w:p>
    <w:p w14:paraId="5E3D911F" w14:textId="56F23438" w:rsidR="008E5423" w:rsidRPr="008E5423" w:rsidRDefault="008B2327" w:rsidP="008E542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w:t>
      </w:r>
      <w:r w:rsidR="008E5423" w:rsidRPr="008E5423">
        <w:rPr>
          <w:rFonts w:ascii="Arial" w:hAnsi="Arial" w:cs="Arial"/>
          <w:color w:val="7B7B7B" w:themeColor="accent3" w:themeShade="BF"/>
          <w:sz w:val="22"/>
          <w:szCs w:val="22"/>
          <w:lang w:val="en-GB"/>
        </w:rPr>
        <w:t xml:space="preserve">nder Articles 25 and 26 </w:t>
      </w:r>
      <w:r>
        <w:rPr>
          <w:rFonts w:ascii="Arial" w:hAnsi="Arial" w:cs="Arial"/>
          <w:color w:val="7B7B7B" w:themeColor="accent3" w:themeShade="BF"/>
          <w:sz w:val="22"/>
          <w:szCs w:val="22"/>
          <w:lang w:val="en-GB"/>
        </w:rPr>
        <w:t xml:space="preserve">cooperation </w:t>
      </w:r>
      <w:r w:rsidR="008E5423" w:rsidRPr="008E5423">
        <w:rPr>
          <w:rFonts w:ascii="Arial" w:hAnsi="Arial" w:cs="Arial"/>
          <w:color w:val="7B7B7B" w:themeColor="accent3" w:themeShade="BF"/>
          <w:sz w:val="22"/>
          <w:szCs w:val="22"/>
          <w:lang w:val="en-GB"/>
        </w:rPr>
        <w:t xml:space="preserve">is not merely encouraged but mandatory, and direct communication expressly authorized.  </w:t>
      </w:r>
    </w:p>
    <w:p w14:paraId="5F653681" w14:textId="5C158B19" w:rsidR="001D7DBF" w:rsidRDefault="008E5423" w:rsidP="008E5423">
      <w:pPr>
        <w:jc w:val="both"/>
        <w:rPr>
          <w:rFonts w:ascii="Arial" w:hAnsi="Arial" w:cs="Arial"/>
          <w:color w:val="7B7B7B" w:themeColor="accent3" w:themeShade="BF"/>
          <w:sz w:val="22"/>
          <w:szCs w:val="22"/>
          <w:lang w:val="en-GB"/>
        </w:rPr>
      </w:pPr>
      <w:r w:rsidRPr="008E5423">
        <w:rPr>
          <w:rFonts w:ascii="Arial" w:hAnsi="Arial" w:cs="Arial"/>
          <w:color w:val="7B7B7B" w:themeColor="accent3" w:themeShade="BF"/>
          <w:sz w:val="22"/>
          <w:szCs w:val="22"/>
          <w:lang w:val="en-GB"/>
        </w:rPr>
        <w:t xml:space="preserve">The Model Law </w:t>
      </w:r>
      <w:r>
        <w:rPr>
          <w:rFonts w:ascii="Arial" w:hAnsi="Arial" w:cs="Arial"/>
          <w:color w:val="7B7B7B" w:themeColor="accent3" w:themeShade="BF"/>
          <w:sz w:val="22"/>
          <w:szCs w:val="22"/>
          <w:lang w:val="en-GB"/>
        </w:rPr>
        <w:t xml:space="preserve">further </w:t>
      </w:r>
      <w:r w:rsidRPr="008E5423">
        <w:rPr>
          <w:rFonts w:ascii="Arial" w:hAnsi="Arial" w:cs="Arial"/>
          <w:color w:val="7B7B7B" w:themeColor="accent3" w:themeShade="BF"/>
          <w:sz w:val="22"/>
          <w:szCs w:val="22"/>
          <w:lang w:val="en-GB"/>
        </w:rPr>
        <w:t xml:space="preserve">emphasises co-operation by compelling courts and domestic </w:t>
      </w:r>
      <w:proofErr w:type="gramStart"/>
      <w:r w:rsidRPr="008E5423">
        <w:rPr>
          <w:rFonts w:ascii="Arial" w:hAnsi="Arial" w:cs="Arial"/>
          <w:color w:val="7B7B7B" w:themeColor="accent3" w:themeShade="BF"/>
          <w:sz w:val="22"/>
          <w:szCs w:val="22"/>
          <w:lang w:val="en-GB"/>
        </w:rPr>
        <w:t>office-holders</w:t>
      </w:r>
      <w:proofErr w:type="gramEnd"/>
      <w:r w:rsidRPr="008E5423">
        <w:rPr>
          <w:rFonts w:ascii="Arial" w:hAnsi="Arial" w:cs="Arial"/>
          <w:color w:val="7B7B7B" w:themeColor="accent3" w:themeShade="BF"/>
          <w:sz w:val="22"/>
          <w:szCs w:val="22"/>
          <w:lang w:val="en-GB"/>
        </w:rPr>
        <w:t xml:space="preserve"> to cooperate “to the maximum extent possible”</w:t>
      </w:r>
      <w:r w:rsidRPr="008E5423">
        <w:rPr>
          <w:rFonts w:ascii="Arial" w:hAnsi="Arial" w:cs="Arial"/>
          <w:color w:val="7B7B7B" w:themeColor="accent3" w:themeShade="BF"/>
          <w:sz w:val="22"/>
          <w:szCs w:val="22"/>
          <w:vertAlign w:val="superscript"/>
          <w:lang w:val="en-GB"/>
        </w:rPr>
        <w:t xml:space="preserve"> </w:t>
      </w:r>
      <w:r w:rsidRPr="008E5423">
        <w:rPr>
          <w:rFonts w:ascii="Arial" w:hAnsi="Arial" w:cs="Arial"/>
          <w:color w:val="7B7B7B" w:themeColor="accent3" w:themeShade="BF"/>
          <w:sz w:val="22"/>
          <w:szCs w:val="22"/>
          <w:vertAlign w:val="superscript"/>
          <w:lang w:val="en-GB"/>
        </w:rPr>
        <w:footnoteReference w:id="8"/>
      </w:r>
      <w:r w:rsidRPr="008E5423">
        <w:rPr>
          <w:rFonts w:ascii="Arial" w:hAnsi="Arial" w:cs="Arial"/>
          <w:color w:val="7B7B7B" w:themeColor="accent3" w:themeShade="BF"/>
          <w:sz w:val="22"/>
          <w:szCs w:val="22"/>
          <w:lang w:val="en-GB"/>
        </w:rPr>
        <w:t xml:space="preserve"> with foreign courts and office-holders.  </w:t>
      </w:r>
    </w:p>
    <w:p w14:paraId="2691A099" w14:textId="77777777" w:rsidR="001D7DBF" w:rsidRDefault="001D7DBF" w:rsidP="008E5423">
      <w:pPr>
        <w:jc w:val="both"/>
        <w:rPr>
          <w:rFonts w:ascii="Arial" w:hAnsi="Arial" w:cs="Arial"/>
          <w:color w:val="7B7B7B" w:themeColor="accent3" w:themeShade="BF"/>
          <w:sz w:val="22"/>
          <w:szCs w:val="22"/>
          <w:lang w:val="en-GB"/>
        </w:rPr>
      </w:pPr>
    </w:p>
    <w:p w14:paraId="4FFA39F7" w14:textId="239EB234" w:rsidR="001D7DBF" w:rsidRPr="008E5423" w:rsidRDefault="008E5423" w:rsidP="001D7DBF">
      <w:pPr>
        <w:jc w:val="both"/>
        <w:rPr>
          <w:rFonts w:ascii="Arial" w:hAnsi="Arial" w:cs="Arial"/>
          <w:color w:val="7B7B7B" w:themeColor="accent3" w:themeShade="BF"/>
          <w:sz w:val="22"/>
          <w:szCs w:val="22"/>
          <w:lang w:val="en-GB"/>
        </w:rPr>
      </w:pPr>
      <w:r w:rsidRPr="008E5423">
        <w:rPr>
          <w:rFonts w:ascii="Arial" w:hAnsi="Arial" w:cs="Arial"/>
          <w:color w:val="7B7B7B" w:themeColor="accent3" w:themeShade="BF"/>
          <w:sz w:val="22"/>
          <w:szCs w:val="22"/>
          <w:lang w:val="en-GB"/>
        </w:rPr>
        <w:t xml:space="preserve">This is indispensable to the effectiveness of the Model Law because communication is fundamental to achieving the goals of the Model Law.  </w:t>
      </w:r>
      <w:r w:rsidR="001D7DBF" w:rsidRPr="008E5423">
        <w:rPr>
          <w:rFonts w:ascii="Arial" w:hAnsi="Arial" w:cs="Arial"/>
          <w:color w:val="7B7B7B" w:themeColor="accent3" w:themeShade="BF"/>
          <w:sz w:val="22"/>
          <w:szCs w:val="22"/>
          <w:lang w:val="en-GB"/>
        </w:rPr>
        <w:t>The direct communication channel</w:t>
      </w:r>
      <w:r w:rsidR="001D7DBF" w:rsidRPr="008E5423">
        <w:rPr>
          <w:rFonts w:ascii="Arial" w:hAnsi="Arial" w:cs="Arial"/>
          <w:color w:val="7B7B7B" w:themeColor="accent3" w:themeShade="BF"/>
          <w:sz w:val="22"/>
          <w:szCs w:val="22"/>
          <w:vertAlign w:val="superscript"/>
          <w:lang w:val="en-GB"/>
        </w:rPr>
        <w:footnoteReference w:id="9"/>
      </w:r>
      <w:r w:rsidR="001D7DBF" w:rsidRPr="008E5423">
        <w:rPr>
          <w:rFonts w:ascii="Arial" w:hAnsi="Arial" w:cs="Arial"/>
          <w:color w:val="7B7B7B" w:themeColor="accent3" w:themeShade="BF"/>
          <w:sz w:val="22"/>
          <w:szCs w:val="22"/>
          <w:lang w:val="en-GB"/>
        </w:rPr>
        <w:t xml:space="preserve"> created by a representative </w:t>
      </w:r>
      <w:r w:rsidR="001D7DBF">
        <w:rPr>
          <w:rFonts w:ascii="Arial" w:hAnsi="Arial" w:cs="Arial"/>
          <w:color w:val="7B7B7B" w:themeColor="accent3" w:themeShade="BF"/>
          <w:sz w:val="22"/>
          <w:szCs w:val="22"/>
          <w:lang w:val="en-GB"/>
        </w:rPr>
        <w:t>i</w:t>
      </w:r>
      <w:r w:rsidR="001D7DBF" w:rsidRPr="008E5423">
        <w:rPr>
          <w:rFonts w:ascii="Arial" w:hAnsi="Arial" w:cs="Arial"/>
          <w:color w:val="7B7B7B" w:themeColor="accent3" w:themeShade="BF"/>
          <w:sz w:val="22"/>
          <w:szCs w:val="22"/>
          <w:lang w:val="en-GB"/>
        </w:rPr>
        <w:t xml:space="preserve">s beneficial to the </w:t>
      </w:r>
      <w:r w:rsidR="001D7DBF">
        <w:rPr>
          <w:rFonts w:ascii="Arial" w:hAnsi="Arial" w:cs="Arial"/>
          <w:color w:val="7B7B7B" w:themeColor="accent3" w:themeShade="BF"/>
          <w:sz w:val="22"/>
          <w:szCs w:val="22"/>
          <w:lang w:val="en-GB"/>
        </w:rPr>
        <w:t xml:space="preserve">foreign representative </w:t>
      </w:r>
      <w:r w:rsidR="001D7DBF" w:rsidRPr="008E5423">
        <w:rPr>
          <w:rFonts w:ascii="Arial" w:hAnsi="Arial" w:cs="Arial"/>
          <w:color w:val="7B7B7B" w:themeColor="accent3" w:themeShade="BF"/>
          <w:sz w:val="22"/>
          <w:szCs w:val="22"/>
          <w:lang w:val="en-GB"/>
        </w:rPr>
        <w:t>“where a court may find it difficult to act absent specific statutory discretion.</w:t>
      </w:r>
      <w:r w:rsidR="00A86206">
        <w:rPr>
          <w:rFonts w:ascii="Arial" w:hAnsi="Arial" w:cs="Arial"/>
          <w:color w:val="7B7B7B" w:themeColor="accent3" w:themeShade="BF"/>
          <w:sz w:val="22"/>
          <w:szCs w:val="22"/>
          <w:lang w:val="en-GB"/>
        </w:rPr>
        <w:t>”</w:t>
      </w:r>
      <w:r w:rsidR="001D7DBF" w:rsidRPr="008E5423">
        <w:rPr>
          <w:rFonts w:ascii="Arial" w:hAnsi="Arial" w:cs="Arial"/>
          <w:color w:val="7B7B7B" w:themeColor="accent3" w:themeShade="BF"/>
          <w:sz w:val="22"/>
          <w:szCs w:val="22"/>
          <w:vertAlign w:val="superscript"/>
          <w:lang w:val="en-GB"/>
        </w:rPr>
        <w:footnoteReference w:id="10"/>
      </w:r>
      <w:r w:rsidR="00A86206">
        <w:rPr>
          <w:rFonts w:ascii="Arial" w:hAnsi="Arial" w:cs="Arial"/>
          <w:color w:val="7B7B7B" w:themeColor="accent3" w:themeShade="BF"/>
          <w:sz w:val="22"/>
          <w:szCs w:val="22"/>
          <w:lang w:val="en-GB"/>
        </w:rPr>
        <w:t xml:space="preserve">  To this may be added, in urgent situations where communication via letter or diplomatic channels may be time-consuming.</w:t>
      </w:r>
      <w:r w:rsidR="00C41C48">
        <w:rPr>
          <w:rStyle w:val="FootnoteReference"/>
          <w:rFonts w:ascii="Arial" w:hAnsi="Arial" w:cs="Arial"/>
          <w:color w:val="7B7B7B" w:themeColor="accent3" w:themeShade="BF"/>
          <w:sz w:val="22"/>
          <w:szCs w:val="22"/>
          <w:lang w:val="en-GB"/>
        </w:rPr>
        <w:footnoteReference w:id="11"/>
      </w:r>
    </w:p>
    <w:p w14:paraId="22572AF9" w14:textId="57513F6A" w:rsidR="008E5423" w:rsidRPr="008E5423" w:rsidRDefault="001D7DBF" w:rsidP="008E542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Communication therefore serves to ensure the prevention of dissipation of assets, or the maximization of their value, or to find the best solution for their reorganization.</w:t>
      </w:r>
    </w:p>
    <w:p w14:paraId="7AF53C35" w14:textId="0518658E" w:rsidR="008E5423" w:rsidRPr="008E5423" w:rsidRDefault="008E5423" w:rsidP="008E5423">
      <w:pPr>
        <w:jc w:val="both"/>
        <w:rPr>
          <w:rFonts w:ascii="Arial" w:hAnsi="Arial" w:cs="Arial"/>
          <w:color w:val="7B7B7B" w:themeColor="accent3" w:themeShade="BF"/>
          <w:sz w:val="22"/>
          <w:szCs w:val="22"/>
          <w:lang w:val="en-GB"/>
        </w:rPr>
      </w:pPr>
    </w:p>
    <w:p w14:paraId="33CA9906" w14:textId="321879BC" w:rsidR="00005292" w:rsidRDefault="0000529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may be noted that cooperation is not a pre-requisite to recognition</w:t>
      </w:r>
      <w:r w:rsidR="004014C9">
        <w:rPr>
          <w:rFonts w:ascii="Arial" w:hAnsi="Arial" w:cs="Arial"/>
          <w:color w:val="7B7B7B" w:themeColor="accent3" w:themeShade="BF"/>
          <w:sz w:val="22"/>
          <w:szCs w:val="22"/>
          <w:lang w:val="en-GB"/>
        </w:rPr>
        <w:t xml:space="preserve"> in terms of Article 17</w:t>
      </w:r>
      <w:r>
        <w:rPr>
          <w:rFonts w:ascii="Arial" w:hAnsi="Arial" w:cs="Arial"/>
          <w:color w:val="7B7B7B" w:themeColor="accent3" w:themeShade="BF"/>
          <w:sz w:val="22"/>
          <w:szCs w:val="22"/>
          <w:lang w:val="en-GB"/>
        </w:rPr>
        <w:t xml:space="preserve"> and so, cross-border judicial co-operation</w:t>
      </w:r>
      <w:r w:rsidR="002B6173">
        <w:rPr>
          <w:rFonts w:ascii="Arial" w:hAnsi="Arial" w:cs="Arial"/>
          <w:color w:val="7B7B7B" w:themeColor="accent3" w:themeShade="BF"/>
          <w:sz w:val="22"/>
          <w:szCs w:val="22"/>
          <w:lang w:val="en-GB"/>
        </w:rPr>
        <w:t xml:space="preserve"> is required irrespective if the foreign proceedings have been recognized or not.  This</w:t>
      </w:r>
      <w:r>
        <w:rPr>
          <w:rFonts w:ascii="Arial" w:hAnsi="Arial" w:cs="Arial"/>
          <w:color w:val="7B7B7B" w:themeColor="accent3" w:themeShade="BF"/>
          <w:sz w:val="22"/>
          <w:szCs w:val="22"/>
          <w:lang w:val="en-GB"/>
        </w:rPr>
        <w:t xml:space="preserve"> can fundamentally improve the manner of resolution between States</w:t>
      </w:r>
      <w:r w:rsidR="007E28F8">
        <w:rPr>
          <w:rFonts w:ascii="Arial" w:hAnsi="Arial" w:cs="Arial"/>
          <w:color w:val="7B7B7B" w:themeColor="accent3" w:themeShade="BF"/>
          <w:sz w:val="22"/>
          <w:szCs w:val="22"/>
          <w:lang w:val="en-GB"/>
        </w:rPr>
        <w:t xml:space="preserve">, especially where no proceedings are opened in a State, but </w:t>
      </w:r>
      <w:r w:rsidR="004014C9">
        <w:rPr>
          <w:rFonts w:ascii="Arial" w:hAnsi="Arial" w:cs="Arial"/>
          <w:color w:val="7B7B7B" w:themeColor="accent3" w:themeShade="BF"/>
          <w:sz w:val="22"/>
          <w:szCs w:val="22"/>
          <w:lang w:val="en-GB"/>
        </w:rPr>
        <w:t>the debtor has assets in that State.</w:t>
      </w:r>
      <w:r>
        <w:rPr>
          <w:rFonts w:ascii="Arial" w:hAnsi="Arial" w:cs="Arial"/>
          <w:color w:val="7B7B7B" w:themeColor="accent3" w:themeShade="BF"/>
          <w:sz w:val="22"/>
          <w:szCs w:val="22"/>
          <w:lang w:val="en-GB"/>
        </w:rPr>
        <w:t xml:space="preserve">  </w:t>
      </w:r>
    </w:p>
    <w:p w14:paraId="50A49573" w14:textId="77777777" w:rsidR="008B2327" w:rsidRDefault="008B2327" w:rsidP="00707FC8">
      <w:pPr>
        <w:jc w:val="both"/>
        <w:rPr>
          <w:rFonts w:ascii="Arial" w:hAnsi="Arial" w:cs="Arial"/>
          <w:color w:val="7B7B7B" w:themeColor="accent3" w:themeShade="BF"/>
          <w:sz w:val="22"/>
          <w:szCs w:val="22"/>
          <w:lang w:val="en-GB"/>
        </w:rPr>
      </w:pPr>
    </w:p>
    <w:p w14:paraId="7034D6E3" w14:textId="488350B0" w:rsidR="00E25436" w:rsidRDefault="008B2327"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conclusion, the </w:t>
      </w:r>
      <w:r w:rsidR="00005292">
        <w:rPr>
          <w:rFonts w:ascii="Arial" w:hAnsi="Arial" w:cs="Arial"/>
          <w:color w:val="7B7B7B" w:themeColor="accent3" w:themeShade="BF"/>
          <w:sz w:val="22"/>
          <w:szCs w:val="22"/>
          <w:lang w:val="en-GB"/>
        </w:rPr>
        <w:t xml:space="preserve">Articles outlined above underpin </w:t>
      </w:r>
      <w:r>
        <w:rPr>
          <w:rFonts w:ascii="Arial" w:hAnsi="Arial" w:cs="Arial"/>
          <w:color w:val="7B7B7B" w:themeColor="accent3" w:themeShade="BF"/>
          <w:sz w:val="22"/>
          <w:szCs w:val="22"/>
          <w:lang w:val="en-GB"/>
        </w:rPr>
        <w:t xml:space="preserve">various routes to acquiring relief, or to </w:t>
      </w:r>
      <w:r w:rsidR="00EF7C91">
        <w:rPr>
          <w:rFonts w:ascii="Arial" w:hAnsi="Arial" w:cs="Arial"/>
          <w:color w:val="7B7B7B" w:themeColor="accent3" w:themeShade="BF"/>
          <w:sz w:val="22"/>
          <w:szCs w:val="22"/>
          <w:lang w:val="en-GB"/>
        </w:rPr>
        <w:t xml:space="preserve">contribute to </w:t>
      </w:r>
      <w:r w:rsidR="00E25436">
        <w:rPr>
          <w:rFonts w:ascii="Arial" w:hAnsi="Arial" w:cs="Arial"/>
          <w:color w:val="7B7B7B" w:themeColor="accent3" w:themeShade="BF"/>
          <w:sz w:val="22"/>
          <w:szCs w:val="22"/>
          <w:lang w:val="en-GB"/>
        </w:rPr>
        <w:t xml:space="preserve">a cohesive facilitation of proceedings </w:t>
      </w:r>
      <w:r w:rsidR="00005292">
        <w:rPr>
          <w:rFonts w:ascii="Arial" w:hAnsi="Arial" w:cs="Arial"/>
          <w:color w:val="7B7B7B" w:themeColor="accent3" w:themeShade="BF"/>
          <w:sz w:val="22"/>
          <w:szCs w:val="22"/>
          <w:lang w:val="en-GB"/>
        </w:rPr>
        <w:t>for the</w:t>
      </w:r>
      <w:r>
        <w:rPr>
          <w:rFonts w:ascii="Arial" w:hAnsi="Arial" w:cs="Arial"/>
          <w:color w:val="7B7B7B" w:themeColor="accent3" w:themeShade="BF"/>
          <w:sz w:val="22"/>
          <w:szCs w:val="22"/>
          <w:lang w:val="en-GB"/>
        </w:rPr>
        <w:t xml:space="preserve"> foreign representative</w:t>
      </w:r>
      <w:r w:rsidR="00255D2A">
        <w:rPr>
          <w:rFonts w:ascii="Arial" w:hAnsi="Arial" w:cs="Arial"/>
          <w:color w:val="7B7B7B" w:themeColor="accent3" w:themeShade="BF"/>
          <w:sz w:val="22"/>
          <w:szCs w:val="22"/>
          <w:lang w:val="en-GB"/>
        </w:rPr>
        <w:t xml:space="preserve"> </w:t>
      </w:r>
      <w:r w:rsidR="00E25436">
        <w:rPr>
          <w:rFonts w:ascii="Arial" w:hAnsi="Arial" w:cs="Arial"/>
          <w:color w:val="7B7B7B" w:themeColor="accent3" w:themeShade="BF"/>
          <w:sz w:val="22"/>
          <w:szCs w:val="22"/>
          <w:lang w:val="en-GB"/>
        </w:rPr>
        <w:t>which effectively max</w:t>
      </w:r>
      <w:r>
        <w:rPr>
          <w:rFonts w:ascii="Arial" w:hAnsi="Arial" w:cs="Arial"/>
          <w:color w:val="7B7B7B" w:themeColor="accent3" w:themeShade="BF"/>
          <w:sz w:val="22"/>
          <w:szCs w:val="22"/>
          <w:lang w:val="en-GB"/>
        </w:rPr>
        <w:t xml:space="preserve">imizes </w:t>
      </w:r>
      <w:r w:rsidR="00E25436">
        <w:rPr>
          <w:rFonts w:ascii="Arial" w:hAnsi="Arial" w:cs="Arial"/>
          <w:color w:val="7B7B7B" w:themeColor="accent3" w:themeShade="BF"/>
          <w:sz w:val="22"/>
          <w:szCs w:val="22"/>
          <w:lang w:val="en-GB"/>
        </w:rPr>
        <w:t>distribution to creditors in equal proportion</w:t>
      </w:r>
      <w:r w:rsidR="00EF7C91">
        <w:rPr>
          <w:rFonts w:ascii="Arial" w:hAnsi="Arial" w:cs="Arial"/>
          <w:color w:val="7B7B7B" w:themeColor="accent3" w:themeShade="BF"/>
          <w:sz w:val="22"/>
          <w:szCs w:val="22"/>
          <w:lang w:val="en-GB"/>
        </w:rPr>
        <w:t xml:space="preserve"> </w:t>
      </w:r>
      <w:r w:rsidR="00255D2A">
        <w:rPr>
          <w:rFonts w:ascii="Arial" w:hAnsi="Arial" w:cs="Arial"/>
          <w:color w:val="7B7B7B" w:themeColor="accent3" w:themeShade="BF"/>
          <w:sz w:val="22"/>
          <w:szCs w:val="22"/>
          <w:lang w:val="en-GB"/>
        </w:rPr>
        <w:t xml:space="preserve">thereby fulfilling </w:t>
      </w:r>
      <w:r w:rsidR="00EF7C91">
        <w:rPr>
          <w:rFonts w:ascii="Arial" w:hAnsi="Arial" w:cs="Arial"/>
          <w:color w:val="7B7B7B" w:themeColor="accent3" w:themeShade="BF"/>
          <w:sz w:val="22"/>
          <w:szCs w:val="22"/>
          <w:lang w:val="en-GB"/>
        </w:rPr>
        <w:t>the goals of the Model Law.</w:t>
      </w:r>
    </w:p>
    <w:p w14:paraId="1847D01C" w14:textId="28395014" w:rsidR="00D23DD5" w:rsidRDefault="00D23DD5" w:rsidP="00707FC8">
      <w:pPr>
        <w:jc w:val="both"/>
        <w:rPr>
          <w:rFonts w:ascii="Arial" w:hAnsi="Arial" w:cs="Arial"/>
          <w:color w:val="7B7B7B" w:themeColor="accent3" w:themeShade="BF"/>
          <w:sz w:val="22"/>
          <w:szCs w:val="22"/>
          <w:lang w:val="en-GB"/>
        </w:rPr>
      </w:pPr>
    </w:p>
    <w:p w14:paraId="39C1D865" w14:textId="77777777" w:rsidR="008B4E3A" w:rsidRDefault="008B4E3A" w:rsidP="00707FC8">
      <w:pPr>
        <w:jc w:val="both"/>
        <w:rPr>
          <w:rFonts w:ascii="Arial" w:hAnsi="Arial" w:cs="Arial"/>
          <w:color w:val="7B7B7B" w:themeColor="accent3" w:themeShade="BF"/>
          <w:sz w:val="22"/>
          <w:szCs w:val="22"/>
          <w:lang w:val="en-GB"/>
        </w:rPr>
      </w:pPr>
    </w:p>
    <w:p w14:paraId="5F4F6FC8" w14:textId="77777777" w:rsidR="008B2327" w:rsidRPr="0028704B" w:rsidRDefault="008B2327" w:rsidP="00707FC8">
      <w:pPr>
        <w:jc w:val="both"/>
        <w:rPr>
          <w:rFonts w:ascii="Arial" w:hAnsi="Arial" w:cs="Arial"/>
          <w:color w:val="7B7B7B" w:themeColor="accent3" w:themeShade="BF"/>
          <w:sz w:val="22"/>
          <w:szCs w:val="22"/>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 xml:space="preserve">relevant MLCBI articles) any other evidence, restrictions, </w:t>
      </w:r>
      <w:proofErr w:type="gramStart"/>
      <w:r w:rsidRPr="009B5832">
        <w:rPr>
          <w:rFonts w:ascii="Arial" w:hAnsi="Arial" w:cs="Arial"/>
          <w:sz w:val="22"/>
          <w:szCs w:val="22"/>
          <w:lang w:val="en-GB"/>
        </w:rPr>
        <w:t>exclusions</w:t>
      </w:r>
      <w:proofErr w:type="gramEnd"/>
      <w:r w:rsidRPr="009B5832">
        <w:rPr>
          <w:rFonts w:ascii="Arial" w:hAnsi="Arial" w:cs="Arial"/>
          <w:sz w:val="22"/>
          <w:szCs w:val="22"/>
          <w:lang w:val="en-GB"/>
        </w:rPr>
        <w:t xml:space="preserve">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3E8BA55F" w14:textId="70BB5876" w:rsidR="0015731E" w:rsidRDefault="0015731E"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recognition of an application is governed by Chapter 3 of the Model Law</w:t>
      </w:r>
      <w:r w:rsidR="00A8650A">
        <w:rPr>
          <w:rFonts w:ascii="Arial" w:hAnsi="Arial" w:cs="Arial"/>
          <w:color w:val="7B7B7B" w:themeColor="accent3" w:themeShade="BF"/>
          <w:sz w:val="22"/>
          <w:szCs w:val="22"/>
          <w:lang w:val="en-GB"/>
        </w:rPr>
        <w:t xml:space="preserve"> which lays out important provisions regarding the requirements for recognition, the ensuing recognition and thereafter</w:t>
      </w:r>
      <w:r w:rsidR="00255D2A">
        <w:rPr>
          <w:rFonts w:ascii="Arial" w:hAnsi="Arial" w:cs="Arial"/>
          <w:color w:val="7B7B7B" w:themeColor="accent3" w:themeShade="BF"/>
          <w:sz w:val="22"/>
          <w:szCs w:val="22"/>
          <w:lang w:val="en-GB"/>
        </w:rPr>
        <w:t>,</w:t>
      </w:r>
      <w:r w:rsidR="00A8650A">
        <w:rPr>
          <w:rFonts w:ascii="Arial" w:hAnsi="Arial" w:cs="Arial"/>
          <w:color w:val="7B7B7B" w:themeColor="accent3" w:themeShade="BF"/>
          <w:sz w:val="22"/>
          <w:szCs w:val="22"/>
          <w:lang w:val="en-GB"/>
        </w:rPr>
        <w:t xml:space="preserve"> its effects.</w:t>
      </w:r>
      <w:r>
        <w:rPr>
          <w:rFonts w:ascii="Arial" w:hAnsi="Arial" w:cs="Arial"/>
          <w:color w:val="7B7B7B" w:themeColor="accent3" w:themeShade="BF"/>
          <w:sz w:val="22"/>
          <w:szCs w:val="22"/>
          <w:lang w:val="en-GB"/>
        </w:rPr>
        <w:t xml:space="preserve">  </w:t>
      </w:r>
    </w:p>
    <w:p w14:paraId="26B1652F" w14:textId="7E8382A7" w:rsidR="0015731E" w:rsidRDefault="0015731E" w:rsidP="00707FC8">
      <w:pPr>
        <w:jc w:val="both"/>
        <w:rPr>
          <w:rFonts w:ascii="Arial" w:hAnsi="Arial" w:cs="Arial"/>
          <w:color w:val="7B7B7B" w:themeColor="accent3" w:themeShade="BF"/>
          <w:sz w:val="22"/>
          <w:szCs w:val="22"/>
          <w:lang w:val="en-GB"/>
        </w:rPr>
      </w:pPr>
    </w:p>
    <w:p w14:paraId="731D2CE9" w14:textId="16024C0C" w:rsidR="0031070F" w:rsidRDefault="0031070F" w:rsidP="00707FC8">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Requirements:</w:t>
      </w:r>
    </w:p>
    <w:p w14:paraId="712C26C6" w14:textId="77777777" w:rsidR="0031070F" w:rsidRPr="0031070F" w:rsidRDefault="0031070F" w:rsidP="00707FC8">
      <w:pPr>
        <w:jc w:val="both"/>
        <w:rPr>
          <w:rFonts w:ascii="Arial" w:hAnsi="Arial" w:cs="Arial"/>
          <w:color w:val="7B7B7B" w:themeColor="accent3" w:themeShade="BF"/>
          <w:sz w:val="22"/>
          <w:szCs w:val="22"/>
          <w:u w:val="single"/>
          <w:lang w:val="en-GB"/>
        </w:rPr>
      </w:pPr>
    </w:p>
    <w:p w14:paraId="0C8B9C97" w14:textId="77777777" w:rsidR="00D46CF8" w:rsidRDefault="0015731E"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At the outset, </w:t>
      </w:r>
      <w:r w:rsidR="00D46CF8">
        <w:rPr>
          <w:rFonts w:ascii="Arial" w:hAnsi="Arial" w:cs="Arial"/>
          <w:color w:val="7B7B7B" w:themeColor="accent3" w:themeShade="BF"/>
          <w:sz w:val="22"/>
          <w:szCs w:val="22"/>
          <w:lang w:val="en-GB"/>
        </w:rPr>
        <w:t xml:space="preserve">the process of recognition begins with the </w:t>
      </w:r>
      <w:r>
        <w:rPr>
          <w:rFonts w:ascii="Arial" w:hAnsi="Arial" w:cs="Arial"/>
          <w:color w:val="7B7B7B" w:themeColor="accent3" w:themeShade="BF"/>
          <w:sz w:val="22"/>
          <w:szCs w:val="22"/>
          <w:lang w:val="en-GB"/>
        </w:rPr>
        <w:t>fulfil</w:t>
      </w:r>
      <w:r w:rsidR="00D46CF8">
        <w:rPr>
          <w:rFonts w:ascii="Arial" w:hAnsi="Arial" w:cs="Arial"/>
          <w:color w:val="7B7B7B" w:themeColor="accent3" w:themeShade="BF"/>
          <w:sz w:val="22"/>
          <w:szCs w:val="22"/>
          <w:lang w:val="en-GB"/>
        </w:rPr>
        <w:t>ment of the</w:t>
      </w:r>
      <w:r>
        <w:rPr>
          <w:rFonts w:ascii="Arial" w:hAnsi="Arial" w:cs="Arial"/>
          <w:color w:val="7B7B7B" w:themeColor="accent3" w:themeShade="BF"/>
          <w:sz w:val="22"/>
          <w:szCs w:val="22"/>
          <w:lang w:val="en-GB"/>
        </w:rPr>
        <w:t xml:space="preserve"> core procedural requirements as laid out in Article 15.  </w:t>
      </w:r>
    </w:p>
    <w:p w14:paraId="163844EB" w14:textId="71F2D96A" w:rsidR="0015731E" w:rsidRDefault="0015731E"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These are</w:t>
      </w:r>
      <w:r w:rsidR="00D46CF8">
        <w:rPr>
          <w:rFonts w:ascii="Arial" w:hAnsi="Arial" w:cs="Arial"/>
          <w:color w:val="7B7B7B" w:themeColor="accent3" w:themeShade="BF"/>
          <w:sz w:val="22"/>
          <w:szCs w:val="22"/>
          <w:lang w:val="en-GB"/>
        </w:rPr>
        <w:t xml:space="preserve"> that the application must contain one or more of the </w:t>
      </w:r>
      <w:proofErr w:type="gramStart"/>
      <w:r w:rsidR="00D46CF8">
        <w:rPr>
          <w:rFonts w:ascii="Arial" w:hAnsi="Arial" w:cs="Arial"/>
          <w:color w:val="7B7B7B" w:themeColor="accent3" w:themeShade="BF"/>
          <w:sz w:val="22"/>
          <w:szCs w:val="22"/>
          <w:lang w:val="en-GB"/>
        </w:rPr>
        <w:t>following</w:t>
      </w:r>
      <w:r>
        <w:rPr>
          <w:rFonts w:ascii="Arial" w:hAnsi="Arial" w:cs="Arial"/>
          <w:color w:val="7B7B7B" w:themeColor="accent3" w:themeShade="BF"/>
          <w:sz w:val="22"/>
          <w:szCs w:val="22"/>
          <w:lang w:val="en-GB"/>
        </w:rPr>
        <w:t>:-</w:t>
      </w:r>
      <w:proofErr w:type="gramEnd"/>
    </w:p>
    <w:p w14:paraId="4713E9FC" w14:textId="0167F6E2" w:rsidR="00546318" w:rsidRDefault="00546318" w:rsidP="00546318">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 certified copy of the decision commencing the foreign proceedings and appointing the foreign representative; or </w:t>
      </w:r>
    </w:p>
    <w:p w14:paraId="0C76F427" w14:textId="01DEB1B9" w:rsidR="00546318" w:rsidRDefault="00546318" w:rsidP="00546318">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certificate from the foreign court affirming the existence of the foreign proceeding and the appointment of the foreign representative; or </w:t>
      </w:r>
    </w:p>
    <w:p w14:paraId="5754B590" w14:textId="409A3211" w:rsidR="00546318" w:rsidRDefault="00546318" w:rsidP="00546318">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there is none of the above, any other acceptable evidence authenticating the existence of the foreign proceedings.</w:t>
      </w:r>
      <w:r w:rsidR="00F02FE7">
        <w:rPr>
          <w:rFonts w:ascii="Arial" w:hAnsi="Arial" w:cs="Arial"/>
          <w:color w:val="7B7B7B" w:themeColor="accent3" w:themeShade="BF"/>
          <w:sz w:val="22"/>
          <w:szCs w:val="22"/>
          <w:lang w:val="en-GB"/>
        </w:rPr>
        <w:t xml:space="preserve">  </w:t>
      </w:r>
    </w:p>
    <w:p w14:paraId="767F8931" w14:textId="4254B58A" w:rsidR="0015731E" w:rsidRDefault="0015731E" w:rsidP="0015731E">
      <w:pPr>
        <w:jc w:val="both"/>
        <w:rPr>
          <w:rFonts w:ascii="Arial" w:hAnsi="Arial" w:cs="Arial"/>
          <w:color w:val="7B7B7B" w:themeColor="accent3" w:themeShade="BF"/>
          <w:sz w:val="22"/>
          <w:szCs w:val="22"/>
          <w:lang w:val="en-GB"/>
        </w:rPr>
      </w:pPr>
    </w:p>
    <w:p w14:paraId="078F86F6" w14:textId="77777777" w:rsidR="008B4E3A" w:rsidRDefault="008B4E3A" w:rsidP="0015731E">
      <w:pPr>
        <w:jc w:val="both"/>
        <w:rPr>
          <w:rFonts w:ascii="Arial" w:hAnsi="Arial" w:cs="Arial"/>
          <w:color w:val="7B7B7B" w:themeColor="accent3" w:themeShade="BF"/>
          <w:sz w:val="22"/>
          <w:szCs w:val="22"/>
          <w:lang w:val="en-GB"/>
        </w:rPr>
      </w:pPr>
    </w:p>
    <w:p w14:paraId="7940D274" w14:textId="5C977F52" w:rsidR="00DF75F8" w:rsidRDefault="00F02FE7" w:rsidP="00707FC8">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lang w:val="en-GB"/>
        </w:rPr>
        <w:t xml:space="preserve"> </w:t>
      </w:r>
      <w:r w:rsidR="00C03844" w:rsidRPr="00C03844">
        <w:rPr>
          <w:rFonts w:ascii="Arial" w:hAnsi="Arial" w:cs="Arial"/>
          <w:color w:val="7B7B7B" w:themeColor="accent3" w:themeShade="BF"/>
          <w:sz w:val="22"/>
          <w:szCs w:val="22"/>
          <w:u w:val="single"/>
          <w:lang w:val="en-GB"/>
        </w:rPr>
        <w:t>Judicial Scrutiny:</w:t>
      </w:r>
    </w:p>
    <w:p w14:paraId="18D5C9F0" w14:textId="77777777" w:rsidR="0031070F" w:rsidRDefault="0031070F" w:rsidP="00707FC8">
      <w:pPr>
        <w:jc w:val="both"/>
        <w:rPr>
          <w:rFonts w:ascii="Arial" w:hAnsi="Arial" w:cs="Arial"/>
          <w:color w:val="7B7B7B" w:themeColor="accent3" w:themeShade="BF"/>
          <w:sz w:val="22"/>
          <w:szCs w:val="22"/>
          <w:u w:val="single"/>
          <w:lang w:val="en-GB"/>
        </w:rPr>
      </w:pPr>
    </w:p>
    <w:p w14:paraId="6F410F57" w14:textId="3D7F199B" w:rsidR="0015731E" w:rsidRDefault="0031070F" w:rsidP="0015731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Since for purposes of this </w:t>
      </w:r>
      <w:r w:rsidR="00D46CF8">
        <w:rPr>
          <w:rFonts w:ascii="Arial" w:hAnsi="Arial" w:cs="Arial"/>
          <w:color w:val="7B7B7B" w:themeColor="accent3" w:themeShade="BF"/>
          <w:sz w:val="22"/>
          <w:szCs w:val="22"/>
          <w:lang w:val="en-GB"/>
        </w:rPr>
        <w:t>question,</w:t>
      </w:r>
      <w:r>
        <w:rPr>
          <w:rFonts w:ascii="Arial" w:hAnsi="Arial" w:cs="Arial"/>
          <w:color w:val="7B7B7B" w:themeColor="accent3" w:themeShade="BF"/>
          <w:sz w:val="22"/>
          <w:szCs w:val="22"/>
          <w:lang w:val="en-GB"/>
        </w:rPr>
        <w:t xml:space="preserve"> </w:t>
      </w:r>
      <w:r w:rsidR="0015731E" w:rsidRPr="0015731E">
        <w:rPr>
          <w:rFonts w:ascii="Arial" w:hAnsi="Arial" w:cs="Arial"/>
          <w:color w:val="7B7B7B" w:themeColor="accent3" w:themeShade="BF"/>
          <w:sz w:val="22"/>
          <w:szCs w:val="22"/>
          <w:lang w:val="en-GB"/>
        </w:rPr>
        <w:t>the criteria in Article 2(a) and (d) are fulfilled, then the court, in considering the application is entitled</w:t>
      </w:r>
      <w:r>
        <w:rPr>
          <w:rFonts w:ascii="Arial" w:hAnsi="Arial" w:cs="Arial"/>
          <w:color w:val="7B7B7B" w:themeColor="accent3" w:themeShade="BF"/>
          <w:sz w:val="22"/>
          <w:szCs w:val="22"/>
          <w:lang w:val="en-GB"/>
        </w:rPr>
        <w:t xml:space="preserve"> under Article 16</w:t>
      </w:r>
      <w:r w:rsidR="0015731E" w:rsidRPr="0015731E">
        <w:rPr>
          <w:rFonts w:ascii="Arial" w:hAnsi="Arial" w:cs="Arial"/>
          <w:color w:val="7B7B7B" w:themeColor="accent3" w:themeShade="BF"/>
          <w:sz w:val="22"/>
          <w:szCs w:val="22"/>
          <w:lang w:val="en-GB"/>
        </w:rPr>
        <w:t xml:space="preserve"> to presume two things</w:t>
      </w:r>
      <w:r>
        <w:rPr>
          <w:rFonts w:ascii="Arial" w:hAnsi="Arial" w:cs="Arial"/>
          <w:color w:val="7B7B7B" w:themeColor="accent3" w:themeShade="BF"/>
          <w:sz w:val="22"/>
          <w:szCs w:val="22"/>
          <w:lang w:val="en-GB"/>
        </w:rPr>
        <w:t>,</w:t>
      </w:r>
      <w:r w:rsidR="0015731E">
        <w:rPr>
          <w:rFonts w:ascii="Arial" w:hAnsi="Arial" w:cs="Arial"/>
          <w:color w:val="7B7B7B" w:themeColor="accent3" w:themeShade="BF"/>
          <w:sz w:val="22"/>
          <w:szCs w:val="22"/>
          <w:lang w:val="en-GB"/>
        </w:rPr>
        <w:t xml:space="preserve"> </w:t>
      </w:r>
      <w:r w:rsidR="0015731E">
        <w:rPr>
          <w:rFonts w:ascii="Arial" w:hAnsi="Arial" w:cs="Arial"/>
          <w:i/>
          <w:iCs/>
          <w:color w:val="7B7B7B" w:themeColor="accent3" w:themeShade="BF"/>
          <w:sz w:val="22"/>
          <w:szCs w:val="22"/>
          <w:lang w:val="en-GB"/>
        </w:rPr>
        <w:t>inter alia</w:t>
      </w:r>
      <w:r w:rsidR="00277A89">
        <w:rPr>
          <w:rFonts w:ascii="Arial" w:hAnsi="Arial" w:cs="Arial"/>
          <w:color w:val="7B7B7B" w:themeColor="accent3" w:themeShade="BF"/>
          <w:sz w:val="22"/>
          <w:szCs w:val="22"/>
          <w:lang w:val="en-GB"/>
        </w:rPr>
        <w:t xml:space="preserve"> that the documents submitted are authentic</w:t>
      </w:r>
      <w:r>
        <w:rPr>
          <w:rFonts w:ascii="Arial" w:hAnsi="Arial" w:cs="Arial"/>
          <w:color w:val="7B7B7B" w:themeColor="accent3" w:themeShade="BF"/>
          <w:sz w:val="22"/>
          <w:szCs w:val="22"/>
          <w:lang w:val="en-GB"/>
        </w:rPr>
        <w:t xml:space="preserve"> – </w:t>
      </w:r>
      <w:proofErr w:type="gramStart"/>
      <w:r>
        <w:rPr>
          <w:rFonts w:ascii="Arial" w:hAnsi="Arial" w:cs="Arial"/>
          <w:color w:val="7B7B7B" w:themeColor="accent3" w:themeShade="BF"/>
          <w:sz w:val="22"/>
          <w:szCs w:val="22"/>
          <w:lang w:val="en-GB"/>
        </w:rPr>
        <w:t>whether or not</w:t>
      </w:r>
      <w:proofErr w:type="gramEnd"/>
      <w:r>
        <w:rPr>
          <w:rFonts w:ascii="Arial" w:hAnsi="Arial" w:cs="Arial"/>
          <w:color w:val="7B7B7B" w:themeColor="accent3" w:themeShade="BF"/>
          <w:sz w:val="22"/>
          <w:szCs w:val="22"/>
          <w:lang w:val="en-GB"/>
        </w:rPr>
        <w:t xml:space="preserve"> they have been legalized -</w:t>
      </w:r>
      <w:r w:rsidR="00277A89">
        <w:rPr>
          <w:rFonts w:ascii="Arial" w:hAnsi="Arial" w:cs="Arial"/>
          <w:color w:val="7B7B7B" w:themeColor="accent3" w:themeShade="BF"/>
          <w:sz w:val="22"/>
          <w:szCs w:val="22"/>
          <w:lang w:val="en-GB"/>
        </w:rPr>
        <w:t xml:space="preserve"> and that the debtor’s registered address is the centre of his/her main interests.  </w:t>
      </w:r>
    </w:p>
    <w:p w14:paraId="09D4E01B" w14:textId="6132DB0A" w:rsidR="0031070F" w:rsidRDefault="0031070F" w:rsidP="0015731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16(1)(c) is a </w:t>
      </w:r>
      <w:r w:rsidR="00D46CF8">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catch</w:t>
      </w:r>
      <w:r w:rsidR="00D46CF8">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all</w:t>
      </w:r>
      <w:r w:rsidR="00D46CF8">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clause and provides flexibility for the court </w:t>
      </w:r>
      <w:r w:rsidR="00751D59">
        <w:rPr>
          <w:rFonts w:ascii="Arial" w:hAnsi="Arial" w:cs="Arial"/>
          <w:color w:val="7B7B7B" w:themeColor="accent3" w:themeShade="BF"/>
          <w:sz w:val="22"/>
          <w:szCs w:val="22"/>
          <w:lang w:val="en-GB"/>
        </w:rPr>
        <w:t xml:space="preserve">in the absence of documents above, </w:t>
      </w:r>
      <w:r>
        <w:rPr>
          <w:rFonts w:ascii="Arial" w:hAnsi="Arial" w:cs="Arial"/>
          <w:color w:val="7B7B7B" w:themeColor="accent3" w:themeShade="BF"/>
          <w:sz w:val="22"/>
          <w:szCs w:val="22"/>
          <w:lang w:val="en-GB"/>
        </w:rPr>
        <w:t>to review additional evidence at its discretion.</w:t>
      </w:r>
      <w:r w:rsidR="006874E7">
        <w:rPr>
          <w:rFonts w:ascii="Arial" w:hAnsi="Arial" w:cs="Arial"/>
          <w:color w:val="7B7B7B" w:themeColor="accent3" w:themeShade="BF"/>
          <w:sz w:val="22"/>
          <w:szCs w:val="22"/>
          <w:lang w:val="en-GB"/>
        </w:rPr>
        <w:t xml:space="preserve"> </w:t>
      </w:r>
    </w:p>
    <w:p w14:paraId="5AB69FA0" w14:textId="2B16941E" w:rsidR="006874E7" w:rsidRDefault="006874E7" w:rsidP="0015731E">
      <w:pPr>
        <w:jc w:val="both"/>
        <w:rPr>
          <w:rFonts w:ascii="Arial" w:hAnsi="Arial" w:cs="Arial"/>
          <w:color w:val="7B7B7B" w:themeColor="accent3" w:themeShade="BF"/>
          <w:sz w:val="22"/>
          <w:szCs w:val="22"/>
          <w:lang w:val="en-GB"/>
        </w:rPr>
      </w:pPr>
    </w:p>
    <w:p w14:paraId="52C094C6" w14:textId="77777777" w:rsidR="00D46CF8" w:rsidRDefault="006874E7"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documents submitted to the court should provide a statement by the foreign representative of all the foreign proceedings known to the representative against the debtor.  This is because, the Court will need to know what type of relief to grant in the application.  </w:t>
      </w:r>
    </w:p>
    <w:p w14:paraId="5D87C894" w14:textId="77777777" w:rsidR="00D46CF8" w:rsidRDefault="00D46CF8" w:rsidP="00707FC8">
      <w:pPr>
        <w:jc w:val="both"/>
        <w:rPr>
          <w:rFonts w:ascii="Arial" w:hAnsi="Arial" w:cs="Arial"/>
          <w:color w:val="7B7B7B" w:themeColor="accent3" w:themeShade="BF"/>
          <w:sz w:val="22"/>
          <w:szCs w:val="22"/>
          <w:lang w:val="en-GB"/>
        </w:rPr>
      </w:pPr>
    </w:p>
    <w:p w14:paraId="412F4205" w14:textId="77777777" w:rsidR="00785FF2" w:rsidRDefault="006874E7"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will consider this statement in conjunction with </w:t>
      </w:r>
      <w:r w:rsidR="00C03844">
        <w:rPr>
          <w:rFonts w:ascii="Arial" w:hAnsi="Arial" w:cs="Arial"/>
          <w:color w:val="7B7B7B" w:themeColor="accent3" w:themeShade="BF"/>
          <w:sz w:val="22"/>
          <w:szCs w:val="22"/>
          <w:lang w:val="en-GB"/>
        </w:rPr>
        <w:t>Article 22</w:t>
      </w:r>
      <w:r w:rsidR="00751D59">
        <w:rPr>
          <w:rFonts w:ascii="Arial" w:hAnsi="Arial" w:cs="Arial"/>
          <w:color w:val="7B7B7B" w:themeColor="accent3" w:themeShade="BF"/>
          <w:sz w:val="22"/>
          <w:szCs w:val="22"/>
          <w:lang w:val="en-GB"/>
        </w:rPr>
        <w:t xml:space="preserve"> and</w:t>
      </w:r>
      <w:r w:rsidR="00C03844">
        <w:rPr>
          <w:rFonts w:ascii="Arial" w:hAnsi="Arial" w:cs="Arial"/>
          <w:color w:val="7B7B7B" w:themeColor="accent3" w:themeShade="BF"/>
          <w:sz w:val="22"/>
          <w:szCs w:val="22"/>
          <w:lang w:val="en-GB"/>
        </w:rPr>
        <w:t xml:space="preserve"> must be satisfied before granting relief </w:t>
      </w:r>
      <w:r w:rsidR="00785FF2">
        <w:rPr>
          <w:rFonts w:ascii="Arial" w:hAnsi="Arial" w:cs="Arial"/>
          <w:color w:val="7B7B7B" w:themeColor="accent3" w:themeShade="BF"/>
          <w:sz w:val="22"/>
          <w:szCs w:val="22"/>
          <w:lang w:val="en-GB"/>
        </w:rPr>
        <w:t xml:space="preserve">in terms of Article 19 or 21, </w:t>
      </w:r>
      <w:r w:rsidR="00C03844">
        <w:rPr>
          <w:rFonts w:ascii="Arial" w:hAnsi="Arial" w:cs="Arial"/>
          <w:color w:val="7B7B7B" w:themeColor="accent3" w:themeShade="BF"/>
          <w:sz w:val="22"/>
          <w:szCs w:val="22"/>
          <w:lang w:val="en-GB"/>
        </w:rPr>
        <w:t>that all creditors</w:t>
      </w:r>
      <w:r w:rsidR="00785FF2">
        <w:rPr>
          <w:rFonts w:ascii="Arial" w:hAnsi="Arial" w:cs="Arial"/>
          <w:color w:val="7B7B7B" w:themeColor="accent3" w:themeShade="BF"/>
          <w:sz w:val="22"/>
          <w:szCs w:val="22"/>
          <w:lang w:val="en-GB"/>
        </w:rPr>
        <w:t xml:space="preserve"> and other interested parties are protected.  </w:t>
      </w:r>
    </w:p>
    <w:p w14:paraId="1AEB48EA" w14:textId="6C32CCB0" w:rsidR="00D46CF8" w:rsidRDefault="00F71D85"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satisfied, the </w:t>
      </w:r>
      <w:r w:rsidR="00255D2A">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 xml:space="preserve">ourt will grant </w:t>
      </w:r>
      <w:r w:rsidR="00D46CF8">
        <w:rPr>
          <w:rFonts w:ascii="Arial" w:hAnsi="Arial" w:cs="Arial"/>
          <w:color w:val="7B7B7B" w:themeColor="accent3" w:themeShade="BF"/>
          <w:sz w:val="22"/>
          <w:szCs w:val="22"/>
          <w:lang w:val="en-GB"/>
        </w:rPr>
        <w:t xml:space="preserve">any relief as enumerated under Articles 19, 20 or 21 and read with Article 4 – dependant on the factual matrix presented to the court.  </w:t>
      </w:r>
    </w:p>
    <w:p w14:paraId="3798368C" w14:textId="77777777" w:rsidR="00785FF2" w:rsidRDefault="00785FF2" w:rsidP="00785FF2">
      <w:pPr>
        <w:jc w:val="both"/>
        <w:rPr>
          <w:rFonts w:ascii="Arial" w:hAnsi="Arial" w:cs="Arial"/>
          <w:color w:val="7B7B7B" w:themeColor="accent3" w:themeShade="BF"/>
          <w:sz w:val="22"/>
          <w:szCs w:val="22"/>
          <w:lang w:val="en-GB"/>
        </w:rPr>
      </w:pPr>
    </w:p>
    <w:p w14:paraId="2BE2F853" w14:textId="408B35B5" w:rsidR="00785FF2" w:rsidRPr="00785FF2" w:rsidRDefault="00785FF2" w:rsidP="00785FF2">
      <w:pPr>
        <w:jc w:val="both"/>
        <w:rPr>
          <w:rFonts w:ascii="Arial" w:hAnsi="Arial" w:cs="Arial"/>
          <w:color w:val="7B7B7B" w:themeColor="accent3" w:themeShade="BF"/>
          <w:sz w:val="22"/>
          <w:szCs w:val="22"/>
          <w:lang w:val="en-GB"/>
        </w:rPr>
      </w:pPr>
      <w:r w:rsidRPr="00785FF2">
        <w:rPr>
          <w:rFonts w:ascii="Arial" w:hAnsi="Arial" w:cs="Arial"/>
          <w:color w:val="7B7B7B" w:themeColor="accent3" w:themeShade="BF"/>
          <w:sz w:val="22"/>
          <w:szCs w:val="22"/>
          <w:lang w:val="en-GB"/>
        </w:rPr>
        <w:t xml:space="preserve">Dependant on the type of relief, the foreign representative will have the power to stay actions and/or executions against the debtor and/or his assets, to participate in local proceedings by examining witnesses, taking </w:t>
      </w:r>
      <w:proofErr w:type="gramStart"/>
      <w:r w:rsidRPr="00785FF2">
        <w:rPr>
          <w:rFonts w:ascii="Arial" w:hAnsi="Arial" w:cs="Arial"/>
          <w:color w:val="7B7B7B" w:themeColor="accent3" w:themeShade="BF"/>
          <w:sz w:val="22"/>
          <w:szCs w:val="22"/>
          <w:lang w:val="en-GB"/>
        </w:rPr>
        <w:t>evidence</w:t>
      </w:r>
      <w:proofErr w:type="gramEnd"/>
      <w:r w:rsidRPr="00785FF2">
        <w:rPr>
          <w:rFonts w:ascii="Arial" w:hAnsi="Arial" w:cs="Arial"/>
          <w:color w:val="7B7B7B" w:themeColor="accent3" w:themeShade="BF"/>
          <w:sz w:val="22"/>
          <w:szCs w:val="22"/>
          <w:lang w:val="en-GB"/>
        </w:rPr>
        <w:t xml:space="preserve"> and managing the debtor’s assets.  </w:t>
      </w:r>
    </w:p>
    <w:p w14:paraId="309774D6" w14:textId="21FD1244" w:rsidR="00785FF2" w:rsidRDefault="00785FF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the proceeding has been recognized as a foreign main proceeding, automatic mandatory relief under Article 20 is granted.  </w:t>
      </w:r>
    </w:p>
    <w:p w14:paraId="4A762F1E" w14:textId="77777777" w:rsidR="00751D59" w:rsidRDefault="00751D59" w:rsidP="00707FC8">
      <w:pPr>
        <w:jc w:val="both"/>
        <w:rPr>
          <w:rFonts w:ascii="Arial" w:hAnsi="Arial" w:cs="Arial"/>
          <w:color w:val="7B7B7B" w:themeColor="accent3" w:themeShade="BF"/>
          <w:sz w:val="22"/>
          <w:szCs w:val="22"/>
          <w:lang w:val="en-GB"/>
        </w:rPr>
      </w:pPr>
    </w:p>
    <w:p w14:paraId="1541E425" w14:textId="1BDA2A5F" w:rsidR="00A8650A" w:rsidRDefault="00A8650A" w:rsidP="00707FC8">
      <w:pPr>
        <w:jc w:val="both"/>
        <w:rPr>
          <w:rFonts w:ascii="Arial" w:hAnsi="Arial" w:cs="Arial"/>
          <w:color w:val="7B7B7B" w:themeColor="accent3" w:themeShade="BF"/>
          <w:sz w:val="22"/>
          <w:szCs w:val="22"/>
          <w:lang w:val="en-GB"/>
        </w:rPr>
      </w:pPr>
    </w:p>
    <w:p w14:paraId="3C715E2A" w14:textId="5CB0B462" w:rsidR="00A8650A" w:rsidRDefault="00A8650A" w:rsidP="00A8650A">
      <w:pPr>
        <w:jc w:val="both"/>
        <w:rPr>
          <w:rFonts w:ascii="Arial" w:hAnsi="Arial" w:cs="Arial"/>
          <w:color w:val="7B7B7B" w:themeColor="accent3" w:themeShade="BF"/>
          <w:sz w:val="22"/>
          <w:szCs w:val="22"/>
          <w:u w:val="single"/>
          <w:lang w:val="en-GB"/>
        </w:rPr>
      </w:pPr>
      <w:r w:rsidRPr="00A8650A">
        <w:rPr>
          <w:rFonts w:ascii="Arial" w:hAnsi="Arial" w:cs="Arial"/>
          <w:color w:val="7B7B7B" w:themeColor="accent3" w:themeShade="BF"/>
          <w:sz w:val="22"/>
          <w:szCs w:val="22"/>
          <w:u w:val="single"/>
          <w:lang w:val="en-GB"/>
        </w:rPr>
        <w:t xml:space="preserve">Restrictions, Exclusions and Limitations:  </w:t>
      </w:r>
    </w:p>
    <w:p w14:paraId="0204F649" w14:textId="77777777" w:rsidR="0031070F" w:rsidRPr="00A8650A" w:rsidRDefault="0031070F" w:rsidP="00A8650A">
      <w:pPr>
        <w:jc w:val="both"/>
        <w:rPr>
          <w:rFonts w:ascii="Arial" w:hAnsi="Arial" w:cs="Arial"/>
          <w:color w:val="7B7B7B" w:themeColor="accent3" w:themeShade="BF"/>
          <w:sz w:val="22"/>
          <w:szCs w:val="22"/>
          <w:lang w:val="en-GB"/>
        </w:rPr>
      </w:pPr>
    </w:p>
    <w:p w14:paraId="1081A00D" w14:textId="12403376" w:rsidR="00A8650A" w:rsidRPr="00A8650A" w:rsidRDefault="00A8650A" w:rsidP="00A8650A">
      <w:pPr>
        <w:jc w:val="both"/>
        <w:rPr>
          <w:rFonts w:ascii="Arial" w:hAnsi="Arial" w:cs="Arial"/>
          <w:color w:val="7B7B7B" w:themeColor="accent3" w:themeShade="BF"/>
          <w:sz w:val="22"/>
          <w:szCs w:val="22"/>
          <w:lang w:val="en-GB"/>
        </w:rPr>
      </w:pPr>
      <w:r w:rsidRPr="00A8650A">
        <w:rPr>
          <w:rFonts w:ascii="Arial" w:hAnsi="Arial" w:cs="Arial"/>
          <w:color w:val="7B7B7B" w:themeColor="accent3" w:themeShade="BF"/>
          <w:sz w:val="22"/>
          <w:szCs w:val="22"/>
          <w:lang w:val="en-GB"/>
        </w:rPr>
        <w:t xml:space="preserve">Although recognition can be granted, usually at the earliest possible time, it is also subject to termination or modification depending on the absence of requisite evidence, or where </w:t>
      </w:r>
      <w:r w:rsidR="00D46CF8">
        <w:rPr>
          <w:rFonts w:ascii="Arial" w:hAnsi="Arial" w:cs="Arial"/>
          <w:color w:val="7B7B7B" w:themeColor="accent3" w:themeShade="BF"/>
          <w:sz w:val="22"/>
          <w:szCs w:val="22"/>
          <w:lang w:val="en-GB"/>
        </w:rPr>
        <w:t>the foreign proceeding</w:t>
      </w:r>
      <w:r w:rsidRPr="00A8650A">
        <w:rPr>
          <w:rFonts w:ascii="Arial" w:hAnsi="Arial" w:cs="Arial"/>
          <w:color w:val="7B7B7B" w:themeColor="accent3" w:themeShade="BF"/>
          <w:sz w:val="22"/>
          <w:szCs w:val="22"/>
          <w:lang w:val="en-GB"/>
        </w:rPr>
        <w:t xml:space="preserve"> ceases to exist.  </w:t>
      </w:r>
    </w:p>
    <w:p w14:paraId="57E5DA47" w14:textId="77777777" w:rsidR="00A8650A" w:rsidRPr="00A8650A" w:rsidRDefault="00A8650A" w:rsidP="00A8650A">
      <w:pPr>
        <w:jc w:val="both"/>
        <w:rPr>
          <w:rFonts w:ascii="Arial" w:hAnsi="Arial" w:cs="Arial"/>
          <w:color w:val="7B7B7B" w:themeColor="accent3" w:themeShade="BF"/>
          <w:sz w:val="22"/>
          <w:szCs w:val="22"/>
          <w:lang w:val="en-GB"/>
        </w:rPr>
      </w:pPr>
      <w:r w:rsidRPr="00A8650A">
        <w:rPr>
          <w:rFonts w:ascii="Arial" w:hAnsi="Arial" w:cs="Arial"/>
          <w:color w:val="7B7B7B" w:themeColor="accent3" w:themeShade="BF"/>
          <w:sz w:val="22"/>
          <w:szCs w:val="22"/>
          <w:lang w:val="en-GB"/>
        </w:rPr>
        <w:t xml:space="preserve">For example, the continuation of recognition of a foreign non-main proceeding will cease to exist where the foreign main proceedings have already been terminated.  </w:t>
      </w:r>
    </w:p>
    <w:p w14:paraId="27F3C18B" w14:textId="77777777" w:rsidR="00A8650A" w:rsidRPr="00A8650A" w:rsidRDefault="00A8650A" w:rsidP="00A8650A">
      <w:pPr>
        <w:jc w:val="both"/>
        <w:rPr>
          <w:rFonts w:ascii="Arial" w:hAnsi="Arial" w:cs="Arial"/>
          <w:color w:val="7B7B7B" w:themeColor="accent3" w:themeShade="BF"/>
          <w:sz w:val="22"/>
          <w:szCs w:val="22"/>
          <w:lang w:val="en-GB"/>
        </w:rPr>
      </w:pPr>
    </w:p>
    <w:p w14:paraId="4D54AC9D" w14:textId="77777777" w:rsidR="00A8650A" w:rsidRPr="00A8650A" w:rsidRDefault="00A8650A" w:rsidP="00A8650A">
      <w:pPr>
        <w:jc w:val="both"/>
        <w:rPr>
          <w:rFonts w:ascii="Arial" w:hAnsi="Arial" w:cs="Arial"/>
          <w:color w:val="7B7B7B" w:themeColor="accent3" w:themeShade="BF"/>
          <w:sz w:val="22"/>
          <w:szCs w:val="22"/>
          <w:lang w:val="en-GB"/>
        </w:rPr>
      </w:pPr>
      <w:r w:rsidRPr="00A8650A">
        <w:rPr>
          <w:rFonts w:ascii="Arial" w:hAnsi="Arial" w:cs="Arial"/>
          <w:color w:val="7B7B7B" w:themeColor="accent3" w:themeShade="BF"/>
          <w:sz w:val="22"/>
          <w:szCs w:val="22"/>
          <w:lang w:val="en-GB"/>
        </w:rPr>
        <w:t>Where foreign non main proceedings are recognized or opened, the relief granted such as the application for an avoidance is restricted to the assets which under local law, should be subject to the non-main proceeding.</w:t>
      </w:r>
    </w:p>
    <w:p w14:paraId="1B984A91" w14:textId="77777777" w:rsidR="00A8650A" w:rsidRPr="00C03844" w:rsidRDefault="00A8650A" w:rsidP="00707FC8">
      <w:pPr>
        <w:jc w:val="both"/>
        <w:rPr>
          <w:rFonts w:ascii="Arial" w:hAnsi="Arial" w:cs="Arial"/>
          <w:sz w:val="22"/>
          <w:szCs w:val="22"/>
          <w:lang w:val="en-GB"/>
        </w:rPr>
      </w:pPr>
    </w:p>
    <w:p w14:paraId="3DAA6780" w14:textId="3AF8AE1B" w:rsidR="00962045" w:rsidRPr="009B5832" w:rsidRDefault="00962045"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57F400A7" w14:textId="77777777" w:rsidR="00A8313C" w:rsidRDefault="00A8313C" w:rsidP="00707FC8">
      <w:pPr>
        <w:jc w:val="both"/>
        <w:rPr>
          <w:rFonts w:ascii="Arial" w:hAnsi="Arial" w:cs="Arial"/>
          <w:color w:val="7B7B7B" w:themeColor="accent3" w:themeShade="BF"/>
          <w:sz w:val="22"/>
          <w:szCs w:val="22"/>
          <w:u w:val="single"/>
          <w:lang w:val="en-GB"/>
        </w:rPr>
      </w:pPr>
    </w:p>
    <w:p w14:paraId="4D236574" w14:textId="5E0AB76B" w:rsidR="00A8313C" w:rsidRPr="00A8313C" w:rsidRDefault="00A8313C" w:rsidP="00707FC8">
      <w:pPr>
        <w:jc w:val="both"/>
        <w:rPr>
          <w:rFonts w:ascii="Arial" w:hAnsi="Arial" w:cs="Arial"/>
          <w:b/>
          <w:bCs/>
          <w:color w:val="7B7B7B" w:themeColor="accent3" w:themeShade="BF"/>
          <w:sz w:val="22"/>
          <w:szCs w:val="22"/>
          <w:u w:val="single"/>
          <w:lang w:val="en-GB"/>
        </w:rPr>
      </w:pPr>
      <w:r w:rsidRPr="00A8313C">
        <w:rPr>
          <w:rFonts w:ascii="Arial" w:hAnsi="Arial" w:cs="Arial"/>
          <w:b/>
          <w:bCs/>
          <w:color w:val="7B7B7B" w:themeColor="accent3" w:themeShade="BF"/>
          <w:sz w:val="22"/>
          <w:szCs w:val="22"/>
          <w:u w:val="single"/>
          <w:lang w:val="en-GB"/>
        </w:rPr>
        <w:lastRenderedPageBreak/>
        <w:t>PRE-RECOGNITION RELIEF:</w:t>
      </w:r>
    </w:p>
    <w:p w14:paraId="5C2B7696" w14:textId="77777777" w:rsidR="00A8313C" w:rsidRPr="00A8313C" w:rsidRDefault="00A8313C" w:rsidP="00707FC8">
      <w:pPr>
        <w:jc w:val="both"/>
        <w:rPr>
          <w:rFonts w:ascii="Arial" w:hAnsi="Arial" w:cs="Arial"/>
          <w:color w:val="7B7B7B" w:themeColor="accent3" w:themeShade="BF"/>
          <w:sz w:val="22"/>
          <w:szCs w:val="22"/>
          <w:lang w:val="en-GB"/>
        </w:rPr>
      </w:pPr>
    </w:p>
    <w:p w14:paraId="52CBA7FB" w14:textId="77C3B081" w:rsidR="00F56028" w:rsidRPr="00F56028" w:rsidRDefault="00F56028" w:rsidP="00707FC8">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A</w:t>
      </w:r>
      <w:r w:rsidR="00A8313C">
        <w:rPr>
          <w:rFonts w:ascii="Arial" w:hAnsi="Arial" w:cs="Arial"/>
          <w:color w:val="7B7B7B" w:themeColor="accent3" w:themeShade="BF"/>
          <w:sz w:val="22"/>
          <w:szCs w:val="22"/>
          <w:u w:val="single"/>
          <w:lang w:val="en-GB"/>
        </w:rPr>
        <w:t>rticle</w:t>
      </w:r>
      <w:r>
        <w:rPr>
          <w:rFonts w:ascii="Arial" w:hAnsi="Arial" w:cs="Arial"/>
          <w:color w:val="7B7B7B" w:themeColor="accent3" w:themeShade="BF"/>
          <w:sz w:val="22"/>
          <w:szCs w:val="22"/>
          <w:u w:val="single"/>
          <w:lang w:val="en-GB"/>
        </w:rPr>
        <w:t xml:space="preserve"> 19:</w:t>
      </w:r>
    </w:p>
    <w:p w14:paraId="4D80983D" w14:textId="249A6970" w:rsidR="005261E5" w:rsidRDefault="00BE109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Pre-recognition or interim relief is enumerated under </w:t>
      </w:r>
      <w:r w:rsidR="00E00A30">
        <w:rPr>
          <w:rFonts w:ascii="Arial" w:hAnsi="Arial" w:cs="Arial"/>
          <w:color w:val="7B7B7B" w:themeColor="accent3" w:themeShade="BF"/>
          <w:sz w:val="22"/>
          <w:szCs w:val="22"/>
          <w:lang w:val="en-GB"/>
        </w:rPr>
        <w:t>Article 19</w:t>
      </w:r>
      <w:r>
        <w:rPr>
          <w:rFonts w:ascii="Arial" w:hAnsi="Arial" w:cs="Arial"/>
          <w:color w:val="7B7B7B" w:themeColor="accent3" w:themeShade="BF"/>
          <w:sz w:val="22"/>
          <w:szCs w:val="22"/>
          <w:lang w:val="en-GB"/>
        </w:rPr>
        <w:t xml:space="preserve"> of the MLCBI.  This </w:t>
      </w:r>
      <w:r w:rsidR="005261E5">
        <w:rPr>
          <w:rFonts w:ascii="Arial" w:hAnsi="Arial" w:cs="Arial"/>
          <w:color w:val="7B7B7B" w:themeColor="accent3" w:themeShade="BF"/>
          <w:sz w:val="22"/>
          <w:szCs w:val="22"/>
          <w:lang w:val="en-GB"/>
        </w:rPr>
        <w:t>relie</w:t>
      </w:r>
      <w:r>
        <w:rPr>
          <w:rFonts w:ascii="Arial" w:hAnsi="Arial" w:cs="Arial"/>
          <w:color w:val="7B7B7B" w:themeColor="accent3" w:themeShade="BF"/>
          <w:sz w:val="22"/>
          <w:szCs w:val="22"/>
          <w:lang w:val="en-GB"/>
        </w:rPr>
        <w:t xml:space="preserve">f includes </w:t>
      </w:r>
      <w:r w:rsidR="005261E5">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stay of execution against the debtor’s assets</w:t>
      </w:r>
      <w:r w:rsidR="00E00A30">
        <w:rPr>
          <w:rFonts w:ascii="Arial" w:hAnsi="Arial" w:cs="Arial"/>
          <w:color w:val="7B7B7B" w:themeColor="accent3" w:themeShade="BF"/>
          <w:sz w:val="22"/>
          <w:szCs w:val="22"/>
          <w:lang w:val="en-GB"/>
        </w:rPr>
        <w:t xml:space="preserve">, </w:t>
      </w:r>
      <w:r w:rsidR="005261E5">
        <w:rPr>
          <w:rFonts w:ascii="Arial" w:hAnsi="Arial" w:cs="Arial"/>
          <w:color w:val="7B7B7B" w:themeColor="accent3" w:themeShade="BF"/>
          <w:sz w:val="22"/>
          <w:szCs w:val="22"/>
          <w:lang w:val="en-GB"/>
        </w:rPr>
        <w:t xml:space="preserve">and entrusting the debtor’s assets which may be perishable, or prone to devaluation, or otherwise in jeopardy to a foreign representative.  </w:t>
      </w:r>
    </w:p>
    <w:p w14:paraId="6B2C2A4B" w14:textId="77777777" w:rsidR="005261E5" w:rsidRDefault="005261E5" w:rsidP="00707FC8">
      <w:pPr>
        <w:jc w:val="both"/>
        <w:rPr>
          <w:rFonts w:ascii="Arial" w:hAnsi="Arial" w:cs="Arial"/>
          <w:color w:val="7B7B7B" w:themeColor="accent3" w:themeShade="BF"/>
          <w:sz w:val="22"/>
          <w:szCs w:val="22"/>
          <w:lang w:val="en-GB"/>
        </w:rPr>
      </w:pPr>
    </w:p>
    <w:p w14:paraId="061313F0" w14:textId="73E36B94" w:rsidR="005261E5" w:rsidRDefault="005261E5"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19 relief includes any post-recognition relief in terms of Article 21</w:t>
      </w:r>
      <w:r w:rsidR="00255D2A">
        <w:rPr>
          <w:rFonts w:ascii="Arial" w:hAnsi="Arial" w:cs="Arial"/>
          <w:color w:val="7B7B7B" w:themeColor="accent3" w:themeShade="BF"/>
          <w:sz w:val="22"/>
          <w:szCs w:val="22"/>
          <w:lang w:val="en-GB"/>
        </w:rPr>
        <w:t>:</w:t>
      </w:r>
    </w:p>
    <w:p w14:paraId="6EE230C2" w14:textId="77777777" w:rsidR="005261E5" w:rsidRDefault="005261E5"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r w:rsidR="00E00A30">
        <w:rPr>
          <w:rFonts w:ascii="Arial" w:hAnsi="Arial" w:cs="Arial"/>
          <w:color w:val="7B7B7B" w:themeColor="accent3" w:themeShade="BF"/>
          <w:sz w:val="22"/>
          <w:szCs w:val="22"/>
          <w:lang w:val="en-GB"/>
        </w:rPr>
        <w:t xml:space="preserve">suspending </w:t>
      </w:r>
      <w:r>
        <w:rPr>
          <w:rFonts w:ascii="Arial" w:hAnsi="Arial" w:cs="Arial"/>
          <w:color w:val="7B7B7B" w:themeColor="accent3" w:themeShade="BF"/>
          <w:sz w:val="22"/>
          <w:szCs w:val="22"/>
          <w:lang w:val="en-GB"/>
        </w:rPr>
        <w:t xml:space="preserve">the </w:t>
      </w:r>
      <w:r w:rsidR="00E00A30">
        <w:rPr>
          <w:rFonts w:ascii="Arial" w:hAnsi="Arial" w:cs="Arial"/>
          <w:color w:val="7B7B7B" w:themeColor="accent3" w:themeShade="BF"/>
          <w:sz w:val="22"/>
          <w:szCs w:val="22"/>
          <w:lang w:val="en-GB"/>
        </w:rPr>
        <w:t>right</w:t>
      </w:r>
      <w:r>
        <w:rPr>
          <w:rFonts w:ascii="Arial" w:hAnsi="Arial" w:cs="Arial"/>
          <w:color w:val="7B7B7B" w:themeColor="accent3" w:themeShade="BF"/>
          <w:sz w:val="22"/>
          <w:szCs w:val="22"/>
          <w:lang w:val="en-GB"/>
        </w:rPr>
        <w:t xml:space="preserve"> to</w:t>
      </w:r>
      <w:r w:rsidR="00E00A30">
        <w:rPr>
          <w:rFonts w:ascii="Arial" w:hAnsi="Arial" w:cs="Arial"/>
          <w:color w:val="7B7B7B" w:themeColor="accent3" w:themeShade="BF"/>
          <w:sz w:val="22"/>
          <w:szCs w:val="22"/>
          <w:lang w:val="en-GB"/>
        </w:rPr>
        <w:t xml:space="preserve"> transfer, encumbering or disposing of </w:t>
      </w:r>
      <w:proofErr w:type="gramStart"/>
      <w:r w:rsidR="00E00A30">
        <w:rPr>
          <w:rFonts w:ascii="Arial" w:hAnsi="Arial" w:cs="Arial"/>
          <w:color w:val="7B7B7B" w:themeColor="accent3" w:themeShade="BF"/>
          <w:sz w:val="22"/>
          <w:szCs w:val="22"/>
          <w:lang w:val="en-GB"/>
        </w:rPr>
        <w:t>property</w:t>
      </w:r>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 xml:space="preserve"> </w:t>
      </w:r>
    </w:p>
    <w:p w14:paraId="7431E4B5" w14:textId="77777777" w:rsidR="008536ED" w:rsidRDefault="005261E5"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providing for the examination of witnesses, taking of evidence, or delivery of information regarding the debtor’s assets</w:t>
      </w:r>
      <w:r w:rsidR="008536ED">
        <w:rPr>
          <w:rFonts w:ascii="Arial" w:hAnsi="Arial" w:cs="Arial"/>
          <w:color w:val="7B7B7B" w:themeColor="accent3" w:themeShade="BF"/>
          <w:sz w:val="22"/>
          <w:szCs w:val="22"/>
          <w:lang w:val="en-GB"/>
        </w:rPr>
        <w:t xml:space="preserve">, affairs, rights, </w:t>
      </w:r>
      <w:proofErr w:type="gramStart"/>
      <w:r w:rsidR="008536ED">
        <w:rPr>
          <w:rFonts w:ascii="Arial" w:hAnsi="Arial" w:cs="Arial"/>
          <w:color w:val="7B7B7B" w:themeColor="accent3" w:themeShade="BF"/>
          <w:sz w:val="22"/>
          <w:szCs w:val="22"/>
          <w:lang w:val="en-GB"/>
        </w:rPr>
        <w:t>obligations</w:t>
      </w:r>
      <w:proofErr w:type="gramEnd"/>
      <w:r w:rsidR="008536ED">
        <w:rPr>
          <w:rFonts w:ascii="Arial" w:hAnsi="Arial" w:cs="Arial"/>
          <w:color w:val="7B7B7B" w:themeColor="accent3" w:themeShade="BF"/>
          <w:sz w:val="22"/>
          <w:szCs w:val="22"/>
          <w:lang w:val="en-GB"/>
        </w:rPr>
        <w:t xml:space="preserve"> or liabilities; and </w:t>
      </w:r>
    </w:p>
    <w:p w14:paraId="639010D4" w14:textId="77777777" w:rsidR="008536ED" w:rsidRDefault="008536ED"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additional relief as domestically applied in the laws of the enacting State.  </w:t>
      </w:r>
    </w:p>
    <w:p w14:paraId="145D606F" w14:textId="77777777" w:rsidR="008536ED" w:rsidRDefault="008536ED" w:rsidP="00707FC8">
      <w:pPr>
        <w:jc w:val="both"/>
        <w:rPr>
          <w:rFonts w:ascii="Arial" w:hAnsi="Arial" w:cs="Arial"/>
          <w:color w:val="7B7B7B" w:themeColor="accent3" w:themeShade="BF"/>
          <w:sz w:val="22"/>
          <w:szCs w:val="22"/>
          <w:lang w:val="en-GB"/>
        </w:rPr>
      </w:pPr>
    </w:p>
    <w:p w14:paraId="472E3A90" w14:textId="77777777" w:rsidR="008536ED" w:rsidRDefault="008536ED"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appropriate notice of the interim relief granted is generally made known by the enacting State.  </w:t>
      </w:r>
    </w:p>
    <w:p w14:paraId="64AB2D5E" w14:textId="367305E7" w:rsidR="008536ED" w:rsidRDefault="00A8313C" w:rsidP="00707FC8">
      <w:pPr>
        <w:jc w:val="both"/>
        <w:rPr>
          <w:rFonts w:ascii="Arial" w:hAnsi="Arial" w:cs="Arial"/>
          <w:color w:val="7B7B7B" w:themeColor="accent3" w:themeShade="BF"/>
          <w:sz w:val="22"/>
          <w:szCs w:val="22"/>
          <w:lang w:val="en-GB"/>
        </w:rPr>
      </w:pPr>
      <w:r>
        <w:rPr>
          <w:rFonts w:ascii="Arial" w:hAnsi="Arial" w:cs="Arial"/>
          <w:i/>
          <w:iCs/>
          <w:color w:val="7B7B7B" w:themeColor="accent3" w:themeShade="BF"/>
          <w:sz w:val="22"/>
          <w:szCs w:val="22"/>
          <w:lang w:val="en-GB"/>
        </w:rPr>
        <w:t xml:space="preserve">Limitations:  </w:t>
      </w:r>
      <w:r>
        <w:rPr>
          <w:rFonts w:ascii="Arial" w:hAnsi="Arial" w:cs="Arial"/>
          <w:color w:val="7B7B7B" w:themeColor="accent3" w:themeShade="BF"/>
          <w:sz w:val="22"/>
          <w:szCs w:val="22"/>
          <w:lang w:val="en-GB"/>
        </w:rPr>
        <w:t>T</w:t>
      </w:r>
      <w:r w:rsidR="008536ED">
        <w:rPr>
          <w:rFonts w:ascii="Arial" w:hAnsi="Arial" w:cs="Arial"/>
          <w:color w:val="7B7B7B" w:themeColor="accent3" w:themeShade="BF"/>
          <w:sz w:val="22"/>
          <w:szCs w:val="22"/>
          <w:lang w:val="en-GB"/>
        </w:rPr>
        <w:t>he granting of interim relief will be refused when the order will interfere with the administration of a foreign main proceeding</w:t>
      </w:r>
      <w:r w:rsidR="00255D2A">
        <w:rPr>
          <w:rFonts w:ascii="Arial" w:hAnsi="Arial" w:cs="Arial"/>
          <w:color w:val="7B7B7B" w:themeColor="accent3" w:themeShade="BF"/>
          <w:sz w:val="22"/>
          <w:szCs w:val="22"/>
          <w:lang w:val="en-GB"/>
        </w:rPr>
        <w:t xml:space="preserve"> or is manifestly contrary to public policy.</w:t>
      </w:r>
      <w:r w:rsidR="008536ED">
        <w:rPr>
          <w:rFonts w:ascii="Arial" w:hAnsi="Arial" w:cs="Arial"/>
          <w:color w:val="7B7B7B" w:themeColor="accent3" w:themeShade="BF"/>
          <w:sz w:val="22"/>
          <w:szCs w:val="22"/>
          <w:lang w:val="en-GB"/>
        </w:rPr>
        <w:t xml:space="preserve">  </w:t>
      </w:r>
    </w:p>
    <w:p w14:paraId="713D21C5" w14:textId="77777777" w:rsidR="008536ED" w:rsidRDefault="008536ED" w:rsidP="00707FC8">
      <w:pPr>
        <w:jc w:val="both"/>
        <w:rPr>
          <w:rFonts w:ascii="Arial" w:hAnsi="Arial" w:cs="Arial"/>
          <w:color w:val="7B7B7B" w:themeColor="accent3" w:themeShade="BF"/>
          <w:sz w:val="22"/>
          <w:szCs w:val="22"/>
          <w:lang w:val="en-GB"/>
        </w:rPr>
      </w:pPr>
    </w:p>
    <w:p w14:paraId="2D0DDAC4" w14:textId="078E662D" w:rsidR="00E00A30" w:rsidRDefault="00E00A30" w:rsidP="00707FC8">
      <w:pPr>
        <w:jc w:val="both"/>
        <w:rPr>
          <w:rFonts w:ascii="Arial" w:hAnsi="Arial" w:cs="Arial"/>
          <w:color w:val="7B7B7B" w:themeColor="accent3" w:themeShade="BF"/>
          <w:sz w:val="22"/>
          <w:szCs w:val="22"/>
          <w:lang w:val="en-GB"/>
        </w:rPr>
      </w:pPr>
    </w:p>
    <w:p w14:paraId="173532C1" w14:textId="77777777" w:rsidR="00A8313C" w:rsidRDefault="00A8313C" w:rsidP="00707FC8">
      <w:pPr>
        <w:jc w:val="both"/>
        <w:rPr>
          <w:rFonts w:ascii="Arial" w:hAnsi="Arial" w:cs="Arial"/>
          <w:b/>
          <w:bCs/>
          <w:color w:val="7B7B7B" w:themeColor="accent3" w:themeShade="BF"/>
          <w:sz w:val="22"/>
          <w:szCs w:val="22"/>
          <w:u w:val="single"/>
          <w:lang w:val="en-GB"/>
        </w:rPr>
      </w:pPr>
      <w:r>
        <w:rPr>
          <w:rFonts w:ascii="Arial" w:hAnsi="Arial" w:cs="Arial"/>
          <w:b/>
          <w:bCs/>
          <w:color w:val="7B7B7B" w:themeColor="accent3" w:themeShade="BF"/>
          <w:sz w:val="22"/>
          <w:szCs w:val="22"/>
          <w:u w:val="single"/>
          <w:lang w:val="en-GB"/>
        </w:rPr>
        <w:t>POST-RECOGNITION RELIEF:</w:t>
      </w:r>
    </w:p>
    <w:p w14:paraId="764D97B6" w14:textId="77777777" w:rsidR="00A8313C" w:rsidRDefault="00A8313C" w:rsidP="00707FC8">
      <w:pPr>
        <w:jc w:val="both"/>
        <w:rPr>
          <w:rFonts w:ascii="Arial" w:hAnsi="Arial" w:cs="Arial"/>
          <w:b/>
          <w:bCs/>
          <w:color w:val="7B7B7B" w:themeColor="accent3" w:themeShade="BF"/>
          <w:sz w:val="22"/>
          <w:szCs w:val="22"/>
          <w:u w:val="single"/>
          <w:lang w:val="en-GB"/>
        </w:rPr>
      </w:pPr>
    </w:p>
    <w:p w14:paraId="49E3FC10" w14:textId="3E4F9CCF" w:rsidR="00F56028" w:rsidRPr="00F56028" w:rsidRDefault="00A8313C" w:rsidP="00707FC8">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Article</w:t>
      </w:r>
      <w:r w:rsidR="00F56028">
        <w:rPr>
          <w:rFonts w:ascii="Arial" w:hAnsi="Arial" w:cs="Arial"/>
          <w:color w:val="7B7B7B" w:themeColor="accent3" w:themeShade="BF"/>
          <w:sz w:val="22"/>
          <w:szCs w:val="22"/>
          <w:u w:val="single"/>
          <w:lang w:val="en-GB"/>
        </w:rPr>
        <w:t xml:space="preserve"> 21:</w:t>
      </w:r>
    </w:p>
    <w:p w14:paraId="7CF27F12" w14:textId="3AE876A9" w:rsidR="00E00A30" w:rsidRDefault="001411A7"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Post-recognition relief encompasses all the types of relief as found in Article 19, but </w:t>
      </w:r>
      <w:r w:rsidR="00FC77EA">
        <w:rPr>
          <w:rFonts w:ascii="Arial" w:hAnsi="Arial" w:cs="Arial"/>
          <w:color w:val="7B7B7B" w:themeColor="accent3" w:themeShade="BF"/>
          <w:sz w:val="22"/>
          <w:szCs w:val="22"/>
          <w:lang w:val="en-GB"/>
        </w:rPr>
        <w:t>further</w:t>
      </w:r>
      <w:r>
        <w:rPr>
          <w:rFonts w:ascii="Arial" w:hAnsi="Arial" w:cs="Arial"/>
          <w:color w:val="7B7B7B" w:themeColor="accent3" w:themeShade="BF"/>
          <w:sz w:val="22"/>
          <w:szCs w:val="22"/>
          <w:lang w:val="en-GB"/>
        </w:rPr>
        <w:t xml:space="preserve"> bestows the power to stay individual actions against the debtor.  </w:t>
      </w:r>
    </w:p>
    <w:p w14:paraId="031CF1D6" w14:textId="08765A50" w:rsidR="00CA6671" w:rsidRDefault="00CA6671" w:rsidP="00707FC8">
      <w:pPr>
        <w:jc w:val="both"/>
        <w:rPr>
          <w:rFonts w:ascii="Arial" w:hAnsi="Arial" w:cs="Arial"/>
          <w:color w:val="7B7B7B" w:themeColor="accent3" w:themeShade="BF"/>
          <w:sz w:val="22"/>
          <w:szCs w:val="22"/>
          <w:lang w:val="en-GB"/>
        </w:rPr>
      </w:pPr>
    </w:p>
    <w:p w14:paraId="64C9684C" w14:textId="4CF1A5F9" w:rsidR="00A8313C" w:rsidRPr="00A8313C" w:rsidRDefault="00CA6671" w:rsidP="00A8313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power to stay individual actions is stated in </w:t>
      </w:r>
      <w:r w:rsidR="00FC77EA">
        <w:rPr>
          <w:rFonts w:ascii="Arial" w:hAnsi="Arial" w:cs="Arial"/>
          <w:color w:val="7B7B7B" w:themeColor="accent3" w:themeShade="BF"/>
          <w:sz w:val="22"/>
          <w:szCs w:val="22"/>
          <w:lang w:val="en-GB"/>
        </w:rPr>
        <w:t xml:space="preserve">Article 21(1) </w:t>
      </w:r>
      <w:r>
        <w:rPr>
          <w:rFonts w:ascii="Arial" w:hAnsi="Arial" w:cs="Arial"/>
          <w:color w:val="7B7B7B" w:themeColor="accent3" w:themeShade="BF"/>
          <w:sz w:val="22"/>
          <w:szCs w:val="22"/>
          <w:lang w:val="en-GB"/>
        </w:rPr>
        <w:t>and it is</w:t>
      </w:r>
      <w:r w:rsidR="00FC77EA">
        <w:rPr>
          <w:rFonts w:ascii="Arial" w:hAnsi="Arial" w:cs="Arial"/>
          <w:color w:val="7B7B7B" w:themeColor="accent3" w:themeShade="BF"/>
          <w:sz w:val="22"/>
          <w:szCs w:val="22"/>
          <w:lang w:val="en-GB"/>
        </w:rPr>
        <w:t xml:space="preserve"> a discretionary power</w:t>
      </w:r>
      <w:r>
        <w:rPr>
          <w:rFonts w:ascii="Arial" w:hAnsi="Arial" w:cs="Arial"/>
          <w:color w:val="7B7B7B" w:themeColor="accent3" w:themeShade="BF"/>
          <w:sz w:val="22"/>
          <w:szCs w:val="22"/>
          <w:lang w:val="en-GB"/>
        </w:rPr>
        <w:t xml:space="preserve"> afforded to the enacting State.</w:t>
      </w:r>
      <w:r w:rsidR="00A8313C">
        <w:rPr>
          <w:rFonts w:ascii="Arial" w:hAnsi="Arial" w:cs="Arial"/>
          <w:color w:val="7B7B7B" w:themeColor="accent3" w:themeShade="BF"/>
          <w:sz w:val="22"/>
          <w:szCs w:val="22"/>
          <w:lang w:val="en-GB"/>
        </w:rPr>
        <w:t xml:space="preserve">  </w:t>
      </w:r>
      <w:r w:rsidR="00A8313C" w:rsidRPr="00A8313C">
        <w:rPr>
          <w:rFonts w:ascii="Arial" w:hAnsi="Arial" w:cs="Arial"/>
          <w:color w:val="7B7B7B" w:themeColor="accent3" w:themeShade="BF"/>
          <w:sz w:val="22"/>
          <w:szCs w:val="22"/>
          <w:lang w:val="en-GB"/>
        </w:rPr>
        <w:t xml:space="preserve">The discretionary power afforded by Article 21 allows an enacting State to safely protect the assets of the debtor or the interests of creditors under the laws of the enacting State and as needed in the circumstances of the case.  </w:t>
      </w:r>
    </w:p>
    <w:p w14:paraId="7DBD604E" w14:textId="535145F5" w:rsidR="00A8313C" w:rsidRDefault="00A8313C"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precisely this power to stay individual actions which has been the focal point in considering the boundaries of this relief.  </w:t>
      </w:r>
    </w:p>
    <w:p w14:paraId="6FF5A104" w14:textId="77777777" w:rsidR="00A8313C" w:rsidRDefault="00A8313C" w:rsidP="00707FC8">
      <w:pPr>
        <w:jc w:val="both"/>
        <w:rPr>
          <w:rFonts w:ascii="Arial" w:hAnsi="Arial" w:cs="Arial"/>
          <w:color w:val="7B7B7B" w:themeColor="accent3" w:themeShade="BF"/>
          <w:sz w:val="22"/>
          <w:szCs w:val="22"/>
          <w:lang w:val="en-GB"/>
        </w:rPr>
      </w:pPr>
    </w:p>
    <w:p w14:paraId="790F2A6B" w14:textId="65247E8E" w:rsidR="00FC77EA" w:rsidRDefault="00CA6671"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FC77EA">
        <w:rPr>
          <w:rFonts w:ascii="Arial" w:hAnsi="Arial" w:cs="Arial"/>
          <w:color w:val="7B7B7B" w:themeColor="accent3" w:themeShade="BF"/>
          <w:sz w:val="22"/>
          <w:szCs w:val="22"/>
          <w:lang w:val="en-GB"/>
        </w:rPr>
        <w:t xml:space="preserve">lthough not defined, </w:t>
      </w:r>
      <w:r>
        <w:rPr>
          <w:rFonts w:ascii="Arial" w:hAnsi="Arial" w:cs="Arial"/>
          <w:color w:val="7B7B7B" w:themeColor="accent3" w:themeShade="BF"/>
          <w:sz w:val="22"/>
          <w:szCs w:val="22"/>
          <w:lang w:val="en-GB"/>
        </w:rPr>
        <w:t xml:space="preserve">there have been several cases which have laid down </w:t>
      </w:r>
      <w:r w:rsidR="004A053B">
        <w:rPr>
          <w:rFonts w:ascii="Arial" w:hAnsi="Arial" w:cs="Arial"/>
          <w:color w:val="7B7B7B" w:themeColor="accent3" w:themeShade="BF"/>
          <w:sz w:val="22"/>
          <w:szCs w:val="22"/>
          <w:lang w:val="en-GB"/>
        </w:rPr>
        <w:t xml:space="preserve">principles relevant to the exercise </w:t>
      </w:r>
      <w:r>
        <w:rPr>
          <w:rFonts w:ascii="Arial" w:hAnsi="Arial" w:cs="Arial"/>
          <w:color w:val="7B7B7B" w:themeColor="accent3" w:themeShade="BF"/>
          <w:sz w:val="22"/>
          <w:szCs w:val="22"/>
          <w:lang w:val="en-GB"/>
        </w:rPr>
        <w:t xml:space="preserve">of that discretion such as </w:t>
      </w:r>
      <w:r w:rsidR="00FC77EA">
        <w:rPr>
          <w:rFonts w:ascii="Arial" w:hAnsi="Arial" w:cs="Arial"/>
          <w:i/>
          <w:iCs/>
          <w:color w:val="7B7B7B" w:themeColor="accent3" w:themeShade="BF"/>
          <w:sz w:val="22"/>
          <w:szCs w:val="22"/>
          <w:lang w:val="en-GB"/>
        </w:rPr>
        <w:t xml:space="preserve">Armada Shipping SA </w:t>
      </w:r>
      <w:r w:rsidR="00FC77EA" w:rsidRPr="00FC77EA">
        <w:rPr>
          <w:rFonts w:ascii="Arial" w:hAnsi="Arial" w:cs="Arial"/>
          <w:color w:val="7B7B7B" w:themeColor="accent3" w:themeShade="BF"/>
          <w:sz w:val="22"/>
          <w:szCs w:val="22"/>
          <w:lang w:val="en-GB"/>
        </w:rPr>
        <w:t>[2011] EWHC 216 (Ch)</w:t>
      </w:r>
      <w:r w:rsidR="00FC77EA">
        <w:rPr>
          <w:rFonts w:ascii="Arial" w:hAnsi="Arial" w:cs="Arial"/>
          <w:i/>
          <w:iCs/>
          <w:color w:val="7B7B7B" w:themeColor="accent3" w:themeShade="BF"/>
          <w:sz w:val="22"/>
          <w:szCs w:val="22"/>
          <w:lang w:val="en-GB"/>
        </w:rPr>
        <w:t xml:space="preserve"> </w:t>
      </w:r>
      <w:r w:rsidR="00FC77EA">
        <w:rPr>
          <w:rFonts w:ascii="Arial" w:hAnsi="Arial" w:cs="Arial"/>
          <w:color w:val="7B7B7B" w:themeColor="accent3" w:themeShade="BF"/>
          <w:sz w:val="22"/>
          <w:szCs w:val="22"/>
          <w:lang w:val="en-GB"/>
        </w:rPr>
        <w:t xml:space="preserve">and </w:t>
      </w:r>
      <w:r w:rsidR="00FC77EA">
        <w:rPr>
          <w:rFonts w:ascii="Arial" w:hAnsi="Arial" w:cs="Arial"/>
          <w:i/>
          <w:iCs/>
          <w:color w:val="7B7B7B" w:themeColor="accent3" w:themeShade="BF"/>
          <w:sz w:val="22"/>
          <w:szCs w:val="22"/>
          <w:lang w:val="en-GB"/>
        </w:rPr>
        <w:t xml:space="preserve">Re Pan Ocean Co Ltd; Seawolf Tankers Inc and another </w:t>
      </w:r>
      <w:r w:rsidR="004A053B">
        <w:rPr>
          <w:rFonts w:ascii="Arial" w:hAnsi="Arial" w:cs="Arial"/>
          <w:i/>
          <w:iCs/>
          <w:color w:val="7B7B7B" w:themeColor="accent3" w:themeShade="BF"/>
          <w:sz w:val="22"/>
          <w:szCs w:val="22"/>
          <w:lang w:val="en-GB"/>
        </w:rPr>
        <w:t xml:space="preserve">v Pan Ocean Co Ltd and another </w:t>
      </w:r>
      <w:r w:rsidR="004A053B">
        <w:rPr>
          <w:rFonts w:ascii="Arial" w:hAnsi="Arial" w:cs="Arial"/>
          <w:color w:val="7B7B7B" w:themeColor="accent3" w:themeShade="BF"/>
          <w:sz w:val="22"/>
          <w:szCs w:val="22"/>
          <w:lang w:val="en-GB"/>
        </w:rPr>
        <w:t xml:space="preserve">[2015] EWHC 1500 (Ch).  </w:t>
      </w:r>
    </w:p>
    <w:p w14:paraId="33CBC6C1" w14:textId="2B94A0EC" w:rsidR="00012C8F" w:rsidRDefault="00012C8F" w:rsidP="00707FC8">
      <w:pPr>
        <w:jc w:val="both"/>
        <w:rPr>
          <w:rFonts w:ascii="Arial" w:hAnsi="Arial" w:cs="Arial"/>
          <w:color w:val="7B7B7B" w:themeColor="accent3" w:themeShade="BF"/>
          <w:sz w:val="22"/>
          <w:szCs w:val="22"/>
          <w:lang w:val="en-GB"/>
        </w:rPr>
      </w:pPr>
    </w:p>
    <w:p w14:paraId="7FEE4A28" w14:textId="78BE3448" w:rsidR="00012C8F" w:rsidRDefault="00F56028" w:rsidP="00707FC8">
      <w:pPr>
        <w:jc w:val="both"/>
        <w:rPr>
          <w:rFonts w:ascii="Arial" w:hAnsi="Arial" w:cs="Arial"/>
          <w:color w:val="7B7B7B" w:themeColor="accent3" w:themeShade="BF"/>
          <w:sz w:val="22"/>
          <w:szCs w:val="22"/>
          <w:lang w:val="en-GB"/>
        </w:rPr>
      </w:pPr>
      <w:r w:rsidRPr="00A8313C">
        <w:rPr>
          <w:rFonts w:ascii="Arial" w:hAnsi="Arial" w:cs="Arial"/>
          <w:i/>
          <w:iCs/>
          <w:color w:val="7B7B7B" w:themeColor="accent3" w:themeShade="BF"/>
          <w:sz w:val="22"/>
          <w:szCs w:val="22"/>
          <w:lang w:val="en-GB"/>
        </w:rPr>
        <w:t>Limitations and restrictions</w:t>
      </w:r>
      <w:r w:rsidR="00A8313C">
        <w:rPr>
          <w:rFonts w:ascii="Arial" w:hAnsi="Arial" w:cs="Arial"/>
          <w:i/>
          <w:iCs/>
          <w:color w:val="7B7B7B" w:themeColor="accent3" w:themeShade="BF"/>
          <w:sz w:val="22"/>
          <w:szCs w:val="22"/>
          <w:lang w:val="en-GB"/>
        </w:rPr>
        <w:t>:</w:t>
      </w:r>
      <w:r w:rsidR="00A8313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Through the case law adumbrated below, p</w:t>
      </w:r>
      <w:r w:rsidR="00012C8F">
        <w:rPr>
          <w:rFonts w:ascii="Arial" w:hAnsi="Arial" w:cs="Arial"/>
          <w:color w:val="7B7B7B" w:themeColor="accent3" w:themeShade="BF"/>
          <w:sz w:val="22"/>
          <w:szCs w:val="22"/>
          <w:lang w:val="en-GB"/>
        </w:rPr>
        <w:t>ost-recognition relief</w:t>
      </w:r>
      <w:r w:rsidR="00CA6671">
        <w:rPr>
          <w:rFonts w:ascii="Arial" w:hAnsi="Arial" w:cs="Arial"/>
          <w:color w:val="7B7B7B" w:themeColor="accent3" w:themeShade="BF"/>
          <w:sz w:val="22"/>
          <w:szCs w:val="22"/>
          <w:lang w:val="en-GB"/>
        </w:rPr>
        <w:t xml:space="preserve"> relating to the staying of individual actions</w:t>
      </w:r>
      <w:r>
        <w:rPr>
          <w:rFonts w:ascii="Arial" w:hAnsi="Arial" w:cs="Arial"/>
          <w:color w:val="7B7B7B" w:themeColor="accent3" w:themeShade="BF"/>
          <w:sz w:val="22"/>
          <w:szCs w:val="22"/>
          <w:lang w:val="en-GB"/>
        </w:rPr>
        <w:t xml:space="preserve"> has been curtailed in many respects</w:t>
      </w:r>
      <w:r w:rsidR="00012C8F">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The</w:t>
      </w:r>
      <w:r w:rsidR="00CA6671">
        <w:rPr>
          <w:rFonts w:ascii="Arial" w:hAnsi="Arial" w:cs="Arial"/>
          <w:color w:val="7B7B7B" w:themeColor="accent3" w:themeShade="BF"/>
          <w:sz w:val="22"/>
          <w:szCs w:val="22"/>
          <w:lang w:val="en-GB"/>
        </w:rPr>
        <w:t>se</w:t>
      </w:r>
      <w:r>
        <w:rPr>
          <w:rFonts w:ascii="Arial" w:hAnsi="Arial" w:cs="Arial"/>
          <w:color w:val="7B7B7B" w:themeColor="accent3" w:themeShade="BF"/>
          <w:sz w:val="22"/>
          <w:szCs w:val="22"/>
          <w:lang w:val="en-GB"/>
        </w:rPr>
        <w:t xml:space="preserve"> </w:t>
      </w:r>
      <w:r w:rsidR="00012C8F">
        <w:rPr>
          <w:rFonts w:ascii="Arial" w:hAnsi="Arial" w:cs="Arial"/>
          <w:color w:val="7B7B7B" w:themeColor="accent3" w:themeShade="BF"/>
          <w:sz w:val="22"/>
          <w:szCs w:val="22"/>
          <w:lang w:val="en-GB"/>
        </w:rPr>
        <w:t>cases lay</w:t>
      </w:r>
      <w:r w:rsidR="00E45AD0">
        <w:rPr>
          <w:rFonts w:ascii="Arial" w:hAnsi="Arial" w:cs="Arial"/>
          <w:color w:val="7B7B7B" w:themeColor="accent3" w:themeShade="BF"/>
          <w:sz w:val="22"/>
          <w:szCs w:val="22"/>
          <w:lang w:val="en-GB"/>
        </w:rPr>
        <w:t xml:space="preserve"> down principles which serve as appropriate guidelines </w:t>
      </w:r>
      <w:r>
        <w:rPr>
          <w:rFonts w:ascii="Arial" w:hAnsi="Arial" w:cs="Arial"/>
          <w:color w:val="7B7B7B" w:themeColor="accent3" w:themeShade="BF"/>
          <w:sz w:val="22"/>
          <w:szCs w:val="22"/>
          <w:lang w:val="en-GB"/>
        </w:rPr>
        <w:t xml:space="preserve">when considering </w:t>
      </w:r>
      <w:r w:rsidR="00A8313C">
        <w:rPr>
          <w:rFonts w:ascii="Arial" w:hAnsi="Arial" w:cs="Arial"/>
          <w:color w:val="7B7B7B" w:themeColor="accent3" w:themeShade="BF"/>
          <w:sz w:val="22"/>
          <w:szCs w:val="22"/>
          <w:lang w:val="en-GB"/>
        </w:rPr>
        <w:t xml:space="preserve">an application for </w:t>
      </w:r>
      <w:r w:rsidR="00E45AD0">
        <w:rPr>
          <w:rFonts w:ascii="Arial" w:hAnsi="Arial" w:cs="Arial"/>
          <w:color w:val="7B7B7B" w:themeColor="accent3" w:themeShade="BF"/>
          <w:sz w:val="22"/>
          <w:szCs w:val="22"/>
          <w:lang w:val="en-GB"/>
        </w:rPr>
        <w:t>post-recognition relief:</w:t>
      </w:r>
    </w:p>
    <w:p w14:paraId="4023EA83" w14:textId="3CE87F3A" w:rsidR="00E45AD0" w:rsidRDefault="00E45AD0" w:rsidP="00707FC8">
      <w:pPr>
        <w:jc w:val="both"/>
        <w:rPr>
          <w:rFonts w:ascii="Arial" w:hAnsi="Arial" w:cs="Arial"/>
          <w:color w:val="7B7B7B" w:themeColor="accent3" w:themeShade="BF"/>
          <w:sz w:val="22"/>
          <w:szCs w:val="22"/>
          <w:lang w:val="en-GB"/>
        </w:rPr>
      </w:pPr>
    </w:p>
    <w:p w14:paraId="14CA40A3" w14:textId="06A98AF5" w:rsidR="00E45AD0" w:rsidRDefault="00E45AD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t>
      </w:r>
      <w:r>
        <w:rPr>
          <w:rFonts w:ascii="Arial" w:hAnsi="Arial" w:cs="Arial"/>
          <w:i/>
          <w:iCs/>
          <w:color w:val="7B7B7B" w:themeColor="accent3" w:themeShade="BF"/>
          <w:sz w:val="22"/>
          <w:szCs w:val="22"/>
          <w:lang w:val="en-GB"/>
        </w:rPr>
        <w:t xml:space="preserve">Rubin v </w:t>
      </w:r>
      <w:proofErr w:type="spellStart"/>
      <w:r>
        <w:rPr>
          <w:rFonts w:ascii="Arial" w:hAnsi="Arial" w:cs="Arial"/>
          <w:i/>
          <w:iCs/>
          <w:color w:val="7B7B7B" w:themeColor="accent3" w:themeShade="BF"/>
          <w:sz w:val="22"/>
          <w:szCs w:val="22"/>
          <w:lang w:val="en-GB"/>
        </w:rPr>
        <w:t>Eurofinance</w:t>
      </w:r>
      <w:proofErr w:type="spellEnd"/>
      <w:r>
        <w:rPr>
          <w:rFonts w:ascii="Arial" w:hAnsi="Arial" w:cs="Arial"/>
          <w:i/>
          <w:iCs/>
          <w:color w:val="7B7B7B" w:themeColor="accent3" w:themeShade="BF"/>
          <w:sz w:val="22"/>
          <w:szCs w:val="22"/>
          <w:lang w:val="en-GB"/>
        </w:rPr>
        <w:t xml:space="preserve"> SA</w:t>
      </w:r>
      <w:r>
        <w:rPr>
          <w:rFonts w:ascii="Arial" w:hAnsi="Arial" w:cs="Arial"/>
          <w:color w:val="7B7B7B" w:themeColor="accent3" w:themeShade="BF"/>
          <w:sz w:val="22"/>
          <w:szCs w:val="22"/>
          <w:lang w:val="en-GB"/>
        </w:rPr>
        <w:t xml:space="preserve"> the court refused to grant </w:t>
      </w:r>
      <w:r w:rsidR="002A1492">
        <w:rPr>
          <w:rFonts w:ascii="Arial" w:hAnsi="Arial" w:cs="Arial"/>
          <w:color w:val="7B7B7B" w:themeColor="accent3" w:themeShade="BF"/>
          <w:sz w:val="22"/>
          <w:szCs w:val="22"/>
          <w:lang w:val="en-GB"/>
        </w:rPr>
        <w:t xml:space="preserve">recognition and enforcement of </w:t>
      </w:r>
      <w:r>
        <w:rPr>
          <w:rFonts w:ascii="Arial" w:hAnsi="Arial" w:cs="Arial"/>
          <w:color w:val="7B7B7B" w:themeColor="accent3" w:themeShade="BF"/>
          <w:sz w:val="22"/>
          <w:szCs w:val="22"/>
          <w:lang w:val="en-GB"/>
        </w:rPr>
        <w:t xml:space="preserve">an insolvency-related default judgment </w:t>
      </w:r>
      <w:r w:rsidRPr="00A8313C">
        <w:rPr>
          <w:rFonts w:ascii="Arial" w:hAnsi="Arial" w:cs="Arial"/>
          <w:i/>
          <w:iCs/>
          <w:color w:val="7B7B7B" w:themeColor="accent3" w:themeShade="BF"/>
          <w:sz w:val="22"/>
          <w:szCs w:val="22"/>
          <w:lang w:val="en-GB"/>
        </w:rPr>
        <w:t xml:space="preserve">in </w:t>
      </w:r>
      <w:proofErr w:type="spellStart"/>
      <w:r w:rsidRPr="00A8313C">
        <w:rPr>
          <w:rFonts w:ascii="Arial" w:hAnsi="Arial" w:cs="Arial"/>
          <w:i/>
          <w:iCs/>
          <w:color w:val="7B7B7B" w:themeColor="accent3" w:themeShade="BF"/>
          <w:sz w:val="22"/>
          <w:szCs w:val="22"/>
          <w:lang w:val="en-GB"/>
        </w:rPr>
        <w:t>personam</w:t>
      </w:r>
      <w:proofErr w:type="spellEnd"/>
      <w:r>
        <w:rPr>
          <w:rFonts w:ascii="Arial" w:hAnsi="Arial" w:cs="Arial"/>
          <w:color w:val="7B7B7B" w:themeColor="accent3" w:themeShade="BF"/>
          <w:sz w:val="22"/>
          <w:szCs w:val="22"/>
          <w:lang w:val="en-GB"/>
        </w:rPr>
        <w:t xml:space="preserve">, holding that for a foreign judgment to be enforceable in the UK, the judgment debtor </w:t>
      </w:r>
    </w:p>
    <w:p w14:paraId="314492B3" w14:textId="77777777" w:rsidR="00F56028" w:rsidRDefault="00F56028" w:rsidP="00707FC8">
      <w:pPr>
        <w:jc w:val="both"/>
        <w:rPr>
          <w:rFonts w:ascii="Arial" w:hAnsi="Arial" w:cs="Arial"/>
          <w:color w:val="7B7B7B" w:themeColor="accent3" w:themeShade="BF"/>
          <w:sz w:val="22"/>
          <w:szCs w:val="22"/>
          <w:lang w:val="en-GB"/>
        </w:rPr>
      </w:pPr>
    </w:p>
    <w:p w14:paraId="3E65B388" w14:textId="532C6763" w:rsidR="00E45AD0" w:rsidRPr="00E45AD0" w:rsidRDefault="00E45AD0" w:rsidP="00E45AD0">
      <w:pPr>
        <w:pStyle w:val="ListParagraph"/>
        <w:numPr>
          <w:ilvl w:val="0"/>
          <w:numId w:val="41"/>
        </w:numPr>
        <w:jc w:val="both"/>
        <w:rPr>
          <w:rFonts w:ascii="Arial" w:hAnsi="Arial" w:cs="Arial"/>
          <w:sz w:val="22"/>
          <w:szCs w:val="22"/>
          <w:lang w:val="en-GB"/>
        </w:rPr>
      </w:pPr>
      <w:r w:rsidRPr="00E45AD0">
        <w:rPr>
          <w:rFonts w:ascii="Arial" w:hAnsi="Arial" w:cs="Arial"/>
          <w:color w:val="7B7B7B" w:themeColor="accent3" w:themeShade="BF"/>
          <w:sz w:val="22"/>
          <w:szCs w:val="22"/>
          <w:lang w:val="en-GB"/>
        </w:rPr>
        <w:t xml:space="preserve">must have been present in the foreign jurisdiction when the proceedings </w:t>
      </w:r>
      <w:proofErr w:type="gramStart"/>
      <w:r w:rsidRPr="00E45AD0">
        <w:rPr>
          <w:rFonts w:ascii="Arial" w:hAnsi="Arial" w:cs="Arial"/>
          <w:color w:val="7B7B7B" w:themeColor="accent3" w:themeShade="BF"/>
          <w:sz w:val="22"/>
          <w:szCs w:val="22"/>
          <w:lang w:val="en-GB"/>
        </w:rPr>
        <w:t>commenced</w:t>
      </w:r>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 xml:space="preserve"> </w:t>
      </w:r>
    </w:p>
    <w:p w14:paraId="69871781" w14:textId="02388501" w:rsidR="00E45AD0" w:rsidRPr="0017174C" w:rsidRDefault="00E45AD0" w:rsidP="00E45AD0">
      <w:pPr>
        <w:pStyle w:val="ListParagraph"/>
        <w:numPr>
          <w:ilvl w:val="0"/>
          <w:numId w:val="41"/>
        </w:numPr>
        <w:jc w:val="both"/>
        <w:rPr>
          <w:rFonts w:ascii="Arial" w:hAnsi="Arial" w:cs="Arial"/>
          <w:sz w:val="22"/>
          <w:szCs w:val="22"/>
          <w:lang w:val="en-GB"/>
        </w:rPr>
      </w:pPr>
      <w:r>
        <w:rPr>
          <w:rFonts w:ascii="Arial" w:hAnsi="Arial" w:cs="Arial"/>
          <w:color w:val="7B7B7B" w:themeColor="accent3" w:themeShade="BF"/>
          <w:sz w:val="22"/>
          <w:szCs w:val="22"/>
          <w:lang w:val="en-GB"/>
        </w:rPr>
        <w:t xml:space="preserve">had made a claim or </w:t>
      </w:r>
      <w:proofErr w:type="gramStart"/>
      <w:r>
        <w:rPr>
          <w:rFonts w:ascii="Arial" w:hAnsi="Arial" w:cs="Arial"/>
          <w:color w:val="7B7B7B" w:themeColor="accent3" w:themeShade="BF"/>
          <w:sz w:val="22"/>
          <w:szCs w:val="22"/>
          <w:lang w:val="en-GB"/>
        </w:rPr>
        <w:t>counter-claim</w:t>
      </w:r>
      <w:proofErr w:type="gramEnd"/>
      <w:r>
        <w:rPr>
          <w:rFonts w:ascii="Arial" w:hAnsi="Arial" w:cs="Arial"/>
          <w:color w:val="7B7B7B" w:themeColor="accent3" w:themeShade="BF"/>
          <w:sz w:val="22"/>
          <w:szCs w:val="22"/>
          <w:lang w:val="en-GB"/>
        </w:rPr>
        <w:t xml:space="preserve"> in the </w:t>
      </w:r>
      <w:r w:rsidR="0017174C">
        <w:rPr>
          <w:rFonts w:ascii="Arial" w:hAnsi="Arial" w:cs="Arial"/>
          <w:color w:val="7B7B7B" w:themeColor="accent3" w:themeShade="BF"/>
          <w:sz w:val="22"/>
          <w:szCs w:val="22"/>
          <w:lang w:val="en-GB"/>
        </w:rPr>
        <w:t xml:space="preserve">proceedings; </w:t>
      </w:r>
    </w:p>
    <w:p w14:paraId="4D53296A" w14:textId="1A82BC6C" w:rsidR="0017174C" w:rsidRPr="0017174C" w:rsidRDefault="0017174C" w:rsidP="00E45AD0">
      <w:pPr>
        <w:pStyle w:val="ListParagraph"/>
        <w:numPr>
          <w:ilvl w:val="0"/>
          <w:numId w:val="41"/>
        </w:numPr>
        <w:jc w:val="both"/>
        <w:rPr>
          <w:rFonts w:ascii="Arial" w:hAnsi="Arial" w:cs="Arial"/>
          <w:sz w:val="22"/>
          <w:szCs w:val="22"/>
          <w:lang w:val="en-GB"/>
        </w:rPr>
      </w:pPr>
      <w:r>
        <w:rPr>
          <w:rFonts w:ascii="Arial" w:hAnsi="Arial" w:cs="Arial"/>
          <w:color w:val="7B7B7B" w:themeColor="accent3" w:themeShade="BF"/>
          <w:sz w:val="22"/>
          <w:szCs w:val="22"/>
          <w:lang w:val="en-GB"/>
        </w:rPr>
        <w:t xml:space="preserve">has voluntarily appeared in the proceedings thereby tacitly submitting to the jurisdiction of the </w:t>
      </w:r>
      <w:proofErr w:type="gramStart"/>
      <w:r>
        <w:rPr>
          <w:rFonts w:ascii="Arial" w:hAnsi="Arial" w:cs="Arial"/>
          <w:color w:val="7B7B7B" w:themeColor="accent3" w:themeShade="BF"/>
          <w:sz w:val="22"/>
          <w:szCs w:val="22"/>
          <w:lang w:val="en-GB"/>
        </w:rPr>
        <w:t>court;</w:t>
      </w:r>
      <w:proofErr w:type="gramEnd"/>
      <w:r>
        <w:rPr>
          <w:rFonts w:ascii="Arial" w:hAnsi="Arial" w:cs="Arial"/>
          <w:color w:val="7B7B7B" w:themeColor="accent3" w:themeShade="BF"/>
          <w:sz w:val="22"/>
          <w:szCs w:val="22"/>
          <w:lang w:val="en-GB"/>
        </w:rPr>
        <w:t xml:space="preserve"> </w:t>
      </w:r>
    </w:p>
    <w:p w14:paraId="2483402C" w14:textId="36A34132" w:rsidR="0017174C" w:rsidRPr="002A1492" w:rsidRDefault="0017174C" w:rsidP="00E45AD0">
      <w:pPr>
        <w:pStyle w:val="ListParagraph"/>
        <w:numPr>
          <w:ilvl w:val="0"/>
          <w:numId w:val="41"/>
        </w:numPr>
        <w:jc w:val="both"/>
        <w:rPr>
          <w:rFonts w:ascii="Arial" w:hAnsi="Arial" w:cs="Arial"/>
          <w:sz w:val="22"/>
          <w:szCs w:val="22"/>
          <w:lang w:val="en-GB"/>
        </w:rPr>
      </w:pPr>
      <w:r>
        <w:rPr>
          <w:rFonts w:ascii="Arial" w:hAnsi="Arial" w:cs="Arial"/>
          <w:color w:val="7B7B7B" w:themeColor="accent3" w:themeShade="BF"/>
          <w:sz w:val="22"/>
          <w:szCs w:val="22"/>
          <w:lang w:val="en-GB"/>
        </w:rPr>
        <w:t xml:space="preserve">has agreed to submit to the jurisdiction.  </w:t>
      </w:r>
    </w:p>
    <w:p w14:paraId="3008FBD3" w14:textId="79AED323" w:rsidR="002A1492" w:rsidRDefault="002A1492" w:rsidP="002A1492">
      <w:pPr>
        <w:jc w:val="both"/>
        <w:rPr>
          <w:rFonts w:ascii="Arial" w:hAnsi="Arial" w:cs="Arial"/>
          <w:sz w:val="22"/>
          <w:szCs w:val="22"/>
          <w:lang w:val="en-GB"/>
        </w:rPr>
      </w:pPr>
    </w:p>
    <w:p w14:paraId="42E6E16C" w14:textId="33E8B494" w:rsidR="002A1492" w:rsidRPr="006123D2" w:rsidRDefault="002A1492" w:rsidP="002A1492">
      <w:pPr>
        <w:jc w:val="both"/>
        <w:rPr>
          <w:rFonts w:ascii="Arial" w:hAnsi="Arial" w:cs="Arial"/>
          <w:color w:val="808080" w:themeColor="background1" w:themeShade="80"/>
          <w:sz w:val="22"/>
          <w:szCs w:val="22"/>
          <w:lang w:val="en-GB"/>
        </w:rPr>
      </w:pPr>
      <w:r w:rsidRPr="006123D2">
        <w:rPr>
          <w:rFonts w:ascii="Arial" w:hAnsi="Arial" w:cs="Arial"/>
          <w:color w:val="808080" w:themeColor="background1" w:themeShade="80"/>
          <w:sz w:val="22"/>
          <w:szCs w:val="22"/>
          <w:lang w:val="en-GB"/>
        </w:rPr>
        <w:t xml:space="preserve">In </w:t>
      </w:r>
      <w:proofErr w:type="spellStart"/>
      <w:r w:rsidRPr="006123D2">
        <w:rPr>
          <w:rFonts w:ascii="Arial" w:hAnsi="Arial" w:cs="Arial"/>
          <w:i/>
          <w:iCs/>
          <w:color w:val="808080" w:themeColor="background1" w:themeShade="80"/>
          <w:sz w:val="22"/>
          <w:szCs w:val="22"/>
          <w:lang w:val="en-GB"/>
        </w:rPr>
        <w:t>Firbria</w:t>
      </w:r>
      <w:proofErr w:type="spellEnd"/>
      <w:r w:rsidRPr="006123D2">
        <w:rPr>
          <w:rFonts w:ascii="Arial" w:hAnsi="Arial" w:cs="Arial"/>
          <w:i/>
          <w:iCs/>
          <w:color w:val="808080" w:themeColor="background1" w:themeShade="80"/>
          <w:sz w:val="22"/>
          <w:szCs w:val="22"/>
          <w:lang w:val="en-GB"/>
        </w:rPr>
        <w:t xml:space="preserve"> Cellulose S/A v Pan Ocean Co </w:t>
      </w:r>
      <w:proofErr w:type="gramStart"/>
      <w:r w:rsidRPr="006123D2">
        <w:rPr>
          <w:rFonts w:ascii="Arial" w:hAnsi="Arial" w:cs="Arial"/>
          <w:i/>
          <w:iCs/>
          <w:color w:val="808080" w:themeColor="background1" w:themeShade="80"/>
          <w:sz w:val="22"/>
          <w:szCs w:val="22"/>
          <w:lang w:val="en-GB"/>
        </w:rPr>
        <w:t xml:space="preserve">Ltd </w:t>
      </w:r>
      <w:r w:rsidRPr="006123D2">
        <w:rPr>
          <w:rFonts w:ascii="Arial" w:hAnsi="Arial" w:cs="Arial"/>
          <w:color w:val="808080" w:themeColor="background1" w:themeShade="80"/>
          <w:sz w:val="22"/>
          <w:szCs w:val="22"/>
          <w:lang w:val="en-GB"/>
        </w:rPr>
        <w:t xml:space="preserve"> (</w:t>
      </w:r>
      <w:proofErr w:type="gramEnd"/>
      <w:r w:rsidRPr="006123D2">
        <w:rPr>
          <w:rFonts w:ascii="Arial" w:hAnsi="Arial" w:cs="Arial"/>
          <w:color w:val="808080" w:themeColor="background1" w:themeShade="80"/>
          <w:sz w:val="22"/>
          <w:szCs w:val="22"/>
          <w:lang w:val="en-GB"/>
        </w:rPr>
        <w:t xml:space="preserve">“Pan Ocean”) an English law shipping contract containing an </w:t>
      </w:r>
      <w:r w:rsidRPr="006123D2">
        <w:rPr>
          <w:rFonts w:ascii="Arial" w:hAnsi="Arial" w:cs="Arial"/>
          <w:i/>
          <w:iCs/>
          <w:color w:val="808080" w:themeColor="background1" w:themeShade="80"/>
          <w:sz w:val="22"/>
          <w:szCs w:val="22"/>
          <w:lang w:val="en-GB"/>
        </w:rPr>
        <w:t xml:space="preserve">ipso facto </w:t>
      </w:r>
      <w:r w:rsidRPr="006123D2">
        <w:rPr>
          <w:rFonts w:ascii="Arial" w:hAnsi="Arial" w:cs="Arial"/>
          <w:color w:val="808080" w:themeColor="background1" w:themeShade="80"/>
          <w:sz w:val="22"/>
          <w:szCs w:val="22"/>
          <w:lang w:val="en-GB"/>
        </w:rPr>
        <w:t xml:space="preserve">clause formed the pivotal issue </w:t>
      </w:r>
      <w:r w:rsidR="00552049" w:rsidRPr="006123D2">
        <w:rPr>
          <w:rFonts w:ascii="Arial" w:hAnsi="Arial" w:cs="Arial"/>
          <w:color w:val="808080" w:themeColor="background1" w:themeShade="80"/>
          <w:sz w:val="22"/>
          <w:szCs w:val="22"/>
          <w:lang w:val="en-GB"/>
        </w:rPr>
        <w:t>in the following two grounds of relief:</w:t>
      </w:r>
    </w:p>
    <w:p w14:paraId="3D7E505E" w14:textId="31DDFCFE" w:rsidR="00552049" w:rsidRPr="006123D2" w:rsidRDefault="00552049" w:rsidP="002A1492">
      <w:pPr>
        <w:jc w:val="both"/>
        <w:rPr>
          <w:rFonts w:ascii="Arial" w:hAnsi="Arial" w:cs="Arial"/>
          <w:color w:val="808080" w:themeColor="background1" w:themeShade="80"/>
          <w:sz w:val="22"/>
          <w:szCs w:val="22"/>
          <w:lang w:val="en-GB"/>
        </w:rPr>
      </w:pPr>
    </w:p>
    <w:p w14:paraId="2C3F63C2" w14:textId="173450C6" w:rsidR="00552049" w:rsidRPr="006123D2" w:rsidRDefault="00552049" w:rsidP="00552049">
      <w:pPr>
        <w:pStyle w:val="ListParagraph"/>
        <w:numPr>
          <w:ilvl w:val="0"/>
          <w:numId w:val="42"/>
        </w:numPr>
        <w:jc w:val="both"/>
        <w:rPr>
          <w:rFonts w:ascii="Arial" w:hAnsi="Arial" w:cs="Arial"/>
          <w:color w:val="808080" w:themeColor="background1" w:themeShade="80"/>
          <w:sz w:val="22"/>
          <w:szCs w:val="22"/>
          <w:lang w:val="en-GB"/>
        </w:rPr>
      </w:pPr>
      <w:r w:rsidRPr="006123D2">
        <w:rPr>
          <w:rFonts w:ascii="Arial" w:hAnsi="Arial" w:cs="Arial"/>
          <w:color w:val="808080" w:themeColor="background1" w:themeShade="80"/>
          <w:sz w:val="22"/>
          <w:szCs w:val="22"/>
          <w:lang w:val="en-GB"/>
        </w:rPr>
        <w:t>a stay on individual legal actions or execution of assets against the debtor and his estate under Article 21(1)(a)</w:t>
      </w:r>
      <w:r w:rsidR="006123D2" w:rsidRPr="006123D2">
        <w:rPr>
          <w:rFonts w:ascii="Arial" w:hAnsi="Arial" w:cs="Arial"/>
          <w:color w:val="808080" w:themeColor="background1" w:themeShade="80"/>
          <w:sz w:val="22"/>
          <w:szCs w:val="22"/>
          <w:lang w:val="en-GB"/>
        </w:rPr>
        <w:t>, and</w:t>
      </w:r>
    </w:p>
    <w:p w14:paraId="561F2374" w14:textId="5FFA981B" w:rsidR="006123D2" w:rsidRDefault="006123D2" w:rsidP="00552049">
      <w:pPr>
        <w:pStyle w:val="ListParagraph"/>
        <w:numPr>
          <w:ilvl w:val="0"/>
          <w:numId w:val="42"/>
        </w:numPr>
        <w:jc w:val="both"/>
        <w:rPr>
          <w:rFonts w:ascii="Arial" w:hAnsi="Arial" w:cs="Arial"/>
          <w:color w:val="808080" w:themeColor="background1" w:themeShade="80"/>
          <w:sz w:val="22"/>
          <w:szCs w:val="22"/>
          <w:lang w:val="en-GB"/>
        </w:rPr>
      </w:pPr>
      <w:r w:rsidRPr="006123D2">
        <w:rPr>
          <w:rFonts w:ascii="Arial" w:hAnsi="Arial" w:cs="Arial"/>
          <w:color w:val="808080" w:themeColor="background1" w:themeShade="80"/>
          <w:sz w:val="22"/>
          <w:szCs w:val="22"/>
          <w:lang w:val="en-GB"/>
        </w:rPr>
        <w:t xml:space="preserve">appropriate relief under Article 21(1)(g), </w:t>
      </w:r>
      <w:r w:rsidR="00A8313C">
        <w:rPr>
          <w:rFonts w:ascii="Arial" w:hAnsi="Arial" w:cs="Arial"/>
          <w:color w:val="808080" w:themeColor="background1" w:themeShade="80"/>
          <w:sz w:val="22"/>
          <w:szCs w:val="22"/>
          <w:lang w:val="en-GB"/>
        </w:rPr>
        <w:t>in essence,</w:t>
      </w:r>
      <w:r w:rsidRPr="006123D2">
        <w:rPr>
          <w:rFonts w:ascii="Arial" w:hAnsi="Arial" w:cs="Arial"/>
          <w:color w:val="808080" w:themeColor="background1" w:themeShade="80"/>
          <w:sz w:val="22"/>
          <w:szCs w:val="22"/>
          <w:lang w:val="en-GB"/>
        </w:rPr>
        <w:t xml:space="preserve"> to grant relief in terms of Korean laws.</w:t>
      </w:r>
      <w:r>
        <w:rPr>
          <w:rFonts w:ascii="Arial" w:hAnsi="Arial" w:cs="Arial"/>
          <w:color w:val="808080" w:themeColor="background1" w:themeShade="80"/>
          <w:sz w:val="22"/>
          <w:szCs w:val="22"/>
          <w:lang w:val="en-GB"/>
        </w:rPr>
        <w:t xml:space="preserve"> </w:t>
      </w:r>
    </w:p>
    <w:p w14:paraId="70E72734" w14:textId="47563EF3" w:rsidR="006123D2" w:rsidRDefault="006811AF" w:rsidP="006123D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Rejecting the ground in Article 21(1)(a), t</w:t>
      </w:r>
      <w:r w:rsidR="006123D2">
        <w:rPr>
          <w:rFonts w:ascii="Arial" w:hAnsi="Arial" w:cs="Arial"/>
          <w:color w:val="808080" w:themeColor="background1" w:themeShade="80"/>
          <w:sz w:val="22"/>
          <w:szCs w:val="22"/>
          <w:lang w:val="en-GB"/>
        </w:rPr>
        <w:t xml:space="preserve">he court found </w:t>
      </w:r>
      <w:r>
        <w:rPr>
          <w:rFonts w:ascii="Arial" w:hAnsi="Arial" w:cs="Arial"/>
          <w:color w:val="808080" w:themeColor="background1" w:themeShade="80"/>
          <w:sz w:val="22"/>
          <w:szCs w:val="22"/>
          <w:lang w:val="en-GB"/>
        </w:rPr>
        <w:t xml:space="preserve">that the service of a notice to terminate a contract </w:t>
      </w:r>
      <w:r w:rsidR="00A8313C">
        <w:rPr>
          <w:rFonts w:ascii="Arial" w:hAnsi="Arial" w:cs="Arial"/>
          <w:color w:val="808080" w:themeColor="background1" w:themeShade="80"/>
          <w:sz w:val="22"/>
          <w:szCs w:val="22"/>
          <w:lang w:val="en-GB"/>
        </w:rPr>
        <w:t>does not amount to</w:t>
      </w:r>
      <w:r>
        <w:rPr>
          <w:rFonts w:ascii="Arial" w:hAnsi="Arial" w:cs="Arial"/>
          <w:color w:val="808080" w:themeColor="background1" w:themeShade="80"/>
          <w:sz w:val="22"/>
          <w:szCs w:val="22"/>
          <w:lang w:val="en-GB"/>
        </w:rPr>
        <w:t xml:space="preserve"> the continuation of a</w:t>
      </w:r>
      <w:r w:rsidR="00A8313C">
        <w:rPr>
          <w:rFonts w:ascii="Arial" w:hAnsi="Arial" w:cs="Arial"/>
          <w:color w:val="808080" w:themeColor="background1" w:themeShade="80"/>
          <w:sz w:val="22"/>
          <w:szCs w:val="22"/>
          <w:lang w:val="en-GB"/>
        </w:rPr>
        <w:t>n individual</w:t>
      </w:r>
      <w:r>
        <w:rPr>
          <w:rFonts w:ascii="Arial" w:hAnsi="Arial" w:cs="Arial"/>
          <w:color w:val="808080" w:themeColor="background1" w:themeShade="80"/>
          <w:sz w:val="22"/>
          <w:szCs w:val="22"/>
          <w:lang w:val="en-GB"/>
        </w:rPr>
        <w:t xml:space="preserve"> legal proceeding</w:t>
      </w:r>
      <w:r w:rsidR="00A8313C">
        <w:rPr>
          <w:rFonts w:ascii="Arial" w:hAnsi="Arial" w:cs="Arial"/>
          <w:color w:val="808080" w:themeColor="background1" w:themeShade="80"/>
          <w:sz w:val="22"/>
          <w:szCs w:val="22"/>
          <w:lang w:val="en-GB"/>
        </w:rPr>
        <w:t xml:space="preserve"> and therefore cannot amount to the relief sought.</w:t>
      </w:r>
    </w:p>
    <w:p w14:paraId="2795DCE8" w14:textId="77777777" w:rsidR="006811AF" w:rsidRDefault="006811AF" w:rsidP="006123D2">
      <w:pPr>
        <w:jc w:val="both"/>
        <w:rPr>
          <w:rFonts w:ascii="Arial" w:hAnsi="Arial" w:cs="Arial"/>
          <w:color w:val="808080" w:themeColor="background1" w:themeShade="80"/>
          <w:sz w:val="22"/>
          <w:szCs w:val="22"/>
          <w:lang w:val="en-GB"/>
        </w:rPr>
      </w:pPr>
    </w:p>
    <w:p w14:paraId="198267DF" w14:textId="7612A59A" w:rsidR="006811AF" w:rsidRDefault="006811AF" w:rsidP="006123D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further rejecting the application, under Article 21(1)(g) the court </w:t>
      </w:r>
      <w:r w:rsidR="00AB1DAC">
        <w:rPr>
          <w:rFonts w:ascii="Arial" w:hAnsi="Arial" w:cs="Arial"/>
          <w:color w:val="808080" w:themeColor="background1" w:themeShade="80"/>
          <w:sz w:val="22"/>
          <w:szCs w:val="22"/>
          <w:lang w:val="en-GB"/>
        </w:rPr>
        <w:t xml:space="preserve">applied the decision of </w:t>
      </w:r>
      <w:r w:rsidR="00AB1DAC">
        <w:rPr>
          <w:rFonts w:ascii="Arial" w:hAnsi="Arial" w:cs="Arial"/>
          <w:i/>
          <w:iCs/>
          <w:color w:val="808080" w:themeColor="background1" w:themeShade="80"/>
          <w:sz w:val="22"/>
          <w:szCs w:val="22"/>
          <w:lang w:val="en-GB"/>
        </w:rPr>
        <w:t>Belmond Park v BNY Corporate Trustee Services</w:t>
      </w:r>
      <w:r w:rsidR="00AB1DAC">
        <w:rPr>
          <w:rFonts w:ascii="Arial" w:hAnsi="Arial" w:cs="Arial"/>
          <w:color w:val="808080" w:themeColor="background1" w:themeShade="80"/>
          <w:sz w:val="22"/>
          <w:szCs w:val="22"/>
          <w:lang w:val="en-GB"/>
        </w:rPr>
        <w:t xml:space="preserve"> which held that</w:t>
      </w:r>
      <w:r>
        <w:rPr>
          <w:rFonts w:ascii="Arial" w:hAnsi="Arial" w:cs="Arial"/>
          <w:color w:val="808080" w:themeColor="background1" w:themeShade="80"/>
          <w:sz w:val="22"/>
          <w:szCs w:val="22"/>
          <w:lang w:val="en-GB"/>
        </w:rPr>
        <w:t xml:space="preserve"> </w:t>
      </w:r>
      <w:r w:rsidRPr="00A8313C">
        <w:rPr>
          <w:rFonts w:ascii="Arial" w:hAnsi="Arial" w:cs="Arial"/>
          <w:i/>
          <w:iCs/>
          <w:color w:val="808080" w:themeColor="background1" w:themeShade="80"/>
          <w:sz w:val="22"/>
          <w:szCs w:val="22"/>
          <w:lang w:val="en-GB"/>
        </w:rPr>
        <w:t>ipso facto</w:t>
      </w:r>
      <w:r>
        <w:rPr>
          <w:rFonts w:ascii="Arial" w:hAnsi="Arial" w:cs="Arial"/>
          <w:color w:val="808080" w:themeColor="background1" w:themeShade="80"/>
          <w:sz w:val="22"/>
          <w:szCs w:val="22"/>
          <w:lang w:val="en-GB"/>
        </w:rPr>
        <w:t xml:space="preserve"> clauses are in principle valid and enforceable but</w:t>
      </w:r>
      <w:r w:rsidR="00AB1DAC">
        <w:rPr>
          <w:rFonts w:ascii="Arial" w:hAnsi="Arial" w:cs="Arial"/>
          <w:color w:val="808080" w:themeColor="background1" w:themeShade="80"/>
          <w:sz w:val="22"/>
          <w:szCs w:val="22"/>
          <w:lang w:val="en-GB"/>
        </w:rPr>
        <w:t xml:space="preserve"> found in this case </w:t>
      </w:r>
      <w:r w:rsidRPr="006811AF">
        <w:rPr>
          <w:rFonts w:ascii="Arial" w:hAnsi="Arial" w:cs="Arial"/>
          <w:color w:val="808080" w:themeColor="background1" w:themeShade="80"/>
          <w:sz w:val="22"/>
          <w:szCs w:val="22"/>
          <w:lang w:val="en-GB"/>
        </w:rPr>
        <w:t>that</w:t>
      </w:r>
      <w:r>
        <w:rPr>
          <w:rFonts w:ascii="Arial" w:hAnsi="Arial" w:cs="Arial"/>
          <w:color w:val="808080" w:themeColor="background1" w:themeShade="80"/>
          <w:sz w:val="22"/>
          <w:szCs w:val="22"/>
          <w:lang w:val="en-GB"/>
        </w:rPr>
        <w:t xml:space="preserve"> relief granted could not go beyond what was catered for in a domestic insolvency.  Further, </w:t>
      </w:r>
      <w:r w:rsidR="000B3236">
        <w:rPr>
          <w:rFonts w:ascii="Arial" w:hAnsi="Arial" w:cs="Arial"/>
          <w:color w:val="808080" w:themeColor="background1" w:themeShade="80"/>
          <w:sz w:val="22"/>
          <w:szCs w:val="22"/>
          <w:lang w:val="en-GB"/>
        </w:rPr>
        <w:t xml:space="preserve">accepting or rejecting </w:t>
      </w:r>
      <w:r w:rsidR="000B3236">
        <w:rPr>
          <w:rFonts w:ascii="Arial" w:hAnsi="Arial" w:cs="Arial"/>
          <w:i/>
          <w:iCs/>
          <w:color w:val="808080" w:themeColor="background1" w:themeShade="80"/>
          <w:sz w:val="22"/>
          <w:szCs w:val="22"/>
          <w:lang w:val="en-GB"/>
        </w:rPr>
        <w:t xml:space="preserve">ipso </w:t>
      </w:r>
      <w:r w:rsidR="000B3236" w:rsidRPr="000B3236">
        <w:rPr>
          <w:rFonts w:ascii="Arial" w:hAnsi="Arial" w:cs="Arial"/>
          <w:color w:val="808080" w:themeColor="background1" w:themeShade="80"/>
          <w:sz w:val="22"/>
          <w:szCs w:val="22"/>
          <w:lang w:val="en-GB"/>
        </w:rPr>
        <w:t>facto</w:t>
      </w:r>
      <w:r w:rsidR="000B3236">
        <w:rPr>
          <w:rFonts w:ascii="Arial" w:hAnsi="Arial" w:cs="Arial"/>
          <w:color w:val="808080" w:themeColor="background1" w:themeShade="80"/>
          <w:sz w:val="22"/>
          <w:szCs w:val="22"/>
          <w:lang w:val="en-GB"/>
        </w:rPr>
        <w:t xml:space="preserve"> clauses is a policy decision, </w:t>
      </w:r>
      <w:proofErr w:type="gramStart"/>
      <w:r w:rsidR="000B3236">
        <w:rPr>
          <w:rFonts w:ascii="Arial" w:hAnsi="Arial" w:cs="Arial"/>
          <w:color w:val="808080" w:themeColor="background1" w:themeShade="80"/>
          <w:sz w:val="22"/>
          <w:szCs w:val="22"/>
          <w:lang w:val="en-GB"/>
        </w:rPr>
        <w:t>and;</w:t>
      </w:r>
      <w:proofErr w:type="gramEnd"/>
      <w:r w:rsidR="000B3236">
        <w:rPr>
          <w:rFonts w:ascii="Arial" w:hAnsi="Arial" w:cs="Arial"/>
          <w:color w:val="808080" w:themeColor="background1" w:themeShade="80"/>
          <w:sz w:val="22"/>
          <w:szCs w:val="22"/>
          <w:lang w:val="en-GB"/>
        </w:rPr>
        <w:t xml:space="preserve"> </w:t>
      </w:r>
      <w:r w:rsidRPr="000B3236">
        <w:rPr>
          <w:rFonts w:ascii="Arial" w:hAnsi="Arial" w:cs="Arial"/>
          <w:color w:val="808080" w:themeColor="background1" w:themeShade="80"/>
          <w:sz w:val="22"/>
          <w:szCs w:val="22"/>
          <w:lang w:val="en-GB"/>
        </w:rPr>
        <w:t>in</w:t>
      </w:r>
      <w:r>
        <w:rPr>
          <w:rFonts w:ascii="Arial" w:hAnsi="Arial" w:cs="Arial"/>
          <w:color w:val="808080" w:themeColor="background1" w:themeShade="80"/>
          <w:sz w:val="22"/>
          <w:szCs w:val="22"/>
          <w:lang w:val="en-GB"/>
        </w:rPr>
        <w:t xml:space="preserve"> the facts of the matter the English court could not be reasonably expected to have applied Korean law.</w:t>
      </w:r>
      <w:r w:rsidR="00F56028">
        <w:rPr>
          <w:rFonts w:ascii="Arial" w:hAnsi="Arial" w:cs="Arial"/>
          <w:color w:val="808080" w:themeColor="background1" w:themeShade="80"/>
          <w:sz w:val="22"/>
          <w:szCs w:val="22"/>
          <w:lang w:val="en-GB"/>
        </w:rPr>
        <w:t xml:space="preserve">  </w:t>
      </w:r>
    </w:p>
    <w:p w14:paraId="68D64FBE" w14:textId="50365175" w:rsidR="00F56028" w:rsidRDefault="00F56028" w:rsidP="006123D2">
      <w:pPr>
        <w:jc w:val="both"/>
        <w:rPr>
          <w:rFonts w:ascii="Arial" w:hAnsi="Arial" w:cs="Arial"/>
          <w:color w:val="808080" w:themeColor="background1" w:themeShade="80"/>
          <w:sz w:val="22"/>
          <w:szCs w:val="22"/>
          <w:lang w:val="en-GB"/>
        </w:rPr>
      </w:pPr>
    </w:p>
    <w:p w14:paraId="4EDFDA6F" w14:textId="1CDA7B5E" w:rsidR="00272165" w:rsidRDefault="00272165" w:rsidP="006123D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w:t>
      </w:r>
      <w:r w:rsidR="00AB1DAC">
        <w:rPr>
          <w:rFonts w:ascii="Arial" w:hAnsi="Arial" w:cs="Arial"/>
          <w:color w:val="808080" w:themeColor="background1" w:themeShade="80"/>
          <w:sz w:val="22"/>
          <w:szCs w:val="22"/>
          <w:lang w:val="en-GB"/>
        </w:rPr>
        <w:t xml:space="preserve">n </w:t>
      </w:r>
      <w:r w:rsidR="00AB1DAC">
        <w:rPr>
          <w:rFonts w:ascii="Arial" w:hAnsi="Arial" w:cs="Arial"/>
          <w:i/>
          <w:iCs/>
          <w:color w:val="808080" w:themeColor="background1" w:themeShade="80"/>
          <w:sz w:val="22"/>
          <w:szCs w:val="22"/>
          <w:lang w:val="en-GB"/>
        </w:rPr>
        <w:t xml:space="preserve">In the Matter of the OJSC International Bank of Azerbaijan and the CBIR 2006 – </w:t>
      </w:r>
      <w:proofErr w:type="spellStart"/>
      <w:r w:rsidR="00AB1DAC">
        <w:rPr>
          <w:rFonts w:ascii="Arial" w:hAnsi="Arial" w:cs="Arial"/>
          <w:i/>
          <w:iCs/>
          <w:color w:val="808080" w:themeColor="background1" w:themeShade="80"/>
          <w:sz w:val="22"/>
          <w:szCs w:val="22"/>
          <w:lang w:val="en-GB"/>
        </w:rPr>
        <w:t>Bakshiyeva</w:t>
      </w:r>
      <w:proofErr w:type="spellEnd"/>
      <w:r w:rsidR="00AB1DAC">
        <w:rPr>
          <w:rFonts w:ascii="Arial" w:hAnsi="Arial" w:cs="Arial"/>
          <w:i/>
          <w:iCs/>
          <w:color w:val="808080" w:themeColor="background1" w:themeShade="80"/>
          <w:sz w:val="22"/>
          <w:szCs w:val="22"/>
          <w:lang w:val="en-GB"/>
        </w:rPr>
        <w:t xml:space="preserve"> v Sberbank of Russia, et </w:t>
      </w:r>
      <w:proofErr w:type="gramStart"/>
      <w:r w:rsidR="00AB1DAC">
        <w:rPr>
          <w:rFonts w:ascii="Arial" w:hAnsi="Arial" w:cs="Arial"/>
          <w:i/>
          <w:iCs/>
          <w:color w:val="808080" w:themeColor="background1" w:themeShade="80"/>
          <w:sz w:val="22"/>
          <w:szCs w:val="22"/>
          <w:lang w:val="en-GB"/>
        </w:rPr>
        <w:t>al</w:t>
      </w:r>
      <w:r w:rsidR="00AB1DAC">
        <w:rPr>
          <w:rFonts w:ascii="Arial" w:hAnsi="Arial" w:cs="Arial"/>
          <w:color w:val="808080" w:themeColor="background1" w:themeShade="80"/>
          <w:sz w:val="22"/>
          <w:szCs w:val="22"/>
          <w:lang w:val="en-GB"/>
        </w:rPr>
        <w:t xml:space="preserve">  (</w:t>
      </w:r>
      <w:proofErr w:type="gramEnd"/>
      <w:r w:rsidR="00AB1DAC">
        <w:rPr>
          <w:rFonts w:ascii="Arial" w:hAnsi="Arial" w:cs="Arial"/>
          <w:color w:val="808080" w:themeColor="background1" w:themeShade="80"/>
          <w:sz w:val="22"/>
          <w:szCs w:val="22"/>
          <w:lang w:val="en-GB"/>
        </w:rPr>
        <w:t>the “</w:t>
      </w:r>
      <w:r>
        <w:rPr>
          <w:rFonts w:ascii="Arial" w:hAnsi="Arial" w:cs="Arial"/>
          <w:color w:val="808080" w:themeColor="background1" w:themeShade="80"/>
          <w:sz w:val="22"/>
          <w:szCs w:val="22"/>
          <w:lang w:val="en-GB"/>
        </w:rPr>
        <w:t>IBA case</w:t>
      </w:r>
      <w:r w:rsidR="00AB1DAC">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the Azeri foreign representative sought an indefinite continuation of the automatic moratorium under Article 21, which was challenged by two creditors who held debt instruments against IBA under English Law and who had not submitted to the Azerbaijan proceedings.  </w:t>
      </w:r>
      <w:r w:rsidR="005B0C7B">
        <w:rPr>
          <w:rFonts w:ascii="Arial" w:hAnsi="Arial" w:cs="Arial"/>
          <w:color w:val="808080" w:themeColor="background1" w:themeShade="80"/>
          <w:sz w:val="22"/>
          <w:szCs w:val="22"/>
          <w:lang w:val="en-GB"/>
        </w:rPr>
        <w:t xml:space="preserve">The foreign representative sought to manipulate the Gibbs Rule which states that a debt governed by English Law cannot be discharged or compromised by a foreign insolvency proceeding.  </w:t>
      </w:r>
      <w:r>
        <w:rPr>
          <w:rFonts w:ascii="Arial" w:hAnsi="Arial" w:cs="Arial"/>
          <w:color w:val="808080" w:themeColor="background1" w:themeShade="80"/>
          <w:sz w:val="22"/>
          <w:szCs w:val="22"/>
          <w:lang w:val="en-GB"/>
        </w:rPr>
        <w:t xml:space="preserve">The court refused to grant the relief requested, finding that the </w:t>
      </w:r>
      <w:proofErr w:type="gramStart"/>
      <w:r>
        <w:rPr>
          <w:rFonts w:ascii="Arial" w:hAnsi="Arial" w:cs="Arial"/>
          <w:color w:val="808080" w:themeColor="background1" w:themeShade="80"/>
          <w:sz w:val="22"/>
          <w:szCs w:val="22"/>
          <w:lang w:val="en-GB"/>
        </w:rPr>
        <w:t>ultimate aim</w:t>
      </w:r>
      <w:proofErr w:type="gramEnd"/>
      <w:r>
        <w:rPr>
          <w:rFonts w:ascii="Arial" w:hAnsi="Arial" w:cs="Arial"/>
          <w:color w:val="808080" w:themeColor="background1" w:themeShade="80"/>
          <w:sz w:val="22"/>
          <w:szCs w:val="22"/>
          <w:lang w:val="en-GB"/>
        </w:rPr>
        <w:t xml:space="preserve"> of the application was to stifle the claims of the creditors under English Law, while at the same time </w:t>
      </w:r>
      <w:r w:rsidR="00AB1DAC">
        <w:rPr>
          <w:rFonts w:ascii="Arial" w:hAnsi="Arial" w:cs="Arial"/>
          <w:color w:val="808080" w:themeColor="background1" w:themeShade="80"/>
          <w:sz w:val="22"/>
          <w:szCs w:val="22"/>
          <w:lang w:val="en-GB"/>
        </w:rPr>
        <w:t xml:space="preserve">forcing the court to </w:t>
      </w:r>
      <w:r w:rsidR="009C7826">
        <w:rPr>
          <w:rFonts w:ascii="Arial" w:hAnsi="Arial" w:cs="Arial"/>
          <w:color w:val="808080" w:themeColor="background1" w:themeShade="80"/>
          <w:sz w:val="22"/>
          <w:szCs w:val="22"/>
          <w:lang w:val="en-GB"/>
        </w:rPr>
        <w:t>recogniz</w:t>
      </w:r>
      <w:r w:rsidR="00AB1DAC">
        <w:rPr>
          <w:rFonts w:ascii="Arial" w:hAnsi="Arial" w:cs="Arial"/>
          <w:color w:val="808080" w:themeColor="background1" w:themeShade="80"/>
          <w:sz w:val="22"/>
          <w:szCs w:val="22"/>
          <w:lang w:val="en-GB"/>
        </w:rPr>
        <w:t>e</w:t>
      </w:r>
      <w:r w:rsidR="009C7826">
        <w:rPr>
          <w:rFonts w:ascii="Arial" w:hAnsi="Arial" w:cs="Arial"/>
          <w:color w:val="808080" w:themeColor="background1" w:themeShade="80"/>
          <w:sz w:val="22"/>
          <w:szCs w:val="22"/>
          <w:lang w:val="en-GB"/>
        </w:rPr>
        <w:t xml:space="preserve"> the existence of the claims from an English Law perspective.</w:t>
      </w:r>
      <w:r w:rsidR="005B0C7B">
        <w:rPr>
          <w:rFonts w:ascii="Arial" w:hAnsi="Arial" w:cs="Arial"/>
          <w:color w:val="808080" w:themeColor="background1" w:themeShade="80"/>
          <w:sz w:val="22"/>
          <w:szCs w:val="22"/>
          <w:lang w:val="en-GB"/>
        </w:rPr>
        <w:t xml:space="preserve">  This permanent stay the court found, was not the answer to the Gibbs Rule.</w:t>
      </w:r>
      <w:r w:rsidR="009C7826">
        <w:rPr>
          <w:rFonts w:ascii="Arial" w:hAnsi="Arial" w:cs="Arial"/>
          <w:color w:val="808080" w:themeColor="background1" w:themeShade="80"/>
          <w:sz w:val="22"/>
          <w:szCs w:val="22"/>
          <w:lang w:val="en-GB"/>
        </w:rPr>
        <w:t xml:space="preserve">  </w:t>
      </w:r>
    </w:p>
    <w:p w14:paraId="7FE78F78" w14:textId="7177DBE9" w:rsidR="009C7826" w:rsidRDefault="009C7826" w:rsidP="006123D2">
      <w:pPr>
        <w:jc w:val="both"/>
        <w:rPr>
          <w:rFonts w:ascii="Arial" w:hAnsi="Arial" w:cs="Arial"/>
          <w:color w:val="808080" w:themeColor="background1" w:themeShade="80"/>
          <w:sz w:val="22"/>
          <w:szCs w:val="22"/>
          <w:lang w:val="en-GB"/>
        </w:rPr>
      </w:pPr>
    </w:p>
    <w:p w14:paraId="1E3C7A73" w14:textId="3552F864" w:rsidR="009C7826" w:rsidRDefault="009C7826" w:rsidP="006123D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It can be noted from the above that </w:t>
      </w:r>
      <w:r w:rsidR="00AB1DAC">
        <w:rPr>
          <w:rFonts w:ascii="Arial" w:hAnsi="Arial" w:cs="Arial"/>
          <w:color w:val="808080" w:themeColor="background1" w:themeShade="80"/>
          <w:sz w:val="22"/>
          <w:szCs w:val="22"/>
          <w:lang w:val="en-GB"/>
        </w:rPr>
        <w:t xml:space="preserve">the restrictions to appropriate relief have been moulded and shaped by the case law.  </w:t>
      </w:r>
      <w:proofErr w:type="gramStart"/>
      <w:r w:rsidR="00AB1DAC">
        <w:rPr>
          <w:rFonts w:ascii="Arial" w:hAnsi="Arial" w:cs="Arial"/>
          <w:color w:val="808080" w:themeColor="background1" w:themeShade="80"/>
          <w:sz w:val="22"/>
          <w:szCs w:val="22"/>
          <w:lang w:val="en-GB"/>
        </w:rPr>
        <w:t>However</w:t>
      </w:r>
      <w:proofErr w:type="gramEnd"/>
      <w:r w:rsidR="00AB1DAC">
        <w:rPr>
          <w:rFonts w:ascii="Arial" w:hAnsi="Arial" w:cs="Arial"/>
          <w:color w:val="808080" w:themeColor="background1" w:themeShade="80"/>
          <w:sz w:val="22"/>
          <w:szCs w:val="22"/>
          <w:lang w:val="en-GB"/>
        </w:rPr>
        <w:t xml:space="preserve"> the court stops of allowing </w:t>
      </w:r>
      <w:r>
        <w:rPr>
          <w:rFonts w:ascii="Arial" w:hAnsi="Arial" w:cs="Arial"/>
          <w:color w:val="808080" w:themeColor="background1" w:themeShade="80"/>
          <w:sz w:val="22"/>
          <w:szCs w:val="22"/>
          <w:lang w:val="en-GB"/>
        </w:rPr>
        <w:t>insolvency proceedings</w:t>
      </w:r>
      <w:r w:rsidR="00AB1DAC">
        <w:rPr>
          <w:rFonts w:ascii="Arial" w:hAnsi="Arial" w:cs="Arial"/>
          <w:color w:val="808080" w:themeColor="background1" w:themeShade="80"/>
          <w:sz w:val="22"/>
          <w:szCs w:val="22"/>
          <w:lang w:val="en-GB"/>
        </w:rPr>
        <w:t xml:space="preserve"> to act as </w:t>
      </w:r>
      <w:r>
        <w:rPr>
          <w:rFonts w:ascii="Arial" w:hAnsi="Arial" w:cs="Arial"/>
          <w:color w:val="808080" w:themeColor="background1" w:themeShade="80"/>
          <w:sz w:val="22"/>
          <w:szCs w:val="22"/>
          <w:lang w:val="en-GB"/>
        </w:rPr>
        <w:t>an automatic gateway to the application of foreign insolvency laws</w:t>
      </w:r>
      <w:r w:rsidR="0015731E">
        <w:rPr>
          <w:rFonts w:ascii="Arial" w:hAnsi="Arial" w:cs="Arial"/>
          <w:color w:val="808080" w:themeColor="background1" w:themeShade="80"/>
          <w:sz w:val="22"/>
          <w:szCs w:val="22"/>
          <w:lang w:val="en-GB"/>
        </w:rPr>
        <w:t xml:space="preserve"> in certain defined instances.</w:t>
      </w:r>
      <w:r>
        <w:rPr>
          <w:rFonts w:ascii="Arial" w:hAnsi="Arial" w:cs="Arial"/>
          <w:color w:val="808080" w:themeColor="background1" w:themeShade="80"/>
          <w:sz w:val="22"/>
          <w:szCs w:val="22"/>
          <w:lang w:val="en-GB"/>
        </w:rPr>
        <w:t xml:space="preserve">  </w:t>
      </w:r>
    </w:p>
    <w:p w14:paraId="2AD53858" w14:textId="50DF5DC3" w:rsidR="00AB1DAC" w:rsidRDefault="00AB1DAC" w:rsidP="006123D2">
      <w:pPr>
        <w:jc w:val="both"/>
        <w:rPr>
          <w:rFonts w:ascii="Arial" w:hAnsi="Arial" w:cs="Arial"/>
          <w:color w:val="808080" w:themeColor="background1" w:themeShade="80"/>
          <w:sz w:val="22"/>
          <w:szCs w:val="22"/>
          <w:lang w:val="en-GB"/>
        </w:rPr>
      </w:pPr>
    </w:p>
    <w:p w14:paraId="241CDADB" w14:textId="39C56B58" w:rsidR="00AB1DAC" w:rsidRDefault="00AB1DAC" w:rsidP="006123D2">
      <w:pPr>
        <w:jc w:val="both"/>
        <w:rPr>
          <w:rFonts w:ascii="Arial" w:hAnsi="Arial" w:cs="Arial"/>
          <w:color w:val="808080" w:themeColor="background1" w:themeShade="80"/>
          <w:sz w:val="22"/>
          <w:szCs w:val="22"/>
          <w:lang w:val="en-GB"/>
        </w:rPr>
      </w:pPr>
    </w:p>
    <w:p w14:paraId="4AE7EA78" w14:textId="24C76947" w:rsidR="007D7C92" w:rsidRPr="009B5832" w:rsidRDefault="007D7C92"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7144CED0" w:rsidR="00980314" w:rsidRPr="009B5832" w:rsidRDefault="00747C65" w:rsidP="00980314">
      <w:pPr>
        <w:jc w:val="both"/>
        <w:rPr>
          <w:rFonts w:ascii="Arial" w:hAnsi="Arial" w:cs="Arial"/>
          <w:sz w:val="22"/>
          <w:szCs w:val="22"/>
          <w:lang w:val="en-GB"/>
        </w:rPr>
      </w:pPr>
      <w:r>
        <w:rPr>
          <w:rFonts w:ascii="Arial" w:hAnsi="Arial" w:cs="Arial"/>
          <w:color w:val="7B7B7B" w:themeColor="accent3" w:themeShade="BF"/>
          <w:sz w:val="22"/>
          <w:szCs w:val="22"/>
          <w:lang w:val="en-GB"/>
        </w:rPr>
        <w:t>It will be superseded by post-recognition relief.</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bookmarkStart w:id="5" w:name="_Hlk95737166"/>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6"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7" w:name="para17"/>
      <w:r w:rsidRPr="009B5832">
        <w:rPr>
          <w:rFonts w:ascii="Arial" w:hAnsi="Arial" w:cs="Arial"/>
          <w:color w:val="000000"/>
          <w:sz w:val="22"/>
          <w:szCs w:val="22"/>
          <w:lang w:val="en-GB" w:eastAsia="en-GB"/>
        </w:rPr>
        <w:t xml:space="preserve">The Commercial Bank for Business Corporation (the Bank) has operated since 1991. </w:t>
      </w:r>
      <w:bookmarkStart w:id="8" w:name="para20"/>
      <w:bookmarkEnd w:id="7"/>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9" w:name="para21"/>
      <w:bookmarkEnd w:id="8"/>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10" w:name="para22"/>
      <w:bookmarkEnd w:id="9"/>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1" w:name="para23"/>
      <w:bookmarkEnd w:id="10"/>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w:t>
      </w:r>
      <w:proofErr w:type="gramStart"/>
      <w:r w:rsidRPr="009B5832">
        <w:rPr>
          <w:rFonts w:ascii="Arial" w:hAnsi="Arial" w:cs="Arial"/>
          <w:color w:val="000000"/>
          <w:sz w:val="22"/>
          <w:szCs w:val="22"/>
          <w:lang w:val="en-GB" w:eastAsia="en-GB"/>
        </w:rPr>
        <w:t>million dollar</w:t>
      </w:r>
      <w:proofErr w:type="gramEnd"/>
      <w:r w:rsidRPr="009B5832">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2" w:name="para24"/>
      <w:bookmarkEnd w:id="11"/>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3" w:name="para25"/>
      <w:bookmarkEnd w:id="12"/>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 xml:space="preserve">NB) and at the time that the Bank entered liquidation, followed </w:t>
      </w:r>
      <w:proofErr w:type="gramStart"/>
      <w:r w:rsidRPr="009B5832">
        <w:rPr>
          <w:rFonts w:ascii="Arial" w:hAnsi="Arial" w:cs="Arial"/>
          <w:color w:val="000000"/>
          <w:sz w:val="22"/>
          <w:szCs w:val="22"/>
          <w:lang w:val="en-GB" w:eastAsia="en-GB"/>
        </w:rPr>
        <w:t>a number of</w:t>
      </w:r>
      <w:proofErr w:type="gramEnd"/>
      <w:r w:rsidRPr="009B5832">
        <w:rPr>
          <w:rFonts w:ascii="Arial" w:hAnsi="Arial" w:cs="Arial"/>
          <w:color w:val="000000"/>
          <w:sz w:val="22"/>
          <w:szCs w:val="22"/>
          <w:lang w:val="en-GB" w:eastAsia="en-GB"/>
        </w:rPr>
        <w:t xml:space="preserve"> stages:</w:t>
      </w:r>
      <w:bookmarkEnd w:id="13"/>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4"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w:t>
      </w:r>
      <w:bookmarkStart w:id="15" w:name="_Hlk96583567"/>
      <w:r w:rsidRPr="009B5832">
        <w:rPr>
          <w:rFonts w:ascii="Arial" w:hAnsi="Arial" w:cs="Arial"/>
          <w:color w:val="000000"/>
          <w:sz w:val="22"/>
          <w:szCs w:val="22"/>
          <w:lang w:val="en-GB" w:eastAsia="en-GB"/>
        </w:rPr>
        <w:t xml:space="preserve">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w:t>
      </w:r>
      <w:bookmarkEnd w:id="15"/>
      <w:r w:rsidRPr="009B5832">
        <w:rPr>
          <w:rFonts w:ascii="Arial" w:hAnsi="Arial" w:cs="Arial"/>
          <w:color w:val="000000"/>
          <w:sz w:val="22"/>
          <w:szCs w:val="22"/>
          <w:lang w:val="en-GB" w:eastAsia="en-GB"/>
        </w:rPr>
        <w:t>on Banks and Banking Activity (LBBA) or for any of the reasons specified in its regulations.</w:t>
      </w:r>
      <w:bookmarkStart w:id="16" w:name="para27"/>
      <w:bookmarkEnd w:id="14"/>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6"/>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7" w:name="para28"/>
      <w:r w:rsidRPr="009B5832">
        <w:rPr>
          <w:rFonts w:ascii="Arial" w:hAnsi="Arial" w:cs="Arial"/>
          <w:color w:val="000000"/>
          <w:sz w:val="22"/>
          <w:szCs w:val="22"/>
          <w:lang w:val="en-GB" w:eastAsia="en-GB"/>
        </w:rPr>
        <w:t xml:space="preserve">The </w:t>
      </w:r>
      <w:bookmarkStart w:id="18" w:name="_Hlk96583694"/>
      <w:r w:rsidRPr="009B5832">
        <w:rPr>
          <w:rFonts w:ascii="Arial" w:hAnsi="Arial" w:cs="Arial"/>
          <w:color w:val="000000"/>
          <w:sz w:val="22"/>
          <w:szCs w:val="22"/>
          <w:lang w:val="en-GB" w:eastAsia="en-GB"/>
        </w:rPr>
        <w:t>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7"/>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regulatory capital amount or standard capital ratios have reduced to one third of the minimum level specified by </w:t>
      </w:r>
      <w:proofErr w:type="gramStart"/>
      <w:r w:rsidRPr="009B5832">
        <w:rPr>
          <w:rFonts w:ascii="Arial" w:hAnsi="Arial" w:cs="Arial"/>
          <w:color w:val="000000"/>
          <w:sz w:val="22"/>
          <w:szCs w:val="22"/>
          <w:lang w:val="en-GB" w:eastAsia="en-GB"/>
        </w:rPr>
        <w:t>law;</w:t>
      </w:r>
      <w:proofErr w:type="gramEnd"/>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within five consecutive working days, the bank has failed to meet 2% or more of its obligations to depositors or </w:t>
      </w:r>
      <w:proofErr w:type="gramStart"/>
      <w:r w:rsidRPr="009B5832">
        <w:rPr>
          <w:rFonts w:ascii="Arial" w:hAnsi="Arial" w:cs="Arial"/>
          <w:color w:val="000000"/>
          <w:sz w:val="22"/>
          <w:szCs w:val="22"/>
          <w:lang w:val="en-GB" w:eastAsia="en-GB"/>
        </w:rPr>
        <w:t>creditors;</w:t>
      </w:r>
      <w:proofErr w:type="gramEnd"/>
      <w:r w:rsidRPr="009B5832">
        <w:rPr>
          <w:rFonts w:ascii="Arial" w:hAnsi="Arial" w:cs="Arial"/>
          <w:color w:val="000000"/>
          <w:sz w:val="22"/>
          <w:szCs w:val="22"/>
          <w:lang w:val="en-GB" w:eastAsia="en-GB"/>
        </w:rPr>
        <w:t xml:space="preserve">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9" w:name="para29"/>
      <w:r w:rsidRPr="009B5832">
        <w:rPr>
          <w:rFonts w:ascii="Arial" w:hAnsi="Arial" w:cs="Arial"/>
          <w:color w:val="000000"/>
          <w:sz w:val="22"/>
          <w:szCs w:val="22"/>
          <w:lang w:val="en-GB" w:eastAsia="en-GB"/>
        </w:rPr>
        <w:t xml:space="preserve">The NB </w:t>
      </w:r>
      <w:proofErr w:type="gramStart"/>
      <w:r w:rsidRPr="009B5832">
        <w:rPr>
          <w:rFonts w:ascii="Arial" w:hAnsi="Arial" w:cs="Arial"/>
          <w:color w:val="000000"/>
          <w:sz w:val="22"/>
          <w:szCs w:val="22"/>
          <w:lang w:val="en-GB" w:eastAsia="en-GB"/>
        </w:rPr>
        <w:t>has the ability to</w:t>
      </w:r>
      <w:proofErr w:type="gramEnd"/>
      <w:r w:rsidRPr="009B5832">
        <w:rPr>
          <w:rFonts w:ascii="Arial" w:hAnsi="Arial" w:cs="Arial"/>
          <w:color w:val="000000"/>
          <w:sz w:val="22"/>
          <w:szCs w:val="22"/>
          <w:lang w:val="en-GB" w:eastAsia="en-GB"/>
        </w:rPr>
        <w:t xml:space="preserve">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9"/>
    </w:p>
    <w:p w14:paraId="61CA2A2B" w14:textId="77777777" w:rsidR="00860E61" w:rsidRPr="009B5832" w:rsidRDefault="00860E61" w:rsidP="00860E61">
      <w:pPr>
        <w:jc w:val="both"/>
        <w:rPr>
          <w:rFonts w:ascii="Arial" w:hAnsi="Arial" w:cs="Arial"/>
          <w:color w:val="000000"/>
          <w:sz w:val="22"/>
          <w:szCs w:val="22"/>
          <w:lang w:val="en-GB" w:eastAsia="en-GB"/>
        </w:rPr>
      </w:pPr>
    </w:p>
    <w:bookmarkEnd w:id="18"/>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20"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21" w:name="para31"/>
      <w:bookmarkEnd w:id="20"/>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21"/>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22"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3" w:name="para33"/>
      <w:bookmarkEnd w:id="22"/>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4" w:name="para34"/>
      <w:bookmarkEnd w:id="23"/>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property and funds. Public encumbrances and restrictions on disposal of bank property are terminated and offsetting of </w:t>
      </w:r>
      <w:proofErr w:type="gramStart"/>
      <w:r w:rsidRPr="009B5832">
        <w:rPr>
          <w:rFonts w:ascii="Arial" w:hAnsi="Arial" w:cs="Arial"/>
          <w:color w:val="000000"/>
          <w:sz w:val="22"/>
          <w:szCs w:val="22"/>
          <w:lang w:val="en-GB" w:eastAsia="en-GB"/>
        </w:rPr>
        <w:t>counter-claims</w:t>
      </w:r>
      <w:proofErr w:type="gramEnd"/>
      <w:r w:rsidRPr="009B5832">
        <w:rPr>
          <w:rFonts w:ascii="Arial" w:hAnsi="Arial" w:cs="Arial"/>
          <w:color w:val="000000"/>
          <w:sz w:val="22"/>
          <w:szCs w:val="22"/>
          <w:lang w:val="en-GB" w:eastAsia="en-GB"/>
        </w:rPr>
        <w:t xml:space="preserve"> is prohibited.</w:t>
      </w:r>
      <w:bookmarkStart w:id="25" w:name="para35"/>
      <w:bookmarkEnd w:id="24"/>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5"/>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management powers and take over management of the property (including the money) of the </w:t>
      </w:r>
      <w:proofErr w:type="gramStart"/>
      <w:r w:rsidRPr="009B5832">
        <w:rPr>
          <w:rFonts w:ascii="Arial" w:hAnsi="Arial" w:cs="Arial"/>
          <w:color w:val="000000"/>
          <w:sz w:val="22"/>
          <w:szCs w:val="22"/>
          <w:lang w:val="en-GB" w:eastAsia="en-GB"/>
        </w:rPr>
        <w:t>bank;</w:t>
      </w:r>
      <w:proofErr w:type="gramEnd"/>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compile a register of creditor claims and to seek to satisfy those </w:t>
      </w:r>
      <w:proofErr w:type="gramStart"/>
      <w:r w:rsidRPr="009B5832">
        <w:rPr>
          <w:rFonts w:ascii="Arial" w:hAnsi="Arial" w:cs="Arial"/>
          <w:color w:val="000000"/>
          <w:sz w:val="22"/>
          <w:szCs w:val="22"/>
          <w:lang w:val="en-GB" w:eastAsia="en-GB"/>
        </w:rPr>
        <w:t>claims;</w:t>
      </w:r>
      <w:proofErr w:type="gramEnd"/>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take steps to find, identify and recover property belonging to the </w:t>
      </w:r>
      <w:proofErr w:type="gramStart"/>
      <w:r w:rsidRPr="009B5832">
        <w:rPr>
          <w:rFonts w:ascii="Arial" w:hAnsi="Arial" w:cs="Arial"/>
          <w:color w:val="000000"/>
          <w:sz w:val="22"/>
          <w:szCs w:val="22"/>
          <w:lang w:val="en-GB" w:eastAsia="en-GB"/>
        </w:rPr>
        <w:t>bank;</w:t>
      </w:r>
      <w:proofErr w:type="gramEnd"/>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dismiss employees and withdraw from/terminate </w:t>
      </w:r>
      <w:proofErr w:type="gramStart"/>
      <w:r w:rsidRPr="009B5832">
        <w:rPr>
          <w:rFonts w:ascii="Arial" w:hAnsi="Arial" w:cs="Arial"/>
          <w:color w:val="000000"/>
          <w:sz w:val="22"/>
          <w:szCs w:val="22"/>
          <w:lang w:val="en-GB" w:eastAsia="en-GB"/>
        </w:rPr>
        <w:t>contracts;</w:t>
      </w:r>
      <w:proofErr w:type="gramEnd"/>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6" w:name="para36"/>
      <w:r w:rsidRPr="009B5832">
        <w:rPr>
          <w:rFonts w:ascii="Arial" w:hAnsi="Arial" w:cs="Arial"/>
          <w:color w:val="000000"/>
          <w:sz w:val="22"/>
          <w:szCs w:val="22"/>
          <w:lang w:val="en-GB" w:eastAsia="en-GB"/>
        </w:rPr>
        <w:t xml:space="preserve">The DGF also has powers of sale, </w:t>
      </w:r>
      <w:proofErr w:type="gramStart"/>
      <w:r w:rsidRPr="009B5832">
        <w:rPr>
          <w:rFonts w:ascii="Arial" w:hAnsi="Arial" w:cs="Arial"/>
          <w:color w:val="000000"/>
          <w:sz w:val="22"/>
          <w:szCs w:val="22"/>
          <w:lang w:val="en-GB" w:eastAsia="en-GB"/>
        </w:rPr>
        <w:t>distribution</w:t>
      </w:r>
      <w:proofErr w:type="gramEnd"/>
      <w:r w:rsidRPr="009B5832">
        <w:rPr>
          <w:rFonts w:ascii="Arial" w:hAnsi="Arial" w:cs="Arial"/>
          <w:color w:val="000000"/>
          <w:sz w:val="22"/>
          <w:szCs w:val="22"/>
          <w:lang w:val="en-GB" w:eastAsia="en-GB"/>
        </w:rPr>
        <w:t xml:space="preserve"> and the power to bring claims for compensation against persons for harm inflicted on the insolvent bank.</w:t>
      </w:r>
      <w:bookmarkEnd w:id="26"/>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7"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9B5832">
        <w:rPr>
          <w:rFonts w:ascii="Arial" w:hAnsi="Arial" w:cs="Arial"/>
          <w:color w:val="000000"/>
          <w:sz w:val="22"/>
          <w:szCs w:val="22"/>
          <w:lang w:val="en-GB" w:eastAsia="en-GB"/>
        </w:rPr>
        <w:t>enter into</w:t>
      </w:r>
      <w:proofErr w:type="gramEnd"/>
      <w:r w:rsidRPr="009B5832">
        <w:rPr>
          <w:rFonts w:ascii="Arial" w:hAnsi="Arial" w:cs="Arial"/>
          <w:color w:val="000000"/>
          <w:sz w:val="22"/>
          <w:szCs w:val="22"/>
          <w:lang w:val="en-GB" w:eastAsia="en-GB"/>
        </w:rPr>
        <w:t xml:space="preserve">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7"/>
    </w:p>
    <w:p w14:paraId="3ED6A20C" w14:textId="6C58ADCA" w:rsidR="0040710D" w:rsidRPr="009B5832" w:rsidRDefault="0040710D"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8"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8"/>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9"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9"/>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breach, </w:t>
      </w:r>
      <w:proofErr w:type="gramStart"/>
      <w:r w:rsidRPr="009B5832">
        <w:rPr>
          <w:rFonts w:ascii="Arial" w:hAnsi="Arial" w:cs="Arial"/>
          <w:color w:val="000000"/>
          <w:sz w:val="22"/>
          <w:szCs w:val="22"/>
          <w:lang w:val="en-GB" w:eastAsia="en-GB"/>
        </w:rPr>
        <w:t>for eight consecutive reporting periods,</w:t>
      </w:r>
      <w:proofErr w:type="gramEnd"/>
      <w:r w:rsidRPr="009B5832">
        <w:rPr>
          <w:rFonts w:ascii="Arial" w:hAnsi="Arial" w:cs="Arial"/>
          <w:color w:val="000000"/>
          <w:sz w:val="22"/>
          <w:szCs w:val="22"/>
          <w:lang w:val="en-GB" w:eastAsia="en-GB"/>
        </w:rPr>
        <w:t xml:space="preserve">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w:t>
      </w:r>
      <w:proofErr w:type="gramStart"/>
      <w:r w:rsidR="008A7470" w:rsidRPr="009B5832">
        <w:rPr>
          <w:rFonts w:ascii="Arial" w:hAnsi="Arial" w:cs="Arial"/>
          <w:color w:val="000000"/>
          <w:sz w:val="22"/>
          <w:szCs w:val="22"/>
          <w:lang w:val="en-GB" w:eastAsia="en-GB"/>
        </w:rPr>
        <w:t>activities;</w:t>
      </w:r>
      <w:proofErr w:type="gramEnd"/>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reduction in its holding of highly liquid </w:t>
      </w:r>
      <w:proofErr w:type="gramStart"/>
      <w:r w:rsidRPr="009B5832">
        <w:rPr>
          <w:rFonts w:ascii="Arial" w:hAnsi="Arial" w:cs="Arial"/>
          <w:color w:val="000000"/>
          <w:sz w:val="22"/>
          <w:szCs w:val="22"/>
          <w:lang w:val="en-GB" w:eastAsia="en-GB"/>
        </w:rPr>
        <w:t>assets;</w:t>
      </w:r>
      <w:proofErr w:type="gramEnd"/>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30"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31" w:name="para40"/>
      <w:bookmarkEnd w:id="30"/>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It delegates to her </w:t>
      </w:r>
      <w:proofErr w:type="gramStart"/>
      <w:r w:rsidRPr="009B5832">
        <w:rPr>
          <w:rFonts w:ascii="Arial" w:hAnsi="Arial" w:cs="Arial"/>
          <w:color w:val="000000"/>
          <w:sz w:val="22"/>
          <w:szCs w:val="22"/>
          <w:lang w:val="en-GB" w:eastAsia="en-GB"/>
        </w:rPr>
        <w:t>all liquidation</w:t>
      </w:r>
      <w:proofErr w:type="gramEnd"/>
      <w:r w:rsidRPr="009B5832">
        <w:rPr>
          <w:rFonts w:ascii="Arial" w:hAnsi="Arial"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32" w:name="para41"/>
      <w:bookmarkEnd w:id="31"/>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32"/>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proofErr w:type="gramStart"/>
      <w:r w:rsidRPr="009B5832">
        <w:rPr>
          <w:rFonts w:ascii="Arial" w:hAnsi="Arial" w:cs="Arial"/>
          <w:sz w:val="22"/>
          <w:szCs w:val="22"/>
          <w:lang w:val="en-GB"/>
        </w:rPr>
        <w:t>For the purpose of</w:t>
      </w:r>
      <w:proofErr w:type="gramEnd"/>
      <w:r w:rsidRPr="009B5832">
        <w:rPr>
          <w:rFonts w:ascii="Arial" w:hAnsi="Arial" w:cs="Arial"/>
          <w:sz w:val="22"/>
          <w:szCs w:val="22"/>
          <w:lang w:val="en-GB"/>
        </w:rPr>
        <w:t xml:space="preserve">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bookmarkEnd w:id="5"/>
    <w:p w14:paraId="3A8EA3B9" w14:textId="6A6DF3B4" w:rsidR="00A153F7" w:rsidRPr="009B5832" w:rsidRDefault="00A153F7" w:rsidP="00707FC8">
      <w:pPr>
        <w:jc w:val="both"/>
        <w:rPr>
          <w:rFonts w:ascii="Arial" w:hAnsi="Arial" w:cs="Arial"/>
          <w:sz w:val="22"/>
          <w:szCs w:val="22"/>
          <w:lang w:val="en-GB"/>
        </w:rPr>
      </w:pPr>
    </w:p>
    <w:p w14:paraId="601B1F6C" w14:textId="77777777" w:rsidR="00D91534" w:rsidRDefault="00D91534" w:rsidP="00707FC8">
      <w:pPr>
        <w:jc w:val="both"/>
        <w:rPr>
          <w:rFonts w:ascii="Arial" w:hAnsi="Arial" w:cs="Arial"/>
          <w:b/>
          <w:bCs/>
          <w:color w:val="7B7B7B" w:themeColor="accent3" w:themeShade="BF"/>
          <w:sz w:val="22"/>
          <w:szCs w:val="22"/>
          <w:u w:val="single"/>
          <w:lang w:val="en-GB"/>
        </w:rPr>
      </w:pPr>
    </w:p>
    <w:p w14:paraId="0E11C04B" w14:textId="761A0ABE" w:rsidR="00C938C4" w:rsidRDefault="00C938C4" w:rsidP="00707FC8">
      <w:pPr>
        <w:jc w:val="both"/>
        <w:rPr>
          <w:rFonts w:ascii="Arial" w:hAnsi="Arial" w:cs="Arial"/>
          <w:b/>
          <w:bCs/>
          <w:sz w:val="22"/>
          <w:szCs w:val="22"/>
          <w:u w:val="single"/>
          <w:lang w:val="en-GB"/>
        </w:rPr>
      </w:pPr>
      <w:r w:rsidRPr="00C938C4">
        <w:rPr>
          <w:rFonts w:ascii="Arial" w:hAnsi="Arial" w:cs="Arial"/>
          <w:b/>
          <w:bCs/>
          <w:color w:val="7B7B7B" w:themeColor="accent3" w:themeShade="BF"/>
          <w:sz w:val="22"/>
          <w:szCs w:val="22"/>
          <w:u w:val="single"/>
          <w:lang w:val="en-GB"/>
        </w:rPr>
        <w:t>Question 4.1.1</w:t>
      </w:r>
    </w:p>
    <w:p w14:paraId="2E3A7F9D" w14:textId="153E7FFB" w:rsidR="00C938C4" w:rsidRDefault="00C938C4" w:rsidP="00707FC8">
      <w:pPr>
        <w:jc w:val="both"/>
        <w:rPr>
          <w:rFonts w:ascii="Arial" w:hAnsi="Arial" w:cs="Arial"/>
          <w:b/>
          <w:bCs/>
          <w:sz w:val="22"/>
          <w:szCs w:val="22"/>
          <w:u w:val="single"/>
          <w:lang w:val="en-GB"/>
        </w:rPr>
      </w:pPr>
    </w:p>
    <w:p w14:paraId="49D4D51F" w14:textId="0500DB16" w:rsidR="00311EA1" w:rsidRDefault="00311EA1" w:rsidP="00AF122E">
      <w:pPr>
        <w:jc w:val="both"/>
        <w:rPr>
          <w:rFonts w:ascii="Arial" w:hAnsi="Arial" w:cs="Arial"/>
          <w:color w:val="808080" w:themeColor="background1" w:themeShade="80"/>
          <w:sz w:val="22"/>
          <w:szCs w:val="22"/>
        </w:rPr>
      </w:pPr>
    </w:p>
    <w:p w14:paraId="514C999C" w14:textId="77777777" w:rsidR="001904A8" w:rsidRDefault="00311EA1" w:rsidP="00AF122E">
      <w:pPr>
        <w:jc w:val="both"/>
        <w:rPr>
          <w:rFonts w:ascii="Arial" w:hAnsi="Arial" w:cs="Arial"/>
          <w:color w:val="808080" w:themeColor="background1" w:themeShade="80"/>
          <w:sz w:val="22"/>
          <w:szCs w:val="22"/>
        </w:rPr>
      </w:pPr>
      <w:r>
        <w:rPr>
          <w:rFonts w:ascii="Arial" w:hAnsi="Arial" w:cs="Arial"/>
          <w:b/>
          <w:bCs/>
          <w:color w:val="808080" w:themeColor="background1" w:themeShade="80"/>
          <w:sz w:val="22"/>
          <w:szCs w:val="22"/>
          <w:u w:val="single"/>
        </w:rPr>
        <w:t>Issue:</w:t>
      </w:r>
      <w:r>
        <w:rPr>
          <w:rFonts w:ascii="Arial" w:hAnsi="Arial" w:cs="Arial"/>
          <w:color w:val="808080" w:themeColor="background1" w:themeShade="80"/>
          <w:sz w:val="22"/>
          <w:szCs w:val="22"/>
        </w:rPr>
        <w:t xml:space="preserve">  </w:t>
      </w:r>
    </w:p>
    <w:p w14:paraId="603E0EED" w14:textId="77777777" w:rsidR="001904A8" w:rsidRDefault="001904A8" w:rsidP="00AF122E">
      <w:pPr>
        <w:jc w:val="both"/>
        <w:rPr>
          <w:rFonts w:ascii="Arial" w:hAnsi="Arial" w:cs="Arial"/>
          <w:color w:val="808080" w:themeColor="background1" w:themeShade="80"/>
          <w:sz w:val="22"/>
          <w:szCs w:val="22"/>
        </w:rPr>
      </w:pPr>
    </w:p>
    <w:p w14:paraId="0CE17FC9" w14:textId="3F63E85C" w:rsidR="00311EA1" w:rsidRDefault="00D948E8" w:rsidP="00AF122E">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w:t>
      </w:r>
      <w:r w:rsidR="00BE2647">
        <w:rPr>
          <w:rFonts w:ascii="Arial" w:hAnsi="Arial" w:cs="Arial"/>
          <w:color w:val="808080" w:themeColor="background1" w:themeShade="80"/>
          <w:sz w:val="22"/>
          <w:szCs w:val="22"/>
        </w:rPr>
        <w:t xml:space="preserve"> legal issue under consideration </w:t>
      </w:r>
      <w:r>
        <w:rPr>
          <w:rFonts w:ascii="Arial" w:hAnsi="Arial" w:cs="Arial"/>
          <w:color w:val="808080" w:themeColor="background1" w:themeShade="80"/>
          <w:sz w:val="22"/>
          <w:szCs w:val="22"/>
        </w:rPr>
        <w:t xml:space="preserve">is whether the law of </w:t>
      </w:r>
      <w:r w:rsidR="00D91534">
        <w:rPr>
          <w:rFonts w:ascii="Arial" w:hAnsi="Arial" w:cs="Arial"/>
          <w:color w:val="808080" w:themeColor="background1" w:themeShade="80"/>
          <w:sz w:val="22"/>
          <w:szCs w:val="22"/>
        </w:rPr>
        <w:t xml:space="preserve">Country A </w:t>
      </w:r>
      <w:r>
        <w:rPr>
          <w:rFonts w:ascii="Arial" w:hAnsi="Arial" w:cs="Arial"/>
          <w:color w:val="808080" w:themeColor="background1" w:themeShade="80"/>
          <w:sz w:val="22"/>
          <w:szCs w:val="22"/>
        </w:rPr>
        <w:t>makes it possible to recognize</w:t>
      </w:r>
      <w:r w:rsidR="00D91534">
        <w:rPr>
          <w:rFonts w:ascii="Arial" w:hAnsi="Arial" w:cs="Arial"/>
          <w:color w:val="808080" w:themeColor="background1" w:themeShade="80"/>
          <w:sz w:val="22"/>
          <w:szCs w:val="22"/>
        </w:rPr>
        <w:t xml:space="preserve"> a foreign proceeding </w:t>
      </w:r>
      <w:r>
        <w:rPr>
          <w:rFonts w:ascii="Arial" w:hAnsi="Arial" w:cs="Arial"/>
          <w:color w:val="808080" w:themeColor="background1" w:themeShade="80"/>
          <w:sz w:val="22"/>
          <w:szCs w:val="22"/>
        </w:rPr>
        <w:t>which is expressly brought in a foreign court in respect of a group of companies</w:t>
      </w:r>
      <w:r w:rsidR="00BE2647">
        <w:rPr>
          <w:rFonts w:ascii="Arial" w:hAnsi="Arial" w:cs="Arial"/>
          <w:color w:val="808080" w:themeColor="background1" w:themeShade="80"/>
          <w:sz w:val="22"/>
          <w:szCs w:val="22"/>
        </w:rPr>
        <w:t>,</w:t>
      </w:r>
      <w:r>
        <w:rPr>
          <w:rFonts w:ascii="Arial" w:hAnsi="Arial" w:cs="Arial"/>
          <w:color w:val="808080" w:themeColor="background1" w:themeShade="80"/>
          <w:sz w:val="22"/>
          <w:szCs w:val="22"/>
        </w:rPr>
        <w:t xml:space="preserve"> even though recognition </w:t>
      </w:r>
      <w:r w:rsidR="00BE2647">
        <w:rPr>
          <w:rFonts w:ascii="Arial" w:hAnsi="Arial" w:cs="Arial"/>
          <w:color w:val="808080" w:themeColor="background1" w:themeShade="80"/>
          <w:sz w:val="22"/>
          <w:szCs w:val="22"/>
        </w:rPr>
        <w:t>in the foreign court</w:t>
      </w:r>
      <w:r>
        <w:rPr>
          <w:rFonts w:ascii="Arial" w:hAnsi="Arial" w:cs="Arial"/>
          <w:color w:val="808080" w:themeColor="background1" w:themeShade="80"/>
          <w:sz w:val="22"/>
          <w:szCs w:val="22"/>
        </w:rPr>
        <w:t xml:space="preserve"> is only sought in relation to one specific company which is identified in the application?</w:t>
      </w:r>
    </w:p>
    <w:p w14:paraId="72A88CCC" w14:textId="472E676B" w:rsidR="001904A8" w:rsidRDefault="001904A8" w:rsidP="00AF122E">
      <w:pPr>
        <w:jc w:val="both"/>
        <w:rPr>
          <w:rFonts w:ascii="Arial" w:hAnsi="Arial" w:cs="Arial"/>
          <w:color w:val="808080" w:themeColor="background1" w:themeShade="80"/>
          <w:sz w:val="22"/>
          <w:szCs w:val="22"/>
        </w:rPr>
      </w:pPr>
    </w:p>
    <w:p w14:paraId="5A4250B5" w14:textId="58CBF580" w:rsidR="001904A8" w:rsidRDefault="001904A8" w:rsidP="00AF122E">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lastRenderedPageBreak/>
        <w:t>This question entails an analysis into the elements of a foreign proceeding, which will be discussed hereunder.</w:t>
      </w:r>
    </w:p>
    <w:p w14:paraId="0862E4EF" w14:textId="0F16AF41" w:rsidR="00C670FC" w:rsidRDefault="00C670FC" w:rsidP="00AF122E">
      <w:pPr>
        <w:jc w:val="both"/>
        <w:rPr>
          <w:rFonts w:ascii="Arial" w:hAnsi="Arial" w:cs="Arial"/>
          <w:color w:val="808080" w:themeColor="background1" w:themeShade="80"/>
          <w:sz w:val="22"/>
          <w:szCs w:val="22"/>
        </w:rPr>
      </w:pPr>
    </w:p>
    <w:p w14:paraId="744E110C" w14:textId="71F101A7" w:rsidR="00877E28" w:rsidRDefault="00877E28" w:rsidP="00AF122E">
      <w:pPr>
        <w:jc w:val="both"/>
        <w:rPr>
          <w:rFonts w:ascii="Arial" w:hAnsi="Arial" w:cs="Arial"/>
          <w:color w:val="808080" w:themeColor="background1" w:themeShade="80"/>
          <w:sz w:val="22"/>
          <w:szCs w:val="22"/>
        </w:rPr>
      </w:pPr>
    </w:p>
    <w:p w14:paraId="696F1330" w14:textId="77777777" w:rsidR="00877E28" w:rsidRDefault="00877E28" w:rsidP="00AF122E">
      <w:pPr>
        <w:jc w:val="both"/>
        <w:rPr>
          <w:rFonts w:ascii="Arial" w:hAnsi="Arial" w:cs="Arial"/>
          <w:color w:val="808080" w:themeColor="background1" w:themeShade="80"/>
          <w:sz w:val="22"/>
          <w:szCs w:val="22"/>
        </w:rPr>
      </w:pPr>
      <w:r>
        <w:rPr>
          <w:rFonts w:ascii="Arial" w:hAnsi="Arial" w:cs="Arial"/>
          <w:b/>
          <w:bCs/>
          <w:color w:val="808080" w:themeColor="background1" w:themeShade="80"/>
          <w:sz w:val="22"/>
          <w:szCs w:val="22"/>
          <w:u w:val="single"/>
        </w:rPr>
        <w:t>Law:</w:t>
      </w:r>
      <w:r>
        <w:rPr>
          <w:rFonts w:ascii="Arial" w:hAnsi="Arial" w:cs="Arial"/>
          <w:color w:val="808080" w:themeColor="background1" w:themeShade="80"/>
          <w:sz w:val="22"/>
          <w:szCs w:val="22"/>
        </w:rPr>
        <w:t xml:space="preserve">  </w:t>
      </w:r>
    </w:p>
    <w:p w14:paraId="632149BC" w14:textId="51E69334" w:rsidR="00877E28" w:rsidRDefault="00877E28" w:rsidP="00AF122E">
      <w:pPr>
        <w:jc w:val="both"/>
        <w:rPr>
          <w:rFonts w:ascii="Arial" w:hAnsi="Arial" w:cs="Arial"/>
          <w:color w:val="808080" w:themeColor="background1" w:themeShade="80"/>
          <w:sz w:val="22"/>
          <w:szCs w:val="22"/>
        </w:rPr>
      </w:pPr>
    </w:p>
    <w:p w14:paraId="705FBBE8" w14:textId="484AFB51" w:rsidR="007964AA" w:rsidRPr="007964AA" w:rsidRDefault="007964AA" w:rsidP="001904A8">
      <w:pPr>
        <w:jc w:val="both"/>
        <w:rPr>
          <w:rFonts w:ascii="Arial" w:hAnsi="Arial" w:cs="Arial"/>
          <w:color w:val="808080" w:themeColor="background1" w:themeShade="80"/>
          <w:sz w:val="22"/>
          <w:szCs w:val="22"/>
          <w:lang w:val="en-GB"/>
        </w:rPr>
      </w:pPr>
      <w:r>
        <w:rPr>
          <w:rFonts w:ascii="Arial" w:hAnsi="Arial" w:cs="Arial"/>
          <w:i/>
          <w:iCs/>
          <w:color w:val="808080" w:themeColor="background1" w:themeShade="80"/>
          <w:sz w:val="22"/>
          <w:szCs w:val="22"/>
          <w:lang w:val="en-GB"/>
        </w:rPr>
        <w:t>Definition of foreign proceeding</w:t>
      </w:r>
    </w:p>
    <w:p w14:paraId="7ED8F8A7" w14:textId="77777777" w:rsidR="007964AA" w:rsidRDefault="007964AA" w:rsidP="001904A8">
      <w:pPr>
        <w:jc w:val="both"/>
        <w:rPr>
          <w:rFonts w:ascii="Arial" w:hAnsi="Arial" w:cs="Arial"/>
          <w:color w:val="808080" w:themeColor="background1" w:themeShade="80"/>
          <w:sz w:val="22"/>
          <w:szCs w:val="22"/>
          <w:lang w:val="en-GB"/>
        </w:rPr>
      </w:pPr>
    </w:p>
    <w:p w14:paraId="25836CAA" w14:textId="23B8AD31" w:rsidR="001904A8" w:rsidRDefault="00877E28" w:rsidP="001904A8">
      <w:pPr>
        <w:jc w:val="both"/>
        <w:rPr>
          <w:rFonts w:ascii="Arial" w:hAnsi="Arial" w:cs="Arial"/>
          <w:color w:val="808080" w:themeColor="background1" w:themeShade="80"/>
          <w:sz w:val="22"/>
          <w:szCs w:val="22"/>
          <w:lang w:val="en-GB"/>
        </w:rPr>
      </w:pPr>
      <w:r w:rsidRPr="00877E28">
        <w:rPr>
          <w:rFonts w:ascii="Arial" w:hAnsi="Arial" w:cs="Arial"/>
          <w:color w:val="808080" w:themeColor="background1" w:themeShade="80"/>
          <w:sz w:val="22"/>
          <w:szCs w:val="22"/>
          <w:lang w:val="en-GB"/>
        </w:rPr>
        <w:t xml:space="preserve">A </w:t>
      </w:r>
      <w:r w:rsidR="00D91534">
        <w:rPr>
          <w:rFonts w:ascii="Arial" w:hAnsi="Arial" w:cs="Arial"/>
          <w:color w:val="808080" w:themeColor="background1" w:themeShade="80"/>
          <w:sz w:val="22"/>
          <w:szCs w:val="22"/>
          <w:lang w:val="en-GB"/>
        </w:rPr>
        <w:t>“</w:t>
      </w:r>
      <w:r w:rsidRPr="00877E28">
        <w:rPr>
          <w:rFonts w:ascii="Arial" w:hAnsi="Arial" w:cs="Arial"/>
          <w:color w:val="808080" w:themeColor="background1" w:themeShade="80"/>
          <w:sz w:val="22"/>
          <w:szCs w:val="22"/>
          <w:lang w:val="en-GB"/>
        </w:rPr>
        <w:t>foreign proceeding</w:t>
      </w:r>
      <w:r w:rsidR="00D91534">
        <w:rPr>
          <w:rFonts w:ascii="Arial" w:hAnsi="Arial" w:cs="Arial"/>
          <w:color w:val="808080" w:themeColor="background1" w:themeShade="80"/>
          <w:sz w:val="22"/>
          <w:szCs w:val="22"/>
          <w:lang w:val="en-GB"/>
        </w:rPr>
        <w:t>”</w:t>
      </w:r>
      <w:r w:rsidRPr="00877E28">
        <w:rPr>
          <w:rFonts w:ascii="Arial" w:hAnsi="Arial" w:cs="Arial"/>
          <w:color w:val="808080" w:themeColor="background1" w:themeShade="80"/>
          <w:sz w:val="22"/>
          <w:szCs w:val="22"/>
          <w:lang w:val="en-GB"/>
        </w:rPr>
        <w:t xml:space="preserve"> is defined by the following elements:</w:t>
      </w:r>
      <w:r w:rsidR="001904A8">
        <w:rPr>
          <w:rFonts w:ascii="Arial" w:hAnsi="Arial" w:cs="Arial"/>
          <w:color w:val="808080" w:themeColor="background1" w:themeShade="80"/>
          <w:sz w:val="22"/>
          <w:szCs w:val="22"/>
          <w:lang w:val="en-GB"/>
        </w:rPr>
        <w:t xml:space="preserve">  </w:t>
      </w:r>
    </w:p>
    <w:p w14:paraId="371714B6" w14:textId="77777777" w:rsidR="001904A8" w:rsidRDefault="001904A8" w:rsidP="001904A8">
      <w:pPr>
        <w:jc w:val="both"/>
        <w:rPr>
          <w:rFonts w:ascii="Arial" w:hAnsi="Arial" w:cs="Arial"/>
          <w:color w:val="808080" w:themeColor="background1" w:themeShade="80"/>
          <w:sz w:val="22"/>
          <w:szCs w:val="22"/>
          <w:lang w:val="en-GB"/>
        </w:rPr>
      </w:pPr>
    </w:p>
    <w:p w14:paraId="2A01365D" w14:textId="77777777" w:rsidR="001904A8" w:rsidRDefault="001904A8" w:rsidP="001904A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1.</w:t>
      </w:r>
      <w:r>
        <w:rPr>
          <w:rFonts w:ascii="Arial" w:hAnsi="Arial" w:cs="Arial"/>
          <w:color w:val="808080" w:themeColor="background1" w:themeShade="80"/>
          <w:sz w:val="22"/>
          <w:szCs w:val="22"/>
          <w:lang w:val="en-GB"/>
        </w:rPr>
        <w:tab/>
      </w:r>
      <w:bookmarkStart w:id="33" w:name="_Hlk96541498"/>
      <w:r w:rsidR="00877E28" w:rsidRPr="00877E28">
        <w:rPr>
          <w:rFonts w:ascii="Arial" w:hAnsi="Arial" w:cs="Arial"/>
          <w:color w:val="808080" w:themeColor="background1" w:themeShade="80"/>
          <w:sz w:val="22"/>
          <w:szCs w:val="22"/>
          <w:lang w:val="en-GB"/>
        </w:rPr>
        <w:t xml:space="preserve">It must be a proceeding of some or other type, including an interim proceeding.  </w:t>
      </w:r>
    </w:p>
    <w:p w14:paraId="05F915C0" w14:textId="77777777" w:rsidR="001904A8" w:rsidRDefault="001904A8" w:rsidP="001904A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2.</w:t>
      </w:r>
      <w:r>
        <w:rPr>
          <w:rFonts w:ascii="Arial" w:hAnsi="Arial" w:cs="Arial"/>
          <w:color w:val="808080" w:themeColor="background1" w:themeShade="80"/>
          <w:sz w:val="22"/>
          <w:szCs w:val="22"/>
          <w:lang w:val="en-GB"/>
        </w:rPr>
        <w:tab/>
      </w:r>
      <w:r w:rsidR="00877E28" w:rsidRPr="00877E28">
        <w:rPr>
          <w:rFonts w:ascii="Arial" w:hAnsi="Arial" w:cs="Arial"/>
          <w:color w:val="808080" w:themeColor="background1" w:themeShade="80"/>
          <w:sz w:val="22"/>
          <w:szCs w:val="22"/>
          <w:lang w:val="en-GB"/>
        </w:rPr>
        <w:t xml:space="preserve">The proceeding must be either administrative or judicial in nature.  </w:t>
      </w:r>
    </w:p>
    <w:p w14:paraId="2FD0B0F7" w14:textId="77777777" w:rsidR="001904A8" w:rsidRDefault="001904A8" w:rsidP="001904A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3.</w:t>
      </w:r>
      <w:r>
        <w:rPr>
          <w:rFonts w:ascii="Arial" w:hAnsi="Arial" w:cs="Arial"/>
          <w:color w:val="808080" w:themeColor="background1" w:themeShade="80"/>
          <w:sz w:val="22"/>
          <w:szCs w:val="22"/>
          <w:lang w:val="en-GB"/>
        </w:rPr>
        <w:tab/>
      </w:r>
      <w:r w:rsidR="00877E28" w:rsidRPr="00877E28">
        <w:rPr>
          <w:rFonts w:ascii="Arial" w:hAnsi="Arial" w:cs="Arial"/>
          <w:color w:val="808080" w:themeColor="background1" w:themeShade="80"/>
          <w:sz w:val="22"/>
          <w:szCs w:val="22"/>
          <w:lang w:val="en-GB"/>
        </w:rPr>
        <w:t xml:space="preserve">It must be collective in nature:  In this regard the question is whether substantially </w:t>
      </w:r>
      <w:proofErr w:type="gramStart"/>
      <w:r w:rsidR="00877E28" w:rsidRPr="00877E28">
        <w:rPr>
          <w:rFonts w:ascii="Arial" w:hAnsi="Arial" w:cs="Arial"/>
          <w:color w:val="808080" w:themeColor="background1" w:themeShade="80"/>
          <w:sz w:val="22"/>
          <w:szCs w:val="22"/>
          <w:lang w:val="en-GB"/>
        </w:rPr>
        <w:t xml:space="preserve">all </w:t>
      </w:r>
      <w:r>
        <w:rPr>
          <w:rFonts w:ascii="Arial" w:hAnsi="Arial" w:cs="Arial"/>
          <w:color w:val="808080" w:themeColor="background1" w:themeShade="80"/>
          <w:sz w:val="22"/>
          <w:szCs w:val="22"/>
          <w:lang w:val="en-GB"/>
        </w:rPr>
        <w:tab/>
      </w:r>
      <w:r w:rsidR="00877E28" w:rsidRPr="00877E28">
        <w:rPr>
          <w:rFonts w:ascii="Arial" w:hAnsi="Arial" w:cs="Arial"/>
          <w:color w:val="808080" w:themeColor="background1" w:themeShade="80"/>
          <w:sz w:val="22"/>
          <w:szCs w:val="22"/>
          <w:lang w:val="en-GB"/>
        </w:rPr>
        <w:t>of</w:t>
      </w:r>
      <w:proofErr w:type="gramEnd"/>
      <w:r w:rsidR="00877E28" w:rsidRPr="00877E28">
        <w:rPr>
          <w:rFonts w:ascii="Arial" w:hAnsi="Arial" w:cs="Arial"/>
          <w:color w:val="808080" w:themeColor="background1" w:themeShade="80"/>
          <w:sz w:val="22"/>
          <w:szCs w:val="22"/>
          <w:lang w:val="en-GB"/>
        </w:rPr>
        <w:t xml:space="preserve"> the assets and liabilities of the debtor are dealt with in one proceeding subject to the </w:t>
      </w:r>
      <w:r>
        <w:rPr>
          <w:rFonts w:ascii="Arial" w:hAnsi="Arial" w:cs="Arial"/>
          <w:color w:val="808080" w:themeColor="background1" w:themeShade="80"/>
          <w:sz w:val="22"/>
          <w:szCs w:val="22"/>
          <w:lang w:val="en-GB"/>
        </w:rPr>
        <w:tab/>
      </w:r>
      <w:r w:rsidR="00877E28" w:rsidRPr="00877E28">
        <w:rPr>
          <w:rFonts w:ascii="Arial" w:hAnsi="Arial" w:cs="Arial"/>
          <w:color w:val="808080" w:themeColor="background1" w:themeShade="80"/>
          <w:sz w:val="22"/>
          <w:szCs w:val="22"/>
          <w:lang w:val="en-GB"/>
        </w:rPr>
        <w:t xml:space="preserve">usual local priorities, exceptions and exclusions. </w:t>
      </w:r>
    </w:p>
    <w:p w14:paraId="5B85F407" w14:textId="77777777" w:rsidR="001904A8" w:rsidRDefault="001904A8" w:rsidP="001904A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4.</w:t>
      </w:r>
      <w:r>
        <w:rPr>
          <w:rFonts w:ascii="Arial" w:hAnsi="Arial" w:cs="Arial"/>
          <w:color w:val="808080" w:themeColor="background1" w:themeShade="80"/>
          <w:sz w:val="22"/>
          <w:szCs w:val="22"/>
          <w:lang w:val="en-GB"/>
        </w:rPr>
        <w:tab/>
      </w:r>
      <w:r w:rsidR="00877E28" w:rsidRPr="00877E28">
        <w:rPr>
          <w:rFonts w:ascii="Arial" w:hAnsi="Arial" w:cs="Arial"/>
          <w:color w:val="808080" w:themeColor="background1" w:themeShade="80"/>
          <w:sz w:val="22"/>
          <w:szCs w:val="22"/>
          <w:lang w:val="en-GB"/>
        </w:rPr>
        <w:t xml:space="preserve">It must occur in a foreign State.  </w:t>
      </w:r>
    </w:p>
    <w:p w14:paraId="2A2E5CA0" w14:textId="77777777" w:rsidR="001904A8" w:rsidRDefault="001904A8" w:rsidP="001904A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5.</w:t>
      </w:r>
      <w:r>
        <w:rPr>
          <w:rFonts w:ascii="Arial" w:hAnsi="Arial" w:cs="Arial"/>
          <w:color w:val="808080" w:themeColor="background1" w:themeShade="80"/>
          <w:sz w:val="22"/>
          <w:szCs w:val="22"/>
          <w:lang w:val="en-GB"/>
        </w:rPr>
        <w:tab/>
      </w:r>
      <w:r w:rsidR="00877E28" w:rsidRPr="00877E28">
        <w:rPr>
          <w:rFonts w:ascii="Arial" w:hAnsi="Arial" w:cs="Arial"/>
          <w:color w:val="808080" w:themeColor="background1" w:themeShade="80"/>
          <w:sz w:val="22"/>
          <w:szCs w:val="22"/>
          <w:lang w:val="en-GB"/>
        </w:rPr>
        <w:t xml:space="preserve">It must be authorized or conducted under a law relating to insolvency. </w:t>
      </w:r>
    </w:p>
    <w:p w14:paraId="3923DAAA" w14:textId="77777777" w:rsidR="001904A8" w:rsidRDefault="001904A8" w:rsidP="001904A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6.</w:t>
      </w:r>
      <w:r>
        <w:rPr>
          <w:rFonts w:ascii="Arial" w:hAnsi="Arial" w:cs="Arial"/>
          <w:color w:val="808080" w:themeColor="background1" w:themeShade="80"/>
          <w:sz w:val="22"/>
          <w:szCs w:val="22"/>
          <w:lang w:val="en-GB"/>
        </w:rPr>
        <w:tab/>
      </w:r>
      <w:r w:rsidR="00877E28" w:rsidRPr="00877E28">
        <w:rPr>
          <w:rFonts w:ascii="Arial" w:hAnsi="Arial" w:cs="Arial"/>
          <w:color w:val="808080" w:themeColor="background1" w:themeShade="80"/>
          <w:sz w:val="22"/>
          <w:szCs w:val="22"/>
          <w:lang w:val="en-GB"/>
        </w:rPr>
        <w:t xml:space="preserve">The proceeding relates to assets and affairs of the debtor which are subject to control </w:t>
      </w:r>
      <w:r>
        <w:rPr>
          <w:rFonts w:ascii="Arial" w:hAnsi="Arial" w:cs="Arial"/>
          <w:color w:val="808080" w:themeColor="background1" w:themeShade="80"/>
          <w:sz w:val="22"/>
          <w:szCs w:val="22"/>
          <w:lang w:val="en-GB"/>
        </w:rPr>
        <w:tab/>
      </w:r>
      <w:r w:rsidR="00877E28" w:rsidRPr="00877E28">
        <w:rPr>
          <w:rFonts w:ascii="Arial" w:hAnsi="Arial" w:cs="Arial"/>
          <w:color w:val="808080" w:themeColor="background1" w:themeShade="80"/>
          <w:sz w:val="22"/>
          <w:szCs w:val="22"/>
          <w:lang w:val="en-GB"/>
        </w:rPr>
        <w:t xml:space="preserve">or supervision by a foreign court. </w:t>
      </w:r>
    </w:p>
    <w:p w14:paraId="05A98894" w14:textId="36A001CC" w:rsidR="00877E28" w:rsidRDefault="001904A8" w:rsidP="001904A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7.</w:t>
      </w:r>
      <w:r>
        <w:rPr>
          <w:rFonts w:ascii="Arial" w:hAnsi="Arial" w:cs="Arial"/>
          <w:color w:val="808080" w:themeColor="background1" w:themeShade="80"/>
          <w:sz w:val="22"/>
          <w:szCs w:val="22"/>
          <w:lang w:val="en-GB"/>
        </w:rPr>
        <w:tab/>
      </w:r>
      <w:r w:rsidR="00877E28" w:rsidRPr="00877E28">
        <w:rPr>
          <w:rFonts w:ascii="Arial" w:hAnsi="Arial" w:cs="Arial"/>
          <w:color w:val="808080" w:themeColor="background1" w:themeShade="80"/>
          <w:sz w:val="22"/>
          <w:szCs w:val="22"/>
          <w:lang w:val="en-GB"/>
        </w:rPr>
        <w:t xml:space="preserve">The proceeding is for the purpose of reorganization or liquidation.  </w:t>
      </w:r>
    </w:p>
    <w:bookmarkEnd w:id="33"/>
    <w:p w14:paraId="4A43FAA7" w14:textId="519EFAA6" w:rsidR="002732A1" w:rsidRDefault="002732A1" w:rsidP="002732A1">
      <w:pPr>
        <w:jc w:val="both"/>
        <w:rPr>
          <w:rFonts w:ascii="Arial" w:hAnsi="Arial" w:cs="Arial"/>
          <w:color w:val="808080" w:themeColor="background1" w:themeShade="80"/>
          <w:sz w:val="22"/>
          <w:szCs w:val="22"/>
          <w:lang w:val="en-GB"/>
        </w:rPr>
      </w:pPr>
    </w:p>
    <w:p w14:paraId="5B029D3A" w14:textId="0E569BA1" w:rsidR="001B3F41" w:rsidRDefault="001B3F41" w:rsidP="002732A1">
      <w:pPr>
        <w:jc w:val="both"/>
        <w:rPr>
          <w:rFonts w:ascii="Arial" w:hAnsi="Arial" w:cs="Arial"/>
          <w:color w:val="808080" w:themeColor="background1" w:themeShade="80"/>
          <w:sz w:val="22"/>
          <w:szCs w:val="22"/>
          <w:lang w:val="en-GB"/>
        </w:rPr>
      </w:pPr>
    </w:p>
    <w:p w14:paraId="5692534B" w14:textId="77777777" w:rsidR="00FF436D" w:rsidRDefault="00FF436D" w:rsidP="001B3F41">
      <w:pPr>
        <w:jc w:val="both"/>
        <w:rPr>
          <w:rFonts w:ascii="Arial" w:hAnsi="Arial" w:cs="Arial"/>
          <w:i/>
          <w:iCs/>
          <w:color w:val="808080" w:themeColor="background1" w:themeShade="80"/>
          <w:sz w:val="22"/>
          <w:szCs w:val="22"/>
          <w:lang w:val="en-GB"/>
        </w:rPr>
      </w:pPr>
      <w:r>
        <w:rPr>
          <w:rFonts w:ascii="Arial" w:hAnsi="Arial" w:cs="Arial"/>
          <w:i/>
          <w:iCs/>
          <w:color w:val="808080" w:themeColor="background1" w:themeShade="80"/>
          <w:sz w:val="22"/>
          <w:szCs w:val="22"/>
          <w:lang w:val="en-GB"/>
        </w:rPr>
        <w:t xml:space="preserve">The matter of </w:t>
      </w:r>
      <w:proofErr w:type="spellStart"/>
      <w:r>
        <w:rPr>
          <w:rFonts w:ascii="Arial" w:hAnsi="Arial" w:cs="Arial"/>
          <w:i/>
          <w:iCs/>
          <w:color w:val="808080" w:themeColor="background1" w:themeShade="80"/>
          <w:sz w:val="22"/>
          <w:szCs w:val="22"/>
          <w:lang w:val="en-GB"/>
        </w:rPr>
        <w:t>Agrokor</w:t>
      </w:r>
      <w:proofErr w:type="spellEnd"/>
    </w:p>
    <w:p w14:paraId="72F76893" w14:textId="77777777" w:rsidR="00FF436D" w:rsidRDefault="00FF436D" w:rsidP="001B3F41">
      <w:pPr>
        <w:jc w:val="both"/>
        <w:rPr>
          <w:rFonts w:ascii="Arial" w:hAnsi="Arial" w:cs="Arial"/>
          <w:i/>
          <w:iCs/>
          <w:color w:val="808080" w:themeColor="background1" w:themeShade="80"/>
          <w:sz w:val="22"/>
          <w:szCs w:val="22"/>
          <w:lang w:val="en-GB"/>
        </w:rPr>
      </w:pPr>
    </w:p>
    <w:p w14:paraId="61AA2E22" w14:textId="77777777" w:rsidR="00623ABA" w:rsidRDefault="00623ABA" w:rsidP="00FF436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case of </w:t>
      </w:r>
      <w:proofErr w:type="spellStart"/>
      <w:r w:rsidRPr="00623ABA">
        <w:rPr>
          <w:rFonts w:ascii="Arial" w:hAnsi="Arial" w:cs="Arial"/>
          <w:i/>
          <w:iCs/>
          <w:color w:val="808080" w:themeColor="background1" w:themeShade="80"/>
          <w:sz w:val="22"/>
          <w:szCs w:val="22"/>
          <w:lang w:val="en-GB"/>
        </w:rPr>
        <w:t>Agrokor</w:t>
      </w:r>
      <w:proofErr w:type="spellEnd"/>
      <w:r w:rsidRPr="00623ABA">
        <w:rPr>
          <w:rFonts w:ascii="Arial" w:hAnsi="Arial" w:cs="Arial"/>
          <w:i/>
          <w:iCs/>
          <w:color w:val="808080" w:themeColor="background1" w:themeShade="80"/>
          <w:sz w:val="22"/>
          <w:szCs w:val="22"/>
          <w:lang w:val="en-GB"/>
        </w:rPr>
        <w:t xml:space="preserve"> DD </w:t>
      </w:r>
      <w:r w:rsidRPr="00623ABA">
        <w:rPr>
          <w:rFonts w:ascii="Arial" w:hAnsi="Arial" w:cs="Arial"/>
          <w:color w:val="808080" w:themeColor="background1" w:themeShade="80"/>
          <w:sz w:val="22"/>
          <w:szCs w:val="22"/>
          <w:lang w:val="en-GB"/>
        </w:rPr>
        <w:t>[2017] EWHC 2791 (Ch) (“</w:t>
      </w:r>
      <w:proofErr w:type="spellStart"/>
      <w:r w:rsidRPr="00623ABA">
        <w:rPr>
          <w:rFonts w:ascii="Arial" w:hAnsi="Arial" w:cs="Arial"/>
          <w:i/>
          <w:iCs/>
          <w:color w:val="808080" w:themeColor="background1" w:themeShade="80"/>
          <w:sz w:val="22"/>
          <w:szCs w:val="22"/>
          <w:lang w:val="en-GB"/>
        </w:rPr>
        <w:t>Agrokor</w:t>
      </w:r>
      <w:proofErr w:type="spellEnd"/>
      <w:r w:rsidRPr="00623ABA">
        <w:rPr>
          <w:rFonts w:ascii="Arial" w:hAnsi="Arial" w:cs="Arial"/>
          <w:i/>
          <w:iCs/>
          <w:color w:val="808080" w:themeColor="background1" w:themeShade="80"/>
          <w:sz w:val="22"/>
          <w:szCs w:val="22"/>
          <w:lang w:val="en-GB"/>
        </w:rPr>
        <w:t>”</w:t>
      </w:r>
      <w:r w:rsidRPr="00623ABA">
        <w:rPr>
          <w:rFonts w:ascii="Arial" w:hAnsi="Arial" w:cs="Arial"/>
          <w:color w:val="808080" w:themeColor="background1" w:themeShade="80"/>
          <w:sz w:val="22"/>
          <w:szCs w:val="22"/>
          <w:lang w:val="en-GB"/>
        </w:rPr>
        <w:t>)</w:t>
      </w:r>
      <w:r w:rsidR="00FF436D" w:rsidRPr="00FF436D">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involved a consideration of what qualifies as a foreign proceeding.  </w:t>
      </w:r>
    </w:p>
    <w:p w14:paraId="0716D28D" w14:textId="571C06F6" w:rsidR="00FF436D" w:rsidRPr="00FF436D" w:rsidRDefault="00623ABA" w:rsidP="00FF436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By way of background, </w:t>
      </w:r>
      <w:proofErr w:type="spellStart"/>
      <w:r>
        <w:rPr>
          <w:rFonts w:ascii="Arial" w:hAnsi="Arial" w:cs="Arial"/>
          <w:color w:val="808080" w:themeColor="background1" w:themeShade="80"/>
          <w:sz w:val="22"/>
          <w:szCs w:val="22"/>
          <w:lang w:val="en-GB"/>
        </w:rPr>
        <w:t>Agrokor</w:t>
      </w:r>
      <w:proofErr w:type="spellEnd"/>
      <w:r>
        <w:rPr>
          <w:rFonts w:ascii="Arial" w:hAnsi="Arial" w:cs="Arial"/>
          <w:color w:val="808080" w:themeColor="background1" w:themeShade="80"/>
          <w:sz w:val="22"/>
          <w:szCs w:val="22"/>
          <w:lang w:val="en-GB"/>
        </w:rPr>
        <w:t xml:space="preserve"> </w:t>
      </w:r>
      <w:r w:rsidR="00FF436D" w:rsidRPr="00FF436D">
        <w:rPr>
          <w:rFonts w:ascii="Arial" w:hAnsi="Arial" w:cs="Arial"/>
          <w:color w:val="808080" w:themeColor="background1" w:themeShade="80"/>
          <w:sz w:val="22"/>
          <w:szCs w:val="22"/>
          <w:lang w:val="en-GB"/>
        </w:rPr>
        <w:t xml:space="preserve">is the holding company of a group of companies </w:t>
      </w:r>
      <w:r>
        <w:rPr>
          <w:rFonts w:ascii="Arial" w:hAnsi="Arial" w:cs="Arial"/>
          <w:color w:val="808080" w:themeColor="background1" w:themeShade="80"/>
          <w:sz w:val="22"/>
          <w:szCs w:val="22"/>
          <w:lang w:val="en-GB"/>
        </w:rPr>
        <w:t xml:space="preserve">and a key economic producer in Croatia.  </w:t>
      </w:r>
      <w:proofErr w:type="spellStart"/>
      <w:r>
        <w:rPr>
          <w:rFonts w:ascii="Arial" w:hAnsi="Arial" w:cs="Arial"/>
          <w:color w:val="808080" w:themeColor="background1" w:themeShade="80"/>
          <w:sz w:val="22"/>
          <w:szCs w:val="22"/>
          <w:lang w:val="en-GB"/>
        </w:rPr>
        <w:t>Agrokor</w:t>
      </w:r>
      <w:proofErr w:type="spellEnd"/>
      <w:r>
        <w:rPr>
          <w:rFonts w:ascii="Arial" w:hAnsi="Arial" w:cs="Arial"/>
          <w:color w:val="808080" w:themeColor="background1" w:themeShade="80"/>
          <w:sz w:val="22"/>
          <w:szCs w:val="22"/>
          <w:lang w:val="en-GB"/>
        </w:rPr>
        <w:t xml:space="preserve"> befell into financial difficulties necessitating the (hastily drafted) enactment of </w:t>
      </w:r>
      <w:r w:rsidR="00FF436D" w:rsidRPr="00FF436D">
        <w:rPr>
          <w:rFonts w:ascii="Arial" w:hAnsi="Arial" w:cs="Arial"/>
          <w:color w:val="808080" w:themeColor="background1" w:themeShade="80"/>
          <w:sz w:val="22"/>
          <w:szCs w:val="22"/>
          <w:lang w:val="en-GB"/>
        </w:rPr>
        <w:t xml:space="preserve">the “Law on Extraordinary Administration Proceeding in Companies of Systemic Importance in Croatia” which </w:t>
      </w:r>
      <w:r>
        <w:rPr>
          <w:rFonts w:ascii="Arial" w:hAnsi="Arial" w:cs="Arial"/>
          <w:color w:val="808080" w:themeColor="background1" w:themeShade="80"/>
          <w:sz w:val="22"/>
          <w:szCs w:val="22"/>
          <w:lang w:val="en-GB"/>
        </w:rPr>
        <w:t xml:space="preserve">later </w:t>
      </w:r>
      <w:r w:rsidR="00FF436D" w:rsidRPr="00FF436D">
        <w:rPr>
          <w:rFonts w:ascii="Arial" w:hAnsi="Arial" w:cs="Arial"/>
          <w:color w:val="808080" w:themeColor="background1" w:themeShade="80"/>
          <w:sz w:val="22"/>
          <w:szCs w:val="22"/>
          <w:lang w:val="en-GB"/>
        </w:rPr>
        <w:t xml:space="preserve">came to be known as the </w:t>
      </w:r>
      <w:r w:rsidR="00FF436D" w:rsidRPr="00FF436D">
        <w:rPr>
          <w:rFonts w:ascii="Arial" w:hAnsi="Arial" w:cs="Arial"/>
          <w:i/>
          <w:iCs/>
          <w:color w:val="808080" w:themeColor="background1" w:themeShade="80"/>
          <w:sz w:val="22"/>
          <w:szCs w:val="22"/>
          <w:lang w:val="en-GB"/>
        </w:rPr>
        <w:t xml:space="preserve">Lex </w:t>
      </w:r>
      <w:proofErr w:type="spellStart"/>
      <w:r w:rsidR="00FF436D" w:rsidRPr="00FF436D">
        <w:rPr>
          <w:rFonts w:ascii="Arial" w:hAnsi="Arial" w:cs="Arial"/>
          <w:i/>
          <w:iCs/>
          <w:color w:val="808080" w:themeColor="background1" w:themeShade="80"/>
          <w:sz w:val="22"/>
          <w:szCs w:val="22"/>
          <w:lang w:val="en-GB"/>
        </w:rPr>
        <w:t>Agrokor</w:t>
      </w:r>
      <w:proofErr w:type="spellEnd"/>
      <w:r w:rsidR="00FF436D" w:rsidRPr="00FF436D">
        <w:rPr>
          <w:rFonts w:ascii="Arial" w:hAnsi="Arial" w:cs="Arial"/>
          <w:color w:val="808080" w:themeColor="background1" w:themeShade="80"/>
          <w:sz w:val="22"/>
          <w:szCs w:val="22"/>
          <w:lang w:val="en-GB"/>
        </w:rPr>
        <w:t xml:space="preserve">.  </w:t>
      </w:r>
    </w:p>
    <w:p w14:paraId="1198242C" w14:textId="77777777" w:rsidR="00FF436D" w:rsidRPr="00FF436D" w:rsidRDefault="00FF436D" w:rsidP="00FF436D">
      <w:pPr>
        <w:jc w:val="both"/>
        <w:rPr>
          <w:rFonts w:ascii="Arial" w:hAnsi="Arial" w:cs="Arial"/>
          <w:color w:val="808080" w:themeColor="background1" w:themeShade="80"/>
          <w:sz w:val="22"/>
          <w:szCs w:val="22"/>
          <w:lang w:val="en-GB"/>
        </w:rPr>
      </w:pPr>
    </w:p>
    <w:p w14:paraId="14B06143" w14:textId="3142E5F5" w:rsidR="00FF436D" w:rsidRPr="00FF436D" w:rsidRDefault="00623ABA" w:rsidP="00FF436D">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lang w:val="en-GB"/>
        </w:rPr>
        <w:t>As indicated above, t</w:t>
      </w:r>
      <w:r w:rsidR="00FF436D" w:rsidRPr="00FF436D">
        <w:rPr>
          <w:rFonts w:ascii="Arial" w:hAnsi="Arial" w:cs="Arial"/>
          <w:color w:val="808080" w:themeColor="background1" w:themeShade="80"/>
          <w:sz w:val="22"/>
          <w:szCs w:val="22"/>
          <w:lang w:val="en-GB"/>
        </w:rPr>
        <w:t xml:space="preserve">he </w:t>
      </w:r>
      <w:r w:rsidR="00FF436D" w:rsidRPr="00FF436D">
        <w:rPr>
          <w:rFonts w:ascii="Arial" w:hAnsi="Arial" w:cs="Arial"/>
          <w:i/>
          <w:iCs/>
          <w:color w:val="808080" w:themeColor="background1" w:themeShade="80"/>
          <w:sz w:val="22"/>
          <w:szCs w:val="22"/>
          <w:lang w:val="en-GB"/>
        </w:rPr>
        <w:t xml:space="preserve">Lex </w:t>
      </w:r>
      <w:proofErr w:type="spellStart"/>
      <w:r w:rsidR="00FF436D" w:rsidRPr="00FF436D">
        <w:rPr>
          <w:rFonts w:ascii="Arial" w:hAnsi="Arial" w:cs="Arial"/>
          <w:i/>
          <w:iCs/>
          <w:color w:val="808080" w:themeColor="background1" w:themeShade="80"/>
          <w:sz w:val="22"/>
          <w:szCs w:val="22"/>
          <w:lang w:val="en-GB"/>
        </w:rPr>
        <w:t>Agrokor</w:t>
      </w:r>
      <w:proofErr w:type="spellEnd"/>
      <w:r w:rsidR="00FF436D" w:rsidRPr="00FF436D">
        <w:rPr>
          <w:rFonts w:ascii="Arial" w:hAnsi="Arial" w:cs="Arial"/>
          <w:color w:val="808080" w:themeColor="background1" w:themeShade="80"/>
          <w:sz w:val="22"/>
          <w:szCs w:val="22"/>
          <w:lang w:val="en-GB"/>
        </w:rPr>
        <w:t xml:space="preserve"> was enacted </w:t>
      </w:r>
      <w:r w:rsidR="00FF436D">
        <w:rPr>
          <w:rFonts w:ascii="Arial" w:hAnsi="Arial" w:cs="Arial"/>
          <w:color w:val="808080" w:themeColor="background1" w:themeShade="80"/>
          <w:sz w:val="22"/>
          <w:szCs w:val="22"/>
          <w:lang w:val="en-GB"/>
        </w:rPr>
        <w:t xml:space="preserve">in reaction to the severe financial difficulties </w:t>
      </w:r>
      <w:r w:rsidR="001614F6">
        <w:rPr>
          <w:rFonts w:ascii="Arial" w:hAnsi="Arial" w:cs="Arial"/>
          <w:color w:val="808080" w:themeColor="background1" w:themeShade="80"/>
          <w:sz w:val="22"/>
          <w:szCs w:val="22"/>
          <w:lang w:val="en-GB"/>
        </w:rPr>
        <w:t xml:space="preserve">faced by the </w:t>
      </w:r>
      <w:proofErr w:type="spellStart"/>
      <w:r w:rsidR="001614F6">
        <w:rPr>
          <w:rFonts w:ascii="Arial" w:hAnsi="Arial" w:cs="Arial"/>
          <w:color w:val="808080" w:themeColor="background1" w:themeShade="80"/>
          <w:sz w:val="22"/>
          <w:szCs w:val="22"/>
          <w:lang w:val="en-GB"/>
        </w:rPr>
        <w:t>Agrokor</w:t>
      </w:r>
      <w:proofErr w:type="spellEnd"/>
      <w:r w:rsidR="001614F6">
        <w:rPr>
          <w:rFonts w:ascii="Arial" w:hAnsi="Arial" w:cs="Arial"/>
          <w:color w:val="808080" w:themeColor="background1" w:themeShade="80"/>
          <w:sz w:val="22"/>
          <w:szCs w:val="22"/>
          <w:lang w:val="en-GB"/>
        </w:rPr>
        <w:t xml:space="preserve"> group and it</w:t>
      </w:r>
      <w:r>
        <w:rPr>
          <w:rFonts w:ascii="Arial" w:hAnsi="Arial" w:cs="Arial"/>
          <w:color w:val="808080" w:themeColor="background1" w:themeShade="80"/>
          <w:sz w:val="22"/>
          <w:szCs w:val="22"/>
          <w:lang w:val="en-GB"/>
        </w:rPr>
        <w:t xml:space="preserve">s enactment </w:t>
      </w:r>
      <w:r w:rsidR="001614F6">
        <w:rPr>
          <w:rFonts w:ascii="Arial" w:hAnsi="Arial" w:cs="Arial"/>
          <w:color w:val="808080" w:themeColor="background1" w:themeShade="80"/>
          <w:sz w:val="22"/>
          <w:szCs w:val="22"/>
          <w:lang w:val="en-GB"/>
        </w:rPr>
        <w:t xml:space="preserve">therefore sought </w:t>
      </w:r>
      <w:r w:rsidR="00FF436D" w:rsidRPr="00FF436D">
        <w:rPr>
          <w:rFonts w:ascii="Arial" w:hAnsi="Arial" w:cs="Arial"/>
          <w:color w:val="808080" w:themeColor="background1" w:themeShade="80"/>
          <w:sz w:val="22"/>
          <w:szCs w:val="22"/>
        </w:rPr>
        <w:t xml:space="preserve">to safeguard Croatia’s economic, </w:t>
      </w:r>
      <w:proofErr w:type="gramStart"/>
      <w:r w:rsidR="00FF436D" w:rsidRPr="00FF436D">
        <w:rPr>
          <w:rFonts w:ascii="Arial" w:hAnsi="Arial" w:cs="Arial"/>
          <w:color w:val="808080" w:themeColor="background1" w:themeShade="80"/>
          <w:sz w:val="22"/>
          <w:szCs w:val="22"/>
        </w:rPr>
        <w:t>social</w:t>
      </w:r>
      <w:proofErr w:type="gramEnd"/>
      <w:r w:rsidR="00FF436D" w:rsidRPr="00FF436D">
        <w:rPr>
          <w:rFonts w:ascii="Arial" w:hAnsi="Arial" w:cs="Arial"/>
          <w:color w:val="808080" w:themeColor="background1" w:themeShade="80"/>
          <w:sz w:val="22"/>
          <w:szCs w:val="22"/>
        </w:rPr>
        <w:t xml:space="preserve"> and financial stability through a single procedure</w:t>
      </w:r>
      <w:r w:rsidR="001614F6">
        <w:rPr>
          <w:rFonts w:ascii="Arial" w:hAnsi="Arial" w:cs="Arial"/>
          <w:color w:val="808080" w:themeColor="background1" w:themeShade="80"/>
          <w:sz w:val="22"/>
          <w:szCs w:val="22"/>
        </w:rPr>
        <w:t>.</w:t>
      </w:r>
    </w:p>
    <w:p w14:paraId="4D90006F" w14:textId="77777777" w:rsidR="00FF436D" w:rsidRPr="00FF436D" w:rsidRDefault="00FF436D" w:rsidP="00FF436D">
      <w:pPr>
        <w:jc w:val="both"/>
        <w:rPr>
          <w:rFonts w:ascii="Arial" w:hAnsi="Arial" w:cs="Arial"/>
          <w:color w:val="808080" w:themeColor="background1" w:themeShade="80"/>
          <w:sz w:val="22"/>
          <w:szCs w:val="22"/>
        </w:rPr>
      </w:pPr>
    </w:p>
    <w:p w14:paraId="538EE8E4" w14:textId="46698193" w:rsidR="00FF436D" w:rsidRPr="00FF436D" w:rsidRDefault="00FF436D" w:rsidP="00FF436D">
      <w:pPr>
        <w:jc w:val="both"/>
        <w:rPr>
          <w:rFonts w:ascii="Arial" w:hAnsi="Arial" w:cs="Arial"/>
          <w:color w:val="808080" w:themeColor="background1" w:themeShade="80"/>
          <w:sz w:val="22"/>
          <w:szCs w:val="22"/>
        </w:rPr>
      </w:pPr>
      <w:proofErr w:type="spellStart"/>
      <w:r w:rsidRPr="00FF436D">
        <w:rPr>
          <w:rFonts w:ascii="Arial" w:hAnsi="Arial" w:cs="Arial"/>
          <w:color w:val="808080" w:themeColor="background1" w:themeShade="80"/>
          <w:sz w:val="22"/>
          <w:szCs w:val="22"/>
        </w:rPr>
        <w:t>Agrokor</w:t>
      </w:r>
      <w:proofErr w:type="spellEnd"/>
      <w:r w:rsidR="00623ABA">
        <w:rPr>
          <w:rFonts w:ascii="Arial" w:hAnsi="Arial" w:cs="Arial"/>
          <w:color w:val="808080" w:themeColor="background1" w:themeShade="80"/>
          <w:sz w:val="22"/>
          <w:szCs w:val="22"/>
        </w:rPr>
        <w:t xml:space="preserve"> through its foreign representative,</w:t>
      </w:r>
      <w:r w:rsidRPr="00FF436D">
        <w:rPr>
          <w:rFonts w:ascii="Arial" w:hAnsi="Arial" w:cs="Arial"/>
          <w:color w:val="808080" w:themeColor="background1" w:themeShade="80"/>
          <w:sz w:val="22"/>
          <w:szCs w:val="22"/>
        </w:rPr>
        <w:t xml:space="preserve"> sought </w:t>
      </w:r>
      <w:r w:rsidR="001614F6">
        <w:rPr>
          <w:rFonts w:ascii="Arial" w:hAnsi="Arial" w:cs="Arial"/>
          <w:color w:val="808080" w:themeColor="background1" w:themeShade="80"/>
          <w:sz w:val="22"/>
          <w:szCs w:val="22"/>
        </w:rPr>
        <w:t xml:space="preserve">and was successful in </w:t>
      </w:r>
      <w:r w:rsidRPr="00FF436D">
        <w:rPr>
          <w:rFonts w:ascii="Arial" w:hAnsi="Arial" w:cs="Arial"/>
          <w:color w:val="808080" w:themeColor="background1" w:themeShade="80"/>
          <w:sz w:val="22"/>
          <w:szCs w:val="22"/>
        </w:rPr>
        <w:t xml:space="preserve">an application for recognition </w:t>
      </w:r>
      <w:r w:rsidR="001614F6">
        <w:rPr>
          <w:rFonts w:ascii="Arial" w:hAnsi="Arial" w:cs="Arial"/>
          <w:color w:val="808080" w:themeColor="background1" w:themeShade="80"/>
          <w:sz w:val="22"/>
          <w:szCs w:val="22"/>
        </w:rPr>
        <w:t xml:space="preserve">in England </w:t>
      </w:r>
      <w:r w:rsidRPr="00FF436D">
        <w:rPr>
          <w:rFonts w:ascii="Arial" w:hAnsi="Arial" w:cs="Arial"/>
          <w:color w:val="808080" w:themeColor="background1" w:themeShade="80"/>
          <w:sz w:val="22"/>
          <w:szCs w:val="22"/>
        </w:rPr>
        <w:t>under the Cross-Border Insolvency Regulations (“CBIR”).</w:t>
      </w:r>
      <w:r w:rsidR="001614F6">
        <w:rPr>
          <w:rFonts w:ascii="Arial" w:hAnsi="Arial" w:cs="Arial"/>
          <w:color w:val="808080" w:themeColor="background1" w:themeShade="80"/>
          <w:sz w:val="22"/>
          <w:szCs w:val="22"/>
        </w:rPr>
        <w:t xml:space="preserve">  </w:t>
      </w:r>
      <w:r w:rsidRPr="00FF436D">
        <w:rPr>
          <w:rFonts w:ascii="Arial" w:hAnsi="Arial" w:cs="Arial"/>
          <w:color w:val="808080" w:themeColor="background1" w:themeShade="80"/>
          <w:sz w:val="22"/>
          <w:szCs w:val="22"/>
        </w:rPr>
        <w:t>The</w:t>
      </w:r>
      <w:r w:rsidR="00623ABA">
        <w:rPr>
          <w:rFonts w:ascii="Arial" w:hAnsi="Arial" w:cs="Arial"/>
          <w:color w:val="808080" w:themeColor="background1" w:themeShade="80"/>
          <w:sz w:val="22"/>
          <w:szCs w:val="22"/>
        </w:rPr>
        <w:t>se</w:t>
      </w:r>
      <w:r w:rsidRPr="00FF436D">
        <w:rPr>
          <w:rFonts w:ascii="Arial" w:hAnsi="Arial" w:cs="Arial"/>
          <w:color w:val="808080" w:themeColor="background1" w:themeShade="80"/>
          <w:sz w:val="22"/>
          <w:szCs w:val="22"/>
        </w:rPr>
        <w:t xml:space="preserve"> </w:t>
      </w:r>
      <w:r w:rsidR="00623ABA">
        <w:rPr>
          <w:rFonts w:ascii="Arial" w:hAnsi="Arial" w:cs="Arial"/>
          <w:color w:val="808080" w:themeColor="background1" w:themeShade="80"/>
          <w:sz w:val="22"/>
          <w:szCs w:val="22"/>
        </w:rPr>
        <w:t>p</w:t>
      </w:r>
      <w:r w:rsidRPr="00FF436D">
        <w:rPr>
          <w:rFonts w:ascii="Arial" w:hAnsi="Arial" w:cs="Arial"/>
          <w:color w:val="808080" w:themeColor="background1" w:themeShade="80"/>
          <w:sz w:val="22"/>
          <w:szCs w:val="22"/>
        </w:rPr>
        <w:t>roceedings were listed as an insolvency proceeding under Annex A of the EU Insolvency Regulation (2015/848/EU).</w:t>
      </w:r>
      <w:r w:rsidRPr="00FF436D">
        <w:rPr>
          <w:rFonts w:ascii="Arial" w:hAnsi="Arial" w:cs="Arial"/>
          <w:color w:val="808080" w:themeColor="background1" w:themeShade="80"/>
          <w:sz w:val="22"/>
          <w:szCs w:val="22"/>
          <w:vertAlign w:val="superscript"/>
        </w:rPr>
        <w:footnoteReference w:id="12"/>
      </w:r>
      <w:r w:rsidRPr="00FF436D">
        <w:rPr>
          <w:rFonts w:ascii="Arial" w:hAnsi="Arial" w:cs="Arial"/>
          <w:color w:val="808080" w:themeColor="background1" w:themeShade="80"/>
          <w:sz w:val="22"/>
          <w:szCs w:val="22"/>
        </w:rPr>
        <w:t xml:space="preserve"> </w:t>
      </w:r>
      <w:r w:rsidR="00623ABA">
        <w:rPr>
          <w:rFonts w:ascii="Arial" w:hAnsi="Arial" w:cs="Arial"/>
          <w:color w:val="808080" w:themeColor="background1" w:themeShade="80"/>
          <w:sz w:val="22"/>
          <w:szCs w:val="22"/>
        </w:rPr>
        <w:t>(Note:  the matter is subject to appeal but nears no further reference for purposes of this question).</w:t>
      </w:r>
    </w:p>
    <w:p w14:paraId="24328FE0" w14:textId="77777777" w:rsidR="001614F6" w:rsidRDefault="001614F6" w:rsidP="001B3F41">
      <w:pPr>
        <w:jc w:val="both"/>
        <w:rPr>
          <w:rFonts w:ascii="Arial" w:hAnsi="Arial" w:cs="Arial"/>
          <w:color w:val="808080" w:themeColor="background1" w:themeShade="80"/>
          <w:sz w:val="22"/>
          <w:szCs w:val="22"/>
          <w:lang w:val="en-GB"/>
        </w:rPr>
      </w:pPr>
    </w:p>
    <w:p w14:paraId="6AD73D13" w14:textId="11F518C8" w:rsidR="001B3F41" w:rsidRDefault="001614F6" w:rsidP="001B3F4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001B3F41" w:rsidRPr="001B3F41">
        <w:rPr>
          <w:rFonts w:ascii="Arial" w:hAnsi="Arial" w:cs="Arial"/>
          <w:color w:val="808080" w:themeColor="background1" w:themeShade="80"/>
          <w:sz w:val="22"/>
          <w:szCs w:val="22"/>
          <w:lang w:val="en-GB"/>
        </w:rPr>
        <w:t>he issues presented to court</w:t>
      </w:r>
      <w:r w:rsidR="001B3F41">
        <w:rPr>
          <w:rFonts w:ascii="Arial" w:hAnsi="Arial" w:cs="Arial"/>
          <w:color w:val="808080" w:themeColor="background1" w:themeShade="80"/>
          <w:sz w:val="22"/>
          <w:szCs w:val="22"/>
          <w:lang w:val="en-GB"/>
        </w:rPr>
        <w:t xml:space="preserve"> </w:t>
      </w:r>
      <w:r w:rsidR="00FF436D">
        <w:rPr>
          <w:rFonts w:ascii="Arial" w:hAnsi="Arial" w:cs="Arial"/>
          <w:color w:val="808080" w:themeColor="background1" w:themeShade="80"/>
          <w:sz w:val="22"/>
          <w:szCs w:val="22"/>
          <w:lang w:val="en-GB"/>
        </w:rPr>
        <w:t xml:space="preserve">regarding whether the matter indeed qualified as a foreign proceeding, </w:t>
      </w:r>
      <w:r w:rsidR="001B3F41">
        <w:rPr>
          <w:rFonts w:ascii="Arial" w:hAnsi="Arial" w:cs="Arial"/>
          <w:color w:val="808080" w:themeColor="background1" w:themeShade="80"/>
          <w:sz w:val="22"/>
          <w:szCs w:val="22"/>
          <w:lang w:val="en-GB"/>
        </w:rPr>
        <w:t>turned on four elements above:</w:t>
      </w:r>
    </w:p>
    <w:p w14:paraId="145362B3" w14:textId="77777777" w:rsidR="001B3F41" w:rsidRDefault="001B3F41" w:rsidP="001B3F41">
      <w:pPr>
        <w:jc w:val="both"/>
        <w:rPr>
          <w:rFonts w:ascii="Arial" w:hAnsi="Arial" w:cs="Arial"/>
          <w:color w:val="808080" w:themeColor="background1" w:themeShade="80"/>
          <w:sz w:val="22"/>
          <w:szCs w:val="22"/>
          <w:lang w:val="en-GB"/>
        </w:rPr>
      </w:pPr>
    </w:p>
    <w:p w14:paraId="4BC79705" w14:textId="6AD084E7" w:rsidR="001B3F41" w:rsidRPr="00FF436D" w:rsidRDefault="001B3F41" w:rsidP="00FF436D">
      <w:pPr>
        <w:pStyle w:val="ListParagraph"/>
        <w:numPr>
          <w:ilvl w:val="0"/>
          <w:numId w:val="44"/>
        </w:numPr>
        <w:jc w:val="both"/>
        <w:rPr>
          <w:rFonts w:ascii="Arial" w:hAnsi="Arial" w:cs="Arial"/>
          <w:color w:val="808080" w:themeColor="background1" w:themeShade="80"/>
          <w:sz w:val="22"/>
          <w:szCs w:val="22"/>
          <w:lang w:val="en-GB"/>
        </w:rPr>
      </w:pPr>
      <w:r w:rsidRPr="00FF436D">
        <w:rPr>
          <w:rFonts w:ascii="Arial" w:hAnsi="Arial" w:cs="Arial"/>
          <w:color w:val="808080" w:themeColor="background1" w:themeShade="80"/>
          <w:sz w:val="22"/>
          <w:szCs w:val="22"/>
          <w:lang w:val="en-GB"/>
        </w:rPr>
        <w:t xml:space="preserve">Whether the </w:t>
      </w:r>
      <w:proofErr w:type="spellStart"/>
      <w:r w:rsidRPr="00FF436D">
        <w:rPr>
          <w:rFonts w:ascii="Arial" w:hAnsi="Arial" w:cs="Arial"/>
          <w:color w:val="808080" w:themeColor="background1" w:themeShade="80"/>
          <w:sz w:val="22"/>
          <w:szCs w:val="22"/>
          <w:lang w:val="en-GB"/>
        </w:rPr>
        <w:t>Croation</w:t>
      </w:r>
      <w:proofErr w:type="spellEnd"/>
      <w:r w:rsidRPr="00FF436D">
        <w:rPr>
          <w:rFonts w:ascii="Arial" w:hAnsi="Arial" w:cs="Arial"/>
          <w:color w:val="808080" w:themeColor="background1" w:themeShade="80"/>
          <w:sz w:val="22"/>
          <w:szCs w:val="22"/>
          <w:lang w:val="en-GB"/>
        </w:rPr>
        <w:t xml:space="preserve"> Law of </w:t>
      </w:r>
      <w:r w:rsidRPr="00FF436D">
        <w:rPr>
          <w:rFonts w:ascii="Arial" w:hAnsi="Arial" w:cs="Arial"/>
          <w:i/>
          <w:iCs/>
          <w:color w:val="808080" w:themeColor="background1" w:themeShade="80"/>
          <w:sz w:val="22"/>
          <w:szCs w:val="22"/>
          <w:lang w:val="en-GB"/>
        </w:rPr>
        <w:t xml:space="preserve">Lex </w:t>
      </w:r>
      <w:proofErr w:type="spellStart"/>
      <w:r w:rsidRPr="00FF436D">
        <w:rPr>
          <w:rFonts w:ascii="Arial" w:hAnsi="Arial" w:cs="Arial"/>
          <w:i/>
          <w:iCs/>
          <w:color w:val="808080" w:themeColor="background1" w:themeShade="80"/>
          <w:sz w:val="22"/>
          <w:szCs w:val="22"/>
          <w:lang w:val="en-GB"/>
        </w:rPr>
        <w:t>Agrokor</w:t>
      </w:r>
      <w:proofErr w:type="spellEnd"/>
      <w:r w:rsidRPr="00FF436D">
        <w:rPr>
          <w:rFonts w:ascii="Arial" w:hAnsi="Arial" w:cs="Arial"/>
          <w:color w:val="808080" w:themeColor="background1" w:themeShade="80"/>
          <w:sz w:val="22"/>
          <w:szCs w:val="22"/>
          <w:lang w:val="en-GB"/>
        </w:rPr>
        <w:t xml:space="preserve"> was a law relating to insolvency? (</w:t>
      </w:r>
      <w:proofErr w:type="gramStart"/>
      <w:r w:rsidRPr="00FF436D">
        <w:rPr>
          <w:rFonts w:ascii="Arial" w:hAnsi="Arial" w:cs="Arial"/>
          <w:color w:val="808080" w:themeColor="background1" w:themeShade="80"/>
          <w:sz w:val="22"/>
          <w:szCs w:val="22"/>
          <w:lang w:val="en-GB"/>
        </w:rPr>
        <w:t>point</w:t>
      </w:r>
      <w:proofErr w:type="gramEnd"/>
      <w:r w:rsidRPr="00FF436D">
        <w:rPr>
          <w:rFonts w:ascii="Arial" w:hAnsi="Arial" w:cs="Arial"/>
          <w:color w:val="808080" w:themeColor="background1" w:themeShade="80"/>
          <w:sz w:val="22"/>
          <w:szCs w:val="22"/>
          <w:lang w:val="en-GB"/>
        </w:rPr>
        <w:t xml:space="preserve"> 5 above)</w:t>
      </w:r>
      <w:r w:rsidR="00FF436D">
        <w:rPr>
          <w:rFonts w:ascii="Arial" w:hAnsi="Arial" w:cs="Arial"/>
          <w:color w:val="808080" w:themeColor="background1" w:themeShade="80"/>
          <w:sz w:val="22"/>
          <w:szCs w:val="22"/>
          <w:lang w:val="en-GB"/>
        </w:rPr>
        <w:t>.</w:t>
      </w:r>
    </w:p>
    <w:p w14:paraId="292AEBAE" w14:textId="77777777" w:rsidR="00FF436D" w:rsidRPr="00FF436D" w:rsidRDefault="001B3F41" w:rsidP="00FF436D">
      <w:pPr>
        <w:pStyle w:val="ListParagraph"/>
        <w:numPr>
          <w:ilvl w:val="0"/>
          <w:numId w:val="44"/>
        </w:numPr>
        <w:jc w:val="both"/>
        <w:rPr>
          <w:rFonts w:ascii="Arial" w:hAnsi="Arial" w:cs="Arial"/>
          <w:color w:val="808080" w:themeColor="background1" w:themeShade="80"/>
          <w:sz w:val="22"/>
          <w:szCs w:val="22"/>
          <w:lang w:val="en-GB"/>
        </w:rPr>
      </w:pPr>
      <w:r w:rsidRPr="00FF436D">
        <w:rPr>
          <w:rFonts w:ascii="Arial" w:hAnsi="Arial" w:cs="Arial"/>
          <w:color w:val="808080" w:themeColor="background1" w:themeShade="80"/>
          <w:sz w:val="22"/>
          <w:szCs w:val="22"/>
          <w:lang w:val="en-GB"/>
        </w:rPr>
        <w:t xml:space="preserve">Whether the </w:t>
      </w:r>
      <w:r w:rsidRPr="00FF436D">
        <w:rPr>
          <w:rFonts w:ascii="Arial" w:hAnsi="Arial" w:cs="Arial"/>
          <w:i/>
          <w:iCs/>
          <w:color w:val="808080" w:themeColor="background1" w:themeShade="80"/>
          <w:sz w:val="22"/>
          <w:szCs w:val="22"/>
          <w:lang w:val="en-GB"/>
        </w:rPr>
        <w:t xml:space="preserve">Lex </w:t>
      </w:r>
      <w:proofErr w:type="spellStart"/>
      <w:r w:rsidRPr="00FF436D">
        <w:rPr>
          <w:rFonts w:ascii="Arial" w:hAnsi="Arial" w:cs="Arial"/>
          <w:i/>
          <w:iCs/>
          <w:color w:val="808080" w:themeColor="background1" w:themeShade="80"/>
          <w:sz w:val="22"/>
          <w:szCs w:val="22"/>
          <w:lang w:val="en-GB"/>
        </w:rPr>
        <w:t>Agrokor</w:t>
      </w:r>
      <w:proofErr w:type="spellEnd"/>
      <w:r w:rsidRPr="00FF436D">
        <w:rPr>
          <w:rFonts w:ascii="Arial" w:hAnsi="Arial" w:cs="Arial"/>
          <w:i/>
          <w:iCs/>
          <w:color w:val="808080" w:themeColor="background1" w:themeShade="80"/>
          <w:sz w:val="22"/>
          <w:szCs w:val="22"/>
          <w:lang w:val="en-GB"/>
        </w:rPr>
        <w:t xml:space="preserve"> </w:t>
      </w:r>
      <w:r w:rsidRPr="00FF436D">
        <w:rPr>
          <w:rFonts w:ascii="Arial" w:hAnsi="Arial" w:cs="Arial"/>
          <w:color w:val="808080" w:themeColor="background1" w:themeShade="80"/>
          <w:sz w:val="22"/>
          <w:szCs w:val="22"/>
          <w:lang w:val="en-GB"/>
        </w:rPr>
        <w:t xml:space="preserve">was passed for the purpose of reorganization or liquidation? </w:t>
      </w:r>
    </w:p>
    <w:p w14:paraId="492D4E8E" w14:textId="0ABBE357" w:rsidR="001B3F41" w:rsidRDefault="001B3F41" w:rsidP="001B3F4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proofErr w:type="gramStart"/>
      <w:r>
        <w:rPr>
          <w:rFonts w:ascii="Arial" w:hAnsi="Arial" w:cs="Arial"/>
          <w:color w:val="808080" w:themeColor="background1" w:themeShade="80"/>
          <w:sz w:val="22"/>
          <w:szCs w:val="22"/>
          <w:lang w:val="en-GB"/>
        </w:rPr>
        <w:t>point</w:t>
      </w:r>
      <w:proofErr w:type="gramEnd"/>
      <w:r>
        <w:rPr>
          <w:rFonts w:ascii="Arial" w:hAnsi="Arial" w:cs="Arial"/>
          <w:color w:val="808080" w:themeColor="background1" w:themeShade="80"/>
          <w:sz w:val="22"/>
          <w:szCs w:val="22"/>
          <w:lang w:val="en-GB"/>
        </w:rPr>
        <w:t xml:space="preserve"> </w:t>
      </w:r>
      <w:r w:rsidR="00FF436D">
        <w:rPr>
          <w:rFonts w:ascii="Arial" w:hAnsi="Arial" w:cs="Arial"/>
          <w:color w:val="808080" w:themeColor="background1" w:themeShade="80"/>
          <w:sz w:val="22"/>
          <w:szCs w:val="22"/>
          <w:lang w:val="en-GB"/>
        </w:rPr>
        <w:t xml:space="preserve">7 above).  </w:t>
      </w:r>
    </w:p>
    <w:p w14:paraId="650D46D0" w14:textId="7C5E3ACA" w:rsidR="00FF436D" w:rsidRDefault="00FF436D" w:rsidP="00FF436D">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Whether the proceedings are collective in nature?  (</w:t>
      </w:r>
      <w:proofErr w:type="gramStart"/>
      <w:r>
        <w:rPr>
          <w:rFonts w:ascii="Arial" w:hAnsi="Arial" w:cs="Arial"/>
          <w:color w:val="808080" w:themeColor="background1" w:themeShade="80"/>
          <w:sz w:val="22"/>
          <w:szCs w:val="22"/>
          <w:lang w:val="en-GB"/>
        </w:rPr>
        <w:t>point</w:t>
      </w:r>
      <w:proofErr w:type="gramEnd"/>
      <w:r>
        <w:rPr>
          <w:rFonts w:ascii="Arial" w:hAnsi="Arial" w:cs="Arial"/>
          <w:color w:val="808080" w:themeColor="background1" w:themeShade="80"/>
          <w:sz w:val="22"/>
          <w:szCs w:val="22"/>
          <w:lang w:val="en-GB"/>
        </w:rPr>
        <w:t xml:space="preserve"> 3 above)</w:t>
      </w:r>
    </w:p>
    <w:p w14:paraId="460253FD" w14:textId="324F53B4" w:rsidR="00FF436D" w:rsidRPr="00FF436D" w:rsidRDefault="00FF436D" w:rsidP="00FF436D">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Whether the proceeding relates to assets and affairs of the debtor which are subject to the control or supervision by a foreign court? (</w:t>
      </w:r>
      <w:proofErr w:type="gramStart"/>
      <w:r>
        <w:rPr>
          <w:rFonts w:ascii="Arial" w:hAnsi="Arial" w:cs="Arial"/>
          <w:color w:val="808080" w:themeColor="background1" w:themeShade="80"/>
          <w:sz w:val="22"/>
          <w:szCs w:val="22"/>
          <w:lang w:val="en-GB"/>
        </w:rPr>
        <w:t>point</w:t>
      </w:r>
      <w:proofErr w:type="gramEnd"/>
      <w:r>
        <w:rPr>
          <w:rFonts w:ascii="Arial" w:hAnsi="Arial" w:cs="Arial"/>
          <w:color w:val="808080" w:themeColor="background1" w:themeShade="80"/>
          <w:sz w:val="22"/>
          <w:szCs w:val="22"/>
          <w:lang w:val="en-GB"/>
        </w:rPr>
        <w:t xml:space="preserve"> 6 above)</w:t>
      </w:r>
    </w:p>
    <w:p w14:paraId="0DCFEF77" w14:textId="77777777" w:rsidR="00FF436D" w:rsidRPr="001B3F41" w:rsidRDefault="00FF436D" w:rsidP="001B3F41">
      <w:pPr>
        <w:jc w:val="both"/>
        <w:rPr>
          <w:rFonts w:ascii="Arial" w:hAnsi="Arial" w:cs="Arial"/>
          <w:color w:val="808080" w:themeColor="background1" w:themeShade="80"/>
          <w:sz w:val="22"/>
          <w:szCs w:val="22"/>
          <w:lang w:val="en-GB"/>
        </w:rPr>
      </w:pPr>
    </w:p>
    <w:p w14:paraId="655B9FC9" w14:textId="77777777" w:rsidR="001B3F41" w:rsidRPr="001B3F41" w:rsidRDefault="001B3F41" w:rsidP="001B3F41">
      <w:pPr>
        <w:jc w:val="both"/>
        <w:rPr>
          <w:rFonts w:ascii="Arial" w:hAnsi="Arial" w:cs="Arial"/>
          <w:color w:val="808080" w:themeColor="background1" w:themeShade="80"/>
          <w:sz w:val="22"/>
          <w:szCs w:val="22"/>
        </w:rPr>
      </w:pPr>
    </w:p>
    <w:p w14:paraId="25072D21" w14:textId="3B9CF7AD" w:rsidR="002A5711" w:rsidRDefault="002A5711" w:rsidP="001904A8">
      <w:pPr>
        <w:jc w:val="both"/>
        <w:rPr>
          <w:rFonts w:ascii="Arial" w:hAnsi="Arial" w:cs="Arial"/>
          <w:color w:val="808080" w:themeColor="background1" w:themeShade="80"/>
          <w:sz w:val="22"/>
          <w:szCs w:val="22"/>
          <w:u w:val="single"/>
        </w:rPr>
      </w:pPr>
      <w:r>
        <w:rPr>
          <w:rFonts w:ascii="Arial" w:hAnsi="Arial" w:cs="Arial"/>
          <w:color w:val="808080" w:themeColor="background1" w:themeShade="80"/>
          <w:sz w:val="22"/>
          <w:szCs w:val="22"/>
          <w:u w:val="single"/>
        </w:rPr>
        <w:lastRenderedPageBreak/>
        <w:t>Law relating to insolvency:</w:t>
      </w:r>
    </w:p>
    <w:p w14:paraId="0FD675B4" w14:textId="77777777" w:rsidR="002A5711" w:rsidRPr="002A5711" w:rsidRDefault="002A5711" w:rsidP="001904A8">
      <w:pPr>
        <w:jc w:val="both"/>
        <w:rPr>
          <w:rFonts w:ascii="Arial" w:hAnsi="Arial" w:cs="Arial"/>
          <w:color w:val="808080" w:themeColor="background1" w:themeShade="80"/>
          <w:sz w:val="22"/>
          <w:szCs w:val="22"/>
          <w:u w:val="single"/>
        </w:rPr>
      </w:pPr>
    </w:p>
    <w:p w14:paraId="1660BF10" w14:textId="37E0AE2B" w:rsidR="001904A8" w:rsidRDefault="007964AA" w:rsidP="001904A8">
      <w:pPr>
        <w:jc w:val="both"/>
        <w:rPr>
          <w:rFonts w:ascii="Arial" w:hAnsi="Arial" w:cs="Arial"/>
          <w:color w:val="808080" w:themeColor="background1" w:themeShade="80"/>
          <w:sz w:val="22"/>
          <w:szCs w:val="22"/>
        </w:rPr>
      </w:pPr>
      <w:r w:rsidRPr="007964AA">
        <w:rPr>
          <w:rFonts w:ascii="Arial" w:hAnsi="Arial" w:cs="Arial"/>
          <w:color w:val="808080" w:themeColor="background1" w:themeShade="80"/>
          <w:sz w:val="22"/>
          <w:szCs w:val="22"/>
        </w:rPr>
        <w:t xml:space="preserve">In its assessment of whether the </w:t>
      </w:r>
      <w:r w:rsidRPr="007964AA">
        <w:rPr>
          <w:rFonts w:ascii="Arial" w:hAnsi="Arial" w:cs="Arial"/>
          <w:i/>
          <w:iCs/>
          <w:color w:val="808080" w:themeColor="background1" w:themeShade="80"/>
          <w:sz w:val="22"/>
          <w:szCs w:val="22"/>
        </w:rPr>
        <w:t xml:space="preserve">Lex </w:t>
      </w:r>
      <w:proofErr w:type="spellStart"/>
      <w:r w:rsidRPr="007964AA">
        <w:rPr>
          <w:rFonts w:ascii="Arial" w:hAnsi="Arial" w:cs="Arial"/>
          <w:i/>
          <w:iCs/>
          <w:color w:val="808080" w:themeColor="background1" w:themeShade="80"/>
          <w:sz w:val="22"/>
          <w:szCs w:val="22"/>
        </w:rPr>
        <w:t>Agrokor</w:t>
      </w:r>
      <w:proofErr w:type="spellEnd"/>
      <w:r w:rsidRPr="007964AA">
        <w:rPr>
          <w:rFonts w:ascii="Arial" w:hAnsi="Arial" w:cs="Arial"/>
          <w:color w:val="808080" w:themeColor="background1" w:themeShade="80"/>
          <w:sz w:val="22"/>
          <w:szCs w:val="22"/>
        </w:rPr>
        <w:t xml:space="preserve"> was a law relating to </w:t>
      </w:r>
      <w:proofErr w:type="gramStart"/>
      <w:r w:rsidRPr="007964AA">
        <w:rPr>
          <w:rFonts w:ascii="Arial" w:hAnsi="Arial" w:cs="Arial"/>
          <w:color w:val="808080" w:themeColor="background1" w:themeShade="80"/>
          <w:sz w:val="22"/>
          <w:szCs w:val="22"/>
        </w:rPr>
        <w:t xml:space="preserve">insolvency </w:t>
      </w:r>
      <w:r>
        <w:rPr>
          <w:rFonts w:ascii="Arial" w:hAnsi="Arial" w:cs="Arial"/>
          <w:color w:val="808080" w:themeColor="background1" w:themeShade="80"/>
          <w:sz w:val="22"/>
          <w:szCs w:val="22"/>
        </w:rPr>
        <w:t>,</w:t>
      </w:r>
      <w:proofErr w:type="gramEnd"/>
      <w:r>
        <w:rPr>
          <w:rFonts w:ascii="Arial" w:hAnsi="Arial" w:cs="Arial"/>
          <w:color w:val="808080" w:themeColor="background1" w:themeShade="80"/>
          <w:sz w:val="22"/>
          <w:szCs w:val="22"/>
        </w:rPr>
        <w:t xml:space="preserve"> the court paid due consideration to the </w:t>
      </w:r>
      <w:r w:rsidR="00BE2647">
        <w:rPr>
          <w:rFonts w:ascii="Arial" w:hAnsi="Arial" w:cs="Arial"/>
          <w:color w:val="808080" w:themeColor="background1" w:themeShade="80"/>
          <w:sz w:val="22"/>
          <w:szCs w:val="22"/>
        </w:rPr>
        <w:t xml:space="preserve">Model Law on Cross Border Insolvency: </w:t>
      </w:r>
      <w:r w:rsidR="00111403">
        <w:rPr>
          <w:rFonts w:ascii="Arial" w:hAnsi="Arial" w:cs="Arial"/>
          <w:color w:val="808080" w:themeColor="background1" w:themeShade="80"/>
          <w:sz w:val="22"/>
          <w:szCs w:val="22"/>
        </w:rPr>
        <w:t>Guide to Enactment</w:t>
      </w:r>
      <w:r w:rsidR="00E62934">
        <w:rPr>
          <w:rFonts w:ascii="Arial" w:hAnsi="Arial" w:cs="Arial"/>
          <w:color w:val="808080" w:themeColor="background1" w:themeShade="80"/>
          <w:sz w:val="22"/>
          <w:szCs w:val="22"/>
        </w:rPr>
        <w:t xml:space="preserve"> and Interpretation (1997) (“Enactment Guide”)</w:t>
      </w:r>
      <w:r>
        <w:rPr>
          <w:rFonts w:ascii="Arial" w:hAnsi="Arial" w:cs="Arial"/>
          <w:color w:val="808080" w:themeColor="background1" w:themeShade="80"/>
          <w:sz w:val="22"/>
          <w:szCs w:val="22"/>
        </w:rPr>
        <w:t xml:space="preserve"> and held</w:t>
      </w:r>
      <w:r w:rsidR="00111403">
        <w:rPr>
          <w:rFonts w:ascii="Arial" w:hAnsi="Arial" w:cs="Arial"/>
          <w:color w:val="808080" w:themeColor="background1" w:themeShade="80"/>
          <w:sz w:val="22"/>
          <w:szCs w:val="22"/>
        </w:rPr>
        <w:t xml:space="preserve">:  </w:t>
      </w:r>
    </w:p>
    <w:p w14:paraId="5A76F65A" w14:textId="20D5C745" w:rsidR="00111403" w:rsidRDefault="00111403" w:rsidP="001904A8">
      <w:pPr>
        <w:jc w:val="both"/>
        <w:rPr>
          <w:rFonts w:ascii="Arial" w:hAnsi="Arial" w:cs="Arial"/>
          <w:color w:val="808080" w:themeColor="background1" w:themeShade="80"/>
          <w:sz w:val="22"/>
          <w:szCs w:val="22"/>
        </w:rPr>
      </w:pPr>
    </w:p>
    <w:p w14:paraId="444A5D1C" w14:textId="76ADDF92" w:rsidR="00111403" w:rsidRDefault="00111403" w:rsidP="001904A8">
      <w:pPr>
        <w:jc w:val="both"/>
        <w:rPr>
          <w:rFonts w:ascii="Arial" w:hAnsi="Arial" w:cs="Arial"/>
          <w:color w:val="808080" w:themeColor="background1" w:themeShade="80"/>
          <w:sz w:val="22"/>
          <w:szCs w:val="22"/>
        </w:rPr>
      </w:pPr>
      <w:r>
        <w:rPr>
          <w:rFonts w:ascii="Arial" w:hAnsi="Arial" w:cs="Arial"/>
          <w:i/>
          <w:iCs/>
          <w:color w:val="808080" w:themeColor="background1" w:themeShade="80"/>
          <w:sz w:val="22"/>
          <w:szCs w:val="22"/>
        </w:rPr>
        <w:t>Liquidation and reorganization might be conducted under the law that is not labelled as insolvency law (</w:t>
      </w:r>
      <w:proofErr w:type="gramStart"/>
      <w:r>
        <w:rPr>
          <w:rFonts w:ascii="Arial" w:hAnsi="Arial" w:cs="Arial"/>
          <w:i/>
          <w:iCs/>
          <w:color w:val="808080" w:themeColor="background1" w:themeShade="80"/>
          <w:sz w:val="22"/>
          <w:szCs w:val="22"/>
        </w:rPr>
        <w:t>e.g.</w:t>
      </w:r>
      <w:proofErr w:type="gramEnd"/>
      <w:r>
        <w:rPr>
          <w:rFonts w:ascii="Arial" w:hAnsi="Arial" w:cs="Arial"/>
          <w:i/>
          <w:iCs/>
          <w:color w:val="808080" w:themeColor="background1" w:themeShade="80"/>
          <w:sz w:val="22"/>
          <w:szCs w:val="22"/>
        </w:rPr>
        <w:t xml:space="preserve"> company law) but which nevertheless deals with or addresses insolvency or severe financial distress.</w:t>
      </w:r>
      <w:r>
        <w:rPr>
          <w:rFonts w:ascii="Arial" w:hAnsi="Arial" w:cs="Arial"/>
          <w:color w:val="808080" w:themeColor="background1" w:themeShade="80"/>
          <w:sz w:val="22"/>
          <w:szCs w:val="22"/>
        </w:rPr>
        <w:t xml:space="preserve">  </w:t>
      </w:r>
    </w:p>
    <w:p w14:paraId="0766E4EB" w14:textId="1168CF09" w:rsidR="00111403" w:rsidRDefault="00111403" w:rsidP="001904A8">
      <w:pPr>
        <w:jc w:val="both"/>
        <w:rPr>
          <w:rFonts w:ascii="Arial" w:hAnsi="Arial" w:cs="Arial"/>
          <w:color w:val="808080" w:themeColor="background1" w:themeShade="80"/>
          <w:sz w:val="22"/>
          <w:szCs w:val="22"/>
        </w:rPr>
      </w:pPr>
    </w:p>
    <w:p w14:paraId="7CDB4091" w14:textId="6B869529" w:rsidR="00111403" w:rsidRDefault="00111403" w:rsidP="001904A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Court in </w:t>
      </w:r>
      <w:proofErr w:type="spellStart"/>
      <w:r>
        <w:rPr>
          <w:rFonts w:ascii="Arial" w:hAnsi="Arial" w:cs="Arial"/>
          <w:i/>
          <w:iCs/>
          <w:color w:val="808080" w:themeColor="background1" w:themeShade="80"/>
          <w:sz w:val="22"/>
          <w:szCs w:val="22"/>
        </w:rPr>
        <w:t>Agrokor</w:t>
      </w:r>
      <w:proofErr w:type="spellEnd"/>
      <w:r>
        <w:rPr>
          <w:rFonts w:ascii="Arial" w:hAnsi="Arial" w:cs="Arial"/>
          <w:color w:val="808080" w:themeColor="background1" w:themeShade="80"/>
          <w:sz w:val="22"/>
          <w:szCs w:val="22"/>
        </w:rPr>
        <w:t xml:space="preserve"> found authority for this proposition by further referring to the case of </w:t>
      </w:r>
      <w:r>
        <w:rPr>
          <w:rFonts w:ascii="Arial" w:hAnsi="Arial" w:cs="Arial"/>
          <w:i/>
          <w:iCs/>
          <w:color w:val="808080" w:themeColor="background1" w:themeShade="80"/>
          <w:sz w:val="22"/>
          <w:szCs w:val="22"/>
        </w:rPr>
        <w:t xml:space="preserve">In Re Stanford International Bank Ltd </w:t>
      </w:r>
      <w:r>
        <w:rPr>
          <w:rFonts w:ascii="Arial" w:hAnsi="Arial" w:cs="Arial"/>
          <w:color w:val="808080" w:themeColor="background1" w:themeShade="80"/>
          <w:sz w:val="22"/>
          <w:szCs w:val="22"/>
        </w:rPr>
        <w:t>[2011] Ch 33 (confirmed on appeal) in which the Court in that case held that the liquidator in the Antiguan proceedings were appointed pursuant to a law relating to insolvency.  Consequently, the</w:t>
      </w:r>
      <w:r w:rsidR="00623ABA">
        <w:rPr>
          <w:rFonts w:ascii="Arial" w:hAnsi="Arial" w:cs="Arial"/>
          <w:color w:val="808080" w:themeColor="background1" w:themeShade="80"/>
          <w:sz w:val="22"/>
          <w:szCs w:val="22"/>
        </w:rPr>
        <w:t xml:space="preserve"> Court held, the</w:t>
      </w:r>
      <w:r>
        <w:rPr>
          <w:rFonts w:ascii="Arial" w:hAnsi="Arial" w:cs="Arial"/>
          <w:color w:val="808080" w:themeColor="background1" w:themeShade="80"/>
          <w:sz w:val="22"/>
          <w:szCs w:val="22"/>
        </w:rPr>
        <w:t xml:space="preserve"> liquidators could be recognized as foreign representatives of a foreign proceeding.  </w:t>
      </w:r>
    </w:p>
    <w:p w14:paraId="5D20DBCB" w14:textId="77777777" w:rsidR="00FB7A92" w:rsidRDefault="00FB7A92" w:rsidP="001904A8">
      <w:pPr>
        <w:jc w:val="both"/>
        <w:rPr>
          <w:rFonts w:ascii="Arial" w:hAnsi="Arial" w:cs="Arial"/>
          <w:color w:val="808080" w:themeColor="background1" w:themeShade="80"/>
          <w:sz w:val="22"/>
          <w:szCs w:val="22"/>
        </w:rPr>
      </w:pPr>
    </w:p>
    <w:p w14:paraId="745E0B13" w14:textId="56DBDA6D" w:rsidR="009F24F1" w:rsidRDefault="009F24F1" w:rsidP="001904A8">
      <w:pPr>
        <w:jc w:val="both"/>
        <w:rPr>
          <w:rFonts w:ascii="Arial" w:hAnsi="Arial" w:cs="Arial"/>
          <w:color w:val="808080" w:themeColor="background1" w:themeShade="80"/>
          <w:sz w:val="22"/>
          <w:szCs w:val="22"/>
        </w:rPr>
      </w:pPr>
    </w:p>
    <w:p w14:paraId="694D218E" w14:textId="512D28F9" w:rsidR="002A5711" w:rsidRDefault="002A5711" w:rsidP="001904A8">
      <w:pPr>
        <w:jc w:val="both"/>
        <w:rPr>
          <w:rFonts w:ascii="Arial" w:hAnsi="Arial" w:cs="Arial"/>
          <w:color w:val="808080" w:themeColor="background1" w:themeShade="80"/>
          <w:sz w:val="22"/>
          <w:szCs w:val="22"/>
          <w:u w:val="single"/>
        </w:rPr>
      </w:pPr>
      <w:r>
        <w:rPr>
          <w:rFonts w:ascii="Arial" w:hAnsi="Arial" w:cs="Arial"/>
          <w:color w:val="808080" w:themeColor="background1" w:themeShade="80"/>
          <w:sz w:val="22"/>
          <w:szCs w:val="22"/>
          <w:u w:val="single"/>
        </w:rPr>
        <w:t>Passed for the purpose of reorganization:</w:t>
      </w:r>
    </w:p>
    <w:p w14:paraId="4C89B8BD" w14:textId="77777777" w:rsidR="002A5711" w:rsidRPr="002A5711" w:rsidRDefault="002A5711" w:rsidP="001904A8">
      <w:pPr>
        <w:jc w:val="both"/>
        <w:rPr>
          <w:rFonts w:ascii="Arial" w:hAnsi="Arial" w:cs="Arial"/>
          <w:color w:val="808080" w:themeColor="background1" w:themeShade="80"/>
          <w:sz w:val="22"/>
          <w:szCs w:val="22"/>
          <w:u w:val="single"/>
        </w:rPr>
      </w:pPr>
    </w:p>
    <w:p w14:paraId="22D76036" w14:textId="65145043" w:rsidR="00FB7A92" w:rsidRDefault="002A5711" w:rsidP="001904A8">
      <w:pPr>
        <w:jc w:val="both"/>
        <w:rPr>
          <w:rFonts w:ascii="Arial" w:hAnsi="Arial" w:cs="Arial"/>
          <w:color w:val="808080" w:themeColor="background1" w:themeShade="80"/>
          <w:sz w:val="22"/>
          <w:szCs w:val="22"/>
        </w:rPr>
      </w:pPr>
      <w:proofErr w:type="spellStart"/>
      <w:r w:rsidRPr="002A5711">
        <w:rPr>
          <w:rFonts w:ascii="Arial" w:hAnsi="Arial" w:cs="Arial"/>
          <w:i/>
          <w:iCs/>
          <w:color w:val="808080" w:themeColor="background1" w:themeShade="80"/>
          <w:sz w:val="22"/>
          <w:szCs w:val="22"/>
        </w:rPr>
        <w:t>Agrokor</w:t>
      </w:r>
      <w:proofErr w:type="spellEnd"/>
      <w:r>
        <w:rPr>
          <w:rFonts w:ascii="Arial" w:hAnsi="Arial" w:cs="Arial"/>
          <w:color w:val="808080" w:themeColor="background1" w:themeShade="80"/>
          <w:sz w:val="22"/>
          <w:szCs w:val="22"/>
        </w:rPr>
        <w:t xml:space="preserve"> found that the </w:t>
      </w:r>
      <w:r>
        <w:rPr>
          <w:rFonts w:ascii="Arial" w:hAnsi="Arial" w:cs="Arial"/>
          <w:i/>
          <w:iCs/>
          <w:color w:val="808080" w:themeColor="background1" w:themeShade="80"/>
          <w:sz w:val="22"/>
          <w:szCs w:val="22"/>
        </w:rPr>
        <w:t xml:space="preserve">Lex </w:t>
      </w:r>
      <w:proofErr w:type="spellStart"/>
      <w:r>
        <w:rPr>
          <w:rFonts w:ascii="Arial" w:hAnsi="Arial" w:cs="Arial"/>
          <w:i/>
          <w:iCs/>
          <w:color w:val="808080" w:themeColor="background1" w:themeShade="80"/>
          <w:sz w:val="22"/>
          <w:szCs w:val="22"/>
        </w:rPr>
        <w:t>Agrokor</w:t>
      </w:r>
      <w:proofErr w:type="spellEnd"/>
      <w:r>
        <w:rPr>
          <w:rFonts w:ascii="Arial" w:hAnsi="Arial" w:cs="Arial"/>
          <w:i/>
          <w:iCs/>
          <w:color w:val="808080" w:themeColor="background1" w:themeShade="80"/>
          <w:sz w:val="22"/>
          <w:szCs w:val="22"/>
        </w:rPr>
        <w:t xml:space="preserve"> </w:t>
      </w:r>
      <w:r>
        <w:rPr>
          <w:rFonts w:ascii="Arial" w:hAnsi="Arial" w:cs="Arial"/>
          <w:color w:val="808080" w:themeColor="background1" w:themeShade="80"/>
          <w:sz w:val="22"/>
          <w:szCs w:val="22"/>
        </w:rPr>
        <w:t>was a</w:t>
      </w:r>
      <w:r w:rsidR="00FB7A92">
        <w:rPr>
          <w:rFonts w:ascii="Arial" w:hAnsi="Arial" w:cs="Arial"/>
          <w:color w:val="808080" w:themeColor="background1" w:themeShade="80"/>
          <w:sz w:val="22"/>
          <w:szCs w:val="22"/>
        </w:rPr>
        <w:t xml:space="preserve"> </w:t>
      </w:r>
      <w:proofErr w:type="spellStart"/>
      <w:r w:rsidR="00FB7A92">
        <w:rPr>
          <w:rFonts w:ascii="Arial" w:hAnsi="Arial" w:cs="Arial"/>
          <w:color w:val="808080" w:themeColor="background1" w:themeShade="80"/>
          <w:sz w:val="22"/>
          <w:szCs w:val="22"/>
        </w:rPr>
        <w:t>Croation</w:t>
      </w:r>
      <w:proofErr w:type="spellEnd"/>
      <w:r w:rsidR="00FB7A92">
        <w:rPr>
          <w:rFonts w:ascii="Arial" w:hAnsi="Arial" w:cs="Arial"/>
          <w:color w:val="808080" w:themeColor="background1" w:themeShade="80"/>
          <w:sz w:val="22"/>
          <w:szCs w:val="22"/>
        </w:rPr>
        <w:t xml:space="preserve"> Law which would have to be factually proved to have been passed for the purpose of reorganization or liquidation.  </w:t>
      </w:r>
    </w:p>
    <w:p w14:paraId="575806AF" w14:textId="67055A70" w:rsidR="00115B21" w:rsidRDefault="00115B21" w:rsidP="001904A8">
      <w:pPr>
        <w:jc w:val="both"/>
        <w:rPr>
          <w:rFonts w:ascii="Arial" w:hAnsi="Arial" w:cs="Arial"/>
          <w:color w:val="808080" w:themeColor="background1" w:themeShade="80"/>
          <w:sz w:val="22"/>
          <w:szCs w:val="22"/>
        </w:rPr>
      </w:pPr>
    </w:p>
    <w:p w14:paraId="536B65FC" w14:textId="032A0FC5" w:rsidR="00115B21" w:rsidRDefault="00115B21" w:rsidP="001904A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In its reasoning, </w:t>
      </w:r>
      <w:proofErr w:type="spellStart"/>
      <w:r>
        <w:rPr>
          <w:rFonts w:ascii="Arial" w:hAnsi="Arial" w:cs="Arial"/>
          <w:i/>
          <w:iCs/>
          <w:color w:val="808080" w:themeColor="background1" w:themeShade="80"/>
          <w:sz w:val="22"/>
          <w:szCs w:val="22"/>
        </w:rPr>
        <w:t>Agrokor</w:t>
      </w:r>
      <w:proofErr w:type="spellEnd"/>
      <w:r>
        <w:rPr>
          <w:rFonts w:ascii="Arial" w:hAnsi="Arial" w:cs="Arial"/>
          <w:i/>
          <w:iCs/>
          <w:color w:val="808080" w:themeColor="background1" w:themeShade="80"/>
          <w:sz w:val="22"/>
          <w:szCs w:val="22"/>
        </w:rPr>
        <w:t xml:space="preserve"> </w:t>
      </w:r>
      <w:proofErr w:type="gramStart"/>
      <w:r>
        <w:rPr>
          <w:rFonts w:ascii="Arial" w:hAnsi="Arial" w:cs="Arial"/>
          <w:color w:val="808080" w:themeColor="background1" w:themeShade="80"/>
          <w:sz w:val="22"/>
          <w:szCs w:val="22"/>
        </w:rPr>
        <w:t>made reference</w:t>
      </w:r>
      <w:proofErr w:type="gramEnd"/>
      <w:r>
        <w:rPr>
          <w:rFonts w:ascii="Arial" w:hAnsi="Arial" w:cs="Arial"/>
          <w:color w:val="808080" w:themeColor="background1" w:themeShade="80"/>
          <w:sz w:val="22"/>
          <w:szCs w:val="22"/>
        </w:rPr>
        <w:t xml:space="preserve"> to the </w:t>
      </w:r>
      <w:r w:rsidR="00E62934">
        <w:rPr>
          <w:rFonts w:ascii="Arial" w:hAnsi="Arial" w:cs="Arial"/>
          <w:color w:val="808080" w:themeColor="background1" w:themeShade="80"/>
          <w:sz w:val="22"/>
          <w:szCs w:val="22"/>
        </w:rPr>
        <w:t xml:space="preserve">UNCITRAL </w:t>
      </w:r>
      <w:r>
        <w:rPr>
          <w:rFonts w:ascii="Arial" w:hAnsi="Arial" w:cs="Arial"/>
          <w:color w:val="808080" w:themeColor="background1" w:themeShade="80"/>
          <w:sz w:val="22"/>
          <w:szCs w:val="22"/>
        </w:rPr>
        <w:t>Legislative Guide</w:t>
      </w:r>
      <w:r w:rsidR="00E62934">
        <w:rPr>
          <w:rFonts w:ascii="Arial" w:hAnsi="Arial" w:cs="Arial"/>
          <w:color w:val="808080" w:themeColor="background1" w:themeShade="80"/>
          <w:sz w:val="22"/>
          <w:szCs w:val="22"/>
        </w:rPr>
        <w:t xml:space="preserve"> on Insolvency Law (2004)</w:t>
      </w:r>
      <w:r>
        <w:rPr>
          <w:rFonts w:ascii="Arial" w:hAnsi="Arial" w:cs="Arial"/>
          <w:color w:val="808080" w:themeColor="background1" w:themeShade="80"/>
          <w:sz w:val="22"/>
          <w:szCs w:val="22"/>
        </w:rPr>
        <w:t>, Part 1, Chapter 2 at para 23 where it is stated:</w:t>
      </w:r>
    </w:p>
    <w:p w14:paraId="62F883D4" w14:textId="72E63A7F" w:rsidR="00115B21" w:rsidRDefault="00115B21" w:rsidP="001904A8">
      <w:pPr>
        <w:jc w:val="both"/>
        <w:rPr>
          <w:rFonts w:ascii="Arial" w:hAnsi="Arial" w:cs="Arial"/>
          <w:color w:val="808080" w:themeColor="background1" w:themeShade="80"/>
          <w:sz w:val="22"/>
          <w:szCs w:val="22"/>
        </w:rPr>
      </w:pPr>
    </w:p>
    <w:p w14:paraId="055F1C37" w14:textId="7A84F6CA" w:rsidR="00115B21" w:rsidRPr="00115B21" w:rsidRDefault="00115B21" w:rsidP="001904A8">
      <w:pPr>
        <w:jc w:val="both"/>
        <w:rPr>
          <w:rFonts w:ascii="Arial" w:hAnsi="Arial" w:cs="Arial"/>
          <w:color w:val="808080" w:themeColor="background1" w:themeShade="80"/>
          <w:sz w:val="22"/>
          <w:szCs w:val="22"/>
        </w:rPr>
      </w:pPr>
      <w:proofErr w:type="gramStart"/>
      <w:r>
        <w:rPr>
          <w:rFonts w:ascii="Arial" w:hAnsi="Arial" w:cs="Arial"/>
          <w:i/>
          <w:iCs/>
          <w:color w:val="808080" w:themeColor="background1" w:themeShade="80"/>
          <w:sz w:val="22"/>
          <w:szCs w:val="22"/>
        </w:rPr>
        <w:t>….the</w:t>
      </w:r>
      <w:proofErr w:type="gramEnd"/>
      <w:r>
        <w:rPr>
          <w:rFonts w:ascii="Arial" w:hAnsi="Arial" w:cs="Arial"/>
          <w:i/>
          <w:iCs/>
          <w:color w:val="808080" w:themeColor="background1" w:themeShade="80"/>
          <w:sz w:val="22"/>
          <w:szCs w:val="22"/>
        </w:rPr>
        <w:t xml:space="preserve"> term reorganization is used in the guide in a broad sense to refer to the type of proceedings whose ultimate purpose is to allow the debtor to overcome its financial difficulties and resume or continue normal commercial operations.  </w:t>
      </w:r>
    </w:p>
    <w:p w14:paraId="499E9DB0" w14:textId="77777777" w:rsidR="00115B21" w:rsidRDefault="00115B21" w:rsidP="001904A8">
      <w:pPr>
        <w:jc w:val="both"/>
        <w:rPr>
          <w:rFonts w:ascii="Arial" w:hAnsi="Arial" w:cs="Arial"/>
          <w:color w:val="808080" w:themeColor="background1" w:themeShade="80"/>
          <w:sz w:val="22"/>
          <w:szCs w:val="22"/>
        </w:rPr>
      </w:pPr>
    </w:p>
    <w:p w14:paraId="4B57719F" w14:textId="2A95EF29" w:rsidR="009F24F1" w:rsidRPr="00111403" w:rsidRDefault="00115B21" w:rsidP="001904A8">
      <w:pPr>
        <w:jc w:val="both"/>
        <w:rPr>
          <w:rFonts w:ascii="Arial" w:hAnsi="Arial" w:cs="Arial"/>
          <w:color w:val="808080" w:themeColor="background1" w:themeShade="80"/>
          <w:sz w:val="22"/>
          <w:szCs w:val="22"/>
        </w:rPr>
      </w:pPr>
      <w:proofErr w:type="spellStart"/>
      <w:r>
        <w:rPr>
          <w:rFonts w:ascii="Arial" w:hAnsi="Arial" w:cs="Arial"/>
          <w:i/>
          <w:iCs/>
          <w:color w:val="808080" w:themeColor="background1" w:themeShade="80"/>
          <w:sz w:val="22"/>
          <w:szCs w:val="22"/>
        </w:rPr>
        <w:t>Agrokor</w:t>
      </w:r>
      <w:proofErr w:type="spellEnd"/>
      <w:r>
        <w:rPr>
          <w:rFonts w:ascii="Arial" w:hAnsi="Arial" w:cs="Arial"/>
          <w:i/>
          <w:iCs/>
          <w:color w:val="808080" w:themeColor="background1" w:themeShade="80"/>
          <w:sz w:val="22"/>
          <w:szCs w:val="22"/>
        </w:rPr>
        <w:t xml:space="preserve"> </w:t>
      </w:r>
      <w:r w:rsidR="00E62934">
        <w:rPr>
          <w:rFonts w:ascii="Arial" w:hAnsi="Arial" w:cs="Arial"/>
          <w:color w:val="808080" w:themeColor="background1" w:themeShade="80"/>
          <w:sz w:val="22"/>
          <w:szCs w:val="22"/>
        </w:rPr>
        <w:t xml:space="preserve">applied </w:t>
      </w:r>
      <w:r>
        <w:rPr>
          <w:rFonts w:ascii="Arial" w:hAnsi="Arial" w:cs="Arial"/>
          <w:color w:val="808080" w:themeColor="background1" w:themeShade="80"/>
          <w:sz w:val="22"/>
          <w:szCs w:val="22"/>
        </w:rPr>
        <w:t xml:space="preserve">the </w:t>
      </w:r>
      <w:r w:rsidR="00E62934">
        <w:rPr>
          <w:rFonts w:ascii="Arial" w:hAnsi="Arial" w:cs="Arial"/>
          <w:color w:val="808080" w:themeColor="background1" w:themeShade="80"/>
          <w:sz w:val="22"/>
          <w:szCs w:val="22"/>
        </w:rPr>
        <w:t xml:space="preserve">principles set out in an </w:t>
      </w:r>
      <w:r>
        <w:rPr>
          <w:rFonts w:ascii="Arial" w:hAnsi="Arial" w:cs="Arial"/>
          <w:color w:val="808080" w:themeColor="background1" w:themeShade="80"/>
          <w:sz w:val="22"/>
          <w:szCs w:val="22"/>
        </w:rPr>
        <w:t>Australian decision wherein t</w:t>
      </w:r>
      <w:r w:rsidR="009F24F1" w:rsidRPr="002A5711">
        <w:rPr>
          <w:rFonts w:ascii="Arial" w:hAnsi="Arial" w:cs="Arial"/>
          <w:color w:val="808080" w:themeColor="background1" w:themeShade="80"/>
          <w:sz w:val="22"/>
          <w:szCs w:val="22"/>
        </w:rPr>
        <w:t>he</w:t>
      </w:r>
      <w:r w:rsidR="009F24F1">
        <w:rPr>
          <w:rFonts w:ascii="Arial" w:hAnsi="Arial" w:cs="Arial"/>
          <w:color w:val="808080" w:themeColor="background1" w:themeShade="80"/>
          <w:sz w:val="22"/>
          <w:szCs w:val="22"/>
        </w:rPr>
        <w:t xml:space="preserve"> requirement that the proceedings be related to insolvency for purposes of recognition</w:t>
      </w:r>
      <w:r w:rsidR="00BE2647">
        <w:rPr>
          <w:rFonts w:ascii="Arial" w:hAnsi="Arial" w:cs="Arial"/>
          <w:color w:val="808080" w:themeColor="background1" w:themeShade="80"/>
          <w:sz w:val="22"/>
          <w:szCs w:val="22"/>
        </w:rPr>
        <w:t xml:space="preserve"> </w:t>
      </w:r>
      <w:r w:rsidR="009F24F1">
        <w:rPr>
          <w:rFonts w:ascii="Arial" w:hAnsi="Arial" w:cs="Arial"/>
          <w:color w:val="808080" w:themeColor="background1" w:themeShade="80"/>
          <w:sz w:val="22"/>
          <w:szCs w:val="22"/>
        </w:rPr>
        <w:t>was found to exist even where there were no court proceedings</w:t>
      </w:r>
      <w:r w:rsidR="00BE2647">
        <w:rPr>
          <w:rFonts w:ascii="Arial" w:hAnsi="Arial" w:cs="Arial"/>
          <w:color w:val="808080" w:themeColor="background1" w:themeShade="80"/>
          <w:sz w:val="22"/>
          <w:szCs w:val="22"/>
        </w:rPr>
        <w:t xml:space="preserve"> taking place, but the matter was dealt with administratively</w:t>
      </w:r>
      <w:r w:rsidR="00C94ECD">
        <w:rPr>
          <w:rFonts w:ascii="Arial" w:hAnsi="Arial" w:cs="Arial"/>
          <w:color w:val="808080" w:themeColor="background1" w:themeShade="80"/>
          <w:sz w:val="22"/>
          <w:szCs w:val="22"/>
        </w:rPr>
        <w:t xml:space="preserve"> when the company passed a resolution commencing voluntary winding-up.</w:t>
      </w:r>
      <w:r w:rsidR="00BE2647">
        <w:rPr>
          <w:rStyle w:val="FootnoteReference"/>
          <w:rFonts w:ascii="Arial" w:hAnsi="Arial" w:cs="Arial"/>
          <w:color w:val="808080" w:themeColor="background1" w:themeShade="80"/>
          <w:sz w:val="22"/>
          <w:szCs w:val="22"/>
        </w:rPr>
        <w:footnoteReference w:id="13"/>
      </w:r>
    </w:p>
    <w:p w14:paraId="28C3373A" w14:textId="642A66BD" w:rsidR="001904A8" w:rsidRDefault="001904A8" w:rsidP="001904A8">
      <w:pPr>
        <w:jc w:val="both"/>
        <w:rPr>
          <w:rFonts w:ascii="Arial" w:hAnsi="Arial" w:cs="Arial"/>
          <w:color w:val="808080" w:themeColor="background1" w:themeShade="80"/>
          <w:sz w:val="22"/>
          <w:szCs w:val="22"/>
        </w:rPr>
      </w:pPr>
    </w:p>
    <w:p w14:paraId="5CEFDEAB" w14:textId="77777777" w:rsidR="00BE2647" w:rsidRDefault="00BE2647" w:rsidP="00BE2647">
      <w:pPr>
        <w:jc w:val="both"/>
        <w:rPr>
          <w:rFonts w:ascii="Arial" w:hAnsi="Arial" w:cs="Arial"/>
          <w:color w:val="808080" w:themeColor="background1" w:themeShade="80"/>
          <w:sz w:val="22"/>
          <w:szCs w:val="22"/>
          <w:u w:val="single"/>
          <w:lang w:val="en-GB"/>
        </w:rPr>
      </w:pPr>
    </w:p>
    <w:p w14:paraId="5A4869E0" w14:textId="70F40850" w:rsidR="00BE2647" w:rsidRPr="00BE2647" w:rsidRDefault="00BE2647" w:rsidP="00BE2647">
      <w:pPr>
        <w:jc w:val="both"/>
        <w:rPr>
          <w:rFonts w:ascii="Arial" w:hAnsi="Arial" w:cs="Arial"/>
          <w:color w:val="808080" w:themeColor="background1" w:themeShade="80"/>
          <w:sz w:val="22"/>
          <w:szCs w:val="22"/>
          <w:u w:val="single"/>
          <w:lang w:val="en-GB"/>
        </w:rPr>
      </w:pPr>
      <w:r w:rsidRPr="00BE2647">
        <w:rPr>
          <w:rFonts w:ascii="Arial" w:hAnsi="Arial" w:cs="Arial"/>
          <w:color w:val="808080" w:themeColor="background1" w:themeShade="80"/>
          <w:sz w:val="22"/>
          <w:szCs w:val="22"/>
          <w:u w:val="single"/>
          <w:lang w:val="en-GB"/>
        </w:rPr>
        <w:t xml:space="preserve">Collective procedure:  </w:t>
      </w:r>
    </w:p>
    <w:p w14:paraId="2712AFB0" w14:textId="77777777" w:rsidR="00BE2647" w:rsidRPr="00BE2647" w:rsidRDefault="00BE2647" w:rsidP="00BE2647">
      <w:pPr>
        <w:jc w:val="both"/>
        <w:rPr>
          <w:rFonts w:ascii="Arial" w:hAnsi="Arial" w:cs="Arial"/>
          <w:color w:val="808080" w:themeColor="background1" w:themeShade="80"/>
          <w:sz w:val="22"/>
          <w:szCs w:val="22"/>
          <w:lang w:val="en-GB"/>
        </w:rPr>
      </w:pPr>
    </w:p>
    <w:p w14:paraId="4ED6DCFA" w14:textId="5ADDBE4E" w:rsidR="000B09D1" w:rsidRPr="000B09D1" w:rsidRDefault="000B09D1" w:rsidP="000B09D1">
      <w:pPr>
        <w:jc w:val="both"/>
        <w:rPr>
          <w:rFonts w:ascii="Arial" w:hAnsi="Arial" w:cs="Arial"/>
          <w:color w:val="808080" w:themeColor="background1" w:themeShade="80"/>
          <w:sz w:val="22"/>
          <w:szCs w:val="22"/>
        </w:rPr>
      </w:pPr>
      <w:r w:rsidRPr="000B09D1">
        <w:rPr>
          <w:rFonts w:ascii="Arial" w:hAnsi="Arial" w:cs="Arial"/>
          <w:color w:val="808080" w:themeColor="background1" w:themeShade="80"/>
          <w:sz w:val="22"/>
          <w:szCs w:val="22"/>
        </w:rPr>
        <w:t xml:space="preserve">A collective insolvency proceeding </w:t>
      </w:r>
      <w:r>
        <w:rPr>
          <w:rFonts w:ascii="Arial" w:hAnsi="Arial" w:cs="Arial"/>
          <w:color w:val="808080" w:themeColor="background1" w:themeShade="80"/>
          <w:sz w:val="22"/>
          <w:szCs w:val="22"/>
        </w:rPr>
        <w:t>is described as</w:t>
      </w:r>
      <w:r w:rsidRPr="000B09D1">
        <w:rPr>
          <w:rFonts w:ascii="Arial" w:hAnsi="Arial" w:cs="Arial"/>
          <w:color w:val="808080" w:themeColor="background1" w:themeShade="80"/>
          <w:sz w:val="22"/>
          <w:szCs w:val="22"/>
        </w:rPr>
        <w:t xml:space="preserve"> a hypothetical collective contract amongst the debtor’s creditors binding them to cooperate (in the common interest) which, because of the strategic incentives of creditors and prohibitively high transaction costs, the creditors cannot and do not conclude ad hoc.</w:t>
      </w:r>
      <w:r w:rsidRPr="000B09D1">
        <w:rPr>
          <w:rFonts w:ascii="Arial" w:hAnsi="Arial" w:cs="Arial"/>
          <w:color w:val="808080" w:themeColor="background1" w:themeShade="80"/>
          <w:sz w:val="22"/>
          <w:szCs w:val="22"/>
          <w:vertAlign w:val="superscript"/>
        </w:rPr>
        <w:footnoteReference w:id="14"/>
      </w:r>
    </w:p>
    <w:p w14:paraId="08917234" w14:textId="77777777" w:rsidR="000B09D1" w:rsidRDefault="000B09D1" w:rsidP="00BE2647">
      <w:pPr>
        <w:jc w:val="both"/>
        <w:rPr>
          <w:rFonts w:ascii="Arial" w:hAnsi="Arial" w:cs="Arial"/>
          <w:color w:val="808080" w:themeColor="background1" w:themeShade="80"/>
          <w:sz w:val="22"/>
          <w:szCs w:val="22"/>
        </w:rPr>
      </w:pPr>
    </w:p>
    <w:p w14:paraId="12EAA957" w14:textId="7913D2F8" w:rsidR="00BE2647" w:rsidRPr="00BE2647" w:rsidRDefault="007964AA" w:rsidP="00BE2647">
      <w:pPr>
        <w:jc w:val="both"/>
        <w:rPr>
          <w:rFonts w:ascii="Arial" w:hAnsi="Arial" w:cs="Arial"/>
          <w:color w:val="808080" w:themeColor="background1" w:themeShade="80"/>
          <w:sz w:val="22"/>
          <w:szCs w:val="22"/>
        </w:rPr>
      </w:pPr>
      <w:r w:rsidRPr="007964AA">
        <w:rPr>
          <w:rFonts w:ascii="Arial" w:hAnsi="Arial" w:cs="Arial"/>
          <w:color w:val="808080" w:themeColor="background1" w:themeShade="80"/>
          <w:sz w:val="22"/>
          <w:szCs w:val="22"/>
        </w:rPr>
        <w:t xml:space="preserve">In assessing whether the company is a group of companies for purposes of a collective procedure, the Court </w:t>
      </w:r>
      <w:r w:rsidR="00115B21">
        <w:rPr>
          <w:rFonts w:ascii="Arial" w:hAnsi="Arial" w:cs="Arial"/>
          <w:color w:val="808080" w:themeColor="background1" w:themeShade="80"/>
          <w:sz w:val="22"/>
          <w:szCs w:val="22"/>
        </w:rPr>
        <w:t xml:space="preserve">in </w:t>
      </w:r>
      <w:proofErr w:type="spellStart"/>
      <w:r w:rsidR="00115B21">
        <w:rPr>
          <w:rFonts w:ascii="Arial" w:hAnsi="Arial" w:cs="Arial"/>
          <w:i/>
          <w:iCs/>
          <w:color w:val="808080" w:themeColor="background1" w:themeShade="80"/>
          <w:sz w:val="22"/>
          <w:szCs w:val="22"/>
        </w:rPr>
        <w:t>Agrokor</w:t>
      </w:r>
      <w:proofErr w:type="spellEnd"/>
      <w:r w:rsidR="00115B21">
        <w:rPr>
          <w:rFonts w:ascii="Arial" w:hAnsi="Arial" w:cs="Arial"/>
          <w:i/>
          <w:iCs/>
          <w:color w:val="808080" w:themeColor="background1" w:themeShade="80"/>
          <w:sz w:val="22"/>
          <w:szCs w:val="22"/>
        </w:rPr>
        <w:t xml:space="preserve"> </w:t>
      </w:r>
      <w:r>
        <w:rPr>
          <w:rFonts w:ascii="Arial" w:hAnsi="Arial" w:cs="Arial"/>
          <w:color w:val="808080" w:themeColor="background1" w:themeShade="80"/>
          <w:sz w:val="22"/>
          <w:szCs w:val="22"/>
        </w:rPr>
        <w:t>considered the</w:t>
      </w:r>
      <w:r w:rsidR="00BE2647" w:rsidRPr="00BE2647">
        <w:rPr>
          <w:rFonts w:ascii="Arial" w:hAnsi="Arial" w:cs="Arial"/>
          <w:color w:val="808080" w:themeColor="background1" w:themeShade="80"/>
          <w:sz w:val="22"/>
          <w:szCs w:val="22"/>
        </w:rPr>
        <w:t xml:space="preserve"> UNCITRAL Model on Cross-Border Insolvency:  The Judicial Perspective, Chapter 3</w:t>
      </w:r>
      <w:r w:rsidR="00E62934">
        <w:rPr>
          <w:rFonts w:ascii="Arial" w:hAnsi="Arial" w:cs="Arial"/>
          <w:color w:val="808080" w:themeColor="background1" w:themeShade="80"/>
          <w:sz w:val="22"/>
          <w:szCs w:val="22"/>
        </w:rPr>
        <w:t xml:space="preserve"> (2011)</w:t>
      </w:r>
      <w:r w:rsidR="00BE2647" w:rsidRPr="00BE2647">
        <w:rPr>
          <w:rFonts w:ascii="Arial" w:hAnsi="Arial" w:cs="Arial"/>
          <w:color w:val="808080" w:themeColor="background1" w:themeShade="80"/>
          <w:sz w:val="22"/>
          <w:szCs w:val="22"/>
        </w:rPr>
        <w:t xml:space="preserve"> Interpretation and application of the Model Law </w:t>
      </w:r>
      <w:r>
        <w:rPr>
          <w:rFonts w:ascii="Arial" w:hAnsi="Arial" w:cs="Arial"/>
          <w:color w:val="808080" w:themeColor="background1" w:themeShade="80"/>
          <w:sz w:val="22"/>
          <w:szCs w:val="22"/>
        </w:rPr>
        <w:t xml:space="preserve">which </w:t>
      </w:r>
      <w:r w:rsidR="00BE2647" w:rsidRPr="00BE2647">
        <w:rPr>
          <w:rFonts w:ascii="Arial" w:hAnsi="Arial" w:cs="Arial"/>
          <w:color w:val="808080" w:themeColor="background1" w:themeShade="80"/>
          <w:sz w:val="22"/>
          <w:szCs w:val="22"/>
        </w:rPr>
        <w:t xml:space="preserve">considered </w:t>
      </w:r>
      <w:proofErr w:type="gramStart"/>
      <w:r w:rsidR="00BE2647" w:rsidRPr="00BE2647">
        <w:rPr>
          <w:rFonts w:ascii="Arial" w:hAnsi="Arial" w:cs="Arial"/>
          <w:color w:val="808080" w:themeColor="background1" w:themeShade="80"/>
          <w:sz w:val="22"/>
          <w:szCs w:val="22"/>
        </w:rPr>
        <w:t>a number of</w:t>
      </w:r>
      <w:proofErr w:type="gramEnd"/>
      <w:r w:rsidR="00BE2647" w:rsidRPr="00BE2647">
        <w:rPr>
          <w:rFonts w:ascii="Arial" w:hAnsi="Arial" w:cs="Arial"/>
          <w:color w:val="808080" w:themeColor="background1" w:themeShade="80"/>
          <w:sz w:val="22"/>
          <w:szCs w:val="22"/>
        </w:rPr>
        <w:t xml:space="preserve"> cases which turned on the interpretation of “foreign proceedings” which have involved enterprise groups.  </w:t>
      </w:r>
    </w:p>
    <w:p w14:paraId="4F6F1D23" w14:textId="77777777" w:rsidR="00BE2647" w:rsidRPr="00BE2647" w:rsidRDefault="00BE2647" w:rsidP="00BE2647">
      <w:pPr>
        <w:jc w:val="both"/>
        <w:rPr>
          <w:rFonts w:ascii="Arial" w:hAnsi="Arial" w:cs="Arial"/>
          <w:color w:val="808080" w:themeColor="background1" w:themeShade="80"/>
          <w:sz w:val="22"/>
          <w:szCs w:val="22"/>
        </w:rPr>
      </w:pPr>
    </w:p>
    <w:p w14:paraId="2F8E9E6D" w14:textId="77777777" w:rsidR="007964AA" w:rsidRDefault="00BE2647" w:rsidP="00BE2647">
      <w:pPr>
        <w:jc w:val="both"/>
        <w:rPr>
          <w:rFonts w:ascii="Arial" w:hAnsi="Arial" w:cs="Arial"/>
          <w:color w:val="808080" w:themeColor="background1" w:themeShade="80"/>
          <w:sz w:val="22"/>
          <w:szCs w:val="22"/>
        </w:rPr>
      </w:pPr>
      <w:r w:rsidRPr="00BE2647">
        <w:rPr>
          <w:rFonts w:ascii="Arial" w:hAnsi="Arial" w:cs="Arial"/>
          <w:color w:val="808080" w:themeColor="background1" w:themeShade="80"/>
          <w:sz w:val="22"/>
          <w:szCs w:val="22"/>
        </w:rPr>
        <w:t>The Judicial Perspective</w:t>
      </w:r>
      <w:r w:rsidR="007964AA">
        <w:rPr>
          <w:rFonts w:ascii="Arial" w:hAnsi="Arial" w:cs="Arial"/>
          <w:color w:val="808080" w:themeColor="background1" w:themeShade="80"/>
          <w:sz w:val="22"/>
          <w:szCs w:val="22"/>
        </w:rPr>
        <w:t xml:space="preserve"> stated</w:t>
      </w:r>
      <w:r w:rsidRPr="00BE2647">
        <w:rPr>
          <w:rFonts w:ascii="Arial" w:hAnsi="Arial" w:cs="Arial"/>
          <w:color w:val="808080" w:themeColor="background1" w:themeShade="80"/>
          <w:sz w:val="22"/>
          <w:szCs w:val="22"/>
        </w:rPr>
        <w:t>, “For the purposes of the Model Law the focus is on each and every member of an enterprise group as a distinct legal entity</w:t>
      </w:r>
      <w:proofErr w:type="gramStart"/>
      <w:r w:rsidRPr="00BE2647">
        <w:rPr>
          <w:rFonts w:ascii="Arial" w:hAnsi="Arial" w:cs="Arial"/>
          <w:color w:val="808080" w:themeColor="background1" w:themeShade="80"/>
          <w:sz w:val="22"/>
          <w:szCs w:val="22"/>
        </w:rPr>
        <w:t>….</w:t>
      </w:r>
      <w:r w:rsidRPr="00BE2647">
        <w:rPr>
          <w:rFonts w:ascii="Arial" w:hAnsi="Arial" w:cs="Arial"/>
          <w:i/>
          <w:iCs/>
          <w:color w:val="808080" w:themeColor="background1" w:themeShade="80"/>
          <w:sz w:val="22"/>
          <w:szCs w:val="22"/>
        </w:rPr>
        <w:t>there</w:t>
      </w:r>
      <w:proofErr w:type="gramEnd"/>
      <w:r w:rsidRPr="00BE2647">
        <w:rPr>
          <w:rFonts w:ascii="Arial" w:hAnsi="Arial" w:cs="Arial"/>
          <w:i/>
          <w:iCs/>
          <w:color w:val="808080" w:themeColor="background1" w:themeShade="80"/>
          <w:sz w:val="22"/>
          <w:szCs w:val="22"/>
        </w:rPr>
        <w:t xml:space="preserve"> is no scope for </w:t>
      </w:r>
      <w:r w:rsidRPr="00BE2647">
        <w:rPr>
          <w:rFonts w:ascii="Arial" w:hAnsi="Arial" w:cs="Arial"/>
          <w:i/>
          <w:iCs/>
          <w:color w:val="808080" w:themeColor="background1" w:themeShade="80"/>
          <w:sz w:val="22"/>
          <w:szCs w:val="22"/>
        </w:rPr>
        <w:lastRenderedPageBreak/>
        <w:t xml:space="preserve">determining the </w:t>
      </w:r>
      <w:proofErr w:type="spellStart"/>
      <w:r w:rsidRPr="00BE2647">
        <w:rPr>
          <w:rFonts w:ascii="Arial" w:hAnsi="Arial" w:cs="Arial"/>
          <w:i/>
          <w:iCs/>
          <w:color w:val="808080" w:themeColor="background1" w:themeShade="80"/>
          <w:sz w:val="22"/>
          <w:szCs w:val="22"/>
        </w:rPr>
        <w:t>centre</w:t>
      </w:r>
      <w:proofErr w:type="spellEnd"/>
      <w:r w:rsidRPr="00BE2647">
        <w:rPr>
          <w:rFonts w:ascii="Arial" w:hAnsi="Arial" w:cs="Arial"/>
          <w:i/>
          <w:iCs/>
          <w:color w:val="808080" w:themeColor="background1" w:themeShade="80"/>
          <w:sz w:val="22"/>
          <w:szCs w:val="22"/>
        </w:rPr>
        <w:t xml:space="preserve"> of main interests of the Enterprise group as such under the Model Law</w:t>
      </w:r>
      <w:r w:rsidRPr="00BE2647">
        <w:rPr>
          <w:rFonts w:ascii="Arial" w:hAnsi="Arial" w:cs="Arial"/>
          <w:color w:val="808080" w:themeColor="background1" w:themeShade="80"/>
          <w:sz w:val="22"/>
          <w:szCs w:val="22"/>
        </w:rPr>
        <w:t>.”</w:t>
      </w:r>
      <w:r w:rsidR="007964AA">
        <w:rPr>
          <w:rFonts w:ascii="Arial" w:hAnsi="Arial" w:cs="Arial"/>
          <w:color w:val="808080" w:themeColor="background1" w:themeShade="80"/>
          <w:sz w:val="22"/>
          <w:szCs w:val="22"/>
        </w:rPr>
        <w:t xml:space="preserve"> (</w:t>
      </w:r>
      <w:proofErr w:type="gramStart"/>
      <w:r w:rsidR="007964AA">
        <w:rPr>
          <w:rFonts w:ascii="Arial" w:hAnsi="Arial" w:cs="Arial"/>
          <w:color w:val="808080" w:themeColor="background1" w:themeShade="80"/>
          <w:sz w:val="22"/>
          <w:szCs w:val="22"/>
        </w:rPr>
        <w:t>my</w:t>
      </w:r>
      <w:proofErr w:type="gramEnd"/>
      <w:r w:rsidR="007964AA">
        <w:rPr>
          <w:rFonts w:ascii="Arial" w:hAnsi="Arial" w:cs="Arial"/>
          <w:color w:val="808080" w:themeColor="background1" w:themeShade="80"/>
          <w:sz w:val="22"/>
          <w:szCs w:val="22"/>
        </w:rPr>
        <w:t xml:space="preserve"> emphasis).  </w:t>
      </w:r>
    </w:p>
    <w:p w14:paraId="5FF839F6" w14:textId="1129CDD2" w:rsidR="00BE2647" w:rsidRDefault="001B3F41" w:rsidP="00BE2647">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This is reiterated in the </w:t>
      </w:r>
      <w:r w:rsidR="00BE2647" w:rsidRPr="00BE2647">
        <w:rPr>
          <w:rFonts w:ascii="Arial" w:hAnsi="Arial" w:cs="Arial"/>
          <w:color w:val="808080" w:themeColor="background1" w:themeShade="80"/>
          <w:sz w:val="22"/>
          <w:szCs w:val="22"/>
        </w:rPr>
        <w:t>UNCITRAL Legislative Guide on Insolvency Law, Part 3 Chapter 3 Addressing the insolvency of Enterprise groups</w:t>
      </w:r>
      <w:r w:rsidR="002A5711">
        <w:rPr>
          <w:rFonts w:ascii="Arial" w:hAnsi="Arial" w:cs="Arial"/>
          <w:color w:val="808080" w:themeColor="background1" w:themeShade="80"/>
          <w:sz w:val="22"/>
          <w:szCs w:val="22"/>
        </w:rPr>
        <w:t>.</w:t>
      </w:r>
      <w:r>
        <w:rPr>
          <w:rFonts w:ascii="Arial" w:hAnsi="Arial" w:cs="Arial"/>
          <w:color w:val="808080" w:themeColor="background1" w:themeShade="80"/>
          <w:sz w:val="22"/>
          <w:szCs w:val="22"/>
        </w:rPr>
        <w:t xml:space="preserve">  </w:t>
      </w:r>
    </w:p>
    <w:p w14:paraId="0429DC86" w14:textId="2E0E9014" w:rsidR="001B3F41" w:rsidRDefault="001B3F41" w:rsidP="00BE2647">
      <w:pPr>
        <w:jc w:val="both"/>
        <w:rPr>
          <w:rFonts w:ascii="Arial" w:hAnsi="Arial" w:cs="Arial"/>
          <w:color w:val="808080" w:themeColor="background1" w:themeShade="80"/>
          <w:sz w:val="22"/>
          <w:szCs w:val="22"/>
        </w:rPr>
      </w:pPr>
    </w:p>
    <w:p w14:paraId="7FBA292D" w14:textId="23CAA25A" w:rsidR="007964AA" w:rsidRDefault="007964AA" w:rsidP="00BE2647">
      <w:pPr>
        <w:jc w:val="both"/>
        <w:rPr>
          <w:rFonts w:ascii="Arial" w:hAnsi="Arial" w:cs="Arial"/>
          <w:color w:val="808080" w:themeColor="background1" w:themeShade="80"/>
          <w:sz w:val="22"/>
          <w:szCs w:val="22"/>
        </w:rPr>
      </w:pPr>
    </w:p>
    <w:p w14:paraId="21E44C00" w14:textId="00B13C4B" w:rsidR="001B3F41" w:rsidRDefault="001B3F41" w:rsidP="00BE2647">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In the matter of </w:t>
      </w:r>
      <w:r>
        <w:rPr>
          <w:rFonts w:ascii="Arial" w:hAnsi="Arial" w:cs="Arial"/>
          <w:i/>
          <w:iCs/>
          <w:color w:val="808080" w:themeColor="background1" w:themeShade="80"/>
          <w:sz w:val="22"/>
          <w:szCs w:val="22"/>
        </w:rPr>
        <w:t xml:space="preserve">Re </w:t>
      </w:r>
      <w:proofErr w:type="spellStart"/>
      <w:r>
        <w:rPr>
          <w:rFonts w:ascii="Arial" w:hAnsi="Arial" w:cs="Arial"/>
          <w:i/>
          <w:iCs/>
          <w:color w:val="808080" w:themeColor="background1" w:themeShade="80"/>
          <w:sz w:val="22"/>
          <w:szCs w:val="22"/>
        </w:rPr>
        <w:t>Betcorp</w:t>
      </w:r>
      <w:proofErr w:type="spellEnd"/>
      <w:r>
        <w:rPr>
          <w:rFonts w:ascii="Arial" w:hAnsi="Arial" w:cs="Arial"/>
          <w:i/>
          <w:iCs/>
          <w:color w:val="808080" w:themeColor="background1" w:themeShade="80"/>
          <w:sz w:val="22"/>
          <w:szCs w:val="22"/>
        </w:rPr>
        <w:t xml:space="preserve"> Ltd </w:t>
      </w:r>
      <w:r>
        <w:rPr>
          <w:rFonts w:ascii="Arial" w:hAnsi="Arial" w:cs="Arial"/>
          <w:color w:val="808080" w:themeColor="background1" w:themeShade="80"/>
          <w:sz w:val="22"/>
          <w:szCs w:val="22"/>
        </w:rPr>
        <w:t>400 BR 266</w:t>
      </w:r>
      <w:r w:rsidR="002A5711">
        <w:rPr>
          <w:rFonts w:ascii="Arial" w:hAnsi="Arial" w:cs="Arial"/>
          <w:color w:val="808080" w:themeColor="background1" w:themeShade="80"/>
          <w:sz w:val="22"/>
          <w:szCs w:val="22"/>
        </w:rPr>
        <w:t xml:space="preserve"> (</w:t>
      </w:r>
      <w:proofErr w:type="spellStart"/>
      <w:r w:rsidR="002A5711">
        <w:rPr>
          <w:rFonts w:ascii="Arial" w:hAnsi="Arial" w:cs="Arial"/>
          <w:i/>
          <w:iCs/>
          <w:color w:val="808080" w:themeColor="background1" w:themeShade="80"/>
          <w:sz w:val="22"/>
          <w:szCs w:val="22"/>
        </w:rPr>
        <w:t>Betcorp</w:t>
      </w:r>
      <w:proofErr w:type="spellEnd"/>
      <w:r w:rsidR="002A5711">
        <w:rPr>
          <w:rFonts w:ascii="Arial" w:hAnsi="Arial" w:cs="Arial"/>
          <w:i/>
          <w:iCs/>
          <w:color w:val="808080" w:themeColor="background1" w:themeShade="80"/>
          <w:sz w:val="22"/>
          <w:szCs w:val="22"/>
        </w:rPr>
        <w:t>)</w:t>
      </w:r>
      <w:r>
        <w:rPr>
          <w:rFonts w:ascii="Arial" w:hAnsi="Arial" w:cs="Arial"/>
          <w:color w:val="808080" w:themeColor="background1" w:themeShade="80"/>
          <w:sz w:val="22"/>
          <w:szCs w:val="22"/>
        </w:rPr>
        <w:t xml:space="preserve"> cited in </w:t>
      </w:r>
      <w:proofErr w:type="spellStart"/>
      <w:r>
        <w:rPr>
          <w:rFonts w:ascii="Arial" w:hAnsi="Arial" w:cs="Arial"/>
          <w:i/>
          <w:iCs/>
          <w:color w:val="808080" w:themeColor="background1" w:themeShade="80"/>
          <w:sz w:val="22"/>
          <w:szCs w:val="22"/>
        </w:rPr>
        <w:t>Agrokor</w:t>
      </w:r>
      <w:proofErr w:type="spellEnd"/>
      <w:r>
        <w:rPr>
          <w:rFonts w:ascii="Arial" w:hAnsi="Arial" w:cs="Arial"/>
          <w:color w:val="808080" w:themeColor="background1" w:themeShade="80"/>
          <w:sz w:val="22"/>
          <w:szCs w:val="22"/>
        </w:rPr>
        <w:t xml:space="preserve"> the Court held:  </w:t>
      </w:r>
    </w:p>
    <w:p w14:paraId="30B0C4E0" w14:textId="087DA3A3" w:rsidR="001B3F41" w:rsidRDefault="001B3F41" w:rsidP="00BE2647">
      <w:pPr>
        <w:jc w:val="both"/>
        <w:rPr>
          <w:rFonts w:ascii="Arial" w:hAnsi="Arial" w:cs="Arial"/>
          <w:color w:val="808080" w:themeColor="background1" w:themeShade="80"/>
          <w:sz w:val="22"/>
          <w:szCs w:val="22"/>
        </w:rPr>
      </w:pPr>
    </w:p>
    <w:p w14:paraId="56FB6B05" w14:textId="32D23FBC" w:rsidR="001B3F41" w:rsidRDefault="001B3F41" w:rsidP="00BE2647">
      <w:pPr>
        <w:jc w:val="both"/>
        <w:rPr>
          <w:rFonts w:ascii="Arial" w:hAnsi="Arial" w:cs="Arial"/>
          <w:color w:val="808080" w:themeColor="background1" w:themeShade="80"/>
          <w:sz w:val="22"/>
          <w:szCs w:val="22"/>
        </w:rPr>
      </w:pPr>
      <w:r>
        <w:rPr>
          <w:rFonts w:ascii="Arial" w:hAnsi="Arial" w:cs="Arial"/>
          <w:i/>
          <w:iCs/>
          <w:color w:val="808080" w:themeColor="background1" w:themeShade="80"/>
          <w:sz w:val="22"/>
          <w:szCs w:val="22"/>
        </w:rPr>
        <w:t>A collective proceeding is one that considers the rights and obligations of all creditors.</w:t>
      </w:r>
    </w:p>
    <w:p w14:paraId="46E3E58A" w14:textId="2FE9BB98" w:rsidR="002934C0" w:rsidRDefault="002934C0" w:rsidP="00BE2647">
      <w:pPr>
        <w:jc w:val="both"/>
        <w:rPr>
          <w:rFonts w:ascii="Arial" w:hAnsi="Arial" w:cs="Arial"/>
          <w:color w:val="808080" w:themeColor="background1" w:themeShade="80"/>
          <w:sz w:val="22"/>
          <w:szCs w:val="22"/>
        </w:rPr>
      </w:pPr>
    </w:p>
    <w:p w14:paraId="671ED145" w14:textId="239C92D7" w:rsidR="002A5711" w:rsidRDefault="002A5711" w:rsidP="002A5711">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Applying the UNCITRAL guidelines as well as </w:t>
      </w:r>
      <w:proofErr w:type="spellStart"/>
      <w:r w:rsidRPr="002A5711">
        <w:rPr>
          <w:rFonts w:ascii="Arial" w:hAnsi="Arial" w:cs="Arial"/>
          <w:i/>
          <w:iCs/>
          <w:color w:val="808080" w:themeColor="background1" w:themeShade="80"/>
          <w:sz w:val="22"/>
          <w:szCs w:val="22"/>
        </w:rPr>
        <w:t>Betcorp</w:t>
      </w:r>
      <w:proofErr w:type="spellEnd"/>
      <w:r>
        <w:rPr>
          <w:rFonts w:ascii="Arial" w:hAnsi="Arial" w:cs="Arial"/>
          <w:color w:val="808080" w:themeColor="background1" w:themeShade="80"/>
          <w:sz w:val="22"/>
          <w:szCs w:val="22"/>
        </w:rPr>
        <w:t xml:space="preserve">, the court in </w:t>
      </w:r>
      <w:proofErr w:type="spellStart"/>
      <w:r>
        <w:rPr>
          <w:rFonts w:ascii="Arial" w:hAnsi="Arial" w:cs="Arial"/>
          <w:color w:val="808080" w:themeColor="background1" w:themeShade="80"/>
          <w:sz w:val="22"/>
          <w:szCs w:val="22"/>
        </w:rPr>
        <w:t>Agrokor</w:t>
      </w:r>
      <w:proofErr w:type="spellEnd"/>
      <w:r>
        <w:rPr>
          <w:rFonts w:ascii="Arial" w:hAnsi="Arial" w:cs="Arial"/>
          <w:color w:val="808080" w:themeColor="background1" w:themeShade="80"/>
          <w:sz w:val="22"/>
          <w:szCs w:val="22"/>
        </w:rPr>
        <w:t xml:space="preserve"> </w:t>
      </w:r>
      <w:r w:rsidRPr="002A5711">
        <w:rPr>
          <w:rFonts w:ascii="Arial" w:hAnsi="Arial" w:cs="Arial"/>
          <w:color w:val="808080" w:themeColor="background1" w:themeShade="80"/>
          <w:sz w:val="22"/>
          <w:szCs w:val="22"/>
        </w:rPr>
        <w:t xml:space="preserve">found that there was nothing in the CBIR to prevent a foreign proceeding </w:t>
      </w:r>
      <w:r w:rsidR="00E62934">
        <w:rPr>
          <w:rFonts w:ascii="Arial" w:hAnsi="Arial" w:cs="Arial"/>
          <w:color w:val="808080" w:themeColor="background1" w:themeShade="80"/>
          <w:sz w:val="22"/>
          <w:szCs w:val="22"/>
        </w:rPr>
        <w:t>which</w:t>
      </w:r>
      <w:r w:rsidRPr="002A5711">
        <w:rPr>
          <w:rFonts w:ascii="Arial" w:hAnsi="Arial" w:cs="Arial"/>
          <w:color w:val="808080" w:themeColor="background1" w:themeShade="80"/>
          <w:sz w:val="22"/>
          <w:szCs w:val="22"/>
        </w:rPr>
        <w:t xml:space="preserve"> involves a group of companies</w:t>
      </w:r>
      <w:r w:rsidR="00E62934">
        <w:rPr>
          <w:rFonts w:ascii="Arial" w:hAnsi="Arial" w:cs="Arial"/>
          <w:color w:val="808080" w:themeColor="background1" w:themeShade="80"/>
          <w:sz w:val="22"/>
          <w:szCs w:val="22"/>
        </w:rPr>
        <w:t xml:space="preserve"> from being recognized</w:t>
      </w:r>
      <w:r w:rsidRPr="002A5711">
        <w:rPr>
          <w:rFonts w:ascii="Arial" w:hAnsi="Arial" w:cs="Arial"/>
          <w:color w:val="808080" w:themeColor="background1" w:themeShade="80"/>
          <w:sz w:val="22"/>
          <w:szCs w:val="22"/>
        </w:rPr>
        <w:t>.</w:t>
      </w:r>
      <w:r w:rsidRPr="002A5711">
        <w:rPr>
          <w:rFonts w:ascii="Arial" w:hAnsi="Arial" w:cs="Arial"/>
          <w:color w:val="808080" w:themeColor="background1" w:themeShade="80"/>
          <w:sz w:val="22"/>
          <w:szCs w:val="22"/>
          <w:vertAlign w:val="superscript"/>
        </w:rPr>
        <w:footnoteReference w:id="15"/>
      </w:r>
    </w:p>
    <w:p w14:paraId="48E7D1E8" w14:textId="77777777" w:rsidR="00115B21" w:rsidRPr="002A5711" w:rsidRDefault="00115B21" w:rsidP="002A5711">
      <w:pPr>
        <w:jc w:val="both"/>
        <w:rPr>
          <w:rFonts w:ascii="Arial" w:hAnsi="Arial" w:cs="Arial"/>
          <w:color w:val="808080" w:themeColor="background1" w:themeShade="80"/>
          <w:sz w:val="22"/>
          <w:szCs w:val="22"/>
        </w:rPr>
      </w:pPr>
    </w:p>
    <w:p w14:paraId="6C098365" w14:textId="34FDC9BE" w:rsidR="001B3F41" w:rsidRDefault="001B3F41" w:rsidP="00BE2647">
      <w:pPr>
        <w:jc w:val="both"/>
        <w:rPr>
          <w:rFonts w:ascii="Arial" w:hAnsi="Arial" w:cs="Arial"/>
          <w:i/>
          <w:iCs/>
          <w:color w:val="808080" w:themeColor="background1" w:themeShade="80"/>
          <w:sz w:val="22"/>
          <w:szCs w:val="22"/>
        </w:rPr>
      </w:pPr>
    </w:p>
    <w:p w14:paraId="073153AC" w14:textId="54154671" w:rsidR="00115B21" w:rsidRDefault="00115B21" w:rsidP="00BE2647">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u w:val="single"/>
        </w:rPr>
        <w:t xml:space="preserve">Assets and affairs subject to the control of the foreign court:  </w:t>
      </w:r>
    </w:p>
    <w:p w14:paraId="4F306647" w14:textId="0ED08198" w:rsidR="00115B21" w:rsidRDefault="00115B21" w:rsidP="00BE2647">
      <w:pPr>
        <w:jc w:val="both"/>
        <w:rPr>
          <w:rFonts w:ascii="Arial" w:hAnsi="Arial" w:cs="Arial"/>
          <w:color w:val="808080" w:themeColor="background1" w:themeShade="80"/>
          <w:sz w:val="22"/>
          <w:szCs w:val="22"/>
        </w:rPr>
      </w:pPr>
    </w:p>
    <w:p w14:paraId="700868DA" w14:textId="221E42EE" w:rsidR="00115B21" w:rsidRDefault="00115B21" w:rsidP="00BE2647">
      <w:pPr>
        <w:jc w:val="both"/>
        <w:rPr>
          <w:rFonts w:ascii="Arial" w:hAnsi="Arial" w:cs="Arial"/>
          <w:color w:val="808080" w:themeColor="background1" w:themeShade="80"/>
          <w:sz w:val="22"/>
          <w:szCs w:val="22"/>
        </w:rPr>
      </w:pPr>
      <w:proofErr w:type="spellStart"/>
      <w:r>
        <w:rPr>
          <w:rFonts w:ascii="Arial" w:hAnsi="Arial" w:cs="Arial"/>
          <w:i/>
          <w:iCs/>
          <w:color w:val="808080" w:themeColor="background1" w:themeShade="80"/>
          <w:sz w:val="22"/>
          <w:szCs w:val="22"/>
        </w:rPr>
        <w:t>Agrokor</w:t>
      </w:r>
      <w:proofErr w:type="spellEnd"/>
      <w:r>
        <w:rPr>
          <w:rFonts w:ascii="Arial" w:hAnsi="Arial" w:cs="Arial"/>
          <w:i/>
          <w:iCs/>
          <w:color w:val="808080" w:themeColor="background1" w:themeShade="80"/>
          <w:sz w:val="22"/>
          <w:szCs w:val="22"/>
        </w:rPr>
        <w:t xml:space="preserve"> </w:t>
      </w:r>
      <w:r>
        <w:rPr>
          <w:rFonts w:ascii="Arial" w:hAnsi="Arial" w:cs="Arial"/>
          <w:color w:val="808080" w:themeColor="background1" w:themeShade="80"/>
          <w:sz w:val="22"/>
          <w:szCs w:val="22"/>
        </w:rPr>
        <w:t xml:space="preserve">referring to the Enactment Guide found that control or supervision consisted of the monitoring of compliance which should be formal.  </w:t>
      </w:r>
    </w:p>
    <w:p w14:paraId="7DFA6E90" w14:textId="15021399" w:rsidR="00115B21" w:rsidRDefault="00115B21" w:rsidP="00BE2647">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Such control could be by an insolvency representative or the court and extended to a debtor in possession.  </w:t>
      </w:r>
    </w:p>
    <w:p w14:paraId="0BB67FD2" w14:textId="73524758" w:rsidR="00115B21" w:rsidRDefault="00115B21" w:rsidP="00BE2647">
      <w:pPr>
        <w:jc w:val="both"/>
        <w:rPr>
          <w:rFonts w:ascii="Arial" w:hAnsi="Arial" w:cs="Arial"/>
          <w:color w:val="808080" w:themeColor="background1" w:themeShade="80"/>
          <w:sz w:val="22"/>
          <w:szCs w:val="22"/>
        </w:rPr>
      </w:pPr>
    </w:p>
    <w:p w14:paraId="3687F3AE" w14:textId="101FDC08" w:rsidR="00115B21" w:rsidRPr="00BE2647" w:rsidRDefault="00115B21" w:rsidP="00BE2647">
      <w:pPr>
        <w:jc w:val="both"/>
        <w:rPr>
          <w:rFonts w:ascii="Arial" w:hAnsi="Arial" w:cs="Arial"/>
          <w:color w:val="808080" w:themeColor="background1" w:themeShade="80"/>
          <w:sz w:val="22"/>
          <w:szCs w:val="22"/>
        </w:rPr>
      </w:pPr>
      <w:proofErr w:type="spellStart"/>
      <w:r>
        <w:rPr>
          <w:rFonts w:ascii="Arial" w:hAnsi="Arial" w:cs="Arial"/>
          <w:i/>
          <w:iCs/>
          <w:color w:val="808080" w:themeColor="background1" w:themeShade="80"/>
          <w:sz w:val="22"/>
          <w:szCs w:val="22"/>
        </w:rPr>
        <w:t>Agrokor</w:t>
      </w:r>
      <w:proofErr w:type="spellEnd"/>
      <w:r>
        <w:rPr>
          <w:rFonts w:ascii="Arial" w:hAnsi="Arial" w:cs="Arial"/>
          <w:color w:val="808080" w:themeColor="background1" w:themeShade="80"/>
          <w:sz w:val="22"/>
          <w:szCs w:val="22"/>
        </w:rPr>
        <w:t xml:space="preserve"> applied the decision of </w:t>
      </w:r>
      <w:r>
        <w:rPr>
          <w:rFonts w:ascii="Arial" w:hAnsi="Arial" w:cs="Arial"/>
          <w:i/>
          <w:iCs/>
          <w:color w:val="808080" w:themeColor="background1" w:themeShade="80"/>
          <w:sz w:val="22"/>
          <w:szCs w:val="22"/>
        </w:rPr>
        <w:t xml:space="preserve">Re </w:t>
      </w:r>
      <w:proofErr w:type="spellStart"/>
      <w:r>
        <w:rPr>
          <w:rFonts w:ascii="Arial" w:hAnsi="Arial" w:cs="Arial"/>
          <w:i/>
          <w:iCs/>
          <w:color w:val="808080" w:themeColor="background1" w:themeShade="80"/>
          <w:sz w:val="22"/>
          <w:szCs w:val="22"/>
        </w:rPr>
        <w:t>Ashapura</w:t>
      </w:r>
      <w:proofErr w:type="spellEnd"/>
      <w:r>
        <w:rPr>
          <w:rFonts w:ascii="Arial" w:hAnsi="Arial" w:cs="Arial"/>
          <w:i/>
          <w:iCs/>
          <w:color w:val="808080" w:themeColor="background1" w:themeShade="80"/>
          <w:sz w:val="22"/>
          <w:szCs w:val="22"/>
        </w:rPr>
        <w:t xml:space="preserve"> </w:t>
      </w:r>
      <w:proofErr w:type="spellStart"/>
      <w:r>
        <w:rPr>
          <w:rFonts w:ascii="Arial" w:hAnsi="Arial" w:cs="Arial"/>
          <w:i/>
          <w:iCs/>
          <w:color w:val="808080" w:themeColor="background1" w:themeShade="80"/>
          <w:sz w:val="22"/>
          <w:szCs w:val="22"/>
        </w:rPr>
        <w:t>Minechem</w:t>
      </w:r>
      <w:proofErr w:type="spellEnd"/>
      <w:r>
        <w:rPr>
          <w:rFonts w:ascii="Arial" w:hAnsi="Arial" w:cs="Arial"/>
          <w:i/>
          <w:iCs/>
          <w:color w:val="808080" w:themeColor="background1" w:themeShade="80"/>
          <w:sz w:val="22"/>
          <w:szCs w:val="22"/>
        </w:rPr>
        <w:t xml:space="preserve"> Ltd </w:t>
      </w:r>
      <w:r>
        <w:rPr>
          <w:rFonts w:ascii="Arial" w:hAnsi="Arial" w:cs="Arial"/>
          <w:color w:val="808080" w:themeColor="background1" w:themeShade="80"/>
          <w:sz w:val="22"/>
          <w:szCs w:val="22"/>
        </w:rPr>
        <w:t xml:space="preserve">480 BR 129 (2012) which found day to day supervision was not required, but a monitoring to ensure compliance remained a minimum standard.  </w:t>
      </w:r>
    </w:p>
    <w:p w14:paraId="39A78EC1" w14:textId="7C4F990E" w:rsidR="0080040C" w:rsidRDefault="0080040C" w:rsidP="00AF122E">
      <w:pPr>
        <w:jc w:val="both"/>
        <w:rPr>
          <w:rFonts w:ascii="Arial" w:hAnsi="Arial" w:cs="Arial"/>
          <w:color w:val="808080" w:themeColor="background1" w:themeShade="80"/>
          <w:sz w:val="22"/>
          <w:szCs w:val="22"/>
        </w:rPr>
      </w:pPr>
    </w:p>
    <w:p w14:paraId="14AFB7CF" w14:textId="342B2E48" w:rsidR="00541726" w:rsidRDefault="00541726" w:rsidP="00AF122E">
      <w:pPr>
        <w:jc w:val="both"/>
        <w:rPr>
          <w:rFonts w:ascii="Arial" w:hAnsi="Arial" w:cs="Arial"/>
          <w:color w:val="808080" w:themeColor="background1" w:themeShade="80"/>
          <w:sz w:val="22"/>
          <w:szCs w:val="22"/>
        </w:rPr>
      </w:pPr>
    </w:p>
    <w:p w14:paraId="779B4ED4" w14:textId="35FD72DB" w:rsidR="00541726" w:rsidRDefault="00541726" w:rsidP="00AF122E">
      <w:pPr>
        <w:jc w:val="both"/>
        <w:rPr>
          <w:rFonts w:ascii="Arial" w:hAnsi="Arial" w:cs="Arial"/>
          <w:b/>
          <w:bCs/>
          <w:color w:val="808080" w:themeColor="background1" w:themeShade="80"/>
          <w:sz w:val="22"/>
          <w:szCs w:val="22"/>
          <w:u w:val="single"/>
        </w:rPr>
      </w:pPr>
      <w:r w:rsidRPr="00541726">
        <w:rPr>
          <w:rFonts w:ascii="Arial" w:hAnsi="Arial" w:cs="Arial"/>
          <w:b/>
          <w:bCs/>
          <w:color w:val="808080" w:themeColor="background1" w:themeShade="80"/>
          <w:sz w:val="22"/>
          <w:szCs w:val="22"/>
          <w:u w:val="single"/>
        </w:rPr>
        <w:t>Application of the law to the facts:</w:t>
      </w:r>
    </w:p>
    <w:p w14:paraId="29D8A1BB" w14:textId="77777777" w:rsidR="00172A40" w:rsidRDefault="00172A40" w:rsidP="00172A40">
      <w:pPr>
        <w:jc w:val="both"/>
        <w:rPr>
          <w:rFonts w:ascii="Arial" w:hAnsi="Arial" w:cs="Arial"/>
          <w:b/>
          <w:bCs/>
          <w:color w:val="808080" w:themeColor="background1" w:themeShade="80"/>
          <w:sz w:val="22"/>
          <w:szCs w:val="22"/>
          <w:u w:val="single"/>
        </w:rPr>
      </w:pPr>
    </w:p>
    <w:p w14:paraId="4FDF8012" w14:textId="2EC2AFAA" w:rsidR="00172A40" w:rsidRDefault="00193A6F" w:rsidP="00172A4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decision as to whether the application qualifies as a foreign proceeding, rests upon the satisfaction of proof of </w:t>
      </w:r>
      <w:r w:rsidR="00E62934">
        <w:rPr>
          <w:rFonts w:ascii="Arial" w:hAnsi="Arial" w:cs="Arial"/>
          <w:color w:val="808080" w:themeColor="background1" w:themeShade="80"/>
          <w:sz w:val="22"/>
          <w:szCs w:val="22"/>
          <w:lang w:val="en-GB"/>
        </w:rPr>
        <w:t>the elements of a foreign proceeding as enumerated in the Model Law</w:t>
      </w:r>
      <w:r>
        <w:rPr>
          <w:rFonts w:ascii="Arial" w:hAnsi="Arial" w:cs="Arial"/>
          <w:color w:val="808080" w:themeColor="background1" w:themeShade="80"/>
          <w:sz w:val="22"/>
          <w:szCs w:val="22"/>
          <w:lang w:val="en-GB"/>
        </w:rPr>
        <w:t xml:space="preserve">.  </w:t>
      </w:r>
    </w:p>
    <w:p w14:paraId="05312CFE" w14:textId="77777777" w:rsidR="00193A6F" w:rsidRDefault="00193A6F" w:rsidP="00172A40">
      <w:pPr>
        <w:jc w:val="both"/>
        <w:rPr>
          <w:rFonts w:ascii="Arial" w:hAnsi="Arial" w:cs="Arial"/>
          <w:color w:val="808080" w:themeColor="background1" w:themeShade="80"/>
          <w:sz w:val="22"/>
          <w:szCs w:val="22"/>
          <w:lang w:val="en-GB"/>
        </w:rPr>
      </w:pPr>
    </w:p>
    <w:p w14:paraId="632F37FC" w14:textId="49243BB7" w:rsidR="005238B8" w:rsidRDefault="00BA5455" w:rsidP="00172A4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w:t>
      </w:r>
      <w:proofErr w:type="spellStart"/>
      <w:r w:rsidRPr="00BA5455">
        <w:rPr>
          <w:rFonts w:ascii="Arial" w:hAnsi="Arial" w:cs="Arial"/>
          <w:color w:val="808080" w:themeColor="background1" w:themeShade="80"/>
          <w:sz w:val="22"/>
          <w:szCs w:val="22"/>
        </w:rPr>
        <w:t>gainst</w:t>
      </w:r>
      <w:proofErr w:type="spellEnd"/>
      <w:r w:rsidRPr="00BA5455">
        <w:rPr>
          <w:rFonts w:ascii="Arial" w:hAnsi="Arial" w:cs="Arial"/>
          <w:color w:val="808080" w:themeColor="background1" w:themeShade="80"/>
          <w:sz w:val="22"/>
          <w:szCs w:val="22"/>
        </w:rPr>
        <w:t xml:space="preserve"> the background of the legal consequences that are triggered by the characterization of a proceeding as an insolvency proceeding</w:t>
      </w:r>
      <w:r>
        <w:rPr>
          <w:rFonts w:ascii="Arial" w:hAnsi="Arial" w:cs="Arial"/>
          <w:color w:val="808080" w:themeColor="background1" w:themeShade="80"/>
          <w:sz w:val="22"/>
          <w:szCs w:val="22"/>
        </w:rPr>
        <w:t xml:space="preserve">, the LBBA and DGF Laws contains specific Articles dealing with </w:t>
      </w:r>
      <w:r w:rsidR="005238B8">
        <w:rPr>
          <w:rFonts w:ascii="Arial" w:hAnsi="Arial" w:cs="Arial"/>
          <w:color w:val="808080" w:themeColor="background1" w:themeShade="80"/>
          <w:sz w:val="22"/>
          <w:szCs w:val="22"/>
          <w:lang w:val="en-GB"/>
        </w:rPr>
        <w:t xml:space="preserve">reorganization or liquidation.  </w:t>
      </w:r>
      <w:r w:rsidR="007C2223">
        <w:rPr>
          <w:rFonts w:ascii="Arial" w:hAnsi="Arial" w:cs="Arial"/>
          <w:color w:val="808080" w:themeColor="background1" w:themeShade="80"/>
          <w:sz w:val="22"/>
          <w:szCs w:val="22"/>
          <w:lang w:val="en-GB"/>
        </w:rPr>
        <w:t>This takes place in a separate country, being Country A, fulfilling the element of a foreign proceeding.</w:t>
      </w:r>
    </w:p>
    <w:p w14:paraId="4CFE9C00" w14:textId="77777777" w:rsidR="00E62934" w:rsidRDefault="00E62934" w:rsidP="00172A40">
      <w:pPr>
        <w:jc w:val="both"/>
        <w:rPr>
          <w:rFonts w:ascii="Arial" w:hAnsi="Arial" w:cs="Arial"/>
          <w:color w:val="808080" w:themeColor="background1" w:themeShade="80"/>
          <w:sz w:val="22"/>
          <w:szCs w:val="22"/>
          <w:lang w:val="en-GB"/>
        </w:rPr>
      </w:pPr>
    </w:p>
    <w:p w14:paraId="4500F98F" w14:textId="5EB37FFE" w:rsidR="005238B8" w:rsidRDefault="005238B8" w:rsidP="00172A4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Article 75 </w:t>
      </w:r>
      <w:r w:rsidR="00E62934">
        <w:rPr>
          <w:rFonts w:ascii="Arial" w:hAnsi="Arial" w:cs="Arial"/>
          <w:color w:val="808080" w:themeColor="background1" w:themeShade="80"/>
          <w:sz w:val="22"/>
          <w:szCs w:val="22"/>
          <w:lang w:val="en-GB"/>
        </w:rPr>
        <w:t xml:space="preserve">allows the LLBA to </w:t>
      </w:r>
      <w:r w:rsidR="00E62934" w:rsidRPr="00E62934">
        <w:rPr>
          <w:rFonts w:ascii="Arial" w:hAnsi="Arial" w:cs="Arial"/>
          <w:color w:val="808080" w:themeColor="background1" w:themeShade="80"/>
          <w:sz w:val="22"/>
          <w:szCs w:val="22"/>
          <w:lang w:val="en-GB"/>
        </w:rPr>
        <w:t>classify a bank as “troubled” if it meets at least one of the criteria set down by article 75 of the Law of Country A</w:t>
      </w:r>
      <w:r w:rsidR="00E62934">
        <w:rPr>
          <w:rFonts w:ascii="Arial" w:hAnsi="Arial" w:cs="Arial"/>
          <w:color w:val="808080" w:themeColor="background1" w:themeShade="80"/>
          <w:sz w:val="22"/>
          <w:szCs w:val="22"/>
          <w:lang w:val="en-GB"/>
        </w:rPr>
        <w:t xml:space="preserve"> in its regulations.</w:t>
      </w:r>
    </w:p>
    <w:p w14:paraId="274224DE" w14:textId="77777777" w:rsidR="00E62934" w:rsidRDefault="00E62934" w:rsidP="00172A40">
      <w:pPr>
        <w:jc w:val="both"/>
        <w:rPr>
          <w:rFonts w:ascii="Arial" w:hAnsi="Arial" w:cs="Arial"/>
          <w:color w:val="808080" w:themeColor="background1" w:themeShade="80"/>
          <w:sz w:val="22"/>
          <w:szCs w:val="22"/>
          <w:lang w:val="en-GB"/>
        </w:rPr>
      </w:pPr>
    </w:p>
    <w:p w14:paraId="20E70F20" w14:textId="22B6F710" w:rsidR="00964C7E" w:rsidRPr="00964C7E" w:rsidRDefault="005238B8" w:rsidP="00964C7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Article 76 </w:t>
      </w:r>
      <w:r w:rsidR="00E62934">
        <w:rPr>
          <w:rFonts w:ascii="Arial" w:hAnsi="Arial" w:cs="Arial"/>
          <w:color w:val="808080" w:themeColor="background1" w:themeShade="80"/>
          <w:sz w:val="22"/>
          <w:szCs w:val="22"/>
          <w:lang w:val="en-GB"/>
        </w:rPr>
        <w:t xml:space="preserve">makes it obligatory for the NB </w:t>
      </w:r>
      <w:r w:rsidR="00E62934" w:rsidRPr="00E62934">
        <w:rPr>
          <w:rFonts w:ascii="Arial" w:hAnsi="Arial" w:cs="Arial"/>
          <w:color w:val="808080" w:themeColor="background1" w:themeShade="80"/>
          <w:sz w:val="22"/>
          <w:szCs w:val="22"/>
          <w:lang w:val="en-GB"/>
        </w:rPr>
        <w:t xml:space="preserve">to classify </w:t>
      </w:r>
      <w:r w:rsidR="00964C7E">
        <w:rPr>
          <w:rFonts w:ascii="Arial" w:hAnsi="Arial" w:cs="Arial"/>
          <w:color w:val="808080" w:themeColor="background1" w:themeShade="80"/>
          <w:sz w:val="22"/>
          <w:szCs w:val="22"/>
          <w:lang w:val="en-GB"/>
        </w:rPr>
        <w:t>the Commercial Bank</w:t>
      </w:r>
      <w:r w:rsidR="00E62934" w:rsidRPr="00E62934">
        <w:rPr>
          <w:rFonts w:ascii="Arial" w:hAnsi="Arial" w:cs="Arial"/>
          <w:color w:val="808080" w:themeColor="background1" w:themeShade="80"/>
          <w:sz w:val="22"/>
          <w:szCs w:val="22"/>
          <w:lang w:val="en-GB"/>
        </w:rPr>
        <w:t xml:space="preserve"> as insolvent if it meets the criteria set out in article 76 of the LBBA, </w:t>
      </w:r>
      <w:r w:rsidR="00964C7E">
        <w:rPr>
          <w:rFonts w:ascii="Arial" w:hAnsi="Arial" w:cs="Arial"/>
          <w:color w:val="808080" w:themeColor="background1" w:themeShade="80"/>
          <w:sz w:val="22"/>
          <w:szCs w:val="22"/>
          <w:lang w:val="en-GB"/>
        </w:rPr>
        <w:t>specifically, the Commercial Bank’s inability to meet its financial obligations,</w:t>
      </w:r>
      <w:r w:rsidR="00964C7E">
        <w:rPr>
          <w:rStyle w:val="FootnoteReference"/>
          <w:rFonts w:ascii="Arial" w:hAnsi="Arial" w:cs="Arial"/>
          <w:color w:val="808080" w:themeColor="background1" w:themeShade="80"/>
          <w:sz w:val="22"/>
          <w:szCs w:val="22"/>
          <w:lang w:val="en-GB"/>
        </w:rPr>
        <w:footnoteReference w:id="16"/>
      </w:r>
      <w:r w:rsidR="00964C7E">
        <w:rPr>
          <w:rFonts w:ascii="Arial" w:hAnsi="Arial" w:cs="Arial"/>
          <w:color w:val="808080" w:themeColor="background1" w:themeShade="80"/>
          <w:sz w:val="22"/>
          <w:szCs w:val="22"/>
          <w:lang w:val="en-GB"/>
        </w:rPr>
        <w:t xml:space="preserve"> or </w:t>
      </w:r>
      <w:r w:rsidR="00964C7E">
        <w:rPr>
          <w:rFonts w:ascii="Arial" w:hAnsi="Arial" w:cs="Arial"/>
          <w:i/>
          <w:iCs/>
          <w:color w:val="808080" w:themeColor="background1" w:themeShade="80"/>
          <w:sz w:val="22"/>
          <w:szCs w:val="22"/>
          <w:lang w:val="en-GB"/>
        </w:rPr>
        <w:t xml:space="preserve">prima facie </w:t>
      </w:r>
      <w:r w:rsidR="00964C7E">
        <w:rPr>
          <w:rFonts w:ascii="Arial" w:hAnsi="Arial" w:cs="Arial"/>
          <w:color w:val="808080" w:themeColor="background1" w:themeShade="80"/>
          <w:sz w:val="22"/>
          <w:szCs w:val="22"/>
          <w:lang w:val="en-GB"/>
        </w:rPr>
        <w:t>balance-sheet insolvency</w:t>
      </w:r>
      <w:r w:rsidR="00964C7E">
        <w:rPr>
          <w:rStyle w:val="FootnoteReference"/>
          <w:rFonts w:ascii="Arial" w:hAnsi="Arial" w:cs="Arial"/>
          <w:color w:val="808080" w:themeColor="background1" w:themeShade="80"/>
          <w:sz w:val="22"/>
          <w:szCs w:val="22"/>
          <w:lang w:val="en-GB"/>
        </w:rPr>
        <w:footnoteReference w:id="17"/>
      </w:r>
      <w:r w:rsidR="00964C7E">
        <w:rPr>
          <w:rFonts w:ascii="Arial" w:hAnsi="Arial" w:cs="Arial"/>
          <w:color w:val="808080" w:themeColor="background1" w:themeShade="80"/>
          <w:sz w:val="22"/>
          <w:szCs w:val="22"/>
          <w:lang w:val="en-GB"/>
        </w:rPr>
        <w:t xml:space="preserve"> and for which, after being declared “troubled” as under Article 75, </w:t>
      </w:r>
      <w:r w:rsidR="007C2223">
        <w:rPr>
          <w:rFonts w:ascii="Arial" w:hAnsi="Arial" w:cs="Arial"/>
          <w:color w:val="808080" w:themeColor="background1" w:themeShade="80"/>
          <w:sz w:val="22"/>
          <w:szCs w:val="22"/>
          <w:lang w:val="en-GB"/>
        </w:rPr>
        <w:t xml:space="preserve">the Commercial Bank </w:t>
      </w:r>
      <w:r w:rsidR="00964C7E" w:rsidRPr="00964C7E">
        <w:rPr>
          <w:rFonts w:ascii="Arial" w:hAnsi="Arial" w:cs="Arial"/>
          <w:color w:val="808080" w:themeColor="background1" w:themeShade="80"/>
          <w:sz w:val="22"/>
          <w:szCs w:val="22"/>
          <w:lang w:val="en-GB"/>
        </w:rPr>
        <w:t>fails to comply with an order or decision of the NB and / or a request by the NB to remedy violations of the banking law.</w:t>
      </w:r>
    </w:p>
    <w:p w14:paraId="229010CD" w14:textId="5B3C1325" w:rsidR="00E62934" w:rsidRPr="00964C7E" w:rsidRDefault="00E62934" w:rsidP="00E62934">
      <w:pPr>
        <w:jc w:val="both"/>
        <w:rPr>
          <w:rFonts w:ascii="Arial" w:hAnsi="Arial" w:cs="Arial"/>
          <w:color w:val="808080" w:themeColor="background1" w:themeShade="80"/>
          <w:sz w:val="22"/>
          <w:szCs w:val="22"/>
          <w:lang w:val="en-GB"/>
        </w:rPr>
      </w:pPr>
    </w:p>
    <w:p w14:paraId="480F9A07" w14:textId="651C8051" w:rsidR="00E62934" w:rsidRPr="00E62934" w:rsidRDefault="00E62934" w:rsidP="00E62934">
      <w:pPr>
        <w:jc w:val="both"/>
        <w:rPr>
          <w:rFonts w:ascii="Arial" w:hAnsi="Arial" w:cs="Arial"/>
          <w:color w:val="808080" w:themeColor="background1" w:themeShade="80"/>
          <w:sz w:val="22"/>
          <w:szCs w:val="22"/>
          <w:lang w:val="en-GB"/>
        </w:rPr>
      </w:pPr>
      <w:r w:rsidRPr="00E62934">
        <w:rPr>
          <w:rFonts w:ascii="Arial" w:hAnsi="Arial" w:cs="Arial"/>
          <w:color w:val="808080" w:themeColor="background1" w:themeShade="80"/>
          <w:sz w:val="22"/>
          <w:szCs w:val="22"/>
          <w:lang w:val="en-GB"/>
        </w:rPr>
        <w:lastRenderedPageBreak/>
        <w:t xml:space="preserve">The NB </w:t>
      </w:r>
      <w:proofErr w:type="gramStart"/>
      <w:r w:rsidRPr="00E62934">
        <w:rPr>
          <w:rFonts w:ascii="Arial" w:hAnsi="Arial" w:cs="Arial"/>
          <w:color w:val="808080" w:themeColor="background1" w:themeShade="80"/>
          <w:sz w:val="22"/>
          <w:szCs w:val="22"/>
          <w:lang w:val="en-GB"/>
        </w:rPr>
        <w:t>has the ability to</w:t>
      </w:r>
      <w:proofErr w:type="gramEnd"/>
      <w:r w:rsidRPr="00E62934">
        <w:rPr>
          <w:rFonts w:ascii="Arial" w:hAnsi="Arial" w:cs="Arial"/>
          <w:color w:val="808080" w:themeColor="background1" w:themeShade="80"/>
          <w:sz w:val="22"/>
          <w:szCs w:val="22"/>
          <w:lang w:val="en-GB"/>
        </w:rPr>
        <w:t xml:space="preserve"> classify a bank as insolvent without necessarily needing to first go through the troubled stage. Article 77 of the LBBA accordingly provides that </w:t>
      </w:r>
      <w:r w:rsidR="00964C7E">
        <w:rPr>
          <w:rFonts w:ascii="Arial" w:hAnsi="Arial" w:cs="Arial"/>
          <w:color w:val="808080" w:themeColor="background1" w:themeShade="80"/>
          <w:sz w:val="22"/>
          <w:szCs w:val="22"/>
          <w:lang w:val="en-GB"/>
        </w:rPr>
        <w:t>the Commercial Bank c</w:t>
      </w:r>
      <w:r w:rsidRPr="00E62934">
        <w:rPr>
          <w:rFonts w:ascii="Arial" w:hAnsi="Arial" w:cs="Arial"/>
          <w:color w:val="808080" w:themeColor="background1" w:themeShade="80"/>
          <w:sz w:val="22"/>
          <w:szCs w:val="22"/>
          <w:lang w:val="en-GB"/>
        </w:rPr>
        <w:t xml:space="preserve">an be </w:t>
      </w:r>
      <w:r w:rsidR="00964C7E">
        <w:rPr>
          <w:rFonts w:ascii="Arial" w:hAnsi="Arial" w:cs="Arial"/>
          <w:color w:val="808080" w:themeColor="background1" w:themeShade="80"/>
          <w:sz w:val="22"/>
          <w:szCs w:val="22"/>
          <w:lang w:val="en-GB"/>
        </w:rPr>
        <w:t xml:space="preserve">declared insolvent </w:t>
      </w:r>
      <w:r w:rsidRPr="00E62934">
        <w:rPr>
          <w:rFonts w:ascii="Arial" w:hAnsi="Arial" w:cs="Arial"/>
          <w:color w:val="808080" w:themeColor="background1" w:themeShade="80"/>
          <w:sz w:val="22"/>
          <w:szCs w:val="22"/>
          <w:lang w:val="en-GB"/>
        </w:rPr>
        <w:t>by the NB directly</w:t>
      </w:r>
      <w:r>
        <w:rPr>
          <w:rFonts w:ascii="Arial" w:hAnsi="Arial" w:cs="Arial"/>
          <w:color w:val="808080" w:themeColor="background1" w:themeShade="80"/>
          <w:sz w:val="22"/>
          <w:szCs w:val="22"/>
          <w:lang w:val="en-GB"/>
        </w:rPr>
        <w:t xml:space="preserve"> and without necessarily needing to </w:t>
      </w:r>
      <w:r w:rsidR="00964C7E">
        <w:rPr>
          <w:rFonts w:ascii="Arial" w:hAnsi="Arial" w:cs="Arial"/>
          <w:color w:val="808080" w:themeColor="background1" w:themeShade="80"/>
          <w:sz w:val="22"/>
          <w:szCs w:val="22"/>
          <w:lang w:val="en-GB"/>
        </w:rPr>
        <w:t xml:space="preserve">invoke Article 75.  </w:t>
      </w:r>
    </w:p>
    <w:p w14:paraId="2BCD15D1" w14:textId="1994CDF8" w:rsidR="005238B8" w:rsidRDefault="005238B8" w:rsidP="00172A40">
      <w:pPr>
        <w:jc w:val="both"/>
        <w:rPr>
          <w:rFonts w:ascii="Arial" w:hAnsi="Arial" w:cs="Arial"/>
          <w:color w:val="808080" w:themeColor="background1" w:themeShade="80"/>
          <w:sz w:val="22"/>
          <w:szCs w:val="22"/>
          <w:lang w:val="en-GB"/>
        </w:rPr>
      </w:pPr>
    </w:p>
    <w:p w14:paraId="6155CA4F" w14:textId="6030E359" w:rsidR="00172A40" w:rsidRDefault="00172A40" w:rsidP="00172A4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Article 77 authorizes National Bank (NB) to declare the Commercial Bank Insolvent.  </w:t>
      </w:r>
    </w:p>
    <w:p w14:paraId="4E8EB28F" w14:textId="77777777" w:rsidR="007C2223" w:rsidRDefault="007C2223" w:rsidP="00172A40">
      <w:pPr>
        <w:jc w:val="both"/>
        <w:rPr>
          <w:rFonts w:ascii="Arial" w:hAnsi="Arial" w:cs="Arial"/>
          <w:color w:val="808080" w:themeColor="background1" w:themeShade="80"/>
          <w:sz w:val="22"/>
          <w:szCs w:val="22"/>
          <w:lang w:val="en-GB"/>
        </w:rPr>
      </w:pPr>
    </w:p>
    <w:p w14:paraId="08FC2115" w14:textId="77777777" w:rsidR="007C2223" w:rsidRDefault="005238B8" w:rsidP="005238B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Pr="005238B8">
        <w:rPr>
          <w:rFonts w:ascii="Arial" w:hAnsi="Arial" w:cs="Arial"/>
          <w:color w:val="808080" w:themeColor="background1" w:themeShade="80"/>
          <w:sz w:val="22"/>
          <w:szCs w:val="22"/>
          <w:lang w:val="en-GB"/>
        </w:rPr>
        <w:t xml:space="preserve">he abovementioned Articles </w:t>
      </w:r>
      <w:r w:rsidR="007C2223">
        <w:rPr>
          <w:rFonts w:ascii="Arial" w:hAnsi="Arial" w:cs="Arial"/>
          <w:color w:val="808080" w:themeColor="background1" w:themeShade="80"/>
          <w:sz w:val="22"/>
          <w:szCs w:val="22"/>
          <w:lang w:val="en-GB"/>
        </w:rPr>
        <w:t>demonstrate the power conferred by the LBBA to take administrative action under a law</w:t>
      </w:r>
      <w:r w:rsidRPr="005238B8">
        <w:rPr>
          <w:rFonts w:ascii="Arial" w:hAnsi="Arial" w:cs="Arial"/>
          <w:color w:val="808080" w:themeColor="background1" w:themeShade="80"/>
          <w:sz w:val="22"/>
          <w:szCs w:val="22"/>
          <w:lang w:val="en-GB"/>
        </w:rPr>
        <w:t xml:space="preserve"> relating to insolvency.  </w:t>
      </w:r>
    </w:p>
    <w:p w14:paraId="1D9F58F1" w14:textId="2744E519" w:rsidR="005238B8" w:rsidRDefault="00193A6F" w:rsidP="005238B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decision by </w:t>
      </w:r>
      <w:r w:rsidR="003466D9">
        <w:rPr>
          <w:rFonts w:ascii="Arial" w:hAnsi="Arial" w:cs="Arial"/>
          <w:color w:val="808080" w:themeColor="background1" w:themeShade="80"/>
          <w:sz w:val="22"/>
          <w:szCs w:val="22"/>
          <w:lang w:val="en-GB"/>
        </w:rPr>
        <w:t xml:space="preserve">the </w:t>
      </w:r>
      <w:r>
        <w:rPr>
          <w:rFonts w:ascii="Arial" w:hAnsi="Arial" w:cs="Arial"/>
          <w:color w:val="808080" w:themeColor="background1" w:themeShade="80"/>
          <w:sz w:val="22"/>
          <w:szCs w:val="22"/>
          <w:lang w:val="en-GB"/>
        </w:rPr>
        <w:t xml:space="preserve">NB </w:t>
      </w:r>
      <w:r w:rsidR="00767A4E">
        <w:rPr>
          <w:rFonts w:ascii="Arial" w:hAnsi="Arial" w:cs="Arial"/>
          <w:color w:val="808080" w:themeColor="background1" w:themeShade="80"/>
          <w:sz w:val="22"/>
          <w:szCs w:val="22"/>
          <w:lang w:val="en-GB"/>
        </w:rPr>
        <w:t xml:space="preserve">declaring the </w:t>
      </w:r>
      <w:r w:rsidR="00C37AC7">
        <w:rPr>
          <w:rFonts w:ascii="Arial" w:hAnsi="Arial" w:cs="Arial"/>
          <w:color w:val="808080" w:themeColor="background1" w:themeShade="80"/>
          <w:sz w:val="22"/>
          <w:szCs w:val="22"/>
          <w:lang w:val="en-GB"/>
        </w:rPr>
        <w:t xml:space="preserve">Commercial Bank insolvent triggers the </w:t>
      </w:r>
      <w:r>
        <w:rPr>
          <w:rFonts w:ascii="Arial" w:hAnsi="Arial" w:cs="Arial"/>
          <w:color w:val="808080" w:themeColor="background1" w:themeShade="80"/>
          <w:sz w:val="22"/>
          <w:szCs w:val="22"/>
          <w:lang w:val="en-GB"/>
        </w:rPr>
        <w:t xml:space="preserve">appointment </w:t>
      </w:r>
      <w:r w:rsidR="00C37AC7">
        <w:rPr>
          <w:rFonts w:ascii="Arial" w:hAnsi="Arial" w:cs="Arial"/>
          <w:color w:val="808080" w:themeColor="background1" w:themeShade="80"/>
          <w:sz w:val="22"/>
          <w:szCs w:val="22"/>
          <w:lang w:val="en-GB"/>
        </w:rPr>
        <w:t xml:space="preserve">of the Departmental Government Fund (“DGF”) as the formal liquidator – through an authorized representative – to commence the winding-up of the Commercial Bank.  </w:t>
      </w:r>
    </w:p>
    <w:p w14:paraId="1FDD6A39" w14:textId="50D64357" w:rsidR="00C37AC7" w:rsidRDefault="00C37AC7" w:rsidP="005238B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Again, this is an insolvency procedure designed for the purposes of liquidation.  </w:t>
      </w:r>
    </w:p>
    <w:p w14:paraId="46E244C9" w14:textId="77777777" w:rsidR="00C37AC7" w:rsidRPr="005238B8" w:rsidRDefault="00C37AC7" w:rsidP="005238B8">
      <w:pPr>
        <w:jc w:val="both"/>
        <w:rPr>
          <w:rFonts w:ascii="Arial" w:hAnsi="Arial" w:cs="Arial"/>
          <w:color w:val="808080" w:themeColor="background1" w:themeShade="80"/>
          <w:sz w:val="22"/>
          <w:szCs w:val="22"/>
          <w:lang w:val="en-GB"/>
        </w:rPr>
      </w:pPr>
    </w:p>
    <w:p w14:paraId="3B83C07C" w14:textId="3D650240" w:rsidR="00432A47" w:rsidRDefault="00C37AC7" w:rsidP="00172A4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As the DGF contains powers as stipulated in Article 34, to remove the Commercial Bank from the market; exclusive powers under Articles 35(5) and Articles 36(1)</w:t>
      </w:r>
      <w:r w:rsidR="00432A47">
        <w:rPr>
          <w:rFonts w:ascii="Arial" w:hAnsi="Arial" w:cs="Arial"/>
          <w:color w:val="808080" w:themeColor="background1" w:themeShade="80"/>
          <w:sz w:val="22"/>
          <w:szCs w:val="22"/>
          <w:lang w:val="en-GB"/>
        </w:rPr>
        <w:t xml:space="preserve">; </w:t>
      </w:r>
      <w:proofErr w:type="gramStart"/>
      <w:r w:rsidR="00432A47">
        <w:rPr>
          <w:rFonts w:ascii="Arial" w:hAnsi="Arial" w:cs="Arial"/>
          <w:color w:val="808080" w:themeColor="background1" w:themeShade="80"/>
          <w:sz w:val="22"/>
          <w:szCs w:val="22"/>
          <w:lang w:val="en-GB"/>
        </w:rPr>
        <w:t>and,</w:t>
      </w:r>
      <w:proofErr w:type="gramEnd"/>
      <w:r w:rsidR="00432A47">
        <w:rPr>
          <w:rFonts w:ascii="Arial" w:hAnsi="Arial" w:cs="Arial"/>
          <w:color w:val="808080" w:themeColor="background1" w:themeShade="80"/>
          <w:sz w:val="22"/>
          <w:szCs w:val="22"/>
          <w:lang w:val="en-GB"/>
        </w:rPr>
        <w:t xml:space="preserve"> the ability to impose a moratorium on all actions by creditors or execution against the assets of the Commercial Bank</w:t>
      </w:r>
      <w:r w:rsidR="003466D9">
        <w:rPr>
          <w:rFonts w:ascii="Arial" w:hAnsi="Arial" w:cs="Arial"/>
          <w:color w:val="808080" w:themeColor="background1" w:themeShade="80"/>
          <w:sz w:val="22"/>
          <w:szCs w:val="22"/>
          <w:lang w:val="en-GB"/>
        </w:rPr>
        <w:t>, t</w:t>
      </w:r>
      <w:r w:rsidR="00432A47">
        <w:rPr>
          <w:rFonts w:ascii="Arial" w:hAnsi="Arial" w:cs="Arial"/>
          <w:color w:val="808080" w:themeColor="background1" w:themeShade="80"/>
          <w:sz w:val="22"/>
          <w:szCs w:val="22"/>
          <w:lang w:val="en-GB"/>
        </w:rPr>
        <w:t xml:space="preserve">hese powers are specific powers under the laws of insolvency.  </w:t>
      </w:r>
    </w:p>
    <w:p w14:paraId="14B6DEA0" w14:textId="77777777" w:rsidR="00432A47" w:rsidRDefault="00432A47" w:rsidP="00172A40">
      <w:pPr>
        <w:jc w:val="both"/>
        <w:rPr>
          <w:rFonts w:ascii="Arial" w:hAnsi="Arial" w:cs="Arial"/>
          <w:color w:val="808080" w:themeColor="background1" w:themeShade="80"/>
          <w:sz w:val="22"/>
          <w:szCs w:val="22"/>
          <w:lang w:val="en-GB"/>
        </w:rPr>
      </w:pPr>
    </w:p>
    <w:p w14:paraId="3C5AAF4F" w14:textId="27DDF578" w:rsidR="005238B8" w:rsidRDefault="003466D9" w:rsidP="00172A4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Insofar as the assessment as to whether the procedure is a collective one, the Commercial Bank has various corporate entities, some of which are in England.  T</w:t>
      </w:r>
      <w:r w:rsidR="005238B8">
        <w:rPr>
          <w:rFonts w:ascii="Arial" w:hAnsi="Arial" w:cs="Arial"/>
          <w:color w:val="808080" w:themeColor="background1" w:themeShade="80"/>
          <w:sz w:val="22"/>
          <w:szCs w:val="22"/>
          <w:lang w:val="en-GB"/>
        </w:rPr>
        <w:t xml:space="preserve">he guidelines set out in the Judicial Perspective, Model Law on Enterprise Groups, and the Enactment Guide, and in application of </w:t>
      </w:r>
      <w:proofErr w:type="spellStart"/>
      <w:r w:rsidR="005238B8">
        <w:rPr>
          <w:rFonts w:ascii="Arial" w:hAnsi="Arial" w:cs="Arial"/>
          <w:i/>
          <w:iCs/>
          <w:color w:val="808080" w:themeColor="background1" w:themeShade="80"/>
          <w:sz w:val="22"/>
          <w:szCs w:val="22"/>
          <w:lang w:val="en-GB"/>
        </w:rPr>
        <w:t>Betcorn</w:t>
      </w:r>
      <w:proofErr w:type="spellEnd"/>
      <w:r w:rsidR="005238B8">
        <w:rPr>
          <w:rFonts w:ascii="Arial" w:hAnsi="Arial" w:cs="Arial"/>
          <w:i/>
          <w:iCs/>
          <w:color w:val="808080" w:themeColor="background1" w:themeShade="80"/>
          <w:sz w:val="22"/>
          <w:szCs w:val="22"/>
          <w:lang w:val="en-GB"/>
        </w:rPr>
        <w:t xml:space="preserve"> </w:t>
      </w:r>
      <w:r w:rsidR="005238B8">
        <w:rPr>
          <w:rFonts w:ascii="Arial" w:hAnsi="Arial" w:cs="Arial"/>
          <w:color w:val="808080" w:themeColor="background1" w:themeShade="80"/>
          <w:sz w:val="22"/>
          <w:szCs w:val="22"/>
          <w:lang w:val="en-GB"/>
        </w:rPr>
        <w:t xml:space="preserve">as cited in </w:t>
      </w:r>
      <w:proofErr w:type="spellStart"/>
      <w:r w:rsidR="005238B8">
        <w:rPr>
          <w:rFonts w:ascii="Arial" w:hAnsi="Arial" w:cs="Arial"/>
          <w:i/>
          <w:iCs/>
          <w:color w:val="808080" w:themeColor="background1" w:themeShade="80"/>
          <w:sz w:val="22"/>
          <w:szCs w:val="22"/>
          <w:lang w:val="en-GB"/>
        </w:rPr>
        <w:t>Agrokor</w:t>
      </w:r>
      <w:proofErr w:type="spellEnd"/>
      <w:r w:rsidR="005238B8">
        <w:rPr>
          <w:rFonts w:ascii="Arial" w:hAnsi="Arial" w:cs="Arial"/>
          <w:i/>
          <w:iCs/>
          <w:color w:val="808080" w:themeColor="background1" w:themeShade="80"/>
          <w:sz w:val="22"/>
          <w:szCs w:val="22"/>
          <w:lang w:val="en-GB"/>
        </w:rPr>
        <w:t>,</w:t>
      </w:r>
      <w:r>
        <w:rPr>
          <w:rFonts w:ascii="Arial" w:hAnsi="Arial" w:cs="Arial"/>
          <w:color w:val="808080" w:themeColor="background1" w:themeShade="80"/>
          <w:sz w:val="22"/>
          <w:szCs w:val="22"/>
          <w:lang w:val="en-GB"/>
        </w:rPr>
        <w:t xml:space="preserve"> as well as </w:t>
      </w:r>
      <w:proofErr w:type="spellStart"/>
      <w:r>
        <w:rPr>
          <w:rFonts w:ascii="Arial" w:hAnsi="Arial" w:cs="Arial"/>
          <w:i/>
          <w:iCs/>
          <w:color w:val="808080" w:themeColor="background1" w:themeShade="80"/>
          <w:sz w:val="22"/>
          <w:szCs w:val="22"/>
          <w:lang w:val="en-GB"/>
        </w:rPr>
        <w:t>Agrokor</w:t>
      </w:r>
      <w:proofErr w:type="spellEnd"/>
      <w:r>
        <w:rPr>
          <w:rFonts w:ascii="Arial" w:hAnsi="Arial" w:cs="Arial"/>
          <w:color w:val="808080" w:themeColor="background1" w:themeShade="80"/>
          <w:sz w:val="22"/>
          <w:szCs w:val="22"/>
          <w:lang w:val="en-GB"/>
        </w:rPr>
        <w:t xml:space="preserve"> itself, </w:t>
      </w:r>
      <w:r w:rsidR="005238B8">
        <w:rPr>
          <w:rFonts w:ascii="Arial" w:hAnsi="Arial" w:cs="Arial"/>
          <w:color w:val="808080" w:themeColor="background1" w:themeShade="80"/>
          <w:sz w:val="22"/>
          <w:szCs w:val="22"/>
          <w:lang w:val="en-GB"/>
        </w:rPr>
        <w:t xml:space="preserve">the Commercial Bank can be said to have crossed this threshold.  </w:t>
      </w:r>
    </w:p>
    <w:p w14:paraId="588FC2CA" w14:textId="56EB9C74" w:rsidR="00193A6F" w:rsidRDefault="00193A6F" w:rsidP="00172A4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w:t>
      </w:r>
    </w:p>
    <w:p w14:paraId="48731CE4" w14:textId="6571F89A" w:rsidR="00193A6F" w:rsidRDefault="003466D9" w:rsidP="00172A4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For all the reasons above, including the fact that for the purposes of this question, the Commercial Bank qualifies as an entity under which the Model Law as enacted in the CBIR allows for administration, the proceeding ought to be recognized as a foreign proceeding.  </w:t>
      </w:r>
    </w:p>
    <w:p w14:paraId="02B4F9FF" w14:textId="60645BD8" w:rsidR="00D91534" w:rsidRDefault="003466D9" w:rsidP="00AF122E">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lang w:val="en-GB"/>
        </w:rPr>
        <w:t xml:space="preserve">This would further give colour to </w:t>
      </w:r>
      <w:r w:rsidR="005773D7">
        <w:rPr>
          <w:rFonts w:ascii="Arial" w:hAnsi="Arial" w:cs="Arial"/>
          <w:color w:val="808080" w:themeColor="background1" w:themeShade="80"/>
          <w:sz w:val="22"/>
          <w:szCs w:val="22"/>
          <w:lang w:val="en-GB"/>
        </w:rPr>
        <w:t xml:space="preserve">Article 8 of the Model Law by having regard to “its international origin and the need to promote uniformity in its application.”  </w:t>
      </w:r>
    </w:p>
    <w:p w14:paraId="0BC049AA" w14:textId="6AD6BAC6" w:rsidR="00D91534" w:rsidRDefault="00D91534" w:rsidP="00AF122E">
      <w:pPr>
        <w:jc w:val="both"/>
        <w:rPr>
          <w:rFonts w:ascii="Arial" w:hAnsi="Arial" w:cs="Arial"/>
          <w:color w:val="808080" w:themeColor="background1" w:themeShade="80"/>
          <w:sz w:val="22"/>
          <w:szCs w:val="22"/>
        </w:rPr>
      </w:pPr>
    </w:p>
    <w:p w14:paraId="4AC82ABA" w14:textId="7C1BF184" w:rsidR="00D91534" w:rsidRDefault="00D91534" w:rsidP="00AF122E">
      <w:pPr>
        <w:jc w:val="both"/>
        <w:rPr>
          <w:rFonts w:ascii="Arial" w:hAnsi="Arial" w:cs="Arial"/>
          <w:color w:val="808080" w:themeColor="background1" w:themeShade="80"/>
          <w:sz w:val="22"/>
          <w:szCs w:val="22"/>
        </w:rPr>
      </w:pPr>
    </w:p>
    <w:p w14:paraId="570D4DE3" w14:textId="77777777" w:rsidR="00D91534" w:rsidRDefault="00D91534" w:rsidP="00AF122E">
      <w:pPr>
        <w:jc w:val="both"/>
        <w:rPr>
          <w:rFonts w:ascii="Arial" w:hAnsi="Arial" w:cs="Arial"/>
          <w:color w:val="808080" w:themeColor="background1" w:themeShade="80"/>
          <w:sz w:val="22"/>
          <w:szCs w:val="22"/>
        </w:rPr>
      </w:pPr>
    </w:p>
    <w:p w14:paraId="5A31109E" w14:textId="1E45F5E0" w:rsidR="0080040C" w:rsidRDefault="0080040C" w:rsidP="00AF122E">
      <w:pPr>
        <w:jc w:val="both"/>
        <w:rPr>
          <w:rFonts w:ascii="Arial" w:hAnsi="Arial" w:cs="Arial"/>
          <w:b/>
          <w:bCs/>
          <w:color w:val="808080" w:themeColor="background1" w:themeShade="80"/>
          <w:sz w:val="22"/>
          <w:szCs w:val="22"/>
          <w:u w:val="single"/>
        </w:rPr>
      </w:pPr>
      <w:r>
        <w:rPr>
          <w:rFonts w:ascii="Arial" w:hAnsi="Arial" w:cs="Arial"/>
          <w:b/>
          <w:bCs/>
          <w:color w:val="808080" w:themeColor="background1" w:themeShade="80"/>
          <w:sz w:val="22"/>
          <w:szCs w:val="22"/>
          <w:u w:val="single"/>
        </w:rPr>
        <w:t>Question 4.1.2:  Foreign Representative</w:t>
      </w:r>
    </w:p>
    <w:p w14:paraId="7CF66252" w14:textId="1326DCBA" w:rsidR="0080040C" w:rsidRDefault="0080040C" w:rsidP="00AF122E">
      <w:pPr>
        <w:jc w:val="both"/>
        <w:rPr>
          <w:rFonts w:ascii="Arial" w:hAnsi="Arial" w:cs="Arial"/>
          <w:b/>
          <w:bCs/>
          <w:color w:val="808080" w:themeColor="background1" w:themeShade="80"/>
          <w:sz w:val="22"/>
          <w:szCs w:val="22"/>
          <w:u w:val="single"/>
        </w:rPr>
      </w:pPr>
    </w:p>
    <w:p w14:paraId="0F5A91A1" w14:textId="7BCCEA44" w:rsidR="00D91534" w:rsidRPr="00D91534" w:rsidRDefault="00D91534" w:rsidP="00AF122E">
      <w:pPr>
        <w:jc w:val="both"/>
        <w:rPr>
          <w:rFonts w:ascii="Arial" w:hAnsi="Arial" w:cs="Arial"/>
          <w:color w:val="808080" w:themeColor="background1" w:themeShade="80"/>
          <w:sz w:val="22"/>
          <w:szCs w:val="22"/>
        </w:rPr>
      </w:pPr>
      <w:r>
        <w:rPr>
          <w:rFonts w:ascii="Arial" w:hAnsi="Arial" w:cs="Arial"/>
          <w:b/>
          <w:bCs/>
          <w:color w:val="808080" w:themeColor="background1" w:themeShade="80"/>
          <w:sz w:val="22"/>
          <w:szCs w:val="22"/>
          <w:u w:val="single"/>
        </w:rPr>
        <w:t>Issue:</w:t>
      </w:r>
      <w:r>
        <w:rPr>
          <w:rFonts w:ascii="Arial" w:hAnsi="Arial" w:cs="Arial"/>
          <w:color w:val="808080" w:themeColor="background1" w:themeShade="80"/>
          <w:sz w:val="22"/>
          <w:szCs w:val="22"/>
        </w:rPr>
        <w:t xml:space="preserve">  The issue herein is whether the Deposit Guarantee Fund (DGF) qualifies as a foreign representative</w:t>
      </w:r>
      <w:r w:rsidR="00144FE6">
        <w:rPr>
          <w:rFonts w:ascii="Arial" w:hAnsi="Arial" w:cs="Arial"/>
          <w:color w:val="808080" w:themeColor="background1" w:themeShade="80"/>
          <w:sz w:val="22"/>
          <w:szCs w:val="22"/>
        </w:rPr>
        <w:t>.</w:t>
      </w:r>
    </w:p>
    <w:p w14:paraId="0C20F1F8" w14:textId="77777777" w:rsidR="00D91534" w:rsidRDefault="00D91534" w:rsidP="00AF122E">
      <w:pPr>
        <w:jc w:val="both"/>
        <w:rPr>
          <w:rFonts w:ascii="Arial" w:hAnsi="Arial" w:cs="Arial"/>
          <w:color w:val="808080" w:themeColor="background1" w:themeShade="80"/>
          <w:sz w:val="22"/>
          <w:szCs w:val="22"/>
        </w:rPr>
      </w:pPr>
    </w:p>
    <w:p w14:paraId="54EE85A4" w14:textId="660F82BB" w:rsidR="0080040C" w:rsidRDefault="00124973" w:rsidP="00AF122E">
      <w:pPr>
        <w:jc w:val="both"/>
        <w:rPr>
          <w:rFonts w:ascii="Arial" w:hAnsi="Arial" w:cs="Arial"/>
          <w:color w:val="808080" w:themeColor="background1" w:themeShade="80"/>
          <w:sz w:val="22"/>
          <w:szCs w:val="22"/>
        </w:rPr>
      </w:pPr>
      <w:r>
        <w:rPr>
          <w:rFonts w:ascii="Arial" w:hAnsi="Arial" w:cs="Arial"/>
          <w:b/>
          <w:bCs/>
          <w:color w:val="808080" w:themeColor="background1" w:themeShade="80"/>
          <w:sz w:val="22"/>
          <w:szCs w:val="22"/>
          <w:u w:val="single"/>
        </w:rPr>
        <w:t>Law:</w:t>
      </w:r>
      <w:r>
        <w:rPr>
          <w:rFonts w:ascii="Arial" w:hAnsi="Arial" w:cs="Arial"/>
          <w:color w:val="808080" w:themeColor="background1" w:themeShade="80"/>
          <w:sz w:val="22"/>
          <w:szCs w:val="22"/>
        </w:rPr>
        <w:t xml:space="preserve">  </w:t>
      </w:r>
      <w:r w:rsidR="0080040C">
        <w:rPr>
          <w:rFonts w:ascii="Arial" w:hAnsi="Arial" w:cs="Arial"/>
          <w:color w:val="808080" w:themeColor="background1" w:themeShade="80"/>
          <w:sz w:val="22"/>
          <w:szCs w:val="22"/>
        </w:rPr>
        <w:t>A foreign representative is a person or body, including one appointed on an interim basis, authorized in a foreign proceeding to administer the reorganization or liquidation of the debtor’s assets or affairs or to act as a representative in a foreign proceeding.</w:t>
      </w:r>
      <w:r w:rsidR="0080040C">
        <w:rPr>
          <w:rStyle w:val="FootnoteReference"/>
          <w:rFonts w:ascii="Arial" w:hAnsi="Arial" w:cs="Arial"/>
          <w:color w:val="808080" w:themeColor="background1" w:themeShade="80"/>
          <w:sz w:val="22"/>
          <w:szCs w:val="22"/>
        </w:rPr>
        <w:footnoteReference w:id="18"/>
      </w:r>
      <w:r w:rsidR="0080040C">
        <w:rPr>
          <w:rFonts w:ascii="Arial" w:hAnsi="Arial" w:cs="Arial"/>
          <w:color w:val="808080" w:themeColor="background1" w:themeShade="80"/>
          <w:sz w:val="22"/>
          <w:szCs w:val="22"/>
        </w:rPr>
        <w:t xml:space="preserve">  </w:t>
      </w:r>
    </w:p>
    <w:p w14:paraId="7C171BDE" w14:textId="5F8F5477" w:rsidR="00E71E7B" w:rsidRDefault="00E71E7B" w:rsidP="00AF122E">
      <w:pPr>
        <w:jc w:val="both"/>
        <w:rPr>
          <w:rFonts w:ascii="Arial" w:hAnsi="Arial" w:cs="Arial"/>
          <w:color w:val="808080" w:themeColor="background1" w:themeShade="80"/>
          <w:sz w:val="22"/>
          <w:szCs w:val="22"/>
        </w:rPr>
      </w:pPr>
    </w:p>
    <w:p w14:paraId="42947C09" w14:textId="4A31C73D" w:rsidR="00271530" w:rsidRDefault="00035A75" w:rsidP="00035A75">
      <w:pPr>
        <w:jc w:val="both"/>
        <w:rPr>
          <w:rFonts w:ascii="Arial" w:hAnsi="Arial" w:cs="Arial"/>
          <w:color w:val="808080" w:themeColor="background1" w:themeShade="80"/>
          <w:sz w:val="22"/>
          <w:szCs w:val="22"/>
          <w:lang w:val="en-ZA"/>
        </w:rPr>
      </w:pPr>
      <w:r>
        <w:rPr>
          <w:rFonts w:ascii="Arial" w:hAnsi="Arial" w:cs="Arial"/>
          <w:color w:val="808080" w:themeColor="background1" w:themeShade="80"/>
          <w:sz w:val="22"/>
          <w:szCs w:val="22"/>
          <w:lang w:val="en-ZA"/>
        </w:rPr>
        <w:t>I</w:t>
      </w:r>
      <w:r w:rsidRPr="00035A75">
        <w:rPr>
          <w:rFonts w:ascii="Arial" w:hAnsi="Arial" w:cs="Arial"/>
          <w:color w:val="808080" w:themeColor="background1" w:themeShade="80"/>
          <w:sz w:val="22"/>
          <w:szCs w:val="22"/>
          <w:lang w:val="en-ZA"/>
        </w:rPr>
        <w:t>n the case of </w:t>
      </w:r>
      <w:r w:rsidRPr="00035A75">
        <w:rPr>
          <w:rFonts w:ascii="Arial" w:hAnsi="Arial" w:cs="Arial"/>
          <w:i/>
          <w:iCs/>
          <w:color w:val="808080" w:themeColor="background1" w:themeShade="80"/>
          <w:sz w:val="22"/>
          <w:szCs w:val="22"/>
          <w:lang w:val="en-ZA"/>
        </w:rPr>
        <w:t>Re 19 Entertainment Limited</w:t>
      </w:r>
      <w:r w:rsidR="00271530">
        <w:rPr>
          <w:rFonts w:ascii="Arial" w:hAnsi="Arial" w:cs="Arial"/>
          <w:color w:val="808080" w:themeColor="background1" w:themeShade="80"/>
          <w:sz w:val="22"/>
          <w:szCs w:val="22"/>
          <w:lang w:val="en-ZA"/>
        </w:rPr>
        <w:t xml:space="preserve"> [2016] EWHC 1545 (Ch) </w:t>
      </w:r>
      <w:r>
        <w:rPr>
          <w:rFonts w:ascii="Arial" w:hAnsi="Arial" w:cs="Arial"/>
          <w:color w:val="808080" w:themeColor="background1" w:themeShade="80"/>
          <w:sz w:val="22"/>
          <w:szCs w:val="22"/>
          <w:lang w:val="en-ZA"/>
        </w:rPr>
        <w:t xml:space="preserve">the English Court had to consider the meaning of foreign representatives within the meaning of the CBIR (2006) in the case of Chapter 11 Bankruptcy Proceedings in terms of US Law.  </w:t>
      </w:r>
    </w:p>
    <w:p w14:paraId="5D2CE251" w14:textId="4E5655AD" w:rsidR="00035A75" w:rsidRPr="00035A75" w:rsidRDefault="00035A75" w:rsidP="00035A75">
      <w:pPr>
        <w:jc w:val="both"/>
        <w:rPr>
          <w:rFonts w:ascii="Arial" w:hAnsi="Arial" w:cs="Arial"/>
          <w:color w:val="808080" w:themeColor="background1" w:themeShade="80"/>
          <w:sz w:val="22"/>
          <w:szCs w:val="22"/>
          <w:lang w:val="en-ZA"/>
        </w:rPr>
      </w:pPr>
      <w:r w:rsidRPr="00035A75">
        <w:rPr>
          <w:rFonts w:ascii="Arial" w:hAnsi="Arial" w:cs="Arial"/>
          <w:color w:val="808080" w:themeColor="background1" w:themeShade="80"/>
          <w:sz w:val="22"/>
          <w:szCs w:val="22"/>
          <w:lang w:val="en-ZA"/>
        </w:rPr>
        <w:t xml:space="preserve">Chapter 11 proceedings </w:t>
      </w:r>
      <w:r w:rsidR="00271530">
        <w:rPr>
          <w:rFonts w:ascii="Arial" w:hAnsi="Arial" w:cs="Arial"/>
          <w:color w:val="808080" w:themeColor="background1" w:themeShade="80"/>
          <w:sz w:val="22"/>
          <w:szCs w:val="22"/>
          <w:lang w:val="en-ZA"/>
        </w:rPr>
        <w:t xml:space="preserve">are </w:t>
      </w:r>
      <w:r w:rsidRPr="00035A75">
        <w:rPr>
          <w:rFonts w:ascii="Arial" w:hAnsi="Arial" w:cs="Arial"/>
          <w:color w:val="808080" w:themeColor="background1" w:themeShade="80"/>
          <w:sz w:val="22"/>
          <w:szCs w:val="22"/>
          <w:lang w:val="en-ZA"/>
        </w:rPr>
        <w:t xml:space="preserve">‘debtor in possession’ </w:t>
      </w:r>
      <w:r w:rsidR="00271530">
        <w:rPr>
          <w:rFonts w:ascii="Arial" w:hAnsi="Arial" w:cs="Arial"/>
          <w:color w:val="808080" w:themeColor="background1" w:themeShade="80"/>
          <w:sz w:val="22"/>
          <w:szCs w:val="22"/>
          <w:lang w:val="en-ZA"/>
        </w:rPr>
        <w:t xml:space="preserve">proceedings </w:t>
      </w:r>
      <w:r w:rsidRPr="00035A75">
        <w:rPr>
          <w:rFonts w:ascii="Arial" w:hAnsi="Arial" w:cs="Arial"/>
          <w:color w:val="808080" w:themeColor="background1" w:themeShade="80"/>
          <w:sz w:val="22"/>
          <w:szCs w:val="22"/>
          <w:lang w:val="en-ZA"/>
        </w:rPr>
        <w:t>which mean</w:t>
      </w:r>
      <w:r w:rsidR="00271530">
        <w:rPr>
          <w:rFonts w:ascii="Arial" w:hAnsi="Arial" w:cs="Arial"/>
          <w:color w:val="808080" w:themeColor="background1" w:themeShade="80"/>
          <w:sz w:val="22"/>
          <w:szCs w:val="22"/>
          <w:lang w:val="en-ZA"/>
        </w:rPr>
        <w:t>t that</w:t>
      </w:r>
      <w:r w:rsidRPr="00035A75">
        <w:rPr>
          <w:rFonts w:ascii="Arial" w:hAnsi="Arial" w:cs="Arial"/>
          <w:color w:val="808080" w:themeColor="background1" w:themeShade="80"/>
          <w:sz w:val="22"/>
          <w:szCs w:val="22"/>
          <w:lang w:val="en-ZA"/>
        </w:rPr>
        <w:t xml:space="preserve"> the company’s directors retain control over the management of the company.</w:t>
      </w:r>
    </w:p>
    <w:p w14:paraId="2FB8460D" w14:textId="72B549BF" w:rsidR="00271530" w:rsidRDefault="00035A75" w:rsidP="00035A75">
      <w:pPr>
        <w:jc w:val="both"/>
        <w:rPr>
          <w:rFonts w:ascii="Arial" w:hAnsi="Arial" w:cs="Arial"/>
          <w:color w:val="808080" w:themeColor="background1" w:themeShade="80"/>
          <w:sz w:val="22"/>
          <w:szCs w:val="22"/>
          <w:lang w:val="en-ZA"/>
        </w:rPr>
      </w:pPr>
      <w:r w:rsidRPr="00035A75">
        <w:rPr>
          <w:rFonts w:ascii="Arial" w:hAnsi="Arial" w:cs="Arial"/>
          <w:color w:val="808080" w:themeColor="background1" w:themeShade="80"/>
          <w:sz w:val="22"/>
          <w:szCs w:val="22"/>
          <w:lang w:val="en-ZA"/>
        </w:rPr>
        <w:t>The applicants in this case were directors of </w:t>
      </w:r>
      <w:r w:rsidRPr="00035A75">
        <w:rPr>
          <w:rFonts w:ascii="Arial" w:hAnsi="Arial" w:cs="Arial"/>
          <w:i/>
          <w:iCs/>
          <w:color w:val="808080" w:themeColor="background1" w:themeShade="80"/>
          <w:sz w:val="22"/>
          <w:szCs w:val="22"/>
          <w:lang w:val="en-ZA"/>
        </w:rPr>
        <w:t>19 Entertainment Limited</w:t>
      </w:r>
      <w:r w:rsidR="00271530">
        <w:rPr>
          <w:rFonts w:ascii="Arial" w:hAnsi="Arial" w:cs="Arial"/>
          <w:color w:val="808080" w:themeColor="background1" w:themeShade="80"/>
          <w:sz w:val="22"/>
          <w:szCs w:val="22"/>
          <w:lang w:val="en-ZA"/>
        </w:rPr>
        <w:t xml:space="preserve">, a holding company specializing in </w:t>
      </w:r>
      <w:r w:rsidRPr="00035A75">
        <w:rPr>
          <w:rFonts w:ascii="Arial" w:hAnsi="Arial" w:cs="Arial"/>
          <w:color w:val="808080" w:themeColor="background1" w:themeShade="80"/>
          <w:sz w:val="22"/>
          <w:szCs w:val="22"/>
          <w:lang w:val="en-ZA"/>
        </w:rPr>
        <w:t xml:space="preserve">entertainment content. </w:t>
      </w:r>
    </w:p>
    <w:p w14:paraId="1DF31D7C" w14:textId="37E6E3A7" w:rsidR="00035A75" w:rsidRPr="00035A75" w:rsidRDefault="00035A75" w:rsidP="00035A75">
      <w:pPr>
        <w:jc w:val="both"/>
        <w:rPr>
          <w:rFonts w:ascii="Arial" w:hAnsi="Arial" w:cs="Arial"/>
          <w:color w:val="808080" w:themeColor="background1" w:themeShade="80"/>
          <w:sz w:val="22"/>
          <w:szCs w:val="22"/>
          <w:lang w:val="en-ZA"/>
        </w:rPr>
      </w:pPr>
      <w:r w:rsidRPr="00035A75">
        <w:rPr>
          <w:rFonts w:ascii="Arial" w:hAnsi="Arial" w:cs="Arial"/>
          <w:color w:val="808080" w:themeColor="background1" w:themeShade="80"/>
          <w:sz w:val="22"/>
          <w:szCs w:val="22"/>
          <w:lang w:val="en-ZA"/>
        </w:rPr>
        <w:t>The applicants applied for recognition of the Chapter 11 proceedings by the English court and for discretionary relief in the UK.</w:t>
      </w:r>
    </w:p>
    <w:p w14:paraId="3FFD2CB6" w14:textId="77777777" w:rsidR="00271530" w:rsidRDefault="00035A75" w:rsidP="00035A75">
      <w:pPr>
        <w:jc w:val="both"/>
        <w:rPr>
          <w:rFonts w:ascii="Arial" w:hAnsi="Arial" w:cs="Arial"/>
          <w:color w:val="808080" w:themeColor="background1" w:themeShade="80"/>
          <w:sz w:val="22"/>
          <w:szCs w:val="22"/>
        </w:rPr>
      </w:pPr>
      <w:r w:rsidRPr="00035A75">
        <w:rPr>
          <w:rFonts w:ascii="Arial" w:hAnsi="Arial" w:cs="Arial"/>
          <w:color w:val="808080" w:themeColor="background1" w:themeShade="80"/>
          <w:sz w:val="22"/>
          <w:szCs w:val="22"/>
          <w:lang w:val="en-ZA"/>
        </w:rPr>
        <w:t>The court had to decide whether the applicants (</w:t>
      </w:r>
      <w:proofErr w:type="gramStart"/>
      <w:r w:rsidRPr="00035A75">
        <w:rPr>
          <w:rFonts w:ascii="Arial" w:hAnsi="Arial" w:cs="Arial"/>
          <w:color w:val="808080" w:themeColor="background1" w:themeShade="80"/>
          <w:sz w:val="22"/>
          <w:szCs w:val="22"/>
          <w:lang w:val="en-ZA"/>
        </w:rPr>
        <w:t>i.e.</w:t>
      </w:r>
      <w:proofErr w:type="gramEnd"/>
      <w:r w:rsidRPr="00035A75">
        <w:rPr>
          <w:rFonts w:ascii="Arial" w:hAnsi="Arial" w:cs="Arial"/>
          <w:color w:val="808080" w:themeColor="background1" w:themeShade="80"/>
          <w:sz w:val="22"/>
          <w:szCs w:val="22"/>
          <w:lang w:val="en-ZA"/>
        </w:rPr>
        <w:t xml:space="preserve"> the directors of the company) were ‘foreign representatives.’</w:t>
      </w:r>
      <w:r w:rsidR="00271530">
        <w:rPr>
          <w:rFonts w:ascii="Arial" w:hAnsi="Arial" w:cs="Arial"/>
          <w:color w:val="808080" w:themeColor="background1" w:themeShade="80"/>
          <w:sz w:val="22"/>
          <w:szCs w:val="22"/>
          <w:lang w:val="en-ZA"/>
        </w:rPr>
        <w:t xml:space="preserve">  </w:t>
      </w:r>
      <w:bookmarkStart w:id="34" w:name="para16"/>
      <w:r w:rsidR="00271530">
        <w:rPr>
          <w:rFonts w:ascii="Arial" w:hAnsi="Arial" w:cs="Arial"/>
          <w:color w:val="808080" w:themeColor="background1" w:themeShade="80"/>
          <w:sz w:val="22"/>
          <w:szCs w:val="22"/>
          <w:lang w:val="en-ZA"/>
        </w:rPr>
        <w:t>The Court held, at para 16, “</w:t>
      </w:r>
      <w:r w:rsidR="00271530" w:rsidRPr="00271530">
        <w:rPr>
          <w:rFonts w:ascii="Arial" w:hAnsi="Arial" w:cs="Arial"/>
          <w:color w:val="808080" w:themeColor="background1" w:themeShade="80"/>
          <w:sz w:val="22"/>
          <w:szCs w:val="22"/>
        </w:rPr>
        <w:t xml:space="preserve">Under s.1107 of the US Bankruptcy Code, a </w:t>
      </w:r>
      <w:r w:rsidR="00271530" w:rsidRPr="00271530">
        <w:rPr>
          <w:rFonts w:ascii="Arial" w:hAnsi="Arial" w:cs="Arial"/>
          <w:color w:val="808080" w:themeColor="background1" w:themeShade="80"/>
          <w:sz w:val="22"/>
          <w:szCs w:val="22"/>
        </w:rPr>
        <w:lastRenderedPageBreak/>
        <w:t>debtor in possession shall have all the rights and powers and shall perform all the functions and duties of a trustee serving in a case under that Chapter.</w:t>
      </w:r>
      <w:bookmarkEnd w:id="34"/>
      <w:r w:rsidR="00271530">
        <w:rPr>
          <w:rFonts w:ascii="Arial" w:hAnsi="Arial" w:cs="Arial"/>
          <w:color w:val="808080" w:themeColor="background1" w:themeShade="80"/>
          <w:sz w:val="22"/>
          <w:szCs w:val="22"/>
        </w:rPr>
        <w:t xml:space="preserve">”  </w:t>
      </w:r>
    </w:p>
    <w:p w14:paraId="44E3D0C2" w14:textId="6EDEDAB7" w:rsidR="00035A75" w:rsidRPr="00035A75" w:rsidRDefault="00271530" w:rsidP="00035A75">
      <w:pPr>
        <w:jc w:val="both"/>
        <w:rPr>
          <w:rFonts w:ascii="Arial" w:hAnsi="Arial" w:cs="Arial"/>
          <w:color w:val="808080" w:themeColor="background1" w:themeShade="80"/>
          <w:sz w:val="22"/>
          <w:szCs w:val="22"/>
          <w:lang w:val="en-ZA"/>
        </w:rPr>
      </w:pPr>
      <w:proofErr w:type="gramStart"/>
      <w:r>
        <w:rPr>
          <w:rFonts w:ascii="Arial" w:hAnsi="Arial" w:cs="Arial"/>
          <w:color w:val="808080" w:themeColor="background1" w:themeShade="80"/>
          <w:sz w:val="22"/>
          <w:szCs w:val="22"/>
        </w:rPr>
        <w:t>Therefore</w:t>
      </w:r>
      <w:proofErr w:type="gramEnd"/>
      <w:r>
        <w:rPr>
          <w:rFonts w:ascii="Arial" w:hAnsi="Arial" w:cs="Arial"/>
          <w:color w:val="808080" w:themeColor="background1" w:themeShade="80"/>
          <w:sz w:val="22"/>
          <w:szCs w:val="22"/>
        </w:rPr>
        <w:t xml:space="preserve"> the Court accepted that </w:t>
      </w:r>
      <w:proofErr w:type="spellStart"/>
      <w:r>
        <w:rPr>
          <w:rFonts w:ascii="Arial" w:hAnsi="Arial" w:cs="Arial"/>
          <w:color w:val="808080" w:themeColor="background1" w:themeShade="80"/>
          <w:sz w:val="22"/>
          <w:szCs w:val="22"/>
        </w:rPr>
        <w:t>i</w:t>
      </w:r>
      <w:proofErr w:type="spellEnd"/>
      <w:r w:rsidR="00035A75" w:rsidRPr="00035A75">
        <w:rPr>
          <w:rFonts w:ascii="Arial" w:hAnsi="Arial" w:cs="Arial"/>
          <w:color w:val="808080" w:themeColor="background1" w:themeShade="80"/>
          <w:sz w:val="22"/>
          <w:szCs w:val="22"/>
          <w:lang w:val="en-ZA"/>
        </w:rPr>
        <w:t>n US proceedings, the continuation of a debtor in possession to operate and manage the business during the bankruptcy proceeding under Chapter 11 is the norm</w:t>
      </w:r>
      <w:r>
        <w:rPr>
          <w:rFonts w:ascii="Arial" w:hAnsi="Arial" w:cs="Arial"/>
          <w:color w:val="808080" w:themeColor="background1" w:themeShade="80"/>
          <w:sz w:val="22"/>
          <w:szCs w:val="22"/>
          <w:lang w:val="en-ZA"/>
        </w:rPr>
        <w:t xml:space="preserve"> and flowing therefrom, that </w:t>
      </w:r>
      <w:r w:rsidR="00035A75" w:rsidRPr="00035A75">
        <w:rPr>
          <w:rFonts w:ascii="Arial" w:hAnsi="Arial" w:cs="Arial"/>
          <w:color w:val="808080" w:themeColor="background1" w:themeShade="80"/>
          <w:sz w:val="22"/>
          <w:szCs w:val="22"/>
          <w:lang w:val="en-ZA"/>
        </w:rPr>
        <w:t>the directors were indeed foreign representatives.</w:t>
      </w:r>
    </w:p>
    <w:p w14:paraId="18A8504B" w14:textId="77777777" w:rsidR="00E71E7B" w:rsidRDefault="00E71E7B" w:rsidP="00AF122E">
      <w:pPr>
        <w:jc w:val="both"/>
        <w:rPr>
          <w:rFonts w:ascii="Arial" w:hAnsi="Arial" w:cs="Arial"/>
          <w:color w:val="808080" w:themeColor="background1" w:themeShade="80"/>
          <w:sz w:val="22"/>
          <w:szCs w:val="22"/>
        </w:rPr>
      </w:pPr>
    </w:p>
    <w:p w14:paraId="2B503F92" w14:textId="40A38F58" w:rsidR="00124973" w:rsidRDefault="00124973" w:rsidP="00AF122E">
      <w:pPr>
        <w:jc w:val="both"/>
        <w:rPr>
          <w:rFonts w:ascii="Arial" w:hAnsi="Arial" w:cs="Arial"/>
          <w:color w:val="808080" w:themeColor="background1" w:themeShade="80"/>
          <w:sz w:val="22"/>
          <w:szCs w:val="22"/>
        </w:rPr>
      </w:pPr>
    </w:p>
    <w:p w14:paraId="5DBEEB7F" w14:textId="784E7E9A" w:rsidR="00124973" w:rsidRDefault="00124973" w:rsidP="00AF122E">
      <w:pPr>
        <w:jc w:val="both"/>
        <w:rPr>
          <w:rFonts w:ascii="Arial" w:hAnsi="Arial" w:cs="Arial"/>
          <w:color w:val="808080" w:themeColor="background1" w:themeShade="80"/>
          <w:sz w:val="22"/>
          <w:szCs w:val="22"/>
        </w:rPr>
      </w:pPr>
      <w:r>
        <w:rPr>
          <w:rFonts w:ascii="Arial" w:hAnsi="Arial" w:cs="Arial"/>
          <w:b/>
          <w:bCs/>
          <w:color w:val="808080" w:themeColor="background1" w:themeShade="80"/>
          <w:sz w:val="22"/>
          <w:szCs w:val="22"/>
          <w:u w:val="single"/>
        </w:rPr>
        <w:t>Application:</w:t>
      </w:r>
      <w:r>
        <w:rPr>
          <w:rFonts w:ascii="Arial" w:hAnsi="Arial" w:cs="Arial"/>
          <w:color w:val="808080" w:themeColor="background1" w:themeShade="80"/>
          <w:sz w:val="22"/>
          <w:szCs w:val="22"/>
          <w:u w:val="single"/>
        </w:rPr>
        <w:t xml:space="preserve"> </w:t>
      </w:r>
      <w:proofErr w:type="gramStart"/>
      <w:r>
        <w:rPr>
          <w:rFonts w:ascii="Arial" w:hAnsi="Arial" w:cs="Arial"/>
          <w:color w:val="808080" w:themeColor="background1" w:themeShade="80"/>
          <w:sz w:val="22"/>
          <w:szCs w:val="22"/>
        </w:rPr>
        <w:t>It would appear that the</w:t>
      </w:r>
      <w:proofErr w:type="gramEnd"/>
      <w:r>
        <w:rPr>
          <w:rFonts w:ascii="Arial" w:hAnsi="Arial" w:cs="Arial"/>
          <w:color w:val="808080" w:themeColor="background1" w:themeShade="80"/>
          <w:sz w:val="22"/>
          <w:szCs w:val="22"/>
        </w:rPr>
        <w:t xml:space="preserve"> Deposit Guarantee Fund</w:t>
      </w:r>
      <w:r w:rsidR="00144FE6">
        <w:rPr>
          <w:rFonts w:ascii="Arial" w:hAnsi="Arial" w:cs="Arial"/>
          <w:color w:val="808080" w:themeColor="background1" w:themeShade="80"/>
          <w:sz w:val="22"/>
          <w:szCs w:val="22"/>
        </w:rPr>
        <w:t xml:space="preserve"> (DGF)</w:t>
      </w:r>
      <w:r>
        <w:rPr>
          <w:rFonts w:ascii="Arial" w:hAnsi="Arial" w:cs="Arial"/>
          <w:color w:val="808080" w:themeColor="background1" w:themeShade="80"/>
          <w:sz w:val="22"/>
          <w:szCs w:val="22"/>
        </w:rPr>
        <w:t xml:space="preserve"> is a governmental institution.</w:t>
      </w:r>
      <w:r w:rsidR="00144FE6">
        <w:rPr>
          <w:rFonts w:ascii="Arial" w:hAnsi="Arial" w:cs="Arial"/>
          <w:color w:val="808080" w:themeColor="background1" w:themeShade="80"/>
          <w:sz w:val="22"/>
          <w:szCs w:val="22"/>
        </w:rPr>
        <w:t xml:space="preserve">  There is no reason to conclude that a governmental institution does not qualify as a “body” for purposes of the definition above.  </w:t>
      </w:r>
    </w:p>
    <w:p w14:paraId="765BC551" w14:textId="77777777" w:rsidR="00144FE6" w:rsidRDefault="00144FE6" w:rsidP="00AF122E">
      <w:pPr>
        <w:jc w:val="both"/>
        <w:rPr>
          <w:rFonts w:ascii="Arial" w:hAnsi="Arial" w:cs="Arial"/>
          <w:color w:val="808080" w:themeColor="background1" w:themeShade="80"/>
          <w:sz w:val="22"/>
          <w:szCs w:val="22"/>
        </w:rPr>
      </w:pPr>
    </w:p>
    <w:p w14:paraId="60ED71EB" w14:textId="6B3D0A17" w:rsidR="00124973" w:rsidRDefault="00144FE6" w:rsidP="00AF122E">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It would appear further that the DGF has powers in terms of Article 34 as well as Articles 35(5) and 36(1) of the DGF Law which powers may </w:t>
      </w:r>
      <w:proofErr w:type="gramStart"/>
      <w:r>
        <w:rPr>
          <w:rFonts w:ascii="Arial" w:hAnsi="Arial" w:cs="Arial"/>
          <w:color w:val="808080" w:themeColor="background1" w:themeShade="80"/>
          <w:sz w:val="22"/>
          <w:szCs w:val="22"/>
        </w:rPr>
        <w:t>be considered to be</w:t>
      </w:r>
      <w:proofErr w:type="gramEnd"/>
      <w:r>
        <w:rPr>
          <w:rFonts w:ascii="Arial" w:hAnsi="Arial" w:cs="Arial"/>
          <w:color w:val="808080" w:themeColor="background1" w:themeShade="80"/>
          <w:sz w:val="22"/>
          <w:szCs w:val="22"/>
        </w:rPr>
        <w:t xml:space="preserve"> insolvency related.  </w:t>
      </w:r>
    </w:p>
    <w:p w14:paraId="231BD8D1" w14:textId="1FB8F876" w:rsidR="00144FE6" w:rsidRDefault="00144FE6" w:rsidP="00AF122E">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In terms of Article 34, and once the bank has been declared insolvent, it is the DGF that provisionally administers the Bank, including establishing a </w:t>
      </w:r>
      <w:r>
        <w:rPr>
          <w:rFonts w:ascii="Arial" w:hAnsi="Arial" w:cs="Arial"/>
          <w:i/>
          <w:iCs/>
          <w:color w:val="808080" w:themeColor="background1" w:themeShade="80"/>
          <w:sz w:val="22"/>
          <w:szCs w:val="22"/>
        </w:rPr>
        <w:t>moratorium</w:t>
      </w:r>
      <w:r>
        <w:rPr>
          <w:rFonts w:ascii="Arial" w:hAnsi="Arial" w:cs="Arial"/>
          <w:color w:val="808080" w:themeColor="background1" w:themeShade="80"/>
          <w:sz w:val="22"/>
          <w:szCs w:val="22"/>
        </w:rPr>
        <w:t xml:space="preserve"> staying legal actions and execution of the bank’s assets.  </w:t>
      </w:r>
    </w:p>
    <w:p w14:paraId="620BB6A2" w14:textId="766A601B" w:rsidR="00144FE6" w:rsidRDefault="00144FE6" w:rsidP="00AF122E">
      <w:pPr>
        <w:jc w:val="both"/>
        <w:rPr>
          <w:rFonts w:ascii="Arial" w:hAnsi="Arial" w:cs="Arial"/>
          <w:color w:val="808080" w:themeColor="background1" w:themeShade="80"/>
          <w:sz w:val="22"/>
          <w:szCs w:val="22"/>
        </w:rPr>
      </w:pPr>
    </w:p>
    <w:p w14:paraId="69F5E44B" w14:textId="6958B8CC" w:rsidR="00144FE6" w:rsidRDefault="00144FE6" w:rsidP="00AF122E">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Further to this, in terms of Article 77 of the Law of Banks and Banking Activity (“LBBA”) the DGF automatically becomes the liquidator of the Commercial Bank once it receives confirmation of the National Bank’s decision to revoke the Commercial Bank’s </w:t>
      </w:r>
      <w:proofErr w:type="spellStart"/>
      <w:r>
        <w:rPr>
          <w:rFonts w:ascii="Arial" w:hAnsi="Arial" w:cs="Arial"/>
          <w:color w:val="808080" w:themeColor="background1" w:themeShade="80"/>
          <w:sz w:val="22"/>
          <w:szCs w:val="22"/>
        </w:rPr>
        <w:t>licence</w:t>
      </w:r>
      <w:proofErr w:type="spellEnd"/>
      <w:r>
        <w:rPr>
          <w:rFonts w:ascii="Arial" w:hAnsi="Arial" w:cs="Arial"/>
          <w:color w:val="808080" w:themeColor="background1" w:themeShade="80"/>
          <w:sz w:val="22"/>
          <w:szCs w:val="22"/>
        </w:rPr>
        <w:t>.</w:t>
      </w:r>
    </w:p>
    <w:p w14:paraId="0BB65DE1" w14:textId="6E3C2633" w:rsidR="008B0059" w:rsidRDefault="008B0059" w:rsidP="00AF122E">
      <w:pPr>
        <w:jc w:val="both"/>
        <w:rPr>
          <w:rFonts w:ascii="Arial" w:hAnsi="Arial" w:cs="Arial"/>
          <w:color w:val="808080" w:themeColor="background1" w:themeShade="80"/>
          <w:sz w:val="22"/>
          <w:szCs w:val="22"/>
        </w:rPr>
      </w:pPr>
    </w:p>
    <w:p w14:paraId="14926BD7" w14:textId="011C2508" w:rsidR="008B0059" w:rsidRDefault="008B0059" w:rsidP="00AF122E">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power to appoint an interim administrator with powers to liquidate fall within the sole purview of the DGF.  </w:t>
      </w:r>
      <w:proofErr w:type="gramStart"/>
      <w:r>
        <w:rPr>
          <w:rFonts w:ascii="Arial" w:hAnsi="Arial" w:cs="Arial"/>
          <w:color w:val="808080" w:themeColor="background1" w:themeShade="80"/>
          <w:sz w:val="22"/>
          <w:szCs w:val="22"/>
        </w:rPr>
        <w:t>However</w:t>
      </w:r>
      <w:proofErr w:type="gramEnd"/>
      <w:r>
        <w:rPr>
          <w:rFonts w:ascii="Arial" w:hAnsi="Arial" w:cs="Arial"/>
          <w:color w:val="808080" w:themeColor="background1" w:themeShade="80"/>
          <w:sz w:val="22"/>
          <w:szCs w:val="22"/>
        </w:rPr>
        <w:t xml:space="preserve"> it should be noted that although the DGF appoints its own officer, it retains prime functions associated with the winding-up of the debtor, notably the power to sell off assets.</w:t>
      </w:r>
    </w:p>
    <w:p w14:paraId="7BE99868" w14:textId="4B88D553" w:rsidR="00144FE6" w:rsidRDefault="00144FE6" w:rsidP="00AF122E">
      <w:pPr>
        <w:jc w:val="both"/>
        <w:rPr>
          <w:rFonts w:ascii="Arial" w:hAnsi="Arial" w:cs="Arial"/>
          <w:color w:val="808080" w:themeColor="background1" w:themeShade="80"/>
          <w:sz w:val="22"/>
          <w:szCs w:val="22"/>
        </w:rPr>
      </w:pPr>
    </w:p>
    <w:p w14:paraId="5B6CC19E" w14:textId="13651A5B" w:rsidR="00144FE6" w:rsidRDefault="003A11B6" w:rsidP="00AF122E">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In conclusion, o</w:t>
      </w:r>
      <w:r w:rsidR="00144FE6">
        <w:rPr>
          <w:rFonts w:ascii="Arial" w:hAnsi="Arial" w:cs="Arial"/>
          <w:color w:val="808080" w:themeColor="background1" w:themeShade="80"/>
          <w:sz w:val="22"/>
          <w:szCs w:val="22"/>
        </w:rPr>
        <w:t>n a reading of the above-mentioned Articles</w:t>
      </w:r>
      <w:r>
        <w:rPr>
          <w:rFonts w:ascii="Arial" w:hAnsi="Arial" w:cs="Arial"/>
          <w:color w:val="808080" w:themeColor="background1" w:themeShade="80"/>
          <w:sz w:val="22"/>
          <w:szCs w:val="22"/>
        </w:rPr>
        <w:t xml:space="preserve"> as well as </w:t>
      </w:r>
      <w:r w:rsidR="008C2C2F">
        <w:rPr>
          <w:rFonts w:ascii="Arial" w:hAnsi="Arial" w:cs="Arial"/>
          <w:color w:val="808080" w:themeColor="background1" w:themeShade="80"/>
          <w:sz w:val="22"/>
          <w:szCs w:val="22"/>
        </w:rPr>
        <w:t xml:space="preserve">the application of </w:t>
      </w:r>
      <w:r w:rsidR="008C2C2F">
        <w:rPr>
          <w:rFonts w:ascii="Arial" w:hAnsi="Arial" w:cs="Arial"/>
          <w:i/>
          <w:iCs/>
          <w:color w:val="808080" w:themeColor="background1" w:themeShade="80"/>
          <w:sz w:val="22"/>
          <w:szCs w:val="22"/>
        </w:rPr>
        <w:t>Re 19 Limited</w:t>
      </w:r>
      <w:r w:rsidR="00144FE6">
        <w:rPr>
          <w:rFonts w:ascii="Arial" w:hAnsi="Arial" w:cs="Arial"/>
          <w:color w:val="808080" w:themeColor="background1" w:themeShade="80"/>
          <w:sz w:val="22"/>
          <w:szCs w:val="22"/>
        </w:rPr>
        <w:t>, the DGF</w:t>
      </w:r>
      <w:r w:rsidR="008B0059">
        <w:rPr>
          <w:rFonts w:ascii="Arial" w:hAnsi="Arial" w:cs="Arial"/>
          <w:color w:val="808080" w:themeColor="background1" w:themeShade="80"/>
          <w:sz w:val="22"/>
          <w:szCs w:val="22"/>
        </w:rPr>
        <w:t>, and it’s authorized representative</w:t>
      </w:r>
      <w:r w:rsidR="00583075">
        <w:rPr>
          <w:rFonts w:ascii="Arial" w:hAnsi="Arial" w:cs="Arial"/>
          <w:color w:val="808080" w:themeColor="background1" w:themeShade="80"/>
          <w:sz w:val="22"/>
          <w:szCs w:val="22"/>
        </w:rPr>
        <w:t xml:space="preserve"> </w:t>
      </w:r>
      <w:proofErr w:type="spellStart"/>
      <w:r w:rsidR="00583075">
        <w:rPr>
          <w:rFonts w:ascii="Arial" w:hAnsi="Arial" w:cs="Arial"/>
          <w:color w:val="808080" w:themeColor="background1" w:themeShade="80"/>
          <w:sz w:val="22"/>
          <w:szCs w:val="22"/>
        </w:rPr>
        <w:t>Ms</w:t>
      </w:r>
      <w:proofErr w:type="spellEnd"/>
      <w:r w:rsidR="00583075">
        <w:rPr>
          <w:rFonts w:ascii="Arial" w:hAnsi="Arial" w:cs="Arial"/>
          <w:color w:val="808080" w:themeColor="background1" w:themeShade="80"/>
          <w:sz w:val="22"/>
          <w:szCs w:val="22"/>
        </w:rPr>
        <w:t xml:space="preserve"> G</w:t>
      </w:r>
      <w:r w:rsidR="00144FE6">
        <w:rPr>
          <w:rFonts w:ascii="Arial" w:hAnsi="Arial" w:cs="Arial"/>
          <w:color w:val="808080" w:themeColor="background1" w:themeShade="80"/>
          <w:sz w:val="22"/>
          <w:szCs w:val="22"/>
        </w:rPr>
        <w:t xml:space="preserve"> </w:t>
      </w:r>
      <w:r w:rsidR="008B0059">
        <w:rPr>
          <w:rFonts w:ascii="Arial" w:hAnsi="Arial" w:cs="Arial"/>
          <w:color w:val="808080" w:themeColor="background1" w:themeShade="80"/>
          <w:sz w:val="22"/>
          <w:szCs w:val="22"/>
        </w:rPr>
        <w:t xml:space="preserve">can be said to qualify </w:t>
      </w:r>
      <w:r w:rsidR="00144FE6">
        <w:rPr>
          <w:rFonts w:ascii="Arial" w:hAnsi="Arial" w:cs="Arial"/>
          <w:color w:val="808080" w:themeColor="background1" w:themeShade="80"/>
          <w:sz w:val="22"/>
          <w:szCs w:val="22"/>
        </w:rPr>
        <w:t>as a body</w:t>
      </w:r>
      <w:r w:rsidR="008B0059">
        <w:rPr>
          <w:rFonts w:ascii="Arial" w:hAnsi="Arial" w:cs="Arial"/>
          <w:color w:val="808080" w:themeColor="background1" w:themeShade="80"/>
          <w:sz w:val="22"/>
          <w:szCs w:val="22"/>
        </w:rPr>
        <w:t>, or a person</w:t>
      </w:r>
      <w:r w:rsidR="00144FE6">
        <w:rPr>
          <w:rFonts w:ascii="Arial" w:hAnsi="Arial" w:cs="Arial"/>
          <w:color w:val="808080" w:themeColor="background1" w:themeShade="80"/>
          <w:sz w:val="22"/>
          <w:szCs w:val="22"/>
        </w:rPr>
        <w:t xml:space="preserve"> to “administer the reorganization or liquidation of the debtor’s assets.”</w:t>
      </w:r>
      <w:r w:rsidR="009C5BCD">
        <w:rPr>
          <w:rFonts w:ascii="Arial" w:hAnsi="Arial" w:cs="Arial"/>
          <w:color w:val="808080" w:themeColor="background1" w:themeShade="80"/>
          <w:sz w:val="22"/>
          <w:szCs w:val="22"/>
        </w:rPr>
        <w:t xml:space="preserve">  </w:t>
      </w:r>
    </w:p>
    <w:p w14:paraId="72EE305C" w14:textId="2B0A805B" w:rsidR="008B0059" w:rsidRDefault="008B0059" w:rsidP="00AF122E">
      <w:pPr>
        <w:jc w:val="both"/>
        <w:rPr>
          <w:rFonts w:ascii="Arial" w:hAnsi="Arial" w:cs="Arial"/>
          <w:color w:val="808080" w:themeColor="background1" w:themeShade="80"/>
          <w:sz w:val="22"/>
          <w:szCs w:val="22"/>
        </w:rPr>
      </w:pPr>
    </w:p>
    <w:p w14:paraId="7CEE865F" w14:textId="2EB2578C" w:rsidR="009451C5" w:rsidRDefault="009451C5" w:rsidP="009451C5">
      <w:pPr>
        <w:jc w:val="both"/>
        <w:rPr>
          <w:rFonts w:ascii="Arial" w:hAnsi="Arial" w:cs="Arial"/>
          <w:color w:val="808080" w:themeColor="background1" w:themeShade="80"/>
          <w:sz w:val="22"/>
          <w:szCs w:val="22"/>
          <w:lang w:val="en-GB"/>
        </w:rPr>
      </w:pPr>
    </w:p>
    <w:p w14:paraId="0AD56F54" w14:textId="77777777" w:rsidR="009451C5" w:rsidRPr="009451C5" w:rsidRDefault="009451C5" w:rsidP="009451C5">
      <w:pPr>
        <w:jc w:val="both"/>
        <w:rPr>
          <w:rFonts w:ascii="Arial" w:hAnsi="Arial" w:cs="Arial"/>
          <w:color w:val="808080" w:themeColor="background1" w:themeShade="80"/>
          <w:sz w:val="22"/>
          <w:szCs w:val="22"/>
          <w:lang w:val="en-GB"/>
        </w:rPr>
      </w:pPr>
    </w:p>
    <w:bookmarkEnd w:id="6"/>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B3A98" w14:textId="77777777" w:rsidR="00AF2D91" w:rsidRDefault="00AF2D91" w:rsidP="00241B44">
      <w:r>
        <w:separator/>
      </w:r>
    </w:p>
  </w:endnote>
  <w:endnote w:type="continuationSeparator" w:id="0">
    <w:p w14:paraId="10EE9BCD" w14:textId="77777777" w:rsidR="00AF2D91" w:rsidRDefault="00AF2D9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1ABB39F4" w:rsidR="0036760B" w:rsidRPr="00784B4B" w:rsidRDefault="00A10002" w:rsidP="0036760B">
    <w:pPr>
      <w:pStyle w:val="Footer"/>
      <w:ind w:right="360" w:firstLine="360"/>
      <w:rPr>
        <w:rFonts w:ascii="Arial" w:hAnsi="Arial" w:cs="Arial"/>
        <w:sz w:val="18"/>
        <w:szCs w:val="18"/>
      </w:rPr>
    </w:pPr>
    <w:r>
      <w:rPr>
        <w:rFonts w:ascii="Arial" w:hAnsi="Arial" w:cs="Arial"/>
        <w:sz w:val="18"/>
        <w:szCs w:val="18"/>
      </w:rPr>
      <w:t>202122-372</w:t>
    </w:r>
    <w:r w:rsidR="0036760B" w:rsidRPr="00784B4B">
      <w:rPr>
        <w:rFonts w:ascii="Arial" w:hAnsi="Arial" w:cs="Arial"/>
        <w:sz w:val="18"/>
        <w:szCs w:val="18"/>
      </w:rPr>
      <w:t>.assessment2A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5F820" w14:textId="77777777" w:rsidR="00AF2D91" w:rsidRDefault="00AF2D91" w:rsidP="00241B44">
      <w:r>
        <w:separator/>
      </w:r>
    </w:p>
  </w:footnote>
  <w:footnote w:type="continuationSeparator" w:id="0">
    <w:p w14:paraId="75BA84D5" w14:textId="77777777" w:rsidR="00AF2D91" w:rsidRDefault="00AF2D91" w:rsidP="00241B44">
      <w:r>
        <w:continuationSeparator/>
      </w:r>
    </w:p>
  </w:footnote>
  <w:footnote w:id="1">
    <w:p w14:paraId="1EF462C0" w14:textId="24095906" w:rsidR="002D7AF0" w:rsidRPr="002D7AF0" w:rsidRDefault="002D7AF0">
      <w:pPr>
        <w:pStyle w:val="FootnoteText"/>
        <w:rPr>
          <w:lang w:val="en-ZA"/>
        </w:rPr>
      </w:pPr>
      <w:r>
        <w:rPr>
          <w:rStyle w:val="FootnoteReference"/>
        </w:rPr>
        <w:footnoteRef/>
      </w:r>
      <w:r>
        <w:t xml:space="preserve"> </w:t>
      </w:r>
      <w:r w:rsidR="000D3E18" w:rsidRPr="000D3E18">
        <w:t xml:space="preserve">Silverman, R. J. (2000). Advances in Cross-Border Insolvency Cooperation: The </w:t>
      </w:r>
      <w:proofErr w:type="spellStart"/>
      <w:r w:rsidR="000D3E18" w:rsidRPr="000D3E18">
        <w:t>Uncitral</w:t>
      </w:r>
      <w:proofErr w:type="spellEnd"/>
      <w:r w:rsidR="000D3E18" w:rsidRPr="000D3E18">
        <w:t xml:space="preserve"> Model Law on Cross-Border Insolvency. ILSA Journal of International &amp; Comparative Law, 6(2), 265-272</w:t>
      </w:r>
      <w:r w:rsidR="00A32F7F">
        <w:t xml:space="preserve"> available online at </w:t>
      </w:r>
      <w:hyperlink r:id="rId1" w:history="1">
        <w:r w:rsidR="00A32F7F" w:rsidRPr="00D60C64">
          <w:rPr>
            <w:rStyle w:val="Hyperlink"/>
          </w:rPr>
          <w:t>https://heinonline.org</w:t>
        </w:r>
      </w:hyperlink>
      <w:r w:rsidR="00A32F7F">
        <w:t xml:space="preserve"> (accessed 10</w:t>
      </w:r>
      <w:r w:rsidR="00A32F7F" w:rsidRPr="00A32F7F">
        <w:rPr>
          <w:vertAlign w:val="superscript"/>
        </w:rPr>
        <w:t>th</w:t>
      </w:r>
      <w:r w:rsidR="00A32F7F">
        <w:t xml:space="preserve"> February 2022).</w:t>
      </w:r>
    </w:p>
  </w:footnote>
  <w:footnote w:id="2">
    <w:p w14:paraId="36ADD393" w14:textId="43B795A2" w:rsidR="006166D0" w:rsidRPr="006166D0" w:rsidRDefault="006166D0">
      <w:pPr>
        <w:pStyle w:val="FootnoteText"/>
        <w:rPr>
          <w:lang w:val="en-ZA"/>
        </w:rPr>
      </w:pPr>
      <w:r>
        <w:rPr>
          <w:rStyle w:val="FootnoteReference"/>
        </w:rPr>
        <w:footnoteRef/>
      </w:r>
      <w:r>
        <w:t xml:space="preserve"> </w:t>
      </w:r>
      <w:hyperlink r:id="rId2" w:history="1">
        <w:r w:rsidRPr="005D4905">
          <w:rPr>
            <w:rStyle w:val="Hyperlink"/>
          </w:rPr>
          <w:t>https://law.justia.com/cases/federal/appellate-courts/ca2/11-4376/11-4376-2013-04-16.html</w:t>
        </w:r>
      </w:hyperlink>
      <w:r>
        <w:t>.  Accessed 6</w:t>
      </w:r>
      <w:r w:rsidRPr="006166D0">
        <w:rPr>
          <w:vertAlign w:val="superscript"/>
        </w:rPr>
        <w:t>th</w:t>
      </w:r>
      <w:r>
        <w:t xml:space="preserve"> December 2021.</w:t>
      </w:r>
    </w:p>
  </w:footnote>
  <w:footnote w:id="3">
    <w:p w14:paraId="38035CC4" w14:textId="23BC6201" w:rsidR="004742D8" w:rsidRPr="004742D8" w:rsidRDefault="004742D8">
      <w:pPr>
        <w:pStyle w:val="FootnoteText"/>
        <w:rPr>
          <w:lang w:val="en-ZA"/>
        </w:rPr>
      </w:pPr>
      <w:r>
        <w:rPr>
          <w:rStyle w:val="FootnoteReference"/>
        </w:rPr>
        <w:footnoteRef/>
      </w:r>
      <w:r>
        <w:t>Trichardt</w:t>
      </w:r>
      <w:r w:rsidRPr="004742D8">
        <w:t>,</w:t>
      </w:r>
      <w:r>
        <w:t xml:space="preserve"> A</w:t>
      </w:r>
      <w:r w:rsidRPr="004742D8">
        <w:t xml:space="preserve"> 'The UNCITRAL Model Law on Cross-Border Insolvency' (2002) 6 </w:t>
      </w:r>
      <w:r w:rsidRPr="004742D8">
        <w:rPr>
          <w:i/>
          <w:iCs/>
        </w:rPr>
        <w:t>Flinders J</w:t>
      </w:r>
      <w:r>
        <w:rPr>
          <w:i/>
          <w:iCs/>
        </w:rPr>
        <w:t>ournal of Law</w:t>
      </w:r>
      <w:r w:rsidRPr="004742D8">
        <w:rPr>
          <w:i/>
          <w:iCs/>
        </w:rPr>
        <w:t xml:space="preserve"> Reform</w:t>
      </w:r>
      <w:r w:rsidRPr="004742D8">
        <w:t xml:space="preserve"> 95</w:t>
      </w:r>
    </w:p>
  </w:footnote>
  <w:footnote w:id="4">
    <w:p w14:paraId="446FAC12" w14:textId="0B1B1ED6" w:rsidR="00B868EC" w:rsidRPr="00B868EC" w:rsidRDefault="00B868EC">
      <w:pPr>
        <w:pStyle w:val="FootnoteText"/>
        <w:rPr>
          <w:lang w:val="en-ZA"/>
        </w:rPr>
      </w:pPr>
      <w:r>
        <w:rPr>
          <w:rStyle w:val="FootnoteReference"/>
        </w:rPr>
        <w:footnoteRef/>
      </w:r>
      <w:r>
        <w:t xml:space="preserve"> </w:t>
      </w:r>
      <w:r w:rsidRPr="00B868EC">
        <w:t xml:space="preserve">Berends, Andre J. "The UNCITRAL Model Law on Cross-Border Insolvency: A Comprehensive Overview." </w:t>
      </w:r>
      <w:r w:rsidRPr="00B868EC">
        <w:rPr>
          <w:i/>
          <w:iCs/>
        </w:rPr>
        <w:t>Tulane Journal of International and Comparative Law</w:t>
      </w:r>
      <w:r w:rsidRPr="00B868EC">
        <w:t>, (1998) 6 p309-400 at 3</w:t>
      </w:r>
      <w:r>
        <w:t>38.</w:t>
      </w:r>
      <w:r w:rsidR="00484CA5">
        <w:t xml:space="preserve">  </w:t>
      </w:r>
      <w:r w:rsidR="00484CA5" w:rsidRPr="00484CA5">
        <w:t xml:space="preserve">Available online at </w:t>
      </w:r>
      <w:hyperlink r:id="rId3" w:history="1">
        <w:r w:rsidR="00484CA5" w:rsidRPr="00484CA5">
          <w:rPr>
            <w:rStyle w:val="Hyperlink"/>
          </w:rPr>
          <w:t>https://heinonline.org</w:t>
        </w:r>
      </w:hyperlink>
      <w:r w:rsidR="00484CA5" w:rsidRPr="00484CA5">
        <w:t xml:space="preserve"> accessed 13</w:t>
      </w:r>
      <w:r w:rsidR="00484CA5" w:rsidRPr="00484CA5">
        <w:rPr>
          <w:vertAlign w:val="superscript"/>
        </w:rPr>
        <w:t>th</w:t>
      </w:r>
      <w:r w:rsidR="00484CA5" w:rsidRPr="00484CA5">
        <w:t xml:space="preserve"> February 2022.</w:t>
      </w:r>
    </w:p>
  </w:footnote>
  <w:footnote w:id="5">
    <w:p w14:paraId="2ACC5559" w14:textId="0C200005" w:rsidR="006A2219" w:rsidRPr="006A2219" w:rsidRDefault="006A2219">
      <w:pPr>
        <w:pStyle w:val="FootnoteText"/>
        <w:rPr>
          <w:lang w:val="en-ZA"/>
        </w:rPr>
      </w:pPr>
      <w:r>
        <w:rPr>
          <w:rStyle w:val="FootnoteReference"/>
        </w:rPr>
        <w:footnoteRef/>
      </w:r>
      <w:r>
        <w:t xml:space="preserve"> </w:t>
      </w:r>
      <w:r>
        <w:rPr>
          <w:i/>
          <w:iCs/>
          <w:lang w:val="en-ZA"/>
        </w:rPr>
        <w:t xml:space="preserve">Ibid </w:t>
      </w:r>
      <w:r>
        <w:rPr>
          <w:lang w:val="en-ZA"/>
        </w:rPr>
        <w:t xml:space="preserve">Berends </w:t>
      </w:r>
    </w:p>
  </w:footnote>
  <w:footnote w:id="6">
    <w:p w14:paraId="2E06B361" w14:textId="0D472717" w:rsidR="004C3D6F" w:rsidRPr="004C3D6F" w:rsidRDefault="004C3D6F">
      <w:pPr>
        <w:pStyle w:val="FootnoteText"/>
        <w:rPr>
          <w:lang w:val="en-ZA"/>
        </w:rPr>
      </w:pPr>
      <w:r>
        <w:rPr>
          <w:rStyle w:val="FootnoteReference"/>
        </w:rPr>
        <w:footnoteRef/>
      </w:r>
      <w:r>
        <w:t xml:space="preserve"> </w:t>
      </w:r>
      <w:r w:rsidRPr="004C3D6F">
        <w:t xml:space="preserve">Herrmann, G. "International Cross-Border." </w:t>
      </w:r>
      <w:r w:rsidRPr="004C3D6F">
        <w:rPr>
          <w:i/>
          <w:iCs/>
        </w:rPr>
        <w:t>International Business Lawyer</w:t>
      </w:r>
      <w:r w:rsidRPr="004C3D6F">
        <w:t xml:space="preserve">, </w:t>
      </w:r>
      <w:r>
        <w:t xml:space="preserve">(1996) </w:t>
      </w:r>
      <w:r w:rsidRPr="004C3D6F">
        <w:t>vol. 24, no. 5, p. 218-219.</w:t>
      </w:r>
      <w:r w:rsidR="00484CA5">
        <w:t xml:space="preserve">  </w:t>
      </w:r>
      <w:r w:rsidR="00484CA5" w:rsidRPr="00484CA5">
        <w:t xml:space="preserve">Available online at </w:t>
      </w:r>
      <w:hyperlink r:id="rId4" w:history="1">
        <w:r w:rsidR="00484CA5" w:rsidRPr="00484CA5">
          <w:rPr>
            <w:rStyle w:val="Hyperlink"/>
          </w:rPr>
          <w:t>https://heinonline.org</w:t>
        </w:r>
      </w:hyperlink>
      <w:r w:rsidR="00484CA5" w:rsidRPr="00484CA5">
        <w:t xml:space="preserve"> accessed 1</w:t>
      </w:r>
      <w:r w:rsidR="00484CA5">
        <w:t>4</w:t>
      </w:r>
      <w:r w:rsidR="00484CA5" w:rsidRPr="00484CA5">
        <w:rPr>
          <w:vertAlign w:val="superscript"/>
        </w:rPr>
        <w:t>th</w:t>
      </w:r>
      <w:r w:rsidR="00484CA5" w:rsidRPr="00484CA5">
        <w:t xml:space="preserve"> February 2022.</w:t>
      </w:r>
      <w:r w:rsidR="00484CA5">
        <w:t xml:space="preserve">  </w:t>
      </w:r>
    </w:p>
  </w:footnote>
  <w:footnote w:id="7">
    <w:p w14:paraId="762BC496" w14:textId="025AADD9" w:rsidR="009C1242" w:rsidRPr="009C1242" w:rsidRDefault="009C1242">
      <w:pPr>
        <w:pStyle w:val="FootnoteText"/>
        <w:rPr>
          <w:lang w:val="en-ZA"/>
        </w:rPr>
      </w:pPr>
      <w:r>
        <w:rPr>
          <w:rStyle w:val="FootnoteReference"/>
        </w:rPr>
        <w:footnoteRef/>
      </w:r>
      <w:r>
        <w:t xml:space="preserve"> </w:t>
      </w:r>
      <w:r>
        <w:rPr>
          <w:lang w:val="en-ZA"/>
        </w:rPr>
        <w:t>Trichardt</w:t>
      </w:r>
      <w:r w:rsidR="00484CA5">
        <w:rPr>
          <w:lang w:val="en-ZA"/>
        </w:rPr>
        <w:t xml:space="preserve"> note 3 above</w:t>
      </w:r>
      <w:r>
        <w:rPr>
          <w:lang w:val="en-ZA"/>
        </w:rPr>
        <w:t xml:space="preserve"> at 122.</w:t>
      </w:r>
    </w:p>
  </w:footnote>
  <w:footnote w:id="8">
    <w:p w14:paraId="2D13B750" w14:textId="77777777" w:rsidR="008E5423" w:rsidRPr="005154E1" w:rsidRDefault="008E5423" w:rsidP="008E5423">
      <w:pPr>
        <w:pStyle w:val="FootnoteText"/>
        <w:rPr>
          <w:lang w:val="en-ZA"/>
        </w:rPr>
      </w:pPr>
      <w:r>
        <w:rPr>
          <w:rStyle w:val="FootnoteReference"/>
        </w:rPr>
        <w:footnoteRef/>
      </w:r>
      <w:r>
        <w:t xml:space="preserve"> </w:t>
      </w:r>
      <w:r>
        <w:rPr>
          <w:lang w:val="en-ZA"/>
        </w:rPr>
        <w:t>Silverman note 1 above at 265.</w:t>
      </w:r>
    </w:p>
  </w:footnote>
  <w:footnote w:id="9">
    <w:p w14:paraId="734049B2" w14:textId="77777777" w:rsidR="001D7DBF" w:rsidRPr="00540D34" w:rsidRDefault="001D7DBF" w:rsidP="001D7DBF">
      <w:pPr>
        <w:pStyle w:val="FootnoteText"/>
        <w:rPr>
          <w:lang w:val="en-ZA"/>
        </w:rPr>
      </w:pPr>
      <w:r>
        <w:rPr>
          <w:rStyle w:val="FootnoteReference"/>
        </w:rPr>
        <w:footnoteRef/>
      </w:r>
      <w:r>
        <w:t xml:space="preserve"> </w:t>
      </w:r>
      <w:r>
        <w:rPr>
          <w:lang w:val="en-ZA"/>
        </w:rPr>
        <w:t>Article 26(2) of the Model Law.</w:t>
      </w:r>
    </w:p>
  </w:footnote>
  <w:footnote w:id="10">
    <w:p w14:paraId="04583970" w14:textId="77777777" w:rsidR="001D7DBF" w:rsidRPr="001A3A93" w:rsidRDefault="001D7DBF" w:rsidP="001D7DBF">
      <w:pPr>
        <w:pStyle w:val="FootnoteText"/>
        <w:rPr>
          <w:lang w:val="en-ZA"/>
        </w:rPr>
      </w:pPr>
      <w:r>
        <w:rPr>
          <w:rStyle w:val="FootnoteReference"/>
        </w:rPr>
        <w:footnoteRef/>
      </w:r>
      <w:r>
        <w:t xml:space="preserve"> </w:t>
      </w:r>
      <w:r>
        <w:rPr>
          <w:lang w:val="en-ZA"/>
        </w:rPr>
        <w:t>Article 26(1) of the Model Law.</w:t>
      </w:r>
    </w:p>
  </w:footnote>
  <w:footnote w:id="11">
    <w:p w14:paraId="1A272BAA" w14:textId="7AC66C5D" w:rsidR="00C41C48" w:rsidRPr="00C41C48" w:rsidRDefault="00C41C48">
      <w:pPr>
        <w:pStyle w:val="FootnoteText"/>
        <w:rPr>
          <w:lang w:val="en-ZA"/>
        </w:rPr>
      </w:pPr>
      <w:r>
        <w:rPr>
          <w:rStyle w:val="FootnoteReference"/>
        </w:rPr>
        <w:footnoteRef/>
      </w:r>
      <w:r>
        <w:t xml:space="preserve"> </w:t>
      </w:r>
      <w:r w:rsidRPr="00C41C48">
        <w:t>Berends, Andre J</w:t>
      </w:r>
      <w:r w:rsidR="00255D2A">
        <w:t xml:space="preserve"> note 4 above </w:t>
      </w:r>
      <w:r w:rsidR="00B755FE">
        <w:t>at 378.</w:t>
      </w:r>
    </w:p>
  </w:footnote>
  <w:footnote w:id="12">
    <w:p w14:paraId="28DC3E7A" w14:textId="77777777" w:rsidR="00FF436D" w:rsidRPr="00873189" w:rsidRDefault="00FF436D" w:rsidP="00FF436D">
      <w:pPr>
        <w:pStyle w:val="FootnoteText"/>
        <w:rPr>
          <w:lang w:val="en-ZA"/>
        </w:rPr>
      </w:pPr>
      <w:r>
        <w:rPr>
          <w:rStyle w:val="FootnoteReference"/>
        </w:rPr>
        <w:footnoteRef/>
      </w:r>
      <w:r>
        <w:t xml:space="preserve"> </w:t>
      </w:r>
      <w:hyperlink r:id="rId5" w:history="1">
        <w:r w:rsidRPr="004501E8">
          <w:rPr>
            <w:rStyle w:val="Hyperlink"/>
          </w:rPr>
          <w:t>https://legalisglobal.com/croatia-lex-agrokor-government-intervention-at-the-eleventh-hour</w:t>
        </w:r>
      </w:hyperlink>
      <w:r>
        <w:t xml:space="preserve">. </w:t>
      </w:r>
    </w:p>
  </w:footnote>
  <w:footnote w:id="13">
    <w:p w14:paraId="704FEA42" w14:textId="1D561978" w:rsidR="00BE2647" w:rsidRPr="00BE2647" w:rsidRDefault="00BE2647">
      <w:pPr>
        <w:pStyle w:val="FootnoteText"/>
        <w:rPr>
          <w:lang w:val="en-ZA"/>
        </w:rPr>
      </w:pPr>
      <w:r>
        <w:rPr>
          <w:rStyle w:val="FootnoteReference"/>
        </w:rPr>
        <w:footnoteRef/>
      </w:r>
      <w:r>
        <w:t xml:space="preserve"> </w:t>
      </w:r>
      <w:r>
        <w:rPr>
          <w:i/>
          <w:iCs/>
          <w:lang w:val="en-ZA"/>
        </w:rPr>
        <w:t xml:space="preserve">In Re </w:t>
      </w:r>
      <w:proofErr w:type="spellStart"/>
      <w:r>
        <w:rPr>
          <w:i/>
          <w:iCs/>
          <w:lang w:val="en-ZA"/>
        </w:rPr>
        <w:t>Betcorp</w:t>
      </w:r>
      <w:proofErr w:type="spellEnd"/>
      <w:r>
        <w:rPr>
          <w:i/>
          <w:iCs/>
          <w:lang w:val="en-ZA"/>
        </w:rPr>
        <w:t xml:space="preserve"> Ltd </w:t>
      </w:r>
      <w:r>
        <w:rPr>
          <w:lang w:val="en-ZA"/>
        </w:rPr>
        <w:t>400 BR 266 (2009).</w:t>
      </w:r>
    </w:p>
  </w:footnote>
  <w:footnote w:id="14">
    <w:p w14:paraId="23E8437B" w14:textId="77777777" w:rsidR="000B09D1" w:rsidRPr="002934C0" w:rsidRDefault="000B09D1" w:rsidP="000B09D1">
      <w:pPr>
        <w:pStyle w:val="FootnoteText"/>
        <w:rPr>
          <w:lang w:val="en-ZA"/>
        </w:rPr>
      </w:pPr>
      <w:r>
        <w:rPr>
          <w:rStyle w:val="FootnoteReference"/>
        </w:rPr>
        <w:footnoteRef/>
      </w:r>
      <w:r>
        <w:t xml:space="preserve"> </w:t>
      </w:r>
      <w:proofErr w:type="spellStart"/>
      <w:r w:rsidRPr="002934C0">
        <w:t>Eidenmüller</w:t>
      </w:r>
      <w:proofErr w:type="spellEnd"/>
      <w:r>
        <w:t xml:space="preserve">, E.  “What is an insolvency proceeding?” </w:t>
      </w:r>
      <w:r>
        <w:rPr>
          <w:i/>
          <w:iCs/>
        </w:rPr>
        <w:t>ECGI Working Paper Series in Law</w:t>
      </w:r>
      <w:r>
        <w:t>.  Oxford University (2017)</w:t>
      </w:r>
      <w:r>
        <w:rPr>
          <w:i/>
          <w:iCs/>
        </w:rPr>
        <w:t xml:space="preserve"> </w:t>
      </w:r>
      <w:r>
        <w:t xml:space="preserve">available online at </w:t>
      </w:r>
      <w:hyperlink r:id="rId6" w:history="1">
        <w:r w:rsidRPr="002248BD">
          <w:rPr>
            <w:rStyle w:val="Hyperlink"/>
          </w:rPr>
          <w:t>http://ssrn.com/abstract_id=2712628</w:t>
        </w:r>
      </w:hyperlink>
      <w:r>
        <w:t>. Accessed 6</w:t>
      </w:r>
      <w:r w:rsidRPr="000B09D1">
        <w:rPr>
          <w:vertAlign w:val="superscript"/>
        </w:rPr>
        <w:t>th</w:t>
      </w:r>
      <w:r>
        <w:t xml:space="preserve"> October 2021. </w:t>
      </w:r>
    </w:p>
  </w:footnote>
  <w:footnote w:id="15">
    <w:p w14:paraId="244F2D45" w14:textId="77777777" w:rsidR="002A5711" w:rsidRPr="0016183F" w:rsidRDefault="002A5711" w:rsidP="002A5711">
      <w:pPr>
        <w:pStyle w:val="FootnoteText"/>
        <w:rPr>
          <w:lang w:val="en-ZA"/>
        </w:rPr>
      </w:pPr>
      <w:r>
        <w:rPr>
          <w:rStyle w:val="FootnoteReference"/>
        </w:rPr>
        <w:footnoteRef/>
      </w:r>
      <w:r>
        <w:t xml:space="preserve"> </w:t>
      </w:r>
      <w:proofErr w:type="spellStart"/>
      <w:r>
        <w:rPr>
          <w:lang w:val="en-ZA"/>
        </w:rPr>
        <w:t>Agrokor</w:t>
      </w:r>
      <w:proofErr w:type="spellEnd"/>
      <w:r>
        <w:rPr>
          <w:lang w:val="en-ZA"/>
        </w:rPr>
        <w:t xml:space="preserve"> para 54.</w:t>
      </w:r>
    </w:p>
  </w:footnote>
  <w:footnote w:id="16">
    <w:p w14:paraId="4FA3D0E6" w14:textId="034D40B2" w:rsidR="00964C7E" w:rsidRPr="00964C7E" w:rsidRDefault="00964C7E">
      <w:pPr>
        <w:pStyle w:val="FootnoteText"/>
        <w:rPr>
          <w:lang w:val="en-ZA"/>
        </w:rPr>
      </w:pPr>
      <w:r>
        <w:rPr>
          <w:rStyle w:val="FootnoteReference"/>
        </w:rPr>
        <w:footnoteRef/>
      </w:r>
      <w:r>
        <w:t xml:space="preserve"> </w:t>
      </w:r>
      <w:r>
        <w:rPr>
          <w:lang w:val="en-GB"/>
        </w:rPr>
        <w:t>Article 76:  T</w:t>
      </w:r>
      <w:r w:rsidRPr="00964C7E">
        <w:rPr>
          <w:lang w:val="en-GB"/>
        </w:rPr>
        <w:t>he bank’s regulatory capital amount or standard capital ratios have reduced to one third of the minimum level specified by law</w:t>
      </w:r>
      <w:r>
        <w:rPr>
          <w:lang w:val="en-GB"/>
        </w:rPr>
        <w:t xml:space="preserve">.  </w:t>
      </w:r>
    </w:p>
  </w:footnote>
  <w:footnote w:id="17">
    <w:p w14:paraId="5958D464" w14:textId="57B8E9F4" w:rsidR="00964C7E" w:rsidRPr="00964C7E" w:rsidRDefault="00964C7E" w:rsidP="00964C7E">
      <w:pPr>
        <w:pStyle w:val="FootnoteText"/>
        <w:rPr>
          <w:lang w:val="en-GB"/>
        </w:rPr>
      </w:pPr>
      <w:r>
        <w:rPr>
          <w:rStyle w:val="FootnoteReference"/>
        </w:rPr>
        <w:footnoteRef/>
      </w:r>
      <w:r>
        <w:t xml:space="preserve">  W</w:t>
      </w:r>
      <w:proofErr w:type="spellStart"/>
      <w:r w:rsidRPr="00964C7E">
        <w:rPr>
          <w:lang w:val="en-GB"/>
        </w:rPr>
        <w:t>ithin</w:t>
      </w:r>
      <w:proofErr w:type="spellEnd"/>
      <w:r w:rsidRPr="00964C7E">
        <w:rPr>
          <w:lang w:val="en-GB"/>
        </w:rPr>
        <w:t xml:space="preserve"> five consecutive working days, the bank has failed to meet 2% or more of its obligations to depositors or creditors</w:t>
      </w:r>
      <w:r>
        <w:rPr>
          <w:lang w:val="en-GB"/>
        </w:rPr>
        <w:t xml:space="preserve">.  </w:t>
      </w:r>
    </w:p>
    <w:p w14:paraId="775EEF09" w14:textId="3FD8E9C1" w:rsidR="00964C7E" w:rsidRPr="00964C7E" w:rsidRDefault="00964C7E">
      <w:pPr>
        <w:pStyle w:val="FootnoteText"/>
        <w:rPr>
          <w:lang w:val="en-ZA"/>
        </w:rPr>
      </w:pPr>
    </w:p>
  </w:footnote>
  <w:footnote w:id="18">
    <w:p w14:paraId="7065BB94" w14:textId="1B93A92E" w:rsidR="0080040C" w:rsidRPr="0080040C" w:rsidRDefault="0080040C">
      <w:pPr>
        <w:pStyle w:val="FootnoteText"/>
        <w:rPr>
          <w:lang w:val="en-ZA"/>
        </w:rPr>
      </w:pPr>
      <w:r>
        <w:rPr>
          <w:rStyle w:val="FootnoteReference"/>
        </w:rPr>
        <w:footnoteRef/>
      </w:r>
      <w:r>
        <w:t xml:space="preserve"> </w:t>
      </w:r>
      <w:r>
        <w:rPr>
          <w:lang w:val="en-ZA"/>
        </w:rPr>
        <w:t>Schedule 1 of CBIR.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01304"/>
    <w:multiLevelType w:val="hybridMultilevel"/>
    <w:tmpl w:val="92C4F0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2C1E7F"/>
    <w:multiLevelType w:val="hybridMultilevel"/>
    <w:tmpl w:val="4FACE644"/>
    <w:lvl w:ilvl="0" w:tplc="F7983FC8">
      <w:start w:val="27"/>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616213"/>
    <w:multiLevelType w:val="hybridMultilevel"/>
    <w:tmpl w:val="83E8DC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D5979BC"/>
    <w:multiLevelType w:val="hybridMultilevel"/>
    <w:tmpl w:val="31501C96"/>
    <w:lvl w:ilvl="0" w:tplc="F7983FC8">
      <w:start w:val="27"/>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5E5C47"/>
    <w:multiLevelType w:val="hybridMultilevel"/>
    <w:tmpl w:val="9CB439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4"/>
  </w:num>
  <w:num w:numId="3">
    <w:abstractNumId w:val="30"/>
  </w:num>
  <w:num w:numId="4">
    <w:abstractNumId w:val="39"/>
  </w:num>
  <w:num w:numId="5">
    <w:abstractNumId w:val="7"/>
  </w:num>
  <w:num w:numId="6">
    <w:abstractNumId w:val="37"/>
  </w:num>
  <w:num w:numId="7">
    <w:abstractNumId w:val="14"/>
  </w:num>
  <w:num w:numId="8">
    <w:abstractNumId w:val="32"/>
  </w:num>
  <w:num w:numId="9">
    <w:abstractNumId w:val="17"/>
  </w:num>
  <w:num w:numId="10">
    <w:abstractNumId w:val="10"/>
  </w:num>
  <w:num w:numId="11">
    <w:abstractNumId w:val="19"/>
  </w:num>
  <w:num w:numId="12">
    <w:abstractNumId w:val="36"/>
  </w:num>
  <w:num w:numId="13">
    <w:abstractNumId w:val="5"/>
  </w:num>
  <w:num w:numId="14">
    <w:abstractNumId w:val="27"/>
  </w:num>
  <w:num w:numId="15">
    <w:abstractNumId w:val="11"/>
  </w:num>
  <w:num w:numId="16">
    <w:abstractNumId w:val="12"/>
  </w:num>
  <w:num w:numId="17">
    <w:abstractNumId w:val="21"/>
  </w:num>
  <w:num w:numId="18">
    <w:abstractNumId w:val="6"/>
  </w:num>
  <w:num w:numId="19">
    <w:abstractNumId w:val="20"/>
  </w:num>
  <w:num w:numId="20">
    <w:abstractNumId w:val="43"/>
  </w:num>
  <w:num w:numId="21">
    <w:abstractNumId w:val="13"/>
  </w:num>
  <w:num w:numId="22">
    <w:abstractNumId w:val="35"/>
  </w:num>
  <w:num w:numId="23">
    <w:abstractNumId w:val="41"/>
  </w:num>
  <w:num w:numId="24">
    <w:abstractNumId w:val="34"/>
  </w:num>
  <w:num w:numId="25">
    <w:abstractNumId w:val="26"/>
  </w:num>
  <w:num w:numId="26">
    <w:abstractNumId w:val="42"/>
  </w:num>
  <w:num w:numId="27">
    <w:abstractNumId w:val="38"/>
  </w:num>
  <w:num w:numId="28">
    <w:abstractNumId w:val="8"/>
  </w:num>
  <w:num w:numId="29">
    <w:abstractNumId w:val="9"/>
  </w:num>
  <w:num w:numId="30">
    <w:abstractNumId w:val="23"/>
  </w:num>
  <w:num w:numId="31">
    <w:abstractNumId w:val="3"/>
  </w:num>
  <w:num w:numId="32">
    <w:abstractNumId w:val="24"/>
  </w:num>
  <w:num w:numId="33">
    <w:abstractNumId w:val="0"/>
  </w:num>
  <w:num w:numId="34">
    <w:abstractNumId w:val="31"/>
  </w:num>
  <w:num w:numId="35">
    <w:abstractNumId w:val="16"/>
  </w:num>
  <w:num w:numId="36">
    <w:abstractNumId w:val="33"/>
  </w:num>
  <w:num w:numId="37">
    <w:abstractNumId w:val="18"/>
  </w:num>
  <w:num w:numId="38">
    <w:abstractNumId w:val="29"/>
  </w:num>
  <w:num w:numId="39">
    <w:abstractNumId w:val="4"/>
  </w:num>
  <w:num w:numId="40">
    <w:abstractNumId w:val="15"/>
  </w:num>
  <w:num w:numId="41">
    <w:abstractNumId w:val="28"/>
  </w:num>
  <w:num w:numId="42">
    <w:abstractNumId w:val="22"/>
  </w:num>
  <w:num w:numId="43">
    <w:abstractNumId w:val="40"/>
  </w:num>
  <w:num w:numId="44">
    <w:abstractNumId w:val="2"/>
  </w:num>
  <w:num w:numId="45">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5292"/>
    <w:rsid w:val="000077DD"/>
    <w:rsid w:val="00010BA0"/>
    <w:rsid w:val="00011778"/>
    <w:rsid w:val="00012C8F"/>
    <w:rsid w:val="00020557"/>
    <w:rsid w:val="000232A1"/>
    <w:rsid w:val="000250C7"/>
    <w:rsid w:val="00025CCF"/>
    <w:rsid w:val="0003114A"/>
    <w:rsid w:val="00035A75"/>
    <w:rsid w:val="0003619C"/>
    <w:rsid w:val="00037621"/>
    <w:rsid w:val="00044D46"/>
    <w:rsid w:val="00045088"/>
    <w:rsid w:val="00045904"/>
    <w:rsid w:val="000464F7"/>
    <w:rsid w:val="0005141D"/>
    <w:rsid w:val="00052C31"/>
    <w:rsid w:val="00053D02"/>
    <w:rsid w:val="00055220"/>
    <w:rsid w:val="00065166"/>
    <w:rsid w:val="00067A88"/>
    <w:rsid w:val="00071024"/>
    <w:rsid w:val="00073474"/>
    <w:rsid w:val="00075C0D"/>
    <w:rsid w:val="00077D49"/>
    <w:rsid w:val="00082609"/>
    <w:rsid w:val="000851CC"/>
    <w:rsid w:val="00093BE8"/>
    <w:rsid w:val="000A68ED"/>
    <w:rsid w:val="000A6A63"/>
    <w:rsid w:val="000B09D1"/>
    <w:rsid w:val="000B2D10"/>
    <w:rsid w:val="000B3236"/>
    <w:rsid w:val="000B4FEB"/>
    <w:rsid w:val="000B5FF1"/>
    <w:rsid w:val="000B609F"/>
    <w:rsid w:val="000C147F"/>
    <w:rsid w:val="000C6BB9"/>
    <w:rsid w:val="000D3E18"/>
    <w:rsid w:val="000D3EDC"/>
    <w:rsid w:val="000D55A8"/>
    <w:rsid w:val="000E4841"/>
    <w:rsid w:val="000E6325"/>
    <w:rsid w:val="000F1677"/>
    <w:rsid w:val="000F3D6C"/>
    <w:rsid w:val="000F579C"/>
    <w:rsid w:val="00101707"/>
    <w:rsid w:val="00111403"/>
    <w:rsid w:val="00114082"/>
    <w:rsid w:val="0011473D"/>
    <w:rsid w:val="00115B21"/>
    <w:rsid w:val="00115C85"/>
    <w:rsid w:val="00123855"/>
    <w:rsid w:val="00124973"/>
    <w:rsid w:val="00126A4D"/>
    <w:rsid w:val="00140E0A"/>
    <w:rsid w:val="001411A7"/>
    <w:rsid w:val="0014171F"/>
    <w:rsid w:val="00144FE6"/>
    <w:rsid w:val="0014622C"/>
    <w:rsid w:val="00151F58"/>
    <w:rsid w:val="00152348"/>
    <w:rsid w:val="0015456D"/>
    <w:rsid w:val="00155FA2"/>
    <w:rsid w:val="0015731E"/>
    <w:rsid w:val="001578CB"/>
    <w:rsid w:val="001614F6"/>
    <w:rsid w:val="0016183F"/>
    <w:rsid w:val="00161F1B"/>
    <w:rsid w:val="00162829"/>
    <w:rsid w:val="00167C32"/>
    <w:rsid w:val="0017174C"/>
    <w:rsid w:val="0017257C"/>
    <w:rsid w:val="00172A40"/>
    <w:rsid w:val="001747C2"/>
    <w:rsid w:val="00176079"/>
    <w:rsid w:val="0017652E"/>
    <w:rsid w:val="00180548"/>
    <w:rsid w:val="00180AC4"/>
    <w:rsid w:val="00180CCE"/>
    <w:rsid w:val="0018267A"/>
    <w:rsid w:val="00182779"/>
    <w:rsid w:val="001830DF"/>
    <w:rsid w:val="001904A8"/>
    <w:rsid w:val="00190FD2"/>
    <w:rsid w:val="00193A6F"/>
    <w:rsid w:val="001960B0"/>
    <w:rsid w:val="001966D9"/>
    <w:rsid w:val="001A24E7"/>
    <w:rsid w:val="001A2B78"/>
    <w:rsid w:val="001A3A93"/>
    <w:rsid w:val="001A7E9A"/>
    <w:rsid w:val="001B0F70"/>
    <w:rsid w:val="001B3F41"/>
    <w:rsid w:val="001B5016"/>
    <w:rsid w:val="001C45FC"/>
    <w:rsid w:val="001D02C5"/>
    <w:rsid w:val="001D4862"/>
    <w:rsid w:val="001D7DBF"/>
    <w:rsid w:val="001E25B9"/>
    <w:rsid w:val="001E49E0"/>
    <w:rsid w:val="001E7B5A"/>
    <w:rsid w:val="001F7412"/>
    <w:rsid w:val="00201874"/>
    <w:rsid w:val="00202133"/>
    <w:rsid w:val="0020264E"/>
    <w:rsid w:val="0020725B"/>
    <w:rsid w:val="00214B65"/>
    <w:rsid w:val="002162B3"/>
    <w:rsid w:val="002175BA"/>
    <w:rsid w:val="0022599E"/>
    <w:rsid w:val="002305E8"/>
    <w:rsid w:val="0023198D"/>
    <w:rsid w:val="0023317E"/>
    <w:rsid w:val="00234F2C"/>
    <w:rsid w:val="00240B0E"/>
    <w:rsid w:val="0024116D"/>
    <w:rsid w:val="00241B44"/>
    <w:rsid w:val="00245EFB"/>
    <w:rsid w:val="00250E19"/>
    <w:rsid w:val="00252E72"/>
    <w:rsid w:val="0025386E"/>
    <w:rsid w:val="00255D2A"/>
    <w:rsid w:val="002638B0"/>
    <w:rsid w:val="00264FFF"/>
    <w:rsid w:val="002650D7"/>
    <w:rsid w:val="0026647A"/>
    <w:rsid w:val="002668D3"/>
    <w:rsid w:val="002675BE"/>
    <w:rsid w:val="00271530"/>
    <w:rsid w:val="00272165"/>
    <w:rsid w:val="0027299F"/>
    <w:rsid w:val="002732A1"/>
    <w:rsid w:val="00276913"/>
    <w:rsid w:val="00277A89"/>
    <w:rsid w:val="0028135B"/>
    <w:rsid w:val="00282480"/>
    <w:rsid w:val="00284EBE"/>
    <w:rsid w:val="0028704B"/>
    <w:rsid w:val="002934C0"/>
    <w:rsid w:val="0029433F"/>
    <w:rsid w:val="00294829"/>
    <w:rsid w:val="00294F3B"/>
    <w:rsid w:val="002955FF"/>
    <w:rsid w:val="0029690F"/>
    <w:rsid w:val="002975D7"/>
    <w:rsid w:val="002A1492"/>
    <w:rsid w:val="002A2A60"/>
    <w:rsid w:val="002A5711"/>
    <w:rsid w:val="002B1C45"/>
    <w:rsid w:val="002B6173"/>
    <w:rsid w:val="002C13C8"/>
    <w:rsid w:val="002C3547"/>
    <w:rsid w:val="002D0021"/>
    <w:rsid w:val="002D3473"/>
    <w:rsid w:val="002D5C95"/>
    <w:rsid w:val="002D7AF0"/>
    <w:rsid w:val="002E00F8"/>
    <w:rsid w:val="002E1BB5"/>
    <w:rsid w:val="002E2322"/>
    <w:rsid w:val="002E38E2"/>
    <w:rsid w:val="002F1956"/>
    <w:rsid w:val="002F3440"/>
    <w:rsid w:val="002F4EC0"/>
    <w:rsid w:val="002F71BE"/>
    <w:rsid w:val="002F75A3"/>
    <w:rsid w:val="00303C2F"/>
    <w:rsid w:val="0031070F"/>
    <w:rsid w:val="00311EA1"/>
    <w:rsid w:val="00312911"/>
    <w:rsid w:val="003144EF"/>
    <w:rsid w:val="003148CA"/>
    <w:rsid w:val="00315506"/>
    <w:rsid w:val="00322F3B"/>
    <w:rsid w:val="00326292"/>
    <w:rsid w:val="00326415"/>
    <w:rsid w:val="00327807"/>
    <w:rsid w:val="00330937"/>
    <w:rsid w:val="00330F31"/>
    <w:rsid w:val="0033366F"/>
    <w:rsid w:val="0033442A"/>
    <w:rsid w:val="00334648"/>
    <w:rsid w:val="0033768C"/>
    <w:rsid w:val="00337938"/>
    <w:rsid w:val="00340769"/>
    <w:rsid w:val="00341AA6"/>
    <w:rsid w:val="00342459"/>
    <w:rsid w:val="003427B9"/>
    <w:rsid w:val="003466D9"/>
    <w:rsid w:val="00346B16"/>
    <w:rsid w:val="0036086B"/>
    <w:rsid w:val="00361A0A"/>
    <w:rsid w:val="0036565C"/>
    <w:rsid w:val="0036625E"/>
    <w:rsid w:val="0036760B"/>
    <w:rsid w:val="00373B00"/>
    <w:rsid w:val="0037465A"/>
    <w:rsid w:val="00376BF2"/>
    <w:rsid w:val="00380BAB"/>
    <w:rsid w:val="00382C98"/>
    <w:rsid w:val="003841F9"/>
    <w:rsid w:val="0038533C"/>
    <w:rsid w:val="00386568"/>
    <w:rsid w:val="00387106"/>
    <w:rsid w:val="00391F3E"/>
    <w:rsid w:val="003948D5"/>
    <w:rsid w:val="00396821"/>
    <w:rsid w:val="00397D3A"/>
    <w:rsid w:val="003A051E"/>
    <w:rsid w:val="003A11B6"/>
    <w:rsid w:val="003A2FEE"/>
    <w:rsid w:val="003A6942"/>
    <w:rsid w:val="003B1310"/>
    <w:rsid w:val="003B170F"/>
    <w:rsid w:val="003B3C5F"/>
    <w:rsid w:val="003B48D1"/>
    <w:rsid w:val="003B78C2"/>
    <w:rsid w:val="003C1B43"/>
    <w:rsid w:val="003C4471"/>
    <w:rsid w:val="003C66B1"/>
    <w:rsid w:val="003C6BB9"/>
    <w:rsid w:val="003D0A6D"/>
    <w:rsid w:val="003D3CC7"/>
    <w:rsid w:val="003E0B16"/>
    <w:rsid w:val="003E66EF"/>
    <w:rsid w:val="003E67D1"/>
    <w:rsid w:val="004014C9"/>
    <w:rsid w:val="00405DC1"/>
    <w:rsid w:val="0040710D"/>
    <w:rsid w:val="0041139B"/>
    <w:rsid w:val="00413D3A"/>
    <w:rsid w:val="00415F1F"/>
    <w:rsid w:val="0042108F"/>
    <w:rsid w:val="00422242"/>
    <w:rsid w:val="00424D07"/>
    <w:rsid w:val="00430FED"/>
    <w:rsid w:val="00432A47"/>
    <w:rsid w:val="00434A8C"/>
    <w:rsid w:val="00435583"/>
    <w:rsid w:val="00437297"/>
    <w:rsid w:val="00443403"/>
    <w:rsid w:val="00444284"/>
    <w:rsid w:val="00445CE6"/>
    <w:rsid w:val="004534C2"/>
    <w:rsid w:val="0045446F"/>
    <w:rsid w:val="00454C13"/>
    <w:rsid w:val="0045683E"/>
    <w:rsid w:val="004658C9"/>
    <w:rsid w:val="00466657"/>
    <w:rsid w:val="0047025B"/>
    <w:rsid w:val="004742D8"/>
    <w:rsid w:val="00483593"/>
    <w:rsid w:val="00484CA5"/>
    <w:rsid w:val="00491675"/>
    <w:rsid w:val="00493855"/>
    <w:rsid w:val="0049508F"/>
    <w:rsid w:val="004A053B"/>
    <w:rsid w:val="004A171E"/>
    <w:rsid w:val="004A57DD"/>
    <w:rsid w:val="004A7B51"/>
    <w:rsid w:val="004A7D71"/>
    <w:rsid w:val="004A7EF3"/>
    <w:rsid w:val="004B11FD"/>
    <w:rsid w:val="004B23A2"/>
    <w:rsid w:val="004C043C"/>
    <w:rsid w:val="004C3D6F"/>
    <w:rsid w:val="004D1A5A"/>
    <w:rsid w:val="004D2FFF"/>
    <w:rsid w:val="004D3721"/>
    <w:rsid w:val="004D64F9"/>
    <w:rsid w:val="004E0549"/>
    <w:rsid w:val="004E2E92"/>
    <w:rsid w:val="004E30B0"/>
    <w:rsid w:val="004E622C"/>
    <w:rsid w:val="004F2492"/>
    <w:rsid w:val="004F4E53"/>
    <w:rsid w:val="004F5FDF"/>
    <w:rsid w:val="0050157D"/>
    <w:rsid w:val="00501F04"/>
    <w:rsid w:val="00504888"/>
    <w:rsid w:val="0050525A"/>
    <w:rsid w:val="00506550"/>
    <w:rsid w:val="00506803"/>
    <w:rsid w:val="0050682B"/>
    <w:rsid w:val="00507AAC"/>
    <w:rsid w:val="005154E1"/>
    <w:rsid w:val="00516B75"/>
    <w:rsid w:val="005177FE"/>
    <w:rsid w:val="0052263B"/>
    <w:rsid w:val="005238B8"/>
    <w:rsid w:val="00524728"/>
    <w:rsid w:val="005261E5"/>
    <w:rsid w:val="005265F8"/>
    <w:rsid w:val="00530003"/>
    <w:rsid w:val="005331CA"/>
    <w:rsid w:val="0053353F"/>
    <w:rsid w:val="00537970"/>
    <w:rsid w:val="00540B44"/>
    <w:rsid w:val="00540D34"/>
    <w:rsid w:val="00540E3A"/>
    <w:rsid w:val="00541726"/>
    <w:rsid w:val="00544127"/>
    <w:rsid w:val="00544273"/>
    <w:rsid w:val="00546318"/>
    <w:rsid w:val="005463A9"/>
    <w:rsid w:val="00552049"/>
    <w:rsid w:val="00553564"/>
    <w:rsid w:val="00553EB2"/>
    <w:rsid w:val="00556777"/>
    <w:rsid w:val="00560534"/>
    <w:rsid w:val="0056391B"/>
    <w:rsid w:val="005650E2"/>
    <w:rsid w:val="00565292"/>
    <w:rsid w:val="0056535A"/>
    <w:rsid w:val="00565DEE"/>
    <w:rsid w:val="00567447"/>
    <w:rsid w:val="00567AD7"/>
    <w:rsid w:val="00573E73"/>
    <w:rsid w:val="00575B2D"/>
    <w:rsid w:val="005773D7"/>
    <w:rsid w:val="00583075"/>
    <w:rsid w:val="005833D0"/>
    <w:rsid w:val="005846F3"/>
    <w:rsid w:val="00585EA1"/>
    <w:rsid w:val="0058622F"/>
    <w:rsid w:val="00587461"/>
    <w:rsid w:val="00592F82"/>
    <w:rsid w:val="005A0CCA"/>
    <w:rsid w:val="005A726D"/>
    <w:rsid w:val="005B0C7B"/>
    <w:rsid w:val="005B67AC"/>
    <w:rsid w:val="005C2C94"/>
    <w:rsid w:val="005C4865"/>
    <w:rsid w:val="005D43E0"/>
    <w:rsid w:val="005D58A3"/>
    <w:rsid w:val="005E0DDB"/>
    <w:rsid w:val="005E1B79"/>
    <w:rsid w:val="005E5C28"/>
    <w:rsid w:val="005F026D"/>
    <w:rsid w:val="005F21F4"/>
    <w:rsid w:val="005F2D0B"/>
    <w:rsid w:val="005F4B31"/>
    <w:rsid w:val="00610388"/>
    <w:rsid w:val="006123D2"/>
    <w:rsid w:val="00612CA5"/>
    <w:rsid w:val="006153EC"/>
    <w:rsid w:val="006166D0"/>
    <w:rsid w:val="00621A17"/>
    <w:rsid w:val="00622586"/>
    <w:rsid w:val="00622C2B"/>
    <w:rsid w:val="00622DCB"/>
    <w:rsid w:val="00623ABA"/>
    <w:rsid w:val="00627CC9"/>
    <w:rsid w:val="00627E7B"/>
    <w:rsid w:val="00630135"/>
    <w:rsid w:val="00630542"/>
    <w:rsid w:val="00631F57"/>
    <w:rsid w:val="00632E44"/>
    <w:rsid w:val="00634622"/>
    <w:rsid w:val="00636808"/>
    <w:rsid w:val="00641002"/>
    <w:rsid w:val="00641515"/>
    <w:rsid w:val="00651AE3"/>
    <w:rsid w:val="00654C2F"/>
    <w:rsid w:val="00657087"/>
    <w:rsid w:val="0066252C"/>
    <w:rsid w:val="006630D7"/>
    <w:rsid w:val="006661EF"/>
    <w:rsid w:val="0067161E"/>
    <w:rsid w:val="0067294B"/>
    <w:rsid w:val="00677736"/>
    <w:rsid w:val="0067785F"/>
    <w:rsid w:val="00677AEB"/>
    <w:rsid w:val="00680EF2"/>
    <w:rsid w:val="006811AF"/>
    <w:rsid w:val="006839C2"/>
    <w:rsid w:val="0068641E"/>
    <w:rsid w:val="006874E7"/>
    <w:rsid w:val="00687A1D"/>
    <w:rsid w:val="006920CC"/>
    <w:rsid w:val="00697EA1"/>
    <w:rsid w:val="006A1850"/>
    <w:rsid w:val="006A2219"/>
    <w:rsid w:val="006A2646"/>
    <w:rsid w:val="006A3DF0"/>
    <w:rsid w:val="006A52B8"/>
    <w:rsid w:val="006A6530"/>
    <w:rsid w:val="006B435A"/>
    <w:rsid w:val="006B4C64"/>
    <w:rsid w:val="006B4FFC"/>
    <w:rsid w:val="006D6BD5"/>
    <w:rsid w:val="006E303F"/>
    <w:rsid w:val="006E481A"/>
    <w:rsid w:val="006E5298"/>
    <w:rsid w:val="006F2CE3"/>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47C65"/>
    <w:rsid w:val="00751D59"/>
    <w:rsid w:val="007527A6"/>
    <w:rsid w:val="007603F5"/>
    <w:rsid w:val="00764DB0"/>
    <w:rsid w:val="0076764D"/>
    <w:rsid w:val="00767A4E"/>
    <w:rsid w:val="0077235B"/>
    <w:rsid w:val="0077498C"/>
    <w:rsid w:val="00784128"/>
    <w:rsid w:val="00784B4B"/>
    <w:rsid w:val="007854ED"/>
    <w:rsid w:val="00785FF2"/>
    <w:rsid w:val="00793173"/>
    <w:rsid w:val="007964AA"/>
    <w:rsid w:val="007A1798"/>
    <w:rsid w:val="007B3AC7"/>
    <w:rsid w:val="007C160F"/>
    <w:rsid w:val="007C1FCC"/>
    <w:rsid w:val="007C2223"/>
    <w:rsid w:val="007C32A8"/>
    <w:rsid w:val="007C3FE5"/>
    <w:rsid w:val="007C6201"/>
    <w:rsid w:val="007C6988"/>
    <w:rsid w:val="007D28A1"/>
    <w:rsid w:val="007D7C92"/>
    <w:rsid w:val="007E1154"/>
    <w:rsid w:val="007E28F8"/>
    <w:rsid w:val="007E6BA4"/>
    <w:rsid w:val="007E7678"/>
    <w:rsid w:val="007F41F8"/>
    <w:rsid w:val="007F60D0"/>
    <w:rsid w:val="0080040C"/>
    <w:rsid w:val="00800A23"/>
    <w:rsid w:val="0080454E"/>
    <w:rsid w:val="00804C32"/>
    <w:rsid w:val="00806302"/>
    <w:rsid w:val="00807119"/>
    <w:rsid w:val="00811DF8"/>
    <w:rsid w:val="0081450B"/>
    <w:rsid w:val="00817D57"/>
    <w:rsid w:val="00822764"/>
    <w:rsid w:val="00822EB5"/>
    <w:rsid w:val="0082483F"/>
    <w:rsid w:val="008264CB"/>
    <w:rsid w:val="008279C0"/>
    <w:rsid w:val="00835FD1"/>
    <w:rsid w:val="0084683C"/>
    <w:rsid w:val="008536ED"/>
    <w:rsid w:val="00853A74"/>
    <w:rsid w:val="00855F62"/>
    <w:rsid w:val="00860E61"/>
    <w:rsid w:val="008723F3"/>
    <w:rsid w:val="00873189"/>
    <w:rsid w:val="00875581"/>
    <w:rsid w:val="00877E28"/>
    <w:rsid w:val="00881DE6"/>
    <w:rsid w:val="008837A6"/>
    <w:rsid w:val="0088723D"/>
    <w:rsid w:val="0089145D"/>
    <w:rsid w:val="008A0C6E"/>
    <w:rsid w:val="008A4DF2"/>
    <w:rsid w:val="008A6CFE"/>
    <w:rsid w:val="008A7470"/>
    <w:rsid w:val="008A77DB"/>
    <w:rsid w:val="008B0059"/>
    <w:rsid w:val="008B1A08"/>
    <w:rsid w:val="008B2327"/>
    <w:rsid w:val="008B2DE3"/>
    <w:rsid w:val="008B4E3A"/>
    <w:rsid w:val="008B5333"/>
    <w:rsid w:val="008B6223"/>
    <w:rsid w:val="008C2C2F"/>
    <w:rsid w:val="008C58D4"/>
    <w:rsid w:val="008C66E0"/>
    <w:rsid w:val="008E1224"/>
    <w:rsid w:val="008E2DFA"/>
    <w:rsid w:val="008E3339"/>
    <w:rsid w:val="008E5423"/>
    <w:rsid w:val="008E549B"/>
    <w:rsid w:val="008E5837"/>
    <w:rsid w:val="008F18EF"/>
    <w:rsid w:val="008F20FC"/>
    <w:rsid w:val="008F2B24"/>
    <w:rsid w:val="008F5FFE"/>
    <w:rsid w:val="0090421A"/>
    <w:rsid w:val="00905A43"/>
    <w:rsid w:val="00912C79"/>
    <w:rsid w:val="009260A2"/>
    <w:rsid w:val="0093383D"/>
    <w:rsid w:val="00942123"/>
    <w:rsid w:val="009451C5"/>
    <w:rsid w:val="00945252"/>
    <w:rsid w:val="00951031"/>
    <w:rsid w:val="0095207B"/>
    <w:rsid w:val="00954C2B"/>
    <w:rsid w:val="00956085"/>
    <w:rsid w:val="00957951"/>
    <w:rsid w:val="00962045"/>
    <w:rsid w:val="009634F7"/>
    <w:rsid w:val="00964055"/>
    <w:rsid w:val="00964C7E"/>
    <w:rsid w:val="00967EDA"/>
    <w:rsid w:val="00970897"/>
    <w:rsid w:val="00980314"/>
    <w:rsid w:val="009816D0"/>
    <w:rsid w:val="00987F93"/>
    <w:rsid w:val="00991428"/>
    <w:rsid w:val="00992676"/>
    <w:rsid w:val="00996691"/>
    <w:rsid w:val="009A4880"/>
    <w:rsid w:val="009A7865"/>
    <w:rsid w:val="009B0723"/>
    <w:rsid w:val="009B07AD"/>
    <w:rsid w:val="009B0883"/>
    <w:rsid w:val="009B15E2"/>
    <w:rsid w:val="009B5832"/>
    <w:rsid w:val="009B6312"/>
    <w:rsid w:val="009C0850"/>
    <w:rsid w:val="009C0B8E"/>
    <w:rsid w:val="009C1242"/>
    <w:rsid w:val="009C1BC8"/>
    <w:rsid w:val="009C2442"/>
    <w:rsid w:val="009C5BCD"/>
    <w:rsid w:val="009C7826"/>
    <w:rsid w:val="009D0811"/>
    <w:rsid w:val="009D0EE1"/>
    <w:rsid w:val="009D30BB"/>
    <w:rsid w:val="009E2AEB"/>
    <w:rsid w:val="009E2E27"/>
    <w:rsid w:val="009E4DE3"/>
    <w:rsid w:val="009F24F1"/>
    <w:rsid w:val="00A04134"/>
    <w:rsid w:val="00A047EE"/>
    <w:rsid w:val="00A10002"/>
    <w:rsid w:val="00A114EA"/>
    <w:rsid w:val="00A153F7"/>
    <w:rsid w:val="00A220D5"/>
    <w:rsid w:val="00A2274A"/>
    <w:rsid w:val="00A235B7"/>
    <w:rsid w:val="00A27A7A"/>
    <w:rsid w:val="00A31610"/>
    <w:rsid w:val="00A32F7F"/>
    <w:rsid w:val="00A34C8B"/>
    <w:rsid w:val="00A407EF"/>
    <w:rsid w:val="00A46B4C"/>
    <w:rsid w:val="00A5117B"/>
    <w:rsid w:val="00A54689"/>
    <w:rsid w:val="00A56A0F"/>
    <w:rsid w:val="00A60074"/>
    <w:rsid w:val="00A6627C"/>
    <w:rsid w:val="00A71019"/>
    <w:rsid w:val="00A81029"/>
    <w:rsid w:val="00A8313C"/>
    <w:rsid w:val="00A83154"/>
    <w:rsid w:val="00A83CB5"/>
    <w:rsid w:val="00A86206"/>
    <w:rsid w:val="00A8650A"/>
    <w:rsid w:val="00A96489"/>
    <w:rsid w:val="00AA3A42"/>
    <w:rsid w:val="00AA5311"/>
    <w:rsid w:val="00AB1DAC"/>
    <w:rsid w:val="00AB685C"/>
    <w:rsid w:val="00AB6C2D"/>
    <w:rsid w:val="00AC08F7"/>
    <w:rsid w:val="00AC3839"/>
    <w:rsid w:val="00AC55F7"/>
    <w:rsid w:val="00AC7082"/>
    <w:rsid w:val="00AD3FEA"/>
    <w:rsid w:val="00AD7014"/>
    <w:rsid w:val="00AD7BBD"/>
    <w:rsid w:val="00AF122E"/>
    <w:rsid w:val="00AF228E"/>
    <w:rsid w:val="00AF2D91"/>
    <w:rsid w:val="00B04137"/>
    <w:rsid w:val="00B11D19"/>
    <w:rsid w:val="00B12936"/>
    <w:rsid w:val="00B14819"/>
    <w:rsid w:val="00B17AA9"/>
    <w:rsid w:val="00B32DE4"/>
    <w:rsid w:val="00B33578"/>
    <w:rsid w:val="00B370C3"/>
    <w:rsid w:val="00B411AE"/>
    <w:rsid w:val="00B60190"/>
    <w:rsid w:val="00B61419"/>
    <w:rsid w:val="00B72F5F"/>
    <w:rsid w:val="00B736DF"/>
    <w:rsid w:val="00B74FBD"/>
    <w:rsid w:val="00B755FE"/>
    <w:rsid w:val="00B82586"/>
    <w:rsid w:val="00B829A3"/>
    <w:rsid w:val="00B83291"/>
    <w:rsid w:val="00B868EC"/>
    <w:rsid w:val="00B86DB1"/>
    <w:rsid w:val="00B87869"/>
    <w:rsid w:val="00BA0E44"/>
    <w:rsid w:val="00BA47C5"/>
    <w:rsid w:val="00BA5455"/>
    <w:rsid w:val="00BA6803"/>
    <w:rsid w:val="00BB0F2B"/>
    <w:rsid w:val="00BC4306"/>
    <w:rsid w:val="00BD2D33"/>
    <w:rsid w:val="00BD4D79"/>
    <w:rsid w:val="00BE1090"/>
    <w:rsid w:val="00BE1A50"/>
    <w:rsid w:val="00BE2647"/>
    <w:rsid w:val="00BF50F7"/>
    <w:rsid w:val="00C00627"/>
    <w:rsid w:val="00C02F29"/>
    <w:rsid w:val="00C03844"/>
    <w:rsid w:val="00C10C13"/>
    <w:rsid w:val="00C15F2A"/>
    <w:rsid w:val="00C17111"/>
    <w:rsid w:val="00C20747"/>
    <w:rsid w:val="00C20AFE"/>
    <w:rsid w:val="00C22A25"/>
    <w:rsid w:val="00C23B79"/>
    <w:rsid w:val="00C335FA"/>
    <w:rsid w:val="00C33AEC"/>
    <w:rsid w:val="00C33D50"/>
    <w:rsid w:val="00C35671"/>
    <w:rsid w:val="00C35B77"/>
    <w:rsid w:val="00C370D3"/>
    <w:rsid w:val="00C376EB"/>
    <w:rsid w:val="00C37AC7"/>
    <w:rsid w:val="00C4003A"/>
    <w:rsid w:val="00C41C48"/>
    <w:rsid w:val="00C46E43"/>
    <w:rsid w:val="00C46EC1"/>
    <w:rsid w:val="00C504E5"/>
    <w:rsid w:val="00C53E2C"/>
    <w:rsid w:val="00C550C8"/>
    <w:rsid w:val="00C56B61"/>
    <w:rsid w:val="00C606C3"/>
    <w:rsid w:val="00C620F4"/>
    <w:rsid w:val="00C66460"/>
    <w:rsid w:val="00C670FC"/>
    <w:rsid w:val="00C67ECE"/>
    <w:rsid w:val="00C72848"/>
    <w:rsid w:val="00C7736C"/>
    <w:rsid w:val="00C77D5F"/>
    <w:rsid w:val="00C82D87"/>
    <w:rsid w:val="00C841ED"/>
    <w:rsid w:val="00C85F17"/>
    <w:rsid w:val="00C8712A"/>
    <w:rsid w:val="00C91324"/>
    <w:rsid w:val="00C938C4"/>
    <w:rsid w:val="00C94ECD"/>
    <w:rsid w:val="00C951C3"/>
    <w:rsid w:val="00C963D3"/>
    <w:rsid w:val="00CA6671"/>
    <w:rsid w:val="00CA6E0D"/>
    <w:rsid w:val="00CB2CBB"/>
    <w:rsid w:val="00CB7CAC"/>
    <w:rsid w:val="00CC0EA0"/>
    <w:rsid w:val="00CC2110"/>
    <w:rsid w:val="00CC5335"/>
    <w:rsid w:val="00CC5BA4"/>
    <w:rsid w:val="00CC70BB"/>
    <w:rsid w:val="00CD29C3"/>
    <w:rsid w:val="00CD4998"/>
    <w:rsid w:val="00CE1035"/>
    <w:rsid w:val="00CF2819"/>
    <w:rsid w:val="00CF4F9D"/>
    <w:rsid w:val="00CF70DC"/>
    <w:rsid w:val="00CF7CE2"/>
    <w:rsid w:val="00D148DC"/>
    <w:rsid w:val="00D17FDC"/>
    <w:rsid w:val="00D23DD5"/>
    <w:rsid w:val="00D444C5"/>
    <w:rsid w:val="00D45AEA"/>
    <w:rsid w:val="00D46CF8"/>
    <w:rsid w:val="00D56A37"/>
    <w:rsid w:val="00D57202"/>
    <w:rsid w:val="00D63EFD"/>
    <w:rsid w:val="00D64826"/>
    <w:rsid w:val="00D76CCD"/>
    <w:rsid w:val="00D80DF2"/>
    <w:rsid w:val="00D84752"/>
    <w:rsid w:val="00D85AB0"/>
    <w:rsid w:val="00D86B3B"/>
    <w:rsid w:val="00D8748A"/>
    <w:rsid w:val="00D91534"/>
    <w:rsid w:val="00D93196"/>
    <w:rsid w:val="00D948E8"/>
    <w:rsid w:val="00D97A93"/>
    <w:rsid w:val="00DA1083"/>
    <w:rsid w:val="00DA26C8"/>
    <w:rsid w:val="00DB243C"/>
    <w:rsid w:val="00DB482A"/>
    <w:rsid w:val="00DB56F2"/>
    <w:rsid w:val="00DB62AB"/>
    <w:rsid w:val="00DB6EF5"/>
    <w:rsid w:val="00DC3089"/>
    <w:rsid w:val="00DC4420"/>
    <w:rsid w:val="00DC45F4"/>
    <w:rsid w:val="00DC529F"/>
    <w:rsid w:val="00DD0802"/>
    <w:rsid w:val="00DD0A50"/>
    <w:rsid w:val="00DD2E11"/>
    <w:rsid w:val="00DE03AF"/>
    <w:rsid w:val="00DE121C"/>
    <w:rsid w:val="00DE2A27"/>
    <w:rsid w:val="00DE3705"/>
    <w:rsid w:val="00DE6633"/>
    <w:rsid w:val="00DF75F8"/>
    <w:rsid w:val="00DF7A3A"/>
    <w:rsid w:val="00E00A30"/>
    <w:rsid w:val="00E00C00"/>
    <w:rsid w:val="00E04A7C"/>
    <w:rsid w:val="00E059FB"/>
    <w:rsid w:val="00E069C4"/>
    <w:rsid w:val="00E07275"/>
    <w:rsid w:val="00E07866"/>
    <w:rsid w:val="00E07C5A"/>
    <w:rsid w:val="00E07DD9"/>
    <w:rsid w:val="00E15BA9"/>
    <w:rsid w:val="00E25436"/>
    <w:rsid w:val="00E26E19"/>
    <w:rsid w:val="00E31DF3"/>
    <w:rsid w:val="00E32814"/>
    <w:rsid w:val="00E33486"/>
    <w:rsid w:val="00E450A4"/>
    <w:rsid w:val="00E45AD0"/>
    <w:rsid w:val="00E506BE"/>
    <w:rsid w:val="00E55547"/>
    <w:rsid w:val="00E57410"/>
    <w:rsid w:val="00E62934"/>
    <w:rsid w:val="00E6302B"/>
    <w:rsid w:val="00E6452F"/>
    <w:rsid w:val="00E64619"/>
    <w:rsid w:val="00E64F45"/>
    <w:rsid w:val="00E6742D"/>
    <w:rsid w:val="00E71CB0"/>
    <w:rsid w:val="00E71E7B"/>
    <w:rsid w:val="00E73529"/>
    <w:rsid w:val="00E77C3D"/>
    <w:rsid w:val="00E850FE"/>
    <w:rsid w:val="00E909F0"/>
    <w:rsid w:val="00E90D47"/>
    <w:rsid w:val="00E93993"/>
    <w:rsid w:val="00E9597C"/>
    <w:rsid w:val="00EA0913"/>
    <w:rsid w:val="00EA0A2F"/>
    <w:rsid w:val="00EA1F28"/>
    <w:rsid w:val="00EB146B"/>
    <w:rsid w:val="00EB45AC"/>
    <w:rsid w:val="00EC2AEA"/>
    <w:rsid w:val="00EC7B11"/>
    <w:rsid w:val="00EC7F95"/>
    <w:rsid w:val="00ED0BC4"/>
    <w:rsid w:val="00ED3771"/>
    <w:rsid w:val="00ED6A32"/>
    <w:rsid w:val="00EE04D5"/>
    <w:rsid w:val="00EE4971"/>
    <w:rsid w:val="00EF090E"/>
    <w:rsid w:val="00EF4E10"/>
    <w:rsid w:val="00EF7C91"/>
    <w:rsid w:val="00F02FE7"/>
    <w:rsid w:val="00F033DA"/>
    <w:rsid w:val="00F11AAB"/>
    <w:rsid w:val="00F13FB1"/>
    <w:rsid w:val="00F1616D"/>
    <w:rsid w:val="00F17C87"/>
    <w:rsid w:val="00F223E7"/>
    <w:rsid w:val="00F2288D"/>
    <w:rsid w:val="00F25779"/>
    <w:rsid w:val="00F2750A"/>
    <w:rsid w:val="00F27CD8"/>
    <w:rsid w:val="00F30351"/>
    <w:rsid w:val="00F3323E"/>
    <w:rsid w:val="00F341F4"/>
    <w:rsid w:val="00F34F9D"/>
    <w:rsid w:val="00F35CCE"/>
    <w:rsid w:val="00F42B10"/>
    <w:rsid w:val="00F55241"/>
    <w:rsid w:val="00F5524B"/>
    <w:rsid w:val="00F56028"/>
    <w:rsid w:val="00F60538"/>
    <w:rsid w:val="00F61DD2"/>
    <w:rsid w:val="00F6523A"/>
    <w:rsid w:val="00F66AFF"/>
    <w:rsid w:val="00F67A4F"/>
    <w:rsid w:val="00F71433"/>
    <w:rsid w:val="00F71D85"/>
    <w:rsid w:val="00F7241A"/>
    <w:rsid w:val="00F725DC"/>
    <w:rsid w:val="00F83E76"/>
    <w:rsid w:val="00F87561"/>
    <w:rsid w:val="00F90A57"/>
    <w:rsid w:val="00F97C5B"/>
    <w:rsid w:val="00FA05D2"/>
    <w:rsid w:val="00FA0952"/>
    <w:rsid w:val="00FA359A"/>
    <w:rsid w:val="00FA3D50"/>
    <w:rsid w:val="00FB009F"/>
    <w:rsid w:val="00FB25B0"/>
    <w:rsid w:val="00FB6136"/>
    <w:rsid w:val="00FB7A92"/>
    <w:rsid w:val="00FC374A"/>
    <w:rsid w:val="00FC77EA"/>
    <w:rsid w:val="00FC7B47"/>
    <w:rsid w:val="00FD035C"/>
    <w:rsid w:val="00FD1A35"/>
    <w:rsid w:val="00FD1FE6"/>
    <w:rsid w:val="00FD36C5"/>
    <w:rsid w:val="00FD428C"/>
    <w:rsid w:val="00FD467B"/>
    <w:rsid w:val="00FD6310"/>
    <w:rsid w:val="00FD7C7B"/>
    <w:rsid w:val="00FD7FD0"/>
    <w:rsid w:val="00FE1D12"/>
    <w:rsid w:val="00FE2122"/>
    <w:rsid w:val="00FE2A86"/>
    <w:rsid w:val="00FE67C6"/>
    <w:rsid w:val="00FF296F"/>
    <w:rsid w:val="00FF436D"/>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3B7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84176107">
      <w:bodyDiv w:val="1"/>
      <w:marLeft w:val="0"/>
      <w:marRight w:val="0"/>
      <w:marTop w:val="0"/>
      <w:marBottom w:val="0"/>
      <w:divBdr>
        <w:top w:val="none" w:sz="0" w:space="0" w:color="auto"/>
        <w:left w:val="none" w:sz="0" w:space="0" w:color="auto"/>
        <w:bottom w:val="none" w:sz="0" w:space="0" w:color="auto"/>
        <w:right w:val="none" w:sz="0" w:space="0" w:color="auto"/>
      </w:divBdr>
      <w:divsChild>
        <w:div w:id="1914049015">
          <w:marLeft w:val="-300"/>
          <w:marRight w:val="0"/>
          <w:marTop w:val="0"/>
          <w:marBottom w:val="0"/>
          <w:divBdr>
            <w:top w:val="none" w:sz="0" w:space="0" w:color="auto"/>
            <w:left w:val="none" w:sz="0" w:space="0" w:color="auto"/>
            <w:bottom w:val="none" w:sz="0" w:space="0" w:color="auto"/>
            <w:right w:val="none" w:sz="0" w:space="0" w:color="auto"/>
          </w:divBdr>
        </w:div>
        <w:div w:id="1168130047">
          <w:marLeft w:val="0"/>
          <w:marRight w:val="0"/>
          <w:marTop w:val="450"/>
          <w:marBottom w:val="900"/>
          <w:divBdr>
            <w:top w:val="none" w:sz="0" w:space="0" w:color="auto"/>
            <w:left w:val="none" w:sz="0" w:space="0" w:color="auto"/>
            <w:bottom w:val="none" w:sz="0" w:space="0" w:color="auto"/>
            <w:right w:val="none" w:sz="0" w:space="0" w:color="auto"/>
          </w:divBdr>
          <w:divsChild>
            <w:div w:id="114755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439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heinonline.org" TargetMode="External"/><Relationship Id="rId2" Type="http://schemas.openxmlformats.org/officeDocument/2006/relationships/hyperlink" Target="https://law.justia.com/cases/federal/appellate-courts/ca2/11-4376/11-4376-2013-04-16.html" TargetMode="External"/><Relationship Id="rId1" Type="http://schemas.openxmlformats.org/officeDocument/2006/relationships/hyperlink" Target="https://heinonline.org" TargetMode="External"/><Relationship Id="rId6" Type="http://schemas.openxmlformats.org/officeDocument/2006/relationships/hyperlink" Target="http://ssrn.com/abstract_id=2712628" TargetMode="External"/><Relationship Id="rId5" Type="http://schemas.openxmlformats.org/officeDocument/2006/relationships/hyperlink" Target="https://legalisglobal.com/croatia-lex-agrokor-government-intervention-at-the-eleventh-hour" TargetMode="External"/><Relationship Id="rId4" Type="http://schemas.openxmlformats.org/officeDocument/2006/relationships/hyperlink" Target="https://hein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6747</TotalTime>
  <Pages>22</Pages>
  <Words>8556</Words>
  <Characters>48774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Chetna Singh</cp:lastModifiedBy>
  <cp:revision>116</cp:revision>
  <cp:lastPrinted>2019-08-27T05:42:00Z</cp:lastPrinted>
  <dcterms:created xsi:type="dcterms:W3CDTF">2021-08-31T13:05:00Z</dcterms:created>
  <dcterms:modified xsi:type="dcterms:W3CDTF">2022-02-27T14:02:00Z</dcterms:modified>
</cp:coreProperties>
</file>