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r w:rsidRPr="002E6888">
        <w:rPr>
          <w:rFonts w:ascii="Arial" w:hAnsi="Arial" w:cs="Arial"/>
          <w:sz w:val="22"/>
          <w:szCs w:val="22"/>
          <w:highlight w:val="yellow"/>
          <w:lang w:val="en-GB"/>
        </w:rPr>
        <w:t>All of the above.</w:t>
      </w:r>
      <w:r w:rsidRPr="009B5832">
        <w:rPr>
          <w:rFonts w:ascii="Arial" w:hAnsi="Arial" w:cs="Arial"/>
          <w:sz w:val="22"/>
          <w:szCs w:val="22"/>
          <w:lang w:val="en-GB"/>
        </w:rPr>
        <w:t xml:space="preser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existence of a statutory basis in national (insolvency) laws for co</w:t>
      </w:r>
      <w:r w:rsidR="00B61419" w:rsidRPr="009B5832">
        <w:rPr>
          <w:rFonts w:ascii="Arial" w:hAnsi="Arial" w:cs="Arial"/>
          <w:sz w:val="22"/>
          <w:szCs w:val="22"/>
          <w:lang w:val="en-GB"/>
        </w:rPr>
        <w:t>-</w:t>
      </w:r>
      <w:r w:rsidRPr="009B5832">
        <w:rPr>
          <w:rFonts w:ascii="Arial" w:hAnsi="Arial" w:cs="Arial"/>
          <w:sz w:val="22"/>
          <w:szCs w:val="22"/>
          <w:lang w:val="en-GB"/>
        </w:rPr>
        <w:t>operation and co</w:t>
      </w:r>
      <w:r w:rsidR="00B61419" w:rsidRPr="009B5832">
        <w:rPr>
          <w:rFonts w:ascii="Arial" w:hAnsi="Arial" w:cs="Arial"/>
          <w:sz w:val="22"/>
          <w:szCs w:val="22"/>
          <w:lang w:val="en-GB"/>
        </w:rPr>
        <w:t>-</w:t>
      </w:r>
      <w:r w:rsidRPr="009B5832">
        <w:rPr>
          <w:rFonts w:ascii="Arial" w:hAnsi="Arial" w:cs="Arial"/>
          <w:sz w:val="22"/>
          <w:szCs w:val="22"/>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8E7850">
        <w:rPr>
          <w:rFonts w:ascii="Arial" w:hAnsi="Arial" w:cs="Arial"/>
          <w:sz w:val="22"/>
          <w:szCs w:val="22"/>
          <w:highlight w:val="yellow"/>
          <w:lang w:val="en-GB"/>
        </w:rPr>
        <w:t>None of the above.</w:t>
      </w:r>
      <w:r w:rsidRPr="009B5832">
        <w:rPr>
          <w:rFonts w:ascii="Arial" w:hAnsi="Arial" w:cs="Arial"/>
          <w:sz w:val="22"/>
          <w:szCs w:val="22"/>
          <w:lang w:val="en-GB"/>
        </w:rPr>
        <w:t xml:space="preser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8E7850">
        <w:rPr>
          <w:rFonts w:ascii="Arial" w:hAnsi="Arial"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B5832" w:rsidRDefault="00E57410" w:rsidP="00322F3B">
      <w:pPr>
        <w:pStyle w:val="ListParagraph"/>
        <w:numPr>
          <w:ilvl w:val="0"/>
          <w:numId w:val="18"/>
        </w:numPr>
        <w:ind w:left="426"/>
        <w:jc w:val="both"/>
        <w:rPr>
          <w:rFonts w:ascii="Arial" w:hAnsi="Arial" w:cs="Arial"/>
          <w:sz w:val="22"/>
          <w:szCs w:val="22"/>
          <w:lang w:val="en-GB"/>
        </w:rPr>
      </w:pPr>
      <w:r w:rsidRPr="008E7850">
        <w:rPr>
          <w:rFonts w:ascii="Arial" w:hAnsi="Arial" w:cs="Arial"/>
          <w:sz w:val="22"/>
          <w:szCs w:val="22"/>
          <w:highlight w:val="yellow"/>
          <w:lang w:val="en-GB"/>
        </w:rPr>
        <w:t xml:space="preserve">The </w:t>
      </w:r>
      <w:r w:rsidRPr="008E7850">
        <w:rPr>
          <w:rFonts w:ascii="Arial" w:hAnsi="Arial" w:cs="Arial"/>
          <w:i/>
          <w:iCs/>
          <w:sz w:val="22"/>
          <w:szCs w:val="22"/>
          <w:highlight w:val="yellow"/>
          <w:lang w:val="en-GB"/>
        </w:rPr>
        <w:t>locus standi</w:t>
      </w:r>
      <w:r w:rsidRPr="008E7850">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7D1DDD">
        <w:rPr>
          <w:rFonts w:ascii="Arial" w:hAnsi="Arial" w:cs="Arial"/>
          <w:sz w:val="22"/>
          <w:szCs w:val="22"/>
          <w:highlight w:val="yellow"/>
          <w:lang w:val="en-GB"/>
        </w:rPr>
        <w:t>The foreign main proceedings in South Africa will not be recognised in the UK because the UK is not a designated country under South Africa</w:t>
      </w:r>
      <w:r w:rsidR="001747C2" w:rsidRPr="007D1DDD">
        <w:rPr>
          <w:rFonts w:ascii="Arial" w:hAnsi="Arial" w:cs="Arial"/>
          <w:sz w:val="22"/>
          <w:szCs w:val="22"/>
          <w:highlight w:val="yellow"/>
          <w:lang w:val="en-GB"/>
        </w:rPr>
        <w:t>’</w:t>
      </w:r>
      <w:r w:rsidRPr="007D1DDD">
        <w:rPr>
          <w:rFonts w:ascii="Arial" w:hAnsi="Arial" w:cs="Arial"/>
          <w:sz w:val="22"/>
          <w:szCs w:val="22"/>
          <w:highlight w:val="yellow"/>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ListParagraph"/>
        <w:numPr>
          <w:ilvl w:val="0"/>
          <w:numId w:val="26"/>
        </w:numPr>
        <w:ind w:left="426"/>
        <w:jc w:val="both"/>
        <w:rPr>
          <w:rFonts w:ascii="Arial" w:hAnsi="Arial" w:cs="Arial"/>
          <w:sz w:val="22"/>
          <w:szCs w:val="22"/>
          <w:lang w:val="en-GB"/>
        </w:rPr>
      </w:pPr>
      <w:r w:rsidRPr="00A12A55">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A12A55">
        <w:rPr>
          <w:rFonts w:ascii="Arial" w:hAnsi="Arial" w:cs="Arial"/>
          <w:sz w:val="22"/>
          <w:szCs w:val="22"/>
          <w:highlight w:val="yellow"/>
          <w:lang w:val="en-GB"/>
        </w:rPr>
        <w:t>will</w:t>
      </w:r>
      <w:r w:rsidRPr="00A12A55">
        <w:rPr>
          <w:rFonts w:ascii="Arial" w:hAnsi="Arial" w:cs="Arial"/>
          <w:sz w:val="22"/>
          <w:szCs w:val="22"/>
          <w:highlight w:val="yellow"/>
          <w:lang w:val="en-GB"/>
        </w:rPr>
        <w:t xml:space="preserve"> not be either adjusted or terminated if consistent with the domestic insolvency proceedings.</w:t>
      </w:r>
      <w:r w:rsidRPr="009B5832">
        <w:rPr>
          <w:rFonts w:ascii="Arial" w:hAnsi="Arial" w:cs="Arial"/>
          <w:sz w:val="22"/>
          <w:szCs w:val="22"/>
          <w:lang w:val="en-GB"/>
        </w:rPr>
        <w:t xml:space="preserve">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7C12A6">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B5832" w:rsidRDefault="004E0549" w:rsidP="00114082">
      <w:pPr>
        <w:pStyle w:val="ListParagraph"/>
        <w:numPr>
          <w:ilvl w:val="0"/>
          <w:numId w:val="28"/>
        </w:numPr>
        <w:ind w:left="426"/>
        <w:jc w:val="both"/>
        <w:rPr>
          <w:rFonts w:ascii="Arial" w:hAnsi="Arial" w:cs="Arial"/>
          <w:sz w:val="22"/>
          <w:szCs w:val="22"/>
          <w:lang w:val="en-GB"/>
        </w:rPr>
      </w:pPr>
      <w:r w:rsidRPr="007C12A6">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7C12A6">
        <w:rPr>
          <w:rFonts w:ascii="Arial" w:hAnsi="Arial" w:cs="Arial"/>
          <w:sz w:val="22"/>
          <w:szCs w:val="22"/>
          <w:highlight w:val="yellow"/>
          <w:lang w:val="en-GB"/>
        </w:rPr>
        <w:t xml:space="preserve">Both </w:t>
      </w:r>
      <w:r w:rsidR="00114082" w:rsidRPr="007C12A6">
        <w:rPr>
          <w:rFonts w:ascii="Arial" w:hAnsi="Arial" w:cs="Arial"/>
          <w:sz w:val="22"/>
          <w:szCs w:val="22"/>
          <w:highlight w:val="yellow"/>
          <w:lang w:val="en-GB"/>
        </w:rPr>
        <w:t>(</w:t>
      </w:r>
      <w:r w:rsidRPr="007C12A6">
        <w:rPr>
          <w:rFonts w:ascii="Arial" w:hAnsi="Arial" w:cs="Arial"/>
          <w:sz w:val="22"/>
          <w:szCs w:val="22"/>
          <w:highlight w:val="yellow"/>
          <w:lang w:val="en-GB"/>
        </w:rPr>
        <w:t>a</w:t>
      </w:r>
      <w:r w:rsidR="00114082" w:rsidRPr="007C12A6">
        <w:rPr>
          <w:rFonts w:ascii="Arial" w:hAnsi="Arial" w:cs="Arial"/>
          <w:sz w:val="22"/>
          <w:szCs w:val="22"/>
          <w:highlight w:val="yellow"/>
          <w:lang w:val="en-GB"/>
        </w:rPr>
        <w:t>)</w:t>
      </w:r>
      <w:r w:rsidRPr="007C12A6">
        <w:rPr>
          <w:rFonts w:ascii="Arial" w:hAnsi="Arial" w:cs="Arial"/>
          <w:sz w:val="22"/>
          <w:szCs w:val="22"/>
          <w:highlight w:val="yellow"/>
          <w:lang w:val="en-GB"/>
        </w:rPr>
        <w:t xml:space="preserve"> and </w:t>
      </w:r>
      <w:r w:rsidR="00114082" w:rsidRPr="007C12A6">
        <w:rPr>
          <w:rFonts w:ascii="Arial" w:hAnsi="Arial" w:cs="Arial"/>
          <w:sz w:val="22"/>
          <w:szCs w:val="22"/>
          <w:highlight w:val="yellow"/>
          <w:lang w:val="en-GB"/>
        </w:rPr>
        <w:t>(</w:t>
      </w:r>
      <w:r w:rsidRPr="007C12A6">
        <w:rPr>
          <w:rFonts w:ascii="Arial" w:hAnsi="Arial" w:cs="Arial"/>
          <w:sz w:val="22"/>
          <w:szCs w:val="22"/>
          <w:highlight w:val="yellow"/>
          <w:lang w:val="en-GB"/>
        </w:rPr>
        <w:t>b</w:t>
      </w:r>
      <w:r w:rsidR="00114082" w:rsidRPr="007C12A6">
        <w:rPr>
          <w:rFonts w:ascii="Arial" w:hAnsi="Arial" w:cs="Arial"/>
          <w:sz w:val="22"/>
          <w:szCs w:val="22"/>
          <w:highlight w:val="yellow"/>
          <w:lang w:val="en-GB"/>
        </w:rPr>
        <w:t>)</w:t>
      </w:r>
      <w:r w:rsidRPr="007C12A6">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641D9F">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37582897" w14:textId="77777777" w:rsidR="00C450EC" w:rsidRDefault="000C4AF0" w:rsidP="00C450EC">
      <w:pPr>
        <w:ind w:left="720" w:hanging="720"/>
        <w:jc w:val="both"/>
        <w:rPr>
          <w:rFonts w:ascii="Arial" w:hAnsi="Arial" w:cs="Arial"/>
          <w:color w:val="7B7B7B" w:themeColor="accent3" w:themeShade="BF"/>
          <w:sz w:val="22"/>
          <w:szCs w:val="22"/>
          <w:lang w:val="en-GB"/>
        </w:rPr>
      </w:pPr>
      <w:r w:rsidRPr="00C450EC">
        <w:rPr>
          <w:rFonts w:ascii="Arial" w:hAnsi="Arial" w:cs="Arial"/>
          <w:color w:val="7B7B7B" w:themeColor="accent3" w:themeShade="BF"/>
          <w:sz w:val="22"/>
          <w:szCs w:val="22"/>
          <w:lang w:val="en-GB"/>
        </w:rPr>
        <w:t>Under the MLCBI, the issue of the appropriate date to determine the COMI of a debtor was</w:t>
      </w:r>
    </w:p>
    <w:p w14:paraId="1480E503" w14:textId="77777777" w:rsidR="00C450EC" w:rsidRDefault="000C4AF0" w:rsidP="00C450EC">
      <w:pPr>
        <w:ind w:left="720" w:hanging="720"/>
        <w:jc w:val="both"/>
        <w:rPr>
          <w:rFonts w:ascii="Arial" w:hAnsi="Arial" w:cs="Arial"/>
          <w:color w:val="7B7B7B" w:themeColor="accent3" w:themeShade="BF"/>
          <w:sz w:val="22"/>
          <w:szCs w:val="22"/>
          <w:lang w:val="en-GB"/>
        </w:rPr>
      </w:pPr>
      <w:r w:rsidRPr="00C450EC">
        <w:rPr>
          <w:rFonts w:ascii="Arial" w:hAnsi="Arial" w:cs="Arial"/>
          <w:color w:val="7B7B7B" w:themeColor="accent3" w:themeShade="BF"/>
          <w:sz w:val="22"/>
          <w:szCs w:val="22"/>
          <w:lang w:val="en-GB"/>
        </w:rPr>
        <w:t>not specifically addressed.  However the Guide to E</w:t>
      </w:r>
      <w:r w:rsidR="000B557F" w:rsidRPr="00C450EC">
        <w:rPr>
          <w:rFonts w:ascii="Arial" w:hAnsi="Arial" w:cs="Arial"/>
          <w:color w:val="7B7B7B" w:themeColor="accent3" w:themeShade="BF"/>
          <w:sz w:val="22"/>
          <w:szCs w:val="22"/>
          <w:lang w:val="en-GB"/>
        </w:rPr>
        <w:t>nactment and Interpretation of the</w:t>
      </w:r>
    </w:p>
    <w:p w14:paraId="2E316FA2" w14:textId="77777777" w:rsidR="00C450EC" w:rsidRDefault="000B557F" w:rsidP="00C450EC">
      <w:pPr>
        <w:ind w:left="720" w:hanging="720"/>
        <w:jc w:val="both"/>
        <w:rPr>
          <w:rFonts w:ascii="Arial" w:hAnsi="Arial" w:cs="Arial"/>
          <w:color w:val="7B7B7B" w:themeColor="accent3" w:themeShade="BF"/>
          <w:sz w:val="22"/>
          <w:szCs w:val="22"/>
          <w:lang w:val="en-GB"/>
        </w:rPr>
      </w:pPr>
      <w:r w:rsidRPr="00C450EC">
        <w:rPr>
          <w:rFonts w:ascii="Arial" w:hAnsi="Arial" w:cs="Arial"/>
          <w:color w:val="7B7B7B" w:themeColor="accent3" w:themeShade="BF"/>
          <w:sz w:val="22"/>
          <w:szCs w:val="22"/>
          <w:lang w:val="en-GB"/>
        </w:rPr>
        <w:t>UNCITRAL Model Law on Cross Border Insolvency has suggested that the appropriate date</w:t>
      </w:r>
    </w:p>
    <w:p w14:paraId="54E8CF84" w14:textId="77777777" w:rsidR="00C450EC" w:rsidRDefault="000B557F" w:rsidP="00C450EC">
      <w:pPr>
        <w:ind w:left="720" w:hanging="720"/>
        <w:jc w:val="both"/>
        <w:rPr>
          <w:rFonts w:ascii="Arial" w:hAnsi="Arial" w:cs="Arial"/>
          <w:color w:val="7B7B7B" w:themeColor="accent3" w:themeShade="BF"/>
          <w:sz w:val="22"/>
          <w:szCs w:val="22"/>
          <w:lang w:val="en-GB"/>
        </w:rPr>
      </w:pPr>
      <w:r w:rsidRPr="00C450EC">
        <w:rPr>
          <w:rFonts w:ascii="Arial" w:hAnsi="Arial" w:cs="Arial"/>
          <w:color w:val="7B7B7B" w:themeColor="accent3" w:themeShade="BF"/>
          <w:sz w:val="22"/>
          <w:szCs w:val="22"/>
          <w:lang w:val="en-GB"/>
        </w:rPr>
        <w:t>to determine the COMI of a debtor is the date of commencement of the foreign proceeding</w:t>
      </w:r>
    </w:p>
    <w:p w14:paraId="005659F7" w14:textId="77777777" w:rsidR="00C450EC" w:rsidRDefault="000B557F" w:rsidP="00C450EC">
      <w:pPr>
        <w:ind w:left="720" w:hanging="720"/>
        <w:jc w:val="both"/>
        <w:rPr>
          <w:rFonts w:ascii="Arial" w:hAnsi="Arial" w:cs="Arial"/>
          <w:color w:val="7B7B7B" w:themeColor="accent3" w:themeShade="BF"/>
          <w:sz w:val="22"/>
          <w:szCs w:val="22"/>
          <w:lang w:val="en-GB"/>
        </w:rPr>
      </w:pPr>
      <w:r w:rsidRPr="00C450EC">
        <w:rPr>
          <w:rFonts w:ascii="Arial" w:hAnsi="Arial" w:cs="Arial"/>
          <w:color w:val="7B7B7B" w:themeColor="accent3" w:themeShade="BF"/>
          <w:sz w:val="22"/>
          <w:szCs w:val="22"/>
          <w:lang w:val="en-GB"/>
        </w:rPr>
        <w:t>[paras 157 – 160].</w:t>
      </w:r>
      <w:r w:rsidR="00F6240D" w:rsidRPr="00C450EC">
        <w:rPr>
          <w:rFonts w:ascii="Arial" w:hAnsi="Arial" w:cs="Arial"/>
          <w:color w:val="7B7B7B" w:themeColor="accent3" w:themeShade="BF"/>
          <w:sz w:val="22"/>
          <w:szCs w:val="22"/>
          <w:lang w:val="en-GB"/>
        </w:rPr>
        <w:t xml:space="preserve">  This is after having regard to the evidence required to accompany an</w:t>
      </w:r>
    </w:p>
    <w:p w14:paraId="7BC81EAC" w14:textId="77777777" w:rsidR="00C450EC" w:rsidRDefault="00F6240D" w:rsidP="00C450EC">
      <w:pPr>
        <w:ind w:left="720" w:hanging="720"/>
        <w:jc w:val="both"/>
        <w:rPr>
          <w:rFonts w:ascii="Arial" w:hAnsi="Arial" w:cs="Arial"/>
          <w:color w:val="7B7B7B" w:themeColor="accent3" w:themeShade="BF"/>
          <w:sz w:val="22"/>
          <w:szCs w:val="22"/>
          <w:lang w:val="en-GB"/>
        </w:rPr>
      </w:pPr>
      <w:r w:rsidRPr="00C450EC">
        <w:rPr>
          <w:rFonts w:ascii="Arial" w:hAnsi="Arial" w:cs="Arial"/>
          <w:color w:val="7B7B7B" w:themeColor="accent3" w:themeShade="BF"/>
          <w:sz w:val="22"/>
          <w:szCs w:val="22"/>
          <w:lang w:val="en-GB"/>
        </w:rPr>
        <w:t>application for recognition under article 15 and the relevance accorded the decision</w:t>
      </w:r>
    </w:p>
    <w:p w14:paraId="57BCFC30" w14:textId="4750A49E" w:rsidR="009B07AD" w:rsidRDefault="00F6240D" w:rsidP="00C450EC">
      <w:pPr>
        <w:ind w:left="720" w:hanging="720"/>
        <w:jc w:val="both"/>
        <w:rPr>
          <w:rFonts w:ascii="Arial" w:hAnsi="Arial" w:cs="Arial"/>
          <w:color w:val="7B7B7B" w:themeColor="accent3" w:themeShade="BF"/>
          <w:sz w:val="22"/>
          <w:szCs w:val="22"/>
          <w:lang w:val="en-GB"/>
        </w:rPr>
      </w:pPr>
      <w:r w:rsidRPr="00C450EC">
        <w:rPr>
          <w:rFonts w:ascii="Arial" w:hAnsi="Arial" w:cs="Arial"/>
          <w:color w:val="7B7B7B" w:themeColor="accent3" w:themeShade="BF"/>
          <w:sz w:val="22"/>
          <w:szCs w:val="22"/>
          <w:lang w:val="en-GB"/>
        </w:rPr>
        <w:t>commencing the foreign proceeding and appointment of the foreign representative.</w:t>
      </w:r>
      <w:r w:rsidR="000B557F" w:rsidRPr="00C450EC">
        <w:rPr>
          <w:rFonts w:ascii="Arial" w:hAnsi="Arial" w:cs="Arial"/>
          <w:color w:val="7B7B7B" w:themeColor="accent3" w:themeShade="BF"/>
          <w:sz w:val="22"/>
          <w:szCs w:val="22"/>
          <w:lang w:val="en-GB"/>
        </w:rPr>
        <w:t xml:space="preserve">  </w:t>
      </w:r>
    </w:p>
    <w:p w14:paraId="166F8A72" w14:textId="77777777" w:rsidR="00C450EC" w:rsidRPr="00C450EC" w:rsidRDefault="00C450EC" w:rsidP="00C450EC">
      <w:pPr>
        <w:ind w:left="720" w:hanging="720"/>
        <w:jc w:val="both"/>
        <w:rPr>
          <w:rFonts w:ascii="Arial" w:hAnsi="Arial" w:cs="Arial"/>
          <w:color w:val="7B7B7B" w:themeColor="accent3" w:themeShade="BF"/>
          <w:sz w:val="22"/>
          <w:szCs w:val="22"/>
          <w:lang w:val="en-GB"/>
        </w:rPr>
      </w:pPr>
    </w:p>
    <w:p w14:paraId="22C610C9" w14:textId="16EF6256" w:rsidR="00DE03AF" w:rsidRPr="00C450EC" w:rsidRDefault="00DE03AF" w:rsidP="00C450EC">
      <w:pPr>
        <w:ind w:left="720" w:hanging="720"/>
        <w:jc w:val="both"/>
        <w:rPr>
          <w:rFonts w:ascii="Arial" w:hAnsi="Arial" w:cs="Arial"/>
          <w:color w:val="7B7B7B" w:themeColor="accent3" w:themeShade="BF"/>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lastRenderedPageBreak/>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208743DD" w:rsidR="009B07AD" w:rsidRDefault="00C450EC"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1 – Article 30.  Coordination of more than one foreign proceeding</w:t>
      </w:r>
    </w:p>
    <w:p w14:paraId="0043489C" w14:textId="39AAE2F8" w:rsidR="00AE5461" w:rsidRDefault="00AE5461"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2 – Article 32.  Rule of payment in concurrent proceedings</w:t>
      </w:r>
    </w:p>
    <w:p w14:paraId="6BD203DB" w14:textId="47D9FF04" w:rsidR="00AE5461" w:rsidRDefault="00AE5461"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3 – Article 16.  Recognition of presumptions</w:t>
      </w:r>
    </w:p>
    <w:p w14:paraId="128F5A48" w14:textId="77777777" w:rsidR="00AE5461" w:rsidRPr="009B5832" w:rsidRDefault="00AE5461" w:rsidP="00707FC8">
      <w:pPr>
        <w:ind w:left="720" w:hanging="720"/>
        <w:jc w:val="both"/>
        <w:rPr>
          <w:rFonts w:ascii="Arial" w:hAnsi="Arial" w:cs="Arial"/>
          <w:sz w:val="22"/>
          <w:szCs w:val="22"/>
          <w:lang w:val="en-GB"/>
        </w:rPr>
      </w:pP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54335AFF" w14:textId="7A2BAD3E" w:rsidR="00C635F5" w:rsidRDefault="00F2394A" w:rsidP="00FF0EA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IBA case appeal,</w:t>
      </w:r>
      <w:r w:rsidR="00C635F5">
        <w:rPr>
          <w:rFonts w:ascii="Arial" w:hAnsi="Arial" w:cs="Arial"/>
          <w:color w:val="7B7B7B" w:themeColor="accent3" w:themeShade="BF"/>
          <w:sz w:val="22"/>
          <w:szCs w:val="22"/>
          <w:lang w:val="en-GB"/>
        </w:rPr>
        <w:t xml:space="preserve"> the Court of Appeal have identified that the issue to be determine in</w:t>
      </w:r>
      <w:r w:rsidR="00FF0EA6">
        <w:rPr>
          <w:rFonts w:ascii="Arial" w:hAnsi="Arial" w:cs="Arial"/>
          <w:color w:val="7B7B7B" w:themeColor="accent3" w:themeShade="BF"/>
          <w:sz w:val="22"/>
          <w:szCs w:val="22"/>
          <w:lang w:val="en-GB"/>
        </w:rPr>
        <w:t xml:space="preserve"> </w:t>
      </w:r>
      <w:r w:rsidR="00C635F5">
        <w:rPr>
          <w:rFonts w:ascii="Arial" w:hAnsi="Arial" w:cs="Arial"/>
          <w:color w:val="7B7B7B" w:themeColor="accent3" w:themeShade="BF"/>
          <w:sz w:val="22"/>
          <w:szCs w:val="22"/>
          <w:lang w:val="en-GB"/>
        </w:rPr>
        <w:t>this case was whether as a matter of settled practice the court should not exercise its power to grant the indefinite Moratorium Continuation as to do so would;</w:t>
      </w:r>
    </w:p>
    <w:p w14:paraId="408FA8CC" w14:textId="77777777" w:rsidR="00C635F5" w:rsidRDefault="00C635F5" w:rsidP="00707FC8">
      <w:pPr>
        <w:ind w:left="720" w:hanging="720"/>
        <w:jc w:val="both"/>
        <w:rPr>
          <w:rFonts w:ascii="Arial" w:hAnsi="Arial" w:cs="Arial"/>
          <w:color w:val="7B7B7B" w:themeColor="accent3" w:themeShade="BF"/>
          <w:sz w:val="22"/>
          <w:szCs w:val="22"/>
          <w:lang w:val="en-GB"/>
        </w:rPr>
      </w:pPr>
    </w:p>
    <w:p w14:paraId="51385643" w14:textId="516E9B25" w:rsidR="00FF0EA6" w:rsidRPr="00FF0EA6" w:rsidRDefault="00C635F5" w:rsidP="00C635F5">
      <w:pPr>
        <w:pStyle w:val="ListParagraph"/>
        <w:numPr>
          <w:ilvl w:val="0"/>
          <w:numId w:val="41"/>
        </w:numPr>
        <w:jc w:val="both"/>
        <w:rPr>
          <w:rFonts w:ascii="Arial" w:hAnsi="Arial" w:cs="Arial"/>
          <w:sz w:val="22"/>
          <w:szCs w:val="22"/>
          <w:lang w:val="en-GB"/>
        </w:rPr>
      </w:pPr>
      <w:r>
        <w:rPr>
          <w:rFonts w:ascii="Arial" w:hAnsi="Arial" w:cs="Arial"/>
          <w:color w:val="7B7B7B" w:themeColor="accent3" w:themeShade="BF"/>
          <w:sz w:val="22"/>
          <w:szCs w:val="22"/>
          <w:lang w:val="en-GB"/>
        </w:rPr>
        <w:t>In substance prevent the English creditors from enforcing their English law rights in accordance to Gibbs Rule</w:t>
      </w:r>
      <w:r w:rsidR="00FF0EA6">
        <w:rPr>
          <w:rFonts w:ascii="Arial" w:hAnsi="Arial" w:cs="Arial"/>
          <w:color w:val="7B7B7B" w:themeColor="accent3" w:themeShade="BF"/>
          <w:sz w:val="22"/>
          <w:szCs w:val="22"/>
          <w:lang w:val="en-GB"/>
        </w:rPr>
        <w:t>; and/or</w:t>
      </w:r>
    </w:p>
    <w:p w14:paraId="2F8EAA2F" w14:textId="77777777" w:rsidR="00FF0EA6" w:rsidRPr="00FF0EA6" w:rsidRDefault="00FF0EA6" w:rsidP="00C635F5">
      <w:pPr>
        <w:pStyle w:val="ListParagraph"/>
        <w:numPr>
          <w:ilvl w:val="0"/>
          <w:numId w:val="41"/>
        </w:numPr>
        <w:jc w:val="both"/>
        <w:rPr>
          <w:rFonts w:ascii="Arial" w:hAnsi="Arial" w:cs="Arial"/>
          <w:sz w:val="22"/>
          <w:szCs w:val="22"/>
          <w:lang w:val="en-GB"/>
        </w:rPr>
      </w:pPr>
      <w:r>
        <w:rPr>
          <w:rFonts w:ascii="Arial" w:hAnsi="Arial" w:cs="Arial"/>
          <w:color w:val="7B7B7B" w:themeColor="accent3" w:themeShade="BF"/>
          <w:sz w:val="22"/>
          <w:szCs w:val="22"/>
          <w:lang w:val="en-GB"/>
        </w:rPr>
        <w:t>Prolong the stay after the Azeri reconstruction has come to an end.</w:t>
      </w:r>
    </w:p>
    <w:p w14:paraId="2C58FA9E" w14:textId="18848929" w:rsidR="00FF0EA6" w:rsidRPr="00FF0EA6" w:rsidRDefault="00C635F5" w:rsidP="00FF0EA6">
      <w:pPr>
        <w:pStyle w:val="ListParagraph"/>
        <w:jc w:val="both"/>
        <w:rPr>
          <w:rFonts w:ascii="Arial" w:hAnsi="Arial" w:cs="Arial"/>
          <w:sz w:val="22"/>
          <w:szCs w:val="22"/>
          <w:lang w:val="en-GB"/>
        </w:rPr>
      </w:pPr>
      <w:r w:rsidRPr="00C635F5">
        <w:rPr>
          <w:rFonts w:ascii="Arial" w:hAnsi="Arial" w:cs="Arial"/>
          <w:color w:val="7B7B7B" w:themeColor="accent3" w:themeShade="BF"/>
          <w:sz w:val="22"/>
          <w:szCs w:val="22"/>
          <w:lang w:val="en-GB"/>
        </w:rPr>
        <w:t xml:space="preserve"> </w:t>
      </w:r>
    </w:p>
    <w:p w14:paraId="23DBD24C" w14:textId="15B29A61" w:rsidR="002C5127" w:rsidRDefault="00FF0EA6" w:rsidP="00FF0EA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upholding the decision</w:t>
      </w:r>
      <w:r w:rsidR="00A95514">
        <w:rPr>
          <w:rFonts w:ascii="Arial" w:hAnsi="Arial" w:cs="Arial"/>
          <w:color w:val="7B7B7B" w:themeColor="accent3" w:themeShade="BF"/>
          <w:sz w:val="22"/>
          <w:szCs w:val="22"/>
          <w:lang w:val="en-GB"/>
        </w:rPr>
        <w:t xml:space="preserve"> that the court should not exercise its power to grant the indefinite Moratorium Continuation,</w:t>
      </w:r>
      <w:r w:rsidR="00F712C9">
        <w:rPr>
          <w:rFonts w:ascii="Arial" w:hAnsi="Arial" w:cs="Arial"/>
          <w:color w:val="7B7B7B" w:themeColor="accent3" w:themeShade="BF"/>
          <w:sz w:val="22"/>
          <w:szCs w:val="22"/>
          <w:lang w:val="en-GB"/>
        </w:rPr>
        <w:t xml:space="preserve"> the Court of Appeal </w:t>
      </w:r>
      <w:r w:rsidR="002C5127">
        <w:rPr>
          <w:rFonts w:ascii="Arial" w:hAnsi="Arial" w:cs="Arial"/>
          <w:color w:val="7B7B7B" w:themeColor="accent3" w:themeShade="BF"/>
          <w:sz w:val="22"/>
          <w:szCs w:val="22"/>
          <w:lang w:val="en-GB"/>
        </w:rPr>
        <w:t>have concluded in answering the question above that:</w:t>
      </w:r>
    </w:p>
    <w:p w14:paraId="26C53031" w14:textId="77777777" w:rsidR="002C5127" w:rsidRDefault="002C5127" w:rsidP="00FF0EA6">
      <w:pPr>
        <w:jc w:val="both"/>
        <w:rPr>
          <w:rFonts w:ascii="Arial" w:hAnsi="Arial" w:cs="Arial"/>
          <w:color w:val="7B7B7B" w:themeColor="accent3" w:themeShade="BF"/>
          <w:sz w:val="22"/>
          <w:szCs w:val="22"/>
          <w:lang w:val="en-GB"/>
        </w:rPr>
      </w:pPr>
    </w:p>
    <w:p w14:paraId="78DB9FD8" w14:textId="25281A35" w:rsidR="00C72848" w:rsidRPr="00DB1135" w:rsidRDefault="002C5127" w:rsidP="002C5127">
      <w:pPr>
        <w:pStyle w:val="ListParagraph"/>
        <w:numPr>
          <w:ilvl w:val="0"/>
          <w:numId w:val="42"/>
        </w:numPr>
        <w:jc w:val="both"/>
        <w:rPr>
          <w:rFonts w:ascii="Arial" w:hAnsi="Arial" w:cs="Arial"/>
          <w:sz w:val="22"/>
          <w:szCs w:val="22"/>
          <w:lang w:val="en-GB"/>
        </w:rPr>
      </w:pPr>
      <w:r>
        <w:rPr>
          <w:rFonts w:ascii="Arial" w:hAnsi="Arial" w:cs="Arial"/>
          <w:color w:val="7B7B7B" w:themeColor="accent3" w:themeShade="BF"/>
          <w:sz w:val="22"/>
          <w:szCs w:val="22"/>
          <w:lang w:val="en-GB"/>
        </w:rPr>
        <w:t>The English court could only properly grant the indefinite Moratorium Continuation if it were satisfied that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the stay would have to be necessary to protect the interest of IBA’s creditors and (ii) the stay would have to be an appropriate way of achieving such protection.</w:t>
      </w:r>
      <w:r w:rsidR="00DB1135">
        <w:rPr>
          <w:rFonts w:ascii="Arial" w:hAnsi="Arial" w:cs="Arial"/>
          <w:color w:val="7B7B7B" w:themeColor="accent3" w:themeShade="BF"/>
          <w:sz w:val="22"/>
          <w:szCs w:val="22"/>
          <w:lang w:val="en-GB"/>
        </w:rPr>
        <w:t xml:space="preserve">  In this case, the Court of Appeal held that neither these conditions had been satisfied.</w:t>
      </w:r>
    </w:p>
    <w:p w14:paraId="0E8236BA" w14:textId="42EDB301" w:rsidR="00DB1135" w:rsidRPr="00DB1135" w:rsidRDefault="00DB1135" w:rsidP="002C5127">
      <w:pPr>
        <w:pStyle w:val="ListParagraph"/>
        <w:numPr>
          <w:ilvl w:val="0"/>
          <w:numId w:val="42"/>
        </w:numPr>
        <w:jc w:val="both"/>
        <w:rPr>
          <w:rFonts w:ascii="Arial" w:hAnsi="Arial" w:cs="Arial"/>
          <w:sz w:val="22"/>
          <w:szCs w:val="22"/>
          <w:lang w:val="en-GB"/>
        </w:rPr>
      </w:pPr>
      <w:r>
        <w:rPr>
          <w:rFonts w:ascii="Arial" w:hAnsi="Arial" w:cs="Arial"/>
          <w:color w:val="7B7B7B" w:themeColor="accent3" w:themeShade="BF"/>
          <w:sz w:val="22"/>
          <w:szCs w:val="22"/>
          <w:lang w:val="en-GB"/>
        </w:rPr>
        <w:t>The Court of Appeal held that</w:t>
      </w:r>
      <w:r w:rsidR="00D309CA">
        <w:rPr>
          <w:rFonts w:ascii="Arial" w:hAnsi="Arial" w:cs="Arial"/>
          <w:color w:val="7B7B7B" w:themeColor="accent3" w:themeShade="BF"/>
          <w:sz w:val="22"/>
          <w:szCs w:val="22"/>
          <w:lang w:val="en-GB"/>
        </w:rPr>
        <w:t xml:space="preserve"> once the foreign proceeding has come</w:t>
      </w:r>
      <w:r w:rsidR="00FE2405">
        <w:rPr>
          <w:rFonts w:ascii="Arial" w:hAnsi="Arial" w:cs="Arial"/>
          <w:color w:val="7B7B7B" w:themeColor="accent3" w:themeShade="BF"/>
          <w:sz w:val="22"/>
          <w:szCs w:val="22"/>
          <w:lang w:val="en-GB"/>
        </w:rPr>
        <w:t xml:space="preserve"> to an end and the foreign representative cease to hold office, there is no scope for further orders in support of the foreign proceeding to be made and any relief </w:t>
      </w:r>
      <w:r w:rsidR="002F2537">
        <w:rPr>
          <w:rFonts w:ascii="Arial" w:hAnsi="Arial" w:cs="Arial"/>
          <w:color w:val="7B7B7B" w:themeColor="accent3" w:themeShade="BF"/>
          <w:sz w:val="22"/>
          <w:szCs w:val="22"/>
          <w:lang w:val="en-GB"/>
        </w:rPr>
        <w:t>previously granted under the Model law should terminate.</w:t>
      </w:r>
      <w:r w:rsidR="00D309C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p>
    <w:p w14:paraId="63475509" w14:textId="1480A7E6" w:rsidR="00FF0EA6" w:rsidRPr="00FF0EA6" w:rsidRDefault="00FF0EA6" w:rsidP="00FF0EA6">
      <w:pPr>
        <w:jc w:val="both"/>
        <w:rPr>
          <w:rFonts w:ascii="Arial" w:hAnsi="Arial" w:cs="Arial"/>
          <w:sz w:val="22"/>
          <w:szCs w:val="22"/>
          <w:lang w:val="en-GB"/>
        </w:rPr>
      </w:pPr>
    </w:p>
    <w:p w14:paraId="572227E7" w14:textId="2C36BA89" w:rsidR="0045683E"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324BA56E" w14:textId="77777777" w:rsidR="008A3F2C" w:rsidRDefault="00C747E2"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concurrent domestic proceeding and foreign main proceeding exist pursuant to</w:t>
      </w:r>
    </w:p>
    <w:p w14:paraId="0641E470" w14:textId="77777777" w:rsidR="008A3F2C" w:rsidRDefault="00C747E2"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29(b) of the MLCBI where a foreign main proceeding is recognised, the court in an</w:t>
      </w:r>
    </w:p>
    <w:p w14:paraId="70FFF8DA" w14:textId="77777777" w:rsidR="008A3F2C" w:rsidRDefault="00C747E2"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enacting state </w:t>
      </w:r>
      <w:r w:rsidR="008A3F2C">
        <w:rPr>
          <w:rFonts w:ascii="Arial" w:hAnsi="Arial" w:cs="Arial"/>
          <w:color w:val="7B7B7B" w:themeColor="accent3" w:themeShade="BF"/>
          <w:sz w:val="22"/>
          <w:szCs w:val="22"/>
          <w:lang w:val="en-GB"/>
        </w:rPr>
        <w:t>shall review any relief granted to the foreign representative under article 19 or</w:t>
      </w:r>
    </w:p>
    <w:p w14:paraId="625D69FB" w14:textId="77777777" w:rsidR="008A3F2C" w:rsidRDefault="008A3F2C"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article 21 or any automatic relief granted to the foreign main proceeding.  If the relief granted</w:t>
      </w:r>
    </w:p>
    <w:p w14:paraId="2A7AA0BA" w14:textId="77777777" w:rsidR="008A3F2C" w:rsidRDefault="008A3F2C"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 inconsistent with the domestic insolvency proceeding, the court in an enacting state shall</w:t>
      </w:r>
    </w:p>
    <w:p w14:paraId="20F97B8F" w14:textId="3D74C734" w:rsidR="008A3F2C" w:rsidRDefault="008A3F2C"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modify or terminate the relief granted.</w:t>
      </w:r>
    </w:p>
    <w:p w14:paraId="440AE23E" w14:textId="709641E2" w:rsidR="008A3F2C" w:rsidRDefault="008A3F2C" w:rsidP="0041139B">
      <w:pPr>
        <w:ind w:left="720" w:hanging="720"/>
        <w:jc w:val="both"/>
        <w:rPr>
          <w:rFonts w:ascii="Arial" w:hAnsi="Arial" w:cs="Arial"/>
          <w:color w:val="7B7B7B" w:themeColor="accent3" w:themeShade="BF"/>
          <w:sz w:val="22"/>
          <w:szCs w:val="22"/>
          <w:lang w:val="en-GB"/>
        </w:rPr>
      </w:pPr>
    </w:p>
    <w:p w14:paraId="5C4423EB" w14:textId="77777777" w:rsidR="00187BF8" w:rsidRDefault="008A3F2C"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Article 18 of the MLCBI, the foreign representative</w:t>
      </w:r>
      <w:r w:rsidR="00187BF8">
        <w:rPr>
          <w:rFonts w:ascii="Arial" w:hAnsi="Arial" w:cs="Arial"/>
          <w:color w:val="7B7B7B" w:themeColor="accent3" w:themeShade="BF"/>
          <w:sz w:val="22"/>
          <w:szCs w:val="22"/>
          <w:lang w:val="en-GB"/>
        </w:rPr>
        <w:t>, from the time of filing for</w:t>
      </w:r>
    </w:p>
    <w:p w14:paraId="71A20BBC" w14:textId="77777777" w:rsidR="00187BF8" w:rsidRDefault="00187BF8"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recognition of the foreign proceeding have the duty to promptly inform the court in an enacting</w:t>
      </w:r>
    </w:p>
    <w:p w14:paraId="6B518B9B" w14:textId="7E0DC741" w:rsidR="00187BF8" w:rsidRDefault="00187BF8"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 of:</w:t>
      </w:r>
    </w:p>
    <w:p w14:paraId="4FDF9656" w14:textId="77777777" w:rsidR="00187BF8" w:rsidRDefault="00187BF8" w:rsidP="00187BF8">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substantial change in the status of the recognized foreign proceeding or the status of the foreign representative’s appointment; and</w:t>
      </w:r>
    </w:p>
    <w:p w14:paraId="4F6A6161" w14:textId="5CF6F28C" w:rsidR="008A3F2C" w:rsidRPr="00187BF8" w:rsidRDefault="00187BF8" w:rsidP="00187BF8">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foreign proceeding regarding the same debtor that becomes known to the foreign representative.</w:t>
      </w:r>
      <w:r w:rsidRPr="00187BF8">
        <w:rPr>
          <w:rFonts w:ascii="Arial" w:hAnsi="Arial" w:cs="Arial"/>
          <w:color w:val="7B7B7B" w:themeColor="accent3" w:themeShade="BF"/>
          <w:sz w:val="22"/>
          <w:szCs w:val="22"/>
          <w:lang w:val="en-GB"/>
        </w:rPr>
        <w:t xml:space="preserve"> </w:t>
      </w:r>
    </w:p>
    <w:p w14:paraId="645286A4" w14:textId="77777777" w:rsidR="008A3F2C" w:rsidRDefault="008A3F2C" w:rsidP="0041139B">
      <w:pPr>
        <w:ind w:left="720" w:hanging="720"/>
        <w:jc w:val="both"/>
        <w:rPr>
          <w:rFonts w:ascii="Arial" w:hAnsi="Arial" w:cs="Arial"/>
          <w:color w:val="7B7B7B" w:themeColor="accent3" w:themeShade="BF"/>
          <w:sz w:val="22"/>
          <w:szCs w:val="22"/>
          <w:lang w:val="en-GB"/>
        </w:rPr>
      </w:pPr>
    </w:p>
    <w:p w14:paraId="15EE2B47" w14:textId="1E05EC9A" w:rsidR="0041139B" w:rsidRPr="009B5832" w:rsidRDefault="008A3F2C" w:rsidP="0041139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24A332" w14:textId="6AA7367D" w:rsidR="00544127" w:rsidRDefault="00F6439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Access rights as provided under MLCBI have provided the foreign representative standing before the courts in the enacting state without the need for the foreign proceeding to</w:t>
      </w:r>
      <w:r w:rsidR="002B20BF">
        <w:rPr>
          <w:rFonts w:ascii="Arial" w:hAnsi="Arial" w:cs="Arial"/>
          <w:color w:val="7B7B7B" w:themeColor="accent3" w:themeShade="BF"/>
          <w:sz w:val="22"/>
          <w:szCs w:val="22"/>
          <w:lang w:val="en-GB"/>
        </w:rPr>
        <w:t xml:space="preserve"> be recognised in the enacting state</w:t>
      </w:r>
      <w:r w:rsidR="00294BB4">
        <w:rPr>
          <w:rFonts w:ascii="Arial" w:hAnsi="Arial" w:cs="Arial"/>
          <w:color w:val="7B7B7B" w:themeColor="accent3" w:themeShade="BF"/>
          <w:sz w:val="22"/>
          <w:szCs w:val="22"/>
          <w:lang w:val="en-GB"/>
        </w:rPr>
        <w:t xml:space="preserve"> and without the need for the foreign representative to meet formal requirements of the enacting state such as licenses or consular action</w:t>
      </w:r>
      <w:r w:rsidR="002B20BF">
        <w:rPr>
          <w:rFonts w:ascii="Arial" w:hAnsi="Arial" w:cs="Arial"/>
          <w:color w:val="7B7B7B" w:themeColor="accent3" w:themeShade="BF"/>
          <w:sz w:val="22"/>
          <w:szCs w:val="22"/>
          <w:lang w:val="en-GB"/>
        </w:rPr>
        <w:t>.  This is provided under Article 9 of MLCBI.  Access rights also allows the foreign representative standing to open domestic insolvency proceedings in the enacting state, provided that all requirements for such an opening are otherwise met.  This is provided under Article 11 of MLCBI.</w:t>
      </w:r>
      <w:r w:rsidR="003D5BD6">
        <w:rPr>
          <w:rFonts w:ascii="Arial" w:hAnsi="Arial" w:cs="Arial"/>
          <w:color w:val="7B7B7B" w:themeColor="accent3" w:themeShade="BF"/>
          <w:sz w:val="22"/>
          <w:szCs w:val="22"/>
          <w:lang w:val="en-GB"/>
        </w:rPr>
        <w:t xml:space="preserve">  Meanwhile co-ordination rights allows the court in enacting state to deal directly with the foreign representative.</w:t>
      </w:r>
    </w:p>
    <w:p w14:paraId="61E48649" w14:textId="17007750" w:rsidR="002B20BF" w:rsidRDefault="002B20BF" w:rsidP="00707FC8">
      <w:pPr>
        <w:jc w:val="both"/>
        <w:rPr>
          <w:rFonts w:ascii="Arial" w:hAnsi="Arial" w:cs="Arial"/>
          <w:color w:val="7B7B7B" w:themeColor="accent3" w:themeShade="BF"/>
          <w:sz w:val="22"/>
          <w:szCs w:val="22"/>
          <w:lang w:val="en-GB"/>
        </w:rPr>
      </w:pPr>
    </w:p>
    <w:p w14:paraId="07EDF4E8" w14:textId="5195EBFA" w:rsidR="002B20BF" w:rsidRPr="009B5832" w:rsidRDefault="002B20BF" w:rsidP="00707FC8">
      <w:pPr>
        <w:jc w:val="both"/>
        <w:rPr>
          <w:rFonts w:ascii="Arial" w:hAnsi="Arial" w:cs="Arial"/>
          <w:sz w:val="24"/>
          <w:lang w:val="en-GB"/>
        </w:rPr>
      </w:pPr>
      <w:r>
        <w:rPr>
          <w:rFonts w:ascii="Arial" w:hAnsi="Arial" w:cs="Arial"/>
          <w:color w:val="7B7B7B" w:themeColor="accent3" w:themeShade="BF"/>
          <w:sz w:val="22"/>
          <w:szCs w:val="22"/>
          <w:lang w:val="en-GB"/>
        </w:rPr>
        <w:t>The foreign representative of a foreign proceeding opened in State B stand to benefit from the access and co-ordination rights in State A as the foreign representative is able to use the available local tools for recovery</w:t>
      </w:r>
      <w:r w:rsidR="00591D8A">
        <w:rPr>
          <w:rFonts w:ascii="Arial" w:hAnsi="Arial" w:cs="Arial"/>
          <w:color w:val="7B7B7B" w:themeColor="accent3" w:themeShade="BF"/>
          <w:sz w:val="22"/>
          <w:szCs w:val="22"/>
          <w:lang w:val="en-GB"/>
        </w:rPr>
        <w:t xml:space="preserve"> without the need for any separate proceedings in State A to obtain standing before the courts of State A.  This will enable the foreign representative of State B to save time and cost hence maximising the recoveries to the foreign creditors without being burdened with unnecessary domestic proceedings and without the standing creating any adverse jurisdictional consequences in State A. </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evidence, restrictions, exclusions and limitations that </w:t>
      </w:r>
      <w:r w:rsidRPr="009B5832">
        <w:rPr>
          <w:rFonts w:ascii="Arial" w:hAnsi="Arial" w:cs="Arial"/>
          <w:sz w:val="22"/>
          <w:szCs w:val="22"/>
          <w:lang w:val="en-GB"/>
        </w:rPr>
        <w:lastRenderedPageBreak/>
        <w:t>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59BE6A60" w14:textId="77777777" w:rsidR="003B216F" w:rsidRDefault="001A13B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making the application for recognition of foreign proceeding, the foreign representative in the foreign proceeding opened in State B must consider to include the documents evidencing the foreign proceedings and his appointment </w:t>
      </w:r>
      <w:r w:rsidR="00600301">
        <w:rPr>
          <w:rFonts w:ascii="Arial" w:hAnsi="Arial" w:cs="Arial"/>
          <w:color w:val="7B7B7B" w:themeColor="accent3" w:themeShade="BF"/>
          <w:sz w:val="22"/>
          <w:szCs w:val="22"/>
          <w:lang w:val="en-GB"/>
        </w:rPr>
        <w:t>which meets the requirement</w:t>
      </w:r>
      <w:r>
        <w:rPr>
          <w:rFonts w:ascii="Arial" w:hAnsi="Arial" w:cs="Arial"/>
          <w:color w:val="7B7B7B" w:themeColor="accent3" w:themeShade="BF"/>
          <w:sz w:val="22"/>
          <w:szCs w:val="22"/>
          <w:lang w:val="en-GB"/>
        </w:rPr>
        <w:t xml:space="preserve"> under paragraph 2(a) </w:t>
      </w:r>
      <w:r w:rsidR="00600301">
        <w:rPr>
          <w:rFonts w:ascii="Arial" w:hAnsi="Arial" w:cs="Arial"/>
          <w:color w:val="7B7B7B" w:themeColor="accent3" w:themeShade="BF"/>
          <w:sz w:val="22"/>
          <w:szCs w:val="22"/>
          <w:lang w:val="en-GB"/>
        </w:rPr>
        <w:t>or</w:t>
      </w:r>
      <w:r>
        <w:rPr>
          <w:rFonts w:ascii="Arial" w:hAnsi="Arial" w:cs="Arial"/>
          <w:color w:val="7B7B7B" w:themeColor="accent3" w:themeShade="BF"/>
          <w:sz w:val="22"/>
          <w:szCs w:val="22"/>
          <w:lang w:val="en-GB"/>
        </w:rPr>
        <w:t xml:space="preserve"> 2(b) </w:t>
      </w:r>
      <w:r w:rsidR="00600301">
        <w:rPr>
          <w:rFonts w:ascii="Arial" w:hAnsi="Arial" w:cs="Arial"/>
          <w:color w:val="7B7B7B" w:themeColor="accent3" w:themeShade="BF"/>
          <w:sz w:val="22"/>
          <w:szCs w:val="22"/>
          <w:lang w:val="en-GB"/>
        </w:rPr>
        <w:t xml:space="preserve">or 2(c) </w:t>
      </w:r>
      <w:r>
        <w:rPr>
          <w:rFonts w:ascii="Arial" w:hAnsi="Arial" w:cs="Arial"/>
          <w:color w:val="7B7B7B" w:themeColor="accent3" w:themeShade="BF"/>
          <w:sz w:val="22"/>
          <w:szCs w:val="22"/>
          <w:lang w:val="en-GB"/>
        </w:rPr>
        <w:t>of Article 15 of MLCBI</w:t>
      </w:r>
      <w:r w:rsidR="00600301">
        <w:rPr>
          <w:rFonts w:ascii="Arial" w:hAnsi="Arial" w:cs="Arial"/>
          <w:color w:val="7B7B7B" w:themeColor="accent3" w:themeShade="BF"/>
          <w:sz w:val="22"/>
          <w:szCs w:val="22"/>
          <w:lang w:val="en-GB"/>
        </w:rPr>
        <w:t xml:space="preserve"> to support the recognition application</w:t>
      </w:r>
      <w:r>
        <w:rPr>
          <w:rFonts w:ascii="Arial" w:hAnsi="Arial" w:cs="Arial"/>
          <w:color w:val="7B7B7B" w:themeColor="accent3" w:themeShade="BF"/>
          <w:sz w:val="22"/>
          <w:szCs w:val="22"/>
          <w:lang w:val="en-GB"/>
        </w:rPr>
        <w:t>.</w:t>
      </w:r>
      <w:r w:rsidR="00F629CB">
        <w:rPr>
          <w:rFonts w:ascii="Arial" w:hAnsi="Arial" w:cs="Arial"/>
          <w:color w:val="7B7B7B" w:themeColor="accent3" w:themeShade="BF"/>
          <w:sz w:val="22"/>
          <w:szCs w:val="22"/>
          <w:lang w:val="en-GB"/>
        </w:rPr>
        <w:t xml:space="preserve"> Should the foreign representative need to rely on any other documents which does not meet the requirements of paragraph 2(a) or 2(b) of Article 15 and is forced to rely on other evidential documents as stipulated under paragraph 2(c) of Article 15, the foreign representative may be required to provide reasonable explanation to the court of State B as to why the alternate form of proof</w:t>
      </w:r>
      <w:r w:rsidR="003B216F">
        <w:rPr>
          <w:rFonts w:ascii="Arial" w:hAnsi="Arial" w:cs="Arial"/>
          <w:color w:val="7B7B7B" w:themeColor="accent3" w:themeShade="BF"/>
          <w:sz w:val="22"/>
          <w:szCs w:val="22"/>
          <w:lang w:val="en-GB"/>
        </w:rPr>
        <w:t xml:space="preserve"> should be accepted.</w:t>
      </w:r>
    </w:p>
    <w:p w14:paraId="20FFF569" w14:textId="77777777" w:rsidR="003B216F" w:rsidRDefault="003B216F" w:rsidP="00707FC8">
      <w:pPr>
        <w:jc w:val="both"/>
        <w:rPr>
          <w:rFonts w:ascii="Arial" w:hAnsi="Arial" w:cs="Arial"/>
          <w:color w:val="7B7B7B" w:themeColor="accent3" w:themeShade="BF"/>
          <w:sz w:val="22"/>
          <w:szCs w:val="22"/>
          <w:lang w:val="en-GB"/>
        </w:rPr>
      </w:pPr>
    </w:p>
    <w:p w14:paraId="02CDA1AA" w14:textId="70F1211A" w:rsidR="003E1D78" w:rsidRDefault="003E1D7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is also required to include a statement identifying all foreign proceedings in respect of the debtor that are known to the foreign representative in the submission to court of State B as required under paragraph 3 of Article 15 of MLCBI.  The foreign representative may also be required to provide a translation of the documents submitted to court of State B.</w:t>
      </w:r>
    </w:p>
    <w:p w14:paraId="43FB5C98" w14:textId="77777777" w:rsidR="003E1D78" w:rsidRDefault="003E1D78" w:rsidP="00707FC8">
      <w:pPr>
        <w:jc w:val="both"/>
        <w:rPr>
          <w:rFonts w:ascii="Arial" w:hAnsi="Arial" w:cs="Arial"/>
          <w:color w:val="7B7B7B" w:themeColor="accent3" w:themeShade="BF"/>
          <w:sz w:val="22"/>
          <w:szCs w:val="22"/>
          <w:lang w:val="en-GB"/>
        </w:rPr>
      </w:pPr>
    </w:p>
    <w:p w14:paraId="40C0B10A" w14:textId="77777777" w:rsidR="003E1D78" w:rsidRDefault="0008022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Notwithstanding that the presumption under Article 16 of MLCBI is relied upon and in the absence of any objections, the foreign representative may need to consider establishing the facts supporting the existence of a “main” proceeding as some courts have said that they are not bound to automatically accept the Article 16 presumption as </w:t>
      </w:r>
      <w:r w:rsidR="003E1D78">
        <w:rPr>
          <w:rFonts w:ascii="Arial" w:hAnsi="Arial" w:cs="Arial"/>
          <w:color w:val="7B7B7B" w:themeColor="accent3" w:themeShade="BF"/>
          <w:sz w:val="22"/>
          <w:szCs w:val="22"/>
          <w:lang w:val="en-GB"/>
        </w:rPr>
        <w:t>the receiving court still have the rights to review the application to determine all requisite for recognition are met.</w:t>
      </w:r>
    </w:p>
    <w:p w14:paraId="38E8089D" w14:textId="77777777" w:rsidR="003E1D78" w:rsidRDefault="003E1D78" w:rsidP="00707FC8">
      <w:pPr>
        <w:jc w:val="both"/>
        <w:rPr>
          <w:rFonts w:ascii="Arial" w:hAnsi="Arial" w:cs="Arial"/>
          <w:color w:val="7B7B7B" w:themeColor="accent3" w:themeShade="BF"/>
          <w:sz w:val="22"/>
          <w:szCs w:val="22"/>
          <w:lang w:val="en-GB"/>
        </w:rPr>
      </w:pPr>
    </w:p>
    <w:p w14:paraId="450C8B20" w14:textId="32D424C8" w:rsidR="00F629CB" w:rsidRDefault="003E1D7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cases where there is an allegation that there is a separation between the place of the debtor’s registered office and its </w:t>
      </w:r>
      <w:r w:rsidR="00921166">
        <w:rPr>
          <w:rFonts w:ascii="Arial" w:hAnsi="Arial" w:cs="Arial"/>
          <w:color w:val="7B7B7B" w:themeColor="accent3" w:themeShade="BF"/>
          <w:sz w:val="22"/>
          <w:szCs w:val="22"/>
          <w:lang w:val="en-GB"/>
        </w:rPr>
        <w:t xml:space="preserve">alleged </w:t>
      </w:r>
      <w:r>
        <w:rPr>
          <w:rFonts w:ascii="Arial" w:hAnsi="Arial" w:cs="Arial"/>
          <w:color w:val="7B7B7B" w:themeColor="accent3" w:themeShade="BF"/>
          <w:sz w:val="22"/>
          <w:szCs w:val="22"/>
          <w:lang w:val="en-GB"/>
        </w:rPr>
        <w:t>COMI (Centre of Main Interest)</w:t>
      </w:r>
      <w:r w:rsidR="00921166">
        <w:rPr>
          <w:rFonts w:ascii="Arial" w:hAnsi="Arial" w:cs="Arial"/>
          <w:color w:val="7B7B7B" w:themeColor="accent3" w:themeShade="BF"/>
          <w:sz w:val="22"/>
          <w:szCs w:val="22"/>
          <w:lang w:val="en-GB"/>
        </w:rPr>
        <w:t>, the burden of proof to satisfy the receiving court of the location normally lies with the party alleging the COMI is not at its place of registration which may be a creditor or an interested party.  However, some state may apply a different approach and may place the burden of proof to the foreign representative to satisfy the court instead (</w:t>
      </w:r>
      <w:proofErr w:type="spellStart"/>
      <w:r w:rsidR="00921166">
        <w:rPr>
          <w:rFonts w:ascii="Arial" w:hAnsi="Arial" w:cs="Arial"/>
          <w:color w:val="7B7B7B" w:themeColor="accent3" w:themeShade="BF"/>
          <w:sz w:val="22"/>
          <w:szCs w:val="22"/>
          <w:lang w:val="en-GB"/>
        </w:rPr>
        <w:t>Tradex</w:t>
      </w:r>
      <w:proofErr w:type="spellEnd"/>
      <w:r w:rsidR="00921166">
        <w:rPr>
          <w:rFonts w:ascii="Arial" w:hAnsi="Arial" w:cs="Arial"/>
          <w:color w:val="7B7B7B" w:themeColor="accent3" w:themeShade="BF"/>
          <w:sz w:val="22"/>
          <w:szCs w:val="22"/>
          <w:lang w:val="en-GB"/>
        </w:rPr>
        <w:t xml:space="preserve"> Swiss AG, 384 B.R 34,33 (</w:t>
      </w:r>
      <w:proofErr w:type="spellStart"/>
      <w:r w:rsidR="00921166">
        <w:rPr>
          <w:rFonts w:ascii="Arial" w:hAnsi="Arial" w:cs="Arial"/>
          <w:color w:val="7B7B7B" w:themeColor="accent3" w:themeShade="BF"/>
          <w:sz w:val="22"/>
          <w:szCs w:val="22"/>
          <w:lang w:val="en-GB"/>
        </w:rPr>
        <w:t>Bankr</w:t>
      </w:r>
      <w:proofErr w:type="spellEnd"/>
      <w:r w:rsidR="00921166">
        <w:rPr>
          <w:rFonts w:ascii="Arial" w:hAnsi="Arial" w:cs="Arial"/>
          <w:color w:val="7B7B7B" w:themeColor="accent3" w:themeShade="BF"/>
          <w:sz w:val="22"/>
          <w:szCs w:val="22"/>
          <w:lang w:val="en-GB"/>
        </w:rPr>
        <w:t xml:space="preserve">. D. Mass 2008) CLOUT 791). </w:t>
      </w:r>
      <w:r>
        <w:rPr>
          <w:rFonts w:ascii="Arial" w:hAnsi="Arial" w:cs="Arial"/>
          <w:color w:val="7B7B7B" w:themeColor="accent3" w:themeShade="BF"/>
          <w:sz w:val="22"/>
          <w:szCs w:val="22"/>
          <w:lang w:val="en-GB"/>
        </w:rPr>
        <w:t xml:space="preserve">  </w:t>
      </w:r>
      <w:r w:rsidR="0008022F">
        <w:rPr>
          <w:rFonts w:ascii="Arial" w:hAnsi="Arial" w:cs="Arial"/>
          <w:color w:val="7B7B7B" w:themeColor="accent3" w:themeShade="BF"/>
          <w:sz w:val="22"/>
          <w:szCs w:val="22"/>
          <w:lang w:val="en-GB"/>
        </w:rPr>
        <w:t xml:space="preserve"> </w:t>
      </w:r>
      <w:r w:rsidR="003B216F">
        <w:rPr>
          <w:rFonts w:ascii="Arial" w:hAnsi="Arial" w:cs="Arial"/>
          <w:color w:val="7B7B7B" w:themeColor="accent3" w:themeShade="BF"/>
          <w:sz w:val="22"/>
          <w:szCs w:val="22"/>
          <w:lang w:val="en-GB"/>
        </w:rPr>
        <w:t xml:space="preserve"> </w:t>
      </w:r>
      <w:r w:rsidR="00600301">
        <w:rPr>
          <w:rFonts w:ascii="Arial" w:hAnsi="Arial" w:cs="Arial"/>
          <w:color w:val="7B7B7B" w:themeColor="accent3" w:themeShade="BF"/>
          <w:sz w:val="22"/>
          <w:szCs w:val="22"/>
          <w:lang w:val="en-GB"/>
        </w:rPr>
        <w:t xml:space="preserve">  </w:t>
      </w:r>
    </w:p>
    <w:p w14:paraId="3B80F1CB" w14:textId="77777777" w:rsidR="00F629CB" w:rsidRDefault="00F629CB" w:rsidP="00707FC8">
      <w:pPr>
        <w:jc w:val="both"/>
        <w:rPr>
          <w:rFonts w:ascii="Arial" w:hAnsi="Arial" w:cs="Arial"/>
          <w:color w:val="7B7B7B" w:themeColor="accent3" w:themeShade="BF"/>
          <w:sz w:val="22"/>
          <w:szCs w:val="22"/>
          <w:lang w:val="en-GB"/>
        </w:rPr>
      </w:pPr>
    </w:p>
    <w:p w14:paraId="713C0C0F" w14:textId="159D399F" w:rsidR="0017257C" w:rsidRPr="00E8653F" w:rsidRDefault="0017257C" w:rsidP="00707FC8">
      <w:pPr>
        <w:jc w:val="both"/>
        <w:rPr>
          <w:rFonts w:ascii="Arial" w:hAnsi="Arial" w:cs="Arial"/>
          <w:sz w:val="22"/>
          <w:szCs w:val="22"/>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3806A01B" w14:textId="77777777" w:rsidR="00396911" w:rsidRDefault="00F6655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representative may consider requesting for relief provided under Article 19 of MLCBI from the enacting state prior to the recognition of the foreign proceeding where there is an urgent need to protect the assets of the debtor.  The foreign representative may seek for a stay of execution against the debtor’s assets and seek for the administration or realization of all or part of the debtor’s assets located at the enacting state to be vested with the foreign representative, and/or any relief mentioned in paragraph 1(c ), (d) and (g) of Article 21 MLCBI.  In seeking for the pre-recognition relief, the foreign representative must ensure that an application for recognition must have been made </w:t>
      </w:r>
      <w:r w:rsidR="00396911">
        <w:rPr>
          <w:rFonts w:ascii="Arial" w:hAnsi="Arial" w:cs="Arial"/>
          <w:color w:val="7B7B7B" w:themeColor="accent3" w:themeShade="BF"/>
          <w:sz w:val="22"/>
          <w:szCs w:val="22"/>
          <w:lang w:val="en-GB"/>
        </w:rPr>
        <w:t>to the enacting state as the court have no authority to consider such request under MLCBI should the recognition application is not made to the enacting state court.  It must be noted that Article 19 MLCBI allows for flexibility in the interim relief that can be granted as the wording of Article 19 is expressed in a non-exhaustive terms.</w:t>
      </w:r>
    </w:p>
    <w:p w14:paraId="34CAD942" w14:textId="77777777" w:rsidR="00396911" w:rsidRDefault="00396911" w:rsidP="00707FC8">
      <w:pPr>
        <w:jc w:val="both"/>
        <w:rPr>
          <w:rFonts w:ascii="Arial" w:hAnsi="Arial" w:cs="Arial"/>
          <w:color w:val="7B7B7B" w:themeColor="accent3" w:themeShade="BF"/>
          <w:sz w:val="22"/>
          <w:szCs w:val="22"/>
          <w:lang w:val="en-GB"/>
        </w:rPr>
      </w:pPr>
    </w:p>
    <w:p w14:paraId="4E83D7AF" w14:textId="1F5DA550" w:rsidR="00DF75F8" w:rsidRPr="009B5832" w:rsidRDefault="0024690D" w:rsidP="00707FC8">
      <w:p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Upon recognition of foreign proceeding, the foreign representative may consider requesting for relief </w:t>
      </w:r>
      <w:r w:rsidR="00DC0B06">
        <w:rPr>
          <w:rFonts w:ascii="Arial" w:hAnsi="Arial" w:cs="Arial"/>
          <w:color w:val="7B7B7B" w:themeColor="accent3" w:themeShade="BF"/>
          <w:sz w:val="22"/>
          <w:szCs w:val="22"/>
          <w:lang w:val="en-GB"/>
        </w:rPr>
        <w:t>provided in Article 20 MLCBI to (a) commence or continue a stay of individual actions or individual proceedings concerning the debtor’s assets, rights, obligations or liabilities; (b) to stay the execution against the debtor’s asset and (c ) to suspend the right to transfer, encumber or otherwise dispose of any assets of the debtor.</w:t>
      </w:r>
      <w:r w:rsidR="00E5279C">
        <w:rPr>
          <w:rFonts w:ascii="Arial" w:hAnsi="Arial" w:cs="Arial"/>
          <w:color w:val="7B7B7B" w:themeColor="accent3" w:themeShade="BF"/>
          <w:sz w:val="22"/>
          <w:szCs w:val="22"/>
          <w:lang w:val="en-GB"/>
        </w:rPr>
        <w:t xml:space="preserve">  Notwithstanding the automatic </w:t>
      </w:r>
      <w:r w:rsidR="0064695F">
        <w:rPr>
          <w:rFonts w:ascii="Arial" w:hAnsi="Arial" w:cs="Arial"/>
          <w:color w:val="7B7B7B" w:themeColor="accent3" w:themeShade="BF"/>
          <w:sz w:val="22"/>
          <w:szCs w:val="22"/>
          <w:lang w:val="en-GB"/>
        </w:rPr>
        <w:t>or mandatory nature of the stay provided in paragraph 1 of Article 20 MLCBI, paragraph 2 of Article 20 MLCBI expressly provides that the effect of the relief is subject to exceptions or limitations that may exist in the law of the enacting state to grant protection to classes of people who would normally receive protection in insolvency proceedings commenced in the enacting state.  The limitations can include repossession of goods in debtor’s possession under hire purchase agreement or rights to set-off against a claim by the debtor or discretion for the enacting state court to modify or terminate the stay on such terms and conditions as the court deems fit.</w:t>
      </w:r>
      <w:r>
        <w:rPr>
          <w:rFonts w:ascii="Arial" w:hAnsi="Arial" w:cs="Arial"/>
          <w:color w:val="7B7B7B" w:themeColor="accent3" w:themeShade="BF"/>
          <w:sz w:val="22"/>
          <w:szCs w:val="22"/>
          <w:lang w:val="en-GB"/>
        </w:rPr>
        <w:t xml:space="preserve"> </w:t>
      </w:r>
      <w:r w:rsidR="00396911">
        <w:rPr>
          <w:rFonts w:ascii="Arial" w:hAnsi="Arial" w:cs="Arial"/>
          <w:color w:val="7B7B7B" w:themeColor="accent3" w:themeShade="BF"/>
          <w:sz w:val="22"/>
          <w:szCs w:val="22"/>
          <w:lang w:val="en-GB"/>
        </w:rPr>
        <w:t xml:space="preserve">  </w:t>
      </w:r>
      <w:r w:rsidR="00F66556">
        <w:rPr>
          <w:rFonts w:ascii="Arial" w:hAnsi="Arial" w:cs="Arial"/>
          <w:color w:val="7B7B7B" w:themeColor="accent3" w:themeShade="BF"/>
          <w:sz w:val="22"/>
          <w:szCs w:val="22"/>
          <w:lang w:val="en-GB"/>
        </w:rPr>
        <w:t xml:space="preserve"> </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717BC06A" w:rsidR="00980314" w:rsidRPr="009B5832" w:rsidRDefault="00156D80" w:rsidP="00980314">
      <w:pPr>
        <w:jc w:val="both"/>
        <w:rPr>
          <w:rFonts w:ascii="Arial" w:hAnsi="Arial" w:cs="Arial"/>
          <w:sz w:val="22"/>
          <w:szCs w:val="22"/>
          <w:lang w:val="en-GB"/>
        </w:rPr>
      </w:pPr>
      <w:r>
        <w:rPr>
          <w:rFonts w:ascii="Arial" w:hAnsi="Arial" w:cs="Arial"/>
          <w:color w:val="7B7B7B" w:themeColor="accent3" w:themeShade="BF"/>
          <w:sz w:val="22"/>
          <w:szCs w:val="22"/>
          <w:lang w:val="en-GB"/>
        </w:rPr>
        <w:t>Unless extended under paragraph 1(f) of Article 21 MLCBI, the relief granted under Article 19 MLCBI terminates upon the decision for the application for recognition of foreign proceedings.</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w:t>
      </w:r>
      <w:r w:rsidRPr="009B5832">
        <w:rPr>
          <w:rFonts w:ascii="Arial" w:hAnsi="Arial" w:cs="Arial"/>
          <w:color w:val="000000"/>
          <w:sz w:val="22"/>
          <w:szCs w:val="22"/>
          <w:lang w:val="en-GB" w:eastAsia="en-GB"/>
        </w:rPr>
        <w:lastRenderedPageBreak/>
        <w:t>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1691E8D9" w14:textId="77777777" w:rsidR="008D2725" w:rsidRDefault="00D1335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considering whether the Bank’s liquidation process comprises as a “foreign proceeding” within the meaning of </w:t>
      </w:r>
      <w:r w:rsidR="000C618F">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rticle 2(a) of MLCBI, the judge will need to </w:t>
      </w:r>
      <w:r w:rsidR="000C618F">
        <w:rPr>
          <w:rFonts w:ascii="Arial" w:hAnsi="Arial" w:cs="Arial"/>
          <w:color w:val="7B7B7B" w:themeColor="accent3" w:themeShade="BF"/>
          <w:sz w:val="22"/>
          <w:szCs w:val="22"/>
          <w:lang w:val="en-GB"/>
        </w:rPr>
        <w:t xml:space="preserve">establish that the Bank’s liquidation meets the elements of the definition of sub paragraph (a) of Article 2.  The first element being whether the liquidation of the Bank is a judicial or administrative in nature in that the liquidation of the Bank is pursuant to a law relating to insolvency (Australia: </w:t>
      </w:r>
      <w:proofErr w:type="spellStart"/>
      <w:r w:rsidR="000C618F">
        <w:rPr>
          <w:rFonts w:ascii="Arial" w:hAnsi="Arial" w:cs="Arial"/>
          <w:color w:val="7B7B7B" w:themeColor="accent3" w:themeShade="BF"/>
          <w:sz w:val="22"/>
          <w:szCs w:val="22"/>
          <w:lang w:val="en-GB"/>
        </w:rPr>
        <w:t>Raithatha</w:t>
      </w:r>
      <w:proofErr w:type="spellEnd"/>
      <w:r w:rsidR="000C618F">
        <w:rPr>
          <w:rFonts w:ascii="Arial" w:hAnsi="Arial" w:cs="Arial"/>
          <w:color w:val="7B7B7B" w:themeColor="accent3" w:themeShade="BF"/>
          <w:sz w:val="22"/>
          <w:szCs w:val="22"/>
          <w:lang w:val="en-GB"/>
        </w:rPr>
        <w:t xml:space="preserve"> v. Ariel Industries PLC [2012] FCA 1526).  If the process includes </w:t>
      </w:r>
      <w:r w:rsidR="002B0E05">
        <w:rPr>
          <w:rFonts w:ascii="Arial" w:hAnsi="Arial" w:cs="Arial"/>
          <w:color w:val="7B7B7B" w:themeColor="accent3" w:themeShade="BF"/>
          <w:sz w:val="22"/>
          <w:szCs w:val="22"/>
          <w:lang w:val="en-GB"/>
        </w:rPr>
        <w:t xml:space="preserve">sending notice of liquidation to creditors and requesting proof of debts from creditors, the process is said to meet the administrative elements.  Where the court is involved in reviewing the actions of the liquidator, the process becomes judicial (United States: </w:t>
      </w:r>
      <w:proofErr w:type="spellStart"/>
      <w:r w:rsidR="002B0E05">
        <w:rPr>
          <w:rFonts w:ascii="Arial" w:hAnsi="Arial" w:cs="Arial"/>
          <w:color w:val="7B7B7B" w:themeColor="accent3" w:themeShade="BF"/>
          <w:sz w:val="22"/>
          <w:szCs w:val="22"/>
          <w:lang w:val="en-GB"/>
        </w:rPr>
        <w:t>Betcorp</w:t>
      </w:r>
      <w:proofErr w:type="spellEnd"/>
      <w:r w:rsidR="002B0E05">
        <w:rPr>
          <w:rFonts w:ascii="Arial" w:hAnsi="Arial" w:cs="Arial"/>
          <w:color w:val="7B7B7B" w:themeColor="accent3" w:themeShade="BF"/>
          <w:sz w:val="22"/>
          <w:szCs w:val="22"/>
          <w:lang w:val="en-GB"/>
        </w:rPr>
        <w:t xml:space="preserve"> Limited 400 B.R 266, 280-281 (</w:t>
      </w:r>
      <w:proofErr w:type="spellStart"/>
      <w:r w:rsidR="002B0E05">
        <w:rPr>
          <w:rFonts w:ascii="Arial" w:hAnsi="Arial" w:cs="Arial"/>
          <w:color w:val="7B7B7B" w:themeColor="accent3" w:themeShade="BF"/>
          <w:sz w:val="22"/>
          <w:szCs w:val="22"/>
          <w:lang w:val="en-GB"/>
        </w:rPr>
        <w:t>Bankr</w:t>
      </w:r>
      <w:proofErr w:type="spellEnd"/>
      <w:r w:rsidR="002B0E05">
        <w:rPr>
          <w:rFonts w:ascii="Arial" w:hAnsi="Arial" w:cs="Arial"/>
          <w:color w:val="7B7B7B" w:themeColor="accent3" w:themeShade="BF"/>
          <w:sz w:val="22"/>
          <w:szCs w:val="22"/>
          <w:lang w:val="en-GB"/>
        </w:rPr>
        <w:t>. D. Nev. 2009) CLOUT 927).</w:t>
      </w:r>
      <w:r w:rsidR="008D2725">
        <w:rPr>
          <w:rFonts w:ascii="Arial" w:hAnsi="Arial" w:cs="Arial"/>
          <w:color w:val="7B7B7B" w:themeColor="accent3" w:themeShade="BF"/>
          <w:sz w:val="22"/>
          <w:szCs w:val="22"/>
          <w:lang w:val="en-GB"/>
        </w:rPr>
        <w:t xml:space="preserve">  In this case the judge may need to review whether the process that will be undertaken by the DGF and its authorized person in seeking and satisfying its creditors’ claims is akin to the administrative process undertaken in an insolvency proceeding and/or whether there will be an involvement by the court under the foreign act to supervise the action of the liquidator.</w:t>
      </w:r>
    </w:p>
    <w:p w14:paraId="395CABFE" w14:textId="77777777" w:rsidR="008D2725" w:rsidRDefault="008D2725" w:rsidP="00707FC8">
      <w:pPr>
        <w:jc w:val="both"/>
        <w:rPr>
          <w:rFonts w:ascii="Arial" w:hAnsi="Arial" w:cs="Arial"/>
          <w:color w:val="7B7B7B" w:themeColor="accent3" w:themeShade="BF"/>
          <w:sz w:val="22"/>
          <w:szCs w:val="22"/>
          <w:lang w:val="en-GB"/>
        </w:rPr>
      </w:pPr>
    </w:p>
    <w:p w14:paraId="42A72395" w14:textId="77777777" w:rsidR="002848E7" w:rsidRDefault="00243A7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next element of the definition to be established is whether the Bank’s liquidation process meets the definition of a collective proceedings.  In evaluating the definition of collective proceedings for the purpose of MLCBI or CBIR, </w:t>
      </w:r>
      <w:r w:rsidR="002848E7">
        <w:rPr>
          <w:rFonts w:ascii="Arial" w:hAnsi="Arial" w:cs="Arial"/>
          <w:color w:val="7B7B7B" w:themeColor="accent3" w:themeShade="BF"/>
          <w:sz w:val="22"/>
          <w:szCs w:val="22"/>
          <w:lang w:val="en-GB"/>
        </w:rPr>
        <w:t>the courts have identified collective proceedings as having characteristics which includes:</w:t>
      </w:r>
    </w:p>
    <w:p w14:paraId="05853D9B" w14:textId="77777777" w:rsidR="002848E7" w:rsidRDefault="002848E7" w:rsidP="00707FC8">
      <w:pPr>
        <w:jc w:val="both"/>
        <w:rPr>
          <w:rFonts w:ascii="Arial" w:hAnsi="Arial" w:cs="Arial"/>
          <w:color w:val="7B7B7B" w:themeColor="accent3" w:themeShade="BF"/>
          <w:sz w:val="22"/>
          <w:szCs w:val="22"/>
          <w:lang w:val="en-GB"/>
        </w:rPr>
      </w:pPr>
    </w:p>
    <w:p w14:paraId="3DDDC6A4" w14:textId="77777777" w:rsidR="002506C0" w:rsidRPr="002506C0" w:rsidRDefault="002848E7" w:rsidP="002848E7">
      <w:pPr>
        <w:pStyle w:val="ListParagraph"/>
        <w:numPr>
          <w:ilvl w:val="0"/>
          <w:numId w:val="44"/>
        </w:numPr>
        <w:jc w:val="both"/>
        <w:rPr>
          <w:rFonts w:ascii="Arial" w:hAnsi="Arial" w:cs="Arial"/>
          <w:sz w:val="22"/>
          <w:szCs w:val="22"/>
          <w:lang w:val="en-GB"/>
        </w:rPr>
      </w:pPr>
      <w:r>
        <w:rPr>
          <w:rFonts w:ascii="Arial" w:hAnsi="Arial" w:cs="Arial"/>
          <w:color w:val="7B7B7B" w:themeColor="accent3" w:themeShade="BF"/>
          <w:sz w:val="22"/>
          <w:szCs w:val="22"/>
          <w:lang w:val="en-GB"/>
        </w:rPr>
        <w:t>Imposition of an orderly regime that affects the rights and obligations of all creditors and all of the assets</w:t>
      </w:r>
      <w:r w:rsidR="002506C0">
        <w:rPr>
          <w:rFonts w:ascii="Arial" w:hAnsi="Arial" w:cs="Arial"/>
          <w:color w:val="7B7B7B" w:themeColor="accent3" w:themeShade="BF"/>
          <w:sz w:val="22"/>
          <w:szCs w:val="22"/>
          <w:lang w:val="en-GB"/>
        </w:rPr>
        <w:t xml:space="preserve"> of the debtor;</w:t>
      </w:r>
    </w:p>
    <w:p w14:paraId="5870208F" w14:textId="77777777" w:rsidR="002506C0" w:rsidRPr="002506C0" w:rsidRDefault="002506C0" w:rsidP="002848E7">
      <w:pPr>
        <w:pStyle w:val="ListParagraph"/>
        <w:numPr>
          <w:ilvl w:val="0"/>
          <w:numId w:val="44"/>
        </w:num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Distribution of assets is in accordance with statutory priorities;</w:t>
      </w:r>
    </w:p>
    <w:p w14:paraId="260B04E1" w14:textId="77777777" w:rsidR="002506C0" w:rsidRPr="002506C0" w:rsidRDefault="002506C0" w:rsidP="002848E7">
      <w:pPr>
        <w:pStyle w:val="ListParagraph"/>
        <w:numPr>
          <w:ilvl w:val="0"/>
          <w:numId w:val="44"/>
        </w:numPr>
        <w:jc w:val="both"/>
        <w:rPr>
          <w:rFonts w:ascii="Arial" w:hAnsi="Arial" w:cs="Arial"/>
          <w:sz w:val="22"/>
          <w:szCs w:val="22"/>
          <w:lang w:val="en-GB"/>
        </w:rPr>
      </w:pPr>
      <w:r>
        <w:rPr>
          <w:rFonts w:ascii="Arial" w:hAnsi="Arial" w:cs="Arial"/>
          <w:color w:val="7B7B7B" w:themeColor="accent3" w:themeShade="BF"/>
          <w:sz w:val="22"/>
          <w:szCs w:val="22"/>
          <w:lang w:val="en-GB"/>
        </w:rPr>
        <w:t>Interested parties should not be able to individually enhance their position by exploiting some fortuitous circumstance which may yield an unfair advantage;</w:t>
      </w:r>
    </w:p>
    <w:p w14:paraId="13762975" w14:textId="77777777" w:rsidR="002506C0" w:rsidRPr="002506C0" w:rsidRDefault="002506C0" w:rsidP="002848E7">
      <w:pPr>
        <w:pStyle w:val="ListParagraph"/>
        <w:numPr>
          <w:ilvl w:val="0"/>
          <w:numId w:val="44"/>
        </w:numPr>
        <w:jc w:val="both"/>
        <w:rPr>
          <w:rFonts w:ascii="Arial" w:hAnsi="Arial" w:cs="Arial"/>
          <w:sz w:val="22"/>
          <w:szCs w:val="22"/>
          <w:lang w:val="en-GB"/>
        </w:rPr>
      </w:pPr>
      <w:r>
        <w:rPr>
          <w:rFonts w:ascii="Arial" w:hAnsi="Arial" w:cs="Arial"/>
          <w:color w:val="7B7B7B" w:themeColor="accent3" w:themeShade="BF"/>
          <w:sz w:val="22"/>
          <w:szCs w:val="22"/>
          <w:lang w:val="en-GB"/>
        </w:rPr>
        <w:t>Creditors’ participation is a reality;</w:t>
      </w:r>
    </w:p>
    <w:p w14:paraId="2C313573" w14:textId="72156632" w:rsidR="002506C0" w:rsidRPr="002506C0" w:rsidRDefault="002506C0" w:rsidP="002848E7">
      <w:pPr>
        <w:pStyle w:val="ListParagraph"/>
        <w:numPr>
          <w:ilvl w:val="0"/>
          <w:numId w:val="44"/>
        </w:numPr>
        <w:jc w:val="both"/>
        <w:rPr>
          <w:rFonts w:ascii="Arial" w:hAnsi="Arial" w:cs="Arial"/>
          <w:sz w:val="22"/>
          <w:szCs w:val="22"/>
          <w:lang w:val="en-GB"/>
        </w:rPr>
      </w:pPr>
      <w:r>
        <w:rPr>
          <w:rFonts w:ascii="Arial" w:hAnsi="Arial" w:cs="Arial"/>
          <w:color w:val="7B7B7B" w:themeColor="accent3" w:themeShade="BF"/>
          <w:sz w:val="22"/>
          <w:szCs w:val="22"/>
          <w:lang w:val="en-GB"/>
        </w:rPr>
        <w:t>Creditors should have the opportunity to seek appellate review of the proceeding;</w:t>
      </w:r>
    </w:p>
    <w:p w14:paraId="2D4091B1" w14:textId="75F8E991" w:rsidR="00970EB0" w:rsidRPr="00970EB0" w:rsidRDefault="002506C0" w:rsidP="002848E7">
      <w:pPr>
        <w:pStyle w:val="ListParagraph"/>
        <w:numPr>
          <w:ilvl w:val="0"/>
          <w:numId w:val="44"/>
        </w:numPr>
        <w:jc w:val="both"/>
        <w:rPr>
          <w:rFonts w:ascii="Arial" w:hAnsi="Arial" w:cs="Arial"/>
          <w:sz w:val="22"/>
          <w:szCs w:val="22"/>
          <w:lang w:val="en-GB"/>
        </w:rPr>
      </w:pPr>
      <w:r>
        <w:rPr>
          <w:rFonts w:ascii="Arial" w:hAnsi="Arial" w:cs="Arial"/>
          <w:color w:val="7B7B7B" w:themeColor="accent3" w:themeShade="BF"/>
          <w:sz w:val="22"/>
          <w:szCs w:val="22"/>
          <w:lang w:val="en-GB"/>
        </w:rPr>
        <w:t>Adequate notice should be provided to creditors including unsecured creditors under the applicable foreign law.</w:t>
      </w:r>
    </w:p>
    <w:p w14:paraId="69254B58" w14:textId="77777777" w:rsidR="00970EB0" w:rsidRPr="00970EB0" w:rsidRDefault="00970EB0" w:rsidP="00970EB0">
      <w:pPr>
        <w:pStyle w:val="ListParagraph"/>
        <w:jc w:val="both"/>
        <w:rPr>
          <w:rFonts w:ascii="Arial" w:hAnsi="Arial" w:cs="Arial"/>
          <w:sz w:val="22"/>
          <w:szCs w:val="22"/>
          <w:lang w:val="en-GB"/>
        </w:rPr>
      </w:pPr>
    </w:p>
    <w:p w14:paraId="6E6B9AA4" w14:textId="5D1E1A83" w:rsidR="00387106" w:rsidRDefault="00970EB0" w:rsidP="00970EB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The next element to be established is whether the foreign law in which the </w:t>
      </w:r>
      <w:r w:rsidR="00770E1D">
        <w:rPr>
          <w:rFonts w:ascii="Arial" w:hAnsi="Arial" w:cs="Arial"/>
          <w:color w:val="7B7B7B" w:themeColor="accent3" w:themeShade="BF"/>
          <w:sz w:val="22"/>
          <w:szCs w:val="22"/>
          <w:lang w:val="en-GB"/>
        </w:rPr>
        <w:t xml:space="preserve">Bank’s liquidation is conducted under is a law which is pursuant to a law relating to insolvency.  The MLCBI acknowledges the fact that foreign liquidation and reorganization process might be conducted under a law which is not labelled as insolvency act but nevertheless deals with insolvency or severe financial distress.  As such, the judge will need to evaluate if the </w:t>
      </w:r>
      <w:r w:rsidR="00F60A9F">
        <w:rPr>
          <w:rFonts w:ascii="Arial" w:hAnsi="Arial" w:cs="Arial"/>
          <w:color w:val="7B7B7B" w:themeColor="accent3" w:themeShade="BF"/>
          <w:sz w:val="22"/>
          <w:szCs w:val="22"/>
          <w:lang w:val="en-GB"/>
        </w:rPr>
        <w:t xml:space="preserve">provision </w:t>
      </w:r>
      <w:r w:rsidR="00405DCC">
        <w:rPr>
          <w:rFonts w:ascii="Arial" w:hAnsi="Arial" w:cs="Arial"/>
          <w:color w:val="7B7B7B" w:themeColor="accent3" w:themeShade="BF"/>
          <w:sz w:val="22"/>
          <w:szCs w:val="22"/>
          <w:lang w:val="en-GB"/>
        </w:rPr>
        <w:t xml:space="preserve">in the </w:t>
      </w:r>
      <w:r w:rsidR="00770E1D">
        <w:rPr>
          <w:rFonts w:ascii="Arial" w:hAnsi="Arial" w:cs="Arial"/>
          <w:color w:val="7B7B7B" w:themeColor="accent3" w:themeShade="BF"/>
          <w:sz w:val="22"/>
          <w:szCs w:val="22"/>
          <w:lang w:val="en-GB"/>
        </w:rPr>
        <w:t xml:space="preserve">LBBA </w:t>
      </w:r>
      <w:r w:rsidR="00405DCC">
        <w:rPr>
          <w:rFonts w:ascii="Arial" w:hAnsi="Arial" w:cs="Arial"/>
          <w:color w:val="7B7B7B" w:themeColor="accent3" w:themeShade="BF"/>
          <w:sz w:val="22"/>
          <w:szCs w:val="22"/>
          <w:lang w:val="en-GB"/>
        </w:rPr>
        <w:t>in which the Bank’s liquidation is conducted fits the criteria of a law which deals with insolvency and severe financial distress</w:t>
      </w:r>
      <w:r w:rsidR="00770E1D">
        <w:rPr>
          <w:rFonts w:ascii="Arial" w:hAnsi="Arial" w:cs="Arial"/>
          <w:color w:val="7B7B7B" w:themeColor="accent3" w:themeShade="BF"/>
          <w:sz w:val="22"/>
          <w:szCs w:val="22"/>
          <w:lang w:val="en-GB"/>
        </w:rPr>
        <w:t>.</w:t>
      </w:r>
    </w:p>
    <w:p w14:paraId="66EBF8AB" w14:textId="05AF933D" w:rsidR="00405DCC" w:rsidRDefault="00405DCC" w:rsidP="00970EB0">
      <w:pPr>
        <w:jc w:val="both"/>
        <w:rPr>
          <w:rFonts w:ascii="Arial" w:hAnsi="Arial" w:cs="Arial"/>
          <w:color w:val="7B7B7B" w:themeColor="accent3" w:themeShade="BF"/>
          <w:sz w:val="22"/>
          <w:szCs w:val="22"/>
          <w:lang w:val="en-GB"/>
        </w:rPr>
      </w:pPr>
    </w:p>
    <w:p w14:paraId="3BB039D7" w14:textId="7E7C3135" w:rsidR="00405DCC" w:rsidRDefault="00405DCC" w:rsidP="00970EB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next element to be established is whether the assets and affairs of the debtor are subject to control or supervision by a foreign court.  The Guide to Enactment and Interpretation indicates that although the definition under subparagraph (a) of Article 2 is intended to be formal in nature, it may be potential rather than actual.  The Courts have indicated that control or supervision may also be exercised indirectly by the courts where for example the insolvency representative who are</w:t>
      </w:r>
      <w:r w:rsidR="00F7768F">
        <w:rPr>
          <w:rFonts w:ascii="Arial" w:hAnsi="Arial" w:cs="Arial"/>
          <w:color w:val="7B7B7B" w:themeColor="accent3" w:themeShade="BF"/>
          <w:sz w:val="22"/>
          <w:szCs w:val="22"/>
          <w:lang w:val="en-GB"/>
        </w:rPr>
        <w:t xml:space="preserve"> controlling and supervising the insolvency process is itself subject to control by the court or other regulatory authorities.  In this case, regards is to be given to the fact that whether the DGF is subject to a control of the court or the regulatory authorities under the law of Country A.</w:t>
      </w:r>
    </w:p>
    <w:p w14:paraId="7D78B3AA" w14:textId="1A9172E0" w:rsidR="00F7768F" w:rsidRDefault="00F7768F" w:rsidP="00970EB0">
      <w:pPr>
        <w:jc w:val="both"/>
        <w:rPr>
          <w:rFonts w:ascii="Arial" w:hAnsi="Arial" w:cs="Arial"/>
          <w:color w:val="7B7B7B" w:themeColor="accent3" w:themeShade="BF"/>
          <w:sz w:val="22"/>
          <w:szCs w:val="22"/>
          <w:lang w:val="en-GB"/>
        </w:rPr>
      </w:pPr>
    </w:p>
    <w:p w14:paraId="75F9A351" w14:textId="77777777" w:rsidR="00ED0846" w:rsidRDefault="00F7768F" w:rsidP="00970EB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last element to be established </w:t>
      </w:r>
      <w:r w:rsidR="00953463">
        <w:rPr>
          <w:rFonts w:ascii="Arial" w:hAnsi="Arial" w:cs="Arial"/>
          <w:color w:val="7B7B7B" w:themeColor="accent3" w:themeShade="BF"/>
          <w:sz w:val="22"/>
          <w:szCs w:val="22"/>
          <w:lang w:val="en-GB"/>
        </w:rPr>
        <w:t>is whether the process considered in the application is for the purpose of liquidation or reorganization</w:t>
      </w:r>
      <w:r w:rsidR="001A0B4D">
        <w:rPr>
          <w:rFonts w:ascii="Arial" w:hAnsi="Arial" w:cs="Arial"/>
          <w:color w:val="7B7B7B" w:themeColor="accent3" w:themeShade="BF"/>
          <w:sz w:val="22"/>
          <w:szCs w:val="22"/>
          <w:lang w:val="en-GB"/>
        </w:rPr>
        <w:t xml:space="preserve"> and that the power conferred and the duties imposed to the foreign representative are not limited than the powers and duties associated with liquidation or reorganization process.</w:t>
      </w:r>
    </w:p>
    <w:p w14:paraId="3AB699E4" w14:textId="77777777" w:rsidR="00ED0846" w:rsidRDefault="00ED0846" w:rsidP="00970EB0">
      <w:pPr>
        <w:jc w:val="both"/>
        <w:rPr>
          <w:rFonts w:ascii="Arial" w:hAnsi="Arial" w:cs="Arial"/>
          <w:color w:val="7B7B7B" w:themeColor="accent3" w:themeShade="BF"/>
          <w:sz w:val="22"/>
          <w:szCs w:val="22"/>
          <w:lang w:val="en-GB"/>
        </w:rPr>
      </w:pPr>
    </w:p>
    <w:p w14:paraId="58F0C76D" w14:textId="0EE689B5" w:rsidR="00F7768F" w:rsidRDefault="00ED0846" w:rsidP="00970EB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Should the Bank’s liquidation process is able to satisfy the required element to establish the definition stipulated under </w:t>
      </w:r>
      <w:r>
        <w:rPr>
          <w:rFonts w:ascii="Arial" w:hAnsi="Arial" w:cs="Arial"/>
          <w:color w:val="7B7B7B" w:themeColor="accent3" w:themeShade="BF"/>
          <w:sz w:val="22"/>
          <w:szCs w:val="22"/>
          <w:lang w:val="en-GB"/>
        </w:rPr>
        <w:t>subparagraph (a) of Article 2</w:t>
      </w:r>
      <w:r>
        <w:rPr>
          <w:rFonts w:ascii="Arial" w:hAnsi="Arial" w:cs="Arial"/>
          <w:color w:val="7B7B7B" w:themeColor="accent3" w:themeShade="BF"/>
          <w:sz w:val="22"/>
          <w:szCs w:val="22"/>
          <w:lang w:val="en-GB"/>
        </w:rPr>
        <w:t xml:space="preserve">, the judge will be able to consider recognising the process as “foreign proceeding”. </w:t>
      </w:r>
      <w:r w:rsidR="001A0B4D">
        <w:rPr>
          <w:rFonts w:ascii="Arial" w:hAnsi="Arial" w:cs="Arial"/>
          <w:color w:val="7B7B7B" w:themeColor="accent3" w:themeShade="BF"/>
          <w:sz w:val="22"/>
          <w:szCs w:val="22"/>
          <w:lang w:val="en-GB"/>
        </w:rPr>
        <w:t xml:space="preserve">  </w:t>
      </w:r>
    </w:p>
    <w:p w14:paraId="40C8F3BB" w14:textId="783B3156" w:rsidR="00143EAF" w:rsidRDefault="00143EAF" w:rsidP="00970EB0">
      <w:pPr>
        <w:jc w:val="both"/>
        <w:rPr>
          <w:rFonts w:ascii="Arial" w:hAnsi="Arial" w:cs="Arial"/>
          <w:color w:val="7B7B7B" w:themeColor="accent3" w:themeShade="BF"/>
          <w:sz w:val="22"/>
          <w:szCs w:val="22"/>
          <w:lang w:val="en-GB"/>
        </w:rPr>
      </w:pPr>
    </w:p>
    <w:p w14:paraId="11E0995F" w14:textId="2B2F8F6C" w:rsidR="00143EAF" w:rsidRDefault="00143EAF" w:rsidP="00970EB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definition of “foreign representatives” under Article 2(d) of MLCBI means a person or body, including one appointed on an interim basis, authorized in a foreign proceeding to administer the reorganization or the liquidation of the debtor’s assets or affairs or to act as a representative of the foreign proceeding.</w:t>
      </w:r>
      <w:r w:rsidR="006C5A2B">
        <w:rPr>
          <w:rFonts w:ascii="Arial" w:hAnsi="Arial" w:cs="Arial"/>
          <w:color w:val="7B7B7B" w:themeColor="accent3" w:themeShade="BF"/>
          <w:sz w:val="22"/>
          <w:szCs w:val="22"/>
          <w:lang w:val="en-GB"/>
        </w:rPr>
        <w:t xml:space="preserve">  In this case, DGF and its authorised officer Ms. G may be considered to meet the definition of “foreign representatives” as both the bodies and personnel appointed are authorised under the law of Country A to administer the Bank’s liquidation and their duties and powers would include as suggested by the Guide to Enactment and Interpretation to seek recognition, relief and co-operation </w:t>
      </w:r>
      <w:r w:rsidR="00ED0846">
        <w:rPr>
          <w:rFonts w:ascii="Arial" w:hAnsi="Arial" w:cs="Arial"/>
          <w:color w:val="7B7B7B" w:themeColor="accent3" w:themeShade="BF"/>
          <w:sz w:val="22"/>
          <w:szCs w:val="22"/>
          <w:lang w:val="en-GB"/>
        </w:rPr>
        <w:t>in another jurisdiction and for the purpose of representing the foreign proceeding.  In addition, authority given to the bodies and person may not necessary only by the foreign courts but also includes appointments made by special agency other than the court as MLCBI does not specify that the foreign representative must be authorised by the foreign court.</w:t>
      </w:r>
      <w:r w:rsidR="006C5A2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p>
    <w:p w14:paraId="08FFCBC3" w14:textId="58389B34" w:rsidR="00770E1D" w:rsidRDefault="00770E1D" w:rsidP="00970EB0">
      <w:pPr>
        <w:jc w:val="both"/>
        <w:rPr>
          <w:rFonts w:ascii="Arial" w:hAnsi="Arial" w:cs="Arial"/>
          <w:color w:val="7B7B7B" w:themeColor="accent3" w:themeShade="BF"/>
          <w:sz w:val="22"/>
          <w:szCs w:val="22"/>
          <w:lang w:val="en-GB"/>
        </w:rPr>
      </w:pPr>
    </w:p>
    <w:p w14:paraId="0EA70FE8" w14:textId="77777777" w:rsidR="00770E1D" w:rsidRPr="00970EB0" w:rsidRDefault="00770E1D" w:rsidP="00970EB0">
      <w:pPr>
        <w:jc w:val="both"/>
        <w:rPr>
          <w:rFonts w:ascii="Arial" w:hAnsi="Arial" w:cs="Arial"/>
          <w:sz w:val="22"/>
          <w:szCs w:val="22"/>
          <w:lang w:val="en-GB"/>
        </w:rPr>
      </w:pPr>
    </w:p>
    <w:p w14:paraId="13D722D1" w14:textId="38120261" w:rsidR="00970EB0" w:rsidRDefault="00970EB0" w:rsidP="00970EB0">
      <w:pPr>
        <w:jc w:val="both"/>
        <w:rPr>
          <w:rFonts w:ascii="Arial" w:hAnsi="Arial" w:cs="Arial"/>
          <w:sz w:val="22"/>
          <w:szCs w:val="22"/>
          <w:lang w:val="en-GB"/>
        </w:rPr>
      </w:pPr>
    </w:p>
    <w:p w14:paraId="25F21823" w14:textId="09AB9CF7" w:rsidR="00970EB0" w:rsidRPr="00970EB0" w:rsidRDefault="00970EB0" w:rsidP="00970EB0">
      <w:pPr>
        <w:jc w:val="both"/>
        <w:rPr>
          <w:rFonts w:ascii="Arial" w:hAnsi="Arial" w:cs="Arial"/>
          <w:sz w:val="22"/>
          <w:szCs w:val="22"/>
          <w:lang w:val="en-GB"/>
        </w:rPr>
      </w:pPr>
    </w:p>
    <w:p w14:paraId="172B2D0A" w14:textId="5A0B0DB6" w:rsidR="00387106" w:rsidRPr="009B5832" w:rsidRDefault="00387106" w:rsidP="00707FC8">
      <w:pPr>
        <w:jc w:val="both"/>
        <w:rPr>
          <w:rFonts w:ascii="Arial" w:hAnsi="Arial" w:cs="Arial"/>
          <w:sz w:val="22"/>
          <w:szCs w:val="22"/>
          <w:lang w:val="en-GB"/>
        </w:rPr>
      </w:pPr>
    </w:p>
    <w:p w14:paraId="70C6A8B6" w14:textId="34A6B671"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2A3E344F" w14:textId="2BBDA939" w:rsidR="009B5832" w:rsidRPr="00ED0846" w:rsidRDefault="00C606C3" w:rsidP="00ED0846">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sectPr w:rsidR="009B5832" w:rsidRPr="00ED0846"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8800" w14:textId="77777777" w:rsidR="007034FD" w:rsidRDefault="007034FD" w:rsidP="00241B44">
      <w:r>
        <w:separator/>
      </w:r>
    </w:p>
  </w:endnote>
  <w:endnote w:type="continuationSeparator" w:id="0">
    <w:p w14:paraId="343103F3" w14:textId="77777777" w:rsidR="007034FD" w:rsidRDefault="007034F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35981078" w:rsidR="0036760B" w:rsidRPr="00784B4B" w:rsidRDefault="006A6D02" w:rsidP="006A6D02">
    <w:pPr>
      <w:pStyle w:val="Footer"/>
      <w:ind w:right="360"/>
      <w:rPr>
        <w:rFonts w:ascii="Arial" w:hAnsi="Arial" w:cs="Arial"/>
        <w:sz w:val="18"/>
        <w:szCs w:val="18"/>
      </w:rPr>
    </w:pPr>
    <w:r>
      <w:rPr>
        <w:rFonts w:ascii="Arial" w:hAnsi="Arial" w:cs="Arial"/>
        <w:sz w:val="18"/>
        <w:szCs w:val="18"/>
      </w:rPr>
      <w:t>202122-619</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7712" w14:textId="77777777" w:rsidR="007034FD" w:rsidRDefault="007034FD" w:rsidP="00241B44">
      <w:r>
        <w:separator/>
      </w:r>
    </w:p>
  </w:footnote>
  <w:footnote w:type="continuationSeparator" w:id="0">
    <w:p w14:paraId="43817941" w14:textId="77777777" w:rsidR="007034FD" w:rsidRDefault="007034F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A5F19"/>
    <w:multiLevelType w:val="hybridMultilevel"/>
    <w:tmpl w:val="08EA5494"/>
    <w:lvl w:ilvl="0" w:tplc="0900BE96">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10A5EBA"/>
    <w:multiLevelType w:val="hybridMultilevel"/>
    <w:tmpl w:val="AD4006CC"/>
    <w:lvl w:ilvl="0" w:tplc="DE1A073A">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B27DBA"/>
    <w:multiLevelType w:val="hybridMultilevel"/>
    <w:tmpl w:val="AD7C1C3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A21EE5"/>
    <w:multiLevelType w:val="hybridMultilevel"/>
    <w:tmpl w:val="F4D2D8D4"/>
    <w:lvl w:ilvl="0" w:tplc="AD5ACA56">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3"/>
  </w:num>
  <w:num w:numId="3">
    <w:abstractNumId w:val="29"/>
  </w:num>
  <w:num w:numId="4">
    <w:abstractNumId w:val="39"/>
  </w:num>
  <w:num w:numId="5">
    <w:abstractNumId w:val="8"/>
  </w:num>
  <w:num w:numId="6">
    <w:abstractNumId w:val="36"/>
  </w:num>
  <w:num w:numId="7">
    <w:abstractNumId w:val="15"/>
  </w:num>
  <w:num w:numId="8">
    <w:abstractNumId w:val="31"/>
  </w:num>
  <w:num w:numId="9">
    <w:abstractNumId w:val="18"/>
  </w:num>
  <w:num w:numId="10">
    <w:abstractNumId w:val="11"/>
  </w:num>
  <w:num w:numId="11">
    <w:abstractNumId w:val="20"/>
  </w:num>
  <w:num w:numId="12">
    <w:abstractNumId w:val="35"/>
  </w:num>
  <w:num w:numId="13">
    <w:abstractNumId w:val="6"/>
  </w:num>
  <w:num w:numId="14">
    <w:abstractNumId w:val="27"/>
  </w:num>
  <w:num w:numId="15">
    <w:abstractNumId w:val="12"/>
  </w:num>
  <w:num w:numId="16">
    <w:abstractNumId w:val="13"/>
  </w:num>
  <w:num w:numId="17">
    <w:abstractNumId w:val="22"/>
  </w:num>
  <w:num w:numId="18">
    <w:abstractNumId w:val="7"/>
  </w:num>
  <w:num w:numId="19">
    <w:abstractNumId w:val="21"/>
  </w:num>
  <w:num w:numId="20">
    <w:abstractNumId w:val="42"/>
  </w:num>
  <w:num w:numId="21">
    <w:abstractNumId w:val="14"/>
  </w:num>
  <w:num w:numId="22">
    <w:abstractNumId w:val="34"/>
  </w:num>
  <w:num w:numId="23">
    <w:abstractNumId w:val="40"/>
  </w:num>
  <w:num w:numId="24">
    <w:abstractNumId w:val="33"/>
  </w:num>
  <w:num w:numId="25">
    <w:abstractNumId w:val="26"/>
  </w:num>
  <w:num w:numId="26">
    <w:abstractNumId w:val="41"/>
  </w:num>
  <w:num w:numId="27">
    <w:abstractNumId w:val="38"/>
  </w:num>
  <w:num w:numId="28">
    <w:abstractNumId w:val="9"/>
  </w:num>
  <w:num w:numId="29">
    <w:abstractNumId w:val="10"/>
  </w:num>
  <w:num w:numId="30">
    <w:abstractNumId w:val="23"/>
  </w:num>
  <w:num w:numId="31">
    <w:abstractNumId w:val="4"/>
  </w:num>
  <w:num w:numId="32">
    <w:abstractNumId w:val="24"/>
  </w:num>
  <w:num w:numId="33">
    <w:abstractNumId w:val="0"/>
  </w:num>
  <w:num w:numId="34">
    <w:abstractNumId w:val="30"/>
  </w:num>
  <w:num w:numId="35">
    <w:abstractNumId w:val="17"/>
  </w:num>
  <w:num w:numId="36">
    <w:abstractNumId w:val="32"/>
  </w:num>
  <w:num w:numId="37">
    <w:abstractNumId w:val="19"/>
  </w:num>
  <w:num w:numId="38">
    <w:abstractNumId w:val="28"/>
  </w:num>
  <w:num w:numId="39">
    <w:abstractNumId w:val="5"/>
  </w:num>
  <w:num w:numId="40">
    <w:abstractNumId w:val="16"/>
  </w:num>
  <w:num w:numId="41">
    <w:abstractNumId w:val="37"/>
  </w:num>
  <w:num w:numId="42">
    <w:abstractNumId w:val="3"/>
  </w:num>
  <w:num w:numId="43">
    <w:abstractNumId w:val="25"/>
  </w:num>
  <w:num w:numId="4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593A"/>
    <w:rsid w:val="00067A88"/>
    <w:rsid w:val="00073474"/>
    <w:rsid w:val="00077D49"/>
    <w:rsid w:val="0008022F"/>
    <w:rsid w:val="00082609"/>
    <w:rsid w:val="000851CC"/>
    <w:rsid w:val="00093BE8"/>
    <w:rsid w:val="000A68ED"/>
    <w:rsid w:val="000B4FEB"/>
    <w:rsid w:val="000B557F"/>
    <w:rsid w:val="000B5FF1"/>
    <w:rsid w:val="000B609F"/>
    <w:rsid w:val="000C147F"/>
    <w:rsid w:val="000C4AF0"/>
    <w:rsid w:val="000C618F"/>
    <w:rsid w:val="000C6BB9"/>
    <w:rsid w:val="000D55A8"/>
    <w:rsid w:val="000E4841"/>
    <w:rsid w:val="000E6325"/>
    <w:rsid w:val="000F1677"/>
    <w:rsid w:val="000F3D6C"/>
    <w:rsid w:val="000F579C"/>
    <w:rsid w:val="00101707"/>
    <w:rsid w:val="00114082"/>
    <w:rsid w:val="0011473D"/>
    <w:rsid w:val="00115C85"/>
    <w:rsid w:val="00123855"/>
    <w:rsid w:val="00126A4D"/>
    <w:rsid w:val="00140E0A"/>
    <w:rsid w:val="0014171F"/>
    <w:rsid w:val="00143EAF"/>
    <w:rsid w:val="0014622C"/>
    <w:rsid w:val="00151F58"/>
    <w:rsid w:val="00152348"/>
    <w:rsid w:val="0015456D"/>
    <w:rsid w:val="00155FA2"/>
    <w:rsid w:val="00156D80"/>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87BF8"/>
    <w:rsid w:val="00190FD2"/>
    <w:rsid w:val="001966D9"/>
    <w:rsid w:val="001A0B4D"/>
    <w:rsid w:val="001A13B7"/>
    <w:rsid w:val="001A24E7"/>
    <w:rsid w:val="001A2B78"/>
    <w:rsid w:val="001A7E9A"/>
    <w:rsid w:val="001B0F70"/>
    <w:rsid w:val="001B5016"/>
    <w:rsid w:val="001C45FC"/>
    <w:rsid w:val="001D02C5"/>
    <w:rsid w:val="001D4862"/>
    <w:rsid w:val="001E25B9"/>
    <w:rsid w:val="001E49E0"/>
    <w:rsid w:val="001E7B5A"/>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3A7F"/>
    <w:rsid w:val="00245EFB"/>
    <w:rsid w:val="0024690D"/>
    <w:rsid w:val="002506C0"/>
    <w:rsid w:val="00250E19"/>
    <w:rsid w:val="0025386E"/>
    <w:rsid w:val="002638B0"/>
    <w:rsid w:val="00264FFF"/>
    <w:rsid w:val="002650D7"/>
    <w:rsid w:val="0026647A"/>
    <w:rsid w:val="002668D3"/>
    <w:rsid w:val="002675BE"/>
    <w:rsid w:val="0027299F"/>
    <w:rsid w:val="00276913"/>
    <w:rsid w:val="0028135B"/>
    <w:rsid w:val="00282480"/>
    <w:rsid w:val="002848E7"/>
    <w:rsid w:val="00284EBE"/>
    <w:rsid w:val="0029433F"/>
    <w:rsid w:val="00294829"/>
    <w:rsid w:val="00294BB4"/>
    <w:rsid w:val="00294F3B"/>
    <w:rsid w:val="0029690F"/>
    <w:rsid w:val="002A2A60"/>
    <w:rsid w:val="002B0E05"/>
    <w:rsid w:val="002B1C45"/>
    <w:rsid w:val="002B20BF"/>
    <w:rsid w:val="002C13C8"/>
    <w:rsid w:val="002C3547"/>
    <w:rsid w:val="002C5127"/>
    <w:rsid w:val="002D0021"/>
    <w:rsid w:val="002D3473"/>
    <w:rsid w:val="002D5C95"/>
    <w:rsid w:val="002E00F8"/>
    <w:rsid w:val="002E1BB5"/>
    <w:rsid w:val="002E2322"/>
    <w:rsid w:val="002E38E2"/>
    <w:rsid w:val="002E6888"/>
    <w:rsid w:val="002F1956"/>
    <w:rsid w:val="002F2537"/>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6911"/>
    <w:rsid w:val="00397D3A"/>
    <w:rsid w:val="003A051E"/>
    <w:rsid w:val="003A2FEE"/>
    <w:rsid w:val="003B1310"/>
    <w:rsid w:val="003B170F"/>
    <w:rsid w:val="003B216F"/>
    <w:rsid w:val="003B3C5F"/>
    <w:rsid w:val="003C1B43"/>
    <w:rsid w:val="003C4471"/>
    <w:rsid w:val="003C66B1"/>
    <w:rsid w:val="003D0A6D"/>
    <w:rsid w:val="003D5BD6"/>
    <w:rsid w:val="003E0B16"/>
    <w:rsid w:val="003E1D78"/>
    <w:rsid w:val="003E67D1"/>
    <w:rsid w:val="00405DC1"/>
    <w:rsid w:val="00405DCC"/>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1D8A"/>
    <w:rsid w:val="00592F82"/>
    <w:rsid w:val="005A0CCA"/>
    <w:rsid w:val="005A726D"/>
    <w:rsid w:val="005B67AC"/>
    <w:rsid w:val="005C2C94"/>
    <w:rsid w:val="005C4865"/>
    <w:rsid w:val="005D43E0"/>
    <w:rsid w:val="005D58A3"/>
    <w:rsid w:val="005E1B79"/>
    <w:rsid w:val="005E5C28"/>
    <w:rsid w:val="005F026D"/>
    <w:rsid w:val="005F21F4"/>
    <w:rsid w:val="005F2D0B"/>
    <w:rsid w:val="005F4B31"/>
    <w:rsid w:val="00600301"/>
    <w:rsid w:val="00610388"/>
    <w:rsid w:val="00611D20"/>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41D9F"/>
    <w:rsid w:val="0064695F"/>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A6D02"/>
    <w:rsid w:val="006B435A"/>
    <w:rsid w:val="006B4C64"/>
    <w:rsid w:val="006B4FFC"/>
    <w:rsid w:val="006C5A2B"/>
    <w:rsid w:val="006D6BD5"/>
    <w:rsid w:val="006E303F"/>
    <w:rsid w:val="006E481A"/>
    <w:rsid w:val="006E5298"/>
    <w:rsid w:val="006F2CE3"/>
    <w:rsid w:val="006F734A"/>
    <w:rsid w:val="00700D83"/>
    <w:rsid w:val="007034FD"/>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0E1D"/>
    <w:rsid w:val="0077498C"/>
    <w:rsid w:val="00784128"/>
    <w:rsid w:val="00784B4B"/>
    <w:rsid w:val="007854ED"/>
    <w:rsid w:val="00793173"/>
    <w:rsid w:val="007B3AC7"/>
    <w:rsid w:val="007C12A6"/>
    <w:rsid w:val="007C1FCC"/>
    <w:rsid w:val="007C32A8"/>
    <w:rsid w:val="007C3FE5"/>
    <w:rsid w:val="007C6201"/>
    <w:rsid w:val="007C6988"/>
    <w:rsid w:val="007D1DDD"/>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4683C"/>
    <w:rsid w:val="00853A74"/>
    <w:rsid w:val="00860E61"/>
    <w:rsid w:val="008723F3"/>
    <w:rsid w:val="00872754"/>
    <w:rsid w:val="00881DE6"/>
    <w:rsid w:val="008837A6"/>
    <w:rsid w:val="0089145D"/>
    <w:rsid w:val="008A0C6E"/>
    <w:rsid w:val="008A3F2C"/>
    <w:rsid w:val="008A4DF2"/>
    <w:rsid w:val="008A6CFE"/>
    <w:rsid w:val="008A7470"/>
    <w:rsid w:val="008A77DB"/>
    <w:rsid w:val="008B1A08"/>
    <w:rsid w:val="008B2DE3"/>
    <w:rsid w:val="008B5333"/>
    <w:rsid w:val="008B6223"/>
    <w:rsid w:val="008C66E0"/>
    <w:rsid w:val="008D2725"/>
    <w:rsid w:val="008E1224"/>
    <w:rsid w:val="008E2DFA"/>
    <w:rsid w:val="008E3339"/>
    <w:rsid w:val="008E549B"/>
    <w:rsid w:val="008E7850"/>
    <w:rsid w:val="008F18EF"/>
    <w:rsid w:val="008F20FC"/>
    <w:rsid w:val="008F2B24"/>
    <w:rsid w:val="008F5FFE"/>
    <w:rsid w:val="0090421A"/>
    <w:rsid w:val="00905A43"/>
    <w:rsid w:val="00912C79"/>
    <w:rsid w:val="00921166"/>
    <w:rsid w:val="009260A2"/>
    <w:rsid w:val="00942123"/>
    <w:rsid w:val="00951031"/>
    <w:rsid w:val="0095207B"/>
    <w:rsid w:val="00953463"/>
    <w:rsid w:val="00956085"/>
    <w:rsid w:val="00957951"/>
    <w:rsid w:val="00962045"/>
    <w:rsid w:val="009634F7"/>
    <w:rsid w:val="00967EDA"/>
    <w:rsid w:val="00970897"/>
    <w:rsid w:val="00970EB0"/>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D4BF7"/>
    <w:rsid w:val="009E2AEB"/>
    <w:rsid w:val="009E2E27"/>
    <w:rsid w:val="009E4DE3"/>
    <w:rsid w:val="00A047EE"/>
    <w:rsid w:val="00A114EA"/>
    <w:rsid w:val="00A12A55"/>
    <w:rsid w:val="00A153F7"/>
    <w:rsid w:val="00A2274A"/>
    <w:rsid w:val="00A235B7"/>
    <w:rsid w:val="00A27A7A"/>
    <w:rsid w:val="00A407EF"/>
    <w:rsid w:val="00A46B4C"/>
    <w:rsid w:val="00A5117B"/>
    <w:rsid w:val="00A54689"/>
    <w:rsid w:val="00A60074"/>
    <w:rsid w:val="00A6627C"/>
    <w:rsid w:val="00A71019"/>
    <w:rsid w:val="00A81029"/>
    <w:rsid w:val="00A83CB5"/>
    <w:rsid w:val="00A95514"/>
    <w:rsid w:val="00A96489"/>
    <w:rsid w:val="00AA3A42"/>
    <w:rsid w:val="00AA5311"/>
    <w:rsid w:val="00AB685C"/>
    <w:rsid w:val="00AB6C2D"/>
    <w:rsid w:val="00AC08F7"/>
    <w:rsid w:val="00AC3839"/>
    <w:rsid w:val="00AC7082"/>
    <w:rsid w:val="00AD3FEA"/>
    <w:rsid w:val="00AD7BBD"/>
    <w:rsid w:val="00AE5461"/>
    <w:rsid w:val="00AF228E"/>
    <w:rsid w:val="00B04137"/>
    <w:rsid w:val="00B11D19"/>
    <w:rsid w:val="00B12936"/>
    <w:rsid w:val="00B14819"/>
    <w:rsid w:val="00B17AA9"/>
    <w:rsid w:val="00B32DE4"/>
    <w:rsid w:val="00B33578"/>
    <w:rsid w:val="00B370C3"/>
    <w:rsid w:val="00B411AE"/>
    <w:rsid w:val="00B60190"/>
    <w:rsid w:val="00B61419"/>
    <w:rsid w:val="00B72F5F"/>
    <w:rsid w:val="00B736DF"/>
    <w:rsid w:val="00B74FBD"/>
    <w:rsid w:val="00B82586"/>
    <w:rsid w:val="00B829A3"/>
    <w:rsid w:val="00B86DB1"/>
    <w:rsid w:val="00B87869"/>
    <w:rsid w:val="00BA0E44"/>
    <w:rsid w:val="00BA47C5"/>
    <w:rsid w:val="00BB0F2B"/>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50EC"/>
    <w:rsid w:val="00C46EC1"/>
    <w:rsid w:val="00C504E5"/>
    <w:rsid w:val="00C53E2C"/>
    <w:rsid w:val="00C550C8"/>
    <w:rsid w:val="00C56B61"/>
    <w:rsid w:val="00C606C3"/>
    <w:rsid w:val="00C620F4"/>
    <w:rsid w:val="00C635F5"/>
    <w:rsid w:val="00C67ECE"/>
    <w:rsid w:val="00C72848"/>
    <w:rsid w:val="00C747E2"/>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335B"/>
    <w:rsid w:val="00D148DC"/>
    <w:rsid w:val="00D17FDC"/>
    <w:rsid w:val="00D309CA"/>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B1135"/>
    <w:rsid w:val="00DB243C"/>
    <w:rsid w:val="00DB482A"/>
    <w:rsid w:val="00DB56F2"/>
    <w:rsid w:val="00DB6EF5"/>
    <w:rsid w:val="00DC0B06"/>
    <w:rsid w:val="00DC15AF"/>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279C"/>
    <w:rsid w:val="00E55547"/>
    <w:rsid w:val="00E57410"/>
    <w:rsid w:val="00E6302B"/>
    <w:rsid w:val="00E6452F"/>
    <w:rsid w:val="00E64619"/>
    <w:rsid w:val="00E64F45"/>
    <w:rsid w:val="00E6742D"/>
    <w:rsid w:val="00E71CB0"/>
    <w:rsid w:val="00E73529"/>
    <w:rsid w:val="00E77C3D"/>
    <w:rsid w:val="00E850FE"/>
    <w:rsid w:val="00E8653F"/>
    <w:rsid w:val="00E909F0"/>
    <w:rsid w:val="00E90D47"/>
    <w:rsid w:val="00E93993"/>
    <w:rsid w:val="00E9597C"/>
    <w:rsid w:val="00EA0913"/>
    <w:rsid w:val="00EA0A2F"/>
    <w:rsid w:val="00EB146B"/>
    <w:rsid w:val="00EB45AC"/>
    <w:rsid w:val="00EC2AEA"/>
    <w:rsid w:val="00EC7B11"/>
    <w:rsid w:val="00EC7F95"/>
    <w:rsid w:val="00ED0846"/>
    <w:rsid w:val="00ED0BC4"/>
    <w:rsid w:val="00ED3771"/>
    <w:rsid w:val="00ED6A32"/>
    <w:rsid w:val="00EE4971"/>
    <w:rsid w:val="00EF090E"/>
    <w:rsid w:val="00F033DA"/>
    <w:rsid w:val="00F11AAB"/>
    <w:rsid w:val="00F13FB1"/>
    <w:rsid w:val="00F17C87"/>
    <w:rsid w:val="00F223E7"/>
    <w:rsid w:val="00F2288D"/>
    <w:rsid w:val="00F2394A"/>
    <w:rsid w:val="00F25779"/>
    <w:rsid w:val="00F2750A"/>
    <w:rsid w:val="00F27CD8"/>
    <w:rsid w:val="00F30351"/>
    <w:rsid w:val="00F3323E"/>
    <w:rsid w:val="00F341F4"/>
    <w:rsid w:val="00F34F9D"/>
    <w:rsid w:val="00F35CCE"/>
    <w:rsid w:val="00F55241"/>
    <w:rsid w:val="00F5524B"/>
    <w:rsid w:val="00F60538"/>
    <w:rsid w:val="00F60A9F"/>
    <w:rsid w:val="00F61DD2"/>
    <w:rsid w:val="00F6240D"/>
    <w:rsid w:val="00F629CB"/>
    <w:rsid w:val="00F64391"/>
    <w:rsid w:val="00F6523A"/>
    <w:rsid w:val="00F66556"/>
    <w:rsid w:val="00F66AFF"/>
    <w:rsid w:val="00F712C9"/>
    <w:rsid w:val="00F71433"/>
    <w:rsid w:val="00F7241A"/>
    <w:rsid w:val="00F7768F"/>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405"/>
    <w:rsid w:val="00FE2A86"/>
    <w:rsid w:val="00FF0EA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981567596">
      <w:bodyDiv w:val="1"/>
      <w:marLeft w:val="0"/>
      <w:marRight w:val="0"/>
      <w:marTop w:val="0"/>
      <w:marBottom w:val="0"/>
      <w:divBdr>
        <w:top w:val="none" w:sz="0" w:space="0" w:color="auto"/>
        <w:left w:val="none" w:sz="0" w:space="0" w:color="auto"/>
        <w:bottom w:val="none" w:sz="0" w:space="0" w:color="auto"/>
        <w:right w:val="none" w:sz="0" w:space="0" w:color="auto"/>
      </w:divBdr>
      <w:divsChild>
        <w:div w:id="873470240">
          <w:marLeft w:val="0"/>
          <w:marRight w:val="0"/>
          <w:marTop w:val="0"/>
          <w:marBottom w:val="0"/>
          <w:divBdr>
            <w:top w:val="none" w:sz="0" w:space="0" w:color="auto"/>
            <w:left w:val="none" w:sz="0" w:space="0" w:color="auto"/>
            <w:bottom w:val="none" w:sz="0" w:space="0" w:color="auto"/>
            <w:right w:val="none" w:sz="0" w:space="0" w:color="auto"/>
          </w:divBdr>
          <w:divsChild>
            <w:div w:id="782311548">
              <w:marLeft w:val="0"/>
              <w:marRight w:val="0"/>
              <w:marTop w:val="0"/>
              <w:marBottom w:val="0"/>
              <w:divBdr>
                <w:top w:val="none" w:sz="0" w:space="0" w:color="auto"/>
                <w:left w:val="none" w:sz="0" w:space="0" w:color="auto"/>
                <w:bottom w:val="none" w:sz="0" w:space="0" w:color="auto"/>
                <w:right w:val="none" w:sz="0" w:space="0" w:color="auto"/>
              </w:divBdr>
              <w:divsChild>
                <w:div w:id="9791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6133</Words>
  <Characters>34959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MacPherson Simon</cp:lastModifiedBy>
  <cp:revision>19</cp:revision>
  <cp:lastPrinted>2019-08-27T05:42:00Z</cp:lastPrinted>
  <dcterms:created xsi:type="dcterms:W3CDTF">2022-02-24T10:35:00Z</dcterms:created>
  <dcterms:modified xsi:type="dcterms:W3CDTF">2022-02-27T06:18:00Z</dcterms:modified>
</cp:coreProperties>
</file>