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2188" w:rsidRDefault="00AE5B6F" w:rsidP="00B04033">
      <w:pPr>
        <w:pStyle w:val="ListParagraph"/>
        <w:numPr>
          <w:ilvl w:val="0"/>
          <w:numId w:val="1"/>
        </w:numPr>
        <w:ind w:left="426"/>
        <w:jc w:val="both"/>
        <w:rPr>
          <w:rFonts w:ascii="Arial" w:hAnsi="Arial" w:cs="Arial"/>
          <w:sz w:val="22"/>
          <w:szCs w:val="22"/>
          <w:highlight w:val="yellow"/>
          <w:lang w:val="en-GB"/>
        </w:rPr>
      </w:pPr>
      <w:r w:rsidRPr="00FF2188">
        <w:rPr>
          <w:rFonts w:ascii="Arial" w:hAnsi="Arial" w:cs="Arial"/>
          <w:sz w:val="22"/>
          <w:szCs w:val="22"/>
          <w:highlight w:val="yellow"/>
          <w:lang w:val="en-GB"/>
        </w:rPr>
        <w:t>w</w:t>
      </w:r>
      <w:r w:rsidR="00C91062" w:rsidRPr="00FF2188">
        <w:rPr>
          <w:rFonts w:ascii="Arial" w:hAnsi="Arial" w:cs="Arial"/>
          <w:sz w:val="22"/>
          <w:szCs w:val="22"/>
          <w:highlight w:val="yellow"/>
          <w:lang w:val="en-GB"/>
        </w:rPr>
        <w:t>ithin 8 weeks of the commencement of the administration</w:t>
      </w:r>
      <w:r w:rsidR="00763348" w:rsidRPr="00FF2188">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123B20" w:rsidRDefault="00E443D7" w:rsidP="00B04033">
      <w:pPr>
        <w:pStyle w:val="ListParagraph"/>
        <w:numPr>
          <w:ilvl w:val="0"/>
          <w:numId w:val="2"/>
        </w:numPr>
        <w:ind w:left="426"/>
        <w:jc w:val="both"/>
        <w:rPr>
          <w:rFonts w:ascii="Arial" w:hAnsi="Arial" w:cs="Arial"/>
          <w:sz w:val="22"/>
          <w:szCs w:val="22"/>
          <w:highlight w:val="yellow"/>
          <w:lang w:val="en-GB"/>
        </w:rPr>
      </w:pPr>
      <w:r w:rsidRPr="00123B20">
        <w:rPr>
          <w:rFonts w:ascii="Arial" w:hAnsi="Arial" w:cs="Arial"/>
          <w:sz w:val="22"/>
          <w:szCs w:val="22"/>
          <w:highlight w:val="yellow"/>
          <w:lang w:val="en-GB"/>
        </w:rPr>
        <w:t>One year</w:t>
      </w:r>
      <w:r w:rsidR="00763348" w:rsidRPr="00123B2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CE78C1" w:rsidRDefault="00AE5B6F" w:rsidP="00B04033">
      <w:pPr>
        <w:pStyle w:val="ListParagraph"/>
        <w:numPr>
          <w:ilvl w:val="0"/>
          <w:numId w:val="3"/>
        </w:numPr>
        <w:ind w:left="426"/>
        <w:jc w:val="both"/>
        <w:rPr>
          <w:rFonts w:ascii="Arial" w:hAnsi="Arial" w:cs="Arial"/>
          <w:sz w:val="22"/>
          <w:szCs w:val="22"/>
          <w:highlight w:val="yellow"/>
          <w:lang w:val="en-GB"/>
        </w:rPr>
      </w:pPr>
      <w:r w:rsidRPr="00CE78C1">
        <w:rPr>
          <w:rFonts w:ascii="Arial" w:hAnsi="Arial" w:cs="Arial"/>
          <w:sz w:val="22"/>
          <w:szCs w:val="22"/>
          <w:highlight w:val="yellow"/>
          <w:lang w:val="en-GB"/>
        </w:rPr>
        <w:t>T</w:t>
      </w:r>
      <w:r w:rsidR="008D1616" w:rsidRPr="00CE78C1">
        <w:rPr>
          <w:rFonts w:ascii="Arial" w:hAnsi="Arial" w:cs="Arial"/>
          <w:sz w:val="22"/>
          <w:szCs w:val="22"/>
          <w:highlight w:val="yellow"/>
          <w:lang w:val="en-GB"/>
        </w:rPr>
        <w:t>he company is, or is likely to become, unable to pay their debts, as defined under s</w:t>
      </w:r>
      <w:r w:rsidR="00E833F4" w:rsidRPr="00CE78C1">
        <w:rPr>
          <w:rFonts w:ascii="Arial" w:hAnsi="Arial" w:cs="Arial"/>
          <w:sz w:val="22"/>
          <w:szCs w:val="22"/>
          <w:highlight w:val="yellow"/>
          <w:lang w:val="en-GB"/>
        </w:rPr>
        <w:t>ection</w:t>
      </w:r>
      <w:r w:rsidR="008D1616" w:rsidRPr="00CE78C1">
        <w:rPr>
          <w:rFonts w:ascii="Arial" w:hAnsi="Arial" w:cs="Arial"/>
          <w:sz w:val="22"/>
          <w:szCs w:val="22"/>
          <w:highlight w:val="yellow"/>
          <w:lang w:val="en-GB"/>
        </w:rPr>
        <w:t xml:space="preserve"> 123 of the Insolvency Act 1986</w:t>
      </w:r>
      <w:r w:rsidR="00763348" w:rsidRPr="00CE78C1">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E76EF6" w:rsidRDefault="00C91062" w:rsidP="00B04033">
      <w:pPr>
        <w:pStyle w:val="ListParagraph"/>
        <w:numPr>
          <w:ilvl w:val="0"/>
          <w:numId w:val="4"/>
        </w:numPr>
        <w:ind w:left="426"/>
        <w:jc w:val="both"/>
        <w:rPr>
          <w:rFonts w:ascii="Arial" w:hAnsi="Arial" w:cs="Arial"/>
          <w:sz w:val="22"/>
          <w:szCs w:val="22"/>
          <w:highlight w:val="yellow"/>
          <w:lang w:val="en-GB"/>
        </w:rPr>
      </w:pPr>
      <w:r w:rsidRPr="00E76EF6">
        <w:rPr>
          <w:rFonts w:ascii="Arial" w:hAnsi="Arial" w:cs="Arial"/>
          <w:sz w:val="22"/>
          <w:szCs w:val="22"/>
          <w:highlight w:val="yellow"/>
          <w:lang w:val="en-GB"/>
        </w:rPr>
        <w:t>The purchaser</w:t>
      </w:r>
      <w:r w:rsidR="00763348" w:rsidRPr="00E76EF6">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9E4242F" w:rsidR="00867701" w:rsidRPr="00B54943" w:rsidRDefault="00BA1CFD" w:rsidP="00B54943">
      <w:pPr>
        <w:pStyle w:val="ListParagraph"/>
        <w:numPr>
          <w:ilvl w:val="0"/>
          <w:numId w:val="5"/>
        </w:numPr>
        <w:ind w:left="426"/>
        <w:jc w:val="both"/>
        <w:rPr>
          <w:rFonts w:ascii="Arial" w:hAnsi="Arial" w:cs="Arial"/>
          <w:sz w:val="22"/>
          <w:szCs w:val="22"/>
          <w:highlight w:val="yellow"/>
          <w:lang w:val="en-GB"/>
        </w:rPr>
      </w:pPr>
      <w:r w:rsidRPr="00B54943">
        <w:rPr>
          <w:rFonts w:ascii="Arial" w:hAnsi="Arial" w:cs="Arial"/>
          <w:sz w:val="22"/>
          <w:szCs w:val="22"/>
          <w:highlight w:val="yellow"/>
          <w:lang w:val="en-GB"/>
        </w:rPr>
        <w:t>Administration</w:t>
      </w:r>
      <w:r w:rsidR="00763348" w:rsidRPr="00B5494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8D145B" w:rsidRDefault="00BA1CFD" w:rsidP="00B04033">
      <w:pPr>
        <w:pStyle w:val="ListParagraph"/>
        <w:numPr>
          <w:ilvl w:val="0"/>
          <w:numId w:val="6"/>
        </w:numPr>
        <w:ind w:left="426"/>
        <w:jc w:val="both"/>
        <w:rPr>
          <w:rFonts w:ascii="Arial" w:hAnsi="Arial" w:cs="Arial"/>
          <w:sz w:val="22"/>
          <w:szCs w:val="22"/>
          <w:highlight w:val="yellow"/>
          <w:lang w:val="en-GB"/>
        </w:rPr>
      </w:pPr>
      <w:r w:rsidRPr="008D145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2C57C9" w:rsidRDefault="00BA1CFD" w:rsidP="00B04033">
      <w:pPr>
        <w:pStyle w:val="ListParagraph"/>
        <w:numPr>
          <w:ilvl w:val="0"/>
          <w:numId w:val="7"/>
        </w:numPr>
        <w:ind w:left="426"/>
        <w:jc w:val="both"/>
        <w:rPr>
          <w:rFonts w:ascii="Arial" w:hAnsi="Arial" w:cs="Arial"/>
          <w:sz w:val="22"/>
          <w:szCs w:val="22"/>
          <w:highlight w:val="yellow"/>
          <w:lang w:val="en-GB"/>
        </w:rPr>
      </w:pPr>
      <w:r w:rsidRPr="002C57C9">
        <w:rPr>
          <w:rFonts w:ascii="Arial" w:hAnsi="Arial" w:cs="Arial"/>
          <w:sz w:val="22"/>
          <w:szCs w:val="22"/>
          <w:highlight w:val="yellow"/>
          <w:lang w:val="en-GB"/>
        </w:rPr>
        <w:t>Wrongful trading</w:t>
      </w:r>
      <w:r w:rsidR="00763348" w:rsidRPr="002C57C9">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C233C7" w:rsidRDefault="00876F56" w:rsidP="00B04033">
      <w:pPr>
        <w:pStyle w:val="ListParagraph"/>
        <w:numPr>
          <w:ilvl w:val="0"/>
          <w:numId w:val="8"/>
        </w:numPr>
        <w:ind w:left="426"/>
        <w:jc w:val="both"/>
        <w:rPr>
          <w:rFonts w:ascii="Arial" w:hAnsi="Arial" w:cs="Arial"/>
          <w:sz w:val="22"/>
          <w:szCs w:val="22"/>
          <w:highlight w:val="yellow"/>
          <w:lang w:val="en-GB"/>
        </w:rPr>
      </w:pPr>
      <w:r w:rsidRPr="00C233C7">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2F77BF" w:rsidRDefault="00E833F4" w:rsidP="00B04033">
      <w:pPr>
        <w:pStyle w:val="ListParagraph"/>
        <w:numPr>
          <w:ilvl w:val="0"/>
          <w:numId w:val="9"/>
        </w:numPr>
        <w:ind w:left="426"/>
        <w:jc w:val="both"/>
        <w:rPr>
          <w:rFonts w:ascii="Arial" w:hAnsi="Arial" w:cs="Arial"/>
          <w:sz w:val="22"/>
          <w:szCs w:val="22"/>
          <w:highlight w:val="yellow"/>
          <w:lang w:val="en-GB"/>
        </w:rPr>
      </w:pPr>
      <w:r w:rsidRPr="002F77BF">
        <w:rPr>
          <w:rFonts w:ascii="Arial" w:hAnsi="Arial" w:cs="Arial"/>
          <w:sz w:val="22"/>
          <w:szCs w:val="22"/>
          <w:highlight w:val="yellow"/>
          <w:lang w:val="en-GB"/>
        </w:rPr>
        <w:t>A</w:t>
      </w:r>
      <w:r w:rsidR="000D10C6" w:rsidRPr="002F77BF">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BC2375" w:rsidRDefault="0020204E" w:rsidP="00B04033">
      <w:pPr>
        <w:pStyle w:val="ListParagraph"/>
        <w:numPr>
          <w:ilvl w:val="0"/>
          <w:numId w:val="10"/>
        </w:numPr>
        <w:ind w:left="426"/>
        <w:jc w:val="both"/>
        <w:rPr>
          <w:rFonts w:ascii="Arial" w:hAnsi="Arial" w:cs="Arial"/>
          <w:sz w:val="22"/>
          <w:szCs w:val="22"/>
          <w:highlight w:val="yellow"/>
          <w:lang w:val="en-GB"/>
        </w:rPr>
      </w:pPr>
      <w:r w:rsidRPr="00BC2375">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A1E696C" w:rsidR="00AE5B6F" w:rsidRDefault="00DE49F8" w:rsidP="00DE49F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423 of the Insolvency Act 1986</w:t>
      </w:r>
      <w:r w:rsidR="00077629">
        <w:rPr>
          <w:rFonts w:ascii="Arial" w:hAnsi="Arial" w:cs="Arial"/>
          <w:color w:val="7B7B7B" w:themeColor="accent3" w:themeShade="BF"/>
          <w:sz w:val="22"/>
          <w:szCs w:val="22"/>
          <w:lang w:val="en-GB"/>
        </w:rPr>
        <w:t xml:space="preserve"> (“IA”)</w:t>
      </w:r>
      <w:r>
        <w:rPr>
          <w:rFonts w:ascii="Arial" w:hAnsi="Arial" w:cs="Arial"/>
          <w:color w:val="7B7B7B" w:themeColor="accent3" w:themeShade="BF"/>
          <w:sz w:val="22"/>
          <w:szCs w:val="22"/>
          <w:lang w:val="en-GB"/>
        </w:rPr>
        <w:t xml:space="preserve"> relates to </w:t>
      </w:r>
      <w:r w:rsidR="00077629">
        <w:rPr>
          <w:rFonts w:ascii="Arial" w:hAnsi="Arial" w:cs="Arial"/>
          <w:color w:val="7B7B7B" w:themeColor="accent3" w:themeShade="BF"/>
          <w:sz w:val="22"/>
          <w:szCs w:val="22"/>
          <w:lang w:val="en-GB"/>
        </w:rPr>
        <w:t>transactions defrauding creditors. Those who may bring an action thereunder are</w:t>
      </w:r>
      <w:r w:rsidR="00BA7337">
        <w:rPr>
          <w:rFonts w:ascii="Arial" w:hAnsi="Arial" w:cs="Arial"/>
          <w:color w:val="7B7B7B" w:themeColor="accent3" w:themeShade="BF"/>
          <w:sz w:val="22"/>
          <w:szCs w:val="22"/>
          <w:lang w:val="en-GB"/>
        </w:rPr>
        <w:t xml:space="preserve"> (see section 424 IA)</w:t>
      </w:r>
      <w:r w:rsidR="00077629">
        <w:rPr>
          <w:rFonts w:ascii="Arial" w:hAnsi="Arial" w:cs="Arial"/>
          <w:color w:val="7B7B7B" w:themeColor="accent3" w:themeShade="BF"/>
          <w:sz w:val="22"/>
          <w:szCs w:val="22"/>
          <w:lang w:val="en-GB"/>
        </w:rPr>
        <w:t>:</w:t>
      </w:r>
    </w:p>
    <w:p w14:paraId="62400250" w14:textId="4CA59D30" w:rsidR="00077629" w:rsidRDefault="00077629" w:rsidP="00077629">
      <w:pPr>
        <w:pStyle w:val="ListParagraph"/>
        <w:ind w:left="1080"/>
        <w:jc w:val="both"/>
        <w:rPr>
          <w:rFonts w:ascii="Arial" w:hAnsi="Arial" w:cs="Arial"/>
          <w:color w:val="7B7B7B" w:themeColor="accent3" w:themeShade="BF"/>
          <w:sz w:val="22"/>
          <w:szCs w:val="22"/>
          <w:lang w:val="en-GB"/>
        </w:rPr>
      </w:pPr>
    </w:p>
    <w:p w14:paraId="088C2A62" w14:textId="46546653" w:rsidR="00077629" w:rsidRDefault="00077629" w:rsidP="0007762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debtor company is being wound up or is in administration, the official receiver, the liquidator or the administrator (with the leave of the court) or a victim of the transaction;</w:t>
      </w:r>
    </w:p>
    <w:p w14:paraId="2EE657EB" w14:textId="013A1FCC" w:rsidR="00077629" w:rsidRDefault="00077629" w:rsidP="0007762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victim is bound by a corporate voluntary arrangement (CVA), the supervisor of the CVA or a victim of the transaction (whether or not bound by the CVA); or</w:t>
      </w:r>
    </w:p>
    <w:p w14:paraId="2DE27F98" w14:textId="345C4D87" w:rsidR="00077629" w:rsidRPr="00DE49F8" w:rsidRDefault="00077629" w:rsidP="0007762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other case, a victim of the transaction.</w:t>
      </w:r>
    </w:p>
    <w:p w14:paraId="22C610C9" w14:textId="5EE950A7" w:rsidR="00DE03AF" w:rsidRDefault="00DE03AF" w:rsidP="002A37BB">
      <w:pPr>
        <w:jc w:val="both"/>
        <w:rPr>
          <w:rFonts w:ascii="Arial" w:hAnsi="Arial" w:cs="Arial"/>
          <w:sz w:val="22"/>
          <w:szCs w:val="22"/>
        </w:rPr>
      </w:pPr>
    </w:p>
    <w:p w14:paraId="37C7F90D" w14:textId="62D36853" w:rsidR="00077629" w:rsidRDefault="006F6B1F" w:rsidP="00077629">
      <w:pPr>
        <w:ind w:left="1080"/>
        <w:jc w:val="both"/>
        <w:rPr>
          <w:rFonts w:ascii="Arial" w:hAnsi="Arial" w:cs="Arial"/>
          <w:color w:val="808080" w:themeColor="background1" w:themeShade="80"/>
          <w:sz w:val="22"/>
          <w:szCs w:val="22"/>
        </w:rPr>
      </w:pPr>
      <w:r w:rsidRPr="006F6B1F">
        <w:rPr>
          <w:rFonts w:ascii="Arial" w:hAnsi="Arial" w:cs="Arial"/>
          <w:color w:val="808080" w:themeColor="background1" w:themeShade="80"/>
          <w:sz w:val="22"/>
          <w:szCs w:val="22"/>
        </w:rPr>
        <w:t>Victim of the transaction</w:t>
      </w:r>
      <w:r>
        <w:rPr>
          <w:rFonts w:ascii="Arial" w:hAnsi="Arial" w:cs="Arial"/>
          <w:color w:val="808080" w:themeColor="background1" w:themeShade="80"/>
          <w:sz w:val="22"/>
          <w:szCs w:val="22"/>
        </w:rPr>
        <w:t xml:space="preserve"> refers to a person who is, or is capable of being, prejudiced by the transaction (see subsection 423(5) IA).</w:t>
      </w:r>
    </w:p>
    <w:p w14:paraId="635627DE" w14:textId="7B44692E" w:rsidR="006F6B1F" w:rsidRDefault="006F6B1F" w:rsidP="006F6B1F">
      <w:pPr>
        <w:jc w:val="both"/>
        <w:rPr>
          <w:rFonts w:ascii="Arial" w:hAnsi="Arial" w:cs="Arial"/>
          <w:color w:val="808080" w:themeColor="background1" w:themeShade="80"/>
          <w:sz w:val="22"/>
          <w:szCs w:val="22"/>
        </w:rPr>
      </w:pPr>
    </w:p>
    <w:p w14:paraId="0A83FB61" w14:textId="4BBF0B02" w:rsidR="006F6B1F" w:rsidRDefault="00636275" w:rsidP="006F6B1F">
      <w:pPr>
        <w:pStyle w:val="ListParagraph"/>
        <w:numPr>
          <w:ilvl w:val="0"/>
          <w:numId w:val="1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Secretary of State may bring an action under section 6 of the Company Directors Disqualification Act 1986. </w:t>
      </w:r>
    </w:p>
    <w:p w14:paraId="28C0F669" w14:textId="77777777" w:rsidR="00636275" w:rsidRDefault="00636275" w:rsidP="00636275">
      <w:pPr>
        <w:pStyle w:val="ListParagraph"/>
        <w:ind w:left="1080"/>
        <w:jc w:val="both"/>
        <w:rPr>
          <w:rFonts w:ascii="Arial" w:hAnsi="Arial" w:cs="Arial"/>
          <w:color w:val="808080" w:themeColor="background1" w:themeShade="80"/>
          <w:sz w:val="22"/>
          <w:szCs w:val="22"/>
        </w:rPr>
      </w:pPr>
    </w:p>
    <w:p w14:paraId="69E97291" w14:textId="506B90D3" w:rsidR="00077629" w:rsidRPr="00BA7337" w:rsidRDefault="00BA7337" w:rsidP="00BA7337">
      <w:pPr>
        <w:pStyle w:val="ListParagraph"/>
        <w:numPr>
          <w:ilvl w:val="0"/>
          <w:numId w:val="1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administrator may bring an action under s</w:t>
      </w:r>
      <w:r w:rsidR="00636275">
        <w:rPr>
          <w:rFonts w:ascii="Arial" w:hAnsi="Arial" w:cs="Arial"/>
          <w:color w:val="808080" w:themeColor="background1" w:themeShade="80"/>
          <w:sz w:val="22"/>
          <w:szCs w:val="22"/>
        </w:rPr>
        <w:t>ection 246ZB IA</w:t>
      </w:r>
      <w:r>
        <w:rPr>
          <w:rFonts w:ascii="Arial" w:hAnsi="Arial" w:cs="Arial"/>
          <w:color w:val="808080" w:themeColor="background1" w:themeShade="80"/>
          <w:sz w:val="22"/>
          <w:szCs w:val="22"/>
        </w:rPr>
        <w:t>, which</w:t>
      </w:r>
      <w:r w:rsidR="00636275">
        <w:rPr>
          <w:rFonts w:ascii="Arial" w:hAnsi="Arial" w:cs="Arial"/>
          <w:color w:val="808080" w:themeColor="background1" w:themeShade="80"/>
          <w:sz w:val="22"/>
          <w:szCs w:val="22"/>
        </w:rPr>
        <w:t xml:space="preserve"> relates to </w:t>
      </w:r>
      <w:r>
        <w:rPr>
          <w:rFonts w:ascii="Arial" w:hAnsi="Arial" w:cs="Arial"/>
          <w:color w:val="808080" w:themeColor="background1" w:themeShade="80"/>
          <w:sz w:val="22"/>
          <w:szCs w:val="22"/>
        </w:rPr>
        <w:t xml:space="preserve">action for </w:t>
      </w:r>
      <w:r w:rsidR="00636275">
        <w:rPr>
          <w:rFonts w:ascii="Arial" w:hAnsi="Arial" w:cs="Arial"/>
          <w:color w:val="808080" w:themeColor="background1" w:themeShade="80"/>
          <w:sz w:val="22"/>
          <w:szCs w:val="22"/>
        </w:rPr>
        <w:t>wrongful trading</w:t>
      </w:r>
      <w:r>
        <w:rPr>
          <w:rFonts w:ascii="Arial" w:hAnsi="Arial" w:cs="Arial"/>
          <w:color w:val="808080" w:themeColor="background1" w:themeShade="80"/>
          <w:sz w:val="22"/>
          <w:szCs w:val="22"/>
        </w:rPr>
        <w:t>.</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48FFA816" w:rsidR="00FF5098" w:rsidRDefault="00FA53E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qualifying decision procedures are set out in rule 15.3 of the Insolvency Rules 2016. The 5 prescribed qualifying decision procedures are:</w:t>
      </w:r>
    </w:p>
    <w:p w14:paraId="0A21B23D" w14:textId="49BF9664" w:rsidR="00FA53E4" w:rsidRDefault="00FA53E4" w:rsidP="00FF5098">
      <w:pPr>
        <w:jc w:val="both"/>
        <w:rPr>
          <w:rFonts w:ascii="Arial" w:hAnsi="Arial" w:cs="Arial"/>
          <w:color w:val="7B7B7B" w:themeColor="accent3" w:themeShade="BF"/>
          <w:sz w:val="22"/>
          <w:szCs w:val="22"/>
          <w:lang w:val="en-GB"/>
        </w:rPr>
      </w:pPr>
    </w:p>
    <w:p w14:paraId="55F95810" w14:textId="79638E6A" w:rsidR="00FA53E4" w:rsidRDefault="00FA53E4" w:rsidP="00FA53E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4D0E5F44" w14:textId="74459FC4" w:rsidR="00FA53E4" w:rsidRDefault="00FA53E4" w:rsidP="00FA53E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2E0F1418" w14:textId="2BD9C9EC" w:rsidR="00FA53E4" w:rsidRDefault="00FA53E4" w:rsidP="00FA53E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5D242F9C" w14:textId="4710B75D" w:rsidR="00FA53E4" w:rsidRDefault="00FA53E4" w:rsidP="00FA53E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67573DF4" w14:textId="1F2FAD15" w:rsidR="00FA53E4" w:rsidRPr="00FA53E4" w:rsidRDefault="00FA53E4" w:rsidP="00FA53E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AA14F3B" w:rsidR="00FF5098" w:rsidRDefault="00A7145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administrator who wishes to continue to operate the business of the company in administration may require the continued supply of </w:t>
      </w:r>
      <w:r w:rsidR="007A4BBA">
        <w:rPr>
          <w:rFonts w:ascii="Arial" w:hAnsi="Arial" w:cs="Arial"/>
          <w:color w:val="7B7B7B" w:themeColor="accent3" w:themeShade="BF"/>
          <w:sz w:val="22"/>
          <w:szCs w:val="22"/>
          <w:lang w:val="en-GB"/>
        </w:rPr>
        <w:t xml:space="preserve">essential goods and services of </w:t>
      </w:r>
      <w:r>
        <w:rPr>
          <w:rFonts w:ascii="Arial" w:hAnsi="Arial" w:cs="Arial"/>
          <w:color w:val="7B7B7B" w:themeColor="accent3" w:themeShade="BF"/>
          <w:sz w:val="22"/>
          <w:szCs w:val="22"/>
          <w:lang w:val="en-GB"/>
        </w:rPr>
        <w:t xml:space="preserve">gas, water, electricity and communications services under section 233 of the Insolvency Act 1986 (IA). </w:t>
      </w:r>
      <w:r w:rsidR="000A7854">
        <w:rPr>
          <w:rFonts w:ascii="Arial" w:hAnsi="Arial" w:cs="Arial"/>
          <w:color w:val="7B7B7B" w:themeColor="accent3" w:themeShade="BF"/>
          <w:sz w:val="22"/>
          <w:szCs w:val="22"/>
          <w:lang w:val="en-GB"/>
        </w:rPr>
        <w:lastRenderedPageBreak/>
        <w:t>This includes the supply of goods and services of point of sale terminals, computer hardware and software, information, advice and technical assistance in connection with the use of information technology, data storage and processing and website hosting (subsection 233(3A) IA).</w:t>
      </w:r>
      <w:r w:rsidR="000C313D">
        <w:rPr>
          <w:rFonts w:ascii="Arial" w:hAnsi="Arial" w:cs="Arial"/>
          <w:color w:val="7B7B7B" w:themeColor="accent3" w:themeShade="BF"/>
          <w:sz w:val="22"/>
          <w:szCs w:val="22"/>
          <w:lang w:val="en-GB"/>
        </w:rPr>
        <w:t xml:space="preserve"> The supplier may make it a condition of the giving of the supply of the goods and services that the administrator personally guarantees the payment of any charges in respect of the supply, but cannot make it a condition (or do anything to that effect) that any outstanding charges </w:t>
      </w:r>
      <w:r w:rsidR="009F340C">
        <w:rPr>
          <w:rFonts w:ascii="Arial" w:hAnsi="Arial" w:cs="Arial"/>
          <w:color w:val="7B7B7B" w:themeColor="accent3" w:themeShade="BF"/>
          <w:sz w:val="22"/>
          <w:szCs w:val="22"/>
          <w:lang w:val="en-GB"/>
        </w:rPr>
        <w:t xml:space="preserve">be paid </w:t>
      </w:r>
      <w:r w:rsidR="000C313D">
        <w:rPr>
          <w:rFonts w:ascii="Arial" w:hAnsi="Arial" w:cs="Arial"/>
          <w:color w:val="7B7B7B" w:themeColor="accent3" w:themeShade="BF"/>
          <w:sz w:val="22"/>
          <w:szCs w:val="22"/>
          <w:lang w:val="en-GB"/>
        </w:rPr>
        <w:t xml:space="preserve">in respect of a supply given to the company before the company entered into administration. </w:t>
      </w:r>
    </w:p>
    <w:p w14:paraId="28BE8046" w14:textId="2F4BC284" w:rsidR="009F340C" w:rsidRDefault="009F340C" w:rsidP="00FF5098">
      <w:pPr>
        <w:jc w:val="both"/>
        <w:rPr>
          <w:rFonts w:ascii="Arial" w:hAnsi="Arial" w:cs="Arial"/>
          <w:color w:val="7B7B7B" w:themeColor="accent3" w:themeShade="BF"/>
          <w:sz w:val="22"/>
          <w:szCs w:val="22"/>
          <w:lang w:val="en-GB"/>
        </w:rPr>
      </w:pPr>
    </w:p>
    <w:p w14:paraId="08720791" w14:textId="441C0396" w:rsidR="009F340C" w:rsidRDefault="009F34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007A4BBA">
        <w:rPr>
          <w:rFonts w:ascii="Arial" w:hAnsi="Arial" w:cs="Arial"/>
          <w:color w:val="7B7B7B" w:themeColor="accent3" w:themeShade="BF"/>
          <w:sz w:val="22"/>
          <w:szCs w:val="22"/>
          <w:lang w:val="en-GB"/>
        </w:rPr>
        <w:t xml:space="preserve">section 233A IA provides that an insolvency-related term of a contract for the supply of essential goods or services (i.e. a contract for a supply as covered in section 233(3) IA) would </w:t>
      </w:r>
      <w:r w:rsidR="00C30A9E">
        <w:rPr>
          <w:rFonts w:ascii="Arial" w:hAnsi="Arial" w:cs="Arial"/>
          <w:color w:val="7B7B7B" w:themeColor="accent3" w:themeShade="BF"/>
          <w:sz w:val="22"/>
          <w:szCs w:val="22"/>
          <w:lang w:val="en-GB"/>
        </w:rPr>
        <w:t xml:space="preserve">generally </w:t>
      </w:r>
      <w:r w:rsidR="007A4BBA">
        <w:rPr>
          <w:rFonts w:ascii="Arial" w:hAnsi="Arial" w:cs="Arial"/>
          <w:color w:val="7B7B7B" w:themeColor="accent3" w:themeShade="BF"/>
          <w:sz w:val="22"/>
          <w:szCs w:val="22"/>
          <w:lang w:val="en-GB"/>
        </w:rPr>
        <w:t xml:space="preserve">cease to have effect upon the company entering administration. </w:t>
      </w:r>
      <w:r w:rsidR="00C30A9E">
        <w:rPr>
          <w:rFonts w:ascii="Arial" w:hAnsi="Arial" w:cs="Arial"/>
          <w:color w:val="7B7B7B" w:themeColor="accent3" w:themeShade="BF"/>
          <w:sz w:val="22"/>
          <w:szCs w:val="22"/>
          <w:lang w:val="en-GB"/>
        </w:rPr>
        <w:t xml:space="preserve">This would prevent a supplier from terminating the supply, varying the supply terms or requiring higher payments for continued supply. </w:t>
      </w:r>
      <w:r w:rsidR="00F72216">
        <w:rPr>
          <w:rFonts w:ascii="Arial" w:hAnsi="Arial" w:cs="Arial"/>
          <w:color w:val="7B7B7B" w:themeColor="accent3" w:themeShade="BF"/>
          <w:sz w:val="22"/>
          <w:szCs w:val="22"/>
          <w:lang w:val="en-GB"/>
        </w:rPr>
        <w:t>The supplier may still terminate the contract if the administrator consents to the termination, the court grants permission for termination, charges for the supply incurred after the company entered into administration are not paid within 28 days from due date, or where the administrator fails to give guarantee of payment for continuation of supply.</w:t>
      </w:r>
    </w:p>
    <w:p w14:paraId="01C27959" w14:textId="1CB5F55F" w:rsidR="00F72216" w:rsidRDefault="00F72216" w:rsidP="00FF5098">
      <w:pPr>
        <w:jc w:val="both"/>
        <w:rPr>
          <w:rFonts w:ascii="Arial" w:hAnsi="Arial" w:cs="Arial"/>
          <w:color w:val="7B7B7B" w:themeColor="accent3" w:themeShade="BF"/>
          <w:sz w:val="22"/>
          <w:szCs w:val="22"/>
          <w:lang w:val="en-GB"/>
        </w:rPr>
      </w:pPr>
    </w:p>
    <w:p w14:paraId="6DE0A7D7" w14:textId="77777777" w:rsidR="006853D4" w:rsidRDefault="00955E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section 233B IA provides that clauses which entitles</w:t>
      </w:r>
      <w:r w:rsidR="006853D4">
        <w:rPr>
          <w:rFonts w:ascii="Arial" w:hAnsi="Arial" w:cs="Arial"/>
          <w:color w:val="7B7B7B" w:themeColor="accent3" w:themeShade="BF"/>
          <w:sz w:val="22"/>
          <w:szCs w:val="22"/>
          <w:lang w:val="en-GB"/>
        </w:rPr>
        <w:t>:</w:t>
      </w:r>
    </w:p>
    <w:p w14:paraId="6781C21A" w14:textId="77777777" w:rsidR="006853D4" w:rsidRDefault="006853D4" w:rsidP="00FF5098">
      <w:pPr>
        <w:jc w:val="both"/>
        <w:rPr>
          <w:rFonts w:ascii="Arial" w:hAnsi="Arial" w:cs="Arial"/>
          <w:color w:val="7B7B7B" w:themeColor="accent3" w:themeShade="BF"/>
          <w:sz w:val="22"/>
          <w:szCs w:val="22"/>
          <w:lang w:val="en-GB"/>
        </w:rPr>
      </w:pPr>
    </w:p>
    <w:p w14:paraId="2DD13580" w14:textId="31CD87E6" w:rsidR="006853D4" w:rsidRDefault="006853D4" w:rsidP="006853D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955E0C" w:rsidRPr="006853D4">
        <w:rPr>
          <w:rFonts w:ascii="Arial" w:hAnsi="Arial" w:cs="Arial"/>
          <w:color w:val="7B7B7B" w:themeColor="accent3" w:themeShade="BF"/>
          <w:sz w:val="22"/>
          <w:szCs w:val="22"/>
          <w:lang w:val="en-GB"/>
        </w:rPr>
        <w:t xml:space="preserve"> </w:t>
      </w:r>
      <w:r w:rsidRPr="006853D4">
        <w:rPr>
          <w:rFonts w:ascii="Arial" w:hAnsi="Arial" w:cs="Arial"/>
          <w:color w:val="7B7B7B" w:themeColor="accent3" w:themeShade="BF"/>
          <w:sz w:val="22"/>
          <w:szCs w:val="22"/>
          <w:lang w:val="en-GB"/>
        </w:rPr>
        <w:t>contract for the supply of goods and services</w:t>
      </w:r>
      <w:r>
        <w:rPr>
          <w:rFonts w:ascii="Arial" w:hAnsi="Arial" w:cs="Arial"/>
          <w:color w:val="7B7B7B" w:themeColor="accent3" w:themeShade="BF"/>
          <w:sz w:val="22"/>
          <w:szCs w:val="22"/>
          <w:lang w:val="en-GB"/>
        </w:rPr>
        <w:t xml:space="preserve"> to be terminated; or</w:t>
      </w:r>
    </w:p>
    <w:p w14:paraId="0C56826F" w14:textId="29590ABD" w:rsidR="006853D4" w:rsidRDefault="006853D4" w:rsidP="006853D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6853D4">
        <w:rPr>
          <w:rFonts w:ascii="Arial" w:hAnsi="Arial" w:cs="Arial"/>
          <w:color w:val="7B7B7B" w:themeColor="accent3" w:themeShade="BF"/>
          <w:sz w:val="22"/>
          <w:szCs w:val="22"/>
          <w:lang w:val="en-GB"/>
        </w:rPr>
        <w:t xml:space="preserve"> </w:t>
      </w:r>
      <w:r w:rsidR="00955E0C" w:rsidRPr="006853D4">
        <w:rPr>
          <w:rFonts w:ascii="Arial" w:hAnsi="Arial" w:cs="Arial"/>
          <w:color w:val="7B7B7B" w:themeColor="accent3" w:themeShade="BF"/>
          <w:sz w:val="22"/>
          <w:szCs w:val="22"/>
          <w:lang w:val="en-GB"/>
        </w:rPr>
        <w:t>supplier of goods or services to terminate or do any other thing to the contract</w:t>
      </w:r>
    </w:p>
    <w:p w14:paraId="7A1F09DA" w14:textId="77777777" w:rsidR="006853D4" w:rsidRDefault="006853D4" w:rsidP="006853D4">
      <w:pPr>
        <w:jc w:val="both"/>
        <w:rPr>
          <w:rFonts w:ascii="Arial" w:hAnsi="Arial" w:cs="Arial"/>
          <w:color w:val="7B7B7B" w:themeColor="accent3" w:themeShade="BF"/>
          <w:sz w:val="22"/>
          <w:szCs w:val="22"/>
          <w:lang w:val="en-GB"/>
        </w:rPr>
      </w:pPr>
    </w:p>
    <w:p w14:paraId="0B92ED2C" w14:textId="24E63874" w:rsidR="00F72216" w:rsidRDefault="00955E0C" w:rsidP="006853D4">
      <w:pPr>
        <w:jc w:val="both"/>
        <w:rPr>
          <w:rFonts w:ascii="Arial" w:hAnsi="Arial" w:cs="Arial"/>
          <w:color w:val="7B7B7B" w:themeColor="accent3" w:themeShade="BF"/>
          <w:sz w:val="22"/>
          <w:szCs w:val="22"/>
          <w:lang w:val="en-GB"/>
        </w:rPr>
      </w:pPr>
      <w:r w:rsidRPr="006853D4">
        <w:rPr>
          <w:rFonts w:ascii="Arial" w:hAnsi="Arial" w:cs="Arial"/>
          <w:color w:val="7B7B7B" w:themeColor="accent3" w:themeShade="BF"/>
          <w:sz w:val="22"/>
          <w:szCs w:val="22"/>
          <w:lang w:val="en-GB"/>
        </w:rPr>
        <w:t>if the company is subject to a formal insolvency procedure (including administration), will cease to have effect when the company enters into the formal insolvency procedure.</w:t>
      </w:r>
      <w:r w:rsidR="006853D4">
        <w:rPr>
          <w:rFonts w:ascii="Arial" w:hAnsi="Arial" w:cs="Arial"/>
          <w:color w:val="7B7B7B" w:themeColor="accent3" w:themeShade="BF"/>
          <w:sz w:val="22"/>
          <w:szCs w:val="22"/>
          <w:lang w:val="en-GB"/>
        </w:rPr>
        <w:t xml:space="preserve"> The supplier may still terminate the contract if the administrator or the company consents to the termination (as the case may be), or where the court grants permission for the termination if it is satisfied that the continuation of the contract would cause the supplier hardship. </w:t>
      </w:r>
    </w:p>
    <w:p w14:paraId="2F107E7A" w14:textId="26D0DAF9" w:rsidR="006853D4" w:rsidRDefault="006853D4" w:rsidP="006853D4">
      <w:pPr>
        <w:jc w:val="both"/>
        <w:rPr>
          <w:rFonts w:ascii="Arial" w:hAnsi="Arial" w:cs="Arial"/>
          <w:color w:val="7B7B7B" w:themeColor="accent3" w:themeShade="BF"/>
          <w:sz w:val="22"/>
          <w:szCs w:val="22"/>
          <w:lang w:val="en-GB"/>
        </w:rPr>
      </w:pPr>
    </w:p>
    <w:p w14:paraId="356D5554" w14:textId="1D99E2F5" w:rsidR="006853D4" w:rsidRPr="006853D4" w:rsidRDefault="006853D4" w:rsidP="006853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Unlike the specific</w:t>
      </w:r>
      <w:r w:rsidR="001A2CC6">
        <w:rPr>
          <w:rFonts w:ascii="Arial" w:hAnsi="Arial" w:cs="Arial"/>
          <w:color w:val="7B7B7B" w:themeColor="accent3" w:themeShade="BF"/>
          <w:sz w:val="22"/>
          <w:szCs w:val="22"/>
          <w:lang w:val="en-GB"/>
        </w:rPr>
        <w:t xml:space="preserve"> goods and services in</w:t>
      </w:r>
      <w:r>
        <w:rPr>
          <w:rFonts w:ascii="Arial" w:hAnsi="Arial" w:cs="Arial"/>
          <w:color w:val="7B7B7B" w:themeColor="accent3" w:themeShade="BF"/>
          <w:sz w:val="22"/>
          <w:szCs w:val="22"/>
          <w:lang w:val="en-GB"/>
        </w:rPr>
        <w:t xml:space="preserve"> sections 233 and 233A, section 233B IA applies to all suppliers except where specifically </w:t>
      </w:r>
      <w:r w:rsidR="001A2CC6">
        <w:rPr>
          <w:rFonts w:ascii="Arial" w:hAnsi="Arial" w:cs="Arial"/>
          <w:color w:val="7B7B7B" w:themeColor="accent3" w:themeShade="BF"/>
          <w:sz w:val="22"/>
          <w:szCs w:val="22"/>
          <w:lang w:val="en-GB"/>
        </w:rPr>
        <w:t>excluded or exempted. Such exclusions include insurers, banks, electronic money institutions, investment banks and investment firms, payment institutions, operators of payment systems and infrastructure providers, recognised investment exchanges, securitisation companies and overseas activities (see schedule 4ZZA of IA)</w:t>
      </w:r>
      <w:r w:rsidR="00DF387B">
        <w:rPr>
          <w:rFonts w:ascii="Arial" w:hAnsi="Arial" w:cs="Arial"/>
          <w:color w:val="7B7B7B" w:themeColor="accent3" w:themeShade="BF"/>
          <w:sz w:val="22"/>
          <w:szCs w:val="22"/>
          <w:lang w:val="en-GB"/>
        </w:rPr>
        <w:t>.</w:t>
      </w:r>
    </w:p>
    <w:p w14:paraId="78A88EA7" w14:textId="77777777" w:rsidR="00FF5098" w:rsidRPr="00FF5098" w:rsidRDefault="00FF5098" w:rsidP="004D70A6">
      <w:pPr>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09424155" w:rsidR="00DF75F8" w:rsidRDefault="00DF75F8" w:rsidP="002A37BB">
      <w:pPr>
        <w:jc w:val="both"/>
        <w:rPr>
          <w:rFonts w:ascii="Arial" w:hAnsi="Arial" w:cs="Arial"/>
          <w:sz w:val="22"/>
          <w:szCs w:val="22"/>
        </w:rPr>
      </w:pPr>
    </w:p>
    <w:p w14:paraId="4DD1117A" w14:textId="6F386CCE" w:rsidR="007C6266" w:rsidRPr="007C6266" w:rsidRDefault="007C6266" w:rsidP="002A37BB">
      <w:pPr>
        <w:jc w:val="both"/>
        <w:rPr>
          <w:rFonts w:ascii="Arial" w:hAnsi="Arial" w:cs="Arial"/>
          <w:color w:val="808080" w:themeColor="background1" w:themeShade="80"/>
          <w:sz w:val="22"/>
          <w:szCs w:val="22"/>
          <w:u w:val="single"/>
        </w:rPr>
      </w:pPr>
      <w:r w:rsidRPr="007C6266">
        <w:rPr>
          <w:rFonts w:ascii="Arial" w:hAnsi="Arial" w:cs="Arial"/>
          <w:color w:val="808080" w:themeColor="background1" w:themeShade="80"/>
          <w:sz w:val="22"/>
          <w:szCs w:val="22"/>
          <w:u w:val="single"/>
        </w:rPr>
        <w:t>Assets realized outside formal insolvency procedure</w:t>
      </w:r>
    </w:p>
    <w:p w14:paraId="34D9F84F" w14:textId="77777777" w:rsidR="007C6266" w:rsidRPr="002A37BB" w:rsidRDefault="007C6266" w:rsidP="002A37BB">
      <w:pPr>
        <w:jc w:val="both"/>
        <w:rPr>
          <w:rFonts w:ascii="Arial" w:hAnsi="Arial" w:cs="Arial"/>
          <w:sz w:val="22"/>
          <w:szCs w:val="22"/>
        </w:rPr>
      </w:pPr>
    </w:p>
    <w:p w14:paraId="416B3334" w14:textId="11EF7AD4" w:rsidR="00FF5098" w:rsidRDefault="005D187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outset, </w:t>
      </w:r>
      <w:r w:rsidR="00CA48EE">
        <w:rPr>
          <w:rFonts w:ascii="Arial" w:hAnsi="Arial" w:cs="Arial"/>
          <w:color w:val="7B7B7B" w:themeColor="accent3" w:themeShade="BF"/>
          <w:sz w:val="22"/>
          <w:szCs w:val="22"/>
          <w:lang w:val="en-GB"/>
        </w:rPr>
        <w:t xml:space="preserve">the liquidator will not be entitled to realise </w:t>
      </w:r>
      <w:r w:rsidR="009F7636">
        <w:rPr>
          <w:rFonts w:ascii="Arial" w:hAnsi="Arial" w:cs="Arial"/>
          <w:color w:val="7B7B7B" w:themeColor="accent3" w:themeShade="BF"/>
          <w:sz w:val="22"/>
          <w:szCs w:val="22"/>
          <w:lang w:val="en-GB"/>
        </w:rPr>
        <w:t>book debts</w:t>
      </w:r>
      <w:r w:rsidR="00CA48EE">
        <w:rPr>
          <w:rFonts w:ascii="Arial" w:hAnsi="Arial" w:cs="Arial"/>
          <w:color w:val="7B7B7B" w:themeColor="accent3" w:themeShade="BF"/>
          <w:sz w:val="22"/>
          <w:szCs w:val="22"/>
          <w:lang w:val="en-GB"/>
        </w:rPr>
        <w:t xml:space="preserve"> which </w:t>
      </w:r>
      <w:r w:rsidR="009F7636">
        <w:rPr>
          <w:rFonts w:ascii="Arial" w:hAnsi="Arial" w:cs="Arial"/>
          <w:color w:val="7B7B7B" w:themeColor="accent3" w:themeShade="BF"/>
          <w:sz w:val="22"/>
          <w:szCs w:val="22"/>
          <w:lang w:val="en-GB"/>
        </w:rPr>
        <w:t xml:space="preserve">have been sold and effectively assigned to a receivables financier, or assets which </w:t>
      </w:r>
      <w:r w:rsidR="00CA48EE">
        <w:rPr>
          <w:rFonts w:ascii="Arial" w:hAnsi="Arial" w:cs="Arial"/>
          <w:color w:val="7B7B7B" w:themeColor="accent3" w:themeShade="BF"/>
          <w:sz w:val="22"/>
          <w:szCs w:val="22"/>
          <w:lang w:val="en-GB"/>
        </w:rPr>
        <w:t xml:space="preserve">are subject to hire purchase or retention of title contracts or other similar arrangements where the creditor has legal ownership of the asset until it is fully paid for. </w:t>
      </w:r>
      <w:r w:rsidR="009F7636">
        <w:rPr>
          <w:rFonts w:ascii="Arial" w:hAnsi="Arial" w:cs="Arial"/>
          <w:color w:val="7B7B7B" w:themeColor="accent3" w:themeShade="BF"/>
          <w:sz w:val="22"/>
          <w:szCs w:val="22"/>
          <w:lang w:val="en-GB"/>
        </w:rPr>
        <w:t xml:space="preserve">These assets are owned </w:t>
      </w:r>
      <w:r w:rsidR="00F575BE">
        <w:rPr>
          <w:rFonts w:ascii="Arial" w:hAnsi="Arial" w:cs="Arial"/>
          <w:color w:val="7B7B7B" w:themeColor="accent3" w:themeShade="BF"/>
          <w:sz w:val="22"/>
          <w:szCs w:val="22"/>
          <w:lang w:val="en-GB"/>
        </w:rPr>
        <w:t xml:space="preserve">by the receivables financiers and hire purchase creditors, </w:t>
      </w:r>
      <w:r w:rsidR="009F7636">
        <w:rPr>
          <w:rFonts w:ascii="Arial" w:hAnsi="Arial" w:cs="Arial"/>
          <w:color w:val="7B7B7B" w:themeColor="accent3" w:themeShade="BF"/>
          <w:sz w:val="22"/>
          <w:szCs w:val="22"/>
          <w:lang w:val="en-GB"/>
        </w:rPr>
        <w:t xml:space="preserve">and will usually be </w:t>
      </w:r>
      <w:r w:rsidR="00F575BE">
        <w:rPr>
          <w:rFonts w:ascii="Arial" w:hAnsi="Arial" w:cs="Arial"/>
          <w:color w:val="7B7B7B" w:themeColor="accent3" w:themeShade="BF"/>
          <w:sz w:val="22"/>
          <w:szCs w:val="22"/>
          <w:lang w:val="en-GB"/>
        </w:rPr>
        <w:t xml:space="preserve">possessed by the creditors and </w:t>
      </w:r>
      <w:r w:rsidR="009F7636">
        <w:rPr>
          <w:rFonts w:ascii="Arial" w:hAnsi="Arial" w:cs="Arial"/>
          <w:color w:val="7B7B7B" w:themeColor="accent3" w:themeShade="BF"/>
          <w:sz w:val="22"/>
          <w:szCs w:val="22"/>
          <w:lang w:val="en-GB"/>
        </w:rPr>
        <w:t>realised outside the formal insolvency procedure when the company is insolvent.</w:t>
      </w:r>
    </w:p>
    <w:p w14:paraId="3CFFB9BA" w14:textId="3984ECB0" w:rsidR="009F7636" w:rsidRDefault="009F7636" w:rsidP="00FF5098">
      <w:pPr>
        <w:jc w:val="both"/>
        <w:rPr>
          <w:rFonts w:ascii="Arial" w:hAnsi="Arial" w:cs="Arial"/>
          <w:color w:val="7B7B7B" w:themeColor="accent3" w:themeShade="BF"/>
          <w:sz w:val="22"/>
          <w:szCs w:val="22"/>
          <w:lang w:val="en-MY"/>
        </w:rPr>
      </w:pPr>
    </w:p>
    <w:p w14:paraId="3B78E6CB" w14:textId="7DA05796" w:rsidR="009F7636" w:rsidRDefault="009F7636" w:rsidP="00FF5098">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In a liquidation, holders of fixed charges will be paid first usually outside of the formal insolvency procedure. </w:t>
      </w:r>
    </w:p>
    <w:p w14:paraId="108AC12D" w14:textId="5D840571" w:rsidR="007C6266" w:rsidRDefault="007C6266" w:rsidP="00FF5098">
      <w:pPr>
        <w:jc w:val="both"/>
        <w:rPr>
          <w:rFonts w:ascii="Arial" w:hAnsi="Arial" w:cs="Arial"/>
          <w:color w:val="7B7B7B" w:themeColor="accent3" w:themeShade="BF"/>
          <w:sz w:val="22"/>
          <w:szCs w:val="22"/>
          <w:lang w:val="en-MY"/>
        </w:rPr>
      </w:pPr>
    </w:p>
    <w:p w14:paraId="2CD1B22B" w14:textId="77777777" w:rsidR="004D70A6" w:rsidRDefault="004D70A6" w:rsidP="00FF5098">
      <w:pPr>
        <w:jc w:val="both"/>
        <w:rPr>
          <w:rFonts w:ascii="Arial" w:hAnsi="Arial" w:cs="Arial"/>
          <w:color w:val="7B7B7B" w:themeColor="accent3" w:themeShade="BF"/>
          <w:sz w:val="22"/>
          <w:szCs w:val="22"/>
          <w:lang w:val="en-MY"/>
        </w:rPr>
      </w:pPr>
    </w:p>
    <w:p w14:paraId="0AF412C5" w14:textId="153479B9" w:rsidR="007C6266" w:rsidRPr="007C6266" w:rsidRDefault="007C6266" w:rsidP="00FF5098">
      <w:pPr>
        <w:jc w:val="both"/>
        <w:rPr>
          <w:rFonts w:ascii="Arial" w:hAnsi="Arial" w:cs="Arial"/>
          <w:color w:val="7B7B7B" w:themeColor="accent3" w:themeShade="BF"/>
          <w:sz w:val="22"/>
          <w:szCs w:val="22"/>
          <w:u w:val="single"/>
          <w:lang w:val="en-MY"/>
        </w:rPr>
      </w:pPr>
      <w:r w:rsidRPr="007C6266">
        <w:rPr>
          <w:rFonts w:ascii="Arial" w:hAnsi="Arial" w:cs="Arial"/>
          <w:color w:val="7B7B7B" w:themeColor="accent3" w:themeShade="BF"/>
          <w:sz w:val="22"/>
          <w:szCs w:val="22"/>
          <w:u w:val="single"/>
          <w:lang w:val="en-MY"/>
        </w:rPr>
        <w:lastRenderedPageBreak/>
        <w:t>Expenses incurred in winding-up</w:t>
      </w:r>
    </w:p>
    <w:p w14:paraId="7579DDAB" w14:textId="77777777" w:rsidR="007C6266" w:rsidRDefault="007C6266" w:rsidP="00FF5098">
      <w:pPr>
        <w:jc w:val="both"/>
        <w:rPr>
          <w:rFonts w:ascii="Arial" w:hAnsi="Arial" w:cs="Arial"/>
          <w:color w:val="7B7B7B" w:themeColor="accent3" w:themeShade="BF"/>
          <w:sz w:val="22"/>
          <w:szCs w:val="22"/>
          <w:lang w:val="en-MY"/>
        </w:rPr>
      </w:pPr>
    </w:p>
    <w:p w14:paraId="020B5D94" w14:textId="7D3077F6" w:rsidR="009570B4" w:rsidRDefault="00A86AF7" w:rsidP="00FF5098">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P</w:t>
      </w:r>
      <w:r w:rsidR="00F575BE">
        <w:rPr>
          <w:rFonts w:ascii="Arial" w:hAnsi="Arial" w:cs="Arial"/>
          <w:color w:val="7B7B7B" w:themeColor="accent3" w:themeShade="BF"/>
          <w:sz w:val="22"/>
          <w:szCs w:val="22"/>
          <w:lang w:val="en-MY"/>
        </w:rPr>
        <w:t>ayment for expenses incurred in the winding-up will have priority to all other claims</w:t>
      </w:r>
      <w:r w:rsidR="00806A8E">
        <w:rPr>
          <w:rFonts w:ascii="Arial" w:hAnsi="Arial" w:cs="Arial"/>
          <w:color w:val="7B7B7B" w:themeColor="accent3" w:themeShade="BF"/>
          <w:sz w:val="22"/>
          <w:szCs w:val="22"/>
          <w:lang w:val="en-MY"/>
        </w:rPr>
        <w:t xml:space="preserve"> (section 115 of the Insolvency Act (IA)</w:t>
      </w:r>
      <w:r w:rsidR="009570B4">
        <w:rPr>
          <w:rFonts w:ascii="Arial" w:hAnsi="Arial" w:cs="Arial"/>
          <w:color w:val="7B7B7B" w:themeColor="accent3" w:themeShade="BF"/>
          <w:sz w:val="22"/>
          <w:szCs w:val="22"/>
          <w:lang w:val="en-MY"/>
        </w:rPr>
        <w:t>, and rules 6.42 and 7.108 of the Insolvency Rules 2016</w:t>
      </w:r>
      <w:r w:rsidR="00806A8E">
        <w:rPr>
          <w:rFonts w:ascii="Arial" w:hAnsi="Arial" w:cs="Arial"/>
          <w:color w:val="7B7B7B" w:themeColor="accent3" w:themeShade="BF"/>
          <w:sz w:val="22"/>
          <w:szCs w:val="22"/>
          <w:lang w:val="en-MY"/>
        </w:rPr>
        <w:t>)</w:t>
      </w:r>
      <w:r w:rsidR="00F575BE">
        <w:rPr>
          <w:rFonts w:ascii="Arial" w:hAnsi="Arial" w:cs="Arial"/>
          <w:color w:val="7B7B7B" w:themeColor="accent3" w:themeShade="BF"/>
          <w:sz w:val="22"/>
          <w:szCs w:val="22"/>
          <w:lang w:val="en-MY"/>
        </w:rPr>
        <w:t>.</w:t>
      </w:r>
      <w:r w:rsidR="00806A8E">
        <w:rPr>
          <w:rFonts w:ascii="Arial" w:hAnsi="Arial" w:cs="Arial"/>
          <w:color w:val="7B7B7B" w:themeColor="accent3" w:themeShade="BF"/>
          <w:sz w:val="22"/>
          <w:szCs w:val="22"/>
          <w:lang w:val="en-MY"/>
        </w:rPr>
        <w:t xml:space="preserve"> T</w:t>
      </w:r>
      <w:r w:rsidR="009570B4">
        <w:rPr>
          <w:rFonts w:ascii="Arial" w:hAnsi="Arial" w:cs="Arial"/>
          <w:color w:val="7B7B7B" w:themeColor="accent3" w:themeShade="BF"/>
          <w:sz w:val="22"/>
          <w:szCs w:val="22"/>
          <w:lang w:val="en-MY"/>
        </w:rPr>
        <w:t>he expense of winding-up include the following payable in the below order of priority:</w:t>
      </w:r>
    </w:p>
    <w:p w14:paraId="072FAD85" w14:textId="77777777" w:rsidR="009570B4" w:rsidRDefault="009570B4" w:rsidP="00FF5098">
      <w:pPr>
        <w:jc w:val="both"/>
        <w:rPr>
          <w:rFonts w:ascii="Arial" w:hAnsi="Arial" w:cs="Arial"/>
          <w:color w:val="7B7B7B" w:themeColor="accent3" w:themeShade="BF"/>
          <w:sz w:val="22"/>
          <w:szCs w:val="22"/>
          <w:lang w:val="en-MY"/>
        </w:rPr>
      </w:pPr>
    </w:p>
    <w:p w14:paraId="497458F0" w14:textId="762EEB8C" w:rsidR="009570B4" w:rsidRDefault="009570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expenses that are properly chargeable or incurred by the liquidator in preserving, realising or getting in any assets of the company in the preparation, conduct or assignment of any legal proceedings;</w:t>
      </w:r>
    </w:p>
    <w:p w14:paraId="010F405E" w14:textId="77777777" w:rsidR="009570B4" w:rsidRDefault="009570B4" w:rsidP="009570B4">
      <w:pPr>
        <w:pStyle w:val="ListParagraph"/>
        <w:jc w:val="both"/>
        <w:rPr>
          <w:rFonts w:ascii="Arial" w:hAnsi="Arial" w:cs="Arial"/>
          <w:color w:val="7B7B7B" w:themeColor="accent3" w:themeShade="BF"/>
          <w:sz w:val="22"/>
          <w:szCs w:val="22"/>
          <w:lang w:val="en-MY"/>
        </w:rPr>
      </w:pPr>
    </w:p>
    <w:p w14:paraId="2EBB9C08" w14:textId="70741C51" w:rsidR="00F575BE" w:rsidRDefault="009570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cost of any security provided by a liquidator;</w:t>
      </w:r>
    </w:p>
    <w:p w14:paraId="1271D1BA" w14:textId="77777777" w:rsidR="009570B4" w:rsidRPr="009570B4" w:rsidRDefault="009570B4" w:rsidP="009570B4">
      <w:pPr>
        <w:pStyle w:val="ListParagraph"/>
        <w:rPr>
          <w:rFonts w:ascii="Arial" w:hAnsi="Arial" w:cs="Arial"/>
          <w:color w:val="7B7B7B" w:themeColor="accent3" w:themeShade="BF"/>
          <w:sz w:val="22"/>
          <w:szCs w:val="22"/>
          <w:lang w:val="en-MY"/>
        </w:rPr>
      </w:pPr>
    </w:p>
    <w:p w14:paraId="316F35DB" w14:textId="035D33F7" w:rsidR="009570B4" w:rsidRDefault="009570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costs of the petitioner;</w:t>
      </w:r>
    </w:p>
    <w:p w14:paraId="393CBCD3" w14:textId="77777777" w:rsidR="009570B4" w:rsidRPr="009570B4" w:rsidRDefault="009570B4" w:rsidP="009570B4">
      <w:pPr>
        <w:pStyle w:val="ListParagraph"/>
        <w:rPr>
          <w:rFonts w:ascii="Arial" w:hAnsi="Arial" w:cs="Arial"/>
          <w:color w:val="7B7B7B" w:themeColor="accent3" w:themeShade="BF"/>
          <w:sz w:val="22"/>
          <w:szCs w:val="22"/>
          <w:lang w:val="en-MY"/>
        </w:rPr>
      </w:pPr>
    </w:p>
    <w:p w14:paraId="6EA1335F" w14:textId="24E6EDBB" w:rsidR="009570B4" w:rsidRDefault="009570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amount payable to a person employed or authorised to assist in the preparation of a statement of affairs or of accounts;</w:t>
      </w:r>
    </w:p>
    <w:p w14:paraId="4FDA3E78" w14:textId="77777777" w:rsidR="009570B4" w:rsidRPr="009570B4" w:rsidRDefault="009570B4" w:rsidP="009570B4">
      <w:pPr>
        <w:pStyle w:val="ListParagraph"/>
        <w:rPr>
          <w:rFonts w:ascii="Arial" w:hAnsi="Arial" w:cs="Arial"/>
          <w:color w:val="7B7B7B" w:themeColor="accent3" w:themeShade="BF"/>
          <w:sz w:val="22"/>
          <w:szCs w:val="22"/>
          <w:lang w:val="en-MY"/>
        </w:rPr>
      </w:pPr>
    </w:p>
    <w:p w14:paraId="4A3AE118" w14:textId="418F0D5A" w:rsidR="009570B4" w:rsidRDefault="003039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necessary disbursements by the liquidator in the course of the administration of the winding-up (including any expenses incurred by members of the liquidation committee);</w:t>
      </w:r>
    </w:p>
    <w:p w14:paraId="24A314FB" w14:textId="77777777" w:rsidR="003039B4" w:rsidRPr="003039B4" w:rsidRDefault="003039B4" w:rsidP="003039B4">
      <w:pPr>
        <w:pStyle w:val="ListParagraph"/>
        <w:rPr>
          <w:rFonts w:ascii="Arial" w:hAnsi="Arial" w:cs="Arial"/>
          <w:color w:val="7B7B7B" w:themeColor="accent3" w:themeShade="BF"/>
          <w:sz w:val="22"/>
          <w:szCs w:val="22"/>
          <w:lang w:val="en-MY"/>
        </w:rPr>
      </w:pPr>
    </w:p>
    <w:p w14:paraId="28000A97" w14:textId="3AF66AE9" w:rsidR="003039B4" w:rsidRDefault="003039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remuneration or emoluments of any person employed by the liquidator to perform any services for the company;</w:t>
      </w:r>
    </w:p>
    <w:p w14:paraId="5CA3BEE1" w14:textId="77777777" w:rsidR="003039B4" w:rsidRPr="003039B4" w:rsidRDefault="003039B4" w:rsidP="003039B4">
      <w:pPr>
        <w:pStyle w:val="ListParagraph"/>
        <w:rPr>
          <w:rFonts w:ascii="Arial" w:hAnsi="Arial" w:cs="Arial"/>
          <w:color w:val="7B7B7B" w:themeColor="accent3" w:themeShade="BF"/>
          <w:sz w:val="22"/>
          <w:szCs w:val="22"/>
          <w:lang w:val="en-MY"/>
        </w:rPr>
      </w:pPr>
    </w:p>
    <w:p w14:paraId="1A702E0F" w14:textId="4B486690" w:rsidR="003039B4" w:rsidRDefault="003039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remuneration of the liquidator;</w:t>
      </w:r>
    </w:p>
    <w:p w14:paraId="3AF222A5" w14:textId="77777777" w:rsidR="003039B4" w:rsidRPr="003039B4" w:rsidRDefault="003039B4" w:rsidP="003039B4">
      <w:pPr>
        <w:pStyle w:val="ListParagraph"/>
        <w:rPr>
          <w:rFonts w:ascii="Arial" w:hAnsi="Arial" w:cs="Arial"/>
          <w:color w:val="7B7B7B" w:themeColor="accent3" w:themeShade="BF"/>
          <w:sz w:val="22"/>
          <w:szCs w:val="22"/>
          <w:lang w:val="en-MY"/>
        </w:rPr>
      </w:pPr>
    </w:p>
    <w:p w14:paraId="339374BC" w14:textId="659541B6" w:rsidR="003039B4" w:rsidRDefault="003039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amount of corporation tax on chargeable gains accruing on the realisation of any assets of the company; and</w:t>
      </w:r>
    </w:p>
    <w:p w14:paraId="2BC4F58D" w14:textId="77777777" w:rsidR="003039B4" w:rsidRPr="003039B4" w:rsidRDefault="003039B4" w:rsidP="003039B4">
      <w:pPr>
        <w:pStyle w:val="ListParagraph"/>
        <w:rPr>
          <w:rFonts w:ascii="Arial" w:hAnsi="Arial" w:cs="Arial"/>
          <w:color w:val="7B7B7B" w:themeColor="accent3" w:themeShade="BF"/>
          <w:sz w:val="22"/>
          <w:szCs w:val="22"/>
          <w:lang w:val="en-MY"/>
        </w:rPr>
      </w:pPr>
    </w:p>
    <w:p w14:paraId="0976C089" w14:textId="5065D848" w:rsidR="003039B4" w:rsidRDefault="003039B4" w:rsidP="009570B4">
      <w:pPr>
        <w:pStyle w:val="ListParagraph"/>
        <w:numPr>
          <w:ilvl w:val="0"/>
          <w:numId w:val="22"/>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other expenses properly chargeable by the liquidator in carrying out the liquidator’s functions in the winding-up.</w:t>
      </w:r>
    </w:p>
    <w:p w14:paraId="6CFF7C17" w14:textId="77777777" w:rsidR="003039B4" w:rsidRPr="003039B4" w:rsidRDefault="003039B4" w:rsidP="003039B4">
      <w:pPr>
        <w:pStyle w:val="ListParagraph"/>
        <w:rPr>
          <w:rFonts w:ascii="Arial" w:hAnsi="Arial" w:cs="Arial"/>
          <w:color w:val="7B7B7B" w:themeColor="accent3" w:themeShade="BF"/>
          <w:sz w:val="22"/>
          <w:szCs w:val="22"/>
          <w:lang w:val="en-MY"/>
        </w:rPr>
      </w:pPr>
    </w:p>
    <w:p w14:paraId="270F5E16" w14:textId="50683CFA" w:rsidR="007C6266" w:rsidRPr="007C6266" w:rsidRDefault="007C6266" w:rsidP="003039B4">
      <w:pPr>
        <w:jc w:val="both"/>
        <w:rPr>
          <w:rFonts w:ascii="Arial" w:hAnsi="Arial" w:cs="Arial"/>
          <w:color w:val="7B7B7B" w:themeColor="accent3" w:themeShade="BF"/>
          <w:sz w:val="22"/>
          <w:szCs w:val="22"/>
          <w:u w:val="single"/>
          <w:lang w:val="en-MY"/>
        </w:rPr>
      </w:pPr>
      <w:r w:rsidRPr="007C6266">
        <w:rPr>
          <w:rFonts w:ascii="Arial" w:hAnsi="Arial" w:cs="Arial"/>
          <w:color w:val="7B7B7B" w:themeColor="accent3" w:themeShade="BF"/>
          <w:sz w:val="22"/>
          <w:szCs w:val="22"/>
          <w:u w:val="single"/>
          <w:lang w:val="en-MY"/>
        </w:rPr>
        <w:t>Preferential Debts</w:t>
      </w:r>
    </w:p>
    <w:p w14:paraId="7AD0FE1E" w14:textId="77777777" w:rsidR="007C6266" w:rsidRDefault="007C6266" w:rsidP="003039B4">
      <w:pPr>
        <w:jc w:val="both"/>
        <w:rPr>
          <w:rFonts w:ascii="Arial" w:hAnsi="Arial" w:cs="Arial"/>
          <w:color w:val="7B7B7B" w:themeColor="accent3" w:themeShade="BF"/>
          <w:sz w:val="22"/>
          <w:szCs w:val="22"/>
          <w:lang w:val="en-MY"/>
        </w:rPr>
      </w:pPr>
    </w:p>
    <w:p w14:paraId="6E271938" w14:textId="5814DE64" w:rsidR="003039B4" w:rsidRDefault="003039B4" w:rsidP="0026471A">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After expenses incurred in the winding-up</w:t>
      </w:r>
      <w:r w:rsidR="0026471A">
        <w:rPr>
          <w:rFonts w:ascii="Arial" w:hAnsi="Arial" w:cs="Arial"/>
          <w:color w:val="7B7B7B" w:themeColor="accent3" w:themeShade="BF"/>
          <w:sz w:val="22"/>
          <w:szCs w:val="22"/>
          <w:lang w:val="en-MY"/>
        </w:rPr>
        <w:t xml:space="preserve"> are paid</w:t>
      </w:r>
      <w:r>
        <w:rPr>
          <w:rFonts w:ascii="Arial" w:hAnsi="Arial" w:cs="Arial"/>
          <w:color w:val="7B7B7B" w:themeColor="accent3" w:themeShade="BF"/>
          <w:sz w:val="22"/>
          <w:szCs w:val="22"/>
          <w:lang w:val="en-MY"/>
        </w:rPr>
        <w:t>, preferential creditors will be next in priority. Schedule 6 of the IA sets out the preferential debts as follows:</w:t>
      </w:r>
    </w:p>
    <w:p w14:paraId="0585A964" w14:textId="73C0036B" w:rsidR="003039B4" w:rsidRDefault="003039B4" w:rsidP="003039B4">
      <w:pPr>
        <w:jc w:val="both"/>
        <w:rPr>
          <w:rFonts w:ascii="Arial" w:hAnsi="Arial" w:cs="Arial"/>
          <w:color w:val="7B7B7B" w:themeColor="accent3" w:themeShade="BF"/>
          <w:sz w:val="22"/>
          <w:szCs w:val="22"/>
          <w:lang w:val="en-MY"/>
        </w:rPr>
      </w:pPr>
    </w:p>
    <w:p w14:paraId="28501283" w14:textId="0B6930E0" w:rsidR="003039B4" w:rsidRDefault="003039B4"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any sum owed on account of any employee’s contribution to an occupational pension scheme, being contributions deducted from earnings of the company’s employees paid in the </w:t>
      </w:r>
      <w:r w:rsidR="003833C1">
        <w:rPr>
          <w:rFonts w:ascii="Arial" w:hAnsi="Arial" w:cs="Arial"/>
          <w:color w:val="7B7B7B" w:themeColor="accent3" w:themeShade="BF"/>
          <w:sz w:val="22"/>
          <w:szCs w:val="22"/>
          <w:lang w:val="en-MY"/>
        </w:rPr>
        <w:t>4-months’ period</w:t>
      </w:r>
      <w:r>
        <w:rPr>
          <w:rFonts w:ascii="Arial" w:hAnsi="Arial" w:cs="Arial"/>
          <w:color w:val="7B7B7B" w:themeColor="accent3" w:themeShade="BF"/>
          <w:sz w:val="22"/>
          <w:szCs w:val="22"/>
          <w:lang w:val="en-MY"/>
        </w:rPr>
        <w:t xml:space="preserve"> prior to commencement of winding-up;</w:t>
      </w:r>
    </w:p>
    <w:p w14:paraId="04DA91EB" w14:textId="77777777" w:rsidR="003039B4" w:rsidRDefault="003039B4" w:rsidP="003039B4">
      <w:pPr>
        <w:pStyle w:val="ListParagraph"/>
        <w:jc w:val="both"/>
        <w:rPr>
          <w:rFonts w:ascii="Arial" w:hAnsi="Arial" w:cs="Arial"/>
          <w:color w:val="7B7B7B" w:themeColor="accent3" w:themeShade="BF"/>
          <w:sz w:val="22"/>
          <w:szCs w:val="22"/>
          <w:lang w:val="en-MY"/>
        </w:rPr>
      </w:pPr>
    </w:p>
    <w:p w14:paraId="551D15E8" w14:textId="6169635B" w:rsidR="003039B4" w:rsidRDefault="003833C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sum owed by the company on account of an employer’s contribution to an occupational pension scheme in the 12-months’ period prior to the relevant date;</w:t>
      </w:r>
    </w:p>
    <w:p w14:paraId="0E6172CD" w14:textId="77777777" w:rsidR="003833C1" w:rsidRPr="003833C1" w:rsidRDefault="003833C1" w:rsidP="003833C1">
      <w:pPr>
        <w:pStyle w:val="ListParagraph"/>
        <w:rPr>
          <w:rFonts w:ascii="Arial" w:hAnsi="Arial" w:cs="Arial"/>
          <w:color w:val="7B7B7B" w:themeColor="accent3" w:themeShade="BF"/>
          <w:sz w:val="22"/>
          <w:szCs w:val="22"/>
          <w:lang w:val="en-MY"/>
        </w:rPr>
      </w:pPr>
    </w:p>
    <w:p w14:paraId="2315977E" w14:textId="2BF4F5E4" w:rsidR="003833C1" w:rsidRDefault="003833C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remuneration owed by the company to an employee or ex-employee of the company which is payable in respect of the whole or any part of the 4-months’ period prior to commencement of the winding-up, up to a maximum amount of £800;</w:t>
      </w:r>
    </w:p>
    <w:p w14:paraId="1D4D3FB1" w14:textId="77777777" w:rsidR="003833C1" w:rsidRPr="003833C1" w:rsidRDefault="003833C1" w:rsidP="003833C1">
      <w:pPr>
        <w:pStyle w:val="ListParagraph"/>
        <w:rPr>
          <w:rFonts w:ascii="Arial" w:hAnsi="Arial" w:cs="Arial"/>
          <w:color w:val="7B7B7B" w:themeColor="accent3" w:themeShade="BF"/>
          <w:sz w:val="22"/>
          <w:szCs w:val="22"/>
          <w:lang w:val="en-MY"/>
        </w:rPr>
      </w:pPr>
    </w:p>
    <w:p w14:paraId="6F8A0776" w14:textId="2B077250" w:rsidR="003833C1" w:rsidRDefault="003833C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amounts owed by the company for accrued holiday remuneration for any period of employment prior to the winding-up. Remuneration payable in respect of a holiday period or absence from work through sickness or other good cause, is deemed as wages;</w:t>
      </w:r>
    </w:p>
    <w:p w14:paraId="0897EAFB" w14:textId="77777777" w:rsidR="003833C1" w:rsidRPr="003833C1" w:rsidRDefault="003833C1" w:rsidP="003833C1">
      <w:pPr>
        <w:pStyle w:val="ListParagraph"/>
        <w:rPr>
          <w:rFonts w:ascii="Arial" w:hAnsi="Arial" w:cs="Arial"/>
          <w:color w:val="7B7B7B" w:themeColor="accent3" w:themeShade="BF"/>
          <w:sz w:val="22"/>
          <w:szCs w:val="22"/>
          <w:lang w:val="en-MY"/>
        </w:rPr>
      </w:pPr>
    </w:p>
    <w:p w14:paraId="4CBCF88C" w14:textId="79227D17" w:rsidR="003833C1" w:rsidRDefault="003833C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claims for monies advanced to pay wages or holiday remuneration will be preferential;</w:t>
      </w:r>
    </w:p>
    <w:p w14:paraId="342BA84E" w14:textId="77777777" w:rsidR="003833C1" w:rsidRPr="003833C1" w:rsidRDefault="003833C1" w:rsidP="003833C1">
      <w:pPr>
        <w:pStyle w:val="ListParagraph"/>
        <w:rPr>
          <w:rFonts w:ascii="Arial" w:hAnsi="Arial" w:cs="Arial"/>
          <w:color w:val="7B7B7B" w:themeColor="accent3" w:themeShade="BF"/>
          <w:sz w:val="22"/>
          <w:szCs w:val="22"/>
          <w:lang w:val="en-MY"/>
        </w:rPr>
      </w:pPr>
    </w:p>
    <w:p w14:paraId="3B25CCB9" w14:textId="79671BFA" w:rsidR="003833C1" w:rsidRDefault="003833C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lastRenderedPageBreak/>
        <w:t>levies on production of coal and steel in Articles 49 and 50 of the European Coal and Steel Community Treaty;</w:t>
      </w:r>
    </w:p>
    <w:p w14:paraId="0E831647" w14:textId="77777777" w:rsidR="003833C1" w:rsidRPr="003833C1" w:rsidRDefault="003833C1" w:rsidP="003833C1">
      <w:pPr>
        <w:pStyle w:val="ListParagraph"/>
        <w:rPr>
          <w:rFonts w:ascii="Arial" w:hAnsi="Arial" w:cs="Arial"/>
          <w:color w:val="7B7B7B" w:themeColor="accent3" w:themeShade="BF"/>
          <w:sz w:val="22"/>
          <w:szCs w:val="22"/>
          <w:lang w:val="en-MY"/>
        </w:rPr>
      </w:pPr>
    </w:p>
    <w:p w14:paraId="03A93C83" w14:textId="46C76D0E" w:rsidR="003833C1" w:rsidRDefault="003833C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claims for any amount ordered to be paid by the company under the Reserve Forces (Safeguard of Employment) Act 1985;</w:t>
      </w:r>
    </w:p>
    <w:p w14:paraId="3CA92745" w14:textId="77777777" w:rsidR="00EF23A1" w:rsidRPr="00EF23A1" w:rsidRDefault="00EF23A1" w:rsidP="00EF23A1">
      <w:pPr>
        <w:ind w:left="360"/>
        <w:rPr>
          <w:rFonts w:ascii="Arial" w:hAnsi="Arial" w:cs="Arial"/>
          <w:color w:val="7B7B7B" w:themeColor="accent3" w:themeShade="BF"/>
          <w:sz w:val="22"/>
          <w:szCs w:val="22"/>
          <w:lang w:val="en-MY"/>
        </w:rPr>
      </w:pPr>
    </w:p>
    <w:p w14:paraId="6BAF8F72" w14:textId="3F2D2D1F" w:rsidR="003833C1" w:rsidRDefault="00EF23A1"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amount owed by the company in respect of eligible deposits as does not exceed the compensation payable in respect of the deposit under the Financial Services Compensation Scheme to the person(s) to whom the amount is owed;</w:t>
      </w:r>
    </w:p>
    <w:p w14:paraId="4328D8B3" w14:textId="77777777" w:rsidR="00EF23A1" w:rsidRDefault="00EF23A1" w:rsidP="00EF23A1">
      <w:pPr>
        <w:pStyle w:val="ListParagraph"/>
        <w:jc w:val="both"/>
        <w:rPr>
          <w:rFonts w:ascii="Arial" w:hAnsi="Arial" w:cs="Arial"/>
          <w:color w:val="7B7B7B" w:themeColor="accent3" w:themeShade="BF"/>
          <w:sz w:val="22"/>
          <w:szCs w:val="22"/>
          <w:lang w:val="en-MY"/>
        </w:rPr>
      </w:pPr>
    </w:p>
    <w:p w14:paraId="1747F921" w14:textId="6C0D4A88" w:rsidR="00EF23A1" w:rsidRDefault="007C6266"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any amount owed by the company to one or more eligible persons in respect of an eligible deposit as exceeds any compensation payable in respect of the deposit under the Financial Services Compensation Scheme to that person(s);</w:t>
      </w:r>
    </w:p>
    <w:p w14:paraId="431DF310" w14:textId="77777777" w:rsidR="007C6266" w:rsidRPr="007C6266" w:rsidRDefault="007C6266" w:rsidP="007C6266">
      <w:pPr>
        <w:pStyle w:val="ListParagraph"/>
        <w:rPr>
          <w:rFonts w:ascii="Arial" w:hAnsi="Arial" w:cs="Arial"/>
          <w:color w:val="7B7B7B" w:themeColor="accent3" w:themeShade="BF"/>
          <w:sz w:val="22"/>
          <w:szCs w:val="22"/>
          <w:lang w:val="en-MY"/>
        </w:rPr>
      </w:pPr>
    </w:p>
    <w:p w14:paraId="54F12B7B" w14:textId="4CD9619C" w:rsidR="007C6266" w:rsidRDefault="007C6266"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 amount owed by the company to one or more eligible persons in respect of a deposit that (i) was made through a non-UK branch of a credit institution authorised by the UK competent authority; and (ii) would have been an eligible deposit if it had been made through a UK branch of that credit institution;</w:t>
      </w:r>
    </w:p>
    <w:p w14:paraId="0B15A3EB" w14:textId="77777777" w:rsidR="007C6266" w:rsidRPr="007C6266" w:rsidRDefault="007C6266" w:rsidP="007C6266">
      <w:pPr>
        <w:pStyle w:val="ListParagraph"/>
        <w:rPr>
          <w:rFonts w:ascii="Arial" w:hAnsi="Arial" w:cs="Arial"/>
          <w:color w:val="7B7B7B" w:themeColor="accent3" w:themeShade="BF"/>
          <w:sz w:val="22"/>
          <w:szCs w:val="22"/>
          <w:lang w:val="en-MY"/>
        </w:rPr>
      </w:pPr>
    </w:p>
    <w:p w14:paraId="4A827D81" w14:textId="521E765B" w:rsidR="007C6266" w:rsidRDefault="007C6266" w:rsidP="003039B4">
      <w:pPr>
        <w:pStyle w:val="ListParagraph"/>
        <w:numPr>
          <w:ilvl w:val="0"/>
          <w:numId w:val="23"/>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PAYE income tax deductions, national insurance deductions, VAT payments, Construction Industry Scheme deductions and student loan repayments.</w:t>
      </w:r>
    </w:p>
    <w:p w14:paraId="6230C762" w14:textId="77777777" w:rsidR="007C6266" w:rsidRPr="007C6266" w:rsidRDefault="007C6266" w:rsidP="007C6266">
      <w:pPr>
        <w:pStyle w:val="ListParagraph"/>
        <w:rPr>
          <w:rFonts w:ascii="Arial" w:hAnsi="Arial" w:cs="Arial"/>
          <w:color w:val="7B7B7B" w:themeColor="accent3" w:themeShade="BF"/>
          <w:sz w:val="22"/>
          <w:szCs w:val="22"/>
          <w:lang w:val="en-MY"/>
        </w:rPr>
      </w:pPr>
    </w:p>
    <w:p w14:paraId="75AF53DA" w14:textId="6A57E2CB" w:rsidR="007C6266" w:rsidRDefault="007C6266" w:rsidP="007C62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Items (a) to (h) are ordinary preferential debts and are paid in priority to the debts in items (i) to (k), which are known as secondary preferential debts (see section 386 IA).</w:t>
      </w:r>
    </w:p>
    <w:p w14:paraId="48A473F7" w14:textId="6801ABFC" w:rsidR="007C6266" w:rsidRDefault="007C6266" w:rsidP="007C6266">
      <w:pPr>
        <w:jc w:val="both"/>
        <w:rPr>
          <w:rFonts w:ascii="Arial" w:hAnsi="Arial" w:cs="Arial"/>
          <w:color w:val="7B7B7B" w:themeColor="accent3" w:themeShade="BF"/>
          <w:sz w:val="22"/>
          <w:szCs w:val="22"/>
          <w:lang w:val="en-MY"/>
        </w:rPr>
      </w:pPr>
    </w:p>
    <w:p w14:paraId="232FD9E9" w14:textId="627E90E3" w:rsidR="007C6266" w:rsidRPr="007C6266" w:rsidRDefault="007C6266" w:rsidP="007C6266">
      <w:pPr>
        <w:jc w:val="both"/>
        <w:rPr>
          <w:rFonts w:ascii="Arial" w:hAnsi="Arial" w:cs="Arial"/>
          <w:color w:val="7B7B7B" w:themeColor="accent3" w:themeShade="BF"/>
          <w:sz w:val="22"/>
          <w:szCs w:val="22"/>
          <w:u w:val="single"/>
          <w:lang w:val="en-MY"/>
        </w:rPr>
      </w:pPr>
      <w:r w:rsidRPr="007C6266">
        <w:rPr>
          <w:rFonts w:ascii="Arial" w:hAnsi="Arial" w:cs="Arial"/>
          <w:color w:val="7B7B7B" w:themeColor="accent3" w:themeShade="BF"/>
          <w:sz w:val="22"/>
          <w:szCs w:val="22"/>
          <w:u w:val="single"/>
          <w:lang w:val="en-MY"/>
        </w:rPr>
        <w:t>Floating charge</w:t>
      </w:r>
      <w:r w:rsidR="002645A8">
        <w:rPr>
          <w:rFonts w:ascii="Arial" w:hAnsi="Arial" w:cs="Arial"/>
          <w:color w:val="7B7B7B" w:themeColor="accent3" w:themeShade="BF"/>
          <w:sz w:val="22"/>
          <w:szCs w:val="22"/>
          <w:u w:val="single"/>
          <w:lang w:val="en-MY"/>
        </w:rPr>
        <w:t xml:space="preserve"> holder</w:t>
      </w:r>
    </w:p>
    <w:p w14:paraId="4499CE17" w14:textId="5B8434A0" w:rsidR="007C6266" w:rsidRDefault="007C6266" w:rsidP="007C6266">
      <w:pPr>
        <w:jc w:val="both"/>
        <w:rPr>
          <w:rFonts w:ascii="Arial" w:hAnsi="Arial" w:cs="Arial"/>
          <w:color w:val="7B7B7B" w:themeColor="accent3" w:themeShade="BF"/>
          <w:sz w:val="22"/>
          <w:szCs w:val="22"/>
          <w:lang w:val="en-MY"/>
        </w:rPr>
      </w:pPr>
    </w:p>
    <w:p w14:paraId="79E3CA05" w14:textId="4F3DF17D" w:rsidR="007C6266" w:rsidRDefault="007C6266" w:rsidP="007C62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After preferential creditors, creditors who are floating charge holder will be next in priority. A floating charge is a security which only crystallises into a fixed charge </w:t>
      </w:r>
      <w:r w:rsidR="0026471A">
        <w:rPr>
          <w:rFonts w:ascii="Arial" w:hAnsi="Arial" w:cs="Arial"/>
          <w:color w:val="7B7B7B" w:themeColor="accent3" w:themeShade="BF"/>
          <w:sz w:val="22"/>
          <w:szCs w:val="22"/>
          <w:lang w:val="en-MY"/>
        </w:rPr>
        <w:t xml:space="preserve">upon the occurrence of specific agreed events (such as the insolvency of the company). </w:t>
      </w:r>
      <w:r>
        <w:rPr>
          <w:rFonts w:ascii="Arial" w:hAnsi="Arial" w:cs="Arial"/>
          <w:color w:val="7B7B7B" w:themeColor="accent3" w:themeShade="BF"/>
          <w:sz w:val="22"/>
          <w:szCs w:val="22"/>
          <w:lang w:val="en-MY"/>
        </w:rPr>
        <w:t>If there are more than one floating charge holder, then first in time prevails and the floating charge created earlier will have priority.</w:t>
      </w:r>
    </w:p>
    <w:p w14:paraId="16663416" w14:textId="69E8E424" w:rsidR="00F375FA" w:rsidRDefault="00F375FA" w:rsidP="007C6266">
      <w:pPr>
        <w:jc w:val="both"/>
        <w:rPr>
          <w:rFonts w:ascii="Arial" w:hAnsi="Arial" w:cs="Arial"/>
          <w:color w:val="7B7B7B" w:themeColor="accent3" w:themeShade="BF"/>
          <w:sz w:val="22"/>
          <w:szCs w:val="22"/>
          <w:lang w:val="en-MY"/>
        </w:rPr>
      </w:pPr>
    </w:p>
    <w:p w14:paraId="2685231B" w14:textId="7C8D42A6" w:rsidR="00F375FA" w:rsidRDefault="00F375FA" w:rsidP="007C62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However, payment to the debt of the floating charge holder is subject to section 176A of IA, which applies to a company in liquidation with a floating charge created on or after 15 September 2003. Under section 176A IA, the liquidator shall make a prescribed part of the company’s net property available for satisfaction of unsecured debts, and shall not distribute that prescribed part to the floating charge holder except in so far as it exceeds the amount required to satisfy the unsecured debts. The company’s net property in this case is the amount of the company’s property that would be available for satisfaction of claims secured by floating charge if not for section 176A i.e. less the amount of winding-up expenses and preferential debts. </w:t>
      </w:r>
    </w:p>
    <w:p w14:paraId="27D3A3FC" w14:textId="44DB8FE1" w:rsidR="007C6266" w:rsidRDefault="007C6266" w:rsidP="007C6266">
      <w:pPr>
        <w:jc w:val="both"/>
        <w:rPr>
          <w:rFonts w:ascii="Arial" w:hAnsi="Arial" w:cs="Arial"/>
          <w:color w:val="7B7B7B" w:themeColor="accent3" w:themeShade="BF"/>
          <w:sz w:val="22"/>
          <w:szCs w:val="22"/>
          <w:lang w:val="en-MY"/>
        </w:rPr>
      </w:pPr>
    </w:p>
    <w:p w14:paraId="6134B11E" w14:textId="12DB7A2C" w:rsidR="009173EC" w:rsidRDefault="009173EC" w:rsidP="007C62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prescribed part is calculated as follows, as set out in the Insolvency Act 1986 (Prescribed Part) Order 2003:</w:t>
      </w:r>
    </w:p>
    <w:p w14:paraId="4D07C485" w14:textId="77777777" w:rsidR="009173EC" w:rsidRDefault="009173EC" w:rsidP="007C6266">
      <w:pPr>
        <w:jc w:val="both"/>
        <w:rPr>
          <w:rFonts w:ascii="Arial" w:hAnsi="Arial" w:cs="Arial"/>
          <w:color w:val="7B7B7B" w:themeColor="accent3" w:themeShade="BF"/>
          <w:sz w:val="22"/>
          <w:szCs w:val="22"/>
          <w:lang w:val="en-MY"/>
        </w:rPr>
      </w:pPr>
    </w:p>
    <w:p w14:paraId="582A6158" w14:textId="77777777" w:rsidR="009173EC" w:rsidRDefault="009173EC" w:rsidP="009173EC">
      <w:pPr>
        <w:pStyle w:val="ListParagraph"/>
        <w:numPr>
          <w:ilvl w:val="0"/>
          <w:numId w:val="24"/>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Where the company’s net property does not exceed £10,000 in value, 50% of that property;</w:t>
      </w:r>
    </w:p>
    <w:p w14:paraId="362B7D16" w14:textId="7F821897" w:rsidR="0026471A" w:rsidRPr="009173EC" w:rsidRDefault="009173EC" w:rsidP="009173EC">
      <w:pPr>
        <w:pStyle w:val="ListParagraph"/>
        <w:numPr>
          <w:ilvl w:val="0"/>
          <w:numId w:val="24"/>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Otherwise, 50% of the first £10,000 in value and 20% of the part of the company’s net property which exceeds £10,000 in value, but shall not exceed £800,000.</w:t>
      </w:r>
      <w:r w:rsidRPr="009173EC">
        <w:rPr>
          <w:rFonts w:ascii="Arial" w:hAnsi="Arial" w:cs="Arial"/>
          <w:color w:val="7B7B7B" w:themeColor="accent3" w:themeShade="BF"/>
          <w:sz w:val="22"/>
          <w:szCs w:val="22"/>
          <w:lang w:val="en-MY"/>
        </w:rPr>
        <w:t xml:space="preserve"> </w:t>
      </w:r>
    </w:p>
    <w:p w14:paraId="1C2CAAC4" w14:textId="77777777" w:rsidR="007C6266" w:rsidRDefault="007C6266" w:rsidP="007C6266">
      <w:pPr>
        <w:jc w:val="both"/>
        <w:rPr>
          <w:rFonts w:ascii="Arial" w:hAnsi="Arial" w:cs="Arial"/>
          <w:color w:val="7B7B7B" w:themeColor="accent3" w:themeShade="BF"/>
          <w:sz w:val="22"/>
          <w:szCs w:val="22"/>
          <w:lang w:val="en-MY"/>
        </w:rPr>
      </w:pPr>
    </w:p>
    <w:p w14:paraId="283E276D" w14:textId="1DD70FDE" w:rsidR="007C6266" w:rsidRDefault="007E6A6E" w:rsidP="007C62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requirement to make the prescribed part</w:t>
      </w:r>
      <w:r w:rsidR="009173EC">
        <w:rPr>
          <w:rFonts w:ascii="Arial" w:hAnsi="Arial" w:cs="Arial"/>
          <w:color w:val="7B7B7B" w:themeColor="accent3" w:themeShade="BF"/>
          <w:sz w:val="22"/>
          <w:szCs w:val="22"/>
          <w:lang w:val="en-MY"/>
        </w:rPr>
        <w:t xml:space="preserve"> does not apply where the company’s net property does not exceed £10,000 and the liquidator </w:t>
      </w:r>
      <w:r>
        <w:rPr>
          <w:rFonts w:ascii="Arial" w:hAnsi="Arial" w:cs="Arial"/>
          <w:color w:val="7B7B7B" w:themeColor="accent3" w:themeShade="BF"/>
          <w:sz w:val="22"/>
          <w:szCs w:val="22"/>
          <w:lang w:val="en-MY"/>
        </w:rPr>
        <w:t xml:space="preserve">thinks the cost of making a distribution to unsecured creditors would be disproportionate to the benefits. Besides that, the requirement </w:t>
      </w:r>
      <w:r>
        <w:rPr>
          <w:rFonts w:ascii="Arial" w:hAnsi="Arial" w:cs="Arial"/>
          <w:color w:val="7B7B7B" w:themeColor="accent3" w:themeShade="BF"/>
          <w:sz w:val="22"/>
          <w:szCs w:val="22"/>
          <w:lang w:val="en-MY"/>
        </w:rPr>
        <w:lastRenderedPageBreak/>
        <w:t>also shall not apply if the liquidator applies for an order, and the court orders, that the cost of making a distribution to unsecured creditors would be disproportionate to the benefits.</w:t>
      </w:r>
    </w:p>
    <w:p w14:paraId="5E887B75" w14:textId="34F5201B" w:rsidR="007E6A6E" w:rsidRDefault="007E6A6E" w:rsidP="007C6266">
      <w:pPr>
        <w:jc w:val="both"/>
        <w:rPr>
          <w:rFonts w:ascii="Arial" w:hAnsi="Arial" w:cs="Arial"/>
          <w:color w:val="7B7B7B" w:themeColor="accent3" w:themeShade="BF"/>
          <w:sz w:val="22"/>
          <w:szCs w:val="22"/>
          <w:lang w:val="en-MY"/>
        </w:rPr>
      </w:pPr>
    </w:p>
    <w:p w14:paraId="3ADD752A" w14:textId="3E6F7EEE" w:rsidR="007E6A6E" w:rsidRPr="007E6A6E" w:rsidRDefault="007E6A6E" w:rsidP="007C6266">
      <w:pPr>
        <w:jc w:val="both"/>
        <w:rPr>
          <w:rFonts w:ascii="Arial" w:hAnsi="Arial" w:cs="Arial"/>
          <w:color w:val="7B7B7B" w:themeColor="accent3" w:themeShade="BF"/>
          <w:sz w:val="22"/>
          <w:szCs w:val="22"/>
          <w:u w:val="single"/>
          <w:lang w:val="en-MY"/>
        </w:rPr>
      </w:pPr>
      <w:r w:rsidRPr="007E6A6E">
        <w:rPr>
          <w:rFonts w:ascii="Arial" w:hAnsi="Arial" w:cs="Arial"/>
          <w:color w:val="7B7B7B" w:themeColor="accent3" w:themeShade="BF"/>
          <w:sz w:val="22"/>
          <w:szCs w:val="22"/>
          <w:u w:val="single"/>
          <w:lang w:val="en-MY"/>
        </w:rPr>
        <w:t>Unsecured creditors</w:t>
      </w:r>
    </w:p>
    <w:p w14:paraId="56653DF0" w14:textId="0505F2FD" w:rsidR="007E6A6E" w:rsidRDefault="007E6A6E" w:rsidP="007C6266">
      <w:pPr>
        <w:jc w:val="both"/>
        <w:rPr>
          <w:rFonts w:ascii="Arial" w:hAnsi="Arial" w:cs="Arial"/>
          <w:color w:val="7B7B7B" w:themeColor="accent3" w:themeShade="BF"/>
          <w:sz w:val="22"/>
          <w:szCs w:val="22"/>
          <w:lang w:val="en-MY"/>
        </w:rPr>
      </w:pPr>
    </w:p>
    <w:p w14:paraId="50477C5F" w14:textId="1B0B7396" w:rsidR="007E6A6E" w:rsidRDefault="00A86AF7" w:rsidP="00A86AF7">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After floating charge creditors, n</w:t>
      </w:r>
      <w:bookmarkStart w:id="0" w:name="_GoBack"/>
      <w:bookmarkEnd w:id="0"/>
      <w:r w:rsidR="007E6A6E">
        <w:rPr>
          <w:rFonts w:ascii="Arial" w:hAnsi="Arial" w:cs="Arial"/>
          <w:color w:val="7B7B7B" w:themeColor="accent3" w:themeShade="BF"/>
          <w:sz w:val="22"/>
          <w:szCs w:val="22"/>
          <w:lang w:val="en-MY"/>
        </w:rPr>
        <w:t>ext in terms of priority of payments are the unsecured creditors of the company. Unsecured creditors are essentially creditors of the company which do not have any form of security, and are usually the ordinary trade suppliers and non-preferential taxation liabilities.</w:t>
      </w:r>
    </w:p>
    <w:p w14:paraId="509A7D48" w14:textId="51C518AF" w:rsidR="007E6A6E" w:rsidRDefault="007E6A6E" w:rsidP="007C6266">
      <w:pPr>
        <w:jc w:val="both"/>
        <w:rPr>
          <w:rFonts w:ascii="Arial" w:hAnsi="Arial" w:cs="Arial"/>
          <w:color w:val="7B7B7B" w:themeColor="accent3" w:themeShade="BF"/>
          <w:sz w:val="22"/>
          <w:szCs w:val="22"/>
          <w:lang w:val="en-MY"/>
        </w:rPr>
      </w:pPr>
    </w:p>
    <w:p w14:paraId="1150D023" w14:textId="4FA8D059" w:rsidR="007E6A6E" w:rsidRPr="007E6A6E" w:rsidRDefault="007E6A6E" w:rsidP="007C6266">
      <w:pPr>
        <w:jc w:val="both"/>
        <w:rPr>
          <w:rFonts w:ascii="Arial" w:hAnsi="Arial" w:cs="Arial"/>
          <w:color w:val="7B7B7B" w:themeColor="accent3" w:themeShade="BF"/>
          <w:sz w:val="22"/>
          <w:szCs w:val="22"/>
          <w:u w:val="single"/>
          <w:lang w:val="en-MY"/>
        </w:rPr>
      </w:pPr>
      <w:r w:rsidRPr="007E6A6E">
        <w:rPr>
          <w:rFonts w:ascii="Arial" w:hAnsi="Arial" w:cs="Arial"/>
          <w:color w:val="7B7B7B" w:themeColor="accent3" w:themeShade="BF"/>
          <w:sz w:val="22"/>
          <w:szCs w:val="22"/>
          <w:u w:val="single"/>
          <w:lang w:val="en-MY"/>
        </w:rPr>
        <w:t>Members of the company</w:t>
      </w:r>
    </w:p>
    <w:p w14:paraId="1A4DC27F" w14:textId="342B45A6" w:rsidR="007E6A6E" w:rsidRDefault="007E6A6E" w:rsidP="007C6266">
      <w:pPr>
        <w:jc w:val="both"/>
        <w:rPr>
          <w:rFonts w:ascii="Arial" w:hAnsi="Arial" w:cs="Arial"/>
          <w:color w:val="7B7B7B" w:themeColor="accent3" w:themeShade="BF"/>
          <w:sz w:val="22"/>
          <w:szCs w:val="22"/>
          <w:lang w:val="en-MY"/>
        </w:rPr>
      </w:pPr>
    </w:p>
    <w:p w14:paraId="7B1BBE07" w14:textId="2837F58A" w:rsidR="007E6A6E" w:rsidRDefault="007E6A6E" w:rsidP="007C62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Finally, if the company has any surplus assets after settling all of its liabilities, that surplus will be paid to the members </w:t>
      </w:r>
      <w:r w:rsidR="003F234E">
        <w:rPr>
          <w:rFonts w:ascii="Arial" w:hAnsi="Arial" w:cs="Arial"/>
          <w:color w:val="7B7B7B" w:themeColor="accent3" w:themeShade="BF"/>
          <w:sz w:val="22"/>
          <w:szCs w:val="22"/>
          <w:lang w:val="en-MY"/>
        </w:rPr>
        <w:t xml:space="preserve">of the company </w:t>
      </w:r>
      <w:r>
        <w:rPr>
          <w:rFonts w:ascii="Arial" w:hAnsi="Arial" w:cs="Arial"/>
          <w:color w:val="7B7B7B" w:themeColor="accent3" w:themeShade="BF"/>
          <w:sz w:val="22"/>
          <w:szCs w:val="22"/>
          <w:lang w:val="en-MY"/>
        </w:rPr>
        <w:t>according to the rights set out in the company’s constitution.</w:t>
      </w:r>
      <w:r w:rsidR="003F234E">
        <w:rPr>
          <w:rFonts w:ascii="Arial" w:hAnsi="Arial" w:cs="Arial"/>
          <w:color w:val="7B7B7B" w:themeColor="accent3" w:themeShade="BF"/>
          <w:sz w:val="22"/>
          <w:szCs w:val="22"/>
          <w:lang w:val="en-MY"/>
        </w:rPr>
        <w:t xml:space="preserve"> </w:t>
      </w:r>
    </w:p>
    <w:p w14:paraId="5B948B87" w14:textId="77777777" w:rsidR="007C6266" w:rsidRPr="007C6266" w:rsidRDefault="007C6266" w:rsidP="007C6266">
      <w:pPr>
        <w:jc w:val="both"/>
        <w:rPr>
          <w:rFonts w:ascii="Arial" w:hAnsi="Arial" w:cs="Arial"/>
          <w:color w:val="7B7B7B" w:themeColor="accent3" w:themeShade="BF"/>
          <w:sz w:val="22"/>
          <w:szCs w:val="22"/>
          <w:lang w:val="en-MY"/>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lastRenderedPageBreak/>
        <w:t>The floating charge in favour of Stercus Bank plc;</w:t>
      </w:r>
    </w:p>
    <w:p w14:paraId="451B70BA" w14:textId="61081683" w:rsidR="007E2919" w:rsidRDefault="007E2919" w:rsidP="007E2919">
      <w:pPr>
        <w:rPr>
          <w:rFonts w:ascii="Arial" w:hAnsi="Arial" w:cs="Arial"/>
          <w:b/>
          <w:sz w:val="24"/>
        </w:rPr>
      </w:pPr>
    </w:p>
    <w:p w14:paraId="2E96F7A4" w14:textId="6B0BB538" w:rsidR="00E15171" w:rsidRDefault="00714F3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w:t>
      </w:r>
      <w:r w:rsidR="00A83AA0">
        <w:rPr>
          <w:rFonts w:ascii="Arial" w:hAnsi="Arial" w:cs="Arial"/>
          <w:color w:val="7B7B7B" w:themeColor="accent3" w:themeShade="BF"/>
          <w:sz w:val="22"/>
          <w:szCs w:val="22"/>
          <w:lang w:val="en-GB"/>
        </w:rPr>
        <w:t>apply</w:t>
      </w:r>
      <w:r>
        <w:rPr>
          <w:rFonts w:ascii="Arial" w:hAnsi="Arial" w:cs="Arial"/>
          <w:color w:val="7B7B7B" w:themeColor="accent3" w:themeShade="BF"/>
          <w:sz w:val="22"/>
          <w:szCs w:val="22"/>
          <w:lang w:val="en-GB"/>
        </w:rPr>
        <w:t xml:space="preserve"> to avoid the floating charge granted by the Company in favour of Stercus Bank plc pursuant to section 245 of the Insolvency Act (IA). Section 245 IA provides for avoidance of floating charges where pre-existing unsecured creditors obtain a floating charge shortly before the company goes into a formal insolvency procedure (including liquidation). This provision applies</w:t>
      </w:r>
      <w:r w:rsidR="00E15171">
        <w:rPr>
          <w:rFonts w:ascii="Arial" w:hAnsi="Arial" w:cs="Arial"/>
          <w:color w:val="7B7B7B" w:themeColor="accent3" w:themeShade="BF"/>
          <w:sz w:val="22"/>
          <w:szCs w:val="22"/>
          <w:lang w:val="en-GB"/>
        </w:rPr>
        <w:t>:</w:t>
      </w:r>
    </w:p>
    <w:p w14:paraId="533F9AB0" w14:textId="77777777" w:rsidR="00E15171" w:rsidRDefault="00E15171" w:rsidP="00FF5098">
      <w:pPr>
        <w:jc w:val="both"/>
        <w:rPr>
          <w:rFonts w:ascii="Arial" w:hAnsi="Arial" w:cs="Arial"/>
          <w:color w:val="7B7B7B" w:themeColor="accent3" w:themeShade="BF"/>
          <w:sz w:val="22"/>
          <w:szCs w:val="22"/>
          <w:lang w:val="en-GB"/>
        </w:rPr>
      </w:pPr>
    </w:p>
    <w:p w14:paraId="7AB61283" w14:textId="0AD36A78" w:rsidR="00E15171" w:rsidRDefault="00E15171" w:rsidP="00E1517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w:t>
      </w:r>
      <w:r w:rsidR="00714F39" w:rsidRPr="00E15171">
        <w:rPr>
          <w:rFonts w:ascii="Arial" w:hAnsi="Arial" w:cs="Arial"/>
          <w:color w:val="7B7B7B" w:themeColor="accent3" w:themeShade="BF"/>
          <w:sz w:val="22"/>
          <w:szCs w:val="22"/>
          <w:lang w:val="en-GB"/>
        </w:rPr>
        <w:t>the floating charge is created in favour of a person connected with the company within the 2-year period prior to onset of insolvency</w:t>
      </w:r>
      <w:r>
        <w:rPr>
          <w:rFonts w:ascii="Arial" w:hAnsi="Arial" w:cs="Arial"/>
          <w:color w:val="7B7B7B" w:themeColor="accent3" w:themeShade="BF"/>
          <w:sz w:val="22"/>
          <w:szCs w:val="22"/>
          <w:lang w:val="en-GB"/>
        </w:rPr>
        <w:t>;</w:t>
      </w:r>
    </w:p>
    <w:p w14:paraId="0A188A55" w14:textId="19FE6EB1" w:rsidR="00FF5098" w:rsidRDefault="00E15171" w:rsidP="00E1517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floating charge is created in favour of a person not connected with the company,</w:t>
      </w:r>
      <w:r w:rsidR="00714F39" w:rsidRPr="00E15171">
        <w:rPr>
          <w:rFonts w:ascii="Arial" w:hAnsi="Arial" w:cs="Arial"/>
          <w:color w:val="7B7B7B" w:themeColor="accent3" w:themeShade="BF"/>
          <w:sz w:val="22"/>
          <w:szCs w:val="22"/>
          <w:lang w:val="en-GB"/>
        </w:rPr>
        <w:t xml:space="preserve"> within a 12-month period prior to onset of insolvency</w:t>
      </w:r>
      <w:r>
        <w:rPr>
          <w:rFonts w:ascii="Arial" w:hAnsi="Arial" w:cs="Arial"/>
          <w:color w:val="7B7B7B" w:themeColor="accent3" w:themeShade="BF"/>
          <w:sz w:val="22"/>
          <w:szCs w:val="22"/>
          <w:lang w:val="en-GB"/>
        </w:rPr>
        <w:t>, provided the company was either unable to pay its debts (within the meaning of section 123 IA) or becomes unable to do so in consequence of the transaction.</w:t>
      </w:r>
    </w:p>
    <w:p w14:paraId="5CBD9EE4" w14:textId="71856DD0" w:rsidR="00E15171" w:rsidRDefault="00E15171" w:rsidP="00E15171">
      <w:pPr>
        <w:jc w:val="both"/>
        <w:rPr>
          <w:rFonts w:ascii="Arial" w:hAnsi="Arial" w:cs="Arial"/>
          <w:color w:val="7B7B7B" w:themeColor="accent3" w:themeShade="BF"/>
          <w:sz w:val="22"/>
          <w:szCs w:val="22"/>
          <w:lang w:val="en-GB"/>
        </w:rPr>
      </w:pPr>
    </w:p>
    <w:p w14:paraId="26D2AE5D" w14:textId="707F64C0" w:rsidR="00E15171" w:rsidRDefault="00E15171" w:rsidP="00E151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facts, there is nothing to show that Stercus Bank plc is connected with the Company. In any event, the creation of the floating charge in favour of Stercus Bank plc (in February 2021) is still within the 12-months’ period prior to the commencement of winding-up on 14 October 2021 required for purposes of section 245.</w:t>
      </w:r>
    </w:p>
    <w:p w14:paraId="6248FB01" w14:textId="24D24CE0" w:rsidR="00E15171" w:rsidRDefault="00E15171" w:rsidP="00E15171">
      <w:pPr>
        <w:jc w:val="both"/>
        <w:rPr>
          <w:rFonts w:ascii="Arial" w:hAnsi="Arial" w:cs="Arial"/>
          <w:color w:val="7B7B7B" w:themeColor="accent3" w:themeShade="BF"/>
          <w:sz w:val="22"/>
          <w:szCs w:val="22"/>
          <w:lang w:val="en-GB"/>
        </w:rPr>
      </w:pPr>
    </w:p>
    <w:p w14:paraId="32DBFC5A" w14:textId="5175475C" w:rsidR="00E15171" w:rsidRDefault="00E15171" w:rsidP="00E151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245 IA, the floating charge will not be invalid to the extent of any new consideration that is provided for the floating charge. New consideration is</w:t>
      </w:r>
      <w:r w:rsidR="00A73A11">
        <w:rPr>
          <w:rFonts w:ascii="Arial" w:hAnsi="Arial" w:cs="Arial"/>
          <w:color w:val="7B7B7B" w:themeColor="accent3" w:themeShade="BF"/>
          <w:sz w:val="22"/>
          <w:szCs w:val="22"/>
          <w:lang w:val="en-GB"/>
        </w:rPr>
        <w:t>:</w:t>
      </w:r>
    </w:p>
    <w:p w14:paraId="281B0818" w14:textId="3012571D" w:rsidR="00A73A11" w:rsidRDefault="00A73A11" w:rsidP="00E15171">
      <w:pPr>
        <w:jc w:val="both"/>
        <w:rPr>
          <w:rFonts w:ascii="Arial" w:hAnsi="Arial" w:cs="Arial"/>
          <w:color w:val="7B7B7B" w:themeColor="accent3" w:themeShade="BF"/>
          <w:sz w:val="22"/>
          <w:szCs w:val="22"/>
          <w:lang w:val="en-GB"/>
        </w:rPr>
      </w:pPr>
    </w:p>
    <w:p w14:paraId="4AA4B792" w14:textId="274F6C6B" w:rsidR="00A73A11" w:rsidRDefault="00A73A11" w:rsidP="00A73A1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so much of the consideration for the creation of charge as consists of money paid, or goods or services supplied, to the company at the same time as or after the creation of the charge;</w:t>
      </w:r>
    </w:p>
    <w:p w14:paraId="2CFF192B" w14:textId="030937DD" w:rsidR="00A73A11" w:rsidRDefault="00A73A11" w:rsidP="00A73A1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so much of that consideration as consists of the discharge or reduction of any debt of the company, at the same time as or after the creation of the charge; and</w:t>
      </w:r>
    </w:p>
    <w:p w14:paraId="13B0C81E" w14:textId="0D3ECC04" w:rsidR="00A73A11" w:rsidRDefault="00A73A11" w:rsidP="00A73A1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of such interest (if any) as is payable on the amount falling within (a) and (b) above pursuant to any agreement under which the money was so paid, the goods or services so supplied, or the debt so discharged or reduced.</w:t>
      </w:r>
    </w:p>
    <w:p w14:paraId="3D256914" w14:textId="2B8E07AB" w:rsidR="00A73A11" w:rsidRDefault="00A73A11" w:rsidP="00A73A11">
      <w:pPr>
        <w:jc w:val="both"/>
        <w:rPr>
          <w:rFonts w:ascii="Arial" w:hAnsi="Arial" w:cs="Arial"/>
          <w:color w:val="7B7B7B" w:themeColor="accent3" w:themeShade="BF"/>
          <w:sz w:val="22"/>
          <w:szCs w:val="22"/>
          <w:lang w:val="en-GB"/>
        </w:rPr>
      </w:pPr>
    </w:p>
    <w:p w14:paraId="02C8FEAC" w14:textId="6BA7F2C8" w:rsidR="00A73A11" w:rsidRDefault="00A73A11" w:rsidP="00A73A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Here, unless there is new information, it does not seem that there was any new consideration for the creation of the floating charge in favour of Stercus Bank plc.</w:t>
      </w:r>
    </w:p>
    <w:p w14:paraId="2519C886" w14:textId="692E8116" w:rsidR="00A73A11" w:rsidRDefault="00A73A11" w:rsidP="00A73A11">
      <w:pPr>
        <w:jc w:val="both"/>
        <w:rPr>
          <w:rFonts w:ascii="Arial" w:hAnsi="Arial" w:cs="Arial"/>
          <w:color w:val="7B7B7B" w:themeColor="accent3" w:themeShade="BF"/>
          <w:sz w:val="22"/>
          <w:szCs w:val="22"/>
          <w:lang w:val="en-GB"/>
        </w:rPr>
      </w:pPr>
    </w:p>
    <w:p w14:paraId="74C366AC" w14:textId="1FEB00E0" w:rsidR="007E2919" w:rsidRDefault="00A73A11" w:rsidP="00A73A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if the floating charge is invalid under section 245 IA (save to the extent of any new consideration), the underlying debt owing to Stercus Bank plc remains valid. Anything already done under the authority of the floating charge also remains valid. </w:t>
      </w:r>
    </w:p>
    <w:p w14:paraId="158D51BE" w14:textId="69859A9F" w:rsidR="00FB2FD0" w:rsidRDefault="00FB2FD0" w:rsidP="00A73A11">
      <w:pPr>
        <w:jc w:val="both"/>
        <w:rPr>
          <w:rFonts w:ascii="Arial" w:hAnsi="Arial" w:cs="Arial"/>
          <w:color w:val="7B7B7B" w:themeColor="accent3" w:themeShade="BF"/>
          <w:sz w:val="22"/>
          <w:szCs w:val="22"/>
          <w:lang w:val="en-GB"/>
        </w:rPr>
      </w:pPr>
    </w:p>
    <w:p w14:paraId="4589B33B" w14:textId="52B5F31C" w:rsidR="00FB2FD0" w:rsidRPr="00A73A11" w:rsidRDefault="00FB2FD0" w:rsidP="00A73A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section 245 IA deals specifically with avoidance of floating charges, the liquidator </w:t>
      </w:r>
      <w:r w:rsidR="00E230ED">
        <w:rPr>
          <w:rFonts w:ascii="Arial" w:hAnsi="Arial" w:cs="Arial"/>
          <w:color w:val="7B7B7B" w:themeColor="accent3" w:themeShade="BF"/>
          <w:sz w:val="22"/>
          <w:szCs w:val="22"/>
          <w:lang w:val="en-GB"/>
        </w:rPr>
        <w:t xml:space="preserve">may also </w:t>
      </w:r>
      <w:r>
        <w:rPr>
          <w:rFonts w:ascii="Arial" w:hAnsi="Arial" w:cs="Arial"/>
          <w:color w:val="7B7B7B" w:themeColor="accent3" w:themeShade="BF"/>
          <w:sz w:val="22"/>
          <w:szCs w:val="22"/>
          <w:lang w:val="en-GB"/>
        </w:rPr>
        <w:t>tak</w:t>
      </w:r>
      <w:r w:rsidR="00E230ED">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action pursuant to section 239 IA if the creation of the floating charge was motivated by a desire to prefer Stercus Bank plc by putting it in a better position than it would have been in liquidation if not for the creation of the floating charge. However, this requirement for section 239 IA to show the desire to prefer is harder to prove, and </w:t>
      </w:r>
      <w:r w:rsidR="00E230ED">
        <w:rPr>
          <w:rFonts w:ascii="Arial" w:hAnsi="Arial" w:cs="Arial"/>
          <w:color w:val="7B7B7B" w:themeColor="accent3" w:themeShade="BF"/>
          <w:sz w:val="22"/>
          <w:szCs w:val="22"/>
          <w:lang w:val="en-GB"/>
        </w:rPr>
        <w:t xml:space="preserve">it is advisable that </w:t>
      </w:r>
      <w:r>
        <w:rPr>
          <w:rFonts w:ascii="Arial" w:hAnsi="Arial" w:cs="Arial"/>
          <w:color w:val="7B7B7B" w:themeColor="accent3" w:themeShade="BF"/>
          <w:sz w:val="22"/>
          <w:szCs w:val="22"/>
          <w:lang w:val="en-GB"/>
        </w:rPr>
        <w:t xml:space="preserve">the Company’s liquidator should therefore </w:t>
      </w:r>
      <w:r w:rsidR="00E230ED">
        <w:rPr>
          <w:rFonts w:ascii="Arial" w:hAnsi="Arial" w:cs="Arial"/>
          <w:color w:val="7B7B7B" w:themeColor="accent3" w:themeShade="BF"/>
          <w:sz w:val="22"/>
          <w:szCs w:val="22"/>
          <w:lang w:val="en-GB"/>
        </w:rPr>
        <w:t>take action under section 245 IA instead.</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4A8F6D6E" w:rsidR="00FF5098" w:rsidRDefault="0011147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r w:rsidR="00AE7A4A">
        <w:rPr>
          <w:rFonts w:ascii="Arial" w:hAnsi="Arial" w:cs="Arial"/>
          <w:color w:val="7B7B7B" w:themeColor="accent3" w:themeShade="BF"/>
          <w:sz w:val="22"/>
          <w:szCs w:val="22"/>
          <w:lang w:val="en-GB"/>
        </w:rPr>
        <w:t xml:space="preserve"> may take action in respect of the sale of the coffee roasting machines pursuant to section 238 IA in relation to transactions at an undervalue. Under section 238 IA, </w:t>
      </w:r>
      <w:r w:rsidR="0042457F">
        <w:rPr>
          <w:rFonts w:ascii="Arial" w:hAnsi="Arial" w:cs="Arial"/>
          <w:color w:val="7B7B7B" w:themeColor="accent3" w:themeShade="BF"/>
          <w:sz w:val="22"/>
          <w:szCs w:val="22"/>
          <w:lang w:val="en-GB"/>
        </w:rPr>
        <w:t xml:space="preserve">a </w:t>
      </w:r>
      <w:r w:rsidR="00AE7A4A">
        <w:rPr>
          <w:rFonts w:ascii="Arial" w:hAnsi="Arial" w:cs="Arial"/>
          <w:color w:val="7B7B7B" w:themeColor="accent3" w:themeShade="BF"/>
          <w:sz w:val="22"/>
          <w:szCs w:val="22"/>
          <w:lang w:val="en-GB"/>
        </w:rPr>
        <w:t xml:space="preserve">transaction at an undervalue </w:t>
      </w:r>
      <w:r w:rsidR="0042457F">
        <w:rPr>
          <w:rFonts w:ascii="Arial" w:hAnsi="Arial" w:cs="Arial"/>
          <w:color w:val="7B7B7B" w:themeColor="accent3" w:themeShade="BF"/>
          <w:sz w:val="22"/>
          <w:szCs w:val="22"/>
          <w:lang w:val="en-GB"/>
        </w:rPr>
        <w:t>is</w:t>
      </w:r>
      <w:r w:rsidR="00AE7A4A">
        <w:rPr>
          <w:rFonts w:ascii="Arial" w:hAnsi="Arial" w:cs="Arial"/>
          <w:color w:val="7B7B7B" w:themeColor="accent3" w:themeShade="BF"/>
          <w:sz w:val="22"/>
          <w:szCs w:val="22"/>
          <w:lang w:val="en-GB"/>
        </w:rPr>
        <w:t xml:space="preserve"> where the company makes a gift to another person or otherwise enters into a transaction with another person that provide for the company to receive </w:t>
      </w:r>
      <w:r w:rsidR="00AE7A4A">
        <w:rPr>
          <w:rFonts w:ascii="Arial" w:hAnsi="Arial" w:cs="Arial"/>
          <w:color w:val="7B7B7B" w:themeColor="accent3" w:themeShade="BF"/>
          <w:sz w:val="22"/>
          <w:szCs w:val="22"/>
          <w:lang w:val="en-GB"/>
        </w:rPr>
        <w:lastRenderedPageBreak/>
        <w:t>no consideration, or the company enters into a transaction with another person for a consideration (in money or money’s worth) which is significantly less than the consideration (in money or money’s worth) provided by the company</w:t>
      </w:r>
      <w:r w:rsidR="0042457F">
        <w:rPr>
          <w:rFonts w:ascii="Arial" w:hAnsi="Arial" w:cs="Arial"/>
          <w:color w:val="7B7B7B" w:themeColor="accent3" w:themeShade="BF"/>
          <w:sz w:val="22"/>
          <w:szCs w:val="22"/>
          <w:lang w:val="en-GB"/>
        </w:rPr>
        <w:t xml:space="preserve">. In this case, the coffee roasting machines was sold for £10,000 only, which is significantly less than the consideration of £25,000 paid by the Company for the machines one year ago. </w:t>
      </w:r>
      <w:r w:rsidR="00496C9F">
        <w:rPr>
          <w:rFonts w:ascii="Arial" w:hAnsi="Arial" w:cs="Arial"/>
          <w:color w:val="7B7B7B" w:themeColor="accent3" w:themeShade="BF"/>
          <w:sz w:val="22"/>
          <w:szCs w:val="22"/>
          <w:lang w:val="en-GB"/>
        </w:rPr>
        <w:t>The sale of the coffee roasting machines therefore amounts to a transaction at an undervalue for purposes of section 238 IA.</w:t>
      </w:r>
    </w:p>
    <w:p w14:paraId="7B65F8D6" w14:textId="12082ED1" w:rsidR="00496C9F" w:rsidRDefault="00496C9F" w:rsidP="00FF5098">
      <w:pPr>
        <w:jc w:val="both"/>
        <w:rPr>
          <w:rFonts w:ascii="Arial" w:hAnsi="Arial" w:cs="Arial"/>
          <w:color w:val="7B7B7B" w:themeColor="accent3" w:themeShade="BF"/>
          <w:sz w:val="22"/>
          <w:szCs w:val="22"/>
          <w:lang w:val="en-GB"/>
        </w:rPr>
      </w:pPr>
    </w:p>
    <w:p w14:paraId="5EF8D22E" w14:textId="0DA52C18" w:rsidR="00496C9F" w:rsidRDefault="00496C9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purposes of an action under section 238 IA, the transaction in question must be within the relevant time of 2 years prior to the commencement of the liquidation. This requirement is satisfied as the sale of the coffee roasting machines was in July 2021, well within the 2 years before the commencement of the winding-up of the Company on 14 October 2021.</w:t>
      </w:r>
    </w:p>
    <w:p w14:paraId="02D7E809" w14:textId="1499468D" w:rsidR="00496C9F" w:rsidRDefault="00496C9F" w:rsidP="00FF5098">
      <w:pPr>
        <w:jc w:val="both"/>
        <w:rPr>
          <w:rFonts w:ascii="Arial" w:hAnsi="Arial" w:cs="Arial"/>
          <w:color w:val="7B7B7B" w:themeColor="accent3" w:themeShade="BF"/>
          <w:sz w:val="22"/>
          <w:szCs w:val="22"/>
          <w:lang w:val="en-GB"/>
        </w:rPr>
      </w:pPr>
    </w:p>
    <w:p w14:paraId="0124A377" w14:textId="276FE21E" w:rsidR="00496C9F" w:rsidRDefault="00496C9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for an action under section 238 IA, it must be shown that the company was unable to pay its debts as they fell due or that it became unable to pay its debts (within the meaning of section 123 IA) as a consequence of the transaction in question. However, where the transaction is with a connected person, there is a presumption that the company is insolvent or has become insolven</w:t>
      </w:r>
      <w:r w:rsidR="008D350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as a consequence of the transaction, unless proven otherwise. </w:t>
      </w:r>
      <w:r w:rsidR="008D3506">
        <w:rPr>
          <w:rFonts w:ascii="Arial" w:hAnsi="Arial" w:cs="Arial"/>
          <w:color w:val="7B7B7B" w:themeColor="accent3" w:themeShade="BF"/>
          <w:sz w:val="22"/>
          <w:szCs w:val="22"/>
          <w:lang w:val="en-GB"/>
        </w:rPr>
        <w:t xml:space="preserve">Persons connected with a company would include a director of the company (section 249 IA). </w:t>
      </w:r>
      <w:r>
        <w:rPr>
          <w:rFonts w:ascii="Arial" w:hAnsi="Arial" w:cs="Arial"/>
          <w:color w:val="7B7B7B" w:themeColor="accent3" w:themeShade="BF"/>
          <w:sz w:val="22"/>
          <w:szCs w:val="22"/>
          <w:lang w:val="en-GB"/>
        </w:rPr>
        <w:t xml:space="preserve">On the facts, </w:t>
      </w:r>
      <w:r w:rsidR="008D3506">
        <w:rPr>
          <w:rFonts w:ascii="Arial" w:hAnsi="Arial" w:cs="Arial"/>
          <w:color w:val="7B7B7B" w:themeColor="accent3" w:themeShade="BF"/>
          <w:sz w:val="22"/>
          <w:szCs w:val="22"/>
          <w:lang w:val="en-GB"/>
        </w:rPr>
        <w:t>the sale of the coffee roasting machines was to Ann Young, a director of the Company. As such, the presumption applies and the onus will be on Ann Young to prove the contrary.</w:t>
      </w:r>
    </w:p>
    <w:p w14:paraId="0A426C99" w14:textId="314CD8F0" w:rsidR="008D3506" w:rsidRDefault="008D3506" w:rsidP="00FF5098">
      <w:pPr>
        <w:jc w:val="both"/>
        <w:rPr>
          <w:rFonts w:ascii="Arial" w:hAnsi="Arial" w:cs="Arial"/>
          <w:color w:val="7B7B7B" w:themeColor="accent3" w:themeShade="BF"/>
          <w:sz w:val="22"/>
          <w:szCs w:val="22"/>
          <w:lang w:val="en-GB"/>
        </w:rPr>
      </w:pPr>
    </w:p>
    <w:p w14:paraId="6C2B413B" w14:textId="66F0860C" w:rsidR="008D3506" w:rsidRDefault="001176B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all the requirements are met, the court may make such order as it thinks fit for restoring the position to what it would have been if the Company had not entered into that transaction. The court has power to make a variety of orders, including requiring any property </w:t>
      </w:r>
      <w:r w:rsidR="00DF5B57">
        <w:rPr>
          <w:rFonts w:ascii="Arial" w:hAnsi="Arial" w:cs="Arial"/>
          <w:color w:val="7B7B7B" w:themeColor="accent3" w:themeShade="BF"/>
          <w:sz w:val="22"/>
          <w:szCs w:val="22"/>
          <w:lang w:val="en-GB"/>
        </w:rPr>
        <w:t>in the transaction to be vested in the company (see section 241 IA).</w:t>
      </w:r>
    </w:p>
    <w:p w14:paraId="7B93F030" w14:textId="757262D6" w:rsidR="001176BB" w:rsidRDefault="001176BB" w:rsidP="00FF5098">
      <w:pPr>
        <w:jc w:val="both"/>
        <w:rPr>
          <w:rFonts w:ascii="Arial" w:hAnsi="Arial" w:cs="Arial"/>
          <w:color w:val="7B7B7B" w:themeColor="accent3" w:themeShade="BF"/>
          <w:sz w:val="22"/>
          <w:szCs w:val="22"/>
          <w:lang w:val="en-GB"/>
        </w:rPr>
      </w:pPr>
    </w:p>
    <w:p w14:paraId="7AEDE530" w14:textId="77A4BA21" w:rsidR="00311816" w:rsidRDefault="00DF5B57" w:rsidP="00DF5B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liquidator should note that t</w:t>
      </w:r>
      <w:r w:rsidR="001176BB">
        <w:rPr>
          <w:rFonts w:ascii="Arial" w:hAnsi="Arial" w:cs="Arial"/>
          <w:color w:val="7B7B7B" w:themeColor="accent3" w:themeShade="BF"/>
          <w:sz w:val="22"/>
          <w:szCs w:val="22"/>
          <w:lang w:val="en-GB"/>
        </w:rPr>
        <w:t>he court shall not make an order in respect of a transaction at an undervalue if it is satisfied that the company entered into the transaction in good faith and for the purpose of carrying on its business, and that there was reasonable grounds for believing that the transaction would benefit the company at the time it did so.</w:t>
      </w:r>
      <w:r>
        <w:rPr>
          <w:rFonts w:ascii="Arial" w:hAnsi="Arial" w:cs="Arial"/>
          <w:color w:val="7B7B7B" w:themeColor="accent3" w:themeShade="BF"/>
          <w:sz w:val="22"/>
          <w:szCs w:val="22"/>
          <w:lang w:val="en-GB"/>
        </w:rPr>
        <w:t xml:space="preserve"> On the facts, it appears that the Company was having cash flow problems at the time of the sale of the coffee roasting machines (which was sold in cash) and the court may be satisfied that the Company had sold the machines in good faith for purpose of dealing with its cash flow problems to carry on its business.</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093C98B6" w:rsidR="008769B2" w:rsidRDefault="00A83AA0"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apply to avoid the payments to Beans and Leaves Ltd pursuant to section 239</w:t>
      </w:r>
      <w:r w:rsidR="00AE4A89">
        <w:rPr>
          <w:rFonts w:ascii="Arial" w:hAnsi="Arial" w:cs="Arial"/>
          <w:color w:val="7B7B7B" w:themeColor="accent3" w:themeShade="BF"/>
          <w:sz w:val="22"/>
          <w:szCs w:val="22"/>
          <w:lang w:val="en-GB"/>
        </w:rPr>
        <w:t xml:space="preserve"> IA</w:t>
      </w:r>
      <w:r>
        <w:rPr>
          <w:rFonts w:ascii="Arial" w:hAnsi="Arial" w:cs="Arial"/>
          <w:color w:val="7B7B7B" w:themeColor="accent3" w:themeShade="BF"/>
          <w:sz w:val="22"/>
          <w:szCs w:val="22"/>
          <w:lang w:val="en-GB"/>
        </w:rPr>
        <w:t>,</w:t>
      </w:r>
      <w:r w:rsidR="00AE4A89">
        <w:rPr>
          <w:rFonts w:ascii="Arial" w:hAnsi="Arial" w:cs="Arial"/>
          <w:color w:val="7B7B7B" w:themeColor="accent3" w:themeShade="BF"/>
          <w:sz w:val="22"/>
          <w:szCs w:val="22"/>
          <w:lang w:val="en-GB"/>
        </w:rPr>
        <w:t xml:space="preserve"> which relates to preference for a creditor. Section 239 IA enables </w:t>
      </w:r>
      <w:r w:rsidR="00F43A63">
        <w:rPr>
          <w:rFonts w:ascii="Arial" w:hAnsi="Arial" w:cs="Arial"/>
          <w:color w:val="7B7B7B" w:themeColor="accent3" w:themeShade="BF"/>
          <w:sz w:val="22"/>
          <w:szCs w:val="22"/>
          <w:lang w:val="en-GB"/>
        </w:rPr>
        <w:t>the avoidance of a transaction which places a creditor in a better position than others shortly prior to the company entering a formal insolvency procedure (including liquidation).</w:t>
      </w:r>
    </w:p>
    <w:p w14:paraId="74BB45E5" w14:textId="4F7562D8" w:rsidR="00F43A63" w:rsidRDefault="00F43A63" w:rsidP="008769B2">
      <w:pPr>
        <w:jc w:val="both"/>
        <w:rPr>
          <w:rFonts w:ascii="Arial" w:hAnsi="Arial" w:cs="Arial"/>
          <w:color w:val="7B7B7B" w:themeColor="accent3" w:themeShade="BF"/>
          <w:sz w:val="22"/>
          <w:szCs w:val="22"/>
          <w:lang w:val="en-GB"/>
        </w:rPr>
      </w:pPr>
    </w:p>
    <w:p w14:paraId="655DCDA9" w14:textId="695A2638" w:rsidR="00F43A63" w:rsidRDefault="00B54BE8"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an order u</w:t>
      </w:r>
      <w:r w:rsidR="00F43A63">
        <w:rPr>
          <w:rFonts w:ascii="Arial" w:hAnsi="Arial" w:cs="Arial"/>
          <w:color w:val="7B7B7B" w:themeColor="accent3" w:themeShade="BF"/>
          <w:sz w:val="22"/>
          <w:szCs w:val="22"/>
          <w:lang w:val="en-GB"/>
        </w:rPr>
        <w:t>nder section 239, it must be shown that:</w:t>
      </w:r>
    </w:p>
    <w:p w14:paraId="66CCA360" w14:textId="53A47E5A" w:rsidR="00F43A63" w:rsidRDefault="00F43A63" w:rsidP="008769B2">
      <w:pPr>
        <w:jc w:val="both"/>
        <w:rPr>
          <w:rFonts w:ascii="Arial" w:hAnsi="Arial" w:cs="Arial"/>
          <w:color w:val="7B7B7B" w:themeColor="accent3" w:themeShade="BF"/>
          <w:sz w:val="22"/>
          <w:szCs w:val="22"/>
          <w:lang w:val="en-GB"/>
        </w:rPr>
      </w:pPr>
    </w:p>
    <w:p w14:paraId="689032C9" w14:textId="4E1C69DA" w:rsidR="00F43A63" w:rsidRDefault="00F43A63" w:rsidP="00F43A63">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alleged to be preferred was a creditor of the company at the time of the transaction. Here, Beans and Leaves Ltd was a supplier which was owed money</w:t>
      </w:r>
      <w:r w:rsidR="00B54BE8">
        <w:rPr>
          <w:rFonts w:ascii="Arial" w:hAnsi="Arial" w:cs="Arial"/>
          <w:color w:val="7B7B7B" w:themeColor="accent3" w:themeShade="BF"/>
          <w:sz w:val="22"/>
          <w:szCs w:val="22"/>
          <w:lang w:val="en-GB"/>
        </w:rPr>
        <w:t xml:space="preserve"> by the Company</w:t>
      </w:r>
      <w:r>
        <w:rPr>
          <w:rFonts w:ascii="Arial" w:hAnsi="Arial" w:cs="Arial"/>
          <w:color w:val="7B7B7B" w:themeColor="accent3" w:themeShade="BF"/>
          <w:sz w:val="22"/>
          <w:szCs w:val="22"/>
          <w:lang w:val="en-GB"/>
        </w:rPr>
        <w:t xml:space="preserve"> for supplies already provided at the time </w:t>
      </w:r>
      <w:r w:rsidR="00B54BE8">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the payment;</w:t>
      </w:r>
    </w:p>
    <w:p w14:paraId="5A5FF0C3" w14:textId="77777777" w:rsidR="00F43A63" w:rsidRDefault="00F43A63" w:rsidP="00F43A63">
      <w:pPr>
        <w:pStyle w:val="ListParagraph"/>
        <w:jc w:val="both"/>
        <w:rPr>
          <w:rFonts w:ascii="Arial" w:hAnsi="Arial" w:cs="Arial"/>
          <w:color w:val="7B7B7B" w:themeColor="accent3" w:themeShade="BF"/>
          <w:sz w:val="22"/>
          <w:szCs w:val="22"/>
          <w:lang w:val="en-GB"/>
        </w:rPr>
      </w:pPr>
    </w:p>
    <w:p w14:paraId="30049F4F" w14:textId="0FED9490" w:rsidR="00F43A63" w:rsidRDefault="00F43A63" w:rsidP="00F43A63">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Something was done by the company which had the effect of putting the person in a better position in</w:t>
      </w:r>
      <w:r w:rsidR="00B54BE8">
        <w:rPr>
          <w:rFonts w:ascii="Arial" w:hAnsi="Arial" w:cs="Arial"/>
          <w:color w:val="7B7B7B" w:themeColor="accent3" w:themeShade="BF"/>
          <w:sz w:val="22"/>
          <w:szCs w:val="22"/>
          <w:lang w:val="en-GB"/>
        </w:rPr>
        <w:t xml:space="preserve"> liquidation, than that person would have been if that thing had not been done. Here, the Company authorised the payment to Beans and Leaves Ltd for </w:t>
      </w:r>
      <w:r w:rsidR="00B54BE8">
        <w:rPr>
          <w:rFonts w:ascii="Arial" w:hAnsi="Arial" w:cs="Arial"/>
          <w:color w:val="7B7B7B" w:themeColor="accent3" w:themeShade="BF"/>
          <w:sz w:val="22"/>
          <w:szCs w:val="22"/>
          <w:lang w:val="en-GB"/>
        </w:rPr>
        <w:lastRenderedPageBreak/>
        <w:t>the existing debt of £8000 and a further £3000 for supplies up to the winding-up of the Company. As a result, Beans and Leaves Ltd received payment in priority for the debt owing to it, when it should be ranked as an unsecured creditor in liquidation;</w:t>
      </w:r>
    </w:p>
    <w:p w14:paraId="60F6160E" w14:textId="77777777" w:rsidR="00B54BE8" w:rsidRPr="00B54BE8" w:rsidRDefault="00B54BE8" w:rsidP="00B54BE8">
      <w:pPr>
        <w:pStyle w:val="ListParagraph"/>
        <w:rPr>
          <w:rFonts w:ascii="Arial" w:hAnsi="Arial" w:cs="Arial"/>
          <w:color w:val="7B7B7B" w:themeColor="accent3" w:themeShade="BF"/>
          <w:sz w:val="22"/>
          <w:szCs w:val="22"/>
          <w:lang w:val="en-GB"/>
        </w:rPr>
      </w:pPr>
    </w:p>
    <w:p w14:paraId="28690BCA" w14:textId="32F46171" w:rsidR="00B54BE8" w:rsidRDefault="00B54BE8" w:rsidP="00F43A63">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influenced by a desire to produce the effect of preferring the person preferred in doing the transaction. </w:t>
      </w:r>
      <w:r w:rsidR="00642B96">
        <w:rPr>
          <w:rFonts w:ascii="Arial" w:hAnsi="Arial" w:cs="Arial"/>
          <w:color w:val="7B7B7B" w:themeColor="accent3" w:themeShade="BF"/>
          <w:sz w:val="22"/>
          <w:szCs w:val="22"/>
          <w:lang w:val="en-GB"/>
        </w:rPr>
        <w:t xml:space="preserve">This means that there must be an intention to prefer that creditor, and not a desire to avoid the calling of the debt or to have continuation of trading (with reference to guidance in the case of </w:t>
      </w:r>
      <w:r w:rsidR="00642B96" w:rsidRPr="00642B96">
        <w:rPr>
          <w:rFonts w:ascii="Arial" w:hAnsi="Arial" w:cs="Arial"/>
          <w:i/>
          <w:color w:val="7B7B7B" w:themeColor="accent3" w:themeShade="BF"/>
          <w:sz w:val="22"/>
          <w:szCs w:val="22"/>
          <w:lang w:val="en-GB"/>
        </w:rPr>
        <w:t>Re MC Bacon Ltd</w:t>
      </w:r>
      <w:r w:rsidR="00642B96">
        <w:rPr>
          <w:rFonts w:ascii="Arial" w:hAnsi="Arial" w:cs="Arial"/>
          <w:color w:val="7B7B7B" w:themeColor="accent3" w:themeShade="BF"/>
          <w:sz w:val="22"/>
          <w:szCs w:val="22"/>
          <w:lang w:val="en-GB"/>
        </w:rPr>
        <w:t>)</w:t>
      </w:r>
      <w:r w:rsidR="00642B96">
        <w:rPr>
          <w:rStyle w:val="FootnoteReference"/>
          <w:rFonts w:ascii="Arial" w:hAnsi="Arial" w:cs="Arial"/>
          <w:color w:val="7B7B7B" w:themeColor="accent3" w:themeShade="BF"/>
          <w:sz w:val="22"/>
          <w:szCs w:val="22"/>
          <w:lang w:val="en-GB"/>
        </w:rPr>
        <w:footnoteReference w:id="1"/>
      </w:r>
      <w:r w:rsidR="00642B96">
        <w:rPr>
          <w:rFonts w:ascii="Arial" w:hAnsi="Arial" w:cs="Arial"/>
          <w:color w:val="7B7B7B" w:themeColor="accent3" w:themeShade="BF"/>
          <w:sz w:val="22"/>
          <w:szCs w:val="22"/>
          <w:lang w:val="en-GB"/>
        </w:rPr>
        <w:t>. There have been caselaw which held that were the company was influenced solely by commercial considerations to ensure the continuation of trading by the company, this does not amount to a desire to prefer the creditor.</w:t>
      </w:r>
    </w:p>
    <w:p w14:paraId="2C843522" w14:textId="77777777" w:rsidR="00247C27" w:rsidRPr="00247C27" w:rsidRDefault="00247C27" w:rsidP="00247C27">
      <w:pPr>
        <w:pStyle w:val="ListParagraph"/>
        <w:rPr>
          <w:rFonts w:ascii="Arial" w:hAnsi="Arial" w:cs="Arial"/>
          <w:color w:val="7B7B7B" w:themeColor="accent3" w:themeShade="BF"/>
          <w:sz w:val="22"/>
          <w:szCs w:val="22"/>
          <w:lang w:val="en-GB"/>
        </w:rPr>
      </w:pPr>
    </w:p>
    <w:p w14:paraId="3E47F5FA" w14:textId="7470B0FD" w:rsidR="00247C27" w:rsidRPr="001407A6" w:rsidRDefault="00247C27" w:rsidP="00247C2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creditor preferred is connected with the company, there is presumption that the company is influenced by the desire to prefer and it is for the connected person to rebut the presumption. It does not appear that Beans &amp; Leaves Ltd is a person connected to the Company on the available facts, so the burden will be on the Company’s liquidator to prove this requirement. </w:t>
      </w:r>
    </w:p>
    <w:p w14:paraId="00039802" w14:textId="3C81DA70" w:rsidR="00642B96" w:rsidRPr="00247C27" w:rsidRDefault="00642B96" w:rsidP="00247C27">
      <w:pPr>
        <w:rPr>
          <w:rFonts w:ascii="Arial" w:hAnsi="Arial" w:cs="Arial"/>
          <w:color w:val="7B7B7B" w:themeColor="accent3" w:themeShade="BF"/>
          <w:sz w:val="22"/>
          <w:szCs w:val="22"/>
          <w:lang w:val="en-GB"/>
        </w:rPr>
      </w:pPr>
    </w:p>
    <w:p w14:paraId="5CA5D08E" w14:textId="22FA0EF1" w:rsidR="00642B96" w:rsidRDefault="00642B96" w:rsidP="00642B9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Beans &amp; Leaves Ltd is a key supplier of the Company. As it seems that the payment to Beans &amp; Leaves Ltd was authorised on the basis that the supply of the coffee beans was essential to the Company’s continued trading, it does not seem that this requirement would be fulfilled on the facts of this case. Although Beans &amp; Leaves had applied pressure to the Company </w:t>
      </w:r>
      <w:r w:rsidR="001407A6">
        <w:rPr>
          <w:rFonts w:ascii="Arial" w:hAnsi="Arial" w:cs="Arial"/>
          <w:color w:val="7B7B7B" w:themeColor="accent3" w:themeShade="BF"/>
          <w:sz w:val="22"/>
          <w:szCs w:val="22"/>
          <w:lang w:val="en-GB"/>
        </w:rPr>
        <w:t>that continued supply must be on cash on delivery basis and demanding payment for existing liabilities, such pressure is irrelevant for section 239 if there is no desire by the Company to prefer Beans &amp; Leaves Ltd.</w:t>
      </w:r>
    </w:p>
    <w:p w14:paraId="611529AA" w14:textId="77777777" w:rsidR="00642B96" w:rsidRPr="00642B96" w:rsidRDefault="00642B96" w:rsidP="00642B96">
      <w:pPr>
        <w:pStyle w:val="ListParagraph"/>
        <w:rPr>
          <w:rFonts w:ascii="Arial" w:hAnsi="Arial" w:cs="Arial"/>
          <w:color w:val="7B7B7B" w:themeColor="accent3" w:themeShade="BF"/>
          <w:sz w:val="22"/>
          <w:szCs w:val="22"/>
          <w:lang w:val="en-GB"/>
        </w:rPr>
      </w:pPr>
    </w:p>
    <w:p w14:paraId="0EDE4E21" w14:textId="30C52D56" w:rsidR="00642B96" w:rsidRDefault="001407A6" w:rsidP="00F43A63">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preference was given at the relevant time which is:</w:t>
      </w:r>
    </w:p>
    <w:p w14:paraId="17691329" w14:textId="3510DA58" w:rsidR="001407A6" w:rsidRDefault="001407A6" w:rsidP="001407A6">
      <w:pPr>
        <w:pStyle w:val="ListParagraph"/>
        <w:jc w:val="both"/>
        <w:rPr>
          <w:rFonts w:ascii="Arial" w:hAnsi="Arial" w:cs="Arial"/>
          <w:color w:val="7B7B7B" w:themeColor="accent3" w:themeShade="BF"/>
          <w:sz w:val="22"/>
          <w:szCs w:val="22"/>
          <w:lang w:val="en-GB"/>
        </w:rPr>
      </w:pPr>
    </w:p>
    <w:p w14:paraId="274FBD31" w14:textId="77777777" w:rsidR="001407A6" w:rsidRDefault="001407A6" w:rsidP="001407A6">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connected person is preferred, within 2 years prior to onset of insolvency; or</w:t>
      </w:r>
    </w:p>
    <w:p w14:paraId="0A6BAFB7" w14:textId="072CCBE4" w:rsidR="001407A6" w:rsidRDefault="001407A6" w:rsidP="001407A6">
      <w:pPr>
        <w:pStyle w:val="ListParagraph"/>
        <w:numPr>
          <w:ilvl w:val="0"/>
          <w:numId w:val="28"/>
        </w:numPr>
        <w:jc w:val="both"/>
        <w:rPr>
          <w:rFonts w:ascii="Arial" w:hAnsi="Arial" w:cs="Arial"/>
          <w:color w:val="7B7B7B" w:themeColor="accent3" w:themeShade="BF"/>
          <w:sz w:val="22"/>
          <w:szCs w:val="22"/>
          <w:lang w:val="en-GB"/>
        </w:rPr>
      </w:pPr>
      <w:r w:rsidRPr="001407A6">
        <w:rPr>
          <w:rFonts w:ascii="Arial" w:hAnsi="Arial" w:cs="Arial"/>
          <w:color w:val="7B7B7B" w:themeColor="accent3" w:themeShade="BF"/>
          <w:sz w:val="22"/>
          <w:szCs w:val="22"/>
          <w:lang w:val="en-GB"/>
        </w:rPr>
        <w:t>If a person not connected to the company is preferred, within 6 months prior to the onset of insolvency.</w:t>
      </w:r>
    </w:p>
    <w:p w14:paraId="5C9690B7" w14:textId="32428AC9" w:rsidR="001407A6" w:rsidRDefault="001407A6" w:rsidP="001407A6">
      <w:pPr>
        <w:jc w:val="both"/>
        <w:rPr>
          <w:rFonts w:ascii="Arial" w:hAnsi="Arial" w:cs="Arial"/>
          <w:color w:val="7B7B7B" w:themeColor="accent3" w:themeShade="BF"/>
          <w:sz w:val="22"/>
          <w:szCs w:val="22"/>
          <w:lang w:val="en-GB"/>
        </w:rPr>
      </w:pPr>
    </w:p>
    <w:p w14:paraId="3DD3159D" w14:textId="04154046" w:rsidR="001407A6" w:rsidRDefault="001407A6" w:rsidP="001407A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Beans &amp; Leaves Ltd does not appear to be connected to the Company, the relevant time is 6 months prior to the commencement of winding-up on 14 October 2021. This requirement is fulfilled as the payments were within the 1 month prior to the commencement of winding-up.</w:t>
      </w:r>
    </w:p>
    <w:p w14:paraId="3E4F770D" w14:textId="0996FB5A" w:rsidR="001407A6" w:rsidRDefault="001407A6" w:rsidP="001407A6">
      <w:pPr>
        <w:jc w:val="both"/>
        <w:rPr>
          <w:rFonts w:ascii="Arial" w:hAnsi="Arial" w:cs="Arial"/>
          <w:color w:val="7B7B7B" w:themeColor="accent3" w:themeShade="BF"/>
          <w:sz w:val="22"/>
          <w:szCs w:val="22"/>
          <w:lang w:val="en-GB"/>
        </w:rPr>
      </w:pPr>
    </w:p>
    <w:p w14:paraId="00356612" w14:textId="0EED48B4" w:rsidR="001407A6" w:rsidRDefault="001407A6" w:rsidP="001407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for purposes of section 239 IA, it must be shown that the company was unable to pay its debts as they fell due (within the meaning of section 123 IA) or became unable to pay its debts as a consequence of the preference, at the time the preference was given. Here, the Company was already facing cash flow problems </w:t>
      </w:r>
      <w:r w:rsidR="00247C27">
        <w:rPr>
          <w:rFonts w:ascii="Arial" w:hAnsi="Arial" w:cs="Arial"/>
          <w:color w:val="7B7B7B" w:themeColor="accent3" w:themeShade="BF"/>
          <w:sz w:val="22"/>
          <w:szCs w:val="22"/>
          <w:lang w:val="en-GB"/>
        </w:rPr>
        <w:t>and the liquidator may be able to prove this requirement.</w:t>
      </w:r>
    </w:p>
    <w:p w14:paraId="400AEC8B" w14:textId="46E472E3" w:rsidR="00247C27" w:rsidRDefault="00247C27" w:rsidP="001407A6">
      <w:pPr>
        <w:jc w:val="both"/>
        <w:rPr>
          <w:rFonts w:ascii="Arial" w:hAnsi="Arial" w:cs="Arial"/>
          <w:color w:val="7B7B7B" w:themeColor="accent3" w:themeShade="BF"/>
          <w:sz w:val="22"/>
          <w:szCs w:val="22"/>
          <w:lang w:val="en-GB"/>
        </w:rPr>
      </w:pPr>
    </w:p>
    <w:p w14:paraId="7F4867F4" w14:textId="6F5EB8F8" w:rsidR="008769B2" w:rsidRPr="00FB2FD0" w:rsidRDefault="00247C27" w:rsidP="00FB2F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w:t>
      </w:r>
      <w:r w:rsidR="00FB2FD0">
        <w:rPr>
          <w:rFonts w:ascii="Arial" w:hAnsi="Arial" w:cs="Arial"/>
          <w:color w:val="7B7B7B" w:themeColor="accent3" w:themeShade="BF"/>
          <w:sz w:val="22"/>
          <w:szCs w:val="22"/>
          <w:lang w:val="en-GB"/>
        </w:rPr>
        <w:t xml:space="preserve">while most requirements for purposes of section 239 IA may be met, it would be difficult for the liquidator to show there is a desire to prefer Beans &amp; Leaves in making the payments. However, if the requirements are met, the court has the power to make a wide range of orders as it thinks fit for restoring the position to what it would have been if the company had not given that preference. </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5BF" w14:textId="77777777" w:rsidR="00A86D57" w:rsidRDefault="00A86D57" w:rsidP="00241B44">
      <w:r>
        <w:separator/>
      </w:r>
    </w:p>
  </w:endnote>
  <w:endnote w:type="continuationSeparator" w:id="0">
    <w:p w14:paraId="7E5A24A5" w14:textId="77777777" w:rsidR="00A86D57" w:rsidRDefault="00A86D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E6A6E" w:rsidRPr="00FC7B47" w:rsidRDefault="007E6A6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5B113BBE" w:rsidR="007E6A6E" w:rsidRDefault="007E6A6E"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7E6A6E" w:rsidRPr="009B4976" w:rsidRDefault="007E6A6E" w:rsidP="007E6A6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135A887" w:rsidR="007E6A6E" w:rsidRDefault="00E230ED" w:rsidP="009B4976">
    <w:pPr>
      <w:pStyle w:val="Footer"/>
      <w:ind w:right="360"/>
      <w:rPr>
        <w:rFonts w:ascii="Arial" w:hAnsi="Arial" w:cs="Arial"/>
        <w:sz w:val="18"/>
        <w:szCs w:val="18"/>
        <w:lang w:val="en-GB"/>
      </w:rPr>
    </w:pPr>
    <w:r>
      <w:rPr>
        <w:rFonts w:ascii="Arial" w:hAnsi="Arial" w:cs="Arial"/>
        <w:sz w:val="18"/>
        <w:szCs w:val="18"/>
        <w:lang w:val="en-GB"/>
      </w:rPr>
      <w:t>202122-527</w:t>
    </w:r>
    <w:r w:rsidR="007E6A6E" w:rsidRPr="009B4976">
      <w:rPr>
        <w:rFonts w:ascii="Arial" w:hAnsi="Arial" w:cs="Arial"/>
        <w:sz w:val="18"/>
        <w:szCs w:val="18"/>
        <w:lang w:val="en-GB"/>
      </w:rPr>
      <w:t>.assessment</w:t>
    </w:r>
    <w:r w:rsidR="007E6A6E">
      <w:rPr>
        <w:rFonts w:ascii="Arial" w:hAnsi="Arial" w:cs="Arial"/>
        <w:sz w:val="18"/>
        <w:szCs w:val="18"/>
        <w:lang w:val="en-GB"/>
      </w:rPr>
      <w: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E571" w14:textId="77777777" w:rsidR="00A86AF7" w:rsidRDefault="00A8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1B31" w14:textId="77777777" w:rsidR="00A86D57" w:rsidRDefault="00A86D57" w:rsidP="00241B44">
      <w:r>
        <w:separator/>
      </w:r>
    </w:p>
  </w:footnote>
  <w:footnote w:type="continuationSeparator" w:id="0">
    <w:p w14:paraId="5D3AB42E" w14:textId="77777777" w:rsidR="00A86D57" w:rsidRDefault="00A86D57" w:rsidP="00241B44">
      <w:r>
        <w:continuationSeparator/>
      </w:r>
    </w:p>
  </w:footnote>
  <w:footnote w:id="1">
    <w:p w14:paraId="0E8D6988" w14:textId="62B89466" w:rsidR="00642B96" w:rsidRPr="00642B96" w:rsidRDefault="00642B96">
      <w:pPr>
        <w:pStyle w:val="FootnoteText"/>
        <w:rPr>
          <w:lang w:val="en-MY"/>
        </w:rPr>
      </w:pPr>
      <w:r>
        <w:rPr>
          <w:rStyle w:val="FootnoteReference"/>
        </w:rPr>
        <w:footnoteRef/>
      </w:r>
      <w:r>
        <w:t xml:space="preserve"> </w:t>
      </w:r>
      <w:r>
        <w:rPr>
          <w:lang w:val="en-MY"/>
        </w:rPr>
        <w:t>[1990] BCC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AA2B" w14:textId="77777777" w:rsidR="00A86AF7" w:rsidRDefault="00A8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5DC0" w14:textId="77777777" w:rsidR="00A86AF7" w:rsidRDefault="00A86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F621" w14:textId="77777777" w:rsidR="00A86AF7" w:rsidRDefault="00A8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F6843"/>
    <w:multiLevelType w:val="hybridMultilevel"/>
    <w:tmpl w:val="FD7AC8DC"/>
    <w:lvl w:ilvl="0" w:tplc="78688E6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41C100C"/>
    <w:multiLevelType w:val="hybridMultilevel"/>
    <w:tmpl w:val="F49224B4"/>
    <w:lvl w:ilvl="0" w:tplc="EF80BAC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64942"/>
    <w:multiLevelType w:val="hybridMultilevel"/>
    <w:tmpl w:val="18F4A6CC"/>
    <w:lvl w:ilvl="0" w:tplc="A6941E1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49ED3E81"/>
    <w:multiLevelType w:val="hybridMultilevel"/>
    <w:tmpl w:val="AE0229F4"/>
    <w:lvl w:ilvl="0" w:tplc="F7BA4F5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F4D89"/>
    <w:multiLevelType w:val="hybridMultilevel"/>
    <w:tmpl w:val="6298FB24"/>
    <w:lvl w:ilvl="0" w:tplc="1FB2561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70FD5"/>
    <w:multiLevelType w:val="hybridMultilevel"/>
    <w:tmpl w:val="CBBC7BB4"/>
    <w:lvl w:ilvl="0" w:tplc="B390154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5D02D7C"/>
    <w:multiLevelType w:val="hybridMultilevel"/>
    <w:tmpl w:val="92625AC8"/>
    <w:lvl w:ilvl="0" w:tplc="D08AC70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CE3498"/>
    <w:multiLevelType w:val="hybridMultilevel"/>
    <w:tmpl w:val="63505FD0"/>
    <w:lvl w:ilvl="0" w:tplc="CD40B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F6945"/>
    <w:multiLevelType w:val="hybridMultilevel"/>
    <w:tmpl w:val="E5A23448"/>
    <w:lvl w:ilvl="0" w:tplc="7D16220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7AE18BE"/>
    <w:multiLevelType w:val="hybridMultilevel"/>
    <w:tmpl w:val="365E2A7C"/>
    <w:lvl w:ilvl="0" w:tplc="3940ABB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FA5E48"/>
    <w:multiLevelType w:val="hybridMultilevel"/>
    <w:tmpl w:val="FABEF474"/>
    <w:lvl w:ilvl="0" w:tplc="F888341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16"/>
  </w:num>
  <w:num w:numId="6">
    <w:abstractNumId w:val="2"/>
  </w:num>
  <w:num w:numId="7">
    <w:abstractNumId w:val="17"/>
  </w:num>
  <w:num w:numId="8">
    <w:abstractNumId w:val="23"/>
  </w:num>
  <w:num w:numId="9">
    <w:abstractNumId w:val="13"/>
  </w:num>
  <w:num w:numId="10">
    <w:abstractNumId w:val="26"/>
  </w:num>
  <w:num w:numId="11">
    <w:abstractNumId w:val="7"/>
  </w:num>
  <w:num w:numId="12">
    <w:abstractNumId w:val="20"/>
  </w:num>
  <w:num w:numId="13">
    <w:abstractNumId w:val="14"/>
  </w:num>
  <w:num w:numId="14">
    <w:abstractNumId w:val="6"/>
  </w:num>
  <w:num w:numId="15">
    <w:abstractNumId w:val="18"/>
  </w:num>
  <w:num w:numId="16">
    <w:abstractNumId w:val="22"/>
  </w:num>
  <w:num w:numId="17">
    <w:abstractNumId w:val="10"/>
  </w:num>
  <w:num w:numId="18">
    <w:abstractNumId w:val="15"/>
  </w:num>
  <w:num w:numId="19">
    <w:abstractNumId w:val="8"/>
  </w:num>
  <w:num w:numId="20">
    <w:abstractNumId w:val="4"/>
  </w:num>
  <w:num w:numId="21">
    <w:abstractNumId w:val="25"/>
  </w:num>
  <w:num w:numId="22">
    <w:abstractNumId w:val="19"/>
  </w:num>
  <w:num w:numId="23">
    <w:abstractNumId w:val="27"/>
  </w:num>
  <w:num w:numId="24">
    <w:abstractNumId w:val="11"/>
  </w:num>
  <w:num w:numId="25">
    <w:abstractNumId w:val="24"/>
  </w:num>
  <w:num w:numId="26">
    <w:abstractNumId w:val="21"/>
  </w:num>
  <w:num w:numId="27">
    <w:abstractNumId w:val="9"/>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57B"/>
    <w:rsid w:val="00020557"/>
    <w:rsid w:val="00021FC2"/>
    <w:rsid w:val="000250C7"/>
    <w:rsid w:val="00026F16"/>
    <w:rsid w:val="00037621"/>
    <w:rsid w:val="00044D46"/>
    <w:rsid w:val="00045088"/>
    <w:rsid w:val="00045904"/>
    <w:rsid w:val="000502FD"/>
    <w:rsid w:val="00065166"/>
    <w:rsid w:val="00077629"/>
    <w:rsid w:val="00082609"/>
    <w:rsid w:val="00084CDB"/>
    <w:rsid w:val="000851CC"/>
    <w:rsid w:val="00087F21"/>
    <w:rsid w:val="00093BE8"/>
    <w:rsid w:val="000A407B"/>
    <w:rsid w:val="000A68ED"/>
    <w:rsid w:val="000A7854"/>
    <w:rsid w:val="000B5FF1"/>
    <w:rsid w:val="000B609F"/>
    <w:rsid w:val="000C313D"/>
    <w:rsid w:val="000D10C6"/>
    <w:rsid w:val="000D55A8"/>
    <w:rsid w:val="000E4841"/>
    <w:rsid w:val="000F1677"/>
    <w:rsid w:val="000F3D6C"/>
    <w:rsid w:val="00101707"/>
    <w:rsid w:val="00102CC9"/>
    <w:rsid w:val="0010593A"/>
    <w:rsid w:val="00111479"/>
    <w:rsid w:val="0011473D"/>
    <w:rsid w:val="00115C85"/>
    <w:rsid w:val="001176BB"/>
    <w:rsid w:val="00123855"/>
    <w:rsid w:val="00123B20"/>
    <w:rsid w:val="00126A4D"/>
    <w:rsid w:val="001407A6"/>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2CC6"/>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47C27"/>
    <w:rsid w:val="0025386E"/>
    <w:rsid w:val="002638B0"/>
    <w:rsid w:val="002645A8"/>
    <w:rsid w:val="0026471A"/>
    <w:rsid w:val="0026647A"/>
    <w:rsid w:val="002668D3"/>
    <w:rsid w:val="0027299F"/>
    <w:rsid w:val="00284EBE"/>
    <w:rsid w:val="002903A7"/>
    <w:rsid w:val="0029433F"/>
    <w:rsid w:val="00294829"/>
    <w:rsid w:val="0029690F"/>
    <w:rsid w:val="00297C8A"/>
    <w:rsid w:val="002A2A60"/>
    <w:rsid w:val="002A37BB"/>
    <w:rsid w:val="002B1C45"/>
    <w:rsid w:val="002B7BE7"/>
    <w:rsid w:val="002C13C8"/>
    <w:rsid w:val="002C3547"/>
    <w:rsid w:val="002C46CB"/>
    <w:rsid w:val="002C57C9"/>
    <w:rsid w:val="002D0021"/>
    <w:rsid w:val="002D299D"/>
    <w:rsid w:val="002D3473"/>
    <w:rsid w:val="002F1956"/>
    <w:rsid w:val="002F3440"/>
    <w:rsid w:val="002F75A3"/>
    <w:rsid w:val="002F77BF"/>
    <w:rsid w:val="002F77D6"/>
    <w:rsid w:val="003039B4"/>
    <w:rsid w:val="00303C2F"/>
    <w:rsid w:val="00311816"/>
    <w:rsid w:val="003144EF"/>
    <w:rsid w:val="00314F32"/>
    <w:rsid w:val="00326292"/>
    <w:rsid w:val="00326415"/>
    <w:rsid w:val="00330937"/>
    <w:rsid w:val="00330F31"/>
    <w:rsid w:val="00334648"/>
    <w:rsid w:val="0033768C"/>
    <w:rsid w:val="00337938"/>
    <w:rsid w:val="00340769"/>
    <w:rsid w:val="00341AA6"/>
    <w:rsid w:val="0034313F"/>
    <w:rsid w:val="00361A0A"/>
    <w:rsid w:val="00364836"/>
    <w:rsid w:val="0036565C"/>
    <w:rsid w:val="0036625E"/>
    <w:rsid w:val="0037465A"/>
    <w:rsid w:val="00382C98"/>
    <w:rsid w:val="003833C1"/>
    <w:rsid w:val="0038533C"/>
    <w:rsid w:val="00386568"/>
    <w:rsid w:val="00390B57"/>
    <w:rsid w:val="00393A39"/>
    <w:rsid w:val="003948D5"/>
    <w:rsid w:val="00396821"/>
    <w:rsid w:val="00397D3A"/>
    <w:rsid w:val="003A051E"/>
    <w:rsid w:val="003A4482"/>
    <w:rsid w:val="003B170F"/>
    <w:rsid w:val="003B3C5F"/>
    <w:rsid w:val="003B43B3"/>
    <w:rsid w:val="003C4471"/>
    <w:rsid w:val="003D0A6D"/>
    <w:rsid w:val="003E0B16"/>
    <w:rsid w:val="003E67D1"/>
    <w:rsid w:val="003F234E"/>
    <w:rsid w:val="00404329"/>
    <w:rsid w:val="00405DC1"/>
    <w:rsid w:val="00415F1F"/>
    <w:rsid w:val="0042108F"/>
    <w:rsid w:val="0042457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96C9F"/>
    <w:rsid w:val="004A2D83"/>
    <w:rsid w:val="004A57DD"/>
    <w:rsid w:val="004A7B51"/>
    <w:rsid w:val="004A7D71"/>
    <w:rsid w:val="004A7EF3"/>
    <w:rsid w:val="004B11FD"/>
    <w:rsid w:val="004B23A2"/>
    <w:rsid w:val="004B29B7"/>
    <w:rsid w:val="004D1A5A"/>
    <w:rsid w:val="004D2FFF"/>
    <w:rsid w:val="004D3721"/>
    <w:rsid w:val="004D64F9"/>
    <w:rsid w:val="004D70A6"/>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1872"/>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275"/>
    <w:rsid w:val="00636808"/>
    <w:rsid w:val="00641515"/>
    <w:rsid w:val="00642B96"/>
    <w:rsid w:val="00654C2F"/>
    <w:rsid w:val="00657087"/>
    <w:rsid w:val="006624AB"/>
    <w:rsid w:val="006639DB"/>
    <w:rsid w:val="006661EF"/>
    <w:rsid w:val="00677AEB"/>
    <w:rsid w:val="00680EF2"/>
    <w:rsid w:val="006853D4"/>
    <w:rsid w:val="00687A1D"/>
    <w:rsid w:val="00697EA1"/>
    <w:rsid w:val="006A2646"/>
    <w:rsid w:val="006A6530"/>
    <w:rsid w:val="006B435A"/>
    <w:rsid w:val="006B4C64"/>
    <w:rsid w:val="006D282B"/>
    <w:rsid w:val="006D6BD5"/>
    <w:rsid w:val="006E481A"/>
    <w:rsid w:val="006E5298"/>
    <w:rsid w:val="006F4A78"/>
    <w:rsid w:val="006F6B1F"/>
    <w:rsid w:val="006F734A"/>
    <w:rsid w:val="00700D83"/>
    <w:rsid w:val="00704852"/>
    <w:rsid w:val="0070524B"/>
    <w:rsid w:val="007074E9"/>
    <w:rsid w:val="00713DA4"/>
    <w:rsid w:val="00714BF1"/>
    <w:rsid w:val="00714F39"/>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4BBA"/>
    <w:rsid w:val="007A5171"/>
    <w:rsid w:val="007B5C89"/>
    <w:rsid w:val="007C1FCC"/>
    <w:rsid w:val="007C6201"/>
    <w:rsid w:val="007C6266"/>
    <w:rsid w:val="007D7C92"/>
    <w:rsid w:val="007E1154"/>
    <w:rsid w:val="007E2919"/>
    <w:rsid w:val="007E46A8"/>
    <w:rsid w:val="007E6A6E"/>
    <w:rsid w:val="007E6BA4"/>
    <w:rsid w:val="007F41F8"/>
    <w:rsid w:val="007F659B"/>
    <w:rsid w:val="0080441E"/>
    <w:rsid w:val="0080454E"/>
    <w:rsid w:val="00804C32"/>
    <w:rsid w:val="00806302"/>
    <w:rsid w:val="00806A8E"/>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45B"/>
    <w:rsid w:val="008D1616"/>
    <w:rsid w:val="008D3506"/>
    <w:rsid w:val="008E3339"/>
    <w:rsid w:val="008F20FC"/>
    <w:rsid w:val="008F5FFE"/>
    <w:rsid w:val="00905A43"/>
    <w:rsid w:val="00912C79"/>
    <w:rsid w:val="009173EC"/>
    <w:rsid w:val="00921B8C"/>
    <w:rsid w:val="00924DAF"/>
    <w:rsid w:val="00931D14"/>
    <w:rsid w:val="00942123"/>
    <w:rsid w:val="00951AA8"/>
    <w:rsid w:val="0095207B"/>
    <w:rsid w:val="00955E0C"/>
    <w:rsid w:val="009570B4"/>
    <w:rsid w:val="00962045"/>
    <w:rsid w:val="00980E61"/>
    <w:rsid w:val="00991428"/>
    <w:rsid w:val="0099216B"/>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340C"/>
    <w:rsid w:val="009F7636"/>
    <w:rsid w:val="00A047EE"/>
    <w:rsid w:val="00A2274A"/>
    <w:rsid w:val="00A235B7"/>
    <w:rsid w:val="00A27A7A"/>
    <w:rsid w:val="00A34ABE"/>
    <w:rsid w:val="00A407EF"/>
    <w:rsid w:val="00A46B4C"/>
    <w:rsid w:val="00A5117B"/>
    <w:rsid w:val="00A56D34"/>
    <w:rsid w:val="00A60074"/>
    <w:rsid w:val="00A6627C"/>
    <w:rsid w:val="00A71019"/>
    <w:rsid w:val="00A71452"/>
    <w:rsid w:val="00A73A11"/>
    <w:rsid w:val="00A81029"/>
    <w:rsid w:val="00A83AA0"/>
    <w:rsid w:val="00A845F5"/>
    <w:rsid w:val="00A86AF7"/>
    <w:rsid w:val="00A86D57"/>
    <w:rsid w:val="00A96489"/>
    <w:rsid w:val="00AB2425"/>
    <w:rsid w:val="00AB685C"/>
    <w:rsid w:val="00AB6C2D"/>
    <w:rsid w:val="00AC08F7"/>
    <w:rsid w:val="00AC317D"/>
    <w:rsid w:val="00AC3839"/>
    <w:rsid w:val="00AC7082"/>
    <w:rsid w:val="00AD4BE8"/>
    <w:rsid w:val="00AE4A89"/>
    <w:rsid w:val="00AE5B6F"/>
    <w:rsid w:val="00AE7A4A"/>
    <w:rsid w:val="00AF228E"/>
    <w:rsid w:val="00B016A8"/>
    <w:rsid w:val="00B04033"/>
    <w:rsid w:val="00B14819"/>
    <w:rsid w:val="00B15E2F"/>
    <w:rsid w:val="00B17AA9"/>
    <w:rsid w:val="00B44713"/>
    <w:rsid w:val="00B51B95"/>
    <w:rsid w:val="00B54943"/>
    <w:rsid w:val="00B54BE8"/>
    <w:rsid w:val="00B56103"/>
    <w:rsid w:val="00B64929"/>
    <w:rsid w:val="00B736DF"/>
    <w:rsid w:val="00B743D6"/>
    <w:rsid w:val="00B74FBD"/>
    <w:rsid w:val="00B77F46"/>
    <w:rsid w:val="00B82586"/>
    <w:rsid w:val="00B829A3"/>
    <w:rsid w:val="00B86DB1"/>
    <w:rsid w:val="00B87869"/>
    <w:rsid w:val="00B9639B"/>
    <w:rsid w:val="00BA0109"/>
    <w:rsid w:val="00BA1CFD"/>
    <w:rsid w:val="00BA7337"/>
    <w:rsid w:val="00BB0F2B"/>
    <w:rsid w:val="00BC2375"/>
    <w:rsid w:val="00BE4FF3"/>
    <w:rsid w:val="00BF2C93"/>
    <w:rsid w:val="00BF50F7"/>
    <w:rsid w:val="00C02F29"/>
    <w:rsid w:val="00C17718"/>
    <w:rsid w:val="00C20AFE"/>
    <w:rsid w:val="00C22A25"/>
    <w:rsid w:val="00C233C7"/>
    <w:rsid w:val="00C305F5"/>
    <w:rsid w:val="00C30A9E"/>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48EE"/>
    <w:rsid w:val="00CB1983"/>
    <w:rsid w:val="00CB2CBB"/>
    <w:rsid w:val="00CB7CAC"/>
    <w:rsid w:val="00CC5335"/>
    <w:rsid w:val="00CC5BA4"/>
    <w:rsid w:val="00CD4998"/>
    <w:rsid w:val="00CE1035"/>
    <w:rsid w:val="00CE6E50"/>
    <w:rsid w:val="00CE78C1"/>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32BB"/>
    <w:rsid w:val="00DB482A"/>
    <w:rsid w:val="00DB50FB"/>
    <w:rsid w:val="00DB56F2"/>
    <w:rsid w:val="00DB6EF5"/>
    <w:rsid w:val="00DC3089"/>
    <w:rsid w:val="00DC4420"/>
    <w:rsid w:val="00DD0802"/>
    <w:rsid w:val="00DD2E11"/>
    <w:rsid w:val="00DE03AF"/>
    <w:rsid w:val="00DE121C"/>
    <w:rsid w:val="00DE49F8"/>
    <w:rsid w:val="00DE6633"/>
    <w:rsid w:val="00DF387B"/>
    <w:rsid w:val="00DF5B57"/>
    <w:rsid w:val="00DF75F8"/>
    <w:rsid w:val="00DF7A3A"/>
    <w:rsid w:val="00E00C00"/>
    <w:rsid w:val="00E07C5A"/>
    <w:rsid w:val="00E15171"/>
    <w:rsid w:val="00E15BA9"/>
    <w:rsid w:val="00E230ED"/>
    <w:rsid w:val="00E26E19"/>
    <w:rsid w:val="00E31DF3"/>
    <w:rsid w:val="00E42BC9"/>
    <w:rsid w:val="00E443D7"/>
    <w:rsid w:val="00E450A4"/>
    <w:rsid w:val="00E506BE"/>
    <w:rsid w:val="00E55547"/>
    <w:rsid w:val="00E6302B"/>
    <w:rsid w:val="00E6452F"/>
    <w:rsid w:val="00E64F45"/>
    <w:rsid w:val="00E6742D"/>
    <w:rsid w:val="00E71CB0"/>
    <w:rsid w:val="00E76EF6"/>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23A1"/>
    <w:rsid w:val="00EF5572"/>
    <w:rsid w:val="00F01D7D"/>
    <w:rsid w:val="00F033DA"/>
    <w:rsid w:val="00F13691"/>
    <w:rsid w:val="00F13FB1"/>
    <w:rsid w:val="00F27CD8"/>
    <w:rsid w:val="00F30351"/>
    <w:rsid w:val="00F3323E"/>
    <w:rsid w:val="00F341F4"/>
    <w:rsid w:val="00F34F9D"/>
    <w:rsid w:val="00F35CCE"/>
    <w:rsid w:val="00F36552"/>
    <w:rsid w:val="00F375FA"/>
    <w:rsid w:val="00F43A63"/>
    <w:rsid w:val="00F5524B"/>
    <w:rsid w:val="00F575BE"/>
    <w:rsid w:val="00F60538"/>
    <w:rsid w:val="00F61DD2"/>
    <w:rsid w:val="00F62E7A"/>
    <w:rsid w:val="00F66AFF"/>
    <w:rsid w:val="00F70126"/>
    <w:rsid w:val="00F71433"/>
    <w:rsid w:val="00F72216"/>
    <w:rsid w:val="00F87B04"/>
    <w:rsid w:val="00F97C5B"/>
    <w:rsid w:val="00FA12B9"/>
    <w:rsid w:val="00FA3D50"/>
    <w:rsid w:val="00FA417D"/>
    <w:rsid w:val="00FA53E4"/>
    <w:rsid w:val="00FB2FD0"/>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188"/>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077629"/>
    <w:pPr>
      <w:spacing w:before="100" w:beforeAutospacing="1" w:after="100" w:afterAutospacing="1"/>
    </w:pPr>
    <w:rPr>
      <w:rFonts w:ascii="Times New Roman" w:hAnsi="Times New Roman" w:cs="Times New Roman"/>
      <w:sz w:val="24"/>
      <w:lang w:val="en-MY" w:eastAsia="en-MY"/>
    </w:rPr>
  </w:style>
  <w:style w:type="character" w:customStyle="1" w:styleId="legds">
    <w:name w:val="legds"/>
    <w:basedOn w:val="DefaultParagraphFont"/>
    <w:rsid w:val="00077629"/>
  </w:style>
  <w:style w:type="character" w:customStyle="1" w:styleId="legchangedelimiter">
    <w:name w:val="legchangedelimiter"/>
    <w:basedOn w:val="DefaultParagraphFont"/>
    <w:rsid w:val="00077629"/>
  </w:style>
  <w:style w:type="character" w:customStyle="1" w:styleId="legsubstitution">
    <w:name w:val="legsubstitution"/>
    <w:basedOn w:val="DefaultParagraphFont"/>
    <w:rsid w:val="00077629"/>
  </w:style>
  <w:style w:type="character" w:customStyle="1" w:styleId="legaddition">
    <w:name w:val="legaddition"/>
    <w:basedOn w:val="DefaultParagraphFont"/>
    <w:rsid w:val="0007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2205">
      <w:bodyDiv w:val="1"/>
      <w:marLeft w:val="0"/>
      <w:marRight w:val="0"/>
      <w:marTop w:val="0"/>
      <w:marBottom w:val="0"/>
      <w:divBdr>
        <w:top w:val="none" w:sz="0" w:space="0" w:color="auto"/>
        <w:left w:val="none" w:sz="0" w:space="0" w:color="auto"/>
        <w:bottom w:val="none" w:sz="0" w:space="0" w:color="auto"/>
        <w:right w:val="none" w:sz="0" w:space="0" w:color="auto"/>
      </w:divBdr>
    </w:div>
    <w:div w:id="243757664">
      <w:bodyDiv w:val="1"/>
      <w:marLeft w:val="0"/>
      <w:marRight w:val="0"/>
      <w:marTop w:val="0"/>
      <w:marBottom w:val="0"/>
      <w:divBdr>
        <w:top w:val="none" w:sz="0" w:space="0" w:color="auto"/>
        <w:left w:val="none" w:sz="0" w:space="0" w:color="auto"/>
        <w:bottom w:val="none" w:sz="0" w:space="0" w:color="auto"/>
        <w:right w:val="none" w:sz="0" w:space="0" w:color="auto"/>
      </w:divBdr>
    </w:div>
    <w:div w:id="3624455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E20A-04F3-4351-BF5A-6395322AEE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9EECE3-E38D-477B-9AEE-B4DF5292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Kong Chia Yee</cp:lastModifiedBy>
  <cp:revision>5</cp:revision>
  <cp:lastPrinted>2019-08-27T05:42:00Z</cp:lastPrinted>
  <dcterms:created xsi:type="dcterms:W3CDTF">2022-02-20T15:38:00Z</dcterms:created>
  <dcterms:modified xsi:type="dcterms:W3CDTF">2022-02-27T03:31:00Z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d5530d54-af9e-43cb-9274-6557ef0a4893</vt:lpwstr>
  </property>
  <property fmtid="{D5CDD505-2E9C-101B-9397-08002B2CF9AE}" pid="3" name="bjSaver">
    <vt:lpwstr>bPYtoja+fdUaftfDsgW25U8k69Bzsisy</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