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BE745F" w:rsidRDefault="00AE5B6F" w:rsidP="00B04033">
      <w:pPr>
        <w:pStyle w:val="a3"/>
        <w:numPr>
          <w:ilvl w:val="0"/>
          <w:numId w:val="1"/>
        </w:numPr>
        <w:ind w:left="426"/>
        <w:jc w:val="both"/>
        <w:rPr>
          <w:rFonts w:ascii="Arial" w:hAnsi="Arial" w:cs="Arial"/>
          <w:sz w:val="22"/>
          <w:szCs w:val="22"/>
          <w:highlight w:val="yellow"/>
          <w:lang w:val="en-GB"/>
        </w:rPr>
      </w:pPr>
      <w:r w:rsidRPr="00BE745F">
        <w:rPr>
          <w:rFonts w:ascii="Arial" w:hAnsi="Arial" w:cs="Arial"/>
          <w:sz w:val="22"/>
          <w:szCs w:val="22"/>
          <w:highlight w:val="yellow"/>
          <w:lang w:val="en-GB"/>
        </w:rPr>
        <w:t>w</w:t>
      </w:r>
      <w:r w:rsidR="00C91062" w:rsidRPr="00BE745F">
        <w:rPr>
          <w:rFonts w:ascii="Arial" w:hAnsi="Arial" w:cs="Arial"/>
          <w:sz w:val="22"/>
          <w:szCs w:val="22"/>
          <w:highlight w:val="yellow"/>
          <w:lang w:val="en-GB"/>
        </w:rPr>
        <w:t>ithin 8 weeks of the commencement of the administration</w:t>
      </w:r>
      <w:r w:rsidR="00763348" w:rsidRPr="00BE745F">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a3"/>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192FFD" w:rsidRDefault="00E443D7" w:rsidP="00B04033">
      <w:pPr>
        <w:pStyle w:val="a3"/>
        <w:numPr>
          <w:ilvl w:val="0"/>
          <w:numId w:val="2"/>
        </w:numPr>
        <w:ind w:left="426"/>
        <w:jc w:val="both"/>
        <w:rPr>
          <w:rFonts w:ascii="Arial" w:hAnsi="Arial" w:cs="Arial"/>
          <w:sz w:val="22"/>
          <w:szCs w:val="22"/>
          <w:lang w:val="en-GB"/>
        </w:rPr>
      </w:pPr>
      <w:r w:rsidRPr="00192FFD">
        <w:rPr>
          <w:rFonts w:ascii="Arial" w:hAnsi="Arial" w:cs="Arial"/>
          <w:sz w:val="22"/>
          <w:szCs w:val="22"/>
          <w:lang w:val="en-GB"/>
        </w:rPr>
        <w:t>40 business days</w:t>
      </w:r>
      <w:r w:rsidR="00763348" w:rsidRPr="00192FFD">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a3"/>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Pr="00192FFD" w:rsidRDefault="00E443D7" w:rsidP="00B04033">
      <w:pPr>
        <w:pStyle w:val="a3"/>
        <w:numPr>
          <w:ilvl w:val="0"/>
          <w:numId w:val="2"/>
        </w:numPr>
        <w:ind w:left="426"/>
        <w:jc w:val="both"/>
        <w:rPr>
          <w:rFonts w:ascii="Arial" w:hAnsi="Arial" w:cs="Arial"/>
          <w:sz w:val="22"/>
          <w:szCs w:val="22"/>
          <w:lang w:val="en-GB"/>
        </w:rPr>
      </w:pPr>
      <w:r w:rsidRPr="00192FFD">
        <w:rPr>
          <w:rFonts w:ascii="Arial" w:hAnsi="Arial" w:cs="Arial"/>
          <w:sz w:val="22"/>
          <w:szCs w:val="22"/>
          <w:lang w:val="en-GB"/>
        </w:rPr>
        <w:t>One year and 40 business days</w:t>
      </w:r>
      <w:r w:rsidR="00763348" w:rsidRPr="00192FFD">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192FFD" w:rsidRDefault="00E443D7" w:rsidP="00B04033">
      <w:pPr>
        <w:pStyle w:val="a3"/>
        <w:numPr>
          <w:ilvl w:val="0"/>
          <w:numId w:val="2"/>
        </w:numPr>
        <w:ind w:left="426"/>
        <w:jc w:val="both"/>
        <w:rPr>
          <w:rFonts w:ascii="Arial" w:hAnsi="Arial" w:cs="Arial"/>
          <w:sz w:val="22"/>
          <w:szCs w:val="22"/>
          <w:highlight w:val="yellow"/>
          <w:lang w:val="en-GB"/>
        </w:rPr>
      </w:pPr>
      <w:r w:rsidRPr="00192FFD">
        <w:rPr>
          <w:rFonts w:ascii="Arial" w:hAnsi="Arial" w:cs="Arial"/>
          <w:sz w:val="22"/>
          <w:szCs w:val="22"/>
          <w:highlight w:val="yellow"/>
          <w:lang w:val="en-GB"/>
        </w:rPr>
        <w:t>One year</w:t>
      </w:r>
      <w:r w:rsidR="00763348" w:rsidRPr="00192FFD">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a3"/>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572F13" w:rsidRDefault="00AE5B6F" w:rsidP="00B04033">
      <w:pPr>
        <w:pStyle w:val="a3"/>
        <w:numPr>
          <w:ilvl w:val="0"/>
          <w:numId w:val="3"/>
        </w:numPr>
        <w:ind w:left="426"/>
        <w:jc w:val="both"/>
        <w:rPr>
          <w:rFonts w:ascii="Arial" w:hAnsi="Arial" w:cs="Arial"/>
          <w:sz w:val="22"/>
          <w:szCs w:val="22"/>
          <w:highlight w:val="yellow"/>
          <w:lang w:val="en-GB"/>
        </w:rPr>
      </w:pPr>
      <w:r w:rsidRPr="00572F13">
        <w:rPr>
          <w:rFonts w:ascii="Arial" w:hAnsi="Arial" w:cs="Arial"/>
          <w:sz w:val="22"/>
          <w:szCs w:val="22"/>
          <w:highlight w:val="yellow"/>
          <w:lang w:val="en-GB"/>
        </w:rPr>
        <w:t>T</w:t>
      </w:r>
      <w:r w:rsidR="008D1616" w:rsidRPr="00572F13">
        <w:rPr>
          <w:rFonts w:ascii="Arial" w:hAnsi="Arial" w:cs="Arial"/>
          <w:sz w:val="22"/>
          <w:szCs w:val="22"/>
          <w:highlight w:val="yellow"/>
          <w:lang w:val="en-GB"/>
        </w:rPr>
        <w:t>he company is, or is likely to become, unable to pay their debts, as defined under s</w:t>
      </w:r>
      <w:r w:rsidR="00E833F4" w:rsidRPr="00572F13">
        <w:rPr>
          <w:rFonts w:ascii="Arial" w:hAnsi="Arial" w:cs="Arial"/>
          <w:sz w:val="22"/>
          <w:szCs w:val="22"/>
          <w:highlight w:val="yellow"/>
          <w:lang w:val="en-GB"/>
        </w:rPr>
        <w:t>ection</w:t>
      </w:r>
      <w:r w:rsidR="008D1616" w:rsidRPr="00572F13">
        <w:rPr>
          <w:rFonts w:ascii="Arial" w:hAnsi="Arial" w:cs="Arial"/>
          <w:sz w:val="22"/>
          <w:szCs w:val="22"/>
          <w:highlight w:val="yellow"/>
          <w:lang w:val="en-GB"/>
        </w:rPr>
        <w:t xml:space="preserve"> 123 of the Insolvency Act 1986</w:t>
      </w:r>
      <w:r w:rsidR="00763348" w:rsidRPr="00572F13">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572F13" w:rsidRDefault="00C91062" w:rsidP="00B04033">
      <w:pPr>
        <w:pStyle w:val="a3"/>
        <w:numPr>
          <w:ilvl w:val="0"/>
          <w:numId w:val="4"/>
        </w:numPr>
        <w:ind w:left="426"/>
        <w:jc w:val="both"/>
        <w:rPr>
          <w:rFonts w:ascii="Arial" w:hAnsi="Arial" w:cs="Arial"/>
          <w:sz w:val="22"/>
          <w:szCs w:val="22"/>
          <w:highlight w:val="yellow"/>
          <w:lang w:val="en-GB"/>
        </w:rPr>
      </w:pPr>
      <w:r w:rsidRPr="00572F13">
        <w:rPr>
          <w:rFonts w:ascii="Arial" w:hAnsi="Arial" w:cs="Arial"/>
          <w:sz w:val="22"/>
          <w:szCs w:val="22"/>
          <w:highlight w:val="yellow"/>
          <w:lang w:val="en-GB"/>
        </w:rPr>
        <w:t>The purchaser</w:t>
      </w:r>
      <w:r w:rsidR="00763348" w:rsidRPr="00572F13">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a3"/>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572F13" w:rsidRDefault="00BA1CFD" w:rsidP="00B04033">
      <w:pPr>
        <w:pStyle w:val="a3"/>
        <w:numPr>
          <w:ilvl w:val="0"/>
          <w:numId w:val="5"/>
        </w:numPr>
        <w:ind w:left="426"/>
        <w:jc w:val="both"/>
        <w:rPr>
          <w:rFonts w:ascii="Arial" w:hAnsi="Arial" w:cs="Arial"/>
          <w:sz w:val="22"/>
          <w:szCs w:val="22"/>
          <w:highlight w:val="yellow"/>
          <w:lang w:val="en-GB"/>
        </w:rPr>
      </w:pPr>
      <w:r w:rsidRPr="00572F13">
        <w:rPr>
          <w:rFonts w:ascii="Arial" w:hAnsi="Arial" w:cs="Arial"/>
          <w:sz w:val="22"/>
          <w:szCs w:val="22"/>
          <w:highlight w:val="yellow"/>
          <w:lang w:val="en-GB"/>
        </w:rPr>
        <w:t>Administration</w:t>
      </w:r>
      <w:r w:rsidR="00763348" w:rsidRPr="00572F13">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a3"/>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572F13" w:rsidRDefault="00BA1CFD" w:rsidP="00B04033">
      <w:pPr>
        <w:pStyle w:val="a3"/>
        <w:numPr>
          <w:ilvl w:val="0"/>
          <w:numId w:val="6"/>
        </w:numPr>
        <w:ind w:left="426"/>
        <w:jc w:val="both"/>
        <w:rPr>
          <w:rFonts w:ascii="Arial" w:hAnsi="Arial" w:cs="Arial"/>
          <w:sz w:val="22"/>
          <w:szCs w:val="22"/>
          <w:highlight w:val="yellow"/>
          <w:lang w:val="en-GB"/>
        </w:rPr>
      </w:pPr>
      <w:r w:rsidRPr="00572F13">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a3"/>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45511A" w:rsidRDefault="00BA1CFD" w:rsidP="00B04033">
      <w:pPr>
        <w:pStyle w:val="a3"/>
        <w:numPr>
          <w:ilvl w:val="0"/>
          <w:numId w:val="7"/>
        </w:numPr>
        <w:ind w:left="426"/>
        <w:jc w:val="both"/>
        <w:rPr>
          <w:rFonts w:ascii="Arial" w:hAnsi="Arial" w:cs="Arial"/>
          <w:sz w:val="22"/>
          <w:szCs w:val="22"/>
          <w:highlight w:val="yellow"/>
          <w:lang w:val="en-GB"/>
        </w:rPr>
      </w:pPr>
      <w:r w:rsidRPr="0045511A">
        <w:rPr>
          <w:rFonts w:ascii="Arial" w:hAnsi="Arial" w:cs="Arial"/>
          <w:sz w:val="22"/>
          <w:szCs w:val="22"/>
          <w:highlight w:val="yellow"/>
          <w:lang w:val="en-GB"/>
        </w:rPr>
        <w:t>Wrongful trading</w:t>
      </w:r>
      <w:r w:rsidR="00763348" w:rsidRPr="0045511A">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a3"/>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a3"/>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a3"/>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a3"/>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45511A" w:rsidRDefault="00876F56" w:rsidP="00B04033">
      <w:pPr>
        <w:pStyle w:val="a3"/>
        <w:numPr>
          <w:ilvl w:val="0"/>
          <w:numId w:val="8"/>
        </w:numPr>
        <w:ind w:left="426"/>
        <w:jc w:val="both"/>
        <w:rPr>
          <w:rFonts w:ascii="Arial" w:hAnsi="Arial" w:cs="Arial"/>
          <w:sz w:val="22"/>
          <w:szCs w:val="22"/>
          <w:highlight w:val="yellow"/>
          <w:lang w:val="en-GB"/>
        </w:rPr>
      </w:pPr>
      <w:r w:rsidRPr="0045511A">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a3"/>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C0754" w:rsidRDefault="00E833F4" w:rsidP="00B04033">
      <w:pPr>
        <w:pStyle w:val="a3"/>
        <w:numPr>
          <w:ilvl w:val="0"/>
          <w:numId w:val="9"/>
        </w:numPr>
        <w:ind w:left="426"/>
        <w:jc w:val="both"/>
        <w:rPr>
          <w:rFonts w:ascii="Arial" w:hAnsi="Arial" w:cs="Arial"/>
          <w:sz w:val="22"/>
          <w:szCs w:val="22"/>
          <w:highlight w:val="yellow"/>
          <w:lang w:val="en-GB"/>
        </w:rPr>
      </w:pPr>
      <w:r w:rsidRPr="006C0754">
        <w:rPr>
          <w:rFonts w:ascii="Arial" w:hAnsi="Arial" w:cs="Arial"/>
          <w:sz w:val="22"/>
          <w:szCs w:val="22"/>
          <w:highlight w:val="yellow"/>
          <w:lang w:val="en-GB"/>
        </w:rPr>
        <w:t>A</w:t>
      </w:r>
      <w:r w:rsidR="000D10C6" w:rsidRPr="006C0754">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a3"/>
        <w:ind w:left="426"/>
        <w:jc w:val="both"/>
        <w:rPr>
          <w:rFonts w:ascii="Arial" w:hAnsi="Arial" w:cs="Arial"/>
          <w:sz w:val="22"/>
          <w:szCs w:val="22"/>
          <w:lang w:val="en-GB"/>
        </w:rPr>
      </w:pPr>
    </w:p>
    <w:p w14:paraId="564FBFE2" w14:textId="18CB27BC" w:rsidR="000D10C6" w:rsidRDefault="000D10C6" w:rsidP="00AE5B6F">
      <w:pPr>
        <w:pStyle w:val="a3"/>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a3"/>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a3"/>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a3"/>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6C0754" w:rsidRDefault="0020204E" w:rsidP="00B04033">
      <w:pPr>
        <w:pStyle w:val="a3"/>
        <w:numPr>
          <w:ilvl w:val="0"/>
          <w:numId w:val="10"/>
        </w:numPr>
        <w:ind w:left="426"/>
        <w:jc w:val="both"/>
        <w:rPr>
          <w:rFonts w:ascii="Arial" w:hAnsi="Arial" w:cs="Arial"/>
          <w:sz w:val="22"/>
          <w:szCs w:val="22"/>
          <w:highlight w:val="yellow"/>
          <w:lang w:val="en-GB"/>
        </w:rPr>
      </w:pPr>
      <w:r w:rsidRPr="006C0754">
        <w:rPr>
          <w:rFonts w:ascii="Arial" w:hAnsi="Arial" w:cs="Arial"/>
          <w:sz w:val="22"/>
          <w:szCs w:val="22"/>
          <w:highlight w:val="yellow"/>
          <w:lang w:val="en-GB"/>
        </w:rPr>
        <w:t>12 months</w:t>
      </w:r>
      <w:r w:rsidR="00763348" w:rsidRPr="006C0754">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a3"/>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a3"/>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66E78348" w:rsidR="00AE5B6F" w:rsidRDefault="00465D64"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32EF064A" w14:textId="3CBB170C" w:rsidR="00932E60" w:rsidRDefault="00E5013A" w:rsidP="00932E60">
      <w:pPr>
        <w:pStyle w:val="a3"/>
        <w:numPr>
          <w:ilvl w:val="0"/>
          <w:numId w:val="20"/>
        </w:numPr>
        <w:ind w:left="426" w:hanging="284"/>
        <w:jc w:val="both"/>
        <w:rPr>
          <w:rFonts w:ascii="Arial" w:hAnsi="Arial" w:cs="Arial"/>
          <w:sz w:val="22"/>
          <w:szCs w:val="22"/>
          <w:lang w:val="en-GB"/>
        </w:rPr>
      </w:pPr>
      <w:r>
        <w:rPr>
          <w:rFonts w:ascii="Arial" w:hAnsi="Arial" w:cs="Arial"/>
          <w:sz w:val="22"/>
          <w:szCs w:val="22"/>
          <w:lang w:val="en-GB"/>
        </w:rPr>
        <w:t>T</w:t>
      </w:r>
      <w:r w:rsidR="00932E60">
        <w:rPr>
          <w:rFonts w:ascii="Arial" w:hAnsi="Arial" w:cs="Arial"/>
          <w:sz w:val="22"/>
          <w:szCs w:val="22"/>
          <w:lang w:val="en-GB"/>
        </w:rPr>
        <w:t>he following person may bring an action against the transaction</w:t>
      </w:r>
      <w:r w:rsidRPr="00E5013A">
        <w:rPr>
          <w:rFonts w:ascii="Arial" w:hAnsi="Arial" w:cs="Arial" w:hint="eastAsia"/>
          <w:sz w:val="22"/>
          <w:szCs w:val="22"/>
          <w:lang w:val="en-GB"/>
        </w:rPr>
        <w:t xml:space="preserve"> </w:t>
      </w:r>
      <w:r>
        <w:rPr>
          <w:rFonts w:ascii="Arial" w:hAnsi="Arial" w:cs="Arial"/>
          <w:sz w:val="22"/>
          <w:szCs w:val="22"/>
          <w:lang w:val="en-GB"/>
        </w:rPr>
        <w:t>u</w:t>
      </w:r>
      <w:r w:rsidRPr="004F2BAB">
        <w:rPr>
          <w:rFonts w:ascii="Arial" w:hAnsi="Arial" w:cs="Arial"/>
          <w:sz w:val="22"/>
          <w:szCs w:val="22"/>
          <w:lang w:val="en-GB"/>
        </w:rPr>
        <w:t>nder section 423 of the Insolvency Act 1986</w:t>
      </w:r>
      <w:r w:rsidR="00932E60">
        <w:rPr>
          <w:rFonts w:ascii="Arial" w:hAnsi="Arial" w:cs="Arial"/>
          <w:sz w:val="22"/>
          <w:szCs w:val="22"/>
          <w:lang w:val="en-GB"/>
        </w:rPr>
        <w:t>:</w:t>
      </w:r>
    </w:p>
    <w:p w14:paraId="705045DD" w14:textId="17A8DE83" w:rsidR="00932E60" w:rsidRDefault="006C5FA7" w:rsidP="00932E60">
      <w:pPr>
        <w:pStyle w:val="a3"/>
        <w:ind w:left="426"/>
        <w:jc w:val="both"/>
        <w:rPr>
          <w:rFonts w:ascii="Arial" w:hAnsi="Arial" w:cs="Arial"/>
          <w:sz w:val="22"/>
          <w:szCs w:val="22"/>
          <w:lang w:val="en-GB"/>
        </w:rPr>
      </w:pPr>
      <w:r w:rsidRPr="004F2BAB">
        <w:rPr>
          <w:rFonts w:ascii="Arial" w:hAnsi="Arial" w:cs="Arial"/>
          <w:sz w:val="22"/>
          <w:szCs w:val="22"/>
          <w:lang w:val="en-GB"/>
        </w:rPr>
        <w:t xml:space="preserve">for the company being wound up or in administration, </w:t>
      </w:r>
      <w:r w:rsidR="00465D64" w:rsidRPr="004F2BAB">
        <w:rPr>
          <w:rFonts w:ascii="Arial" w:hAnsi="Arial" w:cs="Arial"/>
          <w:sz w:val="22"/>
          <w:szCs w:val="22"/>
          <w:lang w:val="en-GB"/>
        </w:rPr>
        <w:t>the official receiver, the liquidator</w:t>
      </w:r>
      <w:r w:rsidRPr="004F2BAB">
        <w:rPr>
          <w:rFonts w:ascii="Arial" w:hAnsi="Arial" w:cs="Arial"/>
          <w:sz w:val="22"/>
          <w:szCs w:val="22"/>
          <w:lang w:val="en-GB"/>
        </w:rPr>
        <w:t>, the administrator and the victim of the transaction with the leave of the court</w:t>
      </w:r>
      <w:r w:rsidR="00932E60">
        <w:rPr>
          <w:rFonts w:ascii="Arial" w:hAnsi="Arial" w:cs="Arial"/>
          <w:sz w:val="22"/>
          <w:szCs w:val="22"/>
          <w:lang w:val="en-GB"/>
        </w:rPr>
        <w:t>;</w:t>
      </w:r>
    </w:p>
    <w:p w14:paraId="082A1ABC" w14:textId="1300B149" w:rsidR="00932E60" w:rsidRDefault="00932E60" w:rsidP="00932E60">
      <w:pPr>
        <w:pStyle w:val="a3"/>
        <w:ind w:left="426"/>
        <w:jc w:val="both"/>
        <w:rPr>
          <w:rFonts w:ascii="Arial" w:hAnsi="Arial" w:cs="Arial"/>
          <w:sz w:val="22"/>
          <w:szCs w:val="22"/>
          <w:lang w:val="en-GB"/>
        </w:rPr>
      </w:pPr>
      <w:r>
        <w:rPr>
          <w:rFonts w:ascii="Arial" w:hAnsi="Arial" w:cs="Arial"/>
          <w:sz w:val="22"/>
          <w:szCs w:val="22"/>
          <w:lang w:val="en-GB"/>
        </w:rPr>
        <w:t>f</w:t>
      </w:r>
      <w:r w:rsidR="006C5FA7" w:rsidRPr="004F2BAB">
        <w:rPr>
          <w:rFonts w:ascii="Arial" w:hAnsi="Arial" w:cs="Arial"/>
          <w:sz w:val="22"/>
          <w:szCs w:val="22"/>
          <w:lang w:val="en-GB"/>
        </w:rPr>
        <w:t xml:space="preserve">or a company voluntary arrangement </w:t>
      </w:r>
      <w:r w:rsidR="006D3CB1">
        <w:rPr>
          <w:rFonts w:ascii="Arial" w:hAnsi="Arial" w:cs="Arial"/>
          <w:sz w:val="22"/>
          <w:szCs w:val="22"/>
          <w:lang w:val="en-GB"/>
        </w:rPr>
        <w:t xml:space="preserve">(“CVA”) </w:t>
      </w:r>
      <w:r w:rsidR="006C5FA7" w:rsidRPr="004F2BAB">
        <w:rPr>
          <w:rFonts w:ascii="Arial" w:hAnsi="Arial" w:cs="Arial"/>
          <w:sz w:val="22"/>
          <w:szCs w:val="22"/>
          <w:lang w:val="en-GB"/>
        </w:rPr>
        <w:t>case, the victim of the transaction whether he/she is bound by the CVA or not and the supervisor of the CVA</w:t>
      </w:r>
      <w:r>
        <w:rPr>
          <w:rFonts w:ascii="Arial" w:hAnsi="Arial" w:cs="Arial"/>
          <w:sz w:val="22"/>
          <w:szCs w:val="22"/>
          <w:lang w:val="en-GB"/>
        </w:rPr>
        <w:t>;</w:t>
      </w:r>
    </w:p>
    <w:p w14:paraId="5AA45F2F" w14:textId="2A362C8D" w:rsidR="00465D64" w:rsidRDefault="00932E60" w:rsidP="00932E60">
      <w:pPr>
        <w:pStyle w:val="a3"/>
        <w:ind w:left="426"/>
        <w:jc w:val="both"/>
        <w:rPr>
          <w:rFonts w:ascii="Arial" w:hAnsi="Arial" w:cs="Arial"/>
          <w:sz w:val="22"/>
          <w:szCs w:val="22"/>
          <w:lang w:val="en-GB"/>
        </w:rPr>
      </w:pPr>
      <w:r>
        <w:rPr>
          <w:rFonts w:ascii="Arial" w:hAnsi="Arial" w:cs="Arial"/>
          <w:sz w:val="22"/>
          <w:szCs w:val="22"/>
          <w:lang w:val="en-GB"/>
        </w:rPr>
        <w:t>f</w:t>
      </w:r>
      <w:r w:rsidR="006C5FA7" w:rsidRPr="004F2BAB">
        <w:rPr>
          <w:rFonts w:ascii="Arial" w:hAnsi="Arial" w:cs="Arial"/>
          <w:sz w:val="22"/>
          <w:szCs w:val="22"/>
          <w:lang w:val="en-GB"/>
        </w:rPr>
        <w:t>or other case, a victim of the transaction can bring an action.</w:t>
      </w:r>
    </w:p>
    <w:p w14:paraId="7B57E1EE" w14:textId="77777777" w:rsidR="00932E60" w:rsidRDefault="00932E60" w:rsidP="00932E60">
      <w:pPr>
        <w:pStyle w:val="a3"/>
        <w:ind w:left="426"/>
        <w:jc w:val="both"/>
        <w:rPr>
          <w:rFonts w:ascii="Arial" w:hAnsi="Arial" w:cs="Arial"/>
          <w:sz w:val="22"/>
          <w:szCs w:val="22"/>
          <w:lang w:val="en-GB"/>
        </w:rPr>
      </w:pPr>
    </w:p>
    <w:p w14:paraId="0ECB57E1" w14:textId="7831F738" w:rsidR="00932E60" w:rsidRDefault="00E5013A" w:rsidP="00932E60">
      <w:pPr>
        <w:pStyle w:val="a3"/>
        <w:numPr>
          <w:ilvl w:val="0"/>
          <w:numId w:val="20"/>
        </w:numPr>
        <w:ind w:left="426" w:hanging="284"/>
        <w:jc w:val="both"/>
        <w:rPr>
          <w:rFonts w:ascii="Arial" w:hAnsi="Arial" w:cs="Arial"/>
          <w:sz w:val="22"/>
          <w:szCs w:val="22"/>
          <w:lang w:val="en-GB"/>
        </w:rPr>
      </w:pPr>
      <w:r>
        <w:rPr>
          <w:rFonts w:ascii="Arial" w:hAnsi="Arial" w:cs="Arial"/>
          <w:sz w:val="22"/>
          <w:szCs w:val="22"/>
          <w:lang w:val="en-GB"/>
        </w:rPr>
        <w:t>T</w:t>
      </w:r>
      <w:r w:rsidR="00932E60">
        <w:rPr>
          <w:rFonts w:ascii="Arial" w:hAnsi="Arial" w:cs="Arial"/>
          <w:sz w:val="22"/>
          <w:szCs w:val="22"/>
          <w:lang w:val="en-GB"/>
        </w:rPr>
        <w:t xml:space="preserve">he </w:t>
      </w:r>
      <w:r>
        <w:rPr>
          <w:rFonts w:ascii="Arial" w:hAnsi="Arial" w:cs="Arial"/>
          <w:sz w:val="22"/>
          <w:szCs w:val="22"/>
          <w:lang w:val="en-GB"/>
        </w:rPr>
        <w:t xml:space="preserve">Secretary of State, and </w:t>
      </w:r>
      <w:r w:rsidR="00932E60">
        <w:rPr>
          <w:rFonts w:ascii="Arial" w:hAnsi="Arial" w:cs="Arial"/>
          <w:sz w:val="22"/>
          <w:szCs w:val="22"/>
          <w:lang w:val="en-GB"/>
        </w:rPr>
        <w:t>official receiver</w:t>
      </w:r>
      <w:r w:rsidR="00555280">
        <w:rPr>
          <w:rFonts w:ascii="Arial" w:hAnsi="Arial" w:cs="Arial"/>
          <w:sz w:val="22"/>
          <w:szCs w:val="22"/>
          <w:lang w:val="en-GB"/>
        </w:rPr>
        <w:t xml:space="preserve"> as directed by the Secretary of State</w:t>
      </w:r>
      <w:r w:rsidR="00932E60">
        <w:rPr>
          <w:rFonts w:ascii="Arial" w:hAnsi="Arial" w:cs="Arial"/>
          <w:sz w:val="22"/>
          <w:szCs w:val="22"/>
          <w:lang w:val="en-GB"/>
        </w:rPr>
        <w:t xml:space="preserve"> may take action to disqualify the directors of the company</w:t>
      </w:r>
      <w:r w:rsidRPr="00E5013A">
        <w:rPr>
          <w:rFonts w:ascii="Arial" w:hAnsi="Arial" w:cs="Arial" w:hint="eastAsia"/>
          <w:sz w:val="22"/>
          <w:szCs w:val="22"/>
          <w:lang w:val="en-GB"/>
        </w:rPr>
        <w:t xml:space="preserve"> </w:t>
      </w:r>
      <w:r>
        <w:rPr>
          <w:rFonts w:ascii="Arial" w:hAnsi="Arial" w:cs="Arial"/>
          <w:sz w:val="22"/>
          <w:szCs w:val="22"/>
          <w:lang w:val="en-GB"/>
        </w:rPr>
        <w:t>under section 6 of the Company Directors Disqualification Act 1986</w:t>
      </w:r>
      <w:r w:rsidR="00555280">
        <w:rPr>
          <w:rFonts w:ascii="Arial" w:hAnsi="Arial" w:cs="Arial"/>
          <w:sz w:val="22"/>
          <w:szCs w:val="22"/>
          <w:lang w:val="en-GB"/>
        </w:rPr>
        <w:t>.</w:t>
      </w:r>
    </w:p>
    <w:p w14:paraId="2FE619C7" w14:textId="77777777" w:rsidR="00555280" w:rsidRPr="004F2BAB" w:rsidRDefault="00555280" w:rsidP="00555280">
      <w:pPr>
        <w:pStyle w:val="a3"/>
        <w:ind w:left="426"/>
        <w:jc w:val="both"/>
        <w:rPr>
          <w:rFonts w:ascii="Arial" w:hAnsi="Arial" w:cs="Arial"/>
          <w:sz w:val="22"/>
          <w:szCs w:val="22"/>
          <w:lang w:val="en-GB"/>
        </w:rPr>
      </w:pPr>
    </w:p>
    <w:p w14:paraId="22C610C9" w14:textId="4794E496" w:rsidR="00DE03AF" w:rsidRDefault="00555280" w:rsidP="00932E60">
      <w:pPr>
        <w:pStyle w:val="a3"/>
        <w:numPr>
          <w:ilvl w:val="0"/>
          <w:numId w:val="20"/>
        </w:numPr>
        <w:ind w:left="426" w:hanging="284"/>
        <w:jc w:val="both"/>
        <w:rPr>
          <w:rFonts w:ascii="Arial" w:hAnsi="Arial" w:cs="Arial"/>
          <w:sz w:val="22"/>
          <w:szCs w:val="22"/>
          <w:lang w:val="en-GB"/>
        </w:rPr>
      </w:pPr>
      <w:r>
        <w:rPr>
          <w:rFonts w:ascii="Arial" w:hAnsi="Arial" w:cs="Arial" w:hint="eastAsia"/>
          <w:sz w:val="22"/>
          <w:szCs w:val="22"/>
          <w:lang w:val="en-GB"/>
        </w:rPr>
        <w:t>T</w:t>
      </w:r>
      <w:r>
        <w:rPr>
          <w:rFonts w:ascii="Arial" w:hAnsi="Arial" w:cs="Arial"/>
          <w:sz w:val="22"/>
          <w:szCs w:val="22"/>
          <w:lang w:val="en-GB"/>
        </w:rPr>
        <w:t>he administrator may bring an action under section 246ZB of the Insolvency Act 1986.</w:t>
      </w:r>
    </w:p>
    <w:p w14:paraId="36122C01" w14:textId="77777777" w:rsidR="00555280" w:rsidRPr="00555280" w:rsidRDefault="00555280" w:rsidP="00555280">
      <w:pPr>
        <w:jc w:val="both"/>
        <w:rPr>
          <w:rFonts w:ascii="Arial" w:hAnsi="Arial" w:cs="Arial"/>
          <w:sz w:val="22"/>
          <w:szCs w:val="22"/>
          <w:lang w:val="en-GB"/>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0F63A43A" w:rsidR="00FF5098" w:rsidRPr="00FF5098" w:rsidRDefault="0055528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572227E7" w14:textId="48CAA3A3" w:rsidR="0045683E" w:rsidRDefault="00555280" w:rsidP="002A37BB">
      <w:pPr>
        <w:jc w:val="both"/>
        <w:rPr>
          <w:rFonts w:ascii="Arial" w:hAnsi="Arial" w:cs="Arial"/>
          <w:bCs/>
          <w:sz w:val="22"/>
          <w:szCs w:val="22"/>
          <w:lang w:val="en-GB"/>
        </w:rPr>
      </w:pPr>
      <w:r>
        <w:rPr>
          <w:rFonts w:ascii="Arial" w:hAnsi="Arial" w:cs="Arial" w:hint="eastAsia"/>
          <w:bCs/>
          <w:sz w:val="22"/>
          <w:szCs w:val="22"/>
          <w:lang w:val="en-GB"/>
        </w:rPr>
        <w:t>T</w:t>
      </w:r>
      <w:r>
        <w:rPr>
          <w:rFonts w:ascii="Arial" w:hAnsi="Arial" w:cs="Arial"/>
          <w:bCs/>
          <w:sz w:val="22"/>
          <w:szCs w:val="22"/>
          <w:lang w:val="en-GB"/>
        </w:rPr>
        <w:t xml:space="preserve">he five qualifying decision procedures are 1. </w:t>
      </w:r>
      <w:r w:rsidR="001B591E">
        <w:rPr>
          <w:rFonts w:ascii="Arial" w:hAnsi="Arial" w:cs="Arial"/>
          <w:bCs/>
          <w:sz w:val="22"/>
          <w:szCs w:val="22"/>
          <w:lang w:val="en-GB"/>
        </w:rPr>
        <w:t>c</w:t>
      </w:r>
      <w:r>
        <w:rPr>
          <w:rFonts w:ascii="Arial" w:hAnsi="Arial" w:cs="Arial"/>
          <w:bCs/>
          <w:sz w:val="22"/>
          <w:szCs w:val="22"/>
          <w:lang w:val="en-GB"/>
        </w:rPr>
        <w:t xml:space="preserve">orrespondence; 2. </w:t>
      </w:r>
      <w:r w:rsidR="001B591E">
        <w:rPr>
          <w:rFonts w:ascii="Arial" w:hAnsi="Arial" w:cs="Arial"/>
          <w:bCs/>
          <w:sz w:val="22"/>
          <w:szCs w:val="22"/>
          <w:lang w:val="en-GB"/>
        </w:rPr>
        <w:t>e</w:t>
      </w:r>
      <w:r>
        <w:rPr>
          <w:rFonts w:ascii="Arial" w:hAnsi="Arial" w:cs="Arial"/>
          <w:bCs/>
          <w:sz w:val="22"/>
          <w:szCs w:val="22"/>
          <w:lang w:val="en-GB"/>
        </w:rPr>
        <w:t xml:space="preserve">lectronic voting; 3. </w:t>
      </w:r>
      <w:r w:rsidR="001B591E">
        <w:rPr>
          <w:rFonts w:ascii="Arial" w:hAnsi="Arial" w:cs="Arial"/>
          <w:bCs/>
          <w:sz w:val="22"/>
          <w:szCs w:val="22"/>
          <w:lang w:val="en-GB"/>
        </w:rPr>
        <w:t>v</w:t>
      </w:r>
      <w:r>
        <w:rPr>
          <w:rFonts w:ascii="Arial" w:hAnsi="Arial" w:cs="Arial"/>
          <w:bCs/>
          <w:sz w:val="22"/>
          <w:szCs w:val="22"/>
          <w:lang w:val="en-GB"/>
        </w:rPr>
        <w:t xml:space="preserve">irtual meeting; 4. </w:t>
      </w:r>
      <w:r w:rsidR="001B591E">
        <w:rPr>
          <w:rFonts w:ascii="Arial" w:hAnsi="Arial" w:cs="Arial"/>
          <w:bCs/>
          <w:sz w:val="22"/>
          <w:szCs w:val="22"/>
          <w:lang w:val="en-GB"/>
        </w:rPr>
        <w:t>p</w:t>
      </w:r>
      <w:r>
        <w:rPr>
          <w:rFonts w:ascii="Arial" w:hAnsi="Arial" w:cs="Arial"/>
          <w:bCs/>
          <w:sz w:val="22"/>
          <w:szCs w:val="22"/>
          <w:lang w:val="en-GB"/>
        </w:rPr>
        <w:t xml:space="preserve">hysical meeting; and 5. </w:t>
      </w:r>
      <w:r w:rsidR="001B591E">
        <w:rPr>
          <w:rFonts w:ascii="Arial" w:hAnsi="Arial" w:cs="Arial"/>
          <w:bCs/>
          <w:sz w:val="22"/>
          <w:szCs w:val="22"/>
          <w:lang w:val="en-GB"/>
        </w:rPr>
        <w:t>a</w:t>
      </w:r>
      <w:r>
        <w:rPr>
          <w:rFonts w:ascii="Arial" w:hAnsi="Arial" w:cs="Arial"/>
          <w:bCs/>
          <w:sz w:val="22"/>
          <w:szCs w:val="22"/>
          <w:lang w:val="en-GB"/>
        </w:rPr>
        <w:t xml:space="preserve">ny other </w:t>
      </w:r>
      <w:proofErr w:type="gramStart"/>
      <w:r>
        <w:rPr>
          <w:rFonts w:ascii="Arial" w:hAnsi="Arial" w:cs="Arial"/>
          <w:bCs/>
          <w:sz w:val="22"/>
          <w:szCs w:val="22"/>
          <w:lang w:val="en-GB"/>
        </w:rPr>
        <w:t>decision making</w:t>
      </w:r>
      <w:proofErr w:type="gramEnd"/>
      <w:r>
        <w:rPr>
          <w:rFonts w:ascii="Arial" w:hAnsi="Arial" w:cs="Arial"/>
          <w:bCs/>
          <w:sz w:val="22"/>
          <w:szCs w:val="22"/>
          <w:lang w:val="en-GB"/>
        </w:rPr>
        <w:t xml:space="preserve"> </w:t>
      </w:r>
      <w:r w:rsidR="001B591E">
        <w:rPr>
          <w:rFonts w:ascii="Arial" w:hAnsi="Arial" w:cs="Arial"/>
          <w:bCs/>
          <w:sz w:val="22"/>
          <w:szCs w:val="22"/>
          <w:lang w:val="en-GB"/>
        </w:rPr>
        <w:t>procedure enabling all entitled creditors to participate in the decision making procedure equally.</w:t>
      </w:r>
    </w:p>
    <w:p w14:paraId="1E14FB4C" w14:textId="77777777" w:rsidR="00555280" w:rsidRDefault="00555280"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1E20790F" w:rsidR="00FF5098" w:rsidRPr="00FF5098" w:rsidRDefault="001B591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E450CAD" w14:textId="131110EE" w:rsidR="00FF5098" w:rsidRDefault="001B591E" w:rsidP="002A37BB">
      <w:pPr>
        <w:ind w:left="720" w:hanging="720"/>
        <w:jc w:val="both"/>
        <w:rPr>
          <w:rFonts w:ascii="Arial" w:hAnsi="Arial" w:cs="Arial"/>
          <w:sz w:val="22"/>
          <w:szCs w:val="22"/>
        </w:rPr>
      </w:pPr>
      <w:r>
        <w:rPr>
          <w:rFonts w:ascii="Arial" w:hAnsi="Arial" w:cs="Arial" w:hint="eastAsia"/>
          <w:sz w:val="22"/>
          <w:szCs w:val="22"/>
        </w:rPr>
        <w:t>U</w:t>
      </w:r>
      <w:r>
        <w:rPr>
          <w:rFonts w:ascii="Arial" w:hAnsi="Arial" w:cs="Arial"/>
          <w:sz w:val="22"/>
          <w:szCs w:val="22"/>
        </w:rPr>
        <w:t>nder administration, trading is allowed to be done by an administrator.</w:t>
      </w:r>
    </w:p>
    <w:p w14:paraId="10C33D13" w14:textId="06C0A83F" w:rsidR="001B591E" w:rsidRDefault="001B591E" w:rsidP="00620BD0">
      <w:pPr>
        <w:jc w:val="both"/>
        <w:rPr>
          <w:rFonts w:ascii="Arial" w:hAnsi="Arial" w:cs="Arial"/>
          <w:sz w:val="22"/>
          <w:szCs w:val="22"/>
        </w:rPr>
      </w:pPr>
      <w:r>
        <w:rPr>
          <w:rFonts w:ascii="Arial" w:hAnsi="Arial" w:cs="Arial" w:hint="eastAsia"/>
          <w:sz w:val="22"/>
          <w:szCs w:val="22"/>
        </w:rPr>
        <w:t>U</w:t>
      </w:r>
      <w:r>
        <w:rPr>
          <w:rFonts w:ascii="Arial" w:hAnsi="Arial" w:cs="Arial"/>
          <w:sz w:val="22"/>
          <w:szCs w:val="22"/>
        </w:rPr>
        <w:t xml:space="preserve">nder </w:t>
      </w:r>
      <w:r w:rsidR="00620BD0">
        <w:rPr>
          <w:rFonts w:ascii="Arial" w:hAnsi="Arial" w:cs="Arial"/>
          <w:sz w:val="22"/>
          <w:szCs w:val="22"/>
        </w:rPr>
        <w:t xml:space="preserve">section </w:t>
      </w:r>
      <w:r>
        <w:rPr>
          <w:rFonts w:ascii="Arial" w:hAnsi="Arial" w:cs="Arial"/>
          <w:sz w:val="22"/>
          <w:szCs w:val="22"/>
        </w:rPr>
        <w:t xml:space="preserve">233 of the Insolvency Act 1986, </w:t>
      </w:r>
      <w:r w:rsidR="00861764">
        <w:rPr>
          <w:rFonts w:ascii="Arial" w:hAnsi="Arial" w:cs="Arial"/>
          <w:sz w:val="22"/>
          <w:szCs w:val="22"/>
        </w:rPr>
        <w:t xml:space="preserve">the supplier of gas, electricity, water and communications service shall give the supply at the request of the </w:t>
      </w:r>
      <w:r w:rsidR="00620BD0">
        <w:rPr>
          <w:rFonts w:ascii="Arial" w:hAnsi="Arial" w:cs="Arial"/>
          <w:sz w:val="22"/>
          <w:szCs w:val="22"/>
        </w:rPr>
        <w:t>administrator.  Section 233A further rules that the supplier of the essential goods and services under the section 233(3) is unable to rely upon “insolvency-related term” in the contract of supply to terminate the supply of essential goods and services, alter the terms of the supply or compel higher payments for continued supply.</w:t>
      </w:r>
    </w:p>
    <w:p w14:paraId="28033A00" w14:textId="1ED4E5EC" w:rsidR="00620BD0" w:rsidRDefault="00620BD0" w:rsidP="00620BD0">
      <w:pPr>
        <w:jc w:val="both"/>
        <w:rPr>
          <w:rFonts w:ascii="Arial" w:hAnsi="Arial" w:cs="Arial"/>
          <w:sz w:val="22"/>
          <w:szCs w:val="22"/>
        </w:rPr>
      </w:pPr>
    </w:p>
    <w:p w14:paraId="688552FE" w14:textId="3B9B4C0C" w:rsidR="00620BD0" w:rsidRDefault="00620BD0" w:rsidP="00620BD0">
      <w:pPr>
        <w:jc w:val="both"/>
        <w:rPr>
          <w:rFonts w:ascii="Arial" w:hAnsi="Arial" w:cs="Arial"/>
          <w:sz w:val="22"/>
          <w:szCs w:val="22"/>
        </w:rPr>
      </w:pPr>
      <w:r>
        <w:rPr>
          <w:rFonts w:ascii="Arial" w:hAnsi="Arial" w:cs="Arial" w:hint="eastAsia"/>
          <w:sz w:val="22"/>
          <w:szCs w:val="22"/>
        </w:rPr>
        <w:t>S</w:t>
      </w:r>
      <w:r>
        <w:rPr>
          <w:rFonts w:ascii="Arial" w:hAnsi="Arial" w:cs="Arial"/>
          <w:sz w:val="22"/>
          <w:szCs w:val="22"/>
        </w:rPr>
        <w:t>ection 233B of the Insolvency Act 1986</w:t>
      </w:r>
      <w:r w:rsidR="0093429A">
        <w:rPr>
          <w:rFonts w:ascii="Arial" w:hAnsi="Arial" w:cs="Arial"/>
          <w:sz w:val="22"/>
          <w:szCs w:val="22"/>
        </w:rPr>
        <w:t xml:space="preserve"> makes the provisions in a contract which allow the supplier to terminate the supply of goods and services or do any other thing ceased to have effect when the company entered administration.  This prevents suppliers from not only </w:t>
      </w:r>
      <w:r w:rsidR="0093429A">
        <w:rPr>
          <w:rFonts w:ascii="Arial" w:hAnsi="Arial" w:cs="Arial"/>
          <w:sz w:val="22"/>
          <w:szCs w:val="22"/>
        </w:rPr>
        <w:lastRenderedPageBreak/>
        <w:t xml:space="preserve">terminating the supply, but also making a condition of continued supply </w:t>
      </w:r>
      <w:r w:rsidR="006D3CB1">
        <w:rPr>
          <w:rFonts w:ascii="Arial" w:hAnsi="Arial" w:cs="Arial"/>
          <w:sz w:val="22"/>
          <w:szCs w:val="22"/>
        </w:rPr>
        <w:t>such as pre-insolvency in arrears get paid or increasing prices.</w:t>
      </w:r>
    </w:p>
    <w:p w14:paraId="11440AEB" w14:textId="1C9DEDA0" w:rsidR="001B591E" w:rsidRDefault="001B591E" w:rsidP="002A37BB">
      <w:pPr>
        <w:ind w:left="720" w:hanging="720"/>
        <w:jc w:val="both"/>
        <w:rPr>
          <w:rFonts w:ascii="Arial" w:hAnsi="Arial" w:cs="Arial"/>
          <w:sz w:val="22"/>
          <w:szCs w:val="22"/>
        </w:rPr>
      </w:pPr>
    </w:p>
    <w:p w14:paraId="71B1DE20" w14:textId="32325327" w:rsidR="006D3CB1" w:rsidRPr="00FF5098" w:rsidRDefault="006D3CB1" w:rsidP="006D3CB1">
      <w:pPr>
        <w:jc w:val="both"/>
        <w:rPr>
          <w:rFonts w:ascii="Arial" w:hAnsi="Arial" w:cs="Arial"/>
          <w:sz w:val="22"/>
          <w:szCs w:val="22"/>
        </w:rPr>
      </w:pPr>
      <w:r>
        <w:rPr>
          <w:rFonts w:ascii="Arial" w:hAnsi="Arial" w:cs="Arial" w:hint="eastAsia"/>
          <w:sz w:val="22"/>
          <w:szCs w:val="22"/>
        </w:rPr>
        <w:t>W</w:t>
      </w:r>
      <w:r>
        <w:rPr>
          <w:rFonts w:ascii="Arial" w:hAnsi="Arial" w:cs="Arial"/>
          <w:sz w:val="22"/>
          <w:szCs w:val="22"/>
        </w:rPr>
        <w:t>ith the above 3 provisions, the supplier will only be able to cease to continue supply goods and services to the administrator with the consent from the administrator or the court.</w:t>
      </w:r>
    </w:p>
    <w:p w14:paraId="78A88EA7" w14:textId="4FACD137" w:rsidR="00FF5098" w:rsidRDefault="00FF5098" w:rsidP="002A37BB">
      <w:pPr>
        <w:ind w:left="720" w:hanging="720"/>
        <w:jc w:val="both"/>
        <w:rPr>
          <w:rFonts w:ascii="Arial" w:hAnsi="Arial" w:cs="Arial"/>
          <w:sz w:val="22"/>
          <w:szCs w:val="22"/>
        </w:rPr>
      </w:pPr>
    </w:p>
    <w:p w14:paraId="33E300D9" w14:textId="77777777" w:rsidR="006D3CB1" w:rsidRPr="00FF5098" w:rsidRDefault="006D3CB1"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0C59F79" w14:textId="3C950EBA" w:rsidR="0053322C" w:rsidRPr="00FF5098" w:rsidRDefault="0053322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3DAA6780" w14:textId="35DAC93D" w:rsidR="00962045" w:rsidRDefault="0053322C" w:rsidP="002A37BB">
      <w:pPr>
        <w:jc w:val="both"/>
        <w:rPr>
          <w:rFonts w:ascii="Arial" w:hAnsi="Arial" w:cs="Arial"/>
          <w:sz w:val="22"/>
          <w:szCs w:val="22"/>
          <w:shd w:val="clear" w:color="auto" w:fill="FFFFFF"/>
        </w:rPr>
      </w:pPr>
      <w:r>
        <w:rPr>
          <w:rFonts w:ascii="Arial" w:hAnsi="Arial" w:cs="Arial" w:hint="eastAsia"/>
          <w:sz w:val="22"/>
          <w:szCs w:val="22"/>
          <w:shd w:val="clear" w:color="auto" w:fill="FFFFFF"/>
        </w:rPr>
        <w:t>U</w:t>
      </w:r>
      <w:r>
        <w:rPr>
          <w:rFonts w:ascii="Arial" w:hAnsi="Arial" w:cs="Arial"/>
          <w:sz w:val="22"/>
          <w:szCs w:val="22"/>
          <w:shd w:val="clear" w:color="auto" w:fill="FFFFFF"/>
        </w:rPr>
        <w:t xml:space="preserve">nder section 115 of the Insolvency Act </w:t>
      </w:r>
      <w:r w:rsidR="00AA241D">
        <w:rPr>
          <w:rFonts w:ascii="Arial" w:hAnsi="Arial" w:cs="Arial"/>
          <w:sz w:val="22"/>
          <w:szCs w:val="22"/>
          <w:shd w:val="clear" w:color="auto" w:fill="FFFFFF"/>
        </w:rPr>
        <w:t xml:space="preserve">1986 and rules 6.42 and 7.108 of the Insolvency Rules 2016, the order of priority of payments in a liquidation is </w:t>
      </w:r>
      <w:proofErr w:type="spellStart"/>
      <w:r w:rsidR="00AA241D">
        <w:rPr>
          <w:rFonts w:ascii="Arial" w:hAnsi="Arial" w:cs="Arial"/>
          <w:sz w:val="22"/>
          <w:szCs w:val="22"/>
          <w:shd w:val="clear" w:color="auto" w:fill="FFFFFF"/>
        </w:rPr>
        <w:t>summarised</w:t>
      </w:r>
      <w:proofErr w:type="spellEnd"/>
      <w:r w:rsidR="00AA241D">
        <w:rPr>
          <w:rFonts w:ascii="Arial" w:hAnsi="Arial" w:cs="Arial"/>
          <w:sz w:val="22"/>
          <w:szCs w:val="22"/>
          <w:shd w:val="clear" w:color="auto" w:fill="FFFFFF"/>
        </w:rPr>
        <w:t xml:space="preserve"> as follow:</w:t>
      </w:r>
    </w:p>
    <w:p w14:paraId="2567064C" w14:textId="20472FD3" w:rsidR="00AA241D" w:rsidRPr="00AA241D" w:rsidRDefault="00A612D8" w:rsidP="0012585D">
      <w:pPr>
        <w:pStyle w:val="a3"/>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ex</w:t>
      </w:r>
      <w:r w:rsidR="00AA241D">
        <w:rPr>
          <w:rFonts w:ascii="Arial" w:hAnsi="Arial" w:cs="Arial"/>
          <w:sz w:val="22"/>
          <w:szCs w:val="22"/>
          <w:shd w:val="clear" w:color="auto" w:fill="FFFFFF"/>
        </w:rPr>
        <w:t>penses that are properly incurred by the liquidator in preserving, realising or getting in any of the assets of the company including the conduct of any legal proceedings;</w:t>
      </w:r>
    </w:p>
    <w:p w14:paraId="5946EE9F" w14:textId="6A1EA12E" w:rsidR="00AA241D" w:rsidRDefault="00AA241D" w:rsidP="00AA241D">
      <w:pPr>
        <w:pStyle w:val="a3"/>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the cost of any security provided by the liquidator;</w:t>
      </w:r>
    </w:p>
    <w:p w14:paraId="341A5746" w14:textId="745DB179" w:rsidR="00AA241D" w:rsidRDefault="00AA241D" w:rsidP="00AA241D">
      <w:pPr>
        <w:pStyle w:val="a3"/>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 xml:space="preserve">any </w:t>
      </w:r>
      <w:r>
        <w:rPr>
          <w:rFonts w:ascii="Arial" w:hAnsi="Arial" w:cs="Arial" w:hint="eastAsia"/>
          <w:sz w:val="22"/>
          <w:szCs w:val="22"/>
          <w:shd w:val="clear" w:color="auto" w:fill="FFFFFF"/>
        </w:rPr>
        <w:t>a</w:t>
      </w:r>
      <w:r>
        <w:rPr>
          <w:rFonts w:ascii="Arial" w:hAnsi="Arial" w:cs="Arial"/>
          <w:sz w:val="22"/>
          <w:szCs w:val="22"/>
          <w:shd w:val="clear" w:color="auto" w:fill="FFFFFF"/>
        </w:rPr>
        <w:t>mount payable to a person to assist in the preparation of a statement of affairs or accounts;</w:t>
      </w:r>
    </w:p>
    <w:p w14:paraId="0A3D650B" w14:textId="156CB268" w:rsidR="00AA241D" w:rsidRDefault="00AA241D" w:rsidP="00AA241D">
      <w:pPr>
        <w:pStyle w:val="a3"/>
        <w:numPr>
          <w:ilvl w:val="0"/>
          <w:numId w:val="21"/>
        </w:numPr>
        <w:jc w:val="both"/>
        <w:rPr>
          <w:rFonts w:ascii="Arial" w:hAnsi="Arial" w:cs="Arial"/>
          <w:sz w:val="22"/>
          <w:szCs w:val="22"/>
          <w:shd w:val="clear" w:color="auto" w:fill="FFFFFF"/>
        </w:rPr>
      </w:pPr>
      <w:r>
        <w:rPr>
          <w:rFonts w:ascii="Arial" w:hAnsi="Arial" w:cs="Arial"/>
          <w:sz w:val="22"/>
          <w:szCs w:val="22"/>
          <w:shd w:val="clear" w:color="auto" w:fill="FFFFFF"/>
        </w:rPr>
        <w:t>any necessary disbursements by the liquidator in the course of liquidation;</w:t>
      </w:r>
    </w:p>
    <w:p w14:paraId="06050A57" w14:textId="0BBF8B78" w:rsidR="00AA241D" w:rsidRDefault="00AA241D" w:rsidP="00AA241D">
      <w:pPr>
        <w:pStyle w:val="a3"/>
        <w:numPr>
          <w:ilvl w:val="0"/>
          <w:numId w:val="21"/>
        </w:numPr>
        <w:jc w:val="both"/>
        <w:rPr>
          <w:rFonts w:ascii="Arial" w:hAnsi="Arial" w:cs="Arial"/>
          <w:sz w:val="22"/>
          <w:szCs w:val="22"/>
          <w:shd w:val="clear" w:color="auto" w:fill="FFFFFF"/>
        </w:rPr>
      </w:pPr>
      <w:r>
        <w:rPr>
          <w:rFonts w:ascii="Arial" w:hAnsi="Arial" w:cs="Arial" w:hint="eastAsia"/>
          <w:sz w:val="22"/>
          <w:szCs w:val="22"/>
          <w:shd w:val="clear" w:color="auto" w:fill="FFFFFF"/>
        </w:rPr>
        <w:t>t</w:t>
      </w:r>
      <w:r>
        <w:rPr>
          <w:rFonts w:ascii="Arial" w:hAnsi="Arial" w:cs="Arial"/>
          <w:sz w:val="22"/>
          <w:szCs w:val="22"/>
          <w:shd w:val="clear" w:color="auto" w:fill="FFFFFF"/>
        </w:rPr>
        <w:t>he remuneration of any person employed by the liquidator to perform any services for the company;</w:t>
      </w:r>
    </w:p>
    <w:p w14:paraId="4E56266D" w14:textId="3C6F574B" w:rsidR="00AA241D" w:rsidRDefault="00AA241D" w:rsidP="00AA241D">
      <w:pPr>
        <w:pStyle w:val="a3"/>
        <w:numPr>
          <w:ilvl w:val="0"/>
          <w:numId w:val="21"/>
        </w:numPr>
        <w:jc w:val="both"/>
        <w:rPr>
          <w:rFonts w:ascii="Arial" w:hAnsi="Arial" w:cs="Arial"/>
          <w:sz w:val="22"/>
          <w:szCs w:val="22"/>
          <w:shd w:val="clear" w:color="auto" w:fill="FFFFFF"/>
        </w:rPr>
      </w:pPr>
      <w:r>
        <w:rPr>
          <w:rFonts w:ascii="Arial" w:hAnsi="Arial" w:cs="Arial" w:hint="eastAsia"/>
          <w:sz w:val="22"/>
          <w:szCs w:val="22"/>
          <w:shd w:val="clear" w:color="auto" w:fill="FFFFFF"/>
        </w:rPr>
        <w:t>t</w:t>
      </w:r>
      <w:r>
        <w:rPr>
          <w:rFonts w:ascii="Arial" w:hAnsi="Arial" w:cs="Arial"/>
          <w:sz w:val="22"/>
          <w:szCs w:val="22"/>
          <w:shd w:val="clear" w:color="auto" w:fill="FFFFFF"/>
        </w:rPr>
        <w:t>he remuneration of the liquidator;</w:t>
      </w:r>
    </w:p>
    <w:p w14:paraId="1674B5AF" w14:textId="5D1F235E" w:rsidR="00AA241D" w:rsidRDefault="00AA241D" w:rsidP="00AA241D">
      <w:pPr>
        <w:pStyle w:val="a3"/>
        <w:numPr>
          <w:ilvl w:val="0"/>
          <w:numId w:val="21"/>
        </w:numPr>
        <w:jc w:val="both"/>
        <w:rPr>
          <w:rFonts w:ascii="Arial" w:hAnsi="Arial" w:cs="Arial"/>
          <w:sz w:val="22"/>
          <w:szCs w:val="22"/>
          <w:shd w:val="clear" w:color="auto" w:fill="FFFFFF"/>
        </w:rPr>
      </w:pPr>
      <w:r>
        <w:rPr>
          <w:rFonts w:ascii="Arial" w:hAnsi="Arial" w:cs="Arial" w:hint="eastAsia"/>
          <w:sz w:val="22"/>
          <w:szCs w:val="22"/>
          <w:shd w:val="clear" w:color="auto" w:fill="FFFFFF"/>
        </w:rPr>
        <w:t>t</w:t>
      </w:r>
      <w:r>
        <w:rPr>
          <w:rFonts w:ascii="Arial" w:hAnsi="Arial" w:cs="Arial"/>
          <w:sz w:val="22"/>
          <w:szCs w:val="22"/>
          <w:shd w:val="clear" w:color="auto" w:fill="FFFFFF"/>
        </w:rPr>
        <w:t>he amount of any corporation tax on chargeable gains accruing on the realization of any asset of the company;</w:t>
      </w:r>
    </w:p>
    <w:p w14:paraId="0E9CC15E" w14:textId="417347AE" w:rsidR="00AA241D" w:rsidRDefault="00BB4AC1" w:rsidP="00AA241D">
      <w:pPr>
        <w:pStyle w:val="a3"/>
        <w:numPr>
          <w:ilvl w:val="0"/>
          <w:numId w:val="21"/>
        </w:numPr>
        <w:jc w:val="both"/>
        <w:rPr>
          <w:rFonts w:ascii="Arial" w:hAnsi="Arial" w:cs="Arial"/>
          <w:sz w:val="22"/>
          <w:szCs w:val="22"/>
          <w:shd w:val="clear" w:color="auto" w:fill="FFFFFF"/>
        </w:rPr>
      </w:pPr>
      <w:r>
        <w:rPr>
          <w:rFonts w:ascii="Arial" w:hAnsi="Arial" w:cs="Arial" w:hint="eastAsia"/>
          <w:sz w:val="22"/>
          <w:szCs w:val="22"/>
          <w:shd w:val="clear" w:color="auto" w:fill="FFFFFF"/>
        </w:rPr>
        <w:t>a</w:t>
      </w:r>
      <w:r>
        <w:rPr>
          <w:rFonts w:ascii="Arial" w:hAnsi="Arial" w:cs="Arial"/>
          <w:sz w:val="22"/>
          <w:szCs w:val="22"/>
          <w:shd w:val="clear" w:color="auto" w:fill="FFFFFF"/>
        </w:rPr>
        <w:t>ny other expenses properly chargeable by the liquidator in carrying out the liquidator’s functions in liquidation.</w:t>
      </w:r>
    </w:p>
    <w:p w14:paraId="7E91B294" w14:textId="560F9D9C" w:rsidR="00BB4AC1" w:rsidRDefault="00BB4AC1" w:rsidP="00BB4AC1">
      <w:pPr>
        <w:jc w:val="both"/>
        <w:rPr>
          <w:rFonts w:ascii="Arial" w:hAnsi="Arial" w:cs="Arial"/>
          <w:sz w:val="22"/>
          <w:szCs w:val="22"/>
          <w:shd w:val="clear" w:color="auto" w:fill="FFFFFF"/>
        </w:rPr>
      </w:pPr>
    </w:p>
    <w:p w14:paraId="5E2A95D3" w14:textId="3325493D" w:rsidR="00BB4AC1" w:rsidRDefault="00BB4AC1" w:rsidP="00BB4AC1">
      <w:pPr>
        <w:jc w:val="both"/>
        <w:rPr>
          <w:rFonts w:ascii="Arial" w:hAnsi="Arial" w:cs="Arial"/>
          <w:sz w:val="22"/>
          <w:szCs w:val="22"/>
          <w:shd w:val="clear" w:color="auto" w:fill="FFFFFF"/>
        </w:rPr>
      </w:pPr>
      <w:r>
        <w:rPr>
          <w:rFonts w:ascii="Arial" w:hAnsi="Arial" w:cs="Arial" w:hint="eastAsia"/>
          <w:sz w:val="22"/>
          <w:szCs w:val="22"/>
          <w:shd w:val="clear" w:color="auto" w:fill="FFFFFF"/>
        </w:rPr>
        <w:t>A</w:t>
      </w:r>
      <w:r>
        <w:rPr>
          <w:rFonts w:ascii="Arial" w:hAnsi="Arial" w:cs="Arial"/>
          <w:sz w:val="22"/>
          <w:szCs w:val="22"/>
          <w:shd w:val="clear" w:color="auto" w:fill="FFFFFF"/>
        </w:rPr>
        <w:t>fter settling the above expenses, the assets of the company are payable in the following order</w:t>
      </w:r>
      <w:r>
        <w:rPr>
          <w:rFonts w:ascii="Arial" w:hAnsi="Arial" w:cs="Arial" w:hint="eastAsia"/>
          <w:sz w:val="22"/>
          <w:szCs w:val="22"/>
          <w:shd w:val="clear" w:color="auto" w:fill="FFFFFF"/>
        </w:rPr>
        <w:t>:</w:t>
      </w:r>
    </w:p>
    <w:p w14:paraId="60107D4F" w14:textId="58A15BBD" w:rsidR="00BB4AC1" w:rsidRDefault="00BB4AC1" w:rsidP="00BB4AC1">
      <w:pPr>
        <w:pStyle w:val="a3"/>
        <w:numPr>
          <w:ilvl w:val="0"/>
          <w:numId w:val="22"/>
        </w:numPr>
        <w:jc w:val="both"/>
        <w:rPr>
          <w:rFonts w:ascii="Arial" w:hAnsi="Arial" w:cs="Arial"/>
          <w:sz w:val="22"/>
          <w:szCs w:val="22"/>
          <w:shd w:val="clear" w:color="auto" w:fill="FFFFFF"/>
        </w:rPr>
      </w:pPr>
      <w:r>
        <w:rPr>
          <w:rFonts w:ascii="Arial" w:hAnsi="Arial" w:cs="Arial"/>
          <w:sz w:val="22"/>
          <w:szCs w:val="22"/>
          <w:shd w:val="clear" w:color="auto" w:fill="FFFFFF"/>
        </w:rPr>
        <w:t xml:space="preserve">ordinary </w:t>
      </w:r>
      <w:r>
        <w:rPr>
          <w:rFonts w:ascii="Arial" w:hAnsi="Arial" w:cs="Arial" w:hint="eastAsia"/>
          <w:sz w:val="22"/>
          <w:szCs w:val="22"/>
          <w:shd w:val="clear" w:color="auto" w:fill="FFFFFF"/>
        </w:rPr>
        <w:t>p</w:t>
      </w:r>
      <w:r>
        <w:rPr>
          <w:rFonts w:ascii="Arial" w:hAnsi="Arial" w:cs="Arial"/>
          <w:sz w:val="22"/>
          <w:szCs w:val="22"/>
          <w:shd w:val="clear" w:color="auto" w:fill="FFFFFF"/>
        </w:rPr>
        <w:t>referential creditors</w:t>
      </w:r>
      <w:r w:rsidR="00FA4D4C">
        <w:rPr>
          <w:rFonts w:ascii="Arial" w:hAnsi="Arial" w:cs="Arial"/>
          <w:sz w:val="22"/>
          <w:szCs w:val="22"/>
          <w:shd w:val="clear" w:color="auto" w:fill="FFFFFF"/>
        </w:rPr>
        <w:t xml:space="preserve"> which largely comprise limited claims of employees</w:t>
      </w:r>
    </w:p>
    <w:p w14:paraId="7C91F4E2" w14:textId="7171C5E1" w:rsidR="00BB4AC1" w:rsidRDefault="00BB4AC1" w:rsidP="00BB4AC1">
      <w:pPr>
        <w:pStyle w:val="a3"/>
        <w:numPr>
          <w:ilvl w:val="0"/>
          <w:numId w:val="22"/>
        </w:numPr>
        <w:jc w:val="both"/>
        <w:rPr>
          <w:rFonts w:ascii="Arial" w:hAnsi="Arial" w:cs="Arial"/>
          <w:sz w:val="22"/>
          <w:szCs w:val="22"/>
          <w:shd w:val="clear" w:color="auto" w:fill="FFFFFF"/>
        </w:rPr>
      </w:pPr>
      <w:r>
        <w:rPr>
          <w:rFonts w:ascii="Arial" w:hAnsi="Arial" w:cs="Arial" w:hint="eastAsia"/>
          <w:sz w:val="22"/>
          <w:szCs w:val="22"/>
          <w:shd w:val="clear" w:color="auto" w:fill="FFFFFF"/>
        </w:rPr>
        <w:t>s</w:t>
      </w:r>
      <w:r>
        <w:rPr>
          <w:rFonts w:ascii="Arial" w:hAnsi="Arial" w:cs="Arial"/>
          <w:sz w:val="22"/>
          <w:szCs w:val="22"/>
          <w:shd w:val="clear" w:color="auto" w:fill="FFFFFF"/>
        </w:rPr>
        <w:t>econdary preferential creditors</w:t>
      </w:r>
      <w:r w:rsidR="00FA4D4C">
        <w:rPr>
          <w:rFonts w:ascii="Arial" w:hAnsi="Arial" w:cs="Arial"/>
          <w:sz w:val="22"/>
          <w:szCs w:val="22"/>
          <w:shd w:val="clear" w:color="auto" w:fill="FFFFFF"/>
        </w:rPr>
        <w:t>, such as taxation</w:t>
      </w:r>
    </w:p>
    <w:p w14:paraId="00BC762C" w14:textId="61C090C5" w:rsidR="00495837" w:rsidRDefault="00BB4AC1" w:rsidP="00BB4AC1">
      <w:pPr>
        <w:pStyle w:val="a3"/>
        <w:numPr>
          <w:ilvl w:val="0"/>
          <w:numId w:val="22"/>
        </w:numPr>
        <w:jc w:val="both"/>
        <w:rPr>
          <w:rFonts w:ascii="Arial" w:hAnsi="Arial" w:cs="Arial"/>
          <w:sz w:val="22"/>
          <w:szCs w:val="22"/>
          <w:shd w:val="clear" w:color="auto" w:fill="FFFFFF"/>
        </w:rPr>
      </w:pPr>
      <w:r>
        <w:rPr>
          <w:rFonts w:ascii="Arial" w:hAnsi="Arial" w:cs="Arial"/>
          <w:sz w:val="22"/>
          <w:szCs w:val="22"/>
          <w:shd w:val="clear" w:color="auto" w:fill="FFFFFF"/>
        </w:rPr>
        <w:t>floating charges holders</w:t>
      </w:r>
      <w:r w:rsidR="00495837">
        <w:rPr>
          <w:rFonts w:ascii="Arial" w:hAnsi="Arial" w:cs="Arial"/>
          <w:sz w:val="22"/>
          <w:szCs w:val="22"/>
          <w:shd w:val="clear" w:color="auto" w:fill="FFFFFF"/>
        </w:rPr>
        <w:t>:</w:t>
      </w:r>
    </w:p>
    <w:p w14:paraId="1006AF00" w14:textId="735AE2D2" w:rsidR="00BB4AC1" w:rsidRDefault="00BB4AC1" w:rsidP="00495837">
      <w:pPr>
        <w:pStyle w:val="a3"/>
        <w:ind w:left="360"/>
        <w:jc w:val="both"/>
        <w:rPr>
          <w:rFonts w:ascii="Arial" w:hAnsi="Arial" w:cs="Arial"/>
          <w:sz w:val="22"/>
          <w:szCs w:val="22"/>
          <w:shd w:val="clear" w:color="auto" w:fill="FFFFFF"/>
        </w:rPr>
      </w:pPr>
      <w:r>
        <w:rPr>
          <w:rFonts w:ascii="Arial" w:hAnsi="Arial" w:cs="Arial"/>
          <w:sz w:val="22"/>
          <w:szCs w:val="22"/>
          <w:shd w:val="clear" w:color="auto" w:fill="FFFFFF"/>
        </w:rPr>
        <w:t xml:space="preserve">in case there are more than one floating charge holders, the priority of payments usually based on which floating charge was created first.  </w:t>
      </w:r>
      <w:r w:rsidR="00495837">
        <w:rPr>
          <w:rFonts w:ascii="Arial" w:hAnsi="Arial" w:cs="Arial"/>
          <w:sz w:val="22"/>
          <w:szCs w:val="22"/>
          <w:shd w:val="clear" w:color="auto" w:fill="FFFFFF"/>
        </w:rPr>
        <w:t>If</w:t>
      </w:r>
      <w:r>
        <w:rPr>
          <w:rFonts w:ascii="Arial" w:hAnsi="Arial" w:cs="Arial"/>
          <w:sz w:val="22"/>
          <w:szCs w:val="22"/>
          <w:shd w:val="clear" w:color="auto" w:fill="FFFFFF"/>
        </w:rPr>
        <w:t xml:space="preserve"> there is any outstanding unsecured balance owing to him/her, that unsecured part will be treated as unsecured debts</w:t>
      </w:r>
    </w:p>
    <w:p w14:paraId="13675BF1" w14:textId="21431F5F" w:rsidR="00BB4AC1" w:rsidRDefault="00BB4AC1" w:rsidP="00BB4AC1">
      <w:pPr>
        <w:pStyle w:val="a3"/>
        <w:numPr>
          <w:ilvl w:val="0"/>
          <w:numId w:val="22"/>
        </w:numPr>
        <w:jc w:val="both"/>
        <w:rPr>
          <w:rFonts w:ascii="Arial" w:hAnsi="Arial" w:cs="Arial"/>
          <w:sz w:val="22"/>
          <w:szCs w:val="22"/>
          <w:shd w:val="clear" w:color="auto" w:fill="FFFFFF"/>
        </w:rPr>
      </w:pPr>
      <w:r>
        <w:rPr>
          <w:rFonts w:ascii="Arial" w:hAnsi="Arial" w:cs="Arial" w:hint="eastAsia"/>
          <w:sz w:val="22"/>
          <w:szCs w:val="22"/>
          <w:shd w:val="clear" w:color="auto" w:fill="FFFFFF"/>
        </w:rPr>
        <w:t>u</w:t>
      </w:r>
      <w:r>
        <w:rPr>
          <w:rFonts w:ascii="Arial" w:hAnsi="Arial" w:cs="Arial"/>
          <w:sz w:val="22"/>
          <w:szCs w:val="22"/>
          <w:shd w:val="clear" w:color="auto" w:fill="FFFFFF"/>
        </w:rPr>
        <w:t>nsecured creditors</w:t>
      </w:r>
    </w:p>
    <w:p w14:paraId="2717316A" w14:textId="089EBA06" w:rsidR="00495837" w:rsidRDefault="00495837" w:rsidP="00BB4AC1">
      <w:pPr>
        <w:pStyle w:val="a3"/>
        <w:numPr>
          <w:ilvl w:val="0"/>
          <w:numId w:val="22"/>
        </w:numPr>
        <w:jc w:val="both"/>
        <w:rPr>
          <w:rFonts w:ascii="Arial" w:hAnsi="Arial" w:cs="Arial"/>
          <w:sz w:val="22"/>
          <w:szCs w:val="22"/>
          <w:shd w:val="clear" w:color="auto" w:fill="FFFFFF"/>
        </w:rPr>
      </w:pPr>
      <w:r>
        <w:rPr>
          <w:rFonts w:ascii="Arial" w:hAnsi="Arial" w:cs="Arial"/>
          <w:sz w:val="22"/>
          <w:szCs w:val="22"/>
          <w:shd w:val="clear" w:color="auto" w:fill="FFFFFF"/>
        </w:rPr>
        <w:t xml:space="preserve">preference </w:t>
      </w:r>
      <w:r>
        <w:rPr>
          <w:rFonts w:ascii="Arial" w:hAnsi="Arial" w:cs="Arial" w:hint="eastAsia"/>
          <w:sz w:val="22"/>
          <w:szCs w:val="22"/>
          <w:shd w:val="clear" w:color="auto" w:fill="FFFFFF"/>
        </w:rPr>
        <w:t>s</w:t>
      </w:r>
      <w:r>
        <w:rPr>
          <w:rFonts w:ascii="Arial" w:hAnsi="Arial" w:cs="Arial"/>
          <w:sz w:val="22"/>
          <w:szCs w:val="22"/>
          <w:shd w:val="clear" w:color="auto" w:fill="FFFFFF"/>
        </w:rPr>
        <w:t>hareholders</w:t>
      </w:r>
    </w:p>
    <w:p w14:paraId="220F697A" w14:textId="711D49E1" w:rsidR="00495837" w:rsidRPr="00BB4AC1" w:rsidRDefault="00495837" w:rsidP="00BB4AC1">
      <w:pPr>
        <w:pStyle w:val="a3"/>
        <w:numPr>
          <w:ilvl w:val="0"/>
          <w:numId w:val="22"/>
        </w:numPr>
        <w:jc w:val="both"/>
        <w:rPr>
          <w:rFonts w:ascii="Arial" w:hAnsi="Arial" w:cs="Arial"/>
          <w:sz w:val="22"/>
          <w:szCs w:val="22"/>
          <w:shd w:val="clear" w:color="auto" w:fill="FFFFFF"/>
        </w:rPr>
      </w:pPr>
      <w:r>
        <w:rPr>
          <w:rFonts w:ascii="Arial" w:hAnsi="Arial" w:cs="Arial" w:hint="eastAsia"/>
          <w:sz w:val="22"/>
          <w:szCs w:val="22"/>
          <w:shd w:val="clear" w:color="auto" w:fill="FFFFFF"/>
        </w:rPr>
        <w:t>o</w:t>
      </w:r>
      <w:r>
        <w:rPr>
          <w:rFonts w:ascii="Arial" w:hAnsi="Arial" w:cs="Arial"/>
          <w:sz w:val="22"/>
          <w:szCs w:val="22"/>
          <w:shd w:val="clear" w:color="auto" w:fill="FFFFFF"/>
        </w:rPr>
        <w:t>rdinary shareholders</w:t>
      </w:r>
    </w:p>
    <w:p w14:paraId="042F2F16" w14:textId="67BAF597" w:rsidR="00FF5098" w:rsidRDefault="00FF5098" w:rsidP="002A37BB">
      <w:pPr>
        <w:jc w:val="both"/>
        <w:rPr>
          <w:rFonts w:ascii="Arial" w:hAnsi="Arial" w:cs="Arial"/>
          <w:sz w:val="22"/>
          <w:szCs w:val="22"/>
          <w:shd w:val="clear" w:color="auto" w:fill="FFFFFF"/>
        </w:rPr>
      </w:pPr>
    </w:p>
    <w:p w14:paraId="0A6C8D9B" w14:textId="3A07A187" w:rsidR="00BB4AC1" w:rsidRDefault="00BB4AC1"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Every </w:t>
      </w:r>
      <w:proofErr w:type="gramStart"/>
      <w:r>
        <w:rPr>
          <w:rFonts w:ascii="Arial" w:hAnsi="Arial" w:cs="Arial"/>
          <w:sz w:val="22"/>
          <w:szCs w:val="22"/>
          <w:shd w:val="clear" w:color="auto" w:fill="FFFFFF"/>
        </w:rPr>
        <w:t>creditors</w:t>
      </w:r>
      <w:proofErr w:type="gramEnd"/>
      <w:r>
        <w:rPr>
          <w:rFonts w:ascii="Arial" w:hAnsi="Arial" w:cs="Arial"/>
          <w:sz w:val="22"/>
          <w:szCs w:val="22"/>
          <w:shd w:val="clear" w:color="auto" w:fill="FFFFFF"/>
        </w:rPr>
        <w:t xml:space="preserve"> in their respective classes, rank equally and so abate in equal proportion if the company’s assets are insufficient to pay them all.</w:t>
      </w:r>
    </w:p>
    <w:p w14:paraId="51CC7C60" w14:textId="14F2FD0F" w:rsidR="00BB4AC1" w:rsidRDefault="00BB4AC1" w:rsidP="002A37BB">
      <w:pPr>
        <w:jc w:val="both"/>
        <w:rPr>
          <w:rFonts w:ascii="Arial" w:hAnsi="Arial" w:cs="Arial"/>
          <w:sz w:val="22"/>
          <w:szCs w:val="22"/>
          <w:shd w:val="clear" w:color="auto" w:fill="FFFFFF"/>
        </w:rPr>
      </w:pPr>
    </w:p>
    <w:p w14:paraId="48E2EFEE" w14:textId="77777777" w:rsidR="003F4396" w:rsidRPr="002A37BB" w:rsidRDefault="003F4396"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Web"/>
        <w:spacing w:before="0" w:beforeAutospacing="0" w:after="0" w:afterAutospacing="0"/>
        <w:rPr>
          <w:rFonts w:ascii="Arial" w:hAnsi="Arial" w:cs="Arial"/>
        </w:rPr>
      </w:pPr>
    </w:p>
    <w:p w14:paraId="3669DFCF" w14:textId="3DDC0B11" w:rsidR="00314F32" w:rsidRDefault="00314F32" w:rsidP="007E2919">
      <w:pPr>
        <w:pStyle w:val="Web"/>
        <w:spacing w:before="0" w:beforeAutospacing="0" w:after="0" w:afterAutospacing="0"/>
        <w:rPr>
          <w:rFonts w:ascii="Arial" w:hAnsi="Arial" w:cs="Arial"/>
        </w:rPr>
      </w:pPr>
      <w:r>
        <w:rPr>
          <w:rFonts w:ascii="Arial" w:hAnsi="Arial" w:cs="Arial"/>
        </w:rPr>
        <w:lastRenderedPageBreak/>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Web"/>
        <w:spacing w:before="0" w:beforeAutospacing="0" w:after="0" w:afterAutospacing="0"/>
        <w:rPr>
          <w:rFonts w:ascii="Arial" w:hAnsi="Arial" w:cs="Arial"/>
        </w:rPr>
      </w:pPr>
    </w:p>
    <w:p w14:paraId="0C3B98CB" w14:textId="0513C8E8" w:rsidR="007E2919" w:rsidRPr="00CB79E4" w:rsidRDefault="007E2919" w:rsidP="00891690">
      <w:pPr>
        <w:pStyle w:val="Web"/>
        <w:spacing w:before="0" w:beforeAutospacing="0" w:after="0" w:afterAutospacing="0"/>
        <w:rPr>
          <w:rFonts w:ascii="Arial" w:hAnsi="Arial" w:cs="Arial"/>
        </w:rPr>
      </w:pPr>
      <w:r w:rsidRPr="00D622CE">
        <w:rPr>
          <w:rFonts w:ascii="Arial" w:hAnsi="Arial" w:cs="Arial"/>
        </w:rPr>
        <w:t xml:space="preserve">In </w:t>
      </w:r>
      <w:r w:rsidR="00891690" w:rsidRPr="00D622CE">
        <w:rPr>
          <w:rFonts w:ascii="Arial" w:hAnsi="Arial" w:cs="Arial"/>
        </w:rPr>
        <w:t>July</w:t>
      </w:r>
      <w:r w:rsidRPr="00D622CE">
        <w:rPr>
          <w:rFonts w:ascii="Arial" w:hAnsi="Arial" w:cs="Arial"/>
        </w:rPr>
        <w:t xml:space="preserve"> 202</w:t>
      </w:r>
      <w:r w:rsidR="003A4482" w:rsidRPr="00D622CE">
        <w:rPr>
          <w:rFonts w:ascii="Arial" w:hAnsi="Arial" w:cs="Arial"/>
        </w:rPr>
        <w:t>1</w:t>
      </w:r>
      <w:r w:rsidRPr="00D622CE">
        <w:rPr>
          <w:rFonts w:ascii="Arial" w:hAnsi="Arial" w:cs="Arial"/>
        </w:rPr>
        <w:t xml:space="preserve">, as the </w:t>
      </w:r>
      <w:r w:rsidR="00891690" w:rsidRPr="00D622CE">
        <w:rPr>
          <w:rFonts w:ascii="Arial" w:hAnsi="Arial" w:cs="Arial"/>
        </w:rPr>
        <w:t>C</w:t>
      </w:r>
      <w:r w:rsidRPr="00D622CE">
        <w:rPr>
          <w:rFonts w:ascii="Arial" w:hAnsi="Arial" w:cs="Arial"/>
        </w:rPr>
        <w:t>ompany continued to s</w:t>
      </w:r>
      <w:r w:rsidR="00314F32" w:rsidRPr="00D622CE">
        <w:rPr>
          <w:rFonts w:ascii="Arial" w:hAnsi="Arial" w:cs="Arial"/>
        </w:rPr>
        <w:t xml:space="preserve">uffer cash flow problems, </w:t>
      </w:r>
      <w:r w:rsidRPr="00D622CE">
        <w:rPr>
          <w:rFonts w:ascii="Arial" w:hAnsi="Arial" w:cs="Arial"/>
        </w:rPr>
        <w:t xml:space="preserve">the directors approved the sale of </w:t>
      </w:r>
      <w:r w:rsidR="00891690" w:rsidRPr="00D622CE">
        <w:rPr>
          <w:rFonts w:ascii="Arial" w:hAnsi="Arial" w:cs="Arial"/>
        </w:rPr>
        <w:t>5</w:t>
      </w:r>
      <w:r w:rsidRPr="00D622CE">
        <w:rPr>
          <w:rFonts w:ascii="Arial" w:hAnsi="Arial" w:cs="Arial"/>
        </w:rPr>
        <w:t xml:space="preserve"> </w:t>
      </w:r>
      <w:r w:rsidR="00891690" w:rsidRPr="00D622CE">
        <w:rPr>
          <w:rFonts w:ascii="Arial" w:hAnsi="Arial" w:cs="Arial"/>
        </w:rPr>
        <w:t xml:space="preserve">coffee roasting machines </w:t>
      </w:r>
      <w:r w:rsidRPr="00D622CE">
        <w:rPr>
          <w:rFonts w:ascii="Arial" w:hAnsi="Arial" w:cs="Arial"/>
        </w:rPr>
        <w:t xml:space="preserve">to </w:t>
      </w:r>
      <w:r w:rsidR="00891690" w:rsidRPr="00D622CE">
        <w:rPr>
          <w:rFonts w:ascii="Arial" w:hAnsi="Arial" w:cs="Arial"/>
        </w:rPr>
        <w:t>Ann Young</w:t>
      </w:r>
      <w:r w:rsidRPr="00D622CE">
        <w:rPr>
          <w:rFonts w:ascii="Arial" w:hAnsi="Arial" w:cs="Arial"/>
        </w:rPr>
        <w:t xml:space="preserve"> (a director) for </w:t>
      </w:r>
      <w:bookmarkStart w:id="1" w:name="_Hlk96766878"/>
      <w:r w:rsidRPr="00D622CE">
        <w:rPr>
          <w:rFonts w:ascii="Arial" w:hAnsi="Arial" w:cs="Arial"/>
        </w:rPr>
        <w:t>£</w:t>
      </w:r>
      <w:r w:rsidR="00891690" w:rsidRPr="00D622CE">
        <w:rPr>
          <w:rFonts w:ascii="Arial" w:hAnsi="Arial" w:cs="Arial"/>
        </w:rPr>
        <w:t>10</w:t>
      </w:r>
      <w:r w:rsidRPr="00D622CE">
        <w:rPr>
          <w:rFonts w:ascii="Arial" w:hAnsi="Arial" w:cs="Arial"/>
        </w:rPr>
        <w:t xml:space="preserve">,000 </w:t>
      </w:r>
      <w:bookmarkEnd w:id="1"/>
      <w:r w:rsidRPr="00D622CE">
        <w:rPr>
          <w:rFonts w:ascii="Arial" w:hAnsi="Arial" w:cs="Arial"/>
        </w:rPr>
        <w:t xml:space="preserve">in cash. The </w:t>
      </w:r>
      <w:r w:rsidR="00891690" w:rsidRPr="00D622CE">
        <w:rPr>
          <w:rFonts w:ascii="Arial" w:hAnsi="Arial" w:cs="Arial"/>
        </w:rPr>
        <w:t xml:space="preserve">machines </w:t>
      </w:r>
      <w:r w:rsidRPr="00D622CE">
        <w:rPr>
          <w:rFonts w:ascii="Arial" w:hAnsi="Arial" w:cs="Arial"/>
        </w:rPr>
        <w:t xml:space="preserve">had been bought for </w:t>
      </w:r>
      <w:bookmarkStart w:id="2" w:name="_Hlk96767360"/>
      <w:r w:rsidRPr="00D622CE">
        <w:rPr>
          <w:rFonts w:ascii="Arial" w:hAnsi="Arial" w:cs="Arial"/>
        </w:rPr>
        <w:t>£</w:t>
      </w:r>
      <w:r w:rsidR="00891690" w:rsidRPr="00D622CE">
        <w:rPr>
          <w:rFonts w:ascii="Arial" w:hAnsi="Arial" w:cs="Arial"/>
        </w:rPr>
        <w:t>25</w:t>
      </w:r>
      <w:r w:rsidRPr="00D622CE">
        <w:rPr>
          <w:rFonts w:ascii="Arial" w:hAnsi="Arial" w:cs="Arial"/>
        </w:rPr>
        <w:t>,000 a year before</w:t>
      </w:r>
      <w:bookmarkEnd w:id="2"/>
      <w:r w:rsidRPr="00D622CE">
        <w:rPr>
          <w:rFonts w:ascii="Arial" w:hAnsi="Arial" w:cs="Arial"/>
        </w:rPr>
        <w:t>.</w:t>
      </w:r>
    </w:p>
    <w:p w14:paraId="656168E7" w14:textId="77777777" w:rsidR="007E2919" w:rsidRPr="00CB79E4" w:rsidRDefault="007E2919" w:rsidP="007E2919">
      <w:pPr>
        <w:pStyle w:val="Web"/>
        <w:spacing w:before="0" w:beforeAutospacing="0" w:after="0" w:afterAutospacing="0"/>
        <w:rPr>
          <w:rFonts w:ascii="Arial" w:hAnsi="Arial" w:cs="Arial"/>
        </w:rPr>
      </w:pPr>
    </w:p>
    <w:p w14:paraId="650258DB" w14:textId="6C9D65B3" w:rsidR="007E2919" w:rsidRPr="00CB79E4" w:rsidRDefault="007E2919" w:rsidP="007E2919">
      <w:pPr>
        <w:pStyle w:v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Web"/>
        <w:spacing w:before="0" w:beforeAutospacing="0" w:after="0" w:afterAutospacing="0"/>
        <w:rPr>
          <w:rFonts w:ascii="Arial" w:hAnsi="Arial" w:cs="Arial"/>
        </w:rPr>
      </w:pPr>
    </w:p>
    <w:p w14:paraId="778D6790" w14:textId="77777777" w:rsidR="007E2919" w:rsidRPr="00CB79E4" w:rsidRDefault="007E2919" w:rsidP="007E2919">
      <w:pPr>
        <w:pStyle w:v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5CA36EAA" w:rsidR="00FF5098" w:rsidRPr="00FF5098" w:rsidRDefault="005A2F8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6519979" w14:textId="47BA7F28" w:rsidR="00296DE0" w:rsidRDefault="005A2F83" w:rsidP="00296DE0">
      <w:pPr>
        <w:jc w:val="both"/>
        <w:rPr>
          <w:rFonts w:ascii="Arial" w:eastAsiaTheme="minorEastAsia" w:hAnsi="Arial" w:cs="Arial"/>
          <w:bCs/>
          <w:sz w:val="22"/>
          <w:szCs w:val="22"/>
          <w:lang w:eastAsia="zh-TW"/>
        </w:rPr>
      </w:pPr>
      <w:r w:rsidRPr="00D622CE">
        <w:rPr>
          <w:rFonts w:ascii="Arial" w:eastAsiaTheme="minorEastAsia" w:hAnsi="Arial" w:cs="Arial" w:hint="eastAsia"/>
          <w:bCs/>
          <w:sz w:val="22"/>
          <w:szCs w:val="22"/>
          <w:lang w:eastAsia="zh-TW"/>
        </w:rPr>
        <w:t>T</w:t>
      </w:r>
      <w:r w:rsidRPr="00D622CE">
        <w:rPr>
          <w:rFonts w:ascii="Arial" w:eastAsiaTheme="minorEastAsia" w:hAnsi="Arial" w:cs="Arial"/>
          <w:bCs/>
          <w:sz w:val="22"/>
          <w:szCs w:val="22"/>
          <w:lang w:eastAsia="zh-TW"/>
        </w:rPr>
        <w:t xml:space="preserve">he floating charge in </w:t>
      </w:r>
      <w:proofErr w:type="spellStart"/>
      <w:r w:rsidRPr="00D622CE">
        <w:rPr>
          <w:rFonts w:ascii="Arial" w:eastAsiaTheme="minorEastAsia" w:hAnsi="Arial" w:cs="Arial"/>
          <w:bCs/>
          <w:sz w:val="22"/>
          <w:szCs w:val="22"/>
          <w:lang w:eastAsia="zh-TW"/>
        </w:rPr>
        <w:t>favour</w:t>
      </w:r>
      <w:proofErr w:type="spellEnd"/>
      <w:r w:rsidRPr="00D622CE">
        <w:rPr>
          <w:rFonts w:ascii="Arial" w:eastAsiaTheme="minorEastAsia" w:hAnsi="Arial" w:cs="Arial"/>
          <w:bCs/>
          <w:sz w:val="22"/>
          <w:szCs w:val="22"/>
          <w:lang w:eastAsia="zh-TW"/>
        </w:rPr>
        <w:t xml:space="preserve"> of </w:t>
      </w:r>
      <w:proofErr w:type="spellStart"/>
      <w:r w:rsidRPr="00D622CE">
        <w:rPr>
          <w:rFonts w:ascii="Arial" w:eastAsiaTheme="minorEastAsia" w:hAnsi="Arial" w:cs="Arial"/>
          <w:bCs/>
          <w:sz w:val="22"/>
          <w:szCs w:val="22"/>
          <w:lang w:eastAsia="zh-TW"/>
        </w:rPr>
        <w:t>Stercus</w:t>
      </w:r>
      <w:proofErr w:type="spellEnd"/>
      <w:r w:rsidRPr="00D622CE">
        <w:rPr>
          <w:rFonts w:ascii="Arial" w:eastAsiaTheme="minorEastAsia" w:hAnsi="Arial" w:cs="Arial"/>
          <w:bCs/>
          <w:sz w:val="22"/>
          <w:szCs w:val="22"/>
          <w:lang w:eastAsia="zh-TW"/>
        </w:rPr>
        <w:t xml:space="preserve"> Bank plc was created in February 2021, which is at a time in the period of 12 months ending with the </w:t>
      </w:r>
      <w:proofErr w:type="spellStart"/>
      <w:r w:rsidRPr="00D622CE">
        <w:rPr>
          <w:rFonts w:ascii="Arial" w:eastAsiaTheme="minorEastAsia" w:hAnsi="Arial" w:cs="Arial"/>
          <w:bCs/>
          <w:sz w:val="22"/>
          <w:szCs w:val="22"/>
          <w:lang w:eastAsia="zh-TW"/>
        </w:rPr>
        <w:t>onest</w:t>
      </w:r>
      <w:proofErr w:type="spellEnd"/>
      <w:r w:rsidRPr="00D622CE">
        <w:rPr>
          <w:rFonts w:ascii="Arial" w:eastAsiaTheme="minorEastAsia" w:hAnsi="Arial" w:cs="Arial"/>
          <w:bCs/>
          <w:sz w:val="22"/>
          <w:szCs w:val="22"/>
          <w:lang w:eastAsia="zh-TW"/>
        </w:rPr>
        <w:t xml:space="preserve"> of insolvency </w:t>
      </w:r>
      <w:r w:rsidR="00296DE0">
        <w:rPr>
          <w:rFonts w:ascii="Arial" w:eastAsiaTheme="minorEastAsia" w:hAnsi="Arial" w:cs="Arial"/>
          <w:sz w:val="22"/>
          <w:szCs w:val="22"/>
          <w:lang w:val="en-GB" w:eastAsia="zh-TW"/>
        </w:rPr>
        <w:t>(</w:t>
      </w:r>
      <w:proofErr w:type="gramStart"/>
      <w:r w:rsidR="007A2796">
        <w:rPr>
          <w:rFonts w:ascii="Arial" w:eastAsiaTheme="minorEastAsia" w:hAnsi="Arial" w:cs="Arial"/>
          <w:sz w:val="22"/>
          <w:szCs w:val="22"/>
          <w:lang w:val="en-GB" w:eastAsia="zh-TW"/>
        </w:rPr>
        <w:t>i.e.</w:t>
      </w:r>
      <w:proofErr w:type="gramEnd"/>
      <w:r w:rsidR="007A2796">
        <w:rPr>
          <w:rFonts w:ascii="Arial" w:eastAsiaTheme="minorEastAsia" w:hAnsi="Arial" w:cs="Arial"/>
          <w:sz w:val="22"/>
          <w:szCs w:val="22"/>
          <w:lang w:val="en-GB" w:eastAsia="zh-TW"/>
        </w:rPr>
        <w:t xml:space="preserve"> the date of commencement of liquidation - 14 October 2021 </w:t>
      </w:r>
      <w:r w:rsidR="007A2796">
        <w:rPr>
          <w:rFonts w:ascii="Arial" w:eastAsiaTheme="minorEastAsia" w:hAnsi="Arial" w:cs="Arial" w:hint="eastAsia"/>
          <w:sz w:val="22"/>
          <w:szCs w:val="22"/>
          <w:lang w:val="en-GB" w:eastAsia="zh-TW"/>
        </w:rPr>
        <w:t>a</w:t>
      </w:r>
      <w:r w:rsidR="007A2796">
        <w:rPr>
          <w:rFonts w:ascii="Arial" w:eastAsiaTheme="minorEastAsia" w:hAnsi="Arial" w:cs="Arial"/>
          <w:sz w:val="22"/>
          <w:szCs w:val="22"/>
          <w:lang w:val="en-GB" w:eastAsia="zh-TW"/>
        </w:rPr>
        <w:t>s defined under section 129</w:t>
      </w:r>
      <w:r w:rsidR="00296DE0">
        <w:rPr>
          <w:rFonts w:ascii="Arial" w:eastAsiaTheme="minorEastAsia" w:hAnsi="Arial" w:cs="Arial"/>
          <w:sz w:val="22"/>
          <w:szCs w:val="22"/>
          <w:lang w:val="en-GB" w:eastAsia="zh-TW"/>
        </w:rPr>
        <w:t>)</w:t>
      </w:r>
      <w:r w:rsidR="00CC74CC" w:rsidRPr="00D622CE">
        <w:rPr>
          <w:rFonts w:ascii="Arial" w:eastAsiaTheme="minorEastAsia" w:hAnsi="Arial" w:cs="Arial"/>
          <w:bCs/>
          <w:sz w:val="22"/>
          <w:szCs w:val="22"/>
          <w:lang w:eastAsia="zh-TW"/>
        </w:rPr>
        <w:t xml:space="preserve">.  </w:t>
      </w:r>
    </w:p>
    <w:p w14:paraId="0952F82F" w14:textId="4F07C8C3" w:rsidR="00296DE0" w:rsidRDefault="00296DE0" w:rsidP="00296DE0">
      <w:pPr>
        <w:jc w:val="both"/>
        <w:rPr>
          <w:rFonts w:ascii="Arial" w:eastAsiaTheme="minorEastAsia" w:hAnsi="Arial" w:cs="Arial"/>
          <w:bCs/>
          <w:sz w:val="22"/>
          <w:szCs w:val="22"/>
          <w:lang w:eastAsia="zh-TW"/>
        </w:rPr>
      </w:pPr>
    </w:p>
    <w:p w14:paraId="05345F08" w14:textId="1575B584" w:rsidR="00296DE0" w:rsidRPr="00296DE0" w:rsidRDefault="00296DE0" w:rsidP="00296DE0">
      <w:pPr>
        <w:jc w:val="both"/>
        <w:rPr>
          <w:rFonts w:ascii="Arial" w:eastAsiaTheme="minorEastAsia" w:hAnsi="Arial" w:cs="Arial"/>
          <w:bCs/>
          <w:sz w:val="22"/>
          <w:szCs w:val="22"/>
          <w:lang w:eastAsia="zh-TW"/>
        </w:rPr>
      </w:pPr>
      <w:r>
        <w:rPr>
          <w:rFonts w:ascii="Arial" w:eastAsiaTheme="minorEastAsia" w:hAnsi="Arial" w:cs="Arial" w:hint="eastAsia"/>
          <w:bCs/>
          <w:sz w:val="22"/>
          <w:szCs w:val="22"/>
          <w:lang w:eastAsia="zh-TW"/>
        </w:rPr>
        <w:t>Un</w:t>
      </w:r>
      <w:r>
        <w:rPr>
          <w:rFonts w:ascii="Arial" w:eastAsiaTheme="minorEastAsia" w:hAnsi="Arial" w:cs="Arial"/>
          <w:bCs/>
          <w:sz w:val="22"/>
          <w:szCs w:val="22"/>
          <w:lang w:eastAsia="zh-TW"/>
        </w:rPr>
        <w:t xml:space="preserve">der section 245, </w:t>
      </w:r>
      <w:r w:rsidRPr="00296DE0">
        <w:rPr>
          <w:rFonts w:ascii="Arial" w:eastAsiaTheme="minorEastAsia" w:hAnsi="Arial" w:cs="Arial"/>
          <w:bCs/>
          <w:sz w:val="22"/>
          <w:szCs w:val="22"/>
          <w:lang w:eastAsia="zh-TW"/>
        </w:rPr>
        <w:t>a floating charge on the company’s undertaking or property created at a relevant time is invalid except to the extent of the value of so much of the consideration for the creation of the charge as consists of money paid</w:t>
      </w:r>
      <w:r>
        <w:rPr>
          <w:rFonts w:ascii="Arial" w:eastAsiaTheme="minorEastAsia" w:hAnsi="Arial" w:cs="Arial"/>
          <w:bCs/>
          <w:sz w:val="22"/>
          <w:szCs w:val="22"/>
          <w:lang w:eastAsia="zh-TW"/>
        </w:rPr>
        <w:t>/discharged</w:t>
      </w:r>
      <w:r w:rsidRPr="00296DE0">
        <w:rPr>
          <w:rFonts w:ascii="Arial" w:eastAsiaTheme="minorEastAsia" w:hAnsi="Arial" w:cs="Arial"/>
          <w:bCs/>
          <w:sz w:val="22"/>
          <w:szCs w:val="22"/>
          <w:lang w:eastAsia="zh-TW"/>
        </w:rPr>
        <w:t>, or goods or services supplied, to the company at the same time as, or after, the creation of the charge,</w:t>
      </w:r>
    </w:p>
    <w:p w14:paraId="1229E5CB" w14:textId="77777777" w:rsidR="00296DE0" w:rsidRDefault="00296DE0" w:rsidP="00296DE0">
      <w:pPr>
        <w:jc w:val="both"/>
        <w:rPr>
          <w:rFonts w:ascii="Arial" w:eastAsiaTheme="minorEastAsia" w:hAnsi="Arial" w:cs="Arial"/>
          <w:bCs/>
          <w:sz w:val="22"/>
          <w:szCs w:val="22"/>
          <w:lang w:eastAsia="zh-TW"/>
        </w:rPr>
      </w:pPr>
    </w:p>
    <w:p w14:paraId="2F50DC9F" w14:textId="23051B41" w:rsidR="00FF5098" w:rsidRPr="00D622CE" w:rsidRDefault="00296DE0" w:rsidP="00296DE0">
      <w:pPr>
        <w:jc w:val="both"/>
        <w:rPr>
          <w:rFonts w:ascii="Arial" w:eastAsiaTheme="minorEastAsia" w:hAnsi="Arial" w:cs="Arial"/>
          <w:bCs/>
          <w:sz w:val="22"/>
          <w:szCs w:val="22"/>
          <w:lang w:eastAsia="zh-TW"/>
        </w:rPr>
      </w:pPr>
      <w:r>
        <w:rPr>
          <w:rFonts w:ascii="Arial" w:eastAsiaTheme="minorEastAsia" w:hAnsi="Arial" w:cs="Arial"/>
          <w:bCs/>
          <w:sz w:val="22"/>
          <w:szCs w:val="22"/>
          <w:lang w:eastAsia="zh-TW"/>
        </w:rPr>
        <w:t>As t</w:t>
      </w:r>
      <w:r w:rsidR="00CC74CC" w:rsidRPr="00D622CE">
        <w:rPr>
          <w:rFonts w:ascii="Arial" w:eastAsiaTheme="minorEastAsia" w:hAnsi="Arial" w:cs="Arial"/>
          <w:bCs/>
          <w:sz w:val="22"/>
          <w:szCs w:val="22"/>
          <w:lang w:eastAsia="zh-TW"/>
        </w:rPr>
        <w:t xml:space="preserve">here is no “new” consideration provided by the </w:t>
      </w:r>
      <w:proofErr w:type="spellStart"/>
      <w:r w:rsidR="00CC74CC" w:rsidRPr="00D622CE">
        <w:rPr>
          <w:rFonts w:ascii="Arial" w:eastAsiaTheme="minorEastAsia" w:hAnsi="Arial" w:cs="Arial"/>
          <w:bCs/>
          <w:sz w:val="22"/>
          <w:szCs w:val="22"/>
          <w:lang w:eastAsia="zh-TW"/>
        </w:rPr>
        <w:t>Stercus</w:t>
      </w:r>
      <w:proofErr w:type="spellEnd"/>
      <w:r w:rsidR="00CC74CC" w:rsidRPr="00D622CE">
        <w:rPr>
          <w:rFonts w:ascii="Arial" w:eastAsiaTheme="minorEastAsia" w:hAnsi="Arial" w:cs="Arial"/>
          <w:bCs/>
          <w:sz w:val="22"/>
          <w:szCs w:val="22"/>
          <w:lang w:eastAsia="zh-TW"/>
        </w:rPr>
        <w:t xml:space="preserve"> Bank plc to the Company in exchange of creating the floating charge.  </w:t>
      </w:r>
      <w:r>
        <w:rPr>
          <w:rFonts w:ascii="Arial" w:eastAsiaTheme="minorEastAsia" w:hAnsi="Arial" w:cs="Arial"/>
          <w:bCs/>
          <w:sz w:val="22"/>
          <w:szCs w:val="22"/>
          <w:lang w:eastAsia="zh-TW"/>
        </w:rPr>
        <w:t>Th</w:t>
      </w:r>
      <w:r w:rsidR="00CC74CC" w:rsidRPr="00D622CE">
        <w:rPr>
          <w:rFonts w:ascii="Arial" w:eastAsiaTheme="minorEastAsia" w:hAnsi="Arial" w:cs="Arial"/>
          <w:bCs/>
          <w:sz w:val="22"/>
          <w:szCs w:val="22"/>
          <w:lang w:eastAsia="zh-TW"/>
        </w:rPr>
        <w:t xml:space="preserve">e floating charge so created will be rendered invalid under section 245 of the Insolvency Act 1986. </w:t>
      </w:r>
    </w:p>
    <w:p w14:paraId="5B9A7CCE" w14:textId="50B2C38D" w:rsidR="005A2F83" w:rsidRDefault="005A2F83" w:rsidP="00296DE0">
      <w:pPr>
        <w:jc w:val="both"/>
        <w:rPr>
          <w:rFonts w:ascii="Arial" w:eastAsiaTheme="minorEastAsia" w:hAnsi="Arial" w:cs="Arial"/>
          <w:bCs/>
          <w:sz w:val="24"/>
          <w:lang w:eastAsia="zh-TW"/>
        </w:rPr>
      </w:pPr>
    </w:p>
    <w:p w14:paraId="7504D475" w14:textId="77777777" w:rsidR="005A2F83" w:rsidRPr="005A2F83" w:rsidRDefault="005A2F83" w:rsidP="007E2919">
      <w:pPr>
        <w:rPr>
          <w:rFonts w:ascii="Arial" w:eastAsiaTheme="minorEastAsia" w:hAnsi="Arial" w:cs="Arial" w:hint="eastAsia"/>
          <w:bCs/>
          <w:sz w:val="24"/>
          <w:lang w:eastAsia="zh-TW"/>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49C87616" w:rsidR="00FF5098" w:rsidRDefault="00CC74C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33D2B66A" w14:textId="5F8E2156" w:rsidR="00606C3D" w:rsidRDefault="00CC74CC" w:rsidP="00FF509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sale of the coffee roasting machines was made in July 2021 to a director of the Company at </w:t>
      </w:r>
      <w:r w:rsidRPr="00CC74CC">
        <w:rPr>
          <w:rFonts w:ascii="Arial" w:eastAsiaTheme="minorEastAsia" w:hAnsi="Arial" w:cs="Arial" w:hint="eastAsia"/>
          <w:sz w:val="22"/>
          <w:szCs w:val="22"/>
          <w:lang w:val="en-GB" w:eastAsia="zh-TW"/>
        </w:rPr>
        <w:t>£</w:t>
      </w:r>
      <w:r w:rsidRPr="00CC74CC">
        <w:rPr>
          <w:rFonts w:ascii="Arial" w:eastAsiaTheme="minorEastAsia" w:hAnsi="Arial" w:cs="Arial"/>
          <w:sz w:val="22"/>
          <w:szCs w:val="22"/>
          <w:lang w:val="en-GB" w:eastAsia="zh-TW"/>
        </w:rPr>
        <w:t>10,000</w:t>
      </w:r>
      <w:r w:rsidR="00606C3D">
        <w:rPr>
          <w:rFonts w:ascii="Arial" w:eastAsiaTheme="minorEastAsia" w:hAnsi="Arial" w:cs="Arial"/>
          <w:sz w:val="22"/>
          <w:szCs w:val="22"/>
          <w:lang w:val="en-GB" w:eastAsia="zh-TW"/>
        </w:rPr>
        <w:t xml:space="preserve"> and the machines cost </w:t>
      </w:r>
      <w:r w:rsidR="00606C3D" w:rsidRPr="00606C3D">
        <w:rPr>
          <w:rFonts w:ascii="Arial" w:eastAsiaTheme="minorEastAsia" w:hAnsi="Arial" w:cs="Arial" w:hint="eastAsia"/>
          <w:sz w:val="22"/>
          <w:szCs w:val="22"/>
          <w:lang w:val="en-GB" w:eastAsia="zh-TW"/>
        </w:rPr>
        <w:t>£</w:t>
      </w:r>
      <w:r w:rsidR="00606C3D" w:rsidRPr="00606C3D">
        <w:rPr>
          <w:rFonts w:ascii="Arial" w:eastAsiaTheme="minorEastAsia" w:hAnsi="Arial" w:cs="Arial"/>
          <w:sz w:val="22"/>
          <w:szCs w:val="22"/>
          <w:lang w:val="en-GB" w:eastAsia="zh-TW"/>
        </w:rPr>
        <w:t>25,000 a year before</w:t>
      </w:r>
      <w:r w:rsidR="00606C3D">
        <w:rPr>
          <w:rFonts w:ascii="Arial" w:eastAsiaTheme="minorEastAsia" w:hAnsi="Arial" w:cs="Arial"/>
          <w:sz w:val="22"/>
          <w:szCs w:val="22"/>
          <w:lang w:val="en-GB" w:eastAsia="zh-TW"/>
        </w:rPr>
        <w:t xml:space="preserve">.  There is a potential transaction at </w:t>
      </w:r>
      <w:r w:rsidR="00606C3D">
        <w:rPr>
          <w:rFonts w:ascii="Arial" w:eastAsiaTheme="minorEastAsia" w:hAnsi="Arial" w:cs="Arial"/>
          <w:sz w:val="22"/>
          <w:szCs w:val="22"/>
          <w:lang w:val="en-GB" w:eastAsia="zh-TW"/>
        </w:rPr>
        <w:lastRenderedPageBreak/>
        <w:t xml:space="preserve">undervalue </w:t>
      </w:r>
      <w:r w:rsidR="00355D43">
        <w:rPr>
          <w:rFonts w:ascii="Arial" w:eastAsiaTheme="minorEastAsia" w:hAnsi="Arial" w:cs="Arial"/>
          <w:sz w:val="22"/>
          <w:szCs w:val="22"/>
          <w:lang w:val="en-GB" w:eastAsia="zh-TW"/>
        </w:rPr>
        <w:t xml:space="preserve">because </w:t>
      </w:r>
      <w:r w:rsidR="00355D43" w:rsidRPr="00355D43">
        <w:rPr>
          <w:rFonts w:ascii="Arial" w:eastAsiaTheme="minorEastAsia" w:hAnsi="Arial" w:cs="Arial"/>
          <w:sz w:val="22"/>
          <w:szCs w:val="22"/>
          <w:lang w:val="en-GB" w:eastAsia="zh-TW"/>
        </w:rPr>
        <w:t>the consideration</w:t>
      </w:r>
      <w:r w:rsidR="00355D43">
        <w:rPr>
          <w:rFonts w:ascii="Arial" w:eastAsiaTheme="minorEastAsia" w:hAnsi="Arial" w:cs="Arial"/>
          <w:sz w:val="22"/>
          <w:szCs w:val="22"/>
          <w:lang w:val="en-GB" w:eastAsia="zh-TW"/>
        </w:rPr>
        <w:t xml:space="preserve"> in this transaction </w:t>
      </w:r>
      <w:r w:rsidR="00355D43" w:rsidRPr="00355D43">
        <w:rPr>
          <w:rFonts w:ascii="Arial" w:eastAsiaTheme="minorEastAsia" w:hAnsi="Arial" w:cs="Arial"/>
          <w:sz w:val="22"/>
          <w:szCs w:val="22"/>
          <w:lang w:val="en-GB" w:eastAsia="zh-TW"/>
        </w:rPr>
        <w:t>is significantly less than the value</w:t>
      </w:r>
      <w:r w:rsidR="00355D43">
        <w:rPr>
          <w:rFonts w:ascii="Arial" w:eastAsiaTheme="minorEastAsia" w:hAnsi="Arial" w:cs="Arial"/>
          <w:sz w:val="22"/>
          <w:szCs w:val="22"/>
          <w:lang w:val="en-GB" w:eastAsia="zh-TW"/>
        </w:rPr>
        <w:t xml:space="preserve"> </w:t>
      </w:r>
      <w:r w:rsidR="00606C3D">
        <w:rPr>
          <w:rFonts w:ascii="Arial" w:eastAsiaTheme="minorEastAsia" w:hAnsi="Arial" w:cs="Arial"/>
          <w:sz w:val="22"/>
          <w:szCs w:val="22"/>
          <w:lang w:val="en-GB" w:eastAsia="zh-TW"/>
        </w:rPr>
        <w:t xml:space="preserve">as </w:t>
      </w:r>
      <w:r w:rsidR="00355D43">
        <w:rPr>
          <w:rFonts w:ascii="Arial" w:eastAsiaTheme="minorEastAsia" w:hAnsi="Arial" w:cs="Arial"/>
          <w:sz w:val="22"/>
          <w:szCs w:val="22"/>
          <w:lang w:val="en-GB" w:eastAsia="zh-TW"/>
        </w:rPr>
        <w:t>rul</w:t>
      </w:r>
      <w:r w:rsidR="00606C3D">
        <w:rPr>
          <w:rFonts w:ascii="Arial" w:eastAsiaTheme="minorEastAsia" w:hAnsi="Arial" w:cs="Arial"/>
          <w:sz w:val="22"/>
          <w:szCs w:val="22"/>
          <w:lang w:val="en-GB" w:eastAsia="zh-TW"/>
        </w:rPr>
        <w:t>ed by section 238 of the Insolvency Act 1986</w:t>
      </w:r>
    </w:p>
    <w:p w14:paraId="258F512B" w14:textId="0629A967" w:rsidR="00606C3D" w:rsidRDefault="00606C3D" w:rsidP="00FF5098">
      <w:pPr>
        <w:jc w:val="both"/>
        <w:rPr>
          <w:rFonts w:ascii="Arial" w:eastAsiaTheme="minorEastAsia" w:hAnsi="Arial" w:cs="Arial"/>
          <w:sz w:val="22"/>
          <w:szCs w:val="22"/>
          <w:lang w:val="en-GB" w:eastAsia="zh-TW"/>
        </w:rPr>
      </w:pPr>
    </w:p>
    <w:p w14:paraId="0754928A" w14:textId="207D60CB" w:rsidR="00606C3D" w:rsidRDefault="00606C3D" w:rsidP="00FF5098">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U</w:t>
      </w:r>
      <w:r>
        <w:rPr>
          <w:rFonts w:ascii="Arial" w:eastAsiaTheme="minorEastAsia" w:hAnsi="Arial" w:cs="Arial"/>
          <w:sz w:val="22"/>
          <w:szCs w:val="22"/>
          <w:lang w:val="en-GB" w:eastAsia="zh-TW"/>
        </w:rPr>
        <w:t>nder section 238, w</w:t>
      </w:r>
      <w:r w:rsidRPr="00606C3D">
        <w:rPr>
          <w:rFonts w:ascii="Arial" w:eastAsiaTheme="minorEastAsia" w:hAnsi="Arial" w:cs="Arial"/>
          <w:sz w:val="22"/>
          <w:szCs w:val="22"/>
          <w:lang w:val="en-GB" w:eastAsia="zh-TW"/>
        </w:rPr>
        <w:t xml:space="preserve">here the company has at a relevant time entered into a transaction with any person at an undervalue, the office-holder may apply to the court for an order </w:t>
      </w:r>
      <w:r>
        <w:rPr>
          <w:rFonts w:ascii="Arial" w:eastAsiaTheme="minorEastAsia" w:hAnsi="Arial" w:cs="Arial"/>
          <w:sz w:val="22"/>
          <w:szCs w:val="22"/>
          <w:lang w:val="en-GB" w:eastAsia="zh-TW"/>
        </w:rPr>
        <w:t>for remedy as described under section 241.</w:t>
      </w:r>
    </w:p>
    <w:p w14:paraId="04F72151" w14:textId="17C5E48A" w:rsidR="00355D43" w:rsidRDefault="00355D43" w:rsidP="00FF5098">
      <w:pPr>
        <w:jc w:val="both"/>
        <w:rPr>
          <w:rFonts w:ascii="Arial" w:eastAsiaTheme="minorEastAsia" w:hAnsi="Arial" w:cs="Arial"/>
          <w:sz w:val="22"/>
          <w:szCs w:val="22"/>
          <w:lang w:val="en-GB" w:eastAsia="zh-TW"/>
        </w:rPr>
      </w:pPr>
    </w:p>
    <w:p w14:paraId="7AEDE530" w14:textId="399059A0" w:rsidR="00311816" w:rsidRDefault="00606C3D" w:rsidP="00355D43">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Under section 249, a director is classified as a connected person to the company.</w:t>
      </w:r>
      <w:r>
        <w:rPr>
          <w:rFonts w:ascii="Arial" w:eastAsiaTheme="minorEastAsia" w:hAnsi="Arial" w:cs="Arial" w:hint="eastAsia"/>
          <w:sz w:val="22"/>
          <w:szCs w:val="22"/>
          <w:lang w:val="en-GB" w:eastAsia="zh-TW"/>
        </w:rPr>
        <w:t xml:space="preserve"> </w:t>
      </w:r>
      <w:r>
        <w:rPr>
          <w:rFonts w:ascii="Arial" w:eastAsiaTheme="minorEastAsia" w:hAnsi="Arial" w:cs="Arial"/>
          <w:sz w:val="22"/>
          <w:szCs w:val="22"/>
          <w:lang w:val="en-GB" w:eastAsia="zh-TW"/>
        </w:rPr>
        <w:t xml:space="preserve"> </w:t>
      </w:r>
      <w:r w:rsidR="00355D43">
        <w:rPr>
          <w:rFonts w:ascii="Arial" w:eastAsiaTheme="minorEastAsia" w:hAnsi="Arial" w:cs="Arial"/>
          <w:sz w:val="22"/>
          <w:szCs w:val="22"/>
          <w:lang w:val="en-GB" w:eastAsia="zh-TW"/>
        </w:rPr>
        <w:t>Under section 240, f</w:t>
      </w:r>
      <w:r>
        <w:rPr>
          <w:rFonts w:ascii="Arial" w:eastAsiaTheme="minorEastAsia" w:hAnsi="Arial" w:cs="Arial"/>
          <w:sz w:val="22"/>
          <w:szCs w:val="22"/>
          <w:lang w:val="en-GB" w:eastAsia="zh-TW"/>
        </w:rPr>
        <w:t xml:space="preserve">or a connected person, the relevant time </w:t>
      </w:r>
      <w:r>
        <w:rPr>
          <w:rFonts w:ascii="Arial" w:eastAsiaTheme="minorEastAsia" w:hAnsi="Arial" w:cs="Arial"/>
          <w:sz w:val="22"/>
          <w:szCs w:val="22"/>
          <w:lang w:val="en-GB" w:eastAsia="zh-TW"/>
        </w:rPr>
        <w:t xml:space="preserve">is at a time in the period of 2 years ending with the </w:t>
      </w:r>
      <w:proofErr w:type="spellStart"/>
      <w:r>
        <w:rPr>
          <w:rFonts w:ascii="Arial" w:eastAsiaTheme="minorEastAsia" w:hAnsi="Arial" w:cs="Arial"/>
          <w:sz w:val="22"/>
          <w:szCs w:val="22"/>
          <w:lang w:val="en-GB" w:eastAsia="zh-TW"/>
        </w:rPr>
        <w:t>onest</w:t>
      </w:r>
      <w:proofErr w:type="spellEnd"/>
      <w:r>
        <w:rPr>
          <w:rFonts w:ascii="Arial" w:eastAsiaTheme="minorEastAsia" w:hAnsi="Arial" w:cs="Arial"/>
          <w:sz w:val="22"/>
          <w:szCs w:val="22"/>
          <w:lang w:val="en-GB" w:eastAsia="zh-TW"/>
        </w:rPr>
        <w:t xml:space="preserve"> of insolvency</w:t>
      </w:r>
      <w:r w:rsidR="00D622CE">
        <w:rPr>
          <w:rFonts w:ascii="Arial" w:eastAsiaTheme="minorEastAsia" w:hAnsi="Arial" w:cs="Arial"/>
          <w:sz w:val="22"/>
          <w:szCs w:val="22"/>
          <w:lang w:val="en-GB" w:eastAsia="zh-TW"/>
        </w:rPr>
        <w:t xml:space="preserve"> (</w:t>
      </w:r>
      <w:proofErr w:type="gramStart"/>
      <w:r w:rsidR="00D622CE">
        <w:rPr>
          <w:rFonts w:ascii="Arial" w:eastAsiaTheme="minorEastAsia" w:hAnsi="Arial" w:cs="Arial"/>
          <w:sz w:val="22"/>
          <w:szCs w:val="22"/>
          <w:lang w:val="en-GB" w:eastAsia="zh-TW"/>
        </w:rPr>
        <w:t>i.e.</w:t>
      </w:r>
      <w:proofErr w:type="gramEnd"/>
      <w:r w:rsidR="00D622CE">
        <w:rPr>
          <w:rFonts w:ascii="Arial" w:eastAsiaTheme="minorEastAsia" w:hAnsi="Arial" w:cs="Arial"/>
          <w:sz w:val="22"/>
          <w:szCs w:val="22"/>
          <w:lang w:val="en-GB" w:eastAsia="zh-TW"/>
        </w:rPr>
        <w:t xml:space="preserve"> the date of commencement of liquidation</w:t>
      </w:r>
      <w:r w:rsidR="00296DE0">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 xml:space="preserve"> </w:t>
      </w:r>
      <w:r w:rsidR="00296DE0">
        <w:rPr>
          <w:rFonts w:ascii="Arial" w:eastAsiaTheme="minorEastAsia" w:hAnsi="Arial" w:cs="Arial"/>
          <w:sz w:val="22"/>
          <w:szCs w:val="22"/>
          <w:lang w:val="en-GB" w:eastAsia="zh-TW"/>
        </w:rPr>
        <w:t>14 October 2021</w:t>
      </w:r>
      <w:r w:rsidR="007A2796">
        <w:rPr>
          <w:rFonts w:ascii="Arial" w:eastAsiaTheme="minorEastAsia" w:hAnsi="Arial" w:cs="Arial"/>
          <w:sz w:val="22"/>
          <w:szCs w:val="22"/>
          <w:lang w:val="en-GB" w:eastAsia="zh-TW"/>
        </w:rPr>
        <w:t xml:space="preserve"> </w:t>
      </w:r>
      <w:r w:rsidR="007A2796">
        <w:rPr>
          <w:rFonts w:ascii="Arial" w:eastAsiaTheme="minorEastAsia" w:hAnsi="Arial" w:cs="Arial" w:hint="eastAsia"/>
          <w:sz w:val="22"/>
          <w:szCs w:val="22"/>
          <w:lang w:val="en-GB" w:eastAsia="zh-TW"/>
        </w:rPr>
        <w:t>a</w:t>
      </w:r>
      <w:r w:rsidR="007A2796">
        <w:rPr>
          <w:rFonts w:ascii="Arial" w:eastAsiaTheme="minorEastAsia" w:hAnsi="Arial" w:cs="Arial"/>
          <w:sz w:val="22"/>
          <w:szCs w:val="22"/>
          <w:lang w:val="en-GB" w:eastAsia="zh-TW"/>
        </w:rPr>
        <w:t>s defined under section 129</w:t>
      </w:r>
      <w:r w:rsidR="00296DE0">
        <w:rPr>
          <w:rFonts w:ascii="Arial" w:eastAsiaTheme="minorEastAsia" w:hAnsi="Arial" w:cs="Arial"/>
          <w:sz w:val="22"/>
          <w:szCs w:val="22"/>
          <w:lang w:val="en-GB" w:eastAsia="zh-TW"/>
        </w:rPr>
        <w:t>)</w:t>
      </w:r>
      <w:r w:rsidR="00355D43">
        <w:rPr>
          <w:rFonts w:ascii="Arial" w:eastAsiaTheme="minorEastAsia" w:hAnsi="Arial" w:cs="Arial"/>
          <w:sz w:val="22"/>
          <w:szCs w:val="22"/>
          <w:lang w:val="en-GB" w:eastAsia="zh-TW"/>
        </w:rPr>
        <w:t xml:space="preserve"> and the Company is presumed to be insolvent unless the contrary is proved.</w:t>
      </w:r>
    </w:p>
    <w:p w14:paraId="6505D84F" w14:textId="2C482877" w:rsidR="00355D43" w:rsidRDefault="00355D43" w:rsidP="00355D43">
      <w:pPr>
        <w:jc w:val="both"/>
        <w:rPr>
          <w:rFonts w:ascii="Arial" w:eastAsiaTheme="minorEastAsia" w:hAnsi="Arial" w:cs="Arial"/>
          <w:sz w:val="22"/>
          <w:szCs w:val="22"/>
          <w:lang w:val="en-GB" w:eastAsia="zh-TW"/>
        </w:rPr>
      </w:pPr>
    </w:p>
    <w:p w14:paraId="674527EF" w14:textId="32EDDACD" w:rsidR="00355D43" w:rsidRPr="00355D43" w:rsidRDefault="00355D43" w:rsidP="00355D43">
      <w:pPr>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transaction is likely to be caught by section 238 in </w:t>
      </w:r>
      <w:proofErr w:type="gramStart"/>
      <w:r>
        <w:rPr>
          <w:rFonts w:ascii="Arial" w:eastAsiaTheme="minorEastAsia" w:hAnsi="Arial" w:cs="Arial"/>
          <w:sz w:val="22"/>
          <w:szCs w:val="22"/>
          <w:lang w:val="en-GB" w:eastAsia="zh-TW"/>
        </w:rPr>
        <w:t>this regards</w:t>
      </w:r>
      <w:proofErr w:type="gramEnd"/>
      <w:r>
        <w:rPr>
          <w:rFonts w:ascii="Arial" w:eastAsiaTheme="minorEastAsia" w:hAnsi="Arial" w:cs="Arial"/>
          <w:sz w:val="22"/>
          <w:szCs w:val="22"/>
          <w:lang w:val="en-GB" w:eastAsia="zh-TW"/>
        </w:rPr>
        <w:t>.</w:t>
      </w:r>
    </w:p>
    <w:p w14:paraId="1C108EBE" w14:textId="77AC32B8" w:rsidR="00355D43" w:rsidRPr="00355D43" w:rsidRDefault="00355D43" w:rsidP="00311816">
      <w:pPr>
        <w:autoSpaceDE w:val="0"/>
        <w:autoSpaceDN w:val="0"/>
        <w:adjustRightInd w:val="0"/>
        <w:jc w:val="both"/>
        <w:rPr>
          <w:rFonts w:ascii="Arial" w:eastAsiaTheme="minorEastAsia" w:hAnsi="Arial" w:cs="Arial" w:hint="eastAsia"/>
          <w:color w:val="7B7B7B" w:themeColor="accent3" w:themeShade="BF"/>
          <w:sz w:val="22"/>
          <w:szCs w:val="22"/>
          <w:lang w:val="en-GB" w:eastAsia="zh-TW"/>
        </w:rPr>
      </w:pPr>
    </w:p>
    <w:p w14:paraId="4CA5B550" w14:textId="77777777" w:rsidR="00355D43" w:rsidRPr="00355D43" w:rsidRDefault="00355D43"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bookmarkStart w:id="3" w:name="_Hlk96770123"/>
      <w:r w:rsidR="0070524B" w:rsidRPr="0070524B">
        <w:rPr>
          <w:rFonts w:ascii="Arial" w:hAnsi="Arial" w:cs="Arial"/>
          <w:sz w:val="24"/>
        </w:rPr>
        <w:t>Beans and Leaves Ltd</w:t>
      </w:r>
      <w:bookmarkEnd w:id="3"/>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6EF1F16D" w:rsidR="008769B2" w:rsidRPr="00FF5098" w:rsidRDefault="00D622CE"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01BF1F8" w14:textId="75EBA4B4" w:rsidR="00D622CE" w:rsidRPr="00D622CE" w:rsidRDefault="00D622CE" w:rsidP="00296DE0">
      <w:pPr>
        <w:pStyle w:val="Web"/>
        <w:spacing w:before="0" w:beforeAutospacing="0" w:after="0" w:afterAutospacing="0"/>
        <w:jc w:val="both"/>
        <w:rPr>
          <w:rFonts w:ascii="Arial" w:hAnsi="Arial" w:cs="Arial"/>
          <w:sz w:val="22"/>
          <w:szCs w:val="22"/>
        </w:rPr>
      </w:pPr>
      <w:r w:rsidRPr="00D622CE">
        <w:rPr>
          <w:rFonts w:ascii="Arial" w:hAnsi="Arial" w:cs="Arial"/>
          <w:sz w:val="22"/>
          <w:szCs w:val="22"/>
        </w:rPr>
        <w:t>A month before the winding up order was made (</w:t>
      </w:r>
      <w:proofErr w:type="gramStart"/>
      <w:r w:rsidRPr="00D622CE">
        <w:rPr>
          <w:rFonts w:ascii="Arial" w:hAnsi="Arial" w:cs="Arial"/>
          <w:sz w:val="22"/>
          <w:szCs w:val="22"/>
        </w:rPr>
        <w:t>i.e.</w:t>
      </w:r>
      <w:proofErr w:type="gramEnd"/>
      <w:r w:rsidRPr="00D622CE">
        <w:rPr>
          <w:rFonts w:ascii="Arial" w:hAnsi="Arial" w:cs="Arial"/>
          <w:sz w:val="22"/>
          <w:szCs w:val="22"/>
        </w:rPr>
        <w:t xml:space="preserve"> November 2021), </w:t>
      </w:r>
      <w:r w:rsidRPr="00D622CE">
        <w:rPr>
          <w:rFonts w:ascii="Arial" w:hAnsi="Arial" w:cs="Arial"/>
          <w:sz w:val="22"/>
          <w:szCs w:val="22"/>
        </w:rPr>
        <w:t xml:space="preserve">Beans and Leaves Ltd demanded immediate payment of all sums owing to it and informed the Company that further supplies would only be made on a cash on delivery basis. </w:t>
      </w:r>
      <w:r>
        <w:rPr>
          <w:rFonts w:ascii="Arial" w:hAnsi="Arial" w:cs="Arial"/>
          <w:sz w:val="22"/>
          <w:szCs w:val="22"/>
        </w:rPr>
        <w:t xml:space="preserve"> T</w:t>
      </w:r>
      <w:r w:rsidRPr="00D622CE">
        <w:rPr>
          <w:rFonts w:ascii="Arial" w:hAnsi="Arial" w:cs="Arial"/>
          <w:sz w:val="22"/>
          <w:szCs w:val="22"/>
        </w:rPr>
        <w:t>he board</w:t>
      </w:r>
      <w:r>
        <w:rPr>
          <w:rFonts w:ascii="Arial" w:hAnsi="Arial" w:cs="Arial"/>
          <w:sz w:val="22"/>
          <w:szCs w:val="22"/>
        </w:rPr>
        <w:t xml:space="preserve"> </w:t>
      </w:r>
      <w:proofErr w:type="spellStart"/>
      <w:r w:rsidRPr="00D622CE">
        <w:rPr>
          <w:rFonts w:ascii="Arial" w:hAnsi="Arial" w:cs="Arial"/>
          <w:sz w:val="22"/>
          <w:szCs w:val="22"/>
        </w:rPr>
        <w:t>authorised</w:t>
      </w:r>
      <w:proofErr w:type="spellEnd"/>
      <w:r w:rsidRPr="00D622CE">
        <w:rPr>
          <w:rFonts w:ascii="Arial" w:hAnsi="Arial" w:cs="Arial"/>
          <w:sz w:val="22"/>
          <w:szCs w:val="22"/>
        </w:rPr>
        <w:t xml:space="preserve"> a payment of £8,000 to cover existing liabilities and agreed to further payments, on a cash on delivery basis,</w:t>
      </w:r>
      <w:r>
        <w:rPr>
          <w:rFonts w:ascii="Arial" w:hAnsi="Arial" w:cs="Arial"/>
          <w:sz w:val="22"/>
          <w:szCs w:val="22"/>
        </w:rPr>
        <w:t xml:space="preserve"> in exchange of a continuous supply by Beans and Leaves Limited.</w:t>
      </w:r>
      <w:r w:rsidRPr="00D622CE">
        <w:rPr>
          <w:rFonts w:ascii="Arial" w:hAnsi="Arial" w:cs="Arial"/>
          <w:sz w:val="22"/>
          <w:szCs w:val="22"/>
        </w:rPr>
        <w:t xml:space="preserve"> </w:t>
      </w:r>
    </w:p>
    <w:p w14:paraId="1B5E2F08" w14:textId="66B31563" w:rsidR="002D3473" w:rsidRPr="00D622CE" w:rsidRDefault="002D3473" w:rsidP="00296DE0">
      <w:pPr>
        <w:autoSpaceDE w:val="0"/>
        <w:autoSpaceDN w:val="0"/>
        <w:adjustRightInd w:val="0"/>
        <w:jc w:val="both"/>
        <w:rPr>
          <w:rFonts w:ascii="Arial" w:hAnsi="Arial" w:cs="Arial"/>
          <w:szCs w:val="20"/>
          <w:lang w:val="en-GB"/>
        </w:rPr>
      </w:pPr>
    </w:p>
    <w:p w14:paraId="7F4867F4" w14:textId="0DC3FB9F" w:rsidR="008769B2" w:rsidRPr="00D622CE" w:rsidRDefault="00D622CE" w:rsidP="00296DE0">
      <w:pPr>
        <w:autoSpaceDE w:val="0"/>
        <w:autoSpaceDN w:val="0"/>
        <w:adjustRightInd w:val="0"/>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val="en-GB" w:eastAsia="zh-TW"/>
        </w:rPr>
        <w:t>U</w:t>
      </w:r>
      <w:r>
        <w:rPr>
          <w:rFonts w:ascii="Arial" w:eastAsiaTheme="minorEastAsia" w:hAnsi="Arial" w:cs="Arial"/>
          <w:sz w:val="22"/>
          <w:szCs w:val="22"/>
          <w:lang w:val="en-GB" w:eastAsia="zh-TW"/>
        </w:rPr>
        <w:t xml:space="preserve">nder section 127 of the Insolvency Act 1986, </w:t>
      </w:r>
      <w:r w:rsidRPr="00D622CE">
        <w:rPr>
          <w:rFonts w:ascii="Arial" w:eastAsiaTheme="minorEastAsia" w:hAnsi="Arial" w:cs="Arial"/>
          <w:sz w:val="22"/>
          <w:szCs w:val="22"/>
          <w:lang w:val="en-GB" w:eastAsia="zh-TW"/>
        </w:rPr>
        <w:t>any disposition of the company’s property, and any transfer of shares, or alteration in the status of the company’s members, made after the commencement of the winding up is, unless the court otherwise orders, void.</w:t>
      </w:r>
    </w:p>
    <w:p w14:paraId="70C6A8B6" w14:textId="713D57F1" w:rsidR="00126A4D" w:rsidRDefault="00126A4D" w:rsidP="00296DE0">
      <w:pPr>
        <w:autoSpaceDE w:val="0"/>
        <w:autoSpaceDN w:val="0"/>
        <w:adjustRightInd w:val="0"/>
        <w:jc w:val="both"/>
        <w:rPr>
          <w:rFonts w:ascii="Arial" w:hAnsi="Arial" w:cs="Arial"/>
          <w:sz w:val="22"/>
          <w:szCs w:val="22"/>
          <w:lang w:val="en-GB"/>
        </w:rPr>
      </w:pPr>
    </w:p>
    <w:p w14:paraId="5963BDD9" w14:textId="67C02139" w:rsidR="00296DE0" w:rsidRDefault="007A2796" w:rsidP="00296DE0">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As defined under section 129, t</w:t>
      </w:r>
      <w:r w:rsidR="00296DE0">
        <w:rPr>
          <w:rFonts w:ascii="Arial" w:eastAsiaTheme="minorEastAsia" w:hAnsi="Arial" w:cs="Arial"/>
          <w:sz w:val="22"/>
          <w:szCs w:val="22"/>
          <w:lang w:val="en-GB" w:eastAsia="zh-TW"/>
        </w:rPr>
        <w:t xml:space="preserve">he commencement date of the winding up is the date of presentation of the petition to wind up, </w:t>
      </w:r>
      <w:proofErr w:type="gramStart"/>
      <w:r w:rsidR="00296DE0">
        <w:rPr>
          <w:rFonts w:ascii="Arial" w:eastAsiaTheme="minorEastAsia" w:hAnsi="Arial" w:cs="Arial"/>
          <w:sz w:val="22"/>
          <w:szCs w:val="22"/>
          <w:lang w:val="en-GB" w:eastAsia="zh-TW"/>
        </w:rPr>
        <w:t>i.e.</w:t>
      </w:r>
      <w:proofErr w:type="gramEnd"/>
      <w:r w:rsidR="00296DE0">
        <w:rPr>
          <w:rFonts w:ascii="Arial" w:eastAsiaTheme="minorEastAsia" w:hAnsi="Arial" w:cs="Arial"/>
          <w:sz w:val="22"/>
          <w:szCs w:val="22"/>
          <w:lang w:val="en-GB" w:eastAsia="zh-TW"/>
        </w:rPr>
        <w:t xml:space="preserve"> 14 October 2021</w:t>
      </w:r>
      <w:r>
        <w:rPr>
          <w:rFonts w:ascii="Arial" w:eastAsiaTheme="minorEastAsia" w:hAnsi="Arial" w:cs="Arial"/>
          <w:sz w:val="22"/>
          <w:szCs w:val="22"/>
          <w:lang w:val="en-GB" w:eastAsia="zh-TW"/>
        </w:rPr>
        <w:t>.</w:t>
      </w:r>
    </w:p>
    <w:p w14:paraId="32BD23B2" w14:textId="1D0F429A" w:rsidR="00296DE0" w:rsidRDefault="00296DE0" w:rsidP="00296DE0">
      <w:pPr>
        <w:autoSpaceDE w:val="0"/>
        <w:autoSpaceDN w:val="0"/>
        <w:adjustRightInd w:val="0"/>
        <w:jc w:val="both"/>
        <w:rPr>
          <w:rFonts w:ascii="Arial" w:eastAsiaTheme="minorEastAsia" w:hAnsi="Arial" w:cs="Arial"/>
          <w:sz w:val="22"/>
          <w:szCs w:val="22"/>
          <w:lang w:val="en-GB" w:eastAsia="zh-TW"/>
        </w:rPr>
      </w:pPr>
    </w:p>
    <w:p w14:paraId="6D7AC6BD" w14:textId="0CE300ED" w:rsidR="00296DE0" w:rsidRDefault="00296DE0" w:rsidP="00296DE0">
      <w:pPr>
        <w:autoSpaceDE w:val="0"/>
        <w:autoSpaceDN w:val="0"/>
        <w:adjustRightInd w:val="0"/>
        <w:jc w:val="both"/>
        <w:rPr>
          <w:rFonts w:ascii="Arial" w:hAnsi="Arial" w:cs="Arial"/>
          <w:sz w:val="22"/>
          <w:szCs w:val="22"/>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herefore, the payment of </w:t>
      </w:r>
      <w:r w:rsidRPr="00D622CE">
        <w:rPr>
          <w:rFonts w:ascii="Arial" w:hAnsi="Arial" w:cs="Arial"/>
          <w:sz w:val="22"/>
          <w:szCs w:val="22"/>
        </w:rPr>
        <w:t>£8,000</w:t>
      </w:r>
      <w:r>
        <w:rPr>
          <w:rFonts w:ascii="Arial" w:hAnsi="Arial" w:cs="Arial"/>
          <w:sz w:val="22"/>
          <w:szCs w:val="22"/>
        </w:rPr>
        <w:t xml:space="preserve"> to </w:t>
      </w:r>
      <w:r w:rsidRPr="00296DE0">
        <w:rPr>
          <w:rFonts w:ascii="Arial" w:hAnsi="Arial" w:cs="Arial"/>
          <w:sz w:val="22"/>
          <w:szCs w:val="22"/>
        </w:rPr>
        <w:t>Beans and Leaves Ltd</w:t>
      </w:r>
      <w:r>
        <w:rPr>
          <w:rFonts w:ascii="Arial" w:hAnsi="Arial" w:cs="Arial"/>
          <w:sz w:val="22"/>
          <w:szCs w:val="22"/>
        </w:rPr>
        <w:t xml:space="preserve"> will be voided.</w:t>
      </w:r>
    </w:p>
    <w:p w14:paraId="7BA733E6" w14:textId="587EFA69" w:rsidR="00296DE0" w:rsidRDefault="00296DE0" w:rsidP="00296DE0">
      <w:pPr>
        <w:autoSpaceDE w:val="0"/>
        <w:autoSpaceDN w:val="0"/>
        <w:adjustRightInd w:val="0"/>
        <w:jc w:val="both"/>
        <w:rPr>
          <w:rFonts w:ascii="Arial" w:hAnsi="Arial" w:cs="Arial"/>
          <w:sz w:val="22"/>
          <w:szCs w:val="22"/>
        </w:rPr>
      </w:pPr>
    </w:p>
    <w:p w14:paraId="1A5971BA" w14:textId="394A3FAD" w:rsidR="00296DE0" w:rsidRPr="00296DE0" w:rsidRDefault="00296DE0" w:rsidP="00296DE0">
      <w:pPr>
        <w:autoSpaceDE w:val="0"/>
        <w:autoSpaceDN w:val="0"/>
        <w:adjustRightInd w:val="0"/>
        <w:jc w:val="both"/>
        <w:rPr>
          <w:rFonts w:ascii="Arial" w:eastAsiaTheme="minorEastAsia" w:hAnsi="Arial" w:cs="Arial" w:hint="eastAsia"/>
          <w:sz w:val="22"/>
          <w:szCs w:val="22"/>
          <w:lang w:val="en-GB" w:eastAsia="zh-TW"/>
        </w:rPr>
      </w:pPr>
      <w:r>
        <w:rPr>
          <w:rFonts w:ascii="Arial" w:eastAsiaTheme="minorEastAsia" w:hAnsi="Arial" w:cs="Arial" w:hint="eastAsia"/>
          <w:sz w:val="22"/>
          <w:szCs w:val="22"/>
          <w:lang w:eastAsia="zh-TW"/>
        </w:rPr>
        <w:t>H</w:t>
      </w:r>
      <w:r>
        <w:rPr>
          <w:rFonts w:ascii="Arial" w:eastAsiaTheme="minorEastAsia" w:hAnsi="Arial" w:cs="Arial"/>
          <w:sz w:val="22"/>
          <w:szCs w:val="22"/>
          <w:lang w:eastAsia="zh-TW"/>
        </w:rPr>
        <w:t xml:space="preserve">owever, the further payment of </w:t>
      </w:r>
      <w:r w:rsidRPr="00D622CE">
        <w:rPr>
          <w:rFonts w:ascii="Arial" w:hAnsi="Arial" w:cs="Arial"/>
          <w:sz w:val="22"/>
          <w:szCs w:val="22"/>
        </w:rPr>
        <w:t>£</w:t>
      </w:r>
      <w:r>
        <w:rPr>
          <w:rFonts w:ascii="Arial" w:hAnsi="Arial" w:cs="Arial"/>
          <w:sz w:val="22"/>
          <w:szCs w:val="22"/>
        </w:rPr>
        <w:t>3</w:t>
      </w:r>
      <w:r w:rsidRPr="00D622CE">
        <w:rPr>
          <w:rFonts w:ascii="Arial" w:hAnsi="Arial" w:cs="Arial"/>
          <w:sz w:val="22"/>
          <w:szCs w:val="22"/>
        </w:rPr>
        <w:t>,000</w:t>
      </w:r>
      <w:r>
        <w:rPr>
          <w:rFonts w:ascii="Arial" w:hAnsi="Arial" w:cs="Arial"/>
          <w:sz w:val="22"/>
          <w:szCs w:val="22"/>
        </w:rPr>
        <w:t xml:space="preserve"> for the supplies </w:t>
      </w:r>
      <w:r w:rsidR="007A2796">
        <w:rPr>
          <w:rFonts w:ascii="Arial" w:hAnsi="Arial" w:cs="Arial"/>
          <w:sz w:val="22"/>
          <w:szCs w:val="22"/>
        </w:rPr>
        <w:t>up to the date of the winding up order is likely not to be voided as the payments were made in exchange of continued supplies.</w:t>
      </w: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9CD3" w14:textId="77777777" w:rsidR="00F250DE" w:rsidRDefault="00F250DE" w:rsidP="00241B44">
      <w:r>
        <w:separator/>
      </w:r>
    </w:p>
  </w:endnote>
  <w:endnote w:type="continuationSeparator" w:id="0">
    <w:p w14:paraId="69459274" w14:textId="77777777" w:rsidR="00F250DE" w:rsidRDefault="00F250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60436833"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182788">
          <w:rPr>
            <w:rStyle w:val="af1"/>
            <w:rFonts w:ascii="Arial" w:hAnsi="Arial" w:cs="Arial"/>
            <w:b/>
            <w:bCs/>
            <w:noProof/>
            <w:sz w:val="18"/>
            <w:szCs w:val="18"/>
          </w:rPr>
          <w:t>5</w:t>
        </w:r>
        <w:r w:rsidRPr="0010593A">
          <w:rPr>
            <w:rStyle w:val="af1"/>
            <w:rFonts w:ascii="Arial" w:hAnsi="Arial" w:cs="Arial"/>
            <w:b/>
            <w:bCs/>
            <w:sz w:val="18"/>
            <w:szCs w:val="18"/>
          </w:rPr>
          <w:fldChar w:fldCharType="end"/>
        </w:r>
      </w:p>
    </w:sdtContent>
  </w:sdt>
  <w:p w14:paraId="30F05E79" w14:textId="184FE187" w:rsidR="00241FA3" w:rsidRPr="009B4976" w:rsidRDefault="00B30CEC" w:rsidP="009B4976">
    <w:pPr>
      <w:pStyle w:val="af"/>
      <w:ind w:right="360"/>
      <w:rPr>
        <w:rFonts w:ascii="Arial" w:hAnsi="Arial" w:cs="Arial"/>
        <w:sz w:val="18"/>
        <w:szCs w:val="18"/>
        <w:lang w:val="en-GB"/>
      </w:rPr>
    </w:pPr>
    <w:r w:rsidRPr="00B30CEC">
      <w:rPr>
        <w:rFonts w:ascii="Arial" w:hAnsi="Arial" w:cs="Arial"/>
        <w:sz w:val="18"/>
        <w:szCs w:val="18"/>
        <w:lang w:val="en-GB"/>
      </w:rPr>
      <w:t>202122-355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04FD" w14:textId="77777777" w:rsidR="00F250DE" w:rsidRDefault="00F250DE" w:rsidP="00241B44">
      <w:r>
        <w:separator/>
      </w:r>
    </w:p>
  </w:footnote>
  <w:footnote w:type="continuationSeparator" w:id="0">
    <w:p w14:paraId="550AB490" w14:textId="77777777" w:rsidR="00F250DE" w:rsidRDefault="00F250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498"/>
    <w:multiLevelType w:val="hybridMultilevel"/>
    <w:tmpl w:val="77CEBCF8"/>
    <w:lvl w:ilvl="0" w:tplc="CBA65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36C9A"/>
    <w:multiLevelType w:val="hybridMultilevel"/>
    <w:tmpl w:val="840A1BD8"/>
    <w:lvl w:ilvl="0" w:tplc="7E6C65D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47D3A"/>
    <w:multiLevelType w:val="hybridMultilevel"/>
    <w:tmpl w:val="CA4407FE"/>
    <w:lvl w:ilvl="0" w:tplc="0409001B">
      <w:start w:val="1"/>
      <w:numFmt w:val="lowerRoman"/>
      <w:lvlText w:val="%1."/>
      <w:lvlJc w:val="righ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F22E83"/>
    <w:multiLevelType w:val="hybridMultilevel"/>
    <w:tmpl w:val="FB3830D6"/>
    <w:lvl w:ilvl="0" w:tplc="9F82C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723460"/>
    <w:multiLevelType w:val="hybridMultilevel"/>
    <w:tmpl w:val="5F0A5E1A"/>
    <w:lvl w:ilvl="0" w:tplc="B276035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1"/>
  </w:num>
  <w:num w:numId="5">
    <w:abstractNumId w:val="14"/>
  </w:num>
  <w:num w:numId="6">
    <w:abstractNumId w:val="3"/>
  </w:num>
  <w:num w:numId="7">
    <w:abstractNumId w:val="15"/>
  </w:num>
  <w:num w:numId="8">
    <w:abstractNumId w:val="19"/>
  </w:num>
  <w:num w:numId="9">
    <w:abstractNumId w:val="12"/>
  </w:num>
  <w:num w:numId="10">
    <w:abstractNumId w:val="21"/>
  </w:num>
  <w:num w:numId="11">
    <w:abstractNumId w:val="7"/>
  </w:num>
  <w:num w:numId="12">
    <w:abstractNumId w:val="17"/>
  </w:num>
  <w:num w:numId="13">
    <w:abstractNumId w:val="13"/>
  </w:num>
  <w:num w:numId="14">
    <w:abstractNumId w:val="6"/>
  </w:num>
  <w:num w:numId="15">
    <w:abstractNumId w:val="16"/>
  </w:num>
  <w:num w:numId="16">
    <w:abstractNumId w:val="18"/>
  </w:num>
  <w:num w:numId="17">
    <w:abstractNumId w:val="10"/>
  </w:num>
  <w:num w:numId="18">
    <w:abstractNumId w:val="4"/>
  </w:num>
  <w:num w:numId="19">
    <w:abstractNumId w:val="20"/>
  </w:num>
  <w:num w:numId="20">
    <w:abstractNumId w:val="8"/>
  </w:num>
  <w:num w:numId="21">
    <w:abstractNumId w:val="9"/>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2FFD"/>
    <w:rsid w:val="001966D9"/>
    <w:rsid w:val="001A007A"/>
    <w:rsid w:val="001A7E9A"/>
    <w:rsid w:val="001B0F70"/>
    <w:rsid w:val="001B5016"/>
    <w:rsid w:val="001B591E"/>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6DE0"/>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55D43"/>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3F4396"/>
    <w:rsid w:val="003F79AA"/>
    <w:rsid w:val="00404329"/>
    <w:rsid w:val="00405DC1"/>
    <w:rsid w:val="00415F1F"/>
    <w:rsid w:val="0042108F"/>
    <w:rsid w:val="00430FED"/>
    <w:rsid w:val="00434A8C"/>
    <w:rsid w:val="00435114"/>
    <w:rsid w:val="00437297"/>
    <w:rsid w:val="00444284"/>
    <w:rsid w:val="00445CE6"/>
    <w:rsid w:val="004534C2"/>
    <w:rsid w:val="0045446F"/>
    <w:rsid w:val="0045511A"/>
    <w:rsid w:val="0045683E"/>
    <w:rsid w:val="00461F95"/>
    <w:rsid w:val="00465D64"/>
    <w:rsid w:val="00474C2B"/>
    <w:rsid w:val="00477C72"/>
    <w:rsid w:val="00491675"/>
    <w:rsid w:val="00493855"/>
    <w:rsid w:val="00495837"/>
    <w:rsid w:val="00495E79"/>
    <w:rsid w:val="004A2D83"/>
    <w:rsid w:val="004A57DD"/>
    <w:rsid w:val="004A7B51"/>
    <w:rsid w:val="004A7D71"/>
    <w:rsid w:val="004A7EF3"/>
    <w:rsid w:val="004B11FD"/>
    <w:rsid w:val="004B23A2"/>
    <w:rsid w:val="004B6B90"/>
    <w:rsid w:val="004D1A5A"/>
    <w:rsid w:val="004D2FFF"/>
    <w:rsid w:val="004D3721"/>
    <w:rsid w:val="004D64F9"/>
    <w:rsid w:val="004E3A6B"/>
    <w:rsid w:val="004E622C"/>
    <w:rsid w:val="004F2BAB"/>
    <w:rsid w:val="004F5FDF"/>
    <w:rsid w:val="005177FE"/>
    <w:rsid w:val="0052263B"/>
    <w:rsid w:val="00524728"/>
    <w:rsid w:val="005331CA"/>
    <w:rsid w:val="0053322C"/>
    <w:rsid w:val="00537970"/>
    <w:rsid w:val="00540E3A"/>
    <w:rsid w:val="00544127"/>
    <w:rsid w:val="005463A9"/>
    <w:rsid w:val="00553EB2"/>
    <w:rsid w:val="00555280"/>
    <w:rsid w:val="00560534"/>
    <w:rsid w:val="0056391B"/>
    <w:rsid w:val="005650E2"/>
    <w:rsid w:val="00567AD7"/>
    <w:rsid w:val="00572F13"/>
    <w:rsid w:val="00575B2D"/>
    <w:rsid w:val="005833D0"/>
    <w:rsid w:val="005846F3"/>
    <w:rsid w:val="0058622F"/>
    <w:rsid w:val="00592F82"/>
    <w:rsid w:val="00594C6A"/>
    <w:rsid w:val="005A0CCA"/>
    <w:rsid w:val="005A1083"/>
    <w:rsid w:val="005A2F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06C3D"/>
    <w:rsid w:val="00610388"/>
    <w:rsid w:val="00610AC7"/>
    <w:rsid w:val="00612CA5"/>
    <w:rsid w:val="006153EC"/>
    <w:rsid w:val="00620BD0"/>
    <w:rsid w:val="00621A17"/>
    <w:rsid w:val="00627CC9"/>
    <w:rsid w:val="00627E7B"/>
    <w:rsid w:val="00630542"/>
    <w:rsid w:val="00632E44"/>
    <w:rsid w:val="00634622"/>
    <w:rsid w:val="00636808"/>
    <w:rsid w:val="00640AC2"/>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C0754"/>
    <w:rsid w:val="006C5FA7"/>
    <w:rsid w:val="006D282B"/>
    <w:rsid w:val="006D3CB1"/>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796"/>
    <w:rsid w:val="007A2A33"/>
    <w:rsid w:val="007A5171"/>
    <w:rsid w:val="007B5C89"/>
    <w:rsid w:val="007C1FCC"/>
    <w:rsid w:val="007C6201"/>
    <w:rsid w:val="007D3239"/>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1764"/>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32E60"/>
    <w:rsid w:val="0093429A"/>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1970"/>
    <w:rsid w:val="00A2274A"/>
    <w:rsid w:val="00A235B7"/>
    <w:rsid w:val="00A27A7A"/>
    <w:rsid w:val="00A34ABE"/>
    <w:rsid w:val="00A407EF"/>
    <w:rsid w:val="00A46B4C"/>
    <w:rsid w:val="00A5117B"/>
    <w:rsid w:val="00A56D34"/>
    <w:rsid w:val="00A60074"/>
    <w:rsid w:val="00A612D8"/>
    <w:rsid w:val="00A6627C"/>
    <w:rsid w:val="00A71019"/>
    <w:rsid w:val="00A81029"/>
    <w:rsid w:val="00A845F5"/>
    <w:rsid w:val="00A96489"/>
    <w:rsid w:val="00AA241D"/>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30CEC"/>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B4AC1"/>
    <w:rsid w:val="00BE4FF3"/>
    <w:rsid w:val="00BE745F"/>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C74CC"/>
    <w:rsid w:val="00CD4998"/>
    <w:rsid w:val="00CE1035"/>
    <w:rsid w:val="00CE6E50"/>
    <w:rsid w:val="00CF2819"/>
    <w:rsid w:val="00CF4F9D"/>
    <w:rsid w:val="00CF70DC"/>
    <w:rsid w:val="00D148DC"/>
    <w:rsid w:val="00D17FDC"/>
    <w:rsid w:val="00D21D8C"/>
    <w:rsid w:val="00D53719"/>
    <w:rsid w:val="00D622CE"/>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13A"/>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0DE"/>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A4D4C"/>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431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8FF2-12AE-4919-B819-EC35D448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9</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Ting Ting Chan</cp:lastModifiedBy>
  <cp:revision>10</cp:revision>
  <cp:lastPrinted>2019-08-27T05:42:00Z</cp:lastPrinted>
  <dcterms:created xsi:type="dcterms:W3CDTF">2022-02-20T07:55:00Z</dcterms:created>
  <dcterms:modified xsi:type="dcterms:W3CDTF">2022-02-26T04:22:00Z</dcterms:modified>
</cp:coreProperties>
</file>