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w:t>
      </w:r>
      <w:r w:rsidR="00B12EF7">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 xml:space="preserve">substantively </w:t>
      </w:r>
      <w:proofErr w:type="spellStart"/>
      <w:r w:rsidR="006D217A">
        <w:rPr>
          <w:rFonts w:ascii="Arial" w:hAnsi="Arial" w:cs="Arial"/>
          <w:sz w:val="22"/>
          <w:szCs w:val="22"/>
        </w:rPr>
        <w:t>harmoni</w:t>
      </w:r>
      <w:r w:rsidR="00897A78">
        <w:rPr>
          <w:rFonts w:ascii="Arial" w:hAnsi="Arial" w:cs="Arial"/>
          <w:sz w:val="22"/>
          <w:szCs w:val="22"/>
        </w:rPr>
        <w:t>s</w:t>
      </w:r>
      <w:r w:rsidR="006D217A">
        <w:rPr>
          <w:rFonts w:ascii="Arial" w:hAnsi="Arial" w:cs="Arial"/>
          <w:sz w:val="22"/>
          <w:szCs w:val="22"/>
        </w:rPr>
        <w:t>ed</w:t>
      </w:r>
      <w:proofErr w:type="spellEnd"/>
      <w:r w:rsidR="006D217A">
        <w:rPr>
          <w:rFonts w:ascii="Arial" w:hAnsi="Arial" w:cs="Arial"/>
          <w:sz w:val="22"/>
          <w:szCs w:val="22"/>
        </w:rPr>
        <w:t xml:space="preserve">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a3"/>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a3"/>
        <w:ind w:left="426"/>
        <w:jc w:val="both"/>
        <w:rPr>
          <w:rFonts w:ascii="Arial" w:hAnsi="Arial" w:cs="Arial"/>
          <w:sz w:val="22"/>
          <w:szCs w:val="22"/>
          <w:lang w:val="en-GB"/>
        </w:rPr>
      </w:pPr>
    </w:p>
    <w:p w14:paraId="284B9BBE" w14:textId="18A26DD1" w:rsidR="005B79F4" w:rsidRPr="00D21F62" w:rsidRDefault="00D21F62" w:rsidP="003C4BCB">
      <w:pPr>
        <w:pStyle w:val="a3"/>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a3"/>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03080C" w:rsidRDefault="00D21F62" w:rsidP="003C4BCB">
      <w:pPr>
        <w:pStyle w:val="a3"/>
        <w:numPr>
          <w:ilvl w:val="0"/>
          <w:numId w:val="2"/>
        </w:numPr>
        <w:ind w:left="426"/>
        <w:jc w:val="both"/>
        <w:rPr>
          <w:rFonts w:ascii="Arial" w:hAnsi="Arial" w:cs="Arial"/>
          <w:sz w:val="22"/>
          <w:szCs w:val="22"/>
          <w:highlight w:val="yellow"/>
          <w:lang w:val="en-GB"/>
        </w:rPr>
      </w:pPr>
      <w:r w:rsidRPr="0003080C">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03080C">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BB7905" w:rsidRDefault="006D217A" w:rsidP="006D217A">
      <w:pPr>
        <w:pStyle w:val="a3"/>
        <w:numPr>
          <w:ilvl w:val="0"/>
          <w:numId w:val="3"/>
        </w:numPr>
        <w:ind w:left="426"/>
        <w:jc w:val="both"/>
        <w:rPr>
          <w:rFonts w:ascii="Arial" w:hAnsi="Arial" w:cs="Arial"/>
          <w:iCs/>
          <w:sz w:val="22"/>
          <w:szCs w:val="22"/>
          <w:highlight w:val="yellow"/>
          <w:lang w:val="en-GB"/>
        </w:rPr>
      </w:pPr>
      <w:r w:rsidRPr="00BB7905">
        <w:rPr>
          <w:rFonts w:ascii="Arial" w:hAnsi="Arial" w:cs="Arial"/>
          <w:iCs/>
          <w:sz w:val="22"/>
          <w:szCs w:val="22"/>
          <w:highlight w:val="yellow"/>
          <w:lang w:val="en-GB"/>
        </w:rPr>
        <w:t>False</w:t>
      </w:r>
      <w:r w:rsidR="00D21F62" w:rsidRPr="00BB7905">
        <w:rPr>
          <w:rFonts w:ascii="Arial" w:hAnsi="Arial" w:cs="Arial"/>
          <w:iCs/>
          <w:sz w:val="22"/>
          <w:szCs w:val="22"/>
          <w:highlight w:val="yellow"/>
          <w:lang w:val="en-GB"/>
        </w:rPr>
        <w:t>.</w:t>
      </w:r>
      <w:r w:rsidRPr="00BB7905">
        <w:rPr>
          <w:rFonts w:ascii="Arial" w:hAnsi="Arial" w:cs="Arial"/>
          <w:iCs/>
          <w:sz w:val="22"/>
          <w:szCs w:val="22"/>
          <w:highlight w:val="yellow"/>
          <w:lang w:val="en-GB"/>
        </w:rPr>
        <w:t xml:space="preserve"> </w:t>
      </w:r>
      <w:r w:rsidR="00D21F62" w:rsidRPr="00BB7905">
        <w:rPr>
          <w:rFonts w:ascii="Arial" w:hAnsi="Arial" w:cs="Arial"/>
          <w:sz w:val="22"/>
          <w:szCs w:val="22"/>
          <w:highlight w:val="yellow"/>
          <w:lang w:val="en-GB"/>
        </w:rPr>
        <w:t>T</w:t>
      </w:r>
      <w:r w:rsidRPr="00BB7905">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a3"/>
        <w:ind w:left="426"/>
        <w:jc w:val="both"/>
        <w:rPr>
          <w:rFonts w:ascii="Arial" w:hAnsi="Arial" w:cs="Arial"/>
          <w:iCs/>
          <w:sz w:val="22"/>
          <w:szCs w:val="22"/>
          <w:lang w:val="en-GB"/>
        </w:rPr>
      </w:pPr>
    </w:p>
    <w:p w14:paraId="41F30847" w14:textId="15ADA3FC" w:rsidR="006D217A" w:rsidRPr="005D2CD6" w:rsidRDefault="006D217A" w:rsidP="006D217A">
      <w:pPr>
        <w:pStyle w:val="a3"/>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a3"/>
        <w:ind w:left="426"/>
        <w:jc w:val="both"/>
        <w:rPr>
          <w:rFonts w:ascii="Arial" w:hAnsi="Arial" w:cs="Arial"/>
          <w:iCs/>
          <w:sz w:val="22"/>
          <w:szCs w:val="22"/>
          <w:lang w:val="en-GB"/>
        </w:rPr>
      </w:pPr>
    </w:p>
    <w:p w14:paraId="74C0E9B6" w14:textId="67EBDC94" w:rsidR="005B79F4" w:rsidRPr="005D2CD6" w:rsidRDefault="006D217A" w:rsidP="00D21F62">
      <w:pPr>
        <w:pStyle w:val="a3"/>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a3"/>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a3"/>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a3"/>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a3"/>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BB7905" w:rsidRDefault="00D21F62" w:rsidP="003C4BCB">
      <w:pPr>
        <w:pStyle w:val="a3"/>
        <w:numPr>
          <w:ilvl w:val="0"/>
          <w:numId w:val="4"/>
        </w:numPr>
        <w:ind w:left="426"/>
        <w:jc w:val="both"/>
        <w:rPr>
          <w:rFonts w:ascii="Arial" w:hAnsi="Arial" w:cs="Arial"/>
          <w:sz w:val="22"/>
          <w:szCs w:val="22"/>
          <w:highlight w:val="yellow"/>
          <w:lang w:val="en-GB"/>
        </w:rPr>
      </w:pPr>
      <w:r w:rsidRPr="00BB7905">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a3"/>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a3"/>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BB7905" w:rsidRDefault="00971896" w:rsidP="003C4BCB">
      <w:pPr>
        <w:pStyle w:val="a3"/>
        <w:numPr>
          <w:ilvl w:val="0"/>
          <w:numId w:val="5"/>
        </w:numPr>
        <w:ind w:left="426"/>
        <w:jc w:val="both"/>
        <w:rPr>
          <w:rFonts w:ascii="Arial" w:hAnsi="Arial" w:cs="Arial"/>
          <w:sz w:val="22"/>
          <w:szCs w:val="22"/>
          <w:highlight w:val="yellow"/>
          <w:lang w:val="en-GB"/>
        </w:rPr>
      </w:pPr>
      <w:r w:rsidRPr="00BB7905">
        <w:rPr>
          <w:rFonts w:ascii="Arial" w:hAnsi="Arial" w:cs="Arial"/>
          <w:sz w:val="22"/>
          <w:szCs w:val="22"/>
          <w:highlight w:val="yellow"/>
          <w:lang w:val="en-GB"/>
        </w:rPr>
        <w:t xml:space="preserve">Although the EIR Recast includes relevant and useful innovations, it has stuck with the framework of the </w:t>
      </w:r>
      <w:r w:rsidR="006F0106" w:rsidRPr="00BB7905">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a3"/>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a3"/>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a3"/>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a3"/>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a3"/>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BB7905" w:rsidRDefault="008E7371" w:rsidP="003C4BCB">
      <w:pPr>
        <w:pStyle w:val="a3"/>
        <w:numPr>
          <w:ilvl w:val="0"/>
          <w:numId w:val="6"/>
        </w:numPr>
        <w:ind w:left="426"/>
        <w:jc w:val="both"/>
        <w:rPr>
          <w:rFonts w:ascii="Arial" w:hAnsi="Arial" w:cs="Arial"/>
          <w:sz w:val="22"/>
          <w:szCs w:val="22"/>
          <w:highlight w:val="yellow"/>
          <w:lang w:val="en-GB"/>
        </w:rPr>
      </w:pPr>
      <w:r w:rsidRPr="00BB7905">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9943D1" w:rsidRDefault="00113E29" w:rsidP="00D509A5">
      <w:pPr>
        <w:pStyle w:val="a3"/>
        <w:numPr>
          <w:ilvl w:val="0"/>
          <w:numId w:val="7"/>
        </w:numPr>
        <w:ind w:left="426"/>
        <w:jc w:val="both"/>
        <w:rPr>
          <w:rFonts w:ascii="Arial" w:hAnsi="Arial" w:cs="Arial"/>
          <w:sz w:val="22"/>
          <w:szCs w:val="22"/>
          <w:highlight w:val="yellow"/>
          <w:lang w:val="en-GB"/>
        </w:rPr>
      </w:pPr>
      <w:r w:rsidRPr="009943D1">
        <w:rPr>
          <w:rFonts w:ascii="Arial" w:hAnsi="Arial" w:cs="Arial"/>
          <w:sz w:val="22"/>
          <w:szCs w:val="22"/>
          <w:highlight w:val="yellow"/>
          <w:lang w:val="en-GB"/>
        </w:rPr>
        <w:t xml:space="preserve">The </w:t>
      </w:r>
      <w:r w:rsidR="008E7371" w:rsidRPr="009943D1">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a3"/>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a3"/>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a3"/>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a3"/>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a3"/>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a3"/>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a3"/>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a3"/>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a3"/>
        <w:ind w:left="426"/>
        <w:jc w:val="both"/>
        <w:rPr>
          <w:rFonts w:ascii="Arial" w:hAnsi="Arial" w:cs="Arial"/>
          <w:sz w:val="22"/>
          <w:szCs w:val="22"/>
          <w:lang w:val="en-GB"/>
        </w:rPr>
      </w:pPr>
    </w:p>
    <w:p w14:paraId="7793DAFC" w14:textId="67E69AED" w:rsidR="00F814B4" w:rsidRPr="00B3084E" w:rsidRDefault="0034705B" w:rsidP="003C4BCB">
      <w:pPr>
        <w:pStyle w:val="a3"/>
        <w:numPr>
          <w:ilvl w:val="0"/>
          <w:numId w:val="8"/>
        </w:numPr>
        <w:ind w:left="426"/>
        <w:jc w:val="both"/>
        <w:rPr>
          <w:rFonts w:ascii="Arial" w:hAnsi="Arial" w:cs="Arial"/>
          <w:sz w:val="22"/>
          <w:szCs w:val="22"/>
          <w:highlight w:val="yellow"/>
          <w:lang w:val="en-GB"/>
        </w:rPr>
      </w:pPr>
      <w:r w:rsidRPr="00B3084E">
        <w:rPr>
          <w:rFonts w:ascii="Arial" w:hAnsi="Arial" w:cs="Arial"/>
          <w:sz w:val="22"/>
          <w:szCs w:val="22"/>
          <w:highlight w:val="yellow"/>
          <w:lang w:val="en-GB"/>
        </w:rPr>
        <w:t>“</w:t>
      </w:r>
      <w:r w:rsidR="00F814B4" w:rsidRPr="00B3084E">
        <w:rPr>
          <w:rFonts w:ascii="Arial" w:hAnsi="Arial" w:cs="Arial"/>
          <w:sz w:val="22"/>
          <w:szCs w:val="22"/>
          <w:highlight w:val="yellow"/>
          <w:lang w:val="en-GB"/>
        </w:rPr>
        <w:t>Synthetic proceedings</w:t>
      </w:r>
      <w:r w:rsidRPr="00B3084E">
        <w:rPr>
          <w:rFonts w:ascii="Arial" w:hAnsi="Arial" w:cs="Arial"/>
          <w:sz w:val="22"/>
          <w:szCs w:val="22"/>
          <w:highlight w:val="yellow"/>
          <w:lang w:val="en-GB"/>
        </w:rPr>
        <w:t>”</w:t>
      </w:r>
      <w:r w:rsidR="00F814B4" w:rsidRPr="00B3084E">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a9"/>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a3"/>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a3"/>
        <w:ind w:left="426"/>
        <w:jc w:val="both"/>
        <w:rPr>
          <w:rFonts w:ascii="Arial" w:hAnsi="Arial" w:cs="Arial"/>
          <w:sz w:val="22"/>
          <w:szCs w:val="22"/>
          <w:lang w:val="en-GB"/>
        </w:rPr>
      </w:pPr>
    </w:p>
    <w:p w14:paraId="2C0C9375" w14:textId="74A9BBD3" w:rsidR="00AD6870" w:rsidRPr="005D2CD6" w:rsidRDefault="00AD6870" w:rsidP="00AD6870">
      <w:pPr>
        <w:pStyle w:val="a3"/>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a3"/>
        <w:ind w:left="426"/>
        <w:jc w:val="both"/>
        <w:rPr>
          <w:rFonts w:ascii="Arial" w:hAnsi="Arial" w:cs="Arial"/>
          <w:sz w:val="22"/>
          <w:szCs w:val="22"/>
          <w:lang w:val="en-GB"/>
        </w:rPr>
      </w:pPr>
    </w:p>
    <w:p w14:paraId="7CF1BB8B" w14:textId="77777777" w:rsidR="00F814B4" w:rsidRPr="00B3084E" w:rsidRDefault="00F814B4" w:rsidP="00F814B4">
      <w:pPr>
        <w:pStyle w:val="a3"/>
        <w:numPr>
          <w:ilvl w:val="0"/>
          <w:numId w:val="10"/>
        </w:numPr>
        <w:ind w:left="426"/>
        <w:jc w:val="both"/>
        <w:rPr>
          <w:rFonts w:ascii="Arial" w:hAnsi="Arial" w:cs="Arial"/>
          <w:sz w:val="22"/>
          <w:szCs w:val="22"/>
          <w:highlight w:val="yellow"/>
          <w:lang w:val="en-GB"/>
        </w:rPr>
      </w:pPr>
      <w:r w:rsidRPr="00B3084E">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a3"/>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a3"/>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857496" w:rsidRDefault="00375D11" w:rsidP="00375D11">
      <w:pPr>
        <w:pStyle w:val="a3"/>
        <w:numPr>
          <w:ilvl w:val="0"/>
          <w:numId w:val="9"/>
        </w:numPr>
        <w:ind w:left="426"/>
        <w:jc w:val="both"/>
        <w:rPr>
          <w:rFonts w:ascii="Arial" w:hAnsi="Arial" w:cs="Arial"/>
          <w:sz w:val="22"/>
          <w:szCs w:val="22"/>
          <w:highlight w:val="yellow"/>
          <w:lang w:val="en-GB"/>
        </w:rPr>
      </w:pPr>
      <w:r w:rsidRPr="00857496">
        <w:rPr>
          <w:rFonts w:ascii="Arial" w:hAnsi="Arial" w:cs="Arial"/>
          <w:sz w:val="22"/>
          <w:szCs w:val="22"/>
          <w:highlight w:val="yellow"/>
          <w:lang w:val="en-GB"/>
        </w:rPr>
        <w:t xml:space="preserve">The contested transactions cannot be avoided if Lacroix SARL can prove that the </w:t>
      </w:r>
      <w:r w:rsidRPr="00857496">
        <w:rPr>
          <w:rFonts w:ascii="Arial" w:hAnsi="Arial" w:cs="Arial"/>
          <w:i/>
          <w:sz w:val="22"/>
          <w:szCs w:val="22"/>
          <w:highlight w:val="yellow"/>
          <w:lang w:val="en-GB"/>
        </w:rPr>
        <w:t xml:space="preserve">lex </w:t>
      </w:r>
      <w:proofErr w:type="spellStart"/>
      <w:r w:rsidRPr="00857496">
        <w:rPr>
          <w:rFonts w:ascii="Arial" w:hAnsi="Arial" w:cs="Arial"/>
          <w:i/>
          <w:sz w:val="22"/>
          <w:szCs w:val="22"/>
          <w:highlight w:val="yellow"/>
          <w:lang w:val="en-GB"/>
        </w:rPr>
        <w:t>causae</w:t>
      </w:r>
      <w:proofErr w:type="spellEnd"/>
      <w:r w:rsidRPr="00857496">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a3"/>
        <w:ind w:left="426"/>
        <w:jc w:val="both"/>
        <w:rPr>
          <w:rFonts w:ascii="Arial" w:hAnsi="Arial" w:cs="Arial"/>
          <w:sz w:val="22"/>
          <w:szCs w:val="22"/>
          <w:lang w:val="en-GB"/>
        </w:rPr>
      </w:pPr>
    </w:p>
    <w:p w14:paraId="1A7B7775" w14:textId="4A1D42B1" w:rsidR="00375D11" w:rsidRPr="005D2CD6" w:rsidRDefault="00113E29" w:rsidP="00375D11">
      <w:pPr>
        <w:pStyle w:val="a3"/>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a3"/>
        <w:ind w:left="426"/>
        <w:jc w:val="both"/>
        <w:rPr>
          <w:rFonts w:ascii="Arial" w:hAnsi="Arial" w:cs="Arial"/>
          <w:sz w:val="22"/>
          <w:szCs w:val="22"/>
          <w:lang w:val="en-GB"/>
        </w:rPr>
      </w:pPr>
    </w:p>
    <w:p w14:paraId="3BB4C572" w14:textId="0D9E3986" w:rsidR="00375D11" w:rsidRPr="005D2CD6" w:rsidRDefault="00375D11" w:rsidP="00375D11">
      <w:pPr>
        <w:pStyle w:val="a3"/>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a3"/>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a3"/>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a3"/>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C02972" w:rsidRDefault="00FC48D8" w:rsidP="003C4BCB">
      <w:pPr>
        <w:pStyle w:val="a3"/>
        <w:numPr>
          <w:ilvl w:val="0"/>
          <w:numId w:val="11"/>
        </w:numPr>
        <w:ind w:left="426"/>
        <w:jc w:val="both"/>
        <w:rPr>
          <w:rFonts w:ascii="Arial" w:hAnsi="Arial" w:cs="Arial"/>
          <w:sz w:val="22"/>
          <w:szCs w:val="22"/>
          <w:highlight w:val="yellow"/>
          <w:lang w:val="en-GB"/>
        </w:rPr>
      </w:pPr>
      <w:r w:rsidRPr="00C02972">
        <w:rPr>
          <w:rFonts w:ascii="Arial" w:hAnsi="Arial" w:cs="Arial"/>
          <w:sz w:val="22"/>
          <w:szCs w:val="22"/>
          <w:highlight w:val="yellow"/>
          <w:lang w:val="en-GB"/>
        </w:rPr>
        <w:t xml:space="preserve">Within </w:t>
      </w:r>
      <w:r w:rsidR="006F2B12" w:rsidRPr="00C02972">
        <w:rPr>
          <w:rFonts w:ascii="Arial" w:hAnsi="Arial" w:cs="Arial"/>
          <w:sz w:val="22"/>
          <w:szCs w:val="22"/>
          <w:highlight w:val="yellow"/>
          <w:lang w:val="en-GB"/>
        </w:rPr>
        <w:t>one month</w:t>
      </w:r>
      <w:r w:rsidRPr="00C02972">
        <w:rPr>
          <w:rFonts w:ascii="Arial" w:hAnsi="Arial" w:cs="Arial"/>
          <w:sz w:val="22"/>
          <w:szCs w:val="22"/>
          <w:highlight w:val="yellow"/>
          <w:lang w:val="en-GB"/>
        </w:rPr>
        <w:t xml:space="preserve">, as stipulated in the applicable </w:t>
      </w:r>
      <w:r w:rsidRPr="00C02972">
        <w:rPr>
          <w:rFonts w:ascii="Arial" w:hAnsi="Arial" w:cs="Arial"/>
          <w:i/>
          <w:sz w:val="22"/>
          <w:szCs w:val="22"/>
          <w:highlight w:val="yellow"/>
          <w:lang w:val="en-GB"/>
        </w:rPr>
        <w:t xml:space="preserve">lex concursus </w:t>
      </w:r>
      <w:proofErr w:type="spellStart"/>
      <w:r w:rsidRPr="00C02972">
        <w:rPr>
          <w:rFonts w:ascii="Arial" w:hAnsi="Arial" w:cs="Arial"/>
          <w:i/>
          <w:sz w:val="22"/>
          <w:szCs w:val="22"/>
          <w:highlight w:val="yellow"/>
          <w:lang w:val="en-GB"/>
        </w:rPr>
        <w:t>secundarii</w:t>
      </w:r>
      <w:proofErr w:type="spellEnd"/>
      <w:r w:rsidRPr="00C02972">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a3"/>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a3"/>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75B73D61"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 – Articles 36/38</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22C610C9" w14:textId="4552811C" w:rsidR="00DE03AF" w:rsidRDefault="00DE03AF" w:rsidP="002A37BB">
      <w:pPr>
        <w:jc w:val="both"/>
        <w:rPr>
          <w:rFonts w:ascii="Arial" w:hAnsi="Arial" w:cs="Arial"/>
          <w:color w:val="7B7B7B" w:themeColor="accent3" w:themeShade="BF"/>
          <w:sz w:val="22"/>
          <w:szCs w:val="22"/>
        </w:rPr>
      </w:pPr>
    </w:p>
    <w:p w14:paraId="092FD8AE" w14:textId="3433DC22" w:rsidR="00101971" w:rsidRPr="00385A13" w:rsidRDefault="00101971" w:rsidP="002A37BB">
      <w:pPr>
        <w:jc w:val="both"/>
        <w:rPr>
          <w:rFonts w:ascii="Arial" w:hAnsi="Arial" w:cs="Arial"/>
          <w:sz w:val="22"/>
          <w:szCs w:val="22"/>
          <w:lang w:val="en-GB"/>
        </w:rPr>
      </w:pPr>
      <w:r w:rsidRPr="00385A13">
        <w:rPr>
          <w:rFonts w:ascii="Arial" w:hAnsi="Arial" w:cs="Arial"/>
          <w:sz w:val="22"/>
          <w:szCs w:val="22"/>
          <w:lang w:val="en-GB"/>
        </w:rPr>
        <w:t xml:space="preserve">Statement 1: Article 36. This approach kills two birds with one stone. It allows the centralized management of the insolvency proceeding in COMI country. At the same </w:t>
      </w:r>
      <w:proofErr w:type="gramStart"/>
      <w:r w:rsidRPr="00385A13">
        <w:rPr>
          <w:rFonts w:ascii="Arial" w:hAnsi="Arial" w:cs="Arial"/>
          <w:sz w:val="22"/>
          <w:szCs w:val="22"/>
          <w:lang w:val="en-GB"/>
        </w:rPr>
        <w:t>time</w:t>
      </w:r>
      <w:proofErr w:type="gramEnd"/>
      <w:r w:rsidRPr="00385A13">
        <w:rPr>
          <w:rFonts w:ascii="Arial" w:hAnsi="Arial" w:cs="Arial"/>
          <w:sz w:val="22"/>
          <w:szCs w:val="22"/>
          <w:lang w:val="en-GB"/>
        </w:rPr>
        <w:t xml:space="preserve"> it protects the creditors in non-COMI countries and give them more certainty of their rights in their deals with the debtors.</w:t>
      </w:r>
    </w:p>
    <w:p w14:paraId="4490DB7E" w14:textId="04415422" w:rsidR="00101971" w:rsidRPr="00385A13" w:rsidRDefault="00101971" w:rsidP="002A37BB">
      <w:pPr>
        <w:jc w:val="both"/>
        <w:rPr>
          <w:rFonts w:ascii="Arial" w:hAnsi="Arial" w:cs="Arial"/>
          <w:sz w:val="22"/>
          <w:szCs w:val="22"/>
          <w:lang w:val="en-GB"/>
        </w:rPr>
      </w:pPr>
    </w:p>
    <w:p w14:paraId="59454A48" w14:textId="11CEC35B" w:rsidR="00101971" w:rsidRPr="00385A13" w:rsidRDefault="00101971" w:rsidP="00827383">
      <w:pPr>
        <w:jc w:val="both"/>
        <w:rPr>
          <w:rFonts w:ascii="Arial" w:hAnsi="Arial" w:cs="Arial"/>
          <w:sz w:val="22"/>
          <w:szCs w:val="22"/>
          <w:lang w:val="en-GB"/>
        </w:rPr>
      </w:pPr>
      <w:r w:rsidRPr="00385A13">
        <w:rPr>
          <w:rFonts w:ascii="Arial" w:hAnsi="Arial" w:cs="Arial" w:hint="eastAsia"/>
          <w:sz w:val="22"/>
          <w:szCs w:val="22"/>
          <w:lang w:val="en-GB"/>
        </w:rPr>
        <w:t>S</w:t>
      </w:r>
      <w:r w:rsidRPr="00385A13">
        <w:rPr>
          <w:rFonts w:ascii="Arial" w:hAnsi="Arial" w:cs="Arial"/>
          <w:sz w:val="22"/>
          <w:szCs w:val="22"/>
          <w:lang w:val="en-GB"/>
        </w:rPr>
        <w:t>tatement 2</w:t>
      </w:r>
      <w:r w:rsidR="00385A13" w:rsidRPr="00385A13">
        <w:rPr>
          <w:rFonts w:ascii="Arial" w:hAnsi="Arial" w:cs="Arial"/>
          <w:sz w:val="22"/>
          <w:szCs w:val="22"/>
          <w:lang w:val="en-GB"/>
        </w:rPr>
        <w:t xml:space="preserve"> is from </w:t>
      </w:r>
      <w:r w:rsidR="00827383" w:rsidRPr="00385A13">
        <w:rPr>
          <w:rFonts w:ascii="Arial" w:hAnsi="Arial" w:cs="Arial"/>
          <w:sz w:val="22"/>
          <w:szCs w:val="22"/>
          <w:lang w:val="en-GB"/>
        </w:rPr>
        <w:t xml:space="preserve">Whereas part (3) </w:t>
      </w:r>
      <w:r w:rsidR="00385A13" w:rsidRPr="00385A13">
        <w:rPr>
          <w:rFonts w:ascii="Arial" w:hAnsi="Arial" w:cs="Arial"/>
          <w:sz w:val="22"/>
          <w:szCs w:val="22"/>
          <w:lang w:val="en-GB"/>
        </w:rPr>
        <w:t>of EIR Recast. The</w:t>
      </w:r>
      <w:r w:rsidR="00827383" w:rsidRPr="00385A13">
        <w:rPr>
          <w:rFonts w:ascii="Arial" w:hAnsi="Arial" w:cs="Arial"/>
          <w:sz w:val="22"/>
          <w:szCs w:val="22"/>
          <w:lang w:val="en-GB"/>
        </w:rPr>
        <w:t xml:space="preserve"> proper functioning of the internal market requires that cross-border insolvency proceedings should operate efficiently and effectively. This Regulation needs to be adopted in order to achieve that objective, which falls within the scope of judicial cooperation in civil matters within the meaning of Article 81 of the Treaty.</w:t>
      </w: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6A122D15" w14:textId="33341246" w:rsidR="00072C15" w:rsidRPr="00385A13" w:rsidRDefault="00072C15" w:rsidP="00385A13">
      <w:pPr>
        <w:jc w:val="both"/>
        <w:rPr>
          <w:rFonts w:ascii="Arial" w:hAnsi="Arial" w:cs="Arial"/>
          <w:sz w:val="22"/>
          <w:szCs w:val="22"/>
          <w:lang w:val="en-GB"/>
        </w:rPr>
      </w:pPr>
      <w:r w:rsidRPr="00385A13">
        <w:rPr>
          <w:rFonts w:ascii="Arial" w:hAnsi="Arial" w:cs="Arial" w:hint="eastAsia"/>
          <w:sz w:val="22"/>
          <w:szCs w:val="22"/>
          <w:lang w:val="en-GB"/>
        </w:rPr>
        <w:t>A</w:t>
      </w:r>
      <w:r w:rsidRPr="00385A13">
        <w:rPr>
          <w:rFonts w:ascii="Arial" w:hAnsi="Arial" w:cs="Arial"/>
          <w:sz w:val="22"/>
          <w:szCs w:val="22"/>
          <w:lang w:val="en-GB"/>
        </w:rPr>
        <w:t>rticle 19 adds that the recognition of main proceeding shall not preclude the opening of secondary proceedings.</w:t>
      </w:r>
    </w:p>
    <w:p w14:paraId="79CDC695" w14:textId="77777777" w:rsidR="00072C15" w:rsidRPr="00385A13" w:rsidRDefault="00072C15" w:rsidP="00385A13">
      <w:pPr>
        <w:jc w:val="both"/>
        <w:rPr>
          <w:rFonts w:ascii="Arial" w:hAnsi="Arial" w:cs="Arial"/>
          <w:sz w:val="22"/>
          <w:szCs w:val="22"/>
          <w:lang w:val="en-GB"/>
        </w:rPr>
      </w:pPr>
    </w:p>
    <w:p w14:paraId="7EB7F684" w14:textId="7F6787F6" w:rsidR="00072C15" w:rsidRPr="00385A13" w:rsidRDefault="00072C15" w:rsidP="00385A13">
      <w:pPr>
        <w:jc w:val="both"/>
        <w:rPr>
          <w:rFonts w:ascii="Arial" w:hAnsi="Arial" w:cs="Arial"/>
          <w:sz w:val="22"/>
          <w:szCs w:val="22"/>
          <w:lang w:val="en-GB"/>
        </w:rPr>
      </w:pPr>
      <w:r w:rsidRPr="00385A13">
        <w:rPr>
          <w:rFonts w:ascii="Arial" w:hAnsi="Arial" w:cs="Arial"/>
          <w:sz w:val="22"/>
          <w:szCs w:val="22"/>
          <w:lang w:val="en-GB"/>
        </w:rPr>
        <w:t xml:space="preserve">Article 7 of EIR Recast states that the law applicable to insolvency and its effects shall be that of the Member State within the territory of which such proceedings are opened. </w:t>
      </w:r>
      <w:r w:rsidR="00E97781" w:rsidRPr="00385A13">
        <w:rPr>
          <w:rFonts w:ascii="Arial" w:hAnsi="Arial" w:cs="Arial"/>
          <w:sz w:val="22"/>
          <w:szCs w:val="22"/>
          <w:lang w:val="en-GB"/>
        </w:rPr>
        <w:t xml:space="preserve">But there are also several exceptions </w:t>
      </w:r>
    </w:p>
    <w:p w14:paraId="734D5999" w14:textId="77777777" w:rsidR="00385A13" w:rsidRDefault="00385A13" w:rsidP="00385A13">
      <w:pPr>
        <w:jc w:val="both"/>
        <w:rPr>
          <w:rFonts w:ascii="Arial" w:hAnsi="Arial" w:cs="Arial"/>
          <w:sz w:val="22"/>
          <w:szCs w:val="22"/>
          <w:lang w:val="en-GB"/>
        </w:rPr>
      </w:pPr>
    </w:p>
    <w:p w14:paraId="23380C6C" w14:textId="2BBFAC9A" w:rsidR="004A1B14" w:rsidRPr="005D2CD6" w:rsidRDefault="00827383" w:rsidP="00385A13">
      <w:pPr>
        <w:jc w:val="both"/>
        <w:rPr>
          <w:rFonts w:ascii="Arial" w:hAnsi="Arial" w:cs="Arial"/>
          <w:sz w:val="22"/>
          <w:szCs w:val="22"/>
          <w:lang w:val="en-GB"/>
        </w:rPr>
      </w:pPr>
      <w:r w:rsidRPr="00385A13">
        <w:rPr>
          <w:rFonts w:ascii="Arial" w:hAnsi="Arial" w:cs="Arial"/>
          <w:sz w:val="22"/>
          <w:szCs w:val="22"/>
          <w:lang w:val="en-GB"/>
        </w:rPr>
        <w:t xml:space="preserve">Article 36 of EIR Recast gives an approach to stop the commencement of the second proceeding under condition the main insolvency practitioner makes an undertaking to </w:t>
      </w:r>
      <w:r w:rsidRPr="005D2CD6">
        <w:rPr>
          <w:rFonts w:ascii="Arial" w:hAnsi="Arial" w:cs="Arial"/>
          <w:sz w:val="22"/>
          <w:szCs w:val="22"/>
          <w:lang w:val="en-GB"/>
        </w:rPr>
        <w:t>local creditors that they will receive treatment ‘as if’ secondary proceedings had in fact been open</w:t>
      </w:r>
      <w:r>
        <w:rPr>
          <w:rFonts w:ascii="Arial" w:hAnsi="Arial" w:cs="Arial"/>
          <w:sz w:val="22"/>
          <w:szCs w:val="22"/>
          <w:lang w:val="en-GB"/>
        </w:rPr>
        <w:t>.</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572227E7" w14:textId="724F9AC0" w:rsidR="0045683E" w:rsidRPr="009F51DE" w:rsidRDefault="0095053A" w:rsidP="002A37BB">
      <w:pPr>
        <w:jc w:val="both"/>
        <w:rPr>
          <w:rFonts w:ascii="Arial" w:hAnsi="Arial" w:cs="Arial"/>
          <w:sz w:val="22"/>
          <w:szCs w:val="22"/>
          <w:lang w:val="en-GB"/>
        </w:rPr>
      </w:pPr>
      <w:r w:rsidRPr="009F51DE">
        <w:rPr>
          <w:rFonts w:ascii="Arial" w:hAnsi="Arial" w:cs="Arial"/>
          <w:sz w:val="22"/>
          <w:szCs w:val="22"/>
          <w:lang w:val="en-GB"/>
        </w:rPr>
        <w:t>EIR Recast adds articles 42 to enhance cooperation between courts in cross border insolvency proceedings. The courts are obliged to communicate with each other even before the proceeding is opened.</w:t>
      </w:r>
    </w:p>
    <w:p w14:paraId="72F0BB65" w14:textId="18521771" w:rsidR="0095053A" w:rsidRPr="009F51DE" w:rsidRDefault="0095053A" w:rsidP="002A37BB">
      <w:pPr>
        <w:jc w:val="both"/>
        <w:rPr>
          <w:rFonts w:ascii="Arial" w:hAnsi="Arial" w:cs="Arial"/>
          <w:sz w:val="22"/>
          <w:szCs w:val="22"/>
          <w:lang w:val="en-GB"/>
        </w:rPr>
      </w:pPr>
    </w:p>
    <w:p w14:paraId="205A065F" w14:textId="3170EBA6" w:rsidR="0095053A" w:rsidRDefault="0095053A" w:rsidP="002A37BB">
      <w:pPr>
        <w:jc w:val="both"/>
        <w:rPr>
          <w:rFonts w:ascii="Arial" w:hAnsi="Arial" w:cs="Arial"/>
          <w:sz w:val="22"/>
          <w:szCs w:val="22"/>
          <w:lang w:val="en-GB"/>
        </w:rPr>
      </w:pPr>
      <w:r w:rsidRPr="009F51DE">
        <w:rPr>
          <w:rFonts w:ascii="Arial" w:hAnsi="Arial" w:cs="Arial" w:hint="eastAsia"/>
          <w:sz w:val="22"/>
          <w:szCs w:val="22"/>
          <w:lang w:val="en-GB"/>
        </w:rPr>
        <w:lastRenderedPageBreak/>
        <w:t>E</w:t>
      </w:r>
      <w:r w:rsidRPr="009F51DE">
        <w:rPr>
          <w:rFonts w:ascii="Arial" w:hAnsi="Arial" w:cs="Arial"/>
          <w:sz w:val="22"/>
          <w:szCs w:val="22"/>
          <w:lang w:val="en-GB"/>
        </w:rPr>
        <w:t xml:space="preserve">IR Recast also introduces the obligation of cooperation between </w:t>
      </w:r>
      <w:r w:rsidR="00FB52EE" w:rsidRPr="009F51DE">
        <w:rPr>
          <w:rFonts w:ascii="Arial" w:hAnsi="Arial" w:cs="Arial"/>
          <w:sz w:val="22"/>
          <w:szCs w:val="22"/>
          <w:lang w:val="en-GB"/>
        </w:rPr>
        <w:t xml:space="preserve">insolvency practitioners and court in Article 43. </w:t>
      </w:r>
    </w:p>
    <w:p w14:paraId="540D109A" w14:textId="77777777" w:rsidR="009F51DE" w:rsidRPr="009F51DE" w:rsidRDefault="009F51DE" w:rsidP="002A37BB">
      <w:pPr>
        <w:jc w:val="both"/>
        <w:rPr>
          <w:rFonts w:ascii="Arial" w:hAnsi="Arial" w:cs="Arial"/>
          <w:sz w:val="22"/>
          <w:szCs w:val="22"/>
          <w:lang w:val="en-GB"/>
        </w:rPr>
      </w:pPr>
    </w:p>
    <w:p w14:paraId="432ADEA8" w14:textId="497EFA2E" w:rsidR="00FB52EE" w:rsidRPr="009F51DE" w:rsidRDefault="00FB52EE" w:rsidP="00FB52EE">
      <w:pPr>
        <w:jc w:val="both"/>
        <w:rPr>
          <w:rFonts w:ascii="Arial" w:hAnsi="Arial" w:cs="Arial"/>
          <w:sz w:val="22"/>
          <w:szCs w:val="22"/>
          <w:lang w:val="en-GB"/>
        </w:rPr>
      </w:pPr>
      <w:r w:rsidRPr="009F51DE">
        <w:rPr>
          <w:rFonts w:ascii="Arial" w:hAnsi="Arial" w:cs="Arial"/>
          <w:sz w:val="22"/>
          <w:szCs w:val="22"/>
          <w:lang w:val="en-GB"/>
        </w:rPr>
        <w:t>The insolvency practitioner of the main proceeding is obliged to cooperate with the secondary proceeding.</w:t>
      </w:r>
      <w:r w:rsidRPr="009F51DE">
        <w:rPr>
          <w:rFonts w:ascii="Arial" w:hAnsi="Arial" w:cs="Arial" w:hint="eastAsia"/>
          <w:sz w:val="22"/>
          <w:szCs w:val="22"/>
          <w:lang w:val="en-GB"/>
        </w:rPr>
        <w:t xml:space="preserve"> </w:t>
      </w:r>
      <w:r w:rsidRPr="009F51DE">
        <w:rPr>
          <w:rFonts w:ascii="Arial" w:hAnsi="Arial" w:cs="Arial"/>
          <w:sz w:val="22"/>
          <w:szCs w:val="22"/>
          <w:lang w:val="en-GB"/>
        </w:rPr>
        <w:t xml:space="preserve">The secondary proceeding practitioner needs to cooperate with the main proceeding court. The secondary proceeding practitioner needs to cooperate with the secondary proceeding court. </w:t>
      </w:r>
    </w:p>
    <w:p w14:paraId="27508FA7" w14:textId="58A3C472" w:rsidR="00FB52EE" w:rsidRPr="009F51DE" w:rsidRDefault="00FB52EE" w:rsidP="00FB52EE">
      <w:pPr>
        <w:jc w:val="both"/>
        <w:rPr>
          <w:rFonts w:ascii="Arial" w:hAnsi="Arial" w:cs="Arial"/>
          <w:sz w:val="22"/>
          <w:szCs w:val="22"/>
          <w:lang w:val="en-GB"/>
        </w:rPr>
      </w:pPr>
    </w:p>
    <w:p w14:paraId="1DB42DE5" w14:textId="3396EA35" w:rsidR="00FB52EE" w:rsidRPr="009F51DE" w:rsidRDefault="00FB52EE" w:rsidP="00FB52EE">
      <w:pPr>
        <w:jc w:val="both"/>
        <w:rPr>
          <w:rFonts w:ascii="Arial" w:hAnsi="Arial" w:cs="Arial"/>
          <w:sz w:val="22"/>
          <w:szCs w:val="22"/>
          <w:lang w:val="en-GB"/>
        </w:rPr>
      </w:pPr>
      <w:r w:rsidRPr="009F51DE">
        <w:rPr>
          <w:rFonts w:ascii="Arial" w:hAnsi="Arial" w:cs="Arial"/>
          <w:sz w:val="22"/>
          <w:szCs w:val="22"/>
          <w:lang w:val="en-GB"/>
        </w:rPr>
        <w:t>Article 46(1) states that the court of the secon</w:t>
      </w:r>
      <w:r w:rsidR="00C63B6D" w:rsidRPr="009F51DE">
        <w:rPr>
          <w:rFonts w:ascii="Arial" w:hAnsi="Arial" w:cs="Arial"/>
          <w:sz w:val="22"/>
          <w:szCs w:val="22"/>
          <w:lang w:val="en-GB"/>
        </w:rPr>
        <w:t xml:space="preserve">dary proceeding is obliged to communicate with the practitioner of the main proceeding when </w:t>
      </w:r>
      <w:r w:rsidR="009F51DE">
        <w:rPr>
          <w:rFonts w:ascii="Arial" w:hAnsi="Arial" w:cs="Arial"/>
          <w:sz w:val="22"/>
          <w:szCs w:val="22"/>
          <w:lang w:val="en-GB"/>
        </w:rPr>
        <w:t xml:space="preserve">it </w:t>
      </w:r>
      <w:r w:rsidR="00C63B6D" w:rsidRPr="009F51DE">
        <w:rPr>
          <w:rFonts w:ascii="Arial" w:hAnsi="Arial" w:cs="Arial"/>
          <w:sz w:val="22"/>
          <w:szCs w:val="22"/>
          <w:lang w:val="en-GB"/>
        </w:rPr>
        <w:t xml:space="preserve">realizes the estate of the debtor. </w:t>
      </w:r>
    </w:p>
    <w:p w14:paraId="532709F3" w14:textId="5EACB3FD" w:rsidR="00FB52EE" w:rsidRPr="00FB52EE" w:rsidRDefault="00FB52EE" w:rsidP="002A37BB">
      <w:pPr>
        <w:jc w:val="both"/>
        <w:rPr>
          <w:rFonts w:asciiTheme="minorEastAsia" w:eastAsiaTheme="minorEastAsia" w:hAnsiTheme="minorEastAsia" w:cs="Arial"/>
          <w:color w:val="7B7B7B" w:themeColor="accent3" w:themeShade="BF"/>
          <w:sz w:val="22"/>
          <w:szCs w:val="22"/>
          <w:lang w:val="en-GB" w:eastAsia="zh-CN"/>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4283FB40" w:rsidR="009954B2" w:rsidRDefault="00C63B6D" w:rsidP="009F51DE">
      <w:pPr>
        <w:jc w:val="both"/>
        <w:rPr>
          <w:rFonts w:ascii="Arial" w:hAnsi="Arial" w:cs="Arial"/>
          <w:sz w:val="22"/>
          <w:szCs w:val="22"/>
          <w:lang w:val="en-GB"/>
        </w:rPr>
      </w:pPr>
      <w:r w:rsidRPr="009F51DE">
        <w:rPr>
          <w:rFonts w:ascii="Arial" w:hAnsi="Arial" w:cs="Arial"/>
          <w:sz w:val="22"/>
          <w:szCs w:val="22"/>
          <w:lang w:val="en-GB"/>
        </w:rPr>
        <w:t xml:space="preserve">EIR Recast introduces the articles of undertaking. The court of the main proceeding can prevent the open of a secondary proceeding by undertaking the creditors will receive the same treatment as if a secondary proceeding is opened. </w:t>
      </w:r>
    </w:p>
    <w:p w14:paraId="5C4AA735" w14:textId="77777777" w:rsidR="009F51DE" w:rsidRPr="009F51DE" w:rsidRDefault="009F51DE" w:rsidP="009F51DE">
      <w:pPr>
        <w:jc w:val="both"/>
        <w:rPr>
          <w:rFonts w:ascii="Arial" w:hAnsi="Arial" w:cs="Arial"/>
          <w:sz w:val="22"/>
          <w:szCs w:val="22"/>
          <w:lang w:val="en-GB"/>
        </w:rPr>
      </w:pPr>
    </w:p>
    <w:p w14:paraId="7F393D9A" w14:textId="31148461" w:rsidR="00C63B6D" w:rsidRPr="009F51DE" w:rsidRDefault="009E2CB8" w:rsidP="009F51DE">
      <w:pPr>
        <w:jc w:val="both"/>
        <w:rPr>
          <w:rFonts w:ascii="Arial" w:hAnsi="Arial" w:cs="Arial"/>
          <w:sz w:val="22"/>
          <w:szCs w:val="22"/>
          <w:lang w:val="en-GB"/>
        </w:rPr>
      </w:pPr>
      <w:r w:rsidRPr="009F51DE">
        <w:rPr>
          <w:rFonts w:ascii="Arial" w:hAnsi="Arial" w:cs="Arial"/>
          <w:sz w:val="22"/>
          <w:szCs w:val="22"/>
          <w:lang w:val="en-GB"/>
        </w:rPr>
        <w:t>According to Recital 45 of EIR Recast, t</w:t>
      </w:r>
      <w:r w:rsidR="00C63B6D" w:rsidRPr="009F51DE">
        <w:rPr>
          <w:rFonts w:ascii="Arial" w:hAnsi="Arial" w:cs="Arial"/>
          <w:sz w:val="22"/>
          <w:szCs w:val="22"/>
          <w:lang w:val="en-GB"/>
        </w:rPr>
        <w:t xml:space="preserve">he practitioner of the main proceeding could </w:t>
      </w:r>
      <w:r w:rsidRPr="009F51DE">
        <w:rPr>
          <w:rFonts w:ascii="Arial" w:hAnsi="Arial" w:cs="Arial"/>
          <w:sz w:val="22"/>
          <w:szCs w:val="22"/>
          <w:lang w:val="en-GB"/>
        </w:rPr>
        <w:t xml:space="preserve">apply to a foreign court to stay the opening of secondary insolvency proceedings. This preserves the efficiency of the stay granted in the main proceeding </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77777777" w:rsidR="00DD47EF" w:rsidRPr="005D2CD6"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024A332" w14:textId="33C986D9" w:rsidR="00544127" w:rsidRPr="009F51DE" w:rsidRDefault="00BB3F39" w:rsidP="002A37BB">
      <w:pPr>
        <w:jc w:val="both"/>
        <w:rPr>
          <w:rFonts w:ascii="Arial" w:hAnsi="Arial" w:cs="Arial"/>
          <w:color w:val="000000" w:themeColor="text1"/>
          <w:sz w:val="22"/>
          <w:szCs w:val="22"/>
          <w:lang w:val="en-GB"/>
        </w:rPr>
      </w:pPr>
      <w:r w:rsidRPr="009F51DE">
        <w:rPr>
          <w:rFonts w:ascii="Arial" w:hAnsi="Arial" w:cs="Arial"/>
          <w:color w:val="000000" w:themeColor="text1"/>
          <w:sz w:val="22"/>
          <w:szCs w:val="22"/>
          <w:lang w:val="en-GB"/>
        </w:rPr>
        <w:t>First, EIR Recast has responded the insolvency practice, in the following aspects.</w:t>
      </w:r>
    </w:p>
    <w:p w14:paraId="55470E8B" w14:textId="24CFB5C1" w:rsidR="00BB3F39" w:rsidRPr="009F51DE" w:rsidRDefault="00BB3F39" w:rsidP="00FD7CDB">
      <w:pPr>
        <w:pStyle w:val="a3"/>
        <w:numPr>
          <w:ilvl w:val="0"/>
          <w:numId w:val="12"/>
        </w:numPr>
        <w:jc w:val="both"/>
        <w:rPr>
          <w:rFonts w:ascii="Arial" w:eastAsiaTheme="minorEastAsia" w:hAnsi="Arial" w:cs="Arial"/>
          <w:color w:val="000000" w:themeColor="text1"/>
          <w:sz w:val="22"/>
          <w:szCs w:val="22"/>
          <w:lang w:val="en-GB" w:eastAsia="zh-CN"/>
        </w:rPr>
      </w:pPr>
      <w:r w:rsidRPr="009F51DE">
        <w:rPr>
          <w:rFonts w:ascii="Arial" w:eastAsiaTheme="minorEastAsia" w:hAnsi="Arial" w:cs="Arial" w:hint="eastAsia"/>
          <w:color w:val="000000" w:themeColor="text1"/>
          <w:sz w:val="22"/>
          <w:szCs w:val="22"/>
          <w:lang w:val="en-GB" w:eastAsia="zh-CN"/>
        </w:rPr>
        <w:t>I</w:t>
      </w:r>
      <w:r w:rsidRPr="009F51DE">
        <w:rPr>
          <w:rFonts w:ascii="Arial" w:eastAsiaTheme="minorEastAsia" w:hAnsi="Arial" w:cs="Arial"/>
          <w:color w:val="000000" w:themeColor="text1"/>
          <w:sz w:val="22"/>
          <w:szCs w:val="22"/>
          <w:lang w:val="en-GB" w:eastAsia="zh-CN"/>
        </w:rPr>
        <w:t xml:space="preserve">t has broadened the scope of restructuring proceeding. It raises the efficiency of </w:t>
      </w:r>
      <w:r w:rsidR="00B22DDC" w:rsidRPr="009F51DE">
        <w:rPr>
          <w:rFonts w:ascii="Arial" w:eastAsiaTheme="minorEastAsia" w:hAnsi="Arial" w:cs="Arial"/>
          <w:color w:val="000000" w:themeColor="text1"/>
          <w:sz w:val="22"/>
          <w:szCs w:val="22"/>
          <w:lang w:val="en-GB" w:eastAsia="zh-CN"/>
        </w:rPr>
        <w:t>early-stage</w:t>
      </w:r>
      <w:r w:rsidRPr="009F51DE">
        <w:rPr>
          <w:rFonts w:ascii="Arial" w:eastAsiaTheme="minorEastAsia" w:hAnsi="Arial" w:cs="Arial"/>
          <w:color w:val="000000" w:themeColor="text1"/>
          <w:sz w:val="22"/>
          <w:szCs w:val="22"/>
          <w:lang w:val="en-GB" w:eastAsia="zh-CN"/>
        </w:rPr>
        <w:t xml:space="preserve"> restructuring, improve the negotiation process; facilitate the continuation of the debtor’s business during the restructuring proceeding and prevent dissenting creditors from destroying the attempt to restructure.</w:t>
      </w:r>
    </w:p>
    <w:p w14:paraId="7695BEB0" w14:textId="77777777" w:rsidR="00BB3F39" w:rsidRPr="009F51DE" w:rsidRDefault="00BB3F39" w:rsidP="00FD7CDB">
      <w:pPr>
        <w:pStyle w:val="a3"/>
        <w:numPr>
          <w:ilvl w:val="0"/>
          <w:numId w:val="12"/>
        </w:numPr>
        <w:jc w:val="both"/>
        <w:rPr>
          <w:rFonts w:ascii="Arial" w:eastAsiaTheme="minorEastAsia" w:hAnsi="Arial" w:cs="Arial"/>
          <w:color w:val="000000" w:themeColor="text1"/>
          <w:sz w:val="22"/>
          <w:szCs w:val="22"/>
          <w:lang w:val="en-GB" w:eastAsia="zh-CN"/>
        </w:rPr>
      </w:pPr>
      <w:r w:rsidRPr="009F51DE">
        <w:rPr>
          <w:rFonts w:ascii="Arial" w:eastAsiaTheme="minorEastAsia" w:hAnsi="Arial" w:cs="Arial" w:hint="eastAsia"/>
          <w:color w:val="000000" w:themeColor="text1"/>
          <w:sz w:val="22"/>
          <w:szCs w:val="22"/>
          <w:lang w:val="en-GB" w:eastAsia="zh-CN"/>
        </w:rPr>
        <w:t>I</w:t>
      </w:r>
      <w:r w:rsidRPr="009F51DE">
        <w:rPr>
          <w:rFonts w:ascii="Arial" w:eastAsiaTheme="minorEastAsia" w:hAnsi="Arial" w:cs="Arial"/>
          <w:color w:val="000000" w:themeColor="text1"/>
          <w:sz w:val="22"/>
          <w:szCs w:val="22"/>
          <w:lang w:val="en-GB" w:eastAsia="zh-CN"/>
        </w:rPr>
        <w:t>t strengthens the cooperation in insolvency proceeding, especially the cooperation between courts and courts, courts and practitioners.</w:t>
      </w:r>
    </w:p>
    <w:p w14:paraId="20276E9C" w14:textId="77777777" w:rsidR="00FD7CDB" w:rsidRPr="009F51DE" w:rsidRDefault="00BB3F39" w:rsidP="00FD7CDB">
      <w:pPr>
        <w:pStyle w:val="a3"/>
        <w:numPr>
          <w:ilvl w:val="0"/>
          <w:numId w:val="12"/>
        </w:numPr>
        <w:jc w:val="both"/>
        <w:rPr>
          <w:rFonts w:ascii="Arial" w:eastAsiaTheme="minorEastAsia" w:hAnsi="Arial" w:cs="Arial"/>
          <w:color w:val="000000" w:themeColor="text1"/>
          <w:sz w:val="22"/>
          <w:szCs w:val="22"/>
          <w:lang w:val="en-GB" w:eastAsia="zh-CN"/>
        </w:rPr>
      </w:pPr>
      <w:r w:rsidRPr="009F51DE">
        <w:rPr>
          <w:rFonts w:ascii="Arial" w:eastAsiaTheme="minorEastAsia" w:hAnsi="Arial" w:cs="Arial"/>
          <w:color w:val="000000" w:themeColor="text1"/>
          <w:sz w:val="22"/>
          <w:szCs w:val="22"/>
          <w:lang w:val="en-GB" w:eastAsia="zh-CN"/>
        </w:rPr>
        <w:t>It adds possibility of proceeding with regard to members of same group, based on structured cooperation</w:t>
      </w:r>
      <w:r w:rsidR="00FD7CDB" w:rsidRPr="009F51DE">
        <w:rPr>
          <w:rFonts w:ascii="Arial" w:eastAsiaTheme="minorEastAsia" w:hAnsi="Arial" w:cs="Arial"/>
          <w:color w:val="000000" w:themeColor="text1"/>
          <w:sz w:val="22"/>
          <w:szCs w:val="22"/>
          <w:lang w:val="en-GB" w:eastAsia="zh-CN"/>
        </w:rPr>
        <w:t xml:space="preserve"> and respect to limited responsibility of entities. </w:t>
      </w:r>
    </w:p>
    <w:p w14:paraId="43E030F8" w14:textId="77777777" w:rsidR="00FD7CDB" w:rsidRPr="009F51DE" w:rsidRDefault="00FD7CDB" w:rsidP="002A37BB">
      <w:pPr>
        <w:jc w:val="both"/>
        <w:rPr>
          <w:rFonts w:ascii="Arial" w:eastAsiaTheme="minorEastAsia" w:hAnsi="Arial" w:cs="Arial"/>
          <w:color w:val="000000" w:themeColor="text1"/>
          <w:sz w:val="22"/>
          <w:szCs w:val="22"/>
          <w:lang w:val="en-GB" w:eastAsia="zh-CN"/>
        </w:rPr>
      </w:pPr>
    </w:p>
    <w:p w14:paraId="73E2E2F8" w14:textId="61A0B290" w:rsidR="00FD7CDB" w:rsidRPr="009F51DE" w:rsidRDefault="00FD7CDB" w:rsidP="002A37BB">
      <w:pPr>
        <w:jc w:val="both"/>
        <w:rPr>
          <w:rFonts w:ascii="Arial" w:eastAsiaTheme="minorEastAsia" w:hAnsi="Arial" w:cs="Arial"/>
          <w:color w:val="000000" w:themeColor="text1"/>
          <w:sz w:val="22"/>
          <w:szCs w:val="22"/>
          <w:lang w:val="en-GB" w:eastAsia="zh-CN"/>
        </w:rPr>
      </w:pPr>
      <w:r w:rsidRPr="009F51DE">
        <w:rPr>
          <w:rFonts w:ascii="Arial" w:eastAsiaTheme="minorEastAsia" w:hAnsi="Arial" w:cs="Arial"/>
          <w:color w:val="000000" w:themeColor="text1"/>
          <w:sz w:val="22"/>
          <w:szCs w:val="22"/>
          <w:lang w:val="en-GB" w:eastAsia="zh-CN"/>
        </w:rPr>
        <w:lastRenderedPageBreak/>
        <w:t xml:space="preserve">Second, it improves the accessibility of information for creditors, helps establish a decentralised insolvency registration system, making it possible for creditors to get information of bankruptcy from all Europe countries using one </w:t>
      </w:r>
      <w:r w:rsidR="00B22DDC">
        <w:rPr>
          <w:rFonts w:ascii="Arial" w:eastAsiaTheme="minorEastAsia" w:hAnsi="Arial" w:cs="Arial"/>
          <w:color w:val="000000" w:themeColor="text1"/>
          <w:sz w:val="22"/>
          <w:szCs w:val="22"/>
          <w:lang w:val="en-GB" w:eastAsia="zh-CN"/>
        </w:rPr>
        <w:t>source of insolvency information</w:t>
      </w:r>
      <w:r w:rsidRPr="009F51DE">
        <w:rPr>
          <w:rFonts w:ascii="Arial" w:eastAsiaTheme="minorEastAsia" w:hAnsi="Arial" w:cs="Arial"/>
          <w:color w:val="000000" w:themeColor="text1"/>
          <w:sz w:val="22"/>
          <w:szCs w:val="22"/>
          <w:lang w:val="en-GB" w:eastAsia="zh-CN"/>
        </w:rPr>
        <w:t xml:space="preserve">. </w:t>
      </w:r>
    </w:p>
    <w:p w14:paraId="0AFB0464" w14:textId="77777777" w:rsidR="00FD7CDB" w:rsidRPr="009F51DE" w:rsidRDefault="00FD7CDB" w:rsidP="002A37BB">
      <w:pPr>
        <w:jc w:val="both"/>
        <w:rPr>
          <w:rFonts w:ascii="Arial" w:eastAsiaTheme="minorEastAsia" w:hAnsi="Arial" w:cs="Arial"/>
          <w:color w:val="000000" w:themeColor="text1"/>
          <w:sz w:val="22"/>
          <w:szCs w:val="22"/>
          <w:lang w:val="en-GB" w:eastAsia="zh-CN"/>
        </w:rPr>
      </w:pPr>
    </w:p>
    <w:p w14:paraId="78B62BFB" w14:textId="4DF03A9A" w:rsidR="00BB3F39" w:rsidRPr="009F51DE" w:rsidRDefault="00FD7CDB" w:rsidP="002A37BB">
      <w:pPr>
        <w:jc w:val="both"/>
        <w:rPr>
          <w:rFonts w:ascii="Arial" w:eastAsiaTheme="minorEastAsia" w:hAnsi="Arial" w:cs="Arial"/>
          <w:color w:val="000000" w:themeColor="text1"/>
          <w:sz w:val="22"/>
          <w:szCs w:val="22"/>
          <w:lang w:eastAsia="zh-CN"/>
        </w:rPr>
      </w:pPr>
      <w:r w:rsidRPr="009F51DE">
        <w:rPr>
          <w:rFonts w:ascii="Arial" w:eastAsiaTheme="minorEastAsia" w:hAnsi="Arial" w:cs="Arial"/>
          <w:color w:val="000000" w:themeColor="text1"/>
          <w:sz w:val="22"/>
          <w:szCs w:val="22"/>
          <w:lang w:val="en-GB" w:eastAsia="zh-CN"/>
        </w:rPr>
        <w:t>Third, it adds some new rules following the development of other areas of law such as data protection.</w:t>
      </w:r>
      <w:r w:rsidR="00BB3F39" w:rsidRPr="009F51DE">
        <w:rPr>
          <w:rFonts w:ascii="Arial" w:eastAsiaTheme="minorEastAsia" w:hAnsi="Arial" w:cs="Arial"/>
          <w:color w:val="000000" w:themeColor="text1"/>
          <w:sz w:val="22"/>
          <w:szCs w:val="22"/>
          <w:lang w:val="en-GB" w:eastAsia="zh-CN"/>
        </w:rPr>
        <w:t xml:space="preserve"> </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940D274" w14:textId="1907F3EE" w:rsidR="00DF75F8" w:rsidRPr="00B22DDC" w:rsidRDefault="00995783" w:rsidP="002A37BB">
      <w:pPr>
        <w:jc w:val="both"/>
        <w:rPr>
          <w:rFonts w:ascii="Arial" w:hAnsi="Arial" w:cs="Arial"/>
          <w:color w:val="000000" w:themeColor="text1"/>
          <w:sz w:val="22"/>
          <w:szCs w:val="22"/>
          <w:lang w:val="en-GB"/>
        </w:rPr>
      </w:pPr>
      <w:r w:rsidRPr="00B22DDC">
        <w:rPr>
          <w:rFonts w:ascii="Arial" w:hAnsi="Arial" w:cs="Arial"/>
          <w:color w:val="000000" w:themeColor="text1"/>
          <w:sz w:val="22"/>
          <w:szCs w:val="22"/>
          <w:lang w:val="en-GB"/>
        </w:rPr>
        <w:t xml:space="preserve">First, Article 36 of EIR Recast introduces a mechanism for the practitioner of the main insolvency proceeding to give an undertaking to avoid the open of secondary proceedings to </w:t>
      </w:r>
      <w:r w:rsidR="00293D9C" w:rsidRPr="00B22DDC">
        <w:rPr>
          <w:rFonts w:ascii="Arial" w:hAnsi="Arial" w:cs="Arial"/>
          <w:color w:val="000000" w:themeColor="text1"/>
          <w:sz w:val="22"/>
          <w:szCs w:val="22"/>
          <w:lang w:val="en-GB"/>
        </w:rPr>
        <w:t xml:space="preserve">guarantee the centralised management of cross border cases. The rule allows the practitioner of the main proceeding to make a promise that the creditors in certain country will receive the same treatment as if the secondary proceeding is opened in that country. </w:t>
      </w:r>
    </w:p>
    <w:p w14:paraId="2017A933" w14:textId="46C2D461" w:rsidR="00293D9C" w:rsidRPr="00B22DDC" w:rsidRDefault="00293D9C" w:rsidP="002A37BB">
      <w:pPr>
        <w:jc w:val="both"/>
        <w:rPr>
          <w:rFonts w:ascii="Arial" w:hAnsi="Arial" w:cs="Arial"/>
          <w:color w:val="000000" w:themeColor="text1"/>
          <w:sz w:val="22"/>
          <w:szCs w:val="22"/>
          <w:lang w:val="en-GB"/>
        </w:rPr>
      </w:pPr>
    </w:p>
    <w:p w14:paraId="3B5A78B0" w14:textId="73A65520" w:rsidR="00293D9C" w:rsidRPr="00B22DDC" w:rsidRDefault="00293D9C" w:rsidP="002A37BB">
      <w:pPr>
        <w:jc w:val="both"/>
        <w:rPr>
          <w:rFonts w:ascii="Arial" w:eastAsiaTheme="minorEastAsia" w:hAnsi="Arial" w:cs="Arial"/>
          <w:color w:val="000000" w:themeColor="text1"/>
          <w:sz w:val="22"/>
          <w:szCs w:val="22"/>
          <w:lang w:val="en-GB" w:eastAsia="zh-CN"/>
        </w:rPr>
      </w:pPr>
      <w:r w:rsidRPr="00B22DDC">
        <w:rPr>
          <w:rFonts w:ascii="Arial" w:eastAsiaTheme="minorEastAsia" w:hAnsi="Arial" w:cs="Arial"/>
          <w:color w:val="000000" w:themeColor="text1"/>
          <w:sz w:val="22"/>
          <w:szCs w:val="22"/>
          <w:lang w:val="en-GB" w:eastAsia="zh-CN"/>
        </w:rPr>
        <w:t>Second,</w:t>
      </w:r>
      <w:r w:rsidR="00411DB6" w:rsidRPr="00B22DDC">
        <w:rPr>
          <w:rFonts w:ascii="Arial" w:eastAsiaTheme="minorEastAsia" w:hAnsi="Arial" w:cs="Arial"/>
          <w:color w:val="000000" w:themeColor="text1"/>
          <w:sz w:val="22"/>
          <w:szCs w:val="22"/>
          <w:lang w:val="en-GB" w:eastAsia="zh-CN"/>
        </w:rPr>
        <w:t xml:space="preserve"> EIR Recast introduces Recital 53, making it possible for jurisdictional consolidation for member company of same group. It will make the administration of a cross-border case more efficient because the same insolvency representative could be appointed under the same jurisdiction.  But the precondition is that each COMI of</w:t>
      </w:r>
      <w:r w:rsidR="00246567" w:rsidRPr="00B22DDC">
        <w:rPr>
          <w:rFonts w:ascii="Arial" w:eastAsiaTheme="minorEastAsia" w:hAnsi="Arial" w:cs="Arial"/>
          <w:color w:val="000000" w:themeColor="text1"/>
          <w:sz w:val="22"/>
          <w:szCs w:val="22"/>
          <w:lang w:val="en-GB" w:eastAsia="zh-CN"/>
        </w:rPr>
        <w:t xml:space="preserve"> </w:t>
      </w:r>
      <w:r w:rsidR="00411DB6" w:rsidRPr="00B22DDC">
        <w:rPr>
          <w:rFonts w:ascii="Arial" w:eastAsiaTheme="minorEastAsia" w:hAnsi="Arial" w:cs="Arial"/>
          <w:color w:val="000000" w:themeColor="text1"/>
          <w:sz w:val="22"/>
          <w:szCs w:val="22"/>
          <w:lang w:val="en-GB" w:eastAsia="zh-CN"/>
        </w:rPr>
        <w:t xml:space="preserve">these member companies must locate in the same EU countries. There </w:t>
      </w:r>
      <w:r w:rsidR="00246567" w:rsidRPr="00B22DDC">
        <w:rPr>
          <w:rFonts w:ascii="Arial" w:eastAsiaTheme="minorEastAsia" w:hAnsi="Arial" w:cs="Arial"/>
          <w:color w:val="000000" w:themeColor="text1"/>
          <w:sz w:val="22"/>
          <w:szCs w:val="22"/>
          <w:lang w:val="en-GB" w:eastAsia="zh-CN"/>
        </w:rPr>
        <w:t>is still no concept of group COMI, but it is still a great leap forward a more efficient management of cross-border group insolvency cases.</w:t>
      </w:r>
    </w:p>
    <w:p w14:paraId="4F1CAB7A" w14:textId="19EB5518" w:rsidR="00246567" w:rsidRPr="00B22DDC" w:rsidRDefault="00246567" w:rsidP="002A37BB">
      <w:pPr>
        <w:jc w:val="both"/>
        <w:rPr>
          <w:rFonts w:ascii="Arial" w:eastAsiaTheme="minorEastAsia" w:hAnsi="Arial" w:cs="Arial"/>
          <w:color w:val="000000" w:themeColor="text1"/>
          <w:sz w:val="22"/>
          <w:szCs w:val="22"/>
          <w:lang w:val="en-GB" w:eastAsia="zh-CN"/>
        </w:rPr>
      </w:pPr>
    </w:p>
    <w:p w14:paraId="742C312A" w14:textId="09902352" w:rsidR="00246567" w:rsidRPr="00B22DDC" w:rsidRDefault="00246567" w:rsidP="002A37BB">
      <w:pPr>
        <w:jc w:val="both"/>
        <w:rPr>
          <w:rFonts w:ascii="Arial" w:eastAsiaTheme="minorEastAsia" w:hAnsi="Arial" w:cs="Arial"/>
          <w:color w:val="000000" w:themeColor="text1"/>
          <w:sz w:val="22"/>
          <w:szCs w:val="22"/>
          <w:lang w:val="en-GB" w:eastAsia="zh-CN"/>
        </w:rPr>
      </w:pPr>
      <w:r w:rsidRPr="00B22DDC">
        <w:rPr>
          <w:rFonts w:ascii="Arial" w:eastAsiaTheme="minorEastAsia" w:hAnsi="Arial" w:cs="Arial" w:hint="eastAsia"/>
          <w:color w:val="000000" w:themeColor="text1"/>
          <w:sz w:val="22"/>
          <w:szCs w:val="22"/>
          <w:lang w:val="en-GB" w:eastAsia="zh-CN"/>
        </w:rPr>
        <w:t>T</w:t>
      </w:r>
      <w:r w:rsidRPr="00B22DDC">
        <w:rPr>
          <w:rFonts w:ascii="Arial" w:eastAsiaTheme="minorEastAsia" w:hAnsi="Arial" w:cs="Arial"/>
          <w:color w:val="000000" w:themeColor="text1"/>
          <w:sz w:val="22"/>
          <w:szCs w:val="22"/>
          <w:lang w:val="en-GB" w:eastAsia="zh-CN"/>
        </w:rPr>
        <w:t xml:space="preserve">hird, Article 24 and 25 of EIR Recast help build a </w:t>
      </w:r>
      <w:r w:rsidR="00A96BEE" w:rsidRPr="00B22DDC">
        <w:rPr>
          <w:rFonts w:ascii="Arial" w:eastAsiaTheme="minorEastAsia" w:hAnsi="Arial" w:cs="Arial"/>
          <w:color w:val="000000" w:themeColor="text1"/>
          <w:sz w:val="22"/>
          <w:szCs w:val="22"/>
          <w:lang w:val="en-GB" w:eastAsia="zh-CN"/>
        </w:rPr>
        <w:t xml:space="preserve">centralised registration system </w:t>
      </w:r>
      <w:r w:rsidR="00A96BEE" w:rsidRPr="00B22DDC">
        <w:rPr>
          <w:rFonts w:ascii="Arial" w:eastAsiaTheme="minorEastAsia" w:hAnsi="Arial" w:cs="Arial" w:hint="eastAsia"/>
          <w:color w:val="000000" w:themeColor="text1"/>
          <w:sz w:val="22"/>
          <w:szCs w:val="22"/>
          <w:lang w:val="en-GB" w:eastAsia="zh-CN"/>
        </w:rPr>
        <w:t>for</w:t>
      </w:r>
      <w:r w:rsidR="00A96BEE" w:rsidRPr="00B22DDC">
        <w:rPr>
          <w:rFonts w:ascii="Arial" w:eastAsiaTheme="minorEastAsia" w:hAnsi="Arial" w:cs="Arial"/>
          <w:color w:val="000000" w:themeColor="text1"/>
          <w:sz w:val="22"/>
          <w:szCs w:val="22"/>
          <w:lang w:val="en-GB" w:eastAsia="zh-CN"/>
        </w:rPr>
        <w:t xml:space="preserve"> </w:t>
      </w:r>
      <w:r w:rsidR="00A96BEE" w:rsidRPr="00B22DDC">
        <w:rPr>
          <w:rFonts w:ascii="Arial" w:eastAsiaTheme="minorEastAsia" w:hAnsi="Arial" w:cs="Arial" w:hint="eastAsia"/>
          <w:color w:val="000000" w:themeColor="text1"/>
          <w:sz w:val="22"/>
          <w:szCs w:val="22"/>
          <w:lang w:val="en-GB" w:eastAsia="zh-CN"/>
        </w:rPr>
        <w:t>insolvency</w:t>
      </w:r>
      <w:r w:rsidR="00A96BEE" w:rsidRPr="00B22DDC">
        <w:rPr>
          <w:rFonts w:ascii="Arial" w:eastAsiaTheme="minorEastAsia" w:hAnsi="Arial" w:cs="Arial"/>
          <w:color w:val="000000" w:themeColor="text1"/>
          <w:sz w:val="22"/>
          <w:szCs w:val="22"/>
          <w:lang w:val="en-GB" w:eastAsia="zh-CN"/>
        </w:rPr>
        <w:t xml:space="preserve"> </w:t>
      </w:r>
      <w:r w:rsidR="00A96BEE" w:rsidRPr="00B22DDC">
        <w:rPr>
          <w:rFonts w:ascii="Arial" w:eastAsiaTheme="minorEastAsia" w:hAnsi="Arial" w:cs="Arial" w:hint="eastAsia"/>
          <w:color w:val="000000" w:themeColor="text1"/>
          <w:sz w:val="22"/>
          <w:szCs w:val="22"/>
          <w:lang w:val="en-GB" w:eastAsia="zh-CN"/>
        </w:rPr>
        <w:t>cases</w:t>
      </w:r>
      <w:r w:rsidR="00A96BEE" w:rsidRPr="00B22DDC">
        <w:rPr>
          <w:rFonts w:ascii="Arial" w:eastAsiaTheme="minorEastAsia" w:hAnsi="Arial" w:cs="Arial"/>
          <w:color w:val="000000" w:themeColor="text1"/>
          <w:sz w:val="22"/>
          <w:szCs w:val="22"/>
          <w:lang w:val="en-GB" w:eastAsia="zh-CN"/>
        </w:rPr>
        <w:t xml:space="preserve"> </w:t>
      </w:r>
      <w:r w:rsidR="00A96BEE" w:rsidRPr="00B22DDC">
        <w:rPr>
          <w:rFonts w:ascii="Arial" w:eastAsiaTheme="minorEastAsia" w:hAnsi="Arial" w:cs="Arial" w:hint="eastAsia"/>
          <w:color w:val="000000" w:themeColor="text1"/>
          <w:sz w:val="22"/>
          <w:szCs w:val="22"/>
          <w:lang w:val="en-GB" w:eastAsia="zh-CN"/>
        </w:rPr>
        <w:t>open</w:t>
      </w:r>
      <w:r w:rsidR="00A96BEE" w:rsidRPr="00B22DDC">
        <w:rPr>
          <w:rFonts w:ascii="Arial" w:eastAsiaTheme="minorEastAsia" w:hAnsi="Arial" w:cs="Arial"/>
          <w:color w:val="000000" w:themeColor="text1"/>
          <w:sz w:val="22"/>
          <w:szCs w:val="22"/>
          <w:lang w:val="en-GB" w:eastAsia="zh-CN"/>
        </w:rPr>
        <w:t xml:space="preserve"> </w:t>
      </w:r>
      <w:r w:rsidR="00A96BEE" w:rsidRPr="00B22DDC">
        <w:rPr>
          <w:rFonts w:ascii="Arial" w:eastAsiaTheme="minorEastAsia" w:hAnsi="Arial" w:cs="Arial" w:hint="eastAsia"/>
          <w:color w:val="000000" w:themeColor="text1"/>
          <w:sz w:val="22"/>
          <w:szCs w:val="22"/>
          <w:lang w:val="en-GB" w:eastAsia="zh-CN"/>
        </w:rPr>
        <w:t>in</w:t>
      </w:r>
      <w:r w:rsidR="00A96BEE" w:rsidRPr="00B22DDC">
        <w:rPr>
          <w:rFonts w:ascii="Arial" w:eastAsiaTheme="minorEastAsia" w:hAnsi="Arial" w:cs="Arial"/>
          <w:color w:val="000000" w:themeColor="text1"/>
          <w:sz w:val="22"/>
          <w:szCs w:val="22"/>
          <w:lang w:val="en-GB" w:eastAsia="zh-CN"/>
        </w:rPr>
        <w:t xml:space="preserve"> </w:t>
      </w:r>
      <w:r w:rsidR="00A96BEE" w:rsidRPr="00B22DDC">
        <w:rPr>
          <w:rFonts w:ascii="Arial" w:eastAsiaTheme="minorEastAsia" w:hAnsi="Arial" w:cs="Arial" w:hint="eastAsia"/>
          <w:color w:val="000000" w:themeColor="text1"/>
          <w:sz w:val="22"/>
          <w:szCs w:val="22"/>
          <w:lang w:val="en-GB" w:eastAsia="zh-CN"/>
        </w:rPr>
        <w:t>EU</w:t>
      </w:r>
      <w:r w:rsidR="00A96BEE" w:rsidRPr="00B22DDC">
        <w:rPr>
          <w:rFonts w:ascii="Arial" w:eastAsiaTheme="minorEastAsia" w:hAnsi="Arial" w:cs="Arial"/>
          <w:color w:val="000000" w:themeColor="text1"/>
          <w:sz w:val="22"/>
          <w:szCs w:val="22"/>
          <w:lang w:val="en-GB" w:eastAsia="zh-CN"/>
        </w:rPr>
        <w:t xml:space="preserve">. It has determined the minimum amount of information to be published in the insolvency registers, making creditors out the proceeding countries could have quick access to the information and file the claim promptly.  </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69C87A1A" w:rsidR="00DF75F8" w:rsidRDefault="00C7321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shortcomings in EIR Recast with regard to group insolvency.</w:t>
      </w:r>
    </w:p>
    <w:p w14:paraId="4B01187A" w14:textId="0414E2C8" w:rsidR="00C73211" w:rsidRDefault="00C73211" w:rsidP="002A37BB">
      <w:pPr>
        <w:jc w:val="both"/>
        <w:rPr>
          <w:rFonts w:ascii="Arial" w:hAnsi="Arial" w:cs="Arial"/>
          <w:color w:val="7B7B7B" w:themeColor="accent3" w:themeShade="BF"/>
          <w:sz w:val="22"/>
          <w:szCs w:val="22"/>
          <w:lang w:val="en-GB"/>
        </w:rPr>
      </w:pPr>
    </w:p>
    <w:p w14:paraId="55B1AF17" w14:textId="77777777" w:rsidR="005310E9" w:rsidRDefault="00C73211" w:rsidP="002A37BB">
      <w:pPr>
        <w:jc w:val="both"/>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F</w:t>
      </w:r>
      <w:r>
        <w:rPr>
          <w:rFonts w:ascii="Arial" w:eastAsiaTheme="minorEastAsia" w:hAnsi="Arial" w:cs="Arial"/>
          <w:sz w:val="22"/>
          <w:szCs w:val="22"/>
          <w:lang w:val="en-GB" w:eastAsia="zh-CN"/>
        </w:rPr>
        <w:t xml:space="preserve">irst, EIR Recast only offers a voluntary coordination mechanism for group insolvency. </w:t>
      </w:r>
      <w:r>
        <w:rPr>
          <w:rFonts w:ascii="Arial" w:eastAsiaTheme="minorEastAsia" w:hAnsi="Arial" w:cs="Arial" w:hint="eastAsia"/>
          <w:sz w:val="22"/>
          <w:szCs w:val="22"/>
          <w:lang w:val="en-GB" w:eastAsia="zh-CN"/>
        </w:rPr>
        <w:t>The action</w:t>
      </w:r>
      <w:r>
        <w:rPr>
          <w:rFonts w:ascii="Arial" w:eastAsiaTheme="minorEastAsia" w:hAnsi="Arial" w:cs="Arial"/>
          <w:sz w:val="22"/>
          <w:szCs w:val="22"/>
          <w:lang w:val="en-GB" w:eastAsia="zh-CN"/>
        </w:rPr>
        <w:t xml:space="preserve"> </w:t>
      </w:r>
      <w:r>
        <w:rPr>
          <w:rFonts w:ascii="Arial" w:eastAsiaTheme="minorEastAsia" w:hAnsi="Arial" w:cs="Arial" w:hint="eastAsia"/>
          <w:sz w:val="22"/>
          <w:szCs w:val="22"/>
          <w:lang w:val="en-GB" w:eastAsia="zh-CN"/>
        </w:rPr>
        <w:t>o</w:t>
      </w:r>
      <w:r>
        <w:rPr>
          <w:rFonts w:ascii="Arial" w:eastAsiaTheme="minorEastAsia" w:hAnsi="Arial" w:cs="Arial"/>
          <w:sz w:val="22"/>
          <w:szCs w:val="22"/>
          <w:lang w:val="en-GB" w:eastAsia="zh-CN"/>
        </w:rPr>
        <w:t xml:space="preserve">f a group coordinator has no binding power. </w:t>
      </w:r>
      <w:r>
        <w:rPr>
          <w:rFonts w:ascii="Arial" w:eastAsiaTheme="minorEastAsia" w:hAnsi="Arial" w:cs="Arial" w:hint="eastAsia"/>
          <w:sz w:val="22"/>
          <w:szCs w:val="22"/>
          <w:lang w:val="en-GB" w:eastAsia="zh-CN"/>
        </w:rPr>
        <w:t>What</w:t>
      </w:r>
      <w:r>
        <w:rPr>
          <w:rFonts w:ascii="Arial" w:eastAsiaTheme="minorEastAsia" w:hAnsi="Arial" w:cs="Arial"/>
          <w:sz w:val="22"/>
          <w:szCs w:val="22"/>
          <w:lang w:val="en-GB" w:eastAsia="zh-CN"/>
        </w:rPr>
        <w:t xml:space="preserve"> </w:t>
      </w:r>
      <w:r>
        <w:rPr>
          <w:rFonts w:ascii="Arial" w:eastAsiaTheme="minorEastAsia" w:hAnsi="Arial" w:cs="Arial" w:hint="eastAsia"/>
          <w:sz w:val="22"/>
          <w:szCs w:val="22"/>
          <w:lang w:val="en-GB" w:eastAsia="zh-CN"/>
        </w:rPr>
        <w:t>is</w:t>
      </w:r>
      <w:r>
        <w:rPr>
          <w:rFonts w:ascii="Arial" w:eastAsiaTheme="minorEastAsia" w:hAnsi="Arial" w:cs="Arial"/>
          <w:sz w:val="22"/>
          <w:szCs w:val="22"/>
          <w:lang w:val="en-GB" w:eastAsia="zh-CN"/>
        </w:rPr>
        <w:t xml:space="preserve"> </w:t>
      </w:r>
      <w:r>
        <w:rPr>
          <w:rFonts w:ascii="Arial" w:eastAsiaTheme="minorEastAsia" w:hAnsi="Arial" w:cs="Arial" w:hint="eastAsia"/>
          <w:sz w:val="22"/>
          <w:szCs w:val="22"/>
          <w:lang w:val="en-GB" w:eastAsia="zh-CN"/>
        </w:rPr>
        <w:t>more,</w:t>
      </w:r>
      <w:r>
        <w:rPr>
          <w:rFonts w:ascii="Arial" w:eastAsiaTheme="minorEastAsia" w:hAnsi="Arial" w:cs="Arial"/>
          <w:sz w:val="22"/>
          <w:szCs w:val="22"/>
          <w:lang w:val="en-GB" w:eastAsia="zh-CN"/>
        </w:rPr>
        <w:t xml:space="preserve"> if one of the member country is out of EU, the court out of EU is not bind by the EIR Recast. All above make EIR Recast toothless in dealing with group</w:t>
      </w:r>
      <w:r w:rsidR="005310E9">
        <w:rPr>
          <w:rFonts w:ascii="Arial" w:eastAsiaTheme="minorEastAsia" w:hAnsi="Arial" w:cs="Arial"/>
          <w:sz w:val="22"/>
          <w:szCs w:val="22"/>
          <w:lang w:val="en-GB" w:eastAsia="zh-CN"/>
        </w:rPr>
        <w:t xml:space="preserve"> insolvency. </w:t>
      </w:r>
    </w:p>
    <w:p w14:paraId="66A668AC" w14:textId="77777777" w:rsidR="005310E9" w:rsidRDefault="005310E9" w:rsidP="002A37BB">
      <w:pPr>
        <w:jc w:val="both"/>
        <w:rPr>
          <w:rFonts w:ascii="Arial" w:eastAsiaTheme="minorEastAsia" w:hAnsi="Arial" w:cs="Arial"/>
          <w:sz w:val="22"/>
          <w:szCs w:val="22"/>
          <w:lang w:val="en-GB" w:eastAsia="zh-CN"/>
        </w:rPr>
      </w:pPr>
    </w:p>
    <w:p w14:paraId="385842DF" w14:textId="77777777" w:rsidR="005310E9" w:rsidRDefault="005310E9" w:rsidP="002A37BB">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In my opinion, the next version of EIR should include the following mechanism.</w:t>
      </w:r>
    </w:p>
    <w:p w14:paraId="3830D87E" w14:textId="27EC3624" w:rsidR="00C73211" w:rsidRDefault="00B22DDC" w:rsidP="002A37BB">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 xml:space="preserve">1. </w:t>
      </w:r>
      <w:r w:rsidR="005310E9">
        <w:rPr>
          <w:rFonts w:ascii="Arial" w:eastAsiaTheme="minorEastAsia" w:hAnsi="Arial" w:cs="Arial"/>
          <w:sz w:val="22"/>
          <w:szCs w:val="22"/>
          <w:lang w:val="en-GB" w:eastAsia="zh-CN"/>
        </w:rPr>
        <w:t xml:space="preserve">The jurisdictional consolidation. Maybe substantive consolidation will be hard to </w:t>
      </w:r>
      <w:r w:rsidR="002179F9">
        <w:rPr>
          <w:rFonts w:ascii="Arial" w:eastAsiaTheme="minorEastAsia" w:hAnsi="Arial" w:cs="Arial"/>
          <w:sz w:val="22"/>
          <w:szCs w:val="22"/>
          <w:lang w:val="en-GB" w:eastAsia="zh-CN"/>
        </w:rPr>
        <w:t>realise</w:t>
      </w:r>
      <w:r w:rsidR="005310E9">
        <w:rPr>
          <w:rFonts w:ascii="Arial" w:eastAsiaTheme="minorEastAsia" w:hAnsi="Arial" w:cs="Arial"/>
          <w:sz w:val="22"/>
          <w:szCs w:val="22"/>
          <w:lang w:val="en-GB" w:eastAsia="zh-CN"/>
        </w:rPr>
        <w:t xml:space="preserve">, taking into consideration the difference of laws </w:t>
      </w:r>
      <w:r w:rsidR="002179F9">
        <w:rPr>
          <w:rFonts w:ascii="Arial" w:eastAsiaTheme="minorEastAsia" w:hAnsi="Arial" w:cs="Arial"/>
          <w:sz w:val="22"/>
          <w:szCs w:val="22"/>
          <w:lang w:val="en-GB" w:eastAsia="zh-CN"/>
        </w:rPr>
        <w:t xml:space="preserve">between </w:t>
      </w:r>
      <w:r w:rsidR="005310E9">
        <w:rPr>
          <w:rFonts w:ascii="Arial" w:eastAsiaTheme="minorEastAsia" w:hAnsi="Arial" w:cs="Arial"/>
          <w:sz w:val="22"/>
          <w:szCs w:val="22"/>
          <w:lang w:val="en-GB" w:eastAsia="zh-CN"/>
        </w:rPr>
        <w:t>countries. Jurisdictional consolidation could increase the efficiency of management of insolvency cases</w:t>
      </w:r>
      <w:r w:rsidR="002179F9">
        <w:rPr>
          <w:rFonts w:ascii="Arial" w:eastAsiaTheme="minorEastAsia" w:hAnsi="Arial" w:cs="Arial"/>
          <w:sz w:val="22"/>
          <w:szCs w:val="22"/>
          <w:lang w:val="en-GB" w:eastAsia="zh-CN"/>
        </w:rPr>
        <w:t>.</w:t>
      </w:r>
    </w:p>
    <w:p w14:paraId="0E764512" w14:textId="2BE5D008" w:rsidR="002179F9" w:rsidRDefault="00B22DDC" w:rsidP="002A37BB">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 xml:space="preserve">2. </w:t>
      </w:r>
      <w:r w:rsidR="002179F9">
        <w:rPr>
          <w:rFonts w:ascii="Arial" w:eastAsiaTheme="minorEastAsia" w:hAnsi="Arial" w:cs="Arial" w:hint="eastAsia"/>
          <w:sz w:val="22"/>
          <w:szCs w:val="22"/>
          <w:lang w:val="en-GB" w:eastAsia="zh-CN"/>
        </w:rPr>
        <w:t>T</w:t>
      </w:r>
      <w:r w:rsidR="002179F9">
        <w:rPr>
          <w:rFonts w:ascii="Arial" w:eastAsiaTheme="minorEastAsia" w:hAnsi="Arial" w:cs="Arial"/>
          <w:sz w:val="22"/>
          <w:szCs w:val="22"/>
          <w:lang w:val="en-GB" w:eastAsia="zh-CN"/>
        </w:rPr>
        <w:t>he concept of Group COMI. The use of SPV is quite common. If the COMI of each group members should be examined. The examination of COMIs of SPVs under current framework may undermine the efficiency of the proceeding. So, I think the concept of group COMI may help a lot in solving this problem.</w:t>
      </w:r>
    </w:p>
    <w:p w14:paraId="5FD8C326" w14:textId="77777777" w:rsidR="002179F9" w:rsidRDefault="002179F9" w:rsidP="002A37BB">
      <w:pPr>
        <w:jc w:val="both"/>
        <w:rPr>
          <w:rFonts w:ascii="Arial" w:eastAsiaTheme="minorEastAsia" w:hAnsi="Arial" w:cs="Arial"/>
          <w:sz w:val="22"/>
          <w:szCs w:val="22"/>
          <w:lang w:val="en-GB" w:eastAsia="zh-CN"/>
        </w:rPr>
      </w:pPr>
    </w:p>
    <w:p w14:paraId="65123B43" w14:textId="45C235DE" w:rsidR="002179F9" w:rsidRDefault="002179F9" w:rsidP="002A37BB">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 xml:space="preserve">Second, </w:t>
      </w:r>
      <w:r w:rsidR="00304F9A">
        <w:rPr>
          <w:rFonts w:ascii="Arial" w:eastAsiaTheme="minorEastAsia" w:hAnsi="Arial" w:cs="Arial"/>
          <w:sz w:val="22"/>
          <w:szCs w:val="22"/>
          <w:lang w:val="en-GB" w:eastAsia="zh-CN"/>
        </w:rPr>
        <w:t xml:space="preserve">in the mechanism of coordination of group insolvency increase the cost of the proceeding greatly. The initiation of an additional proceeding may cause complexity, for it adds a new layer in the proceeding. It makes the proceeding more time and money consuming. </w:t>
      </w:r>
    </w:p>
    <w:p w14:paraId="469971C5" w14:textId="07AE7088" w:rsidR="00304F9A" w:rsidRDefault="00304F9A" w:rsidP="002A37BB">
      <w:pPr>
        <w:jc w:val="both"/>
        <w:rPr>
          <w:rFonts w:ascii="Arial" w:eastAsiaTheme="minorEastAsia" w:hAnsi="Arial" w:cs="Arial"/>
          <w:sz w:val="22"/>
          <w:szCs w:val="22"/>
          <w:lang w:val="en-GB" w:eastAsia="zh-CN"/>
        </w:rPr>
      </w:pPr>
    </w:p>
    <w:p w14:paraId="4A1FBC57" w14:textId="0ACAA3AB" w:rsidR="00304F9A" w:rsidRPr="00C73211" w:rsidRDefault="00304F9A" w:rsidP="002A37BB">
      <w:pPr>
        <w:jc w:val="both"/>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T</w:t>
      </w:r>
      <w:r>
        <w:rPr>
          <w:rFonts w:ascii="Arial" w:eastAsiaTheme="minorEastAsia" w:hAnsi="Arial" w:cs="Arial"/>
          <w:sz w:val="22"/>
          <w:szCs w:val="22"/>
          <w:lang w:val="en-GB" w:eastAsia="zh-CN"/>
        </w:rPr>
        <w:t xml:space="preserve">he think it is better if the coordination could be created without adding the extra layer. The mechanism of coordination of each representative of group members can be created. The </w:t>
      </w:r>
      <w:r w:rsidR="00F7617A">
        <w:rPr>
          <w:rFonts w:ascii="Arial" w:eastAsiaTheme="minorEastAsia" w:hAnsi="Arial" w:cs="Arial"/>
          <w:sz w:val="22"/>
          <w:szCs w:val="22"/>
          <w:lang w:val="en-GB" w:eastAsia="zh-CN"/>
        </w:rPr>
        <w:t xml:space="preserve">insolvency </w:t>
      </w:r>
      <w:r>
        <w:rPr>
          <w:rFonts w:ascii="Arial" w:eastAsiaTheme="minorEastAsia" w:hAnsi="Arial" w:cs="Arial"/>
          <w:sz w:val="22"/>
          <w:szCs w:val="22"/>
          <w:lang w:val="en-GB" w:eastAsia="zh-CN"/>
        </w:rPr>
        <w:t>representative of</w:t>
      </w:r>
      <w:r w:rsidR="00F7617A">
        <w:rPr>
          <w:rFonts w:ascii="Arial" w:eastAsiaTheme="minorEastAsia" w:hAnsi="Arial" w:cs="Arial"/>
          <w:sz w:val="22"/>
          <w:szCs w:val="22"/>
          <w:lang w:val="en-GB" w:eastAsia="zh-CN"/>
        </w:rPr>
        <w:t xml:space="preserve"> the member company</w:t>
      </w:r>
      <w:r>
        <w:rPr>
          <w:rFonts w:ascii="Arial" w:eastAsiaTheme="minorEastAsia" w:hAnsi="Arial" w:cs="Arial"/>
          <w:sz w:val="22"/>
          <w:szCs w:val="22"/>
          <w:lang w:val="en-GB" w:eastAsia="zh-CN"/>
        </w:rPr>
        <w:t xml:space="preserve"> </w:t>
      </w:r>
      <w:r w:rsidR="00F7617A">
        <w:rPr>
          <w:rFonts w:ascii="Arial" w:eastAsiaTheme="minorEastAsia" w:hAnsi="Arial" w:cs="Arial"/>
          <w:sz w:val="22"/>
          <w:szCs w:val="22"/>
          <w:lang w:val="en-GB" w:eastAsia="zh-CN"/>
        </w:rPr>
        <w:t xml:space="preserve">where the </w:t>
      </w:r>
      <w:r>
        <w:rPr>
          <w:rFonts w:ascii="Arial" w:eastAsiaTheme="minorEastAsia" w:hAnsi="Arial" w:cs="Arial"/>
          <w:sz w:val="22"/>
          <w:szCs w:val="22"/>
          <w:lang w:val="en-GB" w:eastAsia="zh-CN"/>
        </w:rPr>
        <w:t>“</w:t>
      </w:r>
      <w:r w:rsidR="00F7617A">
        <w:rPr>
          <w:rFonts w:ascii="Arial" w:eastAsiaTheme="minorEastAsia" w:hAnsi="Arial" w:cs="Arial"/>
          <w:sz w:val="22"/>
          <w:szCs w:val="22"/>
          <w:lang w:val="en-GB" w:eastAsia="zh-CN"/>
        </w:rPr>
        <w:t>Group COMI</w:t>
      </w:r>
      <w:r>
        <w:rPr>
          <w:rFonts w:ascii="Arial" w:eastAsiaTheme="minorEastAsia" w:hAnsi="Arial" w:cs="Arial"/>
          <w:sz w:val="22"/>
          <w:szCs w:val="22"/>
          <w:lang w:val="en-GB" w:eastAsia="zh-CN"/>
        </w:rPr>
        <w:t>”</w:t>
      </w:r>
      <w:r w:rsidR="00F7617A">
        <w:rPr>
          <w:rFonts w:ascii="Arial" w:eastAsiaTheme="minorEastAsia" w:hAnsi="Arial" w:cs="Arial"/>
          <w:sz w:val="22"/>
          <w:szCs w:val="22"/>
          <w:lang w:val="en-GB" w:eastAsia="zh-CN"/>
        </w:rPr>
        <w:t xml:space="preserve"> locates could be empowered to coordinate the</w:t>
      </w:r>
      <w:r w:rsidR="00C4659A">
        <w:rPr>
          <w:rFonts w:ascii="Arial" w:eastAsiaTheme="minorEastAsia" w:hAnsi="Arial" w:cs="Arial"/>
          <w:sz w:val="22"/>
          <w:szCs w:val="22"/>
          <w:lang w:val="en-GB" w:eastAsia="zh-CN"/>
        </w:rPr>
        <w:t xml:space="preserve"> jurisdictional consolidation</w:t>
      </w:r>
      <w:r w:rsidR="00AC77AA">
        <w:rPr>
          <w:rFonts w:ascii="Arial" w:eastAsiaTheme="minorEastAsia" w:hAnsi="Arial" w:cs="Arial"/>
          <w:sz w:val="22"/>
          <w:szCs w:val="22"/>
          <w:lang w:val="en-GB" w:eastAsia="zh-CN"/>
        </w:rPr>
        <w:t xml:space="preserve">. </w:t>
      </w:r>
    </w:p>
    <w:p w14:paraId="4AE7EA78" w14:textId="24C76947" w:rsidR="007D7C92" w:rsidRPr="00C73211"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w:t>
      </w:r>
      <w:bookmarkStart w:id="0" w:name="_Hlk96259253"/>
      <w:r>
        <w:rPr>
          <w:rFonts w:ascii="Arial" w:hAnsi="Arial" w:cs="Arial"/>
          <w:sz w:val="22"/>
          <w:szCs w:val="22"/>
          <w:lang w:val="en-GB"/>
        </w:rPr>
        <w:t>has warehouses across Europe, including in Milan, Italy.</w:t>
      </w:r>
      <w:bookmarkEnd w:id="0"/>
      <w:r>
        <w:rPr>
          <w:rFonts w:ascii="Arial" w:hAnsi="Arial" w:cs="Arial"/>
          <w:sz w:val="22"/>
          <w:szCs w:val="22"/>
          <w:lang w:val="en-GB"/>
        </w:rPr>
        <w:t xml:space="preserve">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1"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4A288851" w14:textId="28B9DD0B" w:rsidR="003E4DB0" w:rsidRPr="002D5568" w:rsidRDefault="00085209" w:rsidP="002A37BB">
      <w:pPr>
        <w:jc w:val="both"/>
        <w:rPr>
          <w:rFonts w:ascii="Arial" w:hAnsi="Arial" w:cs="Arial"/>
          <w:color w:val="000000" w:themeColor="text1"/>
          <w:sz w:val="22"/>
          <w:szCs w:val="22"/>
          <w:lang w:val="en-GB"/>
        </w:rPr>
      </w:pPr>
      <w:r w:rsidRPr="002D5568">
        <w:rPr>
          <w:rFonts w:ascii="Arial" w:hAnsi="Arial" w:cs="Arial"/>
          <w:color w:val="000000" w:themeColor="text1"/>
          <w:sz w:val="22"/>
          <w:szCs w:val="22"/>
          <w:lang w:val="en-GB"/>
        </w:rPr>
        <w:t>Cardinal Home is registered in Ireland</w:t>
      </w:r>
      <w:r w:rsidR="0017618A" w:rsidRPr="002D5568">
        <w:rPr>
          <w:rFonts w:ascii="Arial" w:hAnsi="Arial" w:cs="Arial"/>
          <w:color w:val="000000" w:themeColor="text1"/>
          <w:sz w:val="22"/>
          <w:szCs w:val="22"/>
          <w:lang w:val="en-GB"/>
        </w:rPr>
        <w:t xml:space="preserve">, if there are adverse evidence that its COMI is in other country, we could assume Ireland is its COMI, and the court of Ireland has the international jurisdiction to initiate the main proceeding. Whether the Dublin High Court or other court within Ireland has the jurisdiction depends on the law of Ireland. </w:t>
      </w:r>
    </w:p>
    <w:p w14:paraId="7D61C6F5" w14:textId="2B1AAEA6" w:rsidR="0017618A" w:rsidRPr="002D5568" w:rsidRDefault="0017618A" w:rsidP="002A37BB">
      <w:pPr>
        <w:jc w:val="both"/>
        <w:rPr>
          <w:rFonts w:ascii="Arial" w:hAnsi="Arial" w:cs="Arial"/>
          <w:color w:val="000000" w:themeColor="text1"/>
          <w:sz w:val="22"/>
          <w:szCs w:val="22"/>
          <w:lang w:val="en-GB"/>
        </w:rPr>
      </w:pPr>
    </w:p>
    <w:p w14:paraId="44AF0D80" w14:textId="531B0E0A" w:rsidR="003E4DB0" w:rsidRPr="002D5568" w:rsidRDefault="0017618A" w:rsidP="002A37BB">
      <w:pPr>
        <w:jc w:val="both"/>
        <w:rPr>
          <w:rFonts w:ascii="Arial" w:hAnsi="Arial" w:cs="Arial"/>
          <w:color w:val="000000" w:themeColor="text1"/>
          <w:sz w:val="22"/>
          <w:szCs w:val="22"/>
          <w:lang w:val="en-GB"/>
        </w:rPr>
      </w:pPr>
      <w:r w:rsidRPr="002D5568">
        <w:rPr>
          <w:rFonts w:ascii="Arial" w:eastAsiaTheme="minorEastAsia" w:hAnsi="Arial" w:cs="Arial"/>
          <w:color w:val="000000" w:themeColor="text1"/>
          <w:sz w:val="22"/>
          <w:szCs w:val="22"/>
          <w:lang w:val="en-GB" w:eastAsia="zh-CN"/>
        </w:rPr>
        <w:t xml:space="preserve">Assume the Dublin High Court has the jurisdiction according to Ireland law, it has jurisdiction over insolvency issues with in EU (Denmark excepted). However, if a secondary insolvency proceeding opens in some EU countries, the local courts </w:t>
      </w:r>
      <w:r w:rsidR="00A26491" w:rsidRPr="002D5568">
        <w:rPr>
          <w:rFonts w:ascii="Arial" w:eastAsiaTheme="minorEastAsia" w:hAnsi="Arial" w:cs="Arial"/>
          <w:color w:val="000000" w:themeColor="text1"/>
          <w:sz w:val="22"/>
          <w:szCs w:val="22"/>
          <w:lang w:val="en-GB" w:eastAsia="zh-CN"/>
        </w:rPr>
        <w:t xml:space="preserve">will have the jurisdiction over local issues. </w:t>
      </w: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79C2343C" w:rsidR="002D3473" w:rsidRPr="002D5568" w:rsidRDefault="00CF4622" w:rsidP="002A37BB">
      <w:pPr>
        <w:autoSpaceDE w:val="0"/>
        <w:autoSpaceDN w:val="0"/>
        <w:adjustRightInd w:val="0"/>
        <w:jc w:val="both"/>
        <w:rPr>
          <w:rFonts w:ascii="Arial" w:hAnsi="Arial" w:cs="Arial"/>
          <w:sz w:val="22"/>
          <w:szCs w:val="22"/>
          <w:lang w:val="en-GB"/>
        </w:rPr>
      </w:pPr>
      <w:r w:rsidRPr="002D5568">
        <w:rPr>
          <w:rFonts w:ascii="Arial" w:hAnsi="Arial" w:cs="Arial"/>
          <w:sz w:val="22"/>
          <w:szCs w:val="22"/>
          <w:lang w:val="en-GB"/>
        </w:rPr>
        <w:t>Temporal scope: When does it apply in time;</w:t>
      </w:r>
    </w:p>
    <w:p w14:paraId="2A5AD018" w14:textId="1D439BF2" w:rsidR="00CF4622" w:rsidRPr="002D5568" w:rsidRDefault="00CF4622" w:rsidP="002A37BB">
      <w:pPr>
        <w:autoSpaceDE w:val="0"/>
        <w:autoSpaceDN w:val="0"/>
        <w:adjustRightInd w:val="0"/>
        <w:jc w:val="both"/>
        <w:rPr>
          <w:rFonts w:ascii="Arial" w:hAnsi="Arial" w:cs="Arial"/>
          <w:sz w:val="22"/>
          <w:szCs w:val="22"/>
          <w:lang w:val="en-GB"/>
        </w:rPr>
      </w:pPr>
      <w:r w:rsidRPr="002D5568">
        <w:rPr>
          <w:rFonts w:ascii="Arial" w:hAnsi="Arial" w:cs="Arial"/>
          <w:sz w:val="22"/>
          <w:szCs w:val="22"/>
          <w:lang w:val="en-GB"/>
        </w:rPr>
        <w:t>Personal scope: To whom does it apply;</w:t>
      </w:r>
    </w:p>
    <w:p w14:paraId="45C24BA3" w14:textId="6F7F5235" w:rsidR="00CF4622" w:rsidRPr="002D5568" w:rsidRDefault="00CF4622" w:rsidP="002A37BB">
      <w:pPr>
        <w:autoSpaceDE w:val="0"/>
        <w:autoSpaceDN w:val="0"/>
        <w:adjustRightInd w:val="0"/>
        <w:jc w:val="both"/>
        <w:rPr>
          <w:rFonts w:ascii="Arial" w:hAnsi="Arial" w:cs="Arial"/>
          <w:sz w:val="22"/>
          <w:szCs w:val="22"/>
          <w:lang w:val="en-GB"/>
        </w:rPr>
      </w:pPr>
      <w:r w:rsidRPr="002D5568">
        <w:rPr>
          <w:rFonts w:ascii="Arial" w:hAnsi="Arial" w:cs="Arial" w:hint="eastAsia"/>
          <w:sz w:val="22"/>
          <w:szCs w:val="22"/>
          <w:lang w:val="en-GB"/>
        </w:rPr>
        <w:t>M</w:t>
      </w:r>
      <w:r w:rsidRPr="002D5568">
        <w:rPr>
          <w:rFonts w:ascii="Arial" w:hAnsi="Arial" w:cs="Arial"/>
          <w:sz w:val="22"/>
          <w:szCs w:val="22"/>
          <w:lang w:val="en-GB"/>
        </w:rPr>
        <w:t>aterial scope: Which proceedings are covered by it;</w:t>
      </w:r>
    </w:p>
    <w:p w14:paraId="0281A296" w14:textId="33527751" w:rsidR="00CF4622" w:rsidRPr="002D5568" w:rsidRDefault="00CF4622" w:rsidP="002A37BB">
      <w:pPr>
        <w:autoSpaceDE w:val="0"/>
        <w:autoSpaceDN w:val="0"/>
        <w:adjustRightInd w:val="0"/>
        <w:jc w:val="both"/>
        <w:rPr>
          <w:rFonts w:ascii="Arial" w:hAnsi="Arial" w:cs="Arial"/>
          <w:sz w:val="22"/>
          <w:szCs w:val="22"/>
          <w:lang w:val="en-GB"/>
        </w:rPr>
      </w:pPr>
      <w:r w:rsidRPr="002D5568">
        <w:rPr>
          <w:rFonts w:ascii="Arial" w:hAnsi="Arial" w:cs="Arial" w:hint="eastAsia"/>
          <w:sz w:val="22"/>
          <w:szCs w:val="22"/>
          <w:lang w:val="en-GB"/>
        </w:rPr>
        <w:t>G</w:t>
      </w:r>
      <w:r w:rsidRPr="002D5568">
        <w:rPr>
          <w:rFonts w:ascii="Arial" w:hAnsi="Arial" w:cs="Arial"/>
          <w:sz w:val="22"/>
          <w:szCs w:val="22"/>
          <w:lang w:val="en-GB"/>
        </w:rPr>
        <w:t>eographical scope: What are its geographical limitations.</w:t>
      </w:r>
    </w:p>
    <w:p w14:paraId="7DB81BF0" w14:textId="1B14CB43" w:rsidR="00CF4622" w:rsidRPr="002D5568" w:rsidRDefault="00CF4622" w:rsidP="002A37BB">
      <w:pPr>
        <w:autoSpaceDE w:val="0"/>
        <w:autoSpaceDN w:val="0"/>
        <w:adjustRightInd w:val="0"/>
        <w:jc w:val="both"/>
        <w:rPr>
          <w:rFonts w:ascii="Arial" w:hAnsi="Arial" w:cs="Arial"/>
          <w:sz w:val="22"/>
          <w:szCs w:val="22"/>
          <w:lang w:val="en-GB"/>
        </w:rPr>
      </w:pPr>
    </w:p>
    <w:p w14:paraId="07C69399" w14:textId="4C3D9670" w:rsidR="00CF4622" w:rsidRPr="002D5568" w:rsidRDefault="00CF4622" w:rsidP="002A37BB">
      <w:pPr>
        <w:autoSpaceDE w:val="0"/>
        <w:autoSpaceDN w:val="0"/>
        <w:adjustRightInd w:val="0"/>
        <w:jc w:val="both"/>
        <w:rPr>
          <w:rFonts w:ascii="Arial" w:hAnsi="Arial" w:cs="Arial"/>
          <w:sz w:val="22"/>
          <w:szCs w:val="22"/>
          <w:lang w:val="en-GB"/>
        </w:rPr>
      </w:pPr>
      <w:r w:rsidRPr="002D5568">
        <w:rPr>
          <w:rFonts w:ascii="Arial" w:hAnsi="Arial" w:cs="Arial" w:hint="eastAsia"/>
          <w:sz w:val="22"/>
          <w:szCs w:val="22"/>
          <w:lang w:val="en-GB"/>
        </w:rPr>
        <w:t>S</w:t>
      </w:r>
      <w:r w:rsidRPr="002D5568">
        <w:rPr>
          <w:rFonts w:ascii="Arial" w:hAnsi="Arial" w:cs="Arial"/>
          <w:sz w:val="22"/>
          <w:szCs w:val="22"/>
          <w:lang w:val="en-GB"/>
        </w:rPr>
        <w:t>teps:</w:t>
      </w:r>
    </w:p>
    <w:p w14:paraId="71C12518" w14:textId="2880E936" w:rsidR="00CF4622" w:rsidRPr="002D5568" w:rsidRDefault="00CF4622" w:rsidP="002A37BB">
      <w:pPr>
        <w:autoSpaceDE w:val="0"/>
        <w:autoSpaceDN w:val="0"/>
        <w:adjustRightInd w:val="0"/>
        <w:jc w:val="both"/>
        <w:rPr>
          <w:rFonts w:ascii="Arial" w:hAnsi="Arial" w:cs="Arial"/>
          <w:sz w:val="22"/>
          <w:szCs w:val="22"/>
          <w:lang w:val="en-GB"/>
        </w:rPr>
      </w:pPr>
      <w:r w:rsidRPr="002D5568">
        <w:rPr>
          <w:rFonts w:ascii="Arial" w:hAnsi="Arial" w:cs="Arial"/>
          <w:sz w:val="22"/>
          <w:szCs w:val="22"/>
          <w:lang w:val="en-GB"/>
        </w:rPr>
        <w:lastRenderedPageBreak/>
        <w:t xml:space="preserve">The debtor has COMI in a Member State of EU (Except Denmark) </w:t>
      </w:r>
      <w:r w:rsidRPr="002D5568">
        <w:rPr>
          <w:rFonts w:ascii="Arial" w:hAnsi="Arial" w:cs="Arial"/>
          <w:sz w:val="22"/>
          <w:szCs w:val="22"/>
          <w:lang w:val="en-GB"/>
        </w:rPr>
        <w:sym w:font="Wingdings" w:char="F0E0"/>
      </w:r>
      <w:r w:rsidRPr="002D5568">
        <w:rPr>
          <w:rFonts w:ascii="Arial" w:hAnsi="Arial" w:cs="Arial"/>
          <w:sz w:val="22"/>
          <w:szCs w:val="22"/>
          <w:lang w:val="en-GB"/>
        </w:rPr>
        <w:t>Yes.</w:t>
      </w:r>
    </w:p>
    <w:p w14:paraId="747F9721" w14:textId="72A9A787" w:rsidR="00CF4622" w:rsidRPr="002D5568" w:rsidRDefault="00CF4622" w:rsidP="002A37BB">
      <w:pPr>
        <w:autoSpaceDE w:val="0"/>
        <w:autoSpaceDN w:val="0"/>
        <w:adjustRightInd w:val="0"/>
        <w:jc w:val="both"/>
        <w:rPr>
          <w:rFonts w:ascii="Arial" w:hAnsi="Arial" w:cs="Arial"/>
          <w:sz w:val="22"/>
          <w:szCs w:val="22"/>
          <w:lang w:val="en-GB"/>
        </w:rPr>
      </w:pPr>
      <w:r w:rsidRPr="002D5568">
        <w:rPr>
          <w:rFonts w:ascii="Arial" w:hAnsi="Arial" w:cs="Arial" w:hint="eastAsia"/>
          <w:sz w:val="22"/>
          <w:szCs w:val="22"/>
          <w:lang w:val="en-GB"/>
        </w:rPr>
        <w:t>T</w:t>
      </w:r>
      <w:r w:rsidRPr="002D5568">
        <w:rPr>
          <w:rFonts w:ascii="Arial" w:hAnsi="Arial" w:cs="Arial"/>
          <w:sz w:val="22"/>
          <w:szCs w:val="22"/>
          <w:lang w:val="en-GB"/>
        </w:rPr>
        <w:t>he debtor is not a financial institution the is exclude -&gt;Yes.</w:t>
      </w:r>
    </w:p>
    <w:p w14:paraId="718CE292" w14:textId="4681A129" w:rsidR="00CF4622" w:rsidRPr="002D5568" w:rsidRDefault="00CF4622" w:rsidP="002A37BB">
      <w:pPr>
        <w:autoSpaceDE w:val="0"/>
        <w:autoSpaceDN w:val="0"/>
        <w:adjustRightInd w:val="0"/>
        <w:jc w:val="both"/>
        <w:rPr>
          <w:rFonts w:ascii="Arial" w:hAnsi="Arial" w:cs="Arial"/>
          <w:sz w:val="22"/>
          <w:szCs w:val="22"/>
          <w:lang w:val="en-GB"/>
        </w:rPr>
      </w:pPr>
      <w:r w:rsidRPr="002D5568">
        <w:rPr>
          <w:rFonts w:ascii="Arial" w:hAnsi="Arial" w:cs="Arial" w:hint="eastAsia"/>
          <w:sz w:val="22"/>
          <w:szCs w:val="22"/>
          <w:lang w:val="en-GB"/>
        </w:rPr>
        <w:t>T</w:t>
      </w:r>
      <w:r w:rsidRPr="002D5568">
        <w:rPr>
          <w:rFonts w:ascii="Arial" w:hAnsi="Arial" w:cs="Arial"/>
          <w:sz w:val="22"/>
          <w:szCs w:val="22"/>
          <w:lang w:val="en-GB"/>
        </w:rPr>
        <w:t xml:space="preserve">he proceeding (examinership </w:t>
      </w:r>
      <w:r w:rsidR="002D5568" w:rsidRPr="002D5568">
        <w:rPr>
          <w:rFonts w:ascii="Arial" w:hAnsi="Arial" w:cs="Arial"/>
          <w:sz w:val="22"/>
          <w:szCs w:val="22"/>
          <w:lang w:val="en-GB"/>
        </w:rPr>
        <w:t>proceeding)</w:t>
      </w:r>
      <w:r w:rsidRPr="002D5568">
        <w:rPr>
          <w:rFonts w:ascii="Arial" w:hAnsi="Arial" w:cs="Arial"/>
          <w:sz w:val="22"/>
          <w:szCs w:val="22"/>
          <w:lang w:val="en-GB"/>
        </w:rPr>
        <w:t xml:space="preserve"> is listed in Annex A to the EIR Recast-&gt;Yes</w:t>
      </w:r>
    </w:p>
    <w:p w14:paraId="7A78F520" w14:textId="1B8AD1AB" w:rsidR="00CF4622" w:rsidRPr="002D5568" w:rsidRDefault="00CF4622" w:rsidP="002A37BB">
      <w:pPr>
        <w:autoSpaceDE w:val="0"/>
        <w:autoSpaceDN w:val="0"/>
        <w:adjustRightInd w:val="0"/>
        <w:jc w:val="both"/>
        <w:rPr>
          <w:rFonts w:ascii="Arial" w:hAnsi="Arial" w:cs="Arial"/>
          <w:sz w:val="22"/>
          <w:szCs w:val="22"/>
          <w:lang w:val="en-GB"/>
        </w:rPr>
      </w:pPr>
      <w:r w:rsidRPr="002D5568">
        <w:rPr>
          <w:rFonts w:ascii="Arial" w:hAnsi="Arial" w:cs="Arial" w:hint="eastAsia"/>
          <w:sz w:val="22"/>
          <w:szCs w:val="22"/>
          <w:lang w:val="en-GB"/>
        </w:rPr>
        <w:t>T</w:t>
      </w:r>
      <w:r w:rsidRPr="002D5568">
        <w:rPr>
          <w:rFonts w:ascii="Arial" w:hAnsi="Arial" w:cs="Arial"/>
          <w:sz w:val="22"/>
          <w:szCs w:val="22"/>
          <w:lang w:val="en-GB"/>
        </w:rPr>
        <w:t>he Proceeding is opened after 26 June 2017-&gt;Yes</w:t>
      </w:r>
    </w:p>
    <w:p w14:paraId="379A60F7" w14:textId="3886C763" w:rsidR="00CF4622" w:rsidRDefault="00CF4622" w:rsidP="002A37BB">
      <w:pPr>
        <w:autoSpaceDE w:val="0"/>
        <w:autoSpaceDN w:val="0"/>
        <w:adjustRightInd w:val="0"/>
        <w:jc w:val="both"/>
        <w:rPr>
          <w:rFonts w:ascii="Arial" w:eastAsiaTheme="minorEastAsia" w:hAnsi="Arial" w:cs="Arial"/>
          <w:color w:val="7B7B7B" w:themeColor="accent3" w:themeShade="BF"/>
          <w:sz w:val="22"/>
          <w:szCs w:val="22"/>
          <w:lang w:val="en-GB" w:eastAsia="zh-CN"/>
        </w:rPr>
      </w:pPr>
    </w:p>
    <w:p w14:paraId="259BEAC5" w14:textId="0037DC8A" w:rsidR="00CF4622" w:rsidRPr="002D5568" w:rsidRDefault="00CF4622" w:rsidP="002A37BB">
      <w:pPr>
        <w:autoSpaceDE w:val="0"/>
        <w:autoSpaceDN w:val="0"/>
        <w:adjustRightInd w:val="0"/>
        <w:jc w:val="both"/>
        <w:rPr>
          <w:rFonts w:ascii="Arial" w:eastAsiaTheme="minorEastAsia" w:hAnsi="Arial" w:cs="Arial"/>
          <w:color w:val="000000" w:themeColor="text1"/>
          <w:sz w:val="22"/>
          <w:szCs w:val="22"/>
          <w:lang w:val="en-GB" w:eastAsia="zh-CN"/>
        </w:rPr>
      </w:pPr>
      <w:r w:rsidRPr="002D5568">
        <w:rPr>
          <w:rFonts w:ascii="Arial" w:eastAsiaTheme="minorEastAsia" w:hAnsi="Arial" w:cs="Arial" w:hint="eastAsia"/>
          <w:color w:val="000000" w:themeColor="text1"/>
          <w:sz w:val="22"/>
          <w:szCs w:val="22"/>
          <w:lang w:val="en-GB" w:eastAsia="zh-CN"/>
        </w:rPr>
        <w:t>I</w:t>
      </w:r>
      <w:r w:rsidRPr="002D5568">
        <w:rPr>
          <w:rFonts w:ascii="Arial" w:eastAsiaTheme="minorEastAsia" w:hAnsi="Arial" w:cs="Arial"/>
          <w:color w:val="000000" w:themeColor="text1"/>
          <w:sz w:val="22"/>
          <w:szCs w:val="22"/>
          <w:lang w:val="en-GB" w:eastAsia="zh-CN"/>
        </w:rPr>
        <w:t xml:space="preserve">n conclusion, the EIR Recast is applicable. </w:t>
      </w:r>
    </w:p>
    <w:p w14:paraId="1B5E2F08" w14:textId="43AA2127" w:rsidR="002D3473" w:rsidRPr="00CF4622"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1"/>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41DB7EFF" w14:textId="567C99FA" w:rsidR="00C1444B" w:rsidRPr="002D5568" w:rsidRDefault="001F2422" w:rsidP="002A37BB">
      <w:pPr>
        <w:jc w:val="both"/>
        <w:rPr>
          <w:rFonts w:ascii="Arial" w:hAnsi="Arial" w:cs="Arial"/>
          <w:color w:val="000000" w:themeColor="text1"/>
          <w:sz w:val="22"/>
          <w:szCs w:val="22"/>
          <w:lang w:val="en-GB"/>
        </w:rPr>
      </w:pPr>
      <w:r w:rsidRPr="002D5568">
        <w:rPr>
          <w:rFonts w:ascii="Arial" w:hAnsi="Arial" w:cs="Arial"/>
          <w:color w:val="000000" w:themeColor="text1"/>
          <w:sz w:val="22"/>
          <w:szCs w:val="22"/>
          <w:lang w:val="en-GB"/>
        </w:rPr>
        <w:t xml:space="preserve">If Italian bank wants to open a secondary insolvency proceeding in Italy, it must prove that the debtor has an establishment is Italy. According to Art 3(2) of EIR Recast, Establishment was defined as any place of operations where the debtor carries out </w:t>
      </w:r>
      <w:r w:rsidR="00C1444B" w:rsidRPr="002D5568">
        <w:rPr>
          <w:rFonts w:ascii="Arial" w:hAnsi="Arial" w:cs="Arial"/>
          <w:color w:val="000000" w:themeColor="text1"/>
          <w:sz w:val="22"/>
          <w:szCs w:val="22"/>
          <w:lang w:val="en-GB"/>
        </w:rPr>
        <w:t xml:space="preserve">at least 3 month </w:t>
      </w:r>
      <w:r w:rsidRPr="002D5568">
        <w:rPr>
          <w:rFonts w:ascii="Arial" w:hAnsi="Arial" w:cs="Arial"/>
          <w:color w:val="000000" w:themeColor="text1"/>
          <w:sz w:val="22"/>
          <w:szCs w:val="22"/>
          <w:lang w:val="en-GB"/>
        </w:rPr>
        <w:t xml:space="preserve">a non-transitory economic activity with human means and goods. The mere presence of asset was not enough to create an establishment.  </w:t>
      </w:r>
    </w:p>
    <w:p w14:paraId="052BE24B" w14:textId="7F94FBE2" w:rsidR="00C1444B" w:rsidRPr="002D5568" w:rsidRDefault="00C1444B" w:rsidP="002A37BB">
      <w:pPr>
        <w:jc w:val="both"/>
        <w:rPr>
          <w:rFonts w:ascii="Arial" w:hAnsi="Arial" w:cs="Arial"/>
          <w:color w:val="000000" w:themeColor="text1"/>
          <w:sz w:val="22"/>
          <w:szCs w:val="22"/>
          <w:lang w:val="en-GB"/>
        </w:rPr>
      </w:pPr>
    </w:p>
    <w:p w14:paraId="1190067D" w14:textId="089D9F2A" w:rsidR="00C1444B" w:rsidRPr="002D5568" w:rsidRDefault="00C1444B" w:rsidP="002A37BB">
      <w:pPr>
        <w:jc w:val="both"/>
        <w:rPr>
          <w:rFonts w:ascii="Arial" w:eastAsiaTheme="minorEastAsia" w:hAnsi="Arial" w:cs="Arial"/>
          <w:color w:val="000000" w:themeColor="text1"/>
          <w:sz w:val="22"/>
          <w:szCs w:val="22"/>
          <w:lang w:val="en-GB" w:eastAsia="zh-CN"/>
        </w:rPr>
      </w:pPr>
      <w:r w:rsidRPr="002D5568">
        <w:rPr>
          <w:rFonts w:ascii="Arial" w:eastAsiaTheme="minorEastAsia" w:hAnsi="Arial" w:cs="Arial" w:hint="eastAsia"/>
          <w:color w:val="000000" w:themeColor="text1"/>
          <w:sz w:val="22"/>
          <w:szCs w:val="22"/>
          <w:lang w:val="en-GB" w:eastAsia="zh-CN"/>
        </w:rPr>
        <w:t>I</w:t>
      </w:r>
      <w:r w:rsidRPr="002D5568">
        <w:rPr>
          <w:rFonts w:ascii="Arial" w:eastAsiaTheme="minorEastAsia" w:hAnsi="Arial" w:cs="Arial"/>
          <w:color w:val="000000" w:themeColor="text1"/>
          <w:sz w:val="22"/>
          <w:szCs w:val="22"/>
          <w:lang w:val="en-GB" w:eastAsia="zh-CN"/>
        </w:rPr>
        <w:t xml:space="preserve">n </w:t>
      </w:r>
      <w:proofErr w:type="spellStart"/>
      <w:r w:rsidRPr="002D5568">
        <w:rPr>
          <w:rFonts w:ascii="Arial" w:eastAsiaTheme="minorEastAsia" w:hAnsi="Arial" w:cs="Arial"/>
          <w:color w:val="000000" w:themeColor="text1"/>
          <w:sz w:val="22"/>
          <w:szCs w:val="22"/>
          <w:lang w:val="en-GB" w:eastAsia="zh-CN"/>
        </w:rPr>
        <w:t>I</w:t>
      </w:r>
      <w:r w:rsidRPr="002D5568">
        <w:rPr>
          <w:rFonts w:ascii="Arial" w:eastAsiaTheme="minorEastAsia" w:hAnsi="Arial" w:cs="Arial"/>
          <w:i/>
          <w:iCs/>
          <w:color w:val="000000" w:themeColor="text1"/>
          <w:sz w:val="22"/>
          <w:szCs w:val="22"/>
          <w:lang w:val="en-GB" w:eastAsia="zh-CN"/>
        </w:rPr>
        <w:t>nteredil</w:t>
      </w:r>
      <w:proofErr w:type="spellEnd"/>
      <w:r w:rsidRPr="002D5568">
        <w:rPr>
          <w:rFonts w:ascii="Arial" w:eastAsiaTheme="minorEastAsia" w:hAnsi="Arial" w:cs="Arial"/>
          <w:color w:val="000000" w:themeColor="text1"/>
          <w:sz w:val="22"/>
          <w:szCs w:val="22"/>
          <w:lang w:val="en-GB" w:eastAsia="zh-CN"/>
        </w:rPr>
        <w:t xml:space="preserve"> </w:t>
      </w:r>
      <w:r w:rsidR="002D5568">
        <w:rPr>
          <w:rFonts w:ascii="Arial" w:eastAsiaTheme="minorEastAsia" w:hAnsi="Arial" w:cs="Arial"/>
          <w:color w:val="000000" w:themeColor="text1"/>
          <w:sz w:val="22"/>
          <w:szCs w:val="22"/>
          <w:lang w:val="en-GB" w:eastAsia="zh-CN"/>
        </w:rPr>
        <w:t xml:space="preserve">case </w:t>
      </w:r>
      <w:r w:rsidRPr="002D5568">
        <w:rPr>
          <w:rFonts w:ascii="Arial" w:eastAsiaTheme="minorEastAsia" w:hAnsi="Arial" w:cs="Arial"/>
          <w:color w:val="000000" w:themeColor="text1"/>
          <w:sz w:val="22"/>
          <w:szCs w:val="22"/>
          <w:lang w:val="en-GB" w:eastAsia="zh-CN"/>
        </w:rPr>
        <w:t xml:space="preserve">the CJEU examined the concept and concluded a minimum level of </w:t>
      </w:r>
      <w:proofErr w:type="gramStart"/>
      <w:r w:rsidRPr="002D5568">
        <w:rPr>
          <w:rFonts w:ascii="Arial" w:eastAsiaTheme="minorEastAsia" w:hAnsi="Arial" w:cs="Arial"/>
          <w:color w:val="000000" w:themeColor="text1"/>
          <w:sz w:val="22"/>
          <w:szCs w:val="22"/>
          <w:lang w:val="en-GB" w:eastAsia="zh-CN"/>
        </w:rPr>
        <w:t>organization</w:t>
      </w:r>
      <w:proofErr w:type="gramEnd"/>
      <w:r w:rsidRPr="002D5568">
        <w:rPr>
          <w:rFonts w:ascii="Arial" w:eastAsiaTheme="minorEastAsia" w:hAnsi="Arial" w:cs="Arial"/>
          <w:color w:val="000000" w:themeColor="text1"/>
          <w:sz w:val="22"/>
          <w:szCs w:val="22"/>
          <w:lang w:val="en-GB" w:eastAsia="zh-CN"/>
        </w:rPr>
        <w:t xml:space="preserve"> and a degree of stability are required. </w:t>
      </w:r>
    </w:p>
    <w:p w14:paraId="5D10543D" w14:textId="77777777" w:rsidR="00C1444B" w:rsidRPr="002D5568" w:rsidRDefault="00C1444B" w:rsidP="002A37BB">
      <w:pPr>
        <w:jc w:val="both"/>
        <w:rPr>
          <w:rFonts w:ascii="Arial" w:hAnsi="Arial" w:cs="Arial"/>
          <w:color w:val="000000" w:themeColor="text1"/>
          <w:sz w:val="22"/>
          <w:szCs w:val="22"/>
          <w:lang w:val="en-GB"/>
        </w:rPr>
      </w:pPr>
    </w:p>
    <w:p w14:paraId="77CE8695" w14:textId="1BE3AA21" w:rsidR="0077498C" w:rsidRPr="002D5568" w:rsidRDefault="001F2422" w:rsidP="002A37BB">
      <w:pPr>
        <w:jc w:val="both"/>
        <w:rPr>
          <w:rFonts w:ascii="Arial" w:hAnsi="Arial" w:cs="Arial"/>
          <w:color w:val="000000" w:themeColor="text1"/>
          <w:sz w:val="22"/>
          <w:szCs w:val="22"/>
          <w:lang w:val="en-GB"/>
        </w:rPr>
      </w:pPr>
      <w:r w:rsidRPr="002D5568">
        <w:rPr>
          <w:rFonts w:ascii="Arial" w:hAnsi="Arial" w:cs="Arial"/>
          <w:color w:val="000000" w:themeColor="text1"/>
          <w:sz w:val="22"/>
          <w:szCs w:val="22"/>
          <w:lang w:val="en-GB"/>
        </w:rPr>
        <w:t>The debtor has warehouses in Milan, Italy</w:t>
      </w:r>
      <w:r w:rsidR="00C1444B" w:rsidRPr="002D5568">
        <w:rPr>
          <w:rFonts w:ascii="Arial" w:hAnsi="Arial" w:cs="Arial"/>
          <w:color w:val="000000" w:themeColor="text1"/>
          <w:sz w:val="22"/>
          <w:szCs w:val="22"/>
          <w:lang w:val="en-GB"/>
        </w:rPr>
        <w:t xml:space="preserve"> and has financial activity in Italy. What is more, it signs MOUs with Italian distributors. </w:t>
      </w:r>
      <w:r w:rsidR="002D5568">
        <w:rPr>
          <w:rFonts w:ascii="Arial" w:hAnsi="Arial" w:cs="Arial"/>
          <w:color w:val="000000" w:themeColor="text1"/>
          <w:sz w:val="22"/>
          <w:szCs w:val="22"/>
          <w:lang w:val="en-GB"/>
        </w:rPr>
        <w:t>I believe, all t</w:t>
      </w:r>
      <w:r w:rsidR="00C1444B" w:rsidRPr="002D5568">
        <w:rPr>
          <w:rFonts w:ascii="Arial" w:hAnsi="Arial" w:cs="Arial"/>
          <w:color w:val="000000" w:themeColor="text1"/>
          <w:sz w:val="22"/>
          <w:szCs w:val="22"/>
          <w:lang w:val="en-GB"/>
        </w:rPr>
        <w:t>he facts above make</w:t>
      </w:r>
      <w:r w:rsidR="003A2FD3" w:rsidRPr="002D5568">
        <w:rPr>
          <w:rFonts w:ascii="Arial" w:hAnsi="Arial" w:cs="Arial"/>
          <w:color w:val="000000" w:themeColor="text1"/>
          <w:sz w:val="22"/>
          <w:szCs w:val="22"/>
          <w:lang w:val="en-GB"/>
        </w:rPr>
        <w:t xml:space="preserve"> </w:t>
      </w:r>
      <w:r w:rsidR="00C1444B" w:rsidRPr="002D5568">
        <w:rPr>
          <w:rFonts w:ascii="Arial" w:hAnsi="Arial" w:cs="Arial"/>
          <w:color w:val="000000" w:themeColor="text1"/>
          <w:sz w:val="22"/>
          <w:szCs w:val="22"/>
          <w:lang w:val="en-GB"/>
        </w:rPr>
        <w:t xml:space="preserve">Italy a qualified establishment under EIR Recast. So, in my opinion, </w:t>
      </w:r>
      <w:r w:rsidR="003A2FD3" w:rsidRPr="002D5568">
        <w:rPr>
          <w:rFonts w:ascii="Arial" w:hAnsi="Arial" w:cs="Arial"/>
          <w:color w:val="000000" w:themeColor="text1"/>
          <w:sz w:val="22"/>
          <w:szCs w:val="22"/>
          <w:lang w:val="en-GB"/>
        </w:rPr>
        <w:t xml:space="preserve">a secondary insolvency proceeding could be opened in </w:t>
      </w:r>
      <w:r w:rsidR="003A2FD3" w:rsidRPr="002D5568">
        <w:rPr>
          <w:rFonts w:ascii="Arial" w:hAnsi="Arial" w:cs="Arial" w:hint="eastAsia"/>
          <w:color w:val="000000" w:themeColor="text1"/>
          <w:sz w:val="22"/>
          <w:szCs w:val="22"/>
          <w:lang w:val="en-GB"/>
        </w:rPr>
        <w:t>Italy.</w:t>
      </w:r>
      <w:r w:rsidR="003A2FD3" w:rsidRPr="002D5568">
        <w:rPr>
          <w:rFonts w:ascii="Arial" w:hAnsi="Arial" w:cs="Arial"/>
          <w:color w:val="000000" w:themeColor="text1"/>
          <w:sz w:val="22"/>
          <w:szCs w:val="22"/>
          <w:lang w:val="en-GB"/>
        </w:rPr>
        <w:t xml:space="preserve"> </w:t>
      </w:r>
    </w:p>
    <w:p w14:paraId="35D8F287" w14:textId="77777777" w:rsidR="0077498C" w:rsidRPr="001F2422"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2D2A" w14:textId="77777777" w:rsidR="007A627F" w:rsidRDefault="007A627F" w:rsidP="00241B44">
      <w:r>
        <w:separator/>
      </w:r>
    </w:p>
  </w:endnote>
  <w:endnote w:type="continuationSeparator" w:id="0">
    <w:p w14:paraId="369CCB0B" w14:textId="77777777" w:rsidR="007A627F" w:rsidRDefault="007A627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D509A5" w:rsidRPr="00FC7B47" w:rsidRDefault="00D509A5"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D509A5" w:rsidRPr="00FC7B47" w:rsidRDefault="00D509A5"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sz w:val="18"/>
        <w:szCs w:val="18"/>
      </w:rPr>
      <w:id w:val="-1409602822"/>
      <w:docPartObj>
        <w:docPartGallery w:val="Page Numbers (Bottom of Page)"/>
        <w:docPartUnique/>
      </w:docPartObj>
    </w:sdtPr>
    <w:sdtEndPr>
      <w:rPr>
        <w:rStyle w:val="af1"/>
      </w:rPr>
    </w:sdtEndPr>
    <w:sdtContent>
      <w:p w14:paraId="0A05F8FD" w14:textId="25250B7C" w:rsidR="00D509A5" w:rsidRPr="009B4976" w:rsidRDefault="00D509A5" w:rsidP="00D509A5">
        <w:pPr>
          <w:pStyle w:val="af"/>
          <w:framePr w:wrap="none" w:vAnchor="text" w:hAnchor="margin" w:xAlign="right" w:y="1"/>
          <w:rPr>
            <w:rStyle w:val="af1"/>
            <w:rFonts w:ascii="Arial" w:hAnsi="Arial" w:cs="Arial"/>
            <w:sz w:val="18"/>
            <w:szCs w:val="18"/>
          </w:rPr>
        </w:pPr>
        <w:r w:rsidRPr="009B4976">
          <w:rPr>
            <w:rStyle w:val="af1"/>
            <w:rFonts w:ascii="Arial" w:hAnsi="Arial" w:cs="Arial"/>
            <w:sz w:val="18"/>
            <w:szCs w:val="18"/>
          </w:rPr>
          <w:t xml:space="preserve">Page </w:t>
        </w:r>
        <w:r w:rsidRPr="009B4976">
          <w:rPr>
            <w:rStyle w:val="af1"/>
            <w:rFonts w:ascii="Arial" w:hAnsi="Arial" w:cs="Arial"/>
            <w:sz w:val="18"/>
            <w:szCs w:val="18"/>
          </w:rPr>
          <w:fldChar w:fldCharType="begin"/>
        </w:r>
        <w:r w:rsidRPr="009B4976">
          <w:rPr>
            <w:rStyle w:val="af1"/>
            <w:rFonts w:ascii="Arial" w:hAnsi="Arial" w:cs="Arial"/>
            <w:sz w:val="18"/>
            <w:szCs w:val="18"/>
          </w:rPr>
          <w:instrText xml:space="preserve"> PAGE </w:instrText>
        </w:r>
        <w:r w:rsidRPr="009B4976">
          <w:rPr>
            <w:rStyle w:val="af1"/>
            <w:rFonts w:ascii="Arial" w:hAnsi="Arial" w:cs="Arial"/>
            <w:sz w:val="18"/>
            <w:szCs w:val="18"/>
          </w:rPr>
          <w:fldChar w:fldCharType="separate"/>
        </w:r>
        <w:r w:rsidR="00BA543A">
          <w:rPr>
            <w:rStyle w:val="af1"/>
            <w:rFonts w:ascii="Arial" w:hAnsi="Arial" w:cs="Arial"/>
            <w:noProof/>
            <w:sz w:val="18"/>
            <w:szCs w:val="18"/>
          </w:rPr>
          <w:t>9</w:t>
        </w:r>
        <w:r w:rsidRPr="009B4976">
          <w:rPr>
            <w:rStyle w:val="af1"/>
            <w:rFonts w:ascii="Arial" w:hAnsi="Arial" w:cs="Arial"/>
            <w:sz w:val="18"/>
            <w:szCs w:val="18"/>
          </w:rPr>
          <w:fldChar w:fldCharType="end"/>
        </w:r>
      </w:p>
    </w:sdtContent>
  </w:sdt>
  <w:p w14:paraId="30F05E79" w14:textId="468079FC" w:rsidR="00D509A5" w:rsidRPr="009B4976" w:rsidRDefault="0059458B" w:rsidP="009B4976">
    <w:pPr>
      <w:pStyle w:val="af"/>
      <w:ind w:right="360"/>
      <w:rPr>
        <w:rFonts w:ascii="Arial" w:hAnsi="Arial" w:cs="Arial"/>
        <w:sz w:val="18"/>
        <w:szCs w:val="18"/>
        <w:lang w:val="en-GB"/>
      </w:rPr>
    </w:pPr>
    <w:r w:rsidRPr="0059458B">
      <w:rPr>
        <w:rFonts w:ascii="Arial" w:hAnsi="Arial" w:cs="Arial"/>
        <w:sz w:val="18"/>
        <w:szCs w:val="18"/>
        <w:lang w:val="en-GB"/>
      </w:rPr>
      <w:t>202122-377</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3C24" w14:textId="77777777" w:rsidR="007A627F" w:rsidRDefault="007A627F" w:rsidP="00241B44">
      <w:r>
        <w:separator/>
      </w:r>
    </w:p>
  </w:footnote>
  <w:footnote w:type="continuationSeparator" w:id="0">
    <w:p w14:paraId="4FE87237" w14:textId="77777777" w:rsidR="007A627F" w:rsidRDefault="007A627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1E62"/>
    <w:multiLevelType w:val="hybridMultilevel"/>
    <w:tmpl w:val="CBF877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9"/>
  </w:num>
  <w:num w:numId="3">
    <w:abstractNumId w:val="4"/>
  </w:num>
  <w:num w:numId="4">
    <w:abstractNumId w:val="11"/>
  </w:num>
  <w:num w:numId="5">
    <w:abstractNumId w:val="8"/>
  </w:num>
  <w:num w:numId="6">
    <w:abstractNumId w:val="10"/>
  </w:num>
  <w:num w:numId="7">
    <w:abstractNumId w:val="1"/>
  </w:num>
  <w:num w:numId="8">
    <w:abstractNumId w:val="6"/>
  </w:num>
  <w:num w:numId="9">
    <w:abstractNumId w:val="5"/>
  </w:num>
  <w:num w:numId="10">
    <w:abstractNumId w:val="3"/>
  </w:num>
  <w:num w:numId="11">
    <w:abstractNumId w:val="7"/>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080C"/>
    <w:rsid w:val="00037621"/>
    <w:rsid w:val="00041B32"/>
    <w:rsid w:val="00044D46"/>
    <w:rsid w:val="00045088"/>
    <w:rsid w:val="00045904"/>
    <w:rsid w:val="00065166"/>
    <w:rsid w:val="00072C15"/>
    <w:rsid w:val="00082609"/>
    <w:rsid w:val="000851CC"/>
    <w:rsid w:val="00085209"/>
    <w:rsid w:val="00087CD6"/>
    <w:rsid w:val="00093BE8"/>
    <w:rsid w:val="000A68ED"/>
    <w:rsid w:val="000A7BF9"/>
    <w:rsid w:val="000B5FF1"/>
    <w:rsid w:val="000B609F"/>
    <w:rsid w:val="000D55A8"/>
    <w:rsid w:val="000E4841"/>
    <w:rsid w:val="000F1677"/>
    <w:rsid w:val="000F3D6C"/>
    <w:rsid w:val="00101707"/>
    <w:rsid w:val="00101971"/>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7618A"/>
    <w:rsid w:val="00180548"/>
    <w:rsid w:val="00180AC4"/>
    <w:rsid w:val="00180CCE"/>
    <w:rsid w:val="0018267A"/>
    <w:rsid w:val="00182779"/>
    <w:rsid w:val="001830DF"/>
    <w:rsid w:val="00187A34"/>
    <w:rsid w:val="001966D9"/>
    <w:rsid w:val="001A7E9A"/>
    <w:rsid w:val="001B0F70"/>
    <w:rsid w:val="001B5016"/>
    <w:rsid w:val="001B51A8"/>
    <w:rsid w:val="001C45FC"/>
    <w:rsid w:val="001D0469"/>
    <w:rsid w:val="001D4862"/>
    <w:rsid w:val="001D6E1C"/>
    <w:rsid w:val="001E25B9"/>
    <w:rsid w:val="001E49E0"/>
    <w:rsid w:val="001E5F8A"/>
    <w:rsid w:val="001E7B5A"/>
    <w:rsid w:val="001F2422"/>
    <w:rsid w:val="001F7412"/>
    <w:rsid w:val="00202DFE"/>
    <w:rsid w:val="00203720"/>
    <w:rsid w:val="0020725B"/>
    <w:rsid w:val="002110F1"/>
    <w:rsid w:val="002179F9"/>
    <w:rsid w:val="00222FB5"/>
    <w:rsid w:val="0024116D"/>
    <w:rsid w:val="00241B44"/>
    <w:rsid w:val="00241FA3"/>
    <w:rsid w:val="00244C44"/>
    <w:rsid w:val="00245EFB"/>
    <w:rsid w:val="00246567"/>
    <w:rsid w:val="0025386E"/>
    <w:rsid w:val="002638B0"/>
    <w:rsid w:val="0026647A"/>
    <w:rsid w:val="002668D3"/>
    <w:rsid w:val="0027299F"/>
    <w:rsid w:val="00284EBE"/>
    <w:rsid w:val="00293D9C"/>
    <w:rsid w:val="0029433F"/>
    <w:rsid w:val="00294829"/>
    <w:rsid w:val="0029690F"/>
    <w:rsid w:val="00297C8A"/>
    <w:rsid w:val="002A2A60"/>
    <w:rsid w:val="002A37BB"/>
    <w:rsid w:val="002B1C45"/>
    <w:rsid w:val="002C13C8"/>
    <w:rsid w:val="002C3547"/>
    <w:rsid w:val="002D0021"/>
    <w:rsid w:val="002D3473"/>
    <w:rsid w:val="002D5568"/>
    <w:rsid w:val="002E4CF1"/>
    <w:rsid w:val="002F1956"/>
    <w:rsid w:val="002F3440"/>
    <w:rsid w:val="002F75A3"/>
    <w:rsid w:val="00303C2F"/>
    <w:rsid w:val="00304F9A"/>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5A13"/>
    <w:rsid w:val="00386568"/>
    <w:rsid w:val="00390B57"/>
    <w:rsid w:val="003948D5"/>
    <w:rsid w:val="00396821"/>
    <w:rsid w:val="00397D3A"/>
    <w:rsid w:val="003A051E"/>
    <w:rsid w:val="003A2FD3"/>
    <w:rsid w:val="003B0A27"/>
    <w:rsid w:val="003B170F"/>
    <w:rsid w:val="003B3C5F"/>
    <w:rsid w:val="003C4342"/>
    <w:rsid w:val="003C4471"/>
    <w:rsid w:val="003C4BCB"/>
    <w:rsid w:val="003D0A6D"/>
    <w:rsid w:val="003D1974"/>
    <w:rsid w:val="003E0B16"/>
    <w:rsid w:val="003E4DB0"/>
    <w:rsid w:val="003E67D1"/>
    <w:rsid w:val="00404329"/>
    <w:rsid w:val="00405DC1"/>
    <w:rsid w:val="00411DB6"/>
    <w:rsid w:val="00415F1F"/>
    <w:rsid w:val="004202D2"/>
    <w:rsid w:val="0042108F"/>
    <w:rsid w:val="00430FED"/>
    <w:rsid w:val="00434A8C"/>
    <w:rsid w:val="00437297"/>
    <w:rsid w:val="00444284"/>
    <w:rsid w:val="00445CE6"/>
    <w:rsid w:val="004534C2"/>
    <w:rsid w:val="0045446F"/>
    <w:rsid w:val="0045683E"/>
    <w:rsid w:val="00457CA3"/>
    <w:rsid w:val="00465BFF"/>
    <w:rsid w:val="00477C72"/>
    <w:rsid w:val="00491675"/>
    <w:rsid w:val="00493855"/>
    <w:rsid w:val="00495E79"/>
    <w:rsid w:val="0049649C"/>
    <w:rsid w:val="004A0692"/>
    <w:rsid w:val="004A1B14"/>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AF9"/>
    <w:rsid w:val="004F5FDF"/>
    <w:rsid w:val="005177FE"/>
    <w:rsid w:val="0052263B"/>
    <w:rsid w:val="00524728"/>
    <w:rsid w:val="005310E9"/>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9458B"/>
    <w:rsid w:val="005A0CCA"/>
    <w:rsid w:val="005A726D"/>
    <w:rsid w:val="005B67AC"/>
    <w:rsid w:val="005B79F4"/>
    <w:rsid w:val="005D2CD6"/>
    <w:rsid w:val="005D43E0"/>
    <w:rsid w:val="005D58A3"/>
    <w:rsid w:val="005E1B79"/>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7A1D"/>
    <w:rsid w:val="00696ED8"/>
    <w:rsid w:val="00697EA1"/>
    <w:rsid w:val="006A2646"/>
    <w:rsid w:val="006A6530"/>
    <w:rsid w:val="006B435A"/>
    <w:rsid w:val="006B4C64"/>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603F5"/>
    <w:rsid w:val="00764DB0"/>
    <w:rsid w:val="00765E60"/>
    <w:rsid w:val="0076764D"/>
    <w:rsid w:val="0077498C"/>
    <w:rsid w:val="007772BD"/>
    <w:rsid w:val="007809BC"/>
    <w:rsid w:val="00782EE1"/>
    <w:rsid w:val="00784128"/>
    <w:rsid w:val="00793173"/>
    <w:rsid w:val="007A107A"/>
    <w:rsid w:val="007A2A33"/>
    <w:rsid w:val="007A627F"/>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13375"/>
    <w:rsid w:val="0082483F"/>
    <w:rsid w:val="00827383"/>
    <w:rsid w:val="008279C0"/>
    <w:rsid w:val="00841051"/>
    <w:rsid w:val="008500BD"/>
    <w:rsid w:val="00857496"/>
    <w:rsid w:val="00860723"/>
    <w:rsid w:val="008723F3"/>
    <w:rsid w:val="00874240"/>
    <w:rsid w:val="00881DE6"/>
    <w:rsid w:val="008837A6"/>
    <w:rsid w:val="0089145D"/>
    <w:rsid w:val="00894C1D"/>
    <w:rsid w:val="00897A78"/>
    <w:rsid w:val="008A4DF2"/>
    <w:rsid w:val="008A6CFE"/>
    <w:rsid w:val="008B5333"/>
    <w:rsid w:val="008B6223"/>
    <w:rsid w:val="008C4AC6"/>
    <w:rsid w:val="008C66E0"/>
    <w:rsid w:val="008D62F7"/>
    <w:rsid w:val="008E0EC8"/>
    <w:rsid w:val="008E3339"/>
    <w:rsid w:val="008E7371"/>
    <w:rsid w:val="008F20FC"/>
    <w:rsid w:val="008F5FFE"/>
    <w:rsid w:val="00905A43"/>
    <w:rsid w:val="00912C79"/>
    <w:rsid w:val="00914A23"/>
    <w:rsid w:val="00935A21"/>
    <w:rsid w:val="00942123"/>
    <w:rsid w:val="0095053A"/>
    <w:rsid w:val="0095207B"/>
    <w:rsid w:val="00962045"/>
    <w:rsid w:val="00967219"/>
    <w:rsid w:val="00971896"/>
    <w:rsid w:val="00980E61"/>
    <w:rsid w:val="00991428"/>
    <w:rsid w:val="00992676"/>
    <w:rsid w:val="009943D1"/>
    <w:rsid w:val="009954B2"/>
    <w:rsid w:val="00995783"/>
    <w:rsid w:val="00996691"/>
    <w:rsid w:val="009B0723"/>
    <w:rsid w:val="009B07AD"/>
    <w:rsid w:val="009B0883"/>
    <w:rsid w:val="009B15E2"/>
    <w:rsid w:val="009B4976"/>
    <w:rsid w:val="009C0B8E"/>
    <w:rsid w:val="009C1BC8"/>
    <w:rsid w:val="009C2442"/>
    <w:rsid w:val="009C5E52"/>
    <w:rsid w:val="009D0811"/>
    <w:rsid w:val="009D0EE1"/>
    <w:rsid w:val="009E2AEB"/>
    <w:rsid w:val="009E2CB8"/>
    <w:rsid w:val="009E2E27"/>
    <w:rsid w:val="009E39B2"/>
    <w:rsid w:val="009E4DE3"/>
    <w:rsid w:val="009F275E"/>
    <w:rsid w:val="009F51DE"/>
    <w:rsid w:val="00A047EE"/>
    <w:rsid w:val="00A11E80"/>
    <w:rsid w:val="00A17858"/>
    <w:rsid w:val="00A2274A"/>
    <w:rsid w:val="00A235B7"/>
    <w:rsid w:val="00A26491"/>
    <w:rsid w:val="00A27A7A"/>
    <w:rsid w:val="00A407EF"/>
    <w:rsid w:val="00A46B4C"/>
    <w:rsid w:val="00A5117B"/>
    <w:rsid w:val="00A54CB5"/>
    <w:rsid w:val="00A60074"/>
    <w:rsid w:val="00A620A6"/>
    <w:rsid w:val="00A62FDA"/>
    <w:rsid w:val="00A6627C"/>
    <w:rsid w:val="00A71019"/>
    <w:rsid w:val="00A81029"/>
    <w:rsid w:val="00A96489"/>
    <w:rsid w:val="00A96BEE"/>
    <w:rsid w:val="00AB685C"/>
    <w:rsid w:val="00AB6C2D"/>
    <w:rsid w:val="00AC08F7"/>
    <w:rsid w:val="00AC3839"/>
    <w:rsid w:val="00AC7082"/>
    <w:rsid w:val="00AC77AA"/>
    <w:rsid w:val="00AD2931"/>
    <w:rsid w:val="00AD513F"/>
    <w:rsid w:val="00AD6870"/>
    <w:rsid w:val="00AE2316"/>
    <w:rsid w:val="00AE74BA"/>
    <w:rsid w:val="00AF228E"/>
    <w:rsid w:val="00B016A8"/>
    <w:rsid w:val="00B12499"/>
    <w:rsid w:val="00B12EF7"/>
    <w:rsid w:val="00B14819"/>
    <w:rsid w:val="00B15E2F"/>
    <w:rsid w:val="00B17AA9"/>
    <w:rsid w:val="00B22DDC"/>
    <w:rsid w:val="00B3084E"/>
    <w:rsid w:val="00B30D9A"/>
    <w:rsid w:val="00B44713"/>
    <w:rsid w:val="00B56103"/>
    <w:rsid w:val="00B64929"/>
    <w:rsid w:val="00B736DF"/>
    <w:rsid w:val="00B743D6"/>
    <w:rsid w:val="00B74FBD"/>
    <w:rsid w:val="00B77F46"/>
    <w:rsid w:val="00B82586"/>
    <w:rsid w:val="00B829A3"/>
    <w:rsid w:val="00B86DB1"/>
    <w:rsid w:val="00B87869"/>
    <w:rsid w:val="00B96CE3"/>
    <w:rsid w:val="00BA543A"/>
    <w:rsid w:val="00BB0F2B"/>
    <w:rsid w:val="00BB38D1"/>
    <w:rsid w:val="00BB3F39"/>
    <w:rsid w:val="00BB7905"/>
    <w:rsid w:val="00BD73DA"/>
    <w:rsid w:val="00BE4FF3"/>
    <w:rsid w:val="00BF50F7"/>
    <w:rsid w:val="00BF6744"/>
    <w:rsid w:val="00C00B20"/>
    <w:rsid w:val="00C02972"/>
    <w:rsid w:val="00C02F29"/>
    <w:rsid w:val="00C1444B"/>
    <w:rsid w:val="00C20AFE"/>
    <w:rsid w:val="00C22A25"/>
    <w:rsid w:val="00C35671"/>
    <w:rsid w:val="00C35B77"/>
    <w:rsid w:val="00C376EB"/>
    <w:rsid w:val="00C42EAE"/>
    <w:rsid w:val="00C4659A"/>
    <w:rsid w:val="00C46A92"/>
    <w:rsid w:val="00C46DF7"/>
    <w:rsid w:val="00C46EC1"/>
    <w:rsid w:val="00C52796"/>
    <w:rsid w:val="00C53E2C"/>
    <w:rsid w:val="00C550C8"/>
    <w:rsid w:val="00C56B61"/>
    <w:rsid w:val="00C606C3"/>
    <w:rsid w:val="00C60B85"/>
    <w:rsid w:val="00C620F4"/>
    <w:rsid w:val="00C63B6D"/>
    <w:rsid w:val="00C63E03"/>
    <w:rsid w:val="00C72848"/>
    <w:rsid w:val="00C73211"/>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622"/>
    <w:rsid w:val="00CF4F9D"/>
    <w:rsid w:val="00CF70DC"/>
    <w:rsid w:val="00D148DC"/>
    <w:rsid w:val="00D17FDC"/>
    <w:rsid w:val="00D21F62"/>
    <w:rsid w:val="00D26E26"/>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97781"/>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17A"/>
    <w:rsid w:val="00F76CD4"/>
    <w:rsid w:val="00F814B4"/>
    <w:rsid w:val="00F83464"/>
    <w:rsid w:val="00F93BE7"/>
    <w:rsid w:val="00F97C5B"/>
    <w:rsid w:val="00FA3D50"/>
    <w:rsid w:val="00FB52EE"/>
    <w:rsid w:val="00FB7FBD"/>
    <w:rsid w:val="00FC374A"/>
    <w:rsid w:val="00FC48D8"/>
    <w:rsid w:val="00FC7B47"/>
    <w:rsid w:val="00FD035C"/>
    <w:rsid w:val="00FD1A35"/>
    <w:rsid w:val="00FD36C5"/>
    <w:rsid w:val="00FD6310"/>
    <w:rsid w:val="00FD7C7B"/>
    <w:rsid w:val="00FD7CD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本 字符"/>
    <w:aliases w:val="fn 字符,Fußnotentext Char Char Char Char 字符,Fußnotentext Char Char Char Char Char Char 字符,Fußnotentext Char Char Char Char Char Char Char Char 字符,Fußnotentextf 字符,footnotes 字符,Footnote Text Char2 Char 字符,Footnote Text Char Char1 Char 字符,ft 字符"/>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批注文字 字符"/>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批注主题 字符"/>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批注框文本 字符"/>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页脚 字符"/>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页眉 字符"/>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197166306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1</Pages>
  <Words>4090</Words>
  <Characters>23318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fu tianxin</cp:lastModifiedBy>
  <cp:revision>15</cp:revision>
  <cp:lastPrinted>2019-08-27T05:42:00Z</cp:lastPrinted>
  <dcterms:created xsi:type="dcterms:W3CDTF">2021-08-17T08:46:00Z</dcterms:created>
  <dcterms:modified xsi:type="dcterms:W3CDTF">2022-02-25T09:14:00Z</dcterms:modified>
</cp:coreProperties>
</file>