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C52693">
        <w:rPr>
          <w:rFonts w:ascii="Arial" w:hAnsi="Arial" w:cs="Arial"/>
          <w:sz w:val="22"/>
          <w:szCs w:val="22"/>
          <w:highlight w:val="yellow"/>
          <w:lang w:val="en-GB"/>
        </w:rPr>
        <w:t>All of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C52693">
        <w:rPr>
          <w:rFonts w:ascii="Arial" w:hAnsi="Arial" w:cs="Arial"/>
          <w:sz w:val="22"/>
          <w:szCs w:val="22"/>
          <w:highlight w:val="yellow"/>
          <w:lang w:val="en-GB"/>
        </w:rPr>
        <w:t>The existence of a statutory basis in national (insolvency) laws for co</w:t>
      </w:r>
      <w:r w:rsidR="00B61419" w:rsidRPr="00C52693">
        <w:rPr>
          <w:rFonts w:ascii="Arial" w:hAnsi="Arial" w:cs="Arial"/>
          <w:sz w:val="22"/>
          <w:szCs w:val="22"/>
          <w:highlight w:val="yellow"/>
          <w:lang w:val="en-GB"/>
        </w:rPr>
        <w:t>-</w:t>
      </w:r>
      <w:r w:rsidRPr="00C52693">
        <w:rPr>
          <w:rFonts w:ascii="Arial" w:hAnsi="Arial" w:cs="Arial"/>
          <w:sz w:val="22"/>
          <w:szCs w:val="22"/>
          <w:highlight w:val="yellow"/>
          <w:lang w:val="en-GB"/>
        </w:rPr>
        <w:t>operation and co</w:t>
      </w:r>
      <w:r w:rsidR="00B61419" w:rsidRPr="00C52693">
        <w:rPr>
          <w:rFonts w:ascii="Arial" w:hAnsi="Arial" w:cs="Arial"/>
          <w:sz w:val="22"/>
          <w:szCs w:val="22"/>
          <w:highlight w:val="yellow"/>
          <w:lang w:val="en-GB"/>
        </w:rPr>
        <w:t>-</w:t>
      </w:r>
      <w:r w:rsidRPr="00C52693">
        <w:rPr>
          <w:rFonts w:ascii="Arial" w:hAnsi="Arial" w:cs="Arial"/>
          <w:sz w:val="22"/>
          <w:szCs w:val="22"/>
          <w:highlight w:val="yellow"/>
          <w:lang w:val="en-GB"/>
        </w:rPr>
        <w:t>ordination of domestic courts with foreign courts or foreign representatives</w:t>
      </w:r>
      <w:r w:rsidRPr="009B5832">
        <w:rPr>
          <w:rFonts w:ascii="Arial" w:hAnsi="Arial" w:cs="Arial"/>
          <w:sz w:val="22"/>
          <w:szCs w:val="22"/>
          <w:lang w:val="en-GB"/>
        </w:rPr>
        <w:t>.</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D95A9A0"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1995343" w14:textId="77777777" w:rsidR="00C52693" w:rsidRPr="009B5832" w:rsidRDefault="00C52693" w:rsidP="00C52693">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C52693">
        <w:rPr>
          <w:rFonts w:ascii="Arial" w:hAnsi="Arial" w:cs="Arial"/>
          <w:sz w:val="22"/>
          <w:szCs w:val="22"/>
          <w:highlight w:val="yellow"/>
          <w:lang w:val="en-GB"/>
        </w:rPr>
        <w:t>The debtor has neither its COMI nor an establishment in the jurisdiction where the foreign proceedings were opened</w:t>
      </w:r>
      <w:r w:rsidRPr="009B5832">
        <w:rPr>
          <w:rFonts w:ascii="Arial" w:hAnsi="Arial" w:cs="Arial"/>
          <w:sz w:val="22"/>
          <w:szCs w:val="22"/>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3356DF" w:rsidRDefault="00E57410" w:rsidP="00322F3B">
      <w:pPr>
        <w:pStyle w:val="ListParagraph"/>
        <w:numPr>
          <w:ilvl w:val="0"/>
          <w:numId w:val="18"/>
        </w:numPr>
        <w:ind w:left="426"/>
        <w:jc w:val="both"/>
        <w:rPr>
          <w:rFonts w:ascii="Arial" w:hAnsi="Arial" w:cs="Arial"/>
          <w:sz w:val="22"/>
          <w:szCs w:val="22"/>
          <w:highlight w:val="yellow"/>
          <w:lang w:val="en-GB"/>
        </w:rPr>
      </w:pPr>
      <w:r w:rsidRPr="003356DF">
        <w:rPr>
          <w:rFonts w:ascii="Arial" w:hAnsi="Arial" w:cs="Arial"/>
          <w:sz w:val="22"/>
          <w:szCs w:val="22"/>
          <w:highlight w:val="yellow"/>
          <w:lang w:val="en-GB"/>
        </w:rPr>
        <w:t xml:space="preserve">The </w:t>
      </w:r>
      <w:r w:rsidRPr="003356DF">
        <w:rPr>
          <w:rFonts w:ascii="Arial" w:hAnsi="Arial" w:cs="Arial"/>
          <w:i/>
          <w:iCs/>
          <w:sz w:val="22"/>
          <w:szCs w:val="22"/>
          <w:highlight w:val="yellow"/>
          <w:lang w:val="en-GB"/>
        </w:rPr>
        <w:t xml:space="preserve">locus </w:t>
      </w:r>
      <w:proofErr w:type="spellStart"/>
      <w:r w:rsidRPr="003356DF">
        <w:rPr>
          <w:rFonts w:ascii="Arial" w:hAnsi="Arial" w:cs="Arial"/>
          <w:i/>
          <w:iCs/>
          <w:sz w:val="22"/>
          <w:szCs w:val="22"/>
          <w:highlight w:val="yellow"/>
          <w:lang w:val="en-GB"/>
        </w:rPr>
        <w:t>standi</w:t>
      </w:r>
      <w:proofErr w:type="spellEnd"/>
      <w:r w:rsidRPr="003356DF">
        <w:rPr>
          <w:rFonts w:ascii="Arial" w:hAnsi="Arial" w:cs="Arial"/>
          <w:sz w:val="22"/>
          <w:szCs w:val="22"/>
          <w:highlight w:val="yellow"/>
          <w:lang w:val="en-GB"/>
        </w:rPr>
        <w:t xml:space="preserve"> access rules.</w:t>
      </w:r>
    </w:p>
    <w:p w14:paraId="19E5DE57" w14:textId="77777777" w:rsidR="00322F3B" w:rsidRPr="003356DF" w:rsidRDefault="00322F3B" w:rsidP="00322F3B">
      <w:pPr>
        <w:jc w:val="both"/>
        <w:rPr>
          <w:rFonts w:ascii="Arial" w:hAnsi="Arial" w:cs="Arial"/>
          <w:sz w:val="22"/>
          <w:szCs w:val="22"/>
          <w:highlight w:val="yellow"/>
          <w:lang w:val="en-GB"/>
        </w:rPr>
      </w:pPr>
    </w:p>
    <w:p w14:paraId="0C2A1A7D" w14:textId="228F81F4" w:rsidR="00E57410" w:rsidRPr="007644EC" w:rsidRDefault="00E57410" w:rsidP="00322F3B">
      <w:pPr>
        <w:pStyle w:val="ListParagraph"/>
        <w:numPr>
          <w:ilvl w:val="0"/>
          <w:numId w:val="18"/>
        </w:numPr>
        <w:ind w:left="426"/>
        <w:jc w:val="both"/>
        <w:rPr>
          <w:rFonts w:ascii="Arial" w:hAnsi="Arial" w:cs="Arial"/>
          <w:sz w:val="22"/>
          <w:szCs w:val="22"/>
          <w:lang w:val="en-GB"/>
        </w:rPr>
      </w:pPr>
      <w:r w:rsidRPr="007644EC">
        <w:rPr>
          <w:rFonts w:ascii="Arial" w:hAnsi="Arial" w:cs="Arial"/>
          <w:sz w:val="22"/>
          <w:szCs w:val="22"/>
          <w:lang w:val="en-GB"/>
        </w:rPr>
        <w:t>The public policy exception.</w:t>
      </w:r>
    </w:p>
    <w:p w14:paraId="76793904" w14:textId="77777777" w:rsidR="00322F3B" w:rsidRPr="003356DF" w:rsidRDefault="00322F3B" w:rsidP="00322F3B">
      <w:pPr>
        <w:jc w:val="both"/>
        <w:rPr>
          <w:rFonts w:ascii="Arial" w:hAnsi="Arial" w:cs="Arial"/>
          <w:sz w:val="22"/>
          <w:szCs w:val="22"/>
          <w:highlight w:val="yellow"/>
          <w:lang w:val="en-GB"/>
        </w:rPr>
      </w:pPr>
    </w:p>
    <w:p w14:paraId="4646EDA0" w14:textId="238D4451" w:rsidR="00E57410" w:rsidRPr="007644EC" w:rsidRDefault="00E57410" w:rsidP="00322F3B">
      <w:pPr>
        <w:pStyle w:val="ListParagraph"/>
        <w:numPr>
          <w:ilvl w:val="0"/>
          <w:numId w:val="18"/>
        </w:numPr>
        <w:ind w:left="426"/>
        <w:jc w:val="both"/>
        <w:rPr>
          <w:rFonts w:ascii="Arial" w:hAnsi="Arial" w:cs="Arial"/>
          <w:sz w:val="22"/>
          <w:szCs w:val="22"/>
          <w:lang w:val="en-GB"/>
        </w:rPr>
      </w:pPr>
      <w:r w:rsidRPr="007644EC">
        <w:rPr>
          <w:rFonts w:ascii="Arial" w:hAnsi="Arial" w:cs="Arial"/>
          <w:sz w:val="22"/>
          <w:szCs w:val="22"/>
          <w:lang w:val="en-GB"/>
        </w:rPr>
        <w:t>The safe conduct rule.</w:t>
      </w:r>
    </w:p>
    <w:p w14:paraId="7D82A69F" w14:textId="77777777" w:rsidR="00322F3B" w:rsidRPr="007644EC" w:rsidRDefault="00322F3B" w:rsidP="00322F3B">
      <w:pPr>
        <w:jc w:val="both"/>
        <w:rPr>
          <w:rFonts w:ascii="Arial" w:hAnsi="Arial" w:cs="Arial"/>
          <w:sz w:val="22"/>
          <w:szCs w:val="22"/>
          <w:lang w:val="en-GB"/>
        </w:rPr>
      </w:pPr>
    </w:p>
    <w:p w14:paraId="2A16E027" w14:textId="7938FA4A" w:rsidR="00E57410" w:rsidRPr="007644EC" w:rsidRDefault="00E57410" w:rsidP="00322F3B">
      <w:pPr>
        <w:pStyle w:val="ListParagraph"/>
        <w:numPr>
          <w:ilvl w:val="0"/>
          <w:numId w:val="18"/>
        </w:numPr>
        <w:ind w:left="426"/>
        <w:jc w:val="both"/>
        <w:rPr>
          <w:rFonts w:ascii="Arial" w:hAnsi="Arial" w:cs="Arial"/>
          <w:sz w:val="22"/>
          <w:szCs w:val="22"/>
          <w:lang w:val="en-GB"/>
        </w:rPr>
      </w:pPr>
      <w:r w:rsidRPr="007644EC">
        <w:rPr>
          <w:rFonts w:ascii="Arial" w:hAnsi="Arial" w:cs="Arial"/>
          <w:sz w:val="22"/>
          <w:szCs w:val="22"/>
          <w:lang w:val="en-GB"/>
        </w:rPr>
        <w:t xml:space="preserve">The </w:t>
      </w:r>
      <w:r w:rsidR="001747C2" w:rsidRPr="007644EC">
        <w:rPr>
          <w:rFonts w:ascii="Arial" w:hAnsi="Arial" w:cs="Arial"/>
          <w:sz w:val="22"/>
          <w:szCs w:val="22"/>
          <w:lang w:val="en-GB"/>
        </w:rPr>
        <w:t>“</w:t>
      </w:r>
      <w:r w:rsidRPr="007644EC">
        <w:rPr>
          <w:rFonts w:ascii="Arial" w:hAnsi="Arial" w:cs="Arial"/>
          <w:sz w:val="22"/>
          <w:szCs w:val="22"/>
          <w:lang w:val="en-GB"/>
        </w:rPr>
        <w:t>hotchpot</w:t>
      </w:r>
      <w:r w:rsidR="001747C2" w:rsidRPr="007644EC">
        <w:rPr>
          <w:rFonts w:ascii="Arial" w:hAnsi="Arial" w:cs="Arial"/>
          <w:sz w:val="22"/>
          <w:szCs w:val="22"/>
          <w:lang w:val="en-GB"/>
        </w:rPr>
        <w:t>”</w:t>
      </w:r>
      <w:r w:rsidRPr="007644EC">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7644EC">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2A0E4B" w:rsidRDefault="00B72F5F" w:rsidP="00114082">
      <w:pPr>
        <w:pStyle w:val="ListParagraph"/>
        <w:numPr>
          <w:ilvl w:val="0"/>
          <w:numId w:val="26"/>
        </w:numPr>
        <w:ind w:left="426"/>
        <w:jc w:val="both"/>
        <w:rPr>
          <w:rFonts w:ascii="Arial" w:hAnsi="Arial" w:cs="Arial"/>
          <w:sz w:val="22"/>
          <w:szCs w:val="22"/>
          <w:lang w:val="en-GB"/>
        </w:rPr>
      </w:pPr>
      <w:r w:rsidRPr="002A0E4B">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2A0E4B" w:rsidRDefault="00B72F5F" w:rsidP="00114082">
      <w:pPr>
        <w:pStyle w:val="ListParagraph"/>
        <w:numPr>
          <w:ilvl w:val="0"/>
          <w:numId w:val="26"/>
        </w:numPr>
        <w:ind w:left="426"/>
        <w:jc w:val="both"/>
        <w:rPr>
          <w:rFonts w:ascii="Arial" w:hAnsi="Arial" w:cs="Arial"/>
          <w:sz w:val="22"/>
          <w:szCs w:val="22"/>
          <w:lang w:val="en-GB"/>
        </w:rPr>
      </w:pPr>
      <w:r w:rsidRPr="00C370B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370BD">
        <w:rPr>
          <w:rFonts w:ascii="Arial" w:hAnsi="Arial" w:cs="Arial"/>
          <w:sz w:val="22"/>
          <w:szCs w:val="22"/>
          <w:highlight w:val="yellow"/>
          <w:lang w:val="en-GB"/>
        </w:rPr>
        <w:t>will</w:t>
      </w:r>
      <w:r w:rsidRPr="00C370BD">
        <w:rPr>
          <w:rFonts w:ascii="Arial" w:hAnsi="Arial" w:cs="Arial"/>
          <w:sz w:val="22"/>
          <w:szCs w:val="22"/>
          <w:highlight w:val="yellow"/>
          <w:lang w:val="en-GB"/>
        </w:rPr>
        <w:t xml:space="preserve"> not be either adjusted or terminated if consistent with the domestic insolvency proceedings</w:t>
      </w:r>
      <w:r w:rsidRPr="002A0E4B">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DD10BF">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9B5832">
        <w:rPr>
          <w:rFonts w:ascii="Arial" w:hAnsi="Arial" w:cs="Arial"/>
          <w:sz w:val="22"/>
          <w:szCs w:val="22"/>
          <w:lang w:val="en-GB"/>
        </w:rPr>
        <w:t>.</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DD10BF">
        <w:rPr>
          <w:rFonts w:ascii="Arial" w:hAnsi="Arial" w:cs="Arial"/>
          <w:sz w:val="22"/>
          <w:szCs w:val="22"/>
          <w:highlight w:val="yellow"/>
          <w:lang w:val="en-GB"/>
        </w:rPr>
        <w:t>COMI is a defined term in the Model Law</w:t>
      </w:r>
      <w:r w:rsidRPr="009B5832">
        <w:rPr>
          <w:rFonts w:ascii="Arial" w:hAnsi="Arial" w:cs="Arial"/>
          <w:sz w:val="22"/>
          <w:szCs w:val="22"/>
          <w:lang w:val="en-GB"/>
        </w:rPr>
        <w:t>.</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DD10BF">
        <w:rPr>
          <w:rFonts w:ascii="Arial" w:hAnsi="Arial" w:cs="Arial"/>
          <w:sz w:val="22"/>
          <w:szCs w:val="22"/>
          <w:highlight w:val="yellow"/>
          <w:lang w:val="en-GB"/>
        </w:rPr>
        <w:t xml:space="preserve">Both </w:t>
      </w:r>
      <w:r w:rsidR="00114082" w:rsidRPr="00DD10BF">
        <w:rPr>
          <w:rFonts w:ascii="Arial" w:hAnsi="Arial" w:cs="Arial"/>
          <w:sz w:val="22"/>
          <w:szCs w:val="22"/>
          <w:highlight w:val="yellow"/>
          <w:lang w:val="en-GB"/>
        </w:rPr>
        <w:t>(</w:t>
      </w:r>
      <w:r w:rsidRPr="00DD10BF">
        <w:rPr>
          <w:rFonts w:ascii="Arial" w:hAnsi="Arial" w:cs="Arial"/>
          <w:sz w:val="22"/>
          <w:szCs w:val="22"/>
          <w:highlight w:val="yellow"/>
          <w:lang w:val="en-GB"/>
        </w:rPr>
        <w:t>a</w:t>
      </w:r>
      <w:r w:rsidR="00114082" w:rsidRPr="00DD10BF">
        <w:rPr>
          <w:rFonts w:ascii="Arial" w:hAnsi="Arial" w:cs="Arial"/>
          <w:sz w:val="22"/>
          <w:szCs w:val="22"/>
          <w:highlight w:val="yellow"/>
          <w:lang w:val="en-GB"/>
        </w:rPr>
        <w:t>)</w:t>
      </w:r>
      <w:r w:rsidRPr="00DD10BF">
        <w:rPr>
          <w:rFonts w:ascii="Arial" w:hAnsi="Arial" w:cs="Arial"/>
          <w:sz w:val="22"/>
          <w:szCs w:val="22"/>
          <w:highlight w:val="yellow"/>
          <w:lang w:val="en-GB"/>
        </w:rPr>
        <w:t xml:space="preserve"> and </w:t>
      </w:r>
      <w:r w:rsidR="00114082" w:rsidRPr="00DD10BF">
        <w:rPr>
          <w:rFonts w:ascii="Arial" w:hAnsi="Arial" w:cs="Arial"/>
          <w:sz w:val="22"/>
          <w:szCs w:val="22"/>
          <w:highlight w:val="yellow"/>
          <w:lang w:val="en-GB"/>
        </w:rPr>
        <w:t>(</w:t>
      </w:r>
      <w:r w:rsidRPr="00DD10BF">
        <w:rPr>
          <w:rFonts w:ascii="Arial" w:hAnsi="Arial" w:cs="Arial"/>
          <w:sz w:val="22"/>
          <w:szCs w:val="22"/>
          <w:highlight w:val="yellow"/>
          <w:lang w:val="en-GB"/>
        </w:rPr>
        <w:t>b</w:t>
      </w:r>
      <w:r w:rsidR="00114082" w:rsidRPr="00DD10BF">
        <w:rPr>
          <w:rFonts w:ascii="Arial" w:hAnsi="Arial" w:cs="Arial"/>
          <w:sz w:val="22"/>
          <w:szCs w:val="22"/>
          <w:highlight w:val="yellow"/>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213A21">
        <w:rPr>
          <w:rFonts w:ascii="Arial" w:hAnsi="Arial" w:cs="Arial"/>
          <w:sz w:val="22"/>
          <w:szCs w:val="22"/>
          <w:highlight w:val="yellow"/>
          <w:lang w:val="en-GB"/>
        </w:rPr>
        <w:t>All of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2C610C9" w14:textId="17821075" w:rsidR="00DE03AF" w:rsidRPr="009B5832" w:rsidRDefault="00BB7BB7" w:rsidP="00707FC8">
      <w:pPr>
        <w:jc w:val="both"/>
        <w:rPr>
          <w:rFonts w:ascii="Arial" w:hAnsi="Arial" w:cs="Arial"/>
          <w:sz w:val="22"/>
          <w:szCs w:val="22"/>
          <w:lang w:val="en-GB"/>
        </w:rPr>
      </w:pPr>
      <w:r>
        <w:rPr>
          <w:rFonts w:ascii="Arial" w:hAnsi="Arial" w:cs="Arial"/>
          <w:sz w:val="22"/>
          <w:szCs w:val="22"/>
          <w:lang w:val="en-GB"/>
        </w:rPr>
        <w:t>As a starting point</w:t>
      </w:r>
      <w:r w:rsidR="007A5891">
        <w:rPr>
          <w:rFonts w:ascii="Arial" w:hAnsi="Arial" w:cs="Arial"/>
          <w:sz w:val="22"/>
          <w:szCs w:val="22"/>
          <w:lang w:val="en-GB"/>
        </w:rPr>
        <w:t xml:space="preserve">, the appropriate date for determining the COMI of a debtor or whether an establishment exists is the date of the commencement of the foreign proceeding. However, in circumstances where the COMI of a debtor </w:t>
      </w:r>
      <w:r>
        <w:rPr>
          <w:rFonts w:ascii="Arial" w:hAnsi="Arial" w:cs="Arial"/>
          <w:sz w:val="22"/>
          <w:szCs w:val="22"/>
          <w:lang w:val="en-GB"/>
        </w:rPr>
        <w:t xml:space="preserve">has </w:t>
      </w:r>
      <w:r w:rsidR="007A5891">
        <w:rPr>
          <w:rFonts w:ascii="Arial" w:hAnsi="Arial" w:cs="Arial"/>
          <w:sz w:val="22"/>
          <w:szCs w:val="22"/>
          <w:lang w:val="en-GB"/>
        </w:rPr>
        <w:t>move</w:t>
      </w:r>
      <w:r>
        <w:rPr>
          <w:rFonts w:ascii="Arial" w:hAnsi="Arial" w:cs="Arial"/>
          <w:sz w:val="22"/>
          <w:szCs w:val="22"/>
          <w:lang w:val="en-GB"/>
        </w:rPr>
        <w:t>d</w:t>
      </w:r>
      <w:r w:rsidR="007A5891">
        <w:rPr>
          <w:rFonts w:ascii="Arial" w:hAnsi="Arial" w:cs="Arial"/>
          <w:sz w:val="22"/>
          <w:szCs w:val="22"/>
          <w:lang w:val="en-GB"/>
        </w:rPr>
        <w:t xml:space="preserve">, </w:t>
      </w:r>
      <w:r>
        <w:rPr>
          <w:rFonts w:ascii="Arial" w:hAnsi="Arial" w:cs="Arial"/>
          <w:sz w:val="22"/>
          <w:szCs w:val="22"/>
          <w:lang w:val="en-GB"/>
        </w:rPr>
        <w:t xml:space="preserve">if such move is proximate in time to the commencement of the foreign proceedings, evidence for establishing COMI will be harder to establish, particularly the requirement that it must be readily ascertainable by third parties, such as creditors. This has led the </w:t>
      </w:r>
      <w:r w:rsidR="007A5891">
        <w:rPr>
          <w:rFonts w:ascii="Arial" w:hAnsi="Arial" w:cs="Arial"/>
          <w:sz w:val="22"/>
          <w:szCs w:val="22"/>
          <w:lang w:val="en-GB"/>
        </w:rPr>
        <w:t>courts in the US</w:t>
      </w:r>
      <w:r w:rsidR="007A5891">
        <w:rPr>
          <w:rStyle w:val="FootnoteReference"/>
          <w:rFonts w:ascii="Arial" w:hAnsi="Arial" w:cs="Arial"/>
          <w:sz w:val="22"/>
          <w:szCs w:val="22"/>
          <w:lang w:val="en-GB"/>
        </w:rPr>
        <w:footnoteReference w:id="1"/>
      </w:r>
      <w:r w:rsidR="0021292C">
        <w:rPr>
          <w:rFonts w:ascii="Arial" w:hAnsi="Arial" w:cs="Arial"/>
          <w:sz w:val="22"/>
          <w:szCs w:val="22"/>
          <w:lang w:val="en-GB"/>
        </w:rPr>
        <w:t>,</w:t>
      </w:r>
      <w:r w:rsidR="007A5891">
        <w:rPr>
          <w:rFonts w:ascii="Arial" w:hAnsi="Arial" w:cs="Arial"/>
          <w:sz w:val="22"/>
          <w:szCs w:val="22"/>
          <w:lang w:val="en-GB"/>
        </w:rPr>
        <w:t xml:space="preserve"> and more recently in the UK</w:t>
      </w:r>
      <w:r w:rsidR="007A5891">
        <w:rPr>
          <w:rStyle w:val="FootnoteReference"/>
          <w:rFonts w:ascii="Arial" w:hAnsi="Arial" w:cs="Arial"/>
          <w:sz w:val="22"/>
          <w:szCs w:val="22"/>
          <w:lang w:val="en-GB"/>
        </w:rPr>
        <w:footnoteReference w:id="2"/>
      </w:r>
      <w:r w:rsidR="0021292C">
        <w:rPr>
          <w:rFonts w:ascii="Arial" w:hAnsi="Arial" w:cs="Arial"/>
          <w:sz w:val="22"/>
          <w:szCs w:val="22"/>
          <w:lang w:val="en-GB"/>
        </w:rPr>
        <w:t>,</w:t>
      </w:r>
      <w:r w:rsidR="007A5891">
        <w:rPr>
          <w:rFonts w:ascii="Arial" w:hAnsi="Arial" w:cs="Arial"/>
          <w:sz w:val="22"/>
          <w:szCs w:val="22"/>
          <w:lang w:val="en-GB"/>
        </w:rPr>
        <w:t xml:space="preserve"> </w:t>
      </w:r>
      <w:r>
        <w:rPr>
          <w:rFonts w:ascii="Arial" w:hAnsi="Arial" w:cs="Arial"/>
          <w:sz w:val="22"/>
          <w:szCs w:val="22"/>
          <w:lang w:val="en-GB"/>
        </w:rPr>
        <w:t xml:space="preserve">to take </w:t>
      </w:r>
      <w:r w:rsidR="007A5891">
        <w:rPr>
          <w:rFonts w:ascii="Arial" w:hAnsi="Arial" w:cs="Arial"/>
          <w:sz w:val="22"/>
          <w:szCs w:val="22"/>
          <w:lang w:val="en-GB"/>
        </w:rPr>
        <w:t xml:space="preserve">a more nuanced approach </w:t>
      </w:r>
      <w:r>
        <w:rPr>
          <w:rFonts w:ascii="Arial" w:hAnsi="Arial" w:cs="Arial"/>
          <w:sz w:val="22"/>
          <w:szCs w:val="22"/>
          <w:lang w:val="en-GB"/>
        </w:rPr>
        <w:t>to the ques</w:t>
      </w:r>
      <w:r w:rsidR="0021292C">
        <w:rPr>
          <w:rFonts w:ascii="Arial" w:hAnsi="Arial" w:cs="Arial"/>
          <w:sz w:val="22"/>
          <w:szCs w:val="22"/>
          <w:lang w:val="en-GB"/>
        </w:rPr>
        <w:t xml:space="preserve">tion of establishing COMI. The </w:t>
      </w:r>
      <w:r w:rsidR="007A5891">
        <w:rPr>
          <w:rFonts w:ascii="Arial" w:hAnsi="Arial" w:cs="Arial"/>
          <w:sz w:val="22"/>
          <w:szCs w:val="22"/>
          <w:lang w:val="en-GB"/>
        </w:rPr>
        <w:t>filin</w:t>
      </w:r>
      <w:r w:rsidR="0021292C">
        <w:rPr>
          <w:rFonts w:ascii="Arial" w:hAnsi="Arial" w:cs="Arial"/>
          <w:sz w:val="22"/>
          <w:szCs w:val="22"/>
          <w:lang w:val="en-GB"/>
        </w:rPr>
        <w:t xml:space="preserve">g of the </w:t>
      </w:r>
      <w:r w:rsidR="007A5891">
        <w:rPr>
          <w:rFonts w:ascii="Arial" w:hAnsi="Arial" w:cs="Arial"/>
          <w:sz w:val="22"/>
          <w:szCs w:val="22"/>
          <w:lang w:val="en-GB"/>
        </w:rPr>
        <w:t xml:space="preserve">Chapter 15 </w:t>
      </w:r>
      <w:r w:rsidR="0021292C">
        <w:rPr>
          <w:rFonts w:ascii="Arial" w:hAnsi="Arial" w:cs="Arial"/>
          <w:sz w:val="22"/>
          <w:szCs w:val="22"/>
          <w:lang w:val="en-GB"/>
        </w:rPr>
        <w:t xml:space="preserve">(recognition) </w:t>
      </w:r>
      <w:r w:rsidR="007A5891">
        <w:rPr>
          <w:rFonts w:ascii="Arial" w:hAnsi="Arial" w:cs="Arial"/>
          <w:sz w:val="22"/>
          <w:szCs w:val="22"/>
          <w:lang w:val="en-GB"/>
        </w:rPr>
        <w:t xml:space="preserve">proceedings </w:t>
      </w:r>
      <w:r w:rsidR="0021292C">
        <w:rPr>
          <w:rFonts w:ascii="Arial" w:hAnsi="Arial" w:cs="Arial"/>
          <w:sz w:val="22"/>
          <w:szCs w:val="22"/>
          <w:lang w:val="en-GB"/>
        </w:rPr>
        <w:t xml:space="preserve">in </w:t>
      </w:r>
      <w:r w:rsidR="0021292C" w:rsidRPr="0021292C">
        <w:rPr>
          <w:rFonts w:ascii="Arial" w:hAnsi="Arial" w:cs="Arial"/>
          <w:i/>
          <w:sz w:val="22"/>
          <w:szCs w:val="22"/>
          <w:lang w:val="en-GB"/>
        </w:rPr>
        <w:t>Morning Mist</w:t>
      </w:r>
      <w:r w:rsidR="0021292C">
        <w:rPr>
          <w:rFonts w:ascii="Arial" w:hAnsi="Arial" w:cs="Arial"/>
          <w:sz w:val="22"/>
          <w:szCs w:val="22"/>
          <w:lang w:val="en-GB"/>
        </w:rPr>
        <w:t xml:space="preserve"> (in the US)</w:t>
      </w:r>
      <w:r w:rsidR="007A5891">
        <w:rPr>
          <w:rFonts w:ascii="Arial" w:hAnsi="Arial" w:cs="Arial"/>
          <w:sz w:val="22"/>
          <w:szCs w:val="22"/>
          <w:lang w:val="en-GB"/>
        </w:rPr>
        <w:t xml:space="preserve"> </w:t>
      </w:r>
      <w:r>
        <w:rPr>
          <w:rFonts w:ascii="Arial" w:hAnsi="Arial" w:cs="Arial"/>
          <w:sz w:val="22"/>
          <w:szCs w:val="22"/>
          <w:lang w:val="en-GB"/>
        </w:rPr>
        <w:t>and the</w:t>
      </w:r>
      <w:r w:rsidR="0021292C">
        <w:rPr>
          <w:rFonts w:ascii="Arial" w:hAnsi="Arial" w:cs="Arial"/>
          <w:sz w:val="22"/>
          <w:szCs w:val="22"/>
          <w:lang w:val="en-GB"/>
        </w:rPr>
        <w:t xml:space="preserve"> date of the recognition application in </w:t>
      </w:r>
      <w:r w:rsidR="0021292C" w:rsidRPr="0021292C">
        <w:rPr>
          <w:rFonts w:ascii="Arial" w:hAnsi="Arial" w:cs="Arial"/>
          <w:i/>
          <w:sz w:val="22"/>
          <w:szCs w:val="22"/>
          <w:lang w:val="en-GB"/>
        </w:rPr>
        <w:t xml:space="preserve">Re </w:t>
      </w:r>
      <w:proofErr w:type="spellStart"/>
      <w:r w:rsidR="0021292C" w:rsidRPr="0021292C">
        <w:rPr>
          <w:rFonts w:ascii="Arial" w:hAnsi="Arial" w:cs="Arial"/>
          <w:i/>
          <w:sz w:val="22"/>
          <w:szCs w:val="22"/>
          <w:lang w:val="en-GB"/>
        </w:rPr>
        <w:t>Toisa</w:t>
      </w:r>
      <w:proofErr w:type="spellEnd"/>
      <w:r w:rsidR="0021292C">
        <w:rPr>
          <w:rFonts w:ascii="Arial" w:hAnsi="Arial" w:cs="Arial"/>
          <w:sz w:val="22"/>
          <w:szCs w:val="22"/>
          <w:lang w:val="en-GB"/>
        </w:rPr>
        <w:t xml:space="preserve"> (in the UK) was considered to be the appropriate date for establishing COMI. In </w:t>
      </w:r>
      <w:r w:rsidR="0021292C" w:rsidRPr="0021292C">
        <w:rPr>
          <w:rFonts w:ascii="Arial" w:hAnsi="Arial" w:cs="Arial"/>
          <w:i/>
          <w:sz w:val="22"/>
          <w:szCs w:val="22"/>
          <w:lang w:val="en-GB"/>
        </w:rPr>
        <w:t>Morning Mist</w:t>
      </w:r>
      <w:r w:rsidR="0021292C">
        <w:rPr>
          <w:rFonts w:ascii="Arial" w:hAnsi="Arial" w:cs="Arial"/>
          <w:sz w:val="22"/>
          <w:szCs w:val="22"/>
          <w:lang w:val="en-GB"/>
        </w:rPr>
        <w:t xml:space="preserve"> the 2</w:t>
      </w:r>
      <w:r w:rsidR="0021292C" w:rsidRPr="0021292C">
        <w:rPr>
          <w:rFonts w:ascii="Arial" w:hAnsi="Arial" w:cs="Arial"/>
          <w:sz w:val="22"/>
          <w:szCs w:val="22"/>
          <w:vertAlign w:val="superscript"/>
          <w:lang w:val="en-GB"/>
        </w:rPr>
        <w:t>nd</w:t>
      </w:r>
      <w:r w:rsidR="0021292C">
        <w:rPr>
          <w:rFonts w:ascii="Arial" w:hAnsi="Arial" w:cs="Arial"/>
          <w:sz w:val="22"/>
          <w:szCs w:val="22"/>
          <w:lang w:val="en-GB"/>
        </w:rPr>
        <w:t xml:space="preserve"> Circuit considered </w:t>
      </w:r>
      <w:r>
        <w:rPr>
          <w:rFonts w:ascii="Arial" w:hAnsi="Arial" w:cs="Arial"/>
          <w:sz w:val="22"/>
          <w:szCs w:val="22"/>
          <w:lang w:val="en-GB"/>
        </w:rPr>
        <w:t xml:space="preserve">any relevant events occurring in that period such as liquidation activities can be considered in the COMI analysis. This approach has </w:t>
      </w:r>
      <w:r w:rsidR="0021292C">
        <w:rPr>
          <w:rFonts w:ascii="Arial" w:hAnsi="Arial" w:cs="Arial"/>
          <w:sz w:val="22"/>
          <w:szCs w:val="22"/>
          <w:lang w:val="en-GB"/>
        </w:rPr>
        <w:t xml:space="preserve">seemingly </w:t>
      </w:r>
      <w:r>
        <w:rPr>
          <w:rFonts w:ascii="Arial" w:hAnsi="Arial" w:cs="Arial"/>
          <w:sz w:val="22"/>
          <w:szCs w:val="22"/>
          <w:lang w:val="en-GB"/>
        </w:rPr>
        <w:t xml:space="preserve">been taken in order to avoid COMI shifting for forum shopping purposes.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17CF4DE2" w:rsidR="000E6325" w:rsidRDefault="000E6325" w:rsidP="00ED6A32">
      <w:pPr>
        <w:ind w:left="1440" w:hanging="1440"/>
        <w:jc w:val="both"/>
        <w:rPr>
          <w:rFonts w:ascii="Arial" w:hAnsi="Arial" w:cs="Arial"/>
          <w:iCs/>
          <w:sz w:val="22"/>
          <w:szCs w:val="22"/>
          <w:lang w:val="en-GB"/>
        </w:rPr>
      </w:pPr>
    </w:p>
    <w:p w14:paraId="753244EE" w14:textId="46246DF5" w:rsidR="00B05061" w:rsidRDefault="002A0E4B" w:rsidP="00B05061">
      <w:pPr>
        <w:jc w:val="both"/>
        <w:rPr>
          <w:rFonts w:ascii="Arial" w:hAnsi="Arial" w:cs="Arial"/>
          <w:iCs/>
          <w:sz w:val="22"/>
          <w:szCs w:val="22"/>
          <w:lang w:val="en-GB"/>
        </w:rPr>
      </w:pPr>
      <w:r>
        <w:rPr>
          <w:rFonts w:ascii="Arial" w:hAnsi="Arial" w:cs="Arial"/>
          <w:iCs/>
          <w:sz w:val="22"/>
          <w:szCs w:val="22"/>
          <w:lang w:val="en-GB"/>
        </w:rPr>
        <w:t>Statement 1 r</w:t>
      </w:r>
      <w:r w:rsidR="00B05061">
        <w:rPr>
          <w:rFonts w:ascii="Arial" w:hAnsi="Arial" w:cs="Arial"/>
          <w:iCs/>
          <w:sz w:val="22"/>
          <w:szCs w:val="22"/>
          <w:lang w:val="en-GB"/>
        </w:rPr>
        <w:t xml:space="preserve">elates to Article 30(c) of the Model Law dealing with concurrency of two foreign non main proceedings, and provides that no foreign non-main proceeding is </w:t>
      </w:r>
      <w:r w:rsidR="00B05061" w:rsidRPr="00B05061">
        <w:rPr>
          <w:rFonts w:ascii="Arial" w:hAnsi="Arial" w:cs="Arial"/>
          <w:i/>
          <w:iCs/>
          <w:sz w:val="22"/>
          <w:szCs w:val="22"/>
          <w:lang w:val="en-GB"/>
        </w:rPr>
        <w:t>a priori</w:t>
      </w:r>
      <w:r w:rsidR="00B05061">
        <w:rPr>
          <w:rFonts w:ascii="Arial" w:hAnsi="Arial" w:cs="Arial"/>
          <w:iCs/>
          <w:sz w:val="22"/>
          <w:szCs w:val="22"/>
          <w:lang w:val="en-GB"/>
        </w:rPr>
        <w:t xml:space="preserve"> treated preferentially and that the court must grant, modify or terminate relief for the purpose of facilitating coordination of the two proceedings. </w:t>
      </w:r>
    </w:p>
    <w:p w14:paraId="7A2EC371" w14:textId="77777777" w:rsidR="00B05061" w:rsidRDefault="00B05061" w:rsidP="00B05061">
      <w:pPr>
        <w:jc w:val="both"/>
        <w:rPr>
          <w:rFonts w:ascii="Arial" w:hAnsi="Arial" w:cs="Arial"/>
          <w:iCs/>
          <w:sz w:val="22"/>
          <w:szCs w:val="22"/>
          <w:lang w:val="en-GB"/>
        </w:rPr>
      </w:pPr>
    </w:p>
    <w:p w14:paraId="06EB8BC8" w14:textId="697793AB" w:rsidR="002A0E4B" w:rsidRDefault="00B05061" w:rsidP="00B05061">
      <w:pPr>
        <w:jc w:val="both"/>
        <w:rPr>
          <w:rFonts w:ascii="Arial" w:hAnsi="Arial" w:cs="Arial"/>
          <w:iCs/>
          <w:sz w:val="22"/>
          <w:szCs w:val="22"/>
          <w:lang w:val="en-GB"/>
        </w:rPr>
      </w:pPr>
      <w:r>
        <w:rPr>
          <w:rFonts w:ascii="Arial" w:hAnsi="Arial" w:cs="Arial"/>
          <w:iCs/>
          <w:sz w:val="22"/>
          <w:szCs w:val="22"/>
          <w:lang w:val="en-GB"/>
        </w:rPr>
        <w:t xml:space="preserve">Statement 2 relates to the 'hotchpot rule' in Article 32 of the Model Law. This rule serves to prevent a creditor obtaining more favourable treatment than the other creditors in the same class by obtaining payment of the same claim in insolvency proceedings in other jurisdictions. </w:t>
      </w:r>
    </w:p>
    <w:p w14:paraId="2B6905FA" w14:textId="2A49A363" w:rsidR="00B05061" w:rsidRDefault="00B05061" w:rsidP="00B05061">
      <w:pPr>
        <w:jc w:val="both"/>
        <w:rPr>
          <w:rFonts w:ascii="Arial" w:hAnsi="Arial" w:cs="Arial"/>
          <w:iCs/>
          <w:sz w:val="22"/>
          <w:szCs w:val="22"/>
          <w:lang w:val="en-GB"/>
        </w:rPr>
      </w:pPr>
    </w:p>
    <w:p w14:paraId="660DD1F9" w14:textId="6278A0DF" w:rsidR="00B05061" w:rsidRPr="009B5832" w:rsidRDefault="00B05061" w:rsidP="00B05061">
      <w:pPr>
        <w:jc w:val="both"/>
        <w:rPr>
          <w:rFonts w:ascii="Arial" w:hAnsi="Arial" w:cs="Arial"/>
          <w:iCs/>
          <w:sz w:val="22"/>
          <w:szCs w:val="22"/>
          <w:lang w:val="en-GB"/>
        </w:rPr>
      </w:pPr>
      <w:r>
        <w:rPr>
          <w:rFonts w:ascii="Arial" w:hAnsi="Arial" w:cs="Arial"/>
          <w:iCs/>
          <w:sz w:val="22"/>
          <w:szCs w:val="22"/>
          <w:lang w:val="en-GB"/>
        </w:rPr>
        <w:t xml:space="preserve">Statement 3 relates to </w:t>
      </w:r>
      <w:r w:rsidR="00421473">
        <w:rPr>
          <w:rFonts w:ascii="Arial" w:hAnsi="Arial" w:cs="Arial"/>
          <w:iCs/>
          <w:sz w:val="22"/>
          <w:szCs w:val="22"/>
          <w:lang w:val="en-GB"/>
        </w:rPr>
        <w:t xml:space="preserve">Article 31 of the Model Law which provides that for the purposes of opening a domestic insolvency proceeding, where recognition of a foreign main proceeding has been obtained, there is a rebuttable presumption of insolvency in relation to the debtor.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4C9738E0" w14:textId="77777777" w:rsidR="00931464" w:rsidRDefault="00421473" w:rsidP="00707FC8">
      <w:pPr>
        <w:jc w:val="both"/>
        <w:rPr>
          <w:rFonts w:ascii="Arial" w:hAnsi="Arial" w:cs="Arial"/>
          <w:sz w:val="22"/>
          <w:szCs w:val="22"/>
          <w:lang w:val="en-GB"/>
        </w:rPr>
      </w:pPr>
      <w:r>
        <w:rPr>
          <w:rFonts w:ascii="Arial" w:hAnsi="Arial" w:cs="Arial"/>
          <w:sz w:val="22"/>
          <w:szCs w:val="22"/>
          <w:lang w:val="en-GB"/>
        </w:rPr>
        <w:t xml:space="preserve">The English Court of Appeal held that </w:t>
      </w:r>
      <w:r w:rsidR="00E61016">
        <w:rPr>
          <w:rFonts w:ascii="Arial" w:hAnsi="Arial" w:cs="Arial"/>
          <w:sz w:val="22"/>
          <w:szCs w:val="22"/>
          <w:lang w:val="en-GB"/>
        </w:rPr>
        <w:t xml:space="preserve">the </w:t>
      </w:r>
      <w:r>
        <w:rPr>
          <w:rFonts w:ascii="Arial" w:hAnsi="Arial" w:cs="Arial"/>
          <w:sz w:val="22"/>
          <w:szCs w:val="22"/>
          <w:lang w:val="en-GB"/>
        </w:rPr>
        <w:t>indefinite Moratorium Continuation sought did not satisfy the test of necessity in Article 21(1) of the Mode</w:t>
      </w:r>
      <w:r w:rsidR="00E61016">
        <w:rPr>
          <w:rFonts w:ascii="Arial" w:hAnsi="Arial" w:cs="Arial"/>
          <w:sz w:val="22"/>
          <w:szCs w:val="22"/>
          <w:lang w:val="en-GB"/>
        </w:rPr>
        <w:t>l</w:t>
      </w:r>
      <w:r>
        <w:rPr>
          <w:rFonts w:ascii="Arial" w:hAnsi="Arial" w:cs="Arial"/>
          <w:sz w:val="22"/>
          <w:szCs w:val="22"/>
          <w:lang w:val="en-GB"/>
        </w:rPr>
        <w:t xml:space="preserve"> Law </w:t>
      </w:r>
      <w:r w:rsidR="00E61016">
        <w:rPr>
          <w:rFonts w:ascii="Arial" w:hAnsi="Arial" w:cs="Arial"/>
          <w:sz w:val="22"/>
          <w:szCs w:val="22"/>
          <w:lang w:val="en-GB"/>
        </w:rPr>
        <w:t>because although theoretically it could be argued that the IBA creditors who participated in the restructuring plan could be prejudiced if the ability of IBA to repay the corporate bonds (issued as part of the plan) if the English / challenging creditors successfully enforced their stayed claims, this was a "</w:t>
      </w:r>
      <w:r w:rsidR="00E61016" w:rsidRPr="00E61016">
        <w:rPr>
          <w:rFonts w:ascii="Arial" w:hAnsi="Arial" w:cs="Arial"/>
          <w:i/>
          <w:sz w:val="22"/>
          <w:szCs w:val="22"/>
          <w:lang w:val="en-GB"/>
        </w:rPr>
        <w:t>far too indirect and imponderable a consideration</w:t>
      </w:r>
      <w:r w:rsidR="00E61016">
        <w:rPr>
          <w:rFonts w:ascii="Arial" w:hAnsi="Arial" w:cs="Arial"/>
          <w:sz w:val="22"/>
          <w:szCs w:val="22"/>
          <w:lang w:val="en-GB"/>
        </w:rPr>
        <w:t>"</w:t>
      </w:r>
      <w:r w:rsidR="00E61016">
        <w:rPr>
          <w:rStyle w:val="FootnoteReference"/>
          <w:rFonts w:ascii="Arial" w:hAnsi="Arial" w:cs="Arial"/>
          <w:sz w:val="22"/>
          <w:szCs w:val="22"/>
          <w:lang w:val="en-GB"/>
        </w:rPr>
        <w:footnoteReference w:id="3"/>
      </w:r>
      <w:r w:rsidR="00E61016">
        <w:rPr>
          <w:rFonts w:ascii="Arial" w:hAnsi="Arial" w:cs="Arial"/>
          <w:sz w:val="22"/>
          <w:szCs w:val="22"/>
          <w:lang w:val="en-GB"/>
        </w:rPr>
        <w:t xml:space="preserve">. </w:t>
      </w:r>
    </w:p>
    <w:p w14:paraId="22B5FE85" w14:textId="77777777" w:rsidR="00931464" w:rsidRDefault="00931464" w:rsidP="00707FC8">
      <w:pPr>
        <w:jc w:val="both"/>
        <w:rPr>
          <w:rFonts w:ascii="Arial" w:hAnsi="Arial" w:cs="Arial"/>
          <w:sz w:val="22"/>
          <w:szCs w:val="22"/>
          <w:lang w:val="en-GB"/>
        </w:rPr>
      </w:pPr>
    </w:p>
    <w:p w14:paraId="63FFAC1B" w14:textId="67EF8EBF" w:rsidR="00E61016" w:rsidRPr="00421473" w:rsidRDefault="00931464" w:rsidP="00707FC8">
      <w:pPr>
        <w:jc w:val="both"/>
        <w:rPr>
          <w:rFonts w:ascii="Arial" w:hAnsi="Arial" w:cs="Arial"/>
          <w:sz w:val="22"/>
          <w:szCs w:val="22"/>
          <w:lang w:val="en-GB"/>
        </w:rPr>
      </w:pPr>
      <w:r>
        <w:rPr>
          <w:rFonts w:ascii="Arial" w:hAnsi="Arial" w:cs="Arial"/>
          <w:sz w:val="22"/>
          <w:szCs w:val="22"/>
          <w:lang w:val="en-GB"/>
        </w:rPr>
        <w:t xml:space="preserve">Secondly, </w:t>
      </w:r>
      <w:r w:rsidR="009265EA">
        <w:rPr>
          <w:rFonts w:ascii="Arial" w:hAnsi="Arial" w:cs="Arial"/>
          <w:sz w:val="22"/>
          <w:szCs w:val="22"/>
          <w:lang w:val="en-GB"/>
        </w:rPr>
        <w:t>it was held that if the power to grant a stay under Article 21 was intended to override the substantive rights of creditors under the proper law governing their debts, one would expect this to have been made explicit in the language of the Article</w:t>
      </w:r>
      <w:r>
        <w:rPr>
          <w:rStyle w:val="FootnoteReference"/>
          <w:rFonts w:ascii="Arial" w:hAnsi="Arial" w:cs="Arial"/>
          <w:sz w:val="22"/>
          <w:szCs w:val="22"/>
          <w:lang w:val="en-GB"/>
        </w:rPr>
        <w:footnoteReference w:id="4"/>
      </w:r>
      <w:r w:rsidR="009265EA">
        <w:rPr>
          <w:rFonts w:ascii="Arial" w:hAnsi="Arial" w:cs="Arial"/>
          <w:sz w:val="22"/>
          <w:szCs w:val="22"/>
          <w:lang w:val="en-GB"/>
        </w:rPr>
        <w:t xml:space="preserve">. </w:t>
      </w:r>
      <w:r>
        <w:rPr>
          <w:rFonts w:ascii="Arial" w:hAnsi="Arial" w:cs="Arial"/>
          <w:sz w:val="22"/>
          <w:szCs w:val="22"/>
          <w:lang w:val="en-GB"/>
        </w:rPr>
        <w:t>Similarly, it was held that if the Model Law had intended to provide for the continuation of relief once a foreign proceeding has come to an end and the foreign representative no longer holds office, this would also have been expressly stated and appropriate machinery to achieve this provided for. As the restructuring plan as an insolvency proceeding had served its purpose and IBA was trading normally, there was no scope for further orders providing / extending previously granted relief in aid of the insolvency proceedings</w:t>
      </w:r>
      <w:r>
        <w:rPr>
          <w:rStyle w:val="FootnoteReference"/>
          <w:rFonts w:ascii="Arial" w:hAnsi="Arial" w:cs="Arial"/>
          <w:sz w:val="22"/>
          <w:szCs w:val="22"/>
          <w:lang w:val="en-GB"/>
        </w:rPr>
        <w:footnoteReference w:id="5"/>
      </w:r>
      <w:r>
        <w:rPr>
          <w:rFonts w:ascii="Arial" w:hAnsi="Arial" w:cs="Arial"/>
          <w:sz w:val="22"/>
          <w:szCs w:val="22"/>
          <w:lang w:val="en-GB"/>
        </w:rPr>
        <w:t xml:space="preserve">. </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3F45E85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r w:rsidR="009265EA">
        <w:rPr>
          <w:rFonts w:ascii="Arial" w:hAnsi="Arial" w:cs="Arial"/>
          <w:sz w:val="22"/>
          <w:szCs w:val="22"/>
          <w:lang w:val="en-GB"/>
        </w:rPr>
        <w:t xml:space="preserve"> </w:t>
      </w:r>
    </w:p>
    <w:p w14:paraId="6E79A700" w14:textId="6A3D1A1C" w:rsidR="0041139B" w:rsidRDefault="0041139B" w:rsidP="00707FC8">
      <w:pPr>
        <w:jc w:val="both"/>
        <w:rPr>
          <w:rFonts w:ascii="Arial" w:hAnsi="Arial" w:cs="Arial"/>
          <w:bCs/>
          <w:sz w:val="22"/>
          <w:szCs w:val="22"/>
          <w:lang w:val="en-GB"/>
        </w:rPr>
      </w:pPr>
    </w:p>
    <w:p w14:paraId="15EE2B47" w14:textId="759FCEDE" w:rsidR="0041139B" w:rsidRPr="009B5832" w:rsidRDefault="00336903" w:rsidP="0019177D">
      <w:pPr>
        <w:jc w:val="both"/>
        <w:rPr>
          <w:rFonts w:ascii="Arial" w:hAnsi="Arial" w:cs="Arial"/>
          <w:sz w:val="22"/>
          <w:szCs w:val="22"/>
          <w:lang w:val="en-GB"/>
        </w:rPr>
      </w:pPr>
      <w:r>
        <w:rPr>
          <w:rFonts w:ascii="Arial" w:hAnsi="Arial" w:cs="Arial"/>
          <w:bCs/>
          <w:sz w:val="22"/>
          <w:szCs w:val="22"/>
          <w:lang w:val="en-GB"/>
        </w:rPr>
        <w:t xml:space="preserve">When a foreign main proceeding is recognised, </w:t>
      </w:r>
      <w:r w:rsidR="008447F4">
        <w:rPr>
          <w:rFonts w:ascii="Arial" w:hAnsi="Arial" w:cs="Arial"/>
          <w:bCs/>
          <w:sz w:val="22"/>
          <w:szCs w:val="22"/>
          <w:lang w:val="en-GB"/>
        </w:rPr>
        <w:t xml:space="preserve">the automatic relief as provided for in </w:t>
      </w:r>
      <w:r>
        <w:rPr>
          <w:rFonts w:ascii="Arial" w:hAnsi="Arial" w:cs="Arial"/>
          <w:bCs/>
          <w:sz w:val="22"/>
          <w:szCs w:val="22"/>
          <w:lang w:val="en-GB"/>
        </w:rPr>
        <w:t xml:space="preserve">Article 20 </w:t>
      </w:r>
      <w:r w:rsidR="008447F4">
        <w:rPr>
          <w:rFonts w:ascii="Arial" w:hAnsi="Arial" w:cs="Arial"/>
          <w:bCs/>
          <w:sz w:val="22"/>
          <w:szCs w:val="22"/>
          <w:lang w:val="en-GB"/>
        </w:rPr>
        <w:t xml:space="preserve">of the Model Law </w:t>
      </w:r>
      <w:r w:rsidR="0019177D">
        <w:rPr>
          <w:rFonts w:ascii="Arial" w:hAnsi="Arial" w:cs="Arial"/>
          <w:bCs/>
          <w:sz w:val="22"/>
          <w:szCs w:val="22"/>
          <w:lang w:val="en-GB"/>
        </w:rPr>
        <w:t>can</w:t>
      </w:r>
      <w:r w:rsidR="008447F4">
        <w:rPr>
          <w:rFonts w:ascii="Arial" w:hAnsi="Arial" w:cs="Arial"/>
          <w:bCs/>
          <w:sz w:val="22"/>
          <w:szCs w:val="22"/>
          <w:lang w:val="en-GB"/>
        </w:rPr>
        <w:t xml:space="preserve"> apply. However, </w:t>
      </w:r>
      <w:r w:rsidR="0019177D">
        <w:rPr>
          <w:rFonts w:ascii="Arial" w:hAnsi="Arial" w:cs="Arial"/>
          <w:bCs/>
          <w:sz w:val="22"/>
          <w:szCs w:val="22"/>
          <w:lang w:val="en-GB"/>
        </w:rPr>
        <w:t xml:space="preserve">this is not so </w:t>
      </w:r>
      <w:r w:rsidR="008447F4">
        <w:rPr>
          <w:rFonts w:ascii="Arial" w:hAnsi="Arial" w:cs="Arial"/>
          <w:bCs/>
          <w:sz w:val="22"/>
          <w:szCs w:val="22"/>
          <w:lang w:val="en-GB"/>
        </w:rPr>
        <w:t xml:space="preserve">where domestic proceedings are already </w:t>
      </w:r>
      <w:r w:rsidR="0019177D">
        <w:rPr>
          <w:rFonts w:ascii="Arial" w:hAnsi="Arial" w:cs="Arial"/>
          <w:bCs/>
          <w:sz w:val="22"/>
          <w:szCs w:val="22"/>
          <w:lang w:val="en-GB"/>
        </w:rPr>
        <w:t>afoot (Article 29(a)). In these circumstances, the c</w:t>
      </w:r>
      <w:r w:rsidR="008447F4">
        <w:rPr>
          <w:rFonts w:ascii="Arial" w:hAnsi="Arial" w:cs="Arial"/>
          <w:bCs/>
          <w:sz w:val="22"/>
          <w:szCs w:val="22"/>
          <w:lang w:val="en-GB"/>
        </w:rPr>
        <w:t>ourt can</w:t>
      </w:r>
      <w:r w:rsidR="0019177D">
        <w:rPr>
          <w:rFonts w:ascii="Arial" w:hAnsi="Arial" w:cs="Arial"/>
          <w:bCs/>
          <w:sz w:val="22"/>
          <w:szCs w:val="22"/>
          <w:lang w:val="en-GB"/>
        </w:rPr>
        <w:t>,</w:t>
      </w:r>
      <w:r w:rsidR="008447F4">
        <w:rPr>
          <w:rFonts w:ascii="Arial" w:hAnsi="Arial" w:cs="Arial"/>
          <w:bCs/>
          <w:sz w:val="22"/>
          <w:szCs w:val="22"/>
          <w:lang w:val="en-GB"/>
        </w:rPr>
        <w:t xml:space="preserve"> </w:t>
      </w:r>
      <w:r w:rsidR="0019177D">
        <w:rPr>
          <w:rFonts w:ascii="Arial" w:hAnsi="Arial" w:cs="Arial"/>
          <w:bCs/>
          <w:sz w:val="22"/>
          <w:szCs w:val="22"/>
          <w:lang w:val="en-GB"/>
        </w:rPr>
        <w:t xml:space="preserve">at the request of the foreign representative, exercise its </w:t>
      </w:r>
      <w:r w:rsidR="008447F4">
        <w:rPr>
          <w:rFonts w:ascii="Arial" w:hAnsi="Arial" w:cs="Arial"/>
          <w:bCs/>
          <w:sz w:val="22"/>
          <w:szCs w:val="22"/>
          <w:lang w:val="en-GB"/>
        </w:rPr>
        <w:t>discretionary power in Article 21(1) to grant appropriate relief where necessary to protect the debtor's assets</w:t>
      </w:r>
      <w:r w:rsidR="0019177D">
        <w:rPr>
          <w:rFonts w:ascii="Arial" w:hAnsi="Arial" w:cs="Arial"/>
          <w:bCs/>
          <w:sz w:val="22"/>
          <w:szCs w:val="22"/>
          <w:lang w:val="en-GB"/>
        </w:rPr>
        <w:t xml:space="preserve"> and / or the interests of creditors. </w:t>
      </w:r>
      <w:r w:rsidR="008447F4">
        <w:rPr>
          <w:rFonts w:ascii="Arial" w:hAnsi="Arial" w:cs="Arial"/>
          <w:bCs/>
          <w:sz w:val="22"/>
          <w:szCs w:val="22"/>
          <w:lang w:val="en-GB"/>
        </w:rPr>
        <w:t>The court in the enacting state will</w:t>
      </w:r>
      <w:r w:rsidR="0019177D">
        <w:rPr>
          <w:rFonts w:ascii="Arial" w:hAnsi="Arial" w:cs="Arial"/>
          <w:bCs/>
          <w:sz w:val="22"/>
          <w:szCs w:val="22"/>
          <w:lang w:val="en-GB"/>
        </w:rPr>
        <w:t xml:space="preserve"> only</w:t>
      </w:r>
      <w:r w:rsidR="008447F4">
        <w:rPr>
          <w:rFonts w:ascii="Arial" w:hAnsi="Arial" w:cs="Arial"/>
          <w:bCs/>
          <w:sz w:val="22"/>
          <w:szCs w:val="22"/>
          <w:lang w:val="en-GB"/>
        </w:rPr>
        <w:t xml:space="preserve"> </w:t>
      </w:r>
      <w:r w:rsidR="0019177D">
        <w:rPr>
          <w:rFonts w:ascii="Arial" w:hAnsi="Arial" w:cs="Arial"/>
          <w:bCs/>
          <w:sz w:val="22"/>
          <w:szCs w:val="22"/>
          <w:lang w:val="en-GB"/>
        </w:rPr>
        <w:t xml:space="preserve">grant appropriate relief which is </w:t>
      </w:r>
      <w:r w:rsidR="008447F4">
        <w:rPr>
          <w:rFonts w:ascii="Arial" w:hAnsi="Arial" w:cs="Arial"/>
          <w:bCs/>
          <w:sz w:val="22"/>
          <w:szCs w:val="22"/>
          <w:lang w:val="en-GB"/>
        </w:rPr>
        <w:t>nece</w:t>
      </w:r>
      <w:r w:rsidR="0019177D">
        <w:rPr>
          <w:rFonts w:ascii="Arial" w:hAnsi="Arial" w:cs="Arial"/>
          <w:bCs/>
          <w:sz w:val="22"/>
          <w:szCs w:val="22"/>
          <w:lang w:val="en-GB"/>
        </w:rPr>
        <w:t>ssary</w:t>
      </w:r>
      <w:r w:rsidR="008447F4">
        <w:rPr>
          <w:rFonts w:ascii="Arial" w:hAnsi="Arial" w:cs="Arial"/>
          <w:bCs/>
          <w:sz w:val="22"/>
          <w:szCs w:val="22"/>
          <w:lang w:val="en-GB"/>
        </w:rPr>
        <w:t xml:space="preserve"> </w:t>
      </w:r>
      <w:r w:rsidR="0019177D">
        <w:rPr>
          <w:rFonts w:ascii="Arial" w:hAnsi="Arial" w:cs="Arial"/>
          <w:bCs/>
          <w:sz w:val="22"/>
          <w:szCs w:val="22"/>
          <w:lang w:val="en-GB"/>
        </w:rPr>
        <w:t>if it is not in</w:t>
      </w:r>
      <w:r w:rsidR="008447F4">
        <w:rPr>
          <w:rFonts w:ascii="Arial" w:hAnsi="Arial" w:cs="Arial"/>
          <w:bCs/>
          <w:sz w:val="22"/>
          <w:szCs w:val="22"/>
          <w:lang w:val="en-GB"/>
        </w:rPr>
        <w:t>consistent with the domestic insolvency proceeding</w:t>
      </w:r>
      <w:r w:rsidR="0019177D">
        <w:rPr>
          <w:rFonts w:ascii="Arial" w:hAnsi="Arial" w:cs="Arial"/>
          <w:bCs/>
          <w:sz w:val="22"/>
          <w:szCs w:val="22"/>
          <w:lang w:val="en-GB"/>
        </w:rPr>
        <w:t xml:space="preserve">s. </w:t>
      </w:r>
      <w:r w:rsidR="008447F4">
        <w:rPr>
          <w:rFonts w:ascii="Arial" w:hAnsi="Arial" w:cs="Arial"/>
          <w:bCs/>
          <w:sz w:val="22"/>
          <w:szCs w:val="22"/>
          <w:lang w:val="en-GB"/>
        </w:rPr>
        <w:t xml:space="preserve"> </w:t>
      </w:r>
      <w:r w:rsidR="0019177D">
        <w:rPr>
          <w:rFonts w:ascii="Arial" w:hAnsi="Arial" w:cs="Arial"/>
          <w:bCs/>
          <w:sz w:val="22"/>
          <w:szCs w:val="22"/>
          <w:lang w:val="en-GB"/>
        </w:rPr>
        <w:t>From the time of filing the recognition application, the foreign representative has an ongoing duty to inform the court in the enacting State of (</w:t>
      </w:r>
      <w:proofErr w:type="spellStart"/>
      <w:r w:rsidR="0019177D">
        <w:rPr>
          <w:rFonts w:ascii="Arial" w:hAnsi="Arial" w:cs="Arial"/>
          <w:bCs/>
          <w:sz w:val="22"/>
          <w:szCs w:val="22"/>
          <w:lang w:val="en-GB"/>
        </w:rPr>
        <w:t>i</w:t>
      </w:r>
      <w:proofErr w:type="spellEnd"/>
      <w:r w:rsidR="0019177D">
        <w:rPr>
          <w:rFonts w:ascii="Arial" w:hAnsi="Arial" w:cs="Arial"/>
          <w:bCs/>
          <w:sz w:val="22"/>
          <w:szCs w:val="22"/>
          <w:lang w:val="en-GB"/>
        </w:rPr>
        <w:t xml:space="preserve">) any substantial change in the status of the recognised foreign proceeding or the status of the foreign representative's appointment and (ii) any other foreign proceedings regarding the same date about which the foreign representative becomes aware (Article 18 of the Model Law).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A637290" w14:textId="20AECCE3" w:rsidR="00544127" w:rsidRDefault="00C370BD" w:rsidP="00C370BD">
      <w:pPr>
        <w:ind w:hanging="11"/>
        <w:jc w:val="both"/>
        <w:rPr>
          <w:rFonts w:ascii="Arial" w:hAnsi="Arial" w:cs="Arial"/>
          <w:sz w:val="22"/>
          <w:szCs w:val="22"/>
          <w:lang w:val="en-GB"/>
        </w:rPr>
      </w:pPr>
      <w:r>
        <w:rPr>
          <w:rFonts w:ascii="Arial" w:hAnsi="Arial" w:cs="Arial"/>
          <w:sz w:val="22"/>
          <w:szCs w:val="22"/>
          <w:lang w:val="en-GB"/>
        </w:rPr>
        <w:t xml:space="preserve">The foreign representative can benefit from the </w:t>
      </w:r>
      <w:r w:rsidRPr="00C370BD">
        <w:rPr>
          <w:rFonts w:ascii="Arial" w:hAnsi="Arial" w:cs="Arial"/>
          <w:i/>
          <w:sz w:val="22"/>
          <w:szCs w:val="22"/>
          <w:lang w:val="en-GB"/>
        </w:rPr>
        <w:t xml:space="preserve">locus </w:t>
      </w:r>
      <w:proofErr w:type="spellStart"/>
      <w:r w:rsidRPr="00C370BD">
        <w:rPr>
          <w:rFonts w:ascii="Arial" w:hAnsi="Arial" w:cs="Arial"/>
          <w:i/>
          <w:sz w:val="22"/>
          <w:szCs w:val="22"/>
          <w:lang w:val="en-GB"/>
        </w:rPr>
        <w:t>standi</w:t>
      </w:r>
      <w:proofErr w:type="spellEnd"/>
      <w:r>
        <w:rPr>
          <w:rFonts w:ascii="Arial" w:hAnsi="Arial" w:cs="Arial"/>
          <w:sz w:val="22"/>
          <w:szCs w:val="22"/>
          <w:lang w:val="en-GB"/>
        </w:rPr>
        <w:t xml:space="preserve"> rights afforded by Articles 9 to 12 of the Model Law, as implemented in State A. Article 9 provides for direct access to the Court in State A but does not automatically vest the foreign representative with any other rights or powers.</w:t>
      </w:r>
      <w:r w:rsidR="00735A38">
        <w:rPr>
          <w:rFonts w:ascii="Arial" w:hAnsi="Arial" w:cs="Arial"/>
          <w:sz w:val="22"/>
          <w:szCs w:val="22"/>
          <w:lang w:val="en-GB"/>
        </w:rPr>
        <w:t xml:space="preserve"> Article 11 provides for direct access to the Court in State A for the purposes of opening domestic proceedings. No prior recognition is required for access for this purpose</w:t>
      </w:r>
      <w:r w:rsidR="00735A38">
        <w:rPr>
          <w:rStyle w:val="FootnoteReference"/>
          <w:rFonts w:ascii="Arial" w:hAnsi="Arial" w:cs="Arial"/>
          <w:sz w:val="22"/>
          <w:szCs w:val="22"/>
          <w:lang w:val="en-GB"/>
        </w:rPr>
        <w:footnoteReference w:id="6"/>
      </w:r>
      <w:r w:rsidR="00735A38">
        <w:rPr>
          <w:rFonts w:ascii="Arial" w:hAnsi="Arial" w:cs="Arial"/>
          <w:sz w:val="22"/>
          <w:szCs w:val="22"/>
          <w:lang w:val="en-GB"/>
        </w:rPr>
        <w:t xml:space="preserve"> or for the purpose of access under Article 9. </w:t>
      </w:r>
      <w:r>
        <w:rPr>
          <w:rFonts w:ascii="Arial" w:hAnsi="Arial" w:cs="Arial"/>
          <w:sz w:val="22"/>
          <w:szCs w:val="22"/>
          <w:lang w:val="en-GB"/>
        </w:rPr>
        <w:t xml:space="preserve"> </w:t>
      </w:r>
      <w:r w:rsidR="00735A38">
        <w:rPr>
          <w:rFonts w:ascii="Arial" w:hAnsi="Arial" w:cs="Arial"/>
          <w:sz w:val="22"/>
          <w:szCs w:val="22"/>
          <w:lang w:val="en-GB"/>
        </w:rPr>
        <w:t>Upon recognition of the foreign proceedings, being granted, Article 12 provides standing for the foreign representative to make petitions, requests or submissions in any domestic proceedings already afoot in State A. However, no other specific powers or rights vest with the foreign representative</w:t>
      </w:r>
      <w:r w:rsidR="00735A38">
        <w:rPr>
          <w:rStyle w:val="FootnoteReference"/>
          <w:rFonts w:ascii="Arial" w:hAnsi="Arial" w:cs="Arial"/>
          <w:sz w:val="22"/>
          <w:szCs w:val="22"/>
          <w:lang w:val="en-GB"/>
        </w:rPr>
        <w:footnoteReference w:id="7"/>
      </w:r>
      <w:r w:rsidR="00735A38">
        <w:rPr>
          <w:rFonts w:ascii="Arial" w:hAnsi="Arial" w:cs="Arial"/>
          <w:sz w:val="22"/>
          <w:szCs w:val="22"/>
          <w:lang w:val="en-GB"/>
        </w:rPr>
        <w:t xml:space="preserve">. Appropriate relief will need to be applied for and granted in accordance with Article 21 of the Model Law. These rights of access save the foreign representative the need to meet formal requirements such as obtaining licenses or consular action in order to have standing before the Court of State A for the purposes described above. </w:t>
      </w:r>
    </w:p>
    <w:p w14:paraId="6CF6E0E7" w14:textId="6785C46A" w:rsidR="00735A38" w:rsidRDefault="00735A38" w:rsidP="00C370BD">
      <w:pPr>
        <w:ind w:hanging="11"/>
        <w:jc w:val="both"/>
        <w:rPr>
          <w:rFonts w:ascii="Arial" w:hAnsi="Arial" w:cs="Arial"/>
          <w:sz w:val="22"/>
          <w:szCs w:val="22"/>
          <w:lang w:val="en-GB"/>
        </w:rPr>
      </w:pPr>
    </w:p>
    <w:p w14:paraId="11CD0B79" w14:textId="3ABC1293" w:rsidR="00735A38" w:rsidRPr="00C370BD" w:rsidRDefault="00735A38" w:rsidP="00C370BD">
      <w:pPr>
        <w:ind w:hanging="11"/>
        <w:jc w:val="both"/>
        <w:rPr>
          <w:rFonts w:ascii="Arial" w:hAnsi="Arial" w:cs="Arial"/>
          <w:sz w:val="22"/>
          <w:szCs w:val="22"/>
          <w:lang w:val="en-GB"/>
        </w:rPr>
      </w:pPr>
      <w:r>
        <w:rPr>
          <w:rFonts w:ascii="Arial" w:hAnsi="Arial" w:cs="Arial"/>
          <w:sz w:val="22"/>
          <w:szCs w:val="22"/>
          <w:lang w:val="en-GB"/>
        </w:rPr>
        <w:t xml:space="preserve">The foreign representative can also avail themselves of certain provisions which facilitate effective coordination, such as the 'Safe Conduct Rule' provided for in Article 10 which ensures that the Court in State A will not assume jurisdiction over all of the assets of the Debtor on the ground </w:t>
      </w:r>
      <w:r w:rsidR="001363F1">
        <w:rPr>
          <w:rFonts w:ascii="Arial" w:hAnsi="Arial" w:cs="Arial"/>
          <w:sz w:val="22"/>
          <w:szCs w:val="22"/>
          <w:lang w:val="en-GB"/>
        </w:rPr>
        <w:t xml:space="preserve">that recognition of the foreign proceeding has been applied for. This alleviates any concerns that the foreign representative may have the recognition application will trigger an all-embracing jurisdiction which State A might otherwise attempt to invoke. Similarly, </w:t>
      </w:r>
      <w:r w:rsidR="00410F96">
        <w:rPr>
          <w:rFonts w:ascii="Arial" w:hAnsi="Arial" w:cs="Arial"/>
          <w:sz w:val="22"/>
          <w:szCs w:val="22"/>
          <w:lang w:val="en-GB"/>
        </w:rPr>
        <w:t xml:space="preserve">foreign representatives can be assured that creditors of the Debtor whose claims have been submitted in the foreign proceedings will not be discriminated against for the purposes of commencing and participating in local proceedings (Article 13 of the Model Law), nor will their claims be ranked lower than that of generally unsecured claims. Pursuant to Article 14 of the Model Law, foreign creditors are also entitled to individual notification of, amongst other things, commencement of local proceedings and time limits to file claims. These principles aim to save time and expense, avoid value destruction and a grab for assets. They also provide comfort and transparency. </w:t>
      </w:r>
    </w:p>
    <w:p w14:paraId="5D5A1FA5" w14:textId="16F4F31F"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DAA6780" w14:textId="5FA1620E" w:rsidR="00962045" w:rsidRDefault="005F48A6"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In order for a recognition application to be granted pursuant to Article 17 of the Model Law, assuming that the foreign proceeding qualifies as such under Article 2(a) and that the foreign representative qualifies as such under Article 2(d), the foreign representative will also need to satisfy and have regard to the following:</w:t>
      </w:r>
    </w:p>
    <w:p w14:paraId="051E1294" w14:textId="09EEDC0A" w:rsidR="005F48A6" w:rsidRDefault="005F48A6" w:rsidP="00707FC8">
      <w:pPr>
        <w:jc w:val="both"/>
        <w:rPr>
          <w:rFonts w:ascii="Arial" w:hAnsi="Arial" w:cs="Arial"/>
          <w:sz w:val="22"/>
          <w:szCs w:val="22"/>
          <w:shd w:val="clear" w:color="auto" w:fill="FFFFFF"/>
          <w:lang w:val="en-GB"/>
        </w:rPr>
      </w:pPr>
    </w:p>
    <w:p w14:paraId="2B7C3224" w14:textId="4E8683D1" w:rsidR="005F48A6" w:rsidRDefault="005F48A6"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t>
      </w:r>
      <w:proofErr w:type="spellStart"/>
      <w:r>
        <w:rPr>
          <w:rFonts w:ascii="Arial" w:hAnsi="Arial" w:cs="Arial"/>
          <w:sz w:val="22"/>
          <w:szCs w:val="22"/>
          <w:shd w:val="clear" w:color="auto" w:fill="FFFFFF"/>
          <w:lang w:val="en-GB"/>
        </w:rPr>
        <w:t>i</w:t>
      </w:r>
      <w:proofErr w:type="spellEnd"/>
      <w:r>
        <w:rPr>
          <w:rFonts w:ascii="Arial" w:hAnsi="Arial" w:cs="Arial"/>
          <w:sz w:val="22"/>
          <w:szCs w:val="22"/>
          <w:shd w:val="clear" w:color="auto" w:fill="FFFFFF"/>
          <w:lang w:val="en-GB"/>
        </w:rPr>
        <w:t xml:space="preserve">) The evidential requirements prescribed by Article 15 of the Model Law require the application to be accompanied by a certified copy of the decision commencing the foreign proceeding and appointing the foreign representative or a certificate from the foreign court affirming the existence of the foreign proceeding and of the appointment of the foreign presentative or in the absence of the former evidential options, any other evidence acceptable to the court of the said existence and appointment. In addition, the application must be accompanied by a statement identifying all foreign proceedings relating the Debtor about which the foreign representative is aware. Translations of the above mentioned documents into the official language of State A may also be required. </w:t>
      </w:r>
    </w:p>
    <w:p w14:paraId="197BBED6" w14:textId="134D1E5F" w:rsidR="001900A8" w:rsidRDefault="001900A8" w:rsidP="00707FC8">
      <w:pPr>
        <w:jc w:val="both"/>
        <w:rPr>
          <w:rFonts w:ascii="Arial" w:hAnsi="Arial" w:cs="Arial"/>
          <w:sz w:val="22"/>
          <w:szCs w:val="22"/>
          <w:shd w:val="clear" w:color="auto" w:fill="FFFFFF"/>
          <w:lang w:val="en-GB"/>
        </w:rPr>
      </w:pPr>
    </w:p>
    <w:p w14:paraId="1092DDEF" w14:textId="6485855A" w:rsidR="001900A8" w:rsidRDefault="001900A8"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(ii) The Model Law may be restricted or prevented from applying in the event of a conflict between the Model Law and any international treaties or other form of multi-State agreement. In such circumstances, the treaty or multi-State agreement would prevail</w:t>
      </w:r>
      <w:r>
        <w:rPr>
          <w:rStyle w:val="FootnoteReference"/>
          <w:rFonts w:ascii="Arial" w:hAnsi="Arial" w:cs="Arial"/>
          <w:sz w:val="22"/>
          <w:szCs w:val="22"/>
          <w:shd w:val="clear" w:color="auto" w:fill="FFFFFF"/>
          <w:lang w:val="en-GB"/>
        </w:rPr>
        <w:footnoteReference w:id="8"/>
      </w:r>
      <w:r>
        <w:rPr>
          <w:rFonts w:ascii="Arial" w:hAnsi="Arial" w:cs="Arial"/>
          <w:sz w:val="22"/>
          <w:szCs w:val="22"/>
          <w:shd w:val="clear" w:color="auto" w:fill="FFFFFF"/>
          <w:lang w:val="en-GB"/>
        </w:rPr>
        <w:t xml:space="preserve">. </w:t>
      </w:r>
    </w:p>
    <w:p w14:paraId="545E9F6A" w14:textId="779CC38C" w:rsidR="005F48A6" w:rsidRDefault="005F48A6" w:rsidP="00707FC8">
      <w:pPr>
        <w:jc w:val="both"/>
        <w:rPr>
          <w:rFonts w:ascii="Arial" w:hAnsi="Arial" w:cs="Arial"/>
          <w:sz w:val="22"/>
          <w:szCs w:val="22"/>
          <w:shd w:val="clear" w:color="auto" w:fill="FFFFFF"/>
          <w:lang w:val="en-GB"/>
        </w:rPr>
      </w:pPr>
    </w:p>
    <w:p w14:paraId="5406C34D" w14:textId="1C5AD5D0" w:rsidR="005F48A6" w:rsidRDefault="005F48A6"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(ii</w:t>
      </w:r>
      <w:r w:rsidR="001900A8">
        <w:rPr>
          <w:rFonts w:ascii="Arial" w:hAnsi="Arial" w:cs="Arial"/>
          <w:sz w:val="22"/>
          <w:szCs w:val="22"/>
          <w:shd w:val="clear" w:color="auto" w:fill="FFFFFF"/>
          <w:lang w:val="en-GB"/>
        </w:rPr>
        <w:t>i</w:t>
      </w:r>
      <w:r>
        <w:rPr>
          <w:rFonts w:ascii="Arial" w:hAnsi="Arial" w:cs="Arial"/>
          <w:sz w:val="22"/>
          <w:szCs w:val="22"/>
          <w:shd w:val="clear" w:color="auto" w:fill="FFFFFF"/>
          <w:lang w:val="en-GB"/>
        </w:rPr>
        <w:t xml:space="preserve">) Exclusions may apply to certain types of proceedings (if </w:t>
      </w:r>
      <w:r w:rsidR="0074021B">
        <w:rPr>
          <w:rFonts w:ascii="Arial" w:hAnsi="Arial" w:cs="Arial"/>
          <w:sz w:val="22"/>
          <w:szCs w:val="22"/>
          <w:shd w:val="clear" w:color="auto" w:fill="FFFFFF"/>
          <w:lang w:val="en-GB"/>
        </w:rPr>
        <w:t>excluded by State A in its implementation of the Model Law), such as if the Debtor is required to be administered under a special regulatory regime</w:t>
      </w:r>
      <w:r w:rsidR="0074021B">
        <w:rPr>
          <w:rStyle w:val="FootnoteReference"/>
          <w:rFonts w:ascii="Arial" w:hAnsi="Arial" w:cs="Arial"/>
          <w:sz w:val="22"/>
          <w:szCs w:val="22"/>
          <w:shd w:val="clear" w:color="auto" w:fill="FFFFFF"/>
          <w:lang w:val="en-GB"/>
        </w:rPr>
        <w:footnoteReference w:id="9"/>
      </w:r>
      <w:r w:rsidR="0074021B">
        <w:rPr>
          <w:rFonts w:ascii="Arial" w:hAnsi="Arial" w:cs="Arial"/>
          <w:sz w:val="22"/>
          <w:szCs w:val="22"/>
          <w:shd w:val="clear" w:color="auto" w:fill="FFFFFF"/>
          <w:lang w:val="en-GB"/>
        </w:rPr>
        <w:t>, as may be the case for banks and insurance companies</w:t>
      </w:r>
      <w:r w:rsidR="00D61B86">
        <w:rPr>
          <w:rStyle w:val="FootnoteReference"/>
          <w:rFonts w:ascii="Arial" w:hAnsi="Arial" w:cs="Arial"/>
          <w:sz w:val="22"/>
          <w:szCs w:val="22"/>
          <w:shd w:val="clear" w:color="auto" w:fill="FFFFFF"/>
          <w:lang w:val="en-GB"/>
        </w:rPr>
        <w:footnoteReference w:id="10"/>
      </w:r>
      <w:r w:rsidR="0074021B">
        <w:rPr>
          <w:rFonts w:ascii="Arial" w:hAnsi="Arial" w:cs="Arial"/>
          <w:sz w:val="22"/>
          <w:szCs w:val="22"/>
          <w:shd w:val="clear" w:color="auto" w:fill="FFFFFF"/>
          <w:lang w:val="en-GB"/>
        </w:rPr>
        <w:t>. Although the Model Law cautions against inadvertently or undesirably limiting to the right to seek assistance or recognition on public policy reasons</w:t>
      </w:r>
      <w:r w:rsidR="0074021B">
        <w:rPr>
          <w:rStyle w:val="FootnoteReference"/>
          <w:rFonts w:ascii="Arial" w:hAnsi="Arial" w:cs="Arial"/>
          <w:sz w:val="22"/>
          <w:szCs w:val="22"/>
          <w:shd w:val="clear" w:color="auto" w:fill="FFFFFF"/>
          <w:lang w:val="en-GB"/>
        </w:rPr>
        <w:footnoteReference w:id="11"/>
      </w:r>
      <w:r w:rsidR="00D61B86">
        <w:rPr>
          <w:rFonts w:ascii="Arial" w:hAnsi="Arial" w:cs="Arial"/>
          <w:sz w:val="22"/>
          <w:szCs w:val="22"/>
          <w:shd w:val="clear" w:color="auto" w:fill="FFFFFF"/>
          <w:lang w:val="en-GB"/>
        </w:rPr>
        <w:t xml:space="preserve">, </w:t>
      </w:r>
      <w:r w:rsidR="00D61B86" w:rsidRPr="00C65CF9">
        <w:rPr>
          <w:rFonts w:ascii="Arial" w:hAnsi="Arial" w:cs="Arial"/>
          <w:sz w:val="22"/>
          <w:szCs w:val="22"/>
          <w:shd w:val="clear" w:color="auto" w:fill="FFFFFF"/>
          <w:lang w:val="en-GB"/>
        </w:rPr>
        <w:t xml:space="preserve">theoretically, State A could invoke  </w:t>
      </w:r>
      <w:r w:rsidR="001900A8" w:rsidRPr="00C65CF9">
        <w:rPr>
          <w:rFonts w:ascii="Arial" w:hAnsi="Arial" w:cs="Arial"/>
          <w:sz w:val="22"/>
          <w:szCs w:val="22"/>
          <w:shd w:val="clear" w:color="auto" w:fill="FFFFFF"/>
          <w:lang w:val="en-GB"/>
        </w:rPr>
        <w:t>Article 6</w:t>
      </w:r>
      <w:r w:rsidR="001900A8" w:rsidRPr="00C65CF9">
        <w:rPr>
          <w:rStyle w:val="FootnoteReference"/>
          <w:rFonts w:ascii="Arial" w:hAnsi="Arial" w:cs="Arial"/>
          <w:sz w:val="22"/>
          <w:szCs w:val="22"/>
          <w:shd w:val="clear" w:color="auto" w:fill="FFFFFF"/>
          <w:lang w:val="en-GB"/>
        </w:rPr>
        <w:footnoteReference w:id="12"/>
      </w:r>
      <w:r w:rsidR="00D61B86" w:rsidRPr="00C65CF9">
        <w:rPr>
          <w:rFonts w:ascii="Arial" w:hAnsi="Arial" w:cs="Arial"/>
          <w:sz w:val="22"/>
          <w:szCs w:val="22"/>
          <w:shd w:val="clear" w:color="auto" w:fill="FFFFFF"/>
          <w:lang w:val="en-GB"/>
        </w:rPr>
        <w:t xml:space="preserve"> to exclude on public policy grounds</w:t>
      </w:r>
      <w:r w:rsidR="001900A8" w:rsidRPr="00C65CF9">
        <w:rPr>
          <w:rFonts w:ascii="Arial" w:hAnsi="Arial" w:cs="Arial"/>
          <w:sz w:val="22"/>
          <w:szCs w:val="22"/>
          <w:shd w:val="clear" w:color="auto" w:fill="FFFFFF"/>
          <w:lang w:val="en-GB"/>
        </w:rPr>
        <w:t>.</w:t>
      </w:r>
      <w:r w:rsidR="001900A8">
        <w:rPr>
          <w:rFonts w:ascii="Arial" w:hAnsi="Arial" w:cs="Arial"/>
          <w:sz w:val="22"/>
          <w:szCs w:val="22"/>
          <w:shd w:val="clear" w:color="auto" w:fill="FFFFFF"/>
          <w:lang w:val="en-GB"/>
        </w:rPr>
        <w:t xml:space="preserve"> For example, proceedings concerning </w:t>
      </w:r>
      <w:r w:rsidR="0074021B">
        <w:rPr>
          <w:rFonts w:ascii="Arial" w:hAnsi="Arial" w:cs="Arial"/>
          <w:sz w:val="22"/>
          <w:szCs w:val="22"/>
          <w:shd w:val="clear" w:color="auto" w:fill="FFFFFF"/>
          <w:lang w:val="en-GB"/>
        </w:rPr>
        <w:t>public utility companies or consumers / non-traders may require special considerations and the foreign representative should take steps to ascertain if any such exclusions are expressly stated in State A's national insolvency laws.</w:t>
      </w:r>
      <w:r w:rsidR="008906C5">
        <w:rPr>
          <w:rFonts w:ascii="Arial" w:hAnsi="Arial" w:cs="Arial"/>
          <w:sz w:val="22"/>
          <w:szCs w:val="22"/>
          <w:shd w:val="clear" w:color="auto" w:fill="FFFFFF"/>
          <w:lang w:val="en-GB"/>
        </w:rPr>
        <w:t xml:space="preserve"> However, as a general rule and where no such specific exclusions apply by virtue of a domestic law, the public policy exception (Article 6 of the Model Law) should rarely be the basis for refusing an application for recognition, although it may be a basis for limiting the nature of the relief sought. </w:t>
      </w:r>
    </w:p>
    <w:p w14:paraId="75E9ADF1" w14:textId="04F71056" w:rsidR="007725F6" w:rsidRDefault="007725F6" w:rsidP="00707FC8">
      <w:pPr>
        <w:jc w:val="both"/>
        <w:rPr>
          <w:rFonts w:ascii="Arial" w:hAnsi="Arial" w:cs="Arial"/>
          <w:sz w:val="22"/>
          <w:szCs w:val="22"/>
          <w:shd w:val="clear" w:color="auto" w:fill="FFFFFF"/>
          <w:lang w:val="en-GB"/>
        </w:rPr>
      </w:pPr>
    </w:p>
    <w:p w14:paraId="153A5BDB" w14:textId="31130A02" w:rsidR="007725F6" w:rsidRDefault="007725F6"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(iv) Limitations will be placed on the foreign proceedings in the event that a domestic proceeding is already or afoot or commenced after the foreign proceedings are afoot and / or recognised. As Article 29 makes clear, primacy will be given to domestic pr</w:t>
      </w:r>
      <w:r w:rsidR="00835A7F">
        <w:rPr>
          <w:rFonts w:ascii="Arial" w:hAnsi="Arial" w:cs="Arial"/>
          <w:sz w:val="22"/>
          <w:szCs w:val="22"/>
          <w:shd w:val="clear" w:color="auto" w:fill="FFFFFF"/>
          <w:lang w:val="en-GB"/>
        </w:rPr>
        <w:t xml:space="preserve">oceedings and the recognition of foreign proceedings does not prevent domestic proceedings from being commenced. </w:t>
      </w:r>
      <w:r>
        <w:rPr>
          <w:rFonts w:ascii="Arial" w:hAnsi="Arial" w:cs="Arial"/>
          <w:sz w:val="22"/>
          <w:szCs w:val="22"/>
          <w:shd w:val="clear" w:color="auto" w:fill="FFFFFF"/>
          <w:lang w:val="en-GB"/>
        </w:rPr>
        <w:t xml:space="preserve"> If the foreign proceeding of the Debtor is not the main foreign proceeding, but a non-main foreign proceeding, primacy will be given to any main foreign proceeding (Article 30(a) and (b)). </w:t>
      </w:r>
    </w:p>
    <w:p w14:paraId="0DF88B07" w14:textId="2C263FCF" w:rsidR="007725F6" w:rsidRDefault="007725F6" w:rsidP="00707FC8">
      <w:pPr>
        <w:jc w:val="both"/>
        <w:rPr>
          <w:rFonts w:ascii="Arial" w:hAnsi="Arial" w:cs="Arial"/>
          <w:sz w:val="22"/>
          <w:szCs w:val="22"/>
          <w:shd w:val="clear" w:color="auto" w:fill="FFFFFF"/>
          <w:lang w:val="en-GB"/>
        </w:rPr>
      </w:pPr>
    </w:p>
    <w:p w14:paraId="526AC57C" w14:textId="10FAF92C" w:rsidR="007725F6" w:rsidRPr="009B5832" w:rsidRDefault="007725F6"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(v) There will be judicial scrutiny of a recognition application and therefore full and frank disclosure is required. </w:t>
      </w:r>
      <w:r w:rsidR="002A4322">
        <w:rPr>
          <w:rFonts w:ascii="Arial" w:hAnsi="Arial" w:cs="Arial"/>
          <w:sz w:val="22"/>
          <w:szCs w:val="22"/>
          <w:shd w:val="clear" w:color="auto" w:fill="FFFFFF"/>
          <w:lang w:val="en-GB"/>
        </w:rPr>
        <w:t>The application must be made at the earliest possible time and r</w:t>
      </w:r>
      <w:r>
        <w:rPr>
          <w:rFonts w:ascii="Arial" w:hAnsi="Arial" w:cs="Arial"/>
          <w:sz w:val="22"/>
          <w:szCs w:val="22"/>
          <w:shd w:val="clear" w:color="auto" w:fill="FFFFFF"/>
          <w:lang w:val="en-GB"/>
        </w:rPr>
        <w:t>ecognition can be modified or terminated if it is established that the grounds for granting it were fully or partially lacking or have ceased to exist</w:t>
      </w:r>
      <w:r>
        <w:rPr>
          <w:rStyle w:val="FootnoteReference"/>
          <w:rFonts w:ascii="Arial" w:hAnsi="Arial" w:cs="Arial"/>
          <w:sz w:val="22"/>
          <w:szCs w:val="22"/>
          <w:shd w:val="clear" w:color="auto" w:fill="FFFFFF"/>
          <w:lang w:val="en-GB"/>
        </w:rPr>
        <w:footnoteReference w:id="13"/>
      </w:r>
      <w:r>
        <w:rPr>
          <w:rFonts w:ascii="Arial" w:hAnsi="Arial" w:cs="Arial"/>
          <w:sz w:val="22"/>
          <w:szCs w:val="22"/>
          <w:shd w:val="clear" w:color="auto" w:fill="FFFFFF"/>
          <w:lang w:val="en-GB"/>
        </w:rPr>
        <w:t xml:space="preserve">. </w:t>
      </w:r>
      <w:r w:rsidR="002A4322">
        <w:rPr>
          <w:rFonts w:ascii="Arial" w:hAnsi="Arial" w:cs="Arial"/>
          <w:sz w:val="22"/>
          <w:szCs w:val="22"/>
          <w:shd w:val="clear" w:color="auto" w:fill="FFFFFF"/>
          <w:lang w:val="en-GB"/>
        </w:rPr>
        <w:t>The foreign representative must also be aware of the continuous obligation after recognition to update the Court on developments and any change in circumstances</w:t>
      </w:r>
      <w:r w:rsidR="002A4322">
        <w:rPr>
          <w:rStyle w:val="FootnoteReference"/>
          <w:rFonts w:ascii="Arial" w:hAnsi="Arial" w:cs="Arial"/>
          <w:sz w:val="22"/>
          <w:szCs w:val="22"/>
          <w:shd w:val="clear" w:color="auto" w:fill="FFFFFF"/>
          <w:lang w:val="en-GB"/>
        </w:rPr>
        <w:footnoteReference w:id="14"/>
      </w:r>
      <w:r w:rsidR="002A4322">
        <w:rPr>
          <w:rFonts w:ascii="Arial" w:hAnsi="Arial" w:cs="Arial"/>
          <w:sz w:val="22"/>
          <w:szCs w:val="22"/>
          <w:shd w:val="clear" w:color="auto" w:fill="FFFFFF"/>
          <w:lang w:val="en-GB"/>
        </w:rPr>
        <w:t xml:space="preserve">.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E19F637" w:rsidR="00817D57" w:rsidRDefault="00817D57" w:rsidP="00707FC8">
      <w:pPr>
        <w:jc w:val="both"/>
        <w:rPr>
          <w:rFonts w:ascii="Arial" w:hAnsi="Arial" w:cs="Arial"/>
          <w:sz w:val="22"/>
          <w:szCs w:val="22"/>
          <w:lang w:val="en-GB"/>
        </w:rPr>
      </w:pPr>
    </w:p>
    <w:p w14:paraId="4507A1E1" w14:textId="5D750756" w:rsidR="008B545F" w:rsidRDefault="00CF7445" w:rsidP="00707FC8">
      <w:pPr>
        <w:jc w:val="both"/>
        <w:rPr>
          <w:rFonts w:ascii="Arial" w:hAnsi="Arial" w:cs="Arial"/>
          <w:sz w:val="22"/>
          <w:szCs w:val="22"/>
          <w:lang w:val="en-GB"/>
        </w:rPr>
      </w:pPr>
      <w:r>
        <w:rPr>
          <w:rFonts w:ascii="Arial" w:hAnsi="Arial" w:cs="Arial"/>
          <w:sz w:val="22"/>
          <w:szCs w:val="22"/>
          <w:lang w:val="en-GB"/>
        </w:rPr>
        <w:t>In these circumstances, pre-recognition relief as provided for by Article 19 of the Model Law can be applied for by the foreign representative. An application of this sort may be granted by the Court in State A prior to the determination in relation to the recognition application if the relief requested is urgently needed to protect the assets of the debtor or the interests of creditors. It matters not whether the foreign proceedings are main or non-main foreign proceedings, however, if the proceedings in aid of which relief is sought is a non-main proceeding, then the Court in State A may refuse to grant the application if the interim relief sought would interfere with the administration of a foreign main proceeding</w:t>
      </w:r>
      <w:r>
        <w:rPr>
          <w:rStyle w:val="FootnoteReference"/>
          <w:rFonts w:ascii="Arial" w:hAnsi="Arial" w:cs="Arial"/>
          <w:sz w:val="22"/>
          <w:szCs w:val="22"/>
          <w:lang w:val="en-GB"/>
        </w:rPr>
        <w:footnoteReference w:id="15"/>
      </w:r>
      <w:r>
        <w:rPr>
          <w:rFonts w:ascii="Arial" w:hAnsi="Arial" w:cs="Arial"/>
          <w:sz w:val="22"/>
          <w:szCs w:val="22"/>
          <w:lang w:val="en-GB"/>
        </w:rPr>
        <w:t>. Interim relief can include a stay of execution against the Deb</w:t>
      </w:r>
      <w:r w:rsidR="00E92F68">
        <w:rPr>
          <w:rFonts w:ascii="Arial" w:hAnsi="Arial" w:cs="Arial"/>
          <w:sz w:val="22"/>
          <w:szCs w:val="22"/>
          <w:lang w:val="en-GB"/>
        </w:rPr>
        <w:t>tor's assets located in State A;</w:t>
      </w:r>
      <w:r>
        <w:rPr>
          <w:rFonts w:ascii="Arial" w:hAnsi="Arial" w:cs="Arial"/>
          <w:sz w:val="22"/>
          <w:szCs w:val="22"/>
          <w:lang w:val="en-GB"/>
        </w:rPr>
        <w:t xml:space="preserve"> entrusting the administration or realisation of all or part of the Debtor's assets located in State A to the foreign representative or another person designated by the Court in order to protect </w:t>
      </w:r>
      <w:r w:rsidR="00E92F68">
        <w:rPr>
          <w:rFonts w:ascii="Arial" w:hAnsi="Arial" w:cs="Arial"/>
          <w:sz w:val="22"/>
          <w:szCs w:val="22"/>
          <w:lang w:val="en-GB"/>
        </w:rPr>
        <w:t>and preserve the value of the assets that, by their very nature or because of other circumstances, are perishable, susceptible to devaluation or otherwise in jeopardy; and any of the following post-recognition relief provided for in Article 21 of the Model Law:</w:t>
      </w:r>
    </w:p>
    <w:p w14:paraId="6DA75BEF" w14:textId="0EC30A1C" w:rsidR="00E92F68" w:rsidRDefault="00E92F68" w:rsidP="00707FC8">
      <w:pPr>
        <w:jc w:val="both"/>
        <w:rPr>
          <w:rFonts w:ascii="Arial" w:hAnsi="Arial" w:cs="Arial"/>
          <w:sz w:val="22"/>
          <w:szCs w:val="22"/>
          <w:lang w:val="en-GB"/>
        </w:rPr>
      </w:pPr>
    </w:p>
    <w:p w14:paraId="6B67A012" w14:textId="074A07D2" w:rsidR="00E92F68" w:rsidRDefault="00E92F68" w:rsidP="00707FC8">
      <w:pPr>
        <w:jc w:val="both"/>
        <w:rPr>
          <w:rFonts w:ascii="Arial" w:hAnsi="Arial" w:cs="Arial"/>
          <w:sz w:val="22"/>
          <w:szCs w:val="22"/>
          <w:lang w:val="en-GB"/>
        </w:rPr>
      </w:pPr>
      <w:r>
        <w:rPr>
          <w:rFonts w:ascii="Arial" w:hAnsi="Arial" w:cs="Arial"/>
          <w:sz w:val="22"/>
          <w:szCs w:val="22"/>
          <w:lang w:val="en-GB"/>
        </w:rPr>
        <w:t>(a) suspending the right to transfer, encumber or otherwise dispose of any assets of the  debtor;</w:t>
      </w:r>
    </w:p>
    <w:p w14:paraId="3E1AA622" w14:textId="698334F3" w:rsidR="00E92F68" w:rsidRDefault="00E92F68" w:rsidP="00707FC8">
      <w:pPr>
        <w:jc w:val="both"/>
        <w:rPr>
          <w:rFonts w:ascii="Arial" w:hAnsi="Arial" w:cs="Arial"/>
          <w:sz w:val="22"/>
          <w:szCs w:val="22"/>
          <w:lang w:val="en-GB"/>
        </w:rPr>
      </w:pPr>
      <w:r>
        <w:rPr>
          <w:rFonts w:ascii="Arial" w:hAnsi="Arial" w:cs="Arial"/>
          <w:sz w:val="22"/>
          <w:szCs w:val="22"/>
          <w:lang w:val="en-GB"/>
        </w:rPr>
        <w:t xml:space="preserve">(b) providing for examination of witnesses, the taking of evidence or delivery of information regarding the Debtor's assets, affairs, rights, obligations or liabilities; and </w:t>
      </w:r>
    </w:p>
    <w:p w14:paraId="699344BD" w14:textId="383CEB83" w:rsidR="00E92F68" w:rsidRDefault="00E92F68" w:rsidP="00707FC8">
      <w:pPr>
        <w:jc w:val="both"/>
        <w:rPr>
          <w:rFonts w:ascii="Arial" w:hAnsi="Arial" w:cs="Arial"/>
          <w:sz w:val="22"/>
          <w:szCs w:val="22"/>
          <w:lang w:val="en-GB"/>
        </w:rPr>
      </w:pPr>
      <w:r>
        <w:rPr>
          <w:rFonts w:ascii="Arial" w:hAnsi="Arial" w:cs="Arial"/>
          <w:sz w:val="22"/>
          <w:szCs w:val="22"/>
          <w:lang w:val="en-GB"/>
        </w:rPr>
        <w:t xml:space="preserve">(c) granting any additional relief that may be available to a domestic liquidator / office holder under the laws of State A. </w:t>
      </w:r>
    </w:p>
    <w:p w14:paraId="1423E239" w14:textId="229FADEA" w:rsidR="00E92F68" w:rsidRDefault="00E92F68" w:rsidP="00707FC8">
      <w:pPr>
        <w:jc w:val="both"/>
        <w:rPr>
          <w:rFonts w:ascii="Arial" w:hAnsi="Arial" w:cs="Arial"/>
          <w:sz w:val="22"/>
          <w:szCs w:val="22"/>
          <w:lang w:val="en-GB"/>
        </w:rPr>
      </w:pPr>
    </w:p>
    <w:p w14:paraId="62DFAF3D" w14:textId="37A3649E" w:rsidR="00E92F68" w:rsidRDefault="00E92F68" w:rsidP="00707FC8">
      <w:pPr>
        <w:jc w:val="both"/>
        <w:rPr>
          <w:rFonts w:ascii="Arial" w:hAnsi="Arial" w:cs="Arial"/>
          <w:sz w:val="22"/>
          <w:szCs w:val="22"/>
          <w:lang w:val="en-GB"/>
        </w:rPr>
      </w:pPr>
      <w:r>
        <w:rPr>
          <w:rFonts w:ascii="Arial" w:hAnsi="Arial" w:cs="Arial"/>
          <w:sz w:val="22"/>
          <w:szCs w:val="22"/>
          <w:lang w:val="en-GB"/>
        </w:rPr>
        <w:t xml:space="preserve">If interim relief is granted, Article 19(2) provides that the Court in State A can include an appropriate notice. </w:t>
      </w:r>
    </w:p>
    <w:p w14:paraId="1257D433" w14:textId="31BE9D7D" w:rsidR="00E92F68" w:rsidRDefault="00E92F68" w:rsidP="00707FC8">
      <w:pPr>
        <w:jc w:val="both"/>
        <w:rPr>
          <w:rFonts w:ascii="Arial" w:hAnsi="Arial" w:cs="Arial"/>
          <w:sz w:val="22"/>
          <w:szCs w:val="22"/>
          <w:lang w:val="en-GB"/>
        </w:rPr>
      </w:pPr>
    </w:p>
    <w:p w14:paraId="78AC8C6A" w14:textId="3DF80A28" w:rsidR="00E92F68" w:rsidRDefault="008906C5" w:rsidP="00707FC8">
      <w:pPr>
        <w:jc w:val="both"/>
        <w:rPr>
          <w:rFonts w:ascii="Arial" w:hAnsi="Arial" w:cs="Arial"/>
          <w:sz w:val="22"/>
          <w:szCs w:val="22"/>
          <w:lang w:val="en-GB"/>
        </w:rPr>
      </w:pPr>
      <w:r>
        <w:rPr>
          <w:rFonts w:ascii="Arial" w:hAnsi="Arial" w:cs="Arial"/>
          <w:sz w:val="22"/>
          <w:szCs w:val="22"/>
          <w:lang w:val="en-GB"/>
        </w:rPr>
        <w:t xml:space="preserve">On condition that </w:t>
      </w:r>
      <w:r w:rsidR="00E92F68">
        <w:rPr>
          <w:rFonts w:ascii="Arial" w:hAnsi="Arial" w:cs="Arial"/>
          <w:sz w:val="22"/>
          <w:szCs w:val="22"/>
          <w:lang w:val="en-GB"/>
        </w:rPr>
        <w:t xml:space="preserve">the foreign proceedings are main proceedings, </w:t>
      </w:r>
      <w:r w:rsidR="006C5D23">
        <w:rPr>
          <w:rFonts w:ascii="Arial" w:hAnsi="Arial" w:cs="Arial"/>
          <w:sz w:val="22"/>
          <w:szCs w:val="22"/>
          <w:lang w:val="en-GB"/>
        </w:rPr>
        <w:t>Article 20 provides for automatic post-recognition relief which has the following three effects:</w:t>
      </w:r>
    </w:p>
    <w:p w14:paraId="526600E6" w14:textId="4180BB29" w:rsidR="006C5D23" w:rsidRDefault="006C5D23" w:rsidP="00707FC8">
      <w:pPr>
        <w:jc w:val="both"/>
        <w:rPr>
          <w:rFonts w:ascii="Arial" w:hAnsi="Arial" w:cs="Arial"/>
          <w:sz w:val="22"/>
          <w:szCs w:val="22"/>
          <w:lang w:val="en-GB"/>
        </w:rPr>
      </w:pPr>
    </w:p>
    <w:p w14:paraId="0298ED10" w14:textId="0821D628" w:rsidR="006C5D23" w:rsidRDefault="006C5D23" w:rsidP="00707FC8">
      <w:pPr>
        <w:jc w:val="both"/>
        <w:rPr>
          <w:rFonts w:ascii="Arial" w:hAnsi="Arial" w:cs="Arial"/>
          <w:sz w:val="22"/>
          <w:szCs w:val="22"/>
          <w:lang w:val="en-GB"/>
        </w:rPr>
      </w:pPr>
      <w:r>
        <w:rPr>
          <w:rFonts w:ascii="Arial" w:hAnsi="Arial" w:cs="Arial"/>
          <w:sz w:val="22"/>
          <w:szCs w:val="22"/>
          <w:lang w:val="en-GB"/>
        </w:rPr>
        <w:t xml:space="preserve">(a) staying the commencement or continuation of individual actions or individual proceedings (including arbitrations where possible on jurisdictional grounds) concerning the Debtor's assets, rights, obligations or liabilities; </w:t>
      </w:r>
    </w:p>
    <w:p w14:paraId="36625FE2" w14:textId="03E2B6B1" w:rsidR="006C5D23" w:rsidRDefault="006C5D23" w:rsidP="00707FC8">
      <w:pPr>
        <w:jc w:val="both"/>
        <w:rPr>
          <w:rFonts w:ascii="Arial" w:hAnsi="Arial" w:cs="Arial"/>
          <w:sz w:val="22"/>
          <w:szCs w:val="22"/>
          <w:lang w:val="en-GB"/>
        </w:rPr>
      </w:pPr>
      <w:r>
        <w:rPr>
          <w:rFonts w:ascii="Arial" w:hAnsi="Arial" w:cs="Arial"/>
          <w:sz w:val="22"/>
          <w:szCs w:val="22"/>
          <w:lang w:val="en-GB"/>
        </w:rPr>
        <w:t xml:space="preserve">(b) staying the execution against the Debtor's assets; and </w:t>
      </w:r>
    </w:p>
    <w:p w14:paraId="1C1EC539" w14:textId="3E53B88B" w:rsidR="006C5D23" w:rsidRDefault="006C5D23" w:rsidP="00707FC8">
      <w:pPr>
        <w:jc w:val="both"/>
        <w:rPr>
          <w:rFonts w:ascii="Arial" w:hAnsi="Arial" w:cs="Arial"/>
          <w:sz w:val="22"/>
          <w:szCs w:val="22"/>
          <w:lang w:val="en-GB"/>
        </w:rPr>
      </w:pPr>
      <w:r>
        <w:rPr>
          <w:rFonts w:ascii="Arial" w:hAnsi="Arial" w:cs="Arial"/>
          <w:sz w:val="22"/>
          <w:szCs w:val="22"/>
          <w:lang w:val="en-GB"/>
        </w:rPr>
        <w:t>(c) suspending the right to transfer, encumber or otherwise dispose of any assets of the debtor.</w:t>
      </w:r>
    </w:p>
    <w:p w14:paraId="2CDB8B6F" w14:textId="2E31829A" w:rsidR="006C5D23" w:rsidRDefault="006C5D23" w:rsidP="00707FC8">
      <w:pPr>
        <w:jc w:val="both"/>
        <w:rPr>
          <w:rFonts w:ascii="Arial" w:hAnsi="Arial" w:cs="Arial"/>
          <w:sz w:val="22"/>
          <w:szCs w:val="22"/>
          <w:lang w:val="en-GB"/>
        </w:rPr>
      </w:pPr>
    </w:p>
    <w:p w14:paraId="0A419030" w14:textId="3C77474E" w:rsidR="00835A7F" w:rsidRPr="008906C5" w:rsidRDefault="006C5D23" w:rsidP="00707FC8">
      <w:pPr>
        <w:jc w:val="both"/>
        <w:rPr>
          <w:rFonts w:ascii="Arial" w:hAnsi="Arial" w:cs="Arial"/>
          <w:sz w:val="22"/>
          <w:szCs w:val="22"/>
          <w:lang w:val="en-GB"/>
        </w:rPr>
      </w:pPr>
      <w:r>
        <w:rPr>
          <w:rFonts w:ascii="Arial" w:hAnsi="Arial" w:cs="Arial"/>
          <w:sz w:val="22"/>
          <w:szCs w:val="22"/>
          <w:lang w:val="en-GB"/>
        </w:rPr>
        <w:t>A potential caveat to (a) and (b) above is that the Court in State A may modify or terminate these effects if it would be contrary to the legitimate interests of a party of interest (including the Debtor)</w:t>
      </w:r>
      <w:r>
        <w:rPr>
          <w:rStyle w:val="FootnoteReference"/>
          <w:rFonts w:ascii="Arial" w:hAnsi="Arial" w:cs="Arial"/>
          <w:sz w:val="22"/>
          <w:szCs w:val="22"/>
          <w:lang w:val="en-GB"/>
        </w:rPr>
        <w:footnoteReference w:id="16"/>
      </w:r>
      <w:r w:rsidR="00835A7F">
        <w:rPr>
          <w:rFonts w:ascii="Arial" w:hAnsi="Arial" w:cs="Arial"/>
          <w:sz w:val="22"/>
          <w:szCs w:val="22"/>
          <w:lang w:val="en-GB"/>
        </w:rPr>
        <w:t xml:space="preserve">, such as if the continuation of an arbitration would be in the interests of the parties. Further </w:t>
      </w:r>
      <w:r>
        <w:rPr>
          <w:rFonts w:ascii="Arial" w:hAnsi="Arial" w:cs="Arial"/>
          <w:sz w:val="22"/>
          <w:szCs w:val="22"/>
          <w:lang w:val="en-GB"/>
        </w:rPr>
        <w:t xml:space="preserve">exceptions to the stays provided for under Article 20(1) </w:t>
      </w:r>
      <w:r w:rsidR="00835A7F">
        <w:rPr>
          <w:rFonts w:ascii="Arial" w:hAnsi="Arial" w:cs="Arial"/>
          <w:sz w:val="22"/>
          <w:szCs w:val="22"/>
          <w:lang w:val="en-GB"/>
        </w:rPr>
        <w:t xml:space="preserve">may be founded upon the law of State A, where for example, open market transactions need to complete, actions need to be initiated in respect of claims which have arisen after the recognition of the foreign main proceedings or the enforcement of claims by secured parties. </w:t>
      </w:r>
      <w:r w:rsidR="00835A7F" w:rsidRPr="008906C5">
        <w:rPr>
          <w:rFonts w:ascii="Arial" w:hAnsi="Arial" w:cs="Arial"/>
          <w:sz w:val="22"/>
          <w:szCs w:val="22"/>
          <w:lang w:val="en-GB"/>
        </w:rPr>
        <w:t>It must be further noted that Article 20(3)</w:t>
      </w:r>
      <w:r w:rsidR="008906C5">
        <w:rPr>
          <w:rFonts w:ascii="Arial" w:hAnsi="Arial" w:cs="Arial"/>
          <w:sz w:val="22"/>
          <w:szCs w:val="22"/>
          <w:lang w:val="en-GB"/>
        </w:rPr>
        <w:t xml:space="preserve"> carves out a further exception in the context of rights to commence individual actions or proceedings to the extent necessary to preserve a claim against the Debtor. Additionally, </w:t>
      </w:r>
      <w:r w:rsidR="00835A7F" w:rsidRPr="008906C5">
        <w:rPr>
          <w:rFonts w:ascii="Arial" w:hAnsi="Arial" w:cs="Arial"/>
          <w:sz w:val="22"/>
          <w:szCs w:val="22"/>
          <w:lang w:val="en-GB"/>
        </w:rPr>
        <w:t>Article 20(4)</w:t>
      </w:r>
      <w:r w:rsidR="008906C5">
        <w:rPr>
          <w:rFonts w:ascii="Arial" w:hAnsi="Arial" w:cs="Arial"/>
          <w:sz w:val="22"/>
          <w:szCs w:val="22"/>
          <w:lang w:val="en-GB"/>
        </w:rPr>
        <w:t xml:space="preserve"> clarifies that domestic insolvency proceedings or the right to file claims in such proceedings are not affected by the automatic stay and suspension in Article 20(1).</w:t>
      </w:r>
    </w:p>
    <w:p w14:paraId="7CA15C33" w14:textId="52D1906D" w:rsidR="00835A7F" w:rsidRPr="008906C5" w:rsidRDefault="00835A7F" w:rsidP="00707FC8">
      <w:pPr>
        <w:jc w:val="both"/>
        <w:rPr>
          <w:rFonts w:ascii="Arial" w:hAnsi="Arial" w:cs="Arial"/>
          <w:sz w:val="22"/>
          <w:szCs w:val="22"/>
          <w:lang w:val="en-GB"/>
        </w:rPr>
      </w:pPr>
    </w:p>
    <w:p w14:paraId="1D50D8D7" w14:textId="77777777" w:rsidR="00356091" w:rsidRDefault="008906C5" w:rsidP="00707FC8">
      <w:pPr>
        <w:jc w:val="both"/>
        <w:rPr>
          <w:rFonts w:ascii="Arial" w:hAnsi="Arial" w:cs="Arial"/>
          <w:sz w:val="22"/>
          <w:szCs w:val="22"/>
          <w:lang w:val="en-GB"/>
        </w:rPr>
      </w:pPr>
      <w:r>
        <w:rPr>
          <w:rFonts w:ascii="Arial" w:hAnsi="Arial" w:cs="Arial"/>
          <w:sz w:val="22"/>
          <w:szCs w:val="22"/>
          <w:lang w:val="en-GB"/>
        </w:rPr>
        <w:t>If the foreign proceedings are non-main proceedings, the Court in State A has the discretionary power</w:t>
      </w:r>
      <w:r w:rsidR="00FE5613">
        <w:rPr>
          <w:rStyle w:val="FootnoteReference"/>
          <w:rFonts w:ascii="Arial" w:hAnsi="Arial" w:cs="Arial"/>
          <w:sz w:val="22"/>
          <w:szCs w:val="22"/>
          <w:lang w:val="en-GB"/>
        </w:rPr>
        <w:footnoteReference w:id="17"/>
      </w:r>
      <w:r w:rsidR="00FE5613">
        <w:rPr>
          <w:rFonts w:ascii="Arial" w:hAnsi="Arial" w:cs="Arial"/>
          <w:sz w:val="22"/>
          <w:szCs w:val="22"/>
          <w:lang w:val="en-GB"/>
        </w:rPr>
        <w:t xml:space="preserve"> to grant appropriate relief</w:t>
      </w:r>
      <w:r>
        <w:rPr>
          <w:rFonts w:ascii="Arial" w:hAnsi="Arial" w:cs="Arial"/>
          <w:sz w:val="22"/>
          <w:szCs w:val="22"/>
          <w:lang w:val="en-GB"/>
        </w:rPr>
        <w:t xml:space="preserve"> pursuant to Article 21 of the Model Law. </w:t>
      </w:r>
      <w:r w:rsidR="00FE5613">
        <w:rPr>
          <w:rFonts w:ascii="Arial" w:hAnsi="Arial" w:cs="Arial"/>
          <w:sz w:val="22"/>
          <w:szCs w:val="22"/>
          <w:lang w:val="en-GB"/>
        </w:rPr>
        <w:t>On an application by the foreign representative the Court will grant appropriate relief "</w:t>
      </w:r>
      <w:r w:rsidR="00FE5613" w:rsidRPr="00FE5613">
        <w:rPr>
          <w:rFonts w:ascii="Arial" w:hAnsi="Arial" w:cs="Arial"/>
          <w:i/>
          <w:sz w:val="22"/>
          <w:szCs w:val="22"/>
          <w:lang w:val="en-GB"/>
        </w:rPr>
        <w:t>as necessary to protect the assets of the debtor or the interests of creditors</w:t>
      </w:r>
      <w:r w:rsidR="00FE5613">
        <w:rPr>
          <w:rFonts w:ascii="Arial" w:hAnsi="Arial" w:cs="Arial"/>
          <w:sz w:val="22"/>
          <w:szCs w:val="22"/>
          <w:lang w:val="en-GB"/>
        </w:rPr>
        <w:t>"</w:t>
      </w:r>
      <w:r w:rsidR="00FE5613">
        <w:rPr>
          <w:rStyle w:val="FootnoteReference"/>
          <w:rFonts w:ascii="Arial" w:hAnsi="Arial" w:cs="Arial"/>
          <w:sz w:val="22"/>
          <w:szCs w:val="22"/>
          <w:lang w:val="en-GB"/>
        </w:rPr>
        <w:footnoteReference w:id="18"/>
      </w:r>
      <w:r w:rsidR="00FE5613">
        <w:rPr>
          <w:rFonts w:ascii="Arial" w:hAnsi="Arial" w:cs="Arial"/>
          <w:sz w:val="22"/>
          <w:szCs w:val="22"/>
          <w:lang w:val="en-GB"/>
        </w:rPr>
        <w:t xml:space="preserve">. </w:t>
      </w:r>
      <w:r>
        <w:rPr>
          <w:rFonts w:ascii="Arial" w:hAnsi="Arial" w:cs="Arial"/>
          <w:sz w:val="22"/>
          <w:szCs w:val="22"/>
          <w:lang w:val="en-GB"/>
        </w:rPr>
        <w:t xml:space="preserve"> </w:t>
      </w:r>
      <w:r w:rsidR="00356091">
        <w:rPr>
          <w:rFonts w:ascii="Arial" w:hAnsi="Arial" w:cs="Arial"/>
          <w:sz w:val="22"/>
          <w:szCs w:val="22"/>
          <w:lang w:val="en-GB"/>
        </w:rPr>
        <w:t>Such relief includes the three effects attached to the automatic relief under Article 20 and various other relief, such as the extension of any interim relief granted pursuant to Article 19(1) of the Model Law and any additional relief that may be available to a domestic liquidator / office holder under the law of State A</w:t>
      </w:r>
      <w:r w:rsidR="00356091">
        <w:rPr>
          <w:rStyle w:val="FootnoteReference"/>
          <w:rFonts w:ascii="Arial" w:hAnsi="Arial" w:cs="Arial"/>
          <w:sz w:val="22"/>
          <w:szCs w:val="22"/>
          <w:lang w:val="en-GB"/>
        </w:rPr>
        <w:footnoteReference w:id="19"/>
      </w:r>
      <w:r w:rsidR="00356091">
        <w:rPr>
          <w:rFonts w:ascii="Arial" w:hAnsi="Arial" w:cs="Arial"/>
          <w:sz w:val="22"/>
          <w:szCs w:val="22"/>
          <w:lang w:val="en-GB"/>
        </w:rPr>
        <w:t xml:space="preserve">. </w:t>
      </w:r>
    </w:p>
    <w:p w14:paraId="1C5A65FE" w14:textId="77777777" w:rsidR="00356091" w:rsidRDefault="00356091" w:rsidP="00707FC8">
      <w:pPr>
        <w:jc w:val="both"/>
        <w:rPr>
          <w:rFonts w:ascii="Arial" w:hAnsi="Arial" w:cs="Arial"/>
          <w:sz w:val="22"/>
          <w:szCs w:val="22"/>
          <w:lang w:val="en-GB"/>
        </w:rPr>
      </w:pPr>
    </w:p>
    <w:p w14:paraId="4C9E7A1E" w14:textId="1D0C2305" w:rsidR="00835A7F" w:rsidRPr="009B5832" w:rsidRDefault="00356091" w:rsidP="00707FC8">
      <w:pPr>
        <w:jc w:val="both"/>
        <w:rPr>
          <w:rFonts w:ascii="Arial" w:hAnsi="Arial" w:cs="Arial"/>
          <w:sz w:val="22"/>
          <w:szCs w:val="22"/>
          <w:lang w:val="en-GB"/>
        </w:rPr>
      </w:pPr>
      <w:r>
        <w:rPr>
          <w:rFonts w:ascii="Arial" w:hAnsi="Arial" w:cs="Arial"/>
          <w:sz w:val="22"/>
          <w:szCs w:val="22"/>
          <w:lang w:val="en-GB"/>
        </w:rPr>
        <w:t>In addition to the test of necessity under Article 21(1), a condition for the granting of the relief requeste</w:t>
      </w:r>
      <w:r w:rsidR="006A73F5">
        <w:rPr>
          <w:rFonts w:ascii="Arial" w:hAnsi="Arial" w:cs="Arial"/>
          <w:sz w:val="22"/>
          <w:szCs w:val="22"/>
          <w:lang w:val="en-GB"/>
        </w:rPr>
        <w:t xml:space="preserve">d by the foreign representative is that the Court must be satisfied that the </w:t>
      </w:r>
      <w:r w:rsidR="00A95533">
        <w:rPr>
          <w:rFonts w:ascii="Arial" w:hAnsi="Arial" w:cs="Arial"/>
          <w:sz w:val="22"/>
          <w:szCs w:val="22"/>
          <w:lang w:val="en-GB"/>
        </w:rPr>
        <w:t xml:space="preserve">relief relates to assets that, under the law of State A, </w:t>
      </w:r>
      <w:r w:rsidR="006A73F5">
        <w:rPr>
          <w:rFonts w:ascii="Arial" w:hAnsi="Arial" w:cs="Arial"/>
          <w:sz w:val="22"/>
          <w:szCs w:val="22"/>
          <w:lang w:val="en-GB"/>
        </w:rPr>
        <w:t>should be administered in the foreign proceeding, or concerns information required in those proceedings. Therefore, the relief should not interfere with the administration of another insolvency proceeding</w:t>
      </w:r>
      <w:r w:rsidR="00FB0DB0">
        <w:rPr>
          <w:rFonts w:ascii="Arial" w:hAnsi="Arial" w:cs="Arial"/>
          <w:sz w:val="22"/>
          <w:szCs w:val="22"/>
          <w:lang w:val="en-GB"/>
        </w:rPr>
        <w:t xml:space="preserve"> (albeit it is noted there are no concurrent proceedings in this scenario)</w:t>
      </w:r>
      <w:r w:rsidR="006A73F5">
        <w:rPr>
          <w:rFonts w:ascii="Arial" w:hAnsi="Arial" w:cs="Arial"/>
          <w:sz w:val="22"/>
          <w:szCs w:val="22"/>
          <w:lang w:val="en-GB"/>
        </w:rPr>
        <w:t xml:space="preserve">, nor must it be inconsistent with or go beyond that which the law of State A provides for. An example of this might be seen in the exercise of the limitation provided for under the Article 6 'public policy' exception, whereby if the relief sought would run contrary to a right enshrined or protection afforded by the domestic law of State A, it is unlikely to be granted. </w:t>
      </w:r>
    </w:p>
    <w:p w14:paraId="4AE7EA78" w14:textId="05F37855" w:rsidR="007D7C92" w:rsidRDefault="007D7C92" w:rsidP="00707FC8">
      <w:pPr>
        <w:ind w:left="720" w:hanging="720"/>
        <w:jc w:val="both"/>
        <w:rPr>
          <w:rFonts w:ascii="Arial" w:hAnsi="Arial" w:cs="Arial"/>
          <w:sz w:val="22"/>
          <w:szCs w:val="22"/>
          <w:lang w:val="en-GB"/>
        </w:rPr>
      </w:pPr>
    </w:p>
    <w:p w14:paraId="3419A527" w14:textId="77777777" w:rsidR="003C698A" w:rsidRDefault="00FB0DB0" w:rsidP="00FB0DB0">
      <w:pPr>
        <w:jc w:val="both"/>
        <w:rPr>
          <w:rFonts w:ascii="Arial" w:hAnsi="Arial" w:cs="Arial"/>
          <w:sz w:val="22"/>
          <w:szCs w:val="22"/>
          <w:lang w:val="en-GB"/>
        </w:rPr>
      </w:pPr>
      <w:r w:rsidRPr="00FB0DB0">
        <w:rPr>
          <w:rFonts w:ascii="Arial" w:hAnsi="Arial" w:cs="Arial"/>
          <w:sz w:val="22"/>
          <w:szCs w:val="22"/>
          <w:lang w:val="en-GB"/>
        </w:rPr>
        <w:t xml:space="preserve">In relation to limitations and or restrictions, the foreign representative would not be able to </w:t>
      </w:r>
      <w:r>
        <w:rPr>
          <w:rFonts w:ascii="Arial" w:hAnsi="Arial" w:cs="Arial"/>
          <w:sz w:val="22"/>
          <w:szCs w:val="22"/>
          <w:lang w:val="en-GB"/>
        </w:rPr>
        <w:t xml:space="preserve">enforce an insolvency-related </w:t>
      </w:r>
      <w:r w:rsidRPr="00FB0DB0">
        <w:rPr>
          <w:rFonts w:ascii="Arial" w:hAnsi="Arial" w:cs="Arial"/>
          <w:i/>
          <w:sz w:val="22"/>
          <w:szCs w:val="22"/>
          <w:lang w:val="en-GB"/>
        </w:rPr>
        <w:t xml:space="preserve">in </w:t>
      </w:r>
      <w:proofErr w:type="spellStart"/>
      <w:r w:rsidRPr="00FB0DB0">
        <w:rPr>
          <w:rFonts w:ascii="Arial" w:hAnsi="Arial" w:cs="Arial"/>
          <w:i/>
          <w:sz w:val="22"/>
          <w:szCs w:val="22"/>
          <w:lang w:val="en-GB"/>
        </w:rPr>
        <w:t>personam</w:t>
      </w:r>
      <w:proofErr w:type="spellEnd"/>
      <w:r>
        <w:rPr>
          <w:rFonts w:ascii="Arial" w:hAnsi="Arial" w:cs="Arial"/>
          <w:sz w:val="22"/>
          <w:szCs w:val="22"/>
          <w:lang w:val="en-GB"/>
        </w:rPr>
        <w:t xml:space="preserve"> judgment, which were based, for example, on insolvency avoidance power</w:t>
      </w:r>
      <w:r w:rsidR="00410335">
        <w:rPr>
          <w:rFonts w:ascii="Arial" w:hAnsi="Arial" w:cs="Arial"/>
          <w:sz w:val="22"/>
          <w:szCs w:val="22"/>
          <w:lang w:val="en-GB"/>
        </w:rPr>
        <w:t>s in the foreign repres</w:t>
      </w:r>
      <w:r w:rsidR="003C698A">
        <w:rPr>
          <w:rFonts w:ascii="Arial" w:hAnsi="Arial" w:cs="Arial"/>
          <w:sz w:val="22"/>
          <w:szCs w:val="22"/>
          <w:lang w:val="en-GB"/>
        </w:rPr>
        <w:t xml:space="preserve">entatives. This was the result of the decision of </w:t>
      </w:r>
      <w:r w:rsidR="00410335">
        <w:rPr>
          <w:rFonts w:ascii="Arial" w:hAnsi="Arial" w:cs="Arial"/>
          <w:sz w:val="22"/>
          <w:szCs w:val="22"/>
          <w:lang w:val="en-GB"/>
        </w:rPr>
        <w:t xml:space="preserve">the </w:t>
      </w:r>
      <w:r>
        <w:rPr>
          <w:rFonts w:ascii="Arial" w:hAnsi="Arial" w:cs="Arial"/>
          <w:sz w:val="22"/>
          <w:szCs w:val="22"/>
          <w:lang w:val="en-GB"/>
        </w:rPr>
        <w:t xml:space="preserve">English Supreme Court in </w:t>
      </w:r>
      <w:r w:rsidRPr="003C698A">
        <w:rPr>
          <w:rFonts w:ascii="Arial" w:hAnsi="Arial" w:cs="Arial"/>
          <w:i/>
          <w:sz w:val="22"/>
          <w:szCs w:val="22"/>
          <w:lang w:val="en-GB"/>
        </w:rPr>
        <w:t xml:space="preserve">Rubin v </w:t>
      </w:r>
      <w:proofErr w:type="spellStart"/>
      <w:r w:rsidRPr="003C698A">
        <w:rPr>
          <w:rFonts w:ascii="Arial" w:hAnsi="Arial" w:cs="Arial"/>
          <w:i/>
          <w:sz w:val="22"/>
          <w:szCs w:val="22"/>
          <w:lang w:val="en-GB"/>
        </w:rPr>
        <w:t>Eurofinance</w:t>
      </w:r>
      <w:proofErr w:type="spellEnd"/>
      <w:r w:rsidRPr="003C698A">
        <w:rPr>
          <w:rFonts w:ascii="Arial" w:hAnsi="Arial" w:cs="Arial"/>
          <w:i/>
          <w:sz w:val="22"/>
          <w:szCs w:val="22"/>
          <w:lang w:val="en-GB"/>
        </w:rPr>
        <w:t xml:space="preserve"> SA</w:t>
      </w:r>
      <w:r>
        <w:rPr>
          <w:rStyle w:val="FootnoteReference"/>
          <w:rFonts w:ascii="Arial" w:hAnsi="Arial" w:cs="Arial"/>
          <w:sz w:val="22"/>
          <w:szCs w:val="22"/>
          <w:lang w:val="en-GB"/>
        </w:rPr>
        <w:footnoteReference w:id="20"/>
      </w:r>
      <w:r>
        <w:rPr>
          <w:rFonts w:ascii="Arial" w:hAnsi="Arial" w:cs="Arial"/>
          <w:sz w:val="22"/>
          <w:szCs w:val="22"/>
          <w:lang w:val="en-GB"/>
        </w:rPr>
        <w:t xml:space="preserve">.  </w:t>
      </w:r>
      <w:r w:rsidR="00410335">
        <w:rPr>
          <w:rFonts w:ascii="Arial" w:hAnsi="Arial" w:cs="Arial"/>
          <w:sz w:val="22"/>
          <w:szCs w:val="22"/>
          <w:lang w:val="en-GB"/>
        </w:rPr>
        <w:t>It remains to be seen whether following the implementation of the Model Law on recognition and enforcement of insolvency related judgments</w:t>
      </w:r>
      <w:r w:rsidR="003C698A">
        <w:rPr>
          <w:rFonts w:ascii="Arial" w:hAnsi="Arial" w:cs="Arial"/>
          <w:sz w:val="22"/>
          <w:szCs w:val="22"/>
          <w:lang w:val="en-GB"/>
        </w:rPr>
        <w:t xml:space="preserve"> (</w:t>
      </w:r>
      <w:r w:rsidR="003C698A" w:rsidRPr="003C698A">
        <w:rPr>
          <w:rFonts w:ascii="Arial" w:hAnsi="Arial" w:cs="Arial"/>
          <w:b/>
          <w:sz w:val="22"/>
          <w:szCs w:val="22"/>
          <w:lang w:val="en-GB"/>
        </w:rPr>
        <w:t>MLREIJ</w:t>
      </w:r>
      <w:r w:rsidR="003C698A">
        <w:rPr>
          <w:rFonts w:ascii="Arial" w:hAnsi="Arial" w:cs="Arial"/>
          <w:sz w:val="22"/>
          <w:szCs w:val="22"/>
          <w:lang w:val="en-GB"/>
        </w:rPr>
        <w:t>)</w:t>
      </w:r>
      <w:r w:rsidR="00410335">
        <w:rPr>
          <w:rFonts w:ascii="Arial" w:hAnsi="Arial" w:cs="Arial"/>
          <w:sz w:val="22"/>
          <w:szCs w:val="22"/>
          <w:lang w:val="en-GB"/>
        </w:rPr>
        <w:t xml:space="preserve">, the decision of the Supreme Court will </w:t>
      </w:r>
      <w:r w:rsidR="003C698A">
        <w:rPr>
          <w:rFonts w:ascii="Arial" w:hAnsi="Arial" w:cs="Arial"/>
          <w:sz w:val="22"/>
          <w:szCs w:val="22"/>
          <w:lang w:val="en-GB"/>
        </w:rPr>
        <w:t xml:space="preserve">be </w:t>
      </w:r>
      <w:r w:rsidR="00410335">
        <w:rPr>
          <w:rFonts w:ascii="Arial" w:hAnsi="Arial" w:cs="Arial"/>
          <w:sz w:val="22"/>
          <w:szCs w:val="22"/>
          <w:lang w:val="en-GB"/>
        </w:rPr>
        <w:t>reconsidered</w:t>
      </w:r>
      <w:r w:rsidR="003C698A">
        <w:rPr>
          <w:rFonts w:ascii="Arial" w:hAnsi="Arial" w:cs="Arial"/>
          <w:sz w:val="22"/>
          <w:szCs w:val="22"/>
          <w:lang w:val="en-GB"/>
        </w:rPr>
        <w:t xml:space="preserve"> and / or would have been decided differently</w:t>
      </w:r>
      <w:r>
        <w:rPr>
          <w:rFonts w:ascii="Arial" w:hAnsi="Arial" w:cs="Arial"/>
          <w:sz w:val="22"/>
          <w:szCs w:val="22"/>
          <w:lang w:val="en-GB"/>
        </w:rPr>
        <w:t xml:space="preserve">. </w:t>
      </w:r>
      <w:r w:rsidR="003C698A">
        <w:rPr>
          <w:rFonts w:ascii="Arial" w:hAnsi="Arial" w:cs="Arial"/>
          <w:sz w:val="22"/>
          <w:szCs w:val="22"/>
          <w:lang w:val="en-GB"/>
        </w:rPr>
        <w:t xml:space="preserve">However, until the </w:t>
      </w:r>
      <w:r w:rsidR="003C698A" w:rsidRPr="003C698A">
        <w:rPr>
          <w:rFonts w:ascii="Arial" w:hAnsi="Arial" w:cs="Arial"/>
          <w:b/>
          <w:sz w:val="22"/>
          <w:szCs w:val="22"/>
          <w:lang w:val="en-GB"/>
        </w:rPr>
        <w:t>MLREIJ</w:t>
      </w:r>
      <w:r w:rsidR="003C698A">
        <w:rPr>
          <w:rFonts w:ascii="Arial" w:hAnsi="Arial" w:cs="Arial"/>
          <w:sz w:val="22"/>
          <w:szCs w:val="22"/>
          <w:lang w:val="en-GB"/>
        </w:rPr>
        <w:t xml:space="preserve"> any recognition of an insolvency-related judgment could not form part of the relief sought by the foreign representative. </w:t>
      </w:r>
    </w:p>
    <w:p w14:paraId="06BC09D3" w14:textId="77777777" w:rsidR="003C698A" w:rsidRDefault="003C698A" w:rsidP="00FB0DB0">
      <w:pPr>
        <w:jc w:val="both"/>
        <w:rPr>
          <w:rFonts w:ascii="Arial" w:hAnsi="Arial" w:cs="Arial"/>
          <w:sz w:val="22"/>
          <w:szCs w:val="22"/>
          <w:lang w:val="en-GB"/>
        </w:rPr>
      </w:pPr>
    </w:p>
    <w:p w14:paraId="7E26F5F8" w14:textId="77777777" w:rsidR="00107F65" w:rsidRDefault="003C698A" w:rsidP="00FB0DB0">
      <w:pPr>
        <w:jc w:val="both"/>
        <w:rPr>
          <w:rFonts w:ascii="Arial" w:hAnsi="Arial" w:cs="Arial"/>
          <w:sz w:val="22"/>
          <w:szCs w:val="22"/>
          <w:lang w:val="en-GB"/>
        </w:rPr>
      </w:pPr>
      <w:r>
        <w:rPr>
          <w:rFonts w:ascii="Arial" w:hAnsi="Arial" w:cs="Arial"/>
          <w:sz w:val="22"/>
          <w:szCs w:val="22"/>
          <w:lang w:val="en-GB"/>
        </w:rPr>
        <w:t xml:space="preserve">Another case which serves to limit the relief the foreign representative may seek is the </w:t>
      </w:r>
      <w:r w:rsidRPr="003C698A">
        <w:rPr>
          <w:rFonts w:ascii="Arial" w:hAnsi="Arial" w:cs="Arial"/>
          <w:i/>
          <w:sz w:val="22"/>
          <w:szCs w:val="22"/>
          <w:lang w:val="en-GB"/>
        </w:rPr>
        <w:t xml:space="preserve">IBA </w:t>
      </w:r>
      <w:r>
        <w:rPr>
          <w:rFonts w:ascii="Arial" w:hAnsi="Arial" w:cs="Arial"/>
          <w:i/>
          <w:sz w:val="22"/>
          <w:szCs w:val="22"/>
          <w:lang w:val="en-GB"/>
        </w:rPr>
        <w:t>C</w:t>
      </w:r>
      <w:r w:rsidRPr="003C698A">
        <w:rPr>
          <w:rFonts w:ascii="Arial" w:hAnsi="Arial" w:cs="Arial"/>
          <w:i/>
          <w:sz w:val="22"/>
          <w:szCs w:val="22"/>
          <w:lang w:val="en-GB"/>
        </w:rPr>
        <w:t>ase</w:t>
      </w:r>
      <w:r>
        <w:rPr>
          <w:rStyle w:val="FootnoteReference"/>
          <w:rFonts w:ascii="Arial" w:hAnsi="Arial" w:cs="Arial"/>
          <w:i/>
          <w:sz w:val="22"/>
          <w:szCs w:val="22"/>
          <w:lang w:val="en-GB"/>
        </w:rPr>
        <w:footnoteReference w:id="21"/>
      </w:r>
      <w:r>
        <w:rPr>
          <w:rFonts w:ascii="Arial" w:hAnsi="Arial" w:cs="Arial"/>
          <w:i/>
          <w:sz w:val="22"/>
          <w:szCs w:val="22"/>
          <w:lang w:val="en-GB"/>
        </w:rPr>
        <w:t xml:space="preserve"> </w:t>
      </w:r>
      <w:r>
        <w:rPr>
          <w:rFonts w:ascii="Arial" w:hAnsi="Arial" w:cs="Arial"/>
          <w:sz w:val="22"/>
          <w:szCs w:val="22"/>
          <w:lang w:val="en-GB"/>
        </w:rPr>
        <w:t xml:space="preserve">in which a Moratorium Continuation application was refused. </w:t>
      </w:r>
      <w:r w:rsidR="00107F65">
        <w:rPr>
          <w:rFonts w:ascii="Arial" w:hAnsi="Arial" w:cs="Arial"/>
          <w:sz w:val="22"/>
          <w:szCs w:val="22"/>
          <w:lang w:val="en-GB"/>
        </w:rPr>
        <w:t xml:space="preserve">Following the English Court of Appeal </w:t>
      </w:r>
      <w:r>
        <w:rPr>
          <w:rFonts w:ascii="Arial" w:hAnsi="Arial" w:cs="Arial"/>
          <w:sz w:val="22"/>
          <w:szCs w:val="22"/>
          <w:lang w:val="en-GB"/>
        </w:rPr>
        <w:t>decision</w:t>
      </w:r>
      <w:r w:rsidR="00107F65">
        <w:rPr>
          <w:rFonts w:ascii="Arial" w:hAnsi="Arial" w:cs="Arial"/>
          <w:sz w:val="22"/>
          <w:szCs w:val="22"/>
          <w:lang w:val="en-GB"/>
        </w:rPr>
        <w:t xml:space="preserve"> in IBA</w:t>
      </w:r>
      <w:r>
        <w:rPr>
          <w:rFonts w:ascii="Arial" w:hAnsi="Arial" w:cs="Arial"/>
          <w:sz w:val="22"/>
          <w:szCs w:val="22"/>
          <w:lang w:val="en-GB"/>
        </w:rPr>
        <w:t xml:space="preserve">, </w:t>
      </w:r>
      <w:r w:rsidR="00107F65">
        <w:rPr>
          <w:rFonts w:ascii="Arial" w:hAnsi="Arial" w:cs="Arial"/>
          <w:sz w:val="22"/>
          <w:szCs w:val="22"/>
          <w:lang w:val="en-GB"/>
        </w:rPr>
        <w:t xml:space="preserve">it is likely that </w:t>
      </w:r>
      <w:r>
        <w:rPr>
          <w:rFonts w:ascii="Arial" w:hAnsi="Arial" w:cs="Arial"/>
          <w:sz w:val="22"/>
          <w:szCs w:val="22"/>
          <w:lang w:val="en-GB"/>
        </w:rPr>
        <w:t>the Court in State A would only grant an indefinite Moratorium Continuation if satisfied that (</w:t>
      </w:r>
      <w:proofErr w:type="spellStart"/>
      <w:r>
        <w:rPr>
          <w:rFonts w:ascii="Arial" w:hAnsi="Arial" w:cs="Arial"/>
          <w:sz w:val="22"/>
          <w:szCs w:val="22"/>
          <w:lang w:val="en-GB"/>
        </w:rPr>
        <w:t>i</w:t>
      </w:r>
      <w:proofErr w:type="spellEnd"/>
      <w:r>
        <w:rPr>
          <w:rFonts w:ascii="Arial" w:hAnsi="Arial" w:cs="Arial"/>
          <w:sz w:val="22"/>
          <w:szCs w:val="22"/>
          <w:lang w:val="en-GB"/>
        </w:rPr>
        <w:t xml:space="preserve">) the stay would be necessary to protect the interests of the debtor's creditors and (ii) the stay would have to be an appropriate way of achieving such protection. Were a Moratorium Continuation sought </w:t>
      </w:r>
      <w:r w:rsidR="00107F65">
        <w:rPr>
          <w:rFonts w:ascii="Arial" w:hAnsi="Arial" w:cs="Arial"/>
          <w:sz w:val="22"/>
          <w:szCs w:val="22"/>
          <w:lang w:val="en-GB"/>
        </w:rPr>
        <w:t xml:space="preserve">by the foreign representative in order to prevent certain creditors from enforcing their claims in State A, such relief is likely to be refuse. </w:t>
      </w:r>
    </w:p>
    <w:p w14:paraId="1F6D73A2" w14:textId="77777777" w:rsidR="00107F65" w:rsidRDefault="00107F65" w:rsidP="00FB0DB0">
      <w:pPr>
        <w:jc w:val="both"/>
        <w:rPr>
          <w:rFonts w:ascii="Arial" w:hAnsi="Arial" w:cs="Arial"/>
          <w:sz w:val="22"/>
          <w:szCs w:val="22"/>
          <w:lang w:val="en-GB"/>
        </w:rPr>
      </w:pPr>
    </w:p>
    <w:p w14:paraId="685C0D39" w14:textId="254489B2" w:rsidR="002B2983" w:rsidRPr="009B5832" w:rsidRDefault="00107F65" w:rsidP="00FB0DB0">
      <w:pPr>
        <w:jc w:val="both"/>
        <w:rPr>
          <w:rFonts w:ascii="Arial" w:hAnsi="Arial" w:cs="Arial"/>
          <w:sz w:val="22"/>
          <w:szCs w:val="22"/>
          <w:lang w:val="en-GB"/>
        </w:rPr>
      </w:pPr>
      <w:r>
        <w:rPr>
          <w:rFonts w:ascii="Arial" w:hAnsi="Arial" w:cs="Arial"/>
          <w:sz w:val="22"/>
          <w:szCs w:val="22"/>
          <w:lang w:val="en-GB"/>
        </w:rPr>
        <w:t>Thirdly, the foreign representative should not expect the law of the forum of the foreign proceedings to override the law of State A, so as to give effect to insolvency law in the foreign representatives jurisdiction for the provision of relief which goes beyond what would be granted in a domestic insolvency under the law of State A</w:t>
      </w:r>
      <w:r>
        <w:rPr>
          <w:rStyle w:val="FootnoteReference"/>
          <w:rFonts w:ascii="Arial" w:hAnsi="Arial" w:cs="Arial"/>
          <w:sz w:val="22"/>
          <w:szCs w:val="22"/>
          <w:lang w:val="en-GB"/>
        </w:rPr>
        <w:footnoteReference w:id="22"/>
      </w:r>
      <w:r>
        <w:rPr>
          <w:rFonts w:ascii="Arial" w:hAnsi="Arial" w:cs="Arial"/>
          <w:sz w:val="22"/>
          <w:szCs w:val="22"/>
          <w:lang w:val="en-GB"/>
        </w:rPr>
        <w:t xml:space="preserve">. </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50680A1B" w:rsidR="00980314" w:rsidRDefault="00980314" w:rsidP="000077DD">
      <w:pPr>
        <w:jc w:val="both"/>
        <w:rPr>
          <w:rFonts w:ascii="Arial" w:hAnsi="Arial" w:cs="Arial"/>
          <w:sz w:val="22"/>
          <w:szCs w:val="22"/>
          <w:lang w:val="en-GB"/>
        </w:rPr>
      </w:pPr>
    </w:p>
    <w:p w14:paraId="5962A9BC" w14:textId="38CD7C97" w:rsidR="00980314" w:rsidRPr="009B5832" w:rsidRDefault="006A73F5" w:rsidP="000077DD">
      <w:pPr>
        <w:jc w:val="both"/>
        <w:rPr>
          <w:rFonts w:ascii="Arial" w:hAnsi="Arial" w:cs="Arial"/>
          <w:sz w:val="22"/>
          <w:szCs w:val="22"/>
          <w:lang w:val="en-GB"/>
        </w:rPr>
      </w:pPr>
      <w:r>
        <w:rPr>
          <w:rFonts w:ascii="Arial" w:hAnsi="Arial" w:cs="Arial"/>
          <w:sz w:val="22"/>
          <w:szCs w:val="22"/>
          <w:lang w:val="en-GB"/>
        </w:rPr>
        <w:t>Where a worldwide freezing order granted as pre-condition interim pre-recognition relief has been ordered in order to preserve the assets of the Debtor</w:t>
      </w:r>
      <w:r w:rsidR="007717D5">
        <w:rPr>
          <w:rFonts w:ascii="Arial" w:hAnsi="Arial" w:cs="Arial"/>
          <w:sz w:val="22"/>
          <w:szCs w:val="22"/>
          <w:lang w:val="en-GB"/>
        </w:rPr>
        <w:t xml:space="preserve"> and avoid dissipation</w:t>
      </w:r>
      <w:r>
        <w:rPr>
          <w:rFonts w:ascii="Arial" w:hAnsi="Arial" w:cs="Arial"/>
          <w:sz w:val="22"/>
          <w:szCs w:val="22"/>
          <w:lang w:val="en-GB"/>
        </w:rPr>
        <w:t xml:space="preserve">, although possible, it is unlikely to continue post-recognition by virtue of Article 21 </w:t>
      </w:r>
      <w:r w:rsidR="007717D5">
        <w:rPr>
          <w:rFonts w:ascii="Arial" w:hAnsi="Arial" w:cs="Arial"/>
          <w:sz w:val="22"/>
          <w:szCs w:val="22"/>
          <w:lang w:val="en-GB"/>
        </w:rPr>
        <w:t xml:space="preserve">of the Model Law, because the foreign representative will be necessarily seek relief enabling the administration or realisation of the Debtor's assets in State A in order to preserve their value for the benefit of the liquidation estate. </w:t>
      </w:r>
      <w:r w:rsidR="005A33B8">
        <w:rPr>
          <w:rFonts w:ascii="Arial" w:hAnsi="Arial" w:cs="Arial"/>
          <w:sz w:val="22"/>
          <w:szCs w:val="22"/>
          <w:lang w:val="en-GB"/>
        </w:rPr>
        <w:t xml:space="preserve">Moreover whereas the freezing order would serve to preserve the Debtor or any third party on instructions of the Debtor to appropriate assets, the foreign representative, upon recognition, will have the </w:t>
      </w:r>
      <w:r w:rsidR="00D4733D">
        <w:rPr>
          <w:rFonts w:ascii="Arial" w:hAnsi="Arial" w:cs="Arial"/>
          <w:sz w:val="22"/>
          <w:szCs w:val="22"/>
          <w:lang w:val="en-GB"/>
        </w:rPr>
        <w:t xml:space="preserve">requisite responsibility to administer those assets which will incidentally relinquish the ability for any other party to take any steps which would be adverse to the interested stakeholders in the estate. </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3C608C71"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EF8A5DD" w14:textId="77777777" w:rsidR="00D61B86" w:rsidRPr="009B5832" w:rsidRDefault="00D61B86"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00B33902" w:rsidR="00A153F7" w:rsidRDefault="00A153F7" w:rsidP="00707FC8">
      <w:pPr>
        <w:jc w:val="both"/>
        <w:rPr>
          <w:rFonts w:ascii="Arial" w:hAnsi="Arial" w:cs="Arial"/>
          <w:sz w:val="22"/>
          <w:szCs w:val="22"/>
          <w:lang w:val="en-GB"/>
        </w:rPr>
      </w:pPr>
    </w:p>
    <w:p w14:paraId="6B2D19F5" w14:textId="77777777" w:rsidR="00CC2959" w:rsidRDefault="00CC2959" w:rsidP="00707FC8">
      <w:pPr>
        <w:jc w:val="both"/>
        <w:rPr>
          <w:rFonts w:ascii="Arial" w:hAnsi="Arial" w:cs="Arial"/>
          <w:sz w:val="22"/>
          <w:szCs w:val="22"/>
          <w:lang w:val="en-GB"/>
        </w:rPr>
      </w:pPr>
    </w:p>
    <w:p w14:paraId="6D0216FC" w14:textId="2EF02149" w:rsidR="00D61B86" w:rsidRDefault="00D61B86" w:rsidP="00707FC8">
      <w:pPr>
        <w:jc w:val="both"/>
        <w:rPr>
          <w:rFonts w:ascii="Arial" w:hAnsi="Arial" w:cs="Arial"/>
          <w:sz w:val="22"/>
          <w:szCs w:val="22"/>
          <w:lang w:val="en-GB"/>
        </w:rPr>
      </w:pPr>
      <w:r>
        <w:rPr>
          <w:rFonts w:ascii="Arial" w:hAnsi="Arial" w:cs="Arial"/>
          <w:sz w:val="22"/>
          <w:szCs w:val="22"/>
          <w:lang w:val="en-GB"/>
        </w:rPr>
        <w:t xml:space="preserve">The Bank's liquidation was invoked by, and as part of, a special </w:t>
      </w:r>
      <w:r w:rsidR="00D65AE9">
        <w:rPr>
          <w:rFonts w:ascii="Arial" w:hAnsi="Arial" w:cs="Arial"/>
          <w:sz w:val="22"/>
          <w:szCs w:val="22"/>
          <w:lang w:val="en-GB"/>
        </w:rPr>
        <w:t xml:space="preserve">insolvency </w:t>
      </w:r>
      <w:r>
        <w:rPr>
          <w:rFonts w:ascii="Arial" w:hAnsi="Arial" w:cs="Arial"/>
          <w:sz w:val="22"/>
          <w:szCs w:val="22"/>
          <w:lang w:val="en-GB"/>
        </w:rPr>
        <w:t xml:space="preserve">regime, which it is said does not exclude the Bank from the scope of the Model Law, for the purposes of answering this question. However, whether the liquidation of the Bank comprises a </w:t>
      </w:r>
      <w:r w:rsidR="00D65AE9">
        <w:rPr>
          <w:rFonts w:ascii="Arial" w:hAnsi="Arial" w:cs="Arial"/>
          <w:sz w:val="22"/>
          <w:szCs w:val="22"/>
          <w:lang w:val="en-GB"/>
        </w:rPr>
        <w:t>"</w:t>
      </w:r>
      <w:r>
        <w:rPr>
          <w:rFonts w:ascii="Arial" w:hAnsi="Arial" w:cs="Arial"/>
          <w:sz w:val="22"/>
          <w:szCs w:val="22"/>
          <w:lang w:val="en-GB"/>
        </w:rPr>
        <w:t>foreign proceeding</w:t>
      </w:r>
      <w:r w:rsidR="00D65AE9">
        <w:rPr>
          <w:rFonts w:ascii="Arial" w:hAnsi="Arial" w:cs="Arial"/>
          <w:sz w:val="22"/>
          <w:szCs w:val="22"/>
          <w:lang w:val="en-GB"/>
        </w:rPr>
        <w:t>"</w:t>
      </w:r>
      <w:r>
        <w:rPr>
          <w:rFonts w:ascii="Arial" w:hAnsi="Arial" w:cs="Arial"/>
          <w:sz w:val="22"/>
          <w:szCs w:val="22"/>
          <w:lang w:val="en-GB"/>
        </w:rPr>
        <w:t xml:space="preserve"> within the meaning of Article 2(a) of the Model Law and whether the Applicants fall within the description of </w:t>
      </w:r>
      <w:r w:rsidR="00D65AE9">
        <w:rPr>
          <w:rFonts w:ascii="Arial" w:hAnsi="Arial" w:cs="Arial"/>
          <w:sz w:val="22"/>
          <w:szCs w:val="22"/>
          <w:lang w:val="en-GB"/>
        </w:rPr>
        <w:t>"</w:t>
      </w:r>
      <w:r>
        <w:rPr>
          <w:rFonts w:ascii="Arial" w:hAnsi="Arial" w:cs="Arial"/>
          <w:sz w:val="22"/>
          <w:szCs w:val="22"/>
          <w:lang w:val="en-GB"/>
        </w:rPr>
        <w:t>foreign representatives</w:t>
      </w:r>
      <w:r w:rsidR="00D65AE9">
        <w:rPr>
          <w:rFonts w:ascii="Arial" w:hAnsi="Arial" w:cs="Arial"/>
          <w:sz w:val="22"/>
          <w:szCs w:val="22"/>
          <w:lang w:val="en-GB"/>
        </w:rPr>
        <w:t>"</w:t>
      </w:r>
      <w:r>
        <w:rPr>
          <w:rFonts w:ascii="Arial" w:hAnsi="Arial" w:cs="Arial"/>
          <w:sz w:val="22"/>
          <w:szCs w:val="22"/>
          <w:lang w:val="en-GB"/>
        </w:rPr>
        <w:t xml:space="preserve"> as defined by Art</w:t>
      </w:r>
      <w:r w:rsidR="00D65AE9">
        <w:rPr>
          <w:rFonts w:ascii="Arial" w:hAnsi="Arial" w:cs="Arial"/>
          <w:sz w:val="22"/>
          <w:szCs w:val="22"/>
          <w:lang w:val="en-GB"/>
        </w:rPr>
        <w:t>icle 2(d) of the Model Law are necessary preconditions for the granting of recognition.</w:t>
      </w:r>
    </w:p>
    <w:p w14:paraId="4D39B899" w14:textId="0D241D31" w:rsidR="00F10EBE" w:rsidRDefault="00F10EBE" w:rsidP="00707FC8">
      <w:pPr>
        <w:jc w:val="both"/>
        <w:rPr>
          <w:rFonts w:ascii="Arial" w:hAnsi="Arial" w:cs="Arial"/>
          <w:sz w:val="22"/>
          <w:szCs w:val="22"/>
          <w:lang w:val="en-GB"/>
        </w:rPr>
      </w:pPr>
    </w:p>
    <w:p w14:paraId="019E52F7" w14:textId="77777777" w:rsidR="00F10EBE" w:rsidRPr="00CC2959" w:rsidRDefault="00F10EBE" w:rsidP="00F10EBE">
      <w:pPr>
        <w:jc w:val="both"/>
        <w:rPr>
          <w:rFonts w:ascii="Arial" w:hAnsi="Arial" w:cs="Arial"/>
          <w:b/>
          <w:sz w:val="22"/>
          <w:szCs w:val="22"/>
          <w:lang w:val="en-GB"/>
        </w:rPr>
      </w:pPr>
      <w:r w:rsidRPr="00CC2959">
        <w:rPr>
          <w:rFonts w:ascii="Arial" w:hAnsi="Arial" w:cs="Arial"/>
          <w:b/>
          <w:sz w:val="22"/>
          <w:szCs w:val="22"/>
          <w:lang w:val="en-GB"/>
        </w:rPr>
        <w:t>4.1.1</w:t>
      </w:r>
    </w:p>
    <w:p w14:paraId="553552C2" w14:textId="5D04CD16" w:rsidR="00D65AE9" w:rsidRDefault="00D65AE9" w:rsidP="00707FC8">
      <w:pPr>
        <w:jc w:val="both"/>
        <w:rPr>
          <w:rFonts w:ascii="Arial" w:hAnsi="Arial" w:cs="Arial"/>
          <w:sz w:val="22"/>
          <w:szCs w:val="22"/>
          <w:lang w:val="en-GB"/>
        </w:rPr>
      </w:pPr>
    </w:p>
    <w:p w14:paraId="1C3C9B2A" w14:textId="5A7DB454" w:rsidR="00D65AE9" w:rsidRDefault="00D65AE9" w:rsidP="00707FC8">
      <w:pPr>
        <w:jc w:val="both"/>
        <w:rPr>
          <w:rFonts w:ascii="Arial" w:hAnsi="Arial" w:cs="Arial"/>
          <w:sz w:val="22"/>
          <w:szCs w:val="22"/>
          <w:lang w:val="en-GB"/>
        </w:rPr>
      </w:pPr>
      <w:r>
        <w:rPr>
          <w:rFonts w:ascii="Arial" w:hAnsi="Arial" w:cs="Arial"/>
          <w:sz w:val="22"/>
          <w:szCs w:val="22"/>
          <w:lang w:val="en-GB"/>
        </w:rPr>
        <w:t xml:space="preserve">In addressing the first precondition, Article 2(a) </w:t>
      </w:r>
      <w:r w:rsidR="002B2983">
        <w:rPr>
          <w:rFonts w:ascii="Arial" w:hAnsi="Arial" w:cs="Arial"/>
          <w:sz w:val="22"/>
          <w:szCs w:val="22"/>
          <w:lang w:val="en-GB"/>
        </w:rPr>
        <w:t>defines "foreign proceeding" to mean "</w:t>
      </w:r>
      <w:r w:rsidR="002B2983" w:rsidRPr="00FF16BF">
        <w:rPr>
          <w:rFonts w:ascii="Arial" w:hAnsi="Arial" w:cs="Arial"/>
          <w:i/>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sidR="002B2983">
        <w:rPr>
          <w:rFonts w:ascii="Arial" w:hAnsi="Arial" w:cs="Arial"/>
          <w:sz w:val="22"/>
          <w:szCs w:val="22"/>
          <w:lang w:val="en-GB"/>
        </w:rPr>
        <w:t xml:space="preserve">". </w:t>
      </w:r>
    </w:p>
    <w:p w14:paraId="237BE225" w14:textId="618BFF9C" w:rsidR="002B2983" w:rsidRDefault="002B2983" w:rsidP="00707FC8">
      <w:pPr>
        <w:jc w:val="both"/>
        <w:rPr>
          <w:rFonts w:ascii="Arial" w:hAnsi="Arial" w:cs="Arial"/>
          <w:sz w:val="22"/>
          <w:szCs w:val="22"/>
          <w:lang w:val="en-GB"/>
        </w:rPr>
      </w:pPr>
    </w:p>
    <w:p w14:paraId="52D9E2C1" w14:textId="251576ED" w:rsidR="002B2983" w:rsidRDefault="002B2983" w:rsidP="00707FC8">
      <w:pPr>
        <w:jc w:val="both"/>
        <w:rPr>
          <w:rFonts w:ascii="Arial" w:hAnsi="Arial" w:cs="Arial"/>
          <w:sz w:val="22"/>
          <w:szCs w:val="22"/>
          <w:lang w:val="en-GB"/>
        </w:rPr>
      </w:pPr>
      <w:r>
        <w:rPr>
          <w:rFonts w:ascii="Arial" w:hAnsi="Arial" w:cs="Arial"/>
          <w:sz w:val="22"/>
          <w:szCs w:val="22"/>
          <w:lang w:val="en-GB"/>
        </w:rPr>
        <w:t xml:space="preserve">This definition comprises a number of </w:t>
      </w:r>
      <w:r w:rsidR="00DF6555">
        <w:rPr>
          <w:rFonts w:ascii="Arial" w:hAnsi="Arial" w:cs="Arial"/>
          <w:sz w:val="22"/>
          <w:szCs w:val="22"/>
          <w:lang w:val="en-GB"/>
        </w:rPr>
        <w:t xml:space="preserve">elements </w:t>
      </w:r>
      <w:r>
        <w:rPr>
          <w:rFonts w:ascii="Arial" w:hAnsi="Arial" w:cs="Arial"/>
          <w:sz w:val="22"/>
          <w:szCs w:val="22"/>
          <w:lang w:val="en-GB"/>
        </w:rPr>
        <w:t>which have been interpreted</w:t>
      </w:r>
      <w:r w:rsidR="00926149">
        <w:rPr>
          <w:rFonts w:ascii="Arial" w:hAnsi="Arial" w:cs="Arial"/>
          <w:sz w:val="22"/>
          <w:szCs w:val="22"/>
          <w:lang w:val="en-GB"/>
        </w:rPr>
        <w:t xml:space="preserve"> by c</w:t>
      </w:r>
      <w:r>
        <w:rPr>
          <w:rFonts w:ascii="Arial" w:hAnsi="Arial" w:cs="Arial"/>
          <w:sz w:val="22"/>
          <w:szCs w:val="22"/>
          <w:lang w:val="en-GB"/>
        </w:rPr>
        <w:t>ourts in States such as England (where the Model Law has been implemented by way of the UK Cross-Border Insolvency Regulations 2006 (</w:t>
      </w:r>
      <w:r w:rsidRPr="00FF16BF">
        <w:rPr>
          <w:rFonts w:ascii="Arial" w:hAnsi="Arial" w:cs="Arial"/>
          <w:b/>
          <w:sz w:val="22"/>
          <w:szCs w:val="22"/>
          <w:lang w:val="en-GB"/>
        </w:rPr>
        <w:t>CBIR</w:t>
      </w:r>
      <w:r>
        <w:rPr>
          <w:rFonts w:ascii="Arial" w:hAnsi="Arial" w:cs="Arial"/>
          <w:sz w:val="22"/>
          <w:szCs w:val="22"/>
          <w:lang w:val="en-GB"/>
        </w:rPr>
        <w:t xml:space="preserve">) and meaning ascribed by </w:t>
      </w:r>
      <w:r w:rsidR="00926149">
        <w:rPr>
          <w:rFonts w:ascii="Arial" w:hAnsi="Arial" w:cs="Arial"/>
          <w:sz w:val="22"/>
          <w:szCs w:val="22"/>
          <w:lang w:val="en-GB"/>
        </w:rPr>
        <w:t xml:space="preserve">relevant </w:t>
      </w:r>
      <w:r>
        <w:rPr>
          <w:rFonts w:ascii="Arial" w:hAnsi="Arial" w:cs="Arial"/>
          <w:sz w:val="22"/>
          <w:szCs w:val="22"/>
          <w:lang w:val="en-GB"/>
        </w:rPr>
        <w:t>guidance texts</w:t>
      </w:r>
      <w:r w:rsidR="00926149">
        <w:rPr>
          <w:rStyle w:val="FootnoteReference"/>
          <w:rFonts w:ascii="Arial" w:hAnsi="Arial" w:cs="Arial"/>
          <w:sz w:val="22"/>
          <w:szCs w:val="22"/>
          <w:lang w:val="en-GB"/>
        </w:rPr>
        <w:footnoteReference w:id="23"/>
      </w:r>
      <w:r w:rsidR="00926149">
        <w:rPr>
          <w:rFonts w:ascii="Arial" w:hAnsi="Arial" w:cs="Arial"/>
          <w:sz w:val="22"/>
          <w:szCs w:val="22"/>
          <w:lang w:val="en-GB"/>
        </w:rPr>
        <w:t>.</w:t>
      </w:r>
      <w:r>
        <w:rPr>
          <w:rFonts w:ascii="Arial" w:hAnsi="Arial" w:cs="Arial"/>
          <w:sz w:val="22"/>
          <w:szCs w:val="22"/>
          <w:lang w:val="en-GB"/>
        </w:rPr>
        <w:t xml:space="preserve"> </w:t>
      </w:r>
      <w:r w:rsidR="00DF6555">
        <w:rPr>
          <w:rFonts w:ascii="Arial" w:hAnsi="Arial" w:cs="Arial"/>
          <w:sz w:val="22"/>
          <w:szCs w:val="22"/>
          <w:lang w:val="en-GB"/>
        </w:rPr>
        <w:t>As the CBIR is the English adoption of the Model Law, r</w:t>
      </w:r>
      <w:r w:rsidR="00F10EBE">
        <w:rPr>
          <w:rFonts w:ascii="Arial" w:hAnsi="Arial" w:cs="Arial"/>
          <w:sz w:val="22"/>
          <w:szCs w:val="22"/>
          <w:lang w:val="en-GB"/>
        </w:rPr>
        <w:t xml:space="preserve">eference to the Model Law </w:t>
      </w:r>
      <w:r w:rsidR="00DF6555">
        <w:rPr>
          <w:rFonts w:ascii="Arial" w:hAnsi="Arial" w:cs="Arial"/>
          <w:sz w:val="22"/>
          <w:szCs w:val="22"/>
          <w:lang w:val="en-GB"/>
        </w:rPr>
        <w:t>should be taken to apply by</w:t>
      </w:r>
      <w:r w:rsidR="00F10EBE">
        <w:rPr>
          <w:rFonts w:ascii="Arial" w:hAnsi="Arial" w:cs="Arial"/>
          <w:sz w:val="22"/>
          <w:szCs w:val="22"/>
          <w:lang w:val="en-GB"/>
        </w:rPr>
        <w:t xml:space="preserve"> extension to the CBIR. </w:t>
      </w:r>
    </w:p>
    <w:p w14:paraId="14839E6D" w14:textId="2CD8F5F5" w:rsidR="00926149" w:rsidRDefault="00926149" w:rsidP="00707FC8">
      <w:pPr>
        <w:jc w:val="both"/>
        <w:rPr>
          <w:rFonts w:ascii="Arial" w:hAnsi="Arial" w:cs="Arial"/>
          <w:sz w:val="22"/>
          <w:szCs w:val="22"/>
          <w:lang w:val="en-GB"/>
        </w:rPr>
      </w:pPr>
    </w:p>
    <w:p w14:paraId="0785A92D" w14:textId="7E093225" w:rsidR="00B919FE" w:rsidRDefault="00DF6555" w:rsidP="00707FC8">
      <w:pPr>
        <w:jc w:val="both"/>
        <w:rPr>
          <w:rFonts w:ascii="Arial" w:hAnsi="Arial" w:cs="Arial"/>
          <w:sz w:val="22"/>
          <w:szCs w:val="22"/>
          <w:lang w:val="en-GB"/>
        </w:rPr>
      </w:pPr>
      <w:r>
        <w:rPr>
          <w:rFonts w:ascii="Arial" w:hAnsi="Arial" w:cs="Arial"/>
          <w:sz w:val="22"/>
          <w:szCs w:val="22"/>
          <w:lang w:val="en-GB"/>
        </w:rPr>
        <w:t xml:space="preserve">The </w:t>
      </w:r>
      <w:r w:rsidR="00926149">
        <w:rPr>
          <w:rFonts w:ascii="Arial" w:hAnsi="Arial" w:cs="Arial"/>
          <w:sz w:val="22"/>
          <w:szCs w:val="22"/>
          <w:lang w:val="en-GB"/>
        </w:rPr>
        <w:t>application of Ms G and the DGF for recognition is being p</w:t>
      </w:r>
      <w:r>
        <w:rPr>
          <w:rFonts w:ascii="Arial" w:hAnsi="Arial" w:cs="Arial"/>
          <w:sz w:val="22"/>
          <w:szCs w:val="22"/>
          <w:lang w:val="en-GB"/>
        </w:rPr>
        <w:t>ursued before the English court and accordingly</w:t>
      </w:r>
      <w:r w:rsidR="00926149">
        <w:rPr>
          <w:rFonts w:ascii="Arial" w:hAnsi="Arial" w:cs="Arial"/>
          <w:sz w:val="22"/>
          <w:szCs w:val="22"/>
          <w:lang w:val="en-GB"/>
        </w:rPr>
        <w:t xml:space="preserve"> the </w:t>
      </w:r>
      <w:proofErr w:type="spellStart"/>
      <w:r w:rsidR="00926149" w:rsidRPr="00926149">
        <w:rPr>
          <w:rFonts w:ascii="Arial" w:hAnsi="Arial" w:cs="Arial"/>
          <w:i/>
          <w:sz w:val="22"/>
          <w:szCs w:val="22"/>
          <w:lang w:val="en-GB"/>
        </w:rPr>
        <w:t>Agroker</w:t>
      </w:r>
      <w:proofErr w:type="spellEnd"/>
      <w:r w:rsidR="00926149">
        <w:rPr>
          <w:rStyle w:val="FootnoteReference"/>
          <w:rFonts w:ascii="Arial" w:hAnsi="Arial" w:cs="Arial"/>
          <w:i/>
          <w:sz w:val="22"/>
          <w:szCs w:val="22"/>
          <w:lang w:val="en-GB"/>
        </w:rPr>
        <w:footnoteReference w:id="24"/>
      </w:r>
      <w:r w:rsidR="00926149">
        <w:rPr>
          <w:rFonts w:ascii="Arial" w:hAnsi="Arial" w:cs="Arial"/>
          <w:sz w:val="22"/>
          <w:szCs w:val="22"/>
          <w:lang w:val="en-GB"/>
        </w:rPr>
        <w:t xml:space="preserve"> </w:t>
      </w:r>
      <w:r w:rsidR="004D398C">
        <w:rPr>
          <w:rFonts w:ascii="Arial" w:hAnsi="Arial" w:cs="Arial"/>
          <w:sz w:val="22"/>
          <w:szCs w:val="22"/>
          <w:lang w:val="en-GB"/>
        </w:rPr>
        <w:t xml:space="preserve">judgment </w:t>
      </w:r>
      <w:r w:rsidR="001B2C29">
        <w:rPr>
          <w:rFonts w:ascii="Arial" w:hAnsi="Arial" w:cs="Arial"/>
          <w:sz w:val="22"/>
          <w:szCs w:val="22"/>
          <w:lang w:val="en-GB"/>
        </w:rPr>
        <w:t>as well as other English cases are</w:t>
      </w:r>
      <w:r w:rsidR="004D398C">
        <w:rPr>
          <w:rFonts w:ascii="Arial" w:hAnsi="Arial" w:cs="Arial"/>
          <w:sz w:val="22"/>
          <w:szCs w:val="22"/>
          <w:lang w:val="en-GB"/>
        </w:rPr>
        <w:t xml:space="preserve"> particularly instructive when applied to the facts of this</w:t>
      </w:r>
      <w:r w:rsidR="00B919FE">
        <w:rPr>
          <w:rFonts w:ascii="Arial" w:hAnsi="Arial" w:cs="Arial"/>
          <w:sz w:val="22"/>
          <w:szCs w:val="22"/>
          <w:lang w:val="en-GB"/>
        </w:rPr>
        <w:t xml:space="preserve"> case</w:t>
      </w:r>
      <w:r w:rsidR="004D398C">
        <w:rPr>
          <w:rFonts w:ascii="Arial" w:hAnsi="Arial" w:cs="Arial"/>
          <w:sz w:val="22"/>
          <w:szCs w:val="22"/>
          <w:lang w:val="en-GB"/>
        </w:rPr>
        <w:t>. S</w:t>
      </w:r>
      <w:r w:rsidR="00B919FE">
        <w:rPr>
          <w:rFonts w:ascii="Arial" w:hAnsi="Arial" w:cs="Arial"/>
          <w:sz w:val="22"/>
          <w:szCs w:val="22"/>
          <w:lang w:val="en-GB"/>
        </w:rPr>
        <w:t>omewhat s</w:t>
      </w:r>
      <w:r w:rsidR="004D398C">
        <w:rPr>
          <w:rFonts w:ascii="Arial" w:hAnsi="Arial" w:cs="Arial"/>
          <w:sz w:val="22"/>
          <w:szCs w:val="22"/>
          <w:lang w:val="en-GB"/>
        </w:rPr>
        <w:t>imilar to the circumstances</w:t>
      </w:r>
      <w:r w:rsidR="00175A00">
        <w:rPr>
          <w:rFonts w:ascii="Arial" w:hAnsi="Arial" w:cs="Arial"/>
          <w:sz w:val="22"/>
          <w:szCs w:val="22"/>
          <w:lang w:val="en-GB"/>
        </w:rPr>
        <w:t xml:space="preserve"> giving rise to the proceeding</w:t>
      </w:r>
      <w:r w:rsidR="004D398C">
        <w:rPr>
          <w:rFonts w:ascii="Arial" w:hAnsi="Arial" w:cs="Arial"/>
          <w:sz w:val="22"/>
          <w:szCs w:val="22"/>
          <w:lang w:val="en-GB"/>
        </w:rPr>
        <w:t xml:space="preserve">s in </w:t>
      </w:r>
      <w:proofErr w:type="spellStart"/>
      <w:r w:rsidR="004D398C" w:rsidRPr="004D398C">
        <w:rPr>
          <w:rFonts w:ascii="Arial" w:hAnsi="Arial" w:cs="Arial"/>
          <w:i/>
          <w:sz w:val="22"/>
          <w:szCs w:val="22"/>
          <w:lang w:val="en-GB"/>
        </w:rPr>
        <w:t>Agroker</w:t>
      </w:r>
      <w:proofErr w:type="spellEnd"/>
      <w:r w:rsidR="004D398C">
        <w:rPr>
          <w:rFonts w:ascii="Arial" w:hAnsi="Arial" w:cs="Arial"/>
          <w:sz w:val="22"/>
          <w:szCs w:val="22"/>
          <w:lang w:val="en-GB"/>
        </w:rPr>
        <w:t xml:space="preserve">, </w:t>
      </w:r>
      <w:r w:rsidR="00175A00">
        <w:rPr>
          <w:rFonts w:ascii="Arial" w:hAnsi="Arial" w:cs="Arial"/>
          <w:sz w:val="22"/>
          <w:szCs w:val="22"/>
          <w:lang w:val="en-GB"/>
        </w:rPr>
        <w:t xml:space="preserve">the Bank's liquidation was instigated by an administrative process in Country A </w:t>
      </w:r>
      <w:r w:rsidR="00CC2959">
        <w:rPr>
          <w:rFonts w:ascii="Arial" w:hAnsi="Arial" w:cs="Arial"/>
          <w:sz w:val="22"/>
          <w:szCs w:val="22"/>
          <w:lang w:val="en-GB"/>
        </w:rPr>
        <w:t xml:space="preserve">(a foreign state) </w:t>
      </w:r>
      <w:r w:rsidR="00175A00">
        <w:rPr>
          <w:rFonts w:ascii="Arial" w:hAnsi="Arial" w:cs="Arial"/>
          <w:sz w:val="22"/>
          <w:szCs w:val="22"/>
          <w:lang w:val="en-GB"/>
        </w:rPr>
        <w:t xml:space="preserve">which empowers the governmental body, </w:t>
      </w:r>
      <w:r w:rsidR="00FE7977">
        <w:rPr>
          <w:rFonts w:ascii="Arial" w:hAnsi="Arial" w:cs="Arial"/>
          <w:sz w:val="22"/>
          <w:szCs w:val="22"/>
          <w:lang w:val="en-GB"/>
        </w:rPr>
        <w:t>the D</w:t>
      </w:r>
      <w:r w:rsidR="00175A00">
        <w:rPr>
          <w:rFonts w:ascii="Arial" w:hAnsi="Arial" w:cs="Arial"/>
          <w:sz w:val="22"/>
          <w:szCs w:val="22"/>
          <w:lang w:val="en-GB"/>
        </w:rPr>
        <w:t>G</w:t>
      </w:r>
      <w:r w:rsidR="00FE7977">
        <w:rPr>
          <w:rFonts w:ascii="Arial" w:hAnsi="Arial" w:cs="Arial"/>
          <w:sz w:val="22"/>
          <w:szCs w:val="22"/>
          <w:lang w:val="en-GB"/>
        </w:rPr>
        <w:t>F</w:t>
      </w:r>
      <w:r w:rsidR="00B919FE">
        <w:rPr>
          <w:rFonts w:ascii="Arial" w:hAnsi="Arial" w:cs="Arial"/>
          <w:sz w:val="22"/>
          <w:szCs w:val="22"/>
          <w:lang w:val="en-GB"/>
        </w:rPr>
        <w:t>,</w:t>
      </w:r>
      <w:r w:rsidR="00175A00">
        <w:rPr>
          <w:rFonts w:ascii="Arial" w:hAnsi="Arial" w:cs="Arial"/>
          <w:sz w:val="22"/>
          <w:szCs w:val="22"/>
          <w:lang w:val="en-GB"/>
        </w:rPr>
        <w:t xml:space="preserve"> to act in the Bank's provisional administration and liquidation. </w:t>
      </w:r>
    </w:p>
    <w:p w14:paraId="4EE1B993" w14:textId="77777777" w:rsidR="00B919FE" w:rsidRDefault="00B919FE" w:rsidP="00707FC8">
      <w:pPr>
        <w:jc w:val="both"/>
        <w:rPr>
          <w:rFonts w:ascii="Arial" w:hAnsi="Arial" w:cs="Arial"/>
          <w:sz w:val="22"/>
          <w:szCs w:val="22"/>
          <w:lang w:val="en-GB"/>
        </w:rPr>
      </w:pPr>
    </w:p>
    <w:p w14:paraId="25B46315" w14:textId="2EB48E82" w:rsidR="00AF72FF" w:rsidRDefault="00175A00" w:rsidP="00707FC8">
      <w:pPr>
        <w:jc w:val="both"/>
        <w:rPr>
          <w:rFonts w:ascii="Arial" w:hAnsi="Arial" w:cs="Arial"/>
          <w:sz w:val="22"/>
          <w:szCs w:val="22"/>
          <w:lang w:val="en-GB"/>
        </w:rPr>
      </w:pPr>
      <w:r>
        <w:rPr>
          <w:rFonts w:ascii="Arial" w:hAnsi="Arial" w:cs="Arial"/>
          <w:sz w:val="22"/>
          <w:szCs w:val="22"/>
          <w:lang w:val="en-GB"/>
        </w:rPr>
        <w:t xml:space="preserve">The said administrative process </w:t>
      </w:r>
      <w:r w:rsidR="00B919FE">
        <w:rPr>
          <w:rFonts w:ascii="Arial" w:hAnsi="Arial" w:cs="Arial"/>
          <w:sz w:val="22"/>
          <w:szCs w:val="22"/>
          <w:lang w:val="en-GB"/>
        </w:rPr>
        <w:t>first commenced with the NB's</w:t>
      </w:r>
      <w:r>
        <w:rPr>
          <w:rFonts w:ascii="Arial" w:hAnsi="Arial" w:cs="Arial"/>
          <w:sz w:val="22"/>
          <w:szCs w:val="22"/>
          <w:lang w:val="en-GB"/>
        </w:rPr>
        <w:t xml:space="preserve"> classification of the Bank as "troubled"</w:t>
      </w:r>
      <w:r w:rsidR="00B919FE">
        <w:rPr>
          <w:rStyle w:val="FootnoteReference"/>
          <w:rFonts w:ascii="Arial" w:hAnsi="Arial" w:cs="Arial"/>
          <w:sz w:val="22"/>
          <w:szCs w:val="22"/>
          <w:lang w:val="en-GB"/>
        </w:rPr>
        <w:footnoteReference w:id="25"/>
      </w:r>
      <w:r>
        <w:rPr>
          <w:rFonts w:ascii="Arial" w:hAnsi="Arial" w:cs="Arial"/>
          <w:sz w:val="22"/>
          <w:szCs w:val="22"/>
          <w:lang w:val="en-GB"/>
        </w:rPr>
        <w:t xml:space="preserve"> on 19 January 2015. On 17 September 2015 the NB classified the Bank as "insolvent" pursuant to article 76 of the LBBA</w:t>
      </w:r>
      <w:r>
        <w:rPr>
          <w:rStyle w:val="FootnoteReference"/>
          <w:rFonts w:ascii="Arial" w:hAnsi="Arial" w:cs="Arial"/>
          <w:sz w:val="22"/>
          <w:szCs w:val="22"/>
          <w:lang w:val="en-GB"/>
        </w:rPr>
        <w:footnoteReference w:id="26"/>
      </w:r>
      <w:r>
        <w:rPr>
          <w:rFonts w:ascii="Arial" w:hAnsi="Arial" w:cs="Arial"/>
          <w:sz w:val="22"/>
          <w:szCs w:val="22"/>
          <w:lang w:val="en-GB"/>
        </w:rPr>
        <w:t>.</w:t>
      </w:r>
      <w:r w:rsidR="00B919FE">
        <w:rPr>
          <w:rFonts w:ascii="Arial" w:hAnsi="Arial" w:cs="Arial"/>
          <w:sz w:val="22"/>
          <w:szCs w:val="22"/>
          <w:lang w:val="en-GB"/>
        </w:rPr>
        <w:t xml:space="preserve"> On the same day, the DFG passed a resolution commencing the process of withdrawing the Bank from the market and appointed Ms C as interim administrator. On 17 December 2015 the NB formally revoked the Bank's liquidation, following which and in accordance with article </w:t>
      </w:r>
      <w:r w:rsidR="00B919FE" w:rsidRPr="00B919FE">
        <w:rPr>
          <w:rFonts w:ascii="Arial" w:hAnsi="Arial" w:cs="Arial"/>
          <w:sz w:val="22"/>
          <w:szCs w:val="22"/>
          <w:lang w:val="en-GB"/>
        </w:rPr>
        <w:t>34</w:t>
      </w:r>
      <w:r w:rsidR="00B919FE">
        <w:rPr>
          <w:rFonts w:ascii="Arial" w:hAnsi="Arial" w:cs="Arial"/>
          <w:sz w:val="22"/>
          <w:szCs w:val="22"/>
          <w:lang w:val="en-GB"/>
        </w:rPr>
        <w:t xml:space="preserve"> of the DGF Law and </w:t>
      </w:r>
      <w:r w:rsidR="00A1551D">
        <w:rPr>
          <w:rFonts w:ascii="Arial" w:hAnsi="Arial" w:cs="Arial"/>
          <w:sz w:val="22"/>
          <w:szCs w:val="22"/>
          <w:lang w:val="en-GB"/>
        </w:rPr>
        <w:t>a</w:t>
      </w:r>
      <w:r w:rsidR="00B919FE">
        <w:rPr>
          <w:rFonts w:ascii="Arial" w:hAnsi="Arial" w:cs="Arial"/>
          <w:sz w:val="22"/>
          <w:szCs w:val="22"/>
          <w:lang w:val="en-GB"/>
        </w:rPr>
        <w:t>rticle 77 of the LBBA, the DG</w:t>
      </w:r>
      <w:r w:rsidR="00FE7977">
        <w:rPr>
          <w:rFonts w:ascii="Arial" w:hAnsi="Arial" w:cs="Arial"/>
          <w:sz w:val="22"/>
          <w:szCs w:val="22"/>
          <w:lang w:val="en-GB"/>
        </w:rPr>
        <w:t>F</w:t>
      </w:r>
      <w:r w:rsidR="00B919FE">
        <w:rPr>
          <w:rFonts w:ascii="Arial" w:hAnsi="Arial" w:cs="Arial"/>
          <w:sz w:val="22"/>
          <w:szCs w:val="22"/>
          <w:lang w:val="en-GB"/>
        </w:rPr>
        <w:t xml:space="preserve"> </w:t>
      </w:r>
      <w:r w:rsidR="00A1551D">
        <w:rPr>
          <w:rFonts w:ascii="Arial" w:hAnsi="Arial" w:cs="Arial"/>
          <w:sz w:val="22"/>
          <w:szCs w:val="22"/>
          <w:lang w:val="en-GB"/>
        </w:rPr>
        <w:t xml:space="preserve">was automatically appointed as liquidator of the Bank and </w:t>
      </w:r>
      <w:r w:rsidR="00B919FE">
        <w:rPr>
          <w:rFonts w:ascii="Arial" w:hAnsi="Arial" w:cs="Arial"/>
          <w:sz w:val="22"/>
          <w:szCs w:val="22"/>
          <w:lang w:val="en-GB"/>
        </w:rPr>
        <w:t>initiate</w:t>
      </w:r>
      <w:r w:rsidR="00A1551D">
        <w:rPr>
          <w:rFonts w:ascii="Arial" w:hAnsi="Arial" w:cs="Arial"/>
          <w:sz w:val="22"/>
          <w:szCs w:val="22"/>
          <w:lang w:val="en-GB"/>
        </w:rPr>
        <w:t xml:space="preserve">d the liquidation procedure. The DFG </w:t>
      </w:r>
      <w:r w:rsidR="00B919FE">
        <w:rPr>
          <w:rFonts w:ascii="Arial" w:hAnsi="Arial" w:cs="Arial"/>
          <w:sz w:val="22"/>
          <w:szCs w:val="22"/>
          <w:lang w:val="en-GB"/>
        </w:rPr>
        <w:t>appointed Ms C as the authorised person to whom powers of the liquidator were delegated</w:t>
      </w:r>
      <w:r w:rsidR="00B919FE">
        <w:rPr>
          <w:rStyle w:val="FootnoteReference"/>
          <w:rFonts w:ascii="Arial" w:hAnsi="Arial" w:cs="Arial"/>
          <w:sz w:val="22"/>
          <w:szCs w:val="22"/>
          <w:lang w:val="en-GB"/>
        </w:rPr>
        <w:footnoteReference w:id="27"/>
      </w:r>
      <w:r w:rsidR="00B919FE">
        <w:rPr>
          <w:rFonts w:ascii="Arial" w:hAnsi="Arial" w:cs="Arial"/>
          <w:sz w:val="22"/>
          <w:szCs w:val="22"/>
          <w:lang w:val="en-GB"/>
        </w:rPr>
        <w:t xml:space="preserve">. Ms C was </w:t>
      </w:r>
      <w:r w:rsidR="00A1551D">
        <w:rPr>
          <w:rFonts w:ascii="Arial" w:hAnsi="Arial" w:cs="Arial"/>
          <w:sz w:val="22"/>
          <w:szCs w:val="22"/>
          <w:lang w:val="en-GB"/>
        </w:rPr>
        <w:t xml:space="preserve">subsequently </w:t>
      </w:r>
      <w:r w:rsidR="00B919FE">
        <w:rPr>
          <w:rFonts w:ascii="Arial" w:hAnsi="Arial" w:cs="Arial"/>
          <w:sz w:val="22"/>
          <w:szCs w:val="22"/>
          <w:lang w:val="en-GB"/>
        </w:rPr>
        <w:t xml:space="preserve">replaced for Ms G (one of the applicants) with effect from 17 August 2020. </w:t>
      </w:r>
      <w:r w:rsidR="00AF72FF">
        <w:rPr>
          <w:rFonts w:ascii="Arial" w:hAnsi="Arial" w:cs="Arial"/>
          <w:sz w:val="22"/>
          <w:szCs w:val="22"/>
          <w:lang w:val="en-GB"/>
        </w:rPr>
        <w:t>The stages of the adminis</w:t>
      </w:r>
      <w:r w:rsidR="00DF6555">
        <w:rPr>
          <w:rFonts w:ascii="Arial" w:hAnsi="Arial" w:cs="Arial"/>
          <w:sz w:val="22"/>
          <w:szCs w:val="22"/>
          <w:lang w:val="en-GB"/>
        </w:rPr>
        <w:t xml:space="preserve">trative process described above, </w:t>
      </w:r>
      <w:r w:rsidR="00AF72FF">
        <w:rPr>
          <w:rFonts w:ascii="Arial" w:hAnsi="Arial" w:cs="Arial"/>
          <w:sz w:val="22"/>
          <w:szCs w:val="22"/>
          <w:lang w:val="en-GB"/>
        </w:rPr>
        <w:t>followed in accordance with the relevant provisio</w:t>
      </w:r>
      <w:r w:rsidR="00FE7977">
        <w:rPr>
          <w:rFonts w:ascii="Arial" w:hAnsi="Arial" w:cs="Arial"/>
          <w:sz w:val="22"/>
          <w:szCs w:val="22"/>
          <w:lang w:val="en-GB"/>
        </w:rPr>
        <w:t>ns of the LBBA and the D</w:t>
      </w:r>
      <w:r w:rsidR="00AF45C4">
        <w:rPr>
          <w:rFonts w:ascii="Arial" w:hAnsi="Arial" w:cs="Arial"/>
          <w:sz w:val="22"/>
          <w:szCs w:val="22"/>
          <w:lang w:val="en-GB"/>
        </w:rPr>
        <w:t>G</w:t>
      </w:r>
      <w:r w:rsidR="00FE7977">
        <w:rPr>
          <w:rFonts w:ascii="Arial" w:hAnsi="Arial" w:cs="Arial"/>
          <w:sz w:val="22"/>
          <w:szCs w:val="22"/>
          <w:lang w:val="en-GB"/>
        </w:rPr>
        <w:t>F</w:t>
      </w:r>
      <w:r w:rsidR="00AF45C4">
        <w:rPr>
          <w:rFonts w:ascii="Arial" w:hAnsi="Arial" w:cs="Arial"/>
          <w:sz w:val="22"/>
          <w:szCs w:val="22"/>
          <w:lang w:val="en-GB"/>
        </w:rPr>
        <w:t xml:space="preserve"> Law are likely to </w:t>
      </w:r>
      <w:r w:rsidR="00F10EBE">
        <w:rPr>
          <w:rFonts w:ascii="Arial" w:hAnsi="Arial" w:cs="Arial"/>
          <w:sz w:val="22"/>
          <w:szCs w:val="22"/>
          <w:lang w:val="en-GB"/>
        </w:rPr>
        <w:t>be considered a</w:t>
      </w:r>
      <w:r w:rsidR="00DF6555">
        <w:rPr>
          <w:rFonts w:ascii="Arial" w:hAnsi="Arial" w:cs="Arial"/>
          <w:sz w:val="22"/>
          <w:szCs w:val="22"/>
          <w:lang w:val="en-GB"/>
        </w:rPr>
        <w:t xml:space="preserve"> constitute "a</w:t>
      </w:r>
      <w:r w:rsidR="00F10EBE">
        <w:rPr>
          <w:rFonts w:ascii="Arial" w:hAnsi="Arial" w:cs="Arial"/>
          <w:sz w:val="22"/>
          <w:szCs w:val="22"/>
          <w:lang w:val="en-GB"/>
        </w:rPr>
        <w:t xml:space="preserve"> proceeding</w:t>
      </w:r>
      <w:r w:rsidR="00DF6555">
        <w:rPr>
          <w:rFonts w:ascii="Arial" w:hAnsi="Arial" w:cs="Arial"/>
          <w:sz w:val="22"/>
          <w:szCs w:val="22"/>
          <w:lang w:val="en-GB"/>
        </w:rPr>
        <w:t>"</w:t>
      </w:r>
      <w:r w:rsidR="00F10EBE">
        <w:rPr>
          <w:rFonts w:ascii="Arial" w:hAnsi="Arial" w:cs="Arial"/>
          <w:sz w:val="22"/>
          <w:szCs w:val="22"/>
          <w:lang w:val="en-GB"/>
        </w:rPr>
        <w:t xml:space="preserve"> and in particular, are likely to be </w:t>
      </w:r>
      <w:r w:rsidR="00DF6555">
        <w:rPr>
          <w:rFonts w:ascii="Arial" w:hAnsi="Arial" w:cs="Arial"/>
          <w:sz w:val="22"/>
          <w:szCs w:val="22"/>
          <w:lang w:val="en-GB"/>
        </w:rPr>
        <w:t xml:space="preserve">categorised </w:t>
      </w:r>
      <w:r w:rsidR="00F10EBE">
        <w:rPr>
          <w:rFonts w:ascii="Arial" w:hAnsi="Arial" w:cs="Arial"/>
          <w:sz w:val="22"/>
          <w:szCs w:val="22"/>
          <w:lang w:val="en-GB"/>
        </w:rPr>
        <w:t>as</w:t>
      </w:r>
      <w:r w:rsidR="00AF45C4">
        <w:rPr>
          <w:rFonts w:ascii="Arial" w:hAnsi="Arial" w:cs="Arial"/>
          <w:sz w:val="22"/>
          <w:szCs w:val="22"/>
          <w:lang w:val="en-GB"/>
        </w:rPr>
        <w:t xml:space="preserve"> "administrative". </w:t>
      </w:r>
      <w:r w:rsidR="00F10EBE">
        <w:rPr>
          <w:rFonts w:ascii="Arial" w:hAnsi="Arial" w:cs="Arial"/>
          <w:sz w:val="22"/>
          <w:szCs w:val="22"/>
          <w:lang w:val="en-GB"/>
        </w:rPr>
        <w:t>The administrative proceeding</w:t>
      </w:r>
      <w:r w:rsidR="00DF6555">
        <w:rPr>
          <w:rFonts w:ascii="Arial" w:hAnsi="Arial" w:cs="Arial"/>
          <w:sz w:val="22"/>
          <w:szCs w:val="22"/>
          <w:lang w:val="en-GB"/>
        </w:rPr>
        <w:t xml:space="preserve"> of the Bank</w:t>
      </w:r>
      <w:r w:rsidR="00F10EBE">
        <w:rPr>
          <w:rFonts w:ascii="Arial" w:hAnsi="Arial" w:cs="Arial"/>
          <w:sz w:val="22"/>
          <w:szCs w:val="22"/>
          <w:lang w:val="en-GB"/>
        </w:rPr>
        <w:t xml:space="preserve"> is being conducted in Country A, which </w:t>
      </w:r>
      <w:r w:rsidR="00DF6555">
        <w:rPr>
          <w:rFonts w:ascii="Arial" w:hAnsi="Arial" w:cs="Arial"/>
          <w:sz w:val="22"/>
          <w:szCs w:val="22"/>
          <w:lang w:val="en-GB"/>
        </w:rPr>
        <w:t>(</w:t>
      </w:r>
      <w:r w:rsidR="00F10EBE">
        <w:rPr>
          <w:rFonts w:ascii="Arial" w:hAnsi="Arial" w:cs="Arial"/>
          <w:sz w:val="22"/>
          <w:szCs w:val="22"/>
          <w:lang w:val="en-GB"/>
        </w:rPr>
        <w:t>not being England</w:t>
      </w:r>
      <w:r w:rsidR="00DF6555">
        <w:rPr>
          <w:rFonts w:ascii="Arial" w:hAnsi="Arial" w:cs="Arial"/>
          <w:sz w:val="22"/>
          <w:szCs w:val="22"/>
          <w:lang w:val="en-GB"/>
        </w:rPr>
        <w:t>)</w:t>
      </w:r>
      <w:r w:rsidR="00F10EBE">
        <w:rPr>
          <w:rFonts w:ascii="Arial" w:hAnsi="Arial" w:cs="Arial"/>
          <w:sz w:val="22"/>
          <w:szCs w:val="22"/>
          <w:lang w:val="en-GB"/>
        </w:rPr>
        <w:t xml:space="preserve">, is a "foreign State". </w:t>
      </w:r>
    </w:p>
    <w:p w14:paraId="2F473E76" w14:textId="22DFF92D" w:rsidR="00F10EBE" w:rsidRDefault="00F10EBE" w:rsidP="00707FC8">
      <w:pPr>
        <w:jc w:val="both"/>
        <w:rPr>
          <w:rFonts w:ascii="Arial" w:hAnsi="Arial" w:cs="Arial"/>
          <w:sz w:val="22"/>
          <w:szCs w:val="22"/>
          <w:lang w:val="en-GB"/>
        </w:rPr>
      </w:pPr>
    </w:p>
    <w:p w14:paraId="4DBC7B54" w14:textId="533F4E52" w:rsidR="00DF6555" w:rsidRDefault="00F10EBE" w:rsidP="00F10EBE">
      <w:pPr>
        <w:jc w:val="both"/>
        <w:rPr>
          <w:rFonts w:ascii="Arial" w:hAnsi="Arial" w:cs="Arial"/>
          <w:sz w:val="22"/>
          <w:szCs w:val="22"/>
          <w:lang w:val="en-GB"/>
        </w:rPr>
      </w:pPr>
      <w:r>
        <w:rPr>
          <w:rFonts w:ascii="Arial" w:hAnsi="Arial" w:cs="Arial"/>
          <w:sz w:val="22"/>
          <w:szCs w:val="22"/>
          <w:lang w:val="en-GB"/>
        </w:rPr>
        <w:t xml:space="preserve">We are told that on 7 September 2020, the DGF resolved to approve an amended list of creditors' claims totalling approximately USD 1.113 billion. This step </w:t>
      </w:r>
      <w:r w:rsidR="00DF6555">
        <w:rPr>
          <w:rFonts w:ascii="Arial" w:hAnsi="Arial" w:cs="Arial"/>
          <w:sz w:val="22"/>
          <w:szCs w:val="22"/>
          <w:lang w:val="en-GB"/>
        </w:rPr>
        <w:t>and the initially comprised list was an exercise of one of the</w:t>
      </w:r>
      <w:r>
        <w:rPr>
          <w:rFonts w:ascii="Arial" w:hAnsi="Arial" w:cs="Arial"/>
          <w:sz w:val="22"/>
          <w:szCs w:val="22"/>
          <w:lang w:val="en-GB"/>
        </w:rPr>
        <w:t xml:space="preserve"> many powers that the DGF has</w:t>
      </w:r>
      <w:r w:rsidR="00DF6555">
        <w:rPr>
          <w:rFonts w:ascii="Arial" w:hAnsi="Arial" w:cs="Arial"/>
          <w:sz w:val="22"/>
          <w:szCs w:val="22"/>
          <w:lang w:val="en-GB"/>
        </w:rPr>
        <w:t>,</w:t>
      </w:r>
      <w:r>
        <w:rPr>
          <w:rFonts w:ascii="Arial" w:hAnsi="Arial" w:cs="Arial"/>
          <w:sz w:val="22"/>
          <w:szCs w:val="22"/>
          <w:lang w:val="en-GB"/>
        </w:rPr>
        <w:t xml:space="preserve"> upon being automatically appointed as liquidator under Article 77 of the LBBA,</w:t>
      </w:r>
      <w:r w:rsidR="00DF6555">
        <w:rPr>
          <w:rFonts w:ascii="Arial" w:hAnsi="Arial" w:cs="Arial"/>
          <w:sz w:val="22"/>
          <w:szCs w:val="22"/>
          <w:lang w:val="en-GB"/>
        </w:rPr>
        <w:t xml:space="preserve"> as</w:t>
      </w:r>
      <w:r>
        <w:rPr>
          <w:rFonts w:ascii="Arial" w:hAnsi="Arial" w:cs="Arial"/>
          <w:sz w:val="22"/>
          <w:szCs w:val="22"/>
          <w:lang w:val="en-GB"/>
        </w:rPr>
        <w:t xml:space="preserve"> conferred </w:t>
      </w:r>
      <w:r w:rsidR="00DF6555">
        <w:rPr>
          <w:rFonts w:ascii="Arial" w:hAnsi="Arial" w:cs="Arial"/>
          <w:sz w:val="22"/>
          <w:szCs w:val="22"/>
          <w:lang w:val="en-GB"/>
        </w:rPr>
        <w:t xml:space="preserve">on it </w:t>
      </w:r>
      <w:r>
        <w:rPr>
          <w:rFonts w:ascii="Arial" w:hAnsi="Arial" w:cs="Arial"/>
          <w:sz w:val="22"/>
          <w:szCs w:val="22"/>
          <w:lang w:val="en-GB"/>
        </w:rPr>
        <w:t xml:space="preserve">by Article 37 of the DGF. </w:t>
      </w:r>
      <w:r w:rsidR="00DF6555">
        <w:rPr>
          <w:rFonts w:ascii="Arial" w:hAnsi="Arial" w:cs="Arial"/>
          <w:sz w:val="22"/>
          <w:szCs w:val="22"/>
          <w:lang w:val="en-GB"/>
        </w:rPr>
        <w:t xml:space="preserve">In addition to compiling a register of creditor claims, the DGF has extensive powers conferred on it by Article 37 of the DGF. Such powers include the ability to exercise management powers over the Bank, the power to take steps to find, identify and recover property belonging to the Bank, the power to dismiss employees and withdraw from / terminate contracts and to dispose of the Bank's assets, and powers of sale, distribution and the power to bring claims for compensation against persons who inflicted harm on the Bank. </w:t>
      </w:r>
      <w:r w:rsidR="004B0C53">
        <w:rPr>
          <w:rFonts w:ascii="Arial" w:hAnsi="Arial" w:cs="Arial"/>
          <w:sz w:val="22"/>
          <w:szCs w:val="22"/>
          <w:lang w:val="en-GB"/>
        </w:rPr>
        <w:t xml:space="preserve">A </w:t>
      </w:r>
      <w:r w:rsidR="00DF6555">
        <w:rPr>
          <w:rFonts w:ascii="Arial" w:hAnsi="Arial" w:cs="Arial"/>
          <w:sz w:val="22"/>
          <w:szCs w:val="22"/>
          <w:lang w:val="en-GB"/>
        </w:rPr>
        <w:t>key consideration is whether substantially all of the assets and liabilities of the debtor are dealt with in the proceeding</w:t>
      </w:r>
      <w:r w:rsidR="00DF6555">
        <w:rPr>
          <w:rStyle w:val="FootnoteReference"/>
          <w:rFonts w:ascii="Arial" w:hAnsi="Arial" w:cs="Arial"/>
          <w:sz w:val="22"/>
          <w:szCs w:val="22"/>
          <w:lang w:val="en-GB"/>
        </w:rPr>
        <w:footnoteReference w:id="28"/>
      </w:r>
      <w:r w:rsidR="004B0C53">
        <w:rPr>
          <w:rFonts w:ascii="Arial" w:hAnsi="Arial" w:cs="Arial"/>
          <w:sz w:val="22"/>
          <w:szCs w:val="22"/>
          <w:lang w:val="en-GB"/>
        </w:rPr>
        <w:t xml:space="preserve">. As </w:t>
      </w:r>
      <w:r w:rsidR="00DF6555">
        <w:rPr>
          <w:rFonts w:ascii="Arial" w:hAnsi="Arial" w:cs="Arial"/>
          <w:sz w:val="22"/>
          <w:szCs w:val="22"/>
          <w:lang w:val="en-GB"/>
        </w:rPr>
        <w:t xml:space="preserve">the DGF has settled a </w:t>
      </w:r>
      <w:r>
        <w:rPr>
          <w:rFonts w:ascii="Arial" w:hAnsi="Arial" w:cs="Arial"/>
          <w:sz w:val="22"/>
          <w:szCs w:val="22"/>
          <w:lang w:val="en-GB"/>
        </w:rPr>
        <w:t xml:space="preserve">list of creditors' claims </w:t>
      </w:r>
      <w:r w:rsidR="00DF6555">
        <w:rPr>
          <w:rFonts w:ascii="Arial" w:hAnsi="Arial" w:cs="Arial"/>
          <w:sz w:val="22"/>
          <w:szCs w:val="22"/>
          <w:lang w:val="en-GB"/>
        </w:rPr>
        <w:t xml:space="preserve">presumably for the purpose of ensuring that all creditors </w:t>
      </w:r>
      <w:r w:rsidR="00A95A48">
        <w:rPr>
          <w:rFonts w:ascii="Arial" w:hAnsi="Arial" w:cs="Arial"/>
          <w:sz w:val="22"/>
          <w:szCs w:val="22"/>
          <w:lang w:val="en-GB"/>
        </w:rPr>
        <w:t>of the Bank</w:t>
      </w:r>
      <w:r w:rsidR="00A95A48">
        <w:rPr>
          <w:rStyle w:val="FootnoteReference"/>
          <w:rFonts w:ascii="Arial" w:hAnsi="Arial" w:cs="Arial"/>
          <w:sz w:val="22"/>
          <w:szCs w:val="22"/>
          <w:lang w:val="en-GB"/>
        </w:rPr>
        <w:footnoteReference w:id="29"/>
      </w:r>
      <w:r w:rsidR="00A95A48">
        <w:rPr>
          <w:rFonts w:ascii="Arial" w:hAnsi="Arial" w:cs="Arial"/>
          <w:sz w:val="22"/>
          <w:szCs w:val="22"/>
          <w:lang w:val="en-GB"/>
        </w:rPr>
        <w:t xml:space="preserve"> </w:t>
      </w:r>
      <w:r w:rsidR="00DF6555">
        <w:rPr>
          <w:rFonts w:ascii="Arial" w:hAnsi="Arial" w:cs="Arial"/>
          <w:sz w:val="22"/>
          <w:szCs w:val="22"/>
          <w:lang w:val="en-GB"/>
        </w:rPr>
        <w:t xml:space="preserve">benefit from the </w:t>
      </w:r>
      <w:r w:rsidR="004B0C53">
        <w:rPr>
          <w:rFonts w:ascii="Arial" w:hAnsi="Arial" w:cs="Arial"/>
          <w:sz w:val="22"/>
          <w:szCs w:val="22"/>
          <w:lang w:val="en-GB"/>
        </w:rPr>
        <w:t xml:space="preserve">execution of all of the </w:t>
      </w:r>
      <w:r w:rsidR="00DF6555">
        <w:rPr>
          <w:rFonts w:ascii="Arial" w:hAnsi="Arial" w:cs="Arial"/>
          <w:sz w:val="22"/>
          <w:szCs w:val="22"/>
          <w:lang w:val="en-GB"/>
        </w:rPr>
        <w:t>other extensive powers that the DGF can exercise</w:t>
      </w:r>
      <w:r w:rsidR="004B0C53">
        <w:rPr>
          <w:rFonts w:ascii="Arial" w:hAnsi="Arial" w:cs="Arial"/>
          <w:sz w:val="22"/>
          <w:szCs w:val="22"/>
          <w:lang w:val="en-GB"/>
        </w:rPr>
        <w:t xml:space="preserve"> over the assets and liabilities of the Bank</w:t>
      </w:r>
      <w:r w:rsidR="00DF6555">
        <w:rPr>
          <w:rFonts w:ascii="Arial" w:hAnsi="Arial" w:cs="Arial"/>
          <w:sz w:val="22"/>
          <w:szCs w:val="22"/>
          <w:lang w:val="en-GB"/>
        </w:rPr>
        <w:t xml:space="preserve">, </w:t>
      </w:r>
      <w:r w:rsidR="004B0C53">
        <w:rPr>
          <w:rFonts w:ascii="Arial" w:hAnsi="Arial" w:cs="Arial"/>
          <w:sz w:val="22"/>
          <w:szCs w:val="22"/>
          <w:lang w:val="en-GB"/>
        </w:rPr>
        <w:t xml:space="preserve">this </w:t>
      </w:r>
      <w:r w:rsidR="00DF6555">
        <w:rPr>
          <w:rFonts w:ascii="Arial" w:hAnsi="Arial" w:cs="Arial"/>
          <w:sz w:val="22"/>
          <w:szCs w:val="22"/>
          <w:lang w:val="en-GB"/>
        </w:rPr>
        <w:t>strongly indicate</w:t>
      </w:r>
      <w:r w:rsidR="00C65CF9">
        <w:rPr>
          <w:rFonts w:ascii="Arial" w:hAnsi="Arial" w:cs="Arial"/>
          <w:sz w:val="22"/>
          <w:szCs w:val="22"/>
          <w:lang w:val="en-GB"/>
        </w:rPr>
        <w:t>s that the</w:t>
      </w:r>
      <w:r w:rsidR="00DF6555">
        <w:rPr>
          <w:rFonts w:ascii="Arial" w:hAnsi="Arial" w:cs="Arial"/>
          <w:sz w:val="22"/>
          <w:szCs w:val="22"/>
          <w:lang w:val="en-GB"/>
        </w:rPr>
        <w:t xml:space="preserve"> </w:t>
      </w:r>
      <w:r w:rsidR="004B0C53">
        <w:rPr>
          <w:rFonts w:ascii="Arial" w:hAnsi="Arial" w:cs="Arial"/>
          <w:sz w:val="22"/>
          <w:szCs w:val="22"/>
          <w:lang w:val="en-GB"/>
        </w:rPr>
        <w:t xml:space="preserve">"collective in nature" </w:t>
      </w:r>
      <w:r w:rsidR="00DF6555">
        <w:rPr>
          <w:rFonts w:ascii="Arial" w:hAnsi="Arial" w:cs="Arial"/>
          <w:sz w:val="22"/>
          <w:szCs w:val="22"/>
          <w:lang w:val="en-GB"/>
        </w:rPr>
        <w:t>element of the definition of "foreign proceeding" for the purpose of Article 2(a) of the Model Law, would be satisfied</w:t>
      </w:r>
      <w:r w:rsidR="004B0C53">
        <w:rPr>
          <w:rFonts w:ascii="Arial" w:hAnsi="Arial" w:cs="Arial"/>
          <w:sz w:val="22"/>
          <w:szCs w:val="22"/>
          <w:lang w:val="en-GB"/>
        </w:rPr>
        <w:t xml:space="preserve">. </w:t>
      </w:r>
    </w:p>
    <w:p w14:paraId="1F3D5A4F" w14:textId="09955E99" w:rsidR="004B0C53" w:rsidRDefault="004B0C53" w:rsidP="00F10EBE">
      <w:pPr>
        <w:jc w:val="both"/>
        <w:rPr>
          <w:rFonts w:ascii="Arial" w:hAnsi="Arial" w:cs="Arial"/>
          <w:sz w:val="22"/>
          <w:szCs w:val="22"/>
          <w:lang w:val="en-GB"/>
        </w:rPr>
      </w:pPr>
    </w:p>
    <w:p w14:paraId="2F2C9C92" w14:textId="72B922FE" w:rsidR="004B0C53" w:rsidRDefault="004B0C53" w:rsidP="004B0C53">
      <w:pPr>
        <w:jc w:val="both"/>
        <w:rPr>
          <w:rFonts w:ascii="Arial" w:hAnsi="Arial" w:cs="Arial"/>
          <w:sz w:val="22"/>
          <w:szCs w:val="22"/>
          <w:lang w:val="en-GB"/>
        </w:rPr>
      </w:pPr>
      <w:r>
        <w:rPr>
          <w:rFonts w:ascii="Arial" w:hAnsi="Arial" w:cs="Arial"/>
          <w:sz w:val="22"/>
          <w:szCs w:val="22"/>
          <w:lang w:val="en-GB"/>
        </w:rPr>
        <w:t xml:space="preserve">We are not told in specific terms the extent to which the assets and affairs of the Bank are subject to control or supervision (if any) by the courts of Country A. Given the provisional administration and liquidation in Country A arise from regulatory functions of governmental bodies, it is possible that the courts do not have any control. However, this does not mean proceedings would not qualify as "foreign proceedings" for the purposes of Article 2(a) of the Model Law as the Model Law specifies neither the control of supervision required to satisfy this element of the definition, not the time at which that control or supervision should arise. </w:t>
      </w:r>
      <w:r w:rsidR="00A95A48">
        <w:rPr>
          <w:rFonts w:ascii="Arial" w:hAnsi="Arial" w:cs="Arial"/>
          <w:sz w:val="22"/>
          <w:szCs w:val="22"/>
          <w:lang w:val="en-GB"/>
        </w:rPr>
        <w:t xml:space="preserve">In Moreover, </w:t>
      </w:r>
      <w:r>
        <w:rPr>
          <w:rFonts w:ascii="Arial" w:hAnsi="Arial" w:cs="Arial"/>
          <w:sz w:val="22"/>
          <w:szCs w:val="22"/>
          <w:lang w:val="en-GB"/>
        </w:rPr>
        <w:t>this may be potential rather than actual as stated in The Judicial Perspective</w:t>
      </w:r>
      <w:r>
        <w:rPr>
          <w:rStyle w:val="FootnoteReference"/>
          <w:rFonts w:ascii="Arial" w:hAnsi="Arial" w:cs="Arial"/>
          <w:sz w:val="22"/>
          <w:szCs w:val="22"/>
          <w:lang w:val="en-GB"/>
        </w:rPr>
        <w:footnoteReference w:id="30"/>
      </w:r>
      <w:r w:rsidR="00A95A48">
        <w:rPr>
          <w:rFonts w:ascii="Arial" w:hAnsi="Arial" w:cs="Arial"/>
          <w:sz w:val="22"/>
          <w:szCs w:val="22"/>
          <w:lang w:val="en-GB"/>
        </w:rPr>
        <w:t xml:space="preserve"> and as noted in </w:t>
      </w:r>
      <w:r w:rsidR="00A95A48" w:rsidRPr="00A95A48">
        <w:rPr>
          <w:rFonts w:ascii="Arial" w:hAnsi="Arial" w:cs="Arial"/>
          <w:i/>
          <w:sz w:val="22"/>
          <w:szCs w:val="22"/>
          <w:lang w:val="en-GB"/>
        </w:rPr>
        <w:t xml:space="preserve">Lex </w:t>
      </w:r>
      <w:proofErr w:type="spellStart"/>
      <w:r w:rsidR="00A95A48" w:rsidRPr="00A95A48">
        <w:rPr>
          <w:rFonts w:ascii="Arial" w:hAnsi="Arial" w:cs="Arial"/>
          <w:i/>
          <w:sz w:val="22"/>
          <w:szCs w:val="22"/>
          <w:lang w:val="en-GB"/>
        </w:rPr>
        <w:t>Agroker</w:t>
      </w:r>
      <w:proofErr w:type="spellEnd"/>
      <w:r w:rsidR="00A95A48">
        <w:rPr>
          <w:rFonts w:ascii="Arial" w:hAnsi="Arial" w:cs="Arial"/>
          <w:sz w:val="22"/>
          <w:szCs w:val="22"/>
          <w:lang w:val="en-GB"/>
        </w:rPr>
        <w:t>.</w:t>
      </w:r>
      <w:r w:rsidR="0076045E">
        <w:rPr>
          <w:rFonts w:ascii="Arial" w:hAnsi="Arial" w:cs="Arial"/>
          <w:sz w:val="22"/>
          <w:szCs w:val="22"/>
          <w:lang w:val="en-GB"/>
        </w:rPr>
        <w:t xml:space="preserve"> Most noteworthy is that control and supervision can be that exercised by an insolvency representative which itself is subject to control or supervision by a court or regulatory authority</w:t>
      </w:r>
      <w:r w:rsidR="0076045E">
        <w:rPr>
          <w:rStyle w:val="FootnoteReference"/>
          <w:rFonts w:ascii="Arial" w:hAnsi="Arial" w:cs="Arial"/>
          <w:sz w:val="22"/>
          <w:szCs w:val="22"/>
          <w:lang w:val="en-GB"/>
        </w:rPr>
        <w:footnoteReference w:id="31"/>
      </w:r>
      <w:r w:rsidR="0076045E">
        <w:rPr>
          <w:rFonts w:ascii="Arial" w:hAnsi="Arial" w:cs="Arial"/>
          <w:sz w:val="22"/>
          <w:szCs w:val="22"/>
          <w:lang w:val="en-GB"/>
        </w:rPr>
        <w:t xml:space="preserve">, as is the case here with Ms G and the DGF. </w:t>
      </w:r>
    </w:p>
    <w:p w14:paraId="4DCCC4C6" w14:textId="3125D862" w:rsidR="00AF72FF" w:rsidRDefault="00AF72FF" w:rsidP="00707FC8">
      <w:pPr>
        <w:jc w:val="both"/>
        <w:rPr>
          <w:rFonts w:ascii="Arial" w:hAnsi="Arial" w:cs="Arial"/>
          <w:sz w:val="22"/>
          <w:szCs w:val="22"/>
          <w:lang w:val="en-GB"/>
        </w:rPr>
      </w:pPr>
    </w:p>
    <w:p w14:paraId="78D72F9C" w14:textId="54908636" w:rsidR="00AF45C4" w:rsidRDefault="00AF72FF" w:rsidP="00AF72FF">
      <w:pPr>
        <w:jc w:val="both"/>
        <w:rPr>
          <w:rFonts w:ascii="Arial" w:hAnsi="Arial" w:cs="Arial"/>
          <w:sz w:val="22"/>
          <w:szCs w:val="22"/>
          <w:lang w:val="en-GB"/>
        </w:rPr>
      </w:pPr>
      <w:r>
        <w:rPr>
          <w:rFonts w:ascii="Arial" w:hAnsi="Arial" w:cs="Arial"/>
          <w:sz w:val="22"/>
          <w:szCs w:val="22"/>
          <w:lang w:val="en-GB"/>
        </w:rPr>
        <w:t>As to whether the administrative proceeding is authorised or conducted under a law relating to insolvency. The relevant legislation in Country A comprises the LBBA and the DG</w:t>
      </w:r>
      <w:r w:rsidR="00FE7977">
        <w:rPr>
          <w:rFonts w:ascii="Arial" w:hAnsi="Arial" w:cs="Arial"/>
          <w:sz w:val="22"/>
          <w:szCs w:val="22"/>
          <w:lang w:val="en-GB"/>
        </w:rPr>
        <w:t>F</w:t>
      </w:r>
      <w:r>
        <w:rPr>
          <w:rFonts w:ascii="Arial" w:hAnsi="Arial" w:cs="Arial"/>
          <w:sz w:val="22"/>
          <w:szCs w:val="22"/>
          <w:lang w:val="en-GB"/>
        </w:rPr>
        <w:t xml:space="preserve"> Law which prescribe a specific insolvency procedure for banks in Country A. It matters not that neither of these laws specifically includes the word "insolvency"</w:t>
      </w:r>
      <w:r>
        <w:rPr>
          <w:rStyle w:val="FootnoteReference"/>
          <w:rFonts w:ascii="Arial" w:hAnsi="Arial" w:cs="Arial"/>
          <w:sz w:val="22"/>
          <w:szCs w:val="22"/>
          <w:lang w:val="en-GB"/>
        </w:rPr>
        <w:footnoteReference w:id="32"/>
      </w:r>
      <w:r>
        <w:rPr>
          <w:rFonts w:ascii="Arial" w:hAnsi="Arial" w:cs="Arial"/>
          <w:sz w:val="22"/>
          <w:szCs w:val="22"/>
          <w:lang w:val="en-GB"/>
        </w:rPr>
        <w:t>. Paragraph 73 on page 41 of the UNCITRAL Guide to Enactment clarifies that the language "</w:t>
      </w:r>
      <w:r w:rsidRPr="00AF72FF">
        <w:rPr>
          <w:rFonts w:ascii="Arial" w:hAnsi="Arial" w:cs="Arial"/>
          <w:i/>
          <w:sz w:val="22"/>
          <w:szCs w:val="22"/>
          <w:lang w:val="en-GB"/>
        </w:rPr>
        <w:t>authorised or conducted under a law relating to insolvency</w:t>
      </w:r>
      <w:r>
        <w:rPr>
          <w:rFonts w:ascii="Arial" w:hAnsi="Arial" w:cs="Arial"/>
          <w:sz w:val="22"/>
          <w:szCs w:val="22"/>
          <w:lang w:val="en-GB"/>
        </w:rPr>
        <w:t>" is intended to provide a description sufficiently broad to encompass a range of insolvency rules, irrespective of the type of statute or law in which they might be contained and does not require th</w:t>
      </w:r>
      <w:r w:rsidR="00AF45C4">
        <w:rPr>
          <w:rFonts w:ascii="Arial" w:hAnsi="Arial" w:cs="Arial"/>
          <w:sz w:val="22"/>
          <w:szCs w:val="22"/>
          <w:lang w:val="en-GB"/>
        </w:rPr>
        <w:t>at th</w:t>
      </w:r>
      <w:r>
        <w:rPr>
          <w:rFonts w:ascii="Arial" w:hAnsi="Arial" w:cs="Arial"/>
          <w:sz w:val="22"/>
          <w:szCs w:val="22"/>
          <w:lang w:val="en-GB"/>
        </w:rPr>
        <w:t xml:space="preserve">e relevant law or rules deal exclusively with insolvency. It is not known </w:t>
      </w:r>
      <w:r w:rsidR="00CC2959">
        <w:rPr>
          <w:rFonts w:ascii="Arial" w:hAnsi="Arial" w:cs="Arial"/>
          <w:sz w:val="22"/>
          <w:szCs w:val="22"/>
          <w:lang w:val="en-GB"/>
        </w:rPr>
        <w:t xml:space="preserve">from the facts </w:t>
      </w:r>
      <w:r>
        <w:rPr>
          <w:rFonts w:ascii="Arial" w:hAnsi="Arial" w:cs="Arial"/>
          <w:sz w:val="22"/>
          <w:szCs w:val="22"/>
          <w:lang w:val="en-GB"/>
        </w:rPr>
        <w:t>whether the LBBA addresses other issues</w:t>
      </w:r>
      <w:r w:rsidR="00CC2959">
        <w:rPr>
          <w:rFonts w:ascii="Arial" w:hAnsi="Arial" w:cs="Arial"/>
          <w:sz w:val="22"/>
          <w:szCs w:val="22"/>
          <w:lang w:val="en-GB"/>
        </w:rPr>
        <w:t xml:space="preserve"> in addition to insolvency of banks in Country A, but from its title and the word "Activity", it is likely that it does. </w:t>
      </w:r>
      <w:r w:rsidR="00AF45C4">
        <w:rPr>
          <w:rFonts w:ascii="Arial" w:hAnsi="Arial" w:cs="Arial"/>
          <w:sz w:val="22"/>
          <w:szCs w:val="22"/>
          <w:lang w:val="en-GB"/>
        </w:rPr>
        <w:t xml:space="preserve">Although the facts inform that </w:t>
      </w:r>
      <w:r>
        <w:rPr>
          <w:rFonts w:ascii="Arial" w:hAnsi="Arial" w:cs="Arial"/>
          <w:sz w:val="22"/>
          <w:szCs w:val="22"/>
          <w:lang w:val="en-GB"/>
        </w:rPr>
        <w:t xml:space="preserve">the </w:t>
      </w:r>
      <w:r w:rsidR="00AF45C4">
        <w:rPr>
          <w:rFonts w:ascii="Arial" w:hAnsi="Arial" w:cs="Arial"/>
          <w:sz w:val="22"/>
          <w:szCs w:val="22"/>
          <w:lang w:val="en-GB"/>
        </w:rPr>
        <w:t xml:space="preserve">principal task of the </w:t>
      </w:r>
      <w:r w:rsidR="00FE7977" w:rsidRPr="00FE7977">
        <w:rPr>
          <w:rFonts w:ascii="Arial" w:hAnsi="Arial" w:cs="Arial"/>
          <w:sz w:val="22"/>
          <w:szCs w:val="22"/>
          <w:lang w:val="en-GB"/>
        </w:rPr>
        <w:t>DGF</w:t>
      </w:r>
      <w:r w:rsidR="004B0C53">
        <w:rPr>
          <w:rFonts w:ascii="Arial" w:hAnsi="Arial" w:cs="Arial"/>
          <w:sz w:val="22"/>
          <w:szCs w:val="22"/>
          <w:lang w:val="en-GB"/>
        </w:rPr>
        <w:t xml:space="preserve"> </w:t>
      </w:r>
      <w:r w:rsidR="00AF45C4" w:rsidRPr="00FE7977">
        <w:rPr>
          <w:rFonts w:ascii="Arial" w:hAnsi="Arial" w:cs="Arial"/>
          <w:sz w:val="22"/>
          <w:szCs w:val="22"/>
          <w:lang w:val="en-GB"/>
        </w:rPr>
        <w:t>(being a governmental body of Country A) is to provide deposit insurance to bank depositors, t</w:t>
      </w:r>
      <w:r w:rsidR="00CC2959" w:rsidRPr="00FE7977">
        <w:rPr>
          <w:rFonts w:ascii="Arial" w:hAnsi="Arial" w:cs="Arial"/>
          <w:sz w:val="22"/>
          <w:szCs w:val="22"/>
          <w:lang w:val="en-GB"/>
        </w:rPr>
        <w:t>his</w:t>
      </w:r>
      <w:r>
        <w:rPr>
          <w:rFonts w:ascii="Arial" w:hAnsi="Arial" w:cs="Arial"/>
          <w:sz w:val="22"/>
          <w:szCs w:val="22"/>
          <w:lang w:val="en-GB"/>
        </w:rPr>
        <w:t xml:space="preserve"> does not detract from the DFG Law being a law relating to insolvency</w:t>
      </w:r>
      <w:r w:rsidR="00FE7977">
        <w:rPr>
          <w:rFonts w:ascii="Arial" w:hAnsi="Arial" w:cs="Arial"/>
          <w:sz w:val="22"/>
          <w:szCs w:val="22"/>
          <w:lang w:val="en-GB"/>
        </w:rPr>
        <w:t xml:space="preserve"> as we know the DGF</w:t>
      </w:r>
      <w:r w:rsidR="00AF45C4">
        <w:rPr>
          <w:rFonts w:ascii="Arial" w:hAnsi="Arial" w:cs="Arial"/>
          <w:sz w:val="22"/>
          <w:szCs w:val="22"/>
          <w:lang w:val="en-GB"/>
        </w:rPr>
        <w:t xml:space="preserve"> is also responsible for withdrawing insolvent banks from operation and winding down their operations via liquidation. </w:t>
      </w:r>
      <w:r>
        <w:rPr>
          <w:rFonts w:ascii="Arial" w:hAnsi="Arial" w:cs="Arial"/>
          <w:sz w:val="22"/>
          <w:szCs w:val="22"/>
          <w:lang w:val="en-GB"/>
        </w:rPr>
        <w:t xml:space="preserve"> </w:t>
      </w:r>
    </w:p>
    <w:p w14:paraId="6E6B9AA4" w14:textId="0037188E" w:rsidR="00387106" w:rsidRDefault="00387106" w:rsidP="00707FC8">
      <w:pPr>
        <w:jc w:val="both"/>
        <w:rPr>
          <w:rFonts w:ascii="Arial" w:hAnsi="Arial" w:cs="Arial"/>
          <w:sz w:val="22"/>
          <w:szCs w:val="22"/>
          <w:lang w:val="en-GB"/>
        </w:rPr>
      </w:pPr>
    </w:p>
    <w:p w14:paraId="5D67CE69" w14:textId="07961222" w:rsidR="004B0C53" w:rsidRPr="009B5832" w:rsidRDefault="00A95A48" w:rsidP="004B0C53">
      <w:pPr>
        <w:autoSpaceDE w:val="0"/>
        <w:autoSpaceDN w:val="0"/>
        <w:adjustRightInd w:val="0"/>
        <w:jc w:val="both"/>
        <w:rPr>
          <w:rFonts w:ascii="Arial" w:hAnsi="Arial" w:cs="Arial"/>
          <w:sz w:val="22"/>
          <w:szCs w:val="22"/>
          <w:lang w:val="en-GB"/>
        </w:rPr>
      </w:pPr>
      <w:r>
        <w:rPr>
          <w:rFonts w:ascii="Arial" w:hAnsi="Arial" w:cs="Arial"/>
          <w:sz w:val="22"/>
          <w:szCs w:val="22"/>
          <w:lang w:val="en-GB"/>
        </w:rPr>
        <w:t>The words "is for</w:t>
      </w:r>
      <w:r w:rsidR="001B2C29">
        <w:rPr>
          <w:rFonts w:ascii="Arial" w:hAnsi="Arial" w:cs="Arial"/>
          <w:sz w:val="22"/>
          <w:szCs w:val="22"/>
          <w:lang w:val="en-GB"/>
        </w:rPr>
        <w:t xml:space="preserve"> the purpose</w:t>
      </w:r>
      <w:r>
        <w:rPr>
          <w:rFonts w:ascii="Arial" w:hAnsi="Arial" w:cs="Arial"/>
          <w:sz w:val="22"/>
          <w:szCs w:val="22"/>
          <w:lang w:val="en-GB"/>
        </w:rPr>
        <w:t xml:space="preserve"> of reorganisation or liquidation</w:t>
      </w:r>
      <w:r w:rsidR="001B2C29">
        <w:rPr>
          <w:rFonts w:ascii="Arial" w:hAnsi="Arial" w:cs="Arial"/>
          <w:sz w:val="22"/>
          <w:szCs w:val="22"/>
          <w:lang w:val="en-GB"/>
        </w:rPr>
        <w:t xml:space="preserve">" accords with the stated purposes of addressing insolvency or severe financial distress as per the guidance given by the English court in </w:t>
      </w:r>
      <w:r w:rsidR="001B2C29" w:rsidRPr="001B2C29">
        <w:rPr>
          <w:rFonts w:ascii="Arial" w:hAnsi="Arial" w:cs="Arial"/>
          <w:i/>
          <w:sz w:val="22"/>
          <w:szCs w:val="22"/>
          <w:lang w:val="en-GB"/>
        </w:rPr>
        <w:t>Sturgeon Central</w:t>
      </w:r>
      <w:r w:rsidR="001B2C29">
        <w:rPr>
          <w:rStyle w:val="FootnoteReference"/>
          <w:rFonts w:ascii="Arial" w:hAnsi="Arial" w:cs="Arial"/>
          <w:i/>
          <w:sz w:val="22"/>
          <w:szCs w:val="22"/>
          <w:lang w:val="en-GB"/>
        </w:rPr>
        <w:footnoteReference w:id="33"/>
      </w:r>
      <w:r w:rsidR="001B2C29">
        <w:rPr>
          <w:rFonts w:ascii="Arial" w:hAnsi="Arial" w:cs="Arial"/>
          <w:i/>
          <w:sz w:val="22"/>
          <w:szCs w:val="22"/>
          <w:lang w:val="en-GB"/>
        </w:rPr>
        <w:t>.</w:t>
      </w:r>
      <w:r w:rsidR="001B2C29">
        <w:rPr>
          <w:rFonts w:ascii="Arial" w:hAnsi="Arial" w:cs="Arial"/>
          <w:sz w:val="22"/>
          <w:szCs w:val="22"/>
          <w:lang w:val="en-GB"/>
        </w:rPr>
        <w:t xml:space="preserve"> </w:t>
      </w:r>
      <w:r>
        <w:rPr>
          <w:rFonts w:ascii="Arial" w:hAnsi="Arial" w:cs="Arial"/>
          <w:sz w:val="22"/>
          <w:szCs w:val="22"/>
          <w:lang w:val="en-GB"/>
        </w:rPr>
        <w:t xml:space="preserve">In </w:t>
      </w:r>
      <w:proofErr w:type="spellStart"/>
      <w:r w:rsidRPr="00A95A48">
        <w:rPr>
          <w:rFonts w:ascii="Arial" w:hAnsi="Arial" w:cs="Arial"/>
          <w:i/>
          <w:sz w:val="22"/>
          <w:szCs w:val="22"/>
          <w:lang w:val="en-GB"/>
        </w:rPr>
        <w:t>Agroker</w:t>
      </w:r>
      <w:proofErr w:type="spellEnd"/>
      <w:r>
        <w:rPr>
          <w:rFonts w:ascii="Arial" w:hAnsi="Arial" w:cs="Arial"/>
          <w:sz w:val="22"/>
          <w:szCs w:val="22"/>
          <w:lang w:val="en-GB"/>
        </w:rPr>
        <w:t xml:space="preserve"> it was held that the purpose of the </w:t>
      </w:r>
      <w:r w:rsidRPr="00A95A48">
        <w:rPr>
          <w:rFonts w:ascii="Arial" w:hAnsi="Arial" w:cs="Arial"/>
          <w:i/>
          <w:sz w:val="22"/>
          <w:szCs w:val="22"/>
          <w:lang w:val="en-GB"/>
        </w:rPr>
        <w:t xml:space="preserve">Lex </w:t>
      </w:r>
      <w:proofErr w:type="spellStart"/>
      <w:r w:rsidRPr="00A95A48">
        <w:rPr>
          <w:rFonts w:ascii="Arial" w:hAnsi="Arial" w:cs="Arial"/>
          <w:i/>
          <w:sz w:val="22"/>
          <w:szCs w:val="22"/>
          <w:lang w:val="en-GB"/>
        </w:rPr>
        <w:t>Agroker</w:t>
      </w:r>
      <w:proofErr w:type="spellEnd"/>
      <w:r>
        <w:rPr>
          <w:rFonts w:ascii="Arial" w:hAnsi="Arial" w:cs="Arial"/>
          <w:sz w:val="22"/>
          <w:szCs w:val="22"/>
          <w:lang w:val="en-GB"/>
        </w:rPr>
        <w:t xml:space="preserve"> was to protect the stability of the economic system against systemic shocks by enabling the restructuring of companies of systemic importance that get into financial difficulty and, if restructuring failed, by transforming it into a bankruptcy proceeding. This was held to be a law for the purpose of reorganisation or liquidation within the meaning of the CBIR. Applying this to this set of facts, it is readily apparent that the Bank was in financial distress</w:t>
      </w:r>
      <w:r>
        <w:rPr>
          <w:rStyle w:val="FootnoteReference"/>
          <w:rFonts w:ascii="Arial" w:hAnsi="Arial" w:cs="Arial"/>
          <w:sz w:val="22"/>
          <w:szCs w:val="22"/>
          <w:lang w:val="en-GB"/>
        </w:rPr>
        <w:footnoteReference w:id="34"/>
      </w:r>
      <w:r>
        <w:rPr>
          <w:rFonts w:ascii="Arial" w:hAnsi="Arial" w:cs="Arial"/>
          <w:sz w:val="22"/>
          <w:szCs w:val="22"/>
          <w:lang w:val="en-GB"/>
        </w:rPr>
        <w:t xml:space="preserve">. The NG identified several breaches or deficiencies including falling below NB's minimum capital requirements, there being 10 months of loss making-activities and reduction in the Bank's holding of highly liquidation assets (amongst others) rendered the provisional administration and later, the liquidation, to be necessary for the purposes of limiting the loss suffered by depositors and creditors of the Bank. The powers given to the DGF and the process which has been followed subsequent to the findings of the NG to withdraw the Bank from the market and </w:t>
      </w:r>
      <w:r w:rsidR="00790994">
        <w:rPr>
          <w:rFonts w:ascii="Arial" w:hAnsi="Arial" w:cs="Arial"/>
          <w:sz w:val="22"/>
          <w:szCs w:val="22"/>
          <w:lang w:val="en-GB"/>
        </w:rPr>
        <w:t xml:space="preserve">entering it into an administrative followed by an insolvency procedure satisfy this criteria for the purposes of qualifying as a "foreign proceeding". </w:t>
      </w:r>
    </w:p>
    <w:p w14:paraId="172B2D0A" w14:textId="5A0B0DB6" w:rsidR="00387106" w:rsidRPr="009B5832" w:rsidRDefault="00387106" w:rsidP="00707FC8">
      <w:pPr>
        <w:jc w:val="both"/>
        <w:rPr>
          <w:rFonts w:ascii="Arial" w:hAnsi="Arial" w:cs="Arial"/>
          <w:sz w:val="22"/>
          <w:szCs w:val="22"/>
          <w:lang w:val="en-GB"/>
        </w:rPr>
      </w:pPr>
    </w:p>
    <w:bookmarkEnd w:id="5"/>
    <w:p w14:paraId="70BA5480" w14:textId="38FA3509" w:rsidR="00CC2959" w:rsidRDefault="00F10EBE"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Considering all of the above, it is highly likely that when considering whether to recognise the proceedings, the English Court would deem these</w:t>
      </w:r>
      <w:r w:rsidR="001B2C29">
        <w:rPr>
          <w:rFonts w:ascii="Arial" w:hAnsi="Arial" w:cs="Arial"/>
          <w:color w:val="000000" w:themeColor="text1"/>
          <w:sz w:val="22"/>
          <w:szCs w:val="22"/>
          <w:lang w:val="en-GB"/>
        </w:rPr>
        <w:t xml:space="preserve"> proceedings to be</w:t>
      </w:r>
      <w:r>
        <w:rPr>
          <w:rFonts w:ascii="Arial" w:hAnsi="Arial" w:cs="Arial"/>
          <w:color w:val="000000" w:themeColor="text1"/>
          <w:sz w:val="22"/>
          <w:szCs w:val="22"/>
          <w:lang w:val="en-GB"/>
        </w:rPr>
        <w:t xml:space="preserve"> "foreign proceedings" for the purposes of satisfying the criteria in Article 2(a) of the Model Law. </w:t>
      </w:r>
    </w:p>
    <w:p w14:paraId="052B15A1" w14:textId="77AF7488" w:rsidR="00CC2959" w:rsidRDefault="00CC2959" w:rsidP="00707FC8">
      <w:pPr>
        <w:jc w:val="both"/>
        <w:rPr>
          <w:rFonts w:ascii="Arial" w:hAnsi="Arial" w:cs="Arial"/>
          <w:color w:val="000000" w:themeColor="text1"/>
          <w:sz w:val="22"/>
          <w:szCs w:val="22"/>
          <w:lang w:val="en-GB"/>
        </w:rPr>
      </w:pPr>
    </w:p>
    <w:p w14:paraId="21168D67" w14:textId="6F0CEC75" w:rsidR="00CC2959" w:rsidRDefault="00CC2959" w:rsidP="00707FC8">
      <w:pPr>
        <w:jc w:val="both"/>
        <w:rPr>
          <w:rFonts w:ascii="Arial" w:hAnsi="Arial" w:cs="Arial"/>
          <w:b/>
          <w:color w:val="000000" w:themeColor="text1"/>
          <w:sz w:val="22"/>
          <w:szCs w:val="22"/>
          <w:lang w:val="en-GB"/>
        </w:rPr>
      </w:pPr>
      <w:r w:rsidRPr="00CC2959">
        <w:rPr>
          <w:rFonts w:ascii="Arial" w:hAnsi="Arial" w:cs="Arial"/>
          <w:b/>
          <w:color w:val="000000" w:themeColor="text1"/>
          <w:sz w:val="22"/>
          <w:szCs w:val="22"/>
          <w:lang w:val="en-GB"/>
        </w:rPr>
        <w:t>4.1.2</w:t>
      </w:r>
    </w:p>
    <w:p w14:paraId="5DD83F16" w14:textId="3E32CD26" w:rsidR="004B0C53" w:rsidRDefault="004B0C53" w:rsidP="00707FC8">
      <w:pPr>
        <w:jc w:val="both"/>
        <w:rPr>
          <w:rFonts w:ascii="Arial" w:hAnsi="Arial" w:cs="Arial"/>
          <w:b/>
          <w:color w:val="000000" w:themeColor="text1"/>
          <w:sz w:val="22"/>
          <w:szCs w:val="22"/>
          <w:lang w:val="en-GB"/>
        </w:rPr>
      </w:pPr>
    </w:p>
    <w:p w14:paraId="3DF4FD73" w14:textId="60DB4CDF" w:rsidR="004B0C53" w:rsidRDefault="00ED6936" w:rsidP="00707FC8">
      <w:pPr>
        <w:jc w:val="both"/>
        <w:rPr>
          <w:rFonts w:ascii="Arial" w:hAnsi="Arial" w:cs="Arial"/>
          <w:sz w:val="22"/>
          <w:szCs w:val="22"/>
          <w:lang w:val="en-GB"/>
        </w:rPr>
      </w:pPr>
      <w:r>
        <w:rPr>
          <w:rFonts w:ascii="Arial" w:hAnsi="Arial" w:cs="Arial"/>
          <w:color w:val="000000" w:themeColor="text1"/>
          <w:sz w:val="22"/>
          <w:szCs w:val="22"/>
          <w:lang w:val="en-GB"/>
        </w:rPr>
        <w:t xml:space="preserve">In relation to the second precondition, </w:t>
      </w:r>
      <w:r>
        <w:rPr>
          <w:rFonts w:ascii="Arial" w:hAnsi="Arial" w:cs="Arial"/>
          <w:sz w:val="22"/>
          <w:szCs w:val="22"/>
          <w:lang w:val="en-GB"/>
        </w:rPr>
        <w:t>Article 2(d) defines "foreign representative" to mean "</w:t>
      </w:r>
      <w:r w:rsidRPr="00FF16BF">
        <w:rPr>
          <w:rFonts w:ascii="Arial" w:hAnsi="Arial" w:cs="Arial"/>
          <w:i/>
          <w:sz w:val="22"/>
          <w:szCs w:val="22"/>
          <w:lang w:val="en-GB"/>
        </w:rPr>
        <w:t>a person or body, including one appointed on an interim basis, authorised in a foreign proceeding to administer the reorganisation or the liquidation of the debtor's assets or affairs or to act as a representative of the foreign proceeding</w:t>
      </w:r>
      <w:r>
        <w:rPr>
          <w:rFonts w:ascii="Arial" w:hAnsi="Arial" w:cs="Arial"/>
          <w:sz w:val="22"/>
          <w:szCs w:val="22"/>
          <w:lang w:val="en-GB"/>
        </w:rPr>
        <w:t xml:space="preserve">". </w:t>
      </w:r>
    </w:p>
    <w:p w14:paraId="5820DE3A" w14:textId="21A81ACB" w:rsidR="006016F6" w:rsidRDefault="006016F6" w:rsidP="00707FC8">
      <w:pPr>
        <w:jc w:val="both"/>
        <w:rPr>
          <w:rFonts w:ascii="Arial" w:hAnsi="Arial" w:cs="Arial"/>
          <w:sz w:val="22"/>
          <w:szCs w:val="22"/>
          <w:lang w:val="en-GB"/>
        </w:rPr>
      </w:pPr>
    </w:p>
    <w:p w14:paraId="0DA926FF" w14:textId="7A5BB1F7" w:rsidR="006016F6" w:rsidRDefault="00FF16BF" w:rsidP="00707FC8">
      <w:pPr>
        <w:jc w:val="both"/>
        <w:rPr>
          <w:rFonts w:ascii="Arial" w:hAnsi="Arial" w:cs="Arial"/>
          <w:sz w:val="22"/>
          <w:szCs w:val="22"/>
          <w:lang w:val="en-GB"/>
        </w:rPr>
      </w:pPr>
      <w:r>
        <w:rPr>
          <w:rFonts w:ascii="Arial" w:hAnsi="Arial" w:cs="Arial"/>
          <w:sz w:val="22"/>
          <w:szCs w:val="22"/>
          <w:lang w:val="en-GB"/>
        </w:rPr>
        <w:t>Interpretative guidance in relation to these elements can be found in the UNICITRAL Guide to Enactment (</w:t>
      </w:r>
      <w:r w:rsidRPr="00FF16BF">
        <w:rPr>
          <w:rFonts w:ascii="Arial" w:hAnsi="Arial" w:cs="Arial"/>
          <w:b/>
          <w:sz w:val="22"/>
          <w:szCs w:val="22"/>
          <w:lang w:val="en-GB"/>
        </w:rPr>
        <w:t>GE</w:t>
      </w:r>
      <w:r>
        <w:rPr>
          <w:rFonts w:ascii="Arial" w:hAnsi="Arial" w:cs="Arial"/>
          <w:sz w:val="22"/>
          <w:szCs w:val="22"/>
          <w:lang w:val="en-GB"/>
        </w:rPr>
        <w:t xml:space="preserve">) and the </w:t>
      </w:r>
      <w:r w:rsidR="006016F6">
        <w:rPr>
          <w:rFonts w:ascii="Arial" w:hAnsi="Arial" w:cs="Arial"/>
          <w:sz w:val="22"/>
          <w:szCs w:val="22"/>
          <w:lang w:val="en-GB"/>
        </w:rPr>
        <w:t>Guide to Enactment and Interpretation</w:t>
      </w:r>
      <w:r>
        <w:rPr>
          <w:rFonts w:ascii="Arial" w:hAnsi="Arial" w:cs="Arial"/>
          <w:sz w:val="22"/>
          <w:szCs w:val="22"/>
          <w:lang w:val="en-GB"/>
        </w:rPr>
        <w:t xml:space="preserve"> of the UNCITRAL Model Law on Cross Border Insolvency (</w:t>
      </w:r>
      <w:r w:rsidRPr="00FF16BF">
        <w:rPr>
          <w:rFonts w:ascii="Arial" w:hAnsi="Arial" w:cs="Arial"/>
          <w:b/>
          <w:sz w:val="22"/>
          <w:szCs w:val="22"/>
          <w:lang w:val="en-GB"/>
        </w:rPr>
        <w:t>G</w:t>
      </w:r>
      <w:r w:rsidR="006016F6" w:rsidRPr="00FF16BF">
        <w:rPr>
          <w:rFonts w:ascii="Arial" w:hAnsi="Arial" w:cs="Arial"/>
          <w:b/>
          <w:sz w:val="22"/>
          <w:szCs w:val="22"/>
          <w:lang w:val="en-GB"/>
        </w:rPr>
        <w:t>EI</w:t>
      </w:r>
      <w:r w:rsidR="006016F6">
        <w:rPr>
          <w:rFonts w:ascii="Arial" w:hAnsi="Arial" w:cs="Arial"/>
          <w:sz w:val="22"/>
          <w:szCs w:val="22"/>
          <w:lang w:val="en-GB"/>
        </w:rPr>
        <w:t>)</w:t>
      </w:r>
    </w:p>
    <w:p w14:paraId="1C476774" w14:textId="4BB2B2EF" w:rsidR="00ED6936" w:rsidRDefault="00ED6936" w:rsidP="00707FC8">
      <w:pPr>
        <w:jc w:val="both"/>
        <w:rPr>
          <w:rFonts w:ascii="Arial" w:hAnsi="Arial" w:cs="Arial"/>
          <w:sz w:val="22"/>
          <w:szCs w:val="22"/>
          <w:lang w:val="en-GB"/>
        </w:rPr>
      </w:pPr>
    </w:p>
    <w:p w14:paraId="7AD93313" w14:textId="3C788BEF" w:rsidR="00930523" w:rsidRDefault="00FF16BF" w:rsidP="00652A4C">
      <w:pPr>
        <w:jc w:val="both"/>
        <w:rPr>
          <w:rFonts w:ascii="Arial" w:hAnsi="Arial" w:cs="Arial"/>
          <w:sz w:val="22"/>
          <w:szCs w:val="22"/>
          <w:lang w:val="en-GB"/>
        </w:rPr>
      </w:pPr>
      <w:r>
        <w:rPr>
          <w:rFonts w:ascii="Arial" w:hAnsi="Arial" w:cs="Arial"/>
          <w:sz w:val="22"/>
          <w:szCs w:val="22"/>
          <w:lang w:val="en-GB"/>
        </w:rPr>
        <w:t>In relation to the first element: "a person or body, including one appointed on an interim basis" we are told that the</w:t>
      </w:r>
      <w:r w:rsidR="00652A4C">
        <w:rPr>
          <w:rFonts w:ascii="Arial" w:hAnsi="Arial" w:cs="Arial"/>
          <w:sz w:val="22"/>
          <w:szCs w:val="22"/>
          <w:lang w:val="en-GB"/>
        </w:rPr>
        <w:t xml:space="preserve"> D</w:t>
      </w:r>
      <w:r w:rsidR="007A3D4E">
        <w:rPr>
          <w:rFonts w:ascii="Arial" w:hAnsi="Arial" w:cs="Arial"/>
          <w:sz w:val="22"/>
          <w:szCs w:val="22"/>
          <w:lang w:val="en-GB"/>
        </w:rPr>
        <w:t>G</w:t>
      </w:r>
      <w:r w:rsidR="00652A4C">
        <w:rPr>
          <w:rFonts w:ascii="Arial" w:hAnsi="Arial" w:cs="Arial"/>
          <w:sz w:val="22"/>
          <w:szCs w:val="22"/>
          <w:lang w:val="en-GB"/>
        </w:rPr>
        <w:t>F</w:t>
      </w:r>
      <w:r w:rsidR="007A3D4E">
        <w:rPr>
          <w:rFonts w:ascii="Arial" w:hAnsi="Arial" w:cs="Arial"/>
          <w:sz w:val="22"/>
          <w:szCs w:val="22"/>
          <w:lang w:val="en-GB"/>
        </w:rPr>
        <w:t xml:space="preserve"> together with Ms G in her capacity as authorised officer of the DGF in respect of the Bank's liquidation are the</w:t>
      </w:r>
      <w:r>
        <w:rPr>
          <w:rFonts w:ascii="Arial" w:hAnsi="Arial" w:cs="Arial"/>
          <w:sz w:val="22"/>
          <w:szCs w:val="22"/>
          <w:lang w:val="en-GB"/>
        </w:rPr>
        <w:t xml:space="preserve"> applicant</w:t>
      </w:r>
      <w:r w:rsidR="007A3D4E">
        <w:rPr>
          <w:rFonts w:ascii="Arial" w:hAnsi="Arial" w:cs="Arial"/>
          <w:sz w:val="22"/>
          <w:szCs w:val="22"/>
          <w:lang w:val="en-GB"/>
        </w:rPr>
        <w:t>s. The DGF i</w:t>
      </w:r>
      <w:r>
        <w:rPr>
          <w:rFonts w:ascii="Arial" w:hAnsi="Arial" w:cs="Arial"/>
          <w:sz w:val="22"/>
          <w:szCs w:val="22"/>
          <w:lang w:val="en-GB"/>
        </w:rPr>
        <w:t xml:space="preserve">s a governmental body of Country A and its powers include the power to act in a bank's interim or provisional administration and its ultimate </w:t>
      </w:r>
      <w:r w:rsidR="007A3D4E">
        <w:rPr>
          <w:rFonts w:ascii="Arial" w:hAnsi="Arial" w:cs="Arial"/>
          <w:sz w:val="22"/>
          <w:szCs w:val="22"/>
          <w:lang w:val="en-GB"/>
        </w:rPr>
        <w:t xml:space="preserve">liquidation. </w:t>
      </w:r>
      <w:r w:rsidR="00C666EC">
        <w:rPr>
          <w:rFonts w:ascii="Arial" w:hAnsi="Arial" w:cs="Arial"/>
          <w:sz w:val="22"/>
          <w:szCs w:val="22"/>
          <w:lang w:val="en-GB"/>
        </w:rPr>
        <w:t xml:space="preserve">The Model Law does not define the words "person" or "body", However, paragraph 86 of the </w:t>
      </w:r>
      <w:r w:rsidR="00652A4C">
        <w:rPr>
          <w:rFonts w:ascii="Arial" w:hAnsi="Arial" w:cs="Arial"/>
          <w:sz w:val="22"/>
          <w:szCs w:val="22"/>
          <w:lang w:val="en-GB"/>
        </w:rPr>
        <w:t xml:space="preserve">GEI notes </w:t>
      </w:r>
      <w:r w:rsidR="00C666EC">
        <w:rPr>
          <w:rFonts w:ascii="Arial" w:hAnsi="Arial" w:cs="Arial"/>
          <w:sz w:val="22"/>
          <w:szCs w:val="22"/>
          <w:lang w:val="en-GB"/>
        </w:rPr>
        <w:t xml:space="preserve">this criterion </w:t>
      </w:r>
      <w:r w:rsidR="00652A4C">
        <w:rPr>
          <w:rFonts w:ascii="Arial" w:hAnsi="Arial" w:cs="Arial"/>
          <w:sz w:val="22"/>
          <w:szCs w:val="22"/>
          <w:lang w:val="en-GB"/>
        </w:rPr>
        <w:t xml:space="preserve">is sufficiently broad to include appointments that might be made by a special agency other than the court. </w:t>
      </w:r>
      <w:r w:rsidR="00C666EC">
        <w:rPr>
          <w:rFonts w:ascii="Arial" w:hAnsi="Arial" w:cs="Arial"/>
          <w:sz w:val="22"/>
          <w:szCs w:val="22"/>
          <w:lang w:val="en-GB"/>
        </w:rPr>
        <w:t>"</w:t>
      </w:r>
      <w:r w:rsidR="00652A4C">
        <w:rPr>
          <w:rFonts w:ascii="Arial" w:hAnsi="Arial" w:cs="Arial"/>
          <w:sz w:val="22"/>
          <w:szCs w:val="22"/>
          <w:lang w:val="en-GB"/>
        </w:rPr>
        <w:t>Body</w:t>
      </w:r>
      <w:r w:rsidR="00C666EC">
        <w:rPr>
          <w:rFonts w:ascii="Arial" w:hAnsi="Arial" w:cs="Arial"/>
          <w:sz w:val="22"/>
          <w:szCs w:val="22"/>
          <w:lang w:val="en-GB"/>
        </w:rPr>
        <w:t xml:space="preserve">" is </w:t>
      </w:r>
      <w:r w:rsidR="00652A4C">
        <w:rPr>
          <w:rFonts w:ascii="Arial" w:hAnsi="Arial" w:cs="Arial"/>
          <w:sz w:val="22"/>
          <w:szCs w:val="22"/>
          <w:lang w:val="en-GB"/>
        </w:rPr>
        <w:t>interpreted as meaning "</w:t>
      </w:r>
      <w:r w:rsidR="00652A4C" w:rsidRPr="00C649CB">
        <w:rPr>
          <w:rFonts w:ascii="Arial" w:hAnsi="Arial" w:cs="Arial"/>
          <w:i/>
          <w:sz w:val="22"/>
          <w:szCs w:val="22"/>
          <w:lang w:val="en-GB"/>
        </w:rPr>
        <w:t>an artificial person created by a legal authority</w:t>
      </w:r>
      <w:r w:rsidR="00652A4C">
        <w:rPr>
          <w:rFonts w:ascii="Arial" w:hAnsi="Arial" w:cs="Arial"/>
          <w:sz w:val="22"/>
          <w:szCs w:val="22"/>
          <w:lang w:val="en-GB"/>
        </w:rPr>
        <w:t>"</w:t>
      </w:r>
      <w:r w:rsidR="00C666EC">
        <w:rPr>
          <w:rStyle w:val="FootnoteReference"/>
          <w:rFonts w:ascii="Arial" w:hAnsi="Arial" w:cs="Arial"/>
          <w:sz w:val="22"/>
          <w:szCs w:val="22"/>
          <w:lang w:val="en-GB"/>
        </w:rPr>
        <w:footnoteReference w:id="35"/>
      </w:r>
      <w:r w:rsidR="00652A4C">
        <w:rPr>
          <w:rFonts w:ascii="Arial" w:hAnsi="Arial" w:cs="Arial"/>
          <w:sz w:val="22"/>
          <w:szCs w:val="22"/>
          <w:lang w:val="en-GB"/>
        </w:rPr>
        <w:t xml:space="preserve"> </w:t>
      </w:r>
      <w:r w:rsidR="00C666EC">
        <w:rPr>
          <w:rFonts w:ascii="Arial" w:hAnsi="Arial" w:cs="Arial"/>
          <w:sz w:val="22"/>
          <w:szCs w:val="22"/>
          <w:lang w:val="en-GB"/>
        </w:rPr>
        <w:t xml:space="preserve">and given the DGF is a governmental body, it is likely that the DGF would be considered a "body" for the purposes of Article 2(d).  </w:t>
      </w:r>
    </w:p>
    <w:p w14:paraId="55F8B389" w14:textId="77777777" w:rsidR="00930523" w:rsidRDefault="00930523" w:rsidP="00652A4C">
      <w:pPr>
        <w:jc w:val="both"/>
        <w:rPr>
          <w:rFonts w:ascii="Arial" w:hAnsi="Arial" w:cs="Arial"/>
          <w:sz w:val="22"/>
          <w:szCs w:val="22"/>
          <w:lang w:val="en-GB"/>
        </w:rPr>
      </w:pPr>
    </w:p>
    <w:p w14:paraId="31B1304A" w14:textId="3636637C" w:rsidR="00930523" w:rsidRPr="009B5832" w:rsidRDefault="00930523" w:rsidP="00930523">
      <w:pPr>
        <w:jc w:val="both"/>
        <w:rPr>
          <w:rFonts w:ascii="Arial" w:hAnsi="Arial" w:cs="Arial"/>
          <w:color w:val="000000"/>
          <w:sz w:val="22"/>
          <w:szCs w:val="22"/>
          <w:lang w:val="en-GB" w:eastAsia="en-GB"/>
        </w:rPr>
      </w:pPr>
      <w:r>
        <w:rPr>
          <w:rFonts w:ascii="Arial" w:hAnsi="Arial" w:cs="Arial"/>
          <w:sz w:val="22"/>
          <w:szCs w:val="22"/>
          <w:lang w:val="en-GB"/>
        </w:rPr>
        <w:t>A</w:t>
      </w:r>
      <w:r w:rsidRPr="009B5832">
        <w:rPr>
          <w:rFonts w:ascii="Arial" w:hAnsi="Arial" w:cs="Arial"/>
          <w:color w:val="000000"/>
          <w:sz w:val="22"/>
          <w:szCs w:val="22"/>
          <w:lang w:val="en-GB" w:eastAsia="en-GB"/>
        </w:rPr>
        <w:t xml:space="preserve">rticle 48(3) of the DGF Law empowers the DGF to delegate its powers to an </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Pr>
          <w:rFonts w:ascii="Arial" w:hAnsi="Arial" w:cs="Arial"/>
          <w:color w:val="000000"/>
          <w:sz w:val="22"/>
          <w:szCs w:val="22"/>
          <w:lang w:val="en-GB" w:eastAsia="en-GB"/>
        </w:rPr>
        <w:t>” such as Ms G</w:t>
      </w:r>
      <w:r w:rsidRPr="009B5832">
        <w:rPr>
          <w:rFonts w:ascii="Arial" w:hAnsi="Arial" w:cs="Arial"/>
          <w:color w:val="000000"/>
          <w:sz w:val="22"/>
          <w:szCs w:val="22"/>
          <w:lang w:val="en-GB" w:eastAsia="en-GB"/>
        </w:rPr>
        <w:t xml:space="preserve">. </w:t>
      </w:r>
      <w:r>
        <w:rPr>
          <w:rFonts w:ascii="Arial" w:hAnsi="Arial" w:cs="Arial"/>
          <w:color w:val="000000"/>
          <w:sz w:val="22"/>
          <w:szCs w:val="22"/>
          <w:lang w:val="en-GB" w:eastAsia="en-GB"/>
        </w:rPr>
        <w:t>With reference to A</w:t>
      </w:r>
      <w:r w:rsidRPr="009B5832">
        <w:rPr>
          <w:rFonts w:ascii="Arial" w:hAnsi="Arial" w:cs="Arial"/>
          <w:color w:val="000000"/>
          <w:sz w:val="22"/>
          <w:szCs w:val="22"/>
          <w:lang w:val="en-GB" w:eastAsia="en-GB"/>
        </w:rPr>
        <w:t xml:space="preserve">rticle 35(1) </w:t>
      </w:r>
      <w:r>
        <w:rPr>
          <w:rFonts w:ascii="Arial" w:hAnsi="Arial" w:cs="Arial"/>
          <w:color w:val="000000"/>
          <w:sz w:val="22"/>
          <w:szCs w:val="22"/>
          <w:lang w:val="en-GB" w:eastAsia="en-GB"/>
        </w:rPr>
        <w:t>Ms G appears to be suitably qualified.</w:t>
      </w:r>
      <w:r w:rsidRPr="009B5832">
        <w:rPr>
          <w:rFonts w:ascii="Arial" w:hAnsi="Arial" w:cs="Arial"/>
          <w:color w:val="000000"/>
          <w:sz w:val="22"/>
          <w:szCs w:val="22"/>
          <w:lang w:val="en-GB" w:eastAsia="en-GB"/>
        </w:rPr>
        <w:t xml:space="preserve"> </w:t>
      </w:r>
      <w:r>
        <w:rPr>
          <w:rFonts w:ascii="Arial" w:hAnsi="Arial" w:cs="Arial"/>
          <w:color w:val="000000"/>
          <w:sz w:val="22"/>
          <w:szCs w:val="22"/>
          <w:lang w:val="en-GB" w:eastAsia="en-GB"/>
        </w:rPr>
        <w:t>It is noted that o</w:t>
      </w:r>
      <w:r w:rsidRPr="009B5832">
        <w:rPr>
          <w:rFonts w:ascii="Arial" w:hAnsi="Arial" w:cs="Arial"/>
          <w:color w:val="000000"/>
          <w:sz w:val="22"/>
          <w:szCs w:val="22"/>
          <w:lang w:val="en-GB" w:eastAsia="en-GB"/>
        </w:rPr>
        <w:t xml:space="preserve">nce appointed, </w:t>
      </w:r>
      <w:r>
        <w:rPr>
          <w:rFonts w:ascii="Arial" w:hAnsi="Arial" w:cs="Arial"/>
          <w:color w:val="000000"/>
          <w:sz w:val="22"/>
          <w:szCs w:val="22"/>
          <w:lang w:val="en-GB" w:eastAsia="en-GB"/>
        </w:rPr>
        <w:t xml:space="preserve">Ms G becomes </w:t>
      </w:r>
      <w:r w:rsidRPr="009B5832">
        <w:rPr>
          <w:rFonts w:ascii="Arial" w:hAnsi="Arial" w:cs="Arial"/>
          <w:color w:val="000000"/>
          <w:sz w:val="22"/>
          <w:szCs w:val="22"/>
          <w:lang w:val="en-GB" w:eastAsia="en-GB"/>
        </w:rPr>
        <w:t xml:space="preserve">accountable to the DGF for </w:t>
      </w:r>
      <w:r>
        <w:rPr>
          <w:rFonts w:ascii="Arial" w:hAnsi="Arial" w:cs="Arial"/>
          <w:color w:val="000000"/>
          <w:sz w:val="22"/>
          <w:szCs w:val="22"/>
          <w:lang w:val="en-GB" w:eastAsia="en-GB"/>
        </w:rPr>
        <w:t xml:space="preserve">her </w:t>
      </w:r>
      <w:r w:rsidRPr="009B5832">
        <w:rPr>
          <w:rFonts w:ascii="Arial" w:hAnsi="Arial" w:cs="Arial"/>
          <w:color w:val="000000"/>
          <w:sz w:val="22"/>
          <w:szCs w:val="22"/>
          <w:lang w:val="en-GB" w:eastAsia="en-GB"/>
        </w:rPr>
        <w:t>actions and may exercise the powers delegated to them by the DGF in pursuance of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r>
        <w:rPr>
          <w:rFonts w:ascii="Arial" w:hAnsi="Arial" w:cs="Arial"/>
          <w:color w:val="000000"/>
          <w:sz w:val="22"/>
          <w:szCs w:val="22"/>
          <w:lang w:val="en-GB" w:eastAsia="en-GB"/>
        </w:rPr>
        <w:t xml:space="preserve"> </w:t>
      </w:r>
      <w:r>
        <w:rPr>
          <w:rFonts w:ascii="Arial" w:hAnsi="Arial" w:cs="Arial"/>
          <w:sz w:val="22"/>
          <w:szCs w:val="22"/>
          <w:lang w:val="en-GB"/>
        </w:rPr>
        <w:t xml:space="preserve">Ms G's appointment was made pursuant to Resolution 1513 of the Executive Board of Directors of DGF and notes that Ms G is a "leading bank liquidation professional".   </w:t>
      </w:r>
    </w:p>
    <w:p w14:paraId="3F135AB2" w14:textId="77777777" w:rsidR="00652A4C" w:rsidRDefault="00652A4C" w:rsidP="00707FC8">
      <w:pPr>
        <w:jc w:val="both"/>
        <w:rPr>
          <w:rFonts w:ascii="Arial" w:hAnsi="Arial" w:cs="Arial"/>
          <w:sz w:val="22"/>
          <w:szCs w:val="22"/>
          <w:lang w:val="en-GB"/>
        </w:rPr>
      </w:pPr>
    </w:p>
    <w:p w14:paraId="0255FA5E" w14:textId="7BA3B5DA" w:rsidR="0076045E" w:rsidRDefault="0076045E" w:rsidP="00707FC8">
      <w:pPr>
        <w:jc w:val="both"/>
        <w:rPr>
          <w:rFonts w:ascii="Arial" w:hAnsi="Arial" w:cs="Arial"/>
          <w:sz w:val="22"/>
          <w:szCs w:val="22"/>
          <w:lang w:val="en-GB"/>
        </w:rPr>
      </w:pPr>
      <w:r>
        <w:rPr>
          <w:rFonts w:ascii="Arial" w:hAnsi="Arial" w:cs="Arial"/>
          <w:sz w:val="22"/>
          <w:szCs w:val="22"/>
          <w:lang w:val="en-GB"/>
        </w:rPr>
        <w:t>The second element "</w:t>
      </w:r>
      <w:r w:rsidRPr="00C649CB">
        <w:rPr>
          <w:rFonts w:ascii="Arial" w:hAnsi="Arial" w:cs="Arial"/>
          <w:i/>
          <w:sz w:val="22"/>
          <w:szCs w:val="22"/>
          <w:lang w:val="en-GB"/>
        </w:rPr>
        <w:t>authorised in a foreign proceeding</w:t>
      </w:r>
      <w:r>
        <w:rPr>
          <w:rFonts w:ascii="Arial" w:hAnsi="Arial" w:cs="Arial"/>
          <w:sz w:val="22"/>
          <w:szCs w:val="22"/>
          <w:lang w:val="en-GB"/>
        </w:rPr>
        <w:t>" is satisfied noting that the DGF is authorised to act in the Bank's liquidation pursuant to the LBBA and the DGF Law discussed above under 4.1.1. Ms G is authorised to act by Resolution 1513.</w:t>
      </w:r>
      <w:r w:rsidR="00252825">
        <w:rPr>
          <w:rFonts w:ascii="Arial" w:hAnsi="Arial" w:cs="Arial"/>
          <w:sz w:val="22"/>
          <w:szCs w:val="22"/>
          <w:lang w:val="en-GB"/>
        </w:rPr>
        <w:t xml:space="preserve"> It is noted that the Model Law does not specify that the foreign representative must be authorised by the foreign court. </w:t>
      </w:r>
    </w:p>
    <w:p w14:paraId="1CE5FC3B" w14:textId="77777777" w:rsidR="0076045E" w:rsidRDefault="0076045E" w:rsidP="00707FC8">
      <w:pPr>
        <w:jc w:val="both"/>
        <w:rPr>
          <w:rFonts w:ascii="Arial" w:hAnsi="Arial" w:cs="Arial"/>
          <w:sz w:val="22"/>
          <w:szCs w:val="22"/>
          <w:lang w:val="en-GB"/>
        </w:rPr>
      </w:pPr>
    </w:p>
    <w:p w14:paraId="1C0F852C" w14:textId="6F0AE360" w:rsidR="00C649CB" w:rsidRDefault="0076045E" w:rsidP="00707FC8">
      <w:pPr>
        <w:jc w:val="both"/>
        <w:rPr>
          <w:rFonts w:ascii="Arial" w:hAnsi="Arial" w:cs="Arial"/>
          <w:color w:val="000000"/>
          <w:sz w:val="22"/>
          <w:szCs w:val="22"/>
          <w:lang w:val="en-GB" w:eastAsia="en-GB"/>
        </w:rPr>
      </w:pPr>
      <w:r>
        <w:rPr>
          <w:rFonts w:ascii="Arial" w:hAnsi="Arial" w:cs="Arial"/>
          <w:sz w:val="22"/>
          <w:szCs w:val="22"/>
          <w:lang w:val="en-GB"/>
        </w:rPr>
        <w:t>In relation to the third element "</w:t>
      </w:r>
      <w:r w:rsidR="00252825" w:rsidRPr="00FF16BF">
        <w:rPr>
          <w:rFonts w:ascii="Arial" w:hAnsi="Arial" w:cs="Arial"/>
          <w:i/>
          <w:sz w:val="22"/>
          <w:szCs w:val="22"/>
          <w:lang w:val="en-GB"/>
        </w:rPr>
        <w:t>to administer the reorganisation or the liquidation of the debtor's assets or affairs or to act as a representative of the foreign proceeding</w:t>
      </w:r>
      <w:r w:rsidR="00252825">
        <w:rPr>
          <w:rFonts w:ascii="Arial" w:hAnsi="Arial" w:cs="Arial"/>
          <w:sz w:val="22"/>
          <w:szCs w:val="22"/>
          <w:lang w:val="en-GB"/>
        </w:rPr>
        <w:t xml:space="preserve">", </w:t>
      </w:r>
      <w:r w:rsidR="007A3D4E">
        <w:rPr>
          <w:rFonts w:ascii="Arial" w:hAnsi="Arial" w:cs="Arial"/>
          <w:sz w:val="22"/>
          <w:szCs w:val="22"/>
          <w:lang w:val="en-GB"/>
        </w:rPr>
        <w:t xml:space="preserve">Resolution 1513 delegates </w:t>
      </w:r>
      <w:r w:rsidR="00652A4C">
        <w:rPr>
          <w:rFonts w:ascii="Arial" w:hAnsi="Arial" w:cs="Arial"/>
          <w:sz w:val="22"/>
          <w:szCs w:val="22"/>
          <w:lang w:val="en-GB"/>
        </w:rPr>
        <w:t xml:space="preserve">to Ms G all liquidation powers in respect of the Bank set out in the DGF Law, including articles 37, 38, 47-52, 521 and 53. However, </w:t>
      </w:r>
      <w:r w:rsidR="00252825">
        <w:rPr>
          <w:rFonts w:ascii="Arial" w:hAnsi="Arial" w:cs="Arial"/>
          <w:sz w:val="22"/>
          <w:szCs w:val="22"/>
          <w:lang w:val="en-GB"/>
        </w:rPr>
        <w:t xml:space="preserve">excluded from Ms G's suite of powers is </w:t>
      </w:r>
      <w:r w:rsidR="00652A4C">
        <w:rPr>
          <w:rFonts w:ascii="Arial" w:hAnsi="Arial" w:cs="Arial"/>
          <w:sz w:val="22"/>
          <w:szCs w:val="22"/>
          <w:lang w:val="en-GB"/>
        </w:rPr>
        <w:t>the power to</w:t>
      </w:r>
      <w:r w:rsidR="00252825">
        <w:rPr>
          <w:rFonts w:ascii="Arial" w:hAnsi="Arial" w:cs="Arial"/>
          <w:sz w:val="22"/>
          <w:szCs w:val="22"/>
          <w:lang w:val="en-GB"/>
        </w:rPr>
        <w:t xml:space="preserve"> claim damages from a related party of the B</w:t>
      </w:r>
      <w:r w:rsidR="00652A4C">
        <w:rPr>
          <w:rFonts w:ascii="Arial" w:hAnsi="Arial" w:cs="Arial"/>
          <w:sz w:val="22"/>
          <w:szCs w:val="22"/>
          <w:lang w:val="en-GB"/>
        </w:rPr>
        <w:t>a</w:t>
      </w:r>
      <w:r w:rsidR="00252825">
        <w:rPr>
          <w:rFonts w:ascii="Arial" w:hAnsi="Arial" w:cs="Arial"/>
          <w:sz w:val="22"/>
          <w:szCs w:val="22"/>
          <w:lang w:val="en-GB"/>
        </w:rPr>
        <w:t>n</w:t>
      </w:r>
      <w:r w:rsidR="00652A4C">
        <w:rPr>
          <w:rFonts w:ascii="Arial" w:hAnsi="Arial" w:cs="Arial"/>
          <w:sz w:val="22"/>
          <w:szCs w:val="22"/>
          <w:lang w:val="en-GB"/>
        </w:rPr>
        <w:t>k, the power</w:t>
      </w:r>
      <w:r w:rsidR="00252825">
        <w:rPr>
          <w:rFonts w:ascii="Arial" w:hAnsi="Arial" w:cs="Arial"/>
          <w:sz w:val="22"/>
          <w:szCs w:val="22"/>
          <w:lang w:val="en-GB"/>
        </w:rPr>
        <w:t xml:space="preserve"> to make </w:t>
      </w:r>
      <w:r w:rsidR="00652A4C">
        <w:rPr>
          <w:rFonts w:ascii="Arial" w:hAnsi="Arial" w:cs="Arial"/>
          <w:sz w:val="22"/>
          <w:szCs w:val="22"/>
          <w:lang w:val="en-GB"/>
        </w:rPr>
        <w:t>a</w:t>
      </w:r>
      <w:r w:rsidR="00252825">
        <w:rPr>
          <w:rFonts w:ascii="Arial" w:hAnsi="Arial" w:cs="Arial"/>
          <w:sz w:val="22"/>
          <w:szCs w:val="22"/>
          <w:lang w:val="en-GB"/>
        </w:rPr>
        <w:t xml:space="preserve"> </w:t>
      </w:r>
      <w:r w:rsidR="00652A4C">
        <w:rPr>
          <w:rFonts w:ascii="Arial" w:hAnsi="Arial" w:cs="Arial"/>
          <w:sz w:val="22"/>
          <w:szCs w:val="22"/>
          <w:lang w:val="en-GB"/>
        </w:rPr>
        <w:t xml:space="preserve">claim against a non-banking </w:t>
      </w:r>
      <w:r w:rsidR="00252825" w:rsidRPr="009B5832">
        <w:rPr>
          <w:rFonts w:ascii="Arial" w:hAnsi="Arial" w:cs="Arial"/>
          <w:color w:val="000000"/>
          <w:sz w:val="22"/>
          <w:szCs w:val="22"/>
          <w:lang w:val="en-GB" w:eastAsia="en-GB"/>
        </w:rPr>
        <w:t>financial institution that raised money as loans or deposits from individuals, and the power to arrange for the sale of the Bank</w:t>
      </w:r>
      <w:r w:rsidR="00252825">
        <w:rPr>
          <w:rFonts w:ascii="Arial" w:hAnsi="Arial" w:cs="Arial"/>
          <w:color w:val="000000"/>
          <w:sz w:val="22"/>
          <w:szCs w:val="22"/>
          <w:lang w:val="en-GB" w:eastAsia="en-GB"/>
        </w:rPr>
        <w:t>’</w:t>
      </w:r>
      <w:r w:rsidR="00C649CB">
        <w:rPr>
          <w:rFonts w:ascii="Arial" w:hAnsi="Arial" w:cs="Arial"/>
          <w:color w:val="000000"/>
          <w:sz w:val="22"/>
          <w:szCs w:val="22"/>
          <w:lang w:val="en-GB" w:eastAsia="en-GB"/>
        </w:rPr>
        <w:t xml:space="preserve">s assets (although it is noted that Ms G has </w:t>
      </w:r>
      <w:r w:rsidR="00C649CB" w:rsidRPr="009B5832">
        <w:rPr>
          <w:rFonts w:ascii="Arial" w:hAnsi="Arial" w:cs="Arial"/>
          <w:color w:val="000000"/>
          <w:sz w:val="22"/>
          <w:szCs w:val="22"/>
          <w:lang w:val="en-GB" w:eastAsia="en-GB"/>
        </w:rPr>
        <w:t>the authority to sign all agreements related to the sale of the bank</w:t>
      </w:r>
      <w:r w:rsidR="00C649CB">
        <w:rPr>
          <w:rFonts w:ascii="Arial" w:hAnsi="Arial" w:cs="Arial"/>
          <w:color w:val="000000"/>
          <w:sz w:val="22"/>
          <w:szCs w:val="22"/>
          <w:lang w:val="en-GB" w:eastAsia="en-GB"/>
        </w:rPr>
        <w:t>’</w:t>
      </w:r>
      <w:r w:rsidR="00C649CB" w:rsidRPr="009B5832">
        <w:rPr>
          <w:rFonts w:ascii="Arial" w:hAnsi="Arial" w:cs="Arial"/>
          <w:color w:val="000000"/>
          <w:sz w:val="22"/>
          <w:szCs w:val="22"/>
          <w:lang w:val="en-GB" w:eastAsia="en-GB"/>
        </w:rPr>
        <w:t>s assets</w:t>
      </w:r>
      <w:r w:rsidR="00C649CB">
        <w:rPr>
          <w:rFonts w:ascii="Arial" w:hAnsi="Arial" w:cs="Arial"/>
          <w:color w:val="000000"/>
          <w:sz w:val="22"/>
          <w:szCs w:val="22"/>
          <w:lang w:val="en-GB" w:eastAsia="en-GB"/>
        </w:rPr>
        <w:t xml:space="preserve">). </w:t>
      </w:r>
    </w:p>
    <w:p w14:paraId="696D21E5" w14:textId="77777777" w:rsidR="00C649CB" w:rsidRDefault="00252825" w:rsidP="00707FC8">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Each of the excluded powers remains vested in the DGF as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r>
        <w:rPr>
          <w:rFonts w:ascii="Arial" w:hAnsi="Arial" w:cs="Arial"/>
          <w:color w:val="000000"/>
          <w:sz w:val="22"/>
          <w:szCs w:val="22"/>
          <w:lang w:val="en-GB" w:eastAsia="en-GB"/>
        </w:rPr>
        <w:t xml:space="preserve">. </w:t>
      </w:r>
    </w:p>
    <w:p w14:paraId="65686F7C" w14:textId="77777777" w:rsidR="00C649CB" w:rsidRDefault="00C649CB" w:rsidP="00707FC8">
      <w:pPr>
        <w:jc w:val="both"/>
        <w:rPr>
          <w:rFonts w:ascii="Arial" w:hAnsi="Arial" w:cs="Arial"/>
          <w:color w:val="000000"/>
          <w:sz w:val="22"/>
          <w:szCs w:val="22"/>
          <w:lang w:val="en-GB" w:eastAsia="en-GB"/>
        </w:rPr>
      </w:pPr>
    </w:p>
    <w:p w14:paraId="218756D7" w14:textId="6299588A" w:rsidR="00ED6936" w:rsidRDefault="007A3D4E" w:rsidP="00707FC8">
      <w:pPr>
        <w:jc w:val="both"/>
        <w:rPr>
          <w:rFonts w:ascii="Arial" w:hAnsi="Arial" w:cs="Arial"/>
          <w:sz w:val="22"/>
          <w:szCs w:val="22"/>
          <w:lang w:val="en-GB"/>
        </w:rPr>
      </w:pPr>
      <w:r>
        <w:rPr>
          <w:rFonts w:ascii="Arial" w:hAnsi="Arial" w:cs="Arial"/>
          <w:sz w:val="22"/>
          <w:szCs w:val="22"/>
          <w:lang w:val="en-GB"/>
        </w:rPr>
        <w:t xml:space="preserve">It is said that the DGF automatically became the Bank's liquidator on the date the NB gave its decision to revoke the Bank's licence and at that point it acquired the full powers of a liquidator under the law of Country A. However, even prior to the liquidation, pursuant to Articles 35(5) and 36(1) the DGF had full and exclusive rights to manage the Bank and all powers of the Bank's management. </w:t>
      </w:r>
      <w:r w:rsidR="00ED6936">
        <w:rPr>
          <w:rFonts w:ascii="Arial" w:hAnsi="Arial" w:cs="Arial"/>
          <w:sz w:val="22"/>
          <w:szCs w:val="22"/>
          <w:lang w:val="en-GB"/>
        </w:rPr>
        <w:t xml:space="preserve"> </w:t>
      </w:r>
      <w:r w:rsidR="00252825">
        <w:rPr>
          <w:rFonts w:ascii="Arial" w:hAnsi="Arial" w:cs="Arial"/>
          <w:sz w:val="22"/>
          <w:szCs w:val="22"/>
          <w:lang w:val="en-GB"/>
        </w:rPr>
        <w:t>The DGF and Ms G together, have an unlimited mandate for the administration of the Bank's affairs in re</w:t>
      </w:r>
      <w:r w:rsidR="00C649CB">
        <w:rPr>
          <w:rFonts w:ascii="Arial" w:hAnsi="Arial" w:cs="Arial"/>
          <w:sz w:val="22"/>
          <w:szCs w:val="22"/>
          <w:lang w:val="en-GB"/>
        </w:rPr>
        <w:t>spect of its liquidation. As this</w:t>
      </w:r>
      <w:r w:rsidR="00252825">
        <w:rPr>
          <w:rFonts w:ascii="Arial" w:hAnsi="Arial" w:cs="Arial"/>
          <w:sz w:val="22"/>
          <w:szCs w:val="22"/>
          <w:lang w:val="en-GB"/>
        </w:rPr>
        <w:t xml:space="preserve"> element </w:t>
      </w:r>
      <w:r w:rsidR="00C649CB">
        <w:rPr>
          <w:rFonts w:ascii="Arial" w:hAnsi="Arial" w:cs="Arial"/>
          <w:sz w:val="22"/>
          <w:szCs w:val="22"/>
          <w:lang w:val="en-GB"/>
        </w:rPr>
        <w:t xml:space="preserve">of the definition </w:t>
      </w:r>
      <w:r w:rsidR="00252825">
        <w:rPr>
          <w:rFonts w:ascii="Arial" w:hAnsi="Arial" w:cs="Arial"/>
          <w:sz w:val="22"/>
          <w:szCs w:val="22"/>
          <w:lang w:val="en-GB"/>
        </w:rPr>
        <w:t xml:space="preserve">is disjunctive, </w:t>
      </w:r>
      <w:r w:rsidR="00C649CB">
        <w:rPr>
          <w:rFonts w:ascii="Arial" w:hAnsi="Arial" w:cs="Arial"/>
          <w:sz w:val="22"/>
          <w:szCs w:val="22"/>
          <w:lang w:val="en-GB"/>
        </w:rPr>
        <w:t xml:space="preserve">either arm can be relied upon. Therefore, </w:t>
      </w:r>
      <w:r w:rsidR="00252825">
        <w:rPr>
          <w:rFonts w:ascii="Arial" w:hAnsi="Arial" w:cs="Arial"/>
          <w:sz w:val="22"/>
          <w:szCs w:val="22"/>
          <w:lang w:val="en-GB"/>
        </w:rPr>
        <w:t xml:space="preserve">it is unlikely to matter that Ms G's powers have been </w:t>
      </w:r>
      <w:r w:rsidR="00C649CB">
        <w:rPr>
          <w:rFonts w:ascii="Arial" w:hAnsi="Arial" w:cs="Arial"/>
          <w:sz w:val="22"/>
          <w:szCs w:val="22"/>
          <w:lang w:val="en-GB"/>
        </w:rPr>
        <w:t xml:space="preserve">curtailed </w:t>
      </w:r>
      <w:r w:rsidR="00252825">
        <w:rPr>
          <w:rFonts w:ascii="Arial" w:hAnsi="Arial" w:cs="Arial"/>
          <w:sz w:val="22"/>
          <w:szCs w:val="22"/>
          <w:lang w:val="en-GB"/>
        </w:rPr>
        <w:t>in certain ways. The DGF is authorised to administer the liquidation of the debtor's assets or affairs which would include the ability to bring claims and</w:t>
      </w:r>
      <w:r w:rsidR="00C649CB">
        <w:rPr>
          <w:rFonts w:ascii="Arial" w:hAnsi="Arial" w:cs="Arial"/>
          <w:sz w:val="22"/>
          <w:szCs w:val="22"/>
          <w:lang w:val="en-GB"/>
        </w:rPr>
        <w:t xml:space="preserve"> arrange for the sale of the Bank's</w:t>
      </w:r>
      <w:r w:rsidR="00252825">
        <w:rPr>
          <w:rFonts w:ascii="Arial" w:hAnsi="Arial" w:cs="Arial"/>
          <w:sz w:val="22"/>
          <w:szCs w:val="22"/>
          <w:lang w:val="en-GB"/>
        </w:rPr>
        <w:t xml:space="preserve"> assets. </w:t>
      </w:r>
      <w:r w:rsidR="00C649CB">
        <w:rPr>
          <w:rFonts w:ascii="Arial" w:hAnsi="Arial" w:cs="Arial"/>
          <w:sz w:val="22"/>
          <w:szCs w:val="22"/>
          <w:lang w:val="en-GB"/>
        </w:rPr>
        <w:t>The DGF is the appointed liquidator and Ms</w:t>
      </w:r>
      <w:r w:rsidR="00930523">
        <w:rPr>
          <w:rFonts w:ascii="Arial" w:hAnsi="Arial" w:cs="Arial"/>
          <w:sz w:val="22"/>
          <w:szCs w:val="22"/>
          <w:lang w:val="en-GB"/>
        </w:rPr>
        <w:t xml:space="preserve"> G an authorised officer of DGF, and duly </w:t>
      </w:r>
      <w:r w:rsidR="00930523" w:rsidRPr="00930523">
        <w:rPr>
          <w:rFonts w:ascii="Arial" w:hAnsi="Arial" w:cs="Arial"/>
          <w:sz w:val="22"/>
          <w:szCs w:val="22"/>
          <w:lang w:val="en-GB"/>
        </w:rPr>
        <w:t>authorised</w:t>
      </w:r>
      <w:r w:rsidR="00C649CB" w:rsidRPr="00930523">
        <w:rPr>
          <w:rFonts w:ascii="Arial" w:hAnsi="Arial" w:cs="Arial"/>
          <w:sz w:val="22"/>
          <w:szCs w:val="22"/>
          <w:lang w:val="en-GB"/>
        </w:rPr>
        <w:t xml:space="preserve"> to act as a foreign representative in the proceedings.</w:t>
      </w:r>
      <w:r w:rsidR="00C649CB">
        <w:rPr>
          <w:rFonts w:ascii="Arial" w:hAnsi="Arial" w:cs="Arial"/>
          <w:sz w:val="22"/>
          <w:szCs w:val="22"/>
          <w:lang w:val="en-GB"/>
        </w:rPr>
        <w:t xml:space="preserve"> It perhaps matters not which arm of the definition is relied upon on the basis that paragraph 86 of the GEI indicates that the fact of appointment of foreign representative in the proceeding to act in either or both capacities is sufficient for purposes of Model Law.</w:t>
      </w:r>
    </w:p>
    <w:p w14:paraId="72F152CF" w14:textId="060E0167" w:rsidR="00C649CB" w:rsidRDefault="00C649CB" w:rsidP="00707FC8">
      <w:pPr>
        <w:jc w:val="both"/>
        <w:rPr>
          <w:rFonts w:ascii="Arial" w:hAnsi="Arial" w:cs="Arial"/>
          <w:sz w:val="22"/>
          <w:szCs w:val="22"/>
          <w:lang w:val="en-GB"/>
        </w:rPr>
      </w:pPr>
    </w:p>
    <w:p w14:paraId="62589146" w14:textId="3750DB38" w:rsidR="00C649CB" w:rsidRDefault="00C649CB" w:rsidP="00707FC8">
      <w:pPr>
        <w:jc w:val="both"/>
        <w:rPr>
          <w:rFonts w:ascii="Arial" w:hAnsi="Arial" w:cs="Arial"/>
          <w:sz w:val="22"/>
          <w:szCs w:val="22"/>
          <w:lang w:val="en-GB"/>
        </w:rPr>
      </w:pPr>
      <w:r>
        <w:rPr>
          <w:rFonts w:ascii="Arial" w:hAnsi="Arial" w:cs="Arial"/>
          <w:sz w:val="22"/>
          <w:szCs w:val="22"/>
          <w:lang w:val="en-GB"/>
        </w:rPr>
        <w:t xml:space="preserve">Accordingly, the applicants are likely to satisfy the definition of "foreign representative" and meet this precondition for the purposes of the recognition application. </w:t>
      </w:r>
    </w:p>
    <w:p w14:paraId="2B76E58D" w14:textId="60E08229" w:rsidR="00ED6936" w:rsidRDefault="00ED6936" w:rsidP="00707FC8">
      <w:pPr>
        <w:jc w:val="both"/>
        <w:rPr>
          <w:rFonts w:ascii="Arial" w:hAnsi="Arial" w:cs="Arial"/>
          <w:sz w:val="22"/>
          <w:szCs w:val="22"/>
          <w:lang w:val="en-GB"/>
        </w:rPr>
      </w:pPr>
    </w:p>
    <w:p w14:paraId="7925D0DB" w14:textId="2FA07F47" w:rsidR="00ED6936" w:rsidRDefault="00ED6936" w:rsidP="00707FC8">
      <w:pPr>
        <w:jc w:val="both"/>
        <w:rPr>
          <w:rFonts w:ascii="Arial" w:hAnsi="Arial" w:cs="Arial"/>
          <w:color w:val="000000" w:themeColor="text1"/>
          <w:sz w:val="22"/>
          <w:szCs w:val="22"/>
          <w:lang w:val="en-GB"/>
        </w:rPr>
      </w:pPr>
      <w:bookmarkStart w:id="30" w:name="_GoBack"/>
      <w:bookmarkEnd w:id="30"/>
    </w:p>
    <w:p w14:paraId="3B3F8668" w14:textId="5AF57381" w:rsidR="00ED6936" w:rsidRDefault="00ED6936" w:rsidP="00707FC8">
      <w:pPr>
        <w:jc w:val="both"/>
        <w:rPr>
          <w:rFonts w:ascii="Arial" w:hAnsi="Arial" w:cs="Arial"/>
          <w:color w:val="000000" w:themeColor="text1"/>
          <w:sz w:val="22"/>
          <w:szCs w:val="22"/>
          <w:lang w:val="en-GB"/>
        </w:rPr>
      </w:pPr>
    </w:p>
    <w:p w14:paraId="155CF269" w14:textId="4F932C4B" w:rsidR="00ED6936" w:rsidRDefault="00ED6936" w:rsidP="00707FC8">
      <w:pPr>
        <w:jc w:val="both"/>
        <w:rPr>
          <w:rFonts w:ascii="Arial" w:hAnsi="Arial" w:cs="Arial"/>
          <w:color w:val="000000" w:themeColor="text1"/>
          <w:sz w:val="22"/>
          <w:szCs w:val="22"/>
          <w:lang w:val="en-GB"/>
        </w:rPr>
      </w:pPr>
    </w:p>
    <w:p w14:paraId="5C172837" w14:textId="77777777" w:rsidR="00ED6936" w:rsidRPr="004B0C53" w:rsidRDefault="00ED6936"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C649CB" w:rsidRDefault="00C649CB" w:rsidP="00241B44">
      <w:r>
        <w:separator/>
      </w:r>
    </w:p>
  </w:endnote>
  <w:endnote w:type="continuationSeparator" w:id="0">
    <w:p w14:paraId="53C7A7B1" w14:textId="77777777" w:rsidR="00C649CB" w:rsidRDefault="00C649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649CB" w:rsidRPr="00FC7B47" w:rsidRDefault="00C649CB"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C649CB" w:rsidRPr="00FC7B47" w:rsidRDefault="00C649CB"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0560505B" w:rsidR="00C649CB" w:rsidRPr="00784B4B" w:rsidRDefault="00C649C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C65CF9">
          <w:rPr>
            <w:rStyle w:val="PageNumber"/>
            <w:rFonts w:ascii="Arial" w:hAnsi="Arial" w:cs="Arial"/>
            <w:noProof/>
            <w:sz w:val="18"/>
            <w:szCs w:val="18"/>
          </w:rPr>
          <w:t>20</w:t>
        </w:r>
        <w:r w:rsidRPr="00784B4B">
          <w:rPr>
            <w:rStyle w:val="PageNumber"/>
            <w:rFonts w:ascii="Arial" w:hAnsi="Arial" w:cs="Arial"/>
            <w:sz w:val="18"/>
            <w:szCs w:val="18"/>
          </w:rPr>
          <w:fldChar w:fldCharType="end"/>
        </w:r>
      </w:p>
    </w:sdtContent>
  </w:sdt>
  <w:p w14:paraId="7E7C1A9B" w14:textId="5F602BAA" w:rsidR="00C649CB" w:rsidRPr="00784B4B" w:rsidRDefault="00C65CF9" w:rsidP="0036760B">
    <w:pPr>
      <w:pStyle w:val="Footer"/>
      <w:ind w:right="360" w:firstLine="360"/>
      <w:rPr>
        <w:rFonts w:ascii="Arial" w:hAnsi="Arial" w:cs="Arial"/>
        <w:sz w:val="18"/>
        <w:szCs w:val="18"/>
      </w:rPr>
    </w:pPr>
    <w:r>
      <w:rPr>
        <w:rFonts w:ascii="Arial" w:hAnsi="Arial" w:cs="Arial"/>
        <w:sz w:val="18"/>
        <w:szCs w:val="18"/>
      </w:rPr>
      <w:t>202122-536</w:t>
    </w:r>
    <w:r w:rsidR="00C649C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C649CB" w:rsidRPr="00784B4B" w:rsidRDefault="00C649C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C649CB" w:rsidRDefault="00C649CB" w:rsidP="00241B44">
      <w:r>
        <w:separator/>
      </w:r>
    </w:p>
  </w:footnote>
  <w:footnote w:type="continuationSeparator" w:id="0">
    <w:p w14:paraId="2FE98E22" w14:textId="77777777" w:rsidR="00C649CB" w:rsidRDefault="00C649CB" w:rsidP="00241B44">
      <w:r>
        <w:continuationSeparator/>
      </w:r>
    </w:p>
  </w:footnote>
  <w:footnote w:id="1">
    <w:p w14:paraId="52BC98AC" w14:textId="1C3ED683" w:rsidR="00C649CB" w:rsidRDefault="00C649CB">
      <w:pPr>
        <w:pStyle w:val="FootnoteText"/>
      </w:pPr>
      <w:r>
        <w:rPr>
          <w:rStyle w:val="FootnoteReference"/>
        </w:rPr>
        <w:footnoteRef/>
      </w:r>
      <w:r>
        <w:t xml:space="preserve"> </w:t>
      </w:r>
      <w:r w:rsidRPr="007A5891">
        <w:rPr>
          <w:i/>
        </w:rPr>
        <w:t xml:space="preserve">Morning Mist Holdings Ltd v </w:t>
      </w:r>
      <w:proofErr w:type="spellStart"/>
      <w:r w:rsidRPr="007A5891">
        <w:rPr>
          <w:i/>
        </w:rPr>
        <w:t>Krys</w:t>
      </w:r>
      <w:proofErr w:type="spellEnd"/>
      <w:r w:rsidRPr="007A5891">
        <w:rPr>
          <w:i/>
        </w:rPr>
        <w:t xml:space="preserve"> (Matter of Fairfield Sentry Ltd)</w:t>
      </w:r>
      <w:r>
        <w:t xml:space="preserve"> (2</w:t>
      </w:r>
      <w:r w:rsidRPr="007A5891">
        <w:rPr>
          <w:vertAlign w:val="superscript"/>
        </w:rPr>
        <w:t>nd</w:t>
      </w:r>
      <w:r>
        <w:t xml:space="preserve"> Cir Appeals Apr. 16, 2013)</w:t>
      </w:r>
    </w:p>
  </w:footnote>
  <w:footnote w:id="2">
    <w:p w14:paraId="0ADA34AC" w14:textId="7AB6BF15" w:rsidR="00C649CB" w:rsidRDefault="00C649CB">
      <w:pPr>
        <w:pStyle w:val="FootnoteText"/>
      </w:pPr>
      <w:r>
        <w:rPr>
          <w:rStyle w:val="FootnoteReference"/>
        </w:rPr>
        <w:footnoteRef/>
      </w:r>
      <w:r>
        <w:t xml:space="preserve"> </w:t>
      </w:r>
      <w:r w:rsidRPr="007A5891">
        <w:rPr>
          <w:i/>
        </w:rPr>
        <w:t xml:space="preserve">Re </w:t>
      </w:r>
      <w:proofErr w:type="spellStart"/>
      <w:r w:rsidRPr="007A5891">
        <w:rPr>
          <w:i/>
        </w:rPr>
        <w:t>Toisa</w:t>
      </w:r>
      <w:proofErr w:type="spellEnd"/>
      <w:r w:rsidRPr="007A5891">
        <w:rPr>
          <w:i/>
        </w:rPr>
        <w:t xml:space="preserve"> Limited</w:t>
      </w:r>
      <w:r>
        <w:t xml:space="preserve"> (unpublished judgment of ICC Judge Catherine Burton of 29 March 2019), discussed in Lexis </w:t>
      </w:r>
      <w:proofErr w:type="spellStart"/>
      <w:r>
        <w:t>Nexis</w:t>
      </w:r>
      <w:proofErr w:type="spellEnd"/>
      <w:r>
        <w:t xml:space="preserve"> Update "Clarity on cross-border conundrum (</w:t>
      </w:r>
      <w:r w:rsidRPr="00BB7BB7">
        <w:rPr>
          <w:i/>
        </w:rPr>
        <w:t xml:space="preserve">Re </w:t>
      </w:r>
      <w:proofErr w:type="spellStart"/>
      <w:r w:rsidRPr="00BB7BB7">
        <w:rPr>
          <w:i/>
        </w:rPr>
        <w:t>Toisa</w:t>
      </w:r>
      <w:proofErr w:type="spellEnd"/>
      <w:r w:rsidRPr="00BB7BB7">
        <w:rPr>
          <w:i/>
        </w:rPr>
        <w:t xml:space="preserve"> Limited</w:t>
      </w:r>
      <w:r>
        <w:t xml:space="preserve">)", Charlotte Moller and Harry </w:t>
      </w:r>
      <w:proofErr w:type="spellStart"/>
      <w:r>
        <w:t>Rudkin</w:t>
      </w:r>
      <w:proofErr w:type="spellEnd"/>
      <w:r>
        <w:t xml:space="preserve"> of Reed Smith LLP and Adam </w:t>
      </w:r>
      <w:proofErr w:type="spellStart"/>
      <w:r>
        <w:t>Goodison</w:t>
      </w:r>
      <w:proofErr w:type="spellEnd"/>
      <w:r>
        <w:t xml:space="preserve"> of South Square Chambers. </w:t>
      </w:r>
    </w:p>
  </w:footnote>
  <w:footnote w:id="3">
    <w:p w14:paraId="7BDE670A" w14:textId="3D90A0AF" w:rsidR="00C649CB" w:rsidRDefault="00C649CB">
      <w:pPr>
        <w:pStyle w:val="FootnoteText"/>
      </w:pPr>
      <w:r>
        <w:rPr>
          <w:rStyle w:val="FootnoteReference"/>
        </w:rPr>
        <w:footnoteRef/>
      </w:r>
      <w:r>
        <w:t xml:space="preserve"> </w:t>
      </w:r>
      <w:r w:rsidRPr="009265EA">
        <w:rPr>
          <w:i/>
        </w:rPr>
        <w:t>In the Matter of the OJSC International Bank of Azerbaijan</w:t>
      </w:r>
      <w:r>
        <w:t xml:space="preserve"> [2018] EWCA </w:t>
      </w:r>
      <w:proofErr w:type="spellStart"/>
      <w:r>
        <w:t>Civ</w:t>
      </w:r>
      <w:proofErr w:type="spellEnd"/>
      <w:r>
        <w:t xml:space="preserve"> 2802 (the </w:t>
      </w:r>
      <w:r w:rsidRPr="00E61016">
        <w:rPr>
          <w:i/>
        </w:rPr>
        <w:t>IBA case appeal</w:t>
      </w:r>
      <w:r>
        <w:t>) at 87</w:t>
      </w:r>
    </w:p>
  </w:footnote>
  <w:footnote w:id="4">
    <w:p w14:paraId="6C4431EA" w14:textId="201056BC" w:rsidR="00C649CB" w:rsidRDefault="00C649CB">
      <w:pPr>
        <w:pStyle w:val="FootnoteText"/>
      </w:pPr>
      <w:r>
        <w:rPr>
          <w:rStyle w:val="FootnoteReference"/>
        </w:rPr>
        <w:footnoteRef/>
      </w:r>
      <w:r>
        <w:t xml:space="preserve"> </w:t>
      </w:r>
      <w:r w:rsidRPr="00931464">
        <w:rPr>
          <w:i/>
        </w:rPr>
        <w:t>Idem</w:t>
      </w:r>
      <w:r>
        <w:t>, at 88-89</w:t>
      </w:r>
    </w:p>
  </w:footnote>
  <w:footnote w:id="5">
    <w:p w14:paraId="74B32C3D" w14:textId="50E4F602" w:rsidR="00C649CB" w:rsidRDefault="00C649CB">
      <w:pPr>
        <w:pStyle w:val="FootnoteText"/>
      </w:pPr>
      <w:r>
        <w:rPr>
          <w:rStyle w:val="FootnoteReference"/>
        </w:rPr>
        <w:footnoteRef/>
      </w:r>
      <w:r>
        <w:t xml:space="preserve"> </w:t>
      </w:r>
      <w:r w:rsidRPr="00931464">
        <w:rPr>
          <w:i/>
        </w:rPr>
        <w:t>Idem</w:t>
      </w:r>
      <w:r>
        <w:t>, at 97-98 and 100-101</w:t>
      </w:r>
    </w:p>
  </w:footnote>
  <w:footnote w:id="6">
    <w:p w14:paraId="43404271" w14:textId="13CF1DA9" w:rsidR="00C649CB" w:rsidRDefault="00C649CB">
      <w:pPr>
        <w:pStyle w:val="FootnoteText"/>
      </w:pPr>
      <w:r>
        <w:rPr>
          <w:rStyle w:val="FootnoteReference"/>
        </w:rPr>
        <w:footnoteRef/>
      </w:r>
      <w:r>
        <w:t xml:space="preserve"> UNICITRAL Guide to Enactment, p57, paras 112-114</w:t>
      </w:r>
    </w:p>
  </w:footnote>
  <w:footnote w:id="7">
    <w:p w14:paraId="4D1947BD" w14:textId="5B325BB7" w:rsidR="00C649CB" w:rsidRDefault="00C649CB">
      <w:pPr>
        <w:pStyle w:val="FootnoteText"/>
      </w:pPr>
      <w:r>
        <w:rPr>
          <w:rStyle w:val="FootnoteReference"/>
        </w:rPr>
        <w:footnoteRef/>
      </w:r>
      <w:r w:rsidRPr="00735A38">
        <w:rPr>
          <w:i/>
        </w:rPr>
        <w:t xml:space="preserve"> Idem</w:t>
      </w:r>
      <w:r>
        <w:t>, p 58 115-117</w:t>
      </w:r>
    </w:p>
  </w:footnote>
  <w:footnote w:id="8">
    <w:p w14:paraId="1CF8815E" w14:textId="7B7D487F" w:rsidR="00C649CB" w:rsidRDefault="00C649CB">
      <w:pPr>
        <w:pStyle w:val="FootnoteText"/>
      </w:pPr>
      <w:r w:rsidRPr="00C65CF9">
        <w:rPr>
          <w:rStyle w:val="FootnoteReference"/>
        </w:rPr>
        <w:footnoteRef/>
      </w:r>
      <w:r w:rsidRPr="00C65CF9">
        <w:t xml:space="preserve"> Re Standard International Bank Limited [2009] EWHC 1441 (</w:t>
      </w:r>
      <w:proofErr w:type="spellStart"/>
      <w:r w:rsidRPr="00C65CF9">
        <w:t>Ch</w:t>
      </w:r>
      <w:proofErr w:type="spellEnd"/>
      <w:r w:rsidRPr="00C65CF9">
        <w:t>) and [2010] EWCA</w:t>
      </w:r>
      <w:r w:rsidR="00C65CF9" w:rsidRPr="00C65CF9">
        <w:t xml:space="preserve"> 137 (CA) pp 48-49, paras 91-93; and </w:t>
      </w:r>
      <w:r w:rsidRPr="00C65CF9">
        <w:t>Judicial Perspective, pp 48-49, paras 91-93</w:t>
      </w:r>
      <w:r w:rsidR="00C65CF9" w:rsidRPr="00C65CF9">
        <w:t>.</w:t>
      </w:r>
    </w:p>
  </w:footnote>
  <w:footnote w:id="9">
    <w:p w14:paraId="56D3E53E" w14:textId="207EAF6D" w:rsidR="00C649CB" w:rsidRDefault="00C649CB">
      <w:pPr>
        <w:pStyle w:val="FootnoteText"/>
      </w:pPr>
      <w:r>
        <w:rPr>
          <w:rStyle w:val="FootnoteReference"/>
        </w:rPr>
        <w:footnoteRef/>
      </w:r>
      <w:r>
        <w:t xml:space="preserve"> UNCITRAL Guide to Enactment, pp 35-36 at paras 55 and 56</w:t>
      </w:r>
    </w:p>
  </w:footnote>
  <w:footnote w:id="10">
    <w:p w14:paraId="39B1B0B4" w14:textId="03CA2408" w:rsidR="00C649CB" w:rsidRDefault="00C649CB">
      <w:pPr>
        <w:pStyle w:val="FootnoteText"/>
      </w:pPr>
      <w:r>
        <w:rPr>
          <w:rStyle w:val="FootnoteReference"/>
        </w:rPr>
        <w:footnoteRef/>
      </w:r>
      <w:r>
        <w:t xml:space="preserve"> </w:t>
      </w:r>
      <w:r w:rsidR="00C65CF9">
        <w:t>Article 1(2) of the Model Law</w:t>
      </w:r>
    </w:p>
  </w:footnote>
  <w:footnote w:id="11">
    <w:p w14:paraId="74A4D78E" w14:textId="2DA00CEE" w:rsidR="00C649CB" w:rsidRDefault="00C649CB">
      <w:pPr>
        <w:pStyle w:val="FootnoteText"/>
      </w:pPr>
      <w:r>
        <w:rPr>
          <w:rStyle w:val="FootnoteReference"/>
        </w:rPr>
        <w:footnoteRef/>
      </w:r>
      <w:r>
        <w:t xml:space="preserve"> </w:t>
      </w:r>
      <w:r w:rsidRPr="0074021B">
        <w:rPr>
          <w:i/>
        </w:rPr>
        <w:t>Idem</w:t>
      </w:r>
      <w:r>
        <w:t>, pp 36-37 at paras 67-61</w:t>
      </w:r>
    </w:p>
  </w:footnote>
  <w:footnote w:id="12">
    <w:p w14:paraId="7CA7BE89" w14:textId="6773A6D8" w:rsidR="00C649CB" w:rsidRDefault="00C649CB">
      <w:pPr>
        <w:pStyle w:val="FootnoteText"/>
      </w:pPr>
      <w:r>
        <w:rPr>
          <w:rStyle w:val="FootnoteReference"/>
        </w:rPr>
        <w:footnoteRef/>
      </w:r>
      <w:r>
        <w:t xml:space="preserve"> However, public policy exceptions should be interpreted restrictively and only applied in exceptional circumstances concerning matters of fundamental importance for the enacting State, see UNCITRAL Guide to Enactment, p52, para 104</w:t>
      </w:r>
    </w:p>
  </w:footnote>
  <w:footnote w:id="13">
    <w:p w14:paraId="5F49715C" w14:textId="2B1A99CA" w:rsidR="00C649CB" w:rsidRDefault="00C649CB">
      <w:pPr>
        <w:pStyle w:val="FootnoteText"/>
      </w:pPr>
      <w:r>
        <w:rPr>
          <w:rStyle w:val="FootnoteReference"/>
        </w:rPr>
        <w:footnoteRef/>
      </w:r>
      <w:r>
        <w:t xml:space="preserve"> Article 17 of the Model Law, paragraphs 3 and 4. </w:t>
      </w:r>
    </w:p>
  </w:footnote>
  <w:footnote w:id="14">
    <w:p w14:paraId="0735CC27" w14:textId="4380584A" w:rsidR="00C649CB" w:rsidRDefault="00C649CB">
      <w:pPr>
        <w:pStyle w:val="FootnoteText"/>
      </w:pPr>
      <w:r>
        <w:rPr>
          <w:rStyle w:val="FootnoteReference"/>
        </w:rPr>
        <w:footnoteRef/>
      </w:r>
      <w:r>
        <w:t xml:space="preserve"> Article 18 of the Model Law. </w:t>
      </w:r>
    </w:p>
  </w:footnote>
  <w:footnote w:id="15">
    <w:p w14:paraId="0CEB5D73" w14:textId="75699FE9" w:rsidR="00C649CB" w:rsidRDefault="00C649CB">
      <w:pPr>
        <w:pStyle w:val="FootnoteText"/>
      </w:pPr>
      <w:r>
        <w:rPr>
          <w:rStyle w:val="FootnoteReference"/>
        </w:rPr>
        <w:footnoteRef/>
      </w:r>
      <w:r>
        <w:t xml:space="preserve"> Article 19(4) of the Model Law. </w:t>
      </w:r>
    </w:p>
  </w:footnote>
  <w:footnote w:id="16">
    <w:p w14:paraId="421B6172" w14:textId="656940F3" w:rsidR="00C649CB" w:rsidRDefault="00C649CB">
      <w:pPr>
        <w:pStyle w:val="FootnoteText"/>
      </w:pPr>
      <w:r>
        <w:rPr>
          <w:rStyle w:val="FootnoteReference"/>
        </w:rPr>
        <w:footnoteRef/>
      </w:r>
      <w:r>
        <w:t xml:space="preserve"> Article 20(2) of the Model Law</w:t>
      </w:r>
    </w:p>
  </w:footnote>
  <w:footnote w:id="17">
    <w:p w14:paraId="7C80C491" w14:textId="33D97F18" w:rsidR="00C649CB" w:rsidRDefault="00C649CB">
      <w:pPr>
        <w:pStyle w:val="FootnoteText"/>
      </w:pPr>
      <w:r>
        <w:rPr>
          <w:rStyle w:val="FootnoteReference"/>
        </w:rPr>
        <w:footnoteRef/>
      </w:r>
      <w:r>
        <w:t xml:space="preserve"> The principles relevant to the exercise of discretion in relation to applications for, or to discharge a stay under Article 21 of the Model Law were considered by the English Court in In the matter of Armada Shipping SA [2011] EWHC 216 (</w:t>
      </w:r>
      <w:proofErr w:type="spellStart"/>
      <w:r>
        <w:t>Ch</w:t>
      </w:r>
      <w:proofErr w:type="spellEnd"/>
      <w:r>
        <w:t>) and Re Pan Ocean Co Ltd [2015] EWHC 1500 (</w:t>
      </w:r>
      <w:proofErr w:type="spellStart"/>
      <w:r>
        <w:t>Ch</w:t>
      </w:r>
      <w:proofErr w:type="spellEnd"/>
      <w:r>
        <w:t>)</w:t>
      </w:r>
    </w:p>
  </w:footnote>
  <w:footnote w:id="18">
    <w:p w14:paraId="380D58BC" w14:textId="5B8F1E13" w:rsidR="00C649CB" w:rsidRDefault="00C649CB">
      <w:pPr>
        <w:pStyle w:val="FootnoteText"/>
      </w:pPr>
      <w:r>
        <w:rPr>
          <w:rStyle w:val="FootnoteReference"/>
        </w:rPr>
        <w:footnoteRef/>
      </w:r>
      <w:r>
        <w:t xml:space="preserve"> Article 21(1) of the Model Law; see also UNCITRAL Guide to Enactment, pp 87-89 at paras 189-195 and The Judicial Perspective, pp 57-84, paras 168-186.</w:t>
      </w:r>
    </w:p>
  </w:footnote>
  <w:footnote w:id="19">
    <w:p w14:paraId="0ACBD009" w14:textId="6003C1CB" w:rsidR="00C649CB" w:rsidRDefault="00C649CB">
      <w:pPr>
        <w:pStyle w:val="FootnoteText"/>
      </w:pPr>
      <w:r>
        <w:rPr>
          <w:rStyle w:val="FootnoteReference"/>
        </w:rPr>
        <w:footnoteRef/>
      </w:r>
      <w:r>
        <w:t xml:space="preserve"> See UNICITRAL Guide to Enactment, pp 87-88, para 189 which clarifies that </w:t>
      </w:r>
      <w:r w:rsidRPr="006A73F5">
        <w:rPr>
          <w:i/>
        </w:rPr>
        <w:t>"(….) The types of relief listed in Article 21(1) are typical of the relief most frequently granted in insolvency proceedings; however, the list is not exhaustive and the court is not restricted unnecessarily in its ability to grant any type of relief that is available under the law of the enacting State and needed in the circumstances of the case</w:t>
      </w:r>
      <w:r>
        <w:t xml:space="preserve">". </w:t>
      </w:r>
    </w:p>
  </w:footnote>
  <w:footnote w:id="20">
    <w:p w14:paraId="3C41703A" w14:textId="7C8979FC" w:rsidR="00FB0DB0" w:rsidRDefault="00FB0DB0">
      <w:pPr>
        <w:pStyle w:val="FootnoteText"/>
      </w:pPr>
      <w:r>
        <w:rPr>
          <w:rStyle w:val="FootnoteReference"/>
        </w:rPr>
        <w:footnoteRef/>
      </w:r>
      <w:r>
        <w:t xml:space="preserve"> [2010] UKSC 46</w:t>
      </w:r>
    </w:p>
  </w:footnote>
  <w:footnote w:id="21">
    <w:p w14:paraId="7C683E8A" w14:textId="1E78C397" w:rsidR="003C698A" w:rsidRDefault="003C698A">
      <w:pPr>
        <w:pStyle w:val="FootnoteText"/>
      </w:pPr>
      <w:r>
        <w:rPr>
          <w:rStyle w:val="FootnoteReference"/>
        </w:rPr>
        <w:footnoteRef/>
      </w:r>
      <w:r>
        <w:t xml:space="preserve"> </w:t>
      </w:r>
      <w:r w:rsidR="00107F65" w:rsidRPr="00107F65">
        <w:rPr>
          <w:i/>
        </w:rPr>
        <w:t xml:space="preserve">In the Matter of the OJSC International Bank of Azerbaijan and the CBIR 2006 – </w:t>
      </w:r>
      <w:proofErr w:type="spellStart"/>
      <w:r w:rsidR="00107F65" w:rsidRPr="00107F65">
        <w:rPr>
          <w:i/>
        </w:rPr>
        <w:t>Bakshiyeva</w:t>
      </w:r>
      <w:proofErr w:type="spellEnd"/>
      <w:r w:rsidR="00107F65" w:rsidRPr="00107F65">
        <w:rPr>
          <w:i/>
        </w:rPr>
        <w:t xml:space="preserve"> v </w:t>
      </w:r>
      <w:proofErr w:type="spellStart"/>
      <w:r w:rsidR="00107F65" w:rsidRPr="00107F65">
        <w:rPr>
          <w:i/>
        </w:rPr>
        <w:t>Shernank</w:t>
      </w:r>
      <w:proofErr w:type="spellEnd"/>
      <w:r w:rsidR="00107F65" w:rsidRPr="00107F65">
        <w:rPr>
          <w:i/>
        </w:rPr>
        <w:t xml:space="preserve"> of Russia, et al.</w:t>
      </w:r>
      <w:r w:rsidR="00107F65">
        <w:t xml:space="preserve"> [2018] EWHC 59 (</w:t>
      </w:r>
      <w:proofErr w:type="spellStart"/>
      <w:r w:rsidR="00107F65">
        <w:t>Ch</w:t>
      </w:r>
      <w:proofErr w:type="spellEnd"/>
      <w:r w:rsidR="00107F65">
        <w:t xml:space="preserve">) (the </w:t>
      </w:r>
      <w:r w:rsidR="00107F65" w:rsidRPr="00107F65">
        <w:rPr>
          <w:b/>
        </w:rPr>
        <w:t xml:space="preserve">IBA </w:t>
      </w:r>
      <w:r w:rsidR="00107F65">
        <w:rPr>
          <w:b/>
        </w:rPr>
        <w:t>C</w:t>
      </w:r>
      <w:r w:rsidR="00107F65" w:rsidRPr="00107F65">
        <w:rPr>
          <w:b/>
        </w:rPr>
        <w:t>ase</w:t>
      </w:r>
      <w:r w:rsidR="00107F65">
        <w:t xml:space="preserve">); and [2018] EWCA </w:t>
      </w:r>
      <w:proofErr w:type="spellStart"/>
      <w:r w:rsidR="00107F65">
        <w:t>Civ</w:t>
      </w:r>
      <w:proofErr w:type="spellEnd"/>
      <w:r w:rsidR="00107F65">
        <w:t xml:space="preserve"> 2802 (the </w:t>
      </w:r>
      <w:r w:rsidR="00107F65" w:rsidRPr="00107F65">
        <w:rPr>
          <w:b/>
        </w:rPr>
        <w:t>IBA Case Appeal</w:t>
      </w:r>
      <w:r w:rsidR="00107F65">
        <w:t>).</w:t>
      </w:r>
    </w:p>
  </w:footnote>
  <w:footnote w:id="22">
    <w:p w14:paraId="6C4DD585" w14:textId="4439BC4E" w:rsidR="00107F65" w:rsidRDefault="00107F65">
      <w:pPr>
        <w:pStyle w:val="FootnoteText"/>
      </w:pPr>
      <w:r>
        <w:rPr>
          <w:rStyle w:val="FootnoteReference"/>
        </w:rPr>
        <w:footnoteRef/>
      </w:r>
      <w:r>
        <w:t xml:space="preserve"> </w:t>
      </w:r>
      <w:proofErr w:type="spellStart"/>
      <w:r w:rsidRPr="00107F65">
        <w:rPr>
          <w:i/>
        </w:rPr>
        <w:t>Fibria</w:t>
      </w:r>
      <w:proofErr w:type="spellEnd"/>
      <w:r w:rsidRPr="00107F65">
        <w:rPr>
          <w:i/>
        </w:rPr>
        <w:t xml:space="preserve"> </w:t>
      </w:r>
      <w:proofErr w:type="spellStart"/>
      <w:r w:rsidRPr="00107F65">
        <w:rPr>
          <w:i/>
        </w:rPr>
        <w:t>Celulose</w:t>
      </w:r>
      <w:proofErr w:type="spellEnd"/>
      <w:r w:rsidRPr="00107F65">
        <w:rPr>
          <w:i/>
        </w:rPr>
        <w:t xml:space="preserve"> A/S v Pan Ocean Co Ltd</w:t>
      </w:r>
      <w:r>
        <w:t xml:space="preserve"> [2014] EWHC 2124 (</w:t>
      </w:r>
      <w:proofErr w:type="spellStart"/>
      <w:r>
        <w:t>Ch</w:t>
      </w:r>
      <w:proofErr w:type="spellEnd"/>
      <w:r>
        <w:t>).</w:t>
      </w:r>
    </w:p>
  </w:footnote>
  <w:footnote w:id="23">
    <w:p w14:paraId="5F030B0C" w14:textId="776E3593" w:rsidR="00C649CB" w:rsidRDefault="00C649CB">
      <w:pPr>
        <w:pStyle w:val="FootnoteText"/>
      </w:pPr>
      <w:r>
        <w:rPr>
          <w:rStyle w:val="FootnoteReference"/>
        </w:rPr>
        <w:footnoteRef/>
      </w:r>
      <w:r>
        <w:t xml:space="preserve"> Such as The Judicial Perspective, pp 25-31 at paras 70-92 and the UNCITRAL Guide to Enactment. </w:t>
      </w:r>
    </w:p>
  </w:footnote>
  <w:footnote w:id="24">
    <w:p w14:paraId="3EEDE701" w14:textId="7F567CFC" w:rsidR="00C649CB" w:rsidRDefault="00C649CB">
      <w:pPr>
        <w:pStyle w:val="FootnoteText"/>
      </w:pPr>
      <w:r>
        <w:rPr>
          <w:rStyle w:val="FootnoteReference"/>
        </w:rPr>
        <w:footnoteRef/>
      </w:r>
      <w:r>
        <w:t xml:space="preserve"> </w:t>
      </w:r>
      <w:r w:rsidRPr="00A95A48">
        <w:rPr>
          <w:i/>
        </w:rPr>
        <w:t xml:space="preserve">In the matter of </w:t>
      </w:r>
      <w:proofErr w:type="spellStart"/>
      <w:r w:rsidRPr="00A95A48">
        <w:rPr>
          <w:i/>
        </w:rPr>
        <w:t>Agroker</w:t>
      </w:r>
      <w:proofErr w:type="spellEnd"/>
      <w:r>
        <w:t xml:space="preserve"> DD [2017] EWHC 2791 (</w:t>
      </w:r>
      <w:proofErr w:type="spellStart"/>
      <w:r>
        <w:t>Ch</w:t>
      </w:r>
      <w:proofErr w:type="spellEnd"/>
      <w:r>
        <w:t xml:space="preserve">). It is to be noted that an appeal of this judgment has been lodged which has not yet resulted in a decision. This judgment therefore remains good law as at the time of this assessment. </w:t>
      </w:r>
    </w:p>
  </w:footnote>
  <w:footnote w:id="25">
    <w:p w14:paraId="33AFBE1D" w14:textId="00C88083" w:rsidR="00C649CB" w:rsidRPr="00ED6936" w:rsidRDefault="00C649CB">
      <w:pPr>
        <w:pStyle w:val="FootnoteText"/>
        <w:rPr>
          <w:highlight w:val="yellow"/>
        </w:rPr>
      </w:pPr>
      <w:r w:rsidRPr="00A1551D">
        <w:rPr>
          <w:rStyle w:val="FootnoteReference"/>
        </w:rPr>
        <w:footnoteRef/>
      </w:r>
      <w:r w:rsidRPr="00A1551D">
        <w:t xml:space="preserve"> </w:t>
      </w:r>
      <w:r w:rsidR="00A1551D" w:rsidRPr="00A1551D">
        <w:t xml:space="preserve">Pursuant to </w:t>
      </w:r>
      <w:r w:rsidRPr="00A1551D">
        <w:t>Article 75 of the</w:t>
      </w:r>
      <w:r w:rsidR="00A1551D">
        <w:t xml:space="preserve"> Law of Country A on Banks and Banking Activity</w:t>
      </w:r>
      <w:r w:rsidRPr="00A1551D">
        <w:t xml:space="preserve"> </w:t>
      </w:r>
      <w:r w:rsidR="00A1551D">
        <w:t>(</w:t>
      </w:r>
      <w:r w:rsidRPr="00A1551D">
        <w:rPr>
          <w:b/>
        </w:rPr>
        <w:t>LBBA</w:t>
      </w:r>
      <w:r w:rsidR="00A1551D">
        <w:t>)</w:t>
      </w:r>
    </w:p>
  </w:footnote>
  <w:footnote w:id="26">
    <w:p w14:paraId="2459B856" w14:textId="5C16698B" w:rsidR="00C649CB" w:rsidRPr="00A1551D" w:rsidRDefault="00C649CB">
      <w:pPr>
        <w:pStyle w:val="FootnoteText"/>
      </w:pPr>
      <w:r w:rsidRPr="00A1551D">
        <w:rPr>
          <w:rStyle w:val="FootnoteReference"/>
        </w:rPr>
        <w:footnoteRef/>
      </w:r>
      <w:r w:rsidRPr="00A1551D">
        <w:t xml:space="preserve"> </w:t>
      </w:r>
      <w:r w:rsidR="00A1551D" w:rsidRPr="00A1551D">
        <w:t>R</w:t>
      </w:r>
      <w:r w:rsidR="00A1551D">
        <w:t xml:space="preserve">elevant criteria for classification of insolvent under Article 76 includes the that (a) the bank's regulatory capital amount or standard capital ratios have reduced to one third of the minimum level specified by law; (ii) within 5 consecutive working days, the bank has failed to meet 2% or more of its obligations to depositors or creditors; and (iii) the bank, having been declared as troubled, then fails to comply with an order or decision of </w:t>
      </w:r>
      <w:r w:rsidR="00A1551D" w:rsidRPr="00A1551D">
        <w:t>the NB and / or request by the NB to remedy violations of the banking law.</w:t>
      </w:r>
    </w:p>
  </w:footnote>
  <w:footnote w:id="27">
    <w:p w14:paraId="6AAB0499" w14:textId="3804121A" w:rsidR="00C649CB" w:rsidRDefault="00C649CB">
      <w:pPr>
        <w:pStyle w:val="FootnoteText"/>
      </w:pPr>
      <w:r w:rsidRPr="00A1551D">
        <w:rPr>
          <w:rStyle w:val="FootnoteReference"/>
        </w:rPr>
        <w:footnoteRef/>
      </w:r>
      <w:r w:rsidRPr="00A1551D">
        <w:t xml:space="preserve"> </w:t>
      </w:r>
      <w:r w:rsidR="00A1551D" w:rsidRPr="00A1551D">
        <w:t>Pursuant to Article 48(3)</w:t>
      </w:r>
      <w:r w:rsidRPr="00A1551D">
        <w:t xml:space="preserve"> of the </w:t>
      </w:r>
      <w:r w:rsidR="00A1551D" w:rsidRPr="00A1551D">
        <w:t>DGF Law.</w:t>
      </w:r>
    </w:p>
  </w:footnote>
  <w:footnote w:id="28">
    <w:p w14:paraId="7DED8FFE" w14:textId="2EC27798" w:rsidR="00C649CB" w:rsidRDefault="00C649CB">
      <w:pPr>
        <w:pStyle w:val="FootnoteText"/>
      </w:pPr>
      <w:r>
        <w:rPr>
          <w:rStyle w:val="FootnoteReference"/>
        </w:rPr>
        <w:footnoteRef/>
      </w:r>
      <w:r>
        <w:t xml:space="preserve"> UNCITRAL Guide to Enactment, pp 39-40 at paras 69 to 70. </w:t>
      </w:r>
    </w:p>
  </w:footnote>
  <w:footnote w:id="29">
    <w:p w14:paraId="5E376DB9" w14:textId="0E094F3E" w:rsidR="00C649CB" w:rsidRDefault="00C649CB">
      <w:pPr>
        <w:pStyle w:val="FootnoteText"/>
      </w:pPr>
      <w:r>
        <w:rPr>
          <w:rStyle w:val="FootnoteReference"/>
        </w:rPr>
        <w:footnoteRef/>
      </w:r>
      <w:r>
        <w:t xml:space="preserve"> Collective relating to the Bank and its own creditors, not creditors of others as noted by </w:t>
      </w:r>
      <w:proofErr w:type="spellStart"/>
      <w:r>
        <w:t>Sberbank</w:t>
      </w:r>
      <w:proofErr w:type="spellEnd"/>
      <w:r>
        <w:t xml:space="preserve"> in </w:t>
      </w:r>
      <w:proofErr w:type="spellStart"/>
      <w:r w:rsidRPr="00A95A48">
        <w:rPr>
          <w:i/>
        </w:rPr>
        <w:t>Agroker</w:t>
      </w:r>
      <w:proofErr w:type="spellEnd"/>
    </w:p>
  </w:footnote>
  <w:footnote w:id="30">
    <w:p w14:paraId="5D7F6946" w14:textId="77777777" w:rsidR="00C649CB" w:rsidRDefault="00C649CB" w:rsidP="004B0C53">
      <w:pPr>
        <w:pStyle w:val="FootnoteText"/>
      </w:pPr>
      <w:r>
        <w:rPr>
          <w:rStyle w:val="FootnoteReference"/>
        </w:rPr>
        <w:footnoteRef/>
      </w:r>
      <w:r>
        <w:t xml:space="preserve"> P30 at para 85</w:t>
      </w:r>
    </w:p>
  </w:footnote>
  <w:footnote w:id="31">
    <w:p w14:paraId="006FC2CD" w14:textId="56436B1A" w:rsidR="00C649CB" w:rsidRDefault="00C649CB">
      <w:pPr>
        <w:pStyle w:val="FootnoteText"/>
      </w:pPr>
      <w:r>
        <w:rPr>
          <w:rStyle w:val="FootnoteReference"/>
        </w:rPr>
        <w:footnoteRef/>
      </w:r>
      <w:r>
        <w:t xml:space="preserve"> </w:t>
      </w:r>
      <w:proofErr w:type="spellStart"/>
      <w:r>
        <w:t>Betcorp</w:t>
      </w:r>
      <w:proofErr w:type="spellEnd"/>
      <w:r>
        <w:t xml:space="preserve"> Limited 400 B.R. 266, 283 -284</w:t>
      </w:r>
    </w:p>
  </w:footnote>
  <w:footnote w:id="32">
    <w:p w14:paraId="4FB46633" w14:textId="1A236A14" w:rsidR="00C649CB" w:rsidRPr="00CC2959" w:rsidRDefault="00C649CB">
      <w:pPr>
        <w:pStyle w:val="FootnoteText"/>
      </w:pPr>
      <w:r>
        <w:rPr>
          <w:rStyle w:val="FootnoteReference"/>
        </w:rPr>
        <w:footnoteRef/>
      </w:r>
      <w:r>
        <w:t xml:space="preserve"> This was clarified in </w:t>
      </w:r>
      <w:proofErr w:type="spellStart"/>
      <w:r w:rsidRPr="00CC2959">
        <w:rPr>
          <w:i/>
        </w:rPr>
        <w:t>Agroker</w:t>
      </w:r>
      <w:proofErr w:type="spellEnd"/>
      <w:r>
        <w:rPr>
          <w:i/>
        </w:rPr>
        <w:t xml:space="preserve"> </w:t>
      </w:r>
      <w:r>
        <w:t xml:space="preserve">by the English Court which held that the Model Law does not require "insolvency law" as a label; it being sufficient if the law deals with or addresses insolvency or severe financial distress. </w:t>
      </w:r>
    </w:p>
  </w:footnote>
  <w:footnote w:id="33">
    <w:p w14:paraId="1FF7C3CF" w14:textId="270E1A4E" w:rsidR="00C649CB" w:rsidRDefault="00C649CB">
      <w:pPr>
        <w:pStyle w:val="FootnoteText"/>
      </w:pPr>
      <w:r>
        <w:rPr>
          <w:rStyle w:val="FootnoteReference"/>
        </w:rPr>
        <w:footnoteRef/>
      </w:r>
      <w:r>
        <w:t xml:space="preserve"> Ibid at p6 applying "a purpose approach" and reading 'for the purpose' in context. </w:t>
      </w:r>
    </w:p>
  </w:footnote>
  <w:footnote w:id="34">
    <w:p w14:paraId="2A6B40B7" w14:textId="168D8368" w:rsidR="00C649CB" w:rsidRDefault="00C649CB" w:rsidP="00A95A48">
      <w:pPr>
        <w:pStyle w:val="FootnoteText"/>
      </w:pPr>
      <w:r>
        <w:rPr>
          <w:rStyle w:val="FootnoteReference"/>
        </w:rPr>
        <w:footnoteRef/>
      </w:r>
      <w:r>
        <w:t xml:space="preserve"> The Bank is clearly not solvent and proceedings involving a solvent debtor would not, as the English court held in </w:t>
      </w:r>
      <w:r w:rsidRPr="001B2C29">
        <w:rPr>
          <w:i/>
        </w:rPr>
        <w:t>In the matter of Sturgeon Centra</w:t>
      </w:r>
      <w:r>
        <w:rPr>
          <w:i/>
        </w:rPr>
        <w:t>l</w:t>
      </w:r>
      <w:r w:rsidRPr="001B2C29">
        <w:rPr>
          <w:i/>
        </w:rPr>
        <w:t xml:space="preserve"> Asia Balanced Fund Ltd</w:t>
      </w:r>
      <w:r>
        <w:t xml:space="preserve"> [2020] EWHC 1215 (</w:t>
      </w:r>
      <w:proofErr w:type="spellStart"/>
      <w:r>
        <w:t>Ch</w:t>
      </w:r>
      <w:proofErr w:type="spellEnd"/>
      <w:r>
        <w:t xml:space="preserve">), qualify as a "foreign proceeding" for the purpose of considering section 2(a) of the Model Law in the context of a recognition application as it would run contrary to the stated purpose and object of the Model Law. </w:t>
      </w:r>
    </w:p>
  </w:footnote>
  <w:footnote w:id="35">
    <w:p w14:paraId="4A0A94F3" w14:textId="39C868D2" w:rsidR="00C649CB" w:rsidRDefault="00C649CB">
      <w:pPr>
        <w:pStyle w:val="FootnoteText"/>
      </w:pPr>
      <w:r>
        <w:rPr>
          <w:rStyle w:val="FootnoteReference"/>
        </w:rPr>
        <w:footnoteRef/>
      </w:r>
      <w:r>
        <w:t xml:space="preserve"> Black's Legal Dictionary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07F65"/>
    <w:rsid w:val="00114082"/>
    <w:rsid w:val="0011473D"/>
    <w:rsid w:val="00115C85"/>
    <w:rsid w:val="00123855"/>
    <w:rsid w:val="00126A4D"/>
    <w:rsid w:val="001363F1"/>
    <w:rsid w:val="00140E0A"/>
    <w:rsid w:val="0014171F"/>
    <w:rsid w:val="0014622C"/>
    <w:rsid w:val="00151F58"/>
    <w:rsid w:val="00152348"/>
    <w:rsid w:val="0015456D"/>
    <w:rsid w:val="00155FA2"/>
    <w:rsid w:val="001578CB"/>
    <w:rsid w:val="00161F1B"/>
    <w:rsid w:val="00162829"/>
    <w:rsid w:val="00167C32"/>
    <w:rsid w:val="0017257C"/>
    <w:rsid w:val="001747C2"/>
    <w:rsid w:val="00175A00"/>
    <w:rsid w:val="00176079"/>
    <w:rsid w:val="0017652E"/>
    <w:rsid w:val="00180548"/>
    <w:rsid w:val="00180AC4"/>
    <w:rsid w:val="00180CCE"/>
    <w:rsid w:val="0018267A"/>
    <w:rsid w:val="00182779"/>
    <w:rsid w:val="001830DF"/>
    <w:rsid w:val="001900A8"/>
    <w:rsid w:val="00190FD2"/>
    <w:rsid w:val="0019177D"/>
    <w:rsid w:val="001966D9"/>
    <w:rsid w:val="001A24E7"/>
    <w:rsid w:val="001A2B78"/>
    <w:rsid w:val="001A7E9A"/>
    <w:rsid w:val="001B0F70"/>
    <w:rsid w:val="001B2C29"/>
    <w:rsid w:val="001B5016"/>
    <w:rsid w:val="001C45FC"/>
    <w:rsid w:val="001D02C5"/>
    <w:rsid w:val="001D4862"/>
    <w:rsid w:val="001E25B9"/>
    <w:rsid w:val="001E49E0"/>
    <w:rsid w:val="001E7B5A"/>
    <w:rsid w:val="001F7412"/>
    <w:rsid w:val="00201874"/>
    <w:rsid w:val="00202133"/>
    <w:rsid w:val="0020264E"/>
    <w:rsid w:val="0020725B"/>
    <w:rsid w:val="0021292C"/>
    <w:rsid w:val="00213A21"/>
    <w:rsid w:val="002175BA"/>
    <w:rsid w:val="0022599E"/>
    <w:rsid w:val="002305E8"/>
    <w:rsid w:val="0023198D"/>
    <w:rsid w:val="0023317E"/>
    <w:rsid w:val="00234F2C"/>
    <w:rsid w:val="00240B0E"/>
    <w:rsid w:val="0024116D"/>
    <w:rsid w:val="00241B44"/>
    <w:rsid w:val="00245EFB"/>
    <w:rsid w:val="00250E19"/>
    <w:rsid w:val="00252825"/>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0E4B"/>
    <w:rsid w:val="002A2A60"/>
    <w:rsid w:val="002A4322"/>
    <w:rsid w:val="002B1C45"/>
    <w:rsid w:val="002B2983"/>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56DF"/>
    <w:rsid w:val="00336903"/>
    <w:rsid w:val="0033768C"/>
    <w:rsid w:val="00337938"/>
    <w:rsid w:val="00340769"/>
    <w:rsid w:val="00341AA6"/>
    <w:rsid w:val="00342459"/>
    <w:rsid w:val="003427B9"/>
    <w:rsid w:val="00346B16"/>
    <w:rsid w:val="00356091"/>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C698A"/>
    <w:rsid w:val="003D0A6D"/>
    <w:rsid w:val="003E0B16"/>
    <w:rsid w:val="003E426F"/>
    <w:rsid w:val="003E67D1"/>
    <w:rsid w:val="00405DC1"/>
    <w:rsid w:val="0040710D"/>
    <w:rsid w:val="00410335"/>
    <w:rsid w:val="00410F96"/>
    <w:rsid w:val="0041139B"/>
    <w:rsid w:val="00413D3A"/>
    <w:rsid w:val="00415F1F"/>
    <w:rsid w:val="0042108F"/>
    <w:rsid w:val="00421473"/>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0C53"/>
    <w:rsid w:val="004B11FD"/>
    <w:rsid w:val="004B23A2"/>
    <w:rsid w:val="004D1A5A"/>
    <w:rsid w:val="004D2FFF"/>
    <w:rsid w:val="004D3721"/>
    <w:rsid w:val="004D398C"/>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33B8"/>
    <w:rsid w:val="005A726D"/>
    <w:rsid w:val="005B67AC"/>
    <w:rsid w:val="005C2C94"/>
    <w:rsid w:val="005C4865"/>
    <w:rsid w:val="005D43E0"/>
    <w:rsid w:val="005D58A3"/>
    <w:rsid w:val="005E1B79"/>
    <w:rsid w:val="005E5C28"/>
    <w:rsid w:val="005F026D"/>
    <w:rsid w:val="005F21F4"/>
    <w:rsid w:val="005F2D0B"/>
    <w:rsid w:val="005F48A6"/>
    <w:rsid w:val="005F4B31"/>
    <w:rsid w:val="006016F6"/>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2A4C"/>
    <w:rsid w:val="00654C2F"/>
    <w:rsid w:val="00657087"/>
    <w:rsid w:val="006575EC"/>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A73F5"/>
    <w:rsid w:val="006B435A"/>
    <w:rsid w:val="006B4C64"/>
    <w:rsid w:val="006B4FFC"/>
    <w:rsid w:val="006C5D23"/>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35A38"/>
    <w:rsid w:val="0074021B"/>
    <w:rsid w:val="007603F5"/>
    <w:rsid w:val="0076045E"/>
    <w:rsid w:val="007644EC"/>
    <w:rsid w:val="00764DB0"/>
    <w:rsid w:val="0076764D"/>
    <w:rsid w:val="007717D5"/>
    <w:rsid w:val="007725F6"/>
    <w:rsid w:val="0077498C"/>
    <w:rsid w:val="00782981"/>
    <w:rsid w:val="00784128"/>
    <w:rsid w:val="00784B4B"/>
    <w:rsid w:val="007854ED"/>
    <w:rsid w:val="00790994"/>
    <w:rsid w:val="00793173"/>
    <w:rsid w:val="007A3D4E"/>
    <w:rsid w:val="007A5891"/>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6956"/>
    <w:rsid w:val="008279C0"/>
    <w:rsid w:val="00835A7F"/>
    <w:rsid w:val="00835FD1"/>
    <w:rsid w:val="008447F4"/>
    <w:rsid w:val="0084683C"/>
    <w:rsid w:val="00853A74"/>
    <w:rsid w:val="00860E61"/>
    <w:rsid w:val="008723F3"/>
    <w:rsid w:val="00881DE6"/>
    <w:rsid w:val="008837A6"/>
    <w:rsid w:val="008906C5"/>
    <w:rsid w:val="0089145D"/>
    <w:rsid w:val="008A0C6E"/>
    <w:rsid w:val="008A4DF2"/>
    <w:rsid w:val="008A6CFE"/>
    <w:rsid w:val="008A7470"/>
    <w:rsid w:val="008A77DB"/>
    <w:rsid w:val="008B1A08"/>
    <w:rsid w:val="008B2DE3"/>
    <w:rsid w:val="008B5333"/>
    <w:rsid w:val="008B545F"/>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26149"/>
    <w:rsid w:val="009265EA"/>
    <w:rsid w:val="00930523"/>
    <w:rsid w:val="00931464"/>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1551D"/>
    <w:rsid w:val="00A2274A"/>
    <w:rsid w:val="00A235B7"/>
    <w:rsid w:val="00A27A7A"/>
    <w:rsid w:val="00A407EF"/>
    <w:rsid w:val="00A46B4C"/>
    <w:rsid w:val="00A5117B"/>
    <w:rsid w:val="00A54689"/>
    <w:rsid w:val="00A60074"/>
    <w:rsid w:val="00A6627C"/>
    <w:rsid w:val="00A71019"/>
    <w:rsid w:val="00A81029"/>
    <w:rsid w:val="00A83CB5"/>
    <w:rsid w:val="00A95533"/>
    <w:rsid w:val="00A95A48"/>
    <w:rsid w:val="00A96489"/>
    <w:rsid w:val="00AA3A42"/>
    <w:rsid w:val="00AA5311"/>
    <w:rsid w:val="00AB2B66"/>
    <w:rsid w:val="00AB685C"/>
    <w:rsid w:val="00AB6C2D"/>
    <w:rsid w:val="00AC08F7"/>
    <w:rsid w:val="00AC3839"/>
    <w:rsid w:val="00AC7082"/>
    <w:rsid w:val="00AD3FEA"/>
    <w:rsid w:val="00AD7BBD"/>
    <w:rsid w:val="00AF228E"/>
    <w:rsid w:val="00AF45C4"/>
    <w:rsid w:val="00AF72FF"/>
    <w:rsid w:val="00B04137"/>
    <w:rsid w:val="00B05061"/>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919FE"/>
    <w:rsid w:val="00BA0E44"/>
    <w:rsid w:val="00BA47C5"/>
    <w:rsid w:val="00BB0F2B"/>
    <w:rsid w:val="00BB122E"/>
    <w:rsid w:val="00BB7BB7"/>
    <w:rsid w:val="00BC61D2"/>
    <w:rsid w:val="00BE1A50"/>
    <w:rsid w:val="00BF50F7"/>
    <w:rsid w:val="00C02F29"/>
    <w:rsid w:val="00C10C13"/>
    <w:rsid w:val="00C17111"/>
    <w:rsid w:val="00C20747"/>
    <w:rsid w:val="00C20AFE"/>
    <w:rsid w:val="00C22A25"/>
    <w:rsid w:val="00C23B79"/>
    <w:rsid w:val="00C33D50"/>
    <w:rsid w:val="00C35671"/>
    <w:rsid w:val="00C35B77"/>
    <w:rsid w:val="00C370BD"/>
    <w:rsid w:val="00C370D3"/>
    <w:rsid w:val="00C376EB"/>
    <w:rsid w:val="00C4003A"/>
    <w:rsid w:val="00C46EC1"/>
    <w:rsid w:val="00C504E5"/>
    <w:rsid w:val="00C52693"/>
    <w:rsid w:val="00C53E2C"/>
    <w:rsid w:val="00C550C8"/>
    <w:rsid w:val="00C56B61"/>
    <w:rsid w:val="00C606C3"/>
    <w:rsid w:val="00C620F4"/>
    <w:rsid w:val="00C649CB"/>
    <w:rsid w:val="00C65CF9"/>
    <w:rsid w:val="00C666EC"/>
    <w:rsid w:val="00C67ECE"/>
    <w:rsid w:val="00C72848"/>
    <w:rsid w:val="00C7736C"/>
    <w:rsid w:val="00C82D87"/>
    <w:rsid w:val="00C841ED"/>
    <w:rsid w:val="00C85F17"/>
    <w:rsid w:val="00C8712A"/>
    <w:rsid w:val="00C91324"/>
    <w:rsid w:val="00C963D3"/>
    <w:rsid w:val="00CA6E0D"/>
    <w:rsid w:val="00CA76E9"/>
    <w:rsid w:val="00CB2CBB"/>
    <w:rsid w:val="00CB7CAC"/>
    <w:rsid w:val="00CC0EA0"/>
    <w:rsid w:val="00CC2959"/>
    <w:rsid w:val="00CC5335"/>
    <w:rsid w:val="00CC5BA4"/>
    <w:rsid w:val="00CC70BB"/>
    <w:rsid w:val="00CD4998"/>
    <w:rsid w:val="00CE1035"/>
    <w:rsid w:val="00CF2819"/>
    <w:rsid w:val="00CF4F9D"/>
    <w:rsid w:val="00CF70DC"/>
    <w:rsid w:val="00CF7445"/>
    <w:rsid w:val="00D148DC"/>
    <w:rsid w:val="00D17FDC"/>
    <w:rsid w:val="00D444C5"/>
    <w:rsid w:val="00D45AEA"/>
    <w:rsid w:val="00D4733D"/>
    <w:rsid w:val="00D56A37"/>
    <w:rsid w:val="00D57202"/>
    <w:rsid w:val="00D61B86"/>
    <w:rsid w:val="00D63EFD"/>
    <w:rsid w:val="00D64826"/>
    <w:rsid w:val="00D65AE9"/>
    <w:rsid w:val="00D80DF2"/>
    <w:rsid w:val="00D84752"/>
    <w:rsid w:val="00D85AB0"/>
    <w:rsid w:val="00D86B3B"/>
    <w:rsid w:val="00D86EFF"/>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10BF"/>
    <w:rsid w:val="00DD2E11"/>
    <w:rsid w:val="00DE03AF"/>
    <w:rsid w:val="00DE121C"/>
    <w:rsid w:val="00DE2A27"/>
    <w:rsid w:val="00DE3705"/>
    <w:rsid w:val="00DE42D2"/>
    <w:rsid w:val="00DE6633"/>
    <w:rsid w:val="00DF6555"/>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1016"/>
    <w:rsid w:val="00E6302B"/>
    <w:rsid w:val="00E6452F"/>
    <w:rsid w:val="00E64619"/>
    <w:rsid w:val="00E64F45"/>
    <w:rsid w:val="00E6742D"/>
    <w:rsid w:val="00E71CB0"/>
    <w:rsid w:val="00E73529"/>
    <w:rsid w:val="00E77C3D"/>
    <w:rsid w:val="00E850FE"/>
    <w:rsid w:val="00E909F0"/>
    <w:rsid w:val="00E90D47"/>
    <w:rsid w:val="00E92F68"/>
    <w:rsid w:val="00E93993"/>
    <w:rsid w:val="00E9597C"/>
    <w:rsid w:val="00EA0913"/>
    <w:rsid w:val="00EA0A2F"/>
    <w:rsid w:val="00EA201E"/>
    <w:rsid w:val="00EB146B"/>
    <w:rsid w:val="00EB45AC"/>
    <w:rsid w:val="00EC2AEA"/>
    <w:rsid w:val="00EC7B11"/>
    <w:rsid w:val="00EC7F95"/>
    <w:rsid w:val="00ED0BC4"/>
    <w:rsid w:val="00ED3771"/>
    <w:rsid w:val="00ED6936"/>
    <w:rsid w:val="00ED6A32"/>
    <w:rsid w:val="00EE4971"/>
    <w:rsid w:val="00EF090E"/>
    <w:rsid w:val="00F033DA"/>
    <w:rsid w:val="00F10EBE"/>
    <w:rsid w:val="00F11AAB"/>
    <w:rsid w:val="00F13FB1"/>
    <w:rsid w:val="00F17C87"/>
    <w:rsid w:val="00F223E7"/>
    <w:rsid w:val="00F2288D"/>
    <w:rsid w:val="00F25779"/>
    <w:rsid w:val="00F2750A"/>
    <w:rsid w:val="00F27CD8"/>
    <w:rsid w:val="00F30351"/>
    <w:rsid w:val="00F324E2"/>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0DB0"/>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5613"/>
    <w:rsid w:val="00FE7977"/>
    <w:rsid w:val="00FF16B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E04D-C428-4361-858C-61A0008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Farrah Sbaiti</cp:lastModifiedBy>
  <cp:revision>3</cp:revision>
  <cp:lastPrinted>2019-08-27T05:42:00Z</cp:lastPrinted>
  <dcterms:created xsi:type="dcterms:W3CDTF">2022-02-22T21:45:00Z</dcterms:created>
  <dcterms:modified xsi:type="dcterms:W3CDTF">2022-02-22T21:49:00Z</dcterms:modified>
</cp:coreProperties>
</file>