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583B73" w:rsidRDefault="00AE5B6F" w:rsidP="00B04033">
      <w:pPr>
        <w:pStyle w:val="ListParagraph"/>
        <w:numPr>
          <w:ilvl w:val="0"/>
          <w:numId w:val="1"/>
        </w:numPr>
        <w:ind w:left="426"/>
        <w:jc w:val="both"/>
        <w:rPr>
          <w:rFonts w:ascii="Arial" w:hAnsi="Arial" w:cs="Arial"/>
          <w:sz w:val="22"/>
          <w:szCs w:val="22"/>
          <w:highlight w:val="yellow"/>
          <w:lang w:val="en-GB"/>
        </w:rPr>
      </w:pPr>
      <w:r w:rsidRPr="00583B73">
        <w:rPr>
          <w:rFonts w:ascii="Arial" w:hAnsi="Arial" w:cs="Arial"/>
          <w:sz w:val="22"/>
          <w:szCs w:val="22"/>
          <w:highlight w:val="yellow"/>
          <w:lang w:val="en-GB"/>
        </w:rPr>
        <w:t>w</w:t>
      </w:r>
      <w:r w:rsidR="00C91062" w:rsidRPr="00583B73">
        <w:rPr>
          <w:rFonts w:ascii="Arial" w:hAnsi="Arial" w:cs="Arial"/>
          <w:sz w:val="22"/>
          <w:szCs w:val="22"/>
          <w:highlight w:val="yellow"/>
          <w:lang w:val="en-GB"/>
        </w:rPr>
        <w:t>ithin 8 weeks of the commencement of the administration</w:t>
      </w:r>
      <w:r w:rsidR="00763348" w:rsidRPr="00583B73">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C957E3" w:rsidRDefault="00E443D7" w:rsidP="00B04033">
      <w:pPr>
        <w:pStyle w:val="ListParagraph"/>
        <w:numPr>
          <w:ilvl w:val="0"/>
          <w:numId w:val="2"/>
        </w:numPr>
        <w:ind w:left="426"/>
        <w:jc w:val="both"/>
        <w:rPr>
          <w:rFonts w:ascii="Arial" w:hAnsi="Arial" w:cs="Arial"/>
          <w:sz w:val="22"/>
          <w:szCs w:val="22"/>
          <w:highlight w:val="yellow"/>
          <w:lang w:val="en-GB"/>
        </w:rPr>
      </w:pPr>
      <w:r w:rsidRPr="00C957E3">
        <w:rPr>
          <w:rFonts w:ascii="Arial" w:hAnsi="Arial" w:cs="Arial"/>
          <w:sz w:val="22"/>
          <w:szCs w:val="22"/>
          <w:highlight w:val="yellow"/>
          <w:lang w:val="en-GB"/>
        </w:rPr>
        <w:t>One year</w:t>
      </w:r>
      <w:r w:rsidR="00763348" w:rsidRPr="00C957E3">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AA6647" w:rsidRDefault="00AE5B6F" w:rsidP="00B04033">
      <w:pPr>
        <w:pStyle w:val="ListParagraph"/>
        <w:numPr>
          <w:ilvl w:val="0"/>
          <w:numId w:val="3"/>
        </w:numPr>
        <w:ind w:left="426"/>
        <w:jc w:val="both"/>
        <w:rPr>
          <w:rFonts w:ascii="Arial" w:hAnsi="Arial" w:cs="Arial"/>
          <w:sz w:val="22"/>
          <w:szCs w:val="22"/>
          <w:highlight w:val="yellow"/>
          <w:lang w:val="en-GB"/>
        </w:rPr>
      </w:pPr>
      <w:r w:rsidRPr="00AA6647">
        <w:rPr>
          <w:rFonts w:ascii="Arial" w:hAnsi="Arial" w:cs="Arial"/>
          <w:sz w:val="22"/>
          <w:szCs w:val="22"/>
          <w:highlight w:val="yellow"/>
          <w:lang w:val="en-GB"/>
        </w:rPr>
        <w:t>T</w:t>
      </w:r>
      <w:r w:rsidR="008D1616" w:rsidRPr="00AA6647">
        <w:rPr>
          <w:rFonts w:ascii="Arial" w:hAnsi="Arial" w:cs="Arial"/>
          <w:sz w:val="22"/>
          <w:szCs w:val="22"/>
          <w:highlight w:val="yellow"/>
          <w:lang w:val="en-GB"/>
        </w:rPr>
        <w:t>he company is, or is likely to become, unable to pay their debts, as defined under s</w:t>
      </w:r>
      <w:r w:rsidR="00E833F4" w:rsidRPr="00AA6647">
        <w:rPr>
          <w:rFonts w:ascii="Arial" w:hAnsi="Arial" w:cs="Arial"/>
          <w:sz w:val="22"/>
          <w:szCs w:val="22"/>
          <w:highlight w:val="yellow"/>
          <w:lang w:val="en-GB"/>
        </w:rPr>
        <w:t>ection</w:t>
      </w:r>
      <w:r w:rsidR="008D1616" w:rsidRPr="00AA6647">
        <w:rPr>
          <w:rFonts w:ascii="Arial" w:hAnsi="Arial" w:cs="Arial"/>
          <w:sz w:val="22"/>
          <w:szCs w:val="22"/>
          <w:highlight w:val="yellow"/>
          <w:lang w:val="en-GB"/>
        </w:rPr>
        <w:t xml:space="preserve"> 123 of the Insolvency Act 1986</w:t>
      </w:r>
      <w:r w:rsidR="00763348" w:rsidRPr="00AA6647">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8D611A" w:rsidRDefault="00C91062" w:rsidP="00B04033">
      <w:pPr>
        <w:pStyle w:val="ListParagraph"/>
        <w:numPr>
          <w:ilvl w:val="0"/>
          <w:numId w:val="4"/>
        </w:numPr>
        <w:ind w:left="426"/>
        <w:jc w:val="both"/>
        <w:rPr>
          <w:rFonts w:ascii="Arial" w:hAnsi="Arial" w:cs="Arial"/>
          <w:sz w:val="22"/>
          <w:szCs w:val="22"/>
          <w:highlight w:val="yellow"/>
          <w:lang w:val="en-GB"/>
        </w:rPr>
      </w:pPr>
      <w:r w:rsidRPr="008D611A">
        <w:rPr>
          <w:rFonts w:ascii="Arial" w:hAnsi="Arial" w:cs="Arial"/>
          <w:sz w:val="22"/>
          <w:szCs w:val="22"/>
          <w:highlight w:val="yellow"/>
          <w:lang w:val="en-GB"/>
        </w:rPr>
        <w:t>The purchaser</w:t>
      </w:r>
      <w:r w:rsidR="00763348" w:rsidRPr="008D611A">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E70FFC" w:rsidRDefault="00BA1CFD" w:rsidP="00B04033">
      <w:pPr>
        <w:pStyle w:val="ListParagraph"/>
        <w:numPr>
          <w:ilvl w:val="0"/>
          <w:numId w:val="5"/>
        </w:numPr>
        <w:ind w:left="426"/>
        <w:jc w:val="both"/>
        <w:rPr>
          <w:rFonts w:ascii="Arial" w:hAnsi="Arial" w:cs="Arial"/>
          <w:sz w:val="22"/>
          <w:szCs w:val="22"/>
          <w:highlight w:val="yellow"/>
          <w:lang w:val="en-GB"/>
        </w:rPr>
      </w:pPr>
      <w:r w:rsidRPr="00E70FFC">
        <w:rPr>
          <w:rFonts w:ascii="Arial" w:hAnsi="Arial" w:cs="Arial"/>
          <w:sz w:val="22"/>
          <w:szCs w:val="22"/>
          <w:highlight w:val="yellow"/>
          <w:lang w:val="en-GB"/>
        </w:rPr>
        <w:t>Administration</w:t>
      </w:r>
      <w:r w:rsidR="00763348" w:rsidRPr="00E70FFC">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C9652B" w:rsidRDefault="00BA1CFD" w:rsidP="00B04033">
      <w:pPr>
        <w:pStyle w:val="ListParagraph"/>
        <w:numPr>
          <w:ilvl w:val="0"/>
          <w:numId w:val="6"/>
        </w:numPr>
        <w:ind w:left="426"/>
        <w:jc w:val="both"/>
        <w:rPr>
          <w:rFonts w:ascii="Arial" w:hAnsi="Arial" w:cs="Arial"/>
          <w:sz w:val="22"/>
          <w:szCs w:val="22"/>
          <w:highlight w:val="yellow"/>
          <w:lang w:val="en-GB"/>
        </w:rPr>
      </w:pPr>
      <w:r w:rsidRPr="00C9652B">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287B7D" w:rsidRDefault="00BA1CFD" w:rsidP="00B04033">
      <w:pPr>
        <w:pStyle w:val="ListParagraph"/>
        <w:numPr>
          <w:ilvl w:val="0"/>
          <w:numId w:val="7"/>
        </w:numPr>
        <w:ind w:left="426"/>
        <w:jc w:val="both"/>
        <w:rPr>
          <w:rFonts w:ascii="Arial" w:hAnsi="Arial" w:cs="Arial"/>
          <w:sz w:val="22"/>
          <w:szCs w:val="22"/>
          <w:highlight w:val="yellow"/>
          <w:lang w:val="en-GB"/>
        </w:rPr>
      </w:pPr>
      <w:r w:rsidRPr="00287B7D">
        <w:rPr>
          <w:rFonts w:ascii="Arial" w:hAnsi="Arial" w:cs="Arial"/>
          <w:sz w:val="22"/>
          <w:szCs w:val="22"/>
          <w:highlight w:val="yellow"/>
          <w:lang w:val="en-GB"/>
        </w:rPr>
        <w:t>Breach of fiduciary duty</w:t>
      </w:r>
      <w:r w:rsidR="00763348" w:rsidRPr="00287B7D">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991CFD" w:rsidRDefault="00876F56" w:rsidP="00B04033">
      <w:pPr>
        <w:pStyle w:val="ListParagraph"/>
        <w:numPr>
          <w:ilvl w:val="0"/>
          <w:numId w:val="8"/>
        </w:numPr>
        <w:ind w:left="426"/>
        <w:jc w:val="both"/>
        <w:rPr>
          <w:rFonts w:ascii="Arial" w:hAnsi="Arial" w:cs="Arial"/>
          <w:sz w:val="22"/>
          <w:szCs w:val="22"/>
          <w:highlight w:val="yellow"/>
          <w:lang w:val="en-GB"/>
        </w:rPr>
      </w:pPr>
      <w:r w:rsidRPr="00991CFD">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DC72B0" w:rsidRDefault="00E833F4" w:rsidP="00B04033">
      <w:pPr>
        <w:pStyle w:val="ListParagraph"/>
        <w:numPr>
          <w:ilvl w:val="0"/>
          <w:numId w:val="9"/>
        </w:numPr>
        <w:ind w:left="426"/>
        <w:jc w:val="both"/>
        <w:rPr>
          <w:rFonts w:ascii="Arial" w:hAnsi="Arial" w:cs="Arial"/>
          <w:sz w:val="22"/>
          <w:szCs w:val="22"/>
          <w:highlight w:val="yellow"/>
          <w:lang w:val="en-GB"/>
        </w:rPr>
      </w:pPr>
      <w:r w:rsidRPr="00DC72B0">
        <w:rPr>
          <w:rFonts w:ascii="Arial" w:hAnsi="Arial" w:cs="Arial"/>
          <w:sz w:val="22"/>
          <w:szCs w:val="22"/>
          <w:highlight w:val="yellow"/>
          <w:lang w:val="en-GB"/>
        </w:rPr>
        <w:t>A</w:t>
      </w:r>
      <w:r w:rsidR="000D10C6" w:rsidRPr="00DC72B0">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0451F8" w:rsidRDefault="0020204E" w:rsidP="00B04033">
      <w:pPr>
        <w:pStyle w:val="ListParagraph"/>
        <w:numPr>
          <w:ilvl w:val="0"/>
          <w:numId w:val="10"/>
        </w:numPr>
        <w:ind w:left="426"/>
        <w:jc w:val="both"/>
        <w:rPr>
          <w:rFonts w:ascii="Arial" w:hAnsi="Arial" w:cs="Arial"/>
          <w:sz w:val="22"/>
          <w:szCs w:val="22"/>
          <w:highlight w:val="yellow"/>
          <w:lang w:val="en-GB"/>
        </w:rPr>
      </w:pPr>
      <w:r w:rsidRPr="000451F8">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3D2AD1B1" w:rsidR="00AE5B6F" w:rsidRPr="00BE5BE7" w:rsidRDefault="007F3085" w:rsidP="00ED3441">
      <w:pPr>
        <w:pStyle w:val="ListParagraph"/>
        <w:numPr>
          <w:ilvl w:val="0"/>
          <w:numId w:val="18"/>
        </w:numPr>
        <w:ind w:left="360" w:hanging="360"/>
        <w:jc w:val="both"/>
        <w:rPr>
          <w:rFonts w:ascii="Arial" w:hAnsi="Arial" w:cs="Arial"/>
          <w:color w:val="7B7B7B" w:themeColor="accent3" w:themeShade="BF"/>
          <w:sz w:val="22"/>
          <w:szCs w:val="22"/>
          <w:lang w:val="en-GB"/>
        </w:rPr>
      </w:pPr>
      <w:r>
        <w:rPr>
          <w:rFonts w:ascii="Arial" w:hAnsi="Arial" w:cs="Arial"/>
          <w:sz w:val="22"/>
          <w:szCs w:val="22"/>
          <w:lang w:val="en-GB"/>
        </w:rPr>
        <w:t>Under section 423</w:t>
      </w:r>
      <w:r w:rsidR="00C55F20">
        <w:rPr>
          <w:rFonts w:ascii="Arial" w:hAnsi="Arial" w:cs="Arial"/>
          <w:sz w:val="22"/>
          <w:szCs w:val="22"/>
          <w:lang w:val="en-GB"/>
        </w:rPr>
        <w:t xml:space="preserve"> of the Insolvency Act</w:t>
      </w:r>
      <w:r>
        <w:rPr>
          <w:rFonts w:ascii="Arial" w:hAnsi="Arial" w:cs="Arial"/>
          <w:sz w:val="22"/>
          <w:szCs w:val="22"/>
          <w:lang w:val="en-GB"/>
        </w:rPr>
        <w:t xml:space="preserve">, </w:t>
      </w:r>
      <w:r w:rsidR="00174610">
        <w:rPr>
          <w:rFonts w:ascii="Arial" w:hAnsi="Arial" w:cs="Arial"/>
          <w:sz w:val="22"/>
          <w:szCs w:val="22"/>
          <w:lang w:val="en-GB"/>
        </w:rPr>
        <w:t xml:space="preserve">in a CVA </w:t>
      </w:r>
      <w:r w:rsidR="002B4302">
        <w:rPr>
          <w:rFonts w:ascii="Arial" w:hAnsi="Arial" w:cs="Arial"/>
          <w:sz w:val="22"/>
          <w:szCs w:val="22"/>
          <w:lang w:val="en-GB"/>
        </w:rPr>
        <w:t xml:space="preserve">if the creditor is bound by the voluntary arrangement the supervisor may </w:t>
      </w:r>
      <w:proofErr w:type="gramStart"/>
      <w:r w:rsidR="002B4302">
        <w:rPr>
          <w:rFonts w:ascii="Arial" w:hAnsi="Arial" w:cs="Arial"/>
          <w:sz w:val="22"/>
          <w:szCs w:val="22"/>
          <w:lang w:val="en-GB"/>
        </w:rPr>
        <w:t>take action</w:t>
      </w:r>
      <w:proofErr w:type="gramEnd"/>
      <w:r w:rsidR="002B4302">
        <w:rPr>
          <w:rFonts w:ascii="Arial" w:hAnsi="Arial" w:cs="Arial"/>
          <w:sz w:val="22"/>
          <w:szCs w:val="22"/>
          <w:lang w:val="en-GB"/>
        </w:rPr>
        <w:t xml:space="preserve"> or again any victim of the transaction</w:t>
      </w:r>
      <w:r w:rsidR="00BE5BE7">
        <w:rPr>
          <w:rFonts w:ascii="Arial" w:hAnsi="Arial" w:cs="Arial"/>
          <w:sz w:val="22"/>
          <w:szCs w:val="22"/>
          <w:lang w:val="en-GB"/>
        </w:rPr>
        <w:t>.</w:t>
      </w:r>
      <w:r w:rsidR="002B4302">
        <w:rPr>
          <w:rFonts w:ascii="Arial" w:hAnsi="Arial" w:cs="Arial"/>
          <w:sz w:val="22"/>
          <w:szCs w:val="22"/>
          <w:lang w:val="en-GB"/>
        </w:rPr>
        <w:t xml:space="preserve"> </w:t>
      </w:r>
      <w:r w:rsidR="00BE5BE7">
        <w:rPr>
          <w:rFonts w:ascii="Arial" w:hAnsi="Arial" w:cs="Arial"/>
          <w:sz w:val="22"/>
          <w:szCs w:val="22"/>
          <w:lang w:val="en-GB"/>
        </w:rPr>
        <w:t xml:space="preserve">Additionally, </w:t>
      </w:r>
      <w:r w:rsidR="00BE5BE7">
        <w:rPr>
          <w:rFonts w:ascii="Arial" w:hAnsi="Arial" w:cs="Arial"/>
          <w:sz w:val="22"/>
          <w:szCs w:val="22"/>
          <w:lang w:val="en-GB"/>
        </w:rPr>
        <w:t xml:space="preserve">where the Company is being wound up or is otherwise in an insolvency process the Liquidator, the Administrator, the Official </w:t>
      </w:r>
      <w:proofErr w:type="gramStart"/>
      <w:r w:rsidR="00BE5BE7">
        <w:rPr>
          <w:rFonts w:ascii="Arial" w:hAnsi="Arial" w:cs="Arial"/>
          <w:sz w:val="22"/>
          <w:szCs w:val="22"/>
          <w:lang w:val="en-GB"/>
        </w:rPr>
        <w:t>Receiver</w:t>
      </w:r>
      <w:proofErr w:type="gramEnd"/>
      <w:r w:rsidR="00BE5BE7">
        <w:rPr>
          <w:rFonts w:ascii="Arial" w:hAnsi="Arial" w:cs="Arial"/>
          <w:sz w:val="22"/>
          <w:szCs w:val="22"/>
          <w:lang w:val="en-GB"/>
        </w:rPr>
        <w:t xml:space="preserve"> and any victim of the transaction so long as they have the permission of the court.</w:t>
      </w:r>
      <w:r w:rsidR="00BE5BE7">
        <w:rPr>
          <w:rFonts w:ascii="Arial" w:hAnsi="Arial" w:cs="Arial"/>
          <w:sz w:val="22"/>
          <w:szCs w:val="22"/>
          <w:lang w:val="en-GB"/>
        </w:rPr>
        <w:t xml:space="preserve"> Finally, </w:t>
      </w:r>
      <w:r w:rsidR="00BE5BE7">
        <w:rPr>
          <w:rFonts w:ascii="Arial" w:hAnsi="Arial" w:cs="Arial"/>
          <w:sz w:val="22"/>
          <w:szCs w:val="22"/>
          <w:lang w:val="en-GB"/>
        </w:rPr>
        <w:t>in any other circumstances a victim of the transaction.</w:t>
      </w:r>
    </w:p>
    <w:p w14:paraId="53334D08" w14:textId="77777777" w:rsidR="00BE5BE7" w:rsidRPr="00F635B2" w:rsidRDefault="00BE5BE7" w:rsidP="00BE5BE7">
      <w:pPr>
        <w:pStyle w:val="ListParagraph"/>
        <w:ind w:left="360"/>
        <w:jc w:val="both"/>
        <w:rPr>
          <w:rFonts w:ascii="Arial" w:hAnsi="Arial" w:cs="Arial"/>
          <w:color w:val="7B7B7B" w:themeColor="accent3" w:themeShade="BF"/>
          <w:sz w:val="22"/>
          <w:szCs w:val="22"/>
          <w:lang w:val="en-GB"/>
        </w:rPr>
      </w:pPr>
    </w:p>
    <w:p w14:paraId="20B20C2D" w14:textId="632F81FB" w:rsidR="00F635B2" w:rsidRDefault="00D22234" w:rsidP="00ED3441">
      <w:pPr>
        <w:pStyle w:val="ListParagraph"/>
        <w:numPr>
          <w:ilvl w:val="0"/>
          <w:numId w:val="18"/>
        </w:numPr>
        <w:ind w:left="360" w:hanging="360"/>
        <w:jc w:val="both"/>
        <w:rPr>
          <w:rFonts w:ascii="Arial" w:hAnsi="Arial" w:cs="Arial"/>
          <w:sz w:val="22"/>
          <w:szCs w:val="22"/>
          <w:lang w:val="en-GB"/>
        </w:rPr>
      </w:pPr>
      <w:r w:rsidRPr="00C55F20">
        <w:rPr>
          <w:rFonts w:ascii="Arial" w:hAnsi="Arial" w:cs="Arial"/>
          <w:sz w:val="22"/>
          <w:szCs w:val="22"/>
          <w:lang w:val="en-GB"/>
        </w:rPr>
        <w:t>Under section 6 of th</w:t>
      </w:r>
      <w:r w:rsidR="00C55F20" w:rsidRPr="00C55F20">
        <w:rPr>
          <w:rFonts w:ascii="Arial" w:hAnsi="Arial" w:cs="Arial"/>
          <w:sz w:val="22"/>
          <w:szCs w:val="22"/>
          <w:lang w:val="en-GB"/>
        </w:rPr>
        <w:t>e CDDA either th</w:t>
      </w:r>
      <w:r w:rsidR="00924CE8">
        <w:rPr>
          <w:rFonts w:ascii="Arial" w:hAnsi="Arial" w:cs="Arial"/>
          <w:sz w:val="22"/>
          <w:szCs w:val="22"/>
          <w:lang w:val="en-GB"/>
        </w:rPr>
        <w:t xml:space="preserve">e </w:t>
      </w:r>
      <w:r w:rsidR="00C55F20" w:rsidRPr="00C55F20">
        <w:rPr>
          <w:rFonts w:ascii="Arial" w:hAnsi="Arial" w:cs="Arial"/>
          <w:sz w:val="22"/>
          <w:szCs w:val="22"/>
          <w:lang w:val="en-GB"/>
        </w:rPr>
        <w:t>Court or the secretary of state has the power to bring action for disqualification.</w:t>
      </w:r>
      <w:r w:rsidRPr="00C55F20">
        <w:rPr>
          <w:rFonts w:ascii="Arial" w:hAnsi="Arial" w:cs="Arial"/>
          <w:sz w:val="22"/>
          <w:szCs w:val="22"/>
          <w:lang w:val="en-GB"/>
        </w:rPr>
        <w:t xml:space="preserve"> </w:t>
      </w:r>
    </w:p>
    <w:p w14:paraId="19582C19" w14:textId="77777777" w:rsidR="00C55F20" w:rsidRPr="00C55F20" w:rsidRDefault="00C55F20" w:rsidP="00C55F20">
      <w:pPr>
        <w:pStyle w:val="ListParagraph"/>
        <w:rPr>
          <w:rFonts w:ascii="Arial" w:hAnsi="Arial" w:cs="Arial"/>
          <w:sz w:val="22"/>
          <w:szCs w:val="22"/>
          <w:lang w:val="en-GB"/>
        </w:rPr>
      </w:pPr>
    </w:p>
    <w:p w14:paraId="434DC3AA" w14:textId="0AEE5882" w:rsidR="00C55F20" w:rsidRPr="00C55F20" w:rsidRDefault="00924CE8" w:rsidP="00ED3441">
      <w:pPr>
        <w:pStyle w:val="ListParagraph"/>
        <w:numPr>
          <w:ilvl w:val="0"/>
          <w:numId w:val="18"/>
        </w:numPr>
        <w:ind w:left="360" w:hanging="360"/>
        <w:jc w:val="both"/>
        <w:rPr>
          <w:rFonts w:ascii="Arial" w:hAnsi="Arial" w:cs="Arial"/>
          <w:sz w:val="22"/>
          <w:szCs w:val="22"/>
          <w:lang w:val="en-GB"/>
        </w:rPr>
      </w:pPr>
      <w:r>
        <w:rPr>
          <w:rFonts w:ascii="Arial" w:hAnsi="Arial" w:cs="Arial"/>
          <w:sz w:val="22"/>
          <w:szCs w:val="22"/>
          <w:lang w:val="en-GB"/>
        </w:rPr>
        <w:t>Under section 246ZB of the Insolvency Act only an Administrator or Liquidator can bring a claim of wrongful trading to the Court</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517F0DC4" w:rsidR="00FF5098" w:rsidRPr="00390700" w:rsidRDefault="00304FAA" w:rsidP="00FF5098">
      <w:pPr>
        <w:jc w:val="both"/>
        <w:rPr>
          <w:rFonts w:ascii="Arial" w:hAnsi="Arial" w:cs="Arial"/>
          <w:sz w:val="22"/>
          <w:szCs w:val="22"/>
          <w:lang w:val="en-GB"/>
        </w:rPr>
      </w:pPr>
      <w:r w:rsidRPr="00390700">
        <w:rPr>
          <w:rFonts w:ascii="Arial" w:hAnsi="Arial" w:cs="Arial"/>
          <w:sz w:val="22"/>
          <w:szCs w:val="22"/>
          <w:lang w:val="en-GB"/>
        </w:rPr>
        <w:t>The five qualifying decision procedures are</w:t>
      </w:r>
      <w:r w:rsidR="00432788" w:rsidRPr="00390700">
        <w:rPr>
          <w:rFonts w:ascii="Arial" w:hAnsi="Arial" w:cs="Arial"/>
          <w:sz w:val="22"/>
          <w:szCs w:val="22"/>
          <w:lang w:val="en-GB"/>
        </w:rPr>
        <w:t xml:space="preserve"> set out in Rule 15.3 and are</w:t>
      </w:r>
      <w:r w:rsidRPr="00390700">
        <w:rPr>
          <w:rFonts w:ascii="Arial" w:hAnsi="Arial" w:cs="Arial"/>
          <w:sz w:val="22"/>
          <w:szCs w:val="22"/>
          <w:lang w:val="en-GB"/>
        </w:rPr>
        <w:t>:</w:t>
      </w:r>
    </w:p>
    <w:p w14:paraId="0CAF2D42" w14:textId="123FF3FE" w:rsidR="00304FAA" w:rsidRPr="00390700" w:rsidRDefault="00304FAA" w:rsidP="00FF5098">
      <w:pPr>
        <w:jc w:val="both"/>
        <w:rPr>
          <w:rFonts w:ascii="Arial" w:hAnsi="Arial" w:cs="Arial"/>
          <w:sz w:val="22"/>
          <w:szCs w:val="22"/>
          <w:lang w:val="en-GB"/>
        </w:rPr>
      </w:pPr>
    </w:p>
    <w:p w14:paraId="3A801E4E" w14:textId="55E175B7" w:rsidR="00432788" w:rsidRPr="00390700" w:rsidRDefault="00390700" w:rsidP="00390700">
      <w:pPr>
        <w:pStyle w:val="ListParagraph"/>
        <w:numPr>
          <w:ilvl w:val="0"/>
          <w:numId w:val="20"/>
        </w:numPr>
        <w:ind w:left="360" w:hanging="360"/>
        <w:jc w:val="both"/>
        <w:rPr>
          <w:rFonts w:ascii="Arial" w:hAnsi="Arial" w:cs="Arial"/>
          <w:sz w:val="22"/>
          <w:szCs w:val="22"/>
          <w:lang w:val="en-GB"/>
        </w:rPr>
      </w:pPr>
      <w:r w:rsidRPr="00390700">
        <w:rPr>
          <w:rFonts w:ascii="Arial" w:hAnsi="Arial" w:cs="Arial"/>
          <w:sz w:val="22"/>
          <w:szCs w:val="22"/>
          <w:lang w:val="en-GB"/>
        </w:rPr>
        <w:t>Correspondence</w:t>
      </w:r>
    </w:p>
    <w:p w14:paraId="456DCC91" w14:textId="0CE77576" w:rsidR="00390700" w:rsidRPr="00390700" w:rsidRDefault="00390700" w:rsidP="00390700">
      <w:pPr>
        <w:pStyle w:val="ListParagraph"/>
        <w:numPr>
          <w:ilvl w:val="0"/>
          <w:numId w:val="20"/>
        </w:numPr>
        <w:ind w:left="360" w:hanging="360"/>
        <w:jc w:val="both"/>
        <w:rPr>
          <w:rFonts w:ascii="Arial" w:hAnsi="Arial" w:cs="Arial"/>
          <w:sz w:val="22"/>
          <w:szCs w:val="22"/>
          <w:lang w:val="en-GB"/>
        </w:rPr>
      </w:pPr>
      <w:r w:rsidRPr="00390700">
        <w:rPr>
          <w:rFonts w:ascii="Arial" w:hAnsi="Arial" w:cs="Arial"/>
          <w:sz w:val="22"/>
          <w:szCs w:val="22"/>
          <w:lang w:val="en-GB"/>
        </w:rPr>
        <w:t>Electronic voting</w:t>
      </w:r>
    </w:p>
    <w:p w14:paraId="2691EE22" w14:textId="68C5C0B6" w:rsidR="00390700" w:rsidRPr="00390700" w:rsidRDefault="00390700" w:rsidP="00390700">
      <w:pPr>
        <w:pStyle w:val="ListParagraph"/>
        <w:numPr>
          <w:ilvl w:val="0"/>
          <w:numId w:val="20"/>
        </w:numPr>
        <w:ind w:left="360" w:hanging="360"/>
        <w:jc w:val="both"/>
        <w:rPr>
          <w:rFonts w:ascii="Arial" w:hAnsi="Arial" w:cs="Arial"/>
          <w:sz w:val="22"/>
          <w:szCs w:val="22"/>
          <w:lang w:val="en-GB"/>
        </w:rPr>
      </w:pPr>
      <w:r w:rsidRPr="00390700">
        <w:rPr>
          <w:rFonts w:ascii="Arial" w:hAnsi="Arial" w:cs="Arial"/>
          <w:sz w:val="22"/>
          <w:szCs w:val="22"/>
          <w:lang w:val="en-GB"/>
        </w:rPr>
        <w:t>Virtual meeting</w:t>
      </w:r>
    </w:p>
    <w:p w14:paraId="057F037A" w14:textId="07EE48C6" w:rsidR="00390700" w:rsidRPr="00390700" w:rsidRDefault="00390700" w:rsidP="00390700">
      <w:pPr>
        <w:pStyle w:val="ListParagraph"/>
        <w:numPr>
          <w:ilvl w:val="0"/>
          <w:numId w:val="20"/>
        </w:numPr>
        <w:ind w:left="360" w:hanging="360"/>
        <w:jc w:val="both"/>
        <w:rPr>
          <w:rFonts w:ascii="Arial" w:hAnsi="Arial" w:cs="Arial"/>
          <w:sz w:val="22"/>
          <w:szCs w:val="22"/>
          <w:lang w:val="en-GB"/>
        </w:rPr>
      </w:pPr>
      <w:r w:rsidRPr="00390700">
        <w:rPr>
          <w:rFonts w:ascii="Arial" w:hAnsi="Arial" w:cs="Arial"/>
          <w:sz w:val="22"/>
          <w:szCs w:val="22"/>
          <w:lang w:val="en-GB"/>
        </w:rPr>
        <w:t>Physical meeting</w:t>
      </w:r>
    </w:p>
    <w:p w14:paraId="5B6A9903" w14:textId="4D3042AD" w:rsidR="00390700" w:rsidRPr="00390700" w:rsidRDefault="00390700" w:rsidP="00390700">
      <w:pPr>
        <w:pStyle w:val="ListParagraph"/>
        <w:numPr>
          <w:ilvl w:val="0"/>
          <w:numId w:val="20"/>
        </w:numPr>
        <w:ind w:left="360" w:hanging="360"/>
        <w:jc w:val="both"/>
        <w:rPr>
          <w:rFonts w:ascii="Arial" w:hAnsi="Arial" w:cs="Arial"/>
          <w:sz w:val="22"/>
          <w:szCs w:val="22"/>
          <w:lang w:val="en-GB"/>
        </w:rPr>
      </w:pPr>
      <w:r w:rsidRPr="00390700">
        <w:rPr>
          <w:rFonts w:ascii="Arial" w:hAnsi="Arial" w:cs="Arial"/>
          <w:sz w:val="22"/>
          <w:szCs w:val="22"/>
          <w:lang w:val="en-GB"/>
        </w:rPr>
        <w:t>Or any method which enables all creditors to participate if they are entitled to do so.</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4D357A45" w14:textId="312D173A" w:rsidR="00B00DBB" w:rsidRPr="001A6E49" w:rsidRDefault="007E23E6" w:rsidP="00FF5098">
      <w:pPr>
        <w:jc w:val="both"/>
        <w:rPr>
          <w:rFonts w:ascii="Arial" w:hAnsi="Arial" w:cs="Arial"/>
          <w:sz w:val="22"/>
          <w:szCs w:val="22"/>
          <w:lang w:val="en-GB"/>
        </w:rPr>
      </w:pPr>
      <w:r w:rsidRPr="001A6E49">
        <w:rPr>
          <w:rFonts w:ascii="Arial" w:hAnsi="Arial" w:cs="Arial"/>
          <w:sz w:val="22"/>
          <w:szCs w:val="22"/>
          <w:lang w:val="en-GB"/>
        </w:rPr>
        <w:t xml:space="preserve">In respect of certain supplies, </w:t>
      </w:r>
      <w:r w:rsidR="00450D5F" w:rsidRPr="001A6E49">
        <w:rPr>
          <w:rFonts w:ascii="Arial" w:hAnsi="Arial" w:cs="Arial"/>
          <w:sz w:val="22"/>
          <w:szCs w:val="22"/>
          <w:lang w:val="en-GB"/>
        </w:rPr>
        <w:t xml:space="preserve">the Administrator may </w:t>
      </w:r>
      <w:r w:rsidR="00E15FC5" w:rsidRPr="001A6E49">
        <w:rPr>
          <w:rFonts w:ascii="Arial" w:hAnsi="Arial" w:cs="Arial"/>
          <w:sz w:val="22"/>
          <w:szCs w:val="22"/>
          <w:lang w:val="en-GB"/>
        </w:rPr>
        <w:t xml:space="preserve">compel under section 233 the supplier to continue to provide services </w:t>
      </w:r>
      <w:r w:rsidR="006F47A2" w:rsidRPr="001A6E49">
        <w:rPr>
          <w:rFonts w:ascii="Arial" w:hAnsi="Arial" w:cs="Arial"/>
          <w:sz w:val="22"/>
          <w:szCs w:val="22"/>
          <w:lang w:val="en-GB"/>
        </w:rPr>
        <w:t>without the need to settle any outstanding debts to those suppliers in advance of continu</w:t>
      </w:r>
      <w:r w:rsidR="00B00DBB" w:rsidRPr="001A6E49">
        <w:rPr>
          <w:rFonts w:ascii="Arial" w:hAnsi="Arial" w:cs="Arial"/>
          <w:sz w:val="22"/>
          <w:szCs w:val="22"/>
          <w:lang w:val="en-GB"/>
        </w:rPr>
        <w:t>ation of service, however, the supplier can stipulate that the Administrator must provide a personal guarantee to the supplier for payment of the continuing services.</w:t>
      </w:r>
    </w:p>
    <w:p w14:paraId="03DC0F2E" w14:textId="29E0D1D5" w:rsidR="00B00DBB" w:rsidRPr="001A6E49" w:rsidRDefault="00B00DBB" w:rsidP="00FF5098">
      <w:pPr>
        <w:jc w:val="both"/>
        <w:rPr>
          <w:rFonts w:ascii="Arial" w:hAnsi="Arial" w:cs="Arial"/>
          <w:sz w:val="22"/>
          <w:szCs w:val="22"/>
          <w:lang w:val="en-GB"/>
        </w:rPr>
      </w:pPr>
    </w:p>
    <w:p w14:paraId="7F653C5C" w14:textId="766BAB9B" w:rsidR="005F522E" w:rsidRPr="001A6E49" w:rsidRDefault="009810C4" w:rsidP="00FF5098">
      <w:pPr>
        <w:jc w:val="both"/>
        <w:rPr>
          <w:rFonts w:ascii="Arial" w:hAnsi="Arial" w:cs="Arial"/>
          <w:sz w:val="22"/>
          <w:szCs w:val="22"/>
          <w:lang w:val="en-GB"/>
        </w:rPr>
      </w:pPr>
      <w:r w:rsidRPr="001A6E49">
        <w:rPr>
          <w:rFonts w:ascii="Arial" w:hAnsi="Arial" w:cs="Arial"/>
          <w:sz w:val="22"/>
          <w:szCs w:val="22"/>
          <w:lang w:val="en-GB"/>
        </w:rPr>
        <w:t xml:space="preserve">The suppliers that must continue to provide services if requested to do so under section 233 are </w:t>
      </w:r>
      <w:r w:rsidR="00975C2A" w:rsidRPr="001A6E49">
        <w:rPr>
          <w:rFonts w:ascii="Arial" w:hAnsi="Arial" w:cs="Arial"/>
          <w:sz w:val="22"/>
          <w:szCs w:val="22"/>
          <w:lang w:val="en-GB"/>
        </w:rPr>
        <w:t xml:space="preserve">utility providers (such as gas, electric and water) and communication services. Communication services is a relatively broad spectrum of services but in essence is to provide ongoing critical services relating to the </w:t>
      </w:r>
      <w:r w:rsidR="00AD6A7A" w:rsidRPr="001A6E49">
        <w:rPr>
          <w:rFonts w:ascii="Arial" w:hAnsi="Arial" w:cs="Arial"/>
          <w:sz w:val="22"/>
          <w:szCs w:val="22"/>
          <w:lang w:val="en-GB"/>
        </w:rPr>
        <w:t xml:space="preserve">Companies technology infrastructure for example software providers, Point of Sale providers, </w:t>
      </w:r>
      <w:r w:rsidR="009B6804" w:rsidRPr="001A6E49">
        <w:rPr>
          <w:rFonts w:ascii="Arial" w:hAnsi="Arial" w:cs="Arial"/>
          <w:sz w:val="22"/>
          <w:szCs w:val="22"/>
          <w:lang w:val="en-GB"/>
        </w:rPr>
        <w:t>cloud-based</w:t>
      </w:r>
      <w:r w:rsidR="00AD6A7A" w:rsidRPr="001A6E49">
        <w:rPr>
          <w:rFonts w:ascii="Arial" w:hAnsi="Arial" w:cs="Arial"/>
          <w:sz w:val="22"/>
          <w:szCs w:val="22"/>
          <w:lang w:val="en-GB"/>
        </w:rPr>
        <w:t xml:space="preserve"> </w:t>
      </w:r>
      <w:proofErr w:type="gramStart"/>
      <w:r w:rsidR="00AD6A7A" w:rsidRPr="001A6E49">
        <w:rPr>
          <w:rFonts w:ascii="Arial" w:hAnsi="Arial" w:cs="Arial"/>
          <w:sz w:val="22"/>
          <w:szCs w:val="22"/>
          <w:lang w:val="en-GB"/>
        </w:rPr>
        <w:t>services</w:t>
      </w:r>
      <w:proofErr w:type="gramEnd"/>
      <w:r w:rsidR="00975C2A" w:rsidRPr="001A6E49">
        <w:rPr>
          <w:rFonts w:ascii="Arial" w:hAnsi="Arial" w:cs="Arial"/>
          <w:sz w:val="22"/>
          <w:szCs w:val="22"/>
          <w:lang w:val="en-GB"/>
        </w:rPr>
        <w:t xml:space="preserve"> </w:t>
      </w:r>
      <w:r w:rsidR="001A6E49">
        <w:rPr>
          <w:rFonts w:ascii="Arial" w:hAnsi="Arial" w:cs="Arial"/>
          <w:sz w:val="22"/>
          <w:szCs w:val="22"/>
          <w:lang w:val="en-GB"/>
        </w:rPr>
        <w:t xml:space="preserve">and telephone services </w:t>
      </w:r>
      <w:r w:rsidR="00314C51" w:rsidRPr="001A6E49">
        <w:rPr>
          <w:rFonts w:ascii="Arial" w:hAnsi="Arial" w:cs="Arial"/>
          <w:sz w:val="22"/>
          <w:szCs w:val="22"/>
          <w:lang w:val="en-GB"/>
        </w:rPr>
        <w:t>w</w:t>
      </w:r>
      <w:r w:rsidR="005F522E" w:rsidRPr="001A6E49">
        <w:rPr>
          <w:rFonts w:ascii="Arial" w:hAnsi="Arial" w:cs="Arial"/>
          <w:sz w:val="22"/>
          <w:szCs w:val="22"/>
          <w:lang w:val="en-GB"/>
        </w:rPr>
        <w:t xml:space="preserve">hich if lost would impede the ability of the Administrator to properly continue business </w:t>
      </w:r>
      <w:r w:rsidR="005F522E" w:rsidRPr="001A6E49">
        <w:rPr>
          <w:rFonts w:ascii="Arial" w:hAnsi="Arial" w:cs="Arial"/>
          <w:sz w:val="22"/>
          <w:szCs w:val="22"/>
          <w:lang w:val="en-GB"/>
        </w:rPr>
        <w:lastRenderedPageBreak/>
        <w:t xml:space="preserve">operations and could see value </w:t>
      </w:r>
      <w:r w:rsidR="002C0687">
        <w:rPr>
          <w:rFonts w:ascii="Arial" w:hAnsi="Arial" w:cs="Arial"/>
          <w:sz w:val="22"/>
          <w:szCs w:val="22"/>
          <w:lang w:val="en-GB"/>
        </w:rPr>
        <w:t xml:space="preserve">lost in the business to the detriment of the </w:t>
      </w:r>
      <w:r w:rsidR="00EE342C">
        <w:rPr>
          <w:rFonts w:ascii="Arial" w:hAnsi="Arial" w:cs="Arial"/>
          <w:sz w:val="22"/>
          <w:szCs w:val="22"/>
          <w:lang w:val="en-GB"/>
        </w:rPr>
        <w:t>general body of creditors</w:t>
      </w:r>
      <w:r w:rsidR="005F522E" w:rsidRPr="001A6E49">
        <w:rPr>
          <w:rFonts w:ascii="Arial" w:hAnsi="Arial" w:cs="Arial"/>
          <w:sz w:val="22"/>
          <w:szCs w:val="22"/>
          <w:lang w:val="en-GB"/>
        </w:rPr>
        <w:t>.</w:t>
      </w:r>
    </w:p>
    <w:p w14:paraId="2E450CAD" w14:textId="3F2492F8" w:rsidR="00FF5098" w:rsidRDefault="00FF5098" w:rsidP="002A37BB">
      <w:pPr>
        <w:ind w:left="720" w:hanging="720"/>
        <w:jc w:val="both"/>
        <w:rPr>
          <w:rFonts w:ascii="Arial" w:hAnsi="Arial" w:cs="Arial"/>
          <w:sz w:val="22"/>
          <w:szCs w:val="22"/>
        </w:rPr>
      </w:pPr>
    </w:p>
    <w:p w14:paraId="7927186B" w14:textId="3F78E363" w:rsidR="009E777B" w:rsidRDefault="00FE64FE" w:rsidP="009B6804">
      <w:pPr>
        <w:jc w:val="both"/>
        <w:rPr>
          <w:rFonts w:ascii="Arial" w:hAnsi="Arial" w:cs="Arial"/>
          <w:sz w:val="22"/>
          <w:szCs w:val="22"/>
        </w:rPr>
      </w:pPr>
      <w:r>
        <w:rPr>
          <w:rFonts w:ascii="Arial" w:hAnsi="Arial" w:cs="Arial"/>
          <w:sz w:val="22"/>
          <w:szCs w:val="22"/>
        </w:rPr>
        <w:t xml:space="preserve">Section 233A and 233B of the Insolvency Act </w:t>
      </w:r>
      <w:r w:rsidR="009B6804">
        <w:rPr>
          <w:rFonts w:ascii="Arial" w:hAnsi="Arial" w:cs="Arial"/>
          <w:sz w:val="22"/>
          <w:szCs w:val="22"/>
        </w:rPr>
        <w:t xml:space="preserve">have been implemented to ensure that any insolvency related clauses in service contracts, for the supplies set out above, that note </w:t>
      </w:r>
      <w:r w:rsidR="00185CAF">
        <w:rPr>
          <w:rFonts w:ascii="Arial" w:hAnsi="Arial" w:cs="Arial"/>
          <w:sz w:val="22"/>
          <w:szCs w:val="22"/>
        </w:rPr>
        <w:t>termination on an insolvency event cannot be enforced.</w:t>
      </w:r>
    </w:p>
    <w:p w14:paraId="1BB8362B" w14:textId="0502C400" w:rsidR="0007058C" w:rsidRDefault="0007058C" w:rsidP="009B6804">
      <w:pPr>
        <w:jc w:val="both"/>
        <w:rPr>
          <w:rFonts w:ascii="Arial" w:hAnsi="Arial" w:cs="Arial"/>
          <w:sz w:val="22"/>
          <w:szCs w:val="22"/>
        </w:rPr>
      </w:pPr>
    </w:p>
    <w:p w14:paraId="5625E633" w14:textId="3138F6B5" w:rsidR="0007058C" w:rsidRDefault="0007058C" w:rsidP="009B6804">
      <w:pPr>
        <w:jc w:val="both"/>
        <w:rPr>
          <w:rFonts w:ascii="Arial" w:hAnsi="Arial" w:cs="Arial"/>
          <w:sz w:val="22"/>
          <w:szCs w:val="22"/>
        </w:rPr>
      </w:pPr>
      <w:r>
        <w:rPr>
          <w:rFonts w:ascii="Arial" w:hAnsi="Arial" w:cs="Arial"/>
          <w:sz w:val="22"/>
          <w:szCs w:val="22"/>
        </w:rPr>
        <w:t xml:space="preserve">Section 233, 233A and 233B apply to Administrations, </w:t>
      </w:r>
      <w:r w:rsidR="009728B1">
        <w:rPr>
          <w:rFonts w:ascii="Arial" w:hAnsi="Arial" w:cs="Arial"/>
          <w:sz w:val="22"/>
          <w:szCs w:val="22"/>
        </w:rPr>
        <w:t>as well as CVA’s and restructuring plans.</w:t>
      </w:r>
    </w:p>
    <w:p w14:paraId="7F281117" w14:textId="77777777" w:rsidR="009E777B" w:rsidRPr="00FF5098" w:rsidRDefault="009E777B"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065809FC" w:rsidR="00DF75F8" w:rsidRDefault="00DF75F8" w:rsidP="002A37BB">
      <w:pPr>
        <w:jc w:val="both"/>
        <w:rPr>
          <w:rFonts w:ascii="Arial" w:hAnsi="Arial" w:cs="Arial"/>
          <w:sz w:val="22"/>
          <w:szCs w:val="22"/>
        </w:rPr>
      </w:pPr>
    </w:p>
    <w:p w14:paraId="7A83B6D9" w14:textId="652819A6" w:rsidR="00AA11B5" w:rsidRDefault="00EB63CD" w:rsidP="002A37BB">
      <w:pPr>
        <w:jc w:val="both"/>
        <w:rPr>
          <w:rFonts w:ascii="Arial" w:hAnsi="Arial" w:cs="Arial"/>
          <w:sz w:val="22"/>
          <w:szCs w:val="22"/>
        </w:rPr>
      </w:pPr>
      <w:r>
        <w:rPr>
          <w:rFonts w:ascii="Arial" w:hAnsi="Arial" w:cs="Arial"/>
          <w:sz w:val="22"/>
          <w:szCs w:val="22"/>
        </w:rPr>
        <w:t>The priority of payments made by the Liquidator is set out below:</w:t>
      </w:r>
    </w:p>
    <w:p w14:paraId="4AAA9741" w14:textId="77777777" w:rsidR="00EB63CD" w:rsidRPr="002A37BB" w:rsidRDefault="00EB63CD" w:rsidP="002A37BB">
      <w:pPr>
        <w:jc w:val="both"/>
        <w:rPr>
          <w:rFonts w:ascii="Arial" w:hAnsi="Arial" w:cs="Arial"/>
          <w:sz w:val="22"/>
          <w:szCs w:val="22"/>
        </w:rPr>
      </w:pPr>
    </w:p>
    <w:p w14:paraId="416B3334" w14:textId="4C6CD91B" w:rsidR="00FF5098" w:rsidRPr="00C76997" w:rsidRDefault="00F65BC4" w:rsidP="00D31AD4">
      <w:pPr>
        <w:pStyle w:val="ListParagraph"/>
        <w:numPr>
          <w:ilvl w:val="0"/>
          <w:numId w:val="21"/>
        </w:numPr>
        <w:ind w:left="360" w:hanging="270"/>
        <w:jc w:val="both"/>
        <w:rPr>
          <w:rFonts w:ascii="Arial" w:hAnsi="Arial" w:cs="Arial"/>
          <w:sz w:val="22"/>
          <w:szCs w:val="22"/>
          <w:lang w:val="en-GB"/>
        </w:rPr>
      </w:pPr>
      <w:r w:rsidRPr="00C76997">
        <w:rPr>
          <w:rFonts w:ascii="Arial" w:hAnsi="Arial" w:cs="Arial"/>
          <w:sz w:val="22"/>
          <w:szCs w:val="22"/>
          <w:lang w:val="en-GB"/>
        </w:rPr>
        <w:t>Expenses</w:t>
      </w:r>
      <w:r w:rsidR="00EB63CD" w:rsidRPr="00C76997">
        <w:rPr>
          <w:rFonts w:ascii="Arial" w:hAnsi="Arial" w:cs="Arial"/>
          <w:sz w:val="22"/>
          <w:szCs w:val="22"/>
          <w:lang w:val="en-GB"/>
        </w:rPr>
        <w:t xml:space="preserve"> of the Liquidation</w:t>
      </w:r>
      <w:r w:rsidR="00C76997" w:rsidRPr="00C76997">
        <w:rPr>
          <w:rFonts w:ascii="Arial" w:hAnsi="Arial" w:cs="Arial"/>
          <w:sz w:val="22"/>
          <w:szCs w:val="22"/>
          <w:lang w:val="en-GB"/>
        </w:rPr>
        <w:t xml:space="preserve"> including the Liquidators remuneration</w:t>
      </w:r>
    </w:p>
    <w:p w14:paraId="016B5B16" w14:textId="78AE8BFE" w:rsidR="00F65BC4" w:rsidRPr="00C76997" w:rsidRDefault="00F65BC4" w:rsidP="00D31AD4">
      <w:pPr>
        <w:pStyle w:val="ListParagraph"/>
        <w:numPr>
          <w:ilvl w:val="0"/>
          <w:numId w:val="21"/>
        </w:numPr>
        <w:ind w:left="360" w:hanging="270"/>
        <w:jc w:val="both"/>
        <w:rPr>
          <w:rFonts w:ascii="Arial" w:hAnsi="Arial" w:cs="Arial"/>
          <w:sz w:val="22"/>
          <w:szCs w:val="22"/>
          <w:lang w:val="en-GB"/>
        </w:rPr>
      </w:pPr>
      <w:r w:rsidRPr="00C76997">
        <w:rPr>
          <w:rFonts w:ascii="Arial" w:hAnsi="Arial" w:cs="Arial"/>
          <w:sz w:val="22"/>
          <w:szCs w:val="22"/>
          <w:lang w:val="en-GB"/>
        </w:rPr>
        <w:t>Pref</w:t>
      </w:r>
      <w:r w:rsidR="00C76997" w:rsidRPr="00C76997">
        <w:rPr>
          <w:rFonts w:ascii="Arial" w:hAnsi="Arial" w:cs="Arial"/>
          <w:sz w:val="22"/>
          <w:szCs w:val="22"/>
          <w:lang w:val="en-GB"/>
        </w:rPr>
        <w:t>erential</w:t>
      </w:r>
      <w:r w:rsidRPr="00C76997">
        <w:rPr>
          <w:rFonts w:ascii="Arial" w:hAnsi="Arial" w:cs="Arial"/>
          <w:sz w:val="22"/>
          <w:szCs w:val="22"/>
          <w:lang w:val="en-GB"/>
        </w:rPr>
        <w:t xml:space="preserve"> Cred</w:t>
      </w:r>
      <w:r w:rsidR="00C76997" w:rsidRPr="00C76997">
        <w:rPr>
          <w:rFonts w:ascii="Arial" w:hAnsi="Arial" w:cs="Arial"/>
          <w:sz w:val="22"/>
          <w:szCs w:val="22"/>
          <w:lang w:val="en-GB"/>
        </w:rPr>
        <w:t>itors</w:t>
      </w:r>
    </w:p>
    <w:p w14:paraId="6822E87A" w14:textId="387A9973" w:rsidR="00735532" w:rsidRPr="00C76997" w:rsidRDefault="00735532" w:rsidP="00D31AD4">
      <w:pPr>
        <w:pStyle w:val="ListParagraph"/>
        <w:numPr>
          <w:ilvl w:val="0"/>
          <w:numId w:val="21"/>
        </w:numPr>
        <w:ind w:left="360" w:hanging="270"/>
        <w:jc w:val="both"/>
        <w:rPr>
          <w:rFonts w:ascii="Arial" w:hAnsi="Arial" w:cs="Arial"/>
          <w:sz w:val="22"/>
          <w:szCs w:val="22"/>
          <w:lang w:val="en-GB"/>
        </w:rPr>
      </w:pPr>
      <w:r w:rsidRPr="00C76997">
        <w:rPr>
          <w:rFonts w:ascii="Arial" w:hAnsi="Arial" w:cs="Arial"/>
          <w:sz w:val="22"/>
          <w:szCs w:val="22"/>
          <w:lang w:val="en-GB"/>
        </w:rPr>
        <w:t>Prescribed part</w:t>
      </w:r>
    </w:p>
    <w:p w14:paraId="3BEAEC24" w14:textId="10092123" w:rsidR="00F65BC4" w:rsidRPr="00C76997" w:rsidRDefault="00F65BC4" w:rsidP="00D31AD4">
      <w:pPr>
        <w:pStyle w:val="ListParagraph"/>
        <w:numPr>
          <w:ilvl w:val="0"/>
          <w:numId w:val="21"/>
        </w:numPr>
        <w:ind w:left="360" w:hanging="270"/>
        <w:jc w:val="both"/>
        <w:rPr>
          <w:rFonts w:ascii="Arial" w:hAnsi="Arial" w:cs="Arial"/>
          <w:sz w:val="22"/>
          <w:szCs w:val="22"/>
          <w:lang w:val="en-GB"/>
        </w:rPr>
      </w:pPr>
      <w:r w:rsidRPr="00C76997">
        <w:rPr>
          <w:rFonts w:ascii="Arial" w:hAnsi="Arial" w:cs="Arial"/>
          <w:sz w:val="22"/>
          <w:szCs w:val="22"/>
          <w:lang w:val="en-GB"/>
        </w:rPr>
        <w:t>Floating</w:t>
      </w:r>
      <w:r w:rsidR="00C76997" w:rsidRPr="00C76997">
        <w:rPr>
          <w:rFonts w:ascii="Arial" w:hAnsi="Arial" w:cs="Arial"/>
          <w:sz w:val="22"/>
          <w:szCs w:val="22"/>
          <w:lang w:val="en-GB"/>
        </w:rPr>
        <w:t xml:space="preserve"> charge holders</w:t>
      </w:r>
    </w:p>
    <w:p w14:paraId="4FB56E8A" w14:textId="43E8F370" w:rsidR="00F65BC4" w:rsidRPr="00C76997" w:rsidRDefault="00F65BC4" w:rsidP="00D31AD4">
      <w:pPr>
        <w:pStyle w:val="ListParagraph"/>
        <w:numPr>
          <w:ilvl w:val="0"/>
          <w:numId w:val="21"/>
        </w:numPr>
        <w:ind w:left="360" w:hanging="270"/>
        <w:jc w:val="both"/>
        <w:rPr>
          <w:rFonts w:ascii="Arial" w:hAnsi="Arial" w:cs="Arial"/>
          <w:sz w:val="22"/>
          <w:szCs w:val="22"/>
          <w:lang w:val="en-GB"/>
        </w:rPr>
      </w:pPr>
      <w:r w:rsidRPr="00C76997">
        <w:rPr>
          <w:rFonts w:ascii="Arial" w:hAnsi="Arial" w:cs="Arial"/>
          <w:sz w:val="22"/>
          <w:szCs w:val="22"/>
          <w:lang w:val="en-GB"/>
        </w:rPr>
        <w:t>Unsecured</w:t>
      </w:r>
      <w:r w:rsidR="00C76997" w:rsidRPr="00C76997">
        <w:rPr>
          <w:rFonts w:ascii="Arial" w:hAnsi="Arial" w:cs="Arial"/>
          <w:sz w:val="22"/>
          <w:szCs w:val="22"/>
          <w:lang w:val="en-GB"/>
        </w:rPr>
        <w:t xml:space="preserve"> creditors</w:t>
      </w:r>
    </w:p>
    <w:p w14:paraId="53A0F5FA" w14:textId="39267C10" w:rsidR="00F65BC4" w:rsidRPr="00C76997" w:rsidRDefault="00F65BC4" w:rsidP="00D31AD4">
      <w:pPr>
        <w:pStyle w:val="ListParagraph"/>
        <w:numPr>
          <w:ilvl w:val="0"/>
          <w:numId w:val="21"/>
        </w:numPr>
        <w:ind w:left="360" w:hanging="270"/>
        <w:jc w:val="both"/>
        <w:rPr>
          <w:rFonts w:ascii="Arial" w:hAnsi="Arial" w:cs="Arial"/>
          <w:sz w:val="22"/>
          <w:szCs w:val="22"/>
          <w:lang w:val="en-GB"/>
        </w:rPr>
      </w:pPr>
      <w:r w:rsidRPr="00C76997">
        <w:rPr>
          <w:rFonts w:ascii="Arial" w:hAnsi="Arial" w:cs="Arial"/>
          <w:sz w:val="22"/>
          <w:szCs w:val="22"/>
          <w:lang w:val="en-GB"/>
        </w:rPr>
        <w:t>Shareholders</w:t>
      </w:r>
    </w:p>
    <w:p w14:paraId="271A6910" w14:textId="28B63073" w:rsidR="00F65BC4" w:rsidRDefault="00F65BC4" w:rsidP="00FF5098">
      <w:pPr>
        <w:jc w:val="both"/>
        <w:rPr>
          <w:rFonts w:ascii="Arial" w:hAnsi="Arial" w:cs="Arial"/>
          <w:color w:val="7B7B7B" w:themeColor="accent3" w:themeShade="BF"/>
          <w:sz w:val="22"/>
          <w:szCs w:val="22"/>
          <w:lang w:val="en-GB"/>
        </w:rPr>
      </w:pPr>
    </w:p>
    <w:p w14:paraId="706D6ACA" w14:textId="6DC188D2" w:rsidR="00DA5FEE" w:rsidRPr="00D028D9" w:rsidRDefault="00DA5FEE" w:rsidP="00FF5098">
      <w:pPr>
        <w:jc w:val="both"/>
        <w:rPr>
          <w:rFonts w:ascii="Arial" w:hAnsi="Arial" w:cs="Arial"/>
          <w:sz w:val="22"/>
          <w:szCs w:val="22"/>
          <w:lang w:val="en-GB"/>
        </w:rPr>
      </w:pPr>
      <w:r w:rsidRPr="00D028D9">
        <w:rPr>
          <w:rFonts w:ascii="Arial" w:hAnsi="Arial" w:cs="Arial"/>
          <w:sz w:val="22"/>
          <w:szCs w:val="22"/>
          <w:lang w:val="en-GB"/>
        </w:rPr>
        <w:t xml:space="preserve">Set out below </w:t>
      </w:r>
      <w:r w:rsidR="00D028D9" w:rsidRPr="00D028D9">
        <w:rPr>
          <w:rFonts w:ascii="Arial" w:hAnsi="Arial" w:cs="Arial"/>
          <w:sz w:val="22"/>
          <w:szCs w:val="22"/>
          <w:lang w:val="en-GB"/>
        </w:rPr>
        <w:t>is an overview of each class of creditor and the rights they are afforded.</w:t>
      </w:r>
    </w:p>
    <w:p w14:paraId="34AACAB0" w14:textId="172E9915" w:rsidR="00D028D9" w:rsidRPr="00D028D9" w:rsidRDefault="00D028D9" w:rsidP="00FF5098">
      <w:pPr>
        <w:jc w:val="both"/>
        <w:rPr>
          <w:rFonts w:ascii="Arial" w:hAnsi="Arial" w:cs="Arial"/>
          <w:sz w:val="22"/>
          <w:szCs w:val="22"/>
          <w:lang w:val="en-GB"/>
        </w:rPr>
      </w:pPr>
    </w:p>
    <w:p w14:paraId="71B3779E" w14:textId="16978D0D" w:rsidR="00D028D9" w:rsidRDefault="002C639A" w:rsidP="00D31AD4">
      <w:pPr>
        <w:pStyle w:val="ListParagraph"/>
        <w:numPr>
          <w:ilvl w:val="0"/>
          <w:numId w:val="22"/>
        </w:numPr>
        <w:ind w:left="360" w:hanging="360"/>
        <w:jc w:val="both"/>
        <w:rPr>
          <w:rFonts w:ascii="Arial" w:hAnsi="Arial" w:cs="Arial"/>
          <w:sz w:val="22"/>
          <w:szCs w:val="22"/>
          <w:lang w:val="en-GB"/>
        </w:rPr>
      </w:pPr>
      <w:r w:rsidRPr="00D31AD4">
        <w:rPr>
          <w:rFonts w:ascii="Arial" w:hAnsi="Arial" w:cs="Arial"/>
          <w:sz w:val="22"/>
          <w:szCs w:val="22"/>
          <w:lang w:val="en-GB"/>
        </w:rPr>
        <w:t xml:space="preserve">Ranking in priority to </w:t>
      </w:r>
      <w:r w:rsidR="00EE53A8" w:rsidRPr="00D31AD4">
        <w:rPr>
          <w:rFonts w:ascii="Arial" w:hAnsi="Arial" w:cs="Arial"/>
          <w:sz w:val="22"/>
          <w:szCs w:val="22"/>
          <w:lang w:val="en-GB"/>
        </w:rPr>
        <w:t>pre-appointment creditors of any type are the expenses incurred by the Liquidator in conducting an orderly wind down o</w:t>
      </w:r>
      <w:r w:rsidR="00D37997" w:rsidRPr="00D31AD4">
        <w:rPr>
          <w:rFonts w:ascii="Arial" w:hAnsi="Arial" w:cs="Arial"/>
          <w:sz w:val="22"/>
          <w:szCs w:val="22"/>
          <w:lang w:val="en-GB"/>
        </w:rPr>
        <w:t>f the company</w:t>
      </w:r>
      <w:r w:rsidR="00BC0661">
        <w:rPr>
          <w:rFonts w:ascii="Arial" w:hAnsi="Arial" w:cs="Arial"/>
          <w:sz w:val="22"/>
          <w:szCs w:val="22"/>
          <w:lang w:val="en-GB"/>
        </w:rPr>
        <w:t xml:space="preserve">. </w:t>
      </w:r>
      <w:r w:rsidR="005A6341">
        <w:rPr>
          <w:rFonts w:ascii="Arial" w:hAnsi="Arial" w:cs="Arial"/>
          <w:sz w:val="22"/>
          <w:szCs w:val="22"/>
          <w:lang w:val="en-GB"/>
        </w:rPr>
        <w:t>These expenses can include</w:t>
      </w:r>
      <w:r w:rsidR="00A911EA">
        <w:rPr>
          <w:rFonts w:ascii="Arial" w:hAnsi="Arial" w:cs="Arial"/>
          <w:sz w:val="22"/>
          <w:szCs w:val="22"/>
          <w:lang w:val="en-GB"/>
        </w:rPr>
        <w:t>:</w:t>
      </w:r>
      <w:r w:rsidR="005A6341">
        <w:rPr>
          <w:rFonts w:ascii="Arial" w:hAnsi="Arial" w:cs="Arial"/>
          <w:sz w:val="22"/>
          <w:szCs w:val="22"/>
          <w:lang w:val="en-GB"/>
        </w:rPr>
        <w:t xml:space="preserve"> the cost of any agents or professionals engaged in support of </w:t>
      </w:r>
      <w:r w:rsidR="00A911EA">
        <w:rPr>
          <w:rFonts w:ascii="Arial" w:hAnsi="Arial" w:cs="Arial"/>
          <w:sz w:val="22"/>
          <w:szCs w:val="22"/>
          <w:lang w:val="en-GB"/>
        </w:rPr>
        <w:t xml:space="preserve">realizing the assets of the company; </w:t>
      </w:r>
      <w:r w:rsidR="008A7729">
        <w:rPr>
          <w:rFonts w:ascii="Arial" w:hAnsi="Arial" w:cs="Arial"/>
          <w:sz w:val="22"/>
          <w:szCs w:val="22"/>
          <w:lang w:val="en-GB"/>
        </w:rPr>
        <w:t xml:space="preserve">the cost of preparing the statement of affairs; any disbursements </w:t>
      </w:r>
      <w:r w:rsidR="00E2614D">
        <w:rPr>
          <w:rFonts w:ascii="Arial" w:hAnsi="Arial" w:cs="Arial"/>
          <w:sz w:val="22"/>
          <w:szCs w:val="22"/>
          <w:lang w:val="en-GB"/>
        </w:rPr>
        <w:t xml:space="preserve">such as the cost of stationary; </w:t>
      </w:r>
      <w:r w:rsidR="00AA7863">
        <w:rPr>
          <w:rFonts w:ascii="Arial" w:hAnsi="Arial" w:cs="Arial"/>
          <w:sz w:val="22"/>
          <w:szCs w:val="22"/>
          <w:lang w:val="en-GB"/>
        </w:rPr>
        <w:t xml:space="preserve">remuneration of the Liquidator (subject to the </w:t>
      </w:r>
      <w:r w:rsidR="003C7F52">
        <w:rPr>
          <w:rFonts w:ascii="Arial" w:hAnsi="Arial" w:cs="Arial"/>
          <w:sz w:val="22"/>
          <w:szCs w:val="22"/>
          <w:lang w:val="en-GB"/>
        </w:rPr>
        <w:t xml:space="preserve">fees estimate regime if paid on a time cost basis) </w:t>
      </w:r>
      <w:r w:rsidR="00AA7863">
        <w:rPr>
          <w:rFonts w:ascii="Arial" w:hAnsi="Arial" w:cs="Arial"/>
          <w:sz w:val="22"/>
          <w:szCs w:val="22"/>
          <w:lang w:val="en-GB"/>
        </w:rPr>
        <w:t>and their staff</w:t>
      </w:r>
      <w:r w:rsidR="003C7F52">
        <w:rPr>
          <w:rFonts w:ascii="Arial" w:hAnsi="Arial" w:cs="Arial"/>
          <w:sz w:val="22"/>
          <w:szCs w:val="22"/>
          <w:lang w:val="en-GB"/>
        </w:rPr>
        <w:t xml:space="preserve">; and any other appropriate costs of conducting the Liquidation as appropriate </w:t>
      </w:r>
      <w:proofErr w:type="gramStart"/>
      <w:r w:rsidR="003C7F52">
        <w:rPr>
          <w:rFonts w:ascii="Arial" w:hAnsi="Arial" w:cs="Arial"/>
          <w:sz w:val="22"/>
          <w:szCs w:val="22"/>
          <w:lang w:val="en-GB"/>
        </w:rPr>
        <w:t>e.g.</w:t>
      </w:r>
      <w:proofErr w:type="gramEnd"/>
      <w:r w:rsidR="003C7F52">
        <w:rPr>
          <w:rFonts w:ascii="Arial" w:hAnsi="Arial" w:cs="Arial"/>
          <w:sz w:val="22"/>
          <w:szCs w:val="22"/>
          <w:lang w:val="en-GB"/>
        </w:rPr>
        <w:t xml:space="preserve"> taxes incurred on sales etc.</w:t>
      </w:r>
    </w:p>
    <w:p w14:paraId="4F0AD981" w14:textId="77777777" w:rsidR="003C7F52" w:rsidRDefault="003C7F52" w:rsidP="003C7F52">
      <w:pPr>
        <w:pStyle w:val="ListParagraph"/>
        <w:ind w:left="360"/>
        <w:jc w:val="both"/>
        <w:rPr>
          <w:rFonts w:ascii="Arial" w:hAnsi="Arial" w:cs="Arial"/>
          <w:sz w:val="22"/>
          <w:szCs w:val="22"/>
          <w:lang w:val="en-GB"/>
        </w:rPr>
      </w:pPr>
    </w:p>
    <w:p w14:paraId="316F5188" w14:textId="3E674FD8" w:rsidR="003C7F52" w:rsidRDefault="00A31743" w:rsidP="00D31AD4">
      <w:pPr>
        <w:pStyle w:val="ListParagraph"/>
        <w:numPr>
          <w:ilvl w:val="0"/>
          <w:numId w:val="22"/>
        </w:numPr>
        <w:ind w:left="360" w:hanging="360"/>
        <w:jc w:val="both"/>
        <w:rPr>
          <w:rFonts w:ascii="Arial" w:hAnsi="Arial" w:cs="Arial"/>
          <w:sz w:val="22"/>
          <w:szCs w:val="22"/>
          <w:lang w:val="en-GB"/>
        </w:rPr>
      </w:pPr>
      <w:r>
        <w:rPr>
          <w:rFonts w:ascii="Arial" w:hAnsi="Arial" w:cs="Arial"/>
          <w:sz w:val="22"/>
          <w:szCs w:val="22"/>
          <w:lang w:val="en-GB"/>
        </w:rPr>
        <w:t>Once the costs of the Liquidation have been defrayed</w:t>
      </w:r>
      <w:r w:rsidR="000535D9">
        <w:rPr>
          <w:rFonts w:ascii="Arial" w:hAnsi="Arial" w:cs="Arial"/>
          <w:sz w:val="22"/>
          <w:szCs w:val="22"/>
          <w:lang w:val="en-GB"/>
        </w:rPr>
        <w:t xml:space="preserve"> in full</w:t>
      </w:r>
      <w:r>
        <w:rPr>
          <w:rFonts w:ascii="Arial" w:hAnsi="Arial" w:cs="Arial"/>
          <w:sz w:val="22"/>
          <w:szCs w:val="22"/>
          <w:lang w:val="en-GB"/>
        </w:rPr>
        <w:t>, the first ranking pre-appointment creditors are those known as preferential creditors</w:t>
      </w:r>
      <w:r w:rsidR="0047356B">
        <w:rPr>
          <w:rFonts w:ascii="Arial" w:hAnsi="Arial" w:cs="Arial"/>
          <w:sz w:val="22"/>
          <w:szCs w:val="22"/>
          <w:lang w:val="en-GB"/>
        </w:rPr>
        <w:t xml:space="preserve">. The majority of preferential claims relate to </w:t>
      </w:r>
      <w:r w:rsidR="009A5748">
        <w:rPr>
          <w:rFonts w:ascii="Arial" w:hAnsi="Arial" w:cs="Arial"/>
          <w:sz w:val="22"/>
          <w:szCs w:val="22"/>
          <w:lang w:val="en-GB"/>
        </w:rPr>
        <w:t xml:space="preserve">employee claims (at statutory limits) and more recently </w:t>
      </w:r>
      <w:r w:rsidR="00C86DEE">
        <w:rPr>
          <w:rFonts w:ascii="Arial" w:hAnsi="Arial" w:cs="Arial"/>
          <w:sz w:val="22"/>
          <w:szCs w:val="22"/>
          <w:lang w:val="en-GB"/>
        </w:rPr>
        <w:t>certain</w:t>
      </w:r>
      <w:r w:rsidR="009A5748">
        <w:rPr>
          <w:rFonts w:ascii="Arial" w:hAnsi="Arial" w:cs="Arial"/>
          <w:sz w:val="22"/>
          <w:szCs w:val="22"/>
          <w:lang w:val="en-GB"/>
        </w:rPr>
        <w:t xml:space="preserve"> taxes </w:t>
      </w:r>
      <w:r w:rsidR="00C86DEE">
        <w:rPr>
          <w:rFonts w:ascii="Arial" w:hAnsi="Arial" w:cs="Arial"/>
          <w:sz w:val="22"/>
          <w:szCs w:val="22"/>
          <w:lang w:val="en-GB"/>
        </w:rPr>
        <w:t>and amounts due to the Crown.</w:t>
      </w:r>
    </w:p>
    <w:p w14:paraId="1C6EE983" w14:textId="5479507A" w:rsidR="003B243F" w:rsidRDefault="003B243F" w:rsidP="00CE36FF">
      <w:pPr>
        <w:pStyle w:val="ListParagraph"/>
        <w:numPr>
          <w:ilvl w:val="1"/>
          <w:numId w:val="22"/>
        </w:numPr>
        <w:ind w:left="810" w:hanging="450"/>
        <w:jc w:val="both"/>
        <w:rPr>
          <w:rFonts w:ascii="Arial" w:hAnsi="Arial" w:cs="Arial"/>
          <w:sz w:val="22"/>
          <w:szCs w:val="22"/>
          <w:lang w:val="en-GB"/>
        </w:rPr>
      </w:pPr>
      <w:r>
        <w:rPr>
          <w:rFonts w:ascii="Arial" w:hAnsi="Arial" w:cs="Arial"/>
          <w:sz w:val="22"/>
          <w:szCs w:val="22"/>
          <w:lang w:val="en-GB"/>
        </w:rPr>
        <w:t xml:space="preserve">In terms of employee claims at statutory limits, these </w:t>
      </w:r>
      <w:proofErr w:type="gramStart"/>
      <w:r>
        <w:rPr>
          <w:rFonts w:ascii="Arial" w:hAnsi="Arial" w:cs="Arial"/>
          <w:sz w:val="22"/>
          <w:szCs w:val="22"/>
          <w:lang w:val="en-GB"/>
        </w:rPr>
        <w:t>include</w:t>
      </w:r>
      <w:r w:rsidR="00F04FDD">
        <w:rPr>
          <w:rFonts w:ascii="Arial" w:hAnsi="Arial" w:cs="Arial"/>
          <w:sz w:val="22"/>
          <w:szCs w:val="22"/>
          <w:lang w:val="en-GB"/>
        </w:rPr>
        <w:t>:</w:t>
      </w:r>
      <w:proofErr w:type="gramEnd"/>
      <w:r>
        <w:rPr>
          <w:rFonts w:ascii="Arial" w:hAnsi="Arial" w:cs="Arial"/>
          <w:sz w:val="22"/>
          <w:szCs w:val="22"/>
          <w:lang w:val="en-GB"/>
        </w:rPr>
        <w:t xml:space="preserve"> </w:t>
      </w:r>
      <w:r w:rsidR="00EA056D">
        <w:rPr>
          <w:rFonts w:ascii="Arial" w:hAnsi="Arial" w:cs="Arial"/>
          <w:sz w:val="22"/>
          <w:szCs w:val="22"/>
          <w:lang w:val="en-GB"/>
        </w:rPr>
        <w:t xml:space="preserve">sums due in respect of outstanding </w:t>
      </w:r>
      <w:r w:rsidR="00F04FDD">
        <w:rPr>
          <w:rFonts w:ascii="Arial" w:hAnsi="Arial" w:cs="Arial"/>
          <w:sz w:val="22"/>
          <w:szCs w:val="22"/>
          <w:lang w:val="en-GB"/>
        </w:rPr>
        <w:t xml:space="preserve">employee and employer </w:t>
      </w:r>
      <w:r w:rsidR="00EA056D">
        <w:rPr>
          <w:rFonts w:ascii="Arial" w:hAnsi="Arial" w:cs="Arial"/>
          <w:sz w:val="22"/>
          <w:szCs w:val="22"/>
          <w:lang w:val="en-GB"/>
        </w:rPr>
        <w:t>pension contributions</w:t>
      </w:r>
      <w:r w:rsidR="00F04FDD">
        <w:rPr>
          <w:rFonts w:ascii="Arial" w:hAnsi="Arial" w:cs="Arial"/>
          <w:sz w:val="22"/>
          <w:szCs w:val="22"/>
          <w:lang w:val="en-GB"/>
        </w:rPr>
        <w:t xml:space="preserve">; </w:t>
      </w:r>
      <w:r w:rsidR="0063607A">
        <w:rPr>
          <w:rFonts w:ascii="Arial" w:hAnsi="Arial" w:cs="Arial"/>
          <w:sz w:val="22"/>
          <w:szCs w:val="22"/>
          <w:lang w:val="en-GB"/>
        </w:rPr>
        <w:t xml:space="preserve">sums </w:t>
      </w:r>
      <w:r w:rsidR="003721F9">
        <w:rPr>
          <w:rFonts w:ascii="Arial" w:hAnsi="Arial" w:cs="Arial"/>
          <w:sz w:val="22"/>
          <w:szCs w:val="22"/>
          <w:lang w:val="en-GB"/>
        </w:rPr>
        <w:t xml:space="preserve">due in respect of unpaid wages/salary up to £800; </w:t>
      </w:r>
      <w:r w:rsidR="002A6B16">
        <w:rPr>
          <w:rFonts w:ascii="Arial" w:hAnsi="Arial" w:cs="Arial"/>
          <w:sz w:val="22"/>
          <w:szCs w:val="22"/>
          <w:lang w:val="en-GB"/>
        </w:rPr>
        <w:t>any accrued holiday remuneration</w:t>
      </w:r>
      <w:r w:rsidR="00484761">
        <w:rPr>
          <w:rFonts w:ascii="Arial" w:hAnsi="Arial" w:cs="Arial"/>
          <w:sz w:val="22"/>
          <w:szCs w:val="22"/>
          <w:lang w:val="en-GB"/>
        </w:rPr>
        <w:t xml:space="preserve"> prior to the date of appointment. Additionally, any sums advanced to employee in respect of the</w:t>
      </w:r>
      <w:r w:rsidR="00C3467B">
        <w:rPr>
          <w:rFonts w:ascii="Arial" w:hAnsi="Arial" w:cs="Arial"/>
          <w:sz w:val="22"/>
          <w:szCs w:val="22"/>
          <w:lang w:val="en-GB"/>
        </w:rPr>
        <w:t xml:space="preserve"> above will also rank as preferential in order to protect lender interest.</w:t>
      </w:r>
    </w:p>
    <w:p w14:paraId="4D113A40" w14:textId="6F3109A8" w:rsidR="00C3467B" w:rsidRDefault="00EA66E3" w:rsidP="00CE36FF">
      <w:pPr>
        <w:pStyle w:val="ListParagraph"/>
        <w:numPr>
          <w:ilvl w:val="1"/>
          <w:numId w:val="22"/>
        </w:numPr>
        <w:ind w:left="810" w:hanging="450"/>
        <w:jc w:val="both"/>
        <w:rPr>
          <w:rFonts w:ascii="Arial" w:hAnsi="Arial" w:cs="Arial"/>
          <w:sz w:val="22"/>
          <w:szCs w:val="22"/>
          <w:lang w:val="en-GB"/>
        </w:rPr>
      </w:pPr>
      <w:r>
        <w:rPr>
          <w:rFonts w:ascii="Arial" w:hAnsi="Arial" w:cs="Arial"/>
          <w:sz w:val="22"/>
          <w:szCs w:val="22"/>
          <w:lang w:val="en-GB"/>
        </w:rPr>
        <w:t xml:space="preserve">Any qualifying deposits that have been lodged </w:t>
      </w:r>
      <w:r w:rsidR="00DC5960">
        <w:rPr>
          <w:rFonts w:ascii="Arial" w:hAnsi="Arial" w:cs="Arial"/>
          <w:sz w:val="22"/>
          <w:szCs w:val="22"/>
          <w:lang w:val="en-GB"/>
        </w:rPr>
        <w:t>with the company</w:t>
      </w:r>
    </w:p>
    <w:p w14:paraId="474C778E" w14:textId="014AC43A" w:rsidR="00B81AF9" w:rsidRDefault="00B81AF9" w:rsidP="00CE36FF">
      <w:pPr>
        <w:pStyle w:val="ListParagraph"/>
        <w:numPr>
          <w:ilvl w:val="1"/>
          <w:numId w:val="22"/>
        </w:numPr>
        <w:ind w:left="810" w:hanging="450"/>
        <w:jc w:val="both"/>
        <w:rPr>
          <w:rFonts w:ascii="Arial" w:hAnsi="Arial" w:cs="Arial"/>
          <w:sz w:val="22"/>
          <w:szCs w:val="22"/>
          <w:lang w:val="en-GB"/>
        </w:rPr>
      </w:pPr>
      <w:r>
        <w:rPr>
          <w:rFonts w:ascii="Arial" w:hAnsi="Arial" w:cs="Arial"/>
          <w:sz w:val="22"/>
          <w:szCs w:val="22"/>
          <w:lang w:val="en-GB"/>
        </w:rPr>
        <w:t xml:space="preserve">Finally, </w:t>
      </w:r>
      <w:r w:rsidR="00CE64A7">
        <w:rPr>
          <w:rFonts w:ascii="Arial" w:hAnsi="Arial" w:cs="Arial"/>
          <w:sz w:val="22"/>
          <w:szCs w:val="22"/>
          <w:lang w:val="en-GB"/>
        </w:rPr>
        <w:t xml:space="preserve">crown preference claims including PAYE, national </w:t>
      </w:r>
      <w:proofErr w:type="gramStart"/>
      <w:r w:rsidR="00CE64A7">
        <w:rPr>
          <w:rFonts w:ascii="Arial" w:hAnsi="Arial" w:cs="Arial"/>
          <w:sz w:val="22"/>
          <w:szCs w:val="22"/>
          <w:lang w:val="en-GB"/>
        </w:rPr>
        <w:t>insurance</w:t>
      </w:r>
      <w:proofErr w:type="gramEnd"/>
      <w:r w:rsidR="00CE64A7">
        <w:rPr>
          <w:rFonts w:ascii="Arial" w:hAnsi="Arial" w:cs="Arial"/>
          <w:sz w:val="22"/>
          <w:szCs w:val="22"/>
          <w:lang w:val="en-GB"/>
        </w:rPr>
        <w:t xml:space="preserve"> and VAT payments amongst other </w:t>
      </w:r>
      <w:r w:rsidR="00BA0032">
        <w:rPr>
          <w:rFonts w:ascii="Arial" w:hAnsi="Arial" w:cs="Arial"/>
          <w:sz w:val="22"/>
          <w:szCs w:val="22"/>
          <w:lang w:val="en-GB"/>
        </w:rPr>
        <w:t>deductions from salaries which have not been paid to the Crown.</w:t>
      </w:r>
    </w:p>
    <w:p w14:paraId="6BF771D9" w14:textId="77777777" w:rsidR="00C86DEE" w:rsidRPr="00C86DEE" w:rsidRDefault="00C86DEE" w:rsidP="00C86DEE">
      <w:pPr>
        <w:pStyle w:val="ListParagraph"/>
        <w:rPr>
          <w:rFonts w:ascii="Arial" w:hAnsi="Arial" w:cs="Arial"/>
          <w:sz w:val="22"/>
          <w:szCs w:val="22"/>
          <w:lang w:val="en-GB"/>
        </w:rPr>
      </w:pPr>
    </w:p>
    <w:p w14:paraId="046A3EA3" w14:textId="110BFA23" w:rsidR="00C1541F" w:rsidRDefault="00955678" w:rsidP="00C1541F">
      <w:pPr>
        <w:pStyle w:val="ListParagraph"/>
        <w:numPr>
          <w:ilvl w:val="0"/>
          <w:numId w:val="22"/>
        </w:numPr>
        <w:ind w:left="360" w:hanging="360"/>
        <w:jc w:val="both"/>
        <w:rPr>
          <w:rFonts w:ascii="Arial" w:hAnsi="Arial" w:cs="Arial"/>
          <w:sz w:val="22"/>
          <w:szCs w:val="22"/>
          <w:lang w:val="en-GB"/>
        </w:rPr>
      </w:pPr>
      <w:r>
        <w:rPr>
          <w:rFonts w:ascii="Arial" w:hAnsi="Arial" w:cs="Arial"/>
          <w:sz w:val="22"/>
          <w:szCs w:val="22"/>
          <w:lang w:val="en-GB"/>
        </w:rPr>
        <w:t xml:space="preserve">The prescribed part is a set aside ringfenced sum of money </w:t>
      </w:r>
      <w:r w:rsidR="00BC3EE0">
        <w:rPr>
          <w:rFonts w:ascii="Arial" w:hAnsi="Arial" w:cs="Arial"/>
          <w:sz w:val="22"/>
          <w:szCs w:val="22"/>
          <w:lang w:val="en-GB"/>
        </w:rPr>
        <w:t xml:space="preserve">for the benefit of unsecured creditors in priority to floating charge creditors. </w:t>
      </w:r>
      <w:r w:rsidR="00EA46E7">
        <w:rPr>
          <w:rFonts w:ascii="Arial" w:hAnsi="Arial" w:cs="Arial"/>
          <w:sz w:val="22"/>
          <w:szCs w:val="22"/>
          <w:lang w:val="en-GB"/>
        </w:rPr>
        <w:t>The prescribed part applies where there is a floating charge created on or after 15 September 2003</w:t>
      </w:r>
      <w:r w:rsidR="00C1541F">
        <w:rPr>
          <w:rFonts w:ascii="Arial" w:hAnsi="Arial" w:cs="Arial"/>
          <w:sz w:val="22"/>
          <w:szCs w:val="22"/>
          <w:lang w:val="en-GB"/>
        </w:rPr>
        <w:t xml:space="preserve"> where the company has entered Administration or Liquidation. The prescribed part is calculated </w:t>
      </w:r>
      <w:r w:rsidR="00D30343">
        <w:rPr>
          <w:rFonts w:ascii="Arial" w:hAnsi="Arial" w:cs="Arial"/>
          <w:sz w:val="22"/>
          <w:szCs w:val="22"/>
          <w:lang w:val="en-GB"/>
        </w:rPr>
        <w:t xml:space="preserve">based on net property or </w:t>
      </w:r>
      <w:r w:rsidR="00516463">
        <w:rPr>
          <w:rFonts w:ascii="Arial" w:hAnsi="Arial" w:cs="Arial"/>
          <w:sz w:val="22"/>
          <w:szCs w:val="22"/>
          <w:lang w:val="en-GB"/>
        </w:rPr>
        <w:t xml:space="preserve">in other words </w:t>
      </w:r>
      <w:r w:rsidR="00D30343">
        <w:rPr>
          <w:rFonts w:ascii="Arial" w:hAnsi="Arial" w:cs="Arial"/>
          <w:sz w:val="22"/>
          <w:szCs w:val="22"/>
          <w:lang w:val="en-GB"/>
        </w:rPr>
        <w:t xml:space="preserve">the surplus monies available to be distributed to creditors after the payment of expenses and preferential claims. </w:t>
      </w:r>
      <w:r w:rsidR="00516463">
        <w:rPr>
          <w:rFonts w:ascii="Arial" w:hAnsi="Arial" w:cs="Arial"/>
          <w:sz w:val="22"/>
          <w:szCs w:val="22"/>
          <w:lang w:val="en-GB"/>
        </w:rPr>
        <w:t>The prescribed part is calculated as follows</w:t>
      </w:r>
      <w:r w:rsidR="00E63008">
        <w:rPr>
          <w:rFonts w:ascii="Arial" w:hAnsi="Arial" w:cs="Arial"/>
          <w:sz w:val="22"/>
          <w:szCs w:val="22"/>
          <w:lang w:val="en-GB"/>
        </w:rPr>
        <w:t xml:space="preserve">: 50% of </w:t>
      </w:r>
      <w:r w:rsidR="00E63008">
        <w:rPr>
          <w:rFonts w:ascii="Arial" w:hAnsi="Arial" w:cs="Arial"/>
          <w:sz w:val="22"/>
          <w:szCs w:val="22"/>
          <w:lang w:val="en-GB"/>
        </w:rPr>
        <w:lastRenderedPageBreak/>
        <w:t>the first £10,000 of net property and 20% of net property thereafter up to a maximum prescriber part of £800,000.</w:t>
      </w:r>
      <w:r w:rsidR="000F0ED7">
        <w:rPr>
          <w:rFonts w:ascii="Arial" w:hAnsi="Arial" w:cs="Arial"/>
          <w:sz w:val="22"/>
          <w:szCs w:val="22"/>
          <w:lang w:val="en-GB"/>
        </w:rPr>
        <w:t xml:space="preserve"> The prescribed part can be set aside by the Liquidator where </w:t>
      </w:r>
      <w:r w:rsidR="00D5022D">
        <w:rPr>
          <w:rFonts w:ascii="Arial" w:hAnsi="Arial" w:cs="Arial"/>
          <w:sz w:val="22"/>
          <w:szCs w:val="22"/>
          <w:lang w:val="en-GB"/>
        </w:rPr>
        <w:t xml:space="preserve">either the </w:t>
      </w:r>
      <w:r w:rsidR="00944D75">
        <w:rPr>
          <w:rFonts w:ascii="Arial" w:hAnsi="Arial" w:cs="Arial"/>
          <w:sz w:val="22"/>
          <w:szCs w:val="22"/>
          <w:lang w:val="en-GB"/>
        </w:rPr>
        <w:t>prescribed minimum of net property is unavailable or where the Liquidator makes an application to court on the basis that the costs of the prescribed part would exceed th</w:t>
      </w:r>
      <w:r w:rsidR="00DD2184">
        <w:rPr>
          <w:rFonts w:ascii="Arial" w:hAnsi="Arial" w:cs="Arial"/>
          <w:sz w:val="22"/>
          <w:szCs w:val="22"/>
          <w:lang w:val="en-GB"/>
        </w:rPr>
        <w:t>e available sum of the prescribed part.</w:t>
      </w:r>
      <w:r w:rsidR="00E63008">
        <w:rPr>
          <w:rFonts w:ascii="Arial" w:hAnsi="Arial" w:cs="Arial"/>
          <w:sz w:val="22"/>
          <w:szCs w:val="22"/>
          <w:lang w:val="en-GB"/>
        </w:rPr>
        <w:t xml:space="preserve"> </w:t>
      </w:r>
    </w:p>
    <w:p w14:paraId="49032860" w14:textId="77777777" w:rsidR="000F0ED7" w:rsidRDefault="000F0ED7" w:rsidP="000F0ED7">
      <w:pPr>
        <w:pStyle w:val="ListParagraph"/>
        <w:ind w:left="360"/>
        <w:jc w:val="both"/>
        <w:rPr>
          <w:rFonts w:ascii="Arial" w:hAnsi="Arial" w:cs="Arial"/>
          <w:sz w:val="22"/>
          <w:szCs w:val="22"/>
          <w:lang w:val="en-GB"/>
        </w:rPr>
      </w:pPr>
    </w:p>
    <w:p w14:paraId="350B8A7E" w14:textId="52EC4EB5" w:rsidR="000F0ED7" w:rsidRDefault="0034610D" w:rsidP="00C1541F">
      <w:pPr>
        <w:pStyle w:val="ListParagraph"/>
        <w:numPr>
          <w:ilvl w:val="0"/>
          <w:numId w:val="22"/>
        </w:numPr>
        <w:ind w:left="360" w:hanging="360"/>
        <w:jc w:val="both"/>
        <w:rPr>
          <w:rFonts w:ascii="Arial" w:hAnsi="Arial" w:cs="Arial"/>
          <w:sz w:val="22"/>
          <w:szCs w:val="22"/>
          <w:lang w:val="en-GB"/>
        </w:rPr>
      </w:pPr>
      <w:r>
        <w:rPr>
          <w:rFonts w:ascii="Arial" w:hAnsi="Arial" w:cs="Arial"/>
          <w:sz w:val="22"/>
          <w:szCs w:val="22"/>
          <w:lang w:val="en-GB"/>
        </w:rPr>
        <w:t xml:space="preserve">After the preferential creditors have been repaid in full and the prescribed part has been distributed, the floating creditors </w:t>
      </w:r>
      <w:r w:rsidR="00187F57">
        <w:rPr>
          <w:rFonts w:ascii="Arial" w:hAnsi="Arial" w:cs="Arial"/>
          <w:sz w:val="22"/>
          <w:szCs w:val="22"/>
          <w:lang w:val="en-GB"/>
        </w:rPr>
        <w:t xml:space="preserve">are repaid from the net realisations available. Where there is more than one floating charge </w:t>
      </w:r>
      <w:r w:rsidR="00EC4107">
        <w:rPr>
          <w:rFonts w:ascii="Arial" w:hAnsi="Arial" w:cs="Arial"/>
          <w:sz w:val="22"/>
          <w:szCs w:val="22"/>
          <w:lang w:val="en-GB"/>
        </w:rPr>
        <w:t>creditor,</w:t>
      </w:r>
      <w:r w:rsidR="00187F57">
        <w:rPr>
          <w:rFonts w:ascii="Arial" w:hAnsi="Arial" w:cs="Arial"/>
          <w:sz w:val="22"/>
          <w:szCs w:val="22"/>
          <w:lang w:val="en-GB"/>
        </w:rPr>
        <w:t xml:space="preserve"> they are ranked in priority based on either the date on which </w:t>
      </w:r>
      <w:r w:rsidR="001F58AD">
        <w:rPr>
          <w:rFonts w:ascii="Arial" w:hAnsi="Arial" w:cs="Arial"/>
          <w:sz w:val="22"/>
          <w:szCs w:val="22"/>
          <w:lang w:val="en-GB"/>
        </w:rPr>
        <w:t xml:space="preserve">the first charge was created or based upon a subordination agreement which dictates priority. As floating charge creditors </w:t>
      </w:r>
      <w:r w:rsidR="00357D98">
        <w:rPr>
          <w:rFonts w:ascii="Arial" w:hAnsi="Arial" w:cs="Arial"/>
          <w:sz w:val="22"/>
          <w:szCs w:val="22"/>
          <w:lang w:val="en-GB"/>
        </w:rPr>
        <w:t xml:space="preserve">do have some element of </w:t>
      </w:r>
      <w:r w:rsidR="00EC4107">
        <w:rPr>
          <w:rFonts w:ascii="Arial" w:hAnsi="Arial" w:cs="Arial"/>
          <w:sz w:val="22"/>
          <w:szCs w:val="22"/>
          <w:lang w:val="en-GB"/>
        </w:rPr>
        <w:t>security,</w:t>
      </w:r>
      <w:r w:rsidR="00357D98">
        <w:rPr>
          <w:rFonts w:ascii="Arial" w:hAnsi="Arial" w:cs="Arial"/>
          <w:sz w:val="22"/>
          <w:szCs w:val="22"/>
          <w:lang w:val="en-GB"/>
        </w:rPr>
        <w:t xml:space="preserve"> they are afforded certain rights which other creditors are not. For </w:t>
      </w:r>
      <w:r w:rsidR="00EC4107">
        <w:rPr>
          <w:rFonts w:ascii="Arial" w:hAnsi="Arial" w:cs="Arial"/>
          <w:sz w:val="22"/>
          <w:szCs w:val="22"/>
          <w:lang w:val="en-GB"/>
        </w:rPr>
        <w:t>example,</w:t>
      </w:r>
      <w:r w:rsidR="00357D98">
        <w:rPr>
          <w:rFonts w:ascii="Arial" w:hAnsi="Arial" w:cs="Arial"/>
          <w:sz w:val="22"/>
          <w:szCs w:val="22"/>
          <w:lang w:val="en-GB"/>
        </w:rPr>
        <w:t xml:space="preserve"> a floating charge creditor can </w:t>
      </w:r>
      <w:r w:rsidR="0016405B">
        <w:rPr>
          <w:rFonts w:ascii="Arial" w:hAnsi="Arial" w:cs="Arial"/>
          <w:sz w:val="22"/>
          <w:szCs w:val="22"/>
          <w:lang w:val="en-GB"/>
        </w:rPr>
        <w:t xml:space="preserve">enforce their security to appoint an Administrator </w:t>
      </w:r>
      <w:r w:rsidR="00EC4107">
        <w:rPr>
          <w:rFonts w:ascii="Arial" w:hAnsi="Arial" w:cs="Arial"/>
          <w:sz w:val="22"/>
          <w:szCs w:val="22"/>
          <w:lang w:val="en-GB"/>
        </w:rPr>
        <w:t>which places a moratorium over the company stopping any action being taken by any other class of creditor to place the company into Liquidation and potential reducing the value available to the floating charge creditor from the realization of the company’s assets.</w:t>
      </w:r>
    </w:p>
    <w:p w14:paraId="3763D61C" w14:textId="77777777" w:rsidR="000053F7" w:rsidRPr="000053F7" w:rsidRDefault="000053F7" w:rsidP="000053F7">
      <w:pPr>
        <w:pStyle w:val="ListParagraph"/>
        <w:rPr>
          <w:rFonts w:ascii="Arial" w:hAnsi="Arial" w:cs="Arial"/>
          <w:sz w:val="22"/>
          <w:szCs w:val="22"/>
          <w:lang w:val="en-GB"/>
        </w:rPr>
      </w:pPr>
    </w:p>
    <w:p w14:paraId="055C0CCD" w14:textId="3386E38B" w:rsidR="000053F7" w:rsidRDefault="000053F7" w:rsidP="00C1541F">
      <w:pPr>
        <w:pStyle w:val="ListParagraph"/>
        <w:numPr>
          <w:ilvl w:val="0"/>
          <w:numId w:val="22"/>
        </w:numPr>
        <w:ind w:left="360" w:hanging="360"/>
        <w:jc w:val="both"/>
        <w:rPr>
          <w:rFonts w:ascii="Arial" w:hAnsi="Arial" w:cs="Arial"/>
          <w:sz w:val="22"/>
          <w:szCs w:val="22"/>
          <w:lang w:val="en-GB"/>
        </w:rPr>
      </w:pPr>
      <w:r>
        <w:rPr>
          <w:rFonts w:ascii="Arial" w:hAnsi="Arial" w:cs="Arial"/>
          <w:sz w:val="22"/>
          <w:szCs w:val="22"/>
          <w:lang w:val="en-GB"/>
        </w:rPr>
        <w:t>Unsecured creditors</w:t>
      </w:r>
      <w:r w:rsidR="00AF29E1">
        <w:rPr>
          <w:rFonts w:ascii="Arial" w:hAnsi="Arial" w:cs="Arial"/>
          <w:sz w:val="22"/>
          <w:szCs w:val="22"/>
          <w:lang w:val="en-GB"/>
        </w:rPr>
        <w:t xml:space="preserve"> do not have any security with which they can take any enforcement action over the company with. These creditors tend to be the </w:t>
      </w:r>
      <w:r w:rsidR="00731B80">
        <w:rPr>
          <w:rFonts w:ascii="Arial" w:hAnsi="Arial" w:cs="Arial"/>
          <w:sz w:val="22"/>
          <w:szCs w:val="22"/>
          <w:lang w:val="en-GB"/>
        </w:rPr>
        <w:t>day-to-day</w:t>
      </w:r>
      <w:r w:rsidR="00AF29E1">
        <w:rPr>
          <w:rFonts w:ascii="Arial" w:hAnsi="Arial" w:cs="Arial"/>
          <w:sz w:val="22"/>
          <w:szCs w:val="22"/>
          <w:lang w:val="en-GB"/>
        </w:rPr>
        <w:t xml:space="preserve"> </w:t>
      </w:r>
      <w:r w:rsidR="00D42F43">
        <w:rPr>
          <w:rFonts w:ascii="Arial" w:hAnsi="Arial" w:cs="Arial"/>
          <w:sz w:val="22"/>
          <w:szCs w:val="22"/>
          <w:lang w:val="en-GB"/>
        </w:rPr>
        <w:t xml:space="preserve">trade creditors of the company. Unsecured creditors right of recourse is usually to present a statutory demand, which if unpaid or not set aside can be the basis for a winding up petition. </w:t>
      </w:r>
    </w:p>
    <w:p w14:paraId="7509924C" w14:textId="77777777" w:rsidR="000053F7" w:rsidRPr="000053F7" w:rsidRDefault="000053F7" w:rsidP="000053F7">
      <w:pPr>
        <w:pStyle w:val="ListParagraph"/>
        <w:rPr>
          <w:rFonts w:ascii="Arial" w:hAnsi="Arial" w:cs="Arial"/>
          <w:sz w:val="22"/>
          <w:szCs w:val="22"/>
          <w:lang w:val="en-GB"/>
        </w:rPr>
      </w:pPr>
    </w:p>
    <w:p w14:paraId="4930ED39" w14:textId="743E1675" w:rsidR="000053F7" w:rsidRPr="00C1541F" w:rsidRDefault="004471EF" w:rsidP="00C1541F">
      <w:pPr>
        <w:pStyle w:val="ListParagraph"/>
        <w:numPr>
          <w:ilvl w:val="0"/>
          <w:numId w:val="22"/>
        </w:numPr>
        <w:ind w:left="360" w:hanging="360"/>
        <w:jc w:val="both"/>
        <w:rPr>
          <w:rFonts w:ascii="Arial" w:hAnsi="Arial" w:cs="Arial"/>
          <w:sz w:val="22"/>
          <w:szCs w:val="22"/>
          <w:lang w:val="en-GB"/>
        </w:rPr>
      </w:pPr>
      <w:r>
        <w:rPr>
          <w:rFonts w:ascii="Arial" w:hAnsi="Arial" w:cs="Arial"/>
          <w:sz w:val="22"/>
          <w:szCs w:val="22"/>
          <w:lang w:val="en-GB"/>
        </w:rPr>
        <w:t xml:space="preserve">If after all creditors have been paid </w:t>
      </w:r>
      <w:r w:rsidR="00CE1221">
        <w:rPr>
          <w:rFonts w:ascii="Arial" w:hAnsi="Arial" w:cs="Arial"/>
          <w:sz w:val="22"/>
          <w:szCs w:val="22"/>
          <w:lang w:val="en-GB"/>
        </w:rPr>
        <w:t>in full</w:t>
      </w:r>
      <w:r w:rsidR="008145EA">
        <w:rPr>
          <w:rFonts w:ascii="Arial" w:hAnsi="Arial" w:cs="Arial"/>
          <w:sz w:val="22"/>
          <w:szCs w:val="22"/>
          <w:lang w:val="en-GB"/>
        </w:rPr>
        <w:t xml:space="preserve"> (as well as any accrued interest)</w:t>
      </w:r>
      <w:r w:rsidR="00CE1221">
        <w:rPr>
          <w:rFonts w:ascii="Arial" w:hAnsi="Arial" w:cs="Arial"/>
          <w:sz w:val="22"/>
          <w:szCs w:val="22"/>
          <w:lang w:val="en-GB"/>
        </w:rPr>
        <w:t xml:space="preserve"> and </w:t>
      </w:r>
      <w:r>
        <w:rPr>
          <w:rFonts w:ascii="Arial" w:hAnsi="Arial" w:cs="Arial"/>
          <w:sz w:val="22"/>
          <w:szCs w:val="22"/>
          <w:lang w:val="en-GB"/>
        </w:rPr>
        <w:t xml:space="preserve">there are available funds </w:t>
      </w:r>
      <w:r w:rsidR="00CE1221">
        <w:rPr>
          <w:rFonts w:ascii="Arial" w:hAnsi="Arial" w:cs="Arial"/>
          <w:sz w:val="22"/>
          <w:szCs w:val="22"/>
          <w:lang w:val="en-GB"/>
        </w:rPr>
        <w:t xml:space="preserve">to distribute, a </w:t>
      </w:r>
      <w:r w:rsidR="008145EA">
        <w:rPr>
          <w:rFonts w:ascii="Arial" w:hAnsi="Arial" w:cs="Arial"/>
          <w:sz w:val="22"/>
          <w:szCs w:val="22"/>
          <w:lang w:val="en-GB"/>
        </w:rPr>
        <w:t xml:space="preserve">distribution will be made on a </w:t>
      </w:r>
      <w:proofErr w:type="spellStart"/>
      <w:r w:rsidR="00070CDB">
        <w:rPr>
          <w:rFonts w:ascii="Arial" w:hAnsi="Arial" w:cs="Arial"/>
          <w:sz w:val="22"/>
          <w:szCs w:val="22"/>
          <w:lang w:val="en-GB"/>
        </w:rPr>
        <w:t>pari</w:t>
      </w:r>
      <w:proofErr w:type="spellEnd"/>
      <w:r w:rsidR="00070CDB">
        <w:rPr>
          <w:rFonts w:ascii="Arial" w:hAnsi="Arial" w:cs="Arial"/>
          <w:sz w:val="22"/>
          <w:szCs w:val="22"/>
          <w:lang w:val="en-GB"/>
        </w:rPr>
        <w:t>-passu basis to the shareholders who are paid up.</w:t>
      </w:r>
    </w:p>
    <w:p w14:paraId="07E20713" w14:textId="77777777" w:rsidR="00DA5FEE" w:rsidRPr="00D028D9" w:rsidRDefault="00DA5FEE" w:rsidP="00FF5098">
      <w:pPr>
        <w:jc w:val="both"/>
        <w:rPr>
          <w:rFonts w:ascii="Arial" w:hAnsi="Arial" w:cs="Arial"/>
          <w:sz w:val="22"/>
          <w:szCs w:val="22"/>
          <w:lang w:val="en-GB"/>
        </w:rPr>
      </w:pPr>
    </w:p>
    <w:p w14:paraId="7DA8100A" w14:textId="422536DA" w:rsidR="00F65BC4" w:rsidRPr="00C76997" w:rsidRDefault="00C76997" w:rsidP="00FF5098">
      <w:pPr>
        <w:jc w:val="both"/>
        <w:rPr>
          <w:rFonts w:ascii="Arial" w:hAnsi="Arial" w:cs="Arial"/>
          <w:sz w:val="22"/>
          <w:szCs w:val="22"/>
          <w:lang w:val="en-GB"/>
        </w:rPr>
      </w:pPr>
      <w:r w:rsidRPr="00D028D9">
        <w:rPr>
          <w:rFonts w:ascii="Arial" w:hAnsi="Arial" w:cs="Arial"/>
          <w:sz w:val="22"/>
          <w:szCs w:val="22"/>
          <w:lang w:val="en-GB"/>
        </w:rPr>
        <w:t>It should be noted that f</w:t>
      </w:r>
      <w:r w:rsidR="00C43977" w:rsidRPr="00D028D9">
        <w:rPr>
          <w:rFonts w:ascii="Arial" w:hAnsi="Arial" w:cs="Arial"/>
          <w:sz w:val="22"/>
          <w:szCs w:val="22"/>
          <w:lang w:val="en-GB"/>
        </w:rPr>
        <w:t>ixed charge</w:t>
      </w:r>
      <w:r w:rsidRPr="00D028D9">
        <w:rPr>
          <w:rFonts w:ascii="Arial" w:hAnsi="Arial" w:cs="Arial"/>
          <w:sz w:val="22"/>
          <w:szCs w:val="22"/>
          <w:lang w:val="en-GB"/>
        </w:rPr>
        <w:t xml:space="preserve"> creditors essentially sit outside of the </w:t>
      </w:r>
      <w:r w:rsidR="007D7F9F" w:rsidRPr="00D028D9">
        <w:rPr>
          <w:rFonts w:ascii="Arial" w:hAnsi="Arial" w:cs="Arial"/>
          <w:sz w:val="22"/>
          <w:szCs w:val="22"/>
          <w:lang w:val="en-GB"/>
        </w:rPr>
        <w:t xml:space="preserve">priority of payments hierarchy as the </w:t>
      </w:r>
      <w:r w:rsidR="00C43977" w:rsidRPr="00D028D9">
        <w:rPr>
          <w:rFonts w:ascii="Arial" w:hAnsi="Arial" w:cs="Arial"/>
          <w:sz w:val="22"/>
          <w:szCs w:val="22"/>
          <w:lang w:val="en-GB"/>
        </w:rPr>
        <w:t>debt attaches to</w:t>
      </w:r>
      <w:r w:rsidR="007D7F9F" w:rsidRPr="00D028D9">
        <w:rPr>
          <w:rFonts w:ascii="Arial" w:hAnsi="Arial" w:cs="Arial"/>
          <w:sz w:val="22"/>
          <w:szCs w:val="22"/>
          <w:lang w:val="en-GB"/>
        </w:rPr>
        <w:t xml:space="preserve"> pledged</w:t>
      </w:r>
      <w:r w:rsidR="00C43977" w:rsidRPr="00D028D9">
        <w:rPr>
          <w:rFonts w:ascii="Arial" w:hAnsi="Arial" w:cs="Arial"/>
          <w:sz w:val="22"/>
          <w:szCs w:val="22"/>
          <w:lang w:val="en-GB"/>
        </w:rPr>
        <w:t xml:space="preserve"> property and </w:t>
      </w:r>
      <w:r w:rsidR="007D7F9F" w:rsidRPr="00D028D9">
        <w:rPr>
          <w:rFonts w:ascii="Arial" w:hAnsi="Arial" w:cs="Arial"/>
          <w:sz w:val="22"/>
          <w:szCs w:val="22"/>
          <w:lang w:val="en-GB"/>
        </w:rPr>
        <w:t xml:space="preserve">the rights and remedies of the </w:t>
      </w:r>
      <w:r w:rsidR="008673A5" w:rsidRPr="00D028D9">
        <w:rPr>
          <w:rFonts w:ascii="Arial" w:hAnsi="Arial" w:cs="Arial"/>
          <w:sz w:val="22"/>
          <w:szCs w:val="22"/>
          <w:lang w:val="en-GB"/>
        </w:rPr>
        <w:t xml:space="preserve">fixed charge holder are defined in the security instrument (for example the appointment of a Receiver) however where a moratorium is in place </w:t>
      </w:r>
      <w:r w:rsidR="00DA5FEE" w:rsidRPr="00D028D9">
        <w:rPr>
          <w:rFonts w:ascii="Arial" w:hAnsi="Arial" w:cs="Arial"/>
          <w:sz w:val="22"/>
          <w:szCs w:val="22"/>
          <w:lang w:val="en-GB"/>
        </w:rPr>
        <w:t xml:space="preserve">the fixed charge holder will need the leave of the office holder </w:t>
      </w:r>
      <w:r w:rsidR="00DA5FEE">
        <w:rPr>
          <w:rFonts w:ascii="Arial" w:hAnsi="Arial" w:cs="Arial"/>
          <w:sz w:val="22"/>
          <w:szCs w:val="22"/>
          <w:lang w:val="en-GB"/>
        </w:rPr>
        <w:t xml:space="preserve">to </w:t>
      </w:r>
      <w:proofErr w:type="gramStart"/>
      <w:r w:rsidR="00DA5FEE">
        <w:rPr>
          <w:rFonts w:ascii="Arial" w:hAnsi="Arial" w:cs="Arial"/>
          <w:sz w:val="22"/>
          <w:szCs w:val="22"/>
          <w:lang w:val="en-GB"/>
        </w:rPr>
        <w:t>take action</w:t>
      </w:r>
      <w:proofErr w:type="gramEnd"/>
      <w:r w:rsidR="00DA5FEE">
        <w:rPr>
          <w:rFonts w:ascii="Arial" w:hAnsi="Arial" w:cs="Arial"/>
          <w:sz w:val="22"/>
          <w:szCs w:val="22"/>
          <w:lang w:val="en-GB"/>
        </w:rPr>
        <w:t xml:space="preserve"> under the default remedies</w:t>
      </w:r>
      <w:r w:rsidR="008673A5">
        <w:rPr>
          <w:rFonts w:ascii="Arial" w:hAnsi="Arial" w:cs="Arial"/>
          <w:sz w:val="22"/>
          <w:szCs w:val="22"/>
          <w:lang w:val="en-GB"/>
        </w:rPr>
        <w:t>.</w:t>
      </w:r>
      <w:r w:rsidR="00C43977" w:rsidRPr="00C76997">
        <w:rPr>
          <w:rFonts w:ascii="Arial" w:hAnsi="Arial" w:cs="Arial"/>
          <w:sz w:val="22"/>
          <w:szCs w:val="22"/>
          <w:lang w:val="en-GB"/>
        </w:rPr>
        <w:t xml:space="preserve"> </w:t>
      </w:r>
      <w:r w:rsidR="008673A5">
        <w:rPr>
          <w:rFonts w:ascii="Arial" w:hAnsi="Arial" w:cs="Arial"/>
          <w:sz w:val="22"/>
          <w:szCs w:val="22"/>
          <w:lang w:val="en-GB"/>
        </w:rPr>
        <w:t>The fixed charge holder can only benefit from the realization of the pledged property and does not benefit from the estate as a whole.</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w:t>
      </w:r>
      <w:r w:rsidR="0070524B">
        <w:rPr>
          <w:rFonts w:ascii="Arial" w:hAnsi="Arial" w:cs="Arial"/>
        </w:rPr>
        <w:lastRenderedPageBreak/>
        <w:t xml:space="preserve">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51A7F4DD" w:rsidR="007E2919" w:rsidRDefault="007E2919" w:rsidP="007E2919">
      <w:pPr>
        <w:rPr>
          <w:rFonts w:ascii="Arial" w:hAnsi="Arial" w:cs="Arial"/>
          <w:b/>
          <w:sz w:val="24"/>
        </w:rPr>
      </w:pPr>
    </w:p>
    <w:p w14:paraId="3369B573" w14:textId="77777777" w:rsidR="00FC0082" w:rsidRDefault="00FC0082" w:rsidP="007E2919">
      <w:pPr>
        <w:rPr>
          <w:rFonts w:ascii="Arial" w:hAnsi="Arial" w:cs="Arial"/>
          <w:b/>
          <w:sz w:val="24"/>
        </w:rPr>
      </w:pPr>
    </w:p>
    <w:p w14:paraId="2FA6B80C" w14:textId="6762D690" w:rsidR="00043CE7" w:rsidRDefault="00994E4F" w:rsidP="007E2919">
      <w:pPr>
        <w:rPr>
          <w:rFonts w:ascii="Arial" w:hAnsi="Arial" w:cs="Arial"/>
          <w:sz w:val="24"/>
        </w:rPr>
      </w:pPr>
      <w:r w:rsidRPr="00994E4F">
        <w:rPr>
          <w:rFonts w:ascii="Arial" w:hAnsi="Arial" w:cs="Arial"/>
          <w:sz w:val="24"/>
        </w:rPr>
        <w:t xml:space="preserve">Based on </w:t>
      </w:r>
      <w:r>
        <w:rPr>
          <w:rFonts w:ascii="Arial" w:hAnsi="Arial" w:cs="Arial"/>
          <w:sz w:val="24"/>
        </w:rPr>
        <w:t xml:space="preserve">the available information, it would appear that the floating charge granted to </w:t>
      </w:r>
      <w:proofErr w:type="spellStart"/>
      <w:r>
        <w:rPr>
          <w:rFonts w:ascii="Arial" w:hAnsi="Arial" w:cs="Arial"/>
          <w:sz w:val="24"/>
        </w:rPr>
        <w:t>Stercus</w:t>
      </w:r>
      <w:proofErr w:type="spellEnd"/>
      <w:r>
        <w:rPr>
          <w:rFonts w:ascii="Arial" w:hAnsi="Arial" w:cs="Arial"/>
          <w:sz w:val="24"/>
        </w:rPr>
        <w:t xml:space="preserve"> Bank was </w:t>
      </w:r>
      <w:r w:rsidR="00221E51">
        <w:rPr>
          <w:rFonts w:ascii="Arial" w:hAnsi="Arial" w:cs="Arial"/>
          <w:sz w:val="24"/>
        </w:rPr>
        <w:t xml:space="preserve">granted </w:t>
      </w:r>
      <w:r w:rsidR="005173DB">
        <w:rPr>
          <w:rFonts w:ascii="Arial" w:hAnsi="Arial" w:cs="Arial"/>
          <w:sz w:val="24"/>
        </w:rPr>
        <w:t xml:space="preserve">without new monies being advanced. Additionally, it was provided during the voidable period of </w:t>
      </w:r>
      <w:r w:rsidR="000A7EDF">
        <w:rPr>
          <w:rFonts w:ascii="Arial" w:hAnsi="Arial" w:cs="Arial"/>
          <w:sz w:val="24"/>
        </w:rPr>
        <w:t>12 months</w:t>
      </w:r>
      <w:r w:rsidR="00221E51">
        <w:rPr>
          <w:rFonts w:ascii="Arial" w:hAnsi="Arial" w:cs="Arial"/>
          <w:sz w:val="24"/>
        </w:rPr>
        <w:t xml:space="preserve">. </w:t>
      </w:r>
      <w:r w:rsidR="000A7EDF">
        <w:rPr>
          <w:rFonts w:ascii="Arial" w:hAnsi="Arial" w:cs="Arial"/>
          <w:sz w:val="24"/>
        </w:rPr>
        <w:t>Therefore</w:t>
      </w:r>
      <w:r w:rsidR="00D917F6">
        <w:rPr>
          <w:rFonts w:ascii="Arial" w:hAnsi="Arial" w:cs="Arial"/>
          <w:sz w:val="24"/>
        </w:rPr>
        <w:t>, under section 245</w:t>
      </w:r>
      <w:r w:rsidR="000A7EDF">
        <w:rPr>
          <w:rFonts w:ascii="Arial" w:hAnsi="Arial" w:cs="Arial"/>
          <w:sz w:val="24"/>
        </w:rPr>
        <w:t xml:space="preserve">, </w:t>
      </w:r>
      <w:proofErr w:type="spellStart"/>
      <w:r w:rsidR="000A7EDF">
        <w:rPr>
          <w:rFonts w:ascii="Arial" w:hAnsi="Arial" w:cs="Arial"/>
          <w:sz w:val="24"/>
        </w:rPr>
        <w:t>Stercus</w:t>
      </w:r>
      <w:proofErr w:type="spellEnd"/>
      <w:r w:rsidR="000A7EDF">
        <w:rPr>
          <w:rFonts w:ascii="Arial" w:hAnsi="Arial" w:cs="Arial"/>
          <w:sz w:val="24"/>
        </w:rPr>
        <w:t xml:space="preserve"> Bank on this analysis would rank as a wholly unsecured creditor</w:t>
      </w:r>
      <w:r w:rsidR="00364034">
        <w:rPr>
          <w:rFonts w:ascii="Arial" w:hAnsi="Arial" w:cs="Arial"/>
          <w:sz w:val="24"/>
        </w:rPr>
        <w:t xml:space="preserve"> so long as </w:t>
      </w:r>
      <w:proofErr w:type="spellStart"/>
      <w:r w:rsidR="00364034">
        <w:rPr>
          <w:rFonts w:ascii="Arial" w:hAnsi="Arial" w:cs="Arial"/>
          <w:sz w:val="24"/>
        </w:rPr>
        <w:t>Corfee</w:t>
      </w:r>
      <w:proofErr w:type="spellEnd"/>
      <w:r w:rsidR="00364034">
        <w:rPr>
          <w:rFonts w:ascii="Arial" w:hAnsi="Arial" w:cs="Arial"/>
          <w:sz w:val="24"/>
        </w:rPr>
        <w:t xml:space="preserve"> was insolvent at the time or insolvent as a consequence of the security</w:t>
      </w:r>
      <w:r w:rsidR="000A7EDF">
        <w:rPr>
          <w:rFonts w:ascii="Arial" w:hAnsi="Arial" w:cs="Arial"/>
          <w:sz w:val="24"/>
        </w:rPr>
        <w:t>.</w:t>
      </w:r>
      <w:r w:rsidR="00043CE7">
        <w:rPr>
          <w:rFonts w:ascii="Arial" w:hAnsi="Arial" w:cs="Arial"/>
          <w:sz w:val="24"/>
        </w:rPr>
        <w:t xml:space="preserve"> Given the statement above that </w:t>
      </w:r>
      <w:proofErr w:type="spellStart"/>
      <w:r w:rsidR="00043CE7">
        <w:rPr>
          <w:rFonts w:ascii="Arial" w:hAnsi="Arial" w:cs="Arial"/>
          <w:sz w:val="24"/>
        </w:rPr>
        <w:t>Corfee</w:t>
      </w:r>
      <w:proofErr w:type="spellEnd"/>
      <w:r w:rsidR="00043CE7">
        <w:rPr>
          <w:rFonts w:ascii="Arial" w:hAnsi="Arial" w:cs="Arial"/>
          <w:sz w:val="24"/>
        </w:rPr>
        <w:t xml:space="preserve"> provided the floating charge security “</w:t>
      </w:r>
      <w:r w:rsidR="00043CE7" w:rsidRPr="00043CE7">
        <w:rPr>
          <w:rFonts w:ascii="Arial" w:hAnsi="Arial" w:cs="Arial"/>
          <w:sz w:val="24"/>
        </w:rPr>
        <w:t>in order to prevent it</w:t>
      </w:r>
      <w:r w:rsidR="00043CE7">
        <w:rPr>
          <w:rFonts w:ascii="Arial" w:hAnsi="Arial" w:cs="Arial"/>
          <w:sz w:val="24"/>
        </w:rPr>
        <w:t xml:space="preserve"> [</w:t>
      </w:r>
      <w:proofErr w:type="spellStart"/>
      <w:r w:rsidR="00043CE7">
        <w:rPr>
          <w:rFonts w:ascii="Arial" w:hAnsi="Arial" w:cs="Arial"/>
          <w:sz w:val="24"/>
        </w:rPr>
        <w:t>Stercus</w:t>
      </w:r>
      <w:proofErr w:type="spellEnd"/>
      <w:r w:rsidR="00920AA0">
        <w:rPr>
          <w:rFonts w:ascii="Arial" w:hAnsi="Arial" w:cs="Arial"/>
          <w:sz w:val="24"/>
        </w:rPr>
        <w:t xml:space="preserve"> Bank]</w:t>
      </w:r>
      <w:r w:rsidR="00043CE7" w:rsidRPr="00043CE7">
        <w:rPr>
          <w:rFonts w:ascii="Arial" w:hAnsi="Arial" w:cs="Arial"/>
          <w:sz w:val="24"/>
        </w:rPr>
        <w:t xml:space="preserve"> from demanding repayment of the company’s loans</w:t>
      </w:r>
      <w:r w:rsidR="00043CE7" w:rsidRPr="00043CE7">
        <w:rPr>
          <w:rFonts w:ascii="Arial" w:hAnsi="Arial" w:cs="Arial"/>
          <w:sz w:val="24"/>
        </w:rPr>
        <w:t>”</w:t>
      </w:r>
      <w:r w:rsidR="00920AA0">
        <w:rPr>
          <w:rFonts w:ascii="Arial" w:hAnsi="Arial" w:cs="Arial"/>
          <w:sz w:val="24"/>
        </w:rPr>
        <w:t xml:space="preserve"> it can be assumed that they were insolvent on a cashflow basis at the time of the charge being granted per section 123 of the Insolvency Act</w:t>
      </w:r>
      <w:r w:rsidR="00F90D40">
        <w:rPr>
          <w:rFonts w:ascii="Arial" w:hAnsi="Arial" w:cs="Arial"/>
          <w:sz w:val="24"/>
        </w:rPr>
        <w:t xml:space="preserve"> as they could not repay on demand</w:t>
      </w:r>
      <w:r w:rsidR="00EC5E01">
        <w:rPr>
          <w:rFonts w:ascii="Arial" w:hAnsi="Arial" w:cs="Arial"/>
          <w:sz w:val="24"/>
        </w:rPr>
        <w:t xml:space="preserve"> and had to negotiate an alternate solution</w:t>
      </w:r>
      <w:r w:rsidR="00920AA0">
        <w:rPr>
          <w:rFonts w:ascii="Arial" w:hAnsi="Arial" w:cs="Arial"/>
          <w:sz w:val="24"/>
        </w:rPr>
        <w:t>.</w:t>
      </w:r>
    </w:p>
    <w:p w14:paraId="60F7BCA9" w14:textId="77777777" w:rsidR="00043CE7" w:rsidRDefault="00043CE7" w:rsidP="007E2919">
      <w:pPr>
        <w:rPr>
          <w:rFonts w:ascii="Arial" w:hAnsi="Arial" w:cs="Arial"/>
          <w:sz w:val="24"/>
        </w:rPr>
      </w:pPr>
    </w:p>
    <w:p w14:paraId="74C366AC" w14:textId="0A53475D" w:rsidR="007E2919" w:rsidRPr="00994E4F" w:rsidRDefault="00920AA0" w:rsidP="007E2919">
      <w:pPr>
        <w:rPr>
          <w:rFonts w:ascii="Arial" w:hAnsi="Arial" w:cs="Arial"/>
          <w:sz w:val="24"/>
        </w:rPr>
      </w:pPr>
      <w:proofErr w:type="spellStart"/>
      <w:r>
        <w:rPr>
          <w:rFonts w:ascii="Arial" w:hAnsi="Arial" w:cs="Arial"/>
          <w:sz w:val="24"/>
        </w:rPr>
        <w:t>Stercus</w:t>
      </w:r>
      <w:proofErr w:type="spellEnd"/>
      <w:r w:rsidR="000A7EDF">
        <w:rPr>
          <w:rFonts w:ascii="Arial" w:hAnsi="Arial" w:cs="Arial"/>
          <w:sz w:val="24"/>
        </w:rPr>
        <w:t xml:space="preserve"> may benefit from the prescribed part </w:t>
      </w:r>
      <w:r>
        <w:rPr>
          <w:rFonts w:ascii="Arial" w:hAnsi="Arial" w:cs="Arial"/>
          <w:sz w:val="24"/>
        </w:rPr>
        <w:t>i</w:t>
      </w:r>
      <w:r w:rsidR="000A7EDF">
        <w:rPr>
          <w:rFonts w:ascii="Arial" w:hAnsi="Arial" w:cs="Arial"/>
          <w:sz w:val="24"/>
        </w:rPr>
        <w:t>f there are any other floating charge creditors</w:t>
      </w:r>
      <w:r w:rsidR="00EC5E01">
        <w:rPr>
          <w:rFonts w:ascii="Arial" w:hAnsi="Arial" w:cs="Arial"/>
          <w:sz w:val="24"/>
        </w:rPr>
        <w:t>, which appears unlikely as they were granted a floating charge over all assets with no mention of a junior security or subordination agreement</w:t>
      </w:r>
      <w:r w:rsidR="000A7EDF">
        <w:rPr>
          <w:rFonts w:ascii="Arial" w:hAnsi="Arial" w:cs="Arial"/>
          <w:sz w:val="24"/>
        </w:rPr>
        <w:t xml:space="preserve">, otherwise they </w:t>
      </w:r>
      <w:r>
        <w:rPr>
          <w:rFonts w:ascii="Arial" w:hAnsi="Arial" w:cs="Arial"/>
          <w:sz w:val="24"/>
        </w:rPr>
        <w:t xml:space="preserve">will </w:t>
      </w:r>
      <w:r w:rsidR="000A7EDF">
        <w:rPr>
          <w:rFonts w:ascii="Arial" w:hAnsi="Arial" w:cs="Arial"/>
          <w:sz w:val="24"/>
        </w:rPr>
        <w:t>rank as unsecured creditors only without an</w:t>
      </w:r>
      <w:r w:rsidR="00BF5674">
        <w:rPr>
          <w:rFonts w:ascii="Arial" w:hAnsi="Arial" w:cs="Arial"/>
          <w:sz w:val="24"/>
        </w:rPr>
        <w:t>y ability to enforce under the security they were provided in February 2021.</w:t>
      </w:r>
      <w:r w:rsidR="004C127F">
        <w:rPr>
          <w:rFonts w:ascii="Arial" w:hAnsi="Arial" w:cs="Arial"/>
          <w:sz w:val="24"/>
        </w:rPr>
        <w:t xml:space="preserve"> They would however have been able to submit a statutory demand followed by a winding up petition if the statutory demand were</w:t>
      </w:r>
      <w:r w:rsidR="004F4A2E">
        <w:rPr>
          <w:rFonts w:ascii="Arial" w:hAnsi="Arial" w:cs="Arial"/>
          <w:sz w:val="24"/>
        </w:rPr>
        <w:t xml:space="preserve"> not dealt with.</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1D32CF48" w:rsidR="007E2919" w:rsidRDefault="007E2919" w:rsidP="007E2919">
      <w:pPr>
        <w:rPr>
          <w:rFonts w:ascii="Arial" w:hAnsi="Arial" w:cs="Arial"/>
          <w:b/>
          <w:sz w:val="24"/>
        </w:rPr>
      </w:pPr>
    </w:p>
    <w:p w14:paraId="4146BC05" w14:textId="77777777" w:rsidR="00FC0082" w:rsidRDefault="00FC0082" w:rsidP="007E2919">
      <w:pPr>
        <w:rPr>
          <w:rFonts w:ascii="Arial" w:hAnsi="Arial" w:cs="Arial"/>
          <w:b/>
          <w:sz w:val="24"/>
        </w:rPr>
      </w:pPr>
    </w:p>
    <w:p w14:paraId="0C7FAD81" w14:textId="77777777" w:rsidR="00B6616E" w:rsidRPr="00710918" w:rsidRDefault="00C34496" w:rsidP="008C3907">
      <w:pPr>
        <w:jc w:val="both"/>
        <w:rPr>
          <w:rFonts w:ascii="Arial" w:hAnsi="Arial" w:cs="Arial"/>
          <w:sz w:val="22"/>
          <w:szCs w:val="22"/>
          <w:lang w:val="en-GB"/>
        </w:rPr>
      </w:pPr>
      <w:r w:rsidRPr="00857CE8">
        <w:rPr>
          <w:rFonts w:ascii="Arial" w:hAnsi="Arial" w:cs="Arial"/>
          <w:sz w:val="22"/>
          <w:szCs w:val="22"/>
          <w:lang w:val="en-GB"/>
        </w:rPr>
        <w:t xml:space="preserve">Under section </w:t>
      </w:r>
      <w:r w:rsidR="0084052C" w:rsidRPr="00857CE8">
        <w:rPr>
          <w:rFonts w:ascii="Arial" w:hAnsi="Arial" w:cs="Arial"/>
          <w:sz w:val="22"/>
          <w:szCs w:val="22"/>
          <w:lang w:val="en-GB"/>
        </w:rPr>
        <w:t>238</w:t>
      </w:r>
      <w:r w:rsidRPr="00857CE8">
        <w:rPr>
          <w:rFonts w:ascii="Arial" w:hAnsi="Arial" w:cs="Arial"/>
          <w:sz w:val="22"/>
          <w:szCs w:val="22"/>
          <w:lang w:val="en-GB"/>
        </w:rPr>
        <w:t xml:space="preserve"> of the Insolvency Act </w:t>
      </w:r>
      <w:r w:rsidR="00C3512B" w:rsidRPr="00857CE8">
        <w:rPr>
          <w:rFonts w:ascii="Arial" w:hAnsi="Arial" w:cs="Arial"/>
          <w:sz w:val="22"/>
          <w:szCs w:val="22"/>
          <w:lang w:val="en-GB"/>
        </w:rPr>
        <w:t xml:space="preserve">a transaction can be considered </w:t>
      </w:r>
      <w:r w:rsidR="00981233" w:rsidRPr="00857CE8">
        <w:rPr>
          <w:rFonts w:ascii="Arial" w:hAnsi="Arial" w:cs="Arial"/>
          <w:sz w:val="22"/>
          <w:szCs w:val="22"/>
          <w:lang w:val="en-GB"/>
        </w:rPr>
        <w:t xml:space="preserve">a transaction to defraud creditors and is </w:t>
      </w:r>
      <w:r w:rsidR="00C3512B" w:rsidRPr="00857CE8">
        <w:rPr>
          <w:rFonts w:ascii="Arial" w:hAnsi="Arial" w:cs="Arial"/>
          <w:sz w:val="22"/>
          <w:szCs w:val="22"/>
          <w:lang w:val="en-GB"/>
        </w:rPr>
        <w:t xml:space="preserve">voidable </w:t>
      </w:r>
      <w:r w:rsidR="00981233" w:rsidRPr="00857CE8">
        <w:rPr>
          <w:rFonts w:ascii="Arial" w:hAnsi="Arial" w:cs="Arial"/>
          <w:sz w:val="22"/>
          <w:szCs w:val="22"/>
          <w:lang w:val="en-GB"/>
        </w:rPr>
        <w:t>if</w:t>
      </w:r>
      <w:r w:rsidR="008C3907" w:rsidRPr="00857CE8">
        <w:rPr>
          <w:rFonts w:ascii="Arial" w:hAnsi="Arial" w:cs="Arial"/>
          <w:sz w:val="22"/>
          <w:szCs w:val="22"/>
          <w:lang w:val="en-GB"/>
        </w:rPr>
        <w:t xml:space="preserve"> </w:t>
      </w:r>
      <w:r w:rsidR="00DC0683" w:rsidRPr="00857CE8">
        <w:rPr>
          <w:rFonts w:ascii="Arial" w:hAnsi="Arial" w:cs="Arial"/>
          <w:sz w:val="22"/>
          <w:szCs w:val="22"/>
          <w:lang w:val="en-GB"/>
        </w:rPr>
        <w:t xml:space="preserve">the company entered into a transaction </w:t>
      </w:r>
      <w:r w:rsidR="00C6107F" w:rsidRPr="00857CE8">
        <w:rPr>
          <w:rFonts w:ascii="Arial" w:hAnsi="Arial" w:cs="Arial"/>
          <w:sz w:val="22"/>
          <w:szCs w:val="22"/>
          <w:lang w:val="en-GB"/>
        </w:rPr>
        <w:t xml:space="preserve">which was at the date of the transaction significantly less than the value of consideration paid by the Company. </w:t>
      </w:r>
    </w:p>
    <w:p w14:paraId="5AF06EC7" w14:textId="77777777" w:rsidR="00B6616E" w:rsidRPr="00710918" w:rsidRDefault="00B6616E" w:rsidP="008C3907">
      <w:pPr>
        <w:jc w:val="both"/>
        <w:rPr>
          <w:rFonts w:ascii="Arial" w:hAnsi="Arial" w:cs="Arial"/>
          <w:sz w:val="22"/>
          <w:szCs w:val="22"/>
          <w:lang w:val="en-GB"/>
        </w:rPr>
      </w:pPr>
    </w:p>
    <w:p w14:paraId="31DD1489" w14:textId="70A253C8" w:rsidR="00C44197" w:rsidRDefault="00B6616E" w:rsidP="008C3907">
      <w:pPr>
        <w:jc w:val="both"/>
        <w:rPr>
          <w:rFonts w:ascii="Arial" w:hAnsi="Arial" w:cs="Arial"/>
          <w:sz w:val="22"/>
          <w:szCs w:val="22"/>
          <w:lang w:val="en-GB"/>
        </w:rPr>
      </w:pPr>
      <w:r w:rsidRPr="00710918">
        <w:rPr>
          <w:rFonts w:ascii="Arial" w:hAnsi="Arial" w:cs="Arial"/>
          <w:sz w:val="22"/>
          <w:szCs w:val="22"/>
          <w:lang w:val="en-GB"/>
        </w:rPr>
        <w:t xml:space="preserve">In this case, the director of the company has paid </w:t>
      </w:r>
      <w:r w:rsidR="00AC2DE9" w:rsidRPr="00710918">
        <w:rPr>
          <w:rFonts w:ascii="Arial" w:hAnsi="Arial" w:cs="Arial"/>
          <w:sz w:val="22"/>
          <w:szCs w:val="22"/>
          <w:lang w:val="en-GB"/>
        </w:rPr>
        <w:t xml:space="preserve">£10,000 in consideration for items purchased for </w:t>
      </w:r>
      <w:r w:rsidR="00AC2DE9" w:rsidRPr="00710918">
        <w:rPr>
          <w:rFonts w:ascii="Arial" w:hAnsi="Arial" w:cs="Arial"/>
          <w:sz w:val="22"/>
          <w:szCs w:val="22"/>
          <w:lang w:val="en-GB"/>
        </w:rPr>
        <w:t>£</w:t>
      </w:r>
      <w:r w:rsidR="00AC2DE9" w:rsidRPr="00710918">
        <w:rPr>
          <w:rFonts w:ascii="Arial" w:hAnsi="Arial" w:cs="Arial"/>
          <w:sz w:val="22"/>
          <w:szCs w:val="22"/>
          <w:lang w:val="en-GB"/>
        </w:rPr>
        <w:t>25,000</w:t>
      </w:r>
      <w:r w:rsidR="00901E98" w:rsidRPr="00710918">
        <w:rPr>
          <w:rFonts w:ascii="Arial" w:hAnsi="Arial" w:cs="Arial"/>
          <w:sz w:val="22"/>
          <w:szCs w:val="22"/>
          <w:lang w:val="en-GB"/>
        </w:rPr>
        <w:t xml:space="preserve"> </w:t>
      </w:r>
      <w:r w:rsidR="00AC2DE9" w:rsidRPr="00710918">
        <w:rPr>
          <w:rFonts w:ascii="Arial" w:hAnsi="Arial" w:cs="Arial"/>
          <w:sz w:val="22"/>
          <w:szCs w:val="22"/>
          <w:lang w:val="en-GB"/>
        </w:rPr>
        <w:t xml:space="preserve">representing a discount of 60% </w:t>
      </w:r>
      <w:r w:rsidR="00C44197" w:rsidRPr="00710918">
        <w:rPr>
          <w:rFonts w:ascii="Arial" w:hAnsi="Arial" w:cs="Arial"/>
          <w:sz w:val="22"/>
          <w:szCs w:val="22"/>
          <w:lang w:val="en-GB"/>
        </w:rPr>
        <w:t xml:space="preserve">of the original consideration paid by the company. </w:t>
      </w:r>
      <w:r w:rsidR="00301E2D">
        <w:rPr>
          <w:rFonts w:ascii="Arial" w:hAnsi="Arial" w:cs="Arial"/>
          <w:sz w:val="22"/>
          <w:szCs w:val="22"/>
          <w:lang w:val="en-GB"/>
        </w:rPr>
        <w:t xml:space="preserve">On the face of it, this transaction would appear to meet the criteria of section 238 </w:t>
      </w:r>
      <w:r w:rsidR="00B03647">
        <w:rPr>
          <w:rFonts w:ascii="Arial" w:hAnsi="Arial" w:cs="Arial"/>
          <w:sz w:val="22"/>
          <w:szCs w:val="22"/>
          <w:lang w:val="en-GB"/>
        </w:rPr>
        <w:t xml:space="preserve">as the </w:t>
      </w:r>
      <w:r w:rsidR="00B03647">
        <w:rPr>
          <w:rFonts w:ascii="Arial" w:hAnsi="Arial" w:cs="Arial"/>
          <w:sz w:val="22"/>
          <w:szCs w:val="22"/>
          <w:lang w:val="en-GB"/>
        </w:rPr>
        <w:lastRenderedPageBreak/>
        <w:t xml:space="preserve">purchase price is significantly less than the original purchase price. However, consideration should be given to </w:t>
      </w:r>
      <w:r w:rsidR="00B7737C">
        <w:rPr>
          <w:rFonts w:ascii="Arial" w:hAnsi="Arial" w:cs="Arial"/>
          <w:sz w:val="22"/>
          <w:szCs w:val="22"/>
          <w:lang w:val="en-GB"/>
        </w:rPr>
        <w:t xml:space="preserve">the current market value of the coffee roasting machines and whether market value was paid. This is not </w:t>
      </w:r>
      <w:r w:rsidR="00434C58">
        <w:rPr>
          <w:rFonts w:ascii="Arial" w:hAnsi="Arial" w:cs="Arial"/>
          <w:sz w:val="22"/>
          <w:szCs w:val="22"/>
          <w:lang w:val="en-GB"/>
        </w:rPr>
        <w:t xml:space="preserve">addressed </w:t>
      </w:r>
      <w:r w:rsidR="00434C58" w:rsidRPr="00710918">
        <w:rPr>
          <w:rFonts w:ascii="Arial" w:hAnsi="Arial" w:cs="Arial"/>
          <w:sz w:val="22"/>
          <w:szCs w:val="22"/>
          <w:lang w:val="en-GB"/>
        </w:rPr>
        <w:t>in</w:t>
      </w:r>
      <w:r w:rsidR="00B7737C">
        <w:rPr>
          <w:rFonts w:ascii="Arial" w:hAnsi="Arial" w:cs="Arial"/>
          <w:sz w:val="22"/>
          <w:szCs w:val="22"/>
          <w:lang w:val="en-GB"/>
        </w:rPr>
        <w:t xml:space="preserve"> the case study.</w:t>
      </w:r>
    </w:p>
    <w:p w14:paraId="5AD23924" w14:textId="4DE70586" w:rsidR="00F772F1" w:rsidRDefault="00F772F1" w:rsidP="008C3907">
      <w:pPr>
        <w:jc w:val="both"/>
        <w:rPr>
          <w:rFonts w:ascii="Arial" w:hAnsi="Arial" w:cs="Arial"/>
          <w:sz w:val="22"/>
          <w:szCs w:val="22"/>
          <w:lang w:val="en-GB"/>
        </w:rPr>
      </w:pPr>
    </w:p>
    <w:p w14:paraId="32CBD1A7" w14:textId="4FE24F09" w:rsidR="00F772F1" w:rsidRPr="00710918" w:rsidRDefault="00F772F1" w:rsidP="008C3907">
      <w:pPr>
        <w:jc w:val="both"/>
        <w:rPr>
          <w:rFonts w:ascii="Arial" w:hAnsi="Arial" w:cs="Arial"/>
          <w:sz w:val="22"/>
          <w:szCs w:val="22"/>
          <w:lang w:val="en-GB"/>
        </w:rPr>
      </w:pPr>
      <w:r>
        <w:rPr>
          <w:rFonts w:ascii="Arial" w:hAnsi="Arial" w:cs="Arial"/>
          <w:sz w:val="22"/>
          <w:szCs w:val="22"/>
          <w:lang w:val="en-GB"/>
        </w:rPr>
        <w:t xml:space="preserve">The transaction </w:t>
      </w:r>
      <w:r w:rsidR="00434C58">
        <w:rPr>
          <w:rFonts w:ascii="Arial" w:hAnsi="Arial" w:cs="Arial"/>
          <w:sz w:val="22"/>
          <w:szCs w:val="22"/>
          <w:lang w:val="en-GB"/>
        </w:rPr>
        <w:t xml:space="preserve">also </w:t>
      </w:r>
      <w:r>
        <w:rPr>
          <w:rFonts w:ascii="Arial" w:hAnsi="Arial" w:cs="Arial"/>
          <w:sz w:val="22"/>
          <w:szCs w:val="22"/>
          <w:lang w:val="en-GB"/>
        </w:rPr>
        <w:t xml:space="preserve">took place at a time when </w:t>
      </w:r>
      <w:r w:rsidR="00A67180">
        <w:rPr>
          <w:rFonts w:ascii="Arial" w:hAnsi="Arial" w:cs="Arial"/>
          <w:sz w:val="22"/>
          <w:szCs w:val="22"/>
          <w:lang w:val="en-GB"/>
        </w:rPr>
        <w:t>the company</w:t>
      </w:r>
      <w:r>
        <w:rPr>
          <w:rFonts w:ascii="Arial" w:hAnsi="Arial" w:cs="Arial"/>
          <w:sz w:val="22"/>
          <w:szCs w:val="22"/>
          <w:lang w:val="en-GB"/>
        </w:rPr>
        <w:t xml:space="preserve"> </w:t>
      </w:r>
      <w:r w:rsidR="00F50451">
        <w:rPr>
          <w:rFonts w:ascii="Arial" w:hAnsi="Arial" w:cs="Arial"/>
          <w:sz w:val="22"/>
          <w:szCs w:val="22"/>
          <w:lang w:val="en-GB"/>
        </w:rPr>
        <w:t xml:space="preserve">would have known it was having liquidity issues given the </w:t>
      </w:r>
      <w:r w:rsidR="00A67180">
        <w:rPr>
          <w:rFonts w:ascii="Arial" w:hAnsi="Arial" w:cs="Arial"/>
          <w:sz w:val="22"/>
          <w:szCs w:val="22"/>
          <w:lang w:val="en-GB"/>
        </w:rPr>
        <w:t xml:space="preserve">security it had to negotiate with </w:t>
      </w:r>
      <w:proofErr w:type="spellStart"/>
      <w:r w:rsidR="00A67180">
        <w:rPr>
          <w:rFonts w:ascii="Arial" w:hAnsi="Arial" w:cs="Arial"/>
          <w:sz w:val="22"/>
          <w:szCs w:val="22"/>
          <w:lang w:val="en-GB"/>
        </w:rPr>
        <w:t>S</w:t>
      </w:r>
      <w:r w:rsidR="00826DB5">
        <w:rPr>
          <w:rFonts w:ascii="Arial" w:hAnsi="Arial" w:cs="Arial"/>
          <w:sz w:val="22"/>
          <w:szCs w:val="22"/>
          <w:lang w:val="en-GB"/>
        </w:rPr>
        <w:t>tercus</w:t>
      </w:r>
      <w:proofErr w:type="spellEnd"/>
      <w:r w:rsidR="00826DB5">
        <w:rPr>
          <w:rFonts w:ascii="Arial" w:hAnsi="Arial" w:cs="Arial"/>
          <w:sz w:val="22"/>
          <w:szCs w:val="22"/>
          <w:lang w:val="en-GB"/>
        </w:rPr>
        <w:t xml:space="preserve"> Bank to avoid a repayment demand being issued. </w:t>
      </w:r>
    </w:p>
    <w:p w14:paraId="348A68C7" w14:textId="77777777" w:rsidR="00C44197" w:rsidRPr="00710918" w:rsidRDefault="00C44197" w:rsidP="008C3907">
      <w:pPr>
        <w:jc w:val="both"/>
        <w:rPr>
          <w:rFonts w:ascii="Arial" w:hAnsi="Arial" w:cs="Arial"/>
          <w:sz w:val="22"/>
          <w:szCs w:val="22"/>
          <w:lang w:val="en-GB"/>
        </w:rPr>
      </w:pPr>
    </w:p>
    <w:p w14:paraId="774B9879" w14:textId="37FEE403" w:rsidR="0070691D" w:rsidRDefault="00C44197" w:rsidP="008C3907">
      <w:pPr>
        <w:jc w:val="both"/>
        <w:rPr>
          <w:rFonts w:ascii="Arial" w:hAnsi="Arial" w:cs="Arial"/>
          <w:sz w:val="22"/>
          <w:szCs w:val="22"/>
          <w:lang w:val="en-GB"/>
        </w:rPr>
      </w:pPr>
      <w:r w:rsidRPr="00710918">
        <w:rPr>
          <w:rFonts w:ascii="Arial" w:hAnsi="Arial" w:cs="Arial"/>
          <w:sz w:val="22"/>
          <w:szCs w:val="22"/>
          <w:lang w:val="en-GB"/>
        </w:rPr>
        <w:t xml:space="preserve">Additionally, the transaction has taken place withing the relevant time being within the two years prior to the commencement of the </w:t>
      </w:r>
      <w:r w:rsidR="00710918" w:rsidRPr="00710918">
        <w:rPr>
          <w:rFonts w:ascii="Arial" w:hAnsi="Arial" w:cs="Arial"/>
          <w:sz w:val="22"/>
          <w:szCs w:val="22"/>
          <w:lang w:val="en-GB"/>
        </w:rPr>
        <w:t>Liquidation</w:t>
      </w:r>
      <w:r w:rsidRPr="00710918">
        <w:rPr>
          <w:rFonts w:ascii="Arial" w:hAnsi="Arial" w:cs="Arial"/>
          <w:sz w:val="22"/>
          <w:szCs w:val="22"/>
          <w:lang w:val="en-GB"/>
        </w:rPr>
        <w:t>.</w:t>
      </w:r>
      <w:r w:rsidR="006C3B5A">
        <w:rPr>
          <w:rFonts w:ascii="Arial" w:hAnsi="Arial" w:cs="Arial"/>
          <w:sz w:val="22"/>
          <w:szCs w:val="22"/>
          <w:lang w:val="en-GB"/>
        </w:rPr>
        <w:t xml:space="preserve"> </w:t>
      </w:r>
    </w:p>
    <w:p w14:paraId="487E1577" w14:textId="280A4FEC" w:rsidR="00826DB5" w:rsidRDefault="00826DB5" w:rsidP="008C3907">
      <w:pPr>
        <w:jc w:val="both"/>
        <w:rPr>
          <w:rFonts w:ascii="Arial" w:hAnsi="Arial" w:cs="Arial"/>
          <w:sz w:val="22"/>
          <w:szCs w:val="22"/>
          <w:lang w:val="en-GB"/>
        </w:rPr>
      </w:pPr>
    </w:p>
    <w:p w14:paraId="5B0FF201" w14:textId="77777777" w:rsidR="00620F4A" w:rsidRDefault="00826DB5" w:rsidP="008C3907">
      <w:pPr>
        <w:jc w:val="both"/>
        <w:rPr>
          <w:rFonts w:ascii="Arial" w:hAnsi="Arial" w:cs="Arial"/>
          <w:sz w:val="22"/>
          <w:szCs w:val="22"/>
          <w:lang w:val="en-GB"/>
        </w:rPr>
      </w:pPr>
      <w:r>
        <w:rPr>
          <w:rFonts w:ascii="Arial" w:hAnsi="Arial" w:cs="Arial"/>
          <w:sz w:val="22"/>
          <w:szCs w:val="22"/>
          <w:lang w:val="en-GB"/>
        </w:rPr>
        <w:t xml:space="preserve">The above facts would lead a </w:t>
      </w:r>
      <w:r w:rsidR="00795080">
        <w:rPr>
          <w:rFonts w:ascii="Arial" w:hAnsi="Arial" w:cs="Arial"/>
          <w:sz w:val="22"/>
          <w:szCs w:val="22"/>
          <w:lang w:val="en-GB"/>
        </w:rPr>
        <w:t xml:space="preserve">Liquidator to consider the section 238 transaction at undervalue application being made. </w:t>
      </w:r>
    </w:p>
    <w:p w14:paraId="31724DC0" w14:textId="77777777" w:rsidR="00620F4A" w:rsidRDefault="00620F4A" w:rsidP="008C3907">
      <w:pPr>
        <w:jc w:val="both"/>
        <w:rPr>
          <w:rFonts w:ascii="Arial" w:hAnsi="Arial" w:cs="Arial"/>
          <w:sz w:val="22"/>
          <w:szCs w:val="22"/>
          <w:lang w:val="en-GB"/>
        </w:rPr>
      </w:pPr>
    </w:p>
    <w:p w14:paraId="2EA8D479" w14:textId="6FD61522" w:rsidR="00826DB5" w:rsidRDefault="00795080" w:rsidP="008C3907">
      <w:pPr>
        <w:jc w:val="both"/>
        <w:rPr>
          <w:rFonts w:ascii="Arial" w:hAnsi="Arial" w:cs="Arial"/>
          <w:sz w:val="22"/>
          <w:szCs w:val="22"/>
          <w:lang w:val="en-GB"/>
        </w:rPr>
      </w:pPr>
      <w:r>
        <w:rPr>
          <w:rFonts w:ascii="Arial" w:hAnsi="Arial" w:cs="Arial"/>
          <w:sz w:val="22"/>
          <w:szCs w:val="22"/>
          <w:lang w:val="en-GB"/>
        </w:rPr>
        <w:t>However,</w:t>
      </w:r>
      <w:r w:rsidR="00620F4A">
        <w:rPr>
          <w:rFonts w:ascii="Arial" w:hAnsi="Arial" w:cs="Arial"/>
          <w:sz w:val="22"/>
          <w:szCs w:val="22"/>
          <w:lang w:val="en-GB"/>
        </w:rPr>
        <w:t xml:space="preserve"> there are some strong defences here. </w:t>
      </w:r>
      <w:r w:rsidR="007721DA">
        <w:rPr>
          <w:rFonts w:ascii="Arial" w:hAnsi="Arial" w:cs="Arial"/>
          <w:sz w:val="22"/>
          <w:szCs w:val="22"/>
          <w:lang w:val="en-GB"/>
        </w:rPr>
        <w:t xml:space="preserve">As the board of the company voted for the sale it could be argued that the transaction was made with the best interests of the company </w:t>
      </w:r>
      <w:r w:rsidR="00DE1085">
        <w:rPr>
          <w:rFonts w:ascii="Arial" w:hAnsi="Arial" w:cs="Arial"/>
          <w:sz w:val="22"/>
          <w:szCs w:val="22"/>
          <w:lang w:val="en-GB"/>
        </w:rPr>
        <w:t xml:space="preserve">in mind as it was entered into in good faith in order to carry on the company’s business. Additionally, </w:t>
      </w:r>
      <w:r>
        <w:rPr>
          <w:rFonts w:ascii="Arial" w:hAnsi="Arial" w:cs="Arial"/>
          <w:sz w:val="22"/>
          <w:szCs w:val="22"/>
          <w:lang w:val="en-GB"/>
        </w:rPr>
        <w:t xml:space="preserve">without </w:t>
      </w:r>
      <w:r w:rsidR="00620F4A">
        <w:rPr>
          <w:rFonts w:ascii="Arial" w:hAnsi="Arial" w:cs="Arial"/>
          <w:sz w:val="22"/>
          <w:szCs w:val="22"/>
          <w:lang w:val="en-GB"/>
        </w:rPr>
        <w:t xml:space="preserve">a valuation of the machines as at the date of sale being available </w:t>
      </w:r>
      <w:r w:rsidR="00DE1085">
        <w:rPr>
          <w:rFonts w:ascii="Arial" w:hAnsi="Arial" w:cs="Arial"/>
          <w:sz w:val="22"/>
          <w:szCs w:val="22"/>
          <w:lang w:val="en-GB"/>
        </w:rPr>
        <w:t>it is difficult to confirm that this is a transaction at undervalue.</w:t>
      </w:r>
    </w:p>
    <w:p w14:paraId="02F59E6F" w14:textId="23CBBD27" w:rsidR="00DE1085" w:rsidRDefault="00DE1085" w:rsidP="008C3907">
      <w:pPr>
        <w:jc w:val="both"/>
        <w:rPr>
          <w:rFonts w:ascii="Arial" w:hAnsi="Arial" w:cs="Arial"/>
          <w:sz w:val="22"/>
          <w:szCs w:val="22"/>
          <w:lang w:val="en-GB"/>
        </w:rPr>
      </w:pPr>
    </w:p>
    <w:p w14:paraId="5A2436D1" w14:textId="417206CA" w:rsidR="00DE1085" w:rsidRPr="00710918" w:rsidRDefault="00DE1085" w:rsidP="008C3907">
      <w:pPr>
        <w:jc w:val="both"/>
        <w:rPr>
          <w:rFonts w:ascii="Arial" w:hAnsi="Arial" w:cs="Arial"/>
          <w:sz w:val="22"/>
          <w:szCs w:val="22"/>
          <w:lang w:val="en-GB"/>
        </w:rPr>
      </w:pPr>
      <w:r>
        <w:rPr>
          <w:rFonts w:ascii="Arial" w:hAnsi="Arial" w:cs="Arial"/>
          <w:sz w:val="22"/>
          <w:szCs w:val="22"/>
          <w:lang w:val="en-GB"/>
        </w:rPr>
        <w:t xml:space="preserve">Therefore, on the basis of the facts set out above a Liquidator would at this stage require further investigation of the transaction be made before </w:t>
      </w:r>
      <w:proofErr w:type="gramStart"/>
      <w:r>
        <w:rPr>
          <w:rFonts w:ascii="Arial" w:hAnsi="Arial" w:cs="Arial"/>
          <w:sz w:val="22"/>
          <w:szCs w:val="22"/>
          <w:lang w:val="en-GB"/>
        </w:rPr>
        <w:t xml:space="preserve">taking </w:t>
      </w:r>
      <w:r w:rsidR="00C96A89">
        <w:rPr>
          <w:rFonts w:ascii="Arial" w:hAnsi="Arial" w:cs="Arial"/>
          <w:sz w:val="22"/>
          <w:szCs w:val="22"/>
          <w:lang w:val="en-GB"/>
        </w:rPr>
        <w:t>action</w:t>
      </w:r>
      <w:proofErr w:type="gramEnd"/>
      <w:r w:rsidR="00C96A89">
        <w:rPr>
          <w:rFonts w:ascii="Arial" w:hAnsi="Arial" w:cs="Arial"/>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2F9CFB7A" w:rsidR="00B04033" w:rsidRDefault="007E2919" w:rsidP="00B04033">
      <w:pPr>
        <w:rPr>
          <w:rFonts w:ascii="Arial" w:hAnsi="Arial" w:cs="Arial"/>
          <w:b/>
        </w:rPr>
      </w:pPr>
      <w:r w:rsidRPr="007E2919">
        <w:rPr>
          <w:rFonts w:ascii="Arial" w:hAnsi="Arial" w:cs="Arial"/>
          <w:b/>
        </w:rPr>
        <w:t xml:space="preserve"> </w:t>
      </w:r>
    </w:p>
    <w:p w14:paraId="346837D6" w14:textId="77777777" w:rsidR="00FC0082" w:rsidRDefault="00FC0082" w:rsidP="00B04033">
      <w:pPr>
        <w:rPr>
          <w:rFonts w:ascii="Arial" w:hAnsi="Arial" w:cs="Arial"/>
          <w:b/>
        </w:rPr>
      </w:pPr>
    </w:p>
    <w:p w14:paraId="3944217E" w14:textId="3F43AE94" w:rsidR="008769B2" w:rsidRPr="00FC0082" w:rsidRDefault="00D9250F" w:rsidP="00FC0082">
      <w:pPr>
        <w:autoSpaceDE w:val="0"/>
        <w:autoSpaceDN w:val="0"/>
        <w:adjustRightInd w:val="0"/>
        <w:jc w:val="both"/>
        <w:rPr>
          <w:rFonts w:ascii="Arial" w:hAnsi="Arial" w:cs="Arial"/>
          <w:sz w:val="22"/>
          <w:szCs w:val="22"/>
          <w:lang w:val="en-GB"/>
        </w:rPr>
      </w:pPr>
      <w:r w:rsidRPr="00FC0082">
        <w:rPr>
          <w:rFonts w:ascii="Arial" w:hAnsi="Arial" w:cs="Arial"/>
          <w:sz w:val="22"/>
          <w:szCs w:val="22"/>
          <w:lang w:val="en-GB"/>
        </w:rPr>
        <w:t>The</w:t>
      </w:r>
      <w:r w:rsidR="005F3C6C" w:rsidRPr="00FC0082">
        <w:rPr>
          <w:rFonts w:ascii="Arial" w:hAnsi="Arial" w:cs="Arial"/>
          <w:sz w:val="22"/>
          <w:szCs w:val="22"/>
          <w:lang w:val="en-GB"/>
        </w:rPr>
        <w:t xml:space="preserve">re are two points of concern with the payments to the supplier. </w:t>
      </w:r>
    </w:p>
    <w:p w14:paraId="228D361D" w14:textId="1E61C1EA" w:rsidR="005F3C6C" w:rsidRPr="00FC0082" w:rsidRDefault="005F3C6C" w:rsidP="00FC0082">
      <w:pPr>
        <w:autoSpaceDE w:val="0"/>
        <w:autoSpaceDN w:val="0"/>
        <w:adjustRightInd w:val="0"/>
        <w:jc w:val="both"/>
        <w:rPr>
          <w:rFonts w:ascii="Arial" w:hAnsi="Arial" w:cs="Arial"/>
          <w:sz w:val="22"/>
          <w:szCs w:val="22"/>
          <w:lang w:val="en-GB"/>
        </w:rPr>
      </w:pPr>
    </w:p>
    <w:p w14:paraId="2758FD82" w14:textId="13C531F6" w:rsidR="005F3C6C" w:rsidRPr="00FC0082" w:rsidRDefault="005F3C6C" w:rsidP="00FC0082">
      <w:pPr>
        <w:autoSpaceDE w:val="0"/>
        <w:autoSpaceDN w:val="0"/>
        <w:adjustRightInd w:val="0"/>
        <w:jc w:val="both"/>
        <w:rPr>
          <w:rFonts w:ascii="Arial" w:hAnsi="Arial" w:cs="Arial"/>
          <w:sz w:val="22"/>
          <w:szCs w:val="22"/>
          <w:lang w:val="en-GB"/>
        </w:rPr>
      </w:pPr>
      <w:r w:rsidRPr="00FC0082">
        <w:rPr>
          <w:rFonts w:ascii="Arial" w:hAnsi="Arial" w:cs="Arial"/>
          <w:sz w:val="22"/>
          <w:szCs w:val="22"/>
          <w:lang w:val="en-GB"/>
        </w:rPr>
        <w:t xml:space="preserve">Firstly, the </w:t>
      </w:r>
      <w:r w:rsidR="004974B3" w:rsidRPr="00FC0082">
        <w:rPr>
          <w:rFonts w:ascii="Arial" w:hAnsi="Arial" w:cs="Arial"/>
          <w:sz w:val="22"/>
          <w:szCs w:val="22"/>
          <w:lang w:val="en-GB"/>
        </w:rPr>
        <w:t xml:space="preserve">payment of £8,000 </w:t>
      </w:r>
      <w:r w:rsidR="00220675" w:rsidRPr="00FC0082">
        <w:rPr>
          <w:rFonts w:ascii="Arial" w:hAnsi="Arial" w:cs="Arial"/>
          <w:sz w:val="22"/>
          <w:szCs w:val="22"/>
          <w:lang w:val="en-GB"/>
        </w:rPr>
        <w:t xml:space="preserve">made to the supplier to clear back dated liabilities could be considered a preference transaction under section 239. </w:t>
      </w:r>
      <w:r w:rsidR="001B6136" w:rsidRPr="00FC0082">
        <w:rPr>
          <w:rFonts w:ascii="Arial" w:hAnsi="Arial" w:cs="Arial"/>
          <w:sz w:val="22"/>
          <w:szCs w:val="22"/>
          <w:lang w:val="en-GB"/>
        </w:rPr>
        <w:t xml:space="preserve">Under section 239 the company cannot put one of its creditors in a better position than the others by </w:t>
      </w:r>
      <w:r w:rsidR="00F03E52" w:rsidRPr="00FC0082">
        <w:rPr>
          <w:rFonts w:ascii="Arial" w:hAnsi="Arial" w:cs="Arial"/>
          <w:sz w:val="22"/>
          <w:szCs w:val="22"/>
          <w:lang w:val="en-GB"/>
        </w:rPr>
        <w:t xml:space="preserve">repaying its outstanding debts. </w:t>
      </w:r>
    </w:p>
    <w:p w14:paraId="0F1A76F2" w14:textId="0551EDD2" w:rsidR="009B5599" w:rsidRPr="00FC0082" w:rsidRDefault="009B5599" w:rsidP="00FC0082">
      <w:pPr>
        <w:autoSpaceDE w:val="0"/>
        <w:autoSpaceDN w:val="0"/>
        <w:adjustRightInd w:val="0"/>
        <w:jc w:val="both"/>
        <w:rPr>
          <w:rFonts w:ascii="Arial" w:hAnsi="Arial" w:cs="Arial"/>
          <w:sz w:val="22"/>
          <w:szCs w:val="22"/>
          <w:lang w:val="en-GB"/>
        </w:rPr>
      </w:pPr>
    </w:p>
    <w:p w14:paraId="331D44D7" w14:textId="074EC9F3" w:rsidR="009B5599" w:rsidRPr="00FC0082" w:rsidRDefault="009B5599" w:rsidP="00FC0082">
      <w:pPr>
        <w:autoSpaceDE w:val="0"/>
        <w:autoSpaceDN w:val="0"/>
        <w:adjustRightInd w:val="0"/>
        <w:jc w:val="both"/>
        <w:rPr>
          <w:rFonts w:ascii="Arial" w:hAnsi="Arial" w:cs="Arial"/>
          <w:sz w:val="22"/>
          <w:szCs w:val="22"/>
          <w:lang w:val="en-GB"/>
        </w:rPr>
      </w:pPr>
      <w:r w:rsidRPr="00FC0082">
        <w:rPr>
          <w:rFonts w:ascii="Arial" w:hAnsi="Arial" w:cs="Arial"/>
          <w:sz w:val="22"/>
          <w:szCs w:val="22"/>
          <w:lang w:val="en-GB"/>
        </w:rPr>
        <w:t xml:space="preserve">Section 239 requires that the preferred </w:t>
      </w:r>
      <w:r w:rsidR="00B122ED" w:rsidRPr="00FC0082">
        <w:rPr>
          <w:rFonts w:ascii="Arial" w:hAnsi="Arial" w:cs="Arial"/>
          <w:sz w:val="22"/>
          <w:szCs w:val="22"/>
          <w:lang w:val="en-GB"/>
        </w:rPr>
        <w:t xml:space="preserve">party was a creditor at the time of the transaction; was placed in a better position than if they had been a creditor in the insolvency proceeding; </w:t>
      </w:r>
      <w:r w:rsidR="00212B03" w:rsidRPr="00FC0082">
        <w:rPr>
          <w:rFonts w:ascii="Arial" w:hAnsi="Arial" w:cs="Arial"/>
          <w:sz w:val="22"/>
          <w:szCs w:val="22"/>
          <w:lang w:val="en-GB"/>
        </w:rPr>
        <w:t>the company had a desire to put the preferred party in a better position and the preference was given at a relevant time.</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4DD24C28" w14:textId="4DA669E1" w:rsidR="00D53897" w:rsidRDefault="00212B03"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supplier at the time of the preference payment was a creditor, was repaid in full rather than being subject to % dividend of their debt in the insolvency process, </w:t>
      </w:r>
      <w:r w:rsidR="00B031E6">
        <w:rPr>
          <w:rFonts w:ascii="Arial" w:hAnsi="Arial" w:cs="Arial"/>
          <w:sz w:val="22"/>
          <w:szCs w:val="22"/>
          <w:lang w:val="en-GB"/>
        </w:rPr>
        <w:t xml:space="preserve">and the payment was made within 6 months of the winding up order. </w:t>
      </w:r>
      <w:r w:rsidR="00D53897">
        <w:rPr>
          <w:rFonts w:ascii="Arial" w:hAnsi="Arial" w:cs="Arial"/>
          <w:sz w:val="22"/>
          <w:szCs w:val="22"/>
          <w:lang w:val="en-GB"/>
        </w:rPr>
        <w:t xml:space="preserve">the company could argue, however, that the preference was not desired as </w:t>
      </w:r>
      <w:r w:rsidR="00FC0082">
        <w:rPr>
          <w:rFonts w:ascii="Arial" w:hAnsi="Arial" w:cs="Arial"/>
          <w:sz w:val="22"/>
          <w:szCs w:val="22"/>
          <w:lang w:val="en-GB"/>
        </w:rPr>
        <w:t>it was influenced solely to continue to trade the business by securing its supplies</w:t>
      </w:r>
      <w:r w:rsidR="00467B45">
        <w:rPr>
          <w:rFonts w:ascii="Arial" w:hAnsi="Arial" w:cs="Arial"/>
          <w:sz w:val="22"/>
          <w:szCs w:val="22"/>
          <w:lang w:val="en-GB"/>
        </w:rPr>
        <w:t>, though it could equally be argued that the company could have sourced a separate supplier to avoid a preference payment being made, this however then leads into the second point of concern set out below.</w:t>
      </w:r>
    </w:p>
    <w:p w14:paraId="0438CC76" w14:textId="120877AD" w:rsidR="00467B45" w:rsidRDefault="00467B45" w:rsidP="00087F21">
      <w:pPr>
        <w:autoSpaceDE w:val="0"/>
        <w:autoSpaceDN w:val="0"/>
        <w:adjustRightInd w:val="0"/>
        <w:jc w:val="both"/>
        <w:rPr>
          <w:rFonts w:ascii="Arial" w:hAnsi="Arial" w:cs="Arial"/>
          <w:sz w:val="22"/>
          <w:szCs w:val="22"/>
          <w:lang w:val="en-GB"/>
        </w:rPr>
      </w:pPr>
    </w:p>
    <w:p w14:paraId="69E3F326" w14:textId="20F02426" w:rsidR="00467B45" w:rsidRDefault="00467B45"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payment in cash of </w:t>
      </w:r>
      <w:r w:rsidR="00B13B29">
        <w:rPr>
          <w:rFonts w:ascii="Arial" w:hAnsi="Arial" w:cs="Arial"/>
          <w:sz w:val="22"/>
          <w:szCs w:val="22"/>
          <w:lang w:val="en-GB"/>
        </w:rPr>
        <w:t>£3,000 and</w:t>
      </w:r>
      <w:r w:rsidR="00F3092F">
        <w:rPr>
          <w:rFonts w:ascii="Arial" w:hAnsi="Arial" w:cs="Arial"/>
          <w:sz w:val="22"/>
          <w:szCs w:val="22"/>
          <w:lang w:val="en-GB"/>
        </w:rPr>
        <w:t xml:space="preserve"> by implication the</w:t>
      </w:r>
      <w:r w:rsidR="00B13B29">
        <w:rPr>
          <w:rFonts w:ascii="Arial" w:hAnsi="Arial" w:cs="Arial"/>
          <w:sz w:val="22"/>
          <w:szCs w:val="22"/>
          <w:lang w:val="en-GB"/>
        </w:rPr>
        <w:t xml:space="preserve"> continued trading of the business is concerning as it is identified as having taken place” </w:t>
      </w:r>
      <w:r w:rsidR="00B13B29" w:rsidRPr="00B13B29">
        <w:rPr>
          <w:rFonts w:ascii="Arial" w:hAnsi="Arial" w:cs="Arial"/>
          <w:sz w:val="22"/>
          <w:szCs w:val="22"/>
          <w:lang w:val="en-GB"/>
        </w:rPr>
        <w:t>A month before the winding up order was made</w:t>
      </w:r>
      <w:r w:rsidR="00B13B29" w:rsidRPr="00B13B29">
        <w:rPr>
          <w:rFonts w:ascii="Arial" w:hAnsi="Arial" w:cs="Arial"/>
          <w:sz w:val="22"/>
          <w:szCs w:val="22"/>
          <w:lang w:val="en-GB"/>
        </w:rPr>
        <w:t>”</w:t>
      </w:r>
      <w:r w:rsidR="00F3092F">
        <w:rPr>
          <w:rFonts w:ascii="Arial" w:hAnsi="Arial" w:cs="Arial"/>
          <w:sz w:val="22"/>
          <w:szCs w:val="22"/>
          <w:lang w:val="en-GB"/>
        </w:rPr>
        <w:t xml:space="preserve">. The </w:t>
      </w:r>
      <w:r w:rsidR="00C50E6A">
        <w:rPr>
          <w:rFonts w:ascii="Arial" w:hAnsi="Arial" w:cs="Arial"/>
          <w:sz w:val="22"/>
          <w:szCs w:val="22"/>
          <w:lang w:val="en-GB"/>
        </w:rPr>
        <w:t xml:space="preserve">company at this stage would have been well aware of the likelihood of the appointment of a Liquidator having been in receipt of a statutory demand and </w:t>
      </w:r>
      <w:r w:rsidR="00BC52FD">
        <w:rPr>
          <w:rFonts w:ascii="Arial" w:hAnsi="Arial" w:cs="Arial"/>
          <w:sz w:val="22"/>
          <w:szCs w:val="22"/>
          <w:lang w:val="en-GB"/>
        </w:rPr>
        <w:t>the “</w:t>
      </w:r>
      <w:r w:rsidR="00BC52FD" w:rsidRPr="00BC52FD">
        <w:rPr>
          <w:rFonts w:ascii="Arial" w:hAnsi="Arial" w:cs="Arial"/>
          <w:sz w:val="22"/>
          <w:szCs w:val="22"/>
          <w:lang w:val="en-GB"/>
        </w:rPr>
        <w:t>creditor’s winding up petition issued on 14th October 2021.</w:t>
      </w:r>
      <w:r w:rsidR="00BC52FD" w:rsidRPr="00BC52FD">
        <w:rPr>
          <w:rFonts w:ascii="Arial" w:hAnsi="Arial" w:cs="Arial"/>
          <w:sz w:val="22"/>
          <w:szCs w:val="22"/>
          <w:lang w:val="en-GB"/>
        </w:rPr>
        <w:t>”</w:t>
      </w:r>
      <w:r w:rsidR="00BC52FD">
        <w:rPr>
          <w:rFonts w:ascii="Arial" w:hAnsi="Arial" w:cs="Arial"/>
          <w:sz w:val="22"/>
          <w:szCs w:val="22"/>
          <w:lang w:val="en-GB"/>
        </w:rPr>
        <w:t xml:space="preserve"> </w:t>
      </w:r>
    </w:p>
    <w:p w14:paraId="37A79C46" w14:textId="3422F46F" w:rsidR="00053A4B" w:rsidRDefault="00053A4B" w:rsidP="00087F21">
      <w:pPr>
        <w:autoSpaceDE w:val="0"/>
        <w:autoSpaceDN w:val="0"/>
        <w:adjustRightInd w:val="0"/>
        <w:jc w:val="both"/>
        <w:rPr>
          <w:rFonts w:ascii="Arial" w:hAnsi="Arial" w:cs="Arial"/>
          <w:sz w:val="22"/>
          <w:szCs w:val="22"/>
          <w:lang w:val="en-GB"/>
        </w:rPr>
      </w:pPr>
    </w:p>
    <w:p w14:paraId="3C081958" w14:textId="35E028E6" w:rsidR="00053A4B" w:rsidRDefault="00053A4B"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 xml:space="preserve">The facts set out above would leave </w:t>
      </w:r>
      <w:r w:rsidR="005C1D47">
        <w:rPr>
          <w:rFonts w:ascii="Arial" w:hAnsi="Arial" w:cs="Arial"/>
          <w:sz w:val="22"/>
          <w:szCs w:val="22"/>
          <w:lang w:val="en-GB"/>
        </w:rPr>
        <w:t xml:space="preserve">the directors exposed to action under section 214 of the Insolvency Act on the basis that </w:t>
      </w:r>
      <w:r w:rsidR="007C41B1">
        <w:rPr>
          <w:rFonts w:ascii="Arial" w:hAnsi="Arial" w:cs="Arial"/>
          <w:sz w:val="22"/>
          <w:szCs w:val="22"/>
          <w:lang w:val="en-GB"/>
        </w:rPr>
        <w:t xml:space="preserve">prior to the winding up order the directors would have reasonably known that the company </w:t>
      </w:r>
      <w:r w:rsidR="00BB7BC2">
        <w:rPr>
          <w:rFonts w:ascii="Arial" w:hAnsi="Arial" w:cs="Arial"/>
          <w:sz w:val="22"/>
          <w:szCs w:val="22"/>
          <w:lang w:val="en-GB"/>
        </w:rPr>
        <w:t>had no reasonable prospect of avoiding</w:t>
      </w:r>
      <w:r w:rsidR="007C41B1">
        <w:rPr>
          <w:rFonts w:ascii="Arial" w:hAnsi="Arial" w:cs="Arial"/>
          <w:sz w:val="22"/>
          <w:szCs w:val="22"/>
          <w:lang w:val="en-GB"/>
        </w:rPr>
        <w:t xml:space="preserve"> enter</w:t>
      </w:r>
      <w:r w:rsidR="00BB7BC2">
        <w:rPr>
          <w:rFonts w:ascii="Arial" w:hAnsi="Arial" w:cs="Arial"/>
          <w:sz w:val="22"/>
          <w:szCs w:val="22"/>
          <w:lang w:val="en-GB"/>
        </w:rPr>
        <w:t>ing</w:t>
      </w:r>
      <w:r w:rsidR="007C41B1">
        <w:rPr>
          <w:rFonts w:ascii="Arial" w:hAnsi="Arial" w:cs="Arial"/>
          <w:sz w:val="22"/>
          <w:szCs w:val="22"/>
          <w:lang w:val="en-GB"/>
        </w:rPr>
        <w:t xml:space="preserve"> liquidation</w:t>
      </w:r>
      <w:r w:rsidR="00BB7BC2">
        <w:rPr>
          <w:rFonts w:ascii="Arial" w:hAnsi="Arial" w:cs="Arial"/>
          <w:sz w:val="22"/>
          <w:szCs w:val="22"/>
          <w:lang w:val="en-GB"/>
        </w:rPr>
        <w:t xml:space="preserve"> given there appears to be no challenge to winding up </w:t>
      </w:r>
      <w:r w:rsidR="00474CF0">
        <w:rPr>
          <w:rFonts w:ascii="Arial" w:hAnsi="Arial" w:cs="Arial"/>
          <w:sz w:val="22"/>
          <w:szCs w:val="22"/>
          <w:lang w:val="en-GB"/>
        </w:rPr>
        <w:t>petition to set it aside.</w:t>
      </w:r>
    </w:p>
    <w:p w14:paraId="738DD5CB" w14:textId="234FCF93" w:rsidR="00474CF0" w:rsidRDefault="00474CF0" w:rsidP="00087F21">
      <w:pPr>
        <w:autoSpaceDE w:val="0"/>
        <w:autoSpaceDN w:val="0"/>
        <w:adjustRightInd w:val="0"/>
        <w:jc w:val="both"/>
        <w:rPr>
          <w:rFonts w:ascii="Arial" w:hAnsi="Arial" w:cs="Arial"/>
          <w:sz w:val="22"/>
          <w:szCs w:val="22"/>
          <w:lang w:val="en-GB"/>
        </w:rPr>
      </w:pPr>
    </w:p>
    <w:p w14:paraId="47DAF393" w14:textId="0C51963C" w:rsidR="00474CF0" w:rsidRDefault="00474CF0" w:rsidP="00087F21">
      <w:pPr>
        <w:autoSpaceDE w:val="0"/>
        <w:autoSpaceDN w:val="0"/>
        <w:adjustRightInd w:val="0"/>
        <w:jc w:val="both"/>
        <w:rPr>
          <w:rFonts w:ascii="Arial" w:hAnsi="Arial" w:cs="Arial"/>
          <w:sz w:val="22"/>
          <w:szCs w:val="22"/>
          <w:lang w:val="en-GB"/>
        </w:rPr>
      </w:pPr>
      <w:proofErr w:type="gramStart"/>
      <w:r>
        <w:rPr>
          <w:rFonts w:ascii="Arial" w:hAnsi="Arial" w:cs="Arial"/>
          <w:sz w:val="22"/>
          <w:szCs w:val="22"/>
          <w:lang w:val="en-GB"/>
        </w:rPr>
        <w:t>Again</w:t>
      </w:r>
      <w:proofErr w:type="gramEnd"/>
      <w:r>
        <w:rPr>
          <w:rFonts w:ascii="Arial" w:hAnsi="Arial" w:cs="Arial"/>
          <w:sz w:val="22"/>
          <w:szCs w:val="22"/>
          <w:lang w:val="en-GB"/>
        </w:rPr>
        <w:t xml:space="preserve"> the directors may argue that this action</w:t>
      </w:r>
      <w:r w:rsidR="00E97FAB">
        <w:rPr>
          <w:rFonts w:ascii="Arial" w:hAnsi="Arial" w:cs="Arial"/>
          <w:sz w:val="22"/>
          <w:szCs w:val="22"/>
          <w:lang w:val="en-GB"/>
        </w:rPr>
        <w:t xml:space="preserve"> was taken to</w:t>
      </w:r>
      <w:r>
        <w:rPr>
          <w:rFonts w:ascii="Arial" w:hAnsi="Arial" w:cs="Arial"/>
          <w:sz w:val="22"/>
          <w:szCs w:val="22"/>
          <w:lang w:val="en-GB"/>
        </w:rPr>
        <w:t xml:space="preserve"> reduce losses to the creditors by continuing to trade </w:t>
      </w:r>
      <w:r w:rsidR="00FE2DE1">
        <w:rPr>
          <w:rFonts w:ascii="Arial" w:hAnsi="Arial" w:cs="Arial"/>
          <w:sz w:val="22"/>
          <w:szCs w:val="22"/>
          <w:lang w:val="en-GB"/>
        </w:rPr>
        <w:t xml:space="preserve">the business to improve available </w:t>
      </w:r>
      <w:r w:rsidR="00E97FAB">
        <w:rPr>
          <w:rFonts w:ascii="Arial" w:hAnsi="Arial" w:cs="Arial"/>
          <w:sz w:val="22"/>
          <w:szCs w:val="22"/>
          <w:lang w:val="en-GB"/>
        </w:rPr>
        <w:t xml:space="preserve">cash for creditors, though without further information around the company’s business it is difficult to make a judgement here. For </w:t>
      </w:r>
      <w:proofErr w:type="gramStart"/>
      <w:r w:rsidR="00E97FAB">
        <w:rPr>
          <w:rFonts w:ascii="Arial" w:hAnsi="Arial" w:cs="Arial"/>
          <w:sz w:val="22"/>
          <w:szCs w:val="22"/>
          <w:lang w:val="en-GB"/>
        </w:rPr>
        <w:t>example</w:t>
      </w:r>
      <w:proofErr w:type="gramEnd"/>
      <w:r w:rsidR="00E97FAB">
        <w:rPr>
          <w:rFonts w:ascii="Arial" w:hAnsi="Arial" w:cs="Arial"/>
          <w:sz w:val="22"/>
          <w:szCs w:val="22"/>
          <w:lang w:val="en-GB"/>
        </w:rPr>
        <w:t xml:space="preserve"> if they were </w:t>
      </w:r>
      <w:r w:rsidR="002E6EF1">
        <w:rPr>
          <w:rFonts w:ascii="Arial" w:hAnsi="Arial" w:cs="Arial"/>
          <w:sz w:val="22"/>
          <w:szCs w:val="22"/>
          <w:lang w:val="en-GB"/>
        </w:rPr>
        <w:t xml:space="preserve">attempting to complete on a contract that would have avoided claims from the customer of breach of contract and instead would have seen </w:t>
      </w:r>
      <w:r w:rsidR="00E72A91">
        <w:rPr>
          <w:rFonts w:ascii="Arial" w:hAnsi="Arial" w:cs="Arial"/>
          <w:sz w:val="22"/>
          <w:szCs w:val="22"/>
          <w:lang w:val="en-GB"/>
        </w:rPr>
        <w:t>payments being received for contract completion.</w:t>
      </w:r>
    </w:p>
    <w:p w14:paraId="30FD436E" w14:textId="7F109F4F" w:rsidR="00E72A91" w:rsidRDefault="00E72A91" w:rsidP="00087F21">
      <w:pPr>
        <w:autoSpaceDE w:val="0"/>
        <w:autoSpaceDN w:val="0"/>
        <w:adjustRightInd w:val="0"/>
        <w:jc w:val="both"/>
        <w:rPr>
          <w:rFonts w:ascii="Arial" w:hAnsi="Arial" w:cs="Arial"/>
          <w:sz w:val="22"/>
          <w:szCs w:val="22"/>
          <w:lang w:val="en-GB"/>
        </w:rPr>
      </w:pPr>
    </w:p>
    <w:p w14:paraId="3BBC9D6C" w14:textId="1B690D2D" w:rsidR="00E72A91" w:rsidRDefault="00E72A91"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Further investigation from the Liquidator would need to be taken to assess the above potential actions.</w:t>
      </w:r>
    </w:p>
    <w:p w14:paraId="6071D437" w14:textId="09E73839" w:rsidR="00467B45" w:rsidRDefault="00467B45" w:rsidP="00087F21">
      <w:pPr>
        <w:autoSpaceDE w:val="0"/>
        <w:autoSpaceDN w:val="0"/>
        <w:adjustRightInd w:val="0"/>
        <w:jc w:val="both"/>
        <w:rPr>
          <w:rFonts w:ascii="Arial" w:hAnsi="Arial" w:cs="Arial"/>
          <w:sz w:val="22"/>
          <w:szCs w:val="22"/>
          <w:lang w:val="en-GB"/>
        </w:rPr>
      </w:pPr>
    </w:p>
    <w:p w14:paraId="066487F3" w14:textId="77777777" w:rsidR="00467B45" w:rsidRPr="002A37BB" w:rsidRDefault="00467B45"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DBDC" w14:textId="77777777" w:rsidR="00557F12" w:rsidRDefault="00557F12" w:rsidP="00241B44">
      <w:r>
        <w:separator/>
      </w:r>
    </w:p>
  </w:endnote>
  <w:endnote w:type="continuationSeparator" w:id="0">
    <w:p w14:paraId="623C10CA" w14:textId="77777777" w:rsidR="00557F12" w:rsidRDefault="00557F1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7323054D" w:rsidR="00241FA3" w:rsidRPr="009B4976" w:rsidRDefault="00D41518" w:rsidP="009B4976">
    <w:pPr>
      <w:pStyle w:val="Footer"/>
      <w:ind w:right="360"/>
      <w:rPr>
        <w:rFonts w:ascii="Arial" w:hAnsi="Arial" w:cs="Arial"/>
        <w:sz w:val="18"/>
        <w:szCs w:val="18"/>
        <w:lang w:val="en-GB"/>
      </w:rPr>
    </w:pPr>
    <w:r w:rsidRPr="002F218E">
      <w:rPr>
        <w:rFonts w:ascii="Arial" w:hAnsi="Arial" w:cs="Arial"/>
        <w:sz w:val="18"/>
        <w:szCs w:val="18"/>
      </w:rPr>
      <w:t>202122-560</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C7ED" w14:textId="77777777" w:rsidR="00583B73" w:rsidRDefault="00583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AC5BF" w14:textId="77777777" w:rsidR="00557F12" w:rsidRDefault="00557F12" w:rsidP="00241B44">
      <w:r>
        <w:separator/>
      </w:r>
    </w:p>
  </w:footnote>
  <w:footnote w:type="continuationSeparator" w:id="0">
    <w:p w14:paraId="19B3BAFD" w14:textId="77777777" w:rsidR="00557F12" w:rsidRDefault="00557F1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10B2" w14:textId="77777777" w:rsidR="00583B73" w:rsidRDefault="00583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F491" w14:textId="77777777" w:rsidR="00583B73" w:rsidRDefault="00583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DB0E" w14:textId="77777777" w:rsidR="00583B73" w:rsidRDefault="0058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93B19"/>
    <w:multiLevelType w:val="hybridMultilevel"/>
    <w:tmpl w:val="98044D16"/>
    <w:lvl w:ilvl="0" w:tplc="B1C2EDC8">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B7EB1"/>
    <w:multiLevelType w:val="hybridMultilevel"/>
    <w:tmpl w:val="98044D16"/>
    <w:lvl w:ilvl="0" w:tplc="B1C2EDC8">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0C35D0"/>
    <w:multiLevelType w:val="hybridMultilevel"/>
    <w:tmpl w:val="4F062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A7557"/>
    <w:multiLevelType w:val="hybridMultilevel"/>
    <w:tmpl w:val="AAEA7B9C"/>
    <w:lvl w:ilvl="0" w:tplc="6EA41D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2B0B28"/>
    <w:multiLevelType w:val="hybridMultilevel"/>
    <w:tmpl w:val="DDA49354"/>
    <w:lvl w:ilvl="0" w:tplc="6164D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1"/>
  </w:num>
  <w:num w:numId="5">
    <w:abstractNumId w:val="14"/>
  </w:num>
  <w:num w:numId="6">
    <w:abstractNumId w:val="2"/>
  </w:num>
  <w:num w:numId="7">
    <w:abstractNumId w:val="15"/>
  </w:num>
  <w:num w:numId="8">
    <w:abstractNumId w:val="20"/>
  </w:num>
  <w:num w:numId="9">
    <w:abstractNumId w:val="12"/>
  </w:num>
  <w:num w:numId="10">
    <w:abstractNumId w:val="21"/>
  </w:num>
  <w:num w:numId="11">
    <w:abstractNumId w:val="6"/>
  </w:num>
  <w:num w:numId="12">
    <w:abstractNumId w:val="17"/>
  </w:num>
  <w:num w:numId="13">
    <w:abstractNumId w:val="13"/>
  </w:num>
  <w:num w:numId="14">
    <w:abstractNumId w:val="5"/>
  </w:num>
  <w:num w:numId="15">
    <w:abstractNumId w:val="16"/>
  </w:num>
  <w:num w:numId="16">
    <w:abstractNumId w:val="18"/>
  </w:num>
  <w:num w:numId="17">
    <w:abstractNumId w:val="8"/>
  </w:num>
  <w:num w:numId="18">
    <w:abstractNumId w:val="3"/>
  </w:num>
  <w:num w:numId="19">
    <w:abstractNumId w:val="19"/>
  </w:num>
  <w:num w:numId="20">
    <w:abstractNumId w:val="7"/>
  </w:num>
  <w:num w:numId="21">
    <w:abstractNumId w:val="9"/>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3F7"/>
    <w:rsid w:val="00010BA0"/>
    <w:rsid w:val="00020557"/>
    <w:rsid w:val="00021FC2"/>
    <w:rsid w:val="000250C7"/>
    <w:rsid w:val="00026F16"/>
    <w:rsid w:val="00037621"/>
    <w:rsid w:val="00043CE7"/>
    <w:rsid w:val="00044D46"/>
    <w:rsid w:val="00045088"/>
    <w:rsid w:val="000451F8"/>
    <w:rsid w:val="00045904"/>
    <w:rsid w:val="000502FD"/>
    <w:rsid w:val="000535D9"/>
    <w:rsid w:val="00053A4B"/>
    <w:rsid w:val="00065166"/>
    <w:rsid w:val="0007058C"/>
    <w:rsid w:val="00070CDB"/>
    <w:rsid w:val="00082609"/>
    <w:rsid w:val="000851CC"/>
    <w:rsid w:val="00087F21"/>
    <w:rsid w:val="00093BE8"/>
    <w:rsid w:val="000A407B"/>
    <w:rsid w:val="000A68ED"/>
    <w:rsid w:val="000A7EDF"/>
    <w:rsid w:val="000B5FF1"/>
    <w:rsid w:val="000B609F"/>
    <w:rsid w:val="000D10C6"/>
    <w:rsid w:val="000D55A8"/>
    <w:rsid w:val="000E4841"/>
    <w:rsid w:val="000F0ED7"/>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6405B"/>
    <w:rsid w:val="00174610"/>
    <w:rsid w:val="00180548"/>
    <w:rsid w:val="00180AC4"/>
    <w:rsid w:val="00180CCE"/>
    <w:rsid w:val="0018267A"/>
    <w:rsid w:val="00182779"/>
    <w:rsid w:val="00182788"/>
    <w:rsid w:val="001830DF"/>
    <w:rsid w:val="00185CAF"/>
    <w:rsid w:val="00187F57"/>
    <w:rsid w:val="001966D9"/>
    <w:rsid w:val="001A007A"/>
    <w:rsid w:val="001A6E49"/>
    <w:rsid w:val="001A7E9A"/>
    <w:rsid w:val="001B0F70"/>
    <w:rsid w:val="001B5016"/>
    <w:rsid w:val="001B6136"/>
    <w:rsid w:val="001C45FC"/>
    <w:rsid w:val="001D0469"/>
    <w:rsid w:val="001D29C0"/>
    <w:rsid w:val="001D4862"/>
    <w:rsid w:val="001E25B9"/>
    <w:rsid w:val="001E49E0"/>
    <w:rsid w:val="001E7B5A"/>
    <w:rsid w:val="001F58AD"/>
    <w:rsid w:val="001F7412"/>
    <w:rsid w:val="0020090A"/>
    <w:rsid w:val="0020204E"/>
    <w:rsid w:val="00202DFE"/>
    <w:rsid w:val="0020725B"/>
    <w:rsid w:val="002110F1"/>
    <w:rsid w:val="00212B03"/>
    <w:rsid w:val="00220675"/>
    <w:rsid w:val="00221E51"/>
    <w:rsid w:val="002356EA"/>
    <w:rsid w:val="0024116D"/>
    <w:rsid w:val="00241B44"/>
    <w:rsid w:val="00241FA3"/>
    <w:rsid w:val="00245EFB"/>
    <w:rsid w:val="0025386E"/>
    <w:rsid w:val="002638B0"/>
    <w:rsid w:val="0026647A"/>
    <w:rsid w:val="002668D3"/>
    <w:rsid w:val="0027299F"/>
    <w:rsid w:val="00284EBE"/>
    <w:rsid w:val="00287B7D"/>
    <w:rsid w:val="002903A7"/>
    <w:rsid w:val="0029433F"/>
    <w:rsid w:val="00294829"/>
    <w:rsid w:val="0029690F"/>
    <w:rsid w:val="00297C8A"/>
    <w:rsid w:val="002A2A60"/>
    <w:rsid w:val="002A37BB"/>
    <w:rsid w:val="002A6B16"/>
    <w:rsid w:val="002B1C45"/>
    <w:rsid w:val="002B4302"/>
    <w:rsid w:val="002C0687"/>
    <w:rsid w:val="002C13C8"/>
    <w:rsid w:val="002C3547"/>
    <w:rsid w:val="002C46CB"/>
    <w:rsid w:val="002C639A"/>
    <w:rsid w:val="002D0021"/>
    <w:rsid w:val="002D299D"/>
    <w:rsid w:val="002D3473"/>
    <w:rsid w:val="002E6EF1"/>
    <w:rsid w:val="002F1956"/>
    <w:rsid w:val="002F3440"/>
    <w:rsid w:val="002F75A3"/>
    <w:rsid w:val="002F77D6"/>
    <w:rsid w:val="00301E2D"/>
    <w:rsid w:val="00303C2F"/>
    <w:rsid w:val="00304FAA"/>
    <w:rsid w:val="00311816"/>
    <w:rsid w:val="003144EF"/>
    <w:rsid w:val="00314C51"/>
    <w:rsid w:val="00314F32"/>
    <w:rsid w:val="00326292"/>
    <w:rsid w:val="00326415"/>
    <w:rsid w:val="00330937"/>
    <w:rsid w:val="00330F31"/>
    <w:rsid w:val="00334648"/>
    <w:rsid w:val="0033768C"/>
    <w:rsid w:val="00337938"/>
    <w:rsid w:val="00340769"/>
    <w:rsid w:val="00341AA6"/>
    <w:rsid w:val="0034610D"/>
    <w:rsid w:val="00357D98"/>
    <w:rsid w:val="00361A0A"/>
    <w:rsid w:val="00364034"/>
    <w:rsid w:val="00364836"/>
    <w:rsid w:val="0036565C"/>
    <w:rsid w:val="0036625E"/>
    <w:rsid w:val="003721F9"/>
    <w:rsid w:val="0037465A"/>
    <w:rsid w:val="00382C98"/>
    <w:rsid w:val="0038533C"/>
    <w:rsid w:val="00386568"/>
    <w:rsid w:val="00390700"/>
    <w:rsid w:val="00390B57"/>
    <w:rsid w:val="003948D5"/>
    <w:rsid w:val="00396821"/>
    <w:rsid w:val="00397D3A"/>
    <w:rsid w:val="003A051E"/>
    <w:rsid w:val="003A4482"/>
    <w:rsid w:val="003B170F"/>
    <w:rsid w:val="003B243F"/>
    <w:rsid w:val="003B3C5F"/>
    <w:rsid w:val="003C4471"/>
    <w:rsid w:val="003C7F52"/>
    <w:rsid w:val="003D0A6D"/>
    <w:rsid w:val="003E0B16"/>
    <w:rsid w:val="003E67D1"/>
    <w:rsid w:val="00404329"/>
    <w:rsid w:val="00405DC1"/>
    <w:rsid w:val="00415F1F"/>
    <w:rsid w:val="0042108F"/>
    <w:rsid w:val="00430FED"/>
    <w:rsid w:val="00432788"/>
    <w:rsid w:val="00434A8C"/>
    <w:rsid w:val="00434C58"/>
    <w:rsid w:val="00435114"/>
    <w:rsid w:val="00437297"/>
    <w:rsid w:val="00444284"/>
    <w:rsid w:val="00445CE6"/>
    <w:rsid w:val="004471EF"/>
    <w:rsid w:val="00450D5F"/>
    <w:rsid w:val="004534C2"/>
    <w:rsid w:val="0045446F"/>
    <w:rsid w:val="0045683E"/>
    <w:rsid w:val="00461F95"/>
    <w:rsid w:val="00467B45"/>
    <w:rsid w:val="0047356B"/>
    <w:rsid w:val="00474C2B"/>
    <w:rsid w:val="00474CF0"/>
    <w:rsid w:val="00477C72"/>
    <w:rsid w:val="00484761"/>
    <w:rsid w:val="00491675"/>
    <w:rsid w:val="00493855"/>
    <w:rsid w:val="00495E79"/>
    <w:rsid w:val="004974B3"/>
    <w:rsid w:val="004A2D83"/>
    <w:rsid w:val="004A57DD"/>
    <w:rsid w:val="004A7B51"/>
    <w:rsid w:val="004A7D71"/>
    <w:rsid w:val="004A7EF3"/>
    <w:rsid w:val="004B11FD"/>
    <w:rsid w:val="004B23A2"/>
    <w:rsid w:val="004C127F"/>
    <w:rsid w:val="004D1A5A"/>
    <w:rsid w:val="004D2FFF"/>
    <w:rsid w:val="004D3721"/>
    <w:rsid w:val="004D64F9"/>
    <w:rsid w:val="004E3A6B"/>
    <w:rsid w:val="004E622C"/>
    <w:rsid w:val="004F4A2E"/>
    <w:rsid w:val="004F5FDF"/>
    <w:rsid w:val="00516463"/>
    <w:rsid w:val="005173DB"/>
    <w:rsid w:val="005177FE"/>
    <w:rsid w:val="0052263B"/>
    <w:rsid w:val="00524728"/>
    <w:rsid w:val="005331CA"/>
    <w:rsid w:val="00537970"/>
    <w:rsid w:val="00540E3A"/>
    <w:rsid w:val="00544127"/>
    <w:rsid w:val="005463A9"/>
    <w:rsid w:val="00553EB2"/>
    <w:rsid w:val="00557F12"/>
    <w:rsid w:val="00560534"/>
    <w:rsid w:val="0056391B"/>
    <w:rsid w:val="005650E2"/>
    <w:rsid w:val="00567AD7"/>
    <w:rsid w:val="00575B2D"/>
    <w:rsid w:val="005833D0"/>
    <w:rsid w:val="00583B73"/>
    <w:rsid w:val="005846F3"/>
    <w:rsid w:val="0058622F"/>
    <w:rsid w:val="00592F82"/>
    <w:rsid w:val="00594C6A"/>
    <w:rsid w:val="005A0CCA"/>
    <w:rsid w:val="005A1083"/>
    <w:rsid w:val="005A6341"/>
    <w:rsid w:val="005A6FF2"/>
    <w:rsid w:val="005A726D"/>
    <w:rsid w:val="005B67AC"/>
    <w:rsid w:val="005B79F4"/>
    <w:rsid w:val="005C1D47"/>
    <w:rsid w:val="005D16DD"/>
    <w:rsid w:val="005D43E0"/>
    <w:rsid w:val="005D58A3"/>
    <w:rsid w:val="005E1B79"/>
    <w:rsid w:val="005E41C7"/>
    <w:rsid w:val="005E6076"/>
    <w:rsid w:val="005E7008"/>
    <w:rsid w:val="005F026D"/>
    <w:rsid w:val="005F2AEA"/>
    <w:rsid w:val="005F2D0B"/>
    <w:rsid w:val="005F3C6C"/>
    <w:rsid w:val="005F4B31"/>
    <w:rsid w:val="005F522E"/>
    <w:rsid w:val="00610388"/>
    <w:rsid w:val="00610AC7"/>
    <w:rsid w:val="00612CA5"/>
    <w:rsid w:val="006153EC"/>
    <w:rsid w:val="00620F4A"/>
    <w:rsid w:val="00621A17"/>
    <w:rsid w:val="00627CC9"/>
    <w:rsid w:val="00627E7B"/>
    <w:rsid w:val="00630542"/>
    <w:rsid w:val="00632E44"/>
    <w:rsid w:val="00634622"/>
    <w:rsid w:val="0063607A"/>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C3B5A"/>
    <w:rsid w:val="006D282B"/>
    <w:rsid w:val="006D6BD5"/>
    <w:rsid w:val="006E481A"/>
    <w:rsid w:val="006E5298"/>
    <w:rsid w:val="006F47A2"/>
    <w:rsid w:val="006F4A78"/>
    <w:rsid w:val="006F734A"/>
    <w:rsid w:val="00700D83"/>
    <w:rsid w:val="00704852"/>
    <w:rsid w:val="0070524B"/>
    <w:rsid w:val="0070691D"/>
    <w:rsid w:val="007074E9"/>
    <w:rsid w:val="00710918"/>
    <w:rsid w:val="00713DA4"/>
    <w:rsid w:val="00714BF1"/>
    <w:rsid w:val="00721383"/>
    <w:rsid w:val="0073158B"/>
    <w:rsid w:val="00731B80"/>
    <w:rsid w:val="007333CC"/>
    <w:rsid w:val="0073399A"/>
    <w:rsid w:val="00735532"/>
    <w:rsid w:val="00740DAD"/>
    <w:rsid w:val="00742AF3"/>
    <w:rsid w:val="007603F5"/>
    <w:rsid w:val="00763348"/>
    <w:rsid w:val="00764DB0"/>
    <w:rsid w:val="0076764D"/>
    <w:rsid w:val="007721DA"/>
    <w:rsid w:val="0077498C"/>
    <w:rsid w:val="007809BC"/>
    <w:rsid w:val="00784128"/>
    <w:rsid w:val="00787BCC"/>
    <w:rsid w:val="00793173"/>
    <w:rsid w:val="00795080"/>
    <w:rsid w:val="007A2A33"/>
    <w:rsid w:val="007A5171"/>
    <w:rsid w:val="007B5C89"/>
    <w:rsid w:val="007C1FCC"/>
    <w:rsid w:val="007C41B1"/>
    <w:rsid w:val="007C6201"/>
    <w:rsid w:val="007D7C92"/>
    <w:rsid w:val="007D7F9F"/>
    <w:rsid w:val="007E1154"/>
    <w:rsid w:val="007E23E6"/>
    <w:rsid w:val="007E2919"/>
    <w:rsid w:val="007E46A8"/>
    <w:rsid w:val="007E6BA4"/>
    <w:rsid w:val="007F3085"/>
    <w:rsid w:val="007F41F8"/>
    <w:rsid w:val="007F659B"/>
    <w:rsid w:val="0080441E"/>
    <w:rsid w:val="0080454E"/>
    <w:rsid w:val="00804C32"/>
    <w:rsid w:val="00806302"/>
    <w:rsid w:val="00807119"/>
    <w:rsid w:val="008145EA"/>
    <w:rsid w:val="0082483F"/>
    <w:rsid w:val="00826DB5"/>
    <w:rsid w:val="008279C0"/>
    <w:rsid w:val="0084052C"/>
    <w:rsid w:val="00857CE8"/>
    <w:rsid w:val="008673A5"/>
    <w:rsid w:val="00867701"/>
    <w:rsid w:val="008723F3"/>
    <w:rsid w:val="008769B2"/>
    <w:rsid w:val="00876F56"/>
    <w:rsid w:val="00881DE6"/>
    <w:rsid w:val="008837A6"/>
    <w:rsid w:val="0089145D"/>
    <w:rsid w:val="00891690"/>
    <w:rsid w:val="008A4DF2"/>
    <w:rsid w:val="008A6CFE"/>
    <w:rsid w:val="008A7729"/>
    <w:rsid w:val="008B5333"/>
    <w:rsid w:val="008B6223"/>
    <w:rsid w:val="008B72B8"/>
    <w:rsid w:val="008C3907"/>
    <w:rsid w:val="008C66E0"/>
    <w:rsid w:val="008D1616"/>
    <w:rsid w:val="008D611A"/>
    <w:rsid w:val="008E3339"/>
    <w:rsid w:val="008F20FC"/>
    <w:rsid w:val="008F5FFE"/>
    <w:rsid w:val="00901E98"/>
    <w:rsid w:val="00905A43"/>
    <w:rsid w:val="00912C79"/>
    <w:rsid w:val="00920AA0"/>
    <w:rsid w:val="00921B8C"/>
    <w:rsid w:val="00924CE8"/>
    <w:rsid w:val="00924DAF"/>
    <w:rsid w:val="00931D14"/>
    <w:rsid w:val="00942123"/>
    <w:rsid w:val="00944D75"/>
    <w:rsid w:val="00951AA8"/>
    <w:rsid w:val="0095207B"/>
    <w:rsid w:val="00955678"/>
    <w:rsid w:val="00962045"/>
    <w:rsid w:val="009728B1"/>
    <w:rsid w:val="00975C2A"/>
    <w:rsid w:val="00980E61"/>
    <w:rsid w:val="009810C4"/>
    <w:rsid w:val="00981233"/>
    <w:rsid w:val="00991428"/>
    <w:rsid w:val="00991CFD"/>
    <w:rsid w:val="00992676"/>
    <w:rsid w:val="00994E4F"/>
    <w:rsid w:val="009954B2"/>
    <w:rsid w:val="00996691"/>
    <w:rsid w:val="009A3AB7"/>
    <w:rsid w:val="009A5748"/>
    <w:rsid w:val="009B0723"/>
    <w:rsid w:val="009B07AD"/>
    <w:rsid w:val="009B0883"/>
    <w:rsid w:val="009B15E2"/>
    <w:rsid w:val="009B4976"/>
    <w:rsid w:val="009B5599"/>
    <w:rsid w:val="009B6804"/>
    <w:rsid w:val="009C0B8E"/>
    <w:rsid w:val="009C1BC8"/>
    <w:rsid w:val="009C2442"/>
    <w:rsid w:val="009D0811"/>
    <w:rsid w:val="009D0EE1"/>
    <w:rsid w:val="009D6086"/>
    <w:rsid w:val="009E2AEB"/>
    <w:rsid w:val="009E2E27"/>
    <w:rsid w:val="009E45DF"/>
    <w:rsid w:val="009E4DE3"/>
    <w:rsid w:val="009E777B"/>
    <w:rsid w:val="009F275E"/>
    <w:rsid w:val="00A047EE"/>
    <w:rsid w:val="00A2274A"/>
    <w:rsid w:val="00A235B7"/>
    <w:rsid w:val="00A27A7A"/>
    <w:rsid w:val="00A31743"/>
    <w:rsid w:val="00A34ABE"/>
    <w:rsid w:val="00A407EF"/>
    <w:rsid w:val="00A46B4C"/>
    <w:rsid w:val="00A5117B"/>
    <w:rsid w:val="00A56D34"/>
    <w:rsid w:val="00A60074"/>
    <w:rsid w:val="00A6627C"/>
    <w:rsid w:val="00A67180"/>
    <w:rsid w:val="00A71019"/>
    <w:rsid w:val="00A81029"/>
    <w:rsid w:val="00A845F5"/>
    <w:rsid w:val="00A911EA"/>
    <w:rsid w:val="00A96489"/>
    <w:rsid w:val="00AA11B5"/>
    <w:rsid w:val="00AA6647"/>
    <w:rsid w:val="00AA7863"/>
    <w:rsid w:val="00AB2425"/>
    <w:rsid w:val="00AB39EA"/>
    <w:rsid w:val="00AB685C"/>
    <w:rsid w:val="00AB6C2D"/>
    <w:rsid w:val="00AC08F7"/>
    <w:rsid w:val="00AC2DE9"/>
    <w:rsid w:val="00AC317D"/>
    <w:rsid w:val="00AC3839"/>
    <w:rsid w:val="00AC7082"/>
    <w:rsid w:val="00AD4BE8"/>
    <w:rsid w:val="00AD6A7A"/>
    <w:rsid w:val="00AE5B6F"/>
    <w:rsid w:val="00AF228E"/>
    <w:rsid w:val="00AF29E1"/>
    <w:rsid w:val="00B00DBB"/>
    <w:rsid w:val="00B016A8"/>
    <w:rsid w:val="00B031E6"/>
    <w:rsid w:val="00B03647"/>
    <w:rsid w:val="00B04033"/>
    <w:rsid w:val="00B122ED"/>
    <w:rsid w:val="00B13B29"/>
    <w:rsid w:val="00B14819"/>
    <w:rsid w:val="00B15E2F"/>
    <w:rsid w:val="00B17AA9"/>
    <w:rsid w:val="00B44713"/>
    <w:rsid w:val="00B51B95"/>
    <w:rsid w:val="00B56103"/>
    <w:rsid w:val="00B64929"/>
    <w:rsid w:val="00B6616E"/>
    <w:rsid w:val="00B736DF"/>
    <w:rsid w:val="00B743D6"/>
    <w:rsid w:val="00B74FBD"/>
    <w:rsid w:val="00B7737C"/>
    <w:rsid w:val="00B77F46"/>
    <w:rsid w:val="00B81AF9"/>
    <w:rsid w:val="00B82586"/>
    <w:rsid w:val="00B829A3"/>
    <w:rsid w:val="00B86DB1"/>
    <w:rsid w:val="00B87869"/>
    <w:rsid w:val="00B9639B"/>
    <w:rsid w:val="00BA0032"/>
    <w:rsid w:val="00BA1CFD"/>
    <w:rsid w:val="00BB0F2B"/>
    <w:rsid w:val="00BB7BC2"/>
    <w:rsid w:val="00BC0661"/>
    <w:rsid w:val="00BC3EE0"/>
    <w:rsid w:val="00BC52FD"/>
    <w:rsid w:val="00BE4FF3"/>
    <w:rsid w:val="00BE5BE7"/>
    <w:rsid w:val="00BF1A94"/>
    <w:rsid w:val="00BF2C93"/>
    <w:rsid w:val="00BF50F7"/>
    <w:rsid w:val="00BF5674"/>
    <w:rsid w:val="00C02F29"/>
    <w:rsid w:val="00C1541F"/>
    <w:rsid w:val="00C17718"/>
    <w:rsid w:val="00C20AFE"/>
    <w:rsid w:val="00C22A25"/>
    <w:rsid w:val="00C305F5"/>
    <w:rsid w:val="00C34496"/>
    <w:rsid w:val="00C3467B"/>
    <w:rsid w:val="00C3512B"/>
    <w:rsid w:val="00C35671"/>
    <w:rsid w:val="00C35B77"/>
    <w:rsid w:val="00C376EB"/>
    <w:rsid w:val="00C43977"/>
    <w:rsid w:val="00C44197"/>
    <w:rsid w:val="00C46A92"/>
    <w:rsid w:val="00C46EC1"/>
    <w:rsid w:val="00C50E6A"/>
    <w:rsid w:val="00C52796"/>
    <w:rsid w:val="00C53E2C"/>
    <w:rsid w:val="00C550C8"/>
    <w:rsid w:val="00C55824"/>
    <w:rsid w:val="00C55F20"/>
    <w:rsid w:val="00C56B61"/>
    <w:rsid w:val="00C606C3"/>
    <w:rsid w:val="00C6107F"/>
    <w:rsid w:val="00C620F4"/>
    <w:rsid w:val="00C72848"/>
    <w:rsid w:val="00C76997"/>
    <w:rsid w:val="00C7736C"/>
    <w:rsid w:val="00C82D87"/>
    <w:rsid w:val="00C86DEE"/>
    <w:rsid w:val="00C8712A"/>
    <w:rsid w:val="00C902C8"/>
    <w:rsid w:val="00C91062"/>
    <w:rsid w:val="00C919D1"/>
    <w:rsid w:val="00C957E3"/>
    <w:rsid w:val="00C963D3"/>
    <w:rsid w:val="00C9652B"/>
    <w:rsid w:val="00C96A89"/>
    <w:rsid w:val="00C97A81"/>
    <w:rsid w:val="00CB1983"/>
    <w:rsid w:val="00CB2CBB"/>
    <w:rsid w:val="00CB7CAC"/>
    <w:rsid w:val="00CC5335"/>
    <w:rsid w:val="00CC5BA4"/>
    <w:rsid w:val="00CD4998"/>
    <w:rsid w:val="00CE1035"/>
    <w:rsid w:val="00CE1221"/>
    <w:rsid w:val="00CE36FF"/>
    <w:rsid w:val="00CE64A7"/>
    <w:rsid w:val="00CE6E50"/>
    <w:rsid w:val="00CF2819"/>
    <w:rsid w:val="00CF4F9D"/>
    <w:rsid w:val="00CF70DC"/>
    <w:rsid w:val="00D028D9"/>
    <w:rsid w:val="00D148DC"/>
    <w:rsid w:val="00D17FDC"/>
    <w:rsid w:val="00D21D8C"/>
    <w:rsid w:val="00D22234"/>
    <w:rsid w:val="00D30343"/>
    <w:rsid w:val="00D31AD4"/>
    <w:rsid w:val="00D37997"/>
    <w:rsid w:val="00D41518"/>
    <w:rsid w:val="00D42F43"/>
    <w:rsid w:val="00D5022D"/>
    <w:rsid w:val="00D53719"/>
    <w:rsid w:val="00D53897"/>
    <w:rsid w:val="00D63EFD"/>
    <w:rsid w:val="00D84752"/>
    <w:rsid w:val="00D86B3B"/>
    <w:rsid w:val="00D8748A"/>
    <w:rsid w:val="00D917F6"/>
    <w:rsid w:val="00D9250F"/>
    <w:rsid w:val="00D93196"/>
    <w:rsid w:val="00DA0DC0"/>
    <w:rsid w:val="00DA5FEE"/>
    <w:rsid w:val="00DB243C"/>
    <w:rsid w:val="00DB482A"/>
    <w:rsid w:val="00DB50FB"/>
    <w:rsid w:val="00DB56F2"/>
    <w:rsid w:val="00DB6EF5"/>
    <w:rsid w:val="00DC0683"/>
    <w:rsid w:val="00DC3089"/>
    <w:rsid w:val="00DC4420"/>
    <w:rsid w:val="00DC5960"/>
    <w:rsid w:val="00DC72B0"/>
    <w:rsid w:val="00DD0802"/>
    <w:rsid w:val="00DD2184"/>
    <w:rsid w:val="00DD2E11"/>
    <w:rsid w:val="00DE03AF"/>
    <w:rsid w:val="00DE1085"/>
    <w:rsid w:val="00DE121C"/>
    <w:rsid w:val="00DE6633"/>
    <w:rsid w:val="00DF75F8"/>
    <w:rsid w:val="00DF7A3A"/>
    <w:rsid w:val="00E00C00"/>
    <w:rsid w:val="00E07C5A"/>
    <w:rsid w:val="00E15BA9"/>
    <w:rsid w:val="00E15FC5"/>
    <w:rsid w:val="00E2614D"/>
    <w:rsid w:val="00E26E19"/>
    <w:rsid w:val="00E275C1"/>
    <w:rsid w:val="00E31DF3"/>
    <w:rsid w:val="00E443D7"/>
    <w:rsid w:val="00E450A4"/>
    <w:rsid w:val="00E506BE"/>
    <w:rsid w:val="00E55547"/>
    <w:rsid w:val="00E63008"/>
    <w:rsid w:val="00E6302B"/>
    <w:rsid w:val="00E6452F"/>
    <w:rsid w:val="00E64F45"/>
    <w:rsid w:val="00E6742D"/>
    <w:rsid w:val="00E70FFC"/>
    <w:rsid w:val="00E71CB0"/>
    <w:rsid w:val="00E72A91"/>
    <w:rsid w:val="00E77C3D"/>
    <w:rsid w:val="00E833F4"/>
    <w:rsid w:val="00E90991"/>
    <w:rsid w:val="00E909F0"/>
    <w:rsid w:val="00E90D47"/>
    <w:rsid w:val="00E93993"/>
    <w:rsid w:val="00E94797"/>
    <w:rsid w:val="00E9597C"/>
    <w:rsid w:val="00E97FAB"/>
    <w:rsid w:val="00EA056D"/>
    <w:rsid w:val="00EA0913"/>
    <w:rsid w:val="00EA46E7"/>
    <w:rsid w:val="00EA5B00"/>
    <w:rsid w:val="00EA66E3"/>
    <w:rsid w:val="00EB146B"/>
    <w:rsid w:val="00EB45AC"/>
    <w:rsid w:val="00EB63CD"/>
    <w:rsid w:val="00EC4107"/>
    <w:rsid w:val="00EC441F"/>
    <w:rsid w:val="00EC4755"/>
    <w:rsid w:val="00EC5E01"/>
    <w:rsid w:val="00ED0BC4"/>
    <w:rsid w:val="00ED3441"/>
    <w:rsid w:val="00ED447D"/>
    <w:rsid w:val="00EE342C"/>
    <w:rsid w:val="00EE4971"/>
    <w:rsid w:val="00EE53A8"/>
    <w:rsid w:val="00EE6CB0"/>
    <w:rsid w:val="00EF090E"/>
    <w:rsid w:val="00EF5572"/>
    <w:rsid w:val="00F01D7D"/>
    <w:rsid w:val="00F033DA"/>
    <w:rsid w:val="00F03E52"/>
    <w:rsid w:val="00F04FDD"/>
    <w:rsid w:val="00F13691"/>
    <w:rsid w:val="00F13FB1"/>
    <w:rsid w:val="00F27CD8"/>
    <w:rsid w:val="00F30351"/>
    <w:rsid w:val="00F3092F"/>
    <w:rsid w:val="00F3323E"/>
    <w:rsid w:val="00F341F4"/>
    <w:rsid w:val="00F34F9D"/>
    <w:rsid w:val="00F35CCE"/>
    <w:rsid w:val="00F50451"/>
    <w:rsid w:val="00F5524B"/>
    <w:rsid w:val="00F60538"/>
    <w:rsid w:val="00F61DD2"/>
    <w:rsid w:val="00F62E7A"/>
    <w:rsid w:val="00F635B2"/>
    <w:rsid w:val="00F65BC4"/>
    <w:rsid w:val="00F66AFF"/>
    <w:rsid w:val="00F70126"/>
    <w:rsid w:val="00F71433"/>
    <w:rsid w:val="00F772F1"/>
    <w:rsid w:val="00F87B04"/>
    <w:rsid w:val="00F90D40"/>
    <w:rsid w:val="00F97C5B"/>
    <w:rsid w:val="00FA12B9"/>
    <w:rsid w:val="00FA3D50"/>
    <w:rsid w:val="00FA417D"/>
    <w:rsid w:val="00FB0873"/>
    <w:rsid w:val="00FB31D6"/>
    <w:rsid w:val="00FB7FBD"/>
    <w:rsid w:val="00FC0082"/>
    <w:rsid w:val="00FC374A"/>
    <w:rsid w:val="00FC74C8"/>
    <w:rsid w:val="00FC7B47"/>
    <w:rsid w:val="00FD035C"/>
    <w:rsid w:val="00FD1A35"/>
    <w:rsid w:val="00FD2EA4"/>
    <w:rsid w:val="00FD36C5"/>
    <w:rsid w:val="00FD6310"/>
    <w:rsid w:val="00FD7C7B"/>
    <w:rsid w:val="00FE1D12"/>
    <w:rsid w:val="00FE2122"/>
    <w:rsid w:val="00FE2A86"/>
    <w:rsid w:val="00FE2DE1"/>
    <w:rsid w:val="00FE2DE2"/>
    <w:rsid w:val="00FE64FE"/>
    <w:rsid w:val="00FF0CEB"/>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PlaceholderText">
    <w:name w:val="Placeholder Text"/>
    <w:basedOn w:val="DefaultParagraphFont"/>
    <w:uiPriority w:val="99"/>
    <w:semiHidden/>
    <w:rsid w:val="00E630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2802</TotalTime>
  <Pages>11</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Asbridge-Smith</cp:lastModifiedBy>
  <cp:revision>186</cp:revision>
  <cp:lastPrinted>2019-08-27T05:42:00Z</cp:lastPrinted>
  <dcterms:created xsi:type="dcterms:W3CDTF">2021-08-17T11:41:00Z</dcterms:created>
  <dcterms:modified xsi:type="dcterms:W3CDTF">2022-02-21T22:42:00Z</dcterms:modified>
</cp:coreProperties>
</file>