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8B3405D"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D76D36" w:rsidRDefault="0050157D" w:rsidP="00D45AEA">
      <w:pPr>
        <w:pStyle w:val="ListParagraph"/>
        <w:numPr>
          <w:ilvl w:val="0"/>
          <w:numId w:val="12"/>
        </w:numPr>
        <w:ind w:left="426"/>
        <w:jc w:val="both"/>
        <w:rPr>
          <w:rFonts w:ascii="Arial" w:hAnsi="Arial" w:cs="Arial"/>
          <w:sz w:val="22"/>
          <w:szCs w:val="22"/>
          <w:highlight w:val="yellow"/>
          <w:lang w:val="en-GB"/>
        </w:rPr>
      </w:pPr>
      <w:r w:rsidRPr="00D76D36">
        <w:rPr>
          <w:rFonts w:ascii="Arial" w:hAnsi="Arial" w:cs="Arial"/>
          <w:sz w:val="22"/>
          <w:szCs w:val="22"/>
          <w:highlight w:val="yellow"/>
          <w:lang w:val="en-GB"/>
        </w:rPr>
        <w:t>The Model Law is a substantive unification of insolvency law so as to promote co</w:t>
      </w:r>
      <w:r w:rsidR="00B61419" w:rsidRPr="00D76D36">
        <w:rPr>
          <w:rFonts w:ascii="Arial" w:hAnsi="Arial" w:cs="Arial"/>
          <w:sz w:val="22"/>
          <w:szCs w:val="22"/>
          <w:highlight w:val="yellow"/>
          <w:lang w:val="en-GB"/>
        </w:rPr>
        <w:t>-</w:t>
      </w:r>
      <w:r w:rsidRPr="00D76D36">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FF4F36" w:rsidRDefault="005F21F4" w:rsidP="005F21F4">
      <w:pPr>
        <w:pStyle w:val="ListParagraph"/>
        <w:numPr>
          <w:ilvl w:val="0"/>
          <w:numId w:val="14"/>
        </w:numPr>
        <w:ind w:left="426"/>
        <w:jc w:val="both"/>
        <w:rPr>
          <w:rFonts w:ascii="Arial" w:hAnsi="Arial" w:cs="Arial"/>
          <w:sz w:val="22"/>
          <w:szCs w:val="22"/>
          <w:highlight w:val="yellow"/>
          <w:lang w:val="en-GB"/>
        </w:rPr>
      </w:pPr>
      <w:r w:rsidRPr="00FF4F36">
        <w:rPr>
          <w:rFonts w:ascii="Arial" w:hAnsi="Arial" w:cs="Arial"/>
          <w:sz w:val="22"/>
          <w:szCs w:val="22"/>
          <w:highlight w:val="yellow"/>
          <w:lang w:val="en-GB"/>
        </w:rPr>
        <w:t>The existence of a statutory basis in national (insolvency) laws for co</w:t>
      </w:r>
      <w:r w:rsidR="00B61419" w:rsidRPr="00FF4F36">
        <w:rPr>
          <w:rFonts w:ascii="Arial" w:hAnsi="Arial" w:cs="Arial"/>
          <w:sz w:val="22"/>
          <w:szCs w:val="22"/>
          <w:highlight w:val="yellow"/>
          <w:lang w:val="en-GB"/>
        </w:rPr>
        <w:t>-</w:t>
      </w:r>
      <w:r w:rsidRPr="00FF4F36">
        <w:rPr>
          <w:rFonts w:ascii="Arial" w:hAnsi="Arial" w:cs="Arial"/>
          <w:sz w:val="22"/>
          <w:szCs w:val="22"/>
          <w:highlight w:val="yellow"/>
          <w:lang w:val="en-GB"/>
        </w:rPr>
        <w:t>operation and co</w:t>
      </w:r>
      <w:r w:rsidR="00B61419" w:rsidRPr="00FF4F36">
        <w:rPr>
          <w:rFonts w:ascii="Arial" w:hAnsi="Arial" w:cs="Arial"/>
          <w:sz w:val="22"/>
          <w:szCs w:val="22"/>
          <w:highlight w:val="yellow"/>
          <w:lang w:val="en-GB"/>
        </w:rPr>
        <w:t>-</w:t>
      </w:r>
      <w:r w:rsidRPr="00FF4F36">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6B354179"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1DA143" w14:textId="77777777" w:rsidR="00C931E2" w:rsidRPr="009B5832" w:rsidRDefault="00C931E2" w:rsidP="00C931E2">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CE5B74" w:rsidRDefault="00853A74" w:rsidP="00853A74">
      <w:pPr>
        <w:pStyle w:val="ListParagraph"/>
        <w:numPr>
          <w:ilvl w:val="0"/>
          <w:numId w:val="16"/>
        </w:numPr>
        <w:ind w:left="426"/>
        <w:jc w:val="both"/>
        <w:rPr>
          <w:rFonts w:ascii="Arial" w:hAnsi="Arial" w:cs="Arial"/>
          <w:sz w:val="22"/>
          <w:szCs w:val="22"/>
          <w:highlight w:val="yellow"/>
          <w:lang w:val="en-GB"/>
        </w:rPr>
      </w:pPr>
      <w:r w:rsidRPr="00CE5B74">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594E4C" w:rsidRDefault="00E57410" w:rsidP="00322F3B">
      <w:pPr>
        <w:pStyle w:val="ListParagraph"/>
        <w:numPr>
          <w:ilvl w:val="0"/>
          <w:numId w:val="18"/>
        </w:numPr>
        <w:ind w:left="426"/>
        <w:jc w:val="both"/>
        <w:rPr>
          <w:rFonts w:ascii="Arial" w:hAnsi="Arial" w:cs="Arial"/>
          <w:sz w:val="22"/>
          <w:szCs w:val="22"/>
          <w:highlight w:val="yellow"/>
          <w:lang w:val="en-GB"/>
        </w:rPr>
      </w:pPr>
      <w:r w:rsidRPr="00594E4C">
        <w:rPr>
          <w:rFonts w:ascii="Arial" w:hAnsi="Arial" w:cs="Arial"/>
          <w:sz w:val="22"/>
          <w:szCs w:val="22"/>
          <w:highlight w:val="yellow"/>
          <w:lang w:val="en-GB"/>
        </w:rPr>
        <w:t xml:space="preserve">The </w:t>
      </w:r>
      <w:r w:rsidRPr="00594E4C">
        <w:rPr>
          <w:rFonts w:ascii="Arial" w:hAnsi="Arial" w:cs="Arial"/>
          <w:i/>
          <w:iCs/>
          <w:sz w:val="22"/>
          <w:szCs w:val="22"/>
          <w:highlight w:val="yellow"/>
          <w:lang w:val="en-GB"/>
        </w:rPr>
        <w:t>locus standi</w:t>
      </w:r>
      <w:r w:rsidRPr="00594E4C">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2C0296" w:rsidRDefault="00C504E5" w:rsidP="00C504E5">
      <w:pPr>
        <w:pStyle w:val="ListParagraph"/>
        <w:numPr>
          <w:ilvl w:val="0"/>
          <w:numId w:val="20"/>
        </w:numPr>
        <w:ind w:left="426"/>
        <w:jc w:val="both"/>
        <w:rPr>
          <w:rFonts w:ascii="Arial" w:hAnsi="Arial" w:cs="Arial"/>
          <w:sz w:val="22"/>
          <w:szCs w:val="22"/>
          <w:highlight w:val="yellow"/>
          <w:lang w:val="en-GB"/>
        </w:rPr>
      </w:pPr>
      <w:r w:rsidRPr="002C0296">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2C0296">
        <w:rPr>
          <w:rFonts w:ascii="Arial" w:hAnsi="Arial" w:cs="Arial"/>
          <w:sz w:val="22"/>
          <w:szCs w:val="22"/>
          <w:highlight w:val="yellow"/>
          <w:lang w:val="en-GB"/>
        </w:rPr>
        <w:t>’</w:t>
      </w:r>
      <w:r w:rsidRPr="002C0296">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59D5070C" w14:textId="77777777" w:rsidR="00097C09" w:rsidRDefault="00097C09" w:rsidP="00707FC8">
      <w:pPr>
        <w:autoSpaceDE w:val="0"/>
        <w:autoSpaceDN w:val="0"/>
        <w:adjustRightInd w:val="0"/>
        <w:spacing w:line="276" w:lineRule="auto"/>
        <w:jc w:val="both"/>
        <w:rPr>
          <w:rFonts w:ascii="Arial" w:hAnsi="Arial" w:cs="Arial"/>
          <w:b/>
          <w:bCs/>
          <w:sz w:val="22"/>
          <w:szCs w:val="22"/>
          <w:lang w:val="en-GB"/>
        </w:rPr>
      </w:pPr>
    </w:p>
    <w:p w14:paraId="462DBC77" w14:textId="4229D4C9"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59658D" w:rsidRDefault="00B72F5F" w:rsidP="00114082">
      <w:pPr>
        <w:pStyle w:val="ListParagraph"/>
        <w:numPr>
          <w:ilvl w:val="0"/>
          <w:numId w:val="26"/>
        </w:numPr>
        <w:ind w:left="426"/>
        <w:jc w:val="both"/>
        <w:rPr>
          <w:rFonts w:ascii="Arial" w:hAnsi="Arial" w:cs="Arial"/>
          <w:sz w:val="22"/>
          <w:szCs w:val="22"/>
          <w:lang w:val="en-GB"/>
        </w:rPr>
      </w:pPr>
      <w:r w:rsidRPr="0059658D">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22A6F" w:rsidRDefault="00B72F5F" w:rsidP="00114082">
      <w:pPr>
        <w:pStyle w:val="ListParagraph"/>
        <w:numPr>
          <w:ilvl w:val="0"/>
          <w:numId w:val="26"/>
        </w:numPr>
        <w:ind w:left="426"/>
        <w:jc w:val="both"/>
        <w:rPr>
          <w:rFonts w:ascii="Arial" w:hAnsi="Arial" w:cs="Arial"/>
          <w:sz w:val="22"/>
          <w:szCs w:val="22"/>
          <w:lang w:val="en-GB"/>
        </w:rPr>
      </w:pPr>
      <w:r w:rsidRPr="00922A6F">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22A6F" w:rsidRDefault="00114082" w:rsidP="00114082">
      <w:pPr>
        <w:jc w:val="both"/>
        <w:rPr>
          <w:rFonts w:ascii="Arial" w:hAnsi="Arial" w:cs="Arial"/>
          <w:sz w:val="22"/>
          <w:szCs w:val="22"/>
          <w:lang w:val="en-GB"/>
        </w:rPr>
      </w:pPr>
    </w:p>
    <w:p w14:paraId="0E2A0FDC" w14:textId="0C95B31B" w:rsidR="00B72F5F" w:rsidRPr="00922A6F" w:rsidRDefault="00B72F5F" w:rsidP="00114082">
      <w:pPr>
        <w:pStyle w:val="ListParagraph"/>
        <w:numPr>
          <w:ilvl w:val="0"/>
          <w:numId w:val="26"/>
        </w:numPr>
        <w:ind w:left="426"/>
        <w:jc w:val="both"/>
        <w:rPr>
          <w:rFonts w:ascii="Arial" w:hAnsi="Arial" w:cs="Arial"/>
          <w:sz w:val="22"/>
          <w:szCs w:val="22"/>
          <w:lang w:val="en-GB"/>
        </w:rPr>
      </w:pPr>
      <w:r w:rsidRPr="00922A6F">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22A6F" w:rsidRDefault="00B72F5F" w:rsidP="00114082">
      <w:pPr>
        <w:pStyle w:val="ListParagraph"/>
        <w:numPr>
          <w:ilvl w:val="0"/>
          <w:numId w:val="26"/>
        </w:numPr>
        <w:ind w:left="426"/>
        <w:jc w:val="both"/>
        <w:rPr>
          <w:rFonts w:ascii="Arial" w:hAnsi="Arial" w:cs="Arial"/>
          <w:sz w:val="22"/>
          <w:szCs w:val="22"/>
          <w:highlight w:val="yellow"/>
          <w:lang w:val="en-GB"/>
        </w:rPr>
      </w:pPr>
      <w:r w:rsidRPr="00922A6F">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922A6F">
        <w:rPr>
          <w:rFonts w:ascii="Arial" w:hAnsi="Arial" w:cs="Arial"/>
          <w:sz w:val="22"/>
          <w:szCs w:val="22"/>
          <w:highlight w:val="yellow"/>
          <w:lang w:val="en-GB"/>
        </w:rPr>
        <w:t>will</w:t>
      </w:r>
      <w:r w:rsidRPr="00922A6F">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210441" w:rsidRDefault="0067294B" w:rsidP="00114082">
      <w:pPr>
        <w:pStyle w:val="ListParagraph"/>
        <w:numPr>
          <w:ilvl w:val="0"/>
          <w:numId w:val="27"/>
        </w:numPr>
        <w:ind w:left="426"/>
        <w:jc w:val="both"/>
        <w:rPr>
          <w:rFonts w:ascii="Arial" w:hAnsi="Arial" w:cs="Arial"/>
          <w:sz w:val="22"/>
          <w:szCs w:val="22"/>
          <w:highlight w:val="yellow"/>
          <w:lang w:val="en-GB"/>
        </w:rPr>
      </w:pPr>
      <w:r w:rsidRPr="00210441">
        <w:rPr>
          <w:rFonts w:ascii="Arial" w:hAnsi="Arial" w:cs="Arial"/>
          <w:sz w:val="22"/>
          <w:szCs w:val="22"/>
          <w:highlight w:val="yellow"/>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3F38C7" w:rsidRDefault="004E0549" w:rsidP="00114082">
      <w:pPr>
        <w:pStyle w:val="ListParagraph"/>
        <w:numPr>
          <w:ilvl w:val="0"/>
          <w:numId w:val="28"/>
        </w:numPr>
        <w:ind w:left="426"/>
        <w:jc w:val="both"/>
        <w:rPr>
          <w:rFonts w:ascii="Arial" w:hAnsi="Arial" w:cs="Arial"/>
          <w:sz w:val="22"/>
          <w:szCs w:val="22"/>
          <w:highlight w:val="yellow"/>
          <w:lang w:val="en-GB"/>
        </w:rPr>
      </w:pPr>
      <w:r w:rsidRPr="003F38C7">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AB3B24" w:rsidRDefault="00573E73" w:rsidP="00114082">
      <w:pPr>
        <w:pStyle w:val="ListParagraph"/>
        <w:numPr>
          <w:ilvl w:val="0"/>
          <w:numId w:val="29"/>
        </w:numPr>
        <w:ind w:left="426"/>
        <w:jc w:val="both"/>
        <w:rPr>
          <w:rFonts w:ascii="Arial" w:hAnsi="Arial" w:cs="Arial"/>
          <w:sz w:val="22"/>
          <w:szCs w:val="22"/>
          <w:highlight w:val="yellow"/>
          <w:lang w:val="en-GB"/>
        </w:rPr>
      </w:pPr>
      <w:r w:rsidRPr="00AB3B24">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0125B4" w:rsidRDefault="00114082" w:rsidP="00114082">
      <w:pPr>
        <w:pStyle w:val="ListParagraph"/>
        <w:numPr>
          <w:ilvl w:val="0"/>
          <w:numId w:val="30"/>
        </w:numPr>
        <w:ind w:left="426"/>
        <w:jc w:val="both"/>
        <w:rPr>
          <w:rFonts w:ascii="Arial" w:hAnsi="Arial" w:cs="Arial"/>
          <w:sz w:val="22"/>
          <w:szCs w:val="22"/>
          <w:highlight w:val="yellow"/>
          <w:lang w:val="en-GB"/>
        </w:rPr>
      </w:pPr>
      <w:r w:rsidRPr="000125B4">
        <w:rPr>
          <w:rFonts w:ascii="Arial" w:hAnsi="Arial" w:cs="Arial"/>
          <w:sz w:val="22"/>
          <w:szCs w:val="22"/>
          <w:highlight w:val="yellow"/>
          <w:lang w:val="en-GB"/>
        </w:rPr>
        <w:t>The UNCITRAL Guide of Enactment and the Practice Guide</w:t>
      </w:r>
      <w:r w:rsidR="00835FD1" w:rsidRPr="000125B4">
        <w:rPr>
          <w:rFonts w:ascii="Arial" w:hAnsi="Arial" w:cs="Arial"/>
          <w:sz w:val="22"/>
          <w:szCs w:val="22"/>
          <w:highlight w:val="yellow"/>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6B8628D1" w:rsidR="009B07AD" w:rsidRDefault="009B07AD" w:rsidP="00707FC8">
      <w:pPr>
        <w:jc w:val="both"/>
        <w:rPr>
          <w:rFonts w:ascii="Arial" w:hAnsi="Arial" w:cs="Arial"/>
          <w:sz w:val="22"/>
          <w:szCs w:val="22"/>
          <w:lang w:val="en-GB"/>
        </w:rPr>
      </w:pPr>
    </w:p>
    <w:p w14:paraId="14D8CA19" w14:textId="77777777" w:rsidR="00F47983" w:rsidRPr="009B5832" w:rsidRDefault="00F47983" w:rsidP="00707FC8">
      <w:pPr>
        <w:jc w:val="both"/>
        <w:rPr>
          <w:rFonts w:ascii="Arial" w:hAnsi="Arial" w:cs="Arial"/>
          <w:sz w:val="22"/>
          <w:szCs w:val="22"/>
          <w:lang w:val="en-GB"/>
        </w:rPr>
      </w:pPr>
    </w:p>
    <w:p w14:paraId="57BCFC30" w14:textId="7E9DF581" w:rsidR="009B07AD" w:rsidRPr="00415DD1" w:rsidRDefault="00415DD1" w:rsidP="00415DD1">
      <w:pPr>
        <w:jc w:val="both"/>
        <w:rPr>
          <w:rFonts w:ascii="Arial" w:hAnsi="Arial" w:cs="Arial"/>
          <w:sz w:val="22"/>
          <w:szCs w:val="22"/>
          <w:lang w:val="en-GB"/>
        </w:rPr>
      </w:pPr>
      <w:r w:rsidRPr="00415DD1">
        <w:rPr>
          <w:rFonts w:ascii="Arial" w:hAnsi="Arial" w:cs="Arial"/>
          <w:sz w:val="22"/>
          <w:szCs w:val="22"/>
          <w:lang w:val="en-GB"/>
        </w:rPr>
        <w:t xml:space="preserve">The appropriate date for determining the COMI of debtor </w:t>
      </w:r>
      <w:r w:rsidR="00B30A98">
        <w:rPr>
          <w:rFonts w:ascii="Arial" w:hAnsi="Arial" w:cs="Arial"/>
          <w:sz w:val="22"/>
          <w:szCs w:val="22"/>
          <w:lang w:val="en-GB"/>
        </w:rPr>
        <w:t xml:space="preserve">or whether an establishment exists </w:t>
      </w:r>
      <w:r w:rsidRPr="00415DD1">
        <w:rPr>
          <w:rFonts w:ascii="Arial" w:hAnsi="Arial" w:cs="Arial"/>
          <w:sz w:val="22"/>
          <w:szCs w:val="22"/>
          <w:lang w:val="en-GB"/>
        </w:rPr>
        <w:t>is the date at which the foreign proceedings commenced</w:t>
      </w:r>
      <w:r>
        <w:rPr>
          <w:rFonts w:ascii="Arial" w:hAnsi="Arial" w:cs="Arial"/>
          <w:sz w:val="22"/>
          <w:szCs w:val="22"/>
          <w:lang w:val="en-GB"/>
        </w:rPr>
        <w:t xml:space="preserve">. </w:t>
      </w:r>
      <w:r w:rsidR="0014548C">
        <w:rPr>
          <w:rFonts w:ascii="Arial" w:hAnsi="Arial" w:cs="Arial"/>
          <w:sz w:val="22"/>
          <w:szCs w:val="22"/>
          <w:lang w:val="en-GB"/>
        </w:rPr>
        <w:t xml:space="preserve">A COMI can move throughout the life cycle of an entity, however, if the COMI move is in close proximity to the </w:t>
      </w:r>
      <w:r w:rsidR="00255CF9">
        <w:rPr>
          <w:rFonts w:ascii="Arial" w:hAnsi="Arial" w:cs="Arial"/>
          <w:sz w:val="22"/>
          <w:szCs w:val="22"/>
          <w:lang w:val="en-GB"/>
        </w:rPr>
        <w:t xml:space="preserve">commencement date then </w:t>
      </w:r>
      <w:r w:rsidR="00E9001E">
        <w:rPr>
          <w:rFonts w:ascii="Arial" w:hAnsi="Arial" w:cs="Arial"/>
          <w:sz w:val="22"/>
          <w:szCs w:val="22"/>
          <w:lang w:val="en-GB"/>
        </w:rPr>
        <w:t>evidencing the COMI will prove difficult particularly as the COMI should be readily ascertainable by 3</w:t>
      </w:r>
      <w:r w:rsidR="00E9001E" w:rsidRPr="00E9001E">
        <w:rPr>
          <w:rFonts w:ascii="Arial" w:hAnsi="Arial" w:cs="Arial"/>
          <w:sz w:val="22"/>
          <w:szCs w:val="22"/>
          <w:vertAlign w:val="superscript"/>
          <w:lang w:val="en-GB"/>
        </w:rPr>
        <w:t>rd</w:t>
      </w:r>
      <w:r w:rsidR="00E9001E">
        <w:rPr>
          <w:rFonts w:ascii="Arial" w:hAnsi="Arial" w:cs="Arial"/>
          <w:sz w:val="22"/>
          <w:szCs w:val="22"/>
          <w:lang w:val="en-GB"/>
        </w:rPr>
        <w:t xml:space="preserve"> parties such as creditors.</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2A81A4BF" w:rsidR="000E6325" w:rsidRDefault="000E6325" w:rsidP="00ED6A32">
      <w:pPr>
        <w:ind w:left="1440" w:hanging="1440"/>
        <w:jc w:val="both"/>
        <w:rPr>
          <w:rFonts w:ascii="Arial" w:hAnsi="Arial" w:cs="Arial"/>
          <w:iCs/>
          <w:sz w:val="22"/>
          <w:szCs w:val="22"/>
          <w:lang w:val="en-GB"/>
        </w:rPr>
      </w:pPr>
    </w:p>
    <w:p w14:paraId="4A99F1E1" w14:textId="77777777" w:rsidR="00F47983" w:rsidRPr="009B5832" w:rsidRDefault="00F47983" w:rsidP="00ED6A32">
      <w:pPr>
        <w:ind w:left="1440" w:hanging="1440"/>
        <w:jc w:val="both"/>
        <w:rPr>
          <w:rFonts w:ascii="Arial" w:hAnsi="Arial" w:cs="Arial"/>
          <w:iCs/>
          <w:sz w:val="22"/>
          <w:szCs w:val="22"/>
          <w:lang w:val="en-GB"/>
        </w:rPr>
      </w:pPr>
    </w:p>
    <w:p w14:paraId="2F57801B" w14:textId="5F2C810B" w:rsidR="009B07AD" w:rsidRDefault="008626FA" w:rsidP="008626FA">
      <w:pPr>
        <w:jc w:val="both"/>
        <w:rPr>
          <w:rFonts w:ascii="Arial" w:hAnsi="Arial" w:cs="Arial"/>
          <w:sz w:val="22"/>
          <w:szCs w:val="22"/>
          <w:lang w:val="en-GB"/>
        </w:rPr>
      </w:pPr>
      <w:r w:rsidRPr="008626FA">
        <w:rPr>
          <w:rFonts w:ascii="Arial" w:hAnsi="Arial" w:cs="Arial"/>
          <w:sz w:val="22"/>
          <w:szCs w:val="22"/>
          <w:lang w:val="en-GB"/>
        </w:rPr>
        <w:t xml:space="preserve">Statement 1: </w:t>
      </w:r>
      <w:r w:rsidR="00B52998" w:rsidRPr="008626FA">
        <w:rPr>
          <w:rFonts w:ascii="Arial" w:hAnsi="Arial" w:cs="Arial"/>
          <w:sz w:val="22"/>
          <w:szCs w:val="22"/>
          <w:lang w:val="en-GB"/>
        </w:rPr>
        <w:t xml:space="preserve">Article 30 deals with two or more </w:t>
      </w:r>
      <w:r w:rsidR="00034E2B" w:rsidRPr="008626FA">
        <w:rPr>
          <w:rFonts w:ascii="Arial" w:hAnsi="Arial" w:cs="Arial"/>
          <w:sz w:val="22"/>
          <w:szCs w:val="22"/>
          <w:lang w:val="en-GB"/>
        </w:rPr>
        <w:t xml:space="preserve">foreign </w:t>
      </w:r>
      <w:r w:rsidR="00B52998" w:rsidRPr="008626FA">
        <w:rPr>
          <w:rFonts w:ascii="Arial" w:hAnsi="Arial" w:cs="Arial"/>
          <w:sz w:val="22"/>
          <w:szCs w:val="22"/>
          <w:lang w:val="en-GB"/>
        </w:rPr>
        <w:t>non</w:t>
      </w:r>
      <w:r w:rsidR="00034E2B" w:rsidRPr="008626FA">
        <w:rPr>
          <w:rFonts w:ascii="Arial" w:hAnsi="Arial" w:cs="Arial"/>
          <w:sz w:val="22"/>
          <w:szCs w:val="22"/>
          <w:lang w:val="en-GB"/>
        </w:rPr>
        <w:t>-</w:t>
      </w:r>
      <w:r w:rsidR="00B52998" w:rsidRPr="008626FA">
        <w:rPr>
          <w:rFonts w:ascii="Arial" w:hAnsi="Arial" w:cs="Arial"/>
          <w:sz w:val="22"/>
          <w:szCs w:val="22"/>
          <w:lang w:val="en-GB"/>
        </w:rPr>
        <w:t xml:space="preserve">main </w:t>
      </w:r>
      <w:r w:rsidR="00034E2B" w:rsidRPr="008626FA">
        <w:rPr>
          <w:rFonts w:ascii="Arial" w:hAnsi="Arial" w:cs="Arial"/>
          <w:sz w:val="22"/>
          <w:szCs w:val="22"/>
          <w:lang w:val="en-GB"/>
        </w:rPr>
        <w:t xml:space="preserve">proceedings whereby </w:t>
      </w:r>
      <w:r w:rsidR="00931DD9" w:rsidRPr="008626FA">
        <w:rPr>
          <w:rFonts w:ascii="Arial" w:hAnsi="Arial" w:cs="Arial"/>
          <w:sz w:val="22"/>
          <w:szCs w:val="22"/>
          <w:lang w:val="en-GB"/>
        </w:rPr>
        <w:t xml:space="preserve">the courts must </w:t>
      </w:r>
      <w:r w:rsidR="00400A63" w:rsidRPr="008626FA">
        <w:rPr>
          <w:rFonts w:ascii="Arial" w:hAnsi="Arial" w:cs="Arial"/>
          <w:sz w:val="22"/>
          <w:szCs w:val="22"/>
          <w:lang w:val="en-GB"/>
        </w:rPr>
        <w:t xml:space="preserve">grant, </w:t>
      </w:r>
      <w:proofErr w:type="gramStart"/>
      <w:r w:rsidR="00400A63" w:rsidRPr="008626FA">
        <w:rPr>
          <w:rFonts w:ascii="Arial" w:hAnsi="Arial" w:cs="Arial"/>
          <w:sz w:val="22"/>
          <w:szCs w:val="22"/>
          <w:lang w:val="en-GB"/>
        </w:rPr>
        <w:t>modify</w:t>
      </w:r>
      <w:proofErr w:type="gramEnd"/>
      <w:r w:rsidR="00400A63" w:rsidRPr="008626FA">
        <w:rPr>
          <w:rFonts w:ascii="Arial" w:hAnsi="Arial" w:cs="Arial"/>
          <w:sz w:val="22"/>
          <w:szCs w:val="22"/>
          <w:lang w:val="en-GB"/>
        </w:rPr>
        <w:t xml:space="preserve"> or </w:t>
      </w:r>
      <w:r w:rsidRPr="008626FA">
        <w:rPr>
          <w:rFonts w:ascii="Arial" w:hAnsi="Arial" w:cs="Arial"/>
          <w:sz w:val="22"/>
          <w:szCs w:val="22"/>
          <w:lang w:val="en-GB"/>
        </w:rPr>
        <w:t>terminate</w:t>
      </w:r>
      <w:r w:rsidR="00400A63" w:rsidRPr="008626FA">
        <w:rPr>
          <w:rFonts w:ascii="Arial" w:hAnsi="Arial" w:cs="Arial"/>
          <w:sz w:val="22"/>
          <w:szCs w:val="22"/>
          <w:lang w:val="en-GB"/>
        </w:rPr>
        <w:t xml:space="preserve"> the relief granted so that it is consistent</w:t>
      </w:r>
    </w:p>
    <w:p w14:paraId="495F7AE2" w14:textId="6EF9FB8D" w:rsidR="003E63E4" w:rsidRDefault="003E63E4" w:rsidP="008626FA">
      <w:pPr>
        <w:jc w:val="both"/>
        <w:rPr>
          <w:rFonts w:ascii="Arial" w:hAnsi="Arial" w:cs="Arial"/>
          <w:sz w:val="22"/>
          <w:szCs w:val="22"/>
          <w:lang w:val="en-GB"/>
        </w:rPr>
      </w:pPr>
    </w:p>
    <w:p w14:paraId="07344D0F" w14:textId="6D714395" w:rsidR="003E63E4" w:rsidRDefault="003E63E4" w:rsidP="008626FA">
      <w:pPr>
        <w:jc w:val="both"/>
        <w:rPr>
          <w:rFonts w:ascii="Arial" w:hAnsi="Arial" w:cs="Arial"/>
          <w:sz w:val="22"/>
          <w:szCs w:val="22"/>
          <w:lang w:val="en-GB"/>
        </w:rPr>
      </w:pPr>
      <w:r>
        <w:rPr>
          <w:rFonts w:ascii="Arial" w:hAnsi="Arial" w:cs="Arial"/>
          <w:sz w:val="22"/>
          <w:szCs w:val="22"/>
          <w:lang w:val="en-GB"/>
        </w:rPr>
        <w:t xml:space="preserve">Statement 2: </w:t>
      </w:r>
      <w:r w:rsidR="00477CE4">
        <w:rPr>
          <w:rFonts w:ascii="Arial" w:hAnsi="Arial" w:cs="Arial"/>
          <w:sz w:val="22"/>
          <w:szCs w:val="22"/>
          <w:lang w:val="en-GB"/>
        </w:rPr>
        <w:t xml:space="preserve">Article 32 is the hotchpotch </w:t>
      </w:r>
      <w:r w:rsidR="00C2001A">
        <w:rPr>
          <w:rFonts w:ascii="Arial" w:hAnsi="Arial" w:cs="Arial"/>
          <w:sz w:val="22"/>
          <w:szCs w:val="22"/>
          <w:lang w:val="en-GB"/>
        </w:rPr>
        <w:t xml:space="preserve">rule and does not impact secured claims. It deals with unsecured claims where they may claim in two separate proceedings in order to better benefit from a higher rate of return. In this scenario the </w:t>
      </w:r>
      <w:r w:rsidR="00E45A92">
        <w:rPr>
          <w:rFonts w:ascii="Arial" w:hAnsi="Arial" w:cs="Arial"/>
          <w:sz w:val="22"/>
          <w:szCs w:val="22"/>
          <w:lang w:val="en-GB"/>
        </w:rPr>
        <w:t>practitioner should account for prior distributions and adjust the % distribution being made to that creditor accordingly.</w:t>
      </w:r>
    </w:p>
    <w:p w14:paraId="2D3A9587" w14:textId="3B87332F" w:rsidR="00E45A92" w:rsidRDefault="00E45A92" w:rsidP="008626FA">
      <w:pPr>
        <w:jc w:val="both"/>
        <w:rPr>
          <w:rFonts w:ascii="Arial" w:hAnsi="Arial" w:cs="Arial"/>
          <w:sz w:val="22"/>
          <w:szCs w:val="22"/>
          <w:lang w:val="en-GB"/>
        </w:rPr>
      </w:pPr>
    </w:p>
    <w:p w14:paraId="4CC3756E" w14:textId="1602FE39" w:rsidR="00E45A92" w:rsidRPr="008626FA" w:rsidRDefault="00E45A92" w:rsidP="00F95EB4">
      <w:pPr>
        <w:tabs>
          <w:tab w:val="left" w:pos="1800"/>
        </w:tabs>
        <w:jc w:val="both"/>
        <w:rPr>
          <w:rFonts w:ascii="Arial" w:hAnsi="Arial" w:cs="Arial"/>
          <w:sz w:val="22"/>
          <w:szCs w:val="22"/>
          <w:lang w:val="en-GB"/>
        </w:rPr>
      </w:pPr>
      <w:r>
        <w:rPr>
          <w:rFonts w:ascii="Arial" w:hAnsi="Arial" w:cs="Arial"/>
          <w:sz w:val="22"/>
          <w:szCs w:val="22"/>
          <w:lang w:val="en-GB"/>
        </w:rPr>
        <w:t xml:space="preserve">Statement 3: </w:t>
      </w:r>
      <w:r w:rsidR="00F95EB4">
        <w:rPr>
          <w:rFonts w:ascii="Arial" w:hAnsi="Arial" w:cs="Arial"/>
          <w:sz w:val="22"/>
          <w:szCs w:val="22"/>
          <w:lang w:val="en-GB"/>
        </w:rPr>
        <w:t xml:space="preserve">Article 16 contains a rebuttal presumption that if the COMI </w:t>
      </w:r>
      <w:r w:rsidR="00EA2719">
        <w:rPr>
          <w:rFonts w:ascii="Arial" w:hAnsi="Arial" w:cs="Arial"/>
          <w:sz w:val="22"/>
          <w:szCs w:val="22"/>
          <w:lang w:val="en-GB"/>
        </w:rPr>
        <w:t xml:space="preserve">is not in the same location as the </w:t>
      </w:r>
      <w:proofErr w:type="gramStart"/>
      <w:r w:rsidR="00EA2719">
        <w:rPr>
          <w:rFonts w:ascii="Arial" w:hAnsi="Arial" w:cs="Arial"/>
          <w:sz w:val="22"/>
          <w:szCs w:val="22"/>
          <w:lang w:val="en-GB"/>
        </w:rPr>
        <w:t>debtors</w:t>
      </w:r>
      <w:proofErr w:type="gramEnd"/>
      <w:r w:rsidR="00EA2719">
        <w:rPr>
          <w:rFonts w:ascii="Arial" w:hAnsi="Arial" w:cs="Arial"/>
          <w:sz w:val="22"/>
          <w:szCs w:val="22"/>
          <w:lang w:val="en-GB"/>
        </w:rPr>
        <w:t xml:space="preserve"> registration then </w:t>
      </w:r>
      <w:r w:rsidR="00A83A04">
        <w:rPr>
          <w:rFonts w:ascii="Arial" w:hAnsi="Arial" w:cs="Arial"/>
          <w:sz w:val="22"/>
          <w:szCs w:val="22"/>
          <w:lang w:val="en-GB"/>
        </w:rPr>
        <w:t>the party alleging the COMI is in a different jurisdiction to that of the registration will need to evidence to the court why the COMI is not in the registration jurisdiction.</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0EE121F4" w:rsidR="00C82D87" w:rsidRDefault="00C82D87" w:rsidP="00707FC8">
      <w:pPr>
        <w:jc w:val="both"/>
        <w:rPr>
          <w:rFonts w:ascii="Arial" w:hAnsi="Arial" w:cs="Arial"/>
          <w:sz w:val="22"/>
          <w:szCs w:val="22"/>
          <w:lang w:val="en-GB"/>
        </w:rPr>
      </w:pPr>
    </w:p>
    <w:p w14:paraId="6DE03F9E" w14:textId="77777777" w:rsidR="00F47983" w:rsidRPr="009B5832" w:rsidRDefault="00F47983" w:rsidP="00707FC8">
      <w:pPr>
        <w:jc w:val="both"/>
        <w:rPr>
          <w:rFonts w:ascii="Arial" w:hAnsi="Arial" w:cs="Arial"/>
          <w:sz w:val="22"/>
          <w:szCs w:val="22"/>
          <w:lang w:val="en-GB"/>
        </w:rPr>
      </w:pPr>
    </w:p>
    <w:p w14:paraId="78DB9FD8" w14:textId="4C0EDC64" w:rsidR="00C72848" w:rsidRPr="009E28F2" w:rsidRDefault="009E28F2" w:rsidP="009E28F2">
      <w:pPr>
        <w:jc w:val="both"/>
        <w:rPr>
          <w:rFonts w:ascii="Arial" w:hAnsi="Arial" w:cs="Arial"/>
          <w:sz w:val="22"/>
          <w:szCs w:val="22"/>
          <w:lang w:val="en-GB"/>
        </w:rPr>
      </w:pPr>
      <w:r>
        <w:rPr>
          <w:rFonts w:ascii="Arial" w:hAnsi="Arial" w:cs="Arial"/>
          <w:sz w:val="22"/>
          <w:szCs w:val="22"/>
          <w:lang w:val="en-GB"/>
        </w:rPr>
        <w:t xml:space="preserve">The judge in the IBA case determined that the </w:t>
      </w:r>
      <w:r w:rsidR="00F55BF6">
        <w:rPr>
          <w:rFonts w:ascii="Arial" w:hAnsi="Arial" w:cs="Arial"/>
          <w:sz w:val="22"/>
          <w:szCs w:val="22"/>
          <w:lang w:val="en-GB"/>
        </w:rPr>
        <w:t>indefinite moratorium continuation could not be used to bypass the Gibbs Rule</w:t>
      </w:r>
      <w:r w:rsidR="00A13E2D">
        <w:rPr>
          <w:rFonts w:ascii="Arial" w:hAnsi="Arial" w:cs="Arial"/>
          <w:sz w:val="22"/>
          <w:szCs w:val="22"/>
          <w:lang w:val="en-GB"/>
        </w:rPr>
        <w:t xml:space="preserve"> and that </w:t>
      </w:r>
      <w:r w:rsidR="00954D04">
        <w:rPr>
          <w:rFonts w:ascii="Arial" w:hAnsi="Arial" w:cs="Arial"/>
          <w:sz w:val="22"/>
          <w:szCs w:val="22"/>
          <w:lang w:val="en-GB"/>
        </w:rPr>
        <w:t xml:space="preserve">as there were </w:t>
      </w:r>
      <w:r w:rsidR="00F35632">
        <w:rPr>
          <w:rFonts w:ascii="Arial" w:hAnsi="Arial" w:cs="Arial"/>
          <w:sz w:val="22"/>
          <w:szCs w:val="22"/>
          <w:lang w:val="en-GB"/>
        </w:rPr>
        <w:t xml:space="preserve">opposing creditors to the moratorium </w:t>
      </w:r>
      <w:r w:rsidR="00B953FF">
        <w:rPr>
          <w:rFonts w:ascii="Arial" w:hAnsi="Arial" w:cs="Arial"/>
          <w:sz w:val="22"/>
          <w:szCs w:val="22"/>
          <w:lang w:val="en-GB"/>
        </w:rPr>
        <w:t>continuation,</w:t>
      </w:r>
      <w:r w:rsidR="00F35632">
        <w:rPr>
          <w:rFonts w:ascii="Arial" w:hAnsi="Arial" w:cs="Arial"/>
          <w:sz w:val="22"/>
          <w:szCs w:val="22"/>
          <w:lang w:val="en-GB"/>
        </w:rPr>
        <w:t xml:space="preserve"> they should be given the benefit of the Gibbs Rule.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4EF57028" w:rsidR="0041139B" w:rsidRDefault="0041139B" w:rsidP="00707FC8">
      <w:pPr>
        <w:jc w:val="both"/>
        <w:rPr>
          <w:rFonts w:ascii="Arial" w:hAnsi="Arial" w:cs="Arial"/>
          <w:bCs/>
          <w:sz w:val="22"/>
          <w:szCs w:val="22"/>
          <w:lang w:val="en-GB"/>
        </w:rPr>
      </w:pPr>
    </w:p>
    <w:p w14:paraId="38DC8DC4" w14:textId="77777777" w:rsidR="00F47983" w:rsidRPr="009B5832" w:rsidRDefault="00F47983" w:rsidP="00707FC8">
      <w:pPr>
        <w:jc w:val="both"/>
        <w:rPr>
          <w:rFonts w:ascii="Arial" w:hAnsi="Arial" w:cs="Arial"/>
          <w:bCs/>
          <w:sz w:val="22"/>
          <w:szCs w:val="22"/>
          <w:lang w:val="en-GB"/>
        </w:rPr>
      </w:pPr>
    </w:p>
    <w:p w14:paraId="15EE2B47" w14:textId="5D34ED93" w:rsidR="0041139B" w:rsidRDefault="00B74BE3" w:rsidP="002D0051">
      <w:pPr>
        <w:jc w:val="both"/>
        <w:rPr>
          <w:rFonts w:ascii="Arial" w:hAnsi="Arial" w:cs="Arial"/>
          <w:sz w:val="22"/>
          <w:szCs w:val="22"/>
          <w:lang w:val="en-GB"/>
        </w:rPr>
      </w:pPr>
      <w:r w:rsidRPr="00B74BE3">
        <w:rPr>
          <w:rFonts w:ascii="Arial" w:hAnsi="Arial" w:cs="Arial"/>
          <w:sz w:val="22"/>
          <w:szCs w:val="22"/>
          <w:lang w:val="en-GB"/>
        </w:rPr>
        <w:t xml:space="preserve">Article 20 </w:t>
      </w:r>
      <w:r w:rsidR="002D0051">
        <w:rPr>
          <w:rFonts w:ascii="Arial" w:hAnsi="Arial" w:cs="Arial"/>
          <w:sz w:val="22"/>
          <w:szCs w:val="22"/>
          <w:lang w:val="en-GB"/>
        </w:rPr>
        <w:t xml:space="preserve">sets out that following the recognition of a foreign main proceeding there are 3 automatic effects including: </w:t>
      </w:r>
      <w:proofErr w:type="spellStart"/>
      <w:r w:rsidR="002D0051">
        <w:rPr>
          <w:rFonts w:ascii="Arial" w:hAnsi="Arial" w:cs="Arial"/>
          <w:sz w:val="22"/>
          <w:szCs w:val="22"/>
          <w:lang w:val="en-GB"/>
        </w:rPr>
        <w:t>i</w:t>
      </w:r>
      <w:proofErr w:type="spellEnd"/>
      <w:r w:rsidR="002D0051">
        <w:rPr>
          <w:rFonts w:ascii="Arial" w:hAnsi="Arial" w:cs="Arial"/>
          <w:sz w:val="22"/>
          <w:szCs w:val="22"/>
          <w:lang w:val="en-GB"/>
        </w:rPr>
        <w:t xml:space="preserve">) </w:t>
      </w:r>
      <w:r w:rsidR="00192F16">
        <w:rPr>
          <w:rFonts w:ascii="Arial" w:hAnsi="Arial" w:cs="Arial"/>
          <w:sz w:val="22"/>
          <w:szCs w:val="22"/>
          <w:lang w:val="en-GB"/>
        </w:rPr>
        <w:t xml:space="preserve">a stay or continuation of individual proceedings against the debtor; ii) </w:t>
      </w:r>
      <w:r w:rsidR="00143EEE">
        <w:rPr>
          <w:rFonts w:ascii="Arial" w:hAnsi="Arial" w:cs="Arial"/>
          <w:sz w:val="22"/>
          <w:szCs w:val="22"/>
          <w:lang w:val="en-GB"/>
        </w:rPr>
        <w:t xml:space="preserve">a stay of execution against the </w:t>
      </w:r>
      <w:proofErr w:type="gramStart"/>
      <w:r w:rsidR="00143EEE">
        <w:rPr>
          <w:rFonts w:ascii="Arial" w:hAnsi="Arial" w:cs="Arial"/>
          <w:sz w:val="22"/>
          <w:szCs w:val="22"/>
          <w:lang w:val="en-GB"/>
        </w:rPr>
        <w:t>debtors</w:t>
      </w:r>
      <w:proofErr w:type="gramEnd"/>
      <w:r w:rsidR="00143EEE">
        <w:rPr>
          <w:rFonts w:ascii="Arial" w:hAnsi="Arial" w:cs="Arial"/>
          <w:sz w:val="22"/>
          <w:szCs w:val="22"/>
          <w:lang w:val="en-GB"/>
        </w:rPr>
        <w:t xml:space="preserve"> assets; and iii) suspending the right </w:t>
      </w:r>
      <w:r w:rsidR="00DA4692">
        <w:rPr>
          <w:rFonts w:ascii="Arial" w:hAnsi="Arial" w:cs="Arial"/>
          <w:sz w:val="22"/>
          <w:szCs w:val="22"/>
          <w:lang w:val="en-GB"/>
        </w:rPr>
        <w:t>to transfer, encumber or dispose of assets.</w:t>
      </w:r>
    </w:p>
    <w:p w14:paraId="528B0F85" w14:textId="3BDF4978" w:rsidR="00DA4692" w:rsidRDefault="00DA4692" w:rsidP="002D0051">
      <w:pPr>
        <w:jc w:val="both"/>
        <w:rPr>
          <w:rFonts w:ascii="Arial" w:hAnsi="Arial" w:cs="Arial"/>
          <w:sz w:val="22"/>
          <w:szCs w:val="22"/>
          <w:lang w:val="en-GB"/>
        </w:rPr>
      </w:pPr>
    </w:p>
    <w:p w14:paraId="00124682" w14:textId="0C93D39F" w:rsidR="00DA4692" w:rsidRPr="00B74BE3" w:rsidRDefault="00DA5C7A" w:rsidP="002D0051">
      <w:pPr>
        <w:jc w:val="both"/>
        <w:rPr>
          <w:rFonts w:ascii="Arial" w:hAnsi="Arial" w:cs="Arial"/>
          <w:sz w:val="22"/>
          <w:szCs w:val="22"/>
          <w:lang w:val="en-GB"/>
        </w:rPr>
      </w:pPr>
      <w:r>
        <w:rPr>
          <w:rFonts w:ascii="Arial" w:hAnsi="Arial" w:cs="Arial"/>
          <w:sz w:val="22"/>
          <w:szCs w:val="22"/>
          <w:lang w:val="en-GB"/>
        </w:rPr>
        <w:t xml:space="preserve">Article 25 sets out that </w:t>
      </w:r>
      <w:r w:rsidR="008550BD">
        <w:rPr>
          <w:rFonts w:ascii="Arial" w:hAnsi="Arial" w:cs="Arial"/>
          <w:sz w:val="22"/>
          <w:szCs w:val="22"/>
          <w:lang w:val="en-GB"/>
        </w:rPr>
        <w:t xml:space="preserve">the court in the enacting state is entitled communicate directly with </w:t>
      </w:r>
      <w:r w:rsidR="00DD1498">
        <w:rPr>
          <w:rFonts w:ascii="Arial" w:hAnsi="Arial" w:cs="Arial"/>
          <w:sz w:val="22"/>
          <w:szCs w:val="22"/>
          <w:lang w:val="en-GB"/>
        </w:rPr>
        <w:t xml:space="preserve">and request information from the foreign representative and can also </w:t>
      </w:r>
      <w:r w:rsidR="00333BDD">
        <w:rPr>
          <w:rFonts w:ascii="Arial" w:hAnsi="Arial" w:cs="Arial"/>
          <w:sz w:val="22"/>
          <w:szCs w:val="22"/>
          <w:lang w:val="en-GB"/>
        </w:rPr>
        <w:t xml:space="preserve">directly request assistance from the foreign representative.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00376CE0" w:rsidR="00C550C8" w:rsidRDefault="00C550C8" w:rsidP="00707FC8">
      <w:pPr>
        <w:jc w:val="both"/>
        <w:rPr>
          <w:rFonts w:ascii="Arial" w:hAnsi="Arial" w:cs="Arial"/>
          <w:sz w:val="22"/>
          <w:szCs w:val="22"/>
          <w:lang w:val="en-GB"/>
        </w:rPr>
      </w:pPr>
    </w:p>
    <w:p w14:paraId="69588A97" w14:textId="77777777" w:rsidR="00F47983" w:rsidRPr="009B5832" w:rsidRDefault="00F47983" w:rsidP="00707FC8">
      <w:pPr>
        <w:jc w:val="both"/>
        <w:rPr>
          <w:rFonts w:ascii="Arial" w:hAnsi="Arial" w:cs="Arial"/>
          <w:sz w:val="22"/>
          <w:szCs w:val="22"/>
          <w:lang w:val="en-GB"/>
        </w:rPr>
      </w:pPr>
    </w:p>
    <w:p w14:paraId="4A637290" w14:textId="669FE950" w:rsidR="00544127" w:rsidRDefault="00EB50AE" w:rsidP="00222E8B">
      <w:pPr>
        <w:jc w:val="both"/>
        <w:rPr>
          <w:rFonts w:ascii="Arial" w:hAnsi="Arial" w:cs="Arial"/>
          <w:sz w:val="22"/>
          <w:szCs w:val="22"/>
          <w:lang w:val="en-GB"/>
        </w:rPr>
      </w:pPr>
      <w:r w:rsidRPr="00222E8B">
        <w:rPr>
          <w:rFonts w:ascii="Arial" w:hAnsi="Arial" w:cs="Arial"/>
          <w:sz w:val="22"/>
          <w:szCs w:val="22"/>
          <w:lang w:val="en-GB"/>
        </w:rPr>
        <w:t xml:space="preserve">Article 9 </w:t>
      </w:r>
      <w:r w:rsidR="005F6D92" w:rsidRPr="00222E8B">
        <w:rPr>
          <w:rFonts w:ascii="Arial" w:hAnsi="Arial" w:cs="Arial"/>
          <w:sz w:val="22"/>
          <w:szCs w:val="22"/>
          <w:lang w:val="en-GB"/>
        </w:rPr>
        <w:t xml:space="preserve">sets out that </w:t>
      </w:r>
      <w:r w:rsidR="00AA4C73" w:rsidRPr="00222E8B">
        <w:rPr>
          <w:rFonts w:ascii="Arial" w:hAnsi="Arial" w:cs="Arial"/>
          <w:sz w:val="22"/>
          <w:szCs w:val="22"/>
          <w:lang w:val="en-GB"/>
        </w:rPr>
        <w:t xml:space="preserve">a foreign representative has standing in the </w:t>
      </w:r>
      <w:r w:rsidR="00C96588" w:rsidRPr="00222E8B">
        <w:rPr>
          <w:rFonts w:ascii="Arial" w:hAnsi="Arial" w:cs="Arial"/>
          <w:sz w:val="22"/>
          <w:szCs w:val="22"/>
          <w:lang w:val="en-GB"/>
        </w:rPr>
        <w:t xml:space="preserve">enacting state court without the need for a recognition order. the benefit of this standing is that it </w:t>
      </w:r>
      <w:r w:rsidR="006F7471" w:rsidRPr="00222E8B">
        <w:rPr>
          <w:rFonts w:ascii="Arial" w:hAnsi="Arial" w:cs="Arial"/>
          <w:sz w:val="22"/>
          <w:szCs w:val="22"/>
          <w:lang w:val="en-GB"/>
        </w:rPr>
        <w:t>saves time and expense for the foreign representative potentially avoiding any value in the estate being eroded</w:t>
      </w:r>
      <w:r w:rsidR="00F12DFE" w:rsidRPr="00222E8B">
        <w:rPr>
          <w:rFonts w:ascii="Arial" w:hAnsi="Arial" w:cs="Arial"/>
          <w:sz w:val="22"/>
          <w:szCs w:val="22"/>
          <w:lang w:val="en-GB"/>
        </w:rPr>
        <w:t>. It may also help identify additional realizations to bolster the estate.</w:t>
      </w:r>
      <w:r w:rsidR="00590141" w:rsidRPr="00222E8B">
        <w:rPr>
          <w:rFonts w:ascii="Arial" w:hAnsi="Arial" w:cs="Arial"/>
          <w:sz w:val="22"/>
          <w:szCs w:val="22"/>
          <w:lang w:val="en-GB"/>
        </w:rPr>
        <w:t xml:space="preserve"> The access right also improve transparency between the two </w:t>
      </w:r>
      <w:r w:rsidR="00BD4722" w:rsidRPr="00222E8B">
        <w:rPr>
          <w:rFonts w:ascii="Arial" w:hAnsi="Arial" w:cs="Arial"/>
          <w:sz w:val="22"/>
          <w:szCs w:val="22"/>
          <w:lang w:val="en-GB"/>
        </w:rPr>
        <w:t>proceedings helping to avoid creditor concerns.</w:t>
      </w:r>
    </w:p>
    <w:p w14:paraId="1FC682CC" w14:textId="1D9492B2" w:rsidR="00C2385F" w:rsidRDefault="00C2385F" w:rsidP="00222E8B">
      <w:pPr>
        <w:jc w:val="both"/>
        <w:rPr>
          <w:rFonts w:ascii="Arial" w:hAnsi="Arial" w:cs="Arial"/>
          <w:sz w:val="22"/>
          <w:szCs w:val="22"/>
          <w:lang w:val="en-GB"/>
        </w:rPr>
      </w:pPr>
    </w:p>
    <w:p w14:paraId="67CC6E2F" w14:textId="54916F3D" w:rsidR="00C2385F" w:rsidRPr="00222E8B" w:rsidRDefault="00C2385F" w:rsidP="00222E8B">
      <w:pPr>
        <w:jc w:val="both"/>
        <w:rPr>
          <w:rFonts w:ascii="Arial" w:hAnsi="Arial" w:cs="Arial"/>
          <w:sz w:val="22"/>
          <w:szCs w:val="22"/>
          <w:lang w:val="en-GB"/>
        </w:rPr>
      </w:pPr>
      <w:r>
        <w:rPr>
          <w:rFonts w:ascii="Arial" w:hAnsi="Arial" w:cs="Arial"/>
          <w:sz w:val="22"/>
          <w:szCs w:val="22"/>
          <w:lang w:val="en-GB"/>
        </w:rPr>
        <w:t>Co-ordinatio</w:t>
      </w:r>
      <w:r w:rsidR="000867B6">
        <w:rPr>
          <w:rFonts w:ascii="Arial" w:hAnsi="Arial" w:cs="Arial"/>
          <w:sz w:val="22"/>
          <w:szCs w:val="22"/>
          <w:lang w:val="en-GB"/>
        </w:rPr>
        <w:t>n rights assist the representatives in determining creditor rights and claims across both proceedings avoiding creditors duplicating claims and benefiting from double dipping.</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3DAA6780" w14:textId="4037F3F6" w:rsidR="00962045" w:rsidRDefault="002606F3"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Article 15 of the Model Laws sets out that the foreign representative must be able to evidence the foreign proceeding to the </w:t>
      </w:r>
      <w:r w:rsidR="00F16889">
        <w:rPr>
          <w:rFonts w:ascii="Arial" w:hAnsi="Arial" w:cs="Arial"/>
          <w:sz w:val="22"/>
          <w:szCs w:val="22"/>
          <w:shd w:val="clear" w:color="auto" w:fill="FFFFFF"/>
          <w:lang w:val="en-GB"/>
        </w:rPr>
        <w:t xml:space="preserve">court for recognition either by </w:t>
      </w:r>
      <w:r w:rsidR="00E86823">
        <w:rPr>
          <w:rFonts w:ascii="Arial" w:hAnsi="Arial" w:cs="Arial"/>
          <w:sz w:val="22"/>
          <w:szCs w:val="22"/>
          <w:shd w:val="clear" w:color="auto" w:fill="FFFFFF"/>
          <w:lang w:val="en-GB"/>
        </w:rPr>
        <w:t xml:space="preserve">a certified copy of the decision to appoint, a certificate from the foreign court affirming the foreign proceeding or </w:t>
      </w:r>
      <w:r w:rsidR="00233DFE">
        <w:rPr>
          <w:rFonts w:ascii="Arial" w:hAnsi="Arial" w:cs="Arial"/>
          <w:sz w:val="22"/>
          <w:szCs w:val="22"/>
          <w:shd w:val="clear" w:color="auto" w:fill="FFFFFF"/>
          <w:lang w:val="en-GB"/>
        </w:rPr>
        <w:t>any other available evidence to prove the existence of the foreign proceeding to the court.</w:t>
      </w:r>
      <w:r w:rsidR="00DF7C59">
        <w:rPr>
          <w:rFonts w:ascii="Arial" w:hAnsi="Arial" w:cs="Arial"/>
          <w:sz w:val="22"/>
          <w:szCs w:val="22"/>
          <w:shd w:val="clear" w:color="auto" w:fill="FFFFFF"/>
          <w:lang w:val="en-GB"/>
        </w:rPr>
        <w:t xml:space="preserve"> Additionally, the foreign representative must identify to the court all </w:t>
      </w:r>
      <w:r w:rsidR="006B642B">
        <w:rPr>
          <w:rFonts w:ascii="Arial" w:hAnsi="Arial" w:cs="Arial"/>
          <w:sz w:val="22"/>
          <w:szCs w:val="22"/>
          <w:shd w:val="clear" w:color="auto" w:fill="FFFFFF"/>
          <w:lang w:val="en-GB"/>
        </w:rPr>
        <w:t>foreign proceedings in respect of the debtor.</w:t>
      </w:r>
    </w:p>
    <w:p w14:paraId="3D9704CD" w14:textId="659FFD8B" w:rsidR="006B642B" w:rsidRDefault="006B642B" w:rsidP="00707FC8">
      <w:pPr>
        <w:jc w:val="both"/>
        <w:rPr>
          <w:rFonts w:ascii="Arial" w:hAnsi="Arial" w:cs="Arial"/>
          <w:sz w:val="22"/>
          <w:szCs w:val="22"/>
          <w:shd w:val="clear" w:color="auto" w:fill="FFFFFF"/>
          <w:lang w:val="en-GB"/>
        </w:rPr>
      </w:pPr>
    </w:p>
    <w:p w14:paraId="45CEABDE" w14:textId="0B3FAB22" w:rsidR="006B642B" w:rsidRDefault="009B0B3A"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In certain circumstances the </w:t>
      </w:r>
      <w:r w:rsidR="007C5E46">
        <w:rPr>
          <w:rFonts w:ascii="Arial" w:hAnsi="Arial" w:cs="Arial"/>
          <w:sz w:val="22"/>
          <w:szCs w:val="22"/>
          <w:shd w:val="clear" w:color="auto" w:fill="FFFFFF"/>
          <w:lang w:val="en-GB"/>
        </w:rPr>
        <w:t xml:space="preserve">recognition may be denied on the basis of a reciprocity </w:t>
      </w:r>
      <w:r w:rsidR="00F57F48">
        <w:rPr>
          <w:rFonts w:ascii="Arial" w:hAnsi="Arial" w:cs="Arial"/>
          <w:sz w:val="22"/>
          <w:szCs w:val="22"/>
          <w:shd w:val="clear" w:color="auto" w:fill="FFFFFF"/>
          <w:lang w:val="en-GB"/>
        </w:rPr>
        <w:t xml:space="preserve">requirement </w:t>
      </w:r>
      <w:r w:rsidR="00407585">
        <w:rPr>
          <w:rFonts w:ascii="Arial" w:hAnsi="Arial" w:cs="Arial"/>
          <w:sz w:val="22"/>
          <w:szCs w:val="22"/>
          <w:shd w:val="clear" w:color="auto" w:fill="FFFFFF"/>
          <w:lang w:val="en-GB"/>
        </w:rPr>
        <w:t>such as that of South Africa.</w:t>
      </w:r>
    </w:p>
    <w:p w14:paraId="2494F4DF" w14:textId="0182C75D" w:rsidR="001E6CFE" w:rsidRDefault="001E6CFE" w:rsidP="00707FC8">
      <w:pPr>
        <w:jc w:val="both"/>
        <w:rPr>
          <w:rFonts w:ascii="Arial" w:hAnsi="Arial" w:cs="Arial"/>
          <w:sz w:val="22"/>
          <w:szCs w:val="22"/>
          <w:shd w:val="clear" w:color="auto" w:fill="FFFFFF"/>
          <w:lang w:val="en-GB"/>
        </w:rPr>
      </w:pPr>
    </w:p>
    <w:p w14:paraId="1126DEAE" w14:textId="62940DAB" w:rsidR="001E6CFE" w:rsidRDefault="007508C7"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Additionally, a court may deny recognition </w:t>
      </w:r>
      <w:r w:rsidR="00C04D17">
        <w:rPr>
          <w:rFonts w:ascii="Arial" w:hAnsi="Arial" w:cs="Arial"/>
          <w:sz w:val="22"/>
          <w:szCs w:val="22"/>
          <w:shd w:val="clear" w:color="auto" w:fill="FFFFFF"/>
          <w:lang w:val="en-GB"/>
        </w:rPr>
        <w:t xml:space="preserve">if the court considers that an application made is either </w:t>
      </w:r>
      <w:r w:rsidR="00C31D65">
        <w:rPr>
          <w:rFonts w:ascii="Arial" w:hAnsi="Arial" w:cs="Arial"/>
          <w:sz w:val="22"/>
          <w:szCs w:val="22"/>
          <w:shd w:val="clear" w:color="auto" w:fill="FFFFFF"/>
          <w:lang w:val="en-GB"/>
        </w:rPr>
        <w:t>not full and frank in its disclosures or if it is made for alternative motives it could be considered an abuse of process and be denied.</w:t>
      </w:r>
    </w:p>
    <w:p w14:paraId="52C01394" w14:textId="2DBBF4FA" w:rsidR="00233DFE" w:rsidRDefault="00233DFE" w:rsidP="00707FC8">
      <w:pPr>
        <w:jc w:val="both"/>
        <w:rPr>
          <w:rFonts w:ascii="Arial" w:hAnsi="Arial" w:cs="Arial"/>
          <w:sz w:val="22"/>
          <w:szCs w:val="22"/>
          <w:shd w:val="clear" w:color="auto" w:fill="FFFFFF"/>
          <w:lang w:val="en-GB"/>
        </w:rPr>
      </w:pPr>
    </w:p>
    <w:p w14:paraId="1EB1D6FD" w14:textId="77777777" w:rsidR="00233DFE" w:rsidRPr="009B5832" w:rsidRDefault="00233DFE"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what pre- and post-recognition relief can be considered in the context of the MLCBI, as well </w:t>
      </w:r>
      <w:r w:rsidRPr="009B5832">
        <w:rPr>
          <w:rFonts w:ascii="Arial" w:hAnsi="Arial" w:cs="Arial"/>
          <w:sz w:val="22"/>
          <w:szCs w:val="22"/>
          <w:lang w:val="en-GB"/>
        </w:rPr>
        <w:lastRenderedPageBreak/>
        <w:t>as any restrictions, limitations or conditions that should be considered in this context. For purposes of this question, it can be assumed that there is no concurrence of proceedings.</w:t>
      </w:r>
    </w:p>
    <w:p w14:paraId="2EBCC997" w14:textId="7796C709" w:rsidR="00817D57" w:rsidRDefault="00817D57" w:rsidP="00707FC8">
      <w:pPr>
        <w:jc w:val="both"/>
        <w:rPr>
          <w:rFonts w:ascii="Arial" w:hAnsi="Arial" w:cs="Arial"/>
          <w:sz w:val="22"/>
          <w:szCs w:val="22"/>
          <w:lang w:val="en-GB"/>
        </w:rPr>
      </w:pPr>
    </w:p>
    <w:p w14:paraId="6E5E9BB4" w14:textId="77777777" w:rsidR="00760B48" w:rsidRPr="009B5832" w:rsidRDefault="00760B48" w:rsidP="00707FC8">
      <w:pPr>
        <w:jc w:val="both"/>
        <w:rPr>
          <w:rFonts w:ascii="Arial" w:hAnsi="Arial" w:cs="Arial"/>
          <w:sz w:val="22"/>
          <w:szCs w:val="22"/>
          <w:lang w:val="en-GB"/>
        </w:rPr>
      </w:pPr>
    </w:p>
    <w:p w14:paraId="4E83D7AF" w14:textId="53121F91" w:rsidR="00DF75F8" w:rsidRPr="001B1ED6" w:rsidRDefault="00B50E5D" w:rsidP="00707FC8">
      <w:pPr>
        <w:jc w:val="both"/>
        <w:rPr>
          <w:rFonts w:ascii="Arial" w:hAnsi="Arial" w:cs="Arial"/>
          <w:sz w:val="22"/>
          <w:szCs w:val="22"/>
          <w:shd w:val="clear" w:color="auto" w:fill="FFFFFF"/>
          <w:lang w:val="en-GB"/>
        </w:rPr>
      </w:pPr>
      <w:r w:rsidRPr="001B1ED6">
        <w:rPr>
          <w:rFonts w:ascii="Arial" w:hAnsi="Arial" w:cs="Arial"/>
          <w:sz w:val="22"/>
          <w:szCs w:val="22"/>
          <w:shd w:val="clear" w:color="auto" w:fill="FFFFFF"/>
          <w:lang w:val="en-GB"/>
        </w:rPr>
        <w:t xml:space="preserve">Article 19 of the model laws allows </w:t>
      </w:r>
      <w:r w:rsidR="00537EA6" w:rsidRPr="001B1ED6">
        <w:rPr>
          <w:rFonts w:ascii="Arial" w:hAnsi="Arial" w:cs="Arial"/>
          <w:sz w:val="22"/>
          <w:szCs w:val="22"/>
          <w:shd w:val="clear" w:color="auto" w:fill="FFFFFF"/>
          <w:lang w:val="en-GB"/>
        </w:rPr>
        <w:t>for the court</w:t>
      </w:r>
      <w:r w:rsidR="00FA5CB6" w:rsidRPr="001B1ED6">
        <w:rPr>
          <w:rFonts w:ascii="Arial" w:hAnsi="Arial" w:cs="Arial"/>
          <w:sz w:val="22"/>
          <w:szCs w:val="22"/>
          <w:shd w:val="clear" w:color="auto" w:fill="FFFFFF"/>
          <w:lang w:val="en-GB"/>
        </w:rPr>
        <w:t>,</w:t>
      </w:r>
      <w:r w:rsidR="00537EA6" w:rsidRPr="001B1ED6">
        <w:rPr>
          <w:rFonts w:ascii="Arial" w:hAnsi="Arial" w:cs="Arial"/>
          <w:sz w:val="22"/>
          <w:szCs w:val="22"/>
          <w:shd w:val="clear" w:color="auto" w:fill="FFFFFF"/>
          <w:lang w:val="en-GB"/>
        </w:rPr>
        <w:t xml:space="preserve"> in the interest of creditors</w:t>
      </w:r>
      <w:r w:rsidR="00FA5CB6" w:rsidRPr="001B1ED6">
        <w:rPr>
          <w:rFonts w:ascii="Arial" w:hAnsi="Arial" w:cs="Arial"/>
          <w:sz w:val="22"/>
          <w:szCs w:val="22"/>
          <w:shd w:val="clear" w:color="auto" w:fill="FFFFFF"/>
          <w:lang w:val="en-GB"/>
        </w:rPr>
        <w:t>,</w:t>
      </w:r>
      <w:r w:rsidR="00537EA6" w:rsidRPr="001B1ED6">
        <w:rPr>
          <w:rFonts w:ascii="Arial" w:hAnsi="Arial" w:cs="Arial"/>
          <w:sz w:val="22"/>
          <w:szCs w:val="22"/>
          <w:shd w:val="clear" w:color="auto" w:fill="FFFFFF"/>
          <w:lang w:val="en-GB"/>
        </w:rPr>
        <w:t xml:space="preserve"> to provide interim relief on the making of a recognition application. </w:t>
      </w:r>
      <w:r w:rsidR="009D1415" w:rsidRPr="001B1ED6">
        <w:rPr>
          <w:rFonts w:ascii="Arial" w:hAnsi="Arial" w:cs="Arial"/>
          <w:sz w:val="22"/>
          <w:szCs w:val="22"/>
          <w:shd w:val="clear" w:color="auto" w:fill="FFFFFF"/>
          <w:lang w:val="en-GB"/>
        </w:rPr>
        <w:t xml:space="preserve">The interim relief is made in order to </w:t>
      </w:r>
      <w:r w:rsidR="00A4128B" w:rsidRPr="001B1ED6">
        <w:rPr>
          <w:rFonts w:ascii="Arial" w:hAnsi="Arial" w:cs="Arial"/>
          <w:sz w:val="22"/>
          <w:szCs w:val="22"/>
          <w:shd w:val="clear" w:color="auto" w:fill="FFFFFF"/>
          <w:lang w:val="en-GB"/>
        </w:rPr>
        <w:t xml:space="preserve">provide a moratorium over the </w:t>
      </w:r>
      <w:proofErr w:type="gramStart"/>
      <w:r w:rsidR="00A4128B" w:rsidRPr="001B1ED6">
        <w:rPr>
          <w:rFonts w:ascii="Arial" w:hAnsi="Arial" w:cs="Arial"/>
          <w:sz w:val="22"/>
          <w:szCs w:val="22"/>
          <w:shd w:val="clear" w:color="auto" w:fill="FFFFFF"/>
          <w:lang w:val="en-GB"/>
        </w:rPr>
        <w:t>debtors</w:t>
      </w:r>
      <w:proofErr w:type="gramEnd"/>
      <w:r w:rsidR="00A4128B" w:rsidRPr="001B1ED6">
        <w:rPr>
          <w:rFonts w:ascii="Arial" w:hAnsi="Arial" w:cs="Arial"/>
          <w:sz w:val="22"/>
          <w:szCs w:val="22"/>
          <w:shd w:val="clear" w:color="auto" w:fill="FFFFFF"/>
          <w:lang w:val="en-GB"/>
        </w:rPr>
        <w:t xml:space="preserve"> assets in order to preserve value. </w:t>
      </w:r>
      <w:r w:rsidR="003F1755" w:rsidRPr="001B1ED6">
        <w:rPr>
          <w:rFonts w:ascii="Arial" w:hAnsi="Arial" w:cs="Arial"/>
          <w:sz w:val="22"/>
          <w:szCs w:val="22"/>
          <w:shd w:val="clear" w:color="auto" w:fill="FFFFFF"/>
          <w:lang w:val="en-GB"/>
        </w:rPr>
        <w:t>Article 19 allows the court to:</w:t>
      </w:r>
    </w:p>
    <w:p w14:paraId="7951EF0A" w14:textId="574C4C04" w:rsidR="003F1755" w:rsidRPr="001B1ED6" w:rsidRDefault="003F1755" w:rsidP="00707FC8">
      <w:pPr>
        <w:jc w:val="both"/>
        <w:rPr>
          <w:rFonts w:ascii="Arial" w:hAnsi="Arial" w:cs="Arial"/>
          <w:sz w:val="22"/>
          <w:szCs w:val="22"/>
          <w:shd w:val="clear" w:color="auto" w:fill="FFFFFF"/>
          <w:lang w:val="en-GB"/>
        </w:rPr>
      </w:pPr>
    </w:p>
    <w:p w14:paraId="250D192F" w14:textId="7529E4F3" w:rsidR="003F1755" w:rsidRPr="001B1ED6" w:rsidRDefault="003F1755" w:rsidP="001B1ED6">
      <w:pPr>
        <w:pStyle w:val="ListParagraph"/>
        <w:numPr>
          <w:ilvl w:val="0"/>
          <w:numId w:val="42"/>
        </w:numPr>
        <w:jc w:val="both"/>
        <w:rPr>
          <w:rFonts w:ascii="Arial" w:hAnsi="Arial" w:cs="Arial"/>
          <w:sz w:val="22"/>
          <w:szCs w:val="22"/>
          <w:shd w:val="clear" w:color="auto" w:fill="FFFFFF"/>
          <w:lang w:val="en-GB"/>
        </w:rPr>
      </w:pPr>
      <w:r w:rsidRPr="001B1ED6">
        <w:rPr>
          <w:rFonts w:ascii="Arial" w:hAnsi="Arial" w:cs="Arial"/>
          <w:sz w:val="22"/>
          <w:szCs w:val="22"/>
          <w:shd w:val="clear" w:color="auto" w:fill="FFFFFF"/>
          <w:lang w:val="en-GB"/>
        </w:rPr>
        <w:t xml:space="preserve">Provide a stay of execution over the debtors </w:t>
      </w:r>
      <w:proofErr w:type="gramStart"/>
      <w:r w:rsidRPr="001B1ED6">
        <w:rPr>
          <w:rFonts w:ascii="Arial" w:hAnsi="Arial" w:cs="Arial"/>
          <w:sz w:val="22"/>
          <w:szCs w:val="22"/>
          <w:shd w:val="clear" w:color="auto" w:fill="FFFFFF"/>
          <w:lang w:val="en-GB"/>
        </w:rPr>
        <w:t>assets;</w:t>
      </w:r>
      <w:proofErr w:type="gramEnd"/>
    </w:p>
    <w:p w14:paraId="2B848545" w14:textId="308073AB" w:rsidR="003F1755" w:rsidRPr="001B1ED6" w:rsidRDefault="003F1755" w:rsidP="001B1ED6">
      <w:pPr>
        <w:pStyle w:val="ListParagraph"/>
        <w:numPr>
          <w:ilvl w:val="0"/>
          <w:numId w:val="42"/>
        </w:numPr>
        <w:jc w:val="both"/>
        <w:rPr>
          <w:rFonts w:ascii="Arial" w:hAnsi="Arial" w:cs="Arial"/>
          <w:sz w:val="22"/>
          <w:szCs w:val="22"/>
          <w:shd w:val="clear" w:color="auto" w:fill="FFFFFF"/>
          <w:lang w:val="en-GB"/>
        </w:rPr>
      </w:pPr>
      <w:r w:rsidRPr="001B1ED6">
        <w:rPr>
          <w:rFonts w:ascii="Arial" w:hAnsi="Arial" w:cs="Arial"/>
          <w:sz w:val="22"/>
          <w:szCs w:val="22"/>
          <w:shd w:val="clear" w:color="auto" w:fill="FFFFFF"/>
          <w:lang w:val="en-GB"/>
        </w:rPr>
        <w:t xml:space="preserve">Appoint an appropriate trustee over the </w:t>
      </w:r>
      <w:proofErr w:type="gramStart"/>
      <w:r w:rsidRPr="001B1ED6">
        <w:rPr>
          <w:rFonts w:ascii="Arial" w:hAnsi="Arial" w:cs="Arial"/>
          <w:sz w:val="22"/>
          <w:szCs w:val="22"/>
          <w:shd w:val="clear" w:color="auto" w:fill="FFFFFF"/>
          <w:lang w:val="en-GB"/>
        </w:rPr>
        <w:t>debtors</w:t>
      </w:r>
      <w:proofErr w:type="gramEnd"/>
      <w:r w:rsidRPr="001B1ED6">
        <w:rPr>
          <w:rFonts w:ascii="Arial" w:hAnsi="Arial" w:cs="Arial"/>
          <w:sz w:val="22"/>
          <w:szCs w:val="22"/>
          <w:shd w:val="clear" w:color="auto" w:fill="FFFFFF"/>
          <w:lang w:val="en-GB"/>
        </w:rPr>
        <w:t xml:space="preserve"> assets to preserve value, the trustee can be either the foreign representative or another person of the courts choosing;</w:t>
      </w:r>
    </w:p>
    <w:p w14:paraId="4AE22BE8" w14:textId="6ED2E5B3" w:rsidR="003F1755" w:rsidRPr="001B1ED6" w:rsidRDefault="00100C2D" w:rsidP="001B1ED6">
      <w:pPr>
        <w:pStyle w:val="ListParagraph"/>
        <w:numPr>
          <w:ilvl w:val="0"/>
          <w:numId w:val="42"/>
        </w:numPr>
        <w:jc w:val="both"/>
        <w:rPr>
          <w:rFonts w:ascii="Arial" w:hAnsi="Arial" w:cs="Arial"/>
          <w:sz w:val="22"/>
          <w:szCs w:val="22"/>
          <w:shd w:val="clear" w:color="auto" w:fill="FFFFFF"/>
          <w:lang w:val="en-GB"/>
        </w:rPr>
      </w:pPr>
      <w:r w:rsidRPr="001B1ED6">
        <w:rPr>
          <w:rFonts w:ascii="Arial" w:hAnsi="Arial" w:cs="Arial"/>
          <w:sz w:val="22"/>
          <w:szCs w:val="22"/>
          <w:shd w:val="clear" w:color="auto" w:fill="FFFFFF"/>
          <w:lang w:val="en-GB"/>
        </w:rPr>
        <w:t xml:space="preserve">The court can also provide certain of the relief granted under article 21 such as suspending the right </w:t>
      </w:r>
      <w:r w:rsidR="001B1ED6" w:rsidRPr="001B1ED6">
        <w:rPr>
          <w:rFonts w:ascii="Arial" w:hAnsi="Arial" w:cs="Arial"/>
          <w:sz w:val="22"/>
          <w:szCs w:val="22"/>
          <w:shd w:val="clear" w:color="auto" w:fill="FFFFFF"/>
          <w:lang w:val="en-GB"/>
        </w:rPr>
        <w:t xml:space="preserve">to transfer or encumbrance the </w:t>
      </w:r>
      <w:proofErr w:type="gramStart"/>
      <w:r w:rsidR="001B1ED6" w:rsidRPr="001B1ED6">
        <w:rPr>
          <w:rFonts w:ascii="Arial" w:hAnsi="Arial" w:cs="Arial"/>
          <w:sz w:val="22"/>
          <w:szCs w:val="22"/>
          <w:shd w:val="clear" w:color="auto" w:fill="FFFFFF"/>
          <w:lang w:val="en-GB"/>
        </w:rPr>
        <w:t>debtors</w:t>
      </w:r>
      <w:proofErr w:type="gramEnd"/>
      <w:r w:rsidR="001B1ED6" w:rsidRPr="001B1ED6">
        <w:rPr>
          <w:rFonts w:ascii="Arial" w:hAnsi="Arial" w:cs="Arial"/>
          <w:sz w:val="22"/>
          <w:szCs w:val="22"/>
          <w:shd w:val="clear" w:color="auto" w:fill="FFFFFF"/>
          <w:lang w:val="en-GB"/>
        </w:rPr>
        <w:t xml:space="preserve"> assets, and to make investigations into the debtors historic affairs.</w:t>
      </w:r>
    </w:p>
    <w:p w14:paraId="4AE7EA78" w14:textId="543CBBDD" w:rsidR="007D7C92" w:rsidRDefault="007D7C92" w:rsidP="00707FC8">
      <w:pPr>
        <w:ind w:left="720" w:hanging="720"/>
        <w:jc w:val="both"/>
        <w:rPr>
          <w:rFonts w:ascii="Arial" w:hAnsi="Arial" w:cs="Arial"/>
          <w:sz w:val="22"/>
          <w:szCs w:val="22"/>
          <w:lang w:val="en-GB"/>
        </w:rPr>
      </w:pPr>
    </w:p>
    <w:p w14:paraId="38FFE926" w14:textId="495CB0FE" w:rsidR="001B1ED6" w:rsidRDefault="001B1ED6" w:rsidP="002D5242">
      <w:pPr>
        <w:jc w:val="both"/>
        <w:rPr>
          <w:rFonts w:ascii="Arial" w:hAnsi="Arial" w:cs="Arial"/>
          <w:sz w:val="22"/>
          <w:szCs w:val="22"/>
          <w:shd w:val="clear" w:color="auto" w:fill="FFFFFF"/>
          <w:lang w:val="en-GB"/>
        </w:rPr>
      </w:pPr>
      <w:r w:rsidRPr="002D5242">
        <w:rPr>
          <w:rFonts w:ascii="Arial" w:hAnsi="Arial" w:cs="Arial"/>
          <w:sz w:val="22"/>
          <w:szCs w:val="22"/>
          <w:shd w:val="clear" w:color="auto" w:fill="FFFFFF"/>
          <w:lang w:val="en-GB"/>
        </w:rPr>
        <w:t>Article 2</w:t>
      </w:r>
      <w:r w:rsidR="00906BD1" w:rsidRPr="002D5242">
        <w:rPr>
          <w:rFonts w:ascii="Arial" w:hAnsi="Arial" w:cs="Arial"/>
          <w:sz w:val="22"/>
          <w:szCs w:val="22"/>
          <w:shd w:val="clear" w:color="auto" w:fill="FFFFFF"/>
          <w:lang w:val="en-GB"/>
        </w:rPr>
        <w:t>0</w:t>
      </w:r>
      <w:r w:rsidRPr="002D5242">
        <w:rPr>
          <w:rFonts w:ascii="Arial" w:hAnsi="Arial" w:cs="Arial"/>
          <w:sz w:val="22"/>
          <w:szCs w:val="22"/>
          <w:shd w:val="clear" w:color="auto" w:fill="FFFFFF"/>
          <w:lang w:val="en-GB"/>
        </w:rPr>
        <w:t xml:space="preserve"> deals with post recognition </w:t>
      </w:r>
      <w:r w:rsidR="00927F7C" w:rsidRPr="002D5242">
        <w:rPr>
          <w:rFonts w:ascii="Arial" w:hAnsi="Arial" w:cs="Arial"/>
          <w:sz w:val="22"/>
          <w:szCs w:val="22"/>
          <w:shd w:val="clear" w:color="auto" w:fill="FFFFFF"/>
          <w:lang w:val="en-GB"/>
        </w:rPr>
        <w:t xml:space="preserve">relief </w:t>
      </w:r>
      <w:r w:rsidR="00891D7B" w:rsidRPr="002D5242">
        <w:rPr>
          <w:rFonts w:ascii="Arial" w:hAnsi="Arial" w:cs="Arial"/>
          <w:sz w:val="22"/>
          <w:szCs w:val="22"/>
          <w:shd w:val="clear" w:color="auto" w:fill="FFFFFF"/>
          <w:lang w:val="en-GB"/>
        </w:rPr>
        <w:t xml:space="preserve">automatic consequences which allow time for </w:t>
      </w:r>
      <w:r w:rsidR="00F96C3B" w:rsidRPr="002D5242">
        <w:rPr>
          <w:rFonts w:ascii="Arial" w:hAnsi="Arial" w:cs="Arial"/>
          <w:sz w:val="22"/>
          <w:szCs w:val="22"/>
          <w:shd w:val="clear" w:color="auto" w:fill="FFFFFF"/>
          <w:lang w:val="en-GB"/>
        </w:rPr>
        <w:t xml:space="preserve">the foreign representative to organise an orderly </w:t>
      </w:r>
      <w:r w:rsidR="002D5242" w:rsidRPr="002D5242">
        <w:rPr>
          <w:rFonts w:ascii="Arial" w:hAnsi="Arial" w:cs="Arial"/>
          <w:sz w:val="22"/>
          <w:szCs w:val="22"/>
          <w:shd w:val="clear" w:color="auto" w:fill="FFFFFF"/>
          <w:lang w:val="en-GB"/>
        </w:rPr>
        <w:t xml:space="preserve">proceeding. </w:t>
      </w:r>
      <w:r w:rsidR="007463A4">
        <w:rPr>
          <w:rFonts w:ascii="Arial" w:hAnsi="Arial" w:cs="Arial"/>
          <w:sz w:val="22"/>
          <w:szCs w:val="22"/>
          <w:shd w:val="clear" w:color="auto" w:fill="FFFFFF"/>
          <w:lang w:val="en-GB"/>
        </w:rPr>
        <w:t>An additional relief provided by Article 20 that is not available in pre-</w:t>
      </w:r>
      <w:r w:rsidR="005554C4">
        <w:rPr>
          <w:rFonts w:ascii="Arial" w:hAnsi="Arial" w:cs="Arial"/>
          <w:sz w:val="22"/>
          <w:szCs w:val="22"/>
          <w:shd w:val="clear" w:color="auto" w:fill="FFFFFF"/>
          <w:lang w:val="en-GB"/>
        </w:rPr>
        <w:t xml:space="preserve">recognition relief is the stay of commencement of </w:t>
      </w:r>
      <w:r w:rsidR="0072610B">
        <w:rPr>
          <w:rFonts w:ascii="Arial" w:hAnsi="Arial" w:cs="Arial"/>
          <w:sz w:val="22"/>
          <w:szCs w:val="22"/>
          <w:shd w:val="clear" w:color="auto" w:fill="FFFFFF"/>
          <w:lang w:val="en-GB"/>
        </w:rPr>
        <w:t>proceedings</w:t>
      </w:r>
      <w:r w:rsidR="005554C4">
        <w:rPr>
          <w:rFonts w:ascii="Arial" w:hAnsi="Arial" w:cs="Arial"/>
          <w:sz w:val="22"/>
          <w:szCs w:val="22"/>
          <w:shd w:val="clear" w:color="auto" w:fill="FFFFFF"/>
          <w:lang w:val="en-GB"/>
        </w:rPr>
        <w:t xml:space="preserve"> against the debtor by individuals</w:t>
      </w:r>
      <w:r w:rsidR="0072610B">
        <w:rPr>
          <w:rFonts w:ascii="Arial" w:hAnsi="Arial" w:cs="Arial"/>
          <w:sz w:val="22"/>
          <w:szCs w:val="22"/>
          <w:shd w:val="clear" w:color="auto" w:fill="FFFFFF"/>
          <w:lang w:val="en-GB"/>
        </w:rPr>
        <w:t>.</w:t>
      </w:r>
    </w:p>
    <w:p w14:paraId="03FECDE7" w14:textId="612DD149" w:rsidR="0072610B" w:rsidRDefault="0072610B" w:rsidP="002D5242">
      <w:pPr>
        <w:jc w:val="both"/>
        <w:rPr>
          <w:rFonts w:ascii="Arial" w:hAnsi="Arial" w:cs="Arial"/>
          <w:sz w:val="22"/>
          <w:szCs w:val="22"/>
          <w:shd w:val="clear" w:color="auto" w:fill="FFFFFF"/>
          <w:lang w:val="en-GB"/>
        </w:rPr>
      </w:pPr>
    </w:p>
    <w:p w14:paraId="35C2CA77" w14:textId="1964F1D3" w:rsidR="0072610B" w:rsidRPr="002D5242" w:rsidRDefault="0072610B" w:rsidP="002D5242">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Article 21 deals with post recognition relief that the court at its discretion can provide. </w:t>
      </w:r>
      <w:r w:rsidR="0019679E">
        <w:rPr>
          <w:rFonts w:ascii="Arial" w:hAnsi="Arial" w:cs="Arial"/>
          <w:sz w:val="22"/>
          <w:szCs w:val="22"/>
          <w:shd w:val="clear" w:color="auto" w:fill="FFFFFF"/>
          <w:lang w:val="en-GB"/>
        </w:rPr>
        <w:t>The relief that is available to the foreign representative is</w:t>
      </w:r>
      <w:r w:rsidR="0032345F">
        <w:rPr>
          <w:rFonts w:ascii="Arial" w:hAnsi="Arial" w:cs="Arial"/>
          <w:sz w:val="22"/>
          <w:szCs w:val="22"/>
          <w:shd w:val="clear" w:color="auto" w:fill="FFFFFF"/>
          <w:lang w:val="en-GB"/>
        </w:rPr>
        <w:t xml:space="preserve"> extensive and the court may grant any additional relief to the foreign representative that would also be available to a dom</w:t>
      </w:r>
      <w:r w:rsidR="000E0BFD">
        <w:rPr>
          <w:rFonts w:ascii="Arial" w:hAnsi="Arial" w:cs="Arial"/>
          <w:sz w:val="22"/>
          <w:szCs w:val="22"/>
          <w:shd w:val="clear" w:color="auto" w:fill="FFFFFF"/>
          <w:lang w:val="en-GB"/>
        </w:rPr>
        <w:t xml:space="preserve">estic office holder. However, any relief granted must not interfere with the </w:t>
      </w:r>
      <w:r w:rsidR="00EE715C">
        <w:rPr>
          <w:rFonts w:ascii="Arial" w:hAnsi="Arial" w:cs="Arial"/>
          <w:sz w:val="22"/>
          <w:szCs w:val="22"/>
          <w:shd w:val="clear" w:color="auto" w:fill="FFFFFF"/>
          <w:lang w:val="en-GB"/>
        </w:rPr>
        <w:t>conduct of any other insolvency proceedings including the main proceeding and any other foreign proceedings.</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0B58A891" w:rsidR="00980314" w:rsidRPr="009B5832" w:rsidRDefault="009E3043" w:rsidP="00980314">
      <w:pPr>
        <w:jc w:val="both"/>
        <w:rPr>
          <w:rFonts w:ascii="Arial" w:hAnsi="Arial" w:cs="Arial"/>
          <w:sz w:val="22"/>
          <w:szCs w:val="22"/>
          <w:lang w:val="en-GB"/>
        </w:rPr>
      </w:pPr>
      <w:r w:rsidRPr="00DC282D">
        <w:rPr>
          <w:rFonts w:ascii="Arial" w:hAnsi="Arial" w:cs="Arial"/>
          <w:sz w:val="22"/>
          <w:szCs w:val="22"/>
          <w:lang w:val="en-GB"/>
        </w:rPr>
        <w:t xml:space="preserve">The Court needs to satisfy itself that the relief granted does not interfere with </w:t>
      </w:r>
      <w:r w:rsidR="006067C4" w:rsidRPr="00DC282D">
        <w:rPr>
          <w:rFonts w:ascii="Arial" w:hAnsi="Arial" w:cs="Arial"/>
          <w:sz w:val="22"/>
          <w:szCs w:val="22"/>
          <w:lang w:val="en-GB"/>
        </w:rPr>
        <w:t xml:space="preserve">the administration of another insolvency proceeding. The relief granted under article 19 would interfere with State A’s proceeding and should therefore be </w:t>
      </w:r>
      <w:r w:rsidR="00DC282D" w:rsidRPr="00DC282D">
        <w:rPr>
          <w:rFonts w:ascii="Arial" w:hAnsi="Arial" w:cs="Arial"/>
          <w:sz w:val="22"/>
          <w:szCs w:val="22"/>
          <w:lang w:val="en-GB"/>
        </w:rPr>
        <w:t>appropriately adjusted under Article 21.</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w:t>
      </w:r>
      <w:r w:rsidRPr="009B5832">
        <w:rPr>
          <w:rFonts w:ascii="Arial" w:hAnsi="Arial" w:cs="Arial"/>
          <w:color w:val="000000"/>
          <w:sz w:val="22"/>
          <w:szCs w:val="22"/>
          <w:lang w:val="en-GB" w:eastAsia="en-GB"/>
        </w:rPr>
        <w:lastRenderedPageBreak/>
        <w:t>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minimum capital </w:t>
      </w:r>
      <w:proofErr w:type="gramStart"/>
      <w:r w:rsidRPr="009B5832">
        <w:rPr>
          <w:rFonts w:ascii="Arial" w:hAnsi="Arial" w:cs="Arial"/>
          <w:color w:val="000000"/>
          <w:sz w:val="22"/>
          <w:szCs w:val="22"/>
          <w:lang w:val="en-GB" w:eastAsia="en-GB"/>
        </w:rPr>
        <w:t>requirements;</w:t>
      </w:r>
      <w:proofErr w:type="gramEnd"/>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w:t>
      </w:r>
      <w:r w:rsidRPr="009B5832">
        <w:rPr>
          <w:rFonts w:ascii="Arial" w:hAnsi="Arial" w:cs="Arial"/>
          <w:color w:val="000000"/>
          <w:sz w:val="22"/>
          <w:szCs w:val="22"/>
          <w:lang w:val="en-GB" w:eastAsia="en-GB"/>
        </w:rPr>
        <w:lastRenderedPageBreak/>
        <w:t>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557F9B4C"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1B758E8D" w14:textId="77777777" w:rsidR="00DC282D" w:rsidRPr="009B5832" w:rsidRDefault="00DC282D"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B2CA8A6" w:rsidR="00A153F7" w:rsidRDefault="00A153F7" w:rsidP="00707FC8">
      <w:pPr>
        <w:jc w:val="both"/>
        <w:rPr>
          <w:rFonts w:ascii="Arial" w:hAnsi="Arial" w:cs="Arial"/>
          <w:sz w:val="22"/>
          <w:szCs w:val="22"/>
          <w:lang w:val="en-GB"/>
        </w:rPr>
      </w:pPr>
    </w:p>
    <w:p w14:paraId="2B4EDE05" w14:textId="062AB855" w:rsidR="0004103A" w:rsidRDefault="0004103A" w:rsidP="00707FC8">
      <w:pPr>
        <w:jc w:val="both"/>
        <w:rPr>
          <w:rFonts w:ascii="Arial" w:hAnsi="Arial" w:cs="Arial"/>
          <w:sz w:val="22"/>
          <w:szCs w:val="22"/>
          <w:lang w:val="en-GB"/>
        </w:rPr>
      </w:pPr>
    </w:p>
    <w:p w14:paraId="2FEE5804" w14:textId="06DE6172" w:rsidR="00B653F3" w:rsidRDefault="00B653F3" w:rsidP="00707FC8">
      <w:pPr>
        <w:jc w:val="both"/>
        <w:rPr>
          <w:rFonts w:ascii="Arial" w:hAnsi="Arial" w:cs="Arial"/>
          <w:sz w:val="22"/>
          <w:szCs w:val="22"/>
          <w:lang w:val="en-GB"/>
        </w:rPr>
      </w:pPr>
      <w:r>
        <w:rPr>
          <w:rFonts w:ascii="Arial" w:hAnsi="Arial" w:cs="Arial"/>
          <w:sz w:val="22"/>
          <w:szCs w:val="22"/>
          <w:lang w:val="en-GB"/>
        </w:rPr>
        <w:t>Question 4.1.1</w:t>
      </w:r>
    </w:p>
    <w:p w14:paraId="1C4CFD47" w14:textId="77777777" w:rsidR="00B653F3" w:rsidRPr="009B5832" w:rsidRDefault="00B653F3" w:rsidP="00707FC8">
      <w:pPr>
        <w:jc w:val="both"/>
        <w:rPr>
          <w:rFonts w:ascii="Arial" w:hAnsi="Arial" w:cs="Arial"/>
          <w:sz w:val="22"/>
          <w:szCs w:val="22"/>
          <w:lang w:val="en-GB"/>
        </w:rPr>
      </w:pPr>
    </w:p>
    <w:p w14:paraId="5D4DEA10" w14:textId="77777777" w:rsidR="0042655A" w:rsidRPr="0004103A" w:rsidRDefault="00C12B5C" w:rsidP="00707FC8">
      <w:pPr>
        <w:jc w:val="both"/>
        <w:rPr>
          <w:rFonts w:ascii="Arial" w:hAnsi="Arial" w:cs="Arial"/>
          <w:sz w:val="22"/>
          <w:szCs w:val="22"/>
          <w:lang w:val="en-GB"/>
        </w:rPr>
      </w:pPr>
      <w:r w:rsidRPr="0004103A">
        <w:rPr>
          <w:rFonts w:ascii="Arial" w:hAnsi="Arial" w:cs="Arial"/>
          <w:sz w:val="22"/>
          <w:szCs w:val="22"/>
          <w:lang w:val="en-GB"/>
        </w:rPr>
        <w:t>Article 2</w:t>
      </w:r>
      <w:r w:rsidR="009441B0" w:rsidRPr="0004103A">
        <w:rPr>
          <w:rFonts w:ascii="Arial" w:hAnsi="Arial" w:cs="Arial"/>
          <w:sz w:val="22"/>
          <w:szCs w:val="22"/>
          <w:lang w:val="en-GB"/>
        </w:rPr>
        <w:t xml:space="preserve">(a) sets out the </w:t>
      </w:r>
      <w:r w:rsidR="006E79B1" w:rsidRPr="0004103A">
        <w:rPr>
          <w:rFonts w:ascii="Arial" w:hAnsi="Arial" w:cs="Arial"/>
          <w:sz w:val="22"/>
          <w:szCs w:val="22"/>
          <w:lang w:val="en-GB"/>
        </w:rPr>
        <w:t xml:space="preserve">elements that define a foreign proceeding. In considering whether </w:t>
      </w:r>
      <w:r w:rsidR="00A56A1E" w:rsidRPr="0004103A">
        <w:rPr>
          <w:rFonts w:ascii="Arial" w:hAnsi="Arial" w:cs="Arial"/>
          <w:sz w:val="22"/>
          <w:szCs w:val="22"/>
          <w:lang w:val="en-GB"/>
        </w:rPr>
        <w:t>the Liquidation of the Bank is a foreign proceeding, the Liquidation proceeding must at a minimum meet the requirements of these elements.</w:t>
      </w:r>
      <w:r w:rsidR="00CC262E" w:rsidRPr="0004103A">
        <w:rPr>
          <w:rFonts w:ascii="Arial" w:hAnsi="Arial" w:cs="Arial"/>
          <w:sz w:val="22"/>
          <w:szCs w:val="22"/>
          <w:lang w:val="en-GB"/>
        </w:rPr>
        <w:t xml:space="preserve"> </w:t>
      </w:r>
    </w:p>
    <w:p w14:paraId="15B29EE6" w14:textId="77777777" w:rsidR="0042655A" w:rsidRPr="0004103A" w:rsidRDefault="0042655A" w:rsidP="00707FC8">
      <w:pPr>
        <w:jc w:val="both"/>
        <w:rPr>
          <w:rFonts w:ascii="Arial" w:hAnsi="Arial" w:cs="Arial"/>
          <w:sz w:val="22"/>
          <w:szCs w:val="22"/>
          <w:lang w:val="en-GB"/>
        </w:rPr>
      </w:pPr>
    </w:p>
    <w:p w14:paraId="6E6B9AA4" w14:textId="16A078F9" w:rsidR="00387106" w:rsidRPr="0004103A" w:rsidRDefault="00CC262E" w:rsidP="00707FC8">
      <w:pPr>
        <w:jc w:val="both"/>
        <w:rPr>
          <w:rFonts w:ascii="Arial" w:hAnsi="Arial" w:cs="Arial"/>
          <w:sz w:val="22"/>
          <w:szCs w:val="22"/>
          <w:lang w:val="en-GB"/>
        </w:rPr>
      </w:pPr>
      <w:r w:rsidRPr="0004103A">
        <w:rPr>
          <w:rFonts w:ascii="Arial" w:hAnsi="Arial" w:cs="Arial"/>
          <w:sz w:val="22"/>
          <w:szCs w:val="22"/>
          <w:lang w:val="en-GB"/>
        </w:rPr>
        <w:t xml:space="preserve">Additionally, consideration should be given to </w:t>
      </w:r>
      <w:r w:rsidR="00EA7166" w:rsidRPr="0004103A">
        <w:rPr>
          <w:rFonts w:ascii="Arial" w:hAnsi="Arial" w:cs="Arial"/>
          <w:sz w:val="22"/>
          <w:szCs w:val="22"/>
          <w:lang w:val="en-GB"/>
        </w:rPr>
        <w:t>Article 1 and whether the Liquidation of the Bank would be considered as excluded form the model laws given the Liquidation process is conducted under a</w:t>
      </w:r>
      <w:r w:rsidR="00911DA8" w:rsidRPr="0004103A">
        <w:rPr>
          <w:rFonts w:ascii="Arial" w:hAnsi="Arial" w:cs="Arial"/>
          <w:sz w:val="22"/>
          <w:szCs w:val="22"/>
          <w:lang w:val="en-GB"/>
        </w:rPr>
        <w:t xml:space="preserve"> special </w:t>
      </w:r>
      <w:r w:rsidR="00EA7166" w:rsidRPr="0004103A">
        <w:rPr>
          <w:rFonts w:ascii="Arial" w:hAnsi="Arial" w:cs="Arial"/>
          <w:sz w:val="22"/>
          <w:szCs w:val="22"/>
          <w:lang w:val="en-GB"/>
        </w:rPr>
        <w:t xml:space="preserve">regulatory </w:t>
      </w:r>
      <w:r w:rsidR="00911DA8" w:rsidRPr="0004103A">
        <w:rPr>
          <w:rFonts w:ascii="Arial" w:hAnsi="Arial" w:cs="Arial"/>
          <w:sz w:val="22"/>
          <w:szCs w:val="22"/>
          <w:lang w:val="en-GB"/>
        </w:rPr>
        <w:t>regim</w:t>
      </w:r>
      <w:r w:rsidR="00D56C68" w:rsidRPr="0004103A">
        <w:rPr>
          <w:rFonts w:ascii="Arial" w:hAnsi="Arial" w:cs="Arial"/>
          <w:sz w:val="22"/>
          <w:szCs w:val="22"/>
          <w:lang w:val="en-GB"/>
        </w:rPr>
        <w:t>e</w:t>
      </w:r>
      <w:r w:rsidR="00EA7166" w:rsidRPr="0004103A">
        <w:rPr>
          <w:rFonts w:ascii="Arial" w:hAnsi="Arial" w:cs="Arial"/>
          <w:sz w:val="22"/>
          <w:szCs w:val="22"/>
          <w:lang w:val="en-GB"/>
        </w:rPr>
        <w:t xml:space="preserve"> in Country </w:t>
      </w:r>
      <w:r w:rsidR="00D56C68" w:rsidRPr="0004103A">
        <w:rPr>
          <w:rFonts w:ascii="Arial" w:hAnsi="Arial" w:cs="Arial"/>
          <w:sz w:val="22"/>
          <w:szCs w:val="22"/>
          <w:lang w:val="en-GB"/>
        </w:rPr>
        <w:t xml:space="preserve">A. In this case </w:t>
      </w:r>
      <w:r w:rsidR="0042655A" w:rsidRPr="0004103A">
        <w:rPr>
          <w:rFonts w:ascii="Arial" w:hAnsi="Arial" w:cs="Arial"/>
          <w:sz w:val="22"/>
          <w:szCs w:val="22"/>
          <w:lang w:val="en-GB"/>
        </w:rPr>
        <w:t xml:space="preserve">Article 1 is unlikely to impact any decision on whether recognition would be granted as the Model </w:t>
      </w:r>
      <w:r w:rsidR="00BF5E00" w:rsidRPr="0004103A">
        <w:rPr>
          <w:rFonts w:ascii="Arial" w:hAnsi="Arial" w:cs="Arial"/>
          <w:sz w:val="22"/>
          <w:szCs w:val="22"/>
          <w:lang w:val="en-GB"/>
        </w:rPr>
        <w:t xml:space="preserve">Laws </w:t>
      </w:r>
      <w:r w:rsidR="00A330D1" w:rsidRPr="0004103A">
        <w:rPr>
          <w:rFonts w:ascii="Arial" w:hAnsi="Arial" w:cs="Arial"/>
          <w:sz w:val="22"/>
          <w:szCs w:val="22"/>
          <w:lang w:val="en-GB"/>
        </w:rPr>
        <w:t xml:space="preserve">also set out that the court should be careful not to limit the right of the foreign proceeding </w:t>
      </w:r>
      <w:r w:rsidR="000E4558" w:rsidRPr="0004103A">
        <w:rPr>
          <w:rFonts w:ascii="Arial" w:hAnsi="Arial" w:cs="Arial"/>
          <w:sz w:val="22"/>
          <w:szCs w:val="22"/>
          <w:lang w:val="en-GB"/>
        </w:rPr>
        <w:t xml:space="preserve">to seek assistance or recognition just because it is </w:t>
      </w:r>
      <w:r w:rsidR="007A20AF" w:rsidRPr="0004103A">
        <w:rPr>
          <w:rFonts w:ascii="Arial" w:hAnsi="Arial" w:cs="Arial"/>
          <w:sz w:val="22"/>
          <w:szCs w:val="22"/>
          <w:lang w:val="en-GB"/>
        </w:rPr>
        <w:t>subject to a special regulatory regime</w:t>
      </w:r>
      <w:r w:rsidR="000E4558" w:rsidRPr="0004103A">
        <w:rPr>
          <w:rFonts w:ascii="Arial" w:hAnsi="Arial" w:cs="Arial"/>
          <w:sz w:val="22"/>
          <w:szCs w:val="22"/>
          <w:lang w:val="en-GB"/>
        </w:rPr>
        <w:t>.</w:t>
      </w:r>
    </w:p>
    <w:p w14:paraId="119CBD03" w14:textId="450BD230" w:rsidR="00A56A1E" w:rsidRPr="0004103A" w:rsidRDefault="00A56A1E" w:rsidP="00707FC8">
      <w:pPr>
        <w:jc w:val="both"/>
        <w:rPr>
          <w:rFonts w:ascii="Arial" w:hAnsi="Arial" w:cs="Arial"/>
          <w:sz w:val="22"/>
          <w:szCs w:val="22"/>
          <w:lang w:val="en-GB"/>
        </w:rPr>
      </w:pPr>
    </w:p>
    <w:p w14:paraId="718B5AD2" w14:textId="32F34523" w:rsidR="00A56A1E" w:rsidRDefault="006A4F70" w:rsidP="00707FC8">
      <w:pPr>
        <w:jc w:val="both"/>
        <w:rPr>
          <w:rFonts w:ascii="Arial" w:hAnsi="Arial" w:cs="Arial"/>
          <w:sz w:val="22"/>
          <w:szCs w:val="22"/>
          <w:lang w:val="en-GB"/>
        </w:rPr>
      </w:pPr>
      <w:r>
        <w:rPr>
          <w:rFonts w:ascii="Arial" w:hAnsi="Arial" w:cs="Arial"/>
          <w:sz w:val="22"/>
          <w:szCs w:val="22"/>
          <w:lang w:val="en-GB"/>
        </w:rPr>
        <w:lastRenderedPageBreak/>
        <w:t>Under Article 2(a) the Bank’s Liquidation should be considered a foreign proceeding on the following basis:</w:t>
      </w:r>
    </w:p>
    <w:p w14:paraId="4726B4CF" w14:textId="39B024AF" w:rsidR="006A4F70" w:rsidRDefault="006A4F70" w:rsidP="00707FC8">
      <w:pPr>
        <w:jc w:val="both"/>
        <w:rPr>
          <w:rFonts w:ascii="Arial" w:hAnsi="Arial" w:cs="Arial"/>
          <w:sz w:val="22"/>
          <w:szCs w:val="22"/>
          <w:lang w:val="en-GB"/>
        </w:rPr>
      </w:pPr>
    </w:p>
    <w:p w14:paraId="357C26AA" w14:textId="28A4486A" w:rsidR="006A4F70" w:rsidRDefault="001523A3" w:rsidP="00707FC8">
      <w:pPr>
        <w:jc w:val="both"/>
        <w:rPr>
          <w:rFonts w:ascii="Arial" w:hAnsi="Arial" w:cs="Arial"/>
          <w:sz w:val="22"/>
          <w:szCs w:val="22"/>
          <w:lang w:val="en-GB"/>
        </w:rPr>
      </w:pPr>
      <w:r>
        <w:rPr>
          <w:rFonts w:ascii="Arial" w:hAnsi="Arial" w:cs="Arial"/>
          <w:sz w:val="22"/>
          <w:szCs w:val="22"/>
          <w:lang w:val="en-GB"/>
        </w:rPr>
        <w:t>Th</w:t>
      </w:r>
      <w:r w:rsidR="00665A3B">
        <w:rPr>
          <w:rFonts w:ascii="Arial" w:hAnsi="Arial" w:cs="Arial"/>
          <w:sz w:val="22"/>
          <w:szCs w:val="22"/>
          <w:lang w:val="en-GB"/>
        </w:rPr>
        <w:t xml:space="preserve">e foreign proceeding is either judicial or administrative. In this case as the appointment </w:t>
      </w:r>
      <w:r w:rsidR="00D80C4A">
        <w:rPr>
          <w:rFonts w:ascii="Arial" w:hAnsi="Arial" w:cs="Arial"/>
          <w:sz w:val="22"/>
          <w:szCs w:val="22"/>
          <w:lang w:val="en-GB"/>
        </w:rPr>
        <w:t>mechanism is set out in Article 77 of the LBBA on the basis that the NB has revoked the Banks licence the DGF is automatically appointed as Liquidator. As an administrative pro</w:t>
      </w:r>
      <w:r w:rsidR="001212F9">
        <w:rPr>
          <w:rFonts w:ascii="Arial" w:hAnsi="Arial" w:cs="Arial"/>
          <w:sz w:val="22"/>
          <w:szCs w:val="22"/>
          <w:lang w:val="en-GB"/>
        </w:rPr>
        <w:t>ceeding it would meet this requirement.</w:t>
      </w:r>
    </w:p>
    <w:p w14:paraId="417ACB9F" w14:textId="1EE266AF" w:rsidR="001212F9" w:rsidRDefault="001212F9" w:rsidP="00707FC8">
      <w:pPr>
        <w:jc w:val="both"/>
        <w:rPr>
          <w:rFonts w:ascii="Arial" w:hAnsi="Arial" w:cs="Arial"/>
          <w:sz w:val="22"/>
          <w:szCs w:val="22"/>
          <w:lang w:val="en-GB"/>
        </w:rPr>
      </w:pPr>
    </w:p>
    <w:p w14:paraId="66C6E4DF" w14:textId="21A57340" w:rsidR="008E1558" w:rsidRDefault="001212F9" w:rsidP="00707FC8">
      <w:pPr>
        <w:jc w:val="both"/>
        <w:rPr>
          <w:rFonts w:ascii="Arial" w:hAnsi="Arial" w:cs="Arial"/>
          <w:sz w:val="22"/>
          <w:szCs w:val="22"/>
          <w:lang w:val="en-GB"/>
        </w:rPr>
      </w:pPr>
      <w:r>
        <w:rPr>
          <w:rFonts w:ascii="Arial" w:hAnsi="Arial" w:cs="Arial"/>
          <w:sz w:val="22"/>
          <w:szCs w:val="22"/>
          <w:lang w:val="en-GB"/>
        </w:rPr>
        <w:t>The foreign proceeding is collective in nature</w:t>
      </w:r>
      <w:r w:rsidR="00012E5B">
        <w:rPr>
          <w:rFonts w:ascii="Arial" w:hAnsi="Arial" w:cs="Arial"/>
          <w:sz w:val="22"/>
          <w:szCs w:val="22"/>
          <w:lang w:val="en-GB"/>
        </w:rPr>
        <w:t xml:space="preserve">, on appointment the DGF is granted extensive powers. These powers extend to </w:t>
      </w:r>
      <w:r w:rsidR="00C0034B">
        <w:rPr>
          <w:rFonts w:ascii="Arial" w:hAnsi="Arial" w:cs="Arial"/>
          <w:sz w:val="22"/>
          <w:szCs w:val="22"/>
          <w:lang w:val="en-GB"/>
        </w:rPr>
        <w:t xml:space="preserve">the powers to dispose of the Bank’s assets in order to realize </w:t>
      </w:r>
      <w:r w:rsidR="00AA7CF6">
        <w:rPr>
          <w:rFonts w:ascii="Arial" w:hAnsi="Arial" w:cs="Arial"/>
          <w:sz w:val="22"/>
          <w:szCs w:val="22"/>
          <w:lang w:val="en-GB"/>
        </w:rPr>
        <w:t>monies to satisfy claims made in the Liquidation proceeding. These powers vest in a</w:t>
      </w:r>
      <w:r w:rsidR="000F49F0">
        <w:rPr>
          <w:rFonts w:ascii="Arial" w:hAnsi="Arial" w:cs="Arial"/>
          <w:sz w:val="22"/>
          <w:szCs w:val="22"/>
          <w:lang w:val="en-GB"/>
        </w:rPr>
        <w:t>n authorized officed per Article 48</w:t>
      </w:r>
      <w:r w:rsidR="008E1558">
        <w:rPr>
          <w:rFonts w:ascii="Arial" w:hAnsi="Arial" w:cs="Arial"/>
          <w:sz w:val="22"/>
          <w:szCs w:val="22"/>
          <w:lang w:val="en-GB"/>
        </w:rPr>
        <w:t>(3)</w:t>
      </w:r>
      <w:r w:rsidR="000F49F0">
        <w:rPr>
          <w:rFonts w:ascii="Arial" w:hAnsi="Arial" w:cs="Arial"/>
          <w:sz w:val="22"/>
          <w:szCs w:val="22"/>
          <w:lang w:val="en-GB"/>
        </w:rPr>
        <w:t xml:space="preserve"> of the DGF Law. a discussion on the authorized person being considered a </w:t>
      </w:r>
      <w:r w:rsidR="008E1558">
        <w:rPr>
          <w:rFonts w:ascii="Arial" w:hAnsi="Arial" w:cs="Arial"/>
          <w:sz w:val="22"/>
          <w:szCs w:val="22"/>
          <w:lang w:val="en-GB"/>
        </w:rPr>
        <w:t>foreign representative will follow.</w:t>
      </w:r>
    </w:p>
    <w:p w14:paraId="0034B67B" w14:textId="77777777" w:rsidR="008E1558" w:rsidRDefault="008E1558" w:rsidP="00707FC8">
      <w:pPr>
        <w:jc w:val="both"/>
        <w:rPr>
          <w:rFonts w:ascii="Arial" w:hAnsi="Arial" w:cs="Arial"/>
          <w:sz w:val="22"/>
          <w:szCs w:val="22"/>
          <w:lang w:val="en-GB"/>
        </w:rPr>
      </w:pPr>
    </w:p>
    <w:p w14:paraId="645A43C6" w14:textId="77777777" w:rsidR="0059288E" w:rsidRDefault="0059288E" w:rsidP="00707FC8">
      <w:pPr>
        <w:jc w:val="both"/>
        <w:rPr>
          <w:rFonts w:ascii="Arial" w:hAnsi="Arial" w:cs="Arial"/>
          <w:sz w:val="22"/>
          <w:szCs w:val="22"/>
          <w:lang w:val="en-GB"/>
        </w:rPr>
      </w:pPr>
      <w:r>
        <w:rPr>
          <w:rFonts w:ascii="Arial" w:hAnsi="Arial" w:cs="Arial"/>
          <w:sz w:val="22"/>
          <w:szCs w:val="22"/>
          <w:lang w:val="en-GB"/>
        </w:rPr>
        <w:t>Country A is a foreign state or jurisdiction from England per the facts laid out above meeting this requirement.</w:t>
      </w:r>
    </w:p>
    <w:p w14:paraId="349C2425" w14:textId="77777777" w:rsidR="0059288E" w:rsidRDefault="0059288E" w:rsidP="00707FC8">
      <w:pPr>
        <w:jc w:val="both"/>
        <w:rPr>
          <w:rFonts w:ascii="Arial" w:hAnsi="Arial" w:cs="Arial"/>
          <w:sz w:val="22"/>
          <w:szCs w:val="22"/>
          <w:lang w:val="en-GB"/>
        </w:rPr>
      </w:pPr>
    </w:p>
    <w:p w14:paraId="6E8A0BD5" w14:textId="388185D5" w:rsidR="001212F9" w:rsidRDefault="00986B17" w:rsidP="00707FC8">
      <w:pPr>
        <w:jc w:val="both"/>
        <w:rPr>
          <w:rFonts w:ascii="Arial" w:hAnsi="Arial" w:cs="Arial"/>
          <w:sz w:val="22"/>
          <w:szCs w:val="22"/>
          <w:lang w:val="en-GB"/>
        </w:rPr>
      </w:pPr>
      <w:r>
        <w:rPr>
          <w:rFonts w:ascii="Arial" w:hAnsi="Arial" w:cs="Arial"/>
          <w:sz w:val="22"/>
          <w:szCs w:val="22"/>
          <w:lang w:val="en-GB"/>
        </w:rPr>
        <w:t xml:space="preserve">The liquidation proceeding is conducted under the </w:t>
      </w:r>
      <w:r w:rsidR="00A72242">
        <w:rPr>
          <w:rFonts w:ascii="Arial" w:hAnsi="Arial" w:cs="Arial"/>
          <w:sz w:val="22"/>
          <w:szCs w:val="22"/>
          <w:lang w:val="en-GB"/>
        </w:rPr>
        <w:t xml:space="preserve">LBBA and the DGF Law. these </w:t>
      </w:r>
      <w:r w:rsidR="00087E13">
        <w:rPr>
          <w:rFonts w:ascii="Arial" w:hAnsi="Arial" w:cs="Arial"/>
          <w:sz w:val="22"/>
          <w:szCs w:val="22"/>
          <w:lang w:val="en-GB"/>
        </w:rPr>
        <w:t xml:space="preserve">strictly laws relating to insolvency (for example the Insolvency Act 1986 of England and Wales). </w:t>
      </w:r>
      <w:r w:rsidR="003935E2">
        <w:rPr>
          <w:rFonts w:ascii="Arial" w:hAnsi="Arial" w:cs="Arial"/>
          <w:sz w:val="22"/>
          <w:szCs w:val="22"/>
          <w:lang w:val="en-GB"/>
        </w:rPr>
        <w:t xml:space="preserve">However, as per the </w:t>
      </w:r>
      <w:proofErr w:type="spellStart"/>
      <w:r w:rsidR="003935E2">
        <w:rPr>
          <w:rFonts w:ascii="Arial" w:hAnsi="Arial" w:cs="Arial"/>
          <w:sz w:val="22"/>
          <w:szCs w:val="22"/>
          <w:lang w:val="en-GB"/>
        </w:rPr>
        <w:t>Agrokor</w:t>
      </w:r>
      <w:proofErr w:type="spellEnd"/>
      <w:r w:rsidR="003935E2">
        <w:rPr>
          <w:rFonts w:ascii="Arial" w:hAnsi="Arial" w:cs="Arial"/>
          <w:sz w:val="22"/>
          <w:szCs w:val="22"/>
          <w:lang w:val="en-GB"/>
        </w:rPr>
        <w:t xml:space="preserve"> case the Model Law does not specifically </w:t>
      </w:r>
      <w:r w:rsidR="00AC6006">
        <w:rPr>
          <w:rFonts w:ascii="Arial" w:hAnsi="Arial" w:cs="Arial"/>
          <w:sz w:val="22"/>
          <w:szCs w:val="22"/>
          <w:lang w:val="en-GB"/>
        </w:rPr>
        <w:t xml:space="preserve">require that the law be labelled as “insolvency law”. </w:t>
      </w:r>
      <w:r w:rsidR="008401D7">
        <w:rPr>
          <w:rFonts w:ascii="Arial" w:hAnsi="Arial" w:cs="Arial"/>
          <w:sz w:val="22"/>
          <w:szCs w:val="22"/>
          <w:lang w:val="en-GB"/>
        </w:rPr>
        <w:t xml:space="preserve">The requirement that the proceeding be authorised or conducted under a law relating to insolvency is satisfied </w:t>
      </w:r>
      <w:r w:rsidR="003E079E">
        <w:rPr>
          <w:rFonts w:ascii="Arial" w:hAnsi="Arial" w:cs="Arial"/>
          <w:sz w:val="22"/>
          <w:szCs w:val="22"/>
          <w:lang w:val="en-GB"/>
        </w:rPr>
        <w:t xml:space="preserve">if insolvency is one of the grounds upon which the proceedings could be commenced. As set out above in the facts of the case, </w:t>
      </w:r>
      <w:r w:rsidR="005D5AAF">
        <w:rPr>
          <w:rFonts w:ascii="Arial" w:hAnsi="Arial" w:cs="Arial"/>
          <w:sz w:val="22"/>
          <w:szCs w:val="22"/>
          <w:lang w:val="en-GB"/>
        </w:rPr>
        <w:t xml:space="preserve">the Affidavit sets out a deficiency of $823 million, </w:t>
      </w:r>
      <w:r w:rsidR="00DE05A8">
        <w:rPr>
          <w:rFonts w:ascii="Arial" w:hAnsi="Arial" w:cs="Arial"/>
          <w:sz w:val="22"/>
          <w:szCs w:val="22"/>
          <w:lang w:val="en-GB"/>
        </w:rPr>
        <w:t>showing the Bank to be insolvent.</w:t>
      </w:r>
      <w:r w:rsidR="00AA7CF6">
        <w:rPr>
          <w:rFonts w:ascii="Arial" w:hAnsi="Arial" w:cs="Arial"/>
          <w:sz w:val="22"/>
          <w:szCs w:val="22"/>
          <w:lang w:val="en-GB"/>
        </w:rPr>
        <w:t xml:space="preserve"> </w:t>
      </w:r>
    </w:p>
    <w:p w14:paraId="058B094F" w14:textId="41F0D698" w:rsidR="00AA7CF6" w:rsidRDefault="00AA7CF6" w:rsidP="00707FC8">
      <w:pPr>
        <w:jc w:val="both"/>
        <w:rPr>
          <w:rFonts w:ascii="Arial" w:hAnsi="Arial" w:cs="Arial"/>
          <w:sz w:val="22"/>
          <w:szCs w:val="22"/>
          <w:lang w:val="en-GB"/>
        </w:rPr>
      </w:pPr>
    </w:p>
    <w:p w14:paraId="729899A7" w14:textId="4AB5E04A" w:rsidR="001A1F51" w:rsidRDefault="00F705B8" w:rsidP="00707FC8">
      <w:pPr>
        <w:jc w:val="both"/>
        <w:rPr>
          <w:rFonts w:ascii="Arial" w:hAnsi="Arial" w:cs="Arial"/>
          <w:sz w:val="22"/>
          <w:szCs w:val="22"/>
          <w:lang w:val="en-GB"/>
        </w:rPr>
      </w:pPr>
      <w:r>
        <w:rPr>
          <w:rFonts w:ascii="Arial" w:hAnsi="Arial" w:cs="Arial"/>
          <w:sz w:val="22"/>
          <w:szCs w:val="22"/>
          <w:lang w:val="en-GB"/>
        </w:rPr>
        <w:t xml:space="preserve">The requirement for court supervision or control is a difficult requirement to meet based on the facts set out above. </w:t>
      </w:r>
      <w:r w:rsidR="00B6588C">
        <w:rPr>
          <w:rFonts w:ascii="Arial" w:hAnsi="Arial" w:cs="Arial"/>
          <w:sz w:val="22"/>
          <w:szCs w:val="22"/>
          <w:lang w:val="en-GB"/>
        </w:rPr>
        <w:t xml:space="preserve">The appointment of both the Provisional Administrator and the Liquidator </w:t>
      </w:r>
      <w:r w:rsidR="00A10FD2">
        <w:rPr>
          <w:rFonts w:ascii="Arial" w:hAnsi="Arial" w:cs="Arial"/>
          <w:sz w:val="22"/>
          <w:szCs w:val="22"/>
          <w:lang w:val="en-GB"/>
        </w:rPr>
        <w:t xml:space="preserve">is subject to the DGF Law and the LBBA rather than through the powers of the court. </w:t>
      </w:r>
      <w:r w:rsidR="00B13E1D">
        <w:rPr>
          <w:rFonts w:ascii="Arial" w:hAnsi="Arial" w:cs="Arial"/>
          <w:sz w:val="22"/>
          <w:szCs w:val="22"/>
          <w:lang w:val="en-GB"/>
        </w:rPr>
        <w:t>Additionally,</w:t>
      </w:r>
      <w:r w:rsidR="00A10FD2">
        <w:rPr>
          <w:rFonts w:ascii="Arial" w:hAnsi="Arial" w:cs="Arial"/>
          <w:sz w:val="22"/>
          <w:szCs w:val="22"/>
          <w:lang w:val="en-GB"/>
        </w:rPr>
        <w:t xml:space="preserve"> the facts of the case do not mention whether </w:t>
      </w:r>
      <w:r w:rsidR="00670B65">
        <w:rPr>
          <w:rFonts w:ascii="Arial" w:hAnsi="Arial" w:cs="Arial"/>
          <w:sz w:val="22"/>
          <w:szCs w:val="22"/>
          <w:lang w:val="en-GB"/>
        </w:rPr>
        <w:t xml:space="preserve">the proceedings </w:t>
      </w:r>
      <w:r w:rsidR="0076739B">
        <w:rPr>
          <w:rFonts w:ascii="Arial" w:hAnsi="Arial" w:cs="Arial"/>
          <w:sz w:val="22"/>
          <w:szCs w:val="22"/>
          <w:lang w:val="en-GB"/>
        </w:rPr>
        <w:t xml:space="preserve">undertaken to date in respect of the Bank have been bought before the court in Country A. therefore it is challenging to confirm whether or not the proceedings are subject to court supervision or control, however, as per the </w:t>
      </w:r>
      <w:proofErr w:type="spellStart"/>
      <w:r w:rsidR="0076739B">
        <w:rPr>
          <w:rFonts w:ascii="Arial" w:hAnsi="Arial" w:cs="Arial"/>
          <w:sz w:val="22"/>
          <w:szCs w:val="22"/>
          <w:lang w:val="en-GB"/>
        </w:rPr>
        <w:t>Agrokor</w:t>
      </w:r>
      <w:proofErr w:type="spellEnd"/>
      <w:r w:rsidR="0076739B">
        <w:rPr>
          <w:rFonts w:ascii="Arial" w:hAnsi="Arial" w:cs="Arial"/>
          <w:sz w:val="22"/>
          <w:szCs w:val="22"/>
          <w:lang w:val="en-GB"/>
        </w:rPr>
        <w:t xml:space="preserve"> case the </w:t>
      </w:r>
      <w:r w:rsidR="008F735D">
        <w:rPr>
          <w:rFonts w:ascii="Arial" w:hAnsi="Arial" w:cs="Arial"/>
          <w:sz w:val="22"/>
          <w:szCs w:val="22"/>
          <w:lang w:val="en-GB"/>
        </w:rPr>
        <w:t xml:space="preserve">level of court supervision required by the Model Laws can be considered </w:t>
      </w:r>
      <w:r w:rsidR="003845EF">
        <w:rPr>
          <w:rFonts w:ascii="Arial" w:hAnsi="Arial" w:cs="Arial"/>
          <w:sz w:val="22"/>
          <w:szCs w:val="22"/>
          <w:lang w:val="en-GB"/>
        </w:rPr>
        <w:t xml:space="preserve">as potential for the court to supervise rather than to have been involved already. As the DGF Law and LBBA are established laws in Country A, these proceedings would have standing in that </w:t>
      </w:r>
      <w:r w:rsidR="001A1F51">
        <w:rPr>
          <w:rFonts w:ascii="Arial" w:hAnsi="Arial" w:cs="Arial"/>
          <w:sz w:val="22"/>
          <w:szCs w:val="22"/>
          <w:lang w:val="en-GB"/>
        </w:rPr>
        <w:t>jurisdiction and therefore should meet the threshold for the purposes of Article 2(a).</w:t>
      </w:r>
    </w:p>
    <w:p w14:paraId="65AD76EF" w14:textId="737F07F4" w:rsidR="001A1F51" w:rsidRDefault="001A1F51" w:rsidP="00707FC8">
      <w:pPr>
        <w:jc w:val="both"/>
        <w:rPr>
          <w:rFonts w:ascii="Arial" w:hAnsi="Arial" w:cs="Arial"/>
          <w:sz w:val="22"/>
          <w:szCs w:val="22"/>
          <w:lang w:val="en-GB"/>
        </w:rPr>
      </w:pPr>
    </w:p>
    <w:p w14:paraId="6B610A28" w14:textId="0D9E1F7D" w:rsidR="00AD07A5" w:rsidRDefault="00AD07A5" w:rsidP="00707FC8">
      <w:pPr>
        <w:jc w:val="both"/>
        <w:rPr>
          <w:rFonts w:ascii="Arial" w:hAnsi="Arial" w:cs="Arial"/>
          <w:sz w:val="22"/>
          <w:szCs w:val="22"/>
          <w:lang w:val="en-GB"/>
        </w:rPr>
      </w:pPr>
      <w:r>
        <w:rPr>
          <w:rFonts w:ascii="Arial" w:hAnsi="Arial" w:cs="Arial"/>
          <w:sz w:val="22"/>
          <w:szCs w:val="22"/>
          <w:lang w:val="en-GB"/>
        </w:rPr>
        <w:t xml:space="preserve">Finally, the requirement that the proceedings are </w:t>
      </w:r>
      <w:r w:rsidR="00866644">
        <w:rPr>
          <w:rFonts w:ascii="Arial" w:hAnsi="Arial" w:cs="Arial"/>
          <w:sz w:val="22"/>
          <w:szCs w:val="22"/>
          <w:lang w:val="en-GB"/>
        </w:rPr>
        <w:t xml:space="preserve">for the purpose of reorganization or Liquidation is met as </w:t>
      </w:r>
      <w:r w:rsidR="00B653F3">
        <w:rPr>
          <w:rFonts w:ascii="Arial" w:hAnsi="Arial" w:cs="Arial"/>
          <w:sz w:val="22"/>
          <w:szCs w:val="22"/>
          <w:lang w:val="en-GB"/>
        </w:rPr>
        <w:t>“</w:t>
      </w:r>
      <w:r w:rsidR="00866644">
        <w:rPr>
          <w:rFonts w:ascii="Arial" w:hAnsi="Arial" w:cs="Arial"/>
          <w:sz w:val="22"/>
          <w:szCs w:val="22"/>
          <w:lang w:val="en-GB"/>
        </w:rPr>
        <w:t xml:space="preserve">the </w:t>
      </w:r>
      <w:r w:rsidR="00B653F3" w:rsidRPr="00B653F3">
        <w:rPr>
          <w:rFonts w:ascii="Arial" w:hAnsi="Arial" w:cs="Arial"/>
          <w:sz w:val="22"/>
          <w:szCs w:val="22"/>
          <w:lang w:val="en-GB"/>
        </w:rPr>
        <w:t>NB classified the Bank as insolvent pursuant to article 76 of the LBBA.</w:t>
      </w:r>
      <w:r w:rsidR="00B653F3">
        <w:rPr>
          <w:rFonts w:ascii="Arial" w:hAnsi="Arial" w:cs="Arial"/>
          <w:sz w:val="22"/>
          <w:szCs w:val="22"/>
          <w:lang w:val="en-GB"/>
        </w:rPr>
        <w:t>”</w:t>
      </w:r>
      <w:r w:rsidR="00B653F3" w:rsidRPr="00B653F3">
        <w:rPr>
          <w:rFonts w:ascii="Arial" w:hAnsi="Arial" w:cs="Arial"/>
          <w:sz w:val="22"/>
          <w:szCs w:val="22"/>
          <w:lang w:val="en-GB"/>
        </w:rPr>
        <w:t xml:space="preserve"> </w:t>
      </w:r>
      <w:r w:rsidR="00B653F3">
        <w:rPr>
          <w:rFonts w:ascii="Arial" w:hAnsi="Arial" w:cs="Arial"/>
          <w:sz w:val="22"/>
          <w:szCs w:val="22"/>
          <w:lang w:val="en-GB"/>
        </w:rPr>
        <w:t>Additionally, the NB has revoked the Banks licence to operate and the appointment of the Liquidator under the DGF Law will oversee the disposal of the Banks assets in order to make distributions to creditors, however those creditors will not be satisfied in full due to the deficiency in the Banks accounts.</w:t>
      </w:r>
    </w:p>
    <w:p w14:paraId="25D8F935" w14:textId="77777777" w:rsidR="005A6E50" w:rsidRDefault="008F735D" w:rsidP="00707FC8">
      <w:pPr>
        <w:jc w:val="both"/>
        <w:rPr>
          <w:rFonts w:ascii="Arial" w:hAnsi="Arial" w:cs="Arial"/>
          <w:sz w:val="22"/>
          <w:szCs w:val="22"/>
          <w:lang w:val="en-GB"/>
        </w:rPr>
      </w:pPr>
      <w:r>
        <w:rPr>
          <w:rFonts w:ascii="Arial" w:hAnsi="Arial" w:cs="Arial"/>
          <w:sz w:val="22"/>
          <w:szCs w:val="22"/>
          <w:lang w:val="en-GB"/>
        </w:rPr>
        <w:t xml:space="preserve"> </w:t>
      </w:r>
    </w:p>
    <w:p w14:paraId="4F655637" w14:textId="55AD7288" w:rsidR="00AA7CF6" w:rsidRDefault="005A6E50" w:rsidP="00707FC8">
      <w:pPr>
        <w:jc w:val="both"/>
        <w:rPr>
          <w:rFonts w:ascii="Arial" w:hAnsi="Arial" w:cs="Arial"/>
          <w:sz w:val="22"/>
          <w:szCs w:val="22"/>
          <w:lang w:val="en-GB"/>
        </w:rPr>
      </w:pPr>
      <w:r>
        <w:rPr>
          <w:rFonts w:ascii="Arial" w:hAnsi="Arial" w:cs="Arial"/>
          <w:sz w:val="22"/>
          <w:szCs w:val="22"/>
          <w:lang w:val="en-GB"/>
        </w:rPr>
        <w:t>In summary, the English courts would be justified in considering the Liquidation of the Bank</w:t>
      </w:r>
      <w:r w:rsidR="00E728B9">
        <w:rPr>
          <w:rFonts w:ascii="Arial" w:hAnsi="Arial" w:cs="Arial"/>
          <w:sz w:val="22"/>
          <w:szCs w:val="22"/>
          <w:lang w:val="en-GB"/>
        </w:rPr>
        <w:t xml:space="preserve"> </w:t>
      </w:r>
      <w:r>
        <w:rPr>
          <w:rFonts w:ascii="Arial" w:hAnsi="Arial" w:cs="Arial"/>
          <w:sz w:val="22"/>
          <w:szCs w:val="22"/>
          <w:lang w:val="en-GB"/>
        </w:rPr>
        <w:t>a foreign proceeding under Article 2(a) of the model laws.</w:t>
      </w:r>
      <w:r w:rsidR="008F735D">
        <w:rPr>
          <w:rFonts w:ascii="Arial" w:hAnsi="Arial" w:cs="Arial"/>
          <w:sz w:val="22"/>
          <w:szCs w:val="22"/>
          <w:lang w:val="en-GB"/>
        </w:rPr>
        <w:t xml:space="preserve"> </w:t>
      </w:r>
    </w:p>
    <w:p w14:paraId="65772D66" w14:textId="05387501" w:rsidR="00012E5B" w:rsidRDefault="00012E5B" w:rsidP="00707FC8">
      <w:pPr>
        <w:jc w:val="both"/>
        <w:rPr>
          <w:rFonts w:ascii="Arial" w:hAnsi="Arial" w:cs="Arial"/>
          <w:sz w:val="22"/>
          <w:szCs w:val="22"/>
          <w:lang w:val="en-GB"/>
        </w:rPr>
      </w:pPr>
    </w:p>
    <w:p w14:paraId="61ED4987" w14:textId="77777777" w:rsidR="00E728B9" w:rsidRDefault="00E728B9" w:rsidP="00707FC8">
      <w:pPr>
        <w:jc w:val="both"/>
        <w:rPr>
          <w:rFonts w:ascii="Arial" w:hAnsi="Arial" w:cs="Arial"/>
          <w:sz w:val="22"/>
          <w:szCs w:val="22"/>
          <w:lang w:val="en-GB"/>
        </w:rPr>
      </w:pPr>
    </w:p>
    <w:p w14:paraId="3B21EF77" w14:textId="42D3C87E" w:rsidR="00B653F3" w:rsidRDefault="00B653F3" w:rsidP="00707FC8">
      <w:pPr>
        <w:jc w:val="both"/>
        <w:rPr>
          <w:rFonts w:ascii="Arial" w:hAnsi="Arial" w:cs="Arial"/>
          <w:sz w:val="22"/>
          <w:szCs w:val="22"/>
          <w:lang w:val="en-GB"/>
        </w:rPr>
      </w:pPr>
      <w:r>
        <w:rPr>
          <w:rFonts w:ascii="Arial" w:hAnsi="Arial" w:cs="Arial"/>
          <w:sz w:val="22"/>
          <w:szCs w:val="22"/>
          <w:lang w:val="en-GB"/>
        </w:rPr>
        <w:t>Question 4.1.2</w:t>
      </w:r>
    </w:p>
    <w:p w14:paraId="51BF74C5" w14:textId="77777777" w:rsidR="00B653F3" w:rsidRDefault="00B653F3" w:rsidP="00707FC8">
      <w:pPr>
        <w:jc w:val="both"/>
        <w:rPr>
          <w:rFonts w:ascii="Arial" w:hAnsi="Arial" w:cs="Arial"/>
          <w:sz w:val="22"/>
          <w:szCs w:val="22"/>
          <w:lang w:val="en-GB"/>
        </w:rPr>
      </w:pPr>
    </w:p>
    <w:p w14:paraId="5D277BE0" w14:textId="28209AF6" w:rsidR="00012E5B" w:rsidRDefault="00AB3380" w:rsidP="00707FC8">
      <w:pPr>
        <w:jc w:val="both"/>
        <w:rPr>
          <w:rFonts w:ascii="Arial" w:hAnsi="Arial" w:cs="Arial"/>
          <w:sz w:val="22"/>
          <w:szCs w:val="22"/>
          <w:lang w:val="en-GB"/>
        </w:rPr>
      </w:pPr>
      <w:r>
        <w:rPr>
          <w:rFonts w:ascii="Arial" w:hAnsi="Arial" w:cs="Arial"/>
          <w:sz w:val="22"/>
          <w:szCs w:val="22"/>
          <w:lang w:val="en-GB"/>
        </w:rPr>
        <w:t xml:space="preserve">Article 2(d) sets out the </w:t>
      </w:r>
      <w:r w:rsidR="001D4388">
        <w:rPr>
          <w:rFonts w:ascii="Arial" w:hAnsi="Arial" w:cs="Arial"/>
          <w:sz w:val="22"/>
          <w:szCs w:val="22"/>
          <w:lang w:val="en-GB"/>
        </w:rPr>
        <w:t xml:space="preserve">elements that must be met for a foreign appointee to be considered a foreign representative. In reference to the Bank’s proceeding and the appointee Ms. G </w:t>
      </w:r>
      <w:r w:rsidR="009C3EF0">
        <w:rPr>
          <w:rFonts w:ascii="Arial" w:hAnsi="Arial" w:cs="Arial"/>
          <w:sz w:val="22"/>
          <w:szCs w:val="22"/>
          <w:lang w:val="en-GB"/>
        </w:rPr>
        <w:t xml:space="preserve">who is </w:t>
      </w:r>
      <w:r w:rsidR="00E728B9">
        <w:rPr>
          <w:rFonts w:ascii="Arial" w:hAnsi="Arial" w:cs="Arial"/>
          <w:sz w:val="22"/>
          <w:szCs w:val="22"/>
          <w:lang w:val="en-GB"/>
        </w:rPr>
        <w:t>bringing</w:t>
      </w:r>
      <w:r w:rsidR="009C3EF0">
        <w:rPr>
          <w:rFonts w:ascii="Arial" w:hAnsi="Arial" w:cs="Arial"/>
          <w:sz w:val="22"/>
          <w:szCs w:val="22"/>
          <w:lang w:val="en-GB"/>
        </w:rPr>
        <w:t xml:space="preserve"> the recognition application the following assessment can be made.</w:t>
      </w:r>
    </w:p>
    <w:p w14:paraId="652A2352" w14:textId="1C99DF47" w:rsidR="009C3EF0" w:rsidRDefault="009C3EF0" w:rsidP="00707FC8">
      <w:pPr>
        <w:jc w:val="both"/>
        <w:rPr>
          <w:rFonts w:ascii="Arial" w:hAnsi="Arial" w:cs="Arial"/>
          <w:sz w:val="22"/>
          <w:szCs w:val="22"/>
          <w:lang w:val="en-GB"/>
        </w:rPr>
      </w:pPr>
    </w:p>
    <w:p w14:paraId="56175C24" w14:textId="160497C8" w:rsidR="009C3EF0" w:rsidRDefault="00D83ADB" w:rsidP="00707FC8">
      <w:pPr>
        <w:jc w:val="both"/>
        <w:rPr>
          <w:rFonts w:ascii="Arial" w:hAnsi="Arial" w:cs="Arial"/>
          <w:sz w:val="22"/>
          <w:szCs w:val="22"/>
          <w:lang w:val="en-GB"/>
        </w:rPr>
      </w:pPr>
      <w:r>
        <w:rPr>
          <w:rFonts w:ascii="Arial" w:hAnsi="Arial" w:cs="Arial"/>
          <w:sz w:val="22"/>
          <w:szCs w:val="22"/>
          <w:lang w:val="en-GB"/>
        </w:rPr>
        <w:lastRenderedPageBreak/>
        <w:t xml:space="preserve">Ms G is appointed under </w:t>
      </w:r>
      <w:r w:rsidR="00D9235E">
        <w:rPr>
          <w:rFonts w:ascii="Arial" w:hAnsi="Arial" w:cs="Arial"/>
          <w:sz w:val="22"/>
          <w:szCs w:val="22"/>
          <w:lang w:val="en-GB"/>
        </w:rPr>
        <w:t xml:space="preserve">Article 48(3) of the DGF law </w:t>
      </w:r>
      <w:r w:rsidR="0043794B">
        <w:rPr>
          <w:rFonts w:ascii="Arial" w:hAnsi="Arial" w:cs="Arial"/>
          <w:sz w:val="22"/>
          <w:szCs w:val="22"/>
          <w:lang w:val="en-GB"/>
        </w:rPr>
        <w:t xml:space="preserve">as the fund’s authorised person. Ms. G was appointed by resolution of the DGF board </w:t>
      </w:r>
      <w:r w:rsidR="00C97979">
        <w:rPr>
          <w:rFonts w:ascii="Arial" w:hAnsi="Arial" w:cs="Arial"/>
          <w:sz w:val="22"/>
          <w:szCs w:val="22"/>
          <w:lang w:val="en-GB"/>
        </w:rPr>
        <w:t xml:space="preserve">of directors </w:t>
      </w:r>
      <w:r w:rsidR="0043794B">
        <w:rPr>
          <w:rFonts w:ascii="Arial" w:hAnsi="Arial" w:cs="Arial"/>
          <w:sz w:val="22"/>
          <w:szCs w:val="22"/>
          <w:lang w:val="en-GB"/>
        </w:rPr>
        <w:t>per resolution 1513</w:t>
      </w:r>
      <w:r w:rsidR="00C97979">
        <w:rPr>
          <w:rFonts w:ascii="Arial" w:hAnsi="Arial" w:cs="Arial"/>
          <w:sz w:val="22"/>
          <w:szCs w:val="22"/>
          <w:lang w:val="en-GB"/>
        </w:rPr>
        <w:t xml:space="preserve">. </w:t>
      </w:r>
    </w:p>
    <w:p w14:paraId="493F93B8" w14:textId="7DD67C23" w:rsidR="00C97979" w:rsidRDefault="00C97979" w:rsidP="00707FC8">
      <w:pPr>
        <w:jc w:val="both"/>
        <w:rPr>
          <w:rFonts w:ascii="Arial" w:hAnsi="Arial" w:cs="Arial"/>
          <w:sz w:val="22"/>
          <w:szCs w:val="22"/>
          <w:lang w:val="en-GB"/>
        </w:rPr>
      </w:pPr>
      <w:r>
        <w:rPr>
          <w:rFonts w:ascii="Arial" w:hAnsi="Arial" w:cs="Arial"/>
          <w:sz w:val="22"/>
          <w:szCs w:val="22"/>
          <w:lang w:val="en-GB"/>
        </w:rPr>
        <w:t>Ms. G’s appointment would therefore satisfy the requirement for the foreign representative to be a person or body a</w:t>
      </w:r>
      <w:r w:rsidR="00730E10">
        <w:rPr>
          <w:rFonts w:ascii="Arial" w:hAnsi="Arial" w:cs="Arial"/>
          <w:sz w:val="22"/>
          <w:szCs w:val="22"/>
          <w:lang w:val="en-GB"/>
        </w:rPr>
        <w:t>nd to be authorised in foreign proceeding which she is under the DGF Laws.</w:t>
      </w:r>
    </w:p>
    <w:p w14:paraId="28655868" w14:textId="52FD53D7" w:rsidR="00730E10" w:rsidRDefault="00730E10" w:rsidP="00707FC8">
      <w:pPr>
        <w:jc w:val="both"/>
        <w:rPr>
          <w:rFonts w:ascii="Arial" w:hAnsi="Arial" w:cs="Arial"/>
          <w:sz w:val="22"/>
          <w:szCs w:val="22"/>
          <w:lang w:val="en-GB"/>
        </w:rPr>
      </w:pPr>
    </w:p>
    <w:p w14:paraId="5B863293" w14:textId="0AC5477D" w:rsidR="00730E10" w:rsidRDefault="00E76E88" w:rsidP="00707FC8">
      <w:pPr>
        <w:jc w:val="both"/>
        <w:rPr>
          <w:rFonts w:ascii="Arial" w:hAnsi="Arial" w:cs="Arial"/>
          <w:color w:val="000000"/>
          <w:sz w:val="22"/>
          <w:szCs w:val="22"/>
          <w:lang w:val="en-GB" w:eastAsia="en-GB"/>
        </w:rPr>
      </w:pPr>
      <w:r>
        <w:rPr>
          <w:rFonts w:ascii="Arial" w:hAnsi="Arial" w:cs="Arial"/>
          <w:sz w:val="22"/>
          <w:szCs w:val="22"/>
          <w:lang w:val="en-GB"/>
        </w:rPr>
        <w:t xml:space="preserve">Additionally, the DGF Laws set out a number of </w:t>
      </w:r>
      <w:r w:rsidR="00102030">
        <w:rPr>
          <w:rFonts w:ascii="Arial" w:hAnsi="Arial" w:cs="Arial"/>
          <w:sz w:val="22"/>
          <w:szCs w:val="22"/>
          <w:lang w:val="en-GB"/>
        </w:rPr>
        <w:t xml:space="preserve">extensive </w:t>
      </w:r>
      <w:r>
        <w:rPr>
          <w:rFonts w:ascii="Arial" w:hAnsi="Arial" w:cs="Arial"/>
          <w:sz w:val="22"/>
          <w:szCs w:val="22"/>
          <w:lang w:val="en-GB"/>
        </w:rPr>
        <w:t xml:space="preserve">powers that the DGF has </w:t>
      </w:r>
      <w:r w:rsidR="00102030">
        <w:rPr>
          <w:rFonts w:ascii="Arial" w:hAnsi="Arial" w:cs="Arial"/>
          <w:sz w:val="22"/>
          <w:szCs w:val="22"/>
          <w:lang w:val="en-GB"/>
        </w:rPr>
        <w:t xml:space="preserve">at its disposal to </w:t>
      </w:r>
      <w:r w:rsidR="001C4EFB">
        <w:rPr>
          <w:rFonts w:ascii="Arial" w:hAnsi="Arial" w:cs="Arial"/>
          <w:sz w:val="22"/>
          <w:szCs w:val="22"/>
          <w:lang w:val="en-GB"/>
        </w:rPr>
        <w:t xml:space="preserve">manage the business and affairs of the Bank in either reorganising or liquidating the Bank. As these powers are conferred to Ms. G as the representative of the DGF per Article 48(3) </w:t>
      </w:r>
      <w:r w:rsidR="0084362E">
        <w:rPr>
          <w:rFonts w:ascii="Arial" w:hAnsi="Arial" w:cs="Arial"/>
          <w:sz w:val="22"/>
          <w:szCs w:val="22"/>
          <w:lang w:val="en-GB"/>
        </w:rPr>
        <w:t xml:space="preserve">Ms. G has the power to administer the Liquidation of the Bank. Additionally, though not seemingly required by the Model Laws, Ms. G is noted as having </w:t>
      </w:r>
      <w:r w:rsidR="0084362E">
        <w:rPr>
          <w:rFonts w:ascii="Arial" w:hAnsi="Arial" w:cs="Arial"/>
          <w:color w:val="000000"/>
          <w:sz w:val="22"/>
          <w:szCs w:val="22"/>
          <w:lang w:val="en-GB" w:eastAsia="en-GB"/>
        </w:rPr>
        <w:t>“</w:t>
      </w:r>
      <w:r w:rsidR="0084362E"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4362E">
        <w:rPr>
          <w:rFonts w:ascii="Arial" w:hAnsi="Arial" w:cs="Arial"/>
          <w:color w:val="000000"/>
          <w:sz w:val="22"/>
          <w:szCs w:val="22"/>
          <w:lang w:val="en-GB" w:eastAsia="en-GB"/>
        </w:rPr>
        <w:t>”</w:t>
      </w:r>
      <w:r w:rsidR="0084362E">
        <w:rPr>
          <w:rFonts w:ascii="Arial" w:hAnsi="Arial" w:cs="Arial"/>
          <w:color w:val="000000"/>
          <w:sz w:val="22"/>
          <w:szCs w:val="22"/>
          <w:lang w:val="en-GB" w:eastAsia="en-GB"/>
        </w:rPr>
        <w:t xml:space="preserve"> This should give the English courts confidence that Ms. G is </w:t>
      </w:r>
      <w:r w:rsidR="008C6930">
        <w:rPr>
          <w:rFonts w:ascii="Arial" w:hAnsi="Arial" w:cs="Arial"/>
          <w:color w:val="000000"/>
          <w:sz w:val="22"/>
          <w:szCs w:val="22"/>
          <w:lang w:val="en-GB" w:eastAsia="en-GB"/>
        </w:rPr>
        <w:t>an acceptable representative given her professional background to administer the Liquidation.</w:t>
      </w:r>
    </w:p>
    <w:p w14:paraId="4D543863" w14:textId="33040DB9" w:rsidR="008C6930" w:rsidRDefault="008C6930" w:rsidP="00707FC8">
      <w:pPr>
        <w:jc w:val="both"/>
        <w:rPr>
          <w:rFonts w:ascii="Arial" w:hAnsi="Arial" w:cs="Arial"/>
          <w:color w:val="000000"/>
          <w:sz w:val="22"/>
          <w:szCs w:val="22"/>
          <w:lang w:val="en-GB" w:eastAsia="en-GB"/>
        </w:rPr>
      </w:pPr>
    </w:p>
    <w:p w14:paraId="3D8F514B" w14:textId="3BBA6F1D" w:rsidR="008C6930" w:rsidRPr="009B5832" w:rsidRDefault="008C6930" w:rsidP="00707FC8">
      <w:pPr>
        <w:jc w:val="both"/>
        <w:rPr>
          <w:rFonts w:ascii="Arial" w:hAnsi="Arial" w:cs="Arial"/>
          <w:sz w:val="22"/>
          <w:szCs w:val="22"/>
          <w:lang w:val="en-GB"/>
        </w:rPr>
      </w:pPr>
      <w:r>
        <w:rPr>
          <w:rFonts w:ascii="Arial" w:hAnsi="Arial" w:cs="Arial"/>
          <w:color w:val="000000"/>
          <w:sz w:val="22"/>
          <w:szCs w:val="22"/>
          <w:lang w:val="en-GB" w:eastAsia="en-GB"/>
        </w:rPr>
        <w:t>In summary Ms. G should meet the model laws requirements as a foreign representative.</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BC38" w14:textId="77777777" w:rsidR="002B4816" w:rsidRDefault="002B4816" w:rsidP="00241B44">
      <w:r>
        <w:separator/>
      </w:r>
    </w:p>
  </w:endnote>
  <w:endnote w:type="continuationSeparator" w:id="0">
    <w:p w14:paraId="2A1857E5" w14:textId="77777777" w:rsidR="002B4816" w:rsidRDefault="002B48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53A92AF2" w:rsidR="0036760B" w:rsidRPr="00784B4B" w:rsidRDefault="002F218E" w:rsidP="0036760B">
    <w:pPr>
      <w:pStyle w:val="Footer"/>
      <w:ind w:right="360" w:firstLine="360"/>
      <w:rPr>
        <w:rFonts w:ascii="Arial" w:hAnsi="Arial" w:cs="Arial"/>
        <w:sz w:val="18"/>
        <w:szCs w:val="18"/>
      </w:rPr>
    </w:pPr>
    <w:r w:rsidRPr="002F218E">
      <w:rPr>
        <w:rFonts w:ascii="Arial" w:hAnsi="Arial" w:cs="Arial"/>
        <w:sz w:val="18"/>
        <w:szCs w:val="18"/>
      </w:rPr>
      <w:t>202122-560</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1C05" w14:textId="77777777" w:rsidR="00D76D36" w:rsidRDefault="00D76D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CE01" w14:textId="77777777" w:rsidR="002B4816" w:rsidRDefault="002B4816" w:rsidP="00241B44">
      <w:r>
        <w:separator/>
      </w:r>
    </w:p>
  </w:footnote>
  <w:footnote w:type="continuationSeparator" w:id="0">
    <w:p w14:paraId="737080E6" w14:textId="77777777" w:rsidR="002B4816" w:rsidRDefault="002B481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C273" w14:textId="77777777" w:rsidR="00D76D36" w:rsidRDefault="00D76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6379" w14:textId="77777777" w:rsidR="00D76D36" w:rsidRDefault="00D76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CC3B" w14:textId="77777777" w:rsidR="00D76D36" w:rsidRDefault="00D76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E7B08"/>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C270BC"/>
    <w:multiLevelType w:val="hybridMultilevel"/>
    <w:tmpl w:val="4DC61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4663A"/>
    <w:multiLevelType w:val="hybridMultilevel"/>
    <w:tmpl w:val="2E4A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9"/>
  </w:num>
  <w:num w:numId="4">
    <w:abstractNumId w:val="38"/>
  </w:num>
  <w:num w:numId="5">
    <w:abstractNumId w:val="7"/>
  </w:num>
  <w:num w:numId="6">
    <w:abstractNumId w:val="36"/>
  </w:num>
  <w:num w:numId="7">
    <w:abstractNumId w:val="15"/>
  </w:num>
  <w:num w:numId="8">
    <w:abstractNumId w:val="31"/>
  </w:num>
  <w:num w:numId="9">
    <w:abstractNumId w:val="18"/>
  </w:num>
  <w:num w:numId="10">
    <w:abstractNumId w:val="10"/>
  </w:num>
  <w:num w:numId="11">
    <w:abstractNumId w:val="20"/>
  </w:num>
  <w:num w:numId="12">
    <w:abstractNumId w:val="35"/>
  </w:num>
  <w:num w:numId="13">
    <w:abstractNumId w:val="5"/>
  </w:num>
  <w:num w:numId="14">
    <w:abstractNumId w:val="27"/>
  </w:num>
  <w:num w:numId="15">
    <w:abstractNumId w:val="11"/>
  </w:num>
  <w:num w:numId="16">
    <w:abstractNumId w:val="12"/>
  </w:num>
  <w:num w:numId="17">
    <w:abstractNumId w:val="22"/>
  </w:num>
  <w:num w:numId="18">
    <w:abstractNumId w:val="6"/>
  </w:num>
  <w:num w:numId="19">
    <w:abstractNumId w:val="21"/>
  </w:num>
  <w:num w:numId="20">
    <w:abstractNumId w:val="41"/>
  </w:num>
  <w:num w:numId="21">
    <w:abstractNumId w:val="14"/>
  </w:num>
  <w:num w:numId="22">
    <w:abstractNumId w:val="34"/>
  </w:num>
  <w:num w:numId="23">
    <w:abstractNumId w:val="39"/>
  </w:num>
  <w:num w:numId="24">
    <w:abstractNumId w:val="33"/>
  </w:num>
  <w:num w:numId="25">
    <w:abstractNumId w:val="26"/>
  </w:num>
  <w:num w:numId="26">
    <w:abstractNumId w:val="40"/>
  </w:num>
  <w:num w:numId="27">
    <w:abstractNumId w:val="37"/>
  </w:num>
  <w:num w:numId="28">
    <w:abstractNumId w:val="8"/>
  </w:num>
  <w:num w:numId="29">
    <w:abstractNumId w:val="9"/>
  </w:num>
  <w:num w:numId="30">
    <w:abstractNumId w:val="23"/>
  </w:num>
  <w:num w:numId="31">
    <w:abstractNumId w:val="3"/>
  </w:num>
  <w:num w:numId="32">
    <w:abstractNumId w:val="24"/>
  </w:num>
  <w:num w:numId="33">
    <w:abstractNumId w:val="0"/>
  </w:num>
  <w:num w:numId="34">
    <w:abstractNumId w:val="30"/>
  </w:num>
  <w:num w:numId="35">
    <w:abstractNumId w:val="17"/>
  </w:num>
  <w:num w:numId="36">
    <w:abstractNumId w:val="32"/>
  </w:num>
  <w:num w:numId="37">
    <w:abstractNumId w:val="19"/>
  </w:num>
  <w:num w:numId="38">
    <w:abstractNumId w:val="28"/>
  </w:num>
  <w:num w:numId="39">
    <w:abstractNumId w:val="4"/>
  </w:num>
  <w:num w:numId="40">
    <w:abstractNumId w:val="16"/>
  </w:num>
  <w:num w:numId="41">
    <w:abstractNumId w:val="13"/>
  </w:num>
  <w:num w:numId="42">
    <w:abstractNumId w:val="25"/>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25B4"/>
    <w:rsid w:val="00012E5B"/>
    <w:rsid w:val="00020557"/>
    <w:rsid w:val="000232A1"/>
    <w:rsid w:val="000250C7"/>
    <w:rsid w:val="00025CCF"/>
    <w:rsid w:val="0003114A"/>
    <w:rsid w:val="00034E2B"/>
    <w:rsid w:val="0003619C"/>
    <w:rsid w:val="00037621"/>
    <w:rsid w:val="0004103A"/>
    <w:rsid w:val="00044D46"/>
    <w:rsid w:val="00045088"/>
    <w:rsid w:val="00045904"/>
    <w:rsid w:val="000464F7"/>
    <w:rsid w:val="0005141D"/>
    <w:rsid w:val="00065166"/>
    <w:rsid w:val="00067A88"/>
    <w:rsid w:val="00073474"/>
    <w:rsid w:val="00077D49"/>
    <w:rsid w:val="00082609"/>
    <w:rsid w:val="000851CC"/>
    <w:rsid w:val="000867B6"/>
    <w:rsid w:val="00087E13"/>
    <w:rsid w:val="00093BE8"/>
    <w:rsid w:val="00097C09"/>
    <w:rsid w:val="000A68ED"/>
    <w:rsid w:val="000B4FEB"/>
    <w:rsid w:val="000B5FF1"/>
    <w:rsid w:val="000B609F"/>
    <w:rsid w:val="000C147F"/>
    <w:rsid w:val="000C6BB9"/>
    <w:rsid w:val="000D55A8"/>
    <w:rsid w:val="000D61BE"/>
    <w:rsid w:val="000E0BFD"/>
    <w:rsid w:val="000E4558"/>
    <w:rsid w:val="000E4841"/>
    <w:rsid w:val="000E6325"/>
    <w:rsid w:val="000F1677"/>
    <w:rsid w:val="000F3D6C"/>
    <w:rsid w:val="000F49F0"/>
    <w:rsid w:val="000F579C"/>
    <w:rsid w:val="00100C2D"/>
    <w:rsid w:val="00101707"/>
    <w:rsid w:val="00102030"/>
    <w:rsid w:val="00114082"/>
    <w:rsid w:val="0011473D"/>
    <w:rsid w:val="00115C85"/>
    <w:rsid w:val="001212F9"/>
    <w:rsid w:val="00123855"/>
    <w:rsid w:val="00126A4D"/>
    <w:rsid w:val="00140E0A"/>
    <w:rsid w:val="0014171F"/>
    <w:rsid w:val="00143EEE"/>
    <w:rsid w:val="0014548C"/>
    <w:rsid w:val="0014622C"/>
    <w:rsid w:val="00151F58"/>
    <w:rsid w:val="00152348"/>
    <w:rsid w:val="001523A3"/>
    <w:rsid w:val="00154397"/>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2F16"/>
    <w:rsid w:val="001966D9"/>
    <w:rsid w:val="0019679E"/>
    <w:rsid w:val="001A1F51"/>
    <w:rsid w:val="001A24E7"/>
    <w:rsid w:val="001A2B78"/>
    <w:rsid w:val="001A7E9A"/>
    <w:rsid w:val="001B0F70"/>
    <w:rsid w:val="001B1ED6"/>
    <w:rsid w:val="001B5016"/>
    <w:rsid w:val="001B786D"/>
    <w:rsid w:val="001C45FC"/>
    <w:rsid w:val="001C4EFB"/>
    <w:rsid w:val="001D02C5"/>
    <w:rsid w:val="001D4388"/>
    <w:rsid w:val="001D4862"/>
    <w:rsid w:val="001E25B9"/>
    <w:rsid w:val="001E49E0"/>
    <w:rsid w:val="001E6CFE"/>
    <w:rsid w:val="001E7B5A"/>
    <w:rsid w:val="001F7412"/>
    <w:rsid w:val="00201874"/>
    <w:rsid w:val="00202133"/>
    <w:rsid w:val="0020264E"/>
    <w:rsid w:val="0020725B"/>
    <w:rsid w:val="00210441"/>
    <w:rsid w:val="002175BA"/>
    <w:rsid w:val="00222E8B"/>
    <w:rsid w:val="0022599E"/>
    <w:rsid w:val="002305E8"/>
    <w:rsid w:val="0023198D"/>
    <w:rsid w:val="0023317E"/>
    <w:rsid w:val="00233DFE"/>
    <w:rsid w:val="00234F2C"/>
    <w:rsid w:val="00240B0E"/>
    <w:rsid w:val="0024116D"/>
    <w:rsid w:val="00241B44"/>
    <w:rsid w:val="00245EFB"/>
    <w:rsid w:val="00250E19"/>
    <w:rsid w:val="0025386E"/>
    <w:rsid w:val="00255CF9"/>
    <w:rsid w:val="002606F3"/>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B4816"/>
    <w:rsid w:val="002C0296"/>
    <w:rsid w:val="002C13C8"/>
    <w:rsid w:val="002C3547"/>
    <w:rsid w:val="002D0021"/>
    <w:rsid w:val="002D0051"/>
    <w:rsid w:val="002D3473"/>
    <w:rsid w:val="002D5242"/>
    <w:rsid w:val="002D5C95"/>
    <w:rsid w:val="002E00F8"/>
    <w:rsid w:val="002E1BB5"/>
    <w:rsid w:val="002E2322"/>
    <w:rsid w:val="002E38E2"/>
    <w:rsid w:val="002F1956"/>
    <w:rsid w:val="002F218E"/>
    <w:rsid w:val="002F3440"/>
    <w:rsid w:val="002F4E3F"/>
    <w:rsid w:val="002F4EC0"/>
    <w:rsid w:val="002F71BE"/>
    <w:rsid w:val="002F75A3"/>
    <w:rsid w:val="00303C2F"/>
    <w:rsid w:val="00312911"/>
    <w:rsid w:val="003144EF"/>
    <w:rsid w:val="003148CA"/>
    <w:rsid w:val="00315506"/>
    <w:rsid w:val="00322F3B"/>
    <w:rsid w:val="0032345F"/>
    <w:rsid w:val="00326292"/>
    <w:rsid w:val="00326415"/>
    <w:rsid w:val="00330937"/>
    <w:rsid w:val="00330F31"/>
    <w:rsid w:val="00333BDD"/>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45EF"/>
    <w:rsid w:val="0038533C"/>
    <w:rsid w:val="00386568"/>
    <w:rsid w:val="00387106"/>
    <w:rsid w:val="00391F3E"/>
    <w:rsid w:val="003935E2"/>
    <w:rsid w:val="003948D5"/>
    <w:rsid w:val="00396821"/>
    <w:rsid w:val="00397D3A"/>
    <w:rsid w:val="003A051E"/>
    <w:rsid w:val="003A2FEE"/>
    <w:rsid w:val="003B1310"/>
    <w:rsid w:val="003B170F"/>
    <w:rsid w:val="003B3C5F"/>
    <w:rsid w:val="003C1B43"/>
    <w:rsid w:val="003C4471"/>
    <w:rsid w:val="003C66B1"/>
    <w:rsid w:val="003D0A6D"/>
    <w:rsid w:val="003E079E"/>
    <w:rsid w:val="003E0B16"/>
    <w:rsid w:val="003E63E4"/>
    <w:rsid w:val="003E67D1"/>
    <w:rsid w:val="003F1755"/>
    <w:rsid w:val="003F38C7"/>
    <w:rsid w:val="00400A63"/>
    <w:rsid w:val="00405DC1"/>
    <w:rsid w:val="0040710D"/>
    <w:rsid w:val="00407585"/>
    <w:rsid w:val="0041139B"/>
    <w:rsid w:val="00413D3A"/>
    <w:rsid w:val="00415DD1"/>
    <w:rsid w:val="00415F1F"/>
    <w:rsid w:val="0042108F"/>
    <w:rsid w:val="00422242"/>
    <w:rsid w:val="00424D07"/>
    <w:rsid w:val="0042655A"/>
    <w:rsid w:val="00430FED"/>
    <w:rsid w:val="00434A8C"/>
    <w:rsid w:val="00435583"/>
    <w:rsid w:val="00437297"/>
    <w:rsid w:val="0043794B"/>
    <w:rsid w:val="00443403"/>
    <w:rsid w:val="00444284"/>
    <w:rsid w:val="00445CE6"/>
    <w:rsid w:val="004534C2"/>
    <w:rsid w:val="0045446F"/>
    <w:rsid w:val="0045683E"/>
    <w:rsid w:val="0047025B"/>
    <w:rsid w:val="00477CE4"/>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37EA6"/>
    <w:rsid w:val="00540B44"/>
    <w:rsid w:val="00540E3A"/>
    <w:rsid w:val="00544127"/>
    <w:rsid w:val="00544273"/>
    <w:rsid w:val="005463A9"/>
    <w:rsid w:val="00553EB2"/>
    <w:rsid w:val="005554C4"/>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0141"/>
    <w:rsid w:val="0059288E"/>
    <w:rsid w:val="00592F82"/>
    <w:rsid w:val="00594E4C"/>
    <w:rsid w:val="0059658D"/>
    <w:rsid w:val="005A0CCA"/>
    <w:rsid w:val="005A6E50"/>
    <w:rsid w:val="005A726D"/>
    <w:rsid w:val="005B67AC"/>
    <w:rsid w:val="005C2C94"/>
    <w:rsid w:val="005C4865"/>
    <w:rsid w:val="005D43E0"/>
    <w:rsid w:val="005D58A3"/>
    <w:rsid w:val="005D5AAF"/>
    <w:rsid w:val="005E1B79"/>
    <w:rsid w:val="005E5C28"/>
    <w:rsid w:val="005F026D"/>
    <w:rsid w:val="005F21F4"/>
    <w:rsid w:val="005F2D0B"/>
    <w:rsid w:val="005F4B31"/>
    <w:rsid w:val="005F6D92"/>
    <w:rsid w:val="006067C4"/>
    <w:rsid w:val="00610388"/>
    <w:rsid w:val="00612CA5"/>
    <w:rsid w:val="006153EC"/>
    <w:rsid w:val="00621A17"/>
    <w:rsid w:val="00622586"/>
    <w:rsid w:val="00622C2B"/>
    <w:rsid w:val="00622DCB"/>
    <w:rsid w:val="00625F72"/>
    <w:rsid w:val="00627CC9"/>
    <w:rsid w:val="00627E7B"/>
    <w:rsid w:val="00630542"/>
    <w:rsid w:val="00632E44"/>
    <w:rsid w:val="00634622"/>
    <w:rsid w:val="00636808"/>
    <w:rsid w:val="00641002"/>
    <w:rsid w:val="00641515"/>
    <w:rsid w:val="00651AE3"/>
    <w:rsid w:val="00654C2F"/>
    <w:rsid w:val="00657087"/>
    <w:rsid w:val="0066252C"/>
    <w:rsid w:val="00665A3B"/>
    <w:rsid w:val="006661EF"/>
    <w:rsid w:val="00670B65"/>
    <w:rsid w:val="0067294B"/>
    <w:rsid w:val="00677736"/>
    <w:rsid w:val="0067785F"/>
    <w:rsid w:val="00677AEB"/>
    <w:rsid w:val="00680EF2"/>
    <w:rsid w:val="006839C2"/>
    <w:rsid w:val="00687A1D"/>
    <w:rsid w:val="006920CC"/>
    <w:rsid w:val="00697EA1"/>
    <w:rsid w:val="006A1850"/>
    <w:rsid w:val="006A2646"/>
    <w:rsid w:val="006A3DF0"/>
    <w:rsid w:val="006A4F70"/>
    <w:rsid w:val="006A6530"/>
    <w:rsid w:val="006B435A"/>
    <w:rsid w:val="006B4C64"/>
    <w:rsid w:val="006B4FFC"/>
    <w:rsid w:val="006B642B"/>
    <w:rsid w:val="006D12BA"/>
    <w:rsid w:val="006D6BD5"/>
    <w:rsid w:val="006E303F"/>
    <w:rsid w:val="006E481A"/>
    <w:rsid w:val="006E5298"/>
    <w:rsid w:val="006E79B1"/>
    <w:rsid w:val="006F2CE3"/>
    <w:rsid w:val="006F734A"/>
    <w:rsid w:val="006F7471"/>
    <w:rsid w:val="00700D83"/>
    <w:rsid w:val="00704852"/>
    <w:rsid w:val="00706297"/>
    <w:rsid w:val="00706AD5"/>
    <w:rsid w:val="007074E9"/>
    <w:rsid w:val="00707FC8"/>
    <w:rsid w:val="00713DA4"/>
    <w:rsid w:val="00714BF1"/>
    <w:rsid w:val="00721383"/>
    <w:rsid w:val="0072554C"/>
    <w:rsid w:val="00725911"/>
    <w:rsid w:val="0072610B"/>
    <w:rsid w:val="00730E10"/>
    <w:rsid w:val="00731DBD"/>
    <w:rsid w:val="007333CC"/>
    <w:rsid w:val="0073399A"/>
    <w:rsid w:val="007463A4"/>
    <w:rsid w:val="007508C7"/>
    <w:rsid w:val="007603F5"/>
    <w:rsid w:val="00760B48"/>
    <w:rsid w:val="00764DB0"/>
    <w:rsid w:val="0076739B"/>
    <w:rsid w:val="0076764D"/>
    <w:rsid w:val="0077498C"/>
    <w:rsid w:val="00784128"/>
    <w:rsid w:val="00784B4B"/>
    <w:rsid w:val="007854ED"/>
    <w:rsid w:val="00793173"/>
    <w:rsid w:val="007A20AF"/>
    <w:rsid w:val="007B3AC7"/>
    <w:rsid w:val="007C1FCC"/>
    <w:rsid w:val="007C32A8"/>
    <w:rsid w:val="007C3FE5"/>
    <w:rsid w:val="007C5E46"/>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01D7"/>
    <w:rsid w:val="0084362E"/>
    <w:rsid w:val="0084683C"/>
    <w:rsid w:val="00853A74"/>
    <w:rsid w:val="008550BD"/>
    <w:rsid w:val="00860E61"/>
    <w:rsid w:val="008626FA"/>
    <w:rsid w:val="00866644"/>
    <w:rsid w:val="008723F3"/>
    <w:rsid w:val="00881DE6"/>
    <w:rsid w:val="008837A6"/>
    <w:rsid w:val="0089145D"/>
    <w:rsid w:val="00891D7B"/>
    <w:rsid w:val="008A0C6E"/>
    <w:rsid w:val="008A4DF2"/>
    <w:rsid w:val="008A6CFE"/>
    <w:rsid w:val="008A7470"/>
    <w:rsid w:val="008A77DB"/>
    <w:rsid w:val="008B1A08"/>
    <w:rsid w:val="008B2DE3"/>
    <w:rsid w:val="008B5333"/>
    <w:rsid w:val="008B6223"/>
    <w:rsid w:val="008C66E0"/>
    <w:rsid w:val="008C6930"/>
    <w:rsid w:val="008E1224"/>
    <w:rsid w:val="008E1558"/>
    <w:rsid w:val="008E2DFA"/>
    <w:rsid w:val="008E3339"/>
    <w:rsid w:val="008E549B"/>
    <w:rsid w:val="008F18EF"/>
    <w:rsid w:val="008F20FC"/>
    <w:rsid w:val="008F2B24"/>
    <w:rsid w:val="008F5FFE"/>
    <w:rsid w:val="008F735D"/>
    <w:rsid w:val="0090421A"/>
    <w:rsid w:val="00905A43"/>
    <w:rsid w:val="00906BD1"/>
    <w:rsid w:val="00911DA8"/>
    <w:rsid w:val="00912C79"/>
    <w:rsid w:val="00922A6F"/>
    <w:rsid w:val="009260A2"/>
    <w:rsid w:val="00927F7C"/>
    <w:rsid w:val="00931DD9"/>
    <w:rsid w:val="00942123"/>
    <w:rsid w:val="009441B0"/>
    <w:rsid w:val="00951031"/>
    <w:rsid w:val="0095207B"/>
    <w:rsid w:val="00954D04"/>
    <w:rsid w:val="00956085"/>
    <w:rsid w:val="00957951"/>
    <w:rsid w:val="00962045"/>
    <w:rsid w:val="009634F7"/>
    <w:rsid w:val="00967EDA"/>
    <w:rsid w:val="00970897"/>
    <w:rsid w:val="00980314"/>
    <w:rsid w:val="009816D0"/>
    <w:rsid w:val="00986B17"/>
    <w:rsid w:val="00991428"/>
    <w:rsid w:val="00992676"/>
    <w:rsid w:val="00996691"/>
    <w:rsid w:val="009A4880"/>
    <w:rsid w:val="009A7865"/>
    <w:rsid w:val="009B0723"/>
    <w:rsid w:val="009B07AD"/>
    <w:rsid w:val="009B0883"/>
    <w:rsid w:val="009B0B3A"/>
    <w:rsid w:val="009B15E2"/>
    <w:rsid w:val="009B5832"/>
    <w:rsid w:val="009B6312"/>
    <w:rsid w:val="009C0850"/>
    <w:rsid w:val="009C0B8E"/>
    <w:rsid w:val="009C1BC8"/>
    <w:rsid w:val="009C2442"/>
    <w:rsid w:val="009C3EF0"/>
    <w:rsid w:val="009D0811"/>
    <w:rsid w:val="009D0EE1"/>
    <w:rsid w:val="009D1415"/>
    <w:rsid w:val="009D30BB"/>
    <w:rsid w:val="009E28F2"/>
    <w:rsid w:val="009E2AEB"/>
    <w:rsid w:val="009E2E27"/>
    <w:rsid w:val="009E3043"/>
    <w:rsid w:val="009E4DE3"/>
    <w:rsid w:val="00A00A2C"/>
    <w:rsid w:val="00A047EE"/>
    <w:rsid w:val="00A10FD2"/>
    <w:rsid w:val="00A114EA"/>
    <w:rsid w:val="00A13E2D"/>
    <w:rsid w:val="00A153F7"/>
    <w:rsid w:val="00A2274A"/>
    <w:rsid w:val="00A235B7"/>
    <w:rsid w:val="00A27A7A"/>
    <w:rsid w:val="00A330D1"/>
    <w:rsid w:val="00A407EF"/>
    <w:rsid w:val="00A4128B"/>
    <w:rsid w:val="00A46B4C"/>
    <w:rsid w:val="00A5117B"/>
    <w:rsid w:val="00A54689"/>
    <w:rsid w:val="00A56A1E"/>
    <w:rsid w:val="00A60074"/>
    <w:rsid w:val="00A6627C"/>
    <w:rsid w:val="00A71019"/>
    <w:rsid w:val="00A72242"/>
    <w:rsid w:val="00A81029"/>
    <w:rsid w:val="00A83A04"/>
    <w:rsid w:val="00A83CB5"/>
    <w:rsid w:val="00A96489"/>
    <w:rsid w:val="00AA3A42"/>
    <w:rsid w:val="00AA4C73"/>
    <w:rsid w:val="00AA5311"/>
    <w:rsid w:val="00AA7CF6"/>
    <w:rsid w:val="00AB3380"/>
    <w:rsid w:val="00AB3B24"/>
    <w:rsid w:val="00AB685C"/>
    <w:rsid w:val="00AB6C2D"/>
    <w:rsid w:val="00AC08F7"/>
    <w:rsid w:val="00AC3839"/>
    <w:rsid w:val="00AC6006"/>
    <w:rsid w:val="00AC7082"/>
    <w:rsid w:val="00AD07A5"/>
    <w:rsid w:val="00AD3FEA"/>
    <w:rsid w:val="00AD7BBD"/>
    <w:rsid w:val="00AF228E"/>
    <w:rsid w:val="00B04137"/>
    <w:rsid w:val="00B11D19"/>
    <w:rsid w:val="00B12936"/>
    <w:rsid w:val="00B13E1D"/>
    <w:rsid w:val="00B14819"/>
    <w:rsid w:val="00B17AA9"/>
    <w:rsid w:val="00B30A98"/>
    <w:rsid w:val="00B32DE4"/>
    <w:rsid w:val="00B33578"/>
    <w:rsid w:val="00B370C3"/>
    <w:rsid w:val="00B411AE"/>
    <w:rsid w:val="00B50E5D"/>
    <w:rsid w:val="00B52998"/>
    <w:rsid w:val="00B60190"/>
    <w:rsid w:val="00B61419"/>
    <w:rsid w:val="00B653F3"/>
    <w:rsid w:val="00B6588C"/>
    <w:rsid w:val="00B72F5F"/>
    <w:rsid w:val="00B736DF"/>
    <w:rsid w:val="00B74BE3"/>
    <w:rsid w:val="00B74FBD"/>
    <w:rsid w:val="00B82586"/>
    <w:rsid w:val="00B829A3"/>
    <w:rsid w:val="00B86DB1"/>
    <w:rsid w:val="00B87869"/>
    <w:rsid w:val="00B953FF"/>
    <w:rsid w:val="00BA0E44"/>
    <w:rsid w:val="00BA47C5"/>
    <w:rsid w:val="00BB0F2B"/>
    <w:rsid w:val="00BD4722"/>
    <w:rsid w:val="00BE1A50"/>
    <w:rsid w:val="00BF50F7"/>
    <w:rsid w:val="00BF5E00"/>
    <w:rsid w:val="00C0034B"/>
    <w:rsid w:val="00C02F29"/>
    <w:rsid w:val="00C04D17"/>
    <w:rsid w:val="00C10C13"/>
    <w:rsid w:val="00C12B5C"/>
    <w:rsid w:val="00C17111"/>
    <w:rsid w:val="00C2001A"/>
    <w:rsid w:val="00C20747"/>
    <w:rsid w:val="00C20AFE"/>
    <w:rsid w:val="00C22A25"/>
    <w:rsid w:val="00C2385F"/>
    <w:rsid w:val="00C23B79"/>
    <w:rsid w:val="00C31D65"/>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877F1"/>
    <w:rsid w:val="00C91324"/>
    <w:rsid w:val="00C9283D"/>
    <w:rsid w:val="00C931E2"/>
    <w:rsid w:val="00C963D3"/>
    <w:rsid w:val="00C96588"/>
    <w:rsid w:val="00C97979"/>
    <w:rsid w:val="00CA3702"/>
    <w:rsid w:val="00CA6E0D"/>
    <w:rsid w:val="00CB2CBB"/>
    <w:rsid w:val="00CB7CAC"/>
    <w:rsid w:val="00CC0EA0"/>
    <w:rsid w:val="00CC262E"/>
    <w:rsid w:val="00CC5335"/>
    <w:rsid w:val="00CC5BA4"/>
    <w:rsid w:val="00CC70BB"/>
    <w:rsid w:val="00CD4998"/>
    <w:rsid w:val="00CE1035"/>
    <w:rsid w:val="00CE5B74"/>
    <w:rsid w:val="00CF2819"/>
    <w:rsid w:val="00CF4F9D"/>
    <w:rsid w:val="00CF70DC"/>
    <w:rsid w:val="00D148DC"/>
    <w:rsid w:val="00D17FDC"/>
    <w:rsid w:val="00D444C5"/>
    <w:rsid w:val="00D45AEA"/>
    <w:rsid w:val="00D53E6C"/>
    <w:rsid w:val="00D56A37"/>
    <w:rsid w:val="00D56C68"/>
    <w:rsid w:val="00D57202"/>
    <w:rsid w:val="00D63EFD"/>
    <w:rsid w:val="00D64826"/>
    <w:rsid w:val="00D76D36"/>
    <w:rsid w:val="00D80C4A"/>
    <w:rsid w:val="00D80DF2"/>
    <w:rsid w:val="00D83ADB"/>
    <w:rsid w:val="00D84752"/>
    <w:rsid w:val="00D85AB0"/>
    <w:rsid w:val="00D86B3B"/>
    <w:rsid w:val="00D8748A"/>
    <w:rsid w:val="00D9235E"/>
    <w:rsid w:val="00D93196"/>
    <w:rsid w:val="00D97A93"/>
    <w:rsid w:val="00DA1083"/>
    <w:rsid w:val="00DA26C8"/>
    <w:rsid w:val="00DA4692"/>
    <w:rsid w:val="00DA5C7A"/>
    <w:rsid w:val="00DB243C"/>
    <w:rsid w:val="00DB482A"/>
    <w:rsid w:val="00DB56F2"/>
    <w:rsid w:val="00DB6EF5"/>
    <w:rsid w:val="00DC282D"/>
    <w:rsid w:val="00DC3089"/>
    <w:rsid w:val="00DC4420"/>
    <w:rsid w:val="00DC45F4"/>
    <w:rsid w:val="00DD0802"/>
    <w:rsid w:val="00DD0A50"/>
    <w:rsid w:val="00DD1498"/>
    <w:rsid w:val="00DD2E11"/>
    <w:rsid w:val="00DE03AF"/>
    <w:rsid w:val="00DE05A8"/>
    <w:rsid w:val="00DE121C"/>
    <w:rsid w:val="00DE2A27"/>
    <w:rsid w:val="00DE3705"/>
    <w:rsid w:val="00DE6633"/>
    <w:rsid w:val="00DF75F8"/>
    <w:rsid w:val="00DF7A3A"/>
    <w:rsid w:val="00DF7C59"/>
    <w:rsid w:val="00E00C00"/>
    <w:rsid w:val="00E04A7C"/>
    <w:rsid w:val="00E059FB"/>
    <w:rsid w:val="00E069C4"/>
    <w:rsid w:val="00E07275"/>
    <w:rsid w:val="00E07866"/>
    <w:rsid w:val="00E07C5A"/>
    <w:rsid w:val="00E15BA9"/>
    <w:rsid w:val="00E26E19"/>
    <w:rsid w:val="00E31DF3"/>
    <w:rsid w:val="00E32814"/>
    <w:rsid w:val="00E33486"/>
    <w:rsid w:val="00E450A4"/>
    <w:rsid w:val="00E45A92"/>
    <w:rsid w:val="00E506BE"/>
    <w:rsid w:val="00E55547"/>
    <w:rsid w:val="00E57410"/>
    <w:rsid w:val="00E6302B"/>
    <w:rsid w:val="00E6452F"/>
    <w:rsid w:val="00E64619"/>
    <w:rsid w:val="00E64F45"/>
    <w:rsid w:val="00E6742D"/>
    <w:rsid w:val="00E71CB0"/>
    <w:rsid w:val="00E728B9"/>
    <w:rsid w:val="00E73529"/>
    <w:rsid w:val="00E76E88"/>
    <w:rsid w:val="00E77C3D"/>
    <w:rsid w:val="00E850FE"/>
    <w:rsid w:val="00E86823"/>
    <w:rsid w:val="00E9001E"/>
    <w:rsid w:val="00E909F0"/>
    <w:rsid w:val="00E90D47"/>
    <w:rsid w:val="00E93993"/>
    <w:rsid w:val="00E9597C"/>
    <w:rsid w:val="00EA0913"/>
    <w:rsid w:val="00EA0A2F"/>
    <w:rsid w:val="00EA2719"/>
    <w:rsid w:val="00EA7166"/>
    <w:rsid w:val="00EB146B"/>
    <w:rsid w:val="00EB45AC"/>
    <w:rsid w:val="00EB50AE"/>
    <w:rsid w:val="00EB6A0C"/>
    <w:rsid w:val="00EC2AEA"/>
    <w:rsid w:val="00EC7B11"/>
    <w:rsid w:val="00EC7F95"/>
    <w:rsid w:val="00ED0BC4"/>
    <w:rsid w:val="00ED3771"/>
    <w:rsid w:val="00ED6A32"/>
    <w:rsid w:val="00EE4971"/>
    <w:rsid w:val="00EE715C"/>
    <w:rsid w:val="00EF090E"/>
    <w:rsid w:val="00F01E66"/>
    <w:rsid w:val="00F033DA"/>
    <w:rsid w:val="00F11AAB"/>
    <w:rsid w:val="00F12DFE"/>
    <w:rsid w:val="00F13FB1"/>
    <w:rsid w:val="00F16889"/>
    <w:rsid w:val="00F17C87"/>
    <w:rsid w:val="00F223E7"/>
    <w:rsid w:val="00F2288D"/>
    <w:rsid w:val="00F25779"/>
    <w:rsid w:val="00F2750A"/>
    <w:rsid w:val="00F27CD8"/>
    <w:rsid w:val="00F30351"/>
    <w:rsid w:val="00F3323E"/>
    <w:rsid w:val="00F341F4"/>
    <w:rsid w:val="00F34F9D"/>
    <w:rsid w:val="00F35632"/>
    <w:rsid w:val="00F35CCE"/>
    <w:rsid w:val="00F418A2"/>
    <w:rsid w:val="00F47983"/>
    <w:rsid w:val="00F55241"/>
    <w:rsid w:val="00F5524B"/>
    <w:rsid w:val="00F55BF6"/>
    <w:rsid w:val="00F57F48"/>
    <w:rsid w:val="00F60538"/>
    <w:rsid w:val="00F61DD2"/>
    <w:rsid w:val="00F6523A"/>
    <w:rsid w:val="00F66AFF"/>
    <w:rsid w:val="00F705B8"/>
    <w:rsid w:val="00F71433"/>
    <w:rsid w:val="00F7241A"/>
    <w:rsid w:val="00F83E76"/>
    <w:rsid w:val="00F90A57"/>
    <w:rsid w:val="00F95EB4"/>
    <w:rsid w:val="00F96C3B"/>
    <w:rsid w:val="00F97C5B"/>
    <w:rsid w:val="00FA05D2"/>
    <w:rsid w:val="00FA359A"/>
    <w:rsid w:val="00FA3D50"/>
    <w:rsid w:val="00FA5CB6"/>
    <w:rsid w:val="00FB009F"/>
    <w:rsid w:val="00FB25B0"/>
    <w:rsid w:val="00FB6136"/>
    <w:rsid w:val="00FC374A"/>
    <w:rsid w:val="00FC7B47"/>
    <w:rsid w:val="00FD035C"/>
    <w:rsid w:val="00FD1A35"/>
    <w:rsid w:val="00FD1FE6"/>
    <w:rsid w:val="00FD23C1"/>
    <w:rsid w:val="00FD36C5"/>
    <w:rsid w:val="00FD428C"/>
    <w:rsid w:val="00FD6310"/>
    <w:rsid w:val="00FD7C7B"/>
    <w:rsid w:val="00FD7FD0"/>
    <w:rsid w:val="00FE1D12"/>
    <w:rsid w:val="00FE2122"/>
    <w:rsid w:val="00FE2A86"/>
    <w:rsid w:val="00FF296F"/>
    <w:rsid w:val="00FF4F3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15</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Asbridge-Smith</cp:lastModifiedBy>
  <cp:revision>188</cp:revision>
  <cp:lastPrinted>2019-08-27T05:42:00Z</cp:lastPrinted>
  <dcterms:created xsi:type="dcterms:W3CDTF">2021-08-31T13:05:00Z</dcterms:created>
  <dcterms:modified xsi:type="dcterms:W3CDTF">2022-02-19T21:26:00Z</dcterms:modified>
</cp:coreProperties>
</file>