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Pr="00FC5C87" w:rsidRDefault="00656DA7" w:rsidP="00524728">
      <w:pPr>
        <w:jc w:val="center"/>
        <w:rPr>
          <w:rFonts w:ascii="Arial" w:hAnsi="Arial" w:cs="Arial"/>
          <w:b/>
          <w:sz w:val="22"/>
          <w:szCs w:val="22"/>
        </w:rPr>
      </w:pPr>
      <w:r w:rsidRPr="00FC5C87">
        <w:rPr>
          <w:rFonts w:ascii="Arial" w:hAnsi="Arial" w:cs="Arial"/>
          <w:b/>
          <w:noProof/>
          <w:sz w:val="22"/>
          <w:szCs w:val="22"/>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Pr="00FC5C87" w:rsidRDefault="004B23A2" w:rsidP="00592F82">
      <w:pPr>
        <w:jc w:val="center"/>
        <w:rPr>
          <w:rFonts w:ascii="Arial" w:hAnsi="Arial" w:cs="Arial"/>
          <w:b/>
          <w:sz w:val="22"/>
          <w:szCs w:val="22"/>
        </w:rPr>
      </w:pPr>
    </w:p>
    <w:p w14:paraId="4179622F" w14:textId="68E3C07D" w:rsidR="00397D3A" w:rsidRPr="00FC5C87" w:rsidRDefault="00397D3A" w:rsidP="00592F82">
      <w:pPr>
        <w:jc w:val="center"/>
        <w:rPr>
          <w:rFonts w:ascii="Arial" w:hAnsi="Arial" w:cs="Arial"/>
          <w:b/>
          <w:sz w:val="22"/>
          <w:szCs w:val="22"/>
        </w:rPr>
      </w:pPr>
    </w:p>
    <w:p w14:paraId="045C7386" w14:textId="06C377C6" w:rsidR="00437297" w:rsidRPr="00FC5C87" w:rsidRDefault="00437297" w:rsidP="00592F82">
      <w:pPr>
        <w:jc w:val="center"/>
        <w:rPr>
          <w:rFonts w:ascii="Arial" w:hAnsi="Arial" w:cs="Arial"/>
          <w:b/>
          <w:sz w:val="22"/>
          <w:szCs w:val="22"/>
        </w:rPr>
      </w:pPr>
    </w:p>
    <w:p w14:paraId="13D68906" w14:textId="77777777" w:rsidR="00437297" w:rsidRPr="00FC5C87" w:rsidRDefault="00437297" w:rsidP="00592F82">
      <w:pPr>
        <w:jc w:val="center"/>
        <w:rPr>
          <w:rFonts w:ascii="Arial" w:hAnsi="Arial" w:cs="Arial"/>
          <w:b/>
          <w:sz w:val="22"/>
          <w:szCs w:val="22"/>
        </w:rPr>
      </w:pPr>
    </w:p>
    <w:p w14:paraId="076E39C1" w14:textId="2AAA5B09" w:rsidR="00397D3A" w:rsidRPr="00FC5C87" w:rsidRDefault="00397D3A" w:rsidP="00592F82">
      <w:pPr>
        <w:jc w:val="center"/>
        <w:rPr>
          <w:rFonts w:ascii="Arial" w:hAnsi="Arial" w:cs="Arial"/>
          <w:b/>
          <w:sz w:val="22"/>
          <w:szCs w:val="22"/>
        </w:rPr>
      </w:pPr>
    </w:p>
    <w:p w14:paraId="64732B67" w14:textId="77777777" w:rsidR="00397D3A" w:rsidRPr="00FC5C87" w:rsidRDefault="00397D3A" w:rsidP="00592F82">
      <w:pPr>
        <w:jc w:val="center"/>
        <w:rPr>
          <w:rFonts w:ascii="Arial" w:hAnsi="Arial" w:cs="Arial"/>
          <w:b/>
          <w:sz w:val="22"/>
          <w:szCs w:val="22"/>
        </w:rPr>
      </w:pPr>
    </w:p>
    <w:p w14:paraId="14C6FED8" w14:textId="77777777" w:rsidR="00E93993" w:rsidRPr="00FC5C87" w:rsidRDefault="00E93993" w:rsidP="00592F82">
      <w:pPr>
        <w:jc w:val="center"/>
        <w:rPr>
          <w:rFonts w:ascii="Arial" w:hAnsi="Arial" w:cs="Arial"/>
          <w:b/>
          <w:sz w:val="22"/>
          <w:szCs w:val="22"/>
        </w:rPr>
      </w:pPr>
    </w:p>
    <w:p w14:paraId="16393F7E" w14:textId="77777777" w:rsidR="00434A8C" w:rsidRPr="00FC5C8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rPr>
      </w:pPr>
    </w:p>
    <w:p w14:paraId="59317C17" w14:textId="0084605F" w:rsidR="0011473D" w:rsidRPr="00FC5C8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rPr>
      </w:pPr>
      <w:r w:rsidRPr="00FC5C87">
        <w:rPr>
          <w:rFonts w:ascii="Arial" w:hAnsi="Arial" w:cs="Arial"/>
          <w:b/>
          <w:color w:val="000000" w:themeColor="text1"/>
          <w:sz w:val="24"/>
        </w:rPr>
        <w:t xml:space="preserve">SUMMATIVE (FORMAL) </w:t>
      </w:r>
      <w:r w:rsidR="009D0811" w:rsidRPr="00FC5C87">
        <w:rPr>
          <w:rFonts w:ascii="Arial" w:hAnsi="Arial" w:cs="Arial"/>
          <w:b/>
          <w:color w:val="000000" w:themeColor="text1"/>
          <w:sz w:val="24"/>
        </w:rPr>
        <w:t xml:space="preserve">ASSESSMENT: MODULE </w:t>
      </w:r>
      <w:r w:rsidR="00996691" w:rsidRPr="00FC5C87">
        <w:rPr>
          <w:rFonts w:ascii="Arial" w:hAnsi="Arial" w:cs="Arial"/>
          <w:b/>
          <w:color w:val="000000" w:themeColor="text1"/>
          <w:sz w:val="24"/>
        </w:rPr>
        <w:t>2</w:t>
      </w:r>
      <w:r w:rsidR="00C52796" w:rsidRPr="00FC5C87">
        <w:rPr>
          <w:rFonts w:ascii="Arial" w:hAnsi="Arial" w:cs="Arial"/>
          <w:b/>
          <w:color w:val="000000" w:themeColor="text1"/>
          <w:sz w:val="24"/>
        </w:rPr>
        <w:t>B</w:t>
      </w:r>
    </w:p>
    <w:p w14:paraId="1DCE41A2" w14:textId="0CB8A9C3" w:rsidR="002638B0" w:rsidRPr="00FC5C8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rPr>
      </w:pPr>
    </w:p>
    <w:p w14:paraId="23556360" w14:textId="53B64421" w:rsidR="002638B0" w:rsidRPr="00FC5C8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rPr>
      </w:pPr>
      <w:r w:rsidRPr="00FC5C87">
        <w:rPr>
          <w:rFonts w:ascii="Arial" w:hAnsi="Arial" w:cs="Arial"/>
          <w:b/>
          <w:color w:val="000000" w:themeColor="text1"/>
          <w:sz w:val="24"/>
        </w:rPr>
        <w:t xml:space="preserve">THE </w:t>
      </w:r>
      <w:r w:rsidR="00C52796" w:rsidRPr="00FC5C87">
        <w:rPr>
          <w:rFonts w:ascii="Arial" w:hAnsi="Arial" w:cs="Arial"/>
          <w:b/>
          <w:color w:val="000000" w:themeColor="text1"/>
          <w:sz w:val="24"/>
        </w:rPr>
        <w:t>EUROPEAN INSOLVENCY REGULATION</w:t>
      </w:r>
    </w:p>
    <w:p w14:paraId="5E119630" w14:textId="77777777" w:rsidR="00434A8C" w:rsidRPr="00FC5C8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rPr>
      </w:pPr>
    </w:p>
    <w:p w14:paraId="2BAA8639" w14:textId="312B667B" w:rsidR="009D0811" w:rsidRPr="00FC5C87" w:rsidRDefault="009D0811" w:rsidP="00592F82">
      <w:pPr>
        <w:jc w:val="center"/>
        <w:rPr>
          <w:rFonts w:ascii="Arial" w:hAnsi="Arial" w:cs="Arial"/>
          <w:b/>
          <w:sz w:val="22"/>
          <w:szCs w:val="22"/>
        </w:rPr>
      </w:pPr>
    </w:p>
    <w:p w14:paraId="6907577F" w14:textId="6E1EAE22" w:rsidR="00E93993" w:rsidRPr="00FC5C87" w:rsidRDefault="00E93993" w:rsidP="00592F82">
      <w:pPr>
        <w:jc w:val="center"/>
        <w:rPr>
          <w:rFonts w:ascii="Arial" w:hAnsi="Arial" w:cs="Arial"/>
          <w:b/>
          <w:sz w:val="22"/>
          <w:szCs w:val="22"/>
        </w:rPr>
      </w:pPr>
    </w:p>
    <w:p w14:paraId="251A99E6" w14:textId="08DF09C5" w:rsidR="00437297" w:rsidRPr="00FC5C87" w:rsidRDefault="00437297" w:rsidP="00592F82">
      <w:pPr>
        <w:jc w:val="center"/>
        <w:rPr>
          <w:rFonts w:ascii="Arial" w:hAnsi="Arial" w:cs="Arial"/>
          <w:b/>
          <w:sz w:val="22"/>
          <w:szCs w:val="22"/>
        </w:rPr>
      </w:pPr>
    </w:p>
    <w:p w14:paraId="6F867187" w14:textId="77777777" w:rsidR="00B30D9A" w:rsidRPr="00FC5C87" w:rsidRDefault="00B30D9A" w:rsidP="00592F82">
      <w:pPr>
        <w:jc w:val="center"/>
        <w:rPr>
          <w:rFonts w:ascii="Arial" w:hAnsi="Arial" w:cs="Arial"/>
          <w:b/>
          <w:sz w:val="22"/>
          <w:szCs w:val="22"/>
        </w:rPr>
      </w:pPr>
    </w:p>
    <w:p w14:paraId="69E507FF" w14:textId="77777777" w:rsidR="00437297" w:rsidRPr="00FC5C87" w:rsidRDefault="00437297" w:rsidP="00592F82">
      <w:pPr>
        <w:jc w:val="center"/>
        <w:rPr>
          <w:rFonts w:ascii="Arial" w:hAnsi="Arial" w:cs="Arial"/>
          <w:b/>
          <w:sz w:val="22"/>
          <w:szCs w:val="22"/>
        </w:rPr>
      </w:pPr>
    </w:p>
    <w:p w14:paraId="4051CEA3" w14:textId="31550508" w:rsidR="00397D3A" w:rsidRPr="00FC5C87" w:rsidRDefault="00397D3A" w:rsidP="00592F82">
      <w:pPr>
        <w:jc w:val="center"/>
        <w:rPr>
          <w:rFonts w:ascii="Arial" w:hAnsi="Arial" w:cs="Arial"/>
          <w:b/>
          <w:sz w:val="22"/>
          <w:szCs w:val="22"/>
        </w:rPr>
      </w:pPr>
    </w:p>
    <w:p w14:paraId="25AECBFD" w14:textId="77777777" w:rsidR="00397D3A" w:rsidRPr="00FC5C87" w:rsidRDefault="00397D3A" w:rsidP="00592F82">
      <w:pPr>
        <w:jc w:val="center"/>
        <w:rPr>
          <w:rFonts w:ascii="Arial" w:hAnsi="Arial" w:cs="Arial"/>
          <w:b/>
          <w:sz w:val="22"/>
          <w:szCs w:val="22"/>
        </w:rPr>
      </w:pPr>
    </w:p>
    <w:p w14:paraId="19855BF7" w14:textId="77777777" w:rsidR="00397D3A" w:rsidRPr="00FC5C87" w:rsidRDefault="00397D3A" w:rsidP="00592F82">
      <w:pPr>
        <w:jc w:val="center"/>
        <w:rPr>
          <w:rFonts w:ascii="Arial" w:hAnsi="Arial" w:cs="Arial"/>
          <w:b/>
          <w:sz w:val="22"/>
          <w:szCs w:val="22"/>
        </w:rPr>
      </w:pPr>
    </w:p>
    <w:p w14:paraId="0ED3DA75" w14:textId="77777777" w:rsidR="00DB56F2" w:rsidRPr="00FC5C8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76BAF774" w14:textId="158A93AE" w:rsidR="00B30D9A" w:rsidRPr="00FC5C8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FC5C87">
        <w:rPr>
          <w:rFonts w:ascii="Arial" w:hAnsi="Arial" w:cs="Arial"/>
          <w:bCs/>
          <w:color w:val="767171" w:themeColor="background2" w:themeShade="80"/>
          <w:sz w:val="22"/>
          <w:szCs w:val="22"/>
        </w:rPr>
        <w:t xml:space="preserve">This is the </w:t>
      </w:r>
      <w:r w:rsidRPr="00FC5C87">
        <w:rPr>
          <w:rFonts w:ascii="Arial" w:hAnsi="Arial" w:cs="Arial"/>
          <w:b/>
          <w:color w:val="767171" w:themeColor="background2" w:themeShade="80"/>
          <w:sz w:val="22"/>
          <w:szCs w:val="22"/>
        </w:rPr>
        <w:t>summative (formal) assessment</w:t>
      </w:r>
      <w:r w:rsidRPr="00FC5C87">
        <w:rPr>
          <w:rFonts w:ascii="Arial" w:hAnsi="Arial" w:cs="Arial"/>
          <w:bCs/>
          <w:color w:val="767171" w:themeColor="background2" w:themeShade="80"/>
          <w:sz w:val="22"/>
          <w:szCs w:val="22"/>
        </w:rPr>
        <w:t xml:space="preserve"> for </w:t>
      </w:r>
      <w:r w:rsidRPr="00FC5C87">
        <w:rPr>
          <w:rFonts w:ascii="Arial" w:hAnsi="Arial" w:cs="Arial"/>
          <w:b/>
          <w:color w:val="767171" w:themeColor="background2" w:themeShade="80"/>
          <w:sz w:val="22"/>
          <w:szCs w:val="22"/>
        </w:rPr>
        <w:t>Module 2B</w:t>
      </w:r>
      <w:r w:rsidRPr="00FC5C87">
        <w:rPr>
          <w:rFonts w:ascii="Arial" w:hAnsi="Arial" w:cs="Arial"/>
          <w:bCs/>
          <w:color w:val="767171" w:themeColor="background2" w:themeShade="80"/>
          <w:sz w:val="22"/>
          <w:szCs w:val="22"/>
        </w:rPr>
        <w:t xml:space="preserve"> of this course and is compulsory for all candidates who </w:t>
      </w:r>
      <w:r w:rsidRPr="00FC5C87">
        <w:rPr>
          <w:rFonts w:ascii="Arial" w:hAnsi="Arial" w:cs="Arial"/>
          <w:b/>
          <w:color w:val="767171" w:themeColor="background2" w:themeShade="80"/>
          <w:sz w:val="22"/>
          <w:szCs w:val="22"/>
        </w:rPr>
        <w:t>selected this module as one of their compulsory modules from Module 2</w:t>
      </w:r>
      <w:r w:rsidRPr="00FC5C87">
        <w:rPr>
          <w:rFonts w:ascii="Arial" w:hAnsi="Arial" w:cs="Arial"/>
          <w:bCs/>
          <w:color w:val="767171" w:themeColor="background2" w:themeShade="80"/>
          <w:sz w:val="22"/>
          <w:szCs w:val="22"/>
        </w:rPr>
        <w:t>. Please read instruction 6.1 on the next page very carefully.</w:t>
      </w:r>
    </w:p>
    <w:p w14:paraId="7DB415C6" w14:textId="77777777" w:rsidR="00B30D9A" w:rsidRPr="00FC5C8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00B437DB" w14:textId="77777777" w:rsidR="00B30D9A" w:rsidRPr="00FC5C8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FC5C87">
        <w:rPr>
          <w:rFonts w:ascii="Arial" w:hAnsi="Arial" w:cs="Arial"/>
          <w:bCs/>
          <w:color w:val="767171" w:themeColor="background2" w:themeShade="80"/>
          <w:sz w:val="22"/>
          <w:szCs w:val="22"/>
        </w:rPr>
        <w:t xml:space="preserve">If you selected this module as </w:t>
      </w:r>
      <w:r w:rsidRPr="00FC5C87">
        <w:rPr>
          <w:rFonts w:ascii="Arial" w:hAnsi="Arial" w:cs="Arial"/>
          <w:b/>
          <w:color w:val="767171" w:themeColor="background2" w:themeShade="80"/>
          <w:sz w:val="22"/>
          <w:szCs w:val="22"/>
        </w:rPr>
        <w:t>one of your elective modules</w:t>
      </w:r>
      <w:r w:rsidRPr="00FC5C87">
        <w:rPr>
          <w:rFonts w:ascii="Arial" w:hAnsi="Arial" w:cs="Arial"/>
          <w:bCs/>
          <w:color w:val="767171" w:themeColor="background2" w:themeShade="80"/>
          <w:sz w:val="22"/>
          <w:szCs w:val="22"/>
        </w:rPr>
        <w:t xml:space="preserve">, please read instruction 6.2 on the next page very carefully. </w:t>
      </w:r>
    </w:p>
    <w:p w14:paraId="1CCF87D4" w14:textId="77777777" w:rsidR="00B30D9A" w:rsidRPr="00FC5C8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609A9D7E" w14:textId="0C53E0AD" w:rsidR="00B30D9A" w:rsidRPr="00FC5C8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FC5C87">
        <w:rPr>
          <w:rFonts w:ascii="Arial" w:hAnsi="Arial" w:cs="Arial"/>
          <w:b/>
          <w:color w:val="767171" w:themeColor="background2" w:themeShade="80"/>
          <w:sz w:val="22"/>
          <w:szCs w:val="22"/>
        </w:rPr>
        <w:t>The mark awarded for this assessment will determine your final mark for Module 2B</w:t>
      </w:r>
      <w:r w:rsidRPr="00FC5C87">
        <w:rPr>
          <w:rFonts w:ascii="Arial" w:hAnsi="Arial" w:cs="Arial"/>
          <w:bCs/>
          <w:color w:val="767171" w:themeColor="background2" w:themeShade="80"/>
          <w:sz w:val="22"/>
          <w:szCs w:val="22"/>
        </w:rPr>
        <w:t>. In order to pass this module, you need to obtain a mark of 50% or more for this assessment.</w:t>
      </w:r>
    </w:p>
    <w:p w14:paraId="274024F0" w14:textId="77777777" w:rsidR="00DB56F2" w:rsidRPr="00FC5C8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4614C5D8" w14:textId="3C9FD3D5" w:rsidR="00793173" w:rsidRPr="00FC5C87" w:rsidRDefault="00793173" w:rsidP="007C6201">
      <w:pPr>
        <w:jc w:val="both"/>
        <w:rPr>
          <w:rFonts w:ascii="Arial" w:hAnsi="Arial" w:cs="Arial"/>
          <w:b/>
          <w:sz w:val="22"/>
          <w:szCs w:val="22"/>
        </w:rPr>
      </w:pPr>
    </w:p>
    <w:p w14:paraId="5A8E70B6" w14:textId="3DD478B6" w:rsidR="00DB56F2" w:rsidRPr="00FC5C87" w:rsidRDefault="00DB56F2" w:rsidP="007C6201">
      <w:pPr>
        <w:jc w:val="both"/>
        <w:rPr>
          <w:rFonts w:ascii="Arial" w:hAnsi="Arial" w:cs="Arial"/>
          <w:b/>
          <w:sz w:val="22"/>
          <w:szCs w:val="22"/>
        </w:rPr>
      </w:pPr>
    </w:p>
    <w:p w14:paraId="1B27A2C1" w14:textId="5A9B8846" w:rsidR="00397D3A" w:rsidRPr="00FC5C87" w:rsidRDefault="00397D3A" w:rsidP="007C6201">
      <w:pPr>
        <w:jc w:val="both"/>
        <w:rPr>
          <w:rFonts w:ascii="Arial" w:hAnsi="Arial" w:cs="Arial"/>
          <w:b/>
          <w:sz w:val="22"/>
          <w:szCs w:val="22"/>
        </w:rPr>
      </w:pPr>
    </w:p>
    <w:p w14:paraId="1BC7CE2F" w14:textId="5B3D9200" w:rsidR="00397D3A" w:rsidRPr="00FC5C87" w:rsidRDefault="00397D3A" w:rsidP="007C6201">
      <w:pPr>
        <w:jc w:val="both"/>
        <w:rPr>
          <w:rFonts w:ascii="Arial" w:hAnsi="Arial" w:cs="Arial"/>
          <w:b/>
          <w:sz w:val="22"/>
          <w:szCs w:val="22"/>
        </w:rPr>
      </w:pPr>
    </w:p>
    <w:p w14:paraId="6416FB4A" w14:textId="60B3384C" w:rsidR="00397D3A" w:rsidRPr="00FC5C87" w:rsidRDefault="00397D3A" w:rsidP="007C6201">
      <w:pPr>
        <w:jc w:val="both"/>
        <w:rPr>
          <w:rFonts w:ascii="Arial" w:hAnsi="Arial" w:cs="Arial"/>
          <w:b/>
          <w:sz w:val="22"/>
          <w:szCs w:val="22"/>
        </w:rPr>
      </w:pPr>
    </w:p>
    <w:p w14:paraId="5683A375" w14:textId="1322B645" w:rsidR="00397D3A" w:rsidRPr="00FC5C87" w:rsidRDefault="00397D3A" w:rsidP="007C6201">
      <w:pPr>
        <w:jc w:val="both"/>
        <w:rPr>
          <w:rFonts w:ascii="Arial" w:hAnsi="Arial" w:cs="Arial"/>
          <w:b/>
          <w:sz w:val="22"/>
          <w:szCs w:val="22"/>
        </w:rPr>
      </w:pPr>
    </w:p>
    <w:p w14:paraId="35B724B9" w14:textId="4E0894C3" w:rsidR="00397D3A" w:rsidRPr="00FC5C87" w:rsidRDefault="00397D3A" w:rsidP="007C6201">
      <w:pPr>
        <w:jc w:val="both"/>
        <w:rPr>
          <w:rFonts w:ascii="Arial" w:hAnsi="Arial" w:cs="Arial"/>
          <w:b/>
          <w:sz w:val="22"/>
          <w:szCs w:val="22"/>
        </w:rPr>
      </w:pPr>
    </w:p>
    <w:p w14:paraId="3A3FE896" w14:textId="40CAA3F9" w:rsidR="00397D3A" w:rsidRPr="00FC5C87" w:rsidRDefault="00397D3A" w:rsidP="007C6201">
      <w:pPr>
        <w:jc w:val="both"/>
        <w:rPr>
          <w:rFonts w:ascii="Arial" w:hAnsi="Arial" w:cs="Arial"/>
          <w:b/>
          <w:sz w:val="22"/>
          <w:szCs w:val="22"/>
        </w:rPr>
      </w:pPr>
    </w:p>
    <w:p w14:paraId="33CA04F7" w14:textId="77777777" w:rsidR="00174DC4" w:rsidRPr="00FC5C87" w:rsidRDefault="00174DC4" w:rsidP="009D0811">
      <w:pPr>
        <w:jc w:val="center"/>
        <w:rPr>
          <w:rFonts w:ascii="Arial" w:hAnsi="Arial" w:cs="Arial"/>
          <w:b/>
          <w:sz w:val="22"/>
          <w:szCs w:val="22"/>
          <w:u w:val="single"/>
        </w:rPr>
      </w:pPr>
    </w:p>
    <w:p w14:paraId="3C0D3574" w14:textId="375E32A7" w:rsidR="0011473D" w:rsidRPr="00FC5C87" w:rsidRDefault="00E93993" w:rsidP="009D0811">
      <w:pPr>
        <w:jc w:val="center"/>
        <w:rPr>
          <w:rFonts w:ascii="Arial" w:hAnsi="Arial" w:cs="Arial"/>
          <w:b/>
          <w:sz w:val="22"/>
          <w:szCs w:val="22"/>
          <w:u w:val="single"/>
        </w:rPr>
      </w:pPr>
      <w:r w:rsidRPr="00FC5C87">
        <w:rPr>
          <w:rFonts w:ascii="Arial" w:hAnsi="Arial" w:cs="Arial"/>
          <w:b/>
          <w:sz w:val="22"/>
          <w:szCs w:val="22"/>
          <w:u w:val="single"/>
        </w:rPr>
        <w:t>I</w:t>
      </w:r>
      <w:r w:rsidR="0011473D" w:rsidRPr="00FC5C87">
        <w:rPr>
          <w:rFonts w:ascii="Arial" w:hAnsi="Arial" w:cs="Arial"/>
          <w:b/>
          <w:sz w:val="22"/>
          <w:szCs w:val="22"/>
          <w:u w:val="single"/>
        </w:rPr>
        <w:t>NSTRUCTIONS FOR COMPLETION AND SUBMISSION OF ASSESSMENT</w:t>
      </w:r>
    </w:p>
    <w:p w14:paraId="61C888AB" w14:textId="77777777" w:rsidR="0011473D" w:rsidRPr="00FC5C87" w:rsidRDefault="0011473D" w:rsidP="00592F82">
      <w:pPr>
        <w:jc w:val="both"/>
        <w:rPr>
          <w:rFonts w:ascii="Arial" w:hAnsi="Arial" w:cs="Arial"/>
          <w:sz w:val="22"/>
          <w:szCs w:val="22"/>
        </w:rPr>
      </w:pPr>
    </w:p>
    <w:p w14:paraId="173B0B40" w14:textId="77777777" w:rsidR="00397D3A" w:rsidRPr="00FC5C87" w:rsidRDefault="00397D3A" w:rsidP="00592F82">
      <w:pPr>
        <w:jc w:val="both"/>
        <w:rPr>
          <w:rFonts w:ascii="Arial" w:hAnsi="Arial" w:cs="Arial"/>
          <w:b/>
          <w:sz w:val="22"/>
          <w:szCs w:val="22"/>
        </w:rPr>
      </w:pPr>
    </w:p>
    <w:p w14:paraId="2165F077" w14:textId="77777777" w:rsidR="00800B76" w:rsidRPr="00FC5C87" w:rsidRDefault="00800B76" w:rsidP="00800B76">
      <w:pPr>
        <w:jc w:val="both"/>
        <w:rPr>
          <w:rFonts w:ascii="Arial" w:hAnsi="Arial" w:cs="Arial"/>
          <w:b/>
          <w:sz w:val="22"/>
          <w:szCs w:val="22"/>
        </w:rPr>
      </w:pPr>
      <w:r w:rsidRPr="00FC5C87">
        <w:rPr>
          <w:rFonts w:ascii="Arial" w:hAnsi="Arial" w:cs="Arial"/>
          <w:b/>
          <w:sz w:val="22"/>
          <w:szCs w:val="22"/>
        </w:rPr>
        <w:t>Please read the following instructions very carefully before submitting / uploading your assessment on the Foundation Certificate web pages.</w:t>
      </w:r>
    </w:p>
    <w:p w14:paraId="5EC6DB52" w14:textId="77777777" w:rsidR="00800B76" w:rsidRPr="00FC5C87" w:rsidRDefault="00800B76" w:rsidP="00800B76">
      <w:pPr>
        <w:jc w:val="both"/>
        <w:rPr>
          <w:rFonts w:ascii="Arial" w:hAnsi="Arial" w:cs="Arial"/>
          <w:b/>
          <w:sz w:val="22"/>
          <w:szCs w:val="22"/>
        </w:rPr>
      </w:pPr>
    </w:p>
    <w:p w14:paraId="51574D79" w14:textId="77777777" w:rsidR="00800B76" w:rsidRPr="00FC5C87" w:rsidRDefault="00800B76" w:rsidP="00800B76">
      <w:pPr>
        <w:ind w:left="720" w:hanging="720"/>
        <w:jc w:val="both"/>
        <w:rPr>
          <w:rFonts w:ascii="Arial" w:hAnsi="Arial" w:cs="Arial"/>
          <w:sz w:val="22"/>
          <w:szCs w:val="22"/>
        </w:rPr>
      </w:pPr>
      <w:r w:rsidRPr="00FC5C87">
        <w:rPr>
          <w:rFonts w:ascii="Arial" w:hAnsi="Arial" w:cs="Arial"/>
          <w:bCs/>
          <w:sz w:val="22"/>
          <w:szCs w:val="22"/>
        </w:rPr>
        <w:t>1.</w:t>
      </w:r>
      <w:r w:rsidRPr="00FC5C87">
        <w:rPr>
          <w:rFonts w:ascii="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FC5C87" w:rsidRDefault="00800B76" w:rsidP="00800B76">
      <w:pPr>
        <w:ind w:left="720" w:hanging="720"/>
        <w:jc w:val="both"/>
        <w:rPr>
          <w:rFonts w:ascii="Arial" w:hAnsi="Arial" w:cs="Arial"/>
          <w:sz w:val="22"/>
          <w:szCs w:val="22"/>
        </w:rPr>
      </w:pPr>
    </w:p>
    <w:p w14:paraId="544699F1" w14:textId="77777777" w:rsidR="00800B76" w:rsidRPr="00FC5C87" w:rsidRDefault="00800B76" w:rsidP="00800B76">
      <w:pPr>
        <w:ind w:left="720" w:hanging="720"/>
        <w:jc w:val="both"/>
        <w:rPr>
          <w:rFonts w:ascii="Arial" w:hAnsi="Arial" w:cs="Arial"/>
          <w:sz w:val="22"/>
          <w:szCs w:val="22"/>
        </w:rPr>
      </w:pPr>
      <w:r w:rsidRPr="00FC5C87">
        <w:rPr>
          <w:rFonts w:ascii="Arial" w:hAnsi="Arial" w:cs="Arial"/>
          <w:bCs/>
          <w:sz w:val="22"/>
          <w:szCs w:val="22"/>
        </w:rPr>
        <w:t>2.</w:t>
      </w:r>
      <w:r w:rsidRPr="00FC5C87">
        <w:rPr>
          <w:rFonts w:ascii="Arial" w:hAnsi="Arial" w:cs="Arial"/>
          <w:sz w:val="22"/>
          <w:szCs w:val="22"/>
        </w:rPr>
        <w:tab/>
        <w:t xml:space="preserve">All assessments must be submitted electronically in MS Word format, using a standard A4 size page and a 11-point Arial font. This document has been set up with these parameters – </w:t>
      </w:r>
      <w:r w:rsidRPr="00FC5C87">
        <w:rPr>
          <w:rFonts w:ascii="Arial" w:hAnsi="Arial" w:cs="Arial"/>
          <w:b/>
          <w:bCs/>
          <w:sz w:val="22"/>
          <w:szCs w:val="22"/>
        </w:rPr>
        <w:t>please do not change the document settings in any way</w:t>
      </w:r>
      <w:r w:rsidRPr="00FC5C87">
        <w:rPr>
          <w:rFonts w:ascii="Arial" w:hAnsi="Arial" w:cs="Arial"/>
          <w:sz w:val="22"/>
          <w:szCs w:val="22"/>
        </w:rPr>
        <w:t xml:space="preserve">. </w:t>
      </w:r>
      <w:r w:rsidRPr="00FC5C87">
        <w:rPr>
          <w:rFonts w:ascii="Arial" w:hAnsi="Arial" w:cs="Arial"/>
          <w:b/>
          <w:sz w:val="22"/>
          <w:szCs w:val="22"/>
        </w:rPr>
        <w:t>DO NOT</w:t>
      </w:r>
      <w:r w:rsidRPr="00FC5C87">
        <w:rPr>
          <w:rFonts w:ascii="Arial" w:hAnsi="Arial" w:cs="Arial"/>
          <w:sz w:val="22"/>
          <w:szCs w:val="22"/>
        </w:rPr>
        <w:t xml:space="preserve"> submit your assessment in PDF format as it will be returned to you unmarked.</w:t>
      </w:r>
    </w:p>
    <w:p w14:paraId="338C9F59" w14:textId="77777777" w:rsidR="00800B76" w:rsidRPr="00FC5C87" w:rsidRDefault="00800B76" w:rsidP="00800B76">
      <w:pPr>
        <w:ind w:left="720" w:hanging="720"/>
        <w:jc w:val="both"/>
        <w:rPr>
          <w:rFonts w:ascii="Arial" w:hAnsi="Arial" w:cs="Arial"/>
          <w:sz w:val="22"/>
          <w:szCs w:val="22"/>
        </w:rPr>
      </w:pPr>
    </w:p>
    <w:p w14:paraId="34C9E948" w14:textId="77777777" w:rsidR="00800B76" w:rsidRPr="00FC5C87" w:rsidRDefault="00800B76" w:rsidP="00800B76">
      <w:pPr>
        <w:ind w:left="720" w:hanging="720"/>
        <w:jc w:val="both"/>
        <w:rPr>
          <w:rFonts w:ascii="Arial" w:hAnsi="Arial" w:cs="Arial"/>
          <w:sz w:val="22"/>
          <w:szCs w:val="22"/>
        </w:rPr>
      </w:pPr>
      <w:r w:rsidRPr="00FC5C87">
        <w:rPr>
          <w:rFonts w:ascii="Arial" w:hAnsi="Arial" w:cs="Arial"/>
          <w:sz w:val="22"/>
          <w:szCs w:val="22"/>
        </w:rPr>
        <w:t>3.</w:t>
      </w:r>
      <w:r w:rsidRPr="00FC5C87">
        <w:rPr>
          <w:rFonts w:ascii="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FC5C87" w:rsidRDefault="00800B76" w:rsidP="00800B76">
      <w:pPr>
        <w:ind w:left="720" w:hanging="720"/>
        <w:jc w:val="both"/>
        <w:rPr>
          <w:rFonts w:ascii="Arial" w:hAnsi="Arial" w:cs="Arial"/>
          <w:sz w:val="22"/>
          <w:szCs w:val="22"/>
        </w:rPr>
      </w:pPr>
    </w:p>
    <w:p w14:paraId="4E715CDA" w14:textId="05E1ADC6" w:rsidR="00800B76" w:rsidRPr="00FC5C87" w:rsidRDefault="00800B76" w:rsidP="00800B76">
      <w:pPr>
        <w:ind w:left="720" w:hanging="720"/>
        <w:jc w:val="both"/>
        <w:rPr>
          <w:rFonts w:ascii="Arial" w:hAnsi="Arial" w:cs="Arial"/>
          <w:sz w:val="22"/>
          <w:szCs w:val="22"/>
        </w:rPr>
      </w:pPr>
      <w:r w:rsidRPr="00FC5C87">
        <w:rPr>
          <w:rFonts w:ascii="Arial" w:hAnsi="Arial" w:cs="Arial"/>
          <w:bCs/>
          <w:sz w:val="22"/>
          <w:szCs w:val="22"/>
        </w:rPr>
        <w:t>4.</w:t>
      </w:r>
      <w:r w:rsidRPr="00FC5C87">
        <w:rPr>
          <w:rFonts w:ascii="Arial" w:hAnsi="Arial" w:cs="Arial"/>
          <w:sz w:val="22"/>
          <w:szCs w:val="22"/>
        </w:rPr>
        <w:tab/>
        <w:t xml:space="preserve">You must save this document using the following format: </w:t>
      </w:r>
      <w:r w:rsidRPr="00FC5C87">
        <w:rPr>
          <w:rFonts w:ascii="Arial" w:hAnsi="Arial" w:cs="Arial"/>
          <w:b/>
          <w:bCs/>
          <w:sz w:val="22"/>
          <w:szCs w:val="22"/>
          <w:lang w:eastAsia="en-GB"/>
        </w:rPr>
        <w:t>[student</w:t>
      </w:r>
      <w:r w:rsidR="00B12EF7" w:rsidRPr="00FC5C87">
        <w:rPr>
          <w:rFonts w:ascii="Arial" w:hAnsi="Arial" w:cs="Arial"/>
          <w:b/>
          <w:bCs/>
          <w:sz w:val="22"/>
          <w:szCs w:val="22"/>
          <w:lang w:eastAsia="en-GB"/>
        </w:rPr>
        <w:t>ID</w:t>
      </w:r>
      <w:r w:rsidRPr="00FC5C87">
        <w:rPr>
          <w:rFonts w:ascii="Arial" w:hAnsi="Arial" w:cs="Arial"/>
          <w:b/>
          <w:bCs/>
          <w:sz w:val="22"/>
          <w:szCs w:val="22"/>
          <w:lang w:eastAsia="en-GB"/>
        </w:rPr>
        <w:t>.assessment</w:t>
      </w:r>
      <w:r w:rsidR="00894C1D" w:rsidRPr="00FC5C87">
        <w:rPr>
          <w:rFonts w:ascii="Arial" w:hAnsi="Arial" w:cs="Arial"/>
          <w:b/>
          <w:bCs/>
          <w:sz w:val="22"/>
          <w:szCs w:val="22"/>
          <w:lang w:eastAsia="en-GB"/>
        </w:rPr>
        <w:t>2B</w:t>
      </w:r>
      <w:r w:rsidRPr="00FC5C87">
        <w:rPr>
          <w:rFonts w:ascii="Arial" w:hAnsi="Arial" w:cs="Arial"/>
          <w:b/>
          <w:bCs/>
          <w:sz w:val="22"/>
          <w:szCs w:val="22"/>
          <w:lang w:eastAsia="en-GB"/>
        </w:rPr>
        <w:t>]</w:t>
      </w:r>
      <w:r w:rsidRPr="00FC5C87">
        <w:rPr>
          <w:rFonts w:ascii="Arial" w:hAnsi="Arial" w:cs="Arial"/>
          <w:sz w:val="22"/>
          <w:szCs w:val="22"/>
          <w:lang w:eastAsia="en-GB"/>
        </w:rPr>
        <w:t>. An example would be something along the following lines: 202</w:t>
      </w:r>
      <w:r w:rsidR="00B12EF7" w:rsidRPr="00FC5C87">
        <w:rPr>
          <w:rFonts w:ascii="Arial" w:hAnsi="Arial" w:cs="Arial"/>
          <w:sz w:val="22"/>
          <w:szCs w:val="22"/>
          <w:lang w:eastAsia="en-GB"/>
        </w:rPr>
        <w:t>11</w:t>
      </w:r>
      <w:r w:rsidRPr="00FC5C87">
        <w:rPr>
          <w:rFonts w:ascii="Arial" w:hAnsi="Arial" w:cs="Arial"/>
          <w:sz w:val="22"/>
          <w:szCs w:val="22"/>
          <w:lang w:eastAsia="en-GB"/>
        </w:rPr>
        <w:t>2</w:t>
      </w:r>
      <w:r w:rsidR="00B12EF7" w:rsidRPr="00FC5C87">
        <w:rPr>
          <w:rFonts w:ascii="Arial" w:hAnsi="Arial" w:cs="Arial"/>
          <w:sz w:val="22"/>
          <w:szCs w:val="22"/>
          <w:lang w:eastAsia="en-GB"/>
        </w:rPr>
        <w:t>2</w:t>
      </w:r>
      <w:r w:rsidRPr="00FC5C87">
        <w:rPr>
          <w:rFonts w:ascii="Arial" w:hAnsi="Arial" w:cs="Arial"/>
          <w:sz w:val="22"/>
          <w:szCs w:val="22"/>
          <w:lang w:eastAsia="en-GB"/>
        </w:rPr>
        <w:t>-</w:t>
      </w:r>
      <w:r w:rsidR="00B12EF7" w:rsidRPr="00FC5C87">
        <w:rPr>
          <w:rFonts w:ascii="Arial" w:hAnsi="Arial" w:cs="Arial"/>
          <w:sz w:val="22"/>
          <w:szCs w:val="22"/>
          <w:lang w:eastAsia="en-GB"/>
        </w:rPr>
        <w:t>526</w:t>
      </w:r>
      <w:r w:rsidRPr="00FC5C87">
        <w:rPr>
          <w:rFonts w:ascii="Arial" w:hAnsi="Arial" w:cs="Arial"/>
          <w:sz w:val="22"/>
          <w:szCs w:val="22"/>
          <w:lang w:eastAsia="en-GB"/>
        </w:rPr>
        <w:t>.assessment</w:t>
      </w:r>
      <w:r w:rsidR="007E39B3" w:rsidRPr="00FC5C87">
        <w:rPr>
          <w:rFonts w:ascii="Arial" w:hAnsi="Arial" w:cs="Arial"/>
          <w:sz w:val="22"/>
          <w:szCs w:val="22"/>
          <w:lang w:eastAsia="en-GB"/>
        </w:rPr>
        <w:t>2B</w:t>
      </w:r>
      <w:r w:rsidRPr="00FC5C87">
        <w:rPr>
          <w:rFonts w:ascii="Arial" w:hAnsi="Arial" w:cs="Arial"/>
          <w:sz w:val="22"/>
          <w:szCs w:val="22"/>
        </w:rPr>
        <w:t xml:space="preserve">. </w:t>
      </w:r>
      <w:r w:rsidRPr="00FC5C87">
        <w:rPr>
          <w:rFonts w:ascii="Arial" w:hAnsi="Arial" w:cs="Arial"/>
          <w:b/>
          <w:sz w:val="22"/>
          <w:szCs w:val="22"/>
        </w:rPr>
        <w:t>Please also include the filename as a footer to each page of the assessment</w:t>
      </w:r>
      <w:r w:rsidRPr="00FC5C87">
        <w:rPr>
          <w:rFonts w:ascii="Arial" w:hAnsi="Arial" w:cs="Arial"/>
          <w:bCs/>
          <w:sz w:val="22"/>
          <w:szCs w:val="22"/>
        </w:rPr>
        <w:t xml:space="preserve"> (this has been pre-populated for you, merely replace the word “</w:t>
      </w:r>
      <w:proofErr w:type="spellStart"/>
      <w:r w:rsidRPr="00FC5C87">
        <w:rPr>
          <w:rFonts w:ascii="Arial" w:hAnsi="Arial" w:cs="Arial"/>
          <w:bCs/>
          <w:sz w:val="22"/>
          <w:szCs w:val="22"/>
        </w:rPr>
        <w:t>student</w:t>
      </w:r>
      <w:r w:rsidR="00B12EF7" w:rsidRPr="00FC5C87">
        <w:rPr>
          <w:rFonts w:ascii="Arial" w:hAnsi="Arial" w:cs="Arial"/>
          <w:bCs/>
          <w:sz w:val="22"/>
          <w:szCs w:val="22"/>
        </w:rPr>
        <w:t>ID</w:t>
      </w:r>
      <w:proofErr w:type="spellEnd"/>
      <w:r w:rsidRPr="00FC5C87">
        <w:rPr>
          <w:rFonts w:ascii="Arial" w:hAnsi="Arial" w:cs="Arial"/>
          <w:bCs/>
          <w:sz w:val="22"/>
          <w:szCs w:val="22"/>
        </w:rPr>
        <w:t>” with the student number allocated to you)</w:t>
      </w:r>
      <w:r w:rsidRPr="00FC5C87">
        <w:rPr>
          <w:rFonts w:ascii="Arial" w:hAnsi="Arial" w:cs="Arial"/>
          <w:sz w:val="22"/>
          <w:szCs w:val="22"/>
        </w:rPr>
        <w:t xml:space="preserve">. Do not include your name or any other identifying words in your file name. </w:t>
      </w:r>
      <w:r w:rsidRPr="00FC5C87">
        <w:rPr>
          <w:rFonts w:ascii="Arial" w:hAnsi="Arial" w:cs="Arial"/>
          <w:b/>
          <w:bCs/>
          <w:sz w:val="22"/>
          <w:szCs w:val="22"/>
        </w:rPr>
        <w:t>Assessments that do not comply with this instruction will be returned to candidates unmarked</w:t>
      </w:r>
      <w:r w:rsidRPr="00FC5C87">
        <w:rPr>
          <w:rFonts w:ascii="Arial" w:hAnsi="Arial" w:cs="Arial"/>
          <w:sz w:val="22"/>
          <w:szCs w:val="22"/>
        </w:rPr>
        <w:t>.</w:t>
      </w:r>
    </w:p>
    <w:p w14:paraId="6E0400B1" w14:textId="77777777" w:rsidR="00800B76" w:rsidRPr="00FC5C87" w:rsidRDefault="00800B76" w:rsidP="00800B76">
      <w:pPr>
        <w:ind w:left="720" w:hanging="720"/>
        <w:jc w:val="both"/>
        <w:rPr>
          <w:rFonts w:ascii="Arial" w:hAnsi="Arial" w:cs="Arial"/>
          <w:sz w:val="22"/>
          <w:szCs w:val="22"/>
        </w:rPr>
      </w:pPr>
    </w:p>
    <w:p w14:paraId="735374E2" w14:textId="2A9B7CEA" w:rsidR="00B30D9A" w:rsidRPr="00FC5C87" w:rsidRDefault="00800B76" w:rsidP="00800B76">
      <w:pPr>
        <w:ind w:left="720" w:hanging="720"/>
        <w:jc w:val="both"/>
        <w:rPr>
          <w:rFonts w:ascii="Arial" w:hAnsi="Arial" w:cs="Arial"/>
          <w:sz w:val="22"/>
          <w:szCs w:val="22"/>
        </w:rPr>
      </w:pPr>
      <w:r w:rsidRPr="00FC5C87">
        <w:rPr>
          <w:rFonts w:ascii="Arial" w:hAnsi="Arial" w:cs="Arial"/>
          <w:bCs/>
          <w:sz w:val="22"/>
          <w:szCs w:val="22"/>
        </w:rPr>
        <w:t>5.</w:t>
      </w:r>
      <w:r w:rsidRPr="00FC5C87">
        <w:rPr>
          <w:rFonts w:ascii="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C5C87">
        <w:rPr>
          <w:rFonts w:ascii="Arial" w:hAnsi="Arial" w:cs="Arial"/>
          <w:b/>
          <w:bCs/>
          <w:sz w:val="22"/>
          <w:szCs w:val="22"/>
        </w:rPr>
        <w:t>Please note that copying and pasting from the Guidance Text into your answer is prohibited and constitutes plagiarism. You must write the answers to the questions in your own words</w:t>
      </w:r>
      <w:r w:rsidRPr="00FC5C87">
        <w:rPr>
          <w:rFonts w:ascii="Arial" w:hAnsi="Arial" w:cs="Arial"/>
          <w:sz w:val="22"/>
          <w:szCs w:val="22"/>
        </w:rPr>
        <w:t>.</w:t>
      </w:r>
    </w:p>
    <w:p w14:paraId="63B807D9" w14:textId="77777777" w:rsidR="00B30D9A" w:rsidRPr="00FC5C87" w:rsidRDefault="00B30D9A" w:rsidP="00B30D9A">
      <w:pPr>
        <w:ind w:left="720" w:hanging="720"/>
        <w:jc w:val="both"/>
        <w:rPr>
          <w:rFonts w:ascii="Arial" w:hAnsi="Arial" w:cs="Arial"/>
          <w:sz w:val="22"/>
          <w:szCs w:val="22"/>
        </w:rPr>
      </w:pPr>
    </w:p>
    <w:p w14:paraId="2611F284" w14:textId="3B13FE21" w:rsidR="00B30D9A" w:rsidRPr="00FC5C87" w:rsidRDefault="00B30D9A" w:rsidP="00B30D9A">
      <w:pPr>
        <w:ind w:left="720" w:hanging="720"/>
        <w:jc w:val="both"/>
        <w:rPr>
          <w:rFonts w:ascii="Arial" w:hAnsi="Arial" w:cs="Arial"/>
          <w:sz w:val="22"/>
          <w:szCs w:val="22"/>
        </w:rPr>
      </w:pPr>
      <w:r w:rsidRPr="00FC5C87">
        <w:rPr>
          <w:rFonts w:ascii="Arial" w:hAnsi="Arial" w:cs="Arial"/>
          <w:bCs/>
          <w:sz w:val="22"/>
          <w:szCs w:val="22"/>
        </w:rPr>
        <w:t>6.1</w:t>
      </w:r>
      <w:r w:rsidRPr="00FC5C87">
        <w:rPr>
          <w:rFonts w:ascii="Arial" w:hAnsi="Arial" w:cs="Arial"/>
          <w:b/>
          <w:sz w:val="22"/>
          <w:szCs w:val="22"/>
        </w:rPr>
        <w:tab/>
      </w:r>
      <w:r w:rsidRPr="00FC5C87">
        <w:rPr>
          <w:rFonts w:ascii="Arial" w:hAnsi="Arial" w:cs="Arial"/>
          <w:bCs/>
          <w:sz w:val="22"/>
          <w:szCs w:val="22"/>
        </w:rPr>
        <w:t>If you selected Module 2</w:t>
      </w:r>
      <w:r w:rsidR="00654B27" w:rsidRPr="00FC5C87">
        <w:rPr>
          <w:rFonts w:ascii="Arial" w:hAnsi="Arial" w:cs="Arial"/>
          <w:bCs/>
          <w:sz w:val="22"/>
          <w:szCs w:val="22"/>
        </w:rPr>
        <w:t>B</w:t>
      </w:r>
      <w:r w:rsidRPr="00FC5C87">
        <w:rPr>
          <w:rFonts w:ascii="Arial" w:hAnsi="Arial" w:cs="Arial"/>
          <w:bCs/>
          <w:sz w:val="22"/>
          <w:szCs w:val="22"/>
        </w:rPr>
        <w:t xml:space="preserve"> as one of your </w:t>
      </w:r>
      <w:r w:rsidRPr="00FC5C87">
        <w:rPr>
          <w:rFonts w:ascii="Arial" w:hAnsi="Arial" w:cs="Arial"/>
          <w:b/>
          <w:sz w:val="22"/>
          <w:szCs w:val="22"/>
        </w:rPr>
        <w:t>compulsory modules</w:t>
      </w:r>
      <w:r w:rsidRPr="00FC5C87">
        <w:rPr>
          <w:rFonts w:ascii="Arial" w:hAnsi="Arial" w:cs="Arial"/>
          <w:bCs/>
          <w:sz w:val="22"/>
          <w:szCs w:val="22"/>
        </w:rPr>
        <w:t xml:space="preserve"> (see the e-mail that was sent to you </w:t>
      </w:r>
      <w:r w:rsidR="007E39B3" w:rsidRPr="00FC5C87">
        <w:rPr>
          <w:rFonts w:ascii="Arial" w:hAnsi="Arial" w:cs="Arial"/>
          <w:bCs/>
          <w:sz w:val="22"/>
          <w:szCs w:val="22"/>
        </w:rPr>
        <w:t>when your place on the course was confirmed</w:t>
      </w:r>
      <w:r w:rsidRPr="00FC5C87">
        <w:rPr>
          <w:rFonts w:ascii="Arial" w:hAnsi="Arial" w:cs="Arial"/>
          <w:bCs/>
          <w:sz w:val="22"/>
          <w:szCs w:val="22"/>
        </w:rPr>
        <w:t>), the</w:t>
      </w:r>
      <w:r w:rsidRPr="00FC5C87">
        <w:rPr>
          <w:rFonts w:ascii="Arial" w:hAnsi="Arial" w:cs="Arial"/>
          <w:sz w:val="22"/>
          <w:szCs w:val="22"/>
        </w:rPr>
        <w:t xml:space="preserve"> final time and date for the submission of this assessment is </w:t>
      </w:r>
      <w:r w:rsidRPr="00FC5C87">
        <w:rPr>
          <w:rFonts w:ascii="Arial" w:hAnsi="Arial" w:cs="Arial"/>
          <w:b/>
          <w:bCs/>
          <w:sz w:val="22"/>
          <w:szCs w:val="22"/>
        </w:rPr>
        <w:t>23:00 (11 pm) GMT on 1 March 202</w:t>
      </w:r>
      <w:r w:rsidR="00B12EF7" w:rsidRPr="00FC5C87">
        <w:rPr>
          <w:rFonts w:ascii="Arial" w:hAnsi="Arial" w:cs="Arial"/>
          <w:b/>
          <w:bCs/>
          <w:sz w:val="22"/>
          <w:szCs w:val="22"/>
        </w:rPr>
        <w:t>2</w:t>
      </w:r>
      <w:r w:rsidRPr="00FC5C87">
        <w:rPr>
          <w:rFonts w:ascii="Arial" w:hAnsi="Arial" w:cs="Arial"/>
          <w:sz w:val="22"/>
          <w:szCs w:val="22"/>
        </w:rPr>
        <w:t xml:space="preserve">. The assessment submission portal will close at </w:t>
      </w:r>
      <w:r w:rsidRPr="00FC5C87">
        <w:rPr>
          <w:rFonts w:ascii="Arial" w:hAnsi="Arial" w:cs="Arial"/>
          <w:bCs/>
          <w:sz w:val="22"/>
          <w:szCs w:val="22"/>
        </w:rPr>
        <w:t>23:00 (11 pm) GMT on 1 March 202</w:t>
      </w:r>
      <w:r w:rsidR="00B12EF7" w:rsidRPr="00FC5C87">
        <w:rPr>
          <w:rFonts w:ascii="Arial" w:hAnsi="Arial" w:cs="Arial"/>
          <w:bCs/>
          <w:sz w:val="22"/>
          <w:szCs w:val="22"/>
        </w:rPr>
        <w:t>2</w:t>
      </w:r>
      <w:r w:rsidRPr="00FC5C87">
        <w:rPr>
          <w:rFonts w:ascii="Arial" w:hAnsi="Arial" w:cs="Arial"/>
          <w:sz w:val="22"/>
          <w:szCs w:val="22"/>
        </w:rPr>
        <w:t>. No submissions can be made after the portal has closed and no further uploading of documents will be allowed, no matter the circumstances.</w:t>
      </w:r>
    </w:p>
    <w:p w14:paraId="19916DE6" w14:textId="77777777" w:rsidR="00B30D9A" w:rsidRPr="00FC5C87" w:rsidRDefault="00B30D9A" w:rsidP="00B30D9A">
      <w:pPr>
        <w:ind w:left="720" w:hanging="720"/>
        <w:jc w:val="both"/>
        <w:rPr>
          <w:rFonts w:ascii="Arial" w:hAnsi="Arial" w:cs="Arial"/>
          <w:sz w:val="22"/>
          <w:szCs w:val="22"/>
        </w:rPr>
      </w:pPr>
    </w:p>
    <w:p w14:paraId="7B31D004" w14:textId="745E9D49" w:rsidR="00B30D9A" w:rsidRPr="00FC5C87" w:rsidRDefault="00B30D9A" w:rsidP="00B30D9A">
      <w:pPr>
        <w:ind w:left="720" w:hanging="720"/>
        <w:jc w:val="both"/>
        <w:rPr>
          <w:rFonts w:ascii="Arial" w:hAnsi="Arial" w:cs="Arial"/>
          <w:sz w:val="22"/>
          <w:szCs w:val="22"/>
        </w:rPr>
      </w:pPr>
      <w:r w:rsidRPr="00FC5C87">
        <w:rPr>
          <w:rFonts w:ascii="Arial" w:hAnsi="Arial" w:cs="Arial"/>
          <w:sz w:val="22"/>
          <w:szCs w:val="22"/>
        </w:rPr>
        <w:t>6.2</w:t>
      </w:r>
      <w:r w:rsidRPr="00FC5C87">
        <w:rPr>
          <w:rFonts w:ascii="Arial" w:hAnsi="Arial" w:cs="Arial"/>
          <w:sz w:val="22"/>
          <w:szCs w:val="22"/>
        </w:rPr>
        <w:tab/>
        <w:t>If you selected Module 2</w:t>
      </w:r>
      <w:r w:rsidR="00654B27" w:rsidRPr="00FC5C87">
        <w:rPr>
          <w:rFonts w:ascii="Arial" w:hAnsi="Arial" w:cs="Arial"/>
          <w:sz w:val="22"/>
          <w:szCs w:val="22"/>
        </w:rPr>
        <w:t>B</w:t>
      </w:r>
      <w:r w:rsidRPr="00FC5C87">
        <w:rPr>
          <w:rFonts w:ascii="Arial" w:hAnsi="Arial" w:cs="Arial"/>
          <w:sz w:val="22"/>
          <w:szCs w:val="22"/>
        </w:rPr>
        <w:t xml:space="preserve"> as one of your </w:t>
      </w:r>
      <w:r w:rsidRPr="00FC5C87">
        <w:rPr>
          <w:rFonts w:ascii="Arial" w:hAnsi="Arial" w:cs="Arial"/>
          <w:b/>
          <w:bCs/>
          <w:sz w:val="22"/>
          <w:szCs w:val="22"/>
        </w:rPr>
        <w:t>elective modules</w:t>
      </w:r>
      <w:r w:rsidRPr="00FC5C87">
        <w:rPr>
          <w:rFonts w:ascii="Arial" w:hAnsi="Arial" w:cs="Arial"/>
          <w:sz w:val="22"/>
          <w:szCs w:val="22"/>
        </w:rPr>
        <w:t xml:space="preserve"> (see the e-mail that was sent to you </w:t>
      </w:r>
      <w:r w:rsidR="00087CD6" w:rsidRPr="00FC5C87">
        <w:rPr>
          <w:rFonts w:ascii="Arial" w:hAnsi="Arial" w:cs="Arial"/>
          <w:bCs/>
          <w:sz w:val="22"/>
          <w:szCs w:val="22"/>
        </w:rPr>
        <w:t>when your place on the course was confirmed</w:t>
      </w:r>
      <w:r w:rsidRPr="00FC5C87">
        <w:rPr>
          <w:rFonts w:ascii="Arial" w:hAnsi="Arial" w:cs="Arial"/>
          <w:sz w:val="22"/>
          <w:szCs w:val="22"/>
        </w:rPr>
        <w:t xml:space="preserve">), you have a </w:t>
      </w:r>
      <w:r w:rsidRPr="00FC5C87">
        <w:rPr>
          <w:rFonts w:ascii="Arial" w:hAnsi="Arial" w:cs="Arial"/>
          <w:b/>
          <w:bCs/>
          <w:sz w:val="22"/>
          <w:szCs w:val="22"/>
        </w:rPr>
        <w:t>choice</w:t>
      </w:r>
      <w:r w:rsidRPr="00FC5C87">
        <w:rPr>
          <w:rFonts w:ascii="Arial" w:hAnsi="Arial" w:cs="Arial"/>
          <w:sz w:val="22"/>
          <w:szCs w:val="22"/>
        </w:rPr>
        <w:t xml:space="preserve"> as to when you may submit this assessment. You may either submit the assessment by </w:t>
      </w:r>
      <w:r w:rsidRPr="00FC5C87">
        <w:rPr>
          <w:rFonts w:ascii="Arial" w:hAnsi="Arial" w:cs="Arial"/>
          <w:b/>
          <w:bCs/>
          <w:sz w:val="22"/>
          <w:szCs w:val="22"/>
        </w:rPr>
        <w:t>23:00 (11 pm) GMT on 1 March 202</w:t>
      </w:r>
      <w:r w:rsidR="00B12EF7" w:rsidRPr="00FC5C87">
        <w:rPr>
          <w:rFonts w:ascii="Arial" w:hAnsi="Arial" w:cs="Arial"/>
          <w:b/>
          <w:bCs/>
          <w:sz w:val="22"/>
          <w:szCs w:val="22"/>
        </w:rPr>
        <w:t>2</w:t>
      </w:r>
      <w:r w:rsidRPr="00FC5C87">
        <w:rPr>
          <w:rFonts w:ascii="Arial" w:hAnsi="Arial" w:cs="Arial"/>
          <w:sz w:val="22"/>
          <w:szCs w:val="22"/>
        </w:rPr>
        <w:t xml:space="preserve"> or by </w:t>
      </w:r>
      <w:r w:rsidRPr="00FC5C87">
        <w:rPr>
          <w:rFonts w:ascii="Arial" w:hAnsi="Arial" w:cs="Arial"/>
          <w:b/>
          <w:bCs/>
          <w:sz w:val="22"/>
          <w:szCs w:val="22"/>
        </w:rPr>
        <w:t xml:space="preserve">23:00 (11 pm) BST </w:t>
      </w:r>
      <w:r w:rsidR="00B12EF7" w:rsidRPr="00FC5C87">
        <w:rPr>
          <w:rFonts w:ascii="Arial" w:hAnsi="Arial" w:cs="Arial"/>
          <w:b/>
          <w:bCs/>
          <w:sz w:val="22"/>
          <w:szCs w:val="22"/>
        </w:rPr>
        <w:t xml:space="preserve">(GMT +1) </w:t>
      </w:r>
      <w:r w:rsidRPr="00FC5C87">
        <w:rPr>
          <w:rFonts w:ascii="Arial" w:hAnsi="Arial" w:cs="Arial"/>
          <w:b/>
          <w:bCs/>
          <w:sz w:val="22"/>
          <w:szCs w:val="22"/>
        </w:rPr>
        <w:t>on 31 July 202</w:t>
      </w:r>
      <w:r w:rsidR="00B12EF7" w:rsidRPr="00FC5C87">
        <w:rPr>
          <w:rFonts w:ascii="Arial" w:hAnsi="Arial" w:cs="Arial"/>
          <w:b/>
          <w:bCs/>
          <w:sz w:val="22"/>
          <w:szCs w:val="22"/>
        </w:rPr>
        <w:t>2</w:t>
      </w:r>
      <w:r w:rsidRPr="00FC5C87">
        <w:rPr>
          <w:rFonts w:ascii="Arial" w:hAnsi="Arial" w:cs="Arial"/>
          <w:sz w:val="22"/>
          <w:szCs w:val="22"/>
        </w:rPr>
        <w:t>. If you elect to submit by 1 March 202</w:t>
      </w:r>
      <w:r w:rsidR="00B12EF7" w:rsidRPr="00FC5C87">
        <w:rPr>
          <w:rFonts w:ascii="Arial" w:hAnsi="Arial" w:cs="Arial"/>
          <w:sz w:val="22"/>
          <w:szCs w:val="22"/>
        </w:rPr>
        <w:t>2</w:t>
      </w:r>
      <w:r w:rsidRPr="00FC5C87">
        <w:rPr>
          <w:rFonts w:ascii="Arial" w:hAnsi="Arial" w:cs="Arial"/>
          <w:sz w:val="22"/>
          <w:szCs w:val="22"/>
        </w:rPr>
        <w:t xml:space="preserve">, you </w:t>
      </w:r>
      <w:r w:rsidRPr="00FC5C87">
        <w:rPr>
          <w:rFonts w:ascii="Arial" w:hAnsi="Arial" w:cs="Arial"/>
          <w:b/>
          <w:bCs/>
          <w:sz w:val="22"/>
          <w:szCs w:val="22"/>
        </w:rPr>
        <w:t>may not</w:t>
      </w:r>
      <w:r w:rsidRPr="00FC5C87">
        <w:rPr>
          <w:rFonts w:ascii="Arial" w:hAnsi="Arial" w:cs="Arial"/>
          <w:sz w:val="22"/>
          <w:szCs w:val="22"/>
        </w:rPr>
        <w:t xml:space="preserve"> submit the assessment again by 31 July 202</w:t>
      </w:r>
      <w:r w:rsidR="00B12EF7" w:rsidRPr="00FC5C87">
        <w:rPr>
          <w:rFonts w:ascii="Arial" w:hAnsi="Arial" w:cs="Arial"/>
          <w:sz w:val="22"/>
          <w:szCs w:val="22"/>
        </w:rPr>
        <w:t>2</w:t>
      </w:r>
      <w:r w:rsidRPr="00FC5C87">
        <w:rPr>
          <w:rFonts w:ascii="Arial" w:hAnsi="Arial" w:cs="Arial"/>
          <w:sz w:val="22"/>
          <w:szCs w:val="22"/>
        </w:rPr>
        <w:t xml:space="preserve"> (for example, in order to achieve a higher mark).</w:t>
      </w:r>
    </w:p>
    <w:p w14:paraId="410623E3" w14:textId="77777777" w:rsidR="00B30D9A" w:rsidRPr="00FC5C87" w:rsidRDefault="00B30D9A" w:rsidP="00B30D9A">
      <w:pPr>
        <w:ind w:left="720" w:hanging="720"/>
        <w:jc w:val="both"/>
        <w:rPr>
          <w:rFonts w:ascii="Arial" w:hAnsi="Arial" w:cs="Arial"/>
          <w:sz w:val="22"/>
          <w:szCs w:val="22"/>
        </w:rPr>
      </w:pPr>
    </w:p>
    <w:p w14:paraId="730563CC" w14:textId="7D8216CD" w:rsidR="00F3323E" w:rsidRPr="00FC5C87" w:rsidRDefault="00B30D9A" w:rsidP="00B30D9A">
      <w:pPr>
        <w:ind w:left="720" w:hanging="720"/>
        <w:jc w:val="both"/>
        <w:rPr>
          <w:rFonts w:ascii="Arial" w:hAnsi="Arial" w:cs="Arial"/>
          <w:sz w:val="22"/>
          <w:szCs w:val="22"/>
        </w:rPr>
      </w:pPr>
      <w:r w:rsidRPr="00FC5C87">
        <w:rPr>
          <w:rFonts w:ascii="Arial" w:hAnsi="Arial" w:cs="Arial"/>
          <w:sz w:val="22"/>
          <w:szCs w:val="22"/>
        </w:rPr>
        <w:t>7.</w:t>
      </w:r>
      <w:r w:rsidRPr="00FC5C87">
        <w:rPr>
          <w:rFonts w:ascii="Arial" w:hAnsi="Arial" w:cs="Arial"/>
          <w:sz w:val="22"/>
          <w:szCs w:val="22"/>
        </w:rPr>
        <w:tab/>
        <w:t xml:space="preserve">Prior to being populated with your answers, this assessment consists of </w:t>
      </w:r>
      <w:r w:rsidR="003C4BCB" w:rsidRPr="00FC5C87">
        <w:rPr>
          <w:rFonts w:ascii="Arial" w:hAnsi="Arial" w:cs="Arial"/>
          <w:b/>
          <w:bCs/>
          <w:sz w:val="22"/>
          <w:szCs w:val="22"/>
        </w:rPr>
        <w:t>9</w:t>
      </w:r>
      <w:r w:rsidRPr="00FC5C87">
        <w:rPr>
          <w:rFonts w:ascii="Arial" w:hAnsi="Arial" w:cs="Arial"/>
          <w:b/>
          <w:bCs/>
          <w:sz w:val="22"/>
          <w:szCs w:val="22"/>
        </w:rPr>
        <w:t xml:space="preserve"> pages</w:t>
      </w:r>
      <w:r w:rsidRPr="00FC5C87">
        <w:rPr>
          <w:rFonts w:ascii="Arial" w:hAnsi="Arial" w:cs="Arial"/>
          <w:sz w:val="22"/>
          <w:szCs w:val="22"/>
        </w:rPr>
        <w:t>.</w:t>
      </w:r>
    </w:p>
    <w:p w14:paraId="16583175" w14:textId="77777777" w:rsidR="00F3323E" w:rsidRPr="00FC5C87" w:rsidRDefault="00F3323E" w:rsidP="00592F82">
      <w:pPr>
        <w:ind w:left="720" w:hanging="720"/>
        <w:jc w:val="both"/>
        <w:rPr>
          <w:rFonts w:ascii="Arial" w:hAnsi="Arial" w:cs="Arial"/>
          <w:sz w:val="22"/>
          <w:szCs w:val="22"/>
        </w:rPr>
      </w:pPr>
    </w:p>
    <w:p w14:paraId="13D386FE" w14:textId="77777777" w:rsidR="00E450A4" w:rsidRPr="00FC5C87" w:rsidRDefault="00E450A4">
      <w:pPr>
        <w:rPr>
          <w:rFonts w:ascii="Arial" w:hAnsi="Arial" w:cs="Arial"/>
          <w:sz w:val="22"/>
          <w:szCs w:val="22"/>
        </w:rPr>
      </w:pPr>
      <w:r w:rsidRPr="00FC5C87">
        <w:rPr>
          <w:rFonts w:ascii="Arial" w:hAnsi="Arial" w:cs="Arial"/>
          <w:sz w:val="22"/>
          <w:szCs w:val="22"/>
        </w:rPr>
        <w:br w:type="page"/>
      </w:r>
    </w:p>
    <w:p w14:paraId="2966AAD4" w14:textId="443A837F" w:rsidR="00F3323E" w:rsidRPr="00FC5C87" w:rsidRDefault="00F3323E" w:rsidP="002A37BB">
      <w:pPr>
        <w:jc w:val="both"/>
        <w:rPr>
          <w:rFonts w:ascii="Arial" w:hAnsi="Arial" w:cs="Arial"/>
          <w:sz w:val="22"/>
          <w:szCs w:val="22"/>
        </w:rPr>
      </w:pPr>
      <w:r w:rsidRPr="00FC5C87">
        <w:rPr>
          <w:rFonts w:ascii="Arial" w:hAnsi="Arial" w:cs="Arial"/>
          <w:b/>
          <w:sz w:val="22"/>
          <w:szCs w:val="22"/>
          <w:u w:val="single"/>
        </w:rPr>
        <w:t>ANSWER ALL THE QUESTIONS</w:t>
      </w:r>
    </w:p>
    <w:p w14:paraId="62B460C7" w14:textId="77777777" w:rsidR="00F3323E" w:rsidRPr="00FC5C87" w:rsidRDefault="00F3323E" w:rsidP="002A37BB">
      <w:pPr>
        <w:ind w:left="720" w:hanging="720"/>
        <w:jc w:val="both"/>
        <w:rPr>
          <w:rFonts w:ascii="Arial" w:hAnsi="Arial" w:cs="Arial"/>
          <w:sz w:val="22"/>
          <w:szCs w:val="22"/>
        </w:rPr>
      </w:pPr>
    </w:p>
    <w:p w14:paraId="7855E8A8" w14:textId="3F6B427A" w:rsidR="005D43E0" w:rsidRPr="00FC5C87" w:rsidRDefault="0029433F" w:rsidP="002A37BB">
      <w:pPr>
        <w:jc w:val="both"/>
        <w:rPr>
          <w:rFonts w:ascii="Arial" w:hAnsi="Arial" w:cs="Arial"/>
          <w:b/>
          <w:sz w:val="22"/>
          <w:szCs w:val="22"/>
        </w:rPr>
      </w:pPr>
      <w:r w:rsidRPr="00FC5C87">
        <w:rPr>
          <w:rFonts w:ascii="Arial" w:hAnsi="Arial" w:cs="Arial"/>
          <w:b/>
          <w:sz w:val="22"/>
          <w:szCs w:val="22"/>
        </w:rPr>
        <w:t>QUESTION 1</w:t>
      </w:r>
      <w:r w:rsidR="005D43E0" w:rsidRPr="00FC5C87">
        <w:rPr>
          <w:rFonts w:ascii="Arial" w:hAnsi="Arial" w:cs="Arial"/>
          <w:b/>
          <w:sz w:val="22"/>
          <w:szCs w:val="22"/>
        </w:rPr>
        <w:t xml:space="preserve"> (multiple-choice questions) [10 marks</w:t>
      </w:r>
      <w:r w:rsidR="00D17FDC" w:rsidRPr="00FC5C87">
        <w:rPr>
          <w:rFonts w:ascii="Arial" w:hAnsi="Arial" w:cs="Arial"/>
          <w:b/>
          <w:sz w:val="22"/>
          <w:szCs w:val="22"/>
        </w:rPr>
        <w:t xml:space="preserve"> in total</w:t>
      </w:r>
      <w:r w:rsidR="005D43E0" w:rsidRPr="00FC5C87">
        <w:rPr>
          <w:rFonts w:ascii="Arial" w:hAnsi="Arial" w:cs="Arial"/>
          <w:b/>
          <w:sz w:val="22"/>
          <w:szCs w:val="22"/>
        </w:rPr>
        <w:t>]</w:t>
      </w:r>
    </w:p>
    <w:p w14:paraId="3CF1A35C" w14:textId="77777777" w:rsidR="00F3323E" w:rsidRPr="00FC5C87" w:rsidRDefault="00F3323E" w:rsidP="002A37BB">
      <w:pPr>
        <w:ind w:left="720" w:hanging="720"/>
        <w:jc w:val="both"/>
        <w:rPr>
          <w:rFonts w:ascii="Arial" w:hAnsi="Arial" w:cs="Arial"/>
          <w:sz w:val="22"/>
          <w:szCs w:val="22"/>
        </w:rPr>
      </w:pPr>
    </w:p>
    <w:p w14:paraId="52F192E0" w14:textId="4F9975C1" w:rsidR="005D43E0" w:rsidRPr="00FC5C87" w:rsidRDefault="005D43E0" w:rsidP="002A37BB">
      <w:pPr>
        <w:jc w:val="both"/>
        <w:rPr>
          <w:rFonts w:ascii="Arial" w:hAnsi="Arial" w:cs="Arial"/>
          <w:sz w:val="22"/>
          <w:szCs w:val="22"/>
        </w:rPr>
      </w:pPr>
      <w:r w:rsidRPr="00FC5C87">
        <w:rPr>
          <w:rFonts w:ascii="Arial" w:hAnsi="Arial" w:cs="Arial"/>
          <w:sz w:val="22"/>
          <w:szCs w:val="22"/>
        </w:rPr>
        <w:t>Questions 1.1. – 1.10</w:t>
      </w:r>
      <w:r w:rsidR="00341AA6" w:rsidRPr="00FC5C87">
        <w:rPr>
          <w:rFonts w:ascii="Arial" w:hAnsi="Arial" w:cs="Arial"/>
          <w:sz w:val="22"/>
          <w:szCs w:val="22"/>
        </w:rPr>
        <w:t>.</w:t>
      </w:r>
      <w:r w:rsidRPr="00FC5C87">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C5C87">
        <w:rPr>
          <w:rFonts w:ascii="Arial" w:hAnsi="Arial" w:cs="Arial"/>
          <w:sz w:val="22"/>
          <w:szCs w:val="22"/>
          <w:highlight w:val="yellow"/>
        </w:rPr>
        <w:t>mark your selection on the answer sheet</w:t>
      </w:r>
      <w:r w:rsidR="00397D3A" w:rsidRPr="00FC5C87">
        <w:rPr>
          <w:rFonts w:ascii="Arial" w:hAnsi="Arial" w:cs="Arial"/>
          <w:sz w:val="22"/>
          <w:szCs w:val="22"/>
          <w:highlight w:val="yellow"/>
        </w:rPr>
        <w:t xml:space="preserve"> by highlighting the </w:t>
      </w:r>
      <w:r w:rsidR="0036565C" w:rsidRPr="00FC5C87">
        <w:rPr>
          <w:rFonts w:ascii="Arial" w:hAnsi="Arial" w:cs="Arial"/>
          <w:sz w:val="22"/>
          <w:szCs w:val="22"/>
          <w:highlight w:val="yellow"/>
        </w:rPr>
        <w:t xml:space="preserve">relevant paragraph </w:t>
      </w:r>
      <w:r w:rsidR="0036565C" w:rsidRPr="00FC5C87">
        <w:rPr>
          <w:rFonts w:ascii="Arial" w:hAnsi="Arial" w:cs="Arial"/>
          <w:b/>
          <w:bCs/>
          <w:sz w:val="22"/>
          <w:szCs w:val="22"/>
          <w:highlight w:val="yellow"/>
        </w:rPr>
        <w:t>in yellow</w:t>
      </w:r>
      <w:r w:rsidRPr="00FC5C87">
        <w:rPr>
          <w:rFonts w:ascii="Arial" w:hAnsi="Arial" w:cs="Arial"/>
          <w:sz w:val="22"/>
          <w:szCs w:val="22"/>
        </w:rPr>
        <w:t>.</w:t>
      </w:r>
      <w:r w:rsidR="0036565C" w:rsidRPr="00FC5C87">
        <w:rPr>
          <w:rFonts w:ascii="Arial" w:hAnsi="Arial" w:cs="Arial"/>
          <w:sz w:val="22"/>
          <w:szCs w:val="22"/>
        </w:rPr>
        <w:t xml:space="preserve"> Select only </w:t>
      </w:r>
      <w:r w:rsidR="0036565C" w:rsidRPr="00FC5C87">
        <w:rPr>
          <w:rFonts w:ascii="Arial" w:hAnsi="Arial" w:cs="Arial"/>
          <w:b/>
          <w:bCs/>
          <w:sz w:val="22"/>
          <w:szCs w:val="22"/>
        </w:rPr>
        <w:t>ONE</w:t>
      </w:r>
      <w:r w:rsidR="0036565C" w:rsidRPr="00FC5C87">
        <w:rPr>
          <w:rFonts w:ascii="Arial" w:hAnsi="Arial" w:cs="Arial"/>
          <w:sz w:val="22"/>
          <w:szCs w:val="22"/>
        </w:rPr>
        <w:t xml:space="preserve"> answer</w:t>
      </w:r>
      <w:r w:rsidR="00A60074" w:rsidRPr="00FC5C87">
        <w:rPr>
          <w:rFonts w:ascii="Arial" w:hAnsi="Arial" w:cs="Arial"/>
          <w:sz w:val="22"/>
          <w:szCs w:val="22"/>
        </w:rPr>
        <w:t>. Candidates who select more than one answer will receive no mark for that specific question.</w:t>
      </w:r>
    </w:p>
    <w:p w14:paraId="27033D10" w14:textId="424A462F" w:rsidR="00AF228E" w:rsidRPr="00FC5C87" w:rsidRDefault="00AF228E" w:rsidP="002A37BB">
      <w:pPr>
        <w:autoSpaceDE w:val="0"/>
        <w:autoSpaceDN w:val="0"/>
        <w:adjustRightInd w:val="0"/>
        <w:jc w:val="both"/>
        <w:rPr>
          <w:rFonts w:ascii="Arial" w:hAnsi="Arial" w:cs="Arial"/>
          <w:sz w:val="22"/>
          <w:szCs w:val="22"/>
        </w:rPr>
      </w:pPr>
    </w:p>
    <w:p w14:paraId="43F355DA" w14:textId="77777777" w:rsidR="00E9597C" w:rsidRPr="00FC5C87" w:rsidRDefault="00E9597C" w:rsidP="002A37BB">
      <w:pPr>
        <w:jc w:val="both"/>
        <w:rPr>
          <w:rFonts w:ascii="Arial" w:hAnsi="Arial" w:cs="Arial"/>
          <w:sz w:val="22"/>
          <w:szCs w:val="22"/>
        </w:rPr>
      </w:pPr>
      <w:r w:rsidRPr="00FC5C87">
        <w:rPr>
          <w:rFonts w:ascii="Arial" w:hAnsi="Arial" w:cs="Arial"/>
          <w:b/>
          <w:bCs/>
          <w:sz w:val="22"/>
          <w:szCs w:val="22"/>
        </w:rPr>
        <w:t>Question 1.1</w:t>
      </w:r>
      <w:r w:rsidRPr="00FC5C87">
        <w:rPr>
          <w:rFonts w:ascii="Arial" w:hAnsi="Arial" w:cs="Arial"/>
          <w:sz w:val="22"/>
          <w:szCs w:val="22"/>
        </w:rPr>
        <w:t xml:space="preserve"> </w:t>
      </w:r>
    </w:p>
    <w:p w14:paraId="280FEE57" w14:textId="53F6BD58" w:rsidR="00E9597C" w:rsidRPr="00FC5C87" w:rsidRDefault="00E9597C" w:rsidP="002A37BB">
      <w:pPr>
        <w:jc w:val="both"/>
        <w:rPr>
          <w:rFonts w:ascii="Arial" w:hAnsi="Arial" w:cs="Arial"/>
          <w:sz w:val="22"/>
          <w:szCs w:val="22"/>
        </w:rPr>
      </w:pPr>
    </w:p>
    <w:p w14:paraId="326476A3" w14:textId="1CEF9770" w:rsidR="00ED54B6" w:rsidRPr="00FC5C87" w:rsidRDefault="00C7729F" w:rsidP="002A37BB">
      <w:pPr>
        <w:jc w:val="both"/>
        <w:rPr>
          <w:rFonts w:ascii="Arial" w:hAnsi="Arial" w:cs="Arial"/>
          <w:sz w:val="22"/>
          <w:szCs w:val="22"/>
        </w:rPr>
      </w:pPr>
      <w:r w:rsidRPr="00FC5C87">
        <w:rPr>
          <w:rFonts w:ascii="Arial" w:hAnsi="Arial" w:cs="Arial"/>
          <w:sz w:val="22"/>
          <w:szCs w:val="22"/>
        </w:rPr>
        <w:t xml:space="preserve">The EIR 2000 </w:t>
      </w:r>
      <w:r w:rsidR="006D217A" w:rsidRPr="00FC5C87">
        <w:rPr>
          <w:rFonts w:ascii="Arial" w:hAnsi="Arial" w:cs="Arial"/>
          <w:sz w:val="22"/>
          <w:szCs w:val="22"/>
        </w:rPr>
        <w:t xml:space="preserve">substantively </w:t>
      </w:r>
      <w:proofErr w:type="spellStart"/>
      <w:r w:rsidR="006D217A" w:rsidRPr="00FC5C87">
        <w:rPr>
          <w:rFonts w:ascii="Arial" w:hAnsi="Arial" w:cs="Arial"/>
          <w:sz w:val="22"/>
          <w:szCs w:val="22"/>
        </w:rPr>
        <w:t>harmoni</w:t>
      </w:r>
      <w:r w:rsidR="00897A78" w:rsidRPr="00FC5C87">
        <w:rPr>
          <w:rFonts w:ascii="Arial" w:hAnsi="Arial" w:cs="Arial"/>
          <w:sz w:val="22"/>
          <w:szCs w:val="22"/>
        </w:rPr>
        <w:t>s</w:t>
      </w:r>
      <w:r w:rsidR="006D217A" w:rsidRPr="00FC5C87">
        <w:rPr>
          <w:rFonts w:ascii="Arial" w:hAnsi="Arial" w:cs="Arial"/>
          <w:sz w:val="22"/>
          <w:szCs w:val="22"/>
        </w:rPr>
        <w:t>ed</w:t>
      </w:r>
      <w:proofErr w:type="spellEnd"/>
      <w:r w:rsidR="006D217A" w:rsidRPr="00FC5C87">
        <w:rPr>
          <w:rFonts w:ascii="Arial" w:hAnsi="Arial" w:cs="Arial"/>
          <w:sz w:val="22"/>
          <w:szCs w:val="22"/>
        </w:rPr>
        <w:t xml:space="preserve"> the national insolvency law of the Member States</w:t>
      </w:r>
      <w:r w:rsidRPr="00FC5C87">
        <w:rPr>
          <w:rFonts w:ascii="Arial" w:hAnsi="Arial" w:cs="Arial"/>
          <w:sz w:val="22"/>
          <w:szCs w:val="22"/>
        </w:rPr>
        <w:t xml:space="preserve">. </w:t>
      </w:r>
    </w:p>
    <w:p w14:paraId="41935044" w14:textId="77777777" w:rsidR="00ED54B6" w:rsidRPr="00FC5C87" w:rsidRDefault="00ED54B6" w:rsidP="002A37BB">
      <w:pPr>
        <w:jc w:val="both"/>
        <w:rPr>
          <w:rFonts w:ascii="Arial" w:hAnsi="Arial" w:cs="Arial"/>
          <w:sz w:val="22"/>
          <w:szCs w:val="22"/>
        </w:rPr>
      </w:pPr>
    </w:p>
    <w:p w14:paraId="2A5BBAE0" w14:textId="3D6148CB" w:rsidR="00971896" w:rsidRPr="00FC5C87" w:rsidRDefault="00971896" w:rsidP="003C4BCB">
      <w:pPr>
        <w:pStyle w:val="ListParagraph"/>
        <w:numPr>
          <w:ilvl w:val="0"/>
          <w:numId w:val="2"/>
        </w:numPr>
        <w:ind w:left="426"/>
        <w:jc w:val="both"/>
        <w:rPr>
          <w:rFonts w:ascii="Arial" w:hAnsi="Arial" w:cs="Arial"/>
          <w:sz w:val="22"/>
          <w:szCs w:val="22"/>
        </w:rPr>
      </w:pPr>
      <w:r w:rsidRPr="00FC5C87">
        <w:rPr>
          <w:rFonts w:ascii="Arial" w:hAnsi="Arial" w:cs="Arial"/>
          <w:sz w:val="22"/>
          <w:szCs w:val="22"/>
        </w:rPr>
        <w:t xml:space="preserve">False. The objective of an EU regulation is not legal </w:t>
      </w:r>
      <w:proofErr w:type="spellStart"/>
      <w:r w:rsidRPr="00FC5C87">
        <w:rPr>
          <w:rFonts w:ascii="Arial" w:hAnsi="Arial" w:cs="Arial"/>
          <w:sz w:val="22"/>
          <w:szCs w:val="22"/>
        </w:rPr>
        <w:t>harmonisation</w:t>
      </w:r>
      <w:proofErr w:type="spellEnd"/>
      <w:r w:rsidRPr="00FC5C87">
        <w:rPr>
          <w:rFonts w:ascii="Arial" w:hAnsi="Arial" w:cs="Arial"/>
          <w:sz w:val="22"/>
          <w:szCs w:val="22"/>
        </w:rPr>
        <w:t>.</w:t>
      </w:r>
    </w:p>
    <w:p w14:paraId="0F5D1B47" w14:textId="77777777" w:rsidR="00971896" w:rsidRPr="00FC5C87" w:rsidRDefault="00971896" w:rsidP="00971896">
      <w:pPr>
        <w:pStyle w:val="ListParagraph"/>
        <w:ind w:left="426"/>
        <w:jc w:val="both"/>
        <w:rPr>
          <w:rFonts w:ascii="Arial" w:hAnsi="Arial" w:cs="Arial"/>
          <w:sz w:val="22"/>
          <w:szCs w:val="22"/>
        </w:rPr>
      </w:pPr>
    </w:p>
    <w:p w14:paraId="284B9BBE" w14:textId="18A26DD1" w:rsidR="005B79F4" w:rsidRPr="00FC5C87" w:rsidRDefault="00D21F62" w:rsidP="003C4BCB">
      <w:pPr>
        <w:pStyle w:val="ListParagraph"/>
        <w:numPr>
          <w:ilvl w:val="0"/>
          <w:numId w:val="2"/>
        </w:numPr>
        <w:ind w:left="426"/>
        <w:jc w:val="both"/>
        <w:rPr>
          <w:rFonts w:ascii="Arial" w:hAnsi="Arial" w:cs="Arial"/>
          <w:sz w:val="22"/>
          <w:szCs w:val="22"/>
        </w:rPr>
      </w:pPr>
      <w:r w:rsidRPr="00FC5C87">
        <w:rPr>
          <w:rFonts w:ascii="Arial" w:hAnsi="Arial" w:cs="Arial"/>
          <w:sz w:val="22"/>
          <w:szCs w:val="22"/>
        </w:rPr>
        <w:t xml:space="preserve">True. Since the entry into force of the EIR 2000, the insolvency laws of the Member States are similar. </w:t>
      </w:r>
      <w:r w:rsidR="00C7729F" w:rsidRPr="00FC5C87">
        <w:rPr>
          <w:rFonts w:ascii="Arial" w:hAnsi="Arial" w:cs="Arial"/>
          <w:sz w:val="22"/>
          <w:szCs w:val="22"/>
        </w:rPr>
        <w:t xml:space="preserve"> </w:t>
      </w:r>
    </w:p>
    <w:p w14:paraId="6E7782D6" w14:textId="77777777" w:rsidR="007C50AA" w:rsidRPr="00FC5C87" w:rsidRDefault="007C50AA" w:rsidP="007C50AA">
      <w:pPr>
        <w:jc w:val="both"/>
        <w:rPr>
          <w:rFonts w:ascii="Arial" w:hAnsi="Arial" w:cs="Arial"/>
          <w:sz w:val="22"/>
          <w:szCs w:val="22"/>
        </w:rPr>
      </w:pPr>
    </w:p>
    <w:p w14:paraId="3E353EE9" w14:textId="5EFF12A6" w:rsidR="00C7729F" w:rsidRPr="00FC5C87" w:rsidRDefault="00C7729F" w:rsidP="003C4BCB">
      <w:pPr>
        <w:pStyle w:val="ListParagraph"/>
        <w:numPr>
          <w:ilvl w:val="0"/>
          <w:numId w:val="2"/>
        </w:numPr>
        <w:ind w:left="426"/>
        <w:jc w:val="both"/>
        <w:rPr>
          <w:rFonts w:ascii="Arial" w:hAnsi="Arial" w:cs="Arial"/>
          <w:sz w:val="22"/>
          <w:szCs w:val="22"/>
        </w:rPr>
      </w:pPr>
      <w:r w:rsidRPr="00FC5C87">
        <w:rPr>
          <w:rFonts w:ascii="Arial" w:hAnsi="Arial" w:cs="Arial"/>
          <w:sz w:val="22"/>
          <w:szCs w:val="22"/>
        </w:rPr>
        <w:t>False</w:t>
      </w:r>
      <w:r w:rsidR="00D21F62" w:rsidRPr="00FC5C87">
        <w:rPr>
          <w:rFonts w:ascii="Arial" w:hAnsi="Arial" w:cs="Arial"/>
          <w:sz w:val="22"/>
          <w:szCs w:val="22"/>
        </w:rPr>
        <w:t xml:space="preserve">. The objective of the EIR 2000 was not to </w:t>
      </w:r>
      <w:proofErr w:type="spellStart"/>
      <w:r w:rsidR="00D21F62" w:rsidRPr="00FC5C87">
        <w:rPr>
          <w:rFonts w:ascii="Arial" w:hAnsi="Arial" w:cs="Arial"/>
          <w:sz w:val="22"/>
          <w:szCs w:val="22"/>
        </w:rPr>
        <w:t>harmonise</w:t>
      </w:r>
      <w:proofErr w:type="spellEnd"/>
      <w:r w:rsidR="00D21F62" w:rsidRPr="00FC5C87">
        <w:rPr>
          <w:rFonts w:ascii="Arial" w:hAnsi="Arial" w:cs="Arial"/>
          <w:sz w:val="22"/>
          <w:szCs w:val="22"/>
        </w:rPr>
        <w:t xml:space="preserve"> aspects of national insolvency laws but to provide non-binding guidelines only. </w:t>
      </w:r>
      <w:r w:rsidRPr="00FC5C87">
        <w:rPr>
          <w:rFonts w:ascii="Arial" w:hAnsi="Arial" w:cs="Arial"/>
          <w:sz w:val="22"/>
          <w:szCs w:val="22"/>
        </w:rPr>
        <w:t xml:space="preserve"> </w:t>
      </w:r>
    </w:p>
    <w:p w14:paraId="2447D965" w14:textId="77777777" w:rsidR="007C50AA" w:rsidRPr="00FC5C87" w:rsidRDefault="007C50AA" w:rsidP="007C50AA">
      <w:pPr>
        <w:jc w:val="both"/>
        <w:rPr>
          <w:rFonts w:ascii="Arial" w:hAnsi="Arial" w:cs="Arial"/>
          <w:color w:val="FF0000"/>
          <w:sz w:val="22"/>
          <w:szCs w:val="22"/>
        </w:rPr>
      </w:pPr>
    </w:p>
    <w:p w14:paraId="223C6B0A" w14:textId="55F6F3CE" w:rsidR="00C7729F" w:rsidRPr="00FC5C87" w:rsidRDefault="00D21F62" w:rsidP="003C4BCB">
      <w:pPr>
        <w:pStyle w:val="ListParagraph"/>
        <w:numPr>
          <w:ilvl w:val="0"/>
          <w:numId w:val="2"/>
        </w:numPr>
        <w:ind w:left="426"/>
        <w:jc w:val="both"/>
        <w:rPr>
          <w:rFonts w:ascii="Arial" w:hAnsi="Arial" w:cs="Arial"/>
          <w:sz w:val="22"/>
          <w:szCs w:val="22"/>
          <w:highlight w:val="yellow"/>
        </w:rPr>
      </w:pPr>
      <w:r w:rsidRPr="00FC5C87">
        <w:rPr>
          <w:rFonts w:ascii="Arial" w:hAnsi="Arial" w:cs="Arial"/>
          <w:sz w:val="22"/>
          <w:szCs w:val="22"/>
          <w:highlight w:val="yellow"/>
        </w:rPr>
        <w:t xml:space="preserve">False. While the EIR 2000 attempted to </w:t>
      </w:r>
      <w:proofErr w:type="spellStart"/>
      <w:r w:rsidRPr="00FC5C87">
        <w:rPr>
          <w:rFonts w:ascii="Arial" w:hAnsi="Arial" w:cs="Arial"/>
          <w:sz w:val="22"/>
          <w:szCs w:val="22"/>
          <w:highlight w:val="yellow"/>
        </w:rPr>
        <w:t>harmonise</w:t>
      </w:r>
      <w:proofErr w:type="spellEnd"/>
      <w:r w:rsidRPr="00FC5C87">
        <w:rPr>
          <w:rFonts w:ascii="Arial" w:hAnsi="Arial" w:cs="Arial"/>
          <w:sz w:val="22"/>
          <w:szCs w:val="22"/>
          <w:highlight w:val="yellow"/>
        </w:rPr>
        <w:t xml:space="preserve"> national insolvency laws, its focus was on procedural aspects of insolvency law, not substantive ones.</w:t>
      </w:r>
      <w:r w:rsidR="00C7729F" w:rsidRPr="00FC5C87">
        <w:rPr>
          <w:rFonts w:ascii="Arial" w:hAnsi="Arial" w:cs="Arial"/>
          <w:sz w:val="22"/>
          <w:szCs w:val="22"/>
          <w:highlight w:val="yellow"/>
        </w:rPr>
        <w:t xml:space="preserve"> </w:t>
      </w:r>
    </w:p>
    <w:p w14:paraId="48522409" w14:textId="5CA4CA80" w:rsidR="00D21F62" w:rsidRPr="00FC5C87" w:rsidRDefault="00D21F62" w:rsidP="00971896">
      <w:pPr>
        <w:jc w:val="both"/>
        <w:rPr>
          <w:rFonts w:ascii="Arial" w:hAnsi="Arial" w:cs="Arial"/>
          <w:sz w:val="22"/>
          <w:szCs w:val="22"/>
        </w:rPr>
      </w:pPr>
    </w:p>
    <w:p w14:paraId="1EDB374E" w14:textId="77777777" w:rsidR="00E9597C" w:rsidRPr="00FC5C87" w:rsidRDefault="00E9597C" w:rsidP="002A37BB">
      <w:pPr>
        <w:jc w:val="both"/>
        <w:rPr>
          <w:rFonts w:ascii="Arial" w:hAnsi="Arial" w:cs="Arial"/>
          <w:b/>
          <w:bCs/>
          <w:sz w:val="22"/>
          <w:szCs w:val="22"/>
        </w:rPr>
      </w:pPr>
      <w:r w:rsidRPr="00FC5C87">
        <w:rPr>
          <w:rFonts w:ascii="Arial" w:hAnsi="Arial" w:cs="Arial"/>
          <w:b/>
          <w:bCs/>
          <w:sz w:val="22"/>
          <w:szCs w:val="22"/>
        </w:rPr>
        <w:t>Question 1.2</w:t>
      </w:r>
    </w:p>
    <w:p w14:paraId="2FDFDBCB" w14:textId="77777777" w:rsidR="00E9597C" w:rsidRPr="00FC5C87" w:rsidRDefault="00E9597C" w:rsidP="002A37BB">
      <w:pPr>
        <w:jc w:val="both"/>
        <w:rPr>
          <w:rFonts w:ascii="Arial" w:hAnsi="Arial" w:cs="Arial"/>
          <w:sz w:val="22"/>
          <w:szCs w:val="22"/>
        </w:rPr>
      </w:pPr>
    </w:p>
    <w:p w14:paraId="65A8E8AD" w14:textId="1442D482" w:rsidR="00BB38D1" w:rsidRPr="00FC5C87" w:rsidRDefault="006D217A" w:rsidP="002A37BB">
      <w:pPr>
        <w:jc w:val="both"/>
        <w:rPr>
          <w:rFonts w:ascii="Arial" w:hAnsi="Arial" w:cs="Arial"/>
          <w:sz w:val="22"/>
          <w:szCs w:val="22"/>
        </w:rPr>
      </w:pPr>
      <w:r w:rsidRPr="00FC5C87">
        <w:rPr>
          <w:rFonts w:ascii="Arial" w:hAnsi="Arial" w:cs="Arial"/>
          <w:sz w:val="22"/>
          <w:szCs w:val="22"/>
        </w:rPr>
        <w:t xml:space="preserve">The EIR 2000 was the first ever European initiative to attempt to </w:t>
      </w:r>
      <w:proofErr w:type="spellStart"/>
      <w:r w:rsidRPr="00FC5C87">
        <w:rPr>
          <w:rFonts w:ascii="Arial" w:hAnsi="Arial" w:cs="Arial"/>
          <w:sz w:val="22"/>
          <w:szCs w:val="22"/>
        </w:rPr>
        <w:t>harmonise</w:t>
      </w:r>
      <w:proofErr w:type="spellEnd"/>
      <w:r w:rsidRPr="00FC5C87">
        <w:rPr>
          <w:rFonts w:ascii="Arial" w:hAnsi="Arial" w:cs="Arial"/>
          <w:sz w:val="22"/>
          <w:szCs w:val="22"/>
        </w:rPr>
        <w:t xml:space="preserve"> the insolvency laws of Member States.</w:t>
      </w:r>
      <w:r w:rsidR="00BB38D1" w:rsidRPr="00FC5C87">
        <w:rPr>
          <w:rFonts w:ascii="Arial" w:hAnsi="Arial" w:cs="Arial"/>
          <w:sz w:val="22"/>
          <w:szCs w:val="22"/>
        </w:rPr>
        <w:t xml:space="preserve"> </w:t>
      </w:r>
    </w:p>
    <w:p w14:paraId="1EA223D7" w14:textId="4D45BCCE" w:rsidR="005B79F4" w:rsidRPr="00FC5C87" w:rsidRDefault="005B79F4" w:rsidP="002A37BB">
      <w:pPr>
        <w:jc w:val="both"/>
        <w:rPr>
          <w:rFonts w:ascii="Arial" w:hAnsi="Arial" w:cs="Arial"/>
          <w:sz w:val="22"/>
          <w:szCs w:val="22"/>
        </w:rPr>
      </w:pPr>
    </w:p>
    <w:p w14:paraId="53B7ADE1" w14:textId="377C8EDF" w:rsidR="006D217A" w:rsidRPr="00FC5C87" w:rsidRDefault="006D217A" w:rsidP="006D217A">
      <w:pPr>
        <w:pStyle w:val="ListParagraph"/>
        <w:numPr>
          <w:ilvl w:val="0"/>
          <w:numId w:val="3"/>
        </w:numPr>
        <w:ind w:left="426"/>
        <w:jc w:val="both"/>
        <w:rPr>
          <w:rFonts w:ascii="Arial" w:hAnsi="Arial" w:cs="Arial"/>
          <w:iCs/>
          <w:sz w:val="22"/>
          <w:szCs w:val="22"/>
          <w:highlight w:val="yellow"/>
        </w:rPr>
      </w:pPr>
      <w:r w:rsidRPr="00FC5C87">
        <w:rPr>
          <w:rFonts w:ascii="Arial" w:hAnsi="Arial" w:cs="Arial"/>
          <w:iCs/>
          <w:sz w:val="22"/>
          <w:szCs w:val="22"/>
          <w:highlight w:val="yellow"/>
        </w:rPr>
        <w:t>False</w:t>
      </w:r>
      <w:r w:rsidR="00D21F62" w:rsidRPr="00FC5C87">
        <w:rPr>
          <w:rFonts w:ascii="Arial" w:hAnsi="Arial" w:cs="Arial"/>
          <w:iCs/>
          <w:sz w:val="22"/>
          <w:szCs w:val="22"/>
          <w:highlight w:val="yellow"/>
        </w:rPr>
        <w:t>.</w:t>
      </w:r>
      <w:r w:rsidRPr="00FC5C87">
        <w:rPr>
          <w:rFonts w:ascii="Arial" w:hAnsi="Arial" w:cs="Arial"/>
          <w:iCs/>
          <w:sz w:val="22"/>
          <w:szCs w:val="22"/>
          <w:highlight w:val="yellow"/>
        </w:rPr>
        <w:t xml:space="preserve"> </w:t>
      </w:r>
      <w:r w:rsidR="00D21F62" w:rsidRPr="00FC5C87">
        <w:rPr>
          <w:rFonts w:ascii="Arial" w:hAnsi="Arial" w:cs="Arial"/>
          <w:sz w:val="22"/>
          <w:szCs w:val="22"/>
          <w:highlight w:val="yellow"/>
        </w:rPr>
        <w:t>T</w:t>
      </w:r>
      <w:r w:rsidRPr="00FC5C87">
        <w:rPr>
          <w:rFonts w:ascii="Arial" w:hAnsi="Arial" w:cs="Arial"/>
          <w:sz w:val="22"/>
          <w:szCs w:val="22"/>
          <w:highlight w:val="yellow"/>
        </w:rPr>
        <w:t xml:space="preserve">he EU sought to draft Conventions with a view to </w:t>
      </w:r>
      <w:proofErr w:type="spellStart"/>
      <w:r w:rsidRPr="00FC5C87">
        <w:rPr>
          <w:rFonts w:ascii="Arial" w:hAnsi="Arial" w:cs="Arial"/>
          <w:sz w:val="22"/>
          <w:szCs w:val="22"/>
          <w:highlight w:val="yellow"/>
        </w:rPr>
        <w:t>harmonising</w:t>
      </w:r>
      <w:proofErr w:type="spellEnd"/>
      <w:r w:rsidRPr="00FC5C87">
        <w:rPr>
          <w:rFonts w:ascii="Arial" w:hAnsi="Arial" w:cs="Arial"/>
          <w:sz w:val="22"/>
          <w:szCs w:val="22"/>
          <w:highlight w:val="yellow"/>
        </w:rPr>
        <w:t xml:space="preserve"> the insolvency laws of EU Member States as early as the 1960s, but these initiatives failed.</w:t>
      </w:r>
    </w:p>
    <w:p w14:paraId="1286E5B5" w14:textId="77777777" w:rsidR="006D217A" w:rsidRPr="00FC5C87" w:rsidRDefault="006D217A" w:rsidP="006D217A">
      <w:pPr>
        <w:pStyle w:val="ListParagraph"/>
        <w:ind w:left="426"/>
        <w:jc w:val="both"/>
        <w:rPr>
          <w:rFonts w:ascii="Arial" w:hAnsi="Arial" w:cs="Arial"/>
          <w:iCs/>
          <w:sz w:val="22"/>
          <w:szCs w:val="22"/>
        </w:rPr>
      </w:pPr>
    </w:p>
    <w:p w14:paraId="41F30847" w14:textId="15ADA3FC" w:rsidR="006D217A" w:rsidRPr="00FC5C87" w:rsidRDefault="006D217A" w:rsidP="006D217A">
      <w:pPr>
        <w:pStyle w:val="ListParagraph"/>
        <w:numPr>
          <w:ilvl w:val="0"/>
          <w:numId w:val="3"/>
        </w:numPr>
        <w:ind w:left="426"/>
        <w:jc w:val="both"/>
        <w:rPr>
          <w:rFonts w:ascii="Arial" w:hAnsi="Arial" w:cs="Arial"/>
          <w:iCs/>
          <w:sz w:val="22"/>
          <w:szCs w:val="22"/>
        </w:rPr>
      </w:pPr>
      <w:r w:rsidRPr="00FC5C87">
        <w:rPr>
          <w:rFonts w:ascii="Arial" w:hAnsi="Arial" w:cs="Arial"/>
          <w:iCs/>
          <w:sz w:val="22"/>
          <w:szCs w:val="22"/>
        </w:rPr>
        <w:t>F</w:t>
      </w:r>
      <w:r w:rsidR="00D21F62" w:rsidRPr="00FC5C87">
        <w:rPr>
          <w:rFonts w:ascii="Arial" w:hAnsi="Arial" w:cs="Arial"/>
          <w:iCs/>
          <w:sz w:val="22"/>
          <w:szCs w:val="22"/>
        </w:rPr>
        <w:t>alse.</w:t>
      </w:r>
      <w:r w:rsidRPr="00FC5C87">
        <w:rPr>
          <w:rFonts w:ascii="Arial" w:hAnsi="Arial" w:cs="Arial"/>
          <w:iCs/>
          <w:sz w:val="22"/>
          <w:szCs w:val="22"/>
        </w:rPr>
        <w:t xml:space="preserve"> </w:t>
      </w:r>
      <w:r w:rsidR="00D21F62" w:rsidRPr="00FC5C87">
        <w:rPr>
          <w:rFonts w:ascii="Arial" w:hAnsi="Arial" w:cs="Arial"/>
          <w:sz w:val="22"/>
          <w:szCs w:val="22"/>
        </w:rPr>
        <w:t>T</w:t>
      </w:r>
      <w:r w:rsidRPr="00FC5C87">
        <w:rPr>
          <w:rFonts w:ascii="Arial" w:hAnsi="Arial" w:cs="Arial"/>
          <w:sz w:val="22"/>
          <w:szCs w:val="22"/>
        </w:rPr>
        <w:t>here was another EU Regulation regulating insolvency law at EU level before the EIR 2000.</w:t>
      </w:r>
    </w:p>
    <w:p w14:paraId="31D88EB8" w14:textId="77777777" w:rsidR="006D217A" w:rsidRPr="00FC5C87" w:rsidRDefault="006D217A" w:rsidP="006D217A">
      <w:pPr>
        <w:pStyle w:val="ListParagraph"/>
        <w:ind w:left="426"/>
        <w:jc w:val="both"/>
        <w:rPr>
          <w:rFonts w:ascii="Arial" w:hAnsi="Arial" w:cs="Arial"/>
          <w:iCs/>
          <w:sz w:val="22"/>
          <w:szCs w:val="22"/>
        </w:rPr>
      </w:pPr>
    </w:p>
    <w:p w14:paraId="74C0E9B6" w14:textId="67EBDC94" w:rsidR="005B79F4" w:rsidRPr="00FC5C87" w:rsidRDefault="006D217A" w:rsidP="00D21F62">
      <w:pPr>
        <w:pStyle w:val="ListParagraph"/>
        <w:numPr>
          <w:ilvl w:val="0"/>
          <w:numId w:val="3"/>
        </w:numPr>
        <w:ind w:left="426"/>
        <w:jc w:val="both"/>
        <w:rPr>
          <w:rFonts w:ascii="Arial" w:hAnsi="Arial" w:cs="Arial"/>
          <w:iCs/>
          <w:sz w:val="22"/>
          <w:szCs w:val="22"/>
        </w:rPr>
      </w:pPr>
      <w:r w:rsidRPr="00FC5C87">
        <w:rPr>
          <w:rFonts w:ascii="Arial" w:hAnsi="Arial" w:cs="Arial"/>
          <w:iCs/>
          <w:sz w:val="22"/>
          <w:szCs w:val="22"/>
        </w:rPr>
        <w:t>Tr</w:t>
      </w:r>
      <w:r w:rsidR="00D21F62" w:rsidRPr="00FC5C87">
        <w:rPr>
          <w:rFonts w:ascii="Arial" w:hAnsi="Arial" w:cs="Arial"/>
          <w:iCs/>
          <w:sz w:val="22"/>
          <w:szCs w:val="22"/>
        </w:rPr>
        <w:t>ue.</w:t>
      </w:r>
      <w:r w:rsidRPr="00FC5C87">
        <w:rPr>
          <w:rFonts w:ascii="Arial" w:hAnsi="Arial" w:cs="Arial"/>
          <w:iCs/>
          <w:sz w:val="22"/>
          <w:szCs w:val="22"/>
        </w:rPr>
        <w:t xml:space="preserve"> </w:t>
      </w:r>
      <w:r w:rsidR="00D21F62" w:rsidRPr="00FC5C87">
        <w:rPr>
          <w:rFonts w:ascii="Arial" w:hAnsi="Arial" w:cs="Arial"/>
          <w:iCs/>
          <w:sz w:val="22"/>
          <w:szCs w:val="22"/>
        </w:rPr>
        <w:t>B</w:t>
      </w:r>
      <w:r w:rsidRPr="00FC5C87">
        <w:rPr>
          <w:rFonts w:ascii="Arial" w:hAnsi="Arial" w:cs="Arial"/>
          <w:sz w:val="22"/>
          <w:szCs w:val="22"/>
        </w:rPr>
        <w:t xml:space="preserve">efore the EIR 2000, the EU has not sought to </w:t>
      </w:r>
      <w:proofErr w:type="spellStart"/>
      <w:r w:rsidRPr="00FC5C87">
        <w:rPr>
          <w:rFonts w:ascii="Arial" w:hAnsi="Arial" w:cs="Arial"/>
          <w:sz w:val="22"/>
          <w:szCs w:val="22"/>
        </w:rPr>
        <w:t>harmonise</w:t>
      </w:r>
      <w:proofErr w:type="spellEnd"/>
      <w:r w:rsidRPr="00FC5C87">
        <w:rPr>
          <w:rFonts w:ascii="Arial" w:hAnsi="Arial" w:cs="Arial"/>
          <w:sz w:val="22"/>
          <w:szCs w:val="22"/>
        </w:rPr>
        <w:t xml:space="preserve"> the insolvency laws of EU Member States.</w:t>
      </w:r>
    </w:p>
    <w:p w14:paraId="6FAB8F6A" w14:textId="0CF5995E" w:rsidR="006D217A" w:rsidRPr="00FC5C87" w:rsidRDefault="006D217A" w:rsidP="006D217A">
      <w:pPr>
        <w:jc w:val="both"/>
        <w:rPr>
          <w:rFonts w:ascii="Arial" w:hAnsi="Arial" w:cs="Arial"/>
          <w:iCs/>
          <w:sz w:val="22"/>
          <w:szCs w:val="22"/>
        </w:rPr>
      </w:pPr>
    </w:p>
    <w:p w14:paraId="3A274899" w14:textId="68F2BC49" w:rsidR="006D217A" w:rsidRPr="00FC5C87" w:rsidRDefault="006D217A" w:rsidP="006D217A">
      <w:pPr>
        <w:pStyle w:val="ListParagraph"/>
        <w:numPr>
          <w:ilvl w:val="0"/>
          <w:numId w:val="3"/>
        </w:numPr>
        <w:ind w:left="426"/>
        <w:jc w:val="both"/>
        <w:rPr>
          <w:rFonts w:ascii="Arial" w:hAnsi="Arial" w:cs="Arial"/>
          <w:iCs/>
          <w:sz w:val="22"/>
          <w:szCs w:val="22"/>
        </w:rPr>
      </w:pPr>
      <w:r w:rsidRPr="00FC5C87">
        <w:rPr>
          <w:rFonts w:ascii="Arial" w:hAnsi="Arial" w:cs="Arial"/>
          <w:iCs/>
          <w:sz w:val="22"/>
          <w:szCs w:val="22"/>
        </w:rPr>
        <w:t>False</w:t>
      </w:r>
      <w:r w:rsidR="00D21F62" w:rsidRPr="00FC5C87">
        <w:rPr>
          <w:rFonts w:ascii="Arial" w:hAnsi="Arial" w:cs="Arial"/>
          <w:iCs/>
          <w:sz w:val="22"/>
          <w:szCs w:val="22"/>
        </w:rPr>
        <w:t>.</w:t>
      </w:r>
      <w:r w:rsidRPr="00FC5C87">
        <w:rPr>
          <w:rFonts w:ascii="Arial" w:hAnsi="Arial" w:cs="Arial"/>
          <w:iCs/>
          <w:sz w:val="22"/>
          <w:szCs w:val="22"/>
        </w:rPr>
        <w:t xml:space="preserve"> </w:t>
      </w:r>
      <w:r w:rsidR="00D21F62" w:rsidRPr="00FC5C87">
        <w:rPr>
          <w:rFonts w:ascii="Arial" w:hAnsi="Arial" w:cs="Arial"/>
          <w:sz w:val="22"/>
          <w:szCs w:val="22"/>
        </w:rPr>
        <w:t>A</w:t>
      </w:r>
      <w:r w:rsidRPr="00FC5C87">
        <w:rPr>
          <w:rFonts w:ascii="Arial" w:hAnsi="Arial" w:cs="Arial"/>
          <w:sz w:val="22"/>
          <w:szCs w:val="22"/>
        </w:rPr>
        <w:t>n EU Directive regulating insolvency law at EU level existed before the EIR 2000.</w:t>
      </w:r>
    </w:p>
    <w:p w14:paraId="5F7F3E82" w14:textId="77777777" w:rsidR="006D217A" w:rsidRPr="00FC5C87" w:rsidRDefault="006D217A" w:rsidP="006D217A">
      <w:pPr>
        <w:pStyle w:val="ListParagraph"/>
        <w:ind w:left="426"/>
        <w:jc w:val="both"/>
        <w:rPr>
          <w:rFonts w:ascii="Arial" w:hAnsi="Arial" w:cs="Arial"/>
          <w:iCs/>
          <w:sz w:val="22"/>
          <w:szCs w:val="22"/>
        </w:rPr>
      </w:pPr>
    </w:p>
    <w:p w14:paraId="788B3207" w14:textId="77777777" w:rsidR="00E9597C" w:rsidRPr="00FC5C87" w:rsidRDefault="00E9597C" w:rsidP="002A37BB">
      <w:pPr>
        <w:jc w:val="both"/>
        <w:rPr>
          <w:rFonts w:ascii="Arial" w:hAnsi="Arial" w:cs="Arial"/>
          <w:b/>
          <w:bCs/>
          <w:sz w:val="22"/>
          <w:szCs w:val="22"/>
        </w:rPr>
      </w:pPr>
      <w:r w:rsidRPr="00FC5C87">
        <w:rPr>
          <w:rFonts w:ascii="Arial" w:hAnsi="Arial" w:cs="Arial"/>
          <w:b/>
          <w:bCs/>
          <w:sz w:val="22"/>
          <w:szCs w:val="22"/>
        </w:rPr>
        <w:t>Question 1.3</w:t>
      </w:r>
    </w:p>
    <w:p w14:paraId="3CB02A2A" w14:textId="77777777" w:rsidR="00E9597C" w:rsidRPr="00FC5C87" w:rsidRDefault="00E9597C" w:rsidP="002A37BB">
      <w:pPr>
        <w:jc w:val="both"/>
        <w:rPr>
          <w:rFonts w:ascii="Arial" w:hAnsi="Arial" w:cs="Arial"/>
          <w:sz w:val="22"/>
          <w:szCs w:val="22"/>
        </w:rPr>
      </w:pPr>
    </w:p>
    <w:p w14:paraId="59D6ABB0" w14:textId="2E2EAD4C" w:rsidR="00874240" w:rsidRPr="00FC5C87" w:rsidRDefault="006D217A" w:rsidP="00874240">
      <w:pPr>
        <w:jc w:val="both"/>
        <w:rPr>
          <w:rFonts w:ascii="Arial" w:hAnsi="Arial" w:cs="Arial"/>
          <w:sz w:val="22"/>
          <w:szCs w:val="22"/>
        </w:rPr>
      </w:pPr>
      <w:r w:rsidRPr="00FC5C87">
        <w:rPr>
          <w:rFonts w:ascii="Arial" w:hAnsi="Arial" w:cs="Arial"/>
          <w:sz w:val="22"/>
          <w:szCs w:val="22"/>
        </w:rPr>
        <w:t xml:space="preserve">The EIR Recast was urgently needed because the EIR 2000 was considered dysfunctional and ineffective. </w:t>
      </w:r>
    </w:p>
    <w:p w14:paraId="1B855A21" w14:textId="77777777" w:rsidR="00874240" w:rsidRPr="00FC5C87" w:rsidRDefault="00874240" w:rsidP="00874240">
      <w:pPr>
        <w:jc w:val="both"/>
        <w:rPr>
          <w:rFonts w:ascii="Arial" w:hAnsi="Arial" w:cs="Arial"/>
          <w:sz w:val="22"/>
          <w:szCs w:val="22"/>
        </w:rPr>
      </w:pPr>
    </w:p>
    <w:p w14:paraId="447E9E27" w14:textId="30C1E4F3" w:rsidR="00874240" w:rsidRPr="00FC5C87" w:rsidRDefault="006D217A" w:rsidP="003C4BCB">
      <w:pPr>
        <w:pStyle w:val="ListParagraph"/>
        <w:numPr>
          <w:ilvl w:val="0"/>
          <w:numId w:val="4"/>
        </w:numPr>
        <w:ind w:left="426"/>
        <w:jc w:val="both"/>
        <w:rPr>
          <w:rFonts w:ascii="Arial" w:hAnsi="Arial" w:cs="Arial"/>
          <w:sz w:val="22"/>
          <w:szCs w:val="22"/>
        </w:rPr>
      </w:pPr>
      <w:r w:rsidRPr="00FC5C87">
        <w:rPr>
          <w:rFonts w:ascii="Arial" w:hAnsi="Arial" w:cs="Arial"/>
          <w:sz w:val="22"/>
          <w:szCs w:val="22"/>
        </w:rPr>
        <w:t>True</w:t>
      </w:r>
      <w:r w:rsidR="00D21F62" w:rsidRPr="00FC5C87">
        <w:rPr>
          <w:rFonts w:ascii="Arial" w:hAnsi="Arial" w:cs="Arial"/>
          <w:sz w:val="22"/>
          <w:szCs w:val="22"/>
        </w:rPr>
        <w:t>.</w:t>
      </w:r>
      <w:r w:rsidRPr="00FC5C87">
        <w:rPr>
          <w:rFonts w:ascii="Arial" w:hAnsi="Arial" w:cs="Arial"/>
          <w:sz w:val="22"/>
          <w:szCs w:val="22"/>
        </w:rPr>
        <w:t xml:space="preserve"> </w:t>
      </w:r>
      <w:r w:rsidR="00D21F62" w:rsidRPr="00FC5C87">
        <w:rPr>
          <w:rFonts w:ascii="Arial" w:hAnsi="Arial" w:cs="Arial"/>
          <w:sz w:val="22"/>
          <w:szCs w:val="22"/>
        </w:rPr>
        <w:t>T</w:t>
      </w:r>
      <w:r w:rsidRPr="00FC5C87">
        <w:rPr>
          <w:rFonts w:ascii="Arial" w:hAnsi="Arial" w:cs="Arial"/>
          <w:sz w:val="22"/>
          <w:szCs w:val="22"/>
        </w:rPr>
        <w:t>he EIR 2000 proved to be inefficient and incapable of supporting the effective resolution of cross-border cases over the years.</w:t>
      </w:r>
    </w:p>
    <w:p w14:paraId="44BE871B" w14:textId="77777777" w:rsidR="001E5F8A" w:rsidRPr="00FC5C87" w:rsidRDefault="001E5F8A" w:rsidP="001E5F8A">
      <w:pPr>
        <w:ind w:left="426"/>
        <w:jc w:val="both"/>
        <w:rPr>
          <w:rFonts w:ascii="Arial" w:hAnsi="Arial" w:cs="Arial"/>
          <w:sz w:val="22"/>
          <w:szCs w:val="22"/>
        </w:rPr>
      </w:pPr>
    </w:p>
    <w:p w14:paraId="618BFEEC" w14:textId="05F15655" w:rsidR="00967219" w:rsidRPr="00FC5C87" w:rsidRDefault="006D217A" w:rsidP="003C4BCB">
      <w:pPr>
        <w:pStyle w:val="ListParagraph"/>
        <w:numPr>
          <w:ilvl w:val="0"/>
          <w:numId w:val="4"/>
        </w:numPr>
        <w:ind w:left="426"/>
        <w:jc w:val="both"/>
        <w:rPr>
          <w:rFonts w:ascii="Arial" w:hAnsi="Arial" w:cs="Arial"/>
          <w:sz w:val="22"/>
          <w:szCs w:val="22"/>
        </w:rPr>
      </w:pPr>
      <w:r w:rsidRPr="00FC5C87">
        <w:rPr>
          <w:rFonts w:ascii="Arial" w:hAnsi="Arial" w:cs="Arial"/>
          <w:sz w:val="22"/>
          <w:szCs w:val="22"/>
        </w:rPr>
        <w:t>T</w:t>
      </w:r>
      <w:r w:rsidR="00D21F62" w:rsidRPr="00FC5C87">
        <w:rPr>
          <w:rFonts w:ascii="Arial" w:hAnsi="Arial" w:cs="Arial"/>
          <w:sz w:val="22"/>
          <w:szCs w:val="22"/>
        </w:rPr>
        <w:t>rue.</w:t>
      </w:r>
      <w:r w:rsidRPr="00FC5C87">
        <w:rPr>
          <w:rFonts w:ascii="Arial" w:hAnsi="Arial" w:cs="Arial"/>
          <w:sz w:val="22"/>
          <w:szCs w:val="22"/>
        </w:rPr>
        <w:t xml:space="preserve"> </w:t>
      </w:r>
      <w:r w:rsidR="00D21F62" w:rsidRPr="00FC5C87">
        <w:rPr>
          <w:rFonts w:ascii="Arial" w:hAnsi="Arial" w:cs="Arial"/>
          <w:sz w:val="22"/>
          <w:szCs w:val="22"/>
        </w:rPr>
        <w:t>A</w:t>
      </w:r>
      <w:r w:rsidRPr="00FC5C87">
        <w:rPr>
          <w:rFonts w:ascii="Arial" w:hAnsi="Arial" w:cs="Arial"/>
          <w:sz w:val="22"/>
          <w:szCs w:val="22"/>
        </w:rPr>
        <w:t xml:space="preserve">s a result, the EIR 2000 lacked the support of major stakeholders such as insolvency practitioners, businesses and public authorities who considered the instrument </w:t>
      </w:r>
      <w:r w:rsidR="00D21F62" w:rsidRPr="00FC5C87">
        <w:rPr>
          <w:rFonts w:ascii="Arial" w:hAnsi="Arial" w:cs="Arial"/>
          <w:sz w:val="22"/>
          <w:szCs w:val="22"/>
        </w:rPr>
        <w:t xml:space="preserve">fruitless. </w:t>
      </w:r>
    </w:p>
    <w:p w14:paraId="06CA44C7" w14:textId="77777777" w:rsidR="001E5F8A" w:rsidRPr="00FC5C87" w:rsidRDefault="001E5F8A" w:rsidP="001E5F8A">
      <w:pPr>
        <w:ind w:left="426"/>
        <w:jc w:val="both"/>
        <w:rPr>
          <w:rFonts w:ascii="Arial" w:hAnsi="Arial" w:cs="Arial"/>
          <w:sz w:val="22"/>
          <w:szCs w:val="22"/>
        </w:rPr>
      </w:pPr>
    </w:p>
    <w:p w14:paraId="71036239" w14:textId="0DC43221" w:rsidR="00967219" w:rsidRPr="00FC5C87" w:rsidRDefault="00D21F62" w:rsidP="003C4BCB">
      <w:pPr>
        <w:pStyle w:val="ListParagraph"/>
        <w:numPr>
          <w:ilvl w:val="0"/>
          <w:numId w:val="4"/>
        </w:numPr>
        <w:ind w:left="426"/>
        <w:jc w:val="both"/>
        <w:rPr>
          <w:rFonts w:ascii="Arial" w:hAnsi="Arial" w:cs="Arial"/>
          <w:sz w:val="22"/>
          <w:szCs w:val="22"/>
          <w:highlight w:val="yellow"/>
        </w:rPr>
      </w:pPr>
      <w:r w:rsidRPr="00FC5C87">
        <w:rPr>
          <w:rFonts w:ascii="Arial" w:hAnsi="Arial" w:cs="Arial"/>
          <w:sz w:val="22"/>
          <w:szCs w:val="22"/>
          <w:highlight w:val="yellow"/>
        </w:rPr>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FC5C87" w:rsidRDefault="001E5F8A" w:rsidP="001E5F8A">
      <w:pPr>
        <w:ind w:left="426"/>
        <w:jc w:val="both"/>
        <w:rPr>
          <w:rFonts w:ascii="Arial" w:hAnsi="Arial" w:cs="Arial"/>
          <w:sz w:val="22"/>
          <w:szCs w:val="22"/>
        </w:rPr>
      </w:pPr>
    </w:p>
    <w:p w14:paraId="48861323" w14:textId="356140D4" w:rsidR="00874240" w:rsidRPr="00FC5C87" w:rsidRDefault="00D21F62" w:rsidP="003C4BCB">
      <w:pPr>
        <w:pStyle w:val="ListParagraph"/>
        <w:numPr>
          <w:ilvl w:val="0"/>
          <w:numId w:val="4"/>
        </w:numPr>
        <w:ind w:left="426"/>
        <w:jc w:val="both"/>
        <w:rPr>
          <w:rFonts w:ascii="Arial" w:hAnsi="Arial" w:cs="Arial"/>
          <w:sz w:val="22"/>
          <w:szCs w:val="22"/>
        </w:rPr>
      </w:pPr>
      <w:r w:rsidRPr="00FC5C87">
        <w:rPr>
          <w:rFonts w:ascii="Arial" w:hAnsi="Arial" w:cs="Arial"/>
          <w:sz w:val="22"/>
          <w:szCs w:val="22"/>
        </w:rPr>
        <w:t>False. The EIR 2000 was considered a complete success to support cross-border insolvency cases and</w:t>
      </w:r>
      <w:r w:rsidR="00366415" w:rsidRPr="00FC5C87">
        <w:rPr>
          <w:rFonts w:ascii="Arial" w:hAnsi="Arial" w:cs="Arial"/>
          <w:sz w:val="22"/>
          <w:szCs w:val="22"/>
        </w:rPr>
        <w:t>,</w:t>
      </w:r>
      <w:r w:rsidRPr="00FC5C87">
        <w:rPr>
          <w:rFonts w:ascii="Arial" w:hAnsi="Arial" w:cs="Arial"/>
          <w:sz w:val="22"/>
          <w:szCs w:val="22"/>
        </w:rPr>
        <w:t xml:space="preserve"> as a result, the wording of the EIR Recast mirrored its 2000 predecessor.</w:t>
      </w:r>
    </w:p>
    <w:p w14:paraId="5BB40FCC" w14:textId="77777777" w:rsidR="00874240" w:rsidRPr="00FC5C87" w:rsidRDefault="00874240" w:rsidP="002A37BB">
      <w:pPr>
        <w:autoSpaceDE w:val="0"/>
        <w:autoSpaceDN w:val="0"/>
        <w:adjustRightInd w:val="0"/>
        <w:jc w:val="both"/>
        <w:rPr>
          <w:rFonts w:ascii="Arial" w:hAnsi="Arial" w:cs="Arial"/>
          <w:sz w:val="22"/>
          <w:szCs w:val="22"/>
        </w:rPr>
      </w:pPr>
    </w:p>
    <w:p w14:paraId="5099C7EB" w14:textId="0F9C2BD5" w:rsidR="00E9597C" w:rsidRPr="00FC5C87" w:rsidRDefault="00E9597C" w:rsidP="002A37BB">
      <w:pPr>
        <w:jc w:val="both"/>
        <w:rPr>
          <w:rFonts w:ascii="Arial" w:hAnsi="Arial" w:cs="Arial"/>
          <w:sz w:val="22"/>
          <w:szCs w:val="22"/>
        </w:rPr>
      </w:pPr>
      <w:r w:rsidRPr="00FC5C87">
        <w:rPr>
          <w:rFonts w:ascii="Arial" w:hAnsi="Arial" w:cs="Arial"/>
          <w:b/>
          <w:bCs/>
          <w:sz w:val="22"/>
          <w:szCs w:val="22"/>
        </w:rPr>
        <w:t>Question 1.4</w:t>
      </w:r>
      <w:r w:rsidRPr="00FC5C87">
        <w:rPr>
          <w:rFonts w:ascii="Arial" w:hAnsi="Arial" w:cs="Arial"/>
          <w:sz w:val="22"/>
          <w:szCs w:val="22"/>
        </w:rPr>
        <w:t xml:space="preserve"> </w:t>
      </w:r>
    </w:p>
    <w:p w14:paraId="67CD7462" w14:textId="15BD34D3" w:rsidR="00E9597C" w:rsidRPr="00FC5C87" w:rsidRDefault="00E9597C" w:rsidP="002A37BB">
      <w:pPr>
        <w:jc w:val="both"/>
        <w:rPr>
          <w:rFonts w:ascii="Arial" w:hAnsi="Arial" w:cs="Arial"/>
          <w:sz w:val="22"/>
          <w:szCs w:val="22"/>
        </w:rPr>
      </w:pPr>
    </w:p>
    <w:p w14:paraId="16D1EF54" w14:textId="3AFC3D42" w:rsidR="00874240" w:rsidRPr="00FC5C87" w:rsidRDefault="00874240" w:rsidP="00874240">
      <w:pPr>
        <w:autoSpaceDE w:val="0"/>
        <w:autoSpaceDN w:val="0"/>
        <w:adjustRightInd w:val="0"/>
        <w:jc w:val="both"/>
        <w:rPr>
          <w:rFonts w:ascii="Arial" w:hAnsi="Arial" w:cs="Arial"/>
          <w:sz w:val="22"/>
          <w:szCs w:val="22"/>
        </w:rPr>
      </w:pPr>
      <w:r w:rsidRPr="00FC5C87">
        <w:rPr>
          <w:rFonts w:ascii="Arial" w:hAnsi="Arial" w:cs="Arial"/>
          <w:sz w:val="22"/>
          <w:szCs w:val="22"/>
        </w:rPr>
        <w:t>Why can i</w:t>
      </w:r>
      <w:r w:rsidR="00971896" w:rsidRPr="00FC5C87">
        <w:rPr>
          <w:rFonts w:ascii="Arial" w:hAnsi="Arial" w:cs="Arial"/>
          <w:sz w:val="22"/>
          <w:szCs w:val="22"/>
        </w:rPr>
        <w:t xml:space="preserve">t be said that the EIR Recast did not overhaul the </w:t>
      </w:r>
      <w:r w:rsidR="00971896" w:rsidRPr="00FC5C87">
        <w:rPr>
          <w:rFonts w:ascii="Arial" w:hAnsi="Arial" w:cs="Arial"/>
          <w:i/>
          <w:iCs/>
          <w:sz w:val="22"/>
          <w:szCs w:val="22"/>
        </w:rPr>
        <w:t>status quo</w:t>
      </w:r>
      <w:r w:rsidRPr="00FC5C87">
        <w:rPr>
          <w:rFonts w:ascii="Arial" w:hAnsi="Arial" w:cs="Arial"/>
          <w:sz w:val="22"/>
          <w:szCs w:val="22"/>
        </w:rPr>
        <w:t>?</w:t>
      </w:r>
    </w:p>
    <w:p w14:paraId="0ED72D54" w14:textId="77777777" w:rsidR="00874240" w:rsidRPr="00FC5C87" w:rsidRDefault="00874240" w:rsidP="00874240">
      <w:pPr>
        <w:autoSpaceDE w:val="0"/>
        <w:autoSpaceDN w:val="0"/>
        <w:adjustRightInd w:val="0"/>
        <w:jc w:val="both"/>
        <w:rPr>
          <w:rFonts w:ascii="Arial" w:hAnsi="Arial" w:cs="Arial"/>
          <w:sz w:val="22"/>
          <w:szCs w:val="22"/>
        </w:rPr>
      </w:pPr>
    </w:p>
    <w:p w14:paraId="6FF2B1C0" w14:textId="07102473" w:rsidR="00874240" w:rsidRPr="00FC5C87" w:rsidRDefault="00971896" w:rsidP="003C4BCB">
      <w:pPr>
        <w:pStyle w:val="ListParagraph"/>
        <w:numPr>
          <w:ilvl w:val="0"/>
          <w:numId w:val="5"/>
        </w:numPr>
        <w:ind w:left="426"/>
        <w:jc w:val="both"/>
        <w:rPr>
          <w:rFonts w:ascii="Arial" w:hAnsi="Arial" w:cs="Arial"/>
          <w:sz w:val="22"/>
          <w:szCs w:val="22"/>
        </w:rPr>
      </w:pPr>
      <w:r w:rsidRPr="00FC5C87">
        <w:rPr>
          <w:rFonts w:ascii="Arial" w:hAnsi="Arial" w:cs="Arial"/>
          <w:iCs/>
          <w:sz w:val="22"/>
          <w:szCs w:val="22"/>
        </w:rPr>
        <w:t xml:space="preserve">The EIR Recast is a copy of the EIR 2000. Its structure and the wording of all articles are similar. </w:t>
      </w:r>
    </w:p>
    <w:p w14:paraId="767F3F04" w14:textId="77777777" w:rsidR="008E0EC8" w:rsidRPr="00FC5C87" w:rsidRDefault="008E0EC8" w:rsidP="008E0EC8">
      <w:pPr>
        <w:jc w:val="both"/>
        <w:rPr>
          <w:rFonts w:ascii="Arial" w:hAnsi="Arial" w:cs="Arial"/>
          <w:sz w:val="22"/>
          <w:szCs w:val="22"/>
        </w:rPr>
      </w:pPr>
    </w:p>
    <w:p w14:paraId="4C9A0278" w14:textId="56430648" w:rsidR="00874240" w:rsidRPr="00FC5C87" w:rsidRDefault="00971896" w:rsidP="003C4BCB">
      <w:pPr>
        <w:pStyle w:val="ListParagraph"/>
        <w:numPr>
          <w:ilvl w:val="0"/>
          <w:numId w:val="5"/>
        </w:numPr>
        <w:ind w:left="426"/>
        <w:jc w:val="both"/>
        <w:rPr>
          <w:rFonts w:ascii="Arial" w:hAnsi="Arial" w:cs="Arial"/>
          <w:sz w:val="22"/>
          <w:szCs w:val="22"/>
          <w:highlight w:val="yellow"/>
        </w:rPr>
      </w:pPr>
      <w:r w:rsidRPr="00FC5C87">
        <w:rPr>
          <w:rFonts w:ascii="Arial" w:hAnsi="Arial" w:cs="Arial"/>
          <w:sz w:val="22"/>
          <w:szCs w:val="22"/>
          <w:highlight w:val="yellow"/>
        </w:rPr>
        <w:t xml:space="preserve">Although the EIR Recast includes relevant and useful innovations, it has stuck with the framework of the </w:t>
      </w:r>
      <w:r w:rsidR="006F0106" w:rsidRPr="00FC5C87">
        <w:rPr>
          <w:rFonts w:ascii="Arial" w:hAnsi="Arial" w:cs="Arial"/>
          <w:sz w:val="22"/>
          <w:szCs w:val="22"/>
          <w:highlight w:val="yellow"/>
        </w:rPr>
        <w:t xml:space="preserve">EIR 2000 and mostly codified the jurisprudence of the CJEU. </w:t>
      </w:r>
    </w:p>
    <w:p w14:paraId="2A421E30" w14:textId="77777777" w:rsidR="008E0EC8" w:rsidRPr="00FC5C87" w:rsidRDefault="008E0EC8" w:rsidP="008E0EC8">
      <w:pPr>
        <w:jc w:val="both"/>
        <w:rPr>
          <w:rFonts w:ascii="Arial" w:hAnsi="Arial" w:cs="Arial"/>
          <w:sz w:val="22"/>
          <w:szCs w:val="22"/>
        </w:rPr>
      </w:pPr>
    </w:p>
    <w:p w14:paraId="4B5D88D7" w14:textId="6560C0CB" w:rsidR="00874240" w:rsidRPr="00FC5C87" w:rsidRDefault="00874240" w:rsidP="003C4BCB">
      <w:pPr>
        <w:pStyle w:val="ListParagraph"/>
        <w:numPr>
          <w:ilvl w:val="0"/>
          <w:numId w:val="5"/>
        </w:numPr>
        <w:ind w:left="426"/>
        <w:jc w:val="both"/>
        <w:rPr>
          <w:rFonts w:ascii="Arial" w:hAnsi="Arial" w:cs="Arial"/>
          <w:sz w:val="22"/>
          <w:szCs w:val="22"/>
        </w:rPr>
      </w:pPr>
      <w:r w:rsidRPr="00FC5C87">
        <w:rPr>
          <w:rFonts w:ascii="Arial" w:hAnsi="Arial" w:cs="Arial"/>
          <w:sz w:val="22"/>
          <w:szCs w:val="22"/>
        </w:rPr>
        <w:t xml:space="preserve">The EIR Recast </w:t>
      </w:r>
      <w:r w:rsidR="006F0106" w:rsidRPr="00FC5C87">
        <w:rPr>
          <w:rFonts w:ascii="Arial" w:hAnsi="Arial" w:cs="Arial"/>
          <w:sz w:val="22"/>
          <w:szCs w:val="22"/>
        </w:rPr>
        <w:t xml:space="preserve">has not added any new concept to the text of the EIR 2000. </w:t>
      </w:r>
    </w:p>
    <w:p w14:paraId="2888BD89" w14:textId="77777777" w:rsidR="008E0EC8" w:rsidRPr="00FC5C87" w:rsidRDefault="008E0EC8" w:rsidP="008E0EC8">
      <w:pPr>
        <w:jc w:val="both"/>
        <w:rPr>
          <w:rFonts w:ascii="Arial" w:hAnsi="Arial" w:cs="Arial"/>
          <w:sz w:val="22"/>
          <w:szCs w:val="22"/>
        </w:rPr>
      </w:pPr>
    </w:p>
    <w:p w14:paraId="5E577260" w14:textId="707A0BAE" w:rsidR="00874240" w:rsidRPr="00FC5C87" w:rsidRDefault="00874240" w:rsidP="003C4BCB">
      <w:pPr>
        <w:pStyle w:val="ListParagraph"/>
        <w:numPr>
          <w:ilvl w:val="0"/>
          <w:numId w:val="5"/>
        </w:numPr>
        <w:ind w:left="426"/>
        <w:jc w:val="both"/>
        <w:rPr>
          <w:rFonts w:ascii="Arial" w:hAnsi="Arial" w:cs="Arial"/>
          <w:sz w:val="22"/>
          <w:szCs w:val="22"/>
        </w:rPr>
      </w:pPr>
      <w:r w:rsidRPr="00FC5C87">
        <w:rPr>
          <w:rFonts w:ascii="Arial" w:hAnsi="Arial" w:cs="Arial"/>
          <w:sz w:val="22"/>
          <w:szCs w:val="22"/>
        </w:rPr>
        <w:t xml:space="preserve">It is incorrect to say that the EIR Recast </w:t>
      </w:r>
      <w:r w:rsidR="006F0106" w:rsidRPr="00FC5C87">
        <w:rPr>
          <w:rFonts w:ascii="Arial" w:hAnsi="Arial" w:cs="Arial"/>
          <w:sz w:val="22"/>
          <w:szCs w:val="22"/>
        </w:rPr>
        <w:t xml:space="preserve">has not overhauled the </w:t>
      </w:r>
      <w:r w:rsidR="006F0106" w:rsidRPr="00FC5C87">
        <w:rPr>
          <w:rFonts w:ascii="Arial" w:hAnsi="Arial" w:cs="Arial"/>
          <w:i/>
          <w:iCs/>
          <w:sz w:val="22"/>
          <w:szCs w:val="22"/>
        </w:rPr>
        <w:t>status quo</w:t>
      </w:r>
      <w:r w:rsidR="006F0106" w:rsidRPr="00FC5C87">
        <w:rPr>
          <w:rFonts w:ascii="Arial" w:hAnsi="Arial" w:cs="Arial"/>
          <w:sz w:val="22"/>
          <w:szCs w:val="22"/>
        </w:rPr>
        <w:t xml:space="preserve"> at all. On the contrary, the EIR Recast has departed from the text of its predecessor and is a completely new instrument which has rejected all existing concepts and rules. </w:t>
      </w:r>
    </w:p>
    <w:p w14:paraId="16A052E7" w14:textId="1F993000" w:rsidR="00874240" w:rsidRPr="00FC5C87" w:rsidRDefault="00874240" w:rsidP="002A37BB">
      <w:pPr>
        <w:jc w:val="both"/>
        <w:rPr>
          <w:rFonts w:ascii="Arial" w:hAnsi="Arial" w:cs="Arial"/>
          <w:sz w:val="22"/>
          <w:szCs w:val="22"/>
        </w:rPr>
      </w:pPr>
    </w:p>
    <w:p w14:paraId="7826345D" w14:textId="77777777" w:rsidR="00E9597C" w:rsidRPr="00FC5C87" w:rsidRDefault="00E9597C" w:rsidP="002A37BB">
      <w:pPr>
        <w:jc w:val="both"/>
        <w:rPr>
          <w:rFonts w:ascii="Arial" w:hAnsi="Arial" w:cs="Arial"/>
          <w:b/>
          <w:bCs/>
          <w:sz w:val="22"/>
          <w:szCs w:val="22"/>
        </w:rPr>
      </w:pPr>
      <w:r w:rsidRPr="00FC5C87">
        <w:rPr>
          <w:rFonts w:ascii="Arial" w:hAnsi="Arial" w:cs="Arial"/>
          <w:b/>
          <w:bCs/>
          <w:sz w:val="22"/>
          <w:szCs w:val="22"/>
        </w:rPr>
        <w:t xml:space="preserve">Question 1.5 </w:t>
      </w:r>
    </w:p>
    <w:p w14:paraId="49262AAD" w14:textId="77777777" w:rsidR="00E9597C" w:rsidRPr="00FC5C87" w:rsidRDefault="00E9597C" w:rsidP="002A37BB">
      <w:pPr>
        <w:jc w:val="both"/>
        <w:rPr>
          <w:rFonts w:ascii="Arial" w:hAnsi="Arial" w:cs="Arial"/>
          <w:b/>
          <w:bCs/>
          <w:sz w:val="22"/>
          <w:szCs w:val="22"/>
        </w:rPr>
      </w:pPr>
    </w:p>
    <w:p w14:paraId="29BAD35E" w14:textId="614C03E1" w:rsidR="00874240" w:rsidRPr="00FC5C87" w:rsidRDefault="00935A21" w:rsidP="00874240">
      <w:pPr>
        <w:jc w:val="both"/>
        <w:rPr>
          <w:rFonts w:ascii="Arial" w:hAnsi="Arial" w:cs="Arial"/>
          <w:sz w:val="22"/>
          <w:szCs w:val="22"/>
        </w:rPr>
      </w:pPr>
      <w:r w:rsidRPr="00FC5C87">
        <w:rPr>
          <w:rFonts w:ascii="Arial" w:hAnsi="Arial" w:cs="Arial"/>
          <w:sz w:val="22"/>
          <w:szCs w:val="22"/>
        </w:rPr>
        <w:t>Why can it be said that the EIR Recast is more rescue-oriented than the EIR 2000?</w:t>
      </w:r>
    </w:p>
    <w:p w14:paraId="7F4B8227" w14:textId="77777777" w:rsidR="00874240" w:rsidRPr="00FC5C87" w:rsidRDefault="00874240" w:rsidP="00874240">
      <w:pPr>
        <w:jc w:val="both"/>
        <w:rPr>
          <w:rFonts w:ascii="Arial" w:hAnsi="Arial" w:cs="Arial"/>
          <w:sz w:val="22"/>
          <w:szCs w:val="22"/>
        </w:rPr>
      </w:pPr>
    </w:p>
    <w:p w14:paraId="0ECD1D8A" w14:textId="5E205244" w:rsidR="00874240" w:rsidRPr="00FC5C87" w:rsidRDefault="00935A21" w:rsidP="003C4BCB">
      <w:pPr>
        <w:pStyle w:val="ListParagraph"/>
        <w:numPr>
          <w:ilvl w:val="0"/>
          <w:numId w:val="6"/>
        </w:numPr>
        <w:ind w:left="426"/>
        <w:jc w:val="both"/>
        <w:rPr>
          <w:rFonts w:ascii="Arial" w:hAnsi="Arial" w:cs="Arial"/>
          <w:sz w:val="22"/>
          <w:szCs w:val="22"/>
        </w:rPr>
      </w:pPr>
      <w:r w:rsidRPr="00FC5C87">
        <w:rPr>
          <w:rFonts w:ascii="Arial" w:hAnsi="Arial" w:cs="Arial"/>
          <w:sz w:val="22"/>
          <w:szCs w:val="22"/>
        </w:rPr>
        <w:t>The EIR Recast is more rescue-oriented because all domestic rescue procedures fall within its scope.</w:t>
      </w:r>
    </w:p>
    <w:p w14:paraId="0C21CB1A" w14:textId="77777777" w:rsidR="00D56B4E" w:rsidRPr="00FC5C87" w:rsidRDefault="00D56B4E" w:rsidP="00D56B4E">
      <w:pPr>
        <w:jc w:val="both"/>
        <w:rPr>
          <w:rFonts w:ascii="Arial" w:hAnsi="Arial" w:cs="Arial"/>
          <w:sz w:val="22"/>
          <w:szCs w:val="22"/>
        </w:rPr>
      </w:pPr>
    </w:p>
    <w:p w14:paraId="6DF2E4E9" w14:textId="2686CC38" w:rsidR="00874240" w:rsidRPr="00FC5C87" w:rsidRDefault="00935A21" w:rsidP="003C4BCB">
      <w:pPr>
        <w:pStyle w:val="ListParagraph"/>
        <w:numPr>
          <w:ilvl w:val="0"/>
          <w:numId w:val="6"/>
        </w:numPr>
        <w:ind w:left="426"/>
        <w:jc w:val="both"/>
        <w:rPr>
          <w:rFonts w:ascii="Arial" w:hAnsi="Arial" w:cs="Arial"/>
          <w:sz w:val="22"/>
          <w:szCs w:val="22"/>
        </w:rPr>
      </w:pPr>
      <w:r w:rsidRPr="00FC5C87">
        <w:rPr>
          <w:rFonts w:ascii="Arial" w:hAnsi="Arial" w:cs="Arial"/>
          <w:sz w:val="22"/>
          <w:szCs w:val="22"/>
        </w:rPr>
        <w:t xml:space="preserve">The EIR Recast is more rescue-oriented because it </w:t>
      </w:r>
      <w:proofErr w:type="spellStart"/>
      <w:r w:rsidRPr="00FC5C87">
        <w:rPr>
          <w:rFonts w:ascii="Arial" w:hAnsi="Arial" w:cs="Arial"/>
          <w:sz w:val="22"/>
          <w:szCs w:val="22"/>
        </w:rPr>
        <w:t>harmonises</w:t>
      </w:r>
      <w:proofErr w:type="spellEnd"/>
      <w:r w:rsidRPr="00FC5C87">
        <w:rPr>
          <w:rFonts w:ascii="Arial" w:hAnsi="Arial" w:cs="Arial"/>
          <w:sz w:val="22"/>
          <w:szCs w:val="22"/>
        </w:rPr>
        <w:t xml:space="preserve"> all substantive aspects of national insolvency laws. </w:t>
      </w:r>
    </w:p>
    <w:p w14:paraId="68A2B512" w14:textId="77777777" w:rsidR="00D56B4E" w:rsidRPr="00FC5C87" w:rsidRDefault="00D56B4E" w:rsidP="00D56B4E">
      <w:pPr>
        <w:jc w:val="both"/>
        <w:rPr>
          <w:rFonts w:ascii="Arial" w:hAnsi="Arial" w:cs="Arial"/>
          <w:sz w:val="22"/>
          <w:szCs w:val="22"/>
        </w:rPr>
      </w:pPr>
    </w:p>
    <w:p w14:paraId="1A44BE2D" w14:textId="358AD993" w:rsidR="00874240" w:rsidRPr="00FC5C87" w:rsidRDefault="00935A21" w:rsidP="003C4BCB">
      <w:pPr>
        <w:pStyle w:val="ListParagraph"/>
        <w:numPr>
          <w:ilvl w:val="0"/>
          <w:numId w:val="6"/>
        </w:numPr>
        <w:ind w:left="426"/>
        <w:jc w:val="both"/>
        <w:rPr>
          <w:rFonts w:ascii="Arial" w:hAnsi="Arial" w:cs="Arial"/>
          <w:sz w:val="22"/>
          <w:szCs w:val="22"/>
        </w:rPr>
      </w:pPr>
      <w:r w:rsidRPr="00FC5C87">
        <w:rPr>
          <w:rFonts w:ascii="Arial" w:hAnsi="Arial" w:cs="Arial"/>
          <w:sz w:val="22"/>
          <w:szCs w:val="22"/>
        </w:rPr>
        <w:t>It is incorrect to say that the EIR Recast is more rescue-</w:t>
      </w:r>
      <w:r w:rsidR="008E7371" w:rsidRPr="00FC5C87">
        <w:rPr>
          <w:rFonts w:ascii="Arial" w:hAnsi="Arial" w:cs="Arial"/>
          <w:sz w:val="22"/>
          <w:szCs w:val="22"/>
        </w:rPr>
        <w:t xml:space="preserve">oriented than the EIR 2000, as the latter was already heavily rescue-focused. </w:t>
      </w:r>
    </w:p>
    <w:p w14:paraId="56BF53F9" w14:textId="77777777" w:rsidR="00D56B4E" w:rsidRPr="00FC5C87" w:rsidRDefault="00D56B4E" w:rsidP="00D56B4E">
      <w:pPr>
        <w:jc w:val="both"/>
        <w:rPr>
          <w:rFonts w:ascii="Arial" w:hAnsi="Arial" w:cs="Arial"/>
          <w:sz w:val="22"/>
          <w:szCs w:val="22"/>
        </w:rPr>
      </w:pPr>
    </w:p>
    <w:p w14:paraId="5A407DD1" w14:textId="772730D7" w:rsidR="00874240" w:rsidRPr="00FC5C87" w:rsidRDefault="008E7371" w:rsidP="003C4BCB">
      <w:pPr>
        <w:pStyle w:val="ListParagraph"/>
        <w:numPr>
          <w:ilvl w:val="0"/>
          <w:numId w:val="6"/>
        </w:numPr>
        <w:ind w:left="426"/>
        <w:jc w:val="both"/>
        <w:rPr>
          <w:rFonts w:ascii="Arial" w:hAnsi="Arial" w:cs="Arial"/>
          <w:sz w:val="22"/>
          <w:szCs w:val="22"/>
        </w:rPr>
      </w:pPr>
      <w:r w:rsidRPr="00FC5C87">
        <w:rPr>
          <w:rFonts w:ascii="Arial" w:hAnsi="Arial" w:cs="Arial"/>
          <w:sz w:val="22"/>
          <w:szCs w:val="22"/>
          <w:highlight w:val="yellow"/>
        </w:rPr>
        <w:t>The EIR Recast is more rescue-oriented because its scope was extended to cover pre-insolvency proceedings and secondary proceedings can now also be rescue proceedings.</w:t>
      </w:r>
    </w:p>
    <w:p w14:paraId="286DFC0A" w14:textId="77777777" w:rsidR="00874240" w:rsidRPr="00FC5C87" w:rsidRDefault="00874240" w:rsidP="002A37BB">
      <w:pPr>
        <w:autoSpaceDE w:val="0"/>
        <w:autoSpaceDN w:val="0"/>
        <w:adjustRightInd w:val="0"/>
        <w:jc w:val="both"/>
        <w:rPr>
          <w:rFonts w:ascii="Arial" w:hAnsi="Arial" w:cs="Arial"/>
          <w:sz w:val="22"/>
          <w:szCs w:val="22"/>
        </w:rPr>
      </w:pPr>
    </w:p>
    <w:p w14:paraId="462DBC77" w14:textId="41C248FC" w:rsidR="00E9597C" w:rsidRPr="00FC5C87" w:rsidRDefault="00E9597C" w:rsidP="002A37BB">
      <w:pPr>
        <w:autoSpaceDE w:val="0"/>
        <w:autoSpaceDN w:val="0"/>
        <w:adjustRightInd w:val="0"/>
        <w:jc w:val="both"/>
        <w:rPr>
          <w:rFonts w:ascii="Arial" w:hAnsi="Arial" w:cs="Arial"/>
          <w:sz w:val="22"/>
          <w:szCs w:val="22"/>
        </w:rPr>
      </w:pPr>
      <w:r w:rsidRPr="00FC5C87">
        <w:rPr>
          <w:rFonts w:ascii="Arial" w:hAnsi="Arial" w:cs="Arial"/>
          <w:b/>
          <w:bCs/>
          <w:sz w:val="22"/>
          <w:szCs w:val="22"/>
        </w:rPr>
        <w:t>Question 1.6</w:t>
      </w:r>
      <w:r w:rsidRPr="00FC5C87">
        <w:rPr>
          <w:rFonts w:ascii="Arial" w:hAnsi="Arial" w:cs="Arial"/>
          <w:sz w:val="22"/>
          <w:szCs w:val="22"/>
        </w:rPr>
        <w:t xml:space="preserve"> </w:t>
      </w:r>
    </w:p>
    <w:p w14:paraId="2411DCA7" w14:textId="77777777" w:rsidR="00E9597C" w:rsidRPr="00FC5C87" w:rsidRDefault="00E9597C" w:rsidP="002A37BB">
      <w:pPr>
        <w:autoSpaceDE w:val="0"/>
        <w:autoSpaceDN w:val="0"/>
        <w:adjustRightInd w:val="0"/>
        <w:jc w:val="both"/>
        <w:rPr>
          <w:rFonts w:ascii="Arial" w:hAnsi="Arial" w:cs="Arial"/>
          <w:sz w:val="22"/>
          <w:szCs w:val="22"/>
        </w:rPr>
      </w:pPr>
    </w:p>
    <w:p w14:paraId="4E858B75" w14:textId="32D6EF21" w:rsidR="00874240" w:rsidRPr="00FC5C87" w:rsidRDefault="008E7371" w:rsidP="002A37BB">
      <w:pPr>
        <w:jc w:val="both"/>
        <w:rPr>
          <w:rFonts w:ascii="Arial" w:hAnsi="Arial" w:cs="Arial"/>
          <w:sz w:val="22"/>
          <w:szCs w:val="22"/>
        </w:rPr>
      </w:pPr>
      <w:r w:rsidRPr="00FC5C87">
        <w:rPr>
          <w:rFonts w:ascii="Arial" w:hAnsi="Arial" w:cs="Arial"/>
          <w:sz w:val="22"/>
          <w:szCs w:val="22"/>
        </w:rPr>
        <w:t>During the reform process of the EIR 2000, what main elements were identified as needing to be revised within the framework of the Regulation (whether adopted or not)</w:t>
      </w:r>
      <w:r w:rsidR="00874240" w:rsidRPr="00FC5C87">
        <w:rPr>
          <w:rFonts w:ascii="Arial" w:hAnsi="Arial" w:cs="Arial"/>
          <w:sz w:val="22"/>
          <w:szCs w:val="22"/>
        </w:rPr>
        <w:t xml:space="preserve">? </w:t>
      </w:r>
    </w:p>
    <w:p w14:paraId="3C561DC2" w14:textId="77777777" w:rsidR="00874240" w:rsidRPr="00FC5C87" w:rsidRDefault="00874240" w:rsidP="002A37BB">
      <w:pPr>
        <w:jc w:val="both"/>
        <w:rPr>
          <w:rFonts w:ascii="Arial" w:hAnsi="Arial" w:cs="Arial"/>
          <w:sz w:val="22"/>
          <w:szCs w:val="22"/>
        </w:rPr>
      </w:pPr>
    </w:p>
    <w:p w14:paraId="44704CAA" w14:textId="22FAD23B" w:rsidR="008E7371" w:rsidRPr="00FC5C87" w:rsidRDefault="00113E29" w:rsidP="00D509A5">
      <w:pPr>
        <w:pStyle w:val="ListParagraph"/>
        <w:numPr>
          <w:ilvl w:val="0"/>
          <w:numId w:val="7"/>
        </w:numPr>
        <w:ind w:left="426"/>
        <w:jc w:val="both"/>
        <w:rPr>
          <w:rFonts w:ascii="Arial" w:hAnsi="Arial" w:cs="Arial"/>
          <w:sz w:val="22"/>
          <w:szCs w:val="22"/>
          <w:highlight w:val="yellow"/>
        </w:rPr>
      </w:pPr>
      <w:r w:rsidRPr="00FC5C87">
        <w:rPr>
          <w:rFonts w:ascii="Arial" w:hAnsi="Arial" w:cs="Arial"/>
          <w:sz w:val="22"/>
          <w:szCs w:val="22"/>
          <w:highlight w:val="yellow"/>
        </w:rPr>
        <w:t xml:space="preserve">The </w:t>
      </w:r>
      <w:r w:rsidR="008E7371" w:rsidRPr="00FC5C87">
        <w:rPr>
          <w:rFonts w:ascii="Arial" w:hAnsi="Arial" w:cs="Arial"/>
          <w:sz w:val="22"/>
          <w:szCs w:val="22"/>
          <w:highlight w:val="yellow"/>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FC5C87" w:rsidRDefault="008E7371" w:rsidP="008E7371">
      <w:pPr>
        <w:pStyle w:val="ListParagraph"/>
        <w:ind w:left="426"/>
        <w:jc w:val="both"/>
        <w:rPr>
          <w:rFonts w:ascii="Arial" w:hAnsi="Arial" w:cs="Arial"/>
          <w:sz w:val="22"/>
          <w:szCs w:val="22"/>
        </w:rPr>
      </w:pPr>
      <w:r w:rsidRPr="00FC5C87">
        <w:rPr>
          <w:rFonts w:ascii="Arial" w:hAnsi="Arial" w:cs="Arial"/>
          <w:sz w:val="22"/>
          <w:szCs w:val="22"/>
        </w:rPr>
        <w:t xml:space="preserve"> </w:t>
      </w:r>
    </w:p>
    <w:p w14:paraId="59E5541F" w14:textId="29BB29CF" w:rsidR="00113E29" w:rsidRPr="00FC5C87" w:rsidRDefault="008E7371" w:rsidP="003C4BCB">
      <w:pPr>
        <w:pStyle w:val="ListParagraph"/>
        <w:numPr>
          <w:ilvl w:val="0"/>
          <w:numId w:val="7"/>
        </w:numPr>
        <w:ind w:left="426"/>
        <w:jc w:val="both"/>
        <w:rPr>
          <w:rFonts w:ascii="Arial" w:hAnsi="Arial" w:cs="Arial"/>
          <w:sz w:val="22"/>
          <w:szCs w:val="22"/>
        </w:rPr>
      </w:pPr>
      <w:r w:rsidRPr="00FC5C87">
        <w:rPr>
          <w:rFonts w:ascii="Arial" w:hAnsi="Arial" w:cs="Arial"/>
          <w:sz w:val="22"/>
          <w:szCs w:val="22"/>
        </w:rPr>
        <w:t>Rules on co</w:t>
      </w:r>
      <w:r w:rsidR="00366415" w:rsidRPr="00FC5C87">
        <w:rPr>
          <w:rFonts w:ascii="Arial" w:hAnsi="Arial" w:cs="Arial"/>
          <w:sz w:val="22"/>
          <w:szCs w:val="22"/>
        </w:rPr>
        <w:t>-</w:t>
      </w:r>
      <w:r w:rsidRPr="00FC5C87">
        <w:rPr>
          <w:rFonts w:ascii="Arial" w:hAnsi="Arial" w:cs="Arial"/>
          <w:sz w:val="22"/>
          <w:szCs w:val="22"/>
        </w:rPr>
        <w:t xml:space="preserve">operation and communication between courts were to be refined; the concept of COMI was to be abandoned and a new jurisdictional concept was to be found; the Recast </w:t>
      </w:r>
      <w:r w:rsidR="0034705B" w:rsidRPr="00FC5C87">
        <w:rPr>
          <w:rFonts w:ascii="Arial" w:hAnsi="Arial" w:cs="Arial"/>
          <w:sz w:val="22"/>
          <w:szCs w:val="22"/>
        </w:rPr>
        <w:t xml:space="preserve">Regulation </w:t>
      </w:r>
      <w:r w:rsidRPr="00FC5C87">
        <w:rPr>
          <w:rFonts w:ascii="Arial" w:hAnsi="Arial" w:cs="Arial"/>
          <w:sz w:val="22"/>
          <w:szCs w:val="22"/>
        </w:rPr>
        <w:t>was to apply to Denmark.</w:t>
      </w:r>
    </w:p>
    <w:p w14:paraId="547C82EC" w14:textId="77777777" w:rsidR="00860723" w:rsidRPr="00FC5C87" w:rsidRDefault="00860723" w:rsidP="00860723">
      <w:pPr>
        <w:jc w:val="both"/>
        <w:rPr>
          <w:rFonts w:ascii="Arial" w:hAnsi="Arial" w:cs="Arial"/>
          <w:sz w:val="22"/>
          <w:szCs w:val="22"/>
        </w:rPr>
      </w:pPr>
    </w:p>
    <w:p w14:paraId="43FB046F" w14:textId="5D1DD9D4" w:rsidR="00113E29" w:rsidRPr="00FC5C87" w:rsidRDefault="008E7371" w:rsidP="003C4BCB">
      <w:pPr>
        <w:pStyle w:val="ListParagraph"/>
        <w:numPr>
          <w:ilvl w:val="0"/>
          <w:numId w:val="7"/>
        </w:numPr>
        <w:ind w:left="426"/>
        <w:jc w:val="both"/>
        <w:rPr>
          <w:rFonts w:ascii="Arial" w:hAnsi="Arial" w:cs="Arial"/>
          <w:sz w:val="22"/>
          <w:szCs w:val="22"/>
        </w:rPr>
      </w:pPr>
      <w:r w:rsidRPr="00FC5C87">
        <w:rPr>
          <w:rFonts w:ascii="Arial" w:hAnsi="Arial" w:cs="Arial"/>
          <w:sz w:val="22"/>
          <w:szCs w:val="22"/>
        </w:rPr>
        <w:t xml:space="preserve">The Recast </w:t>
      </w:r>
      <w:r w:rsidR="0034705B" w:rsidRPr="00FC5C87">
        <w:rPr>
          <w:rFonts w:ascii="Arial" w:hAnsi="Arial" w:cs="Arial"/>
          <w:sz w:val="22"/>
          <w:szCs w:val="22"/>
        </w:rPr>
        <w:t xml:space="preserve">Regulation </w:t>
      </w:r>
      <w:r w:rsidRPr="00FC5C87">
        <w:rPr>
          <w:rFonts w:ascii="Arial" w:hAnsi="Arial" w:cs="Arial"/>
          <w:sz w:val="22"/>
          <w:szCs w:val="22"/>
        </w:rPr>
        <w:t xml:space="preserve">was to apply to private individuals and self-employed; a common European-wide insolvency proceeding was to be added to the Regulation. </w:t>
      </w:r>
    </w:p>
    <w:p w14:paraId="63BCDF82" w14:textId="77777777" w:rsidR="00860723" w:rsidRPr="00FC5C87" w:rsidRDefault="00860723" w:rsidP="00860723">
      <w:pPr>
        <w:jc w:val="both"/>
        <w:rPr>
          <w:rFonts w:ascii="Arial" w:hAnsi="Arial" w:cs="Arial"/>
          <w:sz w:val="22"/>
          <w:szCs w:val="22"/>
        </w:rPr>
      </w:pPr>
    </w:p>
    <w:p w14:paraId="1DDE11C8" w14:textId="77E6B8A9" w:rsidR="00113E29" w:rsidRPr="00FC5C87" w:rsidRDefault="008E7371" w:rsidP="003C4BCB">
      <w:pPr>
        <w:pStyle w:val="ListParagraph"/>
        <w:numPr>
          <w:ilvl w:val="0"/>
          <w:numId w:val="7"/>
        </w:numPr>
        <w:ind w:left="426"/>
        <w:jc w:val="both"/>
        <w:rPr>
          <w:rFonts w:ascii="Arial" w:hAnsi="Arial" w:cs="Arial"/>
          <w:sz w:val="22"/>
          <w:szCs w:val="22"/>
        </w:rPr>
      </w:pPr>
      <w:r w:rsidRPr="00FC5C87">
        <w:rPr>
          <w:rFonts w:ascii="Arial" w:hAnsi="Arial" w:cs="Arial"/>
          <w:sz w:val="22"/>
          <w:szCs w:val="22"/>
        </w:rPr>
        <w:t xml:space="preserve">The Regulation was meant to </w:t>
      </w:r>
      <w:r w:rsidR="00F814B4" w:rsidRPr="00FC5C87">
        <w:rPr>
          <w:rFonts w:ascii="Arial" w:hAnsi="Arial" w:cs="Arial"/>
          <w:sz w:val="22"/>
          <w:szCs w:val="22"/>
        </w:rPr>
        <w:t xml:space="preserve">fully </w:t>
      </w:r>
      <w:r w:rsidRPr="00FC5C87">
        <w:rPr>
          <w:rFonts w:ascii="Arial" w:hAnsi="Arial" w:cs="Arial"/>
          <w:sz w:val="22"/>
          <w:szCs w:val="22"/>
        </w:rPr>
        <w:t xml:space="preserve">embrace the universalism principle by abandoning the concept of secondary proceedings; </w:t>
      </w:r>
      <w:r w:rsidR="00F814B4" w:rsidRPr="00FC5C87">
        <w:rPr>
          <w:rFonts w:ascii="Arial" w:hAnsi="Arial" w:cs="Arial"/>
          <w:sz w:val="22"/>
          <w:szCs w:val="22"/>
        </w:rPr>
        <w:t xml:space="preserve">the Regulation was meant to mostly promote out-of-court settlement and abandon all intervention of a judicial or administrative authority in cross-border proceedings. </w:t>
      </w:r>
    </w:p>
    <w:p w14:paraId="2B70B50A" w14:textId="77777777" w:rsidR="00113E29" w:rsidRPr="00FC5C87" w:rsidRDefault="00113E29" w:rsidP="00113E29">
      <w:pPr>
        <w:pStyle w:val="ListParagraph"/>
        <w:ind w:left="426"/>
        <w:jc w:val="both"/>
        <w:rPr>
          <w:rFonts w:ascii="Arial" w:hAnsi="Arial" w:cs="Arial"/>
          <w:sz w:val="22"/>
          <w:szCs w:val="22"/>
        </w:rPr>
      </w:pPr>
    </w:p>
    <w:p w14:paraId="2A9B1C75" w14:textId="79480104" w:rsidR="00E9597C" w:rsidRPr="00FC5C87" w:rsidRDefault="00E9597C" w:rsidP="002A37BB">
      <w:pPr>
        <w:jc w:val="both"/>
        <w:rPr>
          <w:rFonts w:ascii="Arial" w:hAnsi="Arial" w:cs="Arial"/>
          <w:sz w:val="22"/>
          <w:szCs w:val="22"/>
        </w:rPr>
      </w:pPr>
      <w:r w:rsidRPr="00FC5C87">
        <w:rPr>
          <w:rFonts w:ascii="Arial" w:hAnsi="Arial" w:cs="Arial"/>
          <w:b/>
          <w:bCs/>
          <w:sz w:val="22"/>
          <w:szCs w:val="22"/>
        </w:rPr>
        <w:t>Question 1.7</w:t>
      </w:r>
      <w:r w:rsidRPr="00FC5C87">
        <w:rPr>
          <w:rFonts w:ascii="Arial" w:hAnsi="Arial" w:cs="Arial"/>
          <w:sz w:val="22"/>
          <w:szCs w:val="22"/>
        </w:rPr>
        <w:t xml:space="preserve"> </w:t>
      </w:r>
    </w:p>
    <w:p w14:paraId="524461BA" w14:textId="77777777" w:rsidR="00E9597C" w:rsidRPr="00FC5C87" w:rsidRDefault="00E9597C" w:rsidP="002A37BB">
      <w:pPr>
        <w:jc w:val="both"/>
        <w:rPr>
          <w:rFonts w:ascii="Arial" w:hAnsi="Arial" w:cs="Arial"/>
          <w:sz w:val="22"/>
          <w:szCs w:val="22"/>
        </w:rPr>
      </w:pPr>
    </w:p>
    <w:p w14:paraId="367464B3" w14:textId="34312D37" w:rsidR="00113E29" w:rsidRPr="00FC5C87" w:rsidRDefault="00F814B4" w:rsidP="00113E29">
      <w:pPr>
        <w:autoSpaceDE w:val="0"/>
        <w:autoSpaceDN w:val="0"/>
        <w:adjustRightInd w:val="0"/>
        <w:jc w:val="both"/>
        <w:rPr>
          <w:rFonts w:ascii="Arial" w:hAnsi="Arial" w:cs="Arial"/>
          <w:sz w:val="22"/>
          <w:szCs w:val="22"/>
        </w:rPr>
      </w:pPr>
      <w:r w:rsidRPr="00FC5C87">
        <w:rPr>
          <w:rFonts w:ascii="Arial" w:hAnsi="Arial" w:cs="Arial"/>
          <w:sz w:val="22"/>
          <w:szCs w:val="22"/>
        </w:rPr>
        <w:t xml:space="preserve">The EIR Recast introduced the concept of </w:t>
      </w:r>
      <w:r w:rsidR="0034705B" w:rsidRPr="00FC5C87">
        <w:rPr>
          <w:rFonts w:ascii="Arial" w:hAnsi="Arial" w:cs="Arial"/>
          <w:sz w:val="22"/>
          <w:szCs w:val="22"/>
        </w:rPr>
        <w:t>“</w:t>
      </w:r>
      <w:r w:rsidRPr="00FC5C87">
        <w:rPr>
          <w:rFonts w:ascii="Arial" w:hAnsi="Arial" w:cs="Arial"/>
          <w:sz w:val="22"/>
          <w:szCs w:val="22"/>
        </w:rPr>
        <w:t>synthetic proceedings</w:t>
      </w:r>
      <w:r w:rsidR="0034705B" w:rsidRPr="00FC5C87">
        <w:rPr>
          <w:rFonts w:ascii="Arial" w:hAnsi="Arial" w:cs="Arial"/>
          <w:sz w:val="22"/>
          <w:szCs w:val="22"/>
        </w:rPr>
        <w:t>”</w:t>
      </w:r>
      <w:r w:rsidRPr="00FC5C87">
        <w:rPr>
          <w:rFonts w:ascii="Arial" w:hAnsi="Arial" w:cs="Arial"/>
          <w:sz w:val="22"/>
          <w:szCs w:val="22"/>
        </w:rPr>
        <w:t xml:space="preserve">. What are they? </w:t>
      </w:r>
    </w:p>
    <w:p w14:paraId="2A47E67E" w14:textId="77777777" w:rsidR="00113E29" w:rsidRPr="00FC5C87" w:rsidRDefault="00113E29" w:rsidP="00113E29">
      <w:pPr>
        <w:autoSpaceDE w:val="0"/>
        <w:autoSpaceDN w:val="0"/>
        <w:adjustRightInd w:val="0"/>
        <w:jc w:val="both"/>
        <w:rPr>
          <w:rFonts w:ascii="Arial" w:hAnsi="Arial" w:cs="Arial"/>
          <w:sz w:val="22"/>
          <w:szCs w:val="22"/>
        </w:rPr>
      </w:pPr>
    </w:p>
    <w:p w14:paraId="757169A8" w14:textId="3F8386AA" w:rsidR="00113E29" w:rsidRPr="00FC5C87" w:rsidRDefault="0034705B" w:rsidP="003C4BCB">
      <w:pPr>
        <w:pStyle w:val="ListParagraph"/>
        <w:numPr>
          <w:ilvl w:val="0"/>
          <w:numId w:val="8"/>
        </w:numPr>
        <w:ind w:left="426"/>
        <w:jc w:val="both"/>
        <w:rPr>
          <w:rFonts w:ascii="Arial" w:hAnsi="Arial" w:cs="Arial"/>
          <w:sz w:val="22"/>
          <w:szCs w:val="22"/>
        </w:rPr>
      </w:pPr>
      <w:r w:rsidRPr="00FC5C87">
        <w:rPr>
          <w:rFonts w:ascii="Arial" w:hAnsi="Arial" w:cs="Arial"/>
          <w:sz w:val="22"/>
          <w:szCs w:val="22"/>
        </w:rPr>
        <w:t>“</w:t>
      </w:r>
      <w:r w:rsidR="00F814B4" w:rsidRPr="00FC5C87">
        <w:rPr>
          <w:rFonts w:ascii="Arial" w:hAnsi="Arial" w:cs="Arial"/>
          <w:sz w:val="22"/>
          <w:szCs w:val="22"/>
        </w:rPr>
        <w:t>Synthetic proceedings</w:t>
      </w:r>
      <w:r w:rsidRPr="00FC5C87">
        <w:rPr>
          <w:rFonts w:ascii="Arial" w:hAnsi="Arial" w:cs="Arial"/>
          <w:sz w:val="22"/>
          <w:szCs w:val="22"/>
        </w:rPr>
        <w:t>”</w:t>
      </w:r>
      <w:r w:rsidR="00F814B4" w:rsidRPr="00FC5C87">
        <w:rPr>
          <w:rFonts w:ascii="Arial" w:hAnsi="Arial" w:cs="Arial"/>
          <w:sz w:val="22"/>
          <w:szCs w:val="22"/>
        </w:rPr>
        <w:t xml:space="preserve"> means that for the case at hand, several main proceedings can be opened, in addition to several secondary proceedings.</w:t>
      </w:r>
    </w:p>
    <w:p w14:paraId="506CC3E4" w14:textId="77777777" w:rsidR="00AE74BA" w:rsidRPr="00FC5C87" w:rsidRDefault="00AE74BA" w:rsidP="00AE74BA">
      <w:pPr>
        <w:jc w:val="both"/>
        <w:rPr>
          <w:rFonts w:ascii="Arial" w:hAnsi="Arial" w:cs="Arial"/>
          <w:sz w:val="22"/>
          <w:szCs w:val="22"/>
        </w:rPr>
      </w:pPr>
    </w:p>
    <w:p w14:paraId="7A4E4310" w14:textId="105C3FCD" w:rsidR="00967219" w:rsidRPr="00FC5C87" w:rsidRDefault="0034705B" w:rsidP="003C4BCB">
      <w:pPr>
        <w:pStyle w:val="ListParagraph"/>
        <w:numPr>
          <w:ilvl w:val="0"/>
          <w:numId w:val="8"/>
        </w:numPr>
        <w:ind w:left="426"/>
        <w:jc w:val="both"/>
        <w:rPr>
          <w:rFonts w:ascii="Arial" w:hAnsi="Arial" w:cs="Arial"/>
          <w:sz w:val="22"/>
          <w:szCs w:val="22"/>
        </w:rPr>
      </w:pPr>
      <w:r w:rsidRPr="00FC5C87">
        <w:rPr>
          <w:rFonts w:ascii="Arial" w:hAnsi="Arial" w:cs="Arial"/>
          <w:sz w:val="22"/>
          <w:szCs w:val="22"/>
        </w:rPr>
        <w:t>“</w:t>
      </w:r>
      <w:r w:rsidR="00F814B4" w:rsidRPr="00FC5C87">
        <w:rPr>
          <w:rFonts w:ascii="Arial" w:hAnsi="Arial" w:cs="Arial"/>
          <w:sz w:val="22"/>
          <w:szCs w:val="22"/>
        </w:rPr>
        <w:t>Synthetic proceedings</w:t>
      </w:r>
      <w:r w:rsidRPr="00FC5C87">
        <w:rPr>
          <w:rFonts w:ascii="Arial" w:hAnsi="Arial" w:cs="Arial"/>
          <w:sz w:val="22"/>
          <w:szCs w:val="22"/>
        </w:rPr>
        <w:t>”</w:t>
      </w:r>
      <w:r w:rsidR="00F814B4" w:rsidRPr="00FC5C87">
        <w:rPr>
          <w:rFonts w:ascii="Arial" w:hAnsi="Arial" w:cs="Arial"/>
          <w:sz w:val="22"/>
          <w:szCs w:val="22"/>
        </w:rPr>
        <w:t xml:space="preserve"> means that when secondary proceedings are opened, these are automatically rescue proceedings, as opposed to liquidation proceedings. </w:t>
      </w:r>
    </w:p>
    <w:p w14:paraId="2031498E" w14:textId="55654541" w:rsidR="00AE74BA" w:rsidRPr="00FC5C87" w:rsidRDefault="00AE74BA" w:rsidP="00AE74BA">
      <w:pPr>
        <w:jc w:val="both"/>
        <w:rPr>
          <w:rFonts w:ascii="Arial" w:hAnsi="Arial" w:cs="Arial"/>
          <w:sz w:val="22"/>
          <w:szCs w:val="22"/>
        </w:rPr>
      </w:pPr>
    </w:p>
    <w:p w14:paraId="271929CB" w14:textId="0E49A59D" w:rsidR="00113E29" w:rsidRPr="00FC5C87" w:rsidRDefault="0034705B" w:rsidP="003C4BCB">
      <w:pPr>
        <w:pStyle w:val="ListParagraph"/>
        <w:numPr>
          <w:ilvl w:val="0"/>
          <w:numId w:val="8"/>
        </w:numPr>
        <w:ind w:left="426"/>
        <w:jc w:val="both"/>
        <w:rPr>
          <w:rFonts w:ascii="Arial" w:hAnsi="Arial" w:cs="Arial"/>
          <w:sz w:val="22"/>
          <w:szCs w:val="22"/>
        </w:rPr>
      </w:pPr>
      <w:r w:rsidRPr="00FC5C87">
        <w:rPr>
          <w:rFonts w:ascii="Arial" w:hAnsi="Arial" w:cs="Arial"/>
          <w:sz w:val="22"/>
          <w:szCs w:val="22"/>
        </w:rPr>
        <w:t>“</w:t>
      </w:r>
      <w:r w:rsidR="00F814B4" w:rsidRPr="00FC5C87">
        <w:rPr>
          <w:rFonts w:ascii="Arial" w:hAnsi="Arial" w:cs="Arial"/>
          <w:sz w:val="22"/>
          <w:szCs w:val="22"/>
        </w:rPr>
        <w:t>Synthetic proceedings</w:t>
      </w:r>
      <w:r w:rsidRPr="00FC5C87">
        <w:rPr>
          <w:rFonts w:ascii="Arial" w:hAnsi="Arial" w:cs="Arial"/>
          <w:sz w:val="22"/>
          <w:szCs w:val="22"/>
        </w:rPr>
        <w:t>”</w:t>
      </w:r>
      <w:r w:rsidR="00F814B4" w:rsidRPr="00FC5C87">
        <w:rPr>
          <w:rFonts w:ascii="Arial" w:hAnsi="Arial" w:cs="Arial"/>
          <w:sz w:val="22"/>
          <w:szCs w:val="22"/>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FC5C87" w:rsidRDefault="00F814B4" w:rsidP="00F814B4">
      <w:pPr>
        <w:pStyle w:val="ListParagraph"/>
        <w:ind w:left="426"/>
        <w:jc w:val="both"/>
        <w:rPr>
          <w:rFonts w:ascii="Arial" w:hAnsi="Arial" w:cs="Arial"/>
          <w:sz w:val="22"/>
          <w:szCs w:val="22"/>
        </w:rPr>
      </w:pPr>
    </w:p>
    <w:p w14:paraId="7793DAFC" w14:textId="67E69AED" w:rsidR="00F814B4" w:rsidRPr="00FC5C87" w:rsidRDefault="0034705B" w:rsidP="003C4BCB">
      <w:pPr>
        <w:pStyle w:val="ListParagraph"/>
        <w:numPr>
          <w:ilvl w:val="0"/>
          <w:numId w:val="8"/>
        </w:numPr>
        <w:ind w:left="426"/>
        <w:jc w:val="both"/>
        <w:rPr>
          <w:rFonts w:ascii="Arial" w:hAnsi="Arial" w:cs="Arial"/>
          <w:sz w:val="22"/>
          <w:szCs w:val="22"/>
          <w:highlight w:val="yellow"/>
        </w:rPr>
      </w:pPr>
      <w:r w:rsidRPr="00FC5C87">
        <w:rPr>
          <w:rFonts w:ascii="Arial" w:hAnsi="Arial" w:cs="Arial"/>
          <w:sz w:val="22"/>
          <w:szCs w:val="22"/>
          <w:highlight w:val="yellow"/>
        </w:rPr>
        <w:t>“</w:t>
      </w:r>
      <w:r w:rsidR="00F814B4" w:rsidRPr="00FC5C87">
        <w:rPr>
          <w:rFonts w:ascii="Arial" w:hAnsi="Arial" w:cs="Arial"/>
          <w:sz w:val="22"/>
          <w:szCs w:val="22"/>
          <w:highlight w:val="yellow"/>
        </w:rPr>
        <w:t>Synthetic proceedings</w:t>
      </w:r>
      <w:r w:rsidRPr="00FC5C87">
        <w:rPr>
          <w:rFonts w:ascii="Arial" w:hAnsi="Arial" w:cs="Arial"/>
          <w:sz w:val="22"/>
          <w:szCs w:val="22"/>
          <w:highlight w:val="yellow"/>
        </w:rPr>
        <w:t>”</w:t>
      </w:r>
      <w:r w:rsidR="00F814B4" w:rsidRPr="00FC5C87">
        <w:rPr>
          <w:rFonts w:ascii="Arial" w:hAnsi="Arial" w:cs="Arial"/>
          <w:sz w:val="22"/>
          <w:szCs w:val="22"/>
          <w:highlight w:val="yellow"/>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FC5C87" w:rsidRDefault="00113E29" w:rsidP="00113E29">
      <w:pPr>
        <w:pStyle w:val="CommentText"/>
      </w:pPr>
    </w:p>
    <w:p w14:paraId="2542F9D9" w14:textId="77777777" w:rsidR="00E9597C" w:rsidRPr="00FC5C87" w:rsidRDefault="00E9597C" w:rsidP="002A37BB">
      <w:pPr>
        <w:jc w:val="both"/>
        <w:rPr>
          <w:rFonts w:ascii="Arial" w:hAnsi="Arial" w:cs="Arial"/>
          <w:sz w:val="22"/>
          <w:szCs w:val="22"/>
        </w:rPr>
      </w:pPr>
      <w:r w:rsidRPr="00FC5C87">
        <w:rPr>
          <w:rFonts w:ascii="Arial" w:hAnsi="Arial" w:cs="Arial"/>
          <w:b/>
          <w:bCs/>
          <w:sz w:val="22"/>
          <w:szCs w:val="22"/>
        </w:rPr>
        <w:t>Question 1.8</w:t>
      </w:r>
      <w:r w:rsidRPr="00FC5C87">
        <w:rPr>
          <w:rFonts w:ascii="Arial" w:hAnsi="Arial" w:cs="Arial"/>
          <w:sz w:val="22"/>
          <w:szCs w:val="22"/>
        </w:rPr>
        <w:t xml:space="preserve"> </w:t>
      </w:r>
    </w:p>
    <w:p w14:paraId="2E73BC84" w14:textId="77777777" w:rsidR="00E9597C" w:rsidRPr="00FC5C87" w:rsidRDefault="00E9597C" w:rsidP="002A37BB">
      <w:pPr>
        <w:jc w:val="both"/>
        <w:rPr>
          <w:rFonts w:ascii="Arial" w:hAnsi="Arial" w:cs="Arial"/>
          <w:sz w:val="22"/>
          <w:szCs w:val="22"/>
        </w:rPr>
      </w:pPr>
    </w:p>
    <w:p w14:paraId="6B1EE110" w14:textId="77777777" w:rsidR="00F814B4" w:rsidRPr="00FC5C87" w:rsidRDefault="00F814B4" w:rsidP="00F814B4">
      <w:pPr>
        <w:autoSpaceDE w:val="0"/>
        <w:autoSpaceDN w:val="0"/>
        <w:adjustRightInd w:val="0"/>
        <w:jc w:val="both"/>
        <w:rPr>
          <w:rFonts w:ascii="Arial" w:hAnsi="Arial" w:cs="Arial"/>
          <w:sz w:val="22"/>
          <w:szCs w:val="22"/>
        </w:rPr>
      </w:pPr>
      <w:r w:rsidRPr="00FC5C87">
        <w:rPr>
          <w:rFonts w:ascii="Arial" w:hAnsi="Arial" w:cs="Arial"/>
          <w:sz w:val="22"/>
          <w:szCs w:val="22"/>
        </w:rPr>
        <w:t>In which of the following scenarios may the recognition of a foreign insolvency proceeding be denied under the EIR Recast?</w:t>
      </w:r>
    </w:p>
    <w:p w14:paraId="1AAD1455" w14:textId="77777777" w:rsidR="00F814B4" w:rsidRPr="00FC5C87" w:rsidRDefault="00F814B4" w:rsidP="00F814B4">
      <w:pPr>
        <w:autoSpaceDE w:val="0"/>
        <w:autoSpaceDN w:val="0"/>
        <w:adjustRightInd w:val="0"/>
        <w:jc w:val="both"/>
        <w:rPr>
          <w:rFonts w:ascii="Arial" w:hAnsi="Arial" w:cs="Arial"/>
          <w:sz w:val="22"/>
          <w:szCs w:val="22"/>
        </w:rPr>
      </w:pPr>
    </w:p>
    <w:p w14:paraId="53E8B7E0" w14:textId="59EB8811" w:rsidR="00AD6870" w:rsidRPr="00FC5C87" w:rsidRDefault="00AD6870" w:rsidP="00AD6870">
      <w:pPr>
        <w:pStyle w:val="ListParagraph"/>
        <w:numPr>
          <w:ilvl w:val="0"/>
          <w:numId w:val="10"/>
        </w:numPr>
        <w:ind w:left="426"/>
        <w:jc w:val="both"/>
        <w:rPr>
          <w:rFonts w:ascii="Arial" w:hAnsi="Arial" w:cs="Arial"/>
          <w:sz w:val="22"/>
          <w:szCs w:val="22"/>
        </w:rPr>
      </w:pPr>
      <w:r w:rsidRPr="00FC5C87">
        <w:rPr>
          <w:rFonts w:ascii="Arial" w:hAnsi="Arial" w:cs="Arial"/>
          <w:sz w:val="22"/>
          <w:szCs w:val="22"/>
        </w:rPr>
        <w:t>The rule applied by the court, which has opened insolvency proceedings (originating court), is unknown or does not have an analogue in the law of the jurisdiction, in which recognition is sought.</w:t>
      </w:r>
    </w:p>
    <w:p w14:paraId="3BCFE3AC" w14:textId="77777777" w:rsidR="00AD6870" w:rsidRPr="00FC5C87" w:rsidRDefault="00AD6870" w:rsidP="00AD6870">
      <w:pPr>
        <w:pStyle w:val="ListParagraph"/>
        <w:ind w:left="426"/>
        <w:jc w:val="both"/>
        <w:rPr>
          <w:rFonts w:ascii="Arial" w:hAnsi="Arial" w:cs="Arial"/>
          <w:sz w:val="22"/>
          <w:szCs w:val="22"/>
        </w:rPr>
      </w:pPr>
    </w:p>
    <w:p w14:paraId="2C0C9375" w14:textId="74A9BBD3" w:rsidR="00AD6870" w:rsidRPr="00FC5C87" w:rsidRDefault="00AD6870" w:rsidP="00AD6870">
      <w:pPr>
        <w:pStyle w:val="ListParagraph"/>
        <w:numPr>
          <w:ilvl w:val="0"/>
          <w:numId w:val="10"/>
        </w:numPr>
        <w:ind w:left="426"/>
        <w:jc w:val="both"/>
        <w:rPr>
          <w:rFonts w:ascii="Arial" w:hAnsi="Arial" w:cs="Arial"/>
          <w:sz w:val="22"/>
          <w:szCs w:val="22"/>
        </w:rPr>
      </w:pPr>
      <w:r w:rsidRPr="00FC5C87">
        <w:rPr>
          <w:rFonts w:ascii="Arial" w:hAnsi="Arial" w:cs="Arial"/>
          <w:sz w:val="22"/>
          <w:szCs w:val="22"/>
        </w:rPr>
        <w:t>The judgment, subject to recognition, was passed with incorrect application of the applicable substantive law.</w:t>
      </w:r>
    </w:p>
    <w:p w14:paraId="2E9781B8" w14:textId="77777777" w:rsidR="00AD6870" w:rsidRPr="00FC5C87" w:rsidRDefault="00AD6870" w:rsidP="00AD6870">
      <w:pPr>
        <w:pStyle w:val="ListParagraph"/>
        <w:ind w:left="426"/>
        <w:jc w:val="both"/>
        <w:rPr>
          <w:rFonts w:ascii="Arial" w:hAnsi="Arial" w:cs="Arial"/>
          <w:sz w:val="22"/>
          <w:szCs w:val="22"/>
        </w:rPr>
      </w:pPr>
    </w:p>
    <w:p w14:paraId="7CF1BB8B" w14:textId="77777777" w:rsidR="00F814B4" w:rsidRPr="00FC5C87" w:rsidRDefault="00F814B4" w:rsidP="00F814B4">
      <w:pPr>
        <w:pStyle w:val="ListParagraph"/>
        <w:numPr>
          <w:ilvl w:val="0"/>
          <w:numId w:val="10"/>
        </w:numPr>
        <w:ind w:left="426"/>
        <w:jc w:val="both"/>
        <w:rPr>
          <w:rFonts w:ascii="Arial" w:hAnsi="Arial" w:cs="Arial"/>
          <w:sz w:val="22"/>
          <w:szCs w:val="22"/>
          <w:highlight w:val="yellow"/>
        </w:rPr>
      </w:pPr>
      <w:r w:rsidRPr="00FC5C87">
        <w:rPr>
          <w:rFonts w:ascii="Arial" w:hAnsi="Arial" w:cs="Arial"/>
          <w:sz w:val="22"/>
          <w:szCs w:val="22"/>
          <w:highlight w:val="yellow"/>
        </w:rPr>
        <w:t>Where the decision to open the insolvency proceedings was taken in flagrant breach of the right to be heard, which a person concerned by such proceedings enjoys.</w:t>
      </w:r>
    </w:p>
    <w:p w14:paraId="4371AC96" w14:textId="77777777" w:rsidR="00F814B4" w:rsidRPr="00FC5C87" w:rsidRDefault="00F814B4" w:rsidP="00F814B4">
      <w:pPr>
        <w:jc w:val="both"/>
        <w:rPr>
          <w:rFonts w:ascii="Arial" w:hAnsi="Arial" w:cs="Arial"/>
          <w:sz w:val="22"/>
          <w:szCs w:val="22"/>
        </w:rPr>
      </w:pPr>
    </w:p>
    <w:p w14:paraId="7AF6C131" w14:textId="77777777" w:rsidR="00F814B4" w:rsidRPr="00FC5C87" w:rsidRDefault="00F814B4" w:rsidP="00F814B4">
      <w:pPr>
        <w:pStyle w:val="ListParagraph"/>
        <w:numPr>
          <w:ilvl w:val="0"/>
          <w:numId w:val="10"/>
        </w:numPr>
        <w:ind w:left="426"/>
        <w:jc w:val="both"/>
        <w:rPr>
          <w:rFonts w:ascii="Arial" w:hAnsi="Arial" w:cs="Arial"/>
          <w:sz w:val="22"/>
          <w:szCs w:val="22"/>
        </w:rPr>
      </w:pPr>
      <w:r w:rsidRPr="00FC5C87">
        <w:rPr>
          <w:rFonts w:ascii="Arial" w:hAnsi="Arial" w:cs="Arial"/>
          <w:sz w:val="22"/>
          <w:szCs w:val="22"/>
        </w:rPr>
        <w:t>The court, which has opened insolvency proceedings (originating court), most certainly did not have international insolvency jurisdiction to do so under the EIR Recast.</w:t>
      </w:r>
    </w:p>
    <w:p w14:paraId="675E78AC" w14:textId="77777777" w:rsidR="00F814B4" w:rsidRPr="00FC5C87" w:rsidRDefault="00F814B4" w:rsidP="00F814B4">
      <w:pPr>
        <w:jc w:val="both"/>
        <w:rPr>
          <w:rFonts w:ascii="Arial" w:hAnsi="Arial" w:cs="Arial"/>
          <w:sz w:val="22"/>
          <w:szCs w:val="22"/>
        </w:rPr>
      </w:pPr>
    </w:p>
    <w:p w14:paraId="46EF6AE5" w14:textId="28EABF8C" w:rsidR="00F814B4" w:rsidRPr="00FC5C87" w:rsidRDefault="00F814B4" w:rsidP="00113E29">
      <w:pPr>
        <w:jc w:val="both"/>
        <w:rPr>
          <w:rFonts w:ascii="Arial" w:hAnsi="Arial" w:cs="Arial"/>
          <w:sz w:val="22"/>
          <w:szCs w:val="22"/>
        </w:rPr>
      </w:pPr>
    </w:p>
    <w:p w14:paraId="1C9EA0C4" w14:textId="77777777" w:rsidR="00F814B4" w:rsidRPr="00FC5C87" w:rsidRDefault="00F814B4" w:rsidP="00F814B4">
      <w:pPr>
        <w:jc w:val="both"/>
        <w:rPr>
          <w:rFonts w:ascii="Arial" w:hAnsi="Arial" w:cs="Arial"/>
          <w:sz w:val="22"/>
          <w:szCs w:val="22"/>
        </w:rPr>
      </w:pPr>
      <w:r w:rsidRPr="00FC5C87">
        <w:rPr>
          <w:rFonts w:ascii="Arial" w:hAnsi="Arial" w:cs="Arial"/>
          <w:b/>
          <w:bCs/>
          <w:sz w:val="22"/>
          <w:szCs w:val="22"/>
        </w:rPr>
        <w:t>Question 1.9</w:t>
      </w:r>
      <w:r w:rsidRPr="00FC5C87">
        <w:rPr>
          <w:rFonts w:ascii="Arial" w:hAnsi="Arial" w:cs="Arial"/>
          <w:sz w:val="22"/>
          <w:szCs w:val="22"/>
        </w:rPr>
        <w:t xml:space="preserve"> </w:t>
      </w:r>
    </w:p>
    <w:p w14:paraId="50C32F15" w14:textId="77777777" w:rsidR="00F814B4" w:rsidRPr="00FC5C87" w:rsidRDefault="00F814B4" w:rsidP="00113E29">
      <w:pPr>
        <w:jc w:val="both"/>
        <w:rPr>
          <w:rFonts w:ascii="Arial" w:hAnsi="Arial" w:cs="Arial"/>
          <w:sz w:val="22"/>
          <w:szCs w:val="22"/>
        </w:rPr>
      </w:pPr>
    </w:p>
    <w:p w14:paraId="113F9E74" w14:textId="1764C216" w:rsidR="00AD6870" w:rsidRPr="00FC5C87" w:rsidRDefault="00AD6870" w:rsidP="00113E29">
      <w:pPr>
        <w:jc w:val="both"/>
        <w:rPr>
          <w:rFonts w:ascii="Arial" w:hAnsi="Arial" w:cs="Arial"/>
          <w:sz w:val="22"/>
          <w:szCs w:val="22"/>
        </w:rPr>
      </w:pPr>
      <w:r w:rsidRPr="00FC5C87">
        <w:rPr>
          <w:rFonts w:ascii="Arial" w:hAnsi="Arial" w:cs="Arial"/>
          <w:sz w:val="22"/>
          <w:szCs w:val="22"/>
        </w:rPr>
        <w:t xml:space="preserve">In a cross-border dispute, the main proceedings before the Italian court opposes </w:t>
      </w:r>
      <w:proofErr w:type="spellStart"/>
      <w:r w:rsidRPr="00FC5C87">
        <w:rPr>
          <w:rFonts w:ascii="Arial" w:hAnsi="Arial" w:cs="Arial"/>
          <w:sz w:val="22"/>
          <w:szCs w:val="22"/>
        </w:rPr>
        <w:t>Fema</w:t>
      </w:r>
      <w:proofErr w:type="spellEnd"/>
      <w:r w:rsidRPr="00FC5C87">
        <w:rPr>
          <w:rFonts w:ascii="Arial" w:hAnsi="Arial" w:cs="Arial"/>
          <w:sz w:val="22"/>
          <w:szCs w:val="22"/>
        </w:rPr>
        <w:t xml:space="preserve"> </w:t>
      </w:r>
      <w:proofErr w:type="spellStart"/>
      <w:r w:rsidRPr="00FC5C87">
        <w:rPr>
          <w:rFonts w:ascii="Arial" w:hAnsi="Arial" w:cs="Arial"/>
          <w:sz w:val="22"/>
          <w:szCs w:val="22"/>
        </w:rPr>
        <w:t>SrL</w:t>
      </w:r>
      <w:proofErr w:type="spellEnd"/>
      <w:r w:rsidRPr="00FC5C87">
        <w:rPr>
          <w:rFonts w:ascii="Arial" w:hAnsi="Arial" w:cs="Arial"/>
          <w:sz w:val="22"/>
          <w:szCs w:val="22"/>
        </w:rPr>
        <w:t xml:space="preserve"> (registered in Italy) and Lacroix SARL (registered in France). The case concerns an action to set aside four contested payments </w:t>
      </w:r>
      <w:r w:rsidR="00A620A6" w:rsidRPr="00FC5C87">
        <w:rPr>
          <w:rFonts w:ascii="Arial" w:hAnsi="Arial" w:cs="Arial"/>
          <w:sz w:val="22"/>
          <w:szCs w:val="22"/>
        </w:rPr>
        <w:t>that</w:t>
      </w:r>
      <w:r w:rsidRPr="00FC5C87">
        <w:rPr>
          <w:rFonts w:ascii="Arial" w:hAnsi="Arial" w:cs="Arial"/>
          <w:sz w:val="22"/>
          <w:szCs w:val="22"/>
        </w:rPr>
        <w:t xml:space="preserve"> amount to EUR 850,000. These payments were made pursuant to a sales agreement dated 5 August 2020, governed by German law. The contested payments have been made by </w:t>
      </w:r>
      <w:proofErr w:type="spellStart"/>
      <w:r w:rsidRPr="00FC5C87">
        <w:rPr>
          <w:rFonts w:ascii="Arial" w:hAnsi="Arial" w:cs="Arial"/>
          <w:sz w:val="22"/>
          <w:szCs w:val="22"/>
        </w:rPr>
        <w:t>Fema</w:t>
      </w:r>
      <w:proofErr w:type="spellEnd"/>
      <w:r w:rsidRPr="00FC5C87">
        <w:rPr>
          <w:rFonts w:ascii="Arial" w:hAnsi="Arial" w:cs="Arial"/>
          <w:sz w:val="22"/>
          <w:szCs w:val="22"/>
        </w:rPr>
        <w:t xml:space="preserve"> </w:t>
      </w:r>
      <w:proofErr w:type="spellStart"/>
      <w:r w:rsidRPr="00FC5C87">
        <w:rPr>
          <w:rFonts w:ascii="Arial" w:hAnsi="Arial" w:cs="Arial"/>
          <w:sz w:val="22"/>
          <w:szCs w:val="22"/>
        </w:rPr>
        <w:t>SrL</w:t>
      </w:r>
      <w:proofErr w:type="spellEnd"/>
      <w:r w:rsidRPr="00FC5C87">
        <w:rPr>
          <w:rFonts w:ascii="Arial" w:hAnsi="Arial" w:cs="Arial"/>
          <w:sz w:val="22"/>
          <w:szCs w:val="22"/>
        </w:rPr>
        <w:t xml:space="preserve"> to Lacroix SARL before the former went insolvent. The insolvency practitioner of the company claims that under applicable Italian law, the contested payments shall be set aside because Lacroix SARL must have been aware that </w:t>
      </w:r>
      <w:proofErr w:type="spellStart"/>
      <w:r w:rsidRPr="00FC5C87">
        <w:rPr>
          <w:rFonts w:ascii="Arial" w:hAnsi="Arial" w:cs="Arial"/>
          <w:sz w:val="22"/>
          <w:szCs w:val="22"/>
        </w:rPr>
        <w:t>Fema</w:t>
      </w:r>
      <w:proofErr w:type="spellEnd"/>
      <w:r w:rsidRPr="00FC5C87">
        <w:rPr>
          <w:rFonts w:ascii="Arial" w:hAnsi="Arial" w:cs="Arial"/>
          <w:sz w:val="22"/>
          <w:szCs w:val="22"/>
        </w:rPr>
        <w:t xml:space="preserve"> </w:t>
      </w:r>
      <w:proofErr w:type="spellStart"/>
      <w:r w:rsidRPr="00FC5C87">
        <w:rPr>
          <w:rFonts w:ascii="Arial" w:hAnsi="Arial" w:cs="Arial"/>
          <w:sz w:val="22"/>
          <w:szCs w:val="22"/>
        </w:rPr>
        <w:t>SrL</w:t>
      </w:r>
      <w:proofErr w:type="spellEnd"/>
      <w:r w:rsidRPr="00FC5C87">
        <w:rPr>
          <w:rFonts w:ascii="Arial" w:hAnsi="Arial" w:cs="Arial"/>
          <w:sz w:val="22"/>
          <w:szCs w:val="22"/>
        </w:rPr>
        <w:t xml:space="preserve"> was facing insolvency at the time the payments were made. </w:t>
      </w:r>
    </w:p>
    <w:p w14:paraId="3431C504" w14:textId="77777777" w:rsidR="00AD6870" w:rsidRPr="00FC5C87" w:rsidRDefault="00AD6870" w:rsidP="00113E29">
      <w:pPr>
        <w:jc w:val="both"/>
        <w:rPr>
          <w:rFonts w:ascii="Arial" w:hAnsi="Arial" w:cs="Arial"/>
          <w:sz w:val="22"/>
          <w:szCs w:val="22"/>
        </w:rPr>
      </w:pPr>
    </w:p>
    <w:p w14:paraId="712381FC" w14:textId="77777777" w:rsidR="00113E29" w:rsidRPr="00FC5C87" w:rsidRDefault="00113E29" w:rsidP="00113E29">
      <w:pPr>
        <w:jc w:val="both"/>
        <w:rPr>
          <w:rFonts w:ascii="Arial" w:hAnsi="Arial" w:cs="Arial"/>
          <w:sz w:val="22"/>
          <w:szCs w:val="22"/>
        </w:rPr>
      </w:pPr>
      <w:r w:rsidRPr="00FC5C87">
        <w:rPr>
          <w:rFonts w:ascii="Arial" w:hAnsi="Arial" w:cs="Arial"/>
          <w:sz w:val="22"/>
          <w:szCs w:val="22"/>
        </w:rPr>
        <w:t xml:space="preserve">Considering the facts of the case and relevant provisions of the EIR Recast, which one of the following statements is the </w:t>
      </w:r>
      <w:r w:rsidRPr="00FC5C87">
        <w:rPr>
          <w:rFonts w:ascii="Arial" w:hAnsi="Arial" w:cs="Arial"/>
          <w:b/>
          <w:bCs/>
          <w:sz w:val="22"/>
          <w:szCs w:val="22"/>
          <w:u w:val="single"/>
        </w:rPr>
        <w:t>most accurate</w:t>
      </w:r>
      <w:r w:rsidRPr="00FC5C87">
        <w:rPr>
          <w:rFonts w:ascii="Arial" w:hAnsi="Arial" w:cs="Arial"/>
          <w:sz w:val="22"/>
          <w:szCs w:val="22"/>
        </w:rPr>
        <w:t>?</w:t>
      </w:r>
    </w:p>
    <w:p w14:paraId="7A3E974E" w14:textId="77777777" w:rsidR="00113E29" w:rsidRPr="00FC5C87" w:rsidRDefault="00113E29" w:rsidP="00113E29">
      <w:pPr>
        <w:jc w:val="both"/>
        <w:rPr>
          <w:rFonts w:ascii="Arial" w:hAnsi="Arial" w:cs="Arial"/>
          <w:sz w:val="22"/>
          <w:szCs w:val="22"/>
        </w:rPr>
      </w:pPr>
    </w:p>
    <w:p w14:paraId="0CADD2EB" w14:textId="3538D5B5" w:rsidR="00967219" w:rsidRPr="00FC5C87" w:rsidRDefault="00967219" w:rsidP="003C4BCB">
      <w:pPr>
        <w:pStyle w:val="ListParagraph"/>
        <w:numPr>
          <w:ilvl w:val="0"/>
          <w:numId w:val="9"/>
        </w:numPr>
        <w:ind w:left="426"/>
        <w:jc w:val="both"/>
        <w:rPr>
          <w:rFonts w:ascii="Arial" w:hAnsi="Arial" w:cs="Arial"/>
          <w:sz w:val="22"/>
          <w:szCs w:val="22"/>
        </w:rPr>
      </w:pPr>
      <w:r w:rsidRPr="00FC5C87">
        <w:rPr>
          <w:rFonts w:ascii="Arial" w:hAnsi="Arial" w:cs="Arial"/>
          <w:sz w:val="22"/>
          <w:szCs w:val="22"/>
        </w:rPr>
        <w:t xml:space="preserve">The </w:t>
      </w:r>
      <w:r w:rsidR="00375D11" w:rsidRPr="00FC5C87">
        <w:rPr>
          <w:rFonts w:ascii="Arial" w:hAnsi="Arial" w:cs="Arial"/>
          <w:sz w:val="22"/>
          <w:szCs w:val="22"/>
        </w:rPr>
        <w:t xml:space="preserve">insolvency practitioner will always succeed in his claim if he can clearly prove that under the </w:t>
      </w:r>
      <w:r w:rsidR="00375D11" w:rsidRPr="00FC5C87">
        <w:rPr>
          <w:rFonts w:ascii="Arial" w:hAnsi="Arial" w:cs="Arial"/>
          <w:i/>
          <w:sz w:val="22"/>
          <w:szCs w:val="22"/>
        </w:rPr>
        <w:t>lex concursus</w:t>
      </w:r>
      <w:r w:rsidR="00375D11" w:rsidRPr="00FC5C87">
        <w:rPr>
          <w:rFonts w:ascii="Arial" w:hAnsi="Arial" w:cs="Arial"/>
          <w:sz w:val="22"/>
          <w:szCs w:val="22"/>
        </w:rPr>
        <w:t>, the contested payments can be avoided (Article 7(2)(m) EIR Recast).</w:t>
      </w:r>
    </w:p>
    <w:p w14:paraId="36908564" w14:textId="77777777" w:rsidR="00544F6E" w:rsidRPr="00FC5C87" w:rsidRDefault="00544F6E" w:rsidP="00544F6E">
      <w:pPr>
        <w:jc w:val="both"/>
        <w:rPr>
          <w:rFonts w:ascii="Arial" w:hAnsi="Arial" w:cs="Arial"/>
          <w:sz w:val="22"/>
          <w:szCs w:val="22"/>
        </w:rPr>
      </w:pPr>
    </w:p>
    <w:p w14:paraId="158F20A5" w14:textId="7127BF56" w:rsidR="00375D11" w:rsidRPr="00FC5C87" w:rsidRDefault="00375D11" w:rsidP="00375D11">
      <w:pPr>
        <w:pStyle w:val="ListParagraph"/>
        <w:numPr>
          <w:ilvl w:val="0"/>
          <w:numId w:val="9"/>
        </w:numPr>
        <w:ind w:left="426"/>
        <w:jc w:val="both"/>
        <w:rPr>
          <w:rFonts w:ascii="Arial" w:hAnsi="Arial" w:cs="Arial"/>
          <w:sz w:val="22"/>
          <w:szCs w:val="22"/>
          <w:highlight w:val="yellow"/>
        </w:rPr>
      </w:pPr>
      <w:r w:rsidRPr="00FC5C87">
        <w:rPr>
          <w:rFonts w:ascii="Arial" w:hAnsi="Arial" w:cs="Arial"/>
          <w:sz w:val="22"/>
          <w:szCs w:val="22"/>
          <w:highlight w:val="yellow"/>
        </w:rPr>
        <w:t xml:space="preserve">The contested transactions cannot be avoided if Lacroix SARL can prove that the </w:t>
      </w:r>
      <w:r w:rsidRPr="00FC5C87">
        <w:rPr>
          <w:rFonts w:ascii="Arial" w:hAnsi="Arial" w:cs="Arial"/>
          <w:i/>
          <w:sz w:val="22"/>
          <w:szCs w:val="22"/>
          <w:highlight w:val="yellow"/>
        </w:rPr>
        <w:t xml:space="preserve">lex </w:t>
      </w:r>
      <w:proofErr w:type="spellStart"/>
      <w:r w:rsidRPr="00FC5C87">
        <w:rPr>
          <w:rFonts w:ascii="Arial" w:hAnsi="Arial" w:cs="Arial"/>
          <w:i/>
          <w:sz w:val="22"/>
          <w:szCs w:val="22"/>
          <w:highlight w:val="yellow"/>
        </w:rPr>
        <w:t>causae</w:t>
      </w:r>
      <w:proofErr w:type="spellEnd"/>
      <w:r w:rsidRPr="00FC5C87">
        <w:rPr>
          <w:rFonts w:ascii="Arial" w:hAnsi="Arial" w:cs="Arial"/>
          <w:sz w:val="22"/>
          <w:szCs w:val="22"/>
          <w:highlight w:val="yellow"/>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FC5C87" w:rsidRDefault="00375D11" w:rsidP="00375D11">
      <w:pPr>
        <w:pStyle w:val="ListParagraph"/>
        <w:ind w:left="426"/>
        <w:jc w:val="both"/>
        <w:rPr>
          <w:rFonts w:ascii="Arial" w:hAnsi="Arial" w:cs="Arial"/>
          <w:sz w:val="22"/>
          <w:szCs w:val="22"/>
        </w:rPr>
      </w:pPr>
    </w:p>
    <w:p w14:paraId="1A7B7775" w14:textId="4A1D42B1" w:rsidR="00375D11" w:rsidRPr="00FC5C87" w:rsidRDefault="00113E29" w:rsidP="00375D11">
      <w:pPr>
        <w:pStyle w:val="ListParagraph"/>
        <w:numPr>
          <w:ilvl w:val="0"/>
          <w:numId w:val="9"/>
        </w:numPr>
        <w:ind w:left="426"/>
        <w:jc w:val="both"/>
        <w:rPr>
          <w:rFonts w:ascii="Arial" w:hAnsi="Arial" w:cs="Arial"/>
          <w:sz w:val="22"/>
          <w:szCs w:val="22"/>
        </w:rPr>
      </w:pPr>
      <w:r w:rsidRPr="00FC5C87">
        <w:rPr>
          <w:rFonts w:ascii="Arial" w:hAnsi="Arial" w:cs="Arial"/>
          <w:sz w:val="22"/>
          <w:szCs w:val="22"/>
        </w:rPr>
        <w:t xml:space="preserve">To defend the contested payments </w:t>
      </w:r>
      <w:r w:rsidR="00375D11" w:rsidRPr="00FC5C87">
        <w:rPr>
          <w:rFonts w:ascii="Arial" w:hAnsi="Arial" w:cs="Arial"/>
          <w:sz w:val="22"/>
          <w:szCs w:val="22"/>
        </w:rPr>
        <w:t>Lacroix SARL</w:t>
      </w:r>
      <w:r w:rsidRPr="00FC5C87">
        <w:rPr>
          <w:rFonts w:ascii="Arial" w:hAnsi="Arial" w:cs="Arial"/>
          <w:sz w:val="22"/>
          <w:szCs w:val="22"/>
        </w:rPr>
        <w:t xml:space="preserve"> can rely solely, in a purely abstract manner, on the unchallengeable character of the payments at issue on the basis of a provision of the </w:t>
      </w:r>
      <w:r w:rsidRPr="00FC5C87">
        <w:rPr>
          <w:rFonts w:ascii="Arial" w:hAnsi="Arial" w:cs="Arial"/>
          <w:i/>
          <w:sz w:val="22"/>
          <w:szCs w:val="22"/>
        </w:rPr>
        <w:t xml:space="preserve">lex </w:t>
      </w:r>
      <w:proofErr w:type="spellStart"/>
      <w:r w:rsidRPr="00FC5C87">
        <w:rPr>
          <w:rFonts w:ascii="Arial" w:hAnsi="Arial" w:cs="Arial"/>
          <w:i/>
          <w:sz w:val="22"/>
          <w:szCs w:val="22"/>
        </w:rPr>
        <w:t>causae</w:t>
      </w:r>
      <w:proofErr w:type="spellEnd"/>
      <w:r w:rsidRPr="00FC5C87">
        <w:rPr>
          <w:rFonts w:ascii="Arial" w:hAnsi="Arial" w:cs="Arial"/>
          <w:sz w:val="22"/>
          <w:szCs w:val="22"/>
        </w:rPr>
        <w:t>.</w:t>
      </w:r>
    </w:p>
    <w:p w14:paraId="5F946A8C" w14:textId="77777777" w:rsidR="00375D11" w:rsidRPr="00FC5C87" w:rsidRDefault="00375D11" w:rsidP="00375D11">
      <w:pPr>
        <w:pStyle w:val="ListParagraph"/>
        <w:ind w:left="426"/>
        <w:jc w:val="both"/>
        <w:rPr>
          <w:rFonts w:ascii="Arial" w:hAnsi="Arial" w:cs="Arial"/>
          <w:sz w:val="22"/>
          <w:szCs w:val="22"/>
        </w:rPr>
      </w:pPr>
    </w:p>
    <w:p w14:paraId="3BB4C572" w14:textId="0D9E3986" w:rsidR="00375D11" w:rsidRPr="00FC5C87" w:rsidRDefault="00375D11" w:rsidP="00375D11">
      <w:pPr>
        <w:pStyle w:val="ListParagraph"/>
        <w:numPr>
          <w:ilvl w:val="0"/>
          <w:numId w:val="9"/>
        </w:numPr>
        <w:ind w:left="426"/>
        <w:jc w:val="both"/>
        <w:rPr>
          <w:rFonts w:ascii="Arial" w:hAnsi="Arial" w:cs="Arial"/>
          <w:sz w:val="22"/>
          <w:szCs w:val="22"/>
        </w:rPr>
      </w:pPr>
      <w:r w:rsidRPr="00FC5C87">
        <w:rPr>
          <w:rFonts w:ascii="Arial" w:hAnsi="Arial" w:cs="Arial"/>
          <w:sz w:val="22"/>
          <w:szCs w:val="22"/>
        </w:rPr>
        <w:t>The contested payments shall not be avoided if Lacroix SARL proves that such transactions cannot be challenged on the basis of the insolvency provisions of German law (Article 16 EIR Recast).</w:t>
      </w:r>
    </w:p>
    <w:p w14:paraId="628B9548" w14:textId="77777777" w:rsidR="00544F6E" w:rsidRPr="00FC5C87" w:rsidRDefault="00544F6E" w:rsidP="00544F6E">
      <w:pPr>
        <w:jc w:val="both"/>
        <w:rPr>
          <w:rFonts w:ascii="Arial" w:hAnsi="Arial" w:cs="Arial"/>
          <w:sz w:val="22"/>
          <w:szCs w:val="22"/>
        </w:rPr>
      </w:pPr>
    </w:p>
    <w:p w14:paraId="457BE86E" w14:textId="0E2ADA88" w:rsidR="00FC48D8" w:rsidRPr="00FC5C87" w:rsidRDefault="00FC48D8" w:rsidP="002A37BB">
      <w:pPr>
        <w:jc w:val="both"/>
        <w:rPr>
          <w:rFonts w:ascii="Arial" w:hAnsi="Arial" w:cs="Arial"/>
          <w:sz w:val="22"/>
          <w:szCs w:val="22"/>
        </w:rPr>
      </w:pPr>
    </w:p>
    <w:p w14:paraId="5E679430" w14:textId="33EF8B5F" w:rsidR="00E9597C" w:rsidRPr="00FC5C87" w:rsidRDefault="00E9597C" w:rsidP="002A37BB">
      <w:pPr>
        <w:jc w:val="both"/>
        <w:rPr>
          <w:rFonts w:ascii="Arial" w:hAnsi="Arial" w:cs="Arial"/>
          <w:sz w:val="22"/>
          <w:szCs w:val="22"/>
        </w:rPr>
      </w:pPr>
      <w:r w:rsidRPr="00FC5C87">
        <w:rPr>
          <w:rFonts w:ascii="Arial" w:hAnsi="Arial" w:cs="Arial"/>
          <w:b/>
          <w:bCs/>
          <w:sz w:val="22"/>
          <w:szCs w:val="22"/>
        </w:rPr>
        <w:t>Question 1.10</w:t>
      </w:r>
      <w:r w:rsidR="006F4A78" w:rsidRPr="00FC5C87">
        <w:rPr>
          <w:rFonts w:ascii="Arial" w:hAnsi="Arial" w:cs="Arial"/>
          <w:sz w:val="22"/>
          <w:szCs w:val="22"/>
        </w:rPr>
        <w:t xml:space="preserve"> </w:t>
      </w:r>
    </w:p>
    <w:p w14:paraId="72785BD8" w14:textId="77777777" w:rsidR="00E9597C" w:rsidRPr="00FC5C87" w:rsidRDefault="00E9597C" w:rsidP="002A37BB">
      <w:pPr>
        <w:jc w:val="both"/>
        <w:rPr>
          <w:rFonts w:ascii="Arial" w:hAnsi="Arial" w:cs="Arial"/>
          <w:sz w:val="22"/>
          <w:szCs w:val="22"/>
        </w:rPr>
      </w:pPr>
    </w:p>
    <w:p w14:paraId="63111962" w14:textId="5C235A2E" w:rsidR="00FC48D8" w:rsidRPr="00FC5C87" w:rsidRDefault="00FC48D8" w:rsidP="00FC48D8">
      <w:pPr>
        <w:jc w:val="both"/>
        <w:rPr>
          <w:rFonts w:ascii="Arial" w:hAnsi="Arial" w:cs="Arial"/>
          <w:sz w:val="22"/>
          <w:szCs w:val="22"/>
        </w:rPr>
      </w:pPr>
      <w:r w:rsidRPr="00FC5C87">
        <w:rPr>
          <w:rFonts w:ascii="Arial" w:hAnsi="Arial" w:cs="Arial"/>
          <w:sz w:val="22"/>
          <w:szCs w:val="22"/>
        </w:rPr>
        <w:t xml:space="preserve">The </w:t>
      </w:r>
      <w:r w:rsidR="007772BD" w:rsidRPr="00FC5C87">
        <w:rPr>
          <w:rFonts w:ascii="Arial" w:hAnsi="Arial" w:cs="Arial"/>
          <w:sz w:val="22"/>
          <w:szCs w:val="22"/>
        </w:rPr>
        <w:t>French</w:t>
      </w:r>
      <w:r w:rsidRPr="00FC5C87">
        <w:rPr>
          <w:rFonts w:ascii="Arial" w:hAnsi="Arial" w:cs="Arial"/>
          <w:sz w:val="22"/>
          <w:szCs w:val="22"/>
        </w:rPr>
        <w:t xml:space="preserve"> </w:t>
      </w:r>
      <w:r w:rsidR="007772BD" w:rsidRPr="00FC5C87">
        <w:rPr>
          <w:rFonts w:ascii="Arial" w:hAnsi="Arial" w:cs="Arial"/>
          <w:sz w:val="22"/>
          <w:szCs w:val="22"/>
        </w:rPr>
        <w:t xml:space="preserve">Social Security authority asserts to have a social security contribution </w:t>
      </w:r>
      <w:r w:rsidRPr="00FC5C87">
        <w:rPr>
          <w:rFonts w:ascii="Arial" w:hAnsi="Arial" w:cs="Arial"/>
          <w:sz w:val="22"/>
          <w:szCs w:val="22"/>
        </w:rPr>
        <w:t>claim against a</w:t>
      </w:r>
      <w:r w:rsidR="00696ED8" w:rsidRPr="00FC5C87">
        <w:rPr>
          <w:rFonts w:ascii="Arial" w:hAnsi="Arial" w:cs="Arial"/>
          <w:sz w:val="22"/>
          <w:szCs w:val="22"/>
        </w:rPr>
        <w:t>n</w:t>
      </w:r>
      <w:r w:rsidRPr="00FC5C87">
        <w:rPr>
          <w:rFonts w:ascii="Arial" w:hAnsi="Arial" w:cs="Arial"/>
          <w:sz w:val="22"/>
          <w:szCs w:val="22"/>
        </w:rPr>
        <w:t xml:space="preserve"> </w:t>
      </w:r>
      <w:r w:rsidR="007772BD" w:rsidRPr="00FC5C87">
        <w:rPr>
          <w:rFonts w:ascii="Arial" w:hAnsi="Arial" w:cs="Arial"/>
          <w:sz w:val="22"/>
          <w:szCs w:val="22"/>
        </w:rPr>
        <w:t>Irish</w:t>
      </w:r>
      <w:r w:rsidR="00696ED8" w:rsidRPr="00FC5C87">
        <w:rPr>
          <w:rFonts w:ascii="Arial" w:hAnsi="Arial" w:cs="Arial"/>
          <w:sz w:val="22"/>
          <w:szCs w:val="22"/>
        </w:rPr>
        <w:t xml:space="preserve"> company</w:t>
      </w:r>
      <w:r w:rsidRPr="00FC5C87">
        <w:rPr>
          <w:rFonts w:ascii="Arial" w:hAnsi="Arial" w:cs="Arial"/>
          <w:sz w:val="22"/>
          <w:szCs w:val="22"/>
        </w:rPr>
        <w:t xml:space="preserve">, </w:t>
      </w:r>
      <w:r w:rsidR="007772BD" w:rsidRPr="00FC5C87">
        <w:rPr>
          <w:rFonts w:ascii="Arial" w:hAnsi="Arial" w:cs="Arial"/>
          <w:sz w:val="22"/>
          <w:szCs w:val="22"/>
        </w:rPr>
        <w:t>Cupcake Cottage Ltd</w:t>
      </w:r>
      <w:r w:rsidRPr="00FC5C87">
        <w:rPr>
          <w:rFonts w:ascii="Arial" w:hAnsi="Arial" w:cs="Arial"/>
          <w:sz w:val="22"/>
          <w:szCs w:val="22"/>
        </w:rPr>
        <w:t xml:space="preserve">. </w:t>
      </w:r>
      <w:r w:rsidR="007772BD" w:rsidRPr="00FC5C87">
        <w:rPr>
          <w:rFonts w:ascii="Arial" w:hAnsi="Arial" w:cs="Arial"/>
          <w:sz w:val="22"/>
          <w:szCs w:val="22"/>
        </w:rPr>
        <w:t>Cupcake Cottage</w:t>
      </w:r>
      <w:r w:rsidRPr="00FC5C87">
        <w:rPr>
          <w:rFonts w:ascii="Arial" w:hAnsi="Arial" w:cs="Arial"/>
          <w:sz w:val="22"/>
          <w:szCs w:val="22"/>
        </w:rPr>
        <w:t xml:space="preserve"> is subject to the main insolvency proceeding (</w:t>
      </w:r>
      <w:r w:rsidR="007772BD" w:rsidRPr="00FC5C87">
        <w:rPr>
          <w:rFonts w:ascii="Arial" w:hAnsi="Arial" w:cs="Arial"/>
          <w:iCs/>
          <w:sz w:val="22"/>
          <w:szCs w:val="22"/>
        </w:rPr>
        <w:t>Examinership</w:t>
      </w:r>
      <w:r w:rsidRPr="00FC5C87">
        <w:rPr>
          <w:rFonts w:ascii="Arial" w:hAnsi="Arial" w:cs="Arial"/>
          <w:sz w:val="22"/>
          <w:szCs w:val="22"/>
        </w:rPr>
        <w:t xml:space="preserve">) in </w:t>
      </w:r>
      <w:r w:rsidR="007772BD" w:rsidRPr="00FC5C87">
        <w:rPr>
          <w:rFonts w:ascii="Arial" w:hAnsi="Arial" w:cs="Arial"/>
          <w:sz w:val="22"/>
          <w:szCs w:val="22"/>
        </w:rPr>
        <w:t>Ireland</w:t>
      </w:r>
      <w:r w:rsidRPr="00FC5C87">
        <w:rPr>
          <w:rFonts w:ascii="Arial" w:hAnsi="Arial" w:cs="Arial"/>
          <w:sz w:val="22"/>
          <w:szCs w:val="22"/>
        </w:rPr>
        <w:t>. In addition, a secondary insolvency proceeding (</w:t>
      </w:r>
      <w:proofErr w:type="spellStart"/>
      <w:r w:rsidR="007772BD" w:rsidRPr="00FC5C87">
        <w:rPr>
          <w:rFonts w:ascii="Arial" w:hAnsi="Arial" w:cs="Arial"/>
          <w:i/>
          <w:iCs/>
          <w:sz w:val="22"/>
          <w:szCs w:val="22"/>
        </w:rPr>
        <w:t>Concurso</w:t>
      </w:r>
      <w:proofErr w:type="spellEnd"/>
      <w:r w:rsidRPr="00FC5C87">
        <w:rPr>
          <w:rFonts w:ascii="Arial" w:hAnsi="Arial" w:cs="Arial"/>
          <w:sz w:val="22"/>
          <w:szCs w:val="22"/>
        </w:rPr>
        <w:t xml:space="preserve">) relating to </w:t>
      </w:r>
      <w:r w:rsidR="007772BD" w:rsidRPr="00FC5C87">
        <w:rPr>
          <w:rFonts w:ascii="Arial" w:hAnsi="Arial" w:cs="Arial"/>
          <w:sz w:val="22"/>
          <w:szCs w:val="22"/>
        </w:rPr>
        <w:t>the same company has been opened in Spain</w:t>
      </w:r>
      <w:r w:rsidRPr="00FC5C87">
        <w:rPr>
          <w:rFonts w:ascii="Arial" w:hAnsi="Arial" w:cs="Arial"/>
          <w:sz w:val="22"/>
          <w:szCs w:val="22"/>
        </w:rPr>
        <w:t>.</w:t>
      </w:r>
    </w:p>
    <w:p w14:paraId="2207B97E" w14:textId="77777777" w:rsidR="00FC48D8" w:rsidRPr="00FC5C87" w:rsidRDefault="00FC48D8" w:rsidP="00FC48D8">
      <w:pPr>
        <w:jc w:val="both"/>
        <w:rPr>
          <w:rFonts w:ascii="Arial" w:hAnsi="Arial" w:cs="Arial"/>
          <w:sz w:val="22"/>
          <w:szCs w:val="22"/>
        </w:rPr>
      </w:pPr>
    </w:p>
    <w:p w14:paraId="1D63D80A" w14:textId="77777777" w:rsidR="00FC48D8" w:rsidRPr="00FC5C87" w:rsidRDefault="00FC48D8" w:rsidP="00FC48D8">
      <w:pPr>
        <w:jc w:val="both"/>
        <w:rPr>
          <w:rFonts w:ascii="Arial" w:hAnsi="Arial" w:cs="Arial"/>
          <w:sz w:val="22"/>
          <w:szCs w:val="22"/>
        </w:rPr>
      </w:pPr>
      <w:r w:rsidRPr="00FC5C87">
        <w:rPr>
          <w:rFonts w:ascii="Arial" w:hAnsi="Arial" w:cs="Arial"/>
          <w:sz w:val="22"/>
          <w:szCs w:val="22"/>
        </w:rPr>
        <w:t>Assume that:</w:t>
      </w:r>
    </w:p>
    <w:p w14:paraId="1A63B321" w14:textId="77777777" w:rsidR="00FC48D8" w:rsidRPr="00FC5C87" w:rsidRDefault="00FC48D8" w:rsidP="00FC48D8">
      <w:pPr>
        <w:jc w:val="both"/>
        <w:rPr>
          <w:rFonts w:ascii="Arial" w:hAnsi="Arial" w:cs="Arial"/>
          <w:sz w:val="22"/>
          <w:szCs w:val="22"/>
        </w:rPr>
      </w:pPr>
      <w:r w:rsidRPr="00FC5C87">
        <w:rPr>
          <w:rFonts w:ascii="Arial" w:hAnsi="Arial" w:cs="Arial"/>
          <w:sz w:val="22"/>
          <w:szCs w:val="22"/>
        </w:rPr>
        <w:t xml:space="preserve"> </w:t>
      </w:r>
    </w:p>
    <w:p w14:paraId="7DDBB501" w14:textId="791601FF" w:rsidR="00FC48D8" w:rsidRPr="00FC5C87" w:rsidRDefault="00FC48D8" w:rsidP="003C4BCB">
      <w:pPr>
        <w:pStyle w:val="ListParagraph"/>
        <w:numPr>
          <w:ilvl w:val="0"/>
          <w:numId w:val="1"/>
        </w:numPr>
        <w:ind w:left="426"/>
        <w:jc w:val="both"/>
        <w:rPr>
          <w:rFonts w:ascii="Arial" w:hAnsi="Arial" w:cs="Arial"/>
          <w:sz w:val="22"/>
          <w:szCs w:val="22"/>
        </w:rPr>
      </w:pPr>
      <w:r w:rsidRPr="00FC5C87">
        <w:rPr>
          <w:rFonts w:ascii="Arial" w:hAnsi="Arial" w:cs="Arial"/>
          <w:sz w:val="22"/>
          <w:szCs w:val="22"/>
        </w:rPr>
        <w:t xml:space="preserve">Under </w:t>
      </w:r>
      <w:r w:rsidR="007772BD" w:rsidRPr="00FC5C87">
        <w:rPr>
          <w:rFonts w:ascii="Arial" w:hAnsi="Arial" w:cs="Arial"/>
          <w:sz w:val="22"/>
          <w:szCs w:val="22"/>
        </w:rPr>
        <w:t>French law</w:t>
      </w:r>
      <w:r w:rsidRPr="00FC5C87">
        <w:rPr>
          <w:rFonts w:ascii="Arial" w:hAnsi="Arial" w:cs="Arial"/>
          <w:sz w:val="22"/>
          <w:szCs w:val="22"/>
        </w:rPr>
        <w:t>, creditors (except employees) must file proof of their claim within two (2) months from the publication in the French legal gazette of a notice of the judgment opening the insolvency proceedings.</w:t>
      </w:r>
    </w:p>
    <w:p w14:paraId="30D97646" w14:textId="77777777" w:rsidR="008017F0" w:rsidRPr="00FC5C87" w:rsidRDefault="008017F0" w:rsidP="008017F0">
      <w:pPr>
        <w:ind w:left="66"/>
        <w:jc w:val="both"/>
        <w:rPr>
          <w:rFonts w:ascii="Arial" w:hAnsi="Arial" w:cs="Arial"/>
          <w:sz w:val="22"/>
          <w:szCs w:val="22"/>
        </w:rPr>
      </w:pPr>
    </w:p>
    <w:p w14:paraId="70BBD428" w14:textId="68EAB384" w:rsidR="00FC48D8" w:rsidRPr="00FC5C87" w:rsidRDefault="00FC48D8" w:rsidP="003C4BCB">
      <w:pPr>
        <w:pStyle w:val="ListParagraph"/>
        <w:numPr>
          <w:ilvl w:val="0"/>
          <w:numId w:val="1"/>
        </w:numPr>
        <w:ind w:left="426"/>
        <w:jc w:val="both"/>
        <w:rPr>
          <w:rFonts w:ascii="Arial" w:hAnsi="Arial" w:cs="Arial"/>
          <w:sz w:val="22"/>
          <w:szCs w:val="22"/>
        </w:rPr>
      </w:pPr>
      <w:r w:rsidRPr="00FC5C87">
        <w:rPr>
          <w:rFonts w:ascii="Arial" w:hAnsi="Arial" w:cs="Arial"/>
          <w:sz w:val="22"/>
          <w:szCs w:val="22"/>
        </w:rPr>
        <w:t xml:space="preserve">Under </w:t>
      </w:r>
      <w:r w:rsidR="007772BD" w:rsidRPr="00FC5C87">
        <w:rPr>
          <w:rFonts w:ascii="Arial" w:hAnsi="Arial" w:cs="Arial"/>
          <w:sz w:val="22"/>
          <w:szCs w:val="22"/>
        </w:rPr>
        <w:t>Spanish</w:t>
      </w:r>
      <w:r w:rsidRPr="00FC5C87">
        <w:rPr>
          <w:rFonts w:ascii="Arial" w:hAnsi="Arial" w:cs="Arial"/>
          <w:sz w:val="22"/>
          <w:szCs w:val="22"/>
        </w:rPr>
        <w:t xml:space="preserve"> law, the period within which creditors must file their claims is </w:t>
      </w:r>
      <w:r w:rsidR="006F2B12" w:rsidRPr="00FC5C87">
        <w:rPr>
          <w:rFonts w:ascii="Arial" w:hAnsi="Arial" w:cs="Arial"/>
          <w:sz w:val="22"/>
          <w:szCs w:val="22"/>
        </w:rPr>
        <w:t>one month</w:t>
      </w:r>
      <w:r w:rsidRPr="00FC5C87">
        <w:rPr>
          <w:rFonts w:ascii="Arial" w:hAnsi="Arial" w:cs="Arial"/>
          <w:sz w:val="22"/>
          <w:szCs w:val="22"/>
        </w:rPr>
        <w:t xml:space="preserve">, as set in the order opening secondary insolvency proceedings against </w:t>
      </w:r>
      <w:r w:rsidR="007772BD" w:rsidRPr="00FC5C87">
        <w:rPr>
          <w:rFonts w:ascii="Arial" w:hAnsi="Arial" w:cs="Arial"/>
          <w:sz w:val="22"/>
          <w:szCs w:val="22"/>
        </w:rPr>
        <w:t>Cupcake Cottage</w:t>
      </w:r>
      <w:r w:rsidRPr="00FC5C87">
        <w:rPr>
          <w:rFonts w:ascii="Arial" w:hAnsi="Arial" w:cs="Arial"/>
          <w:sz w:val="22"/>
          <w:szCs w:val="22"/>
        </w:rPr>
        <w:t>.</w:t>
      </w:r>
    </w:p>
    <w:p w14:paraId="70C6F8D7" w14:textId="77777777" w:rsidR="00FC48D8" w:rsidRPr="00FC5C87" w:rsidRDefault="00FC48D8" w:rsidP="00FC48D8">
      <w:pPr>
        <w:jc w:val="both"/>
        <w:rPr>
          <w:rFonts w:ascii="Arial" w:hAnsi="Arial" w:cs="Arial"/>
          <w:sz w:val="22"/>
          <w:szCs w:val="22"/>
        </w:rPr>
      </w:pPr>
    </w:p>
    <w:p w14:paraId="1C45491E" w14:textId="3B78A34D" w:rsidR="00FC48D8" w:rsidRPr="00FC5C87" w:rsidRDefault="00FC48D8" w:rsidP="00FC48D8">
      <w:pPr>
        <w:jc w:val="both"/>
        <w:rPr>
          <w:rFonts w:ascii="Arial" w:eastAsiaTheme="minorHAnsi" w:hAnsi="Arial" w:cs="Arial"/>
          <w:sz w:val="22"/>
          <w:szCs w:val="22"/>
        </w:rPr>
      </w:pPr>
      <w:r w:rsidRPr="00FC5C87">
        <w:rPr>
          <w:rFonts w:ascii="Arial" w:hAnsi="Arial" w:cs="Arial"/>
          <w:sz w:val="22"/>
          <w:szCs w:val="22"/>
        </w:rPr>
        <w:t xml:space="preserve">The </w:t>
      </w:r>
      <w:r w:rsidR="008017F0" w:rsidRPr="00FC5C87">
        <w:rPr>
          <w:rFonts w:ascii="Arial" w:hAnsi="Arial" w:cs="Arial"/>
          <w:sz w:val="22"/>
          <w:szCs w:val="22"/>
        </w:rPr>
        <w:t xml:space="preserve">French </w:t>
      </w:r>
      <w:r w:rsidRPr="00FC5C87">
        <w:rPr>
          <w:rFonts w:ascii="Arial" w:hAnsi="Arial" w:cs="Arial"/>
          <w:sz w:val="22"/>
          <w:szCs w:val="22"/>
        </w:rPr>
        <w:t xml:space="preserve">tax authority intends to file its claim in the </w:t>
      </w:r>
      <w:r w:rsidR="007772BD" w:rsidRPr="00FC5C87">
        <w:rPr>
          <w:rFonts w:ascii="Arial" w:hAnsi="Arial" w:cs="Arial"/>
          <w:sz w:val="22"/>
          <w:szCs w:val="22"/>
        </w:rPr>
        <w:t>Spanish</w:t>
      </w:r>
      <w:r w:rsidRPr="00FC5C87">
        <w:rPr>
          <w:rFonts w:ascii="Arial" w:hAnsi="Arial" w:cs="Arial"/>
          <w:sz w:val="22"/>
          <w:szCs w:val="22"/>
        </w:rPr>
        <w:t xml:space="preserve"> proceedings. Within which time period can the French tax authority do so?</w:t>
      </w:r>
    </w:p>
    <w:p w14:paraId="2912C4DD" w14:textId="77777777" w:rsidR="00FC48D8" w:rsidRPr="00FC5C87" w:rsidRDefault="00FC48D8" w:rsidP="00FC48D8">
      <w:pPr>
        <w:jc w:val="both"/>
        <w:rPr>
          <w:rFonts w:ascii="Arial" w:eastAsiaTheme="minorHAnsi" w:hAnsi="Arial" w:cs="Arial"/>
          <w:sz w:val="22"/>
          <w:szCs w:val="22"/>
        </w:rPr>
      </w:pPr>
    </w:p>
    <w:p w14:paraId="50171844" w14:textId="35A17E67" w:rsidR="00FC48D8" w:rsidRPr="00FC5C87" w:rsidRDefault="00FC48D8" w:rsidP="003C4BCB">
      <w:pPr>
        <w:pStyle w:val="ListParagraph"/>
        <w:numPr>
          <w:ilvl w:val="0"/>
          <w:numId w:val="11"/>
        </w:numPr>
        <w:ind w:left="426"/>
        <w:jc w:val="both"/>
        <w:rPr>
          <w:rFonts w:ascii="Arial" w:hAnsi="Arial" w:cs="Arial"/>
          <w:sz w:val="22"/>
          <w:szCs w:val="22"/>
        </w:rPr>
      </w:pPr>
      <w:r w:rsidRPr="00FC5C87">
        <w:rPr>
          <w:rFonts w:ascii="Arial" w:hAnsi="Arial" w:cs="Arial"/>
          <w:sz w:val="22"/>
          <w:szCs w:val="22"/>
        </w:rPr>
        <w:t>Within two (2) months following the publication date, as guaranteed by the French law (law applicable to the creditor).</w:t>
      </w:r>
    </w:p>
    <w:p w14:paraId="0F7AFCE7" w14:textId="77777777" w:rsidR="008017F0" w:rsidRPr="00FC5C87" w:rsidRDefault="008017F0" w:rsidP="008017F0">
      <w:pPr>
        <w:jc w:val="both"/>
        <w:rPr>
          <w:rFonts w:ascii="Arial" w:hAnsi="Arial" w:cs="Arial"/>
          <w:sz w:val="22"/>
          <w:szCs w:val="22"/>
        </w:rPr>
      </w:pPr>
    </w:p>
    <w:p w14:paraId="210ADB92" w14:textId="6FE3053C" w:rsidR="00FC48D8" w:rsidRPr="00FC5C87" w:rsidRDefault="00FC48D8" w:rsidP="003C4BCB">
      <w:pPr>
        <w:pStyle w:val="ListParagraph"/>
        <w:numPr>
          <w:ilvl w:val="0"/>
          <w:numId w:val="11"/>
        </w:numPr>
        <w:ind w:left="426"/>
        <w:jc w:val="both"/>
        <w:rPr>
          <w:rFonts w:ascii="Arial" w:hAnsi="Arial" w:cs="Arial"/>
          <w:sz w:val="22"/>
          <w:szCs w:val="22"/>
        </w:rPr>
      </w:pPr>
      <w:r w:rsidRPr="00FC5C87">
        <w:rPr>
          <w:rFonts w:ascii="Arial" w:hAnsi="Arial" w:cs="Arial"/>
          <w:sz w:val="22"/>
          <w:szCs w:val="22"/>
        </w:rPr>
        <w:t xml:space="preserve">Within </w:t>
      </w:r>
      <w:r w:rsidR="006F2B12" w:rsidRPr="00FC5C87">
        <w:rPr>
          <w:rFonts w:ascii="Arial" w:hAnsi="Arial" w:cs="Arial"/>
          <w:sz w:val="22"/>
          <w:szCs w:val="22"/>
        </w:rPr>
        <w:t>one month</w:t>
      </w:r>
      <w:r w:rsidRPr="00FC5C87">
        <w:rPr>
          <w:rFonts w:ascii="Arial" w:hAnsi="Arial" w:cs="Arial"/>
          <w:sz w:val="22"/>
          <w:szCs w:val="22"/>
        </w:rPr>
        <w:t xml:space="preserve">, as stipulated in the applicable </w:t>
      </w:r>
      <w:r w:rsidRPr="00FC5C87">
        <w:rPr>
          <w:rFonts w:ascii="Arial" w:hAnsi="Arial" w:cs="Arial"/>
          <w:i/>
          <w:sz w:val="22"/>
          <w:szCs w:val="22"/>
        </w:rPr>
        <w:t xml:space="preserve">lex concursus </w:t>
      </w:r>
      <w:proofErr w:type="spellStart"/>
      <w:r w:rsidRPr="00FC5C87">
        <w:rPr>
          <w:rFonts w:ascii="Arial" w:hAnsi="Arial" w:cs="Arial"/>
          <w:i/>
          <w:sz w:val="22"/>
          <w:szCs w:val="22"/>
        </w:rPr>
        <w:t>secundarii</w:t>
      </w:r>
      <w:proofErr w:type="spellEnd"/>
      <w:r w:rsidRPr="00FC5C87">
        <w:rPr>
          <w:rFonts w:ascii="Arial" w:hAnsi="Arial" w:cs="Arial"/>
          <w:sz w:val="22"/>
          <w:szCs w:val="22"/>
        </w:rPr>
        <w:t xml:space="preserve"> (law of the insolvency proceeding at issue).</w:t>
      </w:r>
    </w:p>
    <w:p w14:paraId="79099DDC" w14:textId="77777777" w:rsidR="008017F0" w:rsidRPr="00FC5C87" w:rsidRDefault="008017F0" w:rsidP="008017F0">
      <w:pPr>
        <w:jc w:val="both"/>
        <w:rPr>
          <w:rFonts w:ascii="Arial" w:hAnsi="Arial" w:cs="Arial"/>
          <w:sz w:val="22"/>
          <w:szCs w:val="22"/>
        </w:rPr>
      </w:pPr>
    </w:p>
    <w:p w14:paraId="389634F9" w14:textId="2002E2A7" w:rsidR="00FC48D8" w:rsidRPr="00FC5C87" w:rsidRDefault="00FC48D8" w:rsidP="003C4BCB">
      <w:pPr>
        <w:pStyle w:val="ListParagraph"/>
        <w:numPr>
          <w:ilvl w:val="0"/>
          <w:numId w:val="11"/>
        </w:numPr>
        <w:ind w:left="426"/>
        <w:jc w:val="both"/>
        <w:rPr>
          <w:rFonts w:ascii="Arial" w:hAnsi="Arial" w:cs="Arial"/>
          <w:sz w:val="22"/>
          <w:szCs w:val="22"/>
          <w:highlight w:val="yellow"/>
        </w:rPr>
      </w:pPr>
      <w:r w:rsidRPr="00FC5C87">
        <w:rPr>
          <w:rFonts w:ascii="Arial" w:hAnsi="Arial" w:cs="Arial"/>
          <w:sz w:val="22"/>
          <w:szCs w:val="22"/>
          <w:highlight w:val="yellow"/>
        </w:rPr>
        <w:t>Within 30 days following the publication of the opening of insolvency proceedings in th</w:t>
      </w:r>
      <w:r w:rsidR="007772BD" w:rsidRPr="00FC5C87">
        <w:rPr>
          <w:rFonts w:ascii="Arial" w:hAnsi="Arial" w:cs="Arial"/>
          <w:sz w:val="22"/>
          <w:szCs w:val="22"/>
          <w:highlight w:val="yellow"/>
        </w:rPr>
        <w:t>e insolvency register of Spain</w:t>
      </w:r>
      <w:r w:rsidRPr="00FC5C87">
        <w:rPr>
          <w:rFonts w:ascii="Arial" w:hAnsi="Arial" w:cs="Arial"/>
          <w:sz w:val="22"/>
          <w:szCs w:val="22"/>
          <w:highlight w:val="yellow"/>
        </w:rPr>
        <w:t>.</w:t>
      </w:r>
    </w:p>
    <w:p w14:paraId="1685A032" w14:textId="77777777" w:rsidR="008017F0" w:rsidRPr="00FC5C87" w:rsidRDefault="008017F0" w:rsidP="008017F0">
      <w:pPr>
        <w:jc w:val="both"/>
        <w:rPr>
          <w:rFonts w:ascii="Arial" w:hAnsi="Arial" w:cs="Arial"/>
          <w:sz w:val="22"/>
          <w:szCs w:val="22"/>
        </w:rPr>
      </w:pPr>
    </w:p>
    <w:p w14:paraId="757B127D" w14:textId="039DD67F" w:rsidR="00FC48D8" w:rsidRPr="00FC5C87" w:rsidRDefault="00FC48D8" w:rsidP="003C4BCB">
      <w:pPr>
        <w:pStyle w:val="ListParagraph"/>
        <w:numPr>
          <w:ilvl w:val="0"/>
          <w:numId w:val="11"/>
        </w:numPr>
        <w:ind w:left="426"/>
        <w:jc w:val="both"/>
        <w:rPr>
          <w:rFonts w:ascii="Arial" w:hAnsi="Arial" w:cs="Arial"/>
          <w:sz w:val="22"/>
          <w:szCs w:val="22"/>
        </w:rPr>
      </w:pPr>
      <w:r w:rsidRPr="00FC5C87">
        <w:rPr>
          <w:rFonts w:ascii="Arial" w:hAnsi="Arial" w:cs="Arial"/>
          <w:sz w:val="22"/>
          <w:szCs w:val="22"/>
        </w:rPr>
        <w:t xml:space="preserve">Within the time limit prescribed by the </w:t>
      </w:r>
      <w:r w:rsidRPr="00FC5C87">
        <w:rPr>
          <w:rFonts w:ascii="Arial" w:hAnsi="Arial" w:cs="Arial"/>
          <w:i/>
          <w:sz w:val="22"/>
          <w:szCs w:val="22"/>
        </w:rPr>
        <w:t>lex concursus</w:t>
      </w:r>
      <w:r w:rsidRPr="00FC5C87">
        <w:rPr>
          <w:rFonts w:ascii="Arial" w:hAnsi="Arial" w:cs="Arial"/>
          <w:sz w:val="22"/>
          <w:szCs w:val="22"/>
        </w:rPr>
        <w:t xml:space="preserve"> of the main insolvency proceeding (</w:t>
      </w:r>
      <w:r w:rsidR="007772BD" w:rsidRPr="00FC5C87">
        <w:rPr>
          <w:rFonts w:ascii="Arial" w:hAnsi="Arial" w:cs="Arial"/>
          <w:sz w:val="22"/>
          <w:szCs w:val="22"/>
        </w:rPr>
        <w:t>Irish</w:t>
      </w:r>
      <w:r w:rsidRPr="00FC5C87">
        <w:rPr>
          <w:rFonts w:ascii="Arial" w:hAnsi="Arial" w:cs="Arial"/>
          <w:sz w:val="22"/>
          <w:szCs w:val="22"/>
        </w:rPr>
        <w:t xml:space="preserve"> law).</w:t>
      </w:r>
    </w:p>
    <w:p w14:paraId="054EFBA6" w14:textId="12CC88DC" w:rsidR="008017F0" w:rsidRPr="00FC5C87" w:rsidRDefault="008017F0">
      <w:pPr>
        <w:rPr>
          <w:rFonts w:ascii="Arial" w:hAnsi="Arial" w:cs="Arial"/>
          <w:b/>
          <w:sz w:val="22"/>
          <w:szCs w:val="22"/>
        </w:rPr>
      </w:pPr>
    </w:p>
    <w:p w14:paraId="4FC20A3B" w14:textId="36B02271" w:rsidR="00962045" w:rsidRPr="005D53EA" w:rsidRDefault="00DF75F8" w:rsidP="002A37BB">
      <w:pPr>
        <w:jc w:val="both"/>
        <w:rPr>
          <w:rFonts w:ascii="Arial" w:hAnsi="Arial" w:cs="Arial"/>
          <w:b/>
          <w:sz w:val="22"/>
          <w:szCs w:val="22"/>
          <w:lang w:val="fr-BE"/>
        </w:rPr>
      </w:pPr>
      <w:r w:rsidRPr="005D53EA">
        <w:rPr>
          <w:rFonts w:ascii="Arial" w:hAnsi="Arial" w:cs="Arial"/>
          <w:b/>
          <w:sz w:val="22"/>
          <w:szCs w:val="22"/>
          <w:lang w:val="fr-BE"/>
        </w:rPr>
        <w:t>QUESTION 2</w:t>
      </w:r>
      <w:r w:rsidR="00962045" w:rsidRPr="005D53EA">
        <w:rPr>
          <w:rFonts w:ascii="Arial" w:hAnsi="Arial" w:cs="Arial"/>
          <w:b/>
          <w:sz w:val="22"/>
          <w:szCs w:val="22"/>
          <w:lang w:val="fr-BE"/>
        </w:rPr>
        <w:t xml:space="preserve"> (direct questions) [10 marks]</w:t>
      </w:r>
    </w:p>
    <w:p w14:paraId="620F47E2" w14:textId="77777777" w:rsidR="00962045" w:rsidRPr="005D53EA" w:rsidRDefault="00962045" w:rsidP="002A37BB">
      <w:pPr>
        <w:ind w:left="720" w:hanging="720"/>
        <w:jc w:val="both"/>
        <w:rPr>
          <w:rFonts w:ascii="Arial" w:hAnsi="Arial" w:cs="Arial"/>
          <w:sz w:val="22"/>
          <w:szCs w:val="22"/>
          <w:lang w:val="fr-BE"/>
        </w:rPr>
      </w:pPr>
    </w:p>
    <w:p w14:paraId="40595AA6" w14:textId="00E19C0A" w:rsidR="002C13C8" w:rsidRPr="005D53EA" w:rsidRDefault="002C13C8" w:rsidP="002A37BB">
      <w:pPr>
        <w:ind w:left="720" w:hanging="720"/>
        <w:jc w:val="both"/>
        <w:rPr>
          <w:rFonts w:ascii="Arial" w:hAnsi="Arial" w:cs="Arial"/>
          <w:sz w:val="22"/>
          <w:szCs w:val="22"/>
          <w:lang w:val="fr-BE"/>
        </w:rPr>
      </w:pPr>
      <w:r w:rsidRPr="005D53EA">
        <w:rPr>
          <w:rFonts w:ascii="Arial" w:hAnsi="Arial" w:cs="Arial"/>
          <w:b/>
          <w:bCs/>
          <w:sz w:val="22"/>
          <w:szCs w:val="22"/>
          <w:lang w:val="fr-BE"/>
        </w:rPr>
        <w:t xml:space="preserve">Question </w:t>
      </w:r>
      <w:r w:rsidR="00962045" w:rsidRPr="005D53EA">
        <w:rPr>
          <w:rFonts w:ascii="Arial" w:hAnsi="Arial" w:cs="Arial"/>
          <w:b/>
          <w:bCs/>
          <w:sz w:val="22"/>
          <w:szCs w:val="22"/>
          <w:lang w:val="fr-BE"/>
        </w:rPr>
        <w:t>2.1</w:t>
      </w:r>
      <w:r w:rsidR="00962045" w:rsidRPr="005D53EA">
        <w:rPr>
          <w:rFonts w:ascii="Arial" w:hAnsi="Arial" w:cs="Arial"/>
          <w:b/>
          <w:bCs/>
          <w:sz w:val="22"/>
          <w:szCs w:val="22"/>
          <w:lang w:val="fr-BE"/>
        </w:rPr>
        <w:tab/>
      </w:r>
      <w:r w:rsidR="00DE03AF" w:rsidRPr="005D53EA">
        <w:rPr>
          <w:rFonts w:ascii="Arial" w:hAnsi="Arial" w:cs="Arial"/>
          <w:b/>
          <w:bCs/>
          <w:sz w:val="22"/>
          <w:szCs w:val="22"/>
          <w:lang w:val="fr-BE"/>
        </w:rPr>
        <w:t>[</w:t>
      </w:r>
      <w:r w:rsidR="00D17FDC" w:rsidRPr="005D53EA">
        <w:rPr>
          <w:rFonts w:ascii="Arial" w:hAnsi="Arial" w:cs="Arial"/>
          <w:b/>
          <w:bCs/>
          <w:sz w:val="22"/>
          <w:szCs w:val="22"/>
          <w:lang w:val="fr-BE"/>
        </w:rPr>
        <w:t>m</w:t>
      </w:r>
      <w:r w:rsidR="00DE03AF" w:rsidRPr="005D53EA">
        <w:rPr>
          <w:rFonts w:ascii="Arial" w:hAnsi="Arial" w:cs="Arial"/>
          <w:b/>
          <w:bCs/>
          <w:sz w:val="22"/>
          <w:szCs w:val="22"/>
          <w:lang w:val="fr-BE"/>
        </w:rPr>
        <w:t xml:space="preserve">aximum </w:t>
      </w:r>
      <w:r w:rsidR="00CB1983" w:rsidRPr="005D53EA">
        <w:rPr>
          <w:rFonts w:ascii="Arial" w:hAnsi="Arial" w:cs="Arial"/>
          <w:b/>
          <w:bCs/>
          <w:sz w:val="22"/>
          <w:szCs w:val="22"/>
          <w:lang w:val="fr-BE"/>
        </w:rPr>
        <w:t>2</w:t>
      </w:r>
      <w:r w:rsidR="00DE03AF" w:rsidRPr="005D53EA">
        <w:rPr>
          <w:rFonts w:ascii="Arial" w:hAnsi="Arial" w:cs="Arial"/>
          <w:b/>
          <w:bCs/>
          <w:sz w:val="22"/>
          <w:szCs w:val="22"/>
          <w:lang w:val="fr-BE"/>
        </w:rPr>
        <w:t xml:space="preserve"> marks</w:t>
      </w:r>
      <w:r w:rsidR="00DE03AF" w:rsidRPr="005D53EA">
        <w:rPr>
          <w:rFonts w:ascii="Arial" w:hAnsi="Arial" w:cs="Arial"/>
          <w:sz w:val="22"/>
          <w:szCs w:val="22"/>
          <w:lang w:val="fr-BE"/>
        </w:rPr>
        <w:t xml:space="preserve">] </w:t>
      </w:r>
    </w:p>
    <w:p w14:paraId="36EB02DF" w14:textId="77777777" w:rsidR="002C13C8" w:rsidRPr="005D53EA" w:rsidRDefault="002C13C8" w:rsidP="002A37BB">
      <w:pPr>
        <w:ind w:left="720" w:hanging="720"/>
        <w:jc w:val="both"/>
        <w:rPr>
          <w:rFonts w:ascii="Arial" w:hAnsi="Arial" w:cs="Arial"/>
          <w:sz w:val="22"/>
          <w:szCs w:val="22"/>
          <w:lang w:val="fr-BE"/>
        </w:rPr>
      </w:pPr>
    </w:p>
    <w:p w14:paraId="1F035B3C" w14:textId="5CF54093" w:rsidR="00636C15" w:rsidRPr="00FC5C87" w:rsidRDefault="00636C15" w:rsidP="00636C15">
      <w:pPr>
        <w:jc w:val="both"/>
        <w:rPr>
          <w:rFonts w:ascii="Arial" w:hAnsi="Arial" w:cs="Arial"/>
          <w:sz w:val="22"/>
          <w:szCs w:val="22"/>
        </w:rPr>
      </w:pPr>
      <w:r w:rsidRPr="00FC5C87">
        <w:rPr>
          <w:rFonts w:ascii="Arial" w:hAnsi="Arial" w:cs="Arial"/>
          <w:sz w:val="22"/>
          <w:szCs w:val="22"/>
        </w:rPr>
        <w:t xml:space="preserve">The following </w:t>
      </w:r>
      <w:r w:rsidRPr="00FC5C87">
        <w:rPr>
          <w:rFonts w:ascii="Arial" w:hAnsi="Arial" w:cs="Arial"/>
          <w:b/>
          <w:bCs/>
          <w:sz w:val="22"/>
          <w:szCs w:val="22"/>
          <w:u w:val="single"/>
        </w:rPr>
        <w:t>t</w:t>
      </w:r>
      <w:r w:rsidR="00007146" w:rsidRPr="00FC5C87">
        <w:rPr>
          <w:rFonts w:ascii="Arial" w:hAnsi="Arial" w:cs="Arial"/>
          <w:b/>
          <w:bCs/>
          <w:sz w:val="22"/>
          <w:szCs w:val="22"/>
          <w:u w:val="single"/>
        </w:rPr>
        <w:t>wo</w:t>
      </w:r>
      <w:r w:rsidRPr="00FC5C87">
        <w:rPr>
          <w:rFonts w:ascii="Arial" w:hAnsi="Arial" w:cs="Arial"/>
          <w:b/>
          <w:bCs/>
          <w:sz w:val="22"/>
          <w:szCs w:val="22"/>
          <w:u w:val="single"/>
        </w:rPr>
        <w:t xml:space="preserve"> (</w:t>
      </w:r>
      <w:r w:rsidR="00ED472A" w:rsidRPr="00FC5C87">
        <w:rPr>
          <w:rFonts w:ascii="Arial" w:hAnsi="Arial" w:cs="Arial"/>
          <w:b/>
          <w:bCs/>
          <w:sz w:val="22"/>
          <w:szCs w:val="22"/>
          <w:u w:val="single"/>
        </w:rPr>
        <w:t>2</w:t>
      </w:r>
      <w:r w:rsidRPr="00FC5C87">
        <w:rPr>
          <w:rFonts w:ascii="Arial" w:hAnsi="Arial" w:cs="Arial"/>
          <w:b/>
          <w:bCs/>
          <w:sz w:val="22"/>
          <w:szCs w:val="22"/>
          <w:u w:val="single"/>
        </w:rPr>
        <w:t>) statements</w:t>
      </w:r>
      <w:r w:rsidRPr="00FC5C87">
        <w:rPr>
          <w:rFonts w:ascii="Arial" w:hAnsi="Arial" w:cs="Arial"/>
          <w:sz w:val="22"/>
          <w:szCs w:val="22"/>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FC5C87" w:rsidRDefault="00636C15" w:rsidP="00636C15">
      <w:pPr>
        <w:jc w:val="both"/>
        <w:rPr>
          <w:rFonts w:ascii="Arial" w:hAnsi="Arial" w:cs="Arial"/>
          <w:sz w:val="22"/>
          <w:szCs w:val="22"/>
        </w:rPr>
      </w:pPr>
    </w:p>
    <w:p w14:paraId="6693C69F" w14:textId="75B73D61" w:rsidR="00636C15" w:rsidRPr="00FC5C87" w:rsidRDefault="00636C15" w:rsidP="00636C15">
      <w:pPr>
        <w:jc w:val="both"/>
        <w:rPr>
          <w:rFonts w:ascii="Arial" w:hAnsi="Arial" w:cs="Arial"/>
          <w:sz w:val="22"/>
          <w:szCs w:val="22"/>
        </w:rPr>
      </w:pPr>
      <w:r w:rsidRPr="00FC5C87">
        <w:rPr>
          <w:rFonts w:ascii="Arial" w:hAnsi="Arial" w:cs="Arial"/>
          <w:sz w:val="22"/>
          <w:szCs w:val="22"/>
          <w:u w:val="single"/>
        </w:rPr>
        <w:t>Statement 1</w:t>
      </w:r>
      <w:r w:rsidRPr="00FC5C87">
        <w:rPr>
          <w:rFonts w:ascii="Arial" w:hAnsi="Arial" w:cs="Arial"/>
          <w:sz w:val="22"/>
          <w:szCs w:val="22"/>
        </w:rPr>
        <w:t>. “</w:t>
      </w:r>
      <w:r w:rsidR="0049649C" w:rsidRPr="00FC5C87">
        <w:rPr>
          <w:rFonts w:ascii="Arial" w:hAnsi="Arial" w:cs="Arial"/>
          <w:sz w:val="22"/>
          <w:szCs w:val="22"/>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FC5C87" w:rsidRDefault="00636C15" w:rsidP="00636C15">
      <w:pPr>
        <w:jc w:val="both"/>
        <w:rPr>
          <w:rFonts w:ascii="Arial" w:hAnsi="Arial" w:cs="Arial"/>
          <w:sz w:val="22"/>
          <w:szCs w:val="22"/>
        </w:rPr>
      </w:pPr>
    </w:p>
    <w:p w14:paraId="2F802B87" w14:textId="24FB20F9" w:rsidR="00636C15" w:rsidRPr="00FC5C87" w:rsidRDefault="00636C15" w:rsidP="00636C15">
      <w:pPr>
        <w:jc w:val="both"/>
        <w:rPr>
          <w:rFonts w:ascii="Arial" w:hAnsi="Arial" w:cs="Arial"/>
          <w:sz w:val="22"/>
          <w:szCs w:val="22"/>
        </w:rPr>
      </w:pPr>
      <w:r w:rsidRPr="00FC5C87">
        <w:rPr>
          <w:rFonts w:ascii="Arial" w:hAnsi="Arial" w:cs="Arial"/>
          <w:sz w:val="22"/>
          <w:szCs w:val="22"/>
          <w:u w:val="single"/>
        </w:rPr>
        <w:t xml:space="preserve">Statement </w:t>
      </w:r>
      <w:r w:rsidR="00ED472A" w:rsidRPr="00FC5C87">
        <w:rPr>
          <w:rFonts w:ascii="Arial" w:hAnsi="Arial" w:cs="Arial"/>
          <w:sz w:val="22"/>
          <w:szCs w:val="22"/>
          <w:u w:val="single"/>
        </w:rPr>
        <w:t>2</w:t>
      </w:r>
      <w:r w:rsidRPr="00FC5C87">
        <w:rPr>
          <w:rFonts w:ascii="Arial" w:hAnsi="Arial" w:cs="Arial"/>
          <w:sz w:val="22"/>
          <w:szCs w:val="22"/>
        </w:rPr>
        <w:t>. “</w:t>
      </w:r>
      <w:r w:rsidR="008D62F7" w:rsidRPr="00FC5C87">
        <w:rPr>
          <w:rFonts w:ascii="Arial" w:hAnsi="Arial" w:cs="Arial"/>
          <w:sz w:val="22"/>
          <w:szCs w:val="22"/>
        </w:rPr>
        <w:t>The proper functioning of the internal market requires that cross-border insolvency proceedings should operate effectively. This requires judicial cooperation</w:t>
      </w:r>
      <w:r w:rsidRPr="00FC5C87">
        <w:rPr>
          <w:rFonts w:ascii="Arial" w:hAnsi="Arial" w:cs="Arial"/>
          <w:sz w:val="22"/>
          <w:szCs w:val="22"/>
        </w:rPr>
        <w:t>.”</w:t>
      </w:r>
      <w:r w:rsidR="005D2CD6" w:rsidRPr="00FC5C87">
        <w:rPr>
          <w:rFonts w:ascii="Arial" w:hAnsi="Arial" w:cs="Arial"/>
          <w:sz w:val="22"/>
          <w:szCs w:val="22"/>
        </w:rPr>
        <w:t xml:space="preserve"> </w:t>
      </w:r>
    </w:p>
    <w:p w14:paraId="63129F80" w14:textId="77777777" w:rsidR="00636C15" w:rsidRPr="00FC5C87" w:rsidRDefault="00636C15" w:rsidP="00636C15">
      <w:pPr>
        <w:ind w:left="720" w:hanging="720"/>
        <w:jc w:val="both"/>
        <w:rPr>
          <w:rFonts w:ascii="Arial" w:hAnsi="Arial" w:cs="Arial"/>
          <w:sz w:val="22"/>
          <w:szCs w:val="22"/>
        </w:rPr>
      </w:pPr>
    </w:p>
    <w:p w14:paraId="3A7BBE60" w14:textId="3CA47C55" w:rsidR="00A672A7" w:rsidRPr="00FC5C87" w:rsidRDefault="00A672A7" w:rsidP="0030208D">
      <w:pPr>
        <w:ind w:left="720" w:hanging="720"/>
        <w:jc w:val="both"/>
        <w:rPr>
          <w:rFonts w:ascii="Arial" w:hAnsi="Arial" w:cs="Arial"/>
          <w:b/>
          <w:bCs/>
          <w:color w:val="7B7B7B" w:themeColor="accent3" w:themeShade="BF"/>
          <w:sz w:val="22"/>
          <w:szCs w:val="22"/>
        </w:rPr>
      </w:pPr>
      <w:r w:rsidRPr="00FC5C87">
        <w:rPr>
          <w:rFonts w:ascii="Arial" w:hAnsi="Arial" w:cs="Arial"/>
          <w:b/>
          <w:bCs/>
          <w:color w:val="7B7B7B" w:themeColor="accent3" w:themeShade="BF"/>
          <w:sz w:val="22"/>
          <w:szCs w:val="22"/>
        </w:rPr>
        <w:t>Statement 1</w:t>
      </w:r>
    </w:p>
    <w:p w14:paraId="0D429B9A" w14:textId="2401D7C6" w:rsidR="0030208D" w:rsidRPr="00FC5C87" w:rsidRDefault="0030208D" w:rsidP="0030208D">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This statement concerns </w:t>
      </w:r>
      <w:r w:rsidR="000C07A5" w:rsidRPr="00FC5C87">
        <w:rPr>
          <w:rFonts w:ascii="Arial" w:hAnsi="Arial" w:cs="Arial"/>
          <w:color w:val="7B7B7B" w:themeColor="accent3" w:themeShade="BF"/>
          <w:sz w:val="22"/>
          <w:szCs w:val="22"/>
        </w:rPr>
        <w:t xml:space="preserve">the </w:t>
      </w:r>
      <w:r w:rsidR="000C07A5" w:rsidRPr="00FC5C87">
        <w:rPr>
          <w:rFonts w:ascii="Arial" w:hAnsi="Arial" w:cs="Arial"/>
          <w:b/>
          <w:bCs/>
          <w:color w:val="7B7B7B" w:themeColor="accent3" w:themeShade="BF"/>
          <w:sz w:val="22"/>
          <w:szCs w:val="22"/>
        </w:rPr>
        <w:t>right to give an undertaking</w:t>
      </w:r>
      <w:r w:rsidR="000C07A5" w:rsidRPr="00FC5C87">
        <w:rPr>
          <w:rFonts w:ascii="Arial" w:hAnsi="Arial" w:cs="Arial"/>
          <w:color w:val="7B7B7B" w:themeColor="accent3" w:themeShade="BF"/>
          <w:sz w:val="22"/>
          <w:szCs w:val="22"/>
        </w:rPr>
        <w:t xml:space="preserve"> </w:t>
      </w:r>
      <w:r w:rsidR="00BF59DB" w:rsidRPr="00FC5C87">
        <w:rPr>
          <w:rFonts w:ascii="Arial" w:hAnsi="Arial" w:cs="Arial"/>
          <w:b/>
          <w:bCs/>
          <w:color w:val="7B7B7B" w:themeColor="accent3" w:themeShade="BF"/>
          <w:sz w:val="22"/>
          <w:szCs w:val="22"/>
        </w:rPr>
        <w:t>in order to avoid secondary insolvency proceedings</w:t>
      </w:r>
      <w:r w:rsidR="00A2178D" w:rsidRPr="00FC5C87">
        <w:rPr>
          <w:rFonts w:ascii="Arial" w:hAnsi="Arial" w:cs="Arial"/>
          <w:color w:val="7B7B7B" w:themeColor="accent3" w:themeShade="BF"/>
          <w:sz w:val="22"/>
          <w:szCs w:val="22"/>
        </w:rPr>
        <w:t>. A</w:t>
      </w:r>
      <w:r w:rsidR="000C07A5" w:rsidRPr="00FC5C87">
        <w:rPr>
          <w:rFonts w:ascii="Arial" w:hAnsi="Arial" w:cs="Arial"/>
          <w:color w:val="7B7B7B" w:themeColor="accent3" w:themeShade="BF"/>
          <w:sz w:val="22"/>
          <w:szCs w:val="22"/>
        </w:rPr>
        <w:t>s the statement proposes</w:t>
      </w:r>
      <w:r w:rsidR="00A2178D" w:rsidRPr="00FC5C87">
        <w:rPr>
          <w:rFonts w:ascii="Arial" w:hAnsi="Arial" w:cs="Arial"/>
          <w:color w:val="7B7B7B" w:themeColor="accent3" w:themeShade="BF"/>
          <w:sz w:val="22"/>
          <w:szCs w:val="22"/>
        </w:rPr>
        <w:t>, this is codified in</w:t>
      </w:r>
      <w:r w:rsidR="000C07A5" w:rsidRPr="00FC5C87">
        <w:rPr>
          <w:rFonts w:ascii="Arial" w:hAnsi="Arial" w:cs="Arial"/>
          <w:color w:val="7B7B7B" w:themeColor="accent3" w:themeShade="BF"/>
          <w:sz w:val="22"/>
          <w:szCs w:val="22"/>
        </w:rPr>
        <w:t xml:space="preserve"> </w:t>
      </w:r>
      <w:r w:rsidR="000C07A5" w:rsidRPr="00FC5C87">
        <w:rPr>
          <w:rFonts w:ascii="Arial" w:hAnsi="Arial" w:cs="Arial"/>
          <w:b/>
          <w:bCs/>
          <w:color w:val="7B7B7B" w:themeColor="accent3" w:themeShade="BF"/>
          <w:sz w:val="22"/>
          <w:szCs w:val="22"/>
        </w:rPr>
        <w:t>Articles 36 and 38</w:t>
      </w:r>
      <w:r w:rsidR="00BF59DB" w:rsidRPr="00FC5C87">
        <w:rPr>
          <w:rFonts w:ascii="Arial" w:hAnsi="Arial" w:cs="Arial"/>
          <w:b/>
          <w:bCs/>
          <w:color w:val="7B7B7B" w:themeColor="accent3" w:themeShade="BF"/>
          <w:sz w:val="22"/>
          <w:szCs w:val="22"/>
        </w:rPr>
        <w:t>(2)</w:t>
      </w:r>
      <w:r w:rsidR="000C07A5" w:rsidRPr="00FC5C87">
        <w:rPr>
          <w:rFonts w:ascii="Arial" w:hAnsi="Arial" w:cs="Arial"/>
          <w:b/>
          <w:bCs/>
          <w:color w:val="7B7B7B" w:themeColor="accent3" w:themeShade="BF"/>
          <w:sz w:val="22"/>
          <w:szCs w:val="22"/>
        </w:rPr>
        <w:t xml:space="preserve"> of the </w:t>
      </w:r>
      <w:hyperlink r:id="rId9" w:history="1">
        <w:r w:rsidR="000C07A5" w:rsidRPr="00FC5C87">
          <w:rPr>
            <w:rStyle w:val="Hyperlink"/>
            <w:rFonts w:ascii="Arial" w:hAnsi="Arial" w:cs="Arial"/>
            <w:b/>
            <w:bCs/>
            <w:sz w:val="22"/>
            <w:szCs w:val="22"/>
          </w:rPr>
          <w:t>EIR Recast</w:t>
        </w:r>
      </w:hyperlink>
      <w:r w:rsidR="001B6E82" w:rsidRPr="00FC5C87">
        <w:rPr>
          <w:rFonts w:ascii="Arial" w:hAnsi="Arial" w:cs="Arial"/>
          <w:b/>
          <w:bCs/>
          <w:color w:val="7B7B7B" w:themeColor="accent3" w:themeShade="BF"/>
          <w:sz w:val="22"/>
          <w:szCs w:val="22"/>
        </w:rPr>
        <w:t xml:space="preserve"> </w:t>
      </w:r>
      <w:r w:rsidR="001B6E82" w:rsidRPr="00FC5C87">
        <w:rPr>
          <w:rFonts w:ascii="Arial" w:hAnsi="Arial" w:cs="Arial"/>
          <w:color w:val="7B7B7B" w:themeColor="accent3" w:themeShade="BF"/>
          <w:sz w:val="22"/>
          <w:szCs w:val="22"/>
        </w:rPr>
        <w:t>(see also recitals 42-43)</w:t>
      </w:r>
      <w:r w:rsidR="000C07A5" w:rsidRPr="00FC5C87">
        <w:rPr>
          <w:rFonts w:ascii="Arial" w:hAnsi="Arial" w:cs="Arial"/>
          <w:color w:val="7B7B7B" w:themeColor="accent3" w:themeShade="BF"/>
          <w:sz w:val="22"/>
          <w:szCs w:val="22"/>
        </w:rPr>
        <w:t xml:space="preserve">. On the basis of oral assurances by appointed (joint) administrators, the local creditors will receive a treatment and enjoy benefits of secondary proceedings, without such proceedings formally existing. In other words, they are </w:t>
      </w:r>
      <w:r w:rsidR="000C07A5" w:rsidRPr="00FC5C87">
        <w:rPr>
          <w:rFonts w:ascii="Arial" w:hAnsi="Arial" w:cs="Arial"/>
          <w:b/>
          <w:bCs/>
          <w:color w:val="7B7B7B" w:themeColor="accent3" w:themeShade="BF"/>
          <w:sz w:val="22"/>
          <w:szCs w:val="22"/>
        </w:rPr>
        <w:t>synthetic secondary proceedings</w:t>
      </w:r>
      <w:r w:rsidR="000C07A5" w:rsidRPr="00FC5C87">
        <w:rPr>
          <w:rFonts w:ascii="Arial" w:hAnsi="Arial" w:cs="Arial"/>
          <w:color w:val="7B7B7B" w:themeColor="accent3" w:themeShade="BF"/>
          <w:sz w:val="22"/>
          <w:szCs w:val="22"/>
        </w:rPr>
        <w:t xml:space="preserve">. This provision is a codification of the innovative solution </w:t>
      </w:r>
      <w:r w:rsidR="00BF59DB" w:rsidRPr="00FC5C87">
        <w:rPr>
          <w:rFonts w:ascii="Arial" w:hAnsi="Arial" w:cs="Arial"/>
          <w:color w:val="7B7B7B" w:themeColor="accent3" w:themeShade="BF"/>
          <w:sz w:val="22"/>
          <w:szCs w:val="22"/>
        </w:rPr>
        <w:t>in</w:t>
      </w:r>
      <w:r w:rsidR="000C07A5" w:rsidRPr="00FC5C87">
        <w:rPr>
          <w:rFonts w:ascii="Arial" w:hAnsi="Arial" w:cs="Arial"/>
          <w:color w:val="7B7B7B" w:themeColor="accent3" w:themeShade="BF"/>
          <w:sz w:val="22"/>
          <w:szCs w:val="22"/>
        </w:rPr>
        <w:t xml:space="preserve"> the </w:t>
      </w:r>
      <w:hyperlink r:id="rId10" w:history="1">
        <w:r w:rsidR="000C07A5" w:rsidRPr="00FC5C87">
          <w:rPr>
            <w:rStyle w:val="Hyperlink"/>
            <w:rFonts w:ascii="Arial" w:hAnsi="Arial" w:cs="Arial"/>
            <w:b/>
            <w:bCs/>
            <w:i/>
            <w:iCs/>
            <w:sz w:val="22"/>
            <w:szCs w:val="22"/>
          </w:rPr>
          <w:t>Collins &amp; Aikman Europe SA [2006] EWHC 1343 (Ch)</w:t>
        </w:r>
      </w:hyperlink>
      <w:r w:rsidR="000C07A5" w:rsidRPr="00FC5C87">
        <w:rPr>
          <w:rFonts w:ascii="Arial" w:hAnsi="Arial" w:cs="Arial"/>
          <w:b/>
          <w:bCs/>
          <w:i/>
          <w:iCs/>
          <w:color w:val="7B7B7B" w:themeColor="accent3" w:themeShade="BF"/>
          <w:sz w:val="22"/>
          <w:szCs w:val="22"/>
        </w:rPr>
        <w:t xml:space="preserve"> </w:t>
      </w:r>
      <w:r w:rsidR="000C07A5" w:rsidRPr="00FC5C87">
        <w:rPr>
          <w:rFonts w:ascii="Arial" w:hAnsi="Arial" w:cs="Arial"/>
          <w:color w:val="7B7B7B" w:themeColor="accent3" w:themeShade="BF"/>
          <w:sz w:val="22"/>
          <w:szCs w:val="22"/>
        </w:rPr>
        <w:t xml:space="preserve">case, </w:t>
      </w:r>
      <w:r w:rsidR="00D22135" w:rsidRPr="00FC5C87">
        <w:rPr>
          <w:rFonts w:ascii="Arial" w:hAnsi="Arial" w:cs="Arial"/>
          <w:color w:val="7B7B7B" w:themeColor="accent3" w:themeShade="BF"/>
          <w:sz w:val="22"/>
          <w:szCs w:val="22"/>
        </w:rPr>
        <w:t xml:space="preserve">with the aim of </w:t>
      </w:r>
      <w:r w:rsidR="000C07A5" w:rsidRPr="00FC5C87">
        <w:rPr>
          <w:rFonts w:ascii="Arial" w:hAnsi="Arial" w:cs="Arial"/>
          <w:color w:val="7B7B7B" w:themeColor="accent3" w:themeShade="BF"/>
          <w:sz w:val="22"/>
          <w:szCs w:val="22"/>
        </w:rPr>
        <w:t>balancing two scales</w:t>
      </w:r>
      <w:r w:rsidR="00BF59DB" w:rsidRPr="00FC5C87">
        <w:rPr>
          <w:rFonts w:ascii="Arial" w:hAnsi="Arial" w:cs="Arial"/>
          <w:color w:val="7B7B7B" w:themeColor="accent3" w:themeShade="BF"/>
          <w:sz w:val="22"/>
          <w:szCs w:val="22"/>
        </w:rPr>
        <w:t>,</w:t>
      </w:r>
      <w:r w:rsidR="000C07A5" w:rsidRPr="00FC5C87">
        <w:rPr>
          <w:rFonts w:ascii="Arial" w:hAnsi="Arial" w:cs="Arial"/>
          <w:color w:val="7B7B7B" w:themeColor="accent3" w:themeShade="BF"/>
          <w:sz w:val="22"/>
          <w:szCs w:val="22"/>
        </w:rPr>
        <w:t xml:space="preserve"> namely (1) </w:t>
      </w:r>
      <w:r w:rsidR="00D22135" w:rsidRPr="00FC5C87">
        <w:rPr>
          <w:rFonts w:ascii="Arial" w:hAnsi="Arial" w:cs="Arial"/>
          <w:color w:val="7B7B7B" w:themeColor="accent3" w:themeShade="BF"/>
          <w:sz w:val="22"/>
          <w:szCs w:val="22"/>
        </w:rPr>
        <w:t>centralizing control over the insolvent estate in a single jurisdiction, and (2) safeguarding the rights and legitimate expectations of local creditors regarding their priority rights under local insolvency laws.</w:t>
      </w:r>
    </w:p>
    <w:p w14:paraId="26687C50" w14:textId="4A542CF7" w:rsidR="00D22135" w:rsidRPr="00FC5C87" w:rsidRDefault="00D22135" w:rsidP="0030208D">
      <w:pPr>
        <w:ind w:left="720" w:hanging="720"/>
        <w:jc w:val="both"/>
        <w:rPr>
          <w:rFonts w:ascii="Arial" w:hAnsi="Arial" w:cs="Arial"/>
          <w:b/>
          <w:bCs/>
          <w:color w:val="7B7B7B" w:themeColor="accent3" w:themeShade="BF"/>
          <w:sz w:val="22"/>
          <w:szCs w:val="22"/>
        </w:rPr>
      </w:pPr>
      <w:r w:rsidRPr="00FC5C87">
        <w:rPr>
          <w:rFonts w:ascii="Arial" w:hAnsi="Arial" w:cs="Arial"/>
          <w:b/>
          <w:bCs/>
          <w:color w:val="7B7B7B" w:themeColor="accent3" w:themeShade="BF"/>
          <w:sz w:val="22"/>
          <w:szCs w:val="22"/>
        </w:rPr>
        <w:t>Statement 2</w:t>
      </w:r>
    </w:p>
    <w:p w14:paraId="4AF11BDB" w14:textId="620C3111" w:rsidR="0030208D" w:rsidRPr="00FC5C87" w:rsidRDefault="00540B76" w:rsidP="007F7403">
      <w:pPr>
        <w:ind w:left="720" w:hanging="720"/>
        <w:jc w:val="both"/>
        <w:rPr>
          <w:rFonts w:ascii="Open Sans" w:hAnsi="Open Sans" w:cs="Open Sans"/>
          <w:color w:val="000000"/>
          <w:sz w:val="18"/>
          <w:szCs w:val="18"/>
        </w:rPr>
      </w:pPr>
      <w:r w:rsidRPr="00FC5C87">
        <w:rPr>
          <w:rFonts w:ascii="Arial" w:hAnsi="Arial" w:cs="Arial"/>
          <w:color w:val="7B7B7B" w:themeColor="accent3" w:themeShade="BF"/>
          <w:sz w:val="22"/>
          <w:szCs w:val="22"/>
        </w:rPr>
        <w:t xml:space="preserve">This statement concerns </w:t>
      </w:r>
      <w:r w:rsidRPr="00FC5C87">
        <w:rPr>
          <w:rFonts w:ascii="Arial" w:hAnsi="Arial" w:cs="Arial"/>
          <w:b/>
          <w:bCs/>
          <w:color w:val="7B7B7B" w:themeColor="accent3" w:themeShade="BF"/>
          <w:sz w:val="22"/>
          <w:szCs w:val="22"/>
        </w:rPr>
        <w:t xml:space="preserve">cooperation and communication within the EIR Recast framework </w:t>
      </w:r>
      <w:r w:rsidRPr="00FC5C87">
        <w:rPr>
          <w:rFonts w:ascii="Arial" w:hAnsi="Arial" w:cs="Arial"/>
          <w:color w:val="7B7B7B" w:themeColor="accent3" w:themeShade="BF"/>
          <w:sz w:val="22"/>
          <w:szCs w:val="22"/>
        </w:rPr>
        <w:t xml:space="preserve">which stems from the principle of </w:t>
      </w:r>
      <w:r w:rsidRPr="00FC5C87">
        <w:rPr>
          <w:rFonts w:ascii="Arial" w:hAnsi="Arial" w:cs="Arial"/>
          <w:b/>
          <w:bCs/>
          <w:color w:val="7B7B7B" w:themeColor="accent3" w:themeShade="BF"/>
          <w:sz w:val="22"/>
          <w:szCs w:val="22"/>
        </w:rPr>
        <w:t>mutual trust and sincere cooperation</w:t>
      </w:r>
      <w:r w:rsidRPr="00FC5C87">
        <w:rPr>
          <w:rFonts w:ascii="Arial" w:hAnsi="Arial" w:cs="Arial"/>
          <w:color w:val="7B7B7B" w:themeColor="accent3" w:themeShade="BF"/>
          <w:sz w:val="22"/>
          <w:szCs w:val="22"/>
        </w:rPr>
        <w:t xml:space="preserve"> for the functioning of the EU.</w:t>
      </w:r>
      <w:r w:rsidR="00791D22" w:rsidRPr="00FC5C87">
        <w:rPr>
          <w:rFonts w:ascii="Arial" w:hAnsi="Arial" w:cs="Arial"/>
          <w:color w:val="7B7B7B" w:themeColor="accent3" w:themeShade="BF"/>
          <w:sz w:val="22"/>
          <w:szCs w:val="22"/>
        </w:rPr>
        <w:t xml:space="preserve"> These principles are codified in Articles 4(3) </w:t>
      </w:r>
      <w:r w:rsidR="009C02CF" w:rsidRPr="00FC5C87">
        <w:rPr>
          <w:rFonts w:ascii="Arial" w:hAnsi="Arial" w:cs="Arial"/>
          <w:color w:val="7B7B7B" w:themeColor="accent3" w:themeShade="BF"/>
          <w:sz w:val="22"/>
          <w:szCs w:val="22"/>
        </w:rPr>
        <w:t>o</w:t>
      </w:r>
      <w:r w:rsidR="00791D22" w:rsidRPr="00FC5C87">
        <w:rPr>
          <w:rFonts w:ascii="Arial" w:hAnsi="Arial" w:cs="Arial"/>
          <w:color w:val="7B7B7B" w:themeColor="accent3" w:themeShade="BF"/>
          <w:sz w:val="22"/>
          <w:szCs w:val="22"/>
        </w:rPr>
        <w:t>f the Treaty on European Union</w:t>
      </w:r>
      <w:r w:rsidR="009C02CF" w:rsidRPr="00FC5C87">
        <w:rPr>
          <w:rFonts w:ascii="Arial" w:hAnsi="Arial" w:cs="Arial"/>
          <w:color w:val="7B7B7B" w:themeColor="accent3" w:themeShade="BF"/>
          <w:sz w:val="22"/>
          <w:szCs w:val="22"/>
        </w:rPr>
        <w:t xml:space="preserve"> </w:t>
      </w:r>
      <w:r w:rsidR="00994306" w:rsidRPr="00FC5C87">
        <w:rPr>
          <w:rFonts w:ascii="Arial" w:hAnsi="Arial" w:cs="Arial"/>
          <w:color w:val="7B7B7B" w:themeColor="accent3" w:themeShade="BF"/>
          <w:sz w:val="22"/>
          <w:szCs w:val="22"/>
        </w:rPr>
        <w:t xml:space="preserve">(TEU) </w:t>
      </w:r>
      <w:r w:rsidR="009C02CF" w:rsidRPr="00FC5C87">
        <w:rPr>
          <w:rFonts w:ascii="Arial" w:hAnsi="Arial" w:cs="Arial"/>
          <w:color w:val="7B7B7B" w:themeColor="accent3" w:themeShade="BF"/>
          <w:sz w:val="22"/>
          <w:szCs w:val="22"/>
        </w:rPr>
        <w:t>and 81 of the Treaty on the Functioning of the European Union</w:t>
      </w:r>
      <w:r w:rsidR="00994306" w:rsidRPr="00FC5C87">
        <w:rPr>
          <w:rFonts w:ascii="Arial" w:hAnsi="Arial" w:cs="Arial"/>
          <w:color w:val="7B7B7B" w:themeColor="accent3" w:themeShade="BF"/>
          <w:sz w:val="22"/>
          <w:szCs w:val="22"/>
        </w:rPr>
        <w:t xml:space="preserve"> (TFEU)</w:t>
      </w:r>
      <w:r w:rsidR="009C02CF" w:rsidRPr="00FC5C87">
        <w:rPr>
          <w:rFonts w:ascii="Arial" w:hAnsi="Arial" w:cs="Arial"/>
          <w:color w:val="7B7B7B" w:themeColor="accent3" w:themeShade="BF"/>
          <w:sz w:val="22"/>
          <w:szCs w:val="22"/>
        </w:rPr>
        <w:t>. Judicial cooperation</w:t>
      </w:r>
      <w:r w:rsidR="006150C6" w:rsidRPr="00FC5C87">
        <w:rPr>
          <w:rFonts w:ascii="Arial" w:hAnsi="Arial" w:cs="Arial"/>
          <w:color w:val="7B7B7B" w:themeColor="accent3" w:themeShade="BF"/>
          <w:sz w:val="22"/>
          <w:szCs w:val="22"/>
        </w:rPr>
        <w:t xml:space="preserve">, or </w:t>
      </w:r>
      <w:r w:rsidR="006150C6" w:rsidRPr="00FC5C87">
        <w:rPr>
          <w:rFonts w:ascii="Arial" w:hAnsi="Arial" w:cs="Arial"/>
          <w:b/>
          <w:bCs/>
          <w:color w:val="7B7B7B" w:themeColor="accent3" w:themeShade="BF"/>
          <w:sz w:val="22"/>
          <w:szCs w:val="22"/>
        </w:rPr>
        <w:t>cooperation and communication between courts,</w:t>
      </w:r>
      <w:r w:rsidR="009C02CF" w:rsidRPr="00FC5C87">
        <w:rPr>
          <w:rFonts w:ascii="Arial" w:hAnsi="Arial" w:cs="Arial"/>
          <w:color w:val="7B7B7B" w:themeColor="accent3" w:themeShade="BF"/>
          <w:sz w:val="22"/>
          <w:szCs w:val="22"/>
        </w:rPr>
        <w:t xml:space="preserve"> is codified in </w:t>
      </w:r>
      <w:r w:rsidR="009C02CF" w:rsidRPr="00FC5C87">
        <w:rPr>
          <w:rFonts w:ascii="Arial" w:hAnsi="Arial" w:cs="Arial"/>
          <w:b/>
          <w:bCs/>
          <w:color w:val="7B7B7B" w:themeColor="accent3" w:themeShade="BF"/>
          <w:sz w:val="22"/>
          <w:szCs w:val="22"/>
        </w:rPr>
        <w:t xml:space="preserve">Article 42 of the EIR Recast </w:t>
      </w:r>
      <w:r w:rsidR="00A30A45" w:rsidRPr="00FC5C87">
        <w:rPr>
          <w:rFonts w:ascii="Arial" w:hAnsi="Arial" w:cs="Arial"/>
          <w:color w:val="7B7B7B" w:themeColor="accent3" w:themeShade="BF"/>
          <w:sz w:val="22"/>
          <w:szCs w:val="22"/>
        </w:rPr>
        <w:t>(see also recitals 3 and 48)</w:t>
      </w:r>
      <w:r w:rsidR="00A30A45" w:rsidRPr="00FC5C87">
        <w:rPr>
          <w:rFonts w:ascii="Arial" w:hAnsi="Arial" w:cs="Arial"/>
          <w:b/>
          <w:bCs/>
          <w:color w:val="7B7B7B" w:themeColor="accent3" w:themeShade="BF"/>
          <w:sz w:val="22"/>
          <w:szCs w:val="22"/>
        </w:rPr>
        <w:t xml:space="preserve"> </w:t>
      </w:r>
      <w:r w:rsidR="009C02CF" w:rsidRPr="00FC5C87">
        <w:rPr>
          <w:rFonts w:ascii="Arial" w:hAnsi="Arial" w:cs="Arial"/>
          <w:color w:val="7B7B7B" w:themeColor="accent3" w:themeShade="BF"/>
          <w:sz w:val="22"/>
          <w:szCs w:val="22"/>
        </w:rPr>
        <w:t>which are codifications of some best practices regarding cooperation and communication between courts</w:t>
      </w:r>
      <w:r w:rsidR="00791C4B" w:rsidRPr="00FC5C87">
        <w:rPr>
          <w:rFonts w:ascii="Arial" w:hAnsi="Arial" w:cs="Arial"/>
          <w:color w:val="7B7B7B" w:themeColor="accent3" w:themeShade="BF"/>
          <w:sz w:val="22"/>
          <w:szCs w:val="22"/>
        </w:rPr>
        <w:t xml:space="preserve">. See also, </w:t>
      </w:r>
      <w:hyperlink r:id="rId11" w:history="1">
        <w:r w:rsidR="00791C4B" w:rsidRPr="00FC5C87">
          <w:rPr>
            <w:rStyle w:val="Hyperlink"/>
            <w:rFonts w:ascii="Arial" w:hAnsi="Arial" w:cs="Arial"/>
            <w:b/>
            <w:bCs/>
            <w:i/>
            <w:iCs/>
            <w:sz w:val="22"/>
            <w:szCs w:val="22"/>
          </w:rPr>
          <w:t xml:space="preserve">Case C-166/11, Bank </w:t>
        </w:r>
        <w:proofErr w:type="spellStart"/>
        <w:r w:rsidR="00791C4B" w:rsidRPr="00FC5C87">
          <w:rPr>
            <w:rStyle w:val="Hyperlink"/>
            <w:rFonts w:ascii="Arial" w:hAnsi="Arial" w:cs="Arial"/>
            <w:b/>
            <w:bCs/>
            <w:i/>
            <w:iCs/>
            <w:sz w:val="22"/>
            <w:szCs w:val="22"/>
          </w:rPr>
          <w:t>Handlowy</w:t>
        </w:r>
        <w:proofErr w:type="spellEnd"/>
        <w:r w:rsidR="00791C4B" w:rsidRPr="00FC5C87">
          <w:rPr>
            <w:rStyle w:val="Hyperlink"/>
            <w:rFonts w:ascii="Arial" w:hAnsi="Arial" w:cs="Arial"/>
            <w:b/>
            <w:bCs/>
            <w:i/>
            <w:iCs/>
            <w:sz w:val="22"/>
            <w:szCs w:val="22"/>
          </w:rPr>
          <w:t xml:space="preserve"> w </w:t>
        </w:r>
        <w:proofErr w:type="spellStart"/>
        <w:r w:rsidR="00791C4B" w:rsidRPr="00FC5C87">
          <w:rPr>
            <w:rStyle w:val="Hyperlink"/>
            <w:rFonts w:ascii="Arial" w:hAnsi="Arial" w:cs="Arial"/>
            <w:b/>
            <w:bCs/>
            <w:i/>
            <w:iCs/>
            <w:sz w:val="22"/>
            <w:szCs w:val="22"/>
          </w:rPr>
          <w:t>Warszawie</w:t>
        </w:r>
        <w:proofErr w:type="spellEnd"/>
        <w:r w:rsidR="00791C4B" w:rsidRPr="00FC5C87">
          <w:rPr>
            <w:rStyle w:val="Hyperlink"/>
            <w:rFonts w:ascii="Arial" w:hAnsi="Arial" w:cs="Arial"/>
            <w:b/>
            <w:bCs/>
            <w:i/>
            <w:iCs/>
            <w:sz w:val="22"/>
            <w:szCs w:val="22"/>
          </w:rPr>
          <w:t xml:space="preserve"> SA v </w:t>
        </w:r>
        <w:proofErr w:type="spellStart"/>
        <w:r w:rsidR="00791C4B" w:rsidRPr="00FC5C87">
          <w:rPr>
            <w:rStyle w:val="Hyperlink"/>
            <w:rFonts w:ascii="Arial" w:hAnsi="Arial" w:cs="Arial"/>
            <w:b/>
            <w:bCs/>
            <w:i/>
            <w:iCs/>
            <w:sz w:val="22"/>
            <w:szCs w:val="22"/>
          </w:rPr>
          <w:t>Christianapol</w:t>
        </w:r>
        <w:proofErr w:type="spellEnd"/>
        <w:r w:rsidR="00791C4B" w:rsidRPr="00FC5C87">
          <w:rPr>
            <w:rStyle w:val="Hyperlink"/>
            <w:rFonts w:ascii="Arial" w:hAnsi="Arial" w:cs="Arial"/>
            <w:b/>
            <w:bCs/>
            <w:i/>
            <w:iCs/>
            <w:sz w:val="22"/>
            <w:szCs w:val="22"/>
          </w:rPr>
          <w:t xml:space="preserve"> sp. z </w:t>
        </w:r>
        <w:proofErr w:type="spellStart"/>
        <w:r w:rsidR="00791C4B" w:rsidRPr="00FC5C87">
          <w:rPr>
            <w:rStyle w:val="Hyperlink"/>
            <w:rFonts w:ascii="Arial" w:hAnsi="Arial" w:cs="Arial"/>
            <w:b/>
            <w:bCs/>
            <w:i/>
            <w:iCs/>
            <w:sz w:val="22"/>
            <w:szCs w:val="22"/>
          </w:rPr>
          <w:t>o.o</w:t>
        </w:r>
        <w:proofErr w:type="spellEnd"/>
        <w:r w:rsidR="00791C4B" w:rsidRPr="00FC5C87">
          <w:rPr>
            <w:rStyle w:val="Hyperlink"/>
            <w:rFonts w:ascii="Arial" w:hAnsi="Arial" w:cs="Arial"/>
            <w:b/>
            <w:bCs/>
            <w:i/>
            <w:iCs/>
            <w:sz w:val="22"/>
            <w:szCs w:val="22"/>
          </w:rPr>
          <w:t>.</w:t>
        </w:r>
      </w:hyperlink>
      <w:r w:rsidR="009F6C1D" w:rsidRPr="00FC5C87">
        <w:rPr>
          <w:rFonts w:ascii="Arial" w:hAnsi="Arial" w:cs="Arial"/>
          <w:b/>
          <w:bCs/>
          <w:i/>
          <w:iCs/>
          <w:color w:val="7B7B7B" w:themeColor="accent3" w:themeShade="BF"/>
          <w:sz w:val="22"/>
          <w:szCs w:val="22"/>
        </w:rPr>
        <w:t>,</w:t>
      </w:r>
      <w:r w:rsidR="007F7403" w:rsidRPr="00FC5C87">
        <w:rPr>
          <w:rFonts w:ascii="Arial" w:hAnsi="Arial" w:cs="Arial"/>
          <w:b/>
          <w:bCs/>
          <w:i/>
          <w:iCs/>
          <w:color w:val="7B7B7B" w:themeColor="accent3" w:themeShade="BF"/>
          <w:sz w:val="22"/>
          <w:szCs w:val="22"/>
        </w:rPr>
        <w:t xml:space="preserve"> paragraph 62</w:t>
      </w:r>
      <w:r w:rsidR="00994306" w:rsidRPr="00FC5C87">
        <w:rPr>
          <w:rFonts w:ascii="Arial" w:hAnsi="Arial" w:cs="Arial"/>
          <w:color w:val="7B7B7B" w:themeColor="accent3" w:themeShade="BF"/>
          <w:sz w:val="22"/>
          <w:szCs w:val="22"/>
        </w:rPr>
        <w:t>, where the Court of Justice of the European Union (CJEU) ruled that the principle of sincere cooperation of Article 4(3) TEU requires the court of the secondary proceeding to take account of the objectives of the main proceeding</w:t>
      </w:r>
      <w:r w:rsidR="007F7403" w:rsidRPr="00FC5C87">
        <w:rPr>
          <w:rFonts w:ascii="Arial" w:hAnsi="Arial" w:cs="Arial"/>
          <w:color w:val="7B7B7B" w:themeColor="accent3" w:themeShade="BF"/>
          <w:sz w:val="22"/>
          <w:szCs w:val="22"/>
        </w:rPr>
        <w:t xml:space="preserve"> and the EIR Recast which aims to ensure the efficient and effective cross-border insolvency proceedings through mandatory coordination.</w:t>
      </w:r>
    </w:p>
    <w:p w14:paraId="56844C63" w14:textId="77777777" w:rsidR="007F7403" w:rsidRPr="00FC5C87" w:rsidRDefault="007F7403" w:rsidP="007F7403">
      <w:pPr>
        <w:ind w:left="720" w:hanging="720"/>
        <w:jc w:val="both"/>
        <w:rPr>
          <w:rFonts w:ascii="Arial" w:hAnsi="Arial" w:cs="Arial"/>
          <w:sz w:val="22"/>
          <w:szCs w:val="22"/>
        </w:rPr>
      </w:pPr>
    </w:p>
    <w:p w14:paraId="789C3223" w14:textId="12982B5C" w:rsidR="00020557" w:rsidRPr="00FC5C87" w:rsidRDefault="00020557" w:rsidP="002A37BB">
      <w:pPr>
        <w:jc w:val="both"/>
        <w:rPr>
          <w:rFonts w:ascii="Arial" w:hAnsi="Arial" w:cs="Arial"/>
          <w:sz w:val="22"/>
          <w:szCs w:val="22"/>
        </w:rPr>
      </w:pPr>
    </w:p>
    <w:p w14:paraId="10614297" w14:textId="3242EE04" w:rsidR="00C72848" w:rsidRPr="00FC5C87" w:rsidRDefault="002C13C8" w:rsidP="002A37BB">
      <w:pPr>
        <w:ind w:left="720" w:hanging="720"/>
        <w:jc w:val="both"/>
        <w:rPr>
          <w:rFonts w:ascii="Arial" w:hAnsi="Arial" w:cs="Arial"/>
          <w:sz w:val="22"/>
          <w:szCs w:val="22"/>
        </w:rPr>
      </w:pPr>
      <w:r w:rsidRPr="00FC5C87">
        <w:rPr>
          <w:rFonts w:ascii="Arial" w:hAnsi="Arial" w:cs="Arial"/>
          <w:b/>
          <w:bCs/>
          <w:sz w:val="22"/>
          <w:szCs w:val="22"/>
        </w:rPr>
        <w:t xml:space="preserve">Question </w:t>
      </w:r>
      <w:r w:rsidR="00DE03AF" w:rsidRPr="00FC5C87">
        <w:rPr>
          <w:rFonts w:ascii="Arial" w:hAnsi="Arial" w:cs="Arial"/>
          <w:b/>
          <w:bCs/>
          <w:sz w:val="22"/>
          <w:szCs w:val="22"/>
        </w:rPr>
        <w:t>2.2</w:t>
      </w:r>
      <w:r w:rsidR="00DE03AF" w:rsidRPr="00FC5C87">
        <w:rPr>
          <w:rFonts w:ascii="Arial" w:hAnsi="Arial" w:cs="Arial"/>
          <w:b/>
          <w:bCs/>
          <w:sz w:val="22"/>
          <w:szCs w:val="22"/>
        </w:rPr>
        <w:tab/>
        <w:t>[</w:t>
      </w:r>
      <w:r w:rsidR="00D17FDC" w:rsidRPr="00FC5C87">
        <w:rPr>
          <w:rFonts w:ascii="Arial" w:hAnsi="Arial" w:cs="Arial"/>
          <w:b/>
          <w:bCs/>
          <w:sz w:val="22"/>
          <w:szCs w:val="22"/>
        </w:rPr>
        <w:t>m</w:t>
      </w:r>
      <w:r w:rsidR="00DE03AF" w:rsidRPr="00FC5C87">
        <w:rPr>
          <w:rFonts w:ascii="Arial" w:hAnsi="Arial" w:cs="Arial"/>
          <w:b/>
          <w:bCs/>
          <w:sz w:val="22"/>
          <w:szCs w:val="22"/>
        </w:rPr>
        <w:t xml:space="preserve">aximum </w:t>
      </w:r>
      <w:r w:rsidR="00CB1983" w:rsidRPr="00FC5C87">
        <w:rPr>
          <w:rFonts w:ascii="Arial" w:hAnsi="Arial" w:cs="Arial"/>
          <w:b/>
          <w:bCs/>
          <w:sz w:val="22"/>
          <w:szCs w:val="22"/>
        </w:rPr>
        <w:t>3</w:t>
      </w:r>
      <w:r w:rsidR="00DE03AF" w:rsidRPr="00FC5C87">
        <w:rPr>
          <w:rFonts w:ascii="Arial" w:hAnsi="Arial" w:cs="Arial"/>
          <w:b/>
          <w:bCs/>
          <w:sz w:val="22"/>
          <w:szCs w:val="22"/>
        </w:rPr>
        <w:t xml:space="preserve"> marks]</w:t>
      </w:r>
      <w:r w:rsidR="00DE03AF" w:rsidRPr="00FC5C87">
        <w:rPr>
          <w:rFonts w:ascii="Arial" w:hAnsi="Arial" w:cs="Arial"/>
          <w:sz w:val="22"/>
          <w:szCs w:val="22"/>
        </w:rPr>
        <w:t xml:space="preserve"> </w:t>
      </w:r>
    </w:p>
    <w:p w14:paraId="1C61515B" w14:textId="77777777" w:rsidR="00C72848" w:rsidRPr="00FC5C87" w:rsidRDefault="00C72848" w:rsidP="002A37BB">
      <w:pPr>
        <w:ind w:left="720" w:hanging="720"/>
        <w:jc w:val="both"/>
        <w:rPr>
          <w:rFonts w:ascii="Arial" w:hAnsi="Arial" w:cs="Arial"/>
          <w:sz w:val="22"/>
          <w:szCs w:val="22"/>
        </w:rPr>
      </w:pPr>
    </w:p>
    <w:p w14:paraId="450C5BD4" w14:textId="5347859B" w:rsidR="00636C15" w:rsidRPr="00FC5C87" w:rsidRDefault="00D509A5" w:rsidP="00636C15">
      <w:pPr>
        <w:jc w:val="both"/>
        <w:rPr>
          <w:rFonts w:ascii="Arial" w:hAnsi="Arial" w:cs="Arial"/>
          <w:sz w:val="22"/>
          <w:szCs w:val="22"/>
        </w:rPr>
      </w:pPr>
      <w:r w:rsidRPr="00FC5C87">
        <w:rPr>
          <w:rFonts w:ascii="Arial" w:hAnsi="Arial" w:cs="Arial"/>
          <w:sz w:val="22"/>
          <w:szCs w:val="22"/>
        </w:rPr>
        <w:t>The EIR Recast is built upon</w:t>
      </w:r>
      <w:r w:rsidR="0049649C" w:rsidRPr="00FC5C87">
        <w:rPr>
          <w:rFonts w:ascii="Arial" w:hAnsi="Arial" w:cs="Arial"/>
          <w:sz w:val="22"/>
          <w:szCs w:val="22"/>
        </w:rPr>
        <w:t xml:space="preserve"> the concept of modified universalism</w:t>
      </w:r>
      <w:r w:rsidR="00696ED8" w:rsidRPr="00FC5C87">
        <w:rPr>
          <w:rFonts w:ascii="Arial" w:hAnsi="Arial" w:cs="Arial"/>
          <w:sz w:val="22"/>
          <w:szCs w:val="22"/>
        </w:rPr>
        <w:t>,</w:t>
      </w:r>
      <w:r w:rsidR="0049649C" w:rsidRPr="00FC5C87">
        <w:rPr>
          <w:rFonts w:ascii="Arial" w:hAnsi="Arial" w:cs="Arial"/>
          <w:sz w:val="22"/>
          <w:szCs w:val="22"/>
        </w:rPr>
        <w:t xml:space="preserve"> as pure universalism has been deemed idealistic and impractical for the time being. Provide </w:t>
      </w:r>
      <w:r w:rsidR="0049649C" w:rsidRPr="00FC5C87">
        <w:rPr>
          <w:rFonts w:ascii="Arial" w:hAnsi="Arial" w:cs="Arial"/>
          <w:b/>
          <w:sz w:val="22"/>
          <w:szCs w:val="22"/>
          <w:u w:val="single"/>
        </w:rPr>
        <w:t>three (3) examples</w:t>
      </w:r>
      <w:r w:rsidR="0049649C" w:rsidRPr="00FC5C87">
        <w:rPr>
          <w:rFonts w:ascii="Arial" w:hAnsi="Arial" w:cs="Arial"/>
          <w:sz w:val="22"/>
          <w:szCs w:val="22"/>
        </w:rPr>
        <w:t xml:space="preserve"> of provisions from the EIR Recast</w:t>
      </w:r>
      <w:r w:rsidR="00BA543A" w:rsidRPr="00FC5C87">
        <w:rPr>
          <w:rFonts w:ascii="Arial" w:hAnsi="Arial" w:cs="Arial"/>
          <w:sz w:val="22"/>
          <w:szCs w:val="22"/>
        </w:rPr>
        <w:t>,</w:t>
      </w:r>
      <w:r w:rsidR="0049649C" w:rsidRPr="00FC5C87">
        <w:rPr>
          <w:rFonts w:ascii="Arial" w:hAnsi="Arial" w:cs="Arial"/>
          <w:sz w:val="22"/>
          <w:szCs w:val="22"/>
        </w:rPr>
        <w:t xml:space="preserve"> which highlight this modified universalism approach. </w:t>
      </w:r>
    </w:p>
    <w:p w14:paraId="56A5D377" w14:textId="77777777" w:rsidR="00222FB5" w:rsidRPr="00FC5C87" w:rsidRDefault="00222FB5" w:rsidP="00636C15">
      <w:pPr>
        <w:jc w:val="both"/>
        <w:rPr>
          <w:rFonts w:ascii="Arial" w:hAnsi="Arial" w:cs="Arial"/>
          <w:sz w:val="22"/>
          <w:szCs w:val="22"/>
        </w:rPr>
      </w:pPr>
    </w:p>
    <w:p w14:paraId="3004B7DC" w14:textId="77777777" w:rsidR="00A30A45" w:rsidRPr="00FC5C87" w:rsidRDefault="0070329B" w:rsidP="00636C15">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A pure</w:t>
      </w:r>
      <w:r w:rsidR="00A30A45" w:rsidRPr="00FC5C87">
        <w:rPr>
          <w:rFonts w:ascii="Arial" w:hAnsi="Arial" w:cs="Arial"/>
          <w:color w:val="7B7B7B" w:themeColor="accent3" w:themeShade="BF"/>
          <w:sz w:val="22"/>
          <w:szCs w:val="22"/>
        </w:rPr>
        <w:t>ly</w:t>
      </w:r>
      <w:r w:rsidRPr="00FC5C87">
        <w:rPr>
          <w:rFonts w:ascii="Arial" w:hAnsi="Arial" w:cs="Arial"/>
          <w:color w:val="7B7B7B" w:themeColor="accent3" w:themeShade="BF"/>
          <w:sz w:val="22"/>
          <w:szCs w:val="22"/>
        </w:rPr>
        <w:t xml:space="preserve"> universalist approach would mean a single court having jurisdiction, with one applicable law, and automatic recognition and enforcement across the EU.</w:t>
      </w:r>
      <w:r w:rsidR="00511A5E" w:rsidRPr="00FC5C87">
        <w:rPr>
          <w:rFonts w:ascii="Arial" w:hAnsi="Arial" w:cs="Arial"/>
          <w:color w:val="7B7B7B" w:themeColor="accent3" w:themeShade="BF"/>
          <w:sz w:val="22"/>
          <w:szCs w:val="22"/>
        </w:rPr>
        <w:t xml:space="preserve"> </w:t>
      </w:r>
    </w:p>
    <w:p w14:paraId="16675D5F" w14:textId="4EA1CB65" w:rsidR="00636C15" w:rsidRPr="00FC5C87" w:rsidRDefault="00511A5E" w:rsidP="00636C15">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The following are examples of provisions of the EIR Recast indicating a modified universalist approach.</w:t>
      </w:r>
    </w:p>
    <w:p w14:paraId="385A037F" w14:textId="3264FC18" w:rsidR="00C346A2" w:rsidRPr="00FC5C87" w:rsidRDefault="00C346A2" w:rsidP="00C346A2">
      <w:pPr>
        <w:ind w:left="720" w:hanging="720"/>
        <w:jc w:val="both"/>
        <w:rPr>
          <w:rFonts w:ascii="Arial" w:hAnsi="Arial" w:cs="Arial"/>
          <w:color w:val="7B7B7B" w:themeColor="accent3" w:themeShade="BF"/>
          <w:sz w:val="22"/>
          <w:szCs w:val="22"/>
        </w:rPr>
      </w:pPr>
      <w:r w:rsidRPr="00FC5C87">
        <w:rPr>
          <w:rFonts w:ascii="Arial" w:hAnsi="Arial" w:cs="Arial"/>
          <w:b/>
          <w:bCs/>
          <w:color w:val="7B7B7B" w:themeColor="accent3" w:themeShade="BF"/>
          <w:sz w:val="22"/>
          <w:szCs w:val="22"/>
        </w:rPr>
        <w:t>Article 3(2) EIR Recast: secondary proceedings</w:t>
      </w:r>
      <w:r w:rsidR="0070329B" w:rsidRPr="00FC5C87">
        <w:rPr>
          <w:rFonts w:ascii="Arial" w:hAnsi="Arial" w:cs="Arial"/>
          <w:b/>
          <w:bCs/>
          <w:color w:val="7B7B7B" w:themeColor="accent3" w:themeShade="BF"/>
          <w:sz w:val="22"/>
          <w:szCs w:val="22"/>
        </w:rPr>
        <w:t xml:space="preserve"> (jurisdiction)</w:t>
      </w:r>
    </w:p>
    <w:p w14:paraId="550E9AA0" w14:textId="2F220896" w:rsidR="00C346A2" w:rsidRPr="00FC5C87" w:rsidRDefault="00C346A2" w:rsidP="00915970">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This Article </w:t>
      </w:r>
      <w:r w:rsidR="001B6E82" w:rsidRPr="00FC5C87">
        <w:rPr>
          <w:rFonts w:ascii="Arial" w:hAnsi="Arial" w:cs="Arial"/>
          <w:color w:val="7B7B7B" w:themeColor="accent3" w:themeShade="BF"/>
          <w:sz w:val="22"/>
          <w:szCs w:val="22"/>
        </w:rPr>
        <w:t xml:space="preserve">(see also recital 23 EIR Recast) </w:t>
      </w:r>
      <w:r w:rsidRPr="00FC5C87">
        <w:rPr>
          <w:rFonts w:ascii="Arial" w:hAnsi="Arial" w:cs="Arial"/>
          <w:color w:val="7B7B7B" w:themeColor="accent3" w:themeShade="BF"/>
          <w:sz w:val="22"/>
          <w:szCs w:val="22"/>
        </w:rPr>
        <w:t xml:space="preserve">provides the option to open secondary proceedings where a debtor has an “establishment” in the meaning of Article 2(10) </w:t>
      </w:r>
      <w:proofErr w:type="spellStart"/>
      <w:r w:rsidRPr="00FC5C87">
        <w:rPr>
          <w:rFonts w:ascii="Arial" w:hAnsi="Arial" w:cs="Arial"/>
          <w:color w:val="7B7B7B" w:themeColor="accent3" w:themeShade="BF"/>
          <w:sz w:val="22"/>
          <w:szCs w:val="22"/>
        </w:rPr>
        <w:t>ie</w:t>
      </w:r>
      <w:proofErr w:type="spellEnd"/>
      <w:r w:rsidRPr="00FC5C87">
        <w:rPr>
          <w:rFonts w:ascii="Arial" w:hAnsi="Arial" w:cs="Arial"/>
          <w:color w:val="7B7B7B" w:themeColor="accent3" w:themeShade="BF"/>
          <w:sz w:val="22"/>
          <w:szCs w:val="22"/>
        </w:rPr>
        <w:t xml:space="preserve"> any place of operations where a debtor carries out or has carried out in the 3-month period prior to the request to open main insolvency proceedings</w:t>
      </w:r>
      <w:r w:rsidR="008B379A">
        <w:rPr>
          <w:rFonts w:ascii="Arial" w:hAnsi="Arial" w:cs="Arial"/>
          <w:color w:val="7B7B7B" w:themeColor="accent3" w:themeShade="BF"/>
          <w:sz w:val="22"/>
          <w:szCs w:val="22"/>
        </w:rPr>
        <w:t>,</w:t>
      </w:r>
      <w:r w:rsidRPr="00FC5C87">
        <w:rPr>
          <w:rFonts w:ascii="Arial" w:hAnsi="Arial" w:cs="Arial"/>
          <w:color w:val="7B7B7B" w:themeColor="accent3" w:themeShade="BF"/>
          <w:sz w:val="22"/>
          <w:szCs w:val="22"/>
        </w:rPr>
        <w:t xml:space="preserve"> a non-transitory economic activity with human means and assets. This is an example of modified universalism as opening secondary proceedings limit</w:t>
      </w:r>
      <w:r w:rsidR="00F84581">
        <w:rPr>
          <w:rFonts w:ascii="Arial" w:hAnsi="Arial" w:cs="Arial"/>
          <w:color w:val="7B7B7B" w:themeColor="accent3" w:themeShade="BF"/>
          <w:sz w:val="22"/>
          <w:szCs w:val="22"/>
        </w:rPr>
        <w:t>s</w:t>
      </w:r>
      <w:r w:rsidRPr="00FC5C87">
        <w:rPr>
          <w:rFonts w:ascii="Arial" w:hAnsi="Arial" w:cs="Arial"/>
          <w:color w:val="7B7B7B" w:themeColor="accent3" w:themeShade="BF"/>
          <w:sz w:val="22"/>
          <w:szCs w:val="22"/>
        </w:rPr>
        <w:t xml:space="preserve"> the </w:t>
      </w:r>
      <w:r w:rsidR="00F84581">
        <w:rPr>
          <w:rFonts w:ascii="Arial" w:hAnsi="Arial" w:cs="Arial"/>
          <w:color w:val="7B7B7B" w:themeColor="accent3" w:themeShade="BF"/>
          <w:sz w:val="22"/>
          <w:szCs w:val="22"/>
        </w:rPr>
        <w:t xml:space="preserve">(full) </w:t>
      </w:r>
      <w:r w:rsidRPr="00FC5C87">
        <w:rPr>
          <w:rFonts w:ascii="Arial" w:hAnsi="Arial" w:cs="Arial"/>
          <w:color w:val="7B7B7B" w:themeColor="accent3" w:themeShade="BF"/>
          <w:sz w:val="22"/>
          <w:szCs w:val="22"/>
        </w:rPr>
        <w:t>universal scope and effects of the main proceedings.</w:t>
      </w:r>
      <w:r w:rsidR="00172B15" w:rsidRPr="00FC5C87">
        <w:rPr>
          <w:rFonts w:ascii="Arial" w:hAnsi="Arial" w:cs="Arial"/>
          <w:color w:val="7B7B7B" w:themeColor="accent3" w:themeShade="BF"/>
          <w:sz w:val="22"/>
          <w:szCs w:val="22"/>
        </w:rPr>
        <w:t xml:space="preserve"> The effects of the secondary proceedings are limited to the assets of the debtor situated within the territory of the Member State in which the secondary proceedings are opened.</w:t>
      </w:r>
    </w:p>
    <w:p w14:paraId="7D300B06" w14:textId="3229C762" w:rsidR="00C346A2" w:rsidRPr="00FC5C87" w:rsidRDefault="00C346A2" w:rsidP="00C346A2">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In </w:t>
      </w:r>
      <w:r w:rsidR="0070329B" w:rsidRPr="00FC5C87">
        <w:rPr>
          <w:rFonts w:ascii="Arial" w:hAnsi="Arial" w:cs="Arial"/>
          <w:color w:val="7B7B7B" w:themeColor="accent3" w:themeShade="BF"/>
          <w:sz w:val="22"/>
          <w:szCs w:val="22"/>
        </w:rPr>
        <w:t xml:space="preserve">a </w:t>
      </w:r>
      <w:r w:rsidRPr="00FC5C87">
        <w:rPr>
          <w:rFonts w:ascii="Arial" w:hAnsi="Arial" w:cs="Arial"/>
          <w:color w:val="7B7B7B" w:themeColor="accent3" w:themeShade="BF"/>
          <w:sz w:val="22"/>
          <w:szCs w:val="22"/>
        </w:rPr>
        <w:t xml:space="preserve">similar vein, </w:t>
      </w:r>
      <w:r w:rsidR="00915970" w:rsidRPr="00FC5C87">
        <w:rPr>
          <w:rFonts w:ascii="Arial" w:hAnsi="Arial" w:cs="Arial"/>
          <w:color w:val="7B7B7B" w:themeColor="accent3" w:themeShade="BF"/>
          <w:sz w:val="22"/>
          <w:szCs w:val="22"/>
        </w:rPr>
        <w:t xml:space="preserve">Article 3(4) </w:t>
      </w:r>
      <w:r w:rsidR="00172B15" w:rsidRPr="00FC5C87">
        <w:rPr>
          <w:rFonts w:ascii="Arial" w:hAnsi="Arial" w:cs="Arial"/>
          <w:color w:val="7B7B7B" w:themeColor="accent3" w:themeShade="BF"/>
          <w:sz w:val="22"/>
          <w:szCs w:val="22"/>
        </w:rPr>
        <w:t>provides the option to open territorial proceedings prior to the opening of main proceedings. Once the main proceedings are opened, the territorial proceedings become secondary proceedings.</w:t>
      </w:r>
    </w:p>
    <w:p w14:paraId="2430311E" w14:textId="39A490F1" w:rsidR="00915970" w:rsidRPr="00FC5C87" w:rsidRDefault="00915970" w:rsidP="00172B15">
      <w:pPr>
        <w:ind w:left="720" w:hanging="720"/>
        <w:jc w:val="both"/>
        <w:rPr>
          <w:rFonts w:ascii="Arial" w:hAnsi="Arial" w:cs="Arial"/>
          <w:b/>
          <w:bCs/>
          <w:color w:val="7B7B7B" w:themeColor="accent3" w:themeShade="BF"/>
          <w:sz w:val="22"/>
          <w:szCs w:val="22"/>
        </w:rPr>
      </w:pPr>
      <w:r w:rsidRPr="00FC5C87">
        <w:rPr>
          <w:rFonts w:ascii="Arial" w:hAnsi="Arial" w:cs="Arial"/>
          <w:b/>
          <w:bCs/>
          <w:color w:val="7B7B7B" w:themeColor="accent3" w:themeShade="BF"/>
          <w:sz w:val="22"/>
          <w:szCs w:val="22"/>
        </w:rPr>
        <w:t xml:space="preserve">Article </w:t>
      </w:r>
      <w:r w:rsidR="00BC7D9A" w:rsidRPr="00FC5C87">
        <w:rPr>
          <w:rFonts w:ascii="Arial" w:hAnsi="Arial" w:cs="Arial"/>
          <w:b/>
          <w:bCs/>
          <w:color w:val="7B7B7B" w:themeColor="accent3" w:themeShade="BF"/>
          <w:sz w:val="22"/>
          <w:szCs w:val="22"/>
        </w:rPr>
        <w:t>13</w:t>
      </w:r>
      <w:r w:rsidR="0070329B" w:rsidRPr="00FC5C87">
        <w:rPr>
          <w:rFonts w:ascii="Arial" w:hAnsi="Arial" w:cs="Arial"/>
          <w:b/>
          <w:bCs/>
          <w:color w:val="7B7B7B" w:themeColor="accent3" w:themeShade="BF"/>
          <w:sz w:val="22"/>
          <w:szCs w:val="22"/>
        </w:rPr>
        <w:t xml:space="preserve"> EIR Recast: </w:t>
      </w:r>
      <w:r w:rsidR="00BC7D9A" w:rsidRPr="00FC5C87">
        <w:rPr>
          <w:rFonts w:ascii="Arial" w:hAnsi="Arial" w:cs="Arial"/>
          <w:b/>
          <w:bCs/>
          <w:color w:val="7B7B7B" w:themeColor="accent3" w:themeShade="BF"/>
          <w:sz w:val="22"/>
          <w:szCs w:val="22"/>
        </w:rPr>
        <w:t>contracts of employment</w:t>
      </w:r>
      <w:r w:rsidR="0070329B" w:rsidRPr="00FC5C87">
        <w:rPr>
          <w:rFonts w:ascii="Arial" w:hAnsi="Arial" w:cs="Arial"/>
          <w:b/>
          <w:bCs/>
          <w:color w:val="7B7B7B" w:themeColor="accent3" w:themeShade="BF"/>
          <w:sz w:val="22"/>
          <w:szCs w:val="22"/>
        </w:rPr>
        <w:t xml:space="preserve"> (applicable law)</w:t>
      </w:r>
    </w:p>
    <w:p w14:paraId="43A6242F" w14:textId="66E988FE" w:rsidR="0070329B" w:rsidRPr="00FC5C87" w:rsidRDefault="0070329B" w:rsidP="00172B15">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This Article </w:t>
      </w:r>
      <w:r w:rsidR="001B6E82" w:rsidRPr="00FC5C87">
        <w:rPr>
          <w:rFonts w:ascii="Arial" w:hAnsi="Arial" w:cs="Arial"/>
          <w:color w:val="7B7B7B" w:themeColor="accent3" w:themeShade="BF"/>
          <w:sz w:val="22"/>
          <w:szCs w:val="22"/>
        </w:rPr>
        <w:t xml:space="preserve">(see also recital </w:t>
      </w:r>
      <w:r w:rsidR="00BC7D9A" w:rsidRPr="00FC5C87">
        <w:rPr>
          <w:rFonts w:ascii="Arial" w:hAnsi="Arial" w:cs="Arial"/>
          <w:color w:val="7B7B7B" w:themeColor="accent3" w:themeShade="BF"/>
          <w:sz w:val="22"/>
          <w:szCs w:val="22"/>
        </w:rPr>
        <w:t xml:space="preserve">72) </w:t>
      </w:r>
      <w:r w:rsidRPr="00FC5C87">
        <w:rPr>
          <w:rFonts w:ascii="Arial" w:hAnsi="Arial" w:cs="Arial"/>
          <w:color w:val="7B7B7B" w:themeColor="accent3" w:themeShade="BF"/>
          <w:sz w:val="22"/>
          <w:szCs w:val="22"/>
        </w:rPr>
        <w:t xml:space="preserve">limits the scope of the applicable law, which, in principle, is the </w:t>
      </w:r>
      <w:r w:rsidRPr="00FC5C87">
        <w:rPr>
          <w:rFonts w:ascii="Arial" w:hAnsi="Arial" w:cs="Arial"/>
          <w:i/>
          <w:iCs/>
          <w:color w:val="7B7B7B" w:themeColor="accent3" w:themeShade="BF"/>
          <w:sz w:val="22"/>
          <w:szCs w:val="22"/>
        </w:rPr>
        <w:t xml:space="preserve">lex </w:t>
      </w:r>
      <w:proofErr w:type="spellStart"/>
      <w:r w:rsidRPr="00FC5C87">
        <w:rPr>
          <w:rFonts w:ascii="Arial" w:hAnsi="Arial" w:cs="Arial"/>
          <w:i/>
          <w:iCs/>
          <w:color w:val="7B7B7B" w:themeColor="accent3" w:themeShade="BF"/>
          <w:sz w:val="22"/>
          <w:szCs w:val="22"/>
        </w:rPr>
        <w:t>fori</w:t>
      </w:r>
      <w:proofErr w:type="spellEnd"/>
      <w:r w:rsidRPr="00FC5C87">
        <w:rPr>
          <w:rFonts w:ascii="Arial" w:hAnsi="Arial" w:cs="Arial"/>
          <w:i/>
          <w:iCs/>
          <w:color w:val="7B7B7B" w:themeColor="accent3" w:themeShade="BF"/>
          <w:sz w:val="22"/>
          <w:szCs w:val="22"/>
        </w:rPr>
        <w:t xml:space="preserve"> concursus </w:t>
      </w:r>
      <w:r w:rsidRPr="00FC5C87">
        <w:rPr>
          <w:rFonts w:ascii="Arial" w:hAnsi="Arial" w:cs="Arial"/>
          <w:color w:val="7B7B7B" w:themeColor="accent3" w:themeShade="BF"/>
          <w:sz w:val="22"/>
          <w:szCs w:val="22"/>
        </w:rPr>
        <w:t xml:space="preserve">or the law of the Member State in which the insolvency proceedings are opened. This principle is codified in Article 7 of the EIR Recast </w:t>
      </w:r>
      <w:r w:rsidR="001B6E82" w:rsidRPr="00FC5C87">
        <w:rPr>
          <w:rFonts w:ascii="Arial" w:hAnsi="Arial" w:cs="Arial"/>
          <w:color w:val="7B7B7B" w:themeColor="accent3" w:themeShade="BF"/>
          <w:sz w:val="22"/>
          <w:szCs w:val="22"/>
        </w:rPr>
        <w:t xml:space="preserve">(see also recital 66) </w:t>
      </w:r>
      <w:r w:rsidRPr="00FC5C87">
        <w:rPr>
          <w:rFonts w:ascii="Arial" w:hAnsi="Arial" w:cs="Arial"/>
          <w:color w:val="7B7B7B" w:themeColor="accent3" w:themeShade="BF"/>
          <w:sz w:val="22"/>
          <w:szCs w:val="22"/>
        </w:rPr>
        <w:t xml:space="preserve">and </w:t>
      </w:r>
      <w:r w:rsidR="008B379A">
        <w:rPr>
          <w:rFonts w:ascii="Arial" w:hAnsi="Arial" w:cs="Arial"/>
          <w:color w:val="7B7B7B" w:themeColor="accent3" w:themeShade="BF"/>
          <w:sz w:val="22"/>
          <w:szCs w:val="22"/>
        </w:rPr>
        <w:t xml:space="preserve">it </w:t>
      </w:r>
      <w:r w:rsidRPr="00FC5C87">
        <w:rPr>
          <w:rFonts w:ascii="Arial" w:hAnsi="Arial" w:cs="Arial"/>
          <w:color w:val="7B7B7B" w:themeColor="accent3" w:themeShade="BF"/>
          <w:sz w:val="22"/>
          <w:szCs w:val="22"/>
        </w:rPr>
        <w:t xml:space="preserve">upholds the universal approach. However, the exceptions listed in Articles 8-18 of the EIR Recast, modify this universal approach in applicable law by providing the option to </w:t>
      </w:r>
      <w:r w:rsidR="00511A5E" w:rsidRPr="00FC5C87">
        <w:rPr>
          <w:rFonts w:ascii="Arial" w:hAnsi="Arial" w:cs="Arial"/>
          <w:color w:val="7B7B7B" w:themeColor="accent3" w:themeShade="BF"/>
          <w:sz w:val="22"/>
          <w:szCs w:val="22"/>
        </w:rPr>
        <w:t xml:space="preserve">apply laws </w:t>
      </w:r>
      <w:r w:rsidR="00F42852" w:rsidRPr="00FC5C87">
        <w:rPr>
          <w:rFonts w:ascii="Arial" w:hAnsi="Arial" w:cs="Arial"/>
          <w:color w:val="7B7B7B" w:themeColor="accent3" w:themeShade="BF"/>
          <w:sz w:val="22"/>
          <w:szCs w:val="22"/>
        </w:rPr>
        <w:t xml:space="preserve">of other Member States </w:t>
      </w:r>
      <w:proofErr w:type="spellStart"/>
      <w:r w:rsidR="00F42852" w:rsidRPr="00FC5C87">
        <w:rPr>
          <w:rFonts w:ascii="Arial" w:hAnsi="Arial" w:cs="Arial"/>
          <w:color w:val="7B7B7B" w:themeColor="accent3" w:themeShade="BF"/>
          <w:sz w:val="22"/>
          <w:szCs w:val="22"/>
        </w:rPr>
        <w:t>ie</w:t>
      </w:r>
      <w:proofErr w:type="spellEnd"/>
      <w:r w:rsidR="00F42852" w:rsidRPr="00FC5C87">
        <w:rPr>
          <w:rFonts w:ascii="Arial" w:hAnsi="Arial" w:cs="Arial"/>
          <w:color w:val="7B7B7B" w:themeColor="accent3" w:themeShade="BF"/>
          <w:sz w:val="22"/>
          <w:szCs w:val="22"/>
        </w:rPr>
        <w:t xml:space="preserve"> </w:t>
      </w:r>
      <w:r w:rsidR="00511A5E" w:rsidRPr="00FC5C87">
        <w:rPr>
          <w:rFonts w:ascii="Arial" w:hAnsi="Arial" w:cs="Arial"/>
          <w:color w:val="7B7B7B" w:themeColor="accent3" w:themeShade="BF"/>
          <w:sz w:val="22"/>
          <w:szCs w:val="22"/>
        </w:rPr>
        <w:t xml:space="preserve">other than the lex </w:t>
      </w:r>
      <w:proofErr w:type="spellStart"/>
      <w:r w:rsidR="00511A5E" w:rsidRPr="00FC5C87">
        <w:rPr>
          <w:rFonts w:ascii="Arial" w:hAnsi="Arial" w:cs="Arial"/>
          <w:color w:val="7B7B7B" w:themeColor="accent3" w:themeShade="BF"/>
          <w:sz w:val="22"/>
          <w:szCs w:val="22"/>
        </w:rPr>
        <w:t>fori</w:t>
      </w:r>
      <w:proofErr w:type="spellEnd"/>
      <w:r w:rsidR="00511A5E" w:rsidRPr="00FC5C87">
        <w:rPr>
          <w:rFonts w:ascii="Arial" w:hAnsi="Arial" w:cs="Arial"/>
          <w:color w:val="7B7B7B" w:themeColor="accent3" w:themeShade="BF"/>
          <w:sz w:val="22"/>
          <w:szCs w:val="22"/>
        </w:rPr>
        <w:t xml:space="preserve"> concursus (</w:t>
      </w:r>
      <w:proofErr w:type="spellStart"/>
      <w:r w:rsidR="00511A5E" w:rsidRPr="00FC5C87">
        <w:rPr>
          <w:rFonts w:ascii="Arial" w:hAnsi="Arial" w:cs="Arial"/>
          <w:color w:val="7B7B7B" w:themeColor="accent3" w:themeShade="BF"/>
          <w:sz w:val="22"/>
          <w:szCs w:val="22"/>
        </w:rPr>
        <w:t>eg</w:t>
      </w:r>
      <w:proofErr w:type="spellEnd"/>
      <w:r w:rsidR="00511A5E" w:rsidRPr="00FC5C87">
        <w:rPr>
          <w:rFonts w:ascii="Arial" w:hAnsi="Arial" w:cs="Arial"/>
          <w:color w:val="7B7B7B" w:themeColor="accent3" w:themeShade="BF"/>
          <w:sz w:val="22"/>
          <w:szCs w:val="22"/>
        </w:rPr>
        <w:t xml:space="preserve"> lex rei </w:t>
      </w:r>
      <w:proofErr w:type="spellStart"/>
      <w:r w:rsidR="00511A5E" w:rsidRPr="00FC5C87">
        <w:rPr>
          <w:rFonts w:ascii="Arial" w:hAnsi="Arial" w:cs="Arial"/>
          <w:color w:val="7B7B7B" w:themeColor="accent3" w:themeShade="BF"/>
          <w:sz w:val="22"/>
          <w:szCs w:val="22"/>
        </w:rPr>
        <w:t>sitae</w:t>
      </w:r>
      <w:proofErr w:type="spellEnd"/>
      <w:r w:rsidR="00511A5E" w:rsidRPr="00FC5C87">
        <w:rPr>
          <w:rFonts w:ascii="Arial" w:hAnsi="Arial" w:cs="Arial"/>
          <w:color w:val="7B7B7B" w:themeColor="accent3" w:themeShade="BF"/>
          <w:sz w:val="22"/>
          <w:szCs w:val="22"/>
        </w:rPr>
        <w:t xml:space="preserve">, lex </w:t>
      </w:r>
      <w:proofErr w:type="spellStart"/>
      <w:r w:rsidR="00511A5E" w:rsidRPr="00FC5C87">
        <w:rPr>
          <w:rFonts w:ascii="Arial" w:hAnsi="Arial" w:cs="Arial"/>
          <w:color w:val="7B7B7B" w:themeColor="accent3" w:themeShade="BF"/>
          <w:sz w:val="22"/>
          <w:szCs w:val="22"/>
        </w:rPr>
        <w:t>causae</w:t>
      </w:r>
      <w:proofErr w:type="spellEnd"/>
      <w:r w:rsidR="00511A5E" w:rsidRPr="00FC5C87">
        <w:rPr>
          <w:rFonts w:ascii="Arial" w:hAnsi="Arial" w:cs="Arial"/>
          <w:color w:val="7B7B7B" w:themeColor="accent3" w:themeShade="BF"/>
          <w:sz w:val="22"/>
          <w:szCs w:val="22"/>
        </w:rPr>
        <w:t xml:space="preserve">, lex </w:t>
      </w:r>
      <w:proofErr w:type="spellStart"/>
      <w:r w:rsidR="00511A5E" w:rsidRPr="00FC5C87">
        <w:rPr>
          <w:rFonts w:ascii="Arial" w:hAnsi="Arial" w:cs="Arial"/>
          <w:color w:val="7B7B7B" w:themeColor="accent3" w:themeShade="BF"/>
          <w:sz w:val="22"/>
          <w:szCs w:val="22"/>
        </w:rPr>
        <w:t>contractus</w:t>
      </w:r>
      <w:proofErr w:type="spellEnd"/>
      <w:r w:rsidR="00511A5E" w:rsidRPr="00FC5C87">
        <w:rPr>
          <w:rFonts w:ascii="Arial" w:hAnsi="Arial" w:cs="Arial"/>
          <w:color w:val="7B7B7B" w:themeColor="accent3" w:themeShade="BF"/>
          <w:sz w:val="22"/>
          <w:szCs w:val="22"/>
        </w:rPr>
        <w:t xml:space="preserve">, lex </w:t>
      </w:r>
      <w:proofErr w:type="spellStart"/>
      <w:r w:rsidR="00511A5E" w:rsidRPr="00FC5C87">
        <w:rPr>
          <w:rFonts w:ascii="Arial" w:hAnsi="Arial" w:cs="Arial"/>
          <w:color w:val="7B7B7B" w:themeColor="accent3" w:themeShade="BF"/>
          <w:sz w:val="22"/>
          <w:szCs w:val="22"/>
        </w:rPr>
        <w:t>fori</w:t>
      </w:r>
      <w:proofErr w:type="spellEnd"/>
      <w:r w:rsidR="00511A5E" w:rsidRPr="00FC5C87">
        <w:rPr>
          <w:rFonts w:ascii="Arial" w:hAnsi="Arial" w:cs="Arial"/>
          <w:color w:val="7B7B7B" w:themeColor="accent3" w:themeShade="BF"/>
          <w:sz w:val="22"/>
          <w:szCs w:val="22"/>
        </w:rPr>
        <w:t xml:space="preserve"> </w:t>
      </w:r>
      <w:proofErr w:type="spellStart"/>
      <w:r w:rsidR="00511A5E" w:rsidRPr="00FC5C87">
        <w:rPr>
          <w:rFonts w:ascii="Arial" w:hAnsi="Arial" w:cs="Arial"/>
          <w:color w:val="7B7B7B" w:themeColor="accent3" w:themeShade="BF"/>
          <w:sz w:val="22"/>
          <w:szCs w:val="22"/>
        </w:rPr>
        <w:t>processus</w:t>
      </w:r>
      <w:proofErr w:type="spellEnd"/>
      <w:r w:rsidR="00F42852" w:rsidRPr="00FC5C87">
        <w:rPr>
          <w:rFonts w:ascii="Arial" w:hAnsi="Arial" w:cs="Arial"/>
          <w:color w:val="7B7B7B" w:themeColor="accent3" w:themeShade="BF"/>
          <w:sz w:val="22"/>
          <w:szCs w:val="22"/>
        </w:rPr>
        <w:t xml:space="preserve">, or lex </w:t>
      </w:r>
      <w:proofErr w:type="spellStart"/>
      <w:r w:rsidR="00F42852" w:rsidRPr="00FC5C87">
        <w:rPr>
          <w:rFonts w:ascii="Arial" w:hAnsi="Arial" w:cs="Arial"/>
          <w:color w:val="7B7B7B" w:themeColor="accent3" w:themeShade="BF"/>
          <w:sz w:val="22"/>
          <w:szCs w:val="22"/>
        </w:rPr>
        <w:t>fori</w:t>
      </w:r>
      <w:proofErr w:type="spellEnd"/>
      <w:r w:rsidR="00F42852" w:rsidRPr="00FC5C87">
        <w:rPr>
          <w:rFonts w:ascii="Arial" w:hAnsi="Arial" w:cs="Arial"/>
          <w:color w:val="7B7B7B" w:themeColor="accent3" w:themeShade="BF"/>
          <w:sz w:val="22"/>
          <w:szCs w:val="22"/>
        </w:rPr>
        <w:t xml:space="preserve"> </w:t>
      </w:r>
      <w:proofErr w:type="spellStart"/>
      <w:r w:rsidR="00F42852" w:rsidRPr="00FC5C87">
        <w:rPr>
          <w:rFonts w:ascii="Arial" w:hAnsi="Arial" w:cs="Arial"/>
          <w:color w:val="7B7B7B" w:themeColor="accent3" w:themeShade="BF"/>
          <w:sz w:val="22"/>
          <w:szCs w:val="22"/>
        </w:rPr>
        <w:t>arbitri</w:t>
      </w:r>
      <w:proofErr w:type="spellEnd"/>
      <w:r w:rsidR="00F42852" w:rsidRPr="00FC5C87">
        <w:rPr>
          <w:rFonts w:ascii="Arial" w:hAnsi="Arial" w:cs="Arial"/>
          <w:color w:val="7B7B7B" w:themeColor="accent3" w:themeShade="BF"/>
          <w:sz w:val="22"/>
          <w:szCs w:val="22"/>
        </w:rPr>
        <w:t>).</w:t>
      </w:r>
      <w:r w:rsidR="00BC7D9A" w:rsidRPr="00FC5C87">
        <w:rPr>
          <w:rFonts w:ascii="Arial" w:hAnsi="Arial" w:cs="Arial"/>
          <w:color w:val="7B7B7B" w:themeColor="accent3" w:themeShade="BF"/>
          <w:sz w:val="22"/>
          <w:szCs w:val="22"/>
        </w:rPr>
        <w:t xml:space="preserve"> Employment contracts, for example, are governed exclusively by the law of the Member State applicable to the contract of employment. </w:t>
      </w:r>
    </w:p>
    <w:p w14:paraId="116914AB" w14:textId="3D491CA3" w:rsidR="00172B15" w:rsidRPr="00FC5C87" w:rsidRDefault="00172B15" w:rsidP="00172B15">
      <w:pPr>
        <w:ind w:left="720" w:hanging="720"/>
        <w:jc w:val="both"/>
        <w:rPr>
          <w:rFonts w:ascii="Arial" w:hAnsi="Arial" w:cs="Arial"/>
          <w:b/>
          <w:bCs/>
          <w:color w:val="7B7B7B" w:themeColor="accent3" w:themeShade="BF"/>
          <w:sz w:val="22"/>
          <w:szCs w:val="22"/>
        </w:rPr>
      </w:pPr>
      <w:r w:rsidRPr="00FC5C87">
        <w:rPr>
          <w:rFonts w:ascii="Arial" w:hAnsi="Arial" w:cs="Arial"/>
          <w:b/>
          <w:bCs/>
          <w:color w:val="7B7B7B" w:themeColor="accent3" w:themeShade="BF"/>
          <w:sz w:val="22"/>
          <w:szCs w:val="22"/>
        </w:rPr>
        <w:t>Article 33 EIR Recast: public policy</w:t>
      </w:r>
      <w:r w:rsidR="0070329B" w:rsidRPr="00FC5C87">
        <w:rPr>
          <w:rFonts w:ascii="Arial" w:hAnsi="Arial" w:cs="Arial"/>
          <w:b/>
          <w:bCs/>
          <w:color w:val="7B7B7B" w:themeColor="accent3" w:themeShade="BF"/>
          <w:sz w:val="22"/>
          <w:szCs w:val="22"/>
        </w:rPr>
        <w:t xml:space="preserve"> (recognition and enforcement)</w:t>
      </w:r>
    </w:p>
    <w:p w14:paraId="074A9342" w14:textId="58C43700" w:rsidR="00172B15" w:rsidRPr="00FC5C87" w:rsidRDefault="00915970" w:rsidP="00915970">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This Article lays down a ground/exception for a Member State to refuse insolvency proceedings opened in another Member State and/or to enforce a judgement if that would be manifestly contrary to the public policy of that Member State (particularly </w:t>
      </w:r>
      <w:r w:rsidR="00172B15" w:rsidRPr="00FC5C87">
        <w:rPr>
          <w:rFonts w:ascii="Arial" w:hAnsi="Arial" w:cs="Arial"/>
          <w:color w:val="7B7B7B" w:themeColor="accent3" w:themeShade="BF"/>
          <w:sz w:val="22"/>
          <w:szCs w:val="22"/>
        </w:rPr>
        <w:t>its fundamental principles or the constitutional rights and liberties of the individual</w:t>
      </w:r>
      <w:r w:rsidRPr="00FC5C87">
        <w:rPr>
          <w:rFonts w:ascii="Arial" w:hAnsi="Arial" w:cs="Arial"/>
          <w:color w:val="7B7B7B" w:themeColor="accent3" w:themeShade="BF"/>
          <w:sz w:val="22"/>
          <w:szCs w:val="22"/>
        </w:rPr>
        <w:t>)</w:t>
      </w:r>
      <w:r w:rsidR="00172B15" w:rsidRPr="00FC5C87">
        <w:rPr>
          <w:rFonts w:ascii="Arial" w:hAnsi="Arial" w:cs="Arial"/>
          <w:color w:val="7B7B7B" w:themeColor="accent3" w:themeShade="BF"/>
          <w:sz w:val="22"/>
          <w:szCs w:val="22"/>
        </w:rPr>
        <w:t>.</w:t>
      </w:r>
      <w:r w:rsidRPr="00FC5C87">
        <w:rPr>
          <w:rFonts w:ascii="Arial" w:hAnsi="Arial" w:cs="Arial"/>
          <w:color w:val="7B7B7B" w:themeColor="accent3" w:themeShade="BF"/>
          <w:sz w:val="22"/>
          <w:szCs w:val="22"/>
        </w:rPr>
        <w:t xml:space="preserve"> Thus, recognition and enforcement is not absolute, hence limiting the universal scope of the main proceedings.</w:t>
      </w:r>
    </w:p>
    <w:p w14:paraId="6948B395" w14:textId="65A1604F" w:rsidR="00E90991" w:rsidRPr="00FC5C87" w:rsidRDefault="00E90991" w:rsidP="00A30A45">
      <w:pPr>
        <w:jc w:val="both"/>
        <w:rPr>
          <w:rFonts w:ascii="Arial" w:hAnsi="Arial" w:cs="Arial"/>
          <w:sz w:val="22"/>
          <w:szCs w:val="22"/>
        </w:rPr>
      </w:pPr>
    </w:p>
    <w:p w14:paraId="7AF8A6A4" w14:textId="77777777" w:rsidR="00FE2DE2" w:rsidRPr="00FC5C87" w:rsidRDefault="00FE2DE2" w:rsidP="002A37BB">
      <w:pPr>
        <w:ind w:left="720" w:hanging="720"/>
        <w:jc w:val="both"/>
        <w:rPr>
          <w:rFonts w:ascii="Arial" w:hAnsi="Arial" w:cs="Arial"/>
          <w:sz w:val="22"/>
          <w:szCs w:val="22"/>
        </w:rPr>
      </w:pPr>
    </w:p>
    <w:p w14:paraId="34516371" w14:textId="6DFAB56A" w:rsidR="00C72848" w:rsidRPr="00FC5C87" w:rsidRDefault="00C72848" w:rsidP="002A37BB">
      <w:pPr>
        <w:ind w:left="720" w:hanging="720"/>
        <w:jc w:val="both"/>
        <w:rPr>
          <w:rFonts w:ascii="Arial" w:hAnsi="Arial" w:cs="Arial"/>
          <w:b/>
          <w:bCs/>
          <w:sz w:val="22"/>
          <w:szCs w:val="22"/>
        </w:rPr>
      </w:pPr>
      <w:r w:rsidRPr="00FC5C87">
        <w:rPr>
          <w:rFonts w:ascii="Arial" w:hAnsi="Arial" w:cs="Arial"/>
          <w:b/>
          <w:bCs/>
          <w:sz w:val="22"/>
          <w:szCs w:val="22"/>
        </w:rPr>
        <w:t xml:space="preserve">Question </w:t>
      </w:r>
      <w:r w:rsidR="00E6452F" w:rsidRPr="00FC5C87">
        <w:rPr>
          <w:rFonts w:ascii="Arial" w:hAnsi="Arial" w:cs="Arial"/>
          <w:b/>
          <w:bCs/>
          <w:sz w:val="22"/>
          <w:szCs w:val="22"/>
        </w:rPr>
        <w:t>2.3</w:t>
      </w:r>
      <w:r w:rsidR="00E6452F" w:rsidRPr="00FC5C87">
        <w:rPr>
          <w:rFonts w:ascii="Arial" w:hAnsi="Arial" w:cs="Arial"/>
          <w:b/>
          <w:bCs/>
          <w:sz w:val="22"/>
          <w:szCs w:val="22"/>
        </w:rPr>
        <w:tab/>
        <w:t>[</w:t>
      </w:r>
      <w:r w:rsidR="00D17FDC" w:rsidRPr="00FC5C87">
        <w:rPr>
          <w:rFonts w:ascii="Arial" w:hAnsi="Arial" w:cs="Arial"/>
          <w:b/>
          <w:bCs/>
          <w:sz w:val="22"/>
          <w:szCs w:val="22"/>
        </w:rPr>
        <w:t>m</w:t>
      </w:r>
      <w:r w:rsidR="00E6452F" w:rsidRPr="00FC5C87">
        <w:rPr>
          <w:rFonts w:ascii="Arial" w:hAnsi="Arial" w:cs="Arial"/>
          <w:b/>
          <w:bCs/>
          <w:sz w:val="22"/>
          <w:szCs w:val="22"/>
        </w:rPr>
        <w:t xml:space="preserve">aximum </w:t>
      </w:r>
      <w:r w:rsidR="00ED472A" w:rsidRPr="00FC5C87">
        <w:rPr>
          <w:rFonts w:ascii="Arial" w:hAnsi="Arial" w:cs="Arial"/>
          <w:b/>
          <w:bCs/>
          <w:sz w:val="22"/>
          <w:szCs w:val="22"/>
        </w:rPr>
        <w:t>3</w:t>
      </w:r>
      <w:r w:rsidR="00E6452F" w:rsidRPr="00FC5C87">
        <w:rPr>
          <w:rFonts w:ascii="Arial" w:hAnsi="Arial" w:cs="Arial"/>
          <w:b/>
          <w:bCs/>
          <w:sz w:val="22"/>
          <w:szCs w:val="22"/>
        </w:rPr>
        <w:t xml:space="preserve"> marks] </w:t>
      </w:r>
    </w:p>
    <w:p w14:paraId="64670543" w14:textId="77777777" w:rsidR="00C72848" w:rsidRPr="00FC5C87" w:rsidRDefault="00C72848" w:rsidP="002A37BB">
      <w:pPr>
        <w:ind w:left="720" w:hanging="720"/>
        <w:jc w:val="both"/>
        <w:rPr>
          <w:rFonts w:ascii="Arial" w:hAnsi="Arial" w:cs="Arial"/>
          <w:b/>
          <w:bCs/>
          <w:sz w:val="22"/>
          <w:szCs w:val="22"/>
        </w:rPr>
      </w:pPr>
    </w:p>
    <w:p w14:paraId="66C8FBA0" w14:textId="08A388E1" w:rsidR="00D509A5" w:rsidRPr="00FC5C87" w:rsidRDefault="00D509A5" w:rsidP="002A37BB">
      <w:pPr>
        <w:jc w:val="both"/>
        <w:rPr>
          <w:rFonts w:ascii="Arial" w:hAnsi="Arial" w:cs="Arial"/>
          <w:sz w:val="22"/>
          <w:szCs w:val="22"/>
        </w:rPr>
      </w:pPr>
      <w:r w:rsidRPr="00FC5C87">
        <w:rPr>
          <w:rFonts w:ascii="Arial" w:hAnsi="Arial" w:cs="Arial"/>
          <w:sz w:val="22"/>
          <w:szCs w:val="22"/>
        </w:rPr>
        <w:t xml:space="preserve">Cross-border co-operation and communication between courts is now an obligation under the EIR Recast. This was not the case under the EIR 2000. List </w:t>
      </w:r>
      <w:r w:rsidRPr="00FC5C87">
        <w:rPr>
          <w:rFonts w:ascii="Arial" w:hAnsi="Arial" w:cs="Arial"/>
          <w:b/>
          <w:sz w:val="22"/>
          <w:szCs w:val="22"/>
          <w:u w:val="single"/>
        </w:rPr>
        <w:t>three (3) provisions</w:t>
      </w:r>
      <w:r w:rsidRPr="00FC5C87">
        <w:rPr>
          <w:rFonts w:ascii="Arial" w:hAnsi="Arial" w:cs="Arial"/>
          <w:sz w:val="22"/>
          <w:szCs w:val="22"/>
        </w:rPr>
        <w:t xml:space="preserve"> (recitals and</w:t>
      </w:r>
      <w:r w:rsidR="00696ED8" w:rsidRPr="00FC5C87">
        <w:rPr>
          <w:rFonts w:ascii="Arial" w:hAnsi="Arial" w:cs="Arial"/>
          <w:sz w:val="22"/>
          <w:szCs w:val="22"/>
        </w:rPr>
        <w:t xml:space="preserve"> </w:t>
      </w:r>
      <w:r w:rsidRPr="00FC5C87">
        <w:rPr>
          <w:rFonts w:ascii="Arial" w:hAnsi="Arial" w:cs="Arial"/>
          <w:sz w:val="22"/>
          <w:szCs w:val="22"/>
        </w:rPr>
        <w:t>/</w:t>
      </w:r>
      <w:r w:rsidR="00696ED8" w:rsidRPr="00FC5C87">
        <w:rPr>
          <w:rFonts w:ascii="Arial" w:hAnsi="Arial" w:cs="Arial"/>
          <w:sz w:val="22"/>
          <w:szCs w:val="22"/>
        </w:rPr>
        <w:t xml:space="preserve"> </w:t>
      </w:r>
      <w:r w:rsidRPr="00FC5C87">
        <w:rPr>
          <w:rFonts w:ascii="Arial" w:hAnsi="Arial" w:cs="Arial"/>
          <w:sz w:val="22"/>
          <w:szCs w:val="22"/>
        </w:rPr>
        <w:t xml:space="preserve">or articles) of the EIR Recast </w:t>
      </w:r>
      <w:r w:rsidR="00696ED8" w:rsidRPr="00FC5C87">
        <w:rPr>
          <w:rFonts w:ascii="Arial" w:hAnsi="Arial" w:cs="Arial"/>
          <w:sz w:val="22"/>
          <w:szCs w:val="22"/>
        </w:rPr>
        <w:t>that</w:t>
      </w:r>
      <w:r w:rsidRPr="00FC5C87">
        <w:rPr>
          <w:rFonts w:ascii="Arial" w:hAnsi="Arial" w:cs="Arial"/>
          <w:sz w:val="22"/>
          <w:szCs w:val="22"/>
        </w:rPr>
        <w:t xml:space="preserve"> deal with </w:t>
      </w:r>
      <w:r w:rsidR="00696ED8" w:rsidRPr="00FC5C87">
        <w:rPr>
          <w:rFonts w:ascii="Arial" w:hAnsi="Arial" w:cs="Arial"/>
          <w:sz w:val="22"/>
          <w:szCs w:val="22"/>
        </w:rPr>
        <w:t>this</w:t>
      </w:r>
      <w:r w:rsidRPr="00FC5C87">
        <w:rPr>
          <w:rFonts w:ascii="Arial" w:hAnsi="Arial" w:cs="Arial"/>
          <w:sz w:val="22"/>
          <w:szCs w:val="22"/>
        </w:rPr>
        <w:t xml:space="preserve"> newly introduced obligation. </w:t>
      </w:r>
    </w:p>
    <w:p w14:paraId="28FA893F" w14:textId="26B304B1" w:rsidR="00962045" w:rsidRPr="00FC5C87" w:rsidRDefault="00962045" w:rsidP="002A37BB">
      <w:pPr>
        <w:ind w:left="720" w:hanging="720"/>
        <w:jc w:val="both"/>
        <w:rPr>
          <w:rFonts w:ascii="Arial" w:hAnsi="Arial" w:cs="Arial"/>
          <w:sz w:val="22"/>
          <w:szCs w:val="22"/>
        </w:rPr>
      </w:pPr>
    </w:p>
    <w:p w14:paraId="3CC7AF20" w14:textId="77777777" w:rsidR="009D6B61" w:rsidRPr="00FC5C87" w:rsidRDefault="009D6B61" w:rsidP="002A37BB">
      <w:pPr>
        <w:ind w:left="720" w:hanging="720"/>
        <w:jc w:val="both"/>
        <w:rPr>
          <w:rFonts w:ascii="Arial" w:hAnsi="Arial" w:cs="Arial"/>
          <w:sz w:val="22"/>
          <w:szCs w:val="22"/>
        </w:rPr>
      </w:pPr>
    </w:p>
    <w:p w14:paraId="78DB9FD8" w14:textId="0EBA9111" w:rsidR="00C72848" w:rsidRPr="00FC5C87" w:rsidRDefault="001E7FDD" w:rsidP="002A37BB">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The main Article dealing with cross-border cooperation and communication between courts is </w:t>
      </w:r>
      <w:r w:rsidRPr="00FC5C87">
        <w:rPr>
          <w:rFonts w:ascii="Arial" w:hAnsi="Arial" w:cs="Arial"/>
          <w:b/>
          <w:bCs/>
          <w:color w:val="7B7B7B" w:themeColor="accent3" w:themeShade="BF"/>
          <w:sz w:val="22"/>
          <w:szCs w:val="22"/>
        </w:rPr>
        <w:t>Article 42 of the EIR Recast</w:t>
      </w:r>
      <w:r w:rsidRPr="00FC5C87">
        <w:rPr>
          <w:rFonts w:ascii="Arial" w:hAnsi="Arial" w:cs="Arial"/>
          <w:color w:val="7B7B7B" w:themeColor="accent3" w:themeShade="BF"/>
          <w:sz w:val="22"/>
          <w:szCs w:val="22"/>
        </w:rPr>
        <w:t xml:space="preserve"> which aims to facilitate the coordination of main, secondary and territorial proceedings. This could be done by tools provided in a non-exhaustive list under Article 42(3) of the EIR Recast.</w:t>
      </w:r>
    </w:p>
    <w:p w14:paraId="572227E7" w14:textId="35A4A9DF" w:rsidR="0045683E" w:rsidRPr="00FC5C87" w:rsidRDefault="001E7FDD" w:rsidP="001E7FDD">
      <w:pPr>
        <w:ind w:left="720" w:hanging="720"/>
        <w:jc w:val="both"/>
        <w:rPr>
          <w:rFonts w:ascii="Arial" w:hAnsi="Arial" w:cs="Arial"/>
          <w:color w:val="7B7B7B" w:themeColor="accent3" w:themeShade="BF"/>
          <w:sz w:val="22"/>
          <w:szCs w:val="22"/>
        </w:rPr>
      </w:pPr>
      <w:r w:rsidRPr="00FC5C87">
        <w:rPr>
          <w:rFonts w:ascii="Arial" w:hAnsi="Arial" w:cs="Arial"/>
          <w:b/>
          <w:bCs/>
          <w:color w:val="7B7B7B" w:themeColor="accent3" w:themeShade="BF"/>
          <w:sz w:val="22"/>
          <w:szCs w:val="22"/>
        </w:rPr>
        <w:t>Recital 3</w:t>
      </w:r>
      <w:r w:rsidRPr="00FC5C87">
        <w:rPr>
          <w:rFonts w:ascii="Arial" w:hAnsi="Arial" w:cs="Arial"/>
          <w:color w:val="7B7B7B" w:themeColor="accent3" w:themeShade="BF"/>
          <w:sz w:val="22"/>
          <w:szCs w:val="22"/>
        </w:rPr>
        <w:t xml:space="preserve"> </w:t>
      </w:r>
      <w:r w:rsidRPr="00FC5C87">
        <w:rPr>
          <w:rFonts w:ascii="Arial" w:hAnsi="Arial" w:cs="Arial"/>
          <w:b/>
          <w:bCs/>
          <w:color w:val="7B7B7B" w:themeColor="accent3" w:themeShade="BF"/>
          <w:sz w:val="22"/>
          <w:szCs w:val="22"/>
        </w:rPr>
        <w:t xml:space="preserve">of the EIR Recast </w:t>
      </w:r>
      <w:r w:rsidRPr="00FC5C87">
        <w:rPr>
          <w:rFonts w:ascii="Arial" w:hAnsi="Arial" w:cs="Arial"/>
          <w:color w:val="7B7B7B" w:themeColor="accent3" w:themeShade="BF"/>
          <w:sz w:val="22"/>
          <w:szCs w:val="22"/>
        </w:rPr>
        <w:t xml:space="preserve">explains the ratio and aim of the new provisions on judicial cooperation. In order to achieve the proper functioning of the internal market, cross-border insolvency proceedings need to operate efficiently and effectively. </w:t>
      </w:r>
    </w:p>
    <w:p w14:paraId="0915A369" w14:textId="4CF8C7C0" w:rsidR="001E7FDD" w:rsidRPr="00FC5C87" w:rsidRDefault="001E7FDD" w:rsidP="001E7FDD">
      <w:pPr>
        <w:ind w:left="720" w:hanging="720"/>
        <w:jc w:val="both"/>
        <w:rPr>
          <w:rFonts w:ascii="Arial" w:hAnsi="Arial" w:cs="Arial"/>
          <w:color w:val="7B7B7B" w:themeColor="accent3" w:themeShade="BF"/>
          <w:sz w:val="22"/>
          <w:szCs w:val="22"/>
        </w:rPr>
      </w:pPr>
      <w:r w:rsidRPr="00FC5C87">
        <w:rPr>
          <w:rFonts w:ascii="Arial" w:hAnsi="Arial" w:cs="Arial"/>
          <w:b/>
          <w:bCs/>
          <w:color w:val="7B7B7B" w:themeColor="accent3" w:themeShade="BF"/>
          <w:sz w:val="22"/>
          <w:szCs w:val="22"/>
        </w:rPr>
        <w:t xml:space="preserve">Recital 48 of the EIR Recast </w:t>
      </w:r>
      <w:r w:rsidRPr="00FC5C87">
        <w:rPr>
          <w:rFonts w:ascii="Arial" w:hAnsi="Arial" w:cs="Arial"/>
          <w:color w:val="7B7B7B" w:themeColor="accent3" w:themeShade="BF"/>
          <w:sz w:val="22"/>
          <w:szCs w:val="22"/>
        </w:rPr>
        <w:t>explains in further detail th</w:t>
      </w:r>
      <w:r w:rsidR="000F602B" w:rsidRPr="00FC5C87">
        <w:rPr>
          <w:rFonts w:ascii="Arial" w:hAnsi="Arial" w:cs="Arial"/>
          <w:color w:val="7B7B7B" w:themeColor="accent3" w:themeShade="BF"/>
          <w:sz w:val="22"/>
          <w:szCs w:val="22"/>
        </w:rPr>
        <w:t xml:space="preserve">e need for such cooperation and communication. It argues that </w:t>
      </w:r>
      <w:r w:rsidRPr="00FC5C87">
        <w:rPr>
          <w:rFonts w:ascii="Arial" w:hAnsi="Arial" w:cs="Arial"/>
          <w:color w:val="7B7B7B" w:themeColor="accent3" w:themeShade="BF"/>
          <w:sz w:val="22"/>
          <w:szCs w:val="22"/>
        </w:rPr>
        <w:t>main insolvency proceedings and secondary insolvency proceedings can contribute to the efficient administration of the debtor's insolvency estate if there is proper cooperation between the actors involved in all the concurrent proceedings</w:t>
      </w:r>
      <w:r w:rsidR="000F602B" w:rsidRPr="00FC5C87">
        <w:rPr>
          <w:rFonts w:ascii="Arial" w:hAnsi="Arial" w:cs="Arial"/>
          <w:color w:val="7B7B7B" w:themeColor="accent3" w:themeShade="BF"/>
          <w:sz w:val="22"/>
          <w:szCs w:val="22"/>
        </w:rPr>
        <w:t>, for example by exchanging sufficient information.</w:t>
      </w:r>
    </w:p>
    <w:p w14:paraId="4A12C6E7" w14:textId="6FBFCE9B" w:rsidR="000F602B" w:rsidRPr="00FC5C87" w:rsidRDefault="000F602B" w:rsidP="001E7FDD">
      <w:pPr>
        <w:ind w:left="720" w:hanging="720"/>
        <w:jc w:val="both"/>
        <w:rPr>
          <w:rFonts w:ascii="Arial" w:hAnsi="Arial" w:cs="Arial"/>
          <w:b/>
          <w:bCs/>
          <w:sz w:val="22"/>
          <w:szCs w:val="22"/>
        </w:rPr>
      </w:pPr>
      <w:r w:rsidRPr="00FC5C87">
        <w:rPr>
          <w:rFonts w:ascii="Arial" w:hAnsi="Arial" w:cs="Arial"/>
          <w:color w:val="7B7B7B" w:themeColor="accent3" w:themeShade="BF"/>
          <w:sz w:val="22"/>
          <w:szCs w:val="22"/>
        </w:rPr>
        <w:t xml:space="preserve">Also, these provisions are reflected in court to court cooperation and communication with regard to insolvency proceedings that relate to two or more members of a group of companies, see </w:t>
      </w:r>
      <w:r w:rsidRPr="00FC5C87">
        <w:rPr>
          <w:rFonts w:ascii="Arial" w:hAnsi="Arial" w:cs="Arial"/>
          <w:b/>
          <w:bCs/>
          <w:color w:val="7B7B7B" w:themeColor="accent3" w:themeShade="BF"/>
          <w:sz w:val="22"/>
          <w:szCs w:val="22"/>
        </w:rPr>
        <w:t>Article 57 of the EIR Recast.</w:t>
      </w:r>
    </w:p>
    <w:p w14:paraId="7F13EDF5" w14:textId="53825564" w:rsidR="000F602B" w:rsidRPr="00FC5C87" w:rsidRDefault="000F602B" w:rsidP="001E7FDD">
      <w:pPr>
        <w:ind w:left="720" w:hanging="720"/>
        <w:jc w:val="both"/>
        <w:rPr>
          <w:rFonts w:ascii="Arial" w:hAnsi="Arial" w:cs="Arial"/>
          <w:sz w:val="22"/>
          <w:szCs w:val="22"/>
        </w:rPr>
      </w:pPr>
    </w:p>
    <w:p w14:paraId="383B5930" w14:textId="24E126B6" w:rsidR="00C550C8" w:rsidRPr="00FC5C87" w:rsidRDefault="00C550C8" w:rsidP="002A37BB">
      <w:pPr>
        <w:jc w:val="both"/>
        <w:rPr>
          <w:rFonts w:ascii="Arial" w:hAnsi="Arial" w:cs="Arial"/>
          <w:bCs/>
          <w:sz w:val="22"/>
          <w:szCs w:val="22"/>
        </w:rPr>
      </w:pPr>
    </w:p>
    <w:p w14:paraId="57CD06CF" w14:textId="60DBC8AE" w:rsidR="009954B2" w:rsidRPr="00FC5C87" w:rsidRDefault="00C00B20" w:rsidP="002A37BB">
      <w:pPr>
        <w:jc w:val="both"/>
        <w:rPr>
          <w:rFonts w:ascii="Arial" w:hAnsi="Arial" w:cs="Arial"/>
          <w:bCs/>
          <w:sz w:val="22"/>
          <w:szCs w:val="22"/>
        </w:rPr>
      </w:pPr>
      <w:r w:rsidRPr="00FC5C87">
        <w:rPr>
          <w:rFonts w:ascii="Arial" w:hAnsi="Arial" w:cs="Arial"/>
          <w:b/>
          <w:sz w:val="22"/>
          <w:szCs w:val="22"/>
        </w:rPr>
        <w:t>Question 2.4</w:t>
      </w:r>
      <w:r w:rsidRPr="00FC5C87">
        <w:rPr>
          <w:rFonts w:ascii="Arial" w:hAnsi="Arial" w:cs="Arial"/>
          <w:b/>
          <w:sz w:val="22"/>
          <w:szCs w:val="22"/>
        </w:rPr>
        <w:tab/>
        <w:t>[maximum 2</w:t>
      </w:r>
      <w:r w:rsidR="009954B2" w:rsidRPr="00FC5C87">
        <w:rPr>
          <w:rFonts w:ascii="Arial" w:hAnsi="Arial" w:cs="Arial"/>
          <w:b/>
          <w:sz w:val="22"/>
          <w:szCs w:val="22"/>
        </w:rPr>
        <w:t xml:space="preserve"> marks]</w:t>
      </w:r>
    </w:p>
    <w:p w14:paraId="2A3AE6C9" w14:textId="30B4825D" w:rsidR="009954B2" w:rsidRPr="00FC5C87" w:rsidRDefault="009954B2" w:rsidP="002A37BB">
      <w:pPr>
        <w:jc w:val="both"/>
        <w:rPr>
          <w:rFonts w:ascii="Arial" w:hAnsi="Arial" w:cs="Arial"/>
          <w:bCs/>
          <w:sz w:val="22"/>
          <w:szCs w:val="22"/>
        </w:rPr>
      </w:pPr>
    </w:p>
    <w:p w14:paraId="4CC2E582" w14:textId="4BAEF0D9" w:rsidR="00636C15" w:rsidRPr="00FC5C87" w:rsidRDefault="00DD47EF" w:rsidP="002A37BB">
      <w:pPr>
        <w:jc w:val="both"/>
        <w:rPr>
          <w:rFonts w:ascii="Arial" w:hAnsi="Arial" w:cs="Arial"/>
          <w:sz w:val="22"/>
          <w:szCs w:val="22"/>
        </w:rPr>
      </w:pPr>
      <w:r w:rsidRPr="00FC5C87">
        <w:rPr>
          <w:rFonts w:ascii="Arial" w:hAnsi="Arial" w:cs="Arial"/>
          <w:sz w:val="22"/>
          <w:szCs w:val="22"/>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FC5C87">
        <w:rPr>
          <w:rFonts w:ascii="Arial" w:hAnsi="Arial" w:cs="Arial"/>
          <w:b/>
          <w:bCs/>
          <w:sz w:val="22"/>
          <w:szCs w:val="22"/>
          <w:u w:val="single"/>
        </w:rPr>
        <w:t>two (2) examples</w:t>
      </w:r>
      <w:r w:rsidRPr="00FC5C87">
        <w:rPr>
          <w:rFonts w:ascii="Arial" w:hAnsi="Arial" w:cs="Arial"/>
          <w:sz w:val="22"/>
          <w:szCs w:val="22"/>
        </w:rPr>
        <w:t xml:space="preserve"> of such instruments and briefly (in 1 to 3 sentences) explain how they operate.</w:t>
      </w:r>
    </w:p>
    <w:p w14:paraId="115A9259" w14:textId="77777777" w:rsidR="00DD47EF" w:rsidRPr="00FC5C87" w:rsidRDefault="00DD47EF" w:rsidP="002A37BB">
      <w:pPr>
        <w:jc w:val="both"/>
        <w:rPr>
          <w:rFonts w:ascii="Arial" w:hAnsi="Arial" w:cs="Arial"/>
          <w:sz w:val="22"/>
          <w:szCs w:val="22"/>
        </w:rPr>
      </w:pPr>
    </w:p>
    <w:p w14:paraId="233BED7E" w14:textId="73F7B591" w:rsidR="003753E6" w:rsidRPr="00FC5C87" w:rsidRDefault="00A2178D" w:rsidP="002A37BB">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The first example</w:t>
      </w:r>
      <w:r w:rsidR="003753E6" w:rsidRPr="00FC5C87">
        <w:rPr>
          <w:rFonts w:ascii="Arial" w:hAnsi="Arial" w:cs="Arial"/>
          <w:color w:val="7B7B7B" w:themeColor="accent3" w:themeShade="BF"/>
          <w:sz w:val="22"/>
          <w:szCs w:val="22"/>
        </w:rPr>
        <w:t xml:space="preserve"> is a solution to avoid the opening of secondary proceedings and is especially useful for the administration of groups of companies, namely </w:t>
      </w:r>
      <w:r w:rsidRPr="00FC5C87">
        <w:rPr>
          <w:rFonts w:ascii="Arial" w:hAnsi="Arial" w:cs="Arial"/>
          <w:color w:val="7B7B7B" w:themeColor="accent3" w:themeShade="BF"/>
          <w:sz w:val="22"/>
          <w:szCs w:val="22"/>
        </w:rPr>
        <w:t xml:space="preserve">the </w:t>
      </w:r>
      <w:r w:rsidRPr="00FC5C87">
        <w:rPr>
          <w:rFonts w:ascii="Arial" w:hAnsi="Arial" w:cs="Arial"/>
          <w:b/>
          <w:bCs/>
          <w:color w:val="7B7B7B" w:themeColor="accent3" w:themeShade="BF"/>
          <w:sz w:val="22"/>
          <w:szCs w:val="22"/>
        </w:rPr>
        <w:t xml:space="preserve">right to give an undertaking </w:t>
      </w:r>
      <w:r w:rsidRPr="00FC5C87">
        <w:rPr>
          <w:rFonts w:ascii="Arial" w:hAnsi="Arial" w:cs="Arial"/>
          <w:color w:val="7B7B7B" w:themeColor="accent3" w:themeShade="BF"/>
          <w:sz w:val="22"/>
          <w:szCs w:val="22"/>
        </w:rPr>
        <w:t xml:space="preserve">(also known as </w:t>
      </w:r>
      <w:r w:rsidRPr="00FC5C87">
        <w:rPr>
          <w:rFonts w:ascii="Arial" w:hAnsi="Arial" w:cs="Arial"/>
          <w:b/>
          <w:bCs/>
          <w:color w:val="7B7B7B" w:themeColor="accent3" w:themeShade="BF"/>
          <w:sz w:val="22"/>
          <w:szCs w:val="22"/>
        </w:rPr>
        <w:t>synthetic secondary proceedings</w:t>
      </w:r>
      <w:r w:rsidRPr="00FC5C87">
        <w:rPr>
          <w:rFonts w:ascii="Arial" w:hAnsi="Arial" w:cs="Arial"/>
          <w:color w:val="7B7B7B" w:themeColor="accent3" w:themeShade="BF"/>
          <w:sz w:val="22"/>
          <w:szCs w:val="22"/>
        </w:rPr>
        <w:t xml:space="preserve">) </w:t>
      </w:r>
      <w:r w:rsidR="00261C00" w:rsidRPr="00FC5C87">
        <w:rPr>
          <w:rFonts w:ascii="Arial" w:hAnsi="Arial" w:cs="Arial"/>
          <w:color w:val="7B7B7B" w:themeColor="accent3" w:themeShade="BF"/>
          <w:sz w:val="22"/>
          <w:szCs w:val="22"/>
        </w:rPr>
        <w:t>under</w:t>
      </w:r>
      <w:r w:rsidRPr="00FC5C87">
        <w:rPr>
          <w:rFonts w:ascii="Arial" w:hAnsi="Arial" w:cs="Arial"/>
          <w:b/>
          <w:bCs/>
          <w:color w:val="7B7B7B" w:themeColor="accent3" w:themeShade="BF"/>
          <w:sz w:val="22"/>
          <w:szCs w:val="22"/>
        </w:rPr>
        <w:t xml:space="preserve"> Articles 36</w:t>
      </w:r>
      <w:r w:rsidR="009061A1" w:rsidRPr="00FC5C87">
        <w:rPr>
          <w:rFonts w:ascii="Arial" w:hAnsi="Arial" w:cs="Arial"/>
          <w:b/>
          <w:bCs/>
          <w:color w:val="7B7B7B" w:themeColor="accent3" w:themeShade="BF"/>
          <w:sz w:val="22"/>
          <w:szCs w:val="22"/>
        </w:rPr>
        <w:t>(1)</w:t>
      </w:r>
      <w:r w:rsidRPr="00FC5C87">
        <w:rPr>
          <w:rFonts w:ascii="Arial" w:hAnsi="Arial" w:cs="Arial"/>
          <w:b/>
          <w:bCs/>
          <w:color w:val="7B7B7B" w:themeColor="accent3" w:themeShade="BF"/>
          <w:sz w:val="22"/>
          <w:szCs w:val="22"/>
        </w:rPr>
        <w:t xml:space="preserve"> and 38(</w:t>
      </w:r>
      <w:r w:rsidR="009061A1" w:rsidRPr="00FC5C87">
        <w:rPr>
          <w:rFonts w:ascii="Arial" w:hAnsi="Arial" w:cs="Arial"/>
          <w:b/>
          <w:bCs/>
          <w:color w:val="7B7B7B" w:themeColor="accent3" w:themeShade="BF"/>
          <w:sz w:val="22"/>
          <w:szCs w:val="22"/>
        </w:rPr>
        <w:t>2</w:t>
      </w:r>
      <w:r w:rsidRPr="00FC5C87">
        <w:rPr>
          <w:rFonts w:ascii="Arial" w:hAnsi="Arial" w:cs="Arial"/>
          <w:b/>
          <w:bCs/>
          <w:color w:val="7B7B7B" w:themeColor="accent3" w:themeShade="BF"/>
          <w:sz w:val="22"/>
          <w:szCs w:val="22"/>
        </w:rPr>
        <w:t>) EIR Recast</w:t>
      </w:r>
      <w:r w:rsidR="009061A1" w:rsidRPr="00FC5C87">
        <w:rPr>
          <w:rFonts w:ascii="Arial" w:hAnsi="Arial" w:cs="Arial"/>
          <w:color w:val="7B7B7B" w:themeColor="accent3" w:themeShade="BF"/>
          <w:sz w:val="22"/>
          <w:szCs w:val="22"/>
        </w:rPr>
        <w:t xml:space="preserve">. </w:t>
      </w:r>
    </w:p>
    <w:p w14:paraId="296A8396" w14:textId="043FEB8B" w:rsidR="009954B2" w:rsidRPr="00FC5C87" w:rsidRDefault="00310AD8" w:rsidP="002A37BB">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The insolvency practitioner of the main insolvency proceeding could give a unilateral undertaking (</w:t>
      </w:r>
      <w:proofErr w:type="spellStart"/>
      <w:r w:rsidRPr="00FC5C87">
        <w:rPr>
          <w:rFonts w:ascii="Arial" w:hAnsi="Arial" w:cs="Arial"/>
          <w:color w:val="7B7B7B" w:themeColor="accent3" w:themeShade="BF"/>
          <w:sz w:val="22"/>
          <w:szCs w:val="22"/>
        </w:rPr>
        <w:t>ie</w:t>
      </w:r>
      <w:proofErr w:type="spellEnd"/>
      <w:r w:rsidRPr="00FC5C87">
        <w:rPr>
          <w:rFonts w:ascii="Arial" w:hAnsi="Arial" w:cs="Arial"/>
          <w:color w:val="7B7B7B" w:themeColor="accent3" w:themeShade="BF"/>
          <w:sz w:val="22"/>
          <w:szCs w:val="22"/>
        </w:rPr>
        <w:t xml:space="preserve"> a one-sided promise) to local creditors in respect of the assets located in the Member State in which secondary proceedings could have been opened. The insolvency practitioner promises to comply with the distribution and priority rights of these assets – which become a secondary asset pool </w:t>
      </w:r>
      <w:r w:rsidR="003753E6" w:rsidRPr="00FC5C87">
        <w:rPr>
          <w:rFonts w:ascii="Arial" w:hAnsi="Arial" w:cs="Arial"/>
          <w:color w:val="7B7B7B" w:themeColor="accent3" w:themeShade="BF"/>
          <w:sz w:val="22"/>
          <w:szCs w:val="22"/>
        </w:rPr>
        <w:t>–</w:t>
      </w:r>
      <w:r w:rsidRPr="00FC5C87">
        <w:rPr>
          <w:rFonts w:ascii="Arial" w:hAnsi="Arial" w:cs="Arial"/>
          <w:color w:val="7B7B7B" w:themeColor="accent3" w:themeShade="BF"/>
          <w:sz w:val="22"/>
          <w:szCs w:val="22"/>
        </w:rPr>
        <w:t xml:space="preserve"> as per the law that would have applied were </w:t>
      </w:r>
      <w:r w:rsidR="003753E6" w:rsidRPr="00FC5C87">
        <w:rPr>
          <w:rFonts w:ascii="Arial" w:hAnsi="Arial" w:cs="Arial"/>
          <w:color w:val="7B7B7B" w:themeColor="accent3" w:themeShade="BF"/>
          <w:sz w:val="22"/>
          <w:szCs w:val="22"/>
        </w:rPr>
        <w:t xml:space="preserve">the </w:t>
      </w:r>
      <w:r w:rsidRPr="00FC5C87">
        <w:rPr>
          <w:rFonts w:ascii="Arial" w:hAnsi="Arial" w:cs="Arial"/>
          <w:color w:val="7B7B7B" w:themeColor="accent3" w:themeShade="BF"/>
          <w:sz w:val="22"/>
          <w:szCs w:val="22"/>
        </w:rPr>
        <w:t>secondary proceedings opened.</w:t>
      </w:r>
    </w:p>
    <w:p w14:paraId="614157E9" w14:textId="3B57E185" w:rsidR="002A40AB" w:rsidRPr="00FC5C87" w:rsidRDefault="003753E6" w:rsidP="00261C00">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The second example is a legal instrument to control secondary proceedings and their opening, namely through a </w:t>
      </w:r>
      <w:r w:rsidRPr="00FC5C87">
        <w:rPr>
          <w:rFonts w:ascii="Arial" w:hAnsi="Arial" w:cs="Arial"/>
          <w:b/>
          <w:bCs/>
          <w:color w:val="7B7B7B" w:themeColor="accent3" w:themeShade="BF"/>
          <w:sz w:val="22"/>
          <w:szCs w:val="22"/>
        </w:rPr>
        <w:t>stay</w:t>
      </w:r>
      <w:r w:rsidR="00261C00" w:rsidRPr="00FC5C87">
        <w:rPr>
          <w:rFonts w:ascii="Arial" w:hAnsi="Arial" w:cs="Arial"/>
          <w:color w:val="7B7B7B" w:themeColor="accent3" w:themeShade="BF"/>
          <w:sz w:val="22"/>
          <w:szCs w:val="22"/>
        </w:rPr>
        <w:t xml:space="preserve"> under</w:t>
      </w:r>
      <w:r w:rsidR="00261C00" w:rsidRPr="00FC5C87">
        <w:rPr>
          <w:rFonts w:ascii="Arial" w:hAnsi="Arial" w:cs="Arial"/>
          <w:b/>
          <w:bCs/>
          <w:color w:val="7B7B7B" w:themeColor="accent3" w:themeShade="BF"/>
          <w:sz w:val="22"/>
          <w:szCs w:val="22"/>
        </w:rPr>
        <w:t xml:space="preserve"> Article 38(3) EIR Recast</w:t>
      </w:r>
      <w:r w:rsidR="00261C00" w:rsidRPr="00FC5C87">
        <w:rPr>
          <w:rFonts w:ascii="Arial" w:hAnsi="Arial" w:cs="Arial"/>
          <w:color w:val="7B7B7B" w:themeColor="accent3" w:themeShade="BF"/>
          <w:sz w:val="22"/>
          <w:szCs w:val="22"/>
        </w:rPr>
        <w:t xml:space="preserve">. </w:t>
      </w:r>
      <w:r w:rsidR="00294B17" w:rsidRPr="00FC5C87">
        <w:rPr>
          <w:rFonts w:ascii="Arial" w:hAnsi="Arial" w:cs="Arial"/>
          <w:color w:val="7B7B7B" w:themeColor="accent3" w:themeShade="BF"/>
          <w:sz w:val="22"/>
          <w:szCs w:val="22"/>
        </w:rPr>
        <w:t xml:space="preserve">The court may </w:t>
      </w:r>
      <w:r w:rsidR="009B3E0F" w:rsidRPr="00FC5C87">
        <w:rPr>
          <w:rFonts w:ascii="Arial" w:hAnsi="Arial" w:cs="Arial"/>
          <w:color w:val="7B7B7B" w:themeColor="accent3" w:themeShade="BF"/>
          <w:sz w:val="22"/>
          <w:szCs w:val="22"/>
        </w:rPr>
        <w:t xml:space="preserve">also </w:t>
      </w:r>
      <w:r w:rsidR="00294B17" w:rsidRPr="00FC5C87">
        <w:rPr>
          <w:rFonts w:ascii="Arial" w:hAnsi="Arial" w:cs="Arial"/>
          <w:color w:val="7B7B7B" w:themeColor="accent3" w:themeShade="BF"/>
          <w:sz w:val="22"/>
          <w:szCs w:val="22"/>
        </w:rPr>
        <w:t>stay the process of realization of assets under Article 46(1) of the EIR Recast.</w:t>
      </w:r>
    </w:p>
    <w:p w14:paraId="321358EA" w14:textId="091A3713" w:rsidR="009954B2" w:rsidRPr="00FC5C87" w:rsidRDefault="00AB2C2A" w:rsidP="00261C00">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Based on paragraph 1 of Article</w:t>
      </w:r>
      <w:r w:rsidR="00294B17" w:rsidRPr="00FC5C87">
        <w:rPr>
          <w:rFonts w:ascii="Arial" w:hAnsi="Arial" w:cs="Arial"/>
          <w:color w:val="7B7B7B" w:themeColor="accent3" w:themeShade="BF"/>
          <w:sz w:val="22"/>
          <w:szCs w:val="22"/>
        </w:rPr>
        <w:t xml:space="preserve"> 38(3) EIR Recast</w:t>
      </w:r>
      <w:r w:rsidRPr="00FC5C87">
        <w:rPr>
          <w:rFonts w:ascii="Arial" w:hAnsi="Arial" w:cs="Arial"/>
          <w:color w:val="7B7B7B" w:themeColor="accent3" w:themeShade="BF"/>
          <w:sz w:val="22"/>
          <w:szCs w:val="22"/>
        </w:rPr>
        <w:t>, u</w:t>
      </w:r>
      <w:r w:rsidR="00261C00" w:rsidRPr="00FC5C87">
        <w:rPr>
          <w:rFonts w:ascii="Arial" w:hAnsi="Arial" w:cs="Arial"/>
          <w:color w:val="7B7B7B" w:themeColor="accent3" w:themeShade="BF"/>
          <w:sz w:val="22"/>
          <w:szCs w:val="22"/>
        </w:rPr>
        <w:t>pon request of the insolvency practitioner or the debtor in possession, the court may, upon its discretion, grant a stay up to three months on the condition that there are suitable measures in place to protect the local creditors’ interests</w:t>
      </w:r>
      <w:r w:rsidRPr="00FC5C87">
        <w:rPr>
          <w:rFonts w:ascii="Arial" w:hAnsi="Arial" w:cs="Arial"/>
          <w:color w:val="7B7B7B" w:themeColor="accent3" w:themeShade="BF"/>
          <w:sz w:val="22"/>
          <w:szCs w:val="22"/>
        </w:rPr>
        <w:t>. As per paragraph 2, t</w:t>
      </w:r>
      <w:r w:rsidR="00261C00" w:rsidRPr="00FC5C87">
        <w:rPr>
          <w:rFonts w:ascii="Arial" w:hAnsi="Arial" w:cs="Arial"/>
          <w:color w:val="7B7B7B" w:themeColor="accent3" w:themeShade="BF"/>
          <w:sz w:val="22"/>
          <w:szCs w:val="22"/>
        </w:rPr>
        <w:t>he court may impose protective measures as well</w:t>
      </w:r>
      <w:r w:rsidRPr="00FC5C87">
        <w:rPr>
          <w:rFonts w:ascii="Arial" w:hAnsi="Arial" w:cs="Arial"/>
          <w:color w:val="7B7B7B" w:themeColor="accent3" w:themeShade="BF"/>
          <w:sz w:val="22"/>
          <w:szCs w:val="22"/>
        </w:rPr>
        <w:t>, for example barring the insolvency practitioner from removing or disposing any assets in the territory of the debtor’s establishments</w:t>
      </w:r>
      <w:r w:rsidR="00261C00" w:rsidRPr="00FC5C87">
        <w:rPr>
          <w:rFonts w:ascii="Arial" w:hAnsi="Arial" w:cs="Arial"/>
          <w:color w:val="7B7B7B" w:themeColor="accent3" w:themeShade="BF"/>
          <w:sz w:val="22"/>
          <w:szCs w:val="22"/>
        </w:rPr>
        <w:t>. This</w:t>
      </w:r>
      <w:r w:rsidRPr="00FC5C87">
        <w:rPr>
          <w:rFonts w:ascii="Arial" w:hAnsi="Arial" w:cs="Arial"/>
          <w:color w:val="7B7B7B" w:themeColor="accent3" w:themeShade="BF"/>
          <w:sz w:val="22"/>
          <w:szCs w:val="22"/>
        </w:rPr>
        <w:t xml:space="preserve"> stay</w:t>
      </w:r>
      <w:r w:rsidR="00261C00" w:rsidRPr="00FC5C87">
        <w:rPr>
          <w:rFonts w:ascii="Arial" w:hAnsi="Arial" w:cs="Arial"/>
          <w:color w:val="7B7B7B" w:themeColor="accent3" w:themeShade="BF"/>
          <w:sz w:val="22"/>
          <w:szCs w:val="22"/>
        </w:rPr>
        <w:t xml:space="preserve"> ensures the integrity of the insolvent estate and provides a breathing space for parties</w:t>
      </w:r>
      <w:r w:rsidRPr="00FC5C87">
        <w:rPr>
          <w:rFonts w:ascii="Arial" w:hAnsi="Arial" w:cs="Arial"/>
          <w:color w:val="7B7B7B" w:themeColor="accent3" w:themeShade="BF"/>
          <w:sz w:val="22"/>
          <w:szCs w:val="22"/>
        </w:rPr>
        <w:t xml:space="preserve"> to negotiate a restructuring deal. Once the deal is reached, the court </w:t>
      </w:r>
      <w:r w:rsidRPr="00FC5C87">
        <w:rPr>
          <w:rFonts w:ascii="Arial" w:hAnsi="Arial" w:cs="Arial"/>
          <w:i/>
          <w:iCs/>
          <w:color w:val="7B7B7B" w:themeColor="accent3" w:themeShade="BF"/>
          <w:sz w:val="22"/>
          <w:szCs w:val="22"/>
        </w:rPr>
        <w:t xml:space="preserve">must </w:t>
      </w:r>
      <w:r w:rsidRPr="00FC5C87">
        <w:rPr>
          <w:rFonts w:ascii="Arial" w:hAnsi="Arial" w:cs="Arial"/>
          <w:color w:val="7B7B7B" w:themeColor="accent3" w:themeShade="BF"/>
          <w:sz w:val="22"/>
          <w:szCs w:val="22"/>
        </w:rPr>
        <w:t xml:space="preserve">lift the stay, see paragraph 3. The court </w:t>
      </w:r>
      <w:r w:rsidRPr="00FC5C87">
        <w:rPr>
          <w:rFonts w:ascii="Arial" w:hAnsi="Arial" w:cs="Arial"/>
          <w:i/>
          <w:iCs/>
          <w:color w:val="7B7B7B" w:themeColor="accent3" w:themeShade="BF"/>
          <w:sz w:val="22"/>
          <w:szCs w:val="22"/>
        </w:rPr>
        <w:t xml:space="preserve">may </w:t>
      </w:r>
      <w:r w:rsidRPr="00FC5C87">
        <w:rPr>
          <w:rFonts w:ascii="Arial" w:hAnsi="Arial" w:cs="Arial"/>
          <w:color w:val="7B7B7B" w:themeColor="accent3" w:themeShade="BF"/>
          <w:sz w:val="22"/>
          <w:szCs w:val="22"/>
        </w:rPr>
        <w:t>lift a stay when an agreement cannot be reached, when it is detrimental for the creditors, or in case of a breach of a protective measure, see paragraph 4.</w:t>
      </w:r>
    </w:p>
    <w:p w14:paraId="1749D1D2" w14:textId="77777777" w:rsidR="00261C00" w:rsidRPr="00FC5C87" w:rsidRDefault="00261C00" w:rsidP="00261C00">
      <w:pPr>
        <w:ind w:left="720" w:hanging="720"/>
        <w:jc w:val="both"/>
        <w:rPr>
          <w:rFonts w:ascii="Arial" w:hAnsi="Arial" w:cs="Arial"/>
          <w:bCs/>
          <w:sz w:val="22"/>
          <w:szCs w:val="22"/>
        </w:rPr>
      </w:pPr>
    </w:p>
    <w:p w14:paraId="526ED9B7" w14:textId="35C7BEE5" w:rsidR="00AE2316" w:rsidRPr="00FC5C87" w:rsidRDefault="00AE2316">
      <w:pPr>
        <w:rPr>
          <w:rFonts w:ascii="Arial" w:hAnsi="Arial" w:cs="Arial"/>
          <w:b/>
          <w:sz w:val="22"/>
          <w:szCs w:val="22"/>
        </w:rPr>
      </w:pPr>
    </w:p>
    <w:p w14:paraId="170A9E71" w14:textId="56B0A9CC" w:rsidR="00962045" w:rsidRPr="00FC5C87" w:rsidRDefault="00DF75F8" w:rsidP="002A37BB">
      <w:pPr>
        <w:jc w:val="both"/>
        <w:rPr>
          <w:rFonts w:ascii="Arial" w:hAnsi="Arial" w:cs="Arial"/>
          <w:b/>
          <w:sz w:val="22"/>
          <w:szCs w:val="22"/>
        </w:rPr>
      </w:pPr>
      <w:r w:rsidRPr="00FC5C87">
        <w:rPr>
          <w:rFonts w:ascii="Arial" w:hAnsi="Arial" w:cs="Arial"/>
          <w:b/>
          <w:sz w:val="22"/>
          <w:szCs w:val="22"/>
        </w:rPr>
        <w:t>QUESTION</w:t>
      </w:r>
      <w:r w:rsidR="00962045" w:rsidRPr="00FC5C87">
        <w:rPr>
          <w:rFonts w:ascii="Arial" w:hAnsi="Arial" w:cs="Arial"/>
          <w:b/>
          <w:sz w:val="22"/>
          <w:szCs w:val="22"/>
        </w:rPr>
        <w:t xml:space="preserve"> 3 (essay-type questions) [15 marks</w:t>
      </w:r>
      <w:r w:rsidR="006A2646" w:rsidRPr="00FC5C87">
        <w:rPr>
          <w:rFonts w:ascii="Arial" w:hAnsi="Arial" w:cs="Arial"/>
          <w:b/>
          <w:sz w:val="22"/>
          <w:szCs w:val="22"/>
        </w:rPr>
        <w:t xml:space="preserve"> in total</w:t>
      </w:r>
      <w:r w:rsidR="00962045" w:rsidRPr="00FC5C87">
        <w:rPr>
          <w:rFonts w:ascii="Arial" w:hAnsi="Arial" w:cs="Arial"/>
          <w:b/>
          <w:sz w:val="22"/>
          <w:szCs w:val="22"/>
        </w:rPr>
        <w:t xml:space="preserve">] </w:t>
      </w:r>
    </w:p>
    <w:p w14:paraId="0D6D151E" w14:textId="1C7A4CD8" w:rsidR="00962045" w:rsidRPr="00FC5C87" w:rsidRDefault="00962045" w:rsidP="002A37BB">
      <w:pPr>
        <w:jc w:val="both"/>
        <w:rPr>
          <w:rFonts w:ascii="Arial" w:hAnsi="Arial" w:cs="Arial"/>
          <w:sz w:val="22"/>
          <w:szCs w:val="22"/>
        </w:rPr>
      </w:pPr>
    </w:p>
    <w:p w14:paraId="1AE2B78A" w14:textId="5985DB87" w:rsidR="00390B57" w:rsidRPr="00FC5C87" w:rsidRDefault="00390B57" w:rsidP="002A37BB">
      <w:pPr>
        <w:jc w:val="both"/>
        <w:rPr>
          <w:rFonts w:ascii="Arial" w:hAnsi="Arial" w:cs="Arial"/>
          <w:i/>
          <w:iCs/>
          <w:sz w:val="22"/>
          <w:szCs w:val="22"/>
        </w:rPr>
      </w:pPr>
      <w:r w:rsidRPr="00FC5C87">
        <w:rPr>
          <w:rFonts w:ascii="Arial" w:hAnsi="Arial" w:cs="Arial"/>
          <w:i/>
          <w:iCs/>
          <w:sz w:val="22"/>
          <w:szCs w:val="22"/>
        </w:rPr>
        <w:t>In addition to the correctness, completeness (including references to case law, if applicable) and originality of your answers</w:t>
      </w:r>
      <w:r w:rsidR="00364836" w:rsidRPr="00FC5C87">
        <w:rPr>
          <w:rFonts w:ascii="Arial" w:hAnsi="Arial" w:cs="Arial"/>
          <w:i/>
          <w:iCs/>
          <w:sz w:val="22"/>
          <w:szCs w:val="22"/>
        </w:rPr>
        <w:t xml:space="preserve"> to the questions below</w:t>
      </w:r>
      <w:r w:rsidRPr="00FC5C87">
        <w:rPr>
          <w:rFonts w:ascii="Arial" w:hAnsi="Arial" w:cs="Arial"/>
          <w:i/>
          <w:iCs/>
          <w:sz w:val="22"/>
          <w:szCs w:val="22"/>
        </w:rPr>
        <w:t>, marks may be awarded or deducted on the basis of your presentation, expression and writing skills.</w:t>
      </w:r>
    </w:p>
    <w:p w14:paraId="70FDBBE2" w14:textId="4AF33633" w:rsidR="00390B57" w:rsidRPr="00FC5C87" w:rsidRDefault="00390B57" w:rsidP="002A37BB">
      <w:pPr>
        <w:jc w:val="both"/>
        <w:rPr>
          <w:rFonts w:ascii="Arial" w:hAnsi="Arial" w:cs="Arial"/>
          <w:sz w:val="22"/>
          <w:szCs w:val="22"/>
        </w:rPr>
      </w:pPr>
    </w:p>
    <w:p w14:paraId="6F7328A7" w14:textId="77777777" w:rsidR="00DD47EF" w:rsidRPr="00FC5C87" w:rsidRDefault="00DD47EF" w:rsidP="002A37BB">
      <w:pPr>
        <w:jc w:val="both"/>
        <w:rPr>
          <w:rFonts w:ascii="Arial" w:hAnsi="Arial" w:cs="Arial"/>
          <w:sz w:val="22"/>
          <w:szCs w:val="22"/>
        </w:rPr>
      </w:pPr>
    </w:p>
    <w:p w14:paraId="4DDCEC2C" w14:textId="73526CFE" w:rsidR="00C550C8" w:rsidRPr="00FC5C87" w:rsidRDefault="00C550C8" w:rsidP="002A37BB">
      <w:pPr>
        <w:ind w:left="720" w:hanging="720"/>
        <w:jc w:val="both"/>
        <w:rPr>
          <w:rFonts w:ascii="Arial" w:hAnsi="Arial" w:cs="Arial"/>
          <w:sz w:val="22"/>
          <w:szCs w:val="22"/>
        </w:rPr>
      </w:pPr>
      <w:r w:rsidRPr="00FC5C87">
        <w:rPr>
          <w:rFonts w:ascii="Arial" w:hAnsi="Arial" w:cs="Arial"/>
          <w:b/>
          <w:bCs/>
          <w:sz w:val="22"/>
          <w:szCs w:val="22"/>
        </w:rPr>
        <w:t xml:space="preserve">Question </w:t>
      </w:r>
      <w:r w:rsidR="00807119" w:rsidRPr="00FC5C87">
        <w:rPr>
          <w:rFonts w:ascii="Arial" w:hAnsi="Arial" w:cs="Arial"/>
          <w:b/>
          <w:bCs/>
          <w:sz w:val="22"/>
          <w:szCs w:val="22"/>
        </w:rPr>
        <w:t>3.1</w:t>
      </w:r>
      <w:r w:rsidRPr="00FC5C87">
        <w:rPr>
          <w:rFonts w:ascii="Arial" w:hAnsi="Arial" w:cs="Arial"/>
          <w:sz w:val="22"/>
          <w:szCs w:val="22"/>
        </w:rPr>
        <w:t xml:space="preserve"> </w:t>
      </w:r>
      <w:r w:rsidRPr="00FC5C87">
        <w:rPr>
          <w:rFonts w:ascii="Arial" w:hAnsi="Arial" w:cs="Arial"/>
          <w:b/>
          <w:sz w:val="22"/>
          <w:szCs w:val="22"/>
        </w:rPr>
        <w:t>[</w:t>
      </w:r>
      <w:r w:rsidR="006A2646" w:rsidRPr="00FC5C87">
        <w:rPr>
          <w:rFonts w:ascii="Arial" w:hAnsi="Arial" w:cs="Arial"/>
          <w:b/>
          <w:sz w:val="22"/>
          <w:szCs w:val="22"/>
        </w:rPr>
        <w:t>m</w:t>
      </w:r>
      <w:r w:rsidRPr="00FC5C87">
        <w:rPr>
          <w:rFonts w:ascii="Arial" w:hAnsi="Arial" w:cs="Arial"/>
          <w:b/>
          <w:sz w:val="22"/>
          <w:szCs w:val="22"/>
        </w:rPr>
        <w:t xml:space="preserve">aximum </w:t>
      </w:r>
      <w:r w:rsidR="00E90991" w:rsidRPr="00FC5C87">
        <w:rPr>
          <w:rFonts w:ascii="Arial" w:hAnsi="Arial" w:cs="Arial"/>
          <w:b/>
          <w:sz w:val="22"/>
          <w:szCs w:val="22"/>
        </w:rPr>
        <w:t>5</w:t>
      </w:r>
      <w:r w:rsidRPr="00FC5C87">
        <w:rPr>
          <w:rFonts w:ascii="Arial" w:hAnsi="Arial" w:cs="Arial"/>
          <w:b/>
          <w:sz w:val="22"/>
          <w:szCs w:val="22"/>
        </w:rPr>
        <w:t xml:space="preserve"> marks</w:t>
      </w:r>
      <w:r w:rsidRPr="00FC5C87">
        <w:rPr>
          <w:rFonts w:ascii="Arial" w:hAnsi="Arial" w:cs="Arial"/>
          <w:sz w:val="22"/>
          <w:szCs w:val="22"/>
        </w:rPr>
        <w:t>]</w:t>
      </w:r>
    </w:p>
    <w:p w14:paraId="23D3936A" w14:textId="77777777" w:rsidR="00C550C8" w:rsidRPr="00FC5C87" w:rsidRDefault="00C550C8" w:rsidP="002A37BB">
      <w:pPr>
        <w:ind w:left="720" w:hanging="720"/>
        <w:jc w:val="both"/>
        <w:rPr>
          <w:rFonts w:ascii="Arial" w:hAnsi="Arial" w:cs="Arial"/>
          <w:sz w:val="22"/>
          <w:szCs w:val="22"/>
        </w:rPr>
      </w:pPr>
    </w:p>
    <w:p w14:paraId="0EBC5244" w14:textId="05D9E089" w:rsidR="00B12499" w:rsidRPr="00FC5C87" w:rsidRDefault="00B12499" w:rsidP="002A37BB">
      <w:pPr>
        <w:jc w:val="both"/>
        <w:rPr>
          <w:rFonts w:ascii="Arial" w:hAnsi="Arial" w:cs="Arial"/>
          <w:sz w:val="22"/>
          <w:szCs w:val="22"/>
        </w:rPr>
      </w:pPr>
      <w:r w:rsidRPr="00FC5C87">
        <w:rPr>
          <w:rFonts w:ascii="Arial" w:hAnsi="Arial" w:cs="Arial"/>
          <w:sz w:val="22"/>
          <w:szCs w:val="22"/>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FC5C87" w:rsidRDefault="00241FA3" w:rsidP="002A37BB">
      <w:pPr>
        <w:jc w:val="both"/>
        <w:rPr>
          <w:rFonts w:ascii="Arial" w:hAnsi="Arial" w:cs="Arial"/>
          <w:sz w:val="22"/>
          <w:szCs w:val="22"/>
        </w:rPr>
      </w:pPr>
    </w:p>
    <w:p w14:paraId="0FE7EA27" w14:textId="5FB85948" w:rsidR="000014A1" w:rsidRPr="00FC5C87" w:rsidRDefault="009B10B7" w:rsidP="002A37BB">
      <w:pPr>
        <w:ind w:left="720" w:hanging="720"/>
        <w:jc w:val="both"/>
        <w:rPr>
          <w:rFonts w:ascii="Arial" w:hAnsi="Arial" w:cs="Arial"/>
          <w:b/>
          <w:bCs/>
          <w:color w:val="7B7B7B" w:themeColor="accent3" w:themeShade="BF"/>
          <w:sz w:val="22"/>
          <w:szCs w:val="22"/>
        </w:rPr>
      </w:pPr>
      <w:r w:rsidRPr="00FC5C87">
        <w:rPr>
          <w:rFonts w:ascii="Arial" w:hAnsi="Arial" w:cs="Arial"/>
          <w:color w:val="7B7B7B" w:themeColor="accent3" w:themeShade="BF"/>
          <w:sz w:val="22"/>
          <w:szCs w:val="22"/>
        </w:rPr>
        <w:t xml:space="preserve">Based on Article 46 of the </w:t>
      </w:r>
      <w:hyperlink r:id="rId12" w:history="1">
        <w:r w:rsidRPr="00FC5C87">
          <w:rPr>
            <w:rStyle w:val="Hyperlink"/>
            <w:rFonts w:ascii="Arial" w:hAnsi="Arial" w:cs="Arial"/>
            <w:sz w:val="22"/>
            <w:szCs w:val="22"/>
          </w:rPr>
          <w:t>EIR 2000</w:t>
        </w:r>
      </w:hyperlink>
      <w:r w:rsidRPr="00FC5C87">
        <w:rPr>
          <w:rFonts w:ascii="Arial" w:hAnsi="Arial" w:cs="Arial"/>
          <w:color w:val="7B7B7B" w:themeColor="accent3" w:themeShade="BF"/>
          <w:sz w:val="22"/>
          <w:szCs w:val="22"/>
        </w:rPr>
        <w:t xml:space="preserve">, the Commission was required to present a report on the application of the EIR to the European Parliament, the Council, and the Economic and Social Committee in June 2012. On 12 December 2012, </w:t>
      </w:r>
      <w:r w:rsidR="000014A1" w:rsidRPr="00FC5C87">
        <w:rPr>
          <w:rFonts w:ascii="Arial" w:hAnsi="Arial" w:cs="Arial"/>
          <w:color w:val="7B7B7B" w:themeColor="accent3" w:themeShade="BF"/>
          <w:sz w:val="22"/>
          <w:szCs w:val="22"/>
        </w:rPr>
        <w:t xml:space="preserve">the Commission presented a </w:t>
      </w:r>
      <w:hyperlink r:id="rId13" w:history="1">
        <w:r w:rsidR="000014A1" w:rsidRPr="00FC5C87">
          <w:rPr>
            <w:rStyle w:val="Hyperlink"/>
            <w:rFonts w:ascii="Arial" w:hAnsi="Arial" w:cs="Arial"/>
            <w:b/>
            <w:bCs/>
            <w:sz w:val="22"/>
            <w:szCs w:val="22"/>
          </w:rPr>
          <w:t>Proposal for a Regulation amending the EIR 2000 (COM(2012)744)</w:t>
        </w:r>
        <w:r w:rsidR="000014A1" w:rsidRPr="00FC5C87">
          <w:rPr>
            <w:rStyle w:val="Hyperlink"/>
            <w:rFonts w:ascii="Arial" w:hAnsi="Arial" w:cs="Arial"/>
            <w:sz w:val="22"/>
            <w:szCs w:val="22"/>
          </w:rPr>
          <w:t>.</w:t>
        </w:r>
      </w:hyperlink>
    </w:p>
    <w:p w14:paraId="5D5A1FA5" w14:textId="6FDF506F" w:rsidR="00D17FDC" w:rsidRPr="00FC5C87" w:rsidRDefault="000014A1" w:rsidP="002A37BB">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The Commission acknowledged that the EIR 2000 is generally considered to be operating successfully in facilitating cross-border insolvency proceedings within the European Union. However, after conducting consultations of stakeholders and legal and empirical studies, it discovered several issues in the application of the EIR 2000, </w:t>
      </w:r>
      <w:r w:rsidR="00AB73F0" w:rsidRPr="00FC5C87">
        <w:rPr>
          <w:rFonts w:ascii="Arial" w:hAnsi="Arial" w:cs="Arial"/>
          <w:color w:val="7B7B7B" w:themeColor="accent3" w:themeShade="BF"/>
          <w:sz w:val="22"/>
          <w:szCs w:val="22"/>
        </w:rPr>
        <w:t>and proposed amendment</w:t>
      </w:r>
      <w:r w:rsidR="00AB73F0">
        <w:rPr>
          <w:rFonts w:ascii="Arial" w:hAnsi="Arial" w:cs="Arial"/>
          <w:color w:val="7B7B7B" w:themeColor="accent3" w:themeShade="BF"/>
          <w:sz w:val="22"/>
          <w:szCs w:val="22"/>
        </w:rPr>
        <w:t>s</w:t>
      </w:r>
      <w:r w:rsidR="00AB73F0" w:rsidRPr="00FC5C87">
        <w:rPr>
          <w:rFonts w:ascii="Arial" w:hAnsi="Arial" w:cs="Arial"/>
          <w:color w:val="7B7B7B" w:themeColor="accent3" w:themeShade="BF"/>
          <w:sz w:val="22"/>
          <w:szCs w:val="22"/>
        </w:rPr>
        <w:t xml:space="preserve"> </w:t>
      </w:r>
      <w:r w:rsidR="00AB73F0">
        <w:rPr>
          <w:rFonts w:ascii="Arial" w:hAnsi="Arial" w:cs="Arial"/>
          <w:color w:val="7B7B7B" w:themeColor="accent3" w:themeShade="BF"/>
          <w:sz w:val="22"/>
          <w:szCs w:val="22"/>
        </w:rPr>
        <w:t>for</w:t>
      </w:r>
      <w:r w:rsidRPr="00FC5C87">
        <w:rPr>
          <w:rFonts w:ascii="Arial" w:hAnsi="Arial" w:cs="Arial"/>
          <w:color w:val="7B7B7B" w:themeColor="accent3" w:themeShade="BF"/>
          <w:sz w:val="22"/>
          <w:szCs w:val="22"/>
        </w:rPr>
        <w:t xml:space="preserve"> five main shortcomings</w:t>
      </w:r>
      <w:r w:rsidR="00AB73F0">
        <w:rPr>
          <w:rFonts w:ascii="Arial" w:hAnsi="Arial" w:cs="Arial"/>
          <w:color w:val="7B7B7B" w:themeColor="accent3" w:themeShade="BF"/>
          <w:sz w:val="22"/>
          <w:szCs w:val="22"/>
        </w:rPr>
        <w:t>.</w:t>
      </w:r>
      <w:r w:rsidR="00AA23D2" w:rsidRPr="00FC5C87">
        <w:rPr>
          <w:rFonts w:ascii="Arial" w:hAnsi="Arial" w:cs="Arial"/>
          <w:color w:val="7B7B7B" w:themeColor="accent3" w:themeShade="BF"/>
          <w:sz w:val="22"/>
          <w:szCs w:val="22"/>
        </w:rPr>
        <w:t xml:space="preserve"> </w:t>
      </w:r>
      <w:r w:rsidRPr="00FC5C87">
        <w:rPr>
          <w:rFonts w:ascii="Arial" w:hAnsi="Arial" w:cs="Arial"/>
          <w:color w:val="7B7B7B" w:themeColor="accent3" w:themeShade="BF"/>
          <w:sz w:val="22"/>
          <w:szCs w:val="22"/>
        </w:rPr>
        <w:t xml:space="preserve">(COM(2012)744, </w:t>
      </w:r>
      <w:r w:rsidR="00F12FEA" w:rsidRPr="00FC5C87">
        <w:rPr>
          <w:rFonts w:ascii="Arial" w:hAnsi="Arial" w:cs="Arial"/>
          <w:color w:val="7B7B7B" w:themeColor="accent3" w:themeShade="BF"/>
          <w:sz w:val="22"/>
          <w:szCs w:val="22"/>
        </w:rPr>
        <w:t>pages 4-5</w:t>
      </w:r>
      <w:r w:rsidRPr="00FC5C87">
        <w:rPr>
          <w:rFonts w:ascii="Arial" w:hAnsi="Arial" w:cs="Arial"/>
          <w:color w:val="7B7B7B" w:themeColor="accent3" w:themeShade="BF"/>
          <w:sz w:val="22"/>
          <w:szCs w:val="22"/>
        </w:rPr>
        <w:t>).</w:t>
      </w:r>
    </w:p>
    <w:p w14:paraId="31153893" w14:textId="3F0EDA19" w:rsidR="00F12FEA" w:rsidRPr="00FC5C87" w:rsidRDefault="000014A1" w:rsidP="00F12FEA">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Firs</w:t>
      </w:r>
      <w:r w:rsidR="00AA23D2" w:rsidRPr="00FC5C87">
        <w:rPr>
          <w:rFonts w:ascii="Arial" w:hAnsi="Arial" w:cs="Arial"/>
          <w:color w:val="7B7B7B" w:themeColor="accent3" w:themeShade="BF"/>
          <w:sz w:val="22"/>
          <w:szCs w:val="22"/>
        </w:rPr>
        <w:t>t</w:t>
      </w:r>
      <w:r w:rsidRPr="00FC5C87">
        <w:rPr>
          <w:rFonts w:ascii="Arial" w:hAnsi="Arial" w:cs="Arial"/>
          <w:color w:val="7B7B7B" w:themeColor="accent3" w:themeShade="BF"/>
          <w:sz w:val="22"/>
          <w:szCs w:val="22"/>
        </w:rPr>
        <w:t>ly,</w:t>
      </w:r>
      <w:r w:rsidR="00AA23D2" w:rsidRPr="00FC5C87">
        <w:rPr>
          <w:rFonts w:ascii="Arial" w:hAnsi="Arial" w:cs="Arial"/>
          <w:color w:val="7B7B7B" w:themeColor="accent3" w:themeShade="BF"/>
          <w:sz w:val="22"/>
          <w:szCs w:val="22"/>
        </w:rPr>
        <w:t xml:space="preserve"> </w:t>
      </w:r>
      <w:r w:rsidR="009009DC" w:rsidRPr="00FC5C87">
        <w:rPr>
          <w:rFonts w:ascii="Arial" w:hAnsi="Arial" w:cs="Arial"/>
          <w:color w:val="7B7B7B" w:themeColor="accent3" w:themeShade="BF"/>
          <w:sz w:val="22"/>
          <w:szCs w:val="22"/>
        </w:rPr>
        <w:t xml:space="preserve">in Article 1 of the Proposal, </w:t>
      </w:r>
      <w:r w:rsidR="00AA23D2" w:rsidRPr="00FC5C87">
        <w:rPr>
          <w:rFonts w:ascii="Arial" w:hAnsi="Arial" w:cs="Arial"/>
          <w:color w:val="7B7B7B" w:themeColor="accent3" w:themeShade="BF"/>
          <w:sz w:val="22"/>
          <w:szCs w:val="22"/>
        </w:rPr>
        <w:t xml:space="preserve">it proposed to extend the </w:t>
      </w:r>
      <w:r w:rsidR="00AA23D2" w:rsidRPr="00FC5C87">
        <w:rPr>
          <w:rFonts w:ascii="Arial" w:hAnsi="Arial" w:cs="Arial"/>
          <w:b/>
          <w:bCs/>
          <w:color w:val="7B7B7B" w:themeColor="accent3" w:themeShade="BF"/>
          <w:sz w:val="22"/>
          <w:szCs w:val="22"/>
        </w:rPr>
        <w:t>scope</w:t>
      </w:r>
      <w:r w:rsidR="00AA23D2" w:rsidRPr="00FC5C87">
        <w:rPr>
          <w:rFonts w:ascii="Arial" w:hAnsi="Arial" w:cs="Arial"/>
          <w:color w:val="7B7B7B" w:themeColor="accent3" w:themeShade="BF"/>
          <w:sz w:val="22"/>
          <w:szCs w:val="22"/>
        </w:rPr>
        <w:t xml:space="preserve"> by revising the definition of insolvency proceedings</w:t>
      </w:r>
      <w:r w:rsidR="00606192">
        <w:rPr>
          <w:rFonts w:ascii="Arial" w:hAnsi="Arial" w:cs="Arial"/>
          <w:color w:val="7B7B7B" w:themeColor="accent3" w:themeShade="BF"/>
          <w:sz w:val="22"/>
          <w:szCs w:val="22"/>
        </w:rPr>
        <w:t>,</w:t>
      </w:r>
      <w:r w:rsidR="00AA23D2" w:rsidRPr="00FC5C87">
        <w:rPr>
          <w:rFonts w:ascii="Arial" w:hAnsi="Arial" w:cs="Arial"/>
          <w:color w:val="7B7B7B" w:themeColor="accent3" w:themeShade="BF"/>
          <w:sz w:val="22"/>
          <w:szCs w:val="22"/>
        </w:rPr>
        <w:t xml:space="preserve"> including hybrid (proceedings which leave the existing management in place), pre-insolvency proceedings (proceedings providing for the restructuring of a company prior to insolvency), debt discharge proceedings, and other insolvency proceedings for natural persons. This extension in scope was considered crucial as such proceedings were introduced in the Member States as they tend to increase the chances of successful restructuring of businesses</w:t>
      </w:r>
      <w:r w:rsidR="00F12FEA" w:rsidRPr="00FC5C87">
        <w:rPr>
          <w:rFonts w:ascii="Arial" w:hAnsi="Arial" w:cs="Arial"/>
          <w:color w:val="7B7B7B" w:themeColor="accent3" w:themeShade="BF"/>
          <w:sz w:val="22"/>
          <w:szCs w:val="22"/>
        </w:rPr>
        <w:t xml:space="preserve"> (COM(2012)744, pages 5-6)</w:t>
      </w:r>
      <w:r w:rsidR="00AA23D2" w:rsidRPr="00FC5C87">
        <w:rPr>
          <w:rFonts w:ascii="Arial" w:hAnsi="Arial" w:cs="Arial"/>
          <w:color w:val="7B7B7B" w:themeColor="accent3" w:themeShade="BF"/>
          <w:sz w:val="22"/>
          <w:szCs w:val="22"/>
        </w:rPr>
        <w:t xml:space="preserve">. </w:t>
      </w:r>
      <w:r w:rsidR="009009DC" w:rsidRPr="00FC5C87">
        <w:rPr>
          <w:rFonts w:ascii="Arial" w:hAnsi="Arial" w:cs="Arial"/>
          <w:color w:val="7B7B7B" w:themeColor="accent3" w:themeShade="BF"/>
          <w:sz w:val="22"/>
          <w:szCs w:val="22"/>
        </w:rPr>
        <w:t xml:space="preserve">This amendment has been adopted and is now codified in </w:t>
      </w:r>
      <w:r w:rsidR="009009DC" w:rsidRPr="00FC5C87">
        <w:rPr>
          <w:rFonts w:ascii="Arial" w:hAnsi="Arial" w:cs="Arial"/>
          <w:b/>
          <w:bCs/>
          <w:color w:val="7B7B7B" w:themeColor="accent3" w:themeShade="BF"/>
          <w:sz w:val="22"/>
          <w:szCs w:val="22"/>
        </w:rPr>
        <w:t>Article 1 of the EIR Recast</w:t>
      </w:r>
      <w:r w:rsidR="009009DC" w:rsidRPr="00FC5C87">
        <w:rPr>
          <w:rFonts w:ascii="Arial" w:hAnsi="Arial" w:cs="Arial"/>
          <w:color w:val="7B7B7B" w:themeColor="accent3" w:themeShade="BF"/>
          <w:sz w:val="22"/>
          <w:szCs w:val="22"/>
        </w:rPr>
        <w:t>.</w:t>
      </w:r>
    </w:p>
    <w:p w14:paraId="790F032A" w14:textId="37D1CC58" w:rsidR="009009DC" w:rsidRPr="00FC5C87" w:rsidRDefault="00AA23D2" w:rsidP="009009DC">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Secondly, </w:t>
      </w:r>
      <w:r w:rsidR="009009DC" w:rsidRPr="00FC5C87">
        <w:rPr>
          <w:rFonts w:ascii="Arial" w:hAnsi="Arial" w:cs="Arial"/>
          <w:color w:val="7B7B7B" w:themeColor="accent3" w:themeShade="BF"/>
          <w:sz w:val="22"/>
          <w:szCs w:val="22"/>
        </w:rPr>
        <w:t xml:space="preserve">in Article 3 of the Proposal, </w:t>
      </w:r>
      <w:r w:rsidR="00606192">
        <w:rPr>
          <w:rFonts w:ascii="Arial" w:hAnsi="Arial" w:cs="Arial"/>
          <w:color w:val="7B7B7B" w:themeColor="accent3" w:themeShade="BF"/>
          <w:sz w:val="22"/>
          <w:szCs w:val="22"/>
        </w:rPr>
        <w:t>it proposed</w:t>
      </w:r>
      <w:r w:rsidRPr="00FC5C87">
        <w:rPr>
          <w:rFonts w:ascii="Arial" w:hAnsi="Arial" w:cs="Arial"/>
          <w:color w:val="7B7B7B" w:themeColor="accent3" w:themeShade="BF"/>
          <w:sz w:val="22"/>
          <w:szCs w:val="22"/>
        </w:rPr>
        <w:t xml:space="preserve"> to clarify the </w:t>
      </w:r>
      <w:r w:rsidRPr="00FC5C87">
        <w:rPr>
          <w:rFonts w:ascii="Arial" w:hAnsi="Arial" w:cs="Arial"/>
          <w:b/>
          <w:bCs/>
          <w:color w:val="7B7B7B" w:themeColor="accent3" w:themeShade="BF"/>
          <w:sz w:val="22"/>
          <w:szCs w:val="22"/>
        </w:rPr>
        <w:t>jurisdiction</w:t>
      </w:r>
      <w:r w:rsidRPr="00FC5C87">
        <w:rPr>
          <w:rFonts w:ascii="Arial" w:hAnsi="Arial" w:cs="Arial"/>
          <w:color w:val="7B7B7B" w:themeColor="accent3" w:themeShade="BF"/>
          <w:sz w:val="22"/>
          <w:szCs w:val="22"/>
        </w:rPr>
        <w:t xml:space="preserve"> rules and improve the procedural framework for determining jurisdiction. There are difficulties in determining which Member State is competent to open insolvency proceedings. Applying the COMI-rule has proven to be difficult in practice, especially due to potential forum shopping by legal and natural persons through abusive COMI-relocations</w:t>
      </w:r>
      <w:r w:rsidR="00F12FEA" w:rsidRPr="00FC5C87">
        <w:rPr>
          <w:rFonts w:ascii="Arial" w:hAnsi="Arial" w:cs="Arial"/>
          <w:color w:val="7B7B7B" w:themeColor="accent3" w:themeShade="BF"/>
          <w:sz w:val="22"/>
          <w:szCs w:val="22"/>
        </w:rPr>
        <w:t xml:space="preserve"> (COM(2012)744, pages 6-7)</w:t>
      </w:r>
      <w:r w:rsidRPr="00FC5C87">
        <w:rPr>
          <w:rFonts w:ascii="Arial" w:hAnsi="Arial" w:cs="Arial"/>
          <w:color w:val="7B7B7B" w:themeColor="accent3" w:themeShade="BF"/>
          <w:sz w:val="22"/>
          <w:szCs w:val="22"/>
        </w:rPr>
        <w:t>.</w:t>
      </w:r>
      <w:r w:rsidR="009009DC" w:rsidRPr="00FC5C87">
        <w:rPr>
          <w:rFonts w:ascii="Arial" w:hAnsi="Arial" w:cs="Arial"/>
          <w:color w:val="7B7B7B" w:themeColor="accent3" w:themeShade="BF"/>
          <w:sz w:val="22"/>
          <w:szCs w:val="22"/>
        </w:rPr>
        <w:t xml:space="preserve"> This </w:t>
      </w:r>
      <w:r w:rsidR="0003216F" w:rsidRPr="00FC5C87">
        <w:rPr>
          <w:rFonts w:ascii="Arial" w:hAnsi="Arial" w:cs="Arial"/>
          <w:color w:val="7B7B7B" w:themeColor="accent3" w:themeShade="BF"/>
          <w:sz w:val="22"/>
          <w:szCs w:val="22"/>
        </w:rPr>
        <w:t>clarification</w:t>
      </w:r>
      <w:r w:rsidR="009009DC" w:rsidRPr="00FC5C87">
        <w:rPr>
          <w:rFonts w:ascii="Arial" w:hAnsi="Arial" w:cs="Arial"/>
          <w:color w:val="7B7B7B" w:themeColor="accent3" w:themeShade="BF"/>
          <w:sz w:val="22"/>
          <w:szCs w:val="22"/>
        </w:rPr>
        <w:t xml:space="preserve"> has been adopted and is now codified in </w:t>
      </w:r>
      <w:r w:rsidR="009009DC" w:rsidRPr="00FC5C87">
        <w:rPr>
          <w:rFonts w:ascii="Arial" w:hAnsi="Arial" w:cs="Arial"/>
          <w:b/>
          <w:bCs/>
          <w:color w:val="7B7B7B" w:themeColor="accent3" w:themeShade="BF"/>
          <w:sz w:val="22"/>
          <w:szCs w:val="22"/>
        </w:rPr>
        <w:t>Article 3 of the EIR Recast</w:t>
      </w:r>
      <w:r w:rsidR="009009DC" w:rsidRPr="00FC5C87">
        <w:rPr>
          <w:rFonts w:ascii="Arial" w:hAnsi="Arial" w:cs="Arial"/>
          <w:color w:val="7B7B7B" w:themeColor="accent3" w:themeShade="BF"/>
          <w:sz w:val="22"/>
          <w:szCs w:val="22"/>
        </w:rPr>
        <w:t xml:space="preserve">. </w:t>
      </w:r>
    </w:p>
    <w:p w14:paraId="3F0094BD" w14:textId="06992EF4" w:rsidR="00736B7D" w:rsidRPr="00FC5C87" w:rsidRDefault="00AA23D2" w:rsidP="00736B7D">
      <w:pPr>
        <w:ind w:left="720" w:hanging="720"/>
        <w:jc w:val="both"/>
        <w:rPr>
          <w:rFonts w:ascii="Arial" w:hAnsi="Arial" w:cs="Arial"/>
          <w:b/>
          <w:bCs/>
          <w:color w:val="7B7B7B" w:themeColor="accent3" w:themeShade="BF"/>
          <w:sz w:val="22"/>
          <w:szCs w:val="22"/>
        </w:rPr>
      </w:pPr>
      <w:r w:rsidRPr="00FC5C87">
        <w:rPr>
          <w:rFonts w:ascii="Arial" w:hAnsi="Arial" w:cs="Arial"/>
          <w:color w:val="7B7B7B" w:themeColor="accent3" w:themeShade="BF"/>
          <w:sz w:val="22"/>
          <w:szCs w:val="22"/>
        </w:rPr>
        <w:t xml:space="preserve">Thirdly, </w:t>
      </w:r>
      <w:r w:rsidR="00736B7D" w:rsidRPr="00FC5C87">
        <w:rPr>
          <w:rFonts w:ascii="Arial" w:hAnsi="Arial" w:cs="Arial"/>
          <w:color w:val="7B7B7B" w:themeColor="accent3" w:themeShade="BF"/>
          <w:sz w:val="22"/>
          <w:szCs w:val="22"/>
        </w:rPr>
        <w:t xml:space="preserve">as the opening of </w:t>
      </w:r>
      <w:r w:rsidR="00736B7D" w:rsidRPr="00FC5C87">
        <w:rPr>
          <w:rFonts w:ascii="Arial" w:hAnsi="Arial" w:cs="Arial"/>
          <w:b/>
          <w:bCs/>
          <w:color w:val="7B7B7B" w:themeColor="accent3" w:themeShade="BF"/>
          <w:sz w:val="22"/>
          <w:szCs w:val="22"/>
        </w:rPr>
        <w:t>secondary proceedings</w:t>
      </w:r>
      <w:r w:rsidR="00736B7D" w:rsidRPr="00FC5C87">
        <w:rPr>
          <w:rFonts w:ascii="Arial" w:hAnsi="Arial" w:cs="Arial"/>
          <w:color w:val="7B7B7B" w:themeColor="accent3" w:themeShade="BF"/>
          <w:sz w:val="22"/>
          <w:szCs w:val="22"/>
        </w:rPr>
        <w:t xml:space="preserve"> could hamper the efficient administration of the debtor's estate, it propose</w:t>
      </w:r>
      <w:r w:rsidR="00606192">
        <w:rPr>
          <w:rFonts w:ascii="Arial" w:hAnsi="Arial" w:cs="Arial"/>
          <w:color w:val="7B7B7B" w:themeColor="accent3" w:themeShade="BF"/>
          <w:sz w:val="22"/>
          <w:szCs w:val="22"/>
        </w:rPr>
        <w:t>d</w:t>
      </w:r>
      <w:r w:rsidR="00736B7D" w:rsidRPr="00FC5C87">
        <w:rPr>
          <w:rFonts w:ascii="Arial" w:hAnsi="Arial" w:cs="Arial"/>
          <w:color w:val="7B7B7B" w:themeColor="accent3" w:themeShade="BF"/>
          <w:sz w:val="22"/>
          <w:szCs w:val="22"/>
        </w:rPr>
        <w:t xml:space="preserve"> to provide </w:t>
      </w:r>
      <w:r w:rsidRPr="00FC5C87">
        <w:rPr>
          <w:rFonts w:ascii="Arial" w:hAnsi="Arial" w:cs="Arial"/>
          <w:color w:val="7B7B7B" w:themeColor="accent3" w:themeShade="BF"/>
          <w:sz w:val="22"/>
          <w:szCs w:val="22"/>
        </w:rPr>
        <w:t xml:space="preserve">for a more efficient administration of insolvency proceedings by enabling </w:t>
      </w:r>
      <w:r w:rsidR="00736B7D" w:rsidRPr="00FC5C87">
        <w:rPr>
          <w:rFonts w:ascii="Arial" w:hAnsi="Arial" w:cs="Arial"/>
          <w:color w:val="7B7B7B" w:themeColor="accent3" w:themeShade="BF"/>
          <w:sz w:val="22"/>
          <w:szCs w:val="22"/>
        </w:rPr>
        <w:t>(1) the court to refuse the opening of secondary proceedings if it is not necessary</w:t>
      </w:r>
      <w:r w:rsidR="0003216F" w:rsidRPr="00FC5C87">
        <w:rPr>
          <w:rFonts w:ascii="Arial" w:hAnsi="Arial" w:cs="Arial"/>
          <w:color w:val="7B7B7B" w:themeColor="accent3" w:themeShade="BF"/>
          <w:sz w:val="22"/>
          <w:szCs w:val="22"/>
        </w:rPr>
        <w:t xml:space="preserve"> </w:t>
      </w:r>
      <w:r w:rsidR="00606192">
        <w:rPr>
          <w:rFonts w:ascii="Arial" w:hAnsi="Arial" w:cs="Arial"/>
          <w:color w:val="7B7B7B" w:themeColor="accent3" w:themeShade="BF"/>
          <w:sz w:val="22"/>
          <w:szCs w:val="22"/>
        </w:rPr>
        <w:t xml:space="preserve">- </w:t>
      </w:r>
      <w:r w:rsidR="0003216F" w:rsidRPr="00FC5C87">
        <w:rPr>
          <w:rFonts w:ascii="Arial" w:hAnsi="Arial" w:cs="Arial"/>
          <w:color w:val="7B7B7B" w:themeColor="accent3" w:themeShade="BF"/>
          <w:sz w:val="22"/>
          <w:szCs w:val="22"/>
        </w:rPr>
        <w:t>see Article 29a(2) of the Proposal</w:t>
      </w:r>
      <w:r w:rsidR="00736B7D" w:rsidRPr="00FC5C87">
        <w:rPr>
          <w:rFonts w:ascii="Arial" w:hAnsi="Arial" w:cs="Arial"/>
          <w:color w:val="7B7B7B" w:themeColor="accent3" w:themeShade="BF"/>
          <w:sz w:val="22"/>
          <w:szCs w:val="22"/>
        </w:rPr>
        <w:t>, (2) the abolishment of the requirement that secondary proceedings must be winding-up proceedings, and (3) the improvement of cooperation between main and secondary proceedings, particularly between courts</w:t>
      </w:r>
      <w:r w:rsidR="00F12FEA" w:rsidRPr="00FC5C87">
        <w:rPr>
          <w:rFonts w:ascii="Arial" w:hAnsi="Arial" w:cs="Arial"/>
          <w:color w:val="7B7B7B" w:themeColor="accent3" w:themeShade="BF"/>
          <w:sz w:val="22"/>
          <w:szCs w:val="22"/>
        </w:rPr>
        <w:t xml:space="preserve"> </w:t>
      </w:r>
      <w:r w:rsidR="00606192">
        <w:rPr>
          <w:rFonts w:ascii="Arial" w:hAnsi="Arial" w:cs="Arial"/>
          <w:color w:val="7B7B7B" w:themeColor="accent3" w:themeShade="BF"/>
          <w:sz w:val="22"/>
          <w:szCs w:val="22"/>
        </w:rPr>
        <w:t xml:space="preserve">- </w:t>
      </w:r>
      <w:r w:rsidR="0003216F" w:rsidRPr="00FC5C87">
        <w:rPr>
          <w:rFonts w:ascii="Arial" w:hAnsi="Arial" w:cs="Arial"/>
          <w:color w:val="7B7B7B" w:themeColor="accent3" w:themeShade="BF"/>
          <w:sz w:val="22"/>
          <w:szCs w:val="22"/>
        </w:rPr>
        <w:t xml:space="preserve">see Article 31a of the Proposal </w:t>
      </w:r>
      <w:r w:rsidR="00F12FEA" w:rsidRPr="00FC5C87">
        <w:rPr>
          <w:rFonts w:ascii="Arial" w:hAnsi="Arial" w:cs="Arial"/>
          <w:color w:val="7B7B7B" w:themeColor="accent3" w:themeShade="BF"/>
          <w:sz w:val="22"/>
          <w:szCs w:val="22"/>
        </w:rPr>
        <w:t xml:space="preserve">(COM(2012)744, pages </w:t>
      </w:r>
      <w:r w:rsidR="00120A28" w:rsidRPr="00FC5C87">
        <w:rPr>
          <w:rFonts w:ascii="Arial" w:hAnsi="Arial" w:cs="Arial"/>
          <w:color w:val="7B7B7B" w:themeColor="accent3" w:themeShade="BF"/>
          <w:sz w:val="22"/>
          <w:szCs w:val="22"/>
        </w:rPr>
        <w:t>7-8</w:t>
      </w:r>
      <w:r w:rsidR="00F12FEA" w:rsidRPr="00FC5C87">
        <w:rPr>
          <w:rFonts w:ascii="Arial" w:hAnsi="Arial" w:cs="Arial"/>
          <w:color w:val="7B7B7B" w:themeColor="accent3" w:themeShade="BF"/>
          <w:sz w:val="22"/>
          <w:szCs w:val="22"/>
        </w:rPr>
        <w:t>)</w:t>
      </w:r>
      <w:r w:rsidR="00736B7D" w:rsidRPr="00FC5C87">
        <w:rPr>
          <w:rFonts w:ascii="Arial" w:hAnsi="Arial" w:cs="Arial"/>
          <w:color w:val="7B7B7B" w:themeColor="accent3" w:themeShade="BF"/>
          <w:sz w:val="22"/>
          <w:szCs w:val="22"/>
        </w:rPr>
        <w:t>.</w:t>
      </w:r>
      <w:r w:rsidR="0003216F" w:rsidRPr="00FC5C87">
        <w:rPr>
          <w:rFonts w:ascii="Arial" w:hAnsi="Arial" w:cs="Arial"/>
          <w:color w:val="7B7B7B" w:themeColor="accent3" w:themeShade="BF"/>
          <w:sz w:val="22"/>
          <w:szCs w:val="22"/>
        </w:rPr>
        <w:t xml:space="preserve"> This idea has been adopted, albeit phrased and structured differently, in </w:t>
      </w:r>
      <w:r w:rsidR="0003216F" w:rsidRPr="00FC5C87">
        <w:rPr>
          <w:rFonts w:ascii="Arial" w:hAnsi="Arial" w:cs="Arial"/>
          <w:b/>
          <w:bCs/>
          <w:color w:val="7B7B7B" w:themeColor="accent3" w:themeShade="BF"/>
          <w:sz w:val="22"/>
          <w:szCs w:val="22"/>
        </w:rPr>
        <w:t>Articles 36, 38, and 42 of the EIR Recast.</w:t>
      </w:r>
    </w:p>
    <w:p w14:paraId="088DB2B1" w14:textId="3DAAF818" w:rsidR="00736B7D" w:rsidRPr="00FC5C87" w:rsidRDefault="00736B7D" w:rsidP="00736B7D">
      <w:pPr>
        <w:ind w:left="720" w:hanging="720"/>
        <w:jc w:val="both"/>
        <w:rPr>
          <w:rFonts w:ascii="Arial" w:hAnsi="Arial" w:cs="Arial"/>
          <w:b/>
          <w:bCs/>
          <w:color w:val="7B7B7B" w:themeColor="accent3" w:themeShade="BF"/>
          <w:sz w:val="22"/>
          <w:szCs w:val="22"/>
        </w:rPr>
      </w:pPr>
      <w:r w:rsidRPr="00FC5C87">
        <w:rPr>
          <w:rFonts w:ascii="Arial" w:hAnsi="Arial" w:cs="Arial"/>
          <w:color w:val="7B7B7B" w:themeColor="accent3" w:themeShade="BF"/>
          <w:sz w:val="22"/>
          <w:szCs w:val="22"/>
        </w:rPr>
        <w:t xml:space="preserve">Fourthly, it found that there are problems relating to the rules on </w:t>
      </w:r>
      <w:r w:rsidRPr="00FC5C87">
        <w:rPr>
          <w:rFonts w:ascii="Arial" w:hAnsi="Arial" w:cs="Arial"/>
          <w:b/>
          <w:bCs/>
          <w:color w:val="7B7B7B" w:themeColor="accent3" w:themeShade="BF"/>
          <w:sz w:val="22"/>
          <w:szCs w:val="22"/>
        </w:rPr>
        <w:t>publicity of insolvency proceedings and the lodging of claims</w:t>
      </w:r>
      <w:r w:rsidR="00E940A0" w:rsidRPr="00FC5C87">
        <w:rPr>
          <w:rFonts w:ascii="Arial" w:hAnsi="Arial" w:cs="Arial"/>
          <w:color w:val="7B7B7B" w:themeColor="accent3" w:themeShade="BF"/>
          <w:sz w:val="22"/>
          <w:szCs w:val="22"/>
        </w:rPr>
        <w:t xml:space="preserve">, as the publication or registration of decisions are not mandatory. </w:t>
      </w:r>
      <w:r w:rsidRPr="00FC5C87">
        <w:rPr>
          <w:rFonts w:ascii="Arial" w:hAnsi="Arial" w:cs="Arial"/>
          <w:color w:val="7B7B7B" w:themeColor="accent3" w:themeShade="BF"/>
          <w:sz w:val="22"/>
          <w:szCs w:val="22"/>
        </w:rPr>
        <w:t>It therefore</w:t>
      </w:r>
      <w:r w:rsidR="001D40D0" w:rsidRPr="00FC5C87">
        <w:rPr>
          <w:rFonts w:ascii="Arial" w:hAnsi="Arial" w:cs="Arial"/>
          <w:color w:val="7B7B7B" w:themeColor="accent3" w:themeShade="BF"/>
          <w:sz w:val="22"/>
          <w:szCs w:val="22"/>
        </w:rPr>
        <w:t>, and for the sake of better creditor information,</w:t>
      </w:r>
      <w:r w:rsidRPr="00FC5C87">
        <w:rPr>
          <w:rFonts w:ascii="Arial" w:hAnsi="Arial" w:cs="Arial"/>
          <w:color w:val="7B7B7B" w:themeColor="accent3" w:themeShade="BF"/>
          <w:sz w:val="22"/>
          <w:szCs w:val="22"/>
        </w:rPr>
        <w:t xml:space="preserve"> propose</w:t>
      </w:r>
      <w:r w:rsidR="00606192">
        <w:rPr>
          <w:rFonts w:ascii="Arial" w:hAnsi="Arial" w:cs="Arial"/>
          <w:color w:val="7B7B7B" w:themeColor="accent3" w:themeShade="BF"/>
          <w:sz w:val="22"/>
          <w:szCs w:val="22"/>
        </w:rPr>
        <w:t>d</w:t>
      </w:r>
      <w:r w:rsidR="009009DC" w:rsidRPr="00FC5C87">
        <w:rPr>
          <w:rFonts w:ascii="Arial" w:hAnsi="Arial" w:cs="Arial"/>
          <w:color w:val="7B7B7B" w:themeColor="accent3" w:themeShade="BF"/>
          <w:sz w:val="22"/>
          <w:szCs w:val="22"/>
        </w:rPr>
        <w:t xml:space="preserve"> in Articles 20a-20b of the Proposal</w:t>
      </w:r>
      <w:r w:rsidRPr="00FC5C87">
        <w:rPr>
          <w:rFonts w:ascii="Arial" w:hAnsi="Arial" w:cs="Arial"/>
          <w:color w:val="7B7B7B" w:themeColor="accent3" w:themeShade="BF"/>
          <w:sz w:val="22"/>
          <w:szCs w:val="22"/>
        </w:rPr>
        <w:t xml:space="preserve"> (1) that Member States publish court decisions in cross-border insolvency cases in a publicly accessible electronic register, (2) that the national registers are interconnected, and (3)  that a standard form is introduced for the lodging of claims</w:t>
      </w:r>
      <w:r w:rsidR="00120A28" w:rsidRPr="00FC5C87">
        <w:rPr>
          <w:rFonts w:ascii="Arial" w:hAnsi="Arial" w:cs="Arial"/>
          <w:color w:val="7B7B7B" w:themeColor="accent3" w:themeShade="BF"/>
          <w:sz w:val="22"/>
          <w:szCs w:val="22"/>
        </w:rPr>
        <w:t xml:space="preserve"> (COM(2012)744, pages 8-9)</w:t>
      </w:r>
      <w:r w:rsidR="00E555E0" w:rsidRPr="00FC5C87">
        <w:rPr>
          <w:rFonts w:ascii="Arial" w:hAnsi="Arial" w:cs="Arial"/>
          <w:color w:val="7B7B7B" w:themeColor="accent3" w:themeShade="BF"/>
          <w:sz w:val="22"/>
          <w:szCs w:val="22"/>
        </w:rPr>
        <w:t xml:space="preserve">. </w:t>
      </w:r>
      <w:r w:rsidR="00B32F74" w:rsidRPr="00FC5C87">
        <w:rPr>
          <w:rFonts w:ascii="Arial" w:hAnsi="Arial" w:cs="Arial"/>
          <w:color w:val="7B7B7B" w:themeColor="accent3" w:themeShade="BF"/>
          <w:sz w:val="22"/>
          <w:szCs w:val="22"/>
        </w:rPr>
        <w:t xml:space="preserve">These provisions are now codified in </w:t>
      </w:r>
      <w:r w:rsidR="00B32F74" w:rsidRPr="00FC5C87">
        <w:rPr>
          <w:rFonts w:ascii="Arial" w:hAnsi="Arial" w:cs="Arial"/>
          <w:b/>
          <w:bCs/>
          <w:color w:val="7B7B7B" w:themeColor="accent3" w:themeShade="BF"/>
          <w:sz w:val="22"/>
          <w:szCs w:val="22"/>
        </w:rPr>
        <w:t xml:space="preserve">Articles </w:t>
      </w:r>
      <w:r w:rsidR="009B3E0F" w:rsidRPr="00FC5C87">
        <w:rPr>
          <w:rFonts w:ascii="Arial" w:hAnsi="Arial" w:cs="Arial"/>
          <w:b/>
          <w:bCs/>
          <w:color w:val="7B7B7B" w:themeColor="accent3" w:themeShade="BF"/>
          <w:sz w:val="22"/>
          <w:szCs w:val="22"/>
        </w:rPr>
        <w:t>24-25 of the EIR Recast.</w:t>
      </w:r>
    </w:p>
    <w:p w14:paraId="367C9670" w14:textId="7B239100" w:rsidR="00C2509B" w:rsidRPr="00FC5C87" w:rsidRDefault="00F12FEA" w:rsidP="00C2509B">
      <w:pPr>
        <w:ind w:left="720" w:hanging="720"/>
        <w:jc w:val="both"/>
        <w:rPr>
          <w:rFonts w:ascii="Arial" w:hAnsi="Arial" w:cs="Arial"/>
          <w:b/>
          <w:bCs/>
          <w:color w:val="7B7B7B" w:themeColor="accent3" w:themeShade="BF"/>
          <w:sz w:val="22"/>
          <w:szCs w:val="22"/>
        </w:rPr>
      </w:pPr>
      <w:bookmarkStart w:id="0" w:name="_Hlk92290686"/>
      <w:r w:rsidRPr="00FC5C87">
        <w:rPr>
          <w:rFonts w:ascii="Arial" w:hAnsi="Arial" w:cs="Arial"/>
          <w:color w:val="7B7B7B" w:themeColor="accent3" w:themeShade="BF"/>
          <w:sz w:val="22"/>
          <w:szCs w:val="22"/>
        </w:rPr>
        <w:t xml:space="preserve">Lastly, as there are no specific rules dealing with the insolvency of multi-national enterprise groups or </w:t>
      </w:r>
      <w:r w:rsidRPr="00FC5C87">
        <w:rPr>
          <w:rFonts w:ascii="Arial" w:hAnsi="Arial" w:cs="Arial"/>
          <w:b/>
          <w:bCs/>
          <w:color w:val="7B7B7B" w:themeColor="accent3" w:themeShade="BF"/>
          <w:sz w:val="22"/>
          <w:szCs w:val="22"/>
        </w:rPr>
        <w:t>group of companies</w:t>
      </w:r>
      <w:r w:rsidRPr="00FC5C87">
        <w:rPr>
          <w:rFonts w:ascii="Arial" w:hAnsi="Arial" w:cs="Arial"/>
          <w:color w:val="7B7B7B" w:themeColor="accent3" w:themeShade="BF"/>
          <w:sz w:val="22"/>
          <w:szCs w:val="22"/>
        </w:rPr>
        <w:t xml:space="preserve">, and as each individual member of the group is dealt with in separate </w:t>
      </w:r>
      <w:bookmarkEnd w:id="0"/>
      <w:r w:rsidRPr="00FC5C87">
        <w:rPr>
          <w:rFonts w:ascii="Arial" w:hAnsi="Arial" w:cs="Arial"/>
          <w:color w:val="7B7B7B" w:themeColor="accent3" w:themeShade="BF"/>
          <w:sz w:val="22"/>
          <w:szCs w:val="22"/>
        </w:rPr>
        <w:t>proceedings that are entirely independent from each other,  the possibility of a successful restructuring of the group as a whole</w:t>
      </w:r>
      <w:r w:rsidR="00606192">
        <w:rPr>
          <w:rFonts w:ascii="Arial" w:hAnsi="Arial" w:cs="Arial"/>
          <w:color w:val="7B7B7B" w:themeColor="accent3" w:themeShade="BF"/>
          <w:sz w:val="22"/>
          <w:szCs w:val="22"/>
        </w:rPr>
        <w:t xml:space="preserve"> is often diminished</w:t>
      </w:r>
      <w:r w:rsidRPr="00FC5C87">
        <w:rPr>
          <w:rFonts w:ascii="Arial" w:hAnsi="Arial" w:cs="Arial"/>
          <w:color w:val="7B7B7B" w:themeColor="accent3" w:themeShade="BF"/>
          <w:sz w:val="22"/>
          <w:szCs w:val="22"/>
        </w:rPr>
        <w:t>. For this reason, the Commission propose</w:t>
      </w:r>
      <w:r w:rsidR="00606192">
        <w:rPr>
          <w:rFonts w:ascii="Arial" w:hAnsi="Arial" w:cs="Arial"/>
          <w:color w:val="7B7B7B" w:themeColor="accent3" w:themeShade="BF"/>
          <w:sz w:val="22"/>
          <w:szCs w:val="22"/>
        </w:rPr>
        <w:t>d</w:t>
      </w:r>
      <w:r w:rsidRPr="00FC5C87">
        <w:rPr>
          <w:rFonts w:ascii="Arial" w:hAnsi="Arial" w:cs="Arial"/>
          <w:color w:val="7B7B7B" w:themeColor="accent3" w:themeShade="BF"/>
          <w:sz w:val="22"/>
          <w:szCs w:val="22"/>
        </w:rPr>
        <w:t xml:space="preserve"> for a coordination of the insolvency proceedings concerning different members of the same group of companies by obliging insolvency practitioners and involved courts of different proceedings to cooperate and communicate. It also </w:t>
      </w:r>
      <w:r w:rsidR="00606192">
        <w:rPr>
          <w:rFonts w:ascii="Arial" w:hAnsi="Arial" w:cs="Arial"/>
          <w:color w:val="7B7B7B" w:themeColor="accent3" w:themeShade="BF"/>
          <w:sz w:val="22"/>
          <w:szCs w:val="22"/>
        </w:rPr>
        <w:t xml:space="preserve">proposed </w:t>
      </w:r>
      <w:r w:rsidRPr="00FC5C87">
        <w:rPr>
          <w:rFonts w:ascii="Arial" w:hAnsi="Arial" w:cs="Arial"/>
          <w:color w:val="7B7B7B" w:themeColor="accent3" w:themeShade="BF"/>
          <w:sz w:val="22"/>
          <w:szCs w:val="22"/>
        </w:rPr>
        <w:t>empower</w:t>
      </w:r>
      <w:r w:rsidR="00606192">
        <w:rPr>
          <w:rFonts w:ascii="Arial" w:hAnsi="Arial" w:cs="Arial"/>
          <w:color w:val="7B7B7B" w:themeColor="accent3" w:themeShade="BF"/>
          <w:sz w:val="22"/>
          <w:szCs w:val="22"/>
        </w:rPr>
        <w:t>ing</w:t>
      </w:r>
      <w:r w:rsidRPr="00FC5C87">
        <w:rPr>
          <w:rFonts w:ascii="Arial" w:hAnsi="Arial" w:cs="Arial"/>
          <w:color w:val="7B7B7B" w:themeColor="accent3" w:themeShade="BF"/>
          <w:sz w:val="22"/>
          <w:szCs w:val="22"/>
        </w:rPr>
        <w:t xml:space="preserve"> the insolvency practitioners with the possibility to request the courts for a stay of other proceedings and to </w:t>
      </w:r>
      <w:r w:rsidR="003445BA">
        <w:rPr>
          <w:rFonts w:ascii="Arial" w:hAnsi="Arial" w:cs="Arial"/>
          <w:color w:val="7B7B7B" w:themeColor="accent3" w:themeShade="BF"/>
          <w:sz w:val="22"/>
          <w:szCs w:val="22"/>
        </w:rPr>
        <w:t>submit</w:t>
      </w:r>
      <w:r w:rsidRPr="00FC5C87">
        <w:rPr>
          <w:rFonts w:ascii="Arial" w:hAnsi="Arial" w:cs="Arial"/>
          <w:color w:val="7B7B7B" w:themeColor="accent3" w:themeShade="BF"/>
          <w:sz w:val="22"/>
          <w:szCs w:val="22"/>
        </w:rPr>
        <w:t xml:space="preserve"> a rescue plan for members who are subject to the insolvency proceedings</w:t>
      </w:r>
      <w:r w:rsidR="00120A28" w:rsidRPr="00FC5C87">
        <w:rPr>
          <w:rFonts w:ascii="Arial" w:hAnsi="Arial" w:cs="Arial"/>
          <w:color w:val="7B7B7B" w:themeColor="accent3" w:themeShade="BF"/>
          <w:sz w:val="22"/>
          <w:szCs w:val="22"/>
        </w:rPr>
        <w:t xml:space="preserve"> (COM(2012)744, pages 9-10)</w:t>
      </w:r>
      <w:r w:rsidRPr="00FC5C87">
        <w:rPr>
          <w:rFonts w:ascii="Arial" w:hAnsi="Arial" w:cs="Arial"/>
          <w:color w:val="7B7B7B" w:themeColor="accent3" w:themeShade="BF"/>
          <w:sz w:val="22"/>
          <w:szCs w:val="22"/>
        </w:rPr>
        <w:t>.</w:t>
      </w:r>
      <w:r w:rsidR="009B3E0F" w:rsidRPr="00FC5C87">
        <w:rPr>
          <w:rFonts w:ascii="Arial" w:hAnsi="Arial" w:cs="Arial"/>
          <w:color w:val="7B7B7B" w:themeColor="accent3" w:themeShade="BF"/>
          <w:sz w:val="22"/>
          <w:szCs w:val="22"/>
        </w:rPr>
        <w:t xml:space="preserve"> There is a new chapter (</w:t>
      </w:r>
      <w:r w:rsidR="009B3E0F" w:rsidRPr="00FC5C87">
        <w:rPr>
          <w:rFonts w:ascii="Arial" w:hAnsi="Arial" w:cs="Arial"/>
          <w:b/>
          <w:bCs/>
          <w:color w:val="7B7B7B" w:themeColor="accent3" w:themeShade="BF"/>
          <w:sz w:val="22"/>
          <w:szCs w:val="22"/>
        </w:rPr>
        <w:t>Chapter V</w:t>
      </w:r>
      <w:r w:rsidR="009B3E0F" w:rsidRPr="00FC5C87">
        <w:rPr>
          <w:rFonts w:ascii="Arial" w:hAnsi="Arial" w:cs="Arial"/>
          <w:color w:val="7B7B7B" w:themeColor="accent3" w:themeShade="BF"/>
          <w:sz w:val="22"/>
          <w:szCs w:val="22"/>
        </w:rPr>
        <w:t>) introduced</w:t>
      </w:r>
      <w:r w:rsidR="00B628E7" w:rsidRPr="00FC5C87">
        <w:rPr>
          <w:rFonts w:ascii="Arial" w:hAnsi="Arial" w:cs="Arial"/>
          <w:color w:val="7B7B7B" w:themeColor="accent3" w:themeShade="BF"/>
          <w:sz w:val="22"/>
          <w:szCs w:val="22"/>
        </w:rPr>
        <w:t xml:space="preserve"> in the EIR Recast</w:t>
      </w:r>
      <w:r w:rsidR="009B3E0F" w:rsidRPr="00FC5C87">
        <w:rPr>
          <w:rFonts w:ascii="Arial" w:hAnsi="Arial" w:cs="Arial"/>
          <w:color w:val="7B7B7B" w:themeColor="accent3" w:themeShade="BF"/>
          <w:sz w:val="22"/>
          <w:szCs w:val="22"/>
        </w:rPr>
        <w:t xml:space="preserve"> dealing with insolvency of group of companies, </w:t>
      </w:r>
      <w:r w:rsidR="009B3E0F" w:rsidRPr="00FC5C87">
        <w:rPr>
          <w:rFonts w:ascii="Arial" w:hAnsi="Arial" w:cs="Arial"/>
          <w:b/>
          <w:bCs/>
          <w:color w:val="7B7B7B" w:themeColor="accent3" w:themeShade="BF"/>
          <w:sz w:val="22"/>
          <w:szCs w:val="22"/>
        </w:rPr>
        <w:t>Articles 56-</w:t>
      </w:r>
      <w:r w:rsidR="00B709AB" w:rsidRPr="00FC5C87">
        <w:rPr>
          <w:rFonts w:ascii="Arial" w:hAnsi="Arial" w:cs="Arial"/>
          <w:b/>
          <w:bCs/>
          <w:color w:val="7B7B7B" w:themeColor="accent3" w:themeShade="BF"/>
          <w:sz w:val="22"/>
          <w:szCs w:val="22"/>
        </w:rPr>
        <w:t>77</w:t>
      </w:r>
      <w:r w:rsidR="009B3E0F" w:rsidRPr="00FC5C87">
        <w:rPr>
          <w:rFonts w:ascii="Arial" w:hAnsi="Arial" w:cs="Arial"/>
          <w:b/>
          <w:bCs/>
          <w:color w:val="7B7B7B" w:themeColor="accent3" w:themeShade="BF"/>
          <w:sz w:val="22"/>
          <w:szCs w:val="22"/>
        </w:rPr>
        <w:t xml:space="preserve"> EIR Recast.</w:t>
      </w:r>
      <w:r w:rsidR="00C2509B" w:rsidRPr="00FC5C87">
        <w:rPr>
          <w:rFonts w:ascii="Arial" w:hAnsi="Arial" w:cs="Arial"/>
          <w:b/>
          <w:bCs/>
          <w:color w:val="7B7B7B" w:themeColor="accent3" w:themeShade="BF"/>
          <w:sz w:val="22"/>
          <w:szCs w:val="22"/>
        </w:rPr>
        <w:t xml:space="preserve"> </w:t>
      </w:r>
    </w:p>
    <w:p w14:paraId="1C8C0482" w14:textId="06CF797B" w:rsidR="000014A1" w:rsidRPr="00FC5C87" w:rsidRDefault="000014A1" w:rsidP="00B628E7">
      <w:pPr>
        <w:jc w:val="both"/>
        <w:rPr>
          <w:rFonts w:ascii="Arial" w:hAnsi="Arial" w:cs="Arial"/>
          <w:color w:val="7B7B7B" w:themeColor="accent3" w:themeShade="BF"/>
          <w:sz w:val="22"/>
          <w:szCs w:val="22"/>
        </w:rPr>
      </w:pPr>
    </w:p>
    <w:p w14:paraId="607417AF" w14:textId="77777777" w:rsidR="00F12FEA" w:rsidRPr="00FC5C87" w:rsidRDefault="00F12FEA" w:rsidP="002A37BB">
      <w:pPr>
        <w:ind w:left="720" w:hanging="720"/>
        <w:jc w:val="both"/>
        <w:rPr>
          <w:rFonts w:ascii="Arial" w:hAnsi="Arial" w:cs="Arial"/>
          <w:sz w:val="22"/>
          <w:szCs w:val="22"/>
        </w:rPr>
      </w:pPr>
    </w:p>
    <w:p w14:paraId="755D6AFF" w14:textId="0FC51646" w:rsidR="00C550C8" w:rsidRPr="00FC5C87" w:rsidRDefault="00C550C8" w:rsidP="002A37BB">
      <w:pPr>
        <w:ind w:left="720" w:hanging="720"/>
        <w:jc w:val="both"/>
        <w:rPr>
          <w:rFonts w:ascii="Arial" w:hAnsi="Arial" w:cs="Arial"/>
          <w:b/>
          <w:bCs/>
          <w:sz w:val="22"/>
          <w:szCs w:val="22"/>
        </w:rPr>
      </w:pPr>
      <w:r w:rsidRPr="00FC5C87">
        <w:rPr>
          <w:rFonts w:ascii="Arial" w:hAnsi="Arial" w:cs="Arial"/>
          <w:b/>
          <w:bCs/>
          <w:sz w:val="22"/>
          <w:szCs w:val="22"/>
        </w:rPr>
        <w:t xml:space="preserve">Question </w:t>
      </w:r>
      <w:r w:rsidR="00544127" w:rsidRPr="00FC5C87">
        <w:rPr>
          <w:rFonts w:ascii="Arial" w:hAnsi="Arial" w:cs="Arial"/>
          <w:b/>
          <w:bCs/>
          <w:sz w:val="22"/>
          <w:szCs w:val="22"/>
        </w:rPr>
        <w:t>3.2</w:t>
      </w:r>
      <w:r w:rsidRPr="00FC5C87">
        <w:rPr>
          <w:rFonts w:ascii="Arial" w:hAnsi="Arial" w:cs="Arial"/>
          <w:b/>
          <w:bCs/>
          <w:sz w:val="22"/>
          <w:szCs w:val="22"/>
        </w:rPr>
        <w:t xml:space="preserve"> [</w:t>
      </w:r>
      <w:r w:rsidR="006A2646" w:rsidRPr="00FC5C87">
        <w:rPr>
          <w:rFonts w:ascii="Arial" w:hAnsi="Arial" w:cs="Arial"/>
          <w:b/>
          <w:bCs/>
          <w:sz w:val="22"/>
          <w:szCs w:val="22"/>
        </w:rPr>
        <w:t>m</w:t>
      </w:r>
      <w:r w:rsidRPr="00FC5C87">
        <w:rPr>
          <w:rFonts w:ascii="Arial" w:hAnsi="Arial" w:cs="Arial"/>
          <w:b/>
          <w:bCs/>
          <w:sz w:val="22"/>
          <w:szCs w:val="22"/>
        </w:rPr>
        <w:t xml:space="preserve">aximum </w:t>
      </w:r>
      <w:r w:rsidR="00980E61" w:rsidRPr="00FC5C87">
        <w:rPr>
          <w:rFonts w:ascii="Arial" w:hAnsi="Arial" w:cs="Arial"/>
          <w:b/>
          <w:bCs/>
          <w:sz w:val="22"/>
          <w:szCs w:val="22"/>
        </w:rPr>
        <w:t>5</w:t>
      </w:r>
      <w:r w:rsidRPr="00FC5C87">
        <w:rPr>
          <w:rFonts w:ascii="Arial" w:hAnsi="Arial" w:cs="Arial"/>
          <w:b/>
          <w:bCs/>
          <w:sz w:val="22"/>
          <w:szCs w:val="22"/>
        </w:rPr>
        <w:t xml:space="preserve"> marks]</w:t>
      </w:r>
    </w:p>
    <w:p w14:paraId="49F0073B" w14:textId="77777777" w:rsidR="00C550C8" w:rsidRPr="00FC5C87" w:rsidRDefault="00C550C8" w:rsidP="002A37BB">
      <w:pPr>
        <w:ind w:left="720" w:hanging="720"/>
        <w:jc w:val="both"/>
        <w:rPr>
          <w:rFonts w:ascii="Arial" w:hAnsi="Arial" w:cs="Arial"/>
          <w:sz w:val="22"/>
          <w:szCs w:val="22"/>
        </w:rPr>
      </w:pPr>
    </w:p>
    <w:p w14:paraId="14A445EB" w14:textId="05878729" w:rsidR="00B12499" w:rsidRPr="00FC5C87" w:rsidRDefault="00B12499" w:rsidP="002A37BB">
      <w:pPr>
        <w:jc w:val="both"/>
        <w:rPr>
          <w:rFonts w:ascii="Arial" w:hAnsi="Arial" w:cs="Arial"/>
          <w:sz w:val="22"/>
          <w:szCs w:val="22"/>
        </w:rPr>
      </w:pPr>
      <w:r w:rsidRPr="00FC5C87">
        <w:rPr>
          <w:rFonts w:ascii="Arial" w:hAnsi="Arial" w:cs="Arial"/>
          <w:sz w:val="22"/>
          <w:szCs w:val="22"/>
        </w:rPr>
        <w:t xml:space="preserve">While the EIR 2000 was considered to work well overall, several innovative concepts and rules were introduced in the EIR Recast to improve the </w:t>
      </w:r>
      <w:r w:rsidR="005E784A" w:rsidRPr="00FC5C87">
        <w:rPr>
          <w:rFonts w:ascii="Arial" w:hAnsi="Arial" w:cs="Arial"/>
          <w:sz w:val="22"/>
          <w:szCs w:val="22"/>
        </w:rPr>
        <w:t>manner</w:t>
      </w:r>
      <w:r w:rsidRPr="00FC5C87">
        <w:rPr>
          <w:rFonts w:ascii="Arial" w:hAnsi="Arial" w:cs="Arial"/>
          <w:sz w:val="22"/>
          <w:szCs w:val="22"/>
        </w:rPr>
        <w:t xml:space="preserve"> </w:t>
      </w:r>
      <w:r w:rsidR="005E784A" w:rsidRPr="00FC5C87">
        <w:rPr>
          <w:rFonts w:ascii="Arial" w:hAnsi="Arial" w:cs="Arial"/>
          <w:sz w:val="22"/>
          <w:szCs w:val="22"/>
        </w:rPr>
        <w:t xml:space="preserve">in which </w:t>
      </w:r>
      <w:r w:rsidRPr="00FC5C87">
        <w:rPr>
          <w:rFonts w:ascii="Arial" w:hAnsi="Arial" w:cs="Arial"/>
          <w:sz w:val="22"/>
          <w:szCs w:val="22"/>
        </w:rPr>
        <w:t>the Regulation support</w:t>
      </w:r>
      <w:r w:rsidR="005E784A" w:rsidRPr="00FC5C87">
        <w:rPr>
          <w:rFonts w:ascii="Arial" w:hAnsi="Arial" w:cs="Arial"/>
          <w:sz w:val="22"/>
          <w:szCs w:val="22"/>
        </w:rPr>
        <w:t>s</w:t>
      </w:r>
      <w:r w:rsidRPr="00FC5C87">
        <w:rPr>
          <w:rFonts w:ascii="Arial" w:hAnsi="Arial" w:cs="Arial"/>
          <w:sz w:val="22"/>
          <w:szCs w:val="22"/>
        </w:rPr>
        <w:t xml:space="preserve"> the administration of a cross-border case in an efficient manner. Describe </w:t>
      </w:r>
      <w:r w:rsidRPr="00FC5C87">
        <w:rPr>
          <w:rFonts w:ascii="Arial" w:hAnsi="Arial" w:cs="Arial"/>
          <w:b/>
          <w:sz w:val="22"/>
          <w:szCs w:val="22"/>
        </w:rPr>
        <w:t>three (3)</w:t>
      </w:r>
      <w:r w:rsidRPr="00FC5C87">
        <w:rPr>
          <w:rFonts w:ascii="Arial" w:hAnsi="Arial" w:cs="Arial"/>
          <w:sz w:val="22"/>
          <w:szCs w:val="22"/>
        </w:rPr>
        <w:t xml:space="preserve"> improvements</w:t>
      </w:r>
      <w:r w:rsidR="005E784A" w:rsidRPr="00FC5C87">
        <w:rPr>
          <w:rFonts w:ascii="Arial" w:hAnsi="Arial" w:cs="Arial"/>
          <w:sz w:val="22"/>
          <w:szCs w:val="22"/>
        </w:rPr>
        <w:t xml:space="preserve"> </w:t>
      </w:r>
      <w:r w:rsidRPr="00FC5C87">
        <w:rPr>
          <w:rFonts w:ascii="Arial" w:hAnsi="Arial" w:cs="Arial"/>
          <w:sz w:val="22"/>
          <w:szCs w:val="22"/>
        </w:rPr>
        <w:t>/</w:t>
      </w:r>
      <w:r w:rsidR="005E784A" w:rsidRPr="00FC5C87">
        <w:rPr>
          <w:rFonts w:ascii="Arial" w:hAnsi="Arial" w:cs="Arial"/>
          <w:sz w:val="22"/>
          <w:szCs w:val="22"/>
        </w:rPr>
        <w:t xml:space="preserve"> </w:t>
      </w:r>
      <w:r w:rsidRPr="00FC5C87">
        <w:rPr>
          <w:rFonts w:ascii="Arial" w:hAnsi="Arial" w:cs="Arial"/>
          <w:sz w:val="22"/>
          <w:szCs w:val="22"/>
        </w:rPr>
        <w:t xml:space="preserve">innovations </w:t>
      </w:r>
      <w:r w:rsidR="005E784A" w:rsidRPr="00FC5C87">
        <w:rPr>
          <w:rFonts w:ascii="Arial" w:hAnsi="Arial" w:cs="Arial"/>
          <w:sz w:val="22"/>
          <w:szCs w:val="22"/>
        </w:rPr>
        <w:t>that</w:t>
      </w:r>
      <w:r w:rsidRPr="00FC5C87">
        <w:rPr>
          <w:rFonts w:ascii="Arial" w:hAnsi="Arial" w:cs="Arial"/>
          <w:sz w:val="22"/>
          <w:szCs w:val="22"/>
        </w:rPr>
        <w:t xml:space="preserve"> made their way into the EIR Recast. </w:t>
      </w:r>
    </w:p>
    <w:p w14:paraId="2F029E55" w14:textId="1280FB99" w:rsidR="00DF75F8" w:rsidRPr="00FC5C87" w:rsidRDefault="00DF75F8" w:rsidP="002A37BB">
      <w:pPr>
        <w:jc w:val="both"/>
        <w:rPr>
          <w:rFonts w:ascii="Arial" w:hAnsi="Arial" w:cs="Arial"/>
          <w:sz w:val="22"/>
          <w:szCs w:val="22"/>
        </w:rPr>
      </w:pPr>
    </w:p>
    <w:p w14:paraId="7940D274" w14:textId="1E7EB718" w:rsidR="00DF75F8" w:rsidRPr="00FC5C87" w:rsidRDefault="003445BA" w:rsidP="00C2509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With reference to</w:t>
      </w:r>
      <w:r w:rsidR="00C2509B" w:rsidRPr="00FC5C87">
        <w:rPr>
          <w:rFonts w:ascii="Arial" w:hAnsi="Arial" w:cs="Arial"/>
          <w:color w:val="7B7B7B" w:themeColor="accent3" w:themeShade="BF"/>
          <w:sz w:val="22"/>
          <w:szCs w:val="22"/>
        </w:rPr>
        <w:t xml:space="preserve"> the previous answer, the EIR Recast introduces or improves certain concepts and rules for the proper and efficient administration of a cross-border insolvency case. The following are three examples of such improvements and introductions.</w:t>
      </w:r>
    </w:p>
    <w:p w14:paraId="4EBF9635" w14:textId="4514A8F2" w:rsidR="00C2509B" w:rsidRPr="00FC5C87" w:rsidRDefault="009D392E" w:rsidP="00C2509B">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One example is that the EIR Recast - although it</w:t>
      </w:r>
      <w:r w:rsidR="00C2509B" w:rsidRPr="00FC5C87">
        <w:rPr>
          <w:rFonts w:ascii="Arial" w:hAnsi="Arial" w:cs="Arial"/>
          <w:color w:val="7B7B7B" w:themeColor="accent3" w:themeShade="BF"/>
          <w:sz w:val="22"/>
          <w:szCs w:val="22"/>
        </w:rPr>
        <w:t xml:space="preserve"> allows for several parallel insolvency proceedings against the same debtor</w:t>
      </w:r>
      <w:r w:rsidRPr="00FC5C87">
        <w:rPr>
          <w:rFonts w:ascii="Arial" w:hAnsi="Arial" w:cs="Arial"/>
          <w:color w:val="7B7B7B" w:themeColor="accent3" w:themeShade="BF"/>
          <w:sz w:val="22"/>
          <w:szCs w:val="22"/>
        </w:rPr>
        <w:t xml:space="preserve"> </w:t>
      </w:r>
      <w:r w:rsidR="003445BA">
        <w:rPr>
          <w:rFonts w:ascii="Arial" w:hAnsi="Arial" w:cs="Arial"/>
          <w:color w:val="7B7B7B" w:themeColor="accent3" w:themeShade="BF"/>
          <w:sz w:val="22"/>
          <w:szCs w:val="22"/>
        </w:rPr>
        <w:t xml:space="preserve">- </w:t>
      </w:r>
      <w:r w:rsidR="00C2509B" w:rsidRPr="00FC5C87">
        <w:rPr>
          <w:rFonts w:ascii="Arial" w:hAnsi="Arial" w:cs="Arial"/>
          <w:color w:val="7B7B7B" w:themeColor="accent3" w:themeShade="BF"/>
          <w:sz w:val="22"/>
          <w:szCs w:val="22"/>
        </w:rPr>
        <w:t>also</w:t>
      </w:r>
      <w:r w:rsidRPr="00FC5C87">
        <w:rPr>
          <w:rFonts w:ascii="Arial" w:hAnsi="Arial" w:cs="Arial"/>
          <w:color w:val="7B7B7B" w:themeColor="accent3" w:themeShade="BF"/>
          <w:sz w:val="22"/>
          <w:szCs w:val="22"/>
        </w:rPr>
        <w:t xml:space="preserve"> </w:t>
      </w:r>
      <w:r w:rsidR="00C2509B" w:rsidRPr="00FC5C87">
        <w:rPr>
          <w:rFonts w:ascii="Arial" w:hAnsi="Arial" w:cs="Arial"/>
          <w:color w:val="7B7B7B" w:themeColor="accent3" w:themeShade="BF"/>
          <w:sz w:val="22"/>
          <w:szCs w:val="22"/>
        </w:rPr>
        <w:t xml:space="preserve">ensures that cooperation and communication is upheld. According to </w:t>
      </w:r>
      <w:r w:rsidR="00C2509B" w:rsidRPr="00FC5C87">
        <w:rPr>
          <w:rFonts w:ascii="Arial" w:hAnsi="Arial" w:cs="Arial"/>
          <w:b/>
          <w:bCs/>
          <w:color w:val="7B7B7B" w:themeColor="accent3" w:themeShade="BF"/>
          <w:sz w:val="22"/>
          <w:szCs w:val="22"/>
        </w:rPr>
        <w:t xml:space="preserve">Recital 48 of the EIR Recast, for an efficient administration of the insolvency estate and the </w:t>
      </w:r>
      <w:r w:rsidRPr="00FC5C87">
        <w:rPr>
          <w:rFonts w:ascii="Arial" w:hAnsi="Arial" w:cs="Arial"/>
          <w:b/>
          <w:bCs/>
          <w:color w:val="7B7B7B" w:themeColor="accent3" w:themeShade="BF"/>
          <w:sz w:val="22"/>
          <w:szCs w:val="22"/>
        </w:rPr>
        <w:t>efficient</w:t>
      </w:r>
      <w:r w:rsidR="00C2509B" w:rsidRPr="00FC5C87">
        <w:rPr>
          <w:rFonts w:ascii="Arial" w:hAnsi="Arial" w:cs="Arial"/>
          <w:b/>
          <w:bCs/>
          <w:color w:val="7B7B7B" w:themeColor="accent3" w:themeShade="BF"/>
          <w:sz w:val="22"/>
          <w:szCs w:val="22"/>
        </w:rPr>
        <w:t xml:space="preserve"> realization of the assets</w:t>
      </w:r>
      <w:r w:rsidR="00C2509B" w:rsidRPr="00FC5C87">
        <w:rPr>
          <w:rFonts w:ascii="Arial" w:hAnsi="Arial" w:cs="Arial"/>
          <w:color w:val="7B7B7B" w:themeColor="accent3" w:themeShade="BF"/>
          <w:sz w:val="22"/>
          <w:szCs w:val="22"/>
        </w:rPr>
        <w:t xml:space="preserve">, a proper cooperation between the actors involved in all concurrent proceedings is required. Previously, the EIR 2000 only mandated the insolvency practitioners in concurrent proceedings to communicate information to each other. </w:t>
      </w:r>
      <w:r w:rsidR="00C2509B" w:rsidRPr="00FC5C87">
        <w:rPr>
          <w:rFonts w:ascii="Arial" w:hAnsi="Arial" w:cs="Arial"/>
          <w:b/>
          <w:bCs/>
          <w:color w:val="7B7B7B" w:themeColor="accent3" w:themeShade="BF"/>
          <w:sz w:val="22"/>
          <w:szCs w:val="22"/>
        </w:rPr>
        <w:t>With the EIR Recast, a wide framework for cooperatio</w:t>
      </w:r>
      <w:r w:rsidRPr="00FC5C87">
        <w:rPr>
          <w:rFonts w:ascii="Arial" w:hAnsi="Arial" w:cs="Arial"/>
          <w:b/>
          <w:bCs/>
          <w:color w:val="7B7B7B" w:themeColor="accent3" w:themeShade="BF"/>
          <w:sz w:val="22"/>
          <w:szCs w:val="22"/>
        </w:rPr>
        <w:t>n a</w:t>
      </w:r>
      <w:r w:rsidR="00C2509B" w:rsidRPr="00FC5C87">
        <w:rPr>
          <w:rFonts w:ascii="Arial" w:hAnsi="Arial" w:cs="Arial"/>
          <w:b/>
          <w:bCs/>
          <w:color w:val="7B7B7B" w:themeColor="accent3" w:themeShade="BF"/>
          <w:sz w:val="22"/>
          <w:szCs w:val="22"/>
        </w:rPr>
        <w:t>n</w:t>
      </w:r>
      <w:r w:rsidRPr="00FC5C87">
        <w:rPr>
          <w:rFonts w:ascii="Arial" w:hAnsi="Arial" w:cs="Arial"/>
          <w:b/>
          <w:bCs/>
          <w:color w:val="7B7B7B" w:themeColor="accent3" w:themeShade="BF"/>
          <w:sz w:val="22"/>
          <w:szCs w:val="22"/>
        </w:rPr>
        <w:t>d communication</w:t>
      </w:r>
      <w:r w:rsidR="00C2509B" w:rsidRPr="00FC5C87">
        <w:rPr>
          <w:rFonts w:ascii="Arial" w:hAnsi="Arial" w:cs="Arial"/>
          <w:color w:val="7B7B7B" w:themeColor="accent3" w:themeShade="BF"/>
          <w:sz w:val="22"/>
          <w:szCs w:val="22"/>
        </w:rPr>
        <w:t xml:space="preserve"> </w:t>
      </w:r>
      <w:r w:rsidRPr="00FC5C87">
        <w:rPr>
          <w:rFonts w:ascii="Arial" w:hAnsi="Arial" w:cs="Arial"/>
          <w:b/>
          <w:bCs/>
          <w:color w:val="7B7B7B" w:themeColor="accent3" w:themeShade="BF"/>
          <w:sz w:val="22"/>
          <w:szCs w:val="22"/>
        </w:rPr>
        <w:t xml:space="preserve">was introduced, </w:t>
      </w:r>
      <w:r w:rsidR="00C2509B" w:rsidRPr="00FC5C87">
        <w:rPr>
          <w:rFonts w:ascii="Arial" w:hAnsi="Arial" w:cs="Arial"/>
          <w:color w:val="7B7B7B" w:themeColor="accent3" w:themeShade="BF"/>
          <w:sz w:val="22"/>
          <w:szCs w:val="22"/>
        </w:rPr>
        <w:t xml:space="preserve">not only </w:t>
      </w:r>
      <w:r w:rsidRPr="00FC5C87">
        <w:rPr>
          <w:rFonts w:ascii="Arial" w:hAnsi="Arial" w:cs="Arial"/>
          <w:color w:val="7B7B7B" w:themeColor="accent3" w:themeShade="BF"/>
          <w:sz w:val="22"/>
          <w:szCs w:val="22"/>
        </w:rPr>
        <w:t xml:space="preserve">between </w:t>
      </w:r>
      <w:r w:rsidR="00C2509B" w:rsidRPr="00FC5C87">
        <w:rPr>
          <w:rFonts w:ascii="Arial" w:hAnsi="Arial" w:cs="Arial"/>
          <w:color w:val="7B7B7B" w:themeColor="accent3" w:themeShade="BF"/>
          <w:sz w:val="22"/>
          <w:szCs w:val="22"/>
        </w:rPr>
        <w:t>insolvency practitioners under Article 41</w:t>
      </w:r>
      <w:r w:rsidR="003445BA">
        <w:rPr>
          <w:rFonts w:ascii="Arial" w:hAnsi="Arial" w:cs="Arial"/>
          <w:color w:val="7B7B7B" w:themeColor="accent3" w:themeShade="BF"/>
          <w:sz w:val="22"/>
          <w:szCs w:val="22"/>
        </w:rPr>
        <w:t>,</w:t>
      </w:r>
      <w:r w:rsidR="00C2509B" w:rsidRPr="00FC5C87">
        <w:rPr>
          <w:rFonts w:ascii="Arial" w:hAnsi="Arial" w:cs="Arial"/>
          <w:color w:val="7B7B7B" w:themeColor="accent3" w:themeShade="BF"/>
          <w:sz w:val="22"/>
          <w:szCs w:val="22"/>
        </w:rPr>
        <w:t xml:space="preserve"> but also</w:t>
      </w:r>
      <w:r w:rsidRPr="00FC5C87">
        <w:rPr>
          <w:rFonts w:ascii="Arial" w:hAnsi="Arial" w:cs="Arial"/>
          <w:color w:val="7B7B7B" w:themeColor="accent3" w:themeShade="BF"/>
          <w:sz w:val="22"/>
          <w:szCs w:val="22"/>
        </w:rPr>
        <w:t xml:space="preserve"> between</w:t>
      </w:r>
      <w:r w:rsidR="00C2509B" w:rsidRPr="00FC5C87">
        <w:rPr>
          <w:rFonts w:ascii="Arial" w:hAnsi="Arial" w:cs="Arial"/>
          <w:color w:val="7B7B7B" w:themeColor="accent3" w:themeShade="BF"/>
          <w:sz w:val="22"/>
          <w:szCs w:val="22"/>
        </w:rPr>
        <w:t xml:space="preserve"> </w:t>
      </w:r>
      <w:r w:rsidRPr="00FC5C87">
        <w:rPr>
          <w:rFonts w:ascii="Arial" w:hAnsi="Arial" w:cs="Arial"/>
          <w:color w:val="7B7B7B" w:themeColor="accent3" w:themeShade="BF"/>
          <w:sz w:val="22"/>
          <w:szCs w:val="22"/>
        </w:rPr>
        <w:t>courts under Article 42, and between insolvency practitioners and courts under Article 43</w:t>
      </w:r>
      <w:r w:rsidR="003445BA">
        <w:rPr>
          <w:rFonts w:ascii="Arial" w:hAnsi="Arial" w:cs="Arial"/>
          <w:color w:val="7B7B7B" w:themeColor="accent3" w:themeShade="BF"/>
          <w:sz w:val="22"/>
          <w:szCs w:val="22"/>
        </w:rPr>
        <w:t>.</w:t>
      </w:r>
      <w:r w:rsidRPr="00FC5C87">
        <w:rPr>
          <w:rFonts w:ascii="Arial" w:hAnsi="Arial" w:cs="Arial"/>
          <w:color w:val="7B7B7B" w:themeColor="accent3" w:themeShade="BF"/>
          <w:sz w:val="22"/>
          <w:szCs w:val="22"/>
        </w:rPr>
        <w:t xml:space="preserve"> </w:t>
      </w:r>
    </w:p>
    <w:p w14:paraId="62930007" w14:textId="79F5B6E1" w:rsidR="00305DD1" w:rsidRPr="00FC5C87" w:rsidRDefault="009D392E" w:rsidP="00305DD1">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A</w:t>
      </w:r>
      <w:r w:rsidR="00305DD1" w:rsidRPr="00FC5C87">
        <w:rPr>
          <w:rFonts w:ascii="Arial" w:hAnsi="Arial" w:cs="Arial"/>
          <w:color w:val="7B7B7B" w:themeColor="accent3" w:themeShade="BF"/>
          <w:sz w:val="22"/>
          <w:szCs w:val="22"/>
        </w:rPr>
        <w:t xml:space="preserve"> second</w:t>
      </w:r>
      <w:r w:rsidRPr="00FC5C87">
        <w:rPr>
          <w:rFonts w:ascii="Arial" w:hAnsi="Arial" w:cs="Arial"/>
          <w:color w:val="7B7B7B" w:themeColor="accent3" w:themeShade="BF"/>
          <w:sz w:val="22"/>
          <w:szCs w:val="22"/>
        </w:rPr>
        <w:t xml:space="preserve"> example for the efficient administration of cross-border insolvency cases are the provisions regarding enterprise group members. </w:t>
      </w:r>
      <w:r w:rsidR="009E179B" w:rsidRPr="00FC5C87">
        <w:rPr>
          <w:rFonts w:ascii="Arial" w:hAnsi="Arial" w:cs="Arial"/>
          <w:color w:val="7B7B7B" w:themeColor="accent3" w:themeShade="BF"/>
          <w:sz w:val="22"/>
          <w:szCs w:val="22"/>
        </w:rPr>
        <w:t xml:space="preserve">The EIR 2000 does not regulate this area, which is why the </w:t>
      </w:r>
      <w:r w:rsidR="009E179B" w:rsidRPr="00FC5C87">
        <w:rPr>
          <w:rFonts w:ascii="Arial" w:hAnsi="Arial" w:cs="Arial"/>
          <w:b/>
          <w:bCs/>
          <w:color w:val="7B7B7B" w:themeColor="accent3" w:themeShade="BF"/>
          <w:sz w:val="22"/>
          <w:szCs w:val="22"/>
        </w:rPr>
        <w:t xml:space="preserve">EIR Recast introduced new provisions </w:t>
      </w:r>
      <w:r w:rsidR="009E179B" w:rsidRPr="00FC5C87">
        <w:rPr>
          <w:rFonts w:ascii="Arial" w:hAnsi="Arial" w:cs="Arial"/>
          <w:color w:val="7B7B7B" w:themeColor="accent3" w:themeShade="BF"/>
          <w:sz w:val="22"/>
          <w:szCs w:val="22"/>
        </w:rPr>
        <w:t xml:space="preserve">(or a chapter of provisions) </w:t>
      </w:r>
      <w:r w:rsidR="009E179B" w:rsidRPr="00FC5C87">
        <w:rPr>
          <w:rFonts w:ascii="Arial" w:hAnsi="Arial" w:cs="Arial"/>
          <w:b/>
          <w:bCs/>
          <w:color w:val="7B7B7B" w:themeColor="accent3" w:themeShade="BF"/>
          <w:sz w:val="22"/>
          <w:szCs w:val="22"/>
        </w:rPr>
        <w:t>concerning insolvency of groups of companies.</w:t>
      </w:r>
      <w:r w:rsidR="00D928CA" w:rsidRPr="00FC5C87">
        <w:rPr>
          <w:rFonts w:ascii="Arial" w:hAnsi="Arial" w:cs="Arial"/>
          <w:color w:val="7B7B7B" w:themeColor="accent3" w:themeShade="BF"/>
          <w:sz w:val="22"/>
          <w:szCs w:val="22"/>
        </w:rPr>
        <w:t xml:space="preserve"> </w:t>
      </w:r>
      <w:r w:rsidR="00EE6DCF" w:rsidRPr="00FC5C87">
        <w:rPr>
          <w:rFonts w:ascii="Arial" w:hAnsi="Arial" w:cs="Arial"/>
          <w:color w:val="7B7B7B" w:themeColor="accent3" w:themeShade="BF"/>
          <w:sz w:val="22"/>
          <w:szCs w:val="22"/>
        </w:rPr>
        <w:t xml:space="preserve">It should be noted however, that the Recast does not introduce a group COMI as a result of the deep-rooted entity-by-entity approach of the CJEU in the </w:t>
      </w:r>
      <w:hyperlink r:id="rId14" w:history="1">
        <w:r w:rsidR="00EE6DCF" w:rsidRPr="00FC5C87">
          <w:rPr>
            <w:rStyle w:val="Hyperlink"/>
            <w:rFonts w:ascii="Arial" w:hAnsi="Arial" w:cs="Arial"/>
            <w:i/>
            <w:iCs/>
            <w:sz w:val="22"/>
            <w:szCs w:val="22"/>
          </w:rPr>
          <w:t>C-341/04</w:t>
        </w:r>
        <w:r w:rsidR="00EE6DCF" w:rsidRPr="00FC5C87">
          <w:rPr>
            <w:rStyle w:val="Hyperlink"/>
            <w:rFonts w:ascii="Arial" w:hAnsi="Arial" w:cs="Arial"/>
            <w:sz w:val="22"/>
            <w:szCs w:val="22"/>
          </w:rPr>
          <w:t xml:space="preserve"> </w:t>
        </w:r>
        <w:proofErr w:type="spellStart"/>
        <w:r w:rsidR="00EE6DCF" w:rsidRPr="00FC5C87">
          <w:rPr>
            <w:rStyle w:val="Hyperlink"/>
            <w:rFonts w:ascii="Arial" w:hAnsi="Arial" w:cs="Arial"/>
            <w:i/>
            <w:iCs/>
            <w:sz w:val="22"/>
            <w:szCs w:val="22"/>
          </w:rPr>
          <w:t>Eurofood</w:t>
        </w:r>
        <w:proofErr w:type="spellEnd"/>
        <w:r w:rsidR="00EE6DCF" w:rsidRPr="00FC5C87">
          <w:rPr>
            <w:rStyle w:val="Hyperlink"/>
            <w:rFonts w:ascii="Arial" w:hAnsi="Arial" w:cs="Arial"/>
            <w:i/>
            <w:iCs/>
            <w:sz w:val="22"/>
            <w:szCs w:val="22"/>
          </w:rPr>
          <w:t xml:space="preserve"> IFSC Ltd</w:t>
        </w:r>
      </w:hyperlink>
      <w:r w:rsidR="00EE6DCF" w:rsidRPr="00FC5C87">
        <w:rPr>
          <w:rFonts w:ascii="Arial" w:hAnsi="Arial" w:cs="Arial"/>
          <w:i/>
          <w:iCs/>
          <w:color w:val="7B7B7B" w:themeColor="accent3" w:themeShade="BF"/>
          <w:sz w:val="22"/>
          <w:szCs w:val="22"/>
        </w:rPr>
        <w:t>.</w:t>
      </w:r>
      <w:r w:rsidR="00EE6DCF" w:rsidRPr="00FC5C87">
        <w:rPr>
          <w:rFonts w:ascii="Arial" w:hAnsi="Arial" w:cs="Arial"/>
          <w:color w:val="7B7B7B" w:themeColor="accent3" w:themeShade="BF"/>
          <w:sz w:val="22"/>
          <w:szCs w:val="22"/>
        </w:rPr>
        <w:t xml:space="preserve"> Case. </w:t>
      </w:r>
      <w:r w:rsidR="00D928CA" w:rsidRPr="00FC5C87">
        <w:rPr>
          <w:rFonts w:ascii="Arial" w:hAnsi="Arial" w:cs="Arial"/>
          <w:color w:val="7B7B7B" w:themeColor="accent3" w:themeShade="BF"/>
          <w:sz w:val="22"/>
          <w:szCs w:val="22"/>
        </w:rPr>
        <w:t>Articles 56-60 reflect the cooperation and communication provisions mentioned in the previous paragraph, and Articles 61-77 introduce the group coordination proceedings (under the group coordinator). As such, members of a corporate group can be “grouped” under a single jurisdiction and can avoid significant transaction costs arising from multiple proceedings and increases the chances of achieving a (more coordinated) rescue of the whole group.</w:t>
      </w:r>
      <w:r w:rsidR="00721F15" w:rsidRPr="00FC5C87">
        <w:rPr>
          <w:rFonts w:ascii="Arial" w:hAnsi="Arial" w:cs="Arial"/>
          <w:color w:val="7B7B7B" w:themeColor="accent3" w:themeShade="BF"/>
          <w:sz w:val="22"/>
          <w:szCs w:val="22"/>
        </w:rPr>
        <w:t xml:space="preserve"> </w:t>
      </w:r>
    </w:p>
    <w:p w14:paraId="24EE2050" w14:textId="2D682CB9" w:rsidR="00905265" w:rsidRPr="00FC5C87" w:rsidRDefault="00305DD1" w:rsidP="00905265">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Another example would be to refuse or postpone the opening of secondary proceedings upon discretion of the court. In other words, the </w:t>
      </w:r>
      <w:r w:rsidRPr="00FC5C87">
        <w:rPr>
          <w:rFonts w:ascii="Arial" w:hAnsi="Arial" w:cs="Arial"/>
          <w:b/>
          <w:bCs/>
          <w:color w:val="7B7B7B" w:themeColor="accent3" w:themeShade="BF"/>
          <w:sz w:val="22"/>
          <w:szCs w:val="22"/>
        </w:rPr>
        <w:t>right to give an undertaking</w:t>
      </w:r>
      <w:r w:rsidRPr="00FC5C87">
        <w:rPr>
          <w:rFonts w:ascii="Arial" w:hAnsi="Arial" w:cs="Arial"/>
          <w:color w:val="7B7B7B" w:themeColor="accent3" w:themeShade="BF"/>
          <w:sz w:val="22"/>
          <w:szCs w:val="22"/>
        </w:rPr>
        <w:t xml:space="preserve"> under Articles 36 and 38 EIR Recast.</w:t>
      </w:r>
      <w:r w:rsidR="00905265" w:rsidRPr="00FC5C87">
        <w:rPr>
          <w:rFonts w:ascii="Arial" w:hAnsi="Arial" w:cs="Arial"/>
          <w:color w:val="7B7B7B" w:themeColor="accent3" w:themeShade="BF"/>
          <w:sz w:val="22"/>
          <w:szCs w:val="22"/>
        </w:rPr>
        <w:t xml:space="preserve"> As s</w:t>
      </w:r>
      <w:r w:rsidRPr="00FC5C87">
        <w:rPr>
          <w:rFonts w:ascii="Arial" w:hAnsi="Arial" w:cs="Arial"/>
          <w:color w:val="7B7B7B" w:themeColor="accent3" w:themeShade="BF"/>
          <w:sz w:val="22"/>
          <w:szCs w:val="22"/>
        </w:rPr>
        <w:t xml:space="preserve">econdary proceedings may hamper the efficient administration of the </w:t>
      </w:r>
      <w:r w:rsidR="00905265" w:rsidRPr="00FC5C87">
        <w:rPr>
          <w:rFonts w:ascii="Arial" w:hAnsi="Arial" w:cs="Arial"/>
          <w:color w:val="7B7B7B" w:themeColor="accent3" w:themeShade="BF"/>
          <w:sz w:val="22"/>
          <w:szCs w:val="22"/>
        </w:rPr>
        <w:t xml:space="preserve">insolvent </w:t>
      </w:r>
      <w:r w:rsidRPr="00FC5C87">
        <w:rPr>
          <w:rFonts w:ascii="Arial" w:hAnsi="Arial" w:cs="Arial"/>
          <w:color w:val="7B7B7B" w:themeColor="accent3" w:themeShade="BF"/>
          <w:sz w:val="22"/>
          <w:szCs w:val="22"/>
        </w:rPr>
        <w:t>estat</w:t>
      </w:r>
      <w:r w:rsidR="00905265" w:rsidRPr="00FC5C87">
        <w:rPr>
          <w:rFonts w:ascii="Arial" w:hAnsi="Arial" w:cs="Arial"/>
          <w:color w:val="7B7B7B" w:themeColor="accent3" w:themeShade="BF"/>
          <w:sz w:val="22"/>
          <w:szCs w:val="22"/>
        </w:rPr>
        <w:t>e,</w:t>
      </w:r>
      <w:r w:rsidRPr="00FC5C87">
        <w:rPr>
          <w:rFonts w:ascii="Arial" w:hAnsi="Arial" w:cs="Arial"/>
          <w:color w:val="7B7B7B" w:themeColor="accent3" w:themeShade="BF"/>
          <w:sz w:val="22"/>
          <w:szCs w:val="22"/>
        </w:rPr>
        <w:t xml:space="preserve"> the court </w:t>
      </w:r>
      <w:r w:rsidR="00F84581">
        <w:rPr>
          <w:rFonts w:ascii="Arial" w:hAnsi="Arial" w:cs="Arial"/>
          <w:color w:val="7B7B7B" w:themeColor="accent3" w:themeShade="BF"/>
          <w:sz w:val="22"/>
          <w:szCs w:val="22"/>
        </w:rPr>
        <w:t>(</w:t>
      </w:r>
      <w:proofErr w:type="spellStart"/>
      <w:r w:rsidR="00F84581">
        <w:rPr>
          <w:rFonts w:ascii="Arial" w:hAnsi="Arial" w:cs="Arial"/>
          <w:color w:val="7B7B7B" w:themeColor="accent3" w:themeShade="BF"/>
          <w:sz w:val="22"/>
          <w:szCs w:val="22"/>
        </w:rPr>
        <w:t>eg</w:t>
      </w:r>
      <w:proofErr w:type="spellEnd"/>
      <w:r w:rsidR="00F84581">
        <w:rPr>
          <w:rFonts w:ascii="Arial" w:hAnsi="Arial" w:cs="Arial"/>
          <w:color w:val="7B7B7B" w:themeColor="accent3" w:themeShade="BF"/>
          <w:sz w:val="22"/>
          <w:szCs w:val="22"/>
        </w:rPr>
        <w:t xml:space="preserve"> in Italy)</w:t>
      </w:r>
      <w:r w:rsidR="00F84581" w:rsidRPr="00FC5C87">
        <w:rPr>
          <w:rFonts w:ascii="Arial" w:hAnsi="Arial" w:cs="Arial"/>
          <w:color w:val="7B7B7B" w:themeColor="accent3" w:themeShade="BF"/>
          <w:sz w:val="22"/>
          <w:szCs w:val="22"/>
        </w:rPr>
        <w:t xml:space="preserve"> </w:t>
      </w:r>
      <w:r w:rsidRPr="00FC5C87">
        <w:rPr>
          <w:rFonts w:ascii="Arial" w:hAnsi="Arial" w:cs="Arial"/>
          <w:color w:val="7B7B7B" w:themeColor="accent3" w:themeShade="BF"/>
          <w:sz w:val="22"/>
          <w:szCs w:val="22"/>
        </w:rPr>
        <w:t>opening secondary proceedings</w:t>
      </w:r>
      <w:r w:rsidR="00F84581">
        <w:rPr>
          <w:rFonts w:ascii="Arial" w:hAnsi="Arial" w:cs="Arial"/>
          <w:color w:val="7B7B7B" w:themeColor="accent3" w:themeShade="BF"/>
          <w:sz w:val="22"/>
          <w:szCs w:val="22"/>
        </w:rPr>
        <w:t xml:space="preserve"> </w:t>
      </w:r>
      <w:r w:rsidRPr="00FC5C87">
        <w:rPr>
          <w:rFonts w:ascii="Arial" w:hAnsi="Arial" w:cs="Arial"/>
          <w:color w:val="7B7B7B" w:themeColor="accent3" w:themeShade="BF"/>
          <w:sz w:val="22"/>
          <w:szCs w:val="22"/>
        </w:rPr>
        <w:t xml:space="preserve">should be able, on request of </w:t>
      </w:r>
      <w:r w:rsidR="00905265" w:rsidRPr="00FC5C87">
        <w:rPr>
          <w:rFonts w:ascii="Arial" w:hAnsi="Arial" w:cs="Arial"/>
          <w:color w:val="7B7B7B" w:themeColor="accent3" w:themeShade="BF"/>
          <w:sz w:val="22"/>
          <w:szCs w:val="22"/>
        </w:rPr>
        <w:t>the insolvency practitioner or debtor in possession</w:t>
      </w:r>
      <w:r w:rsidR="003445BA">
        <w:rPr>
          <w:rFonts w:ascii="Arial" w:hAnsi="Arial" w:cs="Arial"/>
          <w:color w:val="7B7B7B" w:themeColor="accent3" w:themeShade="BF"/>
          <w:sz w:val="22"/>
          <w:szCs w:val="22"/>
        </w:rPr>
        <w:t>,</w:t>
      </w:r>
      <w:r w:rsidR="00905265" w:rsidRPr="00FC5C87">
        <w:rPr>
          <w:rFonts w:ascii="Arial" w:hAnsi="Arial" w:cs="Arial"/>
          <w:color w:val="7B7B7B" w:themeColor="accent3" w:themeShade="BF"/>
          <w:sz w:val="22"/>
          <w:szCs w:val="22"/>
        </w:rPr>
        <w:t xml:space="preserve"> </w:t>
      </w:r>
      <w:r w:rsidR="00F84581">
        <w:rPr>
          <w:rFonts w:ascii="Arial" w:hAnsi="Arial" w:cs="Arial"/>
          <w:color w:val="7B7B7B" w:themeColor="accent3" w:themeShade="BF"/>
          <w:sz w:val="22"/>
          <w:szCs w:val="22"/>
        </w:rPr>
        <w:t xml:space="preserve">to </w:t>
      </w:r>
      <w:r w:rsidR="00905265" w:rsidRPr="00FC5C87">
        <w:rPr>
          <w:rFonts w:ascii="Arial" w:hAnsi="Arial" w:cs="Arial"/>
          <w:color w:val="7B7B7B" w:themeColor="accent3" w:themeShade="BF"/>
          <w:sz w:val="22"/>
          <w:szCs w:val="22"/>
        </w:rPr>
        <w:t>p</w:t>
      </w:r>
      <w:r w:rsidRPr="00FC5C87">
        <w:rPr>
          <w:rFonts w:ascii="Arial" w:hAnsi="Arial" w:cs="Arial"/>
          <w:color w:val="7B7B7B" w:themeColor="accent3" w:themeShade="BF"/>
          <w:sz w:val="22"/>
          <w:szCs w:val="22"/>
        </w:rPr>
        <w:t>ostpone or refuse the opening</w:t>
      </w:r>
      <w:r w:rsidR="00F84581">
        <w:rPr>
          <w:rFonts w:ascii="Arial" w:hAnsi="Arial" w:cs="Arial"/>
          <w:color w:val="7B7B7B" w:themeColor="accent3" w:themeShade="BF"/>
          <w:sz w:val="22"/>
          <w:szCs w:val="22"/>
        </w:rPr>
        <w:t>,</w:t>
      </w:r>
      <w:r w:rsidRPr="00FC5C87">
        <w:rPr>
          <w:rFonts w:ascii="Arial" w:hAnsi="Arial" w:cs="Arial"/>
          <w:color w:val="7B7B7B" w:themeColor="accent3" w:themeShade="BF"/>
          <w:sz w:val="22"/>
          <w:szCs w:val="22"/>
        </w:rPr>
        <w:t xml:space="preserve"> </w:t>
      </w:r>
      <w:r w:rsidR="00905265" w:rsidRPr="00F27734">
        <w:rPr>
          <w:rFonts w:ascii="Arial" w:hAnsi="Arial" w:cs="Arial"/>
          <w:color w:val="7B7B7B" w:themeColor="accent3" w:themeShade="BF"/>
          <w:sz w:val="22"/>
          <w:szCs w:val="22"/>
        </w:rPr>
        <w:t>if</w:t>
      </w:r>
      <w:r w:rsidR="00F84581" w:rsidRPr="00F27734">
        <w:rPr>
          <w:rFonts w:ascii="Arial" w:hAnsi="Arial" w:cs="Arial"/>
          <w:color w:val="7B7B7B" w:themeColor="accent3" w:themeShade="BF"/>
          <w:sz w:val="22"/>
          <w:szCs w:val="22"/>
        </w:rPr>
        <w:t xml:space="preserve"> the Italian court determines that</w:t>
      </w:r>
      <w:r w:rsidR="00905265" w:rsidRPr="00F27734">
        <w:rPr>
          <w:rFonts w:ascii="Arial" w:hAnsi="Arial" w:cs="Arial"/>
          <w:color w:val="7B7B7B" w:themeColor="accent3" w:themeShade="BF"/>
          <w:sz w:val="22"/>
          <w:szCs w:val="22"/>
        </w:rPr>
        <w:t xml:space="preserve"> the </w:t>
      </w:r>
      <w:r w:rsidR="00905265" w:rsidRPr="00FC5C87">
        <w:rPr>
          <w:rFonts w:ascii="Arial" w:hAnsi="Arial" w:cs="Arial"/>
          <w:color w:val="7B7B7B" w:themeColor="accent3" w:themeShade="BF"/>
          <w:sz w:val="22"/>
          <w:szCs w:val="22"/>
        </w:rPr>
        <w:t>l</w:t>
      </w:r>
      <w:r w:rsidRPr="00FC5C87">
        <w:rPr>
          <w:rFonts w:ascii="Arial" w:hAnsi="Arial" w:cs="Arial"/>
          <w:color w:val="7B7B7B" w:themeColor="accent3" w:themeShade="BF"/>
          <w:sz w:val="22"/>
          <w:szCs w:val="22"/>
        </w:rPr>
        <w:t xml:space="preserve">ocal </w:t>
      </w:r>
      <w:r w:rsidR="00F27734">
        <w:rPr>
          <w:rFonts w:ascii="Arial" w:hAnsi="Arial" w:cs="Arial"/>
          <w:color w:val="7B7B7B" w:themeColor="accent3" w:themeShade="BF"/>
          <w:sz w:val="22"/>
          <w:szCs w:val="22"/>
        </w:rPr>
        <w:t xml:space="preserve">Italian </w:t>
      </w:r>
      <w:r w:rsidRPr="00FC5C87">
        <w:rPr>
          <w:rFonts w:ascii="Arial" w:hAnsi="Arial" w:cs="Arial"/>
          <w:color w:val="7B7B7B" w:themeColor="accent3" w:themeShade="BF"/>
          <w:sz w:val="22"/>
          <w:szCs w:val="22"/>
        </w:rPr>
        <w:t xml:space="preserve">creditors </w:t>
      </w:r>
      <w:r w:rsidR="00905265" w:rsidRPr="00FC5C87">
        <w:rPr>
          <w:rFonts w:ascii="Arial" w:hAnsi="Arial" w:cs="Arial"/>
          <w:color w:val="7B7B7B" w:themeColor="accent3" w:themeShade="BF"/>
          <w:sz w:val="22"/>
          <w:szCs w:val="22"/>
        </w:rPr>
        <w:t>w</w:t>
      </w:r>
      <w:r w:rsidR="00F84581">
        <w:rPr>
          <w:rFonts w:ascii="Arial" w:hAnsi="Arial" w:cs="Arial"/>
          <w:color w:val="7B7B7B" w:themeColor="accent3" w:themeShade="BF"/>
          <w:sz w:val="22"/>
          <w:szCs w:val="22"/>
        </w:rPr>
        <w:t>ould</w:t>
      </w:r>
      <w:r w:rsidR="00905265" w:rsidRPr="00FC5C87">
        <w:rPr>
          <w:rFonts w:ascii="Arial" w:hAnsi="Arial" w:cs="Arial"/>
          <w:color w:val="7B7B7B" w:themeColor="accent3" w:themeShade="BF"/>
          <w:sz w:val="22"/>
          <w:szCs w:val="22"/>
        </w:rPr>
        <w:t xml:space="preserve"> be treated </w:t>
      </w:r>
      <w:r w:rsidRPr="00FC5C87">
        <w:rPr>
          <w:rFonts w:ascii="Arial" w:hAnsi="Arial" w:cs="Arial"/>
          <w:color w:val="7B7B7B" w:themeColor="accent3" w:themeShade="BF"/>
          <w:sz w:val="22"/>
          <w:szCs w:val="22"/>
        </w:rPr>
        <w:t>as if secondary proceedings had been opened and</w:t>
      </w:r>
      <w:r w:rsidR="00F84581">
        <w:rPr>
          <w:rFonts w:ascii="Arial" w:hAnsi="Arial" w:cs="Arial"/>
          <w:color w:val="7B7B7B" w:themeColor="accent3" w:themeShade="BF"/>
          <w:sz w:val="22"/>
          <w:szCs w:val="22"/>
        </w:rPr>
        <w:t xml:space="preserve"> that</w:t>
      </w:r>
      <w:r w:rsidRPr="00FC5C87">
        <w:rPr>
          <w:rFonts w:ascii="Arial" w:hAnsi="Arial" w:cs="Arial"/>
          <w:color w:val="7B7B7B" w:themeColor="accent3" w:themeShade="BF"/>
          <w:sz w:val="22"/>
          <w:szCs w:val="22"/>
        </w:rPr>
        <w:t xml:space="preserve"> </w:t>
      </w:r>
      <w:r w:rsidR="00905265" w:rsidRPr="00FC5C87">
        <w:rPr>
          <w:rFonts w:ascii="Arial" w:hAnsi="Arial" w:cs="Arial"/>
          <w:color w:val="7B7B7B" w:themeColor="accent3" w:themeShade="BF"/>
          <w:sz w:val="22"/>
          <w:szCs w:val="22"/>
        </w:rPr>
        <w:t xml:space="preserve">compliance will be upheld to </w:t>
      </w:r>
      <w:r w:rsidRPr="00FC5C87">
        <w:rPr>
          <w:rFonts w:ascii="Arial" w:hAnsi="Arial" w:cs="Arial"/>
          <w:color w:val="7B7B7B" w:themeColor="accent3" w:themeShade="BF"/>
          <w:sz w:val="22"/>
          <w:szCs w:val="22"/>
        </w:rPr>
        <w:t xml:space="preserve">apply </w:t>
      </w:r>
      <w:r w:rsidR="00F27734">
        <w:rPr>
          <w:rFonts w:ascii="Arial" w:hAnsi="Arial" w:cs="Arial"/>
          <w:color w:val="7B7B7B" w:themeColor="accent3" w:themeShade="BF"/>
          <w:sz w:val="22"/>
          <w:szCs w:val="22"/>
        </w:rPr>
        <w:t>Italian</w:t>
      </w:r>
      <w:r w:rsidR="00F84581" w:rsidRPr="00FC5C87">
        <w:rPr>
          <w:rFonts w:ascii="Arial" w:hAnsi="Arial" w:cs="Arial"/>
          <w:color w:val="7B7B7B" w:themeColor="accent3" w:themeShade="BF"/>
          <w:sz w:val="22"/>
          <w:szCs w:val="22"/>
        </w:rPr>
        <w:t xml:space="preserve"> </w:t>
      </w:r>
      <w:r w:rsidRPr="00FC5C87">
        <w:rPr>
          <w:rFonts w:ascii="Arial" w:hAnsi="Arial" w:cs="Arial"/>
          <w:color w:val="7B7B7B" w:themeColor="accent3" w:themeShade="BF"/>
          <w:sz w:val="22"/>
          <w:szCs w:val="22"/>
        </w:rPr>
        <w:t>rules of ranking</w:t>
      </w:r>
      <w:r w:rsidR="00F27734">
        <w:rPr>
          <w:rFonts w:ascii="Arial" w:hAnsi="Arial" w:cs="Arial"/>
          <w:color w:val="7B7B7B" w:themeColor="accent3" w:themeShade="BF"/>
          <w:sz w:val="22"/>
          <w:szCs w:val="22"/>
        </w:rPr>
        <w:t xml:space="preserve"> during</w:t>
      </w:r>
      <w:r w:rsidR="00F84581">
        <w:rPr>
          <w:rFonts w:ascii="Arial" w:hAnsi="Arial" w:cs="Arial"/>
          <w:color w:val="7B7B7B" w:themeColor="accent3" w:themeShade="BF"/>
          <w:sz w:val="22"/>
          <w:szCs w:val="22"/>
        </w:rPr>
        <w:t xml:space="preserve"> the distribution of the assets located in </w:t>
      </w:r>
      <w:r w:rsidR="00F27734">
        <w:rPr>
          <w:rFonts w:ascii="Arial" w:hAnsi="Arial" w:cs="Arial"/>
          <w:color w:val="7B7B7B" w:themeColor="accent3" w:themeShade="BF"/>
          <w:sz w:val="22"/>
          <w:szCs w:val="22"/>
        </w:rPr>
        <w:t>Italy</w:t>
      </w:r>
      <w:r w:rsidR="00905265" w:rsidRPr="00FC5C87">
        <w:rPr>
          <w:rFonts w:ascii="Arial" w:hAnsi="Arial" w:cs="Arial"/>
          <w:color w:val="7B7B7B" w:themeColor="accent3" w:themeShade="BF"/>
          <w:sz w:val="22"/>
          <w:szCs w:val="22"/>
        </w:rPr>
        <w:t>.</w:t>
      </w:r>
    </w:p>
    <w:p w14:paraId="050B7D02" w14:textId="5F18CFC0" w:rsidR="00D17FDC" w:rsidRPr="00FC5C87" w:rsidRDefault="00D17FDC" w:rsidP="002A37BB">
      <w:pPr>
        <w:jc w:val="both"/>
        <w:rPr>
          <w:rFonts w:ascii="Arial" w:hAnsi="Arial" w:cs="Arial"/>
          <w:sz w:val="22"/>
          <w:szCs w:val="22"/>
          <w:shd w:val="clear" w:color="auto" w:fill="FFFFFF"/>
        </w:rPr>
      </w:pPr>
    </w:p>
    <w:p w14:paraId="55E6D0A4" w14:textId="77777777" w:rsidR="00F543D9" w:rsidRPr="00FC5C87" w:rsidRDefault="00F543D9" w:rsidP="002A37BB">
      <w:pPr>
        <w:jc w:val="both"/>
        <w:rPr>
          <w:rFonts w:ascii="Arial" w:hAnsi="Arial" w:cs="Arial"/>
          <w:sz w:val="22"/>
          <w:szCs w:val="22"/>
          <w:shd w:val="clear" w:color="auto" w:fill="FFFFFF"/>
        </w:rPr>
      </w:pPr>
    </w:p>
    <w:p w14:paraId="4B3595C7" w14:textId="740AD509" w:rsidR="00DF75F8" w:rsidRPr="00537841" w:rsidRDefault="00DF75F8" w:rsidP="002A37BB">
      <w:pPr>
        <w:ind w:left="720" w:hanging="720"/>
        <w:jc w:val="both"/>
        <w:rPr>
          <w:rFonts w:ascii="Arial" w:hAnsi="Arial" w:cs="Arial"/>
          <w:sz w:val="22"/>
          <w:szCs w:val="22"/>
          <w:shd w:val="clear" w:color="auto" w:fill="FFFFFF"/>
        </w:rPr>
      </w:pPr>
      <w:r w:rsidRPr="00537841">
        <w:rPr>
          <w:rFonts w:ascii="Arial" w:hAnsi="Arial" w:cs="Arial"/>
          <w:b/>
          <w:bCs/>
          <w:sz w:val="22"/>
          <w:szCs w:val="22"/>
          <w:shd w:val="clear" w:color="auto" w:fill="FFFFFF"/>
        </w:rPr>
        <w:t xml:space="preserve">Question </w:t>
      </w:r>
      <w:r w:rsidR="00962045" w:rsidRPr="00537841">
        <w:rPr>
          <w:rFonts w:ascii="Arial" w:hAnsi="Arial" w:cs="Arial"/>
          <w:b/>
          <w:bCs/>
          <w:sz w:val="22"/>
          <w:szCs w:val="22"/>
          <w:shd w:val="clear" w:color="auto" w:fill="FFFFFF"/>
        </w:rPr>
        <w:t>3.</w:t>
      </w:r>
      <w:r w:rsidR="00807119" w:rsidRPr="00537841">
        <w:rPr>
          <w:rFonts w:ascii="Arial" w:hAnsi="Arial" w:cs="Arial"/>
          <w:b/>
          <w:bCs/>
          <w:sz w:val="22"/>
          <w:szCs w:val="22"/>
          <w:shd w:val="clear" w:color="auto" w:fill="FFFFFF"/>
        </w:rPr>
        <w:t>3</w:t>
      </w:r>
      <w:r w:rsidRPr="00537841">
        <w:rPr>
          <w:rFonts w:ascii="Arial" w:hAnsi="Arial" w:cs="Arial"/>
          <w:b/>
          <w:bCs/>
          <w:sz w:val="22"/>
          <w:szCs w:val="22"/>
          <w:shd w:val="clear" w:color="auto" w:fill="FFFFFF"/>
        </w:rPr>
        <w:t xml:space="preserve"> </w:t>
      </w:r>
      <w:r w:rsidRPr="00537841">
        <w:rPr>
          <w:rFonts w:ascii="Arial" w:hAnsi="Arial" w:cs="Arial"/>
          <w:b/>
          <w:bCs/>
          <w:sz w:val="22"/>
          <w:szCs w:val="22"/>
        </w:rPr>
        <w:t>[</w:t>
      </w:r>
      <w:r w:rsidR="006A2646" w:rsidRPr="00537841">
        <w:rPr>
          <w:rFonts w:ascii="Arial" w:hAnsi="Arial" w:cs="Arial"/>
          <w:b/>
          <w:bCs/>
          <w:sz w:val="22"/>
          <w:szCs w:val="22"/>
        </w:rPr>
        <w:t>m</w:t>
      </w:r>
      <w:r w:rsidRPr="00537841">
        <w:rPr>
          <w:rFonts w:ascii="Arial" w:hAnsi="Arial" w:cs="Arial"/>
          <w:b/>
          <w:bCs/>
          <w:sz w:val="22"/>
          <w:szCs w:val="22"/>
        </w:rPr>
        <w:t xml:space="preserve">aximum </w:t>
      </w:r>
      <w:r w:rsidR="00980E61" w:rsidRPr="00537841">
        <w:rPr>
          <w:rFonts w:ascii="Arial" w:hAnsi="Arial" w:cs="Arial"/>
          <w:b/>
          <w:bCs/>
          <w:sz w:val="22"/>
          <w:szCs w:val="22"/>
        </w:rPr>
        <w:t>5</w:t>
      </w:r>
      <w:r w:rsidRPr="00537841">
        <w:rPr>
          <w:rFonts w:ascii="Arial" w:hAnsi="Arial" w:cs="Arial"/>
          <w:b/>
          <w:bCs/>
          <w:sz w:val="22"/>
          <w:szCs w:val="22"/>
        </w:rPr>
        <w:t xml:space="preserve"> marks]</w:t>
      </w:r>
    </w:p>
    <w:p w14:paraId="14F4111F" w14:textId="77777777" w:rsidR="00DF75F8" w:rsidRPr="00537841" w:rsidRDefault="00DF75F8" w:rsidP="002A37BB">
      <w:pPr>
        <w:ind w:left="720" w:hanging="720"/>
        <w:jc w:val="both"/>
        <w:rPr>
          <w:rFonts w:ascii="Arial" w:hAnsi="Arial" w:cs="Arial"/>
          <w:sz w:val="22"/>
          <w:szCs w:val="22"/>
          <w:shd w:val="clear" w:color="auto" w:fill="FFFFFF"/>
        </w:rPr>
      </w:pPr>
    </w:p>
    <w:p w14:paraId="32B2CF3F" w14:textId="279A685D" w:rsidR="00800B1B" w:rsidRPr="00537841" w:rsidRDefault="00800B1B" w:rsidP="002A37BB">
      <w:pPr>
        <w:jc w:val="both"/>
        <w:rPr>
          <w:rFonts w:ascii="Arial" w:hAnsi="Arial" w:cs="Arial"/>
          <w:sz w:val="22"/>
          <w:szCs w:val="22"/>
        </w:rPr>
      </w:pPr>
      <w:r w:rsidRPr="00537841">
        <w:rPr>
          <w:rFonts w:ascii="Arial" w:hAnsi="Arial" w:cs="Arial"/>
          <w:sz w:val="22"/>
          <w:szCs w:val="22"/>
        </w:rPr>
        <w:t xml:space="preserve">While the EIR Recast was welcomed by most stakeholders, it was also </w:t>
      </w:r>
      <w:proofErr w:type="spellStart"/>
      <w:r w:rsidRPr="00537841">
        <w:rPr>
          <w:rFonts w:ascii="Arial" w:hAnsi="Arial" w:cs="Arial"/>
          <w:sz w:val="22"/>
          <w:szCs w:val="22"/>
        </w:rPr>
        <w:t>criticised</w:t>
      </w:r>
      <w:proofErr w:type="spellEnd"/>
      <w:r w:rsidRPr="00537841">
        <w:rPr>
          <w:rFonts w:ascii="Arial" w:hAnsi="Arial" w:cs="Arial"/>
          <w:sz w:val="22"/>
          <w:szCs w:val="22"/>
        </w:rPr>
        <w:t xml:space="preserve"> by some as a </w:t>
      </w:r>
      <w:r w:rsidR="005E784A" w:rsidRPr="00537841">
        <w:rPr>
          <w:rFonts w:ascii="Arial" w:hAnsi="Arial" w:cs="Arial"/>
          <w:sz w:val="22"/>
          <w:szCs w:val="22"/>
        </w:rPr>
        <w:t>“</w:t>
      </w:r>
      <w:r w:rsidRPr="00537841">
        <w:rPr>
          <w:rFonts w:ascii="Arial" w:hAnsi="Arial" w:cs="Arial"/>
          <w:sz w:val="22"/>
          <w:szCs w:val="22"/>
        </w:rPr>
        <w:t>missed opportunity</w:t>
      </w:r>
      <w:r w:rsidR="005E784A" w:rsidRPr="00537841">
        <w:rPr>
          <w:rFonts w:ascii="Arial" w:hAnsi="Arial" w:cs="Arial"/>
          <w:sz w:val="22"/>
          <w:szCs w:val="22"/>
        </w:rPr>
        <w:t>”</w:t>
      </w:r>
      <w:r w:rsidRPr="00537841">
        <w:rPr>
          <w:rFonts w:ascii="Arial" w:hAnsi="Arial" w:cs="Arial"/>
          <w:sz w:val="22"/>
          <w:szCs w:val="22"/>
        </w:rPr>
        <w:t xml:space="preserve"> and </w:t>
      </w:r>
      <w:r w:rsidR="005E784A" w:rsidRPr="00537841">
        <w:rPr>
          <w:rFonts w:ascii="Arial" w:hAnsi="Arial" w:cs="Arial"/>
          <w:sz w:val="22"/>
          <w:szCs w:val="22"/>
        </w:rPr>
        <w:t>“</w:t>
      </w:r>
      <w:r w:rsidRPr="00537841">
        <w:rPr>
          <w:rFonts w:ascii="Arial" w:hAnsi="Arial" w:cs="Arial"/>
          <w:sz w:val="22"/>
          <w:szCs w:val="22"/>
        </w:rPr>
        <w:t>modest</w:t>
      </w:r>
      <w:r w:rsidR="005E784A" w:rsidRPr="00537841">
        <w:rPr>
          <w:rFonts w:ascii="Arial" w:hAnsi="Arial" w:cs="Arial"/>
          <w:sz w:val="22"/>
          <w:szCs w:val="22"/>
        </w:rPr>
        <w:t>”</w:t>
      </w:r>
      <w:r w:rsidRPr="00537841">
        <w:rPr>
          <w:rFonts w:ascii="Arial" w:hAnsi="Arial" w:cs="Arial"/>
          <w:sz w:val="22"/>
          <w:szCs w:val="22"/>
        </w:rPr>
        <w:t xml:space="preserve">. List </w:t>
      </w:r>
      <w:r w:rsidRPr="00537841">
        <w:rPr>
          <w:rFonts w:ascii="Arial" w:hAnsi="Arial" w:cs="Arial"/>
          <w:b/>
          <w:sz w:val="22"/>
          <w:szCs w:val="22"/>
          <w:u w:val="single"/>
        </w:rPr>
        <w:t>two (2) flaws</w:t>
      </w:r>
      <w:r w:rsidRPr="00537841">
        <w:rPr>
          <w:rFonts w:ascii="Arial" w:hAnsi="Arial" w:cs="Arial"/>
          <w:sz w:val="22"/>
          <w:szCs w:val="22"/>
        </w:rPr>
        <w:t xml:space="preserve"> or shortcomings of the EIR Recast and explain how you consider they could be corrected</w:t>
      </w:r>
      <w:r w:rsidR="00C46DF7" w:rsidRPr="00537841">
        <w:rPr>
          <w:rFonts w:ascii="Arial" w:hAnsi="Arial" w:cs="Arial"/>
          <w:sz w:val="22"/>
          <w:szCs w:val="22"/>
        </w:rPr>
        <w:t>.</w:t>
      </w:r>
      <w:r w:rsidRPr="00537841">
        <w:rPr>
          <w:rFonts w:ascii="Arial" w:hAnsi="Arial" w:cs="Arial"/>
          <w:sz w:val="22"/>
          <w:szCs w:val="22"/>
        </w:rPr>
        <w:t xml:space="preserve"> </w:t>
      </w:r>
    </w:p>
    <w:p w14:paraId="722B5381" w14:textId="032F740D" w:rsidR="00DF75F8" w:rsidRPr="00FC5C87" w:rsidRDefault="00DF75F8" w:rsidP="002A37BB">
      <w:pPr>
        <w:jc w:val="both"/>
        <w:rPr>
          <w:rFonts w:ascii="Arial" w:hAnsi="Arial" w:cs="Arial"/>
          <w:sz w:val="22"/>
          <w:szCs w:val="22"/>
          <w:highlight w:val="red"/>
        </w:rPr>
      </w:pPr>
    </w:p>
    <w:p w14:paraId="3228FF9C" w14:textId="77777777" w:rsidR="00C40C5E" w:rsidRPr="00FC5C87" w:rsidRDefault="00C40C5E" w:rsidP="00F543D9">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First, it is important to note that any EU legal instrument is a compromise between 27 (back then 28) Member States. In order to achieve the necessary or minimum requirement for a piece of legislation to be adopted, and for the Member States to be “on board”, compromises need to be made. Such compromises could weaken instrument itself and perhaps not attain the desired outcome.</w:t>
      </w:r>
    </w:p>
    <w:p w14:paraId="04127CB5" w14:textId="77777777" w:rsidR="00EA4303" w:rsidRPr="00FC5C87" w:rsidRDefault="00C40C5E" w:rsidP="00C40C5E">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The EIR Recast is a very welcome improvement for many stakeholders as the statement already mentions. However, </w:t>
      </w:r>
      <w:r w:rsidR="00EA4303" w:rsidRPr="00FC5C87">
        <w:rPr>
          <w:rFonts w:ascii="Arial" w:hAnsi="Arial" w:cs="Arial"/>
          <w:color w:val="7B7B7B" w:themeColor="accent3" w:themeShade="BF"/>
          <w:sz w:val="22"/>
          <w:szCs w:val="22"/>
        </w:rPr>
        <w:t xml:space="preserve">some predominant issues are worthy to mention. </w:t>
      </w:r>
    </w:p>
    <w:p w14:paraId="10B853E7" w14:textId="108887B5" w:rsidR="00F543D9" w:rsidRDefault="00EA4303" w:rsidP="00C40C5E">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Whilst the EIR 2000 and (from an international scope) the </w:t>
      </w:r>
      <w:hyperlink r:id="rId15" w:anchor=":~:text=For%20the%20purposes%20of%20the,insolvency%20proceeding%20is%20taking%20place." w:history="1">
        <w:r w:rsidRPr="00FC5C87">
          <w:rPr>
            <w:rStyle w:val="Hyperlink"/>
            <w:rFonts w:ascii="Arial" w:hAnsi="Arial" w:cs="Arial"/>
            <w:sz w:val="22"/>
            <w:szCs w:val="22"/>
          </w:rPr>
          <w:t>Model Law on Cross-Border Insolvency</w:t>
        </w:r>
      </w:hyperlink>
      <w:r w:rsidRPr="00FC5C87">
        <w:rPr>
          <w:rFonts w:ascii="Arial" w:hAnsi="Arial" w:cs="Arial"/>
          <w:color w:val="7B7B7B" w:themeColor="accent3" w:themeShade="BF"/>
          <w:sz w:val="22"/>
          <w:szCs w:val="22"/>
        </w:rPr>
        <w:t xml:space="preserve">, </w:t>
      </w:r>
      <w:r w:rsidR="00C40C5E" w:rsidRPr="00FC5C87">
        <w:rPr>
          <w:rFonts w:ascii="Arial" w:hAnsi="Arial" w:cs="Arial"/>
          <w:color w:val="7B7B7B" w:themeColor="accent3" w:themeShade="BF"/>
          <w:sz w:val="22"/>
          <w:szCs w:val="22"/>
        </w:rPr>
        <w:t xml:space="preserve"> </w:t>
      </w:r>
      <w:r w:rsidRPr="00FC5C87">
        <w:rPr>
          <w:rFonts w:ascii="Arial" w:hAnsi="Arial" w:cs="Arial"/>
          <w:color w:val="7B7B7B" w:themeColor="accent3" w:themeShade="BF"/>
          <w:sz w:val="22"/>
          <w:szCs w:val="22"/>
        </w:rPr>
        <w:t xml:space="preserve">do not mention </w:t>
      </w:r>
      <w:r w:rsidRPr="00FC5C87">
        <w:rPr>
          <w:rFonts w:ascii="Arial" w:hAnsi="Arial" w:cs="Arial"/>
          <w:b/>
          <w:bCs/>
          <w:color w:val="7B7B7B" w:themeColor="accent3" w:themeShade="BF"/>
          <w:sz w:val="22"/>
          <w:szCs w:val="22"/>
        </w:rPr>
        <w:t>group coordination proceedings</w:t>
      </w:r>
      <w:r w:rsidR="00505617">
        <w:rPr>
          <w:rFonts w:ascii="Arial" w:hAnsi="Arial" w:cs="Arial"/>
          <w:color w:val="7B7B7B" w:themeColor="accent3" w:themeShade="BF"/>
          <w:sz w:val="22"/>
          <w:szCs w:val="22"/>
        </w:rPr>
        <w:t xml:space="preserve"> and i</w:t>
      </w:r>
      <w:r w:rsidRPr="00FC5C87">
        <w:rPr>
          <w:rFonts w:ascii="Arial" w:hAnsi="Arial" w:cs="Arial"/>
          <w:color w:val="7B7B7B" w:themeColor="accent3" w:themeShade="BF"/>
          <w:sz w:val="22"/>
          <w:szCs w:val="22"/>
        </w:rPr>
        <w:t xml:space="preserve">nsolvencies of members of a group </w:t>
      </w:r>
      <w:r w:rsidR="00997C7B">
        <w:rPr>
          <w:rFonts w:ascii="Arial" w:hAnsi="Arial" w:cs="Arial"/>
          <w:color w:val="7B7B7B" w:themeColor="accent3" w:themeShade="BF"/>
          <w:sz w:val="22"/>
          <w:szCs w:val="22"/>
        </w:rPr>
        <w:t>were</w:t>
      </w:r>
      <w:r w:rsidRPr="00FC5C87">
        <w:rPr>
          <w:rFonts w:ascii="Arial" w:hAnsi="Arial" w:cs="Arial"/>
          <w:color w:val="7B7B7B" w:themeColor="accent3" w:themeShade="BF"/>
          <w:sz w:val="22"/>
          <w:szCs w:val="22"/>
        </w:rPr>
        <w:t xml:space="preserve"> tackled entity-by-entity</w:t>
      </w:r>
      <w:r w:rsidR="005E0F57" w:rsidRPr="00FC5C87">
        <w:rPr>
          <w:rFonts w:ascii="Arial" w:hAnsi="Arial" w:cs="Arial"/>
          <w:color w:val="7B7B7B" w:themeColor="accent3" w:themeShade="BF"/>
          <w:sz w:val="22"/>
          <w:szCs w:val="22"/>
        </w:rPr>
        <w:t xml:space="preserve"> and by breaking up into parts -</w:t>
      </w:r>
      <w:r w:rsidRPr="00FC5C87">
        <w:rPr>
          <w:rFonts w:ascii="Arial" w:hAnsi="Arial" w:cs="Arial"/>
          <w:color w:val="7B7B7B" w:themeColor="accent3" w:themeShade="BF"/>
          <w:sz w:val="22"/>
          <w:szCs w:val="22"/>
        </w:rPr>
        <w:t xml:space="preserve"> which was </w:t>
      </w:r>
      <w:r w:rsidR="005E0F57" w:rsidRPr="00FC5C87">
        <w:rPr>
          <w:rFonts w:ascii="Arial" w:hAnsi="Arial" w:cs="Arial"/>
          <w:color w:val="7B7B7B" w:themeColor="accent3" w:themeShade="BF"/>
          <w:sz w:val="22"/>
          <w:szCs w:val="22"/>
        </w:rPr>
        <w:t xml:space="preserve">seen as diminishing the whole point of restructuring of the group as a whole, the idea of universality, procedural efficiency, the </w:t>
      </w:r>
      <w:proofErr w:type="spellStart"/>
      <w:r w:rsidR="005E0F57" w:rsidRPr="00FC5C87">
        <w:rPr>
          <w:rFonts w:ascii="Arial" w:hAnsi="Arial" w:cs="Arial"/>
          <w:color w:val="7B7B7B" w:themeColor="accent3" w:themeShade="BF"/>
          <w:sz w:val="22"/>
          <w:szCs w:val="22"/>
        </w:rPr>
        <w:t>paritas</w:t>
      </w:r>
      <w:proofErr w:type="spellEnd"/>
      <w:r w:rsidR="005E0F57" w:rsidRPr="00FC5C87">
        <w:rPr>
          <w:rFonts w:ascii="Arial" w:hAnsi="Arial" w:cs="Arial"/>
          <w:color w:val="7B7B7B" w:themeColor="accent3" w:themeShade="BF"/>
          <w:sz w:val="22"/>
          <w:szCs w:val="22"/>
        </w:rPr>
        <w:t xml:space="preserve"> </w:t>
      </w:r>
      <w:proofErr w:type="spellStart"/>
      <w:r w:rsidR="005E0F57" w:rsidRPr="00FC5C87">
        <w:rPr>
          <w:rFonts w:ascii="Arial" w:hAnsi="Arial" w:cs="Arial"/>
          <w:color w:val="7B7B7B" w:themeColor="accent3" w:themeShade="BF"/>
          <w:sz w:val="22"/>
          <w:szCs w:val="22"/>
        </w:rPr>
        <w:t>creditorum</w:t>
      </w:r>
      <w:proofErr w:type="spellEnd"/>
      <w:r w:rsidR="005E0F57" w:rsidRPr="00FC5C87">
        <w:rPr>
          <w:rFonts w:ascii="Arial" w:hAnsi="Arial" w:cs="Arial"/>
          <w:color w:val="7B7B7B" w:themeColor="accent3" w:themeShade="BF"/>
          <w:sz w:val="22"/>
          <w:szCs w:val="22"/>
        </w:rPr>
        <w:t xml:space="preserve"> (equal treatment of creditors), and</w:t>
      </w:r>
      <w:r w:rsidRPr="00FC5C87">
        <w:rPr>
          <w:rFonts w:ascii="Arial" w:hAnsi="Arial" w:cs="Arial"/>
          <w:color w:val="7B7B7B" w:themeColor="accent3" w:themeShade="BF"/>
          <w:sz w:val="22"/>
          <w:szCs w:val="22"/>
        </w:rPr>
        <w:t xml:space="preserve"> </w:t>
      </w:r>
      <w:r w:rsidR="005E0F57" w:rsidRPr="00FC5C87">
        <w:rPr>
          <w:rFonts w:ascii="Arial" w:hAnsi="Arial" w:cs="Arial"/>
          <w:color w:val="7B7B7B" w:themeColor="accent3" w:themeShade="BF"/>
          <w:sz w:val="22"/>
          <w:szCs w:val="22"/>
        </w:rPr>
        <w:t>value maximization.</w:t>
      </w:r>
    </w:p>
    <w:p w14:paraId="679D3CAC" w14:textId="317BEB13" w:rsidR="00505617" w:rsidRPr="00FC5C87" w:rsidRDefault="00505617" w:rsidP="00C40C5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505617">
        <w:rPr>
          <w:rFonts w:ascii="Arial" w:hAnsi="Arial" w:cs="Arial"/>
          <w:color w:val="7B7B7B" w:themeColor="accent3" w:themeShade="BF"/>
          <w:sz w:val="22"/>
          <w:szCs w:val="22"/>
        </w:rPr>
        <w:t>he EIR Recast devoted a whole chapter (Chapter V) on such proceedings</w:t>
      </w:r>
      <w:r>
        <w:rPr>
          <w:rFonts w:ascii="Arial" w:hAnsi="Arial" w:cs="Arial"/>
          <w:color w:val="7B7B7B" w:themeColor="accent3" w:themeShade="BF"/>
          <w:sz w:val="22"/>
          <w:szCs w:val="22"/>
        </w:rPr>
        <w:t xml:space="preserve"> and introduced the group coordinator</w:t>
      </w:r>
      <w:r w:rsidRPr="0050561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However, as the statement suggests, d</w:t>
      </w:r>
      <w:r w:rsidRPr="00505617">
        <w:rPr>
          <w:rFonts w:ascii="Arial" w:hAnsi="Arial" w:cs="Arial"/>
          <w:color w:val="7B7B7B" w:themeColor="accent3" w:themeShade="BF"/>
          <w:sz w:val="22"/>
          <w:szCs w:val="22"/>
        </w:rPr>
        <w:t xml:space="preserve">oubts have been voiced </w:t>
      </w:r>
      <w:r w:rsidR="00F27734">
        <w:rPr>
          <w:rFonts w:ascii="Arial" w:hAnsi="Arial" w:cs="Arial"/>
          <w:color w:val="7B7B7B" w:themeColor="accent3" w:themeShade="BF"/>
          <w:sz w:val="22"/>
          <w:szCs w:val="22"/>
        </w:rPr>
        <w:t>on whether the g</w:t>
      </w:r>
      <w:r w:rsidRPr="00505617">
        <w:rPr>
          <w:rFonts w:ascii="Arial" w:hAnsi="Arial" w:cs="Arial"/>
          <w:color w:val="7B7B7B" w:themeColor="accent3" w:themeShade="BF"/>
          <w:sz w:val="22"/>
          <w:szCs w:val="22"/>
        </w:rPr>
        <w:t xml:space="preserve">roup coordinator </w:t>
      </w:r>
      <w:r>
        <w:rPr>
          <w:rFonts w:ascii="Arial" w:hAnsi="Arial" w:cs="Arial"/>
          <w:color w:val="7B7B7B" w:themeColor="accent3" w:themeShade="BF"/>
          <w:sz w:val="22"/>
          <w:szCs w:val="22"/>
        </w:rPr>
        <w:t xml:space="preserve">has any added value </w:t>
      </w:r>
      <w:r w:rsidRPr="00505617">
        <w:rPr>
          <w:rFonts w:ascii="Arial" w:hAnsi="Arial" w:cs="Arial"/>
          <w:color w:val="7B7B7B" w:themeColor="accent3" w:themeShade="BF"/>
          <w:sz w:val="22"/>
          <w:szCs w:val="22"/>
        </w:rPr>
        <w:t xml:space="preserve">to resolve conflicts between group companies and their insolvency practitioners, for instance </w:t>
      </w:r>
      <w:r w:rsidR="00997C7B">
        <w:rPr>
          <w:rFonts w:ascii="Arial" w:hAnsi="Arial" w:cs="Arial"/>
          <w:color w:val="7B7B7B" w:themeColor="accent3" w:themeShade="BF"/>
          <w:sz w:val="22"/>
          <w:szCs w:val="22"/>
        </w:rPr>
        <w:t>for</w:t>
      </w:r>
      <w:r w:rsidRPr="00505617">
        <w:rPr>
          <w:rFonts w:ascii="Arial" w:hAnsi="Arial" w:cs="Arial"/>
          <w:color w:val="7B7B7B" w:themeColor="accent3" w:themeShade="BF"/>
          <w:sz w:val="22"/>
          <w:szCs w:val="22"/>
        </w:rPr>
        <w:t xml:space="preserve"> the distribution of assets. </w:t>
      </w:r>
    </w:p>
    <w:p w14:paraId="41FB4C42" w14:textId="47EAAEEA" w:rsidR="00FC5C87" w:rsidRDefault="00FC5C87" w:rsidP="00FC5C87">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Recently, the </w:t>
      </w:r>
      <w:hyperlink r:id="rId16" w:history="1">
        <w:r w:rsidRPr="00FC5C87">
          <w:rPr>
            <w:rStyle w:val="Hyperlink"/>
            <w:rFonts w:ascii="Arial" w:hAnsi="Arial" w:cs="Arial"/>
            <w:sz w:val="22"/>
            <w:szCs w:val="22"/>
          </w:rPr>
          <w:t>Conference on European Restructuring and Insolvency Law (CERIL)</w:t>
        </w:r>
      </w:hyperlink>
      <w:r w:rsidRPr="00FC5C87">
        <w:rPr>
          <w:rFonts w:ascii="Arial" w:hAnsi="Arial" w:cs="Arial"/>
          <w:color w:val="7B7B7B" w:themeColor="accent3" w:themeShade="BF"/>
          <w:sz w:val="22"/>
          <w:szCs w:val="22"/>
        </w:rPr>
        <w:t xml:space="preserve"> </w:t>
      </w:r>
      <w:r w:rsidR="00537841">
        <w:rPr>
          <w:rFonts w:ascii="Arial" w:hAnsi="Arial" w:cs="Arial"/>
          <w:color w:val="7B7B7B" w:themeColor="accent3" w:themeShade="BF"/>
          <w:sz w:val="22"/>
          <w:szCs w:val="22"/>
        </w:rPr>
        <w:t xml:space="preserve">conducted a study on Chapter V of the EIR Recast and </w:t>
      </w:r>
      <w:r w:rsidRPr="00FC5C87">
        <w:rPr>
          <w:rFonts w:ascii="Arial" w:hAnsi="Arial" w:cs="Arial"/>
          <w:color w:val="7B7B7B" w:themeColor="accent3" w:themeShade="BF"/>
          <w:sz w:val="22"/>
          <w:szCs w:val="22"/>
        </w:rPr>
        <w:t>published a  statement (</w:t>
      </w:r>
      <w:hyperlink r:id="rId17" w:history="1">
        <w:r w:rsidRPr="00FC5C87">
          <w:rPr>
            <w:rStyle w:val="Hyperlink"/>
            <w:rFonts w:ascii="Arial" w:hAnsi="Arial" w:cs="Arial"/>
            <w:b/>
            <w:bCs/>
            <w:sz w:val="22"/>
            <w:szCs w:val="22"/>
          </w:rPr>
          <w:t>CERIL Statement 2021-2 on EU group coordination proceedings</w:t>
        </w:r>
      </w:hyperlink>
      <w:r w:rsidRPr="00FC5C87">
        <w:rPr>
          <w:rFonts w:ascii="Arial" w:hAnsi="Arial" w:cs="Arial"/>
          <w:color w:val="7B7B7B" w:themeColor="accent3" w:themeShade="BF"/>
          <w:sz w:val="22"/>
          <w:szCs w:val="22"/>
        </w:rPr>
        <w:t xml:space="preserve">). They argue that </w:t>
      </w:r>
      <w:r w:rsidR="00537841">
        <w:rPr>
          <w:rFonts w:ascii="Arial" w:hAnsi="Arial" w:cs="Arial"/>
          <w:color w:val="7B7B7B" w:themeColor="accent3" w:themeShade="BF"/>
          <w:sz w:val="22"/>
          <w:szCs w:val="22"/>
        </w:rPr>
        <w:t>the outcome of their study shows that even after 4-5 years after the EIR Recast became binding,</w:t>
      </w:r>
      <w:r w:rsidRPr="00FC5C87">
        <w:rPr>
          <w:rFonts w:ascii="Arial" w:hAnsi="Arial" w:cs="Arial"/>
          <w:color w:val="7B7B7B" w:themeColor="accent3" w:themeShade="BF"/>
          <w:sz w:val="22"/>
          <w:szCs w:val="22"/>
        </w:rPr>
        <w:t xml:space="preserve"> </w:t>
      </w:r>
      <w:r w:rsidR="00537841">
        <w:rPr>
          <w:rFonts w:ascii="Arial" w:hAnsi="Arial" w:cs="Arial"/>
          <w:color w:val="7B7B7B" w:themeColor="accent3" w:themeShade="BF"/>
          <w:sz w:val="22"/>
          <w:szCs w:val="22"/>
        </w:rPr>
        <w:t>“</w:t>
      </w:r>
      <w:r w:rsidRPr="00FC5C87">
        <w:rPr>
          <w:rFonts w:ascii="Arial" w:hAnsi="Arial" w:cs="Arial"/>
          <w:color w:val="7B7B7B" w:themeColor="accent3" w:themeShade="BF"/>
          <w:sz w:val="22"/>
          <w:szCs w:val="22"/>
        </w:rPr>
        <w:t>not a single significant case of a cross-border group insolvency has been handled under the rules on group coordination proceedings</w:t>
      </w:r>
      <w:r w:rsidR="00537841">
        <w:rPr>
          <w:rFonts w:ascii="Arial" w:hAnsi="Arial" w:cs="Arial"/>
          <w:color w:val="7B7B7B" w:themeColor="accent3" w:themeShade="BF"/>
          <w:sz w:val="22"/>
          <w:szCs w:val="22"/>
        </w:rPr>
        <w:t>”</w:t>
      </w:r>
      <w:r w:rsidRPr="00FC5C87">
        <w:rPr>
          <w:rFonts w:ascii="Arial" w:hAnsi="Arial" w:cs="Arial"/>
          <w:color w:val="7B7B7B" w:themeColor="accent3" w:themeShade="BF"/>
          <w:sz w:val="22"/>
          <w:szCs w:val="22"/>
        </w:rPr>
        <w:t>.</w:t>
      </w:r>
      <w:r w:rsidR="00537841">
        <w:rPr>
          <w:rFonts w:ascii="Arial" w:hAnsi="Arial" w:cs="Arial"/>
          <w:color w:val="7B7B7B" w:themeColor="accent3" w:themeShade="BF"/>
          <w:sz w:val="22"/>
          <w:szCs w:val="22"/>
        </w:rPr>
        <w:t xml:space="preserve"> </w:t>
      </w:r>
      <w:r w:rsidRPr="00FC5C87">
        <w:rPr>
          <w:rFonts w:ascii="Arial" w:hAnsi="Arial" w:cs="Arial"/>
          <w:color w:val="7B7B7B" w:themeColor="accent3" w:themeShade="BF"/>
          <w:sz w:val="22"/>
          <w:szCs w:val="22"/>
        </w:rPr>
        <w:t xml:space="preserve">CERIL </w:t>
      </w:r>
      <w:r w:rsidR="00537841">
        <w:rPr>
          <w:rFonts w:ascii="Arial" w:hAnsi="Arial" w:cs="Arial"/>
          <w:color w:val="7B7B7B" w:themeColor="accent3" w:themeShade="BF"/>
          <w:sz w:val="22"/>
          <w:szCs w:val="22"/>
        </w:rPr>
        <w:t xml:space="preserve">claims that specific steps to develop proposals for the modification of the current provisions of the EIR Recast should be taken </w:t>
      </w:r>
      <w:r w:rsidRPr="00FC5C87">
        <w:rPr>
          <w:rFonts w:ascii="Arial" w:hAnsi="Arial" w:cs="Arial"/>
          <w:color w:val="7B7B7B" w:themeColor="accent3" w:themeShade="BF"/>
          <w:sz w:val="22"/>
          <w:szCs w:val="22"/>
        </w:rPr>
        <w:t xml:space="preserve">in order to </w:t>
      </w:r>
      <w:r w:rsidR="00537841">
        <w:rPr>
          <w:rFonts w:ascii="Arial" w:hAnsi="Arial" w:cs="Arial"/>
          <w:color w:val="7B7B7B" w:themeColor="accent3" w:themeShade="BF"/>
          <w:sz w:val="22"/>
          <w:szCs w:val="22"/>
        </w:rPr>
        <w:t>facilitate the full potential of</w:t>
      </w:r>
      <w:r w:rsidRPr="00FC5C87">
        <w:rPr>
          <w:rFonts w:ascii="Arial" w:hAnsi="Arial" w:cs="Arial"/>
          <w:color w:val="7B7B7B" w:themeColor="accent3" w:themeShade="BF"/>
          <w:sz w:val="22"/>
          <w:szCs w:val="22"/>
        </w:rPr>
        <w:t xml:space="preserve"> group coordination proceedings</w:t>
      </w:r>
      <w:r w:rsidR="00537841">
        <w:rPr>
          <w:rFonts w:ascii="Arial" w:hAnsi="Arial" w:cs="Arial"/>
          <w:color w:val="7B7B7B" w:themeColor="accent3" w:themeShade="BF"/>
          <w:sz w:val="22"/>
          <w:szCs w:val="22"/>
        </w:rPr>
        <w:t>.</w:t>
      </w:r>
    </w:p>
    <w:p w14:paraId="435ED62C" w14:textId="2609E9F5" w:rsidR="00DE1A01" w:rsidRDefault="00537841" w:rsidP="00DE1A0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w:t>
      </w:r>
      <w:hyperlink r:id="rId18" w:history="1">
        <w:r w:rsidRPr="00537841">
          <w:rPr>
            <w:rStyle w:val="Hyperlink"/>
            <w:rFonts w:ascii="Arial" w:hAnsi="Arial" w:cs="Arial"/>
            <w:sz w:val="22"/>
            <w:szCs w:val="22"/>
          </w:rPr>
          <w:t>Annex of the CERIL Statement</w:t>
        </w:r>
      </w:hyperlink>
      <w:r>
        <w:rPr>
          <w:rFonts w:ascii="Arial" w:hAnsi="Arial" w:cs="Arial"/>
          <w:color w:val="7B7B7B" w:themeColor="accent3" w:themeShade="BF"/>
          <w:sz w:val="22"/>
          <w:szCs w:val="22"/>
        </w:rPr>
        <w:t>, one of the listed cons is</w:t>
      </w:r>
      <w:r w:rsidR="00BF64DE">
        <w:rPr>
          <w:rFonts w:ascii="Arial" w:hAnsi="Arial" w:cs="Arial"/>
          <w:color w:val="7B7B7B" w:themeColor="accent3" w:themeShade="BF"/>
          <w:sz w:val="22"/>
          <w:szCs w:val="22"/>
        </w:rPr>
        <w:t xml:space="preserve"> the</w:t>
      </w:r>
      <w:r>
        <w:rPr>
          <w:rFonts w:ascii="Arial" w:hAnsi="Arial" w:cs="Arial"/>
          <w:color w:val="7B7B7B" w:themeColor="accent3" w:themeShade="BF"/>
          <w:sz w:val="22"/>
          <w:szCs w:val="22"/>
        </w:rPr>
        <w:t xml:space="preserve"> </w:t>
      </w:r>
      <w:r w:rsidR="00BF64DE">
        <w:rPr>
          <w:rFonts w:ascii="Arial" w:hAnsi="Arial" w:cs="Arial"/>
          <w:b/>
          <w:bCs/>
          <w:color w:val="7B7B7B" w:themeColor="accent3" w:themeShade="BF"/>
          <w:sz w:val="22"/>
          <w:szCs w:val="22"/>
        </w:rPr>
        <w:t xml:space="preserve">lack of </w:t>
      </w:r>
      <w:r w:rsidR="00BF64DE" w:rsidRPr="00537841">
        <w:rPr>
          <w:rFonts w:ascii="Arial" w:hAnsi="Arial" w:cs="Arial"/>
          <w:b/>
          <w:bCs/>
          <w:color w:val="7B7B7B" w:themeColor="accent3" w:themeShade="BF"/>
          <w:sz w:val="22"/>
          <w:szCs w:val="22"/>
        </w:rPr>
        <w:t>power</w:t>
      </w:r>
      <w:r w:rsidR="00BF64DE">
        <w:rPr>
          <w:rFonts w:ascii="Arial" w:hAnsi="Arial" w:cs="Arial"/>
          <w:b/>
          <w:bCs/>
          <w:color w:val="7B7B7B" w:themeColor="accent3" w:themeShade="BF"/>
          <w:sz w:val="22"/>
          <w:szCs w:val="22"/>
        </w:rPr>
        <w:t xml:space="preserve"> of the group coordinator</w:t>
      </w:r>
      <w:r w:rsidR="00BF64DE" w:rsidRPr="00537841">
        <w:rPr>
          <w:rFonts w:ascii="Arial" w:hAnsi="Arial" w:cs="Arial"/>
          <w:color w:val="7B7B7B" w:themeColor="accent3" w:themeShade="BF"/>
          <w:sz w:val="22"/>
          <w:szCs w:val="22"/>
        </w:rPr>
        <w:t>.</w:t>
      </w:r>
      <w:r w:rsidR="00BF64DE">
        <w:rPr>
          <w:rFonts w:ascii="Arial" w:hAnsi="Arial" w:cs="Arial"/>
          <w:b/>
          <w:bCs/>
          <w:color w:val="7B7B7B" w:themeColor="accent3" w:themeShade="BF"/>
          <w:sz w:val="22"/>
          <w:szCs w:val="22"/>
        </w:rPr>
        <w:t xml:space="preserve"> </w:t>
      </w:r>
      <w:r w:rsidR="00BF64DE">
        <w:rPr>
          <w:rFonts w:ascii="Arial" w:hAnsi="Arial" w:cs="Arial"/>
          <w:color w:val="7B7B7B" w:themeColor="accent3" w:themeShade="BF"/>
          <w:sz w:val="22"/>
          <w:szCs w:val="22"/>
        </w:rPr>
        <w:t>T</w:t>
      </w:r>
      <w:r w:rsidR="00BF64DE" w:rsidRPr="00BF64DE">
        <w:rPr>
          <w:rFonts w:ascii="Arial" w:hAnsi="Arial" w:cs="Arial"/>
          <w:color w:val="7B7B7B" w:themeColor="accent3" w:themeShade="BF"/>
          <w:sz w:val="22"/>
          <w:szCs w:val="22"/>
        </w:rPr>
        <w:t>he EIR Recast provides a coordination mechanism named “group coordination proceeding”</w:t>
      </w:r>
      <w:r w:rsidR="00BF64DE">
        <w:rPr>
          <w:rFonts w:ascii="Arial" w:hAnsi="Arial" w:cs="Arial"/>
          <w:color w:val="7B7B7B" w:themeColor="accent3" w:themeShade="BF"/>
          <w:sz w:val="22"/>
          <w:szCs w:val="22"/>
        </w:rPr>
        <w:t xml:space="preserve"> which </w:t>
      </w:r>
      <w:r w:rsidR="00997C7B">
        <w:rPr>
          <w:rFonts w:ascii="Arial" w:hAnsi="Arial" w:cs="Arial"/>
          <w:color w:val="7B7B7B" w:themeColor="accent3" w:themeShade="BF"/>
          <w:sz w:val="22"/>
          <w:szCs w:val="22"/>
        </w:rPr>
        <w:t>is</w:t>
      </w:r>
      <w:r w:rsidR="00BF64DE" w:rsidRPr="00BF64DE">
        <w:rPr>
          <w:rFonts w:ascii="Arial" w:hAnsi="Arial" w:cs="Arial"/>
          <w:color w:val="7B7B7B" w:themeColor="accent3" w:themeShade="BF"/>
          <w:sz w:val="22"/>
          <w:szCs w:val="22"/>
        </w:rPr>
        <w:t xml:space="preserve"> voluntary</w:t>
      </w:r>
      <w:r w:rsidR="00BF64DE">
        <w:rPr>
          <w:rFonts w:ascii="Arial" w:hAnsi="Arial" w:cs="Arial"/>
          <w:color w:val="7B7B7B" w:themeColor="accent3" w:themeShade="BF"/>
          <w:sz w:val="22"/>
          <w:szCs w:val="22"/>
        </w:rPr>
        <w:t>,</w:t>
      </w:r>
      <w:r w:rsidR="00BF64DE" w:rsidRPr="00BF64DE">
        <w:rPr>
          <w:rFonts w:ascii="Arial" w:hAnsi="Arial" w:cs="Arial"/>
          <w:color w:val="7B7B7B" w:themeColor="accent3" w:themeShade="BF"/>
          <w:sz w:val="22"/>
          <w:szCs w:val="22"/>
        </w:rPr>
        <w:t xml:space="preserve"> as members of the group could opt in or out.</w:t>
      </w:r>
      <w:r w:rsidR="00BF64DE" w:rsidRPr="00BF64DE">
        <w:rPr>
          <w:rFonts w:ascii="Arial" w:hAnsi="Arial" w:cs="Arial"/>
          <w:b/>
          <w:bCs/>
          <w:color w:val="7B7B7B" w:themeColor="accent3" w:themeShade="BF"/>
          <w:sz w:val="22"/>
          <w:szCs w:val="22"/>
        </w:rPr>
        <w:t xml:space="preserve"> </w:t>
      </w:r>
      <w:r w:rsidR="00BF64DE">
        <w:rPr>
          <w:rFonts w:ascii="Arial" w:hAnsi="Arial" w:cs="Arial"/>
          <w:color w:val="7B7B7B" w:themeColor="accent3" w:themeShade="BF"/>
          <w:sz w:val="22"/>
          <w:szCs w:val="22"/>
        </w:rPr>
        <w:t>Thus, t</w:t>
      </w:r>
      <w:r w:rsidR="00BF64DE" w:rsidRPr="00537841">
        <w:rPr>
          <w:rFonts w:ascii="Arial" w:hAnsi="Arial" w:cs="Arial"/>
          <w:color w:val="7B7B7B" w:themeColor="accent3" w:themeShade="BF"/>
          <w:sz w:val="22"/>
          <w:szCs w:val="22"/>
        </w:rPr>
        <w:t xml:space="preserve">he EIR </w:t>
      </w:r>
      <w:r w:rsidR="00BF64DE">
        <w:rPr>
          <w:rFonts w:ascii="Arial" w:hAnsi="Arial" w:cs="Arial"/>
          <w:color w:val="7B7B7B" w:themeColor="accent3" w:themeShade="BF"/>
          <w:sz w:val="22"/>
          <w:szCs w:val="22"/>
        </w:rPr>
        <w:t xml:space="preserve">Recast </w:t>
      </w:r>
      <w:r w:rsidR="00BF64DE" w:rsidRPr="00537841">
        <w:rPr>
          <w:rFonts w:ascii="Arial" w:hAnsi="Arial" w:cs="Arial"/>
          <w:color w:val="7B7B7B" w:themeColor="accent3" w:themeShade="BF"/>
          <w:sz w:val="22"/>
          <w:szCs w:val="22"/>
        </w:rPr>
        <w:t>gives all individual insolvency practitioners taking part in the group coordination proceeding the chance to simply opt out, both at the commencement stage and</w:t>
      </w:r>
      <w:r w:rsidR="00BF64DE">
        <w:rPr>
          <w:rFonts w:ascii="Arial" w:hAnsi="Arial" w:cs="Arial"/>
          <w:color w:val="7B7B7B" w:themeColor="accent3" w:themeShade="BF"/>
          <w:sz w:val="22"/>
          <w:szCs w:val="22"/>
        </w:rPr>
        <w:t xml:space="preserve"> during the process itself – for example if they do not like the group proposals made by the group coordinator.</w:t>
      </w:r>
      <w:r w:rsidR="00BC0793">
        <w:rPr>
          <w:rFonts w:ascii="Arial" w:hAnsi="Arial" w:cs="Arial"/>
          <w:color w:val="7B7B7B" w:themeColor="accent3" w:themeShade="BF"/>
          <w:sz w:val="22"/>
          <w:szCs w:val="22"/>
        </w:rPr>
        <w:t xml:space="preserve"> As such, t</w:t>
      </w:r>
      <w:r w:rsidR="00DF08F2" w:rsidRPr="00DF08F2">
        <w:rPr>
          <w:rFonts w:ascii="Arial" w:hAnsi="Arial" w:cs="Arial"/>
          <w:color w:val="7B7B7B" w:themeColor="accent3" w:themeShade="BF"/>
          <w:sz w:val="22"/>
          <w:szCs w:val="22"/>
        </w:rPr>
        <w:t>he voluntary nature of group coordination proceedings (</w:t>
      </w:r>
      <w:r w:rsidR="000A2097">
        <w:rPr>
          <w:rFonts w:ascii="Arial" w:hAnsi="Arial" w:cs="Arial"/>
          <w:color w:val="7B7B7B" w:themeColor="accent3" w:themeShade="BF"/>
          <w:sz w:val="22"/>
          <w:szCs w:val="22"/>
        </w:rPr>
        <w:t xml:space="preserve">see </w:t>
      </w:r>
      <w:r w:rsidR="000A2097">
        <w:rPr>
          <w:rFonts w:ascii="Arial" w:hAnsi="Arial" w:cs="Arial"/>
          <w:b/>
          <w:bCs/>
          <w:color w:val="7B7B7B" w:themeColor="accent3" w:themeShade="BF"/>
          <w:sz w:val="22"/>
          <w:szCs w:val="22"/>
        </w:rPr>
        <w:t>R</w:t>
      </w:r>
      <w:r w:rsidR="00DF08F2" w:rsidRPr="000A2097">
        <w:rPr>
          <w:rFonts w:ascii="Arial" w:hAnsi="Arial" w:cs="Arial"/>
          <w:b/>
          <w:bCs/>
          <w:color w:val="7B7B7B" w:themeColor="accent3" w:themeShade="BF"/>
          <w:sz w:val="22"/>
          <w:szCs w:val="22"/>
        </w:rPr>
        <w:t>ecital 56</w:t>
      </w:r>
      <w:r w:rsidR="000A2097">
        <w:rPr>
          <w:rFonts w:ascii="Arial" w:hAnsi="Arial" w:cs="Arial"/>
          <w:color w:val="7B7B7B" w:themeColor="accent3" w:themeShade="BF"/>
          <w:sz w:val="22"/>
          <w:szCs w:val="22"/>
        </w:rPr>
        <w:t xml:space="preserve"> of the EIR Recast</w:t>
      </w:r>
      <w:r w:rsidR="00DF08F2" w:rsidRPr="00DF08F2">
        <w:rPr>
          <w:rFonts w:ascii="Arial" w:hAnsi="Arial" w:cs="Arial"/>
          <w:color w:val="7B7B7B" w:themeColor="accent3" w:themeShade="BF"/>
          <w:sz w:val="22"/>
          <w:szCs w:val="22"/>
        </w:rPr>
        <w:t>) and the possibility of an easy opt-out without explanation or good cause (</w:t>
      </w:r>
      <w:r w:rsidR="000A2097">
        <w:rPr>
          <w:rFonts w:ascii="Arial" w:hAnsi="Arial" w:cs="Arial"/>
          <w:b/>
          <w:bCs/>
          <w:color w:val="7B7B7B" w:themeColor="accent3" w:themeShade="BF"/>
          <w:sz w:val="22"/>
          <w:szCs w:val="22"/>
        </w:rPr>
        <w:t xml:space="preserve">Article 64 </w:t>
      </w:r>
      <w:r w:rsidR="000A2097">
        <w:rPr>
          <w:rFonts w:ascii="Arial" w:hAnsi="Arial" w:cs="Arial"/>
          <w:color w:val="7B7B7B" w:themeColor="accent3" w:themeShade="BF"/>
          <w:sz w:val="22"/>
          <w:szCs w:val="22"/>
        </w:rPr>
        <w:t>of the EIR Recast)</w:t>
      </w:r>
      <w:r w:rsidR="00DF08F2" w:rsidRPr="00DF08F2">
        <w:rPr>
          <w:rFonts w:ascii="Arial" w:hAnsi="Arial" w:cs="Arial"/>
          <w:color w:val="7B7B7B" w:themeColor="accent3" w:themeShade="BF"/>
          <w:sz w:val="22"/>
          <w:szCs w:val="22"/>
        </w:rPr>
        <w:t xml:space="preserve"> make the group coordination proceedings</w:t>
      </w:r>
      <w:r w:rsidR="000A2097">
        <w:rPr>
          <w:rFonts w:ascii="Arial" w:hAnsi="Arial" w:cs="Arial"/>
          <w:color w:val="7B7B7B" w:themeColor="accent3" w:themeShade="BF"/>
          <w:sz w:val="22"/>
          <w:szCs w:val="22"/>
        </w:rPr>
        <w:t xml:space="preserve"> rather powerless</w:t>
      </w:r>
      <w:r w:rsidR="00DF08F2" w:rsidRPr="00DF08F2">
        <w:rPr>
          <w:rFonts w:ascii="Arial" w:hAnsi="Arial" w:cs="Arial"/>
          <w:color w:val="7B7B7B" w:themeColor="accent3" w:themeShade="BF"/>
          <w:sz w:val="22"/>
          <w:szCs w:val="22"/>
        </w:rPr>
        <w:t xml:space="preserve">. </w:t>
      </w:r>
    </w:p>
    <w:p w14:paraId="2A9E6C26" w14:textId="2C657AFF" w:rsidR="00053913" w:rsidRDefault="00DE1A01" w:rsidP="00DF08F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Another issue is </w:t>
      </w:r>
      <w:r w:rsidR="00537841">
        <w:rPr>
          <w:rFonts w:ascii="Arial" w:hAnsi="Arial" w:cs="Arial"/>
          <w:color w:val="7B7B7B" w:themeColor="accent3" w:themeShade="BF"/>
          <w:sz w:val="22"/>
          <w:szCs w:val="22"/>
        </w:rPr>
        <w:t xml:space="preserve">the fact that the </w:t>
      </w:r>
      <w:r w:rsidR="00537841" w:rsidRPr="00537841">
        <w:rPr>
          <w:rFonts w:ascii="Arial" w:hAnsi="Arial" w:cs="Arial"/>
          <w:color w:val="7B7B7B" w:themeColor="accent3" w:themeShade="BF"/>
          <w:sz w:val="22"/>
          <w:szCs w:val="22"/>
        </w:rPr>
        <w:t xml:space="preserve">EIR </w:t>
      </w:r>
      <w:r w:rsidR="00537841" w:rsidRPr="00537841">
        <w:rPr>
          <w:rFonts w:ascii="Arial" w:hAnsi="Arial" w:cs="Arial"/>
          <w:b/>
          <w:bCs/>
          <w:color w:val="7B7B7B" w:themeColor="accent3" w:themeShade="BF"/>
          <w:sz w:val="22"/>
          <w:szCs w:val="22"/>
        </w:rPr>
        <w:t>does not sanction</w:t>
      </w:r>
      <w:r w:rsidR="00537841">
        <w:rPr>
          <w:rFonts w:ascii="Arial" w:hAnsi="Arial" w:cs="Arial"/>
          <w:color w:val="7B7B7B" w:themeColor="accent3" w:themeShade="BF"/>
          <w:sz w:val="22"/>
          <w:szCs w:val="22"/>
        </w:rPr>
        <w:t xml:space="preserve"> in cases</w:t>
      </w:r>
      <w:r w:rsidR="00537841" w:rsidRPr="00537841">
        <w:rPr>
          <w:rFonts w:ascii="Arial" w:hAnsi="Arial" w:cs="Arial"/>
          <w:color w:val="7B7B7B" w:themeColor="accent3" w:themeShade="BF"/>
          <w:sz w:val="22"/>
          <w:szCs w:val="22"/>
        </w:rPr>
        <w:t xml:space="preserve"> </w:t>
      </w:r>
      <w:r w:rsidR="00537841">
        <w:rPr>
          <w:rFonts w:ascii="Arial" w:hAnsi="Arial" w:cs="Arial"/>
          <w:color w:val="7B7B7B" w:themeColor="accent3" w:themeShade="BF"/>
          <w:sz w:val="22"/>
          <w:szCs w:val="22"/>
        </w:rPr>
        <w:t>when</w:t>
      </w:r>
      <w:r w:rsidR="00537841" w:rsidRPr="00537841">
        <w:rPr>
          <w:rFonts w:ascii="Arial" w:hAnsi="Arial" w:cs="Arial"/>
          <w:color w:val="7B7B7B" w:themeColor="accent3" w:themeShade="BF"/>
          <w:sz w:val="22"/>
          <w:szCs w:val="22"/>
        </w:rPr>
        <w:t xml:space="preserve"> proposals from the group coordinator are disregarded</w:t>
      </w:r>
      <w:r w:rsidR="00537841">
        <w:rPr>
          <w:rFonts w:ascii="Arial" w:hAnsi="Arial" w:cs="Arial"/>
          <w:color w:val="7B7B7B" w:themeColor="accent3" w:themeShade="BF"/>
          <w:sz w:val="22"/>
          <w:szCs w:val="22"/>
        </w:rPr>
        <w:t xml:space="preserve"> or breached</w:t>
      </w:r>
      <w:r w:rsidR="00537841" w:rsidRPr="00537841">
        <w:rPr>
          <w:rFonts w:ascii="Arial" w:hAnsi="Arial" w:cs="Arial"/>
          <w:color w:val="7B7B7B" w:themeColor="accent3" w:themeShade="BF"/>
          <w:sz w:val="22"/>
          <w:szCs w:val="22"/>
        </w:rPr>
        <w:t>.</w:t>
      </w:r>
      <w:r w:rsidR="00BF64DE">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The group coordination</w:t>
      </w:r>
      <w:r w:rsidRPr="00BF64DE">
        <w:rPr>
          <w:rFonts w:ascii="Arial" w:hAnsi="Arial" w:cs="Arial"/>
          <w:color w:val="7B7B7B" w:themeColor="accent3" w:themeShade="BF"/>
          <w:sz w:val="22"/>
          <w:szCs w:val="22"/>
        </w:rPr>
        <w:t xml:space="preserve"> proceedings result in non-binding recommendations of a group coordinator. Instead of sanctioning substantive, procedural, or jurisdictional consolidation</w:t>
      </w:r>
      <w:r>
        <w:rPr>
          <w:rFonts w:ascii="Arial" w:hAnsi="Arial" w:cs="Arial"/>
          <w:color w:val="7B7B7B" w:themeColor="accent3" w:themeShade="BF"/>
          <w:sz w:val="22"/>
          <w:szCs w:val="22"/>
        </w:rPr>
        <w:t>, t</w:t>
      </w:r>
      <w:r w:rsidRPr="00537841">
        <w:rPr>
          <w:rFonts w:ascii="Arial" w:hAnsi="Arial" w:cs="Arial"/>
          <w:color w:val="7B7B7B" w:themeColor="accent3" w:themeShade="BF"/>
          <w:sz w:val="22"/>
          <w:szCs w:val="22"/>
        </w:rPr>
        <w:t>he</w:t>
      </w:r>
      <w:r>
        <w:rPr>
          <w:rFonts w:ascii="Arial" w:hAnsi="Arial" w:cs="Arial"/>
          <w:color w:val="7B7B7B" w:themeColor="accent3" w:themeShade="BF"/>
          <w:sz w:val="22"/>
          <w:szCs w:val="22"/>
        </w:rPr>
        <w:t xml:space="preserve"> sole obligation</w:t>
      </w:r>
      <w:r w:rsidRPr="00537841">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“imposed” </w:t>
      </w:r>
      <w:r w:rsidR="00196AF2">
        <w:rPr>
          <w:rFonts w:ascii="Arial" w:hAnsi="Arial" w:cs="Arial"/>
          <w:color w:val="7B7B7B" w:themeColor="accent3" w:themeShade="BF"/>
          <w:sz w:val="22"/>
          <w:szCs w:val="22"/>
        </w:rPr>
        <w:t xml:space="preserve">by the EIR Recast </w:t>
      </w:r>
      <w:r>
        <w:rPr>
          <w:rFonts w:ascii="Arial" w:hAnsi="Arial" w:cs="Arial"/>
          <w:color w:val="7B7B7B" w:themeColor="accent3" w:themeShade="BF"/>
          <w:sz w:val="22"/>
          <w:szCs w:val="22"/>
        </w:rPr>
        <w:t>on</w:t>
      </w:r>
      <w:r w:rsidRPr="00537841">
        <w:rPr>
          <w:rFonts w:ascii="Arial" w:hAnsi="Arial" w:cs="Arial"/>
          <w:color w:val="7B7B7B" w:themeColor="accent3" w:themeShade="BF"/>
          <w:sz w:val="22"/>
          <w:szCs w:val="22"/>
        </w:rPr>
        <w:t xml:space="preserve"> insolvency practitioners is to </w:t>
      </w:r>
      <w:r>
        <w:rPr>
          <w:rFonts w:ascii="Arial" w:hAnsi="Arial" w:cs="Arial"/>
          <w:color w:val="7B7B7B" w:themeColor="accent3" w:themeShade="BF"/>
          <w:sz w:val="22"/>
          <w:szCs w:val="22"/>
        </w:rPr>
        <w:t>state</w:t>
      </w:r>
      <w:r w:rsidRPr="00537841">
        <w:rPr>
          <w:rFonts w:ascii="Arial" w:hAnsi="Arial" w:cs="Arial"/>
          <w:color w:val="7B7B7B" w:themeColor="accent3" w:themeShade="BF"/>
          <w:sz w:val="22"/>
          <w:szCs w:val="22"/>
        </w:rPr>
        <w:t xml:space="preserve"> reasons </w:t>
      </w:r>
      <w:r>
        <w:rPr>
          <w:rFonts w:ascii="Arial" w:hAnsi="Arial" w:cs="Arial"/>
          <w:color w:val="7B7B7B" w:themeColor="accent3" w:themeShade="BF"/>
          <w:sz w:val="22"/>
          <w:szCs w:val="22"/>
        </w:rPr>
        <w:t>why</w:t>
      </w:r>
      <w:r w:rsidRPr="00537841">
        <w:rPr>
          <w:rFonts w:ascii="Arial" w:hAnsi="Arial" w:cs="Arial"/>
          <w:color w:val="7B7B7B" w:themeColor="accent3" w:themeShade="BF"/>
          <w:sz w:val="22"/>
          <w:szCs w:val="22"/>
        </w:rPr>
        <w:t xml:space="preserve"> they do</w:t>
      </w:r>
      <w:r>
        <w:rPr>
          <w:rFonts w:ascii="Arial" w:hAnsi="Arial" w:cs="Arial"/>
          <w:color w:val="7B7B7B" w:themeColor="accent3" w:themeShade="BF"/>
          <w:sz w:val="22"/>
          <w:szCs w:val="22"/>
        </w:rPr>
        <w:t xml:space="preserve"> or will</w:t>
      </w:r>
      <w:r w:rsidRPr="00537841">
        <w:rPr>
          <w:rFonts w:ascii="Arial" w:hAnsi="Arial" w:cs="Arial"/>
          <w:color w:val="7B7B7B" w:themeColor="accent3" w:themeShade="BF"/>
          <w:sz w:val="22"/>
          <w:szCs w:val="22"/>
        </w:rPr>
        <w:t xml:space="preserve"> not follow the coordinator’s recommendations</w:t>
      </w:r>
      <w:r>
        <w:rPr>
          <w:rFonts w:ascii="Arial" w:hAnsi="Arial" w:cs="Arial"/>
          <w:color w:val="7B7B7B" w:themeColor="accent3" w:themeShade="BF"/>
          <w:sz w:val="22"/>
          <w:szCs w:val="22"/>
        </w:rPr>
        <w:t xml:space="preserve">. </w:t>
      </w:r>
      <w:r w:rsidR="0076373D">
        <w:rPr>
          <w:rFonts w:ascii="Arial" w:hAnsi="Arial" w:cs="Arial"/>
          <w:color w:val="7B7B7B" w:themeColor="accent3" w:themeShade="BF"/>
          <w:sz w:val="22"/>
          <w:szCs w:val="22"/>
        </w:rPr>
        <w:t xml:space="preserve">A successful outcome necessitates the </w:t>
      </w:r>
      <w:r w:rsidR="0076373D" w:rsidRPr="0076373D">
        <w:rPr>
          <w:rFonts w:ascii="Arial" w:hAnsi="Arial" w:cs="Arial"/>
          <w:color w:val="7B7B7B" w:themeColor="accent3" w:themeShade="BF"/>
          <w:sz w:val="22"/>
          <w:szCs w:val="22"/>
        </w:rPr>
        <w:t>willingness for cooperation from the majority of participants in the individual proceedings.</w:t>
      </w:r>
      <w:r w:rsidR="0076373D">
        <w:rPr>
          <w:rFonts w:ascii="Arial" w:hAnsi="Arial" w:cs="Arial"/>
          <w:color w:val="7B7B7B" w:themeColor="accent3" w:themeShade="BF"/>
          <w:sz w:val="22"/>
          <w:szCs w:val="22"/>
        </w:rPr>
        <w:t xml:space="preserve"> </w:t>
      </w:r>
      <w:r w:rsidR="00A92460">
        <w:rPr>
          <w:rFonts w:ascii="Arial" w:hAnsi="Arial" w:cs="Arial"/>
          <w:color w:val="7B7B7B" w:themeColor="accent3" w:themeShade="BF"/>
          <w:sz w:val="22"/>
          <w:szCs w:val="22"/>
        </w:rPr>
        <w:t>Hence,</w:t>
      </w:r>
      <w:r w:rsidR="00A92460" w:rsidRPr="00A92460">
        <w:rPr>
          <w:rFonts w:ascii="Arial" w:hAnsi="Arial" w:cs="Arial"/>
          <w:color w:val="7B7B7B" w:themeColor="accent3" w:themeShade="BF"/>
          <w:sz w:val="22"/>
          <w:szCs w:val="22"/>
        </w:rPr>
        <w:t xml:space="preserve"> even if </w:t>
      </w:r>
      <w:r w:rsidR="00A92460">
        <w:rPr>
          <w:rFonts w:ascii="Arial" w:hAnsi="Arial" w:cs="Arial"/>
          <w:color w:val="7B7B7B" w:themeColor="accent3" w:themeShade="BF"/>
          <w:sz w:val="22"/>
          <w:szCs w:val="22"/>
        </w:rPr>
        <w:t>the</w:t>
      </w:r>
      <w:r w:rsidR="00A92460" w:rsidRPr="00A92460">
        <w:rPr>
          <w:rFonts w:ascii="Arial" w:hAnsi="Arial" w:cs="Arial"/>
          <w:color w:val="7B7B7B" w:themeColor="accent3" w:themeShade="BF"/>
          <w:sz w:val="22"/>
          <w:szCs w:val="22"/>
        </w:rPr>
        <w:t xml:space="preserve"> proceedings have been </w:t>
      </w:r>
      <w:r w:rsidR="00A92460">
        <w:rPr>
          <w:rFonts w:ascii="Arial" w:hAnsi="Arial" w:cs="Arial"/>
          <w:color w:val="7B7B7B" w:themeColor="accent3" w:themeShade="BF"/>
          <w:sz w:val="22"/>
          <w:szCs w:val="22"/>
        </w:rPr>
        <w:t>commenced,</w:t>
      </w:r>
      <w:r w:rsidR="00A92460" w:rsidRPr="00A92460">
        <w:rPr>
          <w:rFonts w:ascii="Arial" w:hAnsi="Arial" w:cs="Arial"/>
          <w:color w:val="7B7B7B" w:themeColor="accent3" w:themeShade="BF"/>
          <w:sz w:val="22"/>
          <w:szCs w:val="22"/>
        </w:rPr>
        <w:t xml:space="preserve"> the creditors and insolvency practitioners are not obliged to follow the coordinator’s recommendations or the group coordination plan in whole or in part</w:t>
      </w:r>
      <w:r w:rsidR="00A92460">
        <w:rPr>
          <w:rFonts w:ascii="Arial" w:hAnsi="Arial" w:cs="Arial"/>
          <w:color w:val="7B7B7B" w:themeColor="accent3" w:themeShade="BF"/>
          <w:sz w:val="22"/>
          <w:szCs w:val="22"/>
        </w:rPr>
        <w:t xml:space="preserve"> </w:t>
      </w:r>
      <w:r w:rsidR="00A92460" w:rsidRPr="00A92460">
        <w:rPr>
          <w:rFonts w:ascii="Arial" w:hAnsi="Arial" w:cs="Arial"/>
          <w:color w:val="7B7B7B" w:themeColor="accent3" w:themeShade="BF"/>
          <w:sz w:val="22"/>
          <w:szCs w:val="22"/>
        </w:rPr>
        <w:t>(</w:t>
      </w:r>
      <w:r w:rsidR="00A92460">
        <w:rPr>
          <w:rFonts w:ascii="Arial" w:hAnsi="Arial" w:cs="Arial"/>
          <w:b/>
          <w:bCs/>
          <w:color w:val="7B7B7B" w:themeColor="accent3" w:themeShade="BF"/>
          <w:sz w:val="22"/>
          <w:szCs w:val="22"/>
        </w:rPr>
        <w:t xml:space="preserve">Article 70 </w:t>
      </w:r>
      <w:r w:rsidR="00A92460">
        <w:rPr>
          <w:rFonts w:ascii="Arial" w:hAnsi="Arial" w:cs="Arial"/>
          <w:color w:val="7B7B7B" w:themeColor="accent3" w:themeShade="BF"/>
          <w:sz w:val="22"/>
          <w:szCs w:val="22"/>
        </w:rPr>
        <w:t>of the EIR Recast</w:t>
      </w:r>
      <w:r w:rsidR="00997C7B">
        <w:rPr>
          <w:rFonts w:ascii="Arial" w:hAnsi="Arial" w:cs="Arial"/>
          <w:color w:val="7B7B7B" w:themeColor="accent3" w:themeShade="BF"/>
          <w:sz w:val="22"/>
          <w:szCs w:val="22"/>
        </w:rPr>
        <w:t>)</w:t>
      </w:r>
      <w:r w:rsidR="00A92460" w:rsidRPr="00A92460">
        <w:rPr>
          <w:rFonts w:ascii="Arial" w:hAnsi="Arial" w:cs="Arial"/>
          <w:color w:val="7B7B7B" w:themeColor="accent3" w:themeShade="BF"/>
          <w:sz w:val="22"/>
          <w:szCs w:val="22"/>
        </w:rPr>
        <w:t>.</w:t>
      </w:r>
      <w:r w:rsidR="00A92460">
        <w:rPr>
          <w:rFonts w:ascii="Arial" w:hAnsi="Arial" w:cs="Arial"/>
          <w:color w:val="7B7B7B" w:themeColor="accent3" w:themeShade="BF"/>
          <w:sz w:val="22"/>
          <w:szCs w:val="22"/>
        </w:rPr>
        <w:t xml:space="preserve"> </w:t>
      </w:r>
    </w:p>
    <w:p w14:paraId="3FB4DA38" w14:textId="017FB336" w:rsidR="00131D24" w:rsidRDefault="00A92460" w:rsidP="00DF08F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Moreover</w:t>
      </w:r>
      <w:r w:rsidR="0076373D">
        <w:rPr>
          <w:rFonts w:ascii="Arial" w:hAnsi="Arial" w:cs="Arial"/>
          <w:color w:val="7B7B7B" w:themeColor="accent3" w:themeShade="BF"/>
          <w:sz w:val="22"/>
          <w:szCs w:val="22"/>
        </w:rPr>
        <w:t>, even c</w:t>
      </w:r>
      <w:r w:rsidR="0076373D" w:rsidRPr="0076373D">
        <w:rPr>
          <w:rFonts w:ascii="Arial" w:hAnsi="Arial" w:cs="Arial"/>
          <w:color w:val="7B7B7B" w:themeColor="accent3" w:themeShade="BF"/>
          <w:sz w:val="22"/>
          <w:szCs w:val="22"/>
        </w:rPr>
        <w:t xml:space="preserve">reditors with a minor role but still enough voting power </w:t>
      </w:r>
      <w:r w:rsidR="0076373D">
        <w:rPr>
          <w:rFonts w:ascii="Arial" w:hAnsi="Arial" w:cs="Arial"/>
          <w:color w:val="7B7B7B" w:themeColor="accent3" w:themeShade="BF"/>
          <w:sz w:val="22"/>
          <w:szCs w:val="22"/>
        </w:rPr>
        <w:t xml:space="preserve">could </w:t>
      </w:r>
      <w:r w:rsidR="0076373D" w:rsidRPr="0076373D">
        <w:rPr>
          <w:rFonts w:ascii="Arial" w:hAnsi="Arial" w:cs="Arial"/>
          <w:color w:val="7B7B7B" w:themeColor="accent3" w:themeShade="BF"/>
          <w:sz w:val="22"/>
          <w:szCs w:val="22"/>
        </w:rPr>
        <w:t>block the implementation</w:t>
      </w:r>
      <w:r w:rsidR="0076373D">
        <w:rPr>
          <w:rFonts w:ascii="Arial" w:hAnsi="Arial" w:cs="Arial"/>
          <w:color w:val="7B7B7B" w:themeColor="accent3" w:themeShade="BF"/>
          <w:sz w:val="22"/>
          <w:szCs w:val="22"/>
        </w:rPr>
        <w:t xml:space="preserve"> of the outcome</w:t>
      </w:r>
      <w:r w:rsidR="00997C7B">
        <w:rPr>
          <w:rFonts w:ascii="Arial" w:hAnsi="Arial" w:cs="Arial"/>
          <w:color w:val="7B7B7B" w:themeColor="accent3" w:themeShade="BF"/>
          <w:sz w:val="22"/>
          <w:szCs w:val="22"/>
        </w:rPr>
        <w:t>,</w:t>
      </w:r>
      <w:r w:rsidR="0076373D">
        <w:rPr>
          <w:rFonts w:ascii="Arial" w:hAnsi="Arial" w:cs="Arial"/>
          <w:color w:val="7B7B7B" w:themeColor="accent3" w:themeShade="BF"/>
          <w:sz w:val="22"/>
          <w:szCs w:val="22"/>
        </w:rPr>
        <w:t xml:space="preserve"> resulting in </w:t>
      </w:r>
      <w:r w:rsidR="0076373D" w:rsidRPr="0076373D">
        <w:rPr>
          <w:rFonts w:ascii="Arial" w:hAnsi="Arial" w:cs="Arial"/>
          <w:color w:val="7B7B7B" w:themeColor="accent3" w:themeShade="BF"/>
          <w:sz w:val="22"/>
          <w:szCs w:val="22"/>
        </w:rPr>
        <w:t xml:space="preserve">the group proceedings </w:t>
      </w:r>
      <w:r w:rsidR="00997C7B">
        <w:rPr>
          <w:rFonts w:ascii="Arial" w:hAnsi="Arial" w:cs="Arial"/>
          <w:color w:val="7B7B7B" w:themeColor="accent3" w:themeShade="BF"/>
          <w:sz w:val="22"/>
          <w:szCs w:val="22"/>
        </w:rPr>
        <w:t xml:space="preserve">to </w:t>
      </w:r>
      <w:r w:rsidR="0076373D" w:rsidRPr="0076373D">
        <w:rPr>
          <w:rFonts w:ascii="Arial" w:hAnsi="Arial" w:cs="Arial"/>
          <w:color w:val="7B7B7B" w:themeColor="accent3" w:themeShade="BF"/>
          <w:sz w:val="22"/>
          <w:szCs w:val="22"/>
        </w:rPr>
        <w:t>hav</w:t>
      </w:r>
      <w:r w:rsidR="00997C7B">
        <w:rPr>
          <w:rFonts w:ascii="Arial" w:hAnsi="Arial" w:cs="Arial"/>
          <w:color w:val="7B7B7B" w:themeColor="accent3" w:themeShade="BF"/>
          <w:sz w:val="22"/>
          <w:szCs w:val="22"/>
        </w:rPr>
        <w:t>e</w:t>
      </w:r>
      <w:r w:rsidR="0076373D">
        <w:rPr>
          <w:rFonts w:ascii="Arial" w:hAnsi="Arial" w:cs="Arial"/>
          <w:color w:val="7B7B7B" w:themeColor="accent3" w:themeShade="BF"/>
          <w:sz w:val="22"/>
          <w:szCs w:val="22"/>
        </w:rPr>
        <w:t xml:space="preserve"> no </w:t>
      </w:r>
      <w:r w:rsidR="0076373D" w:rsidRPr="0076373D">
        <w:rPr>
          <w:rFonts w:ascii="Arial" w:hAnsi="Arial" w:cs="Arial"/>
          <w:color w:val="7B7B7B" w:themeColor="accent3" w:themeShade="BF"/>
          <w:sz w:val="22"/>
          <w:szCs w:val="22"/>
        </w:rPr>
        <w:t>effect</w:t>
      </w:r>
      <w:r w:rsidR="0076373D">
        <w:rPr>
          <w:rFonts w:ascii="Arial" w:hAnsi="Arial" w:cs="Arial"/>
          <w:color w:val="7B7B7B" w:themeColor="accent3" w:themeShade="BF"/>
          <w:sz w:val="22"/>
          <w:szCs w:val="22"/>
        </w:rPr>
        <w:t xml:space="preserve"> or </w:t>
      </w:r>
      <w:r w:rsidR="00997C7B">
        <w:rPr>
          <w:rFonts w:ascii="Arial" w:hAnsi="Arial" w:cs="Arial"/>
          <w:color w:val="7B7B7B" w:themeColor="accent3" w:themeShade="BF"/>
          <w:sz w:val="22"/>
          <w:szCs w:val="22"/>
        </w:rPr>
        <w:t xml:space="preserve">to </w:t>
      </w:r>
      <w:r w:rsidR="0076373D">
        <w:rPr>
          <w:rFonts w:ascii="Arial" w:hAnsi="Arial" w:cs="Arial"/>
          <w:color w:val="7B7B7B" w:themeColor="accent3" w:themeShade="BF"/>
          <w:sz w:val="22"/>
          <w:szCs w:val="22"/>
        </w:rPr>
        <w:t>lack any force.</w:t>
      </w:r>
      <w:r w:rsidR="006521E3">
        <w:rPr>
          <w:rFonts w:ascii="Arial" w:hAnsi="Arial" w:cs="Arial"/>
          <w:color w:val="7B7B7B" w:themeColor="accent3" w:themeShade="BF"/>
          <w:sz w:val="22"/>
          <w:szCs w:val="22"/>
        </w:rPr>
        <w:t xml:space="preserve"> </w:t>
      </w:r>
      <w:r w:rsidR="00DF08F2" w:rsidRPr="00505617">
        <w:rPr>
          <w:rFonts w:ascii="Arial" w:hAnsi="Arial" w:cs="Arial"/>
          <w:color w:val="7B7B7B" w:themeColor="accent3" w:themeShade="BF"/>
          <w:sz w:val="22"/>
          <w:szCs w:val="22"/>
        </w:rPr>
        <w:t>In each proceeding</w:t>
      </w:r>
      <w:r w:rsidR="00DF08F2" w:rsidRPr="00DF08F2">
        <w:rPr>
          <w:rFonts w:ascii="Arial" w:hAnsi="Arial" w:cs="Arial"/>
          <w:color w:val="7B7B7B" w:themeColor="accent3" w:themeShade="BF"/>
          <w:sz w:val="22"/>
          <w:szCs w:val="22"/>
        </w:rPr>
        <w:t>,</w:t>
      </w:r>
      <w:r w:rsidR="00DF08F2" w:rsidRPr="00505617">
        <w:rPr>
          <w:rFonts w:ascii="Arial" w:hAnsi="Arial" w:cs="Arial"/>
          <w:color w:val="7B7B7B" w:themeColor="accent3" w:themeShade="BF"/>
          <w:sz w:val="22"/>
          <w:szCs w:val="22"/>
        </w:rPr>
        <w:t xml:space="preserve"> creditors </w:t>
      </w:r>
      <w:r w:rsidR="00DF08F2" w:rsidRPr="00DF08F2">
        <w:rPr>
          <w:rFonts w:ascii="Arial" w:hAnsi="Arial" w:cs="Arial"/>
          <w:color w:val="7B7B7B" w:themeColor="accent3" w:themeShade="BF"/>
          <w:sz w:val="22"/>
          <w:szCs w:val="22"/>
        </w:rPr>
        <w:t>and</w:t>
      </w:r>
      <w:r w:rsidR="00DF08F2" w:rsidRPr="00505617">
        <w:rPr>
          <w:rFonts w:ascii="Arial" w:hAnsi="Arial" w:cs="Arial"/>
          <w:color w:val="7B7B7B" w:themeColor="accent3" w:themeShade="BF"/>
          <w:sz w:val="22"/>
          <w:szCs w:val="22"/>
        </w:rPr>
        <w:t xml:space="preserve"> experienced insolvency practitioners with </w:t>
      </w:r>
      <w:r w:rsidR="00DF08F2" w:rsidRPr="00DF08F2">
        <w:rPr>
          <w:rFonts w:ascii="Arial" w:hAnsi="Arial" w:cs="Arial"/>
          <w:color w:val="7B7B7B" w:themeColor="accent3" w:themeShade="BF"/>
          <w:sz w:val="22"/>
          <w:szCs w:val="22"/>
        </w:rPr>
        <w:t>their own</w:t>
      </w:r>
      <w:r w:rsidR="00DF08F2" w:rsidRPr="00505617">
        <w:rPr>
          <w:rFonts w:ascii="Arial" w:hAnsi="Arial" w:cs="Arial"/>
          <w:color w:val="7B7B7B" w:themeColor="accent3" w:themeShade="BF"/>
          <w:sz w:val="22"/>
          <w:szCs w:val="22"/>
        </w:rPr>
        <w:t xml:space="preserve"> mindsets and strategies are involved. Therefore, proposals of a third person</w:t>
      </w:r>
      <w:r w:rsidR="00DF08F2" w:rsidRPr="00DF08F2">
        <w:rPr>
          <w:rFonts w:ascii="Arial" w:hAnsi="Arial" w:cs="Arial"/>
          <w:color w:val="7B7B7B" w:themeColor="accent3" w:themeShade="BF"/>
          <w:sz w:val="22"/>
          <w:szCs w:val="22"/>
        </w:rPr>
        <w:t>, namely the group coordinator,</w:t>
      </w:r>
      <w:r w:rsidR="00DF08F2" w:rsidRPr="00505617">
        <w:rPr>
          <w:rFonts w:ascii="Arial" w:hAnsi="Arial" w:cs="Arial"/>
          <w:color w:val="7B7B7B" w:themeColor="accent3" w:themeShade="BF"/>
          <w:sz w:val="22"/>
          <w:szCs w:val="22"/>
        </w:rPr>
        <w:t xml:space="preserve"> without an </w:t>
      </w:r>
      <w:r w:rsidR="00997C7B">
        <w:rPr>
          <w:rFonts w:ascii="Arial" w:hAnsi="Arial" w:cs="Arial"/>
          <w:color w:val="7B7B7B" w:themeColor="accent3" w:themeShade="BF"/>
          <w:sz w:val="22"/>
          <w:szCs w:val="22"/>
        </w:rPr>
        <w:t>assertive power</w:t>
      </w:r>
      <w:r w:rsidR="00DF08F2" w:rsidRPr="00505617">
        <w:rPr>
          <w:rFonts w:ascii="Arial" w:hAnsi="Arial" w:cs="Arial"/>
          <w:color w:val="7B7B7B" w:themeColor="accent3" w:themeShade="BF"/>
          <w:sz w:val="22"/>
          <w:szCs w:val="22"/>
        </w:rPr>
        <w:t xml:space="preserve"> </w:t>
      </w:r>
      <w:r w:rsidR="00DF08F2" w:rsidRPr="00DF08F2">
        <w:rPr>
          <w:rFonts w:ascii="Arial" w:hAnsi="Arial" w:cs="Arial"/>
          <w:color w:val="7B7B7B" w:themeColor="accent3" w:themeShade="BF"/>
          <w:sz w:val="22"/>
          <w:szCs w:val="22"/>
        </w:rPr>
        <w:t>is unlikely to</w:t>
      </w:r>
      <w:r w:rsidR="00DF08F2" w:rsidRPr="00505617">
        <w:rPr>
          <w:rFonts w:ascii="Arial" w:hAnsi="Arial" w:cs="Arial"/>
          <w:color w:val="7B7B7B" w:themeColor="accent3" w:themeShade="BF"/>
          <w:sz w:val="22"/>
          <w:szCs w:val="22"/>
        </w:rPr>
        <w:t xml:space="preserve"> have much effec</w:t>
      </w:r>
      <w:r w:rsidR="00DF08F2" w:rsidRPr="00DF08F2">
        <w:rPr>
          <w:rFonts w:ascii="Arial" w:hAnsi="Arial" w:cs="Arial"/>
          <w:color w:val="7B7B7B" w:themeColor="accent3" w:themeShade="BF"/>
          <w:sz w:val="22"/>
          <w:szCs w:val="22"/>
        </w:rPr>
        <w:t>t</w:t>
      </w:r>
      <w:r w:rsidR="00DF08F2" w:rsidRPr="00505617">
        <w:rPr>
          <w:rFonts w:ascii="Arial" w:hAnsi="Arial" w:cs="Arial"/>
          <w:color w:val="7B7B7B" w:themeColor="accent3" w:themeShade="BF"/>
          <w:sz w:val="22"/>
          <w:szCs w:val="22"/>
        </w:rPr>
        <w:t>.</w:t>
      </w:r>
      <w:r w:rsidR="00DF08F2">
        <w:rPr>
          <w:rFonts w:ascii="Arial" w:hAnsi="Arial" w:cs="Arial"/>
          <w:color w:val="7B7B7B" w:themeColor="accent3" w:themeShade="BF"/>
          <w:sz w:val="22"/>
          <w:szCs w:val="22"/>
        </w:rPr>
        <w:t xml:space="preserve"> </w:t>
      </w:r>
      <w:r w:rsidR="0020707F">
        <w:rPr>
          <w:rFonts w:ascii="Arial" w:hAnsi="Arial" w:cs="Arial"/>
          <w:color w:val="7B7B7B" w:themeColor="accent3" w:themeShade="BF"/>
          <w:sz w:val="22"/>
          <w:szCs w:val="22"/>
        </w:rPr>
        <w:t xml:space="preserve">Thus, </w:t>
      </w:r>
      <w:r w:rsidR="00DF08F2">
        <w:rPr>
          <w:rFonts w:ascii="Arial" w:hAnsi="Arial" w:cs="Arial"/>
          <w:color w:val="7B7B7B" w:themeColor="accent3" w:themeShade="BF"/>
          <w:sz w:val="22"/>
          <w:szCs w:val="22"/>
        </w:rPr>
        <w:t>the</w:t>
      </w:r>
      <w:r w:rsidR="00537841" w:rsidRPr="00537841">
        <w:rPr>
          <w:rFonts w:ascii="Arial" w:hAnsi="Arial" w:cs="Arial"/>
          <w:color w:val="7B7B7B" w:themeColor="accent3" w:themeShade="BF"/>
          <w:sz w:val="22"/>
          <w:szCs w:val="22"/>
        </w:rPr>
        <w:t xml:space="preserve"> group coordinator </w:t>
      </w:r>
      <w:r w:rsidR="000A2097">
        <w:rPr>
          <w:rFonts w:ascii="Arial" w:hAnsi="Arial" w:cs="Arial"/>
          <w:color w:val="7B7B7B" w:themeColor="accent3" w:themeShade="BF"/>
          <w:sz w:val="22"/>
          <w:szCs w:val="22"/>
        </w:rPr>
        <w:t>is un</w:t>
      </w:r>
      <w:r w:rsidR="00537841" w:rsidRPr="00537841">
        <w:rPr>
          <w:rFonts w:ascii="Arial" w:hAnsi="Arial" w:cs="Arial"/>
          <w:color w:val="7B7B7B" w:themeColor="accent3" w:themeShade="BF"/>
          <w:sz w:val="22"/>
          <w:szCs w:val="22"/>
        </w:rPr>
        <w:t xml:space="preserve">able to impose </w:t>
      </w:r>
      <w:r w:rsidR="000A2097">
        <w:rPr>
          <w:rFonts w:ascii="Arial" w:hAnsi="Arial" w:cs="Arial"/>
          <w:color w:val="7B7B7B" w:themeColor="accent3" w:themeShade="BF"/>
          <w:sz w:val="22"/>
          <w:szCs w:val="22"/>
        </w:rPr>
        <w:t>its</w:t>
      </w:r>
      <w:r w:rsidR="00537841" w:rsidRPr="00537841">
        <w:rPr>
          <w:rFonts w:ascii="Arial" w:hAnsi="Arial" w:cs="Arial"/>
          <w:color w:val="7B7B7B" w:themeColor="accent3" w:themeShade="BF"/>
          <w:sz w:val="22"/>
          <w:szCs w:val="22"/>
        </w:rPr>
        <w:t xml:space="preserve"> will on insolvency practitioners and companies in the group</w:t>
      </w:r>
      <w:r w:rsidR="001E53DD">
        <w:rPr>
          <w:rFonts w:ascii="Arial" w:hAnsi="Arial" w:cs="Arial"/>
          <w:color w:val="7B7B7B" w:themeColor="accent3" w:themeShade="BF"/>
          <w:sz w:val="22"/>
          <w:szCs w:val="22"/>
        </w:rPr>
        <w:t>,</w:t>
      </w:r>
      <w:r w:rsidR="0076373D">
        <w:rPr>
          <w:rFonts w:ascii="Arial" w:hAnsi="Arial" w:cs="Arial"/>
          <w:color w:val="7B7B7B" w:themeColor="accent3" w:themeShade="BF"/>
          <w:sz w:val="22"/>
          <w:szCs w:val="22"/>
        </w:rPr>
        <w:t xml:space="preserve"> </w:t>
      </w:r>
      <w:r w:rsidR="001E53DD">
        <w:rPr>
          <w:rFonts w:ascii="Arial" w:hAnsi="Arial" w:cs="Arial"/>
          <w:color w:val="7B7B7B" w:themeColor="accent3" w:themeShade="BF"/>
          <w:sz w:val="22"/>
          <w:szCs w:val="22"/>
        </w:rPr>
        <w:t>resulting in</w:t>
      </w:r>
      <w:r w:rsidR="0076373D">
        <w:rPr>
          <w:rFonts w:ascii="Arial" w:hAnsi="Arial" w:cs="Arial"/>
          <w:color w:val="7B7B7B" w:themeColor="accent3" w:themeShade="BF"/>
          <w:sz w:val="22"/>
          <w:szCs w:val="22"/>
        </w:rPr>
        <w:t xml:space="preserve"> to such proceedings being inefficient</w:t>
      </w:r>
      <w:r w:rsidR="006521E3">
        <w:rPr>
          <w:rFonts w:ascii="Arial" w:hAnsi="Arial" w:cs="Arial"/>
          <w:color w:val="7B7B7B" w:themeColor="accent3" w:themeShade="BF"/>
          <w:sz w:val="22"/>
          <w:szCs w:val="22"/>
        </w:rPr>
        <w:t>,</w:t>
      </w:r>
      <w:r w:rsidR="0076373D">
        <w:rPr>
          <w:rFonts w:ascii="Arial" w:hAnsi="Arial" w:cs="Arial"/>
          <w:color w:val="7B7B7B" w:themeColor="accent3" w:themeShade="BF"/>
          <w:sz w:val="22"/>
          <w:szCs w:val="22"/>
        </w:rPr>
        <w:t xml:space="preserve"> </w:t>
      </w:r>
      <w:r w:rsidR="001E53DD">
        <w:rPr>
          <w:rFonts w:ascii="Arial" w:hAnsi="Arial" w:cs="Arial"/>
          <w:color w:val="7B7B7B" w:themeColor="accent3" w:themeShade="BF"/>
          <w:sz w:val="22"/>
          <w:szCs w:val="22"/>
        </w:rPr>
        <w:t xml:space="preserve">and </w:t>
      </w:r>
      <w:r w:rsidR="0076373D">
        <w:rPr>
          <w:rFonts w:ascii="Arial" w:hAnsi="Arial" w:cs="Arial"/>
          <w:color w:val="7B7B7B" w:themeColor="accent3" w:themeShade="BF"/>
          <w:sz w:val="22"/>
          <w:szCs w:val="22"/>
        </w:rPr>
        <w:t>lacking</w:t>
      </w:r>
      <w:r w:rsidR="00537841" w:rsidRPr="00537841">
        <w:rPr>
          <w:rFonts w:ascii="Arial" w:hAnsi="Arial" w:cs="Arial"/>
          <w:color w:val="7B7B7B" w:themeColor="accent3" w:themeShade="BF"/>
          <w:sz w:val="22"/>
          <w:szCs w:val="22"/>
        </w:rPr>
        <w:t xml:space="preserve"> certainty and predictability.</w:t>
      </w:r>
      <w:r w:rsidR="00DF08F2">
        <w:rPr>
          <w:rFonts w:ascii="Arial" w:hAnsi="Arial" w:cs="Arial"/>
          <w:color w:val="7B7B7B" w:themeColor="accent3" w:themeShade="BF"/>
          <w:sz w:val="22"/>
          <w:szCs w:val="22"/>
        </w:rPr>
        <w:t xml:space="preserve"> </w:t>
      </w:r>
    </w:p>
    <w:p w14:paraId="4884920B" w14:textId="4B165072" w:rsidR="00501481" w:rsidRDefault="00501481" w:rsidP="00FC5C8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such, the added value of Chapter V on group proceedings </w:t>
      </w:r>
      <w:r w:rsidR="001E53DD">
        <w:rPr>
          <w:rFonts w:ascii="Arial" w:hAnsi="Arial" w:cs="Arial"/>
          <w:color w:val="7B7B7B" w:themeColor="accent3" w:themeShade="BF"/>
          <w:sz w:val="22"/>
          <w:szCs w:val="22"/>
        </w:rPr>
        <w:t>is</w:t>
      </w:r>
      <w:r>
        <w:rPr>
          <w:rFonts w:ascii="Arial" w:hAnsi="Arial" w:cs="Arial"/>
          <w:color w:val="7B7B7B" w:themeColor="accent3" w:themeShade="BF"/>
          <w:sz w:val="22"/>
          <w:szCs w:val="22"/>
        </w:rPr>
        <w:t xml:space="preserve"> rather </w:t>
      </w:r>
      <w:r w:rsidR="002168F9">
        <w:rPr>
          <w:rFonts w:ascii="Arial" w:hAnsi="Arial" w:cs="Arial"/>
          <w:color w:val="7B7B7B" w:themeColor="accent3" w:themeShade="BF"/>
          <w:sz w:val="22"/>
          <w:szCs w:val="22"/>
        </w:rPr>
        <w:t>limited</w:t>
      </w:r>
      <w:r w:rsidR="001E53DD">
        <w:rPr>
          <w:rFonts w:ascii="Arial" w:hAnsi="Arial" w:cs="Arial"/>
          <w:color w:val="7B7B7B" w:themeColor="accent3" w:themeShade="BF"/>
          <w:sz w:val="22"/>
          <w:szCs w:val="22"/>
        </w:rPr>
        <w:t xml:space="preserve">. It may  </w:t>
      </w:r>
      <w:r w:rsidR="002168F9">
        <w:rPr>
          <w:rFonts w:ascii="Arial" w:hAnsi="Arial" w:cs="Arial"/>
          <w:color w:val="7B7B7B" w:themeColor="accent3" w:themeShade="BF"/>
          <w:sz w:val="22"/>
          <w:szCs w:val="22"/>
        </w:rPr>
        <w:t xml:space="preserve">even </w:t>
      </w:r>
      <w:r w:rsidR="001E53DD">
        <w:rPr>
          <w:rFonts w:ascii="Arial" w:hAnsi="Arial" w:cs="Arial"/>
          <w:color w:val="7B7B7B" w:themeColor="accent3" w:themeShade="BF"/>
          <w:sz w:val="22"/>
          <w:szCs w:val="22"/>
        </w:rPr>
        <w:t xml:space="preserve"> be </w:t>
      </w:r>
      <w:r>
        <w:rPr>
          <w:rFonts w:ascii="Arial" w:hAnsi="Arial" w:cs="Arial"/>
          <w:color w:val="7B7B7B" w:themeColor="accent3" w:themeShade="BF"/>
          <w:sz w:val="22"/>
          <w:szCs w:val="22"/>
        </w:rPr>
        <w:t>burdensome as it adds</w:t>
      </w:r>
      <w:r w:rsidR="002168F9">
        <w:rPr>
          <w:rFonts w:ascii="Arial" w:hAnsi="Arial" w:cs="Arial"/>
          <w:color w:val="7B7B7B" w:themeColor="accent3" w:themeShade="BF"/>
          <w:sz w:val="22"/>
          <w:szCs w:val="22"/>
        </w:rPr>
        <w:t xml:space="preserve"> yet</w:t>
      </w:r>
      <w:r>
        <w:rPr>
          <w:rFonts w:ascii="Arial" w:hAnsi="Arial" w:cs="Arial"/>
          <w:color w:val="7B7B7B" w:themeColor="accent3" w:themeShade="BF"/>
          <w:sz w:val="22"/>
          <w:szCs w:val="22"/>
        </w:rPr>
        <w:t xml:space="preserve"> another layer of complexity in practice rather than providing an efficient solution</w:t>
      </w:r>
      <w:r w:rsidR="002168F9">
        <w:rPr>
          <w:rFonts w:ascii="Arial" w:hAnsi="Arial" w:cs="Arial"/>
          <w:color w:val="7B7B7B" w:themeColor="accent3" w:themeShade="BF"/>
          <w:sz w:val="22"/>
          <w:szCs w:val="22"/>
        </w:rPr>
        <w:t xml:space="preserve"> to a problem</w:t>
      </w:r>
      <w:r>
        <w:rPr>
          <w:rFonts w:ascii="Arial" w:hAnsi="Arial" w:cs="Arial"/>
          <w:color w:val="7B7B7B" w:themeColor="accent3" w:themeShade="BF"/>
          <w:sz w:val="22"/>
          <w:szCs w:val="22"/>
        </w:rPr>
        <w:t xml:space="preserve">. The benefits </w:t>
      </w:r>
      <w:r w:rsidR="002168F9">
        <w:rPr>
          <w:rFonts w:ascii="Arial" w:hAnsi="Arial" w:cs="Arial"/>
          <w:color w:val="7B7B7B" w:themeColor="accent3" w:themeShade="BF"/>
          <w:sz w:val="22"/>
          <w:szCs w:val="22"/>
        </w:rPr>
        <w:t xml:space="preserve">of these provisions </w:t>
      </w:r>
      <w:r>
        <w:rPr>
          <w:rFonts w:ascii="Arial" w:hAnsi="Arial" w:cs="Arial"/>
          <w:color w:val="7B7B7B" w:themeColor="accent3" w:themeShade="BF"/>
          <w:sz w:val="22"/>
          <w:szCs w:val="22"/>
        </w:rPr>
        <w:t xml:space="preserve">are overshadowed by </w:t>
      </w:r>
      <w:r w:rsidR="001E53DD">
        <w:rPr>
          <w:rFonts w:ascii="Arial" w:hAnsi="Arial" w:cs="Arial"/>
          <w:color w:val="7B7B7B" w:themeColor="accent3" w:themeShade="BF"/>
          <w:sz w:val="22"/>
          <w:szCs w:val="22"/>
        </w:rPr>
        <w:t>their</w:t>
      </w:r>
      <w:r>
        <w:rPr>
          <w:rFonts w:ascii="Arial" w:hAnsi="Arial" w:cs="Arial"/>
          <w:color w:val="7B7B7B" w:themeColor="accent3" w:themeShade="BF"/>
          <w:sz w:val="22"/>
          <w:szCs w:val="22"/>
        </w:rPr>
        <w:t xml:space="preserve"> disadvantages</w:t>
      </w:r>
      <w:r w:rsidR="001E53DD">
        <w:rPr>
          <w:rFonts w:ascii="Arial" w:hAnsi="Arial" w:cs="Arial"/>
          <w:color w:val="7B7B7B" w:themeColor="accent3" w:themeShade="BF"/>
          <w:sz w:val="22"/>
          <w:szCs w:val="22"/>
        </w:rPr>
        <w:t xml:space="preserve">, to include additional </w:t>
      </w:r>
      <w:r>
        <w:rPr>
          <w:rFonts w:ascii="Arial" w:hAnsi="Arial" w:cs="Arial"/>
          <w:color w:val="7B7B7B" w:themeColor="accent3" w:themeShade="BF"/>
          <w:sz w:val="22"/>
          <w:szCs w:val="22"/>
        </w:rPr>
        <w:t>costs</w:t>
      </w:r>
      <w:r w:rsidR="001E53DD">
        <w:rPr>
          <w:rFonts w:ascii="Arial" w:hAnsi="Arial" w:cs="Arial"/>
          <w:color w:val="7B7B7B" w:themeColor="accent3" w:themeShade="BF"/>
          <w:sz w:val="22"/>
          <w:szCs w:val="22"/>
        </w:rPr>
        <w:t>,</w:t>
      </w:r>
      <w:r w:rsidR="002168F9">
        <w:rPr>
          <w:rFonts w:ascii="Arial" w:hAnsi="Arial" w:cs="Arial"/>
          <w:color w:val="7B7B7B" w:themeColor="accent3" w:themeShade="BF"/>
          <w:sz w:val="22"/>
          <w:szCs w:val="22"/>
        </w:rPr>
        <w:t xml:space="preserve">  and </w:t>
      </w:r>
      <w:r w:rsidR="001E53DD">
        <w:rPr>
          <w:rFonts w:ascii="Arial" w:hAnsi="Arial" w:cs="Arial"/>
          <w:color w:val="7B7B7B" w:themeColor="accent3" w:themeShade="BF"/>
          <w:sz w:val="22"/>
          <w:szCs w:val="22"/>
        </w:rPr>
        <w:t>loss of time</w:t>
      </w:r>
      <w:r w:rsidR="002168F9">
        <w:rPr>
          <w:rFonts w:ascii="Arial" w:hAnsi="Arial" w:cs="Arial"/>
          <w:color w:val="7B7B7B" w:themeColor="accent3" w:themeShade="BF"/>
          <w:sz w:val="22"/>
          <w:szCs w:val="22"/>
        </w:rPr>
        <w:t xml:space="preserve"> due to </w:t>
      </w:r>
      <w:proofErr w:type="spellStart"/>
      <w:r>
        <w:rPr>
          <w:rFonts w:ascii="Arial" w:hAnsi="Arial" w:cs="Arial"/>
          <w:color w:val="7B7B7B" w:themeColor="accent3" w:themeShade="BF"/>
          <w:sz w:val="22"/>
          <w:szCs w:val="22"/>
        </w:rPr>
        <w:t>eg</w:t>
      </w:r>
      <w:proofErr w:type="spellEnd"/>
      <w:r>
        <w:rPr>
          <w:rFonts w:ascii="Arial" w:hAnsi="Arial" w:cs="Arial"/>
          <w:color w:val="7B7B7B" w:themeColor="accent3" w:themeShade="BF"/>
          <w:sz w:val="22"/>
          <w:szCs w:val="22"/>
        </w:rPr>
        <w:t xml:space="preserve"> the u</w:t>
      </w:r>
      <w:r w:rsidR="00131D24">
        <w:rPr>
          <w:rFonts w:ascii="Arial" w:hAnsi="Arial" w:cs="Arial"/>
          <w:color w:val="7B7B7B" w:themeColor="accent3" w:themeShade="BF"/>
          <w:sz w:val="22"/>
          <w:szCs w:val="22"/>
        </w:rPr>
        <w:t>nclear prospects</w:t>
      </w:r>
      <w:r>
        <w:rPr>
          <w:rFonts w:ascii="Arial" w:hAnsi="Arial" w:cs="Arial"/>
          <w:color w:val="7B7B7B" w:themeColor="accent3" w:themeShade="BF"/>
          <w:sz w:val="22"/>
          <w:szCs w:val="22"/>
        </w:rPr>
        <w:t xml:space="preserve"> and</w:t>
      </w:r>
      <w:r w:rsidR="00131D24">
        <w:rPr>
          <w:rFonts w:ascii="Arial" w:hAnsi="Arial" w:cs="Arial"/>
          <w:color w:val="7B7B7B" w:themeColor="accent3" w:themeShade="BF"/>
          <w:sz w:val="22"/>
          <w:szCs w:val="22"/>
        </w:rPr>
        <w:t xml:space="preserve"> rules</w:t>
      </w:r>
      <w:r>
        <w:rPr>
          <w:rFonts w:ascii="Arial" w:hAnsi="Arial" w:cs="Arial"/>
          <w:color w:val="7B7B7B" w:themeColor="accent3" w:themeShade="BF"/>
          <w:sz w:val="22"/>
          <w:szCs w:val="22"/>
        </w:rPr>
        <w:t xml:space="preserve">, uncertain results and outcomes </w:t>
      </w:r>
      <w:r w:rsidR="001E53DD">
        <w:rPr>
          <w:rFonts w:ascii="Arial" w:hAnsi="Arial" w:cs="Arial"/>
          <w:color w:val="7B7B7B" w:themeColor="accent3" w:themeShade="BF"/>
          <w:sz w:val="22"/>
          <w:szCs w:val="22"/>
        </w:rPr>
        <w:t>because of</w:t>
      </w:r>
      <w:r>
        <w:rPr>
          <w:rFonts w:ascii="Arial" w:hAnsi="Arial" w:cs="Arial"/>
          <w:color w:val="7B7B7B" w:themeColor="accent3" w:themeShade="BF"/>
          <w:sz w:val="22"/>
          <w:szCs w:val="22"/>
        </w:rPr>
        <w:t xml:space="preserve"> to </w:t>
      </w:r>
      <w:r w:rsidR="00131D24">
        <w:rPr>
          <w:rFonts w:ascii="Arial" w:hAnsi="Arial" w:cs="Arial"/>
          <w:color w:val="7B7B7B" w:themeColor="accent3" w:themeShade="BF"/>
          <w:sz w:val="22"/>
          <w:szCs w:val="22"/>
        </w:rPr>
        <w:t>the</w:t>
      </w:r>
      <w:r w:rsidR="001E53DD">
        <w:rPr>
          <w:rFonts w:ascii="Arial" w:hAnsi="Arial" w:cs="Arial"/>
          <w:color w:val="7B7B7B" w:themeColor="accent3" w:themeShade="BF"/>
          <w:sz w:val="22"/>
          <w:szCs w:val="22"/>
        </w:rPr>
        <w:t>ir</w:t>
      </w:r>
      <w:r w:rsidR="00131D24">
        <w:rPr>
          <w:rFonts w:ascii="Arial" w:hAnsi="Arial" w:cs="Arial"/>
          <w:color w:val="7B7B7B" w:themeColor="accent3" w:themeShade="BF"/>
          <w:sz w:val="22"/>
          <w:szCs w:val="22"/>
        </w:rPr>
        <w:t xml:space="preserve"> non-binding nature</w:t>
      </w:r>
      <w:r w:rsidR="001E53DD">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p>
    <w:p w14:paraId="1283628C" w14:textId="33B68397" w:rsidR="002168F9" w:rsidRDefault="002168F9" w:rsidP="00FC5C8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second part of this question asks how these shortcomings could be corrected or improved. One could suggest to include a provision with a sanction for not complying with the group coordination plan</w:t>
      </w:r>
      <w:r w:rsidR="000041CF">
        <w:rPr>
          <w:rFonts w:ascii="Arial" w:hAnsi="Arial" w:cs="Arial"/>
          <w:color w:val="7B7B7B" w:themeColor="accent3" w:themeShade="BF"/>
          <w:sz w:val="22"/>
          <w:szCs w:val="22"/>
        </w:rPr>
        <w:t xml:space="preserve">. The insolvency practitioner </w:t>
      </w:r>
      <w:r w:rsidR="001E53DD">
        <w:rPr>
          <w:rFonts w:ascii="Arial" w:hAnsi="Arial" w:cs="Arial"/>
          <w:color w:val="7B7B7B" w:themeColor="accent3" w:themeShade="BF"/>
          <w:sz w:val="22"/>
          <w:szCs w:val="22"/>
        </w:rPr>
        <w:t xml:space="preserve">could </w:t>
      </w:r>
      <w:r w:rsidR="000041CF">
        <w:rPr>
          <w:rFonts w:ascii="Arial" w:hAnsi="Arial" w:cs="Arial"/>
          <w:color w:val="7B7B7B" w:themeColor="accent3" w:themeShade="BF"/>
          <w:sz w:val="22"/>
          <w:szCs w:val="22"/>
        </w:rPr>
        <w:t xml:space="preserve">still be able to opt-out </w:t>
      </w:r>
      <w:r w:rsidR="0091269D">
        <w:rPr>
          <w:rFonts w:ascii="Arial" w:hAnsi="Arial" w:cs="Arial"/>
          <w:color w:val="7B7B7B" w:themeColor="accent3" w:themeShade="BF"/>
          <w:sz w:val="22"/>
          <w:szCs w:val="22"/>
        </w:rPr>
        <w:t xml:space="preserve">or not to comply with the plan </w:t>
      </w:r>
      <w:r w:rsidR="001E53DD">
        <w:rPr>
          <w:rFonts w:ascii="Arial" w:hAnsi="Arial" w:cs="Arial"/>
          <w:color w:val="7B7B7B" w:themeColor="accent3" w:themeShade="BF"/>
          <w:sz w:val="22"/>
          <w:szCs w:val="22"/>
        </w:rPr>
        <w:t>with expressed reasons</w:t>
      </w:r>
      <w:r w:rsidR="000041CF">
        <w:rPr>
          <w:rFonts w:ascii="Arial" w:hAnsi="Arial" w:cs="Arial"/>
          <w:color w:val="7B7B7B" w:themeColor="accent3" w:themeShade="BF"/>
          <w:sz w:val="22"/>
          <w:szCs w:val="22"/>
        </w:rPr>
        <w:t xml:space="preserve">, but the final decision should be left to the court. This would give the EU legal instrument more “teeth”. This would </w:t>
      </w:r>
      <w:r w:rsidR="001E53DD">
        <w:rPr>
          <w:rFonts w:ascii="Arial" w:hAnsi="Arial" w:cs="Arial"/>
          <w:color w:val="7B7B7B" w:themeColor="accent3" w:themeShade="BF"/>
          <w:sz w:val="22"/>
          <w:szCs w:val="22"/>
        </w:rPr>
        <w:t xml:space="preserve">also </w:t>
      </w:r>
      <w:r w:rsidR="000041CF">
        <w:rPr>
          <w:rFonts w:ascii="Arial" w:hAnsi="Arial" w:cs="Arial"/>
          <w:color w:val="7B7B7B" w:themeColor="accent3" w:themeShade="BF"/>
          <w:sz w:val="22"/>
          <w:szCs w:val="22"/>
        </w:rPr>
        <w:t xml:space="preserve">balance out the voluntary nature </w:t>
      </w:r>
      <w:r w:rsidR="001E53DD">
        <w:rPr>
          <w:rFonts w:ascii="Arial" w:hAnsi="Arial" w:cs="Arial"/>
          <w:color w:val="7B7B7B" w:themeColor="accent3" w:themeShade="BF"/>
          <w:sz w:val="22"/>
          <w:szCs w:val="22"/>
        </w:rPr>
        <w:t>of the process with</w:t>
      </w:r>
      <w:r w:rsidR="000041CF">
        <w:rPr>
          <w:rFonts w:ascii="Arial" w:hAnsi="Arial" w:cs="Arial"/>
          <w:color w:val="7B7B7B" w:themeColor="accent3" w:themeShade="BF"/>
          <w:sz w:val="22"/>
          <w:szCs w:val="22"/>
        </w:rPr>
        <w:t xml:space="preserve"> the power of the group coordinator. </w:t>
      </w:r>
    </w:p>
    <w:p w14:paraId="6DE5FFA4" w14:textId="3928CF1D" w:rsidR="00680EF2" w:rsidRDefault="00680EF2" w:rsidP="002A37BB">
      <w:pPr>
        <w:ind w:left="720" w:hanging="720"/>
        <w:jc w:val="both"/>
        <w:rPr>
          <w:rFonts w:ascii="Arial" w:hAnsi="Arial" w:cs="Arial"/>
          <w:sz w:val="22"/>
          <w:szCs w:val="22"/>
        </w:rPr>
      </w:pPr>
    </w:p>
    <w:p w14:paraId="6D9E4CCC" w14:textId="77777777" w:rsidR="000041CF" w:rsidRPr="00FC5C87" w:rsidRDefault="000041CF" w:rsidP="002A37BB">
      <w:pPr>
        <w:ind w:left="720" w:hanging="720"/>
        <w:jc w:val="both"/>
        <w:rPr>
          <w:rFonts w:ascii="Arial" w:hAnsi="Arial" w:cs="Arial"/>
          <w:sz w:val="22"/>
          <w:szCs w:val="22"/>
        </w:rPr>
      </w:pPr>
    </w:p>
    <w:p w14:paraId="55C402CC" w14:textId="746A48C9" w:rsidR="009B0723" w:rsidRPr="00FC5C87" w:rsidRDefault="00DF75F8" w:rsidP="002A37BB">
      <w:pPr>
        <w:jc w:val="both"/>
        <w:rPr>
          <w:rFonts w:ascii="Arial" w:hAnsi="Arial" w:cs="Arial"/>
          <w:b/>
          <w:sz w:val="22"/>
          <w:szCs w:val="22"/>
        </w:rPr>
      </w:pPr>
      <w:r w:rsidRPr="00FC5C87">
        <w:rPr>
          <w:rFonts w:ascii="Arial" w:hAnsi="Arial" w:cs="Arial"/>
          <w:b/>
          <w:sz w:val="22"/>
          <w:szCs w:val="22"/>
        </w:rPr>
        <w:t>QUESTION 4</w:t>
      </w:r>
      <w:r w:rsidR="009B0723" w:rsidRPr="00FC5C87">
        <w:rPr>
          <w:rFonts w:ascii="Arial" w:hAnsi="Arial" w:cs="Arial"/>
          <w:b/>
          <w:sz w:val="22"/>
          <w:szCs w:val="22"/>
        </w:rPr>
        <w:t xml:space="preserve"> (fact-based application-type question) [15 marks</w:t>
      </w:r>
      <w:r w:rsidR="006A2646" w:rsidRPr="00FC5C87">
        <w:rPr>
          <w:rFonts w:ascii="Arial" w:hAnsi="Arial" w:cs="Arial"/>
          <w:b/>
          <w:sz w:val="22"/>
          <w:szCs w:val="22"/>
        </w:rPr>
        <w:t xml:space="preserve"> in total</w:t>
      </w:r>
      <w:r w:rsidR="009B0723" w:rsidRPr="00FC5C87">
        <w:rPr>
          <w:rFonts w:ascii="Arial" w:hAnsi="Arial" w:cs="Arial"/>
          <w:b/>
          <w:sz w:val="22"/>
          <w:szCs w:val="22"/>
        </w:rPr>
        <w:t>]</w:t>
      </w:r>
    </w:p>
    <w:p w14:paraId="5BAC2B6B" w14:textId="77777777" w:rsidR="009B0723" w:rsidRPr="00FC5C87" w:rsidRDefault="009B0723" w:rsidP="002A37BB">
      <w:pPr>
        <w:jc w:val="both"/>
        <w:rPr>
          <w:rFonts w:ascii="Arial" w:hAnsi="Arial" w:cs="Arial"/>
          <w:sz w:val="22"/>
          <w:szCs w:val="22"/>
        </w:rPr>
      </w:pPr>
    </w:p>
    <w:p w14:paraId="594606EC" w14:textId="28C089FE" w:rsidR="00C60B85" w:rsidRPr="00FC5C87" w:rsidRDefault="00C60B85" w:rsidP="002A37BB">
      <w:pPr>
        <w:jc w:val="both"/>
        <w:rPr>
          <w:rFonts w:ascii="Arial" w:hAnsi="Arial" w:cs="Arial"/>
          <w:sz w:val="22"/>
          <w:szCs w:val="22"/>
        </w:rPr>
      </w:pPr>
      <w:r w:rsidRPr="00FC5C87">
        <w:rPr>
          <w:rFonts w:ascii="Arial" w:hAnsi="Arial" w:cs="Arial"/>
          <w:sz w:val="22"/>
          <w:szCs w:val="22"/>
        </w:rPr>
        <w:t xml:space="preserve">Cardinal </w:t>
      </w:r>
      <w:r w:rsidR="00627DE9" w:rsidRPr="00FC5C87">
        <w:rPr>
          <w:rFonts w:ascii="Arial" w:hAnsi="Arial" w:cs="Arial"/>
          <w:sz w:val="22"/>
          <w:szCs w:val="22"/>
        </w:rPr>
        <w:t>Home</w:t>
      </w:r>
      <w:r w:rsidR="00390B57" w:rsidRPr="00FC5C87">
        <w:rPr>
          <w:rFonts w:ascii="Arial" w:hAnsi="Arial" w:cs="Arial"/>
          <w:sz w:val="22"/>
          <w:szCs w:val="22"/>
        </w:rPr>
        <w:t xml:space="preserve"> is </w:t>
      </w:r>
      <w:r w:rsidR="006639DB" w:rsidRPr="00FC5C87">
        <w:rPr>
          <w:rFonts w:ascii="Arial" w:hAnsi="Arial" w:cs="Arial"/>
          <w:sz w:val="22"/>
          <w:szCs w:val="22"/>
        </w:rPr>
        <w:t>a</w:t>
      </w:r>
      <w:r w:rsidRPr="00FC5C87">
        <w:rPr>
          <w:rFonts w:ascii="Arial" w:hAnsi="Arial" w:cs="Arial"/>
          <w:sz w:val="22"/>
          <w:szCs w:val="22"/>
        </w:rPr>
        <w:t>n Ireland</w:t>
      </w:r>
      <w:r w:rsidR="00390B57" w:rsidRPr="00FC5C87">
        <w:rPr>
          <w:rFonts w:ascii="Arial" w:hAnsi="Arial" w:cs="Arial"/>
          <w:sz w:val="22"/>
          <w:szCs w:val="22"/>
        </w:rPr>
        <w:t xml:space="preserve">-registered </w:t>
      </w:r>
      <w:r w:rsidRPr="00FC5C87">
        <w:rPr>
          <w:rFonts w:ascii="Arial" w:hAnsi="Arial" w:cs="Arial"/>
          <w:sz w:val="22"/>
          <w:szCs w:val="22"/>
        </w:rPr>
        <w:t>furniture</w:t>
      </w:r>
      <w:r w:rsidR="00390B57" w:rsidRPr="00FC5C87">
        <w:rPr>
          <w:rFonts w:ascii="Arial" w:hAnsi="Arial" w:cs="Arial"/>
          <w:sz w:val="22"/>
          <w:szCs w:val="22"/>
        </w:rPr>
        <w:t xml:space="preserve"> company</w:t>
      </w:r>
      <w:r w:rsidR="00ED472A" w:rsidRPr="00FC5C87">
        <w:rPr>
          <w:rFonts w:ascii="Arial" w:hAnsi="Arial" w:cs="Arial"/>
          <w:sz w:val="22"/>
          <w:szCs w:val="22"/>
        </w:rPr>
        <w:t xml:space="preserve">. </w:t>
      </w:r>
      <w:r w:rsidRPr="00FC5C87">
        <w:rPr>
          <w:rFonts w:ascii="Arial" w:hAnsi="Arial" w:cs="Arial"/>
          <w:sz w:val="22"/>
          <w:szCs w:val="22"/>
        </w:rPr>
        <w:t xml:space="preserve">The company opened its first store in Cork, Ireland in </w:t>
      </w:r>
      <w:r w:rsidR="00627DE9" w:rsidRPr="00FC5C87">
        <w:rPr>
          <w:rFonts w:ascii="Arial" w:hAnsi="Arial" w:cs="Arial"/>
          <w:sz w:val="22"/>
          <w:szCs w:val="22"/>
        </w:rPr>
        <w:t>2009</w:t>
      </w:r>
      <w:r w:rsidRPr="00FC5C87">
        <w:rPr>
          <w:rFonts w:ascii="Arial" w:hAnsi="Arial" w:cs="Arial"/>
          <w:sz w:val="22"/>
          <w:szCs w:val="22"/>
        </w:rPr>
        <w:t xml:space="preserve"> and has warehouses across Europe, including in Milan, Italy. In </w:t>
      </w:r>
      <w:r w:rsidR="00627DE9" w:rsidRPr="00FC5C87">
        <w:rPr>
          <w:rFonts w:ascii="Arial" w:hAnsi="Arial" w:cs="Arial"/>
          <w:sz w:val="22"/>
          <w:szCs w:val="22"/>
        </w:rPr>
        <w:t>2010</w:t>
      </w:r>
      <w:r w:rsidRPr="00FC5C87">
        <w:rPr>
          <w:rFonts w:ascii="Arial" w:hAnsi="Arial" w:cs="Arial"/>
          <w:sz w:val="22"/>
          <w:szCs w:val="22"/>
        </w:rPr>
        <w:t xml:space="preserve">, </w:t>
      </w:r>
      <w:r w:rsidR="0011548B" w:rsidRPr="00FC5C87">
        <w:rPr>
          <w:rFonts w:ascii="Arial" w:hAnsi="Arial" w:cs="Arial"/>
          <w:sz w:val="22"/>
          <w:szCs w:val="22"/>
        </w:rPr>
        <w:t xml:space="preserve">Cardinal </w:t>
      </w:r>
      <w:r w:rsidR="00627DE9" w:rsidRPr="00FC5C87">
        <w:rPr>
          <w:rFonts w:ascii="Arial" w:hAnsi="Arial" w:cs="Arial"/>
          <w:sz w:val="22"/>
          <w:szCs w:val="22"/>
        </w:rPr>
        <w:t>Home</w:t>
      </w:r>
      <w:r w:rsidR="0011548B" w:rsidRPr="00FC5C87">
        <w:rPr>
          <w:rFonts w:ascii="Arial" w:hAnsi="Arial" w:cs="Arial"/>
          <w:sz w:val="22"/>
          <w:szCs w:val="22"/>
        </w:rPr>
        <w:t xml:space="preserve"> entered into a credit agreement with an Italian bank since it was planning </w:t>
      </w:r>
      <w:r w:rsidR="00627DE9" w:rsidRPr="00FC5C87">
        <w:rPr>
          <w:rFonts w:ascii="Arial" w:hAnsi="Arial" w:cs="Arial"/>
          <w:sz w:val="22"/>
          <w:szCs w:val="22"/>
        </w:rPr>
        <w:t>to expand</w:t>
      </w:r>
      <w:r w:rsidR="0011548B" w:rsidRPr="00FC5C87">
        <w:rPr>
          <w:rFonts w:ascii="Arial" w:hAnsi="Arial" w:cs="Arial"/>
          <w:sz w:val="22"/>
          <w:szCs w:val="22"/>
        </w:rPr>
        <w:t xml:space="preserve"> its reach to the Spanish luxury furniture market</w:t>
      </w:r>
      <w:r w:rsidR="00627DE9" w:rsidRPr="00FC5C87">
        <w:rPr>
          <w:rFonts w:ascii="Arial" w:hAnsi="Arial" w:cs="Arial"/>
          <w:sz w:val="22"/>
          <w:szCs w:val="22"/>
        </w:rPr>
        <w:t>, expected to grow by over 8% annually. It opened a bank account with the bank and started negotiating with local distributors, thus signing some (non-binding) memoranda of understanding with them.</w:t>
      </w:r>
    </w:p>
    <w:p w14:paraId="5C3A3BA4" w14:textId="77777777" w:rsidR="00627DE9" w:rsidRPr="00FC5C87" w:rsidRDefault="00627DE9" w:rsidP="002A37BB">
      <w:pPr>
        <w:jc w:val="both"/>
        <w:rPr>
          <w:rFonts w:ascii="Arial" w:hAnsi="Arial" w:cs="Arial"/>
          <w:sz w:val="22"/>
          <w:szCs w:val="22"/>
        </w:rPr>
      </w:pPr>
    </w:p>
    <w:p w14:paraId="5EB5B938" w14:textId="294CA345" w:rsidR="00ED472A" w:rsidRPr="00FC5C87" w:rsidRDefault="00627DE9" w:rsidP="002A37BB">
      <w:pPr>
        <w:jc w:val="both"/>
        <w:rPr>
          <w:rFonts w:ascii="Arial" w:hAnsi="Arial" w:cs="Arial"/>
          <w:sz w:val="22"/>
          <w:szCs w:val="22"/>
        </w:rPr>
      </w:pPr>
      <w:r w:rsidRPr="00FC5C87">
        <w:rPr>
          <w:rFonts w:ascii="Arial" w:hAnsi="Arial" w:cs="Arial"/>
          <w:sz w:val="22"/>
          <w:szCs w:val="22"/>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sidRPr="00FC5C87">
        <w:rPr>
          <w:rFonts w:ascii="Arial" w:hAnsi="Arial" w:cs="Arial"/>
          <w:sz w:val="22"/>
          <w:szCs w:val="22"/>
        </w:rPr>
        <w:t xml:space="preserve"> in Dublin, Ireland</w:t>
      </w:r>
      <w:r w:rsidRPr="00FC5C87">
        <w:rPr>
          <w:rFonts w:ascii="Arial" w:hAnsi="Arial" w:cs="Arial"/>
          <w:sz w:val="22"/>
          <w:szCs w:val="22"/>
        </w:rPr>
        <w:t xml:space="preserve">. </w:t>
      </w:r>
    </w:p>
    <w:p w14:paraId="6820FBC0" w14:textId="77777777" w:rsidR="00390B57" w:rsidRPr="00FC5C87" w:rsidRDefault="00390B57" w:rsidP="002A37BB">
      <w:pPr>
        <w:jc w:val="both"/>
        <w:rPr>
          <w:rFonts w:ascii="Arial" w:hAnsi="Arial" w:cs="Arial"/>
          <w:sz w:val="22"/>
          <w:szCs w:val="22"/>
        </w:rPr>
      </w:pPr>
    </w:p>
    <w:p w14:paraId="277972EC" w14:textId="0AE3B1BC" w:rsidR="009B0723" w:rsidRPr="00FC5C87" w:rsidRDefault="009B0723" w:rsidP="002A37BB">
      <w:pPr>
        <w:autoSpaceDE w:val="0"/>
        <w:autoSpaceDN w:val="0"/>
        <w:adjustRightInd w:val="0"/>
        <w:jc w:val="both"/>
        <w:rPr>
          <w:rFonts w:ascii="Arial" w:hAnsi="Arial" w:cs="Arial"/>
          <w:sz w:val="22"/>
          <w:szCs w:val="22"/>
        </w:rPr>
      </w:pPr>
    </w:p>
    <w:p w14:paraId="3EEBCF39" w14:textId="3A5B5314" w:rsidR="002F75A3" w:rsidRPr="00FC5C87" w:rsidRDefault="009B0723" w:rsidP="002A37BB">
      <w:pPr>
        <w:jc w:val="both"/>
        <w:rPr>
          <w:rFonts w:ascii="Arial" w:hAnsi="Arial" w:cs="Arial"/>
          <w:sz w:val="22"/>
          <w:szCs w:val="22"/>
        </w:rPr>
      </w:pPr>
      <w:bookmarkStart w:id="1" w:name="_Hlk17745211"/>
      <w:r w:rsidRPr="00FC5C87">
        <w:rPr>
          <w:rFonts w:ascii="Arial" w:hAnsi="Arial" w:cs="Arial"/>
          <w:b/>
          <w:bCs/>
          <w:sz w:val="22"/>
          <w:szCs w:val="22"/>
        </w:rPr>
        <w:t>Question 4.1 [</w:t>
      </w:r>
      <w:r w:rsidR="00D17FDC" w:rsidRPr="00FC5C87">
        <w:rPr>
          <w:rFonts w:ascii="Arial" w:hAnsi="Arial" w:cs="Arial"/>
          <w:b/>
          <w:bCs/>
          <w:sz w:val="22"/>
          <w:szCs w:val="22"/>
        </w:rPr>
        <w:t>m</w:t>
      </w:r>
      <w:r w:rsidRPr="00FC5C87">
        <w:rPr>
          <w:rFonts w:ascii="Arial" w:hAnsi="Arial" w:cs="Arial"/>
          <w:b/>
          <w:bCs/>
          <w:sz w:val="22"/>
          <w:szCs w:val="22"/>
        </w:rPr>
        <w:t xml:space="preserve">aximum </w:t>
      </w:r>
      <w:r w:rsidR="009B4976" w:rsidRPr="00FC5C87">
        <w:rPr>
          <w:rFonts w:ascii="Arial" w:hAnsi="Arial" w:cs="Arial"/>
          <w:b/>
          <w:bCs/>
          <w:sz w:val="22"/>
          <w:szCs w:val="22"/>
        </w:rPr>
        <w:t>5</w:t>
      </w:r>
      <w:r w:rsidRPr="00FC5C87">
        <w:rPr>
          <w:rFonts w:ascii="Arial" w:hAnsi="Arial" w:cs="Arial"/>
          <w:b/>
          <w:bCs/>
          <w:sz w:val="22"/>
          <w:szCs w:val="22"/>
        </w:rPr>
        <w:t xml:space="preserve"> marks]</w:t>
      </w:r>
      <w:r w:rsidRPr="00FC5C87">
        <w:rPr>
          <w:rFonts w:ascii="Arial" w:hAnsi="Arial" w:cs="Arial"/>
          <w:sz w:val="22"/>
          <w:szCs w:val="22"/>
        </w:rPr>
        <w:t xml:space="preserve"> </w:t>
      </w:r>
    </w:p>
    <w:p w14:paraId="0FD43ABB" w14:textId="77777777" w:rsidR="002F75A3" w:rsidRPr="00FC5C87" w:rsidRDefault="002F75A3" w:rsidP="002A37BB">
      <w:pPr>
        <w:jc w:val="both"/>
        <w:rPr>
          <w:rFonts w:ascii="Arial" w:hAnsi="Arial" w:cs="Arial"/>
          <w:sz w:val="22"/>
          <w:szCs w:val="22"/>
        </w:rPr>
      </w:pPr>
    </w:p>
    <w:p w14:paraId="57FF4576" w14:textId="73B6A44D" w:rsidR="009B0723" w:rsidRPr="00FC5C87" w:rsidRDefault="009B4976" w:rsidP="002A37BB">
      <w:pPr>
        <w:jc w:val="both"/>
        <w:rPr>
          <w:rFonts w:ascii="Arial" w:hAnsi="Arial" w:cs="Arial"/>
          <w:sz w:val="22"/>
          <w:szCs w:val="22"/>
        </w:rPr>
      </w:pPr>
      <w:r w:rsidRPr="00FC5C87">
        <w:rPr>
          <w:rFonts w:ascii="Arial" w:hAnsi="Arial" w:cs="Arial"/>
          <w:sz w:val="22"/>
          <w:szCs w:val="22"/>
        </w:rPr>
        <w:t>Assume that the EIR 2000 applies.</w:t>
      </w:r>
      <w:r w:rsidRPr="00FC5C87">
        <w:rPr>
          <w:rFonts w:ascii="Arial" w:hAnsi="Arial" w:cs="Arial"/>
          <w:b/>
          <w:sz w:val="22"/>
          <w:szCs w:val="22"/>
        </w:rPr>
        <w:t xml:space="preserve"> </w:t>
      </w:r>
      <w:r w:rsidRPr="00FC5C87">
        <w:rPr>
          <w:rFonts w:ascii="Arial" w:hAnsi="Arial" w:cs="Arial"/>
          <w:sz w:val="22"/>
          <w:szCs w:val="22"/>
        </w:rPr>
        <w:t xml:space="preserve">Does the </w:t>
      </w:r>
      <w:r w:rsidR="00E03AF0" w:rsidRPr="00FC5C87">
        <w:rPr>
          <w:rFonts w:ascii="Arial" w:hAnsi="Arial" w:cs="Arial"/>
          <w:sz w:val="22"/>
          <w:szCs w:val="22"/>
        </w:rPr>
        <w:t>Dublin High Court</w:t>
      </w:r>
      <w:r w:rsidRPr="00FC5C87">
        <w:rPr>
          <w:rFonts w:ascii="Arial" w:hAnsi="Arial" w:cs="Arial"/>
          <w:sz w:val="22"/>
          <w:szCs w:val="22"/>
        </w:rPr>
        <w:t xml:space="preserve"> have international jurisdiction to open the requested insolvency proceeding</w:t>
      </w:r>
      <w:r w:rsidR="004A0692" w:rsidRPr="00FC5C87">
        <w:rPr>
          <w:rFonts w:ascii="Arial" w:hAnsi="Arial" w:cs="Arial"/>
          <w:sz w:val="22"/>
          <w:szCs w:val="22"/>
        </w:rPr>
        <w:t>?</w:t>
      </w:r>
      <w:r w:rsidR="003D1974" w:rsidRPr="00FC5C87">
        <w:rPr>
          <w:rFonts w:ascii="Arial" w:hAnsi="Arial" w:cs="Arial"/>
          <w:sz w:val="22"/>
          <w:szCs w:val="22"/>
        </w:rPr>
        <w:t xml:space="preserve"> (</w:t>
      </w:r>
      <w:r w:rsidR="004A0692" w:rsidRPr="00FC5C87">
        <w:rPr>
          <w:rFonts w:ascii="Arial" w:hAnsi="Arial" w:cs="Arial"/>
          <w:sz w:val="22"/>
          <w:szCs w:val="22"/>
        </w:rPr>
        <w:t>E</w:t>
      </w:r>
      <w:r w:rsidR="00175A7D" w:rsidRPr="00FC5C87">
        <w:rPr>
          <w:rFonts w:ascii="Arial" w:hAnsi="Arial" w:cs="Arial"/>
          <w:sz w:val="22"/>
          <w:szCs w:val="22"/>
        </w:rPr>
        <w:t xml:space="preserve">xplain </w:t>
      </w:r>
      <w:r w:rsidRPr="00FC5C87">
        <w:rPr>
          <w:rFonts w:ascii="Arial" w:hAnsi="Arial" w:cs="Arial"/>
          <w:sz w:val="22"/>
          <w:szCs w:val="22"/>
        </w:rPr>
        <w:t>why</w:t>
      </w:r>
      <w:r w:rsidR="00175A7D" w:rsidRPr="00FC5C87">
        <w:rPr>
          <w:rFonts w:ascii="Arial" w:hAnsi="Arial" w:cs="Arial"/>
          <w:sz w:val="22"/>
          <w:szCs w:val="22"/>
        </w:rPr>
        <w:t xml:space="preserve"> </w:t>
      </w:r>
      <w:r w:rsidR="00A17858" w:rsidRPr="00FC5C87">
        <w:rPr>
          <w:rFonts w:ascii="Arial" w:hAnsi="Arial" w:cs="Arial"/>
          <w:sz w:val="22"/>
          <w:szCs w:val="22"/>
        </w:rPr>
        <w:t>it does or does not</w:t>
      </w:r>
      <w:r w:rsidR="003D1974" w:rsidRPr="00FC5C87">
        <w:rPr>
          <w:rFonts w:ascii="Arial" w:hAnsi="Arial" w:cs="Arial"/>
          <w:sz w:val="22"/>
          <w:szCs w:val="22"/>
        </w:rPr>
        <w:t xml:space="preserve"> have</w:t>
      </w:r>
      <w:r w:rsidR="00A17858" w:rsidRPr="00FC5C87">
        <w:rPr>
          <w:rFonts w:ascii="Arial" w:hAnsi="Arial" w:cs="Arial"/>
          <w:sz w:val="22"/>
          <w:szCs w:val="22"/>
        </w:rPr>
        <w:t xml:space="preserve"> jurisdiction</w:t>
      </w:r>
      <w:r w:rsidR="004A0692" w:rsidRPr="00FC5C87">
        <w:rPr>
          <w:rFonts w:ascii="Arial" w:hAnsi="Arial" w:cs="Arial"/>
          <w:sz w:val="22"/>
          <w:szCs w:val="22"/>
        </w:rPr>
        <w:t>.</w:t>
      </w:r>
      <w:r w:rsidR="003D1974" w:rsidRPr="00FC5C87">
        <w:rPr>
          <w:rFonts w:ascii="Arial" w:hAnsi="Arial" w:cs="Arial"/>
          <w:sz w:val="22"/>
          <w:szCs w:val="22"/>
        </w:rPr>
        <w:t>)</w:t>
      </w:r>
      <w:r w:rsidRPr="00FC5C87">
        <w:rPr>
          <w:rFonts w:ascii="Arial" w:hAnsi="Arial" w:cs="Arial"/>
          <w:sz w:val="22"/>
          <w:szCs w:val="22"/>
        </w:rPr>
        <w:t xml:space="preserve"> Your answer should contain references to the applicable law and the relevant CJEU jurisprudence.</w:t>
      </w:r>
      <w:r w:rsidR="00E03AF0" w:rsidRPr="00FC5C87">
        <w:rPr>
          <w:rFonts w:ascii="Arial" w:hAnsi="Arial" w:cs="Arial"/>
          <w:sz w:val="22"/>
          <w:szCs w:val="22"/>
        </w:rPr>
        <w:t xml:space="preserve"> </w:t>
      </w:r>
    </w:p>
    <w:p w14:paraId="631177BC" w14:textId="77777777" w:rsidR="00D95496" w:rsidRPr="00FC5C87" w:rsidRDefault="00D95496" w:rsidP="002A37BB">
      <w:pPr>
        <w:jc w:val="both"/>
        <w:rPr>
          <w:rFonts w:ascii="Arial" w:hAnsi="Arial" w:cs="Arial"/>
          <w:sz w:val="22"/>
          <w:szCs w:val="22"/>
        </w:rPr>
      </w:pPr>
    </w:p>
    <w:p w14:paraId="3BE2E827" w14:textId="77777777" w:rsidR="00617171" w:rsidRPr="00FC5C87" w:rsidRDefault="00617171" w:rsidP="00EE6DCF">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This question asks whether the Dublin High Court in Ireland has international insolvency jurisdiction under the EIR 2000.</w:t>
      </w:r>
    </w:p>
    <w:p w14:paraId="33D23775" w14:textId="33B27265" w:rsidR="00EE6DCF" w:rsidRPr="00FC5C87" w:rsidRDefault="00EE6DCF" w:rsidP="00EE6DCF">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According to </w:t>
      </w:r>
      <w:r w:rsidRPr="00FC5C87">
        <w:rPr>
          <w:rFonts w:ascii="Arial" w:hAnsi="Arial" w:cs="Arial"/>
          <w:b/>
          <w:bCs/>
          <w:color w:val="7B7B7B" w:themeColor="accent3" w:themeShade="BF"/>
          <w:sz w:val="22"/>
          <w:szCs w:val="22"/>
        </w:rPr>
        <w:t>Article 3(1) of the EIR 2000</w:t>
      </w:r>
      <w:r w:rsidRPr="00FC5C87">
        <w:rPr>
          <w:rFonts w:ascii="Arial" w:hAnsi="Arial" w:cs="Arial"/>
          <w:color w:val="7B7B7B" w:themeColor="accent3" w:themeShade="BF"/>
          <w:sz w:val="22"/>
          <w:szCs w:val="22"/>
        </w:rPr>
        <w:t xml:space="preserve">, the court of the Member State within the territory of which the </w:t>
      </w:r>
      <w:r w:rsidRPr="00FC5C87">
        <w:rPr>
          <w:rFonts w:ascii="Arial" w:hAnsi="Arial" w:cs="Arial"/>
          <w:b/>
          <w:bCs/>
          <w:color w:val="7B7B7B" w:themeColor="accent3" w:themeShade="BF"/>
          <w:sz w:val="22"/>
          <w:szCs w:val="22"/>
        </w:rPr>
        <w:t>center of a debtor’s main interests (COMI)</w:t>
      </w:r>
      <w:r w:rsidRPr="00FC5C87">
        <w:rPr>
          <w:rFonts w:ascii="Arial" w:hAnsi="Arial" w:cs="Arial"/>
          <w:color w:val="7B7B7B" w:themeColor="accent3" w:themeShade="BF"/>
          <w:sz w:val="22"/>
          <w:szCs w:val="22"/>
        </w:rPr>
        <w:t xml:space="preserve"> is situated shall have jurisdiction to open insolvency proceedings. </w:t>
      </w:r>
      <w:r w:rsidR="00F83537" w:rsidRPr="00FC5C87">
        <w:rPr>
          <w:rFonts w:ascii="Arial" w:hAnsi="Arial" w:cs="Arial"/>
          <w:color w:val="7B7B7B" w:themeColor="accent3" w:themeShade="BF"/>
          <w:sz w:val="22"/>
          <w:szCs w:val="22"/>
        </w:rPr>
        <w:t xml:space="preserve">Such a proceeding is a </w:t>
      </w:r>
      <w:r w:rsidR="00F83537" w:rsidRPr="00FC5C87">
        <w:rPr>
          <w:rFonts w:ascii="Arial" w:hAnsi="Arial" w:cs="Arial"/>
          <w:b/>
          <w:bCs/>
          <w:color w:val="7B7B7B" w:themeColor="accent3" w:themeShade="BF"/>
          <w:sz w:val="22"/>
          <w:szCs w:val="22"/>
        </w:rPr>
        <w:t>main insolvency proceeding</w:t>
      </w:r>
      <w:r w:rsidR="00F83537" w:rsidRPr="00FC5C87">
        <w:rPr>
          <w:rFonts w:ascii="Arial" w:hAnsi="Arial" w:cs="Arial"/>
          <w:color w:val="7B7B7B" w:themeColor="accent3" w:themeShade="BF"/>
          <w:sz w:val="22"/>
          <w:szCs w:val="22"/>
        </w:rPr>
        <w:t xml:space="preserve"> and has universal scope, "main" because if local proceedings are opened, they will be subject to mandatory rules of coordination, and "universal" because, unless local proceedings are opened, all assets of the debtor will be encompassed therein, wherever located (see also </w:t>
      </w:r>
      <w:hyperlink r:id="rId19" w:anchor=":~:text=the%20EU%20Document%5D-,PDF,-Download%20(386Kb)%20%7C%20Preview" w:history="1">
        <w:r w:rsidR="00F83537" w:rsidRPr="00FC5C87">
          <w:rPr>
            <w:rStyle w:val="Hyperlink"/>
            <w:rFonts w:ascii="Arial" w:hAnsi="Arial" w:cs="Arial"/>
            <w:b/>
            <w:bCs/>
            <w:sz w:val="22"/>
            <w:szCs w:val="22"/>
          </w:rPr>
          <w:t>Virgos-Schmit Report 1996</w:t>
        </w:r>
      </w:hyperlink>
      <w:r w:rsidR="00F83537" w:rsidRPr="00FC5C87">
        <w:rPr>
          <w:rFonts w:ascii="Arial" w:hAnsi="Arial" w:cs="Arial"/>
          <w:color w:val="7B7B7B" w:themeColor="accent3" w:themeShade="BF"/>
          <w:sz w:val="22"/>
          <w:szCs w:val="22"/>
        </w:rPr>
        <w:t xml:space="preserve">, </w:t>
      </w:r>
      <w:r w:rsidR="00F83537" w:rsidRPr="00FC5C87">
        <w:rPr>
          <w:rFonts w:ascii="Arial" w:hAnsi="Arial" w:cs="Arial"/>
          <w:b/>
          <w:bCs/>
          <w:color w:val="7B7B7B" w:themeColor="accent3" w:themeShade="BF"/>
          <w:sz w:val="22"/>
          <w:szCs w:val="22"/>
        </w:rPr>
        <w:t>point 14)</w:t>
      </w:r>
      <w:r w:rsidR="00F83537" w:rsidRPr="00FC5C87">
        <w:rPr>
          <w:rFonts w:ascii="Arial" w:hAnsi="Arial" w:cs="Arial"/>
          <w:color w:val="7B7B7B" w:themeColor="accent3" w:themeShade="BF"/>
          <w:sz w:val="22"/>
          <w:szCs w:val="22"/>
        </w:rPr>
        <w:t xml:space="preserve"> . </w:t>
      </w:r>
      <w:r w:rsidR="00ED5DD8" w:rsidRPr="00FC5C87">
        <w:rPr>
          <w:rFonts w:ascii="Arial" w:hAnsi="Arial" w:cs="Arial"/>
          <w:color w:val="7B7B7B" w:themeColor="accent3" w:themeShade="BF"/>
          <w:sz w:val="22"/>
          <w:szCs w:val="22"/>
        </w:rPr>
        <w:t xml:space="preserve">The COMI was not defined in the EIR 2000. However, </w:t>
      </w:r>
      <w:r w:rsidR="00ED5DD8" w:rsidRPr="00FC5C87">
        <w:rPr>
          <w:rFonts w:ascii="Arial" w:hAnsi="Arial" w:cs="Arial"/>
          <w:b/>
          <w:bCs/>
          <w:color w:val="7B7B7B" w:themeColor="accent3" w:themeShade="BF"/>
          <w:sz w:val="22"/>
          <w:szCs w:val="22"/>
        </w:rPr>
        <w:t>Recital 13</w:t>
      </w:r>
      <w:r w:rsidR="00ED5DD8" w:rsidRPr="00FC5C87">
        <w:rPr>
          <w:rFonts w:ascii="Arial" w:hAnsi="Arial" w:cs="Arial"/>
          <w:color w:val="7B7B7B" w:themeColor="accent3" w:themeShade="BF"/>
          <w:sz w:val="22"/>
          <w:szCs w:val="22"/>
        </w:rPr>
        <w:t xml:space="preserve"> provided some guidance stating that the COMI is “the place where the debtor conducts the administration of his interests on a regular basis and is therefore ascertainable by third parties”.</w:t>
      </w:r>
      <w:r w:rsidR="00F83537" w:rsidRPr="00FC5C87">
        <w:rPr>
          <w:rFonts w:ascii="Arial" w:hAnsi="Arial" w:cs="Arial"/>
          <w:color w:val="7B7B7B" w:themeColor="accent3" w:themeShade="BF"/>
          <w:sz w:val="22"/>
          <w:szCs w:val="22"/>
        </w:rPr>
        <w:t xml:space="preserve"> Normally </w:t>
      </w:r>
      <w:r w:rsidR="00BC2323" w:rsidRPr="00FC5C87">
        <w:rPr>
          <w:rFonts w:ascii="Arial" w:hAnsi="Arial" w:cs="Arial"/>
          <w:color w:val="7B7B7B" w:themeColor="accent3" w:themeShade="BF"/>
          <w:sz w:val="22"/>
          <w:szCs w:val="22"/>
        </w:rPr>
        <w:t>this</w:t>
      </w:r>
      <w:r w:rsidR="00F83537" w:rsidRPr="00FC5C87">
        <w:rPr>
          <w:rFonts w:ascii="Arial" w:hAnsi="Arial" w:cs="Arial"/>
          <w:color w:val="7B7B7B" w:themeColor="accent3" w:themeShade="BF"/>
          <w:sz w:val="22"/>
          <w:szCs w:val="22"/>
        </w:rPr>
        <w:t xml:space="preserve"> will be the place of the registered office in the case of legal persons. There can be only one main set of insolvency proceedings (</w:t>
      </w:r>
      <w:r w:rsidR="00F83537" w:rsidRPr="00FC5C87">
        <w:rPr>
          <w:rFonts w:ascii="Arial" w:hAnsi="Arial" w:cs="Arial"/>
          <w:b/>
          <w:bCs/>
          <w:color w:val="7B7B7B" w:themeColor="accent3" w:themeShade="BF"/>
          <w:sz w:val="22"/>
          <w:szCs w:val="22"/>
        </w:rPr>
        <w:t>Virgos-Schmit Report 1996, point 15</w:t>
      </w:r>
      <w:r w:rsidR="00F83537" w:rsidRPr="00FC5C87">
        <w:rPr>
          <w:rFonts w:ascii="Arial" w:hAnsi="Arial" w:cs="Arial"/>
          <w:color w:val="7B7B7B" w:themeColor="accent3" w:themeShade="BF"/>
          <w:sz w:val="22"/>
          <w:szCs w:val="22"/>
        </w:rPr>
        <w:t>)</w:t>
      </w:r>
      <w:r w:rsidR="00BC2323" w:rsidRPr="00FC5C87">
        <w:rPr>
          <w:rFonts w:ascii="Arial" w:hAnsi="Arial" w:cs="Arial"/>
          <w:color w:val="7B7B7B" w:themeColor="accent3" w:themeShade="BF"/>
          <w:sz w:val="22"/>
          <w:szCs w:val="22"/>
        </w:rPr>
        <w:t>.</w:t>
      </w:r>
    </w:p>
    <w:p w14:paraId="2A11C1DE" w14:textId="65A3978C" w:rsidR="00EE6DCF" w:rsidRPr="00FC5C87" w:rsidRDefault="00A01372" w:rsidP="00EE6DCF">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Article 3(1) </w:t>
      </w:r>
      <w:r w:rsidR="00BC2323" w:rsidRPr="00FC5C87">
        <w:rPr>
          <w:rFonts w:ascii="Arial" w:hAnsi="Arial" w:cs="Arial"/>
          <w:color w:val="7B7B7B" w:themeColor="accent3" w:themeShade="BF"/>
          <w:sz w:val="22"/>
          <w:szCs w:val="22"/>
        </w:rPr>
        <w:t xml:space="preserve">also </w:t>
      </w:r>
      <w:r w:rsidRPr="00FC5C87">
        <w:rPr>
          <w:rFonts w:ascii="Arial" w:hAnsi="Arial" w:cs="Arial"/>
          <w:color w:val="7B7B7B" w:themeColor="accent3" w:themeShade="BF"/>
          <w:sz w:val="22"/>
          <w:szCs w:val="22"/>
        </w:rPr>
        <w:t>stipulates that, f</w:t>
      </w:r>
      <w:r w:rsidR="00EE6DCF" w:rsidRPr="00FC5C87">
        <w:rPr>
          <w:rFonts w:ascii="Arial" w:hAnsi="Arial" w:cs="Arial"/>
          <w:color w:val="7B7B7B" w:themeColor="accent3" w:themeShade="BF"/>
          <w:sz w:val="22"/>
          <w:szCs w:val="22"/>
        </w:rPr>
        <w:t xml:space="preserve">or companies or legal persons, the place of the </w:t>
      </w:r>
      <w:r w:rsidR="00EE6DCF" w:rsidRPr="00FC5C87">
        <w:rPr>
          <w:rFonts w:ascii="Arial" w:hAnsi="Arial" w:cs="Arial"/>
          <w:b/>
          <w:bCs/>
          <w:color w:val="7B7B7B" w:themeColor="accent3" w:themeShade="BF"/>
          <w:sz w:val="22"/>
          <w:szCs w:val="22"/>
        </w:rPr>
        <w:t xml:space="preserve">registered </w:t>
      </w:r>
      <w:r w:rsidR="00ED5DD8" w:rsidRPr="00FC5C87">
        <w:rPr>
          <w:rFonts w:ascii="Arial" w:hAnsi="Arial" w:cs="Arial"/>
          <w:b/>
          <w:bCs/>
          <w:color w:val="7B7B7B" w:themeColor="accent3" w:themeShade="BF"/>
          <w:sz w:val="22"/>
          <w:szCs w:val="22"/>
        </w:rPr>
        <w:t>office</w:t>
      </w:r>
      <w:r w:rsidR="00ED5DD8" w:rsidRPr="00FC5C87">
        <w:rPr>
          <w:rFonts w:ascii="Arial" w:hAnsi="Arial" w:cs="Arial"/>
          <w:color w:val="7B7B7B" w:themeColor="accent3" w:themeShade="BF"/>
          <w:sz w:val="22"/>
          <w:szCs w:val="22"/>
        </w:rPr>
        <w:t xml:space="preserve"> </w:t>
      </w:r>
      <w:r w:rsidR="00EE6DCF" w:rsidRPr="00FC5C87">
        <w:rPr>
          <w:rFonts w:ascii="Arial" w:hAnsi="Arial" w:cs="Arial"/>
          <w:b/>
          <w:bCs/>
          <w:color w:val="7B7B7B" w:themeColor="accent3" w:themeShade="BF"/>
          <w:sz w:val="22"/>
          <w:szCs w:val="22"/>
        </w:rPr>
        <w:t>shall be presumed</w:t>
      </w:r>
      <w:r w:rsidR="00EE6DCF" w:rsidRPr="00FC5C87">
        <w:rPr>
          <w:rFonts w:ascii="Arial" w:hAnsi="Arial" w:cs="Arial"/>
          <w:color w:val="7B7B7B" w:themeColor="accent3" w:themeShade="BF"/>
          <w:sz w:val="22"/>
          <w:szCs w:val="22"/>
        </w:rPr>
        <w:t xml:space="preserve"> to be the COMI, </w:t>
      </w:r>
      <w:r w:rsidR="00E81984">
        <w:rPr>
          <w:rFonts w:ascii="Arial" w:hAnsi="Arial" w:cs="Arial"/>
          <w:color w:val="7B7B7B" w:themeColor="accent3" w:themeShade="BF"/>
          <w:sz w:val="22"/>
          <w:szCs w:val="22"/>
        </w:rPr>
        <w:t xml:space="preserve">in </w:t>
      </w:r>
      <w:r w:rsidR="00EE6DCF" w:rsidRPr="00FC5C87">
        <w:rPr>
          <w:rFonts w:ascii="Arial" w:hAnsi="Arial" w:cs="Arial"/>
          <w:color w:val="7B7B7B" w:themeColor="accent3" w:themeShade="BF"/>
          <w:sz w:val="22"/>
          <w:szCs w:val="22"/>
        </w:rPr>
        <w:t>absence of proof to the contrary.</w:t>
      </w:r>
    </w:p>
    <w:p w14:paraId="033D71FE" w14:textId="7BE30FF8" w:rsidR="00A01372" w:rsidRPr="00FC5C87" w:rsidRDefault="00A01372" w:rsidP="00EE6DCF">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In </w:t>
      </w:r>
      <w:hyperlink r:id="rId20" w:history="1">
        <w:r w:rsidRPr="00FC5C87">
          <w:rPr>
            <w:rStyle w:val="Hyperlink"/>
            <w:rFonts w:ascii="Arial" w:hAnsi="Arial" w:cs="Arial"/>
            <w:b/>
            <w:bCs/>
            <w:i/>
            <w:iCs/>
            <w:sz w:val="22"/>
            <w:szCs w:val="22"/>
          </w:rPr>
          <w:t xml:space="preserve">Case C-341/04 </w:t>
        </w:r>
        <w:proofErr w:type="spellStart"/>
        <w:r w:rsidRPr="00FC5C87">
          <w:rPr>
            <w:rStyle w:val="Hyperlink"/>
            <w:rFonts w:ascii="Arial" w:hAnsi="Arial" w:cs="Arial"/>
            <w:b/>
            <w:bCs/>
            <w:i/>
            <w:iCs/>
            <w:sz w:val="22"/>
            <w:szCs w:val="22"/>
          </w:rPr>
          <w:t>Eurofood</w:t>
        </w:r>
        <w:proofErr w:type="spellEnd"/>
        <w:r w:rsidRPr="00FC5C87">
          <w:rPr>
            <w:rStyle w:val="Hyperlink"/>
            <w:rFonts w:ascii="Arial" w:hAnsi="Arial" w:cs="Arial"/>
            <w:b/>
            <w:bCs/>
            <w:i/>
            <w:iCs/>
            <w:sz w:val="22"/>
            <w:szCs w:val="22"/>
          </w:rPr>
          <w:t xml:space="preserve"> IFSC Ltd</w:t>
        </w:r>
      </w:hyperlink>
      <w:r w:rsidRPr="00FC5C87">
        <w:rPr>
          <w:rFonts w:ascii="Arial" w:hAnsi="Arial" w:cs="Arial"/>
          <w:color w:val="7B7B7B" w:themeColor="accent3" w:themeShade="BF"/>
          <w:sz w:val="22"/>
          <w:szCs w:val="22"/>
        </w:rPr>
        <w:t>, the CJEU ruled that the COMI has an autonomous meaning</w:t>
      </w:r>
      <w:r w:rsidR="00805C5F" w:rsidRPr="00FC5C87">
        <w:rPr>
          <w:rFonts w:ascii="Arial" w:hAnsi="Arial" w:cs="Arial"/>
          <w:color w:val="7B7B7B" w:themeColor="accent3" w:themeShade="BF"/>
          <w:sz w:val="22"/>
          <w:szCs w:val="22"/>
        </w:rPr>
        <w:t xml:space="preserve"> and should be interpreted uniformly, independent from national interpretation of the term (see </w:t>
      </w:r>
      <w:hyperlink r:id="rId21" w:anchor=":~:text=autonomous%20meaning%20and%20must%20therefore%20be%20interpreted%20in%20a%20uniform%20way%2C%20independently%20of%20national%20legislation" w:history="1">
        <w:r w:rsidR="00805C5F" w:rsidRPr="00FC5C87">
          <w:rPr>
            <w:rStyle w:val="Hyperlink"/>
            <w:rFonts w:ascii="Arial" w:hAnsi="Arial" w:cs="Arial"/>
            <w:sz w:val="22"/>
            <w:szCs w:val="22"/>
          </w:rPr>
          <w:t xml:space="preserve">paragraph </w:t>
        </w:r>
        <w:r w:rsidR="00805C5F" w:rsidRPr="00FC5C87">
          <w:rPr>
            <w:rStyle w:val="Hyperlink"/>
            <w:rFonts w:ascii="Arial" w:hAnsi="Arial" w:cs="Arial"/>
            <w:b/>
            <w:bCs/>
            <w:sz w:val="22"/>
            <w:szCs w:val="22"/>
          </w:rPr>
          <w:t>31</w:t>
        </w:r>
      </w:hyperlink>
      <w:r w:rsidR="00805C5F" w:rsidRPr="00FC5C87">
        <w:rPr>
          <w:rFonts w:ascii="Arial" w:hAnsi="Arial" w:cs="Arial"/>
          <w:color w:val="7B7B7B" w:themeColor="accent3" w:themeShade="BF"/>
          <w:sz w:val="22"/>
          <w:szCs w:val="22"/>
        </w:rPr>
        <w:t>). It also stated that the COMI should be identified by reference to objective criteria that are ascertainable by third parties in order to ensure legal certainty and foreseeability</w:t>
      </w:r>
      <w:r w:rsidR="00836332" w:rsidRPr="00FC5C87">
        <w:rPr>
          <w:rFonts w:ascii="Arial" w:hAnsi="Arial" w:cs="Arial"/>
          <w:color w:val="7B7B7B" w:themeColor="accent3" w:themeShade="BF"/>
          <w:sz w:val="22"/>
          <w:szCs w:val="22"/>
        </w:rPr>
        <w:t xml:space="preserve"> (</w:t>
      </w:r>
      <w:hyperlink r:id="rId22" w:anchor=":~:text=That%20definition%20shows,is%20to%20apply" w:history="1">
        <w:r w:rsidR="00836332" w:rsidRPr="00FC5C87">
          <w:rPr>
            <w:rStyle w:val="Hyperlink"/>
            <w:rFonts w:ascii="Arial" w:hAnsi="Arial" w:cs="Arial"/>
            <w:sz w:val="22"/>
            <w:szCs w:val="22"/>
          </w:rPr>
          <w:t xml:space="preserve">paragraph </w:t>
        </w:r>
        <w:r w:rsidR="00836332" w:rsidRPr="00FC5C87">
          <w:rPr>
            <w:rStyle w:val="Hyperlink"/>
            <w:rFonts w:ascii="Arial" w:hAnsi="Arial" w:cs="Arial"/>
            <w:b/>
            <w:bCs/>
            <w:sz w:val="22"/>
            <w:szCs w:val="22"/>
          </w:rPr>
          <w:t>33</w:t>
        </w:r>
      </w:hyperlink>
      <w:r w:rsidR="00836332" w:rsidRPr="00FC5C87">
        <w:rPr>
          <w:rFonts w:ascii="Arial" w:hAnsi="Arial" w:cs="Arial"/>
          <w:color w:val="7B7B7B" w:themeColor="accent3" w:themeShade="BF"/>
          <w:sz w:val="22"/>
          <w:szCs w:val="22"/>
        </w:rPr>
        <w:t>). Thus, the registered office presumption can only be rebutted if objective factors which are ascertainable by third parties could lead to the conclusion that the COMI is located elsewhere tha</w:t>
      </w:r>
      <w:r w:rsidR="00E81984">
        <w:rPr>
          <w:rFonts w:ascii="Arial" w:hAnsi="Arial" w:cs="Arial"/>
          <w:color w:val="7B7B7B" w:themeColor="accent3" w:themeShade="BF"/>
          <w:sz w:val="22"/>
          <w:szCs w:val="22"/>
        </w:rPr>
        <w:t>n</w:t>
      </w:r>
      <w:r w:rsidR="00836332" w:rsidRPr="00FC5C87">
        <w:rPr>
          <w:rFonts w:ascii="Arial" w:hAnsi="Arial" w:cs="Arial"/>
          <w:color w:val="7B7B7B" w:themeColor="accent3" w:themeShade="BF"/>
          <w:sz w:val="22"/>
          <w:szCs w:val="22"/>
        </w:rPr>
        <w:t xml:space="preserve"> the registered office – such as letterbox companies (</w:t>
      </w:r>
      <w:hyperlink r:id="rId23" w:anchor=":~:text=34%C2%A0%C2%A0%C2%A0%C2%A0%C2%A0%C2%A0It%20follows,office%20is%20situated." w:history="1">
        <w:r w:rsidR="00836332" w:rsidRPr="00FC5C87">
          <w:rPr>
            <w:rStyle w:val="Hyperlink"/>
            <w:rFonts w:ascii="Arial" w:hAnsi="Arial" w:cs="Arial"/>
            <w:sz w:val="22"/>
            <w:szCs w:val="22"/>
          </w:rPr>
          <w:t>paragraph</w:t>
        </w:r>
        <w:r w:rsidR="0009183D" w:rsidRPr="00FC5C87">
          <w:rPr>
            <w:rStyle w:val="Hyperlink"/>
            <w:rFonts w:ascii="Arial" w:hAnsi="Arial" w:cs="Arial"/>
            <w:sz w:val="22"/>
            <w:szCs w:val="22"/>
          </w:rPr>
          <w:t>s</w:t>
        </w:r>
        <w:r w:rsidR="00836332" w:rsidRPr="00FC5C87">
          <w:rPr>
            <w:rStyle w:val="Hyperlink"/>
            <w:rFonts w:ascii="Arial" w:hAnsi="Arial" w:cs="Arial"/>
            <w:sz w:val="22"/>
            <w:szCs w:val="22"/>
          </w:rPr>
          <w:t xml:space="preserve"> </w:t>
        </w:r>
        <w:r w:rsidR="00836332" w:rsidRPr="00FC5C87">
          <w:rPr>
            <w:rStyle w:val="Hyperlink"/>
            <w:rFonts w:ascii="Arial" w:hAnsi="Arial" w:cs="Arial"/>
            <w:b/>
            <w:bCs/>
            <w:sz w:val="22"/>
            <w:szCs w:val="22"/>
          </w:rPr>
          <w:t>34&amp;35</w:t>
        </w:r>
      </w:hyperlink>
      <w:r w:rsidR="00836332" w:rsidRPr="00FC5C87">
        <w:rPr>
          <w:rFonts w:ascii="Arial" w:hAnsi="Arial" w:cs="Arial"/>
          <w:color w:val="7B7B7B" w:themeColor="accent3" w:themeShade="BF"/>
          <w:sz w:val="22"/>
          <w:szCs w:val="22"/>
        </w:rPr>
        <w:t>).</w:t>
      </w:r>
    </w:p>
    <w:p w14:paraId="525DBC99" w14:textId="00FE542C" w:rsidR="00836332" w:rsidRPr="00FC5C87" w:rsidRDefault="00836332" w:rsidP="00EE6DCF">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The “ascertainability by third parties”- criteria is linked to the time factor meaning that the activities of the debtor should be regular and lasting for a COMI to be established. The rationality derives from </w:t>
      </w:r>
      <w:r w:rsidR="00965891" w:rsidRPr="00FC5C87">
        <w:rPr>
          <w:rFonts w:ascii="Arial" w:hAnsi="Arial" w:cs="Arial"/>
          <w:color w:val="7B7B7B" w:themeColor="accent3" w:themeShade="BF"/>
          <w:sz w:val="22"/>
          <w:szCs w:val="22"/>
        </w:rPr>
        <w:t>the fight against abusive forum shopping for a more favorable legal position to the detriment of the general body of creditors of the debtor.</w:t>
      </w:r>
    </w:p>
    <w:p w14:paraId="7292243A" w14:textId="0067883B" w:rsidR="00A56E65" w:rsidRPr="00FC5C87" w:rsidRDefault="00EE6DCF" w:rsidP="00EE6DCF">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In this case, the registered office of the furniture company “Cardinal Home” is located in Ireland. </w:t>
      </w:r>
      <w:r w:rsidR="00A56E65" w:rsidRPr="00FC5C87">
        <w:rPr>
          <w:rFonts w:ascii="Arial" w:hAnsi="Arial" w:cs="Arial"/>
          <w:color w:val="7B7B7B" w:themeColor="accent3" w:themeShade="BF"/>
          <w:sz w:val="22"/>
          <w:szCs w:val="22"/>
        </w:rPr>
        <w:t>Therefore the COMI is presumed to be in Ireland.</w:t>
      </w:r>
      <w:r w:rsidR="00343BC3" w:rsidRPr="00FC5C87">
        <w:rPr>
          <w:rFonts w:ascii="Arial" w:hAnsi="Arial" w:cs="Arial"/>
          <w:color w:val="7B7B7B" w:themeColor="accent3" w:themeShade="BF"/>
          <w:sz w:val="22"/>
          <w:szCs w:val="22"/>
        </w:rPr>
        <w:t xml:space="preserve"> </w:t>
      </w:r>
      <w:r w:rsidR="00A56E65" w:rsidRPr="00FC5C87">
        <w:rPr>
          <w:rFonts w:ascii="Arial" w:hAnsi="Arial" w:cs="Arial"/>
          <w:color w:val="7B7B7B" w:themeColor="accent3" w:themeShade="BF"/>
          <w:sz w:val="22"/>
          <w:szCs w:val="22"/>
        </w:rPr>
        <w:t>As such, the Dublin High Court in Ireland should</w:t>
      </w:r>
      <w:r w:rsidR="00ED5DD8" w:rsidRPr="00FC5C87">
        <w:rPr>
          <w:rFonts w:ascii="Arial" w:hAnsi="Arial" w:cs="Arial"/>
          <w:color w:val="7B7B7B" w:themeColor="accent3" w:themeShade="BF"/>
          <w:sz w:val="22"/>
          <w:szCs w:val="22"/>
        </w:rPr>
        <w:t>, in principle,</w:t>
      </w:r>
      <w:r w:rsidR="00A56E65" w:rsidRPr="00FC5C87">
        <w:rPr>
          <w:rFonts w:ascii="Arial" w:hAnsi="Arial" w:cs="Arial"/>
          <w:color w:val="7B7B7B" w:themeColor="accent3" w:themeShade="BF"/>
          <w:sz w:val="22"/>
          <w:szCs w:val="22"/>
        </w:rPr>
        <w:t xml:space="preserve"> have international jurisdiction to open the requested insolvency proceeding</w:t>
      </w:r>
      <w:r w:rsidR="00ED5DD8" w:rsidRPr="00FC5C87">
        <w:rPr>
          <w:rFonts w:ascii="Arial" w:hAnsi="Arial" w:cs="Arial"/>
          <w:color w:val="7B7B7B" w:themeColor="accent3" w:themeShade="BF"/>
          <w:sz w:val="22"/>
          <w:szCs w:val="22"/>
        </w:rPr>
        <w:t>.</w:t>
      </w:r>
    </w:p>
    <w:p w14:paraId="56D0E83F" w14:textId="34FE81D3" w:rsidR="001B40AA" w:rsidRPr="00FC5C87" w:rsidRDefault="00343BC3" w:rsidP="00EE6DCF">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However, it is clear from the facts of the case that Cardinal Home has a warehouse in Milan, entered into a credit agreement with an Italian bank, opened a bank account and negotiated with local distributers</w:t>
      </w:r>
      <w:r w:rsidR="00E81984">
        <w:rPr>
          <w:rFonts w:ascii="Arial" w:hAnsi="Arial" w:cs="Arial"/>
          <w:color w:val="7B7B7B" w:themeColor="accent3" w:themeShade="BF"/>
          <w:sz w:val="22"/>
          <w:szCs w:val="22"/>
        </w:rPr>
        <w:t xml:space="preserve"> by</w:t>
      </w:r>
      <w:r w:rsidRPr="00FC5C87">
        <w:rPr>
          <w:rFonts w:ascii="Arial" w:hAnsi="Arial" w:cs="Arial"/>
          <w:color w:val="7B7B7B" w:themeColor="accent3" w:themeShade="BF"/>
          <w:sz w:val="22"/>
          <w:szCs w:val="22"/>
        </w:rPr>
        <w:t xml:space="preserve"> signing some (non-binding) memoranda of understanding with them. </w:t>
      </w:r>
    </w:p>
    <w:p w14:paraId="49924C80" w14:textId="04A8583A" w:rsidR="00343BC3" w:rsidRPr="00FC5C87" w:rsidRDefault="001B40AA" w:rsidP="00EE6DCF">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On the other hand, the registered office is in Ireland, the first store was opened in Cork, and it has warehouses across Europe (and not only in Milan). </w:t>
      </w:r>
      <w:r w:rsidR="00343BC3" w:rsidRPr="00FC5C87">
        <w:rPr>
          <w:rFonts w:ascii="Arial" w:hAnsi="Arial" w:cs="Arial"/>
          <w:color w:val="7B7B7B" w:themeColor="accent3" w:themeShade="BF"/>
          <w:sz w:val="22"/>
          <w:szCs w:val="22"/>
        </w:rPr>
        <w:t xml:space="preserve">The question is whether the registered office presumption </w:t>
      </w:r>
      <w:r w:rsidR="00E81984">
        <w:rPr>
          <w:rFonts w:ascii="Arial" w:hAnsi="Arial" w:cs="Arial"/>
          <w:color w:val="7B7B7B" w:themeColor="accent3" w:themeShade="BF"/>
          <w:sz w:val="22"/>
          <w:szCs w:val="22"/>
        </w:rPr>
        <w:t>c</w:t>
      </w:r>
      <w:r w:rsidR="00343BC3" w:rsidRPr="00FC5C87">
        <w:rPr>
          <w:rFonts w:ascii="Arial" w:hAnsi="Arial" w:cs="Arial"/>
          <w:color w:val="7B7B7B" w:themeColor="accent3" w:themeShade="BF"/>
          <w:sz w:val="22"/>
          <w:szCs w:val="22"/>
        </w:rPr>
        <w:t>ould be rebutted.</w:t>
      </w:r>
    </w:p>
    <w:p w14:paraId="602F82D2" w14:textId="4BED9274" w:rsidR="00343BC3" w:rsidRPr="00FC5C87" w:rsidRDefault="00343BC3" w:rsidP="00343BC3">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In </w:t>
      </w:r>
      <w:hyperlink r:id="rId24" w:history="1">
        <w:r w:rsidRPr="00FC5C87">
          <w:rPr>
            <w:rStyle w:val="Hyperlink"/>
            <w:rFonts w:ascii="Arial" w:hAnsi="Arial" w:cs="Arial"/>
            <w:b/>
            <w:bCs/>
            <w:i/>
            <w:iCs/>
            <w:sz w:val="22"/>
            <w:szCs w:val="22"/>
          </w:rPr>
          <w:t xml:space="preserve">Case C-396/09 </w:t>
        </w:r>
        <w:proofErr w:type="spellStart"/>
        <w:r w:rsidRPr="00FC5C87">
          <w:rPr>
            <w:rStyle w:val="Hyperlink"/>
            <w:rFonts w:ascii="Arial" w:hAnsi="Arial" w:cs="Arial"/>
            <w:b/>
            <w:bCs/>
            <w:i/>
            <w:iCs/>
            <w:sz w:val="22"/>
            <w:szCs w:val="22"/>
          </w:rPr>
          <w:t>Interedil</w:t>
        </w:r>
        <w:proofErr w:type="spellEnd"/>
        <w:r w:rsidRPr="00FC5C87">
          <w:rPr>
            <w:rStyle w:val="Hyperlink"/>
            <w:rFonts w:ascii="Arial" w:hAnsi="Arial" w:cs="Arial"/>
            <w:b/>
            <w:bCs/>
            <w:i/>
            <w:iCs/>
            <w:sz w:val="22"/>
            <w:szCs w:val="22"/>
          </w:rPr>
          <w:t xml:space="preserve"> </w:t>
        </w:r>
        <w:proofErr w:type="spellStart"/>
        <w:r w:rsidRPr="00FC5C87">
          <w:rPr>
            <w:rStyle w:val="Hyperlink"/>
            <w:rFonts w:ascii="Arial" w:hAnsi="Arial" w:cs="Arial"/>
            <w:b/>
            <w:bCs/>
            <w:i/>
            <w:iCs/>
            <w:sz w:val="22"/>
            <w:szCs w:val="22"/>
          </w:rPr>
          <w:t>Srl</w:t>
        </w:r>
        <w:proofErr w:type="spellEnd"/>
        <w:r w:rsidRPr="00FC5C87">
          <w:rPr>
            <w:rStyle w:val="Hyperlink"/>
            <w:rFonts w:ascii="Arial" w:hAnsi="Arial" w:cs="Arial"/>
            <w:b/>
            <w:bCs/>
            <w:i/>
            <w:iCs/>
            <w:sz w:val="22"/>
            <w:szCs w:val="22"/>
          </w:rPr>
          <w:t xml:space="preserve">, in liquidation v </w:t>
        </w:r>
        <w:proofErr w:type="spellStart"/>
        <w:r w:rsidRPr="00FC5C87">
          <w:rPr>
            <w:rStyle w:val="Hyperlink"/>
            <w:rFonts w:ascii="Arial" w:hAnsi="Arial" w:cs="Arial"/>
            <w:b/>
            <w:bCs/>
            <w:i/>
            <w:iCs/>
            <w:sz w:val="22"/>
            <w:szCs w:val="22"/>
          </w:rPr>
          <w:t>Fallimento</w:t>
        </w:r>
        <w:proofErr w:type="spellEnd"/>
      </w:hyperlink>
      <w:r w:rsidRPr="00FC5C87">
        <w:rPr>
          <w:rFonts w:ascii="Arial" w:hAnsi="Arial" w:cs="Arial"/>
          <w:color w:val="7B7B7B" w:themeColor="accent3" w:themeShade="BF"/>
          <w:sz w:val="22"/>
          <w:szCs w:val="22"/>
        </w:rPr>
        <w:t>, the CJEU stated that the registered office presumption is irrebuttable and wholly applicable if “the bodies responsible for the management and supervision of the debtor are in the same place as its registered office and the management decisions of the company are taken, in a manner that is ascertainable by third parties” (</w:t>
      </w:r>
      <w:hyperlink r:id="rId25" w:anchor=":~:text=It%20follows%20that%2C%20where,place%20is%20wholly%20applicable." w:history="1">
        <w:r w:rsidRPr="00FC5C87">
          <w:rPr>
            <w:rStyle w:val="Hyperlink"/>
            <w:rFonts w:ascii="Arial" w:hAnsi="Arial" w:cs="Arial"/>
            <w:sz w:val="22"/>
            <w:szCs w:val="22"/>
          </w:rPr>
          <w:t xml:space="preserve">paragraph </w:t>
        </w:r>
        <w:r w:rsidRPr="00FC5C87">
          <w:rPr>
            <w:rStyle w:val="Hyperlink"/>
            <w:rFonts w:ascii="Arial" w:hAnsi="Arial" w:cs="Arial"/>
            <w:b/>
            <w:bCs/>
            <w:sz w:val="22"/>
            <w:szCs w:val="22"/>
          </w:rPr>
          <w:t>50</w:t>
        </w:r>
      </w:hyperlink>
      <w:r w:rsidRPr="00FC5C87">
        <w:rPr>
          <w:rFonts w:ascii="Arial" w:hAnsi="Arial" w:cs="Arial"/>
          <w:color w:val="7B7B7B" w:themeColor="accent3" w:themeShade="BF"/>
          <w:sz w:val="22"/>
          <w:szCs w:val="22"/>
        </w:rPr>
        <w:t xml:space="preserve">). The CJEU recalled its ruling of the </w:t>
      </w:r>
      <w:proofErr w:type="spellStart"/>
      <w:r w:rsidRPr="00FC5C87">
        <w:rPr>
          <w:rFonts w:ascii="Arial" w:hAnsi="Arial" w:cs="Arial"/>
          <w:i/>
          <w:iCs/>
          <w:color w:val="7B7B7B" w:themeColor="accent3" w:themeShade="BF"/>
          <w:sz w:val="22"/>
          <w:szCs w:val="22"/>
        </w:rPr>
        <w:t>Eurofood</w:t>
      </w:r>
      <w:proofErr w:type="spellEnd"/>
      <w:r w:rsidRPr="00FC5C87">
        <w:rPr>
          <w:rFonts w:ascii="Arial" w:hAnsi="Arial" w:cs="Arial"/>
          <w:i/>
          <w:iCs/>
          <w:color w:val="7B7B7B" w:themeColor="accent3" w:themeShade="BF"/>
          <w:sz w:val="22"/>
          <w:szCs w:val="22"/>
        </w:rPr>
        <w:t xml:space="preserve"> case </w:t>
      </w:r>
      <w:r w:rsidRPr="00FC5C87">
        <w:rPr>
          <w:rFonts w:ascii="Arial" w:hAnsi="Arial" w:cs="Arial"/>
          <w:color w:val="7B7B7B" w:themeColor="accent3" w:themeShade="BF"/>
          <w:sz w:val="22"/>
          <w:szCs w:val="22"/>
        </w:rPr>
        <w:t>and stated that the presumption could be rebutted if, from the viewpoint of third parties, the place of a company’s central administration is located elsewhere than that of its registered office. In other words, “if factors which are both objective and ascertainable by third parties enable it to be established (…)” that the COMI’s location does not coincide with the place of the registered office (</w:t>
      </w:r>
      <w:hyperlink r:id="rId26" w:anchor=":~:text=51%C2%A0%C2%A0%C2%A0%C2%A0%C2%A0%C2%A0-,The%20presumption%20in%20the%20second%20sentence%20of%20Article%203(1,locating%20it%20at%20that%20registered%20office%20is%20deemed%20to%20reflect,-." w:history="1">
        <w:r w:rsidRPr="00FC5C87">
          <w:rPr>
            <w:rStyle w:val="Hyperlink"/>
            <w:rFonts w:ascii="Arial" w:hAnsi="Arial" w:cs="Arial"/>
            <w:sz w:val="22"/>
            <w:szCs w:val="22"/>
          </w:rPr>
          <w:t xml:space="preserve">paragraph </w:t>
        </w:r>
        <w:r w:rsidRPr="00FC5C87">
          <w:rPr>
            <w:rStyle w:val="Hyperlink"/>
            <w:rFonts w:ascii="Arial" w:hAnsi="Arial" w:cs="Arial"/>
            <w:b/>
            <w:bCs/>
            <w:sz w:val="22"/>
            <w:szCs w:val="22"/>
          </w:rPr>
          <w:t>51</w:t>
        </w:r>
      </w:hyperlink>
      <w:r w:rsidRPr="00FC5C87">
        <w:rPr>
          <w:rFonts w:ascii="Arial" w:hAnsi="Arial" w:cs="Arial"/>
          <w:color w:val="7B7B7B" w:themeColor="accent3" w:themeShade="BF"/>
          <w:sz w:val="22"/>
          <w:szCs w:val="22"/>
        </w:rPr>
        <w:t>). More importantly, the CJEU rules that the mere presence of company assets, contracts</w:t>
      </w:r>
      <w:r w:rsidR="001B40AA" w:rsidRPr="00FC5C87">
        <w:rPr>
          <w:rFonts w:ascii="Arial" w:hAnsi="Arial" w:cs="Arial"/>
          <w:color w:val="7B7B7B" w:themeColor="accent3" w:themeShade="BF"/>
          <w:sz w:val="22"/>
          <w:szCs w:val="22"/>
        </w:rPr>
        <w:t xml:space="preserve"> (concluded with a financial institution)</w:t>
      </w:r>
      <w:r w:rsidRPr="00FC5C87">
        <w:rPr>
          <w:rFonts w:ascii="Arial" w:hAnsi="Arial" w:cs="Arial"/>
          <w:color w:val="7B7B7B" w:themeColor="accent3" w:themeShade="BF"/>
          <w:sz w:val="22"/>
          <w:szCs w:val="22"/>
        </w:rPr>
        <w:t xml:space="preserve">, </w:t>
      </w:r>
      <w:proofErr w:type="spellStart"/>
      <w:r w:rsidRPr="00FC5C87">
        <w:rPr>
          <w:rFonts w:ascii="Arial" w:hAnsi="Arial" w:cs="Arial"/>
          <w:color w:val="7B7B7B" w:themeColor="accent3" w:themeShade="BF"/>
          <w:sz w:val="22"/>
          <w:szCs w:val="22"/>
        </w:rPr>
        <w:t>etc</w:t>
      </w:r>
      <w:proofErr w:type="spellEnd"/>
      <w:r w:rsidRPr="00FC5C87">
        <w:rPr>
          <w:rFonts w:ascii="Arial" w:hAnsi="Arial" w:cs="Arial"/>
          <w:color w:val="7B7B7B" w:themeColor="accent3" w:themeShade="BF"/>
          <w:sz w:val="22"/>
          <w:szCs w:val="22"/>
        </w:rPr>
        <w:t xml:space="preserve"> located in a Member State other than that in which the registered office is situated cannot be seen “as sufficient factors to rebut the [registered office] presumption (…) unless a comprehensive assessment of all the relevant factors makes it possible to establish, in a manner that is ascertainable by third parties, that the company’s [COMI] is located in [an]other </w:t>
      </w:r>
      <w:bookmarkStart w:id="2" w:name="_Hlk92649326"/>
      <w:r w:rsidRPr="00FC5C87">
        <w:rPr>
          <w:rFonts w:ascii="Arial" w:hAnsi="Arial" w:cs="Arial"/>
          <w:color w:val="7B7B7B" w:themeColor="accent3" w:themeShade="BF"/>
          <w:sz w:val="22"/>
          <w:szCs w:val="22"/>
        </w:rPr>
        <w:t>Member State” (</w:t>
      </w:r>
      <w:hyperlink r:id="rId27" w:anchor=":~:text=immovable%20property%20owned,other%20Member%20State" w:history="1">
        <w:r w:rsidRPr="00FC5C87">
          <w:rPr>
            <w:rStyle w:val="Hyperlink"/>
            <w:rFonts w:ascii="Arial" w:hAnsi="Arial" w:cs="Arial"/>
            <w:sz w:val="22"/>
            <w:szCs w:val="22"/>
          </w:rPr>
          <w:t xml:space="preserve">paragraph </w:t>
        </w:r>
        <w:r w:rsidRPr="00FC5C87">
          <w:rPr>
            <w:rStyle w:val="Hyperlink"/>
            <w:rFonts w:ascii="Arial" w:hAnsi="Arial" w:cs="Arial"/>
            <w:b/>
            <w:bCs/>
            <w:sz w:val="22"/>
            <w:szCs w:val="22"/>
          </w:rPr>
          <w:t>53</w:t>
        </w:r>
      </w:hyperlink>
      <w:r w:rsidRPr="00FC5C87">
        <w:rPr>
          <w:rFonts w:ascii="Arial" w:hAnsi="Arial" w:cs="Arial"/>
          <w:color w:val="7B7B7B" w:themeColor="accent3" w:themeShade="BF"/>
          <w:sz w:val="22"/>
          <w:szCs w:val="22"/>
        </w:rPr>
        <w:t>).</w:t>
      </w:r>
    </w:p>
    <w:p w14:paraId="614B82F2" w14:textId="35E76F6C" w:rsidR="00343BC3" w:rsidRPr="00FC5C87" w:rsidRDefault="00343BC3" w:rsidP="00EE6DCF">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Thus, </w:t>
      </w:r>
      <w:r w:rsidR="007A14F8" w:rsidRPr="00FC5C87">
        <w:rPr>
          <w:rFonts w:ascii="Arial" w:hAnsi="Arial" w:cs="Arial"/>
          <w:color w:val="7B7B7B" w:themeColor="accent3" w:themeShade="BF"/>
          <w:sz w:val="22"/>
          <w:szCs w:val="22"/>
        </w:rPr>
        <w:t xml:space="preserve">while </w:t>
      </w:r>
      <w:r w:rsidRPr="00FC5C87">
        <w:rPr>
          <w:rFonts w:ascii="Arial" w:hAnsi="Arial" w:cs="Arial"/>
          <w:color w:val="7B7B7B" w:themeColor="accent3" w:themeShade="BF"/>
          <w:sz w:val="22"/>
          <w:szCs w:val="22"/>
        </w:rPr>
        <w:t>one could argue that</w:t>
      </w:r>
      <w:r w:rsidR="007A14F8" w:rsidRPr="00FC5C87">
        <w:rPr>
          <w:rFonts w:ascii="Arial" w:hAnsi="Arial" w:cs="Arial"/>
          <w:color w:val="7B7B7B" w:themeColor="accent3" w:themeShade="BF"/>
          <w:sz w:val="22"/>
          <w:szCs w:val="22"/>
        </w:rPr>
        <w:t xml:space="preserve">  the fact that Cardinal Home owns immovable property (warehouse) in Milan, has a bank account and a contract concluded with an Italian bank, and non-binding memoranda of understanding with local parties - may be regarded </w:t>
      </w:r>
      <w:bookmarkEnd w:id="2"/>
      <w:r w:rsidR="007A14F8" w:rsidRPr="00FC5C87">
        <w:rPr>
          <w:rFonts w:ascii="Arial" w:hAnsi="Arial" w:cs="Arial"/>
          <w:color w:val="7B7B7B" w:themeColor="accent3" w:themeShade="BF"/>
          <w:sz w:val="22"/>
          <w:szCs w:val="22"/>
        </w:rPr>
        <w:t xml:space="preserve">as objective factors and, </w:t>
      </w:r>
      <w:r w:rsidR="008C184B">
        <w:rPr>
          <w:rFonts w:ascii="Arial" w:hAnsi="Arial" w:cs="Arial"/>
          <w:color w:val="7B7B7B" w:themeColor="accent3" w:themeShade="BF"/>
          <w:sz w:val="22"/>
          <w:szCs w:val="22"/>
        </w:rPr>
        <w:t xml:space="preserve">- </w:t>
      </w:r>
      <w:r w:rsidR="007A14F8" w:rsidRPr="00FC5C87">
        <w:rPr>
          <w:rFonts w:ascii="Arial" w:hAnsi="Arial" w:cs="Arial"/>
          <w:color w:val="7B7B7B" w:themeColor="accent3" w:themeShade="BF"/>
          <w:sz w:val="22"/>
          <w:szCs w:val="22"/>
        </w:rPr>
        <w:t>since they are likely to be matters in the public domain</w:t>
      </w:r>
      <w:r w:rsidR="008C184B">
        <w:rPr>
          <w:rFonts w:ascii="Arial" w:hAnsi="Arial" w:cs="Arial"/>
          <w:color w:val="7B7B7B" w:themeColor="accent3" w:themeShade="BF"/>
          <w:sz w:val="22"/>
          <w:szCs w:val="22"/>
        </w:rPr>
        <w:t xml:space="preserve"> -</w:t>
      </w:r>
      <w:r w:rsidR="007A14F8" w:rsidRPr="00FC5C87">
        <w:rPr>
          <w:rFonts w:ascii="Arial" w:hAnsi="Arial" w:cs="Arial"/>
          <w:color w:val="7B7B7B" w:themeColor="accent3" w:themeShade="BF"/>
          <w:sz w:val="22"/>
          <w:szCs w:val="22"/>
        </w:rPr>
        <w:t xml:space="preserve"> as factors that are ascertainable by third parties, the CJEU clearly stated that these factors are insufficient to rebut the registered office presumption.</w:t>
      </w:r>
    </w:p>
    <w:p w14:paraId="18682AD5" w14:textId="790FEC0B" w:rsidR="00504245" w:rsidRPr="00FC5C87" w:rsidRDefault="00504245" w:rsidP="00504245">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Therefore, based on the EIR 2000 and the CJEU caselaw, the COMI is located in Ireland, which means that the Dublin High Court has international jurisdiction to open the requested insolvency proceeding.</w:t>
      </w:r>
    </w:p>
    <w:p w14:paraId="5DE97313" w14:textId="77777777" w:rsidR="00EE6DCF" w:rsidRPr="00FC5C87" w:rsidRDefault="00EE6DCF" w:rsidP="00EE6DCF">
      <w:pPr>
        <w:ind w:left="720" w:hanging="720"/>
        <w:jc w:val="both"/>
        <w:rPr>
          <w:rFonts w:ascii="Arial" w:hAnsi="Arial" w:cs="Arial"/>
          <w:color w:val="7B7B7B" w:themeColor="accent3" w:themeShade="BF"/>
          <w:sz w:val="22"/>
          <w:szCs w:val="22"/>
        </w:rPr>
      </w:pPr>
    </w:p>
    <w:p w14:paraId="122B0CF9" w14:textId="036A4408" w:rsidR="003E4DB0" w:rsidRPr="00FC5C87" w:rsidRDefault="00EE6DCF" w:rsidP="00A018CB">
      <w:pPr>
        <w:ind w:left="720" w:hanging="720"/>
        <w:jc w:val="both"/>
        <w:rPr>
          <w:rFonts w:ascii="Arial" w:hAnsi="Arial" w:cs="Arial"/>
          <w:sz w:val="22"/>
          <w:szCs w:val="22"/>
        </w:rPr>
      </w:pPr>
      <w:r w:rsidRPr="00FC5C87">
        <w:rPr>
          <w:rFonts w:ascii="Arial" w:hAnsi="Arial" w:cs="Arial"/>
          <w:color w:val="7B7B7B" w:themeColor="accent3" w:themeShade="BF"/>
          <w:sz w:val="22"/>
          <w:szCs w:val="22"/>
        </w:rPr>
        <w:t>.</w:t>
      </w:r>
    </w:p>
    <w:p w14:paraId="40921E31" w14:textId="7125C35C" w:rsidR="002F75A3" w:rsidRPr="00FC5C87" w:rsidRDefault="009B0723" w:rsidP="002A37BB">
      <w:pPr>
        <w:jc w:val="both"/>
        <w:rPr>
          <w:rFonts w:ascii="Arial" w:hAnsi="Arial" w:cs="Arial"/>
          <w:b/>
          <w:bCs/>
          <w:sz w:val="22"/>
          <w:szCs w:val="22"/>
        </w:rPr>
      </w:pPr>
      <w:r w:rsidRPr="00FC5C87">
        <w:rPr>
          <w:rFonts w:ascii="Arial" w:hAnsi="Arial" w:cs="Arial"/>
          <w:b/>
          <w:bCs/>
          <w:sz w:val="22"/>
          <w:szCs w:val="22"/>
        </w:rPr>
        <w:t>Question 4.2 [</w:t>
      </w:r>
      <w:r w:rsidR="00126A4D" w:rsidRPr="00FC5C87">
        <w:rPr>
          <w:rFonts w:ascii="Arial" w:hAnsi="Arial" w:cs="Arial"/>
          <w:b/>
          <w:bCs/>
          <w:sz w:val="22"/>
          <w:szCs w:val="22"/>
        </w:rPr>
        <w:t>m</w:t>
      </w:r>
      <w:r w:rsidRPr="00FC5C87">
        <w:rPr>
          <w:rFonts w:ascii="Arial" w:hAnsi="Arial" w:cs="Arial"/>
          <w:b/>
          <w:bCs/>
          <w:sz w:val="22"/>
          <w:szCs w:val="22"/>
        </w:rPr>
        <w:t xml:space="preserve">aximum </w:t>
      </w:r>
      <w:r w:rsidR="009B4976" w:rsidRPr="00FC5C87">
        <w:rPr>
          <w:rFonts w:ascii="Arial" w:hAnsi="Arial" w:cs="Arial"/>
          <w:b/>
          <w:bCs/>
          <w:sz w:val="22"/>
          <w:szCs w:val="22"/>
        </w:rPr>
        <w:t>5</w:t>
      </w:r>
      <w:r w:rsidRPr="00FC5C87">
        <w:rPr>
          <w:rFonts w:ascii="Arial" w:hAnsi="Arial" w:cs="Arial"/>
          <w:b/>
          <w:bCs/>
          <w:sz w:val="22"/>
          <w:szCs w:val="22"/>
        </w:rPr>
        <w:t xml:space="preserve"> marks] </w:t>
      </w:r>
    </w:p>
    <w:p w14:paraId="6433B0AC" w14:textId="77777777" w:rsidR="002F75A3" w:rsidRPr="00FC5C87" w:rsidRDefault="002F75A3" w:rsidP="002A37BB">
      <w:pPr>
        <w:jc w:val="both"/>
        <w:rPr>
          <w:rFonts w:ascii="Arial" w:hAnsi="Arial" w:cs="Arial"/>
          <w:b/>
          <w:bCs/>
          <w:sz w:val="22"/>
          <w:szCs w:val="22"/>
        </w:rPr>
      </w:pPr>
    </w:p>
    <w:p w14:paraId="27FE742D" w14:textId="6978D9DB" w:rsidR="009B0723" w:rsidRPr="00FC5C87" w:rsidRDefault="009B4976" w:rsidP="002A37BB">
      <w:pPr>
        <w:jc w:val="both"/>
        <w:rPr>
          <w:rFonts w:ascii="Arial" w:hAnsi="Arial" w:cs="Arial"/>
          <w:sz w:val="22"/>
          <w:szCs w:val="22"/>
        </w:rPr>
      </w:pPr>
      <w:r w:rsidRPr="00FC5C87">
        <w:rPr>
          <w:rFonts w:ascii="Arial" w:hAnsi="Arial" w:cs="Arial"/>
          <w:sz w:val="22"/>
          <w:szCs w:val="22"/>
        </w:rPr>
        <w:t xml:space="preserve">Assume that the </w:t>
      </w:r>
      <w:r w:rsidR="00E03AF0" w:rsidRPr="00FC5C87">
        <w:rPr>
          <w:rFonts w:ascii="Arial" w:hAnsi="Arial" w:cs="Arial"/>
          <w:sz w:val="22"/>
          <w:szCs w:val="22"/>
        </w:rPr>
        <w:t>Dublin High Court</w:t>
      </w:r>
      <w:r w:rsidRPr="00FC5C87">
        <w:rPr>
          <w:rFonts w:ascii="Arial" w:hAnsi="Arial" w:cs="Arial"/>
          <w:sz w:val="22"/>
          <w:szCs w:val="22"/>
        </w:rPr>
        <w:t xml:space="preserve"> open</w:t>
      </w:r>
      <w:r w:rsidR="00E03AF0" w:rsidRPr="00FC5C87">
        <w:rPr>
          <w:rFonts w:ascii="Arial" w:hAnsi="Arial" w:cs="Arial"/>
          <w:sz w:val="22"/>
          <w:szCs w:val="22"/>
        </w:rPr>
        <w:t>s the respective proceeding on 30</w:t>
      </w:r>
      <w:r w:rsidRPr="00FC5C87">
        <w:rPr>
          <w:rFonts w:ascii="Arial" w:hAnsi="Arial" w:cs="Arial"/>
          <w:sz w:val="22"/>
          <w:szCs w:val="22"/>
        </w:rPr>
        <w:t xml:space="preserve"> June 2017. Will the EIR Recast be applicable? Your answer should address the EIR Recast’s scope and contain </w:t>
      </w:r>
      <w:r w:rsidRPr="00FC5C87">
        <w:rPr>
          <w:rFonts w:ascii="Arial" w:hAnsi="Arial" w:cs="Arial"/>
          <w:b/>
          <w:bCs/>
          <w:sz w:val="22"/>
          <w:szCs w:val="22"/>
          <w:u w:val="single"/>
        </w:rPr>
        <w:t>all</w:t>
      </w:r>
      <w:r w:rsidRPr="00FC5C87">
        <w:rPr>
          <w:rFonts w:ascii="Arial" w:hAnsi="Arial" w:cs="Arial"/>
          <w:sz w:val="22"/>
          <w:szCs w:val="22"/>
        </w:rPr>
        <w:t xml:space="preserve"> steps taken to answer the question.</w:t>
      </w:r>
    </w:p>
    <w:p w14:paraId="67BB985E" w14:textId="3E9D02AF" w:rsidR="009B0723" w:rsidRDefault="009B0723" w:rsidP="002A37BB">
      <w:pPr>
        <w:autoSpaceDE w:val="0"/>
        <w:autoSpaceDN w:val="0"/>
        <w:adjustRightInd w:val="0"/>
        <w:jc w:val="both"/>
        <w:rPr>
          <w:rFonts w:ascii="Arial" w:hAnsi="Arial" w:cs="Arial"/>
          <w:sz w:val="22"/>
          <w:szCs w:val="22"/>
        </w:rPr>
      </w:pPr>
    </w:p>
    <w:p w14:paraId="287CB823" w14:textId="77777777" w:rsidR="00246065" w:rsidRPr="00FC5C87" w:rsidRDefault="00246065" w:rsidP="002A37BB">
      <w:pPr>
        <w:autoSpaceDE w:val="0"/>
        <w:autoSpaceDN w:val="0"/>
        <w:adjustRightInd w:val="0"/>
        <w:jc w:val="both"/>
        <w:rPr>
          <w:rFonts w:ascii="Arial" w:hAnsi="Arial" w:cs="Arial"/>
          <w:sz w:val="22"/>
          <w:szCs w:val="22"/>
        </w:rPr>
      </w:pPr>
    </w:p>
    <w:p w14:paraId="5B8F160F" w14:textId="323904DF" w:rsidR="0005377D" w:rsidRPr="00FC5C87" w:rsidRDefault="0005377D" w:rsidP="0005377D">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To determine whether the EIR Recast applies to this case, one should assess whether it falls under the EIR Recast’s personal, material, temporal, and territorial scope.</w:t>
      </w:r>
    </w:p>
    <w:p w14:paraId="2207ACDB" w14:textId="449DF672" w:rsidR="00304151" w:rsidRPr="00FC5C87" w:rsidRDefault="0005377D" w:rsidP="00304151">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Firstly, </w:t>
      </w:r>
      <w:r w:rsidR="00DD18D4" w:rsidRPr="00FC5C87">
        <w:rPr>
          <w:rFonts w:ascii="Arial" w:hAnsi="Arial" w:cs="Arial"/>
          <w:color w:val="7B7B7B" w:themeColor="accent3" w:themeShade="BF"/>
          <w:sz w:val="22"/>
          <w:szCs w:val="22"/>
        </w:rPr>
        <w:t xml:space="preserve">the </w:t>
      </w:r>
      <w:r w:rsidR="00DD18D4" w:rsidRPr="00FC5C87">
        <w:rPr>
          <w:rFonts w:ascii="Arial" w:hAnsi="Arial" w:cs="Arial"/>
          <w:b/>
          <w:bCs/>
          <w:color w:val="7B7B7B" w:themeColor="accent3" w:themeShade="BF"/>
          <w:sz w:val="22"/>
          <w:szCs w:val="22"/>
        </w:rPr>
        <w:t>material scope</w:t>
      </w:r>
      <w:r w:rsidR="00DD18D4" w:rsidRPr="00FC5C87">
        <w:rPr>
          <w:rFonts w:ascii="Arial" w:hAnsi="Arial" w:cs="Arial"/>
          <w:color w:val="7B7B7B" w:themeColor="accent3" w:themeShade="BF"/>
          <w:sz w:val="22"/>
          <w:szCs w:val="22"/>
        </w:rPr>
        <w:t xml:space="preserve"> is codified in </w:t>
      </w:r>
      <w:r w:rsidR="00DD18D4" w:rsidRPr="00FC5C87">
        <w:rPr>
          <w:rFonts w:ascii="Arial" w:hAnsi="Arial" w:cs="Arial"/>
          <w:b/>
          <w:bCs/>
          <w:color w:val="7B7B7B" w:themeColor="accent3" w:themeShade="BF"/>
          <w:sz w:val="22"/>
          <w:szCs w:val="22"/>
        </w:rPr>
        <w:t>Article 1(1)</w:t>
      </w:r>
      <w:r w:rsidR="001563EF" w:rsidRPr="00FC5C87">
        <w:rPr>
          <w:rFonts w:ascii="Arial" w:hAnsi="Arial" w:cs="Arial"/>
          <w:b/>
          <w:bCs/>
          <w:color w:val="7B7B7B" w:themeColor="accent3" w:themeShade="BF"/>
          <w:sz w:val="22"/>
          <w:szCs w:val="22"/>
        </w:rPr>
        <w:t xml:space="preserve"> </w:t>
      </w:r>
      <w:r w:rsidR="001563EF" w:rsidRPr="00FC5C87">
        <w:rPr>
          <w:rFonts w:ascii="Arial" w:hAnsi="Arial" w:cs="Arial"/>
          <w:color w:val="7B7B7B" w:themeColor="accent3" w:themeShade="BF"/>
          <w:sz w:val="22"/>
          <w:szCs w:val="22"/>
        </w:rPr>
        <w:t>of the EIR Recast</w:t>
      </w:r>
      <w:r w:rsidR="00DD18D4" w:rsidRPr="00FC5C87">
        <w:rPr>
          <w:rFonts w:ascii="Arial" w:hAnsi="Arial" w:cs="Arial"/>
          <w:color w:val="7B7B7B" w:themeColor="accent3" w:themeShade="BF"/>
          <w:sz w:val="22"/>
          <w:szCs w:val="22"/>
        </w:rPr>
        <w:t>. According to this Article, the EIR Recast only applies to public collective proceedings</w:t>
      </w:r>
      <w:r w:rsidR="00304151" w:rsidRPr="00FC5C87">
        <w:rPr>
          <w:rFonts w:ascii="Arial" w:hAnsi="Arial" w:cs="Arial"/>
          <w:color w:val="7B7B7B" w:themeColor="accent3" w:themeShade="BF"/>
          <w:sz w:val="22"/>
          <w:szCs w:val="22"/>
        </w:rPr>
        <w:t xml:space="preserve"> and </w:t>
      </w:r>
      <w:r w:rsidR="00DD18D4" w:rsidRPr="00FC5C87">
        <w:rPr>
          <w:rFonts w:ascii="Arial" w:hAnsi="Arial" w:cs="Arial"/>
          <w:color w:val="7B7B7B" w:themeColor="accent3" w:themeShade="BF"/>
          <w:sz w:val="22"/>
          <w:szCs w:val="22"/>
        </w:rPr>
        <w:t xml:space="preserve">interim proceedings, which are based on </w:t>
      </w:r>
      <w:r w:rsidR="00304151" w:rsidRPr="00FC5C87">
        <w:rPr>
          <w:rFonts w:ascii="Arial" w:hAnsi="Arial" w:cs="Arial"/>
          <w:color w:val="7B7B7B" w:themeColor="accent3" w:themeShade="BF"/>
          <w:sz w:val="22"/>
          <w:szCs w:val="22"/>
        </w:rPr>
        <w:t xml:space="preserve">insolvency-related </w:t>
      </w:r>
      <w:r w:rsidR="00DD18D4" w:rsidRPr="00FC5C87">
        <w:rPr>
          <w:rFonts w:ascii="Arial" w:hAnsi="Arial" w:cs="Arial"/>
          <w:color w:val="7B7B7B" w:themeColor="accent3" w:themeShade="BF"/>
          <w:sz w:val="22"/>
          <w:szCs w:val="22"/>
        </w:rPr>
        <w:t xml:space="preserve">laws and in which, </w:t>
      </w:r>
      <w:r w:rsidR="00304151" w:rsidRPr="00FC5C87">
        <w:rPr>
          <w:rFonts w:ascii="Arial" w:hAnsi="Arial" w:cs="Arial"/>
          <w:color w:val="7B7B7B" w:themeColor="accent3" w:themeShade="BF"/>
          <w:sz w:val="22"/>
          <w:szCs w:val="22"/>
        </w:rPr>
        <w:t>for</w:t>
      </w:r>
      <w:r w:rsidR="00DD18D4" w:rsidRPr="00FC5C87">
        <w:rPr>
          <w:rFonts w:ascii="Arial" w:hAnsi="Arial" w:cs="Arial"/>
          <w:color w:val="7B7B7B" w:themeColor="accent3" w:themeShade="BF"/>
          <w:sz w:val="22"/>
          <w:szCs w:val="22"/>
        </w:rPr>
        <w:t xml:space="preserve"> rescue, adjustment of debt, </w:t>
      </w:r>
      <w:r w:rsidR="00DF08F2" w:rsidRPr="00FC5C87">
        <w:rPr>
          <w:rFonts w:ascii="Arial" w:hAnsi="Arial" w:cs="Arial"/>
          <w:color w:val="7B7B7B" w:themeColor="accent3" w:themeShade="BF"/>
          <w:sz w:val="22"/>
          <w:szCs w:val="22"/>
        </w:rPr>
        <w:t>reorganization</w:t>
      </w:r>
      <w:r w:rsidR="00DD18D4" w:rsidRPr="00FC5C87">
        <w:rPr>
          <w:rFonts w:ascii="Arial" w:hAnsi="Arial" w:cs="Arial"/>
          <w:color w:val="7B7B7B" w:themeColor="accent3" w:themeShade="BF"/>
          <w:sz w:val="22"/>
          <w:szCs w:val="22"/>
        </w:rPr>
        <w:t xml:space="preserve"> or liquidation</w:t>
      </w:r>
      <w:r w:rsidR="00304151" w:rsidRPr="00FC5C87">
        <w:rPr>
          <w:rFonts w:ascii="Arial" w:hAnsi="Arial" w:cs="Arial"/>
          <w:color w:val="7B7B7B" w:themeColor="accent3" w:themeShade="BF"/>
          <w:sz w:val="22"/>
          <w:szCs w:val="22"/>
        </w:rPr>
        <w:t xml:space="preserve"> purposes (a) the</w:t>
      </w:r>
      <w:r w:rsidR="00DD18D4" w:rsidRPr="00FC5C87">
        <w:rPr>
          <w:rFonts w:ascii="Arial" w:hAnsi="Arial" w:cs="Arial"/>
          <w:color w:val="7B7B7B" w:themeColor="accent3" w:themeShade="BF"/>
          <w:sz w:val="22"/>
          <w:szCs w:val="22"/>
        </w:rPr>
        <w:t xml:space="preserve"> debtor is totally or partially divested of its assets and an insolvency practitioner is appointed</w:t>
      </w:r>
      <w:r w:rsidR="00304151" w:rsidRPr="00FC5C87">
        <w:rPr>
          <w:rFonts w:ascii="Arial" w:hAnsi="Arial" w:cs="Arial"/>
          <w:color w:val="7B7B7B" w:themeColor="accent3" w:themeShade="BF"/>
          <w:sz w:val="22"/>
          <w:szCs w:val="22"/>
        </w:rPr>
        <w:t xml:space="preserve">, (b) </w:t>
      </w:r>
      <w:r w:rsidR="00DD18D4" w:rsidRPr="00FC5C87">
        <w:rPr>
          <w:rFonts w:ascii="Arial" w:hAnsi="Arial" w:cs="Arial"/>
          <w:color w:val="7B7B7B" w:themeColor="accent3" w:themeShade="BF"/>
          <w:sz w:val="22"/>
          <w:szCs w:val="22"/>
        </w:rPr>
        <w:t xml:space="preserve">the </w:t>
      </w:r>
      <w:r w:rsidR="00304151" w:rsidRPr="00FC5C87">
        <w:rPr>
          <w:rFonts w:ascii="Arial" w:hAnsi="Arial" w:cs="Arial"/>
          <w:color w:val="7B7B7B" w:themeColor="accent3" w:themeShade="BF"/>
          <w:sz w:val="22"/>
          <w:szCs w:val="22"/>
        </w:rPr>
        <w:t xml:space="preserve">debtor’s </w:t>
      </w:r>
      <w:r w:rsidR="00DD18D4" w:rsidRPr="00FC5C87">
        <w:rPr>
          <w:rFonts w:ascii="Arial" w:hAnsi="Arial" w:cs="Arial"/>
          <w:color w:val="7B7B7B" w:themeColor="accent3" w:themeShade="BF"/>
          <w:sz w:val="22"/>
          <w:szCs w:val="22"/>
        </w:rPr>
        <w:t>assets and affairs are subject to control or supervision by a court</w:t>
      </w:r>
      <w:r w:rsidR="00304151" w:rsidRPr="00FC5C87">
        <w:rPr>
          <w:rFonts w:ascii="Arial" w:hAnsi="Arial" w:cs="Arial"/>
          <w:color w:val="7B7B7B" w:themeColor="accent3" w:themeShade="BF"/>
          <w:sz w:val="22"/>
          <w:szCs w:val="22"/>
        </w:rPr>
        <w:t xml:space="preserve">, or (c) </w:t>
      </w:r>
      <w:r w:rsidR="00DD18D4" w:rsidRPr="00FC5C87">
        <w:rPr>
          <w:rFonts w:ascii="Arial" w:hAnsi="Arial" w:cs="Arial"/>
          <w:color w:val="7B7B7B" w:themeColor="accent3" w:themeShade="BF"/>
          <w:sz w:val="22"/>
          <w:szCs w:val="22"/>
        </w:rPr>
        <w:t xml:space="preserve">a temporary stay of individual enforcement proceedings is granted by a court or by operation of law, in order to allow for negotiations between the debtor and its creditors, </w:t>
      </w:r>
      <w:r w:rsidR="008C184B">
        <w:rPr>
          <w:rFonts w:ascii="Arial" w:hAnsi="Arial" w:cs="Arial"/>
          <w:color w:val="7B7B7B" w:themeColor="accent3" w:themeShade="BF"/>
          <w:sz w:val="22"/>
          <w:szCs w:val="22"/>
        </w:rPr>
        <w:t>on the condition</w:t>
      </w:r>
      <w:r w:rsidR="00DD18D4" w:rsidRPr="00FC5C87">
        <w:rPr>
          <w:rFonts w:ascii="Arial" w:hAnsi="Arial" w:cs="Arial"/>
          <w:color w:val="7B7B7B" w:themeColor="accent3" w:themeShade="BF"/>
          <w:sz w:val="22"/>
          <w:szCs w:val="22"/>
        </w:rPr>
        <w:t xml:space="preserve"> that the proceedings in which the stay is granted provide for suitable measures to protect the general body of creditors</w:t>
      </w:r>
      <w:r w:rsidR="00304151" w:rsidRPr="00FC5C87">
        <w:rPr>
          <w:rFonts w:ascii="Arial" w:hAnsi="Arial" w:cs="Arial"/>
          <w:color w:val="7B7B7B" w:themeColor="accent3" w:themeShade="BF"/>
          <w:sz w:val="22"/>
          <w:szCs w:val="22"/>
        </w:rPr>
        <w:t xml:space="preserve">. Such proceedings are listed country-by-country in </w:t>
      </w:r>
      <w:r w:rsidR="00304151" w:rsidRPr="00FC5C87">
        <w:rPr>
          <w:rFonts w:ascii="Arial" w:hAnsi="Arial" w:cs="Arial"/>
          <w:b/>
          <w:bCs/>
          <w:color w:val="7B7B7B" w:themeColor="accent3" w:themeShade="BF"/>
          <w:sz w:val="22"/>
          <w:szCs w:val="22"/>
        </w:rPr>
        <w:t>Annex A</w:t>
      </w:r>
      <w:r w:rsidR="001563EF" w:rsidRPr="00FC5C87">
        <w:rPr>
          <w:rFonts w:ascii="Arial" w:hAnsi="Arial" w:cs="Arial"/>
          <w:color w:val="7B7B7B" w:themeColor="accent3" w:themeShade="BF"/>
          <w:sz w:val="22"/>
          <w:szCs w:val="22"/>
        </w:rPr>
        <w:t xml:space="preserve"> of the EIR Recast</w:t>
      </w:r>
      <w:r w:rsidR="00304151" w:rsidRPr="00FC5C87">
        <w:rPr>
          <w:rFonts w:ascii="Arial" w:hAnsi="Arial" w:cs="Arial"/>
          <w:color w:val="7B7B7B" w:themeColor="accent3" w:themeShade="BF"/>
          <w:sz w:val="22"/>
          <w:szCs w:val="22"/>
        </w:rPr>
        <w:t xml:space="preserve">. As such, any proceeding </w:t>
      </w:r>
      <w:r w:rsidR="008C184B">
        <w:rPr>
          <w:rFonts w:ascii="Arial" w:hAnsi="Arial" w:cs="Arial"/>
          <w:color w:val="7B7B7B" w:themeColor="accent3" w:themeShade="BF"/>
          <w:sz w:val="22"/>
          <w:szCs w:val="22"/>
        </w:rPr>
        <w:t>in</w:t>
      </w:r>
      <w:r w:rsidR="00304151" w:rsidRPr="00FC5C87">
        <w:rPr>
          <w:rFonts w:ascii="Arial" w:hAnsi="Arial" w:cs="Arial"/>
          <w:color w:val="7B7B7B" w:themeColor="accent3" w:themeShade="BF"/>
          <w:sz w:val="22"/>
          <w:szCs w:val="22"/>
        </w:rPr>
        <w:t xml:space="preserve"> that list would trigger the provisions of the EIR Recast. Proceedings not listed in Annex A do not enjoy the benefits of automatic recognition in other Member States.</w:t>
      </w:r>
    </w:p>
    <w:p w14:paraId="59A18776" w14:textId="6E65302C" w:rsidR="00DD18D4" w:rsidRPr="00FC5C87" w:rsidRDefault="00304151" w:rsidP="00304151">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In this case, </w:t>
      </w:r>
      <w:r w:rsidR="00DD18D4" w:rsidRPr="00FC5C87">
        <w:rPr>
          <w:rFonts w:ascii="Arial" w:hAnsi="Arial" w:cs="Arial"/>
          <w:color w:val="7B7B7B" w:themeColor="accent3" w:themeShade="BF"/>
          <w:sz w:val="22"/>
          <w:szCs w:val="22"/>
        </w:rPr>
        <w:t xml:space="preserve">the examinership proceeding is a proceeding listed </w:t>
      </w:r>
      <w:r w:rsidR="008C184B">
        <w:rPr>
          <w:rFonts w:ascii="Arial" w:hAnsi="Arial" w:cs="Arial"/>
          <w:color w:val="7B7B7B" w:themeColor="accent3" w:themeShade="BF"/>
          <w:sz w:val="22"/>
          <w:szCs w:val="22"/>
        </w:rPr>
        <w:t>in</w:t>
      </w:r>
      <w:r w:rsidR="00DD18D4" w:rsidRPr="00FC5C87">
        <w:rPr>
          <w:rFonts w:ascii="Arial" w:hAnsi="Arial" w:cs="Arial"/>
          <w:color w:val="7B7B7B" w:themeColor="accent3" w:themeShade="BF"/>
          <w:sz w:val="22"/>
          <w:szCs w:val="22"/>
        </w:rPr>
        <w:t xml:space="preserve"> Annex A of the EIR Recast under </w:t>
      </w:r>
      <w:r w:rsidRPr="00FC5C87">
        <w:rPr>
          <w:rFonts w:ascii="Arial" w:hAnsi="Arial" w:cs="Arial"/>
          <w:color w:val="7B7B7B" w:themeColor="accent3" w:themeShade="BF"/>
          <w:sz w:val="22"/>
          <w:szCs w:val="22"/>
        </w:rPr>
        <w:t xml:space="preserve">the Member State </w:t>
      </w:r>
      <w:r w:rsidR="00DD18D4" w:rsidRPr="00FC5C87">
        <w:rPr>
          <w:rFonts w:ascii="Arial" w:hAnsi="Arial" w:cs="Arial"/>
          <w:color w:val="7B7B7B" w:themeColor="accent3" w:themeShade="BF"/>
          <w:sz w:val="22"/>
          <w:szCs w:val="22"/>
        </w:rPr>
        <w:t xml:space="preserve">Ireland. Therefore, the type of proceeding filed by Cardinal Home and opened by the Dublin High Court satisfies the </w:t>
      </w:r>
      <w:r w:rsidRPr="00FC5C87">
        <w:rPr>
          <w:rFonts w:ascii="Arial" w:hAnsi="Arial" w:cs="Arial"/>
          <w:color w:val="7B7B7B" w:themeColor="accent3" w:themeShade="BF"/>
          <w:sz w:val="22"/>
          <w:szCs w:val="22"/>
        </w:rPr>
        <w:t>first criteri</w:t>
      </w:r>
      <w:r w:rsidR="008C184B">
        <w:rPr>
          <w:rFonts w:ascii="Arial" w:hAnsi="Arial" w:cs="Arial"/>
          <w:color w:val="7B7B7B" w:themeColor="accent3" w:themeShade="BF"/>
          <w:sz w:val="22"/>
          <w:szCs w:val="22"/>
        </w:rPr>
        <w:t>on</w:t>
      </w:r>
      <w:r w:rsidR="00DD18D4" w:rsidRPr="00FC5C87">
        <w:rPr>
          <w:rFonts w:ascii="Arial" w:hAnsi="Arial" w:cs="Arial"/>
          <w:color w:val="7B7B7B" w:themeColor="accent3" w:themeShade="BF"/>
          <w:sz w:val="22"/>
          <w:szCs w:val="22"/>
        </w:rPr>
        <w:t>.</w:t>
      </w:r>
    </w:p>
    <w:p w14:paraId="39CF2117" w14:textId="60FD6680" w:rsidR="00304151" w:rsidRPr="00FC5C87" w:rsidRDefault="00304151" w:rsidP="00304151">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Secondly, the </w:t>
      </w:r>
      <w:r w:rsidRPr="00FC5C87">
        <w:rPr>
          <w:rFonts w:ascii="Arial" w:hAnsi="Arial" w:cs="Arial"/>
          <w:b/>
          <w:bCs/>
          <w:color w:val="7B7B7B" w:themeColor="accent3" w:themeShade="BF"/>
          <w:sz w:val="22"/>
          <w:szCs w:val="22"/>
        </w:rPr>
        <w:t xml:space="preserve">personal scope </w:t>
      </w:r>
      <w:r w:rsidRPr="00FC5C87">
        <w:rPr>
          <w:rFonts w:ascii="Arial" w:hAnsi="Arial" w:cs="Arial"/>
          <w:color w:val="7B7B7B" w:themeColor="accent3" w:themeShade="BF"/>
          <w:sz w:val="22"/>
          <w:szCs w:val="22"/>
        </w:rPr>
        <w:t xml:space="preserve">is stipulated in </w:t>
      </w:r>
      <w:r w:rsidRPr="00FC5C87">
        <w:rPr>
          <w:rFonts w:ascii="Arial" w:hAnsi="Arial" w:cs="Arial"/>
          <w:b/>
          <w:bCs/>
          <w:color w:val="7B7B7B" w:themeColor="accent3" w:themeShade="BF"/>
          <w:sz w:val="22"/>
          <w:szCs w:val="22"/>
        </w:rPr>
        <w:t>Article 1(2)</w:t>
      </w:r>
      <w:r w:rsidR="001563EF" w:rsidRPr="00FC5C87">
        <w:rPr>
          <w:rFonts w:ascii="Arial" w:hAnsi="Arial" w:cs="Arial"/>
          <w:color w:val="7B7B7B" w:themeColor="accent3" w:themeShade="BF"/>
          <w:sz w:val="22"/>
          <w:szCs w:val="22"/>
        </w:rPr>
        <w:t xml:space="preserve"> of the EIR Recast</w:t>
      </w:r>
      <w:r w:rsidRPr="00FC5C87">
        <w:rPr>
          <w:rFonts w:ascii="Arial" w:hAnsi="Arial" w:cs="Arial"/>
          <w:color w:val="7B7B7B" w:themeColor="accent3" w:themeShade="BF"/>
          <w:sz w:val="22"/>
          <w:szCs w:val="22"/>
        </w:rPr>
        <w:t>. As a general rule, the EIR Recast applies to insolvency proceedings listed in Annex A irrespective of whether the debtor is a natural or a legal person. However in this Article, some entities are explicitly excluded such as (a) insurance undertakings, (b) credit institutions (c) investment firms and other firms, institutions and undertakings to the extent that they are covered by Directive 2001/24/EC</w:t>
      </w:r>
      <w:r w:rsidR="001563EF" w:rsidRPr="00FC5C87">
        <w:rPr>
          <w:rFonts w:ascii="Arial" w:hAnsi="Arial" w:cs="Arial"/>
          <w:color w:val="7B7B7B" w:themeColor="accent3" w:themeShade="BF"/>
          <w:sz w:val="22"/>
          <w:szCs w:val="22"/>
        </w:rPr>
        <w:t>, and (d) c</w:t>
      </w:r>
      <w:r w:rsidRPr="00FC5C87">
        <w:rPr>
          <w:rFonts w:ascii="Arial" w:hAnsi="Arial" w:cs="Arial"/>
          <w:color w:val="7B7B7B" w:themeColor="accent3" w:themeShade="BF"/>
          <w:sz w:val="22"/>
          <w:szCs w:val="22"/>
        </w:rPr>
        <w:t>ollective investment undertakings</w:t>
      </w:r>
      <w:r w:rsidR="001563EF" w:rsidRPr="00FC5C87">
        <w:rPr>
          <w:rFonts w:ascii="Arial" w:hAnsi="Arial" w:cs="Arial"/>
          <w:color w:val="7B7B7B" w:themeColor="accent3" w:themeShade="BF"/>
          <w:sz w:val="22"/>
          <w:szCs w:val="22"/>
        </w:rPr>
        <w:t>. Such entities are governed by other legal instruments such as the</w:t>
      </w:r>
      <w:r w:rsidRPr="00FC5C87">
        <w:rPr>
          <w:rFonts w:ascii="Arial" w:hAnsi="Arial" w:cs="Arial"/>
          <w:color w:val="7B7B7B" w:themeColor="accent3" w:themeShade="BF"/>
          <w:sz w:val="22"/>
          <w:szCs w:val="22"/>
        </w:rPr>
        <w:t xml:space="preserve"> </w:t>
      </w:r>
      <w:hyperlink r:id="rId28" w:history="1">
        <w:r w:rsidRPr="00FC5C87">
          <w:rPr>
            <w:rStyle w:val="Hyperlink"/>
            <w:rFonts w:ascii="Arial" w:hAnsi="Arial" w:cs="Arial"/>
            <w:sz w:val="22"/>
            <w:szCs w:val="22"/>
          </w:rPr>
          <w:t>BRRD</w:t>
        </w:r>
        <w:r w:rsidR="001563EF" w:rsidRPr="00FC5C87">
          <w:rPr>
            <w:rStyle w:val="Hyperlink"/>
            <w:rFonts w:ascii="Arial" w:hAnsi="Arial" w:cs="Arial"/>
            <w:sz w:val="22"/>
            <w:szCs w:val="22"/>
          </w:rPr>
          <w:t xml:space="preserve"> (Directive 2014/59/EU)</w:t>
        </w:r>
      </w:hyperlink>
      <w:r w:rsidRPr="00FC5C87">
        <w:rPr>
          <w:rFonts w:ascii="Arial" w:hAnsi="Arial" w:cs="Arial"/>
          <w:color w:val="7B7B7B" w:themeColor="accent3" w:themeShade="BF"/>
          <w:sz w:val="22"/>
          <w:szCs w:val="22"/>
        </w:rPr>
        <w:t xml:space="preserve">, </w:t>
      </w:r>
      <w:hyperlink r:id="rId29" w:history="1">
        <w:r w:rsidRPr="00FC5C87">
          <w:rPr>
            <w:rStyle w:val="Hyperlink"/>
            <w:rFonts w:ascii="Arial" w:hAnsi="Arial" w:cs="Arial"/>
            <w:sz w:val="22"/>
            <w:szCs w:val="22"/>
          </w:rPr>
          <w:t>CRR</w:t>
        </w:r>
        <w:r w:rsidR="001563EF" w:rsidRPr="00FC5C87">
          <w:rPr>
            <w:rStyle w:val="Hyperlink"/>
            <w:rFonts w:ascii="Arial" w:hAnsi="Arial" w:cs="Arial"/>
            <w:sz w:val="22"/>
            <w:szCs w:val="22"/>
          </w:rPr>
          <w:t xml:space="preserve"> (Regulation (EU) No 575/2013 )</w:t>
        </w:r>
      </w:hyperlink>
      <w:r w:rsidR="001563EF" w:rsidRPr="00FC5C87">
        <w:rPr>
          <w:rFonts w:ascii="Arial" w:hAnsi="Arial" w:cs="Arial"/>
          <w:color w:val="7B7B7B" w:themeColor="accent3" w:themeShade="BF"/>
          <w:sz w:val="22"/>
          <w:szCs w:val="22"/>
        </w:rPr>
        <w:t xml:space="preserve">, </w:t>
      </w:r>
      <w:hyperlink r:id="rId30" w:history="1">
        <w:r w:rsidRPr="00FC5C87">
          <w:rPr>
            <w:rStyle w:val="Hyperlink"/>
            <w:rFonts w:ascii="Arial" w:hAnsi="Arial" w:cs="Arial"/>
            <w:sz w:val="22"/>
            <w:szCs w:val="22"/>
          </w:rPr>
          <w:t>CRD IV</w:t>
        </w:r>
        <w:r w:rsidR="001563EF" w:rsidRPr="00FC5C87">
          <w:rPr>
            <w:rStyle w:val="Hyperlink"/>
            <w:rFonts w:ascii="Arial" w:hAnsi="Arial" w:cs="Arial"/>
            <w:sz w:val="22"/>
            <w:szCs w:val="22"/>
          </w:rPr>
          <w:t xml:space="preserve"> (Directive 2013/36/EU)</w:t>
        </w:r>
      </w:hyperlink>
      <w:r w:rsidRPr="00FC5C87">
        <w:rPr>
          <w:rFonts w:ascii="Arial" w:hAnsi="Arial" w:cs="Arial"/>
          <w:color w:val="7B7B7B" w:themeColor="accent3" w:themeShade="BF"/>
          <w:sz w:val="22"/>
          <w:szCs w:val="22"/>
        </w:rPr>
        <w:t xml:space="preserve">, </w:t>
      </w:r>
      <w:hyperlink r:id="rId31" w:history="1">
        <w:r w:rsidRPr="00FC5C87">
          <w:rPr>
            <w:rStyle w:val="Hyperlink"/>
            <w:rFonts w:ascii="Arial" w:hAnsi="Arial" w:cs="Arial"/>
            <w:sz w:val="22"/>
            <w:szCs w:val="22"/>
          </w:rPr>
          <w:t>EMIR</w:t>
        </w:r>
        <w:r w:rsidR="001563EF" w:rsidRPr="00FC5C87">
          <w:rPr>
            <w:rStyle w:val="Hyperlink"/>
            <w:rFonts w:ascii="Arial" w:hAnsi="Arial" w:cs="Arial"/>
            <w:sz w:val="22"/>
            <w:szCs w:val="22"/>
          </w:rPr>
          <w:t xml:space="preserve"> (Regulation (EU) No 648/2012)</w:t>
        </w:r>
      </w:hyperlink>
      <w:r w:rsidRPr="00FC5C87">
        <w:rPr>
          <w:rFonts w:ascii="Arial" w:hAnsi="Arial" w:cs="Arial"/>
          <w:color w:val="7B7B7B" w:themeColor="accent3" w:themeShade="BF"/>
          <w:sz w:val="22"/>
          <w:szCs w:val="22"/>
        </w:rPr>
        <w:t xml:space="preserve">, </w:t>
      </w:r>
      <w:hyperlink r:id="rId32" w:history="1">
        <w:r w:rsidRPr="00FC5C87">
          <w:rPr>
            <w:rStyle w:val="Hyperlink"/>
            <w:rFonts w:ascii="Arial" w:hAnsi="Arial" w:cs="Arial"/>
            <w:sz w:val="22"/>
            <w:szCs w:val="22"/>
          </w:rPr>
          <w:t>DGSD</w:t>
        </w:r>
        <w:r w:rsidR="001563EF" w:rsidRPr="00FC5C87">
          <w:rPr>
            <w:rStyle w:val="Hyperlink"/>
            <w:rFonts w:ascii="Arial" w:hAnsi="Arial" w:cs="Arial"/>
            <w:sz w:val="22"/>
            <w:szCs w:val="22"/>
          </w:rPr>
          <w:t xml:space="preserve"> (Directive 2014/49/EU)</w:t>
        </w:r>
      </w:hyperlink>
      <w:r w:rsidRPr="00FC5C87">
        <w:rPr>
          <w:rFonts w:ascii="Arial" w:hAnsi="Arial" w:cs="Arial"/>
          <w:color w:val="7B7B7B" w:themeColor="accent3" w:themeShade="BF"/>
          <w:sz w:val="22"/>
          <w:szCs w:val="22"/>
        </w:rPr>
        <w:t xml:space="preserve">, </w:t>
      </w:r>
      <w:hyperlink r:id="rId33" w:history="1">
        <w:r w:rsidRPr="00FC5C87">
          <w:rPr>
            <w:rStyle w:val="Hyperlink"/>
            <w:rFonts w:ascii="Arial" w:hAnsi="Arial" w:cs="Arial"/>
            <w:sz w:val="22"/>
            <w:szCs w:val="22"/>
          </w:rPr>
          <w:t>UCITS</w:t>
        </w:r>
        <w:r w:rsidR="001563EF" w:rsidRPr="00FC5C87">
          <w:rPr>
            <w:rStyle w:val="Hyperlink"/>
            <w:rFonts w:ascii="Arial" w:hAnsi="Arial" w:cs="Arial"/>
            <w:sz w:val="22"/>
            <w:szCs w:val="22"/>
          </w:rPr>
          <w:t xml:space="preserve"> (Directive 2009/65/EC)</w:t>
        </w:r>
      </w:hyperlink>
      <w:r w:rsidRPr="00FC5C87">
        <w:rPr>
          <w:rFonts w:ascii="Arial" w:hAnsi="Arial" w:cs="Arial"/>
          <w:color w:val="7B7B7B" w:themeColor="accent3" w:themeShade="BF"/>
          <w:sz w:val="22"/>
          <w:szCs w:val="22"/>
        </w:rPr>
        <w:t xml:space="preserve">, </w:t>
      </w:r>
      <w:r w:rsidR="001563EF" w:rsidRPr="00FC5C87">
        <w:rPr>
          <w:rFonts w:ascii="Arial" w:hAnsi="Arial" w:cs="Arial"/>
          <w:color w:val="7B7B7B" w:themeColor="accent3" w:themeShade="BF"/>
          <w:sz w:val="22"/>
          <w:szCs w:val="22"/>
        </w:rPr>
        <w:t xml:space="preserve">or the </w:t>
      </w:r>
      <w:hyperlink r:id="rId34" w:history="1">
        <w:r w:rsidRPr="00FC5C87">
          <w:rPr>
            <w:rStyle w:val="Hyperlink"/>
            <w:rFonts w:ascii="Arial" w:hAnsi="Arial" w:cs="Arial"/>
            <w:sz w:val="22"/>
            <w:szCs w:val="22"/>
          </w:rPr>
          <w:t>AIFMD</w:t>
        </w:r>
        <w:r w:rsidR="001563EF" w:rsidRPr="00FC5C87">
          <w:rPr>
            <w:rStyle w:val="Hyperlink"/>
            <w:rFonts w:ascii="Arial" w:hAnsi="Arial" w:cs="Arial"/>
            <w:sz w:val="22"/>
            <w:szCs w:val="22"/>
          </w:rPr>
          <w:t xml:space="preserve"> (Directive 2011/61/EU)</w:t>
        </w:r>
      </w:hyperlink>
      <w:r w:rsidR="001563EF" w:rsidRPr="00FC5C87">
        <w:rPr>
          <w:rFonts w:ascii="Arial" w:hAnsi="Arial" w:cs="Arial"/>
          <w:color w:val="7B7B7B" w:themeColor="accent3" w:themeShade="BF"/>
          <w:sz w:val="22"/>
          <w:szCs w:val="22"/>
        </w:rPr>
        <w:t>.</w:t>
      </w:r>
    </w:p>
    <w:p w14:paraId="6538BB47" w14:textId="3AF5F6A7" w:rsidR="00304151" w:rsidRPr="00FC5C87" w:rsidRDefault="001563EF" w:rsidP="00304151">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In this case, </w:t>
      </w:r>
      <w:r w:rsidR="00304151" w:rsidRPr="00FC5C87">
        <w:rPr>
          <w:rFonts w:ascii="Arial" w:hAnsi="Arial" w:cs="Arial"/>
          <w:color w:val="7B7B7B" w:themeColor="accent3" w:themeShade="BF"/>
          <w:sz w:val="22"/>
          <w:szCs w:val="22"/>
        </w:rPr>
        <w:t xml:space="preserve">Cardinal Home is not excluded from the personal scope of the EIR Recast as it does not fall under the exceptions listed under Article 1(2). After all, Cardinal Home is a company and </w:t>
      </w:r>
      <w:r w:rsidRPr="00FC5C87">
        <w:rPr>
          <w:rFonts w:ascii="Arial" w:hAnsi="Arial" w:cs="Arial"/>
          <w:color w:val="7B7B7B" w:themeColor="accent3" w:themeShade="BF"/>
          <w:sz w:val="22"/>
          <w:szCs w:val="22"/>
        </w:rPr>
        <w:t>not an entity listed under the exc</w:t>
      </w:r>
      <w:r w:rsidR="00304151" w:rsidRPr="00FC5C87">
        <w:rPr>
          <w:rFonts w:ascii="Arial" w:hAnsi="Arial" w:cs="Arial"/>
          <w:color w:val="7B7B7B" w:themeColor="accent3" w:themeShade="BF"/>
          <w:sz w:val="22"/>
          <w:szCs w:val="22"/>
        </w:rPr>
        <w:t>eption</w:t>
      </w:r>
      <w:r w:rsidRPr="00FC5C87">
        <w:rPr>
          <w:rFonts w:ascii="Arial" w:hAnsi="Arial" w:cs="Arial"/>
          <w:color w:val="7B7B7B" w:themeColor="accent3" w:themeShade="BF"/>
          <w:sz w:val="22"/>
          <w:szCs w:val="22"/>
        </w:rPr>
        <w:t>s. As such,</w:t>
      </w:r>
      <w:r w:rsidR="00304151" w:rsidRPr="00FC5C87">
        <w:rPr>
          <w:rFonts w:ascii="Arial" w:hAnsi="Arial" w:cs="Arial"/>
          <w:color w:val="7B7B7B" w:themeColor="accent3" w:themeShade="BF"/>
          <w:sz w:val="22"/>
          <w:szCs w:val="22"/>
        </w:rPr>
        <w:t xml:space="preserve"> the second criteri</w:t>
      </w:r>
      <w:r w:rsidR="008C184B">
        <w:rPr>
          <w:rFonts w:ascii="Arial" w:hAnsi="Arial" w:cs="Arial"/>
          <w:color w:val="7B7B7B" w:themeColor="accent3" w:themeShade="BF"/>
          <w:sz w:val="22"/>
          <w:szCs w:val="22"/>
        </w:rPr>
        <w:t>on</w:t>
      </w:r>
      <w:r w:rsidR="00304151" w:rsidRPr="00FC5C87">
        <w:rPr>
          <w:rFonts w:ascii="Arial" w:hAnsi="Arial" w:cs="Arial"/>
          <w:color w:val="7B7B7B" w:themeColor="accent3" w:themeShade="BF"/>
          <w:sz w:val="22"/>
          <w:szCs w:val="22"/>
        </w:rPr>
        <w:t xml:space="preserve"> is satisfied.</w:t>
      </w:r>
    </w:p>
    <w:p w14:paraId="32EE1675" w14:textId="0F227F6E" w:rsidR="00DD18D4" w:rsidRPr="00FC5C87" w:rsidRDefault="0000399D" w:rsidP="0005377D">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Thirdly, </w:t>
      </w:r>
      <w:r w:rsidR="006E3C1D" w:rsidRPr="00FC5C87">
        <w:rPr>
          <w:rFonts w:ascii="Arial" w:hAnsi="Arial" w:cs="Arial"/>
          <w:color w:val="7B7B7B" w:themeColor="accent3" w:themeShade="BF"/>
          <w:sz w:val="22"/>
          <w:szCs w:val="22"/>
        </w:rPr>
        <w:t xml:space="preserve">with regard to </w:t>
      </w:r>
      <w:r w:rsidRPr="00FC5C87">
        <w:rPr>
          <w:rFonts w:ascii="Arial" w:hAnsi="Arial" w:cs="Arial"/>
          <w:color w:val="7B7B7B" w:themeColor="accent3" w:themeShade="BF"/>
          <w:sz w:val="22"/>
          <w:szCs w:val="22"/>
        </w:rPr>
        <w:t xml:space="preserve">the </w:t>
      </w:r>
      <w:r w:rsidRPr="00FC5C87">
        <w:rPr>
          <w:rFonts w:ascii="Arial" w:hAnsi="Arial" w:cs="Arial"/>
          <w:b/>
          <w:bCs/>
          <w:color w:val="7B7B7B" w:themeColor="accent3" w:themeShade="BF"/>
          <w:sz w:val="22"/>
          <w:szCs w:val="22"/>
        </w:rPr>
        <w:t>geographical scope</w:t>
      </w:r>
      <w:r w:rsidR="006E3C1D" w:rsidRPr="00FC5C87">
        <w:rPr>
          <w:rFonts w:ascii="Arial" w:hAnsi="Arial" w:cs="Arial"/>
          <w:color w:val="7B7B7B" w:themeColor="accent3" w:themeShade="BF"/>
          <w:sz w:val="22"/>
          <w:szCs w:val="22"/>
        </w:rPr>
        <w:t xml:space="preserve">, </w:t>
      </w:r>
      <w:r w:rsidR="006E3C1D" w:rsidRPr="00FC5C87">
        <w:rPr>
          <w:rFonts w:ascii="Arial" w:hAnsi="Arial" w:cs="Arial"/>
          <w:b/>
          <w:bCs/>
          <w:color w:val="7B7B7B" w:themeColor="accent3" w:themeShade="BF"/>
          <w:sz w:val="22"/>
          <w:szCs w:val="22"/>
        </w:rPr>
        <w:t>Recital 25</w:t>
      </w:r>
      <w:r w:rsidR="006E3C1D" w:rsidRPr="00FC5C87">
        <w:rPr>
          <w:rFonts w:ascii="Arial" w:hAnsi="Arial" w:cs="Arial"/>
          <w:color w:val="7B7B7B" w:themeColor="accent3" w:themeShade="BF"/>
          <w:sz w:val="22"/>
          <w:szCs w:val="22"/>
        </w:rPr>
        <w:t xml:space="preserve"> of the EIR Recast states that the EIR Recast only applies to proceedings in respect of a debtor whose COMI is located in the EU. The competent court will examine if it is actually located within its jurisdiction. Thus, the EIR Recast does not apply where </w:t>
      </w:r>
      <w:r w:rsidR="00C073F1" w:rsidRPr="00FC5C87">
        <w:rPr>
          <w:rFonts w:ascii="Arial" w:hAnsi="Arial" w:cs="Arial"/>
          <w:color w:val="7B7B7B" w:themeColor="accent3" w:themeShade="BF"/>
          <w:sz w:val="22"/>
          <w:szCs w:val="22"/>
        </w:rPr>
        <w:t xml:space="preserve">Denmark or </w:t>
      </w:r>
      <w:r w:rsidR="006E3C1D" w:rsidRPr="00FC5C87">
        <w:rPr>
          <w:rFonts w:ascii="Arial" w:hAnsi="Arial" w:cs="Arial"/>
          <w:color w:val="7B7B7B" w:themeColor="accent3" w:themeShade="BF"/>
          <w:sz w:val="22"/>
          <w:szCs w:val="22"/>
        </w:rPr>
        <w:t xml:space="preserve">non-EU Member States are concerned (see also the </w:t>
      </w:r>
      <w:hyperlink r:id="rId35" w:anchor=":~:text=the%20EU%20Document%5D-,PDF,-Download%20(386Kb)%20%7C%20Preview" w:history="1">
        <w:r w:rsidR="006E3C1D" w:rsidRPr="00FC5C87">
          <w:rPr>
            <w:rStyle w:val="Hyperlink"/>
            <w:rFonts w:ascii="Arial" w:hAnsi="Arial" w:cs="Arial"/>
            <w:b/>
            <w:bCs/>
            <w:sz w:val="22"/>
            <w:szCs w:val="22"/>
          </w:rPr>
          <w:t xml:space="preserve">Virgos-Schmit Report </w:t>
        </w:r>
        <w:r w:rsidR="00C073F1" w:rsidRPr="00FC5C87">
          <w:rPr>
            <w:rStyle w:val="Hyperlink"/>
            <w:rFonts w:ascii="Arial" w:hAnsi="Arial" w:cs="Arial"/>
            <w:b/>
            <w:bCs/>
            <w:sz w:val="22"/>
            <w:szCs w:val="22"/>
          </w:rPr>
          <w:t>1996</w:t>
        </w:r>
      </w:hyperlink>
      <w:r w:rsidR="00C073F1" w:rsidRPr="00FC5C87">
        <w:rPr>
          <w:rFonts w:ascii="Arial" w:hAnsi="Arial" w:cs="Arial"/>
          <w:b/>
          <w:bCs/>
          <w:color w:val="7B7B7B" w:themeColor="accent3" w:themeShade="BF"/>
          <w:sz w:val="22"/>
          <w:szCs w:val="22"/>
        </w:rPr>
        <w:t xml:space="preserve">, </w:t>
      </w:r>
      <w:r w:rsidR="006E3C1D" w:rsidRPr="00FC5C87">
        <w:rPr>
          <w:rFonts w:ascii="Arial" w:hAnsi="Arial" w:cs="Arial"/>
          <w:b/>
          <w:bCs/>
          <w:color w:val="7B7B7B" w:themeColor="accent3" w:themeShade="BF"/>
          <w:sz w:val="22"/>
          <w:szCs w:val="22"/>
        </w:rPr>
        <w:t>point 44(b)</w:t>
      </w:r>
      <w:r w:rsidR="00C073F1" w:rsidRPr="00FC5C87">
        <w:rPr>
          <w:rFonts w:ascii="Arial" w:hAnsi="Arial" w:cs="Arial"/>
          <w:b/>
          <w:bCs/>
          <w:color w:val="7B7B7B" w:themeColor="accent3" w:themeShade="BF"/>
          <w:sz w:val="22"/>
          <w:szCs w:val="22"/>
        </w:rPr>
        <w:t xml:space="preserve"> </w:t>
      </w:r>
      <w:r w:rsidR="00C073F1" w:rsidRPr="00FC5C87">
        <w:rPr>
          <w:rFonts w:ascii="Arial" w:hAnsi="Arial" w:cs="Arial"/>
          <w:color w:val="7B7B7B" w:themeColor="accent3" w:themeShade="BF"/>
          <w:sz w:val="22"/>
          <w:szCs w:val="22"/>
        </w:rPr>
        <w:t>for further guidance</w:t>
      </w:r>
      <w:r w:rsidR="006E3C1D" w:rsidRPr="00FC5C87">
        <w:rPr>
          <w:rFonts w:ascii="Arial" w:hAnsi="Arial" w:cs="Arial"/>
          <w:color w:val="7B7B7B" w:themeColor="accent3" w:themeShade="BF"/>
          <w:sz w:val="22"/>
          <w:szCs w:val="22"/>
        </w:rPr>
        <w:t>)</w:t>
      </w:r>
      <w:r w:rsidR="005C0714" w:rsidRPr="00FC5C87">
        <w:rPr>
          <w:rFonts w:ascii="Arial" w:hAnsi="Arial" w:cs="Arial"/>
          <w:color w:val="7B7B7B" w:themeColor="accent3" w:themeShade="BF"/>
          <w:sz w:val="22"/>
          <w:szCs w:val="22"/>
        </w:rPr>
        <w:t xml:space="preserve">. </w:t>
      </w:r>
      <w:r w:rsidR="00C073F1" w:rsidRPr="00FC5C87">
        <w:rPr>
          <w:rFonts w:ascii="Arial" w:hAnsi="Arial" w:cs="Arial"/>
          <w:color w:val="7B7B7B" w:themeColor="accent3" w:themeShade="BF"/>
          <w:sz w:val="22"/>
          <w:szCs w:val="22"/>
        </w:rPr>
        <w:t>Two side notes, however, are that</w:t>
      </w:r>
      <w:r w:rsidR="005C0714" w:rsidRPr="00FC5C87">
        <w:rPr>
          <w:rFonts w:ascii="Arial" w:hAnsi="Arial" w:cs="Arial"/>
          <w:color w:val="7B7B7B" w:themeColor="accent3" w:themeShade="BF"/>
          <w:sz w:val="22"/>
          <w:szCs w:val="22"/>
        </w:rPr>
        <w:t xml:space="preserve">, although there are no extensive set of rules provided in the EIR Recast itself, the EIR Recast applies to cases with no cross-border elements. Also, </w:t>
      </w:r>
      <w:r w:rsidR="00C073F1" w:rsidRPr="00FC5C87">
        <w:rPr>
          <w:rFonts w:ascii="Arial" w:hAnsi="Arial" w:cs="Arial"/>
          <w:color w:val="7B7B7B" w:themeColor="accent3" w:themeShade="BF"/>
          <w:sz w:val="22"/>
          <w:szCs w:val="22"/>
        </w:rPr>
        <w:t xml:space="preserve">the CJEU extended the geographical scope of the EIR to persons whose residence is located in a third country for the sake of legal certainty and based on the principles of foreseeability and the universal character of main insolvency proceedings (see </w:t>
      </w:r>
      <w:hyperlink r:id="rId36" w:anchor=":~:text=That%20provision%20would%2C%20in%20principle%2C%20be%20superfluous%20if%20the%20Regulation%20did%20not%20apply%20to%20relations%20between%20a%20Member%20State%20and%20a%20third%20country." w:history="1">
        <w:r w:rsidR="00C073F1" w:rsidRPr="00FC5C87">
          <w:rPr>
            <w:rStyle w:val="Hyperlink"/>
            <w:rFonts w:ascii="Arial" w:hAnsi="Arial" w:cs="Arial"/>
            <w:i/>
            <w:iCs/>
            <w:sz w:val="22"/>
            <w:szCs w:val="22"/>
          </w:rPr>
          <w:t xml:space="preserve">Case C-328/12 Ralph Schmidt v Lilly Hertel, </w:t>
        </w:r>
        <w:r w:rsidR="00C073F1" w:rsidRPr="00FC5C87">
          <w:rPr>
            <w:rStyle w:val="Hyperlink"/>
            <w:rFonts w:ascii="Arial" w:hAnsi="Arial" w:cs="Arial"/>
            <w:sz w:val="22"/>
            <w:szCs w:val="22"/>
          </w:rPr>
          <w:t>paragraph</w:t>
        </w:r>
        <w:r w:rsidR="0009183D" w:rsidRPr="00FC5C87">
          <w:rPr>
            <w:rStyle w:val="Hyperlink"/>
            <w:rFonts w:ascii="Arial" w:hAnsi="Arial" w:cs="Arial"/>
            <w:sz w:val="22"/>
            <w:szCs w:val="22"/>
          </w:rPr>
          <w:t>s</w:t>
        </w:r>
        <w:r w:rsidR="00C073F1" w:rsidRPr="00FC5C87">
          <w:rPr>
            <w:rStyle w:val="Hyperlink"/>
            <w:rFonts w:ascii="Arial" w:hAnsi="Arial" w:cs="Arial"/>
            <w:sz w:val="22"/>
            <w:szCs w:val="22"/>
          </w:rPr>
          <w:t xml:space="preserve"> 23</w:t>
        </w:r>
      </w:hyperlink>
      <w:r w:rsidR="0009183D" w:rsidRPr="00FC5C87">
        <w:rPr>
          <w:rFonts w:ascii="Arial" w:hAnsi="Arial" w:cs="Arial"/>
          <w:i/>
          <w:iCs/>
          <w:color w:val="7B7B7B" w:themeColor="accent3" w:themeShade="BF"/>
          <w:sz w:val="22"/>
          <w:szCs w:val="22"/>
        </w:rPr>
        <w:t xml:space="preserve"> and </w:t>
      </w:r>
      <w:hyperlink r:id="rId37" w:anchor=":~:text=In%20the%20light%20of%20all,territory%20of%20a%20Member%20State." w:history="1">
        <w:r w:rsidR="0009183D" w:rsidRPr="00FC5C87">
          <w:rPr>
            <w:rStyle w:val="Hyperlink"/>
            <w:rFonts w:ascii="Arial" w:hAnsi="Arial" w:cs="Arial"/>
            <w:i/>
            <w:iCs/>
            <w:sz w:val="22"/>
            <w:szCs w:val="22"/>
          </w:rPr>
          <w:t>39</w:t>
        </w:r>
      </w:hyperlink>
      <w:r w:rsidR="00C073F1" w:rsidRPr="00FC5C87">
        <w:rPr>
          <w:rFonts w:ascii="Arial" w:hAnsi="Arial" w:cs="Arial"/>
          <w:color w:val="7B7B7B" w:themeColor="accent3" w:themeShade="BF"/>
          <w:sz w:val="22"/>
          <w:szCs w:val="22"/>
        </w:rPr>
        <w:t xml:space="preserve">). </w:t>
      </w:r>
      <w:r w:rsidR="008825AE" w:rsidRPr="00FC5C87">
        <w:rPr>
          <w:rFonts w:ascii="Arial" w:hAnsi="Arial" w:cs="Arial"/>
          <w:color w:val="7B7B7B" w:themeColor="accent3" w:themeShade="BF"/>
          <w:sz w:val="22"/>
          <w:szCs w:val="22"/>
        </w:rPr>
        <w:t xml:space="preserve">The third country would be </w:t>
      </w:r>
      <w:r w:rsidRPr="00FC5C87">
        <w:rPr>
          <w:rFonts w:ascii="Arial" w:hAnsi="Arial" w:cs="Arial"/>
          <w:color w:val="7B7B7B" w:themeColor="accent3" w:themeShade="BF"/>
          <w:sz w:val="22"/>
          <w:szCs w:val="22"/>
        </w:rPr>
        <w:t>under no obligation to recognize</w:t>
      </w:r>
      <w:r w:rsidR="008825AE" w:rsidRPr="00FC5C87">
        <w:rPr>
          <w:rFonts w:ascii="Arial" w:hAnsi="Arial" w:cs="Arial"/>
          <w:color w:val="7B7B7B" w:themeColor="accent3" w:themeShade="BF"/>
          <w:sz w:val="22"/>
          <w:szCs w:val="22"/>
        </w:rPr>
        <w:t xml:space="preserve"> or </w:t>
      </w:r>
      <w:r w:rsidRPr="00FC5C87">
        <w:rPr>
          <w:rFonts w:ascii="Arial" w:hAnsi="Arial" w:cs="Arial"/>
          <w:color w:val="7B7B7B" w:themeColor="accent3" w:themeShade="BF"/>
          <w:sz w:val="22"/>
          <w:szCs w:val="22"/>
        </w:rPr>
        <w:t xml:space="preserve">enforce a judgement, unless </w:t>
      </w:r>
      <w:r w:rsidR="008825AE" w:rsidRPr="00FC5C87">
        <w:rPr>
          <w:rFonts w:ascii="Arial" w:hAnsi="Arial" w:cs="Arial"/>
          <w:color w:val="7B7B7B" w:themeColor="accent3" w:themeShade="BF"/>
          <w:sz w:val="22"/>
          <w:szCs w:val="22"/>
        </w:rPr>
        <w:t>an i</w:t>
      </w:r>
      <w:r w:rsidRPr="00FC5C87">
        <w:rPr>
          <w:rFonts w:ascii="Arial" w:hAnsi="Arial" w:cs="Arial"/>
          <w:color w:val="7B7B7B" w:themeColor="accent3" w:themeShade="BF"/>
          <w:sz w:val="22"/>
          <w:szCs w:val="22"/>
        </w:rPr>
        <w:t>nternational treaty or applicable national law provides otherwise.</w:t>
      </w:r>
    </w:p>
    <w:p w14:paraId="1B10468E" w14:textId="09044973" w:rsidR="005C0714" w:rsidRPr="00FC5C87" w:rsidRDefault="005C0714" w:rsidP="005C0714">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Going back to our case, it is established that the furniture company “Cardinal Home” has its COMI in an EU Member State (which is not Denmark), namely Ireland. As the Dublin High Court has jurisdiction to open proceedings since the COMI is in Ireland, the third criteri</w:t>
      </w:r>
      <w:r w:rsidR="00E27C97">
        <w:rPr>
          <w:rFonts w:ascii="Arial" w:hAnsi="Arial" w:cs="Arial"/>
          <w:color w:val="7B7B7B" w:themeColor="accent3" w:themeShade="BF"/>
          <w:sz w:val="22"/>
          <w:szCs w:val="22"/>
        </w:rPr>
        <w:t>on</w:t>
      </w:r>
      <w:r w:rsidRPr="00FC5C87">
        <w:rPr>
          <w:rFonts w:ascii="Arial" w:hAnsi="Arial" w:cs="Arial"/>
          <w:color w:val="7B7B7B" w:themeColor="accent3" w:themeShade="BF"/>
          <w:sz w:val="22"/>
          <w:szCs w:val="22"/>
        </w:rPr>
        <w:t xml:space="preserve"> is satisfied. </w:t>
      </w:r>
    </w:p>
    <w:p w14:paraId="077E24CC" w14:textId="77777777" w:rsidR="008E7EA3" w:rsidRPr="00FC5C87" w:rsidRDefault="00435C6D" w:rsidP="00435C6D">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Lastly, the </w:t>
      </w:r>
      <w:r w:rsidRPr="00FC5C87">
        <w:rPr>
          <w:rFonts w:ascii="Arial" w:hAnsi="Arial" w:cs="Arial"/>
          <w:b/>
          <w:bCs/>
          <w:color w:val="7B7B7B" w:themeColor="accent3" w:themeShade="BF"/>
          <w:sz w:val="22"/>
          <w:szCs w:val="22"/>
        </w:rPr>
        <w:t>temporal scope</w:t>
      </w:r>
      <w:r w:rsidRPr="00FC5C87">
        <w:rPr>
          <w:rFonts w:ascii="Arial" w:hAnsi="Arial" w:cs="Arial"/>
          <w:color w:val="7B7B7B" w:themeColor="accent3" w:themeShade="BF"/>
          <w:sz w:val="22"/>
          <w:szCs w:val="22"/>
        </w:rPr>
        <w:t xml:space="preserve"> codified under</w:t>
      </w:r>
      <w:r w:rsidRPr="00FC5C87">
        <w:rPr>
          <w:rFonts w:ascii="Arial" w:hAnsi="Arial" w:cs="Arial"/>
          <w:b/>
          <w:bCs/>
          <w:color w:val="7B7B7B" w:themeColor="accent3" w:themeShade="BF"/>
          <w:sz w:val="22"/>
          <w:szCs w:val="22"/>
        </w:rPr>
        <w:t xml:space="preserve"> Article 84(1) </w:t>
      </w:r>
      <w:r w:rsidRPr="00FC5C87">
        <w:rPr>
          <w:rFonts w:ascii="Arial" w:hAnsi="Arial" w:cs="Arial"/>
          <w:color w:val="7B7B7B" w:themeColor="accent3" w:themeShade="BF"/>
          <w:sz w:val="22"/>
          <w:szCs w:val="22"/>
        </w:rPr>
        <w:t xml:space="preserve">of the EIR Recast states </w:t>
      </w:r>
      <w:r w:rsidR="005C0714" w:rsidRPr="00FC5C87">
        <w:rPr>
          <w:rFonts w:ascii="Arial" w:hAnsi="Arial" w:cs="Arial"/>
          <w:color w:val="7B7B7B" w:themeColor="accent3" w:themeShade="BF"/>
          <w:sz w:val="22"/>
          <w:szCs w:val="22"/>
        </w:rPr>
        <w:t xml:space="preserve">that </w:t>
      </w:r>
      <w:r w:rsidRPr="00FC5C87">
        <w:rPr>
          <w:rFonts w:ascii="Arial" w:hAnsi="Arial" w:cs="Arial"/>
          <w:color w:val="7B7B7B" w:themeColor="accent3" w:themeShade="BF"/>
          <w:sz w:val="22"/>
          <w:szCs w:val="22"/>
        </w:rPr>
        <w:t>it only applies to insolvency proceedings opened after 26 June 2017</w:t>
      </w:r>
      <w:r w:rsidR="005C0714" w:rsidRPr="00FC5C87">
        <w:rPr>
          <w:rFonts w:ascii="Arial" w:hAnsi="Arial" w:cs="Arial"/>
          <w:color w:val="7B7B7B" w:themeColor="accent3" w:themeShade="BF"/>
          <w:sz w:val="22"/>
          <w:szCs w:val="22"/>
        </w:rPr>
        <w:t xml:space="preserve">, as this is the date of entry into force of the EIR Recast, see </w:t>
      </w:r>
      <w:r w:rsidR="005C0714" w:rsidRPr="00FC5C87">
        <w:rPr>
          <w:rFonts w:ascii="Arial" w:hAnsi="Arial" w:cs="Arial"/>
          <w:b/>
          <w:bCs/>
          <w:color w:val="7B7B7B" w:themeColor="accent3" w:themeShade="BF"/>
          <w:sz w:val="22"/>
          <w:szCs w:val="22"/>
        </w:rPr>
        <w:t>Article 92</w:t>
      </w:r>
      <w:r w:rsidRPr="00FC5C87">
        <w:rPr>
          <w:rFonts w:ascii="Arial" w:hAnsi="Arial" w:cs="Arial"/>
          <w:color w:val="7B7B7B" w:themeColor="accent3" w:themeShade="BF"/>
          <w:sz w:val="22"/>
          <w:szCs w:val="22"/>
        </w:rPr>
        <w:t xml:space="preserve">. </w:t>
      </w:r>
      <w:r w:rsidR="005C0714" w:rsidRPr="00FC5C87">
        <w:rPr>
          <w:rFonts w:ascii="Arial" w:hAnsi="Arial" w:cs="Arial"/>
          <w:color w:val="7B7B7B" w:themeColor="accent3" w:themeShade="BF"/>
          <w:sz w:val="22"/>
          <w:szCs w:val="22"/>
        </w:rPr>
        <w:t xml:space="preserve">Before this date, the EIR 2000 applies. </w:t>
      </w:r>
      <w:r w:rsidR="008E7EA3" w:rsidRPr="00FC5C87">
        <w:rPr>
          <w:rFonts w:ascii="Arial" w:hAnsi="Arial" w:cs="Arial"/>
          <w:color w:val="7B7B7B" w:themeColor="accent3" w:themeShade="BF"/>
          <w:sz w:val="22"/>
          <w:szCs w:val="22"/>
        </w:rPr>
        <w:t>It is important to note that the relevant date is not the date of application for the opening of the insolvency proceedings, but the date of the decision of the court to open insolvency proceedings.</w:t>
      </w:r>
    </w:p>
    <w:p w14:paraId="37FBBFAE" w14:textId="04828005" w:rsidR="00435C6D" w:rsidRPr="00FC5C87" w:rsidRDefault="008E7EA3" w:rsidP="00435C6D">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In this case, a</w:t>
      </w:r>
      <w:r w:rsidR="00435C6D" w:rsidRPr="00FC5C87">
        <w:rPr>
          <w:rFonts w:ascii="Arial" w:hAnsi="Arial" w:cs="Arial"/>
          <w:color w:val="7B7B7B" w:themeColor="accent3" w:themeShade="BF"/>
          <w:sz w:val="22"/>
          <w:szCs w:val="22"/>
        </w:rPr>
        <w:t>s the Court opened the proceedings on the 30</w:t>
      </w:r>
      <w:r w:rsidR="00435C6D" w:rsidRPr="00FC5C87">
        <w:rPr>
          <w:rFonts w:ascii="Arial" w:hAnsi="Arial" w:cs="Arial"/>
          <w:color w:val="7B7B7B" w:themeColor="accent3" w:themeShade="BF"/>
          <w:sz w:val="22"/>
          <w:szCs w:val="22"/>
          <w:vertAlign w:val="superscript"/>
        </w:rPr>
        <w:t>th</w:t>
      </w:r>
      <w:r w:rsidR="00435C6D" w:rsidRPr="00FC5C87">
        <w:rPr>
          <w:rFonts w:ascii="Arial" w:hAnsi="Arial" w:cs="Arial"/>
          <w:color w:val="7B7B7B" w:themeColor="accent3" w:themeShade="BF"/>
          <w:sz w:val="22"/>
          <w:szCs w:val="22"/>
        </w:rPr>
        <w:t xml:space="preserve"> of June 2017, the fourth and last criteri</w:t>
      </w:r>
      <w:r w:rsidR="00E27C97">
        <w:rPr>
          <w:rFonts w:ascii="Arial" w:hAnsi="Arial" w:cs="Arial"/>
          <w:color w:val="7B7B7B" w:themeColor="accent3" w:themeShade="BF"/>
          <w:sz w:val="22"/>
          <w:szCs w:val="22"/>
        </w:rPr>
        <w:t>on</w:t>
      </w:r>
      <w:r w:rsidR="00435C6D" w:rsidRPr="00FC5C87">
        <w:rPr>
          <w:rFonts w:ascii="Arial" w:hAnsi="Arial" w:cs="Arial"/>
          <w:color w:val="7B7B7B" w:themeColor="accent3" w:themeShade="BF"/>
          <w:sz w:val="22"/>
          <w:szCs w:val="22"/>
        </w:rPr>
        <w:t xml:space="preserve"> is also satisfied.</w:t>
      </w:r>
    </w:p>
    <w:p w14:paraId="468A18C2" w14:textId="319C540B" w:rsidR="00435C6D" w:rsidRPr="00FC5C87" w:rsidRDefault="00435C6D" w:rsidP="00435C6D">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Hence, </w:t>
      </w:r>
      <w:r w:rsidR="008E7EA3" w:rsidRPr="00FC5C87">
        <w:rPr>
          <w:rFonts w:ascii="Arial" w:hAnsi="Arial" w:cs="Arial"/>
          <w:color w:val="7B7B7B" w:themeColor="accent3" w:themeShade="BF"/>
          <w:sz w:val="22"/>
          <w:szCs w:val="22"/>
        </w:rPr>
        <w:t>all four requirements</w:t>
      </w:r>
      <w:r w:rsidR="004F3498" w:rsidRPr="00FC5C87">
        <w:rPr>
          <w:rFonts w:ascii="Arial" w:hAnsi="Arial" w:cs="Arial"/>
          <w:color w:val="7B7B7B" w:themeColor="accent3" w:themeShade="BF"/>
          <w:sz w:val="22"/>
          <w:szCs w:val="22"/>
        </w:rPr>
        <w:t xml:space="preserve"> for the case to fall within the scope of the EIR Recast </w:t>
      </w:r>
      <w:r w:rsidR="008E7EA3" w:rsidRPr="00FC5C87">
        <w:rPr>
          <w:rFonts w:ascii="Arial" w:hAnsi="Arial" w:cs="Arial"/>
          <w:color w:val="7B7B7B" w:themeColor="accent3" w:themeShade="BF"/>
          <w:sz w:val="22"/>
          <w:szCs w:val="22"/>
        </w:rPr>
        <w:t>are satisfied</w:t>
      </w:r>
      <w:r w:rsidR="00104AD4" w:rsidRPr="00FC5C87">
        <w:rPr>
          <w:rFonts w:ascii="Arial" w:hAnsi="Arial" w:cs="Arial"/>
          <w:color w:val="7B7B7B" w:themeColor="accent3" w:themeShade="BF"/>
          <w:sz w:val="22"/>
          <w:szCs w:val="22"/>
        </w:rPr>
        <w:t xml:space="preserve">. As such, </w:t>
      </w:r>
      <w:r w:rsidRPr="00FC5C87">
        <w:rPr>
          <w:rFonts w:ascii="Arial" w:hAnsi="Arial" w:cs="Arial"/>
          <w:color w:val="7B7B7B" w:themeColor="accent3" w:themeShade="BF"/>
          <w:sz w:val="22"/>
          <w:szCs w:val="22"/>
        </w:rPr>
        <w:t xml:space="preserve">the EIR Recast </w:t>
      </w:r>
      <w:r w:rsidRPr="00FC5C87">
        <w:rPr>
          <w:rFonts w:ascii="Arial" w:hAnsi="Arial" w:cs="Arial"/>
          <w:b/>
          <w:bCs/>
          <w:color w:val="7B7B7B" w:themeColor="accent3" w:themeShade="BF"/>
          <w:sz w:val="22"/>
          <w:szCs w:val="22"/>
        </w:rPr>
        <w:t>is applicable</w:t>
      </w:r>
      <w:r w:rsidRPr="00FC5C87">
        <w:rPr>
          <w:rFonts w:ascii="Arial" w:hAnsi="Arial" w:cs="Arial"/>
          <w:color w:val="7B7B7B" w:themeColor="accent3" w:themeShade="BF"/>
          <w:sz w:val="22"/>
          <w:szCs w:val="22"/>
        </w:rPr>
        <w:t xml:space="preserve"> to this case.</w:t>
      </w:r>
    </w:p>
    <w:p w14:paraId="1F93A3B3" w14:textId="1D75FEFC" w:rsidR="005B235A" w:rsidRPr="00FC5C87" w:rsidRDefault="005B235A" w:rsidP="005B235A">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To open a secondary insolvency proceeding, an establishment of the debtor is required in that member state according to </w:t>
      </w:r>
      <w:r w:rsidR="00E27C97">
        <w:rPr>
          <w:rFonts w:ascii="Arial" w:hAnsi="Arial" w:cs="Arial"/>
          <w:color w:val="7B7B7B" w:themeColor="accent3" w:themeShade="BF"/>
          <w:sz w:val="22"/>
          <w:szCs w:val="22"/>
        </w:rPr>
        <w:t>A</w:t>
      </w:r>
      <w:r w:rsidRPr="00FC5C87">
        <w:rPr>
          <w:rFonts w:ascii="Arial" w:hAnsi="Arial" w:cs="Arial"/>
          <w:color w:val="7B7B7B" w:themeColor="accent3" w:themeShade="BF"/>
          <w:sz w:val="22"/>
          <w:szCs w:val="22"/>
        </w:rPr>
        <w:t>rticle 3 sub 2 EIR Recast.</w:t>
      </w:r>
    </w:p>
    <w:p w14:paraId="4ABDD4D6" w14:textId="77777777" w:rsidR="00435C6D" w:rsidRPr="00FC5C87" w:rsidRDefault="00435C6D" w:rsidP="00060B70">
      <w:pPr>
        <w:jc w:val="both"/>
        <w:rPr>
          <w:rFonts w:ascii="Arial" w:hAnsi="Arial" w:cs="Arial"/>
          <w:sz w:val="22"/>
          <w:szCs w:val="22"/>
        </w:rPr>
      </w:pPr>
    </w:p>
    <w:p w14:paraId="4D08349E" w14:textId="4ED7653E" w:rsidR="00C477DF" w:rsidRDefault="00C477DF" w:rsidP="002A37BB">
      <w:pPr>
        <w:autoSpaceDE w:val="0"/>
        <w:autoSpaceDN w:val="0"/>
        <w:adjustRightInd w:val="0"/>
        <w:jc w:val="both"/>
        <w:rPr>
          <w:rFonts w:ascii="Arial" w:hAnsi="Arial" w:cs="Arial"/>
          <w:sz w:val="22"/>
          <w:szCs w:val="22"/>
        </w:rPr>
      </w:pPr>
    </w:p>
    <w:p w14:paraId="3853DF2E" w14:textId="77777777" w:rsidR="00C477DF" w:rsidRPr="00FC5C87" w:rsidRDefault="00C477DF" w:rsidP="002A37BB">
      <w:pPr>
        <w:autoSpaceDE w:val="0"/>
        <w:autoSpaceDN w:val="0"/>
        <w:adjustRightInd w:val="0"/>
        <w:jc w:val="both"/>
        <w:rPr>
          <w:rFonts w:ascii="Arial" w:hAnsi="Arial" w:cs="Arial"/>
          <w:sz w:val="22"/>
          <w:szCs w:val="22"/>
        </w:rPr>
      </w:pPr>
    </w:p>
    <w:p w14:paraId="033C67A4" w14:textId="7A60A714" w:rsidR="002D3473" w:rsidRPr="00FC5C87" w:rsidRDefault="009B0723" w:rsidP="002A37BB">
      <w:pPr>
        <w:jc w:val="both"/>
        <w:rPr>
          <w:rFonts w:ascii="Arial" w:hAnsi="Arial" w:cs="Arial"/>
          <w:b/>
          <w:bCs/>
          <w:sz w:val="22"/>
          <w:szCs w:val="22"/>
        </w:rPr>
      </w:pPr>
      <w:r w:rsidRPr="00FC5C87">
        <w:rPr>
          <w:rFonts w:ascii="Arial" w:hAnsi="Arial" w:cs="Arial"/>
          <w:b/>
          <w:bCs/>
          <w:sz w:val="22"/>
          <w:szCs w:val="22"/>
        </w:rPr>
        <w:t>Question 4.3 [</w:t>
      </w:r>
      <w:r w:rsidR="00126A4D" w:rsidRPr="00FC5C87">
        <w:rPr>
          <w:rFonts w:ascii="Arial" w:hAnsi="Arial" w:cs="Arial"/>
          <w:b/>
          <w:bCs/>
          <w:sz w:val="22"/>
          <w:szCs w:val="22"/>
        </w:rPr>
        <w:t>m</w:t>
      </w:r>
      <w:r w:rsidRPr="00FC5C87">
        <w:rPr>
          <w:rFonts w:ascii="Arial" w:hAnsi="Arial" w:cs="Arial"/>
          <w:b/>
          <w:bCs/>
          <w:sz w:val="22"/>
          <w:szCs w:val="22"/>
        </w:rPr>
        <w:t xml:space="preserve">aximum </w:t>
      </w:r>
      <w:r w:rsidR="009B4976" w:rsidRPr="00FC5C87">
        <w:rPr>
          <w:rFonts w:ascii="Arial" w:hAnsi="Arial" w:cs="Arial"/>
          <w:b/>
          <w:bCs/>
          <w:sz w:val="22"/>
          <w:szCs w:val="22"/>
        </w:rPr>
        <w:t>5</w:t>
      </w:r>
      <w:r w:rsidRPr="00FC5C87">
        <w:rPr>
          <w:rFonts w:ascii="Arial" w:hAnsi="Arial" w:cs="Arial"/>
          <w:b/>
          <w:bCs/>
          <w:sz w:val="22"/>
          <w:szCs w:val="22"/>
        </w:rPr>
        <w:t xml:space="preserve"> marks]</w:t>
      </w:r>
    </w:p>
    <w:p w14:paraId="7A3444EC" w14:textId="77777777" w:rsidR="002D3473" w:rsidRPr="00FC5C87" w:rsidRDefault="002D3473" w:rsidP="002A37BB">
      <w:pPr>
        <w:jc w:val="both"/>
        <w:rPr>
          <w:rFonts w:ascii="Arial" w:hAnsi="Arial" w:cs="Arial"/>
          <w:b/>
          <w:bCs/>
          <w:sz w:val="22"/>
          <w:szCs w:val="22"/>
        </w:rPr>
      </w:pPr>
    </w:p>
    <w:bookmarkEnd w:id="1"/>
    <w:p w14:paraId="7938A593" w14:textId="649502F1" w:rsidR="002D0021" w:rsidRPr="00FC5C87" w:rsidRDefault="00BE4FF3" w:rsidP="002A37BB">
      <w:pPr>
        <w:jc w:val="both"/>
        <w:rPr>
          <w:rFonts w:ascii="Arial" w:hAnsi="Arial" w:cs="Arial"/>
          <w:sz w:val="22"/>
          <w:szCs w:val="22"/>
        </w:rPr>
      </w:pPr>
      <w:r w:rsidRPr="00FC5C87">
        <w:rPr>
          <w:rFonts w:ascii="Arial" w:hAnsi="Arial" w:cs="Arial"/>
          <w:sz w:val="22"/>
          <w:szCs w:val="22"/>
        </w:rPr>
        <w:t>A</w:t>
      </w:r>
      <w:r w:rsidR="004F4AF9" w:rsidRPr="00FC5C87">
        <w:rPr>
          <w:rFonts w:ascii="Arial" w:hAnsi="Arial" w:cs="Arial"/>
          <w:sz w:val="22"/>
          <w:szCs w:val="22"/>
        </w:rPr>
        <w:t>n Italian bank</w:t>
      </w:r>
      <w:r w:rsidR="00A54CB5" w:rsidRPr="00FC5C87">
        <w:rPr>
          <w:rFonts w:ascii="Arial" w:hAnsi="Arial" w:cs="Arial"/>
          <w:sz w:val="22"/>
          <w:szCs w:val="22"/>
        </w:rPr>
        <w:t xml:space="preserve"> </w:t>
      </w:r>
      <w:r w:rsidR="009B4976" w:rsidRPr="00FC5C87">
        <w:rPr>
          <w:rFonts w:ascii="Arial" w:hAnsi="Arial" w:cs="Arial"/>
          <w:sz w:val="22"/>
          <w:szCs w:val="22"/>
        </w:rPr>
        <w:t xml:space="preserve">files a petition to open secondary insolvency proceedings in </w:t>
      </w:r>
      <w:r w:rsidR="004F4AF9" w:rsidRPr="00FC5C87">
        <w:rPr>
          <w:rFonts w:ascii="Arial" w:hAnsi="Arial" w:cs="Arial"/>
          <w:sz w:val="22"/>
          <w:szCs w:val="22"/>
        </w:rPr>
        <w:t>Italy</w:t>
      </w:r>
      <w:r w:rsidR="009B4976" w:rsidRPr="00FC5C87">
        <w:rPr>
          <w:rFonts w:ascii="Arial" w:hAnsi="Arial" w:cs="Arial"/>
          <w:sz w:val="22"/>
          <w:szCs w:val="22"/>
        </w:rPr>
        <w:t xml:space="preserve"> with the purpose of securing </w:t>
      </w:r>
      <w:r w:rsidRPr="00FC5C87">
        <w:rPr>
          <w:rFonts w:ascii="Arial" w:hAnsi="Arial" w:cs="Arial"/>
          <w:sz w:val="22"/>
          <w:szCs w:val="22"/>
        </w:rPr>
        <w:t>a</w:t>
      </w:r>
      <w:r w:rsidR="004F4AF9" w:rsidRPr="00FC5C87">
        <w:rPr>
          <w:rFonts w:ascii="Arial" w:hAnsi="Arial" w:cs="Arial"/>
          <w:sz w:val="22"/>
          <w:szCs w:val="22"/>
        </w:rPr>
        <w:t xml:space="preserve">n Italian </w:t>
      </w:r>
      <w:r w:rsidR="009B4976" w:rsidRPr="00FC5C87">
        <w:rPr>
          <w:rFonts w:ascii="Arial" w:hAnsi="Arial" w:cs="Arial"/>
          <w:sz w:val="22"/>
          <w:szCs w:val="22"/>
        </w:rPr>
        <w:t xml:space="preserve">insolvency distribution ranking. Given the facts of the case, can such proceedings be opened in </w:t>
      </w:r>
      <w:r w:rsidR="004F4AF9" w:rsidRPr="00FC5C87">
        <w:rPr>
          <w:rFonts w:ascii="Arial" w:hAnsi="Arial" w:cs="Arial"/>
          <w:sz w:val="22"/>
          <w:szCs w:val="22"/>
        </w:rPr>
        <w:t>Italy</w:t>
      </w:r>
      <w:r w:rsidR="009B4976" w:rsidRPr="00FC5C87">
        <w:rPr>
          <w:rFonts w:ascii="Arial" w:hAnsi="Arial" w:cs="Arial"/>
          <w:sz w:val="22"/>
          <w:szCs w:val="22"/>
        </w:rPr>
        <w:t xml:space="preserve"> under the EIR Recast? Your answer should contain references to the applicable law and the relevant CJEU jurisprudence.</w:t>
      </w:r>
      <w:r w:rsidR="00457CA3" w:rsidRPr="00FC5C87">
        <w:rPr>
          <w:rFonts w:ascii="Arial" w:hAnsi="Arial" w:cs="Arial"/>
          <w:sz w:val="22"/>
          <w:szCs w:val="22"/>
        </w:rPr>
        <w:t xml:space="preserve"> </w:t>
      </w:r>
    </w:p>
    <w:p w14:paraId="44D8DC8E" w14:textId="77777777" w:rsidR="002D0021" w:rsidRPr="00FC5C87" w:rsidRDefault="002D0021" w:rsidP="002A37BB">
      <w:pPr>
        <w:jc w:val="both"/>
        <w:rPr>
          <w:rFonts w:ascii="Arial" w:hAnsi="Arial" w:cs="Arial"/>
          <w:sz w:val="22"/>
          <w:szCs w:val="22"/>
        </w:rPr>
      </w:pPr>
    </w:p>
    <w:p w14:paraId="5235EB2A" w14:textId="40423ED4" w:rsidR="005B70B0" w:rsidRPr="00FC5C87" w:rsidRDefault="005B235A" w:rsidP="005B70B0">
      <w:pPr>
        <w:ind w:left="720" w:hanging="720"/>
        <w:jc w:val="both"/>
        <w:rPr>
          <w:rFonts w:ascii="Arial" w:hAnsi="Arial" w:cs="Arial"/>
          <w:color w:val="7B7B7B" w:themeColor="accent3" w:themeShade="BF"/>
          <w:sz w:val="22"/>
          <w:szCs w:val="22"/>
        </w:rPr>
      </w:pPr>
      <w:r w:rsidRPr="00FC5C87">
        <w:rPr>
          <w:rFonts w:ascii="Arial" w:hAnsi="Arial" w:cs="Arial"/>
          <w:b/>
          <w:bCs/>
          <w:color w:val="7B7B7B" w:themeColor="accent3" w:themeShade="BF"/>
          <w:sz w:val="22"/>
          <w:szCs w:val="22"/>
        </w:rPr>
        <w:t>Secondary</w:t>
      </w:r>
      <w:r w:rsidR="008E6172" w:rsidRPr="00FC5C87">
        <w:rPr>
          <w:rFonts w:ascii="Arial" w:hAnsi="Arial" w:cs="Arial"/>
          <w:b/>
          <w:bCs/>
          <w:color w:val="7B7B7B" w:themeColor="accent3" w:themeShade="BF"/>
          <w:sz w:val="22"/>
          <w:szCs w:val="22"/>
        </w:rPr>
        <w:t xml:space="preserve"> insolvency</w:t>
      </w:r>
      <w:r w:rsidRPr="00FC5C87">
        <w:rPr>
          <w:rFonts w:ascii="Arial" w:hAnsi="Arial" w:cs="Arial"/>
          <w:b/>
          <w:bCs/>
          <w:color w:val="7B7B7B" w:themeColor="accent3" w:themeShade="BF"/>
          <w:sz w:val="22"/>
          <w:szCs w:val="22"/>
        </w:rPr>
        <w:t xml:space="preserve"> proceedings</w:t>
      </w:r>
      <w:r w:rsidR="008E6172" w:rsidRPr="00FC5C87">
        <w:rPr>
          <w:rFonts w:ascii="Arial" w:hAnsi="Arial" w:cs="Arial"/>
          <w:color w:val="7B7B7B" w:themeColor="accent3" w:themeShade="BF"/>
          <w:sz w:val="22"/>
          <w:szCs w:val="22"/>
        </w:rPr>
        <w:t xml:space="preserve"> </w:t>
      </w:r>
      <w:r w:rsidR="00F83537" w:rsidRPr="00FC5C87">
        <w:rPr>
          <w:rFonts w:ascii="Arial" w:hAnsi="Arial" w:cs="Arial"/>
          <w:color w:val="7B7B7B" w:themeColor="accent3" w:themeShade="BF"/>
          <w:sz w:val="22"/>
          <w:szCs w:val="22"/>
        </w:rPr>
        <w:t xml:space="preserve">under </w:t>
      </w:r>
      <w:r w:rsidR="00F83537" w:rsidRPr="00FC5C87">
        <w:rPr>
          <w:rFonts w:ascii="Arial" w:hAnsi="Arial" w:cs="Arial"/>
          <w:b/>
          <w:bCs/>
          <w:color w:val="7B7B7B" w:themeColor="accent3" w:themeShade="BF"/>
          <w:sz w:val="22"/>
          <w:szCs w:val="22"/>
        </w:rPr>
        <w:t xml:space="preserve">Article 3(2) </w:t>
      </w:r>
      <w:r w:rsidR="00F83537" w:rsidRPr="00FC5C87">
        <w:rPr>
          <w:rFonts w:ascii="Arial" w:hAnsi="Arial" w:cs="Arial"/>
          <w:color w:val="7B7B7B" w:themeColor="accent3" w:themeShade="BF"/>
          <w:sz w:val="22"/>
          <w:szCs w:val="22"/>
        </w:rPr>
        <w:t xml:space="preserve">of the EIR Recast </w:t>
      </w:r>
      <w:r w:rsidR="008E6172" w:rsidRPr="00FC5C87">
        <w:rPr>
          <w:rFonts w:ascii="Arial" w:hAnsi="Arial" w:cs="Arial"/>
          <w:color w:val="7B7B7B" w:themeColor="accent3" w:themeShade="BF"/>
          <w:sz w:val="22"/>
          <w:szCs w:val="22"/>
        </w:rPr>
        <w:t xml:space="preserve">are proceedings opened in the territory where the debtor has an “establishment” </w:t>
      </w:r>
      <w:r w:rsidR="00F83537" w:rsidRPr="00FC5C87">
        <w:rPr>
          <w:rFonts w:ascii="Arial" w:hAnsi="Arial" w:cs="Arial"/>
          <w:color w:val="7B7B7B" w:themeColor="accent3" w:themeShade="BF"/>
          <w:sz w:val="22"/>
          <w:szCs w:val="22"/>
        </w:rPr>
        <w:t xml:space="preserve">within the meaning of </w:t>
      </w:r>
      <w:r w:rsidR="00F83537" w:rsidRPr="00FC5C87">
        <w:rPr>
          <w:rFonts w:ascii="Arial" w:hAnsi="Arial" w:cs="Arial"/>
          <w:b/>
          <w:bCs/>
          <w:color w:val="7B7B7B" w:themeColor="accent3" w:themeShade="BF"/>
          <w:sz w:val="22"/>
          <w:szCs w:val="22"/>
        </w:rPr>
        <w:t xml:space="preserve">Article 2(10) </w:t>
      </w:r>
      <w:r w:rsidR="00F83537" w:rsidRPr="00FC5C87">
        <w:rPr>
          <w:rFonts w:ascii="Arial" w:hAnsi="Arial" w:cs="Arial"/>
          <w:color w:val="7B7B7B" w:themeColor="accent3" w:themeShade="BF"/>
          <w:sz w:val="22"/>
          <w:szCs w:val="22"/>
        </w:rPr>
        <w:t>of the EIR Recast. As such, courts of the Member State in which the debtor has an establishment, and not a COMI, have jurisdiction to open secondary insolvency proceedings. The effects of those proceedings are restricted to the assets of the debtor situated in the territory Member State of the secondary proceeding. It thus creates a separate</w:t>
      </w:r>
      <w:r w:rsidRPr="00FC5C87">
        <w:rPr>
          <w:rFonts w:ascii="Arial" w:hAnsi="Arial" w:cs="Arial"/>
          <w:color w:val="7B7B7B" w:themeColor="accent3" w:themeShade="BF"/>
          <w:sz w:val="22"/>
          <w:szCs w:val="22"/>
        </w:rPr>
        <w:t xml:space="preserve"> insolvency estate or </w:t>
      </w:r>
      <w:r w:rsidRPr="00FC5C87">
        <w:rPr>
          <w:rFonts w:ascii="Arial" w:hAnsi="Arial" w:cs="Arial"/>
          <w:i/>
          <w:iCs/>
          <w:color w:val="7B7B7B" w:themeColor="accent3" w:themeShade="BF"/>
          <w:sz w:val="22"/>
          <w:szCs w:val="22"/>
        </w:rPr>
        <w:t xml:space="preserve">lex concursus </w:t>
      </w:r>
      <w:proofErr w:type="spellStart"/>
      <w:r w:rsidRPr="00FC5C87">
        <w:rPr>
          <w:rFonts w:ascii="Arial" w:hAnsi="Arial" w:cs="Arial"/>
          <w:i/>
          <w:iCs/>
          <w:color w:val="7B7B7B" w:themeColor="accent3" w:themeShade="BF"/>
          <w:sz w:val="22"/>
          <w:szCs w:val="22"/>
        </w:rPr>
        <w:t>secundarii</w:t>
      </w:r>
      <w:proofErr w:type="spellEnd"/>
      <w:r w:rsidR="00107B05" w:rsidRPr="00FC5C87">
        <w:rPr>
          <w:rFonts w:ascii="Arial" w:hAnsi="Arial" w:cs="Arial"/>
          <w:color w:val="7B7B7B" w:themeColor="accent3" w:themeShade="BF"/>
          <w:sz w:val="22"/>
          <w:szCs w:val="22"/>
        </w:rPr>
        <w:t xml:space="preserve"> and limits the </w:t>
      </w:r>
      <w:r w:rsidRPr="00FC5C87">
        <w:rPr>
          <w:rFonts w:ascii="Arial" w:hAnsi="Arial" w:cs="Arial"/>
          <w:color w:val="7B7B7B" w:themeColor="accent3" w:themeShade="BF"/>
          <w:sz w:val="22"/>
          <w:szCs w:val="22"/>
        </w:rPr>
        <w:t xml:space="preserve">universal scope of </w:t>
      </w:r>
      <w:r w:rsidR="00107B05" w:rsidRPr="00FC5C87">
        <w:rPr>
          <w:rFonts w:ascii="Arial" w:hAnsi="Arial" w:cs="Arial"/>
          <w:color w:val="7B7B7B" w:themeColor="accent3" w:themeShade="BF"/>
          <w:sz w:val="22"/>
          <w:szCs w:val="22"/>
        </w:rPr>
        <w:t>the</w:t>
      </w:r>
      <w:r w:rsidRPr="00FC5C87">
        <w:rPr>
          <w:rFonts w:ascii="Arial" w:hAnsi="Arial" w:cs="Arial"/>
          <w:color w:val="7B7B7B" w:themeColor="accent3" w:themeShade="BF"/>
          <w:sz w:val="22"/>
          <w:szCs w:val="22"/>
        </w:rPr>
        <w:t xml:space="preserve"> main</w:t>
      </w:r>
      <w:r w:rsidR="00107B05" w:rsidRPr="00FC5C87">
        <w:rPr>
          <w:rFonts w:ascii="Arial" w:hAnsi="Arial" w:cs="Arial"/>
          <w:color w:val="7B7B7B" w:themeColor="accent3" w:themeShade="BF"/>
          <w:sz w:val="22"/>
          <w:szCs w:val="22"/>
        </w:rPr>
        <w:t xml:space="preserve"> insolvency</w:t>
      </w:r>
      <w:r w:rsidRPr="00FC5C87">
        <w:rPr>
          <w:rFonts w:ascii="Arial" w:hAnsi="Arial" w:cs="Arial"/>
          <w:color w:val="7B7B7B" w:themeColor="accent3" w:themeShade="BF"/>
          <w:sz w:val="22"/>
          <w:szCs w:val="22"/>
        </w:rPr>
        <w:t xml:space="preserve"> proceeding</w:t>
      </w:r>
      <w:r w:rsidR="00107B05" w:rsidRPr="00FC5C87">
        <w:rPr>
          <w:rFonts w:ascii="Arial" w:hAnsi="Arial" w:cs="Arial"/>
          <w:color w:val="7B7B7B" w:themeColor="accent3" w:themeShade="BF"/>
          <w:sz w:val="22"/>
          <w:szCs w:val="22"/>
        </w:rPr>
        <w:t xml:space="preserve">. The aim of such proceedings are to protect </w:t>
      </w:r>
      <w:r w:rsidRPr="00FC5C87">
        <w:rPr>
          <w:rFonts w:ascii="Arial" w:hAnsi="Arial" w:cs="Arial"/>
          <w:color w:val="7B7B7B" w:themeColor="accent3" w:themeShade="BF"/>
          <w:sz w:val="22"/>
          <w:szCs w:val="22"/>
        </w:rPr>
        <w:t>local interests</w:t>
      </w:r>
      <w:r w:rsidR="00107B05" w:rsidRPr="00FC5C87">
        <w:rPr>
          <w:rFonts w:ascii="Arial" w:hAnsi="Arial" w:cs="Arial"/>
          <w:color w:val="7B7B7B" w:themeColor="accent3" w:themeShade="BF"/>
          <w:sz w:val="22"/>
          <w:szCs w:val="22"/>
        </w:rPr>
        <w:t xml:space="preserve"> and </w:t>
      </w:r>
      <w:r w:rsidRPr="00FC5C87">
        <w:rPr>
          <w:rFonts w:ascii="Arial" w:hAnsi="Arial" w:cs="Arial"/>
          <w:color w:val="7B7B7B" w:themeColor="accent3" w:themeShade="BF"/>
          <w:sz w:val="22"/>
          <w:szCs w:val="22"/>
        </w:rPr>
        <w:t>creditors</w:t>
      </w:r>
      <w:r w:rsidR="00107B05" w:rsidRPr="00FC5C87">
        <w:rPr>
          <w:rFonts w:ascii="Arial" w:hAnsi="Arial" w:cs="Arial"/>
          <w:color w:val="7B7B7B" w:themeColor="accent3" w:themeShade="BF"/>
          <w:sz w:val="22"/>
          <w:szCs w:val="22"/>
        </w:rPr>
        <w:t xml:space="preserve">, to </w:t>
      </w:r>
      <w:r w:rsidR="008A34E8" w:rsidRPr="00FC5C87">
        <w:rPr>
          <w:rFonts w:ascii="Arial" w:hAnsi="Arial" w:cs="Arial"/>
          <w:color w:val="7B7B7B" w:themeColor="accent3" w:themeShade="BF"/>
          <w:sz w:val="22"/>
          <w:szCs w:val="22"/>
        </w:rPr>
        <w:t>facilitate the handling o</w:t>
      </w:r>
      <w:r w:rsidRPr="00FC5C87">
        <w:rPr>
          <w:rFonts w:ascii="Arial" w:hAnsi="Arial" w:cs="Arial"/>
          <w:color w:val="7B7B7B" w:themeColor="accent3" w:themeShade="BF"/>
          <w:sz w:val="22"/>
          <w:szCs w:val="22"/>
        </w:rPr>
        <w:t>f complex insolvency estates</w:t>
      </w:r>
      <w:r w:rsidR="008A34E8" w:rsidRPr="00FC5C87">
        <w:rPr>
          <w:rFonts w:ascii="Arial" w:hAnsi="Arial" w:cs="Arial"/>
          <w:color w:val="7B7B7B" w:themeColor="accent3" w:themeShade="BF"/>
          <w:sz w:val="22"/>
          <w:szCs w:val="22"/>
        </w:rPr>
        <w:t>, but also to support the main insolvency proceeding</w:t>
      </w:r>
      <w:r w:rsidR="0087308B" w:rsidRPr="00FC5C87">
        <w:rPr>
          <w:rFonts w:ascii="Arial" w:hAnsi="Arial" w:cs="Arial"/>
          <w:color w:val="7B7B7B" w:themeColor="accent3" w:themeShade="BF"/>
          <w:sz w:val="22"/>
          <w:szCs w:val="22"/>
        </w:rPr>
        <w:t xml:space="preserve"> (</w:t>
      </w:r>
      <w:hyperlink r:id="rId38" w:anchor=":~:text=the%20EU%20Document%5D-,PDF,-Download%20(386Kb)%20%7C%20Preview" w:history="1">
        <w:r w:rsidR="0087308B" w:rsidRPr="00FC5C87">
          <w:rPr>
            <w:rStyle w:val="Hyperlink"/>
            <w:rFonts w:ascii="Arial" w:hAnsi="Arial" w:cs="Arial"/>
            <w:b/>
            <w:bCs/>
            <w:sz w:val="22"/>
            <w:szCs w:val="22"/>
          </w:rPr>
          <w:t>Virgos-Schmit Report 1996</w:t>
        </w:r>
      </w:hyperlink>
      <w:r w:rsidR="0087308B" w:rsidRPr="00FC5C87">
        <w:rPr>
          <w:rFonts w:ascii="Arial" w:hAnsi="Arial" w:cs="Arial"/>
          <w:b/>
          <w:bCs/>
          <w:color w:val="7B7B7B" w:themeColor="accent3" w:themeShade="BF"/>
          <w:sz w:val="22"/>
          <w:szCs w:val="22"/>
        </w:rPr>
        <w:t>, points 32&amp;33)</w:t>
      </w:r>
      <w:r w:rsidR="008A34E8" w:rsidRPr="00FC5C87">
        <w:rPr>
          <w:rFonts w:ascii="Arial" w:hAnsi="Arial" w:cs="Arial"/>
          <w:color w:val="7B7B7B" w:themeColor="accent3" w:themeShade="BF"/>
          <w:sz w:val="22"/>
          <w:szCs w:val="22"/>
        </w:rPr>
        <w:t>. As such, s</w:t>
      </w:r>
      <w:r w:rsidRPr="00FC5C87">
        <w:rPr>
          <w:rFonts w:ascii="Arial" w:hAnsi="Arial" w:cs="Arial"/>
          <w:color w:val="7B7B7B" w:themeColor="accent3" w:themeShade="BF"/>
          <w:sz w:val="22"/>
          <w:szCs w:val="22"/>
        </w:rPr>
        <w:t xml:space="preserve">econdary proceedings can only be opened after the </w:t>
      </w:r>
      <w:r w:rsidR="008A34E8" w:rsidRPr="00FC5C87">
        <w:rPr>
          <w:rFonts w:ascii="Arial" w:hAnsi="Arial" w:cs="Arial"/>
          <w:color w:val="7B7B7B" w:themeColor="accent3" w:themeShade="BF"/>
          <w:sz w:val="22"/>
          <w:szCs w:val="22"/>
        </w:rPr>
        <w:t xml:space="preserve">opening of </w:t>
      </w:r>
      <w:r w:rsidRPr="00FC5C87">
        <w:rPr>
          <w:rFonts w:ascii="Arial" w:hAnsi="Arial" w:cs="Arial"/>
          <w:color w:val="7B7B7B" w:themeColor="accent3" w:themeShade="BF"/>
          <w:sz w:val="22"/>
          <w:szCs w:val="22"/>
        </w:rPr>
        <w:t xml:space="preserve">main </w:t>
      </w:r>
      <w:r w:rsidR="008A34E8" w:rsidRPr="00FC5C87">
        <w:rPr>
          <w:rFonts w:ascii="Arial" w:hAnsi="Arial" w:cs="Arial"/>
          <w:color w:val="7B7B7B" w:themeColor="accent3" w:themeShade="BF"/>
          <w:sz w:val="22"/>
          <w:szCs w:val="22"/>
        </w:rPr>
        <w:t xml:space="preserve">insolvency </w:t>
      </w:r>
      <w:r w:rsidRPr="00FC5C87">
        <w:rPr>
          <w:rFonts w:ascii="Arial" w:hAnsi="Arial" w:cs="Arial"/>
          <w:color w:val="7B7B7B" w:themeColor="accent3" w:themeShade="BF"/>
          <w:sz w:val="22"/>
          <w:szCs w:val="22"/>
        </w:rPr>
        <w:t>proceedings</w:t>
      </w:r>
      <w:r w:rsidR="008A34E8" w:rsidRPr="00FC5C87">
        <w:rPr>
          <w:rFonts w:ascii="Arial" w:hAnsi="Arial" w:cs="Arial"/>
          <w:color w:val="7B7B7B" w:themeColor="accent3" w:themeShade="BF"/>
          <w:sz w:val="22"/>
          <w:szCs w:val="22"/>
        </w:rPr>
        <w:t>, see Article 3(3) of the EIR Recast</w:t>
      </w:r>
      <w:r w:rsidRPr="00FC5C87">
        <w:rPr>
          <w:rFonts w:ascii="Arial" w:hAnsi="Arial" w:cs="Arial"/>
          <w:color w:val="7B7B7B" w:themeColor="accent3" w:themeShade="BF"/>
          <w:sz w:val="22"/>
          <w:szCs w:val="22"/>
        </w:rPr>
        <w:t xml:space="preserve">. </w:t>
      </w:r>
      <w:r w:rsidR="008A34E8" w:rsidRPr="00FC5C87">
        <w:rPr>
          <w:rFonts w:ascii="Arial" w:hAnsi="Arial" w:cs="Arial"/>
          <w:color w:val="7B7B7B" w:themeColor="accent3" w:themeShade="BF"/>
          <w:sz w:val="22"/>
          <w:szCs w:val="22"/>
        </w:rPr>
        <w:t>As a side note, in certain cases, t</w:t>
      </w:r>
      <w:r w:rsidRPr="00FC5C87">
        <w:rPr>
          <w:rFonts w:ascii="Arial" w:hAnsi="Arial" w:cs="Arial"/>
          <w:color w:val="7B7B7B" w:themeColor="accent3" w:themeShade="BF"/>
          <w:sz w:val="22"/>
          <w:szCs w:val="22"/>
        </w:rPr>
        <w:t xml:space="preserve">erritorial proceedings </w:t>
      </w:r>
      <w:r w:rsidR="008A34E8" w:rsidRPr="00FC5C87">
        <w:rPr>
          <w:rFonts w:ascii="Arial" w:hAnsi="Arial" w:cs="Arial"/>
          <w:color w:val="7B7B7B" w:themeColor="accent3" w:themeShade="BF"/>
          <w:sz w:val="22"/>
          <w:szCs w:val="22"/>
        </w:rPr>
        <w:t xml:space="preserve">could be opened prior to the main insolvency proceeding. However, they </w:t>
      </w:r>
      <w:r w:rsidRPr="00FC5C87">
        <w:rPr>
          <w:rFonts w:ascii="Arial" w:hAnsi="Arial" w:cs="Arial"/>
          <w:color w:val="7B7B7B" w:themeColor="accent3" w:themeShade="BF"/>
          <w:sz w:val="22"/>
          <w:szCs w:val="22"/>
        </w:rPr>
        <w:t>turn into secondary proceedings after the main proceeding is opened</w:t>
      </w:r>
      <w:r w:rsidR="008A34E8" w:rsidRPr="00FC5C87">
        <w:rPr>
          <w:rFonts w:ascii="Arial" w:hAnsi="Arial" w:cs="Arial"/>
          <w:color w:val="7B7B7B" w:themeColor="accent3" w:themeShade="BF"/>
          <w:sz w:val="22"/>
          <w:szCs w:val="22"/>
        </w:rPr>
        <w:t>, see Article 3(4) of the EIR Recast</w:t>
      </w:r>
      <w:r w:rsidRPr="00FC5C87">
        <w:rPr>
          <w:rFonts w:ascii="Arial" w:hAnsi="Arial" w:cs="Arial"/>
          <w:color w:val="7B7B7B" w:themeColor="accent3" w:themeShade="BF"/>
          <w:sz w:val="22"/>
          <w:szCs w:val="22"/>
        </w:rPr>
        <w:t>.</w:t>
      </w:r>
    </w:p>
    <w:p w14:paraId="08F25B4E" w14:textId="64527147" w:rsidR="005B70B0" w:rsidRPr="00FC5C87" w:rsidRDefault="005B70B0" w:rsidP="005B70B0">
      <w:pPr>
        <w:ind w:left="720" w:hanging="720"/>
        <w:jc w:val="both"/>
        <w:rPr>
          <w:rFonts w:ascii="Arial" w:hAnsi="Arial" w:cs="Arial"/>
          <w:color w:val="7B7B7B" w:themeColor="accent3" w:themeShade="BF"/>
          <w:sz w:val="22"/>
          <w:szCs w:val="22"/>
        </w:rPr>
      </w:pPr>
      <w:r w:rsidRPr="00FC5C87">
        <w:rPr>
          <w:rFonts w:ascii="Arial" w:hAnsi="Arial" w:cs="Arial"/>
          <w:b/>
          <w:bCs/>
          <w:color w:val="7B7B7B" w:themeColor="accent3" w:themeShade="BF"/>
          <w:sz w:val="22"/>
          <w:szCs w:val="22"/>
        </w:rPr>
        <w:t xml:space="preserve">Article 2(10) </w:t>
      </w:r>
      <w:r w:rsidRPr="00FC5C87">
        <w:rPr>
          <w:rFonts w:ascii="Arial" w:hAnsi="Arial" w:cs="Arial"/>
          <w:color w:val="7B7B7B" w:themeColor="accent3" w:themeShade="BF"/>
          <w:sz w:val="22"/>
          <w:szCs w:val="22"/>
        </w:rPr>
        <w:t>of the EIR Recast states that an establishment “means any place of operations where a debtor carries out or has carried out in the 3-month period prior to the request to open main insolvency proceedings a non-transitory economic activity with human means and asset”.</w:t>
      </w:r>
    </w:p>
    <w:p w14:paraId="74806E90" w14:textId="7BDE375B" w:rsidR="002B5754" w:rsidRPr="00FC5C87" w:rsidRDefault="0087308B" w:rsidP="002B5754">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In </w:t>
      </w:r>
      <w:hyperlink r:id="rId39" w:history="1">
        <w:r w:rsidRPr="00FC5C87">
          <w:rPr>
            <w:rStyle w:val="Hyperlink"/>
            <w:rFonts w:ascii="Arial" w:hAnsi="Arial" w:cs="Arial"/>
            <w:b/>
            <w:bCs/>
            <w:i/>
            <w:iCs/>
            <w:sz w:val="22"/>
            <w:szCs w:val="22"/>
          </w:rPr>
          <w:t xml:space="preserve">Case C-396/09 </w:t>
        </w:r>
        <w:proofErr w:type="spellStart"/>
        <w:r w:rsidRPr="00FC5C87">
          <w:rPr>
            <w:rStyle w:val="Hyperlink"/>
            <w:rFonts w:ascii="Arial" w:hAnsi="Arial" w:cs="Arial"/>
            <w:b/>
            <w:bCs/>
            <w:i/>
            <w:iCs/>
            <w:sz w:val="22"/>
            <w:szCs w:val="22"/>
          </w:rPr>
          <w:t>Interedil</w:t>
        </w:r>
        <w:proofErr w:type="spellEnd"/>
        <w:r w:rsidRPr="00FC5C87">
          <w:rPr>
            <w:rStyle w:val="Hyperlink"/>
            <w:rFonts w:ascii="Arial" w:hAnsi="Arial" w:cs="Arial"/>
            <w:b/>
            <w:bCs/>
            <w:i/>
            <w:iCs/>
            <w:sz w:val="22"/>
            <w:szCs w:val="22"/>
          </w:rPr>
          <w:t xml:space="preserve"> </w:t>
        </w:r>
        <w:proofErr w:type="spellStart"/>
        <w:r w:rsidRPr="00FC5C87">
          <w:rPr>
            <w:rStyle w:val="Hyperlink"/>
            <w:rFonts w:ascii="Arial" w:hAnsi="Arial" w:cs="Arial"/>
            <w:b/>
            <w:bCs/>
            <w:i/>
            <w:iCs/>
            <w:sz w:val="22"/>
            <w:szCs w:val="22"/>
          </w:rPr>
          <w:t>Srl</w:t>
        </w:r>
        <w:proofErr w:type="spellEnd"/>
        <w:r w:rsidRPr="00FC5C87">
          <w:rPr>
            <w:rStyle w:val="Hyperlink"/>
            <w:rFonts w:ascii="Arial" w:hAnsi="Arial" w:cs="Arial"/>
            <w:b/>
            <w:bCs/>
            <w:i/>
            <w:iCs/>
            <w:sz w:val="22"/>
            <w:szCs w:val="22"/>
          </w:rPr>
          <w:t xml:space="preserve">, in liquidation v </w:t>
        </w:r>
        <w:proofErr w:type="spellStart"/>
        <w:r w:rsidRPr="00FC5C87">
          <w:rPr>
            <w:rStyle w:val="Hyperlink"/>
            <w:rFonts w:ascii="Arial" w:hAnsi="Arial" w:cs="Arial"/>
            <w:b/>
            <w:bCs/>
            <w:i/>
            <w:iCs/>
            <w:sz w:val="22"/>
            <w:szCs w:val="22"/>
          </w:rPr>
          <w:t>Fallimento</w:t>
        </w:r>
        <w:proofErr w:type="spellEnd"/>
      </w:hyperlink>
      <w:r w:rsidRPr="00FC5C87">
        <w:rPr>
          <w:rFonts w:ascii="Arial" w:hAnsi="Arial" w:cs="Arial"/>
          <w:color w:val="7B7B7B" w:themeColor="accent3" w:themeShade="BF"/>
          <w:sz w:val="22"/>
          <w:szCs w:val="22"/>
        </w:rPr>
        <w:t xml:space="preserve">, the CJEU </w:t>
      </w:r>
      <w:r w:rsidR="00F4244A" w:rsidRPr="00FC5C87">
        <w:rPr>
          <w:rFonts w:ascii="Arial" w:hAnsi="Arial" w:cs="Arial"/>
          <w:color w:val="7B7B7B" w:themeColor="accent3" w:themeShade="BF"/>
          <w:sz w:val="22"/>
          <w:szCs w:val="22"/>
        </w:rPr>
        <w:t xml:space="preserve">ruled that </w:t>
      </w:r>
      <w:r w:rsidR="002B5754" w:rsidRPr="00FC5C87">
        <w:rPr>
          <w:rFonts w:ascii="Arial" w:hAnsi="Arial" w:cs="Arial"/>
          <w:color w:val="7B7B7B" w:themeColor="accent3" w:themeShade="BF"/>
          <w:sz w:val="22"/>
          <w:szCs w:val="22"/>
        </w:rPr>
        <w:t xml:space="preserve">the existence of an establishment should be determined on the basis of objective factors which are ascertainable by third parties (paragraph  </w:t>
      </w:r>
      <w:hyperlink r:id="rId40" w:anchor=":~:text=the%20existence%20of%20an%20establishment%20must%20be%20determined%2C%20in%20the%20same%20way%20as%20the%20location%20of%20the%20centre%20of%20main%20interests%2C%20on%20the%20basis%20of%20objective%20factors%20which%20are%20ascertainable%20by%20third%20parties" w:history="1">
        <w:r w:rsidR="002B5754" w:rsidRPr="00FC5C87">
          <w:rPr>
            <w:rStyle w:val="Hyperlink"/>
            <w:rFonts w:ascii="Arial" w:hAnsi="Arial" w:cs="Arial"/>
            <w:sz w:val="22"/>
            <w:szCs w:val="22"/>
          </w:rPr>
          <w:t>63</w:t>
        </w:r>
      </w:hyperlink>
      <w:r w:rsidR="002B5754" w:rsidRPr="00FC5C87">
        <w:rPr>
          <w:rFonts w:ascii="Arial" w:hAnsi="Arial" w:cs="Arial"/>
          <w:color w:val="7B7B7B" w:themeColor="accent3" w:themeShade="BF"/>
          <w:sz w:val="22"/>
          <w:szCs w:val="22"/>
        </w:rPr>
        <w:t>). T</w:t>
      </w:r>
      <w:r w:rsidR="00F4244A" w:rsidRPr="00FC5C87">
        <w:rPr>
          <w:rFonts w:ascii="Arial" w:hAnsi="Arial" w:cs="Arial"/>
          <w:color w:val="7B7B7B" w:themeColor="accent3" w:themeShade="BF"/>
          <w:sz w:val="22"/>
          <w:szCs w:val="22"/>
        </w:rPr>
        <w:t xml:space="preserve">his definition links the pursuit of an economic activity to the presence of human resources, which indicates the need for a minimum level of organization and a degree of stability.  Therefore, “the presence alone of goods in isolation or bank accounts does not, in principle, satisfy the requirements for classification as an ‘establishment’” (paragraph </w:t>
      </w:r>
      <w:hyperlink r:id="rId41" w:anchor=":~:text=The%20fact%20that%20that,classification%20as%20an%20%E2%80%98establishment%E2%80%99" w:history="1">
        <w:r w:rsidR="00F4244A" w:rsidRPr="00FC5C87">
          <w:rPr>
            <w:rStyle w:val="Hyperlink"/>
            <w:rFonts w:ascii="Arial" w:hAnsi="Arial" w:cs="Arial"/>
            <w:sz w:val="22"/>
            <w:szCs w:val="22"/>
          </w:rPr>
          <w:t>62</w:t>
        </w:r>
      </w:hyperlink>
      <w:r w:rsidR="00F4244A" w:rsidRPr="00FC5C87">
        <w:rPr>
          <w:rFonts w:ascii="Arial" w:hAnsi="Arial" w:cs="Arial"/>
          <w:color w:val="7B7B7B" w:themeColor="accent3" w:themeShade="BF"/>
          <w:sz w:val="22"/>
          <w:szCs w:val="22"/>
        </w:rPr>
        <w:t>).</w:t>
      </w:r>
    </w:p>
    <w:p w14:paraId="16FE9606" w14:textId="56EBDBFD" w:rsidR="00C02FD3" w:rsidRPr="00FC5C87" w:rsidRDefault="00C02FD3" w:rsidP="002B5754">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The purpose of the “non-transitory activity” criterion is provided in the Virgos-Schmit Report, where it states that a purely occasional place of operations cannot be classified as an establishment. Instead there should be a degree of continuity and stability from the viewpoint of third parties (see </w:t>
      </w:r>
      <w:r w:rsidRPr="00FC5C87">
        <w:rPr>
          <w:rFonts w:ascii="Arial" w:hAnsi="Arial" w:cs="Arial"/>
          <w:b/>
          <w:bCs/>
          <w:color w:val="7B7B7B" w:themeColor="accent3" w:themeShade="BF"/>
          <w:sz w:val="22"/>
          <w:szCs w:val="22"/>
        </w:rPr>
        <w:t>point 71</w:t>
      </w:r>
      <w:r w:rsidRPr="00FC5C87">
        <w:rPr>
          <w:rFonts w:ascii="Arial" w:hAnsi="Arial" w:cs="Arial"/>
          <w:color w:val="7B7B7B" w:themeColor="accent3" w:themeShade="BF"/>
          <w:sz w:val="22"/>
          <w:szCs w:val="22"/>
        </w:rPr>
        <w:t xml:space="preserve"> of the Report).</w:t>
      </w:r>
    </w:p>
    <w:p w14:paraId="54E01E58" w14:textId="740E4FB2" w:rsidR="00F150FD" w:rsidRPr="00FC5C87" w:rsidRDefault="00C02FD3" w:rsidP="002B5754">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In our case, Cardinal Home owns immovable property (warehouse) in Milan, has a bank account and a contract concluded with an Italian bank, and non-binding memoranda of understanding with local parties. </w:t>
      </w:r>
      <w:r w:rsidR="00060B70" w:rsidRPr="00FC5C87">
        <w:rPr>
          <w:rFonts w:ascii="Arial" w:hAnsi="Arial" w:cs="Arial"/>
          <w:color w:val="7B7B7B" w:themeColor="accent3" w:themeShade="BF"/>
          <w:sz w:val="22"/>
          <w:szCs w:val="22"/>
        </w:rPr>
        <w:t xml:space="preserve">As discussed </w:t>
      </w:r>
      <w:r w:rsidR="00847214" w:rsidRPr="00FC5C87">
        <w:rPr>
          <w:rFonts w:ascii="Arial" w:hAnsi="Arial" w:cs="Arial"/>
          <w:color w:val="7B7B7B" w:themeColor="accent3" w:themeShade="BF"/>
          <w:sz w:val="22"/>
          <w:szCs w:val="22"/>
        </w:rPr>
        <w:t xml:space="preserve">in the CJEU caselaw </w:t>
      </w:r>
      <w:r w:rsidR="00060B70" w:rsidRPr="00FC5C87">
        <w:rPr>
          <w:rFonts w:ascii="Arial" w:hAnsi="Arial" w:cs="Arial"/>
          <w:color w:val="7B7B7B" w:themeColor="accent3" w:themeShade="BF"/>
          <w:sz w:val="22"/>
          <w:szCs w:val="22"/>
        </w:rPr>
        <w:t xml:space="preserve">above, </w:t>
      </w:r>
      <w:r w:rsidR="00847214" w:rsidRPr="00FC5C87">
        <w:rPr>
          <w:rFonts w:ascii="Arial" w:hAnsi="Arial" w:cs="Arial"/>
          <w:color w:val="7B7B7B" w:themeColor="accent3" w:themeShade="BF"/>
          <w:sz w:val="22"/>
          <w:szCs w:val="22"/>
        </w:rPr>
        <w:t xml:space="preserve">owning </w:t>
      </w:r>
      <w:r w:rsidR="00060B70" w:rsidRPr="00FC5C87">
        <w:rPr>
          <w:rFonts w:ascii="Arial" w:hAnsi="Arial" w:cs="Arial"/>
          <w:color w:val="7B7B7B" w:themeColor="accent3" w:themeShade="BF"/>
          <w:sz w:val="22"/>
          <w:szCs w:val="22"/>
        </w:rPr>
        <w:t>an immovable property and/or a bank account is insufficient to satisfy the definition of an “establishment” under the EIR Recast.</w:t>
      </w:r>
      <w:r w:rsidRPr="00FC5C87">
        <w:rPr>
          <w:rFonts w:ascii="Arial" w:hAnsi="Arial" w:cs="Arial"/>
          <w:color w:val="7B7B7B" w:themeColor="accent3" w:themeShade="BF"/>
          <w:sz w:val="22"/>
          <w:szCs w:val="22"/>
        </w:rPr>
        <w:t xml:space="preserve"> </w:t>
      </w:r>
    </w:p>
    <w:p w14:paraId="0225C620" w14:textId="5F607C31" w:rsidR="00F150FD" w:rsidRPr="00FC5C87" w:rsidRDefault="00060B70" w:rsidP="002B5754">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O</w:t>
      </w:r>
      <w:r w:rsidR="00F150FD" w:rsidRPr="00FC5C87">
        <w:rPr>
          <w:rFonts w:ascii="Arial" w:hAnsi="Arial" w:cs="Arial"/>
          <w:color w:val="7B7B7B" w:themeColor="accent3" w:themeShade="BF"/>
          <w:sz w:val="22"/>
          <w:szCs w:val="22"/>
        </w:rPr>
        <w:t>n the one hand, o</w:t>
      </w:r>
      <w:r w:rsidR="00C02FD3" w:rsidRPr="00FC5C87">
        <w:rPr>
          <w:rFonts w:ascii="Arial" w:hAnsi="Arial" w:cs="Arial"/>
          <w:color w:val="7B7B7B" w:themeColor="accent3" w:themeShade="BF"/>
          <w:sz w:val="22"/>
          <w:szCs w:val="22"/>
        </w:rPr>
        <w:t>ne could argue that</w:t>
      </w:r>
      <w:r w:rsidR="00F150FD" w:rsidRPr="00FC5C87">
        <w:rPr>
          <w:rFonts w:ascii="Arial" w:hAnsi="Arial" w:cs="Arial"/>
          <w:color w:val="7B7B7B" w:themeColor="accent3" w:themeShade="BF"/>
          <w:sz w:val="22"/>
          <w:szCs w:val="22"/>
        </w:rPr>
        <w:t>,</w:t>
      </w:r>
      <w:r w:rsidR="00C02FD3" w:rsidRPr="00FC5C87">
        <w:rPr>
          <w:rFonts w:ascii="Arial" w:hAnsi="Arial" w:cs="Arial"/>
          <w:color w:val="7B7B7B" w:themeColor="accent3" w:themeShade="BF"/>
          <w:sz w:val="22"/>
          <w:szCs w:val="22"/>
        </w:rPr>
        <w:t xml:space="preserve"> for the sake of protecting local creditors such as the Italian bank (who filed a petition to open the proceedings in Italy in the first place) and </w:t>
      </w:r>
      <w:r w:rsidR="00E27C97">
        <w:rPr>
          <w:rFonts w:ascii="Arial" w:hAnsi="Arial" w:cs="Arial"/>
          <w:color w:val="7B7B7B" w:themeColor="accent3" w:themeShade="BF"/>
          <w:sz w:val="22"/>
          <w:szCs w:val="22"/>
        </w:rPr>
        <w:t xml:space="preserve">other </w:t>
      </w:r>
      <w:r w:rsidR="00C02FD3" w:rsidRPr="00FC5C87">
        <w:rPr>
          <w:rFonts w:ascii="Arial" w:hAnsi="Arial" w:cs="Arial"/>
          <w:color w:val="7B7B7B" w:themeColor="accent3" w:themeShade="BF"/>
          <w:sz w:val="22"/>
          <w:szCs w:val="22"/>
        </w:rPr>
        <w:t>local creditors with whom the company negotiated with, the court could open secondary proceedings</w:t>
      </w:r>
      <w:r w:rsidRPr="00FC5C87">
        <w:rPr>
          <w:rFonts w:ascii="Arial" w:hAnsi="Arial" w:cs="Arial"/>
          <w:color w:val="7B7B7B" w:themeColor="accent3" w:themeShade="BF"/>
          <w:sz w:val="22"/>
          <w:szCs w:val="22"/>
        </w:rPr>
        <w:t xml:space="preserve">. </w:t>
      </w:r>
    </w:p>
    <w:p w14:paraId="424F34E5" w14:textId="3AEC78B4" w:rsidR="00F150FD" w:rsidRPr="00FC5C87" w:rsidRDefault="00F150FD" w:rsidP="002B5754">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On the other hand,</w:t>
      </w:r>
      <w:r w:rsidR="00D100C5" w:rsidRPr="00FC5C87">
        <w:rPr>
          <w:rFonts w:ascii="Arial" w:hAnsi="Arial" w:cs="Arial"/>
          <w:color w:val="7B7B7B" w:themeColor="accent3" w:themeShade="BF"/>
          <w:sz w:val="22"/>
          <w:szCs w:val="22"/>
        </w:rPr>
        <w:t xml:space="preserve"> </w:t>
      </w:r>
      <w:r w:rsidRPr="00FC5C87">
        <w:rPr>
          <w:rFonts w:ascii="Arial" w:hAnsi="Arial" w:cs="Arial"/>
          <w:color w:val="7B7B7B" w:themeColor="accent3" w:themeShade="BF"/>
          <w:sz w:val="22"/>
          <w:szCs w:val="22"/>
        </w:rPr>
        <w:t>it can be deducted from the facts of the case that Cardinal Home entered into these agreements for the purpose of entering the Spanish luxury furniture market. As such, the conducted activities seem to be temporary</w:t>
      </w:r>
      <w:r w:rsidR="00D100C5" w:rsidRPr="00FC5C87">
        <w:rPr>
          <w:rFonts w:ascii="Arial" w:hAnsi="Arial" w:cs="Arial"/>
          <w:color w:val="7B7B7B" w:themeColor="accent3" w:themeShade="BF"/>
          <w:sz w:val="22"/>
          <w:szCs w:val="22"/>
        </w:rPr>
        <w:t xml:space="preserve"> (instead of stable and continuing activit</w:t>
      </w:r>
      <w:r w:rsidR="00E27C97">
        <w:rPr>
          <w:rFonts w:ascii="Arial" w:hAnsi="Arial" w:cs="Arial"/>
          <w:color w:val="7B7B7B" w:themeColor="accent3" w:themeShade="BF"/>
          <w:sz w:val="22"/>
          <w:szCs w:val="22"/>
        </w:rPr>
        <w:t>ies</w:t>
      </w:r>
      <w:r w:rsidR="00D100C5" w:rsidRPr="00FC5C87">
        <w:rPr>
          <w:rFonts w:ascii="Arial" w:hAnsi="Arial" w:cs="Arial"/>
          <w:color w:val="7B7B7B" w:themeColor="accent3" w:themeShade="BF"/>
          <w:sz w:val="22"/>
          <w:szCs w:val="22"/>
        </w:rPr>
        <w:t>)</w:t>
      </w:r>
      <w:r w:rsidRPr="00FC5C87">
        <w:rPr>
          <w:rFonts w:ascii="Arial" w:hAnsi="Arial" w:cs="Arial"/>
          <w:color w:val="7B7B7B" w:themeColor="accent3" w:themeShade="BF"/>
          <w:sz w:val="22"/>
          <w:szCs w:val="22"/>
        </w:rPr>
        <w:t xml:space="preserve">, leaving only the immovable property and the bank account within the territory of Italy which </w:t>
      </w:r>
      <w:r w:rsidR="00E27C97">
        <w:rPr>
          <w:rFonts w:ascii="Arial" w:hAnsi="Arial" w:cs="Arial"/>
          <w:color w:val="7B7B7B" w:themeColor="accent3" w:themeShade="BF"/>
          <w:sz w:val="22"/>
          <w:szCs w:val="22"/>
        </w:rPr>
        <w:t>remain</w:t>
      </w:r>
      <w:r w:rsidRPr="00FC5C87">
        <w:rPr>
          <w:rFonts w:ascii="Arial" w:hAnsi="Arial" w:cs="Arial"/>
          <w:color w:val="7B7B7B" w:themeColor="accent3" w:themeShade="BF"/>
          <w:sz w:val="22"/>
          <w:szCs w:val="22"/>
        </w:rPr>
        <w:t xml:space="preserve"> insufficient for an “establishment”. </w:t>
      </w:r>
      <w:r w:rsidR="00885745" w:rsidRPr="00FC5C87">
        <w:rPr>
          <w:rFonts w:ascii="Arial" w:hAnsi="Arial" w:cs="Arial"/>
          <w:color w:val="7B7B7B" w:themeColor="accent3" w:themeShade="BF"/>
          <w:sz w:val="22"/>
          <w:szCs w:val="22"/>
        </w:rPr>
        <w:t xml:space="preserve">As such, in my opinion, there is </w:t>
      </w:r>
      <w:r w:rsidR="00885745" w:rsidRPr="00FC5C87">
        <w:rPr>
          <w:rFonts w:ascii="Arial" w:hAnsi="Arial" w:cs="Arial"/>
          <w:b/>
          <w:bCs/>
          <w:color w:val="7B7B7B" w:themeColor="accent3" w:themeShade="BF"/>
          <w:sz w:val="22"/>
          <w:szCs w:val="22"/>
        </w:rPr>
        <w:t xml:space="preserve">no establishment </w:t>
      </w:r>
      <w:r w:rsidR="00D100C5" w:rsidRPr="00FC5C87">
        <w:rPr>
          <w:rFonts w:ascii="Arial" w:hAnsi="Arial" w:cs="Arial"/>
          <w:b/>
          <w:bCs/>
          <w:color w:val="7B7B7B" w:themeColor="accent3" w:themeShade="BF"/>
          <w:sz w:val="22"/>
          <w:szCs w:val="22"/>
        </w:rPr>
        <w:t xml:space="preserve">and therefore no </w:t>
      </w:r>
      <w:r w:rsidR="00692143" w:rsidRPr="00FC5C87">
        <w:rPr>
          <w:rFonts w:ascii="Arial" w:hAnsi="Arial" w:cs="Arial"/>
          <w:b/>
          <w:bCs/>
          <w:color w:val="7B7B7B" w:themeColor="accent3" w:themeShade="BF"/>
          <w:sz w:val="22"/>
          <w:szCs w:val="22"/>
        </w:rPr>
        <w:t>possibility</w:t>
      </w:r>
      <w:r w:rsidR="00D100C5" w:rsidRPr="00FC5C87">
        <w:rPr>
          <w:rFonts w:ascii="Arial" w:hAnsi="Arial" w:cs="Arial"/>
          <w:b/>
          <w:bCs/>
          <w:color w:val="7B7B7B" w:themeColor="accent3" w:themeShade="BF"/>
          <w:sz w:val="22"/>
          <w:szCs w:val="22"/>
        </w:rPr>
        <w:t xml:space="preserve"> </w:t>
      </w:r>
      <w:r w:rsidR="00885745" w:rsidRPr="00FC5C87">
        <w:rPr>
          <w:rFonts w:ascii="Arial" w:hAnsi="Arial" w:cs="Arial"/>
          <w:b/>
          <w:bCs/>
          <w:color w:val="7B7B7B" w:themeColor="accent3" w:themeShade="BF"/>
          <w:sz w:val="22"/>
          <w:szCs w:val="22"/>
        </w:rPr>
        <w:t xml:space="preserve">for the </w:t>
      </w:r>
      <w:r w:rsidR="00D100C5" w:rsidRPr="00FC5C87">
        <w:rPr>
          <w:rFonts w:ascii="Arial" w:hAnsi="Arial" w:cs="Arial"/>
          <w:b/>
          <w:bCs/>
          <w:color w:val="7B7B7B" w:themeColor="accent3" w:themeShade="BF"/>
          <w:sz w:val="22"/>
          <w:szCs w:val="22"/>
        </w:rPr>
        <w:t xml:space="preserve">Italian </w:t>
      </w:r>
      <w:r w:rsidR="00885745" w:rsidRPr="00FC5C87">
        <w:rPr>
          <w:rFonts w:ascii="Arial" w:hAnsi="Arial" w:cs="Arial"/>
          <w:b/>
          <w:bCs/>
          <w:color w:val="7B7B7B" w:themeColor="accent3" w:themeShade="BF"/>
          <w:sz w:val="22"/>
          <w:szCs w:val="22"/>
        </w:rPr>
        <w:t>court to open</w:t>
      </w:r>
      <w:r w:rsidR="00D100C5" w:rsidRPr="00FC5C87">
        <w:rPr>
          <w:rFonts w:ascii="Arial" w:hAnsi="Arial" w:cs="Arial"/>
          <w:b/>
          <w:bCs/>
          <w:color w:val="7B7B7B" w:themeColor="accent3" w:themeShade="BF"/>
          <w:sz w:val="22"/>
          <w:szCs w:val="22"/>
        </w:rPr>
        <w:t xml:space="preserve"> secondary insolvency proceedings</w:t>
      </w:r>
      <w:r w:rsidR="00D100C5" w:rsidRPr="00FC5C87">
        <w:rPr>
          <w:rFonts w:ascii="Arial" w:hAnsi="Arial" w:cs="Arial"/>
          <w:color w:val="7B7B7B" w:themeColor="accent3" w:themeShade="BF"/>
          <w:sz w:val="22"/>
          <w:szCs w:val="22"/>
        </w:rPr>
        <w:t>.</w:t>
      </w:r>
      <w:r w:rsidR="00246E9A" w:rsidRPr="00FC5C87">
        <w:rPr>
          <w:rFonts w:ascii="Arial" w:hAnsi="Arial" w:cs="Arial"/>
          <w:color w:val="7B7B7B" w:themeColor="accent3" w:themeShade="BF"/>
          <w:sz w:val="22"/>
          <w:szCs w:val="22"/>
        </w:rPr>
        <w:t xml:space="preserve"> This seems to be more in line with the CJEU caselaw.</w:t>
      </w:r>
    </w:p>
    <w:p w14:paraId="6A50A8C9" w14:textId="6E84B70F" w:rsidR="00C02FD3" w:rsidRPr="00FC5C87" w:rsidRDefault="00F150FD" w:rsidP="002B5754">
      <w:pPr>
        <w:ind w:left="720" w:hanging="720"/>
        <w:jc w:val="both"/>
        <w:rPr>
          <w:rFonts w:ascii="Arial" w:hAnsi="Arial" w:cs="Arial"/>
          <w:color w:val="7B7B7B" w:themeColor="accent3" w:themeShade="BF"/>
          <w:sz w:val="22"/>
          <w:szCs w:val="22"/>
        </w:rPr>
      </w:pPr>
      <w:r w:rsidRPr="00FC5C87">
        <w:rPr>
          <w:rFonts w:ascii="Arial" w:hAnsi="Arial" w:cs="Arial"/>
          <w:color w:val="7B7B7B" w:themeColor="accent3" w:themeShade="BF"/>
          <w:sz w:val="22"/>
          <w:szCs w:val="22"/>
        </w:rPr>
        <w:t xml:space="preserve">However, more information is needed </w:t>
      </w:r>
      <w:r w:rsidR="00885745" w:rsidRPr="00FC5C87">
        <w:rPr>
          <w:rFonts w:ascii="Arial" w:hAnsi="Arial" w:cs="Arial"/>
          <w:color w:val="7B7B7B" w:themeColor="accent3" w:themeShade="BF"/>
          <w:sz w:val="22"/>
          <w:szCs w:val="22"/>
        </w:rPr>
        <w:t>on</w:t>
      </w:r>
      <w:r w:rsidRPr="00FC5C87">
        <w:rPr>
          <w:rFonts w:ascii="Arial" w:hAnsi="Arial" w:cs="Arial"/>
          <w:color w:val="7B7B7B" w:themeColor="accent3" w:themeShade="BF"/>
          <w:sz w:val="22"/>
          <w:szCs w:val="22"/>
        </w:rPr>
        <w:t xml:space="preserve"> whether the company conducts, from the viewpoint of third parties, non-transitory economic activities with human means and assets within the territory (or whether the negotiations were purely occasional).</w:t>
      </w:r>
      <w:r w:rsidR="00880A52" w:rsidRPr="00FC5C87">
        <w:rPr>
          <w:rFonts w:ascii="Arial" w:hAnsi="Arial" w:cs="Arial"/>
          <w:color w:val="7B7B7B" w:themeColor="accent3" w:themeShade="BF"/>
          <w:sz w:val="22"/>
          <w:szCs w:val="22"/>
        </w:rPr>
        <w:t xml:space="preserve"> The facts of the case should be</w:t>
      </w:r>
      <w:r w:rsidR="00060B70" w:rsidRPr="00FC5C87">
        <w:rPr>
          <w:rFonts w:ascii="Arial" w:hAnsi="Arial" w:cs="Arial"/>
          <w:color w:val="7B7B7B" w:themeColor="accent3" w:themeShade="BF"/>
          <w:sz w:val="22"/>
          <w:szCs w:val="22"/>
        </w:rPr>
        <w:t xml:space="preserve"> carefully scrutinized. Th</w:t>
      </w:r>
      <w:r w:rsidR="00847214" w:rsidRPr="00FC5C87">
        <w:rPr>
          <w:rFonts w:ascii="Arial" w:hAnsi="Arial" w:cs="Arial"/>
          <w:color w:val="7B7B7B" w:themeColor="accent3" w:themeShade="BF"/>
          <w:sz w:val="22"/>
          <w:szCs w:val="22"/>
        </w:rPr>
        <w:t>e</w:t>
      </w:r>
      <w:r w:rsidR="00060B70" w:rsidRPr="00FC5C87">
        <w:rPr>
          <w:rFonts w:ascii="Arial" w:hAnsi="Arial" w:cs="Arial"/>
          <w:color w:val="7B7B7B" w:themeColor="accent3" w:themeShade="BF"/>
          <w:sz w:val="22"/>
          <w:szCs w:val="22"/>
        </w:rPr>
        <w:t xml:space="preserve"> </w:t>
      </w:r>
      <w:r w:rsidR="00880A52" w:rsidRPr="00FC5C87">
        <w:rPr>
          <w:rFonts w:ascii="Arial" w:hAnsi="Arial" w:cs="Arial"/>
          <w:color w:val="7B7B7B" w:themeColor="accent3" w:themeShade="BF"/>
          <w:sz w:val="22"/>
          <w:szCs w:val="22"/>
        </w:rPr>
        <w:t xml:space="preserve">final </w:t>
      </w:r>
      <w:r w:rsidR="00060B70" w:rsidRPr="00FC5C87">
        <w:rPr>
          <w:rFonts w:ascii="Arial" w:hAnsi="Arial" w:cs="Arial"/>
          <w:color w:val="7B7B7B" w:themeColor="accent3" w:themeShade="BF"/>
          <w:sz w:val="22"/>
          <w:szCs w:val="22"/>
        </w:rPr>
        <w:t>decision</w:t>
      </w:r>
      <w:r w:rsidR="00880A52" w:rsidRPr="00FC5C87">
        <w:rPr>
          <w:rFonts w:ascii="Arial" w:hAnsi="Arial" w:cs="Arial"/>
          <w:color w:val="7B7B7B" w:themeColor="accent3" w:themeShade="BF"/>
          <w:sz w:val="22"/>
          <w:szCs w:val="22"/>
        </w:rPr>
        <w:t xml:space="preserve"> on whether or not to open secondary insolvency proceedings</w:t>
      </w:r>
      <w:r w:rsidR="00060B70" w:rsidRPr="00FC5C87">
        <w:rPr>
          <w:rFonts w:ascii="Arial" w:hAnsi="Arial" w:cs="Arial"/>
          <w:color w:val="7B7B7B" w:themeColor="accent3" w:themeShade="BF"/>
          <w:sz w:val="22"/>
          <w:szCs w:val="22"/>
        </w:rPr>
        <w:t xml:space="preserve"> is left to the discretion of the Italian court.</w:t>
      </w:r>
    </w:p>
    <w:p w14:paraId="09FB5033" w14:textId="77777777" w:rsidR="00187A34" w:rsidRPr="00FC5C87" w:rsidRDefault="00187A34" w:rsidP="004E3A6B">
      <w:pPr>
        <w:jc w:val="center"/>
        <w:rPr>
          <w:rFonts w:ascii="Arial" w:hAnsi="Arial" w:cs="Arial"/>
          <w:b/>
          <w:bCs/>
          <w:sz w:val="22"/>
          <w:szCs w:val="22"/>
        </w:rPr>
      </w:pPr>
    </w:p>
    <w:p w14:paraId="081EF1D0" w14:textId="77777777" w:rsidR="00187A34" w:rsidRPr="00FC5C87" w:rsidRDefault="00187A34" w:rsidP="004E3A6B">
      <w:pPr>
        <w:jc w:val="center"/>
        <w:rPr>
          <w:rFonts w:ascii="Arial" w:hAnsi="Arial" w:cs="Arial"/>
          <w:b/>
          <w:bCs/>
          <w:sz w:val="22"/>
          <w:szCs w:val="22"/>
        </w:rPr>
      </w:pPr>
    </w:p>
    <w:p w14:paraId="7B275592" w14:textId="09407040" w:rsidR="00B77F46" w:rsidRPr="00FC5C87" w:rsidRDefault="00C606C3" w:rsidP="004E3A6B">
      <w:pPr>
        <w:jc w:val="center"/>
        <w:rPr>
          <w:rFonts w:ascii="Arial" w:hAnsi="Arial" w:cs="Arial"/>
          <w:b/>
          <w:bCs/>
          <w:sz w:val="22"/>
          <w:szCs w:val="22"/>
        </w:rPr>
      </w:pPr>
      <w:r w:rsidRPr="00FC5C87">
        <w:rPr>
          <w:rFonts w:ascii="Arial" w:hAnsi="Arial" w:cs="Arial"/>
          <w:b/>
          <w:bCs/>
          <w:sz w:val="22"/>
          <w:szCs w:val="22"/>
        </w:rPr>
        <w:t>*</w:t>
      </w:r>
      <w:r w:rsidR="001E25B9" w:rsidRPr="00FC5C87">
        <w:rPr>
          <w:rFonts w:ascii="Arial" w:hAnsi="Arial" w:cs="Arial"/>
          <w:b/>
          <w:bCs/>
          <w:sz w:val="22"/>
          <w:szCs w:val="22"/>
        </w:rPr>
        <w:t xml:space="preserve"> </w:t>
      </w:r>
      <w:r w:rsidR="0077498C" w:rsidRPr="00FC5C87">
        <w:rPr>
          <w:rFonts w:ascii="Arial" w:hAnsi="Arial" w:cs="Arial"/>
          <w:b/>
          <w:bCs/>
          <w:sz w:val="22"/>
          <w:szCs w:val="22"/>
        </w:rPr>
        <w:t>End of Assessment</w:t>
      </w:r>
      <w:r w:rsidR="001E25B9" w:rsidRPr="00FC5C87">
        <w:rPr>
          <w:rFonts w:ascii="Arial" w:hAnsi="Arial" w:cs="Arial"/>
          <w:b/>
          <w:bCs/>
          <w:sz w:val="22"/>
          <w:szCs w:val="22"/>
        </w:rPr>
        <w:t xml:space="preserve"> </w:t>
      </w:r>
      <w:r w:rsidRPr="00FC5C87">
        <w:rPr>
          <w:rFonts w:ascii="Arial" w:hAnsi="Arial" w:cs="Arial"/>
          <w:b/>
          <w:bCs/>
          <w:sz w:val="22"/>
          <w:szCs w:val="22"/>
        </w:rPr>
        <w:t>*</w:t>
      </w:r>
    </w:p>
    <w:sectPr w:rsidR="00B77F46" w:rsidRPr="00FC5C87" w:rsidSect="0073158B">
      <w:footerReference w:type="even" r:id="rId42"/>
      <w:footerReference w:type="default" r:id="rId4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4823" w14:textId="77777777" w:rsidR="00B664A9" w:rsidRDefault="00B664A9" w:rsidP="00241B44">
      <w:r>
        <w:separator/>
      </w:r>
    </w:p>
  </w:endnote>
  <w:endnote w:type="continuationSeparator" w:id="0">
    <w:p w14:paraId="04F39130" w14:textId="77777777" w:rsidR="00B664A9" w:rsidRDefault="00B664A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85745" w:rsidRPr="00FC7B47" w:rsidRDefault="0088574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85745" w:rsidRPr="00FC7B47" w:rsidRDefault="0088574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885745" w:rsidRPr="009B4976" w:rsidRDefault="0088574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0AE90F32" w:rsidR="00885745" w:rsidRPr="009B4976" w:rsidRDefault="00885745" w:rsidP="009B4976">
    <w:pPr>
      <w:pStyle w:val="Footer"/>
      <w:ind w:right="360"/>
      <w:rPr>
        <w:rFonts w:ascii="Arial" w:hAnsi="Arial" w:cs="Arial"/>
        <w:sz w:val="18"/>
        <w:szCs w:val="18"/>
        <w:lang w:val="en-GB"/>
      </w:rPr>
    </w:pPr>
    <w:r>
      <w:t>202122-511</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3D80" w14:textId="77777777" w:rsidR="00B664A9" w:rsidRDefault="00B664A9" w:rsidP="00241B44">
      <w:r>
        <w:separator/>
      </w:r>
    </w:p>
  </w:footnote>
  <w:footnote w:type="continuationSeparator" w:id="0">
    <w:p w14:paraId="3B32B2D0" w14:textId="77777777" w:rsidR="00B664A9" w:rsidRDefault="00B664A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DF55AB7"/>
    <w:multiLevelType w:val="hybridMultilevel"/>
    <w:tmpl w:val="03EAA850"/>
    <w:lvl w:ilvl="0" w:tplc="BBD686F6">
      <w:start w:val="3"/>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1"/>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4A1"/>
    <w:rsid w:val="0000399D"/>
    <w:rsid w:val="000041CF"/>
    <w:rsid w:val="00007146"/>
    <w:rsid w:val="00010BA0"/>
    <w:rsid w:val="0001344B"/>
    <w:rsid w:val="00020557"/>
    <w:rsid w:val="000250C7"/>
    <w:rsid w:val="00026F16"/>
    <w:rsid w:val="0003216F"/>
    <w:rsid w:val="0003650C"/>
    <w:rsid w:val="00037621"/>
    <w:rsid w:val="00041B32"/>
    <w:rsid w:val="00044D46"/>
    <w:rsid w:val="00045088"/>
    <w:rsid w:val="00045904"/>
    <w:rsid w:val="0005377D"/>
    <w:rsid w:val="00053913"/>
    <w:rsid w:val="00060B70"/>
    <w:rsid w:val="00065166"/>
    <w:rsid w:val="00082609"/>
    <w:rsid w:val="000851CC"/>
    <w:rsid w:val="00087CD6"/>
    <w:rsid w:val="0009183D"/>
    <w:rsid w:val="00093BE8"/>
    <w:rsid w:val="00096B9C"/>
    <w:rsid w:val="000A2097"/>
    <w:rsid w:val="000A68ED"/>
    <w:rsid w:val="000A7BF9"/>
    <w:rsid w:val="000B5FF1"/>
    <w:rsid w:val="000B609F"/>
    <w:rsid w:val="000C07A5"/>
    <w:rsid w:val="000D55A8"/>
    <w:rsid w:val="000E4841"/>
    <w:rsid w:val="000F1677"/>
    <w:rsid w:val="000F3D6C"/>
    <w:rsid w:val="000F602B"/>
    <w:rsid w:val="00101707"/>
    <w:rsid w:val="00104AD4"/>
    <w:rsid w:val="00107B05"/>
    <w:rsid w:val="00113E29"/>
    <w:rsid w:val="0011473D"/>
    <w:rsid w:val="0011548B"/>
    <w:rsid w:val="00115C85"/>
    <w:rsid w:val="00120A28"/>
    <w:rsid w:val="00123855"/>
    <w:rsid w:val="00126A4D"/>
    <w:rsid w:val="00131D24"/>
    <w:rsid w:val="0014171F"/>
    <w:rsid w:val="0014622C"/>
    <w:rsid w:val="00152348"/>
    <w:rsid w:val="0015456D"/>
    <w:rsid w:val="00155FA2"/>
    <w:rsid w:val="001563EF"/>
    <w:rsid w:val="00161F1B"/>
    <w:rsid w:val="00162829"/>
    <w:rsid w:val="00172B15"/>
    <w:rsid w:val="00174DC4"/>
    <w:rsid w:val="00175A7D"/>
    <w:rsid w:val="00180548"/>
    <w:rsid w:val="00180AC4"/>
    <w:rsid w:val="00180CCE"/>
    <w:rsid w:val="0018267A"/>
    <w:rsid w:val="00182779"/>
    <w:rsid w:val="001830DF"/>
    <w:rsid w:val="00187A34"/>
    <w:rsid w:val="001966D9"/>
    <w:rsid w:val="00196AF2"/>
    <w:rsid w:val="001A7E9A"/>
    <w:rsid w:val="001B0F70"/>
    <w:rsid w:val="001B40AA"/>
    <w:rsid w:val="001B5016"/>
    <w:rsid w:val="001B6E82"/>
    <w:rsid w:val="001C179E"/>
    <w:rsid w:val="001C45FC"/>
    <w:rsid w:val="001C6E25"/>
    <w:rsid w:val="001D0469"/>
    <w:rsid w:val="001D40D0"/>
    <w:rsid w:val="001D4862"/>
    <w:rsid w:val="001D6E1C"/>
    <w:rsid w:val="001E25B9"/>
    <w:rsid w:val="001E49E0"/>
    <w:rsid w:val="001E53DD"/>
    <w:rsid w:val="001E5F8A"/>
    <w:rsid w:val="001E7B5A"/>
    <w:rsid w:val="001E7FDD"/>
    <w:rsid w:val="001F7412"/>
    <w:rsid w:val="00202DFE"/>
    <w:rsid w:val="00203720"/>
    <w:rsid w:val="0020707F"/>
    <w:rsid w:val="0020725B"/>
    <w:rsid w:val="002110F1"/>
    <w:rsid w:val="00211DE9"/>
    <w:rsid w:val="002168F9"/>
    <w:rsid w:val="00222FB5"/>
    <w:rsid w:val="0024116D"/>
    <w:rsid w:val="00241B44"/>
    <w:rsid w:val="00241FA3"/>
    <w:rsid w:val="00244C44"/>
    <w:rsid w:val="00244CFC"/>
    <w:rsid w:val="00245EFB"/>
    <w:rsid w:val="00246065"/>
    <w:rsid w:val="00246E9A"/>
    <w:rsid w:val="0025386E"/>
    <w:rsid w:val="00261C00"/>
    <w:rsid w:val="002638B0"/>
    <w:rsid w:val="0026647A"/>
    <w:rsid w:val="002668D3"/>
    <w:rsid w:val="0027299F"/>
    <w:rsid w:val="00284EBE"/>
    <w:rsid w:val="0029433F"/>
    <w:rsid w:val="00294829"/>
    <w:rsid w:val="00294B17"/>
    <w:rsid w:val="0029690F"/>
    <w:rsid w:val="00297C8A"/>
    <w:rsid w:val="002A2A60"/>
    <w:rsid w:val="002A37BB"/>
    <w:rsid w:val="002A40AB"/>
    <w:rsid w:val="002B1C45"/>
    <w:rsid w:val="002B2F46"/>
    <w:rsid w:val="002B5754"/>
    <w:rsid w:val="002C13C8"/>
    <w:rsid w:val="002C3547"/>
    <w:rsid w:val="002D0021"/>
    <w:rsid w:val="002D3473"/>
    <w:rsid w:val="002E4787"/>
    <w:rsid w:val="002E4CF1"/>
    <w:rsid w:val="002F1956"/>
    <w:rsid w:val="002F3440"/>
    <w:rsid w:val="002F75A3"/>
    <w:rsid w:val="0030208D"/>
    <w:rsid w:val="00303C2F"/>
    <w:rsid w:val="00304151"/>
    <w:rsid w:val="00305DD1"/>
    <w:rsid w:val="00310AD8"/>
    <w:rsid w:val="003144EF"/>
    <w:rsid w:val="003252C2"/>
    <w:rsid w:val="00326292"/>
    <w:rsid w:val="00326415"/>
    <w:rsid w:val="00330937"/>
    <w:rsid w:val="00330F31"/>
    <w:rsid w:val="00331480"/>
    <w:rsid w:val="00334648"/>
    <w:rsid w:val="00334D31"/>
    <w:rsid w:val="0033768C"/>
    <w:rsid w:val="00337938"/>
    <w:rsid w:val="00340769"/>
    <w:rsid w:val="00341AA6"/>
    <w:rsid w:val="00343BC3"/>
    <w:rsid w:val="003445BA"/>
    <w:rsid w:val="0034705B"/>
    <w:rsid w:val="003525B6"/>
    <w:rsid w:val="00361A0A"/>
    <w:rsid w:val="00364836"/>
    <w:rsid w:val="003650E5"/>
    <w:rsid w:val="0036565C"/>
    <w:rsid w:val="0036625E"/>
    <w:rsid w:val="00366415"/>
    <w:rsid w:val="00373E36"/>
    <w:rsid w:val="0037465A"/>
    <w:rsid w:val="003753E6"/>
    <w:rsid w:val="00375D11"/>
    <w:rsid w:val="00382C98"/>
    <w:rsid w:val="0038533C"/>
    <w:rsid w:val="00386568"/>
    <w:rsid w:val="00390B57"/>
    <w:rsid w:val="003948D5"/>
    <w:rsid w:val="00395A06"/>
    <w:rsid w:val="00396821"/>
    <w:rsid w:val="00397D3A"/>
    <w:rsid w:val="003A051E"/>
    <w:rsid w:val="003B0A27"/>
    <w:rsid w:val="003B170F"/>
    <w:rsid w:val="003B3C5F"/>
    <w:rsid w:val="003C4342"/>
    <w:rsid w:val="003C4471"/>
    <w:rsid w:val="003C4BCB"/>
    <w:rsid w:val="003D0A6D"/>
    <w:rsid w:val="003D1974"/>
    <w:rsid w:val="003E0B16"/>
    <w:rsid w:val="003E4DB0"/>
    <w:rsid w:val="003E67D1"/>
    <w:rsid w:val="003F309D"/>
    <w:rsid w:val="00404329"/>
    <w:rsid w:val="00405DC1"/>
    <w:rsid w:val="004154B6"/>
    <w:rsid w:val="00415F1F"/>
    <w:rsid w:val="004202D2"/>
    <w:rsid w:val="0042108F"/>
    <w:rsid w:val="00430FED"/>
    <w:rsid w:val="00434A8C"/>
    <w:rsid w:val="00435C6D"/>
    <w:rsid w:val="00437297"/>
    <w:rsid w:val="00444284"/>
    <w:rsid w:val="00445CE6"/>
    <w:rsid w:val="004534C2"/>
    <w:rsid w:val="004534D4"/>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3498"/>
    <w:rsid w:val="004F4AF9"/>
    <w:rsid w:val="004F5FDF"/>
    <w:rsid w:val="00501481"/>
    <w:rsid w:val="005038E3"/>
    <w:rsid w:val="00504245"/>
    <w:rsid w:val="00505617"/>
    <w:rsid w:val="00511A5E"/>
    <w:rsid w:val="0051422B"/>
    <w:rsid w:val="005177FE"/>
    <w:rsid w:val="0052263B"/>
    <w:rsid w:val="00524728"/>
    <w:rsid w:val="005331CA"/>
    <w:rsid w:val="00537841"/>
    <w:rsid w:val="00537970"/>
    <w:rsid w:val="00540B76"/>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3175"/>
    <w:rsid w:val="005A726D"/>
    <w:rsid w:val="005B235A"/>
    <w:rsid w:val="005B67AC"/>
    <w:rsid w:val="005B70B0"/>
    <w:rsid w:val="005B79F4"/>
    <w:rsid w:val="005C0714"/>
    <w:rsid w:val="005D2CD6"/>
    <w:rsid w:val="005D43E0"/>
    <w:rsid w:val="005D53EA"/>
    <w:rsid w:val="005D58A3"/>
    <w:rsid w:val="005E0F57"/>
    <w:rsid w:val="005E1B79"/>
    <w:rsid w:val="005E7008"/>
    <w:rsid w:val="005E784A"/>
    <w:rsid w:val="005F026D"/>
    <w:rsid w:val="005F2AEA"/>
    <w:rsid w:val="005F2D0B"/>
    <w:rsid w:val="005F4B31"/>
    <w:rsid w:val="00606192"/>
    <w:rsid w:val="00610388"/>
    <w:rsid w:val="00611DE6"/>
    <w:rsid w:val="00612CA5"/>
    <w:rsid w:val="006150C6"/>
    <w:rsid w:val="006153EC"/>
    <w:rsid w:val="00615A94"/>
    <w:rsid w:val="00617171"/>
    <w:rsid w:val="00621A17"/>
    <w:rsid w:val="00627CC9"/>
    <w:rsid w:val="00627DE9"/>
    <w:rsid w:val="00627E7B"/>
    <w:rsid w:val="00630542"/>
    <w:rsid w:val="00632E44"/>
    <w:rsid w:val="00634622"/>
    <w:rsid w:val="00635294"/>
    <w:rsid w:val="00636808"/>
    <w:rsid w:val="00636C15"/>
    <w:rsid w:val="00641515"/>
    <w:rsid w:val="006521E3"/>
    <w:rsid w:val="00654B27"/>
    <w:rsid w:val="00654C2F"/>
    <w:rsid w:val="00656DA7"/>
    <w:rsid w:val="00657087"/>
    <w:rsid w:val="006603F1"/>
    <w:rsid w:val="006639DB"/>
    <w:rsid w:val="006661EF"/>
    <w:rsid w:val="00677AEB"/>
    <w:rsid w:val="00680EF2"/>
    <w:rsid w:val="00687A1D"/>
    <w:rsid w:val="00692143"/>
    <w:rsid w:val="00696ED8"/>
    <w:rsid w:val="00697EA1"/>
    <w:rsid w:val="006A11E2"/>
    <w:rsid w:val="006A2646"/>
    <w:rsid w:val="006A6530"/>
    <w:rsid w:val="006B435A"/>
    <w:rsid w:val="006B4C64"/>
    <w:rsid w:val="006D217A"/>
    <w:rsid w:val="006D6BD5"/>
    <w:rsid w:val="006E153B"/>
    <w:rsid w:val="006E3C1D"/>
    <w:rsid w:val="006E481A"/>
    <w:rsid w:val="006E5287"/>
    <w:rsid w:val="006E5298"/>
    <w:rsid w:val="006F0106"/>
    <w:rsid w:val="006F2B12"/>
    <w:rsid w:val="006F4A78"/>
    <w:rsid w:val="006F734A"/>
    <w:rsid w:val="00700D83"/>
    <w:rsid w:val="0070329B"/>
    <w:rsid w:val="00704852"/>
    <w:rsid w:val="007074E9"/>
    <w:rsid w:val="00713DA4"/>
    <w:rsid w:val="00714BF1"/>
    <w:rsid w:val="00721383"/>
    <w:rsid w:val="00721F15"/>
    <w:rsid w:val="0073158B"/>
    <w:rsid w:val="007333CC"/>
    <w:rsid w:val="0073399A"/>
    <w:rsid w:val="00736B7D"/>
    <w:rsid w:val="007603F5"/>
    <w:rsid w:val="0076373D"/>
    <w:rsid w:val="00764DB0"/>
    <w:rsid w:val="0076764D"/>
    <w:rsid w:val="0077498C"/>
    <w:rsid w:val="007772BD"/>
    <w:rsid w:val="007809BC"/>
    <w:rsid w:val="00782EE1"/>
    <w:rsid w:val="00784128"/>
    <w:rsid w:val="00791C4B"/>
    <w:rsid w:val="00791D22"/>
    <w:rsid w:val="00793173"/>
    <w:rsid w:val="007A107A"/>
    <w:rsid w:val="007A14F8"/>
    <w:rsid w:val="007A2A33"/>
    <w:rsid w:val="007A6B8D"/>
    <w:rsid w:val="007A7B20"/>
    <w:rsid w:val="007C1FCC"/>
    <w:rsid w:val="007C50AA"/>
    <w:rsid w:val="007C6201"/>
    <w:rsid w:val="007D7C92"/>
    <w:rsid w:val="007E1154"/>
    <w:rsid w:val="007E39B3"/>
    <w:rsid w:val="007E44C4"/>
    <w:rsid w:val="007E6BA4"/>
    <w:rsid w:val="007F41F8"/>
    <w:rsid w:val="007F6A57"/>
    <w:rsid w:val="007F7403"/>
    <w:rsid w:val="00800B1B"/>
    <w:rsid w:val="00800B76"/>
    <w:rsid w:val="008017F0"/>
    <w:rsid w:val="0080454E"/>
    <w:rsid w:val="00804C32"/>
    <w:rsid w:val="00804DA6"/>
    <w:rsid w:val="008058E1"/>
    <w:rsid w:val="00805C5F"/>
    <w:rsid w:val="00806302"/>
    <w:rsid w:val="00807119"/>
    <w:rsid w:val="0082483F"/>
    <w:rsid w:val="008279C0"/>
    <w:rsid w:val="00836332"/>
    <w:rsid w:val="00841051"/>
    <w:rsid w:val="00847214"/>
    <w:rsid w:val="008500BD"/>
    <w:rsid w:val="00860723"/>
    <w:rsid w:val="0086426A"/>
    <w:rsid w:val="008723F3"/>
    <w:rsid w:val="0087308B"/>
    <w:rsid w:val="00874240"/>
    <w:rsid w:val="00880A52"/>
    <w:rsid w:val="00881DE6"/>
    <w:rsid w:val="008825AE"/>
    <w:rsid w:val="008837A6"/>
    <w:rsid w:val="00885745"/>
    <w:rsid w:val="0089145D"/>
    <w:rsid w:val="00894C1D"/>
    <w:rsid w:val="00897A78"/>
    <w:rsid w:val="008A34E8"/>
    <w:rsid w:val="008A4DF2"/>
    <w:rsid w:val="008A6CFE"/>
    <w:rsid w:val="008B379A"/>
    <w:rsid w:val="008B44DF"/>
    <w:rsid w:val="008B5333"/>
    <w:rsid w:val="008B6223"/>
    <w:rsid w:val="008C184B"/>
    <w:rsid w:val="008C4AC6"/>
    <w:rsid w:val="008C66E0"/>
    <w:rsid w:val="008D62F7"/>
    <w:rsid w:val="008E0EC8"/>
    <w:rsid w:val="008E3339"/>
    <w:rsid w:val="008E50E4"/>
    <w:rsid w:val="008E6172"/>
    <w:rsid w:val="008E7371"/>
    <w:rsid w:val="008E7EA3"/>
    <w:rsid w:val="008F20FC"/>
    <w:rsid w:val="008F5FFE"/>
    <w:rsid w:val="00900407"/>
    <w:rsid w:val="009009DC"/>
    <w:rsid w:val="00905265"/>
    <w:rsid w:val="00905A43"/>
    <w:rsid w:val="009061A1"/>
    <w:rsid w:val="0091269D"/>
    <w:rsid w:val="00912C79"/>
    <w:rsid w:val="00914A23"/>
    <w:rsid w:val="00915970"/>
    <w:rsid w:val="00915DAB"/>
    <w:rsid w:val="00935A21"/>
    <w:rsid w:val="00942123"/>
    <w:rsid w:val="0095207B"/>
    <w:rsid w:val="00960451"/>
    <w:rsid w:val="00962045"/>
    <w:rsid w:val="00965891"/>
    <w:rsid w:val="00967219"/>
    <w:rsid w:val="00971896"/>
    <w:rsid w:val="00980E61"/>
    <w:rsid w:val="00991428"/>
    <w:rsid w:val="00992676"/>
    <w:rsid w:val="00994306"/>
    <w:rsid w:val="00995473"/>
    <w:rsid w:val="009954B2"/>
    <w:rsid w:val="00996691"/>
    <w:rsid w:val="00997C7B"/>
    <w:rsid w:val="009B0723"/>
    <w:rsid w:val="009B07AD"/>
    <w:rsid w:val="009B0883"/>
    <w:rsid w:val="009B10B7"/>
    <w:rsid w:val="009B15E2"/>
    <w:rsid w:val="009B3E0F"/>
    <w:rsid w:val="009B4976"/>
    <w:rsid w:val="009C02CF"/>
    <w:rsid w:val="009C0B8E"/>
    <w:rsid w:val="009C1BC8"/>
    <w:rsid w:val="009C2442"/>
    <w:rsid w:val="009C4F3D"/>
    <w:rsid w:val="009C5E52"/>
    <w:rsid w:val="009C7A9D"/>
    <w:rsid w:val="009D0811"/>
    <w:rsid w:val="009D0EE1"/>
    <w:rsid w:val="009D392E"/>
    <w:rsid w:val="009D6B61"/>
    <w:rsid w:val="009E179B"/>
    <w:rsid w:val="009E2AEB"/>
    <w:rsid w:val="009E2E27"/>
    <w:rsid w:val="009E39B2"/>
    <w:rsid w:val="009E4DE3"/>
    <w:rsid w:val="009F275E"/>
    <w:rsid w:val="009F6C1D"/>
    <w:rsid w:val="00A01372"/>
    <w:rsid w:val="00A018CB"/>
    <w:rsid w:val="00A047EE"/>
    <w:rsid w:val="00A11E80"/>
    <w:rsid w:val="00A17858"/>
    <w:rsid w:val="00A2178D"/>
    <w:rsid w:val="00A2274A"/>
    <w:rsid w:val="00A235B7"/>
    <w:rsid w:val="00A27A7A"/>
    <w:rsid w:val="00A3078B"/>
    <w:rsid w:val="00A30A45"/>
    <w:rsid w:val="00A407EF"/>
    <w:rsid w:val="00A46B4C"/>
    <w:rsid w:val="00A5117B"/>
    <w:rsid w:val="00A54CB5"/>
    <w:rsid w:val="00A56E65"/>
    <w:rsid w:val="00A60074"/>
    <w:rsid w:val="00A620A6"/>
    <w:rsid w:val="00A62FDA"/>
    <w:rsid w:val="00A6627C"/>
    <w:rsid w:val="00A672A7"/>
    <w:rsid w:val="00A71019"/>
    <w:rsid w:val="00A81029"/>
    <w:rsid w:val="00A92460"/>
    <w:rsid w:val="00A96489"/>
    <w:rsid w:val="00AA23D2"/>
    <w:rsid w:val="00AB2C2A"/>
    <w:rsid w:val="00AB685C"/>
    <w:rsid w:val="00AB6C2D"/>
    <w:rsid w:val="00AB73F0"/>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265BD"/>
    <w:rsid w:val="00B30D9A"/>
    <w:rsid w:val="00B32F74"/>
    <w:rsid w:val="00B44713"/>
    <w:rsid w:val="00B56103"/>
    <w:rsid w:val="00B57205"/>
    <w:rsid w:val="00B628E7"/>
    <w:rsid w:val="00B64929"/>
    <w:rsid w:val="00B65688"/>
    <w:rsid w:val="00B664A9"/>
    <w:rsid w:val="00B709AB"/>
    <w:rsid w:val="00B736DF"/>
    <w:rsid w:val="00B743D6"/>
    <w:rsid w:val="00B74FBD"/>
    <w:rsid w:val="00B77178"/>
    <w:rsid w:val="00B77F46"/>
    <w:rsid w:val="00B82586"/>
    <w:rsid w:val="00B829A3"/>
    <w:rsid w:val="00B86DB1"/>
    <w:rsid w:val="00B87869"/>
    <w:rsid w:val="00B96CE3"/>
    <w:rsid w:val="00BA543A"/>
    <w:rsid w:val="00BB0F2B"/>
    <w:rsid w:val="00BB38D1"/>
    <w:rsid w:val="00BC0793"/>
    <w:rsid w:val="00BC2323"/>
    <w:rsid w:val="00BC7D9A"/>
    <w:rsid w:val="00BD73DA"/>
    <w:rsid w:val="00BE4FF3"/>
    <w:rsid w:val="00BE7D2E"/>
    <w:rsid w:val="00BF50F7"/>
    <w:rsid w:val="00BF59DB"/>
    <w:rsid w:val="00BF64DE"/>
    <w:rsid w:val="00C00B20"/>
    <w:rsid w:val="00C02F29"/>
    <w:rsid w:val="00C02FD3"/>
    <w:rsid w:val="00C05065"/>
    <w:rsid w:val="00C073F1"/>
    <w:rsid w:val="00C20AFE"/>
    <w:rsid w:val="00C22A25"/>
    <w:rsid w:val="00C2509B"/>
    <w:rsid w:val="00C346A2"/>
    <w:rsid w:val="00C35671"/>
    <w:rsid w:val="00C35B77"/>
    <w:rsid w:val="00C376EB"/>
    <w:rsid w:val="00C40C5E"/>
    <w:rsid w:val="00C46A92"/>
    <w:rsid w:val="00C46DF7"/>
    <w:rsid w:val="00C46EC1"/>
    <w:rsid w:val="00C477DF"/>
    <w:rsid w:val="00C5273F"/>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00C5"/>
    <w:rsid w:val="00D148DC"/>
    <w:rsid w:val="00D17FDC"/>
    <w:rsid w:val="00D21F62"/>
    <w:rsid w:val="00D22135"/>
    <w:rsid w:val="00D26E26"/>
    <w:rsid w:val="00D509A5"/>
    <w:rsid w:val="00D56B4E"/>
    <w:rsid w:val="00D608A4"/>
    <w:rsid w:val="00D60E46"/>
    <w:rsid w:val="00D63EFD"/>
    <w:rsid w:val="00D651FD"/>
    <w:rsid w:val="00D6788F"/>
    <w:rsid w:val="00D75351"/>
    <w:rsid w:val="00D83509"/>
    <w:rsid w:val="00D84752"/>
    <w:rsid w:val="00D86B3B"/>
    <w:rsid w:val="00D8748A"/>
    <w:rsid w:val="00D928CA"/>
    <w:rsid w:val="00D93196"/>
    <w:rsid w:val="00D95496"/>
    <w:rsid w:val="00DA0DC0"/>
    <w:rsid w:val="00DB1D76"/>
    <w:rsid w:val="00DB243C"/>
    <w:rsid w:val="00DB383D"/>
    <w:rsid w:val="00DB482A"/>
    <w:rsid w:val="00DB56F2"/>
    <w:rsid w:val="00DB6EF5"/>
    <w:rsid w:val="00DC3089"/>
    <w:rsid w:val="00DC4420"/>
    <w:rsid w:val="00DD0802"/>
    <w:rsid w:val="00DD18D4"/>
    <w:rsid w:val="00DD2E11"/>
    <w:rsid w:val="00DD47EF"/>
    <w:rsid w:val="00DE03AF"/>
    <w:rsid w:val="00DE121C"/>
    <w:rsid w:val="00DE1A01"/>
    <w:rsid w:val="00DE6633"/>
    <w:rsid w:val="00DF0864"/>
    <w:rsid w:val="00DF08F2"/>
    <w:rsid w:val="00DF75F8"/>
    <w:rsid w:val="00DF7A3A"/>
    <w:rsid w:val="00E00C00"/>
    <w:rsid w:val="00E03AF0"/>
    <w:rsid w:val="00E07C5A"/>
    <w:rsid w:val="00E15BA9"/>
    <w:rsid w:val="00E26E19"/>
    <w:rsid w:val="00E27C97"/>
    <w:rsid w:val="00E30C8A"/>
    <w:rsid w:val="00E31DF3"/>
    <w:rsid w:val="00E450A4"/>
    <w:rsid w:val="00E506BE"/>
    <w:rsid w:val="00E55547"/>
    <w:rsid w:val="00E555E0"/>
    <w:rsid w:val="00E604A1"/>
    <w:rsid w:val="00E6302B"/>
    <w:rsid w:val="00E6452F"/>
    <w:rsid w:val="00E64F45"/>
    <w:rsid w:val="00E6742D"/>
    <w:rsid w:val="00E71CB0"/>
    <w:rsid w:val="00E77C3D"/>
    <w:rsid w:val="00E81160"/>
    <w:rsid w:val="00E81984"/>
    <w:rsid w:val="00E83CE8"/>
    <w:rsid w:val="00E84B46"/>
    <w:rsid w:val="00E8550C"/>
    <w:rsid w:val="00E90991"/>
    <w:rsid w:val="00E909F0"/>
    <w:rsid w:val="00E90D47"/>
    <w:rsid w:val="00E93993"/>
    <w:rsid w:val="00E940A0"/>
    <w:rsid w:val="00E9597C"/>
    <w:rsid w:val="00EA0913"/>
    <w:rsid w:val="00EA4303"/>
    <w:rsid w:val="00EA5B00"/>
    <w:rsid w:val="00EB146B"/>
    <w:rsid w:val="00EB45AC"/>
    <w:rsid w:val="00EB5CA4"/>
    <w:rsid w:val="00EC00F9"/>
    <w:rsid w:val="00ED0BC4"/>
    <w:rsid w:val="00ED20E8"/>
    <w:rsid w:val="00ED472A"/>
    <w:rsid w:val="00ED54B6"/>
    <w:rsid w:val="00ED5DD8"/>
    <w:rsid w:val="00ED7126"/>
    <w:rsid w:val="00EE4971"/>
    <w:rsid w:val="00EE6DCF"/>
    <w:rsid w:val="00EF090E"/>
    <w:rsid w:val="00F033DA"/>
    <w:rsid w:val="00F12FEA"/>
    <w:rsid w:val="00F13FB1"/>
    <w:rsid w:val="00F150FD"/>
    <w:rsid w:val="00F24B98"/>
    <w:rsid w:val="00F27734"/>
    <w:rsid w:val="00F27CD8"/>
    <w:rsid w:val="00F30351"/>
    <w:rsid w:val="00F3323E"/>
    <w:rsid w:val="00F341F4"/>
    <w:rsid w:val="00F34F9D"/>
    <w:rsid w:val="00F35CCE"/>
    <w:rsid w:val="00F4244A"/>
    <w:rsid w:val="00F42852"/>
    <w:rsid w:val="00F543D9"/>
    <w:rsid w:val="00F5524B"/>
    <w:rsid w:val="00F60538"/>
    <w:rsid w:val="00F61DD2"/>
    <w:rsid w:val="00F66AFF"/>
    <w:rsid w:val="00F71433"/>
    <w:rsid w:val="00F76CD4"/>
    <w:rsid w:val="00F814B4"/>
    <w:rsid w:val="00F83464"/>
    <w:rsid w:val="00F83537"/>
    <w:rsid w:val="00F84581"/>
    <w:rsid w:val="00F93BE7"/>
    <w:rsid w:val="00F96B93"/>
    <w:rsid w:val="00F97C5B"/>
    <w:rsid w:val="00FA3D50"/>
    <w:rsid w:val="00FB6E15"/>
    <w:rsid w:val="00FB7FBD"/>
    <w:rsid w:val="00FC374A"/>
    <w:rsid w:val="00FC48D8"/>
    <w:rsid w:val="00FC5C87"/>
    <w:rsid w:val="00FC7B47"/>
    <w:rsid w:val="00FD035C"/>
    <w:rsid w:val="00FD1A35"/>
    <w:rsid w:val="00FD36C5"/>
    <w:rsid w:val="00FD6310"/>
    <w:rsid w:val="00FD7C7B"/>
    <w:rsid w:val="00FE1D12"/>
    <w:rsid w:val="00FE2122"/>
    <w:rsid w:val="00FE2A86"/>
    <w:rsid w:val="00FE2DE2"/>
    <w:rsid w:val="00FE39A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F543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5C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9009DC"/>
    <w:rPr>
      <w:color w:val="605E5C"/>
      <w:shd w:val="clear" w:color="auto" w:fill="E1DFDD"/>
    </w:rPr>
  </w:style>
  <w:style w:type="character" w:customStyle="1" w:styleId="Heading1Char">
    <w:name w:val="Heading 1 Char"/>
    <w:basedOn w:val="DefaultParagraphFont"/>
    <w:link w:val="Heading1"/>
    <w:uiPriority w:val="9"/>
    <w:rsid w:val="00F543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C5C8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D53E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767">
      <w:bodyDiv w:val="1"/>
      <w:marLeft w:val="0"/>
      <w:marRight w:val="0"/>
      <w:marTop w:val="0"/>
      <w:marBottom w:val="0"/>
      <w:divBdr>
        <w:top w:val="none" w:sz="0" w:space="0" w:color="auto"/>
        <w:left w:val="none" w:sz="0" w:space="0" w:color="auto"/>
        <w:bottom w:val="none" w:sz="0" w:space="0" w:color="auto"/>
        <w:right w:val="none" w:sz="0" w:space="0" w:color="auto"/>
      </w:divBdr>
    </w:div>
    <w:div w:id="324086843">
      <w:bodyDiv w:val="1"/>
      <w:marLeft w:val="0"/>
      <w:marRight w:val="0"/>
      <w:marTop w:val="0"/>
      <w:marBottom w:val="0"/>
      <w:divBdr>
        <w:top w:val="none" w:sz="0" w:space="0" w:color="auto"/>
        <w:left w:val="none" w:sz="0" w:space="0" w:color="auto"/>
        <w:bottom w:val="none" w:sz="0" w:space="0" w:color="auto"/>
        <w:right w:val="none" w:sz="0" w:space="0" w:color="auto"/>
      </w:divBdr>
    </w:div>
    <w:div w:id="401560488">
      <w:bodyDiv w:val="1"/>
      <w:marLeft w:val="0"/>
      <w:marRight w:val="0"/>
      <w:marTop w:val="0"/>
      <w:marBottom w:val="0"/>
      <w:divBdr>
        <w:top w:val="none" w:sz="0" w:space="0" w:color="auto"/>
        <w:left w:val="none" w:sz="0" w:space="0" w:color="auto"/>
        <w:bottom w:val="none" w:sz="0" w:space="0" w:color="auto"/>
        <w:right w:val="none" w:sz="0" w:space="0" w:color="auto"/>
      </w:divBdr>
    </w:div>
    <w:div w:id="424229366">
      <w:bodyDiv w:val="1"/>
      <w:marLeft w:val="0"/>
      <w:marRight w:val="0"/>
      <w:marTop w:val="0"/>
      <w:marBottom w:val="0"/>
      <w:divBdr>
        <w:top w:val="none" w:sz="0" w:space="0" w:color="auto"/>
        <w:left w:val="none" w:sz="0" w:space="0" w:color="auto"/>
        <w:bottom w:val="none" w:sz="0" w:space="0" w:color="auto"/>
        <w:right w:val="none" w:sz="0" w:space="0" w:color="auto"/>
      </w:divBdr>
    </w:div>
    <w:div w:id="4742192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4154231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57447509">
      <w:bodyDiv w:val="1"/>
      <w:marLeft w:val="0"/>
      <w:marRight w:val="0"/>
      <w:marTop w:val="0"/>
      <w:marBottom w:val="0"/>
      <w:divBdr>
        <w:top w:val="none" w:sz="0" w:space="0" w:color="auto"/>
        <w:left w:val="none" w:sz="0" w:space="0" w:color="auto"/>
        <w:bottom w:val="none" w:sz="0" w:space="0" w:color="auto"/>
        <w:right w:val="none" w:sz="0" w:space="0" w:color="auto"/>
      </w:divBdr>
    </w:div>
    <w:div w:id="1023047111">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271477457">
      <w:bodyDiv w:val="1"/>
      <w:marLeft w:val="0"/>
      <w:marRight w:val="0"/>
      <w:marTop w:val="0"/>
      <w:marBottom w:val="0"/>
      <w:divBdr>
        <w:top w:val="none" w:sz="0" w:space="0" w:color="auto"/>
        <w:left w:val="none" w:sz="0" w:space="0" w:color="auto"/>
        <w:bottom w:val="none" w:sz="0" w:space="0" w:color="auto"/>
        <w:right w:val="none" w:sz="0" w:space="0" w:color="auto"/>
      </w:divBdr>
    </w:div>
    <w:div w:id="1405643959">
      <w:bodyDiv w:val="1"/>
      <w:marLeft w:val="0"/>
      <w:marRight w:val="0"/>
      <w:marTop w:val="0"/>
      <w:marBottom w:val="0"/>
      <w:divBdr>
        <w:top w:val="none" w:sz="0" w:space="0" w:color="auto"/>
        <w:left w:val="none" w:sz="0" w:space="0" w:color="auto"/>
        <w:bottom w:val="none" w:sz="0" w:space="0" w:color="auto"/>
        <w:right w:val="none" w:sz="0" w:space="0" w:color="auto"/>
      </w:divBdr>
    </w:div>
    <w:div w:id="1413351320">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34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PDF/?uri=CELEX:52012PC0744&amp;from=EN" TargetMode="External"/><Relationship Id="rId18" Type="http://schemas.openxmlformats.org/officeDocument/2006/relationships/hyperlink" Target="https://www.ceril.eu/_media/1468526/9211429dc9c84e439861933f545a87fe/view" TargetMode="External"/><Relationship Id="rId26" Type="http://schemas.openxmlformats.org/officeDocument/2006/relationships/hyperlink" Target="https://eur-lex.europa.eu/legal-content/EN/TXT/?uri=CELEX%3A62009CJ0396" TargetMode="External"/><Relationship Id="rId39" Type="http://schemas.openxmlformats.org/officeDocument/2006/relationships/hyperlink" Target="https://eur-lex.europa.eu/legal-content/EN/TXT/?uri=CELEX%3A62009CJ0396" TargetMode="External"/><Relationship Id="rId21" Type="http://schemas.openxmlformats.org/officeDocument/2006/relationships/hyperlink" Target="https://eur-lex.europa.eu/legal-content/EN/TXT/?uri=CELEX%3A62004CJ0341" TargetMode="External"/><Relationship Id="rId34" Type="http://schemas.openxmlformats.org/officeDocument/2006/relationships/hyperlink" Target="https://eur-lex.europa.eu/legal-content/EN/TXT/?uri=celex%3A32011L0061"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eril.eu/home" TargetMode="External"/><Relationship Id="rId29" Type="http://schemas.openxmlformats.org/officeDocument/2006/relationships/hyperlink" Target="https://eur-lex.europa.eu/legal-content/EN/TXT/?uri=celex%3A32013R0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ia.europa.eu/juris/liste.jsf?oqp=&amp;for=&amp;mat=or&amp;lgrec=nl&amp;jge=&amp;td=%3BALL&amp;jur=C%2CT%2CF&amp;num=C-116%252F11&amp;page=1&amp;dates=&amp;pcs=Oor&amp;lg=&amp;pro=&amp;nat=or&amp;cit=none%252CC%252CCJ%252CR%252C2008E%252C%252C%252C%252C%252C%252C%252C%252C%252C%252Ctrue%252Cfalse%252Cfalse&amp;language=en&amp;avg=&amp;cid=4130004" TargetMode="External"/><Relationship Id="rId24" Type="http://schemas.openxmlformats.org/officeDocument/2006/relationships/hyperlink" Target="https://eur-lex.europa.eu/legal-content/EN/TXT/?uri=CELEX%3A62009CJ0396" TargetMode="External"/><Relationship Id="rId32" Type="http://schemas.openxmlformats.org/officeDocument/2006/relationships/hyperlink" Target="https://eur-lex.europa.eu/legal-content/EN/TXT/?uri=celex%3A32014L0049" TargetMode="External"/><Relationship Id="rId37" Type="http://schemas.openxmlformats.org/officeDocument/2006/relationships/hyperlink" Target="https://eur-lex.europa.eu/legal-content/EN/TXT/?uri=CELEX%3A62012CJ0328" TargetMode="External"/><Relationship Id="rId40" Type="http://schemas.openxmlformats.org/officeDocument/2006/relationships/hyperlink" Target="https://eur-lex.europa.eu/legal-content/EN/TXT/?uri=CELEX%3A62009CJ039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citral.un.org/en/texts/insolvency/modellaw/cross-border_insolvency" TargetMode="External"/><Relationship Id="rId23" Type="http://schemas.openxmlformats.org/officeDocument/2006/relationships/hyperlink" Target="https://eur-lex.europa.eu/legal-content/EN/TXT/?uri=CELEX%3A62004CJ0341" TargetMode="External"/><Relationship Id="rId28" Type="http://schemas.openxmlformats.org/officeDocument/2006/relationships/hyperlink" Target="https://eur-lex.europa.eu/legal-content/EN/TXT/?uri=celex%3A32014L0059" TargetMode="External"/><Relationship Id="rId36" Type="http://schemas.openxmlformats.org/officeDocument/2006/relationships/hyperlink" Target="https://eur-lex.europa.eu/legal-content/EN/TXT/?uri=CELEX%3A62012CJ0328" TargetMode="External"/><Relationship Id="rId10" Type="http://schemas.openxmlformats.org/officeDocument/2006/relationships/hyperlink" Target="https://www.casemine.com/judgement/uk/5a8ff7c760d03e7f57eb2070" TargetMode="External"/><Relationship Id="rId19" Type="http://schemas.openxmlformats.org/officeDocument/2006/relationships/hyperlink" Target="http://aei.pitt.edu/952/" TargetMode="External"/><Relationship Id="rId31" Type="http://schemas.openxmlformats.org/officeDocument/2006/relationships/hyperlink" Target="https://eur-lex.europa.eu/legal-content/EN/TXT/?uri=CELEX%3A32012R064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CELEX%3A32015R0848" TargetMode="External"/><Relationship Id="rId14" Type="http://schemas.openxmlformats.org/officeDocument/2006/relationships/hyperlink" Target="https://eur-lex.europa.eu/legal-content/EN/TXT/?uri=CELEX%3A62004CJ0341" TargetMode="External"/><Relationship Id="rId22" Type="http://schemas.openxmlformats.org/officeDocument/2006/relationships/hyperlink" Target="https://eur-lex.europa.eu/legal-content/EN/TXT/?uri=CELEX%3A62004CJ0341" TargetMode="External"/><Relationship Id="rId27" Type="http://schemas.openxmlformats.org/officeDocument/2006/relationships/hyperlink" Target="https://eur-lex.europa.eu/legal-content/EN/TXT/?uri=CELEX%3A62009CJ0396" TargetMode="External"/><Relationship Id="rId30" Type="http://schemas.openxmlformats.org/officeDocument/2006/relationships/hyperlink" Target="https://eur-lex.europa.eu/legal-content/EN/TXT/?uri=celex%3A32013L0036" TargetMode="External"/><Relationship Id="rId35" Type="http://schemas.openxmlformats.org/officeDocument/2006/relationships/hyperlink" Target="http://aei.pitt.edu/952/"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ur-lex.europa.eu/legal-content/EN/ALL/?uri=celex%3A32000R1346" TargetMode="External"/><Relationship Id="rId17" Type="http://schemas.openxmlformats.org/officeDocument/2006/relationships/hyperlink" Target="https://www.ceril.eu/news/ceril-statement-2021-2-on-eu-group-coordination-proceedings" TargetMode="External"/><Relationship Id="rId25" Type="http://schemas.openxmlformats.org/officeDocument/2006/relationships/hyperlink" Target="https://eur-lex.europa.eu/legal-content/EN/TXT/?uri=CELEX%3A62009CJ0396" TargetMode="External"/><Relationship Id="rId33" Type="http://schemas.openxmlformats.org/officeDocument/2006/relationships/hyperlink" Target="https://eur-lex.europa.eu/legal-content/EN/TXT/?uri=celex%3A02009L0065-20140917" TargetMode="External"/><Relationship Id="rId38" Type="http://schemas.openxmlformats.org/officeDocument/2006/relationships/hyperlink" Target="http://aei.pitt.edu/952/" TargetMode="External"/><Relationship Id="rId20" Type="http://schemas.openxmlformats.org/officeDocument/2006/relationships/hyperlink" Target="https://eur-lex.europa.eu/legal-content/EN/TXT/?uri=CELEX%3A62004CJ0341" TargetMode="External"/><Relationship Id="rId41" Type="http://schemas.openxmlformats.org/officeDocument/2006/relationships/hyperlink" Target="https://eur-lex.europa.eu/legal-content/EN/TXT/?uri=CELEX%3A62009CJ0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8873</Words>
  <Characters>48804</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Defne Tasman</cp:lastModifiedBy>
  <cp:revision>111</cp:revision>
  <cp:lastPrinted>2019-08-27T05:42:00Z</cp:lastPrinted>
  <dcterms:created xsi:type="dcterms:W3CDTF">2021-08-17T08:46:00Z</dcterms:created>
  <dcterms:modified xsi:type="dcterms:W3CDTF">2022-02-19T10:08:00Z</dcterms:modified>
</cp:coreProperties>
</file>