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D341" w14:textId="58EF04B9" w:rsidR="002447B7" w:rsidRPr="00A353B9" w:rsidRDefault="0099397B" w:rsidP="00ED3A8C">
      <w:pPr>
        <w:spacing w:line="360" w:lineRule="auto"/>
        <w:rPr>
          <w:rFonts w:ascii="Arial" w:hAnsi="Arial" w:cs="Arial"/>
          <w:lang w:val="en-US"/>
        </w:rPr>
      </w:pPr>
      <w:r w:rsidRPr="0099397B">
        <w:rPr>
          <w:rFonts w:ascii="Arial" w:hAnsi="Arial" w:cs="Arial"/>
          <w:lang w:val="en-US"/>
        </w:rPr>
        <w:t>Jelenko Lehki -</w:t>
      </w:r>
      <w:r>
        <w:rPr>
          <w:rFonts w:ascii="Arial" w:hAnsi="Arial" w:cs="Arial"/>
          <w:lang w:val="en-US"/>
        </w:rPr>
        <w:t xml:space="preserve"> </w:t>
      </w:r>
      <w:r w:rsidRPr="0099397B">
        <w:rPr>
          <w:rFonts w:ascii="Arial" w:hAnsi="Arial" w:cs="Arial"/>
          <w:lang w:val="en-US"/>
        </w:rPr>
        <w:t xml:space="preserve">202021IFU-362 - GIPC SHORT PAPER </w:t>
      </w:r>
      <w:r>
        <w:rPr>
          <w:rFonts w:ascii="Arial" w:hAnsi="Arial" w:cs="Arial"/>
          <w:lang w:val="en-US"/>
        </w:rPr>
        <w:t>–</w:t>
      </w:r>
      <w:r w:rsidRPr="0099397B">
        <w:rPr>
          <w:rFonts w:ascii="Arial" w:hAnsi="Arial" w:cs="Arial"/>
          <w:lang w:val="en-US"/>
        </w:rPr>
        <w:t xml:space="preserve"> </w:t>
      </w:r>
      <w:r>
        <w:rPr>
          <w:rFonts w:ascii="Arial" w:hAnsi="Arial" w:cs="Arial"/>
          <w:lang w:val="en-US"/>
        </w:rPr>
        <w:t>February 1</w:t>
      </w:r>
      <w:r w:rsidR="00275AA3">
        <w:rPr>
          <w:rFonts w:ascii="Arial" w:hAnsi="Arial" w:cs="Arial"/>
          <w:lang w:val="en-US"/>
        </w:rPr>
        <w:t>5</w:t>
      </w:r>
      <w:r>
        <w:rPr>
          <w:rFonts w:ascii="Arial" w:hAnsi="Arial" w:cs="Arial"/>
          <w:lang w:val="en-US"/>
        </w:rPr>
        <w:t xml:space="preserve"> </w:t>
      </w:r>
      <w:r w:rsidRPr="0099397B">
        <w:rPr>
          <w:rFonts w:ascii="Arial" w:hAnsi="Arial" w:cs="Arial"/>
          <w:lang w:val="en-US"/>
        </w:rPr>
        <w:t>2022</w:t>
      </w:r>
    </w:p>
    <w:p w14:paraId="1E139224" w14:textId="77777777" w:rsidR="00B47E37" w:rsidRDefault="00B47E37" w:rsidP="00ED3A8C">
      <w:pPr>
        <w:spacing w:line="360" w:lineRule="auto"/>
        <w:rPr>
          <w:rFonts w:ascii="Arial" w:hAnsi="Arial" w:cs="Arial"/>
          <w:lang w:val="en-US"/>
        </w:rPr>
      </w:pPr>
    </w:p>
    <w:p w14:paraId="7FC146A8" w14:textId="5B6A42C9" w:rsidR="00B47E37" w:rsidRDefault="002B5932" w:rsidP="00074BF8">
      <w:pPr>
        <w:spacing w:line="360" w:lineRule="auto"/>
        <w:jc w:val="center"/>
        <w:rPr>
          <w:rFonts w:ascii="Arial" w:hAnsi="Arial" w:cs="Arial"/>
          <w:b/>
          <w:bCs/>
          <w:lang w:val="en-US"/>
        </w:rPr>
      </w:pPr>
      <w:r>
        <w:rPr>
          <w:rFonts w:ascii="Arial" w:hAnsi="Arial" w:cs="Arial"/>
          <w:b/>
          <w:bCs/>
          <w:lang w:val="en-US"/>
        </w:rPr>
        <w:t xml:space="preserve">COMPARISON OF </w:t>
      </w:r>
      <w:r w:rsidRPr="00A353B9">
        <w:rPr>
          <w:rFonts w:ascii="Arial" w:hAnsi="Arial" w:cs="Arial"/>
          <w:b/>
          <w:bCs/>
          <w:lang w:val="en-US"/>
        </w:rPr>
        <w:t xml:space="preserve">SYSTEM OF JURISDICTION AND RECOGNITION OF INSOLVENCY RELATED JUDGMENTS </w:t>
      </w:r>
      <w:r>
        <w:rPr>
          <w:rFonts w:ascii="Arial" w:hAnsi="Arial" w:cs="Arial"/>
          <w:b/>
          <w:bCs/>
          <w:lang w:val="en-US"/>
        </w:rPr>
        <w:t xml:space="preserve">IN </w:t>
      </w:r>
      <w:r w:rsidRPr="00A353B9">
        <w:rPr>
          <w:rFonts w:ascii="Arial" w:hAnsi="Arial" w:cs="Arial"/>
          <w:b/>
          <w:bCs/>
          <w:lang w:val="en-US"/>
        </w:rPr>
        <w:t xml:space="preserve">EU INSOLVENCY REGULATION) </w:t>
      </w:r>
      <w:r>
        <w:rPr>
          <w:rFonts w:ascii="Arial" w:hAnsi="Arial" w:cs="Arial"/>
          <w:b/>
          <w:bCs/>
          <w:lang w:val="en-US"/>
        </w:rPr>
        <w:t xml:space="preserve">AND </w:t>
      </w:r>
      <w:r w:rsidRPr="00A353B9">
        <w:rPr>
          <w:rFonts w:ascii="Arial" w:hAnsi="Arial" w:cs="Arial"/>
          <w:b/>
          <w:bCs/>
          <w:lang w:val="en-US"/>
        </w:rPr>
        <w:t>UNCITRAL MODEL LAW ON RECOGNITION AND ENFORCEMENT OF INSOLVENCY-RELATED JUDGMENTS</w:t>
      </w:r>
    </w:p>
    <w:p w14:paraId="1690FCAD" w14:textId="77777777" w:rsidR="00566701" w:rsidRPr="00A353B9" w:rsidRDefault="00566701" w:rsidP="00074BF8">
      <w:pPr>
        <w:spacing w:line="360" w:lineRule="auto"/>
        <w:jc w:val="center"/>
        <w:rPr>
          <w:rFonts w:ascii="Arial" w:hAnsi="Arial" w:cs="Arial"/>
          <w:b/>
          <w:bCs/>
          <w:lang w:val="en-US"/>
        </w:rPr>
      </w:pPr>
    </w:p>
    <w:p w14:paraId="68DB3CD8" w14:textId="34C0A0DB" w:rsidR="002447B7" w:rsidRPr="00A353B9" w:rsidRDefault="002447B7" w:rsidP="00ED3A8C">
      <w:pPr>
        <w:spacing w:line="360" w:lineRule="auto"/>
        <w:rPr>
          <w:rFonts w:ascii="Arial" w:hAnsi="Arial" w:cs="Arial"/>
          <w:b/>
          <w:bCs/>
          <w:lang w:val="en-US"/>
        </w:rPr>
      </w:pPr>
    </w:p>
    <w:p w14:paraId="4E5A684E" w14:textId="01A843AF" w:rsidR="002447B7" w:rsidRDefault="002447B7" w:rsidP="00ED3A8C">
      <w:pPr>
        <w:spacing w:line="360" w:lineRule="auto"/>
        <w:rPr>
          <w:rFonts w:ascii="Arial" w:hAnsi="Arial" w:cs="Arial"/>
          <w:b/>
          <w:bCs/>
          <w:lang w:val="en-US"/>
        </w:rPr>
      </w:pPr>
      <w:r w:rsidRPr="002E2899">
        <w:rPr>
          <w:rFonts w:ascii="Arial" w:hAnsi="Arial" w:cs="Arial"/>
          <w:b/>
          <w:bCs/>
          <w:lang w:val="en-US"/>
        </w:rPr>
        <w:t>Table of contents</w:t>
      </w:r>
    </w:p>
    <w:p w14:paraId="2F393A76" w14:textId="2717FAFC" w:rsidR="00027BF4" w:rsidRDefault="00027BF4" w:rsidP="00027BF4">
      <w:pPr>
        <w:pStyle w:val="Odlomakpopisa"/>
        <w:numPr>
          <w:ilvl w:val="0"/>
          <w:numId w:val="3"/>
        </w:numPr>
        <w:spacing w:line="360" w:lineRule="auto"/>
        <w:rPr>
          <w:rFonts w:ascii="Arial" w:hAnsi="Arial" w:cs="Arial"/>
          <w:b/>
          <w:bCs/>
          <w:lang w:val="en-US"/>
        </w:rPr>
      </w:pPr>
      <w:r>
        <w:rPr>
          <w:rFonts w:ascii="Arial" w:hAnsi="Arial" w:cs="Arial"/>
          <w:b/>
          <w:bCs/>
          <w:lang w:val="en-US"/>
        </w:rPr>
        <w:t>Introduction</w:t>
      </w:r>
    </w:p>
    <w:p w14:paraId="05861162" w14:textId="49F380B6" w:rsidR="00027BF4" w:rsidRDefault="00027BF4" w:rsidP="00027BF4">
      <w:pPr>
        <w:pStyle w:val="Odlomakpopisa"/>
        <w:numPr>
          <w:ilvl w:val="0"/>
          <w:numId w:val="3"/>
        </w:numPr>
        <w:spacing w:line="360" w:lineRule="auto"/>
        <w:rPr>
          <w:rFonts w:ascii="Arial" w:hAnsi="Arial" w:cs="Arial"/>
          <w:b/>
          <w:bCs/>
          <w:lang w:val="en-US"/>
        </w:rPr>
      </w:pPr>
      <w:r>
        <w:rPr>
          <w:rFonts w:ascii="Arial" w:hAnsi="Arial" w:cs="Arial"/>
          <w:b/>
          <w:bCs/>
          <w:lang w:val="en-US"/>
        </w:rPr>
        <w:t>Nature and origin of legal texts</w:t>
      </w:r>
    </w:p>
    <w:p w14:paraId="52BF6986" w14:textId="3019BAA3" w:rsidR="00027BF4" w:rsidRDefault="00027BF4" w:rsidP="00027BF4">
      <w:pPr>
        <w:pStyle w:val="Odlomakpopisa"/>
        <w:numPr>
          <w:ilvl w:val="0"/>
          <w:numId w:val="3"/>
        </w:numPr>
        <w:spacing w:line="360" w:lineRule="auto"/>
        <w:rPr>
          <w:rFonts w:ascii="Arial" w:hAnsi="Arial" w:cs="Arial"/>
          <w:b/>
          <w:bCs/>
          <w:lang w:val="en-US"/>
        </w:rPr>
      </w:pPr>
      <w:r w:rsidRPr="00027BF4">
        <w:rPr>
          <w:rFonts w:ascii="Arial" w:hAnsi="Arial" w:cs="Arial"/>
          <w:b/>
          <w:bCs/>
          <w:lang w:val="en-US"/>
        </w:rPr>
        <w:t>Relevant provisions of stated texts on jurisdiction and recognition</w:t>
      </w:r>
    </w:p>
    <w:p w14:paraId="05309EBA" w14:textId="77777777" w:rsidR="00027BF4" w:rsidRPr="00027BF4" w:rsidRDefault="00027BF4" w:rsidP="00027BF4">
      <w:pPr>
        <w:pStyle w:val="Odlomakpopisa"/>
        <w:spacing w:line="360" w:lineRule="auto"/>
        <w:rPr>
          <w:rFonts w:ascii="Arial" w:hAnsi="Arial" w:cs="Arial"/>
          <w:b/>
          <w:bCs/>
          <w:lang w:val="en-US"/>
        </w:rPr>
      </w:pPr>
      <w:r>
        <w:rPr>
          <w:rFonts w:ascii="Arial" w:hAnsi="Arial" w:cs="Arial"/>
          <w:b/>
          <w:bCs/>
          <w:lang w:val="en-US"/>
        </w:rPr>
        <w:t>a</w:t>
      </w:r>
      <w:r w:rsidRPr="00027BF4">
        <w:rPr>
          <w:rFonts w:ascii="Arial" w:hAnsi="Arial" w:cs="Arial"/>
          <w:b/>
          <w:bCs/>
          <w:lang w:val="en-US"/>
        </w:rPr>
        <w:t>) EIR Recast</w:t>
      </w:r>
    </w:p>
    <w:p w14:paraId="6619C1E7" w14:textId="581F96A7" w:rsidR="00027BF4" w:rsidRPr="00027BF4" w:rsidRDefault="00027BF4" w:rsidP="00027BF4">
      <w:pPr>
        <w:pStyle w:val="Odlomakpopisa"/>
        <w:spacing w:line="360" w:lineRule="auto"/>
        <w:rPr>
          <w:rFonts w:ascii="Arial" w:hAnsi="Arial" w:cs="Arial"/>
          <w:b/>
          <w:bCs/>
          <w:lang w:val="en-US"/>
        </w:rPr>
      </w:pPr>
      <w:r>
        <w:rPr>
          <w:rFonts w:ascii="Arial" w:hAnsi="Arial" w:cs="Arial"/>
          <w:b/>
          <w:bCs/>
          <w:lang w:val="en-US"/>
        </w:rPr>
        <w:t>b) MLIJ</w:t>
      </w:r>
    </w:p>
    <w:p w14:paraId="0DD20E15" w14:textId="77777777" w:rsidR="00027BF4" w:rsidRDefault="00027BF4" w:rsidP="00027BF4">
      <w:pPr>
        <w:pStyle w:val="Odlomakpopisa"/>
        <w:numPr>
          <w:ilvl w:val="0"/>
          <w:numId w:val="3"/>
        </w:numPr>
        <w:spacing w:line="360" w:lineRule="auto"/>
        <w:rPr>
          <w:rFonts w:ascii="Arial" w:hAnsi="Arial" w:cs="Arial"/>
          <w:b/>
          <w:bCs/>
          <w:lang w:val="en-US"/>
        </w:rPr>
      </w:pPr>
      <w:r w:rsidRPr="00027BF4">
        <w:rPr>
          <w:rFonts w:ascii="Arial" w:hAnsi="Arial" w:cs="Arial"/>
          <w:b/>
          <w:bCs/>
          <w:lang w:val="en-US"/>
        </w:rPr>
        <w:t>Analysis and comparison</w:t>
      </w:r>
    </w:p>
    <w:p w14:paraId="6D7D6350" w14:textId="4C15CFEB" w:rsidR="00027BF4" w:rsidRPr="00027BF4" w:rsidRDefault="00027BF4" w:rsidP="00027BF4">
      <w:pPr>
        <w:pStyle w:val="Odlomakpopisa"/>
        <w:spacing w:line="360" w:lineRule="auto"/>
        <w:rPr>
          <w:rFonts w:ascii="Arial" w:hAnsi="Arial" w:cs="Arial"/>
          <w:b/>
          <w:bCs/>
          <w:lang w:val="en-US"/>
        </w:rPr>
      </w:pPr>
      <w:r>
        <w:rPr>
          <w:rFonts w:ascii="Arial" w:hAnsi="Arial" w:cs="Arial"/>
          <w:b/>
          <w:bCs/>
          <w:lang w:val="en-US"/>
        </w:rPr>
        <w:t>Grounds for refusal of recognition</w:t>
      </w:r>
    </w:p>
    <w:p w14:paraId="111F519D" w14:textId="77777777" w:rsidR="00027BF4" w:rsidRPr="00027BF4" w:rsidRDefault="00027BF4" w:rsidP="00027BF4">
      <w:pPr>
        <w:pStyle w:val="Odlomakpopisa"/>
        <w:numPr>
          <w:ilvl w:val="0"/>
          <w:numId w:val="3"/>
        </w:numPr>
        <w:spacing w:line="360" w:lineRule="auto"/>
        <w:rPr>
          <w:rFonts w:ascii="Arial" w:hAnsi="Arial" w:cs="Arial"/>
          <w:b/>
          <w:bCs/>
          <w:lang w:val="en-US"/>
        </w:rPr>
      </w:pPr>
      <w:r w:rsidRPr="00027BF4">
        <w:rPr>
          <w:rFonts w:ascii="Arial" w:hAnsi="Arial" w:cs="Arial"/>
          <w:b/>
          <w:bCs/>
          <w:lang w:val="en-US"/>
        </w:rPr>
        <w:t>Conclusion</w:t>
      </w:r>
    </w:p>
    <w:p w14:paraId="1D9DB3F7" w14:textId="103467C9" w:rsidR="00027BF4" w:rsidRPr="00027BF4" w:rsidRDefault="00027BF4" w:rsidP="00027BF4">
      <w:pPr>
        <w:pStyle w:val="Odlomakpopisa"/>
        <w:numPr>
          <w:ilvl w:val="0"/>
          <w:numId w:val="3"/>
        </w:numPr>
        <w:spacing w:line="360" w:lineRule="auto"/>
        <w:rPr>
          <w:rFonts w:ascii="Arial" w:hAnsi="Arial" w:cs="Arial"/>
          <w:b/>
          <w:bCs/>
          <w:lang w:val="en-US"/>
        </w:rPr>
      </w:pPr>
      <w:r>
        <w:rPr>
          <w:rFonts w:ascii="Arial" w:hAnsi="Arial" w:cs="Arial"/>
          <w:b/>
          <w:bCs/>
          <w:lang w:val="en-US"/>
        </w:rPr>
        <w:t>Bibliography</w:t>
      </w:r>
    </w:p>
    <w:p w14:paraId="2151E406" w14:textId="77777777" w:rsidR="002447B7" w:rsidRPr="00A353B9" w:rsidRDefault="002447B7" w:rsidP="00ED3A8C">
      <w:pPr>
        <w:spacing w:line="360" w:lineRule="auto"/>
        <w:rPr>
          <w:rFonts w:ascii="Arial" w:hAnsi="Arial" w:cs="Arial"/>
          <w:lang w:val="en-US"/>
        </w:rPr>
      </w:pPr>
    </w:p>
    <w:p w14:paraId="7D604908" w14:textId="4CF8BE3C" w:rsidR="002447B7" w:rsidRDefault="002447B7" w:rsidP="00D51A83">
      <w:pPr>
        <w:spacing w:line="360" w:lineRule="auto"/>
        <w:jc w:val="both"/>
        <w:rPr>
          <w:rFonts w:ascii="Arial" w:hAnsi="Arial" w:cs="Arial"/>
          <w:lang w:val="en-US"/>
        </w:rPr>
      </w:pPr>
      <w:r w:rsidRPr="00037935">
        <w:rPr>
          <w:rFonts w:ascii="Arial" w:hAnsi="Arial" w:cs="Arial"/>
          <w:b/>
          <w:bCs/>
          <w:lang w:val="en-US"/>
        </w:rPr>
        <w:t>Introduction</w:t>
      </w:r>
      <w:r w:rsidRPr="00A353B9">
        <w:rPr>
          <w:rFonts w:ascii="Arial" w:hAnsi="Arial" w:cs="Arial"/>
          <w:lang w:val="en-US"/>
        </w:rPr>
        <w:t xml:space="preserve"> </w:t>
      </w:r>
      <w:r w:rsidR="00037935">
        <w:rPr>
          <w:rFonts w:ascii="Arial" w:hAnsi="Arial" w:cs="Arial"/>
          <w:lang w:val="en-US"/>
        </w:rPr>
        <w:t xml:space="preserve"> </w:t>
      </w:r>
    </w:p>
    <w:p w14:paraId="647CECCA" w14:textId="4A165821" w:rsidR="00D51A83" w:rsidRDefault="00D51A83" w:rsidP="00D51A83">
      <w:pPr>
        <w:spacing w:line="360" w:lineRule="auto"/>
        <w:jc w:val="both"/>
        <w:rPr>
          <w:rFonts w:ascii="Arial" w:hAnsi="Arial" w:cs="Arial"/>
          <w:lang w:val="en-US"/>
        </w:rPr>
      </w:pPr>
      <w:r>
        <w:rPr>
          <w:rFonts w:ascii="Arial" w:hAnsi="Arial" w:cs="Arial"/>
          <w:lang w:val="en-US"/>
        </w:rPr>
        <w:t>I</w:t>
      </w:r>
      <w:r w:rsidRPr="00245E48">
        <w:rPr>
          <w:rFonts w:ascii="Arial" w:hAnsi="Arial" w:cs="Arial"/>
          <w:lang w:val="en-US"/>
        </w:rPr>
        <w:t xml:space="preserve">nsolvency related </w:t>
      </w:r>
      <w:r>
        <w:rPr>
          <w:rFonts w:ascii="Arial" w:hAnsi="Arial" w:cs="Arial"/>
          <w:lang w:val="en-US"/>
        </w:rPr>
        <w:t>j</w:t>
      </w:r>
      <w:r w:rsidRPr="00245E48">
        <w:rPr>
          <w:rFonts w:ascii="Arial" w:hAnsi="Arial" w:cs="Arial"/>
          <w:lang w:val="en-US"/>
        </w:rPr>
        <w:t xml:space="preserve">udgments include those </w:t>
      </w:r>
      <w:r>
        <w:rPr>
          <w:rFonts w:ascii="Arial" w:hAnsi="Arial" w:cs="Arial"/>
          <w:lang w:val="en-US"/>
        </w:rPr>
        <w:t>that arise from</w:t>
      </w:r>
      <w:r w:rsidR="00C4677D">
        <w:rPr>
          <w:rFonts w:ascii="Arial" w:hAnsi="Arial" w:cs="Arial"/>
          <w:lang w:val="en-US"/>
        </w:rPr>
        <w:t xml:space="preserve">/after </w:t>
      </w:r>
      <w:r>
        <w:rPr>
          <w:rFonts w:ascii="Arial" w:hAnsi="Arial" w:cs="Arial"/>
          <w:lang w:val="en-US"/>
        </w:rPr>
        <w:t>insolvency proceedings</w:t>
      </w:r>
      <w:r w:rsidR="00C4677D">
        <w:rPr>
          <w:rFonts w:ascii="Arial" w:hAnsi="Arial" w:cs="Arial"/>
          <w:lang w:val="en-US"/>
        </w:rPr>
        <w:t xml:space="preserve"> </w:t>
      </w:r>
      <w:r w:rsidR="00F54E27">
        <w:rPr>
          <w:rFonts w:ascii="Arial" w:hAnsi="Arial" w:cs="Arial"/>
          <w:lang w:val="en-US"/>
        </w:rPr>
        <w:t>are opened and include</w:t>
      </w:r>
      <w:r w:rsidR="00C4677D">
        <w:rPr>
          <w:rFonts w:ascii="Arial" w:hAnsi="Arial" w:cs="Arial"/>
          <w:lang w:val="en-US"/>
        </w:rPr>
        <w:t xml:space="preserve"> </w:t>
      </w:r>
      <w:r>
        <w:rPr>
          <w:rFonts w:ascii="Arial" w:hAnsi="Arial" w:cs="Arial"/>
          <w:lang w:val="en-US"/>
        </w:rPr>
        <w:t>avoidance actions, recovery of assets, actions undertaken in protecting the estate o</w:t>
      </w:r>
      <w:r w:rsidR="00C4677D">
        <w:rPr>
          <w:rFonts w:ascii="Arial" w:hAnsi="Arial" w:cs="Arial"/>
          <w:lang w:val="en-US"/>
        </w:rPr>
        <w:t>r</w:t>
      </w:r>
      <w:r>
        <w:rPr>
          <w:rFonts w:ascii="Arial" w:hAnsi="Arial" w:cs="Arial"/>
          <w:lang w:val="en-US"/>
        </w:rPr>
        <w:t xml:space="preserve"> pursuing claims, all up to and including judgements on discharge of (remaining) debt. </w:t>
      </w:r>
      <w:r w:rsidR="00037935">
        <w:rPr>
          <w:rFonts w:ascii="Arial" w:hAnsi="Arial" w:cs="Arial"/>
          <w:lang w:val="en-US"/>
        </w:rPr>
        <w:t xml:space="preserve">The topic of this short paper is analysis of </w:t>
      </w:r>
      <w:r w:rsidR="00C10FB2">
        <w:rPr>
          <w:rFonts w:ascii="Arial" w:hAnsi="Arial" w:cs="Arial"/>
          <w:lang w:val="en-US"/>
        </w:rPr>
        <w:t xml:space="preserve">systems in </w:t>
      </w:r>
      <w:r w:rsidR="00037935">
        <w:rPr>
          <w:rFonts w:ascii="Arial" w:hAnsi="Arial" w:cs="Arial"/>
          <w:lang w:val="en-US"/>
        </w:rPr>
        <w:t>two legal texts</w:t>
      </w:r>
      <w:r w:rsidR="00C10FB2">
        <w:rPr>
          <w:rFonts w:ascii="Arial" w:hAnsi="Arial" w:cs="Arial"/>
          <w:lang w:val="en-US"/>
        </w:rPr>
        <w:t>,</w:t>
      </w:r>
      <w:r w:rsidR="00037935">
        <w:rPr>
          <w:rFonts w:ascii="Arial" w:hAnsi="Arial" w:cs="Arial"/>
          <w:lang w:val="en-US"/>
        </w:rPr>
        <w:t xml:space="preserve"> </w:t>
      </w:r>
      <w:r w:rsidR="00B47E37" w:rsidRPr="00B47E37">
        <w:rPr>
          <w:rFonts w:ascii="Arial" w:hAnsi="Arial" w:cs="Arial"/>
          <w:lang w:val="en-US"/>
        </w:rPr>
        <w:t>Regulation (EU) 2015/848 of the European Parliament and of the Council of 20 May 2015 on insolvency proceedings</w:t>
      </w:r>
      <w:r w:rsidR="00C14544">
        <w:rPr>
          <w:rStyle w:val="Referencafusnote"/>
          <w:rFonts w:ascii="Arial" w:hAnsi="Arial" w:cs="Arial"/>
          <w:lang w:val="en-US"/>
        </w:rPr>
        <w:footnoteReference w:id="1"/>
      </w:r>
      <w:r w:rsidR="00037935">
        <w:rPr>
          <w:rFonts w:ascii="Arial" w:hAnsi="Arial" w:cs="Arial"/>
          <w:lang w:val="en-US"/>
        </w:rPr>
        <w:t xml:space="preserve"> (in furthrer text: EIR Recast) and </w:t>
      </w:r>
      <w:r w:rsidR="00B47E37" w:rsidRPr="00B47E37">
        <w:rPr>
          <w:rFonts w:ascii="Arial" w:hAnsi="Arial" w:cs="Arial"/>
          <w:lang w:val="en-US"/>
        </w:rPr>
        <w:t>UNCITRAL Model Law on Recognition and Enforcement of Insolvency-Related Judgments (2018)</w:t>
      </w:r>
      <w:r w:rsidR="00C14544">
        <w:rPr>
          <w:rStyle w:val="Referencafusnote"/>
          <w:rFonts w:ascii="Arial" w:hAnsi="Arial" w:cs="Arial"/>
          <w:lang w:val="en-US"/>
        </w:rPr>
        <w:footnoteReference w:id="2"/>
      </w:r>
      <w:r w:rsidR="00037935">
        <w:rPr>
          <w:rFonts w:ascii="Arial" w:hAnsi="Arial" w:cs="Arial"/>
          <w:lang w:val="en-US"/>
        </w:rPr>
        <w:t xml:space="preserve"> (in further text: ML</w:t>
      </w:r>
      <w:r w:rsidR="00B47E37">
        <w:rPr>
          <w:rFonts w:ascii="Arial" w:hAnsi="Arial" w:cs="Arial"/>
          <w:lang w:val="en-US"/>
        </w:rPr>
        <w:t>I</w:t>
      </w:r>
      <w:r w:rsidR="00037935">
        <w:rPr>
          <w:rFonts w:ascii="Arial" w:hAnsi="Arial" w:cs="Arial"/>
          <w:lang w:val="en-US"/>
        </w:rPr>
        <w:t xml:space="preserve">J) and how they approach the issue of jurisdiction and recognition of insolvency related judgements. In </w:t>
      </w:r>
      <w:r w:rsidR="00037935">
        <w:rPr>
          <w:rFonts w:ascii="Arial" w:hAnsi="Arial" w:cs="Arial"/>
          <w:lang w:val="en-US"/>
        </w:rPr>
        <w:lastRenderedPageBreak/>
        <w:t>following pages the summary indicating nature of these legal texts will be addressed, their origin</w:t>
      </w:r>
      <w:r w:rsidR="000C5989">
        <w:rPr>
          <w:rFonts w:ascii="Arial" w:hAnsi="Arial" w:cs="Arial"/>
          <w:lang w:val="en-US"/>
        </w:rPr>
        <w:t>, general</w:t>
      </w:r>
      <w:r w:rsidR="00037935">
        <w:rPr>
          <w:rFonts w:ascii="Arial" w:hAnsi="Arial" w:cs="Arial"/>
          <w:lang w:val="en-US"/>
        </w:rPr>
        <w:t xml:space="preserve"> approach and basic provisions </w:t>
      </w:r>
      <w:r>
        <w:rPr>
          <w:rFonts w:ascii="Arial" w:hAnsi="Arial" w:cs="Arial"/>
          <w:lang w:val="en-US"/>
        </w:rPr>
        <w:t xml:space="preserve">regulating </w:t>
      </w:r>
      <w:r w:rsidR="00037935">
        <w:rPr>
          <w:rFonts w:ascii="Arial" w:hAnsi="Arial" w:cs="Arial"/>
          <w:lang w:val="en-US"/>
        </w:rPr>
        <w:t>the stated topic</w:t>
      </w:r>
      <w:r>
        <w:rPr>
          <w:rFonts w:ascii="Arial" w:hAnsi="Arial" w:cs="Arial"/>
          <w:lang w:val="en-US"/>
        </w:rPr>
        <w:t>, following with the conclusion resulting from analysis.</w:t>
      </w:r>
    </w:p>
    <w:p w14:paraId="7C54F16A" w14:textId="77777777" w:rsidR="00F16465" w:rsidRDefault="00F16465" w:rsidP="00D51A83">
      <w:pPr>
        <w:spacing w:line="360" w:lineRule="auto"/>
        <w:jc w:val="both"/>
        <w:rPr>
          <w:rFonts w:ascii="Arial" w:hAnsi="Arial" w:cs="Arial"/>
          <w:b/>
          <w:bCs/>
          <w:lang w:val="en-US"/>
        </w:rPr>
      </w:pPr>
    </w:p>
    <w:p w14:paraId="777360E6" w14:textId="46A3287C" w:rsidR="00037935" w:rsidRDefault="00037935" w:rsidP="00D51A83">
      <w:pPr>
        <w:spacing w:line="360" w:lineRule="auto"/>
        <w:jc w:val="both"/>
        <w:rPr>
          <w:rFonts w:ascii="Arial" w:hAnsi="Arial" w:cs="Arial"/>
          <w:b/>
          <w:bCs/>
          <w:lang w:val="en-US"/>
        </w:rPr>
      </w:pPr>
      <w:r w:rsidRPr="00C54015">
        <w:rPr>
          <w:rFonts w:ascii="Arial" w:hAnsi="Arial" w:cs="Arial"/>
          <w:b/>
          <w:bCs/>
          <w:lang w:val="en-US"/>
        </w:rPr>
        <w:t>Nature and origins of legal texts</w:t>
      </w:r>
      <w:r w:rsidR="00C54015">
        <w:rPr>
          <w:rFonts w:ascii="Arial" w:hAnsi="Arial" w:cs="Arial"/>
          <w:b/>
          <w:bCs/>
          <w:lang w:val="en-US"/>
        </w:rPr>
        <w:t xml:space="preserve"> </w:t>
      </w:r>
    </w:p>
    <w:p w14:paraId="44466BAD" w14:textId="3BF0F32D" w:rsidR="00C10FB2" w:rsidRDefault="00037935" w:rsidP="00D51A83">
      <w:pPr>
        <w:spacing w:line="360" w:lineRule="auto"/>
        <w:jc w:val="both"/>
        <w:rPr>
          <w:rFonts w:ascii="Arial" w:hAnsi="Arial" w:cs="Arial"/>
          <w:lang w:val="en-US"/>
        </w:rPr>
      </w:pPr>
      <w:r>
        <w:rPr>
          <w:rFonts w:ascii="Arial" w:hAnsi="Arial" w:cs="Arial"/>
          <w:lang w:val="en-US"/>
        </w:rPr>
        <w:t xml:space="preserve">EIR Recast was </w:t>
      </w:r>
      <w:r w:rsidR="00D51A83">
        <w:rPr>
          <w:rFonts w:ascii="Arial" w:hAnsi="Arial" w:cs="Arial"/>
          <w:lang w:val="en-US"/>
        </w:rPr>
        <w:t>put in force in 2015</w:t>
      </w:r>
      <w:r>
        <w:rPr>
          <w:rFonts w:ascii="Arial" w:hAnsi="Arial" w:cs="Arial"/>
          <w:lang w:val="en-US"/>
        </w:rPr>
        <w:t xml:space="preserve"> and as it is with all EU Regulations, it’s provisions </w:t>
      </w:r>
      <w:r w:rsidR="00C10FB2">
        <w:rPr>
          <w:rFonts w:ascii="Arial" w:hAnsi="Arial" w:cs="Arial"/>
          <w:lang w:val="en-US"/>
        </w:rPr>
        <w:t>became immediately enforceable in all member states</w:t>
      </w:r>
      <w:r>
        <w:rPr>
          <w:rFonts w:ascii="Arial" w:hAnsi="Arial" w:cs="Arial"/>
          <w:lang w:val="en-US"/>
        </w:rPr>
        <w:t xml:space="preserve"> legal systems. As a regulation, it </w:t>
      </w:r>
      <w:r w:rsidR="00C10FB2">
        <w:rPr>
          <w:rFonts w:ascii="Arial" w:hAnsi="Arial" w:cs="Arial"/>
          <w:lang w:val="en-US"/>
        </w:rPr>
        <w:t>doesn’t need to be transposed/</w:t>
      </w:r>
      <w:r>
        <w:rPr>
          <w:rFonts w:ascii="Arial" w:hAnsi="Arial" w:cs="Arial"/>
          <w:lang w:val="en-US"/>
        </w:rPr>
        <w:t xml:space="preserve">incorporated in national legal </w:t>
      </w:r>
      <w:r w:rsidR="00B72DB8">
        <w:rPr>
          <w:rFonts w:ascii="Arial" w:hAnsi="Arial" w:cs="Arial"/>
          <w:lang w:val="en-US"/>
        </w:rPr>
        <w:t xml:space="preserve">text and </w:t>
      </w:r>
      <w:r w:rsidR="005246FC">
        <w:rPr>
          <w:rFonts w:ascii="Arial" w:hAnsi="Arial" w:cs="Arial"/>
          <w:lang w:val="en-US"/>
        </w:rPr>
        <w:t xml:space="preserve">it </w:t>
      </w:r>
      <w:r w:rsidR="00B72DB8">
        <w:rPr>
          <w:rFonts w:ascii="Arial" w:hAnsi="Arial" w:cs="Arial"/>
          <w:lang w:val="en-US"/>
        </w:rPr>
        <w:t xml:space="preserve">serves as supranational law text that is to be enforced </w:t>
      </w:r>
      <w:r w:rsidR="005246FC">
        <w:rPr>
          <w:rFonts w:ascii="Arial" w:hAnsi="Arial" w:cs="Arial"/>
          <w:lang w:val="en-US"/>
        </w:rPr>
        <w:t>“</w:t>
      </w:r>
      <w:r w:rsidR="00B72DB8">
        <w:rPr>
          <w:rFonts w:ascii="Arial" w:hAnsi="Arial" w:cs="Arial"/>
          <w:lang w:val="en-US"/>
        </w:rPr>
        <w:t>as is</w:t>
      </w:r>
      <w:r w:rsidR="005246FC">
        <w:rPr>
          <w:rFonts w:ascii="Arial" w:hAnsi="Arial" w:cs="Arial"/>
          <w:lang w:val="en-US"/>
        </w:rPr>
        <w:t>”</w:t>
      </w:r>
      <w:r w:rsidR="00B72DB8">
        <w:rPr>
          <w:rFonts w:ascii="Arial" w:hAnsi="Arial" w:cs="Arial"/>
          <w:lang w:val="en-US"/>
        </w:rPr>
        <w:t xml:space="preserve">. </w:t>
      </w:r>
      <w:r>
        <w:rPr>
          <w:rFonts w:ascii="Arial" w:hAnsi="Arial" w:cs="Arial"/>
          <w:lang w:val="en-US"/>
        </w:rPr>
        <w:t xml:space="preserve">It is an “iteration 2” of European </w:t>
      </w:r>
      <w:r w:rsidR="00C10FB2">
        <w:rPr>
          <w:rFonts w:ascii="Arial" w:hAnsi="Arial" w:cs="Arial"/>
          <w:lang w:val="en-US"/>
        </w:rPr>
        <w:t>Insolvency</w:t>
      </w:r>
      <w:r>
        <w:rPr>
          <w:rFonts w:ascii="Arial" w:hAnsi="Arial" w:cs="Arial"/>
          <w:lang w:val="en-US"/>
        </w:rPr>
        <w:t xml:space="preserve"> </w:t>
      </w:r>
      <w:r w:rsidR="00C10FB2">
        <w:rPr>
          <w:rFonts w:ascii="Arial" w:hAnsi="Arial" w:cs="Arial"/>
          <w:lang w:val="en-US"/>
        </w:rPr>
        <w:t>Regulation</w:t>
      </w:r>
      <w:r>
        <w:rPr>
          <w:rFonts w:ascii="Arial" w:hAnsi="Arial" w:cs="Arial"/>
          <w:lang w:val="en-US"/>
        </w:rPr>
        <w:t xml:space="preserve"> </w:t>
      </w:r>
      <w:r w:rsidR="00C10FB2">
        <w:rPr>
          <w:rFonts w:ascii="Arial" w:hAnsi="Arial" w:cs="Arial"/>
          <w:lang w:val="en-US"/>
        </w:rPr>
        <w:t xml:space="preserve">which is the outcome of decades long attempts in </w:t>
      </w:r>
      <w:r>
        <w:rPr>
          <w:rFonts w:ascii="Arial" w:hAnsi="Arial" w:cs="Arial"/>
          <w:lang w:val="en-US"/>
        </w:rPr>
        <w:t>standardiz</w:t>
      </w:r>
      <w:r w:rsidR="00C10FB2">
        <w:rPr>
          <w:rFonts w:ascii="Arial" w:hAnsi="Arial" w:cs="Arial"/>
          <w:lang w:val="en-US"/>
        </w:rPr>
        <w:t>ing</w:t>
      </w:r>
      <w:r>
        <w:rPr>
          <w:rFonts w:ascii="Arial" w:hAnsi="Arial" w:cs="Arial"/>
          <w:lang w:val="en-US"/>
        </w:rPr>
        <w:t xml:space="preserve"> insolvency legislation in all EU countries</w:t>
      </w:r>
      <w:r w:rsidR="00C10FB2">
        <w:rPr>
          <w:rFonts w:ascii="Arial" w:hAnsi="Arial" w:cs="Arial"/>
          <w:lang w:val="en-US"/>
        </w:rPr>
        <w:t>. It aims to</w:t>
      </w:r>
      <w:r>
        <w:rPr>
          <w:rFonts w:ascii="Arial" w:hAnsi="Arial" w:cs="Arial"/>
          <w:lang w:val="en-US"/>
        </w:rPr>
        <w:t xml:space="preserve"> provide transparent, </w:t>
      </w:r>
      <w:r w:rsidR="005246FC">
        <w:rPr>
          <w:rFonts w:ascii="Arial" w:hAnsi="Arial" w:cs="Arial"/>
          <w:lang w:val="en-US"/>
        </w:rPr>
        <w:t xml:space="preserve">predictable </w:t>
      </w:r>
      <w:r>
        <w:rPr>
          <w:rFonts w:ascii="Arial" w:hAnsi="Arial" w:cs="Arial"/>
          <w:lang w:val="en-US"/>
        </w:rPr>
        <w:t xml:space="preserve">and efficient system in which all stakeholders in insolvency proceedings will be able to enforce their rights in case of cross border insolvency cases. </w:t>
      </w:r>
      <w:r w:rsidR="00C10FB2">
        <w:rPr>
          <w:rFonts w:ascii="Arial" w:hAnsi="Arial" w:cs="Arial"/>
          <w:lang w:val="en-US"/>
        </w:rPr>
        <w:t xml:space="preserve">It’s approach on recognition of insolvency related judgement is the same as with </w:t>
      </w:r>
      <w:r w:rsidR="00B72DB8">
        <w:rPr>
          <w:rFonts w:ascii="Arial" w:hAnsi="Arial" w:cs="Arial"/>
          <w:lang w:val="en-US"/>
        </w:rPr>
        <w:t>recognition of court decisions/judgements on opening of insolvency procedure</w:t>
      </w:r>
      <w:r w:rsidR="00C10FB2">
        <w:rPr>
          <w:rFonts w:ascii="Arial" w:hAnsi="Arial" w:cs="Arial"/>
          <w:lang w:val="en-US"/>
        </w:rPr>
        <w:t>, and they are</w:t>
      </w:r>
      <w:r w:rsidR="00B72DB8">
        <w:rPr>
          <w:rFonts w:ascii="Arial" w:hAnsi="Arial" w:cs="Arial"/>
          <w:lang w:val="en-US"/>
        </w:rPr>
        <w:t xml:space="preserve"> to be recognized automatically (with some basic exceptions)</w:t>
      </w:r>
      <w:r w:rsidR="00C10FB2">
        <w:rPr>
          <w:rFonts w:ascii="Arial" w:hAnsi="Arial" w:cs="Arial"/>
          <w:lang w:val="en-US"/>
        </w:rPr>
        <w:t>.</w:t>
      </w:r>
      <w:r w:rsidR="00B72DB8">
        <w:rPr>
          <w:rFonts w:ascii="Arial" w:hAnsi="Arial" w:cs="Arial"/>
          <w:lang w:val="en-US"/>
        </w:rPr>
        <w:t xml:space="preserve"> </w:t>
      </w:r>
    </w:p>
    <w:p w14:paraId="7703D162" w14:textId="2129C8E2" w:rsidR="00B72DB8" w:rsidRDefault="00850798" w:rsidP="00D51A83">
      <w:pPr>
        <w:spacing w:line="360" w:lineRule="auto"/>
        <w:jc w:val="both"/>
        <w:rPr>
          <w:rFonts w:ascii="Arial" w:hAnsi="Arial" w:cs="Arial"/>
          <w:lang w:val="en-US"/>
        </w:rPr>
      </w:pPr>
      <w:r>
        <w:rPr>
          <w:rFonts w:ascii="Arial" w:hAnsi="Arial" w:cs="Arial"/>
          <w:lang w:val="en-US"/>
        </w:rPr>
        <w:t xml:space="preserve">When it comes to </w:t>
      </w:r>
      <w:r w:rsidR="00687491">
        <w:rPr>
          <w:rFonts w:ascii="Arial" w:hAnsi="Arial" w:cs="Arial"/>
          <w:lang w:val="en-US"/>
        </w:rPr>
        <w:t>enforcement</w:t>
      </w:r>
      <w:r>
        <w:rPr>
          <w:rFonts w:ascii="Arial" w:hAnsi="Arial" w:cs="Arial"/>
          <w:lang w:val="en-US"/>
        </w:rPr>
        <w:t xml:space="preserve">, it </w:t>
      </w:r>
      <w:r w:rsidR="00B72DB8">
        <w:rPr>
          <w:rFonts w:ascii="Arial" w:hAnsi="Arial" w:cs="Arial"/>
          <w:lang w:val="en-US"/>
        </w:rPr>
        <w:t xml:space="preserve">somewhat differs and bring in the assistance of another legal </w:t>
      </w:r>
      <w:r w:rsidR="00B47E37">
        <w:rPr>
          <w:rFonts w:ascii="Arial" w:hAnsi="Arial" w:cs="Arial"/>
          <w:lang w:val="en-US"/>
        </w:rPr>
        <w:t xml:space="preserve">text which is </w:t>
      </w:r>
      <w:r w:rsidR="00B47E37" w:rsidRPr="00B47E37">
        <w:rPr>
          <w:rFonts w:ascii="Arial" w:hAnsi="Arial" w:cs="Arial"/>
          <w:lang w:val="en-US"/>
        </w:rPr>
        <w:t xml:space="preserve">Regulation (EU) No 1215/2012 of the European Parliament and of the Council of 12 December 2012 on jurisdiction and the recognition and enforcement of judgments in civil and commercial matters </w:t>
      </w:r>
      <w:r w:rsidR="00B72DB8">
        <w:rPr>
          <w:rFonts w:ascii="Arial" w:hAnsi="Arial" w:cs="Arial"/>
          <w:lang w:val="en-US"/>
        </w:rPr>
        <w:t>(further in text: Brussels I Recast).</w:t>
      </w:r>
      <w:r w:rsidR="00C10FB2">
        <w:rPr>
          <w:rFonts w:ascii="Arial" w:hAnsi="Arial" w:cs="Arial"/>
          <w:lang w:val="en-US"/>
        </w:rPr>
        <w:t xml:space="preserve"> </w:t>
      </w:r>
      <w:r w:rsidR="005246FC">
        <w:rPr>
          <w:rFonts w:ascii="Arial" w:hAnsi="Arial" w:cs="Arial"/>
          <w:lang w:val="en-US"/>
        </w:rPr>
        <w:t xml:space="preserve">It points </w:t>
      </w:r>
      <w:r w:rsidR="00B72DB8">
        <w:rPr>
          <w:rFonts w:ascii="Arial" w:hAnsi="Arial" w:cs="Arial"/>
          <w:lang w:val="en-US"/>
        </w:rPr>
        <w:t xml:space="preserve">to </w:t>
      </w:r>
      <w:r w:rsidR="0007674C">
        <w:rPr>
          <w:rFonts w:ascii="Arial" w:hAnsi="Arial" w:cs="Arial"/>
          <w:lang w:val="en-US"/>
        </w:rPr>
        <w:t xml:space="preserve">another </w:t>
      </w:r>
      <w:r w:rsidR="00B72DB8">
        <w:rPr>
          <w:rFonts w:ascii="Arial" w:hAnsi="Arial" w:cs="Arial"/>
          <w:lang w:val="en-US"/>
        </w:rPr>
        <w:t xml:space="preserve">strictly formal legal text who by it’s </w:t>
      </w:r>
      <w:r w:rsidR="00B47E37">
        <w:rPr>
          <w:rFonts w:ascii="Arial" w:hAnsi="Arial" w:cs="Arial"/>
          <w:lang w:val="en-US"/>
        </w:rPr>
        <w:t>provisions</w:t>
      </w:r>
      <w:r w:rsidR="00B72DB8">
        <w:rPr>
          <w:rFonts w:ascii="Arial" w:hAnsi="Arial" w:cs="Arial"/>
          <w:lang w:val="en-US"/>
        </w:rPr>
        <w:t xml:space="preserve"> norms the topic in a </w:t>
      </w:r>
      <w:r w:rsidR="005246FC">
        <w:rPr>
          <w:rFonts w:ascii="Arial" w:hAnsi="Arial" w:cs="Arial"/>
          <w:lang w:val="en-US"/>
        </w:rPr>
        <w:t xml:space="preserve">same </w:t>
      </w:r>
      <w:r w:rsidR="00B72DB8">
        <w:rPr>
          <w:rFonts w:ascii="Arial" w:hAnsi="Arial" w:cs="Arial"/>
          <w:lang w:val="en-US"/>
        </w:rPr>
        <w:t xml:space="preserve">formal way. The similar wording of legal provision are there and </w:t>
      </w:r>
      <w:r w:rsidR="005246FC">
        <w:rPr>
          <w:rFonts w:ascii="Arial" w:hAnsi="Arial" w:cs="Arial"/>
          <w:lang w:val="en-US"/>
        </w:rPr>
        <w:t xml:space="preserve">they </w:t>
      </w:r>
      <w:r w:rsidR="00C10FB2">
        <w:rPr>
          <w:rFonts w:ascii="Arial" w:hAnsi="Arial" w:cs="Arial"/>
          <w:lang w:val="en-US"/>
        </w:rPr>
        <w:t xml:space="preserve">immediately take effect </w:t>
      </w:r>
      <w:r w:rsidR="00B72DB8">
        <w:rPr>
          <w:rFonts w:ascii="Arial" w:hAnsi="Arial" w:cs="Arial"/>
          <w:lang w:val="en-US"/>
        </w:rPr>
        <w:t>in legal systems of each state by power of supranational legal text</w:t>
      </w:r>
      <w:r w:rsidR="00C10FB2">
        <w:rPr>
          <w:rFonts w:ascii="Arial" w:hAnsi="Arial" w:cs="Arial"/>
          <w:lang w:val="en-US"/>
        </w:rPr>
        <w:t>.</w:t>
      </w:r>
    </w:p>
    <w:p w14:paraId="571D6CAC" w14:textId="367146C4" w:rsidR="00B72DB8" w:rsidRDefault="00B72DB8" w:rsidP="00D51A83">
      <w:pPr>
        <w:spacing w:line="360" w:lineRule="auto"/>
        <w:jc w:val="both"/>
        <w:rPr>
          <w:rFonts w:ascii="Arial" w:hAnsi="Arial" w:cs="Arial"/>
          <w:lang w:val="en-US"/>
        </w:rPr>
      </w:pPr>
    </w:p>
    <w:p w14:paraId="6777C528" w14:textId="6AAEE39A" w:rsidR="00B72DB8" w:rsidRDefault="00B72DB8" w:rsidP="00D51A83">
      <w:pPr>
        <w:spacing w:line="360" w:lineRule="auto"/>
        <w:jc w:val="both"/>
        <w:rPr>
          <w:rFonts w:ascii="Arial" w:hAnsi="Arial" w:cs="Arial"/>
          <w:lang w:val="en-US"/>
        </w:rPr>
      </w:pPr>
      <w:r>
        <w:rPr>
          <w:rFonts w:ascii="Arial" w:hAnsi="Arial" w:cs="Arial"/>
          <w:lang w:val="en-US"/>
        </w:rPr>
        <w:t>ML</w:t>
      </w:r>
      <w:r w:rsidR="00B47E37">
        <w:rPr>
          <w:rFonts w:ascii="Arial" w:hAnsi="Arial" w:cs="Arial"/>
          <w:lang w:val="en-US"/>
        </w:rPr>
        <w:t>IJ</w:t>
      </w:r>
      <w:r>
        <w:rPr>
          <w:rFonts w:ascii="Arial" w:hAnsi="Arial" w:cs="Arial"/>
          <w:lang w:val="en-US"/>
        </w:rPr>
        <w:t xml:space="preserve"> on the other hand can be labeled as a “soft law” originati</w:t>
      </w:r>
      <w:r w:rsidR="00B47E37">
        <w:rPr>
          <w:rFonts w:ascii="Arial" w:hAnsi="Arial" w:cs="Arial"/>
          <w:lang w:val="en-US"/>
        </w:rPr>
        <w:t>n</w:t>
      </w:r>
      <w:r>
        <w:rPr>
          <w:rFonts w:ascii="Arial" w:hAnsi="Arial" w:cs="Arial"/>
          <w:lang w:val="en-US"/>
        </w:rPr>
        <w:t xml:space="preserve">g </w:t>
      </w:r>
      <w:r w:rsidR="005246FC">
        <w:rPr>
          <w:rFonts w:ascii="Arial" w:hAnsi="Arial" w:cs="Arial"/>
          <w:lang w:val="en-US"/>
        </w:rPr>
        <w:t>from</w:t>
      </w:r>
      <w:r>
        <w:rPr>
          <w:rFonts w:ascii="Arial" w:hAnsi="Arial" w:cs="Arial"/>
          <w:lang w:val="en-US"/>
        </w:rPr>
        <w:t xml:space="preserve"> work of </w:t>
      </w:r>
      <w:r w:rsidR="00850798" w:rsidRPr="00850798">
        <w:rPr>
          <w:rFonts w:ascii="Arial" w:hAnsi="Arial" w:cs="Arial"/>
          <w:lang w:val="en-US"/>
        </w:rPr>
        <w:t>United Nations</w:t>
      </w:r>
      <w:r w:rsidR="00850798">
        <w:rPr>
          <w:rFonts w:ascii="Arial" w:hAnsi="Arial" w:cs="Arial"/>
          <w:lang w:val="en-US"/>
        </w:rPr>
        <w:t xml:space="preserve"> </w:t>
      </w:r>
      <w:r w:rsidR="00850798" w:rsidRPr="00850798">
        <w:rPr>
          <w:rFonts w:ascii="Arial" w:hAnsi="Arial" w:cs="Arial"/>
          <w:lang w:val="en-US"/>
        </w:rPr>
        <w:t xml:space="preserve">Commission On International Trade Law </w:t>
      </w:r>
      <w:r>
        <w:rPr>
          <w:rFonts w:ascii="Arial" w:hAnsi="Arial" w:cs="Arial"/>
          <w:lang w:val="en-US"/>
        </w:rPr>
        <w:t>(UNCITRAL)</w:t>
      </w:r>
      <w:r w:rsidR="00850798">
        <w:rPr>
          <w:rFonts w:ascii="Arial" w:hAnsi="Arial" w:cs="Arial"/>
          <w:lang w:val="en-US"/>
        </w:rPr>
        <w:t>,</w:t>
      </w:r>
      <w:r>
        <w:rPr>
          <w:rFonts w:ascii="Arial" w:hAnsi="Arial" w:cs="Arial"/>
          <w:lang w:val="en-US"/>
        </w:rPr>
        <w:t xml:space="preserve"> it’s </w:t>
      </w:r>
      <w:r w:rsidR="00850798">
        <w:rPr>
          <w:rFonts w:ascii="Arial" w:hAnsi="Arial" w:cs="Arial"/>
          <w:lang w:val="en-US"/>
        </w:rPr>
        <w:t>Working Group V</w:t>
      </w:r>
      <w:r>
        <w:rPr>
          <w:rFonts w:ascii="Arial" w:hAnsi="Arial" w:cs="Arial"/>
          <w:lang w:val="en-US"/>
        </w:rPr>
        <w:t xml:space="preserve"> </w:t>
      </w:r>
      <w:r w:rsidR="004A223D">
        <w:rPr>
          <w:rFonts w:ascii="Arial" w:hAnsi="Arial" w:cs="Arial"/>
          <w:lang w:val="en-US"/>
        </w:rPr>
        <w:t>and comes as additional “tool” in international insolvency addressing in more detail specific topic</w:t>
      </w:r>
      <w:r w:rsidR="00656908">
        <w:rPr>
          <w:rFonts w:ascii="Arial" w:hAnsi="Arial" w:cs="Arial"/>
          <w:lang w:val="en-US"/>
        </w:rPr>
        <w:t xml:space="preserve"> </w:t>
      </w:r>
      <w:r w:rsidR="00B47E37">
        <w:rPr>
          <w:rFonts w:ascii="Arial" w:hAnsi="Arial" w:cs="Arial"/>
          <w:lang w:val="en-US"/>
        </w:rPr>
        <w:t xml:space="preserve">in whole context of </w:t>
      </w:r>
      <w:r w:rsidR="001348CC">
        <w:rPr>
          <w:rFonts w:ascii="Arial" w:hAnsi="Arial" w:cs="Arial"/>
          <w:lang w:val="en-US"/>
        </w:rPr>
        <w:t xml:space="preserve">international insolvency </w:t>
      </w:r>
      <w:r w:rsidR="005246FC">
        <w:rPr>
          <w:rFonts w:ascii="Arial" w:hAnsi="Arial" w:cs="Arial"/>
          <w:lang w:val="en-US"/>
        </w:rPr>
        <w:t xml:space="preserve">which is already </w:t>
      </w:r>
      <w:r w:rsidR="00656908">
        <w:rPr>
          <w:rFonts w:ascii="Arial" w:hAnsi="Arial" w:cs="Arial"/>
          <w:lang w:val="en-US"/>
        </w:rPr>
        <w:t xml:space="preserve">regulated </w:t>
      </w:r>
      <w:r w:rsidR="001348CC">
        <w:rPr>
          <w:rFonts w:ascii="Arial" w:hAnsi="Arial" w:cs="Arial"/>
          <w:lang w:val="en-US"/>
        </w:rPr>
        <w:t>in some countries by</w:t>
      </w:r>
      <w:r w:rsidR="00656908">
        <w:rPr>
          <w:rFonts w:ascii="Arial" w:hAnsi="Arial" w:cs="Arial"/>
          <w:lang w:val="en-US"/>
        </w:rPr>
        <w:t xml:space="preserve"> </w:t>
      </w:r>
      <w:r w:rsidR="00B47E37" w:rsidRPr="00B47E37">
        <w:rPr>
          <w:rFonts w:ascii="Arial" w:hAnsi="Arial" w:cs="Arial"/>
          <w:lang w:val="en-US"/>
        </w:rPr>
        <w:t xml:space="preserve">UNCITRAL Model Law on Cross-Border Insolvency (1997) </w:t>
      </w:r>
      <w:r w:rsidR="005246FC">
        <w:rPr>
          <w:rFonts w:ascii="Arial" w:hAnsi="Arial" w:cs="Arial"/>
          <w:lang w:val="en-US"/>
        </w:rPr>
        <w:t>(further in text: MLCBI)</w:t>
      </w:r>
      <w:r w:rsidR="005246FC">
        <w:rPr>
          <w:rStyle w:val="Referencafusnote"/>
          <w:rFonts w:ascii="Arial" w:hAnsi="Arial" w:cs="Arial"/>
          <w:lang w:val="en-US"/>
        </w:rPr>
        <w:footnoteReference w:id="3"/>
      </w:r>
      <w:r w:rsidR="001348CC">
        <w:rPr>
          <w:rFonts w:ascii="Arial" w:hAnsi="Arial" w:cs="Arial"/>
          <w:lang w:val="en-US"/>
        </w:rPr>
        <w:t xml:space="preserve">. </w:t>
      </w:r>
      <w:r w:rsidR="00AD0764">
        <w:rPr>
          <w:rFonts w:ascii="Arial" w:hAnsi="Arial" w:cs="Arial"/>
          <w:lang w:val="en-US"/>
        </w:rPr>
        <w:t xml:space="preserve">As any </w:t>
      </w:r>
      <w:r w:rsidR="00AD0764" w:rsidRPr="00AD0764">
        <w:rPr>
          <w:rFonts w:ascii="Arial" w:hAnsi="Arial" w:cs="Arial"/>
          <w:lang w:val="en-US"/>
        </w:rPr>
        <w:t xml:space="preserve">Model Law </w:t>
      </w:r>
      <w:r w:rsidR="00AD0764">
        <w:rPr>
          <w:rFonts w:ascii="Arial" w:hAnsi="Arial" w:cs="Arial"/>
          <w:lang w:val="en-US"/>
        </w:rPr>
        <w:t xml:space="preserve">it </w:t>
      </w:r>
      <w:r w:rsidR="00AD0764" w:rsidRPr="00AD0764">
        <w:rPr>
          <w:rFonts w:ascii="Arial" w:hAnsi="Arial" w:cs="Arial"/>
          <w:lang w:val="en-US"/>
        </w:rPr>
        <w:t xml:space="preserve">is intended to </w:t>
      </w:r>
      <w:r w:rsidR="00C1663F">
        <w:rPr>
          <w:rFonts w:ascii="Arial" w:hAnsi="Arial" w:cs="Arial"/>
          <w:lang w:val="en-US"/>
        </w:rPr>
        <w:t xml:space="preserve">be incorporated and </w:t>
      </w:r>
      <w:r w:rsidR="00AD0764" w:rsidRPr="00AD0764">
        <w:rPr>
          <w:rFonts w:ascii="Arial" w:hAnsi="Arial" w:cs="Arial"/>
          <w:lang w:val="en-US"/>
        </w:rPr>
        <w:t>operate as an integral part of the existing</w:t>
      </w:r>
      <w:r w:rsidR="00AD0764">
        <w:rPr>
          <w:rFonts w:ascii="Arial" w:hAnsi="Arial" w:cs="Arial"/>
          <w:lang w:val="en-US"/>
        </w:rPr>
        <w:t xml:space="preserve"> </w:t>
      </w:r>
      <w:r w:rsidR="00AD0764" w:rsidRPr="00AD0764">
        <w:rPr>
          <w:rFonts w:ascii="Arial" w:hAnsi="Arial" w:cs="Arial"/>
          <w:lang w:val="en-US"/>
        </w:rPr>
        <w:t>law of the State</w:t>
      </w:r>
      <w:r w:rsidR="00C1663F">
        <w:rPr>
          <w:rFonts w:ascii="Arial" w:hAnsi="Arial" w:cs="Arial"/>
          <w:lang w:val="en-US"/>
        </w:rPr>
        <w:t xml:space="preserve"> implementing it</w:t>
      </w:r>
      <w:r w:rsidR="00AD0764" w:rsidRPr="00AD0764">
        <w:rPr>
          <w:rFonts w:ascii="Arial" w:hAnsi="Arial" w:cs="Arial"/>
          <w:lang w:val="en-US"/>
        </w:rPr>
        <w:t>.</w:t>
      </w:r>
      <w:r w:rsidR="00AD0764">
        <w:rPr>
          <w:rFonts w:ascii="Arial" w:hAnsi="Arial" w:cs="Arial"/>
          <w:lang w:val="en-US"/>
        </w:rPr>
        <w:t xml:space="preserve"> </w:t>
      </w:r>
      <w:r w:rsidR="001348CC">
        <w:rPr>
          <w:rFonts w:ascii="Arial" w:hAnsi="Arial" w:cs="Arial"/>
          <w:lang w:val="en-US"/>
        </w:rPr>
        <w:t>I</w:t>
      </w:r>
      <w:r w:rsidR="004A223D">
        <w:rPr>
          <w:rFonts w:ascii="Arial" w:hAnsi="Arial" w:cs="Arial"/>
          <w:lang w:val="en-US"/>
        </w:rPr>
        <w:t xml:space="preserve">n </w:t>
      </w:r>
      <w:r w:rsidR="00656908">
        <w:rPr>
          <w:rFonts w:ascii="Arial" w:hAnsi="Arial" w:cs="Arial"/>
          <w:lang w:val="en-US"/>
        </w:rPr>
        <w:t xml:space="preserve">due course of time and application </w:t>
      </w:r>
      <w:r w:rsidR="00C1663F">
        <w:rPr>
          <w:rFonts w:ascii="Arial" w:hAnsi="Arial" w:cs="Arial"/>
          <w:lang w:val="en-US"/>
        </w:rPr>
        <w:t xml:space="preserve">of </w:t>
      </w:r>
      <w:r w:rsidR="001348CC">
        <w:rPr>
          <w:rFonts w:ascii="Arial" w:hAnsi="Arial" w:cs="Arial"/>
          <w:lang w:val="en-US"/>
        </w:rPr>
        <w:t xml:space="preserve">MLCBI </w:t>
      </w:r>
      <w:r w:rsidR="00AD0764">
        <w:rPr>
          <w:rFonts w:ascii="Arial" w:hAnsi="Arial" w:cs="Arial"/>
          <w:lang w:val="en-US"/>
        </w:rPr>
        <w:t xml:space="preserve">it became </w:t>
      </w:r>
      <w:r w:rsidR="00463D4B">
        <w:rPr>
          <w:rFonts w:ascii="Arial" w:hAnsi="Arial" w:cs="Arial"/>
          <w:lang w:val="en-US"/>
        </w:rPr>
        <w:t>obvious</w:t>
      </w:r>
      <w:r w:rsidR="00AD0764">
        <w:rPr>
          <w:rFonts w:ascii="Arial" w:hAnsi="Arial" w:cs="Arial"/>
          <w:lang w:val="en-US"/>
        </w:rPr>
        <w:t xml:space="preserve"> that it “concentrates” on proceedings </w:t>
      </w:r>
      <w:r w:rsidR="00463D4B">
        <w:rPr>
          <w:rFonts w:ascii="Arial" w:hAnsi="Arial" w:cs="Arial"/>
          <w:lang w:val="en-US"/>
        </w:rPr>
        <w:t>rather</w:t>
      </w:r>
      <w:r w:rsidR="00AD0764">
        <w:rPr>
          <w:rFonts w:ascii="Arial" w:hAnsi="Arial" w:cs="Arial"/>
          <w:lang w:val="en-US"/>
        </w:rPr>
        <w:t xml:space="preserve"> than judgements and </w:t>
      </w:r>
      <w:r w:rsidR="001348CC">
        <w:rPr>
          <w:rFonts w:ascii="Arial" w:hAnsi="Arial" w:cs="Arial"/>
          <w:lang w:val="en-US"/>
        </w:rPr>
        <w:t xml:space="preserve">some court decisions, </w:t>
      </w:r>
      <w:r w:rsidR="00AD0764">
        <w:rPr>
          <w:rFonts w:ascii="Arial" w:hAnsi="Arial" w:cs="Arial"/>
          <w:lang w:val="en-US"/>
        </w:rPr>
        <w:t>e.g.</w:t>
      </w:r>
      <w:r w:rsidR="001926B9">
        <w:rPr>
          <w:rFonts w:ascii="Arial" w:hAnsi="Arial" w:cs="Arial"/>
          <w:lang w:val="en-US"/>
        </w:rPr>
        <w:t xml:space="preserve"> </w:t>
      </w:r>
      <w:r w:rsidR="001926B9" w:rsidRPr="001926B9">
        <w:rPr>
          <w:rFonts w:ascii="Arial" w:hAnsi="Arial" w:cs="Arial"/>
          <w:i/>
          <w:iCs/>
          <w:lang w:val="en-US"/>
        </w:rPr>
        <w:t xml:space="preserve">Rubin </w:t>
      </w:r>
      <w:r w:rsidR="001926B9" w:rsidRPr="001926B9">
        <w:rPr>
          <w:rFonts w:ascii="Arial" w:hAnsi="Arial" w:cs="Arial"/>
          <w:i/>
          <w:iCs/>
          <w:lang w:val="en-US"/>
        </w:rPr>
        <w:lastRenderedPageBreak/>
        <w:t>and another (Respondents) v Eurofinance SA and others (Appellants)</w:t>
      </w:r>
      <w:r w:rsidR="001926B9">
        <w:rPr>
          <w:rFonts w:ascii="Arial" w:hAnsi="Arial" w:cs="Arial"/>
          <w:i/>
          <w:iCs/>
          <w:lang w:val="en-US"/>
        </w:rPr>
        <w:t xml:space="preserve"> </w:t>
      </w:r>
      <w:r w:rsidR="001926B9" w:rsidRPr="001926B9">
        <w:rPr>
          <w:rFonts w:ascii="Arial" w:hAnsi="Arial" w:cs="Arial"/>
          <w:i/>
          <w:iCs/>
          <w:lang w:val="en-US"/>
        </w:rPr>
        <w:t>[2012] UKSC 46</w:t>
      </w:r>
      <w:r w:rsidR="001926B9">
        <w:rPr>
          <w:rFonts w:ascii="Arial" w:hAnsi="Arial" w:cs="Arial"/>
          <w:lang w:val="en-US"/>
        </w:rPr>
        <w:t xml:space="preserve"> </w:t>
      </w:r>
      <w:r w:rsidR="001926B9">
        <w:rPr>
          <w:rStyle w:val="Referencafusnote"/>
          <w:rFonts w:ascii="Arial" w:hAnsi="Arial" w:cs="Arial"/>
          <w:lang w:val="en-US"/>
        </w:rPr>
        <w:footnoteReference w:id="4"/>
      </w:r>
      <w:r w:rsidR="00AD0764">
        <w:rPr>
          <w:rFonts w:ascii="Arial" w:hAnsi="Arial" w:cs="Arial"/>
          <w:lang w:val="en-US"/>
        </w:rPr>
        <w:t xml:space="preserve"> </w:t>
      </w:r>
      <w:r w:rsidR="001348CC">
        <w:rPr>
          <w:rFonts w:ascii="Arial" w:hAnsi="Arial" w:cs="Arial"/>
          <w:lang w:val="en-US"/>
        </w:rPr>
        <w:t xml:space="preserve">brought to attention that additional text, model law i.e. MLIJ would </w:t>
      </w:r>
      <w:r w:rsidR="001926B9">
        <w:rPr>
          <w:rFonts w:ascii="Arial" w:hAnsi="Arial" w:cs="Arial"/>
          <w:lang w:val="en-US"/>
        </w:rPr>
        <w:t>b</w:t>
      </w:r>
      <w:r w:rsidR="00C1663F">
        <w:rPr>
          <w:rFonts w:ascii="Arial" w:hAnsi="Arial" w:cs="Arial"/>
          <w:lang w:val="en-US"/>
        </w:rPr>
        <w:t>e</w:t>
      </w:r>
      <w:r w:rsidR="00395C72">
        <w:rPr>
          <w:rFonts w:ascii="Arial" w:hAnsi="Arial" w:cs="Arial"/>
          <w:lang w:val="en-US"/>
        </w:rPr>
        <w:t xml:space="preserve"> </w:t>
      </w:r>
      <w:r w:rsidR="00463D4B">
        <w:rPr>
          <w:rFonts w:ascii="Arial" w:hAnsi="Arial" w:cs="Arial"/>
          <w:lang w:val="en-US"/>
        </w:rPr>
        <w:t>necessary</w:t>
      </w:r>
      <w:r w:rsidR="001348CC">
        <w:rPr>
          <w:rFonts w:ascii="Arial" w:hAnsi="Arial" w:cs="Arial"/>
          <w:lang w:val="en-US"/>
        </w:rPr>
        <w:t xml:space="preserve"> to standardize the outcomes in matters of recognition of insolvency related judgements by being “addition” to already implemented MLCBI.</w:t>
      </w:r>
      <w:r w:rsidR="00AD0764">
        <w:rPr>
          <w:rFonts w:ascii="Arial" w:hAnsi="Arial" w:cs="Arial"/>
          <w:lang w:val="en-US"/>
        </w:rPr>
        <w:t xml:space="preserve"> </w:t>
      </w:r>
    </w:p>
    <w:p w14:paraId="525E6AA1" w14:textId="77777777" w:rsidR="00A51586" w:rsidRDefault="00A51586" w:rsidP="00D51A83">
      <w:pPr>
        <w:spacing w:line="360" w:lineRule="auto"/>
        <w:jc w:val="both"/>
        <w:rPr>
          <w:rFonts w:ascii="Arial" w:hAnsi="Arial" w:cs="Arial"/>
          <w:lang w:val="en-US"/>
        </w:rPr>
      </w:pPr>
    </w:p>
    <w:p w14:paraId="10129078" w14:textId="01F9A9EB" w:rsidR="00037935" w:rsidRDefault="001348CC" w:rsidP="00D51A83">
      <w:pPr>
        <w:spacing w:line="360" w:lineRule="auto"/>
        <w:jc w:val="both"/>
        <w:rPr>
          <w:rFonts w:ascii="Arial" w:hAnsi="Arial" w:cs="Arial"/>
          <w:b/>
          <w:bCs/>
          <w:lang w:val="en-US"/>
        </w:rPr>
      </w:pPr>
      <w:r w:rsidRPr="001348CC">
        <w:rPr>
          <w:rFonts w:ascii="Arial" w:hAnsi="Arial" w:cs="Arial"/>
          <w:b/>
          <w:bCs/>
          <w:lang w:val="en-US"/>
        </w:rPr>
        <w:t>Relevant provisions of stated texts on jurisdiction and recognition</w:t>
      </w:r>
    </w:p>
    <w:p w14:paraId="60DAF4FA" w14:textId="2133A2A5" w:rsidR="001348CC" w:rsidRDefault="0003664F" w:rsidP="00D51A83">
      <w:pPr>
        <w:pStyle w:val="Odlomakpopisa"/>
        <w:numPr>
          <w:ilvl w:val="0"/>
          <w:numId w:val="1"/>
        </w:numPr>
        <w:spacing w:line="360" w:lineRule="auto"/>
        <w:jc w:val="both"/>
        <w:rPr>
          <w:rFonts w:ascii="Arial" w:hAnsi="Arial" w:cs="Arial"/>
          <w:lang w:val="en-US"/>
        </w:rPr>
      </w:pPr>
      <w:r>
        <w:rPr>
          <w:rFonts w:ascii="Arial" w:hAnsi="Arial" w:cs="Arial"/>
          <w:lang w:val="en-US"/>
        </w:rPr>
        <w:t>EIR Recast</w:t>
      </w:r>
    </w:p>
    <w:p w14:paraId="54F35880" w14:textId="1EAE1510" w:rsidR="007D7054" w:rsidRPr="007D7054" w:rsidRDefault="007D7054" w:rsidP="007D7054">
      <w:pPr>
        <w:spacing w:line="360" w:lineRule="auto"/>
        <w:jc w:val="both"/>
        <w:rPr>
          <w:rFonts w:ascii="Arial" w:hAnsi="Arial" w:cs="Arial"/>
          <w:lang w:val="en-US"/>
        </w:rPr>
      </w:pPr>
      <w:r>
        <w:rPr>
          <w:rFonts w:ascii="Arial" w:hAnsi="Arial" w:cs="Arial"/>
          <w:lang w:val="en-US"/>
        </w:rPr>
        <w:t>EIR Recast considers insolvency related judgements as ones that</w:t>
      </w:r>
      <w:r w:rsidRPr="0003664F">
        <w:rPr>
          <w:rFonts w:ascii="Arial" w:hAnsi="Arial" w:cs="Arial"/>
          <w:lang w:val="en-US"/>
        </w:rPr>
        <w:t xml:space="preserve"> “derives directly from the insolvency proceedings and is closely linked with them, </w:t>
      </w:r>
      <w:r>
        <w:rPr>
          <w:rFonts w:ascii="Arial" w:hAnsi="Arial" w:cs="Arial"/>
          <w:lang w:val="en-US"/>
        </w:rPr>
        <w:t>even if they are handed down by another court”.</w:t>
      </w:r>
    </w:p>
    <w:p w14:paraId="0BF16470" w14:textId="757A836B" w:rsidR="00FC3639" w:rsidRDefault="001348CC" w:rsidP="00D51A83">
      <w:pPr>
        <w:spacing w:line="360" w:lineRule="auto"/>
        <w:jc w:val="both"/>
        <w:rPr>
          <w:rFonts w:ascii="Arial" w:hAnsi="Arial" w:cs="Arial"/>
          <w:lang w:val="en-US"/>
        </w:rPr>
      </w:pPr>
      <w:r>
        <w:rPr>
          <w:rFonts w:ascii="Arial" w:hAnsi="Arial" w:cs="Arial"/>
          <w:lang w:val="en-US"/>
        </w:rPr>
        <w:t>EIR Recast</w:t>
      </w:r>
      <w:r w:rsidR="001926B9" w:rsidRPr="001926B9">
        <w:rPr>
          <w:rFonts w:ascii="Arial" w:hAnsi="Arial" w:cs="Arial"/>
          <w:lang w:val="en-US"/>
        </w:rPr>
        <w:t xml:space="preserve"> </w:t>
      </w:r>
      <w:r w:rsidR="001926B9">
        <w:rPr>
          <w:rFonts w:ascii="Arial" w:hAnsi="Arial" w:cs="Arial"/>
          <w:lang w:val="en-US"/>
        </w:rPr>
        <w:t xml:space="preserve">addresses jurisdiction and states </w:t>
      </w:r>
      <w:r>
        <w:rPr>
          <w:rFonts w:ascii="Arial" w:hAnsi="Arial" w:cs="Arial"/>
          <w:lang w:val="en-US"/>
        </w:rPr>
        <w:t>in it’s Article 6</w:t>
      </w:r>
      <w:r w:rsidR="001926B9">
        <w:rPr>
          <w:rFonts w:ascii="Arial" w:hAnsi="Arial" w:cs="Arial"/>
          <w:lang w:val="en-US"/>
        </w:rPr>
        <w:t>:</w:t>
      </w:r>
    </w:p>
    <w:p w14:paraId="34731EF0" w14:textId="4263DBBB" w:rsidR="001348CC" w:rsidRPr="00FC3639" w:rsidRDefault="001348CC" w:rsidP="00D51A83">
      <w:pPr>
        <w:spacing w:line="360" w:lineRule="auto"/>
        <w:jc w:val="both"/>
        <w:rPr>
          <w:rFonts w:ascii="Arial" w:hAnsi="Arial" w:cs="Arial"/>
          <w:lang w:val="en-US"/>
        </w:rPr>
      </w:pPr>
      <w:r w:rsidRPr="001348CC">
        <w:rPr>
          <w:rFonts w:ascii="Arial" w:hAnsi="Arial" w:cs="Arial"/>
          <w:i/>
          <w:iCs/>
          <w:lang w:val="en-US"/>
        </w:rPr>
        <w:t>1. The courts of the Member State within the territory of which insolvency proceedings have been opened in</w:t>
      </w:r>
      <w:r>
        <w:rPr>
          <w:rFonts w:ascii="Arial" w:hAnsi="Arial" w:cs="Arial"/>
          <w:i/>
          <w:iCs/>
          <w:lang w:val="en-US"/>
        </w:rPr>
        <w:t xml:space="preserve"> </w:t>
      </w:r>
      <w:r w:rsidRPr="001348CC">
        <w:rPr>
          <w:rFonts w:ascii="Arial" w:hAnsi="Arial" w:cs="Arial"/>
          <w:i/>
          <w:iCs/>
          <w:lang w:val="en-US"/>
        </w:rPr>
        <w:t>accordance with Article 3 shall have jurisdiction for any action which derives directly from the insolvency proceedings</w:t>
      </w:r>
      <w:r>
        <w:rPr>
          <w:rFonts w:ascii="Arial" w:hAnsi="Arial" w:cs="Arial"/>
          <w:i/>
          <w:iCs/>
          <w:lang w:val="en-US"/>
        </w:rPr>
        <w:t xml:space="preserve"> </w:t>
      </w:r>
      <w:r w:rsidRPr="001348CC">
        <w:rPr>
          <w:rFonts w:ascii="Arial" w:hAnsi="Arial" w:cs="Arial"/>
          <w:i/>
          <w:iCs/>
          <w:lang w:val="en-US"/>
        </w:rPr>
        <w:t>and is closely linked with them, such as avoidance actions.</w:t>
      </w:r>
    </w:p>
    <w:p w14:paraId="6BD04C2D" w14:textId="2E16AA77" w:rsidR="001348CC" w:rsidRPr="001348CC" w:rsidRDefault="001348CC" w:rsidP="00D51A83">
      <w:pPr>
        <w:spacing w:line="360" w:lineRule="auto"/>
        <w:jc w:val="both"/>
        <w:rPr>
          <w:rFonts w:ascii="Arial" w:hAnsi="Arial" w:cs="Arial"/>
          <w:i/>
          <w:iCs/>
          <w:lang w:val="en-US"/>
        </w:rPr>
      </w:pPr>
      <w:r w:rsidRPr="001348CC">
        <w:rPr>
          <w:rFonts w:ascii="Arial" w:hAnsi="Arial" w:cs="Arial"/>
          <w:i/>
          <w:iCs/>
          <w:lang w:val="en-US"/>
        </w:rPr>
        <w:t>2. Where an action referred to in paragraph 1 is related to an action in civil and commercial matters against the same</w:t>
      </w:r>
      <w:r>
        <w:rPr>
          <w:rFonts w:ascii="Arial" w:hAnsi="Arial" w:cs="Arial"/>
          <w:i/>
          <w:iCs/>
          <w:lang w:val="en-US"/>
        </w:rPr>
        <w:t xml:space="preserve"> </w:t>
      </w:r>
      <w:r w:rsidRPr="001348CC">
        <w:rPr>
          <w:rFonts w:ascii="Arial" w:hAnsi="Arial" w:cs="Arial"/>
          <w:i/>
          <w:iCs/>
          <w:lang w:val="en-US"/>
        </w:rPr>
        <w:t>defendant, the insolvency practitioner may bring both actions before the courts of the Member State within the territory</w:t>
      </w:r>
      <w:r>
        <w:rPr>
          <w:rFonts w:ascii="Arial" w:hAnsi="Arial" w:cs="Arial"/>
          <w:i/>
          <w:iCs/>
          <w:lang w:val="en-US"/>
        </w:rPr>
        <w:t xml:space="preserve"> </w:t>
      </w:r>
      <w:r w:rsidRPr="001348CC">
        <w:rPr>
          <w:rFonts w:ascii="Arial" w:hAnsi="Arial" w:cs="Arial"/>
          <w:i/>
          <w:iCs/>
          <w:lang w:val="en-US"/>
        </w:rPr>
        <w:t>of which the defendant is domiciled, or, where the action is brought against several defendants, before the courts of the</w:t>
      </w:r>
      <w:r w:rsidR="001926B9">
        <w:rPr>
          <w:rFonts w:ascii="Arial" w:hAnsi="Arial" w:cs="Arial"/>
          <w:i/>
          <w:iCs/>
          <w:lang w:val="en-US"/>
        </w:rPr>
        <w:t xml:space="preserve"> </w:t>
      </w:r>
      <w:r w:rsidRPr="001348CC">
        <w:rPr>
          <w:rFonts w:ascii="Arial" w:hAnsi="Arial" w:cs="Arial"/>
          <w:i/>
          <w:iCs/>
          <w:lang w:val="en-US"/>
        </w:rPr>
        <w:t>Member State within the territory of which any of them is domiciled, provided that those courts have jurisdiction</w:t>
      </w:r>
      <w:r>
        <w:rPr>
          <w:rFonts w:ascii="Arial" w:hAnsi="Arial" w:cs="Arial"/>
          <w:i/>
          <w:iCs/>
          <w:lang w:val="en-US"/>
        </w:rPr>
        <w:t xml:space="preserve"> </w:t>
      </w:r>
      <w:r w:rsidRPr="001348CC">
        <w:rPr>
          <w:rFonts w:ascii="Arial" w:hAnsi="Arial" w:cs="Arial"/>
          <w:i/>
          <w:iCs/>
          <w:lang w:val="en-US"/>
        </w:rPr>
        <w:t>pursuant to Regulation (EU) No 1215/2012.</w:t>
      </w:r>
    </w:p>
    <w:p w14:paraId="01634DF9" w14:textId="66426EF2" w:rsidR="001348CC" w:rsidRPr="001348CC" w:rsidRDefault="001348CC" w:rsidP="00D51A83">
      <w:pPr>
        <w:spacing w:line="360" w:lineRule="auto"/>
        <w:jc w:val="both"/>
        <w:rPr>
          <w:rFonts w:ascii="Arial" w:hAnsi="Arial" w:cs="Arial"/>
          <w:i/>
          <w:iCs/>
          <w:lang w:val="en-US"/>
        </w:rPr>
      </w:pPr>
      <w:r w:rsidRPr="001348CC">
        <w:rPr>
          <w:rFonts w:ascii="Arial" w:hAnsi="Arial" w:cs="Arial"/>
          <w:i/>
          <w:iCs/>
          <w:lang w:val="en-US"/>
        </w:rPr>
        <w:t>The first subparagraph shall apply to the debtor in possession, provided that national law allows the debtor in</w:t>
      </w:r>
      <w:r>
        <w:rPr>
          <w:rFonts w:ascii="Arial" w:hAnsi="Arial" w:cs="Arial"/>
          <w:i/>
          <w:iCs/>
          <w:lang w:val="en-US"/>
        </w:rPr>
        <w:t xml:space="preserve"> </w:t>
      </w:r>
      <w:r w:rsidRPr="001348CC">
        <w:rPr>
          <w:rFonts w:ascii="Arial" w:hAnsi="Arial" w:cs="Arial"/>
          <w:i/>
          <w:iCs/>
          <w:lang w:val="en-US"/>
        </w:rPr>
        <w:t>possession to bring actions on behalf of the insolvency estate.</w:t>
      </w:r>
    </w:p>
    <w:p w14:paraId="02D99A99" w14:textId="609EAE92" w:rsidR="001348CC" w:rsidRPr="001348CC" w:rsidRDefault="001348CC" w:rsidP="00D51A83">
      <w:pPr>
        <w:spacing w:line="360" w:lineRule="auto"/>
        <w:jc w:val="both"/>
        <w:rPr>
          <w:rFonts w:ascii="Arial" w:hAnsi="Arial" w:cs="Arial"/>
          <w:i/>
          <w:iCs/>
          <w:lang w:val="en-US"/>
        </w:rPr>
      </w:pPr>
      <w:r w:rsidRPr="001348CC">
        <w:rPr>
          <w:rFonts w:ascii="Arial" w:hAnsi="Arial" w:cs="Arial"/>
          <w:i/>
          <w:iCs/>
          <w:lang w:val="en-US"/>
        </w:rPr>
        <w:t>3. For the purpose of paragraph 2, actions are deemed to be related where they are so closely connected that it is</w:t>
      </w:r>
      <w:r>
        <w:rPr>
          <w:rFonts w:ascii="Arial" w:hAnsi="Arial" w:cs="Arial"/>
          <w:i/>
          <w:iCs/>
          <w:lang w:val="en-US"/>
        </w:rPr>
        <w:t xml:space="preserve"> </w:t>
      </w:r>
      <w:r w:rsidRPr="001348CC">
        <w:rPr>
          <w:rFonts w:ascii="Arial" w:hAnsi="Arial" w:cs="Arial"/>
          <w:i/>
          <w:iCs/>
          <w:lang w:val="en-US"/>
        </w:rPr>
        <w:t>expedient to hear and determine them together to avoid the risk of irreconcilable judgments resulting from separate</w:t>
      </w:r>
      <w:r>
        <w:rPr>
          <w:rFonts w:ascii="Arial" w:hAnsi="Arial" w:cs="Arial"/>
          <w:i/>
          <w:iCs/>
          <w:lang w:val="en-US"/>
        </w:rPr>
        <w:t xml:space="preserve"> </w:t>
      </w:r>
      <w:r w:rsidRPr="001348CC">
        <w:rPr>
          <w:rFonts w:ascii="Arial" w:hAnsi="Arial" w:cs="Arial"/>
          <w:i/>
          <w:iCs/>
          <w:lang w:val="en-US"/>
        </w:rPr>
        <w:t>proceedings.</w:t>
      </w:r>
    </w:p>
    <w:p w14:paraId="0D887F0E" w14:textId="12D81EA0" w:rsidR="001348CC" w:rsidRPr="0003664F" w:rsidRDefault="00FC3639" w:rsidP="00D51A83">
      <w:pPr>
        <w:spacing w:line="360" w:lineRule="auto"/>
        <w:jc w:val="both"/>
        <w:rPr>
          <w:rFonts w:ascii="Arial" w:hAnsi="Arial" w:cs="Arial"/>
          <w:lang w:val="en-US"/>
        </w:rPr>
      </w:pPr>
      <w:r>
        <w:rPr>
          <w:rFonts w:ascii="Arial" w:hAnsi="Arial" w:cs="Arial"/>
          <w:lang w:val="en-US"/>
        </w:rPr>
        <w:t xml:space="preserve">In regards to recognition, </w:t>
      </w:r>
      <w:r w:rsidR="001348CC" w:rsidRPr="0003664F">
        <w:rPr>
          <w:rFonts w:ascii="Arial" w:hAnsi="Arial" w:cs="Arial"/>
          <w:lang w:val="en-US"/>
        </w:rPr>
        <w:t>Article 32</w:t>
      </w:r>
      <w:r>
        <w:rPr>
          <w:rFonts w:ascii="Arial" w:hAnsi="Arial" w:cs="Arial"/>
          <w:lang w:val="en-US"/>
        </w:rPr>
        <w:t xml:space="preserve"> states:</w:t>
      </w:r>
    </w:p>
    <w:p w14:paraId="14FA5A1C" w14:textId="27FAB6B0" w:rsidR="001348CC" w:rsidRPr="001348CC" w:rsidRDefault="001348CC" w:rsidP="00D51A83">
      <w:pPr>
        <w:spacing w:line="360" w:lineRule="auto"/>
        <w:jc w:val="both"/>
        <w:rPr>
          <w:rFonts w:ascii="Arial" w:hAnsi="Arial" w:cs="Arial"/>
          <w:i/>
          <w:iCs/>
          <w:lang w:val="en-US"/>
        </w:rPr>
      </w:pPr>
      <w:r w:rsidRPr="001348CC">
        <w:rPr>
          <w:rFonts w:ascii="Arial" w:hAnsi="Arial" w:cs="Arial"/>
          <w:i/>
          <w:iCs/>
          <w:lang w:val="en-US"/>
        </w:rPr>
        <w:t xml:space="preserve">1. Judgments handed down by a court whose judgment concerning the opening of proceedings is </w:t>
      </w:r>
      <w:r w:rsidR="00463D4B" w:rsidRPr="001348CC">
        <w:rPr>
          <w:rFonts w:ascii="Arial" w:hAnsi="Arial" w:cs="Arial"/>
          <w:i/>
          <w:iCs/>
          <w:lang w:val="en-US"/>
        </w:rPr>
        <w:t>recognized</w:t>
      </w:r>
      <w:r w:rsidRPr="001348CC">
        <w:rPr>
          <w:rFonts w:ascii="Arial" w:hAnsi="Arial" w:cs="Arial"/>
          <w:i/>
          <w:iCs/>
          <w:lang w:val="en-US"/>
        </w:rPr>
        <w:t xml:space="preserve"> in</w:t>
      </w:r>
      <w:r>
        <w:rPr>
          <w:rFonts w:ascii="Arial" w:hAnsi="Arial" w:cs="Arial"/>
          <w:i/>
          <w:iCs/>
          <w:lang w:val="en-US"/>
        </w:rPr>
        <w:t xml:space="preserve"> </w:t>
      </w:r>
      <w:r w:rsidRPr="001348CC">
        <w:rPr>
          <w:rFonts w:ascii="Arial" w:hAnsi="Arial" w:cs="Arial"/>
          <w:i/>
          <w:iCs/>
          <w:lang w:val="en-US"/>
        </w:rPr>
        <w:t xml:space="preserve">accordance with Article 19 and which concern the course and closure of </w:t>
      </w:r>
      <w:r w:rsidRPr="001348CC">
        <w:rPr>
          <w:rFonts w:ascii="Arial" w:hAnsi="Arial" w:cs="Arial"/>
          <w:i/>
          <w:iCs/>
          <w:lang w:val="en-US"/>
        </w:rPr>
        <w:lastRenderedPageBreak/>
        <w:t>insolvency proceedings, and compositions</w:t>
      </w:r>
      <w:r>
        <w:rPr>
          <w:rFonts w:ascii="Arial" w:hAnsi="Arial" w:cs="Arial"/>
          <w:i/>
          <w:iCs/>
          <w:lang w:val="en-US"/>
        </w:rPr>
        <w:t xml:space="preserve"> </w:t>
      </w:r>
      <w:r w:rsidRPr="001348CC">
        <w:rPr>
          <w:rFonts w:ascii="Arial" w:hAnsi="Arial" w:cs="Arial"/>
          <w:i/>
          <w:iCs/>
          <w:lang w:val="en-US"/>
        </w:rPr>
        <w:t xml:space="preserve">approved by that court, shall also be </w:t>
      </w:r>
      <w:r w:rsidR="00463D4B" w:rsidRPr="001348CC">
        <w:rPr>
          <w:rFonts w:ascii="Arial" w:hAnsi="Arial" w:cs="Arial"/>
          <w:i/>
          <w:iCs/>
          <w:lang w:val="en-US"/>
        </w:rPr>
        <w:t>recognized</w:t>
      </w:r>
      <w:r w:rsidRPr="001348CC">
        <w:rPr>
          <w:rFonts w:ascii="Arial" w:hAnsi="Arial" w:cs="Arial"/>
          <w:i/>
          <w:iCs/>
          <w:lang w:val="en-US"/>
        </w:rPr>
        <w:t xml:space="preserve"> with no further formalities. Such judgments shall be enforced in</w:t>
      </w:r>
      <w:r>
        <w:rPr>
          <w:rFonts w:ascii="Arial" w:hAnsi="Arial" w:cs="Arial"/>
          <w:i/>
          <w:iCs/>
          <w:lang w:val="en-US"/>
        </w:rPr>
        <w:t xml:space="preserve"> </w:t>
      </w:r>
      <w:r w:rsidRPr="001348CC">
        <w:rPr>
          <w:rFonts w:ascii="Arial" w:hAnsi="Arial" w:cs="Arial"/>
          <w:i/>
          <w:iCs/>
          <w:lang w:val="en-US"/>
        </w:rPr>
        <w:t>accordance with Articles 39 to 44 and 47 to 57 of Regulation (EU) No 1215/2012.</w:t>
      </w:r>
    </w:p>
    <w:p w14:paraId="683D8AF6" w14:textId="6BA74CBF" w:rsidR="001348CC" w:rsidRPr="001348CC" w:rsidRDefault="001348CC" w:rsidP="00D51A83">
      <w:pPr>
        <w:spacing w:line="360" w:lineRule="auto"/>
        <w:jc w:val="both"/>
        <w:rPr>
          <w:rFonts w:ascii="Arial" w:hAnsi="Arial" w:cs="Arial"/>
          <w:i/>
          <w:iCs/>
          <w:lang w:val="en-US"/>
        </w:rPr>
      </w:pPr>
      <w:r w:rsidRPr="001348CC">
        <w:rPr>
          <w:rFonts w:ascii="Arial" w:hAnsi="Arial" w:cs="Arial"/>
          <w:i/>
          <w:iCs/>
          <w:lang w:val="en-US"/>
        </w:rPr>
        <w:t>The first subparagraph shall also apply to judgments deriving directly from the insolvency proceedings and which are</w:t>
      </w:r>
      <w:r>
        <w:rPr>
          <w:rFonts w:ascii="Arial" w:hAnsi="Arial" w:cs="Arial"/>
          <w:i/>
          <w:iCs/>
          <w:lang w:val="en-US"/>
        </w:rPr>
        <w:t xml:space="preserve"> </w:t>
      </w:r>
      <w:r w:rsidRPr="001348CC">
        <w:rPr>
          <w:rFonts w:ascii="Arial" w:hAnsi="Arial" w:cs="Arial"/>
          <w:i/>
          <w:iCs/>
          <w:lang w:val="en-US"/>
        </w:rPr>
        <w:t>closely linked with them, even if they were handed down by another court.</w:t>
      </w:r>
    </w:p>
    <w:p w14:paraId="1EBD472C" w14:textId="62059C30" w:rsidR="001348CC" w:rsidRPr="001348CC" w:rsidRDefault="001348CC" w:rsidP="00D51A83">
      <w:pPr>
        <w:spacing w:line="360" w:lineRule="auto"/>
        <w:jc w:val="both"/>
        <w:rPr>
          <w:rFonts w:ascii="Arial" w:hAnsi="Arial" w:cs="Arial"/>
          <w:i/>
          <w:iCs/>
          <w:lang w:val="en-US"/>
        </w:rPr>
      </w:pPr>
      <w:r w:rsidRPr="001348CC">
        <w:rPr>
          <w:rFonts w:ascii="Arial" w:hAnsi="Arial" w:cs="Arial"/>
          <w:i/>
          <w:iCs/>
          <w:lang w:val="en-US"/>
        </w:rPr>
        <w:t>The first subparagraph shall also apply to judgments relating to preservation measures taken after the request for the</w:t>
      </w:r>
      <w:r>
        <w:rPr>
          <w:rFonts w:ascii="Arial" w:hAnsi="Arial" w:cs="Arial"/>
          <w:i/>
          <w:iCs/>
          <w:lang w:val="en-US"/>
        </w:rPr>
        <w:t xml:space="preserve"> </w:t>
      </w:r>
      <w:r w:rsidRPr="001348CC">
        <w:rPr>
          <w:rFonts w:ascii="Arial" w:hAnsi="Arial" w:cs="Arial"/>
          <w:i/>
          <w:iCs/>
          <w:lang w:val="en-US"/>
        </w:rPr>
        <w:t>opening of insolvency proceedings or in connection with it.</w:t>
      </w:r>
    </w:p>
    <w:p w14:paraId="744115B1" w14:textId="6BB9F7C3" w:rsidR="001348CC" w:rsidRPr="001348CC" w:rsidRDefault="001348CC" w:rsidP="00D51A83">
      <w:pPr>
        <w:spacing w:line="360" w:lineRule="auto"/>
        <w:jc w:val="both"/>
        <w:rPr>
          <w:rFonts w:ascii="Arial" w:hAnsi="Arial" w:cs="Arial"/>
          <w:i/>
          <w:iCs/>
          <w:lang w:val="en-US"/>
        </w:rPr>
      </w:pPr>
      <w:r w:rsidRPr="001348CC">
        <w:rPr>
          <w:rFonts w:ascii="Arial" w:hAnsi="Arial" w:cs="Arial"/>
          <w:i/>
          <w:iCs/>
          <w:lang w:val="en-US"/>
        </w:rPr>
        <w:t>2. The recognition and enforcement of judgments other than those referred to in paragraph 1 of this Article shall be</w:t>
      </w:r>
      <w:r>
        <w:rPr>
          <w:rFonts w:ascii="Arial" w:hAnsi="Arial" w:cs="Arial"/>
          <w:i/>
          <w:iCs/>
          <w:lang w:val="en-US"/>
        </w:rPr>
        <w:t xml:space="preserve"> </w:t>
      </w:r>
      <w:r w:rsidRPr="001348CC">
        <w:rPr>
          <w:rFonts w:ascii="Arial" w:hAnsi="Arial" w:cs="Arial"/>
          <w:i/>
          <w:iCs/>
          <w:lang w:val="en-US"/>
        </w:rPr>
        <w:t>governed by Regulation (EU) No 1215/2012 provided that that Regulation is applicable.</w:t>
      </w:r>
    </w:p>
    <w:p w14:paraId="28CC789D" w14:textId="46A6C573" w:rsidR="0003664F" w:rsidRDefault="0003664F" w:rsidP="00D51A83">
      <w:pPr>
        <w:spacing w:line="360" w:lineRule="auto"/>
        <w:jc w:val="both"/>
        <w:rPr>
          <w:rFonts w:ascii="Arial" w:hAnsi="Arial" w:cs="Arial"/>
          <w:lang w:val="en-US"/>
        </w:rPr>
      </w:pPr>
    </w:p>
    <w:p w14:paraId="06F19F6D" w14:textId="76349450" w:rsidR="00FC3639" w:rsidRPr="00FC3639" w:rsidRDefault="00FC3639" w:rsidP="00D51A83">
      <w:pPr>
        <w:pStyle w:val="Odlomakpopisa"/>
        <w:numPr>
          <w:ilvl w:val="0"/>
          <w:numId w:val="1"/>
        </w:numPr>
        <w:spacing w:line="360" w:lineRule="auto"/>
        <w:jc w:val="both"/>
        <w:rPr>
          <w:rFonts w:ascii="Arial" w:hAnsi="Arial" w:cs="Arial"/>
          <w:lang w:val="en-US"/>
        </w:rPr>
      </w:pPr>
      <w:r>
        <w:rPr>
          <w:rFonts w:ascii="Arial" w:hAnsi="Arial" w:cs="Arial"/>
          <w:lang w:val="en-US"/>
        </w:rPr>
        <w:t>MLIJ</w:t>
      </w:r>
    </w:p>
    <w:p w14:paraId="39642DE8" w14:textId="5341F685" w:rsidR="007D7054" w:rsidRDefault="007D7054" w:rsidP="00D51A83">
      <w:pPr>
        <w:spacing w:line="360" w:lineRule="auto"/>
        <w:jc w:val="both"/>
        <w:rPr>
          <w:rFonts w:ascii="Arial" w:hAnsi="Arial" w:cs="Arial"/>
          <w:lang w:val="en-US"/>
        </w:rPr>
      </w:pPr>
      <w:r>
        <w:rPr>
          <w:rFonts w:ascii="Arial" w:hAnsi="Arial" w:cs="Arial"/>
          <w:lang w:val="en-US"/>
        </w:rPr>
        <w:t xml:space="preserve">MLIJ defines </w:t>
      </w:r>
      <w:r w:rsidRPr="00A50CBE">
        <w:rPr>
          <w:rFonts w:ascii="Arial" w:hAnsi="Arial" w:cs="Arial"/>
          <w:lang w:val="en-US"/>
        </w:rPr>
        <w:t xml:space="preserve">insolvency-related judgment as a judgment that </w:t>
      </w:r>
      <w:r>
        <w:rPr>
          <w:rFonts w:ascii="Arial" w:hAnsi="Arial" w:cs="Arial"/>
          <w:lang w:val="en-US"/>
        </w:rPr>
        <w:t>“</w:t>
      </w:r>
      <w:r w:rsidRPr="00A50CBE">
        <w:rPr>
          <w:rFonts w:ascii="Arial" w:hAnsi="Arial" w:cs="Arial"/>
          <w:lang w:val="en-US"/>
        </w:rPr>
        <w:t>arises as a consequence of or is materially associated with an insolvency proceeding</w:t>
      </w:r>
      <w:r>
        <w:rPr>
          <w:rFonts w:ascii="Arial" w:hAnsi="Arial" w:cs="Arial"/>
          <w:lang w:val="en-US"/>
        </w:rPr>
        <w:t xml:space="preserve">, </w:t>
      </w:r>
      <w:r w:rsidRPr="00A50CBE">
        <w:rPr>
          <w:rFonts w:ascii="Arial" w:hAnsi="Arial" w:cs="Arial"/>
          <w:lang w:val="en-US"/>
        </w:rPr>
        <w:t>whether or not that proceeding has closed, and was issued on or after the commencement of the insolvency proceeding</w:t>
      </w:r>
      <w:r>
        <w:rPr>
          <w:rFonts w:ascii="Arial" w:hAnsi="Arial" w:cs="Arial"/>
          <w:lang w:val="en-US"/>
        </w:rPr>
        <w:t xml:space="preserve">, while </w:t>
      </w:r>
      <w:r w:rsidRPr="00A50CBE">
        <w:rPr>
          <w:rFonts w:ascii="Arial" w:hAnsi="Arial" w:cs="Arial"/>
          <w:lang w:val="en-US"/>
        </w:rPr>
        <w:t>does not include a judgment commencing an insolvency proceeding</w:t>
      </w:r>
      <w:r>
        <w:rPr>
          <w:rFonts w:ascii="Arial" w:hAnsi="Arial" w:cs="Arial"/>
          <w:lang w:val="en-US"/>
        </w:rPr>
        <w:t>”</w:t>
      </w:r>
      <w:r w:rsidRPr="00A50CBE">
        <w:rPr>
          <w:rFonts w:ascii="Arial" w:hAnsi="Arial" w:cs="Arial"/>
          <w:lang w:val="en-US"/>
        </w:rPr>
        <w:t>.</w:t>
      </w:r>
      <w:r>
        <w:rPr>
          <w:rStyle w:val="Referencafusnote"/>
          <w:rFonts w:ascii="Arial" w:hAnsi="Arial" w:cs="Arial"/>
          <w:lang w:val="en-US"/>
        </w:rPr>
        <w:footnoteReference w:id="5"/>
      </w:r>
    </w:p>
    <w:p w14:paraId="13ED030F" w14:textId="6C4F4DAF" w:rsidR="00AB0E0A" w:rsidRDefault="00FC3639" w:rsidP="00D51A83">
      <w:pPr>
        <w:spacing w:line="360" w:lineRule="auto"/>
        <w:jc w:val="both"/>
        <w:rPr>
          <w:rFonts w:ascii="Arial" w:hAnsi="Arial" w:cs="Arial"/>
          <w:lang w:val="en-US"/>
        </w:rPr>
      </w:pPr>
      <w:r>
        <w:rPr>
          <w:rFonts w:ascii="Arial" w:hAnsi="Arial" w:cs="Arial"/>
          <w:lang w:val="en-US"/>
        </w:rPr>
        <w:t>Being a model law itself, MLIJ</w:t>
      </w:r>
      <w:r w:rsidR="001926B9">
        <w:rPr>
          <w:rFonts w:ascii="Arial" w:hAnsi="Arial" w:cs="Arial"/>
          <w:lang w:val="en-US"/>
        </w:rPr>
        <w:t xml:space="preserve"> leaves “blank text” in </w:t>
      </w:r>
      <w:r w:rsidR="000950FD">
        <w:rPr>
          <w:rFonts w:ascii="Arial" w:hAnsi="Arial" w:cs="Arial"/>
          <w:lang w:val="en-US"/>
        </w:rPr>
        <w:t>order</w:t>
      </w:r>
      <w:r w:rsidR="001926B9">
        <w:rPr>
          <w:rFonts w:ascii="Arial" w:hAnsi="Arial" w:cs="Arial"/>
          <w:lang w:val="en-US"/>
        </w:rPr>
        <w:t xml:space="preserve"> for states implementing it to provide for their </w:t>
      </w:r>
      <w:r w:rsidR="005C3D39">
        <w:rPr>
          <w:rFonts w:ascii="Arial" w:hAnsi="Arial" w:cs="Arial"/>
          <w:lang w:val="en-US"/>
        </w:rPr>
        <w:t xml:space="preserve">addition to it’s provisions where needed/necessary in order to be in line with their law system. </w:t>
      </w:r>
      <w:r w:rsidR="00AB0E0A">
        <w:rPr>
          <w:rFonts w:ascii="Arial" w:hAnsi="Arial" w:cs="Arial"/>
          <w:lang w:val="en-US"/>
        </w:rPr>
        <w:t>With exception of any possible already signed applicable international treaty MLIJ</w:t>
      </w:r>
      <w:r w:rsidR="005C3D39">
        <w:rPr>
          <w:rFonts w:ascii="Arial" w:hAnsi="Arial" w:cs="Arial"/>
          <w:lang w:val="en-US"/>
        </w:rPr>
        <w:t xml:space="preserve"> resides on it’s basic principle of </w:t>
      </w:r>
      <w:r w:rsidR="005C3D39" w:rsidRPr="005C3D39">
        <w:rPr>
          <w:rFonts w:ascii="Arial" w:hAnsi="Arial" w:cs="Arial"/>
          <w:lang w:val="en-US"/>
        </w:rPr>
        <w:t>promot</w:t>
      </w:r>
      <w:r w:rsidR="005C3D39">
        <w:rPr>
          <w:rFonts w:ascii="Arial" w:hAnsi="Arial" w:cs="Arial"/>
          <w:lang w:val="en-US"/>
        </w:rPr>
        <w:t>ing</w:t>
      </w:r>
      <w:r w:rsidR="005C3D39" w:rsidRPr="005C3D39">
        <w:rPr>
          <w:rFonts w:ascii="Arial" w:hAnsi="Arial" w:cs="Arial"/>
          <w:lang w:val="en-US"/>
        </w:rPr>
        <w:t xml:space="preserve"> </w:t>
      </w:r>
      <w:r w:rsidR="005C3D39">
        <w:rPr>
          <w:rFonts w:ascii="Arial" w:hAnsi="Arial" w:cs="Arial"/>
          <w:lang w:val="en-US"/>
        </w:rPr>
        <w:t>“</w:t>
      </w:r>
      <w:r w:rsidR="005C3D39" w:rsidRPr="005C3D39">
        <w:rPr>
          <w:rFonts w:ascii="Arial" w:hAnsi="Arial" w:cs="Arial"/>
          <w:lang w:val="en-US"/>
        </w:rPr>
        <w:t>comity and cooperation between jurisdictions regarding insolvency</w:t>
      </w:r>
      <w:r w:rsidR="005C3D39">
        <w:rPr>
          <w:rFonts w:ascii="Arial" w:hAnsi="Arial" w:cs="Arial"/>
          <w:lang w:val="en-US"/>
        </w:rPr>
        <w:t xml:space="preserve"> </w:t>
      </w:r>
      <w:r w:rsidR="005C3D39" w:rsidRPr="005C3D39">
        <w:rPr>
          <w:rFonts w:ascii="Arial" w:hAnsi="Arial" w:cs="Arial"/>
          <w:lang w:val="en-US"/>
        </w:rPr>
        <w:t>related judgments</w:t>
      </w:r>
      <w:r w:rsidR="005C3D39">
        <w:rPr>
          <w:rFonts w:ascii="Arial" w:hAnsi="Arial" w:cs="Arial"/>
          <w:lang w:val="en-US"/>
        </w:rPr>
        <w:t>”</w:t>
      </w:r>
      <w:r w:rsidR="005C3D39">
        <w:rPr>
          <w:rStyle w:val="Referencafusnote"/>
          <w:rFonts w:ascii="Arial" w:hAnsi="Arial" w:cs="Arial"/>
          <w:lang w:val="en-US"/>
        </w:rPr>
        <w:footnoteReference w:id="6"/>
      </w:r>
    </w:p>
    <w:p w14:paraId="2878383D" w14:textId="3271B2D9" w:rsidR="009870AA" w:rsidRDefault="009870AA" w:rsidP="00D51A83">
      <w:pPr>
        <w:spacing w:line="360" w:lineRule="auto"/>
        <w:jc w:val="both"/>
        <w:rPr>
          <w:rFonts w:ascii="Arial" w:hAnsi="Arial" w:cs="Arial"/>
          <w:lang w:val="en-US"/>
        </w:rPr>
      </w:pPr>
      <w:r>
        <w:rPr>
          <w:rFonts w:ascii="Arial" w:hAnsi="Arial" w:cs="Arial"/>
          <w:lang w:val="en-US"/>
        </w:rPr>
        <w:t>In regards to jurisdiction of court in state where recognition is requested, it states:</w:t>
      </w:r>
    </w:p>
    <w:p w14:paraId="78B73CBF" w14:textId="77777777" w:rsidR="00AB0E0A" w:rsidRPr="00AB0E0A" w:rsidRDefault="00AB0E0A" w:rsidP="00D51A83">
      <w:pPr>
        <w:spacing w:line="360" w:lineRule="auto"/>
        <w:jc w:val="both"/>
        <w:rPr>
          <w:rFonts w:ascii="Arial" w:hAnsi="Arial" w:cs="Arial"/>
          <w:lang w:val="en-US"/>
        </w:rPr>
      </w:pPr>
      <w:r w:rsidRPr="00AB0E0A">
        <w:rPr>
          <w:rFonts w:ascii="Arial" w:hAnsi="Arial" w:cs="Arial"/>
          <w:lang w:val="en-US"/>
        </w:rPr>
        <w:t>Article 4. Competent court or authority</w:t>
      </w:r>
    </w:p>
    <w:p w14:paraId="2E774575" w14:textId="0D42521B" w:rsidR="00AB0E0A" w:rsidRPr="00AB0E0A" w:rsidRDefault="00AB0E0A" w:rsidP="00D51A83">
      <w:pPr>
        <w:spacing w:line="360" w:lineRule="auto"/>
        <w:jc w:val="both"/>
        <w:rPr>
          <w:rFonts w:ascii="Arial" w:hAnsi="Arial" w:cs="Arial"/>
          <w:lang w:val="en-US"/>
        </w:rPr>
      </w:pPr>
      <w:r w:rsidRPr="00AB0E0A">
        <w:rPr>
          <w:rFonts w:ascii="Arial" w:hAnsi="Arial" w:cs="Arial"/>
          <w:lang w:val="en-US"/>
        </w:rPr>
        <w:t>The functions referred to in this Law relating to recognition and enforcement of an</w:t>
      </w:r>
      <w:r w:rsidR="005C3D39">
        <w:rPr>
          <w:rFonts w:ascii="Arial" w:hAnsi="Arial" w:cs="Arial"/>
          <w:lang w:val="en-US"/>
        </w:rPr>
        <w:t xml:space="preserve"> </w:t>
      </w:r>
      <w:r w:rsidRPr="00AB0E0A">
        <w:rPr>
          <w:rFonts w:ascii="Arial" w:hAnsi="Arial" w:cs="Arial"/>
          <w:lang w:val="en-US"/>
        </w:rPr>
        <w:t xml:space="preserve">insolvency-related judgment shall be performed by </w:t>
      </w:r>
      <w:r w:rsidRPr="00E7493B">
        <w:rPr>
          <w:rFonts w:ascii="Arial" w:hAnsi="Arial" w:cs="Arial"/>
          <w:i/>
          <w:iCs/>
          <w:lang w:val="en-US"/>
        </w:rPr>
        <w:t>[specify the court, courts, authority or</w:t>
      </w:r>
      <w:r w:rsidR="005C3D39" w:rsidRPr="00E7493B">
        <w:rPr>
          <w:rFonts w:ascii="Arial" w:hAnsi="Arial" w:cs="Arial"/>
          <w:i/>
          <w:iCs/>
          <w:lang w:val="en-US"/>
        </w:rPr>
        <w:t xml:space="preserve"> </w:t>
      </w:r>
      <w:r w:rsidRPr="00E7493B">
        <w:rPr>
          <w:rFonts w:ascii="Arial" w:hAnsi="Arial" w:cs="Arial"/>
          <w:i/>
          <w:iCs/>
          <w:lang w:val="en-US"/>
        </w:rPr>
        <w:t>authorities competent to perform those functions in the enacting State]</w:t>
      </w:r>
      <w:r w:rsidRPr="00AB0E0A">
        <w:rPr>
          <w:rFonts w:ascii="Arial" w:hAnsi="Arial" w:cs="Arial"/>
          <w:lang w:val="en-US"/>
        </w:rPr>
        <w:t xml:space="preserve"> and by any other</w:t>
      </w:r>
      <w:r w:rsidR="005C3D39">
        <w:rPr>
          <w:rFonts w:ascii="Arial" w:hAnsi="Arial" w:cs="Arial"/>
          <w:lang w:val="en-US"/>
        </w:rPr>
        <w:t xml:space="preserve"> </w:t>
      </w:r>
      <w:r w:rsidRPr="00AB0E0A">
        <w:rPr>
          <w:rFonts w:ascii="Arial" w:hAnsi="Arial" w:cs="Arial"/>
          <w:lang w:val="en-US"/>
        </w:rPr>
        <w:t xml:space="preserve">court before which the issue of recognition is raised as a </w:t>
      </w:r>
      <w:r w:rsidR="005C3D39" w:rsidRPr="00AB0E0A">
        <w:rPr>
          <w:rFonts w:ascii="Arial" w:hAnsi="Arial" w:cs="Arial"/>
          <w:lang w:val="en-US"/>
        </w:rPr>
        <w:t>defense</w:t>
      </w:r>
      <w:r w:rsidRPr="00AB0E0A">
        <w:rPr>
          <w:rFonts w:ascii="Arial" w:hAnsi="Arial" w:cs="Arial"/>
          <w:lang w:val="en-US"/>
        </w:rPr>
        <w:t xml:space="preserve"> or as an incidental</w:t>
      </w:r>
      <w:r w:rsidR="005C3D39">
        <w:rPr>
          <w:rFonts w:ascii="Arial" w:hAnsi="Arial" w:cs="Arial"/>
          <w:lang w:val="en-US"/>
        </w:rPr>
        <w:t xml:space="preserve"> </w:t>
      </w:r>
      <w:r w:rsidRPr="00AB0E0A">
        <w:rPr>
          <w:rFonts w:ascii="Arial" w:hAnsi="Arial" w:cs="Arial"/>
          <w:lang w:val="en-US"/>
        </w:rPr>
        <w:t>question.</w:t>
      </w:r>
    </w:p>
    <w:p w14:paraId="678F7FC9" w14:textId="08366BE8" w:rsidR="00E7493B" w:rsidRDefault="00E7493B" w:rsidP="00D51A83">
      <w:pPr>
        <w:spacing w:line="360" w:lineRule="auto"/>
        <w:jc w:val="both"/>
        <w:rPr>
          <w:rFonts w:ascii="Arial" w:hAnsi="Arial" w:cs="Arial"/>
          <w:lang w:val="en-US"/>
        </w:rPr>
      </w:pPr>
      <w:r>
        <w:rPr>
          <w:rFonts w:ascii="Arial" w:hAnsi="Arial" w:cs="Arial"/>
          <w:lang w:val="en-US"/>
        </w:rPr>
        <w:t>On the topic of who is authorized to act</w:t>
      </w:r>
      <w:r w:rsidR="0045618D">
        <w:rPr>
          <w:rFonts w:ascii="Arial" w:hAnsi="Arial" w:cs="Arial"/>
          <w:lang w:val="en-US"/>
        </w:rPr>
        <w:t xml:space="preserve"> it states:</w:t>
      </w:r>
    </w:p>
    <w:p w14:paraId="2FF1474A" w14:textId="197CE5FB" w:rsidR="005C3D39" w:rsidRDefault="00AB0E0A" w:rsidP="00D51A83">
      <w:pPr>
        <w:spacing w:line="360" w:lineRule="auto"/>
        <w:jc w:val="both"/>
        <w:rPr>
          <w:rFonts w:ascii="Arial" w:hAnsi="Arial" w:cs="Arial"/>
          <w:lang w:val="en-US"/>
        </w:rPr>
      </w:pPr>
      <w:r w:rsidRPr="00AB0E0A">
        <w:rPr>
          <w:rFonts w:ascii="Arial" w:hAnsi="Arial" w:cs="Arial"/>
          <w:lang w:val="en-US"/>
        </w:rPr>
        <w:lastRenderedPageBreak/>
        <w:t xml:space="preserve">Article 5. </w:t>
      </w:r>
    </w:p>
    <w:p w14:paraId="07879BDD" w14:textId="4F7EF293" w:rsidR="00AB0E0A" w:rsidRPr="00F16465" w:rsidRDefault="00AB0E0A" w:rsidP="00D51A83">
      <w:pPr>
        <w:spacing w:line="360" w:lineRule="auto"/>
        <w:jc w:val="both"/>
        <w:rPr>
          <w:rFonts w:ascii="Arial" w:hAnsi="Arial" w:cs="Arial"/>
          <w:i/>
          <w:iCs/>
          <w:lang w:val="en-US"/>
        </w:rPr>
      </w:pPr>
      <w:r w:rsidRPr="00F16465">
        <w:rPr>
          <w:rFonts w:ascii="Arial" w:hAnsi="Arial" w:cs="Arial"/>
          <w:i/>
          <w:iCs/>
          <w:lang w:val="en-US"/>
        </w:rPr>
        <w:t>Authorization to act in another State in respect of</w:t>
      </w:r>
      <w:r w:rsidR="005C3D39" w:rsidRPr="00F16465">
        <w:rPr>
          <w:rFonts w:ascii="Arial" w:hAnsi="Arial" w:cs="Arial"/>
          <w:i/>
          <w:iCs/>
          <w:lang w:val="en-US"/>
        </w:rPr>
        <w:t xml:space="preserve"> </w:t>
      </w:r>
      <w:r w:rsidRPr="00F16465">
        <w:rPr>
          <w:rFonts w:ascii="Arial" w:hAnsi="Arial" w:cs="Arial"/>
          <w:i/>
          <w:iCs/>
          <w:lang w:val="en-US"/>
        </w:rPr>
        <w:t>an insolvency-related judgment issued in this State</w:t>
      </w:r>
      <w:r w:rsidR="005C3D39" w:rsidRPr="00F16465">
        <w:rPr>
          <w:rFonts w:ascii="Arial" w:hAnsi="Arial" w:cs="Arial"/>
          <w:i/>
          <w:iCs/>
          <w:lang w:val="en-US"/>
        </w:rPr>
        <w:t xml:space="preserve"> </w:t>
      </w:r>
      <w:r w:rsidRPr="00F16465">
        <w:rPr>
          <w:rFonts w:ascii="Arial" w:hAnsi="Arial" w:cs="Arial"/>
          <w:i/>
          <w:iCs/>
          <w:lang w:val="en-US"/>
        </w:rPr>
        <w:t>A [insert the title of the person or body administering a reorganization or liquidation</w:t>
      </w:r>
      <w:r w:rsidR="005C3D39" w:rsidRPr="00F16465">
        <w:rPr>
          <w:rFonts w:ascii="Arial" w:hAnsi="Arial" w:cs="Arial"/>
          <w:i/>
          <w:iCs/>
          <w:lang w:val="en-US"/>
        </w:rPr>
        <w:t xml:space="preserve"> </w:t>
      </w:r>
      <w:r w:rsidRPr="00F16465">
        <w:rPr>
          <w:rFonts w:ascii="Arial" w:hAnsi="Arial" w:cs="Arial"/>
          <w:i/>
          <w:iCs/>
          <w:lang w:val="en-US"/>
        </w:rPr>
        <w:t>under the law of the enacting State] is authorized to act in another State with respect</w:t>
      </w:r>
      <w:r w:rsidR="005C3D39" w:rsidRPr="00F16465">
        <w:rPr>
          <w:rFonts w:ascii="Arial" w:hAnsi="Arial" w:cs="Arial"/>
          <w:i/>
          <w:iCs/>
          <w:lang w:val="en-US"/>
        </w:rPr>
        <w:t xml:space="preserve"> </w:t>
      </w:r>
      <w:r w:rsidRPr="00F16465">
        <w:rPr>
          <w:rFonts w:ascii="Arial" w:hAnsi="Arial" w:cs="Arial"/>
          <w:i/>
          <w:iCs/>
          <w:lang w:val="en-US"/>
        </w:rPr>
        <w:t>to an insolvency-related judgment issued in this State, as permitted by the applicable foreign law</w:t>
      </w:r>
    </w:p>
    <w:p w14:paraId="153ADB7E" w14:textId="77D9116E" w:rsidR="00E7493B" w:rsidRDefault="0045618D" w:rsidP="00E7493B">
      <w:pPr>
        <w:spacing w:line="360" w:lineRule="auto"/>
        <w:jc w:val="both"/>
        <w:rPr>
          <w:rFonts w:ascii="Arial" w:hAnsi="Arial" w:cs="Arial"/>
          <w:lang w:val="en-US"/>
        </w:rPr>
      </w:pPr>
      <w:r>
        <w:rPr>
          <w:rFonts w:ascii="Arial" w:hAnsi="Arial" w:cs="Arial"/>
          <w:lang w:val="en-US"/>
        </w:rPr>
        <w:t>In the</w:t>
      </w:r>
      <w:r w:rsidR="00E7493B">
        <w:rPr>
          <w:rFonts w:ascii="Arial" w:hAnsi="Arial" w:cs="Arial"/>
          <w:lang w:val="en-US"/>
        </w:rPr>
        <w:t xml:space="preserve"> matter of jurisdiction, MLIJ has a very wide scope, opting for an approach where the matter of jurisdiction </w:t>
      </w:r>
      <w:r>
        <w:rPr>
          <w:rFonts w:ascii="Arial" w:hAnsi="Arial" w:cs="Arial"/>
          <w:lang w:val="en-US"/>
        </w:rPr>
        <w:t xml:space="preserve">should not pose an obstacle to recognition </w:t>
      </w:r>
      <w:r w:rsidR="00E7493B">
        <w:rPr>
          <w:rFonts w:ascii="Arial" w:hAnsi="Arial" w:cs="Arial"/>
          <w:lang w:val="en-US"/>
        </w:rPr>
        <w:t xml:space="preserve">(other than in case it is exclusive in state where recognition is requested). </w:t>
      </w:r>
      <w:r>
        <w:rPr>
          <w:rFonts w:ascii="Arial" w:hAnsi="Arial" w:cs="Arial"/>
          <w:lang w:val="en-US"/>
        </w:rPr>
        <w:t>Rather than delivering rules on “who has” jurisdiction, i</w:t>
      </w:r>
      <w:r w:rsidR="00E7493B">
        <w:rPr>
          <w:rFonts w:ascii="Arial" w:hAnsi="Arial" w:cs="Arial"/>
          <w:lang w:val="en-US"/>
        </w:rPr>
        <w:t xml:space="preserve">t’s provisions on </w:t>
      </w:r>
      <w:r>
        <w:rPr>
          <w:rFonts w:ascii="Arial" w:hAnsi="Arial" w:cs="Arial"/>
          <w:lang w:val="en-US"/>
        </w:rPr>
        <w:t>that topic</w:t>
      </w:r>
      <w:r w:rsidR="00E7493B">
        <w:rPr>
          <w:rFonts w:ascii="Arial" w:hAnsi="Arial" w:cs="Arial"/>
          <w:lang w:val="en-US"/>
        </w:rPr>
        <w:t xml:space="preserve"> are </w:t>
      </w:r>
      <w:r>
        <w:rPr>
          <w:rFonts w:ascii="Arial" w:hAnsi="Arial" w:cs="Arial"/>
          <w:lang w:val="en-US"/>
        </w:rPr>
        <w:t>proscribed as</w:t>
      </w:r>
      <w:r w:rsidR="00E7493B">
        <w:rPr>
          <w:rFonts w:ascii="Arial" w:hAnsi="Arial" w:cs="Arial"/>
          <w:lang w:val="en-US"/>
        </w:rPr>
        <w:t xml:space="preserve"> </w:t>
      </w:r>
      <w:r>
        <w:rPr>
          <w:rFonts w:ascii="Arial" w:hAnsi="Arial" w:cs="Arial"/>
          <w:lang w:val="en-US"/>
        </w:rPr>
        <w:t>“</w:t>
      </w:r>
      <w:r w:rsidR="00E7493B">
        <w:rPr>
          <w:rFonts w:ascii="Arial" w:hAnsi="Arial" w:cs="Arial"/>
          <w:lang w:val="en-US"/>
        </w:rPr>
        <w:t>reasons for refusal</w:t>
      </w:r>
      <w:r>
        <w:rPr>
          <w:rFonts w:ascii="Arial" w:hAnsi="Arial" w:cs="Arial"/>
          <w:lang w:val="en-US"/>
        </w:rPr>
        <w:t>”</w:t>
      </w:r>
      <w:r w:rsidR="00E7493B">
        <w:rPr>
          <w:rFonts w:ascii="Arial" w:hAnsi="Arial" w:cs="Arial"/>
          <w:lang w:val="en-US"/>
        </w:rPr>
        <w:t xml:space="preserve"> of recognition and enforcement.</w:t>
      </w:r>
    </w:p>
    <w:p w14:paraId="5D7EB394" w14:textId="77777777" w:rsidR="00A51586" w:rsidRDefault="00A51586" w:rsidP="00E7493B">
      <w:pPr>
        <w:spacing w:line="360" w:lineRule="auto"/>
        <w:jc w:val="both"/>
        <w:rPr>
          <w:rFonts w:ascii="Arial" w:hAnsi="Arial" w:cs="Arial"/>
          <w:lang w:val="en-US"/>
        </w:rPr>
      </w:pPr>
    </w:p>
    <w:p w14:paraId="410E9B0A" w14:textId="231F509D" w:rsidR="0003664F" w:rsidRDefault="0003664F" w:rsidP="00D51A83">
      <w:pPr>
        <w:spacing w:line="360" w:lineRule="auto"/>
        <w:jc w:val="both"/>
        <w:rPr>
          <w:rFonts w:ascii="Arial" w:hAnsi="Arial" w:cs="Arial"/>
          <w:b/>
          <w:bCs/>
          <w:lang w:val="en-US"/>
        </w:rPr>
      </w:pPr>
      <w:r w:rsidRPr="0003664F">
        <w:rPr>
          <w:rFonts w:ascii="Arial" w:hAnsi="Arial" w:cs="Arial"/>
          <w:b/>
          <w:bCs/>
          <w:lang w:val="en-US"/>
        </w:rPr>
        <w:t>Analysis and comparison</w:t>
      </w:r>
      <w:r w:rsidR="00FC3639" w:rsidRPr="00FC3639">
        <w:rPr>
          <w:rFonts w:ascii="Arial" w:hAnsi="Arial" w:cs="Arial"/>
          <w:b/>
          <w:bCs/>
          <w:lang w:val="en-US"/>
        </w:rPr>
        <w:t xml:space="preserve"> </w:t>
      </w:r>
    </w:p>
    <w:p w14:paraId="4D035EAD" w14:textId="78B05ED9" w:rsidR="00A50CBE" w:rsidRDefault="00A50CBE" w:rsidP="00D51A83">
      <w:pPr>
        <w:spacing w:line="360" w:lineRule="auto"/>
        <w:jc w:val="both"/>
        <w:rPr>
          <w:rFonts w:ascii="Arial" w:hAnsi="Arial" w:cs="Arial"/>
          <w:lang w:val="en-US"/>
        </w:rPr>
      </w:pPr>
      <w:r>
        <w:rPr>
          <w:rFonts w:ascii="Arial" w:hAnsi="Arial" w:cs="Arial"/>
          <w:lang w:val="en-US"/>
        </w:rPr>
        <w:t xml:space="preserve">As we can see from the provisions, </w:t>
      </w:r>
      <w:r w:rsidR="007D7054">
        <w:rPr>
          <w:rFonts w:ascii="Arial" w:hAnsi="Arial" w:cs="Arial"/>
          <w:lang w:val="en-US"/>
        </w:rPr>
        <w:t>th</w:t>
      </w:r>
      <w:r w:rsidR="00B279EB">
        <w:rPr>
          <w:rFonts w:ascii="Arial" w:hAnsi="Arial" w:cs="Arial"/>
          <w:lang w:val="en-US"/>
        </w:rPr>
        <w:t xml:space="preserve">e procedure of recognition of insolvency related judgements </w:t>
      </w:r>
      <w:r w:rsidR="007D7054">
        <w:rPr>
          <w:rFonts w:ascii="Arial" w:hAnsi="Arial" w:cs="Arial"/>
          <w:lang w:val="en-US"/>
        </w:rPr>
        <w:t xml:space="preserve">as per EIR Recast </w:t>
      </w:r>
      <w:r w:rsidR="00B279EB">
        <w:rPr>
          <w:rFonts w:ascii="Arial" w:hAnsi="Arial" w:cs="Arial"/>
          <w:lang w:val="en-US"/>
        </w:rPr>
        <w:t>is intended to be the same as for decisions on opening the proceedings. If there is doubt it points to Bruxelles I Recast.</w:t>
      </w:r>
    </w:p>
    <w:p w14:paraId="2C546787" w14:textId="77777777" w:rsidR="00B279EB" w:rsidRDefault="00B279EB" w:rsidP="00D51A83">
      <w:pPr>
        <w:spacing w:line="360" w:lineRule="auto"/>
        <w:jc w:val="both"/>
        <w:rPr>
          <w:rFonts w:ascii="Arial" w:hAnsi="Arial" w:cs="Arial"/>
          <w:lang w:val="en-US"/>
        </w:rPr>
      </w:pPr>
      <w:r>
        <w:rPr>
          <w:rFonts w:ascii="Arial" w:hAnsi="Arial" w:cs="Arial"/>
          <w:lang w:val="en-US"/>
        </w:rPr>
        <w:t>EIR, Article 3 states</w:t>
      </w:r>
    </w:p>
    <w:p w14:paraId="5BD3626B" w14:textId="78790EDB" w:rsidR="00B279EB" w:rsidRDefault="00B279EB" w:rsidP="00D51A83">
      <w:pPr>
        <w:spacing w:line="360" w:lineRule="auto"/>
        <w:jc w:val="both"/>
        <w:rPr>
          <w:rFonts w:ascii="Arial" w:hAnsi="Arial" w:cs="Arial"/>
          <w:lang w:val="en-US"/>
        </w:rPr>
      </w:pPr>
      <w:r w:rsidRPr="00B279EB">
        <w:rPr>
          <w:rFonts w:ascii="Arial" w:hAnsi="Arial" w:cs="Arial"/>
          <w:i/>
          <w:iCs/>
          <w:lang w:val="en-US"/>
        </w:rPr>
        <w:t>“The courts of the Member State within the territory of which the centre of the debtor's main interests is situated shall have jurisdiction to open insolvency proceedings (‘main insolvency proceedings’). The centre of main interests shall be the place where the debtor conducts the administration of its interests on a regular basis and which is ascertainable by third parties</w:t>
      </w:r>
      <w:r>
        <w:rPr>
          <w:rFonts w:ascii="Arial" w:hAnsi="Arial" w:cs="Arial"/>
          <w:lang w:val="en-US"/>
        </w:rPr>
        <w:t>.</w:t>
      </w:r>
      <w:r w:rsidR="00E353D9">
        <w:rPr>
          <w:rFonts w:ascii="Arial" w:hAnsi="Arial" w:cs="Arial"/>
          <w:lang w:val="en-US"/>
        </w:rPr>
        <w:t>”</w:t>
      </w:r>
    </w:p>
    <w:p w14:paraId="3FACB4DD" w14:textId="3DFEBF02" w:rsidR="00B279EB" w:rsidRDefault="00B279EB" w:rsidP="00D51A83">
      <w:pPr>
        <w:spacing w:line="360" w:lineRule="auto"/>
        <w:jc w:val="both"/>
        <w:rPr>
          <w:rFonts w:ascii="Arial" w:hAnsi="Arial" w:cs="Arial"/>
          <w:lang w:val="en-US"/>
        </w:rPr>
      </w:pPr>
      <w:r>
        <w:rPr>
          <w:rFonts w:ascii="Arial" w:hAnsi="Arial" w:cs="Arial"/>
          <w:lang w:val="en-US"/>
        </w:rPr>
        <w:t xml:space="preserve">In respect to that, as the provisions related to jurisdiction of court delivering insolvency related judgement are in line with jurisdiction related to opening of procedure are presumed to be already “settled” in advance so there should not be (at least in matters of </w:t>
      </w:r>
      <w:r w:rsidRPr="00CC7170">
        <w:rPr>
          <w:rFonts w:ascii="Arial" w:hAnsi="Arial" w:cs="Arial"/>
          <w:i/>
          <w:iCs/>
          <w:lang w:val="en-US"/>
        </w:rPr>
        <w:t>intra</w:t>
      </w:r>
      <w:r>
        <w:rPr>
          <w:rFonts w:ascii="Arial" w:hAnsi="Arial" w:cs="Arial"/>
          <w:lang w:val="en-US"/>
        </w:rPr>
        <w:t xml:space="preserve"> EU proceedings) any question whether or not the court that delivered the judgement considered its jurisdiction before going further into process. The same goes for provisional and protective measures.</w:t>
      </w:r>
    </w:p>
    <w:p w14:paraId="3876FB7A" w14:textId="6647D3CC" w:rsidR="00A50CBE" w:rsidRDefault="00E7493B" w:rsidP="00D51A83">
      <w:pPr>
        <w:spacing w:line="360" w:lineRule="auto"/>
        <w:jc w:val="both"/>
        <w:rPr>
          <w:rFonts w:ascii="Arial" w:hAnsi="Arial" w:cs="Arial"/>
          <w:lang w:val="en-US"/>
        </w:rPr>
      </w:pPr>
      <w:r>
        <w:rPr>
          <w:rFonts w:ascii="Arial" w:hAnsi="Arial" w:cs="Arial"/>
          <w:lang w:val="en-US"/>
        </w:rPr>
        <w:t>Recognition and enforcement of insolvency related judgements for purposes of MLIJ is not connected to matters of main proceedings/COMI as per MLCBI terminology</w:t>
      </w:r>
      <w:r w:rsidR="00CC7170">
        <w:rPr>
          <w:rFonts w:ascii="Arial" w:hAnsi="Arial" w:cs="Arial"/>
          <w:lang w:val="en-US"/>
        </w:rPr>
        <w:t xml:space="preserve">. This approach is in line with it’s intention of being “flexible” and providing for </w:t>
      </w:r>
      <w:r w:rsidR="00C8509C">
        <w:rPr>
          <w:rFonts w:ascii="Arial" w:hAnsi="Arial" w:cs="Arial"/>
          <w:lang w:val="en-US"/>
        </w:rPr>
        <w:t>a “solution” that is not limiting. Since every scenario in international insolvency cases cannot be foreseen, and there is no way possible judgements/decisions laid down by different state bodies can be listed, this approach seems best suited for achieving the goals stated in it’s Preamble.</w:t>
      </w:r>
    </w:p>
    <w:p w14:paraId="1F7D2BFD" w14:textId="0A3848B0" w:rsidR="00FC3639" w:rsidRDefault="00FC3639" w:rsidP="00D51A83">
      <w:pPr>
        <w:spacing w:line="360" w:lineRule="auto"/>
        <w:jc w:val="both"/>
        <w:rPr>
          <w:rFonts w:ascii="Arial" w:hAnsi="Arial" w:cs="Arial"/>
          <w:lang w:val="en-US"/>
        </w:rPr>
      </w:pPr>
      <w:r>
        <w:rPr>
          <w:rFonts w:ascii="Arial" w:hAnsi="Arial" w:cs="Arial"/>
          <w:lang w:val="en-US"/>
        </w:rPr>
        <w:t xml:space="preserve">As is with almost all legal text that cover any matter on international level, matter of public policy comes immediately into </w:t>
      </w:r>
      <w:r w:rsidR="00C8509C">
        <w:rPr>
          <w:rFonts w:ascii="Arial" w:hAnsi="Arial" w:cs="Arial"/>
          <w:lang w:val="en-US"/>
        </w:rPr>
        <w:t>discussion as a ground for refusal of recognition</w:t>
      </w:r>
      <w:r>
        <w:rPr>
          <w:rFonts w:ascii="Arial" w:hAnsi="Arial" w:cs="Arial"/>
          <w:lang w:val="en-US"/>
        </w:rPr>
        <w:t xml:space="preserve">. So is with </w:t>
      </w:r>
      <w:r>
        <w:rPr>
          <w:rFonts w:ascii="Arial" w:hAnsi="Arial" w:cs="Arial"/>
          <w:lang w:val="en-US"/>
        </w:rPr>
        <w:lastRenderedPageBreak/>
        <w:t xml:space="preserve">these two texts. In both of them, in case that foreign judgement/decision is contradictory to the public policy of the state in which recognition is </w:t>
      </w:r>
      <w:r w:rsidR="00C8509C">
        <w:rPr>
          <w:rFonts w:ascii="Arial" w:hAnsi="Arial" w:cs="Arial"/>
          <w:lang w:val="en-US"/>
        </w:rPr>
        <w:t>requested it is stated a one of grounds for refusal of recognition.</w:t>
      </w:r>
    </w:p>
    <w:p w14:paraId="1E55C7A4" w14:textId="5B8841A8" w:rsidR="00FC3639" w:rsidRDefault="00FC3639" w:rsidP="00D51A83">
      <w:pPr>
        <w:spacing w:line="360" w:lineRule="auto"/>
        <w:jc w:val="both"/>
        <w:rPr>
          <w:rFonts w:ascii="Arial" w:hAnsi="Arial" w:cs="Arial"/>
          <w:lang w:val="en-US"/>
        </w:rPr>
      </w:pPr>
      <w:r>
        <w:rPr>
          <w:rFonts w:ascii="Arial" w:hAnsi="Arial" w:cs="Arial"/>
          <w:lang w:val="en-US"/>
        </w:rPr>
        <w:t xml:space="preserve">Other grounds for refusal are presented below </w:t>
      </w:r>
      <w:r w:rsidR="004073A0">
        <w:rPr>
          <w:rFonts w:ascii="Arial" w:hAnsi="Arial" w:cs="Arial"/>
          <w:lang w:val="en-US"/>
        </w:rPr>
        <w:t xml:space="preserve">in short </w:t>
      </w:r>
      <w:r>
        <w:rPr>
          <w:rFonts w:ascii="Arial" w:hAnsi="Arial" w:cs="Arial"/>
          <w:lang w:val="en-US"/>
        </w:rPr>
        <w:t xml:space="preserve">in a form of table </w:t>
      </w:r>
      <w:r w:rsidR="00E34A5F">
        <w:rPr>
          <w:rFonts w:ascii="Arial" w:hAnsi="Arial" w:cs="Arial"/>
          <w:lang w:val="en-US"/>
        </w:rPr>
        <w:t>described in general, not stated verbatim</w:t>
      </w:r>
      <w:r w:rsidR="00C54015">
        <w:rPr>
          <w:rFonts w:ascii="Arial" w:hAnsi="Arial" w:cs="Arial"/>
          <w:lang w:val="en-US"/>
        </w:rPr>
        <w:t>. Since provisions of EIR Recast state that judgements are to be recognized automatically (with public policy exception), provisions of Bruxelles I Recast are put in relation to MLIJ.</w:t>
      </w:r>
    </w:p>
    <w:p w14:paraId="333B9CE8" w14:textId="77777777" w:rsidR="003C5575" w:rsidRPr="00027BF4" w:rsidRDefault="003C5575" w:rsidP="003C5575">
      <w:pPr>
        <w:spacing w:line="360" w:lineRule="auto"/>
        <w:jc w:val="both"/>
        <w:rPr>
          <w:rFonts w:ascii="Arial" w:hAnsi="Arial" w:cs="Arial"/>
          <w:u w:val="single"/>
          <w:lang w:val="en-US"/>
        </w:rPr>
      </w:pPr>
      <w:r w:rsidRPr="00027BF4">
        <w:rPr>
          <w:rFonts w:ascii="Arial" w:hAnsi="Arial" w:cs="Arial"/>
          <w:u w:val="single"/>
          <w:lang w:val="en-US"/>
        </w:rPr>
        <w:t>Grounds for refusal of recognition</w:t>
      </w:r>
    </w:p>
    <w:tbl>
      <w:tblPr>
        <w:tblStyle w:val="Reetkatablice"/>
        <w:tblW w:w="0" w:type="auto"/>
        <w:tblLook w:val="04A0" w:firstRow="1" w:lastRow="0" w:firstColumn="1" w:lastColumn="0" w:noHBand="0" w:noVBand="1"/>
      </w:tblPr>
      <w:tblGrid>
        <w:gridCol w:w="4531"/>
        <w:gridCol w:w="4531"/>
      </w:tblGrid>
      <w:tr w:rsidR="004073A0" w14:paraId="0067813F" w14:textId="77777777" w:rsidTr="004073A0">
        <w:tc>
          <w:tcPr>
            <w:tcW w:w="4531" w:type="dxa"/>
          </w:tcPr>
          <w:p w14:paraId="351CC06F" w14:textId="4628655A" w:rsidR="004073A0" w:rsidRDefault="004073A0" w:rsidP="00D51A83">
            <w:pPr>
              <w:spacing w:line="360" w:lineRule="auto"/>
              <w:jc w:val="both"/>
              <w:rPr>
                <w:rFonts w:ascii="Arial" w:hAnsi="Arial" w:cs="Arial"/>
                <w:lang w:val="en-US"/>
              </w:rPr>
            </w:pPr>
            <w:r>
              <w:rPr>
                <w:rFonts w:ascii="Arial" w:hAnsi="Arial" w:cs="Arial"/>
                <w:lang w:val="en-US"/>
              </w:rPr>
              <w:t>Bruxelles I Recast</w:t>
            </w:r>
            <w:r w:rsidR="00E34A5F">
              <w:rPr>
                <w:rFonts w:ascii="Arial" w:hAnsi="Arial" w:cs="Arial"/>
                <w:lang w:val="en-US"/>
              </w:rPr>
              <w:t xml:space="preserve"> (Article 45)</w:t>
            </w:r>
          </w:p>
        </w:tc>
        <w:tc>
          <w:tcPr>
            <w:tcW w:w="4531" w:type="dxa"/>
          </w:tcPr>
          <w:p w14:paraId="2B0F2E14" w14:textId="1F721FD4" w:rsidR="004073A0" w:rsidRDefault="004073A0" w:rsidP="00D51A83">
            <w:pPr>
              <w:spacing w:line="360" w:lineRule="auto"/>
              <w:jc w:val="both"/>
              <w:rPr>
                <w:rFonts w:ascii="Arial" w:hAnsi="Arial" w:cs="Arial"/>
                <w:lang w:val="en-US"/>
              </w:rPr>
            </w:pPr>
            <w:r>
              <w:rPr>
                <w:rFonts w:ascii="Arial" w:hAnsi="Arial" w:cs="Arial"/>
                <w:lang w:val="en-US"/>
              </w:rPr>
              <w:t>MLIJ</w:t>
            </w:r>
            <w:r w:rsidR="00E34A5F">
              <w:rPr>
                <w:rFonts w:ascii="Arial" w:hAnsi="Arial" w:cs="Arial"/>
                <w:lang w:val="en-US"/>
              </w:rPr>
              <w:t xml:space="preserve"> (article 14)</w:t>
            </w:r>
          </w:p>
        </w:tc>
      </w:tr>
      <w:tr w:rsidR="004073A0" w14:paraId="151B3801" w14:textId="77777777" w:rsidTr="004073A0">
        <w:tc>
          <w:tcPr>
            <w:tcW w:w="4531" w:type="dxa"/>
          </w:tcPr>
          <w:p w14:paraId="1DD60868" w14:textId="47623E77" w:rsidR="004073A0" w:rsidRDefault="00E34A5F" w:rsidP="00D51A83">
            <w:pPr>
              <w:spacing w:line="360" w:lineRule="auto"/>
              <w:jc w:val="both"/>
              <w:rPr>
                <w:rFonts w:ascii="Arial" w:hAnsi="Arial" w:cs="Arial"/>
                <w:lang w:val="en-US"/>
              </w:rPr>
            </w:pPr>
            <w:r>
              <w:rPr>
                <w:rFonts w:ascii="Arial" w:hAnsi="Arial" w:cs="Arial"/>
                <w:lang w:val="en-US"/>
              </w:rPr>
              <w:t>Insufficient notification of party against whom the judgement was issued</w:t>
            </w:r>
            <w:r w:rsidR="00474DB7">
              <w:rPr>
                <w:rFonts w:ascii="Arial" w:hAnsi="Arial" w:cs="Arial"/>
                <w:lang w:val="en-US"/>
              </w:rPr>
              <w:t xml:space="preserve"> (to enable  arrangement of </w:t>
            </w:r>
            <w:r w:rsidR="00E353D9">
              <w:rPr>
                <w:rFonts w:ascii="Arial" w:hAnsi="Arial" w:cs="Arial"/>
                <w:lang w:val="en-US"/>
              </w:rPr>
              <w:t>defense</w:t>
            </w:r>
            <w:r w:rsidR="00474DB7">
              <w:rPr>
                <w:rFonts w:ascii="Arial" w:hAnsi="Arial" w:cs="Arial"/>
                <w:lang w:val="en-US"/>
              </w:rPr>
              <w:t>)</w:t>
            </w:r>
          </w:p>
        </w:tc>
        <w:tc>
          <w:tcPr>
            <w:tcW w:w="4531" w:type="dxa"/>
          </w:tcPr>
          <w:p w14:paraId="370D524D" w14:textId="11064D6F" w:rsidR="004073A0" w:rsidRDefault="0053368D" w:rsidP="00D51A83">
            <w:pPr>
              <w:spacing w:line="360" w:lineRule="auto"/>
              <w:jc w:val="both"/>
              <w:rPr>
                <w:rFonts w:ascii="Arial" w:hAnsi="Arial" w:cs="Arial"/>
                <w:lang w:val="en-US"/>
              </w:rPr>
            </w:pPr>
            <w:r>
              <w:rPr>
                <w:rFonts w:ascii="Arial" w:hAnsi="Arial" w:cs="Arial"/>
                <w:lang w:val="en-US"/>
              </w:rPr>
              <w:t>Insufficient notification</w:t>
            </w:r>
            <w:r w:rsidR="00B2452C">
              <w:rPr>
                <w:rFonts w:ascii="Arial" w:hAnsi="Arial" w:cs="Arial"/>
                <w:lang w:val="en-US"/>
              </w:rPr>
              <w:t xml:space="preserve"> of party against whom the judgement was issued</w:t>
            </w:r>
            <w:r w:rsidR="00474DB7">
              <w:rPr>
                <w:rFonts w:ascii="Arial" w:hAnsi="Arial" w:cs="Arial"/>
                <w:lang w:val="en-US"/>
              </w:rPr>
              <w:t xml:space="preserve"> (to enable  arrangement of </w:t>
            </w:r>
            <w:r w:rsidR="00E353D9">
              <w:rPr>
                <w:rFonts w:ascii="Arial" w:hAnsi="Arial" w:cs="Arial"/>
                <w:lang w:val="en-US"/>
              </w:rPr>
              <w:t>defense</w:t>
            </w:r>
            <w:r w:rsidR="00474DB7">
              <w:rPr>
                <w:rFonts w:ascii="Arial" w:hAnsi="Arial" w:cs="Arial"/>
                <w:lang w:val="en-US"/>
              </w:rPr>
              <w:t>)</w:t>
            </w:r>
          </w:p>
        </w:tc>
      </w:tr>
      <w:tr w:rsidR="009B158A" w14:paraId="56E4744C" w14:textId="77777777" w:rsidTr="004073A0">
        <w:tc>
          <w:tcPr>
            <w:tcW w:w="4531" w:type="dxa"/>
          </w:tcPr>
          <w:p w14:paraId="10A7BCC1" w14:textId="11FF9A3B" w:rsidR="009B158A" w:rsidRDefault="00696130" w:rsidP="00D51A83">
            <w:pPr>
              <w:spacing w:line="360" w:lineRule="auto"/>
              <w:jc w:val="both"/>
              <w:rPr>
                <w:rFonts w:ascii="Arial" w:hAnsi="Arial" w:cs="Arial"/>
                <w:lang w:val="en-US"/>
              </w:rPr>
            </w:pPr>
            <w:r>
              <w:rPr>
                <w:rFonts w:ascii="Arial" w:hAnsi="Arial" w:cs="Arial"/>
                <w:lang w:val="en-US"/>
              </w:rPr>
              <w:t>The court of originating state exercises jurisdiction upon explicit consent or no objection of party against whom judgment was issued</w:t>
            </w:r>
          </w:p>
        </w:tc>
        <w:tc>
          <w:tcPr>
            <w:tcW w:w="4531" w:type="dxa"/>
          </w:tcPr>
          <w:p w14:paraId="0E00FC87" w14:textId="325D30D5" w:rsidR="009B158A" w:rsidRDefault="00696130" w:rsidP="00D51A83">
            <w:pPr>
              <w:spacing w:line="360" w:lineRule="auto"/>
              <w:jc w:val="both"/>
              <w:rPr>
                <w:rFonts w:ascii="Arial" w:hAnsi="Arial" w:cs="Arial"/>
                <w:lang w:val="en-US"/>
              </w:rPr>
            </w:pPr>
            <w:r>
              <w:rPr>
                <w:rFonts w:ascii="Arial" w:hAnsi="Arial" w:cs="Arial"/>
                <w:lang w:val="en-US"/>
              </w:rPr>
              <w:t>The court of originating state exercises jurisdiction upon explicit consent or no objection of party against whom judgment was issued</w:t>
            </w:r>
          </w:p>
        </w:tc>
      </w:tr>
      <w:tr w:rsidR="009B158A" w14:paraId="2E3C875F" w14:textId="77777777" w:rsidTr="004073A0">
        <w:tc>
          <w:tcPr>
            <w:tcW w:w="4531" w:type="dxa"/>
          </w:tcPr>
          <w:p w14:paraId="154E7CBA" w14:textId="09D4A31A" w:rsidR="009B158A" w:rsidRDefault="00696130" w:rsidP="00D51A83">
            <w:pPr>
              <w:spacing w:line="360" w:lineRule="auto"/>
              <w:jc w:val="both"/>
              <w:rPr>
                <w:rFonts w:ascii="Arial" w:hAnsi="Arial" w:cs="Arial"/>
                <w:lang w:val="en-US"/>
              </w:rPr>
            </w:pPr>
            <w:r>
              <w:rPr>
                <w:rFonts w:ascii="Arial" w:hAnsi="Arial" w:cs="Arial"/>
                <w:lang w:val="en-US"/>
              </w:rPr>
              <w:t>The court in state where recognition is requested should have had exclusive jurisdiction</w:t>
            </w:r>
          </w:p>
        </w:tc>
        <w:tc>
          <w:tcPr>
            <w:tcW w:w="4531" w:type="dxa"/>
          </w:tcPr>
          <w:p w14:paraId="7F139B5F" w14:textId="2EC7F4A4" w:rsidR="009B158A" w:rsidRDefault="009B158A" w:rsidP="00D51A83">
            <w:pPr>
              <w:spacing w:line="360" w:lineRule="auto"/>
              <w:jc w:val="both"/>
              <w:rPr>
                <w:rFonts w:ascii="Arial" w:hAnsi="Arial" w:cs="Arial"/>
                <w:lang w:val="en-US"/>
              </w:rPr>
            </w:pPr>
            <w:r>
              <w:rPr>
                <w:rFonts w:ascii="Arial" w:hAnsi="Arial" w:cs="Arial"/>
                <w:lang w:val="en-US"/>
              </w:rPr>
              <w:t>The court in state where recognition is requested should have had exclusive jurisdiction</w:t>
            </w:r>
          </w:p>
        </w:tc>
      </w:tr>
      <w:tr w:rsidR="00B2452C" w14:paraId="0DB38735" w14:textId="77777777" w:rsidTr="004073A0">
        <w:tc>
          <w:tcPr>
            <w:tcW w:w="4531" w:type="dxa"/>
          </w:tcPr>
          <w:p w14:paraId="003F7C60" w14:textId="1F016A21" w:rsidR="00B2452C" w:rsidRDefault="00696130" w:rsidP="00D51A83">
            <w:pPr>
              <w:spacing w:line="360" w:lineRule="auto"/>
              <w:jc w:val="both"/>
              <w:rPr>
                <w:rFonts w:ascii="Arial" w:hAnsi="Arial" w:cs="Arial"/>
                <w:lang w:val="en-US"/>
              </w:rPr>
            </w:pPr>
            <w:r>
              <w:rPr>
                <w:rFonts w:ascii="Arial" w:hAnsi="Arial" w:cs="Arial"/>
                <w:lang w:val="en-US"/>
              </w:rPr>
              <w:t xml:space="preserve">Judgement incompatible with other judgements between same parties </w:t>
            </w:r>
          </w:p>
        </w:tc>
        <w:tc>
          <w:tcPr>
            <w:tcW w:w="4531" w:type="dxa"/>
          </w:tcPr>
          <w:p w14:paraId="1E932307" w14:textId="3B56BEF1" w:rsidR="00B2452C" w:rsidRDefault="00B2452C" w:rsidP="00D51A83">
            <w:pPr>
              <w:spacing w:line="360" w:lineRule="auto"/>
              <w:jc w:val="both"/>
              <w:rPr>
                <w:rFonts w:ascii="Arial" w:hAnsi="Arial" w:cs="Arial"/>
                <w:lang w:val="en-US"/>
              </w:rPr>
            </w:pPr>
            <w:r>
              <w:rPr>
                <w:rFonts w:ascii="Arial" w:hAnsi="Arial" w:cs="Arial"/>
                <w:lang w:val="en-US"/>
              </w:rPr>
              <w:t>Judgement incompatible with other judgements between same parties</w:t>
            </w:r>
          </w:p>
        </w:tc>
      </w:tr>
      <w:tr w:rsidR="009B158A" w14:paraId="75542C4D" w14:textId="77777777" w:rsidTr="004073A0">
        <w:tc>
          <w:tcPr>
            <w:tcW w:w="4531" w:type="dxa"/>
          </w:tcPr>
          <w:p w14:paraId="632204BA" w14:textId="77777777" w:rsidR="009B158A" w:rsidRDefault="009B158A" w:rsidP="00D51A83">
            <w:pPr>
              <w:spacing w:line="360" w:lineRule="auto"/>
              <w:jc w:val="both"/>
              <w:rPr>
                <w:rFonts w:ascii="Arial" w:hAnsi="Arial" w:cs="Arial"/>
                <w:lang w:val="en-US"/>
              </w:rPr>
            </w:pPr>
          </w:p>
        </w:tc>
        <w:tc>
          <w:tcPr>
            <w:tcW w:w="4531" w:type="dxa"/>
          </w:tcPr>
          <w:p w14:paraId="2B1C3CC5" w14:textId="32A5B7AB" w:rsidR="009B158A" w:rsidRDefault="009B158A" w:rsidP="00D51A83">
            <w:pPr>
              <w:spacing w:line="360" w:lineRule="auto"/>
              <w:jc w:val="both"/>
              <w:rPr>
                <w:rFonts w:ascii="Arial" w:hAnsi="Arial" w:cs="Arial"/>
                <w:lang w:val="en-US"/>
              </w:rPr>
            </w:pPr>
            <w:r w:rsidRPr="009B158A">
              <w:rPr>
                <w:rFonts w:ascii="Arial" w:hAnsi="Arial" w:cs="Arial"/>
                <w:lang w:val="en-US"/>
              </w:rPr>
              <w:t xml:space="preserve">The interests of creditors and other </w:t>
            </w:r>
            <w:r>
              <w:rPr>
                <w:rFonts w:ascii="Arial" w:hAnsi="Arial" w:cs="Arial"/>
                <w:lang w:val="en-US"/>
              </w:rPr>
              <w:t>i</w:t>
            </w:r>
            <w:r w:rsidRPr="009B158A">
              <w:rPr>
                <w:rFonts w:ascii="Arial" w:hAnsi="Arial" w:cs="Arial"/>
                <w:lang w:val="en-US"/>
              </w:rPr>
              <w:t>nterested persons, including the</w:t>
            </w:r>
            <w:r>
              <w:rPr>
                <w:rFonts w:ascii="Arial" w:hAnsi="Arial" w:cs="Arial"/>
                <w:lang w:val="en-US"/>
              </w:rPr>
              <w:t xml:space="preserve"> </w:t>
            </w:r>
            <w:r w:rsidRPr="009B158A">
              <w:rPr>
                <w:rFonts w:ascii="Arial" w:hAnsi="Arial" w:cs="Arial"/>
                <w:lang w:val="en-US"/>
              </w:rPr>
              <w:t>debtor, were not adequately protected in the proceeding in which</w:t>
            </w:r>
            <w:r>
              <w:rPr>
                <w:rFonts w:ascii="Arial" w:hAnsi="Arial" w:cs="Arial"/>
                <w:lang w:val="en-US"/>
              </w:rPr>
              <w:t xml:space="preserve"> </w:t>
            </w:r>
            <w:r w:rsidRPr="009B158A">
              <w:rPr>
                <w:rFonts w:ascii="Arial" w:hAnsi="Arial" w:cs="Arial"/>
                <w:lang w:val="en-US"/>
              </w:rPr>
              <w:t>the judgment was issued</w:t>
            </w:r>
          </w:p>
        </w:tc>
      </w:tr>
      <w:tr w:rsidR="00474DB7" w14:paraId="6A894556" w14:textId="77777777" w:rsidTr="004073A0">
        <w:tc>
          <w:tcPr>
            <w:tcW w:w="4531" w:type="dxa"/>
          </w:tcPr>
          <w:p w14:paraId="6EF40424" w14:textId="77777777" w:rsidR="00474DB7" w:rsidRDefault="00474DB7" w:rsidP="00D51A83">
            <w:pPr>
              <w:spacing w:line="360" w:lineRule="auto"/>
              <w:jc w:val="both"/>
              <w:rPr>
                <w:rFonts w:ascii="Arial" w:hAnsi="Arial" w:cs="Arial"/>
                <w:lang w:val="en-US"/>
              </w:rPr>
            </w:pPr>
          </w:p>
        </w:tc>
        <w:tc>
          <w:tcPr>
            <w:tcW w:w="4531" w:type="dxa"/>
          </w:tcPr>
          <w:p w14:paraId="224FCD72" w14:textId="5B6AA619" w:rsidR="00474DB7" w:rsidRPr="009B158A" w:rsidRDefault="00474DB7" w:rsidP="00D51A83">
            <w:pPr>
              <w:spacing w:line="360" w:lineRule="auto"/>
              <w:jc w:val="both"/>
              <w:rPr>
                <w:rFonts w:ascii="Arial" w:hAnsi="Arial" w:cs="Arial"/>
                <w:lang w:val="en-US"/>
              </w:rPr>
            </w:pPr>
            <w:r>
              <w:rPr>
                <w:rFonts w:ascii="Arial" w:hAnsi="Arial" w:cs="Arial"/>
                <w:lang w:val="en-US"/>
              </w:rPr>
              <w:t>Recognition would interfere with administration of debtors estate, rights and interests of creditors</w:t>
            </w:r>
          </w:p>
        </w:tc>
      </w:tr>
      <w:tr w:rsidR="009B158A" w14:paraId="2CB115B7" w14:textId="77777777" w:rsidTr="004073A0">
        <w:tc>
          <w:tcPr>
            <w:tcW w:w="4531" w:type="dxa"/>
          </w:tcPr>
          <w:p w14:paraId="7B9DAF65" w14:textId="77777777" w:rsidR="009B158A" w:rsidRDefault="009B158A" w:rsidP="00D51A83">
            <w:pPr>
              <w:spacing w:line="360" w:lineRule="auto"/>
              <w:jc w:val="both"/>
              <w:rPr>
                <w:rFonts w:ascii="Arial" w:hAnsi="Arial" w:cs="Arial"/>
                <w:lang w:val="en-US"/>
              </w:rPr>
            </w:pPr>
          </w:p>
        </w:tc>
        <w:tc>
          <w:tcPr>
            <w:tcW w:w="4531" w:type="dxa"/>
          </w:tcPr>
          <w:p w14:paraId="6B5EBE22" w14:textId="2572F4DC" w:rsidR="009B158A" w:rsidRDefault="00474DB7" w:rsidP="00D51A83">
            <w:pPr>
              <w:spacing w:line="360" w:lineRule="auto"/>
              <w:jc w:val="both"/>
              <w:rPr>
                <w:rFonts w:ascii="Arial" w:hAnsi="Arial" w:cs="Arial"/>
                <w:lang w:val="en-US"/>
              </w:rPr>
            </w:pPr>
            <w:r>
              <w:rPr>
                <w:rFonts w:ascii="Arial" w:hAnsi="Arial" w:cs="Arial"/>
                <w:lang w:val="en-US"/>
              </w:rPr>
              <w:t>Judgement obtained by fraud</w:t>
            </w:r>
          </w:p>
        </w:tc>
      </w:tr>
    </w:tbl>
    <w:p w14:paraId="2230C8F2" w14:textId="7CCE08EF" w:rsidR="00867177" w:rsidRDefault="00867177" w:rsidP="00D51A83">
      <w:pPr>
        <w:spacing w:line="360" w:lineRule="auto"/>
        <w:jc w:val="both"/>
        <w:rPr>
          <w:rFonts w:ascii="Arial" w:hAnsi="Arial" w:cs="Arial"/>
          <w:lang w:val="en-US"/>
        </w:rPr>
      </w:pPr>
    </w:p>
    <w:p w14:paraId="11C2AEC6" w14:textId="5E3AEFE3" w:rsidR="002447B7" w:rsidRDefault="00E34A5F" w:rsidP="00D51A83">
      <w:pPr>
        <w:spacing w:line="360" w:lineRule="auto"/>
        <w:jc w:val="both"/>
        <w:rPr>
          <w:rFonts w:ascii="Arial" w:hAnsi="Arial" w:cs="Arial"/>
          <w:lang w:val="en-US"/>
        </w:rPr>
      </w:pPr>
      <w:r>
        <w:rPr>
          <w:rFonts w:ascii="Arial" w:hAnsi="Arial" w:cs="Arial"/>
          <w:lang w:val="en-US"/>
        </w:rPr>
        <w:t xml:space="preserve">We can see the similarities that are expected if we take into account the aim/s of these legal texts. </w:t>
      </w:r>
      <w:r w:rsidR="0053368D">
        <w:rPr>
          <w:rFonts w:ascii="Arial" w:hAnsi="Arial" w:cs="Arial"/>
          <w:lang w:val="en-US"/>
        </w:rPr>
        <w:t>It is evident that many reasons fall into the category of procedural and jurisdictional matters which is expected especially since both legal texts consider all judgements taken to recognition to be “materially” valid in the first place</w:t>
      </w:r>
      <w:r w:rsidR="007255D4">
        <w:rPr>
          <w:rFonts w:ascii="Arial" w:hAnsi="Arial" w:cs="Arial"/>
          <w:lang w:val="en-US"/>
        </w:rPr>
        <w:t xml:space="preserve"> and do not go into reviewing the essence </w:t>
      </w:r>
      <w:r w:rsidR="007255D4">
        <w:rPr>
          <w:rFonts w:ascii="Arial" w:hAnsi="Arial" w:cs="Arial"/>
          <w:lang w:val="en-US"/>
        </w:rPr>
        <w:lastRenderedPageBreak/>
        <w:t>of them</w:t>
      </w:r>
      <w:r w:rsidR="0053368D">
        <w:rPr>
          <w:rFonts w:ascii="Arial" w:hAnsi="Arial" w:cs="Arial"/>
          <w:lang w:val="en-US"/>
        </w:rPr>
        <w:t xml:space="preserve">. Having that in mind, court in the state </w:t>
      </w:r>
      <w:r w:rsidR="007255D4">
        <w:rPr>
          <w:rFonts w:ascii="Arial" w:hAnsi="Arial" w:cs="Arial"/>
          <w:lang w:val="en-US"/>
        </w:rPr>
        <w:t xml:space="preserve">where </w:t>
      </w:r>
      <w:r w:rsidR="0053368D">
        <w:rPr>
          <w:rFonts w:ascii="Arial" w:hAnsi="Arial" w:cs="Arial"/>
          <w:lang w:val="en-US"/>
        </w:rPr>
        <w:t xml:space="preserve">recognition is </w:t>
      </w:r>
      <w:r w:rsidR="007255D4">
        <w:rPr>
          <w:rFonts w:ascii="Arial" w:hAnsi="Arial" w:cs="Arial"/>
          <w:lang w:val="en-US"/>
        </w:rPr>
        <w:t>requested</w:t>
      </w:r>
      <w:r w:rsidR="0053368D">
        <w:rPr>
          <w:rFonts w:ascii="Arial" w:hAnsi="Arial" w:cs="Arial"/>
          <w:lang w:val="en-US"/>
        </w:rPr>
        <w:t xml:space="preserve"> in will primarily concentrate on checking whether or not it has </w:t>
      </w:r>
      <w:r w:rsidR="00C74573">
        <w:rPr>
          <w:rFonts w:ascii="Arial" w:hAnsi="Arial" w:cs="Arial"/>
          <w:lang w:val="en-US"/>
        </w:rPr>
        <w:t>exclusive</w:t>
      </w:r>
      <w:r w:rsidR="0053368D">
        <w:rPr>
          <w:rFonts w:ascii="Arial" w:hAnsi="Arial" w:cs="Arial"/>
          <w:lang w:val="en-US"/>
        </w:rPr>
        <w:t xml:space="preserve"> jurisdiction and in case that </w:t>
      </w:r>
      <w:r w:rsidR="002D056D">
        <w:rPr>
          <w:rFonts w:ascii="Arial" w:hAnsi="Arial" w:cs="Arial"/>
          <w:lang w:val="en-US"/>
        </w:rPr>
        <w:t>“negative condition” is met</w:t>
      </w:r>
      <w:r w:rsidR="0053368D">
        <w:rPr>
          <w:rFonts w:ascii="Arial" w:hAnsi="Arial" w:cs="Arial"/>
          <w:lang w:val="en-US"/>
        </w:rPr>
        <w:t xml:space="preserve">, they will follow up with “performing test” to see if the basic procedural elements were performed in order to enable </w:t>
      </w:r>
      <w:r w:rsidR="00E353D9">
        <w:rPr>
          <w:rFonts w:ascii="Arial" w:hAnsi="Arial" w:cs="Arial"/>
          <w:lang w:val="en-US"/>
        </w:rPr>
        <w:t>opposing</w:t>
      </w:r>
      <w:r w:rsidR="0053368D">
        <w:rPr>
          <w:rFonts w:ascii="Arial" w:hAnsi="Arial" w:cs="Arial"/>
          <w:lang w:val="en-US"/>
        </w:rPr>
        <w:t xml:space="preserve"> party to take effective participation in process in which judgement was delivered.</w:t>
      </w:r>
    </w:p>
    <w:p w14:paraId="37A19A15" w14:textId="173B2A0C" w:rsidR="0031394F" w:rsidRDefault="0031394F" w:rsidP="00D51A83">
      <w:pPr>
        <w:spacing w:line="360" w:lineRule="auto"/>
        <w:jc w:val="both"/>
        <w:rPr>
          <w:rFonts w:ascii="Arial" w:hAnsi="Arial" w:cs="Arial"/>
          <w:lang w:val="en-US"/>
        </w:rPr>
      </w:pPr>
      <w:r>
        <w:rPr>
          <w:rFonts w:ascii="Arial" w:hAnsi="Arial" w:cs="Arial"/>
          <w:lang w:val="en-US"/>
        </w:rPr>
        <w:t>On the matters of possible postponing od recognition and enforcement, EIR Recast/Bruxelles I Recast deals with that “in advance”, mandating that a “certificate” provided in annex I be appended to the judgement certifying it is valid for enforcement. MLIJ on the other hand has provisions that enable recognition and enforcement to be rejected or postponed in case judgement is under review in originating state.</w:t>
      </w:r>
    </w:p>
    <w:p w14:paraId="226F78E4" w14:textId="77777777" w:rsidR="00BE0F0C" w:rsidRDefault="00BE0F0C" w:rsidP="00BE0F0C">
      <w:pPr>
        <w:spacing w:line="360" w:lineRule="auto"/>
        <w:jc w:val="both"/>
        <w:rPr>
          <w:rFonts w:ascii="Arial" w:hAnsi="Arial" w:cs="Arial"/>
          <w:lang w:val="en-US"/>
        </w:rPr>
      </w:pPr>
      <w:r>
        <w:rPr>
          <w:rFonts w:ascii="Arial" w:hAnsi="Arial" w:cs="Arial"/>
          <w:lang w:val="en-US"/>
        </w:rPr>
        <w:t xml:space="preserve">Bruxelles I Recast doesn’t take into account possible collision with interests of the creditors and other stakeholders in insolvency case due to it’s wider scope, and leaves possible objections in relation to that not addressed. </w:t>
      </w:r>
    </w:p>
    <w:p w14:paraId="64D55EAD" w14:textId="693122C1" w:rsidR="0053368D" w:rsidRDefault="00E7493B" w:rsidP="00D51A83">
      <w:pPr>
        <w:spacing w:line="360" w:lineRule="auto"/>
        <w:jc w:val="both"/>
        <w:rPr>
          <w:rFonts w:ascii="Arial" w:hAnsi="Arial" w:cs="Arial"/>
          <w:lang w:val="en-US"/>
        </w:rPr>
      </w:pPr>
      <w:r>
        <w:rPr>
          <w:rFonts w:ascii="Arial" w:hAnsi="Arial" w:cs="Arial"/>
          <w:lang w:val="en-US"/>
        </w:rPr>
        <w:t>MLIJ doesn’t explicitly differentiate recognition and enforcement as two procedures, although it provides for cases where “only” recognition is sought. Also, it</w:t>
      </w:r>
      <w:r w:rsidR="00850798">
        <w:rPr>
          <w:rFonts w:ascii="Arial" w:hAnsi="Arial" w:cs="Arial"/>
          <w:lang w:val="en-US"/>
        </w:rPr>
        <w:t xml:space="preserve"> has special provisions that enable recognizing “a part of” judgement</w:t>
      </w:r>
      <w:r w:rsidR="00AB0E0A">
        <w:rPr>
          <w:rFonts w:ascii="Arial" w:hAnsi="Arial" w:cs="Arial"/>
          <w:lang w:val="en-US"/>
        </w:rPr>
        <w:t xml:space="preserve"> which is in Article 16 </w:t>
      </w:r>
      <w:r w:rsidR="007255D4">
        <w:rPr>
          <w:rFonts w:ascii="Arial" w:hAnsi="Arial" w:cs="Arial"/>
          <w:lang w:val="en-US"/>
        </w:rPr>
        <w:t>referred</w:t>
      </w:r>
      <w:r w:rsidR="00AB0E0A">
        <w:rPr>
          <w:rFonts w:ascii="Arial" w:hAnsi="Arial" w:cs="Arial"/>
          <w:lang w:val="en-US"/>
        </w:rPr>
        <w:t xml:space="preserve"> to as “severability”.</w:t>
      </w:r>
    </w:p>
    <w:p w14:paraId="0F7F373D" w14:textId="77777777" w:rsidR="0053368D" w:rsidRPr="00A353B9" w:rsidRDefault="0053368D" w:rsidP="00D51A83">
      <w:pPr>
        <w:spacing w:line="360" w:lineRule="auto"/>
        <w:jc w:val="both"/>
        <w:rPr>
          <w:rFonts w:ascii="Arial" w:hAnsi="Arial" w:cs="Arial"/>
          <w:lang w:val="en-US"/>
        </w:rPr>
      </w:pPr>
    </w:p>
    <w:p w14:paraId="2883BD4B" w14:textId="6302EA49" w:rsidR="002447B7" w:rsidRDefault="00AB0E0A" w:rsidP="00D51A83">
      <w:pPr>
        <w:spacing w:line="360" w:lineRule="auto"/>
        <w:jc w:val="both"/>
        <w:rPr>
          <w:rFonts w:ascii="Arial" w:hAnsi="Arial" w:cs="Arial"/>
          <w:b/>
          <w:bCs/>
          <w:lang w:val="en-US"/>
        </w:rPr>
      </w:pPr>
      <w:r>
        <w:rPr>
          <w:rFonts w:ascii="Arial" w:hAnsi="Arial" w:cs="Arial"/>
          <w:b/>
          <w:bCs/>
          <w:lang w:val="en-US"/>
        </w:rPr>
        <w:t>C</w:t>
      </w:r>
      <w:r w:rsidR="002447B7" w:rsidRPr="001348CC">
        <w:rPr>
          <w:rFonts w:ascii="Arial" w:hAnsi="Arial" w:cs="Arial"/>
          <w:b/>
          <w:bCs/>
          <w:lang w:val="en-US"/>
        </w:rPr>
        <w:t>onclusion</w:t>
      </w:r>
    </w:p>
    <w:p w14:paraId="16524E78" w14:textId="77777777" w:rsidR="00BE0F0C" w:rsidRDefault="00FC3639" w:rsidP="00D51A83">
      <w:pPr>
        <w:spacing w:line="360" w:lineRule="auto"/>
        <w:jc w:val="both"/>
        <w:rPr>
          <w:rFonts w:ascii="Arial" w:hAnsi="Arial" w:cs="Arial"/>
          <w:lang w:val="en-US"/>
        </w:rPr>
      </w:pPr>
      <w:r w:rsidRPr="00BA5C2A">
        <w:rPr>
          <w:rFonts w:ascii="Arial" w:hAnsi="Arial" w:cs="Arial"/>
          <w:lang w:val="en-US"/>
        </w:rPr>
        <w:t xml:space="preserve">Both legal text cover the “matter” that comes after insolvency proceeding have </w:t>
      </w:r>
      <w:r w:rsidR="00AB0E0A">
        <w:rPr>
          <w:rFonts w:ascii="Arial" w:hAnsi="Arial" w:cs="Arial"/>
          <w:lang w:val="en-US"/>
        </w:rPr>
        <w:t xml:space="preserve">already been opened/has </w:t>
      </w:r>
      <w:r w:rsidRPr="00BA5C2A">
        <w:rPr>
          <w:rFonts w:ascii="Arial" w:hAnsi="Arial" w:cs="Arial"/>
          <w:lang w:val="en-US"/>
        </w:rPr>
        <w:t>begun. Coming from different law systems both law text aim to achieve similar of same results, the bot</w:t>
      </w:r>
      <w:r w:rsidR="00AB0E0A">
        <w:rPr>
          <w:rFonts w:ascii="Arial" w:hAnsi="Arial" w:cs="Arial"/>
          <w:lang w:val="en-US"/>
        </w:rPr>
        <w:t>h</w:t>
      </w:r>
      <w:r w:rsidRPr="00BA5C2A">
        <w:rPr>
          <w:rFonts w:ascii="Arial" w:hAnsi="Arial" w:cs="Arial"/>
          <w:lang w:val="en-US"/>
        </w:rPr>
        <w:t xml:space="preserve"> are there to provide more certainty when it comes to recognition and enforcement of insolvency related judgements in international / cross border insolvency cases. </w:t>
      </w:r>
      <w:r w:rsidR="00BE0F0C">
        <w:rPr>
          <w:rFonts w:ascii="Arial" w:hAnsi="Arial" w:cs="Arial"/>
          <w:lang w:val="en-US"/>
        </w:rPr>
        <w:t xml:space="preserve">We can see the similarity in intent, but also the difference in way the provisions are delivered. The difference in wording derives from the basic differences between common law and civil law from which these two different legal texts originated and effects of that are noticeable. </w:t>
      </w:r>
      <w:r w:rsidRPr="00BA5C2A">
        <w:rPr>
          <w:rFonts w:ascii="Arial" w:hAnsi="Arial" w:cs="Arial"/>
          <w:lang w:val="en-US"/>
        </w:rPr>
        <w:t>Similarity can be seen in that both are closely linked, and need to</w:t>
      </w:r>
      <w:r w:rsidR="00071480">
        <w:rPr>
          <w:rFonts w:ascii="Arial" w:hAnsi="Arial" w:cs="Arial"/>
          <w:lang w:val="en-US"/>
        </w:rPr>
        <w:t>/can</w:t>
      </w:r>
      <w:r w:rsidRPr="00BA5C2A">
        <w:rPr>
          <w:rFonts w:ascii="Arial" w:hAnsi="Arial" w:cs="Arial"/>
          <w:lang w:val="en-US"/>
        </w:rPr>
        <w:t xml:space="preserve"> be used in connection to additional legal texts (EIR Recast to Bruxselles I Recast) and MLIJ in connection with MLCBI.</w:t>
      </w:r>
      <w:r w:rsidR="00962F9E">
        <w:rPr>
          <w:rFonts w:ascii="Arial" w:hAnsi="Arial" w:cs="Arial"/>
          <w:lang w:val="en-US"/>
        </w:rPr>
        <w:t xml:space="preserve"> </w:t>
      </w:r>
    </w:p>
    <w:p w14:paraId="1074D673" w14:textId="6E990F2F" w:rsidR="002447B7" w:rsidRPr="00BA5C2A" w:rsidRDefault="00AD0764" w:rsidP="00D51A83">
      <w:pPr>
        <w:spacing w:line="360" w:lineRule="auto"/>
        <w:jc w:val="both"/>
        <w:rPr>
          <w:rFonts w:ascii="Arial" w:hAnsi="Arial" w:cs="Arial"/>
          <w:lang w:val="en-US"/>
        </w:rPr>
      </w:pPr>
      <w:r>
        <w:rPr>
          <w:rFonts w:ascii="Arial" w:hAnsi="Arial" w:cs="Arial"/>
          <w:lang w:val="en-US"/>
        </w:rPr>
        <w:t xml:space="preserve">Differences are of course obvious, Model Law (as the name states) is “designed” to be incorporated in national law of the state and provide additional </w:t>
      </w:r>
      <w:r w:rsidR="00BE0F0C">
        <w:rPr>
          <w:rFonts w:ascii="Arial" w:hAnsi="Arial" w:cs="Arial"/>
          <w:lang w:val="en-US"/>
        </w:rPr>
        <w:t xml:space="preserve">legislative </w:t>
      </w:r>
      <w:r>
        <w:rPr>
          <w:rFonts w:ascii="Arial" w:hAnsi="Arial" w:cs="Arial"/>
          <w:lang w:val="en-US"/>
        </w:rPr>
        <w:t>code for specified situations. EIR Recast on the other hand is to be put in force in EU Member states and serve primarily development and unification of insolvency proceedings in EU countries.</w:t>
      </w:r>
      <w:r w:rsidR="00962F9E">
        <w:rPr>
          <w:rFonts w:ascii="Arial" w:hAnsi="Arial" w:cs="Arial"/>
          <w:lang w:val="en-US"/>
        </w:rPr>
        <w:t xml:space="preserve"> </w:t>
      </w:r>
      <w:r w:rsidR="00071480">
        <w:rPr>
          <w:rFonts w:ascii="Arial" w:hAnsi="Arial" w:cs="Arial"/>
          <w:lang w:val="en-US"/>
        </w:rPr>
        <w:t xml:space="preserve">Basic difference is in the EIR Recast’s principle of “automatic” recognition (for the judgements laid down in member states) and its provisions will be the same in every member state. Automatic </w:t>
      </w:r>
      <w:r w:rsidR="00071480">
        <w:rPr>
          <w:rFonts w:ascii="Arial" w:hAnsi="Arial" w:cs="Arial"/>
          <w:lang w:val="en-US"/>
        </w:rPr>
        <w:lastRenderedPageBreak/>
        <w:t xml:space="preserve">recognition of insolvency related judgements is “the norm” and in case there is any doubt, Bruxelles I Recast will come to aid. MLIJ is on the other hand made available to supplement MLCBI as it has become apparent </w:t>
      </w:r>
      <w:r w:rsidR="009972A5">
        <w:rPr>
          <w:rFonts w:ascii="Arial" w:hAnsi="Arial" w:cs="Arial"/>
          <w:lang w:val="en-US"/>
        </w:rPr>
        <w:t xml:space="preserve">through time </w:t>
      </w:r>
      <w:r w:rsidR="00071480">
        <w:rPr>
          <w:rFonts w:ascii="Arial" w:hAnsi="Arial" w:cs="Arial"/>
          <w:lang w:val="en-US"/>
        </w:rPr>
        <w:t xml:space="preserve">that MLCBI </w:t>
      </w:r>
      <w:r w:rsidR="009972A5">
        <w:rPr>
          <w:rFonts w:ascii="Arial" w:hAnsi="Arial" w:cs="Arial"/>
          <w:lang w:val="en-US"/>
        </w:rPr>
        <w:t>has its shortcomings in a matter of recognition of “other” judgements that are not ones dealing with just opening of the procedure</w:t>
      </w:r>
      <w:r w:rsidR="00BE0F0C" w:rsidRPr="00BE0F0C">
        <w:rPr>
          <w:rFonts w:ascii="Arial" w:hAnsi="Arial" w:cs="Arial"/>
          <w:lang w:val="en-US"/>
        </w:rPr>
        <w:t xml:space="preserve"> </w:t>
      </w:r>
      <w:r w:rsidR="00BE0F0C">
        <w:rPr>
          <w:rFonts w:ascii="Arial" w:hAnsi="Arial" w:cs="Arial"/>
          <w:lang w:val="en-US"/>
        </w:rPr>
        <w:t>although</w:t>
      </w:r>
      <w:r w:rsidR="00BE0F0C" w:rsidRPr="00BE0F0C">
        <w:rPr>
          <w:rFonts w:ascii="Arial" w:hAnsi="Arial" w:cs="Arial"/>
          <w:lang w:val="en-US"/>
        </w:rPr>
        <w:t xml:space="preserve"> </w:t>
      </w:r>
      <w:r w:rsidR="00BE0F0C">
        <w:rPr>
          <w:rFonts w:ascii="Arial" w:hAnsi="Arial" w:cs="Arial"/>
          <w:lang w:val="en-US"/>
        </w:rPr>
        <w:t>it was  a great step towards unification of international insolvency law</w:t>
      </w:r>
      <w:r w:rsidR="009972A5">
        <w:rPr>
          <w:rFonts w:ascii="Arial" w:hAnsi="Arial" w:cs="Arial"/>
          <w:lang w:val="en-US"/>
        </w:rPr>
        <w:t xml:space="preserve">. </w:t>
      </w:r>
      <w:r w:rsidR="00BE0F0C">
        <w:rPr>
          <w:rFonts w:ascii="Arial" w:hAnsi="Arial" w:cs="Arial"/>
          <w:lang w:val="en-US"/>
        </w:rPr>
        <w:t>A</w:t>
      </w:r>
      <w:r w:rsidR="009972A5">
        <w:rPr>
          <w:rFonts w:ascii="Arial" w:hAnsi="Arial" w:cs="Arial"/>
          <w:lang w:val="en-US"/>
        </w:rPr>
        <w:t>s a “model law”, it is meant</w:t>
      </w:r>
      <w:r w:rsidR="00071480">
        <w:rPr>
          <w:rFonts w:ascii="Arial" w:hAnsi="Arial" w:cs="Arial"/>
          <w:lang w:val="en-US"/>
        </w:rPr>
        <w:t xml:space="preserve"> to be incorporated in national legislation with already provided “blank space” for national legal system to adapt it to its own norms (together with/after adoption of MLCBI). This </w:t>
      </w:r>
      <w:r w:rsidR="00BE0F0C">
        <w:rPr>
          <w:rFonts w:ascii="Arial" w:hAnsi="Arial" w:cs="Arial"/>
          <w:lang w:val="en-US"/>
        </w:rPr>
        <w:t>“</w:t>
      </w:r>
      <w:r w:rsidR="00071480">
        <w:rPr>
          <w:rFonts w:ascii="Arial" w:hAnsi="Arial" w:cs="Arial"/>
          <w:lang w:val="en-US"/>
        </w:rPr>
        <w:t>feature</w:t>
      </w:r>
      <w:r w:rsidR="00BE0F0C">
        <w:rPr>
          <w:rFonts w:ascii="Arial" w:hAnsi="Arial" w:cs="Arial"/>
          <w:lang w:val="en-US"/>
        </w:rPr>
        <w:t>”</w:t>
      </w:r>
      <w:r w:rsidR="00071480">
        <w:rPr>
          <w:rFonts w:ascii="Arial" w:hAnsi="Arial" w:cs="Arial"/>
          <w:lang w:val="en-US"/>
        </w:rPr>
        <w:t xml:space="preserve"> will inevitably result in differences, minor or bigger in national legislation of States that incorporate it. </w:t>
      </w:r>
    </w:p>
    <w:p w14:paraId="40EA41B1" w14:textId="77777777" w:rsidR="00FC3639" w:rsidRPr="001348CC" w:rsidRDefault="00FC3639" w:rsidP="00D51A83">
      <w:pPr>
        <w:spacing w:line="360" w:lineRule="auto"/>
        <w:jc w:val="both"/>
        <w:rPr>
          <w:rFonts w:ascii="Arial" w:hAnsi="Arial" w:cs="Arial"/>
          <w:b/>
          <w:bCs/>
          <w:lang w:val="en-US"/>
        </w:rPr>
      </w:pPr>
    </w:p>
    <w:p w14:paraId="1A8E754A" w14:textId="407D8356" w:rsidR="00255C06" w:rsidRDefault="00AB0E0A" w:rsidP="00D51A83">
      <w:pPr>
        <w:spacing w:line="360" w:lineRule="auto"/>
        <w:jc w:val="both"/>
        <w:rPr>
          <w:rFonts w:ascii="Arial" w:hAnsi="Arial" w:cs="Arial"/>
          <w:b/>
          <w:bCs/>
          <w:lang w:val="en-US"/>
        </w:rPr>
      </w:pPr>
      <w:r>
        <w:rPr>
          <w:rFonts w:ascii="Arial" w:hAnsi="Arial" w:cs="Arial"/>
          <w:b/>
          <w:bCs/>
          <w:lang w:val="en-US"/>
        </w:rPr>
        <w:t>B</w:t>
      </w:r>
      <w:r w:rsidR="002447B7" w:rsidRPr="001348CC">
        <w:rPr>
          <w:rFonts w:ascii="Arial" w:hAnsi="Arial" w:cs="Arial"/>
          <w:b/>
          <w:bCs/>
          <w:lang w:val="en-US"/>
        </w:rPr>
        <w:t>ibliography</w:t>
      </w:r>
    </w:p>
    <w:p w14:paraId="3A66DD49" w14:textId="6B386029" w:rsidR="003E7337" w:rsidRDefault="00AB0E0A" w:rsidP="003E7337">
      <w:pPr>
        <w:pStyle w:val="Odlomakpopisa"/>
        <w:numPr>
          <w:ilvl w:val="0"/>
          <w:numId w:val="2"/>
        </w:numPr>
        <w:spacing w:line="360" w:lineRule="auto"/>
        <w:jc w:val="both"/>
        <w:rPr>
          <w:rFonts w:ascii="Arial" w:hAnsi="Arial" w:cs="Arial"/>
          <w:lang w:val="en-US"/>
        </w:rPr>
      </w:pPr>
      <w:r w:rsidRPr="00AB0E0A">
        <w:rPr>
          <w:rFonts w:ascii="Arial" w:hAnsi="Arial" w:cs="Arial"/>
          <w:lang w:val="en-US"/>
        </w:rPr>
        <w:t>REGULATION (EU) 2015/848 OF THE EUROPEAN PARLIAMENT AND OF THE COUNCIL of 20 May 2015 on insolvency proceedings</w:t>
      </w:r>
      <w:r>
        <w:rPr>
          <w:rFonts w:ascii="Arial" w:hAnsi="Arial" w:cs="Arial"/>
          <w:lang w:val="en-US"/>
        </w:rPr>
        <w:t xml:space="preserve"> </w:t>
      </w:r>
      <w:r w:rsidRPr="00AB0E0A">
        <w:rPr>
          <w:rFonts w:ascii="Arial" w:hAnsi="Arial" w:cs="Arial"/>
          <w:lang w:val="en-US"/>
        </w:rPr>
        <w:t>(recast)</w:t>
      </w:r>
      <w:r w:rsidR="003E7337">
        <w:rPr>
          <w:rFonts w:ascii="Arial" w:hAnsi="Arial" w:cs="Arial"/>
          <w:lang w:val="en-US"/>
        </w:rPr>
        <w:t xml:space="preserve"> </w:t>
      </w:r>
      <w:hyperlink r:id="rId8" w:history="1">
        <w:r w:rsidR="003E7337" w:rsidRPr="005E4DA3">
          <w:rPr>
            <w:rStyle w:val="Hiperveza"/>
            <w:rFonts w:ascii="Arial" w:hAnsi="Arial" w:cs="Arial"/>
            <w:lang w:val="en-US"/>
          </w:rPr>
          <w:t>https://eur-lex.europa.eu/legal-content/EN/TXT/PDF/?uri=CELEX:32015R0848&amp;from=en</w:t>
        </w:r>
      </w:hyperlink>
    </w:p>
    <w:p w14:paraId="5B6C2D61" w14:textId="293B4B02" w:rsidR="00AB0E0A" w:rsidRDefault="00AB0E0A" w:rsidP="00D51A83">
      <w:pPr>
        <w:pStyle w:val="Odlomakpopisa"/>
        <w:numPr>
          <w:ilvl w:val="0"/>
          <w:numId w:val="2"/>
        </w:numPr>
        <w:spacing w:line="360" w:lineRule="auto"/>
        <w:jc w:val="both"/>
        <w:rPr>
          <w:rFonts w:ascii="Arial" w:hAnsi="Arial" w:cs="Arial"/>
          <w:lang w:val="en-US"/>
        </w:rPr>
      </w:pPr>
      <w:r w:rsidRPr="00AB0E0A">
        <w:rPr>
          <w:rFonts w:ascii="Arial" w:hAnsi="Arial" w:cs="Arial"/>
          <w:lang w:val="en-US"/>
        </w:rPr>
        <w:t>UNCITRAL Model Law on Recognition and Enforcement of Insolvency-Related Judgments</w:t>
      </w:r>
      <w:r>
        <w:rPr>
          <w:rFonts w:ascii="Arial" w:hAnsi="Arial" w:cs="Arial"/>
          <w:lang w:val="en-US"/>
        </w:rPr>
        <w:t xml:space="preserve"> (2018) </w:t>
      </w:r>
      <w:r w:rsidRPr="00AB0E0A">
        <w:rPr>
          <w:rFonts w:ascii="Arial" w:hAnsi="Arial" w:cs="Arial"/>
          <w:lang w:val="en-US"/>
        </w:rPr>
        <w:t>with Guide to Enactment</w:t>
      </w:r>
      <w:r>
        <w:rPr>
          <w:rFonts w:ascii="Arial" w:hAnsi="Arial" w:cs="Arial"/>
          <w:lang w:val="en-US"/>
        </w:rPr>
        <w:t xml:space="preserve"> </w:t>
      </w:r>
      <w:hyperlink r:id="rId9" w:history="1">
        <w:r w:rsidR="003E7337" w:rsidRPr="005E4DA3">
          <w:rPr>
            <w:rStyle w:val="Hiperveza"/>
            <w:rFonts w:ascii="Arial" w:hAnsi="Arial" w:cs="Arial"/>
            <w:lang w:val="en-US"/>
          </w:rPr>
          <w:t>https://uncitral.un.org/sites/uncitral.un.org/files/media-documents/uncitral/en/ml_recognition_gte_e.pdf</w:t>
        </w:r>
      </w:hyperlink>
    </w:p>
    <w:p w14:paraId="556B7E98" w14:textId="432979B9" w:rsidR="00AB0E0A" w:rsidRDefault="00AB0E0A" w:rsidP="00D51A83">
      <w:pPr>
        <w:pStyle w:val="Odlomakpopisa"/>
        <w:numPr>
          <w:ilvl w:val="0"/>
          <w:numId w:val="2"/>
        </w:numPr>
        <w:spacing w:line="360" w:lineRule="auto"/>
        <w:jc w:val="both"/>
        <w:rPr>
          <w:rFonts w:ascii="Arial" w:hAnsi="Arial" w:cs="Arial"/>
          <w:lang w:val="en-US"/>
        </w:rPr>
      </w:pPr>
      <w:r w:rsidRPr="00AB0E0A">
        <w:rPr>
          <w:rFonts w:ascii="Arial" w:hAnsi="Arial" w:cs="Arial"/>
          <w:lang w:val="en-US"/>
        </w:rPr>
        <w:t>REGULATION (EU) No 1215/2012 OF THE EUROPEAN PARLIAMENT AND OF THE COUNCIL of 12 December 2012 on jurisdiction and the recognition and enforcement of judgments in civil and commercial matters</w:t>
      </w:r>
      <w:r>
        <w:rPr>
          <w:rFonts w:ascii="Arial" w:hAnsi="Arial" w:cs="Arial"/>
          <w:lang w:val="en-US"/>
        </w:rPr>
        <w:t xml:space="preserve"> </w:t>
      </w:r>
      <w:r w:rsidRPr="00AB0E0A">
        <w:rPr>
          <w:rFonts w:ascii="Arial" w:hAnsi="Arial" w:cs="Arial"/>
          <w:lang w:val="en-US"/>
        </w:rPr>
        <w:t>(recast)</w:t>
      </w:r>
      <w:r w:rsidR="003E7337">
        <w:rPr>
          <w:rFonts w:ascii="Arial" w:hAnsi="Arial" w:cs="Arial"/>
          <w:lang w:val="en-US"/>
        </w:rPr>
        <w:t xml:space="preserve"> </w:t>
      </w:r>
      <w:hyperlink r:id="rId10" w:history="1">
        <w:r w:rsidR="003E7337" w:rsidRPr="005E4DA3">
          <w:rPr>
            <w:rStyle w:val="Hiperveza"/>
            <w:rFonts w:ascii="Arial" w:hAnsi="Arial" w:cs="Arial"/>
            <w:lang w:val="en-US"/>
          </w:rPr>
          <w:t>https://eur-lex.europa.eu/legal-content/EN/TXT/PDF/?uri=CELEX:32012R1215&amp;from=EN</w:t>
        </w:r>
      </w:hyperlink>
    </w:p>
    <w:p w14:paraId="3C3A0C29" w14:textId="6485933C" w:rsidR="00AB0E0A" w:rsidRDefault="00AB0E0A" w:rsidP="00D51A83">
      <w:pPr>
        <w:pStyle w:val="Odlomakpopisa"/>
        <w:numPr>
          <w:ilvl w:val="0"/>
          <w:numId w:val="2"/>
        </w:numPr>
        <w:spacing w:line="360" w:lineRule="auto"/>
        <w:jc w:val="both"/>
        <w:rPr>
          <w:rFonts w:ascii="Arial" w:hAnsi="Arial" w:cs="Arial"/>
          <w:lang w:val="en-US"/>
        </w:rPr>
      </w:pPr>
      <w:r w:rsidRPr="00AB0E0A">
        <w:rPr>
          <w:rFonts w:ascii="Arial" w:hAnsi="Arial" w:cs="Arial"/>
          <w:lang w:val="en-US"/>
        </w:rPr>
        <w:t>UNCITRAL Model Law on Cross-Border Insolvency (1997)</w:t>
      </w:r>
      <w:r w:rsidR="003E7337">
        <w:rPr>
          <w:rFonts w:ascii="Arial" w:hAnsi="Arial" w:cs="Arial"/>
          <w:lang w:val="en-US"/>
        </w:rPr>
        <w:t xml:space="preserve"> and </w:t>
      </w:r>
      <w:r w:rsidR="003E7337" w:rsidRPr="003E7337">
        <w:rPr>
          <w:rFonts w:ascii="Arial" w:hAnsi="Arial" w:cs="Arial"/>
          <w:lang w:val="en-US"/>
        </w:rPr>
        <w:t>Guide to Enactment and Interpretation (2013)</w:t>
      </w:r>
      <w:r w:rsidR="003E7337">
        <w:rPr>
          <w:rFonts w:ascii="Arial" w:hAnsi="Arial" w:cs="Arial"/>
          <w:lang w:val="en-US"/>
        </w:rPr>
        <w:t xml:space="preserve"> </w:t>
      </w:r>
      <w:hyperlink r:id="rId11" w:history="1">
        <w:r w:rsidR="003E7337" w:rsidRPr="005E4DA3">
          <w:rPr>
            <w:rStyle w:val="Hiperveza"/>
            <w:rFonts w:ascii="Arial" w:hAnsi="Arial" w:cs="Arial"/>
            <w:lang w:val="en-US"/>
          </w:rPr>
          <w:t>https://uncitral.un.org/sites/uncitral.un.org/files/media-documents/uncitral/en/1997-model-law-insol-2013-guide-enactment-e.pdf</w:t>
        </w:r>
      </w:hyperlink>
    </w:p>
    <w:p w14:paraId="0C305C69" w14:textId="61B0A658" w:rsidR="00AB0E0A" w:rsidRDefault="00052442" w:rsidP="006E5C2A">
      <w:pPr>
        <w:pStyle w:val="Odlomakpopisa"/>
        <w:numPr>
          <w:ilvl w:val="0"/>
          <w:numId w:val="2"/>
        </w:numPr>
        <w:spacing w:line="360" w:lineRule="auto"/>
        <w:jc w:val="both"/>
        <w:rPr>
          <w:rFonts w:ascii="Arial" w:hAnsi="Arial" w:cs="Arial"/>
          <w:lang w:val="en-US"/>
        </w:rPr>
      </w:pPr>
      <w:r w:rsidRPr="00052442">
        <w:rPr>
          <w:rFonts w:ascii="Arial" w:hAnsi="Arial" w:cs="Arial"/>
          <w:lang w:val="en-US"/>
        </w:rPr>
        <w:t>Professor Sandeep Gopalan and Michael Guihot</w:t>
      </w:r>
      <w:r>
        <w:rPr>
          <w:rFonts w:ascii="Arial" w:hAnsi="Arial" w:cs="Arial"/>
          <w:lang w:val="en-US"/>
        </w:rPr>
        <w:t xml:space="preserve">, </w:t>
      </w:r>
      <w:r w:rsidRPr="00052442">
        <w:rPr>
          <w:rFonts w:ascii="Arial" w:hAnsi="Arial" w:cs="Arial"/>
          <w:lang w:val="en-US"/>
        </w:rPr>
        <w:t>Recognition and Enforcement in Cross-Border Insolvency Law: A Proposal for Judicial Gap-Filling</w:t>
      </w:r>
      <w:r>
        <w:rPr>
          <w:rFonts w:ascii="Arial" w:hAnsi="Arial" w:cs="Arial"/>
          <w:lang w:val="en-US"/>
        </w:rPr>
        <w:t xml:space="preserve">, </w:t>
      </w:r>
      <w:r w:rsidRPr="00052442">
        <w:rPr>
          <w:rFonts w:ascii="Arial" w:hAnsi="Arial" w:cs="Arial"/>
          <w:lang w:val="en-US"/>
        </w:rPr>
        <w:t>VANDERBILT JOURNAL OF TRANSNATIONAL LAW vol. 48</w:t>
      </w:r>
      <w:r>
        <w:rPr>
          <w:rFonts w:ascii="Arial" w:hAnsi="Arial" w:cs="Arial"/>
          <w:lang w:val="en-US"/>
        </w:rPr>
        <w:t xml:space="preserve"> (2021)</w:t>
      </w:r>
    </w:p>
    <w:p w14:paraId="50EA7661" w14:textId="12DFC7FD" w:rsidR="003E7337" w:rsidRDefault="003E7337" w:rsidP="006E5C2A">
      <w:pPr>
        <w:pStyle w:val="Odlomakpopisa"/>
        <w:numPr>
          <w:ilvl w:val="0"/>
          <w:numId w:val="2"/>
        </w:numPr>
        <w:spacing w:line="360" w:lineRule="auto"/>
        <w:jc w:val="both"/>
        <w:rPr>
          <w:rFonts w:ascii="Arial" w:hAnsi="Arial" w:cs="Arial"/>
          <w:lang w:val="en-US"/>
        </w:rPr>
      </w:pPr>
      <w:r w:rsidRPr="003E7337">
        <w:rPr>
          <w:rFonts w:ascii="Arial" w:hAnsi="Arial" w:cs="Arial"/>
          <w:lang w:val="en-US"/>
        </w:rPr>
        <w:t>Gordon Stewart</w:t>
      </w:r>
      <w:r>
        <w:rPr>
          <w:rFonts w:ascii="Arial" w:hAnsi="Arial" w:cs="Arial"/>
          <w:lang w:val="en-US"/>
        </w:rPr>
        <w:t xml:space="preserve">, </w:t>
      </w:r>
      <w:r w:rsidRPr="003E7337">
        <w:rPr>
          <w:rFonts w:ascii="Arial" w:hAnsi="Arial" w:cs="Arial"/>
          <w:lang w:val="en-US"/>
        </w:rPr>
        <w:t xml:space="preserve">The recognition and enforcement of foreign insolvency derived judgments </w:t>
      </w:r>
      <w:r>
        <w:rPr>
          <w:rFonts w:ascii="Arial" w:hAnsi="Arial" w:cs="Arial"/>
          <w:lang w:val="en-US"/>
        </w:rPr>
        <w:t>–</w:t>
      </w:r>
      <w:r w:rsidRPr="003E7337">
        <w:rPr>
          <w:rFonts w:ascii="Arial" w:hAnsi="Arial" w:cs="Arial"/>
          <w:lang w:val="en-US"/>
        </w:rPr>
        <w:t xml:space="preserve"> Rubin</w:t>
      </w:r>
      <w:r>
        <w:rPr>
          <w:rFonts w:ascii="Arial" w:hAnsi="Arial" w:cs="Arial"/>
          <w:lang w:val="en-US"/>
        </w:rPr>
        <w:t xml:space="preserve">, presentation, INSOL International web site, </w:t>
      </w:r>
      <w:hyperlink r:id="rId12" w:history="1">
        <w:r w:rsidRPr="005E4DA3">
          <w:rPr>
            <w:rStyle w:val="Hiperveza"/>
            <w:rFonts w:ascii="Arial" w:hAnsi="Arial" w:cs="Arial"/>
            <w:lang w:val="en-US"/>
          </w:rPr>
          <w:t>www.insol.org</w:t>
        </w:r>
      </w:hyperlink>
    </w:p>
    <w:p w14:paraId="13B25DDC" w14:textId="360C39C2" w:rsidR="003E7337" w:rsidRPr="003E7337" w:rsidRDefault="003E7337" w:rsidP="001348EE">
      <w:pPr>
        <w:pStyle w:val="Odlomakpopisa"/>
        <w:numPr>
          <w:ilvl w:val="0"/>
          <w:numId w:val="2"/>
        </w:numPr>
        <w:spacing w:line="360" w:lineRule="auto"/>
        <w:jc w:val="both"/>
        <w:rPr>
          <w:rFonts w:ascii="Arial" w:hAnsi="Arial" w:cs="Arial"/>
          <w:lang w:val="en-US"/>
        </w:rPr>
      </w:pPr>
      <w:r w:rsidRPr="003E7337">
        <w:rPr>
          <w:rFonts w:ascii="Arial" w:hAnsi="Arial" w:cs="Arial"/>
          <w:lang w:val="en-US"/>
        </w:rPr>
        <w:t>Irit Mevorach, Overlapping International Instruments for Enforcement of Insolvency Judgments: Undermining or Strengthening Universalism?, European Business Organization Law Review (2021) 22:283–315</w:t>
      </w:r>
      <w:r w:rsidR="008C491B">
        <w:rPr>
          <w:rFonts w:ascii="Arial" w:hAnsi="Arial" w:cs="Arial"/>
          <w:lang w:val="en-US"/>
        </w:rPr>
        <w:t>, Last accessed on February 15, 2022 at</w:t>
      </w:r>
      <w:r w:rsidR="008C491B" w:rsidRPr="008C491B">
        <w:rPr>
          <w:rFonts w:ascii="Arial" w:hAnsi="Arial" w:cs="Arial"/>
          <w:lang w:val="en-US"/>
        </w:rPr>
        <w:t xml:space="preserve">: </w:t>
      </w:r>
      <w:r w:rsidRPr="003E7337">
        <w:rPr>
          <w:rFonts w:ascii="Arial" w:hAnsi="Arial" w:cs="Arial"/>
          <w:lang w:val="en-US"/>
        </w:rPr>
        <w:t xml:space="preserve"> </w:t>
      </w:r>
      <w:hyperlink r:id="rId13" w:history="1">
        <w:r w:rsidRPr="003E7337">
          <w:rPr>
            <w:rStyle w:val="Hiperveza"/>
            <w:rFonts w:ascii="Arial" w:hAnsi="Arial" w:cs="Arial"/>
            <w:lang w:val="en-US"/>
          </w:rPr>
          <w:t>https://doi.org/10.1007/s40804-021-00204-4123</w:t>
        </w:r>
      </w:hyperlink>
    </w:p>
    <w:p w14:paraId="22793BE9" w14:textId="650AF2FC" w:rsidR="003E7337" w:rsidRDefault="003E7337" w:rsidP="004D1EED">
      <w:pPr>
        <w:pStyle w:val="Odlomakpopisa"/>
        <w:numPr>
          <w:ilvl w:val="0"/>
          <w:numId w:val="2"/>
        </w:numPr>
        <w:spacing w:line="360" w:lineRule="auto"/>
        <w:jc w:val="both"/>
        <w:rPr>
          <w:rFonts w:ascii="Arial" w:hAnsi="Arial" w:cs="Arial"/>
          <w:lang w:val="en-US"/>
        </w:rPr>
      </w:pPr>
      <w:r w:rsidRPr="003E7337">
        <w:rPr>
          <w:rFonts w:ascii="Arial" w:hAnsi="Arial" w:cs="Arial"/>
          <w:lang w:val="en-US"/>
        </w:rPr>
        <w:lastRenderedPageBreak/>
        <w:t>UNCITRAL’s Model Law on Recognition and Enforcement of Insolvency-Related Judgments - a universalist approach to cross-border insolvency</w:t>
      </w:r>
      <w:r>
        <w:rPr>
          <w:rFonts w:ascii="Arial" w:hAnsi="Arial" w:cs="Arial"/>
          <w:lang w:val="en-US"/>
        </w:rPr>
        <w:t xml:space="preserve">, </w:t>
      </w:r>
      <w:r w:rsidRPr="003E7337">
        <w:rPr>
          <w:rFonts w:ascii="Arial" w:hAnsi="Arial" w:cs="Arial"/>
          <w:lang w:val="en-US"/>
        </w:rPr>
        <w:t>Evan J Zucker and Rick Antonoff</w:t>
      </w:r>
      <w:r>
        <w:rPr>
          <w:rFonts w:ascii="Arial" w:hAnsi="Arial" w:cs="Arial"/>
          <w:lang w:val="en-US"/>
        </w:rPr>
        <w:t xml:space="preserve">, INSOL International Special Report, </w:t>
      </w:r>
      <w:r w:rsidRPr="003E7337">
        <w:rPr>
          <w:rFonts w:ascii="Arial" w:hAnsi="Arial" w:cs="Arial"/>
          <w:lang w:val="en-US"/>
        </w:rPr>
        <w:t>March 2019</w:t>
      </w:r>
      <w:r>
        <w:rPr>
          <w:rFonts w:ascii="Arial" w:hAnsi="Arial" w:cs="Arial"/>
          <w:lang w:val="en-US"/>
        </w:rPr>
        <w:t xml:space="preserve">, INSOL International web site, </w:t>
      </w:r>
      <w:hyperlink r:id="rId14" w:history="1">
        <w:r w:rsidRPr="005E4DA3">
          <w:rPr>
            <w:rStyle w:val="Hiperveza"/>
            <w:rFonts w:ascii="Arial" w:hAnsi="Arial" w:cs="Arial"/>
            <w:lang w:val="en-US"/>
          </w:rPr>
          <w:t>www.insol.org</w:t>
        </w:r>
      </w:hyperlink>
    </w:p>
    <w:p w14:paraId="151AE01C" w14:textId="65EB5BDE" w:rsidR="008C491B" w:rsidRPr="008C491B" w:rsidRDefault="008C491B" w:rsidP="008C491B">
      <w:pPr>
        <w:pStyle w:val="Odlomakpopisa"/>
        <w:numPr>
          <w:ilvl w:val="0"/>
          <w:numId w:val="2"/>
        </w:numPr>
        <w:spacing w:line="360" w:lineRule="auto"/>
        <w:jc w:val="both"/>
        <w:rPr>
          <w:rFonts w:ascii="Arial" w:hAnsi="Arial" w:cs="Arial"/>
          <w:lang w:val="en-US"/>
        </w:rPr>
      </w:pPr>
      <w:r w:rsidRPr="008C491B">
        <w:rPr>
          <w:rFonts w:ascii="Arial" w:hAnsi="Arial" w:cs="Arial"/>
          <w:lang w:val="en-US"/>
        </w:rPr>
        <w:t>John A. Churchill Jr., Please Recognize Me: The United Kingdom Should Enact the UNCITRAL Model Law on Recognition and Enforcement of Insolvency-Related Judgments, 46 Brook. J. Int'l L. 215 (2020).</w:t>
      </w:r>
      <w:r>
        <w:rPr>
          <w:rFonts w:ascii="Arial" w:hAnsi="Arial" w:cs="Arial"/>
          <w:lang w:val="en-US"/>
        </w:rPr>
        <w:t xml:space="preserve"> Last accessed on February 15, 2022 at</w:t>
      </w:r>
      <w:r w:rsidRPr="008C491B">
        <w:rPr>
          <w:rFonts w:ascii="Arial" w:hAnsi="Arial" w:cs="Arial"/>
          <w:lang w:val="en-US"/>
        </w:rPr>
        <w:t xml:space="preserve">: </w:t>
      </w:r>
      <w:hyperlink r:id="rId15" w:history="1">
        <w:r w:rsidRPr="005E4DA3">
          <w:rPr>
            <w:rStyle w:val="Hiperveza"/>
            <w:rFonts w:ascii="Arial" w:hAnsi="Arial" w:cs="Arial"/>
            <w:lang w:val="en-US"/>
          </w:rPr>
          <w:t>https://brooklynworks.brooklaw.edu/bjil/vol46/iss1/6</w:t>
        </w:r>
      </w:hyperlink>
    </w:p>
    <w:sectPr w:rsidR="008C491B" w:rsidRPr="008C491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B5C7A" w14:textId="77777777" w:rsidR="002C7685" w:rsidRDefault="002C7685" w:rsidP="00ED3A8C">
      <w:pPr>
        <w:spacing w:after="0" w:line="240" w:lineRule="auto"/>
      </w:pPr>
      <w:r>
        <w:separator/>
      </w:r>
    </w:p>
  </w:endnote>
  <w:endnote w:type="continuationSeparator" w:id="0">
    <w:p w14:paraId="43AE3254" w14:textId="77777777" w:rsidR="002C7685" w:rsidRDefault="002C7685" w:rsidP="00ED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410422"/>
      <w:docPartObj>
        <w:docPartGallery w:val="Page Numbers (Bottom of Page)"/>
        <w:docPartUnique/>
      </w:docPartObj>
    </w:sdtPr>
    <w:sdtEndPr/>
    <w:sdtContent>
      <w:p w14:paraId="4248C630" w14:textId="67FA257E" w:rsidR="00ED3A8C" w:rsidRDefault="00ED3A8C">
        <w:pPr>
          <w:pStyle w:val="Podnoje"/>
          <w:jc w:val="right"/>
        </w:pPr>
        <w:r>
          <w:fldChar w:fldCharType="begin"/>
        </w:r>
        <w:r>
          <w:instrText>PAGE   \* MERGEFORMAT</w:instrText>
        </w:r>
        <w:r>
          <w:fldChar w:fldCharType="separate"/>
        </w:r>
        <w:r>
          <w:t>2</w:t>
        </w:r>
        <w:r>
          <w:fldChar w:fldCharType="end"/>
        </w:r>
      </w:p>
    </w:sdtContent>
  </w:sdt>
  <w:p w14:paraId="2848CF56" w14:textId="77777777" w:rsidR="00ED3A8C" w:rsidRDefault="00ED3A8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68A0" w14:textId="77777777" w:rsidR="002C7685" w:rsidRDefault="002C7685" w:rsidP="00ED3A8C">
      <w:pPr>
        <w:spacing w:after="0" w:line="240" w:lineRule="auto"/>
      </w:pPr>
      <w:r>
        <w:separator/>
      </w:r>
    </w:p>
  </w:footnote>
  <w:footnote w:type="continuationSeparator" w:id="0">
    <w:p w14:paraId="0D576384" w14:textId="77777777" w:rsidR="002C7685" w:rsidRDefault="002C7685" w:rsidP="00ED3A8C">
      <w:pPr>
        <w:spacing w:after="0" w:line="240" w:lineRule="auto"/>
      </w:pPr>
      <w:r>
        <w:continuationSeparator/>
      </w:r>
    </w:p>
  </w:footnote>
  <w:footnote w:id="1">
    <w:p w14:paraId="74FD46FE" w14:textId="7CE7CEC9" w:rsidR="00C14544" w:rsidRDefault="00C14544">
      <w:pPr>
        <w:pStyle w:val="Tekstfusnote"/>
      </w:pPr>
      <w:r>
        <w:rPr>
          <w:rStyle w:val="Referencafusnote"/>
        </w:rPr>
        <w:footnoteRef/>
      </w:r>
      <w:r w:rsidRPr="00B47E37">
        <w:rPr>
          <w:rFonts w:ascii="Arial" w:hAnsi="Arial" w:cs="Arial"/>
          <w:lang w:val="en-US"/>
        </w:rPr>
        <w:t>Regulation (EU) 2015/848 of the European Parliament and of the Council of 20 May 2015 on insolvency proceedings</w:t>
      </w:r>
      <w:r>
        <w:t xml:space="preserve"> </w:t>
      </w:r>
      <w:hyperlink r:id="rId1" w:history="1">
        <w:r w:rsidRPr="005E4DA3">
          <w:rPr>
            <w:rStyle w:val="Hiperveza"/>
            <w:rFonts w:ascii="Arial" w:hAnsi="Arial" w:cs="Arial"/>
            <w:lang w:val="en-US"/>
          </w:rPr>
          <w:t>https://eur-lex.europa.eu/legal-content/EN/TXT/PDF/?uri=CELEX:32015R0848&amp;from=en</w:t>
        </w:r>
      </w:hyperlink>
    </w:p>
  </w:footnote>
  <w:footnote w:id="2">
    <w:p w14:paraId="1F790277" w14:textId="25CC2AA5" w:rsidR="00C14544" w:rsidRDefault="00C14544">
      <w:pPr>
        <w:pStyle w:val="Tekstfusnote"/>
      </w:pPr>
      <w:r>
        <w:rPr>
          <w:rStyle w:val="Referencafusnote"/>
        </w:rPr>
        <w:footnoteRef/>
      </w:r>
      <w:r>
        <w:t xml:space="preserve">Model Law on </w:t>
      </w:r>
      <w:r w:rsidRPr="001926B9">
        <w:rPr>
          <w:lang w:val="en-US"/>
        </w:rPr>
        <w:t>Recognition and Enforcement of Insolvency-Related Judgments</w:t>
      </w:r>
      <w:r w:rsidRPr="00C14544">
        <w:t xml:space="preserve"> (2018)</w:t>
      </w:r>
      <w:r>
        <w:t xml:space="preserve"> </w:t>
      </w:r>
      <w:hyperlink r:id="rId2" w:history="1">
        <w:r w:rsidRPr="005E4DA3">
          <w:rPr>
            <w:rStyle w:val="Hiperveza"/>
          </w:rPr>
          <w:t>https://uncitral.un.org/sites/uncitral.un.org/files/media-documents/uncitral/en/ml_recognition_gte_e.pdf</w:t>
        </w:r>
      </w:hyperlink>
    </w:p>
    <w:p w14:paraId="0FDA027C" w14:textId="77777777" w:rsidR="00C14544" w:rsidRDefault="00C14544">
      <w:pPr>
        <w:pStyle w:val="Tekstfusnote"/>
      </w:pPr>
    </w:p>
  </w:footnote>
  <w:footnote w:id="3">
    <w:p w14:paraId="2C3042A8" w14:textId="7BAC3E7B" w:rsidR="005246FC" w:rsidRDefault="005246FC">
      <w:pPr>
        <w:pStyle w:val="Tekstfusnote"/>
      </w:pPr>
      <w:r>
        <w:rPr>
          <w:rStyle w:val="Referencafusnote"/>
        </w:rPr>
        <w:footnoteRef/>
      </w:r>
      <w:r>
        <w:t xml:space="preserve"> </w:t>
      </w:r>
      <w:r w:rsidRPr="005246FC">
        <w:t>UNCITRAL Model Law on Cross-Border Insolvency (1997)</w:t>
      </w:r>
      <w:r>
        <w:t xml:space="preserve"> </w:t>
      </w:r>
      <w:hyperlink r:id="rId3" w:history="1">
        <w:r w:rsidRPr="005E4DA3">
          <w:rPr>
            <w:rStyle w:val="Hiperveza"/>
          </w:rPr>
          <w:t>https://uncitral.un.org/sites/uncitral.un.org/files/media-documents/uncitral/en/1997-model-law-insol-2013-guide-enactment-e.pdf</w:t>
        </w:r>
      </w:hyperlink>
    </w:p>
  </w:footnote>
  <w:footnote w:id="4">
    <w:p w14:paraId="5CF9B409" w14:textId="4684B4DA" w:rsidR="001926B9" w:rsidRDefault="001926B9">
      <w:pPr>
        <w:pStyle w:val="Tekstfusnote"/>
      </w:pPr>
      <w:r>
        <w:rPr>
          <w:rStyle w:val="Referencafusnote"/>
        </w:rPr>
        <w:footnoteRef/>
      </w:r>
      <w:r>
        <w:t xml:space="preserve"> </w:t>
      </w:r>
      <w:r w:rsidRPr="001926B9">
        <w:t>Rubin and another (Respondents) v Eurofinance SA and others (Appellants)</w:t>
      </w:r>
      <w:r>
        <w:t xml:space="preserve"> </w:t>
      </w:r>
      <w:r w:rsidRPr="001926B9">
        <w:t xml:space="preserve">[2012] UKSC 46 </w:t>
      </w:r>
      <w:hyperlink r:id="rId4" w:history="1">
        <w:r w:rsidRPr="005E4DA3">
          <w:rPr>
            <w:rStyle w:val="Hiperveza"/>
          </w:rPr>
          <w:t>https://www.supremecourt.uk/cases/uksc-2010-0184.html</w:t>
        </w:r>
      </w:hyperlink>
    </w:p>
    <w:p w14:paraId="6977FA0F" w14:textId="77777777" w:rsidR="001926B9" w:rsidRDefault="001926B9">
      <w:pPr>
        <w:pStyle w:val="Tekstfusnote"/>
      </w:pPr>
    </w:p>
  </w:footnote>
  <w:footnote w:id="5">
    <w:p w14:paraId="249B32F8" w14:textId="77777777" w:rsidR="007D7054" w:rsidRDefault="007D7054" w:rsidP="007D7054">
      <w:pPr>
        <w:pStyle w:val="Tekstfusnote"/>
      </w:pPr>
      <w:r>
        <w:rPr>
          <w:rStyle w:val="Referencafusnote"/>
        </w:rPr>
        <w:footnoteRef/>
      </w:r>
      <w:r>
        <w:t xml:space="preserve"> MLIJ Article 2 d)</w:t>
      </w:r>
    </w:p>
  </w:footnote>
  <w:footnote w:id="6">
    <w:p w14:paraId="2E3102AC" w14:textId="6A895859" w:rsidR="005C3D39" w:rsidRDefault="005C3D39">
      <w:pPr>
        <w:pStyle w:val="Tekstfusnote"/>
      </w:pPr>
      <w:r>
        <w:rPr>
          <w:rStyle w:val="Referencafusnote"/>
        </w:rPr>
        <w:footnoteRef/>
      </w:r>
      <w:r>
        <w:t xml:space="preserve"> MLIJ Preamble 1.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387"/>
    <w:multiLevelType w:val="hybridMultilevel"/>
    <w:tmpl w:val="34C4B5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E4017B4"/>
    <w:multiLevelType w:val="hybridMultilevel"/>
    <w:tmpl w:val="F56AA6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72372D"/>
    <w:multiLevelType w:val="hybridMultilevel"/>
    <w:tmpl w:val="313668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B7"/>
    <w:rsid w:val="00027BF4"/>
    <w:rsid w:val="0003664F"/>
    <w:rsid w:val="00037935"/>
    <w:rsid w:val="00052442"/>
    <w:rsid w:val="00071480"/>
    <w:rsid w:val="00074BF8"/>
    <w:rsid w:val="0007674C"/>
    <w:rsid w:val="000950FD"/>
    <w:rsid w:val="000C5989"/>
    <w:rsid w:val="001348CC"/>
    <w:rsid w:val="001926B9"/>
    <w:rsid w:val="001B45D0"/>
    <w:rsid w:val="001F727A"/>
    <w:rsid w:val="002447B7"/>
    <w:rsid w:val="00245E48"/>
    <w:rsid w:val="00251C0F"/>
    <w:rsid w:val="00275AA3"/>
    <w:rsid w:val="002B5932"/>
    <w:rsid w:val="002C7685"/>
    <w:rsid w:val="002D056D"/>
    <w:rsid w:val="002E2899"/>
    <w:rsid w:val="0031394F"/>
    <w:rsid w:val="00395C72"/>
    <w:rsid w:val="003C5575"/>
    <w:rsid w:val="003E7337"/>
    <w:rsid w:val="004073A0"/>
    <w:rsid w:val="0045618D"/>
    <w:rsid w:val="00463D4B"/>
    <w:rsid w:val="00474DB7"/>
    <w:rsid w:val="004A223D"/>
    <w:rsid w:val="005246FC"/>
    <w:rsid w:val="0053368D"/>
    <w:rsid w:val="00566701"/>
    <w:rsid w:val="005860F7"/>
    <w:rsid w:val="005C3D39"/>
    <w:rsid w:val="005E00E3"/>
    <w:rsid w:val="006414D4"/>
    <w:rsid w:val="00656908"/>
    <w:rsid w:val="0065779E"/>
    <w:rsid w:val="00687491"/>
    <w:rsid w:val="00696130"/>
    <w:rsid w:val="007255D4"/>
    <w:rsid w:val="007762B6"/>
    <w:rsid w:val="007D7054"/>
    <w:rsid w:val="00850798"/>
    <w:rsid w:val="00853A65"/>
    <w:rsid w:val="00867177"/>
    <w:rsid w:val="008C491B"/>
    <w:rsid w:val="00962F9E"/>
    <w:rsid w:val="009870AA"/>
    <w:rsid w:val="0099397B"/>
    <w:rsid w:val="009972A5"/>
    <w:rsid w:val="009B158A"/>
    <w:rsid w:val="00A353B9"/>
    <w:rsid w:val="00A36CF2"/>
    <w:rsid w:val="00A50CBE"/>
    <w:rsid w:val="00A51586"/>
    <w:rsid w:val="00AB0E0A"/>
    <w:rsid w:val="00AD0764"/>
    <w:rsid w:val="00B2452C"/>
    <w:rsid w:val="00B279EB"/>
    <w:rsid w:val="00B47E37"/>
    <w:rsid w:val="00B72DB8"/>
    <w:rsid w:val="00B8042E"/>
    <w:rsid w:val="00BA58DC"/>
    <w:rsid w:val="00BA5C2A"/>
    <w:rsid w:val="00BC5612"/>
    <w:rsid w:val="00BE0F0C"/>
    <w:rsid w:val="00C10FB2"/>
    <w:rsid w:val="00C11A0D"/>
    <w:rsid w:val="00C14544"/>
    <w:rsid w:val="00C15506"/>
    <w:rsid w:val="00C1663F"/>
    <w:rsid w:val="00C3222E"/>
    <w:rsid w:val="00C4677D"/>
    <w:rsid w:val="00C54015"/>
    <w:rsid w:val="00C74573"/>
    <w:rsid w:val="00C8509C"/>
    <w:rsid w:val="00CC7170"/>
    <w:rsid w:val="00D51A83"/>
    <w:rsid w:val="00D76C24"/>
    <w:rsid w:val="00E34A5F"/>
    <w:rsid w:val="00E353D9"/>
    <w:rsid w:val="00E7493B"/>
    <w:rsid w:val="00ED3A8C"/>
    <w:rsid w:val="00EE0C2A"/>
    <w:rsid w:val="00F16465"/>
    <w:rsid w:val="00F54E27"/>
    <w:rsid w:val="00F6250B"/>
    <w:rsid w:val="00FC3639"/>
    <w:rsid w:val="00FE1B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0F07"/>
  <w15:chartTrackingRefBased/>
  <w15:docId w15:val="{1E560149-F5B5-4D0B-BEFF-7AD0AF45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D3A8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D3A8C"/>
  </w:style>
  <w:style w:type="paragraph" w:styleId="Podnoje">
    <w:name w:val="footer"/>
    <w:basedOn w:val="Normal"/>
    <w:link w:val="PodnojeChar"/>
    <w:uiPriority w:val="99"/>
    <w:unhideWhenUsed/>
    <w:rsid w:val="00ED3A8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3A8C"/>
  </w:style>
  <w:style w:type="paragraph" w:styleId="Tekstfusnote">
    <w:name w:val="footnote text"/>
    <w:basedOn w:val="Normal"/>
    <w:link w:val="TekstfusnoteChar"/>
    <w:uiPriority w:val="99"/>
    <w:semiHidden/>
    <w:unhideWhenUsed/>
    <w:rsid w:val="00B8042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8042E"/>
    <w:rPr>
      <w:sz w:val="20"/>
      <w:szCs w:val="20"/>
    </w:rPr>
  </w:style>
  <w:style w:type="character" w:styleId="Referencafusnote">
    <w:name w:val="footnote reference"/>
    <w:basedOn w:val="Zadanifontodlomka"/>
    <w:uiPriority w:val="99"/>
    <w:semiHidden/>
    <w:unhideWhenUsed/>
    <w:rsid w:val="00B8042E"/>
    <w:rPr>
      <w:vertAlign w:val="superscript"/>
    </w:rPr>
  </w:style>
  <w:style w:type="paragraph" w:styleId="Odlomakpopisa">
    <w:name w:val="List Paragraph"/>
    <w:basedOn w:val="Normal"/>
    <w:uiPriority w:val="34"/>
    <w:qFormat/>
    <w:rsid w:val="0003664F"/>
    <w:pPr>
      <w:ind w:left="720"/>
      <w:contextualSpacing/>
    </w:pPr>
  </w:style>
  <w:style w:type="table" w:styleId="Reetkatablice">
    <w:name w:val="Table Grid"/>
    <w:basedOn w:val="Obinatablica"/>
    <w:uiPriority w:val="39"/>
    <w:rsid w:val="0086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10FB2"/>
    <w:rPr>
      <w:color w:val="0563C1" w:themeColor="hyperlink"/>
      <w:u w:val="single"/>
    </w:rPr>
  </w:style>
  <w:style w:type="character" w:styleId="Nerijeenospominjanje">
    <w:name w:val="Unresolved Mention"/>
    <w:basedOn w:val="Zadanifontodlomka"/>
    <w:uiPriority w:val="99"/>
    <w:semiHidden/>
    <w:unhideWhenUsed/>
    <w:rsid w:val="00C10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4022">
      <w:bodyDiv w:val="1"/>
      <w:marLeft w:val="0"/>
      <w:marRight w:val="0"/>
      <w:marTop w:val="0"/>
      <w:marBottom w:val="0"/>
      <w:divBdr>
        <w:top w:val="none" w:sz="0" w:space="0" w:color="auto"/>
        <w:left w:val="none" w:sz="0" w:space="0" w:color="auto"/>
        <w:bottom w:val="none" w:sz="0" w:space="0" w:color="auto"/>
        <w:right w:val="none" w:sz="0" w:space="0" w:color="auto"/>
      </w:divBdr>
    </w:div>
    <w:div w:id="445806642">
      <w:bodyDiv w:val="1"/>
      <w:marLeft w:val="0"/>
      <w:marRight w:val="0"/>
      <w:marTop w:val="0"/>
      <w:marBottom w:val="0"/>
      <w:divBdr>
        <w:top w:val="none" w:sz="0" w:space="0" w:color="auto"/>
        <w:left w:val="none" w:sz="0" w:space="0" w:color="auto"/>
        <w:bottom w:val="none" w:sz="0" w:space="0" w:color="auto"/>
        <w:right w:val="none" w:sz="0" w:space="0" w:color="auto"/>
      </w:divBdr>
    </w:div>
    <w:div w:id="741683869">
      <w:bodyDiv w:val="1"/>
      <w:marLeft w:val="0"/>
      <w:marRight w:val="0"/>
      <w:marTop w:val="0"/>
      <w:marBottom w:val="0"/>
      <w:divBdr>
        <w:top w:val="none" w:sz="0" w:space="0" w:color="auto"/>
        <w:left w:val="none" w:sz="0" w:space="0" w:color="auto"/>
        <w:bottom w:val="none" w:sz="0" w:space="0" w:color="auto"/>
        <w:right w:val="none" w:sz="0" w:space="0" w:color="auto"/>
      </w:divBdr>
    </w:div>
    <w:div w:id="1063794825">
      <w:bodyDiv w:val="1"/>
      <w:marLeft w:val="0"/>
      <w:marRight w:val="0"/>
      <w:marTop w:val="0"/>
      <w:marBottom w:val="0"/>
      <w:divBdr>
        <w:top w:val="none" w:sz="0" w:space="0" w:color="auto"/>
        <w:left w:val="none" w:sz="0" w:space="0" w:color="auto"/>
        <w:bottom w:val="none" w:sz="0" w:space="0" w:color="auto"/>
        <w:right w:val="none" w:sz="0" w:space="0" w:color="auto"/>
      </w:divBdr>
    </w:div>
    <w:div w:id="1165122664">
      <w:bodyDiv w:val="1"/>
      <w:marLeft w:val="0"/>
      <w:marRight w:val="0"/>
      <w:marTop w:val="0"/>
      <w:marBottom w:val="0"/>
      <w:divBdr>
        <w:top w:val="none" w:sz="0" w:space="0" w:color="auto"/>
        <w:left w:val="none" w:sz="0" w:space="0" w:color="auto"/>
        <w:bottom w:val="none" w:sz="0" w:space="0" w:color="auto"/>
        <w:right w:val="none" w:sz="0" w:space="0" w:color="auto"/>
      </w:divBdr>
    </w:div>
    <w:div w:id="1558398290">
      <w:bodyDiv w:val="1"/>
      <w:marLeft w:val="0"/>
      <w:marRight w:val="0"/>
      <w:marTop w:val="0"/>
      <w:marBottom w:val="0"/>
      <w:divBdr>
        <w:top w:val="none" w:sz="0" w:space="0" w:color="auto"/>
        <w:left w:val="none" w:sz="0" w:space="0" w:color="auto"/>
        <w:bottom w:val="none" w:sz="0" w:space="0" w:color="auto"/>
        <w:right w:val="none" w:sz="0" w:space="0" w:color="auto"/>
      </w:divBdr>
    </w:div>
    <w:div w:id="18692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32015R0848&amp;from=en" TargetMode="External"/><Relationship Id="rId13" Type="http://schemas.openxmlformats.org/officeDocument/2006/relationships/hyperlink" Target="https://doi.org/10.1007/s40804-021-00204-41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ol.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itral.un.org/sites/uncitral.un.org/files/media-documents/uncitral/en/1997-model-law-insol-2013-guide-enactment-e.pdf" TargetMode="External"/><Relationship Id="rId5" Type="http://schemas.openxmlformats.org/officeDocument/2006/relationships/webSettings" Target="webSettings.xml"/><Relationship Id="rId15" Type="http://schemas.openxmlformats.org/officeDocument/2006/relationships/hyperlink" Target="https://brooklynworks.brooklaw.edu/bjil/vol46/iss1/6" TargetMode="External"/><Relationship Id="rId10" Type="http://schemas.openxmlformats.org/officeDocument/2006/relationships/hyperlink" Target="https://eur-lex.europa.eu/legal-content/EN/TXT/PDF/?uri=CELEX:32012R1215&amp;from=EN" TargetMode="External"/><Relationship Id="rId4" Type="http://schemas.openxmlformats.org/officeDocument/2006/relationships/settings" Target="settings.xml"/><Relationship Id="rId9" Type="http://schemas.openxmlformats.org/officeDocument/2006/relationships/hyperlink" Target="https://uncitral.un.org/sites/uncitral.un.org/files/media-documents/uncitral/en/ml_recognition_gte_e.pdf" TargetMode="External"/><Relationship Id="rId14" Type="http://schemas.openxmlformats.org/officeDocument/2006/relationships/hyperlink" Target="http://www.insol.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citral.un.org/sites/uncitral.un.org/files/media-documents/uncitral/en/1997-model-law-insol-2013-guide-enactment-e.pdf" TargetMode="External"/><Relationship Id="rId2" Type="http://schemas.openxmlformats.org/officeDocument/2006/relationships/hyperlink" Target="https://uncitral.un.org/sites/uncitral.un.org/files/media-documents/uncitral/en/ml_recognition_gte_e.pdf" TargetMode="External"/><Relationship Id="rId1" Type="http://schemas.openxmlformats.org/officeDocument/2006/relationships/hyperlink" Target="https://eur-lex.europa.eu/legal-content/EN/TXT/PDF/?uri=CELEX:32015R0848&amp;from=en" TargetMode="External"/><Relationship Id="rId4" Type="http://schemas.openxmlformats.org/officeDocument/2006/relationships/hyperlink" Target="https://www.supremecourt.uk/cases/uksc-2010-01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34A03-BE9E-435B-9311-FFD98DF4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9</Pages>
  <Words>2837</Words>
  <Characters>16177</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Jelenko Lehki</dc:creator>
  <cp:keywords/>
  <dc:description/>
  <cp:lastModifiedBy>Jelenko Lehki</cp:lastModifiedBy>
  <cp:revision>72</cp:revision>
  <cp:lastPrinted>2022-02-15T19:03:00Z</cp:lastPrinted>
  <dcterms:created xsi:type="dcterms:W3CDTF">2022-01-30T21:59:00Z</dcterms:created>
  <dcterms:modified xsi:type="dcterms:W3CDTF">2022-02-15T20:38:00Z</dcterms:modified>
</cp:coreProperties>
</file>