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5606E8" w:rsidRDefault="007B0809" w:rsidP="004F49B5">
      <w:pPr>
        <w:pStyle w:val="AODocTxt"/>
        <w:numPr>
          <w:ilvl w:val="0"/>
          <w:numId w:val="2"/>
        </w:numPr>
        <w:spacing w:before="0" w:line="240" w:lineRule="auto"/>
        <w:ind w:left="426"/>
        <w:rPr>
          <w:rFonts w:ascii="Arial" w:hAnsi="Arial" w:cs="Arial"/>
          <w:highlight w:val="yellow"/>
        </w:rPr>
      </w:pPr>
      <w:r w:rsidRPr="005606E8">
        <w:rPr>
          <w:rFonts w:ascii="Arial" w:hAnsi="Arial" w:cs="Arial"/>
          <w:highlight w:val="yellow"/>
        </w:rPr>
        <w:t xml:space="preserve">A local advocacy </w:t>
      </w:r>
      <w:proofErr w:type="gramStart"/>
      <w:r w:rsidRPr="005606E8">
        <w:rPr>
          <w:rFonts w:ascii="Arial" w:hAnsi="Arial" w:cs="Arial"/>
          <w:highlight w:val="yellow"/>
        </w:rPr>
        <w:t>group</w:t>
      </w:r>
      <w:proofErr w:type="gramEnd"/>
      <w:r w:rsidRPr="005606E8">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5606E8" w:rsidRDefault="007B0809" w:rsidP="004F49B5">
      <w:pPr>
        <w:pStyle w:val="AODocTxt"/>
        <w:numPr>
          <w:ilvl w:val="0"/>
          <w:numId w:val="3"/>
        </w:numPr>
        <w:spacing w:before="0" w:line="240" w:lineRule="auto"/>
        <w:ind w:left="426"/>
        <w:rPr>
          <w:rFonts w:ascii="Arial" w:hAnsi="Arial" w:cs="Arial"/>
          <w:highlight w:val="yellow"/>
        </w:rPr>
      </w:pPr>
      <w:r w:rsidRPr="005606E8">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Pr="00F25806" w:rsidRDefault="007B0809" w:rsidP="004F49B5">
      <w:pPr>
        <w:pStyle w:val="AODocTxt"/>
        <w:numPr>
          <w:ilvl w:val="0"/>
          <w:numId w:val="4"/>
        </w:numPr>
        <w:spacing w:before="0" w:line="240" w:lineRule="auto"/>
        <w:ind w:left="426"/>
        <w:rPr>
          <w:rFonts w:ascii="Arial" w:hAnsi="Arial" w:cs="Arial"/>
        </w:rPr>
      </w:pPr>
      <w:r w:rsidRPr="00F25806">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F25806">
        <w:rPr>
          <w:rFonts w:ascii="Arial" w:hAnsi="Arial" w:cs="Arial"/>
          <w:highlight w:val="yellow"/>
        </w:rPr>
        <w:t>A debtor’s motion to dismiss an involuntary bankruptcy petition.</w:t>
      </w:r>
      <w:r w:rsidRPr="00E12EC4">
        <w:rPr>
          <w:rFonts w:ascii="Arial" w:hAnsi="Arial" w:cs="Arial"/>
        </w:rPr>
        <w:t xml:space="preserve">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01002D">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01002D">
        <w:rPr>
          <w:rFonts w:ascii="Arial" w:hAnsi="Arial" w:cs="Arial"/>
          <w:highlight w:val="yellow"/>
        </w:rPr>
        <w:t>Differential treatment of different classes is permitted if there is a reasonable, good faith basis for doing so and such treatment is required for the plan of reorganization to be successful</w:t>
      </w:r>
      <w:r w:rsidRPr="00E12EC4">
        <w:rPr>
          <w:rFonts w:ascii="Arial" w:hAnsi="Arial" w:cs="Arial"/>
        </w:rPr>
        <w:t xml:space="preserve">.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0F192E">
        <w:rPr>
          <w:rFonts w:ascii="Arial" w:hAnsi="Arial" w:cs="Arial"/>
          <w:highlight w:val="yellow"/>
        </w:rPr>
        <w:t>During the exclusivity period, only the debtor may propose a plan of reorganization</w:t>
      </w:r>
      <w:r w:rsidRPr="00E12EC4">
        <w:rPr>
          <w:rFonts w:ascii="Arial" w:hAnsi="Arial" w:cs="Arial"/>
        </w:rPr>
        <w:t>.</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376F86">
        <w:rPr>
          <w:rFonts w:ascii="Arial" w:hAnsi="Arial" w:cs="Arial"/>
          <w:highlight w:val="yellow"/>
        </w:rPr>
        <w:t>The automatic stay applies upon the filing of a petition for recognition</w:t>
      </w:r>
      <w:r w:rsidRPr="00E12EC4">
        <w:rPr>
          <w:rFonts w:ascii="Arial" w:hAnsi="Arial" w:cs="Arial"/>
        </w:rPr>
        <w:t>.</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21226C" w:rsidRDefault="007B0809" w:rsidP="004F49B5">
      <w:pPr>
        <w:pStyle w:val="AODocTxt"/>
        <w:numPr>
          <w:ilvl w:val="0"/>
          <w:numId w:val="9"/>
        </w:numPr>
        <w:spacing w:before="0" w:line="240" w:lineRule="auto"/>
        <w:ind w:left="426"/>
        <w:rPr>
          <w:rFonts w:ascii="Arial" w:hAnsi="Arial" w:cs="Arial"/>
          <w:highlight w:val="yellow"/>
        </w:rPr>
      </w:pPr>
      <w:r w:rsidRPr="0021226C">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21226C" w:rsidRDefault="007B0809" w:rsidP="004F49B5">
      <w:pPr>
        <w:pStyle w:val="AODocTxt"/>
        <w:numPr>
          <w:ilvl w:val="0"/>
          <w:numId w:val="10"/>
        </w:numPr>
        <w:spacing w:before="0" w:line="240" w:lineRule="auto"/>
        <w:ind w:left="426"/>
        <w:rPr>
          <w:rFonts w:ascii="Arial" w:hAnsi="Arial" w:cs="Arial"/>
          <w:highlight w:val="yellow"/>
        </w:rPr>
      </w:pPr>
      <w:r w:rsidRPr="0021226C">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CC1749" w:rsidRDefault="007B0809" w:rsidP="004F49B5">
      <w:pPr>
        <w:pStyle w:val="AODocTxt"/>
        <w:numPr>
          <w:ilvl w:val="0"/>
          <w:numId w:val="11"/>
        </w:numPr>
        <w:spacing w:before="0" w:line="240" w:lineRule="auto"/>
        <w:ind w:left="426"/>
        <w:rPr>
          <w:rFonts w:ascii="Arial" w:hAnsi="Arial" w:cs="Arial"/>
          <w:highlight w:val="yellow"/>
        </w:rPr>
      </w:pPr>
      <w:r w:rsidRPr="00CC1749">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proofErr w:type="gramStart"/>
      <w:r w:rsidRPr="00E12EC4">
        <w:rPr>
          <w:rFonts w:ascii="Arial" w:hAnsi="Arial" w:cs="Arial"/>
        </w:rPr>
        <w:t>All of</w:t>
      </w:r>
      <w:proofErr w:type="gramEnd"/>
      <w:r w:rsidRPr="00E12EC4">
        <w:rPr>
          <w:rFonts w:ascii="Arial" w:hAnsi="Arial" w:cs="Arial"/>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29557CDA" w:rsidR="00ED74BC" w:rsidRDefault="00ED74BC" w:rsidP="00323167">
      <w:pPr>
        <w:pStyle w:val="AODocTxt"/>
        <w:spacing w:before="0" w:line="240" w:lineRule="auto"/>
        <w:rPr>
          <w:rFonts w:ascii="Arial" w:hAnsi="Arial" w:cs="Arial"/>
        </w:rPr>
      </w:pPr>
    </w:p>
    <w:p w14:paraId="4FA37B74" w14:textId="77777777" w:rsidR="00162202" w:rsidRPr="00323167" w:rsidRDefault="00162202"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0853B2B" w:rsidR="00E12EC4" w:rsidRDefault="00944EF6" w:rsidP="00E12EC4">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Voluntary petition is filed by a debtor itself.  </w:t>
      </w:r>
    </w:p>
    <w:p w14:paraId="123B8411" w14:textId="0F23E376" w:rsidR="00944EF6" w:rsidRDefault="00944EF6" w:rsidP="00E12EC4">
      <w:pPr>
        <w:jc w:val="both"/>
        <w:rPr>
          <w:rFonts w:ascii="Arial" w:hAnsi="Arial" w:cs="Arial"/>
          <w:color w:val="4472C4" w:themeColor="accent1"/>
          <w:sz w:val="22"/>
          <w:szCs w:val="22"/>
          <w:lang w:val="en-GB"/>
        </w:rPr>
      </w:pPr>
    </w:p>
    <w:p w14:paraId="6D5BD08E" w14:textId="205B7BA0" w:rsidR="00944EF6" w:rsidRDefault="00944EF6" w:rsidP="00E12EC4">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Involuntary petition is filed by creditor(s).  There are </w:t>
      </w:r>
      <w:r w:rsidR="00F8715F">
        <w:rPr>
          <w:rFonts w:ascii="Arial" w:hAnsi="Arial" w:cs="Arial"/>
          <w:color w:val="4472C4" w:themeColor="accent1"/>
          <w:sz w:val="22"/>
          <w:szCs w:val="22"/>
          <w:lang w:val="en-GB"/>
        </w:rPr>
        <w:t>several</w:t>
      </w:r>
      <w:r>
        <w:rPr>
          <w:rFonts w:ascii="Arial" w:hAnsi="Arial" w:cs="Arial"/>
          <w:color w:val="4472C4" w:themeColor="accent1"/>
          <w:sz w:val="22"/>
          <w:szCs w:val="22"/>
          <w:lang w:val="en-GB"/>
        </w:rPr>
        <w:t xml:space="preserve"> conditions to meet:  </w:t>
      </w:r>
    </w:p>
    <w:p w14:paraId="1257F4EE" w14:textId="77777777" w:rsidR="00E25C68" w:rsidRDefault="00944EF6" w:rsidP="00944EF6">
      <w:pPr>
        <w:pStyle w:val="ListParagraph"/>
        <w:numPr>
          <w:ilvl w:val="0"/>
          <w:numId w:val="14"/>
        </w:numPr>
        <w:jc w:val="both"/>
        <w:rPr>
          <w:rFonts w:ascii="Arial" w:hAnsi="Arial" w:cs="Arial"/>
          <w:color w:val="4472C4" w:themeColor="accent1"/>
          <w:sz w:val="22"/>
          <w:szCs w:val="22"/>
          <w:lang w:val="en-GB"/>
        </w:rPr>
      </w:pPr>
      <w:r w:rsidRPr="00E25C68">
        <w:rPr>
          <w:rFonts w:ascii="Arial" w:hAnsi="Arial" w:cs="Arial"/>
          <w:color w:val="4472C4" w:themeColor="accent1"/>
          <w:sz w:val="22"/>
          <w:szCs w:val="22"/>
          <w:lang w:val="en-GB"/>
        </w:rPr>
        <w:t xml:space="preserve">If the number of creditors is less than 12, one creditor may petition.  </w:t>
      </w:r>
    </w:p>
    <w:p w14:paraId="2EFB5850" w14:textId="535C0070" w:rsidR="00323167" w:rsidRDefault="00944EF6" w:rsidP="00944EF6">
      <w:pPr>
        <w:pStyle w:val="ListParagraph"/>
        <w:numPr>
          <w:ilvl w:val="0"/>
          <w:numId w:val="14"/>
        </w:numPr>
        <w:jc w:val="both"/>
        <w:rPr>
          <w:rFonts w:ascii="Arial" w:hAnsi="Arial" w:cs="Arial"/>
          <w:color w:val="4472C4" w:themeColor="accent1"/>
          <w:sz w:val="22"/>
          <w:szCs w:val="22"/>
          <w:lang w:val="en-GB"/>
        </w:rPr>
      </w:pPr>
      <w:r w:rsidRPr="00E25C68">
        <w:rPr>
          <w:rFonts w:ascii="Arial" w:hAnsi="Arial" w:cs="Arial"/>
          <w:color w:val="4472C4" w:themeColor="accent1"/>
          <w:sz w:val="22"/>
          <w:szCs w:val="22"/>
          <w:lang w:val="en-GB"/>
        </w:rPr>
        <w:t xml:space="preserve">If the number of creditors is 12 or more, the minimum number of creditors required to petition is 3. </w:t>
      </w:r>
    </w:p>
    <w:p w14:paraId="0B89A873" w14:textId="2C1D1A74" w:rsidR="00E25C68" w:rsidRDefault="00E25C68" w:rsidP="00944EF6">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creditor debt must be non-contingent, and the debt must be bona fide.  </w:t>
      </w:r>
    </w:p>
    <w:p w14:paraId="2114A2ED" w14:textId="0401E9BC" w:rsidR="00E25C68" w:rsidRPr="00E25C68" w:rsidRDefault="00E25C68" w:rsidP="00944EF6">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debt owed to creditors must be at least </w:t>
      </w:r>
      <w:r w:rsidR="00F25806">
        <w:rPr>
          <w:rFonts w:ascii="Arial" w:hAnsi="Arial" w:cs="Arial"/>
          <w:color w:val="4472C4" w:themeColor="accent1"/>
          <w:sz w:val="22"/>
          <w:szCs w:val="22"/>
          <w:lang w:val="en-GB"/>
        </w:rPr>
        <w:t>USD</w:t>
      </w:r>
      <w:r>
        <w:rPr>
          <w:rFonts w:ascii="Arial" w:hAnsi="Arial" w:cs="Arial"/>
          <w:color w:val="4472C4" w:themeColor="accent1"/>
          <w:sz w:val="22"/>
          <w:szCs w:val="22"/>
          <w:lang w:val="en-GB"/>
        </w:rPr>
        <w:t>15,775 (the amount is adjusted periodically</w:t>
      </w:r>
      <w:r w:rsidR="00F25806">
        <w:rPr>
          <w:rFonts w:ascii="Arial" w:hAnsi="Arial" w:cs="Arial"/>
          <w:color w:val="4472C4" w:themeColor="accent1"/>
          <w:sz w:val="22"/>
          <w:szCs w:val="22"/>
          <w:lang w:val="en-GB"/>
        </w:rPr>
        <w:t xml:space="preserve"> for inflation</w:t>
      </w:r>
      <w:r>
        <w:rPr>
          <w:rFonts w:ascii="Arial" w:hAnsi="Arial" w:cs="Arial"/>
          <w:color w:val="4472C4" w:themeColor="accent1"/>
          <w:sz w:val="22"/>
          <w:szCs w:val="22"/>
          <w:lang w:val="en-GB"/>
        </w:rPr>
        <w:t xml:space="preserve">).  </w:t>
      </w:r>
    </w:p>
    <w:p w14:paraId="2F922DDB" w14:textId="77777777" w:rsidR="00E12EC4" w:rsidRPr="00323167" w:rsidRDefault="00E12EC4" w:rsidP="00323167">
      <w:pPr>
        <w:pStyle w:val="AODocTxt"/>
        <w:spacing w:before="0" w:line="240" w:lineRule="auto"/>
        <w:rPr>
          <w:rFonts w:ascii="Arial" w:hAnsi="Arial" w:cs="Arial"/>
        </w:rPr>
      </w:pPr>
    </w:p>
    <w:p w14:paraId="72D4F16D" w14:textId="77777777" w:rsidR="00162202" w:rsidRDefault="00162202" w:rsidP="00323167">
      <w:pPr>
        <w:pStyle w:val="AODocTxt"/>
        <w:spacing w:before="0" w:line="240" w:lineRule="auto"/>
        <w:rPr>
          <w:rFonts w:ascii="Arial" w:hAnsi="Arial" w:cs="Arial"/>
          <w:b/>
        </w:rPr>
      </w:pPr>
    </w:p>
    <w:p w14:paraId="6F155D90" w14:textId="4DC3FD30"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3B7DFC2E" w:rsidR="00E12EC4" w:rsidRDefault="00F8715F" w:rsidP="00E12EC4">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Consequence of a violation of the automatic stay includes – </w:t>
      </w:r>
    </w:p>
    <w:p w14:paraId="40C899BF" w14:textId="362DE99F" w:rsidR="00F8715F" w:rsidRDefault="002D1C59" w:rsidP="002D1C59">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Violator commits a contempt of court</w:t>
      </w:r>
    </w:p>
    <w:p w14:paraId="1A684770" w14:textId="7C350D75" w:rsidR="002D1C59" w:rsidRDefault="002D1C59" w:rsidP="002D1C59">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w:t>
      </w:r>
      <w:r w:rsidR="00F25806">
        <w:rPr>
          <w:rFonts w:ascii="Arial" w:hAnsi="Arial" w:cs="Arial"/>
          <w:color w:val="4472C4" w:themeColor="accent1"/>
          <w:sz w:val="22"/>
          <w:szCs w:val="22"/>
          <w:lang w:val="en-GB"/>
        </w:rPr>
        <w:t>contemptuous</w:t>
      </w:r>
      <w:r>
        <w:rPr>
          <w:rFonts w:ascii="Arial" w:hAnsi="Arial" w:cs="Arial"/>
          <w:color w:val="4472C4" w:themeColor="accent1"/>
          <w:sz w:val="22"/>
          <w:szCs w:val="22"/>
          <w:lang w:val="en-GB"/>
        </w:rPr>
        <w:t xml:space="preserve"> act is void or voidable.  </w:t>
      </w:r>
    </w:p>
    <w:p w14:paraId="3E70D8AA" w14:textId="1F7748B7" w:rsidR="002D1C59" w:rsidRDefault="002D1C59" w:rsidP="002D1C59">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violator may be imposed with sanctions by the court – the court may require the violator to pay debtor’s attorneys’ fee (being the costs suffered by the debtor).  </w:t>
      </w:r>
    </w:p>
    <w:p w14:paraId="5C4F8B9C" w14:textId="288187F0" w:rsidR="002D1C59" w:rsidRPr="002D1C59" w:rsidRDefault="002D1C59" w:rsidP="002D1C59">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violator may also be required by the court to take affirmative acts to undo the effect of the violation.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14FAB6BA" w:rsidR="00E12EC4" w:rsidRDefault="00BD3BA8" w:rsidP="00BD3BA8">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 claim is “impaired” when its legal, equitable and contractual rights are adversely affected.  </w:t>
      </w:r>
    </w:p>
    <w:p w14:paraId="7140B83D" w14:textId="6697B8EA" w:rsidR="00F83E65" w:rsidRPr="00F83E65" w:rsidRDefault="00F83E65" w:rsidP="00F83E65">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Impaired claim is entitled to vote. However, </w:t>
      </w:r>
      <w:r w:rsidR="000D6C84">
        <w:rPr>
          <w:rFonts w:ascii="Arial" w:hAnsi="Arial" w:cs="Arial"/>
          <w:color w:val="4472C4" w:themeColor="accent1"/>
          <w:sz w:val="22"/>
          <w:szCs w:val="22"/>
          <w:lang w:val="en-GB"/>
        </w:rPr>
        <w:t xml:space="preserve">where the impaired claim is </w:t>
      </w:r>
      <w:r w:rsidR="00F25806">
        <w:rPr>
          <w:rFonts w:ascii="Arial" w:hAnsi="Arial" w:cs="Arial"/>
          <w:color w:val="4472C4" w:themeColor="accent1"/>
          <w:sz w:val="22"/>
          <w:szCs w:val="22"/>
          <w:lang w:val="en-GB"/>
        </w:rPr>
        <w:t>compensated for</w:t>
      </w:r>
      <w:r w:rsidR="005D42F8">
        <w:rPr>
          <w:rFonts w:ascii="Arial" w:hAnsi="Arial" w:cs="Arial"/>
          <w:color w:val="4472C4" w:themeColor="accent1"/>
          <w:sz w:val="22"/>
          <w:szCs w:val="22"/>
          <w:lang w:val="en-GB"/>
        </w:rPr>
        <w:t xml:space="preserve"> the pecuniary loss or damages suffered (</w:t>
      </w:r>
      <w:r w:rsidR="00F25806">
        <w:rPr>
          <w:rFonts w:ascii="Arial" w:hAnsi="Arial" w:cs="Arial"/>
          <w:color w:val="4472C4" w:themeColor="accent1"/>
          <w:sz w:val="22"/>
          <w:szCs w:val="22"/>
          <w:lang w:val="en-GB"/>
        </w:rPr>
        <w:t>to the extent</w:t>
      </w:r>
      <w:r w:rsidR="005D42F8">
        <w:rPr>
          <w:rFonts w:ascii="Arial" w:hAnsi="Arial" w:cs="Arial"/>
          <w:color w:val="4472C4" w:themeColor="accent1"/>
          <w:sz w:val="22"/>
          <w:szCs w:val="22"/>
          <w:lang w:val="en-GB"/>
        </w:rPr>
        <w:t xml:space="preserve"> that it does not alter the legal, equitable, or contractual rights of </w:t>
      </w:r>
      <w:r w:rsidR="00DF2C54">
        <w:rPr>
          <w:rFonts w:ascii="Arial" w:hAnsi="Arial" w:cs="Arial"/>
          <w:color w:val="4472C4" w:themeColor="accent1"/>
          <w:sz w:val="22"/>
          <w:szCs w:val="22"/>
          <w:lang w:val="en-GB"/>
        </w:rPr>
        <w:t>the</w:t>
      </w:r>
      <w:r w:rsidR="005D42F8">
        <w:rPr>
          <w:rFonts w:ascii="Arial" w:hAnsi="Arial" w:cs="Arial"/>
          <w:color w:val="4472C4" w:themeColor="accent1"/>
          <w:sz w:val="22"/>
          <w:szCs w:val="22"/>
          <w:lang w:val="en-GB"/>
        </w:rPr>
        <w:t xml:space="preserve"> claim)</w:t>
      </w:r>
      <w:r w:rsidR="000D6C84">
        <w:rPr>
          <w:rFonts w:ascii="Arial" w:hAnsi="Arial" w:cs="Arial"/>
          <w:color w:val="4472C4" w:themeColor="accent1"/>
          <w:sz w:val="22"/>
          <w:szCs w:val="22"/>
          <w:lang w:val="en-GB"/>
        </w:rPr>
        <w:t>, the claim will be deemed “un-impaired, consequently not entitled to vote</w:t>
      </w:r>
      <w:r w:rsidR="00C613FA">
        <w:rPr>
          <w:rFonts w:ascii="Arial" w:hAnsi="Arial" w:cs="Arial"/>
          <w:color w:val="4472C4" w:themeColor="accent1"/>
          <w:sz w:val="22"/>
          <w:szCs w:val="22"/>
          <w:lang w:val="en-GB"/>
        </w:rPr>
        <w:t>.</w:t>
      </w:r>
      <w:r w:rsidR="000D6C84">
        <w:rPr>
          <w:rFonts w:ascii="Arial" w:hAnsi="Arial" w:cs="Arial"/>
          <w:color w:val="4472C4" w:themeColor="accent1"/>
          <w:sz w:val="22"/>
          <w:szCs w:val="22"/>
          <w:lang w:val="en-GB"/>
        </w:rPr>
        <w:t xml:space="preserve">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7CADBF67" w14:textId="1882EA61" w:rsidR="0059276E" w:rsidRDefault="0059276E" w:rsidP="0059276E">
      <w:pPr>
        <w:pStyle w:val="ListParagraph"/>
        <w:numPr>
          <w:ilvl w:val="0"/>
          <w:numId w:val="17"/>
        </w:numPr>
        <w:jc w:val="both"/>
        <w:rPr>
          <w:rFonts w:ascii="Arial" w:hAnsi="Arial" w:cs="Arial"/>
          <w:color w:val="4472C4" w:themeColor="accent1"/>
          <w:sz w:val="22"/>
          <w:szCs w:val="22"/>
          <w:lang w:val="en-GB"/>
        </w:rPr>
      </w:pPr>
      <w:r w:rsidRPr="0059276E">
        <w:rPr>
          <w:rFonts w:ascii="Arial" w:hAnsi="Arial" w:cs="Arial"/>
          <w:color w:val="4472C4" w:themeColor="accent1"/>
          <w:sz w:val="22"/>
          <w:szCs w:val="22"/>
          <w:lang w:val="en-GB"/>
        </w:rPr>
        <w:t>Preference arises if the debtor pay a creditor</w:t>
      </w:r>
      <w:r w:rsidR="00F94FE9">
        <w:rPr>
          <w:rFonts w:ascii="Arial" w:hAnsi="Arial" w:cs="Arial"/>
          <w:color w:val="4472C4" w:themeColor="accent1"/>
          <w:sz w:val="22"/>
          <w:szCs w:val="22"/>
          <w:lang w:val="en-GB"/>
        </w:rPr>
        <w:t>’s</w:t>
      </w:r>
      <w:r w:rsidRPr="0059276E">
        <w:rPr>
          <w:rFonts w:ascii="Arial" w:hAnsi="Arial" w:cs="Arial"/>
          <w:color w:val="4472C4" w:themeColor="accent1"/>
          <w:sz w:val="22"/>
          <w:szCs w:val="22"/>
          <w:lang w:val="en-GB"/>
        </w:rPr>
        <w:t xml:space="preserve"> pre-existing debt.  </w:t>
      </w:r>
    </w:p>
    <w:p w14:paraId="6F2B0B53" w14:textId="3A106E3D" w:rsidR="00E12EC4" w:rsidRPr="0059276E" w:rsidRDefault="0059276E" w:rsidP="0059276E">
      <w:pPr>
        <w:pStyle w:val="ListParagraph"/>
        <w:numPr>
          <w:ilvl w:val="0"/>
          <w:numId w:val="17"/>
        </w:numPr>
        <w:jc w:val="both"/>
        <w:rPr>
          <w:rFonts w:ascii="Arial" w:hAnsi="Arial" w:cs="Arial"/>
          <w:color w:val="4472C4" w:themeColor="accent1"/>
          <w:sz w:val="22"/>
          <w:szCs w:val="22"/>
          <w:lang w:val="en-GB"/>
        </w:rPr>
      </w:pPr>
      <w:r w:rsidRPr="0059276E">
        <w:rPr>
          <w:rFonts w:ascii="Arial" w:hAnsi="Arial" w:cs="Arial"/>
          <w:color w:val="4472C4" w:themeColor="accent1"/>
          <w:sz w:val="22"/>
          <w:szCs w:val="22"/>
          <w:lang w:val="en-GB"/>
        </w:rPr>
        <w:t xml:space="preserve">However, a contemporaneous exchange of value is not a preference. </w:t>
      </w:r>
      <w:r>
        <w:rPr>
          <w:rFonts w:ascii="Arial" w:hAnsi="Arial" w:cs="Arial"/>
          <w:color w:val="4472C4" w:themeColor="accent1"/>
          <w:sz w:val="22"/>
          <w:szCs w:val="22"/>
          <w:lang w:val="en-GB"/>
        </w:rPr>
        <w:t xml:space="preserve">In other words, if a creditor provides “valuable consideration” </w:t>
      </w:r>
      <w:r w:rsidR="00353099">
        <w:rPr>
          <w:rFonts w:ascii="Arial" w:hAnsi="Arial" w:cs="Arial"/>
          <w:color w:val="4472C4" w:themeColor="accent1"/>
          <w:sz w:val="22"/>
          <w:szCs w:val="22"/>
          <w:lang w:val="en-GB"/>
        </w:rPr>
        <w:t>(where the debtor receive</w:t>
      </w:r>
      <w:r w:rsidR="00F94FE9">
        <w:rPr>
          <w:rFonts w:ascii="Arial" w:hAnsi="Arial" w:cs="Arial"/>
          <w:color w:val="4472C4" w:themeColor="accent1"/>
          <w:sz w:val="22"/>
          <w:szCs w:val="22"/>
          <w:lang w:val="en-GB"/>
        </w:rPr>
        <w:t>s</w:t>
      </w:r>
      <w:r w:rsidR="00353099">
        <w:rPr>
          <w:rFonts w:ascii="Arial" w:hAnsi="Arial" w:cs="Arial"/>
          <w:color w:val="4472C4" w:themeColor="accent1"/>
          <w:sz w:val="22"/>
          <w:szCs w:val="22"/>
          <w:lang w:val="en-GB"/>
        </w:rPr>
        <w:t xml:space="preserve"> </w:t>
      </w:r>
      <w:r w:rsidR="00C613FA">
        <w:rPr>
          <w:rFonts w:ascii="Arial" w:hAnsi="Arial" w:cs="Arial"/>
          <w:color w:val="4472C4" w:themeColor="accent1"/>
          <w:sz w:val="22"/>
          <w:szCs w:val="22"/>
          <w:lang w:val="en-GB"/>
        </w:rPr>
        <w:t>value</w:t>
      </w:r>
      <w:r w:rsidR="00353099">
        <w:rPr>
          <w:rFonts w:ascii="Arial" w:hAnsi="Arial" w:cs="Arial"/>
          <w:color w:val="4472C4" w:themeColor="accent1"/>
          <w:sz w:val="22"/>
          <w:szCs w:val="22"/>
          <w:lang w:val="en-GB"/>
        </w:rPr>
        <w:t xml:space="preserve"> equivalent in value in exchange) </w:t>
      </w:r>
      <w:r>
        <w:rPr>
          <w:rFonts w:ascii="Arial" w:hAnsi="Arial" w:cs="Arial"/>
          <w:color w:val="4472C4" w:themeColor="accent1"/>
          <w:sz w:val="22"/>
          <w:szCs w:val="22"/>
          <w:lang w:val="en-GB"/>
        </w:rPr>
        <w:t>and the creditor</w:t>
      </w:r>
      <w:r w:rsidR="00785B5D">
        <w:rPr>
          <w:rFonts w:ascii="Arial" w:hAnsi="Arial" w:cs="Arial"/>
          <w:color w:val="4472C4" w:themeColor="accent1"/>
          <w:sz w:val="22"/>
          <w:szCs w:val="22"/>
          <w:lang w:val="en-GB"/>
        </w:rPr>
        <w:t xml:space="preserve"> receives the payment from the debtor</w:t>
      </w:r>
      <w:r>
        <w:rPr>
          <w:rFonts w:ascii="Arial" w:hAnsi="Arial" w:cs="Arial"/>
          <w:color w:val="4472C4" w:themeColor="accent1"/>
          <w:sz w:val="22"/>
          <w:szCs w:val="22"/>
          <w:lang w:val="en-GB"/>
        </w:rPr>
        <w:t xml:space="preserve">, it is not a preference.  </w:t>
      </w:r>
    </w:p>
    <w:p w14:paraId="4E388149" w14:textId="77777777" w:rsidR="005B2A9B" w:rsidRPr="00E12EC4" w:rsidRDefault="005B2A9B" w:rsidP="0059276E">
      <w:pPr>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D09318B" w:rsidR="005B2A9B" w:rsidRDefault="001A6524" w:rsidP="001A6524">
      <w:pPr>
        <w:pStyle w:val="ListParagraph"/>
        <w:numPr>
          <w:ilvl w:val="0"/>
          <w:numId w:val="18"/>
        </w:numPr>
        <w:ind w:left="78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It is presumed that a debtor is insolvent during the 90 days prior to the petition date.  </w:t>
      </w:r>
    </w:p>
    <w:p w14:paraId="04BE677C" w14:textId="1B2416DB" w:rsidR="001A6524" w:rsidRDefault="001A6524" w:rsidP="001A6524">
      <w:pPr>
        <w:pStyle w:val="ListParagraph"/>
        <w:numPr>
          <w:ilvl w:val="0"/>
          <w:numId w:val="18"/>
        </w:numPr>
        <w:ind w:left="786"/>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90 days is known as</w:t>
      </w:r>
      <w:r w:rsidR="00E608EA">
        <w:rPr>
          <w:rFonts w:ascii="Arial" w:hAnsi="Arial" w:cs="Arial"/>
          <w:color w:val="4472C4" w:themeColor="accent1"/>
          <w:sz w:val="22"/>
          <w:szCs w:val="22"/>
          <w:lang w:val="en-GB"/>
        </w:rPr>
        <w:t xml:space="preserve"> “suspect period”.  </w:t>
      </w:r>
    </w:p>
    <w:p w14:paraId="528D93AB" w14:textId="4A6CA89A" w:rsidR="00E608EA" w:rsidRPr="001A6524" w:rsidRDefault="00E608EA" w:rsidP="001A6524">
      <w:pPr>
        <w:pStyle w:val="ListParagraph"/>
        <w:numPr>
          <w:ilvl w:val="0"/>
          <w:numId w:val="18"/>
        </w:numPr>
        <w:ind w:left="78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presumption of insolvency may be rebutted by the creditor with evidence.  However, the burden of proofing that it is a preference rest </w:t>
      </w:r>
      <w:r w:rsidR="00F94FE9">
        <w:rPr>
          <w:rFonts w:ascii="Arial" w:hAnsi="Arial" w:cs="Arial"/>
          <w:color w:val="4472C4" w:themeColor="accent1"/>
          <w:sz w:val="22"/>
          <w:szCs w:val="22"/>
          <w:lang w:val="en-GB"/>
        </w:rPr>
        <w:t>with</w:t>
      </w:r>
      <w:r>
        <w:rPr>
          <w:rFonts w:ascii="Arial" w:hAnsi="Arial" w:cs="Arial"/>
          <w:color w:val="4472C4" w:themeColor="accent1"/>
          <w:sz w:val="22"/>
          <w:szCs w:val="22"/>
          <w:lang w:val="en-GB"/>
        </w:rPr>
        <w:t xml:space="preserve"> the trustee or debtor</w:t>
      </w:r>
      <w:r w:rsidR="00F94FE9">
        <w:rPr>
          <w:rFonts w:ascii="Arial" w:hAnsi="Arial" w:cs="Arial"/>
          <w:color w:val="4472C4" w:themeColor="accent1"/>
          <w:sz w:val="22"/>
          <w:szCs w:val="22"/>
          <w:lang w:val="en-GB"/>
        </w:rPr>
        <w:t xml:space="preserve">.  </w:t>
      </w:r>
    </w:p>
    <w:p w14:paraId="76059889" w14:textId="6B9EA960" w:rsidR="00DC359F" w:rsidRPr="001A6524" w:rsidRDefault="00DC359F" w:rsidP="001A6524">
      <w:pPr>
        <w:pStyle w:val="AODocTxt"/>
        <w:spacing w:before="0" w:line="240" w:lineRule="auto"/>
        <w:ind w:firstLine="426"/>
        <w:rPr>
          <w:rFonts w:ascii="Arial" w:hAnsi="Arial" w:cs="Arial"/>
          <w:color w:val="4472C4" w:themeColor="accent1"/>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0D4FA603" w14:textId="19E10237" w:rsidR="00785B5D" w:rsidRDefault="00785B5D" w:rsidP="00D9426C">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course of action resulted in the creditor improving its position as compared to the what the creditor would have obtained in liquidation, it would be a preference intending to frustrate creditors’ recovery.  </w:t>
      </w:r>
    </w:p>
    <w:p w14:paraId="550BC6B7" w14:textId="2E1EAE6E" w:rsidR="00BE3E83" w:rsidRDefault="00785B5D" w:rsidP="00D9426C">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transaction took place outside the “suspect period”, </w:t>
      </w:r>
      <w:r w:rsidR="00C613FA">
        <w:rPr>
          <w:rFonts w:ascii="Arial" w:hAnsi="Arial" w:cs="Arial"/>
          <w:color w:val="4472C4" w:themeColor="accent1"/>
          <w:sz w:val="22"/>
          <w:szCs w:val="22"/>
          <w:lang w:val="en-GB"/>
        </w:rPr>
        <w:t xml:space="preserve">the assumption does not apply.  To prove that a transaction is a preference, </w:t>
      </w:r>
      <w:r w:rsidR="00D9426C">
        <w:rPr>
          <w:rFonts w:ascii="Arial" w:hAnsi="Arial" w:cs="Arial"/>
          <w:color w:val="4472C4" w:themeColor="accent1"/>
          <w:sz w:val="22"/>
          <w:szCs w:val="22"/>
          <w:lang w:val="en-GB"/>
        </w:rPr>
        <w:t xml:space="preserve">the trustee or debtor </w:t>
      </w:r>
      <w:r>
        <w:rPr>
          <w:rFonts w:ascii="Arial" w:hAnsi="Arial" w:cs="Arial"/>
          <w:color w:val="4472C4" w:themeColor="accent1"/>
          <w:sz w:val="22"/>
          <w:szCs w:val="22"/>
          <w:lang w:val="en-GB"/>
        </w:rPr>
        <w:t xml:space="preserve">must adduce evidence that it was intended </w:t>
      </w:r>
      <w:r w:rsidR="00D9426C">
        <w:rPr>
          <w:rFonts w:ascii="Arial" w:hAnsi="Arial" w:cs="Arial"/>
          <w:color w:val="4472C4" w:themeColor="accent1"/>
          <w:sz w:val="22"/>
          <w:szCs w:val="22"/>
          <w:lang w:val="en-GB"/>
        </w:rPr>
        <w:t>to frustrate creditor’s recoverie</w:t>
      </w:r>
      <w:r w:rsidR="00F94FE9">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 for example, at the time the transaction took place, the debtor was already </w:t>
      </w:r>
      <w:r w:rsidR="000750C7">
        <w:rPr>
          <w:rFonts w:ascii="Arial" w:hAnsi="Arial" w:cs="Arial"/>
          <w:color w:val="4472C4" w:themeColor="accent1"/>
          <w:sz w:val="22"/>
          <w:szCs w:val="22"/>
          <w:lang w:val="en-GB"/>
        </w:rPr>
        <w:t>insolvent,</w:t>
      </w:r>
      <w:r w:rsidR="00C613FA">
        <w:rPr>
          <w:rFonts w:ascii="Arial" w:hAnsi="Arial" w:cs="Arial"/>
          <w:color w:val="4472C4" w:themeColor="accent1"/>
          <w:sz w:val="22"/>
          <w:szCs w:val="22"/>
          <w:lang w:val="en-GB"/>
        </w:rPr>
        <w:t xml:space="preserve"> and that the creditor has knowledge of insolvency.  </w:t>
      </w:r>
    </w:p>
    <w:p w14:paraId="6A01C6BE" w14:textId="5A1E3CB5" w:rsidR="001641C3" w:rsidRDefault="00785B5D" w:rsidP="00BE3E83">
      <w:pPr>
        <w:pStyle w:val="ListParagraph"/>
        <w:ind w:left="78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26AC6B98" w14:textId="192B5282" w:rsidR="00D9426C" w:rsidRPr="00D9426C" w:rsidRDefault="001641C3" w:rsidP="000750C7">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Another course of actions that the debtor be proven to have intended to frustrate creditors’ recoveries are those transactions (course of actions) that constitute fraudulent conveyances (actual or constructive).  </w:t>
      </w:r>
      <w:r w:rsidR="000750C7">
        <w:rPr>
          <w:rFonts w:ascii="Arial" w:hAnsi="Arial" w:cs="Arial"/>
          <w:color w:val="4472C4" w:themeColor="accent1"/>
          <w:sz w:val="22"/>
          <w:szCs w:val="22"/>
          <w:lang w:val="en-GB"/>
        </w:rPr>
        <w:t>Examples of those transactions are sale of debtor’s asset at</w:t>
      </w:r>
      <w:r>
        <w:rPr>
          <w:rFonts w:ascii="Arial" w:hAnsi="Arial" w:cs="Arial"/>
          <w:color w:val="4472C4" w:themeColor="accent1"/>
          <w:sz w:val="22"/>
          <w:szCs w:val="22"/>
          <w:lang w:val="en-GB"/>
        </w:rPr>
        <w:t xml:space="preserve"> an “undervalue” (sale of asset at a value below the market value) or</w:t>
      </w:r>
      <w:r w:rsidR="000750C7">
        <w:rPr>
          <w:rFonts w:ascii="Arial" w:hAnsi="Arial" w:cs="Arial"/>
          <w:color w:val="4472C4" w:themeColor="accent1"/>
          <w:sz w:val="22"/>
          <w:szCs w:val="22"/>
          <w:lang w:val="en-GB"/>
        </w:rPr>
        <w:t xml:space="preserve"> purchase of assets from suppliers at an</w:t>
      </w:r>
      <w:r>
        <w:rPr>
          <w:rFonts w:ascii="Arial" w:hAnsi="Arial" w:cs="Arial"/>
          <w:color w:val="4472C4" w:themeColor="accent1"/>
          <w:sz w:val="22"/>
          <w:szCs w:val="22"/>
          <w:lang w:val="en-GB"/>
        </w:rPr>
        <w:t xml:space="preserve"> “over-value” (purchase of asset at a value higher than the market value)</w:t>
      </w:r>
      <w:r w:rsidR="00BE3E83">
        <w:rPr>
          <w:rFonts w:ascii="Arial" w:hAnsi="Arial" w:cs="Arial"/>
          <w:color w:val="4472C4" w:themeColor="accent1"/>
          <w:sz w:val="22"/>
          <w:szCs w:val="22"/>
          <w:lang w:val="en-GB"/>
        </w:rPr>
        <w:t xml:space="preserve">.  </w:t>
      </w:r>
      <w:r w:rsidR="000750C7">
        <w:rPr>
          <w:rFonts w:ascii="Arial" w:hAnsi="Arial" w:cs="Arial"/>
          <w:color w:val="4472C4" w:themeColor="accent1"/>
          <w:sz w:val="22"/>
          <w:szCs w:val="22"/>
          <w:lang w:val="en-GB"/>
        </w:rPr>
        <w:t xml:space="preserve">These would be transactions that would be regarded as transactions “intend to delay, hinder or frustrate recoveries by debtors”. </w:t>
      </w:r>
      <w:r w:rsidR="00BE3E83">
        <w:rPr>
          <w:rFonts w:ascii="Arial" w:hAnsi="Arial" w:cs="Arial"/>
          <w:color w:val="4472C4" w:themeColor="accent1"/>
          <w:sz w:val="22"/>
          <w:szCs w:val="22"/>
          <w:lang w:val="en-GB"/>
        </w:rPr>
        <w:t xml:space="preserve">To fall within fraudulent conveyance, certain elements must be present at the time of the transactions.  </w:t>
      </w:r>
      <w:r w:rsidR="00F94FE9">
        <w:rPr>
          <w:rFonts w:ascii="Arial" w:hAnsi="Arial" w:cs="Arial"/>
          <w:color w:val="4472C4" w:themeColor="accent1"/>
          <w:sz w:val="22"/>
          <w:szCs w:val="22"/>
          <w:lang w:val="en-GB"/>
        </w:rPr>
        <w:t xml:space="preserve">  </w:t>
      </w:r>
      <w:r w:rsidR="00D9426C">
        <w:rPr>
          <w:rFonts w:ascii="Arial" w:hAnsi="Arial" w:cs="Arial"/>
          <w:color w:val="4472C4" w:themeColor="accent1"/>
          <w:sz w:val="22"/>
          <w:szCs w:val="22"/>
          <w:lang w:val="en-GB"/>
        </w:rPr>
        <w:t xml:space="preserve">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074725F5" w:rsidR="005B2A9B" w:rsidRDefault="00C53473" w:rsidP="00C53473">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Prior to the Supreme Court decision in </w:t>
      </w:r>
      <w:r w:rsidRPr="00F94FE9">
        <w:rPr>
          <w:rFonts w:ascii="Arial" w:hAnsi="Arial" w:cs="Arial"/>
          <w:i/>
          <w:iCs/>
          <w:color w:val="4472C4" w:themeColor="accent1"/>
          <w:sz w:val="22"/>
          <w:szCs w:val="22"/>
          <w:lang w:val="en-GB"/>
        </w:rPr>
        <w:t>Stern v Marshall</w:t>
      </w:r>
      <w:r>
        <w:rPr>
          <w:rFonts w:ascii="Arial" w:hAnsi="Arial" w:cs="Arial"/>
          <w:color w:val="4472C4" w:themeColor="accent1"/>
          <w:sz w:val="22"/>
          <w:szCs w:val="22"/>
          <w:lang w:val="en-GB"/>
        </w:rPr>
        <w:t xml:space="preserve"> [2011], it seemed well established that bankruptcy court has jurisdiction over “core matters” and may enter a final order.  </w:t>
      </w:r>
    </w:p>
    <w:p w14:paraId="4F87D902" w14:textId="7E896E40" w:rsidR="006D2470" w:rsidRDefault="006D2470" w:rsidP="00C53473">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However, the Supreme Court in </w:t>
      </w:r>
      <w:r w:rsidRPr="00F94FE9">
        <w:rPr>
          <w:rFonts w:ascii="Arial" w:hAnsi="Arial" w:cs="Arial"/>
          <w:i/>
          <w:iCs/>
          <w:color w:val="4472C4" w:themeColor="accent1"/>
          <w:sz w:val="22"/>
          <w:szCs w:val="22"/>
          <w:lang w:val="en-GB"/>
        </w:rPr>
        <w:t>Stern v Marshall</w:t>
      </w:r>
      <w:r>
        <w:rPr>
          <w:rFonts w:ascii="Arial" w:hAnsi="Arial" w:cs="Arial"/>
          <w:color w:val="4472C4" w:themeColor="accent1"/>
          <w:sz w:val="22"/>
          <w:szCs w:val="22"/>
          <w:lang w:val="en-GB"/>
        </w:rPr>
        <w:t xml:space="preserve"> held that a bankruptcy court </w:t>
      </w:r>
      <w:r w:rsidR="002A1024">
        <w:rPr>
          <w:rFonts w:ascii="Arial" w:hAnsi="Arial" w:cs="Arial"/>
          <w:color w:val="4472C4" w:themeColor="accent1"/>
          <w:sz w:val="22"/>
          <w:szCs w:val="22"/>
          <w:lang w:val="en-GB"/>
        </w:rPr>
        <w:t>could not</w:t>
      </w:r>
      <w:r>
        <w:rPr>
          <w:rFonts w:ascii="Arial" w:hAnsi="Arial" w:cs="Arial"/>
          <w:color w:val="4472C4" w:themeColor="accent1"/>
          <w:sz w:val="22"/>
          <w:szCs w:val="22"/>
          <w:lang w:val="en-GB"/>
        </w:rPr>
        <w:t xml:space="preserve"> issue final</w:t>
      </w:r>
      <w:r w:rsidR="002A1024">
        <w:rPr>
          <w:rFonts w:ascii="Arial" w:hAnsi="Arial" w:cs="Arial"/>
          <w:color w:val="4472C4" w:themeColor="accent1"/>
          <w:sz w:val="22"/>
          <w:szCs w:val="22"/>
          <w:lang w:val="en-GB"/>
        </w:rPr>
        <w:t xml:space="preserve"> order</w:t>
      </w:r>
      <w:r>
        <w:rPr>
          <w:rFonts w:ascii="Arial" w:hAnsi="Arial" w:cs="Arial"/>
          <w:color w:val="4472C4" w:themeColor="accent1"/>
          <w:sz w:val="22"/>
          <w:szCs w:val="22"/>
          <w:lang w:val="en-GB"/>
        </w:rPr>
        <w:t xml:space="preserve"> that invade Article III of the US Constitution.  </w:t>
      </w:r>
    </w:p>
    <w:p w14:paraId="334CAF36" w14:textId="55AE96B8" w:rsidR="003B7848" w:rsidRDefault="00CD7CEE" w:rsidP="00C53473">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Instead of the bankruptcy court issuing </w:t>
      </w:r>
      <w:r w:rsidR="002A1024">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final order, the Supreme Court held that on core matters where the bankruptcy court lacks jurisdiction, it may issue a report and make</w:t>
      </w:r>
      <w:r w:rsidR="00A978CB">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recommendation to the district cou</w:t>
      </w:r>
      <w:r w:rsidR="003B7848">
        <w:rPr>
          <w:rFonts w:ascii="Arial" w:hAnsi="Arial" w:cs="Arial"/>
          <w:color w:val="4472C4" w:themeColor="accent1"/>
          <w:sz w:val="22"/>
          <w:szCs w:val="22"/>
          <w:lang w:val="en-GB"/>
        </w:rPr>
        <w:t>rt, or with the consent of the parties, may issue</w:t>
      </w:r>
      <w:r w:rsidR="002A1024">
        <w:rPr>
          <w:rFonts w:ascii="Arial" w:hAnsi="Arial" w:cs="Arial"/>
          <w:color w:val="4472C4" w:themeColor="accent1"/>
          <w:sz w:val="22"/>
          <w:szCs w:val="22"/>
          <w:lang w:val="en-GB"/>
        </w:rPr>
        <w:t xml:space="preserve"> a</w:t>
      </w:r>
      <w:r w:rsidR="003B7848">
        <w:rPr>
          <w:rFonts w:ascii="Arial" w:hAnsi="Arial" w:cs="Arial"/>
          <w:color w:val="4472C4" w:themeColor="accent1"/>
          <w:sz w:val="22"/>
          <w:szCs w:val="22"/>
          <w:lang w:val="en-GB"/>
        </w:rPr>
        <w:t xml:space="preserve"> final order.  </w:t>
      </w:r>
    </w:p>
    <w:p w14:paraId="0FFA66ED" w14:textId="5FA62778" w:rsidR="00A978CB" w:rsidRDefault="003B7848" w:rsidP="00C53473">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Arising from this, the practice has changed such that litigants are to state in their pleadings whether they consent to </w:t>
      </w:r>
      <w:r w:rsidR="002A1024">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final order being issued by the bankruptcy court</w:t>
      </w:r>
      <w:r w:rsidR="00615571">
        <w:rPr>
          <w:rFonts w:ascii="Arial" w:hAnsi="Arial" w:cs="Arial"/>
          <w:color w:val="4472C4" w:themeColor="accent1"/>
          <w:sz w:val="22"/>
          <w:szCs w:val="22"/>
          <w:lang w:val="en-GB"/>
        </w:rPr>
        <w:t xml:space="preserve"> (implemented under Bankruptcy Rules)</w:t>
      </w:r>
    </w:p>
    <w:p w14:paraId="25690B26" w14:textId="2F658EA1" w:rsidR="00CD7CEE" w:rsidRPr="00C53473" w:rsidRDefault="003B7848" w:rsidP="00C53473">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With the consent</w:t>
      </w:r>
      <w:r w:rsidR="00A978CB">
        <w:rPr>
          <w:rFonts w:ascii="Arial" w:hAnsi="Arial" w:cs="Arial"/>
          <w:color w:val="4472C4" w:themeColor="accent1"/>
          <w:sz w:val="22"/>
          <w:szCs w:val="22"/>
          <w:lang w:val="en-GB"/>
        </w:rPr>
        <w:t xml:space="preserve"> of parties</w:t>
      </w:r>
      <w:r>
        <w:rPr>
          <w:rFonts w:ascii="Arial" w:hAnsi="Arial" w:cs="Arial"/>
          <w:color w:val="4472C4" w:themeColor="accent1"/>
          <w:sz w:val="22"/>
          <w:szCs w:val="22"/>
          <w:lang w:val="en-GB"/>
        </w:rPr>
        <w:t xml:space="preserve">, it would be treated that bankruptcy court </w:t>
      </w:r>
      <w:r w:rsidR="00F94FE9">
        <w:rPr>
          <w:rFonts w:ascii="Arial" w:hAnsi="Arial" w:cs="Arial"/>
          <w:color w:val="4472C4" w:themeColor="accent1"/>
          <w:sz w:val="22"/>
          <w:szCs w:val="22"/>
          <w:lang w:val="en-GB"/>
        </w:rPr>
        <w:t>has</w:t>
      </w:r>
      <w:r w:rsidR="00A978CB">
        <w:rPr>
          <w:rFonts w:ascii="Arial" w:hAnsi="Arial" w:cs="Arial"/>
          <w:color w:val="4472C4" w:themeColor="accent1"/>
          <w:sz w:val="22"/>
          <w:szCs w:val="22"/>
          <w:lang w:val="en-GB"/>
        </w:rPr>
        <w:t xml:space="preserve"> the jurisdiction enter </w:t>
      </w:r>
      <w:r w:rsidR="002A1024">
        <w:rPr>
          <w:rFonts w:ascii="Arial" w:hAnsi="Arial" w:cs="Arial"/>
          <w:color w:val="4472C4" w:themeColor="accent1"/>
          <w:sz w:val="22"/>
          <w:szCs w:val="22"/>
          <w:lang w:val="en-GB"/>
        </w:rPr>
        <w:t xml:space="preserve">a </w:t>
      </w:r>
      <w:r w:rsidR="00A978CB">
        <w:rPr>
          <w:rFonts w:ascii="Arial" w:hAnsi="Arial" w:cs="Arial"/>
          <w:color w:val="4472C4" w:themeColor="accent1"/>
          <w:sz w:val="22"/>
          <w:szCs w:val="22"/>
          <w:lang w:val="en-GB"/>
        </w:rPr>
        <w:t xml:space="preserve">final order, overcoming the jurisdiction issue of bankruptcy court.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5AD740E0" w:rsidR="005B2A9B" w:rsidRDefault="006E339F" w:rsidP="006E339F">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Bankruptcy Code allows for an automatic stay upon filing of petition.  </w:t>
      </w:r>
    </w:p>
    <w:p w14:paraId="49498E26" w14:textId="26E3B730" w:rsidR="00EA2553" w:rsidRDefault="006E339F" w:rsidP="006E339F">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However, if the application relates to a chapter 15 proceeding, the automatic stay cannot be invoked upon filing of petition.  It can only be invoked upon </w:t>
      </w:r>
      <w:r w:rsidR="002A1024">
        <w:rPr>
          <w:rFonts w:ascii="Arial" w:hAnsi="Arial" w:cs="Arial"/>
          <w:color w:val="4472C4" w:themeColor="accent1"/>
          <w:sz w:val="22"/>
          <w:szCs w:val="22"/>
          <w:lang w:val="en-GB"/>
        </w:rPr>
        <w:t xml:space="preserve">recognition of foreign main proceeding following the petition by a foreign representative.  </w:t>
      </w:r>
    </w:p>
    <w:p w14:paraId="054F703F" w14:textId="77777777" w:rsidR="00A00EBB" w:rsidRDefault="00A00EBB" w:rsidP="00A00EBB">
      <w:pPr>
        <w:pStyle w:val="ListParagraph"/>
        <w:jc w:val="both"/>
        <w:rPr>
          <w:rFonts w:ascii="Arial" w:hAnsi="Arial" w:cs="Arial"/>
          <w:color w:val="4472C4" w:themeColor="accent1"/>
          <w:sz w:val="22"/>
          <w:szCs w:val="22"/>
          <w:lang w:val="en-GB"/>
        </w:rPr>
      </w:pPr>
    </w:p>
    <w:p w14:paraId="0EBE7E30" w14:textId="17B930B6" w:rsidR="00EA2553" w:rsidRDefault="00615571" w:rsidP="006E339F">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Also</w:t>
      </w:r>
      <w:r w:rsidR="00EA2553">
        <w:rPr>
          <w:rFonts w:ascii="Arial" w:hAnsi="Arial" w:cs="Arial"/>
          <w:color w:val="4472C4" w:themeColor="accent1"/>
          <w:sz w:val="22"/>
          <w:szCs w:val="22"/>
          <w:lang w:val="en-GB"/>
        </w:rPr>
        <w:t>, the foreign representative does not have the power to apply the bankruptcy court on avoidance transactions</w:t>
      </w:r>
      <w:r w:rsidR="00A00EBB">
        <w:rPr>
          <w:rFonts w:ascii="Arial" w:hAnsi="Arial" w:cs="Arial"/>
          <w:color w:val="4472C4" w:themeColor="accent1"/>
          <w:sz w:val="22"/>
          <w:szCs w:val="22"/>
          <w:lang w:val="en-GB"/>
        </w:rPr>
        <w:t xml:space="preserve"> under Chapter 15.  </w:t>
      </w:r>
      <w:r w:rsidR="00EA2553">
        <w:rPr>
          <w:rFonts w:ascii="Arial" w:hAnsi="Arial" w:cs="Arial"/>
          <w:color w:val="4472C4" w:themeColor="accent1"/>
          <w:sz w:val="22"/>
          <w:szCs w:val="22"/>
          <w:lang w:val="en-GB"/>
        </w:rPr>
        <w:t xml:space="preserve">  </w:t>
      </w:r>
    </w:p>
    <w:p w14:paraId="462F67BC" w14:textId="77777777" w:rsidR="004C4E46" w:rsidRDefault="00EA2553" w:rsidP="006E339F">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overcome such </w:t>
      </w:r>
      <w:r w:rsidR="00A00EBB">
        <w:rPr>
          <w:rFonts w:ascii="Arial" w:hAnsi="Arial" w:cs="Arial"/>
          <w:color w:val="4472C4" w:themeColor="accent1"/>
          <w:sz w:val="22"/>
          <w:szCs w:val="22"/>
          <w:lang w:val="en-GB"/>
        </w:rPr>
        <w:t>an issue</w:t>
      </w:r>
      <w:r>
        <w:rPr>
          <w:rFonts w:ascii="Arial" w:hAnsi="Arial" w:cs="Arial"/>
          <w:color w:val="4472C4" w:themeColor="accent1"/>
          <w:sz w:val="22"/>
          <w:szCs w:val="22"/>
          <w:lang w:val="en-GB"/>
        </w:rPr>
        <w:t xml:space="preserve">, the foreign representative </w:t>
      </w:r>
      <w:r w:rsidR="00A00EBB">
        <w:rPr>
          <w:rFonts w:ascii="Arial" w:hAnsi="Arial" w:cs="Arial"/>
          <w:color w:val="4472C4" w:themeColor="accent1"/>
          <w:sz w:val="22"/>
          <w:szCs w:val="22"/>
          <w:lang w:val="en-GB"/>
        </w:rPr>
        <w:t xml:space="preserve">(after obtaining recognition of the foreign proceeding) may choose to commence a plenary proceeding under the Bankruptcy Code.  </w:t>
      </w:r>
    </w:p>
    <w:p w14:paraId="0EE0B2C9" w14:textId="6062B7BB" w:rsidR="006E339F" w:rsidRDefault="00A00EBB" w:rsidP="004C4E46">
      <w:pPr>
        <w:pStyle w:val="ListParagraph"/>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17AB7B51" w14:textId="2C6D4E82" w:rsidR="006E339F" w:rsidRPr="004C4E46" w:rsidRDefault="004C4E46" w:rsidP="00A00EBB">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One other alternative for a foreign representative is to claim to be a creditor and petition directly under Chapter 7 or Chapter 11 of the Bankruptcy Code</w:t>
      </w:r>
      <w:r w:rsidR="00615571">
        <w:rPr>
          <w:rFonts w:ascii="Arial" w:hAnsi="Arial" w:cs="Arial"/>
          <w:color w:val="4472C4" w:themeColor="accent1"/>
          <w:sz w:val="22"/>
          <w:szCs w:val="22"/>
          <w:lang w:val="en-GB"/>
        </w:rPr>
        <w:t>, triggering the automatic stay upon petition</w:t>
      </w:r>
      <w:r w:rsidR="002A1024">
        <w:rPr>
          <w:rFonts w:ascii="Arial" w:hAnsi="Arial" w:cs="Arial"/>
          <w:color w:val="4472C4" w:themeColor="accent1"/>
          <w:sz w:val="22"/>
          <w:szCs w:val="22"/>
          <w:lang w:val="en-GB"/>
        </w:rPr>
        <w:t xml:space="preserve"> or the right to pursue an avoidance transaction.  </w:t>
      </w:r>
      <w:r w:rsidR="00615571">
        <w:rPr>
          <w:rFonts w:ascii="Arial" w:hAnsi="Arial" w:cs="Arial"/>
          <w:color w:val="4472C4" w:themeColor="accent1"/>
          <w:sz w:val="22"/>
          <w:szCs w:val="22"/>
          <w:lang w:val="en-GB"/>
        </w:rPr>
        <w:t xml:space="preserve">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2572A7E0" w:rsidR="005B2A9B" w:rsidRDefault="008C2EA9" w:rsidP="008C2EA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Interlocutory orders are those orders</w:t>
      </w:r>
      <w:r w:rsidR="00B17D23">
        <w:rPr>
          <w:rFonts w:ascii="Arial" w:hAnsi="Arial" w:cs="Arial"/>
          <w:color w:val="4472C4" w:themeColor="accent1"/>
          <w:sz w:val="22"/>
          <w:szCs w:val="22"/>
          <w:lang w:val="en-GB"/>
        </w:rPr>
        <w:t xml:space="preserve"> issued</w:t>
      </w:r>
      <w:r>
        <w:rPr>
          <w:rFonts w:ascii="Arial" w:hAnsi="Arial" w:cs="Arial"/>
          <w:color w:val="4472C4" w:themeColor="accent1"/>
          <w:sz w:val="22"/>
          <w:szCs w:val="22"/>
          <w:lang w:val="en-GB"/>
        </w:rPr>
        <w:t xml:space="preserve"> before all issues are resolved </w:t>
      </w:r>
      <w:r w:rsidR="00B17D23">
        <w:rPr>
          <w:rFonts w:ascii="Arial" w:hAnsi="Arial" w:cs="Arial"/>
          <w:color w:val="4472C4" w:themeColor="accent1"/>
          <w:sz w:val="22"/>
          <w:szCs w:val="22"/>
          <w:lang w:val="en-GB"/>
        </w:rPr>
        <w:t>(</w:t>
      </w:r>
      <w:r>
        <w:rPr>
          <w:rFonts w:ascii="Arial" w:hAnsi="Arial" w:cs="Arial"/>
          <w:color w:val="4472C4" w:themeColor="accent1"/>
          <w:sz w:val="22"/>
          <w:szCs w:val="22"/>
          <w:lang w:val="en-GB"/>
        </w:rPr>
        <w:t>before the case come to an end</w:t>
      </w:r>
      <w:r w:rsidR="00B17D23">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p>
    <w:p w14:paraId="76F2A34E" w14:textId="105720FF" w:rsidR="008C2EA9" w:rsidRDefault="008C2EA9" w:rsidP="008C2EA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Final orders are those orders where all issues have been resolved or decided</w:t>
      </w:r>
      <w:r w:rsidR="00B17D23">
        <w:rPr>
          <w:rFonts w:ascii="Arial" w:hAnsi="Arial" w:cs="Arial"/>
          <w:color w:val="4472C4" w:themeColor="accent1"/>
          <w:sz w:val="22"/>
          <w:szCs w:val="22"/>
          <w:lang w:val="en-GB"/>
        </w:rPr>
        <w:t xml:space="preserve"> (the case has come to an end).  </w:t>
      </w:r>
    </w:p>
    <w:p w14:paraId="79999593" w14:textId="77777777" w:rsidR="00B17D23" w:rsidRDefault="00B17D23" w:rsidP="00B17D23">
      <w:pPr>
        <w:pStyle w:val="ListParagraph"/>
        <w:jc w:val="both"/>
        <w:rPr>
          <w:rFonts w:ascii="Arial" w:hAnsi="Arial" w:cs="Arial"/>
          <w:color w:val="4472C4" w:themeColor="accent1"/>
          <w:sz w:val="22"/>
          <w:szCs w:val="22"/>
          <w:lang w:val="en-GB"/>
        </w:rPr>
      </w:pPr>
    </w:p>
    <w:p w14:paraId="451DEC76" w14:textId="140C186C" w:rsidR="008C2EA9" w:rsidRDefault="008C2EA9" w:rsidP="008C2EA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Interlocutory orders may be appealed to the appellate court but leave (permission) must first be obtained from the appellate court.  </w:t>
      </w:r>
    </w:p>
    <w:p w14:paraId="2DA32BDC" w14:textId="11DA34BB" w:rsidR="008C2EA9" w:rsidRDefault="008C2EA9" w:rsidP="008C2EA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Final orders may be appealed to the appellate court as a of right.  </w:t>
      </w:r>
    </w:p>
    <w:p w14:paraId="7B259337" w14:textId="6379A16F" w:rsidR="002978BF" w:rsidRDefault="002978BF" w:rsidP="002978BF">
      <w:pPr>
        <w:jc w:val="both"/>
        <w:rPr>
          <w:rFonts w:ascii="Arial" w:hAnsi="Arial" w:cs="Arial"/>
          <w:color w:val="4472C4" w:themeColor="accent1"/>
          <w:sz w:val="22"/>
          <w:szCs w:val="22"/>
          <w:lang w:val="en-GB"/>
        </w:rPr>
      </w:pPr>
    </w:p>
    <w:p w14:paraId="0D826100" w14:textId="4DBCC761" w:rsidR="002978BF" w:rsidRDefault="002978BF" w:rsidP="002978BF">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District court will hear appeal from the bankruptcy court, in general. </w:t>
      </w:r>
    </w:p>
    <w:p w14:paraId="4C32FDA9" w14:textId="61D1AF9B" w:rsidR="002978BF" w:rsidRDefault="002978BF" w:rsidP="002978BF">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certain </w:t>
      </w:r>
      <w:r w:rsidR="009F2A69">
        <w:rPr>
          <w:rFonts w:ascii="Arial" w:hAnsi="Arial" w:cs="Arial"/>
          <w:color w:val="4472C4" w:themeColor="accent1"/>
          <w:sz w:val="22"/>
          <w:szCs w:val="22"/>
          <w:lang w:val="en-GB"/>
        </w:rPr>
        <w:t xml:space="preserve">cases, </w:t>
      </w:r>
      <w:r>
        <w:rPr>
          <w:rFonts w:ascii="Arial" w:hAnsi="Arial" w:cs="Arial"/>
          <w:color w:val="4472C4" w:themeColor="accent1"/>
          <w:sz w:val="22"/>
          <w:szCs w:val="22"/>
          <w:lang w:val="en-GB"/>
        </w:rPr>
        <w:t>circuit</w:t>
      </w:r>
      <w:r w:rsidR="009F2A69">
        <w:rPr>
          <w:rFonts w:ascii="Arial" w:hAnsi="Arial" w:cs="Arial"/>
          <w:color w:val="4472C4" w:themeColor="accent1"/>
          <w:sz w:val="22"/>
          <w:szCs w:val="22"/>
          <w:lang w:val="en-GB"/>
        </w:rPr>
        <w:t xml:space="preserve"> court or</w:t>
      </w:r>
      <w:r>
        <w:rPr>
          <w:rFonts w:ascii="Arial" w:hAnsi="Arial" w:cs="Arial"/>
          <w:color w:val="4472C4" w:themeColor="accent1"/>
          <w:sz w:val="22"/>
          <w:szCs w:val="22"/>
          <w:lang w:val="en-GB"/>
        </w:rPr>
        <w:t xml:space="preserve"> BAP (Bankruptcy Appellate Panel) </w:t>
      </w:r>
      <w:r w:rsidR="00B17D23">
        <w:rPr>
          <w:rFonts w:ascii="Arial" w:hAnsi="Arial" w:cs="Arial"/>
          <w:color w:val="4472C4" w:themeColor="accent1"/>
          <w:sz w:val="22"/>
          <w:szCs w:val="22"/>
          <w:lang w:val="en-GB"/>
        </w:rPr>
        <w:t xml:space="preserve">will hear the appeal.  The panel of judges of BAP are from the bankruptcy courts.  </w:t>
      </w:r>
    </w:p>
    <w:p w14:paraId="5005635A" w14:textId="5E39A95B" w:rsidR="00B17D23" w:rsidRPr="002978BF" w:rsidRDefault="00B17D23" w:rsidP="002978BF">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decisions of the district court and BAP can be further appealed, as of right, to the circuit court of appeals if there were conflicting decisions of the circuit or Supreme Court.  </w:t>
      </w:r>
    </w:p>
    <w:p w14:paraId="0B004B0A" w14:textId="77777777" w:rsidR="00162202" w:rsidRDefault="00162202" w:rsidP="00323167">
      <w:pPr>
        <w:pStyle w:val="AODocTxt"/>
        <w:spacing w:before="0" w:line="240" w:lineRule="auto"/>
        <w:rPr>
          <w:rFonts w:ascii="Arial" w:hAnsi="Arial" w:cs="Arial"/>
          <w:b/>
        </w:rPr>
      </w:pPr>
    </w:p>
    <w:p w14:paraId="598817CD" w14:textId="77777777" w:rsidR="00162202" w:rsidRDefault="00162202" w:rsidP="00323167">
      <w:pPr>
        <w:pStyle w:val="AODocTxt"/>
        <w:spacing w:before="0" w:line="240" w:lineRule="auto"/>
        <w:rPr>
          <w:rFonts w:ascii="Arial" w:hAnsi="Arial" w:cs="Arial"/>
          <w:b/>
        </w:rPr>
      </w:pPr>
    </w:p>
    <w:p w14:paraId="0876AFA6" w14:textId="254B6C5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9935379" w14:textId="693FA10A" w:rsidR="005B2A9B" w:rsidRDefault="001C3464" w:rsidP="00162202">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Directors owe a fiduciary duty to act in the best interest of the corporation</w:t>
      </w:r>
      <w:r w:rsidR="00E86D1A">
        <w:rPr>
          <w:rFonts w:ascii="Arial" w:hAnsi="Arial" w:cs="Arial"/>
          <w:color w:val="4472C4" w:themeColor="accent1"/>
          <w:sz w:val="22"/>
          <w:szCs w:val="22"/>
          <w:lang w:val="en-GB"/>
        </w:rPr>
        <w:t xml:space="preserve"> and its shareholders.  </w:t>
      </w:r>
      <w:r>
        <w:rPr>
          <w:rFonts w:ascii="Arial" w:hAnsi="Arial" w:cs="Arial"/>
          <w:color w:val="4472C4" w:themeColor="accent1"/>
          <w:sz w:val="22"/>
          <w:szCs w:val="22"/>
          <w:lang w:val="en-GB"/>
        </w:rPr>
        <w:t xml:space="preserve">  </w:t>
      </w:r>
    </w:p>
    <w:p w14:paraId="0C54AAF5" w14:textId="43815175" w:rsidR="00715C22" w:rsidRDefault="001C3464" w:rsidP="00715C22">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duty of care is that</w:t>
      </w:r>
      <w:r w:rsidR="009F16A0">
        <w:rPr>
          <w:rFonts w:ascii="Arial" w:hAnsi="Arial" w:cs="Arial"/>
          <w:color w:val="4472C4" w:themeColor="accent1"/>
          <w:sz w:val="22"/>
          <w:szCs w:val="22"/>
          <w:lang w:val="en-GB"/>
        </w:rPr>
        <w:t xml:space="preserve"> directors</w:t>
      </w:r>
      <w:r>
        <w:rPr>
          <w:rFonts w:ascii="Arial" w:hAnsi="Arial" w:cs="Arial"/>
          <w:color w:val="4472C4" w:themeColor="accent1"/>
          <w:sz w:val="22"/>
          <w:szCs w:val="22"/>
          <w:lang w:val="en-GB"/>
        </w:rPr>
        <w:t xml:space="preserve"> must make </w:t>
      </w:r>
      <w:r w:rsidR="009F16A0">
        <w:rPr>
          <w:rFonts w:ascii="Arial" w:hAnsi="Arial" w:cs="Arial"/>
          <w:color w:val="4472C4" w:themeColor="accent1"/>
          <w:sz w:val="22"/>
          <w:szCs w:val="22"/>
          <w:lang w:val="en-GB"/>
        </w:rPr>
        <w:t xml:space="preserve">an </w:t>
      </w:r>
      <w:r>
        <w:rPr>
          <w:rFonts w:ascii="Arial" w:hAnsi="Arial" w:cs="Arial"/>
          <w:color w:val="4472C4" w:themeColor="accent1"/>
          <w:sz w:val="22"/>
          <w:szCs w:val="22"/>
          <w:lang w:val="en-GB"/>
        </w:rPr>
        <w:t>informed decision</w:t>
      </w:r>
      <w:r w:rsidR="00715C22">
        <w:rPr>
          <w:rFonts w:ascii="Arial" w:hAnsi="Arial" w:cs="Arial"/>
          <w:color w:val="4472C4" w:themeColor="accent1"/>
          <w:sz w:val="22"/>
          <w:szCs w:val="22"/>
          <w:lang w:val="en-GB"/>
        </w:rPr>
        <w:t xml:space="preserve">, </w:t>
      </w:r>
      <w:r w:rsidR="009F16A0">
        <w:rPr>
          <w:rFonts w:ascii="Arial" w:hAnsi="Arial" w:cs="Arial"/>
          <w:color w:val="4472C4" w:themeColor="accent1"/>
          <w:sz w:val="22"/>
          <w:szCs w:val="22"/>
          <w:lang w:val="en-GB"/>
        </w:rPr>
        <w:t>and that the</w:t>
      </w:r>
      <w:r>
        <w:rPr>
          <w:rFonts w:ascii="Arial" w:hAnsi="Arial" w:cs="Arial"/>
          <w:color w:val="4472C4" w:themeColor="accent1"/>
          <w:sz w:val="22"/>
          <w:szCs w:val="22"/>
          <w:lang w:val="en-GB"/>
        </w:rPr>
        <w:t xml:space="preserve"> decision is </w:t>
      </w:r>
      <w:r w:rsidR="009F16A0">
        <w:rPr>
          <w:rFonts w:ascii="Arial" w:hAnsi="Arial" w:cs="Arial"/>
          <w:color w:val="4472C4" w:themeColor="accent1"/>
          <w:sz w:val="22"/>
          <w:szCs w:val="22"/>
          <w:lang w:val="en-GB"/>
        </w:rPr>
        <w:t xml:space="preserve">the one that </w:t>
      </w:r>
      <w:r>
        <w:rPr>
          <w:rFonts w:ascii="Arial" w:hAnsi="Arial" w:cs="Arial"/>
          <w:color w:val="4472C4" w:themeColor="accent1"/>
          <w:sz w:val="22"/>
          <w:szCs w:val="22"/>
          <w:lang w:val="en-GB"/>
        </w:rPr>
        <w:t>an educated person</w:t>
      </w:r>
      <w:r w:rsidR="009F16A0">
        <w:rPr>
          <w:rFonts w:ascii="Arial" w:hAnsi="Arial" w:cs="Arial"/>
          <w:color w:val="4472C4" w:themeColor="accent1"/>
          <w:sz w:val="22"/>
          <w:szCs w:val="22"/>
          <w:lang w:val="en-GB"/>
        </w:rPr>
        <w:t xml:space="preserve"> would have made,</w:t>
      </w:r>
      <w:r w:rsidR="00715C22">
        <w:rPr>
          <w:rFonts w:ascii="Arial" w:hAnsi="Arial" w:cs="Arial"/>
          <w:color w:val="4472C4" w:themeColor="accent1"/>
          <w:sz w:val="22"/>
          <w:szCs w:val="22"/>
          <w:lang w:val="en-GB"/>
        </w:rPr>
        <w:t xml:space="preserve"> </w:t>
      </w:r>
      <w:r w:rsidR="007E2300">
        <w:rPr>
          <w:rFonts w:ascii="Arial" w:hAnsi="Arial" w:cs="Arial"/>
          <w:color w:val="4472C4" w:themeColor="accent1"/>
          <w:sz w:val="22"/>
          <w:szCs w:val="22"/>
          <w:lang w:val="en-GB"/>
        </w:rPr>
        <w:t>acting</w:t>
      </w:r>
      <w:r w:rsidRPr="001C3464">
        <w:rPr>
          <w:rFonts w:ascii="Arial" w:hAnsi="Arial" w:cs="Arial"/>
          <w:color w:val="4472C4" w:themeColor="accent1"/>
          <w:sz w:val="22"/>
          <w:szCs w:val="22"/>
          <w:lang w:val="en-GB"/>
        </w:rPr>
        <w:t xml:space="preserve"> in good fait</w:t>
      </w:r>
      <w:r w:rsidR="00715C22">
        <w:rPr>
          <w:rFonts w:ascii="Arial" w:hAnsi="Arial" w:cs="Arial"/>
          <w:color w:val="4472C4" w:themeColor="accent1"/>
          <w:sz w:val="22"/>
          <w:szCs w:val="22"/>
          <w:lang w:val="en-GB"/>
        </w:rPr>
        <w:t>h. If he</w:t>
      </w:r>
      <w:r w:rsidR="009F16A0">
        <w:rPr>
          <w:rFonts w:ascii="Arial" w:hAnsi="Arial" w:cs="Arial"/>
          <w:color w:val="4472C4" w:themeColor="accent1"/>
          <w:sz w:val="22"/>
          <w:szCs w:val="22"/>
          <w:lang w:val="en-GB"/>
        </w:rPr>
        <w:t xml:space="preserve"> (the director)</w:t>
      </w:r>
      <w:r w:rsidR="00715C22">
        <w:rPr>
          <w:rFonts w:ascii="Arial" w:hAnsi="Arial" w:cs="Arial"/>
          <w:color w:val="4472C4" w:themeColor="accent1"/>
          <w:sz w:val="22"/>
          <w:szCs w:val="22"/>
          <w:lang w:val="en-GB"/>
        </w:rPr>
        <w:t xml:space="preserve"> does, he </w:t>
      </w:r>
      <w:r w:rsidRPr="00715C22">
        <w:rPr>
          <w:rFonts w:ascii="Arial" w:hAnsi="Arial" w:cs="Arial"/>
          <w:color w:val="4472C4" w:themeColor="accent1"/>
          <w:sz w:val="22"/>
          <w:szCs w:val="22"/>
          <w:lang w:val="en-GB"/>
        </w:rPr>
        <w:t xml:space="preserve">is presumed to have acted within the </w:t>
      </w:r>
      <w:r w:rsidR="00715C22" w:rsidRPr="00715C22">
        <w:rPr>
          <w:rFonts w:ascii="Arial" w:hAnsi="Arial" w:cs="Arial"/>
          <w:color w:val="4472C4" w:themeColor="accent1"/>
          <w:sz w:val="22"/>
          <w:szCs w:val="22"/>
          <w:lang w:val="en-GB"/>
        </w:rPr>
        <w:t>judgment rule</w:t>
      </w:r>
      <w:r w:rsidR="00715C22">
        <w:rPr>
          <w:rFonts w:ascii="Arial" w:hAnsi="Arial" w:cs="Arial"/>
          <w:color w:val="4472C4" w:themeColor="accent1"/>
          <w:sz w:val="22"/>
          <w:szCs w:val="22"/>
          <w:lang w:val="en-GB"/>
        </w:rPr>
        <w:t xml:space="preserve">. </w:t>
      </w:r>
    </w:p>
    <w:p w14:paraId="195563A3" w14:textId="72BEB1D4" w:rsidR="00715C22" w:rsidRDefault="00715C22" w:rsidP="00715C22">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the extent that he has acted within the judgment rule, he is protected </w:t>
      </w:r>
      <w:r w:rsidR="007E2300">
        <w:rPr>
          <w:rFonts w:ascii="Arial" w:hAnsi="Arial" w:cs="Arial"/>
          <w:color w:val="4472C4" w:themeColor="accent1"/>
          <w:sz w:val="22"/>
          <w:szCs w:val="22"/>
          <w:lang w:val="en-GB"/>
        </w:rPr>
        <w:t xml:space="preserve">for </w:t>
      </w:r>
      <w:r>
        <w:rPr>
          <w:rFonts w:ascii="Arial" w:hAnsi="Arial" w:cs="Arial"/>
          <w:color w:val="4472C4" w:themeColor="accent1"/>
          <w:sz w:val="22"/>
          <w:szCs w:val="22"/>
          <w:lang w:val="en-GB"/>
        </w:rPr>
        <w:t xml:space="preserve">errors of judgment (mistakes made).  </w:t>
      </w:r>
    </w:p>
    <w:p w14:paraId="021646E8" w14:textId="191F4392" w:rsidR="00E86D1A" w:rsidRDefault="00E86D1A" w:rsidP="00715C22">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business judgement rule does not apply if there was presence of conflict of interest (</w:t>
      </w:r>
      <w:r w:rsidR="009F16A0">
        <w:rPr>
          <w:rFonts w:ascii="Arial" w:hAnsi="Arial" w:cs="Arial"/>
          <w:color w:val="4472C4" w:themeColor="accent1"/>
          <w:sz w:val="22"/>
          <w:szCs w:val="22"/>
          <w:lang w:val="en-GB"/>
        </w:rPr>
        <w:t xml:space="preserve">the </w:t>
      </w:r>
      <w:r w:rsidR="007E2300">
        <w:rPr>
          <w:rFonts w:ascii="Arial" w:hAnsi="Arial" w:cs="Arial"/>
          <w:color w:val="4472C4" w:themeColor="accent1"/>
          <w:sz w:val="22"/>
          <w:szCs w:val="22"/>
          <w:lang w:val="en-GB"/>
        </w:rPr>
        <w:t xml:space="preserve">director is </w:t>
      </w:r>
      <w:r>
        <w:rPr>
          <w:rFonts w:ascii="Arial" w:hAnsi="Arial" w:cs="Arial"/>
          <w:color w:val="4472C4" w:themeColor="accent1"/>
          <w:sz w:val="22"/>
          <w:szCs w:val="22"/>
          <w:lang w:val="en-GB"/>
        </w:rPr>
        <w:t>not independent</w:t>
      </w:r>
      <w:r w:rsidR="007E2300">
        <w:rPr>
          <w:rFonts w:ascii="Arial" w:hAnsi="Arial" w:cs="Arial"/>
          <w:color w:val="4472C4" w:themeColor="accent1"/>
          <w:sz w:val="22"/>
          <w:szCs w:val="22"/>
          <w:lang w:val="en-GB"/>
        </w:rPr>
        <w:t xml:space="preserve"> </w:t>
      </w:r>
      <w:r w:rsidR="009F16A0">
        <w:rPr>
          <w:rFonts w:ascii="Arial" w:hAnsi="Arial" w:cs="Arial"/>
          <w:color w:val="4472C4" w:themeColor="accent1"/>
          <w:sz w:val="22"/>
          <w:szCs w:val="22"/>
          <w:lang w:val="en-GB"/>
        </w:rPr>
        <w:t xml:space="preserve">or has vested interest </w:t>
      </w:r>
      <w:r w:rsidR="007E2300">
        <w:rPr>
          <w:rFonts w:ascii="Arial" w:hAnsi="Arial" w:cs="Arial"/>
          <w:color w:val="4472C4" w:themeColor="accent1"/>
          <w:sz w:val="22"/>
          <w:szCs w:val="22"/>
          <w:lang w:val="en-GB"/>
        </w:rPr>
        <w:t>in relation to the transaction</w:t>
      </w:r>
      <w:r>
        <w:rPr>
          <w:rFonts w:ascii="Arial" w:hAnsi="Arial" w:cs="Arial"/>
          <w:color w:val="4472C4" w:themeColor="accent1"/>
          <w:sz w:val="22"/>
          <w:szCs w:val="22"/>
          <w:lang w:val="en-GB"/>
        </w:rPr>
        <w:t xml:space="preserve">) in the transaction.  </w:t>
      </w:r>
    </w:p>
    <w:p w14:paraId="7F6128DB" w14:textId="5F6FEBF6" w:rsidR="00E86D1A" w:rsidRDefault="00715C22" w:rsidP="00715C22">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However, the presumption </w:t>
      </w:r>
      <w:r w:rsidR="007E2300">
        <w:rPr>
          <w:rFonts w:ascii="Arial" w:hAnsi="Arial" w:cs="Arial"/>
          <w:color w:val="4472C4" w:themeColor="accent1"/>
          <w:sz w:val="22"/>
          <w:szCs w:val="22"/>
          <w:lang w:val="en-GB"/>
        </w:rPr>
        <w:t>that a director act</w:t>
      </w:r>
      <w:r w:rsidR="009F16A0">
        <w:rPr>
          <w:rFonts w:ascii="Arial" w:hAnsi="Arial" w:cs="Arial"/>
          <w:color w:val="4472C4" w:themeColor="accent1"/>
          <w:sz w:val="22"/>
          <w:szCs w:val="22"/>
          <w:lang w:val="en-GB"/>
        </w:rPr>
        <w:t>s</w:t>
      </w:r>
      <w:r w:rsidR="007E2300">
        <w:rPr>
          <w:rFonts w:ascii="Arial" w:hAnsi="Arial" w:cs="Arial"/>
          <w:color w:val="4472C4" w:themeColor="accent1"/>
          <w:sz w:val="22"/>
          <w:szCs w:val="22"/>
          <w:lang w:val="en-GB"/>
        </w:rPr>
        <w:t xml:space="preserve"> within the judgement rule </w:t>
      </w:r>
      <w:r>
        <w:rPr>
          <w:rFonts w:ascii="Arial" w:hAnsi="Arial" w:cs="Arial"/>
          <w:color w:val="4472C4" w:themeColor="accent1"/>
          <w:sz w:val="22"/>
          <w:szCs w:val="22"/>
          <w:lang w:val="en-GB"/>
        </w:rPr>
        <w:t xml:space="preserve">can be rebutted by showing that the directors were not reasonably informed, did not believe that the decision was in the best interest of the corporation, or were not acting in good faith. </w:t>
      </w:r>
    </w:p>
    <w:p w14:paraId="75192DC6" w14:textId="5F904DC9" w:rsidR="001C3464" w:rsidRPr="00715C22" w:rsidRDefault="00E86D1A" w:rsidP="00715C22">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When the corporation is potentially or </w:t>
      </w:r>
      <w:proofErr w:type="gramStart"/>
      <w:r>
        <w:rPr>
          <w:rFonts w:ascii="Arial" w:hAnsi="Arial" w:cs="Arial"/>
          <w:color w:val="4472C4" w:themeColor="accent1"/>
          <w:sz w:val="22"/>
          <w:szCs w:val="22"/>
          <w:lang w:val="en-GB"/>
        </w:rPr>
        <w:t>actually insolvent</w:t>
      </w:r>
      <w:proofErr w:type="gramEnd"/>
      <w:r>
        <w:rPr>
          <w:rFonts w:ascii="Arial" w:hAnsi="Arial" w:cs="Arial"/>
          <w:color w:val="4472C4" w:themeColor="accent1"/>
          <w:sz w:val="22"/>
          <w:szCs w:val="22"/>
          <w:lang w:val="en-GB"/>
        </w:rPr>
        <w:t>, the directors’ duty remains the same; that is</w:t>
      </w:r>
      <w:r w:rsidR="007E2300">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they owe a fiduciary duty to act in the interest of the corporation and its shareholders: </w:t>
      </w:r>
      <w:proofErr w:type="spellStart"/>
      <w:r w:rsidRPr="00E86D1A">
        <w:rPr>
          <w:rFonts w:ascii="Arial" w:hAnsi="Arial" w:cs="Arial"/>
          <w:i/>
          <w:iCs/>
          <w:color w:val="4472C4" w:themeColor="accent1"/>
          <w:sz w:val="22"/>
          <w:szCs w:val="22"/>
          <w:lang w:val="en-GB"/>
        </w:rPr>
        <w:t>Trenwick</w:t>
      </w:r>
      <w:proofErr w:type="spellEnd"/>
      <w:r w:rsidRPr="00E86D1A">
        <w:rPr>
          <w:rFonts w:ascii="Arial" w:hAnsi="Arial" w:cs="Arial"/>
          <w:i/>
          <w:iCs/>
          <w:color w:val="4472C4" w:themeColor="accent1"/>
          <w:sz w:val="22"/>
          <w:szCs w:val="22"/>
          <w:lang w:val="en-GB"/>
        </w:rPr>
        <w:t xml:space="preserve"> Am Litig Trust v Ernst &amp; Yong, LLP</w:t>
      </w:r>
      <w:r>
        <w:rPr>
          <w:rFonts w:ascii="Arial" w:hAnsi="Arial" w:cs="Arial"/>
          <w:color w:val="4472C4" w:themeColor="accent1"/>
          <w:sz w:val="22"/>
          <w:szCs w:val="22"/>
          <w:lang w:val="en-GB"/>
        </w:rPr>
        <w:t xml:space="preserve">.  </w:t>
      </w:r>
      <w:r w:rsidR="00715C22" w:rsidRPr="00715C22">
        <w:rPr>
          <w:rFonts w:ascii="Arial" w:hAnsi="Arial" w:cs="Arial"/>
          <w:color w:val="4472C4" w:themeColor="accent1"/>
          <w:sz w:val="22"/>
          <w:szCs w:val="22"/>
          <w:lang w:val="en-GB"/>
        </w:rPr>
        <w:t xml:space="preserve"> </w:t>
      </w:r>
      <w:r w:rsidR="00936923">
        <w:rPr>
          <w:rFonts w:ascii="Arial" w:hAnsi="Arial" w:cs="Arial"/>
          <w:color w:val="4472C4" w:themeColor="accent1"/>
          <w:sz w:val="22"/>
          <w:szCs w:val="22"/>
          <w:lang w:val="en-GB"/>
        </w:rPr>
        <w:t xml:space="preserve">There is no equivalent of the concept of “wrongful trading” in the US law.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138477C8" w14:textId="5454CDFC" w:rsidR="008C0057" w:rsidRDefault="00BA2A98" w:rsidP="00BA2A98">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Scheme of Arrangement (SoA) </w:t>
      </w:r>
      <w:r w:rsidR="00C055BC">
        <w:rPr>
          <w:rFonts w:ascii="Arial" w:hAnsi="Arial" w:cs="Arial"/>
          <w:color w:val="4472C4" w:themeColor="accent1"/>
          <w:sz w:val="22"/>
          <w:szCs w:val="22"/>
          <w:lang w:val="en-GB"/>
        </w:rPr>
        <w:t xml:space="preserve">in the UK is a court sanctioned (approved) scheme.  US recognises judgment of foreign courts, with minor exceptions.  It is assumed that the </w:t>
      </w:r>
      <w:r w:rsidR="00C055BC">
        <w:rPr>
          <w:rFonts w:ascii="Arial" w:hAnsi="Arial" w:cs="Arial"/>
          <w:color w:val="4472C4" w:themeColor="accent1"/>
          <w:sz w:val="22"/>
          <w:szCs w:val="22"/>
          <w:lang w:val="en-GB"/>
        </w:rPr>
        <w:lastRenderedPageBreak/>
        <w:t xml:space="preserve">exceptions do not apply for judgements (sanctions) issued UK courts. </w:t>
      </w:r>
      <w:r w:rsidR="008C0057">
        <w:rPr>
          <w:rFonts w:ascii="Arial" w:hAnsi="Arial" w:cs="Arial"/>
          <w:color w:val="4472C4" w:themeColor="accent1"/>
          <w:sz w:val="22"/>
          <w:szCs w:val="22"/>
          <w:lang w:val="en-GB"/>
        </w:rPr>
        <w:t xml:space="preserve">The SoA therefore could be granted </w:t>
      </w:r>
      <w:r w:rsidR="007E2300">
        <w:rPr>
          <w:rFonts w:ascii="Arial" w:hAnsi="Arial" w:cs="Arial"/>
          <w:color w:val="4472C4" w:themeColor="accent1"/>
          <w:sz w:val="22"/>
          <w:szCs w:val="22"/>
          <w:lang w:val="en-GB"/>
        </w:rPr>
        <w:t xml:space="preserve">recognition </w:t>
      </w:r>
      <w:r w:rsidR="008C0057">
        <w:rPr>
          <w:rFonts w:ascii="Arial" w:hAnsi="Arial" w:cs="Arial"/>
          <w:color w:val="4472C4" w:themeColor="accent1"/>
          <w:sz w:val="22"/>
          <w:szCs w:val="22"/>
          <w:lang w:val="en-GB"/>
        </w:rPr>
        <w:t xml:space="preserve">under US Chapter 15.  </w:t>
      </w:r>
    </w:p>
    <w:p w14:paraId="7DF6EA44" w14:textId="7559DD1C" w:rsidR="005B2A9B" w:rsidRDefault="00C055BC" w:rsidP="008C0057">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552A856B" w14:textId="546F243F" w:rsidR="00C055BC" w:rsidRDefault="00C055BC" w:rsidP="00BA2A98">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Whether the SoA qualifies as foreign main </w:t>
      </w:r>
      <w:r w:rsidR="00FE5B32">
        <w:rPr>
          <w:rFonts w:ascii="Arial" w:hAnsi="Arial" w:cs="Arial"/>
          <w:color w:val="4472C4" w:themeColor="accent1"/>
          <w:sz w:val="22"/>
          <w:szCs w:val="22"/>
          <w:lang w:val="en-GB"/>
        </w:rPr>
        <w:t xml:space="preserve">proceeding </w:t>
      </w:r>
      <w:r>
        <w:rPr>
          <w:rFonts w:ascii="Arial" w:hAnsi="Arial" w:cs="Arial"/>
          <w:color w:val="4472C4" w:themeColor="accent1"/>
          <w:sz w:val="22"/>
          <w:szCs w:val="22"/>
          <w:lang w:val="en-GB"/>
        </w:rPr>
        <w:t xml:space="preserve">or foreign non-main proceeding depends </w:t>
      </w:r>
      <w:r w:rsidR="00FE5B32">
        <w:rPr>
          <w:rFonts w:ascii="Arial" w:hAnsi="Arial" w:cs="Arial"/>
          <w:color w:val="4472C4" w:themeColor="accent1"/>
          <w:sz w:val="22"/>
          <w:szCs w:val="22"/>
          <w:lang w:val="en-GB"/>
        </w:rPr>
        <w:t xml:space="preserve">on the concept of “COMI” (Centre of Main Interests) and “establishment”.  </w:t>
      </w:r>
    </w:p>
    <w:p w14:paraId="46CE6DB6" w14:textId="77777777" w:rsidR="007E2300" w:rsidRPr="007E2300" w:rsidRDefault="007E2300" w:rsidP="007E2300">
      <w:pPr>
        <w:jc w:val="both"/>
        <w:rPr>
          <w:rFonts w:ascii="Arial" w:hAnsi="Arial" w:cs="Arial"/>
          <w:color w:val="4472C4" w:themeColor="accent1"/>
          <w:sz w:val="22"/>
          <w:szCs w:val="22"/>
          <w:lang w:val="en-GB"/>
        </w:rPr>
      </w:pPr>
    </w:p>
    <w:p w14:paraId="13F59F57" w14:textId="63BC37D9" w:rsidR="00DF54C3" w:rsidRDefault="00FE5B32" w:rsidP="00BA2A98">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COMI </w:t>
      </w:r>
      <w:proofErr w:type="gramStart"/>
      <w:r>
        <w:rPr>
          <w:rFonts w:ascii="Arial" w:hAnsi="Arial" w:cs="Arial"/>
          <w:color w:val="4472C4" w:themeColor="accent1"/>
          <w:sz w:val="22"/>
          <w:szCs w:val="22"/>
          <w:lang w:val="en-GB"/>
        </w:rPr>
        <w:t>is located in</w:t>
      </w:r>
      <w:proofErr w:type="gramEnd"/>
      <w:r>
        <w:rPr>
          <w:rFonts w:ascii="Arial" w:hAnsi="Arial" w:cs="Arial"/>
          <w:color w:val="4472C4" w:themeColor="accent1"/>
          <w:sz w:val="22"/>
          <w:szCs w:val="22"/>
          <w:lang w:val="en-GB"/>
        </w:rPr>
        <w:t xml:space="preserve"> </w:t>
      </w:r>
      <w:r w:rsidR="00DF54C3">
        <w:rPr>
          <w:rFonts w:ascii="Arial" w:hAnsi="Arial" w:cs="Arial"/>
          <w:color w:val="4472C4" w:themeColor="accent1"/>
          <w:sz w:val="22"/>
          <w:szCs w:val="22"/>
          <w:lang w:val="en-GB"/>
        </w:rPr>
        <w:t>Greece</w:t>
      </w:r>
      <w:r>
        <w:rPr>
          <w:rFonts w:ascii="Arial" w:hAnsi="Arial" w:cs="Arial"/>
          <w:color w:val="4472C4" w:themeColor="accent1"/>
          <w:sz w:val="22"/>
          <w:szCs w:val="22"/>
          <w:lang w:val="en-GB"/>
        </w:rPr>
        <w:t xml:space="preserve">, the </w:t>
      </w:r>
      <w:r w:rsidR="00DF54C3">
        <w:rPr>
          <w:rFonts w:ascii="Arial" w:hAnsi="Arial" w:cs="Arial"/>
          <w:color w:val="4472C4" w:themeColor="accent1"/>
          <w:sz w:val="22"/>
          <w:szCs w:val="22"/>
          <w:lang w:val="en-GB"/>
        </w:rPr>
        <w:t xml:space="preserve">UK </w:t>
      </w:r>
      <w:r>
        <w:rPr>
          <w:rFonts w:ascii="Arial" w:hAnsi="Arial" w:cs="Arial"/>
          <w:color w:val="4472C4" w:themeColor="accent1"/>
          <w:sz w:val="22"/>
          <w:szCs w:val="22"/>
          <w:lang w:val="en-GB"/>
        </w:rPr>
        <w:t xml:space="preserve">SoA should qualify as foreign </w:t>
      </w:r>
      <w:r w:rsidR="00DF54C3">
        <w:rPr>
          <w:rFonts w:ascii="Arial" w:hAnsi="Arial" w:cs="Arial"/>
          <w:color w:val="4472C4" w:themeColor="accent1"/>
          <w:sz w:val="22"/>
          <w:szCs w:val="22"/>
          <w:lang w:val="en-GB"/>
        </w:rPr>
        <w:t>non-</w:t>
      </w:r>
      <w:r>
        <w:rPr>
          <w:rFonts w:ascii="Arial" w:hAnsi="Arial" w:cs="Arial"/>
          <w:color w:val="4472C4" w:themeColor="accent1"/>
          <w:sz w:val="22"/>
          <w:szCs w:val="22"/>
          <w:lang w:val="en-GB"/>
        </w:rPr>
        <w:t xml:space="preserve">main proceeding.  </w:t>
      </w:r>
      <w:r w:rsidR="00DF54C3">
        <w:rPr>
          <w:rFonts w:ascii="Arial" w:hAnsi="Arial" w:cs="Arial"/>
          <w:color w:val="4472C4" w:themeColor="accent1"/>
          <w:sz w:val="22"/>
          <w:szCs w:val="22"/>
          <w:lang w:val="en-GB"/>
        </w:rPr>
        <w:t>The place of incorporation (Greece) is presumed to be its COMI.  This can be rebutted</w:t>
      </w:r>
      <w:r w:rsidR="008C0057">
        <w:rPr>
          <w:rFonts w:ascii="Arial" w:hAnsi="Arial" w:cs="Arial"/>
          <w:color w:val="4472C4" w:themeColor="accent1"/>
          <w:sz w:val="22"/>
          <w:szCs w:val="22"/>
          <w:lang w:val="en-GB"/>
        </w:rPr>
        <w:t xml:space="preserve"> – r</w:t>
      </w:r>
      <w:r w:rsidR="00DF54C3">
        <w:rPr>
          <w:rFonts w:ascii="Arial" w:hAnsi="Arial" w:cs="Arial"/>
          <w:color w:val="4472C4" w:themeColor="accent1"/>
          <w:sz w:val="22"/>
          <w:szCs w:val="22"/>
          <w:lang w:val="en-GB"/>
        </w:rPr>
        <w:t xml:space="preserve">elevant factors to take in account when determining COMI are – location of headquarters, location of management, location of primary assets, location of majority of </w:t>
      </w:r>
      <w:r w:rsidR="00BD2F1A">
        <w:rPr>
          <w:rFonts w:ascii="Arial" w:hAnsi="Arial" w:cs="Arial"/>
          <w:color w:val="4472C4" w:themeColor="accent1"/>
          <w:sz w:val="22"/>
          <w:szCs w:val="22"/>
          <w:lang w:val="en-GB"/>
        </w:rPr>
        <w:t xml:space="preserve">debtors and creditors.  </w:t>
      </w:r>
    </w:p>
    <w:p w14:paraId="46B766DC" w14:textId="77777777" w:rsidR="009F16A0" w:rsidRPr="009F16A0" w:rsidRDefault="009F16A0" w:rsidP="009F16A0">
      <w:pPr>
        <w:jc w:val="both"/>
        <w:rPr>
          <w:rFonts w:ascii="Arial" w:hAnsi="Arial" w:cs="Arial"/>
          <w:color w:val="4472C4" w:themeColor="accent1"/>
          <w:sz w:val="22"/>
          <w:szCs w:val="22"/>
          <w:lang w:val="en-GB"/>
        </w:rPr>
      </w:pPr>
    </w:p>
    <w:p w14:paraId="12831B20" w14:textId="2205B808" w:rsidR="00BD2F1A" w:rsidRDefault="00BD2F1A" w:rsidP="00BA2A98">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If the presumption is rebutted such that London shall be regarded as its COMI</w:t>
      </w:r>
      <w:r w:rsidR="008C0057">
        <w:rPr>
          <w:rFonts w:ascii="Arial" w:hAnsi="Arial" w:cs="Arial"/>
          <w:color w:val="4472C4" w:themeColor="accent1"/>
          <w:sz w:val="22"/>
          <w:szCs w:val="22"/>
          <w:lang w:val="en-GB"/>
        </w:rPr>
        <w:t xml:space="preserve"> (Gambling Corp’s bonds was issued and governed by English law),</w:t>
      </w:r>
      <w:r>
        <w:rPr>
          <w:rFonts w:ascii="Arial" w:hAnsi="Arial" w:cs="Arial"/>
          <w:color w:val="4472C4" w:themeColor="accent1"/>
          <w:sz w:val="22"/>
          <w:szCs w:val="22"/>
          <w:lang w:val="en-GB"/>
        </w:rPr>
        <w:t xml:space="preserve"> </w:t>
      </w:r>
      <w:r w:rsidR="008C0057">
        <w:rPr>
          <w:rFonts w:ascii="Arial" w:hAnsi="Arial" w:cs="Arial"/>
          <w:color w:val="4472C4" w:themeColor="accent1"/>
          <w:sz w:val="22"/>
          <w:szCs w:val="22"/>
          <w:lang w:val="en-GB"/>
        </w:rPr>
        <w:t>the</w:t>
      </w:r>
      <w:r>
        <w:rPr>
          <w:rFonts w:ascii="Arial" w:hAnsi="Arial" w:cs="Arial"/>
          <w:color w:val="4472C4" w:themeColor="accent1"/>
          <w:sz w:val="22"/>
          <w:szCs w:val="22"/>
          <w:lang w:val="en-GB"/>
        </w:rPr>
        <w:t xml:space="preserve"> SoA</w:t>
      </w:r>
      <w:r w:rsidR="008C0057">
        <w:rPr>
          <w:rFonts w:ascii="Arial" w:hAnsi="Arial" w:cs="Arial"/>
          <w:color w:val="4472C4" w:themeColor="accent1"/>
          <w:sz w:val="22"/>
          <w:szCs w:val="22"/>
          <w:lang w:val="en-GB"/>
        </w:rPr>
        <w:t xml:space="preserve"> in the</w:t>
      </w:r>
      <w:r>
        <w:rPr>
          <w:rFonts w:ascii="Arial" w:hAnsi="Arial" w:cs="Arial"/>
          <w:color w:val="4472C4" w:themeColor="accent1"/>
          <w:sz w:val="22"/>
          <w:szCs w:val="22"/>
          <w:lang w:val="en-GB"/>
        </w:rPr>
        <w:t xml:space="preserve"> will qualify as foreign main proceeding.  </w:t>
      </w:r>
    </w:p>
    <w:p w14:paraId="5071D888" w14:textId="77777777" w:rsidR="007E2300" w:rsidRDefault="007E2300" w:rsidP="007E2300">
      <w:pPr>
        <w:pStyle w:val="ListParagraph"/>
        <w:ind w:left="360"/>
        <w:jc w:val="both"/>
        <w:rPr>
          <w:rFonts w:ascii="Arial" w:hAnsi="Arial" w:cs="Arial"/>
          <w:color w:val="4472C4" w:themeColor="accent1"/>
          <w:sz w:val="22"/>
          <w:szCs w:val="22"/>
          <w:lang w:val="en-GB"/>
        </w:rPr>
      </w:pPr>
    </w:p>
    <w:p w14:paraId="01B26416" w14:textId="3A8CBA24" w:rsidR="008C0057" w:rsidRDefault="00BD2F1A" w:rsidP="00BD2F1A">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London does not qualify as foreign main proceeding, it will qualify as foreign non-main proceeding if there is an “establishment” in London.  Establishment is defined as “a place where it carried out non-transitory economic activity – prior to the commencement of chapter 15 proceedings”.  </w:t>
      </w:r>
    </w:p>
    <w:p w14:paraId="43CDBDA9" w14:textId="77777777" w:rsidR="007E2300" w:rsidRPr="007E2300" w:rsidRDefault="007E2300" w:rsidP="007E2300">
      <w:pPr>
        <w:jc w:val="both"/>
        <w:rPr>
          <w:rFonts w:ascii="Arial" w:hAnsi="Arial" w:cs="Arial"/>
          <w:color w:val="4472C4" w:themeColor="accent1"/>
          <w:sz w:val="22"/>
          <w:szCs w:val="22"/>
          <w:lang w:val="en-GB"/>
        </w:rPr>
      </w:pPr>
    </w:p>
    <w:p w14:paraId="2E417F61" w14:textId="65913855" w:rsidR="00DF54C3" w:rsidRPr="00BD2F1A" w:rsidRDefault="008C0057" w:rsidP="00BD2F1A">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On the facts, casinos and betting </w:t>
      </w:r>
      <w:proofErr w:type="spellStart"/>
      <w:r>
        <w:rPr>
          <w:rFonts w:ascii="Arial" w:hAnsi="Arial" w:cs="Arial"/>
          <w:color w:val="4472C4" w:themeColor="accent1"/>
          <w:sz w:val="22"/>
          <w:szCs w:val="22"/>
          <w:lang w:val="en-GB"/>
        </w:rPr>
        <w:t>parlors</w:t>
      </w:r>
      <w:proofErr w:type="spellEnd"/>
      <w:r>
        <w:rPr>
          <w:rFonts w:ascii="Arial" w:hAnsi="Arial" w:cs="Arial"/>
          <w:color w:val="4472C4" w:themeColor="accent1"/>
          <w:sz w:val="22"/>
          <w:szCs w:val="22"/>
          <w:lang w:val="en-GB"/>
        </w:rPr>
        <w:t xml:space="preserve"> are also located in London, and therefore should meet the definition of “establishment”</w:t>
      </w:r>
      <w:r w:rsidR="007E2300">
        <w:rPr>
          <w:rFonts w:ascii="Arial" w:hAnsi="Arial" w:cs="Arial"/>
          <w:color w:val="4472C4" w:themeColor="accent1"/>
          <w:sz w:val="22"/>
          <w:szCs w:val="22"/>
          <w:lang w:val="en-GB"/>
        </w:rPr>
        <w:t xml:space="preserve">, if it does not qualify as foreign </w:t>
      </w:r>
      <w:r w:rsidR="009F16A0">
        <w:rPr>
          <w:rFonts w:ascii="Arial" w:hAnsi="Arial" w:cs="Arial"/>
          <w:color w:val="4472C4" w:themeColor="accent1"/>
          <w:sz w:val="22"/>
          <w:szCs w:val="22"/>
          <w:lang w:val="en-GB"/>
        </w:rPr>
        <w:t>main proceeding</w:t>
      </w:r>
      <w:r w:rsidR="007E2300">
        <w:rPr>
          <w:rFonts w:ascii="Arial" w:hAnsi="Arial" w:cs="Arial"/>
          <w:color w:val="4472C4" w:themeColor="accent1"/>
          <w:sz w:val="22"/>
          <w:szCs w:val="22"/>
          <w:lang w:val="en-GB"/>
        </w:rPr>
        <w:t xml:space="preserve">.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3ADC847A" w14:textId="7ECDD395" w:rsidR="00685D63" w:rsidRDefault="003F45D4" w:rsidP="00685D63">
      <w:pPr>
        <w:pStyle w:val="ListParagraph"/>
        <w:numPr>
          <w:ilvl w:val="0"/>
          <w:numId w:val="25"/>
        </w:numPr>
        <w:jc w:val="both"/>
        <w:rPr>
          <w:rFonts w:ascii="Arial" w:hAnsi="Arial" w:cs="Arial"/>
          <w:b/>
          <w:bCs/>
          <w:color w:val="4472C4" w:themeColor="accent1"/>
          <w:sz w:val="22"/>
          <w:szCs w:val="22"/>
          <w:lang w:val="en-GB"/>
        </w:rPr>
      </w:pPr>
      <w:r w:rsidRPr="003F45D4">
        <w:rPr>
          <w:rFonts w:ascii="Arial" w:hAnsi="Arial" w:cs="Arial"/>
          <w:b/>
          <w:bCs/>
          <w:color w:val="4472C4" w:themeColor="accent1"/>
          <w:sz w:val="22"/>
          <w:szCs w:val="22"/>
          <w:lang w:val="en-GB"/>
        </w:rPr>
        <w:t xml:space="preserve">The lawsuit filed by </w:t>
      </w:r>
      <w:proofErr w:type="spellStart"/>
      <w:r w:rsidRPr="003F45D4">
        <w:rPr>
          <w:rFonts w:ascii="Arial" w:hAnsi="Arial" w:cs="Arial"/>
          <w:b/>
          <w:bCs/>
          <w:color w:val="4472C4" w:themeColor="accent1"/>
          <w:sz w:val="22"/>
          <w:szCs w:val="22"/>
          <w:lang w:val="en-GB"/>
        </w:rPr>
        <w:t>ShipCo</w:t>
      </w:r>
      <w:proofErr w:type="spellEnd"/>
      <w:r w:rsidRPr="003F45D4">
        <w:rPr>
          <w:rFonts w:ascii="Arial" w:hAnsi="Arial" w:cs="Arial"/>
          <w:b/>
          <w:bCs/>
          <w:color w:val="4472C4" w:themeColor="accent1"/>
          <w:sz w:val="22"/>
          <w:szCs w:val="22"/>
          <w:lang w:val="en-GB"/>
        </w:rPr>
        <w:t xml:space="preserve"> - </w:t>
      </w:r>
      <w:r w:rsidR="00685D63" w:rsidRPr="003F45D4">
        <w:rPr>
          <w:rFonts w:ascii="Arial" w:hAnsi="Arial" w:cs="Arial"/>
          <w:color w:val="4472C4" w:themeColor="accent1"/>
          <w:sz w:val="22"/>
          <w:szCs w:val="22"/>
          <w:lang w:val="en-GB"/>
        </w:rPr>
        <w:t xml:space="preserve">On filing of Chapter 11, it triggers a worldwide automatic stay of proceeding </w:t>
      </w:r>
      <w:r w:rsidRPr="003F45D4">
        <w:rPr>
          <w:rFonts w:ascii="Arial" w:hAnsi="Arial" w:cs="Arial"/>
          <w:color w:val="4472C4" w:themeColor="accent1"/>
          <w:sz w:val="22"/>
          <w:szCs w:val="22"/>
          <w:lang w:val="en-GB"/>
        </w:rPr>
        <w:t>against</w:t>
      </w:r>
      <w:r w:rsidR="00685D63" w:rsidRPr="003F45D4">
        <w:rPr>
          <w:rFonts w:ascii="Arial" w:hAnsi="Arial" w:cs="Arial"/>
          <w:color w:val="4472C4" w:themeColor="accent1"/>
          <w:sz w:val="22"/>
          <w:szCs w:val="22"/>
          <w:lang w:val="en-GB"/>
        </w:rPr>
        <w:t xml:space="preserve"> the debtor or its property.  </w:t>
      </w:r>
      <w:r w:rsidRPr="003F45D4">
        <w:rPr>
          <w:rFonts w:ascii="Arial" w:hAnsi="Arial" w:cs="Arial"/>
          <w:color w:val="4472C4" w:themeColor="accent1"/>
          <w:sz w:val="22"/>
          <w:szCs w:val="22"/>
          <w:lang w:val="en-GB"/>
        </w:rPr>
        <w:t xml:space="preserve">The lawsuit filed by </w:t>
      </w:r>
      <w:proofErr w:type="spellStart"/>
      <w:r w:rsidRPr="003F45D4">
        <w:rPr>
          <w:rFonts w:ascii="Arial" w:hAnsi="Arial" w:cs="Arial"/>
          <w:color w:val="4472C4" w:themeColor="accent1"/>
          <w:sz w:val="22"/>
          <w:szCs w:val="22"/>
          <w:lang w:val="en-GB"/>
        </w:rPr>
        <w:t>ShipCo</w:t>
      </w:r>
      <w:proofErr w:type="spellEnd"/>
      <w:r w:rsidRPr="003F45D4">
        <w:rPr>
          <w:rFonts w:ascii="Arial" w:hAnsi="Arial" w:cs="Arial"/>
          <w:color w:val="4472C4" w:themeColor="accent1"/>
          <w:sz w:val="22"/>
          <w:szCs w:val="22"/>
          <w:lang w:val="en-GB"/>
        </w:rPr>
        <w:t xml:space="preserve"> will be stayed.</w:t>
      </w:r>
      <w:r w:rsidRPr="003F45D4">
        <w:rPr>
          <w:rFonts w:ascii="Arial" w:hAnsi="Arial" w:cs="Arial"/>
          <w:b/>
          <w:bCs/>
          <w:color w:val="4472C4" w:themeColor="accent1"/>
          <w:sz w:val="22"/>
          <w:szCs w:val="22"/>
          <w:lang w:val="en-GB"/>
        </w:rPr>
        <w:t xml:space="preserve">  </w:t>
      </w:r>
    </w:p>
    <w:p w14:paraId="6B8C7954" w14:textId="77777777" w:rsidR="003F45D4" w:rsidRPr="003F45D4" w:rsidRDefault="003F45D4" w:rsidP="003F45D4">
      <w:pPr>
        <w:pStyle w:val="ListParagraph"/>
        <w:ind w:left="360"/>
        <w:jc w:val="both"/>
        <w:rPr>
          <w:rFonts w:ascii="Arial" w:hAnsi="Arial" w:cs="Arial"/>
          <w:b/>
          <w:bCs/>
          <w:color w:val="4472C4" w:themeColor="accent1"/>
          <w:sz w:val="22"/>
          <w:szCs w:val="22"/>
          <w:lang w:val="en-GB"/>
        </w:rPr>
      </w:pPr>
    </w:p>
    <w:p w14:paraId="79FE73DC" w14:textId="11298AAA" w:rsidR="003F45D4" w:rsidRPr="0053737B" w:rsidRDefault="003F45D4" w:rsidP="00685D63">
      <w:pPr>
        <w:pStyle w:val="ListParagraph"/>
        <w:numPr>
          <w:ilvl w:val="0"/>
          <w:numId w:val="25"/>
        </w:numPr>
        <w:jc w:val="both"/>
        <w:rPr>
          <w:rFonts w:ascii="Arial" w:hAnsi="Arial" w:cs="Arial"/>
          <w:b/>
          <w:bCs/>
          <w:color w:val="4472C4" w:themeColor="accent1"/>
          <w:sz w:val="22"/>
          <w:szCs w:val="22"/>
          <w:lang w:val="en-GB"/>
        </w:rPr>
      </w:pPr>
      <w:r w:rsidRPr="003F45D4">
        <w:rPr>
          <w:rFonts w:ascii="Arial" w:hAnsi="Arial" w:cs="Arial"/>
          <w:b/>
          <w:bCs/>
          <w:color w:val="4472C4" w:themeColor="accent1"/>
          <w:sz w:val="22"/>
          <w:szCs w:val="22"/>
          <w:lang w:val="en-GB"/>
        </w:rPr>
        <w:t xml:space="preserve">US Department of Justice investigation </w:t>
      </w:r>
      <w:r w:rsidR="0053737B">
        <w:rPr>
          <w:rFonts w:ascii="Arial" w:hAnsi="Arial" w:cs="Arial"/>
          <w:color w:val="4472C4" w:themeColor="accent1"/>
          <w:sz w:val="22"/>
          <w:szCs w:val="22"/>
          <w:lang w:val="en-GB"/>
        </w:rPr>
        <w:t>–</w:t>
      </w:r>
      <w:r w:rsidRPr="003F45D4">
        <w:rPr>
          <w:rFonts w:ascii="Arial" w:hAnsi="Arial" w:cs="Arial"/>
          <w:color w:val="4472C4" w:themeColor="accent1"/>
          <w:sz w:val="22"/>
          <w:szCs w:val="22"/>
          <w:lang w:val="en-GB"/>
        </w:rPr>
        <w:t xml:space="preserve"> </w:t>
      </w:r>
      <w:r w:rsidR="00B510B8">
        <w:rPr>
          <w:rFonts w:ascii="Arial" w:hAnsi="Arial" w:cs="Arial"/>
          <w:color w:val="4472C4" w:themeColor="accent1"/>
          <w:sz w:val="22"/>
          <w:szCs w:val="22"/>
          <w:lang w:val="en-GB"/>
        </w:rPr>
        <w:t xml:space="preserve">The stay does not apply to criminal proceedings or regulatory investigations.  The investigation by the US Department of Justice may still proceed.  </w:t>
      </w:r>
    </w:p>
    <w:p w14:paraId="2398625B" w14:textId="77777777" w:rsidR="0053737B" w:rsidRPr="0053737B" w:rsidRDefault="0053737B" w:rsidP="0053737B">
      <w:pPr>
        <w:jc w:val="both"/>
        <w:rPr>
          <w:rFonts w:ascii="Arial" w:hAnsi="Arial" w:cs="Arial"/>
          <w:b/>
          <w:bCs/>
          <w:color w:val="4472C4" w:themeColor="accent1"/>
          <w:sz w:val="22"/>
          <w:szCs w:val="22"/>
          <w:lang w:val="en-GB"/>
        </w:rPr>
      </w:pPr>
    </w:p>
    <w:p w14:paraId="44E4F195" w14:textId="2E7ABCA2" w:rsidR="003F45D4" w:rsidRPr="0053737B" w:rsidRDefault="003F45D4" w:rsidP="00685D63">
      <w:pPr>
        <w:pStyle w:val="ListParagraph"/>
        <w:numPr>
          <w:ilvl w:val="0"/>
          <w:numId w:val="25"/>
        </w:numPr>
        <w:jc w:val="both"/>
        <w:rPr>
          <w:rFonts w:ascii="Arial" w:hAnsi="Arial" w:cs="Arial"/>
          <w:b/>
          <w:bCs/>
          <w:color w:val="4472C4" w:themeColor="accent1"/>
          <w:sz w:val="22"/>
          <w:szCs w:val="22"/>
          <w:lang w:val="en-GB"/>
        </w:rPr>
      </w:pPr>
      <w:r w:rsidRPr="003F45D4">
        <w:rPr>
          <w:rFonts w:ascii="Arial" w:hAnsi="Arial" w:cs="Arial"/>
          <w:b/>
          <w:bCs/>
          <w:color w:val="4472C4" w:themeColor="accent1"/>
          <w:sz w:val="22"/>
          <w:szCs w:val="22"/>
          <w:lang w:val="en-GB"/>
        </w:rPr>
        <w:t>USA Bank foreclosure in Philippines</w:t>
      </w:r>
      <w:r w:rsidR="0053737B">
        <w:rPr>
          <w:rFonts w:ascii="Arial" w:hAnsi="Arial" w:cs="Arial"/>
          <w:color w:val="4472C4" w:themeColor="accent1"/>
          <w:sz w:val="22"/>
          <w:szCs w:val="22"/>
          <w:lang w:val="en-GB"/>
        </w:rPr>
        <w:t xml:space="preserve"> – </w:t>
      </w:r>
      <w:r w:rsidR="00CF004A">
        <w:rPr>
          <w:rFonts w:ascii="Arial" w:hAnsi="Arial" w:cs="Arial"/>
          <w:color w:val="4472C4" w:themeColor="accent1"/>
          <w:sz w:val="22"/>
          <w:szCs w:val="22"/>
          <w:lang w:val="en-GB"/>
        </w:rPr>
        <w:t xml:space="preserve">The stay applies to foreclosure on the debtor (Oil Corp) non-US property securing a debt.  Foreclosure on the Oil refinery located in the Philippines </w:t>
      </w:r>
      <w:r w:rsidR="005D0745">
        <w:rPr>
          <w:rFonts w:ascii="Arial" w:hAnsi="Arial" w:cs="Arial"/>
          <w:color w:val="4472C4" w:themeColor="accent1"/>
          <w:sz w:val="22"/>
          <w:szCs w:val="22"/>
          <w:lang w:val="en-GB"/>
        </w:rPr>
        <w:t xml:space="preserve">by USD Bank will be stayed.  </w:t>
      </w:r>
    </w:p>
    <w:p w14:paraId="3C4E79E0" w14:textId="77777777" w:rsidR="0053737B" w:rsidRPr="0053737B" w:rsidRDefault="0053737B" w:rsidP="0053737B">
      <w:pPr>
        <w:jc w:val="both"/>
        <w:rPr>
          <w:rFonts w:ascii="Arial" w:hAnsi="Arial" w:cs="Arial"/>
          <w:b/>
          <w:bCs/>
          <w:color w:val="4472C4" w:themeColor="accent1"/>
          <w:sz w:val="22"/>
          <w:szCs w:val="22"/>
          <w:lang w:val="en-GB"/>
        </w:rPr>
      </w:pPr>
    </w:p>
    <w:p w14:paraId="6E6432B2" w14:textId="02979CDC" w:rsidR="003F45D4" w:rsidRPr="00685D63" w:rsidRDefault="003F45D4" w:rsidP="00685D63">
      <w:pPr>
        <w:pStyle w:val="ListParagraph"/>
        <w:numPr>
          <w:ilvl w:val="0"/>
          <w:numId w:val="25"/>
        </w:numPr>
        <w:jc w:val="both"/>
        <w:rPr>
          <w:rFonts w:ascii="Arial" w:hAnsi="Arial" w:cs="Arial"/>
          <w:color w:val="4472C4" w:themeColor="accent1"/>
          <w:sz w:val="22"/>
          <w:szCs w:val="22"/>
          <w:lang w:val="en-GB"/>
        </w:rPr>
      </w:pPr>
      <w:r w:rsidRPr="003F45D4">
        <w:rPr>
          <w:rFonts w:ascii="Arial" w:hAnsi="Arial" w:cs="Arial"/>
          <w:b/>
          <w:bCs/>
          <w:color w:val="4472C4" w:themeColor="accent1"/>
          <w:sz w:val="22"/>
          <w:szCs w:val="22"/>
          <w:lang w:val="en-GB"/>
        </w:rPr>
        <w:t xml:space="preserve">Rent at Texas office space </w:t>
      </w:r>
      <w:r w:rsidR="00544562">
        <w:rPr>
          <w:rFonts w:ascii="Arial" w:hAnsi="Arial" w:cs="Arial"/>
          <w:b/>
          <w:bCs/>
          <w:color w:val="4472C4" w:themeColor="accent1"/>
          <w:sz w:val="22"/>
          <w:szCs w:val="22"/>
          <w:lang w:val="en-GB"/>
        </w:rPr>
        <w:t>–</w:t>
      </w:r>
      <w:r>
        <w:rPr>
          <w:rFonts w:ascii="Arial" w:hAnsi="Arial" w:cs="Arial"/>
          <w:b/>
          <w:bCs/>
          <w:color w:val="4472C4" w:themeColor="accent1"/>
          <w:sz w:val="22"/>
          <w:szCs w:val="22"/>
          <w:lang w:val="en-GB"/>
        </w:rPr>
        <w:t xml:space="preserve"> </w:t>
      </w:r>
      <w:r w:rsidR="00544562">
        <w:rPr>
          <w:rFonts w:ascii="Arial" w:hAnsi="Arial" w:cs="Arial"/>
          <w:color w:val="4472C4" w:themeColor="accent1"/>
          <w:sz w:val="22"/>
          <w:szCs w:val="22"/>
          <w:lang w:val="en-GB"/>
        </w:rPr>
        <w:t xml:space="preserve">The stay excludes eviction of tenant from non-residential property where the lease has expired.  On the assumption that the lease has not expired, the landlord cannot </w:t>
      </w:r>
      <w:r w:rsidR="009F16A0">
        <w:rPr>
          <w:rFonts w:ascii="Arial" w:hAnsi="Arial" w:cs="Arial"/>
          <w:color w:val="4472C4" w:themeColor="accent1"/>
          <w:sz w:val="22"/>
          <w:szCs w:val="22"/>
          <w:lang w:val="en-GB"/>
        </w:rPr>
        <w:t>evict the</w:t>
      </w:r>
      <w:r w:rsidR="00544562">
        <w:rPr>
          <w:rFonts w:ascii="Arial" w:hAnsi="Arial" w:cs="Arial"/>
          <w:color w:val="4472C4" w:themeColor="accent1"/>
          <w:sz w:val="22"/>
          <w:szCs w:val="22"/>
          <w:lang w:val="en-GB"/>
        </w:rPr>
        <w:t xml:space="preserve"> Oil Corp. </w:t>
      </w:r>
      <w:r w:rsidR="007206F0">
        <w:rPr>
          <w:rFonts w:ascii="Arial" w:hAnsi="Arial" w:cs="Arial"/>
          <w:color w:val="4472C4" w:themeColor="accent1"/>
          <w:sz w:val="22"/>
          <w:szCs w:val="22"/>
          <w:lang w:val="en-GB"/>
        </w:rPr>
        <w:t xml:space="preserve">If he </w:t>
      </w:r>
      <w:proofErr w:type="gramStart"/>
      <w:r w:rsidR="007206F0">
        <w:rPr>
          <w:rFonts w:ascii="Arial" w:hAnsi="Arial" w:cs="Arial"/>
          <w:color w:val="4472C4" w:themeColor="accent1"/>
          <w:sz w:val="22"/>
          <w:szCs w:val="22"/>
          <w:lang w:val="en-GB"/>
        </w:rPr>
        <w:t>lease</w:t>
      </w:r>
      <w:proofErr w:type="gramEnd"/>
      <w:r w:rsidR="007206F0">
        <w:rPr>
          <w:rFonts w:ascii="Arial" w:hAnsi="Arial" w:cs="Arial"/>
          <w:color w:val="4472C4" w:themeColor="accent1"/>
          <w:sz w:val="22"/>
          <w:szCs w:val="22"/>
          <w:lang w:val="en-GB"/>
        </w:rPr>
        <w:t xml:space="preserve"> had expired, Oil Corp could be evicted.  </w:t>
      </w:r>
    </w:p>
    <w:p w14:paraId="6742B999" w14:textId="1986A5DA" w:rsidR="00323167" w:rsidRDefault="00323167" w:rsidP="00323167">
      <w:pPr>
        <w:pStyle w:val="AODocTxt"/>
        <w:spacing w:before="0" w:line="240" w:lineRule="auto"/>
        <w:rPr>
          <w:rFonts w:ascii="Arial" w:hAnsi="Arial" w:cs="Arial"/>
        </w:rPr>
      </w:pPr>
    </w:p>
    <w:p w14:paraId="5D955297" w14:textId="448E661D" w:rsidR="008B4C62" w:rsidRDefault="008B4C62" w:rsidP="00323167">
      <w:pPr>
        <w:pStyle w:val="AODocTxt"/>
        <w:spacing w:before="0" w:line="240" w:lineRule="auto"/>
        <w:rPr>
          <w:rFonts w:ascii="Arial" w:hAnsi="Arial" w:cs="Arial"/>
        </w:rPr>
      </w:pPr>
    </w:p>
    <w:p w14:paraId="25F038A9" w14:textId="77777777" w:rsidR="008B4C62" w:rsidRDefault="008B4C62"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B4A6F00"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21913083" w14:textId="59FEDF70" w:rsidR="009503E8" w:rsidRDefault="009503E8" w:rsidP="00323167">
      <w:pPr>
        <w:pStyle w:val="AODocTxt"/>
        <w:spacing w:before="0" w:line="240" w:lineRule="auto"/>
        <w:rPr>
          <w:rFonts w:ascii="Arial" w:hAnsi="Arial" w:cs="Arial"/>
        </w:rPr>
      </w:pPr>
    </w:p>
    <w:p w14:paraId="13A24669" w14:textId="12C2D94F" w:rsidR="0026182D" w:rsidRPr="00642C7D" w:rsidRDefault="00642C7D" w:rsidP="00642C7D">
      <w:pPr>
        <w:pStyle w:val="AODocTxt"/>
        <w:numPr>
          <w:ilvl w:val="0"/>
          <w:numId w:val="27"/>
        </w:numPr>
        <w:spacing w:before="0" w:line="240" w:lineRule="auto"/>
        <w:rPr>
          <w:rFonts w:ascii="Arial" w:hAnsi="Arial" w:cs="Arial"/>
          <w:color w:val="4472C4" w:themeColor="accent1"/>
        </w:rPr>
      </w:pPr>
      <w:r>
        <w:rPr>
          <w:rFonts w:ascii="Arial" w:hAnsi="Arial" w:cs="Arial"/>
          <w:color w:val="4472C4" w:themeColor="accent1"/>
        </w:rPr>
        <w:t xml:space="preserve">Broadly, </w:t>
      </w:r>
      <w:r w:rsidR="009503E8" w:rsidRPr="009503E8">
        <w:rPr>
          <w:rFonts w:ascii="Arial" w:hAnsi="Arial" w:cs="Arial"/>
          <w:color w:val="4472C4" w:themeColor="accent1"/>
        </w:rPr>
        <w:t xml:space="preserve">363 </w:t>
      </w:r>
      <w:r w:rsidR="009503E8">
        <w:rPr>
          <w:rFonts w:ascii="Arial" w:hAnsi="Arial" w:cs="Arial"/>
          <w:color w:val="4472C4" w:themeColor="accent1"/>
        </w:rPr>
        <w:t>allows the debtor in possession (Chapter 11) and Trustee (Chapter 7) to sell the debtors’ assets</w:t>
      </w:r>
      <w:r w:rsidR="0026182D">
        <w:rPr>
          <w:rFonts w:ascii="Arial" w:hAnsi="Arial" w:cs="Arial"/>
          <w:color w:val="4472C4" w:themeColor="accent1"/>
        </w:rPr>
        <w:t>, realise the cash and pay creditors, even though the sale transaction is a “non-ordinary course” of transaction</w:t>
      </w:r>
      <w:r>
        <w:rPr>
          <w:rFonts w:ascii="Arial" w:hAnsi="Arial" w:cs="Arial"/>
          <w:color w:val="4472C4" w:themeColor="accent1"/>
        </w:rPr>
        <w:t xml:space="preserve"> or </w:t>
      </w:r>
      <w:r w:rsidR="00D2022E">
        <w:rPr>
          <w:rFonts w:ascii="Arial" w:hAnsi="Arial" w:cs="Arial"/>
          <w:color w:val="4472C4" w:themeColor="accent1"/>
        </w:rPr>
        <w:t xml:space="preserve">where assets are </w:t>
      </w:r>
      <w:r>
        <w:rPr>
          <w:rFonts w:ascii="Arial" w:hAnsi="Arial" w:cs="Arial"/>
          <w:color w:val="4472C4" w:themeColor="accent1"/>
        </w:rPr>
        <w:t xml:space="preserve">subject </w:t>
      </w:r>
      <w:r w:rsidR="00D2022E">
        <w:rPr>
          <w:rFonts w:ascii="Arial" w:hAnsi="Arial" w:cs="Arial"/>
          <w:color w:val="4472C4" w:themeColor="accent1"/>
        </w:rPr>
        <w:t>to lien</w:t>
      </w:r>
      <w:r w:rsidR="00E456F7">
        <w:rPr>
          <w:rFonts w:ascii="Arial" w:hAnsi="Arial" w:cs="Arial"/>
          <w:color w:val="4472C4" w:themeColor="accent1"/>
        </w:rPr>
        <w:t xml:space="preserve">.  The sale under 363 is </w:t>
      </w:r>
      <w:r w:rsidR="009C70E7">
        <w:rPr>
          <w:rFonts w:ascii="Arial" w:hAnsi="Arial" w:cs="Arial"/>
          <w:color w:val="4472C4" w:themeColor="accent1"/>
        </w:rPr>
        <w:t>subject to the court’s approval.</w:t>
      </w:r>
      <w:r w:rsidR="0026182D">
        <w:rPr>
          <w:rFonts w:ascii="Arial" w:hAnsi="Arial" w:cs="Arial"/>
          <w:color w:val="4472C4" w:themeColor="accent1"/>
        </w:rPr>
        <w:t xml:space="preserve">  </w:t>
      </w:r>
      <w:r>
        <w:rPr>
          <w:rFonts w:ascii="Arial" w:hAnsi="Arial" w:cs="Arial"/>
          <w:color w:val="4472C4" w:themeColor="accent1"/>
        </w:rPr>
        <w:t>The purchaser of the assets buys the</w:t>
      </w:r>
      <w:r w:rsidR="009C70E7">
        <w:rPr>
          <w:rFonts w:ascii="Arial" w:hAnsi="Arial" w:cs="Arial"/>
          <w:color w:val="4472C4" w:themeColor="accent1"/>
        </w:rPr>
        <w:t xml:space="preserve"> assets</w:t>
      </w:r>
      <w:r>
        <w:rPr>
          <w:rFonts w:ascii="Arial" w:hAnsi="Arial" w:cs="Arial"/>
          <w:color w:val="4472C4" w:themeColor="accent1"/>
        </w:rPr>
        <w:t xml:space="preserve"> free of liens and encumbrances.</w:t>
      </w:r>
      <w:r w:rsidR="0026182D" w:rsidRPr="00642C7D">
        <w:rPr>
          <w:rFonts w:ascii="Arial" w:hAnsi="Arial" w:cs="Arial"/>
          <w:color w:val="4472C4" w:themeColor="accent1"/>
        </w:rPr>
        <w:t xml:space="preserve">  </w:t>
      </w:r>
      <w:r>
        <w:rPr>
          <w:rFonts w:ascii="Arial" w:hAnsi="Arial" w:cs="Arial"/>
          <w:color w:val="4472C4" w:themeColor="accent1"/>
        </w:rPr>
        <w:t xml:space="preserve">However, certain assets cannot be sold; they are discussed below.  </w:t>
      </w:r>
    </w:p>
    <w:p w14:paraId="5236B363" w14:textId="178CAE91" w:rsidR="003B7184" w:rsidRDefault="003B7184" w:rsidP="00323167">
      <w:pPr>
        <w:pStyle w:val="AODocTxt"/>
        <w:spacing w:before="0" w:line="240" w:lineRule="auto"/>
        <w:rPr>
          <w:rFonts w:ascii="Arial" w:hAnsi="Arial" w:cs="Arial"/>
        </w:rPr>
      </w:pPr>
    </w:p>
    <w:p w14:paraId="2D44822C" w14:textId="4866637B" w:rsidR="005B2A9B" w:rsidRDefault="00433C77" w:rsidP="00433C77">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Trademark – Trademark licences are not assignable unless the licensor consents:  </w:t>
      </w:r>
      <w:r w:rsidRPr="00433C77">
        <w:rPr>
          <w:rFonts w:ascii="Arial" w:hAnsi="Arial" w:cs="Arial"/>
          <w:i/>
          <w:iCs/>
          <w:color w:val="4472C4" w:themeColor="accent1"/>
          <w:sz w:val="22"/>
          <w:szCs w:val="22"/>
          <w:lang w:val="en-GB"/>
        </w:rPr>
        <w:t>Re Trump Entertainment Resorts, Inc.</w:t>
      </w:r>
      <w:r>
        <w:rPr>
          <w:rFonts w:ascii="Arial" w:hAnsi="Arial" w:cs="Arial"/>
          <w:color w:val="4472C4" w:themeColor="accent1"/>
          <w:sz w:val="22"/>
          <w:szCs w:val="22"/>
          <w:lang w:val="en-GB"/>
        </w:rPr>
        <w:t xml:space="preserve">  Oil Corp will not be able to sell its plastic manufacturing business together with “interconnect” trademark, that belongs to Plastic Corp</w:t>
      </w:r>
      <w:r w:rsidR="00E456F7">
        <w:rPr>
          <w:rFonts w:ascii="Arial" w:hAnsi="Arial" w:cs="Arial"/>
          <w:color w:val="4472C4" w:themeColor="accent1"/>
          <w:sz w:val="22"/>
          <w:szCs w:val="22"/>
          <w:lang w:val="en-GB"/>
        </w:rPr>
        <w:t xml:space="preserve"> without its consent.  </w:t>
      </w:r>
    </w:p>
    <w:p w14:paraId="3222B31F" w14:textId="77777777" w:rsidR="002F13C0" w:rsidRDefault="002F13C0" w:rsidP="002F13C0">
      <w:pPr>
        <w:pStyle w:val="ListParagraph"/>
        <w:jc w:val="both"/>
        <w:rPr>
          <w:rFonts w:ascii="Arial" w:hAnsi="Arial" w:cs="Arial"/>
          <w:color w:val="4472C4" w:themeColor="accent1"/>
          <w:sz w:val="22"/>
          <w:szCs w:val="22"/>
          <w:lang w:val="en-GB"/>
        </w:rPr>
      </w:pPr>
    </w:p>
    <w:p w14:paraId="109491AA" w14:textId="01979B99" w:rsidR="002F13C0" w:rsidRDefault="00433C77" w:rsidP="00433C77">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Patent licenses </w:t>
      </w:r>
      <w:r w:rsidR="00402BDB">
        <w:rPr>
          <w:rFonts w:ascii="Arial" w:hAnsi="Arial" w:cs="Arial"/>
          <w:color w:val="4472C4" w:themeColor="accent1"/>
          <w:sz w:val="22"/>
          <w:szCs w:val="22"/>
          <w:lang w:val="en-GB"/>
        </w:rPr>
        <w:t xml:space="preserve">granted to Plastic Corp – </w:t>
      </w:r>
      <w:r w:rsidR="00E456F7">
        <w:rPr>
          <w:rFonts w:ascii="Arial" w:hAnsi="Arial" w:cs="Arial"/>
          <w:color w:val="4472C4" w:themeColor="accent1"/>
          <w:sz w:val="22"/>
          <w:szCs w:val="22"/>
          <w:lang w:val="en-GB"/>
        </w:rPr>
        <w:t xml:space="preserve">Trustee or debtor may reject “unprofitable contracts” </w:t>
      </w:r>
      <w:proofErr w:type="gramStart"/>
      <w:r w:rsidR="00E456F7">
        <w:rPr>
          <w:rFonts w:ascii="Arial" w:hAnsi="Arial" w:cs="Arial"/>
          <w:color w:val="4472C4" w:themeColor="accent1"/>
          <w:sz w:val="22"/>
          <w:szCs w:val="22"/>
          <w:lang w:val="en-GB"/>
        </w:rPr>
        <w:t>as a general rule</w:t>
      </w:r>
      <w:proofErr w:type="gramEnd"/>
      <w:r w:rsidR="00E456F7">
        <w:rPr>
          <w:rFonts w:ascii="Arial" w:hAnsi="Arial" w:cs="Arial"/>
          <w:color w:val="4472C4" w:themeColor="accent1"/>
          <w:sz w:val="22"/>
          <w:szCs w:val="22"/>
          <w:lang w:val="en-GB"/>
        </w:rPr>
        <w:t xml:space="preserve">.  However, there are exceptions.  </w:t>
      </w:r>
      <w:r w:rsidR="00402BDB">
        <w:rPr>
          <w:rFonts w:ascii="Arial" w:hAnsi="Arial" w:cs="Arial"/>
          <w:color w:val="4472C4" w:themeColor="accent1"/>
          <w:sz w:val="22"/>
          <w:szCs w:val="22"/>
          <w:lang w:val="en-GB"/>
        </w:rPr>
        <w:t>Licenses granted to Plastic Corp may not be terminated without i</w:t>
      </w:r>
      <w:r w:rsidR="00E456F7">
        <w:rPr>
          <w:rFonts w:ascii="Arial" w:hAnsi="Arial" w:cs="Arial"/>
          <w:color w:val="4472C4" w:themeColor="accent1"/>
          <w:sz w:val="22"/>
          <w:szCs w:val="22"/>
          <w:lang w:val="en-GB"/>
        </w:rPr>
        <w:t xml:space="preserve">ts (Plastic Corp) </w:t>
      </w:r>
      <w:r w:rsidR="00402BDB">
        <w:rPr>
          <w:rFonts w:ascii="Arial" w:hAnsi="Arial" w:cs="Arial"/>
          <w:color w:val="4472C4" w:themeColor="accent1"/>
          <w:sz w:val="22"/>
          <w:szCs w:val="22"/>
          <w:lang w:val="en-GB"/>
        </w:rPr>
        <w:t xml:space="preserve">consent:  </w:t>
      </w:r>
      <w:r w:rsidR="00E456F7">
        <w:rPr>
          <w:rFonts w:ascii="Arial" w:hAnsi="Arial" w:cs="Arial"/>
          <w:color w:val="4472C4" w:themeColor="accent1"/>
          <w:sz w:val="22"/>
          <w:szCs w:val="22"/>
          <w:lang w:val="en-GB"/>
        </w:rPr>
        <w:t>s</w:t>
      </w:r>
      <w:r w:rsidR="00402BDB">
        <w:rPr>
          <w:rFonts w:ascii="Arial" w:hAnsi="Arial" w:cs="Arial"/>
          <w:color w:val="4472C4" w:themeColor="accent1"/>
          <w:sz w:val="22"/>
          <w:szCs w:val="22"/>
          <w:lang w:val="en-GB"/>
        </w:rPr>
        <w:t xml:space="preserve"> 365(n)</w:t>
      </w:r>
      <w:r w:rsidR="002F13C0">
        <w:rPr>
          <w:rFonts w:ascii="Arial" w:hAnsi="Arial" w:cs="Arial"/>
          <w:color w:val="4472C4" w:themeColor="accent1"/>
          <w:sz w:val="22"/>
          <w:szCs w:val="22"/>
          <w:lang w:val="en-GB"/>
        </w:rPr>
        <w:t xml:space="preserve">, </w:t>
      </w:r>
      <w:r w:rsidR="002F13C0" w:rsidRPr="00E456F7">
        <w:rPr>
          <w:rFonts w:ascii="Arial" w:hAnsi="Arial" w:cs="Arial"/>
          <w:i/>
          <w:iCs/>
          <w:color w:val="4472C4" w:themeColor="accent1"/>
          <w:sz w:val="22"/>
          <w:szCs w:val="22"/>
          <w:lang w:val="en-GB"/>
        </w:rPr>
        <w:t>Jaffe v Samsung Electronics Co</w:t>
      </w:r>
      <w:r w:rsidR="002F13C0">
        <w:rPr>
          <w:rFonts w:ascii="Arial" w:hAnsi="Arial" w:cs="Arial"/>
          <w:color w:val="4472C4" w:themeColor="accent1"/>
          <w:sz w:val="22"/>
          <w:szCs w:val="22"/>
          <w:lang w:val="en-GB"/>
        </w:rPr>
        <w:t xml:space="preserve"> Ltd [2013].</w:t>
      </w:r>
      <w:r w:rsidR="00E456F7">
        <w:rPr>
          <w:rFonts w:ascii="Arial" w:hAnsi="Arial" w:cs="Arial"/>
          <w:color w:val="4472C4" w:themeColor="accent1"/>
          <w:sz w:val="22"/>
          <w:szCs w:val="22"/>
          <w:lang w:val="en-GB"/>
        </w:rPr>
        <w:t xml:space="preserve"> </w:t>
      </w:r>
      <w:r w:rsidR="002F13C0">
        <w:rPr>
          <w:rFonts w:ascii="Arial" w:hAnsi="Arial" w:cs="Arial"/>
          <w:color w:val="4472C4" w:themeColor="accent1"/>
          <w:sz w:val="22"/>
          <w:szCs w:val="22"/>
          <w:lang w:val="en-GB"/>
        </w:rPr>
        <w:t>Oil Corp can</w:t>
      </w:r>
      <w:r w:rsidR="00E456F7">
        <w:rPr>
          <w:rFonts w:ascii="Arial" w:hAnsi="Arial" w:cs="Arial"/>
          <w:color w:val="4472C4" w:themeColor="accent1"/>
          <w:sz w:val="22"/>
          <w:szCs w:val="22"/>
          <w:lang w:val="en-GB"/>
        </w:rPr>
        <w:t>not</w:t>
      </w:r>
      <w:r w:rsidR="002F13C0">
        <w:rPr>
          <w:rFonts w:ascii="Arial" w:hAnsi="Arial" w:cs="Arial"/>
          <w:color w:val="4472C4" w:themeColor="accent1"/>
          <w:sz w:val="22"/>
          <w:szCs w:val="22"/>
          <w:lang w:val="en-GB"/>
        </w:rPr>
        <w:t xml:space="preserve"> </w:t>
      </w:r>
      <w:r w:rsidR="00E456F7">
        <w:rPr>
          <w:rFonts w:ascii="Arial" w:hAnsi="Arial" w:cs="Arial"/>
          <w:color w:val="4472C4" w:themeColor="accent1"/>
          <w:sz w:val="22"/>
          <w:szCs w:val="22"/>
          <w:lang w:val="en-GB"/>
        </w:rPr>
        <w:t>its plastic manufacturing business through a 363 sale together with</w:t>
      </w:r>
      <w:r w:rsidR="002F13C0">
        <w:rPr>
          <w:rFonts w:ascii="Arial" w:hAnsi="Arial" w:cs="Arial"/>
          <w:color w:val="4472C4" w:themeColor="accent1"/>
          <w:sz w:val="22"/>
          <w:szCs w:val="22"/>
          <w:lang w:val="en-GB"/>
        </w:rPr>
        <w:t xml:space="preserve"> the patent licenses</w:t>
      </w:r>
      <w:r w:rsidR="00E456F7">
        <w:rPr>
          <w:rFonts w:ascii="Arial" w:hAnsi="Arial" w:cs="Arial"/>
          <w:color w:val="4472C4" w:themeColor="accent1"/>
          <w:sz w:val="22"/>
          <w:szCs w:val="22"/>
          <w:lang w:val="en-GB"/>
        </w:rPr>
        <w:t xml:space="preserve">. The purchaser therefore would not be able to acquire the patent licenses even if it buys the plastic manufacturing business.   </w:t>
      </w:r>
      <w:r w:rsidR="002F13C0">
        <w:rPr>
          <w:rFonts w:ascii="Arial" w:hAnsi="Arial" w:cs="Arial"/>
          <w:color w:val="4472C4" w:themeColor="accent1"/>
          <w:sz w:val="22"/>
          <w:szCs w:val="22"/>
          <w:lang w:val="en-GB"/>
        </w:rPr>
        <w:t xml:space="preserve">  </w:t>
      </w:r>
      <w:r w:rsidR="00402BDB">
        <w:rPr>
          <w:rFonts w:ascii="Arial" w:hAnsi="Arial" w:cs="Arial"/>
          <w:color w:val="4472C4" w:themeColor="accent1"/>
          <w:sz w:val="22"/>
          <w:szCs w:val="22"/>
          <w:lang w:val="en-GB"/>
        </w:rPr>
        <w:t xml:space="preserve"> </w:t>
      </w:r>
    </w:p>
    <w:p w14:paraId="7079FB84" w14:textId="783E7ED4" w:rsidR="00433C77" w:rsidRPr="002F13C0" w:rsidRDefault="00402BDB" w:rsidP="002F13C0">
      <w:pPr>
        <w:jc w:val="both"/>
        <w:rPr>
          <w:rFonts w:ascii="Arial" w:hAnsi="Arial" w:cs="Arial"/>
          <w:color w:val="4472C4" w:themeColor="accent1"/>
          <w:sz w:val="22"/>
          <w:szCs w:val="22"/>
          <w:lang w:val="en-GB"/>
        </w:rPr>
      </w:pPr>
      <w:r w:rsidRPr="002F13C0">
        <w:rPr>
          <w:rFonts w:ascii="Arial" w:hAnsi="Arial" w:cs="Arial"/>
          <w:color w:val="4472C4" w:themeColor="accent1"/>
          <w:sz w:val="22"/>
          <w:szCs w:val="22"/>
          <w:lang w:val="en-GB"/>
        </w:rPr>
        <w:t xml:space="preserve"> </w:t>
      </w:r>
    </w:p>
    <w:p w14:paraId="691B977A" w14:textId="47676595" w:rsidR="00455018" w:rsidRPr="00EA26C4" w:rsidRDefault="00402BDB" w:rsidP="000E3369">
      <w:pPr>
        <w:pStyle w:val="ListParagraph"/>
        <w:numPr>
          <w:ilvl w:val="0"/>
          <w:numId w:val="26"/>
        </w:numPr>
        <w:autoSpaceDE w:val="0"/>
        <w:autoSpaceDN w:val="0"/>
        <w:adjustRightInd w:val="0"/>
        <w:jc w:val="both"/>
        <w:rPr>
          <w:rFonts w:ascii="Arial" w:hAnsi="Arial" w:cs="Arial"/>
          <w:color w:val="808080" w:themeColor="background1" w:themeShade="80"/>
          <w:sz w:val="22"/>
          <w:szCs w:val="22"/>
          <w:lang w:val="en-GB"/>
        </w:rPr>
      </w:pPr>
      <w:r w:rsidRPr="00EA26C4">
        <w:rPr>
          <w:rFonts w:ascii="Arial" w:hAnsi="Arial" w:cs="Arial"/>
          <w:color w:val="4472C4" w:themeColor="accent1"/>
          <w:sz w:val="22"/>
          <w:szCs w:val="22"/>
          <w:lang w:val="en-GB"/>
        </w:rPr>
        <w:t>Sale of manufacturing facility free and clear of USA Bank lien – The sale can be done</w:t>
      </w:r>
      <w:r w:rsidR="006A0C75" w:rsidRPr="00EA26C4">
        <w:rPr>
          <w:rFonts w:ascii="Arial" w:hAnsi="Arial" w:cs="Arial"/>
          <w:color w:val="4472C4" w:themeColor="accent1"/>
          <w:sz w:val="22"/>
          <w:szCs w:val="22"/>
          <w:lang w:val="en-GB"/>
        </w:rPr>
        <w:t xml:space="preserve"> with adequate protection provided to the holder of lien.</w:t>
      </w:r>
      <w:r w:rsidRPr="00EA26C4">
        <w:rPr>
          <w:rFonts w:ascii="Arial" w:hAnsi="Arial" w:cs="Arial"/>
          <w:color w:val="4472C4" w:themeColor="accent1"/>
          <w:sz w:val="22"/>
          <w:szCs w:val="22"/>
          <w:lang w:val="en-GB"/>
        </w:rPr>
        <w:t xml:space="preserve">  </w:t>
      </w:r>
      <w:r w:rsidR="00642C7D" w:rsidRPr="00EA26C4">
        <w:rPr>
          <w:rFonts w:ascii="Arial" w:hAnsi="Arial" w:cs="Arial"/>
          <w:color w:val="4472C4" w:themeColor="accent1"/>
          <w:sz w:val="22"/>
          <w:szCs w:val="22"/>
          <w:lang w:val="en-GB"/>
        </w:rPr>
        <w:t>To</w:t>
      </w:r>
      <w:r w:rsidR="00641EF8" w:rsidRPr="00EA26C4">
        <w:rPr>
          <w:rFonts w:ascii="Arial" w:hAnsi="Arial" w:cs="Arial"/>
          <w:color w:val="4472C4" w:themeColor="accent1"/>
          <w:sz w:val="22"/>
          <w:szCs w:val="22"/>
          <w:lang w:val="en-GB"/>
        </w:rPr>
        <w:t xml:space="preserve"> sell, the party in interest (USA Bank) must be given notice of the </w:t>
      </w:r>
      <w:r w:rsidR="00EA26C4" w:rsidRPr="00EA26C4">
        <w:rPr>
          <w:rFonts w:ascii="Arial" w:hAnsi="Arial" w:cs="Arial"/>
          <w:color w:val="4472C4" w:themeColor="accent1"/>
          <w:sz w:val="22"/>
          <w:szCs w:val="22"/>
          <w:lang w:val="en-GB"/>
        </w:rPr>
        <w:t xml:space="preserve">intention of sale </w:t>
      </w:r>
      <w:r w:rsidR="00641EF8" w:rsidRPr="00EA26C4">
        <w:rPr>
          <w:rFonts w:ascii="Arial" w:hAnsi="Arial" w:cs="Arial"/>
          <w:color w:val="4472C4" w:themeColor="accent1"/>
          <w:sz w:val="22"/>
          <w:szCs w:val="22"/>
          <w:lang w:val="en-GB"/>
        </w:rPr>
        <w:t xml:space="preserve">but hearing in court need not be held unless USA Bank requests it.  If the sale is successful, the </w:t>
      </w:r>
      <w:r w:rsidRPr="00EA26C4">
        <w:rPr>
          <w:rFonts w:ascii="Arial" w:hAnsi="Arial" w:cs="Arial"/>
          <w:color w:val="4472C4" w:themeColor="accent1"/>
          <w:sz w:val="22"/>
          <w:szCs w:val="22"/>
          <w:lang w:val="en-GB"/>
        </w:rPr>
        <w:t xml:space="preserve">purchaser will acquire it free and clear of the USA Bank lien.  The proceeds of the sale must be used to discharge amount </w:t>
      </w:r>
      <w:r w:rsidR="000F5B86">
        <w:rPr>
          <w:rFonts w:ascii="Arial" w:hAnsi="Arial" w:cs="Arial"/>
          <w:color w:val="4472C4" w:themeColor="accent1"/>
          <w:sz w:val="22"/>
          <w:szCs w:val="22"/>
          <w:lang w:val="en-GB"/>
        </w:rPr>
        <w:t>owing</w:t>
      </w:r>
      <w:r w:rsidRPr="00EA26C4">
        <w:rPr>
          <w:rFonts w:ascii="Arial" w:hAnsi="Arial" w:cs="Arial"/>
          <w:color w:val="4472C4" w:themeColor="accent1"/>
          <w:sz w:val="22"/>
          <w:szCs w:val="22"/>
          <w:lang w:val="en-GB"/>
        </w:rPr>
        <w:t xml:space="preserve"> to USA Bank</w:t>
      </w:r>
      <w:r w:rsidR="006A0C75" w:rsidRPr="00EA26C4">
        <w:rPr>
          <w:rFonts w:ascii="Arial" w:hAnsi="Arial" w:cs="Arial"/>
          <w:color w:val="4472C4" w:themeColor="accent1"/>
          <w:sz w:val="22"/>
          <w:szCs w:val="22"/>
          <w:lang w:val="en-GB"/>
        </w:rPr>
        <w:t>: s 363(f).</w:t>
      </w:r>
      <w:r w:rsidRPr="00EA26C4">
        <w:rPr>
          <w:rFonts w:ascii="Arial" w:hAnsi="Arial" w:cs="Arial"/>
          <w:color w:val="4472C4" w:themeColor="accent1"/>
          <w:sz w:val="22"/>
          <w:szCs w:val="22"/>
          <w:lang w:val="en-GB"/>
        </w:rPr>
        <w:t xml:space="preserve">  If there is a surplus, </w:t>
      </w:r>
      <w:r w:rsidR="00EA26C4" w:rsidRPr="00EA26C4">
        <w:rPr>
          <w:rFonts w:ascii="Arial" w:hAnsi="Arial" w:cs="Arial"/>
          <w:color w:val="4472C4" w:themeColor="accent1"/>
          <w:sz w:val="22"/>
          <w:szCs w:val="22"/>
          <w:lang w:val="en-GB"/>
        </w:rPr>
        <w:t xml:space="preserve">it will be distributed to claimants (creditors) according to statutory priorities.  </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D1C6" w14:textId="77777777" w:rsidR="00B05799" w:rsidRDefault="00B05799" w:rsidP="00241B44">
      <w:r>
        <w:separator/>
      </w:r>
    </w:p>
  </w:endnote>
  <w:endnote w:type="continuationSeparator" w:id="0">
    <w:p w14:paraId="325FF2D9" w14:textId="77777777" w:rsidR="00B05799" w:rsidRDefault="00B057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9023B8A" w:rsidR="00241FA3" w:rsidRPr="009B4976" w:rsidRDefault="00A400BE" w:rsidP="009B4976">
    <w:pPr>
      <w:pStyle w:val="Footer"/>
      <w:ind w:right="360"/>
      <w:rPr>
        <w:rFonts w:ascii="Arial" w:hAnsi="Arial" w:cs="Arial"/>
        <w:sz w:val="18"/>
        <w:szCs w:val="18"/>
        <w:lang w:val="en-GB"/>
      </w:rPr>
    </w:pPr>
    <w:r>
      <w:rPr>
        <w:rFonts w:ascii="Arial" w:hAnsi="Arial" w:cs="Arial"/>
        <w:sz w:val="18"/>
        <w:szCs w:val="18"/>
        <w:lang w:val="en-GB"/>
      </w:rPr>
      <w:t>202122-499</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966C" w14:textId="77777777" w:rsidR="00A400BE" w:rsidRDefault="00A4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35E9" w14:textId="77777777" w:rsidR="00B05799" w:rsidRDefault="00B05799" w:rsidP="00241B44">
      <w:r>
        <w:separator/>
      </w:r>
    </w:p>
  </w:footnote>
  <w:footnote w:type="continuationSeparator" w:id="0">
    <w:p w14:paraId="06BB90DE" w14:textId="77777777" w:rsidR="00B05799" w:rsidRDefault="00B0579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CC73" w14:textId="77777777" w:rsidR="00A400BE" w:rsidRDefault="00A40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6301" w14:textId="77777777" w:rsidR="00A400BE" w:rsidRDefault="00A40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A63F" w14:textId="77777777" w:rsidR="00A400BE" w:rsidRDefault="00A4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D0892"/>
    <w:multiLevelType w:val="hybridMultilevel"/>
    <w:tmpl w:val="E21263A6"/>
    <w:lvl w:ilvl="0" w:tplc="44090001">
      <w:start w:val="1"/>
      <w:numFmt w:val="bullet"/>
      <w:lvlText w:val=""/>
      <w:lvlJc w:val="left"/>
      <w:pPr>
        <w:ind w:left="786" w:hanging="360"/>
      </w:pPr>
      <w:rPr>
        <w:rFonts w:ascii="Symbol" w:hAnsi="Symbol"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8" w15:restartNumberingAfterBreak="0">
    <w:nsid w:val="2D1E1699"/>
    <w:multiLevelType w:val="hybridMultilevel"/>
    <w:tmpl w:val="227A2B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43B02C1"/>
    <w:multiLevelType w:val="hybridMultilevel"/>
    <w:tmpl w:val="100634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4B36AB7"/>
    <w:multiLevelType w:val="hybridMultilevel"/>
    <w:tmpl w:val="7A18692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38240AE2"/>
    <w:multiLevelType w:val="hybridMultilevel"/>
    <w:tmpl w:val="76D2FA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9C62DDA"/>
    <w:multiLevelType w:val="hybridMultilevel"/>
    <w:tmpl w:val="6C1E41E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34892"/>
    <w:multiLevelType w:val="hybridMultilevel"/>
    <w:tmpl w:val="8B5A89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12D1A"/>
    <w:multiLevelType w:val="hybridMultilevel"/>
    <w:tmpl w:val="0B180F4A"/>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0560EB"/>
    <w:multiLevelType w:val="hybridMultilevel"/>
    <w:tmpl w:val="C1E8608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21EBC"/>
    <w:multiLevelType w:val="hybridMultilevel"/>
    <w:tmpl w:val="A5BCAD84"/>
    <w:lvl w:ilvl="0" w:tplc="44090001">
      <w:start w:val="1"/>
      <w:numFmt w:val="bullet"/>
      <w:lvlText w:val=""/>
      <w:lvlJc w:val="left"/>
      <w:pPr>
        <w:ind w:left="786" w:hanging="360"/>
      </w:pPr>
      <w:rPr>
        <w:rFonts w:ascii="Symbol" w:hAnsi="Symbol"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1" w15:restartNumberingAfterBreak="0">
    <w:nsid w:val="5F7250D0"/>
    <w:multiLevelType w:val="hybridMultilevel"/>
    <w:tmpl w:val="F52090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609863AF"/>
    <w:multiLevelType w:val="hybridMultilevel"/>
    <w:tmpl w:val="1DB4D9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F1C93"/>
    <w:multiLevelType w:val="hybridMultilevel"/>
    <w:tmpl w:val="DA0805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6F6B1B65"/>
    <w:multiLevelType w:val="hybridMultilevel"/>
    <w:tmpl w:val="2DCEBD8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3"/>
  </w:num>
  <w:num w:numId="5">
    <w:abstractNumId w:val="4"/>
  </w:num>
  <w:num w:numId="6">
    <w:abstractNumId w:val="23"/>
  </w:num>
  <w:num w:numId="7">
    <w:abstractNumId w:val="2"/>
  </w:num>
  <w:num w:numId="8">
    <w:abstractNumId w:val="26"/>
  </w:num>
  <w:num w:numId="9">
    <w:abstractNumId w:val="5"/>
  </w:num>
  <w:num w:numId="10">
    <w:abstractNumId w:val="17"/>
  </w:num>
  <w:num w:numId="11">
    <w:abstractNumId w:val="6"/>
  </w:num>
  <w:num w:numId="12">
    <w:abstractNumId w:val="13"/>
  </w:num>
  <w:num w:numId="13">
    <w:abstractNumId w:val="0"/>
  </w:num>
  <w:num w:numId="14">
    <w:abstractNumId w:val="12"/>
  </w:num>
  <w:num w:numId="15">
    <w:abstractNumId w:val="22"/>
  </w:num>
  <w:num w:numId="16">
    <w:abstractNumId w:val="14"/>
  </w:num>
  <w:num w:numId="17">
    <w:abstractNumId w:val="7"/>
  </w:num>
  <w:num w:numId="18">
    <w:abstractNumId w:val="16"/>
  </w:num>
  <w:num w:numId="19">
    <w:abstractNumId w:val="20"/>
  </w:num>
  <w:num w:numId="20">
    <w:abstractNumId w:val="21"/>
  </w:num>
  <w:num w:numId="21">
    <w:abstractNumId w:val="8"/>
  </w:num>
  <w:num w:numId="22">
    <w:abstractNumId w:val="9"/>
  </w:num>
  <w:num w:numId="23">
    <w:abstractNumId w:val="18"/>
  </w:num>
  <w:num w:numId="24">
    <w:abstractNumId w:val="10"/>
  </w:num>
  <w:num w:numId="25">
    <w:abstractNumId w:val="25"/>
  </w:num>
  <w:num w:numId="26">
    <w:abstractNumId w:val="24"/>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DU0MzI1Nrc0MTdR0lEKTi0uzszPAykwrwUAC9j+biwAAAA="/>
  </w:docVars>
  <w:rsids>
    <w:rsidRoot w:val="00045088"/>
    <w:rsid w:val="0001002D"/>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750C7"/>
    <w:rsid w:val="00082609"/>
    <w:rsid w:val="000851CC"/>
    <w:rsid w:val="00093BE8"/>
    <w:rsid w:val="00097B45"/>
    <w:rsid w:val="000A407B"/>
    <w:rsid w:val="000A636A"/>
    <w:rsid w:val="000A68ED"/>
    <w:rsid w:val="000B5FF1"/>
    <w:rsid w:val="000B609F"/>
    <w:rsid w:val="000C4C5B"/>
    <w:rsid w:val="000D55A8"/>
    <w:rsid w:val="000D6C84"/>
    <w:rsid w:val="000E4841"/>
    <w:rsid w:val="000F1677"/>
    <w:rsid w:val="000F192E"/>
    <w:rsid w:val="000F3D6C"/>
    <w:rsid w:val="000F5B86"/>
    <w:rsid w:val="000F7FC2"/>
    <w:rsid w:val="00101707"/>
    <w:rsid w:val="00102CC9"/>
    <w:rsid w:val="0011473D"/>
    <w:rsid w:val="00114763"/>
    <w:rsid w:val="00115C85"/>
    <w:rsid w:val="0012224B"/>
    <w:rsid w:val="00123855"/>
    <w:rsid w:val="00126A4D"/>
    <w:rsid w:val="0014171F"/>
    <w:rsid w:val="0014622C"/>
    <w:rsid w:val="00152348"/>
    <w:rsid w:val="0015332B"/>
    <w:rsid w:val="0015456D"/>
    <w:rsid w:val="00155FA2"/>
    <w:rsid w:val="00160679"/>
    <w:rsid w:val="00161F1B"/>
    <w:rsid w:val="00162202"/>
    <w:rsid w:val="00162829"/>
    <w:rsid w:val="001641C3"/>
    <w:rsid w:val="00180548"/>
    <w:rsid w:val="00180AC4"/>
    <w:rsid w:val="00180CCE"/>
    <w:rsid w:val="0018267A"/>
    <w:rsid w:val="00182779"/>
    <w:rsid w:val="001830DF"/>
    <w:rsid w:val="001966D9"/>
    <w:rsid w:val="001A6524"/>
    <w:rsid w:val="001A7E9A"/>
    <w:rsid w:val="001B0F70"/>
    <w:rsid w:val="001B5016"/>
    <w:rsid w:val="001C3464"/>
    <w:rsid w:val="001C45FC"/>
    <w:rsid w:val="001D0469"/>
    <w:rsid w:val="001D4862"/>
    <w:rsid w:val="001E25B9"/>
    <w:rsid w:val="001E49E0"/>
    <w:rsid w:val="001E7B5A"/>
    <w:rsid w:val="001F4650"/>
    <w:rsid w:val="001F7412"/>
    <w:rsid w:val="00202DFE"/>
    <w:rsid w:val="0020725B"/>
    <w:rsid w:val="002110F1"/>
    <w:rsid w:val="0021226C"/>
    <w:rsid w:val="00223917"/>
    <w:rsid w:val="002275AB"/>
    <w:rsid w:val="0024116D"/>
    <w:rsid w:val="00241B44"/>
    <w:rsid w:val="00241FA3"/>
    <w:rsid w:val="00245EFB"/>
    <w:rsid w:val="0025386E"/>
    <w:rsid w:val="00256B74"/>
    <w:rsid w:val="0026182D"/>
    <w:rsid w:val="002638B0"/>
    <w:rsid w:val="0026647A"/>
    <w:rsid w:val="002668D3"/>
    <w:rsid w:val="0027299F"/>
    <w:rsid w:val="00272BC9"/>
    <w:rsid w:val="0028011E"/>
    <w:rsid w:val="00284EBE"/>
    <w:rsid w:val="002903A7"/>
    <w:rsid w:val="0029433F"/>
    <w:rsid w:val="00294829"/>
    <w:rsid w:val="0029690F"/>
    <w:rsid w:val="002978BF"/>
    <w:rsid w:val="00297C8A"/>
    <w:rsid w:val="002A1024"/>
    <w:rsid w:val="002A2A60"/>
    <w:rsid w:val="002A37BB"/>
    <w:rsid w:val="002B1C45"/>
    <w:rsid w:val="002C0121"/>
    <w:rsid w:val="002C13C8"/>
    <w:rsid w:val="002C3547"/>
    <w:rsid w:val="002D0021"/>
    <w:rsid w:val="002D1C59"/>
    <w:rsid w:val="002D299D"/>
    <w:rsid w:val="002D3473"/>
    <w:rsid w:val="002D6789"/>
    <w:rsid w:val="002D78C5"/>
    <w:rsid w:val="002F13C0"/>
    <w:rsid w:val="002F1956"/>
    <w:rsid w:val="002F3440"/>
    <w:rsid w:val="002F75A3"/>
    <w:rsid w:val="00301D2B"/>
    <w:rsid w:val="00303C2F"/>
    <w:rsid w:val="00310A0C"/>
    <w:rsid w:val="003144EF"/>
    <w:rsid w:val="00323167"/>
    <w:rsid w:val="00326292"/>
    <w:rsid w:val="00326415"/>
    <w:rsid w:val="00330937"/>
    <w:rsid w:val="00330F31"/>
    <w:rsid w:val="00334648"/>
    <w:rsid w:val="0033768C"/>
    <w:rsid w:val="00337938"/>
    <w:rsid w:val="00340769"/>
    <w:rsid w:val="00341AA6"/>
    <w:rsid w:val="003446E2"/>
    <w:rsid w:val="003502EB"/>
    <w:rsid w:val="00353099"/>
    <w:rsid w:val="00361A0A"/>
    <w:rsid w:val="00364836"/>
    <w:rsid w:val="0036565C"/>
    <w:rsid w:val="0036625E"/>
    <w:rsid w:val="0037465A"/>
    <w:rsid w:val="00376F86"/>
    <w:rsid w:val="00382C98"/>
    <w:rsid w:val="0038533C"/>
    <w:rsid w:val="00386568"/>
    <w:rsid w:val="00390B57"/>
    <w:rsid w:val="003948D5"/>
    <w:rsid w:val="00396821"/>
    <w:rsid w:val="00397D3A"/>
    <w:rsid w:val="003A051E"/>
    <w:rsid w:val="003A75F4"/>
    <w:rsid w:val="003B170F"/>
    <w:rsid w:val="003B3C5F"/>
    <w:rsid w:val="003B7184"/>
    <w:rsid w:val="003B7848"/>
    <w:rsid w:val="003C4471"/>
    <w:rsid w:val="003C53FE"/>
    <w:rsid w:val="003D0A6D"/>
    <w:rsid w:val="003D5A80"/>
    <w:rsid w:val="003E0B16"/>
    <w:rsid w:val="003E67D1"/>
    <w:rsid w:val="003F45D4"/>
    <w:rsid w:val="00402BDB"/>
    <w:rsid w:val="00404329"/>
    <w:rsid w:val="00405DC1"/>
    <w:rsid w:val="00415F1F"/>
    <w:rsid w:val="0042108F"/>
    <w:rsid w:val="004248F6"/>
    <w:rsid w:val="004273B0"/>
    <w:rsid w:val="00430FED"/>
    <w:rsid w:val="00433C77"/>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C4E46"/>
    <w:rsid w:val="004C6AA9"/>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37B"/>
    <w:rsid w:val="00537970"/>
    <w:rsid w:val="00540E3A"/>
    <w:rsid w:val="00544127"/>
    <w:rsid w:val="00544562"/>
    <w:rsid w:val="005463A9"/>
    <w:rsid w:val="00553EB2"/>
    <w:rsid w:val="00560534"/>
    <w:rsid w:val="005606E8"/>
    <w:rsid w:val="0056391B"/>
    <w:rsid w:val="005650E2"/>
    <w:rsid w:val="00567AD7"/>
    <w:rsid w:val="00575B2D"/>
    <w:rsid w:val="005833D0"/>
    <w:rsid w:val="00583D8E"/>
    <w:rsid w:val="005846F3"/>
    <w:rsid w:val="0058622F"/>
    <w:rsid w:val="00587019"/>
    <w:rsid w:val="0059276E"/>
    <w:rsid w:val="00592F82"/>
    <w:rsid w:val="005A0CCA"/>
    <w:rsid w:val="005A6FF2"/>
    <w:rsid w:val="005A726D"/>
    <w:rsid w:val="005B2A9B"/>
    <w:rsid w:val="005B67AC"/>
    <w:rsid w:val="005B79F4"/>
    <w:rsid w:val="005D0745"/>
    <w:rsid w:val="005D1293"/>
    <w:rsid w:val="005D42F8"/>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15571"/>
    <w:rsid w:val="00621A17"/>
    <w:rsid w:val="006245E3"/>
    <w:rsid w:val="00627CC9"/>
    <w:rsid w:val="00627E7B"/>
    <w:rsid w:val="00630542"/>
    <w:rsid w:val="00632E44"/>
    <w:rsid w:val="00634622"/>
    <w:rsid w:val="00635ACC"/>
    <w:rsid w:val="00636808"/>
    <w:rsid w:val="00641515"/>
    <w:rsid w:val="00641EF8"/>
    <w:rsid w:val="00642C7D"/>
    <w:rsid w:val="00654C2F"/>
    <w:rsid w:val="00657087"/>
    <w:rsid w:val="006639DB"/>
    <w:rsid w:val="006661EF"/>
    <w:rsid w:val="00677AEB"/>
    <w:rsid w:val="00680EF2"/>
    <w:rsid w:val="00685D63"/>
    <w:rsid w:val="00687A1D"/>
    <w:rsid w:val="00697EA1"/>
    <w:rsid w:val="006A0C75"/>
    <w:rsid w:val="006A2646"/>
    <w:rsid w:val="006A6530"/>
    <w:rsid w:val="006B3571"/>
    <w:rsid w:val="006B435A"/>
    <w:rsid w:val="006B4C64"/>
    <w:rsid w:val="006D2470"/>
    <w:rsid w:val="006D6BD5"/>
    <w:rsid w:val="006E339F"/>
    <w:rsid w:val="006E481A"/>
    <w:rsid w:val="006E5298"/>
    <w:rsid w:val="006F4A78"/>
    <w:rsid w:val="006F734A"/>
    <w:rsid w:val="00700D83"/>
    <w:rsid w:val="00704852"/>
    <w:rsid w:val="007074E9"/>
    <w:rsid w:val="00713DA4"/>
    <w:rsid w:val="00714BF1"/>
    <w:rsid w:val="00715C22"/>
    <w:rsid w:val="00717C2C"/>
    <w:rsid w:val="007206F0"/>
    <w:rsid w:val="00721383"/>
    <w:rsid w:val="0073158B"/>
    <w:rsid w:val="007333CC"/>
    <w:rsid w:val="0073399A"/>
    <w:rsid w:val="007603F5"/>
    <w:rsid w:val="00761465"/>
    <w:rsid w:val="00764DB0"/>
    <w:rsid w:val="0076764D"/>
    <w:rsid w:val="0077498C"/>
    <w:rsid w:val="00777C53"/>
    <w:rsid w:val="007809BC"/>
    <w:rsid w:val="00784128"/>
    <w:rsid w:val="00785B5D"/>
    <w:rsid w:val="00787BCC"/>
    <w:rsid w:val="00793173"/>
    <w:rsid w:val="007A2A33"/>
    <w:rsid w:val="007B0809"/>
    <w:rsid w:val="007B5C89"/>
    <w:rsid w:val="007C1FCC"/>
    <w:rsid w:val="007C6201"/>
    <w:rsid w:val="007D0192"/>
    <w:rsid w:val="007D7C92"/>
    <w:rsid w:val="007E1154"/>
    <w:rsid w:val="007E2300"/>
    <w:rsid w:val="007E6BA4"/>
    <w:rsid w:val="007F12AB"/>
    <w:rsid w:val="007F41F8"/>
    <w:rsid w:val="007F659B"/>
    <w:rsid w:val="0080454E"/>
    <w:rsid w:val="00804C32"/>
    <w:rsid w:val="00805305"/>
    <w:rsid w:val="00806302"/>
    <w:rsid w:val="00807119"/>
    <w:rsid w:val="00822B93"/>
    <w:rsid w:val="0082483F"/>
    <w:rsid w:val="008279C0"/>
    <w:rsid w:val="00834F92"/>
    <w:rsid w:val="008723F3"/>
    <w:rsid w:val="00881DE6"/>
    <w:rsid w:val="008837A6"/>
    <w:rsid w:val="0089145D"/>
    <w:rsid w:val="00895EF1"/>
    <w:rsid w:val="008A4DF2"/>
    <w:rsid w:val="008A6CFE"/>
    <w:rsid w:val="008A771D"/>
    <w:rsid w:val="008B4C62"/>
    <w:rsid w:val="008B5333"/>
    <w:rsid w:val="008B6223"/>
    <w:rsid w:val="008C0057"/>
    <w:rsid w:val="008C2EA9"/>
    <w:rsid w:val="008C66E0"/>
    <w:rsid w:val="008E3339"/>
    <w:rsid w:val="008F20FC"/>
    <w:rsid w:val="008F5FFE"/>
    <w:rsid w:val="00902FA7"/>
    <w:rsid w:val="00905A43"/>
    <w:rsid w:val="00912C79"/>
    <w:rsid w:val="00921B8C"/>
    <w:rsid w:val="00923841"/>
    <w:rsid w:val="0092565E"/>
    <w:rsid w:val="0093467C"/>
    <w:rsid w:val="00936923"/>
    <w:rsid w:val="00942123"/>
    <w:rsid w:val="00944EF6"/>
    <w:rsid w:val="009503E8"/>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C70E7"/>
    <w:rsid w:val="009D0811"/>
    <w:rsid w:val="009D0EE1"/>
    <w:rsid w:val="009E2AEB"/>
    <w:rsid w:val="009E2E27"/>
    <w:rsid w:val="009E45DF"/>
    <w:rsid w:val="009E4DE3"/>
    <w:rsid w:val="009F16A0"/>
    <w:rsid w:val="009F275E"/>
    <w:rsid w:val="009F2A69"/>
    <w:rsid w:val="00A00EBB"/>
    <w:rsid w:val="00A024E7"/>
    <w:rsid w:val="00A047EE"/>
    <w:rsid w:val="00A2274A"/>
    <w:rsid w:val="00A235B7"/>
    <w:rsid w:val="00A27A7A"/>
    <w:rsid w:val="00A3165E"/>
    <w:rsid w:val="00A34ABE"/>
    <w:rsid w:val="00A400BE"/>
    <w:rsid w:val="00A407EF"/>
    <w:rsid w:val="00A46B4C"/>
    <w:rsid w:val="00A5117B"/>
    <w:rsid w:val="00A56D34"/>
    <w:rsid w:val="00A60074"/>
    <w:rsid w:val="00A6627C"/>
    <w:rsid w:val="00A71019"/>
    <w:rsid w:val="00A81029"/>
    <w:rsid w:val="00A86155"/>
    <w:rsid w:val="00A94F58"/>
    <w:rsid w:val="00A95463"/>
    <w:rsid w:val="00A96489"/>
    <w:rsid w:val="00A978CB"/>
    <w:rsid w:val="00AA7BE3"/>
    <w:rsid w:val="00AB1B65"/>
    <w:rsid w:val="00AB2425"/>
    <w:rsid w:val="00AB685C"/>
    <w:rsid w:val="00AB6C2D"/>
    <w:rsid w:val="00AC08F7"/>
    <w:rsid w:val="00AC3839"/>
    <w:rsid w:val="00AC7082"/>
    <w:rsid w:val="00AD4BE8"/>
    <w:rsid w:val="00AF228E"/>
    <w:rsid w:val="00B016A8"/>
    <w:rsid w:val="00B05799"/>
    <w:rsid w:val="00B10961"/>
    <w:rsid w:val="00B14819"/>
    <w:rsid w:val="00B15E2F"/>
    <w:rsid w:val="00B17AA9"/>
    <w:rsid w:val="00B17D23"/>
    <w:rsid w:val="00B27E6E"/>
    <w:rsid w:val="00B44713"/>
    <w:rsid w:val="00B510B8"/>
    <w:rsid w:val="00B56103"/>
    <w:rsid w:val="00B64929"/>
    <w:rsid w:val="00B736DF"/>
    <w:rsid w:val="00B743D6"/>
    <w:rsid w:val="00B74FBD"/>
    <w:rsid w:val="00B77F46"/>
    <w:rsid w:val="00B82586"/>
    <w:rsid w:val="00B829A3"/>
    <w:rsid w:val="00B86DB1"/>
    <w:rsid w:val="00B87869"/>
    <w:rsid w:val="00B9639B"/>
    <w:rsid w:val="00BA2A98"/>
    <w:rsid w:val="00BB0F2B"/>
    <w:rsid w:val="00BD2F1A"/>
    <w:rsid w:val="00BD3BA8"/>
    <w:rsid w:val="00BD4A58"/>
    <w:rsid w:val="00BD7337"/>
    <w:rsid w:val="00BE3E83"/>
    <w:rsid w:val="00BE4FF3"/>
    <w:rsid w:val="00BF50F7"/>
    <w:rsid w:val="00C02F29"/>
    <w:rsid w:val="00C055BC"/>
    <w:rsid w:val="00C12254"/>
    <w:rsid w:val="00C20AFE"/>
    <w:rsid w:val="00C22A25"/>
    <w:rsid w:val="00C35671"/>
    <w:rsid w:val="00C35B77"/>
    <w:rsid w:val="00C362AA"/>
    <w:rsid w:val="00C376EB"/>
    <w:rsid w:val="00C46A92"/>
    <w:rsid w:val="00C46EC1"/>
    <w:rsid w:val="00C52796"/>
    <w:rsid w:val="00C53473"/>
    <w:rsid w:val="00C53E2C"/>
    <w:rsid w:val="00C550C8"/>
    <w:rsid w:val="00C56B61"/>
    <w:rsid w:val="00C606C3"/>
    <w:rsid w:val="00C613FA"/>
    <w:rsid w:val="00C620F4"/>
    <w:rsid w:val="00C651D6"/>
    <w:rsid w:val="00C72848"/>
    <w:rsid w:val="00C7736C"/>
    <w:rsid w:val="00C82D87"/>
    <w:rsid w:val="00C85487"/>
    <w:rsid w:val="00C8712A"/>
    <w:rsid w:val="00C87E0A"/>
    <w:rsid w:val="00C902C8"/>
    <w:rsid w:val="00C919D1"/>
    <w:rsid w:val="00C963D3"/>
    <w:rsid w:val="00CA164B"/>
    <w:rsid w:val="00CB1983"/>
    <w:rsid w:val="00CB2CBB"/>
    <w:rsid w:val="00CB6578"/>
    <w:rsid w:val="00CB7CAC"/>
    <w:rsid w:val="00CC1749"/>
    <w:rsid w:val="00CC175B"/>
    <w:rsid w:val="00CC4818"/>
    <w:rsid w:val="00CC5335"/>
    <w:rsid w:val="00CC5BA4"/>
    <w:rsid w:val="00CD4998"/>
    <w:rsid w:val="00CD7CEE"/>
    <w:rsid w:val="00CE1035"/>
    <w:rsid w:val="00CE6E50"/>
    <w:rsid w:val="00CF004A"/>
    <w:rsid w:val="00CF2819"/>
    <w:rsid w:val="00CF4F9D"/>
    <w:rsid w:val="00CF70DC"/>
    <w:rsid w:val="00D041E0"/>
    <w:rsid w:val="00D14336"/>
    <w:rsid w:val="00D148DC"/>
    <w:rsid w:val="00D17FDC"/>
    <w:rsid w:val="00D2022E"/>
    <w:rsid w:val="00D21021"/>
    <w:rsid w:val="00D21D8C"/>
    <w:rsid w:val="00D316F2"/>
    <w:rsid w:val="00D53719"/>
    <w:rsid w:val="00D63EFD"/>
    <w:rsid w:val="00D84752"/>
    <w:rsid w:val="00D86B3B"/>
    <w:rsid w:val="00D8748A"/>
    <w:rsid w:val="00D91A58"/>
    <w:rsid w:val="00D93196"/>
    <w:rsid w:val="00D9426C"/>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2C54"/>
    <w:rsid w:val="00DF54C3"/>
    <w:rsid w:val="00DF75F8"/>
    <w:rsid w:val="00DF7A3A"/>
    <w:rsid w:val="00E00C00"/>
    <w:rsid w:val="00E07C5A"/>
    <w:rsid w:val="00E12EC4"/>
    <w:rsid w:val="00E15BA9"/>
    <w:rsid w:val="00E25C68"/>
    <w:rsid w:val="00E26E10"/>
    <w:rsid w:val="00E26E19"/>
    <w:rsid w:val="00E30E60"/>
    <w:rsid w:val="00E31DF3"/>
    <w:rsid w:val="00E450A4"/>
    <w:rsid w:val="00E456F7"/>
    <w:rsid w:val="00E506BE"/>
    <w:rsid w:val="00E55547"/>
    <w:rsid w:val="00E608EA"/>
    <w:rsid w:val="00E6302B"/>
    <w:rsid w:val="00E6452F"/>
    <w:rsid w:val="00E64F45"/>
    <w:rsid w:val="00E6742D"/>
    <w:rsid w:val="00E71CB0"/>
    <w:rsid w:val="00E77C3D"/>
    <w:rsid w:val="00E86D1A"/>
    <w:rsid w:val="00E90991"/>
    <w:rsid w:val="00E909F0"/>
    <w:rsid w:val="00E90D47"/>
    <w:rsid w:val="00E93993"/>
    <w:rsid w:val="00E9597C"/>
    <w:rsid w:val="00EA0913"/>
    <w:rsid w:val="00EA2553"/>
    <w:rsid w:val="00EA26C4"/>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1429C"/>
    <w:rsid w:val="00F25806"/>
    <w:rsid w:val="00F27CD8"/>
    <w:rsid w:val="00F30351"/>
    <w:rsid w:val="00F3323E"/>
    <w:rsid w:val="00F341F4"/>
    <w:rsid w:val="00F34F9D"/>
    <w:rsid w:val="00F35CCE"/>
    <w:rsid w:val="00F5524B"/>
    <w:rsid w:val="00F60538"/>
    <w:rsid w:val="00F61DD2"/>
    <w:rsid w:val="00F66AFF"/>
    <w:rsid w:val="00F71433"/>
    <w:rsid w:val="00F83E65"/>
    <w:rsid w:val="00F8715F"/>
    <w:rsid w:val="00F92140"/>
    <w:rsid w:val="00F94FE9"/>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B32"/>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11</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Jimmy Ng</cp:lastModifiedBy>
  <cp:revision>34</cp:revision>
  <cp:lastPrinted>2019-08-27T05:42:00Z</cp:lastPrinted>
  <dcterms:created xsi:type="dcterms:W3CDTF">2022-02-08T10:46:00Z</dcterms:created>
  <dcterms:modified xsi:type="dcterms:W3CDTF">2022-02-14T05:37:00Z</dcterms:modified>
</cp:coreProperties>
</file>