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BB1A" w14:textId="07DD34A3" w:rsidR="00F76974" w:rsidRPr="002A536C" w:rsidRDefault="00B3560B" w:rsidP="002A19A3">
      <w:pPr>
        <w:jc w:val="center"/>
        <w:rPr>
          <w:b/>
          <w:bCs/>
          <w:sz w:val="40"/>
          <w:szCs w:val="40"/>
        </w:rPr>
      </w:pPr>
      <w:r w:rsidRPr="002A536C">
        <w:rPr>
          <w:b/>
          <w:bCs/>
          <w:sz w:val="40"/>
          <w:szCs w:val="40"/>
        </w:rPr>
        <w:t>INSOL GLOBAL INSOLVENCY PRACTICE COURSE</w:t>
      </w:r>
      <w:r w:rsidR="002A19A3" w:rsidRPr="002A536C">
        <w:rPr>
          <w:b/>
          <w:bCs/>
          <w:sz w:val="40"/>
          <w:szCs w:val="40"/>
        </w:rPr>
        <w:t xml:space="preserve"> (ONLINE)</w:t>
      </w:r>
    </w:p>
    <w:p w14:paraId="4C38FF12" w14:textId="419E35AC" w:rsidR="002A19A3" w:rsidRPr="002A536C" w:rsidRDefault="002A19A3" w:rsidP="002A19A3">
      <w:pPr>
        <w:jc w:val="center"/>
        <w:rPr>
          <w:b/>
          <w:bCs/>
          <w:sz w:val="40"/>
          <w:szCs w:val="40"/>
        </w:rPr>
      </w:pPr>
    </w:p>
    <w:p w14:paraId="6D7DE30B" w14:textId="61CA5337" w:rsidR="002A19A3" w:rsidRPr="002A536C" w:rsidRDefault="002A19A3" w:rsidP="002A19A3">
      <w:pPr>
        <w:jc w:val="center"/>
        <w:rPr>
          <w:b/>
          <w:bCs/>
          <w:sz w:val="40"/>
          <w:szCs w:val="40"/>
        </w:rPr>
      </w:pPr>
      <w:r w:rsidRPr="002A536C">
        <w:rPr>
          <w:b/>
          <w:bCs/>
          <w:sz w:val="40"/>
          <w:szCs w:val="40"/>
        </w:rPr>
        <w:t>YEAR 2021/2022</w:t>
      </w:r>
    </w:p>
    <w:p w14:paraId="43A38D1E" w14:textId="7469897E" w:rsidR="00B3560B" w:rsidRPr="002A536C" w:rsidRDefault="00B3560B" w:rsidP="002A19A3">
      <w:pPr>
        <w:jc w:val="center"/>
        <w:rPr>
          <w:b/>
          <w:bCs/>
          <w:sz w:val="40"/>
          <w:szCs w:val="40"/>
        </w:rPr>
      </w:pPr>
    </w:p>
    <w:p w14:paraId="3FEEC794" w14:textId="76C26492" w:rsidR="002A19A3" w:rsidRDefault="009D6695" w:rsidP="00C017F9">
      <w:pPr>
        <w:jc w:val="center"/>
      </w:pPr>
      <w:r>
        <w:rPr>
          <w:b/>
          <w:bCs/>
          <w:sz w:val="40"/>
          <w:szCs w:val="40"/>
        </w:rPr>
        <w:t>SHORT PAPER</w:t>
      </w:r>
    </w:p>
    <w:p w14:paraId="7CAB7F10" w14:textId="5A3686D7" w:rsidR="002A536C" w:rsidRDefault="002A536C"/>
    <w:p w14:paraId="78DFD406" w14:textId="77777777" w:rsidR="002A536C" w:rsidRDefault="002A536C"/>
    <w:p w14:paraId="011DFF87" w14:textId="77777777" w:rsidR="00817F0C" w:rsidRDefault="00817F0C" w:rsidP="00817F0C">
      <w:pPr>
        <w:spacing w:line="360" w:lineRule="auto"/>
        <w:ind w:right="-22"/>
        <w:jc w:val="both"/>
        <w:rPr>
          <w:b/>
          <w:bCs/>
        </w:rPr>
      </w:pPr>
    </w:p>
    <w:p w14:paraId="6872458C" w14:textId="6334B55E" w:rsidR="00817F0C" w:rsidRPr="0087375E" w:rsidRDefault="00817F0C" w:rsidP="0087375E">
      <w:pPr>
        <w:spacing w:line="360" w:lineRule="auto"/>
        <w:ind w:left="1134" w:right="-22"/>
        <w:jc w:val="both"/>
        <w:rPr>
          <w:b/>
          <w:bCs/>
        </w:rPr>
      </w:pPr>
      <w:r w:rsidRPr="005749F1">
        <w:rPr>
          <w:b/>
          <w:bCs/>
        </w:rPr>
        <w:t>CROSS</w:t>
      </w:r>
      <w:r>
        <w:rPr>
          <w:b/>
          <w:bCs/>
        </w:rPr>
        <w:t>-</w:t>
      </w:r>
      <w:r w:rsidRPr="005749F1">
        <w:rPr>
          <w:b/>
          <w:bCs/>
        </w:rPr>
        <w:t xml:space="preserve">BORDER COOPERATION IN </w:t>
      </w:r>
      <w:r>
        <w:rPr>
          <w:b/>
          <w:bCs/>
        </w:rPr>
        <w:t xml:space="preserve">THE COMMON LAW - COMPARING </w:t>
      </w:r>
      <w:r w:rsidR="00445535">
        <w:rPr>
          <w:b/>
          <w:bCs/>
        </w:rPr>
        <w:t xml:space="preserve">ITS DEVELOPMENT IN </w:t>
      </w:r>
      <w:r>
        <w:rPr>
          <w:b/>
          <w:bCs/>
        </w:rPr>
        <w:t>ENGLAND AND BERMUDA: where does universalism stand now</w:t>
      </w:r>
      <w:r w:rsidRPr="005749F1">
        <w:rPr>
          <w:b/>
          <w:bCs/>
          <w:i/>
        </w:rPr>
        <w:t>?</w:t>
      </w:r>
    </w:p>
    <w:p w14:paraId="02E30C4A" w14:textId="77777777" w:rsidR="00817F0C" w:rsidRDefault="00817F0C" w:rsidP="00817F0C">
      <w:pPr>
        <w:spacing w:line="360" w:lineRule="auto"/>
        <w:ind w:right="-22"/>
        <w:jc w:val="both"/>
        <w:rPr>
          <w:b/>
          <w:bCs/>
        </w:rPr>
      </w:pPr>
    </w:p>
    <w:p w14:paraId="1C306E4C" w14:textId="0B1D0AFB" w:rsidR="002A19A3" w:rsidRDefault="00445535" w:rsidP="002A536C">
      <w:pPr>
        <w:ind w:left="1134" w:right="1229"/>
        <w:rPr>
          <w:b/>
          <w:bCs/>
        </w:rPr>
      </w:pPr>
      <w:r>
        <w:rPr>
          <w:b/>
          <w:bCs/>
        </w:rPr>
        <w:t>Paper b</w:t>
      </w:r>
      <w:r w:rsidR="00817F0C">
        <w:rPr>
          <w:b/>
          <w:bCs/>
        </w:rPr>
        <w:t xml:space="preserve">ased on </w:t>
      </w:r>
      <w:r w:rsidR="009D6695">
        <w:rPr>
          <w:b/>
          <w:bCs/>
        </w:rPr>
        <w:t>question 10</w:t>
      </w:r>
      <w:r w:rsidR="00817F0C">
        <w:rPr>
          <w:b/>
          <w:bCs/>
        </w:rPr>
        <w:t>:</w:t>
      </w:r>
    </w:p>
    <w:p w14:paraId="32082613" w14:textId="77777777" w:rsidR="00745BC9" w:rsidRPr="002A19A3" w:rsidRDefault="00745BC9" w:rsidP="002A536C">
      <w:pPr>
        <w:ind w:left="1134" w:right="1229"/>
        <w:rPr>
          <w:b/>
          <w:bCs/>
        </w:rPr>
      </w:pPr>
    </w:p>
    <w:p w14:paraId="6571F947" w14:textId="743B07A3" w:rsidR="009D6695" w:rsidRDefault="009D6695" w:rsidP="0087375E">
      <w:pPr>
        <w:ind w:left="1134" w:right="1229"/>
        <w:jc w:val="both"/>
      </w:pPr>
      <w:bookmarkStart w:id="0" w:name="_Hlk94961159"/>
      <w:r>
        <w:t>Analyse the evolution of the approach of the common law courts to cross-border cooperation through existing case law, including the Cambridge Gas and Singularis cases. Comparing England and one other jurisdiction in the common law family, discuss the extent to which the principle of universalism still applies in the common law.</w:t>
      </w:r>
    </w:p>
    <w:bookmarkEnd w:id="0"/>
    <w:p w14:paraId="400FA0C6" w14:textId="77777777" w:rsidR="009D6695" w:rsidRDefault="009D6695" w:rsidP="002A536C">
      <w:pPr>
        <w:ind w:left="1134" w:right="1229"/>
        <w:jc w:val="both"/>
      </w:pPr>
    </w:p>
    <w:p w14:paraId="3C5F254B" w14:textId="5A2ECCC5" w:rsidR="002A19A3" w:rsidRPr="00FC3C6B" w:rsidRDefault="002A19A3" w:rsidP="002A536C">
      <w:pPr>
        <w:ind w:left="1134" w:right="1229"/>
        <w:jc w:val="both"/>
      </w:pPr>
      <w:r w:rsidRPr="00FC3C6B">
        <w:rPr>
          <w:b/>
          <w:bCs/>
        </w:rPr>
        <w:t>Prepared by:</w:t>
      </w:r>
      <w:r w:rsidRPr="00FC3C6B">
        <w:t xml:space="preserve"> </w:t>
      </w:r>
      <w:r w:rsidR="009D6695">
        <w:t>Steven White</w:t>
      </w:r>
      <w:r w:rsidRPr="00FC3C6B">
        <w:t xml:space="preserve"> – Course member number </w:t>
      </w:r>
      <w:r w:rsidR="002A536C" w:rsidRPr="00FC3C6B">
        <w:t>2021</w:t>
      </w:r>
      <w:r w:rsidR="00445535">
        <w:t>/2022</w:t>
      </w:r>
    </w:p>
    <w:p w14:paraId="09CCC9F1" w14:textId="106BE4CA" w:rsidR="002A536C" w:rsidRPr="00FC3C6B" w:rsidRDefault="002A536C" w:rsidP="002A536C">
      <w:pPr>
        <w:ind w:left="1134" w:right="1229"/>
        <w:jc w:val="both"/>
      </w:pPr>
    </w:p>
    <w:p w14:paraId="1634E2BE" w14:textId="507285AC" w:rsidR="002A536C" w:rsidRDefault="009D6695" w:rsidP="002A536C">
      <w:pPr>
        <w:ind w:left="1134" w:right="1229"/>
        <w:jc w:val="both"/>
      </w:pPr>
      <w:r>
        <w:rPr>
          <w:b/>
          <w:bCs/>
        </w:rPr>
        <w:t>Subm</w:t>
      </w:r>
      <w:r w:rsidR="00745BC9">
        <w:rPr>
          <w:b/>
          <w:bCs/>
        </w:rPr>
        <w:t xml:space="preserve">ission </w:t>
      </w:r>
      <w:r w:rsidR="002A536C" w:rsidRPr="00FC3C6B">
        <w:rPr>
          <w:b/>
          <w:bCs/>
        </w:rPr>
        <w:t>date:</w:t>
      </w:r>
      <w:r w:rsidR="002A536C">
        <w:t xml:space="preserve"> </w:t>
      </w:r>
      <w:r>
        <w:t>9</w:t>
      </w:r>
      <w:r w:rsidR="00C017F9">
        <w:t xml:space="preserve"> </w:t>
      </w:r>
      <w:r w:rsidR="002A536C">
        <w:t>February 2022</w:t>
      </w:r>
    </w:p>
    <w:p w14:paraId="3D564A7A" w14:textId="05DBFFB1" w:rsidR="002A536C" w:rsidRDefault="002A536C" w:rsidP="002A536C">
      <w:pPr>
        <w:ind w:left="1134" w:right="1229"/>
        <w:jc w:val="both"/>
      </w:pPr>
    </w:p>
    <w:p w14:paraId="63ECCF23" w14:textId="7F5A6F1F" w:rsidR="00203559" w:rsidRDefault="00203559" w:rsidP="00203559">
      <w:pPr>
        <w:ind w:right="-46"/>
        <w:jc w:val="both"/>
      </w:pPr>
    </w:p>
    <w:p w14:paraId="61977951" w14:textId="3686310B" w:rsidR="005E4152" w:rsidRDefault="005E4152">
      <w:pPr>
        <w:rPr>
          <w:sz w:val="32"/>
          <w:szCs w:val="32"/>
        </w:rPr>
      </w:pPr>
      <w:r>
        <w:rPr>
          <w:sz w:val="32"/>
          <w:szCs w:val="32"/>
        </w:rPr>
        <w:br w:type="page"/>
      </w:r>
    </w:p>
    <w:p w14:paraId="55145261" w14:textId="77777777" w:rsidR="00FC3C6B" w:rsidRPr="00FC3C6B" w:rsidRDefault="00FC3C6B" w:rsidP="00242AB8">
      <w:pPr>
        <w:jc w:val="both"/>
        <w:rPr>
          <w:sz w:val="32"/>
          <w:szCs w:val="32"/>
        </w:rPr>
      </w:pPr>
    </w:p>
    <w:p w14:paraId="31E6FD12" w14:textId="23176B5F" w:rsidR="00696DF4" w:rsidRDefault="000D009C" w:rsidP="000D009C">
      <w:pPr>
        <w:spacing w:line="276" w:lineRule="auto"/>
        <w:ind w:left="567" w:right="521"/>
        <w:jc w:val="center"/>
        <w:rPr>
          <w:b/>
          <w:bCs/>
          <w:sz w:val="44"/>
          <w:szCs w:val="44"/>
        </w:rPr>
      </w:pPr>
      <w:r w:rsidRPr="00CD1B44">
        <w:rPr>
          <w:b/>
          <w:bCs/>
          <w:sz w:val="44"/>
          <w:szCs w:val="44"/>
        </w:rPr>
        <w:t>TABLE OF CONTENTS</w:t>
      </w:r>
    </w:p>
    <w:p w14:paraId="547EE04C" w14:textId="77777777" w:rsidR="00407515" w:rsidRPr="00CD1B44" w:rsidRDefault="00407515" w:rsidP="000D009C">
      <w:pPr>
        <w:spacing w:line="276" w:lineRule="auto"/>
        <w:ind w:left="567" w:right="521"/>
        <w:jc w:val="center"/>
        <w:rPr>
          <w:b/>
          <w:bCs/>
          <w:sz w:val="44"/>
          <w:szCs w:val="44"/>
        </w:rPr>
      </w:pPr>
    </w:p>
    <w:p w14:paraId="3E8C9877" w14:textId="77777777" w:rsidR="003F43C8" w:rsidRDefault="003F43C8" w:rsidP="0027413B">
      <w:pPr>
        <w:spacing w:line="276" w:lineRule="auto"/>
        <w:ind w:left="567" w:right="521"/>
      </w:pPr>
    </w:p>
    <w:p w14:paraId="2B51A211" w14:textId="57971C33" w:rsidR="000D009C" w:rsidRDefault="003F43C8" w:rsidP="00336113">
      <w:pPr>
        <w:tabs>
          <w:tab w:val="left" w:pos="7655"/>
        </w:tabs>
        <w:spacing w:line="276" w:lineRule="auto"/>
        <w:ind w:left="567" w:right="521"/>
      </w:pPr>
      <w:r>
        <w:tab/>
        <w:t>Page</w:t>
      </w:r>
    </w:p>
    <w:p w14:paraId="5B21BB00" w14:textId="77777777" w:rsidR="003F43C8" w:rsidRDefault="003F43C8" w:rsidP="003F43C8">
      <w:pPr>
        <w:tabs>
          <w:tab w:val="left" w:pos="7797"/>
        </w:tabs>
        <w:spacing w:line="276" w:lineRule="auto"/>
        <w:ind w:left="567" w:right="521"/>
      </w:pPr>
    </w:p>
    <w:p w14:paraId="071BADEB" w14:textId="547EE4BC" w:rsidR="00407515" w:rsidRPr="0087375E" w:rsidRDefault="000D009C" w:rsidP="0087375E">
      <w:pPr>
        <w:pStyle w:val="ListParagraph"/>
        <w:numPr>
          <w:ilvl w:val="0"/>
          <w:numId w:val="26"/>
        </w:numPr>
        <w:tabs>
          <w:tab w:val="left" w:pos="7938"/>
        </w:tabs>
        <w:spacing w:line="276" w:lineRule="auto"/>
        <w:ind w:right="521"/>
        <w:rPr>
          <w:b/>
          <w:bCs/>
        </w:rPr>
      </w:pPr>
      <w:r w:rsidRPr="0087375E">
        <w:rPr>
          <w:b/>
          <w:bCs/>
        </w:rPr>
        <w:t>I</w:t>
      </w:r>
      <w:r w:rsidR="00407515">
        <w:rPr>
          <w:b/>
          <w:bCs/>
        </w:rPr>
        <w:t xml:space="preserve">ntroduction </w:t>
      </w:r>
    </w:p>
    <w:p w14:paraId="01A2BF47" w14:textId="3361D069" w:rsidR="000D009C" w:rsidRPr="008463A5" w:rsidRDefault="000D009C" w:rsidP="0087375E">
      <w:pPr>
        <w:pStyle w:val="ListParagraph"/>
        <w:tabs>
          <w:tab w:val="left" w:pos="7938"/>
        </w:tabs>
        <w:spacing w:line="276" w:lineRule="auto"/>
        <w:ind w:right="521"/>
        <w:rPr>
          <w:b/>
          <w:bCs/>
        </w:rPr>
      </w:pPr>
    </w:p>
    <w:p w14:paraId="3E0BAF40" w14:textId="71626277" w:rsidR="00A10C11" w:rsidRDefault="00817F0C" w:rsidP="0087375E">
      <w:pPr>
        <w:pStyle w:val="ListParagraph"/>
        <w:numPr>
          <w:ilvl w:val="1"/>
          <w:numId w:val="24"/>
        </w:numPr>
        <w:tabs>
          <w:tab w:val="left" w:pos="7938"/>
        </w:tabs>
        <w:spacing w:line="276" w:lineRule="auto"/>
        <w:ind w:left="1701" w:right="521" w:hanging="708"/>
      </w:pPr>
      <w:r>
        <w:t xml:space="preserve">Abstract </w:t>
      </w:r>
      <w:r w:rsidR="00A10C11">
        <w:tab/>
      </w:r>
      <w:r>
        <w:t>3</w:t>
      </w:r>
    </w:p>
    <w:p w14:paraId="13831362" w14:textId="270EDAE0" w:rsidR="00A10C11" w:rsidRDefault="00817F0C" w:rsidP="0087375E">
      <w:pPr>
        <w:pStyle w:val="ListParagraph"/>
        <w:numPr>
          <w:ilvl w:val="1"/>
          <w:numId w:val="24"/>
        </w:numPr>
        <w:tabs>
          <w:tab w:val="left" w:pos="7938"/>
        </w:tabs>
        <w:spacing w:line="276" w:lineRule="auto"/>
        <w:ind w:left="1701" w:right="521" w:hanging="708"/>
      </w:pPr>
      <w:r>
        <w:t xml:space="preserve">Overview </w:t>
      </w:r>
      <w:r w:rsidR="00A10C11">
        <w:tab/>
      </w:r>
      <w:r>
        <w:t>3</w:t>
      </w:r>
    </w:p>
    <w:p w14:paraId="21FD7D7E" w14:textId="77777777" w:rsidR="00805D49" w:rsidRDefault="00805D49" w:rsidP="00805D49">
      <w:pPr>
        <w:tabs>
          <w:tab w:val="left" w:pos="7938"/>
        </w:tabs>
        <w:spacing w:line="276" w:lineRule="auto"/>
        <w:ind w:right="521"/>
      </w:pPr>
    </w:p>
    <w:p w14:paraId="6426C9AB" w14:textId="7FEF975E" w:rsidR="00407515" w:rsidRDefault="00817F0C" w:rsidP="00407515">
      <w:pPr>
        <w:pStyle w:val="ListParagraph"/>
        <w:numPr>
          <w:ilvl w:val="0"/>
          <w:numId w:val="25"/>
        </w:numPr>
        <w:tabs>
          <w:tab w:val="left" w:pos="7938"/>
        </w:tabs>
        <w:spacing w:line="276" w:lineRule="auto"/>
        <w:ind w:right="521"/>
        <w:rPr>
          <w:b/>
          <w:bCs/>
        </w:rPr>
      </w:pPr>
      <w:r>
        <w:rPr>
          <w:b/>
          <w:bCs/>
        </w:rPr>
        <w:t>PART 1: Development of the common law</w:t>
      </w:r>
    </w:p>
    <w:p w14:paraId="773BEBF5" w14:textId="2FC2D5DC" w:rsidR="000D009C" w:rsidRPr="00913428" w:rsidRDefault="00913428" w:rsidP="0087375E">
      <w:pPr>
        <w:pStyle w:val="ListParagraph"/>
        <w:tabs>
          <w:tab w:val="left" w:pos="7938"/>
        </w:tabs>
        <w:spacing w:line="276" w:lineRule="auto"/>
        <w:ind w:right="521"/>
        <w:rPr>
          <w:b/>
          <w:bCs/>
        </w:rPr>
      </w:pPr>
      <w:r w:rsidRPr="00913428">
        <w:rPr>
          <w:b/>
          <w:bCs/>
        </w:rPr>
        <w:tab/>
      </w:r>
    </w:p>
    <w:p w14:paraId="0F80D90A" w14:textId="78E7F942" w:rsidR="00D81B27" w:rsidRDefault="00817F0C" w:rsidP="0087375E">
      <w:pPr>
        <w:pStyle w:val="ListParagraph"/>
        <w:numPr>
          <w:ilvl w:val="1"/>
          <w:numId w:val="27"/>
        </w:numPr>
        <w:tabs>
          <w:tab w:val="left" w:pos="7938"/>
        </w:tabs>
        <w:spacing w:line="276" w:lineRule="auto"/>
        <w:ind w:left="1701" w:right="521" w:hanging="708"/>
      </w:pPr>
      <w:r>
        <w:t>What is universal</w:t>
      </w:r>
      <w:r w:rsidR="009F420F">
        <w:t>ism</w:t>
      </w:r>
      <w:r>
        <w:t xml:space="preserve">? </w:t>
      </w:r>
      <w:r w:rsidR="003F43C8">
        <w:tab/>
      </w:r>
      <w:r w:rsidR="00407515">
        <w:t>4</w:t>
      </w:r>
    </w:p>
    <w:p w14:paraId="209C5877" w14:textId="3B1D5C73" w:rsidR="002E2310" w:rsidRDefault="00817F0C" w:rsidP="0087375E">
      <w:pPr>
        <w:pStyle w:val="ListParagraph"/>
        <w:numPr>
          <w:ilvl w:val="1"/>
          <w:numId w:val="27"/>
        </w:numPr>
        <w:tabs>
          <w:tab w:val="left" w:pos="7938"/>
        </w:tabs>
        <w:spacing w:line="276" w:lineRule="auto"/>
        <w:ind w:left="1701" w:right="521" w:hanging="708"/>
      </w:pPr>
      <w:r>
        <w:t xml:space="preserve">The approach of the English courts historically </w:t>
      </w:r>
      <w:r w:rsidR="00407515">
        <w:tab/>
      </w:r>
      <w:r w:rsidR="00F612B9">
        <w:t>4</w:t>
      </w:r>
    </w:p>
    <w:p w14:paraId="1353EE17" w14:textId="28572E7E" w:rsidR="00817F0C" w:rsidRDefault="00817F0C" w:rsidP="0087375E">
      <w:pPr>
        <w:pStyle w:val="ListParagraph"/>
        <w:numPr>
          <w:ilvl w:val="1"/>
          <w:numId w:val="27"/>
        </w:numPr>
        <w:tabs>
          <w:tab w:val="left" w:pos="7938"/>
        </w:tabs>
        <w:spacing w:line="276" w:lineRule="auto"/>
        <w:ind w:left="1701" w:right="521" w:hanging="708"/>
      </w:pPr>
      <w:r>
        <w:t>The modern English framework</w:t>
      </w:r>
      <w:r w:rsidR="00407515">
        <w:tab/>
      </w:r>
      <w:r w:rsidR="00F612B9">
        <w:t>5</w:t>
      </w:r>
    </w:p>
    <w:p w14:paraId="0D8D1989" w14:textId="052CF8DA" w:rsidR="00A0443A" w:rsidRDefault="00817F0C" w:rsidP="0087375E">
      <w:pPr>
        <w:pStyle w:val="ListParagraph"/>
        <w:numPr>
          <w:ilvl w:val="1"/>
          <w:numId w:val="27"/>
        </w:numPr>
        <w:tabs>
          <w:tab w:val="left" w:pos="7938"/>
        </w:tabs>
        <w:spacing w:line="276" w:lineRule="auto"/>
        <w:ind w:left="1701" w:right="521" w:hanging="708"/>
      </w:pPr>
      <w:r>
        <w:t xml:space="preserve">Cross-border cooperation in Bermuda </w:t>
      </w:r>
      <w:r w:rsidR="003F43C8">
        <w:tab/>
      </w:r>
      <w:r w:rsidR="00F612B9">
        <w:t>6</w:t>
      </w:r>
    </w:p>
    <w:p w14:paraId="703466CB" w14:textId="77777777" w:rsidR="00421C13" w:rsidRDefault="00421C13" w:rsidP="00421C13">
      <w:pPr>
        <w:tabs>
          <w:tab w:val="left" w:pos="7938"/>
        </w:tabs>
        <w:spacing w:line="276" w:lineRule="auto"/>
        <w:ind w:right="521"/>
      </w:pPr>
    </w:p>
    <w:p w14:paraId="7835F95D" w14:textId="44717A7F" w:rsidR="00407515" w:rsidRPr="0087375E" w:rsidRDefault="00817F0C" w:rsidP="00407515">
      <w:pPr>
        <w:pStyle w:val="ListParagraph"/>
        <w:numPr>
          <w:ilvl w:val="0"/>
          <w:numId w:val="25"/>
        </w:numPr>
        <w:tabs>
          <w:tab w:val="left" w:pos="7938"/>
        </w:tabs>
        <w:spacing w:line="276" w:lineRule="auto"/>
        <w:ind w:right="521"/>
        <w:rPr>
          <w:b/>
          <w:bCs/>
        </w:rPr>
      </w:pPr>
      <w:bookmarkStart w:id="1" w:name="_Hlk92028585"/>
      <w:r>
        <w:rPr>
          <w:b/>
          <w:bCs/>
        </w:rPr>
        <w:t xml:space="preserve">PART II: From </w:t>
      </w:r>
      <w:r>
        <w:rPr>
          <w:b/>
          <w:bCs/>
          <w:i/>
        </w:rPr>
        <w:t>Cambridge Gas</w:t>
      </w:r>
      <w:r w:rsidRPr="0087375E">
        <w:rPr>
          <w:b/>
          <w:bCs/>
        </w:rPr>
        <w:t xml:space="preserve"> to</w:t>
      </w:r>
      <w:r>
        <w:rPr>
          <w:b/>
          <w:bCs/>
          <w:i/>
        </w:rPr>
        <w:t xml:space="preserve"> Singularis </w:t>
      </w:r>
    </w:p>
    <w:p w14:paraId="75646C34" w14:textId="3D4ED8DC" w:rsidR="00421C13" w:rsidRDefault="00BC786D" w:rsidP="0087375E">
      <w:pPr>
        <w:pStyle w:val="ListParagraph"/>
        <w:tabs>
          <w:tab w:val="left" w:pos="7938"/>
        </w:tabs>
        <w:spacing w:line="276" w:lineRule="auto"/>
        <w:ind w:right="521"/>
        <w:rPr>
          <w:b/>
          <w:bCs/>
        </w:rPr>
      </w:pPr>
      <w:r>
        <w:rPr>
          <w:b/>
          <w:bCs/>
        </w:rPr>
        <w:tab/>
      </w:r>
    </w:p>
    <w:bookmarkEnd w:id="1"/>
    <w:p w14:paraId="38DE4116" w14:textId="0155BDA9" w:rsidR="00164597" w:rsidRDefault="004F1538" w:rsidP="0087375E">
      <w:pPr>
        <w:pStyle w:val="ListParagraph"/>
        <w:tabs>
          <w:tab w:val="left" w:pos="7938"/>
        </w:tabs>
        <w:spacing w:line="276" w:lineRule="auto"/>
        <w:ind w:left="1701" w:right="521" w:hanging="708"/>
      </w:pPr>
      <w:r>
        <w:t xml:space="preserve">3.1 </w:t>
      </w:r>
      <w:r>
        <w:tab/>
      </w:r>
      <w:r w:rsidR="009D6695">
        <w:rPr>
          <w:i/>
        </w:rPr>
        <w:t>Cambridge Gas</w:t>
      </w:r>
      <w:r w:rsidR="005F7891">
        <w:tab/>
      </w:r>
      <w:r w:rsidR="00F612B9">
        <w:t>7</w:t>
      </w:r>
    </w:p>
    <w:p w14:paraId="7AB37E68" w14:textId="3D46A52F" w:rsidR="00817F0C" w:rsidRPr="0087375E" w:rsidRDefault="004F1538" w:rsidP="0087375E">
      <w:pPr>
        <w:tabs>
          <w:tab w:val="left" w:pos="7938"/>
        </w:tabs>
        <w:spacing w:line="276" w:lineRule="auto"/>
        <w:ind w:left="1701" w:right="521" w:hanging="708"/>
      </w:pPr>
      <w:r>
        <w:t xml:space="preserve">3.2 </w:t>
      </w:r>
      <w:r>
        <w:tab/>
      </w:r>
      <w:r w:rsidR="00817F0C">
        <w:t xml:space="preserve">Subsequent caselaw </w:t>
      </w:r>
      <w:r>
        <w:tab/>
      </w:r>
      <w:r w:rsidR="00F612B9">
        <w:t>8</w:t>
      </w:r>
    </w:p>
    <w:p w14:paraId="72454201" w14:textId="350392C8" w:rsidR="00BD56CD" w:rsidRDefault="004F1538" w:rsidP="0087375E">
      <w:pPr>
        <w:tabs>
          <w:tab w:val="left" w:pos="7938"/>
        </w:tabs>
        <w:spacing w:line="276" w:lineRule="auto"/>
        <w:ind w:left="1701" w:right="521" w:hanging="708"/>
      </w:pPr>
      <w:r>
        <w:t xml:space="preserve">3.3 </w:t>
      </w:r>
      <w:r>
        <w:tab/>
      </w:r>
      <w:r w:rsidR="00817F0C" w:rsidRPr="004F1538">
        <w:rPr>
          <w:i/>
        </w:rPr>
        <w:t>Singularis</w:t>
      </w:r>
      <w:r w:rsidR="005F7891">
        <w:tab/>
      </w:r>
      <w:r w:rsidR="00F612B9">
        <w:t>9</w:t>
      </w:r>
    </w:p>
    <w:p w14:paraId="575487F8" w14:textId="671443FB" w:rsidR="00A10C11" w:rsidRDefault="00A10C11" w:rsidP="00D81B27">
      <w:pPr>
        <w:tabs>
          <w:tab w:val="left" w:pos="7938"/>
        </w:tabs>
        <w:spacing w:line="276" w:lineRule="auto"/>
        <w:ind w:right="521"/>
      </w:pPr>
      <w:r>
        <w:tab/>
      </w:r>
    </w:p>
    <w:p w14:paraId="231B5892" w14:textId="32356E79" w:rsidR="009D6695" w:rsidRPr="0087375E" w:rsidRDefault="009D6695" w:rsidP="0087375E">
      <w:pPr>
        <w:pStyle w:val="ListParagraph"/>
        <w:numPr>
          <w:ilvl w:val="0"/>
          <w:numId w:val="25"/>
        </w:numPr>
        <w:tabs>
          <w:tab w:val="left" w:pos="7938"/>
        </w:tabs>
        <w:spacing w:line="276" w:lineRule="auto"/>
        <w:ind w:right="521"/>
        <w:rPr>
          <w:b/>
          <w:bCs/>
        </w:rPr>
      </w:pPr>
      <w:r>
        <w:rPr>
          <w:b/>
          <w:bCs/>
        </w:rPr>
        <w:t>P</w:t>
      </w:r>
      <w:r w:rsidR="00817F0C">
        <w:rPr>
          <w:b/>
          <w:bCs/>
        </w:rPr>
        <w:t xml:space="preserve">ART III: Post </w:t>
      </w:r>
      <w:r w:rsidR="00817F0C">
        <w:rPr>
          <w:b/>
          <w:bCs/>
          <w:i/>
        </w:rPr>
        <w:t xml:space="preserve">Singularis </w:t>
      </w:r>
      <w:r w:rsidRPr="0087375E">
        <w:rPr>
          <w:b/>
          <w:bCs/>
          <w:i/>
        </w:rPr>
        <w:t xml:space="preserve"> </w:t>
      </w:r>
      <w:r w:rsidR="00F30547">
        <w:rPr>
          <w:b/>
          <w:bCs/>
          <w:i/>
        </w:rPr>
        <w:tab/>
      </w:r>
      <w:r w:rsidR="00F612B9">
        <w:rPr>
          <w:b/>
          <w:bCs/>
        </w:rPr>
        <w:t>9</w:t>
      </w:r>
    </w:p>
    <w:p w14:paraId="029F640A" w14:textId="77777777" w:rsidR="009D6695" w:rsidRDefault="009D6695" w:rsidP="0087375E">
      <w:pPr>
        <w:pStyle w:val="ListParagraph"/>
        <w:tabs>
          <w:tab w:val="left" w:pos="7938"/>
        </w:tabs>
        <w:spacing w:line="276" w:lineRule="auto"/>
        <w:ind w:right="521"/>
        <w:rPr>
          <w:b/>
          <w:bCs/>
        </w:rPr>
      </w:pPr>
    </w:p>
    <w:p w14:paraId="2E2EA453" w14:textId="7DE0D2E7" w:rsidR="000D009C" w:rsidRPr="00717223" w:rsidRDefault="000D009C" w:rsidP="0087375E">
      <w:pPr>
        <w:pStyle w:val="ListParagraph"/>
        <w:numPr>
          <w:ilvl w:val="0"/>
          <w:numId w:val="25"/>
        </w:numPr>
        <w:tabs>
          <w:tab w:val="left" w:pos="7938"/>
        </w:tabs>
        <w:spacing w:line="276" w:lineRule="auto"/>
        <w:ind w:right="521"/>
        <w:rPr>
          <w:b/>
          <w:bCs/>
        </w:rPr>
      </w:pPr>
      <w:r w:rsidRPr="00717223">
        <w:rPr>
          <w:b/>
          <w:bCs/>
        </w:rPr>
        <w:t>CONCLUSION</w:t>
      </w:r>
      <w:r w:rsidR="00BC786D">
        <w:rPr>
          <w:b/>
          <w:bCs/>
        </w:rPr>
        <w:tab/>
        <w:t>1</w:t>
      </w:r>
      <w:r w:rsidR="00F612B9">
        <w:rPr>
          <w:b/>
          <w:bCs/>
        </w:rPr>
        <w:t>1</w:t>
      </w:r>
    </w:p>
    <w:p w14:paraId="311B160E" w14:textId="77777777" w:rsidR="00E4480D" w:rsidRDefault="00E4480D" w:rsidP="00E4480D">
      <w:pPr>
        <w:tabs>
          <w:tab w:val="left" w:pos="7938"/>
        </w:tabs>
        <w:spacing w:line="276" w:lineRule="auto"/>
        <w:ind w:right="521"/>
      </w:pPr>
    </w:p>
    <w:p w14:paraId="630DA9D5" w14:textId="004854DB" w:rsidR="00B93355" w:rsidRPr="00663025" w:rsidRDefault="00B93355" w:rsidP="0087375E">
      <w:pPr>
        <w:pStyle w:val="ListParagraph"/>
        <w:numPr>
          <w:ilvl w:val="0"/>
          <w:numId w:val="25"/>
        </w:numPr>
        <w:tabs>
          <w:tab w:val="left" w:pos="7938"/>
        </w:tabs>
        <w:spacing w:line="276" w:lineRule="auto"/>
        <w:ind w:right="521"/>
        <w:rPr>
          <w:b/>
          <w:bCs/>
        </w:rPr>
      </w:pPr>
      <w:r w:rsidRPr="00663025">
        <w:rPr>
          <w:b/>
          <w:bCs/>
        </w:rPr>
        <w:t>BIB</w:t>
      </w:r>
      <w:r w:rsidR="00774418">
        <w:rPr>
          <w:b/>
          <w:bCs/>
        </w:rPr>
        <w:t>LIO</w:t>
      </w:r>
      <w:r w:rsidRPr="00663025">
        <w:rPr>
          <w:b/>
          <w:bCs/>
        </w:rPr>
        <w:t>GRAPHY</w:t>
      </w:r>
      <w:r w:rsidR="00BC786D">
        <w:rPr>
          <w:b/>
          <w:bCs/>
        </w:rPr>
        <w:tab/>
        <w:t>1</w:t>
      </w:r>
      <w:r w:rsidR="00F612B9">
        <w:rPr>
          <w:b/>
          <w:bCs/>
        </w:rPr>
        <w:t>3</w:t>
      </w:r>
    </w:p>
    <w:p w14:paraId="5DAD1C51" w14:textId="34D13A20" w:rsidR="000D009C" w:rsidRDefault="000D009C" w:rsidP="0027413B">
      <w:pPr>
        <w:spacing w:line="276" w:lineRule="auto"/>
        <w:ind w:left="567" w:right="521"/>
      </w:pPr>
    </w:p>
    <w:p w14:paraId="59AFB750" w14:textId="45186229" w:rsidR="00CD4591" w:rsidRDefault="00CD4591">
      <w:r>
        <w:br w:type="page"/>
      </w:r>
    </w:p>
    <w:p w14:paraId="76D7ADA2" w14:textId="4BA3E960" w:rsidR="005749F1" w:rsidRPr="005749F1" w:rsidRDefault="00076E1A">
      <w:pPr>
        <w:spacing w:line="360" w:lineRule="auto"/>
        <w:ind w:right="-22"/>
        <w:jc w:val="both"/>
        <w:rPr>
          <w:b/>
          <w:bCs/>
          <w:i/>
        </w:rPr>
      </w:pPr>
      <w:r w:rsidRPr="005749F1">
        <w:rPr>
          <w:b/>
          <w:bCs/>
        </w:rPr>
        <w:lastRenderedPageBreak/>
        <w:t>CROSS</w:t>
      </w:r>
      <w:r w:rsidR="00DE7DAE">
        <w:rPr>
          <w:b/>
          <w:bCs/>
        </w:rPr>
        <w:t>-</w:t>
      </w:r>
      <w:r w:rsidRPr="005749F1">
        <w:rPr>
          <w:b/>
          <w:bCs/>
        </w:rPr>
        <w:t>BORDER</w:t>
      </w:r>
      <w:r w:rsidR="00725B2A">
        <w:rPr>
          <w:b/>
          <w:bCs/>
        </w:rPr>
        <w:t xml:space="preserve"> </w:t>
      </w:r>
      <w:r w:rsidRPr="005749F1">
        <w:rPr>
          <w:b/>
          <w:bCs/>
        </w:rPr>
        <w:t>COOPERATION</w:t>
      </w:r>
      <w:r w:rsidR="005749F1" w:rsidRPr="005749F1">
        <w:rPr>
          <w:b/>
          <w:bCs/>
        </w:rPr>
        <w:t xml:space="preserve"> IN </w:t>
      </w:r>
      <w:r w:rsidR="00D7221C">
        <w:rPr>
          <w:b/>
          <w:bCs/>
        </w:rPr>
        <w:t>THE COMMON LAW</w:t>
      </w:r>
      <w:r w:rsidR="00B558BB">
        <w:rPr>
          <w:b/>
          <w:bCs/>
        </w:rPr>
        <w:t xml:space="preserve"> - </w:t>
      </w:r>
      <w:r w:rsidR="00D7221C">
        <w:rPr>
          <w:b/>
          <w:bCs/>
        </w:rPr>
        <w:t xml:space="preserve">COMPARING </w:t>
      </w:r>
      <w:r w:rsidR="00445535">
        <w:rPr>
          <w:b/>
          <w:bCs/>
        </w:rPr>
        <w:t xml:space="preserve">ITS DEVELOPMENT IN </w:t>
      </w:r>
      <w:r w:rsidR="00D7221C">
        <w:rPr>
          <w:b/>
          <w:bCs/>
        </w:rPr>
        <w:t>ENGLAND AND BERMUDA: where does universalism stand now</w:t>
      </w:r>
      <w:r w:rsidR="005749F1" w:rsidRPr="005749F1">
        <w:rPr>
          <w:b/>
          <w:bCs/>
          <w:i/>
        </w:rPr>
        <w:t>?</w:t>
      </w:r>
    </w:p>
    <w:p w14:paraId="0B8D7D9A" w14:textId="4E183E5B" w:rsidR="005749F1" w:rsidRDefault="005749F1" w:rsidP="005749F1">
      <w:pPr>
        <w:spacing w:line="360" w:lineRule="auto"/>
        <w:ind w:right="-22"/>
        <w:jc w:val="both"/>
        <w:rPr>
          <w:b/>
          <w:bCs/>
        </w:rPr>
      </w:pPr>
    </w:p>
    <w:p w14:paraId="131D18DB" w14:textId="7D4DA456" w:rsidR="005749F1" w:rsidRDefault="005749F1" w:rsidP="005749F1">
      <w:pPr>
        <w:spacing w:line="360" w:lineRule="auto"/>
        <w:ind w:right="-22"/>
        <w:jc w:val="both"/>
        <w:rPr>
          <w:bCs/>
        </w:rPr>
      </w:pPr>
      <w:r>
        <w:rPr>
          <w:bCs/>
        </w:rPr>
        <w:t>By Steven White, INSOL Global Insolvency Practice Course candidate 2021/2022</w:t>
      </w:r>
    </w:p>
    <w:p w14:paraId="37E52D6A" w14:textId="4F349317" w:rsidR="00267E8D" w:rsidRDefault="00267E8D" w:rsidP="0087375E">
      <w:pPr>
        <w:pStyle w:val="ListParagraph"/>
        <w:numPr>
          <w:ilvl w:val="0"/>
          <w:numId w:val="22"/>
        </w:numPr>
        <w:spacing w:before="240" w:after="240" w:line="360" w:lineRule="auto"/>
        <w:ind w:left="284" w:right="-23" w:hanging="284"/>
        <w:contextualSpacing w:val="0"/>
        <w:jc w:val="both"/>
        <w:rPr>
          <w:b/>
          <w:bCs/>
        </w:rPr>
      </w:pPr>
      <w:r w:rsidRPr="0087375E">
        <w:rPr>
          <w:b/>
          <w:bCs/>
        </w:rPr>
        <w:t xml:space="preserve">Introduction </w:t>
      </w:r>
    </w:p>
    <w:p w14:paraId="5289ECCA" w14:textId="10803EB2" w:rsidR="00817F0C" w:rsidRDefault="00817F0C" w:rsidP="0087375E">
      <w:pPr>
        <w:pStyle w:val="ListParagraph"/>
        <w:numPr>
          <w:ilvl w:val="1"/>
          <w:numId w:val="22"/>
        </w:numPr>
        <w:tabs>
          <w:tab w:val="left" w:pos="851"/>
        </w:tabs>
        <w:spacing w:before="240" w:after="240" w:line="360" w:lineRule="auto"/>
        <w:ind w:left="851" w:right="-23" w:hanging="567"/>
        <w:contextualSpacing w:val="0"/>
        <w:jc w:val="both"/>
        <w:rPr>
          <w:b/>
          <w:bCs/>
        </w:rPr>
      </w:pPr>
      <w:r>
        <w:rPr>
          <w:b/>
          <w:bCs/>
        </w:rPr>
        <w:t>Abstract</w:t>
      </w:r>
    </w:p>
    <w:p w14:paraId="56464C27" w14:textId="7BB0C1A9" w:rsidR="00817F0C" w:rsidRPr="00356456" w:rsidRDefault="00817F0C" w:rsidP="0087375E">
      <w:pPr>
        <w:spacing w:after="120" w:line="360" w:lineRule="auto"/>
        <w:ind w:right="-23"/>
        <w:jc w:val="both"/>
        <w:rPr>
          <w:b/>
          <w:bCs/>
        </w:rPr>
      </w:pPr>
      <w:r w:rsidRPr="00356456">
        <w:rPr>
          <w:bCs/>
        </w:rPr>
        <w:t xml:space="preserve">This paper analyses the evolution of the approach of the common law courts to cross-border cooperation through existing case law, </w:t>
      </w:r>
      <w:r>
        <w:t xml:space="preserve">including the seminal decisions in </w:t>
      </w:r>
      <w:r w:rsidRPr="00356456">
        <w:rPr>
          <w:i/>
        </w:rPr>
        <w:t>Cambridge Gas</w:t>
      </w:r>
      <w:r>
        <w:t xml:space="preserve"> and </w:t>
      </w:r>
      <w:r w:rsidRPr="00356456">
        <w:rPr>
          <w:i/>
        </w:rPr>
        <w:t>Singularis</w:t>
      </w:r>
      <w:r>
        <w:t>. The paper w</w:t>
      </w:r>
      <w:r w:rsidRPr="00356456">
        <w:rPr>
          <w:bCs/>
        </w:rPr>
        <w:t xml:space="preserve">ill </w:t>
      </w:r>
      <w:r>
        <w:t xml:space="preserve">discuss the extent to which the principle of universalism, or at least </w:t>
      </w:r>
      <w:r w:rsidR="00725B2A">
        <w:t>its more pragmatic co</w:t>
      </w:r>
      <w:r w:rsidR="0071019B">
        <w:t xml:space="preserve">usin </w:t>
      </w:r>
      <w:r>
        <w:t xml:space="preserve">of </w:t>
      </w:r>
      <w:r w:rsidRPr="0087375E">
        <w:t xml:space="preserve">modified </w:t>
      </w:r>
      <w:r w:rsidRPr="00356456">
        <w:t>universalism</w:t>
      </w:r>
      <w:r>
        <w:t xml:space="preserve">, still applies in the common law world. This exercise will be undertaken by comparing England and Wales, as an ‘onshore’ jurisdiction with specific domestic legislation </w:t>
      </w:r>
      <w:r w:rsidR="003E6054">
        <w:t xml:space="preserve">concerning judicial cooperation </w:t>
      </w:r>
      <w:r>
        <w:t xml:space="preserve">and </w:t>
      </w:r>
      <w:r w:rsidR="00725B2A">
        <w:t xml:space="preserve">the </w:t>
      </w:r>
      <w:r>
        <w:t xml:space="preserve">adoption of international texts, with Bermuda, as an ‘offshore’ centre currently lacking any modern, express statutory provisions for dealing with cross-border judicial cooperation in insolvency cases.   </w:t>
      </w:r>
    </w:p>
    <w:p w14:paraId="762A1AAA" w14:textId="7AC5619A" w:rsidR="00817F0C" w:rsidRPr="0087375E" w:rsidRDefault="00817F0C" w:rsidP="0087375E">
      <w:pPr>
        <w:tabs>
          <w:tab w:val="left" w:pos="851"/>
        </w:tabs>
        <w:spacing w:before="240" w:after="240" w:line="360" w:lineRule="auto"/>
        <w:ind w:left="851" w:right="-23" w:hanging="567"/>
        <w:jc w:val="both"/>
        <w:rPr>
          <w:b/>
          <w:bCs/>
        </w:rPr>
      </w:pPr>
      <w:r>
        <w:rPr>
          <w:b/>
          <w:bCs/>
        </w:rPr>
        <w:t xml:space="preserve">1.2 </w:t>
      </w:r>
      <w:r>
        <w:rPr>
          <w:b/>
          <w:bCs/>
        </w:rPr>
        <w:tab/>
        <w:t xml:space="preserve">Overview </w:t>
      </w:r>
    </w:p>
    <w:p w14:paraId="0E846C5D" w14:textId="1CF49A23" w:rsidR="00843626" w:rsidRDefault="00FC2D7F" w:rsidP="00FC2D7F">
      <w:pPr>
        <w:tabs>
          <w:tab w:val="left" w:pos="1134"/>
        </w:tabs>
        <w:spacing w:after="120" w:line="360" w:lineRule="auto"/>
        <w:jc w:val="both"/>
      </w:pPr>
      <w:r>
        <w:t xml:space="preserve">Insolvency situations have long had an international aspect, with cases of commercial collapse giving rise to implications </w:t>
      </w:r>
      <w:r w:rsidR="00725B2A">
        <w:t>which span</w:t>
      </w:r>
      <w:r>
        <w:t xml:space="preserve"> national borders appearing in English law reports from the eighteenth and nineteenth centuries.</w:t>
      </w:r>
      <w:r w:rsidR="00CD47CE">
        <w:t xml:space="preserve"> </w:t>
      </w:r>
      <w:r>
        <w:t>These situations have occurred</w:t>
      </w:r>
      <w:r w:rsidR="003E6054">
        <w:t xml:space="preserve"> </w:t>
      </w:r>
      <w:r>
        <w:t>more frequently with the advent of globalisation, sometimes played out in novel ways</w:t>
      </w:r>
      <w:r w:rsidR="00CD47CE">
        <w:t xml:space="preserve"> due to </w:t>
      </w:r>
      <w:r w:rsidR="003E6054">
        <w:t xml:space="preserve">ever more </w:t>
      </w:r>
      <w:r w:rsidR="00CD47CE">
        <w:t>complicated corporate structures</w:t>
      </w:r>
      <w:r w:rsidR="0013388D">
        <w:t xml:space="preserve"> and </w:t>
      </w:r>
      <w:r w:rsidR="00B16565">
        <w:t>financing</w:t>
      </w:r>
      <w:r>
        <w:t>.</w:t>
      </w:r>
      <w:r w:rsidR="00725B2A">
        <w:t xml:space="preserve"> </w:t>
      </w:r>
      <w:r w:rsidR="00843626">
        <w:t>T</w:t>
      </w:r>
      <w:r>
        <w:t xml:space="preserve">o reflect these developments, competing legal theories have developed </w:t>
      </w:r>
      <w:r w:rsidR="00843626">
        <w:t xml:space="preserve">with respect to </w:t>
      </w:r>
      <w:r>
        <w:t>the approach t</w:t>
      </w:r>
      <w:r w:rsidR="00843626">
        <w:t xml:space="preserve">hat should be taken by </w:t>
      </w:r>
      <w:r w:rsidR="003E6054">
        <w:t xml:space="preserve">insolvency judges in </w:t>
      </w:r>
      <w:r w:rsidR="00843626">
        <w:t>national courts t</w:t>
      </w:r>
      <w:r>
        <w:t>o cross-border</w:t>
      </w:r>
      <w:r w:rsidR="003E6054">
        <w:t xml:space="preserve"> issues</w:t>
      </w:r>
      <w:r>
        <w:t xml:space="preserve">, with academic debate centred around the theories of ‘universalism v territorialism’. </w:t>
      </w:r>
      <w:r w:rsidR="00843626">
        <w:t xml:space="preserve">Between these </w:t>
      </w:r>
      <w:r w:rsidR="00725B2A">
        <w:t xml:space="preserve">two </w:t>
      </w:r>
      <w:r w:rsidR="00843626">
        <w:t xml:space="preserve">poles, </w:t>
      </w:r>
      <w:r>
        <w:t xml:space="preserve">is the legal and practical concession to universalism in the form of ‘modified universalism’. </w:t>
      </w:r>
      <w:r w:rsidR="002F1038">
        <w:t xml:space="preserve"> </w:t>
      </w:r>
    </w:p>
    <w:p w14:paraId="25FF43D1" w14:textId="73FA1CB5" w:rsidR="00FC2D7F" w:rsidRPr="00752D4C" w:rsidRDefault="00CD47CE" w:rsidP="0087375E">
      <w:pPr>
        <w:tabs>
          <w:tab w:val="left" w:pos="1134"/>
        </w:tabs>
        <w:spacing w:after="120" w:line="360" w:lineRule="auto"/>
        <w:jc w:val="both"/>
      </w:pPr>
      <w:r>
        <w:t>Part I</w:t>
      </w:r>
      <w:r w:rsidR="00FC2D7F">
        <w:t xml:space="preserve"> of this paper will </w:t>
      </w:r>
      <w:r w:rsidR="00843626">
        <w:t xml:space="preserve">examine </w:t>
      </w:r>
      <w:r w:rsidR="00FC2D7F">
        <w:t xml:space="preserve">the development of universalism </w:t>
      </w:r>
      <w:r w:rsidR="00C20B39">
        <w:t xml:space="preserve">and its related principle of </w:t>
      </w:r>
      <w:r w:rsidR="003E6054">
        <w:t xml:space="preserve">active </w:t>
      </w:r>
      <w:r w:rsidR="00C20B39">
        <w:t>assistance,</w:t>
      </w:r>
      <w:r w:rsidR="00FC2D7F">
        <w:t xml:space="preserve"> and its modification</w:t>
      </w:r>
      <w:r w:rsidR="002F1038">
        <w:t xml:space="preserve"> in practice</w:t>
      </w:r>
      <w:r w:rsidR="00FC2D7F">
        <w:t xml:space="preserve">, with specific regard to </w:t>
      </w:r>
      <w:r w:rsidR="00843626">
        <w:t xml:space="preserve">its development </w:t>
      </w:r>
      <w:r w:rsidR="00C20B39">
        <w:t xml:space="preserve">of the common law </w:t>
      </w:r>
      <w:r w:rsidR="00843626">
        <w:t xml:space="preserve">in </w:t>
      </w:r>
      <w:r w:rsidR="00FC2D7F">
        <w:t xml:space="preserve">England and Wales, where express legal texts have largely supplanted much of the role of the common law, and Bermuda, where antiquated legislation has required the courts to rely heavily on </w:t>
      </w:r>
      <w:r w:rsidR="007D2CEB">
        <w:t xml:space="preserve">the use of </w:t>
      </w:r>
      <w:r w:rsidR="002F1038">
        <w:t>i</w:t>
      </w:r>
      <w:r w:rsidR="00FC2D7F">
        <w:t xml:space="preserve">nherent powers. </w:t>
      </w:r>
      <w:r>
        <w:t>Part II w</w:t>
      </w:r>
      <w:r w:rsidR="00FC2D7F">
        <w:t xml:space="preserve">ill consider the </w:t>
      </w:r>
      <w:r w:rsidR="007D2CEB">
        <w:t xml:space="preserve">at times </w:t>
      </w:r>
      <w:r>
        <w:t xml:space="preserve">inconsistent </w:t>
      </w:r>
      <w:r w:rsidR="00FC2D7F">
        <w:t xml:space="preserve">approaches taken by the </w:t>
      </w:r>
      <w:r>
        <w:t xml:space="preserve">Supreme Court and Privy Council </w:t>
      </w:r>
      <w:r w:rsidR="00FC2D7F">
        <w:t xml:space="preserve">in the run of seminal cases from </w:t>
      </w:r>
      <w:r w:rsidR="00FC2D7F" w:rsidRPr="00D22B3C">
        <w:rPr>
          <w:i/>
        </w:rPr>
        <w:t>Cambridge Gas</w:t>
      </w:r>
      <w:r w:rsidR="00FC2D7F">
        <w:t xml:space="preserve"> to </w:t>
      </w:r>
      <w:r w:rsidR="00FC2D7F" w:rsidRPr="00D22B3C">
        <w:rPr>
          <w:i/>
        </w:rPr>
        <w:t>Singularis</w:t>
      </w:r>
      <w:r w:rsidR="00FC2D7F">
        <w:t xml:space="preserve">. </w:t>
      </w:r>
      <w:r>
        <w:t xml:space="preserve">Part III </w:t>
      </w:r>
      <w:r w:rsidR="00FC2D7F">
        <w:t xml:space="preserve">will consider where the Privy Council’s decision in </w:t>
      </w:r>
      <w:r w:rsidR="00843626">
        <w:t xml:space="preserve">the latter </w:t>
      </w:r>
      <w:r w:rsidR="00FC2D7F" w:rsidRPr="00D22B3C">
        <w:t>leaves</w:t>
      </w:r>
      <w:r w:rsidR="00FC2D7F">
        <w:t xml:space="preserve"> the </w:t>
      </w:r>
      <w:r w:rsidR="00843626">
        <w:t>principle of universalism</w:t>
      </w:r>
      <w:r>
        <w:t xml:space="preserve">, the extent of a common law court’s </w:t>
      </w:r>
      <w:r>
        <w:lastRenderedPageBreak/>
        <w:t>inherent powers to grant assistance and specific applications by the courts in Bermuda</w:t>
      </w:r>
      <w:r w:rsidR="003E6054">
        <w:t xml:space="preserve"> post-</w:t>
      </w:r>
      <w:r w:rsidR="003E6054">
        <w:rPr>
          <w:i/>
        </w:rPr>
        <w:t>Singularis</w:t>
      </w:r>
      <w:r w:rsidR="00FC2D7F">
        <w:t xml:space="preserve">. </w:t>
      </w:r>
      <w:r>
        <w:t xml:space="preserve">Part IV concludes. </w:t>
      </w:r>
    </w:p>
    <w:p w14:paraId="45D663AC" w14:textId="78511F5F" w:rsidR="00FC2D7F" w:rsidRDefault="006713D0" w:rsidP="0087375E">
      <w:pPr>
        <w:pStyle w:val="ListParagraph"/>
        <w:numPr>
          <w:ilvl w:val="0"/>
          <w:numId w:val="17"/>
        </w:numPr>
        <w:spacing w:before="240" w:after="240" w:line="360" w:lineRule="auto"/>
        <w:ind w:left="284" w:right="-23" w:hanging="284"/>
        <w:contextualSpacing w:val="0"/>
        <w:jc w:val="both"/>
        <w:rPr>
          <w:b/>
          <w:bCs/>
        </w:rPr>
      </w:pPr>
      <w:r>
        <w:rPr>
          <w:b/>
          <w:bCs/>
        </w:rPr>
        <w:t xml:space="preserve">Part I: </w:t>
      </w:r>
      <w:r w:rsidR="00C20B39">
        <w:rPr>
          <w:b/>
          <w:bCs/>
        </w:rPr>
        <w:t>D</w:t>
      </w:r>
      <w:r w:rsidR="00FC2D7F">
        <w:rPr>
          <w:b/>
          <w:bCs/>
        </w:rPr>
        <w:t xml:space="preserve">evelopment of </w:t>
      </w:r>
      <w:r w:rsidR="002F1038">
        <w:rPr>
          <w:b/>
          <w:bCs/>
        </w:rPr>
        <w:t>the common law</w:t>
      </w:r>
    </w:p>
    <w:p w14:paraId="4D691559" w14:textId="4D7F1D53" w:rsidR="00FC2D7F" w:rsidRPr="0087375E" w:rsidRDefault="00FC2D7F" w:rsidP="0087375E">
      <w:pPr>
        <w:tabs>
          <w:tab w:val="left" w:pos="851"/>
        </w:tabs>
        <w:spacing w:before="240" w:after="240" w:line="360" w:lineRule="auto"/>
        <w:ind w:left="851" w:right="-23" w:hanging="567"/>
        <w:jc w:val="both"/>
        <w:rPr>
          <w:b/>
          <w:bCs/>
        </w:rPr>
      </w:pPr>
      <w:r>
        <w:rPr>
          <w:b/>
          <w:bCs/>
        </w:rPr>
        <w:t xml:space="preserve">2.1 </w:t>
      </w:r>
      <w:r w:rsidR="002F1038">
        <w:rPr>
          <w:b/>
          <w:bCs/>
        </w:rPr>
        <w:tab/>
        <w:t>W</w:t>
      </w:r>
      <w:r>
        <w:rPr>
          <w:b/>
          <w:bCs/>
        </w:rPr>
        <w:t xml:space="preserve">hat is universalism? </w:t>
      </w:r>
    </w:p>
    <w:p w14:paraId="40DBBA11" w14:textId="2EFE9508" w:rsidR="002F1038" w:rsidRDefault="00FC2D7F" w:rsidP="0087375E">
      <w:pPr>
        <w:pStyle w:val="ListParagraph"/>
        <w:tabs>
          <w:tab w:val="left" w:pos="1134"/>
        </w:tabs>
        <w:spacing w:after="120" w:line="360" w:lineRule="auto"/>
        <w:ind w:left="0"/>
        <w:contextualSpacing w:val="0"/>
        <w:jc w:val="both"/>
      </w:pPr>
      <w:r>
        <w:t>The concept of universalism in insolvency proceedings was</w:t>
      </w:r>
      <w:r w:rsidR="002F1038">
        <w:t xml:space="preserve"> </w:t>
      </w:r>
      <w:r w:rsidR="004507DD">
        <w:t xml:space="preserve">famously </w:t>
      </w:r>
      <w:r w:rsidR="002F1038">
        <w:t>described</w:t>
      </w:r>
      <w:r>
        <w:t xml:space="preserve">, if </w:t>
      </w:r>
      <w:r w:rsidR="002F1038">
        <w:t xml:space="preserve">somewhat </w:t>
      </w:r>
      <w:r>
        <w:t xml:space="preserve">controversially, by Lord Hoffman as </w:t>
      </w:r>
      <w:r>
        <w:rPr>
          <w:i/>
        </w:rPr>
        <w:t>“the golden thread of the common law”</w:t>
      </w:r>
      <w:r w:rsidRPr="00BF4D4A">
        <w:rPr>
          <w:rStyle w:val="FootnoteReference"/>
        </w:rPr>
        <w:footnoteReference w:id="1"/>
      </w:r>
      <w:r w:rsidRPr="00CF0DFD">
        <w:t>.</w:t>
      </w:r>
      <w:r>
        <w:t xml:space="preserve"> </w:t>
      </w:r>
      <w:r w:rsidR="002F1038">
        <w:t xml:space="preserve">He elucidated this approach </w:t>
      </w:r>
      <w:r w:rsidR="00BA4AE6">
        <w:t xml:space="preserve">further </w:t>
      </w:r>
      <w:r w:rsidR="002F1038">
        <w:t xml:space="preserve">in </w:t>
      </w:r>
      <w:r w:rsidR="002F1038">
        <w:rPr>
          <w:i/>
        </w:rPr>
        <w:t>Cambridge Gas</w:t>
      </w:r>
      <w:r w:rsidR="002F1038">
        <w:rPr>
          <w:rStyle w:val="FootnoteReference"/>
          <w:i/>
        </w:rPr>
        <w:footnoteReference w:id="2"/>
      </w:r>
      <w:r w:rsidR="002F1038">
        <w:t xml:space="preserve"> where he </w:t>
      </w:r>
      <w:r w:rsidR="00953CF8">
        <w:t>stated</w:t>
      </w:r>
      <w:r w:rsidR="002F1038">
        <w:t>:</w:t>
      </w:r>
    </w:p>
    <w:p w14:paraId="23FC7EFD" w14:textId="77777777" w:rsidR="002F1038" w:rsidRDefault="002F1038" w:rsidP="0087375E">
      <w:pPr>
        <w:pStyle w:val="ListParagraph"/>
        <w:tabs>
          <w:tab w:val="left" w:pos="1134"/>
        </w:tabs>
        <w:spacing w:after="240"/>
        <w:ind w:left="567" w:right="567"/>
        <w:contextualSpacing w:val="0"/>
        <w:jc w:val="both"/>
        <w:rPr>
          <w:i/>
        </w:rPr>
      </w:pPr>
      <w:r>
        <w:rPr>
          <w:i/>
        </w:rPr>
        <w:t>“The English common law has traditionally taken the view that fairness between creditors requires that, ideally, bankruptcy proceedings should have universal application. There should be a single bankruptcy in which all creditors are entitled and required to prove. No one should have an advantage because he happens to live in a jurisdiction where more of the assets or fewer of the creditors are situated”</w:t>
      </w:r>
      <w:r>
        <w:rPr>
          <w:rStyle w:val="FootnoteReference"/>
          <w:i/>
        </w:rPr>
        <w:footnoteReference w:id="3"/>
      </w:r>
      <w:r>
        <w:rPr>
          <w:i/>
        </w:rPr>
        <w:t xml:space="preserve">. </w:t>
      </w:r>
    </w:p>
    <w:p w14:paraId="2FF57794" w14:textId="76CCD253" w:rsidR="00843626" w:rsidRDefault="00075125" w:rsidP="00843626">
      <w:pPr>
        <w:pStyle w:val="ListParagraph"/>
        <w:tabs>
          <w:tab w:val="left" w:pos="1134"/>
        </w:tabs>
        <w:spacing w:after="120" w:line="360" w:lineRule="auto"/>
        <w:ind w:left="0"/>
        <w:contextualSpacing w:val="0"/>
        <w:jc w:val="both"/>
      </w:pPr>
      <w:r>
        <w:t>The aim of universalism</w:t>
      </w:r>
      <w:r w:rsidR="00F43EF4">
        <w:t xml:space="preserve"> </w:t>
      </w:r>
      <w:r>
        <w:t>is to provide a single forum applying a single legal regime to all aspects of a debtor’s affairs on a worldwide basis</w:t>
      </w:r>
      <w:r>
        <w:rPr>
          <w:rStyle w:val="FootnoteReference"/>
        </w:rPr>
        <w:footnoteReference w:id="4"/>
      </w:r>
      <w:r>
        <w:t xml:space="preserve">. </w:t>
      </w:r>
      <w:r w:rsidR="00AF6529">
        <w:t>It is intended that this will produce the fairest</w:t>
      </w:r>
      <w:r w:rsidR="007D2CEB">
        <w:t xml:space="preserve"> and </w:t>
      </w:r>
      <w:r w:rsidR="00AF6529">
        <w:t>most efficient result</w:t>
      </w:r>
      <w:r w:rsidR="007D2CEB">
        <w:t>,</w:t>
      </w:r>
      <w:r w:rsidR="00953CF8">
        <w:t xml:space="preserve"> as the best </w:t>
      </w:r>
      <w:r w:rsidR="004507DD">
        <w:t>long-term</w:t>
      </w:r>
      <w:r w:rsidR="00953CF8">
        <w:t xml:space="preserve"> solution</w:t>
      </w:r>
      <w:r w:rsidR="003E6054">
        <w:t xml:space="preserve"> to cross-border insolvencies</w:t>
      </w:r>
      <w:r w:rsidR="00AF6529">
        <w:rPr>
          <w:rStyle w:val="FootnoteReference"/>
        </w:rPr>
        <w:footnoteReference w:id="5"/>
      </w:r>
      <w:r w:rsidR="00AF6529">
        <w:t xml:space="preserve">. </w:t>
      </w:r>
      <w:r w:rsidR="00843626" w:rsidRPr="0087375E">
        <w:t>By contrast</w:t>
      </w:r>
      <w:r w:rsidR="00C20B39">
        <w:rPr>
          <w:b/>
        </w:rPr>
        <w:t xml:space="preserve">, </w:t>
      </w:r>
      <w:r w:rsidR="00843626">
        <w:t>territorialism, in its purest form</w:t>
      </w:r>
      <w:r w:rsidR="00C20B39">
        <w:t>,</w:t>
      </w:r>
      <w:r w:rsidR="00843626">
        <w:t xml:space="preserve"> implies that insolvency proceedings should have an exclusively territorial focus, with proceedings applying only to assets within the particular national territory</w:t>
      </w:r>
      <w:r w:rsidR="00953CF8">
        <w:t xml:space="preserve"> and with little regard for parties or proceedings elsewhere</w:t>
      </w:r>
      <w:r w:rsidR="00843626">
        <w:rPr>
          <w:rStyle w:val="FootnoteReference"/>
        </w:rPr>
        <w:footnoteReference w:id="6"/>
      </w:r>
      <w:r w:rsidR="00843626">
        <w:t xml:space="preserve">. </w:t>
      </w:r>
    </w:p>
    <w:p w14:paraId="54183EFF" w14:textId="3D661298" w:rsidR="00843626" w:rsidRPr="0087375E" w:rsidRDefault="00843626" w:rsidP="0087375E">
      <w:pPr>
        <w:pStyle w:val="ListParagraph"/>
        <w:tabs>
          <w:tab w:val="left" w:pos="1134"/>
        </w:tabs>
        <w:spacing w:after="120" w:line="360" w:lineRule="auto"/>
        <w:ind w:left="0"/>
        <w:contextualSpacing w:val="0"/>
        <w:jc w:val="both"/>
      </w:pPr>
      <w:r>
        <w:t xml:space="preserve">In most jurisdictions, these </w:t>
      </w:r>
      <w:r w:rsidR="00953CF8">
        <w:t xml:space="preserve">approaches </w:t>
      </w:r>
      <w:r>
        <w:t>will</w:t>
      </w:r>
      <w:r w:rsidR="00F43EF4">
        <w:t xml:space="preserve"> </w:t>
      </w:r>
      <w:r>
        <w:t xml:space="preserve">be tempered by practical and legal considerations. As Lord Hoffman </w:t>
      </w:r>
      <w:r w:rsidR="00055BEE">
        <w:t>stated,</w:t>
      </w:r>
      <w:r w:rsidR="00953CF8">
        <w:t xml:space="preserve"> </w:t>
      </w:r>
      <w:r>
        <w:t xml:space="preserve">universalism </w:t>
      </w:r>
      <w:r w:rsidR="00C20B39">
        <w:t xml:space="preserve">is an </w:t>
      </w:r>
      <w:r>
        <w:rPr>
          <w:i/>
        </w:rPr>
        <w:t xml:space="preserve">“aspiration” </w:t>
      </w:r>
      <w:r w:rsidRPr="0087375E">
        <w:t>and not a</w:t>
      </w:r>
      <w:r>
        <w:rPr>
          <w:i/>
        </w:rPr>
        <w:t xml:space="preserve"> “rule”</w:t>
      </w:r>
      <w:r w:rsidR="00953CF8">
        <w:rPr>
          <w:rStyle w:val="FootnoteReference"/>
        </w:rPr>
        <w:footnoteReference w:id="7"/>
      </w:r>
      <w:r>
        <w:rPr>
          <w:i/>
        </w:rPr>
        <w:t xml:space="preserve">. </w:t>
      </w:r>
      <w:r w:rsidR="00953CF8">
        <w:t xml:space="preserve">In this context, Professor Westbrook has advocated for the application of modified universalism, where the application of the principle is not automatic </w:t>
      </w:r>
      <w:r w:rsidR="009564B8">
        <w:t xml:space="preserve">but dependent on the local court being satisfied that the ‘main proceedings’ </w:t>
      </w:r>
      <w:r w:rsidR="00387404">
        <w:t>(i.e. those</w:t>
      </w:r>
      <w:r w:rsidR="003E6054">
        <w:t xml:space="preserve"> overseas</w:t>
      </w:r>
      <w:r w:rsidR="00387404">
        <w:t>)</w:t>
      </w:r>
      <w:r w:rsidR="009564B8">
        <w:t xml:space="preserve"> are fair and the that the interests of local creditors are protected</w:t>
      </w:r>
      <w:r w:rsidR="009564B8">
        <w:rPr>
          <w:rStyle w:val="FootnoteReference"/>
        </w:rPr>
        <w:footnoteReference w:id="8"/>
      </w:r>
      <w:r w:rsidR="009564B8">
        <w:t>.</w:t>
      </w:r>
      <w:r w:rsidR="00953CF8">
        <w:t xml:space="preserve"> </w:t>
      </w:r>
      <w:r w:rsidR="004507DD">
        <w:t xml:space="preserve">   </w:t>
      </w:r>
    </w:p>
    <w:p w14:paraId="1FADC37C" w14:textId="664C075E" w:rsidR="00E151C9" w:rsidRPr="00752D4C" w:rsidRDefault="00E151C9" w:rsidP="0087375E">
      <w:pPr>
        <w:tabs>
          <w:tab w:val="left" w:pos="851"/>
        </w:tabs>
        <w:spacing w:before="240" w:after="240" w:line="360" w:lineRule="auto"/>
        <w:ind w:left="851" w:right="-23" w:hanging="567"/>
        <w:jc w:val="both"/>
        <w:rPr>
          <w:b/>
          <w:bCs/>
        </w:rPr>
      </w:pPr>
      <w:r>
        <w:rPr>
          <w:b/>
          <w:bCs/>
        </w:rPr>
        <w:t xml:space="preserve">2.2 </w:t>
      </w:r>
      <w:r>
        <w:rPr>
          <w:b/>
          <w:bCs/>
        </w:rPr>
        <w:tab/>
        <w:t xml:space="preserve">The approach of the English courts </w:t>
      </w:r>
      <w:r w:rsidR="00C3393A">
        <w:rPr>
          <w:b/>
          <w:bCs/>
        </w:rPr>
        <w:t xml:space="preserve">historically </w:t>
      </w:r>
    </w:p>
    <w:p w14:paraId="1E6ADE14" w14:textId="061905DD" w:rsidR="006D12AB" w:rsidRDefault="00387404" w:rsidP="00387404">
      <w:pPr>
        <w:pStyle w:val="ListParagraph"/>
        <w:tabs>
          <w:tab w:val="left" w:pos="1134"/>
        </w:tabs>
        <w:spacing w:after="120" w:line="360" w:lineRule="auto"/>
        <w:ind w:left="0"/>
        <w:contextualSpacing w:val="0"/>
        <w:jc w:val="both"/>
      </w:pPr>
      <w:r>
        <w:lastRenderedPageBreak/>
        <w:t xml:space="preserve">The ‘golden thread’ </w:t>
      </w:r>
      <w:r w:rsidR="006D12AB">
        <w:t>h</w:t>
      </w:r>
      <w:r>
        <w:t>as</w:t>
      </w:r>
      <w:r w:rsidR="007E1F28">
        <w:t xml:space="preserve"> an extensive histor</w:t>
      </w:r>
      <w:r w:rsidR="006D12AB">
        <w:t xml:space="preserve">y </w:t>
      </w:r>
      <w:r w:rsidR="003E6054">
        <w:t xml:space="preserve">which </w:t>
      </w:r>
      <w:r w:rsidR="00523448">
        <w:t xml:space="preserve">can be traced back to bankruptcy proceedings dating </w:t>
      </w:r>
      <w:r w:rsidR="00523448" w:rsidRPr="0087375E">
        <w:rPr>
          <w:i/>
        </w:rPr>
        <w:t>“as far back as the mid eighteenth century”</w:t>
      </w:r>
      <w:r>
        <w:rPr>
          <w:rStyle w:val="FootnoteReference"/>
        </w:rPr>
        <w:footnoteReference w:id="9"/>
      </w:r>
      <w:r>
        <w:t xml:space="preserve">. In </w:t>
      </w:r>
      <w:r w:rsidR="006D12AB" w:rsidRPr="0087375E">
        <w:t xml:space="preserve">the </w:t>
      </w:r>
      <w:r w:rsidR="00523448">
        <w:t xml:space="preserve">1764 case of </w:t>
      </w:r>
      <w:r>
        <w:rPr>
          <w:i/>
        </w:rPr>
        <w:t>Solomons v Ross</w:t>
      </w:r>
      <w:r w:rsidR="00DE7D14">
        <w:t xml:space="preserve"> </w:t>
      </w:r>
      <w:r w:rsidR="007E1F28">
        <w:t xml:space="preserve">the English Court recognised that </w:t>
      </w:r>
      <w:r w:rsidR="006D12AB">
        <w:t xml:space="preserve">bankruptcy proceedings opened in Holland, being the debtor’s place of incorporation, should be regarded as </w:t>
      </w:r>
      <w:r w:rsidR="00523448">
        <w:t xml:space="preserve">having extraterritorial effect </w:t>
      </w:r>
      <w:r w:rsidR="006D12AB">
        <w:t>over all of the debtor’s assets, no matter where</w:t>
      </w:r>
      <w:r w:rsidR="003E6054">
        <w:t xml:space="preserve"> they were</w:t>
      </w:r>
      <w:r w:rsidR="006D12AB">
        <w:t xml:space="preserve"> located. As noted by Lord Hoffman, this </w:t>
      </w:r>
      <w:r w:rsidR="00500319">
        <w:t xml:space="preserve">early </w:t>
      </w:r>
      <w:r w:rsidR="006D12AB">
        <w:t>development of the common law did not arise entirely out of the pursuit of lofty universalist aspirations but from commercial and legal pragmatism borne out of England’s position first as a great trading nation and then as an imperial power</w:t>
      </w:r>
      <w:r w:rsidR="006D12AB">
        <w:rPr>
          <w:rStyle w:val="FootnoteReference"/>
        </w:rPr>
        <w:footnoteReference w:id="10"/>
      </w:r>
      <w:r w:rsidR="006D12AB">
        <w:t>.</w:t>
      </w:r>
    </w:p>
    <w:p w14:paraId="7EFDB20B" w14:textId="7579F21C" w:rsidR="00485EBC" w:rsidRDefault="00485EBC" w:rsidP="00C174B3">
      <w:pPr>
        <w:pStyle w:val="ListParagraph"/>
        <w:tabs>
          <w:tab w:val="left" w:pos="1134"/>
        </w:tabs>
        <w:spacing w:after="120" w:line="360" w:lineRule="auto"/>
        <w:ind w:left="0"/>
        <w:contextualSpacing w:val="0"/>
        <w:jc w:val="both"/>
      </w:pPr>
      <w:r>
        <w:t>Universalism has also long been enshrined in English law in the sense that it is judicially assumed that English insolvency proceedings will have a worldwide effect in relation to the debtor’s assets</w:t>
      </w:r>
      <w:r>
        <w:rPr>
          <w:rStyle w:val="FootnoteReference"/>
        </w:rPr>
        <w:footnoteReference w:id="11"/>
      </w:r>
      <w:r>
        <w:t xml:space="preserve">, albeit the powers of the </w:t>
      </w:r>
      <w:r w:rsidR="00FC0CC0">
        <w:t xml:space="preserve">English </w:t>
      </w:r>
      <w:r>
        <w:t xml:space="preserve">court in relation to </w:t>
      </w:r>
      <w:r w:rsidR="00FC0CC0">
        <w:t xml:space="preserve">those </w:t>
      </w:r>
      <w:r>
        <w:t xml:space="preserve">foreign assets </w:t>
      </w:r>
      <w:r w:rsidR="00C14833">
        <w:t>will</w:t>
      </w:r>
      <w:r>
        <w:t xml:space="preserve">, in reality, be limited. </w:t>
      </w:r>
      <w:r w:rsidR="00FC0CC0">
        <w:t xml:space="preserve">The reach of the English court also includes the power to wind up foreign companies if there are assets within the jurisdiction or some other sufficient connection. </w:t>
      </w:r>
      <w:r w:rsidR="00C1431C">
        <w:t>This</w:t>
      </w:r>
      <w:r w:rsidR="00B831FC">
        <w:t xml:space="preserve"> includes </w:t>
      </w:r>
      <w:r w:rsidR="00C1431C">
        <w:t>even where the company may already be in liquidation in its place of incorporation</w:t>
      </w:r>
      <w:r w:rsidR="006E3F9C">
        <w:rPr>
          <w:rStyle w:val="FootnoteReference"/>
        </w:rPr>
        <w:footnoteReference w:id="12"/>
      </w:r>
      <w:r w:rsidR="00C1431C">
        <w:t xml:space="preserve"> or dissolved there</w:t>
      </w:r>
      <w:r w:rsidR="006E3F9C">
        <w:t xml:space="preserve">, as part of </w:t>
      </w:r>
      <w:r w:rsidR="00FC0CC0">
        <w:t>the concept of ‘ancillary winding up’</w:t>
      </w:r>
      <w:r w:rsidR="00B831FC">
        <w:t xml:space="preserve">. This is </w:t>
      </w:r>
      <w:r w:rsidR="00FC0CC0">
        <w:t xml:space="preserve">where the foreign proceedings will be treated as </w:t>
      </w:r>
      <w:r w:rsidR="006E3F9C">
        <w:t xml:space="preserve">the </w:t>
      </w:r>
      <w:r w:rsidR="00FC0CC0">
        <w:t xml:space="preserve">principal proceedings, and proceedings initiated in England to deal with </w:t>
      </w:r>
      <w:r w:rsidR="00A75E77">
        <w:t>collecting</w:t>
      </w:r>
      <w:r w:rsidR="003E6054">
        <w:t>/</w:t>
      </w:r>
      <w:r w:rsidR="00A75E77">
        <w:t xml:space="preserve">protecting </w:t>
      </w:r>
      <w:r w:rsidR="00FC0CC0">
        <w:t xml:space="preserve">assets within the jurisdiction </w:t>
      </w:r>
      <w:r w:rsidR="00A75E77">
        <w:t xml:space="preserve">and settling the list of local creditors </w:t>
      </w:r>
      <w:r w:rsidR="00FC0CC0">
        <w:t>will be of an ancillary nature</w:t>
      </w:r>
      <w:r w:rsidR="00FC0CC0">
        <w:rPr>
          <w:rStyle w:val="FootnoteReference"/>
        </w:rPr>
        <w:footnoteReference w:id="13"/>
      </w:r>
      <w:r w:rsidR="00FC0CC0">
        <w:t xml:space="preserve">.  </w:t>
      </w:r>
    </w:p>
    <w:p w14:paraId="4F18C16B" w14:textId="0DF50411" w:rsidR="00C3393A" w:rsidRDefault="00C1431C" w:rsidP="00C174B3">
      <w:pPr>
        <w:pStyle w:val="ListParagraph"/>
        <w:tabs>
          <w:tab w:val="left" w:pos="1134"/>
        </w:tabs>
        <w:spacing w:after="120" w:line="360" w:lineRule="auto"/>
        <w:ind w:left="0"/>
        <w:contextualSpacing w:val="0"/>
        <w:jc w:val="both"/>
      </w:pPr>
      <w:r>
        <w:t xml:space="preserve">From this brief review of the cases, two key principles come to the fore: </w:t>
      </w:r>
      <w:r w:rsidR="00C174B3">
        <w:t xml:space="preserve">the principle of </w:t>
      </w:r>
      <w:r>
        <w:t>universalism</w:t>
      </w:r>
      <w:r w:rsidR="00387404">
        <w:t xml:space="preserve"> </w:t>
      </w:r>
      <w:r w:rsidR="003E6054">
        <w:t xml:space="preserve">on the basis </w:t>
      </w:r>
      <w:r>
        <w:t xml:space="preserve">that proceedings instituted in one jurisdiction should be regarded as having universal effect, and secondly the </w:t>
      </w:r>
      <w:r w:rsidR="00A75E77">
        <w:t>principle of</w:t>
      </w:r>
      <w:r w:rsidR="00387404">
        <w:t xml:space="preserve"> </w:t>
      </w:r>
      <w:r>
        <w:t>assistance</w:t>
      </w:r>
      <w:r w:rsidR="00387404">
        <w:t xml:space="preserve">, </w:t>
      </w:r>
      <w:r>
        <w:t>namely</w:t>
      </w:r>
      <w:r w:rsidR="00387404">
        <w:t xml:space="preserve"> that the courts in one </w:t>
      </w:r>
      <w:r w:rsidR="003E6054">
        <w:t xml:space="preserve">jurisdiction </w:t>
      </w:r>
      <w:r w:rsidR="00387404">
        <w:t xml:space="preserve">should actively assist insolvency </w:t>
      </w:r>
      <w:r>
        <w:t>proceedings</w:t>
      </w:r>
      <w:r w:rsidR="00387404">
        <w:t xml:space="preserve"> </w:t>
      </w:r>
      <w:r>
        <w:t>commenced</w:t>
      </w:r>
      <w:r w:rsidR="00387404">
        <w:t xml:space="preserve"> in </w:t>
      </w:r>
      <w:r w:rsidR="003E6054">
        <w:t xml:space="preserve">a foreign </w:t>
      </w:r>
      <w:r w:rsidR="00D22B8B">
        <w:t>jurisdiction</w:t>
      </w:r>
      <w:r w:rsidR="00387404">
        <w:rPr>
          <w:rStyle w:val="FootnoteReference"/>
        </w:rPr>
        <w:footnoteReference w:id="14"/>
      </w:r>
      <w:r w:rsidR="00387404">
        <w:t>.</w:t>
      </w:r>
      <w:r w:rsidR="00F43EF4">
        <w:t xml:space="preserve"> </w:t>
      </w:r>
      <w:r w:rsidR="00A75E77">
        <w:t xml:space="preserve">However, the outer borders of these principles have proven hard to delineate. </w:t>
      </w:r>
    </w:p>
    <w:p w14:paraId="76B12EBE" w14:textId="03F1B487" w:rsidR="00C7718C" w:rsidRPr="00752D4C" w:rsidRDefault="00C7718C" w:rsidP="0087375E">
      <w:pPr>
        <w:tabs>
          <w:tab w:val="left" w:pos="851"/>
        </w:tabs>
        <w:spacing w:before="240" w:after="240" w:line="360" w:lineRule="auto"/>
        <w:ind w:left="851" w:right="-23" w:hanging="567"/>
        <w:jc w:val="both"/>
        <w:rPr>
          <w:b/>
          <w:bCs/>
        </w:rPr>
      </w:pPr>
      <w:r>
        <w:rPr>
          <w:b/>
          <w:bCs/>
        </w:rPr>
        <w:t xml:space="preserve">2.3 </w:t>
      </w:r>
      <w:r>
        <w:rPr>
          <w:b/>
          <w:bCs/>
        </w:rPr>
        <w:tab/>
        <w:t xml:space="preserve">The modern English framework </w:t>
      </w:r>
    </w:p>
    <w:p w14:paraId="65D864D2" w14:textId="57600E92" w:rsidR="000C070E" w:rsidRPr="0087375E" w:rsidRDefault="00A814E1" w:rsidP="00C174B3">
      <w:pPr>
        <w:pStyle w:val="ListParagraph"/>
        <w:tabs>
          <w:tab w:val="left" w:pos="1134"/>
        </w:tabs>
        <w:spacing w:after="120" w:line="360" w:lineRule="auto"/>
        <w:ind w:left="0"/>
        <w:contextualSpacing w:val="0"/>
        <w:jc w:val="both"/>
        <w:rPr>
          <w:i/>
        </w:rPr>
      </w:pPr>
      <w:r>
        <w:t xml:space="preserve">While a truly universalist international structure </w:t>
      </w:r>
      <w:r w:rsidR="000C070E">
        <w:t xml:space="preserve">still </w:t>
      </w:r>
      <w:r>
        <w:t xml:space="preserve">remains elusive, </w:t>
      </w:r>
      <w:r w:rsidR="00B75B3D">
        <w:t xml:space="preserve">an express statutory framework in relation to cross-border insolvency cooperation is now in place in England and Wales. </w:t>
      </w:r>
      <w:r w:rsidR="000C070E">
        <w:t xml:space="preserve"> </w:t>
      </w:r>
      <w:r w:rsidR="00F43EF4">
        <w:t xml:space="preserve">There </w:t>
      </w:r>
      <w:r w:rsidR="006E3F9C">
        <w:t xml:space="preserve">were </w:t>
      </w:r>
      <w:r w:rsidR="00F43EF4">
        <w:t xml:space="preserve">four gateways </w:t>
      </w:r>
      <w:r w:rsidR="00B75B3D">
        <w:t xml:space="preserve">for resolving cross border insolvency matters; firstly 426 of </w:t>
      </w:r>
      <w:r w:rsidR="00B75B3D">
        <w:lastRenderedPageBreak/>
        <w:t>the Insolvency Act 1986 (‘Insolvency Act’) which provides for cross-border cooperation covering certain ‘relevant countries’</w:t>
      </w:r>
      <w:r w:rsidR="00C14833">
        <w:rPr>
          <w:rStyle w:val="FootnoteReference"/>
        </w:rPr>
        <w:footnoteReference w:id="15"/>
      </w:r>
      <w:r w:rsidR="00B75B3D">
        <w:t xml:space="preserve">, secondly the </w:t>
      </w:r>
      <w:r w:rsidR="00C36CCA">
        <w:t xml:space="preserve">Recast </w:t>
      </w:r>
      <w:r w:rsidR="00B75B3D">
        <w:t xml:space="preserve">European Insolvency Regulation </w:t>
      </w:r>
      <w:r w:rsidR="00C36CCA">
        <w:t>2015</w:t>
      </w:r>
      <w:r w:rsidR="00B75B3D">
        <w:t xml:space="preserve"> </w:t>
      </w:r>
      <w:r w:rsidR="00F617BF">
        <w:t xml:space="preserve">(‘EIR’) </w:t>
      </w:r>
      <w:r w:rsidR="00B75B3D">
        <w:t>in relation to EU insolvencies</w:t>
      </w:r>
      <w:r w:rsidR="00F43EF4">
        <w:t xml:space="preserve"> (now fallen away post Brexit)</w:t>
      </w:r>
      <w:r w:rsidR="00B75B3D">
        <w:t xml:space="preserve">, </w:t>
      </w:r>
      <w:r w:rsidR="00032905">
        <w:t>thirdly the UNCITRAL Model Law on</w:t>
      </w:r>
      <w:r w:rsidR="00F617BF">
        <w:t xml:space="preserve"> Cross-Border Insolvency</w:t>
      </w:r>
      <w:r w:rsidR="00032905">
        <w:t xml:space="preserve"> </w:t>
      </w:r>
      <w:r w:rsidR="000C070E">
        <w:t>1997</w:t>
      </w:r>
      <w:r w:rsidR="00032905">
        <w:t xml:space="preserve"> (‘Model Law’)</w:t>
      </w:r>
      <w:r w:rsidR="00F43EF4">
        <w:t>,</w:t>
      </w:r>
      <w:r w:rsidR="00032905">
        <w:t xml:space="preserve"> as </w:t>
      </w:r>
      <w:r w:rsidR="00C36CCA">
        <w:t xml:space="preserve">implemented </w:t>
      </w:r>
      <w:r w:rsidR="00032905">
        <w:t>by the Cross-Border Insolvency Regulations 2006 (‘CBIR’)</w:t>
      </w:r>
      <w:r w:rsidR="00F617BF">
        <w:rPr>
          <w:rStyle w:val="FootnoteReference"/>
        </w:rPr>
        <w:footnoteReference w:id="16"/>
      </w:r>
      <w:r w:rsidR="00D22B8B">
        <w:t>,</w:t>
      </w:r>
      <w:r w:rsidR="00F617BF">
        <w:t xml:space="preserve"> with its focus upon a debtor’s centre of main interest </w:t>
      </w:r>
      <w:r w:rsidR="00C36CCA">
        <w:t>(‘</w:t>
      </w:r>
      <w:r w:rsidR="00F617BF">
        <w:t>COMI</w:t>
      </w:r>
      <w:r w:rsidR="00C36CCA">
        <w:t>’)</w:t>
      </w:r>
      <w:r w:rsidR="00032905">
        <w:t xml:space="preserve">, and fourthly (and </w:t>
      </w:r>
      <w:r w:rsidR="008203CF">
        <w:t xml:space="preserve">effectively </w:t>
      </w:r>
      <w:r w:rsidR="00032905">
        <w:t>residually) the inherent jurisdiction of the court</w:t>
      </w:r>
      <w:r w:rsidR="00D22B8B">
        <w:t xml:space="preserve"> </w:t>
      </w:r>
      <w:r w:rsidR="00032905">
        <w:t xml:space="preserve">under common law. </w:t>
      </w:r>
      <w:r w:rsidR="004503CD">
        <w:t xml:space="preserve">This </w:t>
      </w:r>
      <w:r w:rsidR="00F43EF4">
        <w:t xml:space="preserve">largely statutory framework </w:t>
      </w:r>
      <w:r w:rsidR="004503CD">
        <w:t xml:space="preserve">has </w:t>
      </w:r>
      <w:r w:rsidR="007723B0">
        <w:t xml:space="preserve">contributed </w:t>
      </w:r>
      <w:r w:rsidR="004503CD">
        <w:t xml:space="preserve">to what </w:t>
      </w:r>
      <w:r w:rsidR="00DE7D14">
        <w:t xml:space="preserve">Professor </w:t>
      </w:r>
      <w:r w:rsidR="004503CD">
        <w:t>Ian Fletcher</w:t>
      </w:r>
      <w:r w:rsidR="00D22B8B">
        <w:t xml:space="preserve"> memorably</w:t>
      </w:r>
      <w:r w:rsidR="007723B0">
        <w:t xml:space="preserve"> </w:t>
      </w:r>
      <w:r w:rsidR="004503CD">
        <w:t>described as the</w:t>
      </w:r>
      <w:r w:rsidR="007F4B33">
        <w:t xml:space="preserve"> </w:t>
      </w:r>
      <w:r w:rsidR="004503CD">
        <w:rPr>
          <w:i/>
        </w:rPr>
        <w:t xml:space="preserve">“arrested development” </w:t>
      </w:r>
      <w:r w:rsidR="004503CD">
        <w:t xml:space="preserve">of the </w:t>
      </w:r>
      <w:r w:rsidR="007723B0">
        <w:t xml:space="preserve">English </w:t>
      </w:r>
      <w:r w:rsidR="004503CD">
        <w:t>common law</w:t>
      </w:r>
      <w:r w:rsidR="004503CD">
        <w:rPr>
          <w:rStyle w:val="FootnoteReference"/>
        </w:rPr>
        <w:footnoteReference w:id="17"/>
      </w:r>
      <w:r w:rsidR="004503CD">
        <w:t>.</w:t>
      </w:r>
    </w:p>
    <w:p w14:paraId="2DB70547" w14:textId="04992955" w:rsidR="00C7718C" w:rsidRPr="00752D4C" w:rsidRDefault="00C7718C" w:rsidP="0087375E">
      <w:pPr>
        <w:tabs>
          <w:tab w:val="left" w:pos="851"/>
        </w:tabs>
        <w:spacing w:before="240" w:after="240" w:line="360" w:lineRule="auto"/>
        <w:ind w:left="851" w:right="-23" w:hanging="567"/>
        <w:jc w:val="both"/>
        <w:rPr>
          <w:b/>
          <w:bCs/>
        </w:rPr>
      </w:pPr>
      <w:r>
        <w:rPr>
          <w:b/>
          <w:bCs/>
        </w:rPr>
        <w:t xml:space="preserve">2.4 </w:t>
      </w:r>
      <w:r>
        <w:rPr>
          <w:b/>
          <w:bCs/>
        </w:rPr>
        <w:tab/>
      </w:r>
      <w:r w:rsidR="004503CD">
        <w:rPr>
          <w:b/>
          <w:bCs/>
        </w:rPr>
        <w:t>Cross-border cooperation in Bermuda</w:t>
      </w:r>
      <w:r>
        <w:rPr>
          <w:b/>
          <w:bCs/>
        </w:rPr>
        <w:t xml:space="preserve"> </w:t>
      </w:r>
    </w:p>
    <w:p w14:paraId="6D6D7082" w14:textId="1A520394" w:rsidR="000B3059" w:rsidRDefault="004503CD" w:rsidP="006E3F9C">
      <w:pPr>
        <w:tabs>
          <w:tab w:val="left" w:pos="360"/>
        </w:tabs>
        <w:spacing w:before="120" w:after="120" w:line="360" w:lineRule="auto"/>
        <w:ind w:right="-23"/>
        <w:jc w:val="both"/>
        <w:rPr>
          <w:bCs/>
        </w:rPr>
      </w:pPr>
      <w:r>
        <w:rPr>
          <w:bCs/>
        </w:rPr>
        <w:t xml:space="preserve">By contrast, the development of common law cooperation in Bermuda </w:t>
      </w:r>
      <w:r w:rsidR="007F4B33">
        <w:rPr>
          <w:bCs/>
        </w:rPr>
        <w:t xml:space="preserve">has </w:t>
      </w:r>
      <w:r w:rsidR="00D22B8B">
        <w:rPr>
          <w:bCs/>
        </w:rPr>
        <w:t xml:space="preserve">moved </w:t>
      </w:r>
      <w:r w:rsidR="007F4B33">
        <w:rPr>
          <w:bCs/>
        </w:rPr>
        <w:t xml:space="preserve">in tandem with </w:t>
      </w:r>
      <w:r w:rsidR="0093032A">
        <w:rPr>
          <w:bCs/>
        </w:rPr>
        <w:t xml:space="preserve">the relatively more recent </w:t>
      </w:r>
      <w:r w:rsidR="00D22B8B">
        <w:rPr>
          <w:bCs/>
        </w:rPr>
        <w:t xml:space="preserve">growth </w:t>
      </w:r>
      <w:r w:rsidR="0093032A">
        <w:rPr>
          <w:bCs/>
        </w:rPr>
        <w:t xml:space="preserve">of Bermuda </w:t>
      </w:r>
      <w:r w:rsidR="007F4B33">
        <w:rPr>
          <w:bCs/>
        </w:rPr>
        <w:t>as an offshore financial centre. As Kawaley noted, speaking extra judicially</w:t>
      </w:r>
      <w:r w:rsidR="00D22B8B">
        <w:rPr>
          <w:bCs/>
        </w:rPr>
        <w:t xml:space="preserve"> to the National Conference of Bankruptcy Judges</w:t>
      </w:r>
      <w:r w:rsidR="007F4B33">
        <w:rPr>
          <w:bCs/>
        </w:rPr>
        <w:t xml:space="preserve">, </w:t>
      </w:r>
      <w:r w:rsidR="005C300A">
        <w:rPr>
          <w:bCs/>
        </w:rPr>
        <w:t xml:space="preserve">until 1970 </w:t>
      </w:r>
      <w:r w:rsidR="00C1551A">
        <w:rPr>
          <w:bCs/>
        </w:rPr>
        <w:t xml:space="preserve">Bermuda </w:t>
      </w:r>
      <w:r w:rsidR="005C300A">
        <w:rPr>
          <w:bCs/>
        </w:rPr>
        <w:t xml:space="preserve">lacked the ability to incorporate companies without an Act of </w:t>
      </w:r>
      <w:r w:rsidR="00840132">
        <w:rPr>
          <w:bCs/>
        </w:rPr>
        <w:t xml:space="preserve">Parliament, did not </w:t>
      </w:r>
      <w:r w:rsidR="00D22B8B">
        <w:rPr>
          <w:bCs/>
        </w:rPr>
        <w:t>enjoy m</w:t>
      </w:r>
      <w:r w:rsidR="00840132">
        <w:rPr>
          <w:bCs/>
        </w:rPr>
        <w:t xml:space="preserve">uch </w:t>
      </w:r>
      <w:r w:rsidR="005C300A">
        <w:rPr>
          <w:bCs/>
        </w:rPr>
        <w:t>by way of international business</w:t>
      </w:r>
      <w:r w:rsidR="00840132">
        <w:rPr>
          <w:bCs/>
        </w:rPr>
        <w:t>, and did not</w:t>
      </w:r>
      <w:r w:rsidR="00D22B8B">
        <w:rPr>
          <w:bCs/>
        </w:rPr>
        <w:t xml:space="preserve"> even possess</w:t>
      </w:r>
      <w:r w:rsidR="00840132">
        <w:rPr>
          <w:bCs/>
        </w:rPr>
        <w:t xml:space="preserve"> a corporate insolvency statute until 1977.</w:t>
      </w:r>
      <w:r w:rsidR="00840132" w:rsidRPr="00840132">
        <w:rPr>
          <w:bCs/>
        </w:rPr>
        <w:t xml:space="preserve"> </w:t>
      </w:r>
      <w:r w:rsidR="00840132">
        <w:rPr>
          <w:bCs/>
        </w:rPr>
        <w:t xml:space="preserve">In short, there was little to no pressing need to consider and apply English common </w:t>
      </w:r>
      <w:r w:rsidR="00D22B8B">
        <w:rPr>
          <w:bCs/>
        </w:rPr>
        <w:t xml:space="preserve">law </w:t>
      </w:r>
      <w:r w:rsidR="00840132">
        <w:rPr>
          <w:bCs/>
        </w:rPr>
        <w:t>jurisprudence on cross-border cooperation</w:t>
      </w:r>
      <w:r w:rsidR="006E3F9C">
        <w:rPr>
          <w:bCs/>
        </w:rPr>
        <w:t xml:space="preserve"> until the mid-1990s</w:t>
      </w:r>
      <w:r w:rsidR="00840132">
        <w:rPr>
          <w:rStyle w:val="FootnoteReference"/>
          <w:bCs/>
        </w:rPr>
        <w:footnoteReference w:id="18"/>
      </w:r>
      <w:r w:rsidR="00840132">
        <w:rPr>
          <w:bCs/>
        </w:rPr>
        <w:t>.</w:t>
      </w:r>
      <w:r w:rsidR="00136C87">
        <w:rPr>
          <w:bCs/>
        </w:rPr>
        <w:t xml:space="preserve"> </w:t>
      </w:r>
      <w:r w:rsidR="00517ADE">
        <w:rPr>
          <w:bCs/>
        </w:rPr>
        <w:t>The statutory backdrop to this was, and remains</w:t>
      </w:r>
      <w:r w:rsidR="00D22B8B">
        <w:rPr>
          <w:bCs/>
        </w:rPr>
        <w:t>,</w:t>
      </w:r>
      <w:r w:rsidR="00517ADE">
        <w:rPr>
          <w:bCs/>
        </w:rPr>
        <w:t xml:space="preserve"> outdated. Insolvency and schemes of arrangement in Bermuda are governed by Part XIII of the Companies Act 1981 (‘Companies Act’) which was based upon the (repealed) English Companies Act 1948. The Act makes no provision for winding up foreign companies</w:t>
      </w:r>
      <w:r w:rsidR="009C52BA">
        <w:rPr>
          <w:bCs/>
        </w:rPr>
        <w:t xml:space="preserve"> except for certain narrow exceptions</w:t>
      </w:r>
      <w:r w:rsidR="00517ADE">
        <w:rPr>
          <w:bCs/>
        </w:rPr>
        <w:t xml:space="preserve">, does not include </w:t>
      </w:r>
      <w:r w:rsidR="004055AC">
        <w:rPr>
          <w:bCs/>
        </w:rPr>
        <w:t xml:space="preserve">any explicit restructuring powers, and there is no legislation </w:t>
      </w:r>
      <w:r w:rsidR="00E03085">
        <w:rPr>
          <w:bCs/>
        </w:rPr>
        <w:t xml:space="preserve">whatsoever </w:t>
      </w:r>
      <w:r w:rsidR="004055AC">
        <w:rPr>
          <w:bCs/>
        </w:rPr>
        <w:t>dealing with cross-border cooperation. The jurisdiction has not, for instance, enacted the Model Law and has no current plans to do so</w:t>
      </w:r>
      <w:r w:rsidR="00303D6B">
        <w:rPr>
          <w:rStyle w:val="FootnoteReference"/>
          <w:bCs/>
        </w:rPr>
        <w:footnoteReference w:id="19"/>
      </w:r>
      <w:r w:rsidR="004055AC">
        <w:rPr>
          <w:bCs/>
        </w:rPr>
        <w:t>. This has required the Bermuda Supreme Court</w:t>
      </w:r>
      <w:r w:rsidR="006E3F9C">
        <w:rPr>
          <w:bCs/>
        </w:rPr>
        <w:t xml:space="preserve"> </w:t>
      </w:r>
      <w:r w:rsidR="00E9003D">
        <w:rPr>
          <w:bCs/>
        </w:rPr>
        <w:t xml:space="preserve">to fill the gaps through </w:t>
      </w:r>
      <w:r w:rsidR="004055AC">
        <w:rPr>
          <w:bCs/>
        </w:rPr>
        <w:t xml:space="preserve">creative </w:t>
      </w:r>
      <w:r w:rsidR="00E9003D">
        <w:rPr>
          <w:bCs/>
        </w:rPr>
        <w:t>exercise of its inherent powers</w:t>
      </w:r>
      <w:r w:rsidR="00717993">
        <w:rPr>
          <w:bCs/>
        </w:rPr>
        <w:t xml:space="preserve"> on a </w:t>
      </w:r>
      <w:r w:rsidR="00D22B8B">
        <w:rPr>
          <w:bCs/>
        </w:rPr>
        <w:t>‘</w:t>
      </w:r>
      <w:r w:rsidR="00717993">
        <w:rPr>
          <w:bCs/>
        </w:rPr>
        <w:t>case by case basis</w:t>
      </w:r>
      <w:r w:rsidR="00D22B8B">
        <w:rPr>
          <w:bCs/>
        </w:rPr>
        <w:t xml:space="preserve">’. </w:t>
      </w:r>
    </w:p>
    <w:p w14:paraId="11BF0A3B" w14:textId="72E20F70" w:rsidR="006E3F9C" w:rsidRDefault="00826A07" w:rsidP="00C94671">
      <w:pPr>
        <w:tabs>
          <w:tab w:val="left" w:pos="360"/>
        </w:tabs>
        <w:spacing w:after="120" w:line="360" w:lineRule="auto"/>
        <w:ind w:right="-23"/>
        <w:jc w:val="both"/>
        <w:rPr>
          <w:bCs/>
        </w:rPr>
      </w:pPr>
      <w:r>
        <w:rPr>
          <w:bCs/>
        </w:rPr>
        <w:lastRenderedPageBreak/>
        <w:t>A key example of th</w:t>
      </w:r>
      <w:r w:rsidR="00D22B8B">
        <w:rPr>
          <w:bCs/>
        </w:rPr>
        <w:t>is innovative</w:t>
      </w:r>
      <w:r w:rsidR="006E3F9C">
        <w:rPr>
          <w:bCs/>
        </w:rPr>
        <w:t xml:space="preserve"> </w:t>
      </w:r>
      <w:r w:rsidR="00D22B8B">
        <w:rPr>
          <w:bCs/>
        </w:rPr>
        <w:t xml:space="preserve">approach </w:t>
      </w:r>
      <w:r w:rsidR="00303D6B">
        <w:rPr>
          <w:bCs/>
        </w:rPr>
        <w:t xml:space="preserve">is </w:t>
      </w:r>
      <w:r w:rsidR="00303D6B" w:rsidRPr="0087375E">
        <w:rPr>
          <w:bCs/>
          <w:i/>
        </w:rPr>
        <w:t>Re</w:t>
      </w:r>
      <w:r w:rsidRPr="0087375E">
        <w:rPr>
          <w:bCs/>
          <w:i/>
        </w:rPr>
        <w:t xml:space="preserve"> ICO Global </w:t>
      </w:r>
      <w:r w:rsidR="00E21FD0">
        <w:rPr>
          <w:bCs/>
          <w:i/>
        </w:rPr>
        <w:t>S</w:t>
      </w:r>
      <w:r w:rsidRPr="0087375E">
        <w:rPr>
          <w:bCs/>
          <w:i/>
        </w:rPr>
        <w:t>atellite Holdings</w:t>
      </w:r>
      <w:r w:rsidRPr="006E3F9C">
        <w:rPr>
          <w:rStyle w:val="FootnoteReference"/>
          <w:bCs/>
        </w:rPr>
        <w:footnoteReference w:id="20"/>
      </w:r>
      <w:r w:rsidR="006E3F9C">
        <w:rPr>
          <w:bCs/>
          <w:i/>
        </w:rPr>
        <w:t xml:space="preserve">, </w:t>
      </w:r>
      <w:r w:rsidR="006E3F9C">
        <w:rPr>
          <w:bCs/>
        </w:rPr>
        <w:t xml:space="preserve">where </w:t>
      </w:r>
      <w:r w:rsidR="00303D6B">
        <w:rPr>
          <w:bCs/>
        </w:rPr>
        <w:t xml:space="preserve">a Bermuda incorporated company had filed for </w:t>
      </w:r>
      <w:r w:rsidR="009F7450">
        <w:rPr>
          <w:bCs/>
        </w:rPr>
        <w:t xml:space="preserve">US </w:t>
      </w:r>
      <w:r w:rsidR="00303D6B">
        <w:rPr>
          <w:bCs/>
        </w:rPr>
        <w:t>Chapter 11 protection and a plan based on refinancing had been developed.  As Bermuda lacked a</w:t>
      </w:r>
      <w:r w:rsidR="009F7450">
        <w:rPr>
          <w:bCs/>
        </w:rPr>
        <w:t>n express</w:t>
      </w:r>
      <w:r w:rsidR="00303D6B">
        <w:rPr>
          <w:bCs/>
        </w:rPr>
        <w:t xml:space="preserve"> restructuring jurisdiction, </w:t>
      </w:r>
      <w:r>
        <w:rPr>
          <w:bCs/>
        </w:rPr>
        <w:t xml:space="preserve">Austin </w:t>
      </w:r>
      <w:r w:rsidR="00F06595">
        <w:rPr>
          <w:bCs/>
        </w:rPr>
        <w:t>W</w:t>
      </w:r>
      <w:r>
        <w:rPr>
          <w:bCs/>
        </w:rPr>
        <w:t>ard, CJ</w:t>
      </w:r>
      <w:r w:rsidR="00303D6B">
        <w:rPr>
          <w:bCs/>
        </w:rPr>
        <w:t xml:space="preserve">, </w:t>
      </w:r>
      <w:r>
        <w:rPr>
          <w:bCs/>
        </w:rPr>
        <w:t>interpreted a provision in section 17</w:t>
      </w:r>
      <w:r w:rsidR="004C3680">
        <w:rPr>
          <w:bCs/>
        </w:rPr>
        <w:t>0</w:t>
      </w:r>
      <w:r>
        <w:rPr>
          <w:bCs/>
        </w:rPr>
        <w:t xml:space="preserve"> of the Companies Act </w:t>
      </w:r>
      <w:r w:rsidR="009F7450">
        <w:rPr>
          <w:bCs/>
        </w:rPr>
        <w:t xml:space="preserve">that </w:t>
      </w:r>
      <w:r>
        <w:rPr>
          <w:bCs/>
        </w:rPr>
        <w:t xml:space="preserve">allowed the Court to limit a provisional liquidator’s powers on appointment to create a form of </w:t>
      </w:r>
      <w:r w:rsidR="009F7450">
        <w:rPr>
          <w:bCs/>
        </w:rPr>
        <w:t xml:space="preserve">light touch liquidation. This application provided for </w:t>
      </w:r>
      <w:r w:rsidR="00E95DB6">
        <w:rPr>
          <w:bCs/>
          <w:i/>
        </w:rPr>
        <w:t xml:space="preserve">de facto </w:t>
      </w:r>
      <w:r>
        <w:rPr>
          <w:bCs/>
        </w:rPr>
        <w:t xml:space="preserve">debtor in possession restructuring, to run alongside </w:t>
      </w:r>
      <w:r w:rsidR="009F7450">
        <w:rPr>
          <w:bCs/>
        </w:rPr>
        <w:t xml:space="preserve">the </w:t>
      </w:r>
      <w:r w:rsidR="00F06595">
        <w:rPr>
          <w:bCs/>
        </w:rPr>
        <w:t>existing</w:t>
      </w:r>
      <w:r>
        <w:rPr>
          <w:bCs/>
        </w:rPr>
        <w:t xml:space="preserve"> </w:t>
      </w:r>
      <w:r w:rsidR="00F06595">
        <w:rPr>
          <w:bCs/>
        </w:rPr>
        <w:t xml:space="preserve">Chapter 11 </w:t>
      </w:r>
      <w:r>
        <w:rPr>
          <w:bCs/>
        </w:rPr>
        <w:t>proceedings,</w:t>
      </w:r>
      <w:r w:rsidR="00F06595">
        <w:rPr>
          <w:bCs/>
        </w:rPr>
        <w:t xml:space="preserve"> </w:t>
      </w:r>
      <w:r w:rsidR="006E3F9C">
        <w:rPr>
          <w:bCs/>
        </w:rPr>
        <w:t>with a</w:t>
      </w:r>
      <w:r w:rsidR="00F06595">
        <w:rPr>
          <w:bCs/>
        </w:rPr>
        <w:t>n automatic stay of claims against the company</w:t>
      </w:r>
      <w:r w:rsidR="009F7450">
        <w:rPr>
          <w:bCs/>
        </w:rPr>
        <w:t xml:space="preserve">, </w:t>
      </w:r>
      <w:r w:rsidR="00F06595">
        <w:rPr>
          <w:bCs/>
        </w:rPr>
        <w:t>and the provisional liquidator</w:t>
      </w:r>
      <w:r w:rsidR="006E3F9C">
        <w:rPr>
          <w:bCs/>
        </w:rPr>
        <w:t xml:space="preserve"> using </w:t>
      </w:r>
      <w:r w:rsidR="00F06595">
        <w:rPr>
          <w:bCs/>
        </w:rPr>
        <w:t>‘soft powers’</w:t>
      </w:r>
      <w:r w:rsidR="009F7450">
        <w:rPr>
          <w:bCs/>
        </w:rPr>
        <w:t xml:space="preserve"> to oversee the </w:t>
      </w:r>
      <w:r w:rsidR="006E3F9C">
        <w:rPr>
          <w:bCs/>
        </w:rPr>
        <w:t>process</w:t>
      </w:r>
      <w:r>
        <w:rPr>
          <w:bCs/>
        </w:rPr>
        <w:t xml:space="preserve">. </w:t>
      </w:r>
      <w:r w:rsidR="000B3059">
        <w:rPr>
          <w:bCs/>
        </w:rPr>
        <w:t xml:space="preserve">The </w:t>
      </w:r>
      <w:r w:rsidR="006E3F9C">
        <w:rPr>
          <w:bCs/>
        </w:rPr>
        <w:t xml:space="preserve">Chapter 11 proceedings were </w:t>
      </w:r>
      <w:r w:rsidR="000B3059">
        <w:rPr>
          <w:bCs/>
        </w:rPr>
        <w:t xml:space="preserve">in </w:t>
      </w:r>
      <w:r w:rsidR="00F06595">
        <w:rPr>
          <w:bCs/>
        </w:rPr>
        <w:t xml:space="preserve">effect </w:t>
      </w:r>
      <w:r w:rsidR="006E3F9C">
        <w:rPr>
          <w:bCs/>
        </w:rPr>
        <w:t>treated a</w:t>
      </w:r>
      <w:r w:rsidR="00F06595">
        <w:rPr>
          <w:bCs/>
        </w:rPr>
        <w:t xml:space="preserve">s </w:t>
      </w:r>
      <w:r w:rsidR="00C1551A">
        <w:rPr>
          <w:bCs/>
        </w:rPr>
        <w:t xml:space="preserve">the </w:t>
      </w:r>
      <w:r w:rsidR="00F06595">
        <w:rPr>
          <w:bCs/>
        </w:rPr>
        <w:t>‘foreign main proceeding’</w:t>
      </w:r>
      <w:r w:rsidR="000B3059">
        <w:rPr>
          <w:bCs/>
        </w:rPr>
        <w:t>, with the Bermuda proceedings acting in an ancillary role</w:t>
      </w:r>
      <w:r w:rsidR="00F06595">
        <w:rPr>
          <w:bCs/>
        </w:rPr>
        <w:t xml:space="preserve">.  </w:t>
      </w:r>
      <w:r w:rsidR="00AF6410">
        <w:rPr>
          <w:bCs/>
        </w:rPr>
        <w:t xml:space="preserve">The </w:t>
      </w:r>
      <w:r w:rsidR="00F06595">
        <w:rPr>
          <w:bCs/>
        </w:rPr>
        <w:t xml:space="preserve">Chief Justice </w:t>
      </w:r>
      <w:r w:rsidR="00AF6410">
        <w:rPr>
          <w:bCs/>
        </w:rPr>
        <w:t xml:space="preserve">described this </w:t>
      </w:r>
      <w:r w:rsidR="00F06595">
        <w:rPr>
          <w:bCs/>
        </w:rPr>
        <w:t>as</w:t>
      </w:r>
      <w:r w:rsidR="000B3059">
        <w:rPr>
          <w:bCs/>
        </w:rPr>
        <w:t xml:space="preserve"> </w:t>
      </w:r>
      <w:r w:rsidR="00E7626D">
        <w:rPr>
          <w:bCs/>
        </w:rPr>
        <w:t>“</w:t>
      </w:r>
      <w:r w:rsidR="00F06595">
        <w:rPr>
          <w:bCs/>
          <w:i/>
        </w:rPr>
        <w:t xml:space="preserve">not a question of surrendering jurisdiction as much as </w:t>
      </w:r>
      <w:r w:rsidR="00E766D5">
        <w:rPr>
          <w:bCs/>
          <w:i/>
        </w:rPr>
        <w:t>harmonisation</w:t>
      </w:r>
      <w:r w:rsidR="00F06595">
        <w:rPr>
          <w:bCs/>
          <w:i/>
        </w:rPr>
        <w:t xml:space="preserve"> of effort”</w:t>
      </w:r>
      <w:r w:rsidR="00F06595" w:rsidRPr="0087375E">
        <w:rPr>
          <w:rStyle w:val="FootnoteReference"/>
          <w:bCs/>
        </w:rPr>
        <w:footnoteReference w:id="21"/>
      </w:r>
      <w:r w:rsidR="00F06595" w:rsidRPr="00C1551A">
        <w:rPr>
          <w:bCs/>
        </w:rPr>
        <w:t>.</w:t>
      </w:r>
      <w:r w:rsidR="00F06595">
        <w:rPr>
          <w:bCs/>
          <w:i/>
        </w:rPr>
        <w:t xml:space="preserve"> </w:t>
      </w:r>
      <w:r w:rsidR="00ED2BFE">
        <w:rPr>
          <w:bCs/>
        </w:rPr>
        <w:t>This approach</w:t>
      </w:r>
      <w:r w:rsidR="00402F43">
        <w:rPr>
          <w:bCs/>
        </w:rPr>
        <w:t xml:space="preserve"> </w:t>
      </w:r>
      <w:r w:rsidR="00ED29D6">
        <w:rPr>
          <w:bCs/>
        </w:rPr>
        <w:t xml:space="preserve">has been followed in numerous </w:t>
      </w:r>
      <w:r w:rsidR="00E21FD0">
        <w:rPr>
          <w:bCs/>
        </w:rPr>
        <w:t xml:space="preserve">first instance </w:t>
      </w:r>
      <w:r w:rsidR="00ED29D6">
        <w:rPr>
          <w:bCs/>
        </w:rPr>
        <w:t>cases over the subsequent twenty years</w:t>
      </w:r>
      <w:r w:rsidR="006E3F9C">
        <w:rPr>
          <w:bCs/>
        </w:rPr>
        <w:t xml:space="preserve">, </w:t>
      </w:r>
      <w:r w:rsidR="00FE6EF5">
        <w:rPr>
          <w:bCs/>
        </w:rPr>
        <w:t xml:space="preserve">despite the concept of COMI not formally existing in Bermuda law. </w:t>
      </w:r>
    </w:p>
    <w:p w14:paraId="12E88371" w14:textId="77777777" w:rsidR="006E3F9C" w:rsidRDefault="00E21FD0" w:rsidP="00C94671">
      <w:pPr>
        <w:tabs>
          <w:tab w:val="left" w:pos="360"/>
        </w:tabs>
        <w:spacing w:after="120" w:line="360" w:lineRule="auto"/>
        <w:ind w:right="-23"/>
        <w:jc w:val="both"/>
        <w:rPr>
          <w:bCs/>
          <w:i/>
          <w:lang w:val="en-US"/>
        </w:rPr>
      </w:pPr>
      <w:r>
        <w:rPr>
          <w:bCs/>
        </w:rPr>
        <w:t>The other important aspect of cross-border cooperation in Bermuda is assistance to a foreign office holder</w:t>
      </w:r>
      <w:r w:rsidR="00161C41">
        <w:rPr>
          <w:bCs/>
        </w:rPr>
        <w:t xml:space="preserve">. Recognition is </w:t>
      </w:r>
      <w:r w:rsidR="00161C41">
        <w:t>on the basis that Bermuda’s conflict of laws rules will be in most cases no different than the English conflict rules and accordingly the Bermuda Courts will recognise an office holder appointed under insolvency proceedings in the company’s place of incorporation</w:t>
      </w:r>
      <w:r w:rsidR="00161C41">
        <w:rPr>
          <w:rStyle w:val="FootnoteReference"/>
          <w:bCs/>
        </w:rPr>
        <w:footnoteReference w:id="22"/>
      </w:r>
      <w:r w:rsidR="00161C41">
        <w:t>.</w:t>
      </w:r>
      <w:r w:rsidR="009806B9">
        <w:t xml:space="preserve"> However, it is the </w:t>
      </w:r>
      <w:r w:rsidR="00BE506E">
        <w:rPr>
          <w:bCs/>
        </w:rPr>
        <w:t xml:space="preserve">nature and </w:t>
      </w:r>
      <w:r w:rsidR="00E26DC9">
        <w:rPr>
          <w:bCs/>
        </w:rPr>
        <w:t>scope of th</w:t>
      </w:r>
      <w:r w:rsidR="009806B9">
        <w:rPr>
          <w:bCs/>
        </w:rPr>
        <w:t>e</w:t>
      </w:r>
      <w:r w:rsidR="00E26DC9">
        <w:rPr>
          <w:bCs/>
        </w:rPr>
        <w:t xml:space="preserve"> </w:t>
      </w:r>
      <w:r w:rsidR="009806B9">
        <w:rPr>
          <w:bCs/>
        </w:rPr>
        <w:t xml:space="preserve">common law </w:t>
      </w:r>
      <w:r w:rsidR="00E26DC9">
        <w:rPr>
          <w:bCs/>
        </w:rPr>
        <w:t>power</w:t>
      </w:r>
      <w:r w:rsidR="009806B9">
        <w:rPr>
          <w:bCs/>
        </w:rPr>
        <w:t xml:space="preserve"> to assist that has proven to be controversial beyond providing private law relief. The extent of the common law power to assist a liquidator appointed in a foreign debtor’s place of incorporation will be further explored in Part II of this paper. </w:t>
      </w:r>
      <w:r w:rsidR="009806B9">
        <w:rPr>
          <w:bCs/>
          <w:i/>
          <w:lang w:val="en-US"/>
        </w:rPr>
        <w:t xml:space="preserve"> </w:t>
      </w:r>
    </w:p>
    <w:p w14:paraId="4CD41A9D" w14:textId="3A37EAB3" w:rsidR="006713D0" w:rsidRPr="00752D4C" w:rsidRDefault="006713D0" w:rsidP="0087375E">
      <w:pPr>
        <w:pStyle w:val="ListParagraph"/>
        <w:numPr>
          <w:ilvl w:val="0"/>
          <w:numId w:val="17"/>
        </w:numPr>
        <w:spacing w:before="240" w:after="240"/>
        <w:ind w:left="283" w:hanging="357"/>
        <w:contextualSpacing w:val="0"/>
        <w:rPr>
          <w:b/>
        </w:rPr>
      </w:pPr>
      <w:r>
        <w:rPr>
          <w:b/>
        </w:rPr>
        <w:t xml:space="preserve">Part II: </w:t>
      </w:r>
      <w:r w:rsidRPr="00752D4C">
        <w:rPr>
          <w:b/>
        </w:rPr>
        <w:t>From</w:t>
      </w:r>
      <w:r>
        <w:rPr>
          <w:b/>
          <w:i/>
        </w:rPr>
        <w:t xml:space="preserve"> </w:t>
      </w:r>
      <w:r w:rsidRPr="00752D4C">
        <w:rPr>
          <w:b/>
          <w:i/>
        </w:rPr>
        <w:t>Cambridge Gas</w:t>
      </w:r>
      <w:r>
        <w:t xml:space="preserve"> </w:t>
      </w:r>
      <w:r w:rsidRPr="00752D4C">
        <w:rPr>
          <w:b/>
        </w:rPr>
        <w:t xml:space="preserve">to </w:t>
      </w:r>
      <w:r w:rsidRPr="00752D4C">
        <w:rPr>
          <w:b/>
          <w:i/>
        </w:rPr>
        <w:t>Singularis</w:t>
      </w:r>
      <w:r>
        <w:rPr>
          <w:i/>
        </w:rPr>
        <w:t xml:space="preserve"> </w:t>
      </w:r>
    </w:p>
    <w:p w14:paraId="2F0BF9C7" w14:textId="009C8DD7" w:rsidR="006713D0" w:rsidRPr="0087375E" w:rsidRDefault="006713D0" w:rsidP="00FC0EEB">
      <w:pPr>
        <w:pStyle w:val="ListParagraph"/>
        <w:numPr>
          <w:ilvl w:val="1"/>
          <w:numId w:val="17"/>
        </w:numPr>
        <w:spacing w:before="240" w:after="240"/>
        <w:contextualSpacing w:val="0"/>
        <w:rPr>
          <w:b/>
        </w:rPr>
      </w:pPr>
      <w:r w:rsidRPr="002F07D2">
        <w:rPr>
          <w:b/>
          <w:i/>
        </w:rPr>
        <w:t>Cambridge Gas</w:t>
      </w:r>
    </w:p>
    <w:p w14:paraId="2B24482D" w14:textId="4C53251D" w:rsidR="00405AE6" w:rsidRDefault="00C1551A" w:rsidP="006E4137">
      <w:pPr>
        <w:spacing w:before="120" w:after="120" w:line="360" w:lineRule="auto"/>
        <w:jc w:val="both"/>
      </w:pPr>
      <w:r>
        <w:t xml:space="preserve">It is generally </w:t>
      </w:r>
      <w:r w:rsidR="006E3F9C">
        <w:t xml:space="preserve">thought </w:t>
      </w:r>
      <w:r>
        <w:t xml:space="preserve">that </w:t>
      </w:r>
      <w:r w:rsidR="00FC0EEB">
        <w:rPr>
          <w:i/>
        </w:rPr>
        <w:t>Cambridge Gas</w:t>
      </w:r>
      <w:r w:rsidR="00222FEE">
        <w:rPr>
          <w:rStyle w:val="FootnoteReference"/>
          <w:i/>
        </w:rPr>
        <w:footnoteReference w:id="23"/>
      </w:r>
      <w:r w:rsidR="00222FEE">
        <w:rPr>
          <w:i/>
        </w:rPr>
        <w:t xml:space="preserve"> </w:t>
      </w:r>
      <w:r w:rsidR="00421FE9" w:rsidRPr="0087375E">
        <w:t xml:space="preserve">reinvigorated </w:t>
      </w:r>
      <w:r w:rsidR="00421FE9">
        <w:t xml:space="preserve">the principle of universalism in the common law. The case concerned an insolvent </w:t>
      </w:r>
      <w:r w:rsidR="00613FE9">
        <w:t>I</w:t>
      </w:r>
      <w:r w:rsidR="00421FE9">
        <w:t xml:space="preserve">sle of </w:t>
      </w:r>
      <w:r w:rsidR="00222FEE">
        <w:t>M</w:t>
      </w:r>
      <w:r w:rsidR="00421FE9">
        <w:t>an company</w:t>
      </w:r>
      <w:r w:rsidR="00222FEE">
        <w:t>, Navigator Holdings plc,</w:t>
      </w:r>
      <w:r w:rsidR="00421FE9">
        <w:t xml:space="preserve"> which was in Chapter 11. A request was made by the </w:t>
      </w:r>
      <w:r w:rsidR="00EC0CB4">
        <w:t>New York B</w:t>
      </w:r>
      <w:r w:rsidR="00421FE9">
        <w:t xml:space="preserve">ankruptcy Court </w:t>
      </w:r>
      <w:r w:rsidR="00222FEE">
        <w:t xml:space="preserve">to the Isle of Man Court to give assistance to the US proceedings by giving effect at common law to </w:t>
      </w:r>
      <w:r w:rsidR="00EC0CB4">
        <w:t xml:space="preserve">its </w:t>
      </w:r>
      <w:r w:rsidR="00222FEE">
        <w:t xml:space="preserve">reorganisation plan. This plan required the transfer of shares in </w:t>
      </w:r>
      <w:r w:rsidR="00312052">
        <w:t xml:space="preserve">Navigator </w:t>
      </w:r>
      <w:r w:rsidR="00EC0CB4">
        <w:t xml:space="preserve">(which were now of no value) </w:t>
      </w:r>
      <w:r w:rsidR="00312052">
        <w:t xml:space="preserve">held by </w:t>
      </w:r>
      <w:r w:rsidR="00222FEE">
        <w:t>a Cayman company, Cambridge Gas</w:t>
      </w:r>
      <w:r w:rsidR="00EC0CB4">
        <w:t xml:space="preserve"> Transport Corporation (‘CGTC’)</w:t>
      </w:r>
      <w:r w:rsidR="00222FEE">
        <w:t xml:space="preserve">. </w:t>
      </w:r>
      <w:r w:rsidR="00EC0CB4">
        <w:t xml:space="preserve">CGTC opposed this application on the grounds that it had never submitted to the jurisdiction of the US Court and therefore, on the basis of established principles of private international law, the US order could not be enforced against it in the Isle of Man. </w:t>
      </w:r>
      <w:r w:rsidR="00222FEE">
        <w:t xml:space="preserve">The </w:t>
      </w:r>
      <w:r w:rsidR="00595E06">
        <w:t>P</w:t>
      </w:r>
      <w:r w:rsidR="00222FEE">
        <w:t>rivy Council</w:t>
      </w:r>
      <w:r w:rsidR="00EC0CB4">
        <w:t>, sitting as</w:t>
      </w:r>
      <w:r w:rsidR="008C48A4">
        <w:t xml:space="preserve"> the </w:t>
      </w:r>
      <w:r w:rsidR="008C48A4">
        <w:lastRenderedPageBreak/>
        <w:t xml:space="preserve">Isle of Man’s </w:t>
      </w:r>
      <w:r w:rsidR="00EC0CB4">
        <w:t xml:space="preserve">final court of appeal, </w:t>
      </w:r>
      <w:r w:rsidR="00063B32">
        <w:t xml:space="preserve">held that if the bankruptcy proceedings fell into the category of </w:t>
      </w:r>
      <w:r w:rsidR="00063B32">
        <w:rPr>
          <w:i/>
        </w:rPr>
        <w:t xml:space="preserve">in rem </w:t>
      </w:r>
      <w:r w:rsidR="00063B32">
        <w:t xml:space="preserve">or </w:t>
      </w:r>
      <w:r w:rsidR="00063B32">
        <w:rPr>
          <w:i/>
        </w:rPr>
        <w:t xml:space="preserve">in personam </w:t>
      </w:r>
      <w:r w:rsidR="00063B32" w:rsidRPr="0087375E">
        <w:t>judgments</w:t>
      </w:r>
      <w:r w:rsidR="00063B32">
        <w:rPr>
          <w:i/>
        </w:rPr>
        <w:t xml:space="preserve">, </w:t>
      </w:r>
      <w:r w:rsidR="00063B32">
        <w:t xml:space="preserve">CGTC would be right. However, as this was a collective insolvency procedure, </w:t>
      </w:r>
      <w:r w:rsidR="00222FEE">
        <w:t xml:space="preserve">the principle of universality, together with the principle of </w:t>
      </w:r>
      <w:r w:rsidR="00595E06">
        <w:t>assistance</w:t>
      </w:r>
      <w:r w:rsidR="00222FEE">
        <w:t xml:space="preserve">, </w:t>
      </w:r>
      <w:r w:rsidR="00595E06">
        <w:t xml:space="preserve">conferred on the </w:t>
      </w:r>
      <w:r w:rsidR="00EC0CB4">
        <w:t xml:space="preserve">Manx </w:t>
      </w:r>
      <w:r w:rsidR="00595E06">
        <w:t xml:space="preserve">Court </w:t>
      </w:r>
      <w:r w:rsidR="00EC0CB4">
        <w:t xml:space="preserve">a </w:t>
      </w:r>
      <w:r w:rsidR="00595E06">
        <w:t>jurisdiction at common law to give effect to the plan</w:t>
      </w:r>
      <w:r w:rsidR="00063B32">
        <w:t xml:space="preserve"> by doing whatever it could have done in a domestic insolvency</w:t>
      </w:r>
      <w:r w:rsidR="00595E06">
        <w:rPr>
          <w:rStyle w:val="FootnoteReference"/>
        </w:rPr>
        <w:footnoteReference w:id="24"/>
      </w:r>
      <w:r w:rsidR="00595E06">
        <w:t xml:space="preserve">. </w:t>
      </w:r>
      <w:r w:rsidR="00405AE6">
        <w:t xml:space="preserve"> </w:t>
      </w:r>
      <w:r w:rsidR="00063B32">
        <w:t xml:space="preserve">As the US plan could have been sanctioned by a Manx scheme of arrangement, the court had the power to give effect to the plan ‘as if’ this step had taken place. </w:t>
      </w:r>
      <w:r w:rsidR="00312052">
        <w:t>Lord Hoffman, in giving the judgment of the Court, cited with approval the</w:t>
      </w:r>
      <w:r w:rsidR="00246283">
        <w:t xml:space="preserve"> methodology </w:t>
      </w:r>
      <w:r w:rsidR="00312052">
        <w:t xml:space="preserve">of ‘active assistance’ </w:t>
      </w:r>
      <w:r w:rsidR="00063B32">
        <w:t xml:space="preserve">established </w:t>
      </w:r>
      <w:r w:rsidR="00312052">
        <w:t xml:space="preserve">in </w:t>
      </w:r>
      <w:r w:rsidR="00771A57">
        <w:rPr>
          <w:i/>
        </w:rPr>
        <w:t>Re African Farms</w:t>
      </w:r>
      <w:r w:rsidR="00771A57" w:rsidRPr="0087375E">
        <w:rPr>
          <w:rStyle w:val="FootnoteReference"/>
        </w:rPr>
        <w:footnoteReference w:id="25"/>
      </w:r>
      <w:r w:rsidR="00312052" w:rsidRPr="0087375E">
        <w:t>.</w:t>
      </w:r>
      <w:r w:rsidR="00771A57" w:rsidRPr="00356456">
        <w:t xml:space="preserve"> </w:t>
      </w:r>
      <w:r w:rsidR="00405AE6">
        <w:t xml:space="preserve">While the Privy Council </w:t>
      </w:r>
      <w:r w:rsidR="00246283">
        <w:t xml:space="preserve">doubted </w:t>
      </w:r>
      <w:r w:rsidR="00405AE6">
        <w:t>that this was likely to mean that foreign insolvency provisions could be applied, the domestic court must at least be able to provide assistance:</w:t>
      </w:r>
    </w:p>
    <w:p w14:paraId="7EA7298F" w14:textId="74C8ABCC" w:rsidR="00405AE6" w:rsidRDefault="00405AE6" w:rsidP="00063B32">
      <w:pPr>
        <w:spacing w:before="120" w:after="240"/>
        <w:ind w:left="567" w:right="567"/>
        <w:jc w:val="both"/>
      </w:pPr>
      <w:r>
        <w:rPr>
          <w:i/>
        </w:rPr>
        <w:t>“…. by doing whatever it could have done in the case of a domestic insolvency. The purpose of recognition is to tenable the foreign office holder or the creditors to avoid having to start parallel insolvency proceedings and to give them the remedies to which they would have been entitled if the equivalent proceedings had taken place in the domestic forum”</w:t>
      </w:r>
      <w:r>
        <w:rPr>
          <w:rStyle w:val="FootnoteReference"/>
          <w:i/>
        </w:rPr>
        <w:footnoteReference w:id="26"/>
      </w:r>
      <w:r>
        <w:t>.</w:t>
      </w:r>
    </w:p>
    <w:p w14:paraId="386196FD" w14:textId="2C7AA615" w:rsidR="00BE506E" w:rsidRPr="0087375E" w:rsidRDefault="006713D0" w:rsidP="0087375E">
      <w:pPr>
        <w:pStyle w:val="ListParagraph"/>
        <w:numPr>
          <w:ilvl w:val="1"/>
          <w:numId w:val="17"/>
        </w:numPr>
        <w:spacing w:before="240" w:after="240"/>
        <w:ind w:left="1060" w:hanging="703"/>
        <w:contextualSpacing w:val="0"/>
        <w:rPr>
          <w:b/>
        </w:rPr>
      </w:pPr>
      <w:r w:rsidRPr="00356456">
        <w:rPr>
          <w:b/>
        </w:rPr>
        <w:t xml:space="preserve">Subsequent case law </w:t>
      </w:r>
    </w:p>
    <w:p w14:paraId="234A6AD6" w14:textId="1DCEA27D" w:rsidR="00356456" w:rsidRDefault="00946B15" w:rsidP="008C48A4">
      <w:pPr>
        <w:spacing w:before="120" w:after="120" w:line="360" w:lineRule="auto"/>
        <w:jc w:val="both"/>
        <w:rPr>
          <w:bCs/>
        </w:rPr>
      </w:pPr>
      <w:r>
        <w:rPr>
          <w:i/>
        </w:rPr>
        <w:t xml:space="preserve">Cambridge Gas </w:t>
      </w:r>
      <w:r w:rsidR="00543466">
        <w:t xml:space="preserve">was followed by </w:t>
      </w:r>
      <w:r w:rsidR="00543466">
        <w:rPr>
          <w:i/>
        </w:rPr>
        <w:t>HIH</w:t>
      </w:r>
      <w:r w:rsidR="00543466" w:rsidRPr="0087375E">
        <w:rPr>
          <w:rStyle w:val="FootnoteReference"/>
        </w:rPr>
        <w:footnoteReference w:id="27"/>
      </w:r>
      <w:r w:rsidR="00150C29">
        <w:t xml:space="preserve">, and </w:t>
      </w:r>
      <w:r w:rsidR="008C48A4">
        <w:t xml:space="preserve">quickly picked up in other common law jurisdictions either as binding precedent (as in Bermuda where the Privy Council is the apex appeal court) or simply as persuasive authority, including Australia, Cayman, New Zealand, Jersey, Ireland, as well as in the UK.  In Bermuda, </w:t>
      </w:r>
      <w:r w:rsidR="00AB5521">
        <w:t xml:space="preserve">the </w:t>
      </w:r>
      <w:r w:rsidR="008C48A4">
        <w:t>principle of active assistance was endorsed</w:t>
      </w:r>
      <w:r w:rsidR="00E33B52">
        <w:t xml:space="preserve"> somewhat cautiously</w:t>
      </w:r>
      <w:r w:rsidR="008C48A4">
        <w:t xml:space="preserve"> in </w:t>
      </w:r>
      <w:r w:rsidR="00E33B52">
        <w:rPr>
          <w:i/>
        </w:rPr>
        <w:t xml:space="preserve">Re </w:t>
      </w:r>
      <w:r w:rsidR="00FF5989">
        <w:rPr>
          <w:i/>
        </w:rPr>
        <w:t>Founding</w:t>
      </w:r>
      <w:r w:rsidR="00E33B52">
        <w:rPr>
          <w:i/>
        </w:rPr>
        <w:t xml:space="preserve"> Partners Global Trust Ltd</w:t>
      </w:r>
      <w:r w:rsidR="00E33B52">
        <w:rPr>
          <w:rStyle w:val="FootnoteReference"/>
          <w:i/>
        </w:rPr>
        <w:footnoteReference w:id="28"/>
      </w:r>
      <w:r w:rsidR="00FF5989">
        <w:t xml:space="preserve">, where a letter of request from Cayman </w:t>
      </w:r>
      <w:r w:rsidR="00AB5521">
        <w:t xml:space="preserve">sought </w:t>
      </w:r>
      <w:r w:rsidR="00FF5989">
        <w:t xml:space="preserve">recognition of Caymanian liquidators and for them to be granted the same powers as if they had been appointed in Bermuda. </w:t>
      </w:r>
      <w:r w:rsidR="00533943">
        <w:t>Rel</w:t>
      </w:r>
      <w:r w:rsidR="00AB5521">
        <w:t xml:space="preserve">ief was granted on the basis that the Court had a common law power to apply the statutory remedies available to domestically appointed liquidators ‘as if’ they applied to the foreign liquidator. </w:t>
      </w:r>
    </w:p>
    <w:p w14:paraId="0DB92348" w14:textId="1B3C5A1F" w:rsidR="00B17D0F" w:rsidRPr="00356456" w:rsidRDefault="008429EE" w:rsidP="0087375E">
      <w:pPr>
        <w:spacing w:before="120" w:after="120" w:line="360" w:lineRule="auto"/>
        <w:ind w:right="-2"/>
        <w:jc w:val="both"/>
      </w:pPr>
      <w:r>
        <w:t>These developments were not without resistance</w:t>
      </w:r>
      <w:r w:rsidR="00B17D0F">
        <w:t xml:space="preserve">. In </w:t>
      </w:r>
      <w:r>
        <w:rPr>
          <w:i/>
        </w:rPr>
        <w:t>Rubin v Eurofinance SA &amp; Ors</w:t>
      </w:r>
      <w:r w:rsidRPr="0087375E">
        <w:rPr>
          <w:rStyle w:val="FootnoteReference"/>
        </w:rPr>
        <w:footnoteReference w:id="29"/>
      </w:r>
      <w:r w:rsidR="007954C1" w:rsidRPr="00C94671">
        <w:t>,</w:t>
      </w:r>
      <w:r w:rsidR="007954C1">
        <w:t xml:space="preserve"> the </w:t>
      </w:r>
      <w:r w:rsidR="00B17D0F">
        <w:t xml:space="preserve">English Supreme Court considered </w:t>
      </w:r>
      <w:r w:rsidR="00B17D0F">
        <w:rPr>
          <w:i/>
        </w:rPr>
        <w:t>Cambridge Gas</w:t>
      </w:r>
      <w:r w:rsidR="00B17D0F">
        <w:t xml:space="preserve"> in detail, and held that </w:t>
      </w:r>
      <w:r w:rsidR="007954C1">
        <w:t>a change in the law relating to foreign judgments</w:t>
      </w:r>
      <w:r w:rsidR="00B17D0F">
        <w:t>, which was more expansive and more favourable to liquidators and other office holders than the traditional common law rules should be left to legislation. Lord Collins, giving the majority judgment</w:t>
      </w:r>
      <w:r w:rsidR="00E33B52">
        <w:t xml:space="preserve"> (Lords Collins, Walker and Sumption)</w:t>
      </w:r>
      <w:r w:rsidR="00B17D0F">
        <w:t xml:space="preserve">, said that for the </w:t>
      </w:r>
      <w:r w:rsidR="00B17D0F">
        <w:lastRenderedPageBreak/>
        <w:t>law to develop in this way would not be an incremental development but a radical departure from settled law</w:t>
      </w:r>
      <w:r w:rsidR="00600CBC">
        <w:rPr>
          <w:rStyle w:val="FootnoteReference"/>
        </w:rPr>
        <w:footnoteReference w:id="30"/>
      </w:r>
      <w:r w:rsidR="00B17D0F">
        <w:t xml:space="preserve">. It followed, he said, that </w:t>
      </w:r>
      <w:r w:rsidR="00B17D0F">
        <w:rPr>
          <w:i/>
        </w:rPr>
        <w:t>Cambridge Gas</w:t>
      </w:r>
      <w:r w:rsidR="00B17D0F">
        <w:t xml:space="preserve"> had been wrongly decided</w:t>
      </w:r>
      <w:r w:rsidR="00600CBC">
        <w:rPr>
          <w:rStyle w:val="FootnoteReference"/>
        </w:rPr>
        <w:footnoteReference w:id="31"/>
      </w:r>
      <w:r w:rsidR="00B17D0F">
        <w:t xml:space="preserve">. </w:t>
      </w:r>
    </w:p>
    <w:p w14:paraId="5D3C15D3" w14:textId="77777777" w:rsidR="006713D0" w:rsidRPr="002F07D2" w:rsidRDefault="006713D0" w:rsidP="006713D0">
      <w:pPr>
        <w:pStyle w:val="ListParagraph"/>
        <w:numPr>
          <w:ilvl w:val="1"/>
          <w:numId w:val="17"/>
        </w:numPr>
        <w:rPr>
          <w:b/>
        </w:rPr>
      </w:pPr>
      <w:r>
        <w:rPr>
          <w:b/>
          <w:i/>
        </w:rPr>
        <w:t>Singularis</w:t>
      </w:r>
    </w:p>
    <w:p w14:paraId="7BB370C9" w14:textId="2DFAC9AE" w:rsidR="00FF6641" w:rsidRDefault="00FF6641" w:rsidP="00F34284">
      <w:pPr>
        <w:pStyle w:val="ListParagraph"/>
        <w:tabs>
          <w:tab w:val="left" w:pos="1134"/>
        </w:tabs>
        <w:ind w:left="0"/>
        <w:jc w:val="both"/>
      </w:pPr>
    </w:p>
    <w:p w14:paraId="0122A988" w14:textId="77777777" w:rsidR="00352B1E" w:rsidRDefault="00CA33DE" w:rsidP="0087375E">
      <w:pPr>
        <w:tabs>
          <w:tab w:val="left" w:pos="1134"/>
        </w:tabs>
        <w:spacing w:before="120" w:after="120" w:line="360" w:lineRule="auto"/>
        <w:jc w:val="both"/>
      </w:pPr>
      <w:r>
        <w:t xml:space="preserve">In </w:t>
      </w:r>
      <w:r>
        <w:rPr>
          <w:i/>
        </w:rPr>
        <w:t>Singu</w:t>
      </w:r>
      <w:r w:rsidR="0065442E">
        <w:rPr>
          <w:i/>
        </w:rPr>
        <w:t>laris</w:t>
      </w:r>
      <w:r w:rsidR="003F5AFB">
        <w:rPr>
          <w:rStyle w:val="FootnoteReference"/>
          <w:i/>
        </w:rPr>
        <w:footnoteReference w:id="32"/>
      </w:r>
      <w:r w:rsidR="007954C1">
        <w:t xml:space="preserve">, </w:t>
      </w:r>
      <w:r>
        <w:t>the tide turned on this expansion of the common law</w:t>
      </w:r>
      <w:r w:rsidR="00DC0C2F">
        <w:t xml:space="preserve">. </w:t>
      </w:r>
      <w:r w:rsidR="00192C0E">
        <w:t xml:space="preserve">The facts were that </w:t>
      </w:r>
      <w:r w:rsidR="00DC0C2F">
        <w:t>the Grand Court of Cayman appointed a liquidator to wind up a Cayman company</w:t>
      </w:r>
      <w:r w:rsidR="00192C0E">
        <w:t>, Singu</w:t>
      </w:r>
      <w:r w:rsidR="0065442E">
        <w:t>laris</w:t>
      </w:r>
      <w:r w:rsidR="00DC0C2F">
        <w:t>. That liquidator applied to the Bermuda Court to order PwC, as the former auditors of the company, to provide information and documents. This was a statutory power, under section 195 of the Companies Act, available in domestic liquidations. Chief Justice</w:t>
      </w:r>
      <w:r w:rsidR="0065442E">
        <w:t xml:space="preserve"> Kawaley</w:t>
      </w:r>
      <w:r w:rsidR="00DC0C2F">
        <w:t xml:space="preserve">, applying Lord Hoffman’s dicta from </w:t>
      </w:r>
      <w:r w:rsidR="00DC0C2F" w:rsidRPr="0087375E">
        <w:rPr>
          <w:i/>
        </w:rPr>
        <w:t xml:space="preserve">Cambridge </w:t>
      </w:r>
      <w:r w:rsidR="004274CB">
        <w:rPr>
          <w:i/>
        </w:rPr>
        <w:t>G</w:t>
      </w:r>
      <w:r w:rsidR="004274CB" w:rsidRPr="00356456">
        <w:rPr>
          <w:i/>
        </w:rPr>
        <w:t>as</w:t>
      </w:r>
      <w:r w:rsidR="0065442E">
        <w:t xml:space="preserve"> and rejecting </w:t>
      </w:r>
      <w:r w:rsidR="0065442E">
        <w:rPr>
          <w:i/>
        </w:rPr>
        <w:t xml:space="preserve">Rubin </w:t>
      </w:r>
      <w:r w:rsidR="0065442E">
        <w:t xml:space="preserve">(which was not binding), held </w:t>
      </w:r>
      <w:r w:rsidR="00DC0C2F">
        <w:t>that the Court could recognise the appointment, and could assist the liquidator by applying section 195 ‘as if’ it applied to the foreign proceedings</w:t>
      </w:r>
      <w:r w:rsidR="00DC0C2F">
        <w:rPr>
          <w:rStyle w:val="FootnoteReference"/>
        </w:rPr>
        <w:footnoteReference w:id="33"/>
      </w:r>
      <w:r w:rsidR="00DC0C2F">
        <w:t xml:space="preserve">. </w:t>
      </w:r>
    </w:p>
    <w:p w14:paraId="1B8A2DB7" w14:textId="1A833068" w:rsidR="00CA33DE" w:rsidRPr="0087375E" w:rsidRDefault="009D54E8" w:rsidP="0087375E">
      <w:pPr>
        <w:tabs>
          <w:tab w:val="left" w:pos="1134"/>
        </w:tabs>
        <w:spacing w:before="120" w:after="120" w:line="360" w:lineRule="auto"/>
        <w:jc w:val="both"/>
      </w:pPr>
      <w:r>
        <w:t>O</w:t>
      </w:r>
      <w:r w:rsidR="00352B1E">
        <w:t>n</w:t>
      </w:r>
      <w:r>
        <w:t xml:space="preserve"> appeal, this </w:t>
      </w:r>
      <w:r w:rsidR="00DC0C2F">
        <w:t>approach was rejected by the Court of Appeal</w:t>
      </w:r>
      <w:r w:rsidR="00DC0C2F">
        <w:rPr>
          <w:rStyle w:val="FootnoteReference"/>
        </w:rPr>
        <w:footnoteReference w:id="34"/>
      </w:r>
      <w:r w:rsidR="00DC0C2F">
        <w:t xml:space="preserve">.  Auld, JA, commenting that </w:t>
      </w:r>
      <w:r w:rsidR="00EA5D53">
        <w:t xml:space="preserve">the notion of legislation by analogy was </w:t>
      </w:r>
      <w:r>
        <w:t xml:space="preserve">close </w:t>
      </w:r>
      <w:r w:rsidR="0065442E">
        <w:t xml:space="preserve">to </w:t>
      </w:r>
      <w:r w:rsidR="0065442E">
        <w:rPr>
          <w:i/>
        </w:rPr>
        <w:t>“</w:t>
      </w:r>
      <w:r w:rsidR="00EA5D53" w:rsidRPr="0087375E">
        <w:rPr>
          <w:i/>
        </w:rPr>
        <w:t>legislati</w:t>
      </w:r>
      <w:r w:rsidR="0065442E">
        <w:rPr>
          <w:i/>
        </w:rPr>
        <w:t xml:space="preserve">ng </w:t>
      </w:r>
      <w:r w:rsidR="00EA5D53" w:rsidRPr="0087375E">
        <w:rPr>
          <w:i/>
        </w:rPr>
        <w:t>from the bench”</w:t>
      </w:r>
      <w:r w:rsidR="0065442E">
        <w:rPr>
          <w:rStyle w:val="FootnoteReference"/>
          <w:i/>
        </w:rPr>
        <w:footnoteReference w:id="35"/>
      </w:r>
      <w:r w:rsidR="00EA5D53" w:rsidRPr="0087375E">
        <w:rPr>
          <w:i/>
        </w:rPr>
        <w:t>.</w:t>
      </w:r>
      <w:r w:rsidR="00EA5D53">
        <w:t xml:space="preserve"> </w:t>
      </w:r>
      <w:r w:rsidR="00DC0C2F">
        <w:t xml:space="preserve">On further appeal to the </w:t>
      </w:r>
      <w:r w:rsidR="00CA33DE">
        <w:t xml:space="preserve">Privy Council, while noting that the </w:t>
      </w:r>
      <w:r w:rsidR="00CA33DE" w:rsidRPr="0087375E">
        <w:t>extent of the extra-statutory powers of a common law court to assist foreign liquidators is</w:t>
      </w:r>
      <w:r w:rsidR="00CA33DE" w:rsidRPr="00752D4C">
        <w:rPr>
          <w:i/>
        </w:rPr>
        <w:t xml:space="preserve"> </w:t>
      </w:r>
      <w:r w:rsidR="00CA33DE">
        <w:rPr>
          <w:i/>
        </w:rPr>
        <w:t>“</w:t>
      </w:r>
      <w:r w:rsidR="00CA33DE" w:rsidRPr="00752D4C">
        <w:rPr>
          <w:i/>
        </w:rPr>
        <w:t>a very tricky topic</w:t>
      </w:r>
      <w:r w:rsidR="006E3F9C">
        <w:t>”</w:t>
      </w:r>
      <w:r w:rsidR="00CA33DE" w:rsidRPr="0087375E">
        <w:rPr>
          <w:rStyle w:val="FootnoteReference"/>
        </w:rPr>
        <w:footnoteReference w:id="36"/>
      </w:r>
      <w:r w:rsidR="00CA33DE" w:rsidRPr="0065442E">
        <w:t>,</w:t>
      </w:r>
      <w:r w:rsidR="00DC0C2F">
        <w:t xml:space="preserve"> the Court, in the lead judgment of Lord Collins, held that parts of the judgment in </w:t>
      </w:r>
      <w:r w:rsidR="00CA33DE">
        <w:rPr>
          <w:i/>
        </w:rPr>
        <w:t xml:space="preserve">Cambridge Gas </w:t>
      </w:r>
      <w:r w:rsidR="00DC0C2F">
        <w:t>were wrongly decided</w:t>
      </w:r>
      <w:r w:rsidR="00747BDD">
        <w:t xml:space="preserve"> and i</w:t>
      </w:r>
      <w:r w:rsidR="0042694E">
        <w:t xml:space="preserve">n particular </w:t>
      </w:r>
      <w:r w:rsidR="00CA33DE">
        <w:t xml:space="preserve">that common law assistance could </w:t>
      </w:r>
      <w:r w:rsidR="00747BDD">
        <w:t xml:space="preserve">not </w:t>
      </w:r>
      <w:r w:rsidR="00CA33DE">
        <w:t xml:space="preserve">remove the need to implement a parallel scheme in the Isle of </w:t>
      </w:r>
      <w:r w:rsidR="00E33B52">
        <w:t>Man when</w:t>
      </w:r>
      <w:r w:rsidR="00CA33DE">
        <w:t xml:space="preserve"> dealing with the </w:t>
      </w:r>
      <w:r w:rsidR="00CA33DE">
        <w:rPr>
          <w:i/>
        </w:rPr>
        <w:t>in rem</w:t>
      </w:r>
      <w:r w:rsidR="00CA33DE">
        <w:t xml:space="preserve"> rights of a shareholder who had not submitted to the US proceedings</w:t>
      </w:r>
      <w:r w:rsidR="00CA33DE">
        <w:rPr>
          <w:rStyle w:val="FootnoteReference"/>
        </w:rPr>
        <w:footnoteReference w:id="37"/>
      </w:r>
      <w:r w:rsidR="00CA33DE">
        <w:t xml:space="preserve">. The court also rejected the notion that common law assistance extended to applying domestic law </w:t>
      </w:r>
      <w:r>
        <w:t>by analogy</w:t>
      </w:r>
      <w:r w:rsidR="008E6EF8">
        <w:t xml:space="preserve">; this </w:t>
      </w:r>
      <w:r w:rsidR="00747BDD">
        <w:t xml:space="preserve">related </w:t>
      </w:r>
      <w:r w:rsidR="008E6EF8">
        <w:t xml:space="preserve">to both the application of section 195 of the Companies Act in </w:t>
      </w:r>
      <w:r w:rsidR="008E6EF8">
        <w:rPr>
          <w:i/>
        </w:rPr>
        <w:t>Singu</w:t>
      </w:r>
      <w:r w:rsidR="003F5AFB">
        <w:rPr>
          <w:i/>
        </w:rPr>
        <w:t xml:space="preserve">laris </w:t>
      </w:r>
      <w:r w:rsidR="008E6EF8">
        <w:t>at first instance, and to application of Manx law on approval of schemes of arrangement ‘as if they applied’</w:t>
      </w:r>
      <w:r w:rsidR="00CA33DE">
        <w:rPr>
          <w:rStyle w:val="FootnoteReference"/>
        </w:rPr>
        <w:footnoteReference w:id="38"/>
      </w:r>
      <w:r w:rsidR="00CA33DE">
        <w:t>.</w:t>
      </w:r>
      <w:r w:rsidR="0042694E">
        <w:t xml:space="preserve"> </w:t>
      </w:r>
      <w:r w:rsidR="00352B1E">
        <w:t xml:space="preserve"> In short, t</w:t>
      </w:r>
      <w:r w:rsidR="0042694E">
        <w:t xml:space="preserve">he great expansion of the law in </w:t>
      </w:r>
      <w:r w:rsidR="0042694E">
        <w:rPr>
          <w:i/>
        </w:rPr>
        <w:t xml:space="preserve">Cambridge Gas </w:t>
      </w:r>
      <w:r w:rsidR="0042694E">
        <w:t>was left in tatters</w:t>
      </w:r>
      <w:r w:rsidR="0042694E">
        <w:rPr>
          <w:rStyle w:val="FootnoteReference"/>
        </w:rPr>
        <w:footnoteReference w:id="39"/>
      </w:r>
      <w:r w:rsidR="0042694E">
        <w:t xml:space="preserve">. </w:t>
      </w:r>
    </w:p>
    <w:p w14:paraId="64EB50B1" w14:textId="5B87F5DD" w:rsidR="000E3396" w:rsidRPr="0087375E" w:rsidRDefault="000E3396" w:rsidP="0087375E">
      <w:pPr>
        <w:tabs>
          <w:tab w:val="left" w:pos="1134"/>
        </w:tabs>
        <w:jc w:val="both"/>
      </w:pPr>
    </w:p>
    <w:p w14:paraId="3534B2C2" w14:textId="0C51B6FD" w:rsidR="00132E84" w:rsidRDefault="00A35572" w:rsidP="003D360F">
      <w:pPr>
        <w:pStyle w:val="ListParagraph"/>
        <w:numPr>
          <w:ilvl w:val="0"/>
          <w:numId w:val="17"/>
        </w:numPr>
        <w:ind w:left="284" w:hanging="284"/>
        <w:rPr>
          <w:b/>
        </w:rPr>
      </w:pPr>
      <w:r>
        <w:rPr>
          <w:b/>
        </w:rPr>
        <w:t>Part III: P</w:t>
      </w:r>
      <w:r w:rsidR="00B41468" w:rsidRPr="0087375E">
        <w:rPr>
          <w:b/>
        </w:rPr>
        <w:t xml:space="preserve">ost </w:t>
      </w:r>
      <w:r w:rsidR="00B41468" w:rsidRPr="0087375E">
        <w:rPr>
          <w:b/>
          <w:i/>
        </w:rPr>
        <w:t>Singularis</w:t>
      </w:r>
      <w:r w:rsidR="00B41468">
        <w:rPr>
          <w:b/>
          <w:i/>
        </w:rPr>
        <w:t xml:space="preserve"> </w:t>
      </w:r>
    </w:p>
    <w:p w14:paraId="197D80DE" w14:textId="77777777" w:rsidR="00C82E58" w:rsidRPr="00155EC8" w:rsidRDefault="00C82E58" w:rsidP="00C82E58">
      <w:pPr>
        <w:pStyle w:val="ListParagraph"/>
        <w:rPr>
          <w:b/>
        </w:rPr>
      </w:pPr>
    </w:p>
    <w:p w14:paraId="7DAF78E2" w14:textId="35E4C5B2" w:rsidR="008E6EF8" w:rsidRDefault="007954C1" w:rsidP="00E95DB6">
      <w:pPr>
        <w:spacing w:before="120" w:after="120" w:line="360" w:lineRule="auto"/>
        <w:jc w:val="both"/>
        <w:rPr>
          <w:bCs/>
        </w:rPr>
      </w:pPr>
      <w:r>
        <w:rPr>
          <w:bCs/>
        </w:rPr>
        <w:lastRenderedPageBreak/>
        <w:t xml:space="preserve">So what remains of </w:t>
      </w:r>
      <w:r>
        <w:rPr>
          <w:bCs/>
          <w:i/>
        </w:rPr>
        <w:t>Cambridge Gas</w:t>
      </w:r>
      <w:r>
        <w:rPr>
          <w:bCs/>
        </w:rPr>
        <w:t>? As noted by Lord</w:t>
      </w:r>
      <w:r w:rsidR="00E33B52">
        <w:rPr>
          <w:bCs/>
        </w:rPr>
        <w:t xml:space="preserve"> Sumption</w:t>
      </w:r>
      <w:r>
        <w:rPr>
          <w:bCs/>
        </w:rPr>
        <w:t>, that case marked the ‘</w:t>
      </w:r>
      <w:r>
        <w:rPr>
          <w:bCs/>
          <w:i/>
        </w:rPr>
        <w:t>”</w:t>
      </w:r>
      <w:r w:rsidR="00B647C2">
        <w:rPr>
          <w:bCs/>
          <w:i/>
        </w:rPr>
        <w:t>furthest</w:t>
      </w:r>
      <w:r w:rsidR="00E33B52">
        <w:rPr>
          <w:bCs/>
          <w:i/>
        </w:rPr>
        <w:t xml:space="preserve"> that the common law courts have gone</w:t>
      </w:r>
      <w:r>
        <w:rPr>
          <w:bCs/>
          <w:i/>
        </w:rPr>
        <w:t>”</w:t>
      </w:r>
      <w:r w:rsidR="00E33B52" w:rsidRPr="00352B1E">
        <w:rPr>
          <w:rStyle w:val="FootnoteReference"/>
          <w:bCs/>
        </w:rPr>
        <w:footnoteReference w:id="40"/>
      </w:r>
      <w:r w:rsidRPr="00352B1E">
        <w:rPr>
          <w:bCs/>
        </w:rPr>
        <w:t xml:space="preserve">. </w:t>
      </w:r>
      <w:r>
        <w:rPr>
          <w:bCs/>
        </w:rPr>
        <w:t>In a post-</w:t>
      </w:r>
      <w:r>
        <w:rPr>
          <w:bCs/>
          <w:i/>
        </w:rPr>
        <w:t>Singu</w:t>
      </w:r>
      <w:r w:rsidR="003F5AFB">
        <w:rPr>
          <w:bCs/>
          <w:i/>
        </w:rPr>
        <w:t xml:space="preserve">laris </w:t>
      </w:r>
      <w:r>
        <w:rPr>
          <w:bCs/>
        </w:rPr>
        <w:t xml:space="preserve">common law world, it could no longer be said that a domestic court had </w:t>
      </w:r>
      <w:r w:rsidR="00E95DB6">
        <w:rPr>
          <w:bCs/>
        </w:rPr>
        <w:t>jurisdiction</w:t>
      </w:r>
      <w:r>
        <w:rPr>
          <w:bCs/>
        </w:rPr>
        <w:t xml:space="preserve"> over the </w:t>
      </w:r>
      <w:r w:rsidR="00E95DB6">
        <w:rPr>
          <w:bCs/>
        </w:rPr>
        <w:t>parties</w:t>
      </w:r>
      <w:r>
        <w:rPr>
          <w:bCs/>
        </w:rPr>
        <w:t xml:space="preserve"> universally simply by </w:t>
      </w:r>
      <w:r w:rsidR="00E95DB6">
        <w:rPr>
          <w:bCs/>
        </w:rPr>
        <w:t>virtue</w:t>
      </w:r>
      <w:r>
        <w:rPr>
          <w:bCs/>
        </w:rPr>
        <w:t xml:space="preserve"> of its inherent power to assist. </w:t>
      </w:r>
      <w:r w:rsidR="00AA298D">
        <w:rPr>
          <w:bCs/>
        </w:rPr>
        <w:t>However, the principle of modified universalism apparently remained unaltered, although ‘active assistance’ could no longer justify the extension of powers beyond the established methods of assistance</w:t>
      </w:r>
      <w:r w:rsidR="00AA298D">
        <w:rPr>
          <w:rStyle w:val="FootnoteReference"/>
          <w:bCs/>
        </w:rPr>
        <w:footnoteReference w:id="41"/>
      </w:r>
      <w:r w:rsidR="00AA298D">
        <w:rPr>
          <w:bCs/>
        </w:rPr>
        <w:t xml:space="preserve">. </w:t>
      </w:r>
    </w:p>
    <w:p w14:paraId="5F8AC500" w14:textId="2290D00C" w:rsidR="00747BDD" w:rsidRDefault="00E95DB6" w:rsidP="00EF2779">
      <w:pPr>
        <w:spacing w:before="120" w:after="120" w:line="360" w:lineRule="auto"/>
        <w:jc w:val="both"/>
        <w:rPr>
          <w:bCs/>
          <w:lang w:val="en-US"/>
        </w:rPr>
      </w:pPr>
      <w:r>
        <w:rPr>
          <w:bCs/>
        </w:rPr>
        <w:t xml:space="preserve">The fall out from </w:t>
      </w:r>
      <w:r>
        <w:rPr>
          <w:bCs/>
          <w:i/>
        </w:rPr>
        <w:t>Singularis</w:t>
      </w:r>
      <w:r>
        <w:rPr>
          <w:bCs/>
          <w:lang w:val="en-US"/>
        </w:rPr>
        <w:t xml:space="preserve"> was considered by the Bermuda Court in </w:t>
      </w:r>
      <w:r>
        <w:rPr>
          <w:bCs/>
          <w:i/>
          <w:lang w:val="en-US"/>
        </w:rPr>
        <w:t>Re Energy XXI Ltd</w:t>
      </w:r>
      <w:r w:rsidRPr="0087375E">
        <w:rPr>
          <w:rStyle w:val="FootnoteReference"/>
          <w:bCs/>
          <w:lang w:val="en-US"/>
        </w:rPr>
        <w:footnoteReference w:id="42"/>
      </w:r>
      <w:r w:rsidRPr="00AA298D">
        <w:rPr>
          <w:bCs/>
          <w:lang w:val="en-US"/>
        </w:rPr>
        <w:t xml:space="preserve">. </w:t>
      </w:r>
      <w:r w:rsidR="001D5558">
        <w:rPr>
          <w:bCs/>
          <w:lang w:val="en-US"/>
        </w:rPr>
        <w:t xml:space="preserve"> In th</w:t>
      </w:r>
      <w:r w:rsidR="00AA298D">
        <w:rPr>
          <w:bCs/>
          <w:lang w:val="en-US"/>
        </w:rPr>
        <w:t xml:space="preserve">is </w:t>
      </w:r>
      <w:r w:rsidR="001D5558">
        <w:rPr>
          <w:bCs/>
          <w:lang w:val="en-US"/>
        </w:rPr>
        <w:t xml:space="preserve">case, where there were light touch winding up proceedings running parallel to US Chapter 11 proceedings, the Court was asked to recognize the Texas Bankruptcy Court’s proposed plan by granting a permanent stay. This was opposed by an equity committee appointed in the US proceedings, who </w:t>
      </w:r>
      <w:r w:rsidR="00DD3BF3">
        <w:rPr>
          <w:bCs/>
          <w:lang w:val="en-US"/>
        </w:rPr>
        <w:t xml:space="preserve">argued that, following the overturning of </w:t>
      </w:r>
      <w:r w:rsidR="00DD3BF3">
        <w:rPr>
          <w:bCs/>
          <w:i/>
          <w:lang w:val="en-US"/>
        </w:rPr>
        <w:t xml:space="preserve">Cambridge </w:t>
      </w:r>
      <w:r w:rsidR="00DD3BF3" w:rsidRPr="00356456">
        <w:rPr>
          <w:bCs/>
          <w:i/>
          <w:lang w:val="en-US"/>
        </w:rPr>
        <w:t>Gas</w:t>
      </w:r>
      <w:r w:rsidR="00DD3BF3">
        <w:rPr>
          <w:bCs/>
          <w:lang w:val="en-US"/>
        </w:rPr>
        <w:t xml:space="preserve">, the Court had no jurisdiction to grant the relief sought. In rejecting this argument, the Chief Justice noted that the decision in </w:t>
      </w:r>
      <w:r w:rsidR="00DD3BF3">
        <w:rPr>
          <w:bCs/>
          <w:i/>
          <w:lang w:val="en-US"/>
        </w:rPr>
        <w:t>Singularis</w:t>
      </w:r>
      <w:r w:rsidR="00DD3BF3">
        <w:rPr>
          <w:bCs/>
          <w:lang w:val="en-US"/>
        </w:rPr>
        <w:t xml:space="preserve"> did not remove the power of the Court to recognize the Chapter 11 proceedings, and that the winding up petition was a perfectly proper filing for the purposes of assisting with a foreign restructuring</w:t>
      </w:r>
      <w:r w:rsidR="001D5558">
        <w:rPr>
          <w:rStyle w:val="FootnoteReference"/>
          <w:bCs/>
          <w:lang w:val="en-US"/>
        </w:rPr>
        <w:footnoteReference w:id="43"/>
      </w:r>
      <w:r w:rsidR="00DD3BF3">
        <w:rPr>
          <w:bCs/>
          <w:lang w:val="en-US"/>
        </w:rPr>
        <w:t xml:space="preserve">. Further, the grant of a stay was available as an inherent power of the Court, and did not rely upon statute. </w:t>
      </w:r>
      <w:r w:rsidR="001D5558">
        <w:rPr>
          <w:bCs/>
          <w:lang w:val="en-US"/>
        </w:rPr>
        <w:t xml:space="preserve">Moreover, the facts were distinguishable from </w:t>
      </w:r>
      <w:r w:rsidR="001D5558">
        <w:rPr>
          <w:bCs/>
          <w:i/>
          <w:lang w:val="en-US"/>
        </w:rPr>
        <w:t>Cambridge Gas</w:t>
      </w:r>
      <w:r w:rsidR="001D5558">
        <w:rPr>
          <w:bCs/>
          <w:lang w:val="en-US"/>
        </w:rPr>
        <w:t>, as the equity committee had submitted to the US jurisdiction, and indeed was a ‘creature’ of those proceedings</w:t>
      </w:r>
      <w:r w:rsidR="001D5558">
        <w:rPr>
          <w:rStyle w:val="FootnoteReference"/>
          <w:bCs/>
          <w:lang w:val="en-US"/>
        </w:rPr>
        <w:footnoteReference w:id="44"/>
      </w:r>
      <w:r w:rsidR="001D5558">
        <w:rPr>
          <w:bCs/>
          <w:lang w:val="en-US"/>
        </w:rPr>
        <w:t xml:space="preserve">. </w:t>
      </w:r>
      <w:r w:rsidR="00EE186D">
        <w:rPr>
          <w:bCs/>
          <w:lang w:val="en-US"/>
        </w:rPr>
        <w:t xml:space="preserve">Given the difficulty the Court had found in grappling with </w:t>
      </w:r>
      <w:r w:rsidR="00A1744E">
        <w:rPr>
          <w:bCs/>
          <w:lang w:val="en-US"/>
        </w:rPr>
        <w:t xml:space="preserve">the extent of common law assistance in Lord Hoffman’s judgment in </w:t>
      </w:r>
      <w:r w:rsidR="00A1744E">
        <w:rPr>
          <w:bCs/>
          <w:i/>
          <w:lang w:val="en-US"/>
        </w:rPr>
        <w:t>Cambridge Gas</w:t>
      </w:r>
      <w:r w:rsidR="00A1744E">
        <w:rPr>
          <w:bCs/>
          <w:lang w:val="en-US"/>
        </w:rPr>
        <w:t xml:space="preserve">, the clarity of Lord Collins’ judgment in </w:t>
      </w:r>
      <w:r w:rsidR="00EF2779">
        <w:rPr>
          <w:bCs/>
          <w:i/>
          <w:lang w:val="en-US"/>
        </w:rPr>
        <w:t>Singularis</w:t>
      </w:r>
      <w:r w:rsidR="00A1744E">
        <w:rPr>
          <w:bCs/>
          <w:lang w:val="en-US"/>
        </w:rPr>
        <w:t xml:space="preserve"> was welcomed by the Court</w:t>
      </w:r>
      <w:r w:rsidR="00A1744E">
        <w:rPr>
          <w:rStyle w:val="FootnoteReference"/>
          <w:bCs/>
          <w:lang w:val="en-US"/>
        </w:rPr>
        <w:footnoteReference w:id="45"/>
      </w:r>
      <w:r w:rsidR="00A1744E">
        <w:rPr>
          <w:bCs/>
          <w:lang w:val="en-US"/>
        </w:rPr>
        <w:t xml:space="preserve">. </w:t>
      </w:r>
      <w:r w:rsidR="00747BDD">
        <w:rPr>
          <w:bCs/>
          <w:lang w:val="en-US"/>
        </w:rPr>
        <w:t xml:space="preserve"> </w:t>
      </w:r>
    </w:p>
    <w:p w14:paraId="515A8A6E" w14:textId="480E2036" w:rsidR="00C82E58" w:rsidRDefault="001D5558" w:rsidP="00EF2779">
      <w:pPr>
        <w:spacing w:before="120" w:after="120" w:line="360" w:lineRule="auto"/>
        <w:jc w:val="both"/>
      </w:pPr>
      <w:r>
        <w:rPr>
          <w:bCs/>
          <w:lang w:val="en-US"/>
        </w:rPr>
        <w:t>Th</w:t>
      </w:r>
      <w:r w:rsidR="00A1744E">
        <w:rPr>
          <w:bCs/>
          <w:lang w:val="en-US"/>
        </w:rPr>
        <w:t>e</w:t>
      </w:r>
      <w:r>
        <w:rPr>
          <w:bCs/>
          <w:lang w:val="en-US"/>
        </w:rPr>
        <w:t xml:space="preserve"> reasoning </w:t>
      </w:r>
      <w:r w:rsidR="00A1744E">
        <w:rPr>
          <w:bCs/>
          <w:lang w:val="en-US"/>
        </w:rPr>
        <w:t xml:space="preserve">in </w:t>
      </w:r>
      <w:r w:rsidR="00A1744E">
        <w:rPr>
          <w:bCs/>
          <w:i/>
          <w:lang w:val="en-US"/>
        </w:rPr>
        <w:t>Re Energy X</w:t>
      </w:r>
      <w:r w:rsidR="00EA5D53">
        <w:rPr>
          <w:bCs/>
          <w:i/>
          <w:lang w:val="en-US"/>
        </w:rPr>
        <w:t>XI</w:t>
      </w:r>
      <w:r w:rsidR="00A1744E">
        <w:rPr>
          <w:bCs/>
          <w:i/>
          <w:lang w:val="en-US"/>
        </w:rPr>
        <w:t xml:space="preserve"> </w:t>
      </w:r>
      <w:r>
        <w:rPr>
          <w:bCs/>
          <w:lang w:val="en-US"/>
        </w:rPr>
        <w:t xml:space="preserve">was subsequently followed in </w:t>
      </w:r>
      <w:r w:rsidR="00EF2779">
        <w:rPr>
          <w:bCs/>
          <w:lang w:val="en-US"/>
        </w:rPr>
        <w:t>two further cases</w:t>
      </w:r>
      <w:r w:rsidR="00AA298D">
        <w:rPr>
          <w:bCs/>
          <w:lang w:val="en-US"/>
        </w:rPr>
        <w:t xml:space="preserve"> with similar fact patterns</w:t>
      </w:r>
      <w:r w:rsidR="00EF2779">
        <w:rPr>
          <w:bCs/>
          <w:lang w:val="en-US"/>
        </w:rPr>
        <w:t>; first</w:t>
      </w:r>
      <w:r w:rsidR="00CC00CA">
        <w:rPr>
          <w:bCs/>
          <w:lang w:val="en-US"/>
        </w:rPr>
        <w:t xml:space="preserve"> in </w:t>
      </w:r>
      <w:r>
        <w:rPr>
          <w:bCs/>
          <w:i/>
          <w:lang w:val="en-US"/>
        </w:rPr>
        <w:t>C&amp;J Energy Services Ltd</w:t>
      </w:r>
      <w:r w:rsidRPr="0087375E">
        <w:rPr>
          <w:rStyle w:val="FootnoteReference"/>
          <w:bCs/>
          <w:lang w:val="en-US"/>
        </w:rPr>
        <w:footnoteReference w:id="46"/>
      </w:r>
      <w:r w:rsidRPr="00F759CA">
        <w:rPr>
          <w:bCs/>
          <w:lang w:val="en-US"/>
        </w:rPr>
        <w:t xml:space="preserve"> </w:t>
      </w:r>
      <w:r>
        <w:rPr>
          <w:bCs/>
          <w:lang w:val="en-US"/>
        </w:rPr>
        <w:t>where the Court granted recognition of a US Chapter 11 plan and granted a permanent injunction in aid of it</w:t>
      </w:r>
      <w:r w:rsidR="00352B1E">
        <w:rPr>
          <w:bCs/>
          <w:lang w:val="en-US"/>
        </w:rPr>
        <w:t>, and s</w:t>
      </w:r>
      <w:r w:rsidR="00EF2779">
        <w:rPr>
          <w:bCs/>
          <w:lang w:val="en-US"/>
        </w:rPr>
        <w:t xml:space="preserve">econd </w:t>
      </w:r>
      <w:r w:rsidR="00352B1E">
        <w:rPr>
          <w:bCs/>
          <w:lang w:val="en-US"/>
        </w:rPr>
        <w:t xml:space="preserve">in </w:t>
      </w:r>
      <w:r w:rsidR="00352B1E">
        <w:rPr>
          <w:i/>
        </w:rPr>
        <w:t>Re Seadrill Ltd</w:t>
      </w:r>
      <w:r w:rsidR="00352B1E" w:rsidRPr="0087375E">
        <w:rPr>
          <w:rStyle w:val="FootnoteReference"/>
        </w:rPr>
        <w:footnoteReference w:id="47"/>
      </w:r>
      <w:r w:rsidR="00352B1E">
        <w:t xml:space="preserve"> where </w:t>
      </w:r>
      <w:r w:rsidR="00EF2779">
        <w:rPr>
          <w:bCs/>
          <w:lang w:val="en-US"/>
        </w:rPr>
        <w:t>a Chapter 11 plan</w:t>
      </w:r>
      <w:r w:rsidR="00695A11">
        <w:rPr>
          <w:bCs/>
          <w:lang w:val="en-US"/>
        </w:rPr>
        <w:t xml:space="preserve"> was recognized and enforced</w:t>
      </w:r>
      <w:r w:rsidR="00352B1E">
        <w:rPr>
          <w:bCs/>
          <w:lang w:val="en-US"/>
        </w:rPr>
        <w:t xml:space="preserve">. </w:t>
      </w:r>
      <w:r w:rsidR="00EF2779">
        <w:t xml:space="preserve">Thus far, these cases appear to </w:t>
      </w:r>
      <w:r w:rsidR="00356456">
        <w:t xml:space="preserve">have put paid to further arguments before the Bermuda </w:t>
      </w:r>
      <w:r w:rsidR="00EF2779">
        <w:t xml:space="preserve">Courts </w:t>
      </w:r>
      <w:r w:rsidR="00356456">
        <w:t xml:space="preserve">attacking </w:t>
      </w:r>
      <w:r w:rsidR="00EF2779">
        <w:t xml:space="preserve">common law </w:t>
      </w:r>
      <w:r w:rsidR="00356456">
        <w:t xml:space="preserve">recognition and enforcement on the basis of uncertainty or inconsistency </w:t>
      </w:r>
      <w:r w:rsidR="00EF2779">
        <w:t xml:space="preserve">in the law </w:t>
      </w:r>
      <w:r w:rsidR="00356456">
        <w:t xml:space="preserve">generated by the </w:t>
      </w:r>
      <w:r w:rsidR="0090026D">
        <w:t>run of cases before the English Supreme Court and Privy Council</w:t>
      </w:r>
      <w:r w:rsidR="00356456">
        <w:t xml:space="preserve">. </w:t>
      </w:r>
      <w:r w:rsidR="00EF2779">
        <w:t xml:space="preserve">The cumulative effect has been to clarify the law in Bermuda, but with an emphasis on identifying facts or features that distinguish an assistance case from those in </w:t>
      </w:r>
      <w:r w:rsidR="00EF2779">
        <w:rPr>
          <w:i/>
        </w:rPr>
        <w:t xml:space="preserve">Cambridge Gas </w:t>
      </w:r>
      <w:r w:rsidR="00EF2779">
        <w:t xml:space="preserve">or </w:t>
      </w:r>
      <w:r w:rsidR="00EF2779">
        <w:rPr>
          <w:i/>
        </w:rPr>
        <w:t>Singu</w:t>
      </w:r>
      <w:r w:rsidR="0090026D">
        <w:rPr>
          <w:i/>
        </w:rPr>
        <w:t>laris</w:t>
      </w:r>
      <w:r w:rsidR="00EF2779">
        <w:rPr>
          <w:i/>
        </w:rPr>
        <w:t xml:space="preserve">. </w:t>
      </w:r>
      <w:r w:rsidR="00EF2779">
        <w:t xml:space="preserve"> </w:t>
      </w:r>
      <w:r w:rsidR="00A47B8A">
        <w:t xml:space="preserve">This mirrors the </w:t>
      </w:r>
      <w:r w:rsidR="00A47B8A">
        <w:lastRenderedPageBreak/>
        <w:t>element of gloss applied to these cases in other offshore jurisdictions including Guernsey</w:t>
      </w:r>
      <w:r w:rsidR="00A47B8A">
        <w:rPr>
          <w:rStyle w:val="FootnoteReference"/>
        </w:rPr>
        <w:footnoteReference w:id="48"/>
      </w:r>
      <w:r w:rsidR="00A47B8A">
        <w:t xml:space="preserve"> and the Bahamas</w:t>
      </w:r>
      <w:r w:rsidR="00A47B8A">
        <w:rPr>
          <w:rStyle w:val="FootnoteReference"/>
        </w:rPr>
        <w:footnoteReference w:id="49"/>
      </w:r>
      <w:r w:rsidR="00A47B8A">
        <w:t xml:space="preserve">. </w:t>
      </w:r>
    </w:p>
    <w:p w14:paraId="308F66F0" w14:textId="342BCE87" w:rsidR="001E7F29" w:rsidRDefault="001E7F29" w:rsidP="001E7F29">
      <w:pPr>
        <w:spacing w:before="120" w:after="120" w:line="360" w:lineRule="auto"/>
        <w:jc w:val="both"/>
      </w:pPr>
      <w:r w:rsidRPr="0087375E">
        <w:t>By contrast</w:t>
      </w:r>
      <w:r>
        <w:rPr>
          <w:b/>
        </w:rPr>
        <w:t xml:space="preserve">, </w:t>
      </w:r>
      <w:r>
        <w:t xml:space="preserve">common law insolvency cooperation in England, although now once again perhaps devolved back to its state of ‘arrested development’, with the common law gateway taking the back seat to the cross-border provisions of the Insolvency Act and CBIR, nonetheless remains </w:t>
      </w:r>
      <w:r>
        <w:rPr>
          <w:i/>
        </w:rPr>
        <w:t>“embedded</w:t>
      </w:r>
      <w:r>
        <w:t>”</w:t>
      </w:r>
      <w:r>
        <w:rPr>
          <w:rStyle w:val="FootnoteReference"/>
        </w:rPr>
        <w:footnoteReference w:id="50"/>
      </w:r>
      <w:r w:rsidRPr="00155EC8">
        <w:t xml:space="preserve">. </w:t>
      </w:r>
      <w:r>
        <w:t xml:space="preserve">There is also still substantial scope for debate, as can be seen from </w:t>
      </w:r>
      <w:r>
        <w:rPr>
          <w:i/>
        </w:rPr>
        <w:t>Re OJSC International Bank of Azerbaijan</w:t>
      </w:r>
      <w:r w:rsidRPr="00155EC8">
        <w:rPr>
          <w:rStyle w:val="FootnoteReference"/>
        </w:rPr>
        <w:footnoteReference w:id="51"/>
      </w:r>
      <w:r w:rsidR="00747BDD">
        <w:t xml:space="preserve">, where </w:t>
      </w:r>
      <w:r>
        <w:t>the Court of Appeal did not take the path of modified universalism and followed the Gibbs rule</w:t>
      </w:r>
      <w:r>
        <w:rPr>
          <w:rStyle w:val="FootnoteReference"/>
        </w:rPr>
        <w:footnoteReference w:id="52"/>
      </w:r>
      <w:r>
        <w:t xml:space="preserve"> and refused to grant a permanent stay which in effect would enforce a foreign (Azerbaijani) restructuring plan. The Court of Appeal rejected the charge of ‘parochialism’ in doing so</w:t>
      </w:r>
      <w:r>
        <w:rPr>
          <w:rStyle w:val="FootnoteReference"/>
        </w:rPr>
        <w:footnoteReference w:id="53"/>
      </w:r>
      <w:r>
        <w:t xml:space="preserve">. </w:t>
      </w:r>
    </w:p>
    <w:p w14:paraId="662ADFB2" w14:textId="61F31B52" w:rsidR="00664D66" w:rsidRPr="0087375E" w:rsidRDefault="00664D66" w:rsidP="0087375E">
      <w:pPr>
        <w:pStyle w:val="ListParagraph"/>
        <w:numPr>
          <w:ilvl w:val="0"/>
          <w:numId w:val="17"/>
        </w:numPr>
        <w:spacing w:before="240" w:after="240"/>
        <w:ind w:left="284" w:hanging="284"/>
        <w:contextualSpacing w:val="0"/>
        <w:rPr>
          <w:b/>
        </w:rPr>
      </w:pPr>
      <w:r w:rsidRPr="0087375E">
        <w:rPr>
          <w:b/>
        </w:rPr>
        <w:t>Conclusion</w:t>
      </w:r>
    </w:p>
    <w:p w14:paraId="04B28126" w14:textId="43950E6C" w:rsidR="00515A8F" w:rsidRDefault="00A727F2" w:rsidP="00A727F2">
      <w:pPr>
        <w:spacing w:before="120" w:after="120" w:line="360" w:lineRule="auto"/>
        <w:jc w:val="both"/>
      </w:pPr>
      <w:r>
        <w:t>While universalism itself</w:t>
      </w:r>
      <w:r w:rsidR="00747BDD">
        <w:t xml:space="preserve"> </w:t>
      </w:r>
      <w:r>
        <w:t xml:space="preserve">has always been </w:t>
      </w:r>
      <w:r w:rsidR="00747BDD">
        <w:t xml:space="preserve">in essence </w:t>
      </w:r>
      <w:r>
        <w:t xml:space="preserve">theoretical (at least until such time as an international convention is widely embraced), the common law principle of modified </w:t>
      </w:r>
      <w:r w:rsidRPr="009A78B3">
        <w:t>universal</w:t>
      </w:r>
      <w:r>
        <w:t xml:space="preserve">ism is alive and well </w:t>
      </w:r>
      <w:r w:rsidR="009A78B3">
        <w:t xml:space="preserve">it seems </w:t>
      </w:r>
      <w:r>
        <w:t xml:space="preserve">in England and Wales, Bermuda and other common law jurisdictions. Its development has been incremental and although the rolling back of Lord Hoffman’s innovation in the scope of the principle of assistance might be seen as a setback for </w:t>
      </w:r>
      <w:r w:rsidR="00A748FA">
        <w:t xml:space="preserve">liquidators and other </w:t>
      </w:r>
      <w:r>
        <w:t>office holders</w:t>
      </w:r>
      <w:r w:rsidR="00515A8F">
        <w:t xml:space="preserve">, the scrutiny afforded by the </w:t>
      </w:r>
      <w:r w:rsidR="00095746">
        <w:t>P</w:t>
      </w:r>
      <w:r w:rsidR="00515A8F">
        <w:t>rivy Council and Supreme Court has added important clarity</w:t>
      </w:r>
      <w:r w:rsidR="0090026D">
        <w:t xml:space="preserve"> to the common law on cross-border insolvency</w:t>
      </w:r>
      <w:r w:rsidR="00095746">
        <w:t>,</w:t>
      </w:r>
      <w:r w:rsidR="00515A8F">
        <w:t xml:space="preserve"> especially in those offshore jurisdictions where insolvency judges are working without the assistance of a detailed regime of statutory frameworks or the adoption of international texts. </w:t>
      </w:r>
    </w:p>
    <w:p w14:paraId="2DF7CFD9" w14:textId="48572212" w:rsidR="00515A8F" w:rsidRDefault="00515A8F" w:rsidP="00A727F2">
      <w:pPr>
        <w:spacing w:before="120" w:after="120" w:line="360" w:lineRule="auto"/>
        <w:jc w:val="both"/>
      </w:pPr>
      <w:r>
        <w:t xml:space="preserve">The common law regime in Bermuda is </w:t>
      </w:r>
      <w:r w:rsidR="006A4194">
        <w:t xml:space="preserve">arguably </w:t>
      </w:r>
      <w:r>
        <w:t xml:space="preserve">now more delineated, and advice can be given to clients, whether involved in parallel proceedings, or seeking (or challenging) a request for assistance, on a more confident basis. As the Bermuda Court noted, </w:t>
      </w:r>
      <w:r>
        <w:rPr>
          <w:i/>
        </w:rPr>
        <w:t>Singu</w:t>
      </w:r>
      <w:r w:rsidR="003F5AFB">
        <w:rPr>
          <w:i/>
        </w:rPr>
        <w:t xml:space="preserve">laris </w:t>
      </w:r>
      <w:r>
        <w:t xml:space="preserve">did away with </w:t>
      </w:r>
      <w:r w:rsidR="0090026D">
        <w:t xml:space="preserve">cutting </w:t>
      </w:r>
      <w:r w:rsidR="0090026D" w:rsidRPr="00155EC8">
        <w:rPr>
          <w:i/>
        </w:rPr>
        <w:t xml:space="preserve">“through </w:t>
      </w:r>
      <w:r w:rsidR="0090026D" w:rsidRPr="009A78B3">
        <w:rPr>
          <w:i/>
        </w:rPr>
        <w:t>recognise</w:t>
      </w:r>
      <w:r w:rsidR="0090026D">
        <w:rPr>
          <w:i/>
        </w:rPr>
        <w:t>d</w:t>
      </w:r>
      <w:r w:rsidR="0090026D" w:rsidRPr="00155EC8">
        <w:rPr>
          <w:i/>
        </w:rPr>
        <w:t xml:space="preserve"> </w:t>
      </w:r>
      <w:r w:rsidR="0090026D" w:rsidRPr="009A78B3">
        <w:rPr>
          <w:i/>
        </w:rPr>
        <w:t>private</w:t>
      </w:r>
      <w:r w:rsidR="0090026D" w:rsidRPr="00155EC8">
        <w:rPr>
          <w:i/>
        </w:rPr>
        <w:t xml:space="preserve"> international </w:t>
      </w:r>
      <w:r w:rsidR="0090026D" w:rsidRPr="009A78B3">
        <w:rPr>
          <w:i/>
        </w:rPr>
        <w:t>law</w:t>
      </w:r>
      <w:r w:rsidR="0090026D" w:rsidRPr="00155EC8">
        <w:rPr>
          <w:i/>
        </w:rPr>
        <w:t xml:space="preserve"> rules</w:t>
      </w:r>
      <w:r w:rsidR="0090026D">
        <w:rPr>
          <w:i/>
        </w:rPr>
        <w:t>”</w:t>
      </w:r>
      <w:r w:rsidR="0090026D">
        <w:t xml:space="preserve"> </w:t>
      </w:r>
      <w:r>
        <w:t xml:space="preserve">using </w:t>
      </w:r>
      <w:r>
        <w:rPr>
          <w:i/>
        </w:rPr>
        <w:t>“woolly common law cooperation notions to fill gaping statutory chasms”</w:t>
      </w:r>
      <w:r w:rsidR="00A44424">
        <w:t>”</w:t>
      </w:r>
      <w:r w:rsidRPr="0087375E">
        <w:rPr>
          <w:rStyle w:val="FootnoteReference"/>
        </w:rPr>
        <w:footnoteReference w:id="54"/>
      </w:r>
      <w:r>
        <w:t xml:space="preserve">. </w:t>
      </w:r>
      <w:r w:rsidR="0090026D">
        <w:t xml:space="preserve"> </w:t>
      </w:r>
      <w:r>
        <w:t xml:space="preserve">What is left in its place is an active court recognising foreign proceedings and providing assistance where it can (and should) on a thoughtful basis, mindful of the limits of the common law but </w:t>
      </w:r>
      <w:r w:rsidR="009A78B3">
        <w:t xml:space="preserve">also still </w:t>
      </w:r>
      <w:r>
        <w:t xml:space="preserve">inventive in its application. </w:t>
      </w:r>
    </w:p>
    <w:p w14:paraId="5C2D6030" w14:textId="51C2E866" w:rsidR="00A44424" w:rsidRPr="00BB40BF" w:rsidRDefault="00CC00CA" w:rsidP="00A727F2">
      <w:pPr>
        <w:spacing w:before="120" w:after="120" w:line="360" w:lineRule="auto"/>
        <w:jc w:val="both"/>
      </w:pPr>
      <w:r>
        <w:lastRenderedPageBreak/>
        <w:t xml:space="preserve">Future development is </w:t>
      </w:r>
      <w:r w:rsidR="0090026D">
        <w:t xml:space="preserve">therefore </w:t>
      </w:r>
      <w:r>
        <w:t xml:space="preserve">likely to be incremental, rather than radical as in </w:t>
      </w:r>
      <w:r w:rsidR="0090026D">
        <w:t xml:space="preserve">Lord Hoffman’s judgment in </w:t>
      </w:r>
      <w:r>
        <w:rPr>
          <w:i/>
        </w:rPr>
        <w:t>Cambridge Gas</w:t>
      </w:r>
      <w:r>
        <w:rPr>
          <w:rStyle w:val="FootnoteReference"/>
          <w:i/>
        </w:rPr>
        <w:footnoteReference w:id="55"/>
      </w:r>
      <w:r>
        <w:t xml:space="preserve">. To a large extent, however, the criteria for the development of inherent powers remains unclear and there were differing opinions on this point in </w:t>
      </w:r>
      <w:r>
        <w:rPr>
          <w:i/>
        </w:rPr>
        <w:t>Singularis</w:t>
      </w:r>
      <w:r w:rsidR="00A47B8A" w:rsidRPr="0087375E">
        <w:rPr>
          <w:rStyle w:val="FootnoteReference"/>
        </w:rPr>
        <w:footnoteReference w:id="56"/>
      </w:r>
      <w:r w:rsidRPr="001E7F29">
        <w:t>.</w:t>
      </w:r>
      <w:r>
        <w:t xml:space="preserve"> </w:t>
      </w:r>
      <w:r w:rsidR="00085E66">
        <w:t xml:space="preserve">The scope for further, future arguments over the development of the common law remain, and are, due to their absence of statutory frameworks, likely to arise from the offshore jurisdictions. </w:t>
      </w:r>
      <w:r w:rsidR="00BB40BF">
        <w:t>As noted by Lord Neuberger</w:t>
      </w:r>
      <w:r w:rsidR="001E7F29">
        <w:t xml:space="preserve">, </w:t>
      </w:r>
      <w:r w:rsidR="006A4194">
        <w:t xml:space="preserve">when </w:t>
      </w:r>
      <w:r w:rsidR="001E7F29">
        <w:t>referring to universalism;</w:t>
      </w:r>
      <w:r w:rsidR="00BB40BF">
        <w:t xml:space="preserve"> </w:t>
      </w:r>
      <w:r w:rsidR="00BB40BF">
        <w:rPr>
          <w:i/>
        </w:rPr>
        <w:t xml:space="preserve">“as with the Cheshire Cat, the principle’s deceptively </w:t>
      </w:r>
      <w:r w:rsidR="00CB3AC9">
        <w:rPr>
          <w:i/>
        </w:rPr>
        <w:t>benevolent</w:t>
      </w:r>
      <w:r w:rsidR="00BB40BF">
        <w:rPr>
          <w:i/>
        </w:rPr>
        <w:t xml:space="preserve"> smile still appears to linger”</w:t>
      </w:r>
      <w:r w:rsidR="00CB3AC9" w:rsidRPr="0087375E">
        <w:rPr>
          <w:rStyle w:val="FootnoteReference"/>
        </w:rPr>
        <w:footnoteReference w:id="57"/>
      </w:r>
      <w:r w:rsidR="00BB40BF" w:rsidRPr="00A47B8A">
        <w:t>.</w:t>
      </w:r>
    </w:p>
    <w:p w14:paraId="2F8969E3" w14:textId="53C46C4D" w:rsidR="00566F84" w:rsidRDefault="00566F84">
      <w:r>
        <w:br w:type="page"/>
      </w:r>
    </w:p>
    <w:p w14:paraId="3B0503C2" w14:textId="22843DA0" w:rsidR="002A1B07" w:rsidRDefault="002A1B07" w:rsidP="003B4B33">
      <w:pPr>
        <w:jc w:val="center"/>
        <w:rPr>
          <w:b/>
          <w:bCs/>
        </w:rPr>
      </w:pPr>
      <w:r w:rsidRPr="00D437C2">
        <w:rPr>
          <w:b/>
          <w:bCs/>
        </w:rPr>
        <w:lastRenderedPageBreak/>
        <w:t>BIBLIOGRAPHY</w:t>
      </w:r>
    </w:p>
    <w:p w14:paraId="08DF53D1" w14:textId="7A9F34CA" w:rsidR="002A1B07" w:rsidRPr="005A3947" w:rsidRDefault="002A1B07" w:rsidP="002A1B07"/>
    <w:p w14:paraId="10292C8F" w14:textId="6AB9F6E5" w:rsidR="00B41468" w:rsidRDefault="00055BEE" w:rsidP="000D2B6B">
      <w:pPr>
        <w:jc w:val="both"/>
        <w:rPr>
          <w:color w:val="000000" w:themeColor="text1"/>
        </w:rPr>
      </w:pPr>
      <w:r>
        <w:t xml:space="preserve">Crystal QC, Michael, The Golden Thread: Universalism and Assistance in International Insolvency, (2011), available </w:t>
      </w:r>
      <w:r w:rsidRPr="0087375E">
        <w:rPr>
          <w:color w:val="000000" w:themeColor="text1"/>
        </w:rPr>
        <w:t xml:space="preserve">at </w:t>
      </w:r>
      <w:hyperlink r:id="rId8" w:history="1">
        <w:r w:rsidRPr="0087375E">
          <w:rPr>
            <w:rStyle w:val="Hyperlink"/>
            <w:color w:val="000000" w:themeColor="text1"/>
          </w:rPr>
          <w:t>www.jerseylaw.je/publications</w:t>
        </w:r>
      </w:hyperlink>
    </w:p>
    <w:p w14:paraId="190BE5D9" w14:textId="42BA17F8" w:rsidR="002D0934" w:rsidRDefault="002D0934" w:rsidP="000D2B6B">
      <w:pPr>
        <w:jc w:val="both"/>
        <w:rPr>
          <w:color w:val="000000" w:themeColor="text1"/>
        </w:rPr>
      </w:pPr>
    </w:p>
    <w:p w14:paraId="78366EF7" w14:textId="062F839D" w:rsidR="002D0934" w:rsidRDefault="002D0934" w:rsidP="000D2B6B">
      <w:pPr>
        <w:jc w:val="both"/>
        <w:rPr>
          <w:color w:val="000000" w:themeColor="text1"/>
          <w:lang w:val="en-US"/>
        </w:rPr>
      </w:pPr>
      <w:r>
        <w:rPr>
          <w:lang w:val="en-US"/>
        </w:rPr>
        <w:t>Westbrook, JL, A Global Solution to Multinational Default, 98 Mich L.Rev 2276 (2000), at 2277</w:t>
      </w:r>
      <w:r w:rsidR="00C174B3">
        <w:rPr>
          <w:lang w:val="en-US"/>
        </w:rPr>
        <w:t>. A</w:t>
      </w:r>
      <w:r>
        <w:rPr>
          <w:lang w:val="en-US"/>
        </w:rPr>
        <w:t xml:space="preserve">vailable at </w:t>
      </w:r>
      <w:hyperlink r:id="rId9" w:history="1">
        <w:r w:rsidRPr="00155EC8">
          <w:rPr>
            <w:rStyle w:val="Hyperlink"/>
            <w:color w:val="000000" w:themeColor="text1"/>
            <w:lang w:val="en-US"/>
          </w:rPr>
          <w:t>https://repository.law.umich.edu/cgi/viewcontent.cgi?article=2797&amp;context=mlr</w:t>
        </w:r>
      </w:hyperlink>
    </w:p>
    <w:p w14:paraId="3406700E" w14:textId="77777777" w:rsidR="00FB1F9E" w:rsidRDefault="00FB1F9E" w:rsidP="000D2B6B">
      <w:pPr>
        <w:jc w:val="both"/>
      </w:pPr>
    </w:p>
    <w:p w14:paraId="6C910FF4" w14:textId="48CDE90D" w:rsidR="00FB1F9E" w:rsidRDefault="00FB1F9E" w:rsidP="000D2B6B">
      <w:pPr>
        <w:jc w:val="both"/>
      </w:pPr>
      <w:r>
        <w:t>Fletcher, Ian, Cross-border cooperation in cases of international insolvency: some recent trends compared, 6-7 Tulane Civil Law Forum 171 (1991)</w:t>
      </w:r>
    </w:p>
    <w:p w14:paraId="1E727B01" w14:textId="0276F9D4" w:rsidR="007325CF" w:rsidRDefault="007325CF" w:rsidP="000D2B6B">
      <w:pPr>
        <w:jc w:val="both"/>
        <w:rPr>
          <w:color w:val="000000" w:themeColor="text1"/>
        </w:rPr>
      </w:pPr>
    </w:p>
    <w:p w14:paraId="295AF8E2" w14:textId="19F700B5" w:rsidR="007325CF" w:rsidRDefault="007325CF" w:rsidP="000D2B6B">
      <w:pPr>
        <w:jc w:val="both"/>
      </w:pPr>
      <w:r w:rsidRPr="00155EC8">
        <w:t xml:space="preserve">Hoffman, </w:t>
      </w:r>
      <w:r>
        <w:t xml:space="preserve">Leonard, </w:t>
      </w:r>
      <w:r w:rsidRPr="00155EC8">
        <w:t xml:space="preserve">Cross-border Insolvency: a </w:t>
      </w:r>
      <w:r w:rsidRPr="00DE7D14">
        <w:t>British</w:t>
      </w:r>
      <w:r w:rsidRPr="00155EC8">
        <w:t xml:space="preserve"> </w:t>
      </w:r>
      <w:r>
        <w:t>P</w:t>
      </w:r>
      <w:r w:rsidRPr="00DE7D14">
        <w:t>erspective</w:t>
      </w:r>
      <w:r w:rsidRPr="00155EC8">
        <w:t xml:space="preserve">, 64 Fordham L </w:t>
      </w:r>
      <w:r>
        <w:t>R</w:t>
      </w:r>
      <w:r w:rsidRPr="00155EC8">
        <w:t>ev 2507 (1996</w:t>
      </w:r>
      <w:r>
        <w:t>)</w:t>
      </w:r>
    </w:p>
    <w:p w14:paraId="3D01651A" w14:textId="77777777" w:rsidR="007325CF" w:rsidRDefault="007325CF" w:rsidP="000D2B6B">
      <w:pPr>
        <w:jc w:val="both"/>
      </w:pPr>
    </w:p>
    <w:p w14:paraId="33E2E1D7" w14:textId="52A264AE" w:rsidR="007325CF" w:rsidRDefault="007325CF" w:rsidP="000D2B6B">
      <w:pPr>
        <w:jc w:val="both"/>
      </w:pPr>
      <w:r>
        <w:t>Godwin, Andrew, The Inherent Power of Common Law Courts to Provide Assistance in Cross-</w:t>
      </w:r>
      <w:r w:rsidR="006A4194">
        <w:t>B</w:t>
      </w:r>
      <w:r>
        <w:t>order Insolvencies: from Comity to Complexity, International Insolvency review, Vol. 26, No.1 (2017)</w:t>
      </w:r>
    </w:p>
    <w:p w14:paraId="5CB64F4C" w14:textId="471EABE7" w:rsidR="00627B3B" w:rsidRDefault="00627B3B" w:rsidP="000D2B6B">
      <w:pPr>
        <w:jc w:val="both"/>
        <w:rPr>
          <w:color w:val="000000" w:themeColor="text1"/>
        </w:rPr>
      </w:pPr>
    </w:p>
    <w:p w14:paraId="7EB5879E" w14:textId="0558D32C" w:rsidR="00627B3B" w:rsidRDefault="00627B3B" w:rsidP="000D2B6B">
      <w:pPr>
        <w:jc w:val="both"/>
        <w:rPr>
          <w:lang w:val="en-US"/>
        </w:rPr>
      </w:pPr>
      <w:r>
        <w:rPr>
          <w:lang w:val="en-US"/>
        </w:rPr>
        <w:t xml:space="preserve">Dicey, Morris &amp; Collins, </w:t>
      </w:r>
      <w:r>
        <w:rPr>
          <w:i/>
          <w:lang w:val="en-US"/>
        </w:rPr>
        <w:t>The Conflict of Laws</w:t>
      </w:r>
      <w:r>
        <w:rPr>
          <w:lang w:val="en-US"/>
        </w:rPr>
        <w:t>, 14</w:t>
      </w:r>
      <w:r w:rsidRPr="00155EC8">
        <w:rPr>
          <w:vertAlign w:val="superscript"/>
          <w:lang w:val="en-US"/>
        </w:rPr>
        <w:t>th</w:t>
      </w:r>
      <w:r>
        <w:rPr>
          <w:lang w:val="en-US"/>
        </w:rPr>
        <w:t xml:space="preserve"> ed, </w:t>
      </w:r>
      <w:r w:rsidR="00C174B3">
        <w:t xml:space="preserve">Wildy Simmonds &amp; Hill Publishing, London </w:t>
      </w:r>
      <w:r>
        <w:rPr>
          <w:lang w:val="en-US"/>
        </w:rPr>
        <w:t>(2006)</w:t>
      </w:r>
    </w:p>
    <w:p w14:paraId="3E7CB1EF" w14:textId="77777777" w:rsidR="00C174B3" w:rsidRDefault="00C174B3" w:rsidP="000D2B6B">
      <w:pPr>
        <w:jc w:val="both"/>
      </w:pPr>
    </w:p>
    <w:p w14:paraId="7D615D56" w14:textId="2C2D9907" w:rsidR="00C174B3" w:rsidRPr="0087375E" w:rsidRDefault="00C174B3" w:rsidP="000D2B6B">
      <w:pPr>
        <w:jc w:val="both"/>
        <w:rPr>
          <w:color w:val="000000" w:themeColor="text1"/>
        </w:rPr>
      </w:pPr>
      <w:r>
        <w:t xml:space="preserve">Omar, Paul, Post-Brexit Cooperation and Coordination of EU-UK Insolvencies. Available at </w:t>
      </w:r>
      <w:hyperlink r:id="rId10" w:history="1">
        <w:r w:rsidRPr="0087375E">
          <w:rPr>
            <w:rStyle w:val="Hyperlink"/>
            <w:color w:val="000000" w:themeColor="text1"/>
          </w:rPr>
          <w:t>www.insol-europe.org/download/documents/1247&amp;ved</w:t>
        </w:r>
      </w:hyperlink>
    </w:p>
    <w:p w14:paraId="6FB99B3B" w14:textId="62210CFD" w:rsidR="00C174B3" w:rsidRDefault="00C174B3" w:rsidP="000D2B6B">
      <w:pPr>
        <w:jc w:val="both"/>
        <w:rPr>
          <w:color w:val="000000" w:themeColor="text1"/>
        </w:rPr>
      </w:pPr>
    </w:p>
    <w:p w14:paraId="731B9A8A" w14:textId="7F7DEA6A" w:rsidR="00B41468" w:rsidRDefault="00B41468" w:rsidP="000D2B6B">
      <w:pPr>
        <w:jc w:val="both"/>
        <w:rPr>
          <w:rStyle w:val="Hyperlink"/>
          <w:color w:val="auto"/>
          <w:u w:val="none"/>
          <w:shd w:val="clear" w:color="auto" w:fill="FFFFFF"/>
        </w:rPr>
      </w:pPr>
      <w:r>
        <w:rPr>
          <w:rStyle w:val="Hyperlink"/>
          <w:color w:val="auto"/>
          <w:u w:val="none"/>
          <w:shd w:val="clear" w:color="auto" w:fill="FFFFFF"/>
        </w:rPr>
        <w:t>Omar, Paul</w:t>
      </w:r>
      <w:r w:rsidR="001C06B5">
        <w:rPr>
          <w:rStyle w:val="Hyperlink"/>
          <w:color w:val="auto"/>
          <w:u w:val="none"/>
          <w:shd w:val="clear" w:color="auto" w:fill="FFFFFF"/>
        </w:rPr>
        <w:t xml:space="preserve"> J</w:t>
      </w:r>
      <w:r>
        <w:rPr>
          <w:rStyle w:val="Hyperlink"/>
          <w:color w:val="auto"/>
          <w:u w:val="none"/>
          <w:shd w:val="clear" w:color="auto" w:fill="FFFFFF"/>
        </w:rPr>
        <w:t>, Judicial Cooperation in the Post-</w:t>
      </w:r>
      <w:r>
        <w:rPr>
          <w:rStyle w:val="Hyperlink"/>
          <w:i/>
          <w:color w:val="auto"/>
          <w:u w:val="none"/>
          <w:shd w:val="clear" w:color="auto" w:fill="FFFFFF"/>
        </w:rPr>
        <w:t xml:space="preserve">Singularis </w:t>
      </w:r>
      <w:r>
        <w:rPr>
          <w:rStyle w:val="Hyperlink"/>
          <w:color w:val="auto"/>
          <w:u w:val="none"/>
          <w:shd w:val="clear" w:color="auto" w:fill="FFFFFF"/>
        </w:rPr>
        <w:t xml:space="preserve">World, </w:t>
      </w:r>
      <w:r w:rsidR="001C06B5">
        <w:rPr>
          <w:rStyle w:val="Hyperlink"/>
          <w:color w:val="auto"/>
          <w:u w:val="none"/>
          <w:shd w:val="clear" w:color="auto" w:fill="FFFFFF"/>
        </w:rPr>
        <w:t>International Corporate Rescue, Vol.15, issue 1</w:t>
      </w:r>
      <w:r w:rsidR="00177AAB">
        <w:rPr>
          <w:rStyle w:val="Hyperlink"/>
          <w:color w:val="auto"/>
          <w:u w:val="none"/>
          <w:shd w:val="clear" w:color="auto" w:fill="FFFFFF"/>
        </w:rPr>
        <w:t>, Cambria Chase</w:t>
      </w:r>
      <w:r w:rsidR="00C174B3">
        <w:rPr>
          <w:rStyle w:val="Hyperlink"/>
          <w:color w:val="auto"/>
          <w:u w:val="none"/>
          <w:shd w:val="clear" w:color="auto" w:fill="FFFFFF"/>
        </w:rPr>
        <w:t xml:space="preserve"> (2018)</w:t>
      </w:r>
    </w:p>
    <w:p w14:paraId="40C008EB" w14:textId="2222E548" w:rsidR="00B41468" w:rsidRDefault="00B41468" w:rsidP="000D2B6B">
      <w:pPr>
        <w:jc w:val="both"/>
        <w:rPr>
          <w:rStyle w:val="Hyperlink"/>
          <w:color w:val="auto"/>
          <w:u w:val="none"/>
          <w:shd w:val="clear" w:color="auto" w:fill="FFFFFF"/>
        </w:rPr>
      </w:pPr>
    </w:p>
    <w:p w14:paraId="27003A69" w14:textId="7DC181FF" w:rsidR="00177AAB" w:rsidRDefault="00725B2A" w:rsidP="000D2B6B">
      <w:pPr>
        <w:jc w:val="both"/>
        <w:rPr>
          <w:color w:val="000000" w:themeColor="text1"/>
          <w:lang w:val="en"/>
        </w:rPr>
      </w:pPr>
      <w:r>
        <w:rPr>
          <w:lang w:val="en-US"/>
        </w:rPr>
        <w:t>Mevorach, Iris</w:t>
      </w:r>
      <w:r w:rsidRPr="00155EC8">
        <w:rPr>
          <w:color w:val="000000" w:themeColor="text1"/>
          <w:lang w:val="en-US"/>
        </w:rPr>
        <w:t xml:space="preserve">, </w:t>
      </w:r>
      <w:r w:rsidRPr="00155EC8">
        <w:rPr>
          <w:color w:val="000000" w:themeColor="text1"/>
          <w:lang w:val="en"/>
        </w:rPr>
        <w:t xml:space="preserve">Overlapping International Instruments for Enforcement of Insolvency Judgments: Undermining or Strengthening Universalism?, </w:t>
      </w:r>
      <w:r w:rsidRPr="00155EC8">
        <w:rPr>
          <w:iCs/>
          <w:color w:val="000000" w:themeColor="text1"/>
          <w:lang w:val="en"/>
        </w:rPr>
        <w:t>Eur Bus Org Law Rev</w:t>
      </w:r>
      <w:r w:rsidRPr="00155EC8">
        <w:rPr>
          <w:color w:val="000000" w:themeColor="text1"/>
          <w:lang w:val="en"/>
        </w:rPr>
        <w:t xml:space="preserve"> </w:t>
      </w:r>
      <w:r w:rsidRPr="00155EC8">
        <w:rPr>
          <w:bCs/>
          <w:color w:val="000000" w:themeColor="text1"/>
          <w:lang w:val="en"/>
        </w:rPr>
        <w:t>22</w:t>
      </w:r>
      <w:r w:rsidRPr="00155EC8">
        <w:rPr>
          <w:b/>
          <w:bCs/>
          <w:color w:val="000000" w:themeColor="text1"/>
          <w:lang w:val="en"/>
        </w:rPr>
        <w:t xml:space="preserve">, </w:t>
      </w:r>
      <w:r w:rsidRPr="00155EC8">
        <w:rPr>
          <w:color w:val="000000" w:themeColor="text1"/>
          <w:lang w:val="en"/>
        </w:rPr>
        <w:t>283–315 (2021</w:t>
      </w:r>
      <w:r>
        <w:rPr>
          <w:color w:val="000000" w:themeColor="text1"/>
          <w:lang w:val="en"/>
        </w:rPr>
        <w:t xml:space="preserve">). Available at </w:t>
      </w:r>
      <w:hyperlink r:id="rId11" w:history="1">
        <w:r w:rsidRPr="0087375E">
          <w:rPr>
            <w:rStyle w:val="Hyperlink"/>
            <w:color w:val="000000" w:themeColor="text1"/>
            <w:lang w:val="en"/>
          </w:rPr>
          <w:t>https://doi.org/10.1007/s40804-021-00204-4</w:t>
        </w:r>
      </w:hyperlink>
    </w:p>
    <w:p w14:paraId="03A51617" w14:textId="1F6C6ADD" w:rsidR="00871EC7" w:rsidRDefault="00871EC7" w:rsidP="000D2B6B">
      <w:pPr>
        <w:jc w:val="both"/>
        <w:rPr>
          <w:color w:val="333333"/>
          <w:lang w:val="en"/>
        </w:rPr>
      </w:pPr>
    </w:p>
    <w:p w14:paraId="1D4C6B37" w14:textId="5184DE51" w:rsidR="00871EC7" w:rsidRDefault="00871EC7" w:rsidP="000D2B6B">
      <w:pPr>
        <w:jc w:val="both"/>
      </w:pPr>
      <w:r>
        <w:t>Fletcher, Ian, Insolvency in Private International Law, 2</w:t>
      </w:r>
      <w:r w:rsidRPr="00155EC8">
        <w:rPr>
          <w:vertAlign w:val="superscript"/>
        </w:rPr>
        <w:t>nd</w:t>
      </w:r>
      <w:r>
        <w:t xml:space="preserve"> ed, Oxford University Press (2007)</w:t>
      </w:r>
    </w:p>
    <w:p w14:paraId="7151A044" w14:textId="169A6008" w:rsidR="00871EC7" w:rsidRDefault="00871EC7" w:rsidP="000D2B6B">
      <w:pPr>
        <w:jc w:val="both"/>
        <w:rPr>
          <w:color w:val="333333"/>
          <w:lang w:val="en"/>
        </w:rPr>
      </w:pPr>
    </w:p>
    <w:p w14:paraId="3B62D5E5" w14:textId="0E981BEC" w:rsidR="00871EC7" w:rsidRPr="0087375E" w:rsidRDefault="00871EC7" w:rsidP="000D2B6B">
      <w:pPr>
        <w:jc w:val="both"/>
        <w:rPr>
          <w:color w:val="000000" w:themeColor="text1"/>
          <w:lang w:val="en-US"/>
        </w:rPr>
      </w:pPr>
      <w:r>
        <w:rPr>
          <w:lang w:val="en-US"/>
        </w:rPr>
        <w:t>Kawaley, Ian RC, Cross-Border Insolvency Law in Bermuda: A Common law, Common Sense Approach, paper presented to the National Conference of Bankruptcy Judges, International Round Table, Miami Beach, Florida 28 September 2015.</w:t>
      </w:r>
      <w:r w:rsidR="0090026D">
        <w:rPr>
          <w:lang w:val="en-US"/>
        </w:rPr>
        <w:t xml:space="preserve"> </w:t>
      </w:r>
      <w:r>
        <w:rPr>
          <w:lang w:val="en-US"/>
        </w:rPr>
        <w:t xml:space="preserve">Available at </w:t>
      </w:r>
      <w:hyperlink r:id="rId12" w:history="1">
        <w:r w:rsidR="0090026D" w:rsidRPr="0087375E">
          <w:rPr>
            <w:rStyle w:val="Hyperlink"/>
            <w:color w:val="000000" w:themeColor="text1"/>
            <w:lang w:val="en-US"/>
          </w:rPr>
          <w:t>https://ncbjmeeting.org/2019/archive/2015/edmaterials/Cross-Border</w:t>
        </w:r>
      </w:hyperlink>
      <w:r w:rsidR="0090026D" w:rsidRPr="0087375E">
        <w:rPr>
          <w:color w:val="000000" w:themeColor="text1"/>
          <w:lang w:val="en-US"/>
        </w:rPr>
        <w:t xml:space="preserve"> </w:t>
      </w:r>
    </w:p>
    <w:p w14:paraId="16F7A82C" w14:textId="4E8983F6" w:rsidR="008A5B73" w:rsidRDefault="008A5B73" w:rsidP="000D2B6B">
      <w:pPr>
        <w:jc w:val="both"/>
        <w:rPr>
          <w:color w:val="333333"/>
          <w:lang w:val="en"/>
        </w:rPr>
      </w:pPr>
    </w:p>
    <w:p w14:paraId="0C9845BE" w14:textId="79FB4F09" w:rsidR="008A5B73" w:rsidRDefault="008A5B73" w:rsidP="000D2B6B">
      <w:pPr>
        <w:jc w:val="both"/>
        <w:rPr>
          <w:color w:val="333333"/>
          <w:lang w:val="en"/>
        </w:rPr>
      </w:pPr>
      <w:r>
        <w:t>Kawaley, Ian RC, Relashio!: Liberating the Common Law on Judicial Cooperation from its State of Arrested development – the British Atlantic and Caribbean World, 3 NIBLeJ 10 (2015)</w:t>
      </w:r>
    </w:p>
    <w:p w14:paraId="22EEC82B" w14:textId="3D81F1E3" w:rsidR="00EB0667" w:rsidRDefault="00EB0667" w:rsidP="000D2B6B">
      <w:pPr>
        <w:jc w:val="both"/>
      </w:pPr>
    </w:p>
    <w:p w14:paraId="3AEEE98E" w14:textId="19F19EE9" w:rsidR="0061366E" w:rsidRDefault="0061366E" w:rsidP="000D2B6B">
      <w:pPr>
        <w:jc w:val="both"/>
      </w:pPr>
      <w:r>
        <w:t>Kawaley, I</w:t>
      </w:r>
      <w:r w:rsidR="001C06B5">
        <w:t xml:space="preserve">an </w:t>
      </w:r>
      <w:r w:rsidR="00A559CB">
        <w:t>RC, B</w:t>
      </w:r>
      <w:r>
        <w:t>olton, A</w:t>
      </w:r>
      <w:r w:rsidR="001C06B5">
        <w:t>ndrew</w:t>
      </w:r>
      <w:r w:rsidR="00A559CB">
        <w:t>,</w:t>
      </w:r>
      <w:r>
        <w:t xml:space="preserve"> Mayor, R</w:t>
      </w:r>
      <w:r w:rsidR="001C06B5">
        <w:t>obin</w:t>
      </w:r>
      <w:r w:rsidR="00A559CB">
        <w:t xml:space="preserve"> (eds),</w:t>
      </w:r>
      <w:r>
        <w:t xml:space="preserve"> </w:t>
      </w:r>
      <w:r>
        <w:rPr>
          <w:i/>
        </w:rPr>
        <w:t xml:space="preserve">Cross-Border Judicial Cooperation in Offshore Litigation (The British Offshore World), </w:t>
      </w:r>
      <w:r>
        <w:t xml:space="preserve">Wildy Simmonds &amp; Hill Publishing, </w:t>
      </w:r>
      <w:r w:rsidR="00A559CB">
        <w:t xml:space="preserve">London </w:t>
      </w:r>
      <w:r>
        <w:t>(2016)</w:t>
      </w:r>
    </w:p>
    <w:p w14:paraId="2E9C480A" w14:textId="3C847256" w:rsidR="00A559CB" w:rsidRDefault="00A559CB" w:rsidP="000D2B6B">
      <w:pPr>
        <w:jc w:val="both"/>
      </w:pPr>
    </w:p>
    <w:p w14:paraId="40232AC1" w14:textId="3042A98C" w:rsidR="00A559CB" w:rsidRDefault="00A559CB" w:rsidP="000D2B6B">
      <w:pPr>
        <w:jc w:val="both"/>
      </w:pPr>
      <w:r>
        <w:t>Kawaley, I</w:t>
      </w:r>
      <w:r w:rsidR="001C06B5">
        <w:t xml:space="preserve">an </w:t>
      </w:r>
      <w:r>
        <w:t xml:space="preserve">RC (ed), </w:t>
      </w:r>
      <w:r>
        <w:rPr>
          <w:i/>
        </w:rPr>
        <w:t>Offshore Commercial Law in Bermuda</w:t>
      </w:r>
      <w:r>
        <w:t>, Wildy Simmonds &amp; Hill Publishing, London (2018)</w:t>
      </w:r>
    </w:p>
    <w:p w14:paraId="086F2D44" w14:textId="229DB8B9" w:rsidR="00AA298D" w:rsidRDefault="00AA298D" w:rsidP="000D2B6B">
      <w:pPr>
        <w:jc w:val="both"/>
      </w:pPr>
    </w:p>
    <w:p w14:paraId="2D685387" w14:textId="3FBB88BA" w:rsidR="00AA298D" w:rsidRDefault="00AA298D" w:rsidP="00AA298D">
      <w:pPr>
        <w:pStyle w:val="FootnoteText"/>
        <w:jc w:val="both"/>
        <w:rPr>
          <w:sz w:val="22"/>
        </w:rPr>
      </w:pPr>
      <w:r w:rsidRPr="0087375E">
        <w:rPr>
          <w:sz w:val="22"/>
        </w:rPr>
        <w:t>Moss, Gabriel, Fletcher, Ian, A Saad Affair, Insolvency Intelligence, Vol</w:t>
      </w:r>
      <w:r>
        <w:rPr>
          <w:sz w:val="22"/>
        </w:rPr>
        <w:t>.</w:t>
      </w:r>
      <w:r w:rsidRPr="0087375E">
        <w:rPr>
          <w:sz w:val="22"/>
        </w:rPr>
        <w:t>28, No.4 (2015)</w:t>
      </w:r>
    </w:p>
    <w:p w14:paraId="18791C78" w14:textId="77777777" w:rsidR="00A47B8A" w:rsidRPr="0087375E" w:rsidRDefault="00A47B8A" w:rsidP="00AA298D">
      <w:pPr>
        <w:pStyle w:val="FootnoteText"/>
        <w:jc w:val="both"/>
        <w:rPr>
          <w:sz w:val="22"/>
        </w:rPr>
      </w:pPr>
    </w:p>
    <w:p w14:paraId="1741360C" w14:textId="2D0A0644" w:rsidR="00F75B70" w:rsidRPr="0087375E" w:rsidRDefault="00AA298D" w:rsidP="0087375E">
      <w:pPr>
        <w:pStyle w:val="FootnoteText"/>
        <w:jc w:val="both"/>
        <w:rPr>
          <w:lang w:val="en-US"/>
        </w:rPr>
      </w:pPr>
      <w:r w:rsidRPr="00AA298D">
        <w:rPr>
          <w:color w:val="000000" w:themeColor="text1"/>
          <w:sz w:val="22"/>
          <w:lang w:val="en-US"/>
        </w:rPr>
        <w:t xml:space="preserve">Omar, Paul, The </w:t>
      </w:r>
      <w:r w:rsidR="0090026D">
        <w:rPr>
          <w:color w:val="000000" w:themeColor="text1"/>
          <w:sz w:val="22"/>
          <w:lang w:val="en-US"/>
        </w:rPr>
        <w:t>E</w:t>
      </w:r>
      <w:r w:rsidRPr="00AA298D">
        <w:rPr>
          <w:color w:val="000000" w:themeColor="text1"/>
          <w:sz w:val="22"/>
          <w:lang w:val="en-US"/>
        </w:rPr>
        <w:t xml:space="preserve">bbs and </w:t>
      </w:r>
      <w:r w:rsidR="0090026D">
        <w:rPr>
          <w:color w:val="000000" w:themeColor="text1"/>
          <w:sz w:val="22"/>
          <w:lang w:val="en-US"/>
        </w:rPr>
        <w:t>F</w:t>
      </w:r>
      <w:r w:rsidRPr="00AA298D">
        <w:rPr>
          <w:color w:val="000000" w:themeColor="text1"/>
          <w:sz w:val="22"/>
          <w:lang w:val="en-US"/>
        </w:rPr>
        <w:t xml:space="preserve">lows of </w:t>
      </w:r>
      <w:r w:rsidR="0090026D">
        <w:rPr>
          <w:color w:val="000000" w:themeColor="text1"/>
          <w:sz w:val="22"/>
          <w:lang w:val="en-US"/>
        </w:rPr>
        <w:t>J</w:t>
      </w:r>
      <w:r w:rsidRPr="00AA298D">
        <w:rPr>
          <w:color w:val="000000" w:themeColor="text1"/>
          <w:sz w:val="22"/>
          <w:lang w:val="en-US"/>
        </w:rPr>
        <w:t xml:space="preserve">udicial </w:t>
      </w:r>
      <w:r w:rsidR="0090026D">
        <w:rPr>
          <w:color w:val="000000" w:themeColor="text1"/>
          <w:sz w:val="22"/>
          <w:lang w:val="en-US"/>
        </w:rPr>
        <w:t>C</w:t>
      </w:r>
      <w:r w:rsidRPr="00AA298D">
        <w:rPr>
          <w:color w:val="000000" w:themeColor="text1"/>
          <w:sz w:val="22"/>
          <w:lang w:val="en-US"/>
        </w:rPr>
        <w:t xml:space="preserve">ooperation in the </w:t>
      </w:r>
      <w:r w:rsidR="0090026D">
        <w:rPr>
          <w:color w:val="000000" w:themeColor="text1"/>
          <w:sz w:val="22"/>
          <w:lang w:val="en-US"/>
        </w:rPr>
        <w:t>C</w:t>
      </w:r>
      <w:r w:rsidRPr="00AA298D">
        <w:rPr>
          <w:color w:val="000000" w:themeColor="text1"/>
          <w:sz w:val="22"/>
          <w:lang w:val="en-US"/>
        </w:rPr>
        <w:t xml:space="preserve">ommon </w:t>
      </w:r>
      <w:r w:rsidR="0090026D">
        <w:rPr>
          <w:color w:val="000000" w:themeColor="text1"/>
          <w:sz w:val="22"/>
          <w:lang w:val="en-US"/>
        </w:rPr>
        <w:t>L</w:t>
      </w:r>
      <w:r w:rsidRPr="00AA298D">
        <w:rPr>
          <w:color w:val="000000" w:themeColor="text1"/>
          <w:sz w:val="22"/>
          <w:lang w:val="en-US"/>
        </w:rPr>
        <w:t xml:space="preserve">aw, published Eurofenix (2015). Available at </w:t>
      </w:r>
      <w:hyperlink r:id="rId13" w:history="1">
        <w:r w:rsidRPr="00AA298D">
          <w:rPr>
            <w:rStyle w:val="Hyperlink"/>
            <w:color w:val="000000" w:themeColor="text1"/>
            <w:sz w:val="22"/>
            <w:lang w:val="en-US"/>
          </w:rPr>
          <w:t>www.insol-europe.org/download/documents/722&amp;ved</w:t>
        </w:r>
      </w:hyperlink>
    </w:p>
    <w:sectPr w:rsidR="00F75B70" w:rsidRPr="0087375E" w:rsidSect="004D7544">
      <w:footerReference w:type="defaul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F6C4" w14:textId="77777777" w:rsidR="00091050" w:rsidRDefault="00091050" w:rsidP="002108F4">
      <w:r>
        <w:separator/>
      </w:r>
    </w:p>
  </w:endnote>
  <w:endnote w:type="continuationSeparator" w:id="0">
    <w:p w14:paraId="1F16E0A3" w14:textId="77777777" w:rsidR="00091050" w:rsidRDefault="00091050" w:rsidP="0021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13771"/>
      <w:docPartObj>
        <w:docPartGallery w:val="Page Numbers (Bottom of Page)"/>
        <w:docPartUnique/>
      </w:docPartObj>
    </w:sdtPr>
    <w:sdtEndPr>
      <w:rPr>
        <w:noProof/>
      </w:rPr>
    </w:sdtEndPr>
    <w:sdtContent>
      <w:p w14:paraId="2CD71637" w14:textId="0E25AF2E" w:rsidR="00AA298D" w:rsidRDefault="00AA29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C3106" w14:textId="77777777" w:rsidR="00AA298D" w:rsidRDefault="00AA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A4F" w14:textId="77777777" w:rsidR="00091050" w:rsidRDefault="00091050" w:rsidP="002108F4">
      <w:r>
        <w:separator/>
      </w:r>
    </w:p>
  </w:footnote>
  <w:footnote w:type="continuationSeparator" w:id="0">
    <w:p w14:paraId="484AA803" w14:textId="77777777" w:rsidR="00091050" w:rsidRDefault="00091050" w:rsidP="002108F4">
      <w:r>
        <w:continuationSeparator/>
      </w:r>
    </w:p>
  </w:footnote>
  <w:footnote w:id="1">
    <w:p w14:paraId="01BB30F6" w14:textId="784B9981" w:rsidR="00AA298D" w:rsidRPr="00CF0DFD" w:rsidRDefault="00AA298D" w:rsidP="0087375E">
      <w:pPr>
        <w:pStyle w:val="FootnoteText"/>
        <w:jc w:val="both"/>
      </w:pPr>
      <w:r>
        <w:rPr>
          <w:rStyle w:val="FootnoteReference"/>
        </w:rPr>
        <w:footnoteRef/>
      </w:r>
      <w:r>
        <w:t xml:space="preserve"> </w:t>
      </w:r>
      <w:r>
        <w:rPr>
          <w:i/>
        </w:rPr>
        <w:t xml:space="preserve">Re HIH Casualty &amp; General Insurance Ltd </w:t>
      </w:r>
      <w:r>
        <w:t>[2008] WLR 852, at 861-862.</w:t>
      </w:r>
    </w:p>
  </w:footnote>
  <w:footnote w:id="2">
    <w:p w14:paraId="28A07884" w14:textId="30813FC8" w:rsidR="00AA298D" w:rsidRPr="00CF0DFD" w:rsidRDefault="00AA298D" w:rsidP="0087375E">
      <w:pPr>
        <w:pStyle w:val="FootnoteText"/>
        <w:jc w:val="both"/>
      </w:pPr>
      <w:r>
        <w:rPr>
          <w:rStyle w:val="FootnoteReference"/>
        </w:rPr>
        <w:footnoteRef/>
      </w:r>
      <w:r>
        <w:rPr>
          <w:i/>
        </w:rPr>
        <w:t xml:space="preserve"> Cambridge Gas Transport Corporation v Official Committee of Unsecured Creditors of Navigator Holdings Plc </w:t>
      </w:r>
      <w:r>
        <w:t>[2006] 3 All ER 829 (PC).</w:t>
      </w:r>
    </w:p>
  </w:footnote>
  <w:footnote w:id="3">
    <w:p w14:paraId="2F3C3A2B" w14:textId="073B11E0" w:rsidR="00AA298D" w:rsidRPr="001B63C6" w:rsidRDefault="00AA298D" w:rsidP="00FB1F9E">
      <w:pPr>
        <w:pStyle w:val="FootnoteText"/>
        <w:jc w:val="both"/>
      </w:pPr>
      <w:r>
        <w:rPr>
          <w:rStyle w:val="FootnoteReference"/>
        </w:rPr>
        <w:footnoteRef/>
      </w:r>
      <w:r>
        <w:t xml:space="preserve"> </w:t>
      </w:r>
      <w:r w:rsidRPr="0087375E">
        <w:rPr>
          <w:i/>
        </w:rPr>
        <w:t>Ibid</w:t>
      </w:r>
      <w:r>
        <w:t xml:space="preserve"> at [14]. </w:t>
      </w:r>
    </w:p>
  </w:footnote>
  <w:footnote w:id="4">
    <w:p w14:paraId="287585E8" w14:textId="1DCE4EE5" w:rsidR="00AA298D" w:rsidRPr="00D22B3C" w:rsidRDefault="00AA298D" w:rsidP="0087375E">
      <w:pPr>
        <w:pStyle w:val="FootnoteText"/>
        <w:jc w:val="both"/>
      </w:pPr>
      <w:r>
        <w:rPr>
          <w:rStyle w:val="FootnoteReference"/>
        </w:rPr>
        <w:footnoteRef/>
      </w:r>
      <w:r>
        <w:t xml:space="preserve"> Crystal QC, Michael, The Golden Thread: Universalism and Assistance in International Insolvency, (2011), at page 2, available at </w:t>
      </w:r>
      <w:hyperlink r:id="rId1" w:history="1">
        <w:r w:rsidRPr="0087375E">
          <w:rPr>
            <w:rStyle w:val="Hyperlink"/>
            <w:color w:val="000000" w:themeColor="text1"/>
          </w:rPr>
          <w:t>www.jerseylaw.je/publications</w:t>
        </w:r>
      </w:hyperlink>
    </w:p>
  </w:footnote>
  <w:footnote w:id="5">
    <w:p w14:paraId="2AC6B79F" w14:textId="475EE8A9" w:rsidR="00AA298D" w:rsidRPr="0087375E" w:rsidRDefault="00AA298D" w:rsidP="0087375E">
      <w:pPr>
        <w:pStyle w:val="FootnoteText"/>
        <w:jc w:val="both"/>
        <w:rPr>
          <w:lang w:val="en-US"/>
        </w:rPr>
      </w:pPr>
      <w:r>
        <w:rPr>
          <w:rStyle w:val="FootnoteReference"/>
        </w:rPr>
        <w:footnoteRef/>
      </w:r>
      <w:r>
        <w:t xml:space="preserve"> </w:t>
      </w:r>
      <w:r>
        <w:rPr>
          <w:lang w:val="en-US"/>
        </w:rPr>
        <w:t xml:space="preserve">Westbrook, JL, A Global Solution to Multinational Default, 98 Mich L.Rev 2276 (2000), at 2277, available at </w:t>
      </w:r>
      <w:hyperlink r:id="rId2" w:history="1">
        <w:r w:rsidRPr="0087375E">
          <w:rPr>
            <w:rStyle w:val="Hyperlink"/>
            <w:color w:val="000000" w:themeColor="text1"/>
            <w:lang w:val="en-US"/>
          </w:rPr>
          <w:t>https://repository.law.umich.edu/cgi/viewcontent.cgi?article=2797&amp;context=mlr</w:t>
        </w:r>
      </w:hyperlink>
    </w:p>
  </w:footnote>
  <w:footnote w:id="6">
    <w:p w14:paraId="41359DAB" w14:textId="02E75C4B" w:rsidR="00AA298D" w:rsidRPr="00B04A78" w:rsidRDefault="00AA298D" w:rsidP="00FB1F9E">
      <w:pPr>
        <w:pStyle w:val="FootnoteText"/>
        <w:jc w:val="both"/>
      </w:pPr>
      <w:r>
        <w:rPr>
          <w:rStyle w:val="FootnoteReference"/>
        </w:rPr>
        <w:footnoteRef/>
      </w:r>
      <w:r>
        <w:t xml:space="preserve"> </w:t>
      </w:r>
      <w:r w:rsidRPr="0087375E">
        <w:rPr>
          <w:i/>
        </w:rPr>
        <w:t>Op cit</w:t>
      </w:r>
      <w:r>
        <w:t xml:space="preserve"> footnote 4 at page 2.</w:t>
      </w:r>
    </w:p>
  </w:footnote>
  <w:footnote w:id="7">
    <w:p w14:paraId="6DE74199" w14:textId="545FF80C" w:rsidR="00AA298D" w:rsidRPr="00D22B3C" w:rsidRDefault="00AA298D" w:rsidP="0087375E">
      <w:pPr>
        <w:pStyle w:val="FootnoteText"/>
        <w:jc w:val="both"/>
      </w:pPr>
      <w:r>
        <w:rPr>
          <w:rStyle w:val="FootnoteReference"/>
        </w:rPr>
        <w:footnoteRef/>
      </w:r>
      <w:r>
        <w:t xml:space="preserve"> </w:t>
      </w:r>
      <w:r w:rsidR="00000B7B">
        <w:rPr>
          <w:i/>
        </w:rPr>
        <w:t xml:space="preserve">Cambridge Gas, </w:t>
      </w:r>
      <w:r w:rsidR="00000B7B">
        <w:t xml:space="preserve">at </w:t>
      </w:r>
      <w:r>
        <w:t>[517], per Lord Hoffman.</w:t>
      </w:r>
    </w:p>
  </w:footnote>
  <w:footnote w:id="8">
    <w:p w14:paraId="3B970363" w14:textId="727EE37D" w:rsidR="00AA298D" w:rsidRPr="00D22B3C" w:rsidRDefault="00AA298D" w:rsidP="0087375E">
      <w:pPr>
        <w:pStyle w:val="FootnoteText"/>
        <w:jc w:val="both"/>
      </w:pPr>
      <w:r>
        <w:rPr>
          <w:rStyle w:val="FootnoteReference"/>
        </w:rPr>
        <w:footnoteRef/>
      </w:r>
      <w:r>
        <w:t xml:space="preserve"> </w:t>
      </w:r>
      <w:r>
        <w:rPr>
          <w:i/>
        </w:rPr>
        <w:t>Op cit</w:t>
      </w:r>
      <w:r>
        <w:t xml:space="preserve"> footnote 5 at pages 2278, 2300-2302.</w:t>
      </w:r>
    </w:p>
  </w:footnote>
  <w:footnote w:id="9">
    <w:p w14:paraId="2E576F8D" w14:textId="0A6E1C34" w:rsidR="00AA298D" w:rsidRPr="00F34284" w:rsidRDefault="00AA298D" w:rsidP="0087375E">
      <w:pPr>
        <w:pStyle w:val="FootnoteText"/>
        <w:jc w:val="both"/>
      </w:pPr>
      <w:r>
        <w:rPr>
          <w:rStyle w:val="FootnoteReference"/>
        </w:rPr>
        <w:footnoteRef/>
      </w:r>
      <w:r>
        <w:t xml:space="preserve"> Fletcher, Ian, Cross-border cooperation in cases of international insolvency: some recent trends compared (1991), 6-7 Tulane Civil Law Forum 171, at pages 182-183. See in particular </w:t>
      </w:r>
      <w:r>
        <w:rPr>
          <w:i/>
        </w:rPr>
        <w:t xml:space="preserve">Solomons v Ross </w:t>
      </w:r>
      <w:r>
        <w:t xml:space="preserve">(1764) 126 ER 79 and </w:t>
      </w:r>
      <w:r>
        <w:rPr>
          <w:i/>
        </w:rPr>
        <w:t>Sill v Worswick</w:t>
      </w:r>
      <w:r>
        <w:t xml:space="preserve"> (1781) 1 H. B1.665. </w:t>
      </w:r>
    </w:p>
  </w:footnote>
  <w:footnote w:id="10">
    <w:p w14:paraId="3EC57261" w14:textId="25B52F77" w:rsidR="00AA298D" w:rsidRPr="00D22B3C" w:rsidRDefault="00AA298D" w:rsidP="0087375E">
      <w:pPr>
        <w:pStyle w:val="FootnoteText"/>
        <w:jc w:val="both"/>
      </w:pPr>
      <w:r>
        <w:rPr>
          <w:rStyle w:val="FootnoteReference"/>
        </w:rPr>
        <w:footnoteRef/>
      </w:r>
      <w:r>
        <w:t xml:space="preserve"> </w:t>
      </w:r>
      <w:r w:rsidRPr="0087375E">
        <w:t xml:space="preserve">Hoffman, </w:t>
      </w:r>
      <w:r>
        <w:t xml:space="preserve">Leonard, </w:t>
      </w:r>
      <w:r w:rsidRPr="0087375E">
        <w:t xml:space="preserve">Cross-border Insolvency: a </w:t>
      </w:r>
      <w:r w:rsidRPr="00DE7D14">
        <w:t>British</w:t>
      </w:r>
      <w:r w:rsidRPr="0087375E">
        <w:t xml:space="preserve"> </w:t>
      </w:r>
      <w:r>
        <w:t>P</w:t>
      </w:r>
      <w:r w:rsidRPr="00DE7D14">
        <w:t>erspective</w:t>
      </w:r>
      <w:r w:rsidRPr="0087375E">
        <w:t xml:space="preserve">, 64 Fordham L </w:t>
      </w:r>
      <w:r>
        <w:t>R</w:t>
      </w:r>
      <w:r w:rsidRPr="0087375E">
        <w:t xml:space="preserve">ev 2507 (1996), </w:t>
      </w:r>
      <w:r>
        <w:t>at pages 1-2</w:t>
      </w:r>
      <w:r>
        <w:rPr>
          <w:i/>
        </w:rPr>
        <w:t xml:space="preserve">. </w:t>
      </w:r>
      <w:r>
        <w:t>A detailed analysis of the 18</w:t>
      </w:r>
      <w:r w:rsidRPr="0087375E">
        <w:rPr>
          <w:vertAlign w:val="superscript"/>
        </w:rPr>
        <w:t>th</w:t>
      </w:r>
      <w:r>
        <w:t xml:space="preserve"> and 19</w:t>
      </w:r>
      <w:r w:rsidRPr="0087375E">
        <w:rPr>
          <w:vertAlign w:val="superscript"/>
        </w:rPr>
        <w:t>th</w:t>
      </w:r>
      <w:r>
        <w:t xml:space="preserve"> century cases can be found in Godwin, Andrew, The Inherent Power of Common Law Courts to Provide Assistance in Cross-border Insolvencies: from Comity to Complexity, International Insolvency review, Vol. 26, No.1 (2017), at pages 3-6. </w:t>
      </w:r>
    </w:p>
  </w:footnote>
  <w:footnote w:id="11">
    <w:p w14:paraId="4D7EDFF2" w14:textId="77777777" w:rsidR="00AA298D" w:rsidRPr="00752D4C" w:rsidRDefault="00AA298D" w:rsidP="0087375E">
      <w:pPr>
        <w:pStyle w:val="FootnoteText"/>
        <w:jc w:val="both"/>
        <w:rPr>
          <w:lang w:val="en-US"/>
        </w:rPr>
      </w:pPr>
      <w:r>
        <w:rPr>
          <w:rStyle w:val="FootnoteReference"/>
        </w:rPr>
        <w:footnoteRef/>
      </w:r>
      <w:r>
        <w:t xml:space="preserve"> </w:t>
      </w:r>
      <w:r>
        <w:rPr>
          <w:i/>
          <w:lang w:val="en-US"/>
        </w:rPr>
        <w:t xml:space="preserve">Mitchell v Carter </w:t>
      </w:r>
      <w:r>
        <w:rPr>
          <w:lang w:val="en-US"/>
        </w:rPr>
        <w:t xml:space="preserve">[1997] 1 BCLC 673, at [686-867], per Millett, LJ. </w:t>
      </w:r>
    </w:p>
  </w:footnote>
  <w:footnote w:id="12">
    <w:p w14:paraId="7921805B" w14:textId="77777777" w:rsidR="006E3F9C" w:rsidRPr="0087375E" w:rsidRDefault="006E3F9C" w:rsidP="006E3F9C">
      <w:pPr>
        <w:pStyle w:val="FootnoteText"/>
        <w:jc w:val="both"/>
        <w:rPr>
          <w:lang w:val="en-US"/>
        </w:rPr>
      </w:pPr>
      <w:r>
        <w:rPr>
          <w:rStyle w:val="FootnoteReference"/>
        </w:rPr>
        <w:footnoteRef/>
      </w:r>
      <w:r>
        <w:t xml:space="preserve"> </w:t>
      </w:r>
      <w:r>
        <w:rPr>
          <w:lang w:val="en-US"/>
        </w:rPr>
        <w:t xml:space="preserve">This reflects the importance of the place of incorporation of a company in the common law; see Rule 166 Dicey, Morris &amp; Collins, </w:t>
      </w:r>
      <w:r>
        <w:rPr>
          <w:i/>
          <w:lang w:val="en-US"/>
        </w:rPr>
        <w:t>The Conflict of Laws</w:t>
      </w:r>
      <w:r>
        <w:rPr>
          <w:lang w:val="en-US"/>
        </w:rPr>
        <w:t>, 14</w:t>
      </w:r>
      <w:r w:rsidRPr="0087375E">
        <w:rPr>
          <w:vertAlign w:val="superscript"/>
          <w:lang w:val="en-US"/>
        </w:rPr>
        <w:t>th</w:t>
      </w:r>
      <w:r>
        <w:rPr>
          <w:lang w:val="en-US"/>
        </w:rPr>
        <w:t xml:space="preserve"> ed, Wildy (2006).</w:t>
      </w:r>
    </w:p>
  </w:footnote>
  <w:footnote w:id="13">
    <w:p w14:paraId="147CAA9A" w14:textId="60DBCF71" w:rsidR="00AA298D" w:rsidRPr="0087375E" w:rsidRDefault="00AA298D" w:rsidP="0087375E">
      <w:pPr>
        <w:pStyle w:val="FootnoteText"/>
        <w:jc w:val="both"/>
        <w:rPr>
          <w:lang w:val="en-US"/>
        </w:rPr>
      </w:pPr>
      <w:r>
        <w:rPr>
          <w:rStyle w:val="FootnoteReference"/>
        </w:rPr>
        <w:footnoteRef/>
      </w:r>
      <w:r>
        <w:t xml:space="preserve"> </w:t>
      </w:r>
      <w:r>
        <w:rPr>
          <w:i/>
          <w:lang w:val="en-US"/>
        </w:rPr>
        <w:t xml:space="preserve">Re International Tin Council </w:t>
      </w:r>
      <w:r>
        <w:rPr>
          <w:lang w:val="en-US"/>
        </w:rPr>
        <w:t xml:space="preserve">[1987] Ch 419,446-447; also </w:t>
      </w:r>
      <w:r>
        <w:rPr>
          <w:i/>
          <w:lang w:val="en-US"/>
        </w:rPr>
        <w:t>Re BCCI (No 10)</w:t>
      </w:r>
      <w:r>
        <w:rPr>
          <w:lang w:val="en-US"/>
        </w:rPr>
        <w:t xml:space="preserve"> [1997] CH 213. </w:t>
      </w:r>
    </w:p>
  </w:footnote>
  <w:footnote w:id="14">
    <w:p w14:paraId="60DB285C" w14:textId="0280A53D" w:rsidR="00AA298D" w:rsidRPr="0087375E" w:rsidRDefault="00AA298D" w:rsidP="0087375E">
      <w:pPr>
        <w:pStyle w:val="FootnoteText"/>
        <w:jc w:val="both"/>
        <w:rPr>
          <w:lang w:val="en-US"/>
        </w:rPr>
      </w:pPr>
      <w:r>
        <w:rPr>
          <w:rStyle w:val="FootnoteReference"/>
        </w:rPr>
        <w:footnoteRef/>
      </w:r>
      <w:r>
        <w:t xml:space="preserve"> </w:t>
      </w:r>
      <w:r>
        <w:rPr>
          <w:i/>
          <w:lang w:val="en-US"/>
        </w:rPr>
        <w:t>Supra</w:t>
      </w:r>
      <w:r>
        <w:rPr>
          <w:lang w:val="en-US"/>
        </w:rPr>
        <w:t xml:space="preserve"> at footnote 4, page 3. </w:t>
      </w:r>
    </w:p>
  </w:footnote>
  <w:footnote w:id="15">
    <w:p w14:paraId="019F21E8" w14:textId="044557C1" w:rsidR="00AA298D" w:rsidRPr="00356456" w:rsidRDefault="00AA298D">
      <w:pPr>
        <w:pStyle w:val="FootnoteText"/>
      </w:pPr>
      <w:r>
        <w:rPr>
          <w:rStyle w:val="FootnoteReference"/>
        </w:rPr>
        <w:footnoteRef/>
      </w:r>
      <w:r>
        <w:t xml:space="preserve"> Ancillary liquidation is now regulated by sections 221 and 226 of the Insolvency Act. </w:t>
      </w:r>
    </w:p>
  </w:footnote>
  <w:footnote w:id="16">
    <w:p w14:paraId="4BFE9338" w14:textId="3B83A7F2" w:rsidR="00AA298D" w:rsidRPr="00F617BF" w:rsidRDefault="00AA298D" w:rsidP="0087375E">
      <w:pPr>
        <w:pStyle w:val="FootnoteText"/>
        <w:jc w:val="both"/>
      </w:pPr>
      <w:r>
        <w:rPr>
          <w:rStyle w:val="FootnoteReference"/>
        </w:rPr>
        <w:footnoteRef/>
      </w:r>
      <w:r>
        <w:t xml:space="preserve"> The complementary UNCITRAL Model Law on Recognition and Enforcement of Insolvency Related Judgments, published on 19 September 2018, has yet to be adopted. </w:t>
      </w:r>
    </w:p>
  </w:footnote>
  <w:footnote w:id="17">
    <w:p w14:paraId="1B9D14B4" w14:textId="1032EADC" w:rsidR="00AA298D" w:rsidRPr="004503CD" w:rsidRDefault="00AA298D" w:rsidP="0087375E">
      <w:pPr>
        <w:pStyle w:val="FootnoteText"/>
        <w:jc w:val="both"/>
      </w:pPr>
      <w:r>
        <w:rPr>
          <w:rStyle w:val="FootnoteReference"/>
        </w:rPr>
        <w:footnoteRef/>
      </w:r>
      <w:r>
        <w:t xml:space="preserve"> Fletcher, Ian, Insolvency in Private International Law, 2</w:t>
      </w:r>
      <w:r w:rsidRPr="0087375E">
        <w:rPr>
          <w:vertAlign w:val="superscript"/>
        </w:rPr>
        <w:t>nd</w:t>
      </w:r>
      <w:r>
        <w:t xml:space="preserve"> ed, Oxford University Press (2007), at 2-109.</w:t>
      </w:r>
    </w:p>
  </w:footnote>
  <w:footnote w:id="18">
    <w:p w14:paraId="341EBA08" w14:textId="7956B561" w:rsidR="00AA298D" w:rsidRPr="00840132" w:rsidRDefault="00AA298D" w:rsidP="0087375E">
      <w:pPr>
        <w:pStyle w:val="FootnoteText"/>
        <w:jc w:val="both"/>
      </w:pPr>
      <w:r>
        <w:rPr>
          <w:rStyle w:val="FootnoteReference"/>
        </w:rPr>
        <w:footnoteRef/>
      </w:r>
      <w:r>
        <w:t xml:space="preserve"> See the history of Bermuda cross-border cooperation in </w:t>
      </w:r>
      <w:r>
        <w:rPr>
          <w:lang w:val="en-US"/>
        </w:rPr>
        <w:t xml:space="preserve">Kawaley, Ian RC, Cross-Border Insolvency Law in Bermuda: A Common law, Common Sense Approach, paper presented to the National Conference of Bankruptcy Judges, International Round Table, Miami Beach, Florida 28 September 2015; at pages 3-7, at </w:t>
      </w:r>
      <w:hyperlink r:id="rId3" w:history="1">
        <w:r w:rsidRPr="0087375E">
          <w:rPr>
            <w:rStyle w:val="Hyperlink"/>
            <w:color w:val="auto"/>
            <w:lang w:val="en-US"/>
          </w:rPr>
          <w:t>https://ncbjmeeting.org/2019/archive/2015/edmaterials/Cross-Border%20Insolvency%20Law%20in%20Bermuda-%20a%20Common%20Law%20and%20Common%20Sense%20Approach.pdf</w:t>
        </w:r>
      </w:hyperlink>
    </w:p>
  </w:footnote>
  <w:footnote w:id="19">
    <w:p w14:paraId="7981624A" w14:textId="7115DF75" w:rsidR="00AA298D" w:rsidRPr="00356456" w:rsidRDefault="00AA298D" w:rsidP="0087375E">
      <w:pPr>
        <w:jc w:val="both"/>
      </w:pPr>
      <w:r w:rsidRPr="0087375E">
        <w:rPr>
          <w:rStyle w:val="FootnoteReference"/>
          <w:sz w:val="20"/>
          <w:szCs w:val="20"/>
        </w:rPr>
        <w:footnoteRef/>
      </w:r>
      <w:r w:rsidRPr="0087375E">
        <w:rPr>
          <w:sz w:val="20"/>
          <w:szCs w:val="20"/>
        </w:rPr>
        <w:t xml:space="preserve"> This is partly due to concerns expressed by the Insolvency </w:t>
      </w:r>
      <w:r>
        <w:rPr>
          <w:sz w:val="20"/>
          <w:szCs w:val="20"/>
        </w:rPr>
        <w:t>L</w:t>
      </w:r>
      <w:r w:rsidRPr="0087375E">
        <w:rPr>
          <w:sz w:val="20"/>
          <w:szCs w:val="20"/>
        </w:rPr>
        <w:t xml:space="preserve">aw </w:t>
      </w:r>
      <w:r>
        <w:rPr>
          <w:sz w:val="20"/>
          <w:szCs w:val="20"/>
        </w:rPr>
        <w:t>R</w:t>
      </w:r>
      <w:r w:rsidRPr="0087375E">
        <w:rPr>
          <w:sz w:val="20"/>
          <w:szCs w:val="20"/>
        </w:rPr>
        <w:t xml:space="preserve">eform Sub-Committee </w:t>
      </w:r>
      <w:r>
        <w:rPr>
          <w:sz w:val="20"/>
          <w:szCs w:val="20"/>
        </w:rPr>
        <w:t xml:space="preserve">as </w:t>
      </w:r>
      <w:r w:rsidRPr="0087375E">
        <w:rPr>
          <w:sz w:val="20"/>
          <w:szCs w:val="20"/>
        </w:rPr>
        <w:t xml:space="preserve">to how the doctrine of COMI might be applied in an offshore jurisdiction; </w:t>
      </w:r>
      <w:r w:rsidRPr="009C52BA">
        <w:rPr>
          <w:sz w:val="20"/>
          <w:szCs w:val="20"/>
        </w:rPr>
        <w:t xml:space="preserve">Kawaley, Ian RC, in Bolton, A, Mayor, R, Kawaley IRC (eds), </w:t>
      </w:r>
      <w:r w:rsidRPr="009C52BA">
        <w:rPr>
          <w:i/>
          <w:sz w:val="20"/>
          <w:szCs w:val="20"/>
        </w:rPr>
        <w:t xml:space="preserve">Cross-Border Judicial Cooperation in Offshore Litigation (The British Offshore World), </w:t>
      </w:r>
      <w:r w:rsidRPr="009C52BA">
        <w:rPr>
          <w:sz w:val="20"/>
          <w:szCs w:val="20"/>
        </w:rPr>
        <w:t xml:space="preserve">Wildy Simmonds &amp; Hill Publishing, London (2016), at page 258. </w:t>
      </w:r>
    </w:p>
  </w:footnote>
  <w:footnote w:id="20">
    <w:p w14:paraId="4DFCC56B" w14:textId="010DA5B1" w:rsidR="00AA298D" w:rsidRPr="0087375E" w:rsidRDefault="00AA298D" w:rsidP="0087375E">
      <w:pPr>
        <w:pStyle w:val="FootnoteText"/>
        <w:jc w:val="both"/>
        <w:rPr>
          <w:lang w:val="en-US"/>
        </w:rPr>
      </w:pPr>
      <w:r>
        <w:rPr>
          <w:rStyle w:val="FootnoteReference"/>
        </w:rPr>
        <w:footnoteRef/>
      </w:r>
      <w:r>
        <w:t xml:space="preserve"> </w:t>
      </w:r>
      <w:r>
        <w:rPr>
          <w:lang w:val="en-US"/>
        </w:rPr>
        <w:t xml:space="preserve">[1999] Bda LR 69. </w:t>
      </w:r>
    </w:p>
  </w:footnote>
  <w:footnote w:id="21">
    <w:p w14:paraId="33E6B0A2" w14:textId="76F01012" w:rsidR="00AA298D" w:rsidRPr="00F06595" w:rsidRDefault="00AA298D" w:rsidP="0087375E">
      <w:pPr>
        <w:pStyle w:val="FootnoteText"/>
        <w:jc w:val="both"/>
      </w:pPr>
      <w:r>
        <w:rPr>
          <w:rStyle w:val="FootnoteReference"/>
        </w:rPr>
        <w:footnoteRef/>
      </w:r>
      <w:r>
        <w:t xml:space="preserve"> </w:t>
      </w:r>
      <w:r>
        <w:rPr>
          <w:i/>
        </w:rPr>
        <w:t>Ibid</w:t>
      </w:r>
      <w:r>
        <w:t xml:space="preserve">, at pages 1-2, per Ward, CJ. </w:t>
      </w:r>
    </w:p>
  </w:footnote>
  <w:footnote w:id="22">
    <w:p w14:paraId="496F3CD9" w14:textId="65381CA5" w:rsidR="00AA298D" w:rsidRPr="00356456" w:rsidRDefault="00AA298D" w:rsidP="00161C41">
      <w:pPr>
        <w:pStyle w:val="FootnoteText"/>
        <w:jc w:val="both"/>
      </w:pPr>
      <w:r>
        <w:rPr>
          <w:rStyle w:val="FootnoteReference"/>
        </w:rPr>
        <w:footnoteRef/>
      </w:r>
      <w:r>
        <w:t xml:space="preserve"> </w:t>
      </w:r>
      <w:r>
        <w:rPr>
          <w:i/>
        </w:rPr>
        <w:t xml:space="preserve">Supra </w:t>
      </w:r>
      <w:r>
        <w:t xml:space="preserve">footnote </w:t>
      </w:r>
      <w:r w:rsidR="00352B1E">
        <w:t>19</w:t>
      </w:r>
      <w:r>
        <w:t>, at pages 232-233.</w:t>
      </w:r>
    </w:p>
  </w:footnote>
  <w:footnote w:id="23">
    <w:p w14:paraId="08B09963" w14:textId="633E13F3" w:rsidR="00AA298D" w:rsidRPr="009A78B3" w:rsidRDefault="00AA298D" w:rsidP="0087375E">
      <w:pPr>
        <w:pStyle w:val="FootnoteText"/>
        <w:jc w:val="both"/>
        <w:rPr>
          <w:szCs w:val="20"/>
        </w:rPr>
      </w:pPr>
      <w:r w:rsidRPr="00356456">
        <w:rPr>
          <w:rStyle w:val="FootnoteReference"/>
          <w:szCs w:val="20"/>
        </w:rPr>
        <w:footnoteRef/>
      </w:r>
      <w:r w:rsidRPr="00356456">
        <w:rPr>
          <w:szCs w:val="20"/>
        </w:rPr>
        <w:t xml:space="preserve"> </w:t>
      </w:r>
      <w:r w:rsidRPr="00356456">
        <w:rPr>
          <w:i/>
          <w:szCs w:val="20"/>
        </w:rPr>
        <w:t xml:space="preserve">Supra </w:t>
      </w:r>
      <w:r w:rsidRPr="009A78B3">
        <w:rPr>
          <w:szCs w:val="20"/>
        </w:rPr>
        <w:t xml:space="preserve">citation at footnote 2. </w:t>
      </w:r>
    </w:p>
  </w:footnote>
  <w:footnote w:id="24">
    <w:p w14:paraId="50D2C9E6" w14:textId="0144D4B7" w:rsidR="00AA298D" w:rsidRPr="009A78B3" w:rsidRDefault="00AA298D" w:rsidP="0087375E">
      <w:pPr>
        <w:pStyle w:val="FootnoteText"/>
        <w:jc w:val="both"/>
        <w:rPr>
          <w:szCs w:val="20"/>
        </w:rPr>
      </w:pPr>
      <w:r w:rsidRPr="00356456">
        <w:rPr>
          <w:rStyle w:val="FootnoteReference"/>
          <w:szCs w:val="20"/>
        </w:rPr>
        <w:footnoteRef/>
      </w:r>
      <w:r w:rsidRPr="00356456">
        <w:rPr>
          <w:szCs w:val="20"/>
        </w:rPr>
        <w:t xml:space="preserve"> </w:t>
      </w:r>
      <w:r w:rsidRPr="00356456">
        <w:rPr>
          <w:i/>
          <w:szCs w:val="20"/>
        </w:rPr>
        <w:t xml:space="preserve">Ibid </w:t>
      </w:r>
      <w:r w:rsidRPr="009A78B3">
        <w:rPr>
          <w:szCs w:val="20"/>
        </w:rPr>
        <w:t xml:space="preserve">at 517, per Lord Hoffman. </w:t>
      </w:r>
    </w:p>
  </w:footnote>
  <w:footnote w:id="25">
    <w:p w14:paraId="05D775E5" w14:textId="71A29903" w:rsidR="00AA298D" w:rsidRPr="0087375E" w:rsidRDefault="00AA298D" w:rsidP="0087375E">
      <w:pPr>
        <w:pStyle w:val="FootnoteText"/>
        <w:jc w:val="both"/>
        <w:rPr>
          <w:szCs w:val="20"/>
          <w:lang w:val="en-US"/>
        </w:rPr>
      </w:pPr>
      <w:r w:rsidRPr="00356456">
        <w:rPr>
          <w:rStyle w:val="FootnoteReference"/>
          <w:szCs w:val="20"/>
        </w:rPr>
        <w:footnoteRef/>
      </w:r>
      <w:r w:rsidRPr="00356456">
        <w:rPr>
          <w:szCs w:val="20"/>
        </w:rPr>
        <w:t xml:space="preserve"> </w:t>
      </w:r>
      <w:r w:rsidRPr="00356456">
        <w:rPr>
          <w:szCs w:val="20"/>
          <w:lang w:val="en-US"/>
        </w:rPr>
        <w:t xml:space="preserve">(1906) TS 373, </w:t>
      </w:r>
      <w:r w:rsidRPr="009A78B3">
        <w:rPr>
          <w:szCs w:val="20"/>
          <w:lang w:val="en-US"/>
        </w:rPr>
        <w:t>at 377, per Innes, CJ.</w:t>
      </w:r>
    </w:p>
  </w:footnote>
  <w:footnote w:id="26">
    <w:p w14:paraId="1FEBE3CD" w14:textId="0A531E15" w:rsidR="00AA298D" w:rsidRPr="0087375E" w:rsidRDefault="00AA298D" w:rsidP="0087375E">
      <w:pPr>
        <w:pStyle w:val="FootnoteText"/>
        <w:jc w:val="both"/>
        <w:rPr>
          <w:lang w:val="en-US"/>
        </w:rPr>
      </w:pPr>
      <w:r>
        <w:rPr>
          <w:rStyle w:val="FootnoteReference"/>
        </w:rPr>
        <w:footnoteRef/>
      </w:r>
      <w:r>
        <w:t xml:space="preserve"> </w:t>
      </w:r>
      <w:r>
        <w:rPr>
          <w:i/>
        </w:rPr>
        <w:t xml:space="preserve">Cambridge Gas, </w:t>
      </w:r>
      <w:r w:rsidRPr="0087375E">
        <w:t>a</w:t>
      </w:r>
      <w:r w:rsidRPr="00C94671">
        <w:rPr>
          <w:lang w:val="en-US"/>
        </w:rPr>
        <w:t>t</w:t>
      </w:r>
      <w:r>
        <w:rPr>
          <w:lang w:val="en-US"/>
        </w:rPr>
        <w:t xml:space="preserve"> [22], per lord Hoffman. </w:t>
      </w:r>
    </w:p>
  </w:footnote>
  <w:footnote w:id="27">
    <w:p w14:paraId="6A259D9C" w14:textId="56B019E7" w:rsidR="00AA298D" w:rsidRPr="00155EC8" w:rsidRDefault="00AA298D" w:rsidP="0087375E">
      <w:pPr>
        <w:pStyle w:val="FootnoteText"/>
        <w:contextualSpacing/>
        <w:jc w:val="both"/>
      </w:pPr>
      <w:r>
        <w:rPr>
          <w:rStyle w:val="FootnoteReference"/>
        </w:rPr>
        <w:footnoteRef/>
      </w:r>
      <w:r>
        <w:t xml:space="preserve"> </w:t>
      </w:r>
      <w:r>
        <w:rPr>
          <w:i/>
        </w:rPr>
        <w:t xml:space="preserve">Supra </w:t>
      </w:r>
      <w:r>
        <w:t>citation at footnote 1. Although this decision, in the judgments of Lords Scott and Neuberger, was based upon the statutory power in section 426 of the Insolvency Act, Lord Hoffman held that a power to remit assets to a foreign liquidation also existed at common law, at 861-862.</w:t>
      </w:r>
    </w:p>
  </w:footnote>
  <w:footnote w:id="28">
    <w:p w14:paraId="3B63C9F4" w14:textId="5A0821DA" w:rsidR="00AA298D" w:rsidRPr="0087375E" w:rsidRDefault="00AA298D" w:rsidP="0087375E">
      <w:pPr>
        <w:pStyle w:val="FootnoteText"/>
        <w:jc w:val="both"/>
        <w:rPr>
          <w:lang w:val="en-US"/>
        </w:rPr>
      </w:pPr>
      <w:r>
        <w:rPr>
          <w:rStyle w:val="FootnoteReference"/>
        </w:rPr>
        <w:footnoteRef/>
      </w:r>
      <w:r>
        <w:t xml:space="preserve"> </w:t>
      </w:r>
      <w:r>
        <w:rPr>
          <w:lang w:val="en-US"/>
        </w:rPr>
        <w:t xml:space="preserve">[2011] Bda LR 22. Kawaley, J., comments at [5] that the </w:t>
      </w:r>
      <w:r>
        <w:rPr>
          <w:i/>
          <w:lang w:val="en-US"/>
        </w:rPr>
        <w:t xml:space="preserve">“famous dictum” </w:t>
      </w:r>
      <w:r w:rsidRPr="0087375E">
        <w:rPr>
          <w:lang w:val="en-US"/>
        </w:rPr>
        <w:t>of Lord Hoffman in</w:t>
      </w:r>
      <w:r>
        <w:rPr>
          <w:i/>
          <w:lang w:val="en-US"/>
        </w:rPr>
        <w:t xml:space="preserve"> Cambridge Gas</w:t>
      </w:r>
      <w:r>
        <w:rPr>
          <w:lang w:val="en-US"/>
        </w:rPr>
        <w:t xml:space="preserve"> </w:t>
      </w:r>
      <w:r>
        <w:rPr>
          <w:i/>
          <w:lang w:val="en-US"/>
        </w:rPr>
        <w:t>“is for me overly compressed”</w:t>
      </w:r>
      <w:r>
        <w:rPr>
          <w:lang w:val="en-US"/>
        </w:rPr>
        <w:t xml:space="preserve">. </w:t>
      </w:r>
    </w:p>
  </w:footnote>
  <w:footnote w:id="29">
    <w:p w14:paraId="5B4C2A86" w14:textId="38D77DAC" w:rsidR="00AA298D" w:rsidRPr="00356456" w:rsidRDefault="00AA298D" w:rsidP="0087375E">
      <w:pPr>
        <w:pStyle w:val="FootnoteText"/>
        <w:jc w:val="both"/>
      </w:pPr>
      <w:r>
        <w:rPr>
          <w:rStyle w:val="FootnoteReference"/>
        </w:rPr>
        <w:footnoteRef/>
      </w:r>
      <w:r>
        <w:t xml:space="preserve"> [2012] UKSC 46.</w:t>
      </w:r>
    </w:p>
  </w:footnote>
  <w:footnote w:id="30">
    <w:p w14:paraId="26459C25" w14:textId="3766063E" w:rsidR="00AA298D" w:rsidRPr="0087375E" w:rsidRDefault="00AA298D">
      <w:pPr>
        <w:pStyle w:val="FootnoteText"/>
        <w:rPr>
          <w:lang w:val="en-US"/>
        </w:rPr>
      </w:pPr>
      <w:r>
        <w:rPr>
          <w:rStyle w:val="FootnoteReference"/>
        </w:rPr>
        <w:footnoteRef/>
      </w:r>
      <w:r>
        <w:t xml:space="preserve"> </w:t>
      </w:r>
      <w:r>
        <w:rPr>
          <w:i/>
          <w:lang w:val="en-US"/>
        </w:rPr>
        <w:t>Ibid</w:t>
      </w:r>
      <w:r>
        <w:rPr>
          <w:lang w:val="en-US"/>
        </w:rPr>
        <w:t>, at [128-132].</w:t>
      </w:r>
    </w:p>
  </w:footnote>
  <w:footnote w:id="31">
    <w:p w14:paraId="788AEE3F" w14:textId="601D2456" w:rsidR="00AA298D" w:rsidRPr="0087375E" w:rsidRDefault="00AA298D">
      <w:pPr>
        <w:pStyle w:val="FootnoteText"/>
        <w:rPr>
          <w:lang w:val="en-US"/>
        </w:rPr>
      </w:pPr>
      <w:r>
        <w:rPr>
          <w:rStyle w:val="FootnoteReference"/>
        </w:rPr>
        <w:footnoteRef/>
      </w:r>
      <w:r>
        <w:t xml:space="preserve"> </w:t>
      </w:r>
      <w:r>
        <w:rPr>
          <w:i/>
          <w:lang w:val="en-US"/>
        </w:rPr>
        <w:t>Ibid</w:t>
      </w:r>
      <w:r>
        <w:rPr>
          <w:lang w:val="en-US"/>
        </w:rPr>
        <w:t>, at [132].</w:t>
      </w:r>
    </w:p>
  </w:footnote>
  <w:footnote w:id="32">
    <w:p w14:paraId="45016481" w14:textId="0A52D3C4" w:rsidR="003F5AFB" w:rsidRPr="003F5AFB" w:rsidRDefault="003F5AFB" w:rsidP="0087375E">
      <w:pPr>
        <w:pStyle w:val="FootnoteText"/>
        <w:jc w:val="both"/>
      </w:pPr>
      <w:r>
        <w:rPr>
          <w:rStyle w:val="FootnoteReference"/>
        </w:rPr>
        <w:footnoteRef/>
      </w:r>
      <w:r>
        <w:t xml:space="preserve"> </w:t>
      </w:r>
      <w:r>
        <w:rPr>
          <w:i/>
        </w:rPr>
        <w:t xml:space="preserve">Singularis Holdings Ltd v PwC </w:t>
      </w:r>
      <w:r>
        <w:t xml:space="preserve">[2014] UKPC 36. </w:t>
      </w:r>
    </w:p>
  </w:footnote>
  <w:footnote w:id="33">
    <w:p w14:paraId="4BB3868B" w14:textId="5F8C4C9C" w:rsidR="00AA298D" w:rsidRPr="0087375E" w:rsidRDefault="00AA298D" w:rsidP="0087375E">
      <w:pPr>
        <w:pStyle w:val="FootnoteText"/>
        <w:jc w:val="both"/>
        <w:rPr>
          <w:lang w:val="en-US"/>
        </w:rPr>
      </w:pPr>
      <w:r>
        <w:rPr>
          <w:rStyle w:val="FootnoteReference"/>
        </w:rPr>
        <w:footnoteRef/>
      </w:r>
      <w:r>
        <w:t xml:space="preserve"> [2013] SC Bda 28 Comm (15 April 2015) at [8]. </w:t>
      </w:r>
    </w:p>
  </w:footnote>
  <w:footnote w:id="34">
    <w:p w14:paraId="519C4B9F" w14:textId="5FBCBBEB" w:rsidR="00AA298D" w:rsidRPr="0087375E" w:rsidRDefault="00AA298D" w:rsidP="0087375E">
      <w:pPr>
        <w:pStyle w:val="FootnoteText"/>
        <w:jc w:val="both"/>
        <w:rPr>
          <w:lang w:val="en-US"/>
        </w:rPr>
      </w:pPr>
      <w:r>
        <w:rPr>
          <w:rStyle w:val="FootnoteReference"/>
        </w:rPr>
        <w:footnoteRef/>
      </w:r>
      <w:r>
        <w:t xml:space="preserve"> [</w:t>
      </w:r>
      <w:r>
        <w:rPr>
          <w:lang w:val="en-US"/>
        </w:rPr>
        <w:t>2013] CA Bda 7 Civ.</w:t>
      </w:r>
    </w:p>
  </w:footnote>
  <w:footnote w:id="35">
    <w:p w14:paraId="0930BD26" w14:textId="6E264334" w:rsidR="00AA298D" w:rsidRPr="0087375E" w:rsidRDefault="00AA298D" w:rsidP="0087375E">
      <w:pPr>
        <w:pStyle w:val="FootnoteText"/>
        <w:jc w:val="both"/>
        <w:rPr>
          <w:lang w:val="en-US"/>
        </w:rPr>
      </w:pPr>
      <w:r>
        <w:rPr>
          <w:rStyle w:val="FootnoteReference"/>
        </w:rPr>
        <w:footnoteRef/>
      </w:r>
      <w:r>
        <w:t xml:space="preserve"> </w:t>
      </w:r>
      <w:r>
        <w:rPr>
          <w:i/>
          <w:lang w:val="en-US"/>
        </w:rPr>
        <w:t>Ibid</w:t>
      </w:r>
      <w:r>
        <w:rPr>
          <w:lang w:val="en-US"/>
        </w:rPr>
        <w:t xml:space="preserve">, at [43]. </w:t>
      </w:r>
    </w:p>
  </w:footnote>
  <w:footnote w:id="36">
    <w:p w14:paraId="0B5F793C" w14:textId="18623DBF" w:rsidR="00AA298D" w:rsidRPr="00356456" w:rsidRDefault="00AA298D" w:rsidP="0087375E">
      <w:pPr>
        <w:pStyle w:val="FootnoteText"/>
        <w:jc w:val="both"/>
      </w:pPr>
      <w:r>
        <w:rPr>
          <w:rStyle w:val="FootnoteReference"/>
        </w:rPr>
        <w:footnoteRef/>
      </w:r>
      <w:r>
        <w:t xml:space="preserve"> </w:t>
      </w:r>
      <w:r w:rsidRPr="0087375E">
        <w:rPr>
          <w:i/>
        </w:rPr>
        <w:t>Singularis</w:t>
      </w:r>
      <w:r>
        <w:t xml:space="preserve">, at [145], per Lord Neuberger. </w:t>
      </w:r>
    </w:p>
  </w:footnote>
  <w:footnote w:id="37">
    <w:p w14:paraId="73731777" w14:textId="109E0AC4" w:rsidR="00AA298D" w:rsidRPr="00356456" w:rsidRDefault="00AA298D" w:rsidP="0087375E">
      <w:pPr>
        <w:pStyle w:val="FootnoteText"/>
        <w:jc w:val="both"/>
      </w:pPr>
      <w:r>
        <w:rPr>
          <w:rStyle w:val="FootnoteReference"/>
        </w:rPr>
        <w:footnoteRef/>
      </w:r>
      <w:r>
        <w:t xml:space="preserve"> </w:t>
      </w:r>
      <w:r>
        <w:rPr>
          <w:i/>
        </w:rPr>
        <w:t xml:space="preserve">Ibid </w:t>
      </w:r>
      <w:r>
        <w:t xml:space="preserve">[84-93], per Lord Collins. </w:t>
      </w:r>
    </w:p>
  </w:footnote>
  <w:footnote w:id="38">
    <w:p w14:paraId="5D09C6DF" w14:textId="76961300" w:rsidR="00AA298D" w:rsidRPr="00356456" w:rsidRDefault="00AA298D" w:rsidP="0087375E">
      <w:pPr>
        <w:pStyle w:val="FootnoteText"/>
        <w:jc w:val="both"/>
      </w:pPr>
      <w:r>
        <w:rPr>
          <w:rStyle w:val="FootnoteReference"/>
        </w:rPr>
        <w:footnoteRef/>
      </w:r>
      <w:r>
        <w:t xml:space="preserve"> </w:t>
      </w:r>
      <w:r w:rsidRPr="0087375E">
        <w:rPr>
          <w:i/>
        </w:rPr>
        <w:t>I</w:t>
      </w:r>
      <w:r w:rsidRPr="00356456">
        <w:rPr>
          <w:i/>
        </w:rPr>
        <w:t>bid</w:t>
      </w:r>
      <w:r>
        <w:rPr>
          <w:i/>
        </w:rPr>
        <w:t xml:space="preserve"> </w:t>
      </w:r>
      <w:r>
        <w:t>[82-83].</w:t>
      </w:r>
    </w:p>
  </w:footnote>
  <w:footnote w:id="39">
    <w:p w14:paraId="049633E2" w14:textId="4B024C0C" w:rsidR="00AA298D" w:rsidRPr="0087375E" w:rsidRDefault="00AA298D" w:rsidP="0087375E">
      <w:pPr>
        <w:pStyle w:val="FootnoteText"/>
        <w:jc w:val="both"/>
        <w:rPr>
          <w:color w:val="000000" w:themeColor="text1"/>
          <w:lang w:val="en-US"/>
        </w:rPr>
      </w:pPr>
      <w:r>
        <w:rPr>
          <w:rStyle w:val="FootnoteReference"/>
        </w:rPr>
        <w:footnoteRef/>
      </w:r>
      <w:r>
        <w:t xml:space="preserve"> For a critique of </w:t>
      </w:r>
      <w:r>
        <w:rPr>
          <w:i/>
        </w:rPr>
        <w:t>Singularis</w:t>
      </w:r>
      <w:r>
        <w:t>, see Moss, Gabriel, Fletcher, Ian, A Saad Affair, Insolvency Intelligence, Vol28, No.4 (2015), at page 49.</w:t>
      </w:r>
      <w:r w:rsidRPr="0087375E">
        <w:rPr>
          <w:color w:val="000000" w:themeColor="text1"/>
        </w:rPr>
        <w:t xml:space="preserve"> See also </w:t>
      </w:r>
      <w:r w:rsidRPr="0087375E">
        <w:rPr>
          <w:color w:val="000000" w:themeColor="text1"/>
          <w:lang w:val="en-US"/>
        </w:rPr>
        <w:t xml:space="preserve">Omar, Paul, The </w:t>
      </w:r>
      <w:r w:rsidR="009D54E8">
        <w:rPr>
          <w:color w:val="000000" w:themeColor="text1"/>
          <w:lang w:val="en-US"/>
        </w:rPr>
        <w:t>E</w:t>
      </w:r>
      <w:r w:rsidRPr="0087375E">
        <w:rPr>
          <w:color w:val="000000" w:themeColor="text1"/>
          <w:lang w:val="en-US"/>
        </w:rPr>
        <w:t xml:space="preserve">bbs and </w:t>
      </w:r>
      <w:r w:rsidR="009D54E8">
        <w:rPr>
          <w:color w:val="000000" w:themeColor="text1"/>
          <w:lang w:val="en-US"/>
        </w:rPr>
        <w:t>F</w:t>
      </w:r>
      <w:r w:rsidRPr="0087375E">
        <w:rPr>
          <w:color w:val="000000" w:themeColor="text1"/>
          <w:lang w:val="en-US"/>
        </w:rPr>
        <w:t xml:space="preserve">lows of </w:t>
      </w:r>
      <w:r w:rsidR="009D54E8">
        <w:rPr>
          <w:color w:val="000000" w:themeColor="text1"/>
          <w:lang w:val="en-US"/>
        </w:rPr>
        <w:t>J</w:t>
      </w:r>
      <w:r w:rsidRPr="0087375E">
        <w:rPr>
          <w:color w:val="000000" w:themeColor="text1"/>
          <w:lang w:val="en-US"/>
        </w:rPr>
        <w:t xml:space="preserve">udicial </w:t>
      </w:r>
      <w:r w:rsidR="009D54E8">
        <w:rPr>
          <w:color w:val="000000" w:themeColor="text1"/>
          <w:lang w:val="en-US"/>
        </w:rPr>
        <w:t>C</w:t>
      </w:r>
      <w:r w:rsidRPr="0087375E">
        <w:rPr>
          <w:color w:val="000000" w:themeColor="text1"/>
          <w:lang w:val="en-US"/>
        </w:rPr>
        <w:t xml:space="preserve">ooperation in the </w:t>
      </w:r>
      <w:r w:rsidR="009D54E8">
        <w:rPr>
          <w:color w:val="000000" w:themeColor="text1"/>
          <w:lang w:val="en-US"/>
        </w:rPr>
        <w:t>C</w:t>
      </w:r>
      <w:r w:rsidRPr="0087375E">
        <w:rPr>
          <w:color w:val="000000" w:themeColor="text1"/>
          <w:lang w:val="en-US"/>
        </w:rPr>
        <w:t xml:space="preserve">ommon </w:t>
      </w:r>
      <w:r w:rsidR="009D54E8">
        <w:rPr>
          <w:color w:val="000000" w:themeColor="text1"/>
          <w:lang w:val="en-US"/>
        </w:rPr>
        <w:t>L</w:t>
      </w:r>
      <w:r w:rsidRPr="0087375E">
        <w:rPr>
          <w:color w:val="000000" w:themeColor="text1"/>
          <w:lang w:val="en-US"/>
        </w:rPr>
        <w:t xml:space="preserve">aw, published </w:t>
      </w:r>
      <w:r w:rsidR="009D54E8">
        <w:rPr>
          <w:color w:val="000000" w:themeColor="text1"/>
          <w:lang w:val="en-US"/>
        </w:rPr>
        <w:t xml:space="preserve">by </w:t>
      </w:r>
      <w:r w:rsidRPr="0087375E">
        <w:rPr>
          <w:color w:val="000000" w:themeColor="text1"/>
          <w:lang w:val="en-US"/>
        </w:rPr>
        <w:t xml:space="preserve">Eurofenix (2015), at page 3, available at </w:t>
      </w:r>
      <w:hyperlink r:id="rId4" w:history="1">
        <w:r w:rsidRPr="0087375E">
          <w:rPr>
            <w:rStyle w:val="Hyperlink"/>
            <w:color w:val="000000" w:themeColor="text1"/>
            <w:lang w:val="en-US"/>
          </w:rPr>
          <w:t>www.insol-europe.org/download/documents/722&amp;ved</w:t>
        </w:r>
      </w:hyperlink>
    </w:p>
  </w:footnote>
  <w:footnote w:id="40">
    <w:p w14:paraId="210D90A3" w14:textId="07E78BE6" w:rsidR="00AA298D" w:rsidRPr="0087375E" w:rsidRDefault="00AA298D" w:rsidP="0087375E">
      <w:pPr>
        <w:pStyle w:val="FootnoteText"/>
        <w:jc w:val="both"/>
        <w:rPr>
          <w:lang w:val="en-US"/>
        </w:rPr>
      </w:pPr>
      <w:r w:rsidRPr="0087375E">
        <w:rPr>
          <w:rStyle w:val="FootnoteReference"/>
          <w:color w:val="000000" w:themeColor="text1"/>
        </w:rPr>
        <w:footnoteRef/>
      </w:r>
      <w:r w:rsidRPr="0087375E">
        <w:rPr>
          <w:color w:val="000000" w:themeColor="text1"/>
        </w:rPr>
        <w:t xml:space="preserve"> </w:t>
      </w:r>
      <w:r>
        <w:rPr>
          <w:i/>
          <w:color w:val="000000" w:themeColor="text1"/>
        </w:rPr>
        <w:t>Singularis</w:t>
      </w:r>
      <w:r>
        <w:rPr>
          <w:color w:val="000000" w:themeColor="text1"/>
        </w:rPr>
        <w:t xml:space="preserve">, at </w:t>
      </w:r>
      <w:r w:rsidRPr="0087375E">
        <w:rPr>
          <w:color w:val="000000" w:themeColor="text1"/>
          <w:lang w:val="en-US"/>
        </w:rPr>
        <w:t xml:space="preserve">[18], per Lord Sumption. </w:t>
      </w:r>
    </w:p>
  </w:footnote>
  <w:footnote w:id="41">
    <w:p w14:paraId="75B09FC6" w14:textId="407C234B" w:rsidR="00AA298D" w:rsidRPr="00695A11" w:rsidRDefault="00AA298D" w:rsidP="00695A11">
      <w:pPr>
        <w:jc w:val="both"/>
        <w:rPr>
          <w:sz w:val="20"/>
          <w:szCs w:val="20"/>
          <w:lang w:val="en-US"/>
        </w:rPr>
      </w:pPr>
      <w:r w:rsidRPr="00695A11">
        <w:rPr>
          <w:rStyle w:val="FootnoteReference"/>
          <w:sz w:val="20"/>
          <w:szCs w:val="20"/>
        </w:rPr>
        <w:footnoteRef/>
      </w:r>
      <w:r w:rsidR="00695A11">
        <w:rPr>
          <w:sz w:val="20"/>
          <w:szCs w:val="20"/>
        </w:rPr>
        <w:t xml:space="preserve"> </w:t>
      </w:r>
      <w:r w:rsidR="00695A11" w:rsidRPr="00695A11">
        <w:rPr>
          <w:rStyle w:val="Hyperlink"/>
          <w:color w:val="auto"/>
          <w:sz w:val="20"/>
          <w:szCs w:val="20"/>
          <w:u w:val="none"/>
          <w:shd w:val="clear" w:color="auto" w:fill="FFFFFF"/>
        </w:rPr>
        <w:t>Omar, Paul J, Judicial Cooperation in the Post-</w:t>
      </w:r>
      <w:r w:rsidR="00695A11" w:rsidRPr="00695A11">
        <w:rPr>
          <w:rStyle w:val="Hyperlink"/>
          <w:i/>
          <w:color w:val="auto"/>
          <w:sz w:val="20"/>
          <w:szCs w:val="20"/>
          <w:u w:val="none"/>
          <w:shd w:val="clear" w:color="auto" w:fill="FFFFFF"/>
        </w:rPr>
        <w:t xml:space="preserve">Singularis </w:t>
      </w:r>
      <w:r w:rsidR="00695A11" w:rsidRPr="00695A11">
        <w:rPr>
          <w:rStyle w:val="Hyperlink"/>
          <w:color w:val="auto"/>
          <w:sz w:val="20"/>
          <w:szCs w:val="20"/>
          <w:u w:val="none"/>
          <w:shd w:val="clear" w:color="auto" w:fill="FFFFFF"/>
        </w:rPr>
        <w:t xml:space="preserve">World, International Corporate Rescue, Vol.15, issue 1, Cambria Chase (2018), </w:t>
      </w:r>
      <w:r w:rsidRPr="00695A11">
        <w:rPr>
          <w:sz w:val="20"/>
          <w:szCs w:val="20"/>
          <w:lang w:val="en-US"/>
        </w:rPr>
        <w:t xml:space="preserve">at pages 4-5. </w:t>
      </w:r>
    </w:p>
  </w:footnote>
  <w:footnote w:id="42">
    <w:p w14:paraId="760135C6" w14:textId="317DF42E" w:rsidR="00AA298D" w:rsidRPr="00356456" w:rsidRDefault="00AA298D" w:rsidP="0087375E">
      <w:pPr>
        <w:pStyle w:val="FootnoteText"/>
        <w:jc w:val="both"/>
      </w:pPr>
      <w:r>
        <w:rPr>
          <w:rStyle w:val="FootnoteReference"/>
        </w:rPr>
        <w:footnoteRef/>
      </w:r>
      <w:r>
        <w:t xml:space="preserve"> [2016] </w:t>
      </w:r>
      <w:r>
        <w:rPr>
          <w:lang w:val="en-US"/>
        </w:rPr>
        <w:t xml:space="preserve">Bda LR 90. The writer acted for the provisional liquidator. </w:t>
      </w:r>
    </w:p>
  </w:footnote>
  <w:footnote w:id="43">
    <w:p w14:paraId="61A5804D" w14:textId="692CE254" w:rsidR="00AA298D" w:rsidRPr="00356456" w:rsidRDefault="00AA298D" w:rsidP="0087375E">
      <w:pPr>
        <w:pStyle w:val="FootnoteText"/>
        <w:jc w:val="both"/>
      </w:pPr>
      <w:r>
        <w:rPr>
          <w:rStyle w:val="FootnoteReference"/>
        </w:rPr>
        <w:footnoteRef/>
      </w:r>
      <w:r>
        <w:t xml:space="preserve"> </w:t>
      </w:r>
      <w:r>
        <w:rPr>
          <w:i/>
        </w:rPr>
        <w:t xml:space="preserve">Ibid </w:t>
      </w:r>
      <w:r>
        <w:t xml:space="preserve">at [24-25]. </w:t>
      </w:r>
    </w:p>
  </w:footnote>
  <w:footnote w:id="44">
    <w:p w14:paraId="35DE62FF" w14:textId="3912FAD2" w:rsidR="00AA298D" w:rsidRPr="00356456" w:rsidRDefault="00AA298D" w:rsidP="0087375E">
      <w:pPr>
        <w:pStyle w:val="FootnoteText"/>
        <w:jc w:val="both"/>
      </w:pPr>
      <w:r>
        <w:rPr>
          <w:rStyle w:val="FootnoteReference"/>
        </w:rPr>
        <w:footnoteRef/>
      </w:r>
      <w:r>
        <w:t xml:space="preserve"> </w:t>
      </w:r>
      <w:r>
        <w:rPr>
          <w:i/>
        </w:rPr>
        <w:t xml:space="preserve">Ibid </w:t>
      </w:r>
      <w:r>
        <w:t xml:space="preserve">at [26]. </w:t>
      </w:r>
    </w:p>
  </w:footnote>
  <w:footnote w:id="45">
    <w:p w14:paraId="7D954DC3" w14:textId="6E4CA7E7" w:rsidR="00AA298D" w:rsidRPr="0087375E" w:rsidRDefault="00AA298D" w:rsidP="0087375E">
      <w:pPr>
        <w:pStyle w:val="FootnoteText"/>
        <w:jc w:val="both"/>
        <w:rPr>
          <w:lang w:val="en-US"/>
        </w:rPr>
      </w:pPr>
      <w:r>
        <w:rPr>
          <w:rStyle w:val="FootnoteReference"/>
        </w:rPr>
        <w:footnoteRef/>
      </w:r>
      <w:r>
        <w:t xml:space="preserve"> </w:t>
      </w:r>
      <w:r>
        <w:rPr>
          <w:i/>
          <w:lang w:val="en-US"/>
        </w:rPr>
        <w:t xml:space="preserve">Ibid </w:t>
      </w:r>
      <w:r>
        <w:rPr>
          <w:lang w:val="en-US"/>
        </w:rPr>
        <w:t>at [24] and [27].</w:t>
      </w:r>
    </w:p>
  </w:footnote>
  <w:footnote w:id="46">
    <w:p w14:paraId="4F4FD308" w14:textId="2B3DC6C0" w:rsidR="00AA298D" w:rsidRPr="00356456" w:rsidRDefault="00AA298D" w:rsidP="0087375E">
      <w:pPr>
        <w:pStyle w:val="FootnoteText"/>
        <w:jc w:val="both"/>
      </w:pPr>
      <w:r>
        <w:rPr>
          <w:rStyle w:val="FootnoteReference"/>
        </w:rPr>
        <w:footnoteRef/>
      </w:r>
      <w:r>
        <w:t xml:space="preserve"> [2017] SC (Bda) 20 Comm (28 February 2017). </w:t>
      </w:r>
    </w:p>
  </w:footnote>
  <w:footnote w:id="47">
    <w:p w14:paraId="426B98B5" w14:textId="77777777" w:rsidR="00352B1E" w:rsidRPr="009A78B3" w:rsidRDefault="00352B1E" w:rsidP="00352B1E">
      <w:pPr>
        <w:pStyle w:val="FootnoteText"/>
        <w:jc w:val="both"/>
      </w:pPr>
      <w:r>
        <w:rPr>
          <w:rStyle w:val="FootnoteReference"/>
        </w:rPr>
        <w:footnoteRef/>
      </w:r>
      <w:r>
        <w:t xml:space="preserve"> [2018] Bda LR 39. </w:t>
      </w:r>
    </w:p>
  </w:footnote>
  <w:footnote w:id="48">
    <w:p w14:paraId="7932FBED" w14:textId="7A16C9C3" w:rsidR="00A47B8A" w:rsidRPr="0087375E" w:rsidRDefault="00A47B8A" w:rsidP="0087375E">
      <w:pPr>
        <w:pStyle w:val="FootnoteText"/>
        <w:jc w:val="both"/>
        <w:rPr>
          <w:lang w:val="en-US"/>
        </w:rPr>
      </w:pPr>
      <w:r>
        <w:rPr>
          <w:rStyle w:val="FootnoteReference"/>
        </w:rPr>
        <w:footnoteRef/>
      </w:r>
      <w:r>
        <w:t xml:space="preserve"> </w:t>
      </w:r>
      <w:r>
        <w:rPr>
          <w:i/>
        </w:rPr>
        <w:t xml:space="preserve">In the Matter of X (A Bankrupt), Brittain v JTC (Guernsey) Ltd </w:t>
      </w:r>
      <w:r>
        <w:t xml:space="preserve">(Judgment 36/2015). </w:t>
      </w:r>
    </w:p>
  </w:footnote>
  <w:footnote w:id="49">
    <w:p w14:paraId="09464419" w14:textId="68D12773" w:rsidR="00A47B8A" w:rsidRPr="0087375E" w:rsidRDefault="00A47B8A" w:rsidP="0087375E">
      <w:pPr>
        <w:pStyle w:val="FootnoteText"/>
        <w:jc w:val="both"/>
        <w:rPr>
          <w:lang w:val="en-US"/>
        </w:rPr>
      </w:pPr>
      <w:r>
        <w:rPr>
          <w:rStyle w:val="FootnoteReference"/>
        </w:rPr>
        <w:footnoteRef/>
      </w:r>
      <w:r>
        <w:t xml:space="preserve"> </w:t>
      </w:r>
      <w:r>
        <w:rPr>
          <w:i/>
        </w:rPr>
        <w:t xml:space="preserve">Northshore Mainland Services Inc v The </w:t>
      </w:r>
      <w:r w:rsidR="00695A11">
        <w:rPr>
          <w:i/>
        </w:rPr>
        <w:t>E</w:t>
      </w:r>
      <w:r>
        <w:rPr>
          <w:i/>
        </w:rPr>
        <w:t>xport Import Bank of China</w:t>
      </w:r>
      <w:r>
        <w:t xml:space="preserve"> (2015/COM/00039). </w:t>
      </w:r>
    </w:p>
  </w:footnote>
  <w:footnote w:id="50">
    <w:p w14:paraId="086CCB79" w14:textId="77777777" w:rsidR="001E7F29" w:rsidRPr="00155EC8" w:rsidRDefault="001E7F29" w:rsidP="001E7F29">
      <w:pPr>
        <w:pStyle w:val="FootnoteText"/>
        <w:jc w:val="both"/>
        <w:rPr>
          <w:lang w:val="en-US"/>
        </w:rPr>
      </w:pPr>
      <w:r>
        <w:rPr>
          <w:rStyle w:val="FootnoteReference"/>
        </w:rPr>
        <w:footnoteRef/>
      </w:r>
      <w:r>
        <w:t xml:space="preserve"> </w:t>
      </w:r>
      <w:r>
        <w:rPr>
          <w:i/>
          <w:lang w:val="en-US"/>
        </w:rPr>
        <w:t xml:space="preserve">Supra </w:t>
      </w:r>
      <w:r>
        <w:rPr>
          <w:lang w:val="en-US"/>
        </w:rPr>
        <w:t xml:space="preserve">footnote 10 (Godwin), at page 27. </w:t>
      </w:r>
    </w:p>
  </w:footnote>
  <w:footnote w:id="51">
    <w:p w14:paraId="50C6A2F8" w14:textId="77777777" w:rsidR="001E7F29" w:rsidRPr="00155EC8" w:rsidRDefault="001E7F29" w:rsidP="001E7F29">
      <w:pPr>
        <w:pStyle w:val="FootnoteText"/>
        <w:jc w:val="both"/>
        <w:rPr>
          <w:lang w:val="en-US"/>
        </w:rPr>
      </w:pPr>
      <w:r>
        <w:rPr>
          <w:rStyle w:val="FootnoteReference"/>
        </w:rPr>
        <w:footnoteRef/>
      </w:r>
      <w:r>
        <w:t xml:space="preserve"> </w:t>
      </w:r>
      <w:r>
        <w:rPr>
          <w:lang w:val="en-US"/>
        </w:rPr>
        <w:t xml:space="preserve">[2018] EWCA Civ. 2802. </w:t>
      </w:r>
    </w:p>
  </w:footnote>
  <w:footnote w:id="52">
    <w:p w14:paraId="6F66DEE7" w14:textId="77777777" w:rsidR="001E7F29" w:rsidRPr="00155EC8" w:rsidRDefault="001E7F29" w:rsidP="001E7F29">
      <w:pPr>
        <w:pStyle w:val="FootnoteText"/>
        <w:jc w:val="both"/>
        <w:rPr>
          <w:lang w:val="en-US"/>
        </w:rPr>
      </w:pPr>
      <w:r>
        <w:rPr>
          <w:rStyle w:val="FootnoteReference"/>
        </w:rPr>
        <w:footnoteRef/>
      </w:r>
      <w:r>
        <w:t xml:space="preserve"> The Gibbs rule provides that English courts will not enforced a foreign insolvency judgment discharging or modifying the terms of English law governed debts.</w:t>
      </w:r>
    </w:p>
  </w:footnote>
  <w:footnote w:id="53">
    <w:p w14:paraId="588249D0" w14:textId="0CCF1B19" w:rsidR="001E7F29" w:rsidRPr="00155EC8" w:rsidRDefault="001E7F29" w:rsidP="001E7F29">
      <w:pPr>
        <w:pStyle w:val="FootnoteText"/>
        <w:jc w:val="both"/>
        <w:rPr>
          <w:i/>
          <w:color w:val="000000" w:themeColor="text1"/>
          <w:lang w:val="en-US"/>
        </w:rPr>
      </w:pPr>
      <w:r>
        <w:rPr>
          <w:rStyle w:val="FootnoteReference"/>
        </w:rPr>
        <w:footnoteRef/>
      </w:r>
      <w:r>
        <w:t xml:space="preserve"> </w:t>
      </w:r>
      <w:r w:rsidR="00695A11">
        <w:t>A</w:t>
      </w:r>
      <w:r>
        <w:rPr>
          <w:lang w:val="en-US"/>
        </w:rPr>
        <w:t xml:space="preserve">t [30]. Mevorach has described this application as a </w:t>
      </w:r>
      <w:r>
        <w:rPr>
          <w:i/>
          <w:lang w:val="en-US"/>
        </w:rPr>
        <w:t xml:space="preserve">“narrow interpretation” </w:t>
      </w:r>
      <w:r w:rsidRPr="00155EC8">
        <w:rPr>
          <w:lang w:val="en-US"/>
        </w:rPr>
        <w:t xml:space="preserve">of </w:t>
      </w:r>
      <w:r w:rsidRPr="00CB3AC9">
        <w:rPr>
          <w:lang w:val="en-US"/>
        </w:rPr>
        <w:t>modified</w:t>
      </w:r>
      <w:r>
        <w:rPr>
          <w:lang w:val="en-US"/>
        </w:rPr>
        <w:t xml:space="preserve"> universalism; see Mevorach, Iris</w:t>
      </w:r>
      <w:r w:rsidRPr="00155EC8">
        <w:rPr>
          <w:color w:val="000000" w:themeColor="text1"/>
          <w:lang w:val="en-US"/>
        </w:rPr>
        <w:t xml:space="preserve">, </w:t>
      </w:r>
      <w:r w:rsidRPr="00155EC8">
        <w:rPr>
          <w:color w:val="000000" w:themeColor="text1"/>
          <w:lang w:val="en"/>
        </w:rPr>
        <w:t xml:space="preserve">Overlapping International Instruments for Enforcement of Insolvency Judgments: Undermining or Strengthening Universalism?, </w:t>
      </w:r>
      <w:r w:rsidRPr="00155EC8">
        <w:rPr>
          <w:iCs/>
          <w:color w:val="000000" w:themeColor="text1"/>
          <w:lang w:val="en"/>
        </w:rPr>
        <w:t>Eur Bus Org Law Rev</w:t>
      </w:r>
      <w:r w:rsidRPr="00155EC8">
        <w:rPr>
          <w:color w:val="000000" w:themeColor="text1"/>
          <w:lang w:val="en"/>
        </w:rPr>
        <w:t xml:space="preserve"> </w:t>
      </w:r>
      <w:r w:rsidRPr="00155EC8">
        <w:rPr>
          <w:bCs/>
          <w:color w:val="000000" w:themeColor="text1"/>
          <w:lang w:val="en"/>
        </w:rPr>
        <w:t>22</w:t>
      </w:r>
      <w:r w:rsidRPr="00155EC8">
        <w:rPr>
          <w:b/>
          <w:bCs/>
          <w:color w:val="000000" w:themeColor="text1"/>
          <w:lang w:val="en"/>
        </w:rPr>
        <w:t xml:space="preserve">, </w:t>
      </w:r>
      <w:r w:rsidRPr="00155EC8">
        <w:rPr>
          <w:color w:val="000000" w:themeColor="text1"/>
          <w:lang w:val="en"/>
        </w:rPr>
        <w:t xml:space="preserve">283–315 (2021), at page 291. </w:t>
      </w:r>
    </w:p>
  </w:footnote>
  <w:footnote w:id="54">
    <w:p w14:paraId="233586A4" w14:textId="67B6B4C5" w:rsidR="00AA298D" w:rsidRPr="0087375E" w:rsidRDefault="00AA298D" w:rsidP="0087375E">
      <w:pPr>
        <w:pStyle w:val="FootnoteText"/>
        <w:jc w:val="both"/>
        <w:rPr>
          <w:i/>
          <w:lang w:val="en-US"/>
        </w:rPr>
      </w:pPr>
      <w:r>
        <w:rPr>
          <w:rStyle w:val="FootnoteReference"/>
        </w:rPr>
        <w:footnoteRef/>
      </w:r>
      <w:r>
        <w:t xml:space="preserve"> </w:t>
      </w:r>
      <w:r>
        <w:rPr>
          <w:i/>
          <w:lang w:val="en-US"/>
        </w:rPr>
        <w:t>Energy XIII</w:t>
      </w:r>
      <w:r w:rsidRPr="0087375E">
        <w:rPr>
          <w:lang w:val="en-US"/>
        </w:rPr>
        <w:t>, at [27].</w:t>
      </w:r>
    </w:p>
  </w:footnote>
  <w:footnote w:id="55">
    <w:p w14:paraId="31A68A43" w14:textId="40994A26" w:rsidR="00AA298D" w:rsidRPr="0087375E" w:rsidRDefault="00AA298D" w:rsidP="0087375E">
      <w:pPr>
        <w:pStyle w:val="FootnoteText"/>
        <w:jc w:val="both"/>
        <w:rPr>
          <w:lang w:val="en-US"/>
        </w:rPr>
      </w:pPr>
      <w:r>
        <w:rPr>
          <w:rStyle w:val="FootnoteReference"/>
        </w:rPr>
        <w:footnoteRef/>
      </w:r>
      <w:r>
        <w:t xml:space="preserve"> </w:t>
      </w:r>
      <w:r>
        <w:rPr>
          <w:i/>
          <w:lang w:val="en-US"/>
        </w:rPr>
        <w:t>Ibid</w:t>
      </w:r>
      <w:r>
        <w:rPr>
          <w:lang w:val="en-US"/>
        </w:rPr>
        <w:t xml:space="preserve">, at pages 27-28. </w:t>
      </w:r>
    </w:p>
  </w:footnote>
  <w:footnote w:id="56">
    <w:p w14:paraId="023606D6" w14:textId="0BB97CCC" w:rsidR="00A47B8A" w:rsidRPr="0087375E" w:rsidRDefault="00A47B8A" w:rsidP="0087375E">
      <w:pPr>
        <w:pStyle w:val="FootnoteText"/>
        <w:jc w:val="both"/>
        <w:rPr>
          <w:lang w:val="en-US"/>
        </w:rPr>
      </w:pPr>
      <w:r>
        <w:rPr>
          <w:rStyle w:val="FootnoteReference"/>
        </w:rPr>
        <w:footnoteRef/>
      </w:r>
      <w:r>
        <w:t xml:space="preserve"> </w:t>
      </w:r>
      <w:r>
        <w:rPr>
          <w:i/>
          <w:lang w:val="en-US"/>
        </w:rPr>
        <w:t>Supra</w:t>
      </w:r>
      <w:r>
        <w:rPr>
          <w:lang w:val="en-US"/>
        </w:rPr>
        <w:t xml:space="preserve"> footnote 10 (Godwin), at </w:t>
      </w:r>
      <w:r w:rsidR="001E7F29">
        <w:rPr>
          <w:lang w:val="en-US"/>
        </w:rPr>
        <w:t xml:space="preserve">page 30. </w:t>
      </w:r>
      <w:r>
        <w:rPr>
          <w:lang w:val="en-US"/>
        </w:rPr>
        <w:t xml:space="preserve"> </w:t>
      </w:r>
    </w:p>
  </w:footnote>
  <w:footnote w:id="57">
    <w:p w14:paraId="166E1B7C" w14:textId="0852F42A" w:rsidR="00AA298D" w:rsidRPr="0087375E" w:rsidRDefault="00AA298D" w:rsidP="0087375E">
      <w:pPr>
        <w:pStyle w:val="FootnoteText"/>
        <w:jc w:val="both"/>
        <w:rPr>
          <w:lang w:val="en-US"/>
        </w:rPr>
      </w:pPr>
      <w:r>
        <w:rPr>
          <w:rStyle w:val="FootnoteReference"/>
        </w:rPr>
        <w:footnoteRef/>
      </w:r>
      <w:r>
        <w:t xml:space="preserve"> </w:t>
      </w:r>
      <w:r>
        <w:rPr>
          <w:i/>
          <w:lang w:val="en-US"/>
        </w:rPr>
        <w:t xml:space="preserve">Singularis, </w:t>
      </w:r>
      <w:r>
        <w:rPr>
          <w:lang w:val="en-US"/>
        </w:rPr>
        <w:t xml:space="preserve">at [159].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815"/>
    <w:multiLevelType w:val="hybridMultilevel"/>
    <w:tmpl w:val="728E3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D431D"/>
    <w:multiLevelType w:val="hybridMultilevel"/>
    <w:tmpl w:val="05EA25E4"/>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1F5501"/>
    <w:multiLevelType w:val="hybridMultilevel"/>
    <w:tmpl w:val="809A09A0"/>
    <w:lvl w:ilvl="0" w:tplc="FFFFFFFF">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4731AA"/>
    <w:multiLevelType w:val="hybridMultilevel"/>
    <w:tmpl w:val="5142DBC4"/>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A62961"/>
    <w:multiLevelType w:val="hybridMultilevel"/>
    <w:tmpl w:val="FBE41588"/>
    <w:lvl w:ilvl="0" w:tplc="5AD8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91E91"/>
    <w:multiLevelType w:val="hybridMultilevel"/>
    <w:tmpl w:val="9A147212"/>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26486175"/>
    <w:multiLevelType w:val="hybridMultilevel"/>
    <w:tmpl w:val="A8F2B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A77F8"/>
    <w:multiLevelType w:val="hybridMultilevel"/>
    <w:tmpl w:val="51B28EDC"/>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953994"/>
    <w:multiLevelType w:val="hybridMultilevel"/>
    <w:tmpl w:val="5EB48EBA"/>
    <w:lvl w:ilvl="0" w:tplc="14090013">
      <w:start w:val="1"/>
      <w:numFmt w:val="upperRoman"/>
      <w:lvlText w:val="%1."/>
      <w:lvlJc w:val="right"/>
      <w:pPr>
        <w:ind w:left="780" w:hanging="18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34CB7BAB"/>
    <w:multiLevelType w:val="hybridMultilevel"/>
    <w:tmpl w:val="F1A61EF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164C0D"/>
    <w:multiLevelType w:val="hybridMultilevel"/>
    <w:tmpl w:val="60C27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77040"/>
    <w:multiLevelType w:val="multilevel"/>
    <w:tmpl w:val="3A589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246A91"/>
    <w:multiLevelType w:val="multilevel"/>
    <w:tmpl w:val="F8FA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D20A0"/>
    <w:multiLevelType w:val="multilevel"/>
    <w:tmpl w:val="95D0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953B5"/>
    <w:multiLevelType w:val="hybridMultilevel"/>
    <w:tmpl w:val="23721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5618C"/>
    <w:multiLevelType w:val="hybridMultilevel"/>
    <w:tmpl w:val="28907F28"/>
    <w:lvl w:ilvl="0" w:tplc="1409000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 w15:restartNumberingAfterBreak="0">
    <w:nsid w:val="4BF9663B"/>
    <w:multiLevelType w:val="hybridMultilevel"/>
    <w:tmpl w:val="5402408C"/>
    <w:lvl w:ilvl="0" w:tplc="14090013">
      <w:start w:val="1"/>
      <w:numFmt w:val="upperRoman"/>
      <w:lvlText w:val="%1."/>
      <w:lvlJc w:val="right"/>
      <w:pPr>
        <w:ind w:left="72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B90594"/>
    <w:multiLevelType w:val="hybridMultilevel"/>
    <w:tmpl w:val="540CCB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100E0D"/>
    <w:multiLevelType w:val="hybridMultilevel"/>
    <w:tmpl w:val="62361238"/>
    <w:lvl w:ilvl="0" w:tplc="14090013">
      <w:start w:val="1"/>
      <w:numFmt w:val="upperRoman"/>
      <w:lvlText w:val="%1."/>
      <w:lvlJc w:val="righ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9" w15:restartNumberingAfterBreak="0">
    <w:nsid w:val="5A7A421C"/>
    <w:multiLevelType w:val="hybridMultilevel"/>
    <w:tmpl w:val="EF1835A4"/>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EC3370A"/>
    <w:multiLevelType w:val="hybridMultilevel"/>
    <w:tmpl w:val="4E021A42"/>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1" w15:restartNumberingAfterBreak="0">
    <w:nsid w:val="68A31157"/>
    <w:multiLevelType w:val="multilevel"/>
    <w:tmpl w:val="28AC9B0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C92303"/>
    <w:multiLevelType w:val="hybridMultilevel"/>
    <w:tmpl w:val="39CE08F0"/>
    <w:lvl w:ilvl="0" w:tplc="902A02A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51E5E"/>
    <w:multiLevelType w:val="multilevel"/>
    <w:tmpl w:val="E1E01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813DE7"/>
    <w:multiLevelType w:val="multilevel"/>
    <w:tmpl w:val="EDE4F324"/>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BB24AE"/>
    <w:multiLevelType w:val="hybridMultilevel"/>
    <w:tmpl w:val="D72EA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810664"/>
    <w:multiLevelType w:val="multilevel"/>
    <w:tmpl w:val="D994BE10"/>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num w:numId="1">
    <w:abstractNumId w:val="5"/>
  </w:num>
  <w:num w:numId="2">
    <w:abstractNumId w:val="18"/>
  </w:num>
  <w:num w:numId="3">
    <w:abstractNumId w:val="15"/>
  </w:num>
  <w:num w:numId="4">
    <w:abstractNumId w:val="7"/>
  </w:num>
  <w:num w:numId="5">
    <w:abstractNumId w:val="19"/>
  </w:num>
  <w:num w:numId="6">
    <w:abstractNumId w:val="2"/>
  </w:num>
  <w:num w:numId="7">
    <w:abstractNumId w:val="1"/>
  </w:num>
  <w:num w:numId="8">
    <w:abstractNumId w:val="3"/>
  </w:num>
  <w:num w:numId="9">
    <w:abstractNumId w:val="25"/>
  </w:num>
  <w:num w:numId="10">
    <w:abstractNumId w:val="17"/>
  </w:num>
  <w:num w:numId="11">
    <w:abstractNumId w:val="20"/>
  </w:num>
  <w:num w:numId="12">
    <w:abstractNumId w:val="9"/>
  </w:num>
  <w:num w:numId="13">
    <w:abstractNumId w:val="8"/>
  </w:num>
  <w:num w:numId="14">
    <w:abstractNumId w:val="16"/>
  </w:num>
  <w:num w:numId="15">
    <w:abstractNumId w:val="0"/>
  </w:num>
  <w:num w:numId="16">
    <w:abstractNumId w:val="13"/>
  </w:num>
  <w:num w:numId="17">
    <w:abstractNumId w:val="24"/>
  </w:num>
  <w:num w:numId="18">
    <w:abstractNumId w:val="10"/>
  </w:num>
  <w:num w:numId="19">
    <w:abstractNumId w:val="21"/>
  </w:num>
  <w:num w:numId="20">
    <w:abstractNumId w:val="14"/>
  </w:num>
  <w:num w:numId="21">
    <w:abstractNumId w:val="6"/>
  </w:num>
  <w:num w:numId="22">
    <w:abstractNumId w:val="23"/>
  </w:num>
  <w:num w:numId="23">
    <w:abstractNumId w:val="12"/>
  </w:num>
  <w:num w:numId="24">
    <w:abstractNumId w:val="11"/>
  </w:num>
  <w:num w:numId="25">
    <w:abstractNumId w:val="22"/>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DA"/>
    <w:rsid w:val="00000B7B"/>
    <w:rsid w:val="00005F66"/>
    <w:rsid w:val="0000726B"/>
    <w:rsid w:val="0001567F"/>
    <w:rsid w:val="000254C8"/>
    <w:rsid w:val="00030245"/>
    <w:rsid w:val="00032905"/>
    <w:rsid w:val="00032C28"/>
    <w:rsid w:val="000361C4"/>
    <w:rsid w:val="00036C6E"/>
    <w:rsid w:val="00037DC5"/>
    <w:rsid w:val="00052393"/>
    <w:rsid w:val="00055BEE"/>
    <w:rsid w:val="00060438"/>
    <w:rsid w:val="000633F4"/>
    <w:rsid w:val="00063B32"/>
    <w:rsid w:val="000645CA"/>
    <w:rsid w:val="00064B10"/>
    <w:rsid w:val="00071A25"/>
    <w:rsid w:val="00075125"/>
    <w:rsid w:val="00075ED7"/>
    <w:rsid w:val="00076E1A"/>
    <w:rsid w:val="00082AEE"/>
    <w:rsid w:val="00083561"/>
    <w:rsid w:val="00084E4F"/>
    <w:rsid w:val="00085E66"/>
    <w:rsid w:val="00091005"/>
    <w:rsid w:val="00091050"/>
    <w:rsid w:val="0009554F"/>
    <w:rsid w:val="00095746"/>
    <w:rsid w:val="000A15A0"/>
    <w:rsid w:val="000A6E6E"/>
    <w:rsid w:val="000B3059"/>
    <w:rsid w:val="000C070E"/>
    <w:rsid w:val="000C0B76"/>
    <w:rsid w:val="000C10B3"/>
    <w:rsid w:val="000C515E"/>
    <w:rsid w:val="000C5A57"/>
    <w:rsid w:val="000C688E"/>
    <w:rsid w:val="000D009C"/>
    <w:rsid w:val="000D0C4B"/>
    <w:rsid w:val="000D2B6B"/>
    <w:rsid w:val="000D2E89"/>
    <w:rsid w:val="000D2F52"/>
    <w:rsid w:val="000D55AE"/>
    <w:rsid w:val="000E0CD4"/>
    <w:rsid w:val="000E1CC9"/>
    <w:rsid w:val="000E3396"/>
    <w:rsid w:val="000E3A24"/>
    <w:rsid w:val="000E47C5"/>
    <w:rsid w:val="000E7F25"/>
    <w:rsid w:val="000F58F2"/>
    <w:rsid w:val="000F6390"/>
    <w:rsid w:val="00101CD5"/>
    <w:rsid w:val="0010489D"/>
    <w:rsid w:val="001106FE"/>
    <w:rsid w:val="00111E86"/>
    <w:rsid w:val="00131D66"/>
    <w:rsid w:val="00132E84"/>
    <w:rsid w:val="0013388D"/>
    <w:rsid w:val="00135B3B"/>
    <w:rsid w:val="00136C87"/>
    <w:rsid w:val="00137F30"/>
    <w:rsid w:val="001409FB"/>
    <w:rsid w:val="00150C29"/>
    <w:rsid w:val="00153ECA"/>
    <w:rsid w:val="00154DB4"/>
    <w:rsid w:val="00155777"/>
    <w:rsid w:val="00161C41"/>
    <w:rsid w:val="00162156"/>
    <w:rsid w:val="00163CD2"/>
    <w:rsid w:val="00164597"/>
    <w:rsid w:val="0016658D"/>
    <w:rsid w:val="00177101"/>
    <w:rsid w:val="00177AA5"/>
    <w:rsid w:val="00177AAB"/>
    <w:rsid w:val="001810FA"/>
    <w:rsid w:val="001900BF"/>
    <w:rsid w:val="00192C0E"/>
    <w:rsid w:val="001A0511"/>
    <w:rsid w:val="001A0E1B"/>
    <w:rsid w:val="001A2791"/>
    <w:rsid w:val="001A5CFF"/>
    <w:rsid w:val="001B0ABE"/>
    <w:rsid w:val="001B197E"/>
    <w:rsid w:val="001B52EB"/>
    <w:rsid w:val="001B63C6"/>
    <w:rsid w:val="001C06B5"/>
    <w:rsid w:val="001C329F"/>
    <w:rsid w:val="001C7C8B"/>
    <w:rsid w:val="001D335E"/>
    <w:rsid w:val="001D5558"/>
    <w:rsid w:val="001E01A7"/>
    <w:rsid w:val="001E33F4"/>
    <w:rsid w:val="001E468C"/>
    <w:rsid w:val="001E53A4"/>
    <w:rsid w:val="001E7F29"/>
    <w:rsid w:val="001F49F8"/>
    <w:rsid w:val="00201A8D"/>
    <w:rsid w:val="00203559"/>
    <w:rsid w:val="002043A1"/>
    <w:rsid w:val="00210419"/>
    <w:rsid w:val="002108F4"/>
    <w:rsid w:val="00211BCC"/>
    <w:rsid w:val="00222FEE"/>
    <w:rsid w:val="00227ADD"/>
    <w:rsid w:val="0023312B"/>
    <w:rsid w:val="002415C5"/>
    <w:rsid w:val="00241F25"/>
    <w:rsid w:val="00242AB8"/>
    <w:rsid w:val="00243BDD"/>
    <w:rsid w:val="0024584F"/>
    <w:rsid w:val="00245872"/>
    <w:rsid w:val="00246283"/>
    <w:rsid w:val="00253588"/>
    <w:rsid w:val="00253AB3"/>
    <w:rsid w:val="00267E8D"/>
    <w:rsid w:val="0027413B"/>
    <w:rsid w:val="00280CC8"/>
    <w:rsid w:val="002831E5"/>
    <w:rsid w:val="00290472"/>
    <w:rsid w:val="0029634B"/>
    <w:rsid w:val="0029779C"/>
    <w:rsid w:val="002A19A3"/>
    <w:rsid w:val="002A1B07"/>
    <w:rsid w:val="002A536C"/>
    <w:rsid w:val="002A57A9"/>
    <w:rsid w:val="002A62B4"/>
    <w:rsid w:val="002A76C5"/>
    <w:rsid w:val="002B6C3B"/>
    <w:rsid w:val="002B7532"/>
    <w:rsid w:val="002C73D4"/>
    <w:rsid w:val="002C7E29"/>
    <w:rsid w:val="002D0934"/>
    <w:rsid w:val="002D35CE"/>
    <w:rsid w:val="002D57C0"/>
    <w:rsid w:val="002D6E0E"/>
    <w:rsid w:val="002E2310"/>
    <w:rsid w:val="002E5F0A"/>
    <w:rsid w:val="002E7F54"/>
    <w:rsid w:val="002F1038"/>
    <w:rsid w:val="002F57E9"/>
    <w:rsid w:val="002F601B"/>
    <w:rsid w:val="00302B36"/>
    <w:rsid w:val="00303D6B"/>
    <w:rsid w:val="00304147"/>
    <w:rsid w:val="00312052"/>
    <w:rsid w:val="00322AD3"/>
    <w:rsid w:val="00323A78"/>
    <w:rsid w:val="00326443"/>
    <w:rsid w:val="00336113"/>
    <w:rsid w:val="003439F6"/>
    <w:rsid w:val="00350816"/>
    <w:rsid w:val="00352B1E"/>
    <w:rsid w:val="00356456"/>
    <w:rsid w:val="00360535"/>
    <w:rsid w:val="00360BA8"/>
    <w:rsid w:val="00361C00"/>
    <w:rsid w:val="00362D2E"/>
    <w:rsid w:val="00364319"/>
    <w:rsid w:val="00372299"/>
    <w:rsid w:val="00373FA1"/>
    <w:rsid w:val="003802F7"/>
    <w:rsid w:val="00384DED"/>
    <w:rsid w:val="00387404"/>
    <w:rsid w:val="003877F1"/>
    <w:rsid w:val="00390466"/>
    <w:rsid w:val="00392B11"/>
    <w:rsid w:val="00393D97"/>
    <w:rsid w:val="0039619F"/>
    <w:rsid w:val="0039681E"/>
    <w:rsid w:val="003A0E27"/>
    <w:rsid w:val="003A162A"/>
    <w:rsid w:val="003A3439"/>
    <w:rsid w:val="003A40E1"/>
    <w:rsid w:val="003A5530"/>
    <w:rsid w:val="003A558F"/>
    <w:rsid w:val="003A5BA7"/>
    <w:rsid w:val="003B113D"/>
    <w:rsid w:val="003B1839"/>
    <w:rsid w:val="003B1A7B"/>
    <w:rsid w:val="003B2BF5"/>
    <w:rsid w:val="003B38AE"/>
    <w:rsid w:val="003B4B33"/>
    <w:rsid w:val="003C0D66"/>
    <w:rsid w:val="003C626F"/>
    <w:rsid w:val="003D0BEA"/>
    <w:rsid w:val="003D360F"/>
    <w:rsid w:val="003D73EA"/>
    <w:rsid w:val="003E26DD"/>
    <w:rsid w:val="003E6054"/>
    <w:rsid w:val="003F1006"/>
    <w:rsid w:val="003F43C8"/>
    <w:rsid w:val="003F5AFB"/>
    <w:rsid w:val="004027F0"/>
    <w:rsid w:val="00402F43"/>
    <w:rsid w:val="004055AC"/>
    <w:rsid w:val="00405AE6"/>
    <w:rsid w:val="00407027"/>
    <w:rsid w:val="00407515"/>
    <w:rsid w:val="0041145D"/>
    <w:rsid w:val="0041262E"/>
    <w:rsid w:val="00417AB2"/>
    <w:rsid w:val="004208F7"/>
    <w:rsid w:val="00421C13"/>
    <w:rsid w:val="00421FE9"/>
    <w:rsid w:val="00424211"/>
    <w:rsid w:val="00424AFA"/>
    <w:rsid w:val="0042694E"/>
    <w:rsid w:val="004274CB"/>
    <w:rsid w:val="00432166"/>
    <w:rsid w:val="00440ECE"/>
    <w:rsid w:val="00442E24"/>
    <w:rsid w:val="00445535"/>
    <w:rsid w:val="004503CD"/>
    <w:rsid w:val="004507DD"/>
    <w:rsid w:val="00456EFE"/>
    <w:rsid w:val="0046028D"/>
    <w:rsid w:val="004607A0"/>
    <w:rsid w:val="004639B8"/>
    <w:rsid w:val="004716CF"/>
    <w:rsid w:val="0047718D"/>
    <w:rsid w:val="004850F6"/>
    <w:rsid w:val="00485EBC"/>
    <w:rsid w:val="00486051"/>
    <w:rsid w:val="00486D4C"/>
    <w:rsid w:val="00492370"/>
    <w:rsid w:val="0049626A"/>
    <w:rsid w:val="00497C86"/>
    <w:rsid w:val="004A19A9"/>
    <w:rsid w:val="004A2FC3"/>
    <w:rsid w:val="004C18A5"/>
    <w:rsid w:val="004C3680"/>
    <w:rsid w:val="004D7544"/>
    <w:rsid w:val="004E04A6"/>
    <w:rsid w:val="004E0C7E"/>
    <w:rsid w:val="004F1538"/>
    <w:rsid w:val="004F42A2"/>
    <w:rsid w:val="00500319"/>
    <w:rsid w:val="005073A9"/>
    <w:rsid w:val="00515A8F"/>
    <w:rsid w:val="00517436"/>
    <w:rsid w:val="00517ADE"/>
    <w:rsid w:val="00523448"/>
    <w:rsid w:val="00523524"/>
    <w:rsid w:val="00523572"/>
    <w:rsid w:val="00530463"/>
    <w:rsid w:val="00533943"/>
    <w:rsid w:val="005364FC"/>
    <w:rsid w:val="00543466"/>
    <w:rsid w:val="00551203"/>
    <w:rsid w:val="0055176B"/>
    <w:rsid w:val="00556CA3"/>
    <w:rsid w:val="005630FE"/>
    <w:rsid w:val="00564A64"/>
    <w:rsid w:val="00566F84"/>
    <w:rsid w:val="00573A26"/>
    <w:rsid w:val="005749F1"/>
    <w:rsid w:val="00575742"/>
    <w:rsid w:val="00577050"/>
    <w:rsid w:val="00577E67"/>
    <w:rsid w:val="0058256E"/>
    <w:rsid w:val="00584B04"/>
    <w:rsid w:val="005859F6"/>
    <w:rsid w:val="0059164A"/>
    <w:rsid w:val="00595E06"/>
    <w:rsid w:val="0059754A"/>
    <w:rsid w:val="005A17B6"/>
    <w:rsid w:val="005A3947"/>
    <w:rsid w:val="005A7A3F"/>
    <w:rsid w:val="005B1C97"/>
    <w:rsid w:val="005C01A4"/>
    <w:rsid w:val="005C300A"/>
    <w:rsid w:val="005C371C"/>
    <w:rsid w:val="005C4483"/>
    <w:rsid w:val="005C4E6B"/>
    <w:rsid w:val="005C75DD"/>
    <w:rsid w:val="005D4D6A"/>
    <w:rsid w:val="005D7159"/>
    <w:rsid w:val="005E4152"/>
    <w:rsid w:val="005E436C"/>
    <w:rsid w:val="005F5B1C"/>
    <w:rsid w:val="005F5B90"/>
    <w:rsid w:val="005F5FC5"/>
    <w:rsid w:val="005F663B"/>
    <w:rsid w:val="005F7891"/>
    <w:rsid w:val="00600CBC"/>
    <w:rsid w:val="0060149D"/>
    <w:rsid w:val="0060188D"/>
    <w:rsid w:val="006030BB"/>
    <w:rsid w:val="00611EED"/>
    <w:rsid w:val="0061366E"/>
    <w:rsid w:val="00613FE9"/>
    <w:rsid w:val="00614757"/>
    <w:rsid w:val="00615268"/>
    <w:rsid w:val="0061605F"/>
    <w:rsid w:val="00623DAF"/>
    <w:rsid w:val="00627B3B"/>
    <w:rsid w:val="00627E39"/>
    <w:rsid w:val="006322DA"/>
    <w:rsid w:val="00634512"/>
    <w:rsid w:val="00634A8A"/>
    <w:rsid w:val="00652822"/>
    <w:rsid w:val="0065442E"/>
    <w:rsid w:val="00660338"/>
    <w:rsid w:val="00663025"/>
    <w:rsid w:val="00664D66"/>
    <w:rsid w:val="006652C7"/>
    <w:rsid w:val="006669ED"/>
    <w:rsid w:val="00670A87"/>
    <w:rsid w:val="006713D0"/>
    <w:rsid w:val="0067442C"/>
    <w:rsid w:val="006747D4"/>
    <w:rsid w:val="00677699"/>
    <w:rsid w:val="00691979"/>
    <w:rsid w:val="00693EC8"/>
    <w:rsid w:val="00694323"/>
    <w:rsid w:val="00695A11"/>
    <w:rsid w:val="00696022"/>
    <w:rsid w:val="00696DF4"/>
    <w:rsid w:val="006A249F"/>
    <w:rsid w:val="006A4194"/>
    <w:rsid w:val="006A502A"/>
    <w:rsid w:val="006B12F6"/>
    <w:rsid w:val="006B7666"/>
    <w:rsid w:val="006C0781"/>
    <w:rsid w:val="006C659F"/>
    <w:rsid w:val="006C6CB9"/>
    <w:rsid w:val="006D0BB9"/>
    <w:rsid w:val="006D12AB"/>
    <w:rsid w:val="006D3B48"/>
    <w:rsid w:val="006D7366"/>
    <w:rsid w:val="006D7A64"/>
    <w:rsid w:val="006E0198"/>
    <w:rsid w:val="006E2542"/>
    <w:rsid w:val="006E3F9C"/>
    <w:rsid w:val="006E4137"/>
    <w:rsid w:val="006E5508"/>
    <w:rsid w:val="006E7606"/>
    <w:rsid w:val="0070123B"/>
    <w:rsid w:val="00701A7C"/>
    <w:rsid w:val="007024B7"/>
    <w:rsid w:val="007053C8"/>
    <w:rsid w:val="0071019B"/>
    <w:rsid w:val="00717223"/>
    <w:rsid w:val="00717993"/>
    <w:rsid w:val="00720F51"/>
    <w:rsid w:val="0072251A"/>
    <w:rsid w:val="0072535B"/>
    <w:rsid w:val="00725B2A"/>
    <w:rsid w:val="007325CF"/>
    <w:rsid w:val="007374A7"/>
    <w:rsid w:val="00744812"/>
    <w:rsid w:val="00745BC9"/>
    <w:rsid w:val="00747BDD"/>
    <w:rsid w:val="00755141"/>
    <w:rsid w:val="0075731D"/>
    <w:rsid w:val="00761727"/>
    <w:rsid w:val="00762DEA"/>
    <w:rsid w:val="00763F43"/>
    <w:rsid w:val="00771A57"/>
    <w:rsid w:val="007723B0"/>
    <w:rsid w:val="00774418"/>
    <w:rsid w:val="00780F55"/>
    <w:rsid w:val="00781D71"/>
    <w:rsid w:val="007840F8"/>
    <w:rsid w:val="00787A92"/>
    <w:rsid w:val="00792871"/>
    <w:rsid w:val="00794093"/>
    <w:rsid w:val="007941FB"/>
    <w:rsid w:val="007954C1"/>
    <w:rsid w:val="00796060"/>
    <w:rsid w:val="007A08DB"/>
    <w:rsid w:val="007A09E2"/>
    <w:rsid w:val="007A69A0"/>
    <w:rsid w:val="007A7397"/>
    <w:rsid w:val="007B5168"/>
    <w:rsid w:val="007B5FF3"/>
    <w:rsid w:val="007C4BFB"/>
    <w:rsid w:val="007C5B72"/>
    <w:rsid w:val="007D2CEB"/>
    <w:rsid w:val="007D3DC9"/>
    <w:rsid w:val="007D7C6F"/>
    <w:rsid w:val="007E1F28"/>
    <w:rsid w:val="007E37CF"/>
    <w:rsid w:val="007E61E9"/>
    <w:rsid w:val="007E67AD"/>
    <w:rsid w:val="007F2064"/>
    <w:rsid w:val="007F482E"/>
    <w:rsid w:val="007F4B33"/>
    <w:rsid w:val="007F7089"/>
    <w:rsid w:val="00805D49"/>
    <w:rsid w:val="00817F0C"/>
    <w:rsid w:val="008203CF"/>
    <w:rsid w:val="008269A0"/>
    <w:rsid w:val="00826A07"/>
    <w:rsid w:val="00833B1F"/>
    <w:rsid w:val="00834CFC"/>
    <w:rsid w:val="00840132"/>
    <w:rsid w:val="00841657"/>
    <w:rsid w:val="008429EE"/>
    <w:rsid w:val="00843626"/>
    <w:rsid w:val="00843743"/>
    <w:rsid w:val="00843DCB"/>
    <w:rsid w:val="008463A5"/>
    <w:rsid w:val="0084650A"/>
    <w:rsid w:val="00852BAF"/>
    <w:rsid w:val="00856E67"/>
    <w:rsid w:val="00864F5C"/>
    <w:rsid w:val="00871EC7"/>
    <w:rsid w:val="008727C5"/>
    <w:rsid w:val="0087375E"/>
    <w:rsid w:val="00881A6B"/>
    <w:rsid w:val="00881FDE"/>
    <w:rsid w:val="008857DB"/>
    <w:rsid w:val="0089098E"/>
    <w:rsid w:val="00891492"/>
    <w:rsid w:val="008A3D21"/>
    <w:rsid w:val="008A5B73"/>
    <w:rsid w:val="008A6FED"/>
    <w:rsid w:val="008A71F7"/>
    <w:rsid w:val="008B092F"/>
    <w:rsid w:val="008B604E"/>
    <w:rsid w:val="008C48A4"/>
    <w:rsid w:val="008D6819"/>
    <w:rsid w:val="008E6EF8"/>
    <w:rsid w:val="008E7FF8"/>
    <w:rsid w:val="008F51B2"/>
    <w:rsid w:val="008F6065"/>
    <w:rsid w:val="008F6141"/>
    <w:rsid w:val="0090026D"/>
    <w:rsid w:val="0090188B"/>
    <w:rsid w:val="00905A6A"/>
    <w:rsid w:val="00910195"/>
    <w:rsid w:val="009118E4"/>
    <w:rsid w:val="00913428"/>
    <w:rsid w:val="0093032A"/>
    <w:rsid w:val="00930EF7"/>
    <w:rsid w:val="0093522E"/>
    <w:rsid w:val="00937DD5"/>
    <w:rsid w:val="009401C5"/>
    <w:rsid w:val="00941F89"/>
    <w:rsid w:val="00946041"/>
    <w:rsid w:val="00946B15"/>
    <w:rsid w:val="00946BB8"/>
    <w:rsid w:val="00950373"/>
    <w:rsid w:val="00951662"/>
    <w:rsid w:val="00953CF8"/>
    <w:rsid w:val="00956132"/>
    <w:rsid w:val="009564B8"/>
    <w:rsid w:val="00957E1B"/>
    <w:rsid w:val="00961F77"/>
    <w:rsid w:val="00963AE4"/>
    <w:rsid w:val="00966408"/>
    <w:rsid w:val="00971738"/>
    <w:rsid w:val="00973E9E"/>
    <w:rsid w:val="00975E93"/>
    <w:rsid w:val="009806B9"/>
    <w:rsid w:val="0098089F"/>
    <w:rsid w:val="009843B6"/>
    <w:rsid w:val="00990ED7"/>
    <w:rsid w:val="009A0304"/>
    <w:rsid w:val="009A1975"/>
    <w:rsid w:val="009A4C5B"/>
    <w:rsid w:val="009A4F7B"/>
    <w:rsid w:val="009A78B3"/>
    <w:rsid w:val="009B5418"/>
    <w:rsid w:val="009C374D"/>
    <w:rsid w:val="009C52BA"/>
    <w:rsid w:val="009C60F4"/>
    <w:rsid w:val="009D227E"/>
    <w:rsid w:val="009D37D0"/>
    <w:rsid w:val="009D3E1B"/>
    <w:rsid w:val="009D54E8"/>
    <w:rsid w:val="009D6695"/>
    <w:rsid w:val="009F12C0"/>
    <w:rsid w:val="009F3B79"/>
    <w:rsid w:val="009F420F"/>
    <w:rsid w:val="009F521C"/>
    <w:rsid w:val="009F53AF"/>
    <w:rsid w:val="009F7450"/>
    <w:rsid w:val="00A0443A"/>
    <w:rsid w:val="00A04E0E"/>
    <w:rsid w:val="00A104BB"/>
    <w:rsid w:val="00A10C11"/>
    <w:rsid w:val="00A1132C"/>
    <w:rsid w:val="00A13FD8"/>
    <w:rsid w:val="00A1744E"/>
    <w:rsid w:val="00A178CC"/>
    <w:rsid w:val="00A221CF"/>
    <w:rsid w:val="00A22EC6"/>
    <w:rsid w:val="00A2322C"/>
    <w:rsid w:val="00A35572"/>
    <w:rsid w:val="00A3585D"/>
    <w:rsid w:val="00A37BEE"/>
    <w:rsid w:val="00A44424"/>
    <w:rsid w:val="00A47B8A"/>
    <w:rsid w:val="00A5092B"/>
    <w:rsid w:val="00A5302D"/>
    <w:rsid w:val="00A546C5"/>
    <w:rsid w:val="00A559CB"/>
    <w:rsid w:val="00A56322"/>
    <w:rsid w:val="00A608EB"/>
    <w:rsid w:val="00A610C6"/>
    <w:rsid w:val="00A64868"/>
    <w:rsid w:val="00A66F01"/>
    <w:rsid w:val="00A674A6"/>
    <w:rsid w:val="00A67518"/>
    <w:rsid w:val="00A727F2"/>
    <w:rsid w:val="00A7315A"/>
    <w:rsid w:val="00A733A0"/>
    <w:rsid w:val="00A74672"/>
    <w:rsid w:val="00A748FA"/>
    <w:rsid w:val="00A752CF"/>
    <w:rsid w:val="00A75E77"/>
    <w:rsid w:val="00A764A3"/>
    <w:rsid w:val="00A814E1"/>
    <w:rsid w:val="00A81A5C"/>
    <w:rsid w:val="00A907D4"/>
    <w:rsid w:val="00A91151"/>
    <w:rsid w:val="00A939F6"/>
    <w:rsid w:val="00A94729"/>
    <w:rsid w:val="00A954C1"/>
    <w:rsid w:val="00AA298D"/>
    <w:rsid w:val="00AA5A1D"/>
    <w:rsid w:val="00AA5A45"/>
    <w:rsid w:val="00AB1193"/>
    <w:rsid w:val="00AB3E04"/>
    <w:rsid w:val="00AB548A"/>
    <w:rsid w:val="00AB5521"/>
    <w:rsid w:val="00AB686C"/>
    <w:rsid w:val="00AC16CD"/>
    <w:rsid w:val="00AC5339"/>
    <w:rsid w:val="00AD1F60"/>
    <w:rsid w:val="00AD450A"/>
    <w:rsid w:val="00AF38D9"/>
    <w:rsid w:val="00AF6410"/>
    <w:rsid w:val="00AF6529"/>
    <w:rsid w:val="00B020A8"/>
    <w:rsid w:val="00B03279"/>
    <w:rsid w:val="00B04A78"/>
    <w:rsid w:val="00B05DB5"/>
    <w:rsid w:val="00B13A91"/>
    <w:rsid w:val="00B16565"/>
    <w:rsid w:val="00B16AA0"/>
    <w:rsid w:val="00B17D0F"/>
    <w:rsid w:val="00B243F0"/>
    <w:rsid w:val="00B32C95"/>
    <w:rsid w:val="00B3560B"/>
    <w:rsid w:val="00B36946"/>
    <w:rsid w:val="00B40C3D"/>
    <w:rsid w:val="00B41468"/>
    <w:rsid w:val="00B44ED8"/>
    <w:rsid w:val="00B4677C"/>
    <w:rsid w:val="00B476B6"/>
    <w:rsid w:val="00B50C17"/>
    <w:rsid w:val="00B558BB"/>
    <w:rsid w:val="00B64493"/>
    <w:rsid w:val="00B64586"/>
    <w:rsid w:val="00B647C2"/>
    <w:rsid w:val="00B75B3D"/>
    <w:rsid w:val="00B80DC0"/>
    <w:rsid w:val="00B82950"/>
    <w:rsid w:val="00B831FC"/>
    <w:rsid w:val="00B849D1"/>
    <w:rsid w:val="00B85135"/>
    <w:rsid w:val="00B93355"/>
    <w:rsid w:val="00B93E6A"/>
    <w:rsid w:val="00BA4AE6"/>
    <w:rsid w:val="00BA5670"/>
    <w:rsid w:val="00BA7707"/>
    <w:rsid w:val="00BB0F36"/>
    <w:rsid w:val="00BB3555"/>
    <w:rsid w:val="00BB35A7"/>
    <w:rsid w:val="00BB40BF"/>
    <w:rsid w:val="00BB5CA9"/>
    <w:rsid w:val="00BC128F"/>
    <w:rsid w:val="00BC2719"/>
    <w:rsid w:val="00BC786D"/>
    <w:rsid w:val="00BD30C7"/>
    <w:rsid w:val="00BD4559"/>
    <w:rsid w:val="00BD56CD"/>
    <w:rsid w:val="00BE098D"/>
    <w:rsid w:val="00BE506E"/>
    <w:rsid w:val="00BF15BF"/>
    <w:rsid w:val="00BF3480"/>
    <w:rsid w:val="00BF3E2C"/>
    <w:rsid w:val="00BF4B63"/>
    <w:rsid w:val="00BF5014"/>
    <w:rsid w:val="00C017F9"/>
    <w:rsid w:val="00C03268"/>
    <w:rsid w:val="00C04CBC"/>
    <w:rsid w:val="00C13156"/>
    <w:rsid w:val="00C1431C"/>
    <w:rsid w:val="00C14833"/>
    <w:rsid w:val="00C14870"/>
    <w:rsid w:val="00C1551A"/>
    <w:rsid w:val="00C1589F"/>
    <w:rsid w:val="00C16D9F"/>
    <w:rsid w:val="00C174B3"/>
    <w:rsid w:val="00C20B39"/>
    <w:rsid w:val="00C21A83"/>
    <w:rsid w:val="00C228F7"/>
    <w:rsid w:val="00C22B14"/>
    <w:rsid w:val="00C24065"/>
    <w:rsid w:val="00C27061"/>
    <w:rsid w:val="00C3393A"/>
    <w:rsid w:val="00C35CFC"/>
    <w:rsid w:val="00C36CCA"/>
    <w:rsid w:val="00C373FF"/>
    <w:rsid w:val="00C47B25"/>
    <w:rsid w:val="00C537C7"/>
    <w:rsid w:val="00C577D5"/>
    <w:rsid w:val="00C65FCA"/>
    <w:rsid w:val="00C67458"/>
    <w:rsid w:val="00C67D8A"/>
    <w:rsid w:val="00C73D50"/>
    <w:rsid w:val="00C7504D"/>
    <w:rsid w:val="00C7718C"/>
    <w:rsid w:val="00C81BF7"/>
    <w:rsid w:val="00C82E58"/>
    <w:rsid w:val="00C83B4E"/>
    <w:rsid w:val="00C93D01"/>
    <w:rsid w:val="00C9413F"/>
    <w:rsid w:val="00C94671"/>
    <w:rsid w:val="00C961A5"/>
    <w:rsid w:val="00CA33DE"/>
    <w:rsid w:val="00CA594E"/>
    <w:rsid w:val="00CA7B22"/>
    <w:rsid w:val="00CB3AC9"/>
    <w:rsid w:val="00CB4FF1"/>
    <w:rsid w:val="00CB66BF"/>
    <w:rsid w:val="00CB7AB3"/>
    <w:rsid w:val="00CC00CA"/>
    <w:rsid w:val="00CC570D"/>
    <w:rsid w:val="00CC5DBB"/>
    <w:rsid w:val="00CD1B44"/>
    <w:rsid w:val="00CD2130"/>
    <w:rsid w:val="00CD4591"/>
    <w:rsid w:val="00CD47CE"/>
    <w:rsid w:val="00CD69EB"/>
    <w:rsid w:val="00CE2B96"/>
    <w:rsid w:val="00CE4D16"/>
    <w:rsid w:val="00CE540E"/>
    <w:rsid w:val="00CE5D4F"/>
    <w:rsid w:val="00CE683C"/>
    <w:rsid w:val="00CF0DFD"/>
    <w:rsid w:val="00CF540D"/>
    <w:rsid w:val="00D01BD6"/>
    <w:rsid w:val="00D02131"/>
    <w:rsid w:val="00D03E72"/>
    <w:rsid w:val="00D05ED7"/>
    <w:rsid w:val="00D069F8"/>
    <w:rsid w:val="00D06CEA"/>
    <w:rsid w:val="00D11434"/>
    <w:rsid w:val="00D13E6D"/>
    <w:rsid w:val="00D21502"/>
    <w:rsid w:val="00D22B3C"/>
    <w:rsid w:val="00D22B8B"/>
    <w:rsid w:val="00D22C38"/>
    <w:rsid w:val="00D244E4"/>
    <w:rsid w:val="00D315E0"/>
    <w:rsid w:val="00D35BD7"/>
    <w:rsid w:val="00D42417"/>
    <w:rsid w:val="00D437C2"/>
    <w:rsid w:val="00D46ED6"/>
    <w:rsid w:val="00D50D91"/>
    <w:rsid w:val="00D5786C"/>
    <w:rsid w:val="00D57B51"/>
    <w:rsid w:val="00D6185E"/>
    <w:rsid w:val="00D65118"/>
    <w:rsid w:val="00D65F63"/>
    <w:rsid w:val="00D7221C"/>
    <w:rsid w:val="00D74445"/>
    <w:rsid w:val="00D74C00"/>
    <w:rsid w:val="00D75F94"/>
    <w:rsid w:val="00D81B27"/>
    <w:rsid w:val="00D91852"/>
    <w:rsid w:val="00D932B8"/>
    <w:rsid w:val="00DA4A57"/>
    <w:rsid w:val="00DB0124"/>
    <w:rsid w:val="00DB14B9"/>
    <w:rsid w:val="00DB66B9"/>
    <w:rsid w:val="00DC0C2F"/>
    <w:rsid w:val="00DC1838"/>
    <w:rsid w:val="00DC26B0"/>
    <w:rsid w:val="00DD3BF3"/>
    <w:rsid w:val="00DD5246"/>
    <w:rsid w:val="00DE13FA"/>
    <w:rsid w:val="00DE7D14"/>
    <w:rsid w:val="00DE7DAE"/>
    <w:rsid w:val="00DE7E0E"/>
    <w:rsid w:val="00DF0ADE"/>
    <w:rsid w:val="00E03085"/>
    <w:rsid w:val="00E151C9"/>
    <w:rsid w:val="00E21D05"/>
    <w:rsid w:val="00E21FD0"/>
    <w:rsid w:val="00E22252"/>
    <w:rsid w:val="00E23BFB"/>
    <w:rsid w:val="00E265A0"/>
    <w:rsid w:val="00E26DC9"/>
    <w:rsid w:val="00E31CC1"/>
    <w:rsid w:val="00E33B52"/>
    <w:rsid w:val="00E4322F"/>
    <w:rsid w:val="00E4480D"/>
    <w:rsid w:val="00E46047"/>
    <w:rsid w:val="00E4726D"/>
    <w:rsid w:val="00E501A2"/>
    <w:rsid w:val="00E506EE"/>
    <w:rsid w:val="00E637B2"/>
    <w:rsid w:val="00E64602"/>
    <w:rsid w:val="00E710D5"/>
    <w:rsid w:val="00E7626D"/>
    <w:rsid w:val="00E766D5"/>
    <w:rsid w:val="00E76E26"/>
    <w:rsid w:val="00E77E2E"/>
    <w:rsid w:val="00E9003D"/>
    <w:rsid w:val="00E906B8"/>
    <w:rsid w:val="00E932B7"/>
    <w:rsid w:val="00E95DB6"/>
    <w:rsid w:val="00EA0271"/>
    <w:rsid w:val="00EA22DB"/>
    <w:rsid w:val="00EA3B9E"/>
    <w:rsid w:val="00EA4AE2"/>
    <w:rsid w:val="00EA5D53"/>
    <w:rsid w:val="00EB0667"/>
    <w:rsid w:val="00EB304B"/>
    <w:rsid w:val="00EB3AB3"/>
    <w:rsid w:val="00EC0CB4"/>
    <w:rsid w:val="00ED29D6"/>
    <w:rsid w:val="00ED2BFE"/>
    <w:rsid w:val="00ED366F"/>
    <w:rsid w:val="00ED5A93"/>
    <w:rsid w:val="00ED6A57"/>
    <w:rsid w:val="00ED727F"/>
    <w:rsid w:val="00EE186D"/>
    <w:rsid w:val="00EF1E54"/>
    <w:rsid w:val="00EF2779"/>
    <w:rsid w:val="00EF60C2"/>
    <w:rsid w:val="00EF6829"/>
    <w:rsid w:val="00F03764"/>
    <w:rsid w:val="00F03B11"/>
    <w:rsid w:val="00F05207"/>
    <w:rsid w:val="00F05346"/>
    <w:rsid w:val="00F06595"/>
    <w:rsid w:val="00F07002"/>
    <w:rsid w:val="00F11C48"/>
    <w:rsid w:val="00F12691"/>
    <w:rsid w:val="00F13345"/>
    <w:rsid w:val="00F17EF8"/>
    <w:rsid w:val="00F201CA"/>
    <w:rsid w:val="00F26260"/>
    <w:rsid w:val="00F2782B"/>
    <w:rsid w:val="00F30547"/>
    <w:rsid w:val="00F34284"/>
    <w:rsid w:val="00F34BBE"/>
    <w:rsid w:val="00F40E1B"/>
    <w:rsid w:val="00F41C03"/>
    <w:rsid w:val="00F43437"/>
    <w:rsid w:val="00F43EF4"/>
    <w:rsid w:val="00F46340"/>
    <w:rsid w:val="00F504A5"/>
    <w:rsid w:val="00F52C0C"/>
    <w:rsid w:val="00F612B9"/>
    <w:rsid w:val="00F617BF"/>
    <w:rsid w:val="00F637C5"/>
    <w:rsid w:val="00F759CA"/>
    <w:rsid w:val="00F75B70"/>
    <w:rsid w:val="00F76974"/>
    <w:rsid w:val="00F80534"/>
    <w:rsid w:val="00F83D01"/>
    <w:rsid w:val="00F90289"/>
    <w:rsid w:val="00F96DA9"/>
    <w:rsid w:val="00FA117B"/>
    <w:rsid w:val="00FA2CDF"/>
    <w:rsid w:val="00FA3CCB"/>
    <w:rsid w:val="00FA5745"/>
    <w:rsid w:val="00FB1F9E"/>
    <w:rsid w:val="00FB347E"/>
    <w:rsid w:val="00FB6238"/>
    <w:rsid w:val="00FC0CC0"/>
    <w:rsid w:val="00FC0EEB"/>
    <w:rsid w:val="00FC28EC"/>
    <w:rsid w:val="00FC2D7F"/>
    <w:rsid w:val="00FC3C6B"/>
    <w:rsid w:val="00FC42A9"/>
    <w:rsid w:val="00FC6B66"/>
    <w:rsid w:val="00FD50A7"/>
    <w:rsid w:val="00FE56C0"/>
    <w:rsid w:val="00FE6EF5"/>
    <w:rsid w:val="00FE73F7"/>
    <w:rsid w:val="00FF011D"/>
    <w:rsid w:val="00FF094F"/>
    <w:rsid w:val="00FF0F44"/>
    <w:rsid w:val="00FF3C77"/>
    <w:rsid w:val="00FF5989"/>
    <w:rsid w:val="00FF6641"/>
    <w:rsid w:val="00FF678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186F"/>
  <w15:chartTrackingRefBased/>
  <w15:docId w15:val="{734A6FF3-804F-4718-B2FC-4A7A3095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5B70"/>
    <w:pPr>
      <w:spacing w:before="100" w:beforeAutospacing="1" w:after="100" w:afterAutospacing="1"/>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8F4"/>
    <w:rPr>
      <w:sz w:val="20"/>
    </w:rPr>
  </w:style>
  <w:style w:type="character" w:customStyle="1" w:styleId="FootnoteTextChar">
    <w:name w:val="Footnote Text Char"/>
    <w:basedOn w:val="DefaultParagraphFont"/>
    <w:link w:val="FootnoteText"/>
    <w:uiPriority w:val="99"/>
    <w:rsid w:val="002108F4"/>
    <w:rPr>
      <w:sz w:val="20"/>
    </w:rPr>
  </w:style>
  <w:style w:type="character" w:styleId="FootnoteReference">
    <w:name w:val="footnote reference"/>
    <w:basedOn w:val="DefaultParagraphFont"/>
    <w:uiPriority w:val="99"/>
    <w:semiHidden/>
    <w:unhideWhenUsed/>
    <w:rsid w:val="002108F4"/>
    <w:rPr>
      <w:vertAlign w:val="superscript"/>
    </w:rPr>
  </w:style>
  <w:style w:type="paragraph" w:styleId="ListParagraph">
    <w:name w:val="List Paragraph"/>
    <w:basedOn w:val="Normal"/>
    <w:uiPriority w:val="34"/>
    <w:qFormat/>
    <w:rsid w:val="000D009C"/>
    <w:pPr>
      <w:ind w:left="720"/>
      <w:contextualSpacing/>
    </w:pPr>
  </w:style>
  <w:style w:type="paragraph" w:styleId="Header">
    <w:name w:val="header"/>
    <w:basedOn w:val="Normal"/>
    <w:link w:val="HeaderChar"/>
    <w:uiPriority w:val="99"/>
    <w:unhideWhenUsed/>
    <w:rsid w:val="004850F6"/>
    <w:pPr>
      <w:tabs>
        <w:tab w:val="center" w:pos="4513"/>
        <w:tab w:val="right" w:pos="9026"/>
      </w:tabs>
    </w:pPr>
  </w:style>
  <w:style w:type="character" w:customStyle="1" w:styleId="HeaderChar">
    <w:name w:val="Header Char"/>
    <w:basedOn w:val="DefaultParagraphFont"/>
    <w:link w:val="Header"/>
    <w:uiPriority w:val="99"/>
    <w:rsid w:val="004850F6"/>
  </w:style>
  <w:style w:type="paragraph" w:styleId="Footer">
    <w:name w:val="footer"/>
    <w:basedOn w:val="Normal"/>
    <w:link w:val="FooterChar"/>
    <w:uiPriority w:val="99"/>
    <w:unhideWhenUsed/>
    <w:rsid w:val="004850F6"/>
    <w:pPr>
      <w:tabs>
        <w:tab w:val="center" w:pos="4513"/>
        <w:tab w:val="right" w:pos="9026"/>
      </w:tabs>
    </w:pPr>
  </w:style>
  <w:style w:type="character" w:customStyle="1" w:styleId="FooterChar">
    <w:name w:val="Footer Char"/>
    <w:basedOn w:val="DefaultParagraphFont"/>
    <w:link w:val="Footer"/>
    <w:uiPriority w:val="99"/>
    <w:rsid w:val="004850F6"/>
  </w:style>
  <w:style w:type="character" w:styleId="Hyperlink">
    <w:name w:val="Hyperlink"/>
    <w:basedOn w:val="DefaultParagraphFont"/>
    <w:uiPriority w:val="99"/>
    <w:unhideWhenUsed/>
    <w:rsid w:val="002A1B07"/>
    <w:rPr>
      <w:color w:val="0000FF"/>
      <w:u w:val="single"/>
    </w:rPr>
  </w:style>
  <w:style w:type="character" w:styleId="UnresolvedMention">
    <w:name w:val="Unresolved Mention"/>
    <w:basedOn w:val="DefaultParagraphFont"/>
    <w:uiPriority w:val="99"/>
    <w:semiHidden/>
    <w:unhideWhenUsed/>
    <w:rsid w:val="007B5168"/>
    <w:rPr>
      <w:color w:val="605E5C"/>
      <w:shd w:val="clear" w:color="auto" w:fill="E1DFDD"/>
    </w:rPr>
  </w:style>
  <w:style w:type="character" w:styleId="FollowedHyperlink">
    <w:name w:val="FollowedHyperlink"/>
    <w:basedOn w:val="DefaultParagraphFont"/>
    <w:uiPriority w:val="99"/>
    <w:semiHidden/>
    <w:unhideWhenUsed/>
    <w:rsid w:val="007B5168"/>
    <w:rPr>
      <w:color w:val="800080" w:themeColor="followedHyperlink"/>
      <w:u w:val="single"/>
    </w:rPr>
  </w:style>
  <w:style w:type="paragraph" w:styleId="BalloonText">
    <w:name w:val="Balloon Text"/>
    <w:basedOn w:val="Normal"/>
    <w:link w:val="BalloonTextChar"/>
    <w:uiPriority w:val="99"/>
    <w:semiHidden/>
    <w:unhideWhenUsed/>
    <w:rsid w:val="009D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95"/>
    <w:rPr>
      <w:rFonts w:ascii="Segoe UI" w:hAnsi="Segoe UI" w:cs="Segoe UI"/>
      <w:sz w:val="18"/>
      <w:szCs w:val="18"/>
    </w:rPr>
  </w:style>
  <w:style w:type="character" w:customStyle="1" w:styleId="Heading3Char">
    <w:name w:val="Heading 3 Char"/>
    <w:basedOn w:val="DefaultParagraphFont"/>
    <w:link w:val="Heading3"/>
    <w:uiPriority w:val="9"/>
    <w:rsid w:val="00F75B70"/>
    <w:rPr>
      <w:rFonts w:ascii="Times New Roman" w:eastAsia="Times New Roman" w:hAnsi="Times New Roman" w:cs="Times New Roman"/>
      <w:b/>
      <w:bCs/>
      <w:sz w:val="27"/>
      <w:szCs w:val="27"/>
      <w:lang w:val="en-US" w:eastAsia="zh-CN"/>
    </w:rPr>
  </w:style>
  <w:style w:type="paragraph" w:styleId="NormalWeb">
    <w:name w:val="Normal (Web)"/>
    <w:basedOn w:val="Normal"/>
    <w:uiPriority w:val="99"/>
    <w:semiHidden/>
    <w:unhideWhenUsed/>
    <w:rsid w:val="00F75B70"/>
    <w:pPr>
      <w:spacing w:before="100" w:beforeAutospacing="1" w:after="100" w:afterAutospacing="1"/>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F75B70"/>
    <w:rPr>
      <w:b/>
      <w:bCs/>
    </w:rPr>
  </w:style>
  <w:style w:type="character" w:styleId="CommentReference">
    <w:name w:val="annotation reference"/>
    <w:basedOn w:val="DefaultParagraphFont"/>
    <w:uiPriority w:val="99"/>
    <w:semiHidden/>
    <w:unhideWhenUsed/>
    <w:rsid w:val="009A78B3"/>
    <w:rPr>
      <w:sz w:val="16"/>
      <w:szCs w:val="16"/>
    </w:rPr>
  </w:style>
  <w:style w:type="paragraph" w:styleId="CommentText">
    <w:name w:val="annotation text"/>
    <w:basedOn w:val="Normal"/>
    <w:link w:val="CommentTextChar"/>
    <w:uiPriority w:val="99"/>
    <w:semiHidden/>
    <w:unhideWhenUsed/>
    <w:rsid w:val="009A78B3"/>
    <w:rPr>
      <w:sz w:val="20"/>
      <w:szCs w:val="20"/>
    </w:rPr>
  </w:style>
  <w:style w:type="character" w:customStyle="1" w:styleId="CommentTextChar">
    <w:name w:val="Comment Text Char"/>
    <w:basedOn w:val="DefaultParagraphFont"/>
    <w:link w:val="CommentText"/>
    <w:uiPriority w:val="99"/>
    <w:semiHidden/>
    <w:rsid w:val="009A78B3"/>
    <w:rPr>
      <w:sz w:val="20"/>
      <w:szCs w:val="20"/>
    </w:rPr>
  </w:style>
  <w:style w:type="paragraph" w:styleId="CommentSubject">
    <w:name w:val="annotation subject"/>
    <w:basedOn w:val="CommentText"/>
    <w:next w:val="CommentText"/>
    <w:link w:val="CommentSubjectChar"/>
    <w:uiPriority w:val="99"/>
    <w:semiHidden/>
    <w:unhideWhenUsed/>
    <w:rsid w:val="009A78B3"/>
    <w:rPr>
      <w:b/>
      <w:bCs/>
    </w:rPr>
  </w:style>
  <w:style w:type="character" w:customStyle="1" w:styleId="CommentSubjectChar">
    <w:name w:val="Comment Subject Char"/>
    <w:basedOn w:val="CommentTextChar"/>
    <w:link w:val="CommentSubject"/>
    <w:uiPriority w:val="99"/>
    <w:semiHidden/>
    <w:rsid w:val="009A78B3"/>
    <w:rPr>
      <w:b/>
      <w:bCs/>
      <w:sz w:val="20"/>
      <w:szCs w:val="20"/>
    </w:rPr>
  </w:style>
  <w:style w:type="paragraph" w:styleId="Revision">
    <w:name w:val="Revision"/>
    <w:hidden/>
    <w:uiPriority w:val="99"/>
    <w:semiHidden/>
    <w:rsid w:val="009A78B3"/>
  </w:style>
  <w:style w:type="paragraph" w:customStyle="1" w:styleId="c-article-footnote--listeditem">
    <w:name w:val="c-article-footnote--listed__item"/>
    <w:basedOn w:val="Normal"/>
    <w:rsid w:val="00A94729"/>
    <w:pPr>
      <w:spacing w:before="100" w:beforeAutospacing="1" w:after="240"/>
    </w:pPr>
    <w:rPr>
      <w:rFonts w:ascii="Times New Roman" w:eastAsia="Times New Roman" w:hAnsi="Times New Roman" w:cs="Times New Roman"/>
      <w:sz w:val="24"/>
      <w:szCs w:val="24"/>
      <w:lang w:val="en-US" w:eastAsia="zh-CN"/>
    </w:rPr>
  </w:style>
  <w:style w:type="character" w:customStyle="1" w:styleId="c-article-footnote--listedindex1">
    <w:name w:val="c-article-footnote--listed__index1"/>
    <w:basedOn w:val="DefaultParagraphFont"/>
    <w:rsid w:val="00A94729"/>
  </w:style>
  <w:style w:type="character" w:customStyle="1" w:styleId="u-visually-hidden1">
    <w:name w:val="u-visually-hidden1"/>
    <w:basedOn w:val="DefaultParagraphFont"/>
    <w:rsid w:val="00CE683C"/>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685">
      <w:bodyDiv w:val="1"/>
      <w:marLeft w:val="0"/>
      <w:marRight w:val="0"/>
      <w:marTop w:val="0"/>
      <w:marBottom w:val="0"/>
      <w:divBdr>
        <w:top w:val="none" w:sz="0" w:space="0" w:color="auto"/>
        <w:left w:val="none" w:sz="0" w:space="0" w:color="auto"/>
        <w:bottom w:val="none" w:sz="0" w:space="0" w:color="auto"/>
        <w:right w:val="none" w:sz="0" w:space="0" w:color="auto"/>
      </w:divBdr>
      <w:divsChild>
        <w:div w:id="1299069649">
          <w:marLeft w:val="0"/>
          <w:marRight w:val="0"/>
          <w:marTop w:val="0"/>
          <w:marBottom w:val="0"/>
          <w:divBdr>
            <w:top w:val="none" w:sz="0" w:space="0" w:color="auto"/>
            <w:left w:val="none" w:sz="0" w:space="0" w:color="auto"/>
            <w:bottom w:val="none" w:sz="0" w:space="0" w:color="auto"/>
            <w:right w:val="none" w:sz="0" w:space="0" w:color="auto"/>
          </w:divBdr>
          <w:divsChild>
            <w:div w:id="1088959293">
              <w:marLeft w:val="0"/>
              <w:marRight w:val="0"/>
              <w:marTop w:val="0"/>
              <w:marBottom w:val="0"/>
              <w:divBdr>
                <w:top w:val="none" w:sz="0" w:space="0" w:color="auto"/>
                <w:left w:val="none" w:sz="0" w:space="0" w:color="auto"/>
                <w:bottom w:val="none" w:sz="0" w:space="0" w:color="auto"/>
                <w:right w:val="none" w:sz="0" w:space="0" w:color="auto"/>
              </w:divBdr>
              <w:divsChild>
                <w:div w:id="884415004">
                  <w:marLeft w:val="0"/>
                  <w:marRight w:val="0"/>
                  <w:marTop w:val="0"/>
                  <w:marBottom w:val="0"/>
                  <w:divBdr>
                    <w:top w:val="none" w:sz="0" w:space="0" w:color="auto"/>
                    <w:left w:val="none" w:sz="0" w:space="0" w:color="auto"/>
                    <w:bottom w:val="none" w:sz="0" w:space="0" w:color="auto"/>
                    <w:right w:val="none" w:sz="0" w:space="0" w:color="auto"/>
                  </w:divBdr>
                  <w:divsChild>
                    <w:div w:id="1473596426">
                      <w:marLeft w:val="0"/>
                      <w:marRight w:val="0"/>
                      <w:marTop w:val="0"/>
                      <w:marBottom w:val="0"/>
                      <w:divBdr>
                        <w:top w:val="none" w:sz="0" w:space="0" w:color="auto"/>
                        <w:left w:val="none" w:sz="0" w:space="0" w:color="auto"/>
                        <w:bottom w:val="none" w:sz="0" w:space="0" w:color="auto"/>
                        <w:right w:val="none" w:sz="0" w:space="0" w:color="auto"/>
                      </w:divBdr>
                      <w:divsChild>
                        <w:div w:id="1848639734">
                          <w:marLeft w:val="0"/>
                          <w:marRight w:val="0"/>
                          <w:marTop w:val="0"/>
                          <w:marBottom w:val="600"/>
                          <w:divBdr>
                            <w:top w:val="none" w:sz="0" w:space="0" w:color="auto"/>
                            <w:left w:val="none" w:sz="0" w:space="0" w:color="auto"/>
                            <w:bottom w:val="none" w:sz="0" w:space="0" w:color="auto"/>
                            <w:right w:val="none" w:sz="0" w:space="0" w:color="auto"/>
                          </w:divBdr>
                          <w:divsChild>
                            <w:div w:id="2118405750">
                              <w:marLeft w:val="0"/>
                              <w:marRight w:val="0"/>
                              <w:marTop w:val="0"/>
                              <w:marBottom w:val="0"/>
                              <w:divBdr>
                                <w:top w:val="none" w:sz="0" w:space="0" w:color="auto"/>
                                <w:left w:val="none" w:sz="0" w:space="0" w:color="auto"/>
                                <w:bottom w:val="none" w:sz="0" w:space="0" w:color="auto"/>
                                <w:right w:val="none" w:sz="0" w:space="0" w:color="auto"/>
                              </w:divBdr>
                            </w:div>
                            <w:div w:id="7456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73905">
      <w:bodyDiv w:val="1"/>
      <w:marLeft w:val="0"/>
      <w:marRight w:val="0"/>
      <w:marTop w:val="0"/>
      <w:marBottom w:val="0"/>
      <w:divBdr>
        <w:top w:val="none" w:sz="0" w:space="0" w:color="auto"/>
        <w:left w:val="none" w:sz="0" w:space="0" w:color="auto"/>
        <w:bottom w:val="none" w:sz="0" w:space="0" w:color="auto"/>
        <w:right w:val="none" w:sz="0" w:space="0" w:color="auto"/>
      </w:divBdr>
    </w:div>
    <w:div w:id="1905218949">
      <w:bodyDiv w:val="1"/>
      <w:marLeft w:val="0"/>
      <w:marRight w:val="0"/>
      <w:marTop w:val="0"/>
      <w:marBottom w:val="0"/>
      <w:divBdr>
        <w:top w:val="none" w:sz="0" w:space="0" w:color="auto"/>
        <w:left w:val="none" w:sz="0" w:space="0" w:color="auto"/>
        <w:bottom w:val="none" w:sz="0" w:space="0" w:color="auto"/>
        <w:right w:val="none" w:sz="0" w:space="0" w:color="auto"/>
      </w:divBdr>
    </w:div>
    <w:div w:id="21405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seylaw.je/publications" TargetMode="External"/><Relationship Id="rId13" Type="http://schemas.openxmlformats.org/officeDocument/2006/relationships/hyperlink" Target="http://www.insol-europe.org/download/documents/722&amp;v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bjmeeting.org/2019/archive/2015/edmaterials/Cross-Bor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804-021-002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ol-europe.org/download/documents/1247&amp;ved" TargetMode="External"/><Relationship Id="rId4" Type="http://schemas.openxmlformats.org/officeDocument/2006/relationships/settings" Target="settings.xml"/><Relationship Id="rId9" Type="http://schemas.openxmlformats.org/officeDocument/2006/relationships/hyperlink" Target="https://repository.law.umich.edu/cgi/viewcontent.cgi?article=2797&amp;context=ml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cbjmeeting.org/2019/archive/2015/edmaterials/Cross-Border%20Insolvency%20Law%20in%20Bermuda-%20a%20Common%20Law%20and%20Common%20Sense%20Approach.pdf" TargetMode="External"/><Relationship Id="rId2" Type="http://schemas.openxmlformats.org/officeDocument/2006/relationships/hyperlink" Target="https://repository.law.umich.edu/cgi/viewcontent.cgi?article=2797&amp;context=mlr" TargetMode="External"/><Relationship Id="rId1" Type="http://schemas.openxmlformats.org/officeDocument/2006/relationships/hyperlink" Target="http://www.jerseylaw.je/publications" TargetMode="External"/><Relationship Id="rId4" Type="http://schemas.openxmlformats.org/officeDocument/2006/relationships/hyperlink" Target="http://www.insol-europe.org/download/documents/722&amp;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BC91-3E4B-4F47-B32A-6FF19F91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Williams</dc:creator>
  <cp:keywords/>
  <dc:description/>
  <cp:lastModifiedBy>steven white</cp:lastModifiedBy>
  <cp:revision>2</cp:revision>
  <cp:lastPrinted>2022-02-10T01:59:00Z</cp:lastPrinted>
  <dcterms:created xsi:type="dcterms:W3CDTF">2022-02-10T02:28:00Z</dcterms:created>
  <dcterms:modified xsi:type="dcterms:W3CDTF">2022-02-10T02:28:00Z</dcterms:modified>
</cp:coreProperties>
</file>