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CF417" w14:textId="015DFE62" w:rsidR="00C9204A" w:rsidRPr="00215FEF" w:rsidRDefault="00EA5C5E" w:rsidP="00340046">
      <w:pPr>
        <w:tabs>
          <w:tab w:val="left" w:pos="8910"/>
        </w:tabs>
        <w:jc w:val="center"/>
        <w:rPr>
          <w:rFonts w:ascii="Arial" w:hAnsi="Arial" w:cs="Arial"/>
          <w:b/>
          <w:bCs/>
          <w:color w:val="000000" w:themeColor="text1"/>
          <w:sz w:val="24"/>
          <w:szCs w:val="24"/>
        </w:rPr>
      </w:pPr>
      <w:r w:rsidRPr="00215FEF">
        <w:rPr>
          <w:rFonts w:ascii="Arial" w:hAnsi="Arial" w:cs="Arial"/>
          <w:b/>
          <w:bCs/>
          <w:color w:val="000000" w:themeColor="text1"/>
          <w:sz w:val="24"/>
          <w:szCs w:val="24"/>
        </w:rPr>
        <w:t>Modern Universalism and its parallel in the South Africa</w:t>
      </w:r>
      <w:r w:rsidR="0094619A" w:rsidRPr="00215FEF">
        <w:rPr>
          <w:rFonts w:ascii="Arial" w:hAnsi="Arial" w:cs="Arial"/>
          <w:b/>
          <w:bCs/>
          <w:color w:val="000000" w:themeColor="text1"/>
          <w:sz w:val="24"/>
          <w:szCs w:val="24"/>
        </w:rPr>
        <w:t>n</w:t>
      </w:r>
      <w:r w:rsidRPr="00215FEF">
        <w:rPr>
          <w:rFonts w:ascii="Arial" w:hAnsi="Arial" w:cs="Arial"/>
          <w:b/>
          <w:bCs/>
          <w:color w:val="000000" w:themeColor="text1"/>
          <w:sz w:val="24"/>
          <w:szCs w:val="24"/>
        </w:rPr>
        <w:t xml:space="preserve"> </w:t>
      </w:r>
      <w:r w:rsidR="00ED124C" w:rsidRPr="00215FEF">
        <w:rPr>
          <w:rFonts w:ascii="Arial" w:hAnsi="Arial" w:cs="Arial"/>
          <w:b/>
          <w:bCs/>
          <w:color w:val="000000" w:themeColor="text1"/>
          <w:sz w:val="24"/>
          <w:szCs w:val="24"/>
        </w:rPr>
        <w:t>common law</w:t>
      </w:r>
    </w:p>
    <w:p w14:paraId="0DF4B093" w14:textId="77777777" w:rsidR="00DE5460" w:rsidRDefault="00DE5460" w:rsidP="00340046">
      <w:pPr>
        <w:tabs>
          <w:tab w:val="left" w:pos="8910"/>
        </w:tabs>
        <w:jc w:val="center"/>
        <w:rPr>
          <w:rFonts w:ascii="Arial" w:hAnsi="Arial" w:cs="Arial"/>
          <w:b/>
          <w:bCs/>
          <w:color w:val="000000" w:themeColor="text1"/>
        </w:rPr>
      </w:pPr>
    </w:p>
    <w:tbl>
      <w:tblPr>
        <w:tblStyle w:val="TableGrid"/>
        <w:tblW w:w="0" w:type="auto"/>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85"/>
        <w:gridCol w:w="461"/>
      </w:tblGrid>
      <w:tr w:rsidR="00DF76B4" w14:paraId="5680726D" w14:textId="77777777" w:rsidTr="008D7B80">
        <w:trPr>
          <w:trHeight w:val="246"/>
        </w:trPr>
        <w:tc>
          <w:tcPr>
            <w:tcW w:w="5485" w:type="dxa"/>
          </w:tcPr>
          <w:p w14:paraId="5B592DAC" w14:textId="17E8AFE1" w:rsidR="00DF76B4" w:rsidRDefault="00DF76B4" w:rsidP="00DF76B4">
            <w:pPr>
              <w:tabs>
                <w:tab w:val="left" w:pos="8910"/>
              </w:tabs>
              <w:rPr>
                <w:rFonts w:ascii="Arial" w:hAnsi="Arial" w:cs="Arial"/>
                <w:b/>
                <w:bCs/>
                <w:color w:val="000000" w:themeColor="text1"/>
              </w:rPr>
            </w:pPr>
            <w:r w:rsidRPr="00174F7A">
              <w:rPr>
                <w:rFonts w:ascii="Arial" w:hAnsi="Arial" w:cs="Arial"/>
                <w:color w:val="000000" w:themeColor="text1"/>
              </w:rPr>
              <w:t>Introduction</w:t>
            </w:r>
          </w:p>
        </w:tc>
        <w:tc>
          <w:tcPr>
            <w:tcW w:w="461" w:type="dxa"/>
          </w:tcPr>
          <w:p w14:paraId="0739FBE0" w14:textId="35A7449F" w:rsidR="00DF76B4" w:rsidRPr="00DE5460" w:rsidRDefault="00DF76B4" w:rsidP="00DF76B4">
            <w:pPr>
              <w:tabs>
                <w:tab w:val="left" w:pos="8910"/>
              </w:tabs>
              <w:rPr>
                <w:rFonts w:ascii="Arial" w:hAnsi="Arial" w:cs="Arial"/>
                <w:color w:val="000000" w:themeColor="text1"/>
              </w:rPr>
            </w:pPr>
            <w:r w:rsidRPr="00DE5460">
              <w:rPr>
                <w:rFonts w:ascii="Arial" w:hAnsi="Arial" w:cs="Arial"/>
                <w:color w:val="000000" w:themeColor="text1"/>
              </w:rPr>
              <w:t>2</w:t>
            </w:r>
          </w:p>
        </w:tc>
      </w:tr>
      <w:tr w:rsidR="00DF76B4" w14:paraId="771DD802" w14:textId="77777777" w:rsidTr="008D7B80">
        <w:trPr>
          <w:trHeight w:val="246"/>
        </w:trPr>
        <w:tc>
          <w:tcPr>
            <w:tcW w:w="5485" w:type="dxa"/>
          </w:tcPr>
          <w:p w14:paraId="0584CD7E" w14:textId="2B08879F" w:rsidR="00DF76B4" w:rsidRDefault="00DF76B4" w:rsidP="00DF76B4">
            <w:pPr>
              <w:tabs>
                <w:tab w:val="left" w:pos="8910"/>
              </w:tabs>
              <w:rPr>
                <w:rFonts w:ascii="Arial" w:hAnsi="Arial" w:cs="Arial"/>
                <w:b/>
                <w:bCs/>
                <w:color w:val="000000" w:themeColor="text1"/>
              </w:rPr>
            </w:pPr>
            <w:r w:rsidRPr="00174F7A">
              <w:rPr>
                <w:rFonts w:ascii="Arial" w:hAnsi="Arial" w:cs="Arial"/>
                <w:color w:val="000000" w:themeColor="text1"/>
              </w:rPr>
              <w:t xml:space="preserve">The establishment of </w:t>
            </w:r>
            <w:r w:rsidR="0038272D" w:rsidRPr="00174F7A">
              <w:rPr>
                <w:rFonts w:ascii="Arial" w:hAnsi="Arial" w:cs="Arial"/>
                <w:color w:val="000000" w:themeColor="text1"/>
              </w:rPr>
              <w:t>Modern Universalism</w:t>
            </w:r>
            <w:r w:rsidRPr="00174F7A">
              <w:rPr>
                <w:rFonts w:ascii="Arial" w:hAnsi="Arial" w:cs="Arial"/>
                <w:color w:val="000000" w:themeColor="text1"/>
              </w:rPr>
              <w:t xml:space="preserve">                                        </w:t>
            </w:r>
          </w:p>
        </w:tc>
        <w:tc>
          <w:tcPr>
            <w:tcW w:w="461" w:type="dxa"/>
          </w:tcPr>
          <w:p w14:paraId="52CBFFB6" w14:textId="22F0C74C" w:rsidR="00DF76B4" w:rsidRDefault="00DF76B4" w:rsidP="00DF76B4">
            <w:pPr>
              <w:tabs>
                <w:tab w:val="left" w:pos="8910"/>
              </w:tabs>
              <w:rPr>
                <w:rFonts w:ascii="Arial" w:hAnsi="Arial" w:cs="Arial"/>
                <w:b/>
                <w:bCs/>
                <w:color w:val="000000" w:themeColor="text1"/>
              </w:rPr>
            </w:pPr>
            <w:r w:rsidRPr="00174F7A">
              <w:rPr>
                <w:rFonts w:ascii="Arial" w:hAnsi="Arial" w:cs="Arial"/>
                <w:color w:val="000000" w:themeColor="text1"/>
              </w:rPr>
              <w:t>3</w:t>
            </w:r>
          </w:p>
        </w:tc>
      </w:tr>
      <w:tr w:rsidR="00DF76B4" w14:paraId="1FDFD979" w14:textId="77777777" w:rsidTr="008D7B80">
        <w:trPr>
          <w:trHeight w:val="246"/>
        </w:trPr>
        <w:tc>
          <w:tcPr>
            <w:tcW w:w="5485" w:type="dxa"/>
          </w:tcPr>
          <w:p w14:paraId="6245D66B" w14:textId="68AC5BB1" w:rsidR="00DF76B4" w:rsidRDefault="00DF76B4" w:rsidP="00DF76B4">
            <w:pPr>
              <w:tabs>
                <w:tab w:val="left" w:pos="8910"/>
              </w:tabs>
              <w:rPr>
                <w:rFonts w:ascii="Arial" w:hAnsi="Arial" w:cs="Arial"/>
                <w:b/>
                <w:bCs/>
                <w:color w:val="000000" w:themeColor="text1"/>
              </w:rPr>
            </w:pPr>
            <w:r w:rsidRPr="00174F7A">
              <w:rPr>
                <w:rFonts w:ascii="Arial" w:hAnsi="Arial" w:cs="Arial"/>
                <w:color w:val="000000" w:themeColor="text1"/>
              </w:rPr>
              <w:t xml:space="preserve">The refinement of </w:t>
            </w:r>
            <w:r w:rsidR="0038272D">
              <w:rPr>
                <w:rFonts w:ascii="Arial" w:hAnsi="Arial" w:cs="Arial"/>
                <w:color w:val="000000" w:themeColor="text1"/>
              </w:rPr>
              <w:t xml:space="preserve">the principle </w:t>
            </w:r>
            <w:r w:rsidRPr="00174F7A">
              <w:rPr>
                <w:rFonts w:ascii="Arial" w:hAnsi="Arial" w:cs="Arial"/>
                <w:color w:val="000000" w:themeColor="text1"/>
              </w:rPr>
              <w:t xml:space="preserve">                               </w:t>
            </w:r>
          </w:p>
        </w:tc>
        <w:tc>
          <w:tcPr>
            <w:tcW w:w="461" w:type="dxa"/>
          </w:tcPr>
          <w:p w14:paraId="2C3F9FBD" w14:textId="66FA13A2" w:rsidR="00DF76B4" w:rsidRDefault="00DF76B4" w:rsidP="00DF76B4">
            <w:pPr>
              <w:tabs>
                <w:tab w:val="left" w:pos="8910"/>
              </w:tabs>
              <w:rPr>
                <w:rFonts w:ascii="Arial" w:hAnsi="Arial" w:cs="Arial"/>
                <w:b/>
                <w:bCs/>
                <w:color w:val="000000" w:themeColor="text1"/>
              </w:rPr>
            </w:pPr>
            <w:r w:rsidRPr="00174F7A">
              <w:rPr>
                <w:rFonts w:ascii="Arial" w:hAnsi="Arial" w:cs="Arial"/>
                <w:color w:val="000000" w:themeColor="text1"/>
              </w:rPr>
              <w:t>5</w:t>
            </w:r>
          </w:p>
        </w:tc>
      </w:tr>
      <w:tr w:rsidR="00DF76B4" w14:paraId="07157822" w14:textId="77777777" w:rsidTr="008D7B80">
        <w:trPr>
          <w:trHeight w:val="246"/>
        </w:trPr>
        <w:tc>
          <w:tcPr>
            <w:tcW w:w="5485" w:type="dxa"/>
          </w:tcPr>
          <w:p w14:paraId="43A8E022" w14:textId="475C12F2" w:rsidR="00DF76B4" w:rsidRDefault="00DF76B4" w:rsidP="00DF76B4">
            <w:pPr>
              <w:tabs>
                <w:tab w:val="left" w:pos="8910"/>
              </w:tabs>
              <w:rPr>
                <w:rFonts w:ascii="Arial" w:hAnsi="Arial" w:cs="Arial"/>
                <w:b/>
                <w:bCs/>
                <w:color w:val="000000" w:themeColor="text1"/>
              </w:rPr>
            </w:pPr>
            <w:r w:rsidRPr="00174F7A">
              <w:rPr>
                <w:rFonts w:ascii="Arial" w:hAnsi="Arial" w:cs="Arial"/>
                <w:color w:val="000000" w:themeColor="text1"/>
              </w:rPr>
              <w:t xml:space="preserve">Lurking doubts                                                                       </w:t>
            </w:r>
          </w:p>
        </w:tc>
        <w:tc>
          <w:tcPr>
            <w:tcW w:w="461" w:type="dxa"/>
          </w:tcPr>
          <w:p w14:paraId="40AB4F7E" w14:textId="47F49310" w:rsidR="00DF76B4" w:rsidRDefault="00DE5460" w:rsidP="00DF76B4">
            <w:pPr>
              <w:tabs>
                <w:tab w:val="left" w:pos="8910"/>
              </w:tabs>
              <w:rPr>
                <w:rFonts w:ascii="Arial" w:hAnsi="Arial" w:cs="Arial"/>
                <w:b/>
                <w:bCs/>
                <w:color w:val="000000" w:themeColor="text1"/>
              </w:rPr>
            </w:pPr>
            <w:r>
              <w:rPr>
                <w:rFonts w:ascii="Arial" w:hAnsi="Arial" w:cs="Arial"/>
                <w:color w:val="000000" w:themeColor="text1"/>
              </w:rPr>
              <w:t>7</w:t>
            </w:r>
          </w:p>
        </w:tc>
      </w:tr>
      <w:tr w:rsidR="00DF76B4" w14:paraId="0283C28B" w14:textId="77777777" w:rsidTr="008D7B80">
        <w:trPr>
          <w:trHeight w:val="246"/>
        </w:trPr>
        <w:tc>
          <w:tcPr>
            <w:tcW w:w="5485" w:type="dxa"/>
          </w:tcPr>
          <w:p w14:paraId="147E421D" w14:textId="2398BA83" w:rsidR="00DF76B4" w:rsidRDefault="00DF76B4" w:rsidP="00DF76B4">
            <w:pPr>
              <w:tabs>
                <w:tab w:val="left" w:pos="8910"/>
              </w:tabs>
              <w:rPr>
                <w:rFonts w:ascii="Arial" w:hAnsi="Arial" w:cs="Arial"/>
                <w:b/>
                <w:bCs/>
                <w:color w:val="000000" w:themeColor="text1"/>
              </w:rPr>
            </w:pPr>
            <w:r w:rsidRPr="00174F7A">
              <w:rPr>
                <w:rFonts w:ascii="Arial" w:hAnsi="Arial" w:cs="Arial"/>
                <w:color w:val="000000" w:themeColor="text1"/>
              </w:rPr>
              <w:t xml:space="preserve">The South African </w:t>
            </w:r>
            <w:r w:rsidR="00EC165A">
              <w:rPr>
                <w:rFonts w:ascii="Arial" w:hAnsi="Arial" w:cs="Arial"/>
                <w:color w:val="000000" w:themeColor="text1"/>
              </w:rPr>
              <w:t>l</w:t>
            </w:r>
            <w:r w:rsidRPr="00174F7A">
              <w:rPr>
                <w:rFonts w:ascii="Arial" w:hAnsi="Arial" w:cs="Arial"/>
                <w:color w:val="000000" w:themeColor="text1"/>
              </w:rPr>
              <w:t xml:space="preserve">andscape                                               </w:t>
            </w:r>
          </w:p>
        </w:tc>
        <w:tc>
          <w:tcPr>
            <w:tcW w:w="461" w:type="dxa"/>
          </w:tcPr>
          <w:p w14:paraId="4ABAFCDF" w14:textId="000C0800" w:rsidR="00DF76B4" w:rsidRDefault="00D419B2" w:rsidP="00DF76B4">
            <w:pPr>
              <w:tabs>
                <w:tab w:val="left" w:pos="8910"/>
              </w:tabs>
              <w:rPr>
                <w:rFonts w:ascii="Arial" w:hAnsi="Arial" w:cs="Arial"/>
                <w:b/>
                <w:bCs/>
                <w:color w:val="000000" w:themeColor="text1"/>
              </w:rPr>
            </w:pPr>
            <w:r>
              <w:rPr>
                <w:rFonts w:ascii="Arial" w:hAnsi="Arial" w:cs="Arial"/>
                <w:color w:val="000000" w:themeColor="text1"/>
              </w:rPr>
              <w:t>8</w:t>
            </w:r>
          </w:p>
        </w:tc>
      </w:tr>
      <w:tr w:rsidR="00D419B2" w14:paraId="109B7383" w14:textId="77777777" w:rsidTr="008D7B80">
        <w:trPr>
          <w:trHeight w:val="246"/>
        </w:trPr>
        <w:tc>
          <w:tcPr>
            <w:tcW w:w="5485" w:type="dxa"/>
          </w:tcPr>
          <w:p w14:paraId="14135687" w14:textId="1622DE34" w:rsidR="00D419B2" w:rsidRPr="00174F7A" w:rsidRDefault="00D419B2" w:rsidP="00DF76B4">
            <w:pPr>
              <w:tabs>
                <w:tab w:val="left" w:pos="8910"/>
              </w:tabs>
              <w:rPr>
                <w:rFonts w:ascii="Arial" w:hAnsi="Arial" w:cs="Arial"/>
                <w:color w:val="000000" w:themeColor="text1"/>
              </w:rPr>
            </w:pPr>
            <w:r w:rsidRPr="00D419B2">
              <w:rPr>
                <w:rFonts w:ascii="Arial" w:hAnsi="Arial" w:cs="Arial"/>
                <w:color w:val="000000" w:themeColor="text1"/>
              </w:rPr>
              <w:t>Movable vs Immovable property</w:t>
            </w:r>
          </w:p>
        </w:tc>
        <w:tc>
          <w:tcPr>
            <w:tcW w:w="461" w:type="dxa"/>
          </w:tcPr>
          <w:p w14:paraId="44EB43F9" w14:textId="52B33FB7" w:rsidR="00D419B2" w:rsidRDefault="00D419B2" w:rsidP="00DF76B4">
            <w:pPr>
              <w:tabs>
                <w:tab w:val="left" w:pos="8910"/>
              </w:tabs>
              <w:rPr>
                <w:rFonts w:ascii="Arial" w:hAnsi="Arial" w:cs="Arial"/>
                <w:color w:val="000000" w:themeColor="text1"/>
              </w:rPr>
            </w:pPr>
            <w:r>
              <w:rPr>
                <w:rFonts w:ascii="Arial" w:hAnsi="Arial" w:cs="Arial"/>
                <w:color w:val="000000" w:themeColor="text1"/>
              </w:rPr>
              <w:t>8</w:t>
            </w:r>
          </w:p>
        </w:tc>
      </w:tr>
      <w:tr w:rsidR="00DF76B4" w14:paraId="7FF05699" w14:textId="77777777" w:rsidTr="008D7B80">
        <w:trPr>
          <w:trHeight w:val="254"/>
        </w:trPr>
        <w:tc>
          <w:tcPr>
            <w:tcW w:w="5485" w:type="dxa"/>
          </w:tcPr>
          <w:p w14:paraId="5735DB01" w14:textId="56D49D66" w:rsidR="00DF76B4" w:rsidRDefault="00DF76B4" w:rsidP="00DF76B4">
            <w:pPr>
              <w:tabs>
                <w:tab w:val="left" w:pos="8910"/>
              </w:tabs>
              <w:rPr>
                <w:rFonts w:ascii="Arial" w:hAnsi="Arial" w:cs="Arial"/>
                <w:b/>
                <w:bCs/>
                <w:color w:val="000000" w:themeColor="text1"/>
              </w:rPr>
            </w:pPr>
            <w:r w:rsidRPr="00174F7A">
              <w:rPr>
                <w:rFonts w:ascii="Arial" w:hAnsi="Arial" w:cs="Arial"/>
                <w:color w:val="000000" w:themeColor="text1"/>
              </w:rPr>
              <w:t xml:space="preserve">Conclusion                                                                             </w:t>
            </w:r>
          </w:p>
        </w:tc>
        <w:tc>
          <w:tcPr>
            <w:tcW w:w="461" w:type="dxa"/>
          </w:tcPr>
          <w:p w14:paraId="481F9DAA" w14:textId="3BEE6E33" w:rsidR="00DF76B4" w:rsidRPr="00DE5460" w:rsidRDefault="00DF76B4" w:rsidP="00DF76B4">
            <w:pPr>
              <w:tabs>
                <w:tab w:val="left" w:pos="8910"/>
              </w:tabs>
              <w:rPr>
                <w:rFonts w:ascii="Arial" w:hAnsi="Arial" w:cs="Arial"/>
                <w:color w:val="000000" w:themeColor="text1"/>
              </w:rPr>
            </w:pPr>
            <w:r w:rsidRPr="00DE5460">
              <w:rPr>
                <w:rFonts w:ascii="Arial" w:hAnsi="Arial" w:cs="Arial"/>
                <w:color w:val="000000" w:themeColor="text1"/>
              </w:rPr>
              <w:t>10</w:t>
            </w:r>
          </w:p>
        </w:tc>
      </w:tr>
      <w:tr w:rsidR="00DE5460" w14:paraId="40CF2876" w14:textId="77777777" w:rsidTr="008D7B80">
        <w:trPr>
          <w:trHeight w:val="254"/>
        </w:trPr>
        <w:tc>
          <w:tcPr>
            <w:tcW w:w="5485" w:type="dxa"/>
          </w:tcPr>
          <w:p w14:paraId="0D398BAC" w14:textId="6149102C" w:rsidR="00DE5460" w:rsidRPr="00174F7A" w:rsidRDefault="00DE5460" w:rsidP="00DF76B4">
            <w:pPr>
              <w:tabs>
                <w:tab w:val="left" w:pos="8910"/>
              </w:tabs>
              <w:rPr>
                <w:rFonts w:ascii="Arial" w:hAnsi="Arial" w:cs="Arial"/>
                <w:color w:val="000000" w:themeColor="text1"/>
              </w:rPr>
            </w:pPr>
            <w:r>
              <w:rPr>
                <w:rFonts w:ascii="Arial" w:hAnsi="Arial" w:cs="Arial"/>
                <w:color w:val="000000" w:themeColor="text1"/>
              </w:rPr>
              <w:t>Bibliography</w:t>
            </w:r>
          </w:p>
        </w:tc>
        <w:tc>
          <w:tcPr>
            <w:tcW w:w="461" w:type="dxa"/>
          </w:tcPr>
          <w:p w14:paraId="73AFF822" w14:textId="17134E9F" w:rsidR="00DE5460" w:rsidRPr="00DE5460" w:rsidRDefault="00DE5460" w:rsidP="00DF76B4">
            <w:pPr>
              <w:tabs>
                <w:tab w:val="left" w:pos="8910"/>
              </w:tabs>
              <w:rPr>
                <w:rFonts w:ascii="Arial" w:hAnsi="Arial" w:cs="Arial"/>
                <w:color w:val="000000" w:themeColor="text1"/>
              </w:rPr>
            </w:pPr>
            <w:r>
              <w:rPr>
                <w:rFonts w:ascii="Arial" w:hAnsi="Arial" w:cs="Arial"/>
                <w:color w:val="000000" w:themeColor="text1"/>
              </w:rPr>
              <w:t>12</w:t>
            </w:r>
          </w:p>
        </w:tc>
      </w:tr>
    </w:tbl>
    <w:p w14:paraId="46E8A513" w14:textId="77777777" w:rsidR="00340046" w:rsidRPr="00EA5C5E" w:rsidRDefault="00340046" w:rsidP="00340046">
      <w:pPr>
        <w:tabs>
          <w:tab w:val="left" w:pos="8910"/>
        </w:tabs>
        <w:rPr>
          <w:rFonts w:ascii="Arial" w:hAnsi="Arial" w:cs="Arial"/>
          <w:b/>
          <w:bCs/>
          <w:color w:val="000000" w:themeColor="text1"/>
        </w:rPr>
      </w:pPr>
    </w:p>
    <w:p w14:paraId="6FD364A3" w14:textId="77777777" w:rsidR="00DE5460" w:rsidRDefault="00DE5460">
      <w:pPr>
        <w:rPr>
          <w:rFonts w:ascii="Arial" w:hAnsi="Arial" w:cs="Arial"/>
          <w:b/>
          <w:bCs/>
          <w:color w:val="000000" w:themeColor="text1"/>
        </w:rPr>
      </w:pPr>
      <w:r>
        <w:rPr>
          <w:rFonts w:ascii="Arial" w:hAnsi="Arial" w:cs="Arial"/>
          <w:b/>
          <w:bCs/>
          <w:color w:val="000000" w:themeColor="text1"/>
        </w:rPr>
        <w:br w:type="page"/>
      </w:r>
    </w:p>
    <w:p w14:paraId="16E143B0" w14:textId="2187BFBC" w:rsidR="0087753C" w:rsidRPr="002410AC" w:rsidRDefault="00340046" w:rsidP="0087753C">
      <w:pPr>
        <w:jc w:val="both"/>
        <w:rPr>
          <w:rFonts w:ascii="Arial" w:hAnsi="Arial" w:cs="Arial"/>
          <w:b/>
          <w:bCs/>
          <w:color w:val="000000" w:themeColor="text1"/>
        </w:rPr>
      </w:pPr>
      <w:r>
        <w:rPr>
          <w:rFonts w:ascii="Arial" w:hAnsi="Arial" w:cs="Arial"/>
          <w:b/>
          <w:bCs/>
          <w:color w:val="000000" w:themeColor="text1"/>
        </w:rPr>
        <w:lastRenderedPageBreak/>
        <w:t xml:space="preserve">A. </w:t>
      </w:r>
      <w:r>
        <w:rPr>
          <w:rFonts w:ascii="Arial" w:hAnsi="Arial" w:cs="Arial"/>
          <w:b/>
          <w:bCs/>
          <w:color w:val="000000" w:themeColor="text1"/>
        </w:rPr>
        <w:tab/>
      </w:r>
      <w:r w:rsidR="0087753C" w:rsidRPr="002410AC">
        <w:rPr>
          <w:rFonts w:ascii="Arial" w:hAnsi="Arial" w:cs="Arial"/>
          <w:b/>
          <w:bCs/>
          <w:color w:val="000000" w:themeColor="text1"/>
        </w:rPr>
        <w:t>Introduction-</w:t>
      </w:r>
      <w:r w:rsidR="002410AC">
        <w:rPr>
          <w:rFonts w:ascii="Arial" w:hAnsi="Arial" w:cs="Arial"/>
          <w:b/>
          <w:bCs/>
          <w:color w:val="000000" w:themeColor="text1"/>
        </w:rPr>
        <w:t xml:space="preserve"> the</w:t>
      </w:r>
      <w:r w:rsidR="0087753C" w:rsidRPr="002410AC">
        <w:rPr>
          <w:rFonts w:ascii="Arial" w:hAnsi="Arial" w:cs="Arial"/>
          <w:b/>
          <w:bCs/>
          <w:color w:val="000000" w:themeColor="text1"/>
        </w:rPr>
        <w:t xml:space="preserve"> </w:t>
      </w:r>
      <w:r w:rsidR="00EA5C5E">
        <w:rPr>
          <w:rFonts w:ascii="Arial" w:hAnsi="Arial" w:cs="Arial"/>
          <w:b/>
          <w:bCs/>
          <w:color w:val="000000" w:themeColor="text1"/>
        </w:rPr>
        <w:t xml:space="preserve">formulation of </w:t>
      </w:r>
      <w:r w:rsidR="00ED124C">
        <w:rPr>
          <w:rFonts w:ascii="Arial" w:hAnsi="Arial" w:cs="Arial"/>
          <w:b/>
          <w:bCs/>
          <w:color w:val="000000" w:themeColor="text1"/>
        </w:rPr>
        <w:t xml:space="preserve">a </w:t>
      </w:r>
      <w:r w:rsidR="00EA5C5E">
        <w:rPr>
          <w:rFonts w:ascii="Arial" w:hAnsi="Arial" w:cs="Arial"/>
          <w:b/>
          <w:bCs/>
          <w:color w:val="000000" w:themeColor="text1"/>
        </w:rPr>
        <w:t>m</w:t>
      </w:r>
      <w:r w:rsidR="002410AC" w:rsidRPr="002410AC">
        <w:rPr>
          <w:rFonts w:ascii="Arial" w:hAnsi="Arial" w:cs="Arial"/>
          <w:b/>
          <w:bCs/>
          <w:color w:val="000000" w:themeColor="text1"/>
        </w:rPr>
        <w:t xml:space="preserve">odern </w:t>
      </w:r>
      <w:r w:rsidR="00EA5C5E">
        <w:rPr>
          <w:rFonts w:ascii="Arial" w:hAnsi="Arial" w:cs="Arial"/>
          <w:b/>
          <w:bCs/>
          <w:color w:val="000000" w:themeColor="text1"/>
        </w:rPr>
        <w:t>“</w:t>
      </w:r>
      <w:r w:rsidR="002410AC" w:rsidRPr="002410AC">
        <w:rPr>
          <w:rFonts w:ascii="Arial" w:hAnsi="Arial" w:cs="Arial"/>
          <w:b/>
          <w:bCs/>
          <w:color w:val="000000" w:themeColor="text1"/>
        </w:rPr>
        <w:t>Universalism</w:t>
      </w:r>
      <w:r w:rsidR="00EA5C5E">
        <w:rPr>
          <w:rFonts w:ascii="Arial" w:hAnsi="Arial" w:cs="Arial"/>
          <w:b/>
          <w:bCs/>
          <w:color w:val="000000" w:themeColor="text1"/>
        </w:rPr>
        <w:t>”</w:t>
      </w:r>
    </w:p>
    <w:p w14:paraId="1B4B9007" w14:textId="4DEBF283" w:rsidR="004B27DA" w:rsidRPr="009A677E" w:rsidRDefault="004B27DA" w:rsidP="004B27DA">
      <w:pPr>
        <w:pStyle w:val="ListParagraph"/>
        <w:numPr>
          <w:ilvl w:val="0"/>
          <w:numId w:val="1"/>
        </w:numPr>
        <w:jc w:val="both"/>
        <w:rPr>
          <w:rFonts w:ascii="Arial" w:hAnsi="Arial" w:cs="Arial"/>
          <w:color w:val="000000" w:themeColor="text1"/>
        </w:rPr>
      </w:pPr>
      <w:r>
        <w:rPr>
          <w:rFonts w:ascii="Arial" w:hAnsi="Arial" w:cs="Arial"/>
          <w:color w:val="000000" w:themeColor="text1"/>
        </w:rPr>
        <w:t xml:space="preserve">This paper </w:t>
      </w:r>
      <w:r w:rsidR="00524179">
        <w:rPr>
          <w:rFonts w:ascii="Arial" w:hAnsi="Arial" w:cs="Arial"/>
          <w:color w:val="000000" w:themeColor="text1"/>
        </w:rPr>
        <w:t>will</w:t>
      </w:r>
      <w:r>
        <w:rPr>
          <w:rFonts w:ascii="Arial" w:hAnsi="Arial" w:cs="Arial"/>
          <w:color w:val="000000" w:themeColor="text1"/>
        </w:rPr>
        <w:t xml:space="preserve"> trace the development of the principle of Modern Universalism in England which changed the paradigm which had until then prevailed in </w:t>
      </w:r>
      <w:r w:rsidRPr="009A677E">
        <w:rPr>
          <w:rFonts w:ascii="Arial" w:hAnsi="Arial" w:cs="Arial"/>
          <w:color w:val="000000" w:themeColor="text1"/>
        </w:rPr>
        <w:t>Insolvency and Private Intern</w:t>
      </w:r>
      <w:r w:rsidR="00E4255C">
        <w:rPr>
          <w:rFonts w:ascii="Arial" w:hAnsi="Arial" w:cs="Arial"/>
          <w:color w:val="000000" w:themeColor="text1"/>
        </w:rPr>
        <w:t>ational</w:t>
      </w:r>
      <w:r w:rsidRPr="009A677E">
        <w:rPr>
          <w:rFonts w:ascii="Arial" w:hAnsi="Arial" w:cs="Arial"/>
          <w:color w:val="000000" w:themeColor="text1"/>
        </w:rPr>
        <w:t xml:space="preserve"> Law discourse</w:t>
      </w:r>
      <w:r>
        <w:rPr>
          <w:rFonts w:ascii="Arial" w:hAnsi="Arial" w:cs="Arial"/>
          <w:color w:val="000000" w:themeColor="text1"/>
        </w:rPr>
        <w:t xml:space="preserve">. </w:t>
      </w:r>
      <w:r w:rsidR="00380C14">
        <w:rPr>
          <w:rFonts w:ascii="Arial" w:hAnsi="Arial" w:cs="Arial"/>
          <w:color w:val="000000" w:themeColor="text1"/>
        </w:rPr>
        <w:t xml:space="preserve">The last section of the paper will compare </w:t>
      </w:r>
      <w:r w:rsidR="00E4255C">
        <w:rPr>
          <w:rFonts w:ascii="Arial" w:hAnsi="Arial" w:cs="Arial"/>
          <w:color w:val="000000" w:themeColor="text1"/>
        </w:rPr>
        <w:t xml:space="preserve">the </w:t>
      </w:r>
      <w:r w:rsidR="00B8502F">
        <w:rPr>
          <w:rFonts w:ascii="Arial" w:hAnsi="Arial" w:cs="Arial"/>
          <w:color w:val="000000" w:themeColor="text1"/>
        </w:rPr>
        <w:t xml:space="preserve">most recent </w:t>
      </w:r>
      <w:r w:rsidR="00E4255C">
        <w:rPr>
          <w:rFonts w:ascii="Arial" w:hAnsi="Arial" w:cs="Arial"/>
          <w:color w:val="000000" w:themeColor="text1"/>
        </w:rPr>
        <w:t xml:space="preserve">application of the principle </w:t>
      </w:r>
      <w:r w:rsidR="00F034ED">
        <w:rPr>
          <w:rFonts w:ascii="Arial" w:hAnsi="Arial" w:cs="Arial"/>
          <w:color w:val="000000" w:themeColor="text1"/>
        </w:rPr>
        <w:t xml:space="preserve">of Modern Universalism </w:t>
      </w:r>
      <w:r w:rsidR="00380C14">
        <w:rPr>
          <w:rFonts w:ascii="Arial" w:hAnsi="Arial" w:cs="Arial"/>
          <w:color w:val="000000" w:themeColor="text1"/>
        </w:rPr>
        <w:t xml:space="preserve">to </w:t>
      </w:r>
      <w:r w:rsidR="00E4255C">
        <w:rPr>
          <w:rFonts w:ascii="Arial" w:hAnsi="Arial" w:cs="Arial"/>
          <w:color w:val="000000" w:themeColor="text1"/>
        </w:rPr>
        <w:t xml:space="preserve">the common law of South Africa, a jurisdiction which has had a longer history of offering the kind of assistance which was aspired to in the development of </w:t>
      </w:r>
      <w:r w:rsidR="00524179">
        <w:rPr>
          <w:rFonts w:ascii="Arial" w:hAnsi="Arial" w:cs="Arial"/>
          <w:color w:val="000000" w:themeColor="text1"/>
        </w:rPr>
        <w:t xml:space="preserve">Modern Universalism </w:t>
      </w:r>
      <w:r w:rsidR="00F034ED">
        <w:rPr>
          <w:rFonts w:ascii="Arial" w:hAnsi="Arial" w:cs="Arial"/>
          <w:color w:val="000000" w:themeColor="text1"/>
        </w:rPr>
        <w:t>in England</w:t>
      </w:r>
      <w:r w:rsidR="00E4255C">
        <w:rPr>
          <w:rFonts w:ascii="Arial" w:hAnsi="Arial" w:cs="Arial"/>
          <w:color w:val="000000" w:themeColor="text1"/>
        </w:rPr>
        <w:t>.</w:t>
      </w:r>
    </w:p>
    <w:p w14:paraId="27CDC000" w14:textId="77777777" w:rsidR="004B27DA" w:rsidRDefault="004B27DA" w:rsidP="004B27DA">
      <w:pPr>
        <w:pStyle w:val="ListParagraph"/>
        <w:jc w:val="both"/>
        <w:rPr>
          <w:rFonts w:ascii="Arial" w:hAnsi="Arial" w:cs="Arial"/>
          <w:color w:val="000000" w:themeColor="text1"/>
        </w:rPr>
      </w:pPr>
    </w:p>
    <w:p w14:paraId="64312A72" w14:textId="0B932918" w:rsidR="008E7489" w:rsidRDefault="00185E19" w:rsidP="00D8168D">
      <w:pPr>
        <w:pStyle w:val="ListParagraph"/>
        <w:numPr>
          <w:ilvl w:val="0"/>
          <w:numId w:val="1"/>
        </w:numPr>
        <w:jc w:val="both"/>
        <w:rPr>
          <w:rFonts w:ascii="Arial" w:hAnsi="Arial" w:cs="Arial"/>
          <w:color w:val="000000" w:themeColor="text1"/>
        </w:rPr>
      </w:pPr>
      <w:r w:rsidRPr="009A677E">
        <w:rPr>
          <w:rFonts w:ascii="Arial" w:hAnsi="Arial" w:cs="Arial"/>
          <w:color w:val="000000" w:themeColor="text1"/>
        </w:rPr>
        <w:t xml:space="preserve">Prior to </w:t>
      </w:r>
      <w:r w:rsidR="00000710" w:rsidRPr="009A677E">
        <w:rPr>
          <w:rFonts w:ascii="Arial" w:hAnsi="Arial" w:cs="Arial"/>
          <w:color w:val="000000" w:themeColor="text1"/>
        </w:rPr>
        <w:t>the</w:t>
      </w:r>
      <w:r w:rsidR="00260D3D" w:rsidRPr="009A677E">
        <w:rPr>
          <w:rFonts w:ascii="Arial" w:hAnsi="Arial" w:cs="Arial"/>
          <w:color w:val="000000" w:themeColor="text1"/>
        </w:rPr>
        <w:t xml:space="preserve"> introduction of </w:t>
      </w:r>
      <w:r w:rsidRPr="009A677E">
        <w:rPr>
          <w:rFonts w:ascii="Arial" w:hAnsi="Arial" w:cs="Arial"/>
          <w:color w:val="000000" w:themeColor="text1"/>
        </w:rPr>
        <w:t>Modified Universalism</w:t>
      </w:r>
      <w:r w:rsidR="00000710" w:rsidRPr="009A677E">
        <w:rPr>
          <w:rFonts w:ascii="Arial" w:hAnsi="Arial" w:cs="Arial"/>
          <w:color w:val="000000" w:themeColor="text1"/>
        </w:rPr>
        <w:t xml:space="preserve">, the </w:t>
      </w:r>
      <w:r w:rsidR="00EF4519" w:rsidRPr="009A677E">
        <w:rPr>
          <w:rFonts w:ascii="Arial" w:hAnsi="Arial" w:cs="Arial"/>
          <w:color w:val="000000" w:themeColor="text1"/>
        </w:rPr>
        <w:t xml:space="preserve">common law approach to </w:t>
      </w:r>
      <w:r w:rsidR="0087753C">
        <w:rPr>
          <w:rFonts w:ascii="Arial" w:hAnsi="Arial" w:cs="Arial"/>
          <w:color w:val="000000" w:themeColor="text1"/>
        </w:rPr>
        <w:t xml:space="preserve">the </w:t>
      </w:r>
      <w:r w:rsidR="00EF4519" w:rsidRPr="009A677E">
        <w:rPr>
          <w:rFonts w:ascii="Arial" w:hAnsi="Arial" w:cs="Arial"/>
          <w:color w:val="000000" w:themeColor="text1"/>
        </w:rPr>
        <w:t xml:space="preserve">assistance of foreign office </w:t>
      </w:r>
      <w:r w:rsidR="002410AC" w:rsidRPr="009A677E">
        <w:rPr>
          <w:rFonts w:ascii="Arial" w:hAnsi="Arial" w:cs="Arial"/>
          <w:color w:val="000000" w:themeColor="text1"/>
        </w:rPr>
        <w:t>holders</w:t>
      </w:r>
      <w:r w:rsidR="00000710" w:rsidRPr="009A677E">
        <w:rPr>
          <w:rFonts w:ascii="Arial" w:hAnsi="Arial" w:cs="Arial"/>
          <w:color w:val="000000" w:themeColor="text1"/>
        </w:rPr>
        <w:t xml:space="preserve"> was </w:t>
      </w:r>
      <w:r w:rsidR="00F77874" w:rsidRPr="009A677E">
        <w:rPr>
          <w:rFonts w:ascii="Arial" w:hAnsi="Arial" w:cs="Arial"/>
          <w:color w:val="000000" w:themeColor="text1"/>
        </w:rPr>
        <w:t>significantly more predictable. Predictable, not in reference to matters of stare decisis which</w:t>
      </w:r>
      <w:r w:rsidR="00260D3D" w:rsidRPr="009A677E">
        <w:rPr>
          <w:rFonts w:ascii="Arial" w:hAnsi="Arial" w:cs="Arial"/>
          <w:color w:val="000000" w:themeColor="text1"/>
        </w:rPr>
        <w:t xml:space="preserve"> </w:t>
      </w:r>
      <w:r w:rsidR="00F77874" w:rsidRPr="009A677E">
        <w:rPr>
          <w:rFonts w:ascii="Arial" w:hAnsi="Arial" w:cs="Arial"/>
          <w:color w:val="000000" w:themeColor="text1"/>
        </w:rPr>
        <w:t>admittedly ha</w:t>
      </w:r>
      <w:r w:rsidR="008D6B99" w:rsidRPr="009A677E">
        <w:rPr>
          <w:rFonts w:ascii="Arial" w:hAnsi="Arial" w:cs="Arial"/>
          <w:color w:val="000000" w:themeColor="text1"/>
        </w:rPr>
        <w:t>ve</w:t>
      </w:r>
      <w:r w:rsidR="00F77874" w:rsidRPr="009A677E">
        <w:rPr>
          <w:rFonts w:ascii="Arial" w:hAnsi="Arial" w:cs="Arial"/>
          <w:color w:val="000000" w:themeColor="text1"/>
        </w:rPr>
        <w:t xml:space="preserve"> </w:t>
      </w:r>
      <w:r w:rsidR="008D6B99" w:rsidRPr="009A677E">
        <w:rPr>
          <w:rFonts w:ascii="Arial" w:hAnsi="Arial" w:cs="Arial"/>
          <w:color w:val="000000" w:themeColor="text1"/>
        </w:rPr>
        <w:t>challenged</w:t>
      </w:r>
      <w:r w:rsidR="00F77874" w:rsidRPr="009A677E">
        <w:rPr>
          <w:rFonts w:ascii="Arial" w:hAnsi="Arial" w:cs="Arial"/>
          <w:color w:val="000000" w:themeColor="text1"/>
        </w:rPr>
        <w:t xml:space="preserve"> the </w:t>
      </w:r>
      <w:r w:rsidR="00260D3D" w:rsidRPr="009A677E">
        <w:rPr>
          <w:rFonts w:ascii="Arial" w:hAnsi="Arial" w:cs="Arial"/>
          <w:color w:val="000000" w:themeColor="text1"/>
        </w:rPr>
        <w:t>application of</w:t>
      </w:r>
      <w:r w:rsidR="00F77874" w:rsidRPr="009A677E">
        <w:rPr>
          <w:rFonts w:ascii="Arial" w:hAnsi="Arial" w:cs="Arial"/>
          <w:color w:val="000000" w:themeColor="text1"/>
        </w:rPr>
        <w:t xml:space="preserve"> </w:t>
      </w:r>
      <w:r w:rsidR="00851689" w:rsidRPr="009A677E">
        <w:rPr>
          <w:rFonts w:ascii="Arial" w:hAnsi="Arial" w:cs="Arial"/>
          <w:color w:val="000000" w:themeColor="text1"/>
        </w:rPr>
        <w:t>Modified Universalism</w:t>
      </w:r>
      <w:r w:rsidR="00F77874" w:rsidRPr="009A677E">
        <w:rPr>
          <w:rFonts w:ascii="Arial" w:hAnsi="Arial" w:cs="Arial"/>
          <w:color w:val="000000" w:themeColor="text1"/>
        </w:rPr>
        <w:t xml:space="preserve">, but predictable in the sense that it was </w:t>
      </w:r>
      <w:r w:rsidR="00260D3D" w:rsidRPr="009A677E">
        <w:rPr>
          <w:rFonts w:ascii="Arial" w:hAnsi="Arial" w:cs="Arial"/>
          <w:color w:val="000000" w:themeColor="text1"/>
        </w:rPr>
        <w:t xml:space="preserve">more </w:t>
      </w:r>
      <w:r w:rsidR="00F77874" w:rsidRPr="009A677E">
        <w:rPr>
          <w:rFonts w:ascii="Arial" w:hAnsi="Arial" w:cs="Arial"/>
          <w:color w:val="000000" w:themeColor="text1"/>
        </w:rPr>
        <w:t xml:space="preserve">consistent with what one </w:t>
      </w:r>
      <w:r w:rsidR="00260D3D" w:rsidRPr="009A677E">
        <w:rPr>
          <w:rFonts w:ascii="Arial" w:hAnsi="Arial" w:cs="Arial"/>
          <w:color w:val="000000" w:themeColor="text1"/>
        </w:rPr>
        <w:t>ha</w:t>
      </w:r>
      <w:r w:rsidR="00EF4519" w:rsidRPr="009A677E">
        <w:rPr>
          <w:rFonts w:ascii="Arial" w:hAnsi="Arial" w:cs="Arial"/>
          <w:color w:val="000000" w:themeColor="text1"/>
        </w:rPr>
        <w:t>d</w:t>
      </w:r>
      <w:r w:rsidR="00260D3D" w:rsidRPr="009A677E">
        <w:rPr>
          <w:rFonts w:ascii="Arial" w:hAnsi="Arial" w:cs="Arial"/>
          <w:color w:val="000000" w:themeColor="text1"/>
        </w:rPr>
        <w:t xml:space="preserve"> come to</w:t>
      </w:r>
      <w:r w:rsidR="00F77874" w:rsidRPr="009A677E">
        <w:rPr>
          <w:rFonts w:ascii="Arial" w:hAnsi="Arial" w:cs="Arial"/>
          <w:color w:val="000000" w:themeColor="text1"/>
        </w:rPr>
        <w:t xml:space="preserve"> expect. </w:t>
      </w:r>
      <w:r w:rsidR="00260D3D" w:rsidRPr="009A677E">
        <w:rPr>
          <w:rFonts w:ascii="Arial" w:hAnsi="Arial" w:cs="Arial"/>
          <w:color w:val="000000" w:themeColor="text1"/>
        </w:rPr>
        <w:t>The English Court</w:t>
      </w:r>
      <w:r w:rsidR="00AC2D2C" w:rsidRPr="009A677E">
        <w:rPr>
          <w:rFonts w:ascii="Arial" w:hAnsi="Arial" w:cs="Arial"/>
          <w:color w:val="000000" w:themeColor="text1"/>
        </w:rPr>
        <w:t>s</w:t>
      </w:r>
      <w:r w:rsidR="00260D3D" w:rsidRPr="009A677E">
        <w:rPr>
          <w:rFonts w:ascii="Arial" w:hAnsi="Arial" w:cs="Arial"/>
          <w:color w:val="000000" w:themeColor="text1"/>
        </w:rPr>
        <w:t xml:space="preserve"> would apply English law</w:t>
      </w:r>
      <w:r w:rsidR="00F77874" w:rsidRPr="009A677E">
        <w:rPr>
          <w:rFonts w:ascii="Arial" w:hAnsi="Arial" w:cs="Arial"/>
          <w:color w:val="000000" w:themeColor="text1"/>
        </w:rPr>
        <w:t xml:space="preserve"> </w:t>
      </w:r>
      <w:r w:rsidR="00AC2D2C" w:rsidRPr="009A677E">
        <w:rPr>
          <w:rFonts w:ascii="Arial" w:hAnsi="Arial" w:cs="Arial"/>
          <w:color w:val="000000" w:themeColor="text1"/>
        </w:rPr>
        <w:t xml:space="preserve">without thought as to surrendering jurisdiction </w:t>
      </w:r>
      <w:r w:rsidR="00DD6E59" w:rsidRPr="009A677E">
        <w:rPr>
          <w:rFonts w:ascii="Arial" w:hAnsi="Arial" w:cs="Arial"/>
          <w:color w:val="000000" w:themeColor="text1"/>
        </w:rPr>
        <w:t>for the sake of comity. So</w:t>
      </w:r>
      <w:r w:rsidR="003E5C52" w:rsidRPr="009A677E">
        <w:rPr>
          <w:rFonts w:ascii="Arial" w:hAnsi="Arial" w:cs="Arial"/>
          <w:color w:val="000000" w:themeColor="text1"/>
        </w:rPr>
        <w:t>,</w:t>
      </w:r>
      <w:r w:rsidR="00DD6E59" w:rsidRPr="009A677E">
        <w:rPr>
          <w:rFonts w:ascii="Arial" w:hAnsi="Arial" w:cs="Arial"/>
          <w:color w:val="000000" w:themeColor="text1"/>
        </w:rPr>
        <w:t xml:space="preserve"> for example</w:t>
      </w:r>
      <w:r w:rsidR="003E5C52" w:rsidRPr="009A677E">
        <w:rPr>
          <w:rFonts w:ascii="Arial" w:hAnsi="Arial" w:cs="Arial"/>
          <w:color w:val="000000" w:themeColor="text1"/>
        </w:rPr>
        <w:t>,</w:t>
      </w:r>
      <w:r w:rsidR="00DD6E59" w:rsidRPr="009A677E">
        <w:rPr>
          <w:rFonts w:ascii="Arial" w:hAnsi="Arial" w:cs="Arial"/>
          <w:color w:val="000000" w:themeColor="text1"/>
        </w:rPr>
        <w:t xml:space="preserve"> in </w:t>
      </w:r>
      <w:r w:rsidR="00DD6E59" w:rsidRPr="0094619A">
        <w:rPr>
          <w:rFonts w:ascii="Arial" w:hAnsi="Arial" w:cs="Arial"/>
          <w:i/>
          <w:iCs/>
          <w:color w:val="000000" w:themeColor="text1"/>
        </w:rPr>
        <w:t>In re Suidair International Airways, LD. (Application of Vickers-Armstrongs, LD.)</w:t>
      </w:r>
      <w:r w:rsidR="0094619A">
        <w:rPr>
          <w:rStyle w:val="FootnoteReference"/>
          <w:rFonts w:ascii="Arial" w:hAnsi="Arial" w:cs="Arial"/>
          <w:i/>
          <w:iCs/>
          <w:color w:val="000000" w:themeColor="text1"/>
        </w:rPr>
        <w:footnoteReference w:id="1"/>
      </w:r>
      <w:r w:rsidR="00DD6E59" w:rsidRPr="0094619A">
        <w:rPr>
          <w:rFonts w:ascii="Arial" w:hAnsi="Arial" w:cs="Arial"/>
          <w:color w:val="000000" w:themeColor="text1"/>
        </w:rPr>
        <w:t xml:space="preserve"> </w:t>
      </w:r>
      <w:r w:rsidR="00B05B4C" w:rsidRPr="009A677E">
        <w:rPr>
          <w:rFonts w:ascii="Arial" w:hAnsi="Arial" w:cs="Arial"/>
          <w:color w:val="000000" w:themeColor="text1"/>
        </w:rPr>
        <w:t>Wynn-Parry J</w:t>
      </w:r>
      <w:r w:rsidR="00D8168D" w:rsidRPr="009A677E">
        <w:rPr>
          <w:rFonts w:ascii="Arial" w:hAnsi="Arial" w:cs="Arial"/>
          <w:color w:val="000000" w:themeColor="text1"/>
        </w:rPr>
        <w:t xml:space="preserve"> </w:t>
      </w:r>
      <w:r w:rsidR="00B70833" w:rsidRPr="009A677E">
        <w:rPr>
          <w:rFonts w:ascii="Arial" w:hAnsi="Arial" w:cs="Arial"/>
          <w:color w:val="000000" w:themeColor="text1"/>
        </w:rPr>
        <w:t>held</w:t>
      </w:r>
      <w:r w:rsidR="00D8168D" w:rsidRPr="009A677E">
        <w:rPr>
          <w:rFonts w:ascii="Arial" w:hAnsi="Arial" w:cs="Arial"/>
          <w:color w:val="000000" w:themeColor="text1"/>
        </w:rPr>
        <w:t xml:space="preserve"> that the governing principle </w:t>
      </w:r>
      <w:r w:rsidR="009F1C26" w:rsidRPr="009A677E">
        <w:rPr>
          <w:rFonts w:ascii="Arial" w:hAnsi="Arial" w:cs="Arial"/>
          <w:color w:val="000000" w:themeColor="text1"/>
        </w:rPr>
        <w:t xml:space="preserve">where the </w:t>
      </w:r>
      <w:r w:rsidR="00D8168D" w:rsidRPr="009A677E">
        <w:rPr>
          <w:rFonts w:ascii="Arial" w:hAnsi="Arial" w:cs="Arial"/>
          <w:color w:val="000000" w:themeColor="text1"/>
        </w:rPr>
        <w:t>English</w:t>
      </w:r>
      <w:r w:rsidR="008E7489" w:rsidRPr="009A677E">
        <w:rPr>
          <w:rFonts w:ascii="Arial" w:hAnsi="Arial" w:cs="Arial"/>
          <w:color w:val="000000" w:themeColor="text1"/>
        </w:rPr>
        <w:t xml:space="preserve"> court s</w:t>
      </w:r>
      <w:r w:rsidR="00D8168D" w:rsidRPr="009A677E">
        <w:rPr>
          <w:rFonts w:ascii="Arial" w:hAnsi="Arial" w:cs="Arial"/>
          <w:color w:val="000000" w:themeColor="text1"/>
        </w:rPr>
        <w:t>at in a winding</w:t>
      </w:r>
      <w:r w:rsidR="0073070C" w:rsidRPr="009A677E">
        <w:rPr>
          <w:rFonts w:ascii="Arial" w:hAnsi="Arial" w:cs="Arial"/>
          <w:color w:val="000000" w:themeColor="text1"/>
        </w:rPr>
        <w:t>-</w:t>
      </w:r>
      <w:r w:rsidR="00D8168D" w:rsidRPr="009A677E">
        <w:rPr>
          <w:rFonts w:ascii="Arial" w:hAnsi="Arial" w:cs="Arial"/>
          <w:color w:val="000000" w:themeColor="text1"/>
        </w:rPr>
        <w:t>up</w:t>
      </w:r>
      <w:r w:rsidR="008E7489" w:rsidRPr="009A677E">
        <w:rPr>
          <w:rFonts w:ascii="Arial" w:hAnsi="Arial" w:cs="Arial"/>
          <w:color w:val="000000" w:themeColor="text1"/>
        </w:rPr>
        <w:t xml:space="preserve"> to administer the assets of </w:t>
      </w:r>
      <w:r w:rsidR="009F1C26" w:rsidRPr="009A677E">
        <w:rPr>
          <w:rFonts w:ascii="Arial" w:hAnsi="Arial" w:cs="Arial"/>
          <w:color w:val="000000" w:themeColor="text1"/>
        </w:rPr>
        <w:t>a</w:t>
      </w:r>
      <w:r w:rsidR="008E7489" w:rsidRPr="009A677E">
        <w:rPr>
          <w:rFonts w:ascii="Arial" w:hAnsi="Arial" w:cs="Arial"/>
          <w:color w:val="000000" w:themeColor="text1"/>
        </w:rPr>
        <w:t xml:space="preserve"> South African company which </w:t>
      </w:r>
      <w:r w:rsidR="009F1C26" w:rsidRPr="009A677E">
        <w:rPr>
          <w:rFonts w:ascii="Arial" w:hAnsi="Arial" w:cs="Arial"/>
          <w:color w:val="000000" w:themeColor="text1"/>
        </w:rPr>
        <w:t>were</w:t>
      </w:r>
      <w:r w:rsidR="008E7489" w:rsidRPr="009A677E">
        <w:rPr>
          <w:rFonts w:ascii="Arial" w:hAnsi="Arial" w:cs="Arial"/>
          <w:color w:val="000000" w:themeColor="text1"/>
        </w:rPr>
        <w:t xml:space="preserve"> within its jurisdiction, </w:t>
      </w:r>
      <w:r w:rsidR="009F1C26" w:rsidRPr="009A677E">
        <w:rPr>
          <w:rFonts w:ascii="Arial" w:hAnsi="Arial" w:cs="Arial"/>
          <w:color w:val="000000" w:themeColor="text1"/>
        </w:rPr>
        <w:t>was the administration of the relevant English law only.</w:t>
      </w:r>
    </w:p>
    <w:p w14:paraId="2B455960" w14:textId="26B2941F" w:rsidR="00FA7F80" w:rsidRDefault="00FA7F80" w:rsidP="00FA7F80">
      <w:pPr>
        <w:pStyle w:val="ListParagraph"/>
        <w:jc w:val="both"/>
        <w:rPr>
          <w:rFonts w:ascii="Arial" w:hAnsi="Arial" w:cs="Arial"/>
          <w:color w:val="000000" w:themeColor="text1"/>
        </w:rPr>
      </w:pPr>
    </w:p>
    <w:p w14:paraId="48C91283" w14:textId="3CC9816B" w:rsidR="000D06E3" w:rsidRPr="009A677E" w:rsidRDefault="000F3A70" w:rsidP="000D06E3">
      <w:pPr>
        <w:pStyle w:val="ListParagraph"/>
        <w:numPr>
          <w:ilvl w:val="0"/>
          <w:numId w:val="1"/>
        </w:numPr>
        <w:jc w:val="both"/>
        <w:rPr>
          <w:rFonts w:ascii="Arial" w:hAnsi="Arial" w:cs="Arial"/>
          <w:color w:val="000000" w:themeColor="text1"/>
        </w:rPr>
      </w:pPr>
      <w:r w:rsidRPr="009A677E">
        <w:rPr>
          <w:rFonts w:ascii="Arial" w:hAnsi="Arial" w:cs="Arial"/>
          <w:color w:val="000000" w:themeColor="text1"/>
        </w:rPr>
        <w:t xml:space="preserve">About 56 years </w:t>
      </w:r>
      <w:r w:rsidR="004B27DA">
        <w:rPr>
          <w:rFonts w:ascii="Arial" w:hAnsi="Arial" w:cs="Arial"/>
          <w:color w:val="000000" w:themeColor="text1"/>
        </w:rPr>
        <w:t xml:space="preserve">following </w:t>
      </w:r>
      <w:r w:rsidR="004B27DA" w:rsidRPr="00524179">
        <w:rPr>
          <w:rFonts w:ascii="Arial" w:hAnsi="Arial" w:cs="Arial"/>
          <w:i/>
          <w:iCs/>
          <w:color w:val="000000" w:themeColor="text1"/>
        </w:rPr>
        <w:t>In re Suidair International Airways, LD</w:t>
      </w:r>
      <w:r w:rsidR="004B27DA" w:rsidRPr="009A677E">
        <w:rPr>
          <w:rFonts w:ascii="Arial" w:hAnsi="Arial" w:cs="Arial"/>
          <w:color w:val="000000" w:themeColor="text1"/>
        </w:rPr>
        <w:t xml:space="preserve"> </w:t>
      </w:r>
      <w:r w:rsidRPr="009A677E">
        <w:rPr>
          <w:rFonts w:ascii="Arial" w:hAnsi="Arial" w:cs="Arial"/>
          <w:color w:val="000000" w:themeColor="text1"/>
        </w:rPr>
        <w:t>the Judicial Committee of the Privy Council (“the Privy Council”) hear</w:t>
      </w:r>
      <w:r w:rsidR="004B27DA">
        <w:rPr>
          <w:rFonts w:ascii="Arial" w:hAnsi="Arial" w:cs="Arial"/>
          <w:color w:val="000000" w:themeColor="text1"/>
        </w:rPr>
        <w:t>d</w:t>
      </w:r>
      <w:r w:rsidRPr="009A677E">
        <w:rPr>
          <w:rFonts w:ascii="Arial" w:hAnsi="Arial" w:cs="Arial"/>
          <w:color w:val="000000" w:themeColor="text1"/>
        </w:rPr>
        <w:t xml:space="preserve"> the </w:t>
      </w:r>
      <w:r w:rsidR="00E013FC" w:rsidRPr="009A677E">
        <w:rPr>
          <w:rFonts w:ascii="Arial" w:hAnsi="Arial" w:cs="Arial"/>
          <w:color w:val="000000" w:themeColor="text1"/>
        </w:rPr>
        <w:t>appeal</w:t>
      </w:r>
      <w:r w:rsidRPr="009A677E">
        <w:rPr>
          <w:rFonts w:ascii="Arial" w:hAnsi="Arial" w:cs="Arial"/>
          <w:color w:val="000000" w:themeColor="text1"/>
        </w:rPr>
        <w:t xml:space="preserve"> </w:t>
      </w:r>
      <w:r w:rsidR="009C0F9D" w:rsidRPr="00F850FF">
        <w:rPr>
          <w:rFonts w:ascii="Arial" w:hAnsi="Arial" w:cs="Arial"/>
          <w:i/>
          <w:iCs/>
          <w:color w:val="000000" w:themeColor="text1"/>
        </w:rPr>
        <w:t>Cambridge Gas Transportation Corporation v Official Committee of Unsecured Creditors of Navigator Holdings Plc</w:t>
      </w:r>
      <w:r w:rsidR="00F850FF" w:rsidRPr="00A15277">
        <w:rPr>
          <w:rStyle w:val="FootnoteReference"/>
          <w:rFonts w:ascii="Arial" w:hAnsi="Arial" w:cs="Arial"/>
          <w:color w:val="000000" w:themeColor="text1"/>
        </w:rPr>
        <w:footnoteReference w:id="2"/>
      </w:r>
      <w:r w:rsidR="004B27DA">
        <w:rPr>
          <w:rFonts w:ascii="Arial" w:hAnsi="Arial" w:cs="Arial"/>
          <w:i/>
          <w:iCs/>
          <w:color w:val="000000" w:themeColor="text1"/>
        </w:rPr>
        <w:t>.</w:t>
      </w:r>
      <w:r w:rsidR="009C0F9D" w:rsidRPr="009A677E">
        <w:rPr>
          <w:rFonts w:ascii="Arial" w:hAnsi="Arial" w:cs="Arial"/>
          <w:color w:val="000000" w:themeColor="text1"/>
        </w:rPr>
        <w:t xml:space="preserve"> </w:t>
      </w:r>
      <w:r w:rsidR="004B27DA">
        <w:rPr>
          <w:rFonts w:ascii="Arial" w:hAnsi="Arial" w:cs="Arial"/>
          <w:color w:val="000000" w:themeColor="text1"/>
        </w:rPr>
        <w:t xml:space="preserve">It introduced a paradigm shift </w:t>
      </w:r>
      <w:r w:rsidR="009F1C26" w:rsidRPr="009A677E">
        <w:rPr>
          <w:rFonts w:ascii="Arial" w:hAnsi="Arial" w:cs="Arial"/>
          <w:color w:val="000000" w:themeColor="text1"/>
        </w:rPr>
        <w:t>consistent</w:t>
      </w:r>
      <w:r w:rsidR="00F047F0" w:rsidRPr="009A677E">
        <w:rPr>
          <w:rFonts w:ascii="Arial" w:hAnsi="Arial" w:cs="Arial"/>
          <w:color w:val="000000" w:themeColor="text1"/>
        </w:rPr>
        <w:t xml:space="preserve"> with what ha</w:t>
      </w:r>
      <w:r w:rsidR="00E013FC" w:rsidRPr="009A677E">
        <w:rPr>
          <w:rFonts w:ascii="Arial" w:hAnsi="Arial" w:cs="Arial"/>
          <w:color w:val="000000" w:themeColor="text1"/>
        </w:rPr>
        <w:t>s</w:t>
      </w:r>
      <w:r w:rsidR="00F047F0" w:rsidRPr="009A677E">
        <w:rPr>
          <w:rFonts w:ascii="Arial" w:hAnsi="Arial" w:cs="Arial"/>
          <w:color w:val="000000" w:themeColor="text1"/>
        </w:rPr>
        <w:t xml:space="preserve"> come to be known as “Universalism” in Insolvency</w:t>
      </w:r>
      <w:r w:rsidR="0050172A" w:rsidRPr="009A677E">
        <w:rPr>
          <w:rFonts w:ascii="Arial" w:hAnsi="Arial" w:cs="Arial"/>
          <w:color w:val="000000" w:themeColor="text1"/>
        </w:rPr>
        <w:t xml:space="preserve"> and </w:t>
      </w:r>
      <w:r w:rsidR="00F047F0" w:rsidRPr="009A677E">
        <w:rPr>
          <w:rFonts w:ascii="Arial" w:hAnsi="Arial" w:cs="Arial"/>
          <w:color w:val="000000" w:themeColor="text1"/>
        </w:rPr>
        <w:t xml:space="preserve">Private Internal Law </w:t>
      </w:r>
      <w:r w:rsidR="000D06E3" w:rsidRPr="009A677E">
        <w:rPr>
          <w:rFonts w:ascii="Arial" w:hAnsi="Arial" w:cs="Arial"/>
          <w:color w:val="000000" w:themeColor="text1"/>
        </w:rPr>
        <w:t>discourse</w:t>
      </w:r>
      <w:r w:rsidR="00F047F0" w:rsidRPr="009A677E">
        <w:rPr>
          <w:rFonts w:ascii="Arial" w:hAnsi="Arial" w:cs="Arial"/>
          <w:color w:val="000000" w:themeColor="text1"/>
        </w:rPr>
        <w:t>.</w:t>
      </w:r>
      <w:r w:rsidR="000D06E3" w:rsidRPr="009A677E">
        <w:rPr>
          <w:rFonts w:ascii="Arial" w:hAnsi="Arial" w:cs="Arial"/>
          <w:color w:val="000000" w:themeColor="text1"/>
        </w:rPr>
        <w:t xml:space="preserve"> Universalism </w:t>
      </w:r>
      <w:r w:rsidR="00A15277">
        <w:rPr>
          <w:rFonts w:ascii="Arial" w:hAnsi="Arial" w:cs="Arial"/>
          <w:color w:val="000000" w:themeColor="text1"/>
        </w:rPr>
        <w:t xml:space="preserve">is the aspiration that there </w:t>
      </w:r>
      <w:r w:rsidR="000D06E3" w:rsidRPr="009A677E">
        <w:rPr>
          <w:rFonts w:ascii="Arial" w:hAnsi="Arial" w:cs="Arial"/>
          <w:color w:val="000000" w:themeColor="text1"/>
        </w:rPr>
        <w:t xml:space="preserve">be a single set of bankruptcy proceedings that collects, administers and then distributes all </w:t>
      </w:r>
      <w:r w:rsidR="00A15277">
        <w:rPr>
          <w:rFonts w:ascii="Arial" w:hAnsi="Arial" w:cs="Arial"/>
          <w:color w:val="000000" w:themeColor="text1"/>
        </w:rPr>
        <w:t>a</w:t>
      </w:r>
      <w:r w:rsidR="000D06E3" w:rsidRPr="009A677E">
        <w:rPr>
          <w:rFonts w:ascii="Arial" w:hAnsi="Arial" w:cs="Arial"/>
          <w:color w:val="000000" w:themeColor="text1"/>
        </w:rPr>
        <w:t xml:space="preserve"> debtor’s assets wherever th</w:t>
      </w:r>
      <w:r w:rsidR="0087753C">
        <w:rPr>
          <w:rFonts w:ascii="Arial" w:hAnsi="Arial" w:cs="Arial"/>
          <w:color w:val="000000" w:themeColor="text1"/>
        </w:rPr>
        <w:t>o</w:t>
      </w:r>
      <w:r w:rsidR="000D06E3" w:rsidRPr="009A677E">
        <w:rPr>
          <w:rFonts w:ascii="Arial" w:hAnsi="Arial" w:cs="Arial"/>
          <w:color w:val="000000" w:themeColor="text1"/>
        </w:rPr>
        <w:t>se assets may be situated throughout the world</w:t>
      </w:r>
      <w:r w:rsidR="000D06E3" w:rsidRPr="009A677E">
        <w:rPr>
          <w:rStyle w:val="FootnoteReference"/>
          <w:rFonts w:ascii="Arial" w:hAnsi="Arial" w:cs="Arial"/>
          <w:color w:val="000000" w:themeColor="text1"/>
        </w:rPr>
        <w:footnoteReference w:id="3"/>
      </w:r>
      <w:r w:rsidRPr="009A677E">
        <w:rPr>
          <w:rFonts w:ascii="Arial" w:hAnsi="Arial" w:cs="Arial"/>
          <w:color w:val="000000" w:themeColor="text1"/>
        </w:rPr>
        <w:t xml:space="preserve">. </w:t>
      </w:r>
    </w:p>
    <w:p w14:paraId="64D80294" w14:textId="77777777" w:rsidR="000D06E3" w:rsidRPr="009A677E" w:rsidRDefault="000D06E3" w:rsidP="000D06E3">
      <w:pPr>
        <w:pStyle w:val="ListParagraph"/>
        <w:rPr>
          <w:rFonts w:ascii="Arial" w:hAnsi="Arial" w:cs="Arial"/>
          <w:color w:val="000000" w:themeColor="text1"/>
        </w:rPr>
      </w:pPr>
    </w:p>
    <w:p w14:paraId="55CF8B09" w14:textId="5ACAE324" w:rsidR="00E879A7" w:rsidRPr="009A677E" w:rsidRDefault="000F3A70" w:rsidP="000D06E3">
      <w:pPr>
        <w:pStyle w:val="ListParagraph"/>
        <w:numPr>
          <w:ilvl w:val="0"/>
          <w:numId w:val="1"/>
        </w:numPr>
        <w:jc w:val="both"/>
        <w:rPr>
          <w:rFonts w:ascii="Arial" w:hAnsi="Arial" w:cs="Arial"/>
          <w:color w:val="000000" w:themeColor="text1"/>
        </w:rPr>
      </w:pPr>
      <w:r w:rsidRPr="009A677E">
        <w:rPr>
          <w:rFonts w:ascii="Arial" w:hAnsi="Arial" w:cs="Arial"/>
          <w:color w:val="000000" w:themeColor="text1"/>
        </w:rPr>
        <w:t xml:space="preserve">In </w:t>
      </w:r>
      <w:r w:rsidR="0050172A" w:rsidRPr="00F850FF">
        <w:rPr>
          <w:rFonts w:ascii="Arial" w:hAnsi="Arial" w:cs="Arial"/>
          <w:i/>
          <w:iCs/>
          <w:color w:val="000000" w:themeColor="text1"/>
        </w:rPr>
        <w:t>Cambridge Gas</w:t>
      </w:r>
      <w:r w:rsidR="0050172A" w:rsidRPr="009A677E">
        <w:rPr>
          <w:rFonts w:ascii="Arial" w:hAnsi="Arial" w:cs="Arial"/>
          <w:color w:val="000000" w:themeColor="text1"/>
        </w:rPr>
        <w:t xml:space="preserve"> </w:t>
      </w:r>
      <w:r w:rsidRPr="009A677E">
        <w:rPr>
          <w:rFonts w:ascii="Arial" w:hAnsi="Arial" w:cs="Arial"/>
          <w:color w:val="000000" w:themeColor="text1"/>
        </w:rPr>
        <w:t xml:space="preserve">the </w:t>
      </w:r>
      <w:r w:rsidR="0050172A" w:rsidRPr="009A677E">
        <w:rPr>
          <w:rFonts w:ascii="Arial" w:hAnsi="Arial" w:cs="Arial"/>
          <w:color w:val="000000" w:themeColor="text1"/>
        </w:rPr>
        <w:t>Board</w:t>
      </w:r>
      <w:r w:rsidR="00E879A7" w:rsidRPr="009A677E">
        <w:rPr>
          <w:rFonts w:ascii="Arial" w:hAnsi="Arial" w:cs="Arial"/>
          <w:color w:val="000000" w:themeColor="text1"/>
        </w:rPr>
        <w:t xml:space="preserve"> had to decide whether effect should be given in the Isle of Man to an insolvency order which was made following United States Chapter 11 bankruptcy proceedings</w:t>
      </w:r>
      <w:r w:rsidR="00524179">
        <w:rPr>
          <w:rFonts w:ascii="Arial" w:hAnsi="Arial" w:cs="Arial"/>
          <w:color w:val="000000" w:themeColor="text1"/>
        </w:rPr>
        <w:t>. The proceedings</w:t>
      </w:r>
      <w:r w:rsidR="00E879A7" w:rsidRPr="009A677E">
        <w:rPr>
          <w:rFonts w:ascii="Arial" w:hAnsi="Arial" w:cs="Arial"/>
          <w:color w:val="000000" w:themeColor="text1"/>
        </w:rPr>
        <w:t xml:space="preserve"> </w:t>
      </w:r>
      <w:r w:rsidR="00B26F40" w:rsidRPr="009A677E">
        <w:rPr>
          <w:rFonts w:ascii="Arial" w:hAnsi="Arial" w:cs="Arial"/>
          <w:color w:val="000000" w:themeColor="text1"/>
        </w:rPr>
        <w:t>relat</w:t>
      </w:r>
      <w:r w:rsidR="00524179">
        <w:rPr>
          <w:rFonts w:ascii="Arial" w:hAnsi="Arial" w:cs="Arial"/>
          <w:color w:val="000000" w:themeColor="text1"/>
        </w:rPr>
        <w:t>ed</w:t>
      </w:r>
      <w:r w:rsidR="00B26F40" w:rsidRPr="009A677E">
        <w:rPr>
          <w:rFonts w:ascii="Arial" w:hAnsi="Arial" w:cs="Arial"/>
          <w:color w:val="000000" w:themeColor="text1"/>
        </w:rPr>
        <w:t xml:space="preserve"> to</w:t>
      </w:r>
      <w:r w:rsidR="00E879A7" w:rsidRPr="009A677E">
        <w:rPr>
          <w:rFonts w:ascii="Arial" w:hAnsi="Arial" w:cs="Arial"/>
          <w:color w:val="000000" w:themeColor="text1"/>
        </w:rPr>
        <w:t xml:space="preserve"> a group of Liberian ship-owning companies</w:t>
      </w:r>
      <w:r w:rsidR="00524179">
        <w:rPr>
          <w:rFonts w:ascii="Arial" w:hAnsi="Arial" w:cs="Arial"/>
          <w:color w:val="000000" w:themeColor="text1"/>
        </w:rPr>
        <w:t xml:space="preserve"> and t</w:t>
      </w:r>
      <w:r w:rsidR="00E879A7" w:rsidRPr="009A677E">
        <w:rPr>
          <w:rFonts w:ascii="Arial" w:hAnsi="Arial" w:cs="Arial"/>
          <w:color w:val="000000" w:themeColor="text1"/>
        </w:rPr>
        <w:t xml:space="preserve">he effect of the </w:t>
      </w:r>
      <w:r w:rsidR="00B26F40" w:rsidRPr="009A677E">
        <w:rPr>
          <w:rFonts w:ascii="Arial" w:hAnsi="Arial" w:cs="Arial"/>
          <w:color w:val="000000" w:themeColor="text1"/>
        </w:rPr>
        <w:t xml:space="preserve">Chapter 11 proceedings </w:t>
      </w:r>
      <w:r w:rsidR="00E879A7" w:rsidRPr="009A677E">
        <w:rPr>
          <w:rFonts w:ascii="Arial" w:hAnsi="Arial" w:cs="Arial"/>
          <w:color w:val="000000" w:themeColor="text1"/>
        </w:rPr>
        <w:t>was to vest the shares of an Isle of Man company in the committee of creditors</w:t>
      </w:r>
      <w:r w:rsidR="00524179">
        <w:rPr>
          <w:rFonts w:ascii="Arial" w:hAnsi="Arial" w:cs="Arial"/>
          <w:color w:val="000000" w:themeColor="text1"/>
        </w:rPr>
        <w:t xml:space="preserve">. The circumstances of that vesting order was that </w:t>
      </w:r>
      <w:r w:rsidR="00E879A7" w:rsidRPr="009A677E">
        <w:rPr>
          <w:rFonts w:ascii="Arial" w:hAnsi="Arial" w:cs="Arial"/>
          <w:color w:val="000000" w:themeColor="text1"/>
        </w:rPr>
        <w:t xml:space="preserve">the US court </w:t>
      </w:r>
      <w:r w:rsidR="00E91913" w:rsidRPr="009A677E">
        <w:rPr>
          <w:rFonts w:ascii="Arial" w:hAnsi="Arial" w:cs="Arial"/>
          <w:color w:val="000000" w:themeColor="text1"/>
        </w:rPr>
        <w:t>did not have</w:t>
      </w:r>
      <w:r w:rsidR="00E879A7" w:rsidRPr="009A677E">
        <w:rPr>
          <w:rFonts w:ascii="Arial" w:hAnsi="Arial" w:cs="Arial"/>
          <w:color w:val="000000" w:themeColor="text1"/>
        </w:rPr>
        <w:t xml:space="preserve"> jurisdiction </w:t>
      </w:r>
      <w:r w:rsidR="00E879A7" w:rsidRPr="005059CB">
        <w:rPr>
          <w:rFonts w:ascii="Arial" w:hAnsi="Arial" w:cs="Arial"/>
          <w:i/>
          <w:iCs/>
          <w:color w:val="000000" w:themeColor="text1"/>
        </w:rPr>
        <w:t>in rem</w:t>
      </w:r>
      <w:r w:rsidR="00E879A7" w:rsidRPr="009A677E">
        <w:rPr>
          <w:rFonts w:ascii="Arial" w:hAnsi="Arial" w:cs="Arial"/>
          <w:color w:val="000000" w:themeColor="text1"/>
        </w:rPr>
        <w:t xml:space="preserve"> over the shares</w:t>
      </w:r>
      <w:r w:rsidR="00B26F40" w:rsidRPr="009A677E">
        <w:rPr>
          <w:rFonts w:ascii="Arial" w:hAnsi="Arial" w:cs="Arial"/>
          <w:color w:val="000000" w:themeColor="text1"/>
        </w:rPr>
        <w:t>, they being</w:t>
      </w:r>
      <w:r w:rsidR="00DE0D27" w:rsidRPr="009A677E">
        <w:rPr>
          <w:rFonts w:ascii="Arial" w:hAnsi="Arial" w:cs="Arial"/>
          <w:color w:val="000000" w:themeColor="text1"/>
        </w:rPr>
        <w:t xml:space="preserve"> Isle of Man shares</w:t>
      </w:r>
      <w:r w:rsidR="005059CB">
        <w:rPr>
          <w:rFonts w:ascii="Arial" w:hAnsi="Arial" w:cs="Arial"/>
          <w:color w:val="000000" w:themeColor="text1"/>
        </w:rPr>
        <w:t xml:space="preserve">. The US court also did not have </w:t>
      </w:r>
      <w:r w:rsidR="00E879A7" w:rsidRPr="009A677E">
        <w:rPr>
          <w:rFonts w:ascii="Arial" w:hAnsi="Arial" w:cs="Arial"/>
          <w:color w:val="000000" w:themeColor="text1"/>
        </w:rPr>
        <w:t xml:space="preserve">jurisdiction </w:t>
      </w:r>
      <w:r w:rsidR="00E879A7" w:rsidRPr="005059CB">
        <w:rPr>
          <w:rFonts w:ascii="Arial" w:hAnsi="Arial" w:cs="Arial"/>
          <w:i/>
          <w:iCs/>
          <w:color w:val="000000" w:themeColor="text1"/>
        </w:rPr>
        <w:t>in personam</w:t>
      </w:r>
      <w:r w:rsidR="00E879A7" w:rsidRPr="009A677E">
        <w:rPr>
          <w:rFonts w:ascii="Arial" w:hAnsi="Arial" w:cs="Arial"/>
          <w:color w:val="000000" w:themeColor="text1"/>
        </w:rPr>
        <w:t xml:space="preserve"> over the shareholders</w:t>
      </w:r>
      <w:r w:rsidR="00DE0D27" w:rsidRPr="009A677E">
        <w:rPr>
          <w:rFonts w:ascii="Arial" w:hAnsi="Arial" w:cs="Arial"/>
          <w:color w:val="000000" w:themeColor="text1"/>
        </w:rPr>
        <w:t xml:space="preserve"> as</w:t>
      </w:r>
      <w:r w:rsidR="00E879A7" w:rsidRPr="009A677E">
        <w:rPr>
          <w:rFonts w:ascii="Arial" w:hAnsi="Arial" w:cs="Arial"/>
          <w:color w:val="000000" w:themeColor="text1"/>
        </w:rPr>
        <w:t xml:space="preserve"> they were not present in the US and took no part in the US proceedings</w:t>
      </w:r>
      <w:r w:rsidR="00DE0D27" w:rsidRPr="009A677E">
        <w:rPr>
          <w:rFonts w:ascii="Arial" w:hAnsi="Arial" w:cs="Arial"/>
          <w:color w:val="000000" w:themeColor="text1"/>
        </w:rPr>
        <w:t>.</w:t>
      </w:r>
    </w:p>
    <w:p w14:paraId="0F36FA2A" w14:textId="77777777" w:rsidR="00082990" w:rsidRPr="009A677E" w:rsidRDefault="00082990" w:rsidP="00082990">
      <w:pPr>
        <w:pStyle w:val="ListParagraph"/>
        <w:jc w:val="both"/>
        <w:rPr>
          <w:rFonts w:ascii="Arial" w:hAnsi="Arial" w:cs="Arial"/>
          <w:color w:val="000000" w:themeColor="text1"/>
        </w:rPr>
      </w:pPr>
    </w:p>
    <w:p w14:paraId="5C856812" w14:textId="7FB5FBE0" w:rsidR="00082990" w:rsidRPr="009A677E" w:rsidRDefault="00082990" w:rsidP="00945070">
      <w:pPr>
        <w:pStyle w:val="ListParagraph"/>
        <w:numPr>
          <w:ilvl w:val="0"/>
          <w:numId w:val="1"/>
        </w:numPr>
        <w:jc w:val="both"/>
        <w:rPr>
          <w:rFonts w:ascii="Arial" w:hAnsi="Arial" w:cs="Arial"/>
          <w:color w:val="000000" w:themeColor="text1"/>
        </w:rPr>
      </w:pPr>
      <w:r w:rsidRPr="009A677E">
        <w:rPr>
          <w:rFonts w:ascii="Arial" w:hAnsi="Arial" w:cs="Arial"/>
          <w:color w:val="000000" w:themeColor="text1"/>
        </w:rPr>
        <w:t>Lord Hoffma</w:t>
      </w:r>
      <w:r w:rsidR="00E91913" w:rsidRPr="009A677E">
        <w:rPr>
          <w:rFonts w:ascii="Arial" w:hAnsi="Arial" w:cs="Arial"/>
          <w:color w:val="000000" w:themeColor="text1"/>
        </w:rPr>
        <w:t>n</w:t>
      </w:r>
      <w:r w:rsidRPr="009A677E">
        <w:rPr>
          <w:rFonts w:ascii="Arial" w:hAnsi="Arial" w:cs="Arial"/>
          <w:color w:val="000000" w:themeColor="text1"/>
        </w:rPr>
        <w:t xml:space="preserve">n, </w:t>
      </w:r>
      <w:r w:rsidR="00E64300" w:rsidRPr="009A677E">
        <w:rPr>
          <w:rFonts w:ascii="Arial" w:hAnsi="Arial" w:cs="Arial"/>
          <w:color w:val="000000" w:themeColor="text1"/>
        </w:rPr>
        <w:t xml:space="preserve">relying on, among other things, the South African case </w:t>
      </w:r>
      <w:r w:rsidR="00E64300" w:rsidRPr="00F850FF">
        <w:rPr>
          <w:rFonts w:ascii="Arial" w:hAnsi="Arial" w:cs="Arial"/>
          <w:i/>
          <w:iCs/>
          <w:color w:val="000000" w:themeColor="text1"/>
        </w:rPr>
        <w:t>In re African Farms Ltd</w:t>
      </w:r>
      <w:r w:rsidR="00F850FF">
        <w:rPr>
          <w:rStyle w:val="FootnoteReference"/>
          <w:rFonts w:ascii="Arial" w:hAnsi="Arial" w:cs="Arial"/>
          <w:i/>
          <w:iCs/>
          <w:color w:val="000000" w:themeColor="text1"/>
        </w:rPr>
        <w:footnoteReference w:id="4"/>
      </w:r>
      <w:r w:rsidR="0050172A" w:rsidRPr="009A677E">
        <w:rPr>
          <w:rFonts w:ascii="Arial" w:hAnsi="Arial" w:cs="Arial"/>
          <w:color w:val="000000" w:themeColor="text1"/>
        </w:rPr>
        <w:t>, which advanced the proposition that recognition of a foreign insolvency by the court carries with it “active assistance”,</w:t>
      </w:r>
      <w:r w:rsidR="00E64300" w:rsidRPr="009A677E">
        <w:rPr>
          <w:rFonts w:ascii="Arial" w:hAnsi="Arial" w:cs="Arial"/>
          <w:color w:val="000000" w:themeColor="text1"/>
        </w:rPr>
        <w:t xml:space="preserve"> </w:t>
      </w:r>
      <w:r w:rsidRPr="009A677E">
        <w:rPr>
          <w:rFonts w:ascii="Arial" w:hAnsi="Arial" w:cs="Arial"/>
          <w:color w:val="000000" w:themeColor="text1"/>
        </w:rPr>
        <w:t xml:space="preserve">ascribed to insolvency proceedings </w:t>
      </w:r>
      <w:r w:rsidR="00B14C7F" w:rsidRPr="009A677E">
        <w:rPr>
          <w:rFonts w:ascii="Arial" w:hAnsi="Arial" w:cs="Arial"/>
          <w:color w:val="000000" w:themeColor="text1"/>
        </w:rPr>
        <w:t xml:space="preserve">a </w:t>
      </w:r>
      <w:r w:rsidR="00A15B12" w:rsidRPr="009A677E">
        <w:rPr>
          <w:rFonts w:ascii="Arial" w:hAnsi="Arial" w:cs="Arial"/>
          <w:color w:val="000000" w:themeColor="text1"/>
        </w:rPr>
        <w:t xml:space="preserve">role </w:t>
      </w:r>
      <w:r w:rsidR="00B14C7F" w:rsidRPr="009A677E">
        <w:rPr>
          <w:rFonts w:ascii="Arial" w:hAnsi="Arial" w:cs="Arial"/>
          <w:color w:val="000000" w:themeColor="text1"/>
        </w:rPr>
        <w:t>which had</w:t>
      </w:r>
      <w:r w:rsidRPr="009A677E">
        <w:rPr>
          <w:rFonts w:ascii="Arial" w:hAnsi="Arial" w:cs="Arial"/>
          <w:color w:val="000000" w:themeColor="text1"/>
        </w:rPr>
        <w:t xml:space="preserve"> universal application. </w:t>
      </w:r>
      <w:r w:rsidR="00B248B9" w:rsidRPr="009A677E">
        <w:rPr>
          <w:rFonts w:ascii="Arial" w:hAnsi="Arial" w:cs="Arial"/>
          <w:color w:val="000000" w:themeColor="text1"/>
        </w:rPr>
        <w:t xml:space="preserve">In addressing the limits of </w:t>
      </w:r>
      <w:r w:rsidR="00B14C7F" w:rsidRPr="009A677E">
        <w:rPr>
          <w:rFonts w:ascii="Arial" w:hAnsi="Arial" w:cs="Arial"/>
          <w:color w:val="000000" w:themeColor="text1"/>
        </w:rPr>
        <w:t>such</w:t>
      </w:r>
      <w:r w:rsidR="00B248B9" w:rsidRPr="009A677E">
        <w:rPr>
          <w:rFonts w:ascii="Arial" w:hAnsi="Arial" w:cs="Arial"/>
          <w:color w:val="000000" w:themeColor="text1"/>
        </w:rPr>
        <w:t xml:space="preserve"> </w:t>
      </w:r>
      <w:r w:rsidR="00884D2B" w:rsidRPr="009A677E">
        <w:rPr>
          <w:rFonts w:ascii="Arial" w:hAnsi="Arial" w:cs="Arial"/>
          <w:color w:val="000000" w:themeColor="text1"/>
        </w:rPr>
        <w:t>an approach</w:t>
      </w:r>
      <w:r w:rsidR="00B248B9" w:rsidRPr="009A677E">
        <w:rPr>
          <w:rFonts w:ascii="Arial" w:hAnsi="Arial" w:cs="Arial"/>
          <w:color w:val="000000" w:themeColor="text1"/>
        </w:rPr>
        <w:t xml:space="preserve"> Lord Hoffman observed that it was</w:t>
      </w:r>
      <w:r w:rsidRPr="009A677E">
        <w:rPr>
          <w:rFonts w:ascii="Arial" w:hAnsi="Arial" w:cs="Arial"/>
          <w:color w:val="000000" w:themeColor="text1"/>
        </w:rPr>
        <w:t xml:space="preserve"> doubtful whether assistance could take the form of applying provisions of the </w:t>
      </w:r>
      <w:r w:rsidRPr="009A677E">
        <w:rPr>
          <w:rFonts w:ascii="Arial" w:hAnsi="Arial" w:cs="Arial"/>
          <w:color w:val="000000" w:themeColor="text1"/>
        </w:rPr>
        <w:lastRenderedPageBreak/>
        <w:t>foreign insolvency law which form no part of the domestic system</w:t>
      </w:r>
      <w:r w:rsidR="005059CB">
        <w:rPr>
          <w:rFonts w:ascii="Arial" w:hAnsi="Arial" w:cs="Arial"/>
          <w:color w:val="000000" w:themeColor="text1"/>
        </w:rPr>
        <w:t xml:space="preserve">. He considered though that </w:t>
      </w:r>
      <w:r w:rsidRPr="009A677E">
        <w:rPr>
          <w:rFonts w:ascii="Arial" w:hAnsi="Arial" w:cs="Arial"/>
          <w:color w:val="000000" w:themeColor="text1"/>
        </w:rPr>
        <w:t>the domestic court must at least be able to provide assistance by doing whatever it could have done in the case of a domestic insolvency</w:t>
      </w:r>
      <w:r w:rsidR="005059CB">
        <w:rPr>
          <w:rFonts w:ascii="Arial" w:hAnsi="Arial" w:cs="Arial"/>
          <w:color w:val="000000" w:themeColor="text1"/>
        </w:rPr>
        <w:t>. T</w:t>
      </w:r>
      <w:r w:rsidRPr="009A677E">
        <w:rPr>
          <w:rFonts w:ascii="Arial" w:hAnsi="Arial" w:cs="Arial"/>
          <w:color w:val="000000" w:themeColor="text1"/>
        </w:rPr>
        <w:t xml:space="preserve">he purpose of recognition </w:t>
      </w:r>
      <w:r w:rsidR="00884D2B" w:rsidRPr="009A677E">
        <w:rPr>
          <w:rFonts w:ascii="Arial" w:hAnsi="Arial" w:cs="Arial"/>
          <w:color w:val="000000" w:themeColor="text1"/>
        </w:rPr>
        <w:t>being</w:t>
      </w:r>
      <w:r w:rsidRPr="009A677E">
        <w:rPr>
          <w:rFonts w:ascii="Arial" w:hAnsi="Arial" w:cs="Arial"/>
          <w:color w:val="000000" w:themeColor="text1"/>
        </w:rPr>
        <w:t xml:space="preserve"> to enable the foreign office holder or the creditors to avoid having to start parallel insolvency proceedings and to give them the remedies to which they would have been entitled if the equivalent proceedings had taken place in the domestic forum.</w:t>
      </w:r>
    </w:p>
    <w:p w14:paraId="452E4609" w14:textId="77777777" w:rsidR="00240E35" w:rsidRPr="009A677E" w:rsidRDefault="00240E35" w:rsidP="00240E35">
      <w:pPr>
        <w:pStyle w:val="ListParagraph"/>
        <w:rPr>
          <w:rFonts w:ascii="Arial" w:hAnsi="Arial" w:cs="Arial"/>
          <w:color w:val="000000" w:themeColor="text1"/>
        </w:rPr>
      </w:pPr>
    </w:p>
    <w:p w14:paraId="6F7D16C1" w14:textId="28235D12" w:rsidR="009C0F9D" w:rsidRPr="009A677E" w:rsidRDefault="00240E35" w:rsidP="002E26F4">
      <w:pPr>
        <w:pStyle w:val="ListParagraph"/>
        <w:numPr>
          <w:ilvl w:val="0"/>
          <w:numId w:val="1"/>
        </w:numPr>
        <w:jc w:val="both"/>
        <w:rPr>
          <w:rFonts w:ascii="Arial" w:hAnsi="Arial" w:cs="Arial"/>
          <w:color w:val="000000" w:themeColor="text1"/>
        </w:rPr>
      </w:pPr>
      <w:r w:rsidRPr="009A677E">
        <w:rPr>
          <w:rFonts w:ascii="Arial" w:hAnsi="Arial" w:cs="Arial"/>
          <w:color w:val="000000" w:themeColor="text1"/>
        </w:rPr>
        <w:t xml:space="preserve">The decision, though </w:t>
      </w:r>
      <w:r w:rsidR="00622C65" w:rsidRPr="009A677E">
        <w:rPr>
          <w:rFonts w:ascii="Arial" w:hAnsi="Arial" w:cs="Arial"/>
          <w:color w:val="000000" w:themeColor="text1"/>
        </w:rPr>
        <w:t>very</w:t>
      </w:r>
      <w:r w:rsidRPr="009A677E">
        <w:rPr>
          <w:rFonts w:ascii="Arial" w:hAnsi="Arial" w:cs="Arial"/>
          <w:color w:val="000000" w:themeColor="text1"/>
        </w:rPr>
        <w:t xml:space="preserve"> controversial for its sidestep of the want of jurisdiction in the enforcement of the US Chapter 11 order,</w:t>
      </w:r>
      <w:r w:rsidR="002E26F4" w:rsidRPr="009A677E">
        <w:rPr>
          <w:rFonts w:ascii="Arial" w:hAnsi="Arial" w:cs="Arial"/>
          <w:color w:val="000000" w:themeColor="text1"/>
        </w:rPr>
        <w:t xml:space="preserve"> </w:t>
      </w:r>
      <w:r w:rsidR="001F2D01" w:rsidRPr="009A677E">
        <w:rPr>
          <w:rFonts w:ascii="Arial" w:hAnsi="Arial" w:cs="Arial"/>
          <w:color w:val="000000" w:themeColor="text1"/>
        </w:rPr>
        <w:t>determined that</w:t>
      </w:r>
      <w:r w:rsidR="009C0F9D" w:rsidRPr="009A677E">
        <w:rPr>
          <w:rFonts w:ascii="Arial" w:hAnsi="Arial" w:cs="Arial"/>
          <w:color w:val="000000" w:themeColor="text1"/>
        </w:rPr>
        <w:t xml:space="preserve"> the court has a common law power to assist foreign winding up proceedings so far as it properly can</w:t>
      </w:r>
      <w:r w:rsidR="002E26F4" w:rsidRPr="009A677E">
        <w:rPr>
          <w:rFonts w:ascii="Arial" w:hAnsi="Arial" w:cs="Arial"/>
          <w:color w:val="000000" w:themeColor="text1"/>
        </w:rPr>
        <w:t>, or the principle of “</w:t>
      </w:r>
      <w:r w:rsidR="00884D2B" w:rsidRPr="009A677E">
        <w:rPr>
          <w:rFonts w:ascii="Arial" w:hAnsi="Arial" w:cs="Arial"/>
          <w:color w:val="000000" w:themeColor="text1"/>
        </w:rPr>
        <w:t>Modified Universalism</w:t>
      </w:r>
      <w:r w:rsidR="002E26F4" w:rsidRPr="009A677E">
        <w:rPr>
          <w:rFonts w:ascii="Arial" w:hAnsi="Arial" w:cs="Arial"/>
          <w:color w:val="000000" w:themeColor="text1"/>
        </w:rPr>
        <w:t>”</w:t>
      </w:r>
      <w:r w:rsidR="009C0F9D" w:rsidRPr="009A677E">
        <w:rPr>
          <w:rFonts w:ascii="Arial" w:hAnsi="Arial" w:cs="Arial"/>
          <w:color w:val="000000" w:themeColor="text1"/>
        </w:rPr>
        <w:t xml:space="preserve">. </w:t>
      </w:r>
      <w:r w:rsidR="001F2D01" w:rsidRPr="009A677E">
        <w:rPr>
          <w:rFonts w:ascii="Arial" w:hAnsi="Arial" w:cs="Arial"/>
          <w:color w:val="000000" w:themeColor="text1"/>
        </w:rPr>
        <w:t>Secondly, it determined</w:t>
      </w:r>
      <w:r w:rsidR="009C0F9D" w:rsidRPr="009A677E">
        <w:rPr>
          <w:rFonts w:ascii="Arial" w:hAnsi="Arial" w:cs="Arial"/>
          <w:color w:val="000000" w:themeColor="text1"/>
        </w:rPr>
        <w:t xml:space="preserve"> that </w:t>
      </w:r>
      <w:r w:rsidR="002E26F4" w:rsidRPr="009A677E">
        <w:rPr>
          <w:rFonts w:ascii="Arial" w:hAnsi="Arial" w:cs="Arial"/>
          <w:color w:val="000000" w:themeColor="text1"/>
        </w:rPr>
        <w:t>that</w:t>
      </w:r>
      <w:r w:rsidR="009C0F9D" w:rsidRPr="009A677E">
        <w:rPr>
          <w:rFonts w:ascii="Arial" w:hAnsi="Arial" w:cs="Arial"/>
          <w:color w:val="000000" w:themeColor="text1"/>
        </w:rPr>
        <w:t xml:space="preserve"> includes doing whatever </w:t>
      </w:r>
      <w:r w:rsidR="00BA39C1" w:rsidRPr="009A677E">
        <w:rPr>
          <w:rFonts w:ascii="Arial" w:hAnsi="Arial" w:cs="Arial"/>
          <w:color w:val="000000" w:themeColor="text1"/>
        </w:rPr>
        <w:t>the court</w:t>
      </w:r>
      <w:r w:rsidR="009C0F9D" w:rsidRPr="009A677E">
        <w:rPr>
          <w:rFonts w:ascii="Arial" w:hAnsi="Arial" w:cs="Arial"/>
          <w:color w:val="000000" w:themeColor="text1"/>
        </w:rPr>
        <w:t xml:space="preserve"> could properly have done in a domestic insolvency subject to its own law and public policy. </w:t>
      </w:r>
      <w:r w:rsidR="002E26F4" w:rsidRPr="009A677E">
        <w:rPr>
          <w:rFonts w:ascii="Arial" w:hAnsi="Arial" w:cs="Arial"/>
          <w:color w:val="000000" w:themeColor="text1"/>
        </w:rPr>
        <w:t xml:space="preserve"> </w:t>
      </w:r>
    </w:p>
    <w:p w14:paraId="79F872BF" w14:textId="0A5D19F3" w:rsidR="002E26F4" w:rsidRDefault="002E26F4" w:rsidP="002410AC">
      <w:pPr>
        <w:ind w:left="360"/>
        <w:rPr>
          <w:rFonts w:ascii="Arial" w:hAnsi="Arial" w:cs="Arial"/>
          <w:color w:val="000000" w:themeColor="text1"/>
        </w:rPr>
      </w:pPr>
    </w:p>
    <w:p w14:paraId="30B9433D" w14:textId="4A8B6667" w:rsidR="002410AC" w:rsidRPr="00C83437" w:rsidRDefault="00340046" w:rsidP="00340046">
      <w:pPr>
        <w:rPr>
          <w:rFonts w:ascii="Arial" w:hAnsi="Arial" w:cs="Arial"/>
          <w:b/>
          <w:bCs/>
          <w:color w:val="000000" w:themeColor="text1"/>
        </w:rPr>
      </w:pPr>
      <w:r>
        <w:rPr>
          <w:rFonts w:ascii="Arial" w:hAnsi="Arial" w:cs="Arial"/>
          <w:b/>
          <w:bCs/>
          <w:color w:val="000000" w:themeColor="text1"/>
        </w:rPr>
        <w:t xml:space="preserve">B. </w:t>
      </w:r>
      <w:r>
        <w:rPr>
          <w:rFonts w:ascii="Arial" w:hAnsi="Arial" w:cs="Arial"/>
          <w:b/>
          <w:bCs/>
          <w:color w:val="000000" w:themeColor="text1"/>
        </w:rPr>
        <w:tab/>
      </w:r>
      <w:r w:rsidR="002410AC" w:rsidRPr="00C83437">
        <w:rPr>
          <w:rFonts w:ascii="Arial" w:hAnsi="Arial" w:cs="Arial"/>
          <w:b/>
          <w:bCs/>
          <w:color w:val="000000" w:themeColor="text1"/>
        </w:rPr>
        <w:t xml:space="preserve">The </w:t>
      </w:r>
      <w:r w:rsidR="00427AC6" w:rsidRPr="00C83437">
        <w:rPr>
          <w:rFonts w:ascii="Arial" w:hAnsi="Arial" w:cs="Arial"/>
          <w:b/>
          <w:bCs/>
          <w:color w:val="000000" w:themeColor="text1"/>
        </w:rPr>
        <w:t>establishment</w:t>
      </w:r>
      <w:r w:rsidR="002410AC" w:rsidRPr="00C83437">
        <w:rPr>
          <w:rFonts w:ascii="Arial" w:hAnsi="Arial" w:cs="Arial"/>
          <w:b/>
          <w:bCs/>
          <w:color w:val="000000" w:themeColor="text1"/>
        </w:rPr>
        <w:t xml:space="preserve"> of the </w:t>
      </w:r>
      <w:r w:rsidR="00F850FF" w:rsidRPr="00C83437">
        <w:rPr>
          <w:rFonts w:ascii="Arial" w:hAnsi="Arial" w:cs="Arial"/>
          <w:b/>
          <w:bCs/>
          <w:color w:val="000000" w:themeColor="text1"/>
        </w:rPr>
        <w:t>Principle</w:t>
      </w:r>
      <w:r w:rsidR="002410AC" w:rsidRPr="00C83437">
        <w:rPr>
          <w:rFonts w:ascii="Arial" w:hAnsi="Arial" w:cs="Arial"/>
          <w:b/>
          <w:bCs/>
          <w:color w:val="000000" w:themeColor="text1"/>
        </w:rPr>
        <w:t xml:space="preserve"> in England </w:t>
      </w:r>
    </w:p>
    <w:p w14:paraId="0696AAE7" w14:textId="0B1003EE" w:rsidR="000950C1" w:rsidRPr="009A677E" w:rsidRDefault="00AF5F8E" w:rsidP="00945070">
      <w:pPr>
        <w:pStyle w:val="ListParagraph"/>
        <w:numPr>
          <w:ilvl w:val="0"/>
          <w:numId w:val="1"/>
        </w:numPr>
        <w:jc w:val="both"/>
        <w:rPr>
          <w:rFonts w:ascii="Arial" w:hAnsi="Arial" w:cs="Arial"/>
          <w:color w:val="000000" w:themeColor="text1"/>
        </w:rPr>
      </w:pPr>
      <w:r w:rsidRPr="009A677E">
        <w:rPr>
          <w:rFonts w:ascii="Arial" w:hAnsi="Arial" w:cs="Arial"/>
          <w:color w:val="000000" w:themeColor="text1"/>
        </w:rPr>
        <w:t xml:space="preserve">In </w:t>
      </w:r>
      <w:r w:rsidR="009C0F9D" w:rsidRPr="00F850FF">
        <w:rPr>
          <w:rFonts w:ascii="Arial" w:hAnsi="Arial" w:cs="Arial"/>
          <w:i/>
          <w:iCs/>
          <w:color w:val="000000" w:themeColor="text1"/>
        </w:rPr>
        <w:t>In re HIH Casualty and General Insurance Ltd</w:t>
      </w:r>
      <w:r w:rsidR="00F850FF">
        <w:rPr>
          <w:rStyle w:val="FootnoteReference"/>
          <w:rFonts w:ascii="Arial" w:hAnsi="Arial" w:cs="Arial"/>
          <w:i/>
          <w:iCs/>
          <w:color w:val="000000" w:themeColor="text1"/>
        </w:rPr>
        <w:footnoteReference w:id="5"/>
      </w:r>
      <w:r w:rsidRPr="009A677E">
        <w:rPr>
          <w:rFonts w:ascii="Arial" w:hAnsi="Arial" w:cs="Arial"/>
          <w:color w:val="000000" w:themeColor="text1"/>
        </w:rPr>
        <w:t>, the House of Lords</w:t>
      </w:r>
      <w:r w:rsidR="00622C65" w:rsidRPr="009A677E">
        <w:rPr>
          <w:rFonts w:ascii="Arial" w:hAnsi="Arial" w:cs="Arial"/>
          <w:color w:val="000000" w:themeColor="text1"/>
        </w:rPr>
        <w:t>, which included Lord Hoffman,</w:t>
      </w:r>
      <w:r w:rsidRPr="009A677E">
        <w:rPr>
          <w:rFonts w:ascii="Arial" w:hAnsi="Arial" w:cs="Arial"/>
          <w:color w:val="000000" w:themeColor="text1"/>
        </w:rPr>
        <w:t xml:space="preserve"> had</w:t>
      </w:r>
      <w:r w:rsidR="00622C65" w:rsidRPr="009A677E">
        <w:rPr>
          <w:rFonts w:ascii="Arial" w:hAnsi="Arial" w:cs="Arial"/>
          <w:color w:val="000000" w:themeColor="text1"/>
        </w:rPr>
        <w:t xml:space="preserve"> the</w:t>
      </w:r>
      <w:r w:rsidRPr="009A677E">
        <w:rPr>
          <w:rFonts w:ascii="Arial" w:hAnsi="Arial" w:cs="Arial"/>
          <w:color w:val="000000" w:themeColor="text1"/>
        </w:rPr>
        <w:t xml:space="preserve"> occasion to </w:t>
      </w:r>
      <w:r w:rsidR="00C9204A" w:rsidRPr="009A677E">
        <w:rPr>
          <w:rFonts w:ascii="Arial" w:hAnsi="Arial" w:cs="Arial"/>
          <w:color w:val="000000" w:themeColor="text1"/>
        </w:rPr>
        <w:t>clarify the approach under the</w:t>
      </w:r>
      <w:r w:rsidR="00622C65" w:rsidRPr="009A677E">
        <w:rPr>
          <w:rFonts w:ascii="Arial" w:hAnsi="Arial" w:cs="Arial"/>
          <w:color w:val="000000" w:themeColor="text1"/>
        </w:rPr>
        <w:t xml:space="preserve"> English</w:t>
      </w:r>
      <w:r w:rsidR="00C9204A" w:rsidRPr="009A677E">
        <w:rPr>
          <w:rFonts w:ascii="Arial" w:hAnsi="Arial" w:cs="Arial"/>
          <w:color w:val="000000" w:themeColor="text1"/>
        </w:rPr>
        <w:t xml:space="preserve"> common law</w:t>
      </w:r>
      <w:r w:rsidRPr="009A677E">
        <w:rPr>
          <w:rFonts w:ascii="Arial" w:hAnsi="Arial" w:cs="Arial"/>
          <w:color w:val="000000" w:themeColor="text1"/>
        </w:rPr>
        <w:t xml:space="preserve"> </w:t>
      </w:r>
      <w:r w:rsidR="00C9204A" w:rsidRPr="009A677E">
        <w:rPr>
          <w:rFonts w:ascii="Arial" w:hAnsi="Arial" w:cs="Arial"/>
          <w:color w:val="000000" w:themeColor="text1"/>
        </w:rPr>
        <w:t xml:space="preserve">in providing cross-border co-operation to an </w:t>
      </w:r>
      <w:r w:rsidR="00622C65" w:rsidRPr="009A677E">
        <w:rPr>
          <w:rFonts w:ascii="Arial" w:hAnsi="Arial" w:cs="Arial"/>
          <w:color w:val="000000" w:themeColor="text1"/>
        </w:rPr>
        <w:t>office holder</w:t>
      </w:r>
      <w:r w:rsidR="00C9204A" w:rsidRPr="009A677E">
        <w:rPr>
          <w:rFonts w:ascii="Arial" w:hAnsi="Arial" w:cs="Arial"/>
          <w:color w:val="000000" w:themeColor="text1"/>
        </w:rPr>
        <w:t>.</w:t>
      </w:r>
      <w:r w:rsidR="009C0F9D" w:rsidRPr="009A677E">
        <w:rPr>
          <w:rFonts w:ascii="Arial" w:hAnsi="Arial" w:cs="Arial"/>
          <w:color w:val="000000" w:themeColor="text1"/>
        </w:rPr>
        <w:t xml:space="preserve"> HIH was an Australian insurance company in liquidation in Australia</w:t>
      </w:r>
      <w:r w:rsidR="00E550D4" w:rsidRPr="009A677E">
        <w:rPr>
          <w:rFonts w:ascii="Arial" w:hAnsi="Arial" w:cs="Arial"/>
          <w:color w:val="000000" w:themeColor="text1"/>
        </w:rPr>
        <w:t>, however, a</w:t>
      </w:r>
      <w:r w:rsidR="009C0F9D" w:rsidRPr="009A677E">
        <w:rPr>
          <w:rFonts w:ascii="Arial" w:hAnsi="Arial" w:cs="Arial"/>
          <w:color w:val="000000" w:themeColor="text1"/>
        </w:rPr>
        <w:t xml:space="preserve"> winding up petition had been presented in England and provisional liquidators appointed to conduct an </w:t>
      </w:r>
      <w:r w:rsidR="00120918" w:rsidRPr="009A677E">
        <w:rPr>
          <w:rFonts w:ascii="Arial" w:hAnsi="Arial" w:cs="Arial"/>
          <w:color w:val="000000" w:themeColor="text1"/>
        </w:rPr>
        <w:t>“</w:t>
      </w:r>
      <w:r w:rsidR="009C0F9D" w:rsidRPr="009A677E">
        <w:rPr>
          <w:rFonts w:ascii="Arial" w:hAnsi="Arial" w:cs="Arial"/>
          <w:color w:val="000000" w:themeColor="text1"/>
        </w:rPr>
        <w:t>ancillary liquidation</w:t>
      </w:r>
      <w:r w:rsidR="00120918" w:rsidRPr="009A677E">
        <w:rPr>
          <w:rFonts w:ascii="Arial" w:hAnsi="Arial" w:cs="Arial"/>
          <w:color w:val="000000" w:themeColor="text1"/>
        </w:rPr>
        <w:t>”</w:t>
      </w:r>
      <w:r w:rsidR="009C0F9D" w:rsidRPr="009A677E">
        <w:rPr>
          <w:rFonts w:ascii="Arial" w:hAnsi="Arial" w:cs="Arial"/>
          <w:color w:val="000000" w:themeColor="text1"/>
        </w:rPr>
        <w:t xml:space="preserve">. </w:t>
      </w:r>
      <w:r w:rsidR="00E550D4" w:rsidRPr="009A677E">
        <w:rPr>
          <w:rFonts w:ascii="Arial" w:hAnsi="Arial" w:cs="Arial"/>
          <w:color w:val="000000" w:themeColor="text1"/>
        </w:rPr>
        <w:t>The English courts have a statutory jurisdiction to wind up unregistered companies and those incorporated outside the United Kingdom by section 221 of the English Insolvency Act 1986. The exercise of the English power has generated a body of practice concerning what has come to be known as ancillary liquidations in which the English court would order the winding up in England of a</w:t>
      </w:r>
      <w:r w:rsidR="004D71A3">
        <w:rPr>
          <w:rFonts w:ascii="Arial" w:hAnsi="Arial" w:cs="Arial"/>
          <w:color w:val="000000" w:themeColor="text1"/>
        </w:rPr>
        <w:t xml:space="preserve"> foreign</w:t>
      </w:r>
      <w:r w:rsidR="00E550D4" w:rsidRPr="009A677E">
        <w:rPr>
          <w:rFonts w:ascii="Arial" w:hAnsi="Arial" w:cs="Arial"/>
          <w:color w:val="000000" w:themeColor="text1"/>
        </w:rPr>
        <w:t xml:space="preserve"> company </w:t>
      </w:r>
      <w:r w:rsidR="004D71A3">
        <w:rPr>
          <w:rFonts w:ascii="Arial" w:hAnsi="Arial" w:cs="Arial"/>
          <w:color w:val="000000" w:themeColor="text1"/>
        </w:rPr>
        <w:t>providing that, among other things,</w:t>
      </w:r>
      <w:r w:rsidR="00E550D4" w:rsidRPr="009A677E">
        <w:rPr>
          <w:rFonts w:ascii="Arial" w:hAnsi="Arial" w:cs="Arial"/>
          <w:color w:val="000000" w:themeColor="text1"/>
        </w:rPr>
        <w:t xml:space="preserve"> there was a sufficient connection with England</w:t>
      </w:r>
      <w:r w:rsidR="004D71A3">
        <w:rPr>
          <w:rFonts w:ascii="Arial" w:hAnsi="Arial" w:cs="Arial"/>
          <w:color w:val="000000" w:themeColor="text1"/>
        </w:rPr>
        <w:t xml:space="preserve">. </w:t>
      </w:r>
    </w:p>
    <w:p w14:paraId="5D271DE2" w14:textId="77777777" w:rsidR="000950C1" w:rsidRPr="009A677E" w:rsidRDefault="000950C1" w:rsidP="000950C1">
      <w:pPr>
        <w:pStyle w:val="ListParagraph"/>
        <w:rPr>
          <w:rFonts w:ascii="Arial" w:hAnsi="Arial" w:cs="Arial"/>
          <w:color w:val="000000" w:themeColor="text1"/>
        </w:rPr>
      </w:pPr>
    </w:p>
    <w:p w14:paraId="569A016C" w14:textId="76AA3CDF" w:rsidR="00D35AB0" w:rsidRPr="009A677E" w:rsidRDefault="009C0F9D" w:rsidP="00562C5F">
      <w:pPr>
        <w:pStyle w:val="ListParagraph"/>
        <w:numPr>
          <w:ilvl w:val="0"/>
          <w:numId w:val="1"/>
        </w:numPr>
        <w:jc w:val="both"/>
        <w:rPr>
          <w:rFonts w:ascii="Arial" w:hAnsi="Arial" w:cs="Arial"/>
          <w:color w:val="000000" w:themeColor="text1"/>
        </w:rPr>
      </w:pPr>
      <w:r w:rsidRPr="009A677E">
        <w:rPr>
          <w:rFonts w:ascii="Arial" w:hAnsi="Arial" w:cs="Arial"/>
          <w:color w:val="000000" w:themeColor="text1"/>
        </w:rPr>
        <w:t xml:space="preserve">The question </w:t>
      </w:r>
      <w:r w:rsidR="008D20C0" w:rsidRPr="009A677E">
        <w:rPr>
          <w:rFonts w:ascii="Arial" w:hAnsi="Arial" w:cs="Arial"/>
          <w:color w:val="000000" w:themeColor="text1"/>
        </w:rPr>
        <w:t>in HIH</w:t>
      </w:r>
      <w:r w:rsidRPr="009A677E">
        <w:rPr>
          <w:rFonts w:ascii="Arial" w:hAnsi="Arial" w:cs="Arial"/>
          <w:color w:val="000000" w:themeColor="text1"/>
        </w:rPr>
        <w:t xml:space="preserve"> was whether the English court should accede to a letter of request from </w:t>
      </w:r>
      <w:r w:rsidR="00A433FB" w:rsidRPr="009A677E">
        <w:rPr>
          <w:rFonts w:ascii="Arial" w:hAnsi="Arial" w:cs="Arial"/>
          <w:color w:val="000000" w:themeColor="text1"/>
        </w:rPr>
        <w:t>an</w:t>
      </w:r>
      <w:r w:rsidRPr="009A677E">
        <w:rPr>
          <w:rFonts w:ascii="Arial" w:hAnsi="Arial" w:cs="Arial"/>
          <w:color w:val="000000" w:themeColor="text1"/>
        </w:rPr>
        <w:t xml:space="preserve"> Australian court inviting it to direct the English provisional liquidators to remit the assets in their hands to the Australian liquidators</w:t>
      </w:r>
      <w:r w:rsidR="001D741B">
        <w:rPr>
          <w:rFonts w:ascii="Arial" w:hAnsi="Arial" w:cs="Arial"/>
          <w:color w:val="000000" w:themeColor="text1"/>
        </w:rPr>
        <w:t xml:space="preserve">. In those </w:t>
      </w:r>
      <w:r w:rsidRPr="009A677E">
        <w:rPr>
          <w:rFonts w:ascii="Arial" w:hAnsi="Arial" w:cs="Arial"/>
          <w:color w:val="000000" w:themeColor="text1"/>
        </w:rPr>
        <w:t>circumstances</w:t>
      </w:r>
      <w:r w:rsidR="001D741B">
        <w:rPr>
          <w:rFonts w:ascii="Arial" w:hAnsi="Arial" w:cs="Arial"/>
          <w:color w:val="000000" w:themeColor="text1"/>
        </w:rPr>
        <w:t xml:space="preserve"> the assets</w:t>
      </w:r>
      <w:r w:rsidRPr="009A677E">
        <w:rPr>
          <w:rFonts w:ascii="Arial" w:hAnsi="Arial" w:cs="Arial"/>
          <w:color w:val="000000" w:themeColor="text1"/>
        </w:rPr>
        <w:t xml:space="preserve"> would be distributed in accordance with statutory priorities which differed from those applicable in England.</w:t>
      </w:r>
      <w:r w:rsidR="00562C5F" w:rsidRPr="009A677E">
        <w:rPr>
          <w:rFonts w:ascii="Arial" w:hAnsi="Arial" w:cs="Arial"/>
          <w:color w:val="000000" w:themeColor="text1"/>
        </w:rPr>
        <w:t xml:space="preserve"> Although the </w:t>
      </w:r>
      <w:r w:rsidR="001D741B">
        <w:rPr>
          <w:rFonts w:ascii="Arial" w:hAnsi="Arial" w:cs="Arial"/>
          <w:color w:val="000000" w:themeColor="text1"/>
        </w:rPr>
        <w:t>House</w:t>
      </w:r>
      <w:r w:rsidR="00562C5F" w:rsidRPr="009A677E">
        <w:rPr>
          <w:rFonts w:ascii="Arial" w:hAnsi="Arial" w:cs="Arial"/>
          <w:color w:val="000000" w:themeColor="text1"/>
        </w:rPr>
        <w:t xml:space="preserve"> agreed that the assets should be remitted to Australia, they were deeply divided in relation to the</w:t>
      </w:r>
      <w:r w:rsidR="00D35AB0" w:rsidRPr="009A677E">
        <w:rPr>
          <w:rFonts w:ascii="Arial" w:hAnsi="Arial" w:cs="Arial"/>
          <w:color w:val="000000" w:themeColor="text1"/>
        </w:rPr>
        <w:t xml:space="preserve"> juridical basis upon which that could be done in deprivation of the statutory rights of creditors proving in England. </w:t>
      </w:r>
    </w:p>
    <w:p w14:paraId="6D356F10" w14:textId="77777777" w:rsidR="00D35AB0" w:rsidRPr="009A677E" w:rsidRDefault="00D35AB0" w:rsidP="00D35AB0">
      <w:pPr>
        <w:pStyle w:val="ListParagraph"/>
        <w:rPr>
          <w:rFonts w:ascii="Arial" w:hAnsi="Arial" w:cs="Arial"/>
          <w:color w:val="000000" w:themeColor="text1"/>
        </w:rPr>
      </w:pPr>
    </w:p>
    <w:p w14:paraId="7F605F4F" w14:textId="2C83368D" w:rsidR="00562C5F" w:rsidRPr="009A677E" w:rsidRDefault="00F03335" w:rsidP="00562C5F">
      <w:pPr>
        <w:pStyle w:val="ListParagraph"/>
        <w:numPr>
          <w:ilvl w:val="0"/>
          <w:numId w:val="1"/>
        </w:numPr>
        <w:jc w:val="both"/>
        <w:rPr>
          <w:rFonts w:ascii="Arial" w:hAnsi="Arial" w:cs="Arial"/>
          <w:color w:val="000000" w:themeColor="text1"/>
        </w:rPr>
      </w:pPr>
      <w:r w:rsidRPr="009A677E">
        <w:rPr>
          <w:rFonts w:ascii="Arial" w:hAnsi="Arial" w:cs="Arial"/>
          <w:color w:val="000000" w:themeColor="text1"/>
        </w:rPr>
        <w:t>Lord Hoffmann</w:t>
      </w:r>
      <w:r w:rsidR="002B325B" w:rsidRPr="009A677E">
        <w:rPr>
          <w:rFonts w:ascii="Arial" w:hAnsi="Arial" w:cs="Arial"/>
          <w:color w:val="000000" w:themeColor="text1"/>
        </w:rPr>
        <w:t>,</w:t>
      </w:r>
      <w:r w:rsidR="00622C65" w:rsidRPr="009A677E">
        <w:rPr>
          <w:rFonts w:ascii="Arial" w:hAnsi="Arial" w:cs="Arial"/>
          <w:color w:val="000000" w:themeColor="text1"/>
        </w:rPr>
        <w:t xml:space="preserve"> who</w:t>
      </w:r>
      <w:r w:rsidRPr="009A677E">
        <w:rPr>
          <w:rFonts w:ascii="Arial" w:hAnsi="Arial" w:cs="Arial"/>
          <w:color w:val="000000" w:themeColor="text1"/>
        </w:rPr>
        <w:t xml:space="preserve"> gave the leading judgment</w:t>
      </w:r>
      <w:r w:rsidR="002B325B" w:rsidRPr="009A677E">
        <w:rPr>
          <w:rFonts w:ascii="Arial" w:hAnsi="Arial" w:cs="Arial"/>
          <w:color w:val="000000" w:themeColor="text1"/>
        </w:rPr>
        <w:t xml:space="preserve">, </w:t>
      </w:r>
      <w:r w:rsidRPr="009A677E">
        <w:rPr>
          <w:rFonts w:ascii="Arial" w:hAnsi="Arial" w:cs="Arial"/>
          <w:color w:val="000000" w:themeColor="text1"/>
        </w:rPr>
        <w:t xml:space="preserve">was ready to continue where he had left off in </w:t>
      </w:r>
      <w:r w:rsidRPr="00D36BB6">
        <w:rPr>
          <w:rFonts w:ascii="Arial" w:hAnsi="Arial" w:cs="Arial"/>
          <w:i/>
          <w:iCs/>
          <w:color w:val="000000" w:themeColor="text1"/>
        </w:rPr>
        <w:t>Cambridge Gas</w:t>
      </w:r>
      <w:r w:rsidRPr="009A677E">
        <w:rPr>
          <w:rFonts w:ascii="Arial" w:hAnsi="Arial" w:cs="Arial"/>
          <w:color w:val="000000" w:themeColor="text1"/>
        </w:rPr>
        <w:t xml:space="preserve">. He, with whom Lord Walker agreed, </w:t>
      </w:r>
      <w:r w:rsidR="00562C5F" w:rsidRPr="009A677E">
        <w:rPr>
          <w:rFonts w:ascii="Arial" w:hAnsi="Arial" w:cs="Arial"/>
          <w:color w:val="000000" w:themeColor="text1"/>
        </w:rPr>
        <w:t xml:space="preserve">considered that the court had an inherent power to direct the remittal of the assets at common law. </w:t>
      </w:r>
      <w:r w:rsidRPr="009A677E">
        <w:rPr>
          <w:rFonts w:ascii="Arial" w:hAnsi="Arial" w:cs="Arial"/>
          <w:color w:val="000000" w:themeColor="text1"/>
        </w:rPr>
        <w:t xml:space="preserve">The rest of the Committee, however, felt that either </w:t>
      </w:r>
      <w:r w:rsidR="00562C5F" w:rsidRPr="009A677E">
        <w:rPr>
          <w:rFonts w:ascii="Arial" w:hAnsi="Arial" w:cs="Arial"/>
          <w:color w:val="000000" w:themeColor="text1"/>
        </w:rPr>
        <w:t>the power was wholly derived from section 426 of the Insolvency Act 1986</w:t>
      </w:r>
      <w:r w:rsidRPr="009A677E">
        <w:rPr>
          <w:rFonts w:ascii="Arial" w:hAnsi="Arial" w:cs="Arial"/>
          <w:color w:val="000000" w:themeColor="text1"/>
        </w:rPr>
        <w:t xml:space="preserve"> (Lord Scott and Lord Neuberger), or, that</w:t>
      </w:r>
      <w:r w:rsidR="00562C5F" w:rsidRPr="009A677E">
        <w:rPr>
          <w:rFonts w:ascii="Arial" w:hAnsi="Arial" w:cs="Arial"/>
          <w:color w:val="000000" w:themeColor="text1"/>
        </w:rPr>
        <w:t xml:space="preserve"> the statutory power was a sufficient jurisdictional basis for the proposed direction</w:t>
      </w:r>
      <w:r w:rsidR="008221A7" w:rsidRPr="009A677E">
        <w:rPr>
          <w:rFonts w:ascii="Arial" w:hAnsi="Arial" w:cs="Arial"/>
          <w:color w:val="000000" w:themeColor="text1"/>
        </w:rPr>
        <w:t xml:space="preserve"> (Lord Phillips)</w:t>
      </w:r>
      <w:r w:rsidR="00562C5F" w:rsidRPr="009A677E">
        <w:rPr>
          <w:rFonts w:ascii="Arial" w:hAnsi="Arial" w:cs="Arial"/>
          <w:color w:val="000000" w:themeColor="text1"/>
        </w:rPr>
        <w:t xml:space="preserve">, and declined to decide whether jurisdiction could have been established at common law. </w:t>
      </w:r>
      <w:r w:rsidR="00B9545E" w:rsidRPr="009A677E">
        <w:rPr>
          <w:rFonts w:ascii="Arial" w:hAnsi="Arial" w:cs="Arial"/>
          <w:color w:val="000000" w:themeColor="text1"/>
        </w:rPr>
        <w:t>In grounding his speech in the principle of “</w:t>
      </w:r>
      <w:r w:rsidR="002B325B" w:rsidRPr="009A677E">
        <w:rPr>
          <w:rFonts w:ascii="Arial" w:hAnsi="Arial" w:cs="Arial"/>
          <w:color w:val="000000" w:themeColor="text1"/>
        </w:rPr>
        <w:t>Modified Universalism</w:t>
      </w:r>
      <w:r w:rsidR="00B9545E" w:rsidRPr="009A677E">
        <w:rPr>
          <w:rFonts w:ascii="Arial" w:hAnsi="Arial" w:cs="Arial"/>
          <w:color w:val="000000" w:themeColor="text1"/>
        </w:rPr>
        <w:t>”,</w:t>
      </w:r>
      <w:r w:rsidR="00F1701B" w:rsidRPr="009A677E">
        <w:rPr>
          <w:rFonts w:ascii="Arial" w:hAnsi="Arial" w:cs="Arial"/>
          <w:color w:val="000000" w:themeColor="text1"/>
        </w:rPr>
        <w:t xml:space="preserve"> Lord Hoffmann observed</w:t>
      </w:r>
      <w:r w:rsidR="00D36BB6">
        <w:rPr>
          <w:rFonts w:ascii="Arial" w:hAnsi="Arial" w:cs="Arial"/>
          <w:color w:val="000000" w:themeColor="text1"/>
        </w:rPr>
        <w:t xml:space="preserve"> </w:t>
      </w:r>
      <w:r w:rsidR="00F1701B" w:rsidRPr="009A677E">
        <w:rPr>
          <w:rFonts w:ascii="Arial" w:hAnsi="Arial" w:cs="Arial"/>
          <w:color w:val="000000" w:themeColor="text1"/>
        </w:rPr>
        <w:t>as follows:</w:t>
      </w:r>
    </w:p>
    <w:p w14:paraId="7EBEB7F2" w14:textId="07BE354D" w:rsidR="009C0F9D" w:rsidRPr="00C45867" w:rsidRDefault="00F1701B" w:rsidP="00F1701B">
      <w:pPr>
        <w:pStyle w:val="ListParagraph"/>
        <w:ind w:left="1440"/>
        <w:jc w:val="both"/>
        <w:rPr>
          <w:rFonts w:ascii="Arial" w:hAnsi="Arial" w:cs="Arial"/>
          <w:i/>
          <w:iCs/>
          <w:color w:val="000000" w:themeColor="text1"/>
        </w:rPr>
      </w:pPr>
      <w:r w:rsidRPr="009A677E">
        <w:rPr>
          <w:rFonts w:ascii="Arial" w:hAnsi="Arial" w:cs="Arial"/>
          <w:color w:val="000000" w:themeColor="text1"/>
        </w:rPr>
        <w:lastRenderedPageBreak/>
        <w:t>“</w:t>
      </w:r>
      <w:r w:rsidR="009C0F9D" w:rsidRPr="00C45867">
        <w:rPr>
          <w:rFonts w:ascii="Arial" w:hAnsi="Arial" w:cs="Arial"/>
          <w:i/>
          <w:iCs/>
          <w:color w:val="000000" w:themeColor="text1"/>
        </w:rPr>
        <w:t>Despite the absence of statutory provision, some degree of international co-operation in corporate insolvency had been achieved by judicial practice. This was based upon what English judges have for many years regarded as a general principle of private international law, namely that bankruptcy (whether personal or corporate) should be unitary and universal. There should be a unitary bankruptcy proceeding in the court of the bankrupt's domicile which receives worldwide recognition and it should apply universally to all the bankrupt's assets.</w:t>
      </w:r>
    </w:p>
    <w:p w14:paraId="6B6B5A04" w14:textId="77777777" w:rsidR="00F1701B" w:rsidRPr="00C45867" w:rsidRDefault="00F1701B" w:rsidP="00F1701B">
      <w:pPr>
        <w:pStyle w:val="ListParagraph"/>
        <w:ind w:left="1440"/>
        <w:jc w:val="both"/>
        <w:rPr>
          <w:rFonts w:ascii="Arial" w:hAnsi="Arial" w:cs="Arial"/>
          <w:i/>
          <w:iCs/>
          <w:color w:val="000000" w:themeColor="text1"/>
        </w:rPr>
      </w:pPr>
    </w:p>
    <w:p w14:paraId="75A3B7FF" w14:textId="39A02554" w:rsidR="009C0F9D" w:rsidRPr="009A677E" w:rsidRDefault="009C0F9D" w:rsidP="00F1701B">
      <w:pPr>
        <w:pStyle w:val="ListParagraph"/>
        <w:ind w:left="1440"/>
        <w:jc w:val="both"/>
        <w:rPr>
          <w:rFonts w:ascii="Arial" w:hAnsi="Arial" w:cs="Arial"/>
          <w:color w:val="000000" w:themeColor="text1"/>
        </w:rPr>
      </w:pPr>
      <w:r w:rsidRPr="00C45867">
        <w:rPr>
          <w:rFonts w:ascii="Arial" w:hAnsi="Arial" w:cs="Arial"/>
          <w:i/>
          <w:iCs/>
          <w:color w:val="000000" w:themeColor="text1"/>
        </w:rPr>
        <w:t>This was very much a principle rather than a rule. It is heavily qualified by exceptions on pragmatic grounds; elsewhere I have described it as an aspiration: see Cambridge Gas Transportation Corpn v Official Committee of Unsecured Creditors of Navigator Holdings plc [2007] 1 AC 508, 517, para 17. Professor Jay Westbrook, a distinguished American writer on international insolvency has called it a principle of ‘modified universalism’: see also Fletcher, Insolvency in Private International Law, 2nd ed (2005), pp 15–17. Full universalism can be attained only by international treaty. Nevertheless, even in its modified and pragmatic form, the principle is a potent one</w:t>
      </w:r>
      <w:r w:rsidRPr="009A677E">
        <w:rPr>
          <w:rFonts w:ascii="Arial" w:hAnsi="Arial" w:cs="Arial"/>
          <w:color w:val="000000" w:themeColor="text1"/>
        </w:rPr>
        <w:t>.”</w:t>
      </w:r>
      <w:r w:rsidR="00C45867">
        <w:rPr>
          <w:rStyle w:val="FootnoteReference"/>
          <w:rFonts w:ascii="Arial" w:hAnsi="Arial" w:cs="Arial"/>
          <w:i/>
          <w:iCs/>
          <w:color w:val="000000" w:themeColor="text1"/>
        </w:rPr>
        <w:footnoteReference w:id="6"/>
      </w:r>
    </w:p>
    <w:p w14:paraId="174DA0A5" w14:textId="7A7ACABC" w:rsidR="00F1701B" w:rsidRDefault="00F1701B" w:rsidP="002410AC">
      <w:pPr>
        <w:jc w:val="both"/>
        <w:rPr>
          <w:rFonts w:ascii="Arial" w:hAnsi="Arial" w:cs="Arial"/>
          <w:color w:val="000000" w:themeColor="text1"/>
        </w:rPr>
      </w:pPr>
    </w:p>
    <w:p w14:paraId="76C8A240" w14:textId="6927A953" w:rsidR="008F14C7" w:rsidRPr="009A677E" w:rsidRDefault="008221A7" w:rsidP="00945070">
      <w:pPr>
        <w:pStyle w:val="ListParagraph"/>
        <w:numPr>
          <w:ilvl w:val="0"/>
          <w:numId w:val="1"/>
        </w:numPr>
        <w:jc w:val="both"/>
        <w:rPr>
          <w:rFonts w:ascii="Arial" w:hAnsi="Arial" w:cs="Arial"/>
          <w:color w:val="000000" w:themeColor="text1"/>
        </w:rPr>
      </w:pPr>
      <w:r w:rsidRPr="00C45867">
        <w:rPr>
          <w:rFonts w:ascii="Arial" w:hAnsi="Arial" w:cs="Arial"/>
          <w:i/>
          <w:iCs/>
          <w:color w:val="000000" w:themeColor="text1"/>
        </w:rPr>
        <w:t xml:space="preserve">In re HIH Casualty </w:t>
      </w:r>
      <w:r w:rsidRPr="009A677E">
        <w:rPr>
          <w:rFonts w:ascii="Arial" w:hAnsi="Arial" w:cs="Arial"/>
          <w:color w:val="000000" w:themeColor="text1"/>
        </w:rPr>
        <w:t xml:space="preserve">proved to be as controversial as </w:t>
      </w:r>
      <w:r w:rsidRPr="00C45867">
        <w:rPr>
          <w:rFonts w:ascii="Arial" w:hAnsi="Arial" w:cs="Arial"/>
          <w:i/>
          <w:iCs/>
          <w:color w:val="000000" w:themeColor="text1"/>
        </w:rPr>
        <w:t>Cambridge Gas</w:t>
      </w:r>
      <w:r w:rsidRPr="009A677E">
        <w:rPr>
          <w:rFonts w:ascii="Arial" w:hAnsi="Arial" w:cs="Arial"/>
          <w:color w:val="000000" w:themeColor="text1"/>
        </w:rPr>
        <w:t xml:space="preserve"> insofar as it</w:t>
      </w:r>
      <w:r w:rsidR="000A7CD8" w:rsidRPr="009A677E">
        <w:rPr>
          <w:rFonts w:ascii="Arial" w:hAnsi="Arial" w:cs="Arial"/>
          <w:color w:val="000000" w:themeColor="text1"/>
        </w:rPr>
        <w:t xml:space="preserve"> </w:t>
      </w:r>
      <w:r w:rsidR="002B325B" w:rsidRPr="009A677E">
        <w:rPr>
          <w:rFonts w:ascii="Arial" w:hAnsi="Arial" w:cs="Arial"/>
          <w:color w:val="000000" w:themeColor="text1"/>
        </w:rPr>
        <w:t>decided</w:t>
      </w:r>
      <w:r w:rsidR="009C0F9D" w:rsidRPr="009A677E">
        <w:rPr>
          <w:rFonts w:ascii="Arial" w:hAnsi="Arial" w:cs="Arial"/>
          <w:color w:val="000000" w:themeColor="text1"/>
        </w:rPr>
        <w:t xml:space="preserve"> </w:t>
      </w:r>
      <w:r w:rsidR="000A7CD8" w:rsidRPr="009A677E">
        <w:rPr>
          <w:rFonts w:ascii="Arial" w:hAnsi="Arial" w:cs="Arial"/>
          <w:color w:val="000000" w:themeColor="text1"/>
        </w:rPr>
        <w:t>that there was a common law obligation to</w:t>
      </w:r>
      <w:r w:rsidR="009728E3" w:rsidRPr="009A677E">
        <w:rPr>
          <w:rFonts w:ascii="Arial" w:hAnsi="Arial" w:cs="Arial"/>
          <w:color w:val="000000" w:themeColor="text1"/>
        </w:rPr>
        <w:t xml:space="preserve"> cooperate with the </w:t>
      </w:r>
      <w:r w:rsidR="000A7CD8" w:rsidRPr="009A677E">
        <w:rPr>
          <w:rFonts w:ascii="Arial" w:hAnsi="Arial" w:cs="Arial"/>
          <w:color w:val="000000" w:themeColor="text1"/>
        </w:rPr>
        <w:t xml:space="preserve">foreign </w:t>
      </w:r>
      <w:r w:rsidR="009728E3" w:rsidRPr="009A677E">
        <w:rPr>
          <w:rFonts w:ascii="Arial" w:hAnsi="Arial" w:cs="Arial"/>
          <w:color w:val="000000" w:themeColor="text1"/>
        </w:rPr>
        <w:t>principal liquidation to ensure that all the company’s assets were distributed to creditors under a single system of distribution to the prejudice of</w:t>
      </w:r>
      <w:r w:rsidR="000A7CD8" w:rsidRPr="009A677E">
        <w:rPr>
          <w:rFonts w:ascii="Arial" w:hAnsi="Arial" w:cs="Arial"/>
          <w:color w:val="000000" w:themeColor="text1"/>
        </w:rPr>
        <w:t xml:space="preserve"> the </w:t>
      </w:r>
      <w:r w:rsidR="00A15277">
        <w:rPr>
          <w:rFonts w:ascii="Arial" w:hAnsi="Arial" w:cs="Arial"/>
          <w:color w:val="000000" w:themeColor="text1"/>
        </w:rPr>
        <w:t>English</w:t>
      </w:r>
      <w:r w:rsidR="009728E3" w:rsidRPr="009A677E">
        <w:rPr>
          <w:rFonts w:ascii="Arial" w:hAnsi="Arial" w:cs="Arial"/>
          <w:color w:val="000000" w:themeColor="text1"/>
        </w:rPr>
        <w:t xml:space="preserve"> creditors.</w:t>
      </w:r>
      <w:r w:rsidR="002B325B" w:rsidRPr="009A677E">
        <w:rPr>
          <w:rFonts w:ascii="Arial" w:hAnsi="Arial" w:cs="Arial"/>
          <w:color w:val="000000" w:themeColor="text1"/>
        </w:rPr>
        <w:t xml:space="preserve"> Both</w:t>
      </w:r>
      <w:r w:rsidR="00CE61B2" w:rsidRPr="009A677E">
        <w:rPr>
          <w:rFonts w:ascii="Arial" w:hAnsi="Arial" w:cs="Arial"/>
          <w:color w:val="000000" w:themeColor="text1"/>
        </w:rPr>
        <w:t xml:space="preserve"> </w:t>
      </w:r>
      <w:r w:rsidR="00C45867" w:rsidRPr="00C45867">
        <w:rPr>
          <w:rFonts w:ascii="Arial" w:hAnsi="Arial" w:cs="Arial"/>
          <w:i/>
          <w:iCs/>
          <w:color w:val="000000" w:themeColor="text1"/>
        </w:rPr>
        <w:t xml:space="preserve">In re HIH Casualty </w:t>
      </w:r>
      <w:r w:rsidR="00653A66" w:rsidRPr="009A677E">
        <w:rPr>
          <w:rFonts w:ascii="Arial" w:hAnsi="Arial" w:cs="Arial"/>
          <w:color w:val="000000" w:themeColor="text1"/>
        </w:rPr>
        <w:t xml:space="preserve">and </w:t>
      </w:r>
      <w:r w:rsidR="004A56C0" w:rsidRPr="00C45867">
        <w:rPr>
          <w:rFonts w:ascii="Arial" w:hAnsi="Arial" w:cs="Arial"/>
          <w:i/>
          <w:iCs/>
          <w:color w:val="000000" w:themeColor="text1"/>
        </w:rPr>
        <w:t>Cambridge Gas</w:t>
      </w:r>
      <w:r w:rsidR="008F14C7" w:rsidRPr="009A677E">
        <w:rPr>
          <w:rFonts w:ascii="Arial" w:hAnsi="Arial" w:cs="Arial"/>
          <w:color w:val="000000" w:themeColor="text1"/>
        </w:rPr>
        <w:t xml:space="preserve">, however, </w:t>
      </w:r>
      <w:r w:rsidRPr="009A677E">
        <w:rPr>
          <w:rFonts w:ascii="Arial" w:hAnsi="Arial" w:cs="Arial"/>
          <w:color w:val="000000" w:themeColor="text1"/>
        </w:rPr>
        <w:t>w</w:t>
      </w:r>
      <w:r w:rsidR="00653A66" w:rsidRPr="009A677E">
        <w:rPr>
          <w:rFonts w:ascii="Arial" w:hAnsi="Arial" w:cs="Arial"/>
          <w:color w:val="000000" w:themeColor="text1"/>
        </w:rPr>
        <w:t>ere</w:t>
      </w:r>
      <w:r w:rsidRPr="009A677E">
        <w:rPr>
          <w:rFonts w:ascii="Arial" w:hAnsi="Arial" w:cs="Arial"/>
          <w:color w:val="000000" w:themeColor="text1"/>
        </w:rPr>
        <w:t xml:space="preserve"> ultimately held </w:t>
      </w:r>
      <w:r w:rsidR="009C0F9D" w:rsidRPr="009A677E">
        <w:rPr>
          <w:rFonts w:ascii="Arial" w:hAnsi="Arial" w:cs="Arial"/>
          <w:color w:val="000000" w:themeColor="text1"/>
        </w:rPr>
        <w:t xml:space="preserve">by the Supreme Court to </w:t>
      </w:r>
      <w:r w:rsidR="009D21F1" w:rsidRPr="009A677E">
        <w:rPr>
          <w:rFonts w:ascii="Arial" w:hAnsi="Arial" w:cs="Arial"/>
          <w:color w:val="000000" w:themeColor="text1"/>
        </w:rPr>
        <w:t>have been wrongly decided</w:t>
      </w:r>
      <w:r w:rsidR="009C0F9D" w:rsidRPr="009A677E">
        <w:rPr>
          <w:rFonts w:ascii="Arial" w:hAnsi="Arial" w:cs="Arial"/>
          <w:color w:val="000000" w:themeColor="text1"/>
        </w:rPr>
        <w:t xml:space="preserve"> </w:t>
      </w:r>
      <w:r w:rsidR="0004585C" w:rsidRPr="009A677E">
        <w:rPr>
          <w:rFonts w:ascii="Arial" w:hAnsi="Arial" w:cs="Arial"/>
          <w:color w:val="000000" w:themeColor="text1"/>
        </w:rPr>
        <w:t xml:space="preserve">not long after </w:t>
      </w:r>
      <w:r w:rsidR="009C0F9D" w:rsidRPr="009A677E">
        <w:rPr>
          <w:rFonts w:ascii="Arial" w:hAnsi="Arial" w:cs="Arial"/>
          <w:color w:val="000000" w:themeColor="text1"/>
        </w:rPr>
        <w:t xml:space="preserve">in </w:t>
      </w:r>
      <w:r w:rsidR="009C0F9D" w:rsidRPr="004A56C0">
        <w:rPr>
          <w:rFonts w:ascii="Arial" w:hAnsi="Arial" w:cs="Arial"/>
          <w:i/>
          <w:iCs/>
          <w:color w:val="000000" w:themeColor="text1"/>
        </w:rPr>
        <w:t>Rubin v Eurofinance SA</w:t>
      </w:r>
      <w:r w:rsidR="004A56C0" w:rsidRPr="00D419B2">
        <w:rPr>
          <w:rStyle w:val="FootnoteReference"/>
          <w:rFonts w:ascii="Arial" w:hAnsi="Arial" w:cs="Arial"/>
          <w:color w:val="000000" w:themeColor="text1"/>
        </w:rPr>
        <w:footnoteReference w:id="7"/>
      </w:r>
      <w:r w:rsidR="00CE61B2" w:rsidRPr="009A677E">
        <w:rPr>
          <w:rFonts w:ascii="Arial" w:hAnsi="Arial" w:cs="Arial"/>
          <w:color w:val="000000" w:themeColor="text1"/>
        </w:rPr>
        <w:t>, a case</w:t>
      </w:r>
      <w:r w:rsidR="00AC7414" w:rsidRPr="009A677E">
        <w:rPr>
          <w:rFonts w:ascii="Arial" w:hAnsi="Arial" w:cs="Arial"/>
          <w:color w:val="000000" w:themeColor="text1"/>
        </w:rPr>
        <w:t xml:space="preserve"> which had similar facts to </w:t>
      </w:r>
      <w:r w:rsidR="004A56C0" w:rsidRPr="00C45867">
        <w:rPr>
          <w:rFonts w:ascii="Arial" w:hAnsi="Arial" w:cs="Arial"/>
          <w:i/>
          <w:iCs/>
          <w:color w:val="000000" w:themeColor="text1"/>
        </w:rPr>
        <w:t>Cambridge Gas</w:t>
      </w:r>
      <w:r w:rsidR="009C0F9D" w:rsidRPr="009A677E">
        <w:rPr>
          <w:rFonts w:ascii="Arial" w:hAnsi="Arial" w:cs="Arial"/>
          <w:color w:val="000000" w:themeColor="text1"/>
        </w:rPr>
        <w:t>.</w:t>
      </w:r>
      <w:r w:rsidR="0004585C" w:rsidRPr="009A677E">
        <w:rPr>
          <w:rFonts w:ascii="Arial" w:hAnsi="Arial" w:cs="Arial"/>
          <w:color w:val="000000" w:themeColor="text1"/>
        </w:rPr>
        <w:t xml:space="preserve"> </w:t>
      </w:r>
      <w:r w:rsidR="00653A66" w:rsidRPr="009A677E">
        <w:rPr>
          <w:rFonts w:ascii="Arial" w:hAnsi="Arial" w:cs="Arial"/>
          <w:color w:val="000000" w:themeColor="text1"/>
        </w:rPr>
        <w:t xml:space="preserve">In </w:t>
      </w:r>
      <w:r w:rsidR="00653A66" w:rsidRPr="004A56C0">
        <w:rPr>
          <w:rFonts w:ascii="Arial" w:hAnsi="Arial" w:cs="Arial"/>
          <w:i/>
          <w:iCs/>
          <w:color w:val="000000" w:themeColor="text1"/>
        </w:rPr>
        <w:t>Rubin</w:t>
      </w:r>
      <w:r w:rsidR="00653A66" w:rsidRPr="009A677E">
        <w:rPr>
          <w:rFonts w:ascii="Arial" w:hAnsi="Arial" w:cs="Arial"/>
          <w:color w:val="000000" w:themeColor="text1"/>
        </w:rPr>
        <w:t xml:space="preserve"> the Supreme Court decided</w:t>
      </w:r>
      <w:r w:rsidR="00AC7414" w:rsidRPr="009A677E">
        <w:rPr>
          <w:rFonts w:ascii="Arial" w:hAnsi="Arial" w:cs="Arial"/>
          <w:color w:val="000000" w:themeColor="text1"/>
        </w:rPr>
        <w:t>, essentially,</w:t>
      </w:r>
      <w:r w:rsidR="00653A66" w:rsidRPr="009A677E">
        <w:rPr>
          <w:rFonts w:ascii="Arial" w:hAnsi="Arial" w:cs="Arial"/>
          <w:color w:val="000000" w:themeColor="text1"/>
        </w:rPr>
        <w:t xml:space="preserve"> that </w:t>
      </w:r>
      <w:r w:rsidR="00AC7414" w:rsidRPr="009A677E">
        <w:rPr>
          <w:rFonts w:ascii="Arial" w:hAnsi="Arial" w:cs="Arial"/>
          <w:color w:val="000000" w:themeColor="text1"/>
        </w:rPr>
        <w:t>for there to be a</w:t>
      </w:r>
      <w:r w:rsidR="00653A66" w:rsidRPr="009A677E">
        <w:rPr>
          <w:rFonts w:ascii="Arial" w:hAnsi="Arial" w:cs="Arial"/>
          <w:color w:val="000000" w:themeColor="text1"/>
        </w:rPr>
        <w:t xml:space="preserve"> change in the settled law </w:t>
      </w:r>
      <w:r w:rsidR="00CE61B2" w:rsidRPr="009A677E">
        <w:rPr>
          <w:rFonts w:ascii="Arial" w:hAnsi="Arial" w:cs="Arial"/>
          <w:color w:val="000000" w:themeColor="text1"/>
        </w:rPr>
        <w:t>relating to</w:t>
      </w:r>
      <w:r w:rsidR="00653A66" w:rsidRPr="009A677E">
        <w:rPr>
          <w:rFonts w:ascii="Arial" w:hAnsi="Arial" w:cs="Arial"/>
          <w:color w:val="000000" w:themeColor="text1"/>
        </w:rPr>
        <w:t xml:space="preserve"> the recognition and enforcement of judgments, and in particular the formulation of a rule </w:t>
      </w:r>
      <w:r w:rsidR="00427AC6">
        <w:rPr>
          <w:rFonts w:ascii="Arial" w:hAnsi="Arial" w:cs="Arial"/>
          <w:color w:val="000000" w:themeColor="text1"/>
        </w:rPr>
        <w:t>concerning the</w:t>
      </w:r>
      <w:r w:rsidR="00653A66" w:rsidRPr="009A677E">
        <w:rPr>
          <w:rFonts w:ascii="Arial" w:hAnsi="Arial" w:cs="Arial"/>
          <w:color w:val="000000" w:themeColor="text1"/>
        </w:rPr>
        <w:t xml:space="preserve"> identification of courts which </w:t>
      </w:r>
      <w:r w:rsidR="00427AC6">
        <w:rPr>
          <w:rFonts w:ascii="Arial" w:hAnsi="Arial" w:cs="Arial"/>
          <w:color w:val="000000" w:themeColor="text1"/>
        </w:rPr>
        <w:t xml:space="preserve">should be </w:t>
      </w:r>
      <w:r w:rsidR="00653A66" w:rsidRPr="009A677E">
        <w:rPr>
          <w:rFonts w:ascii="Arial" w:hAnsi="Arial" w:cs="Arial"/>
          <w:color w:val="000000" w:themeColor="text1"/>
        </w:rPr>
        <w:t xml:space="preserve">regarded as </w:t>
      </w:r>
      <w:r w:rsidR="00427AC6">
        <w:rPr>
          <w:rFonts w:ascii="Arial" w:hAnsi="Arial" w:cs="Arial"/>
          <w:color w:val="000000" w:themeColor="text1"/>
        </w:rPr>
        <w:t>being</w:t>
      </w:r>
      <w:r w:rsidR="00653A66" w:rsidRPr="009A677E">
        <w:rPr>
          <w:rFonts w:ascii="Arial" w:hAnsi="Arial" w:cs="Arial"/>
          <w:color w:val="000000" w:themeColor="text1"/>
        </w:rPr>
        <w:t xml:space="preserve"> of competent</w:t>
      </w:r>
      <w:r w:rsidR="008F14C7" w:rsidRPr="009A677E">
        <w:rPr>
          <w:rFonts w:ascii="Arial" w:hAnsi="Arial" w:cs="Arial"/>
          <w:color w:val="000000" w:themeColor="text1"/>
        </w:rPr>
        <w:t xml:space="preserve"> jurisdiction</w:t>
      </w:r>
      <w:r w:rsidR="00653A66" w:rsidRPr="009A677E">
        <w:rPr>
          <w:rFonts w:ascii="Arial" w:hAnsi="Arial" w:cs="Arial"/>
          <w:color w:val="000000" w:themeColor="text1"/>
        </w:rPr>
        <w:t>, legislation</w:t>
      </w:r>
      <w:r w:rsidR="00AC7414" w:rsidRPr="009A677E">
        <w:rPr>
          <w:rFonts w:ascii="Arial" w:hAnsi="Arial" w:cs="Arial"/>
          <w:color w:val="000000" w:themeColor="text1"/>
        </w:rPr>
        <w:t xml:space="preserve"> was necessary and </w:t>
      </w:r>
      <w:r w:rsidR="008F14C7" w:rsidRPr="009A677E">
        <w:rPr>
          <w:rFonts w:ascii="Arial" w:hAnsi="Arial" w:cs="Arial"/>
          <w:color w:val="000000" w:themeColor="text1"/>
        </w:rPr>
        <w:t xml:space="preserve">it </w:t>
      </w:r>
      <w:r w:rsidR="00AC7414" w:rsidRPr="009A677E">
        <w:rPr>
          <w:rFonts w:ascii="Arial" w:hAnsi="Arial" w:cs="Arial"/>
          <w:color w:val="000000" w:themeColor="text1"/>
        </w:rPr>
        <w:t>was not a matter for</w:t>
      </w:r>
      <w:r w:rsidR="00653A66" w:rsidRPr="009A677E">
        <w:rPr>
          <w:rFonts w:ascii="Arial" w:hAnsi="Arial" w:cs="Arial"/>
          <w:color w:val="000000" w:themeColor="text1"/>
        </w:rPr>
        <w:t xml:space="preserve"> judicial innovation</w:t>
      </w:r>
      <w:r w:rsidR="00AC7414" w:rsidRPr="009A677E">
        <w:rPr>
          <w:rFonts w:ascii="Arial" w:hAnsi="Arial" w:cs="Arial"/>
          <w:color w:val="000000" w:themeColor="text1"/>
        </w:rPr>
        <w:t xml:space="preserve"> regardless the expediency of </w:t>
      </w:r>
      <w:r w:rsidR="008F14C7" w:rsidRPr="009A677E">
        <w:rPr>
          <w:rFonts w:ascii="Arial" w:hAnsi="Arial" w:cs="Arial"/>
          <w:color w:val="000000" w:themeColor="text1"/>
        </w:rPr>
        <w:t>the</w:t>
      </w:r>
      <w:r w:rsidR="00AC7414" w:rsidRPr="009A677E">
        <w:rPr>
          <w:rFonts w:ascii="Arial" w:hAnsi="Arial" w:cs="Arial"/>
          <w:color w:val="000000" w:themeColor="text1"/>
        </w:rPr>
        <w:t xml:space="preserve"> decision</w:t>
      </w:r>
      <w:r w:rsidR="00653A66" w:rsidRPr="009A677E">
        <w:rPr>
          <w:rFonts w:ascii="Arial" w:hAnsi="Arial" w:cs="Arial"/>
          <w:color w:val="000000" w:themeColor="text1"/>
        </w:rPr>
        <w:t xml:space="preserve">. </w:t>
      </w:r>
    </w:p>
    <w:p w14:paraId="681CCB22" w14:textId="77777777" w:rsidR="00CE61B2" w:rsidRPr="009A677E" w:rsidRDefault="00CE61B2" w:rsidP="00CE61B2">
      <w:pPr>
        <w:pStyle w:val="ListParagraph"/>
        <w:jc w:val="both"/>
        <w:rPr>
          <w:rFonts w:ascii="Arial" w:hAnsi="Arial" w:cs="Arial"/>
          <w:color w:val="000000" w:themeColor="text1"/>
        </w:rPr>
      </w:pPr>
    </w:p>
    <w:p w14:paraId="0985E435" w14:textId="035F253C" w:rsidR="00621B63" w:rsidRPr="009A677E" w:rsidRDefault="0004585C" w:rsidP="009C0F9D">
      <w:pPr>
        <w:pStyle w:val="ListParagraph"/>
        <w:numPr>
          <w:ilvl w:val="0"/>
          <w:numId w:val="1"/>
        </w:numPr>
        <w:jc w:val="both"/>
        <w:rPr>
          <w:rFonts w:ascii="Arial" w:hAnsi="Arial" w:cs="Arial"/>
          <w:color w:val="000000" w:themeColor="text1"/>
        </w:rPr>
      </w:pPr>
      <w:r w:rsidRPr="009A677E">
        <w:rPr>
          <w:rFonts w:ascii="Arial" w:hAnsi="Arial" w:cs="Arial"/>
          <w:color w:val="000000" w:themeColor="text1"/>
        </w:rPr>
        <w:t xml:space="preserve">The decision in </w:t>
      </w:r>
      <w:r w:rsidRPr="004A56C0">
        <w:rPr>
          <w:rFonts w:ascii="Arial" w:hAnsi="Arial" w:cs="Arial"/>
          <w:i/>
          <w:iCs/>
          <w:color w:val="000000" w:themeColor="text1"/>
        </w:rPr>
        <w:t>Rubin</w:t>
      </w:r>
      <w:r w:rsidRPr="009A677E">
        <w:rPr>
          <w:rFonts w:ascii="Arial" w:hAnsi="Arial" w:cs="Arial"/>
          <w:color w:val="000000" w:themeColor="text1"/>
        </w:rPr>
        <w:t xml:space="preserve">, though it did not </w:t>
      </w:r>
      <w:r w:rsidR="00CE61B2" w:rsidRPr="009A677E">
        <w:rPr>
          <w:rFonts w:ascii="Arial" w:hAnsi="Arial" w:cs="Arial"/>
          <w:color w:val="000000" w:themeColor="text1"/>
        </w:rPr>
        <w:t xml:space="preserve">explicitly </w:t>
      </w:r>
      <w:r w:rsidRPr="009A677E">
        <w:rPr>
          <w:rFonts w:ascii="Arial" w:hAnsi="Arial" w:cs="Arial"/>
          <w:color w:val="000000" w:themeColor="text1"/>
        </w:rPr>
        <w:t xml:space="preserve">criticize the principle of </w:t>
      </w:r>
      <w:r w:rsidR="00D33F85" w:rsidRPr="009A677E">
        <w:rPr>
          <w:rFonts w:ascii="Arial" w:hAnsi="Arial" w:cs="Arial"/>
          <w:color w:val="000000" w:themeColor="text1"/>
        </w:rPr>
        <w:t xml:space="preserve">Modified </w:t>
      </w:r>
      <w:r w:rsidR="004A56C0" w:rsidRPr="009A677E">
        <w:rPr>
          <w:rFonts w:ascii="Arial" w:hAnsi="Arial" w:cs="Arial"/>
          <w:color w:val="000000" w:themeColor="text1"/>
        </w:rPr>
        <w:t>Universalism</w:t>
      </w:r>
      <w:r w:rsidR="009D21F1" w:rsidRPr="009A677E">
        <w:rPr>
          <w:rFonts w:ascii="Arial" w:hAnsi="Arial" w:cs="Arial"/>
          <w:color w:val="000000" w:themeColor="text1"/>
        </w:rPr>
        <w:t>, put it in s</w:t>
      </w:r>
      <w:r w:rsidR="00427AC6">
        <w:rPr>
          <w:rFonts w:ascii="Arial" w:hAnsi="Arial" w:cs="Arial"/>
          <w:color w:val="000000" w:themeColor="text1"/>
        </w:rPr>
        <w:t>ome</w:t>
      </w:r>
      <w:r w:rsidR="009D21F1" w:rsidRPr="009A677E">
        <w:rPr>
          <w:rFonts w:ascii="Arial" w:hAnsi="Arial" w:cs="Arial"/>
          <w:color w:val="000000" w:themeColor="text1"/>
        </w:rPr>
        <w:t xml:space="preserve"> doubt as </w:t>
      </w:r>
      <w:r w:rsidR="009C0F9D" w:rsidRPr="009A677E">
        <w:rPr>
          <w:rFonts w:ascii="Arial" w:hAnsi="Arial" w:cs="Arial"/>
          <w:color w:val="000000" w:themeColor="text1"/>
        </w:rPr>
        <w:t xml:space="preserve">the </w:t>
      </w:r>
      <w:r w:rsidR="00CE61B2" w:rsidRPr="009A677E">
        <w:rPr>
          <w:rFonts w:ascii="Arial" w:hAnsi="Arial" w:cs="Arial"/>
          <w:color w:val="000000" w:themeColor="text1"/>
        </w:rPr>
        <w:t>Board</w:t>
      </w:r>
      <w:r w:rsidR="009C0F9D" w:rsidRPr="009A677E">
        <w:rPr>
          <w:rFonts w:ascii="Arial" w:hAnsi="Arial" w:cs="Arial"/>
          <w:color w:val="000000" w:themeColor="text1"/>
        </w:rPr>
        <w:t xml:space="preserve"> in </w:t>
      </w:r>
      <w:r w:rsidR="009C0F9D" w:rsidRPr="00D33F85">
        <w:rPr>
          <w:rFonts w:ascii="Arial" w:hAnsi="Arial" w:cs="Arial"/>
          <w:i/>
          <w:iCs/>
          <w:color w:val="000000" w:themeColor="text1"/>
        </w:rPr>
        <w:t>Al Sabah v Grupo Torras SA</w:t>
      </w:r>
      <w:r w:rsidR="00D33F85">
        <w:rPr>
          <w:rStyle w:val="FootnoteReference"/>
          <w:rFonts w:ascii="Arial" w:hAnsi="Arial" w:cs="Arial"/>
          <w:i/>
          <w:iCs/>
          <w:color w:val="000000" w:themeColor="text1"/>
        </w:rPr>
        <w:footnoteReference w:id="8"/>
      </w:r>
      <w:r w:rsidR="009C0F9D" w:rsidRPr="009A677E">
        <w:rPr>
          <w:rFonts w:ascii="Arial" w:hAnsi="Arial" w:cs="Arial"/>
          <w:color w:val="000000" w:themeColor="text1"/>
        </w:rPr>
        <w:t xml:space="preserve">, a case cited in argument in </w:t>
      </w:r>
      <w:r w:rsidR="009C0F9D" w:rsidRPr="00D33F85">
        <w:rPr>
          <w:rFonts w:ascii="Arial" w:hAnsi="Arial" w:cs="Arial"/>
          <w:i/>
          <w:iCs/>
          <w:color w:val="000000" w:themeColor="text1"/>
        </w:rPr>
        <w:t>Cambridge Gas</w:t>
      </w:r>
      <w:r w:rsidR="009C0F9D" w:rsidRPr="009A677E">
        <w:rPr>
          <w:rFonts w:ascii="Arial" w:hAnsi="Arial" w:cs="Arial"/>
          <w:color w:val="000000" w:themeColor="text1"/>
        </w:rPr>
        <w:t xml:space="preserve"> but not in the advice of the Board</w:t>
      </w:r>
      <w:r w:rsidR="009D21F1" w:rsidRPr="009A677E">
        <w:rPr>
          <w:rFonts w:ascii="Arial" w:hAnsi="Arial" w:cs="Arial"/>
          <w:color w:val="000000" w:themeColor="text1"/>
        </w:rPr>
        <w:t xml:space="preserve">, had discredited the principle. </w:t>
      </w:r>
    </w:p>
    <w:p w14:paraId="72014944" w14:textId="742426FE" w:rsidR="00621B63" w:rsidRDefault="00621B63" w:rsidP="00EA5C5E">
      <w:pPr>
        <w:ind w:left="360"/>
        <w:jc w:val="both"/>
        <w:rPr>
          <w:rFonts w:ascii="Arial" w:hAnsi="Arial" w:cs="Arial"/>
          <w:color w:val="000000" w:themeColor="text1"/>
        </w:rPr>
      </w:pPr>
    </w:p>
    <w:p w14:paraId="434A20BE" w14:textId="77777777" w:rsidR="00340046" w:rsidRDefault="00340046" w:rsidP="00340046">
      <w:pPr>
        <w:jc w:val="both"/>
        <w:rPr>
          <w:rFonts w:ascii="Arial" w:hAnsi="Arial" w:cs="Arial"/>
          <w:b/>
          <w:bCs/>
          <w:color w:val="000000" w:themeColor="text1"/>
        </w:rPr>
      </w:pPr>
    </w:p>
    <w:p w14:paraId="0752DAF0" w14:textId="5519C947" w:rsidR="00340046" w:rsidRDefault="00340046" w:rsidP="00340046">
      <w:pPr>
        <w:jc w:val="both"/>
        <w:rPr>
          <w:rFonts w:ascii="Arial" w:hAnsi="Arial" w:cs="Arial"/>
          <w:b/>
          <w:bCs/>
          <w:color w:val="000000" w:themeColor="text1"/>
        </w:rPr>
      </w:pPr>
    </w:p>
    <w:p w14:paraId="594B9C68" w14:textId="1BC8BD26" w:rsidR="00DF76B4" w:rsidRDefault="00DF76B4" w:rsidP="00340046">
      <w:pPr>
        <w:jc w:val="both"/>
        <w:rPr>
          <w:rFonts w:ascii="Arial" w:hAnsi="Arial" w:cs="Arial"/>
          <w:b/>
          <w:bCs/>
          <w:color w:val="000000" w:themeColor="text1"/>
        </w:rPr>
      </w:pPr>
    </w:p>
    <w:p w14:paraId="7F0D1F10" w14:textId="77777777" w:rsidR="00DE5460" w:rsidRDefault="00DE5460" w:rsidP="00340046">
      <w:pPr>
        <w:jc w:val="both"/>
        <w:rPr>
          <w:rFonts w:ascii="Arial" w:hAnsi="Arial" w:cs="Arial"/>
          <w:b/>
          <w:bCs/>
          <w:color w:val="000000" w:themeColor="text1"/>
        </w:rPr>
      </w:pPr>
    </w:p>
    <w:p w14:paraId="010C0276" w14:textId="44C71E84" w:rsidR="00DF76B4" w:rsidRDefault="00DF76B4" w:rsidP="00340046">
      <w:pPr>
        <w:jc w:val="both"/>
        <w:rPr>
          <w:rFonts w:ascii="Arial" w:hAnsi="Arial" w:cs="Arial"/>
          <w:b/>
          <w:bCs/>
          <w:color w:val="000000" w:themeColor="text1"/>
        </w:rPr>
      </w:pPr>
    </w:p>
    <w:p w14:paraId="25EA89E5" w14:textId="77777777" w:rsidR="00DF76B4" w:rsidRDefault="00DF76B4" w:rsidP="00340046">
      <w:pPr>
        <w:jc w:val="both"/>
        <w:rPr>
          <w:rFonts w:ascii="Arial" w:hAnsi="Arial" w:cs="Arial"/>
          <w:b/>
          <w:bCs/>
          <w:color w:val="000000" w:themeColor="text1"/>
        </w:rPr>
      </w:pPr>
    </w:p>
    <w:p w14:paraId="653E81F2" w14:textId="346705FE" w:rsidR="00EA5C5E" w:rsidRPr="00EA5C5E" w:rsidRDefault="00340046" w:rsidP="00340046">
      <w:pPr>
        <w:jc w:val="both"/>
        <w:rPr>
          <w:rFonts w:ascii="Arial" w:hAnsi="Arial" w:cs="Arial"/>
          <w:b/>
          <w:bCs/>
          <w:color w:val="000000" w:themeColor="text1"/>
        </w:rPr>
      </w:pPr>
      <w:r>
        <w:rPr>
          <w:rFonts w:ascii="Arial" w:hAnsi="Arial" w:cs="Arial"/>
          <w:b/>
          <w:bCs/>
          <w:color w:val="000000" w:themeColor="text1"/>
        </w:rPr>
        <w:t>C.</w:t>
      </w:r>
      <w:r>
        <w:rPr>
          <w:rFonts w:ascii="Arial" w:hAnsi="Arial" w:cs="Arial"/>
          <w:b/>
          <w:bCs/>
          <w:color w:val="000000" w:themeColor="text1"/>
        </w:rPr>
        <w:tab/>
      </w:r>
      <w:r w:rsidR="00EA5C5E" w:rsidRPr="00EA5C5E">
        <w:rPr>
          <w:rFonts w:ascii="Arial" w:hAnsi="Arial" w:cs="Arial"/>
          <w:b/>
          <w:bCs/>
          <w:color w:val="000000" w:themeColor="text1"/>
        </w:rPr>
        <w:t xml:space="preserve">The </w:t>
      </w:r>
      <w:r w:rsidR="00D33F85">
        <w:rPr>
          <w:rFonts w:ascii="Arial" w:hAnsi="Arial" w:cs="Arial"/>
          <w:b/>
          <w:bCs/>
          <w:color w:val="000000" w:themeColor="text1"/>
        </w:rPr>
        <w:t>refinement</w:t>
      </w:r>
      <w:r w:rsidR="00EA5C5E" w:rsidRPr="00EA5C5E">
        <w:rPr>
          <w:rFonts w:ascii="Arial" w:hAnsi="Arial" w:cs="Arial"/>
          <w:b/>
          <w:bCs/>
          <w:color w:val="000000" w:themeColor="text1"/>
        </w:rPr>
        <w:t xml:space="preserve"> of </w:t>
      </w:r>
      <w:r w:rsidR="001706AD">
        <w:rPr>
          <w:rFonts w:ascii="Arial" w:hAnsi="Arial" w:cs="Arial"/>
          <w:b/>
          <w:bCs/>
          <w:color w:val="000000" w:themeColor="text1"/>
        </w:rPr>
        <w:t>Modern Universalism</w:t>
      </w:r>
      <w:r w:rsidR="00D33F85">
        <w:rPr>
          <w:rFonts w:ascii="Arial" w:hAnsi="Arial" w:cs="Arial"/>
          <w:b/>
          <w:bCs/>
          <w:color w:val="000000" w:themeColor="text1"/>
        </w:rPr>
        <w:t xml:space="preserve"> </w:t>
      </w:r>
    </w:p>
    <w:p w14:paraId="53556E1D" w14:textId="46B08DA3" w:rsidR="0056408F" w:rsidRPr="009A677E" w:rsidRDefault="00004F1D" w:rsidP="00945070">
      <w:pPr>
        <w:pStyle w:val="ListParagraph"/>
        <w:numPr>
          <w:ilvl w:val="0"/>
          <w:numId w:val="1"/>
        </w:numPr>
        <w:jc w:val="both"/>
        <w:rPr>
          <w:rFonts w:ascii="Arial" w:hAnsi="Arial" w:cs="Arial"/>
          <w:color w:val="000000" w:themeColor="text1"/>
        </w:rPr>
      </w:pPr>
      <w:r w:rsidRPr="009A677E">
        <w:rPr>
          <w:rFonts w:ascii="Arial" w:hAnsi="Arial" w:cs="Arial"/>
          <w:color w:val="000000" w:themeColor="text1"/>
        </w:rPr>
        <w:t>In</w:t>
      </w:r>
      <w:r w:rsidR="00950F3C" w:rsidRPr="009A677E">
        <w:rPr>
          <w:rFonts w:ascii="Arial" w:hAnsi="Arial" w:cs="Arial"/>
          <w:color w:val="000000" w:themeColor="text1"/>
        </w:rPr>
        <w:t xml:space="preserve"> </w:t>
      </w:r>
      <w:r w:rsidRPr="00D33F85">
        <w:rPr>
          <w:rFonts w:ascii="Arial" w:hAnsi="Arial" w:cs="Arial"/>
          <w:i/>
          <w:iCs/>
          <w:color w:val="000000" w:themeColor="text1"/>
        </w:rPr>
        <w:t>Singularis Holdings Ltd v PricewaterhouseCoopers</w:t>
      </w:r>
      <w:r w:rsidR="00D33F85">
        <w:rPr>
          <w:rStyle w:val="FootnoteReference"/>
          <w:rFonts w:ascii="Arial" w:hAnsi="Arial" w:cs="Arial"/>
          <w:i/>
          <w:iCs/>
          <w:color w:val="000000" w:themeColor="text1"/>
        </w:rPr>
        <w:footnoteReference w:id="9"/>
      </w:r>
      <w:r w:rsidRPr="009A677E">
        <w:rPr>
          <w:rFonts w:ascii="Arial" w:hAnsi="Arial" w:cs="Arial"/>
          <w:color w:val="000000" w:themeColor="text1"/>
        </w:rPr>
        <w:t xml:space="preserve">, an appeal to the Privy Council from Bermuda, the Board had to consider two issues. </w:t>
      </w:r>
      <w:r w:rsidR="00FB56AB" w:rsidRPr="009A677E">
        <w:rPr>
          <w:rFonts w:ascii="Arial" w:hAnsi="Arial" w:cs="Arial"/>
          <w:color w:val="000000" w:themeColor="text1"/>
        </w:rPr>
        <w:t xml:space="preserve">The first </w:t>
      </w:r>
      <w:r w:rsidRPr="009A677E">
        <w:rPr>
          <w:rFonts w:ascii="Arial" w:hAnsi="Arial" w:cs="Arial"/>
          <w:color w:val="000000" w:themeColor="text1"/>
        </w:rPr>
        <w:t>wa</w:t>
      </w:r>
      <w:r w:rsidR="00FB56AB" w:rsidRPr="009A677E">
        <w:rPr>
          <w:rFonts w:ascii="Arial" w:hAnsi="Arial" w:cs="Arial"/>
          <w:color w:val="000000" w:themeColor="text1"/>
        </w:rPr>
        <w:t xml:space="preserve">s whether the Bermuda court has a common law power to assist a foreign liquidation by ordering the production of information (in oral or documentary form), in circumstances where (i) the Bermuda court has no power to wind up an overseas company and (ii) its statutory power to order the production of information is limited to cases where the company has been wound up in Bermuda. The second issue </w:t>
      </w:r>
      <w:r w:rsidRPr="009A677E">
        <w:rPr>
          <w:rFonts w:ascii="Arial" w:hAnsi="Arial" w:cs="Arial"/>
          <w:color w:val="000000" w:themeColor="text1"/>
        </w:rPr>
        <w:t>was</w:t>
      </w:r>
      <w:r w:rsidR="00FB56AB" w:rsidRPr="009A677E">
        <w:rPr>
          <w:rFonts w:ascii="Arial" w:hAnsi="Arial" w:cs="Arial"/>
          <w:color w:val="000000" w:themeColor="text1"/>
        </w:rPr>
        <w:t xml:space="preserve"> whether, if such a power exists, it is exercisable in circumstances where an equivalent order could not have been made by the court in which the foreign liquidation is proceeding.</w:t>
      </w:r>
    </w:p>
    <w:p w14:paraId="110511CF" w14:textId="77777777" w:rsidR="00C4001E" w:rsidRPr="009A677E" w:rsidRDefault="00C4001E" w:rsidP="00C4001E">
      <w:pPr>
        <w:pStyle w:val="ListParagraph"/>
        <w:rPr>
          <w:rFonts w:ascii="Arial" w:hAnsi="Arial" w:cs="Arial"/>
          <w:color w:val="000000" w:themeColor="text1"/>
        </w:rPr>
      </w:pPr>
    </w:p>
    <w:p w14:paraId="040E4C88" w14:textId="15C0C313" w:rsidR="007928AA" w:rsidRPr="009A677E" w:rsidRDefault="00950F3C" w:rsidP="00B42F9E">
      <w:pPr>
        <w:pStyle w:val="ListParagraph"/>
        <w:numPr>
          <w:ilvl w:val="0"/>
          <w:numId w:val="1"/>
        </w:numPr>
        <w:jc w:val="both"/>
        <w:rPr>
          <w:rFonts w:ascii="Arial" w:hAnsi="Arial" w:cs="Arial"/>
          <w:color w:val="000000" w:themeColor="text1"/>
        </w:rPr>
      </w:pPr>
      <w:r w:rsidRPr="009A677E">
        <w:rPr>
          <w:rFonts w:ascii="Arial" w:hAnsi="Arial" w:cs="Arial"/>
          <w:color w:val="000000" w:themeColor="text1"/>
        </w:rPr>
        <w:t xml:space="preserve">Lord Sumption gave the </w:t>
      </w:r>
      <w:r w:rsidR="005F624B" w:rsidRPr="009A677E">
        <w:rPr>
          <w:rFonts w:ascii="Arial" w:hAnsi="Arial" w:cs="Arial"/>
          <w:color w:val="000000" w:themeColor="text1"/>
        </w:rPr>
        <w:t>leading</w:t>
      </w:r>
      <w:r w:rsidRPr="009A677E">
        <w:rPr>
          <w:rFonts w:ascii="Arial" w:hAnsi="Arial" w:cs="Arial"/>
          <w:color w:val="000000" w:themeColor="text1"/>
        </w:rPr>
        <w:t xml:space="preserve"> decision of the Board with Lords Neuberger and Mance </w:t>
      </w:r>
      <w:r w:rsidR="00D227CA" w:rsidRPr="009A677E">
        <w:rPr>
          <w:rFonts w:ascii="Arial" w:hAnsi="Arial" w:cs="Arial"/>
          <w:color w:val="000000" w:themeColor="text1"/>
        </w:rPr>
        <w:t>giving minority decisions.</w:t>
      </w:r>
      <w:r w:rsidR="00265077" w:rsidRPr="009A677E">
        <w:rPr>
          <w:rFonts w:ascii="Arial" w:hAnsi="Arial" w:cs="Arial"/>
          <w:color w:val="000000" w:themeColor="text1"/>
        </w:rPr>
        <w:t xml:space="preserve"> There being no legislation in Bermuda to govern cross-border insolvency issues the Board had to </w:t>
      </w:r>
      <w:r w:rsidR="007928AA" w:rsidRPr="009A677E">
        <w:rPr>
          <w:rFonts w:ascii="Arial" w:hAnsi="Arial" w:cs="Arial"/>
          <w:color w:val="000000" w:themeColor="text1"/>
        </w:rPr>
        <w:t xml:space="preserve">specifically </w:t>
      </w:r>
      <w:r w:rsidR="000F7B77" w:rsidRPr="009A677E">
        <w:rPr>
          <w:rFonts w:ascii="Arial" w:hAnsi="Arial" w:cs="Arial"/>
          <w:color w:val="000000" w:themeColor="text1"/>
        </w:rPr>
        <w:t>consider</w:t>
      </w:r>
      <w:r w:rsidR="007928AA" w:rsidRPr="009A677E">
        <w:rPr>
          <w:rFonts w:ascii="Arial" w:hAnsi="Arial" w:cs="Arial"/>
          <w:color w:val="000000" w:themeColor="text1"/>
        </w:rPr>
        <w:t xml:space="preserve"> </w:t>
      </w:r>
      <w:r w:rsidR="00265077" w:rsidRPr="009A677E">
        <w:rPr>
          <w:rFonts w:ascii="Arial" w:hAnsi="Arial" w:cs="Arial"/>
          <w:color w:val="000000" w:themeColor="text1"/>
        </w:rPr>
        <w:t>how the common law</w:t>
      </w:r>
      <w:r w:rsidR="007928AA" w:rsidRPr="009A677E">
        <w:rPr>
          <w:rFonts w:ascii="Arial" w:hAnsi="Arial" w:cs="Arial"/>
          <w:color w:val="000000" w:themeColor="text1"/>
        </w:rPr>
        <w:t xml:space="preserve"> should develop following </w:t>
      </w:r>
      <w:r w:rsidR="007928AA" w:rsidRPr="00E22820">
        <w:rPr>
          <w:rFonts w:ascii="Arial" w:hAnsi="Arial" w:cs="Arial"/>
          <w:i/>
          <w:iCs/>
          <w:color w:val="000000" w:themeColor="text1"/>
        </w:rPr>
        <w:t>Cambridge Gas</w:t>
      </w:r>
      <w:r w:rsidR="007928AA" w:rsidRPr="009A677E">
        <w:rPr>
          <w:rFonts w:ascii="Arial" w:hAnsi="Arial" w:cs="Arial"/>
          <w:color w:val="000000" w:themeColor="text1"/>
        </w:rPr>
        <w:t xml:space="preserve"> and </w:t>
      </w:r>
      <w:r w:rsidR="007928AA" w:rsidRPr="00E22820">
        <w:rPr>
          <w:rFonts w:ascii="Arial" w:hAnsi="Arial" w:cs="Arial"/>
          <w:i/>
          <w:iCs/>
          <w:color w:val="000000" w:themeColor="text1"/>
        </w:rPr>
        <w:t>Rub</w:t>
      </w:r>
      <w:r w:rsidR="00E039E7" w:rsidRPr="00E22820">
        <w:rPr>
          <w:rFonts w:ascii="Arial" w:hAnsi="Arial" w:cs="Arial"/>
          <w:i/>
          <w:iCs/>
          <w:color w:val="000000" w:themeColor="text1"/>
        </w:rPr>
        <w:t>i</w:t>
      </w:r>
      <w:r w:rsidR="007928AA" w:rsidRPr="00E22820">
        <w:rPr>
          <w:rFonts w:ascii="Arial" w:hAnsi="Arial" w:cs="Arial"/>
          <w:i/>
          <w:iCs/>
          <w:color w:val="000000" w:themeColor="text1"/>
        </w:rPr>
        <w:t>n</w:t>
      </w:r>
      <w:r w:rsidR="007928AA" w:rsidRPr="009A677E">
        <w:rPr>
          <w:rFonts w:ascii="Arial" w:hAnsi="Arial" w:cs="Arial"/>
          <w:color w:val="000000" w:themeColor="text1"/>
        </w:rPr>
        <w:t>. Lord Sumption’s judgment, while not laborious, goes to great lengths to set out developments in the</w:t>
      </w:r>
      <w:r w:rsidR="00D227CA" w:rsidRPr="009A677E">
        <w:rPr>
          <w:rFonts w:ascii="Arial" w:hAnsi="Arial" w:cs="Arial"/>
          <w:color w:val="000000" w:themeColor="text1"/>
        </w:rPr>
        <w:t xml:space="preserve"> common</w:t>
      </w:r>
      <w:r w:rsidR="007928AA" w:rsidRPr="009A677E">
        <w:rPr>
          <w:rFonts w:ascii="Arial" w:hAnsi="Arial" w:cs="Arial"/>
          <w:color w:val="000000" w:themeColor="text1"/>
        </w:rPr>
        <w:t xml:space="preserve"> law relating to the rendering of assistance to a foreign </w:t>
      </w:r>
      <w:r w:rsidR="00CC75BF" w:rsidRPr="009A677E">
        <w:rPr>
          <w:rFonts w:ascii="Arial" w:hAnsi="Arial" w:cs="Arial"/>
          <w:color w:val="000000" w:themeColor="text1"/>
        </w:rPr>
        <w:t>IP</w:t>
      </w:r>
      <w:r w:rsidR="007928AA" w:rsidRPr="009A677E">
        <w:rPr>
          <w:rFonts w:ascii="Arial" w:hAnsi="Arial" w:cs="Arial"/>
          <w:color w:val="000000" w:themeColor="text1"/>
        </w:rPr>
        <w:t>.</w:t>
      </w:r>
    </w:p>
    <w:p w14:paraId="3E799BA1" w14:textId="77777777" w:rsidR="00C4001E" w:rsidRPr="009A677E" w:rsidRDefault="00C4001E" w:rsidP="00C4001E">
      <w:pPr>
        <w:pStyle w:val="ListParagraph"/>
        <w:rPr>
          <w:rFonts w:ascii="Arial" w:hAnsi="Arial" w:cs="Arial"/>
          <w:color w:val="000000" w:themeColor="text1"/>
        </w:rPr>
      </w:pPr>
    </w:p>
    <w:p w14:paraId="3064925F" w14:textId="06B0C203" w:rsidR="00821790" w:rsidRPr="009A677E" w:rsidRDefault="00E77FF2" w:rsidP="00945070">
      <w:pPr>
        <w:pStyle w:val="ListParagraph"/>
        <w:numPr>
          <w:ilvl w:val="0"/>
          <w:numId w:val="1"/>
        </w:numPr>
        <w:jc w:val="both"/>
        <w:rPr>
          <w:rFonts w:ascii="Arial" w:hAnsi="Arial" w:cs="Arial"/>
          <w:color w:val="000000" w:themeColor="text1"/>
        </w:rPr>
      </w:pPr>
      <w:r w:rsidRPr="009A677E">
        <w:rPr>
          <w:rFonts w:ascii="Arial" w:hAnsi="Arial" w:cs="Arial"/>
          <w:color w:val="000000" w:themeColor="text1"/>
        </w:rPr>
        <w:t xml:space="preserve">Although the </w:t>
      </w:r>
      <w:r w:rsidR="00950F3C" w:rsidRPr="009A677E">
        <w:rPr>
          <w:rFonts w:ascii="Arial" w:hAnsi="Arial" w:cs="Arial"/>
          <w:color w:val="000000" w:themeColor="text1"/>
        </w:rPr>
        <w:t xml:space="preserve">common </w:t>
      </w:r>
      <w:r w:rsidR="007434A0" w:rsidRPr="009A677E">
        <w:rPr>
          <w:rFonts w:ascii="Arial" w:hAnsi="Arial" w:cs="Arial"/>
          <w:color w:val="000000" w:themeColor="text1"/>
        </w:rPr>
        <w:t xml:space="preserve">law of Bermuda is </w:t>
      </w:r>
      <w:r w:rsidR="00D227CA" w:rsidRPr="009A677E">
        <w:rPr>
          <w:rFonts w:ascii="Arial" w:hAnsi="Arial" w:cs="Arial"/>
          <w:color w:val="000000" w:themeColor="text1"/>
        </w:rPr>
        <w:t xml:space="preserve">to a large degree the </w:t>
      </w:r>
      <w:r w:rsidR="00E22820">
        <w:rPr>
          <w:rFonts w:ascii="Arial" w:hAnsi="Arial" w:cs="Arial"/>
          <w:color w:val="000000" w:themeColor="text1"/>
        </w:rPr>
        <w:t xml:space="preserve">same </w:t>
      </w:r>
      <w:r w:rsidR="007434A0" w:rsidRPr="009A677E">
        <w:rPr>
          <w:rFonts w:ascii="Arial" w:hAnsi="Arial" w:cs="Arial"/>
          <w:color w:val="000000" w:themeColor="text1"/>
        </w:rPr>
        <w:t>as that of England</w:t>
      </w:r>
      <w:r w:rsidR="00D227CA" w:rsidRPr="009A677E">
        <w:rPr>
          <w:rFonts w:ascii="Arial" w:hAnsi="Arial" w:cs="Arial"/>
          <w:color w:val="000000" w:themeColor="text1"/>
        </w:rPr>
        <w:t>,</w:t>
      </w:r>
      <w:r w:rsidRPr="009A677E">
        <w:rPr>
          <w:rFonts w:ascii="Arial" w:hAnsi="Arial" w:cs="Arial"/>
          <w:color w:val="000000" w:themeColor="text1"/>
        </w:rPr>
        <w:t xml:space="preserve"> the common law of England </w:t>
      </w:r>
      <w:r w:rsidR="007434A0" w:rsidRPr="009A677E">
        <w:rPr>
          <w:rFonts w:ascii="Arial" w:hAnsi="Arial" w:cs="Arial"/>
          <w:color w:val="000000" w:themeColor="text1"/>
        </w:rPr>
        <w:t xml:space="preserve">concerning cross-border insolvencies has developed to </w:t>
      </w:r>
      <w:r w:rsidRPr="009A677E">
        <w:rPr>
          <w:rFonts w:ascii="Arial" w:hAnsi="Arial" w:cs="Arial"/>
          <w:color w:val="000000" w:themeColor="text1"/>
        </w:rPr>
        <w:t>“</w:t>
      </w:r>
      <w:r w:rsidR="007434A0" w:rsidRPr="009A677E">
        <w:rPr>
          <w:rFonts w:ascii="Arial" w:hAnsi="Arial" w:cs="Arial"/>
          <w:color w:val="000000" w:themeColor="text1"/>
        </w:rPr>
        <w:t>fill the interstices in what is essentially a statutory framework</w:t>
      </w:r>
      <w:r w:rsidRPr="009A677E">
        <w:rPr>
          <w:rFonts w:ascii="Arial" w:hAnsi="Arial" w:cs="Arial"/>
          <w:color w:val="000000" w:themeColor="text1"/>
        </w:rPr>
        <w:t>”</w:t>
      </w:r>
      <w:r w:rsidRPr="009A677E">
        <w:rPr>
          <w:rStyle w:val="FootnoteReference"/>
          <w:rFonts w:ascii="Arial" w:hAnsi="Arial" w:cs="Arial"/>
          <w:color w:val="000000" w:themeColor="text1"/>
        </w:rPr>
        <w:footnoteReference w:id="10"/>
      </w:r>
      <w:r w:rsidR="000950C1" w:rsidRPr="009A677E">
        <w:rPr>
          <w:rFonts w:ascii="Arial" w:hAnsi="Arial" w:cs="Arial"/>
          <w:color w:val="000000" w:themeColor="text1"/>
        </w:rPr>
        <w:t xml:space="preserve">. That statutory framework </w:t>
      </w:r>
      <w:r w:rsidRPr="009A677E">
        <w:rPr>
          <w:rFonts w:ascii="Arial" w:hAnsi="Arial" w:cs="Arial"/>
          <w:color w:val="000000" w:themeColor="text1"/>
        </w:rPr>
        <w:t xml:space="preserve">is not replicated pari materia </w:t>
      </w:r>
      <w:r w:rsidR="007434A0" w:rsidRPr="009A677E">
        <w:rPr>
          <w:rFonts w:ascii="Arial" w:hAnsi="Arial" w:cs="Arial"/>
          <w:color w:val="000000" w:themeColor="text1"/>
        </w:rPr>
        <w:t>in Bermuda</w:t>
      </w:r>
      <w:r w:rsidR="00C4001E" w:rsidRPr="009A677E">
        <w:rPr>
          <w:rFonts w:ascii="Arial" w:hAnsi="Arial" w:cs="Arial"/>
          <w:color w:val="000000" w:themeColor="text1"/>
        </w:rPr>
        <w:t>. C</w:t>
      </w:r>
      <w:r w:rsidR="00E8231D" w:rsidRPr="009A677E">
        <w:rPr>
          <w:rFonts w:ascii="Arial" w:hAnsi="Arial" w:cs="Arial"/>
          <w:color w:val="000000" w:themeColor="text1"/>
        </w:rPr>
        <w:t>ritically</w:t>
      </w:r>
      <w:r w:rsidR="0039374B" w:rsidRPr="009A677E">
        <w:rPr>
          <w:rFonts w:ascii="Arial" w:hAnsi="Arial" w:cs="Arial"/>
          <w:color w:val="000000" w:themeColor="text1"/>
        </w:rPr>
        <w:t>,</w:t>
      </w:r>
      <w:r w:rsidR="00E8231D" w:rsidRPr="009A677E">
        <w:rPr>
          <w:rFonts w:ascii="Arial" w:hAnsi="Arial" w:cs="Arial"/>
          <w:color w:val="000000" w:themeColor="text1"/>
        </w:rPr>
        <w:t xml:space="preserve"> </w:t>
      </w:r>
      <w:r w:rsidR="000950C1" w:rsidRPr="009A677E">
        <w:rPr>
          <w:rFonts w:ascii="Arial" w:hAnsi="Arial" w:cs="Arial"/>
          <w:color w:val="000000" w:themeColor="text1"/>
        </w:rPr>
        <w:t>the ancillary liquidations discussed earlier which are possible in England are not possible under</w:t>
      </w:r>
      <w:r w:rsidR="00DE09A1" w:rsidRPr="009A677E">
        <w:rPr>
          <w:rFonts w:ascii="Arial" w:hAnsi="Arial" w:cs="Arial"/>
          <w:color w:val="000000" w:themeColor="text1"/>
        </w:rPr>
        <w:t xml:space="preserve"> </w:t>
      </w:r>
      <w:r w:rsidR="007434A0" w:rsidRPr="009A677E">
        <w:rPr>
          <w:rFonts w:ascii="Arial" w:hAnsi="Arial" w:cs="Arial"/>
          <w:color w:val="000000" w:themeColor="text1"/>
        </w:rPr>
        <w:t xml:space="preserve">Bermuda </w:t>
      </w:r>
      <w:r w:rsidR="00E550D4" w:rsidRPr="009A677E">
        <w:rPr>
          <w:rFonts w:ascii="Arial" w:hAnsi="Arial" w:cs="Arial"/>
          <w:color w:val="000000" w:themeColor="text1"/>
        </w:rPr>
        <w:t>legislation</w:t>
      </w:r>
      <w:r w:rsidR="007434A0" w:rsidRPr="009A677E">
        <w:rPr>
          <w:rFonts w:ascii="Arial" w:hAnsi="Arial" w:cs="Arial"/>
          <w:color w:val="000000" w:themeColor="text1"/>
        </w:rPr>
        <w:t>.</w:t>
      </w:r>
      <w:r w:rsidR="00FB56AB" w:rsidRPr="009A677E">
        <w:rPr>
          <w:rFonts w:ascii="Arial" w:hAnsi="Arial" w:cs="Arial"/>
          <w:color w:val="000000" w:themeColor="text1"/>
        </w:rPr>
        <w:t xml:space="preserve"> </w:t>
      </w:r>
    </w:p>
    <w:p w14:paraId="30CF9482" w14:textId="77777777" w:rsidR="00C4001E" w:rsidRPr="009A677E" w:rsidRDefault="00C4001E" w:rsidP="00C4001E">
      <w:pPr>
        <w:pStyle w:val="ListParagraph"/>
        <w:rPr>
          <w:rFonts w:ascii="Arial" w:hAnsi="Arial" w:cs="Arial"/>
          <w:color w:val="000000" w:themeColor="text1"/>
        </w:rPr>
      </w:pPr>
    </w:p>
    <w:p w14:paraId="3E587C6D" w14:textId="07B660AE" w:rsidR="00214EFD" w:rsidRPr="009A677E" w:rsidRDefault="00922CA6" w:rsidP="00B42F9E">
      <w:pPr>
        <w:pStyle w:val="ListParagraph"/>
        <w:numPr>
          <w:ilvl w:val="0"/>
          <w:numId w:val="1"/>
        </w:numPr>
        <w:jc w:val="both"/>
        <w:rPr>
          <w:rFonts w:ascii="Arial" w:hAnsi="Arial" w:cs="Arial"/>
          <w:color w:val="000000" w:themeColor="text1"/>
        </w:rPr>
      </w:pPr>
      <w:r w:rsidRPr="009A677E">
        <w:rPr>
          <w:rFonts w:ascii="Arial" w:hAnsi="Arial" w:cs="Arial"/>
          <w:color w:val="000000" w:themeColor="text1"/>
        </w:rPr>
        <w:t xml:space="preserve">Once again, the </w:t>
      </w:r>
      <w:r w:rsidR="004F0656" w:rsidRPr="009A677E">
        <w:rPr>
          <w:rFonts w:ascii="Arial" w:hAnsi="Arial" w:cs="Arial"/>
          <w:color w:val="000000" w:themeColor="text1"/>
        </w:rPr>
        <w:t>South Africa</w:t>
      </w:r>
      <w:r w:rsidR="006B0B91" w:rsidRPr="009A677E">
        <w:rPr>
          <w:rFonts w:ascii="Arial" w:hAnsi="Arial" w:cs="Arial"/>
          <w:color w:val="000000" w:themeColor="text1"/>
        </w:rPr>
        <w:t xml:space="preserve"> </w:t>
      </w:r>
      <w:r w:rsidRPr="009A677E">
        <w:rPr>
          <w:rFonts w:ascii="Arial" w:hAnsi="Arial" w:cs="Arial"/>
          <w:color w:val="000000" w:themeColor="text1"/>
        </w:rPr>
        <w:t>case</w:t>
      </w:r>
      <w:r w:rsidR="00630B78" w:rsidRPr="009A677E">
        <w:rPr>
          <w:rFonts w:ascii="Arial" w:hAnsi="Arial" w:cs="Arial"/>
          <w:color w:val="000000" w:themeColor="text1"/>
        </w:rPr>
        <w:t xml:space="preserve"> </w:t>
      </w:r>
      <w:bookmarkStart w:id="0" w:name="_Hlk91576996"/>
      <w:r w:rsidR="00214EFD" w:rsidRPr="00E22820">
        <w:rPr>
          <w:rFonts w:ascii="Arial" w:hAnsi="Arial" w:cs="Arial"/>
          <w:i/>
          <w:iCs/>
          <w:color w:val="000000" w:themeColor="text1"/>
        </w:rPr>
        <w:t>In re African Farms Ltd</w:t>
      </w:r>
      <w:bookmarkEnd w:id="0"/>
      <w:r w:rsidRPr="009A677E">
        <w:rPr>
          <w:rFonts w:ascii="Arial" w:hAnsi="Arial" w:cs="Arial"/>
          <w:color w:val="000000" w:themeColor="text1"/>
        </w:rPr>
        <w:t>,</w:t>
      </w:r>
      <w:r w:rsidR="00C4001E" w:rsidRPr="009A677E">
        <w:rPr>
          <w:rFonts w:ascii="Arial" w:hAnsi="Arial" w:cs="Arial"/>
          <w:color w:val="000000" w:themeColor="text1"/>
        </w:rPr>
        <w:t xml:space="preserve"> which was also cited in </w:t>
      </w:r>
      <w:r w:rsidR="00C4001E" w:rsidRPr="00E22820">
        <w:rPr>
          <w:rFonts w:ascii="Arial" w:hAnsi="Arial" w:cs="Arial"/>
          <w:i/>
          <w:iCs/>
          <w:color w:val="000000" w:themeColor="text1"/>
        </w:rPr>
        <w:t>Cambridge Gas</w:t>
      </w:r>
      <w:r w:rsidRPr="009A677E">
        <w:rPr>
          <w:rFonts w:ascii="Arial" w:hAnsi="Arial" w:cs="Arial"/>
          <w:color w:val="000000" w:themeColor="text1"/>
          <w:u w:val="single"/>
        </w:rPr>
        <w:t>,</w:t>
      </w:r>
      <w:r w:rsidRPr="009A677E">
        <w:rPr>
          <w:rFonts w:ascii="Arial" w:hAnsi="Arial" w:cs="Arial"/>
          <w:color w:val="000000" w:themeColor="text1"/>
        </w:rPr>
        <w:t xml:space="preserve"> played a prominent role</w:t>
      </w:r>
      <w:r w:rsidR="00DD2F34" w:rsidRPr="009A677E">
        <w:rPr>
          <w:rFonts w:ascii="Arial" w:hAnsi="Arial" w:cs="Arial"/>
          <w:color w:val="000000" w:themeColor="text1"/>
        </w:rPr>
        <w:t>.</w:t>
      </w:r>
      <w:r w:rsidR="004F0656" w:rsidRPr="009A677E">
        <w:rPr>
          <w:rFonts w:ascii="Arial" w:hAnsi="Arial" w:cs="Arial"/>
          <w:color w:val="000000" w:themeColor="text1"/>
        </w:rPr>
        <w:t xml:space="preserve"> In</w:t>
      </w:r>
      <w:r w:rsidR="00BA16F4">
        <w:rPr>
          <w:rFonts w:ascii="Arial" w:hAnsi="Arial" w:cs="Arial"/>
          <w:color w:val="000000" w:themeColor="text1"/>
        </w:rPr>
        <w:t xml:space="preserve"> </w:t>
      </w:r>
      <w:r w:rsidR="00BA16F4" w:rsidRPr="00E22820">
        <w:rPr>
          <w:rFonts w:ascii="Arial" w:hAnsi="Arial" w:cs="Arial"/>
          <w:i/>
          <w:iCs/>
          <w:color w:val="000000" w:themeColor="text1"/>
        </w:rPr>
        <w:t>In</w:t>
      </w:r>
      <w:r w:rsidR="004F0656" w:rsidRPr="00E22820">
        <w:rPr>
          <w:rFonts w:ascii="Arial" w:hAnsi="Arial" w:cs="Arial"/>
          <w:i/>
          <w:iCs/>
          <w:color w:val="000000" w:themeColor="text1"/>
        </w:rPr>
        <w:t xml:space="preserve"> re African Farms Ltd</w:t>
      </w:r>
      <w:r w:rsidR="004F0656" w:rsidRPr="009A677E">
        <w:rPr>
          <w:rFonts w:ascii="Arial" w:hAnsi="Arial" w:cs="Arial"/>
          <w:color w:val="000000" w:themeColor="text1"/>
        </w:rPr>
        <w:t xml:space="preserve"> African Farms Ltd was an English company in liquidation with assets in the Transvaal. There was no power to wind it up in the Transvaal for reasons related to the company’s corporate structure and the legislation relating </w:t>
      </w:r>
      <w:r w:rsidR="00A23741" w:rsidRPr="009A677E">
        <w:rPr>
          <w:rFonts w:ascii="Arial" w:hAnsi="Arial" w:cs="Arial"/>
          <w:color w:val="000000" w:themeColor="text1"/>
        </w:rPr>
        <w:t xml:space="preserve">to </w:t>
      </w:r>
      <w:r w:rsidR="004F0656" w:rsidRPr="009A677E">
        <w:rPr>
          <w:rFonts w:ascii="Arial" w:hAnsi="Arial" w:cs="Arial"/>
          <w:color w:val="000000" w:themeColor="text1"/>
        </w:rPr>
        <w:t xml:space="preserve">winding up in Transvaal. The leading judgment </w:t>
      </w:r>
      <w:r w:rsidR="00AA0042" w:rsidRPr="009A677E">
        <w:rPr>
          <w:rFonts w:ascii="Arial" w:hAnsi="Arial" w:cs="Arial"/>
          <w:color w:val="000000" w:themeColor="text1"/>
        </w:rPr>
        <w:t xml:space="preserve">of </w:t>
      </w:r>
      <w:r w:rsidR="004F0656" w:rsidRPr="009A677E">
        <w:rPr>
          <w:rFonts w:ascii="Arial" w:hAnsi="Arial" w:cs="Arial"/>
          <w:color w:val="000000" w:themeColor="text1"/>
        </w:rPr>
        <w:t>Sir James Rose Innes, then Chief Justice of the Transvaal</w:t>
      </w:r>
      <w:r w:rsidR="00AA0042" w:rsidRPr="009A677E">
        <w:rPr>
          <w:rFonts w:ascii="Arial" w:hAnsi="Arial" w:cs="Arial"/>
          <w:color w:val="000000" w:themeColor="text1"/>
        </w:rPr>
        <w:t xml:space="preserve">, in explaining his decision focused on the utility </w:t>
      </w:r>
      <w:r w:rsidR="009071E7" w:rsidRPr="009A677E">
        <w:rPr>
          <w:rFonts w:ascii="Arial" w:hAnsi="Arial" w:cs="Arial"/>
          <w:color w:val="000000" w:themeColor="text1"/>
        </w:rPr>
        <w:t xml:space="preserve">to cross-border insolvency proceedings </w:t>
      </w:r>
      <w:r w:rsidR="00AA0042" w:rsidRPr="009A677E">
        <w:rPr>
          <w:rFonts w:ascii="Arial" w:hAnsi="Arial" w:cs="Arial"/>
          <w:color w:val="000000" w:themeColor="text1"/>
        </w:rPr>
        <w:t xml:space="preserve">of the proposed approach in comparison to the </w:t>
      </w:r>
      <w:r w:rsidR="009071E7" w:rsidRPr="009A677E">
        <w:rPr>
          <w:rFonts w:ascii="Arial" w:hAnsi="Arial" w:cs="Arial"/>
          <w:color w:val="000000" w:themeColor="text1"/>
        </w:rPr>
        <w:t xml:space="preserve">corresponding </w:t>
      </w:r>
      <w:r w:rsidR="00AA0042" w:rsidRPr="009A677E">
        <w:rPr>
          <w:rFonts w:ascii="Arial" w:hAnsi="Arial" w:cs="Arial"/>
          <w:color w:val="000000" w:themeColor="text1"/>
        </w:rPr>
        <w:t xml:space="preserve">disutility </w:t>
      </w:r>
      <w:r w:rsidR="009071E7" w:rsidRPr="009A677E">
        <w:rPr>
          <w:rFonts w:ascii="Arial" w:hAnsi="Arial" w:cs="Arial"/>
          <w:color w:val="000000" w:themeColor="text1"/>
        </w:rPr>
        <w:t>if no such rule were adopted:</w:t>
      </w:r>
    </w:p>
    <w:p w14:paraId="5D3F6774" w14:textId="402B59CB" w:rsidR="007224A2" w:rsidRPr="009A677E" w:rsidRDefault="009071E7" w:rsidP="00B42F9E">
      <w:pPr>
        <w:ind w:left="1080"/>
        <w:jc w:val="both"/>
        <w:rPr>
          <w:rFonts w:ascii="Arial" w:hAnsi="Arial" w:cs="Arial"/>
          <w:color w:val="000000" w:themeColor="text1"/>
        </w:rPr>
      </w:pPr>
      <w:r w:rsidRPr="009A677E">
        <w:rPr>
          <w:rFonts w:ascii="Arial" w:hAnsi="Arial" w:cs="Arial"/>
          <w:color w:val="000000" w:themeColor="text1"/>
        </w:rPr>
        <w:t>“</w:t>
      </w:r>
      <w:r w:rsidR="007224A2" w:rsidRPr="009A677E">
        <w:rPr>
          <w:rFonts w:ascii="Arial" w:hAnsi="Arial" w:cs="Arial"/>
          <w:color w:val="000000" w:themeColor="text1"/>
        </w:rPr>
        <w:t xml:space="preserve">It only remains to consider whether we are justified in </w:t>
      </w:r>
      <w:r w:rsidR="00A23741" w:rsidRPr="009A677E">
        <w:rPr>
          <w:rFonts w:ascii="Arial" w:hAnsi="Arial" w:cs="Arial"/>
          <w:color w:val="000000" w:themeColor="text1"/>
        </w:rPr>
        <w:t xml:space="preserve">recognizing </w:t>
      </w:r>
      <w:r w:rsidR="007224A2" w:rsidRPr="009A677E">
        <w:rPr>
          <w:rFonts w:ascii="Arial" w:hAnsi="Arial" w:cs="Arial"/>
          <w:color w:val="000000" w:themeColor="text1"/>
        </w:rPr>
        <w:t>the position of the English liquidator. And by that expression I do</w:t>
      </w:r>
      <w:r w:rsidR="00A23741" w:rsidRPr="009A677E">
        <w:rPr>
          <w:rFonts w:ascii="Arial" w:hAnsi="Arial" w:cs="Arial"/>
          <w:color w:val="000000" w:themeColor="text1"/>
        </w:rPr>
        <w:t xml:space="preserve"> </w:t>
      </w:r>
      <w:r w:rsidR="007224A2" w:rsidRPr="009A677E">
        <w:rPr>
          <w:rFonts w:ascii="Arial" w:hAnsi="Arial" w:cs="Arial"/>
          <w:color w:val="000000" w:themeColor="text1"/>
        </w:rPr>
        <w:t>not mean a recognition which consists in a mere acknowledgment of the fact that the liquidator has been appointed as such in</w:t>
      </w:r>
      <w:r w:rsidR="00A23741" w:rsidRPr="009A677E">
        <w:rPr>
          <w:rFonts w:ascii="Arial" w:hAnsi="Arial" w:cs="Arial"/>
          <w:color w:val="000000" w:themeColor="text1"/>
        </w:rPr>
        <w:t xml:space="preserve"> </w:t>
      </w:r>
      <w:r w:rsidR="007224A2" w:rsidRPr="009A677E">
        <w:rPr>
          <w:rFonts w:ascii="Arial" w:hAnsi="Arial" w:cs="Arial"/>
          <w:color w:val="000000" w:themeColor="text1"/>
        </w:rPr>
        <w:t>England, and that he is the representative of the company here; I</w:t>
      </w:r>
      <w:r w:rsidR="00A23741" w:rsidRPr="009A677E">
        <w:rPr>
          <w:rFonts w:ascii="Arial" w:hAnsi="Arial" w:cs="Arial"/>
          <w:color w:val="000000" w:themeColor="text1"/>
        </w:rPr>
        <w:t xml:space="preserve"> </w:t>
      </w:r>
      <w:r w:rsidR="007224A2" w:rsidRPr="009A677E">
        <w:rPr>
          <w:rFonts w:ascii="Arial" w:hAnsi="Arial" w:cs="Arial"/>
          <w:color w:val="000000" w:themeColor="text1"/>
        </w:rPr>
        <w:t>mean a recognition which carries with it the active assistance of</w:t>
      </w:r>
      <w:r w:rsidR="00A23741" w:rsidRPr="009A677E">
        <w:rPr>
          <w:rFonts w:ascii="Arial" w:hAnsi="Arial" w:cs="Arial"/>
          <w:color w:val="000000" w:themeColor="text1"/>
        </w:rPr>
        <w:t xml:space="preserve"> </w:t>
      </w:r>
      <w:r w:rsidR="007224A2" w:rsidRPr="009A677E">
        <w:rPr>
          <w:rFonts w:ascii="Arial" w:hAnsi="Arial" w:cs="Arial"/>
          <w:color w:val="000000" w:themeColor="text1"/>
        </w:rPr>
        <w:t>the Court. A declaration, in effect, that the liquidator is entitled to</w:t>
      </w:r>
      <w:r w:rsidR="00A23741" w:rsidRPr="009A677E">
        <w:rPr>
          <w:rFonts w:ascii="Arial" w:hAnsi="Arial" w:cs="Arial"/>
          <w:color w:val="000000" w:themeColor="text1"/>
        </w:rPr>
        <w:t xml:space="preserve"> </w:t>
      </w:r>
      <w:r w:rsidR="007224A2" w:rsidRPr="009A677E">
        <w:rPr>
          <w:rFonts w:ascii="Arial" w:hAnsi="Arial" w:cs="Arial"/>
          <w:color w:val="000000" w:themeColor="text1"/>
        </w:rPr>
        <w:t>deal with the Transvaal assets in the same way as if they were</w:t>
      </w:r>
      <w:r w:rsidR="00A23741" w:rsidRPr="009A677E">
        <w:rPr>
          <w:rFonts w:ascii="Arial" w:hAnsi="Arial" w:cs="Arial"/>
          <w:color w:val="000000" w:themeColor="text1"/>
        </w:rPr>
        <w:t xml:space="preserve"> </w:t>
      </w:r>
      <w:r w:rsidR="007224A2" w:rsidRPr="009A677E">
        <w:rPr>
          <w:rFonts w:ascii="Arial" w:hAnsi="Arial" w:cs="Arial"/>
          <w:color w:val="000000" w:themeColor="text1"/>
        </w:rPr>
        <w:t>within the jurisdiction of the English courts, subject only to such</w:t>
      </w:r>
      <w:r w:rsidR="00A23741" w:rsidRPr="009A677E">
        <w:rPr>
          <w:rFonts w:ascii="Arial" w:hAnsi="Arial" w:cs="Arial"/>
          <w:color w:val="000000" w:themeColor="text1"/>
        </w:rPr>
        <w:t xml:space="preserve"> </w:t>
      </w:r>
      <w:r w:rsidR="007224A2" w:rsidRPr="009A677E">
        <w:rPr>
          <w:rFonts w:ascii="Arial" w:hAnsi="Arial" w:cs="Arial"/>
          <w:color w:val="000000" w:themeColor="text1"/>
        </w:rPr>
        <w:t xml:space="preserve">conditions as the Court </w:t>
      </w:r>
      <w:r w:rsidR="007224A2" w:rsidRPr="009A677E">
        <w:rPr>
          <w:rFonts w:ascii="Arial" w:hAnsi="Arial" w:cs="Arial"/>
          <w:color w:val="000000" w:themeColor="text1"/>
        </w:rPr>
        <w:lastRenderedPageBreak/>
        <w:t>may impose for the protection of local</w:t>
      </w:r>
      <w:r w:rsidR="00A23741" w:rsidRPr="009A677E">
        <w:rPr>
          <w:rFonts w:ascii="Arial" w:hAnsi="Arial" w:cs="Arial"/>
          <w:color w:val="000000" w:themeColor="text1"/>
        </w:rPr>
        <w:t xml:space="preserve"> </w:t>
      </w:r>
      <w:r w:rsidR="007224A2" w:rsidRPr="009A677E">
        <w:rPr>
          <w:rFonts w:ascii="Arial" w:hAnsi="Arial" w:cs="Arial"/>
          <w:color w:val="000000" w:themeColor="text1"/>
        </w:rPr>
        <w:t>creditors, or in recognition of the requirements of our local laws.</w:t>
      </w:r>
    </w:p>
    <w:p w14:paraId="286A6E90" w14:textId="67947F17" w:rsidR="007224A2" w:rsidRPr="009A677E" w:rsidRDefault="007224A2" w:rsidP="00B42F9E">
      <w:pPr>
        <w:ind w:left="1080"/>
        <w:jc w:val="both"/>
        <w:rPr>
          <w:rFonts w:ascii="Arial" w:hAnsi="Arial" w:cs="Arial"/>
          <w:color w:val="000000" w:themeColor="text1"/>
        </w:rPr>
      </w:pPr>
      <w:r w:rsidRPr="009A677E">
        <w:rPr>
          <w:rFonts w:ascii="Arial" w:hAnsi="Arial" w:cs="Arial"/>
          <w:color w:val="000000" w:themeColor="text1"/>
        </w:rPr>
        <w:t>If we are able in that sense to recognise and assist the liquidator,</w:t>
      </w:r>
      <w:r w:rsidR="00A23741" w:rsidRPr="009A677E">
        <w:rPr>
          <w:rFonts w:ascii="Arial" w:hAnsi="Arial" w:cs="Arial"/>
          <w:color w:val="000000" w:themeColor="text1"/>
        </w:rPr>
        <w:t xml:space="preserve"> </w:t>
      </w:r>
      <w:r w:rsidRPr="009A677E">
        <w:rPr>
          <w:rFonts w:ascii="Arial" w:hAnsi="Arial" w:cs="Arial"/>
          <w:color w:val="000000" w:themeColor="text1"/>
        </w:rPr>
        <w:t>then I thin[k] we should do so; because in that way only will the</w:t>
      </w:r>
      <w:r w:rsidR="00A23741" w:rsidRPr="009A677E">
        <w:rPr>
          <w:rFonts w:ascii="Arial" w:hAnsi="Arial" w:cs="Arial"/>
          <w:color w:val="000000" w:themeColor="text1"/>
        </w:rPr>
        <w:t xml:space="preserve"> </w:t>
      </w:r>
      <w:r w:rsidRPr="009A677E">
        <w:rPr>
          <w:rFonts w:ascii="Arial" w:hAnsi="Arial" w:cs="Arial"/>
          <w:color w:val="000000" w:themeColor="text1"/>
        </w:rPr>
        <w:t>assets here be duly divided and properly applied in satisfaction of</w:t>
      </w:r>
      <w:r w:rsidR="00A23741" w:rsidRPr="009A677E">
        <w:rPr>
          <w:rFonts w:ascii="Arial" w:hAnsi="Arial" w:cs="Arial"/>
          <w:color w:val="000000" w:themeColor="text1"/>
        </w:rPr>
        <w:t xml:space="preserve"> </w:t>
      </w:r>
      <w:r w:rsidRPr="009A677E">
        <w:rPr>
          <w:rFonts w:ascii="Arial" w:hAnsi="Arial" w:cs="Arial"/>
          <w:color w:val="000000" w:themeColor="text1"/>
        </w:rPr>
        <w:t>the company's debts. If we cannot do so, then this result follows,</w:t>
      </w:r>
      <w:r w:rsidR="00A23741" w:rsidRPr="009A677E">
        <w:rPr>
          <w:rFonts w:ascii="Arial" w:hAnsi="Arial" w:cs="Arial"/>
          <w:color w:val="000000" w:themeColor="text1"/>
        </w:rPr>
        <w:t xml:space="preserve"> </w:t>
      </w:r>
      <w:r w:rsidRPr="009A677E">
        <w:rPr>
          <w:rFonts w:ascii="Arial" w:hAnsi="Arial" w:cs="Arial"/>
          <w:color w:val="000000" w:themeColor="text1"/>
        </w:rPr>
        <w:t>that the directors cannot deal with the property here, and that the</w:t>
      </w:r>
      <w:r w:rsidR="00A23741" w:rsidRPr="009A677E">
        <w:rPr>
          <w:rFonts w:ascii="Arial" w:hAnsi="Arial" w:cs="Arial"/>
          <w:color w:val="000000" w:themeColor="text1"/>
        </w:rPr>
        <w:t xml:space="preserve"> </w:t>
      </w:r>
      <w:r w:rsidRPr="009A677E">
        <w:rPr>
          <w:rFonts w:ascii="Arial" w:hAnsi="Arial" w:cs="Arial"/>
          <w:color w:val="000000" w:themeColor="text1"/>
        </w:rPr>
        <w:t>liquidator cannot prevent creditors seizing it in execution of their</w:t>
      </w:r>
      <w:r w:rsidR="00A23741" w:rsidRPr="009A677E">
        <w:rPr>
          <w:rFonts w:ascii="Arial" w:hAnsi="Arial" w:cs="Arial"/>
          <w:color w:val="000000" w:themeColor="text1"/>
        </w:rPr>
        <w:t xml:space="preserve"> </w:t>
      </w:r>
      <w:r w:rsidRPr="009A677E">
        <w:rPr>
          <w:rFonts w:ascii="Arial" w:hAnsi="Arial" w:cs="Arial"/>
          <w:color w:val="000000" w:themeColor="text1"/>
        </w:rPr>
        <w:t>judgments. Unnecessary expenses will be incurred, and the estate</w:t>
      </w:r>
      <w:r w:rsidR="00A23741" w:rsidRPr="009A677E">
        <w:rPr>
          <w:rFonts w:ascii="Arial" w:hAnsi="Arial" w:cs="Arial"/>
          <w:color w:val="000000" w:themeColor="text1"/>
        </w:rPr>
        <w:t xml:space="preserve"> </w:t>
      </w:r>
      <w:r w:rsidRPr="009A677E">
        <w:rPr>
          <w:rFonts w:ascii="Arial" w:hAnsi="Arial" w:cs="Arial"/>
          <w:color w:val="000000" w:themeColor="text1"/>
        </w:rPr>
        <w:t>will be left to be scrambled for among those creditors who are in a</w:t>
      </w:r>
      <w:r w:rsidR="00A23741" w:rsidRPr="009A677E">
        <w:rPr>
          <w:rFonts w:ascii="Arial" w:hAnsi="Arial" w:cs="Arial"/>
          <w:color w:val="000000" w:themeColor="text1"/>
        </w:rPr>
        <w:t xml:space="preserve"> </w:t>
      </w:r>
      <w:r w:rsidRPr="009A677E">
        <w:rPr>
          <w:rFonts w:ascii="Arial" w:hAnsi="Arial" w:cs="Arial"/>
          <w:color w:val="000000" w:themeColor="text1"/>
        </w:rPr>
        <w:t>position to enforce their claims.”</w:t>
      </w:r>
      <w:r w:rsidR="009C2654">
        <w:rPr>
          <w:rStyle w:val="FootnoteReference"/>
          <w:rFonts w:ascii="Arial" w:hAnsi="Arial" w:cs="Arial"/>
          <w:color w:val="000000" w:themeColor="text1"/>
        </w:rPr>
        <w:footnoteReference w:id="11"/>
      </w:r>
    </w:p>
    <w:p w14:paraId="5B7D8D8E" w14:textId="10A8DCB5" w:rsidR="007224A2" w:rsidRPr="009A677E" w:rsidRDefault="00821790" w:rsidP="00821790">
      <w:pPr>
        <w:pStyle w:val="ListParagraph"/>
        <w:numPr>
          <w:ilvl w:val="0"/>
          <w:numId w:val="1"/>
        </w:numPr>
        <w:jc w:val="both"/>
        <w:rPr>
          <w:rFonts w:ascii="Arial" w:hAnsi="Arial" w:cs="Arial"/>
          <w:color w:val="000000" w:themeColor="text1"/>
        </w:rPr>
      </w:pPr>
      <w:r w:rsidRPr="009A677E">
        <w:rPr>
          <w:rFonts w:ascii="Arial" w:hAnsi="Arial" w:cs="Arial"/>
          <w:color w:val="000000" w:themeColor="text1"/>
        </w:rPr>
        <w:t>The English officeholder</w:t>
      </w:r>
      <w:r w:rsidR="00B43186" w:rsidRPr="009A677E">
        <w:rPr>
          <w:rFonts w:ascii="Arial" w:hAnsi="Arial" w:cs="Arial"/>
          <w:color w:val="000000" w:themeColor="text1"/>
        </w:rPr>
        <w:t>’s entitlement</w:t>
      </w:r>
      <w:r w:rsidRPr="009A677E">
        <w:rPr>
          <w:rFonts w:ascii="Arial" w:hAnsi="Arial" w:cs="Arial"/>
          <w:color w:val="000000" w:themeColor="text1"/>
        </w:rPr>
        <w:t xml:space="preserve"> to</w:t>
      </w:r>
      <w:r w:rsidR="00B43186" w:rsidRPr="009A677E">
        <w:rPr>
          <w:rFonts w:ascii="Arial" w:hAnsi="Arial" w:cs="Arial"/>
          <w:color w:val="000000" w:themeColor="text1"/>
        </w:rPr>
        <w:t xml:space="preserve"> conduct the estate and</w:t>
      </w:r>
      <w:r w:rsidRPr="009A677E">
        <w:rPr>
          <w:rFonts w:ascii="Arial" w:hAnsi="Arial" w:cs="Arial"/>
          <w:color w:val="000000" w:themeColor="text1"/>
        </w:rPr>
        <w:t xml:space="preserve"> deal with</w:t>
      </w:r>
      <w:r w:rsidR="007224A2" w:rsidRPr="009A677E">
        <w:rPr>
          <w:rFonts w:ascii="Arial" w:hAnsi="Arial" w:cs="Arial"/>
          <w:color w:val="000000" w:themeColor="text1"/>
        </w:rPr>
        <w:t xml:space="preserve"> the company’s assets in the Transvaal</w:t>
      </w:r>
      <w:r w:rsidRPr="009A677E">
        <w:rPr>
          <w:rFonts w:ascii="Arial" w:hAnsi="Arial" w:cs="Arial"/>
          <w:color w:val="000000" w:themeColor="text1"/>
        </w:rPr>
        <w:t xml:space="preserve"> </w:t>
      </w:r>
      <w:r w:rsidR="00B43186" w:rsidRPr="009A677E">
        <w:rPr>
          <w:rFonts w:ascii="Arial" w:hAnsi="Arial" w:cs="Arial"/>
          <w:i/>
          <w:iCs/>
          <w:color w:val="000000" w:themeColor="text1"/>
        </w:rPr>
        <w:t>as if</w:t>
      </w:r>
      <w:r w:rsidR="00B43186" w:rsidRPr="009A677E">
        <w:rPr>
          <w:rFonts w:ascii="Arial" w:hAnsi="Arial" w:cs="Arial"/>
          <w:color w:val="000000" w:themeColor="text1"/>
        </w:rPr>
        <w:t xml:space="preserve"> they were in the jurisdiction of the Company’s domicile </w:t>
      </w:r>
      <w:r w:rsidRPr="009A677E">
        <w:rPr>
          <w:rFonts w:ascii="Arial" w:hAnsi="Arial" w:cs="Arial"/>
          <w:color w:val="000000" w:themeColor="text1"/>
        </w:rPr>
        <w:t xml:space="preserve">was recognised </w:t>
      </w:r>
      <w:r w:rsidR="00E959C5" w:rsidRPr="009A677E">
        <w:rPr>
          <w:rFonts w:ascii="Arial" w:hAnsi="Arial" w:cs="Arial"/>
          <w:color w:val="000000" w:themeColor="text1"/>
        </w:rPr>
        <w:t>subject to the discretion of the Court to impose conditions for the protection of creditors and local laws</w:t>
      </w:r>
      <w:r w:rsidR="00CF26B8" w:rsidRPr="009A677E">
        <w:rPr>
          <w:rFonts w:ascii="Arial" w:hAnsi="Arial" w:cs="Arial"/>
          <w:color w:val="000000" w:themeColor="text1"/>
        </w:rPr>
        <w:t>.</w:t>
      </w:r>
      <w:r w:rsidR="007224A2" w:rsidRPr="009A677E">
        <w:rPr>
          <w:rFonts w:ascii="Arial" w:hAnsi="Arial" w:cs="Arial"/>
          <w:color w:val="000000" w:themeColor="text1"/>
        </w:rPr>
        <w:t xml:space="preserve"> </w:t>
      </w:r>
    </w:p>
    <w:p w14:paraId="3927B6B0" w14:textId="77777777" w:rsidR="00B43186" w:rsidRPr="009A677E" w:rsidRDefault="00B43186" w:rsidP="00B43186">
      <w:pPr>
        <w:pStyle w:val="ListParagraph"/>
        <w:jc w:val="both"/>
        <w:rPr>
          <w:rFonts w:ascii="Arial" w:hAnsi="Arial" w:cs="Arial"/>
          <w:color w:val="000000" w:themeColor="text1"/>
        </w:rPr>
      </w:pPr>
    </w:p>
    <w:p w14:paraId="05BBEDFD" w14:textId="73F4FF36" w:rsidR="00867BC9" w:rsidRPr="009A677E" w:rsidRDefault="0067153E" w:rsidP="00945070">
      <w:pPr>
        <w:pStyle w:val="ListParagraph"/>
        <w:numPr>
          <w:ilvl w:val="0"/>
          <w:numId w:val="1"/>
        </w:numPr>
        <w:jc w:val="both"/>
        <w:rPr>
          <w:rFonts w:ascii="Arial" w:hAnsi="Arial" w:cs="Arial"/>
          <w:color w:val="000000" w:themeColor="text1"/>
        </w:rPr>
      </w:pPr>
      <w:r w:rsidRPr="009A677E">
        <w:rPr>
          <w:rFonts w:ascii="Arial" w:hAnsi="Arial" w:cs="Arial"/>
          <w:color w:val="000000" w:themeColor="text1"/>
        </w:rPr>
        <w:t xml:space="preserve">In addressing the decision </w:t>
      </w:r>
      <w:r w:rsidRPr="00877148">
        <w:rPr>
          <w:rFonts w:ascii="Arial" w:hAnsi="Arial" w:cs="Arial"/>
          <w:color w:val="000000" w:themeColor="text1"/>
        </w:rPr>
        <w:t xml:space="preserve">in </w:t>
      </w:r>
      <w:r w:rsidRPr="00877148">
        <w:rPr>
          <w:rFonts w:ascii="Arial" w:hAnsi="Arial" w:cs="Arial"/>
          <w:i/>
          <w:iCs/>
          <w:color w:val="000000" w:themeColor="text1"/>
        </w:rPr>
        <w:t>Cambridge Gas</w:t>
      </w:r>
      <w:r w:rsidR="009C2654" w:rsidRPr="00877148">
        <w:rPr>
          <w:rFonts w:ascii="Arial" w:hAnsi="Arial" w:cs="Arial"/>
          <w:color w:val="000000" w:themeColor="text1"/>
        </w:rPr>
        <w:t xml:space="preserve"> in juxtaposition to </w:t>
      </w:r>
      <w:r w:rsidR="009C2654" w:rsidRPr="00877148">
        <w:rPr>
          <w:rFonts w:ascii="Arial" w:hAnsi="Arial" w:cs="Arial"/>
          <w:i/>
          <w:iCs/>
          <w:color w:val="000000" w:themeColor="text1"/>
        </w:rPr>
        <w:t>In re African Farms Ltd</w:t>
      </w:r>
      <w:r w:rsidR="006B5888" w:rsidRPr="009A677E">
        <w:rPr>
          <w:rFonts w:ascii="Arial" w:hAnsi="Arial" w:cs="Arial"/>
          <w:color w:val="000000" w:themeColor="text1"/>
        </w:rPr>
        <w:t xml:space="preserve">, </w:t>
      </w:r>
      <w:r w:rsidR="00922CA6" w:rsidRPr="009A677E">
        <w:rPr>
          <w:rFonts w:ascii="Arial" w:hAnsi="Arial" w:cs="Arial"/>
          <w:color w:val="000000" w:themeColor="text1"/>
        </w:rPr>
        <w:t>Lord Sumption</w:t>
      </w:r>
      <w:r w:rsidR="00137495" w:rsidRPr="009A677E">
        <w:rPr>
          <w:rFonts w:ascii="Arial" w:hAnsi="Arial" w:cs="Arial"/>
          <w:color w:val="000000" w:themeColor="text1"/>
        </w:rPr>
        <w:t xml:space="preserve"> conceded that </w:t>
      </w:r>
      <w:r w:rsidR="00877148">
        <w:rPr>
          <w:rFonts w:ascii="Arial" w:hAnsi="Arial" w:cs="Arial"/>
          <w:color w:val="000000" w:themeColor="text1"/>
        </w:rPr>
        <w:t>though the</w:t>
      </w:r>
      <w:r w:rsidR="00137495" w:rsidRPr="009A677E">
        <w:rPr>
          <w:rFonts w:ascii="Arial" w:hAnsi="Arial" w:cs="Arial"/>
          <w:color w:val="000000" w:themeColor="text1"/>
        </w:rPr>
        <w:t xml:space="preserve"> principle of </w:t>
      </w:r>
      <w:r w:rsidR="00922CA6" w:rsidRPr="009A677E">
        <w:rPr>
          <w:rFonts w:ascii="Arial" w:hAnsi="Arial" w:cs="Arial"/>
          <w:color w:val="000000" w:themeColor="text1"/>
        </w:rPr>
        <w:t xml:space="preserve">Modified Universalism </w:t>
      </w:r>
      <w:r w:rsidR="00922A36" w:rsidRPr="009A677E">
        <w:rPr>
          <w:rFonts w:ascii="Arial" w:hAnsi="Arial" w:cs="Arial"/>
          <w:color w:val="000000" w:themeColor="text1"/>
        </w:rPr>
        <w:t xml:space="preserve">was part of the common law, it was important to </w:t>
      </w:r>
      <w:r w:rsidR="00F55E41" w:rsidRPr="009A677E">
        <w:rPr>
          <w:rFonts w:ascii="Arial" w:hAnsi="Arial" w:cs="Arial"/>
          <w:color w:val="000000" w:themeColor="text1"/>
        </w:rPr>
        <w:t xml:space="preserve">be cognizant </w:t>
      </w:r>
      <w:r w:rsidR="00C376D3" w:rsidRPr="009A677E">
        <w:rPr>
          <w:rFonts w:ascii="Arial" w:hAnsi="Arial" w:cs="Arial"/>
          <w:color w:val="000000" w:themeColor="text1"/>
        </w:rPr>
        <w:t>that</w:t>
      </w:r>
      <w:r w:rsidR="00877148">
        <w:rPr>
          <w:rFonts w:ascii="Arial" w:hAnsi="Arial" w:cs="Arial"/>
          <w:color w:val="000000" w:themeColor="text1"/>
        </w:rPr>
        <w:t xml:space="preserve"> that was </w:t>
      </w:r>
      <w:r w:rsidR="00922A36" w:rsidRPr="009A677E">
        <w:rPr>
          <w:rFonts w:ascii="Arial" w:hAnsi="Arial" w:cs="Arial"/>
          <w:color w:val="000000" w:themeColor="text1"/>
        </w:rPr>
        <w:t>subject to local law and policy and that the court may only act within the ambit of the common law and the jurisdiction’s statutory framework.</w:t>
      </w:r>
      <w:r w:rsidR="00C376D3" w:rsidRPr="009A677E">
        <w:rPr>
          <w:rFonts w:ascii="Arial" w:hAnsi="Arial" w:cs="Arial"/>
          <w:color w:val="000000" w:themeColor="text1"/>
        </w:rPr>
        <w:t xml:space="preserve"> </w:t>
      </w:r>
    </w:p>
    <w:p w14:paraId="15A5C24D" w14:textId="77777777" w:rsidR="00867BC9" w:rsidRPr="009A677E" w:rsidRDefault="00867BC9" w:rsidP="00867BC9">
      <w:pPr>
        <w:pStyle w:val="ListParagraph"/>
        <w:rPr>
          <w:rFonts w:ascii="Arial" w:hAnsi="Arial" w:cs="Arial"/>
          <w:color w:val="000000" w:themeColor="text1"/>
        </w:rPr>
      </w:pPr>
    </w:p>
    <w:p w14:paraId="678F3790" w14:textId="1BC8F0DD" w:rsidR="00F14AD3" w:rsidRPr="009A677E" w:rsidRDefault="00C376D3" w:rsidP="00CB53FA">
      <w:pPr>
        <w:pStyle w:val="ListParagraph"/>
        <w:numPr>
          <w:ilvl w:val="0"/>
          <w:numId w:val="1"/>
        </w:numPr>
        <w:jc w:val="both"/>
        <w:rPr>
          <w:rFonts w:ascii="Arial" w:hAnsi="Arial" w:cs="Arial"/>
          <w:color w:val="000000" w:themeColor="text1"/>
        </w:rPr>
      </w:pPr>
      <w:r w:rsidRPr="009A677E">
        <w:rPr>
          <w:rFonts w:ascii="Arial" w:hAnsi="Arial" w:cs="Arial"/>
          <w:color w:val="000000" w:themeColor="text1"/>
        </w:rPr>
        <w:t>Given the facts before the Board, the question remained, what were the limits of the common law</w:t>
      </w:r>
      <w:r w:rsidR="00F55E41" w:rsidRPr="009A677E">
        <w:rPr>
          <w:rFonts w:ascii="Arial" w:hAnsi="Arial" w:cs="Arial"/>
          <w:color w:val="000000" w:themeColor="text1"/>
        </w:rPr>
        <w:t xml:space="preserve"> </w:t>
      </w:r>
      <w:r w:rsidR="00466DBF" w:rsidRPr="009A677E">
        <w:rPr>
          <w:rFonts w:ascii="Arial" w:hAnsi="Arial" w:cs="Arial"/>
          <w:color w:val="000000" w:themeColor="text1"/>
        </w:rPr>
        <w:t xml:space="preserve">as they related to the facts in </w:t>
      </w:r>
      <w:r w:rsidR="00466DBF" w:rsidRPr="00877148">
        <w:rPr>
          <w:rFonts w:ascii="Arial" w:hAnsi="Arial" w:cs="Arial"/>
          <w:i/>
          <w:iCs/>
          <w:color w:val="000000" w:themeColor="text1"/>
        </w:rPr>
        <w:t>Singularis</w:t>
      </w:r>
      <w:r w:rsidR="00CB350C" w:rsidRPr="009A677E">
        <w:rPr>
          <w:rFonts w:ascii="Arial" w:hAnsi="Arial" w:cs="Arial"/>
          <w:color w:val="000000" w:themeColor="text1"/>
        </w:rPr>
        <w:t>?</w:t>
      </w:r>
      <w:r w:rsidR="00F55E41" w:rsidRPr="009A677E">
        <w:rPr>
          <w:rFonts w:ascii="Arial" w:hAnsi="Arial" w:cs="Arial"/>
          <w:color w:val="000000" w:themeColor="text1"/>
        </w:rPr>
        <w:t xml:space="preserve"> That is, t</w:t>
      </w:r>
      <w:r w:rsidR="008B08D6" w:rsidRPr="009A677E">
        <w:rPr>
          <w:rFonts w:ascii="Arial" w:hAnsi="Arial" w:cs="Arial"/>
          <w:color w:val="000000" w:themeColor="text1"/>
        </w:rPr>
        <w:t>here being no statutory power in Bermuda to assist an IP</w:t>
      </w:r>
      <w:r w:rsidR="006B60A5" w:rsidRPr="009A677E">
        <w:rPr>
          <w:rFonts w:ascii="Arial" w:hAnsi="Arial" w:cs="Arial"/>
          <w:color w:val="000000" w:themeColor="text1"/>
        </w:rPr>
        <w:t xml:space="preserve"> in </w:t>
      </w:r>
      <w:r w:rsidR="00F55E41" w:rsidRPr="009A677E">
        <w:rPr>
          <w:rFonts w:ascii="Arial" w:hAnsi="Arial" w:cs="Arial"/>
          <w:color w:val="000000" w:themeColor="text1"/>
        </w:rPr>
        <w:t>compelling</w:t>
      </w:r>
      <w:r w:rsidR="006B60A5" w:rsidRPr="009A677E">
        <w:rPr>
          <w:rFonts w:ascii="Arial" w:hAnsi="Arial" w:cs="Arial"/>
          <w:color w:val="000000" w:themeColor="text1"/>
        </w:rPr>
        <w:t xml:space="preserve"> the production of documents from third parties</w:t>
      </w:r>
      <w:r w:rsidR="00155897" w:rsidRPr="009A677E">
        <w:rPr>
          <w:rFonts w:ascii="Arial" w:hAnsi="Arial" w:cs="Arial"/>
          <w:color w:val="000000" w:themeColor="text1"/>
        </w:rPr>
        <w:t>,</w:t>
      </w:r>
      <w:r w:rsidR="006B60A5" w:rsidRPr="009A677E">
        <w:rPr>
          <w:rFonts w:ascii="Arial" w:hAnsi="Arial" w:cs="Arial"/>
          <w:color w:val="000000" w:themeColor="text1"/>
        </w:rPr>
        <w:t xml:space="preserve"> is</w:t>
      </w:r>
      <w:r w:rsidR="00155897" w:rsidRPr="009A677E">
        <w:rPr>
          <w:rFonts w:ascii="Arial" w:hAnsi="Arial" w:cs="Arial"/>
          <w:color w:val="000000" w:themeColor="text1"/>
        </w:rPr>
        <w:t xml:space="preserve"> there an inherent power </w:t>
      </w:r>
      <w:r w:rsidR="006B60A5" w:rsidRPr="009A677E">
        <w:rPr>
          <w:rFonts w:ascii="Arial" w:hAnsi="Arial" w:cs="Arial"/>
          <w:color w:val="000000" w:themeColor="text1"/>
        </w:rPr>
        <w:t xml:space="preserve">to do so at </w:t>
      </w:r>
      <w:r w:rsidR="00155897" w:rsidRPr="009A677E">
        <w:rPr>
          <w:rFonts w:ascii="Arial" w:hAnsi="Arial" w:cs="Arial"/>
          <w:color w:val="000000" w:themeColor="text1"/>
        </w:rPr>
        <w:t>common law</w:t>
      </w:r>
      <w:r w:rsidR="006B60A5" w:rsidRPr="009A677E">
        <w:rPr>
          <w:rFonts w:ascii="Arial" w:hAnsi="Arial" w:cs="Arial"/>
          <w:color w:val="000000" w:themeColor="text1"/>
        </w:rPr>
        <w:t xml:space="preserve">? </w:t>
      </w:r>
      <w:r w:rsidR="00466DBF" w:rsidRPr="009A677E">
        <w:rPr>
          <w:rFonts w:ascii="Arial" w:hAnsi="Arial" w:cs="Arial"/>
          <w:color w:val="000000" w:themeColor="text1"/>
        </w:rPr>
        <w:t>Lord Sumption</w:t>
      </w:r>
      <w:r w:rsidR="006B60A5" w:rsidRPr="009A677E">
        <w:rPr>
          <w:rFonts w:ascii="Arial" w:hAnsi="Arial" w:cs="Arial"/>
          <w:color w:val="000000" w:themeColor="text1"/>
        </w:rPr>
        <w:t xml:space="preserve"> decided</w:t>
      </w:r>
      <w:r w:rsidR="00F55E41" w:rsidRPr="009A677E">
        <w:rPr>
          <w:rFonts w:ascii="Arial" w:hAnsi="Arial" w:cs="Arial"/>
          <w:color w:val="000000" w:themeColor="text1"/>
        </w:rPr>
        <w:t xml:space="preserve"> that there was</w:t>
      </w:r>
      <w:r w:rsidR="00C20128" w:rsidRPr="009A677E">
        <w:rPr>
          <w:rFonts w:ascii="Arial" w:hAnsi="Arial" w:cs="Arial"/>
          <w:color w:val="000000" w:themeColor="text1"/>
        </w:rPr>
        <w:t>, citing the relatively recent development of the Norwich Pharmacal application,</w:t>
      </w:r>
      <w:r w:rsidR="006B60A5" w:rsidRPr="009A677E">
        <w:rPr>
          <w:rFonts w:ascii="Arial" w:hAnsi="Arial" w:cs="Arial"/>
          <w:color w:val="000000" w:themeColor="text1"/>
        </w:rPr>
        <w:t xml:space="preserve"> </w:t>
      </w:r>
      <w:r w:rsidR="00F55E41" w:rsidRPr="009A677E">
        <w:rPr>
          <w:rFonts w:ascii="Arial" w:hAnsi="Arial" w:cs="Arial"/>
          <w:color w:val="000000" w:themeColor="text1"/>
        </w:rPr>
        <w:t>and noting that</w:t>
      </w:r>
      <w:r w:rsidR="00C20128" w:rsidRPr="009A677E">
        <w:rPr>
          <w:rFonts w:ascii="Arial" w:hAnsi="Arial" w:cs="Arial"/>
          <w:color w:val="000000" w:themeColor="text1"/>
        </w:rPr>
        <w:t xml:space="preserve"> t</w:t>
      </w:r>
      <w:r w:rsidR="00155897" w:rsidRPr="009A677E">
        <w:rPr>
          <w:rFonts w:ascii="Arial" w:hAnsi="Arial" w:cs="Arial"/>
          <w:color w:val="000000" w:themeColor="text1"/>
        </w:rPr>
        <w:t>he courts have never been</w:t>
      </w:r>
      <w:r w:rsidR="006B60A5" w:rsidRPr="009A677E">
        <w:rPr>
          <w:rFonts w:ascii="Arial" w:hAnsi="Arial" w:cs="Arial"/>
          <w:color w:val="000000" w:themeColor="text1"/>
        </w:rPr>
        <w:t xml:space="preserve"> </w:t>
      </w:r>
      <w:r w:rsidR="00155897" w:rsidRPr="009A677E">
        <w:rPr>
          <w:rFonts w:ascii="Arial" w:hAnsi="Arial" w:cs="Arial"/>
          <w:color w:val="000000" w:themeColor="text1"/>
        </w:rPr>
        <w:t xml:space="preserve">inhibited in their willingness to develop appropriate remedies to require the provision of information when a sufficiently compelling legal policy calls for it. </w:t>
      </w:r>
    </w:p>
    <w:p w14:paraId="7C538E16" w14:textId="77777777" w:rsidR="00F14AD3" w:rsidRPr="009A677E" w:rsidRDefault="00F14AD3" w:rsidP="00F14AD3">
      <w:pPr>
        <w:pStyle w:val="ListParagraph"/>
        <w:rPr>
          <w:rFonts w:ascii="Arial" w:hAnsi="Arial" w:cs="Arial"/>
          <w:color w:val="000000" w:themeColor="text1"/>
        </w:rPr>
      </w:pPr>
    </w:p>
    <w:p w14:paraId="6DA54F4D" w14:textId="0949C6D8" w:rsidR="00F55E41" w:rsidRPr="009A677E" w:rsidRDefault="001045D9" w:rsidP="00CB53FA">
      <w:pPr>
        <w:pStyle w:val="ListParagraph"/>
        <w:numPr>
          <w:ilvl w:val="0"/>
          <w:numId w:val="1"/>
        </w:numPr>
        <w:jc w:val="both"/>
        <w:rPr>
          <w:rFonts w:ascii="Arial" w:hAnsi="Arial" w:cs="Arial"/>
          <w:color w:val="000000" w:themeColor="text1"/>
        </w:rPr>
      </w:pPr>
      <w:r w:rsidRPr="009A677E">
        <w:rPr>
          <w:rFonts w:ascii="Arial" w:hAnsi="Arial" w:cs="Arial"/>
          <w:color w:val="000000" w:themeColor="text1"/>
        </w:rPr>
        <w:t>The Court took strength from another South African case,</w:t>
      </w:r>
      <w:r w:rsidR="00867BC9" w:rsidRPr="009A677E">
        <w:rPr>
          <w:rFonts w:ascii="Arial" w:hAnsi="Arial" w:cs="Arial"/>
          <w:color w:val="000000" w:themeColor="text1"/>
        </w:rPr>
        <w:t xml:space="preserve"> </w:t>
      </w:r>
      <w:r w:rsidR="00867BC9" w:rsidRPr="00877148">
        <w:rPr>
          <w:rFonts w:ascii="Arial" w:hAnsi="Arial" w:cs="Arial"/>
          <w:i/>
          <w:iCs/>
          <w:color w:val="000000" w:themeColor="text1"/>
        </w:rPr>
        <w:t>Moolman v Builders &amp; Developers</w:t>
      </w:r>
      <w:r w:rsidR="00877148">
        <w:rPr>
          <w:rStyle w:val="FootnoteReference"/>
          <w:rFonts w:ascii="Arial" w:hAnsi="Arial" w:cs="Arial"/>
          <w:i/>
          <w:iCs/>
          <w:color w:val="000000" w:themeColor="text1"/>
        </w:rPr>
        <w:footnoteReference w:id="12"/>
      </w:r>
      <w:r w:rsidR="00867BC9" w:rsidRPr="009A677E">
        <w:rPr>
          <w:rFonts w:ascii="Arial" w:hAnsi="Arial" w:cs="Arial"/>
          <w:color w:val="000000" w:themeColor="text1"/>
        </w:rPr>
        <w:t xml:space="preserve">, </w:t>
      </w:r>
      <w:r w:rsidRPr="009A677E">
        <w:rPr>
          <w:rFonts w:ascii="Arial" w:hAnsi="Arial" w:cs="Arial"/>
          <w:color w:val="000000" w:themeColor="text1"/>
        </w:rPr>
        <w:t xml:space="preserve">which was </w:t>
      </w:r>
      <w:r w:rsidR="00867BC9" w:rsidRPr="009A677E">
        <w:rPr>
          <w:rFonts w:ascii="Arial" w:hAnsi="Arial" w:cs="Arial"/>
          <w:color w:val="000000" w:themeColor="text1"/>
        </w:rPr>
        <w:t>a decision of the</w:t>
      </w:r>
      <w:r w:rsidRPr="009A677E">
        <w:rPr>
          <w:rFonts w:ascii="Arial" w:hAnsi="Arial" w:cs="Arial"/>
          <w:color w:val="000000" w:themeColor="text1"/>
        </w:rPr>
        <w:t xml:space="preserve"> country’s </w:t>
      </w:r>
      <w:r w:rsidR="00867BC9" w:rsidRPr="009A677E">
        <w:rPr>
          <w:rFonts w:ascii="Arial" w:hAnsi="Arial" w:cs="Arial"/>
          <w:color w:val="000000" w:themeColor="text1"/>
        </w:rPr>
        <w:t xml:space="preserve">Supreme Court. </w:t>
      </w:r>
      <w:r w:rsidRPr="009A677E">
        <w:rPr>
          <w:rFonts w:ascii="Arial" w:hAnsi="Arial" w:cs="Arial"/>
          <w:color w:val="000000" w:themeColor="text1"/>
        </w:rPr>
        <w:t xml:space="preserve">In it </w:t>
      </w:r>
      <w:r w:rsidR="003B6692" w:rsidRPr="009A677E">
        <w:rPr>
          <w:rFonts w:ascii="Arial" w:hAnsi="Arial" w:cs="Arial"/>
          <w:color w:val="000000" w:themeColor="text1"/>
        </w:rPr>
        <w:t>a Transkei</w:t>
      </w:r>
      <w:r w:rsidR="00867BC9" w:rsidRPr="009A677E">
        <w:rPr>
          <w:rFonts w:ascii="Arial" w:hAnsi="Arial" w:cs="Arial"/>
          <w:color w:val="000000" w:themeColor="text1"/>
        </w:rPr>
        <w:t xml:space="preserve"> liquidator sought an order</w:t>
      </w:r>
      <w:r w:rsidRPr="009A677E">
        <w:rPr>
          <w:rFonts w:ascii="Arial" w:hAnsi="Arial" w:cs="Arial"/>
          <w:color w:val="000000" w:themeColor="text1"/>
        </w:rPr>
        <w:t xml:space="preserve"> for examination of third parties</w:t>
      </w:r>
      <w:r w:rsidR="002A58E5" w:rsidRPr="009A677E">
        <w:rPr>
          <w:rFonts w:ascii="Arial" w:hAnsi="Arial" w:cs="Arial"/>
          <w:color w:val="000000" w:themeColor="text1"/>
        </w:rPr>
        <w:t xml:space="preserve"> </w:t>
      </w:r>
      <w:r w:rsidR="003B6692" w:rsidRPr="009A677E">
        <w:rPr>
          <w:rFonts w:ascii="Arial" w:hAnsi="Arial" w:cs="Arial"/>
          <w:color w:val="000000" w:themeColor="text1"/>
        </w:rPr>
        <w:t xml:space="preserve">in South Africa </w:t>
      </w:r>
      <w:r w:rsidR="002A58E5" w:rsidRPr="009A677E">
        <w:rPr>
          <w:rFonts w:ascii="Arial" w:hAnsi="Arial" w:cs="Arial"/>
          <w:color w:val="000000" w:themeColor="text1"/>
        </w:rPr>
        <w:t xml:space="preserve">with a view to locating assets of </w:t>
      </w:r>
      <w:r w:rsidR="003B6692" w:rsidRPr="009A677E">
        <w:rPr>
          <w:rFonts w:ascii="Arial" w:hAnsi="Arial" w:cs="Arial"/>
          <w:color w:val="000000" w:themeColor="text1"/>
        </w:rPr>
        <w:t>a Transkei co</w:t>
      </w:r>
      <w:r w:rsidR="002A58E5" w:rsidRPr="009A677E">
        <w:rPr>
          <w:rFonts w:ascii="Arial" w:hAnsi="Arial" w:cs="Arial"/>
          <w:color w:val="000000" w:themeColor="text1"/>
        </w:rPr>
        <w:t>mpany</w:t>
      </w:r>
      <w:r w:rsidR="003B6692" w:rsidRPr="009A677E">
        <w:rPr>
          <w:rFonts w:ascii="Arial" w:hAnsi="Arial" w:cs="Arial"/>
          <w:color w:val="000000" w:themeColor="text1"/>
        </w:rPr>
        <w:t xml:space="preserve"> there</w:t>
      </w:r>
      <w:r w:rsidR="002A58E5" w:rsidRPr="009A677E">
        <w:rPr>
          <w:rFonts w:ascii="Arial" w:hAnsi="Arial" w:cs="Arial"/>
          <w:color w:val="000000" w:themeColor="text1"/>
        </w:rPr>
        <w:t xml:space="preserve">. </w:t>
      </w:r>
      <w:r w:rsidR="00E61B9A" w:rsidRPr="009A677E">
        <w:rPr>
          <w:rFonts w:ascii="Arial" w:hAnsi="Arial" w:cs="Arial"/>
          <w:color w:val="000000" w:themeColor="text1"/>
        </w:rPr>
        <w:t xml:space="preserve">The third parties objected on the basis that there was no jurisdiction </w:t>
      </w:r>
      <w:r w:rsidR="001B704E" w:rsidRPr="009A677E">
        <w:rPr>
          <w:rFonts w:ascii="Arial" w:hAnsi="Arial" w:cs="Arial"/>
          <w:color w:val="000000" w:themeColor="text1"/>
        </w:rPr>
        <w:t>in</w:t>
      </w:r>
      <w:r w:rsidR="00E61B9A" w:rsidRPr="009A677E">
        <w:rPr>
          <w:rFonts w:ascii="Arial" w:hAnsi="Arial" w:cs="Arial"/>
          <w:color w:val="000000" w:themeColor="text1"/>
        </w:rPr>
        <w:t xml:space="preserve"> the South African courts to examine them arising from the fact that the insolvency proceedings were taking place in Transkei and the orders for examination were made </w:t>
      </w:r>
      <w:r w:rsidR="00015A24" w:rsidRPr="009A677E">
        <w:rPr>
          <w:rFonts w:ascii="Arial" w:hAnsi="Arial" w:cs="Arial"/>
          <w:color w:val="000000" w:themeColor="text1"/>
        </w:rPr>
        <w:t>in that country</w:t>
      </w:r>
      <w:r w:rsidR="00E61B9A" w:rsidRPr="009A677E">
        <w:rPr>
          <w:rFonts w:ascii="Arial" w:hAnsi="Arial" w:cs="Arial"/>
          <w:color w:val="000000" w:themeColor="text1"/>
        </w:rPr>
        <w:t xml:space="preserve">. </w:t>
      </w:r>
      <w:r w:rsidR="002A58E5" w:rsidRPr="009A677E">
        <w:rPr>
          <w:rFonts w:ascii="Arial" w:hAnsi="Arial" w:cs="Arial"/>
          <w:color w:val="000000" w:themeColor="text1"/>
        </w:rPr>
        <w:t xml:space="preserve">Notwithstanding that </w:t>
      </w:r>
      <w:r w:rsidR="003B6692" w:rsidRPr="009A677E">
        <w:rPr>
          <w:rFonts w:ascii="Arial" w:hAnsi="Arial" w:cs="Arial"/>
          <w:color w:val="000000" w:themeColor="text1"/>
        </w:rPr>
        <w:t>there was no statutory power to wind</w:t>
      </w:r>
      <w:r w:rsidR="00142261" w:rsidRPr="009A677E">
        <w:rPr>
          <w:rFonts w:ascii="Arial" w:hAnsi="Arial" w:cs="Arial"/>
          <w:color w:val="000000" w:themeColor="text1"/>
        </w:rPr>
        <w:t xml:space="preserve"> up</w:t>
      </w:r>
      <w:r w:rsidR="003B6692" w:rsidRPr="009A677E">
        <w:rPr>
          <w:rFonts w:ascii="Arial" w:hAnsi="Arial" w:cs="Arial"/>
          <w:color w:val="000000" w:themeColor="text1"/>
        </w:rPr>
        <w:t xml:space="preserve"> </w:t>
      </w:r>
      <w:r w:rsidR="00CB53FA" w:rsidRPr="009A677E">
        <w:rPr>
          <w:rFonts w:ascii="Arial" w:hAnsi="Arial" w:cs="Arial"/>
          <w:color w:val="000000" w:themeColor="text1"/>
        </w:rPr>
        <w:t>such a</w:t>
      </w:r>
      <w:r w:rsidR="003B6692" w:rsidRPr="009A677E">
        <w:rPr>
          <w:rFonts w:ascii="Arial" w:hAnsi="Arial" w:cs="Arial"/>
          <w:color w:val="000000" w:themeColor="text1"/>
        </w:rPr>
        <w:t xml:space="preserve"> company in South Africa</w:t>
      </w:r>
      <w:r w:rsidR="00CB53FA" w:rsidRPr="009A677E">
        <w:rPr>
          <w:rFonts w:ascii="Arial" w:hAnsi="Arial" w:cs="Arial"/>
          <w:color w:val="000000" w:themeColor="text1"/>
        </w:rPr>
        <w:t>,</w:t>
      </w:r>
      <w:r w:rsidR="003B6692" w:rsidRPr="009A677E">
        <w:rPr>
          <w:rFonts w:ascii="Arial" w:hAnsi="Arial" w:cs="Arial"/>
          <w:color w:val="000000" w:themeColor="text1"/>
        </w:rPr>
        <w:t xml:space="preserve"> </w:t>
      </w:r>
      <w:r w:rsidR="00CB53FA" w:rsidRPr="009A677E">
        <w:rPr>
          <w:rFonts w:ascii="Arial" w:hAnsi="Arial" w:cs="Arial"/>
          <w:color w:val="000000" w:themeColor="text1"/>
        </w:rPr>
        <w:t>t</w:t>
      </w:r>
      <w:r w:rsidR="00867BC9" w:rsidRPr="009A677E">
        <w:rPr>
          <w:rFonts w:ascii="Arial" w:hAnsi="Arial" w:cs="Arial"/>
          <w:color w:val="000000" w:themeColor="text1"/>
        </w:rPr>
        <w:t xml:space="preserve">he court held that a power at common law </w:t>
      </w:r>
      <w:r w:rsidR="00CB53FA" w:rsidRPr="009A677E">
        <w:rPr>
          <w:rFonts w:ascii="Arial" w:hAnsi="Arial" w:cs="Arial"/>
          <w:color w:val="000000" w:themeColor="text1"/>
        </w:rPr>
        <w:t>existed</w:t>
      </w:r>
      <w:r w:rsidR="00015A24" w:rsidRPr="009A677E">
        <w:rPr>
          <w:rFonts w:ascii="Arial" w:hAnsi="Arial" w:cs="Arial"/>
          <w:color w:val="000000" w:themeColor="text1"/>
        </w:rPr>
        <w:t xml:space="preserve"> to recognise the Transkei liquidator and the order for examination</w:t>
      </w:r>
      <w:r w:rsidR="00CB53FA" w:rsidRPr="009A677E">
        <w:rPr>
          <w:rFonts w:ascii="Arial" w:hAnsi="Arial" w:cs="Arial"/>
          <w:color w:val="000000" w:themeColor="text1"/>
        </w:rPr>
        <w:t xml:space="preserve"> as part of the ratio in </w:t>
      </w:r>
      <w:r w:rsidR="00CB53FA" w:rsidRPr="00877148">
        <w:rPr>
          <w:rFonts w:ascii="Arial" w:hAnsi="Arial" w:cs="Arial"/>
          <w:i/>
          <w:iCs/>
          <w:color w:val="000000" w:themeColor="text1"/>
        </w:rPr>
        <w:t>In</w:t>
      </w:r>
      <w:r w:rsidR="00867BC9" w:rsidRPr="00877148">
        <w:rPr>
          <w:rFonts w:ascii="Arial" w:hAnsi="Arial" w:cs="Arial"/>
          <w:i/>
          <w:iCs/>
          <w:color w:val="000000" w:themeColor="text1"/>
        </w:rPr>
        <w:t xml:space="preserve"> Re African Farms Ltd</w:t>
      </w:r>
      <w:r w:rsidR="00867BC9" w:rsidRPr="009A677E">
        <w:rPr>
          <w:rFonts w:ascii="Arial" w:hAnsi="Arial" w:cs="Arial"/>
          <w:color w:val="000000" w:themeColor="text1"/>
        </w:rPr>
        <w:t xml:space="preserve">. </w:t>
      </w:r>
    </w:p>
    <w:p w14:paraId="4E62C205" w14:textId="77777777" w:rsidR="00CB53FA" w:rsidRPr="009A677E" w:rsidRDefault="00CB53FA" w:rsidP="00CB53FA">
      <w:pPr>
        <w:pStyle w:val="ListParagraph"/>
        <w:jc w:val="both"/>
        <w:rPr>
          <w:rFonts w:ascii="Arial" w:hAnsi="Arial" w:cs="Arial"/>
          <w:color w:val="000000" w:themeColor="text1"/>
        </w:rPr>
      </w:pPr>
    </w:p>
    <w:p w14:paraId="54C1A029" w14:textId="56F6C152" w:rsidR="00471C95" w:rsidRPr="009A677E" w:rsidRDefault="00015A24" w:rsidP="00E07570">
      <w:pPr>
        <w:pStyle w:val="ListParagraph"/>
        <w:numPr>
          <w:ilvl w:val="0"/>
          <w:numId w:val="1"/>
        </w:numPr>
        <w:jc w:val="both"/>
        <w:rPr>
          <w:rFonts w:ascii="Arial" w:hAnsi="Arial" w:cs="Arial"/>
          <w:color w:val="000000" w:themeColor="text1"/>
        </w:rPr>
      </w:pPr>
      <w:r w:rsidRPr="009A677E">
        <w:rPr>
          <w:rFonts w:ascii="Arial" w:hAnsi="Arial" w:cs="Arial"/>
          <w:color w:val="000000" w:themeColor="text1"/>
        </w:rPr>
        <w:t xml:space="preserve">Lord Sumption’s decision, mirroring to a large extent the reasoning in </w:t>
      </w:r>
      <w:r w:rsidRPr="00877148">
        <w:rPr>
          <w:rFonts w:ascii="Arial" w:hAnsi="Arial" w:cs="Arial"/>
          <w:i/>
          <w:iCs/>
          <w:color w:val="000000" w:themeColor="text1"/>
        </w:rPr>
        <w:t>Moolman v Builders &amp; Developers</w:t>
      </w:r>
      <w:r w:rsidRPr="009A677E">
        <w:rPr>
          <w:rFonts w:ascii="Arial" w:hAnsi="Arial" w:cs="Arial"/>
          <w:color w:val="000000" w:themeColor="text1"/>
        </w:rPr>
        <w:t xml:space="preserve">, </w:t>
      </w:r>
      <w:r w:rsidR="00E07570" w:rsidRPr="009A677E">
        <w:rPr>
          <w:rFonts w:ascii="Arial" w:hAnsi="Arial" w:cs="Arial"/>
          <w:color w:val="000000" w:themeColor="text1"/>
        </w:rPr>
        <w:t xml:space="preserve">was based on practical reasons. </w:t>
      </w:r>
      <w:r w:rsidR="00155897" w:rsidRPr="009A677E">
        <w:rPr>
          <w:rFonts w:ascii="Arial" w:hAnsi="Arial" w:cs="Arial"/>
          <w:color w:val="000000" w:themeColor="text1"/>
        </w:rPr>
        <w:t>The liquidators require</w:t>
      </w:r>
      <w:r w:rsidR="00E07570" w:rsidRPr="009A677E">
        <w:rPr>
          <w:rFonts w:ascii="Arial" w:hAnsi="Arial" w:cs="Arial"/>
          <w:color w:val="000000" w:themeColor="text1"/>
        </w:rPr>
        <w:t>d</w:t>
      </w:r>
      <w:r w:rsidR="00155897" w:rsidRPr="009A677E">
        <w:rPr>
          <w:rFonts w:ascii="Arial" w:hAnsi="Arial" w:cs="Arial"/>
          <w:color w:val="000000" w:themeColor="text1"/>
        </w:rPr>
        <w:t xml:space="preserve"> the information for the performance of the</w:t>
      </w:r>
      <w:r w:rsidR="00E07570" w:rsidRPr="009A677E">
        <w:rPr>
          <w:rFonts w:ascii="Arial" w:hAnsi="Arial" w:cs="Arial"/>
          <w:color w:val="000000" w:themeColor="text1"/>
        </w:rPr>
        <w:t>ir</w:t>
      </w:r>
      <w:r w:rsidR="00155897" w:rsidRPr="009A677E">
        <w:rPr>
          <w:rFonts w:ascii="Arial" w:hAnsi="Arial" w:cs="Arial"/>
          <w:color w:val="000000" w:themeColor="text1"/>
        </w:rPr>
        <w:t xml:space="preserve"> ordinary functions</w:t>
      </w:r>
      <w:r w:rsidR="00867BC9" w:rsidRPr="009A677E">
        <w:rPr>
          <w:rFonts w:ascii="Arial" w:hAnsi="Arial" w:cs="Arial"/>
          <w:color w:val="000000" w:themeColor="text1"/>
        </w:rPr>
        <w:t xml:space="preserve"> </w:t>
      </w:r>
      <w:r w:rsidR="00E07570" w:rsidRPr="009A677E">
        <w:rPr>
          <w:rFonts w:ascii="Arial" w:hAnsi="Arial" w:cs="Arial"/>
          <w:color w:val="000000" w:themeColor="text1"/>
        </w:rPr>
        <w:t>and t</w:t>
      </w:r>
      <w:r w:rsidR="00155897" w:rsidRPr="009A677E">
        <w:rPr>
          <w:rFonts w:ascii="Arial" w:hAnsi="Arial" w:cs="Arial"/>
          <w:color w:val="000000" w:themeColor="text1"/>
        </w:rPr>
        <w:t xml:space="preserve">heir acknowledged right to </w:t>
      </w:r>
      <w:r w:rsidR="000D01D3" w:rsidRPr="009A677E">
        <w:rPr>
          <w:rFonts w:ascii="Arial" w:hAnsi="Arial" w:cs="Arial"/>
          <w:color w:val="000000" w:themeColor="text1"/>
        </w:rPr>
        <w:t xml:space="preserve">deal with </w:t>
      </w:r>
      <w:r w:rsidR="000D01D3" w:rsidRPr="009A677E">
        <w:rPr>
          <w:rFonts w:ascii="Arial" w:hAnsi="Arial" w:cs="Arial"/>
          <w:color w:val="000000" w:themeColor="text1"/>
        </w:rPr>
        <w:lastRenderedPageBreak/>
        <w:t>the assets</w:t>
      </w:r>
      <w:r w:rsidR="00155897" w:rsidRPr="009A677E">
        <w:rPr>
          <w:rFonts w:ascii="Arial" w:hAnsi="Arial" w:cs="Arial"/>
          <w:color w:val="000000" w:themeColor="text1"/>
        </w:rPr>
        <w:t xml:space="preserve"> </w:t>
      </w:r>
      <w:r w:rsidR="00E07570" w:rsidRPr="009A677E">
        <w:rPr>
          <w:rFonts w:ascii="Arial" w:hAnsi="Arial" w:cs="Arial"/>
          <w:color w:val="000000" w:themeColor="text1"/>
        </w:rPr>
        <w:t>would be</w:t>
      </w:r>
      <w:r w:rsidR="00155897" w:rsidRPr="009A677E">
        <w:rPr>
          <w:rFonts w:ascii="Arial" w:hAnsi="Arial" w:cs="Arial"/>
          <w:color w:val="000000" w:themeColor="text1"/>
        </w:rPr>
        <w:t xml:space="preserve"> of little use without </w:t>
      </w:r>
      <w:r w:rsidR="003A3C1E" w:rsidRPr="009A677E">
        <w:rPr>
          <w:rFonts w:ascii="Arial" w:hAnsi="Arial" w:cs="Arial"/>
          <w:color w:val="000000" w:themeColor="text1"/>
        </w:rPr>
        <w:t>a corresponding</w:t>
      </w:r>
      <w:r w:rsidR="00155897" w:rsidRPr="009A677E">
        <w:rPr>
          <w:rFonts w:ascii="Arial" w:hAnsi="Arial" w:cs="Arial"/>
          <w:color w:val="000000" w:themeColor="text1"/>
        </w:rPr>
        <w:t xml:space="preserve"> ability to identify and locate them.</w:t>
      </w:r>
      <w:r w:rsidR="00E07570" w:rsidRPr="009A677E">
        <w:rPr>
          <w:rFonts w:ascii="Arial" w:hAnsi="Arial" w:cs="Arial"/>
          <w:color w:val="000000" w:themeColor="text1"/>
        </w:rPr>
        <w:t xml:space="preserve"> The power, </w:t>
      </w:r>
      <w:r w:rsidR="00466DBF" w:rsidRPr="009A677E">
        <w:rPr>
          <w:rFonts w:ascii="Arial" w:hAnsi="Arial" w:cs="Arial"/>
          <w:color w:val="000000" w:themeColor="text1"/>
        </w:rPr>
        <w:t>Lord Sumption acknowledged,</w:t>
      </w:r>
      <w:r w:rsidR="00E07570" w:rsidRPr="009A677E">
        <w:rPr>
          <w:rFonts w:ascii="Arial" w:hAnsi="Arial" w:cs="Arial"/>
          <w:color w:val="000000" w:themeColor="text1"/>
        </w:rPr>
        <w:t xml:space="preserve"> is limited</w:t>
      </w:r>
      <w:r w:rsidR="00155897" w:rsidRPr="009A677E">
        <w:rPr>
          <w:rFonts w:ascii="Arial" w:hAnsi="Arial" w:cs="Arial"/>
          <w:color w:val="000000" w:themeColor="text1"/>
        </w:rPr>
        <w:t xml:space="preserve"> to</w:t>
      </w:r>
      <w:r w:rsidR="000D01D3" w:rsidRPr="009A677E">
        <w:rPr>
          <w:rFonts w:ascii="Arial" w:hAnsi="Arial" w:cs="Arial"/>
          <w:color w:val="000000" w:themeColor="text1"/>
        </w:rPr>
        <w:t>, among other things,</w:t>
      </w:r>
      <w:r w:rsidR="00155897" w:rsidRPr="009A677E">
        <w:rPr>
          <w:rFonts w:ascii="Arial" w:hAnsi="Arial" w:cs="Arial"/>
          <w:color w:val="000000" w:themeColor="text1"/>
        </w:rPr>
        <w:t xml:space="preserve"> assist</w:t>
      </w:r>
      <w:r w:rsidR="00E07570" w:rsidRPr="009A677E">
        <w:rPr>
          <w:rFonts w:ascii="Arial" w:hAnsi="Arial" w:cs="Arial"/>
          <w:color w:val="000000" w:themeColor="text1"/>
        </w:rPr>
        <w:t xml:space="preserve">ing </w:t>
      </w:r>
      <w:r w:rsidR="00155897" w:rsidRPr="009A677E">
        <w:rPr>
          <w:rFonts w:ascii="Arial" w:hAnsi="Arial" w:cs="Arial"/>
          <w:color w:val="000000" w:themeColor="text1"/>
        </w:rPr>
        <w:t>the officers of a foreign court of insolvency jurisdiction or equivalent public officers</w:t>
      </w:r>
      <w:r w:rsidR="00E07570" w:rsidRPr="009A677E">
        <w:rPr>
          <w:rFonts w:ascii="Arial" w:hAnsi="Arial" w:cs="Arial"/>
          <w:color w:val="000000" w:themeColor="text1"/>
        </w:rPr>
        <w:t xml:space="preserve"> so it would be unavailable </w:t>
      </w:r>
      <w:r w:rsidR="00155897" w:rsidRPr="009A677E">
        <w:rPr>
          <w:rFonts w:ascii="Arial" w:hAnsi="Arial" w:cs="Arial"/>
          <w:color w:val="000000" w:themeColor="text1"/>
        </w:rPr>
        <w:t xml:space="preserve">to assist a voluntary winding up, which </w:t>
      </w:r>
      <w:r w:rsidR="00E07570" w:rsidRPr="009A677E">
        <w:rPr>
          <w:rFonts w:ascii="Arial" w:hAnsi="Arial" w:cs="Arial"/>
          <w:color w:val="000000" w:themeColor="text1"/>
        </w:rPr>
        <w:t>the Board considered to be</w:t>
      </w:r>
      <w:r w:rsidR="00155897" w:rsidRPr="009A677E">
        <w:rPr>
          <w:rFonts w:ascii="Arial" w:hAnsi="Arial" w:cs="Arial"/>
          <w:color w:val="000000" w:themeColor="text1"/>
        </w:rPr>
        <w:t xml:space="preserve"> essentially a private arrangement </w:t>
      </w:r>
      <w:r w:rsidR="00E07570" w:rsidRPr="009A677E">
        <w:rPr>
          <w:rFonts w:ascii="Arial" w:hAnsi="Arial" w:cs="Arial"/>
          <w:color w:val="000000" w:themeColor="text1"/>
        </w:rPr>
        <w:t xml:space="preserve">though </w:t>
      </w:r>
      <w:r w:rsidR="00155897" w:rsidRPr="009A677E">
        <w:rPr>
          <w:rFonts w:ascii="Arial" w:hAnsi="Arial" w:cs="Arial"/>
          <w:color w:val="000000" w:themeColor="text1"/>
        </w:rPr>
        <w:t>subject to the directions of the court</w:t>
      </w:r>
      <w:r w:rsidR="00E07570" w:rsidRPr="009A677E">
        <w:rPr>
          <w:rFonts w:ascii="Arial" w:hAnsi="Arial" w:cs="Arial"/>
          <w:color w:val="000000" w:themeColor="text1"/>
        </w:rPr>
        <w:t xml:space="preserve">. </w:t>
      </w:r>
      <w:r w:rsidR="00541354" w:rsidRPr="009A677E">
        <w:rPr>
          <w:rFonts w:ascii="Arial" w:hAnsi="Arial" w:cs="Arial"/>
          <w:color w:val="000000" w:themeColor="text1"/>
        </w:rPr>
        <w:t xml:space="preserve">The power also had to be exercised consistent with the substantive law and public policy of the assisting court as in </w:t>
      </w:r>
      <w:r w:rsidR="00541354" w:rsidRPr="00591FA2">
        <w:rPr>
          <w:rFonts w:ascii="Arial" w:hAnsi="Arial" w:cs="Arial"/>
          <w:i/>
          <w:iCs/>
          <w:color w:val="000000" w:themeColor="text1"/>
        </w:rPr>
        <w:t>In Re African Farms Ltd</w:t>
      </w:r>
      <w:r w:rsidR="005E3008" w:rsidRPr="009A677E">
        <w:rPr>
          <w:rFonts w:ascii="Arial" w:hAnsi="Arial" w:cs="Arial"/>
          <w:color w:val="000000" w:themeColor="text1"/>
        </w:rPr>
        <w:t>.</w:t>
      </w:r>
    </w:p>
    <w:p w14:paraId="232A1824" w14:textId="77777777" w:rsidR="00471C95" w:rsidRPr="009A677E" w:rsidRDefault="00471C95" w:rsidP="00471C95">
      <w:pPr>
        <w:pStyle w:val="ListParagraph"/>
        <w:rPr>
          <w:rFonts w:ascii="Arial" w:hAnsi="Arial" w:cs="Arial"/>
          <w:color w:val="000000" w:themeColor="text1"/>
        </w:rPr>
      </w:pPr>
    </w:p>
    <w:p w14:paraId="76555E28" w14:textId="5726A806" w:rsidR="008D6B99" w:rsidRPr="009A677E" w:rsidRDefault="005E3008" w:rsidP="00945070">
      <w:pPr>
        <w:pStyle w:val="ListParagraph"/>
        <w:numPr>
          <w:ilvl w:val="0"/>
          <w:numId w:val="1"/>
        </w:numPr>
        <w:jc w:val="both"/>
        <w:rPr>
          <w:rFonts w:ascii="Arial" w:hAnsi="Arial" w:cs="Arial"/>
          <w:color w:val="000000" w:themeColor="text1"/>
        </w:rPr>
      </w:pPr>
      <w:r w:rsidRPr="009A677E">
        <w:rPr>
          <w:rFonts w:ascii="Arial" w:hAnsi="Arial" w:cs="Arial"/>
          <w:color w:val="000000" w:themeColor="text1"/>
        </w:rPr>
        <w:t>Unfortunately for the Cayman Islands joint liquidators the second limitation to their application proved more difficult to surmount and was eventually the stumbling block to the application. I</w:t>
      </w:r>
      <w:r w:rsidR="00541354" w:rsidRPr="009A677E">
        <w:rPr>
          <w:rFonts w:ascii="Arial" w:hAnsi="Arial" w:cs="Arial"/>
          <w:color w:val="000000" w:themeColor="text1"/>
        </w:rPr>
        <w:t xml:space="preserve">t was held that assistance </w:t>
      </w:r>
      <w:r w:rsidR="000D01D3" w:rsidRPr="009A677E">
        <w:rPr>
          <w:rFonts w:ascii="Arial" w:hAnsi="Arial" w:cs="Arial"/>
          <w:color w:val="000000" w:themeColor="text1"/>
        </w:rPr>
        <w:t xml:space="preserve">could only be exercised to assist the foreign office holder in </w:t>
      </w:r>
      <w:r w:rsidR="00541354" w:rsidRPr="009A677E">
        <w:rPr>
          <w:rFonts w:ascii="Arial" w:hAnsi="Arial" w:cs="Arial"/>
          <w:color w:val="000000" w:themeColor="text1"/>
        </w:rPr>
        <w:t xml:space="preserve">only </w:t>
      </w:r>
      <w:r w:rsidR="000D01D3" w:rsidRPr="009A677E">
        <w:rPr>
          <w:rFonts w:ascii="Arial" w:hAnsi="Arial" w:cs="Arial"/>
          <w:color w:val="000000" w:themeColor="text1"/>
        </w:rPr>
        <w:t xml:space="preserve">doing that which </w:t>
      </w:r>
      <w:r w:rsidR="00541354" w:rsidRPr="009A677E">
        <w:rPr>
          <w:rFonts w:ascii="Arial" w:hAnsi="Arial" w:cs="Arial"/>
          <w:color w:val="000000" w:themeColor="text1"/>
        </w:rPr>
        <w:t>they</w:t>
      </w:r>
      <w:r w:rsidR="000D01D3" w:rsidRPr="009A677E">
        <w:rPr>
          <w:rFonts w:ascii="Arial" w:hAnsi="Arial" w:cs="Arial"/>
          <w:color w:val="000000" w:themeColor="text1"/>
        </w:rPr>
        <w:t xml:space="preserve"> could</w:t>
      </w:r>
      <w:r w:rsidR="00541354" w:rsidRPr="009A677E">
        <w:rPr>
          <w:rFonts w:ascii="Arial" w:hAnsi="Arial" w:cs="Arial"/>
          <w:color w:val="000000" w:themeColor="text1"/>
        </w:rPr>
        <w:t xml:space="preserve"> also do</w:t>
      </w:r>
      <w:r w:rsidR="000D01D3" w:rsidRPr="009A677E">
        <w:rPr>
          <w:rFonts w:ascii="Arial" w:hAnsi="Arial" w:cs="Arial"/>
          <w:color w:val="000000" w:themeColor="text1"/>
        </w:rPr>
        <w:t xml:space="preserve"> in </w:t>
      </w:r>
      <w:r w:rsidR="00541354" w:rsidRPr="009A677E">
        <w:rPr>
          <w:rFonts w:ascii="Arial" w:hAnsi="Arial" w:cs="Arial"/>
          <w:color w:val="000000" w:themeColor="text1"/>
        </w:rPr>
        <w:t>their</w:t>
      </w:r>
      <w:r w:rsidR="000D01D3" w:rsidRPr="009A677E">
        <w:rPr>
          <w:rFonts w:ascii="Arial" w:hAnsi="Arial" w:cs="Arial"/>
          <w:color w:val="000000" w:themeColor="text1"/>
        </w:rPr>
        <w:t xml:space="preserve"> own jurisdiction</w:t>
      </w:r>
      <w:r w:rsidR="003A3C1E" w:rsidRPr="009A677E">
        <w:rPr>
          <w:rFonts w:ascii="Arial" w:hAnsi="Arial" w:cs="Arial"/>
          <w:color w:val="000000" w:themeColor="text1"/>
        </w:rPr>
        <w:t>.</w:t>
      </w:r>
      <w:r w:rsidR="009345E7" w:rsidRPr="009A677E">
        <w:rPr>
          <w:rFonts w:ascii="Arial" w:hAnsi="Arial" w:cs="Arial"/>
          <w:color w:val="000000" w:themeColor="text1"/>
        </w:rPr>
        <w:t xml:space="preserve"> For that </w:t>
      </w:r>
      <w:r w:rsidRPr="009A677E">
        <w:rPr>
          <w:rFonts w:ascii="Arial" w:hAnsi="Arial" w:cs="Arial"/>
          <w:color w:val="000000" w:themeColor="text1"/>
        </w:rPr>
        <w:t>reason,</w:t>
      </w:r>
      <w:r w:rsidR="009345E7" w:rsidRPr="009A677E">
        <w:rPr>
          <w:rFonts w:ascii="Arial" w:hAnsi="Arial" w:cs="Arial"/>
          <w:color w:val="000000" w:themeColor="text1"/>
        </w:rPr>
        <w:t xml:space="preserve"> </w:t>
      </w:r>
      <w:r w:rsidRPr="009A677E">
        <w:rPr>
          <w:rFonts w:ascii="Arial" w:hAnsi="Arial" w:cs="Arial"/>
          <w:color w:val="000000" w:themeColor="text1"/>
        </w:rPr>
        <w:t>the</w:t>
      </w:r>
      <w:r w:rsidR="009345E7" w:rsidRPr="009A677E">
        <w:rPr>
          <w:rFonts w:ascii="Arial" w:hAnsi="Arial" w:cs="Arial"/>
          <w:color w:val="000000" w:themeColor="text1"/>
        </w:rPr>
        <w:t xml:space="preserve"> Board declined to order the relief that was sought by the </w:t>
      </w:r>
      <w:r w:rsidRPr="009A677E">
        <w:rPr>
          <w:rFonts w:ascii="Arial" w:hAnsi="Arial" w:cs="Arial"/>
          <w:color w:val="000000" w:themeColor="text1"/>
        </w:rPr>
        <w:t>joint</w:t>
      </w:r>
      <w:r w:rsidR="00541354" w:rsidRPr="009A677E">
        <w:rPr>
          <w:rFonts w:ascii="Arial" w:hAnsi="Arial" w:cs="Arial"/>
          <w:color w:val="000000" w:themeColor="text1"/>
        </w:rPr>
        <w:t xml:space="preserve"> </w:t>
      </w:r>
      <w:r w:rsidR="009345E7" w:rsidRPr="009A677E">
        <w:rPr>
          <w:rFonts w:ascii="Arial" w:hAnsi="Arial" w:cs="Arial"/>
          <w:color w:val="000000" w:themeColor="text1"/>
        </w:rPr>
        <w:t>liquidator</w:t>
      </w:r>
      <w:r w:rsidRPr="009A677E">
        <w:rPr>
          <w:rFonts w:ascii="Arial" w:hAnsi="Arial" w:cs="Arial"/>
          <w:color w:val="000000" w:themeColor="text1"/>
        </w:rPr>
        <w:t>s</w:t>
      </w:r>
      <w:r w:rsidR="009345E7" w:rsidRPr="009A677E">
        <w:rPr>
          <w:rFonts w:ascii="Arial" w:hAnsi="Arial" w:cs="Arial"/>
          <w:color w:val="000000" w:themeColor="text1"/>
        </w:rPr>
        <w:t xml:space="preserve">. </w:t>
      </w:r>
    </w:p>
    <w:p w14:paraId="47CBE68D" w14:textId="4BEFF530" w:rsidR="00B915A8" w:rsidRDefault="00B915A8" w:rsidP="00B915A8">
      <w:pPr>
        <w:pStyle w:val="ListParagraph"/>
        <w:rPr>
          <w:rFonts w:ascii="Arial" w:hAnsi="Arial" w:cs="Arial"/>
          <w:color w:val="000000" w:themeColor="text1"/>
        </w:rPr>
      </w:pPr>
    </w:p>
    <w:p w14:paraId="4F9E2261" w14:textId="7E3B6E62" w:rsidR="00E73A5D" w:rsidRPr="00C83437" w:rsidRDefault="00340046" w:rsidP="00C83437">
      <w:pPr>
        <w:rPr>
          <w:rFonts w:ascii="Arial" w:hAnsi="Arial" w:cs="Arial"/>
          <w:b/>
          <w:bCs/>
          <w:color w:val="000000" w:themeColor="text1"/>
        </w:rPr>
      </w:pPr>
      <w:r>
        <w:rPr>
          <w:rFonts w:ascii="Arial" w:hAnsi="Arial" w:cs="Arial"/>
          <w:b/>
          <w:bCs/>
          <w:color w:val="000000" w:themeColor="text1"/>
        </w:rPr>
        <w:t>D.</w:t>
      </w:r>
      <w:r>
        <w:rPr>
          <w:rFonts w:ascii="Arial" w:hAnsi="Arial" w:cs="Arial"/>
          <w:b/>
          <w:bCs/>
          <w:color w:val="000000" w:themeColor="text1"/>
        </w:rPr>
        <w:tab/>
      </w:r>
      <w:r w:rsidR="00E73A5D" w:rsidRPr="00C83437">
        <w:rPr>
          <w:rFonts w:ascii="Arial" w:hAnsi="Arial" w:cs="Arial"/>
          <w:b/>
          <w:bCs/>
          <w:color w:val="000000" w:themeColor="text1"/>
        </w:rPr>
        <w:t>Lurking Doubts</w:t>
      </w:r>
    </w:p>
    <w:p w14:paraId="2C32C4B0" w14:textId="4813CBBC" w:rsidR="00D14690" w:rsidRPr="009A677E" w:rsidRDefault="008D6B99" w:rsidP="00945070">
      <w:pPr>
        <w:pStyle w:val="ListParagraph"/>
        <w:numPr>
          <w:ilvl w:val="0"/>
          <w:numId w:val="1"/>
        </w:numPr>
        <w:jc w:val="both"/>
        <w:rPr>
          <w:rFonts w:ascii="Arial" w:hAnsi="Arial" w:cs="Arial"/>
          <w:color w:val="000000" w:themeColor="text1"/>
        </w:rPr>
      </w:pPr>
      <w:r w:rsidRPr="009A677E">
        <w:rPr>
          <w:rFonts w:ascii="Arial" w:hAnsi="Arial" w:cs="Arial"/>
          <w:color w:val="000000" w:themeColor="text1"/>
        </w:rPr>
        <w:t xml:space="preserve">While </w:t>
      </w:r>
      <w:r w:rsidRPr="00591FA2">
        <w:rPr>
          <w:rFonts w:ascii="Arial" w:hAnsi="Arial" w:cs="Arial"/>
          <w:i/>
          <w:iCs/>
          <w:color w:val="000000" w:themeColor="text1"/>
        </w:rPr>
        <w:t>Singularis</w:t>
      </w:r>
      <w:r w:rsidRPr="009A677E">
        <w:rPr>
          <w:rFonts w:ascii="Arial" w:hAnsi="Arial" w:cs="Arial"/>
          <w:color w:val="000000" w:themeColor="text1"/>
        </w:rPr>
        <w:t xml:space="preserve"> has</w:t>
      </w:r>
      <w:r w:rsidR="00D37C64" w:rsidRPr="009A677E">
        <w:rPr>
          <w:rFonts w:ascii="Arial" w:hAnsi="Arial" w:cs="Arial"/>
          <w:color w:val="000000" w:themeColor="text1"/>
        </w:rPr>
        <w:t>,</w:t>
      </w:r>
      <w:r w:rsidR="005F624B" w:rsidRPr="009A677E">
        <w:rPr>
          <w:rFonts w:ascii="Arial" w:hAnsi="Arial" w:cs="Arial"/>
          <w:color w:val="000000" w:themeColor="text1"/>
        </w:rPr>
        <w:t xml:space="preserve"> to</w:t>
      </w:r>
      <w:r w:rsidR="00D37C64" w:rsidRPr="009A677E">
        <w:rPr>
          <w:rFonts w:ascii="Arial" w:hAnsi="Arial" w:cs="Arial"/>
          <w:color w:val="000000" w:themeColor="text1"/>
        </w:rPr>
        <w:t xml:space="preserve"> a degree,</w:t>
      </w:r>
      <w:r w:rsidRPr="009A677E">
        <w:rPr>
          <w:rFonts w:ascii="Arial" w:hAnsi="Arial" w:cs="Arial"/>
          <w:color w:val="000000" w:themeColor="text1"/>
        </w:rPr>
        <w:t xml:space="preserve"> resolve</w:t>
      </w:r>
      <w:r w:rsidR="00D37C64" w:rsidRPr="009A677E">
        <w:rPr>
          <w:rFonts w:ascii="Arial" w:hAnsi="Arial" w:cs="Arial"/>
          <w:color w:val="000000" w:themeColor="text1"/>
        </w:rPr>
        <w:t>d</w:t>
      </w:r>
      <w:r w:rsidR="00B915A8" w:rsidRPr="009A677E">
        <w:rPr>
          <w:rFonts w:ascii="Arial" w:hAnsi="Arial" w:cs="Arial"/>
          <w:color w:val="000000" w:themeColor="text1"/>
        </w:rPr>
        <w:t xml:space="preserve"> some of the </w:t>
      </w:r>
      <w:r w:rsidR="0028091D" w:rsidRPr="009A677E">
        <w:rPr>
          <w:rFonts w:ascii="Arial" w:hAnsi="Arial" w:cs="Arial"/>
          <w:color w:val="000000" w:themeColor="text1"/>
        </w:rPr>
        <w:t xml:space="preserve">questions </w:t>
      </w:r>
      <w:r w:rsidR="0035198F" w:rsidRPr="009A677E">
        <w:rPr>
          <w:rFonts w:ascii="Arial" w:hAnsi="Arial" w:cs="Arial"/>
          <w:color w:val="000000" w:themeColor="text1"/>
        </w:rPr>
        <w:t>concerning</w:t>
      </w:r>
      <w:r w:rsidR="0028091D" w:rsidRPr="009A677E">
        <w:rPr>
          <w:rFonts w:ascii="Arial" w:hAnsi="Arial" w:cs="Arial"/>
          <w:color w:val="000000" w:themeColor="text1"/>
        </w:rPr>
        <w:t xml:space="preserve"> the boundaries of Modified Universalism, lurking doubts remain regarding whether the principle, even in its </w:t>
      </w:r>
      <w:r w:rsidR="0035198F" w:rsidRPr="009A677E">
        <w:rPr>
          <w:rFonts w:ascii="Arial" w:hAnsi="Arial" w:cs="Arial"/>
          <w:color w:val="000000" w:themeColor="text1"/>
        </w:rPr>
        <w:t xml:space="preserve">restrictive </w:t>
      </w:r>
      <w:r w:rsidR="0028091D" w:rsidRPr="009A677E">
        <w:rPr>
          <w:rFonts w:ascii="Arial" w:hAnsi="Arial" w:cs="Arial"/>
          <w:color w:val="000000" w:themeColor="text1"/>
        </w:rPr>
        <w:t xml:space="preserve">post </w:t>
      </w:r>
      <w:r w:rsidR="0028091D" w:rsidRPr="00591FA2">
        <w:rPr>
          <w:rFonts w:ascii="Arial" w:hAnsi="Arial" w:cs="Arial"/>
          <w:i/>
          <w:iCs/>
          <w:color w:val="000000" w:themeColor="text1"/>
        </w:rPr>
        <w:t>Singularis</w:t>
      </w:r>
      <w:r w:rsidR="0028091D" w:rsidRPr="009A677E">
        <w:rPr>
          <w:rFonts w:ascii="Arial" w:hAnsi="Arial" w:cs="Arial"/>
          <w:color w:val="000000" w:themeColor="text1"/>
        </w:rPr>
        <w:t xml:space="preserve"> form, is still too ambitious.</w:t>
      </w:r>
      <w:r w:rsidR="00DD0A20" w:rsidRPr="009A677E">
        <w:rPr>
          <w:rFonts w:ascii="Arial" w:hAnsi="Arial" w:cs="Arial"/>
          <w:color w:val="000000" w:themeColor="text1"/>
        </w:rPr>
        <w:t xml:space="preserve"> Lord Mance, who gave a powerful </w:t>
      </w:r>
      <w:r w:rsidR="005F624B" w:rsidRPr="009A677E">
        <w:rPr>
          <w:rFonts w:ascii="Arial" w:hAnsi="Arial" w:cs="Arial"/>
          <w:color w:val="000000" w:themeColor="text1"/>
        </w:rPr>
        <w:t>minority</w:t>
      </w:r>
      <w:r w:rsidR="00DD0A20" w:rsidRPr="009A677E">
        <w:rPr>
          <w:rFonts w:ascii="Arial" w:hAnsi="Arial" w:cs="Arial"/>
          <w:color w:val="000000" w:themeColor="text1"/>
        </w:rPr>
        <w:t xml:space="preserve"> Judgment in </w:t>
      </w:r>
      <w:r w:rsidR="00DD0A20" w:rsidRPr="00591FA2">
        <w:rPr>
          <w:rFonts w:ascii="Arial" w:hAnsi="Arial" w:cs="Arial"/>
          <w:i/>
          <w:iCs/>
          <w:color w:val="000000" w:themeColor="text1"/>
        </w:rPr>
        <w:t>Singularis</w:t>
      </w:r>
      <w:r w:rsidR="00D14690" w:rsidRPr="00591FA2">
        <w:rPr>
          <w:rFonts w:ascii="Arial" w:hAnsi="Arial" w:cs="Arial"/>
          <w:color w:val="000000" w:themeColor="text1"/>
        </w:rPr>
        <w:t>,</w:t>
      </w:r>
      <w:r w:rsidR="00DD0A20" w:rsidRPr="009A677E">
        <w:rPr>
          <w:rFonts w:ascii="Arial" w:hAnsi="Arial" w:cs="Arial"/>
          <w:color w:val="000000" w:themeColor="text1"/>
        </w:rPr>
        <w:t xml:space="preserve"> </w:t>
      </w:r>
      <w:r w:rsidR="005F624B" w:rsidRPr="009A677E">
        <w:rPr>
          <w:rFonts w:ascii="Arial" w:hAnsi="Arial" w:cs="Arial"/>
          <w:color w:val="000000" w:themeColor="text1"/>
        </w:rPr>
        <w:t>made much of the fact that</w:t>
      </w:r>
      <w:r w:rsidR="00D14690" w:rsidRPr="009A677E">
        <w:rPr>
          <w:rFonts w:ascii="Arial" w:hAnsi="Arial" w:cs="Arial"/>
          <w:color w:val="000000" w:themeColor="text1"/>
        </w:rPr>
        <w:t>,</w:t>
      </w:r>
      <w:r w:rsidR="00E33978" w:rsidRPr="009A677E">
        <w:rPr>
          <w:rFonts w:ascii="Arial" w:hAnsi="Arial" w:cs="Arial"/>
          <w:color w:val="000000" w:themeColor="text1"/>
        </w:rPr>
        <w:t xml:space="preserve"> if</w:t>
      </w:r>
      <w:r w:rsidR="00593B0A" w:rsidRPr="009A677E">
        <w:rPr>
          <w:rFonts w:ascii="Arial" w:hAnsi="Arial" w:cs="Arial"/>
          <w:color w:val="000000" w:themeColor="text1"/>
        </w:rPr>
        <w:t xml:space="preserve"> a</w:t>
      </w:r>
      <w:r w:rsidR="009A42AB" w:rsidRPr="009A677E">
        <w:rPr>
          <w:rFonts w:ascii="Arial" w:hAnsi="Arial" w:cs="Arial"/>
          <w:color w:val="000000" w:themeColor="text1"/>
        </w:rPr>
        <w:t xml:space="preserve"> domestic </w:t>
      </w:r>
      <w:r w:rsidR="00E33978" w:rsidRPr="009A677E">
        <w:rPr>
          <w:rFonts w:ascii="Arial" w:hAnsi="Arial" w:cs="Arial"/>
          <w:color w:val="000000" w:themeColor="text1"/>
        </w:rPr>
        <w:t xml:space="preserve">court had the power </w:t>
      </w:r>
      <w:r w:rsidR="00593B0A" w:rsidRPr="009A677E">
        <w:rPr>
          <w:rFonts w:ascii="Arial" w:hAnsi="Arial" w:cs="Arial"/>
          <w:color w:val="000000" w:themeColor="text1"/>
        </w:rPr>
        <w:t>to</w:t>
      </w:r>
      <w:r w:rsidR="00E33978" w:rsidRPr="009A677E">
        <w:rPr>
          <w:rFonts w:ascii="Arial" w:hAnsi="Arial" w:cs="Arial"/>
          <w:color w:val="000000" w:themeColor="text1"/>
        </w:rPr>
        <w:t xml:space="preserve"> </w:t>
      </w:r>
      <w:r w:rsidR="009A42AB" w:rsidRPr="009A677E">
        <w:rPr>
          <w:rFonts w:ascii="Arial" w:hAnsi="Arial" w:cs="Arial"/>
          <w:color w:val="000000" w:themeColor="text1"/>
        </w:rPr>
        <w:t xml:space="preserve">assist a foreign </w:t>
      </w:r>
      <w:r w:rsidR="00591FA2">
        <w:rPr>
          <w:rFonts w:ascii="Arial" w:hAnsi="Arial" w:cs="Arial"/>
          <w:color w:val="000000" w:themeColor="text1"/>
        </w:rPr>
        <w:t>one</w:t>
      </w:r>
      <w:r w:rsidR="009A42AB" w:rsidRPr="009A677E">
        <w:rPr>
          <w:rFonts w:ascii="Arial" w:hAnsi="Arial" w:cs="Arial"/>
          <w:color w:val="000000" w:themeColor="text1"/>
        </w:rPr>
        <w:t xml:space="preserve"> by doing anything which it could properly have done in </w:t>
      </w:r>
      <w:r w:rsidR="00593B0A" w:rsidRPr="009A677E">
        <w:rPr>
          <w:rFonts w:ascii="Arial" w:hAnsi="Arial" w:cs="Arial"/>
          <w:color w:val="000000" w:themeColor="text1"/>
        </w:rPr>
        <w:t>that court’s</w:t>
      </w:r>
      <w:r w:rsidR="009A42AB" w:rsidRPr="009A677E">
        <w:rPr>
          <w:rFonts w:ascii="Arial" w:hAnsi="Arial" w:cs="Arial"/>
          <w:color w:val="000000" w:themeColor="text1"/>
        </w:rPr>
        <w:t xml:space="preserve"> insolvency</w:t>
      </w:r>
      <w:r w:rsidR="00E33978" w:rsidRPr="009A677E">
        <w:rPr>
          <w:rFonts w:ascii="Arial" w:hAnsi="Arial" w:cs="Arial"/>
          <w:color w:val="000000" w:themeColor="text1"/>
        </w:rPr>
        <w:t xml:space="preserve"> proceedings</w:t>
      </w:r>
      <w:r w:rsidR="00593B0A" w:rsidRPr="009A677E">
        <w:rPr>
          <w:rFonts w:ascii="Arial" w:hAnsi="Arial" w:cs="Arial"/>
          <w:color w:val="000000" w:themeColor="text1"/>
        </w:rPr>
        <w:t>,</w:t>
      </w:r>
      <w:r w:rsidR="00E33978" w:rsidRPr="009A677E">
        <w:rPr>
          <w:rFonts w:ascii="Arial" w:hAnsi="Arial" w:cs="Arial"/>
          <w:color w:val="000000" w:themeColor="text1"/>
        </w:rPr>
        <w:t xml:space="preserve"> the</w:t>
      </w:r>
      <w:r w:rsidR="00A23BF0" w:rsidRPr="009A677E">
        <w:rPr>
          <w:rFonts w:ascii="Arial" w:hAnsi="Arial" w:cs="Arial"/>
          <w:color w:val="000000" w:themeColor="text1"/>
        </w:rPr>
        <w:t>re would always be a possibility that the domestic court would be asked to take steps which are without jurisdiction in a domestic context.</w:t>
      </w:r>
      <w:r w:rsidR="00E33978" w:rsidRPr="009A677E">
        <w:rPr>
          <w:rFonts w:ascii="Arial" w:hAnsi="Arial" w:cs="Arial"/>
          <w:color w:val="000000" w:themeColor="text1"/>
        </w:rPr>
        <w:t xml:space="preserve"> </w:t>
      </w:r>
      <w:r w:rsidR="00A23BF0" w:rsidRPr="009A677E">
        <w:rPr>
          <w:rFonts w:ascii="Arial" w:hAnsi="Arial" w:cs="Arial"/>
          <w:color w:val="000000" w:themeColor="text1"/>
        </w:rPr>
        <w:t xml:space="preserve">Lord Mance had </w:t>
      </w:r>
      <w:r w:rsidR="00D14690" w:rsidRPr="009A677E">
        <w:rPr>
          <w:rFonts w:ascii="Arial" w:hAnsi="Arial" w:cs="Arial"/>
          <w:color w:val="000000" w:themeColor="text1"/>
        </w:rPr>
        <w:t xml:space="preserve">in fact </w:t>
      </w:r>
      <w:r w:rsidR="00A23BF0" w:rsidRPr="009A677E">
        <w:rPr>
          <w:rFonts w:ascii="Arial" w:hAnsi="Arial" w:cs="Arial"/>
          <w:color w:val="000000" w:themeColor="text1"/>
        </w:rPr>
        <w:t xml:space="preserve">decided </w:t>
      </w:r>
      <w:r w:rsidR="009A42AB" w:rsidRPr="00591FA2">
        <w:rPr>
          <w:rFonts w:ascii="Arial" w:hAnsi="Arial" w:cs="Arial"/>
          <w:i/>
          <w:iCs/>
          <w:color w:val="000000" w:themeColor="text1"/>
        </w:rPr>
        <w:t>Rubin</w:t>
      </w:r>
      <w:r w:rsidR="009A42AB" w:rsidRPr="009A677E">
        <w:rPr>
          <w:rFonts w:ascii="Arial" w:hAnsi="Arial" w:cs="Arial"/>
          <w:color w:val="000000" w:themeColor="text1"/>
        </w:rPr>
        <w:t xml:space="preserve"> </w:t>
      </w:r>
      <w:r w:rsidR="00A23BF0" w:rsidRPr="009A677E">
        <w:rPr>
          <w:rFonts w:ascii="Arial" w:hAnsi="Arial" w:cs="Arial"/>
          <w:color w:val="000000" w:themeColor="text1"/>
        </w:rPr>
        <w:t>on the same basis</w:t>
      </w:r>
      <w:r w:rsidR="00466DBF" w:rsidRPr="009A677E">
        <w:rPr>
          <w:rFonts w:ascii="Arial" w:hAnsi="Arial" w:cs="Arial"/>
          <w:color w:val="000000" w:themeColor="text1"/>
        </w:rPr>
        <w:t xml:space="preserve"> and </w:t>
      </w:r>
      <w:r w:rsidR="005F624B" w:rsidRPr="009A677E">
        <w:rPr>
          <w:rFonts w:ascii="Arial" w:hAnsi="Arial" w:cs="Arial"/>
          <w:color w:val="000000" w:themeColor="text1"/>
        </w:rPr>
        <w:t>preferred the view that the principle of Modified Universalism could stand</w:t>
      </w:r>
      <w:r w:rsidR="009A42AB" w:rsidRPr="009A677E">
        <w:rPr>
          <w:rFonts w:ascii="Arial" w:hAnsi="Arial" w:cs="Arial"/>
          <w:color w:val="000000" w:themeColor="text1"/>
        </w:rPr>
        <w:t xml:space="preserve"> for no more than the proposition that </w:t>
      </w:r>
      <w:r w:rsidR="005F624B" w:rsidRPr="009A677E">
        <w:rPr>
          <w:rFonts w:ascii="Arial" w:hAnsi="Arial" w:cs="Arial"/>
          <w:color w:val="000000" w:themeColor="text1"/>
        </w:rPr>
        <w:t>“</w:t>
      </w:r>
      <w:r w:rsidR="009A42AB" w:rsidRPr="009A677E">
        <w:rPr>
          <w:rFonts w:ascii="Arial" w:hAnsi="Arial" w:cs="Arial"/>
          <w:color w:val="000000" w:themeColor="text1"/>
        </w:rPr>
        <w:t>a domestic court should, so far as it can consistently with its own law, recognise a foreign bankruptcy order and deal with identifiable assets within its jurisdiction consistently with the way in which the foreign insolvency would deal with them</w:t>
      </w:r>
      <w:r w:rsidR="005F624B" w:rsidRPr="009A677E">
        <w:rPr>
          <w:rFonts w:ascii="Arial" w:hAnsi="Arial" w:cs="Arial"/>
          <w:color w:val="000000" w:themeColor="text1"/>
        </w:rPr>
        <w:t>”</w:t>
      </w:r>
      <w:r w:rsidR="00591FA2" w:rsidRPr="00591FA2">
        <w:rPr>
          <w:rStyle w:val="FootnoteReference"/>
          <w:rFonts w:ascii="Arial" w:hAnsi="Arial" w:cs="Arial"/>
          <w:color w:val="000000" w:themeColor="text1"/>
        </w:rPr>
        <w:t xml:space="preserve"> </w:t>
      </w:r>
      <w:r w:rsidR="00591FA2" w:rsidRPr="009A677E">
        <w:rPr>
          <w:rStyle w:val="FootnoteReference"/>
          <w:rFonts w:ascii="Arial" w:hAnsi="Arial" w:cs="Arial"/>
          <w:color w:val="000000" w:themeColor="text1"/>
        </w:rPr>
        <w:footnoteReference w:id="13"/>
      </w:r>
      <w:r w:rsidR="0035198F" w:rsidRPr="009A677E">
        <w:rPr>
          <w:rFonts w:ascii="Arial" w:hAnsi="Arial" w:cs="Arial"/>
          <w:color w:val="000000" w:themeColor="text1"/>
        </w:rPr>
        <w:t>.</w:t>
      </w:r>
      <w:r w:rsidR="00466DBF" w:rsidRPr="009A677E">
        <w:rPr>
          <w:rFonts w:ascii="Arial" w:hAnsi="Arial" w:cs="Arial"/>
          <w:color w:val="000000" w:themeColor="text1"/>
        </w:rPr>
        <w:t xml:space="preserve"> That is, a</w:t>
      </w:r>
      <w:r w:rsidR="0035198F" w:rsidRPr="009A677E">
        <w:rPr>
          <w:rFonts w:ascii="Arial" w:hAnsi="Arial" w:cs="Arial"/>
          <w:color w:val="000000" w:themeColor="text1"/>
        </w:rPr>
        <w:t xml:space="preserve"> proposition much more </w:t>
      </w:r>
      <w:r w:rsidR="00B404BF" w:rsidRPr="009A677E">
        <w:rPr>
          <w:rFonts w:ascii="Arial" w:hAnsi="Arial" w:cs="Arial"/>
          <w:color w:val="000000" w:themeColor="text1"/>
        </w:rPr>
        <w:t>consistent</w:t>
      </w:r>
      <w:r w:rsidR="0035198F" w:rsidRPr="009A677E">
        <w:rPr>
          <w:rFonts w:ascii="Arial" w:hAnsi="Arial" w:cs="Arial"/>
          <w:color w:val="000000" w:themeColor="text1"/>
        </w:rPr>
        <w:t xml:space="preserve"> with the decision in </w:t>
      </w:r>
      <w:r w:rsidR="00286229" w:rsidRPr="00D419B2">
        <w:rPr>
          <w:rFonts w:ascii="Arial" w:hAnsi="Arial" w:cs="Arial"/>
          <w:i/>
          <w:iCs/>
          <w:color w:val="000000" w:themeColor="text1"/>
        </w:rPr>
        <w:t>In re Suidair International Airways, LD</w:t>
      </w:r>
      <w:r w:rsidR="009A42AB" w:rsidRPr="009A677E">
        <w:rPr>
          <w:rFonts w:ascii="Arial" w:hAnsi="Arial" w:cs="Arial"/>
          <w:color w:val="000000" w:themeColor="text1"/>
        </w:rPr>
        <w:t xml:space="preserve">. </w:t>
      </w:r>
      <w:r w:rsidR="006653AC" w:rsidRPr="009A677E">
        <w:rPr>
          <w:rFonts w:ascii="Arial" w:hAnsi="Arial" w:cs="Arial"/>
          <w:color w:val="000000" w:themeColor="text1"/>
        </w:rPr>
        <w:t>He</w:t>
      </w:r>
      <w:r w:rsidR="005F624B" w:rsidRPr="009A677E">
        <w:rPr>
          <w:rFonts w:ascii="Arial" w:hAnsi="Arial" w:cs="Arial"/>
          <w:color w:val="000000" w:themeColor="text1"/>
        </w:rPr>
        <w:t xml:space="preserve"> </w:t>
      </w:r>
      <w:r w:rsidR="00EA7220" w:rsidRPr="009A677E">
        <w:rPr>
          <w:rFonts w:ascii="Arial" w:hAnsi="Arial" w:cs="Arial"/>
          <w:color w:val="000000" w:themeColor="text1"/>
        </w:rPr>
        <w:t>attacked the view, therefore, that Modified Universalism could confer jurisdiction on a domestic court</w:t>
      </w:r>
      <w:r w:rsidR="0040595B" w:rsidRPr="009A677E">
        <w:rPr>
          <w:rFonts w:ascii="Arial" w:hAnsi="Arial" w:cs="Arial"/>
          <w:color w:val="000000" w:themeColor="text1"/>
        </w:rPr>
        <w:t xml:space="preserve"> and</w:t>
      </w:r>
      <w:r w:rsidR="00EA7220" w:rsidRPr="009A677E">
        <w:rPr>
          <w:rFonts w:ascii="Arial" w:hAnsi="Arial" w:cs="Arial"/>
          <w:color w:val="000000" w:themeColor="text1"/>
        </w:rPr>
        <w:t xml:space="preserve"> </w:t>
      </w:r>
      <w:r w:rsidR="00290B3F" w:rsidRPr="009A677E">
        <w:rPr>
          <w:rFonts w:ascii="Arial" w:hAnsi="Arial" w:cs="Arial"/>
          <w:color w:val="000000" w:themeColor="text1"/>
        </w:rPr>
        <w:t xml:space="preserve">order </w:t>
      </w:r>
      <w:r w:rsidR="00EA7220" w:rsidRPr="009A677E">
        <w:rPr>
          <w:rFonts w:ascii="Arial" w:hAnsi="Arial" w:cs="Arial"/>
          <w:color w:val="000000" w:themeColor="text1"/>
        </w:rPr>
        <w:t>cross</w:t>
      </w:r>
      <w:r w:rsidR="00BC7A01" w:rsidRPr="009A677E">
        <w:rPr>
          <w:rFonts w:ascii="Arial" w:hAnsi="Arial" w:cs="Arial"/>
          <w:color w:val="000000" w:themeColor="text1"/>
        </w:rPr>
        <w:t>-</w:t>
      </w:r>
      <w:r w:rsidR="00EA7220" w:rsidRPr="009A677E">
        <w:rPr>
          <w:rFonts w:ascii="Arial" w:hAnsi="Arial" w:cs="Arial"/>
          <w:color w:val="000000" w:themeColor="text1"/>
        </w:rPr>
        <w:t>examin</w:t>
      </w:r>
      <w:r w:rsidR="00B404BF" w:rsidRPr="009A677E">
        <w:rPr>
          <w:rFonts w:ascii="Arial" w:hAnsi="Arial" w:cs="Arial"/>
          <w:color w:val="000000" w:themeColor="text1"/>
        </w:rPr>
        <w:t>ation</w:t>
      </w:r>
      <w:r w:rsidR="00EA7220" w:rsidRPr="009A677E">
        <w:rPr>
          <w:rFonts w:ascii="Arial" w:hAnsi="Arial" w:cs="Arial"/>
          <w:color w:val="000000" w:themeColor="text1"/>
        </w:rPr>
        <w:t xml:space="preserve"> and obtain disclosure from third </w:t>
      </w:r>
      <w:r w:rsidR="000F7ECD" w:rsidRPr="009A677E">
        <w:rPr>
          <w:rFonts w:ascii="Arial" w:hAnsi="Arial" w:cs="Arial"/>
          <w:color w:val="000000" w:themeColor="text1"/>
        </w:rPr>
        <w:t xml:space="preserve">parties </w:t>
      </w:r>
      <w:r w:rsidR="00D14690" w:rsidRPr="009A677E">
        <w:rPr>
          <w:rFonts w:ascii="Arial" w:hAnsi="Arial" w:cs="Arial"/>
          <w:color w:val="000000" w:themeColor="text1"/>
        </w:rPr>
        <w:t xml:space="preserve">for the sake of </w:t>
      </w:r>
      <w:r w:rsidR="000F7ECD" w:rsidRPr="009A677E">
        <w:rPr>
          <w:rFonts w:ascii="Arial" w:hAnsi="Arial" w:cs="Arial"/>
          <w:color w:val="000000" w:themeColor="text1"/>
        </w:rPr>
        <w:t>expediency</w:t>
      </w:r>
      <w:r w:rsidR="009A42AB" w:rsidRPr="009A677E">
        <w:rPr>
          <w:rFonts w:ascii="Arial" w:hAnsi="Arial" w:cs="Arial"/>
          <w:color w:val="000000" w:themeColor="text1"/>
        </w:rPr>
        <w:t xml:space="preserve">. </w:t>
      </w:r>
      <w:r w:rsidR="00D14690" w:rsidRPr="009A677E">
        <w:rPr>
          <w:rFonts w:ascii="Arial" w:hAnsi="Arial" w:cs="Arial"/>
          <w:color w:val="000000" w:themeColor="text1"/>
        </w:rPr>
        <w:t>He</w:t>
      </w:r>
      <w:r w:rsidR="00290B3F" w:rsidRPr="009A677E">
        <w:rPr>
          <w:rFonts w:ascii="Arial" w:hAnsi="Arial" w:cs="Arial"/>
          <w:color w:val="000000" w:themeColor="text1"/>
        </w:rPr>
        <w:t xml:space="preserve"> noted </w:t>
      </w:r>
      <w:r w:rsidR="0040595B" w:rsidRPr="009A677E">
        <w:rPr>
          <w:rFonts w:ascii="Arial" w:hAnsi="Arial" w:cs="Arial"/>
          <w:color w:val="000000" w:themeColor="text1"/>
        </w:rPr>
        <w:t xml:space="preserve">that </w:t>
      </w:r>
      <w:r w:rsidR="00290B3F" w:rsidRPr="009A677E">
        <w:rPr>
          <w:rFonts w:ascii="Arial" w:hAnsi="Arial" w:cs="Arial"/>
          <w:color w:val="000000" w:themeColor="text1"/>
        </w:rPr>
        <w:t xml:space="preserve">such relief would not be available to a litigant outside of a </w:t>
      </w:r>
      <w:r w:rsidR="00E57114" w:rsidRPr="009A677E">
        <w:rPr>
          <w:rFonts w:ascii="Arial" w:hAnsi="Arial" w:cs="Arial"/>
          <w:color w:val="000000" w:themeColor="text1"/>
        </w:rPr>
        <w:t>full-blown</w:t>
      </w:r>
      <w:r w:rsidR="00290B3F" w:rsidRPr="009A677E">
        <w:rPr>
          <w:rFonts w:ascii="Arial" w:hAnsi="Arial" w:cs="Arial"/>
          <w:color w:val="000000" w:themeColor="text1"/>
        </w:rPr>
        <w:t xml:space="preserve"> </w:t>
      </w:r>
      <w:r w:rsidR="009A42AB" w:rsidRPr="009A677E">
        <w:rPr>
          <w:rFonts w:ascii="Arial" w:hAnsi="Arial" w:cs="Arial"/>
          <w:color w:val="000000" w:themeColor="text1"/>
        </w:rPr>
        <w:t xml:space="preserve">Norwich Pharmacal </w:t>
      </w:r>
      <w:r w:rsidR="00290B3F" w:rsidRPr="009A677E">
        <w:rPr>
          <w:rFonts w:ascii="Arial" w:hAnsi="Arial" w:cs="Arial"/>
          <w:color w:val="000000" w:themeColor="text1"/>
        </w:rPr>
        <w:t xml:space="preserve">application and that the </w:t>
      </w:r>
      <w:r w:rsidR="009A42AB" w:rsidRPr="009A677E">
        <w:rPr>
          <w:rFonts w:ascii="Arial" w:hAnsi="Arial" w:cs="Arial"/>
          <w:color w:val="000000" w:themeColor="text1"/>
        </w:rPr>
        <w:t>common law ha</w:t>
      </w:r>
      <w:r w:rsidR="00167588" w:rsidRPr="009A677E">
        <w:rPr>
          <w:rFonts w:ascii="Arial" w:hAnsi="Arial" w:cs="Arial"/>
          <w:color w:val="000000" w:themeColor="text1"/>
        </w:rPr>
        <w:t>d</w:t>
      </w:r>
      <w:r w:rsidR="009A42AB" w:rsidRPr="009A677E">
        <w:rPr>
          <w:rFonts w:ascii="Arial" w:hAnsi="Arial" w:cs="Arial"/>
          <w:color w:val="000000" w:themeColor="text1"/>
        </w:rPr>
        <w:t xml:space="preserve"> </w:t>
      </w:r>
      <w:r w:rsidR="00286229" w:rsidRPr="009A677E">
        <w:rPr>
          <w:rFonts w:ascii="Arial" w:hAnsi="Arial" w:cs="Arial"/>
          <w:color w:val="000000" w:themeColor="text1"/>
        </w:rPr>
        <w:t>thus far</w:t>
      </w:r>
      <w:r w:rsidR="009A42AB" w:rsidRPr="009A677E">
        <w:rPr>
          <w:rFonts w:ascii="Arial" w:hAnsi="Arial" w:cs="Arial"/>
          <w:color w:val="000000" w:themeColor="text1"/>
        </w:rPr>
        <w:t xml:space="preserve"> </w:t>
      </w:r>
      <w:r w:rsidR="00286229" w:rsidRPr="009A677E">
        <w:rPr>
          <w:rFonts w:ascii="Arial" w:hAnsi="Arial" w:cs="Arial"/>
          <w:color w:val="000000" w:themeColor="text1"/>
        </w:rPr>
        <w:t xml:space="preserve">not </w:t>
      </w:r>
      <w:r w:rsidR="009A42AB" w:rsidRPr="009A677E">
        <w:rPr>
          <w:rFonts w:ascii="Arial" w:hAnsi="Arial" w:cs="Arial"/>
          <w:color w:val="000000" w:themeColor="text1"/>
        </w:rPr>
        <w:t>accepted any such jurisdiction.</w:t>
      </w:r>
    </w:p>
    <w:p w14:paraId="322322FD" w14:textId="77777777" w:rsidR="00D14690" w:rsidRPr="009A677E" w:rsidRDefault="00D14690" w:rsidP="00D14690">
      <w:pPr>
        <w:pStyle w:val="ListParagraph"/>
        <w:jc w:val="both"/>
        <w:rPr>
          <w:rFonts w:ascii="Arial" w:hAnsi="Arial" w:cs="Arial"/>
          <w:color w:val="000000" w:themeColor="text1"/>
        </w:rPr>
      </w:pPr>
    </w:p>
    <w:p w14:paraId="13E6D863" w14:textId="0F798A9B" w:rsidR="009A42AB" w:rsidRPr="009A677E" w:rsidRDefault="00D14690" w:rsidP="00945070">
      <w:pPr>
        <w:pStyle w:val="ListParagraph"/>
        <w:numPr>
          <w:ilvl w:val="0"/>
          <w:numId w:val="1"/>
        </w:numPr>
        <w:jc w:val="both"/>
        <w:rPr>
          <w:rFonts w:ascii="Arial" w:hAnsi="Arial" w:cs="Arial"/>
          <w:color w:val="000000" w:themeColor="text1"/>
        </w:rPr>
      </w:pPr>
      <w:r w:rsidRPr="009A677E">
        <w:rPr>
          <w:rFonts w:ascii="Arial" w:hAnsi="Arial" w:cs="Arial"/>
          <w:color w:val="000000" w:themeColor="text1"/>
        </w:rPr>
        <w:t xml:space="preserve">It </w:t>
      </w:r>
      <w:r w:rsidR="00022F9B" w:rsidRPr="009A677E">
        <w:rPr>
          <w:rFonts w:ascii="Arial" w:hAnsi="Arial" w:cs="Arial"/>
          <w:color w:val="000000" w:themeColor="text1"/>
        </w:rPr>
        <w:t>seems</w:t>
      </w:r>
      <w:r w:rsidRPr="009A677E">
        <w:rPr>
          <w:rFonts w:ascii="Arial" w:hAnsi="Arial" w:cs="Arial"/>
          <w:color w:val="000000" w:themeColor="text1"/>
        </w:rPr>
        <w:t xml:space="preserve"> clear that ne</w:t>
      </w:r>
      <w:r w:rsidR="00022F9B" w:rsidRPr="009A677E">
        <w:rPr>
          <w:rFonts w:ascii="Arial" w:hAnsi="Arial" w:cs="Arial"/>
          <w:color w:val="000000" w:themeColor="text1"/>
        </w:rPr>
        <w:t>i</w:t>
      </w:r>
      <w:r w:rsidRPr="009A677E">
        <w:rPr>
          <w:rFonts w:ascii="Arial" w:hAnsi="Arial" w:cs="Arial"/>
          <w:color w:val="000000" w:themeColor="text1"/>
        </w:rPr>
        <w:t>ther the</w:t>
      </w:r>
      <w:r w:rsidR="000F7ECD" w:rsidRPr="009A677E">
        <w:rPr>
          <w:rFonts w:ascii="Arial" w:hAnsi="Arial" w:cs="Arial"/>
          <w:color w:val="000000" w:themeColor="text1"/>
        </w:rPr>
        <w:t xml:space="preserve"> United Kingdom</w:t>
      </w:r>
      <w:r w:rsidRPr="009A677E">
        <w:rPr>
          <w:rFonts w:ascii="Arial" w:hAnsi="Arial" w:cs="Arial"/>
          <w:color w:val="000000" w:themeColor="text1"/>
        </w:rPr>
        <w:t xml:space="preserve"> Supreme Court nor</w:t>
      </w:r>
      <w:r w:rsidR="00D419B2">
        <w:rPr>
          <w:rFonts w:ascii="Arial" w:hAnsi="Arial" w:cs="Arial"/>
          <w:color w:val="000000" w:themeColor="text1"/>
        </w:rPr>
        <w:t>, probably,</w:t>
      </w:r>
      <w:r w:rsidRPr="009A677E">
        <w:rPr>
          <w:rFonts w:ascii="Arial" w:hAnsi="Arial" w:cs="Arial"/>
          <w:color w:val="000000" w:themeColor="text1"/>
        </w:rPr>
        <w:t xml:space="preserve"> the Privy Council has heard the last of issues </w:t>
      </w:r>
      <w:r w:rsidR="00022F9B" w:rsidRPr="009A677E">
        <w:rPr>
          <w:rFonts w:ascii="Arial" w:hAnsi="Arial" w:cs="Arial"/>
          <w:color w:val="000000" w:themeColor="text1"/>
        </w:rPr>
        <w:t>concerning</w:t>
      </w:r>
      <w:r w:rsidRPr="009A677E">
        <w:rPr>
          <w:rFonts w:ascii="Arial" w:hAnsi="Arial" w:cs="Arial"/>
          <w:color w:val="000000" w:themeColor="text1"/>
        </w:rPr>
        <w:t xml:space="preserve"> the </w:t>
      </w:r>
      <w:r w:rsidR="00022F9B" w:rsidRPr="009A677E">
        <w:rPr>
          <w:rFonts w:ascii="Arial" w:hAnsi="Arial" w:cs="Arial"/>
          <w:color w:val="000000" w:themeColor="text1"/>
        </w:rPr>
        <w:t>ambit of the principle of Modified Universalism</w:t>
      </w:r>
      <w:r w:rsidR="005D0312">
        <w:rPr>
          <w:rFonts w:ascii="Arial" w:hAnsi="Arial" w:cs="Arial"/>
          <w:color w:val="000000" w:themeColor="text1"/>
        </w:rPr>
        <w:t>.</w:t>
      </w:r>
      <w:r w:rsidR="00167588" w:rsidRPr="009A677E">
        <w:rPr>
          <w:rFonts w:ascii="Arial" w:hAnsi="Arial" w:cs="Arial"/>
          <w:color w:val="000000" w:themeColor="text1"/>
        </w:rPr>
        <w:t xml:space="preserve"> Lord Mance</w:t>
      </w:r>
      <w:r w:rsidR="00E57114" w:rsidRPr="009A677E">
        <w:rPr>
          <w:rFonts w:ascii="Arial" w:hAnsi="Arial" w:cs="Arial"/>
          <w:color w:val="000000" w:themeColor="text1"/>
        </w:rPr>
        <w:t xml:space="preserve"> </w:t>
      </w:r>
      <w:r w:rsidR="00022F9B" w:rsidRPr="009A677E">
        <w:rPr>
          <w:rFonts w:ascii="Arial" w:hAnsi="Arial" w:cs="Arial"/>
          <w:color w:val="000000" w:themeColor="text1"/>
        </w:rPr>
        <w:t xml:space="preserve">in </w:t>
      </w:r>
      <w:r w:rsidR="00022F9B" w:rsidRPr="00DF46E0">
        <w:rPr>
          <w:rFonts w:ascii="Arial" w:hAnsi="Arial" w:cs="Arial"/>
          <w:i/>
          <w:iCs/>
          <w:color w:val="000000" w:themeColor="text1"/>
        </w:rPr>
        <w:t>Singularis</w:t>
      </w:r>
      <w:r w:rsidR="00022F9B" w:rsidRPr="009A677E">
        <w:rPr>
          <w:rFonts w:ascii="Arial" w:hAnsi="Arial" w:cs="Arial"/>
          <w:color w:val="000000" w:themeColor="text1"/>
        </w:rPr>
        <w:t xml:space="preserve"> reminded that </w:t>
      </w:r>
      <w:r w:rsidR="00167588" w:rsidRPr="009A677E">
        <w:rPr>
          <w:rFonts w:ascii="Arial" w:hAnsi="Arial" w:cs="Arial"/>
          <w:color w:val="000000" w:themeColor="text1"/>
        </w:rPr>
        <w:t xml:space="preserve">much of the discussion </w:t>
      </w:r>
      <w:r w:rsidR="00022F9B" w:rsidRPr="009A677E">
        <w:rPr>
          <w:rFonts w:ascii="Arial" w:hAnsi="Arial" w:cs="Arial"/>
          <w:color w:val="000000" w:themeColor="text1"/>
        </w:rPr>
        <w:t>pertaining to the</w:t>
      </w:r>
      <w:r w:rsidR="00167588" w:rsidRPr="009A677E">
        <w:rPr>
          <w:rFonts w:ascii="Arial" w:hAnsi="Arial" w:cs="Arial"/>
          <w:color w:val="000000" w:themeColor="text1"/>
        </w:rPr>
        <w:t xml:space="preserve"> principle of Modified Universalism </w:t>
      </w:r>
      <w:r w:rsidR="005D0312" w:rsidRPr="009A677E">
        <w:rPr>
          <w:rFonts w:ascii="Arial" w:hAnsi="Arial" w:cs="Arial"/>
          <w:color w:val="000000" w:themeColor="text1"/>
        </w:rPr>
        <w:t xml:space="preserve">in </w:t>
      </w:r>
      <w:r w:rsidR="005D0312" w:rsidRPr="00DF46E0">
        <w:rPr>
          <w:rFonts w:ascii="Arial" w:hAnsi="Arial" w:cs="Arial"/>
          <w:i/>
          <w:iCs/>
          <w:color w:val="000000" w:themeColor="text1"/>
        </w:rPr>
        <w:t>Singularis</w:t>
      </w:r>
      <w:r w:rsidR="005D0312" w:rsidRPr="009A677E">
        <w:rPr>
          <w:rFonts w:ascii="Arial" w:hAnsi="Arial" w:cs="Arial"/>
          <w:color w:val="000000" w:themeColor="text1"/>
        </w:rPr>
        <w:t xml:space="preserve"> </w:t>
      </w:r>
      <w:r w:rsidR="00167588" w:rsidRPr="009A677E">
        <w:rPr>
          <w:rFonts w:ascii="Arial" w:hAnsi="Arial" w:cs="Arial"/>
          <w:color w:val="000000" w:themeColor="text1"/>
        </w:rPr>
        <w:t>was technically obiter, it being strictly</w:t>
      </w:r>
      <w:r w:rsidR="00E57114" w:rsidRPr="009A677E">
        <w:rPr>
          <w:rFonts w:ascii="Arial" w:hAnsi="Arial" w:cs="Arial"/>
          <w:color w:val="000000" w:themeColor="text1"/>
        </w:rPr>
        <w:t xml:space="preserve"> speaking</w:t>
      </w:r>
      <w:r w:rsidR="00167588" w:rsidRPr="009A677E">
        <w:rPr>
          <w:rFonts w:ascii="Arial" w:hAnsi="Arial" w:cs="Arial"/>
          <w:color w:val="000000" w:themeColor="text1"/>
        </w:rPr>
        <w:t xml:space="preserve"> </w:t>
      </w:r>
      <w:r w:rsidR="00E57114" w:rsidRPr="009A677E">
        <w:rPr>
          <w:rFonts w:ascii="Arial" w:hAnsi="Arial" w:cs="Arial"/>
          <w:color w:val="000000" w:themeColor="text1"/>
        </w:rPr>
        <w:t>irrelevant to the ultimate findings in the appeal.</w:t>
      </w:r>
      <w:r w:rsidR="00022F9B" w:rsidRPr="009A677E">
        <w:rPr>
          <w:rFonts w:ascii="Arial" w:hAnsi="Arial" w:cs="Arial"/>
          <w:color w:val="000000" w:themeColor="text1"/>
        </w:rPr>
        <w:t xml:space="preserve"> For that reason </w:t>
      </w:r>
      <w:r w:rsidR="000F7ECD" w:rsidRPr="009A677E">
        <w:rPr>
          <w:rFonts w:ascii="Arial" w:hAnsi="Arial" w:cs="Arial"/>
          <w:color w:val="000000" w:themeColor="text1"/>
        </w:rPr>
        <w:t>alone,</w:t>
      </w:r>
      <w:r w:rsidR="00022F9B" w:rsidRPr="009A677E">
        <w:rPr>
          <w:rFonts w:ascii="Arial" w:hAnsi="Arial" w:cs="Arial"/>
          <w:color w:val="000000" w:themeColor="text1"/>
        </w:rPr>
        <w:t xml:space="preserve"> there </w:t>
      </w:r>
      <w:r w:rsidR="000F7ECD" w:rsidRPr="009A677E">
        <w:rPr>
          <w:rFonts w:ascii="Arial" w:hAnsi="Arial" w:cs="Arial"/>
          <w:color w:val="000000" w:themeColor="text1"/>
        </w:rPr>
        <w:t>are</w:t>
      </w:r>
      <w:r w:rsidR="00022F9B" w:rsidRPr="009A677E">
        <w:rPr>
          <w:rFonts w:ascii="Arial" w:hAnsi="Arial" w:cs="Arial"/>
          <w:color w:val="000000" w:themeColor="text1"/>
        </w:rPr>
        <w:t xml:space="preserve"> bound to be further </w:t>
      </w:r>
      <w:r w:rsidR="000F7ECD" w:rsidRPr="009A677E">
        <w:rPr>
          <w:rFonts w:ascii="Arial" w:hAnsi="Arial" w:cs="Arial"/>
          <w:color w:val="000000" w:themeColor="text1"/>
        </w:rPr>
        <w:t>cases</w:t>
      </w:r>
      <w:r w:rsidR="00022F9B" w:rsidRPr="009A677E">
        <w:rPr>
          <w:rFonts w:ascii="Arial" w:hAnsi="Arial" w:cs="Arial"/>
          <w:color w:val="000000" w:themeColor="text1"/>
        </w:rPr>
        <w:t xml:space="preserve"> testing</w:t>
      </w:r>
      <w:r w:rsidR="008F06EB" w:rsidRPr="009A677E">
        <w:rPr>
          <w:rFonts w:ascii="Arial" w:hAnsi="Arial" w:cs="Arial"/>
          <w:color w:val="000000" w:themeColor="text1"/>
        </w:rPr>
        <w:t xml:space="preserve"> the</w:t>
      </w:r>
      <w:r w:rsidR="00022F9B" w:rsidRPr="009A677E">
        <w:rPr>
          <w:rFonts w:ascii="Arial" w:hAnsi="Arial" w:cs="Arial"/>
          <w:color w:val="000000" w:themeColor="text1"/>
        </w:rPr>
        <w:t xml:space="preserve"> </w:t>
      </w:r>
      <w:r w:rsidR="008F06EB" w:rsidRPr="009A677E">
        <w:rPr>
          <w:rFonts w:ascii="Arial" w:hAnsi="Arial" w:cs="Arial"/>
          <w:color w:val="000000" w:themeColor="text1"/>
        </w:rPr>
        <w:t>waters, so to speak, where Modified Universalism is concerned.</w:t>
      </w:r>
    </w:p>
    <w:p w14:paraId="084FE11F" w14:textId="168A27A1" w:rsidR="005E3008" w:rsidRDefault="005E3008" w:rsidP="00EA5C5E">
      <w:pPr>
        <w:ind w:left="360"/>
        <w:rPr>
          <w:rFonts w:ascii="Arial" w:hAnsi="Arial" w:cs="Arial"/>
          <w:color w:val="000000" w:themeColor="text1"/>
        </w:rPr>
      </w:pPr>
    </w:p>
    <w:p w14:paraId="4D1F081B" w14:textId="6959A399" w:rsidR="00EA5C5E" w:rsidRPr="00EA5C5E" w:rsidRDefault="00340046" w:rsidP="00340046">
      <w:pPr>
        <w:rPr>
          <w:rFonts w:ascii="Arial" w:hAnsi="Arial" w:cs="Arial"/>
          <w:b/>
          <w:bCs/>
          <w:color w:val="000000" w:themeColor="text1"/>
        </w:rPr>
      </w:pPr>
      <w:r>
        <w:rPr>
          <w:rFonts w:ascii="Arial" w:hAnsi="Arial" w:cs="Arial"/>
          <w:b/>
          <w:bCs/>
          <w:color w:val="000000" w:themeColor="text1"/>
        </w:rPr>
        <w:lastRenderedPageBreak/>
        <w:t>E.</w:t>
      </w:r>
      <w:r>
        <w:rPr>
          <w:rFonts w:ascii="Arial" w:hAnsi="Arial" w:cs="Arial"/>
          <w:b/>
          <w:bCs/>
          <w:color w:val="000000" w:themeColor="text1"/>
        </w:rPr>
        <w:tab/>
      </w:r>
      <w:r w:rsidR="00EA5C5E" w:rsidRPr="00EA5C5E">
        <w:rPr>
          <w:rFonts w:ascii="Arial" w:hAnsi="Arial" w:cs="Arial"/>
          <w:b/>
          <w:bCs/>
          <w:color w:val="000000" w:themeColor="text1"/>
        </w:rPr>
        <w:t>The South African landscape</w:t>
      </w:r>
    </w:p>
    <w:p w14:paraId="14AD8AC9" w14:textId="44C71ED8" w:rsidR="00DB1D29" w:rsidRDefault="005D6C1B" w:rsidP="00945070">
      <w:pPr>
        <w:pStyle w:val="ListParagraph"/>
        <w:numPr>
          <w:ilvl w:val="0"/>
          <w:numId w:val="1"/>
        </w:numPr>
        <w:jc w:val="both"/>
        <w:rPr>
          <w:rFonts w:ascii="Arial" w:hAnsi="Arial" w:cs="Arial"/>
          <w:color w:val="000000" w:themeColor="text1"/>
        </w:rPr>
      </w:pPr>
      <w:r w:rsidRPr="009A677E">
        <w:rPr>
          <w:rFonts w:ascii="Arial" w:hAnsi="Arial" w:cs="Arial"/>
          <w:color w:val="000000" w:themeColor="text1"/>
        </w:rPr>
        <w:t xml:space="preserve">It is not unsurprising </w:t>
      </w:r>
      <w:r w:rsidR="00B05016" w:rsidRPr="009A677E">
        <w:rPr>
          <w:rFonts w:ascii="Arial" w:hAnsi="Arial" w:cs="Arial"/>
          <w:color w:val="000000" w:themeColor="text1"/>
        </w:rPr>
        <w:t xml:space="preserve">that </w:t>
      </w:r>
      <w:r w:rsidR="00F74322" w:rsidRPr="009A677E">
        <w:rPr>
          <w:rFonts w:ascii="Arial" w:hAnsi="Arial" w:cs="Arial"/>
          <w:color w:val="000000" w:themeColor="text1"/>
        </w:rPr>
        <w:t xml:space="preserve">significant support was drawn from South African jurisprudence in </w:t>
      </w:r>
      <w:r w:rsidR="004E32A7" w:rsidRPr="009A677E">
        <w:rPr>
          <w:rFonts w:ascii="Arial" w:hAnsi="Arial" w:cs="Arial"/>
          <w:color w:val="000000" w:themeColor="text1"/>
        </w:rPr>
        <w:t>the development of the</w:t>
      </w:r>
      <w:r w:rsidR="00466DBF" w:rsidRPr="009A677E">
        <w:rPr>
          <w:rFonts w:ascii="Arial" w:hAnsi="Arial" w:cs="Arial"/>
          <w:color w:val="000000" w:themeColor="text1"/>
        </w:rPr>
        <w:t xml:space="preserve"> </w:t>
      </w:r>
      <w:r w:rsidR="00247B8A" w:rsidRPr="009A677E">
        <w:rPr>
          <w:rFonts w:ascii="Arial" w:hAnsi="Arial" w:cs="Arial"/>
          <w:color w:val="000000" w:themeColor="text1"/>
        </w:rPr>
        <w:t xml:space="preserve">English </w:t>
      </w:r>
      <w:r w:rsidR="004E32A7" w:rsidRPr="009A677E">
        <w:rPr>
          <w:rFonts w:ascii="Arial" w:hAnsi="Arial" w:cs="Arial"/>
          <w:color w:val="000000" w:themeColor="text1"/>
        </w:rPr>
        <w:t>common law as regards the assistance to be given to foreign office holders.</w:t>
      </w:r>
      <w:r w:rsidR="00511D92" w:rsidRPr="009A677E">
        <w:rPr>
          <w:rFonts w:ascii="Arial" w:hAnsi="Arial" w:cs="Arial"/>
          <w:color w:val="000000" w:themeColor="text1"/>
        </w:rPr>
        <w:t xml:space="preserve"> </w:t>
      </w:r>
      <w:r w:rsidR="00511D92" w:rsidRPr="00DF46E0">
        <w:rPr>
          <w:rFonts w:ascii="Arial" w:hAnsi="Arial" w:cs="Arial"/>
          <w:i/>
          <w:iCs/>
          <w:color w:val="000000" w:themeColor="text1"/>
        </w:rPr>
        <w:t>In re African Farms Ltd</w:t>
      </w:r>
      <w:r w:rsidR="00511D92" w:rsidRPr="009A677E">
        <w:rPr>
          <w:rFonts w:ascii="Arial" w:hAnsi="Arial" w:cs="Arial"/>
          <w:color w:val="000000" w:themeColor="text1"/>
        </w:rPr>
        <w:t xml:space="preserve"> was </w:t>
      </w:r>
      <w:r w:rsidR="001B704E" w:rsidRPr="009A677E">
        <w:rPr>
          <w:rFonts w:ascii="Arial" w:hAnsi="Arial" w:cs="Arial"/>
          <w:color w:val="000000" w:themeColor="text1"/>
        </w:rPr>
        <w:t xml:space="preserve">not only cited in </w:t>
      </w:r>
      <w:r w:rsidR="001B704E" w:rsidRPr="00DF46E0">
        <w:rPr>
          <w:rFonts w:ascii="Arial" w:hAnsi="Arial" w:cs="Arial"/>
          <w:i/>
          <w:iCs/>
          <w:color w:val="000000" w:themeColor="text1"/>
        </w:rPr>
        <w:t xml:space="preserve">Singularis </w:t>
      </w:r>
      <w:r w:rsidR="001B704E" w:rsidRPr="009A677E">
        <w:rPr>
          <w:rFonts w:ascii="Arial" w:hAnsi="Arial" w:cs="Arial"/>
          <w:color w:val="000000" w:themeColor="text1"/>
        </w:rPr>
        <w:t xml:space="preserve">but also </w:t>
      </w:r>
      <w:r w:rsidR="00511D92" w:rsidRPr="00DF46E0">
        <w:rPr>
          <w:rFonts w:ascii="Arial" w:hAnsi="Arial" w:cs="Arial"/>
          <w:i/>
          <w:iCs/>
          <w:color w:val="000000" w:themeColor="text1"/>
        </w:rPr>
        <w:t>Cambridge Gas</w:t>
      </w:r>
      <w:r w:rsidR="001B704E" w:rsidRPr="009A677E">
        <w:rPr>
          <w:rFonts w:ascii="Arial" w:hAnsi="Arial" w:cs="Arial"/>
          <w:color w:val="000000" w:themeColor="text1"/>
        </w:rPr>
        <w:t xml:space="preserve"> and </w:t>
      </w:r>
      <w:r w:rsidR="001B704E" w:rsidRPr="00DF46E0">
        <w:rPr>
          <w:rFonts w:ascii="Arial" w:hAnsi="Arial" w:cs="Arial"/>
          <w:i/>
          <w:iCs/>
          <w:color w:val="000000" w:themeColor="text1"/>
        </w:rPr>
        <w:t>Rubin</w:t>
      </w:r>
      <w:r w:rsidR="001B704E" w:rsidRPr="009A677E">
        <w:rPr>
          <w:rFonts w:ascii="Arial" w:hAnsi="Arial" w:cs="Arial"/>
          <w:color w:val="000000" w:themeColor="text1"/>
        </w:rPr>
        <w:t xml:space="preserve">. </w:t>
      </w:r>
      <w:r w:rsidR="004E32A7" w:rsidRPr="009A677E">
        <w:rPr>
          <w:rFonts w:ascii="Arial" w:hAnsi="Arial" w:cs="Arial"/>
          <w:color w:val="000000" w:themeColor="text1"/>
        </w:rPr>
        <w:t>As the Board recognised in</w:t>
      </w:r>
      <w:r w:rsidR="001B704E" w:rsidRPr="009A677E">
        <w:rPr>
          <w:rFonts w:ascii="Arial" w:hAnsi="Arial" w:cs="Arial"/>
          <w:color w:val="000000" w:themeColor="text1"/>
        </w:rPr>
        <w:t xml:space="preserve"> </w:t>
      </w:r>
      <w:r w:rsidR="001B704E" w:rsidRPr="00DF46E0">
        <w:rPr>
          <w:rFonts w:ascii="Arial" w:hAnsi="Arial" w:cs="Arial"/>
          <w:i/>
          <w:iCs/>
          <w:color w:val="000000" w:themeColor="text1"/>
        </w:rPr>
        <w:t>Singularis</w:t>
      </w:r>
      <w:r w:rsidR="004E32A7" w:rsidRPr="009A677E">
        <w:rPr>
          <w:rFonts w:ascii="Arial" w:hAnsi="Arial" w:cs="Arial"/>
          <w:color w:val="000000" w:themeColor="text1"/>
        </w:rPr>
        <w:t xml:space="preserve">, </w:t>
      </w:r>
      <w:r w:rsidR="00F81A80" w:rsidRPr="009A677E">
        <w:rPr>
          <w:rFonts w:ascii="Arial" w:hAnsi="Arial" w:cs="Arial"/>
          <w:color w:val="000000" w:themeColor="text1"/>
        </w:rPr>
        <w:t xml:space="preserve">South African </w:t>
      </w:r>
      <w:r w:rsidR="00C06C9E" w:rsidRPr="009A677E">
        <w:rPr>
          <w:rFonts w:ascii="Arial" w:hAnsi="Arial" w:cs="Arial"/>
          <w:color w:val="000000" w:themeColor="text1"/>
        </w:rPr>
        <w:t xml:space="preserve">jurisprudence had </w:t>
      </w:r>
      <w:r w:rsidR="00EA0BF8" w:rsidRPr="009A677E">
        <w:rPr>
          <w:rFonts w:ascii="Arial" w:hAnsi="Arial" w:cs="Arial"/>
          <w:color w:val="000000" w:themeColor="text1"/>
        </w:rPr>
        <w:t>been tacklin</w:t>
      </w:r>
      <w:r w:rsidR="00F165F9" w:rsidRPr="009A677E">
        <w:rPr>
          <w:rFonts w:ascii="Arial" w:hAnsi="Arial" w:cs="Arial"/>
          <w:color w:val="000000" w:themeColor="text1"/>
        </w:rPr>
        <w:t>g</w:t>
      </w:r>
      <w:r w:rsidR="00EA0BF8" w:rsidRPr="009A677E">
        <w:rPr>
          <w:rFonts w:ascii="Arial" w:hAnsi="Arial" w:cs="Arial"/>
          <w:color w:val="000000" w:themeColor="text1"/>
        </w:rPr>
        <w:t xml:space="preserve"> issues which English jurisprudence </w:t>
      </w:r>
      <w:r w:rsidR="001E3E26">
        <w:rPr>
          <w:rFonts w:ascii="Arial" w:hAnsi="Arial" w:cs="Arial"/>
          <w:color w:val="000000" w:themeColor="text1"/>
        </w:rPr>
        <w:t>had little</w:t>
      </w:r>
      <w:r w:rsidR="00F10169" w:rsidRPr="009A677E">
        <w:rPr>
          <w:rFonts w:ascii="Arial" w:hAnsi="Arial" w:cs="Arial"/>
          <w:color w:val="000000" w:themeColor="text1"/>
        </w:rPr>
        <w:t xml:space="preserve"> prior</w:t>
      </w:r>
      <w:r w:rsidR="00EA0BF8" w:rsidRPr="009A677E">
        <w:rPr>
          <w:rFonts w:ascii="Arial" w:hAnsi="Arial" w:cs="Arial"/>
          <w:color w:val="000000" w:themeColor="text1"/>
        </w:rPr>
        <w:t xml:space="preserve"> occasion to do, in part arising </w:t>
      </w:r>
      <w:r w:rsidR="00F10169" w:rsidRPr="009A677E">
        <w:rPr>
          <w:rFonts w:ascii="Arial" w:hAnsi="Arial" w:cs="Arial"/>
          <w:color w:val="000000" w:themeColor="text1"/>
        </w:rPr>
        <w:t>from the</w:t>
      </w:r>
      <w:r w:rsidR="00EA0BF8" w:rsidRPr="009A677E">
        <w:rPr>
          <w:rFonts w:ascii="Arial" w:hAnsi="Arial" w:cs="Arial"/>
          <w:color w:val="000000" w:themeColor="text1"/>
        </w:rPr>
        <w:t xml:space="preserve"> statutory intervention</w:t>
      </w:r>
      <w:r w:rsidR="00F10169" w:rsidRPr="009A677E">
        <w:rPr>
          <w:rFonts w:ascii="Arial" w:hAnsi="Arial" w:cs="Arial"/>
          <w:color w:val="000000" w:themeColor="text1"/>
        </w:rPr>
        <w:t xml:space="preserve"> in England</w:t>
      </w:r>
      <w:r w:rsidR="00EA0BF8" w:rsidRPr="009A677E">
        <w:rPr>
          <w:rFonts w:ascii="Arial" w:hAnsi="Arial" w:cs="Arial"/>
          <w:color w:val="000000" w:themeColor="text1"/>
        </w:rPr>
        <w:t>,</w:t>
      </w:r>
      <w:r w:rsidR="004E32A7" w:rsidRPr="009A677E">
        <w:rPr>
          <w:rFonts w:ascii="Arial" w:hAnsi="Arial" w:cs="Arial"/>
          <w:color w:val="000000" w:themeColor="text1"/>
        </w:rPr>
        <w:t xml:space="preserve"> </w:t>
      </w:r>
      <w:r w:rsidR="00EA0BF8" w:rsidRPr="009A677E">
        <w:rPr>
          <w:rFonts w:ascii="Arial" w:hAnsi="Arial" w:cs="Arial"/>
          <w:color w:val="000000" w:themeColor="text1"/>
        </w:rPr>
        <w:t xml:space="preserve">until the </w:t>
      </w:r>
      <w:r w:rsidR="00D22F3C" w:rsidRPr="009A677E">
        <w:rPr>
          <w:rFonts w:ascii="Arial" w:hAnsi="Arial" w:cs="Arial"/>
          <w:color w:val="000000" w:themeColor="text1"/>
        </w:rPr>
        <w:t>mid-2000s</w:t>
      </w:r>
      <w:r w:rsidR="00EA0BF8" w:rsidRPr="009A677E">
        <w:rPr>
          <w:rFonts w:ascii="Arial" w:hAnsi="Arial" w:cs="Arial"/>
          <w:color w:val="000000" w:themeColor="text1"/>
        </w:rPr>
        <w:t>.</w:t>
      </w:r>
      <w:r w:rsidR="00F10169" w:rsidRPr="009A677E">
        <w:rPr>
          <w:rFonts w:ascii="Arial" w:hAnsi="Arial" w:cs="Arial"/>
          <w:color w:val="000000" w:themeColor="text1"/>
        </w:rPr>
        <w:t xml:space="preserve"> </w:t>
      </w:r>
      <w:r w:rsidR="00F74322" w:rsidRPr="00DF46E0">
        <w:rPr>
          <w:rFonts w:ascii="Arial" w:hAnsi="Arial" w:cs="Arial"/>
          <w:i/>
          <w:iCs/>
          <w:color w:val="000000" w:themeColor="text1"/>
        </w:rPr>
        <w:t>In re African Farms Ltd</w:t>
      </w:r>
      <w:r w:rsidR="00F74322" w:rsidRPr="009A677E">
        <w:rPr>
          <w:rFonts w:ascii="Arial" w:hAnsi="Arial" w:cs="Arial"/>
          <w:color w:val="000000" w:themeColor="text1"/>
        </w:rPr>
        <w:t xml:space="preserve"> appears to be the first </w:t>
      </w:r>
      <w:r w:rsidR="00BC7A01" w:rsidRPr="009A677E">
        <w:rPr>
          <w:rFonts w:ascii="Arial" w:hAnsi="Arial" w:cs="Arial"/>
          <w:color w:val="000000" w:themeColor="text1"/>
        </w:rPr>
        <w:t xml:space="preserve">recorded </w:t>
      </w:r>
      <w:r w:rsidR="00F74322" w:rsidRPr="009A677E">
        <w:rPr>
          <w:rFonts w:ascii="Arial" w:hAnsi="Arial" w:cs="Arial"/>
          <w:color w:val="000000" w:themeColor="text1"/>
        </w:rPr>
        <w:t>common-law decision where under private international law principles assistance was rendered to a foreign office holder where there was no power to wind up the company</w:t>
      </w:r>
      <w:r w:rsidR="003E7187" w:rsidRPr="009A677E">
        <w:rPr>
          <w:rFonts w:ascii="Arial" w:hAnsi="Arial" w:cs="Arial"/>
          <w:color w:val="000000" w:themeColor="text1"/>
        </w:rPr>
        <w:t xml:space="preserve"> in</w:t>
      </w:r>
      <w:r w:rsidR="00BC7A01" w:rsidRPr="009A677E">
        <w:rPr>
          <w:rFonts w:ascii="Arial" w:hAnsi="Arial" w:cs="Arial"/>
          <w:color w:val="000000" w:themeColor="text1"/>
        </w:rPr>
        <w:t xml:space="preserve"> the domestic court</w:t>
      </w:r>
      <w:r w:rsidR="003E7187" w:rsidRPr="009A677E">
        <w:rPr>
          <w:rFonts w:ascii="Arial" w:hAnsi="Arial" w:cs="Arial"/>
          <w:color w:val="000000" w:themeColor="text1"/>
        </w:rPr>
        <w:t xml:space="preserve">. In </w:t>
      </w:r>
      <w:r w:rsidR="003E7187" w:rsidRPr="00DF46E0">
        <w:rPr>
          <w:rFonts w:ascii="Arial" w:hAnsi="Arial" w:cs="Arial"/>
          <w:i/>
          <w:iCs/>
          <w:color w:val="000000" w:themeColor="text1"/>
        </w:rPr>
        <w:t>In re African Farms Ltd</w:t>
      </w:r>
      <w:r w:rsidR="003E7187" w:rsidRPr="009A677E">
        <w:rPr>
          <w:rFonts w:ascii="Arial" w:hAnsi="Arial" w:cs="Arial"/>
          <w:color w:val="000000" w:themeColor="text1"/>
        </w:rPr>
        <w:t xml:space="preserve">, </w:t>
      </w:r>
      <w:r w:rsidR="005E3406" w:rsidRPr="009A677E">
        <w:rPr>
          <w:rFonts w:ascii="Arial" w:hAnsi="Arial" w:cs="Arial"/>
          <w:color w:val="000000" w:themeColor="text1"/>
        </w:rPr>
        <w:t>the</w:t>
      </w:r>
      <w:r w:rsidR="003E7187" w:rsidRPr="009A677E">
        <w:rPr>
          <w:rFonts w:ascii="Arial" w:hAnsi="Arial" w:cs="Arial"/>
          <w:color w:val="000000" w:themeColor="text1"/>
        </w:rPr>
        <w:t xml:space="preserve"> </w:t>
      </w:r>
      <w:r w:rsidR="005E3406" w:rsidRPr="009A677E">
        <w:rPr>
          <w:rFonts w:ascii="Arial" w:hAnsi="Arial" w:cs="Arial"/>
          <w:color w:val="000000" w:themeColor="text1"/>
        </w:rPr>
        <w:t xml:space="preserve">difficulty was that the </w:t>
      </w:r>
      <w:r w:rsidR="003E7187" w:rsidRPr="009A677E">
        <w:rPr>
          <w:rFonts w:ascii="Arial" w:hAnsi="Arial" w:cs="Arial"/>
          <w:color w:val="000000" w:themeColor="text1"/>
        </w:rPr>
        <w:t>English</w:t>
      </w:r>
      <w:r w:rsidR="005E3406" w:rsidRPr="009A677E">
        <w:rPr>
          <w:rFonts w:ascii="Arial" w:hAnsi="Arial" w:cs="Arial"/>
          <w:color w:val="000000" w:themeColor="text1"/>
        </w:rPr>
        <w:t xml:space="preserve"> </w:t>
      </w:r>
      <w:r w:rsidR="00D22F3C" w:rsidRPr="009A677E">
        <w:rPr>
          <w:rFonts w:ascii="Arial" w:hAnsi="Arial" w:cs="Arial"/>
          <w:color w:val="000000" w:themeColor="text1"/>
        </w:rPr>
        <w:t xml:space="preserve">company </w:t>
      </w:r>
      <w:r w:rsidR="005E3406" w:rsidRPr="009A677E">
        <w:rPr>
          <w:rFonts w:ascii="Arial" w:hAnsi="Arial" w:cs="Arial"/>
          <w:color w:val="000000" w:themeColor="text1"/>
        </w:rPr>
        <w:t>did</w:t>
      </w:r>
      <w:r w:rsidR="003E7187" w:rsidRPr="009A677E">
        <w:rPr>
          <w:rFonts w:ascii="Arial" w:hAnsi="Arial" w:cs="Arial"/>
          <w:color w:val="000000" w:themeColor="text1"/>
        </w:rPr>
        <w:t xml:space="preserve"> not </w:t>
      </w:r>
      <w:r w:rsidR="00511D92" w:rsidRPr="009A677E">
        <w:rPr>
          <w:rFonts w:ascii="Arial" w:hAnsi="Arial" w:cs="Arial"/>
          <w:color w:val="000000" w:themeColor="text1"/>
        </w:rPr>
        <w:t xml:space="preserve">have </w:t>
      </w:r>
      <w:r w:rsidR="003E7187" w:rsidRPr="009A677E">
        <w:rPr>
          <w:rFonts w:ascii="Arial" w:hAnsi="Arial" w:cs="Arial"/>
          <w:color w:val="000000" w:themeColor="text1"/>
        </w:rPr>
        <w:t xml:space="preserve">enough members for the </w:t>
      </w:r>
      <w:r w:rsidR="00511D92" w:rsidRPr="009A677E">
        <w:rPr>
          <w:rFonts w:ascii="Arial" w:hAnsi="Arial" w:cs="Arial"/>
          <w:color w:val="000000" w:themeColor="text1"/>
        </w:rPr>
        <w:t xml:space="preserve">Transvaal </w:t>
      </w:r>
      <w:r w:rsidR="003E7187" w:rsidRPr="009A677E">
        <w:rPr>
          <w:rFonts w:ascii="Arial" w:hAnsi="Arial" w:cs="Arial"/>
          <w:color w:val="000000" w:themeColor="text1"/>
        </w:rPr>
        <w:t>court to liquidate it under</w:t>
      </w:r>
      <w:r w:rsidR="00511D92" w:rsidRPr="009A677E">
        <w:rPr>
          <w:rFonts w:ascii="Arial" w:hAnsi="Arial" w:cs="Arial"/>
          <w:color w:val="000000" w:themeColor="text1"/>
        </w:rPr>
        <w:t xml:space="preserve"> local statute. </w:t>
      </w:r>
    </w:p>
    <w:p w14:paraId="25F729B3" w14:textId="77777777" w:rsidR="00D419B2" w:rsidRPr="009A677E" w:rsidRDefault="00D419B2" w:rsidP="00D419B2">
      <w:pPr>
        <w:pStyle w:val="ListParagraph"/>
        <w:jc w:val="both"/>
        <w:rPr>
          <w:rFonts w:ascii="Arial" w:hAnsi="Arial" w:cs="Arial"/>
          <w:color w:val="000000" w:themeColor="text1"/>
        </w:rPr>
      </w:pPr>
    </w:p>
    <w:p w14:paraId="60B20DBF" w14:textId="5BED7183" w:rsidR="00DB1D29" w:rsidRPr="00D419B2" w:rsidRDefault="00D419B2" w:rsidP="00D419B2">
      <w:pPr>
        <w:rPr>
          <w:rFonts w:ascii="Arial" w:hAnsi="Arial" w:cs="Arial"/>
          <w:b/>
          <w:bCs/>
          <w:color w:val="000000" w:themeColor="text1"/>
        </w:rPr>
      </w:pPr>
      <w:r>
        <w:rPr>
          <w:rFonts w:ascii="Arial" w:hAnsi="Arial" w:cs="Arial"/>
          <w:b/>
          <w:bCs/>
          <w:color w:val="000000" w:themeColor="text1"/>
        </w:rPr>
        <w:t xml:space="preserve">F. </w:t>
      </w:r>
      <w:r>
        <w:rPr>
          <w:rFonts w:ascii="Arial" w:hAnsi="Arial" w:cs="Arial"/>
          <w:b/>
          <w:bCs/>
          <w:color w:val="000000" w:themeColor="text1"/>
        </w:rPr>
        <w:tab/>
      </w:r>
      <w:r w:rsidR="000949F3" w:rsidRPr="00D419B2">
        <w:rPr>
          <w:rFonts w:ascii="Arial" w:hAnsi="Arial" w:cs="Arial"/>
          <w:b/>
          <w:bCs/>
          <w:color w:val="000000" w:themeColor="text1"/>
        </w:rPr>
        <w:t>Movable vs Immovable property</w:t>
      </w:r>
    </w:p>
    <w:p w14:paraId="2839255D" w14:textId="7B9151AB" w:rsidR="00DE72B4" w:rsidRPr="009A677E" w:rsidRDefault="00B16A3D" w:rsidP="00945070">
      <w:pPr>
        <w:pStyle w:val="ListParagraph"/>
        <w:numPr>
          <w:ilvl w:val="0"/>
          <w:numId w:val="1"/>
        </w:numPr>
        <w:jc w:val="both"/>
        <w:rPr>
          <w:rFonts w:ascii="Arial" w:hAnsi="Arial" w:cs="Arial"/>
          <w:color w:val="000000" w:themeColor="text1"/>
        </w:rPr>
      </w:pPr>
      <w:r w:rsidRPr="009A677E">
        <w:rPr>
          <w:rFonts w:ascii="Arial" w:hAnsi="Arial" w:cs="Arial"/>
          <w:color w:val="000000" w:themeColor="text1"/>
        </w:rPr>
        <w:t xml:space="preserve">In </w:t>
      </w:r>
      <w:r w:rsidRPr="00DF46E0">
        <w:rPr>
          <w:rFonts w:ascii="Arial" w:hAnsi="Arial" w:cs="Arial"/>
          <w:i/>
          <w:iCs/>
          <w:color w:val="000000" w:themeColor="text1"/>
        </w:rPr>
        <w:t>Ex Parte Palmer NO: In re Hahn</w:t>
      </w:r>
      <w:r w:rsidR="00DF46E0" w:rsidRPr="00DF46E0">
        <w:rPr>
          <w:rStyle w:val="FootnoteReference"/>
          <w:rFonts w:ascii="Arial" w:hAnsi="Arial" w:cs="Arial"/>
          <w:color w:val="000000" w:themeColor="text1"/>
        </w:rPr>
        <w:footnoteReference w:id="14"/>
      </w:r>
      <w:r w:rsidRPr="00DF46E0">
        <w:rPr>
          <w:rFonts w:ascii="Arial" w:hAnsi="Arial" w:cs="Arial"/>
          <w:color w:val="000000" w:themeColor="text1"/>
        </w:rPr>
        <w:t xml:space="preserve"> </w:t>
      </w:r>
      <w:r w:rsidRPr="009A677E">
        <w:rPr>
          <w:rFonts w:ascii="Arial" w:hAnsi="Arial" w:cs="Arial"/>
          <w:color w:val="000000" w:themeColor="text1"/>
        </w:rPr>
        <w:t>Berman J</w:t>
      </w:r>
      <w:r w:rsidR="004215A4" w:rsidRPr="009A677E">
        <w:rPr>
          <w:rFonts w:ascii="Arial" w:hAnsi="Arial" w:cs="Arial"/>
          <w:color w:val="000000" w:themeColor="text1"/>
        </w:rPr>
        <w:t xml:space="preserve"> set out in great depth the nuances of the South Africa</w:t>
      </w:r>
      <w:r w:rsidR="003D6D59" w:rsidRPr="009A677E">
        <w:rPr>
          <w:rFonts w:ascii="Arial" w:hAnsi="Arial" w:cs="Arial"/>
          <w:color w:val="000000" w:themeColor="text1"/>
        </w:rPr>
        <w:t>n</w:t>
      </w:r>
      <w:r w:rsidR="004215A4" w:rsidRPr="009A677E">
        <w:rPr>
          <w:rFonts w:ascii="Arial" w:hAnsi="Arial" w:cs="Arial"/>
          <w:color w:val="000000" w:themeColor="text1"/>
        </w:rPr>
        <w:t xml:space="preserve"> courts’ common law power to render assistance to a foreign office holder. </w:t>
      </w:r>
      <w:r w:rsidR="00F406C1" w:rsidRPr="009A677E">
        <w:rPr>
          <w:rFonts w:ascii="Arial" w:hAnsi="Arial" w:cs="Arial"/>
          <w:color w:val="000000" w:themeColor="text1"/>
        </w:rPr>
        <w:t>In that case the issue was whether the</w:t>
      </w:r>
      <w:r w:rsidR="004215A4" w:rsidRPr="009A677E">
        <w:rPr>
          <w:rFonts w:ascii="Arial" w:hAnsi="Arial" w:cs="Arial"/>
          <w:color w:val="000000" w:themeColor="text1"/>
        </w:rPr>
        <w:t xml:space="preserve"> Court </w:t>
      </w:r>
      <w:r w:rsidR="00F406C1" w:rsidRPr="009A677E">
        <w:rPr>
          <w:rFonts w:ascii="Arial" w:hAnsi="Arial" w:cs="Arial"/>
          <w:color w:val="000000" w:themeColor="text1"/>
        </w:rPr>
        <w:t xml:space="preserve">would </w:t>
      </w:r>
      <w:r w:rsidR="004215A4" w:rsidRPr="009A677E">
        <w:rPr>
          <w:rFonts w:ascii="Arial" w:hAnsi="Arial" w:cs="Arial"/>
          <w:color w:val="000000" w:themeColor="text1"/>
        </w:rPr>
        <w:t xml:space="preserve">grant recognition to </w:t>
      </w:r>
      <w:r w:rsidR="00A91D61" w:rsidRPr="009A677E">
        <w:rPr>
          <w:rFonts w:ascii="Arial" w:hAnsi="Arial" w:cs="Arial"/>
          <w:color w:val="000000" w:themeColor="text1"/>
        </w:rPr>
        <w:t>a</w:t>
      </w:r>
      <w:r w:rsidR="00F406C1" w:rsidRPr="009A677E">
        <w:rPr>
          <w:rFonts w:ascii="Arial" w:hAnsi="Arial" w:cs="Arial"/>
          <w:color w:val="000000" w:themeColor="text1"/>
        </w:rPr>
        <w:t xml:space="preserve"> foreign</w:t>
      </w:r>
      <w:r w:rsidR="004215A4" w:rsidRPr="009A677E">
        <w:rPr>
          <w:rFonts w:ascii="Arial" w:hAnsi="Arial" w:cs="Arial"/>
          <w:color w:val="000000" w:themeColor="text1"/>
        </w:rPr>
        <w:t xml:space="preserve"> </w:t>
      </w:r>
      <w:r w:rsidR="00F406C1" w:rsidRPr="009A677E">
        <w:rPr>
          <w:rFonts w:ascii="Arial" w:hAnsi="Arial" w:cs="Arial"/>
          <w:color w:val="000000" w:themeColor="text1"/>
        </w:rPr>
        <w:t xml:space="preserve">office holder </w:t>
      </w:r>
      <w:r w:rsidR="004215A4" w:rsidRPr="009A677E">
        <w:rPr>
          <w:rFonts w:ascii="Arial" w:hAnsi="Arial" w:cs="Arial"/>
          <w:color w:val="000000" w:themeColor="text1"/>
        </w:rPr>
        <w:t xml:space="preserve">only where </w:t>
      </w:r>
      <w:r w:rsidR="00F406C1" w:rsidRPr="009A677E">
        <w:rPr>
          <w:rFonts w:ascii="Arial" w:hAnsi="Arial" w:cs="Arial"/>
          <w:color w:val="000000" w:themeColor="text1"/>
        </w:rPr>
        <w:t>the relevant</w:t>
      </w:r>
      <w:r w:rsidR="004215A4" w:rsidRPr="009A677E">
        <w:rPr>
          <w:rFonts w:ascii="Arial" w:hAnsi="Arial" w:cs="Arial"/>
          <w:color w:val="000000" w:themeColor="text1"/>
        </w:rPr>
        <w:t xml:space="preserve"> estate was sequestrated by a Court within whose jurisdiction the debtor was domiciled at the time when the sequestration order was issued, or</w:t>
      </w:r>
      <w:r w:rsidR="0000363B" w:rsidRPr="009A677E">
        <w:rPr>
          <w:rFonts w:ascii="Arial" w:hAnsi="Arial" w:cs="Arial"/>
          <w:color w:val="000000" w:themeColor="text1"/>
        </w:rPr>
        <w:t>,</w:t>
      </w:r>
      <w:r w:rsidR="004215A4" w:rsidRPr="009A677E">
        <w:rPr>
          <w:rFonts w:ascii="Arial" w:hAnsi="Arial" w:cs="Arial"/>
          <w:color w:val="000000" w:themeColor="text1"/>
        </w:rPr>
        <w:t xml:space="preserve"> w</w:t>
      </w:r>
      <w:r w:rsidR="00F406C1" w:rsidRPr="009A677E">
        <w:rPr>
          <w:rFonts w:ascii="Arial" w:hAnsi="Arial" w:cs="Arial"/>
          <w:color w:val="000000" w:themeColor="text1"/>
        </w:rPr>
        <w:t>ould simply the residence</w:t>
      </w:r>
      <w:r w:rsidR="0000363B" w:rsidRPr="009A677E">
        <w:rPr>
          <w:rFonts w:ascii="Arial" w:hAnsi="Arial" w:cs="Arial"/>
          <w:color w:val="000000" w:themeColor="text1"/>
        </w:rPr>
        <w:t xml:space="preserve"> of the debtor</w:t>
      </w:r>
      <w:r w:rsidR="00F406C1" w:rsidRPr="009A677E">
        <w:rPr>
          <w:rFonts w:ascii="Arial" w:hAnsi="Arial" w:cs="Arial"/>
          <w:color w:val="000000" w:themeColor="text1"/>
        </w:rPr>
        <w:t xml:space="preserve"> </w:t>
      </w:r>
      <w:r w:rsidR="0000363B" w:rsidRPr="009A677E">
        <w:rPr>
          <w:rFonts w:ascii="Arial" w:hAnsi="Arial" w:cs="Arial"/>
          <w:color w:val="000000" w:themeColor="text1"/>
        </w:rPr>
        <w:t xml:space="preserve">in that jurisdiction </w:t>
      </w:r>
      <w:r w:rsidR="00F406C1" w:rsidRPr="009A677E">
        <w:rPr>
          <w:rFonts w:ascii="Arial" w:hAnsi="Arial" w:cs="Arial"/>
          <w:color w:val="000000" w:themeColor="text1"/>
        </w:rPr>
        <w:t xml:space="preserve">be sufficient. </w:t>
      </w:r>
      <w:r w:rsidR="0000363B" w:rsidRPr="009A677E">
        <w:rPr>
          <w:rFonts w:ascii="Arial" w:hAnsi="Arial" w:cs="Arial"/>
          <w:color w:val="000000" w:themeColor="text1"/>
        </w:rPr>
        <w:t xml:space="preserve">The issue was an important </w:t>
      </w:r>
      <w:r w:rsidR="002F1B08" w:rsidRPr="009A677E">
        <w:rPr>
          <w:rFonts w:ascii="Arial" w:hAnsi="Arial" w:cs="Arial"/>
          <w:color w:val="000000" w:themeColor="text1"/>
        </w:rPr>
        <w:t xml:space="preserve">one </w:t>
      </w:r>
      <w:r w:rsidR="0000363B" w:rsidRPr="009A677E">
        <w:rPr>
          <w:rFonts w:ascii="Arial" w:hAnsi="Arial" w:cs="Arial"/>
          <w:color w:val="000000" w:themeColor="text1"/>
        </w:rPr>
        <w:t xml:space="preserve">given the heavy </w:t>
      </w:r>
      <w:r w:rsidR="008E5132" w:rsidRPr="009A677E">
        <w:rPr>
          <w:rFonts w:ascii="Arial" w:hAnsi="Arial" w:cs="Arial"/>
          <w:color w:val="000000" w:themeColor="text1"/>
        </w:rPr>
        <w:t>Roman</w:t>
      </w:r>
      <w:r w:rsidR="0000363B" w:rsidRPr="009A677E">
        <w:rPr>
          <w:rFonts w:ascii="Arial" w:hAnsi="Arial" w:cs="Arial"/>
          <w:color w:val="000000" w:themeColor="text1"/>
        </w:rPr>
        <w:t>-</w:t>
      </w:r>
      <w:r w:rsidR="008E5132" w:rsidRPr="009A677E">
        <w:rPr>
          <w:rFonts w:ascii="Arial" w:hAnsi="Arial" w:cs="Arial"/>
          <w:color w:val="000000" w:themeColor="text1"/>
        </w:rPr>
        <w:t xml:space="preserve">Dutch </w:t>
      </w:r>
      <w:r w:rsidR="0000363B" w:rsidRPr="009A677E">
        <w:rPr>
          <w:rFonts w:ascii="Arial" w:hAnsi="Arial" w:cs="Arial"/>
          <w:color w:val="000000" w:themeColor="text1"/>
        </w:rPr>
        <w:t>influence</w:t>
      </w:r>
      <w:r w:rsidR="00BC0D24" w:rsidRPr="009A677E">
        <w:rPr>
          <w:rFonts w:ascii="Arial" w:hAnsi="Arial" w:cs="Arial"/>
          <w:color w:val="000000" w:themeColor="text1"/>
        </w:rPr>
        <w:t xml:space="preserve"> in South Africa</w:t>
      </w:r>
      <w:r w:rsidR="002F1B08" w:rsidRPr="009A677E">
        <w:rPr>
          <w:rFonts w:ascii="Arial" w:hAnsi="Arial" w:cs="Arial"/>
          <w:color w:val="000000" w:themeColor="text1"/>
        </w:rPr>
        <w:t xml:space="preserve">, which relies upon the concept of domicile in </w:t>
      </w:r>
      <w:r w:rsidR="008E5132" w:rsidRPr="009A677E">
        <w:rPr>
          <w:rFonts w:ascii="Arial" w:hAnsi="Arial" w:cs="Arial"/>
          <w:color w:val="000000" w:themeColor="text1"/>
        </w:rPr>
        <w:t>determining jurisdiction</w:t>
      </w:r>
      <w:r w:rsidR="0000363B" w:rsidRPr="009A677E">
        <w:rPr>
          <w:rFonts w:ascii="Arial" w:hAnsi="Arial" w:cs="Arial"/>
          <w:color w:val="000000" w:themeColor="text1"/>
        </w:rPr>
        <w:t>.</w:t>
      </w:r>
      <w:r w:rsidR="00DE72B4" w:rsidRPr="009A677E">
        <w:rPr>
          <w:rFonts w:ascii="Arial" w:hAnsi="Arial" w:cs="Arial"/>
          <w:color w:val="000000" w:themeColor="text1"/>
        </w:rPr>
        <w:t xml:space="preserve"> </w:t>
      </w:r>
      <w:r w:rsidR="00C37874" w:rsidRPr="009A677E">
        <w:rPr>
          <w:rFonts w:ascii="Arial" w:hAnsi="Arial" w:cs="Arial"/>
          <w:color w:val="000000" w:themeColor="text1"/>
        </w:rPr>
        <w:t xml:space="preserve">Ultimately the court found that </w:t>
      </w:r>
      <w:r w:rsidR="00DE72B4" w:rsidRPr="009A677E">
        <w:rPr>
          <w:rFonts w:ascii="Arial" w:hAnsi="Arial" w:cs="Arial"/>
          <w:color w:val="000000" w:themeColor="text1"/>
        </w:rPr>
        <w:t>unless the insolvent was domiciled within the jurisdiction of the foreign Court by whose order his estate was sequestrated, recognition of the trustee appointed pursuant thereto in order that he may act as such in South Africa would not be granted by a local Court</w:t>
      </w:r>
      <w:r w:rsidR="00DE72B4" w:rsidRPr="009A677E">
        <w:rPr>
          <w:rStyle w:val="FootnoteReference"/>
          <w:rFonts w:ascii="Arial" w:hAnsi="Arial" w:cs="Arial"/>
          <w:color w:val="000000" w:themeColor="text1"/>
        </w:rPr>
        <w:footnoteReference w:id="15"/>
      </w:r>
      <w:r w:rsidR="00DE72B4" w:rsidRPr="009A677E">
        <w:rPr>
          <w:rFonts w:ascii="Arial" w:hAnsi="Arial" w:cs="Arial"/>
          <w:color w:val="000000" w:themeColor="text1"/>
        </w:rPr>
        <w:t>.</w:t>
      </w:r>
    </w:p>
    <w:p w14:paraId="335B306F" w14:textId="77777777" w:rsidR="00DE72B4" w:rsidRPr="009A677E" w:rsidRDefault="00DE72B4" w:rsidP="00DE72B4">
      <w:pPr>
        <w:pStyle w:val="ListParagraph"/>
        <w:rPr>
          <w:rFonts w:ascii="Arial" w:hAnsi="Arial" w:cs="Arial"/>
          <w:color w:val="000000" w:themeColor="text1"/>
        </w:rPr>
      </w:pPr>
    </w:p>
    <w:p w14:paraId="09CC0DCB" w14:textId="7C3D1D39" w:rsidR="00350881" w:rsidRDefault="00C37874" w:rsidP="00945070">
      <w:pPr>
        <w:pStyle w:val="ListParagraph"/>
        <w:numPr>
          <w:ilvl w:val="0"/>
          <w:numId w:val="1"/>
        </w:numPr>
        <w:jc w:val="both"/>
        <w:rPr>
          <w:rFonts w:ascii="Arial" w:hAnsi="Arial" w:cs="Arial"/>
          <w:color w:val="000000" w:themeColor="text1"/>
        </w:rPr>
      </w:pPr>
      <w:r w:rsidRPr="009A677E">
        <w:rPr>
          <w:rFonts w:ascii="Arial" w:hAnsi="Arial" w:cs="Arial"/>
          <w:color w:val="000000" w:themeColor="text1"/>
        </w:rPr>
        <w:t>In the course of making that finding,</w:t>
      </w:r>
      <w:r w:rsidR="00DE72B4" w:rsidRPr="009A677E">
        <w:rPr>
          <w:rFonts w:ascii="Arial" w:hAnsi="Arial" w:cs="Arial"/>
          <w:color w:val="000000" w:themeColor="text1"/>
        </w:rPr>
        <w:t xml:space="preserve"> Berman J</w:t>
      </w:r>
      <w:r w:rsidR="00A91D61" w:rsidRPr="009A677E">
        <w:rPr>
          <w:rFonts w:ascii="Arial" w:hAnsi="Arial" w:cs="Arial"/>
          <w:color w:val="000000" w:themeColor="text1"/>
        </w:rPr>
        <w:t xml:space="preserve">, citing </w:t>
      </w:r>
      <w:r w:rsidR="00A91D61" w:rsidRPr="00DF46E0">
        <w:rPr>
          <w:rFonts w:ascii="Arial" w:hAnsi="Arial" w:cs="Arial"/>
          <w:i/>
          <w:iCs/>
          <w:color w:val="000000" w:themeColor="text1"/>
        </w:rPr>
        <w:t>Re Estate Morris</w:t>
      </w:r>
      <w:r w:rsidR="00DF46E0">
        <w:rPr>
          <w:rStyle w:val="FootnoteReference"/>
          <w:rFonts w:ascii="Arial" w:hAnsi="Arial" w:cs="Arial"/>
          <w:i/>
          <w:iCs/>
          <w:color w:val="000000" w:themeColor="text1"/>
        </w:rPr>
        <w:footnoteReference w:id="16"/>
      </w:r>
      <w:r w:rsidR="00A91D61" w:rsidRPr="009A677E">
        <w:rPr>
          <w:rFonts w:ascii="Arial" w:hAnsi="Arial" w:cs="Arial"/>
          <w:color w:val="000000" w:themeColor="text1"/>
        </w:rPr>
        <w:t>,</w:t>
      </w:r>
      <w:r w:rsidR="00DE72B4" w:rsidRPr="009A677E">
        <w:rPr>
          <w:rFonts w:ascii="Arial" w:hAnsi="Arial" w:cs="Arial"/>
          <w:color w:val="000000" w:themeColor="text1"/>
        </w:rPr>
        <w:t xml:space="preserve"> noted that insofar </w:t>
      </w:r>
      <w:r w:rsidR="00CE126A" w:rsidRPr="009A677E">
        <w:rPr>
          <w:rFonts w:ascii="Arial" w:hAnsi="Arial" w:cs="Arial"/>
          <w:color w:val="000000" w:themeColor="text1"/>
        </w:rPr>
        <w:t xml:space="preserve">as the movable property found in </w:t>
      </w:r>
      <w:r w:rsidR="00B44DD1" w:rsidRPr="009A677E">
        <w:rPr>
          <w:rFonts w:ascii="Arial" w:hAnsi="Arial" w:cs="Arial"/>
          <w:color w:val="000000" w:themeColor="text1"/>
        </w:rPr>
        <w:t xml:space="preserve">South </w:t>
      </w:r>
      <w:r w:rsidR="00CE126A" w:rsidRPr="009A677E">
        <w:rPr>
          <w:rFonts w:ascii="Arial" w:hAnsi="Arial" w:cs="Arial"/>
          <w:color w:val="000000" w:themeColor="text1"/>
        </w:rPr>
        <w:t>Africa belonging to a</w:t>
      </w:r>
      <w:r w:rsidR="00A6401A" w:rsidRPr="009A677E">
        <w:rPr>
          <w:rFonts w:ascii="Arial" w:hAnsi="Arial" w:cs="Arial"/>
          <w:color w:val="000000" w:themeColor="text1"/>
        </w:rPr>
        <w:t>n individual</w:t>
      </w:r>
      <w:r w:rsidR="00CE126A" w:rsidRPr="009A677E">
        <w:rPr>
          <w:rFonts w:ascii="Arial" w:hAnsi="Arial" w:cs="Arial"/>
          <w:color w:val="000000" w:themeColor="text1"/>
        </w:rPr>
        <w:t xml:space="preserve"> whose estate was sequestrated by order of a foreign Court </w:t>
      </w:r>
      <w:r w:rsidR="00AB4ACD" w:rsidRPr="009A677E">
        <w:rPr>
          <w:rFonts w:ascii="Arial" w:hAnsi="Arial" w:cs="Arial"/>
          <w:color w:val="000000" w:themeColor="text1"/>
        </w:rPr>
        <w:t>within</w:t>
      </w:r>
      <w:r w:rsidR="00B44DD1" w:rsidRPr="009A677E">
        <w:rPr>
          <w:rFonts w:ascii="Arial" w:hAnsi="Arial" w:cs="Arial"/>
          <w:color w:val="000000" w:themeColor="text1"/>
        </w:rPr>
        <w:t xml:space="preserve"> </w:t>
      </w:r>
      <w:r w:rsidR="00CE126A" w:rsidRPr="009A677E">
        <w:rPr>
          <w:rFonts w:ascii="Arial" w:hAnsi="Arial" w:cs="Arial"/>
          <w:color w:val="000000" w:themeColor="text1"/>
        </w:rPr>
        <w:t>whose jurisdiction that person was domiciled is concerned, that property automatically vests in the trustee appointed pursuant to that order</w:t>
      </w:r>
      <w:r w:rsidR="00A91D61" w:rsidRPr="009A677E">
        <w:rPr>
          <w:rStyle w:val="FootnoteReference"/>
          <w:rFonts w:ascii="Arial" w:hAnsi="Arial" w:cs="Arial"/>
          <w:color w:val="000000" w:themeColor="text1"/>
        </w:rPr>
        <w:footnoteReference w:id="17"/>
      </w:r>
      <w:r w:rsidR="003B6C49" w:rsidRPr="009A677E">
        <w:rPr>
          <w:rFonts w:ascii="Arial" w:hAnsi="Arial" w:cs="Arial"/>
          <w:color w:val="000000" w:themeColor="text1"/>
        </w:rPr>
        <w:t xml:space="preserve"> and is governed by the law of the debtor’s domicile</w:t>
      </w:r>
      <w:r w:rsidR="00A126A4" w:rsidRPr="009A677E">
        <w:rPr>
          <w:rFonts w:ascii="Arial" w:hAnsi="Arial" w:cs="Arial"/>
          <w:color w:val="000000" w:themeColor="text1"/>
        </w:rPr>
        <w:t xml:space="preserve"> regardless where it is </w:t>
      </w:r>
      <w:r w:rsidR="005F4B7C" w:rsidRPr="009A677E">
        <w:rPr>
          <w:rFonts w:ascii="Arial" w:hAnsi="Arial" w:cs="Arial"/>
          <w:color w:val="000000" w:themeColor="text1"/>
        </w:rPr>
        <w:t>located</w:t>
      </w:r>
      <w:r w:rsidR="003B6C49" w:rsidRPr="009A677E">
        <w:rPr>
          <w:rStyle w:val="FootnoteReference"/>
          <w:rFonts w:ascii="Arial" w:hAnsi="Arial" w:cs="Arial"/>
          <w:color w:val="000000" w:themeColor="text1"/>
        </w:rPr>
        <w:footnoteReference w:id="18"/>
      </w:r>
      <w:r w:rsidR="00CE126A" w:rsidRPr="009A677E">
        <w:rPr>
          <w:rFonts w:ascii="Arial" w:hAnsi="Arial" w:cs="Arial"/>
          <w:color w:val="000000" w:themeColor="text1"/>
        </w:rPr>
        <w:t>.</w:t>
      </w:r>
      <w:r w:rsidR="003B6C49" w:rsidRPr="009A677E">
        <w:rPr>
          <w:rFonts w:ascii="Arial" w:hAnsi="Arial" w:cs="Arial"/>
          <w:color w:val="000000" w:themeColor="text1"/>
        </w:rPr>
        <w:t xml:space="preserve"> </w:t>
      </w:r>
      <w:r w:rsidR="00CE126A" w:rsidRPr="009A677E">
        <w:rPr>
          <w:rFonts w:ascii="Arial" w:hAnsi="Arial" w:cs="Arial"/>
          <w:color w:val="000000" w:themeColor="text1"/>
        </w:rPr>
        <w:t xml:space="preserve"> The effect </w:t>
      </w:r>
      <w:r w:rsidR="00A91D61" w:rsidRPr="009A677E">
        <w:rPr>
          <w:rFonts w:ascii="Arial" w:hAnsi="Arial" w:cs="Arial"/>
          <w:color w:val="000000" w:themeColor="text1"/>
        </w:rPr>
        <w:t xml:space="preserve">of that line of </w:t>
      </w:r>
      <w:r w:rsidR="00C9077B" w:rsidRPr="009A677E">
        <w:rPr>
          <w:rFonts w:ascii="Arial" w:hAnsi="Arial" w:cs="Arial"/>
          <w:color w:val="000000" w:themeColor="text1"/>
        </w:rPr>
        <w:t>authority</w:t>
      </w:r>
      <w:r w:rsidR="00A91D61" w:rsidRPr="009A677E">
        <w:rPr>
          <w:rFonts w:ascii="Arial" w:hAnsi="Arial" w:cs="Arial"/>
          <w:color w:val="000000" w:themeColor="text1"/>
        </w:rPr>
        <w:t xml:space="preserve"> is </w:t>
      </w:r>
      <w:r w:rsidR="00B44DD1" w:rsidRPr="009A677E">
        <w:rPr>
          <w:rFonts w:ascii="Arial" w:hAnsi="Arial" w:cs="Arial"/>
          <w:color w:val="000000" w:themeColor="text1"/>
        </w:rPr>
        <w:t>that</w:t>
      </w:r>
      <w:r w:rsidR="00350881" w:rsidRPr="009A677E">
        <w:rPr>
          <w:rFonts w:ascii="Arial" w:hAnsi="Arial" w:cs="Arial"/>
          <w:color w:val="000000" w:themeColor="text1"/>
        </w:rPr>
        <w:t>, although it is now so in practice,</w:t>
      </w:r>
      <w:r w:rsidR="00B44DD1" w:rsidRPr="009A677E">
        <w:rPr>
          <w:rFonts w:ascii="Arial" w:hAnsi="Arial" w:cs="Arial"/>
          <w:color w:val="000000" w:themeColor="text1"/>
        </w:rPr>
        <w:t xml:space="preserve"> </w:t>
      </w:r>
      <w:r w:rsidR="00A91D61" w:rsidRPr="009A677E">
        <w:rPr>
          <w:rFonts w:ascii="Arial" w:hAnsi="Arial" w:cs="Arial"/>
          <w:color w:val="000000" w:themeColor="text1"/>
        </w:rPr>
        <w:t>a foreign</w:t>
      </w:r>
      <w:r w:rsidR="00CE126A" w:rsidRPr="009A677E">
        <w:rPr>
          <w:rFonts w:ascii="Arial" w:hAnsi="Arial" w:cs="Arial"/>
          <w:color w:val="000000" w:themeColor="text1"/>
        </w:rPr>
        <w:t xml:space="preserve"> trustee does not need to seek </w:t>
      </w:r>
      <w:r w:rsidR="00B44DD1" w:rsidRPr="009A677E">
        <w:rPr>
          <w:rFonts w:ascii="Arial" w:hAnsi="Arial" w:cs="Arial"/>
          <w:color w:val="000000" w:themeColor="text1"/>
        </w:rPr>
        <w:t xml:space="preserve">court </w:t>
      </w:r>
      <w:r w:rsidR="00CE126A" w:rsidRPr="009A677E">
        <w:rPr>
          <w:rFonts w:ascii="Arial" w:hAnsi="Arial" w:cs="Arial"/>
          <w:color w:val="000000" w:themeColor="text1"/>
        </w:rPr>
        <w:t xml:space="preserve">recognition in order to deal with the movable </w:t>
      </w:r>
      <w:r w:rsidR="00351D72" w:rsidRPr="009A677E">
        <w:rPr>
          <w:rFonts w:ascii="Arial" w:hAnsi="Arial" w:cs="Arial"/>
          <w:color w:val="000000" w:themeColor="text1"/>
        </w:rPr>
        <w:t xml:space="preserve">South </w:t>
      </w:r>
      <w:r w:rsidR="00CE126A" w:rsidRPr="009A677E">
        <w:rPr>
          <w:rFonts w:ascii="Arial" w:hAnsi="Arial" w:cs="Arial"/>
          <w:color w:val="000000" w:themeColor="text1"/>
        </w:rPr>
        <w:t>African property</w:t>
      </w:r>
      <w:r w:rsidR="00A91D61" w:rsidRPr="009A677E">
        <w:rPr>
          <w:rFonts w:ascii="Arial" w:hAnsi="Arial" w:cs="Arial"/>
          <w:color w:val="000000" w:themeColor="text1"/>
        </w:rPr>
        <w:t xml:space="preserve"> of the debtor</w:t>
      </w:r>
      <w:r w:rsidR="00CE126A" w:rsidRPr="009A677E">
        <w:rPr>
          <w:rFonts w:ascii="Arial" w:hAnsi="Arial" w:cs="Arial"/>
          <w:color w:val="000000" w:themeColor="text1"/>
        </w:rPr>
        <w:t xml:space="preserve"> so long as </w:t>
      </w:r>
      <w:r w:rsidR="00350881" w:rsidRPr="009A677E">
        <w:rPr>
          <w:rFonts w:ascii="Arial" w:hAnsi="Arial" w:cs="Arial"/>
          <w:color w:val="000000" w:themeColor="text1"/>
        </w:rPr>
        <w:t>they</w:t>
      </w:r>
      <w:r w:rsidR="00CE126A" w:rsidRPr="009A677E">
        <w:rPr>
          <w:rFonts w:ascii="Arial" w:hAnsi="Arial" w:cs="Arial"/>
          <w:color w:val="000000" w:themeColor="text1"/>
        </w:rPr>
        <w:t xml:space="preserve"> </w:t>
      </w:r>
      <w:r w:rsidR="00154429" w:rsidRPr="009A677E">
        <w:rPr>
          <w:rFonts w:ascii="Arial" w:hAnsi="Arial" w:cs="Arial"/>
          <w:color w:val="000000" w:themeColor="text1"/>
        </w:rPr>
        <w:t>can</w:t>
      </w:r>
      <w:r w:rsidR="00CE126A" w:rsidRPr="009A677E">
        <w:rPr>
          <w:rFonts w:ascii="Arial" w:hAnsi="Arial" w:cs="Arial"/>
          <w:color w:val="000000" w:themeColor="text1"/>
        </w:rPr>
        <w:t xml:space="preserve"> demonstrate the foregoing</w:t>
      </w:r>
      <w:r w:rsidR="00B44DD1" w:rsidRPr="009A677E">
        <w:rPr>
          <w:rStyle w:val="FootnoteReference"/>
          <w:rFonts w:ascii="Arial" w:hAnsi="Arial" w:cs="Arial"/>
          <w:color w:val="000000" w:themeColor="text1"/>
        </w:rPr>
        <w:footnoteReference w:id="19"/>
      </w:r>
      <w:r w:rsidR="00CE126A" w:rsidRPr="009A677E">
        <w:rPr>
          <w:rFonts w:ascii="Arial" w:hAnsi="Arial" w:cs="Arial"/>
          <w:color w:val="000000" w:themeColor="text1"/>
        </w:rPr>
        <w:t>.</w:t>
      </w:r>
      <w:r w:rsidR="00351D72" w:rsidRPr="009A677E">
        <w:rPr>
          <w:rFonts w:ascii="Arial" w:hAnsi="Arial" w:cs="Arial"/>
          <w:color w:val="000000" w:themeColor="text1"/>
        </w:rPr>
        <w:t xml:space="preserve"> </w:t>
      </w:r>
      <w:r w:rsidR="00350881" w:rsidRPr="009A677E">
        <w:rPr>
          <w:rFonts w:ascii="Arial" w:hAnsi="Arial" w:cs="Arial"/>
          <w:color w:val="000000" w:themeColor="text1"/>
        </w:rPr>
        <w:t xml:space="preserve">To add a gloss to the rule, however, where </w:t>
      </w:r>
      <w:r w:rsidR="0071623E" w:rsidRPr="009A677E">
        <w:rPr>
          <w:rFonts w:ascii="Arial" w:hAnsi="Arial" w:cs="Arial"/>
          <w:color w:val="000000" w:themeColor="text1"/>
        </w:rPr>
        <w:t>the debtor</w:t>
      </w:r>
      <w:r w:rsidR="00BC0D24" w:rsidRPr="009A677E">
        <w:rPr>
          <w:rFonts w:ascii="Arial" w:hAnsi="Arial" w:cs="Arial"/>
          <w:color w:val="000000" w:themeColor="text1"/>
        </w:rPr>
        <w:t xml:space="preserve"> is a company</w:t>
      </w:r>
      <w:r w:rsidR="00154429" w:rsidRPr="009A677E">
        <w:rPr>
          <w:rFonts w:ascii="Arial" w:hAnsi="Arial" w:cs="Arial"/>
          <w:color w:val="000000" w:themeColor="text1"/>
        </w:rPr>
        <w:t xml:space="preserve"> and not an individual</w:t>
      </w:r>
      <w:r w:rsidR="00350881" w:rsidRPr="009A677E">
        <w:rPr>
          <w:rFonts w:ascii="Arial" w:hAnsi="Arial" w:cs="Arial"/>
          <w:color w:val="000000" w:themeColor="text1"/>
        </w:rPr>
        <w:t xml:space="preserve">, </w:t>
      </w:r>
      <w:r w:rsidR="0071623E" w:rsidRPr="009A677E">
        <w:rPr>
          <w:rFonts w:ascii="Arial" w:hAnsi="Arial" w:cs="Arial"/>
          <w:color w:val="000000" w:themeColor="text1"/>
        </w:rPr>
        <w:t>its</w:t>
      </w:r>
      <w:r w:rsidR="00350881" w:rsidRPr="009A677E">
        <w:rPr>
          <w:rFonts w:ascii="Arial" w:hAnsi="Arial" w:cs="Arial"/>
          <w:color w:val="000000" w:themeColor="text1"/>
        </w:rPr>
        <w:t xml:space="preserve"> foreign representative will be required by the S</w:t>
      </w:r>
      <w:r w:rsidR="0071623E" w:rsidRPr="009A677E">
        <w:rPr>
          <w:rFonts w:ascii="Arial" w:hAnsi="Arial" w:cs="Arial"/>
          <w:color w:val="000000" w:themeColor="text1"/>
        </w:rPr>
        <w:t>outh</w:t>
      </w:r>
      <w:r w:rsidR="00350881" w:rsidRPr="009A677E">
        <w:rPr>
          <w:rFonts w:ascii="Arial" w:hAnsi="Arial" w:cs="Arial"/>
          <w:color w:val="000000" w:themeColor="text1"/>
        </w:rPr>
        <w:t xml:space="preserve"> African courts to seek local recognition</w:t>
      </w:r>
      <w:r w:rsidR="0071623E" w:rsidRPr="009A677E">
        <w:rPr>
          <w:rStyle w:val="FootnoteReference"/>
          <w:rFonts w:ascii="Arial" w:hAnsi="Arial" w:cs="Arial"/>
          <w:color w:val="000000" w:themeColor="text1"/>
        </w:rPr>
        <w:footnoteReference w:id="20"/>
      </w:r>
      <w:r w:rsidR="00350881" w:rsidRPr="009A677E">
        <w:rPr>
          <w:rFonts w:ascii="Arial" w:hAnsi="Arial" w:cs="Arial"/>
          <w:color w:val="000000" w:themeColor="text1"/>
        </w:rPr>
        <w:t>.</w:t>
      </w:r>
    </w:p>
    <w:p w14:paraId="1591D0B4" w14:textId="77777777" w:rsidR="000949F3" w:rsidRPr="000949F3" w:rsidRDefault="000949F3" w:rsidP="000949F3">
      <w:pPr>
        <w:pStyle w:val="ListParagraph"/>
        <w:rPr>
          <w:rFonts w:ascii="Arial" w:hAnsi="Arial" w:cs="Arial"/>
          <w:color w:val="000000" w:themeColor="text1"/>
        </w:rPr>
      </w:pPr>
    </w:p>
    <w:p w14:paraId="3D110D26" w14:textId="0055B0BB" w:rsidR="009F56B0" w:rsidRPr="009A677E" w:rsidRDefault="00C9077B" w:rsidP="009F56B0">
      <w:pPr>
        <w:pStyle w:val="ListParagraph"/>
        <w:numPr>
          <w:ilvl w:val="0"/>
          <w:numId w:val="1"/>
        </w:numPr>
        <w:jc w:val="both"/>
        <w:rPr>
          <w:rFonts w:ascii="Arial" w:hAnsi="Arial" w:cs="Arial"/>
          <w:color w:val="000000" w:themeColor="text1"/>
        </w:rPr>
      </w:pPr>
      <w:r w:rsidRPr="009A677E">
        <w:rPr>
          <w:rFonts w:ascii="Arial" w:hAnsi="Arial" w:cs="Arial"/>
          <w:color w:val="000000" w:themeColor="text1"/>
        </w:rPr>
        <w:t xml:space="preserve">There is no such differentiation in </w:t>
      </w:r>
      <w:r w:rsidR="0076177F" w:rsidRPr="009A677E">
        <w:rPr>
          <w:rFonts w:ascii="Arial" w:hAnsi="Arial" w:cs="Arial"/>
          <w:color w:val="000000" w:themeColor="text1"/>
        </w:rPr>
        <w:t>relation to</w:t>
      </w:r>
      <w:r w:rsidR="00892EBF" w:rsidRPr="009A677E">
        <w:rPr>
          <w:rFonts w:ascii="Arial" w:hAnsi="Arial" w:cs="Arial"/>
          <w:color w:val="000000" w:themeColor="text1"/>
        </w:rPr>
        <w:t xml:space="preserve"> the</w:t>
      </w:r>
      <w:r w:rsidRPr="009A677E">
        <w:rPr>
          <w:rFonts w:ascii="Arial" w:hAnsi="Arial" w:cs="Arial"/>
          <w:color w:val="000000" w:themeColor="text1"/>
        </w:rPr>
        <w:t xml:space="preserve"> immovable </w:t>
      </w:r>
      <w:r w:rsidR="00892EBF" w:rsidRPr="009A677E">
        <w:rPr>
          <w:rFonts w:ascii="Arial" w:hAnsi="Arial" w:cs="Arial"/>
          <w:color w:val="000000" w:themeColor="text1"/>
        </w:rPr>
        <w:t>assets of the debtor</w:t>
      </w:r>
      <w:r w:rsidRPr="009A677E">
        <w:rPr>
          <w:rFonts w:ascii="Arial" w:hAnsi="Arial" w:cs="Arial"/>
          <w:color w:val="000000" w:themeColor="text1"/>
        </w:rPr>
        <w:t xml:space="preserve"> </w:t>
      </w:r>
      <w:r w:rsidR="00892EBF" w:rsidRPr="009A677E">
        <w:rPr>
          <w:rFonts w:ascii="Arial" w:hAnsi="Arial" w:cs="Arial"/>
          <w:color w:val="000000" w:themeColor="text1"/>
        </w:rPr>
        <w:t>as</w:t>
      </w:r>
      <w:r w:rsidRPr="009A677E">
        <w:rPr>
          <w:rFonts w:ascii="Arial" w:hAnsi="Arial" w:cs="Arial"/>
          <w:color w:val="000000" w:themeColor="text1"/>
        </w:rPr>
        <w:t xml:space="preserve"> both foreign representatives of corporate and individual debtors must seek</w:t>
      </w:r>
      <w:r w:rsidR="0076177F" w:rsidRPr="009A677E">
        <w:rPr>
          <w:rFonts w:ascii="Arial" w:hAnsi="Arial" w:cs="Arial"/>
          <w:color w:val="000000" w:themeColor="text1"/>
        </w:rPr>
        <w:t xml:space="preserve"> formal</w:t>
      </w:r>
      <w:r w:rsidRPr="009A677E">
        <w:rPr>
          <w:rFonts w:ascii="Arial" w:hAnsi="Arial" w:cs="Arial"/>
          <w:color w:val="000000" w:themeColor="text1"/>
        </w:rPr>
        <w:t xml:space="preserve"> recognition to deal with </w:t>
      </w:r>
      <w:r w:rsidR="0076177F" w:rsidRPr="009A677E">
        <w:rPr>
          <w:rFonts w:ascii="Arial" w:hAnsi="Arial" w:cs="Arial"/>
          <w:color w:val="000000" w:themeColor="text1"/>
        </w:rPr>
        <w:t>them</w:t>
      </w:r>
      <w:r w:rsidRPr="009A677E">
        <w:rPr>
          <w:rFonts w:ascii="Arial" w:hAnsi="Arial" w:cs="Arial"/>
          <w:color w:val="000000" w:themeColor="text1"/>
        </w:rPr>
        <w:t>.</w:t>
      </w:r>
      <w:r w:rsidR="00892EBF" w:rsidRPr="009A677E">
        <w:rPr>
          <w:rFonts w:ascii="Arial" w:hAnsi="Arial" w:cs="Arial"/>
          <w:color w:val="000000" w:themeColor="text1"/>
        </w:rPr>
        <w:t xml:space="preserve"> The </w:t>
      </w:r>
      <w:r w:rsidR="0076177F" w:rsidRPr="009A677E">
        <w:rPr>
          <w:rFonts w:ascii="Arial" w:hAnsi="Arial" w:cs="Arial"/>
          <w:color w:val="000000" w:themeColor="text1"/>
        </w:rPr>
        <w:t>grant of recognition is not a formality as</w:t>
      </w:r>
      <w:r w:rsidR="00892EBF" w:rsidRPr="009A677E">
        <w:rPr>
          <w:rFonts w:ascii="Arial" w:hAnsi="Arial" w:cs="Arial"/>
          <w:color w:val="000000" w:themeColor="text1"/>
        </w:rPr>
        <w:t xml:space="preserve"> </w:t>
      </w:r>
      <w:r w:rsidR="0076177F" w:rsidRPr="009A677E">
        <w:rPr>
          <w:rFonts w:ascii="Arial" w:hAnsi="Arial" w:cs="Arial"/>
          <w:color w:val="000000" w:themeColor="text1"/>
        </w:rPr>
        <w:t>the discretion is</w:t>
      </w:r>
      <w:r w:rsidR="00EF593B" w:rsidRPr="009A677E">
        <w:rPr>
          <w:rFonts w:ascii="Arial" w:hAnsi="Arial" w:cs="Arial"/>
          <w:color w:val="000000" w:themeColor="text1"/>
        </w:rPr>
        <w:t xml:space="preserve"> absolute and</w:t>
      </w:r>
      <w:r w:rsidR="0076177F" w:rsidRPr="009A677E">
        <w:rPr>
          <w:rFonts w:ascii="Arial" w:hAnsi="Arial" w:cs="Arial"/>
          <w:color w:val="000000" w:themeColor="text1"/>
        </w:rPr>
        <w:t xml:space="preserve"> only exercised in special circumstances</w:t>
      </w:r>
      <w:r w:rsidR="004B4FA2" w:rsidRPr="009A677E">
        <w:rPr>
          <w:rStyle w:val="FootnoteReference"/>
          <w:rFonts w:ascii="Arial" w:hAnsi="Arial" w:cs="Arial"/>
          <w:color w:val="000000" w:themeColor="text1"/>
        </w:rPr>
        <w:footnoteReference w:id="21"/>
      </w:r>
      <w:r w:rsidR="00EF593B" w:rsidRPr="009A677E">
        <w:rPr>
          <w:rFonts w:ascii="Arial" w:hAnsi="Arial" w:cs="Arial"/>
          <w:color w:val="000000" w:themeColor="text1"/>
        </w:rPr>
        <w:t xml:space="preserve">; that is, </w:t>
      </w:r>
      <w:r w:rsidR="009F56B0" w:rsidRPr="009A677E">
        <w:rPr>
          <w:rFonts w:ascii="Arial" w:hAnsi="Arial" w:cs="Arial"/>
          <w:color w:val="000000" w:themeColor="text1"/>
        </w:rPr>
        <w:t xml:space="preserve">on the basis of comity and convenience as </w:t>
      </w:r>
      <w:r w:rsidR="00BC0D24" w:rsidRPr="009A677E">
        <w:rPr>
          <w:rFonts w:ascii="Arial" w:hAnsi="Arial" w:cs="Arial"/>
          <w:color w:val="000000" w:themeColor="text1"/>
        </w:rPr>
        <w:t>wa</w:t>
      </w:r>
      <w:r w:rsidR="009F56B0" w:rsidRPr="009A677E">
        <w:rPr>
          <w:rFonts w:ascii="Arial" w:hAnsi="Arial" w:cs="Arial"/>
          <w:color w:val="000000" w:themeColor="text1"/>
        </w:rPr>
        <w:t xml:space="preserve">s comprehensively set out by Innes JP in </w:t>
      </w:r>
      <w:r w:rsidR="009F56B0" w:rsidRPr="008111EC">
        <w:rPr>
          <w:rFonts w:ascii="Arial" w:hAnsi="Arial" w:cs="Arial"/>
          <w:i/>
          <w:iCs/>
          <w:color w:val="000000" w:themeColor="text1"/>
        </w:rPr>
        <w:t>Ex Parte Stegmann</w:t>
      </w:r>
      <w:r w:rsidR="008111EC">
        <w:rPr>
          <w:rStyle w:val="FootnoteReference"/>
          <w:rFonts w:ascii="Arial" w:hAnsi="Arial" w:cs="Arial"/>
          <w:i/>
          <w:iCs/>
          <w:color w:val="000000" w:themeColor="text1"/>
        </w:rPr>
        <w:footnoteReference w:id="22"/>
      </w:r>
      <w:r w:rsidR="009F56B0" w:rsidRPr="009A677E">
        <w:rPr>
          <w:rFonts w:ascii="Arial" w:hAnsi="Arial" w:cs="Arial"/>
          <w:color w:val="000000" w:themeColor="text1"/>
        </w:rPr>
        <w:t xml:space="preserve">: </w:t>
      </w:r>
    </w:p>
    <w:p w14:paraId="50430A05" w14:textId="3DAD1FA2" w:rsidR="009F56B0" w:rsidRPr="009A677E" w:rsidRDefault="009F56B0" w:rsidP="00EF593B">
      <w:pPr>
        <w:pStyle w:val="ListParagraph"/>
        <w:ind w:left="1080"/>
        <w:jc w:val="both"/>
        <w:rPr>
          <w:rFonts w:ascii="Arial" w:hAnsi="Arial" w:cs="Arial"/>
          <w:color w:val="000000" w:themeColor="text1"/>
        </w:rPr>
      </w:pPr>
      <w:r w:rsidRPr="009A677E">
        <w:rPr>
          <w:rFonts w:ascii="Arial" w:hAnsi="Arial" w:cs="Arial"/>
          <w:color w:val="000000" w:themeColor="text1"/>
        </w:rPr>
        <w:t>'The proper authority to appoint a curator to the goods of an insolvent debtor (answering to our trustee) is the Judge of his domicile; such appointment will,</w:t>
      </w:r>
      <w:r w:rsidR="00EF593B" w:rsidRPr="009A677E">
        <w:rPr>
          <w:rFonts w:ascii="Arial" w:hAnsi="Arial" w:cs="Arial"/>
          <w:color w:val="000000" w:themeColor="text1"/>
        </w:rPr>
        <w:t xml:space="preserve"> </w:t>
      </w:r>
      <w:r w:rsidRPr="009A677E">
        <w:rPr>
          <w:rFonts w:ascii="Arial" w:hAnsi="Arial" w:cs="Arial"/>
          <w:color w:val="000000" w:themeColor="text1"/>
        </w:rPr>
        <w:t>however, in strict law, confer no rights upon the curator to deal with immovable</w:t>
      </w:r>
      <w:r w:rsidR="00EF593B" w:rsidRPr="009A677E">
        <w:rPr>
          <w:rFonts w:ascii="Arial" w:hAnsi="Arial" w:cs="Arial"/>
          <w:color w:val="000000" w:themeColor="text1"/>
        </w:rPr>
        <w:t xml:space="preserve"> </w:t>
      </w:r>
      <w:r w:rsidRPr="009A677E">
        <w:rPr>
          <w:rFonts w:ascii="Arial" w:hAnsi="Arial" w:cs="Arial"/>
          <w:color w:val="000000" w:themeColor="text1"/>
        </w:rPr>
        <w:t>property of the debtor outside the jurisdiction of the Judge who made the</w:t>
      </w:r>
      <w:r w:rsidR="00EF593B" w:rsidRPr="009A677E">
        <w:rPr>
          <w:rFonts w:ascii="Arial" w:hAnsi="Arial" w:cs="Arial"/>
          <w:color w:val="000000" w:themeColor="text1"/>
        </w:rPr>
        <w:t xml:space="preserve"> </w:t>
      </w:r>
      <w:r w:rsidRPr="009A677E">
        <w:rPr>
          <w:rFonts w:ascii="Arial" w:hAnsi="Arial" w:cs="Arial"/>
          <w:color w:val="000000" w:themeColor="text1"/>
        </w:rPr>
        <w:t>appointment. The Court having jurisdiction at the place where such landed</w:t>
      </w:r>
      <w:r w:rsidR="00EF593B" w:rsidRPr="009A677E">
        <w:rPr>
          <w:rFonts w:ascii="Arial" w:hAnsi="Arial" w:cs="Arial"/>
          <w:color w:val="000000" w:themeColor="text1"/>
        </w:rPr>
        <w:t xml:space="preserve"> </w:t>
      </w:r>
      <w:r w:rsidRPr="009A677E">
        <w:rPr>
          <w:rFonts w:ascii="Arial" w:hAnsi="Arial" w:cs="Arial"/>
          <w:color w:val="000000" w:themeColor="text1"/>
        </w:rPr>
        <w:t>property is situated is fully entitled to deal with that property according to the lex</w:t>
      </w:r>
      <w:r w:rsidR="00EF593B" w:rsidRPr="009A677E">
        <w:rPr>
          <w:rFonts w:ascii="Arial" w:hAnsi="Arial" w:cs="Arial"/>
          <w:color w:val="000000" w:themeColor="text1"/>
        </w:rPr>
        <w:t xml:space="preserve"> </w:t>
      </w:r>
      <w:r w:rsidRPr="009A677E">
        <w:rPr>
          <w:rFonts w:ascii="Arial" w:hAnsi="Arial" w:cs="Arial"/>
          <w:color w:val="000000" w:themeColor="text1"/>
        </w:rPr>
        <w:t>rei sitae, and to refuse in any way to recognise the order of the Judge of the debtor's</w:t>
      </w:r>
      <w:r w:rsidR="00EF593B" w:rsidRPr="009A677E">
        <w:rPr>
          <w:rFonts w:ascii="Arial" w:hAnsi="Arial" w:cs="Arial"/>
          <w:color w:val="000000" w:themeColor="text1"/>
        </w:rPr>
        <w:t xml:space="preserve"> </w:t>
      </w:r>
      <w:r w:rsidRPr="009A677E">
        <w:rPr>
          <w:rFonts w:ascii="Arial" w:hAnsi="Arial" w:cs="Arial"/>
          <w:color w:val="000000" w:themeColor="text1"/>
        </w:rPr>
        <w:t>domicile. But, on the other hand, the same Court, acting from motives of comity</w:t>
      </w:r>
      <w:r w:rsidR="00EF593B" w:rsidRPr="009A677E">
        <w:rPr>
          <w:rFonts w:ascii="Arial" w:hAnsi="Arial" w:cs="Arial"/>
          <w:color w:val="000000" w:themeColor="text1"/>
        </w:rPr>
        <w:t xml:space="preserve"> </w:t>
      </w:r>
      <w:r w:rsidRPr="009A677E">
        <w:rPr>
          <w:rFonts w:ascii="Arial" w:hAnsi="Arial" w:cs="Arial"/>
          <w:color w:val="000000" w:themeColor="text1"/>
        </w:rPr>
        <w:t>or convenience, is equally justified in allowing the order of the Judge of the</w:t>
      </w:r>
      <w:r w:rsidR="00EF593B" w:rsidRPr="009A677E">
        <w:rPr>
          <w:rFonts w:ascii="Arial" w:hAnsi="Arial" w:cs="Arial"/>
          <w:color w:val="000000" w:themeColor="text1"/>
        </w:rPr>
        <w:t xml:space="preserve"> </w:t>
      </w:r>
      <w:r w:rsidRPr="009A677E">
        <w:rPr>
          <w:rFonts w:ascii="Arial" w:hAnsi="Arial" w:cs="Arial"/>
          <w:color w:val="000000" w:themeColor="text1"/>
        </w:rPr>
        <w:t>domicile to operate within its jurisdiction, and in assisting the execution or</w:t>
      </w:r>
      <w:r w:rsidR="00EF593B" w:rsidRPr="009A677E">
        <w:rPr>
          <w:rFonts w:ascii="Arial" w:hAnsi="Arial" w:cs="Arial"/>
          <w:color w:val="000000" w:themeColor="text1"/>
        </w:rPr>
        <w:t xml:space="preserve"> </w:t>
      </w:r>
      <w:r w:rsidRPr="009A677E">
        <w:rPr>
          <w:rFonts w:ascii="Arial" w:hAnsi="Arial" w:cs="Arial"/>
          <w:color w:val="000000" w:themeColor="text1"/>
        </w:rPr>
        <w:t>enforcement of such order. The matter is entirely one for its own discretion. It</w:t>
      </w:r>
      <w:r w:rsidR="00EF593B" w:rsidRPr="009A677E">
        <w:rPr>
          <w:rFonts w:ascii="Arial" w:hAnsi="Arial" w:cs="Arial"/>
          <w:color w:val="000000" w:themeColor="text1"/>
        </w:rPr>
        <w:t xml:space="preserve"> </w:t>
      </w:r>
      <w:r w:rsidRPr="009A677E">
        <w:rPr>
          <w:rFonts w:ascii="Arial" w:hAnsi="Arial" w:cs="Arial"/>
          <w:color w:val="000000" w:themeColor="text1"/>
        </w:rPr>
        <w:t>seems clear, therefore, on the highest authority, that the Judges of the various</w:t>
      </w:r>
      <w:r w:rsidR="00EF593B" w:rsidRPr="009A677E">
        <w:rPr>
          <w:rFonts w:ascii="Arial" w:hAnsi="Arial" w:cs="Arial"/>
          <w:color w:val="000000" w:themeColor="text1"/>
        </w:rPr>
        <w:t xml:space="preserve"> </w:t>
      </w:r>
      <w:r w:rsidRPr="009A677E">
        <w:rPr>
          <w:rFonts w:ascii="Arial" w:hAnsi="Arial" w:cs="Arial"/>
          <w:color w:val="000000" w:themeColor="text1"/>
        </w:rPr>
        <w:t>provinces of the Netherlands, while adhering to the rule that real property could</w:t>
      </w:r>
      <w:r w:rsidR="00EF593B" w:rsidRPr="009A677E">
        <w:rPr>
          <w:rFonts w:ascii="Arial" w:hAnsi="Arial" w:cs="Arial"/>
          <w:color w:val="000000" w:themeColor="text1"/>
        </w:rPr>
        <w:t xml:space="preserve"> </w:t>
      </w:r>
      <w:r w:rsidRPr="009A677E">
        <w:rPr>
          <w:rFonts w:ascii="Arial" w:hAnsi="Arial" w:cs="Arial"/>
          <w:color w:val="000000" w:themeColor="text1"/>
        </w:rPr>
        <w:t>only be dealt with by the law of the place where it was situated, had in any</w:t>
      </w:r>
      <w:r w:rsidR="00EF593B" w:rsidRPr="009A677E">
        <w:rPr>
          <w:rFonts w:ascii="Arial" w:hAnsi="Arial" w:cs="Arial"/>
          <w:color w:val="000000" w:themeColor="text1"/>
        </w:rPr>
        <w:t xml:space="preserve"> </w:t>
      </w:r>
      <w:r w:rsidRPr="009A677E">
        <w:rPr>
          <w:rFonts w:ascii="Arial" w:hAnsi="Arial" w:cs="Arial"/>
          <w:color w:val="000000" w:themeColor="text1"/>
        </w:rPr>
        <w:t>particular case the power, on grounds of comity, to waive the right of insisting on</w:t>
      </w:r>
      <w:r w:rsidR="00EF593B" w:rsidRPr="009A677E">
        <w:rPr>
          <w:rFonts w:ascii="Arial" w:hAnsi="Arial" w:cs="Arial"/>
          <w:color w:val="000000" w:themeColor="text1"/>
        </w:rPr>
        <w:t xml:space="preserve"> </w:t>
      </w:r>
      <w:r w:rsidRPr="009A677E">
        <w:rPr>
          <w:rFonts w:ascii="Arial" w:hAnsi="Arial" w:cs="Arial"/>
          <w:color w:val="000000" w:themeColor="text1"/>
        </w:rPr>
        <w:t>this strict legal rule. They were considered justified in allowing at their absolute</w:t>
      </w:r>
      <w:r w:rsidR="00EF593B" w:rsidRPr="009A677E">
        <w:rPr>
          <w:rFonts w:ascii="Arial" w:hAnsi="Arial" w:cs="Arial"/>
          <w:color w:val="000000" w:themeColor="text1"/>
        </w:rPr>
        <w:t xml:space="preserve"> </w:t>
      </w:r>
      <w:r w:rsidRPr="009A677E">
        <w:rPr>
          <w:rFonts w:ascii="Arial" w:hAnsi="Arial" w:cs="Arial"/>
          <w:color w:val="000000" w:themeColor="text1"/>
        </w:rPr>
        <w:t>discretion a foreign order for the appointment of a curator to operate upon</w:t>
      </w:r>
      <w:r w:rsidR="00EF593B" w:rsidRPr="009A677E">
        <w:rPr>
          <w:rFonts w:ascii="Arial" w:hAnsi="Arial" w:cs="Arial"/>
          <w:color w:val="000000" w:themeColor="text1"/>
        </w:rPr>
        <w:t xml:space="preserve"> </w:t>
      </w:r>
      <w:r w:rsidRPr="009A677E">
        <w:rPr>
          <w:rFonts w:ascii="Arial" w:hAnsi="Arial" w:cs="Arial"/>
          <w:color w:val="000000" w:themeColor="text1"/>
        </w:rPr>
        <w:t>immovable assets within their own jurisdiction.'</w:t>
      </w:r>
    </w:p>
    <w:p w14:paraId="5AAF803C" w14:textId="188EF32B" w:rsidR="008F7657" w:rsidRPr="009A677E" w:rsidRDefault="008F7657" w:rsidP="008F7657">
      <w:pPr>
        <w:pStyle w:val="ListParagraph"/>
        <w:jc w:val="both"/>
        <w:rPr>
          <w:rFonts w:ascii="Arial" w:hAnsi="Arial" w:cs="Arial"/>
          <w:color w:val="000000" w:themeColor="text1"/>
        </w:rPr>
      </w:pPr>
    </w:p>
    <w:p w14:paraId="57C5B217" w14:textId="231A9BBE" w:rsidR="008B6DAA" w:rsidRPr="009A677E" w:rsidRDefault="008F7657" w:rsidP="00945070">
      <w:pPr>
        <w:pStyle w:val="ListParagraph"/>
        <w:numPr>
          <w:ilvl w:val="0"/>
          <w:numId w:val="1"/>
        </w:numPr>
        <w:jc w:val="both"/>
        <w:rPr>
          <w:rFonts w:ascii="Arial" w:hAnsi="Arial" w:cs="Arial"/>
          <w:color w:val="000000" w:themeColor="text1"/>
        </w:rPr>
      </w:pPr>
      <w:r w:rsidRPr="009A677E">
        <w:rPr>
          <w:rFonts w:ascii="Arial" w:hAnsi="Arial" w:cs="Arial"/>
          <w:color w:val="000000" w:themeColor="text1"/>
        </w:rPr>
        <w:t>As Smith and Boraine</w:t>
      </w:r>
      <w:r w:rsidRPr="009A677E">
        <w:rPr>
          <w:rStyle w:val="FootnoteReference"/>
          <w:rFonts w:ascii="Arial" w:hAnsi="Arial" w:cs="Arial"/>
          <w:color w:val="000000" w:themeColor="text1"/>
        </w:rPr>
        <w:footnoteReference w:id="23"/>
      </w:r>
      <w:r w:rsidRPr="009A677E">
        <w:rPr>
          <w:rFonts w:ascii="Arial" w:hAnsi="Arial" w:cs="Arial"/>
          <w:color w:val="000000" w:themeColor="text1"/>
        </w:rPr>
        <w:t xml:space="preserve"> </w:t>
      </w:r>
      <w:r w:rsidR="009A499A" w:rsidRPr="009A677E">
        <w:rPr>
          <w:rFonts w:ascii="Arial" w:hAnsi="Arial" w:cs="Arial"/>
          <w:color w:val="000000" w:themeColor="text1"/>
        </w:rPr>
        <w:t>note</w:t>
      </w:r>
      <w:r w:rsidR="00FF570C" w:rsidRPr="009A677E">
        <w:rPr>
          <w:rFonts w:ascii="Arial" w:hAnsi="Arial" w:cs="Arial"/>
          <w:color w:val="000000" w:themeColor="text1"/>
        </w:rPr>
        <w:t>,</w:t>
      </w:r>
      <w:r w:rsidRPr="009A677E">
        <w:rPr>
          <w:rFonts w:ascii="Arial" w:hAnsi="Arial" w:cs="Arial"/>
          <w:color w:val="000000" w:themeColor="text1"/>
        </w:rPr>
        <w:t xml:space="preserve"> </w:t>
      </w:r>
      <w:r w:rsidR="001B793B" w:rsidRPr="009A677E">
        <w:rPr>
          <w:rFonts w:ascii="Arial" w:hAnsi="Arial" w:cs="Arial"/>
          <w:color w:val="000000" w:themeColor="text1"/>
        </w:rPr>
        <w:t xml:space="preserve">the </w:t>
      </w:r>
      <w:r w:rsidRPr="009A677E">
        <w:rPr>
          <w:rFonts w:ascii="Arial" w:hAnsi="Arial" w:cs="Arial"/>
          <w:color w:val="000000" w:themeColor="text1"/>
        </w:rPr>
        <w:t>element of convenience may be</w:t>
      </w:r>
      <w:r w:rsidR="001B793B" w:rsidRPr="009A677E">
        <w:rPr>
          <w:rFonts w:ascii="Arial" w:hAnsi="Arial" w:cs="Arial"/>
          <w:color w:val="000000" w:themeColor="text1"/>
        </w:rPr>
        <w:t xml:space="preserve"> </w:t>
      </w:r>
      <w:r w:rsidRPr="009A677E">
        <w:rPr>
          <w:rFonts w:ascii="Arial" w:hAnsi="Arial" w:cs="Arial"/>
          <w:color w:val="000000" w:themeColor="text1"/>
        </w:rPr>
        <w:t>decisive</w:t>
      </w:r>
      <w:r w:rsidR="001B793B" w:rsidRPr="009A677E">
        <w:rPr>
          <w:rFonts w:ascii="Arial" w:hAnsi="Arial" w:cs="Arial"/>
          <w:color w:val="000000" w:themeColor="text1"/>
        </w:rPr>
        <w:t xml:space="preserve"> in either case</w:t>
      </w:r>
      <w:r w:rsidRPr="009A677E">
        <w:rPr>
          <w:rFonts w:ascii="Arial" w:hAnsi="Arial" w:cs="Arial"/>
          <w:color w:val="000000" w:themeColor="text1"/>
        </w:rPr>
        <w:t>.</w:t>
      </w:r>
      <w:r w:rsidR="001B793B" w:rsidRPr="009A677E">
        <w:rPr>
          <w:rFonts w:ascii="Arial" w:hAnsi="Arial" w:cs="Arial"/>
          <w:color w:val="000000" w:themeColor="text1"/>
        </w:rPr>
        <w:t xml:space="preserve"> So</w:t>
      </w:r>
      <w:r w:rsidR="0098418F" w:rsidRPr="009A677E">
        <w:rPr>
          <w:rFonts w:ascii="Arial" w:hAnsi="Arial" w:cs="Arial"/>
          <w:color w:val="000000" w:themeColor="text1"/>
        </w:rPr>
        <w:t>,</w:t>
      </w:r>
      <w:r w:rsidR="001B793B" w:rsidRPr="009A677E">
        <w:rPr>
          <w:rFonts w:ascii="Arial" w:hAnsi="Arial" w:cs="Arial"/>
          <w:color w:val="000000" w:themeColor="text1"/>
        </w:rPr>
        <w:t xml:space="preserve"> </w:t>
      </w:r>
      <w:r w:rsidR="009A499A" w:rsidRPr="009A677E">
        <w:rPr>
          <w:rFonts w:ascii="Arial" w:hAnsi="Arial" w:cs="Arial"/>
          <w:color w:val="000000" w:themeColor="text1"/>
        </w:rPr>
        <w:t xml:space="preserve">in </w:t>
      </w:r>
      <w:r w:rsidR="009A499A" w:rsidRPr="008111EC">
        <w:rPr>
          <w:rFonts w:ascii="Arial" w:hAnsi="Arial" w:cs="Arial"/>
          <w:i/>
          <w:iCs/>
          <w:color w:val="000000" w:themeColor="text1"/>
        </w:rPr>
        <w:t>Re Estate Morris</w:t>
      </w:r>
      <w:r w:rsidR="009A499A" w:rsidRPr="009A677E">
        <w:rPr>
          <w:rFonts w:ascii="Arial" w:hAnsi="Arial" w:cs="Arial"/>
          <w:color w:val="000000" w:themeColor="text1"/>
        </w:rPr>
        <w:t xml:space="preserve"> a</w:t>
      </w:r>
      <w:r w:rsidRPr="009A677E">
        <w:rPr>
          <w:rFonts w:ascii="Arial" w:hAnsi="Arial" w:cs="Arial"/>
          <w:color w:val="000000" w:themeColor="text1"/>
        </w:rPr>
        <w:t>lthough the debtor owned immovable property and owed debts to</w:t>
      </w:r>
      <w:r w:rsidR="009A499A" w:rsidRPr="009A677E">
        <w:rPr>
          <w:rFonts w:ascii="Arial" w:hAnsi="Arial" w:cs="Arial"/>
          <w:color w:val="000000" w:themeColor="text1"/>
        </w:rPr>
        <w:t xml:space="preserve"> </w:t>
      </w:r>
      <w:r w:rsidRPr="009A677E">
        <w:rPr>
          <w:rFonts w:ascii="Arial" w:hAnsi="Arial" w:cs="Arial"/>
          <w:color w:val="000000" w:themeColor="text1"/>
        </w:rPr>
        <w:t>creditors abroad, it was more convenient that the court in which he had acquired</w:t>
      </w:r>
      <w:r w:rsidR="009A499A" w:rsidRPr="009A677E">
        <w:rPr>
          <w:rFonts w:ascii="Arial" w:hAnsi="Arial" w:cs="Arial"/>
          <w:color w:val="000000" w:themeColor="text1"/>
        </w:rPr>
        <w:t xml:space="preserve"> </w:t>
      </w:r>
      <w:r w:rsidRPr="009A677E">
        <w:rPr>
          <w:rFonts w:ascii="Arial" w:hAnsi="Arial" w:cs="Arial"/>
          <w:color w:val="000000" w:themeColor="text1"/>
        </w:rPr>
        <w:t>a domicile of choice and also movables should be able to supervise the</w:t>
      </w:r>
      <w:r w:rsidR="009A499A" w:rsidRPr="009A677E">
        <w:rPr>
          <w:rFonts w:ascii="Arial" w:hAnsi="Arial" w:cs="Arial"/>
          <w:color w:val="000000" w:themeColor="text1"/>
        </w:rPr>
        <w:t xml:space="preserve"> </w:t>
      </w:r>
      <w:r w:rsidRPr="009A677E">
        <w:rPr>
          <w:rFonts w:ascii="Arial" w:hAnsi="Arial" w:cs="Arial"/>
          <w:color w:val="000000" w:themeColor="text1"/>
        </w:rPr>
        <w:t xml:space="preserve">sequestration of his estate. In </w:t>
      </w:r>
      <w:r w:rsidR="003734DE" w:rsidRPr="009A677E">
        <w:rPr>
          <w:rFonts w:ascii="Arial" w:hAnsi="Arial" w:cs="Arial"/>
          <w:color w:val="000000" w:themeColor="text1"/>
        </w:rPr>
        <w:t xml:space="preserve">counterpoint, in </w:t>
      </w:r>
      <w:r w:rsidR="003734DE" w:rsidRPr="008111EC">
        <w:rPr>
          <w:rFonts w:ascii="Arial" w:hAnsi="Arial" w:cs="Arial"/>
          <w:i/>
          <w:iCs/>
          <w:color w:val="000000" w:themeColor="text1"/>
        </w:rPr>
        <w:t>Deutsche Bank AG v. Moser</w:t>
      </w:r>
      <w:r w:rsidR="008111EC">
        <w:rPr>
          <w:rStyle w:val="FootnoteReference"/>
          <w:rFonts w:ascii="Arial" w:hAnsi="Arial" w:cs="Arial"/>
          <w:color w:val="000000" w:themeColor="text1"/>
        </w:rPr>
        <w:footnoteReference w:id="24"/>
      </w:r>
      <w:r w:rsidR="00CF25D0" w:rsidRPr="009A677E">
        <w:rPr>
          <w:rFonts w:ascii="Arial" w:hAnsi="Arial" w:cs="Arial"/>
          <w:color w:val="000000" w:themeColor="text1"/>
        </w:rPr>
        <w:t>,</w:t>
      </w:r>
      <w:r w:rsidR="003734DE" w:rsidRPr="009A677E">
        <w:rPr>
          <w:rFonts w:ascii="Arial" w:hAnsi="Arial" w:cs="Arial"/>
          <w:color w:val="000000" w:themeColor="text1"/>
        </w:rPr>
        <w:t xml:space="preserve"> which although was no</w:t>
      </w:r>
      <w:r w:rsidR="00CF25D0" w:rsidRPr="009A677E">
        <w:rPr>
          <w:rFonts w:ascii="Arial" w:hAnsi="Arial" w:cs="Arial"/>
          <w:color w:val="000000" w:themeColor="text1"/>
        </w:rPr>
        <w:t>t</w:t>
      </w:r>
      <w:r w:rsidR="003734DE" w:rsidRPr="009A677E">
        <w:rPr>
          <w:rFonts w:ascii="Arial" w:hAnsi="Arial" w:cs="Arial"/>
          <w:color w:val="000000" w:themeColor="text1"/>
        </w:rPr>
        <w:t xml:space="preserve"> an application for recognition, </w:t>
      </w:r>
      <w:r w:rsidR="00CF25D0" w:rsidRPr="009A677E">
        <w:rPr>
          <w:rFonts w:ascii="Arial" w:hAnsi="Arial" w:cs="Arial"/>
          <w:color w:val="000000" w:themeColor="text1"/>
        </w:rPr>
        <w:t>“</w:t>
      </w:r>
      <w:r w:rsidR="003734DE" w:rsidRPr="009A677E">
        <w:rPr>
          <w:rFonts w:ascii="Arial" w:hAnsi="Arial" w:cs="Arial"/>
          <w:color w:val="000000" w:themeColor="text1"/>
        </w:rPr>
        <w:t>convenience</w:t>
      </w:r>
      <w:r w:rsidR="00CF25D0" w:rsidRPr="009A677E">
        <w:rPr>
          <w:rFonts w:ascii="Arial" w:hAnsi="Arial" w:cs="Arial"/>
          <w:color w:val="000000" w:themeColor="text1"/>
        </w:rPr>
        <w:t>”</w:t>
      </w:r>
      <w:r w:rsidR="003734DE" w:rsidRPr="009A677E">
        <w:rPr>
          <w:rFonts w:ascii="Arial" w:hAnsi="Arial" w:cs="Arial"/>
          <w:color w:val="000000" w:themeColor="text1"/>
        </w:rPr>
        <w:t xml:space="preserve"> was though</w:t>
      </w:r>
      <w:r w:rsidR="00CF25D0" w:rsidRPr="009A677E">
        <w:rPr>
          <w:rFonts w:ascii="Arial" w:hAnsi="Arial" w:cs="Arial"/>
          <w:color w:val="000000" w:themeColor="text1"/>
        </w:rPr>
        <w:t>t</w:t>
      </w:r>
      <w:r w:rsidR="003734DE" w:rsidRPr="009A677E">
        <w:rPr>
          <w:rFonts w:ascii="Arial" w:hAnsi="Arial" w:cs="Arial"/>
          <w:color w:val="000000" w:themeColor="text1"/>
        </w:rPr>
        <w:t xml:space="preserve"> to </w:t>
      </w:r>
      <w:r w:rsidR="00FF570C" w:rsidRPr="009A677E">
        <w:rPr>
          <w:rFonts w:ascii="Arial" w:hAnsi="Arial" w:cs="Arial"/>
          <w:color w:val="000000" w:themeColor="text1"/>
        </w:rPr>
        <w:t>lie in</w:t>
      </w:r>
      <w:r w:rsidR="00CF25D0" w:rsidRPr="009A677E">
        <w:rPr>
          <w:rFonts w:ascii="Arial" w:hAnsi="Arial" w:cs="Arial"/>
          <w:color w:val="000000" w:themeColor="text1"/>
        </w:rPr>
        <w:t xml:space="preserve"> the South African courts owing to the more </w:t>
      </w:r>
      <w:r w:rsidR="00230B9B" w:rsidRPr="009A677E">
        <w:rPr>
          <w:rFonts w:ascii="Arial" w:hAnsi="Arial" w:cs="Arial"/>
          <w:color w:val="000000" w:themeColor="text1"/>
        </w:rPr>
        <w:t>creditor</w:t>
      </w:r>
      <w:r w:rsidR="00CF25D0" w:rsidRPr="009A677E">
        <w:rPr>
          <w:rFonts w:ascii="Arial" w:hAnsi="Arial" w:cs="Arial"/>
          <w:color w:val="000000" w:themeColor="text1"/>
        </w:rPr>
        <w:t xml:space="preserve"> friendly insolvency provisions</w:t>
      </w:r>
      <w:r w:rsidR="00230B9B" w:rsidRPr="009A677E">
        <w:rPr>
          <w:rFonts w:ascii="Arial" w:hAnsi="Arial" w:cs="Arial"/>
          <w:color w:val="000000" w:themeColor="text1"/>
        </w:rPr>
        <w:t xml:space="preserve"> there</w:t>
      </w:r>
      <w:r w:rsidR="00FF570C" w:rsidRPr="009A677E">
        <w:rPr>
          <w:rFonts w:ascii="Arial" w:hAnsi="Arial" w:cs="Arial"/>
          <w:color w:val="000000" w:themeColor="text1"/>
        </w:rPr>
        <w:t xml:space="preserve"> </w:t>
      </w:r>
      <w:r w:rsidR="00CF25D0" w:rsidRPr="009A677E">
        <w:rPr>
          <w:rFonts w:ascii="Arial" w:hAnsi="Arial" w:cs="Arial"/>
          <w:color w:val="000000" w:themeColor="text1"/>
        </w:rPr>
        <w:t>in the context of an application for a provisional order of sequestration</w:t>
      </w:r>
      <w:r w:rsidR="00FF570C" w:rsidRPr="009A677E">
        <w:rPr>
          <w:rFonts w:ascii="Arial" w:hAnsi="Arial" w:cs="Arial"/>
          <w:color w:val="000000" w:themeColor="text1"/>
        </w:rPr>
        <w:t>. That is, the protection of local creditors was preferred</w:t>
      </w:r>
      <w:r w:rsidR="008B6DAA" w:rsidRPr="009A677E">
        <w:rPr>
          <w:rFonts w:ascii="Arial" w:hAnsi="Arial" w:cs="Arial"/>
          <w:color w:val="000000" w:themeColor="text1"/>
        </w:rPr>
        <w:t>.</w:t>
      </w:r>
    </w:p>
    <w:p w14:paraId="0812EC07" w14:textId="77777777" w:rsidR="008B6DAA" w:rsidRPr="009A677E" w:rsidRDefault="008B6DAA" w:rsidP="008B6DAA">
      <w:pPr>
        <w:pStyle w:val="ListParagraph"/>
        <w:jc w:val="both"/>
        <w:rPr>
          <w:rFonts w:ascii="Arial" w:hAnsi="Arial" w:cs="Arial"/>
          <w:color w:val="000000" w:themeColor="text1"/>
        </w:rPr>
      </w:pPr>
    </w:p>
    <w:p w14:paraId="2B8A268A" w14:textId="53B143D7" w:rsidR="008F7657" w:rsidRDefault="008B6DAA" w:rsidP="00945070">
      <w:pPr>
        <w:pStyle w:val="ListParagraph"/>
        <w:numPr>
          <w:ilvl w:val="0"/>
          <w:numId w:val="1"/>
        </w:numPr>
        <w:jc w:val="both"/>
        <w:rPr>
          <w:rFonts w:ascii="Arial" w:hAnsi="Arial" w:cs="Arial"/>
          <w:color w:val="000000" w:themeColor="text1"/>
        </w:rPr>
      </w:pPr>
      <w:r w:rsidRPr="009A677E">
        <w:rPr>
          <w:rFonts w:ascii="Arial" w:hAnsi="Arial" w:cs="Arial"/>
          <w:color w:val="000000" w:themeColor="text1"/>
        </w:rPr>
        <w:t>The protection of local creditors</w:t>
      </w:r>
      <w:r w:rsidR="00CF25D0" w:rsidRPr="009A677E">
        <w:rPr>
          <w:rFonts w:ascii="Arial" w:hAnsi="Arial" w:cs="Arial"/>
          <w:color w:val="000000" w:themeColor="text1"/>
        </w:rPr>
        <w:t xml:space="preserve"> </w:t>
      </w:r>
      <w:r w:rsidRPr="009A677E">
        <w:rPr>
          <w:rFonts w:ascii="Arial" w:hAnsi="Arial" w:cs="Arial"/>
          <w:color w:val="000000" w:themeColor="text1"/>
        </w:rPr>
        <w:t>is a particularly important feature of South African cross-border insolvency law</w:t>
      </w:r>
      <w:r w:rsidRPr="009A677E">
        <w:rPr>
          <w:rStyle w:val="FootnoteReference"/>
          <w:rFonts w:ascii="Arial" w:hAnsi="Arial" w:cs="Arial"/>
          <w:color w:val="000000" w:themeColor="text1"/>
        </w:rPr>
        <w:footnoteReference w:id="25"/>
      </w:r>
      <w:r w:rsidR="00931EBC" w:rsidRPr="009A677E">
        <w:rPr>
          <w:rFonts w:ascii="Arial" w:hAnsi="Arial" w:cs="Arial"/>
          <w:color w:val="000000" w:themeColor="text1"/>
        </w:rPr>
        <w:t>. Movable or immovable assets of the debtor may only be dealt with by the foreign trustee according to the lex fori and the procedure of the South African courts which extends to issues of priorities and the ranking of claims</w:t>
      </w:r>
      <w:r w:rsidR="00931EBC" w:rsidRPr="009A677E">
        <w:rPr>
          <w:rStyle w:val="FootnoteReference"/>
          <w:rFonts w:ascii="Arial" w:hAnsi="Arial" w:cs="Arial"/>
          <w:color w:val="000000" w:themeColor="text1"/>
        </w:rPr>
        <w:footnoteReference w:id="26"/>
      </w:r>
      <w:r w:rsidR="00931EBC" w:rsidRPr="009A677E">
        <w:rPr>
          <w:rFonts w:ascii="Arial" w:hAnsi="Arial" w:cs="Arial"/>
          <w:color w:val="000000" w:themeColor="text1"/>
        </w:rPr>
        <w:t xml:space="preserve">. </w:t>
      </w:r>
      <w:r w:rsidR="006D6ECD" w:rsidRPr="009A677E">
        <w:rPr>
          <w:rFonts w:ascii="Arial" w:hAnsi="Arial" w:cs="Arial"/>
          <w:color w:val="000000" w:themeColor="text1"/>
        </w:rPr>
        <w:t xml:space="preserve">See for example </w:t>
      </w:r>
      <w:r w:rsidR="006D6ECD" w:rsidRPr="008111EC">
        <w:rPr>
          <w:rFonts w:ascii="Arial" w:hAnsi="Arial" w:cs="Arial"/>
          <w:i/>
          <w:iCs/>
          <w:color w:val="000000" w:themeColor="text1"/>
        </w:rPr>
        <w:lastRenderedPageBreak/>
        <w:t>Ex parte Steyn</w:t>
      </w:r>
      <w:r w:rsidR="008111EC">
        <w:rPr>
          <w:rStyle w:val="FootnoteReference"/>
          <w:rFonts w:ascii="Arial" w:hAnsi="Arial" w:cs="Arial"/>
          <w:i/>
          <w:iCs/>
          <w:color w:val="000000" w:themeColor="text1"/>
        </w:rPr>
        <w:footnoteReference w:id="27"/>
      </w:r>
      <w:r w:rsidR="006D6ECD" w:rsidRPr="009A677E">
        <w:rPr>
          <w:rFonts w:ascii="Arial" w:hAnsi="Arial" w:cs="Arial"/>
          <w:color w:val="000000" w:themeColor="text1"/>
        </w:rPr>
        <w:t xml:space="preserve"> in which Fleming J </w:t>
      </w:r>
      <w:r w:rsidR="0098418F" w:rsidRPr="009A677E">
        <w:rPr>
          <w:rFonts w:ascii="Arial" w:hAnsi="Arial" w:cs="Arial"/>
          <w:color w:val="000000" w:themeColor="text1"/>
        </w:rPr>
        <w:t>held</w:t>
      </w:r>
      <w:r w:rsidR="006D6ECD" w:rsidRPr="009A677E">
        <w:rPr>
          <w:rFonts w:ascii="Arial" w:hAnsi="Arial" w:cs="Arial"/>
          <w:color w:val="000000" w:themeColor="text1"/>
        </w:rPr>
        <w:t xml:space="preserve"> that only a creditor whose whole cause of action arose within the Republic of South Africa or who is an incola of the Republic ... shall by virtue of this order acquire any right to prove a secured or preferent claim”</w:t>
      </w:r>
      <w:r w:rsidR="006D6ECD" w:rsidRPr="009A677E">
        <w:rPr>
          <w:rStyle w:val="FootnoteReference"/>
          <w:rFonts w:ascii="Arial" w:hAnsi="Arial" w:cs="Arial"/>
          <w:color w:val="000000" w:themeColor="text1"/>
        </w:rPr>
        <w:footnoteReference w:id="28"/>
      </w:r>
      <w:r w:rsidR="006D6ECD" w:rsidRPr="009A677E">
        <w:rPr>
          <w:rFonts w:ascii="Arial" w:hAnsi="Arial" w:cs="Arial"/>
          <w:color w:val="000000" w:themeColor="text1"/>
        </w:rPr>
        <w:t>.</w:t>
      </w:r>
      <w:r w:rsidR="0098418F" w:rsidRPr="009A677E">
        <w:rPr>
          <w:rFonts w:ascii="Arial" w:hAnsi="Arial" w:cs="Arial"/>
          <w:color w:val="000000" w:themeColor="text1"/>
        </w:rPr>
        <w:t xml:space="preserve"> The ruling mean</w:t>
      </w:r>
      <w:r w:rsidR="00404E37" w:rsidRPr="009A677E">
        <w:rPr>
          <w:rFonts w:ascii="Arial" w:hAnsi="Arial" w:cs="Arial"/>
          <w:color w:val="000000" w:themeColor="text1"/>
        </w:rPr>
        <w:t>t</w:t>
      </w:r>
      <w:r w:rsidR="0098418F" w:rsidRPr="009A677E">
        <w:rPr>
          <w:rFonts w:ascii="Arial" w:hAnsi="Arial" w:cs="Arial"/>
          <w:color w:val="000000" w:themeColor="text1"/>
        </w:rPr>
        <w:t xml:space="preserve"> that creditors whose whole causes of action did not take place in South Africa could not qualify as a secured/preferential creditor.</w:t>
      </w:r>
    </w:p>
    <w:p w14:paraId="3B39AEEB" w14:textId="77777777" w:rsidR="003E5FC2" w:rsidRPr="003E5FC2" w:rsidRDefault="003E5FC2" w:rsidP="003E5FC2">
      <w:pPr>
        <w:pStyle w:val="ListParagraph"/>
        <w:rPr>
          <w:rFonts w:ascii="Arial" w:hAnsi="Arial" w:cs="Arial"/>
          <w:color w:val="000000" w:themeColor="text1"/>
        </w:rPr>
      </w:pPr>
    </w:p>
    <w:p w14:paraId="112BF6EF" w14:textId="38B4C080" w:rsidR="0000149B" w:rsidRPr="00340046" w:rsidRDefault="00B8502F" w:rsidP="00340046">
      <w:pPr>
        <w:jc w:val="both"/>
        <w:rPr>
          <w:rFonts w:ascii="Arial" w:hAnsi="Arial" w:cs="Arial"/>
          <w:b/>
          <w:bCs/>
          <w:color w:val="000000" w:themeColor="text1"/>
        </w:rPr>
      </w:pPr>
      <w:r>
        <w:rPr>
          <w:rFonts w:ascii="Arial" w:hAnsi="Arial" w:cs="Arial"/>
          <w:b/>
          <w:bCs/>
          <w:color w:val="000000" w:themeColor="text1"/>
        </w:rPr>
        <w:t>G</w:t>
      </w:r>
      <w:r w:rsidR="00340046">
        <w:rPr>
          <w:rFonts w:ascii="Arial" w:hAnsi="Arial" w:cs="Arial"/>
          <w:b/>
          <w:bCs/>
          <w:color w:val="000000" w:themeColor="text1"/>
        </w:rPr>
        <w:t xml:space="preserve">. </w:t>
      </w:r>
      <w:r w:rsidR="00340046">
        <w:rPr>
          <w:rFonts w:ascii="Arial" w:hAnsi="Arial" w:cs="Arial"/>
          <w:b/>
          <w:bCs/>
          <w:color w:val="000000" w:themeColor="text1"/>
        </w:rPr>
        <w:tab/>
      </w:r>
      <w:r w:rsidR="008D31B9" w:rsidRPr="00340046">
        <w:rPr>
          <w:rFonts w:ascii="Arial" w:hAnsi="Arial" w:cs="Arial"/>
          <w:b/>
          <w:bCs/>
          <w:color w:val="000000" w:themeColor="text1"/>
        </w:rPr>
        <w:t>Conclusion - a</w:t>
      </w:r>
      <w:r w:rsidR="003E5FC2" w:rsidRPr="00340046">
        <w:rPr>
          <w:rFonts w:ascii="Arial" w:hAnsi="Arial" w:cs="Arial"/>
          <w:b/>
          <w:bCs/>
          <w:color w:val="000000" w:themeColor="text1"/>
        </w:rPr>
        <w:t xml:space="preserve">pplying </w:t>
      </w:r>
      <w:r w:rsidR="00614DC4" w:rsidRPr="00340046">
        <w:rPr>
          <w:rFonts w:ascii="Arial" w:hAnsi="Arial" w:cs="Arial"/>
          <w:b/>
          <w:bCs/>
          <w:color w:val="000000" w:themeColor="text1"/>
        </w:rPr>
        <w:t xml:space="preserve">the </w:t>
      </w:r>
      <w:r w:rsidR="003E5FC2" w:rsidRPr="00340046">
        <w:rPr>
          <w:rFonts w:ascii="Arial" w:hAnsi="Arial" w:cs="Arial"/>
          <w:b/>
          <w:bCs/>
          <w:color w:val="000000" w:themeColor="text1"/>
        </w:rPr>
        <w:t>South Afric</w:t>
      </w:r>
      <w:r w:rsidR="00614DC4" w:rsidRPr="00340046">
        <w:rPr>
          <w:rFonts w:ascii="Arial" w:hAnsi="Arial" w:cs="Arial"/>
          <w:b/>
          <w:bCs/>
          <w:color w:val="000000" w:themeColor="text1"/>
        </w:rPr>
        <w:t xml:space="preserve">an common law to the facts in </w:t>
      </w:r>
      <w:r w:rsidR="00614DC4" w:rsidRPr="00340046">
        <w:rPr>
          <w:rFonts w:ascii="Arial" w:hAnsi="Arial" w:cs="Arial"/>
          <w:b/>
          <w:bCs/>
          <w:i/>
          <w:iCs/>
          <w:color w:val="000000" w:themeColor="text1"/>
        </w:rPr>
        <w:t>Singularis</w:t>
      </w:r>
    </w:p>
    <w:p w14:paraId="2E0B9D89" w14:textId="6CB83B3F" w:rsidR="00546204" w:rsidRPr="009A677E" w:rsidRDefault="00404E37" w:rsidP="00945070">
      <w:pPr>
        <w:pStyle w:val="ListParagraph"/>
        <w:numPr>
          <w:ilvl w:val="0"/>
          <w:numId w:val="1"/>
        </w:numPr>
        <w:jc w:val="both"/>
        <w:rPr>
          <w:rFonts w:ascii="Arial" w:hAnsi="Arial" w:cs="Arial"/>
          <w:color w:val="000000" w:themeColor="text1"/>
        </w:rPr>
      </w:pPr>
      <w:r w:rsidRPr="009A677E">
        <w:rPr>
          <w:rFonts w:ascii="Arial" w:hAnsi="Arial" w:cs="Arial"/>
          <w:color w:val="000000" w:themeColor="text1"/>
        </w:rPr>
        <w:t>How</w:t>
      </w:r>
      <w:r w:rsidR="008111EC">
        <w:rPr>
          <w:rFonts w:ascii="Arial" w:hAnsi="Arial" w:cs="Arial"/>
          <w:color w:val="000000" w:themeColor="text1"/>
        </w:rPr>
        <w:t>,</w:t>
      </w:r>
      <w:r w:rsidRPr="009A677E">
        <w:rPr>
          <w:rFonts w:ascii="Arial" w:hAnsi="Arial" w:cs="Arial"/>
          <w:color w:val="000000" w:themeColor="text1"/>
        </w:rPr>
        <w:t xml:space="preserve"> therefore</w:t>
      </w:r>
      <w:r w:rsidR="008111EC">
        <w:rPr>
          <w:rFonts w:ascii="Arial" w:hAnsi="Arial" w:cs="Arial"/>
          <w:color w:val="000000" w:themeColor="text1"/>
        </w:rPr>
        <w:t>,</w:t>
      </w:r>
      <w:r w:rsidRPr="009A677E">
        <w:rPr>
          <w:rFonts w:ascii="Arial" w:hAnsi="Arial" w:cs="Arial"/>
          <w:color w:val="000000" w:themeColor="text1"/>
        </w:rPr>
        <w:t xml:space="preserve"> would the South African </w:t>
      </w:r>
      <w:r w:rsidR="003E5FC2">
        <w:rPr>
          <w:rFonts w:ascii="Arial" w:hAnsi="Arial" w:cs="Arial"/>
          <w:color w:val="000000" w:themeColor="text1"/>
        </w:rPr>
        <w:t>c</w:t>
      </w:r>
      <w:r w:rsidRPr="009A677E">
        <w:rPr>
          <w:rFonts w:ascii="Arial" w:hAnsi="Arial" w:cs="Arial"/>
          <w:color w:val="000000" w:themeColor="text1"/>
        </w:rPr>
        <w:t xml:space="preserve">ourts have dealt with the facts of </w:t>
      </w:r>
      <w:r w:rsidRPr="008111EC">
        <w:rPr>
          <w:rFonts w:ascii="Arial" w:hAnsi="Arial" w:cs="Arial"/>
          <w:i/>
          <w:iCs/>
          <w:color w:val="000000" w:themeColor="text1"/>
        </w:rPr>
        <w:t>Singularis</w:t>
      </w:r>
      <w:r w:rsidR="004038B1" w:rsidRPr="009A677E">
        <w:rPr>
          <w:rFonts w:ascii="Arial" w:hAnsi="Arial" w:cs="Arial"/>
          <w:color w:val="000000" w:themeColor="text1"/>
        </w:rPr>
        <w:t>?</w:t>
      </w:r>
      <w:r w:rsidRPr="009A677E">
        <w:rPr>
          <w:rFonts w:ascii="Arial" w:hAnsi="Arial" w:cs="Arial"/>
          <w:color w:val="000000" w:themeColor="text1"/>
        </w:rPr>
        <w:t xml:space="preserve"> </w:t>
      </w:r>
      <w:r w:rsidR="00EA0BF8" w:rsidRPr="008111EC">
        <w:rPr>
          <w:rFonts w:ascii="Arial" w:hAnsi="Arial" w:cs="Arial"/>
          <w:i/>
          <w:iCs/>
          <w:color w:val="000000" w:themeColor="text1"/>
        </w:rPr>
        <w:t>Moolman v Builders &amp; Developers</w:t>
      </w:r>
      <w:r w:rsidRPr="009A677E">
        <w:rPr>
          <w:rFonts w:ascii="Arial" w:hAnsi="Arial" w:cs="Arial"/>
          <w:color w:val="000000" w:themeColor="text1"/>
        </w:rPr>
        <w:t xml:space="preserve"> </w:t>
      </w:r>
      <w:r w:rsidR="00AE1253">
        <w:rPr>
          <w:rFonts w:ascii="Arial" w:hAnsi="Arial" w:cs="Arial"/>
          <w:color w:val="000000" w:themeColor="text1"/>
        </w:rPr>
        <w:t xml:space="preserve">demonstrates </w:t>
      </w:r>
      <w:r w:rsidR="00E21AAC" w:rsidRPr="009A677E">
        <w:rPr>
          <w:rFonts w:ascii="Arial" w:hAnsi="Arial" w:cs="Arial"/>
          <w:color w:val="000000" w:themeColor="text1"/>
        </w:rPr>
        <w:t xml:space="preserve">that </w:t>
      </w:r>
      <w:r w:rsidR="004038B1" w:rsidRPr="009A677E">
        <w:rPr>
          <w:rFonts w:ascii="Arial" w:hAnsi="Arial" w:cs="Arial"/>
          <w:color w:val="000000" w:themeColor="text1"/>
        </w:rPr>
        <w:t xml:space="preserve">redress against </w:t>
      </w:r>
      <w:r w:rsidR="00482551" w:rsidRPr="009A677E">
        <w:rPr>
          <w:rFonts w:ascii="Arial" w:hAnsi="Arial" w:cs="Arial"/>
          <w:color w:val="000000" w:themeColor="text1"/>
        </w:rPr>
        <w:t>third part</w:t>
      </w:r>
      <w:r w:rsidR="004038B1" w:rsidRPr="009A677E">
        <w:rPr>
          <w:rFonts w:ascii="Arial" w:hAnsi="Arial" w:cs="Arial"/>
          <w:color w:val="000000" w:themeColor="text1"/>
        </w:rPr>
        <w:t>ies (in the form of an oral e</w:t>
      </w:r>
      <w:r w:rsidR="00A61063" w:rsidRPr="009A677E">
        <w:rPr>
          <w:rFonts w:ascii="Arial" w:hAnsi="Arial" w:cs="Arial"/>
          <w:color w:val="000000" w:themeColor="text1"/>
        </w:rPr>
        <w:t>x</w:t>
      </w:r>
      <w:r w:rsidR="004038B1" w:rsidRPr="009A677E">
        <w:rPr>
          <w:rFonts w:ascii="Arial" w:hAnsi="Arial" w:cs="Arial"/>
          <w:color w:val="000000" w:themeColor="text1"/>
        </w:rPr>
        <w:t>amination)</w:t>
      </w:r>
      <w:r w:rsidR="00482551" w:rsidRPr="009A677E">
        <w:rPr>
          <w:rFonts w:ascii="Arial" w:hAnsi="Arial" w:cs="Arial"/>
          <w:color w:val="000000" w:themeColor="text1"/>
        </w:rPr>
        <w:t xml:space="preserve"> is available to a foreign representative by the South African courts. </w:t>
      </w:r>
      <w:r w:rsidR="004038B1" w:rsidRPr="009A677E">
        <w:rPr>
          <w:rFonts w:ascii="Arial" w:hAnsi="Arial" w:cs="Arial"/>
          <w:color w:val="000000" w:themeColor="text1"/>
        </w:rPr>
        <w:t>In that case the</w:t>
      </w:r>
      <w:r w:rsidR="00E21AAC" w:rsidRPr="009A677E">
        <w:rPr>
          <w:rFonts w:ascii="Arial" w:hAnsi="Arial" w:cs="Arial"/>
          <w:color w:val="000000" w:themeColor="text1"/>
        </w:rPr>
        <w:t xml:space="preserve"> Transkei liquidator sought an order for examination of third parties in South Africa with a view to locating assets of a Transkei company there. </w:t>
      </w:r>
      <w:r w:rsidR="00A61063" w:rsidRPr="009A677E">
        <w:rPr>
          <w:rFonts w:ascii="Arial" w:hAnsi="Arial" w:cs="Arial"/>
          <w:color w:val="000000" w:themeColor="text1"/>
        </w:rPr>
        <w:t>Although t</w:t>
      </w:r>
      <w:r w:rsidR="00E21AAC" w:rsidRPr="009A677E">
        <w:rPr>
          <w:rFonts w:ascii="Arial" w:hAnsi="Arial" w:cs="Arial"/>
          <w:color w:val="000000" w:themeColor="text1"/>
        </w:rPr>
        <w:t>he third parties objected on the basis that there was no jurisdiction to examine them</w:t>
      </w:r>
      <w:r w:rsidR="00A61063" w:rsidRPr="009A677E">
        <w:rPr>
          <w:rFonts w:ascii="Arial" w:hAnsi="Arial" w:cs="Arial"/>
          <w:color w:val="000000" w:themeColor="text1"/>
        </w:rPr>
        <w:t>, they could not</w:t>
      </w:r>
      <w:r w:rsidR="00881148" w:rsidRPr="009A677E">
        <w:rPr>
          <w:rFonts w:ascii="Arial" w:hAnsi="Arial" w:cs="Arial"/>
          <w:color w:val="000000" w:themeColor="text1"/>
        </w:rPr>
        <w:t xml:space="preserve"> </w:t>
      </w:r>
      <w:r w:rsidR="00881148" w:rsidRPr="003E5FC2">
        <w:rPr>
          <w:rFonts w:ascii="Arial" w:hAnsi="Arial" w:cs="Arial"/>
          <w:i/>
          <w:iCs/>
          <w:color w:val="000000" w:themeColor="text1"/>
        </w:rPr>
        <w:t>also</w:t>
      </w:r>
      <w:r w:rsidR="00A61063" w:rsidRPr="009A677E">
        <w:rPr>
          <w:rFonts w:ascii="Arial" w:hAnsi="Arial" w:cs="Arial"/>
          <w:color w:val="000000" w:themeColor="text1"/>
        </w:rPr>
        <w:t xml:space="preserve"> object that the Transkei foreign representative was purporting to exercise </w:t>
      </w:r>
      <w:r w:rsidR="00881148" w:rsidRPr="009A677E">
        <w:rPr>
          <w:rFonts w:ascii="Arial" w:hAnsi="Arial" w:cs="Arial"/>
          <w:color w:val="000000" w:themeColor="text1"/>
        </w:rPr>
        <w:t xml:space="preserve">a power in South Africa which he did not have in Transkei, because he did. The Transkei </w:t>
      </w:r>
      <w:r w:rsidR="00546204" w:rsidRPr="009A677E">
        <w:rPr>
          <w:rFonts w:ascii="Arial" w:hAnsi="Arial" w:cs="Arial"/>
          <w:color w:val="000000" w:themeColor="text1"/>
        </w:rPr>
        <w:t xml:space="preserve">Companies </w:t>
      </w:r>
      <w:r w:rsidR="00881148" w:rsidRPr="009A677E">
        <w:rPr>
          <w:rFonts w:ascii="Arial" w:hAnsi="Arial" w:cs="Arial"/>
          <w:color w:val="000000" w:themeColor="text1"/>
        </w:rPr>
        <w:t xml:space="preserve">legislation </w:t>
      </w:r>
      <w:r w:rsidR="00546204" w:rsidRPr="009A677E">
        <w:rPr>
          <w:rFonts w:ascii="Arial" w:hAnsi="Arial" w:cs="Arial"/>
          <w:color w:val="000000" w:themeColor="text1"/>
        </w:rPr>
        <w:t>(which governed the relevant proceeding</w:t>
      </w:r>
      <w:r w:rsidR="0076151D" w:rsidRPr="009A677E">
        <w:rPr>
          <w:rFonts w:ascii="Arial" w:hAnsi="Arial" w:cs="Arial"/>
          <w:color w:val="000000" w:themeColor="text1"/>
        </w:rPr>
        <w:t>s</w:t>
      </w:r>
      <w:r w:rsidR="00546204" w:rsidRPr="009A677E">
        <w:rPr>
          <w:rFonts w:ascii="Arial" w:hAnsi="Arial" w:cs="Arial"/>
          <w:color w:val="000000" w:themeColor="text1"/>
        </w:rPr>
        <w:t xml:space="preserve">) </w:t>
      </w:r>
      <w:r w:rsidR="00AE1253">
        <w:rPr>
          <w:rFonts w:ascii="Arial" w:hAnsi="Arial" w:cs="Arial"/>
          <w:color w:val="000000" w:themeColor="text1"/>
        </w:rPr>
        <w:t xml:space="preserve">itself </w:t>
      </w:r>
      <w:r w:rsidR="00881148" w:rsidRPr="009A677E">
        <w:rPr>
          <w:rFonts w:ascii="Arial" w:hAnsi="Arial" w:cs="Arial"/>
          <w:color w:val="000000" w:themeColor="text1"/>
        </w:rPr>
        <w:t xml:space="preserve">being a copy of the South African legislation which </w:t>
      </w:r>
      <w:r w:rsidR="004A5C20" w:rsidRPr="009A677E">
        <w:rPr>
          <w:rFonts w:ascii="Arial" w:hAnsi="Arial" w:cs="Arial"/>
          <w:color w:val="000000" w:themeColor="text1"/>
        </w:rPr>
        <w:t>both provide for the examination of “</w:t>
      </w:r>
      <w:r w:rsidR="004A5C20" w:rsidRPr="009A677E">
        <w:rPr>
          <w:rFonts w:ascii="Arial" w:hAnsi="Arial" w:cs="Arial"/>
          <w:i/>
          <w:iCs/>
          <w:color w:val="000000" w:themeColor="text1"/>
        </w:rPr>
        <w:t>any director or officer of the company or person known or suspected to have in his possession any property of the company...</w:t>
      </w:r>
      <w:r w:rsidR="004A5C20" w:rsidRPr="009A677E">
        <w:rPr>
          <w:rFonts w:ascii="Arial" w:hAnsi="Arial" w:cs="Arial"/>
          <w:color w:val="000000" w:themeColor="text1"/>
        </w:rPr>
        <w:t>”</w:t>
      </w:r>
      <w:r w:rsidR="004A5C20" w:rsidRPr="009A677E">
        <w:rPr>
          <w:rStyle w:val="FootnoteReference"/>
          <w:rFonts w:ascii="Arial" w:hAnsi="Arial" w:cs="Arial"/>
          <w:color w:val="000000" w:themeColor="text1"/>
        </w:rPr>
        <w:footnoteReference w:id="29"/>
      </w:r>
      <w:r w:rsidR="004A5C20" w:rsidRPr="009A677E">
        <w:rPr>
          <w:rFonts w:ascii="Arial" w:hAnsi="Arial" w:cs="Arial"/>
          <w:color w:val="000000" w:themeColor="text1"/>
        </w:rPr>
        <w:t>.</w:t>
      </w:r>
    </w:p>
    <w:p w14:paraId="0EA76BBC" w14:textId="77777777" w:rsidR="00546204" w:rsidRPr="009A677E" w:rsidRDefault="00546204" w:rsidP="00546204">
      <w:pPr>
        <w:pStyle w:val="ListParagraph"/>
        <w:rPr>
          <w:rFonts w:ascii="Arial" w:hAnsi="Arial" w:cs="Arial"/>
          <w:color w:val="000000" w:themeColor="text1"/>
        </w:rPr>
      </w:pPr>
    </w:p>
    <w:p w14:paraId="0084B247" w14:textId="33EF0FDE" w:rsidR="00881148" w:rsidRDefault="00625A97" w:rsidP="00EF4C4A">
      <w:pPr>
        <w:pStyle w:val="ListParagraph"/>
        <w:numPr>
          <w:ilvl w:val="0"/>
          <w:numId w:val="1"/>
        </w:numPr>
        <w:jc w:val="both"/>
        <w:rPr>
          <w:rFonts w:ascii="Arial" w:hAnsi="Arial" w:cs="Arial"/>
          <w:color w:val="000000" w:themeColor="text1"/>
        </w:rPr>
      </w:pPr>
      <w:r w:rsidRPr="00E81823">
        <w:rPr>
          <w:rFonts w:ascii="Arial" w:hAnsi="Arial" w:cs="Arial"/>
          <w:color w:val="000000" w:themeColor="text1"/>
        </w:rPr>
        <w:t>But could the South African courts</w:t>
      </w:r>
      <w:r w:rsidR="00062D6F" w:rsidRPr="00E81823">
        <w:rPr>
          <w:rFonts w:ascii="Arial" w:hAnsi="Arial" w:cs="Arial"/>
          <w:color w:val="000000" w:themeColor="text1"/>
        </w:rPr>
        <w:t xml:space="preserve"> have</w:t>
      </w:r>
      <w:r w:rsidRPr="00E81823">
        <w:rPr>
          <w:rFonts w:ascii="Arial" w:hAnsi="Arial" w:cs="Arial"/>
          <w:color w:val="000000" w:themeColor="text1"/>
        </w:rPr>
        <w:t xml:space="preserve"> order</w:t>
      </w:r>
      <w:r w:rsidR="00062D6F" w:rsidRPr="00E81823">
        <w:rPr>
          <w:rFonts w:ascii="Arial" w:hAnsi="Arial" w:cs="Arial"/>
          <w:color w:val="000000" w:themeColor="text1"/>
        </w:rPr>
        <w:t>ed</w:t>
      </w:r>
      <w:r w:rsidRPr="00E81823">
        <w:rPr>
          <w:rFonts w:ascii="Arial" w:hAnsi="Arial" w:cs="Arial"/>
          <w:color w:val="000000" w:themeColor="text1"/>
        </w:rPr>
        <w:t xml:space="preserve"> such examination or disclosure by a third party where </w:t>
      </w:r>
      <w:r w:rsidR="00881148" w:rsidRPr="00E81823">
        <w:rPr>
          <w:rFonts w:ascii="Arial" w:hAnsi="Arial" w:cs="Arial"/>
          <w:color w:val="000000" w:themeColor="text1"/>
        </w:rPr>
        <w:t xml:space="preserve">the foreign representative </w:t>
      </w:r>
      <w:r w:rsidR="00881148" w:rsidRPr="00E81823">
        <w:rPr>
          <w:rFonts w:ascii="Arial" w:hAnsi="Arial" w:cs="Arial"/>
          <w:i/>
          <w:iCs/>
          <w:color w:val="000000" w:themeColor="text1"/>
          <w:u w:val="single"/>
        </w:rPr>
        <w:t>would not</w:t>
      </w:r>
      <w:r w:rsidR="00881148" w:rsidRPr="00E81823">
        <w:rPr>
          <w:rFonts w:ascii="Arial" w:hAnsi="Arial" w:cs="Arial"/>
          <w:color w:val="000000" w:themeColor="text1"/>
        </w:rPr>
        <w:t xml:space="preserve"> have been able to </w:t>
      </w:r>
      <w:r w:rsidRPr="00E81823">
        <w:rPr>
          <w:rFonts w:ascii="Arial" w:hAnsi="Arial" w:cs="Arial"/>
          <w:color w:val="000000" w:themeColor="text1"/>
        </w:rPr>
        <w:t>exercise such a power in their home jurisdiction</w:t>
      </w:r>
      <w:r w:rsidR="00EB7C07" w:rsidRPr="00E81823">
        <w:rPr>
          <w:rFonts w:ascii="Arial" w:hAnsi="Arial" w:cs="Arial"/>
          <w:color w:val="000000" w:themeColor="text1"/>
        </w:rPr>
        <w:t>?</w:t>
      </w:r>
      <w:r w:rsidRPr="00E81823">
        <w:rPr>
          <w:rFonts w:ascii="Arial" w:hAnsi="Arial" w:cs="Arial"/>
          <w:color w:val="000000" w:themeColor="text1"/>
        </w:rPr>
        <w:t xml:space="preserve"> It would seem that the South African courts could. </w:t>
      </w:r>
      <w:r w:rsidR="003A4E10" w:rsidRPr="00E81823">
        <w:rPr>
          <w:rFonts w:ascii="Arial" w:hAnsi="Arial" w:cs="Arial"/>
          <w:color w:val="000000" w:themeColor="text1"/>
        </w:rPr>
        <w:t>As the lex fori is t</w:t>
      </w:r>
      <w:r w:rsidRPr="00E81823">
        <w:rPr>
          <w:rFonts w:ascii="Arial" w:hAnsi="Arial" w:cs="Arial"/>
          <w:color w:val="000000" w:themeColor="text1"/>
        </w:rPr>
        <w:t xml:space="preserve">he law </w:t>
      </w:r>
      <w:r w:rsidR="003A4E10" w:rsidRPr="00E81823">
        <w:rPr>
          <w:rFonts w:ascii="Arial" w:hAnsi="Arial" w:cs="Arial"/>
          <w:color w:val="000000" w:themeColor="text1"/>
        </w:rPr>
        <w:t xml:space="preserve">which governs insolvency </w:t>
      </w:r>
      <w:r w:rsidRPr="00E81823">
        <w:rPr>
          <w:rFonts w:ascii="Arial" w:hAnsi="Arial" w:cs="Arial"/>
          <w:color w:val="000000" w:themeColor="text1"/>
        </w:rPr>
        <w:t>proceedings in South Africa</w:t>
      </w:r>
      <w:r w:rsidR="00E81823" w:rsidRPr="009A677E">
        <w:rPr>
          <w:rStyle w:val="FootnoteReference"/>
          <w:rFonts w:ascii="Arial" w:hAnsi="Arial" w:cs="Arial"/>
          <w:color w:val="000000" w:themeColor="text1"/>
        </w:rPr>
        <w:footnoteReference w:id="30"/>
      </w:r>
      <w:r w:rsidR="003A4E10" w:rsidRPr="00E81823">
        <w:rPr>
          <w:rFonts w:ascii="Arial" w:hAnsi="Arial" w:cs="Arial"/>
          <w:color w:val="000000" w:themeColor="text1"/>
        </w:rPr>
        <w:t xml:space="preserve">, </w:t>
      </w:r>
      <w:r w:rsidRPr="00E81823">
        <w:rPr>
          <w:rFonts w:ascii="Arial" w:hAnsi="Arial" w:cs="Arial"/>
          <w:color w:val="000000" w:themeColor="text1"/>
        </w:rPr>
        <w:t xml:space="preserve">that is likely to </w:t>
      </w:r>
      <w:r w:rsidR="00A17F4B" w:rsidRPr="00E81823">
        <w:rPr>
          <w:rFonts w:ascii="Arial" w:hAnsi="Arial" w:cs="Arial"/>
          <w:color w:val="000000" w:themeColor="text1"/>
        </w:rPr>
        <w:t>be</w:t>
      </w:r>
      <w:r w:rsidRPr="00E81823">
        <w:rPr>
          <w:rFonts w:ascii="Arial" w:hAnsi="Arial" w:cs="Arial"/>
          <w:color w:val="000000" w:themeColor="text1"/>
        </w:rPr>
        <w:t xml:space="preserve"> </w:t>
      </w:r>
      <w:r w:rsidR="000E07E4" w:rsidRPr="00E81823">
        <w:rPr>
          <w:rFonts w:ascii="Arial" w:hAnsi="Arial" w:cs="Arial"/>
          <w:color w:val="000000" w:themeColor="text1"/>
        </w:rPr>
        <w:t xml:space="preserve">as </w:t>
      </w:r>
      <w:r w:rsidRPr="00E81823">
        <w:rPr>
          <w:rFonts w:ascii="Arial" w:hAnsi="Arial" w:cs="Arial"/>
          <w:color w:val="000000" w:themeColor="text1"/>
        </w:rPr>
        <w:t xml:space="preserve">determinative </w:t>
      </w:r>
      <w:r w:rsidR="003A4E10" w:rsidRPr="00E81823">
        <w:rPr>
          <w:rFonts w:ascii="Arial" w:hAnsi="Arial" w:cs="Arial"/>
          <w:color w:val="000000" w:themeColor="text1"/>
        </w:rPr>
        <w:t>of</w:t>
      </w:r>
      <w:r w:rsidR="00A17F4B" w:rsidRPr="00E81823">
        <w:rPr>
          <w:rFonts w:ascii="Arial" w:hAnsi="Arial" w:cs="Arial"/>
          <w:color w:val="000000" w:themeColor="text1"/>
        </w:rPr>
        <w:t xml:space="preserve"> the issue </w:t>
      </w:r>
      <w:r w:rsidR="000E07E4" w:rsidRPr="00E81823">
        <w:rPr>
          <w:rFonts w:ascii="Arial" w:hAnsi="Arial" w:cs="Arial"/>
          <w:color w:val="000000" w:themeColor="text1"/>
        </w:rPr>
        <w:t xml:space="preserve">as it was on </w:t>
      </w:r>
      <w:r w:rsidR="00093D49" w:rsidRPr="00E81823">
        <w:rPr>
          <w:rFonts w:ascii="Arial" w:hAnsi="Arial" w:cs="Arial"/>
          <w:color w:val="000000" w:themeColor="text1"/>
        </w:rPr>
        <w:t>the recognition of the foreign representative</w:t>
      </w:r>
      <w:r w:rsidR="000B61ED">
        <w:rPr>
          <w:rFonts w:ascii="Arial" w:hAnsi="Arial" w:cs="Arial"/>
          <w:color w:val="000000" w:themeColor="text1"/>
        </w:rPr>
        <w:t xml:space="preserve"> in</w:t>
      </w:r>
      <w:r w:rsidRPr="00E81823">
        <w:rPr>
          <w:rFonts w:ascii="Arial" w:hAnsi="Arial" w:cs="Arial"/>
          <w:color w:val="000000" w:themeColor="text1"/>
        </w:rPr>
        <w:t xml:space="preserve"> </w:t>
      </w:r>
      <w:r w:rsidRPr="00E81823">
        <w:rPr>
          <w:rFonts w:ascii="Arial" w:hAnsi="Arial" w:cs="Arial"/>
          <w:i/>
          <w:iCs/>
          <w:color w:val="000000" w:themeColor="text1"/>
        </w:rPr>
        <w:t>In Re African Farms Ltd</w:t>
      </w:r>
      <w:r w:rsidR="000E07E4" w:rsidRPr="00E81823">
        <w:rPr>
          <w:rFonts w:ascii="Arial" w:hAnsi="Arial" w:cs="Arial"/>
          <w:color w:val="000000" w:themeColor="text1"/>
        </w:rPr>
        <w:t xml:space="preserve">. </w:t>
      </w:r>
      <w:r w:rsidR="000B61ED">
        <w:rPr>
          <w:rFonts w:ascii="Arial" w:hAnsi="Arial" w:cs="Arial"/>
          <w:color w:val="000000" w:themeColor="text1"/>
        </w:rPr>
        <w:t>There</w:t>
      </w:r>
      <w:r w:rsidR="000E07E4" w:rsidRPr="00E81823">
        <w:rPr>
          <w:rFonts w:ascii="Arial" w:hAnsi="Arial" w:cs="Arial"/>
          <w:color w:val="000000" w:themeColor="text1"/>
        </w:rPr>
        <w:t xml:space="preserve"> </w:t>
      </w:r>
      <w:r w:rsidR="00093D49" w:rsidRPr="00E81823">
        <w:rPr>
          <w:rFonts w:ascii="Arial" w:hAnsi="Arial" w:cs="Arial"/>
          <w:color w:val="000000" w:themeColor="text1"/>
        </w:rPr>
        <w:t>th</w:t>
      </w:r>
      <w:r w:rsidR="000E07E4" w:rsidRPr="00E81823">
        <w:rPr>
          <w:rFonts w:ascii="Arial" w:hAnsi="Arial" w:cs="Arial"/>
          <w:color w:val="000000" w:themeColor="text1"/>
        </w:rPr>
        <w:t>e</w:t>
      </w:r>
      <w:r w:rsidR="00093D49" w:rsidRPr="00E81823">
        <w:rPr>
          <w:rFonts w:ascii="Arial" w:hAnsi="Arial" w:cs="Arial"/>
          <w:color w:val="000000" w:themeColor="text1"/>
        </w:rPr>
        <w:t xml:space="preserve"> representative was recognised </w:t>
      </w:r>
      <w:r w:rsidR="00F0572D" w:rsidRPr="00E81823">
        <w:rPr>
          <w:rFonts w:ascii="Arial" w:hAnsi="Arial" w:cs="Arial"/>
          <w:color w:val="000000" w:themeColor="text1"/>
        </w:rPr>
        <w:t>“</w:t>
      </w:r>
      <w:r w:rsidR="000E07E4" w:rsidRPr="00E81823">
        <w:rPr>
          <w:rFonts w:ascii="Arial" w:hAnsi="Arial" w:cs="Arial"/>
          <w:i/>
          <w:iCs/>
          <w:color w:val="000000" w:themeColor="text1"/>
        </w:rPr>
        <w:t>as if</w:t>
      </w:r>
      <w:r w:rsidR="00F0572D" w:rsidRPr="00E81823">
        <w:rPr>
          <w:rFonts w:ascii="Arial" w:hAnsi="Arial" w:cs="Arial"/>
          <w:color w:val="000000" w:themeColor="text1"/>
        </w:rPr>
        <w:t>”</w:t>
      </w:r>
      <w:r w:rsidR="000E07E4" w:rsidRPr="00E81823">
        <w:rPr>
          <w:rFonts w:ascii="Arial" w:hAnsi="Arial" w:cs="Arial"/>
          <w:color w:val="000000" w:themeColor="text1"/>
        </w:rPr>
        <w:t xml:space="preserve"> he had been appointed a trustee in</w:t>
      </w:r>
      <w:r w:rsidR="00B71BDE" w:rsidRPr="00E81823">
        <w:rPr>
          <w:rFonts w:ascii="Arial" w:hAnsi="Arial" w:cs="Arial"/>
          <w:color w:val="000000" w:themeColor="text1"/>
        </w:rPr>
        <w:t xml:space="preserve"> similar proceedings in</w:t>
      </w:r>
      <w:r w:rsidR="000E07E4" w:rsidRPr="00E81823">
        <w:rPr>
          <w:rFonts w:ascii="Arial" w:hAnsi="Arial" w:cs="Arial"/>
          <w:color w:val="000000" w:themeColor="text1"/>
        </w:rPr>
        <w:t xml:space="preserve"> South Africa notwithstanding that there would have been no power to wind up such a company in South Africa</w:t>
      </w:r>
      <w:r w:rsidR="00B71BDE" w:rsidRPr="00E81823">
        <w:rPr>
          <w:rFonts w:ascii="Arial" w:hAnsi="Arial" w:cs="Arial"/>
          <w:color w:val="000000" w:themeColor="text1"/>
        </w:rPr>
        <w:t xml:space="preserve"> at all</w:t>
      </w:r>
      <w:r w:rsidR="00A17F4B" w:rsidRPr="00E81823">
        <w:rPr>
          <w:rFonts w:ascii="Arial" w:hAnsi="Arial" w:cs="Arial"/>
          <w:color w:val="000000" w:themeColor="text1"/>
        </w:rPr>
        <w:t xml:space="preserve">. It was done by the </w:t>
      </w:r>
      <w:r w:rsidR="00B71BDE" w:rsidRPr="00E81823">
        <w:rPr>
          <w:rFonts w:ascii="Arial" w:hAnsi="Arial" w:cs="Arial"/>
          <w:color w:val="000000" w:themeColor="text1"/>
        </w:rPr>
        <w:t xml:space="preserve">South </w:t>
      </w:r>
      <w:r w:rsidR="00A17F4B" w:rsidRPr="00E81823">
        <w:rPr>
          <w:rFonts w:ascii="Arial" w:hAnsi="Arial" w:cs="Arial"/>
          <w:color w:val="000000" w:themeColor="text1"/>
        </w:rPr>
        <w:t>African courts based on comity in recognising all such proceedings</w:t>
      </w:r>
      <w:r w:rsidR="00B71BDE" w:rsidRPr="00E81823">
        <w:rPr>
          <w:rFonts w:ascii="Arial" w:hAnsi="Arial" w:cs="Arial"/>
          <w:color w:val="000000" w:themeColor="text1"/>
        </w:rPr>
        <w:t xml:space="preserve"> “</w:t>
      </w:r>
      <w:r w:rsidR="00B71BDE" w:rsidRPr="00E81823">
        <w:rPr>
          <w:rFonts w:ascii="Arial" w:hAnsi="Arial" w:cs="Arial"/>
          <w:i/>
          <w:iCs/>
          <w:color w:val="000000" w:themeColor="text1"/>
        </w:rPr>
        <w:t>as if</w:t>
      </w:r>
      <w:r w:rsidR="00B71BDE" w:rsidRPr="00E81823">
        <w:rPr>
          <w:rFonts w:ascii="Arial" w:hAnsi="Arial" w:cs="Arial"/>
          <w:color w:val="000000" w:themeColor="text1"/>
        </w:rPr>
        <w:t>”</w:t>
      </w:r>
      <w:r w:rsidR="00A17F4B" w:rsidRPr="00E81823">
        <w:rPr>
          <w:rFonts w:ascii="Arial" w:hAnsi="Arial" w:cs="Arial"/>
          <w:color w:val="000000" w:themeColor="text1"/>
        </w:rPr>
        <w:t xml:space="preserve"> </w:t>
      </w:r>
      <w:r w:rsidR="00F60DDE" w:rsidRPr="00E81823">
        <w:rPr>
          <w:rFonts w:ascii="Arial" w:hAnsi="Arial" w:cs="Arial"/>
          <w:color w:val="000000" w:themeColor="text1"/>
        </w:rPr>
        <w:t>they were taking place in South Africa providing that</w:t>
      </w:r>
      <w:r w:rsidR="00A17F4B" w:rsidRPr="00E81823">
        <w:rPr>
          <w:rFonts w:ascii="Arial" w:hAnsi="Arial" w:cs="Arial"/>
          <w:color w:val="000000" w:themeColor="text1"/>
        </w:rPr>
        <w:t xml:space="preserve"> the debtor </w:t>
      </w:r>
      <w:r w:rsidR="000B61ED">
        <w:rPr>
          <w:rFonts w:ascii="Arial" w:hAnsi="Arial" w:cs="Arial"/>
          <w:color w:val="000000" w:themeColor="text1"/>
        </w:rPr>
        <w:t>was</w:t>
      </w:r>
      <w:r w:rsidR="00A17F4B" w:rsidRPr="00E81823">
        <w:rPr>
          <w:rFonts w:ascii="Arial" w:hAnsi="Arial" w:cs="Arial"/>
          <w:color w:val="000000" w:themeColor="text1"/>
        </w:rPr>
        <w:t xml:space="preserve"> domiciled</w:t>
      </w:r>
      <w:r w:rsidR="00F60DDE" w:rsidRPr="00E81823">
        <w:rPr>
          <w:rFonts w:ascii="Arial" w:hAnsi="Arial" w:cs="Arial"/>
          <w:color w:val="000000" w:themeColor="text1"/>
        </w:rPr>
        <w:t xml:space="preserve"> in the foreign jurisdiction</w:t>
      </w:r>
      <w:r w:rsidR="00A17F4B" w:rsidRPr="00E81823">
        <w:rPr>
          <w:rFonts w:ascii="Arial" w:hAnsi="Arial" w:cs="Arial"/>
          <w:color w:val="000000" w:themeColor="text1"/>
        </w:rPr>
        <w:t xml:space="preserve">. </w:t>
      </w:r>
      <w:r w:rsidR="003A4E10" w:rsidRPr="00E81823">
        <w:rPr>
          <w:rFonts w:ascii="Arial" w:hAnsi="Arial" w:cs="Arial"/>
          <w:color w:val="000000" w:themeColor="text1"/>
        </w:rPr>
        <w:t>U</w:t>
      </w:r>
      <w:r w:rsidR="00B71BDE" w:rsidRPr="00E81823">
        <w:rPr>
          <w:rFonts w:ascii="Arial" w:hAnsi="Arial" w:cs="Arial"/>
          <w:color w:val="000000" w:themeColor="text1"/>
        </w:rPr>
        <w:t>nder</w:t>
      </w:r>
      <w:r w:rsidR="00A17F4B" w:rsidRPr="00E81823">
        <w:rPr>
          <w:rFonts w:ascii="Arial" w:hAnsi="Arial" w:cs="Arial"/>
          <w:color w:val="000000" w:themeColor="text1"/>
        </w:rPr>
        <w:t xml:space="preserve"> s. 417(1) and 417(3) of </w:t>
      </w:r>
      <w:r w:rsidR="00B71BDE" w:rsidRPr="00E81823">
        <w:rPr>
          <w:rFonts w:ascii="Arial" w:hAnsi="Arial" w:cs="Arial"/>
          <w:color w:val="000000" w:themeColor="text1"/>
        </w:rPr>
        <w:t>the South African Companies Act</w:t>
      </w:r>
      <w:r w:rsidR="00B71BDE" w:rsidRPr="009A677E">
        <w:rPr>
          <w:rStyle w:val="FootnoteReference"/>
          <w:rFonts w:ascii="Arial" w:hAnsi="Arial" w:cs="Arial"/>
          <w:color w:val="000000" w:themeColor="text1"/>
        </w:rPr>
        <w:footnoteReference w:id="31"/>
      </w:r>
      <w:r w:rsidR="00F60DDE" w:rsidRPr="00E81823">
        <w:rPr>
          <w:rFonts w:ascii="Arial" w:hAnsi="Arial" w:cs="Arial"/>
          <w:color w:val="000000" w:themeColor="text1"/>
        </w:rPr>
        <w:t xml:space="preserve"> a</w:t>
      </w:r>
      <w:r w:rsidR="003A4E10" w:rsidRPr="00E81823">
        <w:rPr>
          <w:rFonts w:ascii="Arial" w:hAnsi="Arial" w:cs="Arial"/>
          <w:color w:val="000000" w:themeColor="text1"/>
        </w:rPr>
        <w:t>n application may be made by a</w:t>
      </w:r>
      <w:r w:rsidR="00F60DDE" w:rsidRPr="00E81823">
        <w:rPr>
          <w:rFonts w:ascii="Arial" w:hAnsi="Arial" w:cs="Arial"/>
          <w:color w:val="000000" w:themeColor="text1"/>
        </w:rPr>
        <w:t xml:space="preserve"> trustee</w:t>
      </w:r>
      <w:r w:rsidR="003A4E10" w:rsidRPr="00E81823">
        <w:rPr>
          <w:rFonts w:ascii="Arial" w:hAnsi="Arial" w:cs="Arial"/>
          <w:color w:val="000000" w:themeColor="text1"/>
        </w:rPr>
        <w:t xml:space="preserve"> </w:t>
      </w:r>
      <w:r w:rsidR="00F60DDE" w:rsidRPr="00E81823">
        <w:rPr>
          <w:rFonts w:ascii="Arial" w:hAnsi="Arial" w:cs="Arial"/>
          <w:color w:val="000000" w:themeColor="text1"/>
        </w:rPr>
        <w:t>to examine and later seek disclosure from third parties</w:t>
      </w:r>
      <w:r w:rsidR="003A4E10" w:rsidRPr="00E81823">
        <w:rPr>
          <w:rFonts w:ascii="Arial" w:hAnsi="Arial" w:cs="Arial"/>
          <w:color w:val="000000" w:themeColor="text1"/>
        </w:rPr>
        <w:t>. A</w:t>
      </w:r>
      <w:r w:rsidR="00D64B5C" w:rsidRPr="00E81823">
        <w:rPr>
          <w:rFonts w:ascii="Arial" w:hAnsi="Arial" w:cs="Arial"/>
          <w:color w:val="000000" w:themeColor="text1"/>
        </w:rPr>
        <w:t xml:space="preserve"> foreign representative having been recognised by the South African courts would seem to be entitled to the</w:t>
      </w:r>
      <w:r w:rsidR="003A4E10" w:rsidRPr="00E81823">
        <w:rPr>
          <w:rFonts w:ascii="Arial" w:hAnsi="Arial" w:cs="Arial"/>
          <w:color w:val="000000" w:themeColor="text1"/>
        </w:rPr>
        <w:t xml:space="preserve"> benefit of the same sections</w:t>
      </w:r>
      <w:r w:rsidR="006260BD" w:rsidRPr="00E81823">
        <w:rPr>
          <w:rFonts w:ascii="Arial" w:hAnsi="Arial" w:cs="Arial"/>
          <w:color w:val="000000" w:themeColor="text1"/>
        </w:rPr>
        <w:t xml:space="preserve"> </w:t>
      </w:r>
      <w:r w:rsidR="00062D6F" w:rsidRPr="00E81823">
        <w:rPr>
          <w:rFonts w:ascii="Arial" w:hAnsi="Arial" w:cs="Arial"/>
          <w:color w:val="000000" w:themeColor="text1"/>
        </w:rPr>
        <w:t xml:space="preserve">regardless </w:t>
      </w:r>
      <w:r w:rsidR="006260BD" w:rsidRPr="00E81823">
        <w:rPr>
          <w:rFonts w:ascii="Arial" w:hAnsi="Arial" w:cs="Arial"/>
          <w:color w:val="000000" w:themeColor="text1"/>
        </w:rPr>
        <w:t xml:space="preserve">whether </w:t>
      </w:r>
      <w:r w:rsidR="00333444" w:rsidRPr="00E81823">
        <w:rPr>
          <w:rFonts w:ascii="Arial" w:hAnsi="Arial" w:cs="Arial"/>
          <w:color w:val="000000" w:themeColor="text1"/>
        </w:rPr>
        <w:t>similar remedies</w:t>
      </w:r>
      <w:r w:rsidR="006260BD" w:rsidRPr="00E81823">
        <w:rPr>
          <w:rFonts w:ascii="Arial" w:hAnsi="Arial" w:cs="Arial"/>
          <w:color w:val="000000" w:themeColor="text1"/>
        </w:rPr>
        <w:t xml:space="preserve"> would be available to them in their home jurisdiction</w:t>
      </w:r>
      <w:r w:rsidR="00F0572D" w:rsidRPr="00E81823">
        <w:rPr>
          <w:rFonts w:ascii="Arial" w:hAnsi="Arial" w:cs="Arial"/>
          <w:color w:val="000000" w:themeColor="text1"/>
        </w:rPr>
        <w:t xml:space="preserve">. </w:t>
      </w:r>
    </w:p>
    <w:p w14:paraId="75409262" w14:textId="77777777" w:rsidR="000B61ED" w:rsidRPr="00E81823" w:rsidRDefault="000B61ED" w:rsidP="000B61ED">
      <w:pPr>
        <w:pStyle w:val="ListParagraph"/>
        <w:jc w:val="both"/>
        <w:rPr>
          <w:rFonts w:ascii="Arial" w:hAnsi="Arial" w:cs="Arial"/>
          <w:color w:val="000000" w:themeColor="text1"/>
        </w:rPr>
      </w:pPr>
    </w:p>
    <w:p w14:paraId="25C4D086" w14:textId="5710B987" w:rsidR="00DE5460" w:rsidRDefault="008D31B9" w:rsidP="00A461C3">
      <w:pPr>
        <w:pStyle w:val="ListParagraph"/>
        <w:numPr>
          <w:ilvl w:val="0"/>
          <w:numId w:val="1"/>
        </w:numPr>
        <w:jc w:val="both"/>
        <w:rPr>
          <w:rFonts w:ascii="Arial" w:hAnsi="Arial" w:cs="Arial"/>
          <w:color w:val="000000" w:themeColor="text1"/>
        </w:rPr>
      </w:pPr>
      <w:r>
        <w:rPr>
          <w:rFonts w:ascii="Arial" w:hAnsi="Arial" w:cs="Arial"/>
          <w:color w:val="000000" w:themeColor="text1"/>
        </w:rPr>
        <w:t xml:space="preserve">It seems clear that the </w:t>
      </w:r>
      <w:r w:rsidRPr="004C420F">
        <w:rPr>
          <w:rFonts w:ascii="Arial" w:hAnsi="Arial" w:cs="Arial"/>
          <w:color w:val="000000" w:themeColor="text1"/>
        </w:rPr>
        <w:t>common law in South Africa</w:t>
      </w:r>
      <w:r>
        <w:rPr>
          <w:rFonts w:ascii="Arial" w:hAnsi="Arial" w:cs="Arial"/>
          <w:color w:val="000000" w:themeColor="text1"/>
        </w:rPr>
        <w:t>,</w:t>
      </w:r>
      <w:r w:rsidRPr="004C420F">
        <w:rPr>
          <w:rFonts w:ascii="Arial" w:hAnsi="Arial" w:cs="Arial"/>
          <w:color w:val="000000" w:themeColor="text1"/>
        </w:rPr>
        <w:t xml:space="preserve"> as </w:t>
      </w:r>
      <w:r>
        <w:rPr>
          <w:rFonts w:ascii="Arial" w:hAnsi="Arial" w:cs="Arial"/>
          <w:color w:val="000000" w:themeColor="text1"/>
        </w:rPr>
        <w:t>well as being more settled than its English counterpart, is</w:t>
      </w:r>
      <w:r w:rsidR="00D70DB4">
        <w:rPr>
          <w:rFonts w:ascii="Arial" w:hAnsi="Arial" w:cs="Arial"/>
          <w:color w:val="000000" w:themeColor="text1"/>
        </w:rPr>
        <w:t xml:space="preserve"> also</w:t>
      </w:r>
      <w:r>
        <w:rPr>
          <w:rFonts w:ascii="Arial" w:hAnsi="Arial" w:cs="Arial"/>
          <w:color w:val="000000" w:themeColor="text1"/>
        </w:rPr>
        <w:t xml:space="preserve"> considerably more “progressive”.</w:t>
      </w:r>
      <w:r w:rsidR="009A4C31">
        <w:rPr>
          <w:rFonts w:ascii="Arial" w:hAnsi="Arial" w:cs="Arial"/>
          <w:color w:val="000000" w:themeColor="text1"/>
        </w:rPr>
        <w:t xml:space="preserve"> The </w:t>
      </w:r>
      <w:r w:rsidR="00D70DB4">
        <w:rPr>
          <w:rFonts w:ascii="Arial" w:hAnsi="Arial" w:cs="Arial"/>
          <w:color w:val="000000" w:themeColor="text1"/>
        </w:rPr>
        <w:t xml:space="preserve">foregoing </w:t>
      </w:r>
      <w:r w:rsidR="009A4C31">
        <w:rPr>
          <w:rFonts w:ascii="Arial" w:hAnsi="Arial" w:cs="Arial"/>
          <w:color w:val="000000" w:themeColor="text1"/>
        </w:rPr>
        <w:t xml:space="preserve">application of the South African common law to the facts in </w:t>
      </w:r>
      <w:r w:rsidR="009A4C31" w:rsidRPr="009A4C31">
        <w:rPr>
          <w:rFonts w:ascii="Arial" w:hAnsi="Arial" w:cs="Arial"/>
          <w:i/>
          <w:iCs/>
          <w:color w:val="000000" w:themeColor="text1"/>
        </w:rPr>
        <w:t>Singularis</w:t>
      </w:r>
      <w:r>
        <w:rPr>
          <w:rFonts w:ascii="Arial" w:hAnsi="Arial" w:cs="Arial"/>
          <w:color w:val="000000" w:themeColor="text1"/>
        </w:rPr>
        <w:t xml:space="preserve"> </w:t>
      </w:r>
      <w:r w:rsidR="009A4C31">
        <w:rPr>
          <w:rFonts w:ascii="Arial" w:hAnsi="Arial" w:cs="Arial"/>
          <w:color w:val="000000" w:themeColor="text1"/>
        </w:rPr>
        <w:t xml:space="preserve">would suggest </w:t>
      </w:r>
      <w:r w:rsidR="00D70DB4">
        <w:rPr>
          <w:rFonts w:ascii="Arial" w:hAnsi="Arial" w:cs="Arial"/>
          <w:color w:val="000000" w:themeColor="text1"/>
        </w:rPr>
        <w:t>as much</w:t>
      </w:r>
      <w:r w:rsidR="009A4C31">
        <w:rPr>
          <w:rFonts w:ascii="Arial" w:hAnsi="Arial" w:cs="Arial"/>
          <w:color w:val="000000" w:themeColor="text1"/>
        </w:rPr>
        <w:t>.</w:t>
      </w:r>
      <w:r w:rsidR="00D70DB4">
        <w:rPr>
          <w:rFonts w:ascii="Arial" w:hAnsi="Arial" w:cs="Arial"/>
          <w:color w:val="000000" w:themeColor="text1"/>
        </w:rPr>
        <w:t xml:space="preserve"> </w:t>
      </w:r>
      <w:r w:rsidR="00D70DB4">
        <w:rPr>
          <w:rFonts w:ascii="Arial" w:hAnsi="Arial" w:cs="Arial"/>
          <w:color w:val="000000" w:themeColor="text1"/>
        </w:rPr>
        <w:lastRenderedPageBreak/>
        <w:t>Additionally, Ex</w:t>
      </w:r>
      <w:r w:rsidRPr="004C420F">
        <w:rPr>
          <w:rFonts w:ascii="Arial" w:hAnsi="Arial" w:cs="Arial"/>
          <w:i/>
          <w:iCs/>
          <w:color w:val="000000" w:themeColor="text1"/>
        </w:rPr>
        <w:t xml:space="preserve"> Parte Palmer NO: In re Hahn</w:t>
      </w:r>
      <w:r w:rsidRPr="00DF46E0">
        <w:rPr>
          <w:rStyle w:val="FootnoteReference"/>
          <w:rFonts w:ascii="Arial" w:hAnsi="Arial" w:cs="Arial"/>
          <w:color w:val="000000" w:themeColor="text1"/>
        </w:rPr>
        <w:footnoteReference w:id="32"/>
      </w:r>
      <w:r>
        <w:rPr>
          <w:rFonts w:ascii="Arial" w:hAnsi="Arial" w:cs="Arial"/>
          <w:color w:val="000000" w:themeColor="text1"/>
        </w:rPr>
        <w:t xml:space="preserve">, for example, </w:t>
      </w:r>
      <w:r w:rsidRPr="004C420F">
        <w:rPr>
          <w:rFonts w:ascii="Arial" w:hAnsi="Arial" w:cs="Arial"/>
          <w:color w:val="000000" w:themeColor="text1"/>
        </w:rPr>
        <w:t>was decided as long ago as 1993</w:t>
      </w:r>
      <w:r>
        <w:rPr>
          <w:rFonts w:ascii="Arial" w:hAnsi="Arial" w:cs="Arial"/>
          <w:color w:val="000000" w:themeColor="text1"/>
        </w:rPr>
        <w:t xml:space="preserve">. </w:t>
      </w:r>
      <w:r w:rsidR="00D70DB4">
        <w:rPr>
          <w:rFonts w:ascii="Arial" w:hAnsi="Arial" w:cs="Arial"/>
          <w:color w:val="000000" w:themeColor="text1"/>
        </w:rPr>
        <w:t>Conversely, t</w:t>
      </w:r>
      <w:r w:rsidR="00766531" w:rsidRPr="004C420F">
        <w:rPr>
          <w:rFonts w:ascii="Arial" w:hAnsi="Arial" w:cs="Arial"/>
          <w:color w:val="000000" w:themeColor="text1"/>
        </w:rPr>
        <w:t xml:space="preserve">he principle of Modern Universalism is still some way from being </w:t>
      </w:r>
      <w:r w:rsidR="00F35248" w:rsidRPr="004C420F">
        <w:rPr>
          <w:rFonts w:ascii="Arial" w:hAnsi="Arial" w:cs="Arial"/>
          <w:color w:val="000000" w:themeColor="text1"/>
        </w:rPr>
        <w:t xml:space="preserve">considered </w:t>
      </w:r>
      <w:r w:rsidR="00766531" w:rsidRPr="004C420F">
        <w:rPr>
          <w:rFonts w:ascii="Arial" w:hAnsi="Arial" w:cs="Arial"/>
          <w:color w:val="000000" w:themeColor="text1"/>
        </w:rPr>
        <w:t>“settled law”</w:t>
      </w:r>
      <w:r w:rsidR="009A4C31">
        <w:rPr>
          <w:rFonts w:ascii="Arial" w:hAnsi="Arial" w:cs="Arial"/>
          <w:color w:val="000000" w:themeColor="text1"/>
        </w:rPr>
        <w:t xml:space="preserve"> and </w:t>
      </w:r>
      <w:r w:rsidR="004C420F" w:rsidRPr="004C420F">
        <w:rPr>
          <w:rFonts w:ascii="Arial" w:hAnsi="Arial" w:cs="Arial"/>
          <w:i/>
          <w:iCs/>
          <w:color w:val="000000" w:themeColor="text1"/>
        </w:rPr>
        <w:t>Singularis</w:t>
      </w:r>
      <w:r w:rsidR="004C420F">
        <w:rPr>
          <w:rFonts w:ascii="Arial" w:hAnsi="Arial" w:cs="Arial"/>
          <w:color w:val="000000" w:themeColor="text1"/>
        </w:rPr>
        <w:t xml:space="preserve"> </w:t>
      </w:r>
      <w:r w:rsidR="004C420F" w:rsidRPr="004C420F">
        <w:rPr>
          <w:rFonts w:ascii="Arial" w:hAnsi="Arial" w:cs="Arial"/>
          <w:color w:val="000000" w:themeColor="text1"/>
        </w:rPr>
        <w:t xml:space="preserve">suggests that </w:t>
      </w:r>
      <w:r w:rsidR="009A4C31">
        <w:rPr>
          <w:rFonts w:ascii="Arial" w:hAnsi="Arial" w:cs="Arial"/>
          <w:color w:val="000000" w:themeColor="text1"/>
        </w:rPr>
        <w:t xml:space="preserve">the </w:t>
      </w:r>
      <w:r w:rsidR="00D70DB4">
        <w:rPr>
          <w:rFonts w:ascii="Arial" w:hAnsi="Arial" w:cs="Arial"/>
          <w:color w:val="000000" w:themeColor="text1"/>
        </w:rPr>
        <w:t xml:space="preserve">development of the principle </w:t>
      </w:r>
      <w:r w:rsidR="004C420F" w:rsidRPr="004C420F">
        <w:rPr>
          <w:rFonts w:ascii="Arial" w:hAnsi="Arial" w:cs="Arial"/>
          <w:color w:val="000000" w:themeColor="text1"/>
        </w:rPr>
        <w:t>may not necessarily</w:t>
      </w:r>
      <w:r w:rsidR="00D70DB4">
        <w:rPr>
          <w:rFonts w:ascii="Arial" w:hAnsi="Arial" w:cs="Arial"/>
          <w:color w:val="000000" w:themeColor="text1"/>
        </w:rPr>
        <w:t xml:space="preserve"> be</w:t>
      </w:r>
      <w:r w:rsidR="004C420F" w:rsidRPr="004C420F">
        <w:rPr>
          <w:rFonts w:ascii="Arial" w:hAnsi="Arial" w:cs="Arial"/>
          <w:color w:val="000000" w:themeColor="text1"/>
        </w:rPr>
        <w:t xml:space="preserve"> heading in</w:t>
      </w:r>
      <w:r w:rsidR="00DF3090" w:rsidRPr="004C420F">
        <w:rPr>
          <w:rFonts w:ascii="Arial" w:hAnsi="Arial" w:cs="Arial"/>
          <w:color w:val="000000" w:themeColor="text1"/>
        </w:rPr>
        <w:t xml:space="preserve"> the</w:t>
      </w:r>
      <w:r w:rsidR="004C420F" w:rsidRPr="004C420F">
        <w:rPr>
          <w:rFonts w:ascii="Arial" w:hAnsi="Arial" w:cs="Arial"/>
          <w:color w:val="000000" w:themeColor="text1"/>
        </w:rPr>
        <w:t xml:space="preserve"> direction that Universalists would </w:t>
      </w:r>
      <w:r w:rsidR="004C420F">
        <w:rPr>
          <w:rFonts w:ascii="Arial" w:hAnsi="Arial" w:cs="Arial"/>
          <w:color w:val="000000" w:themeColor="text1"/>
        </w:rPr>
        <w:t>appreciate</w:t>
      </w:r>
      <w:r w:rsidR="004C420F" w:rsidRPr="004C420F">
        <w:rPr>
          <w:rFonts w:ascii="Arial" w:hAnsi="Arial" w:cs="Arial"/>
          <w:color w:val="000000" w:themeColor="text1"/>
        </w:rPr>
        <w:t>.</w:t>
      </w:r>
      <w:r w:rsidR="004C420F">
        <w:rPr>
          <w:rFonts w:ascii="Arial" w:hAnsi="Arial" w:cs="Arial"/>
          <w:color w:val="000000" w:themeColor="text1"/>
        </w:rPr>
        <w:t xml:space="preserve"> </w:t>
      </w:r>
      <w:r w:rsidR="009A4C31" w:rsidRPr="004C420F">
        <w:rPr>
          <w:rFonts w:ascii="Arial" w:hAnsi="Arial" w:cs="Arial"/>
          <w:color w:val="000000" w:themeColor="text1"/>
        </w:rPr>
        <w:t>Time will tell</w:t>
      </w:r>
      <w:r w:rsidR="00D70DB4">
        <w:rPr>
          <w:rFonts w:ascii="Arial" w:hAnsi="Arial" w:cs="Arial"/>
          <w:color w:val="000000" w:themeColor="text1"/>
        </w:rPr>
        <w:t>, however,</w:t>
      </w:r>
      <w:r w:rsidR="009A4C31" w:rsidRPr="004C420F">
        <w:rPr>
          <w:rFonts w:ascii="Arial" w:hAnsi="Arial" w:cs="Arial"/>
          <w:color w:val="000000" w:themeColor="text1"/>
        </w:rPr>
        <w:t xml:space="preserve"> whether these two streams of the common law eventually become more similar</w:t>
      </w:r>
      <w:r w:rsidR="007F052E">
        <w:rPr>
          <w:rFonts w:ascii="Arial" w:hAnsi="Arial" w:cs="Arial"/>
          <w:color w:val="000000" w:themeColor="text1"/>
        </w:rPr>
        <w:t>.</w:t>
      </w:r>
    </w:p>
    <w:p w14:paraId="37AA52F3" w14:textId="77777777" w:rsidR="00DE5460" w:rsidRDefault="00DE5460">
      <w:pPr>
        <w:rPr>
          <w:rFonts w:ascii="Arial" w:hAnsi="Arial" w:cs="Arial"/>
          <w:color w:val="000000" w:themeColor="text1"/>
        </w:rPr>
      </w:pPr>
      <w:r>
        <w:rPr>
          <w:rFonts w:ascii="Arial" w:hAnsi="Arial" w:cs="Arial"/>
          <w:color w:val="000000" w:themeColor="text1"/>
        </w:rPr>
        <w:br w:type="page"/>
      </w:r>
    </w:p>
    <w:p w14:paraId="092E7A26" w14:textId="668315B6" w:rsidR="00867BC9" w:rsidRDefault="00BB5832" w:rsidP="00BB5832">
      <w:pPr>
        <w:jc w:val="center"/>
        <w:rPr>
          <w:rFonts w:ascii="Arial" w:hAnsi="Arial" w:cs="Arial"/>
          <w:b/>
          <w:bCs/>
          <w:color w:val="000000" w:themeColor="text1"/>
        </w:rPr>
      </w:pPr>
      <w:r w:rsidRPr="00BB5832">
        <w:rPr>
          <w:rFonts w:ascii="Arial" w:hAnsi="Arial" w:cs="Arial"/>
          <w:b/>
          <w:bCs/>
          <w:color w:val="000000" w:themeColor="text1"/>
        </w:rPr>
        <w:lastRenderedPageBreak/>
        <w:t>BIBLIOGRAPHY</w:t>
      </w:r>
    </w:p>
    <w:p w14:paraId="5D57F507" w14:textId="77777777" w:rsidR="00173232" w:rsidRPr="00173232" w:rsidRDefault="00173232" w:rsidP="00173232">
      <w:pPr>
        <w:pStyle w:val="ListParagraph"/>
        <w:numPr>
          <w:ilvl w:val="0"/>
          <w:numId w:val="4"/>
        </w:numPr>
        <w:rPr>
          <w:rFonts w:ascii="Arial" w:hAnsi="Arial" w:cs="Arial"/>
          <w:color w:val="000000" w:themeColor="text1"/>
        </w:rPr>
      </w:pPr>
      <w:r w:rsidRPr="00173232">
        <w:rPr>
          <w:rFonts w:ascii="Arial" w:hAnsi="Arial" w:cs="Arial"/>
          <w:color w:val="000000" w:themeColor="text1"/>
        </w:rPr>
        <w:t xml:space="preserve">Alastair Smith; Andre Boraine, Crossing Borders into South African Insolvency Law: From the Roman-Dutch Jurists to the UNCITRAL Model Law, 10 Am. Bankr. Inst. L. Rev. (2002) </w:t>
      </w:r>
    </w:p>
    <w:p w14:paraId="5C3C49F0" w14:textId="77777777" w:rsidR="00173232" w:rsidRPr="00173232" w:rsidRDefault="00173232" w:rsidP="00173232">
      <w:pPr>
        <w:pStyle w:val="ListParagraph"/>
        <w:numPr>
          <w:ilvl w:val="0"/>
          <w:numId w:val="4"/>
        </w:numPr>
        <w:rPr>
          <w:rFonts w:ascii="Arial" w:hAnsi="Arial" w:cs="Arial"/>
          <w:color w:val="000000" w:themeColor="text1"/>
        </w:rPr>
      </w:pPr>
      <w:r w:rsidRPr="00173232">
        <w:rPr>
          <w:rFonts w:ascii="Arial" w:hAnsi="Arial" w:cs="Arial"/>
          <w:color w:val="000000" w:themeColor="text1"/>
        </w:rPr>
        <w:t>Al Sabah v Grupo Torras SA [2005] 2 AC 333</w:t>
      </w:r>
    </w:p>
    <w:p w14:paraId="12A8A1B1" w14:textId="0FED6577" w:rsidR="00173232" w:rsidRPr="00173232" w:rsidRDefault="00173232" w:rsidP="00173232">
      <w:pPr>
        <w:pStyle w:val="ListParagraph"/>
        <w:numPr>
          <w:ilvl w:val="0"/>
          <w:numId w:val="4"/>
        </w:numPr>
        <w:rPr>
          <w:rFonts w:ascii="Arial" w:hAnsi="Arial" w:cs="Arial"/>
          <w:color w:val="000000" w:themeColor="text1"/>
        </w:rPr>
      </w:pPr>
      <w:r w:rsidRPr="00173232">
        <w:rPr>
          <w:rFonts w:ascii="Arial" w:hAnsi="Arial" w:cs="Arial"/>
          <w:color w:val="000000" w:themeColor="text1"/>
        </w:rPr>
        <w:t>Cambridge Gas Transportation Corporation v Official Committee of Unsecured Creditors of Navigator Holdings Plc [2007] 1 AC 508</w:t>
      </w:r>
    </w:p>
    <w:p w14:paraId="3B960B9C" w14:textId="77777777" w:rsidR="00FD14C5" w:rsidRDefault="00173232" w:rsidP="00173232">
      <w:pPr>
        <w:pStyle w:val="ListParagraph"/>
        <w:numPr>
          <w:ilvl w:val="0"/>
          <w:numId w:val="4"/>
        </w:numPr>
        <w:rPr>
          <w:rFonts w:ascii="Arial" w:hAnsi="Arial" w:cs="Arial"/>
          <w:color w:val="000000" w:themeColor="text1"/>
        </w:rPr>
      </w:pPr>
      <w:r w:rsidRPr="00173232">
        <w:rPr>
          <w:rFonts w:ascii="Arial" w:hAnsi="Arial" w:cs="Arial"/>
          <w:color w:val="000000" w:themeColor="text1"/>
        </w:rPr>
        <w:t>Donaldson v British SA Asphalte and Mfg. Co. Ltd. 1905 TS 753</w:t>
      </w:r>
    </w:p>
    <w:p w14:paraId="694D9449" w14:textId="02095888" w:rsidR="00173232" w:rsidRPr="00173232" w:rsidRDefault="00173232" w:rsidP="00173232">
      <w:pPr>
        <w:pStyle w:val="ListParagraph"/>
        <w:numPr>
          <w:ilvl w:val="0"/>
          <w:numId w:val="4"/>
        </w:numPr>
        <w:rPr>
          <w:rFonts w:ascii="Arial" w:hAnsi="Arial" w:cs="Arial"/>
          <w:color w:val="000000" w:themeColor="text1"/>
        </w:rPr>
      </w:pPr>
      <w:r w:rsidRPr="00173232">
        <w:rPr>
          <w:rFonts w:ascii="Arial" w:hAnsi="Arial" w:cs="Arial"/>
          <w:color w:val="000000" w:themeColor="text1"/>
        </w:rPr>
        <w:t>Ex Parte Palmer NO: In re Hahn 1993 (3) SA 359 (C)</w:t>
      </w:r>
    </w:p>
    <w:p w14:paraId="0344F8B4" w14:textId="77DD6DF8" w:rsidR="00173232" w:rsidRPr="00173232" w:rsidRDefault="00173232" w:rsidP="00173232">
      <w:pPr>
        <w:pStyle w:val="ListParagraph"/>
        <w:numPr>
          <w:ilvl w:val="0"/>
          <w:numId w:val="4"/>
        </w:numPr>
        <w:rPr>
          <w:rFonts w:ascii="Arial" w:hAnsi="Arial" w:cs="Arial"/>
          <w:color w:val="000000" w:themeColor="text1"/>
        </w:rPr>
      </w:pPr>
      <w:r w:rsidRPr="00173232">
        <w:rPr>
          <w:rFonts w:ascii="Arial" w:hAnsi="Arial" w:cs="Arial"/>
          <w:color w:val="000000" w:themeColor="text1"/>
        </w:rPr>
        <w:t xml:space="preserve">Ex </w:t>
      </w:r>
      <w:r w:rsidR="00D23006">
        <w:rPr>
          <w:rFonts w:ascii="Arial" w:hAnsi="Arial" w:cs="Arial"/>
          <w:color w:val="000000" w:themeColor="text1"/>
        </w:rPr>
        <w:t>P</w:t>
      </w:r>
      <w:r w:rsidRPr="00173232">
        <w:rPr>
          <w:rFonts w:ascii="Arial" w:hAnsi="Arial" w:cs="Arial"/>
          <w:color w:val="000000" w:themeColor="text1"/>
        </w:rPr>
        <w:t>arte Steyn 1979 (2) SA 309 (0) 312C</w:t>
      </w:r>
    </w:p>
    <w:p w14:paraId="6A4FBFD7" w14:textId="55AE95DB" w:rsidR="00173232" w:rsidRPr="00173232" w:rsidRDefault="00173232" w:rsidP="00173232">
      <w:pPr>
        <w:pStyle w:val="ListParagraph"/>
        <w:numPr>
          <w:ilvl w:val="0"/>
          <w:numId w:val="4"/>
        </w:numPr>
        <w:rPr>
          <w:rFonts w:ascii="Arial" w:hAnsi="Arial" w:cs="Arial"/>
          <w:color w:val="000000" w:themeColor="text1"/>
        </w:rPr>
      </w:pPr>
      <w:r w:rsidRPr="00173232">
        <w:rPr>
          <w:rFonts w:ascii="Arial" w:hAnsi="Arial" w:cs="Arial"/>
          <w:color w:val="000000" w:themeColor="text1"/>
        </w:rPr>
        <w:t>Gerard McCormack, Universalism in insolvency proceedings and the common law Oxford Journal of Legal Studies, Vol. 32, No. 2 (2012), pp. 325–347</w:t>
      </w:r>
      <w:r w:rsidR="00E03EFD">
        <w:rPr>
          <w:rFonts w:ascii="Arial" w:hAnsi="Arial" w:cs="Arial"/>
          <w:color w:val="000000" w:themeColor="text1"/>
        </w:rPr>
        <w:t xml:space="preserve"> </w:t>
      </w:r>
    </w:p>
    <w:p w14:paraId="107F9252" w14:textId="77777777" w:rsidR="00173232" w:rsidRPr="00173232" w:rsidRDefault="00173232" w:rsidP="00173232">
      <w:pPr>
        <w:pStyle w:val="ListParagraph"/>
        <w:numPr>
          <w:ilvl w:val="0"/>
          <w:numId w:val="4"/>
        </w:numPr>
        <w:rPr>
          <w:rFonts w:ascii="Arial" w:hAnsi="Arial" w:cs="Arial"/>
          <w:color w:val="000000" w:themeColor="text1"/>
        </w:rPr>
      </w:pPr>
      <w:r w:rsidRPr="00173232">
        <w:rPr>
          <w:rFonts w:ascii="Arial" w:hAnsi="Arial" w:cs="Arial"/>
          <w:color w:val="000000" w:themeColor="text1"/>
        </w:rPr>
        <w:t>In re African Farms Ltd [1906] TS 373</w:t>
      </w:r>
    </w:p>
    <w:p w14:paraId="091D06E5" w14:textId="141B5142" w:rsidR="00173232" w:rsidRPr="00173232" w:rsidRDefault="00173232" w:rsidP="00173232">
      <w:pPr>
        <w:pStyle w:val="ListParagraph"/>
        <w:numPr>
          <w:ilvl w:val="0"/>
          <w:numId w:val="4"/>
        </w:numPr>
        <w:rPr>
          <w:rFonts w:ascii="Arial" w:hAnsi="Arial" w:cs="Arial"/>
          <w:color w:val="000000" w:themeColor="text1"/>
        </w:rPr>
      </w:pPr>
      <w:r w:rsidRPr="00173232">
        <w:rPr>
          <w:rFonts w:ascii="Arial" w:hAnsi="Arial" w:cs="Arial"/>
          <w:color w:val="000000" w:themeColor="text1"/>
        </w:rPr>
        <w:t>In re HIH Casualty and General Insurance Ltd [2008] 1 WLR 852</w:t>
      </w:r>
    </w:p>
    <w:p w14:paraId="3155984B" w14:textId="77777777" w:rsidR="00173232" w:rsidRPr="00173232" w:rsidRDefault="00173232" w:rsidP="00173232">
      <w:pPr>
        <w:pStyle w:val="ListParagraph"/>
        <w:numPr>
          <w:ilvl w:val="0"/>
          <w:numId w:val="4"/>
        </w:numPr>
        <w:rPr>
          <w:rFonts w:ascii="Arial" w:hAnsi="Arial" w:cs="Arial"/>
          <w:color w:val="000000" w:themeColor="text1"/>
        </w:rPr>
      </w:pPr>
      <w:r w:rsidRPr="00173232">
        <w:rPr>
          <w:rFonts w:ascii="Arial" w:hAnsi="Arial" w:cs="Arial"/>
          <w:color w:val="000000" w:themeColor="text1"/>
        </w:rPr>
        <w:t>In re Suidair International Airways, LD. (Application of Vickers-Armstrongs, LD.) [No. 00264 of 1950.] [1951] Ch. 165</w:t>
      </w:r>
    </w:p>
    <w:p w14:paraId="0821DF67" w14:textId="77777777" w:rsidR="00173232" w:rsidRPr="00173232" w:rsidRDefault="00173232" w:rsidP="00173232">
      <w:pPr>
        <w:pStyle w:val="ListParagraph"/>
        <w:numPr>
          <w:ilvl w:val="0"/>
          <w:numId w:val="4"/>
        </w:numPr>
        <w:rPr>
          <w:rFonts w:ascii="Arial" w:hAnsi="Arial" w:cs="Arial"/>
          <w:color w:val="000000" w:themeColor="text1"/>
        </w:rPr>
      </w:pPr>
      <w:r w:rsidRPr="00173232">
        <w:rPr>
          <w:rFonts w:ascii="Arial" w:hAnsi="Arial" w:cs="Arial"/>
          <w:color w:val="000000" w:themeColor="text1"/>
        </w:rPr>
        <w:t>Moolman v Builders &amp; Developers (Pty) Ltd [1990] 2 All SA 77 (A)</w:t>
      </w:r>
    </w:p>
    <w:p w14:paraId="354948CE" w14:textId="77777777" w:rsidR="008348F4" w:rsidRDefault="00173232" w:rsidP="008348F4">
      <w:pPr>
        <w:pStyle w:val="ListParagraph"/>
        <w:numPr>
          <w:ilvl w:val="0"/>
          <w:numId w:val="4"/>
        </w:numPr>
        <w:rPr>
          <w:rFonts w:ascii="Arial" w:hAnsi="Arial" w:cs="Arial"/>
          <w:color w:val="000000" w:themeColor="text1"/>
        </w:rPr>
      </w:pPr>
      <w:r w:rsidRPr="00173232">
        <w:rPr>
          <w:rFonts w:ascii="Arial" w:hAnsi="Arial" w:cs="Arial"/>
          <w:color w:val="000000" w:themeColor="text1"/>
        </w:rPr>
        <w:t>Re Estate Morris 1907 TS 657</w:t>
      </w:r>
      <w:r w:rsidR="008348F4" w:rsidRPr="008348F4">
        <w:rPr>
          <w:rFonts w:ascii="Arial" w:hAnsi="Arial" w:cs="Arial"/>
          <w:color w:val="000000" w:themeColor="text1"/>
        </w:rPr>
        <w:t xml:space="preserve"> </w:t>
      </w:r>
    </w:p>
    <w:p w14:paraId="37F448B5" w14:textId="479B8BA6" w:rsidR="008348F4" w:rsidRPr="00173232" w:rsidRDefault="008348F4" w:rsidP="008348F4">
      <w:pPr>
        <w:pStyle w:val="ListParagraph"/>
        <w:numPr>
          <w:ilvl w:val="0"/>
          <w:numId w:val="4"/>
        </w:numPr>
        <w:rPr>
          <w:rFonts w:ascii="Arial" w:hAnsi="Arial" w:cs="Arial"/>
          <w:color w:val="000000" w:themeColor="text1"/>
        </w:rPr>
      </w:pPr>
      <w:r w:rsidRPr="00173232">
        <w:rPr>
          <w:rFonts w:ascii="Arial" w:hAnsi="Arial" w:cs="Arial"/>
          <w:color w:val="000000" w:themeColor="text1"/>
        </w:rPr>
        <w:t>Rubin v Eurofinance SA [2013] 1 AC 236</w:t>
      </w:r>
    </w:p>
    <w:p w14:paraId="4DF9EEEA" w14:textId="77777777" w:rsidR="00173232" w:rsidRPr="00173232" w:rsidRDefault="00173232" w:rsidP="00173232">
      <w:pPr>
        <w:pStyle w:val="ListParagraph"/>
        <w:numPr>
          <w:ilvl w:val="0"/>
          <w:numId w:val="4"/>
        </w:numPr>
        <w:rPr>
          <w:rFonts w:ascii="Arial" w:hAnsi="Arial" w:cs="Arial"/>
          <w:color w:val="000000" w:themeColor="text1"/>
        </w:rPr>
      </w:pPr>
      <w:r w:rsidRPr="00173232">
        <w:rPr>
          <w:rFonts w:ascii="Arial" w:hAnsi="Arial" w:cs="Arial"/>
          <w:color w:val="000000" w:themeColor="text1"/>
        </w:rPr>
        <w:t>Singularis Holdings Ltd v PricewaterhouseCoopers (2014) 87 WIR 215</w:t>
      </w:r>
    </w:p>
    <w:p w14:paraId="4DE4E705" w14:textId="4FD014C5" w:rsidR="00173232" w:rsidRPr="00173232" w:rsidRDefault="00173232" w:rsidP="00173232">
      <w:pPr>
        <w:pStyle w:val="ListParagraph"/>
        <w:numPr>
          <w:ilvl w:val="0"/>
          <w:numId w:val="4"/>
        </w:numPr>
        <w:rPr>
          <w:rFonts w:ascii="Arial" w:hAnsi="Arial" w:cs="Arial"/>
          <w:color w:val="000000" w:themeColor="text1"/>
        </w:rPr>
      </w:pPr>
      <w:r w:rsidRPr="00173232">
        <w:rPr>
          <w:rFonts w:ascii="Arial" w:hAnsi="Arial" w:cs="Arial"/>
          <w:color w:val="000000" w:themeColor="text1"/>
        </w:rPr>
        <w:t>South African Companies Act 61 of 1973</w:t>
      </w:r>
    </w:p>
    <w:sectPr w:rsidR="00173232" w:rsidRPr="0017323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80C77" w14:textId="77777777" w:rsidR="00945070" w:rsidRDefault="00945070" w:rsidP="00E77FF2">
      <w:pPr>
        <w:spacing w:after="0" w:line="240" w:lineRule="auto"/>
      </w:pPr>
      <w:r>
        <w:separator/>
      </w:r>
    </w:p>
  </w:endnote>
  <w:endnote w:type="continuationSeparator" w:id="0">
    <w:p w14:paraId="42E3D932" w14:textId="77777777" w:rsidR="00945070" w:rsidRDefault="00945070" w:rsidP="00E77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9876599"/>
      <w:docPartObj>
        <w:docPartGallery w:val="Page Numbers (Bottom of Page)"/>
        <w:docPartUnique/>
      </w:docPartObj>
    </w:sdtPr>
    <w:sdtEndPr>
      <w:rPr>
        <w:noProof/>
      </w:rPr>
    </w:sdtEndPr>
    <w:sdtContent>
      <w:p w14:paraId="090C432C" w14:textId="74854D16" w:rsidR="00DF76B4" w:rsidRDefault="00DF76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B9B2B7" w14:textId="77777777" w:rsidR="00DF76B4" w:rsidRDefault="00DF76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1F2F7" w14:textId="77777777" w:rsidR="00945070" w:rsidRDefault="00945070" w:rsidP="00E77FF2">
      <w:pPr>
        <w:spacing w:after="0" w:line="240" w:lineRule="auto"/>
      </w:pPr>
      <w:r>
        <w:separator/>
      </w:r>
    </w:p>
  </w:footnote>
  <w:footnote w:type="continuationSeparator" w:id="0">
    <w:p w14:paraId="09C24F90" w14:textId="77777777" w:rsidR="00945070" w:rsidRDefault="00945070" w:rsidP="00E77FF2">
      <w:pPr>
        <w:spacing w:after="0" w:line="240" w:lineRule="auto"/>
      </w:pPr>
      <w:r>
        <w:continuationSeparator/>
      </w:r>
    </w:p>
  </w:footnote>
  <w:footnote w:id="1">
    <w:p w14:paraId="013350FC" w14:textId="64D6F61C" w:rsidR="0094619A" w:rsidRDefault="0094619A">
      <w:pPr>
        <w:pStyle w:val="FootnoteText"/>
      </w:pPr>
      <w:r>
        <w:rPr>
          <w:rStyle w:val="FootnoteReference"/>
        </w:rPr>
        <w:footnoteRef/>
      </w:r>
      <w:r>
        <w:t xml:space="preserve"> </w:t>
      </w:r>
      <w:r w:rsidR="00F850FF" w:rsidRPr="00F850FF">
        <w:t>[No. 00264 of 1950.] [1951] Ch. 165</w:t>
      </w:r>
    </w:p>
  </w:footnote>
  <w:footnote w:id="2">
    <w:p w14:paraId="6EB39101" w14:textId="155CD2AD" w:rsidR="00F850FF" w:rsidRDefault="00F850FF">
      <w:pPr>
        <w:pStyle w:val="FootnoteText"/>
      </w:pPr>
      <w:r>
        <w:rPr>
          <w:rStyle w:val="FootnoteReference"/>
        </w:rPr>
        <w:footnoteRef/>
      </w:r>
      <w:r>
        <w:t xml:space="preserve"> </w:t>
      </w:r>
      <w:r w:rsidRPr="00F850FF">
        <w:t>[2007] 1 AC 508</w:t>
      </w:r>
    </w:p>
  </w:footnote>
  <w:footnote w:id="3">
    <w:p w14:paraId="740C721E" w14:textId="724596AF" w:rsidR="000D06E3" w:rsidRDefault="000D06E3">
      <w:pPr>
        <w:pStyle w:val="FootnoteText"/>
      </w:pPr>
      <w:r>
        <w:rPr>
          <w:rStyle w:val="FootnoteReference"/>
        </w:rPr>
        <w:footnoteRef/>
      </w:r>
      <w:r>
        <w:t xml:space="preserve"> Gerard McCormack, </w:t>
      </w:r>
      <w:r w:rsidRPr="000D06E3">
        <w:t>Universalism in insolvency proceedings and the common law Oxford Journal of Legal Studies, Vol. 32, No. 2 (2012), pp. 325–347</w:t>
      </w:r>
      <w:r>
        <w:t>, at 327</w:t>
      </w:r>
    </w:p>
  </w:footnote>
  <w:footnote w:id="4">
    <w:p w14:paraId="2B9C77DC" w14:textId="68424E61" w:rsidR="00F850FF" w:rsidRDefault="00F850FF">
      <w:pPr>
        <w:pStyle w:val="FootnoteText"/>
      </w:pPr>
      <w:r>
        <w:rPr>
          <w:rStyle w:val="FootnoteReference"/>
        </w:rPr>
        <w:footnoteRef/>
      </w:r>
      <w:r>
        <w:t xml:space="preserve"> </w:t>
      </w:r>
      <w:r w:rsidRPr="00F850FF">
        <w:t>[1906] TS 373</w:t>
      </w:r>
    </w:p>
  </w:footnote>
  <w:footnote w:id="5">
    <w:p w14:paraId="25FBCD17" w14:textId="7F5CF3FE" w:rsidR="00F850FF" w:rsidRDefault="00F850FF">
      <w:pPr>
        <w:pStyle w:val="FootnoteText"/>
      </w:pPr>
      <w:r>
        <w:rPr>
          <w:rStyle w:val="FootnoteReference"/>
        </w:rPr>
        <w:footnoteRef/>
      </w:r>
      <w:r>
        <w:t xml:space="preserve"> </w:t>
      </w:r>
      <w:r w:rsidRPr="00F850FF">
        <w:t>[2008] 1 WLR 852</w:t>
      </w:r>
    </w:p>
  </w:footnote>
  <w:footnote w:id="6">
    <w:p w14:paraId="603832E0" w14:textId="33F5F424" w:rsidR="00C45867" w:rsidRDefault="00C45867" w:rsidP="00C45867">
      <w:pPr>
        <w:pStyle w:val="FootnoteText"/>
      </w:pPr>
      <w:r>
        <w:rPr>
          <w:rStyle w:val="FootnoteReference"/>
        </w:rPr>
        <w:footnoteRef/>
      </w:r>
      <w:r>
        <w:t xml:space="preserve"> </w:t>
      </w:r>
      <w:r w:rsidRPr="00F850FF">
        <w:t>[2008] 1 WLR 852</w:t>
      </w:r>
      <w:r>
        <w:t>; [6]-[7]</w:t>
      </w:r>
    </w:p>
  </w:footnote>
  <w:footnote w:id="7">
    <w:p w14:paraId="1B701EB9" w14:textId="08163423" w:rsidR="004A56C0" w:rsidRDefault="004A56C0">
      <w:pPr>
        <w:pStyle w:val="FootnoteText"/>
      </w:pPr>
      <w:r>
        <w:rPr>
          <w:rStyle w:val="FootnoteReference"/>
        </w:rPr>
        <w:footnoteRef/>
      </w:r>
      <w:r>
        <w:t xml:space="preserve"> </w:t>
      </w:r>
      <w:r w:rsidRPr="004A56C0">
        <w:t>[2013] 1 AC 236</w:t>
      </w:r>
    </w:p>
  </w:footnote>
  <w:footnote w:id="8">
    <w:p w14:paraId="668C4C07" w14:textId="0E3297E8" w:rsidR="00D33F85" w:rsidRDefault="00D33F85">
      <w:pPr>
        <w:pStyle w:val="FootnoteText"/>
      </w:pPr>
      <w:r>
        <w:rPr>
          <w:rStyle w:val="FootnoteReference"/>
        </w:rPr>
        <w:footnoteRef/>
      </w:r>
      <w:r>
        <w:t xml:space="preserve"> </w:t>
      </w:r>
      <w:r w:rsidRPr="00D33F85">
        <w:t>[2005] 2 AC 333</w:t>
      </w:r>
    </w:p>
  </w:footnote>
  <w:footnote w:id="9">
    <w:p w14:paraId="16D85E17" w14:textId="3D150E01" w:rsidR="00D33F85" w:rsidRDefault="00D33F85">
      <w:pPr>
        <w:pStyle w:val="FootnoteText"/>
      </w:pPr>
      <w:r>
        <w:rPr>
          <w:rStyle w:val="FootnoteReference"/>
        </w:rPr>
        <w:footnoteRef/>
      </w:r>
      <w:r>
        <w:t xml:space="preserve"> </w:t>
      </w:r>
      <w:r w:rsidRPr="00D33F85">
        <w:t>(2014) 87 WIR 215</w:t>
      </w:r>
    </w:p>
  </w:footnote>
  <w:footnote w:id="10">
    <w:p w14:paraId="031FF2B3" w14:textId="45D86B40" w:rsidR="00E77FF2" w:rsidRDefault="00E77FF2">
      <w:pPr>
        <w:pStyle w:val="FootnoteText"/>
      </w:pPr>
      <w:r>
        <w:rPr>
          <w:rStyle w:val="FootnoteReference"/>
        </w:rPr>
        <w:footnoteRef/>
      </w:r>
      <w:r>
        <w:t xml:space="preserve"> </w:t>
      </w:r>
      <w:r w:rsidRPr="009C2654">
        <w:t>Singularis Holdings Ltd v PricewaterhouseCoopers</w:t>
      </w:r>
      <w:r>
        <w:t xml:space="preserve"> </w:t>
      </w:r>
      <w:r w:rsidRPr="00004F1D">
        <w:t>(2014) 87 WIR 215</w:t>
      </w:r>
      <w:r>
        <w:t xml:space="preserve">; </w:t>
      </w:r>
      <w:r w:rsidR="00E22820">
        <w:t>[</w:t>
      </w:r>
      <w:r>
        <w:t>9</w:t>
      </w:r>
      <w:r w:rsidR="00E22820">
        <w:t>C]-[9D]</w:t>
      </w:r>
    </w:p>
  </w:footnote>
  <w:footnote w:id="11">
    <w:p w14:paraId="2EE0094A" w14:textId="77777777" w:rsidR="009C2654" w:rsidRDefault="009C2654" w:rsidP="009C2654">
      <w:pPr>
        <w:pStyle w:val="FootnoteText"/>
      </w:pPr>
      <w:r>
        <w:rPr>
          <w:rStyle w:val="FootnoteReference"/>
        </w:rPr>
        <w:footnoteRef/>
      </w:r>
      <w:r>
        <w:t xml:space="preserve"> </w:t>
      </w:r>
      <w:r w:rsidRPr="009C2654">
        <w:t>[1906] TS 373</w:t>
      </w:r>
      <w:r>
        <w:t>; pg. 377</w:t>
      </w:r>
    </w:p>
  </w:footnote>
  <w:footnote w:id="12">
    <w:p w14:paraId="70B10AFC" w14:textId="458BA477" w:rsidR="00877148" w:rsidRDefault="00877148">
      <w:pPr>
        <w:pStyle w:val="FootnoteText"/>
      </w:pPr>
      <w:r>
        <w:rPr>
          <w:rStyle w:val="FootnoteReference"/>
        </w:rPr>
        <w:footnoteRef/>
      </w:r>
      <w:r>
        <w:t xml:space="preserve"> </w:t>
      </w:r>
      <w:r w:rsidRPr="00877148">
        <w:t>(Pty) Ltd [1990] 2 All SA 77 (A)</w:t>
      </w:r>
    </w:p>
  </w:footnote>
  <w:footnote w:id="13">
    <w:p w14:paraId="6E62318C" w14:textId="53DCA93D" w:rsidR="00591FA2" w:rsidRDefault="00591FA2" w:rsidP="00591FA2">
      <w:pPr>
        <w:pStyle w:val="FootnoteText"/>
      </w:pPr>
      <w:r>
        <w:rPr>
          <w:rStyle w:val="FootnoteReference"/>
        </w:rPr>
        <w:footnoteRef/>
      </w:r>
      <w:r>
        <w:t xml:space="preserve"> </w:t>
      </w:r>
      <w:r w:rsidRPr="009C2654">
        <w:t>Singularis Holdings Ltd v PricewaterhouseCoopers</w:t>
      </w:r>
      <w:r>
        <w:t xml:space="preserve"> </w:t>
      </w:r>
      <w:r w:rsidRPr="00004F1D">
        <w:t>(2014) 87 WIR 215</w:t>
      </w:r>
      <w:r>
        <w:t>; [134C]-[</w:t>
      </w:r>
      <w:r w:rsidR="00DF46E0">
        <w:t>134E</w:t>
      </w:r>
      <w:r>
        <w:t>]</w:t>
      </w:r>
    </w:p>
  </w:footnote>
  <w:footnote w:id="14">
    <w:p w14:paraId="10F712DF" w14:textId="318A1415" w:rsidR="00DF46E0" w:rsidRDefault="00DF46E0">
      <w:pPr>
        <w:pStyle w:val="FootnoteText"/>
      </w:pPr>
      <w:r>
        <w:rPr>
          <w:rStyle w:val="FootnoteReference"/>
        </w:rPr>
        <w:footnoteRef/>
      </w:r>
      <w:r>
        <w:t xml:space="preserve"> </w:t>
      </w:r>
      <w:r w:rsidRPr="00DF46E0">
        <w:t>1993 (3) SA 359 (C)</w:t>
      </w:r>
    </w:p>
  </w:footnote>
  <w:footnote w:id="15">
    <w:p w14:paraId="3C44D817" w14:textId="31F79BE8" w:rsidR="00DE72B4" w:rsidRDefault="00DE72B4">
      <w:pPr>
        <w:pStyle w:val="FootnoteText"/>
      </w:pPr>
      <w:r>
        <w:rPr>
          <w:rStyle w:val="FootnoteReference"/>
        </w:rPr>
        <w:footnoteRef/>
      </w:r>
      <w:r>
        <w:t xml:space="preserve"> </w:t>
      </w:r>
      <w:r w:rsidR="00A91D61">
        <w:t xml:space="preserve">Ex Parte Palmer </w:t>
      </w:r>
      <w:r>
        <w:t>361</w:t>
      </w:r>
    </w:p>
  </w:footnote>
  <w:footnote w:id="16">
    <w:p w14:paraId="1022B6E6" w14:textId="1B43F3EB" w:rsidR="00DF46E0" w:rsidRDefault="00DF46E0">
      <w:pPr>
        <w:pStyle w:val="FootnoteText"/>
      </w:pPr>
      <w:r>
        <w:rPr>
          <w:rStyle w:val="FootnoteReference"/>
        </w:rPr>
        <w:footnoteRef/>
      </w:r>
      <w:r>
        <w:t xml:space="preserve"> </w:t>
      </w:r>
      <w:r w:rsidRPr="00DF46E0">
        <w:t>1907 TS 657</w:t>
      </w:r>
    </w:p>
  </w:footnote>
  <w:footnote w:id="17">
    <w:p w14:paraId="26F052AA" w14:textId="17EA8148" w:rsidR="00A91D61" w:rsidRDefault="00A91D61">
      <w:pPr>
        <w:pStyle w:val="FootnoteText"/>
      </w:pPr>
      <w:r>
        <w:rPr>
          <w:rStyle w:val="FootnoteReference"/>
        </w:rPr>
        <w:footnoteRef/>
      </w:r>
      <w:r>
        <w:t xml:space="preserve"> Ex Parte Palmer 362B-D</w:t>
      </w:r>
    </w:p>
  </w:footnote>
  <w:footnote w:id="18">
    <w:p w14:paraId="1E849310" w14:textId="0D487011" w:rsidR="003B6C49" w:rsidRDefault="003B6C49">
      <w:pPr>
        <w:pStyle w:val="FootnoteText"/>
      </w:pPr>
      <w:r>
        <w:rPr>
          <w:rStyle w:val="FootnoteReference"/>
        </w:rPr>
        <w:footnoteRef/>
      </w:r>
      <w:r>
        <w:t xml:space="preserve"> </w:t>
      </w:r>
      <w:r w:rsidR="008A3B7D" w:rsidRPr="008A3B7D">
        <w:t>Alastair Smith; Andre Boraine, Crossing Borders into South African Insolvency Law: From the Roman-Dutch Jurists to the UNCITRAL Model Law, 10 Am. Bankr. Inst. L. Rev. (2002) at 1</w:t>
      </w:r>
      <w:r w:rsidR="008A3B7D">
        <w:t>78</w:t>
      </w:r>
    </w:p>
  </w:footnote>
  <w:footnote w:id="19">
    <w:p w14:paraId="23265ABE" w14:textId="512768DF" w:rsidR="00B44DD1" w:rsidRDefault="00B44DD1" w:rsidP="00B44DD1">
      <w:pPr>
        <w:pStyle w:val="FootnoteText"/>
      </w:pPr>
      <w:r>
        <w:rPr>
          <w:rStyle w:val="FootnoteReference"/>
        </w:rPr>
        <w:footnoteRef/>
      </w:r>
      <w:r>
        <w:t xml:space="preserve"> Ex Parte Palmer 362E</w:t>
      </w:r>
    </w:p>
  </w:footnote>
  <w:footnote w:id="20">
    <w:p w14:paraId="67D9FEAB" w14:textId="42B61609" w:rsidR="0071623E" w:rsidRDefault="0071623E">
      <w:pPr>
        <w:pStyle w:val="FootnoteText"/>
      </w:pPr>
      <w:r>
        <w:rPr>
          <w:rStyle w:val="FootnoteReference"/>
        </w:rPr>
        <w:footnoteRef/>
      </w:r>
      <w:r>
        <w:t xml:space="preserve"> </w:t>
      </w:r>
      <w:r w:rsidRPr="0071623E">
        <w:t>Donaldson v British SA Asphalte and Mfg. Co. Ltd. 1905 TS 753</w:t>
      </w:r>
    </w:p>
  </w:footnote>
  <w:footnote w:id="21">
    <w:p w14:paraId="591FFFF1" w14:textId="163ED968" w:rsidR="004B4FA2" w:rsidRDefault="004B4FA2">
      <w:pPr>
        <w:pStyle w:val="FootnoteText"/>
      </w:pPr>
      <w:r>
        <w:rPr>
          <w:rStyle w:val="FootnoteReference"/>
        </w:rPr>
        <w:footnoteRef/>
      </w:r>
      <w:r>
        <w:t xml:space="preserve"> </w:t>
      </w:r>
      <w:r w:rsidRPr="004B4FA2">
        <w:t xml:space="preserve">Re Estate Morris </w:t>
      </w:r>
      <w:r>
        <w:t>1907 TS 657</w:t>
      </w:r>
    </w:p>
  </w:footnote>
  <w:footnote w:id="22">
    <w:p w14:paraId="72699600" w14:textId="5C6F9EFD" w:rsidR="008111EC" w:rsidRDefault="008111EC">
      <w:pPr>
        <w:pStyle w:val="FootnoteText"/>
      </w:pPr>
      <w:r>
        <w:rPr>
          <w:rStyle w:val="FootnoteReference"/>
        </w:rPr>
        <w:footnoteRef/>
      </w:r>
      <w:r>
        <w:t xml:space="preserve"> </w:t>
      </w:r>
      <w:r w:rsidRPr="008111EC">
        <w:t>1902 TS 40</w:t>
      </w:r>
      <w:r>
        <w:t>; pg.</w:t>
      </w:r>
      <w:r w:rsidRPr="008111EC">
        <w:t xml:space="preserve"> 52</w:t>
      </w:r>
    </w:p>
  </w:footnote>
  <w:footnote w:id="23">
    <w:p w14:paraId="6DCA28AF" w14:textId="6198CDD1" w:rsidR="008F7657" w:rsidRDefault="008F7657" w:rsidP="008F7657">
      <w:pPr>
        <w:pStyle w:val="FootnoteText"/>
      </w:pPr>
      <w:r>
        <w:rPr>
          <w:rStyle w:val="FootnoteReference"/>
        </w:rPr>
        <w:footnoteRef/>
      </w:r>
      <w:r>
        <w:t xml:space="preserve"> Alastair Smith; Andre Boraine, Crossing Borders into South African Insolvency Law: From the Roman-Dutch Jurists to the UNCITRAL Model Law, 10 Am. Bankr. Inst. L. Rev. (2002)</w:t>
      </w:r>
      <w:r w:rsidR="001B793B">
        <w:t xml:space="preserve"> at 182</w:t>
      </w:r>
    </w:p>
  </w:footnote>
  <w:footnote w:id="24">
    <w:p w14:paraId="7C595074" w14:textId="08BE5AD0" w:rsidR="008111EC" w:rsidRDefault="008111EC">
      <w:pPr>
        <w:pStyle w:val="FootnoteText"/>
      </w:pPr>
      <w:r>
        <w:rPr>
          <w:rStyle w:val="FootnoteReference"/>
        </w:rPr>
        <w:footnoteRef/>
      </w:r>
      <w:r>
        <w:t xml:space="preserve"> </w:t>
      </w:r>
      <w:r w:rsidRPr="008111EC">
        <w:t>1999 (4) SA 216 (C)</w:t>
      </w:r>
    </w:p>
  </w:footnote>
  <w:footnote w:id="25">
    <w:p w14:paraId="74553B84" w14:textId="77777777" w:rsidR="008B6DAA" w:rsidRDefault="008B6DAA" w:rsidP="008B6DAA">
      <w:pPr>
        <w:pStyle w:val="FootnoteText"/>
      </w:pPr>
      <w:r>
        <w:rPr>
          <w:rStyle w:val="FootnoteReference"/>
        </w:rPr>
        <w:footnoteRef/>
      </w:r>
      <w:r>
        <w:t xml:space="preserve"> Alastair Smith; Andre Boraine, Crossing Borders into South African Insolvency Law: From the Roman-Dutch Jurists to the UNCITRAL Model Law, 10 Am. Bankr. Inst. L. Rev. (2002) at 182</w:t>
      </w:r>
    </w:p>
  </w:footnote>
  <w:footnote w:id="26">
    <w:p w14:paraId="1981367A" w14:textId="77777777" w:rsidR="00931EBC" w:rsidRDefault="00931EBC" w:rsidP="00931EBC">
      <w:pPr>
        <w:pStyle w:val="FootnoteText"/>
      </w:pPr>
      <w:r>
        <w:rPr>
          <w:rStyle w:val="FootnoteReference"/>
        </w:rPr>
        <w:footnoteRef/>
      </w:r>
      <w:r>
        <w:t xml:space="preserve"> Alastair Smith; Andre Boraine, Crossing Borders into South African Insolvency Law: From the Roman-Dutch Jurists to the UNCITRAL Model Law, 10 Am. Bankr. Inst. L. Rev. (2002) at 182</w:t>
      </w:r>
    </w:p>
  </w:footnote>
  <w:footnote w:id="27">
    <w:p w14:paraId="298D0AE4" w14:textId="1428AAEA" w:rsidR="008111EC" w:rsidRDefault="008111EC">
      <w:pPr>
        <w:pStyle w:val="FootnoteText"/>
      </w:pPr>
      <w:r>
        <w:rPr>
          <w:rStyle w:val="FootnoteReference"/>
        </w:rPr>
        <w:footnoteRef/>
      </w:r>
      <w:r>
        <w:t xml:space="preserve"> </w:t>
      </w:r>
      <w:r w:rsidRPr="008111EC">
        <w:t>1979 (2) SA 309 (0) 312C</w:t>
      </w:r>
    </w:p>
  </w:footnote>
  <w:footnote w:id="28">
    <w:p w14:paraId="13CDE2A7" w14:textId="2D256407" w:rsidR="006D6ECD" w:rsidRDefault="006D6ECD">
      <w:pPr>
        <w:pStyle w:val="FootnoteText"/>
      </w:pPr>
      <w:r>
        <w:rPr>
          <w:rStyle w:val="FootnoteReference"/>
        </w:rPr>
        <w:footnoteRef/>
      </w:r>
      <w:r>
        <w:t xml:space="preserve"> </w:t>
      </w:r>
      <w:r w:rsidRPr="006D6ECD">
        <w:t>Ex</w:t>
      </w:r>
      <w:r w:rsidR="00D23006">
        <w:t xml:space="preserve"> P</w:t>
      </w:r>
      <w:r w:rsidRPr="006D6ECD">
        <w:t>arte Steyn</w:t>
      </w:r>
      <w:r>
        <w:t xml:space="preserve"> </w:t>
      </w:r>
      <w:r w:rsidRPr="006D6ECD">
        <w:t>1979 (2) SA 309 (0) 312C</w:t>
      </w:r>
      <w:r>
        <w:t xml:space="preserve"> </w:t>
      </w:r>
    </w:p>
  </w:footnote>
  <w:footnote w:id="29">
    <w:p w14:paraId="6BA48DA0" w14:textId="58BB5628" w:rsidR="004A5C20" w:rsidRDefault="004A5C20">
      <w:pPr>
        <w:pStyle w:val="FootnoteText"/>
      </w:pPr>
      <w:r>
        <w:rPr>
          <w:rStyle w:val="FootnoteReference"/>
        </w:rPr>
        <w:footnoteRef/>
      </w:r>
      <w:r>
        <w:t xml:space="preserve"> South African Companies Act 61 of 1973, s. 417(1)</w:t>
      </w:r>
    </w:p>
  </w:footnote>
  <w:footnote w:id="30">
    <w:p w14:paraId="465DAE1A" w14:textId="77777777" w:rsidR="00E81823" w:rsidRDefault="00E81823" w:rsidP="00E81823">
      <w:pPr>
        <w:pStyle w:val="FootnoteText"/>
      </w:pPr>
      <w:r>
        <w:rPr>
          <w:rStyle w:val="FootnoteReference"/>
        </w:rPr>
        <w:footnoteRef/>
      </w:r>
      <w:r>
        <w:t xml:space="preserve"> Alastair Smith; Andre Boraine, Crossing Borders into South African Insolvency Law: From the Roman-Dutch Jurists to the UNCITRAL Model Law, 10 Am. Bankr. Inst. L. Rev. (2002) at 182</w:t>
      </w:r>
    </w:p>
  </w:footnote>
  <w:footnote w:id="31">
    <w:p w14:paraId="7C26AC91" w14:textId="77570D08" w:rsidR="00B71BDE" w:rsidRDefault="00B71BDE">
      <w:pPr>
        <w:pStyle w:val="FootnoteText"/>
      </w:pPr>
      <w:r>
        <w:rPr>
          <w:rStyle w:val="FootnoteReference"/>
        </w:rPr>
        <w:footnoteRef/>
      </w:r>
      <w:r>
        <w:t xml:space="preserve"> </w:t>
      </w:r>
      <w:r w:rsidR="00B62563">
        <w:t xml:space="preserve">South African Companies Act 61 of 1973, </w:t>
      </w:r>
      <w:r>
        <w:t>61 of 1973</w:t>
      </w:r>
    </w:p>
  </w:footnote>
  <w:footnote w:id="32">
    <w:p w14:paraId="7DE9F104" w14:textId="77777777" w:rsidR="008D31B9" w:rsidRDefault="008D31B9" w:rsidP="008D31B9">
      <w:pPr>
        <w:pStyle w:val="FootnoteText"/>
      </w:pPr>
      <w:r>
        <w:rPr>
          <w:rStyle w:val="FootnoteReference"/>
        </w:rPr>
        <w:footnoteRef/>
      </w:r>
      <w:r>
        <w:t xml:space="preserve"> </w:t>
      </w:r>
      <w:r w:rsidRPr="00DF46E0">
        <w:t>1993 (3) SA 359 (C)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DEA"/>
    <w:multiLevelType w:val="hybridMultilevel"/>
    <w:tmpl w:val="68BEB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9546A"/>
    <w:multiLevelType w:val="hybridMultilevel"/>
    <w:tmpl w:val="F6ACE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2153F8"/>
    <w:multiLevelType w:val="hybridMultilevel"/>
    <w:tmpl w:val="3DCC37A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9223ADE"/>
    <w:multiLevelType w:val="hybridMultilevel"/>
    <w:tmpl w:val="22E62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6AB"/>
    <w:rsid w:val="00000710"/>
    <w:rsid w:val="0000149B"/>
    <w:rsid w:val="00003101"/>
    <w:rsid w:val="0000363B"/>
    <w:rsid w:val="00004F1D"/>
    <w:rsid w:val="00015A24"/>
    <w:rsid w:val="000175A0"/>
    <w:rsid w:val="0002017B"/>
    <w:rsid w:val="00022F9B"/>
    <w:rsid w:val="00023D10"/>
    <w:rsid w:val="0004585C"/>
    <w:rsid w:val="00062D6F"/>
    <w:rsid w:val="00082990"/>
    <w:rsid w:val="00093D49"/>
    <w:rsid w:val="000949F3"/>
    <w:rsid w:val="000950C1"/>
    <w:rsid w:val="000A1704"/>
    <w:rsid w:val="000A7CD8"/>
    <w:rsid w:val="000B61ED"/>
    <w:rsid w:val="000C2F89"/>
    <w:rsid w:val="000D01D3"/>
    <w:rsid w:val="000D06E3"/>
    <w:rsid w:val="000D49F6"/>
    <w:rsid w:val="000E07E4"/>
    <w:rsid w:val="000F3A70"/>
    <w:rsid w:val="000F7B77"/>
    <w:rsid w:val="000F7ECD"/>
    <w:rsid w:val="001045D9"/>
    <w:rsid w:val="00112EC3"/>
    <w:rsid w:val="00115E9A"/>
    <w:rsid w:val="00120918"/>
    <w:rsid w:val="001214E1"/>
    <w:rsid w:val="00137495"/>
    <w:rsid w:val="00142261"/>
    <w:rsid w:val="00154429"/>
    <w:rsid w:val="00155897"/>
    <w:rsid w:val="00167588"/>
    <w:rsid w:val="001706AD"/>
    <w:rsid w:val="00173232"/>
    <w:rsid w:val="00181F4A"/>
    <w:rsid w:val="00185E19"/>
    <w:rsid w:val="001B704E"/>
    <w:rsid w:val="001B793B"/>
    <w:rsid w:val="001C0D5E"/>
    <w:rsid w:val="001D741B"/>
    <w:rsid w:val="001E3E26"/>
    <w:rsid w:val="001F2D01"/>
    <w:rsid w:val="00214EFD"/>
    <w:rsid w:val="00215FEF"/>
    <w:rsid w:val="00230B9B"/>
    <w:rsid w:val="00240E35"/>
    <w:rsid w:val="002410AC"/>
    <w:rsid w:val="002427A3"/>
    <w:rsid w:val="00247B8A"/>
    <w:rsid w:val="00260D3D"/>
    <w:rsid w:val="00265077"/>
    <w:rsid w:val="0028091D"/>
    <w:rsid w:val="00286229"/>
    <w:rsid w:val="00290B3F"/>
    <w:rsid w:val="002A58E5"/>
    <w:rsid w:val="002A625D"/>
    <w:rsid w:val="002B325B"/>
    <w:rsid w:val="002D09AD"/>
    <w:rsid w:val="002E26F4"/>
    <w:rsid w:val="002F1B08"/>
    <w:rsid w:val="00333444"/>
    <w:rsid w:val="00340046"/>
    <w:rsid w:val="00345CC2"/>
    <w:rsid w:val="00350881"/>
    <w:rsid w:val="003517AB"/>
    <w:rsid w:val="0035198F"/>
    <w:rsid w:val="00351D72"/>
    <w:rsid w:val="003734DE"/>
    <w:rsid w:val="0038000C"/>
    <w:rsid w:val="00380C14"/>
    <w:rsid w:val="0038272D"/>
    <w:rsid w:val="003908F2"/>
    <w:rsid w:val="0039374B"/>
    <w:rsid w:val="003A12FF"/>
    <w:rsid w:val="003A3C1E"/>
    <w:rsid w:val="003A4E10"/>
    <w:rsid w:val="003B40DA"/>
    <w:rsid w:val="003B6692"/>
    <w:rsid w:val="003B6C49"/>
    <w:rsid w:val="003C39CA"/>
    <w:rsid w:val="003D1BFC"/>
    <w:rsid w:val="003D6D59"/>
    <w:rsid w:val="003E5C52"/>
    <w:rsid w:val="003E5FC2"/>
    <w:rsid w:val="003E7187"/>
    <w:rsid w:val="0040201F"/>
    <w:rsid w:val="004038B1"/>
    <w:rsid w:val="00404E37"/>
    <w:rsid w:val="0040595B"/>
    <w:rsid w:val="004215A4"/>
    <w:rsid w:val="00427AC6"/>
    <w:rsid w:val="00455D73"/>
    <w:rsid w:val="00462027"/>
    <w:rsid w:val="00466DBF"/>
    <w:rsid w:val="00471C95"/>
    <w:rsid w:val="004805CE"/>
    <w:rsid w:val="00482551"/>
    <w:rsid w:val="0049713C"/>
    <w:rsid w:val="004A02A1"/>
    <w:rsid w:val="004A56C0"/>
    <w:rsid w:val="004A5C20"/>
    <w:rsid w:val="004A7A53"/>
    <w:rsid w:val="004B27DA"/>
    <w:rsid w:val="004B4FA2"/>
    <w:rsid w:val="004C0974"/>
    <w:rsid w:val="004C420F"/>
    <w:rsid w:val="004D71A3"/>
    <w:rsid w:val="004E32A7"/>
    <w:rsid w:val="004F0656"/>
    <w:rsid w:val="0050172A"/>
    <w:rsid w:val="00504327"/>
    <w:rsid w:val="005059CB"/>
    <w:rsid w:val="00511D92"/>
    <w:rsid w:val="00524179"/>
    <w:rsid w:val="00530321"/>
    <w:rsid w:val="005342F9"/>
    <w:rsid w:val="00540EB7"/>
    <w:rsid w:val="00541354"/>
    <w:rsid w:val="00546204"/>
    <w:rsid w:val="00562C5F"/>
    <w:rsid w:val="0056408F"/>
    <w:rsid w:val="00566931"/>
    <w:rsid w:val="005670A3"/>
    <w:rsid w:val="0057188C"/>
    <w:rsid w:val="00581F5D"/>
    <w:rsid w:val="00591FA2"/>
    <w:rsid w:val="00593B0A"/>
    <w:rsid w:val="005960B2"/>
    <w:rsid w:val="005B7BD2"/>
    <w:rsid w:val="005D0312"/>
    <w:rsid w:val="005D6C1B"/>
    <w:rsid w:val="005E3008"/>
    <w:rsid w:val="005E3406"/>
    <w:rsid w:val="005F40AF"/>
    <w:rsid w:val="005F4B7C"/>
    <w:rsid w:val="005F624B"/>
    <w:rsid w:val="0060678A"/>
    <w:rsid w:val="00614DC4"/>
    <w:rsid w:val="00621B63"/>
    <w:rsid w:val="00622C65"/>
    <w:rsid w:val="00625A97"/>
    <w:rsid w:val="006260BD"/>
    <w:rsid w:val="00630B78"/>
    <w:rsid w:val="00640D82"/>
    <w:rsid w:val="00653A66"/>
    <w:rsid w:val="006653AC"/>
    <w:rsid w:val="0067153E"/>
    <w:rsid w:val="00675BF7"/>
    <w:rsid w:val="0068609B"/>
    <w:rsid w:val="006B0B91"/>
    <w:rsid w:val="006B5888"/>
    <w:rsid w:val="006B60A5"/>
    <w:rsid w:val="006D6ECD"/>
    <w:rsid w:val="006E1A6B"/>
    <w:rsid w:val="006E67DC"/>
    <w:rsid w:val="0071578A"/>
    <w:rsid w:val="0071623E"/>
    <w:rsid w:val="007224A2"/>
    <w:rsid w:val="0073070C"/>
    <w:rsid w:val="007434A0"/>
    <w:rsid w:val="0076151D"/>
    <w:rsid w:val="0076177F"/>
    <w:rsid w:val="00766531"/>
    <w:rsid w:val="00771FF0"/>
    <w:rsid w:val="007871B4"/>
    <w:rsid w:val="007928AA"/>
    <w:rsid w:val="007F052E"/>
    <w:rsid w:val="00806F7D"/>
    <w:rsid w:val="008111EC"/>
    <w:rsid w:val="00821790"/>
    <w:rsid w:val="00821B74"/>
    <w:rsid w:val="008221A7"/>
    <w:rsid w:val="008348F4"/>
    <w:rsid w:val="00851689"/>
    <w:rsid w:val="00866BE0"/>
    <w:rsid w:val="00867BC9"/>
    <w:rsid w:val="00877148"/>
    <w:rsid w:val="0087753C"/>
    <w:rsid w:val="00881148"/>
    <w:rsid w:val="00884D2B"/>
    <w:rsid w:val="00892EBF"/>
    <w:rsid w:val="00893A6B"/>
    <w:rsid w:val="008A26F7"/>
    <w:rsid w:val="008A3B7D"/>
    <w:rsid w:val="008B08D6"/>
    <w:rsid w:val="008B6DAA"/>
    <w:rsid w:val="008D20C0"/>
    <w:rsid w:val="008D31B9"/>
    <w:rsid w:val="008D6B99"/>
    <w:rsid w:val="008D7B80"/>
    <w:rsid w:val="008E5132"/>
    <w:rsid w:val="008E7489"/>
    <w:rsid w:val="008F06EB"/>
    <w:rsid w:val="008F14C7"/>
    <w:rsid w:val="008F7657"/>
    <w:rsid w:val="00900042"/>
    <w:rsid w:val="009071E7"/>
    <w:rsid w:val="00915403"/>
    <w:rsid w:val="00922A36"/>
    <w:rsid w:val="00922CA6"/>
    <w:rsid w:val="00931EBC"/>
    <w:rsid w:val="009345E7"/>
    <w:rsid w:val="00945070"/>
    <w:rsid w:val="0094619A"/>
    <w:rsid w:val="00946C47"/>
    <w:rsid w:val="00950F3C"/>
    <w:rsid w:val="009728E3"/>
    <w:rsid w:val="0098418F"/>
    <w:rsid w:val="00990FA1"/>
    <w:rsid w:val="009A42AB"/>
    <w:rsid w:val="009A499A"/>
    <w:rsid w:val="009A4C31"/>
    <w:rsid w:val="009A677E"/>
    <w:rsid w:val="009C0F9D"/>
    <w:rsid w:val="009C2654"/>
    <w:rsid w:val="009C7CB9"/>
    <w:rsid w:val="009C7D8A"/>
    <w:rsid w:val="009D21F1"/>
    <w:rsid w:val="009E13E8"/>
    <w:rsid w:val="009E13F9"/>
    <w:rsid w:val="009E32F1"/>
    <w:rsid w:val="009F01D6"/>
    <w:rsid w:val="009F1C26"/>
    <w:rsid w:val="009F56B0"/>
    <w:rsid w:val="009F76C8"/>
    <w:rsid w:val="00A126A4"/>
    <w:rsid w:val="00A15277"/>
    <w:rsid w:val="00A15B12"/>
    <w:rsid w:val="00A17F4B"/>
    <w:rsid w:val="00A23741"/>
    <w:rsid w:val="00A23BF0"/>
    <w:rsid w:val="00A433FB"/>
    <w:rsid w:val="00A54350"/>
    <w:rsid w:val="00A61063"/>
    <w:rsid w:val="00A6401A"/>
    <w:rsid w:val="00A64158"/>
    <w:rsid w:val="00A91D61"/>
    <w:rsid w:val="00AA0042"/>
    <w:rsid w:val="00AB01BC"/>
    <w:rsid w:val="00AB4ACD"/>
    <w:rsid w:val="00AC2D2C"/>
    <w:rsid w:val="00AC7414"/>
    <w:rsid w:val="00AE1253"/>
    <w:rsid w:val="00AF5F8E"/>
    <w:rsid w:val="00B02449"/>
    <w:rsid w:val="00B05016"/>
    <w:rsid w:val="00B05B4C"/>
    <w:rsid w:val="00B14C7F"/>
    <w:rsid w:val="00B16A3D"/>
    <w:rsid w:val="00B20675"/>
    <w:rsid w:val="00B248B9"/>
    <w:rsid w:val="00B26F40"/>
    <w:rsid w:val="00B35623"/>
    <w:rsid w:val="00B404BF"/>
    <w:rsid w:val="00B4234A"/>
    <w:rsid w:val="00B42F9E"/>
    <w:rsid w:val="00B43186"/>
    <w:rsid w:val="00B44DD1"/>
    <w:rsid w:val="00B62563"/>
    <w:rsid w:val="00B70833"/>
    <w:rsid w:val="00B71BDE"/>
    <w:rsid w:val="00B826E2"/>
    <w:rsid w:val="00B8502F"/>
    <w:rsid w:val="00B915A8"/>
    <w:rsid w:val="00B9545E"/>
    <w:rsid w:val="00BA16F4"/>
    <w:rsid w:val="00BA39C1"/>
    <w:rsid w:val="00BA6E6C"/>
    <w:rsid w:val="00BB5832"/>
    <w:rsid w:val="00BB59CB"/>
    <w:rsid w:val="00BC0D24"/>
    <w:rsid w:val="00BC1B37"/>
    <w:rsid w:val="00BC7A01"/>
    <w:rsid w:val="00BE7D3B"/>
    <w:rsid w:val="00C00A86"/>
    <w:rsid w:val="00C06C9E"/>
    <w:rsid w:val="00C20128"/>
    <w:rsid w:val="00C248EE"/>
    <w:rsid w:val="00C376D3"/>
    <w:rsid w:val="00C37874"/>
    <w:rsid w:val="00C4001E"/>
    <w:rsid w:val="00C41CA5"/>
    <w:rsid w:val="00C45867"/>
    <w:rsid w:val="00C83437"/>
    <w:rsid w:val="00C9077B"/>
    <w:rsid w:val="00C9204A"/>
    <w:rsid w:val="00CB350C"/>
    <w:rsid w:val="00CB53FA"/>
    <w:rsid w:val="00CC219C"/>
    <w:rsid w:val="00CC75BF"/>
    <w:rsid w:val="00CE126A"/>
    <w:rsid w:val="00CE61B2"/>
    <w:rsid w:val="00CF25D0"/>
    <w:rsid w:val="00CF26B8"/>
    <w:rsid w:val="00CF63E9"/>
    <w:rsid w:val="00D14690"/>
    <w:rsid w:val="00D227CA"/>
    <w:rsid w:val="00D22F3C"/>
    <w:rsid w:val="00D23006"/>
    <w:rsid w:val="00D33F85"/>
    <w:rsid w:val="00D35AB0"/>
    <w:rsid w:val="00D36BB6"/>
    <w:rsid w:val="00D37C64"/>
    <w:rsid w:val="00D419B2"/>
    <w:rsid w:val="00D64B5C"/>
    <w:rsid w:val="00D70DB4"/>
    <w:rsid w:val="00D8168D"/>
    <w:rsid w:val="00DB1D29"/>
    <w:rsid w:val="00DC240C"/>
    <w:rsid w:val="00DD0A20"/>
    <w:rsid w:val="00DD2F34"/>
    <w:rsid w:val="00DD6E59"/>
    <w:rsid w:val="00DE09A1"/>
    <w:rsid w:val="00DE0D27"/>
    <w:rsid w:val="00DE5460"/>
    <w:rsid w:val="00DE72B4"/>
    <w:rsid w:val="00DF3090"/>
    <w:rsid w:val="00DF46E0"/>
    <w:rsid w:val="00DF76B4"/>
    <w:rsid w:val="00E007CA"/>
    <w:rsid w:val="00E013FC"/>
    <w:rsid w:val="00E039E7"/>
    <w:rsid w:val="00E03EFD"/>
    <w:rsid w:val="00E07570"/>
    <w:rsid w:val="00E21AAC"/>
    <w:rsid w:val="00E22820"/>
    <w:rsid w:val="00E309BD"/>
    <w:rsid w:val="00E33978"/>
    <w:rsid w:val="00E4255C"/>
    <w:rsid w:val="00E550D4"/>
    <w:rsid w:val="00E56CED"/>
    <w:rsid w:val="00E57114"/>
    <w:rsid w:val="00E61B9A"/>
    <w:rsid w:val="00E64300"/>
    <w:rsid w:val="00E73A5D"/>
    <w:rsid w:val="00E77FF2"/>
    <w:rsid w:val="00E81773"/>
    <w:rsid w:val="00E81823"/>
    <w:rsid w:val="00E8231D"/>
    <w:rsid w:val="00E879A7"/>
    <w:rsid w:val="00E91913"/>
    <w:rsid w:val="00E959C5"/>
    <w:rsid w:val="00E96135"/>
    <w:rsid w:val="00EA0BF8"/>
    <w:rsid w:val="00EA5C5E"/>
    <w:rsid w:val="00EA7220"/>
    <w:rsid w:val="00EB3F30"/>
    <w:rsid w:val="00EB7C07"/>
    <w:rsid w:val="00EC165A"/>
    <w:rsid w:val="00ED124C"/>
    <w:rsid w:val="00EE5018"/>
    <w:rsid w:val="00EE53AA"/>
    <w:rsid w:val="00EF4519"/>
    <w:rsid w:val="00EF593B"/>
    <w:rsid w:val="00F01DC1"/>
    <w:rsid w:val="00F03335"/>
    <w:rsid w:val="00F034ED"/>
    <w:rsid w:val="00F047F0"/>
    <w:rsid w:val="00F0572D"/>
    <w:rsid w:val="00F10169"/>
    <w:rsid w:val="00F14AD3"/>
    <w:rsid w:val="00F165F9"/>
    <w:rsid w:val="00F1701B"/>
    <w:rsid w:val="00F25C30"/>
    <w:rsid w:val="00F27AF1"/>
    <w:rsid w:val="00F3014B"/>
    <w:rsid w:val="00F35248"/>
    <w:rsid w:val="00F406C1"/>
    <w:rsid w:val="00F54D5A"/>
    <w:rsid w:val="00F55E41"/>
    <w:rsid w:val="00F60DDE"/>
    <w:rsid w:val="00F643CF"/>
    <w:rsid w:val="00F65F98"/>
    <w:rsid w:val="00F74322"/>
    <w:rsid w:val="00F77206"/>
    <w:rsid w:val="00F77874"/>
    <w:rsid w:val="00F81A80"/>
    <w:rsid w:val="00F850FF"/>
    <w:rsid w:val="00FA2955"/>
    <w:rsid w:val="00FA48A8"/>
    <w:rsid w:val="00FA7F80"/>
    <w:rsid w:val="00FB47CB"/>
    <w:rsid w:val="00FB56AB"/>
    <w:rsid w:val="00FC2F44"/>
    <w:rsid w:val="00FD14C5"/>
    <w:rsid w:val="00FD5584"/>
    <w:rsid w:val="00FF5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FD782"/>
  <w15:docId w15:val="{131508D0-7797-45B2-814B-E28AB7F78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77F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7FF2"/>
    <w:rPr>
      <w:sz w:val="20"/>
      <w:szCs w:val="20"/>
    </w:rPr>
  </w:style>
  <w:style w:type="character" w:styleId="FootnoteReference">
    <w:name w:val="footnote reference"/>
    <w:basedOn w:val="DefaultParagraphFont"/>
    <w:uiPriority w:val="99"/>
    <w:semiHidden/>
    <w:unhideWhenUsed/>
    <w:rsid w:val="00E77FF2"/>
    <w:rPr>
      <w:vertAlign w:val="superscript"/>
    </w:rPr>
  </w:style>
  <w:style w:type="paragraph" w:styleId="ListParagraph">
    <w:name w:val="List Paragraph"/>
    <w:basedOn w:val="Normal"/>
    <w:uiPriority w:val="34"/>
    <w:qFormat/>
    <w:rsid w:val="00B42F9E"/>
    <w:pPr>
      <w:ind w:left="720"/>
      <w:contextualSpacing/>
    </w:pPr>
  </w:style>
  <w:style w:type="paragraph" w:styleId="Header">
    <w:name w:val="header"/>
    <w:basedOn w:val="Normal"/>
    <w:link w:val="HeaderChar"/>
    <w:uiPriority w:val="99"/>
    <w:unhideWhenUsed/>
    <w:rsid w:val="00DF76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6B4"/>
  </w:style>
  <w:style w:type="paragraph" w:styleId="Footer">
    <w:name w:val="footer"/>
    <w:basedOn w:val="Normal"/>
    <w:link w:val="FooterChar"/>
    <w:uiPriority w:val="99"/>
    <w:unhideWhenUsed/>
    <w:rsid w:val="00DF7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6B4"/>
  </w:style>
  <w:style w:type="table" w:styleId="TableGrid">
    <w:name w:val="Table Grid"/>
    <w:basedOn w:val="TableNormal"/>
    <w:uiPriority w:val="39"/>
    <w:rsid w:val="00DF7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52093">
      <w:bodyDiv w:val="1"/>
      <w:marLeft w:val="0"/>
      <w:marRight w:val="0"/>
      <w:marTop w:val="0"/>
      <w:marBottom w:val="0"/>
      <w:divBdr>
        <w:top w:val="none" w:sz="0" w:space="0" w:color="auto"/>
        <w:left w:val="none" w:sz="0" w:space="0" w:color="auto"/>
        <w:bottom w:val="none" w:sz="0" w:space="0" w:color="auto"/>
        <w:right w:val="none" w:sz="0" w:space="0" w:color="auto"/>
      </w:divBdr>
    </w:div>
    <w:div w:id="517040295">
      <w:bodyDiv w:val="1"/>
      <w:marLeft w:val="0"/>
      <w:marRight w:val="0"/>
      <w:marTop w:val="0"/>
      <w:marBottom w:val="0"/>
      <w:divBdr>
        <w:top w:val="none" w:sz="0" w:space="0" w:color="auto"/>
        <w:left w:val="none" w:sz="0" w:space="0" w:color="auto"/>
        <w:bottom w:val="none" w:sz="0" w:space="0" w:color="auto"/>
        <w:right w:val="none" w:sz="0" w:space="0" w:color="auto"/>
      </w:divBdr>
      <w:divsChild>
        <w:div w:id="614025235">
          <w:blockQuote w:val="1"/>
          <w:marLeft w:val="450"/>
          <w:marRight w:val="450"/>
          <w:marTop w:val="0"/>
          <w:marBottom w:val="0"/>
          <w:divBdr>
            <w:top w:val="none" w:sz="0" w:space="0" w:color="auto"/>
            <w:left w:val="none" w:sz="0" w:space="0" w:color="auto"/>
            <w:bottom w:val="none" w:sz="0" w:space="0" w:color="auto"/>
            <w:right w:val="none" w:sz="0" w:space="0" w:color="auto"/>
          </w:divBdr>
        </w:div>
      </w:divsChild>
    </w:div>
    <w:div w:id="526451902">
      <w:bodyDiv w:val="1"/>
      <w:marLeft w:val="0"/>
      <w:marRight w:val="0"/>
      <w:marTop w:val="0"/>
      <w:marBottom w:val="0"/>
      <w:divBdr>
        <w:top w:val="none" w:sz="0" w:space="0" w:color="auto"/>
        <w:left w:val="none" w:sz="0" w:space="0" w:color="auto"/>
        <w:bottom w:val="none" w:sz="0" w:space="0" w:color="auto"/>
        <w:right w:val="none" w:sz="0" w:space="0" w:color="auto"/>
      </w:divBdr>
    </w:div>
    <w:div w:id="20727261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2CA7F-E8BF-4F5D-87F8-59BF265CC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4341</Words>
  <Characters>24745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 Saunders</dc:creator>
  <cp:keywords/>
  <dc:description/>
  <cp:lastModifiedBy>Yuri Saunders</cp:lastModifiedBy>
  <cp:revision>3</cp:revision>
  <dcterms:created xsi:type="dcterms:W3CDTF">2022-02-09T11:25:00Z</dcterms:created>
  <dcterms:modified xsi:type="dcterms:W3CDTF">2022-02-09T11:27:00Z</dcterms:modified>
</cp:coreProperties>
</file>