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A79A" w14:textId="7EE3F9C5" w:rsidR="00E21820" w:rsidRPr="00E95E6D" w:rsidRDefault="00E21820" w:rsidP="009950B5">
      <w:pPr>
        <w:spacing w:line="360" w:lineRule="auto"/>
        <w:jc w:val="center"/>
        <w:rPr>
          <w:rFonts w:ascii="Times New Roman" w:hAnsi="Times New Roman" w:cs="Times New Roman"/>
          <w:b/>
          <w:bCs/>
          <w:color w:val="222222"/>
          <w:u w:val="single"/>
          <w:shd w:val="clear" w:color="auto" w:fill="FFFFFF"/>
        </w:rPr>
      </w:pPr>
      <w:bookmarkStart w:id="0" w:name="_Hlk95321370"/>
      <w:r w:rsidRPr="00E95E6D">
        <w:rPr>
          <w:rFonts w:ascii="Times New Roman" w:hAnsi="Times New Roman" w:cs="Times New Roman"/>
          <w:b/>
          <w:bCs/>
          <w:color w:val="222222"/>
          <w:u w:val="single"/>
          <w:shd w:val="clear" w:color="auto" w:fill="FFFFFF"/>
        </w:rPr>
        <w:t xml:space="preserve">A </w:t>
      </w:r>
      <w:r w:rsidR="00C349E1" w:rsidRPr="00E95E6D">
        <w:rPr>
          <w:rFonts w:ascii="Times New Roman" w:hAnsi="Times New Roman" w:cs="Times New Roman"/>
          <w:b/>
          <w:bCs/>
          <w:color w:val="222222"/>
          <w:u w:val="single"/>
          <w:shd w:val="clear" w:color="auto" w:fill="FFFFFF"/>
        </w:rPr>
        <w:t>C</w:t>
      </w:r>
      <w:r w:rsidRPr="00E95E6D">
        <w:rPr>
          <w:rFonts w:ascii="Times New Roman" w:hAnsi="Times New Roman" w:cs="Times New Roman"/>
          <w:b/>
          <w:bCs/>
          <w:color w:val="222222"/>
          <w:u w:val="single"/>
          <w:shd w:val="clear" w:color="auto" w:fill="FFFFFF"/>
        </w:rPr>
        <w:t xml:space="preserve">ritical </w:t>
      </w:r>
      <w:r w:rsidR="00C349E1" w:rsidRPr="00E95E6D">
        <w:rPr>
          <w:rFonts w:ascii="Times New Roman" w:hAnsi="Times New Roman" w:cs="Times New Roman"/>
          <w:b/>
          <w:bCs/>
          <w:color w:val="222222"/>
          <w:u w:val="single"/>
          <w:shd w:val="clear" w:color="auto" w:fill="FFFFFF"/>
        </w:rPr>
        <w:t>A</w:t>
      </w:r>
      <w:r w:rsidRPr="00E95E6D">
        <w:rPr>
          <w:rFonts w:ascii="Times New Roman" w:hAnsi="Times New Roman" w:cs="Times New Roman"/>
          <w:b/>
          <w:bCs/>
          <w:color w:val="222222"/>
          <w:u w:val="single"/>
          <w:shd w:val="clear" w:color="auto" w:fill="FFFFFF"/>
        </w:rPr>
        <w:t>nalysis of the CoCo, JudgeCo or </w:t>
      </w:r>
      <w:r w:rsidRPr="00E95E6D">
        <w:rPr>
          <w:rStyle w:val="il"/>
          <w:rFonts w:ascii="Times New Roman" w:hAnsi="Times New Roman" w:cs="Times New Roman"/>
          <w:b/>
          <w:bCs/>
          <w:color w:val="222222"/>
          <w:u w:val="single"/>
          <w:shd w:val="clear" w:color="auto" w:fill="FFFFFF"/>
        </w:rPr>
        <w:t>JIN</w:t>
      </w:r>
      <w:r w:rsidRPr="00E95E6D">
        <w:rPr>
          <w:rFonts w:ascii="Times New Roman" w:hAnsi="Times New Roman" w:cs="Times New Roman"/>
          <w:b/>
          <w:bCs/>
          <w:color w:val="222222"/>
          <w:u w:val="single"/>
          <w:shd w:val="clear" w:color="auto" w:fill="FFFFFF"/>
        </w:rPr>
        <w:t> Guidelines</w:t>
      </w:r>
      <w:r w:rsidR="00C349E1" w:rsidRPr="00E95E6D">
        <w:rPr>
          <w:rFonts w:ascii="Times New Roman" w:hAnsi="Times New Roman" w:cs="Times New Roman"/>
          <w:b/>
          <w:bCs/>
          <w:color w:val="222222"/>
          <w:u w:val="single"/>
          <w:shd w:val="clear" w:color="auto" w:fill="FFFFFF"/>
        </w:rPr>
        <w:t xml:space="preserve"> (collectively the “Guidelines”)</w:t>
      </w:r>
    </w:p>
    <w:bookmarkEnd w:id="0" w:displacedByCustomXml="next"/>
    <w:sdt>
      <w:sdtPr>
        <w:rPr>
          <w:rFonts w:ascii="Times New Roman" w:hAnsi="Times New Roman" w:cs="Times New Roman"/>
          <w:sz w:val="22"/>
          <w:szCs w:val="22"/>
        </w:rPr>
        <w:id w:val="-422953230"/>
        <w:docPartObj>
          <w:docPartGallery w:val="Table of Contents"/>
          <w:docPartUnique/>
        </w:docPartObj>
      </w:sdtPr>
      <w:sdtEndPr>
        <w:rPr>
          <w:rFonts w:eastAsiaTheme="minorHAnsi"/>
          <w:color w:val="auto"/>
          <w:lang w:val="en-GB"/>
        </w:rPr>
      </w:sdtEndPr>
      <w:sdtContent>
        <w:p w14:paraId="24A2EE23" w14:textId="5316259C" w:rsidR="00C349E1" w:rsidRPr="00E95E6D" w:rsidRDefault="00C349E1" w:rsidP="00E672F7">
          <w:pPr>
            <w:pStyle w:val="TOCHeading"/>
            <w:spacing w:after="240"/>
            <w:jc w:val="center"/>
            <w:rPr>
              <w:rFonts w:ascii="Times New Roman" w:hAnsi="Times New Roman" w:cs="Times New Roman"/>
              <w:color w:val="auto"/>
              <w:sz w:val="22"/>
              <w:szCs w:val="22"/>
              <w:u w:val="single"/>
            </w:rPr>
          </w:pPr>
          <w:r w:rsidRPr="00E95E6D">
            <w:rPr>
              <w:rFonts w:ascii="Times New Roman" w:hAnsi="Times New Roman" w:cs="Times New Roman"/>
              <w:color w:val="auto"/>
              <w:sz w:val="22"/>
              <w:szCs w:val="22"/>
              <w:u w:val="single"/>
            </w:rPr>
            <w:t>Table of Contents</w:t>
          </w:r>
        </w:p>
        <w:p w14:paraId="199675C1" w14:textId="7B55C97E" w:rsidR="00C349E1" w:rsidRPr="00E95E6D" w:rsidRDefault="00C349E1" w:rsidP="007E6F97">
          <w:pPr>
            <w:pStyle w:val="TOC1"/>
            <w:rPr>
              <w:sz w:val="22"/>
              <w:szCs w:val="22"/>
            </w:rPr>
          </w:pPr>
          <w:r w:rsidRPr="00E95E6D">
            <w:rPr>
              <w:sz w:val="22"/>
              <w:szCs w:val="22"/>
            </w:rPr>
            <w:t>Introduction</w:t>
          </w:r>
          <w:r w:rsidR="00E95E6D" w:rsidRPr="00E95E6D">
            <w:rPr>
              <w:b w:val="0"/>
              <w:bCs w:val="0"/>
              <w:sz w:val="22"/>
              <w:szCs w:val="22"/>
            </w:rPr>
            <w:t>……………………………………………………………………….</w:t>
          </w:r>
          <w:r w:rsidRPr="00E95E6D">
            <w:rPr>
              <w:b w:val="0"/>
              <w:bCs w:val="0"/>
              <w:sz w:val="22"/>
              <w:szCs w:val="22"/>
            </w:rPr>
            <w:t>1</w:t>
          </w:r>
        </w:p>
        <w:p w14:paraId="28C81697" w14:textId="115307F7" w:rsidR="00C349E1" w:rsidRPr="00E95E6D" w:rsidRDefault="006C7B12" w:rsidP="007E6F97">
          <w:pPr>
            <w:pStyle w:val="TOC1"/>
            <w:rPr>
              <w:sz w:val="22"/>
              <w:szCs w:val="22"/>
            </w:rPr>
          </w:pPr>
          <w:r w:rsidRPr="00E95E6D">
            <w:rPr>
              <w:sz w:val="22"/>
              <w:szCs w:val="22"/>
            </w:rPr>
            <w:t xml:space="preserve">Key Features and </w:t>
          </w:r>
          <w:r w:rsidR="00C349E1" w:rsidRPr="00E95E6D">
            <w:rPr>
              <w:sz w:val="22"/>
              <w:szCs w:val="22"/>
            </w:rPr>
            <w:t>Benefits of the Guidelines</w:t>
          </w:r>
          <w:r w:rsidR="007E6F97" w:rsidRPr="00E95E6D">
            <w:rPr>
              <w:sz w:val="22"/>
              <w:szCs w:val="22"/>
            </w:rPr>
            <w:t xml:space="preserve"> </w:t>
          </w:r>
          <w:r w:rsidR="00C349E1" w:rsidRPr="00E95E6D">
            <w:rPr>
              <w:b w:val="0"/>
              <w:bCs w:val="0"/>
              <w:sz w:val="22"/>
              <w:szCs w:val="22"/>
            </w:rPr>
            <w:t>…………………………………..</w:t>
          </w:r>
          <w:r w:rsidR="00E95E6D" w:rsidRPr="00E95E6D">
            <w:rPr>
              <w:b w:val="0"/>
              <w:bCs w:val="0"/>
              <w:sz w:val="22"/>
              <w:szCs w:val="22"/>
            </w:rPr>
            <w:t>.</w:t>
          </w:r>
          <w:r w:rsidR="007E6F97" w:rsidRPr="00E95E6D">
            <w:rPr>
              <w:b w:val="0"/>
              <w:bCs w:val="0"/>
              <w:sz w:val="22"/>
              <w:szCs w:val="22"/>
            </w:rPr>
            <w:t>4</w:t>
          </w:r>
        </w:p>
        <w:p w14:paraId="4C1A7224" w14:textId="3C15BAD4" w:rsidR="006C7B12" w:rsidRPr="00E95E6D" w:rsidRDefault="006C7B12" w:rsidP="006C7B12">
          <w:pPr>
            <w:pStyle w:val="ListParagraph"/>
            <w:numPr>
              <w:ilvl w:val="0"/>
              <w:numId w:val="13"/>
            </w:numPr>
            <w:ind w:firstLine="414"/>
            <w:rPr>
              <w:rFonts w:ascii="Times New Roman" w:hAnsi="Times New Roman" w:cs="Times New Roman"/>
              <w:lang w:val="en-US"/>
            </w:rPr>
          </w:pPr>
          <w:r w:rsidRPr="00E95E6D">
            <w:rPr>
              <w:rFonts w:ascii="Times New Roman" w:hAnsi="Times New Roman" w:cs="Times New Roman"/>
              <w:lang w:val="en-US"/>
            </w:rPr>
            <w:t>Costs and Efficiency</w:t>
          </w:r>
          <w:r w:rsidR="007E6F97" w:rsidRPr="00E95E6D">
            <w:rPr>
              <w:rFonts w:ascii="Times New Roman" w:hAnsi="Times New Roman" w:cs="Times New Roman"/>
              <w:lang w:val="en-US"/>
            </w:rPr>
            <w:t xml:space="preserve"> …………………………………………………………..4</w:t>
          </w:r>
        </w:p>
        <w:p w14:paraId="3CD8B723" w14:textId="57CD7ACB" w:rsidR="006C7B12" w:rsidRPr="00E95E6D" w:rsidRDefault="006C7B12" w:rsidP="006C7B12">
          <w:pPr>
            <w:pStyle w:val="ListParagraph"/>
            <w:numPr>
              <w:ilvl w:val="0"/>
              <w:numId w:val="13"/>
            </w:numPr>
            <w:ind w:firstLine="414"/>
            <w:rPr>
              <w:rFonts w:ascii="Times New Roman" w:hAnsi="Times New Roman" w:cs="Times New Roman"/>
              <w:lang w:val="en-US"/>
            </w:rPr>
          </w:pPr>
          <w:r w:rsidRPr="00E95E6D">
            <w:rPr>
              <w:rFonts w:ascii="Times New Roman" w:hAnsi="Times New Roman" w:cs="Times New Roman"/>
              <w:lang w:val="en-US"/>
            </w:rPr>
            <w:t>Transparency and Due Notice</w:t>
          </w:r>
          <w:r w:rsidR="007E6F97" w:rsidRPr="00E95E6D">
            <w:rPr>
              <w:rFonts w:ascii="Times New Roman" w:hAnsi="Times New Roman" w:cs="Times New Roman"/>
              <w:lang w:val="en-US"/>
            </w:rPr>
            <w:t>…………………………………………………</w:t>
          </w:r>
          <w:r w:rsidR="000F3020">
            <w:rPr>
              <w:rFonts w:ascii="Times New Roman" w:hAnsi="Times New Roman" w:cs="Times New Roman"/>
              <w:lang w:val="en-US"/>
            </w:rPr>
            <w:t>5</w:t>
          </w:r>
        </w:p>
        <w:p w14:paraId="029567ED" w14:textId="3E2E5E8D" w:rsidR="006C7B12" w:rsidRPr="00E95E6D" w:rsidRDefault="006C7B12" w:rsidP="006C7B12">
          <w:pPr>
            <w:pStyle w:val="ListParagraph"/>
            <w:numPr>
              <w:ilvl w:val="0"/>
              <w:numId w:val="13"/>
            </w:numPr>
            <w:ind w:firstLine="414"/>
            <w:rPr>
              <w:rFonts w:ascii="Times New Roman" w:hAnsi="Times New Roman" w:cs="Times New Roman"/>
              <w:lang w:val="en-US"/>
            </w:rPr>
          </w:pPr>
          <w:r w:rsidRPr="00E95E6D">
            <w:rPr>
              <w:rFonts w:ascii="Times New Roman" w:hAnsi="Times New Roman" w:cs="Times New Roman"/>
              <w:lang w:val="en-US"/>
            </w:rPr>
            <w:t>Right of Audience for Foreign Representatives</w:t>
          </w:r>
          <w:r w:rsidR="007E6F97" w:rsidRPr="00E95E6D">
            <w:rPr>
              <w:rFonts w:ascii="Times New Roman" w:hAnsi="Times New Roman" w:cs="Times New Roman"/>
              <w:lang w:val="en-US"/>
            </w:rPr>
            <w:t>……………………………….</w:t>
          </w:r>
          <w:r w:rsidR="000F3020">
            <w:rPr>
              <w:rFonts w:ascii="Times New Roman" w:hAnsi="Times New Roman" w:cs="Times New Roman"/>
              <w:lang w:val="en-US"/>
            </w:rPr>
            <w:t>6</w:t>
          </w:r>
        </w:p>
        <w:p w14:paraId="705C999B" w14:textId="481A656A" w:rsidR="00C349E1" w:rsidRPr="00E95E6D" w:rsidRDefault="00C349E1" w:rsidP="007E6F97">
          <w:pPr>
            <w:pStyle w:val="TOC1"/>
            <w:rPr>
              <w:sz w:val="22"/>
              <w:szCs w:val="22"/>
            </w:rPr>
          </w:pPr>
          <w:r w:rsidRPr="00E95E6D">
            <w:rPr>
              <w:sz w:val="22"/>
              <w:szCs w:val="22"/>
            </w:rPr>
            <w:t>Critical Assessment and Impact</w:t>
          </w:r>
          <w:r w:rsidRPr="000F3020">
            <w:rPr>
              <w:b w:val="0"/>
              <w:bCs w:val="0"/>
              <w:sz w:val="22"/>
              <w:szCs w:val="22"/>
            </w:rPr>
            <w:t>…………………………………………………</w:t>
          </w:r>
          <w:r w:rsidR="000F3020" w:rsidRPr="000F3020">
            <w:rPr>
              <w:b w:val="0"/>
              <w:bCs w:val="0"/>
              <w:sz w:val="22"/>
              <w:szCs w:val="22"/>
            </w:rPr>
            <w:t>7</w:t>
          </w:r>
        </w:p>
        <w:p w14:paraId="50E4376F" w14:textId="64535D6E" w:rsidR="006C7B12" w:rsidRPr="00E95E6D" w:rsidRDefault="006C7B12" w:rsidP="006C7B12">
          <w:pPr>
            <w:pStyle w:val="ListParagraph"/>
            <w:numPr>
              <w:ilvl w:val="0"/>
              <w:numId w:val="14"/>
            </w:numPr>
            <w:ind w:firstLine="414"/>
            <w:rPr>
              <w:rFonts w:ascii="Times New Roman" w:hAnsi="Times New Roman" w:cs="Times New Roman"/>
              <w:lang w:val="en-US"/>
            </w:rPr>
          </w:pPr>
          <w:r w:rsidRPr="00E95E6D">
            <w:rPr>
              <w:rFonts w:ascii="Times New Roman" w:hAnsi="Times New Roman" w:cs="Times New Roman"/>
              <w:lang w:val="en-US"/>
            </w:rPr>
            <w:t>The Question of Adoption</w:t>
          </w:r>
          <w:r w:rsidR="007E6F97" w:rsidRPr="00E95E6D">
            <w:rPr>
              <w:rFonts w:ascii="Times New Roman" w:hAnsi="Times New Roman" w:cs="Times New Roman"/>
              <w:lang w:val="en-US"/>
            </w:rPr>
            <w:t>…………………………………………………….</w:t>
          </w:r>
          <w:r w:rsidR="000F3020">
            <w:rPr>
              <w:rFonts w:ascii="Times New Roman" w:hAnsi="Times New Roman" w:cs="Times New Roman"/>
              <w:lang w:val="en-US"/>
            </w:rPr>
            <w:t>.7</w:t>
          </w:r>
        </w:p>
        <w:p w14:paraId="21D44E8B" w14:textId="0A189D61" w:rsidR="006C7B12" w:rsidRPr="00E95E6D" w:rsidRDefault="006C7B12" w:rsidP="006C7B12">
          <w:pPr>
            <w:pStyle w:val="ListParagraph"/>
            <w:numPr>
              <w:ilvl w:val="0"/>
              <w:numId w:val="14"/>
            </w:numPr>
            <w:ind w:firstLine="414"/>
            <w:rPr>
              <w:rFonts w:ascii="Times New Roman" w:hAnsi="Times New Roman" w:cs="Times New Roman"/>
              <w:lang w:val="en-US"/>
            </w:rPr>
          </w:pPr>
          <w:r w:rsidRPr="00E95E6D">
            <w:rPr>
              <w:rFonts w:ascii="Times New Roman" w:hAnsi="Times New Roman" w:cs="Times New Roman"/>
              <w:lang w:val="en-US"/>
            </w:rPr>
            <w:t>The Disincentives of Professionals</w:t>
          </w:r>
          <w:r w:rsidR="007E6F97" w:rsidRPr="00E95E6D">
            <w:rPr>
              <w:rFonts w:ascii="Times New Roman" w:hAnsi="Times New Roman" w:cs="Times New Roman"/>
              <w:lang w:val="en-US"/>
            </w:rPr>
            <w:t>…………………………………………</w:t>
          </w:r>
          <w:r w:rsidR="000F3020">
            <w:rPr>
              <w:rFonts w:ascii="Times New Roman" w:hAnsi="Times New Roman" w:cs="Times New Roman"/>
              <w:lang w:val="en-US"/>
            </w:rPr>
            <w:t>…9</w:t>
          </w:r>
        </w:p>
        <w:p w14:paraId="563219FF" w14:textId="3CB27DD3" w:rsidR="006C7B12" w:rsidRPr="00E95E6D" w:rsidRDefault="006C7B12" w:rsidP="006C7B12">
          <w:pPr>
            <w:pStyle w:val="ListParagraph"/>
            <w:numPr>
              <w:ilvl w:val="0"/>
              <w:numId w:val="14"/>
            </w:numPr>
            <w:ind w:firstLine="414"/>
            <w:rPr>
              <w:rFonts w:ascii="Times New Roman" w:hAnsi="Times New Roman" w:cs="Times New Roman"/>
              <w:lang w:val="en-US"/>
            </w:rPr>
          </w:pPr>
          <w:r w:rsidRPr="00E95E6D">
            <w:rPr>
              <w:rFonts w:ascii="Times New Roman" w:hAnsi="Times New Roman" w:cs="Times New Roman"/>
              <w:lang w:val="en-US"/>
            </w:rPr>
            <w:t>No Impact on Substantive Law</w:t>
          </w:r>
          <w:r w:rsidR="007E6F97" w:rsidRPr="00E95E6D">
            <w:rPr>
              <w:rFonts w:ascii="Times New Roman" w:hAnsi="Times New Roman" w:cs="Times New Roman"/>
              <w:lang w:val="en-US"/>
            </w:rPr>
            <w:t>………………………………………………1</w:t>
          </w:r>
          <w:r w:rsidR="000F3020">
            <w:rPr>
              <w:rFonts w:ascii="Times New Roman" w:hAnsi="Times New Roman" w:cs="Times New Roman"/>
              <w:lang w:val="en-US"/>
            </w:rPr>
            <w:t>0</w:t>
          </w:r>
        </w:p>
        <w:p w14:paraId="726A6379" w14:textId="56238047" w:rsidR="00C349E1" w:rsidRPr="00E95E6D" w:rsidRDefault="00C349E1" w:rsidP="007E6F97">
          <w:pPr>
            <w:pStyle w:val="TOC1"/>
            <w:rPr>
              <w:sz w:val="22"/>
              <w:szCs w:val="22"/>
            </w:rPr>
          </w:pPr>
          <w:r w:rsidRPr="00E95E6D">
            <w:rPr>
              <w:sz w:val="22"/>
              <w:szCs w:val="22"/>
            </w:rPr>
            <w:t>Conclusion</w:t>
          </w:r>
          <w:r w:rsidRPr="00383B28">
            <w:rPr>
              <w:b w:val="0"/>
              <w:bCs w:val="0"/>
              <w:sz w:val="22"/>
              <w:szCs w:val="22"/>
            </w:rPr>
            <w:t>……………………………………………………………………….</w:t>
          </w:r>
          <w:r w:rsidR="007E6F97" w:rsidRPr="00383B28">
            <w:rPr>
              <w:b w:val="0"/>
              <w:bCs w:val="0"/>
              <w:sz w:val="22"/>
              <w:szCs w:val="22"/>
            </w:rPr>
            <w:t xml:space="preserve"> 1</w:t>
          </w:r>
          <w:r w:rsidR="00383B28" w:rsidRPr="00383B28">
            <w:rPr>
              <w:b w:val="0"/>
              <w:bCs w:val="0"/>
              <w:sz w:val="22"/>
              <w:szCs w:val="22"/>
            </w:rPr>
            <w:t>1</w:t>
          </w:r>
        </w:p>
        <w:p w14:paraId="5039CF0C" w14:textId="417129BC" w:rsidR="00C349E1" w:rsidRPr="00383B28" w:rsidRDefault="00C349E1" w:rsidP="007E6F97">
          <w:pPr>
            <w:pStyle w:val="TOC1"/>
            <w:rPr>
              <w:b w:val="0"/>
              <w:bCs w:val="0"/>
              <w:sz w:val="22"/>
              <w:szCs w:val="22"/>
            </w:rPr>
          </w:pPr>
          <w:r w:rsidRPr="00E95E6D">
            <w:rPr>
              <w:sz w:val="22"/>
              <w:szCs w:val="22"/>
            </w:rPr>
            <w:t>Bibliography</w:t>
          </w:r>
          <w:r w:rsidRPr="00383B28">
            <w:rPr>
              <w:b w:val="0"/>
              <w:bCs w:val="0"/>
              <w:sz w:val="22"/>
              <w:szCs w:val="22"/>
            </w:rPr>
            <w:t>…………………………………………………………………….</w:t>
          </w:r>
          <w:r w:rsidR="00383B28">
            <w:rPr>
              <w:b w:val="0"/>
              <w:bCs w:val="0"/>
              <w:sz w:val="22"/>
              <w:szCs w:val="22"/>
            </w:rPr>
            <w:t>..</w:t>
          </w:r>
          <w:r w:rsidR="007E6F97" w:rsidRPr="00383B28">
            <w:rPr>
              <w:b w:val="0"/>
              <w:bCs w:val="0"/>
              <w:sz w:val="22"/>
              <w:szCs w:val="22"/>
            </w:rPr>
            <w:t>1</w:t>
          </w:r>
          <w:r w:rsidR="00383B28" w:rsidRPr="00383B28">
            <w:rPr>
              <w:b w:val="0"/>
              <w:bCs w:val="0"/>
              <w:sz w:val="22"/>
              <w:szCs w:val="22"/>
            </w:rPr>
            <w:t>2</w:t>
          </w:r>
        </w:p>
        <w:p w14:paraId="2D0B9727" w14:textId="77777777" w:rsidR="00C349E1" w:rsidRPr="00E95E6D" w:rsidRDefault="00C349E1" w:rsidP="00C349E1">
          <w:pPr>
            <w:rPr>
              <w:lang w:val="en-US"/>
            </w:rPr>
          </w:pPr>
        </w:p>
        <w:p w14:paraId="6D95051D" w14:textId="6126B6C0" w:rsidR="002325FC" w:rsidRPr="00E95E6D" w:rsidRDefault="00C349E1" w:rsidP="00E672F7">
          <w:pPr>
            <w:rPr>
              <w:rFonts w:ascii="Times New Roman" w:hAnsi="Times New Roman" w:cs="Times New Roman"/>
              <w:b/>
              <w:bCs/>
              <w:color w:val="222222"/>
              <w:shd w:val="clear" w:color="auto" w:fill="FFFFFF"/>
            </w:rPr>
          </w:pPr>
        </w:p>
      </w:sdtContent>
    </w:sdt>
    <w:p w14:paraId="253B0BD5" w14:textId="1F25CE77" w:rsidR="00FC7F5D" w:rsidRDefault="00FC7F5D" w:rsidP="00E95E6D">
      <w:pPr>
        <w:pStyle w:val="ListParagraph"/>
        <w:numPr>
          <w:ilvl w:val="0"/>
          <w:numId w:val="3"/>
        </w:numPr>
        <w:spacing w:line="360" w:lineRule="auto"/>
        <w:ind w:left="567" w:hanging="283"/>
        <w:rPr>
          <w:rFonts w:ascii="Times New Roman" w:hAnsi="Times New Roman" w:cs="Times New Roman"/>
          <w:b/>
          <w:bCs/>
          <w:color w:val="222222"/>
          <w:u w:val="single"/>
          <w:shd w:val="clear" w:color="auto" w:fill="FFFFFF"/>
        </w:rPr>
      </w:pPr>
      <w:r w:rsidRPr="00E95E6D">
        <w:rPr>
          <w:rFonts w:ascii="Times New Roman" w:hAnsi="Times New Roman" w:cs="Times New Roman"/>
          <w:b/>
          <w:bCs/>
          <w:color w:val="222222"/>
          <w:u w:val="single"/>
          <w:shd w:val="clear" w:color="auto" w:fill="FFFFFF"/>
        </w:rPr>
        <w:t>Introduction</w:t>
      </w:r>
    </w:p>
    <w:p w14:paraId="086E7A35" w14:textId="77777777" w:rsidR="00E95E6D" w:rsidRPr="00E95E6D" w:rsidRDefault="00E95E6D" w:rsidP="00E95E6D">
      <w:pPr>
        <w:pStyle w:val="ListParagraph"/>
        <w:spacing w:line="360" w:lineRule="auto"/>
        <w:ind w:left="567"/>
        <w:rPr>
          <w:rFonts w:ascii="Times New Roman" w:hAnsi="Times New Roman" w:cs="Times New Roman"/>
          <w:b/>
          <w:bCs/>
          <w:color w:val="222222"/>
          <w:u w:val="single"/>
          <w:shd w:val="clear" w:color="auto" w:fill="FFFFFF"/>
        </w:rPr>
      </w:pPr>
    </w:p>
    <w:p w14:paraId="5172B667" w14:textId="38C94B9A" w:rsidR="00771F22" w:rsidRPr="00E95E6D" w:rsidRDefault="00771F22" w:rsidP="00E672F7">
      <w:pPr>
        <w:pStyle w:val="ListParagraph"/>
        <w:numPr>
          <w:ilvl w:val="0"/>
          <w:numId w:val="1"/>
        </w:numPr>
        <w:spacing w:line="360" w:lineRule="auto"/>
        <w:ind w:left="567" w:hanging="425"/>
        <w:jc w:val="both"/>
        <w:rPr>
          <w:rFonts w:ascii="Times New Roman" w:hAnsi="Times New Roman" w:cs="Times New Roman"/>
          <w:b/>
          <w:bCs/>
          <w:u w:val="single"/>
        </w:rPr>
      </w:pPr>
      <w:r w:rsidRPr="00E95E6D">
        <w:rPr>
          <w:rFonts w:ascii="Times New Roman" w:hAnsi="Times New Roman" w:cs="Times New Roman"/>
        </w:rPr>
        <w:t xml:space="preserve">Various factors have prevented the kind of seamless regime that exists for international commercial arbitration from being replicated in the context of </w:t>
      </w:r>
      <w:r w:rsidR="00C66F1E" w:rsidRPr="00E95E6D">
        <w:rPr>
          <w:rFonts w:ascii="Times New Roman" w:hAnsi="Times New Roman" w:cs="Times New Roman"/>
        </w:rPr>
        <w:t>cross border restructuring and insolvency (CBRI)</w:t>
      </w:r>
      <w:r w:rsidRPr="00E95E6D">
        <w:rPr>
          <w:rFonts w:ascii="Times New Roman" w:hAnsi="Times New Roman" w:cs="Times New Roman"/>
        </w:rPr>
        <w:t xml:space="preserve"> proceedings</w:t>
      </w:r>
      <w:r w:rsidR="00D0518C" w:rsidRPr="00E95E6D">
        <w:rPr>
          <w:rFonts w:ascii="Times New Roman" w:hAnsi="Times New Roman" w:cs="Times New Roman"/>
        </w:rPr>
        <w:t>. These</w:t>
      </w:r>
      <w:r w:rsidRPr="00E95E6D">
        <w:rPr>
          <w:rFonts w:ascii="Times New Roman" w:hAnsi="Times New Roman" w:cs="Times New Roman"/>
        </w:rPr>
        <w:t xml:space="preserve"> includ</w:t>
      </w:r>
      <w:r w:rsidR="00D0518C" w:rsidRPr="00E95E6D">
        <w:rPr>
          <w:rFonts w:ascii="Times New Roman" w:hAnsi="Times New Roman" w:cs="Times New Roman"/>
        </w:rPr>
        <w:t>e</w:t>
      </w:r>
      <w:r w:rsidRPr="00E95E6D">
        <w:rPr>
          <w:rFonts w:ascii="Times New Roman" w:hAnsi="Times New Roman" w:cs="Times New Roman"/>
        </w:rPr>
        <w:t xml:space="preserve"> divergences in how different jurisdictions</w:t>
      </w:r>
      <w:r w:rsidR="00754B2D" w:rsidRPr="00E95E6D">
        <w:rPr>
          <w:rFonts w:ascii="Times New Roman" w:hAnsi="Times New Roman" w:cs="Times New Roman"/>
        </w:rPr>
        <w:t xml:space="preserve"> </w:t>
      </w:r>
      <w:r w:rsidRPr="00E95E6D">
        <w:rPr>
          <w:rFonts w:ascii="Times New Roman" w:hAnsi="Times New Roman" w:cs="Times New Roman"/>
        </w:rPr>
        <w:t>treat</w:t>
      </w:r>
      <w:r w:rsidR="00754B2D" w:rsidRPr="00E95E6D">
        <w:rPr>
          <w:rFonts w:ascii="Times New Roman" w:hAnsi="Times New Roman" w:cs="Times New Roman"/>
        </w:rPr>
        <w:t xml:space="preserve"> the allocation of </w:t>
      </w:r>
      <w:r w:rsidR="00343657" w:rsidRPr="00E95E6D">
        <w:rPr>
          <w:rFonts w:ascii="Times New Roman" w:hAnsi="Times New Roman" w:cs="Times New Roman"/>
        </w:rPr>
        <w:t>creditors</w:t>
      </w:r>
      <w:r w:rsidR="00754B2D" w:rsidRPr="00E95E6D">
        <w:rPr>
          <w:rFonts w:ascii="Times New Roman" w:hAnsi="Times New Roman" w:cs="Times New Roman"/>
        </w:rPr>
        <w:t xml:space="preserve"> and stakeholders’ claims</w:t>
      </w:r>
      <w:r w:rsidRPr="00E95E6D">
        <w:rPr>
          <w:rFonts w:ascii="Times New Roman" w:hAnsi="Times New Roman" w:cs="Times New Roman"/>
        </w:rPr>
        <w:t xml:space="preserve"> </w:t>
      </w:r>
      <w:r w:rsidR="00754B2D" w:rsidRPr="00E95E6D">
        <w:rPr>
          <w:rFonts w:ascii="Times New Roman" w:hAnsi="Times New Roman" w:cs="Times New Roman"/>
        </w:rPr>
        <w:t>in such collective proceedings. Sensitive policy and political considerations also sometimes come into play, as a major corporate insolvency could have a wide-reaching impact on the economy, social stability and labour relations.</w:t>
      </w:r>
      <w:r w:rsidR="00754B2D" w:rsidRPr="00E95E6D">
        <w:rPr>
          <w:rStyle w:val="FootnoteReference"/>
          <w:rFonts w:ascii="Times New Roman" w:hAnsi="Times New Roman" w:cs="Times New Roman"/>
        </w:rPr>
        <w:footnoteReference w:id="1"/>
      </w:r>
      <w:r w:rsidR="00754B2D" w:rsidRPr="00E95E6D">
        <w:rPr>
          <w:rFonts w:ascii="Times New Roman" w:hAnsi="Times New Roman" w:cs="Times New Roman"/>
        </w:rPr>
        <w:t xml:space="preserve"> </w:t>
      </w:r>
    </w:p>
    <w:p w14:paraId="1D3124A1" w14:textId="77777777" w:rsidR="00754B2D" w:rsidRPr="00E95E6D" w:rsidRDefault="00754B2D" w:rsidP="00E672F7">
      <w:pPr>
        <w:pStyle w:val="ListParagraph"/>
        <w:ind w:left="567" w:hanging="425"/>
        <w:rPr>
          <w:rFonts w:ascii="Times New Roman" w:hAnsi="Times New Roman" w:cs="Times New Roman"/>
          <w:b/>
          <w:bCs/>
          <w:u w:val="single"/>
        </w:rPr>
      </w:pPr>
    </w:p>
    <w:p w14:paraId="2BBD6DFC" w14:textId="1D6627B1" w:rsidR="00754B2D" w:rsidRPr="00E95E6D" w:rsidRDefault="00754B2D" w:rsidP="00E672F7">
      <w:pPr>
        <w:pStyle w:val="ListParagraph"/>
        <w:numPr>
          <w:ilvl w:val="0"/>
          <w:numId w:val="1"/>
        </w:numPr>
        <w:spacing w:line="360" w:lineRule="auto"/>
        <w:ind w:left="567" w:hanging="425"/>
        <w:jc w:val="both"/>
        <w:rPr>
          <w:rFonts w:ascii="Times New Roman" w:hAnsi="Times New Roman" w:cs="Times New Roman"/>
          <w:b/>
          <w:bCs/>
          <w:u w:val="single"/>
        </w:rPr>
      </w:pPr>
      <w:r w:rsidRPr="00E95E6D">
        <w:rPr>
          <w:rFonts w:ascii="Times New Roman" w:hAnsi="Times New Roman" w:cs="Times New Roman"/>
        </w:rPr>
        <w:t>There is, however, broad acceptance that co-operation and co-ordination between courts and practitioners across jurisdictions will help to minimise additional transaction costs that arise when a restructuring or insolvency proceeding has cross-border elements.</w:t>
      </w:r>
      <w:r w:rsidRPr="00E95E6D">
        <w:rPr>
          <w:rStyle w:val="FootnoteReference"/>
          <w:rFonts w:ascii="Times New Roman" w:hAnsi="Times New Roman" w:cs="Times New Roman"/>
        </w:rPr>
        <w:footnoteReference w:id="2"/>
      </w:r>
      <w:r w:rsidRPr="00E95E6D">
        <w:rPr>
          <w:rFonts w:ascii="Times New Roman" w:hAnsi="Times New Roman" w:cs="Times New Roman"/>
        </w:rPr>
        <w:t xml:space="preserve"> </w:t>
      </w:r>
      <w:r w:rsidR="00ED0AA5" w:rsidRPr="00E95E6D">
        <w:rPr>
          <w:rFonts w:ascii="Times New Roman" w:hAnsi="Times New Roman" w:cs="Times New Roman"/>
        </w:rPr>
        <w:t>There should also be little debate that</w:t>
      </w:r>
      <w:r w:rsidR="00C66F1E" w:rsidRPr="00E95E6D">
        <w:rPr>
          <w:rFonts w:ascii="Times New Roman" w:hAnsi="Times New Roman" w:cs="Times New Roman"/>
        </w:rPr>
        <w:t xml:space="preserve"> </w:t>
      </w:r>
      <w:r w:rsidR="00ED0AA5" w:rsidRPr="00E95E6D">
        <w:rPr>
          <w:rFonts w:ascii="Times New Roman" w:hAnsi="Times New Roman" w:cs="Times New Roman"/>
        </w:rPr>
        <w:t xml:space="preserve">effective co-operation and co-ordination between the relevant courts involved in a CBRI will help to preserve </w:t>
      </w:r>
      <w:r w:rsidR="00311A9D" w:rsidRPr="00E95E6D">
        <w:rPr>
          <w:rFonts w:ascii="Times New Roman" w:hAnsi="Times New Roman" w:cs="Times New Roman"/>
        </w:rPr>
        <w:t xml:space="preserve">enterprise </w:t>
      </w:r>
      <w:r w:rsidR="00ED0AA5" w:rsidRPr="00E95E6D">
        <w:rPr>
          <w:rFonts w:ascii="Times New Roman" w:hAnsi="Times New Roman" w:cs="Times New Roman"/>
        </w:rPr>
        <w:t xml:space="preserve">value and maximise recovery, increase transparency, </w:t>
      </w:r>
      <w:r w:rsidR="00311A9D" w:rsidRPr="00E95E6D">
        <w:rPr>
          <w:rFonts w:ascii="Times New Roman" w:hAnsi="Times New Roman" w:cs="Times New Roman"/>
        </w:rPr>
        <w:t xml:space="preserve">and </w:t>
      </w:r>
      <w:r w:rsidR="00ED0AA5" w:rsidRPr="00E95E6D">
        <w:rPr>
          <w:rFonts w:ascii="Times New Roman" w:hAnsi="Times New Roman" w:cs="Times New Roman"/>
        </w:rPr>
        <w:t xml:space="preserve">minimise costs. </w:t>
      </w:r>
    </w:p>
    <w:p w14:paraId="7A07826D" w14:textId="77777777" w:rsidR="00ED0AA5" w:rsidRPr="00E95E6D" w:rsidRDefault="00ED0AA5" w:rsidP="00E672F7">
      <w:pPr>
        <w:pStyle w:val="ListParagraph"/>
        <w:ind w:left="567" w:hanging="425"/>
        <w:rPr>
          <w:rFonts w:ascii="Times New Roman" w:hAnsi="Times New Roman" w:cs="Times New Roman"/>
          <w:b/>
          <w:bCs/>
          <w:u w:val="single"/>
        </w:rPr>
      </w:pPr>
    </w:p>
    <w:p w14:paraId="59EB42EC" w14:textId="7BCCF47E" w:rsidR="00CA498C" w:rsidRPr="00E95E6D" w:rsidRDefault="00C66F1E" w:rsidP="00870FB2">
      <w:pPr>
        <w:pStyle w:val="ListParagraph"/>
        <w:numPr>
          <w:ilvl w:val="0"/>
          <w:numId w:val="1"/>
        </w:numPr>
        <w:spacing w:line="360" w:lineRule="auto"/>
        <w:ind w:left="567" w:hanging="425"/>
        <w:jc w:val="both"/>
        <w:rPr>
          <w:rFonts w:ascii="Times New Roman" w:hAnsi="Times New Roman" w:cs="Times New Roman"/>
        </w:rPr>
      </w:pPr>
      <w:r w:rsidRPr="00E95E6D">
        <w:rPr>
          <w:rFonts w:ascii="Times New Roman" w:hAnsi="Times New Roman" w:cs="Times New Roman"/>
        </w:rPr>
        <w:lastRenderedPageBreak/>
        <w:t>The</w:t>
      </w:r>
      <w:r w:rsidRPr="00E95E6D">
        <w:rPr>
          <w:rFonts w:ascii="Times New Roman" w:hAnsi="Times New Roman" w:cs="Times New Roman"/>
        </w:rPr>
        <w:t xml:space="preserve"> European Communication and Cooperation Guidelines for Cross Border Insolvency (the “</w:t>
      </w:r>
      <w:r w:rsidRPr="00E95E6D">
        <w:rPr>
          <w:rFonts w:ascii="Times New Roman" w:hAnsi="Times New Roman" w:cs="Times New Roman"/>
          <w:b/>
          <w:bCs/>
        </w:rPr>
        <w:t>CoCo Guidelines</w:t>
      </w:r>
      <w:r w:rsidRPr="00E95E6D">
        <w:rPr>
          <w:rFonts w:ascii="Times New Roman" w:hAnsi="Times New Roman" w:cs="Times New Roman"/>
        </w:rPr>
        <w:t>”), the EU Cross-Border Insolvency Court-to-Court Communications Principles and Guidelines (“</w:t>
      </w:r>
      <w:r w:rsidRPr="00E95E6D">
        <w:rPr>
          <w:rFonts w:ascii="Times New Roman" w:hAnsi="Times New Roman" w:cs="Times New Roman"/>
          <w:b/>
          <w:bCs/>
        </w:rPr>
        <w:t>JudgeCo Principles</w:t>
      </w:r>
      <w:r w:rsidRPr="00E95E6D">
        <w:rPr>
          <w:rFonts w:ascii="Times New Roman" w:hAnsi="Times New Roman" w:cs="Times New Roman"/>
        </w:rPr>
        <w:t>”), and the Judicial Insolvency Network Guidelines (the “</w:t>
      </w:r>
      <w:r w:rsidRPr="00E95E6D">
        <w:rPr>
          <w:rFonts w:ascii="Times New Roman" w:hAnsi="Times New Roman" w:cs="Times New Roman"/>
          <w:b/>
          <w:bCs/>
        </w:rPr>
        <w:t>JIN Guidelines</w:t>
      </w:r>
      <w:r w:rsidRPr="00E95E6D">
        <w:rPr>
          <w:rFonts w:ascii="Times New Roman" w:hAnsi="Times New Roman" w:cs="Times New Roman"/>
        </w:rPr>
        <w:t>”) (collectively referred to as “</w:t>
      </w:r>
      <w:r w:rsidRPr="00E95E6D">
        <w:rPr>
          <w:rFonts w:ascii="Times New Roman" w:hAnsi="Times New Roman" w:cs="Times New Roman"/>
          <w:b/>
          <w:bCs/>
        </w:rPr>
        <w:t>Guidelines</w:t>
      </w:r>
      <w:r w:rsidRPr="00E95E6D">
        <w:rPr>
          <w:rFonts w:ascii="Times New Roman" w:hAnsi="Times New Roman" w:cs="Times New Roman"/>
        </w:rPr>
        <w:t>”)</w:t>
      </w:r>
      <w:r w:rsidRPr="00E95E6D">
        <w:rPr>
          <w:rFonts w:ascii="Times New Roman" w:hAnsi="Times New Roman" w:cs="Times New Roman"/>
        </w:rPr>
        <w:t>, all</w:t>
      </w:r>
      <w:r w:rsidR="00ED0AA5" w:rsidRPr="00E95E6D">
        <w:rPr>
          <w:rFonts w:ascii="Times New Roman" w:hAnsi="Times New Roman" w:cs="Times New Roman"/>
        </w:rPr>
        <w:t xml:space="preserve"> seek to encourage and facilitate such co-operation and co-ordination via the implementation of protocols</w:t>
      </w:r>
      <w:r w:rsidR="0005562F" w:rsidRPr="00E95E6D">
        <w:rPr>
          <w:rFonts w:ascii="Times New Roman" w:hAnsi="Times New Roman" w:cs="Times New Roman"/>
        </w:rPr>
        <w:t xml:space="preserve">. </w:t>
      </w:r>
      <w:r w:rsidRPr="00E95E6D">
        <w:rPr>
          <w:rFonts w:ascii="Times New Roman" w:hAnsi="Times New Roman" w:cs="Times New Roman"/>
        </w:rPr>
        <w:t>This short paper seeks to critically examine the effectiveness of the Guidelines in achieving this purpose.</w:t>
      </w:r>
    </w:p>
    <w:p w14:paraId="6AA1BD62" w14:textId="77777777" w:rsidR="00CA498C" w:rsidRPr="00E95E6D" w:rsidRDefault="00CA498C" w:rsidP="00E672F7">
      <w:pPr>
        <w:pStyle w:val="ListParagraph"/>
        <w:spacing w:line="360" w:lineRule="auto"/>
        <w:ind w:left="567" w:hanging="425"/>
        <w:jc w:val="both"/>
        <w:rPr>
          <w:rFonts w:ascii="Times New Roman" w:hAnsi="Times New Roman" w:cs="Times New Roman"/>
        </w:rPr>
      </w:pPr>
    </w:p>
    <w:p w14:paraId="3F2A0857" w14:textId="419737B4" w:rsidR="00E21820" w:rsidRPr="00E95E6D" w:rsidRDefault="00BC7164" w:rsidP="00E672F7">
      <w:pPr>
        <w:pStyle w:val="ListParagraph"/>
        <w:numPr>
          <w:ilvl w:val="0"/>
          <w:numId w:val="1"/>
        </w:numPr>
        <w:spacing w:line="360" w:lineRule="auto"/>
        <w:ind w:left="567" w:hanging="425"/>
        <w:jc w:val="both"/>
        <w:rPr>
          <w:rFonts w:ascii="Times New Roman" w:hAnsi="Times New Roman" w:cs="Times New Roman"/>
        </w:rPr>
      </w:pPr>
      <w:r w:rsidRPr="00E95E6D">
        <w:rPr>
          <w:rFonts w:ascii="Times New Roman" w:hAnsi="Times New Roman" w:cs="Times New Roman"/>
        </w:rPr>
        <w:t>International insolvency protocols are not a recent innovation</w:t>
      </w:r>
      <w:r w:rsidR="001F4310" w:rsidRPr="00E95E6D">
        <w:rPr>
          <w:rFonts w:ascii="Times New Roman" w:hAnsi="Times New Roman" w:cs="Times New Roman"/>
        </w:rPr>
        <w:t>- they were</w:t>
      </w:r>
      <w:r w:rsidR="000606CA" w:rsidRPr="00E95E6D">
        <w:rPr>
          <w:rFonts w:ascii="Times New Roman" w:hAnsi="Times New Roman" w:cs="Times New Roman"/>
        </w:rPr>
        <w:t xml:space="preserve"> introduced </w:t>
      </w:r>
      <w:r w:rsidR="00DA1BC6" w:rsidRPr="00E95E6D">
        <w:rPr>
          <w:rFonts w:ascii="Times New Roman" w:hAnsi="Times New Roman" w:cs="Times New Roman"/>
        </w:rPr>
        <w:t>close to</w:t>
      </w:r>
      <w:r w:rsidR="000606CA" w:rsidRPr="00E95E6D">
        <w:rPr>
          <w:rFonts w:ascii="Times New Roman" w:hAnsi="Times New Roman" w:cs="Times New Roman"/>
        </w:rPr>
        <w:t xml:space="preserve"> t</w:t>
      </w:r>
      <w:r w:rsidR="00DA1BC6" w:rsidRPr="00E95E6D">
        <w:rPr>
          <w:rFonts w:ascii="Times New Roman" w:hAnsi="Times New Roman" w:cs="Times New Roman"/>
        </w:rPr>
        <w:t>hree</w:t>
      </w:r>
      <w:r w:rsidR="000606CA" w:rsidRPr="00E95E6D">
        <w:rPr>
          <w:rFonts w:ascii="Times New Roman" w:hAnsi="Times New Roman" w:cs="Times New Roman"/>
        </w:rPr>
        <w:t xml:space="preserve"> decades ago </w:t>
      </w:r>
      <w:r w:rsidR="0005562F" w:rsidRPr="00E95E6D">
        <w:rPr>
          <w:rFonts w:ascii="Times New Roman" w:hAnsi="Times New Roman" w:cs="Times New Roman"/>
        </w:rPr>
        <w:t xml:space="preserve">with great success </w:t>
      </w:r>
      <w:r w:rsidR="000606CA" w:rsidRPr="00E95E6D">
        <w:rPr>
          <w:rFonts w:ascii="Times New Roman" w:hAnsi="Times New Roman" w:cs="Times New Roman"/>
        </w:rPr>
        <w:t xml:space="preserve">in the </w:t>
      </w:r>
      <w:r w:rsidR="000606CA" w:rsidRPr="00E95E6D">
        <w:rPr>
          <w:rFonts w:ascii="Times New Roman" w:hAnsi="Times New Roman" w:cs="Times New Roman"/>
          <w:i/>
          <w:iCs/>
        </w:rPr>
        <w:t>Maxwell</w:t>
      </w:r>
      <w:r w:rsidR="000606CA" w:rsidRPr="00E95E6D">
        <w:rPr>
          <w:rStyle w:val="FootnoteReference"/>
          <w:rFonts w:ascii="Times New Roman" w:hAnsi="Times New Roman" w:cs="Times New Roman"/>
          <w:i/>
          <w:iCs/>
        </w:rPr>
        <w:footnoteReference w:id="3"/>
      </w:r>
      <w:r w:rsidR="000606CA" w:rsidRPr="00E95E6D">
        <w:rPr>
          <w:rFonts w:ascii="Times New Roman" w:hAnsi="Times New Roman" w:cs="Times New Roman"/>
        </w:rPr>
        <w:t xml:space="preserve">case </w:t>
      </w:r>
      <w:r w:rsidR="00D0518C" w:rsidRPr="00E95E6D">
        <w:rPr>
          <w:rFonts w:ascii="Times New Roman" w:hAnsi="Times New Roman" w:cs="Times New Roman"/>
        </w:rPr>
        <w:t xml:space="preserve">on an </w:t>
      </w:r>
      <w:r w:rsidR="00D0518C" w:rsidRPr="00E95E6D">
        <w:rPr>
          <w:rFonts w:ascii="Times New Roman" w:hAnsi="Times New Roman" w:cs="Times New Roman"/>
          <w:i/>
          <w:iCs/>
        </w:rPr>
        <w:t>ad hoc</w:t>
      </w:r>
      <w:r w:rsidR="00D0518C" w:rsidRPr="00E95E6D">
        <w:rPr>
          <w:rFonts w:ascii="Times New Roman" w:hAnsi="Times New Roman" w:cs="Times New Roman"/>
        </w:rPr>
        <w:t xml:space="preserve"> basis, </w:t>
      </w:r>
      <w:r w:rsidR="000606CA" w:rsidRPr="00E95E6D">
        <w:rPr>
          <w:rFonts w:ascii="Times New Roman" w:hAnsi="Times New Roman" w:cs="Times New Roman"/>
        </w:rPr>
        <w:t xml:space="preserve">out of the pragmatic need to coordinate two </w:t>
      </w:r>
      <w:r w:rsidR="000A7EC0" w:rsidRPr="00E95E6D">
        <w:rPr>
          <w:rFonts w:ascii="Times New Roman" w:hAnsi="Times New Roman" w:cs="Times New Roman"/>
          <w:i/>
          <w:iCs/>
        </w:rPr>
        <w:t xml:space="preserve">primary </w:t>
      </w:r>
      <w:r w:rsidR="000A7EC0" w:rsidRPr="00E95E6D">
        <w:rPr>
          <w:rFonts w:ascii="Times New Roman" w:hAnsi="Times New Roman" w:cs="Times New Roman"/>
        </w:rPr>
        <w:t>insolvency proceedings in the UK and the US</w:t>
      </w:r>
      <w:r w:rsidR="001F4310" w:rsidRPr="00E95E6D">
        <w:rPr>
          <w:rFonts w:ascii="Times New Roman" w:hAnsi="Times New Roman" w:cs="Times New Roman"/>
        </w:rPr>
        <w:t>.</w:t>
      </w:r>
      <w:r w:rsidR="000A7EC0" w:rsidRPr="00E95E6D">
        <w:rPr>
          <w:rStyle w:val="FootnoteReference"/>
          <w:rFonts w:ascii="Times New Roman" w:hAnsi="Times New Roman" w:cs="Times New Roman"/>
        </w:rPr>
        <w:footnoteReference w:id="4"/>
      </w:r>
      <w:r w:rsidR="000A7EC0" w:rsidRPr="00E95E6D">
        <w:rPr>
          <w:rFonts w:ascii="Times New Roman" w:hAnsi="Times New Roman" w:cs="Times New Roman"/>
        </w:rPr>
        <w:t xml:space="preserve"> </w:t>
      </w:r>
      <w:r w:rsidR="001F4310" w:rsidRPr="00E95E6D">
        <w:rPr>
          <w:rFonts w:ascii="Times New Roman" w:hAnsi="Times New Roman" w:cs="Times New Roman"/>
        </w:rPr>
        <w:t xml:space="preserve">Since then, </w:t>
      </w:r>
      <w:r w:rsidR="000A7EC0" w:rsidRPr="00E95E6D">
        <w:rPr>
          <w:rFonts w:ascii="Times New Roman" w:hAnsi="Times New Roman" w:cs="Times New Roman"/>
        </w:rPr>
        <w:t xml:space="preserve">courts have approved protocols </w:t>
      </w:r>
      <w:r w:rsidR="00C5136E" w:rsidRPr="00E95E6D">
        <w:rPr>
          <w:rFonts w:ascii="Times New Roman" w:hAnsi="Times New Roman" w:cs="Times New Roman"/>
        </w:rPr>
        <w:t>in cases involving</w:t>
      </w:r>
      <w:r w:rsidR="000A7EC0" w:rsidRPr="00E95E6D">
        <w:rPr>
          <w:rFonts w:ascii="Times New Roman" w:hAnsi="Times New Roman" w:cs="Times New Roman"/>
        </w:rPr>
        <w:t xml:space="preserve"> concurrent plenary proceedings in multiple jurisdictions, or whe</w:t>
      </w:r>
      <w:r w:rsidR="001F4310" w:rsidRPr="00E95E6D">
        <w:rPr>
          <w:rFonts w:ascii="Times New Roman" w:hAnsi="Times New Roman" w:cs="Times New Roman"/>
        </w:rPr>
        <w:t xml:space="preserve">n </w:t>
      </w:r>
      <w:r w:rsidR="000A7EC0" w:rsidRPr="00E95E6D">
        <w:rPr>
          <w:rFonts w:ascii="Times New Roman" w:hAnsi="Times New Roman" w:cs="Times New Roman"/>
        </w:rPr>
        <w:t>there is a plenary main proceeding in one or more jurisdictions accompanied by ancillary proceedings in one or more additional jurisdictions.</w:t>
      </w:r>
      <w:r w:rsidR="000A7EC0" w:rsidRPr="00E95E6D">
        <w:rPr>
          <w:rStyle w:val="FootnoteReference"/>
          <w:rFonts w:ascii="Times New Roman" w:hAnsi="Times New Roman" w:cs="Times New Roman"/>
        </w:rPr>
        <w:footnoteReference w:id="5"/>
      </w:r>
    </w:p>
    <w:p w14:paraId="5FEE4A5A" w14:textId="77777777" w:rsidR="000A7EC0" w:rsidRPr="00E95E6D" w:rsidRDefault="000A7EC0" w:rsidP="00E672F7">
      <w:pPr>
        <w:pStyle w:val="ListParagraph"/>
        <w:spacing w:line="360" w:lineRule="auto"/>
        <w:ind w:left="567" w:hanging="425"/>
        <w:jc w:val="both"/>
        <w:rPr>
          <w:rFonts w:ascii="Times New Roman" w:hAnsi="Times New Roman" w:cs="Times New Roman"/>
        </w:rPr>
      </w:pPr>
    </w:p>
    <w:p w14:paraId="147F6413" w14:textId="1E29850C" w:rsidR="000A7EC0" w:rsidRPr="00E95E6D" w:rsidRDefault="00E1036A" w:rsidP="00E672F7">
      <w:pPr>
        <w:pStyle w:val="ListParagraph"/>
        <w:numPr>
          <w:ilvl w:val="0"/>
          <w:numId w:val="1"/>
        </w:numPr>
        <w:spacing w:line="360" w:lineRule="auto"/>
        <w:ind w:left="567" w:hanging="425"/>
        <w:jc w:val="both"/>
        <w:rPr>
          <w:rFonts w:ascii="Times New Roman" w:hAnsi="Times New Roman" w:cs="Times New Roman"/>
        </w:rPr>
      </w:pPr>
      <w:r w:rsidRPr="00E95E6D">
        <w:rPr>
          <w:rFonts w:ascii="Times New Roman" w:hAnsi="Times New Roman" w:cs="Times New Roman"/>
        </w:rPr>
        <w:t>B</w:t>
      </w:r>
      <w:r w:rsidR="00DA1BC6" w:rsidRPr="00E95E6D">
        <w:rPr>
          <w:rFonts w:ascii="Times New Roman" w:hAnsi="Times New Roman" w:cs="Times New Roman"/>
        </w:rPr>
        <w:t>uilding on the positive experiences from the use of international insolvency protocols in individual cases, the Insolvency Committee of the International Bar Association first introduced the Cross-Border Insolvency Concordat in 1995</w:t>
      </w:r>
      <w:r w:rsidRPr="00E95E6D">
        <w:rPr>
          <w:rFonts w:ascii="Times New Roman" w:hAnsi="Times New Roman" w:cs="Times New Roman"/>
        </w:rPr>
        <w:t xml:space="preserve"> (the “</w:t>
      </w:r>
      <w:r w:rsidRPr="00E95E6D">
        <w:rPr>
          <w:rFonts w:ascii="Times New Roman" w:hAnsi="Times New Roman" w:cs="Times New Roman"/>
          <w:b/>
          <w:bCs/>
        </w:rPr>
        <w:t>Concordat</w:t>
      </w:r>
      <w:r w:rsidRPr="00E95E6D">
        <w:rPr>
          <w:rFonts w:ascii="Times New Roman" w:hAnsi="Times New Roman" w:cs="Times New Roman"/>
        </w:rPr>
        <w:t>”)</w:t>
      </w:r>
      <w:r w:rsidR="00DA1BC6" w:rsidRPr="00E95E6D">
        <w:rPr>
          <w:rFonts w:ascii="Times New Roman" w:hAnsi="Times New Roman" w:cs="Times New Roman"/>
        </w:rPr>
        <w:t xml:space="preserve">, which was then followed </w:t>
      </w:r>
      <w:r w:rsidR="00121FF1" w:rsidRPr="00E95E6D">
        <w:rPr>
          <w:rFonts w:ascii="Times New Roman" w:hAnsi="Times New Roman" w:cs="Times New Roman"/>
        </w:rPr>
        <w:t xml:space="preserve">in 2000 </w:t>
      </w:r>
      <w:r w:rsidR="00DA1BC6" w:rsidRPr="00E95E6D">
        <w:rPr>
          <w:rFonts w:ascii="Times New Roman" w:hAnsi="Times New Roman" w:cs="Times New Roman"/>
        </w:rPr>
        <w:t>by the</w:t>
      </w:r>
      <w:r w:rsidR="00121FF1" w:rsidRPr="00E95E6D">
        <w:rPr>
          <w:rFonts w:ascii="Times New Roman" w:hAnsi="Times New Roman" w:cs="Times New Roman"/>
        </w:rPr>
        <w:t xml:space="preserve"> American Law Institute’s</w:t>
      </w:r>
      <w:r w:rsidR="00DA1BC6" w:rsidRPr="00E95E6D">
        <w:rPr>
          <w:rFonts w:ascii="Times New Roman" w:hAnsi="Times New Roman" w:cs="Times New Roman"/>
        </w:rPr>
        <w:t xml:space="preserve"> ‘Guidelines Applicable to Court-to-Court Communications</w:t>
      </w:r>
      <w:r w:rsidRPr="00E95E6D">
        <w:rPr>
          <w:rFonts w:ascii="Times New Roman" w:hAnsi="Times New Roman" w:cs="Times New Roman"/>
        </w:rPr>
        <w:t xml:space="preserve"> in Cross-Border Cases</w:t>
      </w:r>
      <w:r w:rsidR="00DA1BC6" w:rsidRPr="00E95E6D">
        <w:rPr>
          <w:rFonts w:ascii="Times New Roman" w:hAnsi="Times New Roman" w:cs="Times New Roman"/>
        </w:rPr>
        <w:t>’</w:t>
      </w:r>
      <w:r w:rsidR="00B40DC4" w:rsidRPr="00E95E6D">
        <w:rPr>
          <w:rFonts w:ascii="Times New Roman" w:hAnsi="Times New Roman" w:cs="Times New Roman"/>
        </w:rPr>
        <w:t xml:space="preserve"> (the “</w:t>
      </w:r>
      <w:r w:rsidR="00B40DC4" w:rsidRPr="00E95E6D">
        <w:rPr>
          <w:rFonts w:ascii="Times New Roman" w:hAnsi="Times New Roman" w:cs="Times New Roman"/>
          <w:b/>
          <w:bCs/>
        </w:rPr>
        <w:t>ALI Guidelines</w:t>
      </w:r>
      <w:r w:rsidR="00B40DC4" w:rsidRPr="00E95E6D">
        <w:rPr>
          <w:rFonts w:ascii="Times New Roman" w:hAnsi="Times New Roman" w:cs="Times New Roman"/>
        </w:rPr>
        <w:t>”)</w:t>
      </w:r>
      <w:r w:rsidRPr="00E95E6D">
        <w:rPr>
          <w:rFonts w:ascii="Times New Roman" w:hAnsi="Times New Roman" w:cs="Times New Roman"/>
        </w:rPr>
        <w:t xml:space="preserve">. It has been observed that the </w:t>
      </w:r>
      <w:r w:rsidR="00B40DC4" w:rsidRPr="00E95E6D">
        <w:rPr>
          <w:rFonts w:ascii="Times New Roman" w:hAnsi="Times New Roman" w:cs="Times New Roman"/>
        </w:rPr>
        <w:t>ALI</w:t>
      </w:r>
      <w:r w:rsidRPr="00E95E6D">
        <w:rPr>
          <w:rFonts w:ascii="Times New Roman" w:hAnsi="Times New Roman" w:cs="Times New Roman"/>
        </w:rPr>
        <w:t xml:space="preserve"> Guidelines have been very influential in the US and are routinely incorporated by reference</w:t>
      </w:r>
      <w:r w:rsidR="00AD493A" w:rsidRPr="00E95E6D">
        <w:rPr>
          <w:rFonts w:ascii="Times New Roman" w:hAnsi="Times New Roman" w:cs="Times New Roman"/>
        </w:rPr>
        <w:t xml:space="preserve"> in subsequent cases</w:t>
      </w:r>
      <w:r w:rsidRPr="00E95E6D">
        <w:rPr>
          <w:rFonts w:ascii="Times New Roman" w:hAnsi="Times New Roman" w:cs="Times New Roman"/>
        </w:rPr>
        <w:t xml:space="preserve">, </w:t>
      </w:r>
      <w:r w:rsidR="00AD493A" w:rsidRPr="00E95E6D">
        <w:rPr>
          <w:rFonts w:ascii="Times New Roman" w:hAnsi="Times New Roman" w:cs="Times New Roman"/>
        </w:rPr>
        <w:t xml:space="preserve">in </w:t>
      </w:r>
      <w:r w:rsidRPr="00E95E6D">
        <w:rPr>
          <w:rFonts w:ascii="Times New Roman" w:hAnsi="Times New Roman" w:cs="Times New Roman"/>
        </w:rPr>
        <w:t>whole or in part, into protocols approved by the US Courts.</w:t>
      </w:r>
      <w:r w:rsidRPr="00E95E6D">
        <w:rPr>
          <w:rStyle w:val="FootnoteReference"/>
          <w:rFonts w:ascii="Times New Roman" w:hAnsi="Times New Roman" w:cs="Times New Roman"/>
        </w:rPr>
        <w:footnoteReference w:id="6"/>
      </w:r>
      <w:r w:rsidRPr="00E95E6D">
        <w:rPr>
          <w:rFonts w:ascii="Times New Roman" w:hAnsi="Times New Roman" w:cs="Times New Roman"/>
        </w:rPr>
        <w:t xml:space="preserve"> </w:t>
      </w:r>
    </w:p>
    <w:p w14:paraId="0043D199" w14:textId="77777777" w:rsidR="00CA498C" w:rsidRPr="00E95E6D" w:rsidRDefault="00CA498C" w:rsidP="00CA498C">
      <w:pPr>
        <w:pStyle w:val="ListParagraph"/>
        <w:rPr>
          <w:rFonts w:ascii="Times New Roman" w:hAnsi="Times New Roman" w:cs="Times New Roman"/>
        </w:rPr>
      </w:pPr>
    </w:p>
    <w:p w14:paraId="767A6A5B" w14:textId="1717F705" w:rsidR="0005562F" w:rsidRPr="00E95E6D" w:rsidRDefault="0005562F" w:rsidP="00E672F7">
      <w:pPr>
        <w:pStyle w:val="ListParagraph"/>
        <w:numPr>
          <w:ilvl w:val="0"/>
          <w:numId w:val="1"/>
        </w:numPr>
        <w:spacing w:line="360" w:lineRule="auto"/>
        <w:ind w:left="567" w:hanging="425"/>
        <w:jc w:val="both"/>
        <w:rPr>
          <w:rFonts w:ascii="Times New Roman" w:hAnsi="Times New Roman" w:cs="Times New Roman"/>
        </w:rPr>
      </w:pPr>
      <w:r w:rsidRPr="00E95E6D">
        <w:rPr>
          <w:rFonts w:ascii="Times New Roman" w:hAnsi="Times New Roman" w:cs="Times New Roman"/>
        </w:rPr>
        <w:t xml:space="preserve">The </w:t>
      </w:r>
      <w:r w:rsidR="0061671F" w:rsidRPr="00E95E6D">
        <w:rPr>
          <w:rFonts w:ascii="Times New Roman" w:hAnsi="Times New Roman" w:cs="Times New Roman"/>
        </w:rPr>
        <w:t>Guidelines</w:t>
      </w:r>
      <w:r w:rsidRPr="00E95E6D">
        <w:rPr>
          <w:rFonts w:ascii="Times New Roman" w:hAnsi="Times New Roman" w:cs="Times New Roman"/>
        </w:rPr>
        <w:t xml:space="preserve"> are more recent innovations:</w:t>
      </w:r>
    </w:p>
    <w:p w14:paraId="5B04564C" w14:textId="77777777" w:rsidR="0005562F" w:rsidRPr="00E95E6D" w:rsidRDefault="0005562F" w:rsidP="0005562F">
      <w:pPr>
        <w:pStyle w:val="ListParagraph"/>
        <w:rPr>
          <w:rFonts w:ascii="Times New Roman" w:hAnsi="Times New Roman" w:cs="Times New Roman"/>
        </w:rPr>
      </w:pPr>
    </w:p>
    <w:p w14:paraId="15546DC1" w14:textId="3FF201C2" w:rsidR="0005562F" w:rsidRPr="00E95E6D" w:rsidRDefault="0005562F" w:rsidP="00E672F7">
      <w:pPr>
        <w:pStyle w:val="ListParagraph"/>
        <w:numPr>
          <w:ilvl w:val="0"/>
          <w:numId w:val="4"/>
        </w:numPr>
        <w:spacing w:line="360" w:lineRule="auto"/>
        <w:ind w:left="1134" w:hanging="567"/>
        <w:jc w:val="both"/>
        <w:rPr>
          <w:rFonts w:ascii="Times New Roman" w:hAnsi="Times New Roman" w:cs="Times New Roman"/>
        </w:rPr>
      </w:pPr>
      <w:r w:rsidRPr="00E95E6D">
        <w:rPr>
          <w:rFonts w:ascii="Times New Roman" w:hAnsi="Times New Roman" w:cs="Times New Roman"/>
        </w:rPr>
        <w:t xml:space="preserve">The CoCo Guidelines were drafted by Professor Bob Wessels of Leiden University and Professor Miguel Virgos of Universidad Autonoma de Madrid, and codify best practices and suggest non-binding provisions for protocols, particularly in respect of insolvency proceedings where the EU Insolvency Regulations are the applicable law. The 18 CoCo Guidelines provide a model framework for communication and cooperation in cross-border CBRI proceedings, and Appendix I contains a ‘Checklist Protocol’, which </w:t>
      </w:r>
      <w:r w:rsidRPr="00E95E6D">
        <w:rPr>
          <w:rFonts w:ascii="Times New Roman" w:hAnsi="Times New Roman" w:cs="Times New Roman"/>
        </w:rPr>
        <w:lastRenderedPageBreak/>
        <w:t>enumerates and describes certain basic requirements and specific provisions to be addressed in cross border insolvency protocols. The Coco Guidelines have been incorporated into successful protocols in the US, Canada and the UK.</w:t>
      </w:r>
      <w:r w:rsidRPr="00E95E6D">
        <w:rPr>
          <w:rStyle w:val="FootnoteReference"/>
          <w:rFonts w:ascii="Times New Roman" w:hAnsi="Times New Roman" w:cs="Times New Roman"/>
        </w:rPr>
        <w:footnoteReference w:id="7"/>
      </w:r>
    </w:p>
    <w:p w14:paraId="423A468B" w14:textId="77777777" w:rsidR="0005562F" w:rsidRPr="00E95E6D" w:rsidRDefault="0005562F" w:rsidP="00E672F7">
      <w:pPr>
        <w:pStyle w:val="ListParagraph"/>
        <w:spacing w:line="360" w:lineRule="auto"/>
        <w:ind w:left="1134" w:hanging="567"/>
        <w:jc w:val="both"/>
        <w:rPr>
          <w:rFonts w:ascii="Times New Roman" w:hAnsi="Times New Roman" w:cs="Times New Roman"/>
        </w:rPr>
      </w:pPr>
    </w:p>
    <w:p w14:paraId="6A535AAD" w14:textId="128BD232" w:rsidR="0005562F" w:rsidRPr="00E95E6D" w:rsidRDefault="0005562F" w:rsidP="00E672F7">
      <w:pPr>
        <w:pStyle w:val="ListParagraph"/>
        <w:numPr>
          <w:ilvl w:val="0"/>
          <w:numId w:val="4"/>
        </w:numPr>
        <w:spacing w:line="360" w:lineRule="auto"/>
        <w:ind w:left="1134" w:hanging="567"/>
        <w:jc w:val="both"/>
        <w:rPr>
          <w:rFonts w:ascii="Times New Roman" w:hAnsi="Times New Roman" w:cs="Times New Roman"/>
          <w:b/>
          <w:bCs/>
          <w:u w:val="single"/>
        </w:rPr>
      </w:pPr>
      <w:r w:rsidRPr="00E95E6D">
        <w:rPr>
          <w:rFonts w:ascii="Times New Roman" w:hAnsi="Times New Roman" w:cs="Times New Roman"/>
        </w:rPr>
        <w:t xml:space="preserve">The JudgeCo Principles </w:t>
      </w:r>
      <w:r w:rsidR="00D11936" w:rsidRPr="00E95E6D">
        <w:rPr>
          <w:rFonts w:ascii="Times New Roman" w:hAnsi="Times New Roman" w:cs="Times New Roman"/>
        </w:rPr>
        <w:t xml:space="preserve">were jointly developed by the Leiden Law School and the Nottingham Law School. They </w:t>
      </w:r>
      <w:r w:rsidRPr="00E95E6D">
        <w:rPr>
          <w:rFonts w:ascii="Times New Roman" w:hAnsi="Times New Roman" w:cs="Times New Roman"/>
        </w:rPr>
        <w:t>contain 26 principles and aim to strengthen efficient and effective communication between courts in EU Member States in</w:t>
      </w:r>
      <w:r w:rsidR="0061671F" w:rsidRPr="00E95E6D">
        <w:rPr>
          <w:rFonts w:ascii="Times New Roman" w:hAnsi="Times New Roman" w:cs="Times New Roman"/>
        </w:rPr>
        <w:t xml:space="preserve"> cross-border</w:t>
      </w:r>
      <w:r w:rsidRPr="00E95E6D">
        <w:rPr>
          <w:rFonts w:ascii="Times New Roman" w:hAnsi="Times New Roman" w:cs="Times New Roman"/>
        </w:rPr>
        <w:t xml:space="preserve"> insolvency cases. The</w:t>
      </w:r>
      <w:r w:rsidR="002D4F3C" w:rsidRPr="00E95E6D">
        <w:rPr>
          <w:rFonts w:ascii="Times New Roman" w:hAnsi="Times New Roman" w:cs="Times New Roman"/>
        </w:rPr>
        <w:t>y relate to, among other things, case management of courts</w:t>
      </w:r>
      <w:r w:rsidR="00D11936" w:rsidRPr="00E95E6D">
        <w:rPr>
          <w:rFonts w:ascii="Times New Roman" w:hAnsi="Times New Roman" w:cs="Times New Roman"/>
        </w:rPr>
        <w:t xml:space="preserve"> and the equal treatment of creditors, as well as the notifications and authentication of documents.</w:t>
      </w:r>
      <w:r w:rsidR="00D11936" w:rsidRPr="00E95E6D">
        <w:rPr>
          <w:rStyle w:val="FootnoteReference"/>
          <w:rFonts w:ascii="Times New Roman" w:hAnsi="Times New Roman" w:cs="Times New Roman"/>
        </w:rPr>
        <w:footnoteReference w:id="8"/>
      </w:r>
    </w:p>
    <w:p w14:paraId="1D606CB2" w14:textId="77777777" w:rsidR="0005562F" w:rsidRPr="00E95E6D" w:rsidRDefault="0005562F" w:rsidP="0005562F">
      <w:pPr>
        <w:pStyle w:val="ListParagraph"/>
        <w:rPr>
          <w:rFonts w:ascii="Times New Roman" w:hAnsi="Times New Roman" w:cs="Times New Roman"/>
          <w:b/>
          <w:bCs/>
          <w:u w:val="single"/>
        </w:rPr>
      </w:pPr>
    </w:p>
    <w:p w14:paraId="0E5D9E60" w14:textId="528C2A31" w:rsidR="0005562F" w:rsidRPr="00E95E6D" w:rsidRDefault="00A2312A" w:rsidP="0061671F">
      <w:pPr>
        <w:pStyle w:val="ListParagraph"/>
        <w:numPr>
          <w:ilvl w:val="0"/>
          <w:numId w:val="4"/>
        </w:numPr>
        <w:spacing w:line="360" w:lineRule="auto"/>
        <w:ind w:left="1134" w:hanging="567"/>
        <w:jc w:val="both"/>
        <w:rPr>
          <w:rFonts w:ascii="Times New Roman" w:hAnsi="Times New Roman" w:cs="Times New Roman"/>
        </w:rPr>
      </w:pPr>
      <w:r w:rsidRPr="00E95E6D">
        <w:rPr>
          <w:rFonts w:ascii="Times New Roman" w:hAnsi="Times New Roman" w:cs="Times New Roman"/>
        </w:rPr>
        <w:t>The</w:t>
      </w:r>
      <w:r w:rsidR="00AF3FB6" w:rsidRPr="00E95E6D">
        <w:rPr>
          <w:rFonts w:ascii="Times New Roman" w:hAnsi="Times New Roman" w:cs="Times New Roman"/>
        </w:rPr>
        <w:t xml:space="preserve"> </w:t>
      </w:r>
      <w:r w:rsidR="0005562F" w:rsidRPr="00E95E6D">
        <w:rPr>
          <w:rFonts w:ascii="Times New Roman" w:hAnsi="Times New Roman" w:cs="Times New Roman"/>
        </w:rPr>
        <w:t>JIN Guidelines</w:t>
      </w:r>
      <w:r w:rsidRPr="00E95E6D">
        <w:rPr>
          <w:rFonts w:ascii="Times New Roman" w:hAnsi="Times New Roman" w:cs="Times New Roman"/>
        </w:rPr>
        <w:t xml:space="preserve"> are the most recent</w:t>
      </w:r>
      <w:r w:rsidR="00152627">
        <w:rPr>
          <w:rFonts w:ascii="Times New Roman" w:hAnsi="Times New Roman" w:cs="Times New Roman"/>
        </w:rPr>
        <w:t xml:space="preserve"> innovation</w:t>
      </w:r>
      <w:r w:rsidRPr="00E95E6D">
        <w:rPr>
          <w:rFonts w:ascii="Times New Roman" w:hAnsi="Times New Roman" w:cs="Times New Roman"/>
        </w:rPr>
        <w:t>. Thy are the result of the</w:t>
      </w:r>
      <w:r w:rsidR="00AF3FB6" w:rsidRPr="00E95E6D">
        <w:rPr>
          <w:rFonts w:ascii="Times New Roman" w:hAnsi="Times New Roman" w:cs="Times New Roman"/>
        </w:rPr>
        <w:t xml:space="preserve"> concerted and collective effort at judicial diplomacy among the participating judiciaries</w:t>
      </w:r>
      <w:r w:rsidR="00AC1B55" w:rsidRPr="00E95E6D">
        <w:rPr>
          <w:rFonts w:ascii="Times New Roman" w:hAnsi="Times New Roman" w:cs="Times New Roman"/>
        </w:rPr>
        <w:t xml:space="preserve"> of the inaugural JIN conference in October 2016</w:t>
      </w:r>
      <w:r w:rsidR="00AF3FB6" w:rsidRPr="00E95E6D">
        <w:rPr>
          <w:rFonts w:ascii="Times New Roman" w:hAnsi="Times New Roman" w:cs="Times New Roman"/>
        </w:rPr>
        <w:t>.</w:t>
      </w:r>
      <w:r w:rsidR="00AC1B55" w:rsidRPr="00E95E6D">
        <w:rPr>
          <w:rFonts w:ascii="Times New Roman" w:hAnsi="Times New Roman" w:cs="Times New Roman"/>
        </w:rPr>
        <w:t xml:space="preserve"> </w:t>
      </w:r>
      <w:r w:rsidR="00CF35B5" w:rsidRPr="00E95E6D">
        <w:rPr>
          <w:rFonts w:ascii="Times New Roman" w:hAnsi="Times New Roman" w:cs="Times New Roman"/>
        </w:rPr>
        <w:t>The JIN Guidelines have been described as possibly a historic watershed in the development of Asia-Pacific judicial diplomacy.</w:t>
      </w:r>
      <w:r w:rsidR="00CF35B5" w:rsidRPr="00E95E6D">
        <w:rPr>
          <w:rStyle w:val="FootnoteReference"/>
          <w:rFonts w:ascii="Times New Roman" w:hAnsi="Times New Roman" w:cs="Times New Roman"/>
        </w:rPr>
        <w:footnoteReference w:id="9"/>
      </w:r>
      <w:r w:rsidR="00AC1B55" w:rsidRPr="00E95E6D">
        <w:rPr>
          <w:rFonts w:ascii="Times New Roman" w:hAnsi="Times New Roman" w:cs="Times New Roman"/>
        </w:rPr>
        <w:t xml:space="preserve"> </w:t>
      </w:r>
      <w:r w:rsidR="0005562F" w:rsidRPr="00E95E6D">
        <w:rPr>
          <w:rFonts w:ascii="Times New Roman" w:hAnsi="Times New Roman" w:cs="Times New Roman"/>
        </w:rPr>
        <w:t>The JIN Guidelines set out the key requirements to be embodied in a protocol or order of court relating to communication and cooperation between courts, insolvency representatives (such as liquidators, administrators and trustees), and other parties to a cross border insolvency proceedings.</w:t>
      </w:r>
      <w:r w:rsidR="0005562F" w:rsidRPr="00E95E6D">
        <w:rPr>
          <w:rStyle w:val="FootnoteReference"/>
          <w:rFonts w:ascii="Times New Roman" w:hAnsi="Times New Roman" w:cs="Times New Roman"/>
        </w:rPr>
        <w:footnoteReference w:id="10"/>
      </w:r>
      <w:r w:rsidR="0005562F" w:rsidRPr="00E95E6D">
        <w:rPr>
          <w:rFonts w:ascii="Times New Roman" w:hAnsi="Times New Roman" w:cs="Times New Roman"/>
        </w:rPr>
        <w:t xml:space="preserve"> There are 14 guidelines for the establishment for such a protocol or court order.</w:t>
      </w:r>
    </w:p>
    <w:p w14:paraId="1500AFD8" w14:textId="77777777" w:rsidR="00343657" w:rsidRPr="00E95E6D" w:rsidRDefault="00343657" w:rsidP="00343657">
      <w:pPr>
        <w:pStyle w:val="ListParagraph"/>
        <w:spacing w:line="360" w:lineRule="auto"/>
        <w:jc w:val="both"/>
        <w:rPr>
          <w:rFonts w:ascii="Times New Roman" w:hAnsi="Times New Roman" w:cs="Times New Roman"/>
        </w:rPr>
      </w:pPr>
    </w:p>
    <w:p w14:paraId="3C445C16" w14:textId="6AD4EEE3" w:rsidR="00343657" w:rsidRPr="00E95E6D" w:rsidRDefault="00343657" w:rsidP="00E672F7">
      <w:pPr>
        <w:pStyle w:val="ListParagraph"/>
        <w:numPr>
          <w:ilvl w:val="0"/>
          <w:numId w:val="1"/>
        </w:numPr>
        <w:spacing w:line="360" w:lineRule="auto"/>
        <w:ind w:left="567" w:hanging="425"/>
        <w:jc w:val="both"/>
        <w:rPr>
          <w:rFonts w:ascii="Times New Roman" w:hAnsi="Times New Roman" w:cs="Times New Roman"/>
          <w:b/>
          <w:bCs/>
          <w:u w:val="single"/>
        </w:rPr>
      </w:pPr>
      <w:r w:rsidRPr="00E95E6D">
        <w:rPr>
          <w:rFonts w:ascii="Times New Roman" w:hAnsi="Times New Roman" w:cs="Times New Roman"/>
        </w:rPr>
        <w:t xml:space="preserve">The Guidelines </w:t>
      </w:r>
      <w:r w:rsidR="00D0518C" w:rsidRPr="00E95E6D">
        <w:rPr>
          <w:rFonts w:ascii="Times New Roman" w:hAnsi="Times New Roman" w:cs="Times New Roman"/>
        </w:rPr>
        <w:t>build</w:t>
      </w:r>
      <w:r w:rsidRPr="00E95E6D">
        <w:rPr>
          <w:rFonts w:ascii="Times New Roman" w:hAnsi="Times New Roman" w:cs="Times New Roman"/>
        </w:rPr>
        <w:t xml:space="preserve"> on the UNCITRAL Model Law on Cross Border Insolvency</w:t>
      </w:r>
      <w:r w:rsidR="00524E06" w:rsidRPr="00E95E6D">
        <w:rPr>
          <w:rFonts w:ascii="Times New Roman" w:hAnsi="Times New Roman" w:cs="Times New Roman"/>
        </w:rPr>
        <w:t xml:space="preserve"> (the “</w:t>
      </w:r>
      <w:r w:rsidR="00524E06" w:rsidRPr="00E95E6D">
        <w:rPr>
          <w:rFonts w:ascii="Times New Roman" w:hAnsi="Times New Roman" w:cs="Times New Roman"/>
          <w:b/>
          <w:bCs/>
        </w:rPr>
        <w:t>Model Law</w:t>
      </w:r>
      <w:r w:rsidR="00524E06" w:rsidRPr="00E95E6D">
        <w:rPr>
          <w:rFonts w:ascii="Times New Roman" w:hAnsi="Times New Roman" w:cs="Times New Roman"/>
        </w:rPr>
        <w:t>”)</w:t>
      </w:r>
      <w:r w:rsidRPr="00E95E6D">
        <w:rPr>
          <w:rFonts w:ascii="Times New Roman" w:hAnsi="Times New Roman" w:cs="Times New Roman"/>
        </w:rPr>
        <w:t xml:space="preserve">, which is </w:t>
      </w:r>
      <w:r w:rsidR="0061671F" w:rsidRPr="00E95E6D">
        <w:rPr>
          <w:rFonts w:ascii="Times New Roman" w:hAnsi="Times New Roman" w:cs="Times New Roman"/>
        </w:rPr>
        <w:t xml:space="preserve">itself </w:t>
      </w:r>
      <w:r w:rsidR="00942546" w:rsidRPr="00E95E6D">
        <w:rPr>
          <w:rFonts w:ascii="Times New Roman" w:hAnsi="Times New Roman" w:cs="Times New Roman"/>
        </w:rPr>
        <w:t xml:space="preserve">based </w:t>
      </w:r>
      <w:r w:rsidRPr="00E95E6D">
        <w:rPr>
          <w:rFonts w:ascii="Times New Roman" w:hAnsi="Times New Roman" w:cs="Times New Roman"/>
        </w:rPr>
        <w:t xml:space="preserve">on a number of key </w:t>
      </w:r>
      <w:r w:rsidR="00942546" w:rsidRPr="00E95E6D">
        <w:rPr>
          <w:rFonts w:ascii="Times New Roman" w:hAnsi="Times New Roman" w:cs="Times New Roman"/>
        </w:rPr>
        <w:t xml:space="preserve">but broad </w:t>
      </w:r>
      <w:r w:rsidRPr="00E95E6D">
        <w:rPr>
          <w:rFonts w:ascii="Times New Roman" w:hAnsi="Times New Roman" w:cs="Times New Roman"/>
        </w:rPr>
        <w:t>principles encouraging cooperation and coordination among both courts and insolvency representatives in different jurisdictions to maximise creditor recovery through the fair and efficient administration of the insolvency estate</w:t>
      </w:r>
      <w:r w:rsidR="0061671F" w:rsidRPr="00E95E6D">
        <w:rPr>
          <w:rFonts w:ascii="Times New Roman" w:hAnsi="Times New Roman" w:cs="Times New Roman"/>
        </w:rPr>
        <w:t>.</w:t>
      </w:r>
      <w:r w:rsidRPr="00E95E6D">
        <w:rPr>
          <w:rStyle w:val="FootnoteReference"/>
          <w:rFonts w:ascii="Times New Roman" w:hAnsi="Times New Roman" w:cs="Times New Roman"/>
        </w:rPr>
        <w:footnoteReference w:id="11"/>
      </w:r>
      <w:r w:rsidRPr="00E95E6D">
        <w:rPr>
          <w:rFonts w:ascii="Times New Roman" w:hAnsi="Times New Roman" w:cs="Times New Roman"/>
        </w:rPr>
        <w:t xml:space="preserve"> </w:t>
      </w:r>
    </w:p>
    <w:p w14:paraId="26A2097F" w14:textId="77777777" w:rsidR="0061671F" w:rsidRPr="00E95E6D" w:rsidRDefault="0061671F" w:rsidP="0061671F">
      <w:pPr>
        <w:pStyle w:val="ListParagraph"/>
        <w:spacing w:line="360" w:lineRule="auto"/>
        <w:ind w:left="567"/>
        <w:jc w:val="both"/>
        <w:rPr>
          <w:rFonts w:ascii="Times New Roman" w:hAnsi="Times New Roman" w:cs="Times New Roman"/>
          <w:b/>
          <w:bCs/>
          <w:u w:val="single"/>
        </w:rPr>
      </w:pPr>
    </w:p>
    <w:p w14:paraId="430814A4" w14:textId="3821049A" w:rsidR="00D0518C" w:rsidRPr="00E95E6D" w:rsidRDefault="006D630E" w:rsidP="00D0518C">
      <w:pPr>
        <w:pStyle w:val="ListParagraph"/>
        <w:numPr>
          <w:ilvl w:val="0"/>
          <w:numId w:val="1"/>
        </w:numPr>
        <w:spacing w:line="360" w:lineRule="auto"/>
        <w:ind w:left="567" w:hanging="425"/>
        <w:jc w:val="both"/>
        <w:rPr>
          <w:rFonts w:ascii="Times New Roman" w:hAnsi="Times New Roman" w:cs="Times New Roman"/>
        </w:rPr>
      </w:pPr>
      <w:r w:rsidRPr="00E95E6D">
        <w:rPr>
          <w:rFonts w:ascii="Times New Roman" w:hAnsi="Times New Roman" w:cs="Times New Roman"/>
        </w:rPr>
        <w:t xml:space="preserve">This short paper is </w:t>
      </w:r>
      <w:r w:rsidR="00F8766C" w:rsidRPr="00E95E6D">
        <w:rPr>
          <w:rFonts w:ascii="Times New Roman" w:hAnsi="Times New Roman" w:cs="Times New Roman"/>
        </w:rPr>
        <w:t>organised</w:t>
      </w:r>
      <w:r w:rsidRPr="00E95E6D">
        <w:rPr>
          <w:rFonts w:ascii="Times New Roman" w:hAnsi="Times New Roman" w:cs="Times New Roman"/>
        </w:rPr>
        <w:t xml:space="preserve"> in the following manner: (i) </w:t>
      </w:r>
      <w:r w:rsidR="00A82BA6" w:rsidRPr="00E95E6D">
        <w:rPr>
          <w:rFonts w:ascii="Times New Roman" w:hAnsi="Times New Roman" w:cs="Times New Roman"/>
        </w:rPr>
        <w:t>Section I</w:t>
      </w:r>
      <w:r w:rsidR="00942546" w:rsidRPr="00E95E6D">
        <w:rPr>
          <w:rFonts w:ascii="Times New Roman" w:hAnsi="Times New Roman" w:cs="Times New Roman"/>
        </w:rPr>
        <w:t>I</w:t>
      </w:r>
      <w:r w:rsidR="00A82BA6" w:rsidRPr="00E95E6D">
        <w:rPr>
          <w:rFonts w:ascii="Times New Roman" w:hAnsi="Times New Roman" w:cs="Times New Roman"/>
        </w:rPr>
        <w:t xml:space="preserve"> </w:t>
      </w:r>
      <w:r w:rsidRPr="00E95E6D">
        <w:rPr>
          <w:rFonts w:ascii="Times New Roman" w:hAnsi="Times New Roman" w:cs="Times New Roman"/>
        </w:rPr>
        <w:t xml:space="preserve">below </w:t>
      </w:r>
      <w:r w:rsidR="00A82BA6" w:rsidRPr="00E95E6D">
        <w:rPr>
          <w:rFonts w:ascii="Times New Roman" w:hAnsi="Times New Roman" w:cs="Times New Roman"/>
        </w:rPr>
        <w:t xml:space="preserve">discusses some of the </w:t>
      </w:r>
      <w:r w:rsidR="00D0518C" w:rsidRPr="00E95E6D">
        <w:rPr>
          <w:rFonts w:ascii="Times New Roman" w:hAnsi="Times New Roman" w:cs="Times New Roman"/>
        </w:rPr>
        <w:t>key features and benefits</w:t>
      </w:r>
      <w:r w:rsidR="00A82BA6" w:rsidRPr="00E95E6D">
        <w:rPr>
          <w:rFonts w:ascii="Times New Roman" w:hAnsi="Times New Roman" w:cs="Times New Roman"/>
        </w:rPr>
        <w:t xml:space="preserve"> of the Guidelines</w:t>
      </w:r>
      <w:r w:rsidR="00942546" w:rsidRPr="00E95E6D">
        <w:rPr>
          <w:rFonts w:ascii="Times New Roman" w:hAnsi="Times New Roman" w:cs="Times New Roman"/>
        </w:rPr>
        <w:t xml:space="preserve"> with reference to specific principles contained in the </w:t>
      </w:r>
      <w:r w:rsidR="00942546" w:rsidRPr="00E95E6D">
        <w:rPr>
          <w:rFonts w:ascii="Times New Roman" w:hAnsi="Times New Roman" w:cs="Times New Roman"/>
        </w:rPr>
        <w:lastRenderedPageBreak/>
        <w:t>relevant Guideline</w:t>
      </w:r>
      <w:r w:rsidR="00A82BA6" w:rsidRPr="00E95E6D">
        <w:rPr>
          <w:rFonts w:ascii="Times New Roman" w:hAnsi="Times New Roman" w:cs="Times New Roman"/>
        </w:rPr>
        <w:t>;</w:t>
      </w:r>
      <w:r w:rsidRPr="00E95E6D">
        <w:rPr>
          <w:rFonts w:ascii="Times New Roman" w:hAnsi="Times New Roman" w:cs="Times New Roman"/>
        </w:rPr>
        <w:t xml:space="preserve"> (ii) </w:t>
      </w:r>
      <w:r w:rsidR="00AD493A" w:rsidRPr="00E95E6D">
        <w:rPr>
          <w:rFonts w:ascii="Times New Roman" w:hAnsi="Times New Roman" w:cs="Times New Roman"/>
        </w:rPr>
        <w:t xml:space="preserve">Section </w:t>
      </w:r>
      <w:r w:rsidR="00942546" w:rsidRPr="00E95E6D">
        <w:rPr>
          <w:rFonts w:ascii="Times New Roman" w:hAnsi="Times New Roman" w:cs="Times New Roman"/>
        </w:rPr>
        <w:t>I</w:t>
      </w:r>
      <w:r w:rsidR="00D0518C" w:rsidRPr="00E95E6D">
        <w:rPr>
          <w:rFonts w:ascii="Times New Roman" w:hAnsi="Times New Roman" w:cs="Times New Roman"/>
        </w:rPr>
        <w:t>II</w:t>
      </w:r>
      <w:r w:rsidR="00AD493A" w:rsidRPr="00E95E6D">
        <w:rPr>
          <w:rFonts w:ascii="Times New Roman" w:hAnsi="Times New Roman" w:cs="Times New Roman"/>
        </w:rPr>
        <w:t xml:space="preserve"> </w:t>
      </w:r>
      <w:r w:rsidR="00942546" w:rsidRPr="00E95E6D">
        <w:rPr>
          <w:rFonts w:ascii="Times New Roman" w:hAnsi="Times New Roman" w:cs="Times New Roman"/>
        </w:rPr>
        <w:t>then critically evaluates the likely</w:t>
      </w:r>
      <w:r w:rsidR="00AD493A" w:rsidRPr="00E95E6D">
        <w:rPr>
          <w:rFonts w:ascii="Times New Roman" w:hAnsi="Times New Roman" w:cs="Times New Roman"/>
        </w:rPr>
        <w:t xml:space="preserve"> impact of the Guidelines on cross-border insolvency proceedings;</w:t>
      </w:r>
      <w:r w:rsidRPr="00E95E6D">
        <w:rPr>
          <w:rFonts w:ascii="Times New Roman" w:hAnsi="Times New Roman" w:cs="Times New Roman"/>
        </w:rPr>
        <w:t xml:space="preserve"> (iii) </w:t>
      </w:r>
      <w:r w:rsidR="00AD493A" w:rsidRPr="00E95E6D">
        <w:rPr>
          <w:rFonts w:ascii="Times New Roman" w:hAnsi="Times New Roman" w:cs="Times New Roman"/>
        </w:rPr>
        <w:t>Section VI concludes</w:t>
      </w:r>
      <w:r w:rsidR="00942546" w:rsidRPr="00E95E6D">
        <w:rPr>
          <w:rFonts w:ascii="Times New Roman" w:hAnsi="Times New Roman" w:cs="Times New Roman"/>
        </w:rPr>
        <w:t xml:space="preserve"> with some observations</w:t>
      </w:r>
      <w:r w:rsidR="00AD493A" w:rsidRPr="00E95E6D">
        <w:rPr>
          <w:rFonts w:ascii="Times New Roman" w:hAnsi="Times New Roman" w:cs="Times New Roman"/>
        </w:rPr>
        <w:t>.</w:t>
      </w:r>
      <w:r w:rsidR="00D0518C" w:rsidRPr="00E95E6D">
        <w:rPr>
          <w:rFonts w:ascii="Times New Roman" w:hAnsi="Times New Roman" w:cs="Times New Roman"/>
        </w:rPr>
        <w:t xml:space="preserve"> </w:t>
      </w:r>
    </w:p>
    <w:p w14:paraId="7AD5DBA0" w14:textId="77777777" w:rsidR="00B006A1" w:rsidRPr="00E95E6D" w:rsidRDefault="00B006A1" w:rsidP="00B006A1">
      <w:pPr>
        <w:pStyle w:val="ListParagraph"/>
        <w:rPr>
          <w:rFonts w:ascii="Times New Roman" w:hAnsi="Times New Roman" w:cs="Times New Roman"/>
        </w:rPr>
      </w:pPr>
    </w:p>
    <w:p w14:paraId="20FADDE9" w14:textId="3E90C815" w:rsidR="00AD493A" w:rsidRPr="00E95E6D" w:rsidRDefault="009A2C1C" w:rsidP="00E672F7">
      <w:pPr>
        <w:pStyle w:val="ListParagraph"/>
        <w:numPr>
          <w:ilvl w:val="0"/>
          <w:numId w:val="3"/>
        </w:numPr>
        <w:spacing w:line="360" w:lineRule="auto"/>
        <w:ind w:left="567" w:hanging="283"/>
        <w:rPr>
          <w:rFonts w:ascii="Times New Roman" w:hAnsi="Times New Roman" w:cs="Times New Roman"/>
          <w:b/>
          <w:bCs/>
          <w:u w:val="single"/>
        </w:rPr>
      </w:pPr>
      <w:r w:rsidRPr="00E95E6D">
        <w:rPr>
          <w:rFonts w:ascii="Times New Roman" w:hAnsi="Times New Roman" w:cs="Times New Roman"/>
          <w:b/>
          <w:bCs/>
          <w:u w:val="single"/>
        </w:rPr>
        <w:t xml:space="preserve">Key Features </w:t>
      </w:r>
      <w:r w:rsidR="0099715E">
        <w:rPr>
          <w:rFonts w:ascii="Times New Roman" w:hAnsi="Times New Roman" w:cs="Times New Roman"/>
          <w:b/>
          <w:bCs/>
          <w:u w:val="single"/>
        </w:rPr>
        <w:t>a</w:t>
      </w:r>
      <w:r w:rsidRPr="00E95E6D">
        <w:rPr>
          <w:rFonts w:ascii="Times New Roman" w:hAnsi="Times New Roman" w:cs="Times New Roman"/>
          <w:b/>
          <w:bCs/>
          <w:u w:val="single"/>
        </w:rPr>
        <w:t xml:space="preserve">nd </w:t>
      </w:r>
      <w:r w:rsidR="0099002F" w:rsidRPr="00E95E6D">
        <w:rPr>
          <w:rFonts w:ascii="Times New Roman" w:hAnsi="Times New Roman" w:cs="Times New Roman"/>
          <w:b/>
          <w:bCs/>
          <w:u w:val="single"/>
        </w:rPr>
        <w:t>Benefits of the Guidelines</w:t>
      </w:r>
    </w:p>
    <w:p w14:paraId="44D23072" w14:textId="77777777" w:rsidR="00DB0EB1" w:rsidRPr="00E95E6D" w:rsidRDefault="00DB0EB1" w:rsidP="00DB0EB1">
      <w:pPr>
        <w:pStyle w:val="ListParagraph"/>
        <w:spacing w:line="360" w:lineRule="auto"/>
        <w:ind w:left="567"/>
        <w:rPr>
          <w:rFonts w:ascii="Times New Roman" w:hAnsi="Times New Roman" w:cs="Times New Roman"/>
          <w:b/>
          <w:bCs/>
          <w:u w:val="single"/>
        </w:rPr>
      </w:pPr>
    </w:p>
    <w:p w14:paraId="1780803B" w14:textId="5266160D" w:rsidR="00ED1F09" w:rsidRPr="00E95E6D" w:rsidRDefault="00F57542" w:rsidP="00464AA6">
      <w:pPr>
        <w:pStyle w:val="ListParagraph"/>
        <w:numPr>
          <w:ilvl w:val="0"/>
          <w:numId w:val="5"/>
        </w:numPr>
        <w:spacing w:line="360" w:lineRule="auto"/>
        <w:ind w:left="1134" w:hanging="425"/>
        <w:rPr>
          <w:rFonts w:ascii="Times New Roman" w:hAnsi="Times New Roman" w:cs="Times New Roman"/>
          <w:b/>
          <w:bCs/>
        </w:rPr>
      </w:pPr>
      <w:r w:rsidRPr="00E95E6D">
        <w:rPr>
          <w:rFonts w:ascii="Times New Roman" w:hAnsi="Times New Roman" w:cs="Times New Roman"/>
          <w:b/>
          <w:bCs/>
        </w:rPr>
        <w:t>Costs and Efficiency</w:t>
      </w:r>
    </w:p>
    <w:p w14:paraId="3168DF05" w14:textId="77777777" w:rsidR="00B318A3" w:rsidRPr="00E95E6D" w:rsidRDefault="00B318A3" w:rsidP="00B318A3">
      <w:pPr>
        <w:pStyle w:val="ListParagraph"/>
        <w:spacing w:line="360" w:lineRule="auto"/>
        <w:ind w:left="1134"/>
        <w:rPr>
          <w:rFonts w:ascii="Times New Roman" w:hAnsi="Times New Roman" w:cs="Times New Roman"/>
          <w:b/>
          <w:bCs/>
        </w:rPr>
      </w:pPr>
    </w:p>
    <w:p w14:paraId="52BB12DE" w14:textId="0DB37747" w:rsidR="00F8766C" w:rsidRPr="00E95E6D" w:rsidRDefault="00F8766C" w:rsidP="003D6295">
      <w:pPr>
        <w:pStyle w:val="ListParagraph"/>
        <w:numPr>
          <w:ilvl w:val="0"/>
          <w:numId w:val="1"/>
        </w:numPr>
        <w:spacing w:line="360" w:lineRule="auto"/>
        <w:ind w:left="567" w:hanging="425"/>
        <w:jc w:val="both"/>
        <w:rPr>
          <w:rFonts w:ascii="Times New Roman" w:hAnsi="Times New Roman" w:cs="Times New Roman"/>
          <w:b/>
          <w:bCs/>
          <w:u w:val="single"/>
        </w:rPr>
      </w:pPr>
      <w:r w:rsidRPr="00E95E6D">
        <w:rPr>
          <w:rFonts w:ascii="Times New Roman" w:hAnsi="Times New Roman" w:cs="Times New Roman"/>
        </w:rPr>
        <w:t xml:space="preserve">Creditors involved in CBRI proceedings demand a realistic reduction of costs in insolvency administration and increase asset recovery. </w:t>
      </w:r>
      <w:r w:rsidR="00F57542" w:rsidRPr="00E95E6D">
        <w:rPr>
          <w:rFonts w:ascii="Times New Roman" w:hAnsi="Times New Roman" w:cs="Times New Roman"/>
        </w:rPr>
        <w:t xml:space="preserve">Given that the Guidelines have the stated aim of </w:t>
      </w:r>
      <w:r w:rsidR="00FA602F" w:rsidRPr="00E95E6D">
        <w:rPr>
          <w:rFonts w:ascii="Times New Roman" w:hAnsi="Times New Roman" w:cs="Times New Roman"/>
        </w:rPr>
        <w:t xml:space="preserve">optimising costs efficiency in cross-border restructuring and insolvency cases, </w:t>
      </w:r>
      <w:r w:rsidR="008F4F7F" w:rsidRPr="00E95E6D">
        <w:rPr>
          <w:rFonts w:ascii="Times New Roman" w:hAnsi="Times New Roman" w:cs="Times New Roman"/>
        </w:rPr>
        <w:t>it is important to assess the Guidelines on the likelihood that they will achieve this purpose.</w:t>
      </w:r>
    </w:p>
    <w:p w14:paraId="54514021" w14:textId="77777777" w:rsidR="00F8766C" w:rsidRPr="00E95E6D" w:rsidRDefault="00F8766C" w:rsidP="00F8766C">
      <w:pPr>
        <w:pStyle w:val="ListParagraph"/>
        <w:spacing w:line="360" w:lineRule="auto"/>
        <w:ind w:left="567"/>
        <w:jc w:val="both"/>
        <w:rPr>
          <w:rFonts w:ascii="Times New Roman" w:hAnsi="Times New Roman" w:cs="Times New Roman"/>
          <w:b/>
          <w:bCs/>
          <w:u w:val="single"/>
        </w:rPr>
      </w:pPr>
    </w:p>
    <w:p w14:paraId="5554CE90" w14:textId="63FC46BD" w:rsidR="001A4228" w:rsidRPr="00E95E6D" w:rsidRDefault="0039508E" w:rsidP="00352432">
      <w:pPr>
        <w:pStyle w:val="ListParagraph"/>
        <w:numPr>
          <w:ilvl w:val="0"/>
          <w:numId w:val="1"/>
        </w:numPr>
        <w:spacing w:line="360" w:lineRule="auto"/>
        <w:ind w:left="567" w:hanging="425"/>
        <w:jc w:val="both"/>
        <w:rPr>
          <w:rFonts w:ascii="Times New Roman" w:hAnsi="Times New Roman" w:cs="Times New Roman"/>
          <w:b/>
          <w:bCs/>
          <w:u w:val="single"/>
        </w:rPr>
      </w:pPr>
      <w:r w:rsidRPr="00E95E6D">
        <w:rPr>
          <w:rFonts w:ascii="Times New Roman" w:hAnsi="Times New Roman" w:cs="Times New Roman"/>
        </w:rPr>
        <w:t xml:space="preserve">Given the number of parties involved in a CBRI proceedings, the process of drafting an international insolvency protocol can </w:t>
      </w:r>
      <w:r w:rsidR="001A4228" w:rsidRPr="00E95E6D">
        <w:rPr>
          <w:rFonts w:ascii="Times New Roman" w:hAnsi="Times New Roman" w:cs="Times New Roman"/>
        </w:rPr>
        <w:t xml:space="preserve">be complex and </w:t>
      </w:r>
      <w:r w:rsidRPr="00E95E6D">
        <w:rPr>
          <w:rFonts w:ascii="Times New Roman" w:hAnsi="Times New Roman" w:cs="Times New Roman"/>
        </w:rPr>
        <w:t>involve extensive multi-party negotiations. The Guidelines serve as a useful springboard to these negotiations</w:t>
      </w:r>
      <w:r w:rsidR="009A2C1C" w:rsidRPr="00E95E6D">
        <w:rPr>
          <w:rFonts w:ascii="Times New Roman" w:hAnsi="Times New Roman" w:cs="Times New Roman"/>
        </w:rPr>
        <w:t xml:space="preserve"> </w:t>
      </w:r>
      <w:r w:rsidRPr="00E95E6D">
        <w:rPr>
          <w:rFonts w:ascii="Times New Roman" w:hAnsi="Times New Roman" w:cs="Times New Roman"/>
        </w:rPr>
        <w:t xml:space="preserve">by providing certain </w:t>
      </w:r>
      <w:r w:rsidR="001A4228" w:rsidRPr="00E95E6D">
        <w:rPr>
          <w:rFonts w:ascii="Times New Roman" w:hAnsi="Times New Roman" w:cs="Times New Roman"/>
        </w:rPr>
        <w:t xml:space="preserve">default and commonly accepted principles which can </w:t>
      </w:r>
      <w:r w:rsidR="00805847" w:rsidRPr="00E95E6D">
        <w:rPr>
          <w:rFonts w:ascii="Times New Roman" w:hAnsi="Times New Roman" w:cs="Times New Roman"/>
        </w:rPr>
        <w:t>form the basis for the implementation of a protocol</w:t>
      </w:r>
      <w:r w:rsidR="001A4228" w:rsidRPr="00E95E6D">
        <w:rPr>
          <w:rFonts w:ascii="Times New Roman" w:hAnsi="Times New Roman" w:cs="Times New Roman"/>
        </w:rPr>
        <w:t xml:space="preserve">. </w:t>
      </w:r>
    </w:p>
    <w:p w14:paraId="318560B3" w14:textId="77777777" w:rsidR="001A4228" w:rsidRPr="00E95E6D" w:rsidRDefault="001A4228" w:rsidP="001A4228">
      <w:pPr>
        <w:pStyle w:val="ListParagraph"/>
        <w:rPr>
          <w:rFonts w:ascii="Times New Roman" w:hAnsi="Times New Roman" w:cs="Times New Roman"/>
        </w:rPr>
      </w:pPr>
    </w:p>
    <w:p w14:paraId="4143D1D6" w14:textId="5BECED3C" w:rsidR="001A4228" w:rsidRPr="00E95E6D" w:rsidRDefault="001A4228" w:rsidP="001A4228">
      <w:pPr>
        <w:pStyle w:val="ListParagraph"/>
        <w:numPr>
          <w:ilvl w:val="0"/>
          <w:numId w:val="1"/>
        </w:numPr>
        <w:spacing w:line="360" w:lineRule="auto"/>
        <w:ind w:left="567" w:hanging="425"/>
        <w:jc w:val="both"/>
        <w:rPr>
          <w:rFonts w:ascii="Times New Roman" w:hAnsi="Times New Roman" w:cs="Times New Roman"/>
          <w:b/>
          <w:bCs/>
          <w:u w:val="single"/>
        </w:rPr>
      </w:pPr>
      <w:r w:rsidRPr="00E95E6D">
        <w:rPr>
          <w:rFonts w:ascii="Times New Roman" w:hAnsi="Times New Roman" w:cs="Times New Roman"/>
        </w:rPr>
        <w:t xml:space="preserve">This is especially useful in lower value cases involving smaller companies, who may have less available resources to support the cost of negotiating the protocol. </w:t>
      </w:r>
      <w:r w:rsidRPr="00E95E6D">
        <w:rPr>
          <w:rFonts w:ascii="Times New Roman" w:hAnsi="Times New Roman" w:cs="Times New Roman"/>
        </w:rPr>
        <w:t xml:space="preserve">It has been observed by Judge Christopher Sontchi of the United States Bankruptcy Court for the District of Delaware that </w:t>
      </w:r>
      <w:r w:rsidR="00FA07EE" w:rsidRPr="00E95E6D">
        <w:rPr>
          <w:rFonts w:ascii="Times New Roman" w:hAnsi="Times New Roman" w:cs="Times New Roman"/>
        </w:rPr>
        <w:t xml:space="preserve">the JIN Guidelines </w:t>
      </w:r>
      <w:r w:rsidRPr="00E95E6D">
        <w:rPr>
          <w:rFonts w:ascii="Times New Roman" w:hAnsi="Times New Roman" w:cs="Times New Roman"/>
        </w:rPr>
        <w:t>will ‘</w:t>
      </w:r>
      <w:r w:rsidRPr="00E95E6D">
        <w:rPr>
          <w:rFonts w:ascii="Times New Roman" w:hAnsi="Times New Roman" w:cs="Times New Roman"/>
          <w:i/>
          <w:iCs/>
        </w:rPr>
        <w:t>lead to more efficient and prompt coordination and cooperation in many cases, but especially in those smaller cases that in the past have not had the resources to pursue expensive and lengthy negotiations and hearings over a cross-border protocol</w:t>
      </w:r>
      <w:r w:rsidRPr="00E95E6D">
        <w:rPr>
          <w:rFonts w:ascii="Times New Roman" w:hAnsi="Times New Roman" w:cs="Times New Roman"/>
        </w:rPr>
        <w:t>’.</w:t>
      </w:r>
      <w:r w:rsidRPr="00E95E6D">
        <w:rPr>
          <w:rStyle w:val="FootnoteReference"/>
          <w:rFonts w:ascii="Times New Roman" w:hAnsi="Times New Roman" w:cs="Times New Roman"/>
        </w:rPr>
        <w:footnoteReference w:id="12"/>
      </w:r>
      <w:r w:rsidRPr="00E95E6D">
        <w:rPr>
          <w:rFonts w:ascii="Times New Roman" w:hAnsi="Times New Roman" w:cs="Times New Roman"/>
        </w:rPr>
        <w:t xml:space="preserve"> </w:t>
      </w:r>
      <w:r w:rsidR="008903E2" w:rsidRPr="00E95E6D">
        <w:rPr>
          <w:rFonts w:ascii="Times New Roman" w:hAnsi="Times New Roman" w:cs="Times New Roman"/>
        </w:rPr>
        <w:t>Judge Sontchi’s observations are especially pertinent,</w:t>
      </w:r>
      <w:r w:rsidR="00FA07EE" w:rsidRPr="00E95E6D">
        <w:rPr>
          <w:rFonts w:ascii="Times New Roman" w:hAnsi="Times New Roman" w:cs="Times New Roman"/>
        </w:rPr>
        <w:t xml:space="preserve"> given that cases </w:t>
      </w:r>
      <w:r w:rsidR="008903E2" w:rsidRPr="00E95E6D">
        <w:rPr>
          <w:rFonts w:ascii="Times New Roman" w:hAnsi="Times New Roman" w:cs="Times New Roman"/>
        </w:rPr>
        <w:t>involving smaller companies may not necessarily mean that the issues are any less complex or cross-border in nature. The Guideline</w:t>
      </w:r>
      <w:r w:rsidR="00FA07EE" w:rsidRPr="00E95E6D">
        <w:rPr>
          <w:rFonts w:ascii="Times New Roman" w:hAnsi="Times New Roman" w:cs="Times New Roman"/>
        </w:rPr>
        <w:t>s</w:t>
      </w:r>
      <w:r w:rsidR="008903E2" w:rsidRPr="00E95E6D">
        <w:rPr>
          <w:rFonts w:ascii="Times New Roman" w:hAnsi="Times New Roman" w:cs="Times New Roman"/>
        </w:rPr>
        <w:t xml:space="preserve"> therefore perform an extremely useful role in bridging the gap between the need for a protocol and the desire to keep costs manageable.</w:t>
      </w:r>
    </w:p>
    <w:p w14:paraId="12F97D82" w14:textId="77777777" w:rsidR="00171220" w:rsidRPr="00E95E6D" w:rsidRDefault="00171220" w:rsidP="00171220">
      <w:pPr>
        <w:pStyle w:val="ListParagraph"/>
        <w:rPr>
          <w:rFonts w:ascii="Times New Roman" w:hAnsi="Times New Roman" w:cs="Times New Roman"/>
          <w:b/>
          <w:bCs/>
          <w:u w:val="single"/>
        </w:rPr>
      </w:pPr>
    </w:p>
    <w:p w14:paraId="7EE0ABD8" w14:textId="5358B541" w:rsidR="00DA4174" w:rsidRPr="00E95E6D" w:rsidRDefault="00171220" w:rsidP="00805847">
      <w:pPr>
        <w:pStyle w:val="ListParagraph"/>
        <w:numPr>
          <w:ilvl w:val="0"/>
          <w:numId w:val="1"/>
        </w:numPr>
        <w:spacing w:line="360" w:lineRule="auto"/>
        <w:ind w:left="567" w:hanging="425"/>
        <w:jc w:val="both"/>
        <w:rPr>
          <w:rFonts w:ascii="Times New Roman" w:hAnsi="Times New Roman" w:cs="Times New Roman"/>
          <w:b/>
          <w:bCs/>
          <w:u w:val="single"/>
        </w:rPr>
      </w:pPr>
      <w:r w:rsidRPr="00E95E6D">
        <w:rPr>
          <w:rFonts w:ascii="Times New Roman" w:hAnsi="Times New Roman" w:cs="Times New Roman"/>
        </w:rPr>
        <w:t xml:space="preserve">However, one cannot escape from the fact that some upfront costs will have to be incurred in order to implement the </w:t>
      </w:r>
      <w:r w:rsidR="00257656" w:rsidRPr="00E95E6D">
        <w:rPr>
          <w:rFonts w:ascii="Times New Roman" w:hAnsi="Times New Roman" w:cs="Times New Roman"/>
        </w:rPr>
        <w:t xml:space="preserve">protocol, in order that the relevant parties involved in the CBRI proceedings can then reap the benefits in the longer term (including reduced </w:t>
      </w:r>
      <w:r w:rsidR="00FA07EE" w:rsidRPr="00E95E6D">
        <w:rPr>
          <w:rFonts w:ascii="Times New Roman" w:hAnsi="Times New Roman" w:cs="Times New Roman"/>
        </w:rPr>
        <w:t xml:space="preserve">overall </w:t>
      </w:r>
      <w:r w:rsidR="00257656" w:rsidRPr="00E95E6D">
        <w:rPr>
          <w:rFonts w:ascii="Times New Roman" w:hAnsi="Times New Roman" w:cs="Times New Roman"/>
        </w:rPr>
        <w:t>costs).</w:t>
      </w:r>
      <w:r w:rsidR="002D051E" w:rsidRPr="00E95E6D">
        <w:rPr>
          <w:rStyle w:val="FootnoteReference"/>
          <w:rFonts w:ascii="Times New Roman" w:hAnsi="Times New Roman" w:cs="Times New Roman"/>
        </w:rPr>
        <w:footnoteReference w:id="13"/>
      </w:r>
      <w:r w:rsidR="00257656" w:rsidRPr="00E95E6D">
        <w:rPr>
          <w:rFonts w:ascii="Times New Roman" w:hAnsi="Times New Roman" w:cs="Times New Roman"/>
        </w:rPr>
        <w:t xml:space="preserve"> Indeed, </w:t>
      </w:r>
      <w:r w:rsidR="00474C07" w:rsidRPr="00E95E6D">
        <w:rPr>
          <w:rFonts w:ascii="Times New Roman" w:hAnsi="Times New Roman" w:cs="Times New Roman"/>
        </w:rPr>
        <w:t>t</w:t>
      </w:r>
      <w:r w:rsidR="00474C07" w:rsidRPr="00E95E6D">
        <w:rPr>
          <w:rFonts w:ascii="Times New Roman" w:hAnsi="Times New Roman" w:cs="Times New Roman"/>
        </w:rPr>
        <w:t xml:space="preserve">he Guidelines themselves contemplate court-driven proceedings, notwithstanding that this </w:t>
      </w:r>
      <w:r w:rsidR="00474C07" w:rsidRPr="00E95E6D">
        <w:rPr>
          <w:rFonts w:ascii="Times New Roman" w:hAnsi="Times New Roman" w:cs="Times New Roman"/>
        </w:rPr>
        <w:t>may drive up costs, at least in the beginning</w:t>
      </w:r>
      <w:r w:rsidR="00474C07" w:rsidRPr="00E95E6D">
        <w:rPr>
          <w:rFonts w:ascii="Times New Roman" w:hAnsi="Times New Roman" w:cs="Times New Roman"/>
        </w:rPr>
        <w:t>.</w:t>
      </w:r>
      <w:r w:rsidR="00474C07" w:rsidRPr="00E95E6D">
        <w:rPr>
          <w:rFonts w:ascii="Times New Roman" w:hAnsi="Times New Roman" w:cs="Times New Roman"/>
        </w:rPr>
        <w:t xml:space="preserve"> </w:t>
      </w:r>
      <w:r w:rsidR="00257656" w:rsidRPr="00E95E6D">
        <w:rPr>
          <w:rFonts w:ascii="Times New Roman" w:hAnsi="Times New Roman" w:cs="Times New Roman"/>
        </w:rPr>
        <w:t xml:space="preserve">Guideline 2 of the JIN Guidelines provides that a court intending to apply the JIN Guidelines </w:t>
      </w:r>
      <w:r w:rsidR="00257656" w:rsidRPr="00E95E6D">
        <w:rPr>
          <w:rFonts w:ascii="Times New Roman" w:hAnsi="Times New Roman" w:cs="Times New Roman"/>
          <w:i/>
          <w:iCs/>
        </w:rPr>
        <w:t xml:space="preserve">must </w:t>
      </w:r>
      <w:r w:rsidR="00257656" w:rsidRPr="00E95E6D">
        <w:rPr>
          <w:rFonts w:ascii="Times New Roman" w:hAnsi="Times New Roman" w:cs="Times New Roman"/>
        </w:rPr>
        <w:t xml:space="preserve">issue a protocol or order, upon application by </w:t>
      </w:r>
      <w:r w:rsidR="00257656" w:rsidRPr="00E95E6D">
        <w:rPr>
          <w:rFonts w:ascii="Times New Roman" w:hAnsi="Times New Roman" w:cs="Times New Roman"/>
        </w:rPr>
        <w:lastRenderedPageBreak/>
        <w:t xml:space="preserve">the parties or pursuant to a judicial direction. This </w:t>
      </w:r>
      <w:r w:rsidR="00DA4174" w:rsidRPr="00E95E6D">
        <w:rPr>
          <w:rFonts w:ascii="Times New Roman" w:hAnsi="Times New Roman" w:cs="Times New Roman"/>
        </w:rPr>
        <w:t xml:space="preserve">entails upfront costs being incurred by the relevant parties, who will need to take out the necessary application(s) </w:t>
      </w:r>
      <w:r w:rsidR="00805847" w:rsidRPr="00E95E6D">
        <w:rPr>
          <w:rFonts w:ascii="Times New Roman" w:hAnsi="Times New Roman" w:cs="Times New Roman"/>
        </w:rPr>
        <w:t xml:space="preserve">to Court </w:t>
      </w:r>
      <w:r w:rsidR="00DA4174" w:rsidRPr="00E95E6D">
        <w:rPr>
          <w:rFonts w:ascii="Times New Roman" w:hAnsi="Times New Roman" w:cs="Times New Roman"/>
        </w:rPr>
        <w:t xml:space="preserve">for the implementation of the protocol. </w:t>
      </w:r>
    </w:p>
    <w:p w14:paraId="0C2D8205" w14:textId="77777777" w:rsidR="00DA4174" w:rsidRPr="00E95E6D" w:rsidRDefault="00DA4174" w:rsidP="00DA4174">
      <w:pPr>
        <w:pStyle w:val="ListParagraph"/>
        <w:rPr>
          <w:rFonts w:ascii="Times New Roman" w:hAnsi="Times New Roman" w:cs="Times New Roman"/>
        </w:rPr>
      </w:pPr>
    </w:p>
    <w:p w14:paraId="0444BBCC" w14:textId="4B262204" w:rsidR="00474C07" w:rsidRPr="00E95E6D" w:rsidRDefault="00CE7360" w:rsidP="00474C07">
      <w:pPr>
        <w:pStyle w:val="ListParagraph"/>
        <w:numPr>
          <w:ilvl w:val="0"/>
          <w:numId w:val="1"/>
        </w:numPr>
        <w:spacing w:line="360" w:lineRule="auto"/>
        <w:ind w:left="567" w:hanging="425"/>
        <w:jc w:val="both"/>
        <w:rPr>
          <w:rFonts w:ascii="Times New Roman" w:hAnsi="Times New Roman" w:cs="Times New Roman"/>
          <w:b/>
          <w:bCs/>
          <w:u w:val="single"/>
        </w:rPr>
      </w:pPr>
      <w:r w:rsidRPr="00E95E6D">
        <w:rPr>
          <w:rFonts w:ascii="Times New Roman" w:hAnsi="Times New Roman" w:cs="Times New Roman"/>
        </w:rPr>
        <w:t>As</w:t>
      </w:r>
      <w:r w:rsidR="00805847" w:rsidRPr="00E95E6D">
        <w:rPr>
          <w:rFonts w:ascii="Times New Roman" w:hAnsi="Times New Roman" w:cs="Times New Roman"/>
        </w:rPr>
        <w:t xml:space="preserve"> insolvency practitioners, counsel and the Courts themselves gain more familiarity with the Guidelines and the use of such protocols, this </w:t>
      </w:r>
      <w:r w:rsidR="002D051E" w:rsidRPr="00E95E6D">
        <w:rPr>
          <w:rFonts w:ascii="Times New Roman" w:hAnsi="Times New Roman" w:cs="Times New Roman"/>
        </w:rPr>
        <w:t xml:space="preserve">should </w:t>
      </w:r>
      <w:r w:rsidR="00805847" w:rsidRPr="00E95E6D">
        <w:rPr>
          <w:rFonts w:ascii="Times New Roman" w:hAnsi="Times New Roman" w:cs="Times New Roman"/>
        </w:rPr>
        <w:t xml:space="preserve">help to drive down the upfront costs. </w:t>
      </w:r>
      <w:r w:rsidR="00FA07EE" w:rsidRPr="00E95E6D">
        <w:rPr>
          <w:rFonts w:ascii="Times New Roman" w:hAnsi="Times New Roman" w:cs="Times New Roman"/>
        </w:rPr>
        <w:t>As</w:t>
      </w:r>
      <w:r w:rsidR="00805847" w:rsidRPr="00E95E6D">
        <w:rPr>
          <w:rFonts w:ascii="Times New Roman" w:hAnsi="Times New Roman" w:cs="Times New Roman"/>
        </w:rPr>
        <w:t xml:space="preserve"> more protocols are implemented in CBRI proceedings these will serve as useful precedents for future cases, which can either be adopted</w:t>
      </w:r>
      <w:r w:rsidR="00FA07EE" w:rsidRPr="00E95E6D">
        <w:rPr>
          <w:rFonts w:ascii="Times New Roman" w:hAnsi="Times New Roman" w:cs="Times New Roman"/>
        </w:rPr>
        <w:t xml:space="preserve"> in full</w:t>
      </w:r>
      <w:r w:rsidR="00805847" w:rsidRPr="00E95E6D">
        <w:rPr>
          <w:rFonts w:ascii="Times New Roman" w:hAnsi="Times New Roman" w:cs="Times New Roman"/>
        </w:rPr>
        <w:t xml:space="preserve"> or </w:t>
      </w:r>
      <w:r w:rsidR="00FA07EE" w:rsidRPr="00E95E6D">
        <w:rPr>
          <w:rFonts w:ascii="Times New Roman" w:hAnsi="Times New Roman" w:cs="Times New Roman"/>
        </w:rPr>
        <w:t>with the necessary modifications</w:t>
      </w:r>
      <w:r w:rsidR="009210E8" w:rsidRPr="00E95E6D">
        <w:rPr>
          <w:rFonts w:ascii="Times New Roman" w:hAnsi="Times New Roman" w:cs="Times New Roman"/>
        </w:rPr>
        <w:t xml:space="preserve">. Judges </w:t>
      </w:r>
      <w:r w:rsidR="00FA07EE" w:rsidRPr="00E95E6D">
        <w:rPr>
          <w:rFonts w:ascii="Times New Roman" w:hAnsi="Times New Roman" w:cs="Times New Roman"/>
        </w:rPr>
        <w:t>engaged</w:t>
      </w:r>
      <w:r w:rsidR="009210E8" w:rsidRPr="00E95E6D">
        <w:rPr>
          <w:rFonts w:ascii="Times New Roman" w:hAnsi="Times New Roman" w:cs="Times New Roman"/>
        </w:rPr>
        <w:t xml:space="preserve"> in court-to-court communications with one another</w:t>
      </w:r>
      <w:r w:rsidR="00C24EB9" w:rsidRPr="00E95E6D">
        <w:rPr>
          <w:rFonts w:ascii="Times New Roman" w:hAnsi="Times New Roman" w:cs="Times New Roman"/>
        </w:rPr>
        <w:t xml:space="preserve"> </w:t>
      </w:r>
      <w:r w:rsidR="009210E8" w:rsidRPr="00E95E6D">
        <w:rPr>
          <w:rFonts w:ascii="Times New Roman" w:hAnsi="Times New Roman" w:cs="Times New Roman"/>
        </w:rPr>
        <w:t>will also build trust and gain increased familiarity with one another, which is likely to make subsequent interactions smoother and more efficient</w:t>
      </w:r>
      <w:r w:rsidR="002D051E" w:rsidRPr="00E95E6D">
        <w:rPr>
          <w:rFonts w:ascii="Times New Roman" w:hAnsi="Times New Roman" w:cs="Times New Roman"/>
        </w:rPr>
        <w:t>. All of th</w:t>
      </w:r>
      <w:r w:rsidR="00332F64" w:rsidRPr="00E95E6D">
        <w:rPr>
          <w:rFonts w:ascii="Times New Roman" w:hAnsi="Times New Roman" w:cs="Times New Roman"/>
        </w:rPr>
        <w:t>ese</w:t>
      </w:r>
      <w:r w:rsidR="002D051E" w:rsidRPr="00E95E6D">
        <w:rPr>
          <w:rFonts w:ascii="Times New Roman" w:hAnsi="Times New Roman" w:cs="Times New Roman"/>
        </w:rPr>
        <w:t xml:space="preserve"> will help to reduce costs and increase the efficiency of proceedings</w:t>
      </w:r>
      <w:r w:rsidR="00FA07EE" w:rsidRPr="00E95E6D">
        <w:rPr>
          <w:rFonts w:ascii="Times New Roman" w:hAnsi="Times New Roman" w:cs="Times New Roman"/>
        </w:rPr>
        <w:t xml:space="preserve"> for the approval of protocols</w:t>
      </w:r>
      <w:r w:rsidR="002D051E" w:rsidRPr="00E95E6D">
        <w:rPr>
          <w:rFonts w:ascii="Times New Roman" w:hAnsi="Times New Roman" w:cs="Times New Roman"/>
        </w:rPr>
        <w:t>.</w:t>
      </w:r>
    </w:p>
    <w:p w14:paraId="5DB888A4" w14:textId="577DFB7D" w:rsidR="00171220" w:rsidRPr="00E95E6D" w:rsidRDefault="00171220" w:rsidP="00171220">
      <w:pPr>
        <w:pStyle w:val="ListParagraph"/>
        <w:rPr>
          <w:rFonts w:ascii="Times New Roman" w:hAnsi="Times New Roman" w:cs="Times New Roman"/>
          <w:b/>
          <w:bCs/>
          <w:u w:val="single"/>
        </w:rPr>
      </w:pPr>
    </w:p>
    <w:p w14:paraId="2DF1D2EF" w14:textId="43C5E915" w:rsidR="00C24EB9" w:rsidRDefault="00F8766C" w:rsidP="000F3020">
      <w:pPr>
        <w:pStyle w:val="ListParagraph"/>
        <w:numPr>
          <w:ilvl w:val="0"/>
          <w:numId w:val="5"/>
        </w:numPr>
        <w:spacing w:line="360" w:lineRule="auto"/>
        <w:ind w:left="1134" w:hanging="425"/>
        <w:rPr>
          <w:rFonts w:ascii="Times New Roman" w:hAnsi="Times New Roman" w:cs="Times New Roman"/>
          <w:b/>
          <w:bCs/>
        </w:rPr>
      </w:pPr>
      <w:r w:rsidRPr="00E95E6D">
        <w:rPr>
          <w:rFonts w:ascii="Times New Roman" w:hAnsi="Times New Roman" w:cs="Times New Roman"/>
          <w:b/>
          <w:bCs/>
        </w:rPr>
        <w:t xml:space="preserve">Transparency </w:t>
      </w:r>
      <w:r w:rsidR="006C7B12" w:rsidRPr="00E95E6D">
        <w:rPr>
          <w:rFonts w:ascii="Times New Roman" w:hAnsi="Times New Roman" w:cs="Times New Roman"/>
          <w:b/>
          <w:bCs/>
        </w:rPr>
        <w:t>and Due Notice</w:t>
      </w:r>
    </w:p>
    <w:p w14:paraId="1A8B9E2D" w14:textId="77777777" w:rsidR="000F3020" w:rsidRPr="00E95E6D" w:rsidRDefault="000F3020" w:rsidP="000F3020">
      <w:pPr>
        <w:pStyle w:val="ListParagraph"/>
        <w:spacing w:line="360" w:lineRule="auto"/>
        <w:ind w:left="1134"/>
        <w:rPr>
          <w:rFonts w:ascii="Times New Roman" w:hAnsi="Times New Roman" w:cs="Times New Roman"/>
          <w:b/>
          <w:bCs/>
        </w:rPr>
      </w:pPr>
    </w:p>
    <w:p w14:paraId="079BB99C" w14:textId="1DB3E3CD" w:rsidR="00BB0C46" w:rsidRPr="00E95E6D" w:rsidRDefault="00C75B4E" w:rsidP="00D62B81">
      <w:pPr>
        <w:pStyle w:val="ListParagraph"/>
        <w:numPr>
          <w:ilvl w:val="0"/>
          <w:numId w:val="1"/>
        </w:numPr>
        <w:spacing w:line="360" w:lineRule="auto"/>
        <w:ind w:left="567" w:hanging="425"/>
        <w:jc w:val="both"/>
        <w:rPr>
          <w:rFonts w:ascii="Times New Roman" w:hAnsi="Times New Roman" w:cs="Times New Roman"/>
          <w:b/>
          <w:bCs/>
        </w:rPr>
      </w:pPr>
      <w:r w:rsidRPr="00E95E6D">
        <w:rPr>
          <w:rFonts w:ascii="Times New Roman" w:hAnsi="Times New Roman" w:cs="Times New Roman"/>
        </w:rPr>
        <w:t xml:space="preserve">Another of the key feature of the Guidelines is </w:t>
      </w:r>
      <w:r w:rsidR="00EC1C10" w:rsidRPr="00E95E6D">
        <w:rPr>
          <w:rFonts w:ascii="Times New Roman" w:hAnsi="Times New Roman" w:cs="Times New Roman"/>
        </w:rPr>
        <w:t>the emphasis on transparency</w:t>
      </w:r>
      <w:r w:rsidR="00524E06" w:rsidRPr="00E95E6D">
        <w:rPr>
          <w:rFonts w:ascii="Times New Roman" w:hAnsi="Times New Roman" w:cs="Times New Roman"/>
        </w:rPr>
        <w:t xml:space="preserve"> and the need of timely disclosure of information about legal proceedings</w:t>
      </w:r>
      <w:r w:rsidR="00ED535C" w:rsidRPr="00E95E6D">
        <w:rPr>
          <w:rFonts w:ascii="Times New Roman" w:hAnsi="Times New Roman" w:cs="Times New Roman"/>
        </w:rPr>
        <w:t>.</w:t>
      </w:r>
    </w:p>
    <w:p w14:paraId="1936F323" w14:textId="77777777" w:rsidR="00B318A3" w:rsidRPr="00E95E6D" w:rsidRDefault="00B318A3" w:rsidP="00B318A3">
      <w:pPr>
        <w:pStyle w:val="ListParagraph"/>
        <w:spacing w:line="360" w:lineRule="auto"/>
        <w:ind w:left="567"/>
        <w:jc w:val="both"/>
        <w:rPr>
          <w:rFonts w:ascii="Times New Roman" w:hAnsi="Times New Roman" w:cs="Times New Roman"/>
          <w:b/>
          <w:bCs/>
        </w:rPr>
      </w:pPr>
    </w:p>
    <w:p w14:paraId="6B80DD3F" w14:textId="29D6D5CA" w:rsidR="00C24EB9" w:rsidRPr="00E95E6D" w:rsidRDefault="00ED535C" w:rsidP="00524E06">
      <w:pPr>
        <w:pStyle w:val="ListParagraph"/>
        <w:numPr>
          <w:ilvl w:val="0"/>
          <w:numId w:val="1"/>
        </w:numPr>
        <w:spacing w:line="360" w:lineRule="auto"/>
        <w:ind w:left="567" w:hanging="425"/>
        <w:jc w:val="both"/>
        <w:rPr>
          <w:rFonts w:ascii="Times New Roman" w:hAnsi="Times New Roman" w:cs="Times New Roman"/>
          <w:b/>
          <w:bCs/>
        </w:rPr>
      </w:pPr>
      <w:r w:rsidRPr="00E95E6D">
        <w:rPr>
          <w:rFonts w:ascii="Times New Roman" w:hAnsi="Times New Roman" w:cs="Times New Roman"/>
        </w:rPr>
        <w:t xml:space="preserve"> For instance, </w:t>
      </w:r>
      <w:r w:rsidR="006428D7" w:rsidRPr="00E95E6D">
        <w:rPr>
          <w:rFonts w:ascii="Times New Roman" w:hAnsi="Times New Roman" w:cs="Times New Roman"/>
        </w:rPr>
        <w:t>Guideline 7 of the CoCo Guidelines</w:t>
      </w:r>
      <w:r w:rsidR="00FA16F6" w:rsidRPr="00E95E6D">
        <w:rPr>
          <w:rFonts w:ascii="Times New Roman" w:hAnsi="Times New Roman" w:cs="Times New Roman"/>
        </w:rPr>
        <w:t xml:space="preserve"> sets out the information that </w:t>
      </w:r>
      <w:r w:rsidR="00617FAF" w:rsidRPr="00E95E6D">
        <w:rPr>
          <w:rFonts w:ascii="Times New Roman" w:hAnsi="Times New Roman" w:cs="Times New Roman"/>
        </w:rPr>
        <w:t>liquidators</w:t>
      </w:r>
      <w:r w:rsidR="00FA16F6" w:rsidRPr="00E95E6D">
        <w:rPr>
          <w:rFonts w:ascii="Times New Roman" w:hAnsi="Times New Roman" w:cs="Times New Roman"/>
        </w:rPr>
        <w:t xml:space="preserve"> are obliged to disclose</w:t>
      </w:r>
      <w:r w:rsidR="00617FAF" w:rsidRPr="00E95E6D">
        <w:rPr>
          <w:rFonts w:ascii="Times New Roman" w:hAnsi="Times New Roman" w:cs="Times New Roman"/>
        </w:rPr>
        <w:t xml:space="preserve"> to other liquidators</w:t>
      </w:r>
      <w:r w:rsidR="00FA16F6" w:rsidRPr="00E95E6D">
        <w:rPr>
          <w:rFonts w:ascii="Times New Roman" w:hAnsi="Times New Roman" w:cs="Times New Roman"/>
        </w:rPr>
        <w:t xml:space="preserve">, including about the existence and status of </w:t>
      </w:r>
      <w:r w:rsidR="00617FAF" w:rsidRPr="00E95E6D">
        <w:rPr>
          <w:rFonts w:ascii="Times New Roman" w:hAnsi="Times New Roman" w:cs="Times New Roman"/>
        </w:rPr>
        <w:t>the pro</w:t>
      </w:r>
      <w:r w:rsidR="00FA16F6" w:rsidRPr="00E95E6D">
        <w:rPr>
          <w:rFonts w:ascii="Times New Roman" w:hAnsi="Times New Roman" w:cs="Times New Roman"/>
        </w:rPr>
        <w:t>ceedings</w:t>
      </w:r>
      <w:r w:rsidR="00617FAF" w:rsidRPr="00E95E6D">
        <w:rPr>
          <w:rFonts w:ascii="Times New Roman" w:hAnsi="Times New Roman" w:cs="Times New Roman"/>
        </w:rPr>
        <w:t xml:space="preserve"> in which they have been appointed</w:t>
      </w:r>
      <w:r w:rsidR="00FA16F6" w:rsidRPr="00E95E6D">
        <w:rPr>
          <w:rFonts w:ascii="Times New Roman" w:hAnsi="Times New Roman" w:cs="Times New Roman"/>
        </w:rPr>
        <w:t>.</w:t>
      </w:r>
      <w:r w:rsidR="00617FAF" w:rsidRPr="00E95E6D">
        <w:rPr>
          <w:rFonts w:ascii="Times New Roman" w:hAnsi="Times New Roman" w:cs="Times New Roman"/>
        </w:rPr>
        <w:t xml:space="preserve"> They are also required to provide periodic updates to the other liquidators. Principle 18 of the JudgeCo Principles </w:t>
      </w:r>
      <w:r w:rsidR="00DC1F34" w:rsidRPr="00E95E6D">
        <w:rPr>
          <w:rFonts w:ascii="Times New Roman" w:hAnsi="Times New Roman" w:cs="Times New Roman"/>
        </w:rPr>
        <w:t>obliges the relevant court to ensure that all foreign creditors are given sufficient notice of any proceedings commenced</w:t>
      </w:r>
      <w:r w:rsidR="00BB0C46" w:rsidRPr="00E95E6D">
        <w:rPr>
          <w:rFonts w:ascii="Times New Roman" w:hAnsi="Times New Roman" w:cs="Times New Roman"/>
        </w:rPr>
        <w:t xml:space="preserve">, while Principle 19.1 provides that where there are parallel proceedings, each insolvency practitioner should obtain court approval for any action affecting assets or operations in that forum if required by local law. Likewise, </w:t>
      </w:r>
      <w:r w:rsidR="00F20BBB" w:rsidRPr="00E95E6D">
        <w:rPr>
          <w:rFonts w:ascii="Times New Roman" w:hAnsi="Times New Roman" w:cs="Times New Roman"/>
        </w:rPr>
        <w:t xml:space="preserve">Guideline </w:t>
      </w:r>
      <w:r w:rsidR="00BB0C46" w:rsidRPr="00E95E6D">
        <w:rPr>
          <w:rFonts w:ascii="Times New Roman" w:hAnsi="Times New Roman" w:cs="Times New Roman"/>
        </w:rPr>
        <w:t>9 of the JIN Guidelines provides that a court may direct that notice of its proceedings be given to parties in proceedings in another jurisdiction.</w:t>
      </w:r>
      <w:r w:rsidR="00524E06" w:rsidRPr="00E95E6D">
        <w:rPr>
          <w:rFonts w:ascii="Times New Roman" w:hAnsi="Times New Roman" w:cs="Times New Roman"/>
        </w:rPr>
        <w:t xml:space="preserve"> These guidelines build on existing provisions in the Model Law, including Article 14 (Notification to foreign creditors of a proceeding under the laws of the enacting state). </w:t>
      </w:r>
    </w:p>
    <w:p w14:paraId="31D46387" w14:textId="77777777" w:rsidR="00524E06" w:rsidRPr="00E95E6D" w:rsidRDefault="00524E06" w:rsidP="00524E06">
      <w:pPr>
        <w:pStyle w:val="ListParagraph"/>
        <w:spacing w:line="360" w:lineRule="auto"/>
        <w:ind w:left="567"/>
        <w:jc w:val="both"/>
        <w:rPr>
          <w:rFonts w:ascii="Times New Roman" w:hAnsi="Times New Roman" w:cs="Times New Roman"/>
          <w:b/>
          <w:bCs/>
        </w:rPr>
      </w:pPr>
    </w:p>
    <w:p w14:paraId="30B94B21" w14:textId="2189F31D" w:rsidR="00C24EB9" w:rsidRPr="00E95E6D" w:rsidRDefault="00DF1EF4" w:rsidP="00DF1EF4">
      <w:pPr>
        <w:pStyle w:val="ListParagraph"/>
        <w:numPr>
          <w:ilvl w:val="0"/>
          <w:numId w:val="1"/>
        </w:numPr>
        <w:spacing w:line="360" w:lineRule="auto"/>
        <w:ind w:left="567" w:hanging="425"/>
        <w:jc w:val="both"/>
        <w:rPr>
          <w:rFonts w:ascii="Times New Roman" w:hAnsi="Times New Roman" w:cs="Times New Roman"/>
          <w:b/>
          <w:bCs/>
        </w:rPr>
      </w:pPr>
      <w:r w:rsidRPr="00E95E6D">
        <w:rPr>
          <w:rFonts w:ascii="Times New Roman" w:hAnsi="Times New Roman" w:cs="Times New Roman"/>
        </w:rPr>
        <w:t>The assurance that another party will not be allowed to “</w:t>
      </w:r>
      <w:r w:rsidRPr="00E95E6D">
        <w:rPr>
          <w:rFonts w:ascii="Times New Roman" w:hAnsi="Times New Roman" w:cs="Times New Roman"/>
          <w:i/>
          <w:iCs/>
        </w:rPr>
        <w:t>steal a march</w:t>
      </w:r>
      <w:r w:rsidRPr="00E95E6D">
        <w:rPr>
          <w:rFonts w:ascii="Times New Roman" w:hAnsi="Times New Roman" w:cs="Times New Roman"/>
        </w:rPr>
        <w:t xml:space="preserve">” by surreptitiously commencing foreign proceedings helps to increase trust among the parties involved in a CBRI proceeding. Timely disclosure enables all stakeholders, including foreign creditors, to be adequately represented before the Court. </w:t>
      </w:r>
      <w:r w:rsidR="00951428" w:rsidRPr="00E95E6D">
        <w:rPr>
          <w:rFonts w:ascii="Times New Roman" w:hAnsi="Times New Roman" w:cs="Times New Roman"/>
        </w:rPr>
        <w:t>I</w:t>
      </w:r>
      <w:r w:rsidRPr="00E95E6D">
        <w:rPr>
          <w:rFonts w:ascii="Times New Roman" w:hAnsi="Times New Roman" w:cs="Times New Roman"/>
        </w:rPr>
        <w:t xml:space="preserve">t </w:t>
      </w:r>
      <w:r w:rsidR="00951428" w:rsidRPr="00E95E6D">
        <w:rPr>
          <w:rFonts w:ascii="Times New Roman" w:hAnsi="Times New Roman" w:cs="Times New Roman"/>
        </w:rPr>
        <w:t xml:space="preserve">also </w:t>
      </w:r>
      <w:r w:rsidRPr="00E95E6D">
        <w:rPr>
          <w:rFonts w:ascii="Times New Roman" w:hAnsi="Times New Roman" w:cs="Times New Roman"/>
        </w:rPr>
        <w:t>allows the relevant Court to have a holistic appreciation of the full corporate and creditor profile of the restructuring</w:t>
      </w:r>
      <w:r w:rsidR="00F51CC0" w:rsidRPr="00E95E6D">
        <w:rPr>
          <w:rFonts w:ascii="Times New Roman" w:hAnsi="Times New Roman" w:cs="Times New Roman"/>
        </w:rPr>
        <w:t xml:space="preserve">/insolvent company, which leads to better case management and judicial decision-making. Indeed, it may also act as </w:t>
      </w:r>
      <w:r w:rsidR="00F51CC0" w:rsidRPr="00E95E6D">
        <w:rPr>
          <w:rFonts w:ascii="Times New Roman" w:hAnsi="Times New Roman" w:cs="Times New Roman"/>
        </w:rPr>
        <w:lastRenderedPageBreak/>
        <w:t xml:space="preserve">a catalyst for Court to consider the implementation of a protocol, given the involvement of foreign creditors and proceedings. </w:t>
      </w:r>
    </w:p>
    <w:p w14:paraId="76160538" w14:textId="77777777" w:rsidR="00951428" w:rsidRPr="00E95E6D" w:rsidRDefault="00951428" w:rsidP="00951428">
      <w:pPr>
        <w:pStyle w:val="ListParagraph"/>
        <w:rPr>
          <w:rFonts w:ascii="Times New Roman" w:hAnsi="Times New Roman" w:cs="Times New Roman"/>
          <w:b/>
          <w:bCs/>
        </w:rPr>
      </w:pPr>
    </w:p>
    <w:p w14:paraId="44406957" w14:textId="699961A3" w:rsidR="00951428" w:rsidRPr="00E95E6D" w:rsidRDefault="00951428" w:rsidP="00DF1EF4">
      <w:pPr>
        <w:pStyle w:val="ListParagraph"/>
        <w:numPr>
          <w:ilvl w:val="0"/>
          <w:numId w:val="1"/>
        </w:numPr>
        <w:spacing w:line="360" w:lineRule="auto"/>
        <w:ind w:left="567" w:hanging="425"/>
        <w:jc w:val="both"/>
        <w:rPr>
          <w:rFonts w:ascii="Times New Roman" w:hAnsi="Times New Roman" w:cs="Times New Roman"/>
          <w:b/>
          <w:bCs/>
        </w:rPr>
      </w:pPr>
      <w:r w:rsidRPr="00E95E6D">
        <w:rPr>
          <w:rFonts w:ascii="Times New Roman" w:hAnsi="Times New Roman" w:cs="Times New Roman"/>
        </w:rPr>
        <w:t>The principles relating to transparency and notification are compl</w:t>
      </w:r>
      <w:r w:rsidR="0099715E">
        <w:rPr>
          <w:rFonts w:ascii="Times New Roman" w:hAnsi="Times New Roman" w:cs="Times New Roman"/>
        </w:rPr>
        <w:t>emented</w:t>
      </w:r>
      <w:r w:rsidRPr="00E95E6D">
        <w:rPr>
          <w:rFonts w:ascii="Times New Roman" w:hAnsi="Times New Roman" w:cs="Times New Roman"/>
        </w:rPr>
        <w:t xml:space="preserve"> by equal emphasis in the Guidelines on equality of arms, which stipulate there should be no substantial disadvantage to any party (including any foreign creditor) in terms of the ability to present its case: see for </w:t>
      </w:r>
      <w:r w:rsidRPr="00E95E6D">
        <w:rPr>
          <w:rFonts w:ascii="Times New Roman" w:hAnsi="Times New Roman" w:cs="Times New Roman"/>
          <w:i/>
          <w:iCs/>
        </w:rPr>
        <w:t>e.g.</w:t>
      </w:r>
      <w:r w:rsidR="00696B6B" w:rsidRPr="00E95E6D">
        <w:rPr>
          <w:rFonts w:ascii="Times New Roman" w:hAnsi="Times New Roman" w:cs="Times New Roman"/>
        </w:rPr>
        <w:t>,</w:t>
      </w:r>
      <w:r w:rsidRPr="00E95E6D">
        <w:rPr>
          <w:rFonts w:ascii="Times New Roman" w:hAnsi="Times New Roman" w:cs="Times New Roman"/>
        </w:rPr>
        <w:t xml:space="preserve"> Principle 6 of the JudgeCo Principles</w:t>
      </w:r>
      <w:r w:rsidR="00B44F6C" w:rsidRPr="00E95E6D">
        <w:rPr>
          <w:rFonts w:ascii="Times New Roman" w:hAnsi="Times New Roman" w:cs="Times New Roman"/>
        </w:rPr>
        <w:t>.</w:t>
      </w:r>
    </w:p>
    <w:p w14:paraId="1319CCCF" w14:textId="28AD1F40" w:rsidR="00C24EB9" w:rsidRPr="00E95E6D" w:rsidRDefault="00C24EB9" w:rsidP="00C24EB9">
      <w:pPr>
        <w:pStyle w:val="ListParagraph"/>
        <w:spacing w:after="0" w:line="360" w:lineRule="auto"/>
        <w:ind w:left="1134"/>
        <w:rPr>
          <w:rFonts w:ascii="Times New Roman" w:hAnsi="Times New Roman" w:cs="Times New Roman"/>
          <w:b/>
          <w:bCs/>
        </w:rPr>
      </w:pPr>
    </w:p>
    <w:p w14:paraId="43ACBB1B" w14:textId="1720949A" w:rsidR="007E5CD8" w:rsidRPr="00E95E6D" w:rsidRDefault="009950B5" w:rsidP="000F3020">
      <w:pPr>
        <w:pStyle w:val="ListParagraph"/>
        <w:numPr>
          <w:ilvl w:val="0"/>
          <w:numId w:val="5"/>
        </w:numPr>
        <w:spacing w:after="0" w:line="360" w:lineRule="auto"/>
        <w:ind w:left="1134" w:hanging="425"/>
        <w:rPr>
          <w:rFonts w:ascii="Times New Roman" w:hAnsi="Times New Roman" w:cs="Times New Roman"/>
          <w:b/>
          <w:bCs/>
        </w:rPr>
      </w:pPr>
      <w:r w:rsidRPr="00E95E6D">
        <w:rPr>
          <w:rFonts w:ascii="Times New Roman" w:hAnsi="Times New Roman" w:cs="Times New Roman"/>
          <w:b/>
          <w:bCs/>
        </w:rPr>
        <w:t xml:space="preserve">Right of Audience for Foreign </w:t>
      </w:r>
      <w:r w:rsidR="007E5CD8" w:rsidRPr="00E95E6D">
        <w:rPr>
          <w:rFonts w:ascii="Times New Roman" w:hAnsi="Times New Roman" w:cs="Times New Roman"/>
          <w:b/>
          <w:bCs/>
        </w:rPr>
        <w:t>Representative</w:t>
      </w:r>
      <w:r w:rsidRPr="00E95E6D">
        <w:rPr>
          <w:rFonts w:ascii="Times New Roman" w:hAnsi="Times New Roman" w:cs="Times New Roman"/>
          <w:b/>
          <w:bCs/>
        </w:rPr>
        <w:t xml:space="preserve">s </w:t>
      </w:r>
    </w:p>
    <w:p w14:paraId="0BA0DD53" w14:textId="77777777" w:rsidR="00DB0EB1" w:rsidRPr="00E95E6D" w:rsidRDefault="00DB0EB1" w:rsidP="00DB0EB1">
      <w:pPr>
        <w:pStyle w:val="ListParagraph"/>
        <w:spacing w:after="0" w:line="360" w:lineRule="auto"/>
        <w:ind w:left="1134"/>
        <w:rPr>
          <w:rFonts w:ascii="Times New Roman" w:hAnsi="Times New Roman" w:cs="Times New Roman"/>
          <w:b/>
          <w:bCs/>
        </w:rPr>
      </w:pPr>
    </w:p>
    <w:p w14:paraId="752D01A7" w14:textId="1DC56BDD" w:rsidR="00C929AC" w:rsidRPr="0099715E" w:rsidRDefault="003A35BB" w:rsidP="0099715E">
      <w:pPr>
        <w:pStyle w:val="ListParagraph"/>
        <w:numPr>
          <w:ilvl w:val="0"/>
          <w:numId w:val="1"/>
        </w:numPr>
        <w:spacing w:line="360" w:lineRule="auto"/>
        <w:ind w:left="567" w:hanging="425"/>
        <w:jc w:val="both"/>
        <w:rPr>
          <w:rFonts w:ascii="Times New Roman" w:hAnsi="Times New Roman" w:cs="Times New Roman"/>
          <w:b/>
          <w:bCs/>
          <w:u w:val="single"/>
        </w:rPr>
      </w:pPr>
      <w:r w:rsidRPr="00E95E6D">
        <w:rPr>
          <w:rFonts w:ascii="Times New Roman" w:hAnsi="Times New Roman" w:cs="Times New Roman"/>
        </w:rPr>
        <w:t>CBRI proceedings often involve transnational and inter-connected issues of foreign and local law, and the ability of foreign legal counsel and insolvency practitioners to</w:t>
      </w:r>
      <w:r w:rsidR="001E4C64" w:rsidRPr="00E95E6D">
        <w:rPr>
          <w:rFonts w:ascii="Times New Roman" w:hAnsi="Times New Roman" w:cs="Times New Roman"/>
        </w:rPr>
        <w:t xml:space="preserve"> appear and be heard before a court without necessarily submitting to the court’s jurisdiction is </w:t>
      </w:r>
      <w:r w:rsidR="00DB0EB1" w:rsidRPr="00E95E6D">
        <w:rPr>
          <w:rFonts w:ascii="Times New Roman" w:hAnsi="Times New Roman" w:cs="Times New Roman"/>
        </w:rPr>
        <w:t>critical</w:t>
      </w:r>
      <w:r w:rsidR="001E4C64" w:rsidRPr="00E95E6D">
        <w:rPr>
          <w:rFonts w:ascii="Times New Roman" w:hAnsi="Times New Roman" w:cs="Times New Roman"/>
        </w:rPr>
        <w:t>.</w:t>
      </w:r>
    </w:p>
    <w:p w14:paraId="39C7AF7D" w14:textId="77777777" w:rsidR="0099715E" w:rsidRPr="00E95E6D" w:rsidRDefault="0099715E" w:rsidP="0099715E">
      <w:pPr>
        <w:pStyle w:val="ListParagraph"/>
        <w:spacing w:line="360" w:lineRule="auto"/>
        <w:ind w:left="567"/>
        <w:jc w:val="both"/>
        <w:rPr>
          <w:rFonts w:ascii="Times New Roman" w:hAnsi="Times New Roman" w:cs="Times New Roman"/>
          <w:b/>
          <w:bCs/>
          <w:u w:val="single"/>
        </w:rPr>
      </w:pPr>
    </w:p>
    <w:p w14:paraId="36D82003" w14:textId="44AA61FC" w:rsidR="0035306F" w:rsidRPr="00E95E6D" w:rsidRDefault="00C929AC" w:rsidP="00E672F7">
      <w:pPr>
        <w:pStyle w:val="ListParagraph"/>
        <w:numPr>
          <w:ilvl w:val="0"/>
          <w:numId w:val="1"/>
        </w:numPr>
        <w:spacing w:line="360" w:lineRule="auto"/>
        <w:ind w:left="567" w:hanging="425"/>
        <w:jc w:val="both"/>
        <w:rPr>
          <w:rFonts w:ascii="Times New Roman" w:hAnsi="Times New Roman" w:cs="Times New Roman"/>
          <w:b/>
          <w:bCs/>
          <w:u w:val="single"/>
        </w:rPr>
      </w:pPr>
      <w:r w:rsidRPr="00E95E6D">
        <w:rPr>
          <w:rFonts w:ascii="Times New Roman" w:hAnsi="Times New Roman" w:cs="Times New Roman"/>
        </w:rPr>
        <w:t>Guideline</w:t>
      </w:r>
      <w:r w:rsidR="00BA2B64" w:rsidRPr="00E95E6D">
        <w:rPr>
          <w:rFonts w:ascii="Times New Roman" w:hAnsi="Times New Roman" w:cs="Times New Roman"/>
        </w:rPr>
        <w:t>s</w:t>
      </w:r>
      <w:r w:rsidRPr="00E95E6D">
        <w:rPr>
          <w:rFonts w:ascii="Times New Roman" w:hAnsi="Times New Roman" w:cs="Times New Roman"/>
        </w:rPr>
        <w:t xml:space="preserve"> 10 </w:t>
      </w:r>
      <w:r w:rsidR="00BA2B64" w:rsidRPr="00E95E6D">
        <w:rPr>
          <w:rFonts w:ascii="Times New Roman" w:hAnsi="Times New Roman" w:cs="Times New Roman"/>
        </w:rPr>
        <w:t xml:space="preserve">and 11 </w:t>
      </w:r>
      <w:r w:rsidRPr="00E95E6D">
        <w:rPr>
          <w:rFonts w:ascii="Times New Roman" w:hAnsi="Times New Roman" w:cs="Times New Roman"/>
        </w:rPr>
        <w:t xml:space="preserve">of the JIN Guidelines </w:t>
      </w:r>
      <w:r w:rsidR="00BA2B64" w:rsidRPr="00E95E6D">
        <w:rPr>
          <w:rFonts w:ascii="Times New Roman" w:hAnsi="Times New Roman" w:cs="Times New Roman"/>
        </w:rPr>
        <w:t>allow</w:t>
      </w:r>
      <w:r w:rsidRPr="00E95E6D">
        <w:rPr>
          <w:rFonts w:ascii="Times New Roman" w:hAnsi="Times New Roman" w:cs="Times New Roman"/>
        </w:rPr>
        <w:t xml:space="preserve"> </w:t>
      </w:r>
      <w:r w:rsidR="00BA2B64" w:rsidRPr="00E95E6D">
        <w:rPr>
          <w:rFonts w:ascii="Times New Roman" w:hAnsi="Times New Roman" w:cs="Times New Roman"/>
        </w:rPr>
        <w:t xml:space="preserve">a court to authorise </w:t>
      </w:r>
      <w:r w:rsidRPr="00E95E6D">
        <w:rPr>
          <w:rFonts w:ascii="Times New Roman" w:hAnsi="Times New Roman" w:cs="Times New Roman"/>
        </w:rPr>
        <w:t xml:space="preserve">foreign counsel </w:t>
      </w:r>
      <w:r w:rsidR="00BA2B64" w:rsidRPr="00E95E6D">
        <w:rPr>
          <w:rFonts w:ascii="Times New Roman" w:hAnsi="Times New Roman" w:cs="Times New Roman"/>
        </w:rPr>
        <w:t>to appear before it, including to</w:t>
      </w:r>
      <w:r w:rsidRPr="00E95E6D">
        <w:rPr>
          <w:rFonts w:ascii="Times New Roman" w:hAnsi="Times New Roman" w:cs="Times New Roman"/>
        </w:rPr>
        <w:t xml:space="preserve"> </w:t>
      </w:r>
      <w:r w:rsidR="007E5CD8" w:rsidRPr="00E95E6D">
        <w:rPr>
          <w:rFonts w:ascii="Times New Roman" w:hAnsi="Times New Roman" w:cs="Times New Roman"/>
        </w:rPr>
        <w:t>submit on</w:t>
      </w:r>
      <w:r w:rsidR="001E4C64" w:rsidRPr="00E95E6D">
        <w:rPr>
          <w:rFonts w:ascii="Times New Roman" w:hAnsi="Times New Roman" w:cs="Times New Roman"/>
        </w:rPr>
        <w:t xml:space="preserve"> </w:t>
      </w:r>
      <w:r w:rsidR="00AF58C4" w:rsidRPr="00E95E6D">
        <w:rPr>
          <w:rFonts w:ascii="Times New Roman" w:hAnsi="Times New Roman" w:cs="Times New Roman"/>
        </w:rPr>
        <w:t>foreign parallel proceedings</w:t>
      </w:r>
      <w:r w:rsidR="00BA2B64" w:rsidRPr="00E95E6D">
        <w:rPr>
          <w:rFonts w:ascii="Times New Roman" w:hAnsi="Times New Roman" w:cs="Times New Roman"/>
        </w:rPr>
        <w:t xml:space="preserve"> and</w:t>
      </w:r>
      <w:r w:rsidR="00AF58C4" w:rsidRPr="00E95E6D">
        <w:rPr>
          <w:rFonts w:ascii="Times New Roman" w:hAnsi="Times New Roman" w:cs="Times New Roman"/>
        </w:rPr>
        <w:t xml:space="preserve"> </w:t>
      </w:r>
      <w:r w:rsidR="00BA2B64" w:rsidRPr="00E95E6D">
        <w:rPr>
          <w:rFonts w:ascii="Times New Roman" w:hAnsi="Times New Roman" w:cs="Times New Roman"/>
        </w:rPr>
        <w:t>any</w:t>
      </w:r>
      <w:r w:rsidR="00AF58C4" w:rsidRPr="00E95E6D">
        <w:rPr>
          <w:rFonts w:ascii="Times New Roman" w:hAnsi="Times New Roman" w:cs="Times New Roman"/>
        </w:rPr>
        <w:t xml:space="preserve"> specific matter without becoming subject to </w:t>
      </w:r>
      <w:r w:rsidR="00BA2B64" w:rsidRPr="00E95E6D">
        <w:rPr>
          <w:rFonts w:ascii="Times New Roman" w:hAnsi="Times New Roman" w:cs="Times New Roman"/>
        </w:rPr>
        <w:t>the court’s</w:t>
      </w:r>
      <w:r w:rsidR="00AF58C4" w:rsidRPr="00E95E6D">
        <w:rPr>
          <w:rFonts w:ascii="Times New Roman" w:hAnsi="Times New Roman" w:cs="Times New Roman"/>
        </w:rPr>
        <w:t xml:space="preserve"> jurisdiction.</w:t>
      </w:r>
      <w:r w:rsidR="00BA2B64" w:rsidRPr="00E95E6D">
        <w:rPr>
          <w:rFonts w:ascii="Times New Roman" w:hAnsi="Times New Roman" w:cs="Times New Roman"/>
        </w:rPr>
        <w:t xml:space="preserve"> </w:t>
      </w:r>
    </w:p>
    <w:p w14:paraId="1C50F480" w14:textId="77777777" w:rsidR="0035306F" w:rsidRPr="00E95E6D" w:rsidRDefault="0035306F" w:rsidP="009950B5">
      <w:pPr>
        <w:pStyle w:val="ListParagraph"/>
        <w:spacing w:line="360" w:lineRule="auto"/>
        <w:rPr>
          <w:rFonts w:ascii="Times New Roman" w:hAnsi="Times New Roman" w:cs="Times New Roman"/>
        </w:rPr>
      </w:pPr>
    </w:p>
    <w:p w14:paraId="4AB3D44C" w14:textId="07708738" w:rsidR="008F4F7F" w:rsidRPr="00E95E6D" w:rsidRDefault="003045E6" w:rsidP="00E672F7">
      <w:pPr>
        <w:pStyle w:val="ListParagraph"/>
        <w:numPr>
          <w:ilvl w:val="0"/>
          <w:numId w:val="1"/>
        </w:numPr>
        <w:spacing w:line="360" w:lineRule="auto"/>
        <w:ind w:left="567" w:hanging="425"/>
        <w:jc w:val="both"/>
        <w:rPr>
          <w:rFonts w:ascii="Times New Roman" w:hAnsi="Times New Roman" w:cs="Times New Roman"/>
          <w:b/>
          <w:bCs/>
          <w:u w:val="single"/>
        </w:rPr>
      </w:pPr>
      <w:r w:rsidRPr="00E95E6D">
        <w:rPr>
          <w:rFonts w:ascii="Times New Roman" w:hAnsi="Times New Roman" w:cs="Times New Roman"/>
        </w:rPr>
        <w:t>Th</w:t>
      </w:r>
      <w:r w:rsidR="002D051E" w:rsidRPr="00E95E6D">
        <w:rPr>
          <w:rFonts w:ascii="Times New Roman" w:hAnsi="Times New Roman" w:cs="Times New Roman"/>
        </w:rPr>
        <w:t>e</w:t>
      </w:r>
      <w:r w:rsidRPr="00E95E6D">
        <w:rPr>
          <w:rFonts w:ascii="Times New Roman" w:hAnsi="Times New Roman" w:cs="Times New Roman"/>
        </w:rPr>
        <w:t xml:space="preserve"> libera</w:t>
      </w:r>
      <w:r w:rsidR="007E5CD8" w:rsidRPr="00E95E6D">
        <w:rPr>
          <w:rFonts w:ascii="Times New Roman" w:hAnsi="Times New Roman" w:cs="Times New Roman"/>
        </w:rPr>
        <w:t>lis</w:t>
      </w:r>
      <w:r w:rsidR="00DB0EB1" w:rsidRPr="00E95E6D">
        <w:rPr>
          <w:rFonts w:ascii="Times New Roman" w:hAnsi="Times New Roman" w:cs="Times New Roman"/>
        </w:rPr>
        <w:t>ation</w:t>
      </w:r>
      <w:r w:rsidRPr="00E95E6D">
        <w:rPr>
          <w:rFonts w:ascii="Times New Roman" w:hAnsi="Times New Roman" w:cs="Times New Roman"/>
        </w:rPr>
        <w:t xml:space="preserve"> of </w:t>
      </w:r>
      <w:r w:rsidR="007E5CD8" w:rsidRPr="00E95E6D">
        <w:rPr>
          <w:rFonts w:ascii="Times New Roman" w:hAnsi="Times New Roman" w:cs="Times New Roman"/>
        </w:rPr>
        <w:t xml:space="preserve">the right of </w:t>
      </w:r>
      <w:r w:rsidRPr="00E95E6D">
        <w:rPr>
          <w:rFonts w:ascii="Times New Roman" w:hAnsi="Times New Roman" w:cs="Times New Roman"/>
        </w:rPr>
        <w:t>audience</w:t>
      </w:r>
      <w:r w:rsidR="00DB0EB1" w:rsidRPr="00E95E6D">
        <w:rPr>
          <w:rFonts w:ascii="Times New Roman" w:hAnsi="Times New Roman" w:cs="Times New Roman"/>
        </w:rPr>
        <w:t xml:space="preserve"> of</w:t>
      </w:r>
      <w:r w:rsidR="007E5CD8" w:rsidRPr="00E95E6D">
        <w:rPr>
          <w:rFonts w:ascii="Times New Roman" w:hAnsi="Times New Roman" w:cs="Times New Roman"/>
        </w:rPr>
        <w:t xml:space="preserve"> foreign counsel improve</w:t>
      </w:r>
      <w:r w:rsidR="002D051E" w:rsidRPr="00E95E6D">
        <w:rPr>
          <w:rFonts w:ascii="Times New Roman" w:hAnsi="Times New Roman" w:cs="Times New Roman"/>
        </w:rPr>
        <w:t>s</w:t>
      </w:r>
      <w:r w:rsidR="00AF58C4" w:rsidRPr="00E95E6D">
        <w:rPr>
          <w:rFonts w:ascii="Times New Roman" w:hAnsi="Times New Roman" w:cs="Times New Roman"/>
        </w:rPr>
        <w:t xml:space="preserve"> the quality of information available to the </w:t>
      </w:r>
      <w:r w:rsidR="007E5CD8" w:rsidRPr="00E95E6D">
        <w:rPr>
          <w:rFonts w:ascii="Times New Roman" w:hAnsi="Times New Roman" w:cs="Times New Roman"/>
        </w:rPr>
        <w:t xml:space="preserve">relevant </w:t>
      </w:r>
      <w:r w:rsidR="00AF58C4" w:rsidRPr="00E95E6D">
        <w:rPr>
          <w:rFonts w:ascii="Times New Roman" w:hAnsi="Times New Roman" w:cs="Times New Roman"/>
        </w:rPr>
        <w:t xml:space="preserve">Court, who will benefit from </w:t>
      </w:r>
      <w:r w:rsidR="007E5CD8" w:rsidRPr="00E95E6D">
        <w:rPr>
          <w:rFonts w:ascii="Times New Roman" w:hAnsi="Times New Roman" w:cs="Times New Roman"/>
        </w:rPr>
        <w:t>hearing first-hand submissions by</w:t>
      </w:r>
      <w:r w:rsidR="00AF58C4" w:rsidRPr="00E95E6D">
        <w:rPr>
          <w:rFonts w:ascii="Times New Roman" w:hAnsi="Times New Roman" w:cs="Times New Roman"/>
        </w:rPr>
        <w:t xml:space="preserve"> foreign counsel,</w:t>
      </w:r>
      <w:r w:rsidR="007E5CD8" w:rsidRPr="00E95E6D">
        <w:rPr>
          <w:rFonts w:ascii="Times New Roman" w:hAnsi="Times New Roman" w:cs="Times New Roman"/>
        </w:rPr>
        <w:t xml:space="preserve"> particularly on matters pertaining to the foreign proceedings and foreign law. It</w:t>
      </w:r>
      <w:r w:rsidR="00AF58C4" w:rsidRPr="00E95E6D">
        <w:rPr>
          <w:rFonts w:ascii="Times New Roman" w:hAnsi="Times New Roman" w:cs="Times New Roman"/>
        </w:rPr>
        <w:t xml:space="preserve"> also deepens the level of collaboration of the</w:t>
      </w:r>
      <w:r w:rsidR="007E5CD8" w:rsidRPr="00E95E6D">
        <w:rPr>
          <w:rFonts w:ascii="Times New Roman" w:hAnsi="Times New Roman" w:cs="Times New Roman"/>
        </w:rPr>
        <w:t xml:space="preserve"> different</w:t>
      </w:r>
      <w:r w:rsidR="00AF58C4" w:rsidRPr="00E95E6D">
        <w:rPr>
          <w:rFonts w:ascii="Times New Roman" w:hAnsi="Times New Roman" w:cs="Times New Roman"/>
        </w:rPr>
        <w:t xml:space="preserve"> teams of legal counsel representing a party across different jurisdictions. Th</w:t>
      </w:r>
      <w:r w:rsidR="002D051E" w:rsidRPr="00E95E6D">
        <w:rPr>
          <w:rFonts w:ascii="Times New Roman" w:hAnsi="Times New Roman" w:cs="Times New Roman"/>
        </w:rPr>
        <w:t>e</w:t>
      </w:r>
      <w:r w:rsidR="00AF58C4" w:rsidRPr="00E95E6D">
        <w:rPr>
          <w:rFonts w:ascii="Times New Roman" w:hAnsi="Times New Roman" w:cs="Times New Roman"/>
        </w:rPr>
        <w:t xml:space="preserve"> ability of local and foreign lawyers to appear jointly before the court </w:t>
      </w:r>
      <w:r w:rsidR="00BA2B64" w:rsidRPr="00E95E6D">
        <w:rPr>
          <w:rFonts w:ascii="Times New Roman" w:hAnsi="Times New Roman" w:cs="Times New Roman"/>
        </w:rPr>
        <w:t>is likely to</w:t>
      </w:r>
      <w:r w:rsidR="00AF58C4" w:rsidRPr="00E95E6D">
        <w:rPr>
          <w:rFonts w:ascii="Times New Roman" w:hAnsi="Times New Roman" w:cs="Times New Roman"/>
        </w:rPr>
        <w:t xml:space="preserve"> facilitate the efficient and effective </w:t>
      </w:r>
      <w:r w:rsidR="005C2D45">
        <w:rPr>
          <w:rFonts w:ascii="Times New Roman" w:hAnsi="Times New Roman" w:cs="Times New Roman"/>
        </w:rPr>
        <w:t xml:space="preserve">delivery </w:t>
      </w:r>
      <w:r w:rsidR="00AF58C4" w:rsidRPr="00E95E6D">
        <w:rPr>
          <w:rFonts w:ascii="Times New Roman" w:hAnsi="Times New Roman" w:cs="Times New Roman"/>
        </w:rPr>
        <w:t xml:space="preserve">of </w:t>
      </w:r>
      <w:r w:rsidR="005C2D45">
        <w:rPr>
          <w:rFonts w:ascii="Times New Roman" w:hAnsi="Times New Roman" w:cs="Times New Roman"/>
        </w:rPr>
        <w:t>legal submissions</w:t>
      </w:r>
      <w:r w:rsidR="002D051E" w:rsidRPr="00E95E6D">
        <w:rPr>
          <w:rFonts w:ascii="Times New Roman" w:hAnsi="Times New Roman" w:cs="Times New Roman"/>
        </w:rPr>
        <w:t xml:space="preserve">, </w:t>
      </w:r>
      <w:r w:rsidR="00AF58C4" w:rsidRPr="00E95E6D">
        <w:rPr>
          <w:rFonts w:ascii="Times New Roman" w:hAnsi="Times New Roman" w:cs="Times New Roman"/>
        </w:rPr>
        <w:t>assist the court in resolving any cross-jurisdiction issues</w:t>
      </w:r>
      <w:r w:rsidR="002D051E" w:rsidRPr="00E95E6D">
        <w:rPr>
          <w:rFonts w:ascii="Times New Roman" w:hAnsi="Times New Roman" w:cs="Times New Roman"/>
        </w:rPr>
        <w:t xml:space="preserve">, and </w:t>
      </w:r>
      <w:r w:rsidR="007E5CD8" w:rsidRPr="00E95E6D">
        <w:rPr>
          <w:rFonts w:ascii="Times New Roman" w:hAnsi="Times New Roman" w:cs="Times New Roman"/>
        </w:rPr>
        <w:t>reduce</w:t>
      </w:r>
      <w:r w:rsidR="002D051E" w:rsidRPr="00E95E6D">
        <w:rPr>
          <w:rFonts w:ascii="Times New Roman" w:hAnsi="Times New Roman" w:cs="Times New Roman"/>
        </w:rPr>
        <w:t xml:space="preserve"> the</w:t>
      </w:r>
      <w:r w:rsidR="007E5CD8" w:rsidRPr="00E95E6D">
        <w:rPr>
          <w:rFonts w:ascii="Times New Roman" w:hAnsi="Times New Roman" w:cs="Times New Roman"/>
        </w:rPr>
        <w:t xml:space="preserve"> costs associated with filing expert reports and affidavits to formally adduce evidence </w:t>
      </w:r>
      <w:r w:rsidR="00DB0EB1" w:rsidRPr="00E95E6D">
        <w:rPr>
          <w:rFonts w:ascii="Times New Roman" w:hAnsi="Times New Roman" w:cs="Times New Roman"/>
        </w:rPr>
        <w:t>on foreign law</w:t>
      </w:r>
      <w:r w:rsidR="007E5CD8" w:rsidRPr="00E95E6D">
        <w:rPr>
          <w:rFonts w:ascii="Times New Roman" w:hAnsi="Times New Roman" w:cs="Times New Roman"/>
        </w:rPr>
        <w:t>.</w:t>
      </w:r>
    </w:p>
    <w:p w14:paraId="2399DCFF" w14:textId="77777777" w:rsidR="00BA2B64" w:rsidRPr="00E95E6D" w:rsidRDefault="00BA2B64" w:rsidP="009950B5">
      <w:pPr>
        <w:pStyle w:val="ListParagraph"/>
        <w:spacing w:line="360" w:lineRule="auto"/>
        <w:rPr>
          <w:rFonts w:ascii="Times New Roman" w:hAnsi="Times New Roman" w:cs="Times New Roman"/>
          <w:b/>
          <w:bCs/>
          <w:u w:val="single"/>
        </w:rPr>
      </w:pPr>
    </w:p>
    <w:p w14:paraId="626A505D" w14:textId="6C903D11" w:rsidR="00BA2B64" w:rsidRPr="00E95E6D" w:rsidRDefault="00871B8C" w:rsidP="00E672F7">
      <w:pPr>
        <w:pStyle w:val="ListParagraph"/>
        <w:numPr>
          <w:ilvl w:val="0"/>
          <w:numId w:val="1"/>
        </w:numPr>
        <w:spacing w:line="360" w:lineRule="auto"/>
        <w:ind w:left="567" w:hanging="425"/>
        <w:jc w:val="both"/>
        <w:rPr>
          <w:rFonts w:ascii="Times New Roman" w:hAnsi="Times New Roman" w:cs="Times New Roman"/>
          <w:b/>
          <w:bCs/>
          <w:u w:val="single"/>
        </w:rPr>
      </w:pPr>
      <w:r w:rsidRPr="00E95E6D">
        <w:rPr>
          <w:rFonts w:ascii="Times New Roman" w:hAnsi="Times New Roman" w:cs="Times New Roman"/>
        </w:rPr>
        <w:t xml:space="preserve">Allowing foreign counsel </w:t>
      </w:r>
      <w:r w:rsidR="0049273B" w:rsidRPr="00E95E6D">
        <w:rPr>
          <w:rFonts w:ascii="Times New Roman" w:hAnsi="Times New Roman" w:cs="Times New Roman"/>
        </w:rPr>
        <w:t>audience rights</w:t>
      </w:r>
      <w:r w:rsidRPr="00E95E6D">
        <w:rPr>
          <w:rFonts w:ascii="Times New Roman" w:hAnsi="Times New Roman" w:cs="Times New Roman"/>
        </w:rPr>
        <w:t xml:space="preserve"> </w:t>
      </w:r>
      <w:r w:rsidR="0049273B" w:rsidRPr="00E95E6D">
        <w:rPr>
          <w:rFonts w:ascii="Times New Roman" w:hAnsi="Times New Roman" w:cs="Times New Roman"/>
        </w:rPr>
        <w:t xml:space="preserve">may </w:t>
      </w:r>
      <w:r w:rsidRPr="00E95E6D">
        <w:rPr>
          <w:rFonts w:ascii="Times New Roman" w:hAnsi="Times New Roman" w:cs="Times New Roman"/>
        </w:rPr>
        <w:t xml:space="preserve">raise </w:t>
      </w:r>
      <w:r w:rsidR="00332F64" w:rsidRPr="00E95E6D">
        <w:rPr>
          <w:rFonts w:ascii="Times New Roman" w:hAnsi="Times New Roman" w:cs="Times New Roman"/>
        </w:rPr>
        <w:t>questions</w:t>
      </w:r>
      <w:r w:rsidRPr="00E95E6D">
        <w:rPr>
          <w:rFonts w:ascii="Times New Roman" w:hAnsi="Times New Roman" w:cs="Times New Roman"/>
        </w:rPr>
        <w:t xml:space="preserve"> about </w:t>
      </w:r>
      <w:r w:rsidR="00332F64" w:rsidRPr="00E95E6D">
        <w:rPr>
          <w:rFonts w:ascii="Times New Roman" w:hAnsi="Times New Roman" w:cs="Times New Roman"/>
        </w:rPr>
        <w:t>whether foreign counsel is subject to the professional regulations of the jurisdiction of the Court.</w:t>
      </w:r>
      <w:r w:rsidR="00332F64" w:rsidRPr="00E95E6D">
        <w:rPr>
          <w:rStyle w:val="FootnoteReference"/>
          <w:rFonts w:ascii="Times New Roman" w:hAnsi="Times New Roman" w:cs="Times New Roman"/>
        </w:rPr>
        <w:footnoteReference w:id="14"/>
      </w:r>
      <w:r w:rsidR="0049273B" w:rsidRPr="00E95E6D">
        <w:rPr>
          <w:rFonts w:ascii="Times New Roman" w:hAnsi="Times New Roman" w:cs="Times New Roman"/>
        </w:rPr>
        <w:t xml:space="preserve"> Such concerns have long existed in the field of international arbitration</w:t>
      </w:r>
      <w:r w:rsidR="004D2A3C" w:rsidRPr="00E95E6D">
        <w:rPr>
          <w:rStyle w:val="FootnoteReference"/>
          <w:rFonts w:ascii="Times New Roman" w:hAnsi="Times New Roman" w:cs="Times New Roman"/>
        </w:rPr>
        <w:footnoteReference w:id="15"/>
      </w:r>
      <w:r w:rsidR="0049273B" w:rsidRPr="00E95E6D">
        <w:rPr>
          <w:rFonts w:ascii="Times New Roman" w:hAnsi="Times New Roman" w:cs="Times New Roman"/>
        </w:rPr>
        <w:t xml:space="preserve">, where it is commonplace for counsels from different jurisdictions to appear and submit before the arbitral tribunal. </w:t>
      </w:r>
      <w:r w:rsidR="004D2A3C" w:rsidRPr="00E95E6D">
        <w:rPr>
          <w:rFonts w:ascii="Times New Roman" w:hAnsi="Times New Roman" w:cs="Times New Roman"/>
        </w:rPr>
        <w:t>Th</w:t>
      </w:r>
      <w:r w:rsidR="001051CC" w:rsidRPr="00E95E6D">
        <w:rPr>
          <w:rFonts w:ascii="Times New Roman" w:hAnsi="Times New Roman" w:cs="Times New Roman"/>
        </w:rPr>
        <w:t>e concern should, however, not be overstated given that the involvement of foreign counsel in CBRI proceedings is likely to be limited to submitting on issues relating to</w:t>
      </w:r>
      <w:r w:rsidR="001051CC" w:rsidRPr="00E95E6D">
        <w:rPr>
          <w:rFonts w:ascii="Times New Roman" w:hAnsi="Times New Roman" w:cs="Times New Roman"/>
        </w:rPr>
        <w:t xml:space="preserve"> foreign proceedings and foreign law</w:t>
      </w:r>
      <w:r w:rsidR="001051CC" w:rsidRPr="00E95E6D">
        <w:rPr>
          <w:rFonts w:ascii="Times New Roman" w:hAnsi="Times New Roman" w:cs="Times New Roman"/>
        </w:rPr>
        <w:t xml:space="preserve">, and </w:t>
      </w:r>
      <w:r w:rsidR="001051CC" w:rsidRPr="00E95E6D">
        <w:rPr>
          <w:rFonts w:ascii="Times New Roman" w:hAnsi="Times New Roman" w:cs="Times New Roman"/>
        </w:rPr>
        <w:lastRenderedPageBreak/>
        <w:t xml:space="preserve">not </w:t>
      </w:r>
      <w:r w:rsidR="005C2D45">
        <w:rPr>
          <w:rFonts w:ascii="Times New Roman" w:hAnsi="Times New Roman" w:cs="Times New Roman"/>
        </w:rPr>
        <w:t xml:space="preserve">participating in </w:t>
      </w:r>
      <w:r w:rsidR="001051CC" w:rsidRPr="00E95E6D">
        <w:rPr>
          <w:rFonts w:ascii="Times New Roman" w:hAnsi="Times New Roman" w:cs="Times New Roman"/>
        </w:rPr>
        <w:t>matters such as witness preparation and document d</w:t>
      </w:r>
      <w:r w:rsidR="000027DD" w:rsidRPr="00E95E6D">
        <w:rPr>
          <w:rFonts w:ascii="Times New Roman" w:hAnsi="Times New Roman" w:cs="Times New Roman"/>
        </w:rPr>
        <w:t>isclosure (where the issue of counsel ethics is most keenly felt in the context of international arbitration)</w:t>
      </w:r>
      <w:r w:rsidR="001051CC" w:rsidRPr="00E95E6D">
        <w:rPr>
          <w:rFonts w:ascii="Times New Roman" w:hAnsi="Times New Roman" w:cs="Times New Roman"/>
        </w:rPr>
        <w:t xml:space="preserve">. If necessary, the Court can also extract an undertaking from </w:t>
      </w:r>
      <w:r w:rsidR="000027DD" w:rsidRPr="00E95E6D">
        <w:rPr>
          <w:rFonts w:ascii="Times New Roman" w:hAnsi="Times New Roman" w:cs="Times New Roman"/>
        </w:rPr>
        <w:t xml:space="preserve">the relevant foreign counsel </w:t>
      </w:r>
      <w:r w:rsidR="005C2D45">
        <w:rPr>
          <w:rFonts w:ascii="Times New Roman" w:hAnsi="Times New Roman" w:cs="Times New Roman"/>
        </w:rPr>
        <w:t xml:space="preserve">seeking a right of appearance </w:t>
      </w:r>
      <w:r w:rsidR="000027DD" w:rsidRPr="00E95E6D">
        <w:rPr>
          <w:rFonts w:ascii="Times New Roman" w:hAnsi="Times New Roman" w:cs="Times New Roman"/>
        </w:rPr>
        <w:t>that he/she owes an over-riding duty to the Court. A breach of the undertaking can lead to the Court disregarding foreign counsel’s submissions</w:t>
      </w:r>
      <w:r w:rsidR="005C2D45">
        <w:rPr>
          <w:rFonts w:ascii="Times New Roman" w:hAnsi="Times New Roman" w:cs="Times New Roman"/>
        </w:rPr>
        <w:t xml:space="preserve"> (or placing less weight)</w:t>
      </w:r>
      <w:r w:rsidR="000027DD" w:rsidRPr="00E95E6D">
        <w:rPr>
          <w:rFonts w:ascii="Times New Roman" w:hAnsi="Times New Roman" w:cs="Times New Roman"/>
        </w:rPr>
        <w:t xml:space="preserve">, and also undermine his/her credibility with the Court (including for future proceedings). </w:t>
      </w:r>
    </w:p>
    <w:p w14:paraId="45FF06D2" w14:textId="77777777" w:rsidR="00147CC3" w:rsidRPr="00E95E6D" w:rsidRDefault="00147CC3" w:rsidP="00483C85">
      <w:pPr>
        <w:pStyle w:val="ListParagraph"/>
        <w:spacing w:after="0" w:line="360" w:lineRule="auto"/>
        <w:ind w:left="1134"/>
        <w:rPr>
          <w:rFonts w:ascii="Times New Roman" w:hAnsi="Times New Roman" w:cs="Times New Roman"/>
        </w:rPr>
      </w:pPr>
    </w:p>
    <w:p w14:paraId="24C1A7D4" w14:textId="14C21441" w:rsidR="00E76383" w:rsidRPr="00E95E6D" w:rsidRDefault="00C9591F" w:rsidP="00E672F7">
      <w:pPr>
        <w:pStyle w:val="ListParagraph"/>
        <w:numPr>
          <w:ilvl w:val="0"/>
          <w:numId w:val="3"/>
        </w:numPr>
        <w:spacing w:line="360" w:lineRule="auto"/>
        <w:ind w:left="567" w:hanging="283"/>
        <w:rPr>
          <w:rFonts w:ascii="Times New Roman" w:hAnsi="Times New Roman" w:cs="Times New Roman"/>
          <w:b/>
          <w:bCs/>
          <w:u w:val="single"/>
        </w:rPr>
      </w:pPr>
      <w:r w:rsidRPr="00E95E6D">
        <w:rPr>
          <w:rFonts w:ascii="Times New Roman" w:hAnsi="Times New Roman" w:cs="Times New Roman"/>
          <w:b/>
          <w:bCs/>
          <w:u w:val="single"/>
        </w:rPr>
        <w:t xml:space="preserve">Critical Assessment </w:t>
      </w:r>
      <w:r w:rsidR="00147CC3" w:rsidRPr="00E95E6D">
        <w:rPr>
          <w:rFonts w:ascii="Times New Roman" w:hAnsi="Times New Roman" w:cs="Times New Roman"/>
          <w:b/>
          <w:bCs/>
          <w:u w:val="single"/>
        </w:rPr>
        <w:t>a</w:t>
      </w:r>
      <w:r w:rsidRPr="00E95E6D">
        <w:rPr>
          <w:rFonts w:ascii="Times New Roman" w:hAnsi="Times New Roman" w:cs="Times New Roman"/>
          <w:b/>
          <w:bCs/>
          <w:u w:val="single"/>
        </w:rPr>
        <w:t>nd Likely Impact</w:t>
      </w:r>
    </w:p>
    <w:p w14:paraId="1277C111" w14:textId="77777777" w:rsidR="00311A9D" w:rsidRPr="00E95E6D" w:rsidRDefault="00311A9D" w:rsidP="00311A9D">
      <w:pPr>
        <w:pStyle w:val="ListParagraph"/>
        <w:spacing w:line="360" w:lineRule="auto"/>
        <w:ind w:left="1134"/>
        <w:rPr>
          <w:rFonts w:ascii="Times New Roman" w:hAnsi="Times New Roman" w:cs="Times New Roman"/>
          <w:b/>
          <w:bCs/>
          <w:u w:val="single"/>
        </w:rPr>
      </w:pPr>
    </w:p>
    <w:p w14:paraId="2AE7ED63" w14:textId="6A44E49D" w:rsidR="00A2312A" w:rsidRPr="00E95E6D" w:rsidRDefault="00B318A3" w:rsidP="00A2312A">
      <w:pPr>
        <w:pStyle w:val="ListParagraph"/>
        <w:numPr>
          <w:ilvl w:val="0"/>
          <w:numId w:val="1"/>
        </w:numPr>
        <w:spacing w:line="360" w:lineRule="auto"/>
        <w:ind w:left="567" w:hanging="425"/>
        <w:jc w:val="both"/>
        <w:rPr>
          <w:rFonts w:ascii="Times New Roman" w:hAnsi="Times New Roman" w:cs="Times New Roman"/>
          <w:b/>
          <w:bCs/>
          <w:u w:val="single"/>
        </w:rPr>
      </w:pPr>
      <w:r w:rsidRPr="00E95E6D">
        <w:rPr>
          <w:rFonts w:ascii="Times New Roman" w:hAnsi="Times New Roman" w:cs="Times New Roman"/>
        </w:rPr>
        <w:t xml:space="preserve">While the utility of the Guidelines </w:t>
      </w:r>
      <w:r w:rsidR="00326297" w:rsidRPr="00E95E6D">
        <w:rPr>
          <w:rFonts w:ascii="Times New Roman" w:hAnsi="Times New Roman" w:cs="Times New Roman"/>
        </w:rPr>
        <w:t>is</w:t>
      </w:r>
      <w:r w:rsidRPr="00E95E6D">
        <w:rPr>
          <w:rFonts w:ascii="Times New Roman" w:hAnsi="Times New Roman" w:cs="Times New Roman"/>
        </w:rPr>
        <w:t xml:space="preserve"> obvious, it is important not to </w:t>
      </w:r>
      <w:r w:rsidR="00326297" w:rsidRPr="00E95E6D">
        <w:rPr>
          <w:rFonts w:ascii="Times New Roman" w:hAnsi="Times New Roman" w:cs="Times New Roman"/>
        </w:rPr>
        <w:t>overstate their importance. This section discusses some of the limitations, in the context of an overall assessment of their likely impact on CBRI proceedings.</w:t>
      </w:r>
    </w:p>
    <w:p w14:paraId="700342CF" w14:textId="4826EEFE" w:rsidR="00483C85" w:rsidRPr="00E95E6D" w:rsidRDefault="00483C85" w:rsidP="00483C85">
      <w:pPr>
        <w:pStyle w:val="ListParagraph"/>
        <w:spacing w:line="360" w:lineRule="auto"/>
        <w:ind w:left="567"/>
        <w:jc w:val="both"/>
        <w:rPr>
          <w:rFonts w:ascii="Times New Roman" w:hAnsi="Times New Roman" w:cs="Times New Roman"/>
        </w:rPr>
      </w:pPr>
    </w:p>
    <w:p w14:paraId="18AB606A" w14:textId="7F2E1DD0" w:rsidR="00483C85" w:rsidRPr="00E95E6D" w:rsidRDefault="00483C85" w:rsidP="00483C85">
      <w:pPr>
        <w:pStyle w:val="ListParagraph"/>
        <w:numPr>
          <w:ilvl w:val="0"/>
          <w:numId w:val="11"/>
        </w:numPr>
        <w:spacing w:line="360" w:lineRule="auto"/>
        <w:ind w:left="1134" w:hanging="425"/>
        <w:jc w:val="both"/>
        <w:rPr>
          <w:rFonts w:ascii="Times New Roman" w:hAnsi="Times New Roman" w:cs="Times New Roman"/>
          <w:b/>
          <w:bCs/>
        </w:rPr>
      </w:pPr>
      <w:r w:rsidRPr="00E95E6D">
        <w:rPr>
          <w:rFonts w:ascii="Times New Roman" w:hAnsi="Times New Roman" w:cs="Times New Roman"/>
          <w:b/>
          <w:bCs/>
        </w:rPr>
        <w:t>The Question of Adoption</w:t>
      </w:r>
    </w:p>
    <w:p w14:paraId="0CB864C1" w14:textId="77777777" w:rsidR="00B318A3" w:rsidRPr="00E95E6D" w:rsidRDefault="00B318A3" w:rsidP="00B318A3">
      <w:pPr>
        <w:pStyle w:val="ListParagraph"/>
        <w:spacing w:line="360" w:lineRule="auto"/>
        <w:ind w:left="567"/>
        <w:jc w:val="both"/>
        <w:rPr>
          <w:rFonts w:ascii="Times New Roman" w:hAnsi="Times New Roman" w:cs="Times New Roman"/>
          <w:b/>
          <w:bCs/>
          <w:u w:val="single"/>
        </w:rPr>
      </w:pPr>
    </w:p>
    <w:p w14:paraId="1989225C" w14:textId="4BF531D5" w:rsidR="00147CC3" w:rsidRPr="00E95E6D" w:rsidRDefault="00424335" w:rsidP="004E57DD">
      <w:pPr>
        <w:pStyle w:val="ListParagraph"/>
        <w:numPr>
          <w:ilvl w:val="0"/>
          <w:numId w:val="1"/>
        </w:numPr>
        <w:spacing w:line="360" w:lineRule="auto"/>
        <w:ind w:left="567" w:hanging="425"/>
        <w:jc w:val="both"/>
        <w:rPr>
          <w:rFonts w:ascii="Times New Roman" w:hAnsi="Times New Roman" w:cs="Times New Roman"/>
          <w:b/>
          <w:bCs/>
          <w:u w:val="single"/>
        </w:rPr>
      </w:pPr>
      <w:r w:rsidRPr="00E95E6D">
        <w:rPr>
          <w:rFonts w:ascii="Times New Roman" w:hAnsi="Times New Roman" w:cs="Times New Roman"/>
        </w:rPr>
        <w:t xml:space="preserve">One of those limitations is the question of adoption. While the CoCo Guidelines and JudgeCo Principles are applicable </w:t>
      </w:r>
      <w:r w:rsidR="00A16D5F" w:rsidRPr="00E95E6D">
        <w:rPr>
          <w:rFonts w:ascii="Times New Roman" w:hAnsi="Times New Roman" w:cs="Times New Roman"/>
        </w:rPr>
        <w:t>to CBRI proceedings in</w:t>
      </w:r>
      <w:r w:rsidRPr="00E95E6D">
        <w:rPr>
          <w:rFonts w:ascii="Times New Roman" w:hAnsi="Times New Roman" w:cs="Times New Roman"/>
        </w:rPr>
        <w:t xml:space="preserve"> E</w:t>
      </w:r>
      <w:r w:rsidR="003E64A5" w:rsidRPr="00E95E6D">
        <w:rPr>
          <w:rFonts w:ascii="Times New Roman" w:hAnsi="Times New Roman" w:cs="Times New Roman"/>
        </w:rPr>
        <w:t xml:space="preserve">uropean </w:t>
      </w:r>
      <w:r w:rsidRPr="00E95E6D">
        <w:rPr>
          <w:rFonts w:ascii="Times New Roman" w:hAnsi="Times New Roman" w:cs="Times New Roman"/>
        </w:rPr>
        <w:t>U</w:t>
      </w:r>
      <w:r w:rsidR="003E64A5" w:rsidRPr="00E95E6D">
        <w:rPr>
          <w:rFonts w:ascii="Times New Roman" w:hAnsi="Times New Roman" w:cs="Times New Roman"/>
        </w:rPr>
        <w:t>nion</w:t>
      </w:r>
      <w:r w:rsidRPr="00E95E6D">
        <w:rPr>
          <w:rFonts w:ascii="Times New Roman" w:hAnsi="Times New Roman" w:cs="Times New Roman"/>
        </w:rPr>
        <w:t xml:space="preserve"> </w:t>
      </w:r>
      <w:r w:rsidR="003E64A5" w:rsidRPr="00E95E6D">
        <w:rPr>
          <w:rFonts w:ascii="Times New Roman" w:hAnsi="Times New Roman" w:cs="Times New Roman"/>
        </w:rPr>
        <w:t xml:space="preserve">member states, outside of Europe there has not been widespread adoption of similar principles of coordination and cooperation in CBRI proceedings (save for a few notable exceptions, such as the United States). </w:t>
      </w:r>
    </w:p>
    <w:p w14:paraId="3CF7D134" w14:textId="77777777" w:rsidR="00147CC3" w:rsidRPr="00E95E6D" w:rsidRDefault="00147CC3" w:rsidP="00147CC3">
      <w:pPr>
        <w:pStyle w:val="ListParagraph"/>
        <w:rPr>
          <w:rFonts w:ascii="Times New Roman" w:hAnsi="Times New Roman" w:cs="Times New Roman"/>
        </w:rPr>
      </w:pPr>
    </w:p>
    <w:p w14:paraId="527AF6DD" w14:textId="75148CCB" w:rsidR="003E64A5" w:rsidRPr="00E95E6D" w:rsidRDefault="003E64A5" w:rsidP="004E57DD">
      <w:pPr>
        <w:pStyle w:val="ListParagraph"/>
        <w:numPr>
          <w:ilvl w:val="0"/>
          <w:numId w:val="1"/>
        </w:numPr>
        <w:spacing w:line="360" w:lineRule="auto"/>
        <w:ind w:left="567" w:hanging="425"/>
        <w:jc w:val="both"/>
        <w:rPr>
          <w:rFonts w:ascii="Times New Roman" w:hAnsi="Times New Roman" w:cs="Times New Roman"/>
          <w:b/>
          <w:bCs/>
          <w:u w:val="single"/>
        </w:rPr>
      </w:pPr>
      <w:r w:rsidRPr="00E95E6D">
        <w:rPr>
          <w:rFonts w:ascii="Times New Roman" w:hAnsi="Times New Roman" w:cs="Times New Roman"/>
        </w:rPr>
        <w:t>In 2016, t</w:t>
      </w:r>
      <w:r w:rsidR="00A2312A" w:rsidRPr="00E95E6D">
        <w:rPr>
          <w:rFonts w:ascii="Times New Roman" w:hAnsi="Times New Roman" w:cs="Times New Roman"/>
        </w:rPr>
        <w:t>he JIN Guidelines were created with the specific intention that they be adopted into legal systems and court processes.</w:t>
      </w:r>
      <w:r w:rsidR="00FB5DB2" w:rsidRPr="00E95E6D">
        <w:rPr>
          <w:rFonts w:ascii="Times New Roman" w:hAnsi="Times New Roman" w:cs="Times New Roman"/>
        </w:rPr>
        <w:t xml:space="preserve"> The preamble of the JIN Guidelines also stipulate that they should ‘</w:t>
      </w:r>
      <w:r w:rsidR="00FB5DB2" w:rsidRPr="00E95E6D">
        <w:rPr>
          <w:rFonts w:ascii="Times New Roman" w:hAnsi="Times New Roman" w:cs="Times New Roman"/>
          <w:i/>
          <w:iCs/>
        </w:rPr>
        <w:t>be considered at the earliest practicable opportunity</w:t>
      </w:r>
      <w:r w:rsidR="00FB5DB2" w:rsidRPr="00E95E6D">
        <w:rPr>
          <w:rFonts w:ascii="Times New Roman" w:hAnsi="Times New Roman" w:cs="Times New Roman"/>
        </w:rPr>
        <w:t>’.</w:t>
      </w:r>
      <w:r w:rsidR="00A2312A" w:rsidRPr="00E95E6D">
        <w:rPr>
          <w:rFonts w:ascii="Times New Roman" w:hAnsi="Times New Roman" w:cs="Times New Roman"/>
        </w:rPr>
        <w:t xml:space="preserve">  </w:t>
      </w:r>
      <w:r w:rsidR="00311A9D" w:rsidRPr="00E95E6D">
        <w:rPr>
          <w:rFonts w:ascii="Times New Roman" w:hAnsi="Times New Roman" w:cs="Times New Roman"/>
        </w:rPr>
        <w:t xml:space="preserve">As of the date of this paper, sixteen (16) jurisdictions have </w:t>
      </w:r>
      <w:r w:rsidR="005C2D45">
        <w:rPr>
          <w:rFonts w:ascii="Times New Roman" w:hAnsi="Times New Roman" w:cs="Times New Roman"/>
        </w:rPr>
        <w:t xml:space="preserve">formally </w:t>
      </w:r>
      <w:r w:rsidR="00311A9D" w:rsidRPr="00E95E6D">
        <w:rPr>
          <w:rFonts w:ascii="Times New Roman" w:hAnsi="Times New Roman" w:cs="Times New Roman"/>
        </w:rPr>
        <w:t>adopted the JIN Guidelines</w:t>
      </w:r>
      <w:r w:rsidR="00390C56" w:rsidRPr="00E95E6D">
        <w:rPr>
          <w:rFonts w:ascii="Times New Roman" w:hAnsi="Times New Roman" w:cs="Times New Roman"/>
        </w:rPr>
        <w:t>.</w:t>
      </w:r>
      <w:r w:rsidR="00311A9D" w:rsidRPr="00E95E6D">
        <w:rPr>
          <w:rStyle w:val="FootnoteReference"/>
          <w:rFonts w:ascii="Times New Roman" w:hAnsi="Times New Roman" w:cs="Times New Roman"/>
        </w:rPr>
        <w:footnoteReference w:id="16"/>
      </w:r>
      <w:r w:rsidR="00390C56" w:rsidRPr="00E95E6D">
        <w:rPr>
          <w:rFonts w:ascii="Times New Roman" w:hAnsi="Times New Roman" w:cs="Times New Roman"/>
        </w:rPr>
        <w:t xml:space="preserve"> Of these, all but t</w:t>
      </w:r>
      <w:r w:rsidR="00984E23" w:rsidRPr="00E95E6D">
        <w:rPr>
          <w:rFonts w:ascii="Times New Roman" w:hAnsi="Times New Roman" w:cs="Times New Roman"/>
        </w:rPr>
        <w:t>hree</w:t>
      </w:r>
      <w:r w:rsidR="00390C56" w:rsidRPr="00E95E6D">
        <w:rPr>
          <w:rFonts w:ascii="Times New Roman" w:hAnsi="Times New Roman" w:cs="Times New Roman"/>
        </w:rPr>
        <w:t xml:space="preserve"> (the Seoul Bankruptcy Court</w:t>
      </w:r>
      <w:r w:rsidR="00984E23" w:rsidRPr="00E95E6D">
        <w:rPr>
          <w:rFonts w:ascii="Times New Roman" w:hAnsi="Times New Roman" w:cs="Times New Roman"/>
        </w:rPr>
        <w:t xml:space="preserve">, the Netherlands and Brazil) are common law jurisdictions. </w:t>
      </w:r>
      <w:r w:rsidR="00147CC3" w:rsidRPr="00E95E6D">
        <w:rPr>
          <w:rFonts w:ascii="Times New Roman" w:hAnsi="Times New Roman" w:cs="Times New Roman"/>
        </w:rPr>
        <w:t>The question is whether the hitherto limited adoption of the JIN Guidelines</w:t>
      </w:r>
      <w:r w:rsidR="00483C85" w:rsidRPr="00E95E6D">
        <w:rPr>
          <w:rFonts w:ascii="Times New Roman" w:hAnsi="Times New Roman" w:cs="Times New Roman"/>
        </w:rPr>
        <w:t xml:space="preserve">, </w:t>
      </w:r>
      <w:r w:rsidR="00147CC3" w:rsidRPr="00E95E6D">
        <w:rPr>
          <w:rFonts w:ascii="Times New Roman" w:hAnsi="Times New Roman" w:cs="Times New Roman"/>
        </w:rPr>
        <w:t>might limit the widespread adoption of protocols in CBRI proceedings.</w:t>
      </w:r>
    </w:p>
    <w:p w14:paraId="525D5D47" w14:textId="77777777" w:rsidR="003E64A5" w:rsidRPr="00E95E6D" w:rsidRDefault="003E64A5" w:rsidP="003E64A5">
      <w:pPr>
        <w:pStyle w:val="ListParagraph"/>
        <w:rPr>
          <w:rFonts w:ascii="Times New Roman" w:hAnsi="Times New Roman" w:cs="Times New Roman"/>
        </w:rPr>
      </w:pPr>
    </w:p>
    <w:p w14:paraId="66BFFC23" w14:textId="3FB67798" w:rsidR="00A16D5F" w:rsidRPr="00E95E6D" w:rsidRDefault="00147CC3" w:rsidP="004E57DD">
      <w:pPr>
        <w:pStyle w:val="ListParagraph"/>
        <w:numPr>
          <w:ilvl w:val="0"/>
          <w:numId w:val="1"/>
        </w:numPr>
        <w:spacing w:line="360" w:lineRule="auto"/>
        <w:ind w:left="567" w:hanging="425"/>
        <w:jc w:val="both"/>
        <w:rPr>
          <w:rFonts w:ascii="Times New Roman" w:hAnsi="Times New Roman" w:cs="Times New Roman"/>
          <w:b/>
          <w:bCs/>
          <w:u w:val="single"/>
        </w:rPr>
      </w:pPr>
      <w:r w:rsidRPr="00E95E6D">
        <w:rPr>
          <w:rFonts w:ascii="Times New Roman" w:hAnsi="Times New Roman" w:cs="Times New Roman"/>
        </w:rPr>
        <w:t xml:space="preserve">In this regard, </w:t>
      </w:r>
      <w:r w:rsidR="00A16D5F" w:rsidRPr="00E95E6D">
        <w:rPr>
          <w:rFonts w:ascii="Times New Roman" w:hAnsi="Times New Roman" w:cs="Times New Roman"/>
        </w:rPr>
        <w:t xml:space="preserve">it is equally important to focus attention on the fact that the jurisdictions who have adopted the JIN Guidelines include: the US Bankruptcy Courts for the District of Delaware, Southern District of New York, the Southern District of Florida, the Southern District of Texas, </w:t>
      </w:r>
      <w:r w:rsidR="00822CE9" w:rsidRPr="00E95E6D">
        <w:rPr>
          <w:rFonts w:ascii="Times New Roman" w:hAnsi="Times New Roman" w:cs="Times New Roman"/>
        </w:rPr>
        <w:t>the Supreme Court of Singapore, the Supreme Court of Bermuda, the Chancery Division of England &amp; Wales, the Eastern Caribbean Supreme Court, the Grand Court of the Cayman Islands,</w:t>
      </w:r>
      <w:r w:rsidR="005C2D45">
        <w:rPr>
          <w:rFonts w:ascii="Times New Roman" w:hAnsi="Times New Roman" w:cs="Times New Roman"/>
        </w:rPr>
        <w:t xml:space="preserve"> the Federal Court of Australia</w:t>
      </w:r>
      <w:r w:rsidR="00822CE9" w:rsidRPr="00E95E6D">
        <w:rPr>
          <w:rFonts w:ascii="Times New Roman" w:hAnsi="Times New Roman" w:cs="Times New Roman"/>
        </w:rPr>
        <w:t xml:space="preserve"> and the District Court Midden-Netherlands. </w:t>
      </w:r>
    </w:p>
    <w:p w14:paraId="760BA7CC" w14:textId="77777777" w:rsidR="00822CE9" w:rsidRPr="00E95E6D" w:rsidRDefault="00822CE9" w:rsidP="00822CE9">
      <w:pPr>
        <w:pStyle w:val="ListParagraph"/>
        <w:rPr>
          <w:rFonts w:ascii="Times New Roman" w:hAnsi="Times New Roman" w:cs="Times New Roman"/>
          <w:b/>
          <w:bCs/>
          <w:u w:val="single"/>
        </w:rPr>
      </w:pPr>
    </w:p>
    <w:p w14:paraId="6CBBA73C" w14:textId="404B01F8" w:rsidR="00822CE9" w:rsidRPr="00E95E6D" w:rsidRDefault="00822CE9" w:rsidP="004E57DD">
      <w:pPr>
        <w:pStyle w:val="ListParagraph"/>
        <w:numPr>
          <w:ilvl w:val="0"/>
          <w:numId w:val="1"/>
        </w:numPr>
        <w:spacing w:line="360" w:lineRule="auto"/>
        <w:ind w:left="567" w:hanging="425"/>
        <w:jc w:val="both"/>
        <w:rPr>
          <w:rFonts w:ascii="Times New Roman" w:hAnsi="Times New Roman" w:cs="Times New Roman"/>
          <w:b/>
          <w:bCs/>
          <w:u w:val="single"/>
        </w:rPr>
      </w:pPr>
      <w:r w:rsidRPr="00E95E6D">
        <w:rPr>
          <w:rFonts w:ascii="Times New Roman" w:hAnsi="Times New Roman" w:cs="Times New Roman"/>
        </w:rPr>
        <w:lastRenderedPageBreak/>
        <w:t>All of these courts may be said to</w:t>
      </w:r>
      <w:r w:rsidR="005C2D45">
        <w:rPr>
          <w:rFonts w:ascii="Times New Roman" w:hAnsi="Times New Roman" w:cs="Times New Roman"/>
        </w:rPr>
        <w:t xml:space="preserve"> have the potential to</w:t>
      </w:r>
      <w:r w:rsidRPr="00E95E6D">
        <w:rPr>
          <w:rFonts w:ascii="Times New Roman" w:hAnsi="Times New Roman" w:cs="Times New Roman"/>
        </w:rPr>
        <w:t xml:space="preserve"> be “</w:t>
      </w:r>
      <w:r w:rsidRPr="00E95E6D">
        <w:rPr>
          <w:rFonts w:ascii="Times New Roman" w:hAnsi="Times New Roman" w:cs="Times New Roman"/>
          <w:i/>
          <w:iCs/>
        </w:rPr>
        <w:t>nodal jurisdictions</w:t>
      </w:r>
      <w:r w:rsidRPr="00E95E6D">
        <w:rPr>
          <w:rFonts w:ascii="Times New Roman" w:hAnsi="Times New Roman" w:cs="Times New Roman"/>
        </w:rPr>
        <w:t>” or courts of “</w:t>
      </w:r>
      <w:r w:rsidRPr="00E95E6D">
        <w:rPr>
          <w:rFonts w:ascii="Times New Roman" w:hAnsi="Times New Roman" w:cs="Times New Roman"/>
          <w:i/>
          <w:iCs/>
        </w:rPr>
        <w:t>control countries</w:t>
      </w:r>
      <w:r w:rsidRPr="00E95E6D">
        <w:rPr>
          <w:rFonts w:ascii="Times New Roman" w:hAnsi="Times New Roman" w:cs="Times New Roman"/>
        </w:rPr>
        <w:t>”</w:t>
      </w:r>
      <w:r w:rsidRPr="00E95E6D">
        <w:rPr>
          <w:rStyle w:val="FootnoteReference"/>
          <w:rFonts w:ascii="Times New Roman" w:hAnsi="Times New Roman" w:cs="Times New Roman"/>
        </w:rPr>
        <w:footnoteReference w:id="17"/>
      </w:r>
      <w:r w:rsidRPr="00E95E6D">
        <w:rPr>
          <w:rFonts w:ascii="Times New Roman" w:hAnsi="Times New Roman" w:cs="Times New Roman"/>
        </w:rPr>
        <w:t>, in the sense that they are located in important financial, legal or economic centres where major cross-border restructurings are likely to take place</w:t>
      </w:r>
      <w:r w:rsidR="00460982" w:rsidRPr="00E95E6D">
        <w:rPr>
          <w:rFonts w:ascii="Times New Roman" w:hAnsi="Times New Roman" w:cs="Times New Roman"/>
        </w:rPr>
        <w:t xml:space="preserve"> (</w:t>
      </w:r>
      <w:r w:rsidR="005C2D45">
        <w:rPr>
          <w:rFonts w:ascii="Times New Roman" w:hAnsi="Times New Roman" w:cs="Times New Roman"/>
        </w:rPr>
        <w:t>and therefore</w:t>
      </w:r>
      <w:r w:rsidR="00460982" w:rsidRPr="00E95E6D">
        <w:rPr>
          <w:rFonts w:ascii="Times New Roman" w:hAnsi="Times New Roman" w:cs="Times New Roman"/>
        </w:rPr>
        <w:t xml:space="preserve"> they are likely to host the central proceeding for a given case or at least ancillary proceedings). Many of these courts are also located in jurisdictions with laws that </w:t>
      </w:r>
      <w:r w:rsidR="00E71CE3" w:rsidRPr="00E95E6D">
        <w:rPr>
          <w:rFonts w:ascii="Times New Roman" w:hAnsi="Times New Roman" w:cs="Times New Roman"/>
        </w:rPr>
        <w:t xml:space="preserve">are conducive </w:t>
      </w:r>
      <w:r w:rsidR="005C2D45">
        <w:rPr>
          <w:rFonts w:ascii="Times New Roman" w:hAnsi="Times New Roman" w:cs="Times New Roman"/>
        </w:rPr>
        <w:t>for</w:t>
      </w:r>
      <w:r w:rsidR="00E71CE3" w:rsidRPr="00E95E6D">
        <w:rPr>
          <w:rFonts w:ascii="Times New Roman" w:hAnsi="Times New Roman" w:cs="Times New Roman"/>
        </w:rPr>
        <w:t xml:space="preserve"> </w:t>
      </w:r>
      <w:r w:rsidR="005C2D45" w:rsidRPr="00E95E6D">
        <w:rPr>
          <w:rFonts w:ascii="Times New Roman" w:hAnsi="Times New Roman" w:cs="Times New Roman"/>
        </w:rPr>
        <w:t>cent</w:t>
      </w:r>
      <w:r w:rsidR="005C2D45">
        <w:rPr>
          <w:rFonts w:ascii="Times New Roman" w:hAnsi="Times New Roman" w:cs="Times New Roman"/>
        </w:rPr>
        <w:t>ring</w:t>
      </w:r>
      <w:r w:rsidR="00E71CE3" w:rsidRPr="00E95E6D">
        <w:rPr>
          <w:rFonts w:ascii="Times New Roman" w:hAnsi="Times New Roman" w:cs="Times New Roman"/>
        </w:rPr>
        <w:t xml:space="preserve"> a CBRI proceeding, thus making it yet more likely that most </w:t>
      </w:r>
      <w:r w:rsidR="00E71CE3" w:rsidRPr="00E95E6D">
        <w:rPr>
          <w:rFonts w:ascii="Times New Roman" w:hAnsi="Times New Roman" w:cs="Times New Roman"/>
        </w:rPr>
        <w:t>major cross-border restructurings</w:t>
      </w:r>
      <w:r w:rsidR="00E71CE3" w:rsidRPr="00E95E6D">
        <w:rPr>
          <w:rFonts w:ascii="Times New Roman" w:hAnsi="Times New Roman" w:cs="Times New Roman"/>
        </w:rPr>
        <w:t xml:space="preserve"> will take place in one or more of these jurisdictions. </w:t>
      </w:r>
    </w:p>
    <w:p w14:paraId="12522016" w14:textId="77777777" w:rsidR="00460982" w:rsidRPr="00E95E6D" w:rsidRDefault="00460982" w:rsidP="00460982">
      <w:pPr>
        <w:pStyle w:val="ListParagraph"/>
        <w:rPr>
          <w:rFonts w:ascii="Times New Roman" w:hAnsi="Times New Roman" w:cs="Times New Roman"/>
          <w:b/>
          <w:bCs/>
          <w:u w:val="single"/>
        </w:rPr>
      </w:pPr>
    </w:p>
    <w:p w14:paraId="110545C4" w14:textId="5A36B4DA" w:rsidR="00460982" w:rsidRPr="00E95E6D" w:rsidRDefault="00E71CE3" w:rsidP="004E57DD">
      <w:pPr>
        <w:pStyle w:val="ListParagraph"/>
        <w:numPr>
          <w:ilvl w:val="0"/>
          <w:numId w:val="1"/>
        </w:numPr>
        <w:spacing w:line="360" w:lineRule="auto"/>
        <w:ind w:left="567" w:hanging="425"/>
        <w:jc w:val="both"/>
        <w:rPr>
          <w:rFonts w:ascii="Times New Roman" w:hAnsi="Times New Roman" w:cs="Times New Roman"/>
          <w:b/>
          <w:bCs/>
          <w:u w:val="single"/>
        </w:rPr>
      </w:pPr>
      <w:r w:rsidRPr="00E95E6D">
        <w:rPr>
          <w:rFonts w:ascii="Times New Roman" w:hAnsi="Times New Roman" w:cs="Times New Roman"/>
        </w:rPr>
        <w:t>This is an important development for a few reasons:</w:t>
      </w:r>
    </w:p>
    <w:p w14:paraId="423238AA" w14:textId="77777777" w:rsidR="00E71CE3" w:rsidRPr="00E95E6D" w:rsidRDefault="00E71CE3" w:rsidP="00E71CE3">
      <w:pPr>
        <w:pStyle w:val="ListParagraph"/>
        <w:rPr>
          <w:rFonts w:ascii="Times New Roman" w:hAnsi="Times New Roman" w:cs="Times New Roman"/>
          <w:b/>
          <w:bCs/>
          <w:u w:val="single"/>
        </w:rPr>
      </w:pPr>
    </w:p>
    <w:p w14:paraId="7FFD09A9" w14:textId="680CD477" w:rsidR="00E71CE3" w:rsidRPr="00E95E6D" w:rsidRDefault="00E71CE3" w:rsidP="00E71CE3">
      <w:pPr>
        <w:pStyle w:val="ListParagraph"/>
        <w:numPr>
          <w:ilvl w:val="0"/>
          <w:numId w:val="12"/>
        </w:numPr>
        <w:spacing w:line="360" w:lineRule="auto"/>
        <w:ind w:left="1134" w:hanging="567"/>
        <w:jc w:val="both"/>
        <w:rPr>
          <w:rFonts w:ascii="Times New Roman" w:hAnsi="Times New Roman" w:cs="Times New Roman"/>
          <w:b/>
          <w:bCs/>
          <w:u w:val="single"/>
        </w:rPr>
      </w:pPr>
      <w:r w:rsidRPr="00E95E6D">
        <w:rPr>
          <w:rFonts w:ascii="Times New Roman" w:hAnsi="Times New Roman" w:cs="Times New Roman"/>
        </w:rPr>
        <w:t xml:space="preserve">Given that many cross-border restructurings will take place in one or more of these jurisdictions, and given the JIN Guidelines encourages </w:t>
      </w:r>
      <w:r w:rsidRPr="00E95E6D">
        <w:rPr>
          <w:rFonts w:ascii="Times New Roman" w:hAnsi="Times New Roman" w:cs="Times New Roman"/>
        </w:rPr>
        <w:t>the early adoption of cross insolvency protocols,</w:t>
      </w:r>
      <w:r w:rsidRPr="00E95E6D">
        <w:rPr>
          <w:rFonts w:ascii="Times New Roman" w:hAnsi="Times New Roman" w:cs="Times New Roman"/>
        </w:rPr>
        <w:t xml:space="preserve"> </w:t>
      </w:r>
      <w:r w:rsidRPr="00E95E6D">
        <w:rPr>
          <w:rFonts w:ascii="Times New Roman" w:hAnsi="Times New Roman" w:cs="Times New Roman"/>
        </w:rPr>
        <w:t xml:space="preserve">this </w:t>
      </w:r>
      <w:r w:rsidRPr="00E95E6D">
        <w:rPr>
          <w:rFonts w:ascii="Times New Roman" w:hAnsi="Times New Roman" w:cs="Times New Roman"/>
        </w:rPr>
        <w:t xml:space="preserve">will </w:t>
      </w:r>
      <w:r w:rsidRPr="00E95E6D">
        <w:rPr>
          <w:rFonts w:ascii="Times New Roman" w:hAnsi="Times New Roman" w:cs="Times New Roman"/>
        </w:rPr>
        <w:t xml:space="preserve">enhance the amount and quality of direct communication between the </w:t>
      </w:r>
      <w:r w:rsidRPr="00E95E6D">
        <w:rPr>
          <w:rFonts w:ascii="Times New Roman" w:hAnsi="Times New Roman" w:cs="Times New Roman"/>
        </w:rPr>
        <w:t xml:space="preserve">docketed insolvency </w:t>
      </w:r>
      <w:r w:rsidRPr="00E95E6D">
        <w:rPr>
          <w:rFonts w:ascii="Times New Roman" w:hAnsi="Times New Roman" w:cs="Times New Roman"/>
        </w:rPr>
        <w:t>judges</w:t>
      </w:r>
      <w:r w:rsidRPr="00E95E6D">
        <w:rPr>
          <w:rFonts w:ascii="Times New Roman" w:hAnsi="Times New Roman" w:cs="Times New Roman"/>
        </w:rPr>
        <w:t xml:space="preserve"> in these jurisdictions</w:t>
      </w:r>
      <w:r w:rsidRPr="00E95E6D">
        <w:rPr>
          <w:rFonts w:ascii="Times New Roman" w:hAnsi="Times New Roman" w:cs="Times New Roman"/>
        </w:rPr>
        <w:t xml:space="preserve">. </w:t>
      </w:r>
      <w:r w:rsidRPr="00E95E6D">
        <w:rPr>
          <w:rFonts w:ascii="Times New Roman" w:hAnsi="Times New Roman" w:cs="Times New Roman"/>
        </w:rPr>
        <w:t>T</w:t>
      </w:r>
      <w:r w:rsidRPr="00E95E6D">
        <w:rPr>
          <w:rFonts w:ascii="Times New Roman" w:hAnsi="Times New Roman" w:cs="Times New Roman"/>
        </w:rPr>
        <w:t>his is likely to lead to the deepening of working relationships among the</w:t>
      </w:r>
      <w:r w:rsidRPr="00E95E6D">
        <w:rPr>
          <w:rFonts w:ascii="Times New Roman" w:hAnsi="Times New Roman" w:cs="Times New Roman"/>
        </w:rPr>
        <w:t>se judges</w:t>
      </w:r>
      <w:r w:rsidRPr="00E95E6D">
        <w:rPr>
          <w:rFonts w:ascii="Times New Roman" w:hAnsi="Times New Roman" w:cs="Times New Roman"/>
        </w:rPr>
        <w:t xml:space="preserve">. The increase degree of trust and coordination among the </w:t>
      </w:r>
      <w:r w:rsidRPr="00E95E6D">
        <w:rPr>
          <w:rFonts w:ascii="Times New Roman" w:hAnsi="Times New Roman" w:cs="Times New Roman"/>
          <w:i/>
          <w:iCs/>
        </w:rPr>
        <w:t>judiciary</w:t>
      </w:r>
      <w:r w:rsidRPr="00E95E6D">
        <w:rPr>
          <w:rFonts w:ascii="Times New Roman" w:hAnsi="Times New Roman" w:cs="Times New Roman"/>
        </w:rPr>
        <w:t xml:space="preserve"> is likely to, in turn, lead to increased communication and negotiations among the professionals and advisors involved as well. </w:t>
      </w:r>
      <w:r w:rsidRPr="00E95E6D">
        <w:rPr>
          <w:rFonts w:ascii="Times New Roman" w:hAnsi="Times New Roman" w:cs="Times New Roman"/>
        </w:rPr>
        <w:t>Over time, this virtuous cycle is likely to lead to cross-border insolvency protocols being</w:t>
      </w:r>
      <w:r w:rsidR="003D5089" w:rsidRPr="00E95E6D">
        <w:rPr>
          <w:rFonts w:ascii="Times New Roman" w:hAnsi="Times New Roman" w:cs="Times New Roman"/>
        </w:rPr>
        <w:t xml:space="preserve"> implemented more frequently, and also make the interactions between the different courts</w:t>
      </w:r>
      <w:r w:rsidR="005C2D45">
        <w:rPr>
          <w:rFonts w:ascii="Times New Roman" w:hAnsi="Times New Roman" w:cs="Times New Roman"/>
        </w:rPr>
        <w:t xml:space="preserve"> and professionals</w:t>
      </w:r>
      <w:r w:rsidR="003D5089" w:rsidRPr="00E95E6D">
        <w:rPr>
          <w:rFonts w:ascii="Times New Roman" w:hAnsi="Times New Roman" w:cs="Times New Roman"/>
        </w:rPr>
        <w:t xml:space="preserve"> involved smoother and more efficient. </w:t>
      </w:r>
    </w:p>
    <w:p w14:paraId="0D86768C" w14:textId="77777777" w:rsidR="00E71CE3" w:rsidRPr="00E95E6D" w:rsidRDefault="00E71CE3" w:rsidP="00E71CE3">
      <w:pPr>
        <w:pStyle w:val="ListParagraph"/>
        <w:spacing w:line="360" w:lineRule="auto"/>
        <w:ind w:left="1134"/>
        <w:jc w:val="both"/>
        <w:rPr>
          <w:rFonts w:ascii="Times New Roman" w:hAnsi="Times New Roman" w:cs="Times New Roman"/>
          <w:b/>
          <w:bCs/>
          <w:u w:val="single"/>
        </w:rPr>
      </w:pPr>
    </w:p>
    <w:p w14:paraId="0728ECF2" w14:textId="28F5CD3E" w:rsidR="00F64F8E" w:rsidRPr="00E95E6D" w:rsidRDefault="00F64F8E" w:rsidP="00CC4E81">
      <w:pPr>
        <w:pStyle w:val="ListParagraph"/>
        <w:numPr>
          <w:ilvl w:val="0"/>
          <w:numId w:val="12"/>
        </w:numPr>
        <w:spacing w:line="360" w:lineRule="auto"/>
        <w:ind w:left="1134" w:hanging="567"/>
        <w:jc w:val="both"/>
        <w:rPr>
          <w:rFonts w:ascii="Times New Roman" w:hAnsi="Times New Roman" w:cs="Times New Roman"/>
          <w:b/>
          <w:bCs/>
          <w:u w:val="single"/>
        </w:rPr>
      </w:pPr>
      <w:r w:rsidRPr="00E95E6D">
        <w:rPr>
          <w:rFonts w:ascii="Times New Roman" w:hAnsi="Times New Roman" w:cs="Times New Roman"/>
        </w:rPr>
        <w:t xml:space="preserve">Where a particular CBRI proceeding involves a jurisdiction or court that has not adopted the Guidelines, the likely involvement of the courts of the jurisdictions which have adopted the Guidelines </w:t>
      </w:r>
      <w:r w:rsidR="00356168" w:rsidRPr="00E95E6D">
        <w:rPr>
          <w:rFonts w:ascii="Times New Roman" w:hAnsi="Times New Roman" w:cs="Times New Roman"/>
        </w:rPr>
        <w:t xml:space="preserve">may nevertheless lead to the establishment of </w:t>
      </w:r>
      <w:r w:rsidR="00356168" w:rsidRPr="00E95E6D">
        <w:rPr>
          <w:rFonts w:ascii="Times New Roman" w:hAnsi="Times New Roman" w:cs="Times New Roman"/>
          <w:i/>
          <w:iCs/>
        </w:rPr>
        <w:t>ad hoc</w:t>
      </w:r>
      <w:r w:rsidR="00356168" w:rsidRPr="00E95E6D">
        <w:rPr>
          <w:rFonts w:ascii="Times New Roman" w:hAnsi="Times New Roman" w:cs="Times New Roman"/>
        </w:rPr>
        <w:t xml:space="preserve"> protocols (possibly at the encouragement or behest of the JIN-empowered</w:t>
      </w:r>
      <w:r w:rsidR="00C71768">
        <w:rPr>
          <w:rFonts w:ascii="Times New Roman" w:hAnsi="Times New Roman" w:cs="Times New Roman"/>
        </w:rPr>
        <w:t xml:space="preserve"> </w:t>
      </w:r>
      <w:r w:rsidR="00356168" w:rsidRPr="00E95E6D">
        <w:rPr>
          <w:rFonts w:ascii="Times New Roman" w:hAnsi="Times New Roman" w:cs="Times New Roman"/>
        </w:rPr>
        <w:t>courts).</w:t>
      </w:r>
      <w:r w:rsidR="0005020E" w:rsidRPr="00E95E6D">
        <w:rPr>
          <w:rStyle w:val="FootnoteReference"/>
          <w:rFonts w:ascii="Times New Roman" w:hAnsi="Times New Roman" w:cs="Times New Roman"/>
        </w:rPr>
        <w:footnoteReference w:id="18"/>
      </w:r>
      <w:r w:rsidRPr="00E95E6D">
        <w:rPr>
          <w:rFonts w:ascii="Times New Roman" w:hAnsi="Times New Roman" w:cs="Times New Roman"/>
        </w:rPr>
        <w:t xml:space="preserve"> </w:t>
      </w:r>
      <w:r w:rsidR="00CC4E81" w:rsidRPr="00E95E6D">
        <w:rPr>
          <w:rFonts w:ascii="Times New Roman" w:hAnsi="Times New Roman" w:cs="Times New Roman"/>
        </w:rPr>
        <w:t xml:space="preserve">As these non-JIN-empowered courts gain increased </w:t>
      </w:r>
      <w:r w:rsidR="00C71768">
        <w:rPr>
          <w:rFonts w:ascii="Times New Roman" w:hAnsi="Times New Roman" w:cs="Times New Roman"/>
        </w:rPr>
        <w:t xml:space="preserve">confidence and </w:t>
      </w:r>
      <w:r w:rsidR="00CC4E81" w:rsidRPr="00E95E6D">
        <w:rPr>
          <w:rFonts w:ascii="Times New Roman" w:hAnsi="Times New Roman" w:cs="Times New Roman"/>
        </w:rPr>
        <w:t>familiarity with the use of protocols in CBRI proceedings, it is hoped that they too will formally adopt the JIN Guidelines.</w:t>
      </w:r>
      <w:r w:rsidR="00CC4E81" w:rsidRPr="00E95E6D">
        <w:rPr>
          <w:rFonts w:ascii="Times New Roman" w:hAnsi="Times New Roman" w:cs="Times New Roman"/>
        </w:rPr>
        <w:t xml:space="preserve"> </w:t>
      </w:r>
      <w:r w:rsidRPr="00E95E6D">
        <w:rPr>
          <w:rFonts w:ascii="Times New Roman" w:hAnsi="Times New Roman" w:cs="Times New Roman"/>
        </w:rPr>
        <w:t>In that regard, it is worth noting that t</w:t>
      </w:r>
      <w:r w:rsidRPr="00E95E6D">
        <w:rPr>
          <w:rFonts w:ascii="Times New Roman" w:hAnsi="Times New Roman" w:cs="Times New Roman"/>
        </w:rPr>
        <w:t>here also does not appear to be any reciprocity requirement in the JIN Guidelines – this will facilitate quicker and more widespread adoption given that such a requirement would entrench a perceived first-mover disadvantage by creating potential pitfalls associated with timing and impasse (‘After you.’ ‘No, no, after you’’).</w:t>
      </w:r>
      <w:r w:rsidRPr="00E95E6D">
        <w:rPr>
          <w:rStyle w:val="FootnoteReference"/>
          <w:rFonts w:ascii="Times New Roman" w:hAnsi="Times New Roman" w:cs="Times New Roman"/>
        </w:rPr>
        <w:footnoteReference w:id="19"/>
      </w:r>
    </w:p>
    <w:p w14:paraId="7C32E0E8" w14:textId="77777777" w:rsidR="00F04E29" w:rsidRPr="00E95E6D" w:rsidRDefault="00F04E29" w:rsidP="00F04E29">
      <w:pPr>
        <w:pStyle w:val="ListParagraph"/>
        <w:rPr>
          <w:rFonts w:ascii="Times New Roman" w:hAnsi="Times New Roman" w:cs="Times New Roman"/>
          <w:b/>
          <w:bCs/>
          <w:u w:val="single"/>
        </w:rPr>
      </w:pPr>
    </w:p>
    <w:p w14:paraId="3A4A4C5D" w14:textId="77410D57" w:rsidR="00147CC3" w:rsidRPr="00E95E6D" w:rsidRDefault="00F04E29" w:rsidP="00F04E29">
      <w:pPr>
        <w:pStyle w:val="ListParagraph"/>
        <w:numPr>
          <w:ilvl w:val="0"/>
          <w:numId w:val="12"/>
        </w:numPr>
        <w:spacing w:line="360" w:lineRule="auto"/>
        <w:ind w:left="1134" w:hanging="567"/>
        <w:jc w:val="both"/>
        <w:rPr>
          <w:rFonts w:ascii="Times New Roman" w:hAnsi="Times New Roman" w:cs="Times New Roman"/>
          <w:b/>
          <w:bCs/>
          <w:u w:val="single"/>
        </w:rPr>
      </w:pPr>
      <w:r w:rsidRPr="00E95E6D">
        <w:rPr>
          <w:rFonts w:ascii="Times New Roman" w:hAnsi="Times New Roman" w:cs="Times New Roman"/>
        </w:rPr>
        <w:t>With economic prospects across the Asia-Pacific increasing, the JIN Guidelines are poised to play an important r</w:t>
      </w:r>
      <w:r w:rsidRPr="00E95E6D">
        <w:rPr>
          <w:rFonts w:ascii="Times New Roman" w:hAnsi="Times New Roman" w:cs="Times New Roman"/>
        </w:rPr>
        <w:t>o</w:t>
      </w:r>
      <w:r w:rsidRPr="00E95E6D">
        <w:rPr>
          <w:rFonts w:ascii="Times New Roman" w:hAnsi="Times New Roman" w:cs="Times New Roman"/>
        </w:rPr>
        <w:t xml:space="preserve">le in cross-border restructurings, particularly in countries with compatible legal traditions, such as the United States, Singapore, Canada, Bermuda and Australia.  </w:t>
      </w:r>
      <w:r w:rsidRPr="00E95E6D">
        <w:rPr>
          <w:rFonts w:ascii="Times New Roman" w:hAnsi="Times New Roman" w:cs="Times New Roman"/>
        </w:rPr>
        <w:t>Th</w:t>
      </w:r>
      <w:r w:rsidR="00A16D5F" w:rsidRPr="00E95E6D">
        <w:rPr>
          <w:rFonts w:ascii="Times New Roman" w:hAnsi="Times New Roman" w:cs="Times New Roman"/>
        </w:rPr>
        <w:t xml:space="preserve">e adoption by the Seoul Bankruptcy Court </w:t>
      </w:r>
      <w:r w:rsidRPr="00E95E6D">
        <w:rPr>
          <w:rFonts w:ascii="Times New Roman" w:hAnsi="Times New Roman" w:cs="Times New Roman"/>
        </w:rPr>
        <w:t xml:space="preserve">of the </w:t>
      </w:r>
      <w:r w:rsidR="00A16D5F" w:rsidRPr="00E95E6D">
        <w:rPr>
          <w:rFonts w:ascii="Times New Roman" w:hAnsi="Times New Roman" w:cs="Times New Roman"/>
        </w:rPr>
        <w:t>on 28 June 2018 is a</w:t>
      </w:r>
      <w:r w:rsidR="00C71768">
        <w:rPr>
          <w:rFonts w:ascii="Times New Roman" w:hAnsi="Times New Roman" w:cs="Times New Roman"/>
        </w:rPr>
        <w:t>lso a</w:t>
      </w:r>
      <w:r w:rsidR="00A16D5F" w:rsidRPr="00E95E6D">
        <w:rPr>
          <w:rFonts w:ascii="Times New Roman" w:hAnsi="Times New Roman" w:cs="Times New Roman"/>
        </w:rPr>
        <w:t xml:space="preserve"> positive sign, as it hints that the divide between</w:t>
      </w:r>
      <w:r w:rsidRPr="00E95E6D">
        <w:rPr>
          <w:rFonts w:ascii="Times New Roman" w:hAnsi="Times New Roman" w:cs="Times New Roman"/>
        </w:rPr>
        <w:t xml:space="preserve"> civil and common law jurisdictions is likely to be bridged in view of the geo-economic significance of the JIN Guidelines.</w:t>
      </w:r>
      <w:r w:rsidRPr="00E95E6D">
        <w:rPr>
          <w:rStyle w:val="FootnoteReference"/>
          <w:rFonts w:ascii="Times New Roman" w:hAnsi="Times New Roman" w:cs="Times New Roman"/>
        </w:rPr>
        <w:footnoteReference w:id="20"/>
      </w:r>
      <w:r w:rsidRPr="00E95E6D">
        <w:rPr>
          <w:rFonts w:ascii="Times New Roman" w:hAnsi="Times New Roman" w:cs="Times New Roman"/>
        </w:rPr>
        <w:t xml:space="preserve"> Japan was another civil law jurisdiction who had nominated four observers to the JIN, and it will be significant if Japan too adopts the JIN Guidelines.</w:t>
      </w:r>
    </w:p>
    <w:p w14:paraId="2B0ECBE1" w14:textId="77777777" w:rsidR="000920A7" w:rsidRPr="00E95E6D" w:rsidRDefault="000920A7" w:rsidP="000920A7">
      <w:pPr>
        <w:pStyle w:val="ListParagraph"/>
        <w:rPr>
          <w:rFonts w:ascii="Times New Roman" w:hAnsi="Times New Roman" w:cs="Times New Roman"/>
          <w:b/>
          <w:bCs/>
          <w:u w:val="single"/>
        </w:rPr>
      </w:pPr>
    </w:p>
    <w:p w14:paraId="2B670A9C" w14:textId="69407D29" w:rsidR="000920A7" w:rsidRPr="00E95E6D" w:rsidRDefault="00C71768" w:rsidP="000920A7">
      <w:pPr>
        <w:pStyle w:val="ListParagraph"/>
        <w:numPr>
          <w:ilvl w:val="0"/>
          <w:numId w:val="1"/>
        </w:numPr>
        <w:spacing w:line="360" w:lineRule="auto"/>
        <w:ind w:left="567" w:hanging="425"/>
        <w:jc w:val="both"/>
        <w:rPr>
          <w:rFonts w:ascii="Times New Roman" w:hAnsi="Times New Roman" w:cs="Times New Roman"/>
          <w:b/>
          <w:bCs/>
          <w:u w:val="single"/>
        </w:rPr>
      </w:pPr>
      <w:r>
        <w:rPr>
          <w:rFonts w:ascii="Times New Roman" w:hAnsi="Times New Roman" w:cs="Times New Roman"/>
        </w:rPr>
        <w:t>T</w:t>
      </w:r>
      <w:r w:rsidR="00426A99" w:rsidRPr="00E95E6D">
        <w:rPr>
          <w:rFonts w:ascii="Times New Roman" w:hAnsi="Times New Roman" w:cs="Times New Roman"/>
        </w:rPr>
        <w:t xml:space="preserve">he proverbial tipping point may have been crossed, given that the Guidelines cover jurisdictions ranging from the EU member states, many of the key offshore jurisdictions, and important nodal jurisdictions such as the various US bankruptcy courts, </w:t>
      </w:r>
      <w:r w:rsidR="00435B30" w:rsidRPr="00E95E6D">
        <w:rPr>
          <w:rFonts w:ascii="Times New Roman" w:hAnsi="Times New Roman" w:cs="Times New Roman"/>
        </w:rPr>
        <w:t>the English courts, Singapore, the Netherlands, Canada and Australia. It is likely that protocols will be more commonly adopted in future CBRI proceedings, and this will be due in no small part to the impact of the Guidelines.</w:t>
      </w:r>
    </w:p>
    <w:p w14:paraId="6D1D4D19" w14:textId="7E63C771" w:rsidR="00CC4E81" w:rsidRPr="00E95E6D" w:rsidRDefault="00CC4E81" w:rsidP="00CC4E81">
      <w:pPr>
        <w:pStyle w:val="ListParagraph"/>
        <w:rPr>
          <w:rFonts w:ascii="Times New Roman" w:hAnsi="Times New Roman" w:cs="Times New Roman"/>
          <w:b/>
          <w:bCs/>
          <w:u w:val="single"/>
        </w:rPr>
      </w:pPr>
    </w:p>
    <w:p w14:paraId="54E7433E" w14:textId="3122208D" w:rsidR="000920A7" w:rsidRPr="00E95E6D" w:rsidRDefault="000920A7" w:rsidP="000920A7">
      <w:pPr>
        <w:pStyle w:val="ListParagraph"/>
        <w:numPr>
          <w:ilvl w:val="0"/>
          <w:numId w:val="11"/>
        </w:numPr>
        <w:spacing w:line="360" w:lineRule="auto"/>
        <w:ind w:left="1134" w:hanging="425"/>
        <w:jc w:val="both"/>
        <w:rPr>
          <w:rFonts w:ascii="Times New Roman" w:hAnsi="Times New Roman" w:cs="Times New Roman"/>
          <w:b/>
          <w:bCs/>
          <w:u w:val="single"/>
        </w:rPr>
      </w:pPr>
      <w:r w:rsidRPr="00E95E6D">
        <w:rPr>
          <w:rFonts w:ascii="Times New Roman" w:hAnsi="Times New Roman" w:cs="Times New Roman"/>
          <w:b/>
          <w:bCs/>
          <w:u w:val="single"/>
        </w:rPr>
        <w:t>The Disincentives of Professionals</w:t>
      </w:r>
    </w:p>
    <w:p w14:paraId="21E6C9A9" w14:textId="77777777" w:rsidR="000920A7" w:rsidRPr="00E95E6D" w:rsidRDefault="000920A7" w:rsidP="00CC4E81">
      <w:pPr>
        <w:pStyle w:val="ListParagraph"/>
        <w:rPr>
          <w:rFonts w:ascii="Times New Roman" w:hAnsi="Times New Roman" w:cs="Times New Roman"/>
          <w:b/>
          <w:bCs/>
          <w:u w:val="single"/>
        </w:rPr>
      </w:pPr>
    </w:p>
    <w:p w14:paraId="29CF6F6A" w14:textId="47DC0FE1" w:rsidR="00427FBF" w:rsidRPr="00E95E6D" w:rsidRDefault="00D92C32" w:rsidP="000920A7">
      <w:pPr>
        <w:pStyle w:val="ListParagraph"/>
        <w:numPr>
          <w:ilvl w:val="0"/>
          <w:numId w:val="1"/>
        </w:numPr>
        <w:spacing w:line="360" w:lineRule="auto"/>
        <w:ind w:left="567" w:hanging="425"/>
        <w:jc w:val="both"/>
        <w:rPr>
          <w:rFonts w:ascii="Times New Roman" w:hAnsi="Times New Roman" w:cs="Times New Roman"/>
        </w:rPr>
      </w:pPr>
      <w:r w:rsidRPr="00E95E6D">
        <w:rPr>
          <w:rFonts w:ascii="Times New Roman" w:hAnsi="Times New Roman" w:cs="Times New Roman"/>
        </w:rPr>
        <w:t>Another potential obstacle to the widespread adoption of protocols in CBRI proceedings is thought to be the natural desire of professionals – lawyers, accountants, investment bankers and others to seek substantial opportunities for professional employment in the jurisdictions where they practi</w:t>
      </w:r>
      <w:r w:rsidR="00C71768">
        <w:rPr>
          <w:rFonts w:ascii="Times New Roman" w:hAnsi="Times New Roman" w:cs="Times New Roman"/>
        </w:rPr>
        <w:t>s</w:t>
      </w:r>
      <w:r w:rsidRPr="00E95E6D">
        <w:rPr>
          <w:rFonts w:ascii="Times New Roman" w:hAnsi="Times New Roman" w:cs="Times New Roman"/>
        </w:rPr>
        <w:t>e.</w:t>
      </w:r>
      <w:r w:rsidRPr="00E95E6D">
        <w:rPr>
          <w:rStyle w:val="FootnoteReference"/>
          <w:rFonts w:ascii="Times New Roman" w:hAnsi="Times New Roman" w:cs="Times New Roman"/>
        </w:rPr>
        <w:footnoteReference w:id="21"/>
      </w:r>
      <w:r w:rsidR="000D2F7C" w:rsidRPr="00E95E6D">
        <w:rPr>
          <w:rFonts w:ascii="Times New Roman" w:hAnsi="Times New Roman" w:cs="Times New Roman"/>
        </w:rPr>
        <w:t xml:space="preserve"> At the very least, this may bar</w:t>
      </w:r>
      <w:r w:rsidR="007C37D1" w:rsidRPr="00E95E6D">
        <w:rPr>
          <w:rFonts w:ascii="Times New Roman" w:hAnsi="Times New Roman" w:cs="Times New Roman"/>
        </w:rPr>
        <w:t xml:space="preserve"> the early adoption of protocols before tactical considerations make it difficult for parties to agree.</w:t>
      </w:r>
      <w:r w:rsidR="007C37D1" w:rsidRPr="00E95E6D">
        <w:rPr>
          <w:rStyle w:val="FootnoteReference"/>
          <w:rFonts w:ascii="Times New Roman" w:hAnsi="Times New Roman" w:cs="Times New Roman"/>
        </w:rPr>
        <w:footnoteReference w:id="22"/>
      </w:r>
    </w:p>
    <w:p w14:paraId="066FCD83" w14:textId="77777777" w:rsidR="007C37D1" w:rsidRPr="00E95E6D" w:rsidRDefault="007C37D1" w:rsidP="007C37D1">
      <w:pPr>
        <w:pStyle w:val="ListParagraph"/>
        <w:spacing w:line="360" w:lineRule="auto"/>
        <w:ind w:left="567"/>
        <w:jc w:val="both"/>
        <w:rPr>
          <w:rFonts w:ascii="Times New Roman" w:hAnsi="Times New Roman" w:cs="Times New Roman"/>
        </w:rPr>
      </w:pPr>
    </w:p>
    <w:p w14:paraId="61EA628C" w14:textId="06ACA06E" w:rsidR="007C37D1" w:rsidRPr="00E95E6D" w:rsidRDefault="007C37D1" w:rsidP="00E64B69">
      <w:pPr>
        <w:pStyle w:val="ListParagraph"/>
        <w:numPr>
          <w:ilvl w:val="0"/>
          <w:numId w:val="1"/>
        </w:numPr>
        <w:spacing w:line="360" w:lineRule="auto"/>
        <w:ind w:left="567" w:hanging="425"/>
        <w:jc w:val="both"/>
        <w:rPr>
          <w:rFonts w:ascii="Times New Roman" w:hAnsi="Times New Roman" w:cs="Times New Roman"/>
        </w:rPr>
      </w:pPr>
      <w:r w:rsidRPr="00E95E6D">
        <w:rPr>
          <w:rFonts w:ascii="Times New Roman" w:hAnsi="Times New Roman" w:cs="Times New Roman"/>
        </w:rPr>
        <w:t xml:space="preserve">This concern is overstated. For one, professionals are ethically and commercially circumscribed by the need to </w:t>
      </w:r>
      <w:r w:rsidR="00C71768">
        <w:rPr>
          <w:rFonts w:ascii="Times New Roman" w:hAnsi="Times New Roman" w:cs="Times New Roman"/>
        </w:rPr>
        <w:t>put</w:t>
      </w:r>
      <w:r w:rsidRPr="00E95E6D">
        <w:rPr>
          <w:rFonts w:ascii="Times New Roman" w:hAnsi="Times New Roman" w:cs="Times New Roman"/>
        </w:rPr>
        <w:t xml:space="preserve"> their clients’ interest first, and it will be difficult to justify a refusal to apply the principles under the Guidelines particularly if it becomes commonly accepted practice. </w:t>
      </w:r>
      <w:r w:rsidR="002209B7" w:rsidRPr="00E95E6D">
        <w:rPr>
          <w:rFonts w:ascii="Times New Roman" w:hAnsi="Times New Roman" w:cs="Times New Roman"/>
        </w:rPr>
        <w:t>At the same time, judicial encouragement to focus on international cooperation will also help to overcome difficulties of coordination among professionals who are inclined to consider tactical and strategic advantages for their clients and who lack a broad vision of the needs of the case as a whole.</w:t>
      </w:r>
      <w:r w:rsidR="002209B7" w:rsidRPr="00E95E6D">
        <w:rPr>
          <w:rStyle w:val="FootnoteReference"/>
          <w:rFonts w:ascii="Times New Roman" w:hAnsi="Times New Roman" w:cs="Times New Roman"/>
        </w:rPr>
        <w:footnoteReference w:id="23"/>
      </w:r>
      <w:r w:rsidR="002209B7" w:rsidRPr="00E95E6D">
        <w:rPr>
          <w:rFonts w:ascii="Times New Roman" w:hAnsi="Times New Roman" w:cs="Times New Roman"/>
        </w:rPr>
        <w:t xml:space="preserve"> Such judicial encouragement is all</w:t>
      </w:r>
      <w:r w:rsidR="00E64B69" w:rsidRPr="00E95E6D">
        <w:rPr>
          <w:rFonts w:ascii="Times New Roman" w:hAnsi="Times New Roman" w:cs="Times New Roman"/>
        </w:rPr>
        <w:t xml:space="preserve"> the more likely to be present in light of the positive impact and adoption of the Guidelines. Once consideration of the principles in the Guidelines </w:t>
      </w:r>
      <w:r w:rsidR="002D05E9" w:rsidRPr="00E95E6D">
        <w:rPr>
          <w:rFonts w:ascii="Times New Roman" w:hAnsi="Times New Roman" w:cs="Times New Roman"/>
        </w:rPr>
        <w:t>is</w:t>
      </w:r>
      <w:r w:rsidR="00E64B69" w:rsidRPr="00E95E6D">
        <w:rPr>
          <w:rFonts w:ascii="Times New Roman" w:hAnsi="Times New Roman" w:cs="Times New Roman"/>
        </w:rPr>
        <w:t xml:space="preserve"> legitimised as part of the routine </w:t>
      </w:r>
      <w:r w:rsidR="00E65439" w:rsidRPr="00E95E6D">
        <w:rPr>
          <w:rFonts w:ascii="Times New Roman" w:hAnsi="Times New Roman" w:cs="Times New Roman"/>
        </w:rPr>
        <w:t xml:space="preserve">early </w:t>
      </w:r>
      <w:r w:rsidR="00E64B69" w:rsidRPr="00E95E6D">
        <w:rPr>
          <w:rFonts w:ascii="Times New Roman" w:hAnsi="Times New Roman" w:cs="Times New Roman"/>
        </w:rPr>
        <w:t>case management of a CBRI proceeding, it will be difficult for professionals to stand in the way</w:t>
      </w:r>
      <w:r w:rsidR="00461131" w:rsidRPr="00E95E6D">
        <w:rPr>
          <w:rFonts w:ascii="Times New Roman" w:hAnsi="Times New Roman" w:cs="Times New Roman"/>
        </w:rPr>
        <w:t>.</w:t>
      </w:r>
    </w:p>
    <w:p w14:paraId="6F206B1E" w14:textId="77777777" w:rsidR="00427FBF" w:rsidRPr="00E95E6D" w:rsidRDefault="00427FBF" w:rsidP="00427FBF">
      <w:pPr>
        <w:pStyle w:val="ListParagraph"/>
        <w:spacing w:line="360" w:lineRule="auto"/>
        <w:ind w:left="567"/>
        <w:jc w:val="both"/>
        <w:rPr>
          <w:rFonts w:ascii="Times New Roman" w:hAnsi="Times New Roman" w:cs="Times New Roman"/>
        </w:rPr>
      </w:pPr>
    </w:p>
    <w:p w14:paraId="31BDCC73" w14:textId="0FDD269E" w:rsidR="00B318A3" w:rsidRPr="00E95E6D" w:rsidRDefault="000429AC" w:rsidP="001C16D3">
      <w:pPr>
        <w:pStyle w:val="ListParagraph"/>
        <w:numPr>
          <w:ilvl w:val="0"/>
          <w:numId w:val="11"/>
        </w:numPr>
        <w:spacing w:line="360" w:lineRule="auto"/>
        <w:ind w:left="1134" w:hanging="425"/>
        <w:jc w:val="both"/>
        <w:rPr>
          <w:rFonts w:ascii="Times New Roman" w:hAnsi="Times New Roman" w:cs="Times New Roman"/>
          <w:b/>
          <w:bCs/>
        </w:rPr>
      </w:pPr>
      <w:r w:rsidRPr="00E95E6D">
        <w:rPr>
          <w:rFonts w:ascii="Times New Roman" w:hAnsi="Times New Roman" w:cs="Times New Roman"/>
          <w:b/>
          <w:bCs/>
        </w:rPr>
        <w:t>No Impact on Substantive Law</w:t>
      </w:r>
    </w:p>
    <w:p w14:paraId="321F449B" w14:textId="77777777" w:rsidR="001C16D3" w:rsidRPr="00E95E6D" w:rsidRDefault="001C16D3" w:rsidP="001C16D3">
      <w:pPr>
        <w:pStyle w:val="ListParagraph"/>
        <w:spacing w:line="360" w:lineRule="auto"/>
        <w:ind w:left="1134"/>
        <w:jc w:val="both"/>
        <w:rPr>
          <w:rFonts w:ascii="Times New Roman" w:hAnsi="Times New Roman" w:cs="Times New Roman"/>
          <w:b/>
          <w:bCs/>
        </w:rPr>
      </w:pPr>
    </w:p>
    <w:p w14:paraId="6F4A10F8" w14:textId="68712BE3" w:rsidR="00A2312A" w:rsidRPr="00E95E6D" w:rsidRDefault="00E65439" w:rsidP="00E65439">
      <w:pPr>
        <w:pStyle w:val="ListParagraph"/>
        <w:numPr>
          <w:ilvl w:val="0"/>
          <w:numId w:val="1"/>
        </w:numPr>
        <w:spacing w:line="360" w:lineRule="auto"/>
        <w:ind w:left="567" w:hanging="425"/>
        <w:jc w:val="both"/>
        <w:rPr>
          <w:rFonts w:ascii="Times New Roman" w:hAnsi="Times New Roman" w:cs="Times New Roman"/>
          <w:b/>
          <w:bCs/>
          <w:u w:val="single"/>
        </w:rPr>
      </w:pPr>
      <w:r w:rsidRPr="00E95E6D">
        <w:rPr>
          <w:rFonts w:ascii="Times New Roman" w:hAnsi="Times New Roman" w:cs="Times New Roman"/>
        </w:rPr>
        <w:t>I</w:t>
      </w:r>
      <w:r w:rsidR="00A2312A" w:rsidRPr="00E95E6D">
        <w:rPr>
          <w:rFonts w:ascii="Times New Roman" w:hAnsi="Times New Roman" w:cs="Times New Roman"/>
        </w:rPr>
        <w:t xml:space="preserve">t must be </w:t>
      </w:r>
      <w:r w:rsidRPr="00E95E6D">
        <w:rPr>
          <w:rFonts w:ascii="Times New Roman" w:hAnsi="Times New Roman" w:cs="Times New Roman"/>
        </w:rPr>
        <w:t>accepted</w:t>
      </w:r>
      <w:r w:rsidR="00A2312A" w:rsidRPr="00E95E6D">
        <w:rPr>
          <w:rFonts w:ascii="Times New Roman" w:hAnsi="Times New Roman" w:cs="Times New Roman"/>
        </w:rPr>
        <w:t xml:space="preserve"> that the Guidelines are</w:t>
      </w:r>
      <w:r w:rsidR="00EB510C" w:rsidRPr="00E95E6D">
        <w:rPr>
          <w:rFonts w:ascii="Times New Roman" w:hAnsi="Times New Roman" w:cs="Times New Roman"/>
        </w:rPr>
        <w:t xml:space="preserve"> supplemental to the law in each jurisdiction and are designed to address </w:t>
      </w:r>
      <w:r w:rsidR="00D60FAA">
        <w:rPr>
          <w:rFonts w:ascii="Times New Roman" w:hAnsi="Times New Roman" w:cs="Times New Roman"/>
        </w:rPr>
        <w:t xml:space="preserve">only </w:t>
      </w:r>
      <w:r w:rsidR="00EB510C" w:rsidRPr="00E95E6D">
        <w:rPr>
          <w:rFonts w:ascii="Times New Roman" w:hAnsi="Times New Roman" w:cs="Times New Roman"/>
        </w:rPr>
        <w:t>the practical</w:t>
      </w:r>
      <w:r w:rsidR="00D60FAA">
        <w:rPr>
          <w:rFonts w:ascii="Times New Roman" w:hAnsi="Times New Roman" w:cs="Times New Roman"/>
        </w:rPr>
        <w:t xml:space="preserve"> and procedural aspects</w:t>
      </w:r>
      <w:r w:rsidR="00EB510C" w:rsidRPr="00E95E6D">
        <w:rPr>
          <w:rFonts w:ascii="Times New Roman" w:hAnsi="Times New Roman" w:cs="Times New Roman"/>
        </w:rPr>
        <w:t xml:space="preserve"> of </w:t>
      </w:r>
      <w:r w:rsidR="00A2312A" w:rsidRPr="00E95E6D">
        <w:rPr>
          <w:rFonts w:ascii="Times New Roman" w:hAnsi="Times New Roman" w:cs="Times New Roman"/>
        </w:rPr>
        <w:t xml:space="preserve">cooperation and communication </w:t>
      </w:r>
      <w:r w:rsidR="00EB510C" w:rsidRPr="00E95E6D">
        <w:rPr>
          <w:rFonts w:ascii="Times New Roman" w:hAnsi="Times New Roman" w:cs="Times New Roman"/>
        </w:rPr>
        <w:t>across jurisdictions</w:t>
      </w:r>
      <w:r w:rsidR="00D60FAA">
        <w:rPr>
          <w:rFonts w:ascii="Times New Roman" w:hAnsi="Times New Roman" w:cs="Times New Roman"/>
        </w:rPr>
        <w:t xml:space="preserve">; they </w:t>
      </w:r>
      <w:r w:rsidR="00A2312A" w:rsidRPr="00E95E6D">
        <w:rPr>
          <w:rFonts w:ascii="Times New Roman" w:hAnsi="Times New Roman" w:cs="Times New Roman"/>
        </w:rPr>
        <w:t>do not impact substantive law</w:t>
      </w:r>
      <w:r w:rsidR="00EB510C" w:rsidRPr="00E95E6D">
        <w:rPr>
          <w:rFonts w:ascii="Times New Roman" w:hAnsi="Times New Roman" w:cs="Times New Roman"/>
        </w:rPr>
        <w:t>.</w:t>
      </w:r>
      <w:r w:rsidR="00133AB7" w:rsidRPr="00E95E6D">
        <w:rPr>
          <w:rFonts w:ascii="Times New Roman" w:hAnsi="Times New Roman" w:cs="Times New Roman"/>
        </w:rPr>
        <w:t xml:space="preserve"> </w:t>
      </w:r>
      <w:r w:rsidRPr="00E95E6D">
        <w:rPr>
          <w:rFonts w:ascii="Times New Roman" w:hAnsi="Times New Roman" w:cs="Times New Roman"/>
        </w:rPr>
        <w:t xml:space="preserve">As such, the Guidelines cannot </w:t>
      </w:r>
      <w:r w:rsidR="00A07EEE" w:rsidRPr="00E95E6D">
        <w:rPr>
          <w:rFonts w:ascii="Times New Roman" w:hAnsi="Times New Roman" w:cs="Times New Roman"/>
        </w:rPr>
        <w:t>resolve</w:t>
      </w:r>
      <w:r w:rsidRPr="00E95E6D">
        <w:rPr>
          <w:rFonts w:ascii="Times New Roman" w:hAnsi="Times New Roman" w:cs="Times New Roman"/>
        </w:rPr>
        <w:t xml:space="preserve"> issues such as the priority in the distribution of assets</w:t>
      </w:r>
      <w:r w:rsidR="001C16D3" w:rsidRPr="00E95E6D">
        <w:rPr>
          <w:rFonts w:ascii="Times New Roman" w:hAnsi="Times New Roman" w:cs="Times New Roman"/>
        </w:rPr>
        <w:t xml:space="preserve"> or the avoidance of transactions</w:t>
      </w:r>
      <w:r w:rsidR="00A07EEE" w:rsidRPr="00E95E6D">
        <w:rPr>
          <w:rFonts w:ascii="Times New Roman" w:hAnsi="Times New Roman" w:cs="Times New Roman"/>
        </w:rPr>
        <w:t>, nor are they intended to. This</w:t>
      </w:r>
      <w:r w:rsidR="001C16D3" w:rsidRPr="00E95E6D">
        <w:rPr>
          <w:rFonts w:ascii="Times New Roman" w:hAnsi="Times New Roman" w:cs="Times New Roman"/>
        </w:rPr>
        <w:t xml:space="preserve"> follows the lead of the Model Law in not seeking to attempt the harmonisation of substantive</w:t>
      </w:r>
      <w:r w:rsidR="00C24B0F" w:rsidRPr="00E95E6D">
        <w:rPr>
          <w:rFonts w:ascii="Times New Roman" w:hAnsi="Times New Roman" w:cs="Times New Roman"/>
        </w:rPr>
        <w:t xml:space="preserve"> domestic</w:t>
      </w:r>
      <w:r w:rsidR="001C16D3" w:rsidRPr="00E95E6D">
        <w:rPr>
          <w:rFonts w:ascii="Times New Roman" w:hAnsi="Times New Roman" w:cs="Times New Roman"/>
        </w:rPr>
        <w:t xml:space="preserve"> law.</w:t>
      </w:r>
    </w:p>
    <w:p w14:paraId="3A0869DA" w14:textId="77777777" w:rsidR="00A07EEE" w:rsidRPr="00E95E6D" w:rsidRDefault="00A07EEE" w:rsidP="00A07EEE">
      <w:pPr>
        <w:pStyle w:val="ListParagraph"/>
        <w:spacing w:line="360" w:lineRule="auto"/>
        <w:ind w:left="567"/>
        <w:jc w:val="both"/>
        <w:rPr>
          <w:rFonts w:ascii="Times New Roman" w:hAnsi="Times New Roman" w:cs="Times New Roman"/>
          <w:b/>
          <w:bCs/>
          <w:u w:val="single"/>
        </w:rPr>
      </w:pPr>
    </w:p>
    <w:p w14:paraId="4C522E2B" w14:textId="5E43DCC0" w:rsidR="00A07EEE" w:rsidRPr="00E95E6D" w:rsidRDefault="001C16D3" w:rsidP="00E65439">
      <w:pPr>
        <w:pStyle w:val="ListParagraph"/>
        <w:numPr>
          <w:ilvl w:val="0"/>
          <w:numId w:val="1"/>
        </w:numPr>
        <w:spacing w:line="360" w:lineRule="auto"/>
        <w:ind w:left="567" w:hanging="425"/>
        <w:jc w:val="both"/>
        <w:rPr>
          <w:rFonts w:ascii="Times New Roman" w:hAnsi="Times New Roman" w:cs="Times New Roman"/>
          <w:b/>
          <w:bCs/>
          <w:u w:val="single"/>
        </w:rPr>
      </w:pPr>
      <w:r w:rsidRPr="00E95E6D">
        <w:rPr>
          <w:rFonts w:ascii="Times New Roman" w:hAnsi="Times New Roman" w:cs="Times New Roman"/>
        </w:rPr>
        <w:t xml:space="preserve">It should be emphasised that the fact that two jurisdictions may have different substantive laws is usually no bar to the relevant courts communicating and cooperating as contemplated under the Guidelines. In fact, one might argue that in such cases it is even more critical that there be close cooperation between the courts and the practitioners across jurisdictions. </w:t>
      </w:r>
      <w:r w:rsidR="00D60FAA">
        <w:rPr>
          <w:rFonts w:ascii="Times New Roman" w:hAnsi="Times New Roman" w:cs="Times New Roman"/>
        </w:rPr>
        <w:t>In</w:t>
      </w:r>
      <w:r w:rsidR="0005020E" w:rsidRPr="00E95E6D">
        <w:rPr>
          <w:rFonts w:ascii="Times New Roman" w:hAnsi="Times New Roman" w:cs="Times New Roman"/>
        </w:rPr>
        <w:t xml:space="preserve"> the much-</w:t>
      </w:r>
      <w:r w:rsidR="008E37E6" w:rsidRPr="00E95E6D">
        <w:rPr>
          <w:rFonts w:ascii="Times New Roman" w:hAnsi="Times New Roman" w:cs="Times New Roman"/>
        </w:rPr>
        <w:t>discussed</w:t>
      </w:r>
      <w:r w:rsidR="0005020E" w:rsidRPr="00E95E6D">
        <w:rPr>
          <w:rFonts w:ascii="Times New Roman" w:hAnsi="Times New Roman" w:cs="Times New Roman"/>
        </w:rPr>
        <w:t xml:space="preserve"> </w:t>
      </w:r>
      <w:r w:rsidR="0005020E" w:rsidRPr="00E95E6D">
        <w:rPr>
          <w:rFonts w:ascii="Times New Roman" w:hAnsi="Times New Roman" w:cs="Times New Roman"/>
          <w:i/>
          <w:iCs/>
        </w:rPr>
        <w:t>Nortel</w:t>
      </w:r>
      <w:r w:rsidR="00071857" w:rsidRPr="00E95E6D">
        <w:rPr>
          <w:rStyle w:val="FootnoteReference"/>
          <w:rFonts w:ascii="Times New Roman" w:hAnsi="Times New Roman" w:cs="Times New Roman"/>
          <w:i/>
          <w:iCs/>
        </w:rPr>
        <w:footnoteReference w:id="24"/>
      </w:r>
      <w:r w:rsidR="0005020E" w:rsidRPr="00E95E6D">
        <w:rPr>
          <w:rFonts w:ascii="Times New Roman" w:hAnsi="Times New Roman" w:cs="Times New Roman"/>
        </w:rPr>
        <w:t xml:space="preserve"> case</w:t>
      </w:r>
      <w:r w:rsidR="008E37E6" w:rsidRPr="00E95E6D">
        <w:rPr>
          <w:rFonts w:ascii="Times New Roman" w:hAnsi="Times New Roman" w:cs="Times New Roman"/>
        </w:rPr>
        <w:t xml:space="preserve">, after the Nortel group had sold its assets for USD 7.3 billion, there was disagreement between the parties on the method of allocating the proceeds between the various Nortel entities, given that the group had subsidiaries in more than 100 countries. </w:t>
      </w:r>
      <w:r w:rsidR="00D60FAA">
        <w:rPr>
          <w:rFonts w:ascii="Times New Roman" w:hAnsi="Times New Roman" w:cs="Times New Roman"/>
        </w:rPr>
        <w:t xml:space="preserve">Despite both the </w:t>
      </w:r>
      <w:r w:rsidR="00D60FAA" w:rsidRPr="00E95E6D">
        <w:rPr>
          <w:rFonts w:ascii="Times New Roman" w:hAnsi="Times New Roman" w:cs="Times New Roman"/>
        </w:rPr>
        <w:t xml:space="preserve">Ontario Superior Court of Justice (Commercial List) and the US Bankruptcy Court for the District of Delaware </w:t>
      </w:r>
      <w:r w:rsidR="00D60FAA">
        <w:rPr>
          <w:rFonts w:ascii="Times New Roman" w:hAnsi="Times New Roman" w:cs="Times New Roman"/>
        </w:rPr>
        <w:t xml:space="preserve">coming from common law traditions, they nevertheless existed differences in their substantive laws governing this issue. </w:t>
      </w:r>
      <w:r w:rsidR="008E37E6" w:rsidRPr="00E95E6D">
        <w:rPr>
          <w:rFonts w:ascii="Times New Roman" w:hAnsi="Times New Roman" w:cs="Times New Roman"/>
        </w:rPr>
        <w:t xml:space="preserve">A protocol for communication and cooperation between </w:t>
      </w:r>
      <w:r w:rsidR="00D60FAA">
        <w:rPr>
          <w:rFonts w:ascii="Times New Roman" w:hAnsi="Times New Roman" w:cs="Times New Roman"/>
        </w:rPr>
        <w:t>was</w:t>
      </w:r>
      <w:r w:rsidR="008E37E6" w:rsidRPr="00E95E6D">
        <w:rPr>
          <w:rFonts w:ascii="Times New Roman" w:hAnsi="Times New Roman" w:cs="Times New Roman"/>
        </w:rPr>
        <w:t xml:space="preserve"> entered into and approved</w:t>
      </w:r>
      <w:r w:rsidR="008E37E6" w:rsidRPr="00E95E6D">
        <w:rPr>
          <w:rFonts w:ascii="Times New Roman" w:hAnsi="Times New Roman" w:cs="Times New Roman"/>
        </w:rPr>
        <w:t xml:space="preserve"> by both courts, which provided for a joint trial between the two courts. Of particular note is that the protocol </w:t>
      </w:r>
      <w:r w:rsidR="00A83CC2" w:rsidRPr="00E95E6D">
        <w:rPr>
          <w:rFonts w:ascii="Times New Roman" w:hAnsi="Times New Roman" w:cs="Times New Roman"/>
        </w:rPr>
        <w:t>allowed for the US and Canadian to communicate after trial to determine whether consistent decisions can be delivered by both courts, and whether the decisions can be released at the same time. Ultimately, consistent decisions were released at the same time by both courts.</w:t>
      </w:r>
      <w:r w:rsidR="00D60FAA">
        <w:rPr>
          <w:rFonts w:ascii="Times New Roman" w:hAnsi="Times New Roman" w:cs="Times New Roman"/>
        </w:rPr>
        <w:t xml:space="preserve"> </w:t>
      </w:r>
    </w:p>
    <w:p w14:paraId="70EFA079" w14:textId="77777777" w:rsidR="00A83CC2" w:rsidRPr="00E95E6D" w:rsidRDefault="00A83CC2" w:rsidP="00A83CC2">
      <w:pPr>
        <w:pStyle w:val="ListParagraph"/>
        <w:spacing w:line="360" w:lineRule="auto"/>
        <w:ind w:left="567"/>
        <w:jc w:val="both"/>
        <w:rPr>
          <w:rFonts w:ascii="Times New Roman" w:hAnsi="Times New Roman" w:cs="Times New Roman"/>
          <w:b/>
          <w:bCs/>
          <w:u w:val="single"/>
        </w:rPr>
      </w:pPr>
    </w:p>
    <w:p w14:paraId="535829F4" w14:textId="4956D197" w:rsidR="00A83CC2" w:rsidRPr="00E95E6D" w:rsidRDefault="00A83CC2" w:rsidP="00E65439">
      <w:pPr>
        <w:pStyle w:val="ListParagraph"/>
        <w:numPr>
          <w:ilvl w:val="0"/>
          <w:numId w:val="1"/>
        </w:numPr>
        <w:spacing w:line="360" w:lineRule="auto"/>
        <w:ind w:left="567" w:hanging="425"/>
        <w:jc w:val="both"/>
        <w:rPr>
          <w:rFonts w:ascii="Times New Roman" w:hAnsi="Times New Roman" w:cs="Times New Roman"/>
          <w:b/>
          <w:bCs/>
          <w:u w:val="single"/>
        </w:rPr>
      </w:pPr>
      <w:r w:rsidRPr="00E95E6D">
        <w:rPr>
          <w:rFonts w:ascii="Times New Roman" w:hAnsi="Times New Roman" w:cs="Times New Roman"/>
        </w:rPr>
        <w:t xml:space="preserve">The ambitious task of harmonising substantive domestic law is unlikely to be achieved anytime soon. Even among common law jurisdictions (where judicial decisions can be persuasive across jurisdictions), this can be challenging. However, by encouraging active and early communication and cooperation between courts, what the Guidelines can do is to minimise the risks of </w:t>
      </w:r>
      <w:r w:rsidR="00107EDC" w:rsidRPr="00E95E6D">
        <w:rPr>
          <w:rFonts w:ascii="Times New Roman" w:hAnsi="Times New Roman" w:cs="Times New Roman"/>
        </w:rPr>
        <w:t xml:space="preserve">inconsistent decisions. Even if the substantive domestic laws dictate that inconsistent decisions will have to be rendered by the relevant courts, </w:t>
      </w:r>
      <w:r w:rsidR="002B00DD">
        <w:rPr>
          <w:rFonts w:ascii="Times New Roman" w:hAnsi="Times New Roman" w:cs="Times New Roman"/>
        </w:rPr>
        <w:t xml:space="preserve">coordinated </w:t>
      </w:r>
      <w:r w:rsidR="00107EDC" w:rsidRPr="00E95E6D">
        <w:rPr>
          <w:rFonts w:ascii="Times New Roman" w:hAnsi="Times New Roman" w:cs="Times New Roman"/>
        </w:rPr>
        <w:t xml:space="preserve">steps can be taken to manage any consequential impact on the stakeholders involved, including by giving them a chance to participate in any relevant hearings and be promptly apprised of the outcome. Active communication and cooperation between the courts and the practitioners involved </w:t>
      </w:r>
      <w:r w:rsidR="00C66944" w:rsidRPr="00E95E6D">
        <w:rPr>
          <w:rFonts w:ascii="Times New Roman" w:hAnsi="Times New Roman" w:cs="Times New Roman"/>
        </w:rPr>
        <w:t xml:space="preserve">will not only </w:t>
      </w:r>
      <w:r w:rsidR="00C66944" w:rsidRPr="00E95E6D">
        <w:rPr>
          <w:rFonts w:ascii="Times New Roman" w:hAnsi="Times New Roman" w:cs="Times New Roman"/>
        </w:rPr>
        <w:lastRenderedPageBreak/>
        <w:t xml:space="preserve">save time and costs, it can </w:t>
      </w:r>
      <w:r w:rsidR="00107EDC" w:rsidRPr="00E95E6D">
        <w:rPr>
          <w:rFonts w:ascii="Times New Roman" w:hAnsi="Times New Roman" w:cs="Times New Roman"/>
        </w:rPr>
        <w:t xml:space="preserve">help to ameliorate </w:t>
      </w:r>
      <w:r w:rsidR="00C66944" w:rsidRPr="00E95E6D">
        <w:rPr>
          <w:rFonts w:ascii="Times New Roman" w:hAnsi="Times New Roman" w:cs="Times New Roman"/>
        </w:rPr>
        <w:t xml:space="preserve">any sense of injustice or unfairness arising out of unexpected outcomes because of differences in </w:t>
      </w:r>
      <w:r w:rsidR="00C66944" w:rsidRPr="00E95E6D">
        <w:rPr>
          <w:rFonts w:ascii="Times New Roman" w:hAnsi="Times New Roman" w:cs="Times New Roman"/>
        </w:rPr>
        <w:t>substantive domestic laws</w:t>
      </w:r>
      <w:r w:rsidR="00C66944" w:rsidRPr="00E95E6D">
        <w:rPr>
          <w:rFonts w:ascii="Times New Roman" w:hAnsi="Times New Roman" w:cs="Times New Roman"/>
        </w:rPr>
        <w:t>.</w:t>
      </w:r>
    </w:p>
    <w:p w14:paraId="37340651" w14:textId="77777777" w:rsidR="00C66944" w:rsidRPr="00E95E6D" w:rsidRDefault="00C66944" w:rsidP="00C66944">
      <w:pPr>
        <w:pStyle w:val="ListParagraph"/>
        <w:rPr>
          <w:rFonts w:ascii="Times New Roman" w:hAnsi="Times New Roman" w:cs="Times New Roman"/>
          <w:b/>
          <w:bCs/>
          <w:u w:val="single"/>
        </w:rPr>
      </w:pPr>
    </w:p>
    <w:p w14:paraId="27E6295E" w14:textId="5759A33E" w:rsidR="00E76383" w:rsidRPr="00E95E6D" w:rsidRDefault="00E76383" w:rsidP="00E672F7">
      <w:pPr>
        <w:pStyle w:val="ListParagraph"/>
        <w:numPr>
          <w:ilvl w:val="0"/>
          <w:numId w:val="3"/>
        </w:numPr>
        <w:spacing w:line="360" w:lineRule="auto"/>
        <w:ind w:left="567" w:hanging="283"/>
        <w:rPr>
          <w:rFonts w:ascii="Times New Roman" w:hAnsi="Times New Roman" w:cs="Times New Roman"/>
          <w:b/>
          <w:bCs/>
          <w:u w:val="single"/>
        </w:rPr>
      </w:pPr>
      <w:r w:rsidRPr="00E95E6D">
        <w:rPr>
          <w:rFonts w:ascii="Times New Roman" w:hAnsi="Times New Roman" w:cs="Times New Roman"/>
          <w:b/>
          <w:bCs/>
          <w:u w:val="single"/>
        </w:rPr>
        <w:t>Conclusion</w:t>
      </w:r>
    </w:p>
    <w:p w14:paraId="5CAA069C" w14:textId="77777777" w:rsidR="00E76383" w:rsidRPr="00E95E6D" w:rsidRDefault="00E76383" w:rsidP="009950B5">
      <w:pPr>
        <w:pStyle w:val="ListParagraph"/>
        <w:spacing w:line="360" w:lineRule="auto"/>
        <w:ind w:left="1134"/>
        <w:rPr>
          <w:rFonts w:ascii="Times New Roman" w:hAnsi="Times New Roman" w:cs="Times New Roman"/>
          <w:b/>
          <w:bCs/>
          <w:u w:val="single"/>
        </w:rPr>
      </w:pPr>
    </w:p>
    <w:p w14:paraId="71E4F79A" w14:textId="0EACD2E1" w:rsidR="00140913" w:rsidRPr="00E95E6D" w:rsidRDefault="00FB5DB2" w:rsidP="00FB5DB2">
      <w:pPr>
        <w:pStyle w:val="ListParagraph"/>
        <w:numPr>
          <w:ilvl w:val="0"/>
          <w:numId w:val="1"/>
        </w:numPr>
        <w:spacing w:line="360" w:lineRule="auto"/>
        <w:ind w:left="567" w:hanging="425"/>
        <w:jc w:val="both"/>
        <w:rPr>
          <w:rFonts w:ascii="Times New Roman" w:hAnsi="Times New Roman" w:cs="Times New Roman"/>
        </w:rPr>
      </w:pPr>
      <w:r w:rsidRPr="00E95E6D">
        <w:rPr>
          <w:rFonts w:ascii="Times New Roman" w:hAnsi="Times New Roman" w:cs="Times New Roman"/>
        </w:rPr>
        <w:t>Protocols</w:t>
      </w:r>
      <w:r w:rsidR="00483C85" w:rsidRPr="00E95E6D">
        <w:rPr>
          <w:rFonts w:ascii="Times New Roman" w:hAnsi="Times New Roman" w:cs="Times New Roman"/>
        </w:rPr>
        <w:t xml:space="preserve"> </w:t>
      </w:r>
      <w:r w:rsidR="002B00DD">
        <w:rPr>
          <w:rFonts w:ascii="Times New Roman" w:hAnsi="Times New Roman" w:cs="Times New Roman"/>
        </w:rPr>
        <w:t xml:space="preserve">are </w:t>
      </w:r>
      <w:r w:rsidR="00483C85" w:rsidRPr="00E95E6D">
        <w:rPr>
          <w:rFonts w:ascii="Times New Roman" w:hAnsi="Times New Roman" w:cs="Times New Roman"/>
        </w:rPr>
        <w:t xml:space="preserve">not only likely to remain an important part of international insolvency practice, they will also almost certainly evolve and increase in both importance and complexity as </w:t>
      </w:r>
      <w:r w:rsidR="002B00DD">
        <w:rPr>
          <w:rFonts w:ascii="Times New Roman" w:hAnsi="Times New Roman" w:cs="Times New Roman"/>
        </w:rPr>
        <w:t xml:space="preserve">CBRI </w:t>
      </w:r>
      <w:r w:rsidR="00483C85" w:rsidRPr="00E95E6D">
        <w:rPr>
          <w:rFonts w:ascii="Times New Roman" w:hAnsi="Times New Roman" w:cs="Times New Roman"/>
        </w:rPr>
        <w:t>proceedings themselves become more complex.</w:t>
      </w:r>
      <w:r w:rsidR="00483C85" w:rsidRPr="00E95E6D">
        <w:rPr>
          <w:rStyle w:val="FootnoteReference"/>
          <w:rFonts w:ascii="Times New Roman" w:hAnsi="Times New Roman" w:cs="Times New Roman"/>
        </w:rPr>
        <w:footnoteReference w:id="25"/>
      </w:r>
      <w:r w:rsidR="00483C85" w:rsidRPr="00E95E6D">
        <w:rPr>
          <w:rFonts w:ascii="Times New Roman" w:hAnsi="Times New Roman" w:cs="Times New Roman"/>
        </w:rPr>
        <w:t xml:space="preserve"> </w:t>
      </w:r>
      <w:r w:rsidR="00140913" w:rsidRPr="00E95E6D">
        <w:rPr>
          <w:rFonts w:ascii="Times New Roman" w:hAnsi="Times New Roman" w:cs="Times New Roman"/>
        </w:rPr>
        <w:t>For a protocol to be successful, cooperation and a high degree of mutual trust among the courts</w:t>
      </w:r>
      <w:r w:rsidR="002B00DD">
        <w:rPr>
          <w:rFonts w:ascii="Times New Roman" w:hAnsi="Times New Roman" w:cs="Times New Roman"/>
        </w:rPr>
        <w:t xml:space="preserve"> and practitionerss</w:t>
      </w:r>
      <w:r w:rsidR="00140913" w:rsidRPr="00E95E6D">
        <w:rPr>
          <w:rFonts w:ascii="Times New Roman" w:hAnsi="Times New Roman" w:cs="Times New Roman"/>
        </w:rPr>
        <w:t xml:space="preserve"> involved is critical. That was true in the </w:t>
      </w:r>
      <w:r w:rsidR="00140913" w:rsidRPr="00E95E6D">
        <w:rPr>
          <w:rFonts w:ascii="Times New Roman" w:hAnsi="Times New Roman" w:cs="Times New Roman"/>
          <w:i/>
          <w:iCs/>
        </w:rPr>
        <w:t>Maxwell</w:t>
      </w:r>
      <w:r w:rsidR="00140913" w:rsidRPr="00E95E6D">
        <w:rPr>
          <w:rFonts w:ascii="Times New Roman" w:hAnsi="Times New Roman" w:cs="Times New Roman"/>
        </w:rPr>
        <w:t xml:space="preserve"> case – where it was evident from the respective judgments of the UK and US Courts that there was a spirit of mutual trust and dignity – even before the Guidelines were enacted, and it remains true today. </w:t>
      </w:r>
    </w:p>
    <w:p w14:paraId="12B3F1A4" w14:textId="77777777" w:rsidR="00140913" w:rsidRPr="00E95E6D" w:rsidRDefault="00140913" w:rsidP="009950B5">
      <w:pPr>
        <w:pStyle w:val="ListParagraph"/>
        <w:spacing w:line="360" w:lineRule="auto"/>
        <w:jc w:val="both"/>
        <w:rPr>
          <w:rFonts w:ascii="Times New Roman" w:hAnsi="Times New Roman" w:cs="Times New Roman"/>
        </w:rPr>
      </w:pPr>
    </w:p>
    <w:p w14:paraId="5ADDB5AD" w14:textId="7FD0B93E" w:rsidR="00140913" w:rsidRPr="00E95E6D" w:rsidRDefault="00140913" w:rsidP="00FB5DB2">
      <w:pPr>
        <w:pStyle w:val="ListParagraph"/>
        <w:numPr>
          <w:ilvl w:val="0"/>
          <w:numId w:val="1"/>
        </w:numPr>
        <w:spacing w:line="360" w:lineRule="auto"/>
        <w:ind w:left="567" w:hanging="425"/>
        <w:jc w:val="both"/>
        <w:rPr>
          <w:rFonts w:ascii="Times New Roman" w:hAnsi="Times New Roman" w:cs="Times New Roman"/>
        </w:rPr>
      </w:pPr>
      <w:r w:rsidRPr="00E95E6D">
        <w:rPr>
          <w:rFonts w:ascii="Times New Roman" w:hAnsi="Times New Roman" w:cs="Times New Roman"/>
        </w:rPr>
        <w:t xml:space="preserve">While the Guidelines and any resulting protocol implemented are ultimately procedural in nature, by providing the framework and opportunities for Courts to work closely together, they lay the groundwork for cooperation and coordination on substantive matters as well, and will ultimately lead to greater harmonisation of substantive law across different jurisdictions. </w:t>
      </w:r>
    </w:p>
    <w:p w14:paraId="390A930B" w14:textId="77777777" w:rsidR="00DA04C1" w:rsidRPr="00E95E6D" w:rsidRDefault="00DA04C1" w:rsidP="00DA04C1">
      <w:pPr>
        <w:pStyle w:val="ListParagraph"/>
        <w:rPr>
          <w:rFonts w:ascii="Times New Roman" w:hAnsi="Times New Roman" w:cs="Times New Roman"/>
        </w:rPr>
      </w:pPr>
    </w:p>
    <w:p w14:paraId="6BBE1BD7" w14:textId="2F22097D" w:rsidR="00E76383" w:rsidRPr="00E95E6D" w:rsidRDefault="00140913" w:rsidP="00FB5DB2">
      <w:pPr>
        <w:pStyle w:val="ListParagraph"/>
        <w:numPr>
          <w:ilvl w:val="0"/>
          <w:numId w:val="1"/>
        </w:numPr>
        <w:spacing w:line="360" w:lineRule="auto"/>
        <w:ind w:left="567" w:hanging="425"/>
        <w:jc w:val="both"/>
        <w:rPr>
          <w:rFonts w:ascii="Times New Roman" w:hAnsi="Times New Roman" w:cs="Times New Roman"/>
        </w:rPr>
      </w:pPr>
      <w:r w:rsidRPr="00E95E6D">
        <w:rPr>
          <w:rFonts w:ascii="Times New Roman" w:hAnsi="Times New Roman" w:cs="Times New Roman"/>
        </w:rPr>
        <w:t xml:space="preserve">The effect of this is likely to be more pronounced in key nodal jurisdictions such as the US, the UK, </w:t>
      </w:r>
      <w:r w:rsidR="00815DC0" w:rsidRPr="00E95E6D">
        <w:rPr>
          <w:rFonts w:ascii="Times New Roman" w:hAnsi="Times New Roman" w:cs="Times New Roman"/>
        </w:rPr>
        <w:t>Singapore and certain offshore jurisdictions, but it will be a matter of time before the other jurisdictions (including many civil law jurisdictions) follow suit. If that happens, the Guidelines (being soft law instruments) would have achieved their objective.</w:t>
      </w:r>
      <w:r w:rsidRPr="00E95E6D">
        <w:rPr>
          <w:rFonts w:ascii="Times New Roman" w:hAnsi="Times New Roman" w:cs="Times New Roman"/>
        </w:rPr>
        <w:t xml:space="preserve"> </w:t>
      </w:r>
    </w:p>
    <w:p w14:paraId="7B8AC345" w14:textId="77777777" w:rsidR="007E6F97" w:rsidRPr="00E95E6D" w:rsidRDefault="007E6F97" w:rsidP="007E6F97">
      <w:pPr>
        <w:pStyle w:val="ListParagraph"/>
        <w:rPr>
          <w:rFonts w:ascii="Times New Roman" w:hAnsi="Times New Roman" w:cs="Times New Roman"/>
        </w:rPr>
      </w:pPr>
    </w:p>
    <w:p w14:paraId="47D2C2DF" w14:textId="58C0441D" w:rsidR="007E6F97" w:rsidRPr="00E95E6D" w:rsidRDefault="007E6F97" w:rsidP="007E6F97">
      <w:pPr>
        <w:spacing w:line="360" w:lineRule="auto"/>
        <w:jc w:val="both"/>
        <w:rPr>
          <w:rFonts w:ascii="Times New Roman" w:hAnsi="Times New Roman" w:cs="Times New Roman"/>
        </w:rPr>
      </w:pPr>
    </w:p>
    <w:p w14:paraId="6301E9D2" w14:textId="2691D1E8" w:rsidR="007E6F97" w:rsidRDefault="007E6F97" w:rsidP="007E6F97">
      <w:pPr>
        <w:spacing w:line="360" w:lineRule="auto"/>
        <w:jc w:val="both"/>
        <w:rPr>
          <w:rFonts w:ascii="Times New Roman" w:hAnsi="Times New Roman" w:cs="Times New Roman"/>
        </w:rPr>
      </w:pPr>
    </w:p>
    <w:p w14:paraId="432E8B58" w14:textId="6BA4958B" w:rsidR="000F3020" w:rsidRDefault="000F3020" w:rsidP="007E6F97">
      <w:pPr>
        <w:spacing w:line="360" w:lineRule="auto"/>
        <w:jc w:val="both"/>
        <w:rPr>
          <w:rFonts w:ascii="Times New Roman" w:hAnsi="Times New Roman" w:cs="Times New Roman"/>
        </w:rPr>
      </w:pPr>
    </w:p>
    <w:p w14:paraId="2409E8E3" w14:textId="77777777" w:rsidR="000F3020" w:rsidRPr="00E95E6D" w:rsidRDefault="000F3020" w:rsidP="007E6F97">
      <w:pPr>
        <w:spacing w:line="360" w:lineRule="auto"/>
        <w:jc w:val="both"/>
        <w:rPr>
          <w:rFonts w:ascii="Times New Roman" w:hAnsi="Times New Roman" w:cs="Times New Roman"/>
        </w:rPr>
      </w:pPr>
    </w:p>
    <w:p w14:paraId="0BAE5539" w14:textId="3A0824CE" w:rsidR="007E6F97" w:rsidRPr="00E95E6D" w:rsidRDefault="007E6F97" w:rsidP="007E6F97">
      <w:pPr>
        <w:spacing w:line="360" w:lineRule="auto"/>
        <w:jc w:val="both"/>
        <w:rPr>
          <w:rFonts w:ascii="Times New Roman" w:hAnsi="Times New Roman" w:cs="Times New Roman"/>
        </w:rPr>
      </w:pPr>
    </w:p>
    <w:p w14:paraId="6578B60B" w14:textId="62ECC193" w:rsidR="007E6F97" w:rsidRPr="00E95E6D" w:rsidRDefault="007E6F97" w:rsidP="007E6F97">
      <w:pPr>
        <w:spacing w:line="360" w:lineRule="auto"/>
        <w:jc w:val="both"/>
        <w:rPr>
          <w:rFonts w:ascii="Times New Roman" w:hAnsi="Times New Roman" w:cs="Times New Roman"/>
        </w:rPr>
      </w:pPr>
    </w:p>
    <w:p w14:paraId="2FCB0EBA" w14:textId="1C00C5BF" w:rsidR="007E6F97" w:rsidRPr="00E95E6D" w:rsidRDefault="007E6F97" w:rsidP="007E6F97">
      <w:pPr>
        <w:spacing w:line="360" w:lineRule="auto"/>
        <w:jc w:val="both"/>
        <w:rPr>
          <w:rFonts w:ascii="Times New Roman" w:hAnsi="Times New Roman" w:cs="Times New Roman"/>
        </w:rPr>
      </w:pPr>
    </w:p>
    <w:p w14:paraId="64AEF17F" w14:textId="26738F6C" w:rsidR="007E6F97" w:rsidRPr="00E95E6D" w:rsidRDefault="007E6F97" w:rsidP="007E6F97">
      <w:pPr>
        <w:spacing w:line="360" w:lineRule="auto"/>
        <w:jc w:val="both"/>
        <w:rPr>
          <w:rFonts w:ascii="Times New Roman" w:hAnsi="Times New Roman" w:cs="Times New Roman"/>
        </w:rPr>
      </w:pPr>
    </w:p>
    <w:p w14:paraId="43271D92" w14:textId="5274718D" w:rsidR="00F44A1F" w:rsidRPr="00E95E6D" w:rsidRDefault="008E5801" w:rsidP="00E672F7">
      <w:pPr>
        <w:pStyle w:val="ListParagraph"/>
        <w:numPr>
          <w:ilvl w:val="0"/>
          <w:numId w:val="3"/>
        </w:numPr>
        <w:spacing w:line="360" w:lineRule="auto"/>
        <w:ind w:left="567" w:hanging="283"/>
        <w:rPr>
          <w:rFonts w:ascii="Times New Roman" w:hAnsi="Times New Roman" w:cs="Times New Roman"/>
          <w:b/>
          <w:bCs/>
          <w:u w:val="single"/>
        </w:rPr>
      </w:pPr>
      <w:r w:rsidRPr="00E95E6D">
        <w:rPr>
          <w:rFonts w:ascii="Times New Roman" w:hAnsi="Times New Roman" w:cs="Times New Roman"/>
          <w:b/>
          <w:bCs/>
          <w:u w:val="single"/>
        </w:rPr>
        <w:lastRenderedPageBreak/>
        <w:t>Bibliography</w:t>
      </w:r>
    </w:p>
    <w:p w14:paraId="58351C84" w14:textId="7DE8C09F" w:rsidR="00F44A1F" w:rsidRPr="00E95E6D" w:rsidRDefault="00F44A1F" w:rsidP="00F44A1F">
      <w:pPr>
        <w:spacing w:after="0" w:line="360" w:lineRule="auto"/>
        <w:ind w:left="567"/>
        <w:rPr>
          <w:rFonts w:ascii="Times New Roman" w:hAnsi="Times New Roman" w:cs="Times New Roman"/>
          <w:b/>
          <w:bCs/>
          <w:i/>
          <w:iCs/>
        </w:rPr>
      </w:pPr>
      <w:r w:rsidRPr="00E95E6D">
        <w:rPr>
          <w:rFonts w:ascii="Times New Roman" w:hAnsi="Times New Roman" w:cs="Times New Roman"/>
          <w:b/>
          <w:bCs/>
          <w:i/>
          <w:iCs/>
        </w:rPr>
        <w:t>Articles</w:t>
      </w:r>
    </w:p>
    <w:p w14:paraId="2AD824F8" w14:textId="410F0C78" w:rsidR="00F44A1F" w:rsidRPr="00E95E6D" w:rsidRDefault="00F44A1F" w:rsidP="00E672F7">
      <w:pPr>
        <w:pStyle w:val="ListParagraph"/>
        <w:numPr>
          <w:ilvl w:val="0"/>
          <w:numId w:val="9"/>
        </w:numPr>
        <w:spacing w:line="360" w:lineRule="auto"/>
        <w:ind w:left="567" w:hanging="425"/>
        <w:jc w:val="both"/>
        <w:rPr>
          <w:rFonts w:ascii="Times New Roman" w:hAnsi="Times New Roman" w:cs="Times New Roman"/>
        </w:rPr>
      </w:pPr>
      <w:r w:rsidRPr="00E95E6D">
        <w:rPr>
          <w:rFonts w:ascii="Times New Roman" w:hAnsi="Times New Roman" w:cs="Times New Roman"/>
        </w:rPr>
        <w:t>Bob Wessels, "A Glimpse into the Future: Cross-border Judicial Cooperation in Insolvency Cases in the European Union Cross-border Judicial Cooperation" (2015) International insolvency review, Volume 24 Issue 2 Page 96</w:t>
      </w:r>
    </w:p>
    <w:p w14:paraId="399EFBF1" w14:textId="68581821" w:rsidR="008E5801" w:rsidRPr="00E95E6D" w:rsidRDefault="008E5801" w:rsidP="00E672F7">
      <w:pPr>
        <w:pStyle w:val="ListParagraph"/>
        <w:numPr>
          <w:ilvl w:val="0"/>
          <w:numId w:val="9"/>
        </w:numPr>
        <w:spacing w:line="360" w:lineRule="auto"/>
        <w:ind w:left="567" w:hanging="425"/>
        <w:jc w:val="both"/>
        <w:rPr>
          <w:rFonts w:ascii="Times New Roman" w:hAnsi="Times New Roman" w:cs="Times New Roman"/>
        </w:rPr>
      </w:pPr>
      <w:r w:rsidRPr="00E95E6D">
        <w:rPr>
          <w:rFonts w:ascii="Times New Roman" w:hAnsi="Times New Roman" w:cs="Times New Roman"/>
        </w:rPr>
        <w:t>Evan D Flaschen and Ronald J Silverman, ‘Cross-Border Insolvency Cooperation Protocols’ (1998) 33 Texas International Law Journal 587, 589.</w:t>
      </w:r>
    </w:p>
    <w:p w14:paraId="585637DF" w14:textId="54180E07" w:rsidR="00F44A1F" w:rsidRPr="00E95E6D" w:rsidRDefault="00F44A1F" w:rsidP="00E672F7">
      <w:pPr>
        <w:pStyle w:val="ListParagraph"/>
        <w:numPr>
          <w:ilvl w:val="0"/>
          <w:numId w:val="9"/>
        </w:numPr>
        <w:spacing w:line="360" w:lineRule="auto"/>
        <w:ind w:left="567" w:hanging="425"/>
        <w:jc w:val="both"/>
        <w:rPr>
          <w:rFonts w:ascii="Times New Roman" w:hAnsi="Times New Roman" w:cs="Times New Roman"/>
        </w:rPr>
      </w:pPr>
      <w:r w:rsidRPr="00E95E6D">
        <w:rPr>
          <w:rFonts w:ascii="Times New Roman" w:hAnsi="Times New Roman" w:cs="Times New Roman"/>
        </w:rPr>
        <w:t xml:space="preserve">Jackson, Sheryl, and Rosalind Mason. "Developments in </w:t>
      </w:r>
      <w:r w:rsidR="00696B6B" w:rsidRPr="00E95E6D">
        <w:rPr>
          <w:rFonts w:ascii="Times New Roman" w:hAnsi="Times New Roman" w:cs="Times New Roman"/>
        </w:rPr>
        <w:t>court-to-court</w:t>
      </w:r>
      <w:r w:rsidRPr="00E95E6D">
        <w:rPr>
          <w:rFonts w:ascii="Times New Roman" w:hAnsi="Times New Roman" w:cs="Times New Roman"/>
        </w:rPr>
        <w:t xml:space="preserve"> communications in international insolvency cases." University of New South Wales Law Journal, The 37, no. 2 (2014): 507-543.</w:t>
      </w:r>
    </w:p>
    <w:p w14:paraId="3C982BA3" w14:textId="34B9D612" w:rsidR="00F44A1F" w:rsidRPr="00E95E6D" w:rsidRDefault="00F44A1F" w:rsidP="00E672F7">
      <w:pPr>
        <w:pStyle w:val="ListParagraph"/>
        <w:numPr>
          <w:ilvl w:val="0"/>
          <w:numId w:val="9"/>
        </w:numPr>
        <w:spacing w:line="360" w:lineRule="auto"/>
        <w:ind w:left="567" w:hanging="425"/>
        <w:jc w:val="both"/>
        <w:rPr>
          <w:rFonts w:ascii="Times New Roman" w:hAnsi="Times New Roman" w:cs="Times New Roman"/>
        </w:rPr>
      </w:pPr>
      <w:r w:rsidRPr="00E95E6D">
        <w:rPr>
          <w:rFonts w:ascii="Times New Roman" w:hAnsi="Times New Roman" w:cs="Times New Roman"/>
        </w:rPr>
        <w:t>James Spigelman, "Cross-Border Insolvency: Cooperation or Conflict?" (2009), Australian Law Journal, Vol. 83, No. 1, pp. 44-55</w:t>
      </w:r>
    </w:p>
    <w:p w14:paraId="769829CC" w14:textId="4688712B" w:rsidR="0006305F" w:rsidRPr="00E95E6D" w:rsidRDefault="0006305F" w:rsidP="00E672F7">
      <w:pPr>
        <w:pStyle w:val="ListParagraph"/>
        <w:numPr>
          <w:ilvl w:val="0"/>
          <w:numId w:val="9"/>
        </w:numPr>
        <w:spacing w:line="360" w:lineRule="auto"/>
        <w:ind w:left="567" w:hanging="425"/>
        <w:jc w:val="both"/>
        <w:rPr>
          <w:rFonts w:ascii="Times New Roman" w:hAnsi="Times New Roman" w:cs="Times New Roman"/>
        </w:rPr>
      </w:pPr>
      <w:r w:rsidRPr="00E95E6D">
        <w:rPr>
          <w:rFonts w:ascii="Times New Roman" w:hAnsi="Times New Roman" w:cs="Times New Roman"/>
        </w:rPr>
        <w:t>Jay Lawrence Westbrooke, “Global Insolvency Proceedings for a Global Market: The Universalist System and the Choice of a Central Court”, 96 Tex. L. Rev. 1473, 1473</w:t>
      </w:r>
    </w:p>
    <w:p w14:paraId="3D19B711" w14:textId="7BD35CB3" w:rsidR="001E05A9" w:rsidRPr="00E95E6D" w:rsidRDefault="001E05A9" w:rsidP="00E672F7">
      <w:pPr>
        <w:pStyle w:val="ListParagraph"/>
        <w:numPr>
          <w:ilvl w:val="0"/>
          <w:numId w:val="9"/>
        </w:numPr>
        <w:spacing w:line="360" w:lineRule="auto"/>
        <w:ind w:left="567" w:hanging="425"/>
        <w:jc w:val="both"/>
        <w:rPr>
          <w:rFonts w:ascii="Times New Roman" w:hAnsi="Times New Roman" w:cs="Times New Roman"/>
        </w:rPr>
      </w:pPr>
      <w:r w:rsidRPr="00E95E6D">
        <w:rPr>
          <w:rFonts w:ascii="Times New Roman" w:hAnsi="Times New Roman" w:cs="Times New Roman"/>
        </w:rPr>
        <w:t>Jessica Walker and Annabelle Trotter, “What has the Judicial Insolvency Network Done for Cooperation between Courts in Multi-Jurisdictional Insolvencies” (2017) 14 International Corporate Rescue 431</w:t>
      </w:r>
    </w:p>
    <w:p w14:paraId="22D9DA31" w14:textId="494D7F4E" w:rsidR="008E5801" w:rsidRPr="00E95E6D" w:rsidRDefault="008E5801" w:rsidP="00E672F7">
      <w:pPr>
        <w:pStyle w:val="ListParagraph"/>
        <w:numPr>
          <w:ilvl w:val="0"/>
          <w:numId w:val="9"/>
        </w:numPr>
        <w:spacing w:line="360" w:lineRule="auto"/>
        <w:ind w:left="567" w:hanging="425"/>
        <w:jc w:val="both"/>
        <w:rPr>
          <w:rFonts w:ascii="Times New Roman" w:hAnsi="Times New Roman" w:cs="Times New Roman"/>
        </w:rPr>
      </w:pPr>
      <w:r w:rsidRPr="00E95E6D">
        <w:rPr>
          <w:rFonts w:ascii="Times New Roman" w:hAnsi="Times New Roman" w:cs="Times New Roman"/>
        </w:rPr>
        <w:t>Paul H Zumbro, "Cross-border Insolvencies and International Protocols – an Imperfect but Effective Tool" (2010) Business Law International</w:t>
      </w:r>
    </w:p>
    <w:p w14:paraId="3DC2F1EE" w14:textId="448B72A4" w:rsidR="00F44A1F" w:rsidRPr="00E95E6D" w:rsidRDefault="00F44A1F" w:rsidP="00E672F7">
      <w:pPr>
        <w:pStyle w:val="ListParagraph"/>
        <w:numPr>
          <w:ilvl w:val="0"/>
          <w:numId w:val="9"/>
        </w:numPr>
        <w:spacing w:line="360" w:lineRule="auto"/>
        <w:ind w:left="567" w:hanging="425"/>
        <w:jc w:val="both"/>
        <w:rPr>
          <w:rFonts w:ascii="Times New Roman" w:hAnsi="Times New Roman" w:cs="Times New Roman"/>
        </w:rPr>
      </w:pPr>
      <w:r w:rsidRPr="00E95E6D">
        <w:rPr>
          <w:rFonts w:ascii="Times New Roman" w:hAnsi="Times New Roman" w:cs="Times New Roman"/>
        </w:rPr>
        <w:t xml:space="preserve">Rebecca Lee and Eric C Ip, ‘Judicial Diplomacy in the Asia-Pacific: Theory and evidence from the Singapore-Initiated Transnational Judicial Insolvency Network’ Journal of Corporate Law Studies 20 (2020) 389 </w:t>
      </w:r>
    </w:p>
    <w:p w14:paraId="46C87E64" w14:textId="138011EC" w:rsidR="008E5801" w:rsidRPr="00E95E6D" w:rsidRDefault="00F44A1F" w:rsidP="00F44A1F">
      <w:pPr>
        <w:ind w:left="567"/>
        <w:rPr>
          <w:rFonts w:ascii="Times New Roman" w:hAnsi="Times New Roman" w:cs="Times New Roman"/>
          <w:b/>
          <w:bCs/>
          <w:i/>
          <w:iCs/>
        </w:rPr>
      </w:pPr>
      <w:r w:rsidRPr="00E95E6D">
        <w:rPr>
          <w:rFonts w:ascii="Times New Roman" w:hAnsi="Times New Roman" w:cs="Times New Roman"/>
          <w:b/>
          <w:bCs/>
          <w:i/>
          <w:iCs/>
        </w:rPr>
        <w:t>Cases</w:t>
      </w:r>
    </w:p>
    <w:p w14:paraId="32649846" w14:textId="3BC6FECA" w:rsidR="008E5801" w:rsidRPr="00E95E6D" w:rsidRDefault="008E5801" w:rsidP="00E672F7">
      <w:pPr>
        <w:pStyle w:val="ListParagraph"/>
        <w:numPr>
          <w:ilvl w:val="0"/>
          <w:numId w:val="9"/>
        </w:numPr>
        <w:spacing w:line="360" w:lineRule="auto"/>
        <w:ind w:left="567" w:hanging="425"/>
        <w:jc w:val="both"/>
      </w:pPr>
      <w:r w:rsidRPr="00E95E6D">
        <w:rPr>
          <w:rFonts w:ascii="Times New Roman" w:hAnsi="Times New Roman" w:cs="Times New Roman"/>
          <w:i/>
          <w:iCs/>
        </w:rPr>
        <w:t xml:space="preserve">Maxwell Communication Corp v. </w:t>
      </w:r>
      <w:r w:rsidR="00696B6B" w:rsidRPr="00E95E6D">
        <w:rPr>
          <w:rFonts w:ascii="Times New Roman" w:hAnsi="Times New Roman" w:cs="Times New Roman"/>
          <w:i/>
          <w:iCs/>
        </w:rPr>
        <w:t>Société</w:t>
      </w:r>
      <w:r w:rsidRPr="00E95E6D">
        <w:rPr>
          <w:rFonts w:ascii="Times New Roman" w:hAnsi="Times New Roman" w:cs="Times New Roman"/>
          <w:i/>
          <w:iCs/>
        </w:rPr>
        <w:t xml:space="preserve"> General (In re Maxwell Communications Corp.)</w:t>
      </w:r>
      <w:r w:rsidRPr="00E95E6D">
        <w:rPr>
          <w:rFonts w:ascii="Times New Roman" w:hAnsi="Times New Roman" w:cs="Times New Roman"/>
        </w:rPr>
        <w:t>, 170 BR 800</w:t>
      </w:r>
    </w:p>
    <w:p w14:paraId="38CAF1CE" w14:textId="5CAB491F" w:rsidR="00C66944" w:rsidRPr="00E95E6D" w:rsidRDefault="00C66944" w:rsidP="00E672F7">
      <w:pPr>
        <w:pStyle w:val="ListParagraph"/>
        <w:numPr>
          <w:ilvl w:val="0"/>
          <w:numId w:val="9"/>
        </w:numPr>
        <w:spacing w:line="360" w:lineRule="auto"/>
        <w:ind w:left="567" w:hanging="425"/>
        <w:jc w:val="both"/>
        <w:rPr>
          <w:rFonts w:ascii="Times New Roman" w:hAnsi="Times New Roman" w:cs="Times New Roman"/>
        </w:rPr>
      </w:pPr>
      <w:r w:rsidRPr="00E95E6D">
        <w:rPr>
          <w:rFonts w:ascii="Times New Roman" w:hAnsi="Times New Roman" w:cs="Times New Roman"/>
          <w:i/>
          <w:iCs/>
          <w:lang w:val="en-SG"/>
        </w:rPr>
        <w:t>Re Nortel Networks Corporation 2015 ONSC 2987</w:t>
      </w:r>
    </w:p>
    <w:p w14:paraId="71A16A62" w14:textId="587B213E" w:rsidR="004D2A3C" w:rsidRPr="00E95E6D" w:rsidRDefault="004D2A3C" w:rsidP="004D2A3C">
      <w:pPr>
        <w:pStyle w:val="ListParagraph"/>
        <w:spacing w:line="360" w:lineRule="auto"/>
        <w:ind w:left="567"/>
        <w:jc w:val="both"/>
        <w:rPr>
          <w:rFonts w:ascii="Times New Roman" w:hAnsi="Times New Roman" w:cs="Times New Roman"/>
          <w:i/>
          <w:iCs/>
        </w:rPr>
      </w:pPr>
    </w:p>
    <w:p w14:paraId="06B73A3E" w14:textId="0FE3D90E" w:rsidR="004D2A3C" w:rsidRPr="00E95E6D" w:rsidRDefault="004D2A3C" w:rsidP="004D2A3C">
      <w:pPr>
        <w:pStyle w:val="ListParagraph"/>
        <w:spacing w:line="360" w:lineRule="auto"/>
        <w:ind w:left="567"/>
        <w:jc w:val="both"/>
        <w:rPr>
          <w:rFonts w:ascii="Times New Roman" w:hAnsi="Times New Roman" w:cs="Times New Roman"/>
          <w:b/>
          <w:bCs/>
          <w:i/>
          <w:iCs/>
        </w:rPr>
      </w:pPr>
      <w:r w:rsidRPr="00E95E6D">
        <w:rPr>
          <w:rFonts w:ascii="Times New Roman" w:hAnsi="Times New Roman" w:cs="Times New Roman"/>
          <w:b/>
          <w:bCs/>
          <w:i/>
          <w:iCs/>
        </w:rPr>
        <w:t>Online Resources</w:t>
      </w:r>
    </w:p>
    <w:p w14:paraId="65B1F370" w14:textId="74FB87F7" w:rsidR="004D2A3C" w:rsidRPr="00E95E6D" w:rsidRDefault="004D2A3C" w:rsidP="004D2A3C">
      <w:pPr>
        <w:pStyle w:val="ListParagraph"/>
        <w:numPr>
          <w:ilvl w:val="0"/>
          <w:numId w:val="9"/>
        </w:numPr>
        <w:spacing w:line="360" w:lineRule="auto"/>
        <w:ind w:left="567" w:hanging="425"/>
        <w:jc w:val="both"/>
        <w:rPr>
          <w:rFonts w:ascii="Times New Roman" w:hAnsi="Times New Roman" w:cs="Times New Roman"/>
        </w:rPr>
      </w:pPr>
      <w:r w:rsidRPr="00E95E6D">
        <w:rPr>
          <w:rFonts w:ascii="Times New Roman" w:hAnsi="Times New Roman" w:cs="Times New Roman"/>
        </w:rPr>
        <w:t>Iris Ng, Rethinking Counsel Ethics in International Arbitration, Kluwer Arbitration Blog, December 12 2019</w:t>
      </w:r>
    </w:p>
    <w:p w14:paraId="2F92C922" w14:textId="284ACD1F" w:rsidR="00E672F7" w:rsidRPr="00E95E6D" w:rsidRDefault="00C66944" w:rsidP="00235D4E">
      <w:pPr>
        <w:pStyle w:val="ListParagraph"/>
        <w:numPr>
          <w:ilvl w:val="0"/>
          <w:numId w:val="9"/>
        </w:numPr>
        <w:spacing w:line="360" w:lineRule="auto"/>
        <w:ind w:left="567" w:hanging="425"/>
        <w:jc w:val="both"/>
      </w:pPr>
      <w:r w:rsidRPr="00E95E6D">
        <w:rPr>
          <w:rFonts w:ascii="Times New Roman" w:hAnsi="Times New Roman" w:cs="Times New Roman"/>
        </w:rPr>
        <w:t xml:space="preserve">The official website of the Judicial Insolvency Network: </w:t>
      </w:r>
      <w:hyperlink r:id="rId8" w:history="1">
        <w:r w:rsidR="001F24D8" w:rsidRPr="00E95E6D">
          <w:rPr>
            <w:rStyle w:val="Hyperlink"/>
            <w:rFonts w:ascii="Times New Roman" w:hAnsi="Times New Roman" w:cs="Times New Roman"/>
            <w:lang w:val="en-SG"/>
          </w:rPr>
          <w:t>http://jin-global.org/jin-guidelines.html</w:t>
        </w:r>
      </w:hyperlink>
    </w:p>
    <w:sectPr w:rsidR="00E672F7" w:rsidRPr="00E95E6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8351F" w14:textId="77777777" w:rsidR="00483E0A" w:rsidRDefault="00483E0A" w:rsidP="000606CA">
      <w:pPr>
        <w:spacing w:after="0" w:line="240" w:lineRule="auto"/>
      </w:pPr>
      <w:r>
        <w:separator/>
      </w:r>
    </w:p>
  </w:endnote>
  <w:endnote w:type="continuationSeparator" w:id="0">
    <w:p w14:paraId="6DB9954E" w14:textId="77777777" w:rsidR="00483E0A" w:rsidRDefault="00483E0A" w:rsidP="0006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846619"/>
      <w:docPartObj>
        <w:docPartGallery w:val="Page Numbers (Bottom of Page)"/>
        <w:docPartUnique/>
      </w:docPartObj>
    </w:sdtPr>
    <w:sdtEndPr>
      <w:rPr>
        <w:noProof/>
      </w:rPr>
    </w:sdtEndPr>
    <w:sdtContent>
      <w:p w14:paraId="4A548991" w14:textId="17CAB07F" w:rsidR="00984E23" w:rsidRDefault="00984E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77B69B" w14:textId="77777777" w:rsidR="00984E23" w:rsidRDefault="00984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9122" w14:textId="77777777" w:rsidR="00483E0A" w:rsidRDefault="00483E0A" w:rsidP="000606CA">
      <w:pPr>
        <w:spacing w:after="0" w:line="240" w:lineRule="auto"/>
      </w:pPr>
      <w:r>
        <w:separator/>
      </w:r>
    </w:p>
  </w:footnote>
  <w:footnote w:type="continuationSeparator" w:id="0">
    <w:p w14:paraId="39040760" w14:textId="77777777" w:rsidR="00483E0A" w:rsidRDefault="00483E0A" w:rsidP="000606CA">
      <w:pPr>
        <w:spacing w:after="0" w:line="240" w:lineRule="auto"/>
      </w:pPr>
      <w:r>
        <w:continuationSeparator/>
      </w:r>
    </w:p>
  </w:footnote>
  <w:footnote w:id="1">
    <w:p w14:paraId="57A5B188" w14:textId="5EC2C4A6" w:rsidR="00754B2D" w:rsidRPr="00C71768" w:rsidRDefault="00754B2D">
      <w:pPr>
        <w:pStyle w:val="FootnoteText"/>
        <w:rPr>
          <w:rFonts w:cstheme="minorHAnsi"/>
          <w:i/>
          <w:iCs/>
          <w:lang w:val="en-SG"/>
        </w:rPr>
      </w:pPr>
      <w:r w:rsidRPr="00C71768">
        <w:rPr>
          <w:rStyle w:val="FootnoteReference"/>
          <w:rFonts w:cstheme="minorHAnsi"/>
        </w:rPr>
        <w:footnoteRef/>
      </w:r>
      <w:r w:rsidRPr="00C71768">
        <w:rPr>
          <w:rFonts w:cstheme="minorHAnsi"/>
        </w:rPr>
        <w:t xml:space="preserve"> </w:t>
      </w:r>
      <w:r w:rsidR="00C66F1E" w:rsidRPr="00C71768">
        <w:rPr>
          <w:rFonts w:cstheme="minorHAnsi"/>
          <w:i/>
          <w:iCs/>
          <w:lang w:val="en-SG"/>
        </w:rPr>
        <w:t>James Spigelman, "Cross-Border Insolvency: Cooperation or Conflict?" (2009), Australian Law Journal, Vol. 83, No. 1, pg 6</w:t>
      </w:r>
    </w:p>
  </w:footnote>
  <w:footnote w:id="2">
    <w:p w14:paraId="30B36964" w14:textId="231025D8" w:rsidR="00754B2D" w:rsidRPr="00C71768" w:rsidRDefault="00754B2D" w:rsidP="00754B2D">
      <w:pPr>
        <w:pStyle w:val="FootnoteText"/>
        <w:rPr>
          <w:rFonts w:cstheme="minorHAnsi"/>
          <w:lang w:val="en-SG"/>
        </w:rPr>
      </w:pPr>
      <w:r w:rsidRPr="00C71768">
        <w:rPr>
          <w:rStyle w:val="FootnoteReference"/>
          <w:rFonts w:cstheme="minorHAnsi"/>
        </w:rPr>
        <w:footnoteRef/>
      </w:r>
      <w:r w:rsidRPr="00C71768">
        <w:rPr>
          <w:rFonts w:cstheme="minorHAnsi"/>
        </w:rPr>
        <w:t xml:space="preserve"> </w:t>
      </w:r>
      <w:r w:rsidRPr="00C71768">
        <w:rPr>
          <w:rFonts w:cstheme="minorHAnsi"/>
          <w:i/>
          <w:iCs/>
        </w:rPr>
        <w:t>Ibid</w:t>
      </w:r>
    </w:p>
  </w:footnote>
  <w:footnote w:id="3">
    <w:p w14:paraId="09C85B07" w14:textId="3ADDD03A" w:rsidR="000606CA" w:rsidRPr="00C71768" w:rsidRDefault="000606CA">
      <w:pPr>
        <w:pStyle w:val="FootnoteText"/>
        <w:rPr>
          <w:rFonts w:cstheme="minorHAnsi"/>
          <w:lang w:val="en-SG"/>
        </w:rPr>
      </w:pPr>
      <w:r w:rsidRPr="00C71768">
        <w:rPr>
          <w:rStyle w:val="FootnoteReference"/>
          <w:rFonts w:cstheme="minorHAnsi"/>
        </w:rPr>
        <w:footnoteRef/>
      </w:r>
      <w:r w:rsidRPr="00C71768">
        <w:rPr>
          <w:rFonts w:cstheme="minorHAnsi"/>
        </w:rPr>
        <w:t xml:space="preserve"> </w:t>
      </w:r>
      <w:r w:rsidRPr="00C71768">
        <w:rPr>
          <w:rFonts w:cstheme="minorHAnsi"/>
          <w:i/>
          <w:iCs/>
          <w:lang w:val="en-SG"/>
        </w:rPr>
        <w:t xml:space="preserve">Maxwell Communication Corp v. </w:t>
      </w:r>
      <w:r w:rsidR="00696B6B" w:rsidRPr="00C71768">
        <w:rPr>
          <w:rFonts w:cstheme="minorHAnsi"/>
          <w:i/>
          <w:iCs/>
          <w:lang w:val="en-SG"/>
        </w:rPr>
        <w:t>Société</w:t>
      </w:r>
      <w:r w:rsidRPr="00C71768">
        <w:rPr>
          <w:rFonts w:cstheme="minorHAnsi"/>
          <w:i/>
          <w:iCs/>
          <w:lang w:val="en-SG"/>
        </w:rPr>
        <w:t xml:space="preserve"> General (In re Maxwell Communications Corp.), </w:t>
      </w:r>
      <w:r w:rsidRPr="00C71768">
        <w:rPr>
          <w:rFonts w:cstheme="minorHAnsi"/>
          <w:lang w:val="en-SG"/>
        </w:rPr>
        <w:t>170 BR 800</w:t>
      </w:r>
    </w:p>
  </w:footnote>
  <w:footnote w:id="4">
    <w:p w14:paraId="5F4D8A02" w14:textId="0FAE28A7" w:rsidR="000A7EC0" w:rsidRPr="00C71768" w:rsidRDefault="000A7EC0" w:rsidP="000A7EC0">
      <w:pPr>
        <w:pStyle w:val="NormalWeb"/>
        <w:rPr>
          <w:rFonts w:asciiTheme="minorHAnsi" w:hAnsiTheme="minorHAnsi" w:cstheme="minorHAnsi"/>
          <w:sz w:val="20"/>
          <w:szCs w:val="20"/>
          <w:lang w:val="en-SG" w:eastAsia="en-US"/>
        </w:rPr>
      </w:pPr>
      <w:r w:rsidRPr="00C71768">
        <w:rPr>
          <w:rStyle w:val="FootnoteReference"/>
          <w:rFonts w:asciiTheme="minorHAnsi" w:hAnsiTheme="minorHAnsi" w:cstheme="minorHAnsi"/>
          <w:sz w:val="20"/>
          <w:szCs w:val="20"/>
        </w:rPr>
        <w:footnoteRef/>
      </w:r>
      <w:r w:rsidRPr="00C71768">
        <w:rPr>
          <w:rFonts w:asciiTheme="minorHAnsi" w:hAnsiTheme="minorHAnsi" w:cstheme="minorHAnsi"/>
          <w:sz w:val="20"/>
          <w:szCs w:val="20"/>
        </w:rPr>
        <w:t xml:space="preserve"> </w:t>
      </w:r>
      <w:r w:rsidRPr="00C71768">
        <w:rPr>
          <w:rFonts w:asciiTheme="minorHAnsi" w:hAnsiTheme="minorHAnsi" w:cstheme="minorHAnsi"/>
          <w:sz w:val="20"/>
          <w:szCs w:val="20"/>
          <w:lang w:val="en-SG" w:eastAsia="en-US"/>
        </w:rPr>
        <w:t>See Evan D Flaschen and Ronald J Silverman, ‘Cross-Border Insolvency Cooperation Protocols’ (1998) 33 Texas International Law Journal 587 at 591</w:t>
      </w:r>
    </w:p>
    <w:p w14:paraId="60902F2A" w14:textId="5CEC4299" w:rsidR="000A7EC0" w:rsidRPr="00C71768" w:rsidRDefault="000A7EC0">
      <w:pPr>
        <w:pStyle w:val="FootnoteText"/>
        <w:rPr>
          <w:rFonts w:cstheme="minorHAnsi"/>
          <w:lang w:val="en-SG"/>
        </w:rPr>
      </w:pPr>
      <w:r w:rsidRPr="00C71768">
        <w:rPr>
          <w:rFonts w:cstheme="minorHAnsi"/>
          <w:lang w:val="en-SG"/>
        </w:rPr>
        <w:t>591</w:t>
      </w:r>
    </w:p>
  </w:footnote>
  <w:footnote w:id="5">
    <w:p w14:paraId="1156B6EA" w14:textId="6A8A0208" w:rsidR="000A7EC0" w:rsidRPr="00C71768" w:rsidRDefault="000A7EC0" w:rsidP="000A7EC0">
      <w:pPr>
        <w:pStyle w:val="NormalWeb"/>
        <w:rPr>
          <w:rFonts w:asciiTheme="minorHAnsi" w:hAnsiTheme="minorHAnsi" w:cstheme="minorHAnsi"/>
          <w:sz w:val="20"/>
          <w:szCs w:val="20"/>
          <w:lang w:val="en-SG"/>
        </w:rPr>
      </w:pPr>
      <w:r w:rsidRPr="00C71768">
        <w:rPr>
          <w:rStyle w:val="FootnoteReference"/>
          <w:rFonts w:asciiTheme="minorHAnsi" w:hAnsiTheme="minorHAnsi" w:cstheme="minorHAnsi"/>
          <w:sz w:val="20"/>
          <w:szCs w:val="20"/>
        </w:rPr>
        <w:footnoteRef/>
      </w:r>
      <w:r w:rsidRPr="00C71768">
        <w:rPr>
          <w:rFonts w:asciiTheme="minorHAnsi" w:hAnsiTheme="minorHAnsi" w:cstheme="minorHAnsi"/>
          <w:sz w:val="20"/>
          <w:szCs w:val="20"/>
        </w:rPr>
        <w:t xml:space="preserve"> </w:t>
      </w:r>
      <w:r w:rsidRPr="00C71768">
        <w:rPr>
          <w:rFonts w:asciiTheme="minorHAnsi" w:hAnsiTheme="minorHAnsi" w:cstheme="minorHAnsi"/>
          <w:sz w:val="20"/>
          <w:szCs w:val="20"/>
          <w:lang w:val="en-SG" w:eastAsia="en-US"/>
        </w:rPr>
        <w:t xml:space="preserve">Paul H Zumbro, "Cross-border Insolvencies and International Protocols – an Imperfect but Effective Tool" (2010) Business Law International </w:t>
      </w:r>
      <w:r w:rsidR="00E1036A" w:rsidRPr="00C71768">
        <w:rPr>
          <w:rFonts w:asciiTheme="minorHAnsi" w:hAnsiTheme="minorHAnsi" w:cstheme="minorHAnsi"/>
          <w:sz w:val="20"/>
          <w:szCs w:val="20"/>
          <w:lang w:val="en-SG" w:eastAsia="en-US"/>
        </w:rPr>
        <w:t>(“</w:t>
      </w:r>
      <w:r w:rsidR="00E1036A" w:rsidRPr="00C71768">
        <w:rPr>
          <w:rFonts w:asciiTheme="minorHAnsi" w:hAnsiTheme="minorHAnsi" w:cstheme="minorHAnsi"/>
          <w:b/>
          <w:bCs/>
          <w:sz w:val="20"/>
          <w:szCs w:val="20"/>
          <w:lang w:val="en-SG" w:eastAsia="en-US"/>
        </w:rPr>
        <w:t>Zumbro</w:t>
      </w:r>
      <w:r w:rsidR="00E1036A" w:rsidRPr="00C71768">
        <w:rPr>
          <w:rFonts w:asciiTheme="minorHAnsi" w:hAnsiTheme="minorHAnsi" w:cstheme="minorHAnsi"/>
          <w:sz w:val="20"/>
          <w:szCs w:val="20"/>
          <w:lang w:val="en-SG" w:eastAsia="en-US"/>
        </w:rPr>
        <w:t>”)</w:t>
      </w:r>
      <w:r w:rsidR="00696B6B" w:rsidRPr="00C71768">
        <w:rPr>
          <w:rFonts w:asciiTheme="minorHAnsi" w:hAnsiTheme="minorHAnsi" w:cstheme="minorHAnsi"/>
          <w:sz w:val="20"/>
          <w:szCs w:val="20"/>
          <w:lang w:val="en-SG" w:eastAsia="en-US"/>
        </w:rPr>
        <w:t xml:space="preserve"> </w:t>
      </w:r>
      <w:r w:rsidRPr="00C71768">
        <w:rPr>
          <w:rFonts w:asciiTheme="minorHAnsi" w:hAnsiTheme="minorHAnsi" w:cstheme="minorHAnsi"/>
          <w:sz w:val="20"/>
          <w:szCs w:val="20"/>
          <w:lang w:val="en-SG" w:eastAsia="en-US"/>
        </w:rPr>
        <w:t>at 157-158</w:t>
      </w:r>
    </w:p>
  </w:footnote>
  <w:footnote w:id="6">
    <w:p w14:paraId="39649630" w14:textId="042B1908" w:rsidR="00E1036A" w:rsidRPr="00C71768" w:rsidRDefault="00E1036A">
      <w:pPr>
        <w:pStyle w:val="FootnoteText"/>
        <w:rPr>
          <w:rFonts w:cstheme="minorHAnsi"/>
          <w:lang w:val="en-SG"/>
        </w:rPr>
      </w:pPr>
      <w:r w:rsidRPr="00C71768">
        <w:rPr>
          <w:rStyle w:val="FootnoteReference"/>
          <w:rFonts w:cstheme="minorHAnsi"/>
        </w:rPr>
        <w:footnoteRef/>
      </w:r>
      <w:r w:rsidRPr="00C71768">
        <w:rPr>
          <w:rFonts w:cstheme="minorHAnsi"/>
        </w:rPr>
        <w:t xml:space="preserve"> </w:t>
      </w:r>
      <w:r w:rsidRPr="00C71768">
        <w:rPr>
          <w:rFonts w:cstheme="minorHAnsi"/>
          <w:lang w:val="en-SG"/>
        </w:rPr>
        <w:t>See Zumbro at 166</w:t>
      </w:r>
    </w:p>
  </w:footnote>
  <w:footnote w:id="7">
    <w:p w14:paraId="63034C71" w14:textId="77777777" w:rsidR="0005562F" w:rsidRPr="00C71768" w:rsidRDefault="0005562F" w:rsidP="0005562F">
      <w:pPr>
        <w:pStyle w:val="FootnoteText"/>
        <w:rPr>
          <w:rFonts w:cstheme="minorHAnsi"/>
          <w:lang w:val="en-SG"/>
        </w:rPr>
      </w:pPr>
      <w:r w:rsidRPr="00C71768">
        <w:rPr>
          <w:rStyle w:val="FootnoteReference"/>
          <w:rFonts w:cstheme="minorHAnsi"/>
        </w:rPr>
        <w:footnoteRef/>
      </w:r>
      <w:r w:rsidRPr="00C71768">
        <w:rPr>
          <w:rFonts w:cstheme="minorHAnsi"/>
        </w:rPr>
        <w:t xml:space="preserve"> </w:t>
      </w:r>
      <w:r w:rsidRPr="00C71768">
        <w:rPr>
          <w:rFonts w:cstheme="minorHAnsi"/>
          <w:lang w:val="en-SG"/>
        </w:rPr>
        <w:t>Zumbro at 167</w:t>
      </w:r>
    </w:p>
  </w:footnote>
  <w:footnote w:id="8">
    <w:p w14:paraId="1AF02461" w14:textId="4919C44A" w:rsidR="00D11936" w:rsidRPr="00C71768" w:rsidRDefault="00D11936">
      <w:pPr>
        <w:pStyle w:val="FootnoteText"/>
        <w:rPr>
          <w:rFonts w:cstheme="minorHAnsi"/>
          <w:lang w:val="en-SG"/>
        </w:rPr>
      </w:pPr>
      <w:r w:rsidRPr="00C71768">
        <w:rPr>
          <w:rStyle w:val="FootnoteReference"/>
          <w:rFonts w:cstheme="minorHAnsi"/>
        </w:rPr>
        <w:footnoteRef/>
      </w:r>
      <w:r w:rsidRPr="00C71768">
        <w:rPr>
          <w:rFonts w:cstheme="minorHAnsi"/>
        </w:rPr>
        <w:t xml:space="preserve"> </w:t>
      </w:r>
      <w:r w:rsidRPr="00C71768">
        <w:rPr>
          <w:rFonts w:eastAsia="Times New Roman" w:cstheme="minorHAnsi"/>
        </w:rPr>
        <w:t>Bob Wessels, "A Glimpse into the Future: Cross-border Judicial Cooperation in Insolvency Cases in the European Union Cross-border Judicial Cooperation" (2015) International insolvency review, Volume 24 Issue 2 Page 96</w:t>
      </w:r>
    </w:p>
  </w:footnote>
  <w:footnote w:id="9">
    <w:p w14:paraId="353A004D" w14:textId="7148B6B9" w:rsidR="00CF35B5" w:rsidRPr="00C71768" w:rsidRDefault="00CF35B5">
      <w:pPr>
        <w:pStyle w:val="FootnoteText"/>
        <w:rPr>
          <w:rFonts w:cstheme="minorHAnsi"/>
          <w:lang w:val="en-SG"/>
        </w:rPr>
      </w:pPr>
      <w:r w:rsidRPr="00C71768">
        <w:rPr>
          <w:rStyle w:val="FootnoteReference"/>
          <w:rFonts w:cstheme="minorHAnsi"/>
        </w:rPr>
        <w:footnoteRef/>
      </w:r>
      <w:r w:rsidRPr="00C71768">
        <w:rPr>
          <w:rFonts w:cstheme="minorHAnsi"/>
        </w:rPr>
        <w:t xml:space="preserve"> </w:t>
      </w:r>
      <w:r w:rsidRPr="00C71768">
        <w:rPr>
          <w:rFonts w:eastAsia="Times New Roman" w:cstheme="minorHAnsi"/>
        </w:rPr>
        <w:t>Rebecca Lee and Eric C Ip, ‘Judicial Diplomacy in the Asia-Pacific: Theory and evidence from the Singapore-Initiated Transnational Judicial Insolvency Network’ Journal of Corporate Law Studies 20 (2020) 389</w:t>
      </w:r>
      <w:r w:rsidR="00ED1F09" w:rsidRPr="00C71768">
        <w:rPr>
          <w:rFonts w:eastAsia="Times New Roman" w:cstheme="minorHAnsi"/>
        </w:rPr>
        <w:t xml:space="preserve"> (“</w:t>
      </w:r>
      <w:r w:rsidR="00ED1F09" w:rsidRPr="00C71768">
        <w:rPr>
          <w:rFonts w:eastAsia="Times New Roman" w:cstheme="minorHAnsi"/>
          <w:b/>
          <w:bCs/>
        </w:rPr>
        <w:t>Lee &amp; I</w:t>
      </w:r>
      <w:r w:rsidR="00CA5A28" w:rsidRPr="00C71768">
        <w:rPr>
          <w:rFonts w:eastAsia="Times New Roman" w:cstheme="minorHAnsi"/>
          <w:b/>
          <w:bCs/>
        </w:rPr>
        <w:t>p</w:t>
      </w:r>
      <w:r w:rsidR="00ED1F09" w:rsidRPr="00C71768">
        <w:rPr>
          <w:rFonts w:eastAsia="Times New Roman" w:cstheme="minorHAnsi"/>
        </w:rPr>
        <w:t>”)</w:t>
      </w:r>
      <w:r w:rsidRPr="00C71768">
        <w:rPr>
          <w:rFonts w:eastAsia="Times New Roman" w:cstheme="minorHAnsi"/>
        </w:rPr>
        <w:t xml:space="preserve"> at 391</w:t>
      </w:r>
    </w:p>
  </w:footnote>
  <w:footnote w:id="10">
    <w:p w14:paraId="38917EC0" w14:textId="77777777" w:rsidR="0005562F" w:rsidRPr="00C71768" w:rsidRDefault="0005562F" w:rsidP="0005562F">
      <w:pPr>
        <w:pStyle w:val="FootnoteText"/>
        <w:rPr>
          <w:rFonts w:cstheme="minorHAnsi"/>
          <w:lang w:val="en-SG"/>
        </w:rPr>
      </w:pPr>
      <w:r w:rsidRPr="00C71768">
        <w:rPr>
          <w:rStyle w:val="FootnoteReference"/>
          <w:rFonts w:cstheme="minorHAnsi"/>
        </w:rPr>
        <w:footnoteRef/>
      </w:r>
      <w:r w:rsidRPr="00C71768">
        <w:rPr>
          <w:rFonts w:cstheme="minorHAnsi"/>
        </w:rPr>
        <w:t xml:space="preserve"> </w:t>
      </w:r>
      <w:r w:rsidRPr="00C71768">
        <w:rPr>
          <w:rFonts w:cstheme="minorHAnsi"/>
          <w:lang w:val="en-SG"/>
        </w:rPr>
        <w:t>Lee &amp; Ip at 394</w:t>
      </w:r>
    </w:p>
  </w:footnote>
  <w:footnote w:id="11">
    <w:p w14:paraId="4511B3AD" w14:textId="0FA75F1E" w:rsidR="00343657" w:rsidRPr="00C71768" w:rsidRDefault="00343657" w:rsidP="00343657">
      <w:pPr>
        <w:pStyle w:val="FootnoteText"/>
        <w:rPr>
          <w:rFonts w:cstheme="minorHAnsi"/>
          <w:lang w:val="en-SG"/>
        </w:rPr>
      </w:pPr>
      <w:r w:rsidRPr="00C71768">
        <w:rPr>
          <w:rStyle w:val="FootnoteReference"/>
          <w:rFonts w:cstheme="minorHAnsi"/>
        </w:rPr>
        <w:footnoteRef/>
      </w:r>
      <w:r w:rsidRPr="00C71768">
        <w:rPr>
          <w:rFonts w:cstheme="minorHAnsi"/>
        </w:rPr>
        <w:t xml:space="preserve"> </w:t>
      </w:r>
      <w:r w:rsidRPr="00C71768">
        <w:rPr>
          <w:rFonts w:eastAsia="Times New Roman" w:cstheme="minorHAnsi"/>
        </w:rPr>
        <w:t>Jackson, Sheryl, and Rosalind Mason</w:t>
      </w:r>
      <w:r w:rsidR="001E05A9" w:rsidRPr="00C71768">
        <w:rPr>
          <w:rFonts w:eastAsia="Times New Roman" w:cstheme="minorHAnsi"/>
        </w:rPr>
        <w:t>,</w:t>
      </w:r>
      <w:r w:rsidRPr="00C71768">
        <w:rPr>
          <w:rFonts w:eastAsia="Times New Roman" w:cstheme="minorHAnsi"/>
        </w:rPr>
        <w:t xml:space="preserve"> "Developments in </w:t>
      </w:r>
      <w:r w:rsidR="00696B6B" w:rsidRPr="00C71768">
        <w:rPr>
          <w:rFonts w:eastAsia="Times New Roman" w:cstheme="minorHAnsi"/>
        </w:rPr>
        <w:t>court-to-court</w:t>
      </w:r>
      <w:r w:rsidRPr="00C71768">
        <w:rPr>
          <w:rFonts w:eastAsia="Times New Roman" w:cstheme="minorHAnsi"/>
        </w:rPr>
        <w:t xml:space="preserve"> communications in international insolvency cases." University of New South Wales Law Journal, The 37, no. 2 (2014) at pg 6</w:t>
      </w:r>
    </w:p>
  </w:footnote>
  <w:footnote w:id="12">
    <w:p w14:paraId="61D5D761" w14:textId="77777777" w:rsidR="001A4228" w:rsidRPr="00C71768" w:rsidRDefault="001A4228" w:rsidP="001A4228">
      <w:pPr>
        <w:pStyle w:val="FootnoteText"/>
        <w:rPr>
          <w:lang w:val="en-SG"/>
        </w:rPr>
      </w:pPr>
      <w:r w:rsidRPr="00C71768">
        <w:rPr>
          <w:rStyle w:val="FootnoteReference"/>
        </w:rPr>
        <w:footnoteRef/>
      </w:r>
      <w:r w:rsidRPr="00C71768">
        <w:t xml:space="preserve"> </w:t>
      </w:r>
      <w:r w:rsidRPr="00C71768">
        <w:rPr>
          <w:lang w:val="en-SG"/>
        </w:rPr>
        <w:t>These observations were made by Judge Christopher Sontchi of the United States Bankruptcy Court for the District of Delaware: see Lee &amp; Ip at 400</w:t>
      </w:r>
    </w:p>
  </w:footnote>
  <w:footnote w:id="13">
    <w:p w14:paraId="7064C692" w14:textId="77777777" w:rsidR="002D051E" w:rsidRPr="00C71768" w:rsidRDefault="002D051E" w:rsidP="002D051E">
      <w:pPr>
        <w:pStyle w:val="FootnoteText"/>
        <w:rPr>
          <w:lang w:val="en-SG"/>
        </w:rPr>
      </w:pPr>
      <w:r w:rsidRPr="00C71768">
        <w:rPr>
          <w:rStyle w:val="FootnoteReference"/>
        </w:rPr>
        <w:footnoteRef/>
      </w:r>
      <w:r w:rsidRPr="00C71768">
        <w:t xml:space="preserve"> </w:t>
      </w:r>
      <w:r w:rsidRPr="00C71768">
        <w:rPr>
          <w:lang w:val="en-SG"/>
        </w:rPr>
        <w:t>Jessica Walker and Annabelle Trotter, “What has the Judicial Insolvency Network Done for Cooperation between Courts in Multi-Jurisdictional Insolvencies” (2017) 14 International Corporate Rescue 431</w:t>
      </w:r>
    </w:p>
  </w:footnote>
  <w:footnote w:id="14">
    <w:p w14:paraId="27683234" w14:textId="6C4FD6E4" w:rsidR="00332F64" w:rsidRPr="00C71768" w:rsidRDefault="00332F64">
      <w:pPr>
        <w:pStyle w:val="FootnoteText"/>
        <w:rPr>
          <w:lang w:val="en-SG"/>
        </w:rPr>
      </w:pPr>
      <w:r w:rsidRPr="00C71768">
        <w:rPr>
          <w:rStyle w:val="FootnoteReference"/>
        </w:rPr>
        <w:footnoteRef/>
      </w:r>
      <w:r w:rsidRPr="00C71768">
        <w:t xml:space="preserve"> </w:t>
      </w:r>
      <w:r w:rsidRPr="00C71768">
        <w:rPr>
          <w:lang w:val="en-SG"/>
        </w:rPr>
        <w:t>See</w:t>
      </w:r>
      <w:r w:rsidR="0049273B" w:rsidRPr="00C71768">
        <w:rPr>
          <w:lang w:val="en-SG"/>
        </w:rPr>
        <w:t xml:space="preserve"> for example Annex A(v) of the JIN Guidelines which stipulates this as a matter for the Court’s consideration when making an order permitting foreign counsel to appear</w:t>
      </w:r>
    </w:p>
  </w:footnote>
  <w:footnote w:id="15">
    <w:p w14:paraId="41BF5F77" w14:textId="79B935C5" w:rsidR="004D2A3C" w:rsidRPr="00C71768" w:rsidRDefault="004D2A3C">
      <w:pPr>
        <w:pStyle w:val="FootnoteText"/>
        <w:rPr>
          <w:lang w:val="en-SG"/>
        </w:rPr>
      </w:pPr>
      <w:r w:rsidRPr="00C71768">
        <w:rPr>
          <w:rStyle w:val="FootnoteReference"/>
        </w:rPr>
        <w:footnoteRef/>
      </w:r>
      <w:r w:rsidRPr="00C71768">
        <w:t xml:space="preserve"> </w:t>
      </w:r>
      <w:r w:rsidRPr="00C71768">
        <w:rPr>
          <w:lang w:val="en-SG"/>
        </w:rPr>
        <w:t xml:space="preserve">See for </w:t>
      </w:r>
      <w:r w:rsidR="00696B6B" w:rsidRPr="00C71768">
        <w:rPr>
          <w:lang w:val="en-SG"/>
        </w:rPr>
        <w:t>e.g.,</w:t>
      </w:r>
      <w:r w:rsidRPr="00C71768">
        <w:rPr>
          <w:lang w:val="en-SG"/>
        </w:rPr>
        <w:t xml:space="preserve"> Iris Ng, Rethinking Counsel Ethics in International Arbitration, Kluwer Arbitration Blog, December 12 2019</w:t>
      </w:r>
    </w:p>
  </w:footnote>
  <w:footnote w:id="16">
    <w:p w14:paraId="736A5618" w14:textId="155664D1" w:rsidR="00311A9D" w:rsidRPr="00C71768" w:rsidRDefault="00311A9D">
      <w:pPr>
        <w:pStyle w:val="FootnoteText"/>
        <w:rPr>
          <w:rFonts w:cstheme="minorHAnsi"/>
          <w:lang w:val="en-SG"/>
        </w:rPr>
      </w:pPr>
      <w:r w:rsidRPr="00C71768">
        <w:rPr>
          <w:rStyle w:val="FootnoteReference"/>
          <w:rFonts w:cstheme="minorHAnsi"/>
        </w:rPr>
        <w:footnoteRef/>
      </w:r>
      <w:r w:rsidRPr="00C71768">
        <w:rPr>
          <w:rFonts w:cstheme="minorHAnsi"/>
        </w:rPr>
        <w:t xml:space="preserve"> </w:t>
      </w:r>
      <w:r w:rsidRPr="00C71768">
        <w:rPr>
          <w:rFonts w:cstheme="minorHAnsi"/>
          <w:lang w:val="en-SG"/>
        </w:rPr>
        <w:t xml:space="preserve">See </w:t>
      </w:r>
      <w:hyperlink r:id="rId1" w:history="1">
        <w:r w:rsidRPr="00C71768">
          <w:rPr>
            <w:rStyle w:val="Hyperlink"/>
            <w:rFonts w:cstheme="minorHAnsi"/>
            <w:lang w:val="en-SG"/>
          </w:rPr>
          <w:t>http://jin-global</w:t>
        </w:r>
        <w:r w:rsidRPr="00C71768">
          <w:rPr>
            <w:rStyle w:val="Hyperlink"/>
            <w:rFonts w:cstheme="minorHAnsi"/>
            <w:lang w:val="en-SG"/>
          </w:rPr>
          <w:t>.</w:t>
        </w:r>
        <w:r w:rsidRPr="00C71768">
          <w:rPr>
            <w:rStyle w:val="Hyperlink"/>
            <w:rFonts w:cstheme="minorHAnsi"/>
            <w:lang w:val="en-SG"/>
          </w:rPr>
          <w:t>org/jin-guidelines.html</w:t>
        </w:r>
      </w:hyperlink>
    </w:p>
    <w:p w14:paraId="59832539" w14:textId="2F1FD63B" w:rsidR="00311A9D" w:rsidRPr="00C71768" w:rsidRDefault="00311A9D">
      <w:pPr>
        <w:pStyle w:val="FootnoteText"/>
        <w:rPr>
          <w:rFonts w:cstheme="minorHAnsi"/>
          <w:lang w:val="en-SG"/>
        </w:rPr>
      </w:pPr>
      <w:r w:rsidRPr="00C71768">
        <w:rPr>
          <w:rFonts w:cstheme="minorHAnsi"/>
          <w:lang w:val="en-SG"/>
        </w:rPr>
        <w:t xml:space="preserve"> </w:t>
      </w:r>
    </w:p>
  </w:footnote>
  <w:footnote w:id="17">
    <w:p w14:paraId="30EEED46" w14:textId="5B86B976" w:rsidR="00822CE9" w:rsidRPr="00C71768" w:rsidRDefault="00822CE9">
      <w:pPr>
        <w:pStyle w:val="FootnoteText"/>
        <w:rPr>
          <w:rFonts w:cstheme="minorHAnsi"/>
          <w:lang w:val="en-SG"/>
        </w:rPr>
      </w:pPr>
      <w:r w:rsidRPr="00C71768">
        <w:rPr>
          <w:rFonts w:cstheme="minorHAnsi"/>
          <w:lang w:val="en-SG"/>
        </w:rPr>
        <w:footnoteRef/>
      </w:r>
      <w:r w:rsidRPr="00C71768">
        <w:rPr>
          <w:rFonts w:cstheme="minorHAnsi"/>
          <w:lang w:val="en-SG"/>
        </w:rPr>
        <w:t xml:space="preserve"> </w:t>
      </w:r>
      <w:r w:rsidR="00460982" w:rsidRPr="00C71768">
        <w:rPr>
          <w:rFonts w:cstheme="minorHAnsi"/>
          <w:lang w:val="en-SG"/>
        </w:rPr>
        <w:t>Jay Lawrence Westbrooke, “Global Insolvency Proceedings for a Global Market: The Universalist System and the Choice of a Central Court”, 96 Tex. L. Rev. 1473</w:t>
      </w:r>
      <w:r w:rsidR="000D2F7C" w:rsidRPr="00C71768">
        <w:rPr>
          <w:rFonts w:cstheme="minorHAnsi"/>
          <w:lang w:val="en-SG"/>
        </w:rPr>
        <w:t xml:space="preserve"> (“</w:t>
      </w:r>
      <w:r w:rsidR="000D2F7C" w:rsidRPr="00C71768">
        <w:rPr>
          <w:rFonts w:cstheme="minorHAnsi"/>
          <w:b/>
          <w:bCs/>
          <w:lang w:val="en-SG"/>
        </w:rPr>
        <w:t>Westbrooke</w:t>
      </w:r>
      <w:r w:rsidR="000D2F7C" w:rsidRPr="00C71768">
        <w:rPr>
          <w:rFonts w:cstheme="minorHAnsi"/>
          <w:lang w:val="en-SG"/>
        </w:rPr>
        <w:t>”)</w:t>
      </w:r>
      <w:r w:rsidR="00460982" w:rsidRPr="00C71768">
        <w:rPr>
          <w:rFonts w:cstheme="minorHAnsi"/>
          <w:lang w:val="en-SG"/>
        </w:rPr>
        <w:t>, 147</w:t>
      </w:r>
      <w:r w:rsidR="00460982" w:rsidRPr="00C71768">
        <w:rPr>
          <w:rFonts w:cstheme="minorHAnsi"/>
          <w:lang w:val="en-SG"/>
        </w:rPr>
        <w:t>9 and 1480</w:t>
      </w:r>
    </w:p>
  </w:footnote>
  <w:footnote w:id="18">
    <w:p w14:paraId="752D0884" w14:textId="5A85C978" w:rsidR="0005020E" w:rsidRPr="00C71768" w:rsidRDefault="0005020E">
      <w:pPr>
        <w:pStyle w:val="FootnoteText"/>
        <w:rPr>
          <w:lang w:val="en-SG"/>
        </w:rPr>
      </w:pPr>
      <w:r w:rsidRPr="00C71768">
        <w:rPr>
          <w:rStyle w:val="FootnoteReference"/>
        </w:rPr>
        <w:footnoteRef/>
      </w:r>
      <w:r w:rsidRPr="00C71768">
        <w:t xml:space="preserve"> </w:t>
      </w:r>
      <w:r w:rsidRPr="00C71768">
        <w:rPr>
          <w:lang w:val="en-SG"/>
        </w:rPr>
        <w:t xml:space="preserve">A recent example of this </w:t>
      </w:r>
      <w:r w:rsidR="006242A7" w:rsidRPr="00C71768">
        <w:rPr>
          <w:lang w:val="en-SG"/>
        </w:rPr>
        <w:t>would be the proceedings brought by the liquidators of</w:t>
      </w:r>
      <w:r w:rsidRPr="00C71768">
        <w:rPr>
          <w:lang w:val="en-SG"/>
        </w:rPr>
        <w:t xml:space="preserve"> Halifax Investment Services Pty Ltd (in liquidation) (Halifax Australia)</w:t>
      </w:r>
      <w:r w:rsidRPr="00C71768">
        <w:rPr>
          <w:i/>
          <w:iCs/>
          <w:lang w:val="en-SG"/>
        </w:rPr>
        <w:t xml:space="preserve"> </w:t>
      </w:r>
      <w:r w:rsidR="006242A7" w:rsidRPr="00C71768">
        <w:rPr>
          <w:lang w:val="en-SG"/>
        </w:rPr>
        <w:t>and Halifax New Zealand Limited (in liquidation) (Halifax NZ), which involved the Federal Court of Australia and the New Zealand High Court sitting together in a hearing and delivering contemporaneous judgments and orders. While the Federal Court of Australia has adopted the JIN Guidelines, the Court of New Zealand have not.</w:t>
      </w:r>
    </w:p>
  </w:footnote>
  <w:footnote w:id="19">
    <w:p w14:paraId="4816B916" w14:textId="77777777" w:rsidR="00F64F8E" w:rsidRPr="00C71768" w:rsidRDefault="00F64F8E" w:rsidP="00F64F8E">
      <w:pPr>
        <w:pStyle w:val="FootnoteText"/>
        <w:rPr>
          <w:rFonts w:cstheme="minorHAnsi"/>
          <w:lang w:val="en-SG"/>
        </w:rPr>
      </w:pPr>
      <w:r w:rsidRPr="00C71768">
        <w:rPr>
          <w:rStyle w:val="FootnoteReference"/>
          <w:rFonts w:cstheme="minorHAnsi"/>
        </w:rPr>
        <w:footnoteRef/>
      </w:r>
      <w:r w:rsidRPr="00C71768">
        <w:rPr>
          <w:rFonts w:cstheme="minorHAnsi"/>
        </w:rPr>
        <w:t xml:space="preserve"> </w:t>
      </w:r>
      <w:r w:rsidRPr="00C71768">
        <w:rPr>
          <w:rFonts w:cstheme="minorHAnsi"/>
          <w:lang w:val="en-SG"/>
        </w:rPr>
        <w:t>Lee &amp; Ip at 399</w:t>
      </w:r>
    </w:p>
  </w:footnote>
  <w:footnote w:id="20">
    <w:p w14:paraId="689C92A3" w14:textId="3C7B9B04" w:rsidR="00F04E29" w:rsidRPr="00C71768" w:rsidRDefault="00F04E29">
      <w:pPr>
        <w:pStyle w:val="FootnoteText"/>
        <w:rPr>
          <w:lang w:val="en-SG"/>
        </w:rPr>
      </w:pPr>
      <w:r w:rsidRPr="00C71768">
        <w:rPr>
          <w:rStyle w:val="FootnoteReference"/>
        </w:rPr>
        <w:footnoteRef/>
      </w:r>
      <w:r w:rsidRPr="00C71768">
        <w:t xml:space="preserve"> </w:t>
      </w:r>
      <w:r w:rsidRPr="00C71768">
        <w:rPr>
          <w:lang w:val="en-SG"/>
        </w:rPr>
        <w:t>Lee &amp; Ip at 406</w:t>
      </w:r>
    </w:p>
  </w:footnote>
  <w:footnote w:id="21">
    <w:p w14:paraId="19140D13" w14:textId="40185489" w:rsidR="00D92C32" w:rsidRPr="00C71768" w:rsidRDefault="00D92C32">
      <w:pPr>
        <w:pStyle w:val="FootnoteText"/>
        <w:rPr>
          <w:lang w:val="en-SG"/>
        </w:rPr>
      </w:pPr>
      <w:r w:rsidRPr="00C71768">
        <w:rPr>
          <w:rStyle w:val="FootnoteReference"/>
        </w:rPr>
        <w:footnoteRef/>
      </w:r>
      <w:r w:rsidRPr="00C71768">
        <w:t xml:space="preserve"> </w:t>
      </w:r>
      <w:r w:rsidRPr="00C71768">
        <w:rPr>
          <w:lang w:val="en-SG"/>
        </w:rPr>
        <w:t>See Westbrooke at 1489</w:t>
      </w:r>
    </w:p>
  </w:footnote>
  <w:footnote w:id="22">
    <w:p w14:paraId="05CF6D6D" w14:textId="3AB591FF" w:rsidR="007C37D1" w:rsidRPr="00C71768" w:rsidRDefault="007C37D1">
      <w:pPr>
        <w:pStyle w:val="FootnoteText"/>
        <w:rPr>
          <w:i/>
          <w:iCs/>
          <w:lang w:val="en-SG"/>
        </w:rPr>
      </w:pPr>
      <w:r w:rsidRPr="00C71768">
        <w:rPr>
          <w:rStyle w:val="FootnoteReference"/>
        </w:rPr>
        <w:footnoteRef/>
      </w:r>
      <w:r w:rsidRPr="00C71768">
        <w:t xml:space="preserve"> </w:t>
      </w:r>
      <w:r w:rsidRPr="00C71768">
        <w:rPr>
          <w:i/>
          <w:iCs/>
          <w:lang w:val="en-SG"/>
        </w:rPr>
        <w:t>Ibid</w:t>
      </w:r>
    </w:p>
  </w:footnote>
  <w:footnote w:id="23">
    <w:p w14:paraId="3D814DD6" w14:textId="51F47A2A" w:rsidR="002209B7" w:rsidRPr="00C71768" w:rsidRDefault="002209B7">
      <w:pPr>
        <w:pStyle w:val="FootnoteText"/>
        <w:rPr>
          <w:lang w:val="en-SG"/>
        </w:rPr>
      </w:pPr>
      <w:r w:rsidRPr="00C71768">
        <w:rPr>
          <w:rStyle w:val="FootnoteReference"/>
        </w:rPr>
        <w:footnoteRef/>
      </w:r>
      <w:r w:rsidRPr="00C71768">
        <w:t xml:space="preserve"> </w:t>
      </w:r>
      <w:r w:rsidRPr="00C71768">
        <w:rPr>
          <w:lang w:val="en-SG"/>
        </w:rPr>
        <w:t>Wesbrooke at 1491</w:t>
      </w:r>
    </w:p>
  </w:footnote>
  <w:footnote w:id="24">
    <w:p w14:paraId="3E88344B" w14:textId="503EEAED" w:rsidR="00071857" w:rsidRPr="00C71768" w:rsidRDefault="00071857">
      <w:pPr>
        <w:pStyle w:val="FootnoteText"/>
        <w:rPr>
          <w:i/>
          <w:iCs/>
          <w:lang w:val="en-SG"/>
        </w:rPr>
      </w:pPr>
      <w:r w:rsidRPr="00C71768">
        <w:rPr>
          <w:rStyle w:val="FootnoteReference"/>
        </w:rPr>
        <w:footnoteRef/>
      </w:r>
      <w:r w:rsidRPr="00C71768">
        <w:t xml:space="preserve"> </w:t>
      </w:r>
      <w:r w:rsidRPr="00C71768">
        <w:rPr>
          <w:i/>
          <w:iCs/>
          <w:lang w:val="en-SG"/>
        </w:rPr>
        <w:t>Re</w:t>
      </w:r>
      <w:r w:rsidR="008E37E6" w:rsidRPr="00C71768">
        <w:rPr>
          <w:i/>
          <w:iCs/>
          <w:lang w:val="en-SG"/>
        </w:rPr>
        <w:t xml:space="preserve"> Nortel Networks Corporation 2015 ONSC 2987</w:t>
      </w:r>
    </w:p>
  </w:footnote>
  <w:footnote w:id="25">
    <w:p w14:paraId="16DA92A4" w14:textId="6772B6DE" w:rsidR="00483C85" w:rsidRPr="00C71768" w:rsidRDefault="00483C85">
      <w:pPr>
        <w:pStyle w:val="FootnoteText"/>
        <w:rPr>
          <w:lang w:val="en-SG"/>
        </w:rPr>
      </w:pPr>
      <w:r w:rsidRPr="00C71768">
        <w:rPr>
          <w:rStyle w:val="FootnoteReference"/>
        </w:rPr>
        <w:footnoteRef/>
      </w:r>
      <w:r w:rsidRPr="00C71768">
        <w:t xml:space="preserve"> </w:t>
      </w:r>
      <w:r w:rsidRPr="00C71768">
        <w:rPr>
          <w:lang w:val="en-SG"/>
        </w:rPr>
        <w:t>Zumbro at 169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B4D7B"/>
    <w:multiLevelType w:val="hybridMultilevel"/>
    <w:tmpl w:val="D108AD7C"/>
    <w:lvl w:ilvl="0" w:tplc="FFFFFFFF">
      <w:start w:val="1"/>
      <w:numFmt w:val="decimal"/>
      <w:lvlText w:val="%1."/>
      <w:lvlJc w:val="left"/>
      <w:pPr>
        <w:ind w:left="720" w:hanging="360"/>
      </w:pPr>
      <w:rPr>
        <w:rFonts w:ascii="Times New Roman" w:hAnsi="Times New Roman" w:cs="Times New Roman" w:hint="default"/>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8A5785"/>
    <w:multiLevelType w:val="hybridMultilevel"/>
    <w:tmpl w:val="F5426814"/>
    <w:lvl w:ilvl="0" w:tplc="57B8AA94">
      <w:start w:val="1"/>
      <w:numFmt w:val="lowerLetter"/>
      <w:lvlText w:val="%1)"/>
      <w:lvlJc w:val="left"/>
      <w:pPr>
        <w:ind w:left="1287" w:hanging="360"/>
      </w:pPr>
      <w:rPr>
        <w:b w:val="0"/>
        <w:b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F2B59B2"/>
    <w:multiLevelType w:val="hybridMultilevel"/>
    <w:tmpl w:val="F27C48A4"/>
    <w:lvl w:ilvl="0" w:tplc="08090015">
      <w:start w:val="1"/>
      <w:numFmt w:val="upperLetter"/>
      <w:lvlText w:val="%1."/>
      <w:lvlJc w:val="left"/>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F6C2CF7"/>
    <w:multiLevelType w:val="hybridMultilevel"/>
    <w:tmpl w:val="6A64129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36D4885"/>
    <w:multiLevelType w:val="hybridMultilevel"/>
    <w:tmpl w:val="D108AD7C"/>
    <w:lvl w:ilvl="0" w:tplc="DA686B06">
      <w:start w:val="1"/>
      <w:numFmt w:val="decimal"/>
      <w:lvlText w:val="%1."/>
      <w:lvlJc w:val="left"/>
      <w:pPr>
        <w:ind w:left="720" w:hanging="360"/>
      </w:pPr>
      <w:rPr>
        <w:rFonts w:ascii="Times New Roman" w:hAnsi="Times New Roman" w:cs="Times New Roman"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BA0E31"/>
    <w:multiLevelType w:val="hybridMultilevel"/>
    <w:tmpl w:val="CDEA1E1C"/>
    <w:lvl w:ilvl="0" w:tplc="8682894C">
      <w:start w:val="1"/>
      <w:numFmt w:val="lowerLetter"/>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15E0744"/>
    <w:multiLevelType w:val="hybridMultilevel"/>
    <w:tmpl w:val="F022D8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3BF3BA9"/>
    <w:multiLevelType w:val="hybridMultilevel"/>
    <w:tmpl w:val="E6A4B8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B72181"/>
    <w:multiLevelType w:val="hybridMultilevel"/>
    <w:tmpl w:val="D108AD7C"/>
    <w:lvl w:ilvl="0" w:tplc="FFFFFFFF">
      <w:start w:val="1"/>
      <w:numFmt w:val="decimal"/>
      <w:lvlText w:val="%1."/>
      <w:lvlJc w:val="left"/>
      <w:pPr>
        <w:ind w:left="720" w:hanging="360"/>
      </w:pPr>
      <w:rPr>
        <w:rFonts w:ascii="Times New Roman" w:hAnsi="Times New Roman" w:cs="Times New Roman" w:hint="default"/>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D224FF"/>
    <w:multiLevelType w:val="hybridMultilevel"/>
    <w:tmpl w:val="EBD4C08E"/>
    <w:lvl w:ilvl="0" w:tplc="A0D82828">
      <w:start w:val="1"/>
      <w:numFmt w:val="upperRoman"/>
      <w:pStyle w:val="TOC1"/>
      <w:lvlText w:val="%1."/>
      <w:lvlJc w:val="left"/>
      <w:pPr>
        <w:ind w:left="1080" w:hanging="720"/>
      </w:pPr>
      <w:rPr>
        <w:rFonts w:ascii="Times New Roman" w:hAnsi="Times New Roman" w:cs="Times New Roman"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330396"/>
    <w:multiLevelType w:val="hybridMultilevel"/>
    <w:tmpl w:val="D108AD7C"/>
    <w:lvl w:ilvl="0" w:tplc="FFFFFFFF">
      <w:start w:val="1"/>
      <w:numFmt w:val="decimal"/>
      <w:lvlText w:val="%1."/>
      <w:lvlJc w:val="left"/>
      <w:pPr>
        <w:ind w:left="720" w:hanging="360"/>
      </w:pPr>
      <w:rPr>
        <w:rFonts w:ascii="Times New Roman" w:hAnsi="Times New Roman" w:cs="Times New Roman" w:hint="default"/>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BE73D0A"/>
    <w:multiLevelType w:val="hybridMultilevel"/>
    <w:tmpl w:val="7A102E12"/>
    <w:lvl w:ilvl="0" w:tplc="FFFFFFFF">
      <w:start w:val="1"/>
      <w:numFmt w:val="upperLetter"/>
      <w:lvlText w:val="%1."/>
      <w:lvlJc w:val="left"/>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71410FBC"/>
    <w:multiLevelType w:val="hybridMultilevel"/>
    <w:tmpl w:val="3496C414"/>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C300F1"/>
    <w:multiLevelType w:val="hybridMultilevel"/>
    <w:tmpl w:val="5D6452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2"/>
  </w:num>
  <w:num w:numId="6">
    <w:abstractNumId w:val="12"/>
  </w:num>
  <w:num w:numId="7">
    <w:abstractNumId w:val="8"/>
  </w:num>
  <w:num w:numId="8">
    <w:abstractNumId w:val="9"/>
  </w:num>
  <w:num w:numId="9">
    <w:abstractNumId w:val="10"/>
  </w:num>
  <w:num w:numId="10">
    <w:abstractNumId w:val="0"/>
  </w:num>
  <w:num w:numId="11">
    <w:abstractNumId w:val="11"/>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820"/>
    <w:rsid w:val="000027DD"/>
    <w:rsid w:val="000429AC"/>
    <w:rsid w:val="0005020E"/>
    <w:rsid w:val="0005562F"/>
    <w:rsid w:val="000606CA"/>
    <w:rsid w:val="0006305F"/>
    <w:rsid w:val="0007060A"/>
    <w:rsid w:val="00071857"/>
    <w:rsid w:val="000851BE"/>
    <w:rsid w:val="000920A7"/>
    <w:rsid w:val="00096CD7"/>
    <w:rsid w:val="000A7EC0"/>
    <w:rsid w:val="000D2F7C"/>
    <w:rsid w:val="000F3020"/>
    <w:rsid w:val="000F6DFC"/>
    <w:rsid w:val="001051CC"/>
    <w:rsid w:val="00107EDC"/>
    <w:rsid w:val="00121FF1"/>
    <w:rsid w:val="00133AB7"/>
    <w:rsid w:val="00140913"/>
    <w:rsid w:val="00147CC3"/>
    <w:rsid w:val="00152627"/>
    <w:rsid w:val="00171220"/>
    <w:rsid w:val="001A4228"/>
    <w:rsid w:val="001C16D3"/>
    <w:rsid w:val="001D14A6"/>
    <w:rsid w:val="001E05A9"/>
    <w:rsid w:val="001E4C64"/>
    <w:rsid w:val="001F24D8"/>
    <w:rsid w:val="001F4310"/>
    <w:rsid w:val="002209B7"/>
    <w:rsid w:val="002325FC"/>
    <w:rsid w:val="00257656"/>
    <w:rsid w:val="002B00DD"/>
    <w:rsid w:val="002D051E"/>
    <w:rsid w:val="002D05E9"/>
    <w:rsid w:val="002D4F3C"/>
    <w:rsid w:val="003045E6"/>
    <w:rsid w:val="00311A9D"/>
    <w:rsid w:val="003213FB"/>
    <w:rsid w:val="003246ED"/>
    <w:rsid w:val="00326297"/>
    <w:rsid w:val="00332F64"/>
    <w:rsid w:val="00343657"/>
    <w:rsid w:val="0035306F"/>
    <w:rsid w:val="00356168"/>
    <w:rsid w:val="003764CE"/>
    <w:rsid w:val="00383B28"/>
    <w:rsid w:val="003860AB"/>
    <w:rsid w:val="00390C56"/>
    <w:rsid w:val="0039508E"/>
    <w:rsid w:val="003A35BB"/>
    <w:rsid w:val="003B7D77"/>
    <w:rsid w:val="003D5089"/>
    <w:rsid w:val="003E64A5"/>
    <w:rsid w:val="00401F0C"/>
    <w:rsid w:val="00424335"/>
    <w:rsid w:val="00426A99"/>
    <w:rsid w:val="00427FBF"/>
    <w:rsid w:val="00435B30"/>
    <w:rsid w:val="00460982"/>
    <w:rsid w:val="00461131"/>
    <w:rsid w:val="00464AA6"/>
    <w:rsid w:val="00474C07"/>
    <w:rsid w:val="00483C85"/>
    <w:rsid w:val="00483E0A"/>
    <w:rsid w:val="0049273B"/>
    <w:rsid w:val="004D2A3C"/>
    <w:rsid w:val="00524E06"/>
    <w:rsid w:val="00527F30"/>
    <w:rsid w:val="005551C8"/>
    <w:rsid w:val="005C2D45"/>
    <w:rsid w:val="0061671F"/>
    <w:rsid w:val="00617FAF"/>
    <w:rsid w:val="006242A7"/>
    <w:rsid w:val="006428D7"/>
    <w:rsid w:val="00656D83"/>
    <w:rsid w:val="00696B6B"/>
    <w:rsid w:val="006C7B12"/>
    <w:rsid w:val="006D630E"/>
    <w:rsid w:val="00712CF9"/>
    <w:rsid w:val="00754B2D"/>
    <w:rsid w:val="00771F22"/>
    <w:rsid w:val="007856CB"/>
    <w:rsid w:val="007A797D"/>
    <w:rsid w:val="007C37D1"/>
    <w:rsid w:val="007E5CD8"/>
    <w:rsid w:val="007E6F97"/>
    <w:rsid w:val="007F3ABE"/>
    <w:rsid w:val="00805847"/>
    <w:rsid w:val="00815DC0"/>
    <w:rsid w:val="00822CE9"/>
    <w:rsid w:val="00871B8C"/>
    <w:rsid w:val="008903E2"/>
    <w:rsid w:val="0089277F"/>
    <w:rsid w:val="008C6146"/>
    <w:rsid w:val="008D639C"/>
    <w:rsid w:val="008E37E6"/>
    <w:rsid w:val="008E5801"/>
    <w:rsid w:val="008F4F7F"/>
    <w:rsid w:val="009210E8"/>
    <w:rsid w:val="00942546"/>
    <w:rsid w:val="00951428"/>
    <w:rsid w:val="00984E23"/>
    <w:rsid w:val="0099002F"/>
    <w:rsid w:val="00994402"/>
    <w:rsid w:val="009950B5"/>
    <w:rsid w:val="0099715E"/>
    <w:rsid w:val="009A2C1C"/>
    <w:rsid w:val="00A07EEE"/>
    <w:rsid w:val="00A16D5F"/>
    <w:rsid w:val="00A2312A"/>
    <w:rsid w:val="00A32775"/>
    <w:rsid w:val="00A82BA6"/>
    <w:rsid w:val="00A83CC2"/>
    <w:rsid w:val="00AC1B55"/>
    <w:rsid w:val="00AD493A"/>
    <w:rsid w:val="00AF2C66"/>
    <w:rsid w:val="00AF3FB6"/>
    <w:rsid w:val="00AF58C4"/>
    <w:rsid w:val="00B006A1"/>
    <w:rsid w:val="00B318A3"/>
    <w:rsid w:val="00B40DC4"/>
    <w:rsid w:val="00B44F6C"/>
    <w:rsid w:val="00B84456"/>
    <w:rsid w:val="00BA2B64"/>
    <w:rsid w:val="00BB0C46"/>
    <w:rsid w:val="00BC7164"/>
    <w:rsid w:val="00C04422"/>
    <w:rsid w:val="00C24B0F"/>
    <w:rsid w:val="00C24EB9"/>
    <w:rsid w:val="00C349E1"/>
    <w:rsid w:val="00C5136E"/>
    <w:rsid w:val="00C66944"/>
    <w:rsid w:val="00C66F1E"/>
    <w:rsid w:val="00C71768"/>
    <w:rsid w:val="00C75B4E"/>
    <w:rsid w:val="00C929AC"/>
    <w:rsid w:val="00C9591F"/>
    <w:rsid w:val="00CA498C"/>
    <w:rsid w:val="00CA5A28"/>
    <w:rsid w:val="00CC4E81"/>
    <w:rsid w:val="00CE7360"/>
    <w:rsid w:val="00CF35B5"/>
    <w:rsid w:val="00D0518C"/>
    <w:rsid w:val="00D11936"/>
    <w:rsid w:val="00D60FAA"/>
    <w:rsid w:val="00D779F4"/>
    <w:rsid w:val="00D866A2"/>
    <w:rsid w:val="00D92C32"/>
    <w:rsid w:val="00DA04C1"/>
    <w:rsid w:val="00DA1BC6"/>
    <w:rsid w:val="00DA4174"/>
    <w:rsid w:val="00DB0EB1"/>
    <w:rsid w:val="00DC1F34"/>
    <w:rsid w:val="00DF1EF4"/>
    <w:rsid w:val="00DF7F57"/>
    <w:rsid w:val="00E1036A"/>
    <w:rsid w:val="00E21820"/>
    <w:rsid w:val="00E519ED"/>
    <w:rsid w:val="00E64B69"/>
    <w:rsid w:val="00E65439"/>
    <w:rsid w:val="00E672F7"/>
    <w:rsid w:val="00E71CE3"/>
    <w:rsid w:val="00E76383"/>
    <w:rsid w:val="00E85E1B"/>
    <w:rsid w:val="00E95E6D"/>
    <w:rsid w:val="00EB510C"/>
    <w:rsid w:val="00EC1C10"/>
    <w:rsid w:val="00ED0AA5"/>
    <w:rsid w:val="00ED1F09"/>
    <w:rsid w:val="00ED535C"/>
    <w:rsid w:val="00F04E29"/>
    <w:rsid w:val="00F20BBB"/>
    <w:rsid w:val="00F44A1F"/>
    <w:rsid w:val="00F51CC0"/>
    <w:rsid w:val="00F52A66"/>
    <w:rsid w:val="00F57542"/>
    <w:rsid w:val="00F64F8E"/>
    <w:rsid w:val="00F8766C"/>
    <w:rsid w:val="00FA07EE"/>
    <w:rsid w:val="00FA16F6"/>
    <w:rsid w:val="00FA602F"/>
    <w:rsid w:val="00FA7B4C"/>
    <w:rsid w:val="00FB5DB2"/>
    <w:rsid w:val="00FC7F5D"/>
    <w:rsid w:val="00FF1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C10F"/>
  <w15:chartTrackingRefBased/>
  <w15:docId w15:val="{F0CE42EB-0D66-4601-B5F5-56BB979B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5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21820"/>
  </w:style>
  <w:style w:type="paragraph" w:styleId="ListParagraph">
    <w:name w:val="List Paragraph"/>
    <w:basedOn w:val="Normal"/>
    <w:uiPriority w:val="34"/>
    <w:qFormat/>
    <w:rsid w:val="00E21820"/>
    <w:pPr>
      <w:ind w:left="720"/>
      <w:contextualSpacing/>
    </w:pPr>
  </w:style>
  <w:style w:type="paragraph" w:styleId="FootnoteText">
    <w:name w:val="footnote text"/>
    <w:basedOn w:val="Normal"/>
    <w:link w:val="FootnoteTextChar"/>
    <w:uiPriority w:val="99"/>
    <w:semiHidden/>
    <w:unhideWhenUsed/>
    <w:rsid w:val="000606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06CA"/>
    <w:rPr>
      <w:sz w:val="20"/>
      <w:szCs w:val="20"/>
    </w:rPr>
  </w:style>
  <w:style w:type="character" w:styleId="FootnoteReference">
    <w:name w:val="footnote reference"/>
    <w:basedOn w:val="DefaultParagraphFont"/>
    <w:uiPriority w:val="99"/>
    <w:semiHidden/>
    <w:unhideWhenUsed/>
    <w:rsid w:val="000606CA"/>
    <w:rPr>
      <w:vertAlign w:val="superscript"/>
    </w:rPr>
  </w:style>
  <w:style w:type="paragraph" w:styleId="NormalWeb">
    <w:name w:val="Normal (Web)"/>
    <w:basedOn w:val="Normal"/>
    <w:uiPriority w:val="99"/>
    <w:unhideWhenUsed/>
    <w:rsid w:val="000A7EC0"/>
    <w:pPr>
      <w:spacing w:after="0" w:line="240" w:lineRule="auto"/>
    </w:pPr>
    <w:rPr>
      <w:rFonts w:ascii="Calibri" w:hAnsi="Calibri" w:cs="Calibri"/>
      <w:lang w:eastAsia="en-GB"/>
    </w:rPr>
  </w:style>
  <w:style w:type="character" w:styleId="Hyperlink">
    <w:name w:val="Hyperlink"/>
    <w:basedOn w:val="DefaultParagraphFont"/>
    <w:uiPriority w:val="99"/>
    <w:unhideWhenUsed/>
    <w:rsid w:val="00311A9D"/>
    <w:rPr>
      <w:color w:val="0563C1" w:themeColor="hyperlink"/>
      <w:u w:val="single"/>
    </w:rPr>
  </w:style>
  <w:style w:type="character" w:styleId="UnresolvedMention">
    <w:name w:val="Unresolved Mention"/>
    <w:basedOn w:val="DefaultParagraphFont"/>
    <w:uiPriority w:val="99"/>
    <w:semiHidden/>
    <w:unhideWhenUsed/>
    <w:rsid w:val="00311A9D"/>
    <w:rPr>
      <w:color w:val="605E5C"/>
      <w:shd w:val="clear" w:color="auto" w:fill="E1DFDD"/>
    </w:rPr>
  </w:style>
  <w:style w:type="paragraph" w:styleId="Header">
    <w:name w:val="header"/>
    <w:basedOn w:val="Normal"/>
    <w:link w:val="HeaderChar"/>
    <w:uiPriority w:val="99"/>
    <w:unhideWhenUsed/>
    <w:rsid w:val="0098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E23"/>
  </w:style>
  <w:style w:type="paragraph" w:styleId="Footer">
    <w:name w:val="footer"/>
    <w:basedOn w:val="Normal"/>
    <w:link w:val="FooterChar"/>
    <w:uiPriority w:val="99"/>
    <w:unhideWhenUsed/>
    <w:rsid w:val="0098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E23"/>
  </w:style>
  <w:style w:type="character" w:customStyle="1" w:styleId="Heading1Char">
    <w:name w:val="Heading 1 Char"/>
    <w:basedOn w:val="DefaultParagraphFont"/>
    <w:link w:val="Heading1"/>
    <w:uiPriority w:val="9"/>
    <w:rsid w:val="002325F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325FC"/>
    <w:pPr>
      <w:outlineLvl w:val="9"/>
    </w:pPr>
    <w:rPr>
      <w:lang w:val="en-US"/>
    </w:rPr>
  </w:style>
  <w:style w:type="paragraph" w:styleId="TOC2">
    <w:name w:val="toc 2"/>
    <w:basedOn w:val="Normal"/>
    <w:next w:val="Normal"/>
    <w:autoRedefine/>
    <w:uiPriority w:val="39"/>
    <w:unhideWhenUsed/>
    <w:rsid w:val="002325F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E6F97"/>
    <w:pPr>
      <w:numPr>
        <w:numId w:val="8"/>
      </w:numPr>
      <w:spacing w:after="100"/>
      <w:ind w:right="-188"/>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2325FC"/>
    <w:pPr>
      <w:spacing w:after="100"/>
      <w:ind w:left="440"/>
    </w:pPr>
    <w:rPr>
      <w:rFonts w:eastAsiaTheme="minorEastAsia" w:cs="Times New Roman"/>
      <w:lang w:val="en-US"/>
    </w:rPr>
  </w:style>
  <w:style w:type="character" w:styleId="FollowedHyperlink">
    <w:name w:val="FollowedHyperlink"/>
    <w:basedOn w:val="DefaultParagraphFont"/>
    <w:uiPriority w:val="99"/>
    <w:semiHidden/>
    <w:unhideWhenUsed/>
    <w:rsid w:val="00A16D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448622">
      <w:bodyDiv w:val="1"/>
      <w:marLeft w:val="0"/>
      <w:marRight w:val="0"/>
      <w:marTop w:val="0"/>
      <w:marBottom w:val="0"/>
      <w:divBdr>
        <w:top w:val="none" w:sz="0" w:space="0" w:color="auto"/>
        <w:left w:val="none" w:sz="0" w:space="0" w:color="auto"/>
        <w:bottom w:val="none" w:sz="0" w:space="0" w:color="auto"/>
        <w:right w:val="none" w:sz="0" w:space="0" w:color="auto"/>
      </w:divBdr>
    </w:div>
    <w:div w:id="1807893602">
      <w:bodyDiv w:val="1"/>
      <w:marLeft w:val="0"/>
      <w:marRight w:val="0"/>
      <w:marTop w:val="0"/>
      <w:marBottom w:val="0"/>
      <w:divBdr>
        <w:top w:val="none" w:sz="0" w:space="0" w:color="auto"/>
        <w:left w:val="none" w:sz="0" w:space="0" w:color="auto"/>
        <w:bottom w:val="none" w:sz="0" w:space="0" w:color="auto"/>
        <w:right w:val="none" w:sz="0" w:space="0" w:color="auto"/>
      </w:divBdr>
    </w:div>
    <w:div w:id="20697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in-global.org/jin-guideline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jin-global.org/jin-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70832-6471-446E-9CD0-17E5F1AE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4455</Words>
  <Characters>22499</Characters>
  <Application>Microsoft Office Word</Application>
  <DocSecurity>0</DocSecurity>
  <Lines>1499</Lines>
  <Paragraphs>709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Han</dc:creator>
  <cp:keywords/>
  <dc:description/>
  <cp:lastModifiedBy>Keith Han</cp:lastModifiedBy>
  <cp:revision>7</cp:revision>
  <dcterms:created xsi:type="dcterms:W3CDTF">2022-02-09T09:52:00Z</dcterms:created>
  <dcterms:modified xsi:type="dcterms:W3CDTF">2022-02-09T10:12:00Z</dcterms:modified>
</cp:coreProperties>
</file>