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ECAC" w14:textId="66A9292C" w:rsidR="006E4261" w:rsidRDefault="006E4261" w:rsidP="006E4261">
      <w:pPr>
        <w:spacing w:before="120" w:after="120" w:line="360" w:lineRule="auto"/>
        <w:jc w:val="center"/>
        <w:rPr>
          <w:rFonts w:ascii="Arial" w:eastAsia="Times New Roman" w:hAnsi="Arial" w:cs="Arial"/>
          <w:b/>
          <w:bCs/>
          <w:color w:val="000000"/>
          <w:sz w:val="32"/>
          <w:szCs w:val="32"/>
          <w:lang w:eastAsia="en-GB"/>
        </w:rPr>
      </w:pPr>
      <w:r w:rsidRPr="006E4261">
        <w:rPr>
          <w:rFonts w:ascii="Arial" w:eastAsia="Times New Roman" w:hAnsi="Arial" w:cs="Arial"/>
          <w:b/>
          <w:bCs/>
          <w:color w:val="000000"/>
          <w:sz w:val="32"/>
          <w:szCs w:val="32"/>
          <w:lang w:eastAsia="en-GB"/>
        </w:rPr>
        <w:t>INSOL INTERNATIONAL</w:t>
      </w:r>
    </w:p>
    <w:p w14:paraId="029D7459" w14:textId="77777777" w:rsidR="006E4261" w:rsidRPr="006E4261" w:rsidRDefault="006E4261" w:rsidP="006E4261">
      <w:pPr>
        <w:spacing w:before="120" w:after="120" w:line="360" w:lineRule="auto"/>
        <w:jc w:val="center"/>
        <w:rPr>
          <w:rFonts w:ascii="Arial" w:eastAsia="Times New Roman" w:hAnsi="Arial" w:cs="Arial"/>
          <w:b/>
          <w:bCs/>
          <w:color w:val="000000"/>
          <w:sz w:val="32"/>
          <w:szCs w:val="32"/>
          <w:lang w:eastAsia="en-GB"/>
        </w:rPr>
      </w:pPr>
    </w:p>
    <w:p w14:paraId="45AB999A" w14:textId="6D853B5E" w:rsidR="006E4261" w:rsidRDefault="006E4261" w:rsidP="006E4261">
      <w:pPr>
        <w:spacing w:before="120" w:after="120" w:line="360" w:lineRule="auto"/>
        <w:jc w:val="center"/>
        <w:rPr>
          <w:rFonts w:ascii="Arial" w:eastAsia="Times New Roman" w:hAnsi="Arial" w:cs="Arial"/>
          <w:b/>
          <w:bCs/>
          <w:color w:val="000000"/>
          <w:sz w:val="32"/>
          <w:szCs w:val="32"/>
          <w:lang w:eastAsia="en-GB"/>
        </w:rPr>
      </w:pPr>
      <w:r w:rsidRPr="006E4261">
        <w:rPr>
          <w:rFonts w:ascii="Arial" w:eastAsia="Times New Roman" w:hAnsi="Arial" w:cs="Arial"/>
          <w:b/>
          <w:bCs/>
          <w:color w:val="000000"/>
          <w:sz w:val="32"/>
          <w:szCs w:val="32"/>
          <w:lang w:eastAsia="en-GB"/>
        </w:rPr>
        <w:t>GLOBAL INSOLVENCY PRACTICE COURSE 2021/2022</w:t>
      </w:r>
    </w:p>
    <w:p w14:paraId="2B437878" w14:textId="77777777" w:rsidR="006E4261" w:rsidRPr="006E4261" w:rsidRDefault="006E4261" w:rsidP="006E4261">
      <w:pPr>
        <w:spacing w:before="120" w:after="120" w:line="360" w:lineRule="auto"/>
        <w:jc w:val="center"/>
        <w:rPr>
          <w:rFonts w:ascii="Arial" w:eastAsia="Times New Roman" w:hAnsi="Arial" w:cs="Arial"/>
          <w:b/>
          <w:bCs/>
          <w:color w:val="000000"/>
          <w:sz w:val="32"/>
          <w:szCs w:val="32"/>
          <w:lang w:eastAsia="en-GB"/>
        </w:rPr>
      </w:pPr>
    </w:p>
    <w:p w14:paraId="7093426D" w14:textId="693158E2" w:rsidR="006E4261" w:rsidRDefault="006E4261" w:rsidP="006E4261">
      <w:pPr>
        <w:spacing w:before="120" w:after="120" w:line="360" w:lineRule="auto"/>
        <w:jc w:val="center"/>
        <w:rPr>
          <w:rFonts w:ascii="Arial" w:eastAsia="Times New Roman" w:hAnsi="Arial" w:cs="Arial"/>
          <w:b/>
          <w:bCs/>
          <w:color w:val="000000"/>
          <w:sz w:val="32"/>
          <w:szCs w:val="32"/>
          <w:lang w:eastAsia="en-GB"/>
        </w:rPr>
      </w:pPr>
      <w:r w:rsidRPr="006E4261">
        <w:rPr>
          <w:rFonts w:ascii="Arial" w:eastAsia="Times New Roman" w:hAnsi="Arial" w:cs="Arial"/>
          <w:b/>
          <w:bCs/>
          <w:color w:val="000000"/>
          <w:sz w:val="32"/>
          <w:szCs w:val="32"/>
          <w:lang w:eastAsia="en-GB"/>
        </w:rPr>
        <w:t>SHORT PAPER</w:t>
      </w:r>
    </w:p>
    <w:p w14:paraId="252BD422" w14:textId="1D75E3C3" w:rsidR="006E4261" w:rsidRDefault="006E4261" w:rsidP="006E4261">
      <w:pPr>
        <w:spacing w:before="120" w:after="120" w:line="360" w:lineRule="auto"/>
        <w:jc w:val="center"/>
        <w:rPr>
          <w:rFonts w:ascii="Arial" w:eastAsia="Times New Roman" w:hAnsi="Arial" w:cs="Arial"/>
          <w:b/>
          <w:bCs/>
          <w:color w:val="000000"/>
          <w:sz w:val="32"/>
          <w:szCs w:val="32"/>
          <w:lang w:eastAsia="en-GB"/>
        </w:rPr>
      </w:pPr>
    </w:p>
    <w:p w14:paraId="4EAF6749" w14:textId="2D31B2E8" w:rsidR="006E4261" w:rsidRPr="006E4261" w:rsidRDefault="006E4261" w:rsidP="006E4261">
      <w:pPr>
        <w:spacing w:before="120" w:after="120" w:line="360" w:lineRule="auto"/>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TIM D. CASTLE</w:t>
      </w:r>
    </w:p>
    <w:p w14:paraId="0C0195DD" w14:textId="77777777" w:rsidR="006E4261" w:rsidRDefault="006E4261" w:rsidP="00763BD9">
      <w:pPr>
        <w:spacing w:before="120" w:after="120" w:line="360" w:lineRule="auto"/>
        <w:jc w:val="both"/>
        <w:rPr>
          <w:rFonts w:ascii="Arial" w:eastAsia="Times New Roman" w:hAnsi="Arial" w:cs="Arial"/>
          <w:b/>
          <w:bCs/>
          <w:color w:val="000000"/>
          <w:lang w:eastAsia="en-GB"/>
        </w:rPr>
      </w:pPr>
    </w:p>
    <w:p w14:paraId="4BB1E39F" w14:textId="75A88E70" w:rsidR="00A33E02" w:rsidRPr="00A33E02" w:rsidRDefault="006E4261" w:rsidP="00763BD9">
      <w:pPr>
        <w:spacing w:before="120" w:after="120" w:line="360" w:lineRule="auto"/>
        <w:jc w:val="both"/>
        <w:rPr>
          <w:rFonts w:ascii="Arial" w:eastAsia="Times New Roman" w:hAnsi="Arial" w:cs="Arial"/>
          <w:lang w:eastAsia="en-GB"/>
        </w:rPr>
      </w:pPr>
      <w:r>
        <w:rPr>
          <w:rFonts w:ascii="Arial" w:eastAsia="Times New Roman" w:hAnsi="Arial" w:cs="Arial"/>
          <w:b/>
          <w:bCs/>
          <w:color w:val="000000"/>
          <w:lang w:eastAsia="en-GB"/>
        </w:rPr>
        <w:t xml:space="preserve">Q. </w:t>
      </w:r>
      <w:r w:rsidR="00A33E02" w:rsidRPr="00A33E02">
        <w:rPr>
          <w:rFonts w:ascii="Arial" w:eastAsia="Times New Roman" w:hAnsi="Arial" w:cs="Arial"/>
          <w:b/>
          <w:bCs/>
          <w:color w:val="000000"/>
          <w:lang w:eastAsia="en-GB"/>
        </w:rPr>
        <w:t>15 - The US and England are jurisdictions that have relaxed rules permitting foreign entities to use their restructuring systems.</w:t>
      </w:r>
      <w:r w:rsidR="004D6785">
        <w:rPr>
          <w:rFonts w:ascii="Arial" w:eastAsia="Times New Roman" w:hAnsi="Arial" w:cs="Arial"/>
          <w:b/>
          <w:bCs/>
          <w:color w:val="000000"/>
          <w:lang w:eastAsia="en-GB"/>
        </w:rPr>
        <w:t xml:space="preserve"> </w:t>
      </w:r>
      <w:r w:rsidR="00A33E02" w:rsidRPr="00A33E02">
        <w:rPr>
          <w:rFonts w:ascii="Arial" w:eastAsia="Times New Roman" w:hAnsi="Arial" w:cs="Arial"/>
          <w:b/>
          <w:bCs/>
          <w:color w:val="000000"/>
          <w:lang w:eastAsia="en-GB"/>
        </w:rPr>
        <w:t>Analyse and compare the mechanisms, legal rules and case law in both jurisdictions that can be employed by a foreign entity wishing to utilize the US or English law and courts for a restructuring.</w:t>
      </w:r>
      <w:r w:rsidR="004D6785">
        <w:rPr>
          <w:rFonts w:ascii="Arial" w:eastAsia="Times New Roman" w:hAnsi="Arial" w:cs="Arial"/>
          <w:b/>
          <w:bCs/>
          <w:color w:val="000000"/>
          <w:lang w:eastAsia="en-GB"/>
        </w:rPr>
        <w:t xml:space="preserve"> </w:t>
      </w:r>
      <w:r w:rsidR="00A33E02" w:rsidRPr="00A33E02">
        <w:rPr>
          <w:rFonts w:ascii="Arial" w:eastAsia="Times New Roman" w:hAnsi="Arial" w:cs="Arial"/>
          <w:b/>
          <w:bCs/>
          <w:color w:val="000000"/>
          <w:lang w:eastAsia="en-GB"/>
        </w:rPr>
        <w:t>Also, analyse whether the rulings of the US or English court can be enforced elsewhere.</w:t>
      </w:r>
    </w:p>
    <w:p w14:paraId="19FA94DE" w14:textId="13E18A74" w:rsidR="001A0BA1" w:rsidRDefault="001A0BA1" w:rsidP="00763BD9">
      <w:pPr>
        <w:spacing w:before="120" w:after="120" w:line="360" w:lineRule="auto"/>
        <w:jc w:val="both"/>
        <w:rPr>
          <w:rFonts w:ascii="Arial" w:hAnsi="Arial" w:cs="Arial"/>
          <w:sz w:val="22"/>
          <w:szCs w:val="22"/>
        </w:rPr>
      </w:pPr>
    </w:p>
    <w:p w14:paraId="4E893C09" w14:textId="77777777" w:rsidR="0049081E" w:rsidRDefault="0049081E" w:rsidP="00763BD9">
      <w:pPr>
        <w:spacing w:before="120" w:after="120" w:line="360" w:lineRule="auto"/>
        <w:jc w:val="both"/>
        <w:rPr>
          <w:rFonts w:ascii="Arial" w:hAnsi="Arial" w:cs="Arial"/>
          <w:sz w:val="22"/>
          <w:szCs w:val="22"/>
        </w:rPr>
      </w:pPr>
    </w:p>
    <w:p w14:paraId="20A5CE21" w14:textId="77777777" w:rsidR="0049081E" w:rsidRPr="00A33E02" w:rsidRDefault="0049081E" w:rsidP="0049081E">
      <w:pPr>
        <w:spacing w:before="120" w:after="120" w:line="360" w:lineRule="auto"/>
        <w:jc w:val="center"/>
        <w:rPr>
          <w:rFonts w:ascii="Arial" w:hAnsi="Arial" w:cs="Arial"/>
          <w:b/>
          <w:bCs/>
        </w:rPr>
      </w:pPr>
      <w:r w:rsidRPr="00A33E02">
        <w:rPr>
          <w:rFonts w:ascii="Arial" w:hAnsi="Arial" w:cs="Arial"/>
          <w:b/>
          <w:bCs/>
        </w:rPr>
        <w:t>Table of Contents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41"/>
        <w:gridCol w:w="2069"/>
      </w:tblGrid>
      <w:tr w:rsidR="0049081E" w14:paraId="13A90FB9" w14:textId="77777777" w:rsidTr="00B76061">
        <w:tc>
          <w:tcPr>
            <w:tcW w:w="6941" w:type="dxa"/>
          </w:tcPr>
          <w:p w14:paraId="44AA87E8" w14:textId="342CE602" w:rsidR="0049081E" w:rsidRDefault="0049081E" w:rsidP="00763BD9">
            <w:pPr>
              <w:spacing w:before="120" w:after="120" w:line="360" w:lineRule="auto"/>
              <w:jc w:val="both"/>
              <w:rPr>
                <w:rFonts w:ascii="Arial" w:hAnsi="Arial" w:cs="Arial"/>
                <w:sz w:val="22"/>
                <w:szCs w:val="22"/>
              </w:rPr>
            </w:pPr>
            <w:r>
              <w:rPr>
                <w:rFonts w:ascii="Arial" w:hAnsi="Arial" w:cs="Arial"/>
                <w:sz w:val="22"/>
                <w:szCs w:val="22"/>
              </w:rPr>
              <w:t xml:space="preserve">Introduction – Global Competition for </w:t>
            </w:r>
            <w:r w:rsidR="002006C1">
              <w:rPr>
                <w:rFonts w:ascii="Arial" w:hAnsi="Arial" w:cs="Arial"/>
                <w:sz w:val="22"/>
                <w:szCs w:val="22"/>
              </w:rPr>
              <w:t>Restructuring</w:t>
            </w:r>
            <w:r>
              <w:rPr>
                <w:rFonts w:ascii="Arial" w:hAnsi="Arial" w:cs="Arial"/>
                <w:sz w:val="22"/>
                <w:szCs w:val="22"/>
              </w:rPr>
              <w:t xml:space="preserve"> Plans</w:t>
            </w:r>
          </w:p>
        </w:tc>
        <w:tc>
          <w:tcPr>
            <w:tcW w:w="2069" w:type="dxa"/>
          </w:tcPr>
          <w:p w14:paraId="5D2C9DA8" w14:textId="3980A6C8" w:rsidR="0049081E" w:rsidRDefault="002006C1" w:rsidP="00F96B53">
            <w:pPr>
              <w:spacing w:before="120" w:after="120" w:line="360" w:lineRule="auto"/>
              <w:jc w:val="center"/>
              <w:rPr>
                <w:rFonts w:ascii="Arial" w:hAnsi="Arial" w:cs="Arial"/>
                <w:sz w:val="22"/>
                <w:szCs w:val="22"/>
              </w:rPr>
            </w:pPr>
            <w:r>
              <w:rPr>
                <w:rFonts w:ascii="Arial" w:hAnsi="Arial" w:cs="Arial"/>
                <w:sz w:val="22"/>
                <w:szCs w:val="22"/>
              </w:rPr>
              <w:t>1</w:t>
            </w:r>
          </w:p>
        </w:tc>
      </w:tr>
      <w:tr w:rsidR="0049081E" w14:paraId="4F15228D" w14:textId="77777777" w:rsidTr="00B76061">
        <w:tc>
          <w:tcPr>
            <w:tcW w:w="6941" w:type="dxa"/>
          </w:tcPr>
          <w:p w14:paraId="57CCEFF1" w14:textId="2126AD4F" w:rsidR="0049081E" w:rsidRDefault="0049081E" w:rsidP="00763BD9">
            <w:pPr>
              <w:spacing w:before="120" w:after="120" w:line="360" w:lineRule="auto"/>
              <w:jc w:val="both"/>
              <w:rPr>
                <w:rFonts w:ascii="Arial" w:hAnsi="Arial" w:cs="Arial"/>
                <w:sz w:val="22"/>
                <w:szCs w:val="22"/>
              </w:rPr>
            </w:pPr>
            <w:r>
              <w:rPr>
                <w:rFonts w:ascii="Arial" w:hAnsi="Arial" w:cs="Arial"/>
                <w:sz w:val="22"/>
                <w:szCs w:val="22"/>
              </w:rPr>
              <w:t>Section I –</w:t>
            </w:r>
            <w:r w:rsidR="004D6785">
              <w:rPr>
                <w:rFonts w:ascii="Arial" w:hAnsi="Arial" w:cs="Arial"/>
                <w:sz w:val="22"/>
                <w:szCs w:val="22"/>
              </w:rPr>
              <w:t xml:space="preserve"> </w:t>
            </w:r>
            <w:r>
              <w:rPr>
                <w:rFonts w:ascii="Arial" w:hAnsi="Arial" w:cs="Arial"/>
                <w:sz w:val="22"/>
                <w:szCs w:val="22"/>
              </w:rPr>
              <w:t>The Restructuring Challenge</w:t>
            </w:r>
          </w:p>
        </w:tc>
        <w:tc>
          <w:tcPr>
            <w:tcW w:w="2069" w:type="dxa"/>
          </w:tcPr>
          <w:p w14:paraId="6C1DD22E" w14:textId="178B0825" w:rsidR="0049081E" w:rsidRDefault="002006C1" w:rsidP="00F96B53">
            <w:pPr>
              <w:spacing w:before="120" w:after="120" w:line="360" w:lineRule="auto"/>
              <w:jc w:val="center"/>
              <w:rPr>
                <w:rFonts w:ascii="Arial" w:hAnsi="Arial" w:cs="Arial"/>
                <w:sz w:val="22"/>
                <w:szCs w:val="22"/>
              </w:rPr>
            </w:pPr>
            <w:r>
              <w:rPr>
                <w:rFonts w:ascii="Arial" w:hAnsi="Arial" w:cs="Arial"/>
                <w:sz w:val="22"/>
                <w:szCs w:val="22"/>
              </w:rPr>
              <w:t>1</w:t>
            </w:r>
          </w:p>
        </w:tc>
      </w:tr>
      <w:tr w:rsidR="0049081E" w14:paraId="4D7918A5" w14:textId="77777777" w:rsidTr="00B76061">
        <w:tc>
          <w:tcPr>
            <w:tcW w:w="6941" w:type="dxa"/>
          </w:tcPr>
          <w:p w14:paraId="78DB4E2A" w14:textId="646DDEC7" w:rsidR="0049081E" w:rsidRDefault="0049081E" w:rsidP="00763BD9">
            <w:pPr>
              <w:spacing w:before="120" w:after="120" w:line="360" w:lineRule="auto"/>
              <w:jc w:val="both"/>
              <w:rPr>
                <w:rFonts w:ascii="Arial" w:hAnsi="Arial" w:cs="Arial"/>
                <w:sz w:val="22"/>
                <w:szCs w:val="22"/>
              </w:rPr>
            </w:pPr>
            <w:r>
              <w:rPr>
                <w:rFonts w:ascii="Arial" w:hAnsi="Arial" w:cs="Arial"/>
                <w:sz w:val="22"/>
                <w:szCs w:val="22"/>
              </w:rPr>
              <w:t>Section II – Jurisdiction to Restructure Global Businesses</w:t>
            </w:r>
          </w:p>
        </w:tc>
        <w:tc>
          <w:tcPr>
            <w:tcW w:w="2069" w:type="dxa"/>
          </w:tcPr>
          <w:p w14:paraId="1052A463" w14:textId="4BC443D7" w:rsidR="0049081E" w:rsidRDefault="002006C1" w:rsidP="00F96B53">
            <w:pPr>
              <w:spacing w:before="120" w:after="120" w:line="360" w:lineRule="auto"/>
              <w:jc w:val="center"/>
              <w:rPr>
                <w:rFonts w:ascii="Arial" w:hAnsi="Arial" w:cs="Arial"/>
                <w:sz w:val="22"/>
                <w:szCs w:val="22"/>
              </w:rPr>
            </w:pPr>
            <w:r>
              <w:rPr>
                <w:rFonts w:ascii="Arial" w:hAnsi="Arial" w:cs="Arial"/>
                <w:sz w:val="22"/>
                <w:szCs w:val="22"/>
              </w:rPr>
              <w:t>3</w:t>
            </w:r>
          </w:p>
        </w:tc>
      </w:tr>
      <w:tr w:rsidR="0049081E" w14:paraId="359A09D5" w14:textId="77777777" w:rsidTr="00B76061">
        <w:tc>
          <w:tcPr>
            <w:tcW w:w="6941" w:type="dxa"/>
          </w:tcPr>
          <w:p w14:paraId="39B35200" w14:textId="09C89336" w:rsidR="0049081E" w:rsidRDefault="0049081E" w:rsidP="00763BD9">
            <w:pPr>
              <w:spacing w:before="120" w:after="120" w:line="360" w:lineRule="auto"/>
              <w:jc w:val="both"/>
              <w:rPr>
                <w:rFonts w:ascii="Arial" w:hAnsi="Arial" w:cs="Arial"/>
                <w:sz w:val="22"/>
                <w:szCs w:val="22"/>
              </w:rPr>
            </w:pPr>
            <w:r>
              <w:rPr>
                <w:rFonts w:ascii="Arial" w:hAnsi="Arial" w:cs="Arial"/>
                <w:sz w:val="22"/>
                <w:szCs w:val="22"/>
              </w:rPr>
              <w:t>Section III – Enforcing the Restructuring Plan</w:t>
            </w:r>
          </w:p>
        </w:tc>
        <w:tc>
          <w:tcPr>
            <w:tcW w:w="2069" w:type="dxa"/>
          </w:tcPr>
          <w:p w14:paraId="2F5D9E98" w14:textId="0D8D0278" w:rsidR="0049081E" w:rsidRDefault="0049081E" w:rsidP="00F96B53">
            <w:pPr>
              <w:spacing w:before="120" w:after="120" w:line="360" w:lineRule="auto"/>
              <w:jc w:val="center"/>
              <w:rPr>
                <w:rFonts w:ascii="Arial" w:hAnsi="Arial" w:cs="Arial"/>
                <w:sz w:val="22"/>
                <w:szCs w:val="22"/>
              </w:rPr>
            </w:pPr>
            <w:r>
              <w:rPr>
                <w:rFonts w:ascii="Arial" w:hAnsi="Arial" w:cs="Arial"/>
                <w:sz w:val="22"/>
                <w:szCs w:val="22"/>
              </w:rPr>
              <w:t>6</w:t>
            </w:r>
          </w:p>
        </w:tc>
      </w:tr>
      <w:tr w:rsidR="0049081E" w14:paraId="3717AE8C" w14:textId="77777777" w:rsidTr="00B76061">
        <w:tc>
          <w:tcPr>
            <w:tcW w:w="6941" w:type="dxa"/>
          </w:tcPr>
          <w:p w14:paraId="7177F755" w14:textId="436B6520" w:rsidR="0049081E" w:rsidRDefault="0049081E" w:rsidP="00763BD9">
            <w:pPr>
              <w:spacing w:before="120" w:after="120" w:line="360" w:lineRule="auto"/>
              <w:jc w:val="both"/>
              <w:rPr>
                <w:rFonts w:ascii="Arial" w:hAnsi="Arial" w:cs="Arial"/>
                <w:sz w:val="22"/>
                <w:szCs w:val="22"/>
              </w:rPr>
            </w:pPr>
            <w:r>
              <w:rPr>
                <w:rFonts w:ascii="Arial" w:hAnsi="Arial" w:cs="Arial"/>
                <w:sz w:val="22"/>
                <w:szCs w:val="22"/>
              </w:rPr>
              <w:t>Conclusion – Mini</w:t>
            </w:r>
            <w:r w:rsidR="00970825">
              <w:rPr>
                <w:rFonts w:ascii="Arial" w:hAnsi="Arial" w:cs="Arial"/>
                <w:sz w:val="22"/>
                <w:szCs w:val="22"/>
              </w:rPr>
              <w:t>m</w:t>
            </w:r>
            <w:r>
              <w:rPr>
                <w:rFonts w:ascii="Arial" w:hAnsi="Arial" w:cs="Arial"/>
                <w:sz w:val="22"/>
                <w:szCs w:val="22"/>
              </w:rPr>
              <w:t>ising Enforcement Risk is Critical</w:t>
            </w:r>
          </w:p>
        </w:tc>
        <w:tc>
          <w:tcPr>
            <w:tcW w:w="2069" w:type="dxa"/>
          </w:tcPr>
          <w:p w14:paraId="2258789C" w14:textId="0A13442F" w:rsidR="0049081E" w:rsidRDefault="00970825" w:rsidP="00F96B53">
            <w:pPr>
              <w:spacing w:before="120" w:after="120" w:line="360" w:lineRule="auto"/>
              <w:jc w:val="center"/>
              <w:rPr>
                <w:rFonts w:ascii="Arial" w:hAnsi="Arial" w:cs="Arial"/>
                <w:sz w:val="22"/>
                <w:szCs w:val="22"/>
              </w:rPr>
            </w:pPr>
            <w:r>
              <w:rPr>
                <w:rFonts w:ascii="Arial" w:hAnsi="Arial" w:cs="Arial"/>
                <w:sz w:val="22"/>
                <w:szCs w:val="22"/>
              </w:rPr>
              <w:t>9</w:t>
            </w:r>
          </w:p>
        </w:tc>
      </w:tr>
      <w:tr w:rsidR="0049081E" w14:paraId="7CFD4ED4" w14:textId="77777777" w:rsidTr="00B76061">
        <w:tc>
          <w:tcPr>
            <w:tcW w:w="6941" w:type="dxa"/>
          </w:tcPr>
          <w:p w14:paraId="228FFB57" w14:textId="1873DC1A" w:rsidR="0049081E" w:rsidRDefault="0049081E" w:rsidP="00763BD9">
            <w:pPr>
              <w:spacing w:before="120" w:after="120" w:line="360" w:lineRule="auto"/>
              <w:jc w:val="both"/>
              <w:rPr>
                <w:rFonts w:ascii="Arial" w:hAnsi="Arial" w:cs="Arial"/>
                <w:sz w:val="22"/>
                <w:szCs w:val="22"/>
              </w:rPr>
            </w:pPr>
            <w:r>
              <w:rPr>
                <w:rFonts w:ascii="Arial" w:hAnsi="Arial" w:cs="Arial"/>
                <w:sz w:val="22"/>
                <w:szCs w:val="22"/>
              </w:rPr>
              <w:t xml:space="preserve">Bibliography </w:t>
            </w:r>
          </w:p>
        </w:tc>
        <w:tc>
          <w:tcPr>
            <w:tcW w:w="2069" w:type="dxa"/>
          </w:tcPr>
          <w:p w14:paraId="08AA0137" w14:textId="202B8476" w:rsidR="0049081E" w:rsidRDefault="00970825" w:rsidP="00F96B53">
            <w:pPr>
              <w:spacing w:before="120" w:after="120" w:line="360" w:lineRule="auto"/>
              <w:jc w:val="center"/>
              <w:rPr>
                <w:rFonts w:ascii="Arial" w:hAnsi="Arial" w:cs="Arial"/>
                <w:sz w:val="22"/>
                <w:szCs w:val="22"/>
              </w:rPr>
            </w:pPr>
            <w:r>
              <w:rPr>
                <w:rFonts w:ascii="Arial" w:hAnsi="Arial" w:cs="Arial"/>
                <w:sz w:val="22"/>
                <w:szCs w:val="22"/>
              </w:rPr>
              <w:t>10</w:t>
            </w:r>
          </w:p>
        </w:tc>
      </w:tr>
    </w:tbl>
    <w:p w14:paraId="2FF7BB4A" w14:textId="77777777" w:rsidR="00ED1B6C" w:rsidRDefault="00ED1B6C">
      <w:pPr>
        <w:rPr>
          <w:rFonts w:ascii="Arial" w:hAnsi="Arial" w:cs="Arial"/>
          <w:sz w:val="22"/>
          <w:szCs w:val="22"/>
        </w:rPr>
      </w:pPr>
    </w:p>
    <w:p w14:paraId="6E7182B8" w14:textId="77777777" w:rsidR="00ED1B6C" w:rsidRDefault="00ED1B6C">
      <w:pPr>
        <w:rPr>
          <w:rFonts w:ascii="Arial" w:hAnsi="Arial" w:cs="Arial"/>
          <w:sz w:val="22"/>
          <w:szCs w:val="22"/>
        </w:rPr>
        <w:sectPr w:rsidR="00ED1B6C" w:rsidSect="007C2D2D">
          <w:headerReference w:type="even" r:id="rId7"/>
          <w:headerReference w:type="default" r:id="rId8"/>
          <w:pgSz w:w="11900" w:h="16840"/>
          <w:pgMar w:top="1440" w:right="1440" w:bottom="1440" w:left="1440" w:header="708" w:footer="708" w:gutter="0"/>
          <w:cols w:space="708"/>
          <w:titlePg/>
          <w:docGrid w:linePitch="360"/>
        </w:sectPr>
      </w:pPr>
    </w:p>
    <w:p w14:paraId="5C775218" w14:textId="4E03042E" w:rsidR="00394327" w:rsidRPr="00394327" w:rsidRDefault="00A33E02" w:rsidP="00394327">
      <w:pPr>
        <w:spacing w:before="120" w:after="120" w:line="360" w:lineRule="auto"/>
        <w:jc w:val="both"/>
        <w:rPr>
          <w:rFonts w:ascii="Arial" w:hAnsi="Arial" w:cs="Arial"/>
          <w:b/>
          <w:bCs/>
          <w:sz w:val="22"/>
          <w:szCs w:val="22"/>
        </w:rPr>
      </w:pPr>
      <w:r w:rsidRPr="00394327">
        <w:rPr>
          <w:rFonts w:ascii="Arial" w:hAnsi="Arial" w:cs="Arial"/>
          <w:b/>
          <w:bCs/>
        </w:rPr>
        <w:lastRenderedPageBreak/>
        <w:t>Introduction</w:t>
      </w:r>
      <w:r w:rsidR="00394327" w:rsidRPr="00394327">
        <w:rPr>
          <w:rFonts w:ascii="Arial" w:hAnsi="Arial" w:cs="Arial"/>
          <w:b/>
          <w:bCs/>
        </w:rPr>
        <w:t xml:space="preserve"> - </w:t>
      </w:r>
      <w:r w:rsidR="00394327" w:rsidRPr="00394327">
        <w:rPr>
          <w:rFonts w:ascii="Arial" w:hAnsi="Arial" w:cs="Arial"/>
          <w:b/>
          <w:bCs/>
          <w:sz w:val="22"/>
          <w:szCs w:val="22"/>
        </w:rPr>
        <w:t xml:space="preserve">Global Competition for </w:t>
      </w:r>
      <w:r w:rsidR="002006C1">
        <w:rPr>
          <w:rFonts w:ascii="Arial" w:hAnsi="Arial" w:cs="Arial"/>
          <w:b/>
          <w:bCs/>
          <w:sz w:val="22"/>
          <w:szCs w:val="22"/>
        </w:rPr>
        <w:t>Restructuring</w:t>
      </w:r>
      <w:r w:rsidR="00394327" w:rsidRPr="00394327">
        <w:rPr>
          <w:rFonts w:ascii="Arial" w:hAnsi="Arial" w:cs="Arial"/>
          <w:b/>
          <w:bCs/>
          <w:sz w:val="22"/>
          <w:szCs w:val="22"/>
        </w:rPr>
        <w:t xml:space="preserve"> Plans</w:t>
      </w:r>
    </w:p>
    <w:p w14:paraId="2D9BC107" w14:textId="586EFEE4" w:rsidR="00AA6FD2" w:rsidRDefault="00217F1A" w:rsidP="00ED1B6C">
      <w:pPr>
        <w:spacing w:before="120" w:after="120" w:line="360" w:lineRule="auto"/>
        <w:jc w:val="both"/>
        <w:rPr>
          <w:rFonts w:ascii="Arial" w:hAnsi="Arial" w:cs="Arial"/>
          <w:sz w:val="22"/>
          <w:szCs w:val="22"/>
        </w:rPr>
      </w:pPr>
      <w:r>
        <w:rPr>
          <w:rFonts w:ascii="Arial" w:hAnsi="Arial" w:cs="Arial"/>
          <w:sz w:val="22"/>
          <w:szCs w:val="22"/>
        </w:rPr>
        <w:t>Preservation of value in</w:t>
      </w:r>
      <w:r w:rsidR="001C1BAA">
        <w:rPr>
          <w:rFonts w:ascii="Arial" w:hAnsi="Arial" w:cs="Arial"/>
          <w:sz w:val="22"/>
          <w:szCs w:val="22"/>
        </w:rPr>
        <w:t xml:space="preserve"> a </w:t>
      </w:r>
      <w:r>
        <w:rPr>
          <w:rFonts w:ascii="Arial" w:hAnsi="Arial" w:cs="Arial"/>
          <w:sz w:val="22"/>
          <w:szCs w:val="22"/>
        </w:rPr>
        <w:t xml:space="preserve">financially troubled business is a key </w:t>
      </w:r>
      <w:r w:rsidR="00BA62C2">
        <w:rPr>
          <w:rFonts w:ascii="Arial" w:hAnsi="Arial" w:cs="Arial"/>
          <w:sz w:val="22"/>
          <w:szCs w:val="22"/>
        </w:rPr>
        <w:t>driver of</w:t>
      </w:r>
      <w:r>
        <w:rPr>
          <w:rFonts w:ascii="Arial" w:hAnsi="Arial" w:cs="Arial"/>
          <w:sz w:val="22"/>
          <w:szCs w:val="22"/>
        </w:rPr>
        <w:t xml:space="preserve"> contemporary restructuring law and practice. The </w:t>
      </w:r>
      <w:r w:rsidR="00BA62C2">
        <w:rPr>
          <w:rFonts w:ascii="Arial" w:hAnsi="Arial" w:cs="Arial"/>
          <w:sz w:val="22"/>
          <w:szCs w:val="22"/>
        </w:rPr>
        <w:t>rationale</w:t>
      </w:r>
      <w:r>
        <w:rPr>
          <w:rFonts w:ascii="Arial" w:hAnsi="Arial" w:cs="Arial"/>
          <w:sz w:val="22"/>
          <w:szCs w:val="22"/>
        </w:rPr>
        <w:t xml:space="preserve"> is </w:t>
      </w:r>
      <w:r w:rsidR="00BA62C2">
        <w:rPr>
          <w:rFonts w:ascii="Arial" w:hAnsi="Arial" w:cs="Arial"/>
          <w:sz w:val="22"/>
          <w:szCs w:val="22"/>
        </w:rPr>
        <w:t>clear</w:t>
      </w:r>
      <w:r>
        <w:rPr>
          <w:rFonts w:ascii="Arial" w:hAnsi="Arial" w:cs="Arial"/>
          <w:sz w:val="22"/>
          <w:szCs w:val="22"/>
        </w:rPr>
        <w:t xml:space="preserve"> – a restructured going-concern entity </w:t>
      </w:r>
      <w:r w:rsidR="00BA62C2">
        <w:rPr>
          <w:rFonts w:ascii="Arial" w:hAnsi="Arial" w:cs="Arial"/>
          <w:sz w:val="22"/>
          <w:szCs w:val="22"/>
        </w:rPr>
        <w:t>offers the possibility of retaining</w:t>
      </w:r>
      <w:r>
        <w:rPr>
          <w:rFonts w:ascii="Arial" w:hAnsi="Arial" w:cs="Arial"/>
          <w:sz w:val="22"/>
          <w:szCs w:val="22"/>
        </w:rPr>
        <w:t xml:space="preserve"> value for stakeholders </w:t>
      </w:r>
      <w:r w:rsidR="00BA62C2">
        <w:rPr>
          <w:rFonts w:ascii="Arial" w:hAnsi="Arial" w:cs="Arial"/>
          <w:sz w:val="22"/>
          <w:szCs w:val="22"/>
        </w:rPr>
        <w:t>that would otherwise</w:t>
      </w:r>
      <w:r>
        <w:rPr>
          <w:rFonts w:ascii="Arial" w:hAnsi="Arial" w:cs="Arial"/>
          <w:sz w:val="22"/>
          <w:szCs w:val="22"/>
        </w:rPr>
        <w:t xml:space="preserve"> evaporate in a distressed sale.</w:t>
      </w:r>
      <w:r w:rsidR="00381F93">
        <w:rPr>
          <w:rStyle w:val="FootnoteReference"/>
          <w:rFonts w:ascii="Arial" w:hAnsi="Arial" w:cs="Arial"/>
          <w:sz w:val="22"/>
          <w:szCs w:val="22"/>
        </w:rPr>
        <w:footnoteReference w:id="1"/>
      </w:r>
      <w:r>
        <w:rPr>
          <w:rFonts w:ascii="Arial" w:hAnsi="Arial" w:cs="Arial"/>
          <w:sz w:val="22"/>
          <w:szCs w:val="22"/>
        </w:rPr>
        <w:t xml:space="preserve"> </w:t>
      </w:r>
      <w:r w:rsidR="0025332B">
        <w:rPr>
          <w:rFonts w:ascii="Arial" w:hAnsi="Arial" w:cs="Arial"/>
          <w:sz w:val="22"/>
          <w:szCs w:val="22"/>
        </w:rPr>
        <w:t>An effective</w:t>
      </w:r>
      <w:r w:rsidR="008B5821">
        <w:rPr>
          <w:rFonts w:ascii="Arial" w:hAnsi="Arial" w:cs="Arial"/>
          <w:sz w:val="22"/>
          <w:szCs w:val="22"/>
        </w:rPr>
        <w:t xml:space="preserve"> restructuring solution</w:t>
      </w:r>
      <w:r w:rsidR="0025332B">
        <w:rPr>
          <w:rFonts w:ascii="Arial" w:hAnsi="Arial" w:cs="Arial"/>
          <w:sz w:val="22"/>
          <w:szCs w:val="22"/>
        </w:rPr>
        <w:t xml:space="preserve"> requires both</w:t>
      </w:r>
      <w:r w:rsidR="008B5821">
        <w:rPr>
          <w:rFonts w:ascii="Arial" w:hAnsi="Arial" w:cs="Arial"/>
          <w:sz w:val="22"/>
          <w:szCs w:val="22"/>
        </w:rPr>
        <w:t xml:space="preserve"> a restructuring plan, and </w:t>
      </w:r>
      <w:r w:rsidR="0025332B">
        <w:rPr>
          <w:rFonts w:ascii="Arial" w:hAnsi="Arial" w:cs="Arial"/>
          <w:sz w:val="22"/>
          <w:szCs w:val="22"/>
        </w:rPr>
        <w:t>a process that binds</w:t>
      </w:r>
      <w:r w:rsidR="008B5821">
        <w:rPr>
          <w:rFonts w:ascii="Arial" w:hAnsi="Arial" w:cs="Arial"/>
          <w:sz w:val="22"/>
          <w:szCs w:val="22"/>
        </w:rPr>
        <w:t xml:space="preserve"> all relevant stakeholders</w:t>
      </w:r>
      <w:r w:rsidR="0025332B">
        <w:rPr>
          <w:rFonts w:ascii="Arial" w:hAnsi="Arial" w:cs="Arial"/>
          <w:sz w:val="22"/>
          <w:szCs w:val="22"/>
        </w:rPr>
        <w:t xml:space="preserve"> to that plan</w:t>
      </w:r>
      <w:r w:rsidR="008B5821">
        <w:rPr>
          <w:rFonts w:ascii="Arial" w:hAnsi="Arial" w:cs="Arial"/>
          <w:sz w:val="22"/>
          <w:szCs w:val="22"/>
        </w:rPr>
        <w:t>.</w:t>
      </w:r>
      <w:r w:rsidR="0025332B">
        <w:rPr>
          <w:rFonts w:ascii="Arial" w:hAnsi="Arial" w:cs="Arial"/>
          <w:sz w:val="22"/>
          <w:szCs w:val="22"/>
        </w:rPr>
        <w:t xml:space="preserve"> This Paper address the latter issue</w:t>
      </w:r>
      <w:r w:rsidR="001A42DD">
        <w:rPr>
          <w:rFonts w:ascii="Arial" w:hAnsi="Arial" w:cs="Arial"/>
          <w:sz w:val="22"/>
          <w:szCs w:val="22"/>
        </w:rPr>
        <w:t xml:space="preserve"> in respect of foreign corporation</w:t>
      </w:r>
      <w:r w:rsidR="00ED1B6C">
        <w:rPr>
          <w:rFonts w:ascii="Arial" w:hAnsi="Arial" w:cs="Arial"/>
          <w:sz w:val="22"/>
          <w:szCs w:val="22"/>
        </w:rPr>
        <w:t>s</w:t>
      </w:r>
      <w:r w:rsidR="0025332B">
        <w:rPr>
          <w:rFonts w:ascii="Arial" w:hAnsi="Arial" w:cs="Arial"/>
          <w:sz w:val="22"/>
          <w:szCs w:val="22"/>
        </w:rPr>
        <w:t>.</w:t>
      </w:r>
      <w:r w:rsidR="008B5821">
        <w:rPr>
          <w:rFonts w:ascii="Arial" w:hAnsi="Arial" w:cs="Arial"/>
          <w:sz w:val="22"/>
          <w:szCs w:val="22"/>
        </w:rPr>
        <w:t xml:space="preserve"> </w:t>
      </w:r>
    </w:p>
    <w:p w14:paraId="60EB500C" w14:textId="58E00F65" w:rsidR="00FB2A1B" w:rsidRDefault="00897C40" w:rsidP="00B25E9D">
      <w:pPr>
        <w:spacing w:before="120" w:after="120" w:line="360" w:lineRule="auto"/>
        <w:jc w:val="both"/>
        <w:rPr>
          <w:rFonts w:ascii="Arial" w:hAnsi="Arial" w:cs="Arial"/>
          <w:sz w:val="22"/>
          <w:szCs w:val="22"/>
        </w:rPr>
      </w:pPr>
      <w:r>
        <w:rPr>
          <w:rFonts w:ascii="Arial" w:hAnsi="Arial" w:cs="Arial"/>
          <w:sz w:val="22"/>
          <w:szCs w:val="22"/>
        </w:rPr>
        <w:t>Multiple</w:t>
      </w:r>
      <w:r w:rsidR="008B5821">
        <w:rPr>
          <w:rFonts w:ascii="Arial" w:hAnsi="Arial" w:cs="Arial"/>
          <w:sz w:val="22"/>
          <w:szCs w:val="22"/>
        </w:rPr>
        <w:t xml:space="preserve"> solutions </w:t>
      </w:r>
      <w:r>
        <w:rPr>
          <w:rFonts w:ascii="Arial" w:hAnsi="Arial" w:cs="Arial"/>
          <w:sz w:val="22"/>
          <w:szCs w:val="22"/>
        </w:rPr>
        <w:t>now exist in</w:t>
      </w:r>
      <w:r w:rsidR="008B5821">
        <w:rPr>
          <w:rFonts w:ascii="Arial" w:hAnsi="Arial" w:cs="Arial"/>
          <w:sz w:val="22"/>
          <w:szCs w:val="22"/>
        </w:rPr>
        <w:t xml:space="preserve"> jurisdictions around the world</w:t>
      </w:r>
      <w:r w:rsidR="0093172F">
        <w:rPr>
          <w:rFonts w:ascii="Arial" w:hAnsi="Arial" w:cs="Arial"/>
          <w:sz w:val="22"/>
          <w:szCs w:val="22"/>
        </w:rPr>
        <w:t>, which</w:t>
      </w:r>
      <w:r w:rsidR="008B5821">
        <w:rPr>
          <w:rFonts w:ascii="Arial" w:hAnsi="Arial" w:cs="Arial"/>
          <w:sz w:val="22"/>
          <w:szCs w:val="22"/>
        </w:rPr>
        <w:t xml:space="preserve"> </w:t>
      </w:r>
      <w:r>
        <w:rPr>
          <w:rFonts w:ascii="Arial" w:hAnsi="Arial" w:cs="Arial"/>
          <w:sz w:val="22"/>
          <w:szCs w:val="22"/>
        </w:rPr>
        <w:t>compete</w:t>
      </w:r>
      <w:r w:rsidR="008B5821">
        <w:rPr>
          <w:rFonts w:ascii="Arial" w:hAnsi="Arial" w:cs="Arial"/>
          <w:sz w:val="22"/>
          <w:szCs w:val="22"/>
        </w:rPr>
        <w:t xml:space="preserve"> to </w:t>
      </w:r>
      <w:r w:rsidR="0093172F">
        <w:rPr>
          <w:rFonts w:ascii="Arial" w:hAnsi="Arial" w:cs="Arial"/>
          <w:sz w:val="22"/>
          <w:szCs w:val="22"/>
        </w:rPr>
        <w:t>offer their services as restructuring venues for global businesses</w:t>
      </w:r>
      <w:r w:rsidR="00FB2A1B">
        <w:rPr>
          <w:rFonts w:ascii="Arial" w:hAnsi="Arial" w:cs="Arial"/>
          <w:sz w:val="22"/>
          <w:szCs w:val="22"/>
        </w:rPr>
        <w:t>, within a general normative framework of ‘collectivity, equality of treatment and efficiency’ (Gopa</w:t>
      </w:r>
      <w:r w:rsidR="00ED1B6C">
        <w:rPr>
          <w:rFonts w:ascii="Arial" w:hAnsi="Arial" w:cs="Arial"/>
          <w:sz w:val="22"/>
          <w:szCs w:val="22"/>
        </w:rPr>
        <w:t>la</w:t>
      </w:r>
      <w:r w:rsidR="00FB2A1B">
        <w:rPr>
          <w:rFonts w:ascii="Arial" w:hAnsi="Arial" w:cs="Arial"/>
          <w:sz w:val="22"/>
          <w:szCs w:val="22"/>
        </w:rPr>
        <w:t>n &amp; Guihot 2016)</w:t>
      </w:r>
      <w:r w:rsidR="0093172F">
        <w:rPr>
          <w:rFonts w:ascii="Arial" w:hAnsi="Arial" w:cs="Arial"/>
          <w:sz w:val="22"/>
          <w:szCs w:val="22"/>
        </w:rPr>
        <w:t xml:space="preserve">. </w:t>
      </w:r>
      <w:r w:rsidR="001A42DD">
        <w:rPr>
          <w:rFonts w:ascii="Arial" w:hAnsi="Arial" w:cs="Arial"/>
          <w:sz w:val="22"/>
          <w:szCs w:val="22"/>
        </w:rPr>
        <w:t>These now include</w:t>
      </w:r>
      <w:r w:rsidR="0093172F">
        <w:rPr>
          <w:rFonts w:ascii="Arial" w:hAnsi="Arial" w:cs="Arial"/>
          <w:sz w:val="22"/>
          <w:szCs w:val="22"/>
        </w:rPr>
        <w:t xml:space="preserve"> </w:t>
      </w:r>
      <w:r w:rsidR="00B92AD7">
        <w:rPr>
          <w:rFonts w:ascii="Arial" w:hAnsi="Arial" w:cs="Arial"/>
          <w:sz w:val="22"/>
          <w:szCs w:val="22"/>
        </w:rPr>
        <w:t>a number of European jurisdiction</w:t>
      </w:r>
      <w:r w:rsidR="001F70B4">
        <w:rPr>
          <w:rFonts w:ascii="Arial" w:hAnsi="Arial" w:cs="Arial"/>
          <w:sz w:val="22"/>
          <w:szCs w:val="22"/>
        </w:rPr>
        <w:t>s, which have followed</w:t>
      </w:r>
      <w:r w:rsidR="00B92AD7">
        <w:rPr>
          <w:rFonts w:ascii="Arial" w:hAnsi="Arial" w:cs="Arial"/>
          <w:sz w:val="22"/>
          <w:szCs w:val="22"/>
        </w:rPr>
        <w:t xml:space="preserve"> the </w:t>
      </w:r>
      <w:r w:rsidR="001C1BAA">
        <w:rPr>
          <w:rFonts w:ascii="Arial" w:hAnsi="Arial" w:cs="Arial"/>
          <w:sz w:val="22"/>
          <w:szCs w:val="22"/>
        </w:rPr>
        <w:t>2019</w:t>
      </w:r>
      <w:r w:rsidR="00B92AD7">
        <w:rPr>
          <w:rFonts w:ascii="Arial" w:hAnsi="Arial" w:cs="Arial"/>
          <w:sz w:val="22"/>
          <w:szCs w:val="22"/>
        </w:rPr>
        <w:t xml:space="preserve"> European Directive</w:t>
      </w:r>
      <w:r w:rsidR="0056351A">
        <w:rPr>
          <w:rFonts w:ascii="Arial" w:hAnsi="Arial" w:cs="Arial"/>
          <w:sz w:val="22"/>
          <w:szCs w:val="22"/>
        </w:rPr>
        <w:t xml:space="preserve"> on preventative restructuring frameworks,</w:t>
      </w:r>
      <w:r w:rsidR="00B92AD7">
        <w:rPr>
          <w:rStyle w:val="FootnoteReference"/>
          <w:rFonts w:ascii="Arial" w:hAnsi="Arial" w:cs="Arial"/>
          <w:sz w:val="22"/>
          <w:szCs w:val="22"/>
        </w:rPr>
        <w:footnoteReference w:id="2"/>
      </w:r>
      <w:r w:rsidR="00B92AD7">
        <w:rPr>
          <w:rFonts w:ascii="Arial" w:hAnsi="Arial" w:cs="Arial"/>
          <w:sz w:val="22"/>
          <w:szCs w:val="22"/>
        </w:rPr>
        <w:t xml:space="preserve"> as well as Singapore</w:t>
      </w:r>
      <w:r w:rsidR="008F49CE">
        <w:rPr>
          <w:rFonts w:ascii="Arial" w:hAnsi="Arial" w:cs="Arial"/>
          <w:sz w:val="22"/>
          <w:szCs w:val="22"/>
        </w:rPr>
        <w:t>.</w:t>
      </w:r>
      <w:r w:rsidR="00B92AD7">
        <w:rPr>
          <w:rStyle w:val="FootnoteReference"/>
          <w:rFonts w:ascii="Arial" w:hAnsi="Arial" w:cs="Arial"/>
          <w:sz w:val="22"/>
          <w:szCs w:val="22"/>
        </w:rPr>
        <w:footnoteReference w:id="3"/>
      </w:r>
      <w:r w:rsidR="00B92AD7">
        <w:rPr>
          <w:rFonts w:ascii="Arial" w:hAnsi="Arial" w:cs="Arial"/>
          <w:sz w:val="22"/>
          <w:szCs w:val="22"/>
        </w:rPr>
        <w:t xml:space="preserve"> </w:t>
      </w:r>
    </w:p>
    <w:p w14:paraId="120EEBC0" w14:textId="01A0EFD7" w:rsidR="0093172F" w:rsidRDefault="004A0031" w:rsidP="00B25E9D">
      <w:pPr>
        <w:spacing w:before="120" w:after="120" w:line="360" w:lineRule="auto"/>
        <w:jc w:val="both"/>
        <w:rPr>
          <w:rFonts w:ascii="Arial" w:hAnsi="Arial" w:cs="Arial"/>
          <w:sz w:val="22"/>
          <w:szCs w:val="22"/>
        </w:rPr>
      </w:pPr>
      <w:r>
        <w:rPr>
          <w:rFonts w:ascii="Arial" w:hAnsi="Arial" w:cs="Arial"/>
          <w:sz w:val="22"/>
          <w:szCs w:val="22"/>
        </w:rPr>
        <w:t>Despite</w:t>
      </w:r>
      <w:r w:rsidR="0093172F">
        <w:rPr>
          <w:rFonts w:ascii="Arial" w:hAnsi="Arial" w:cs="Arial"/>
          <w:sz w:val="22"/>
          <w:szCs w:val="22"/>
        </w:rPr>
        <w:t xml:space="preserve"> </w:t>
      </w:r>
      <w:r w:rsidR="00FB2A1B">
        <w:rPr>
          <w:rFonts w:ascii="Arial" w:hAnsi="Arial" w:cs="Arial"/>
          <w:sz w:val="22"/>
          <w:szCs w:val="22"/>
        </w:rPr>
        <w:t>the different options now available</w:t>
      </w:r>
      <w:r w:rsidR="0093172F">
        <w:rPr>
          <w:rFonts w:ascii="Arial" w:hAnsi="Arial" w:cs="Arial"/>
          <w:sz w:val="22"/>
          <w:szCs w:val="22"/>
        </w:rPr>
        <w:t xml:space="preserve">, the ultimate question remains: how can </w:t>
      </w:r>
      <w:r w:rsidR="00897C40">
        <w:rPr>
          <w:rFonts w:ascii="Arial" w:hAnsi="Arial" w:cs="Arial"/>
          <w:sz w:val="22"/>
          <w:szCs w:val="22"/>
        </w:rPr>
        <w:t>a</w:t>
      </w:r>
      <w:r>
        <w:rPr>
          <w:rFonts w:ascii="Arial" w:hAnsi="Arial" w:cs="Arial"/>
          <w:sz w:val="22"/>
          <w:szCs w:val="22"/>
        </w:rPr>
        <w:t xml:space="preserve"> restructuring plan </w:t>
      </w:r>
      <w:r w:rsidR="001A42DD">
        <w:rPr>
          <w:rFonts w:ascii="Arial" w:hAnsi="Arial" w:cs="Arial"/>
          <w:sz w:val="22"/>
          <w:szCs w:val="22"/>
        </w:rPr>
        <w:t xml:space="preserve">be </w:t>
      </w:r>
      <w:r>
        <w:rPr>
          <w:rFonts w:ascii="Arial" w:hAnsi="Arial" w:cs="Arial"/>
          <w:sz w:val="22"/>
          <w:szCs w:val="22"/>
        </w:rPr>
        <w:t xml:space="preserve">made </w:t>
      </w:r>
      <w:r w:rsidR="001A42DD">
        <w:rPr>
          <w:rFonts w:ascii="Arial" w:hAnsi="Arial" w:cs="Arial"/>
          <w:sz w:val="22"/>
          <w:szCs w:val="22"/>
        </w:rPr>
        <w:t xml:space="preserve">in a foreign jurisdiction </w:t>
      </w:r>
      <w:r>
        <w:rPr>
          <w:rFonts w:ascii="Arial" w:hAnsi="Arial" w:cs="Arial"/>
          <w:sz w:val="22"/>
          <w:szCs w:val="22"/>
        </w:rPr>
        <w:t xml:space="preserve">and implemented </w:t>
      </w:r>
      <w:r w:rsidR="001A42DD">
        <w:rPr>
          <w:rFonts w:ascii="Arial" w:hAnsi="Arial" w:cs="Arial"/>
          <w:sz w:val="22"/>
          <w:szCs w:val="22"/>
        </w:rPr>
        <w:t xml:space="preserve">elsewhere </w:t>
      </w:r>
      <w:r>
        <w:rPr>
          <w:rFonts w:ascii="Arial" w:hAnsi="Arial" w:cs="Arial"/>
          <w:sz w:val="22"/>
          <w:szCs w:val="22"/>
        </w:rPr>
        <w:t xml:space="preserve">to bind all relevant stakeholders. </w:t>
      </w:r>
      <w:r w:rsidR="000B4EF2">
        <w:rPr>
          <w:rFonts w:ascii="Arial" w:hAnsi="Arial" w:cs="Arial"/>
          <w:sz w:val="22"/>
          <w:szCs w:val="22"/>
        </w:rPr>
        <w:t>To simplify the analysis, this question is examined by reference to the well-established restructuring jurisdictions of the US and England</w:t>
      </w:r>
      <w:r>
        <w:rPr>
          <w:rFonts w:ascii="Arial" w:hAnsi="Arial" w:cs="Arial"/>
          <w:sz w:val="22"/>
          <w:szCs w:val="22"/>
        </w:rPr>
        <w:t xml:space="preserve">, </w:t>
      </w:r>
      <w:r w:rsidR="001A42DD">
        <w:rPr>
          <w:rFonts w:ascii="Arial" w:hAnsi="Arial" w:cs="Arial"/>
          <w:sz w:val="22"/>
          <w:szCs w:val="22"/>
        </w:rPr>
        <w:t xml:space="preserve">from which </w:t>
      </w:r>
      <w:r>
        <w:rPr>
          <w:rFonts w:ascii="Arial" w:hAnsi="Arial" w:cs="Arial"/>
          <w:sz w:val="22"/>
          <w:szCs w:val="22"/>
        </w:rPr>
        <w:t xml:space="preserve">conclusions </w:t>
      </w:r>
      <w:r w:rsidR="00B25E9D">
        <w:rPr>
          <w:rFonts w:ascii="Arial" w:hAnsi="Arial" w:cs="Arial"/>
          <w:sz w:val="22"/>
          <w:szCs w:val="22"/>
        </w:rPr>
        <w:t>can be</w:t>
      </w:r>
      <w:r>
        <w:rPr>
          <w:rFonts w:ascii="Arial" w:hAnsi="Arial" w:cs="Arial"/>
          <w:sz w:val="22"/>
          <w:szCs w:val="22"/>
        </w:rPr>
        <w:t xml:space="preserve"> drawn </w:t>
      </w:r>
      <w:r w:rsidR="0052484C">
        <w:rPr>
          <w:rFonts w:ascii="Arial" w:hAnsi="Arial" w:cs="Arial"/>
          <w:sz w:val="22"/>
          <w:szCs w:val="22"/>
        </w:rPr>
        <w:t>that are also relevant</w:t>
      </w:r>
      <w:r w:rsidR="00B25E9D">
        <w:rPr>
          <w:rFonts w:ascii="Arial" w:hAnsi="Arial" w:cs="Arial"/>
          <w:sz w:val="22"/>
          <w:szCs w:val="22"/>
        </w:rPr>
        <w:t xml:space="preserve"> </w:t>
      </w:r>
      <w:r>
        <w:rPr>
          <w:rFonts w:ascii="Arial" w:hAnsi="Arial" w:cs="Arial"/>
          <w:sz w:val="22"/>
          <w:szCs w:val="22"/>
        </w:rPr>
        <w:t xml:space="preserve">to the </w:t>
      </w:r>
      <w:r w:rsidR="001A42DD">
        <w:rPr>
          <w:rFonts w:ascii="Arial" w:hAnsi="Arial" w:cs="Arial"/>
          <w:sz w:val="22"/>
          <w:szCs w:val="22"/>
        </w:rPr>
        <w:t>other</w:t>
      </w:r>
      <w:r w:rsidR="00413F57">
        <w:rPr>
          <w:rFonts w:ascii="Arial" w:hAnsi="Arial" w:cs="Arial"/>
          <w:sz w:val="22"/>
          <w:szCs w:val="22"/>
        </w:rPr>
        <w:t>,</w:t>
      </w:r>
      <w:r w:rsidR="001A42DD">
        <w:rPr>
          <w:rFonts w:ascii="Arial" w:hAnsi="Arial" w:cs="Arial"/>
          <w:sz w:val="22"/>
          <w:szCs w:val="22"/>
        </w:rPr>
        <w:t xml:space="preserve"> </w:t>
      </w:r>
      <w:r>
        <w:rPr>
          <w:rFonts w:ascii="Arial" w:hAnsi="Arial" w:cs="Arial"/>
          <w:sz w:val="22"/>
          <w:szCs w:val="22"/>
        </w:rPr>
        <w:t>newly emerging</w:t>
      </w:r>
      <w:r w:rsidR="00413F57">
        <w:rPr>
          <w:rFonts w:ascii="Arial" w:hAnsi="Arial" w:cs="Arial"/>
          <w:sz w:val="22"/>
          <w:szCs w:val="22"/>
        </w:rPr>
        <w:t>,</w:t>
      </w:r>
      <w:r>
        <w:rPr>
          <w:rFonts w:ascii="Arial" w:hAnsi="Arial" w:cs="Arial"/>
          <w:sz w:val="22"/>
          <w:szCs w:val="22"/>
        </w:rPr>
        <w:t xml:space="preserve"> global restructuring jurisdictions. </w:t>
      </w:r>
    </w:p>
    <w:p w14:paraId="4FCD0EB7" w14:textId="29C10C48" w:rsidR="00896EDA" w:rsidRPr="00B25E9D" w:rsidRDefault="00896EDA" w:rsidP="00763BD9">
      <w:pPr>
        <w:spacing w:before="120" w:after="120" w:line="360" w:lineRule="auto"/>
        <w:jc w:val="both"/>
        <w:rPr>
          <w:rFonts w:ascii="Arial" w:hAnsi="Arial" w:cs="Arial"/>
          <w:b/>
          <w:bCs/>
          <w:sz w:val="22"/>
          <w:szCs w:val="22"/>
        </w:rPr>
      </w:pPr>
      <w:r w:rsidRPr="00B25E9D">
        <w:rPr>
          <w:rFonts w:ascii="Arial" w:hAnsi="Arial" w:cs="Arial"/>
          <w:b/>
          <w:bCs/>
          <w:sz w:val="22"/>
          <w:szCs w:val="22"/>
        </w:rPr>
        <w:t>I – The Restructuring Challenge</w:t>
      </w:r>
    </w:p>
    <w:p w14:paraId="5EE7A9C0" w14:textId="70E8422D" w:rsidR="0080475D" w:rsidRDefault="00E07D47" w:rsidP="00763BD9">
      <w:pPr>
        <w:spacing w:before="120" w:after="120" w:line="360" w:lineRule="auto"/>
        <w:jc w:val="both"/>
        <w:rPr>
          <w:rFonts w:ascii="Arial" w:hAnsi="Arial" w:cs="Arial"/>
          <w:sz w:val="22"/>
          <w:szCs w:val="22"/>
        </w:rPr>
      </w:pPr>
      <w:r>
        <w:rPr>
          <w:rFonts w:ascii="Arial" w:hAnsi="Arial" w:cs="Arial"/>
          <w:sz w:val="22"/>
          <w:szCs w:val="22"/>
        </w:rPr>
        <w:t>The decision to start a business necessarily involves the taking of risks</w:t>
      </w:r>
      <w:r w:rsidR="00413F57">
        <w:rPr>
          <w:rFonts w:ascii="Arial" w:hAnsi="Arial" w:cs="Arial"/>
          <w:sz w:val="22"/>
          <w:szCs w:val="22"/>
        </w:rPr>
        <w:t xml:space="preserve">, and some </w:t>
      </w:r>
      <w:r>
        <w:rPr>
          <w:rFonts w:ascii="Arial" w:hAnsi="Arial" w:cs="Arial"/>
          <w:sz w:val="22"/>
          <w:szCs w:val="22"/>
        </w:rPr>
        <w:t>businesses will fail. The hypothetical entity addressed in this Paper is that of a company</w:t>
      </w:r>
      <w:r w:rsidR="007C06DB">
        <w:rPr>
          <w:rFonts w:ascii="Arial" w:hAnsi="Arial" w:cs="Arial"/>
          <w:sz w:val="22"/>
          <w:szCs w:val="22"/>
        </w:rPr>
        <w:t xml:space="preserve"> (although it could equally be a non-corporate vehicle)</w:t>
      </w:r>
      <w:r w:rsidR="00413F57">
        <w:rPr>
          <w:rFonts w:ascii="Arial" w:hAnsi="Arial" w:cs="Arial"/>
          <w:sz w:val="22"/>
          <w:szCs w:val="22"/>
        </w:rPr>
        <w:t xml:space="preserve"> operating internationally.</w:t>
      </w:r>
      <w:r w:rsidR="00CB04B8">
        <w:rPr>
          <w:rStyle w:val="FootnoteReference"/>
          <w:rFonts w:ascii="Arial" w:hAnsi="Arial" w:cs="Arial"/>
          <w:sz w:val="22"/>
          <w:szCs w:val="22"/>
        </w:rPr>
        <w:footnoteReference w:id="4"/>
      </w:r>
      <w:r w:rsidR="00413F57">
        <w:rPr>
          <w:rFonts w:ascii="Arial" w:hAnsi="Arial" w:cs="Arial"/>
          <w:sz w:val="22"/>
          <w:szCs w:val="22"/>
        </w:rPr>
        <w:t xml:space="preserve"> </w:t>
      </w:r>
      <w:r w:rsidR="001D27BA">
        <w:rPr>
          <w:rFonts w:ascii="Arial" w:hAnsi="Arial" w:cs="Arial"/>
          <w:sz w:val="22"/>
          <w:szCs w:val="22"/>
        </w:rPr>
        <w:t>At</w:t>
      </w:r>
      <w:r w:rsidR="007C06DB">
        <w:rPr>
          <w:rFonts w:ascii="Arial" w:hAnsi="Arial" w:cs="Arial"/>
          <w:sz w:val="22"/>
          <w:szCs w:val="22"/>
        </w:rPr>
        <w:t xml:space="preserve"> some point</w:t>
      </w:r>
      <w:r w:rsidR="008B071A">
        <w:rPr>
          <w:rFonts w:ascii="Arial" w:hAnsi="Arial" w:cs="Arial"/>
          <w:sz w:val="22"/>
          <w:szCs w:val="22"/>
        </w:rPr>
        <w:t xml:space="preserve"> when</w:t>
      </w:r>
      <w:r w:rsidR="001D27BA">
        <w:rPr>
          <w:rFonts w:ascii="Arial" w:hAnsi="Arial" w:cs="Arial"/>
          <w:sz w:val="22"/>
          <w:szCs w:val="22"/>
        </w:rPr>
        <w:t xml:space="preserve"> the risk of loss materialises</w:t>
      </w:r>
      <w:r w:rsidR="007C06DB">
        <w:rPr>
          <w:rFonts w:ascii="Arial" w:hAnsi="Arial" w:cs="Arial"/>
          <w:sz w:val="22"/>
          <w:szCs w:val="22"/>
        </w:rPr>
        <w:t xml:space="preserve">, </w:t>
      </w:r>
      <w:r w:rsidR="00413F57">
        <w:rPr>
          <w:rFonts w:ascii="Arial" w:hAnsi="Arial" w:cs="Arial"/>
          <w:sz w:val="22"/>
          <w:szCs w:val="22"/>
        </w:rPr>
        <w:t>the</w:t>
      </w:r>
      <w:r w:rsidR="007C06DB">
        <w:rPr>
          <w:rFonts w:ascii="Arial" w:hAnsi="Arial" w:cs="Arial"/>
          <w:sz w:val="22"/>
          <w:szCs w:val="22"/>
        </w:rPr>
        <w:t xml:space="preserve"> company enters into financial distress</w:t>
      </w:r>
      <w:r w:rsidR="001D27BA">
        <w:rPr>
          <w:rFonts w:ascii="Arial" w:hAnsi="Arial" w:cs="Arial"/>
          <w:sz w:val="22"/>
          <w:szCs w:val="22"/>
        </w:rPr>
        <w:t xml:space="preserve">. </w:t>
      </w:r>
      <w:r w:rsidR="00B00FBE">
        <w:rPr>
          <w:rFonts w:ascii="Arial" w:hAnsi="Arial" w:cs="Arial"/>
          <w:sz w:val="22"/>
          <w:szCs w:val="22"/>
        </w:rPr>
        <w:t xml:space="preserve">Assuming the </w:t>
      </w:r>
      <w:r w:rsidR="0080475D">
        <w:rPr>
          <w:rFonts w:ascii="Arial" w:hAnsi="Arial" w:cs="Arial"/>
          <w:sz w:val="22"/>
          <w:szCs w:val="22"/>
        </w:rPr>
        <w:t xml:space="preserve">core </w:t>
      </w:r>
      <w:r w:rsidR="00B00FBE">
        <w:rPr>
          <w:rFonts w:ascii="Arial" w:hAnsi="Arial" w:cs="Arial"/>
          <w:sz w:val="22"/>
          <w:szCs w:val="22"/>
        </w:rPr>
        <w:t xml:space="preserve">business is sound and does not require an operational restructure, the </w:t>
      </w:r>
      <w:r w:rsidR="0080475D">
        <w:rPr>
          <w:rFonts w:ascii="Arial" w:hAnsi="Arial" w:cs="Arial"/>
          <w:sz w:val="22"/>
          <w:szCs w:val="22"/>
        </w:rPr>
        <w:t xml:space="preserve">commercial </w:t>
      </w:r>
      <w:r w:rsidR="00B00FBE">
        <w:rPr>
          <w:rFonts w:ascii="Arial" w:hAnsi="Arial" w:cs="Arial"/>
          <w:sz w:val="22"/>
          <w:szCs w:val="22"/>
        </w:rPr>
        <w:t xml:space="preserve">problem </w:t>
      </w:r>
      <w:r w:rsidR="008B071A">
        <w:rPr>
          <w:rFonts w:ascii="Arial" w:hAnsi="Arial" w:cs="Arial"/>
          <w:sz w:val="22"/>
          <w:szCs w:val="22"/>
        </w:rPr>
        <w:t>for</w:t>
      </w:r>
      <w:r w:rsidR="00B00FBE">
        <w:rPr>
          <w:rFonts w:ascii="Arial" w:hAnsi="Arial" w:cs="Arial"/>
          <w:sz w:val="22"/>
          <w:szCs w:val="22"/>
        </w:rPr>
        <w:t xml:space="preserve"> </w:t>
      </w:r>
      <w:r w:rsidR="0080475D">
        <w:rPr>
          <w:rFonts w:ascii="Arial" w:hAnsi="Arial" w:cs="Arial"/>
          <w:sz w:val="22"/>
          <w:szCs w:val="22"/>
        </w:rPr>
        <w:t xml:space="preserve">stakeholders is one of </w:t>
      </w:r>
      <w:r w:rsidR="008B071A">
        <w:rPr>
          <w:rFonts w:ascii="Arial" w:hAnsi="Arial" w:cs="Arial"/>
          <w:sz w:val="22"/>
          <w:szCs w:val="22"/>
        </w:rPr>
        <w:t>allocating current or</w:t>
      </w:r>
      <w:r w:rsidR="0080475D">
        <w:rPr>
          <w:rFonts w:ascii="Arial" w:hAnsi="Arial" w:cs="Arial"/>
          <w:sz w:val="22"/>
          <w:szCs w:val="22"/>
        </w:rPr>
        <w:t xml:space="preserve"> future losses between them, depending upon the extent of the company’s financial distress. </w:t>
      </w:r>
      <w:r w:rsidR="00397931">
        <w:rPr>
          <w:rFonts w:ascii="Arial" w:hAnsi="Arial" w:cs="Arial"/>
          <w:sz w:val="22"/>
          <w:szCs w:val="22"/>
        </w:rPr>
        <w:t>This is the restructuring challenge.</w:t>
      </w:r>
    </w:p>
    <w:p w14:paraId="2B222D8B" w14:textId="124AD3B3" w:rsidR="00DA20B5" w:rsidRDefault="00DA20B5" w:rsidP="00763BD9">
      <w:pPr>
        <w:spacing w:before="120" w:after="120" w:line="360" w:lineRule="auto"/>
        <w:jc w:val="both"/>
        <w:rPr>
          <w:rFonts w:ascii="Arial" w:hAnsi="Arial" w:cs="Arial"/>
          <w:sz w:val="22"/>
          <w:szCs w:val="22"/>
        </w:rPr>
      </w:pPr>
      <w:r>
        <w:rPr>
          <w:rFonts w:ascii="Arial" w:hAnsi="Arial" w:cs="Arial"/>
          <w:sz w:val="22"/>
          <w:szCs w:val="22"/>
        </w:rPr>
        <w:t xml:space="preserve">In order to understand </w:t>
      </w:r>
      <w:r w:rsidR="00413F57">
        <w:rPr>
          <w:rFonts w:ascii="Arial" w:hAnsi="Arial" w:cs="Arial"/>
          <w:sz w:val="22"/>
          <w:szCs w:val="22"/>
        </w:rPr>
        <w:t>this</w:t>
      </w:r>
      <w:r>
        <w:rPr>
          <w:rFonts w:ascii="Arial" w:hAnsi="Arial" w:cs="Arial"/>
          <w:sz w:val="22"/>
          <w:szCs w:val="22"/>
        </w:rPr>
        <w:t xml:space="preserve"> challenge</w:t>
      </w:r>
      <w:r w:rsidR="00397931">
        <w:rPr>
          <w:rFonts w:ascii="Arial" w:hAnsi="Arial" w:cs="Arial"/>
          <w:sz w:val="22"/>
          <w:szCs w:val="22"/>
        </w:rPr>
        <w:t xml:space="preserve">, </w:t>
      </w:r>
      <w:r w:rsidR="00FF135A">
        <w:rPr>
          <w:rFonts w:ascii="Arial" w:hAnsi="Arial" w:cs="Arial"/>
          <w:sz w:val="22"/>
          <w:szCs w:val="22"/>
        </w:rPr>
        <w:t xml:space="preserve">it must be acknowledged that the company is an artificial entity created and recognised by law to exist and have a legal personality. </w:t>
      </w:r>
      <w:r w:rsidR="008B071A">
        <w:rPr>
          <w:rFonts w:ascii="Arial" w:hAnsi="Arial" w:cs="Arial"/>
          <w:sz w:val="22"/>
          <w:szCs w:val="22"/>
        </w:rPr>
        <w:t>The business and affairs of</w:t>
      </w:r>
      <w:r>
        <w:rPr>
          <w:rFonts w:ascii="Arial" w:hAnsi="Arial" w:cs="Arial"/>
          <w:sz w:val="22"/>
          <w:szCs w:val="22"/>
        </w:rPr>
        <w:t xml:space="preserve"> company </w:t>
      </w:r>
      <w:r w:rsidR="008B071A">
        <w:rPr>
          <w:rFonts w:ascii="Arial" w:hAnsi="Arial" w:cs="Arial"/>
          <w:sz w:val="22"/>
          <w:szCs w:val="22"/>
        </w:rPr>
        <w:t xml:space="preserve">exist due to </w:t>
      </w:r>
      <w:r w:rsidR="00366842">
        <w:rPr>
          <w:rFonts w:ascii="Arial" w:hAnsi="Arial" w:cs="Arial"/>
          <w:sz w:val="22"/>
          <w:szCs w:val="22"/>
        </w:rPr>
        <w:t xml:space="preserve">a range </w:t>
      </w:r>
      <w:r w:rsidR="000547EC">
        <w:rPr>
          <w:rFonts w:ascii="Arial" w:hAnsi="Arial" w:cs="Arial"/>
          <w:sz w:val="22"/>
          <w:szCs w:val="22"/>
        </w:rPr>
        <w:t xml:space="preserve">or ‘nexus’ </w:t>
      </w:r>
      <w:r w:rsidR="00366842">
        <w:rPr>
          <w:rFonts w:ascii="Arial" w:hAnsi="Arial" w:cs="Arial"/>
          <w:sz w:val="22"/>
          <w:szCs w:val="22"/>
        </w:rPr>
        <w:t xml:space="preserve">of different contracts with </w:t>
      </w:r>
      <w:r w:rsidR="008B071A">
        <w:rPr>
          <w:rFonts w:ascii="Arial" w:hAnsi="Arial" w:cs="Arial"/>
          <w:sz w:val="22"/>
          <w:szCs w:val="22"/>
        </w:rPr>
        <w:t>and between</w:t>
      </w:r>
      <w:r w:rsidR="00366842">
        <w:rPr>
          <w:rFonts w:ascii="Arial" w:hAnsi="Arial" w:cs="Arial"/>
          <w:sz w:val="22"/>
          <w:szCs w:val="22"/>
        </w:rPr>
        <w:t xml:space="preserve"> stakeholders</w:t>
      </w:r>
      <w:r w:rsidR="000547EC">
        <w:rPr>
          <w:rFonts w:ascii="Arial" w:hAnsi="Arial" w:cs="Arial"/>
          <w:sz w:val="22"/>
          <w:szCs w:val="22"/>
        </w:rPr>
        <w:t xml:space="preserve"> (Jensen &amp; Meckling 1976)</w:t>
      </w:r>
      <w:r w:rsidR="008B071A">
        <w:rPr>
          <w:rFonts w:ascii="Arial" w:hAnsi="Arial" w:cs="Arial"/>
          <w:sz w:val="22"/>
          <w:szCs w:val="22"/>
        </w:rPr>
        <w:t xml:space="preserve">. All of </w:t>
      </w:r>
      <w:r w:rsidR="00844218">
        <w:rPr>
          <w:rFonts w:ascii="Arial" w:hAnsi="Arial" w:cs="Arial"/>
          <w:sz w:val="22"/>
          <w:szCs w:val="22"/>
        </w:rPr>
        <w:t>those counterparties</w:t>
      </w:r>
      <w:r w:rsidR="008B071A">
        <w:rPr>
          <w:rFonts w:ascii="Arial" w:hAnsi="Arial" w:cs="Arial"/>
          <w:sz w:val="22"/>
          <w:szCs w:val="22"/>
        </w:rPr>
        <w:t xml:space="preserve"> </w:t>
      </w:r>
      <w:r w:rsidR="00366842">
        <w:rPr>
          <w:rFonts w:ascii="Arial" w:hAnsi="Arial" w:cs="Arial"/>
          <w:sz w:val="22"/>
          <w:szCs w:val="22"/>
        </w:rPr>
        <w:t xml:space="preserve">will assess the company’s </w:t>
      </w:r>
      <w:r w:rsidR="00366842">
        <w:rPr>
          <w:rFonts w:ascii="Arial" w:hAnsi="Arial" w:cs="Arial"/>
          <w:sz w:val="22"/>
          <w:szCs w:val="22"/>
        </w:rPr>
        <w:lastRenderedPageBreak/>
        <w:t xml:space="preserve">financial distress against their individual contractual </w:t>
      </w:r>
      <w:r w:rsidR="008B071A">
        <w:rPr>
          <w:rFonts w:ascii="Arial" w:hAnsi="Arial" w:cs="Arial"/>
          <w:sz w:val="22"/>
          <w:szCs w:val="22"/>
        </w:rPr>
        <w:t xml:space="preserve">or other legal </w:t>
      </w:r>
      <w:r w:rsidR="00366842">
        <w:rPr>
          <w:rFonts w:ascii="Arial" w:hAnsi="Arial" w:cs="Arial"/>
          <w:sz w:val="22"/>
          <w:szCs w:val="22"/>
        </w:rPr>
        <w:t>rights</w:t>
      </w:r>
      <w:r w:rsidR="008B071A">
        <w:rPr>
          <w:rFonts w:ascii="Arial" w:hAnsi="Arial" w:cs="Arial"/>
          <w:sz w:val="22"/>
          <w:szCs w:val="22"/>
        </w:rPr>
        <w:t xml:space="preserve"> – including their security interests,</w:t>
      </w:r>
      <w:r w:rsidR="00366842">
        <w:rPr>
          <w:rFonts w:ascii="Arial" w:hAnsi="Arial" w:cs="Arial"/>
          <w:sz w:val="22"/>
          <w:szCs w:val="22"/>
        </w:rPr>
        <w:t xml:space="preserve"> and their extra-contractual bargaining </w:t>
      </w:r>
      <w:r w:rsidR="008B071A">
        <w:rPr>
          <w:rFonts w:ascii="Arial" w:hAnsi="Arial" w:cs="Arial"/>
          <w:sz w:val="22"/>
          <w:szCs w:val="22"/>
        </w:rPr>
        <w:t xml:space="preserve">leverage, </w:t>
      </w:r>
      <w:r w:rsidR="00A96EE8">
        <w:rPr>
          <w:rFonts w:ascii="Arial" w:hAnsi="Arial" w:cs="Arial"/>
          <w:sz w:val="22"/>
          <w:szCs w:val="22"/>
        </w:rPr>
        <w:t>for example</w:t>
      </w:r>
      <w:r w:rsidR="008B071A">
        <w:rPr>
          <w:rFonts w:ascii="Arial" w:hAnsi="Arial" w:cs="Arial"/>
          <w:sz w:val="22"/>
          <w:szCs w:val="22"/>
        </w:rPr>
        <w:t xml:space="preserve"> as vital suppliers to the business</w:t>
      </w:r>
      <w:r w:rsidR="00366842">
        <w:rPr>
          <w:rFonts w:ascii="Arial" w:hAnsi="Arial" w:cs="Arial"/>
          <w:sz w:val="22"/>
          <w:szCs w:val="22"/>
        </w:rPr>
        <w:t xml:space="preserve">. </w:t>
      </w:r>
      <w:r w:rsidR="00A96EE8">
        <w:rPr>
          <w:rFonts w:ascii="Arial" w:hAnsi="Arial" w:cs="Arial"/>
          <w:sz w:val="22"/>
          <w:szCs w:val="22"/>
        </w:rPr>
        <w:t>Any one or more of these stakeholders may have therefore have the ability</w:t>
      </w:r>
      <w:r w:rsidR="00766624">
        <w:rPr>
          <w:rFonts w:ascii="Arial" w:hAnsi="Arial" w:cs="Arial"/>
          <w:sz w:val="22"/>
          <w:szCs w:val="22"/>
        </w:rPr>
        <w:t xml:space="preserve"> to open formal insolvency proceedings, and </w:t>
      </w:r>
      <w:r w:rsidR="001849B1">
        <w:rPr>
          <w:rFonts w:ascii="Arial" w:hAnsi="Arial" w:cs="Arial"/>
          <w:sz w:val="22"/>
          <w:szCs w:val="22"/>
        </w:rPr>
        <w:t>force a value</w:t>
      </w:r>
      <w:r w:rsidR="00413F57">
        <w:rPr>
          <w:rFonts w:ascii="Arial" w:hAnsi="Arial" w:cs="Arial"/>
          <w:sz w:val="22"/>
          <w:szCs w:val="22"/>
        </w:rPr>
        <w:t>-</w:t>
      </w:r>
      <w:r w:rsidR="001849B1">
        <w:rPr>
          <w:rFonts w:ascii="Arial" w:hAnsi="Arial" w:cs="Arial"/>
          <w:sz w:val="22"/>
          <w:szCs w:val="22"/>
        </w:rPr>
        <w:t>destructive liquidation</w:t>
      </w:r>
      <w:r w:rsidR="00413F57">
        <w:rPr>
          <w:rFonts w:ascii="Arial" w:hAnsi="Arial" w:cs="Arial"/>
          <w:sz w:val="22"/>
          <w:szCs w:val="22"/>
        </w:rPr>
        <w:t>, or other distressed</w:t>
      </w:r>
      <w:r w:rsidR="001849B1">
        <w:rPr>
          <w:rFonts w:ascii="Arial" w:hAnsi="Arial" w:cs="Arial"/>
          <w:sz w:val="22"/>
          <w:szCs w:val="22"/>
        </w:rPr>
        <w:t xml:space="preserve"> sale of the business or its assets</w:t>
      </w:r>
      <w:r w:rsidR="00766624">
        <w:rPr>
          <w:rFonts w:ascii="Arial" w:hAnsi="Arial" w:cs="Arial"/>
          <w:sz w:val="22"/>
          <w:szCs w:val="22"/>
        </w:rPr>
        <w:t>.</w:t>
      </w:r>
    </w:p>
    <w:p w14:paraId="269E7FEA" w14:textId="00394E7D" w:rsidR="00664BA0" w:rsidRDefault="00A96EE8" w:rsidP="00763BD9">
      <w:pPr>
        <w:spacing w:before="120" w:after="120" w:line="360" w:lineRule="auto"/>
        <w:jc w:val="both"/>
        <w:rPr>
          <w:rFonts w:ascii="Arial" w:hAnsi="Arial" w:cs="Arial"/>
          <w:sz w:val="22"/>
          <w:szCs w:val="22"/>
        </w:rPr>
      </w:pPr>
      <w:r>
        <w:rPr>
          <w:rFonts w:ascii="Arial" w:hAnsi="Arial" w:cs="Arial"/>
          <w:sz w:val="22"/>
          <w:szCs w:val="22"/>
        </w:rPr>
        <w:t>F</w:t>
      </w:r>
      <w:r w:rsidR="00766624">
        <w:rPr>
          <w:rFonts w:ascii="Arial" w:hAnsi="Arial" w:cs="Arial"/>
          <w:sz w:val="22"/>
          <w:szCs w:val="22"/>
        </w:rPr>
        <w:t>inancial restructuring require</w:t>
      </w:r>
      <w:r>
        <w:rPr>
          <w:rFonts w:ascii="Arial" w:hAnsi="Arial" w:cs="Arial"/>
          <w:sz w:val="22"/>
          <w:szCs w:val="22"/>
        </w:rPr>
        <w:t>s</w:t>
      </w:r>
      <w:r w:rsidR="00766624">
        <w:rPr>
          <w:rFonts w:ascii="Arial" w:hAnsi="Arial" w:cs="Arial"/>
          <w:sz w:val="22"/>
          <w:szCs w:val="22"/>
        </w:rPr>
        <w:t xml:space="preserve"> the company </w:t>
      </w:r>
      <w:r>
        <w:rPr>
          <w:rFonts w:ascii="Arial" w:hAnsi="Arial" w:cs="Arial"/>
          <w:sz w:val="22"/>
          <w:szCs w:val="22"/>
        </w:rPr>
        <w:t>to make</w:t>
      </w:r>
      <w:r w:rsidR="00766624">
        <w:rPr>
          <w:rFonts w:ascii="Arial" w:hAnsi="Arial" w:cs="Arial"/>
          <w:sz w:val="22"/>
          <w:szCs w:val="22"/>
        </w:rPr>
        <w:t xml:space="preserve"> new or different contracts with </w:t>
      </w:r>
      <w:r w:rsidR="006F6FA5">
        <w:rPr>
          <w:rFonts w:ascii="Arial" w:hAnsi="Arial" w:cs="Arial"/>
          <w:sz w:val="22"/>
          <w:szCs w:val="22"/>
        </w:rPr>
        <w:t>some or all of its</w:t>
      </w:r>
      <w:r w:rsidR="00766624">
        <w:rPr>
          <w:rFonts w:ascii="Arial" w:hAnsi="Arial" w:cs="Arial"/>
          <w:sz w:val="22"/>
          <w:szCs w:val="22"/>
        </w:rPr>
        <w:t xml:space="preserve"> </w:t>
      </w:r>
      <w:r w:rsidR="002A76BD">
        <w:rPr>
          <w:rFonts w:ascii="Arial" w:hAnsi="Arial" w:cs="Arial"/>
          <w:sz w:val="22"/>
          <w:szCs w:val="22"/>
        </w:rPr>
        <w:t xml:space="preserve">debt or equity </w:t>
      </w:r>
      <w:r w:rsidR="00766624">
        <w:rPr>
          <w:rFonts w:ascii="Arial" w:hAnsi="Arial" w:cs="Arial"/>
          <w:sz w:val="22"/>
          <w:szCs w:val="22"/>
        </w:rPr>
        <w:t>stakeholders</w:t>
      </w:r>
      <w:r w:rsidR="006F6FA5">
        <w:rPr>
          <w:rFonts w:ascii="Arial" w:hAnsi="Arial" w:cs="Arial"/>
          <w:sz w:val="22"/>
          <w:szCs w:val="22"/>
        </w:rPr>
        <w:t xml:space="preserve"> to</w:t>
      </w:r>
      <w:r w:rsidR="00766624">
        <w:rPr>
          <w:rFonts w:ascii="Arial" w:hAnsi="Arial" w:cs="Arial"/>
          <w:sz w:val="22"/>
          <w:szCs w:val="22"/>
        </w:rPr>
        <w:t xml:space="preserve"> facilitate the survival of the core business</w:t>
      </w:r>
      <w:r w:rsidR="002A76BD">
        <w:rPr>
          <w:rFonts w:ascii="Arial" w:hAnsi="Arial" w:cs="Arial"/>
          <w:sz w:val="22"/>
          <w:szCs w:val="22"/>
        </w:rPr>
        <w:t xml:space="preserve"> (Sundarsam &amp; Lai 2001)</w:t>
      </w:r>
      <w:r w:rsidR="001849B1">
        <w:rPr>
          <w:rFonts w:ascii="Arial" w:hAnsi="Arial" w:cs="Arial"/>
          <w:sz w:val="22"/>
          <w:szCs w:val="22"/>
        </w:rPr>
        <w:t xml:space="preserve">. </w:t>
      </w:r>
      <w:r>
        <w:rPr>
          <w:rFonts w:ascii="Arial" w:hAnsi="Arial" w:cs="Arial"/>
          <w:sz w:val="22"/>
          <w:szCs w:val="22"/>
        </w:rPr>
        <w:t>The</w:t>
      </w:r>
      <w:r w:rsidR="001849B1">
        <w:rPr>
          <w:rFonts w:ascii="Arial" w:hAnsi="Arial" w:cs="Arial"/>
          <w:sz w:val="22"/>
          <w:szCs w:val="22"/>
        </w:rPr>
        <w:t xml:space="preserve"> insolvency literature </w:t>
      </w:r>
      <w:r>
        <w:rPr>
          <w:rFonts w:ascii="Arial" w:hAnsi="Arial" w:cs="Arial"/>
          <w:sz w:val="22"/>
          <w:szCs w:val="22"/>
        </w:rPr>
        <w:t xml:space="preserve">recognises this process </w:t>
      </w:r>
      <w:r w:rsidR="001849B1">
        <w:rPr>
          <w:rFonts w:ascii="Arial" w:hAnsi="Arial" w:cs="Arial"/>
          <w:sz w:val="22"/>
          <w:szCs w:val="22"/>
        </w:rPr>
        <w:t>as ‘informal</w:t>
      </w:r>
      <w:r w:rsidR="002006C1">
        <w:rPr>
          <w:rFonts w:ascii="Arial" w:hAnsi="Arial" w:cs="Arial"/>
          <w:sz w:val="22"/>
          <w:szCs w:val="22"/>
        </w:rPr>
        <w:t>’</w:t>
      </w:r>
      <w:r w:rsidR="001849B1">
        <w:rPr>
          <w:rFonts w:ascii="Arial" w:hAnsi="Arial" w:cs="Arial"/>
          <w:sz w:val="22"/>
          <w:szCs w:val="22"/>
        </w:rPr>
        <w:t xml:space="preserve"> </w:t>
      </w:r>
      <w:r w:rsidR="002006C1">
        <w:rPr>
          <w:rFonts w:ascii="Arial" w:hAnsi="Arial" w:cs="Arial"/>
          <w:sz w:val="22"/>
          <w:szCs w:val="22"/>
        </w:rPr>
        <w:t>restructuring</w:t>
      </w:r>
      <w:r w:rsidR="001849B1">
        <w:rPr>
          <w:rFonts w:ascii="Arial" w:hAnsi="Arial" w:cs="Arial"/>
          <w:sz w:val="22"/>
          <w:szCs w:val="22"/>
        </w:rPr>
        <w:t xml:space="preserve">, which operates </w:t>
      </w:r>
      <w:r w:rsidR="006F6FA5">
        <w:rPr>
          <w:rFonts w:ascii="Arial" w:hAnsi="Arial" w:cs="Arial"/>
          <w:sz w:val="22"/>
          <w:szCs w:val="22"/>
        </w:rPr>
        <w:t>‘</w:t>
      </w:r>
      <w:r w:rsidR="001849B1">
        <w:rPr>
          <w:rFonts w:ascii="Arial" w:hAnsi="Arial" w:cs="Arial"/>
          <w:sz w:val="22"/>
          <w:szCs w:val="22"/>
        </w:rPr>
        <w:t>in the shadow of the law</w:t>
      </w:r>
      <w:r w:rsidR="006F6FA5">
        <w:rPr>
          <w:rFonts w:ascii="Arial" w:hAnsi="Arial" w:cs="Arial"/>
          <w:sz w:val="22"/>
          <w:szCs w:val="22"/>
        </w:rPr>
        <w:t>’</w:t>
      </w:r>
      <w:r w:rsidR="001849B1">
        <w:rPr>
          <w:rFonts w:ascii="Arial" w:hAnsi="Arial" w:cs="Arial"/>
          <w:sz w:val="22"/>
          <w:szCs w:val="22"/>
        </w:rPr>
        <w:t xml:space="preserve"> of formal liquidation</w:t>
      </w:r>
      <w:r w:rsidR="002A76BD">
        <w:rPr>
          <w:rFonts w:ascii="Arial" w:hAnsi="Arial" w:cs="Arial"/>
          <w:sz w:val="22"/>
          <w:szCs w:val="22"/>
        </w:rPr>
        <w:t xml:space="preserve"> (Adriaanse &amp; Kujil 2006)</w:t>
      </w:r>
      <w:r w:rsidR="001849B1">
        <w:rPr>
          <w:rFonts w:ascii="Arial" w:hAnsi="Arial" w:cs="Arial"/>
          <w:sz w:val="22"/>
          <w:szCs w:val="22"/>
        </w:rPr>
        <w:t xml:space="preserve">. In its strict sense, ‘informal’ </w:t>
      </w:r>
      <w:r w:rsidR="002006C1">
        <w:rPr>
          <w:rFonts w:ascii="Arial" w:hAnsi="Arial" w:cs="Arial"/>
          <w:sz w:val="22"/>
          <w:szCs w:val="22"/>
        </w:rPr>
        <w:t>restructuring</w:t>
      </w:r>
      <w:r w:rsidR="00BA178C">
        <w:rPr>
          <w:rFonts w:ascii="Arial" w:hAnsi="Arial" w:cs="Arial"/>
          <w:sz w:val="22"/>
          <w:szCs w:val="22"/>
        </w:rPr>
        <w:t xml:space="preserve"> contemplates a mutual and voluntary agreement between affected stakeholders to adjust or re-form their contractual rights, </w:t>
      </w:r>
      <w:r>
        <w:rPr>
          <w:rFonts w:ascii="Arial" w:hAnsi="Arial" w:cs="Arial"/>
          <w:sz w:val="22"/>
          <w:szCs w:val="22"/>
        </w:rPr>
        <w:t>using a consensual process such as that</w:t>
      </w:r>
      <w:r w:rsidR="006F6FA5">
        <w:rPr>
          <w:rFonts w:ascii="Arial" w:hAnsi="Arial" w:cs="Arial"/>
          <w:sz w:val="22"/>
          <w:szCs w:val="22"/>
        </w:rPr>
        <w:t xml:space="preserve"> contemplated by</w:t>
      </w:r>
      <w:r w:rsidR="00BA178C">
        <w:rPr>
          <w:rFonts w:ascii="Arial" w:hAnsi="Arial" w:cs="Arial"/>
          <w:sz w:val="22"/>
          <w:szCs w:val="22"/>
        </w:rPr>
        <w:t xml:space="preserve"> </w:t>
      </w:r>
      <w:r>
        <w:rPr>
          <w:rFonts w:ascii="Arial" w:hAnsi="Arial" w:cs="Arial"/>
          <w:sz w:val="22"/>
          <w:szCs w:val="22"/>
        </w:rPr>
        <w:t>the INSOL principles</w:t>
      </w:r>
      <w:r w:rsidR="00844218">
        <w:rPr>
          <w:rFonts w:ascii="Arial" w:hAnsi="Arial" w:cs="Arial"/>
          <w:sz w:val="22"/>
          <w:szCs w:val="22"/>
        </w:rPr>
        <w:t>,</w:t>
      </w:r>
      <w:r w:rsidR="00B65D52">
        <w:rPr>
          <w:rStyle w:val="FootnoteReference"/>
          <w:rFonts w:ascii="Arial" w:hAnsi="Arial" w:cs="Arial"/>
          <w:sz w:val="22"/>
          <w:szCs w:val="22"/>
        </w:rPr>
        <w:footnoteReference w:id="5"/>
      </w:r>
      <w:r>
        <w:rPr>
          <w:rFonts w:ascii="Arial" w:hAnsi="Arial" w:cs="Arial"/>
          <w:sz w:val="22"/>
          <w:szCs w:val="22"/>
        </w:rPr>
        <w:t xml:space="preserve"> or some other </w:t>
      </w:r>
      <w:r w:rsidR="00BA178C">
        <w:rPr>
          <w:rFonts w:ascii="Arial" w:hAnsi="Arial" w:cs="Arial"/>
          <w:sz w:val="22"/>
          <w:szCs w:val="22"/>
        </w:rPr>
        <w:t xml:space="preserve">‘soft law’ </w:t>
      </w:r>
      <w:r>
        <w:rPr>
          <w:rFonts w:ascii="Arial" w:hAnsi="Arial" w:cs="Arial"/>
          <w:sz w:val="22"/>
          <w:szCs w:val="22"/>
        </w:rPr>
        <w:t>instrument</w:t>
      </w:r>
      <w:r w:rsidR="0052484C">
        <w:rPr>
          <w:rFonts w:ascii="Arial" w:hAnsi="Arial" w:cs="Arial"/>
          <w:sz w:val="22"/>
          <w:szCs w:val="22"/>
        </w:rPr>
        <w:t xml:space="preserve"> (Wessels &amp; Boon </w:t>
      </w:r>
      <w:r w:rsidR="00B65D52">
        <w:rPr>
          <w:rFonts w:ascii="Arial" w:hAnsi="Arial" w:cs="Arial"/>
          <w:sz w:val="22"/>
          <w:szCs w:val="22"/>
        </w:rPr>
        <w:t>2019)</w:t>
      </w:r>
      <w:r w:rsidR="00DE54C8">
        <w:rPr>
          <w:rFonts w:ascii="Arial" w:hAnsi="Arial" w:cs="Arial"/>
          <w:sz w:val="22"/>
          <w:szCs w:val="22"/>
        </w:rPr>
        <w:t>.</w:t>
      </w:r>
    </w:p>
    <w:p w14:paraId="1C6E7FCD" w14:textId="3184C7F6" w:rsidR="00766624" w:rsidRDefault="00A96EE8" w:rsidP="00763BD9">
      <w:pPr>
        <w:spacing w:before="120" w:after="120" w:line="360" w:lineRule="auto"/>
        <w:jc w:val="both"/>
        <w:rPr>
          <w:rFonts w:ascii="Arial" w:hAnsi="Arial" w:cs="Arial"/>
          <w:sz w:val="22"/>
          <w:szCs w:val="22"/>
        </w:rPr>
      </w:pPr>
      <w:r>
        <w:rPr>
          <w:rFonts w:ascii="Arial" w:hAnsi="Arial" w:cs="Arial"/>
          <w:sz w:val="22"/>
          <w:szCs w:val="22"/>
        </w:rPr>
        <w:t>The</w:t>
      </w:r>
      <w:r w:rsidR="006C0213">
        <w:rPr>
          <w:rFonts w:ascii="Arial" w:hAnsi="Arial" w:cs="Arial"/>
          <w:sz w:val="22"/>
          <w:szCs w:val="22"/>
        </w:rPr>
        <w:t xml:space="preserve"> restructuring challenge arises more distinctly </w:t>
      </w:r>
      <w:r>
        <w:rPr>
          <w:rFonts w:ascii="Arial" w:hAnsi="Arial" w:cs="Arial"/>
          <w:sz w:val="22"/>
          <w:szCs w:val="22"/>
        </w:rPr>
        <w:t>if</w:t>
      </w:r>
      <w:r w:rsidR="006C0213">
        <w:rPr>
          <w:rFonts w:ascii="Arial" w:hAnsi="Arial" w:cs="Arial"/>
          <w:sz w:val="22"/>
          <w:szCs w:val="22"/>
        </w:rPr>
        <w:t xml:space="preserve"> one or more affected stakeholders will not agree to a variation or re</w:t>
      </w:r>
      <w:r w:rsidR="006F6FA5">
        <w:rPr>
          <w:rFonts w:ascii="Arial" w:hAnsi="Arial" w:cs="Arial"/>
          <w:sz w:val="22"/>
          <w:szCs w:val="22"/>
        </w:rPr>
        <w:t>-</w:t>
      </w:r>
      <w:r w:rsidR="006C0213">
        <w:rPr>
          <w:rFonts w:ascii="Arial" w:hAnsi="Arial" w:cs="Arial"/>
          <w:sz w:val="22"/>
          <w:szCs w:val="22"/>
        </w:rPr>
        <w:t xml:space="preserve">formation of </w:t>
      </w:r>
      <w:r w:rsidR="006F6FA5">
        <w:rPr>
          <w:rFonts w:ascii="Arial" w:hAnsi="Arial" w:cs="Arial"/>
          <w:sz w:val="22"/>
          <w:szCs w:val="22"/>
        </w:rPr>
        <w:t>their</w:t>
      </w:r>
      <w:r w:rsidR="006C0213">
        <w:rPr>
          <w:rFonts w:ascii="Arial" w:hAnsi="Arial" w:cs="Arial"/>
          <w:sz w:val="22"/>
          <w:szCs w:val="22"/>
        </w:rPr>
        <w:t xml:space="preserve"> contractual </w:t>
      </w:r>
      <w:r w:rsidR="00744A8E">
        <w:rPr>
          <w:rFonts w:ascii="Arial" w:hAnsi="Arial" w:cs="Arial"/>
          <w:sz w:val="22"/>
          <w:szCs w:val="22"/>
        </w:rPr>
        <w:t xml:space="preserve">or other </w:t>
      </w:r>
      <w:r w:rsidR="006C0213">
        <w:rPr>
          <w:rFonts w:ascii="Arial" w:hAnsi="Arial" w:cs="Arial"/>
          <w:sz w:val="22"/>
          <w:szCs w:val="22"/>
        </w:rPr>
        <w:t>rights</w:t>
      </w:r>
      <w:r w:rsidR="00844218">
        <w:rPr>
          <w:rFonts w:ascii="Arial" w:hAnsi="Arial" w:cs="Arial"/>
          <w:sz w:val="22"/>
          <w:szCs w:val="22"/>
        </w:rPr>
        <w:t>.</w:t>
      </w:r>
      <w:r w:rsidR="00744A8E">
        <w:rPr>
          <w:rStyle w:val="FootnoteReference"/>
          <w:rFonts w:ascii="Arial" w:hAnsi="Arial" w:cs="Arial"/>
          <w:sz w:val="22"/>
          <w:szCs w:val="22"/>
        </w:rPr>
        <w:footnoteReference w:id="6"/>
      </w:r>
      <w:r w:rsidR="006C0213">
        <w:rPr>
          <w:rFonts w:ascii="Arial" w:hAnsi="Arial" w:cs="Arial"/>
          <w:sz w:val="22"/>
          <w:szCs w:val="22"/>
        </w:rPr>
        <w:t xml:space="preserve"> </w:t>
      </w:r>
      <w:r w:rsidR="00844218">
        <w:rPr>
          <w:rFonts w:ascii="Arial" w:hAnsi="Arial" w:cs="Arial"/>
          <w:sz w:val="22"/>
          <w:szCs w:val="22"/>
        </w:rPr>
        <w:t xml:space="preserve">This </w:t>
      </w:r>
      <w:r w:rsidR="002006C1">
        <w:rPr>
          <w:rFonts w:ascii="Arial" w:hAnsi="Arial" w:cs="Arial"/>
          <w:sz w:val="22"/>
          <w:szCs w:val="22"/>
        </w:rPr>
        <w:t>challenge arises</w:t>
      </w:r>
      <w:r w:rsidR="002006C1">
        <w:rPr>
          <w:rFonts w:ascii="Arial" w:hAnsi="Arial" w:cs="Arial"/>
          <w:sz w:val="22"/>
          <w:szCs w:val="22"/>
        </w:rPr>
        <w:t xml:space="preserve"> </w:t>
      </w:r>
      <w:r w:rsidR="006C0213">
        <w:rPr>
          <w:rFonts w:ascii="Arial" w:hAnsi="Arial" w:cs="Arial"/>
          <w:sz w:val="22"/>
          <w:szCs w:val="22"/>
        </w:rPr>
        <w:t xml:space="preserve">because most legal systems </w:t>
      </w:r>
      <w:r w:rsidR="00844218">
        <w:rPr>
          <w:rFonts w:ascii="Arial" w:hAnsi="Arial" w:cs="Arial"/>
          <w:sz w:val="22"/>
          <w:szCs w:val="22"/>
        </w:rPr>
        <w:t xml:space="preserve">assume </w:t>
      </w:r>
      <w:r w:rsidR="006C0213">
        <w:rPr>
          <w:rFonts w:ascii="Arial" w:hAnsi="Arial" w:cs="Arial"/>
          <w:sz w:val="22"/>
          <w:szCs w:val="22"/>
        </w:rPr>
        <w:t>that the decision to enter into a contract, or vary a contract, is a voluntary decision</w:t>
      </w:r>
      <w:r w:rsidR="0073355D">
        <w:rPr>
          <w:rFonts w:ascii="Arial" w:hAnsi="Arial" w:cs="Arial"/>
          <w:sz w:val="22"/>
          <w:szCs w:val="22"/>
        </w:rPr>
        <w:t xml:space="preserve"> based on the free </w:t>
      </w:r>
      <w:r w:rsidR="00844218">
        <w:rPr>
          <w:rFonts w:ascii="Arial" w:hAnsi="Arial" w:cs="Arial"/>
          <w:sz w:val="22"/>
          <w:szCs w:val="22"/>
        </w:rPr>
        <w:t xml:space="preserve">and autonomous </w:t>
      </w:r>
      <w:r w:rsidR="0073355D">
        <w:rPr>
          <w:rFonts w:ascii="Arial" w:hAnsi="Arial" w:cs="Arial"/>
          <w:sz w:val="22"/>
          <w:szCs w:val="22"/>
        </w:rPr>
        <w:t>will of the contracting party</w:t>
      </w:r>
      <w:r w:rsidR="00223E9C">
        <w:rPr>
          <w:rFonts w:ascii="Arial" w:hAnsi="Arial" w:cs="Arial"/>
          <w:sz w:val="22"/>
          <w:szCs w:val="22"/>
        </w:rPr>
        <w:t xml:space="preserve"> (Chrenkoff 1996).</w:t>
      </w:r>
      <w:r w:rsidR="0073355D">
        <w:rPr>
          <w:rFonts w:ascii="Arial" w:hAnsi="Arial" w:cs="Arial"/>
          <w:sz w:val="22"/>
          <w:szCs w:val="22"/>
        </w:rPr>
        <w:t xml:space="preserve"> </w:t>
      </w:r>
    </w:p>
    <w:p w14:paraId="2AC0B596" w14:textId="4DF7E4D6" w:rsidR="00164F8D" w:rsidRDefault="00744A8E" w:rsidP="00763BD9">
      <w:pPr>
        <w:spacing w:before="120" w:after="120" w:line="360" w:lineRule="auto"/>
        <w:jc w:val="both"/>
        <w:rPr>
          <w:rFonts w:ascii="Arial" w:hAnsi="Arial" w:cs="Arial"/>
          <w:sz w:val="22"/>
          <w:szCs w:val="22"/>
        </w:rPr>
      </w:pPr>
      <w:r>
        <w:rPr>
          <w:rFonts w:ascii="Arial" w:hAnsi="Arial" w:cs="Arial"/>
          <w:sz w:val="22"/>
          <w:szCs w:val="22"/>
        </w:rPr>
        <w:t>Thus, the</w:t>
      </w:r>
      <w:r w:rsidR="00164F8D">
        <w:rPr>
          <w:rFonts w:ascii="Arial" w:hAnsi="Arial" w:cs="Arial"/>
          <w:sz w:val="22"/>
          <w:szCs w:val="22"/>
        </w:rPr>
        <w:t xml:space="preserve"> </w:t>
      </w:r>
      <w:r w:rsidR="007E1295">
        <w:rPr>
          <w:rFonts w:ascii="Arial" w:hAnsi="Arial" w:cs="Arial"/>
          <w:sz w:val="22"/>
          <w:szCs w:val="22"/>
        </w:rPr>
        <w:t>function</w:t>
      </w:r>
      <w:r w:rsidR="00164F8D">
        <w:rPr>
          <w:rFonts w:ascii="Arial" w:hAnsi="Arial" w:cs="Arial"/>
          <w:sz w:val="22"/>
          <w:szCs w:val="22"/>
        </w:rPr>
        <w:t xml:space="preserve"> of </w:t>
      </w:r>
      <w:r w:rsidR="002436E6">
        <w:rPr>
          <w:rFonts w:ascii="Arial" w:hAnsi="Arial" w:cs="Arial"/>
          <w:sz w:val="22"/>
          <w:szCs w:val="22"/>
        </w:rPr>
        <w:t>restructuring legislation</w:t>
      </w:r>
      <w:r w:rsidR="00164F8D">
        <w:rPr>
          <w:rFonts w:ascii="Arial" w:hAnsi="Arial" w:cs="Arial"/>
          <w:sz w:val="22"/>
          <w:szCs w:val="22"/>
        </w:rPr>
        <w:t xml:space="preserve"> </w:t>
      </w:r>
      <w:r w:rsidR="007E1295">
        <w:rPr>
          <w:rFonts w:ascii="Arial" w:hAnsi="Arial" w:cs="Arial"/>
          <w:sz w:val="22"/>
          <w:szCs w:val="22"/>
        </w:rPr>
        <w:t xml:space="preserve">is </w:t>
      </w:r>
      <w:r w:rsidR="00164F8D">
        <w:rPr>
          <w:rFonts w:ascii="Arial" w:hAnsi="Arial" w:cs="Arial"/>
          <w:sz w:val="22"/>
          <w:szCs w:val="22"/>
        </w:rPr>
        <w:t>to</w:t>
      </w:r>
      <w:r w:rsidR="002436E6">
        <w:rPr>
          <w:rFonts w:ascii="Arial" w:hAnsi="Arial" w:cs="Arial"/>
          <w:sz w:val="22"/>
          <w:szCs w:val="22"/>
        </w:rPr>
        <w:t xml:space="preserve"> impose a variation or re</w:t>
      </w:r>
      <w:r w:rsidR="00164F8D">
        <w:rPr>
          <w:rFonts w:ascii="Arial" w:hAnsi="Arial" w:cs="Arial"/>
          <w:sz w:val="22"/>
          <w:szCs w:val="22"/>
        </w:rPr>
        <w:t>-</w:t>
      </w:r>
      <w:r w:rsidR="002436E6">
        <w:rPr>
          <w:rFonts w:ascii="Arial" w:hAnsi="Arial" w:cs="Arial"/>
          <w:sz w:val="22"/>
          <w:szCs w:val="22"/>
        </w:rPr>
        <w:t>formation of the contractual rights upon dissenting stakeholders</w:t>
      </w:r>
      <w:r w:rsidR="00F7365C">
        <w:rPr>
          <w:rFonts w:ascii="Arial" w:hAnsi="Arial" w:cs="Arial"/>
          <w:sz w:val="22"/>
          <w:szCs w:val="22"/>
        </w:rPr>
        <w:t xml:space="preserve">, </w:t>
      </w:r>
      <w:r w:rsidR="00442B84">
        <w:rPr>
          <w:rFonts w:ascii="Arial" w:hAnsi="Arial" w:cs="Arial"/>
          <w:sz w:val="22"/>
          <w:szCs w:val="22"/>
        </w:rPr>
        <w:t>within</w:t>
      </w:r>
      <w:r w:rsidR="00F7365C">
        <w:rPr>
          <w:rFonts w:ascii="Arial" w:hAnsi="Arial" w:cs="Arial"/>
          <w:sz w:val="22"/>
          <w:szCs w:val="22"/>
        </w:rPr>
        <w:t xml:space="preserve"> a collective procedure that transforms multiple individual rights and relationships</w:t>
      </w:r>
      <w:r w:rsidR="00164F8D">
        <w:rPr>
          <w:rFonts w:ascii="Arial" w:hAnsi="Arial" w:cs="Arial"/>
          <w:sz w:val="22"/>
          <w:szCs w:val="22"/>
        </w:rPr>
        <w:t>.</w:t>
      </w:r>
      <w:r w:rsidR="00F7365C">
        <w:rPr>
          <w:rStyle w:val="FootnoteReference"/>
          <w:rFonts w:ascii="Arial" w:hAnsi="Arial" w:cs="Arial"/>
          <w:sz w:val="22"/>
          <w:szCs w:val="22"/>
        </w:rPr>
        <w:footnoteReference w:id="7"/>
      </w:r>
      <w:r w:rsidR="00164F8D">
        <w:rPr>
          <w:rFonts w:ascii="Arial" w:hAnsi="Arial" w:cs="Arial"/>
          <w:sz w:val="22"/>
          <w:szCs w:val="22"/>
        </w:rPr>
        <w:t xml:space="preserve"> In the US and England this is done by way of a </w:t>
      </w:r>
      <w:r w:rsidR="00676288">
        <w:rPr>
          <w:rFonts w:ascii="Arial" w:hAnsi="Arial" w:cs="Arial"/>
          <w:sz w:val="22"/>
          <w:szCs w:val="22"/>
        </w:rPr>
        <w:t>‘</w:t>
      </w:r>
      <w:r w:rsidR="00164F8D">
        <w:rPr>
          <w:rFonts w:ascii="Arial" w:hAnsi="Arial" w:cs="Arial"/>
          <w:sz w:val="22"/>
          <w:szCs w:val="22"/>
        </w:rPr>
        <w:t>cram down</w:t>
      </w:r>
      <w:r w:rsidR="00676288">
        <w:rPr>
          <w:rFonts w:ascii="Arial" w:hAnsi="Arial" w:cs="Arial"/>
          <w:sz w:val="22"/>
          <w:szCs w:val="22"/>
        </w:rPr>
        <w:t>’</w:t>
      </w:r>
      <w:r w:rsidR="007E1295">
        <w:rPr>
          <w:rFonts w:ascii="Arial" w:hAnsi="Arial" w:cs="Arial"/>
          <w:sz w:val="22"/>
          <w:szCs w:val="22"/>
        </w:rPr>
        <w:t xml:space="preserve"> for</w:t>
      </w:r>
      <w:r w:rsidR="00164F8D">
        <w:rPr>
          <w:rFonts w:ascii="Arial" w:hAnsi="Arial" w:cs="Arial"/>
          <w:sz w:val="22"/>
          <w:szCs w:val="22"/>
        </w:rPr>
        <w:t xml:space="preserve"> individual creditors</w:t>
      </w:r>
      <w:r w:rsidR="007E1295">
        <w:rPr>
          <w:rFonts w:ascii="Arial" w:hAnsi="Arial" w:cs="Arial"/>
          <w:sz w:val="22"/>
          <w:szCs w:val="22"/>
        </w:rPr>
        <w:t>,</w:t>
      </w:r>
      <w:r w:rsidR="00676288">
        <w:rPr>
          <w:rFonts w:ascii="Arial" w:hAnsi="Arial" w:cs="Arial"/>
          <w:sz w:val="22"/>
          <w:szCs w:val="22"/>
        </w:rPr>
        <w:t xml:space="preserve"> </w:t>
      </w:r>
      <w:r w:rsidR="007E1295">
        <w:rPr>
          <w:rFonts w:ascii="Arial" w:hAnsi="Arial" w:cs="Arial"/>
          <w:sz w:val="22"/>
          <w:szCs w:val="22"/>
        </w:rPr>
        <w:t xml:space="preserve">or </w:t>
      </w:r>
      <w:r w:rsidR="00676288">
        <w:rPr>
          <w:rFonts w:ascii="Arial" w:hAnsi="Arial" w:cs="Arial"/>
          <w:sz w:val="22"/>
          <w:szCs w:val="22"/>
        </w:rPr>
        <w:t>‘</w:t>
      </w:r>
      <w:r w:rsidR="007E1295">
        <w:rPr>
          <w:rFonts w:ascii="Arial" w:hAnsi="Arial" w:cs="Arial"/>
          <w:sz w:val="22"/>
          <w:szCs w:val="22"/>
        </w:rPr>
        <w:t>cross-class cram down</w:t>
      </w:r>
      <w:r w:rsidR="00676288">
        <w:rPr>
          <w:rFonts w:ascii="Arial" w:hAnsi="Arial" w:cs="Arial"/>
          <w:sz w:val="22"/>
          <w:szCs w:val="22"/>
        </w:rPr>
        <w:t>’</w:t>
      </w:r>
      <w:r w:rsidR="007E1295">
        <w:rPr>
          <w:rFonts w:ascii="Arial" w:hAnsi="Arial" w:cs="Arial"/>
          <w:sz w:val="22"/>
          <w:szCs w:val="22"/>
        </w:rPr>
        <w:t xml:space="preserve"> for</w:t>
      </w:r>
      <w:r w:rsidR="00164F8D">
        <w:rPr>
          <w:rFonts w:ascii="Arial" w:hAnsi="Arial" w:cs="Arial"/>
          <w:sz w:val="22"/>
          <w:szCs w:val="22"/>
        </w:rPr>
        <w:t xml:space="preserve"> dissenting classes</w:t>
      </w:r>
      <w:r w:rsidR="007E1295">
        <w:rPr>
          <w:rFonts w:ascii="Arial" w:hAnsi="Arial" w:cs="Arial"/>
          <w:sz w:val="22"/>
          <w:szCs w:val="22"/>
        </w:rPr>
        <w:t>,</w:t>
      </w:r>
      <w:r w:rsidR="00676288">
        <w:rPr>
          <w:rStyle w:val="FootnoteReference"/>
          <w:rFonts w:ascii="Arial" w:hAnsi="Arial" w:cs="Arial"/>
          <w:sz w:val="22"/>
          <w:szCs w:val="22"/>
        </w:rPr>
        <w:footnoteReference w:id="8"/>
      </w:r>
      <w:r w:rsidR="007E1295">
        <w:rPr>
          <w:rFonts w:ascii="Arial" w:hAnsi="Arial" w:cs="Arial"/>
          <w:sz w:val="22"/>
          <w:szCs w:val="22"/>
        </w:rPr>
        <w:t xml:space="preserve"> </w:t>
      </w:r>
      <w:r>
        <w:rPr>
          <w:rFonts w:ascii="Arial" w:hAnsi="Arial" w:cs="Arial"/>
          <w:sz w:val="22"/>
          <w:szCs w:val="22"/>
        </w:rPr>
        <w:t>which</w:t>
      </w:r>
      <w:r w:rsidR="007E1295">
        <w:rPr>
          <w:rFonts w:ascii="Arial" w:hAnsi="Arial" w:cs="Arial"/>
          <w:sz w:val="22"/>
          <w:szCs w:val="22"/>
        </w:rPr>
        <w:t xml:space="preserve"> forces them to relinquish or vary their pre-existing rights</w:t>
      </w:r>
      <w:r w:rsidR="00DE54C8">
        <w:rPr>
          <w:rFonts w:ascii="Arial" w:hAnsi="Arial" w:cs="Arial"/>
          <w:sz w:val="22"/>
          <w:szCs w:val="22"/>
        </w:rPr>
        <w:t>,</w:t>
      </w:r>
      <w:r w:rsidR="007E1295">
        <w:rPr>
          <w:rFonts w:ascii="Arial" w:hAnsi="Arial" w:cs="Arial"/>
          <w:sz w:val="22"/>
          <w:szCs w:val="22"/>
        </w:rPr>
        <w:t xml:space="preserve"> upon approval by the court of the </w:t>
      </w:r>
      <w:r w:rsidR="002006C1">
        <w:rPr>
          <w:rFonts w:ascii="Arial" w:hAnsi="Arial" w:cs="Arial"/>
          <w:sz w:val="22"/>
          <w:szCs w:val="22"/>
        </w:rPr>
        <w:t>restructuring</w:t>
      </w:r>
      <w:r w:rsidR="007E1295">
        <w:rPr>
          <w:rFonts w:ascii="Arial" w:hAnsi="Arial" w:cs="Arial"/>
          <w:sz w:val="22"/>
          <w:szCs w:val="22"/>
        </w:rPr>
        <w:t xml:space="preserve"> plan, scheme or arrangement (referred to generically in this Paper as the Plan).</w:t>
      </w:r>
    </w:p>
    <w:p w14:paraId="3BE32673" w14:textId="014B40EA" w:rsidR="002436E6" w:rsidRDefault="00744A8E" w:rsidP="00763BD9">
      <w:pPr>
        <w:spacing w:before="120" w:after="120" w:line="360" w:lineRule="auto"/>
        <w:jc w:val="both"/>
        <w:rPr>
          <w:rFonts w:ascii="Arial" w:hAnsi="Arial" w:cs="Arial"/>
          <w:sz w:val="22"/>
          <w:szCs w:val="22"/>
        </w:rPr>
      </w:pPr>
      <w:r>
        <w:rPr>
          <w:rFonts w:ascii="Arial" w:hAnsi="Arial" w:cs="Arial"/>
          <w:sz w:val="22"/>
          <w:szCs w:val="22"/>
        </w:rPr>
        <w:t>In this way, c</w:t>
      </w:r>
      <w:r w:rsidR="002436E6">
        <w:rPr>
          <w:rFonts w:ascii="Arial" w:hAnsi="Arial" w:cs="Arial"/>
          <w:sz w:val="22"/>
          <w:szCs w:val="22"/>
        </w:rPr>
        <w:t xml:space="preserve">ourt-assisted </w:t>
      </w:r>
      <w:r w:rsidR="002006C1">
        <w:rPr>
          <w:rFonts w:ascii="Arial" w:hAnsi="Arial" w:cs="Arial"/>
          <w:sz w:val="22"/>
          <w:szCs w:val="22"/>
        </w:rPr>
        <w:t>restructuring</w:t>
      </w:r>
      <w:r w:rsidR="002436E6">
        <w:rPr>
          <w:rFonts w:ascii="Arial" w:hAnsi="Arial" w:cs="Arial"/>
          <w:sz w:val="22"/>
          <w:szCs w:val="22"/>
        </w:rPr>
        <w:t xml:space="preserve">s have the potential to fill the gap </w:t>
      </w:r>
      <w:r>
        <w:rPr>
          <w:rFonts w:ascii="Arial" w:hAnsi="Arial" w:cs="Arial"/>
          <w:sz w:val="22"/>
          <w:szCs w:val="22"/>
        </w:rPr>
        <w:t>that</w:t>
      </w:r>
      <w:r w:rsidR="002436E6">
        <w:rPr>
          <w:rFonts w:ascii="Arial" w:hAnsi="Arial" w:cs="Arial"/>
          <w:sz w:val="22"/>
          <w:szCs w:val="22"/>
        </w:rPr>
        <w:t xml:space="preserve"> </w:t>
      </w:r>
      <w:r w:rsidR="00E12AE9">
        <w:rPr>
          <w:rFonts w:ascii="Arial" w:hAnsi="Arial" w:cs="Arial"/>
          <w:sz w:val="22"/>
          <w:szCs w:val="22"/>
        </w:rPr>
        <w:t>exists in a classical ‘informal</w:t>
      </w:r>
      <w:r w:rsidR="00DE54C8">
        <w:rPr>
          <w:rFonts w:ascii="Arial" w:hAnsi="Arial" w:cs="Arial"/>
          <w:sz w:val="22"/>
          <w:szCs w:val="22"/>
        </w:rPr>
        <w:t>’</w:t>
      </w:r>
      <w:r w:rsidR="00E12AE9">
        <w:rPr>
          <w:rFonts w:ascii="Arial" w:hAnsi="Arial" w:cs="Arial"/>
          <w:sz w:val="22"/>
          <w:szCs w:val="22"/>
        </w:rPr>
        <w:t xml:space="preserve"> </w:t>
      </w:r>
      <w:r w:rsidR="002006C1">
        <w:rPr>
          <w:rFonts w:ascii="Arial" w:hAnsi="Arial" w:cs="Arial"/>
          <w:sz w:val="22"/>
          <w:szCs w:val="22"/>
        </w:rPr>
        <w:t>restructuring</w:t>
      </w:r>
      <w:r w:rsidR="00CB04B8">
        <w:rPr>
          <w:rFonts w:ascii="Arial" w:hAnsi="Arial" w:cs="Arial"/>
          <w:sz w:val="22"/>
          <w:szCs w:val="22"/>
        </w:rPr>
        <w:t xml:space="preserve">. </w:t>
      </w:r>
      <w:r w:rsidR="00DE54C8">
        <w:rPr>
          <w:rFonts w:ascii="Arial" w:hAnsi="Arial" w:cs="Arial"/>
          <w:sz w:val="22"/>
          <w:szCs w:val="22"/>
        </w:rPr>
        <w:t>The courts</w:t>
      </w:r>
      <w:r w:rsidR="00DE54C8">
        <w:rPr>
          <w:rFonts w:ascii="Arial" w:hAnsi="Arial" w:cs="Arial"/>
          <w:sz w:val="22"/>
          <w:szCs w:val="22"/>
        </w:rPr>
        <w:t xml:space="preserve"> </w:t>
      </w:r>
      <w:r w:rsidR="00CB04B8">
        <w:rPr>
          <w:rFonts w:ascii="Arial" w:hAnsi="Arial" w:cs="Arial"/>
          <w:sz w:val="22"/>
          <w:szCs w:val="22"/>
        </w:rPr>
        <w:t>do this</w:t>
      </w:r>
      <w:r w:rsidR="00E12AE9">
        <w:rPr>
          <w:rFonts w:ascii="Arial" w:hAnsi="Arial" w:cs="Arial"/>
          <w:sz w:val="22"/>
          <w:szCs w:val="22"/>
        </w:rPr>
        <w:t xml:space="preserve"> by seeking to overcome the lack of consent </w:t>
      </w:r>
      <w:r>
        <w:rPr>
          <w:rFonts w:ascii="Arial" w:hAnsi="Arial" w:cs="Arial"/>
          <w:sz w:val="22"/>
          <w:szCs w:val="22"/>
        </w:rPr>
        <w:t xml:space="preserve">to </w:t>
      </w:r>
      <w:r w:rsidR="00CB04B8">
        <w:rPr>
          <w:rFonts w:ascii="Arial" w:hAnsi="Arial" w:cs="Arial"/>
          <w:sz w:val="22"/>
          <w:szCs w:val="22"/>
        </w:rPr>
        <w:t xml:space="preserve">enable the Plan to be finalised and implemented by the company, </w:t>
      </w:r>
      <w:r w:rsidR="001C5D0E">
        <w:rPr>
          <w:rFonts w:ascii="Arial" w:hAnsi="Arial" w:cs="Arial"/>
          <w:sz w:val="22"/>
          <w:szCs w:val="22"/>
        </w:rPr>
        <w:t xml:space="preserve">in order </w:t>
      </w:r>
      <w:r w:rsidR="00CB04B8">
        <w:rPr>
          <w:rFonts w:ascii="Arial" w:hAnsi="Arial" w:cs="Arial"/>
          <w:sz w:val="22"/>
          <w:szCs w:val="22"/>
        </w:rPr>
        <w:t xml:space="preserve">to save its valuable business. </w:t>
      </w:r>
      <w:r w:rsidR="00E12AE9">
        <w:rPr>
          <w:rFonts w:ascii="Arial" w:hAnsi="Arial" w:cs="Arial"/>
          <w:sz w:val="22"/>
          <w:szCs w:val="22"/>
        </w:rPr>
        <w:t xml:space="preserve">It is the </w:t>
      </w:r>
      <w:r w:rsidR="002006C1">
        <w:rPr>
          <w:rFonts w:ascii="Arial" w:hAnsi="Arial" w:cs="Arial"/>
          <w:sz w:val="22"/>
          <w:szCs w:val="22"/>
        </w:rPr>
        <w:t xml:space="preserve">availability and </w:t>
      </w:r>
      <w:r w:rsidR="00E12AE9">
        <w:rPr>
          <w:rFonts w:ascii="Arial" w:hAnsi="Arial" w:cs="Arial"/>
          <w:sz w:val="22"/>
          <w:szCs w:val="22"/>
        </w:rPr>
        <w:t xml:space="preserve">effectiveness of </w:t>
      </w:r>
      <w:r w:rsidR="00BE75DF">
        <w:rPr>
          <w:rFonts w:ascii="Arial" w:hAnsi="Arial" w:cs="Arial"/>
          <w:sz w:val="22"/>
          <w:szCs w:val="22"/>
        </w:rPr>
        <w:t xml:space="preserve">these court-assisted </w:t>
      </w:r>
      <w:r w:rsidR="002006C1">
        <w:rPr>
          <w:rFonts w:ascii="Arial" w:hAnsi="Arial" w:cs="Arial"/>
          <w:sz w:val="22"/>
          <w:szCs w:val="22"/>
        </w:rPr>
        <w:t>restructuring</w:t>
      </w:r>
      <w:r w:rsidR="00BE75DF">
        <w:rPr>
          <w:rFonts w:ascii="Arial" w:hAnsi="Arial" w:cs="Arial"/>
          <w:sz w:val="22"/>
          <w:szCs w:val="22"/>
        </w:rPr>
        <w:t>s</w:t>
      </w:r>
      <w:r w:rsidR="00E12AE9">
        <w:rPr>
          <w:rFonts w:ascii="Arial" w:hAnsi="Arial" w:cs="Arial"/>
          <w:sz w:val="22"/>
          <w:szCs w:val="22"/>
        </w:rPr>
        <w:t xml:space="preserve"> </w:t>
      </w:r>
      <w:r w:rsidR="002006C1">
        <w:rPr>
          <w:rFonts w:ascii="Arial" w:hAnsi="Arial" w:cs="Arial"/>
          <w:sz w:val="22"/>
          <w:szCs w:val="22"/>
        </w:rPr>
        <w:t xml:space="preserve">for foreign companies </w:t>
      </w:r>
      <w:r w:rsidR="00E12AE9">
        <w:rPr>
          <w:rFonts w:ascii="Arial" w:hAnsi="Arial" w:cs="Arial"/>
          <w:sz w:val="22"/>
          <w:szCs w:val="22"/>
        </w:rPr>
        <w:t>that is the subject of the following sections of this Paper.</w:t>
      </w:r>
    </w:p>
    <w:p w14:paraId="11548E56" w14:textId="77777777" w:rsidR="00E12AE9" w:rsidRPr="00E12AE9" w:rsidRDefault="00E12AE9" w:rsidP="00E12AE9">
      <w:pPr>
        <w:spacing w:before="120" w:after="120" w:line="360" w:lineRule="auto"/>
        <w:jc w:val="both"/>
        <w:rPr>
          <w:rFonts w:ascii="Arial" w:hAnsi="Arial" w:cs="Arial"/>
          <w:b/>
          <w:bCs/>
          <w:sz w:val="22"/>
          <w:szCs w:val="22"/>
        </w:rPr>
      </w:pPr>
      <w:r w:rsidRPr="00E12AE9">
        <w:rPr>
          <w:rFonts w:ascii="Arial" w:hAnsi="Arial" w:cs="Arial"/>
          <w:b/>
          <w:bCs/>
          <w:sz w:val="22"/>
          <w:szCs w:val="22"/>
        </w:rPr>
        <w:lastRenderedPageBreak/>
        <w:t>Section II – Jurisdiction to Restructure Global Businesses</w:t>
      </w:r>
    </w:p>
    <w:p w14:paraId="22569F09" w14:textId="65CFB03E" w:rsidR="00E12AE9" w:rsidRDefault="00BE75DF" w:rsidP="00763BD9">
      <w:pPr>
        <w:spacing w:before="120" w:after="120" w:line="360" w:lineRule="auto"/>
        <w:jc w:val="both"/>
        <w:rPr>
          <w:rFonts w:ascii="Arial" w:hAnsi="Arial" w:cs="Arial"/>
          <w:sz w:val="22"/>
          <w:szCs w:val="22"/>
        </w:rPr>
      </w:pPr>
      <w:r>
        <w:rPr>
          <w:rFonts w:ascii="Arial" w:hAnsi="Arial" w:cs="Arial"/>
          <w:sz w:val="22"/>
          <w:szCs w:val="22"/>
        </w:rPr>
        <w:t xml:space="preserve">The threshold issue in any court-assisted </w:t>
      </w:r>
      <w:r w:rsidR="002006C1">
        <w:rPr>
          <w:rFonts w:ascii="Arial" w:hAnsi="Arial" w:cs="Arial"/>
          <w:sz w:val="22"/>
          <w:szCs w:val="22"/>
        </w:rPr>
        <w:t>restructuring</w:t>
      </w:r>
      <w:r>
        <w:rPr>
          <w:rFonts w:ascii="Arial" w:hAnsi="Arial" w:cs="Arial"/>
          <w:sz w:val="22"/>
          <w:szCs w:val="22"/>
        </w:rPr>
        <w:t xml:space="preserve"> is that of jurisdiction. That is, </w:t>
      </w:r>
      <w:r w:rsidR="001C5D0E">
        <w:rPr>
          <w:rFonts w:ascii="Arial" w:hAnsi="Arial" w:cs="Arial"/>
          <w:sz w:val="22"/>
          <w:szCs w:val="22"/>
        </w:rPr>
        <w:t>whether</w:t>
      </w:r>
      <w:r>
        <w:rPr>
          <w:rFonts w:ascii="Arial" w:hAnsi="Arial" w:cs="Arial"/>
          <w:sz w:val="22"/>
          <w:szCs w:val="22"/>
        </w:rPr>
        <w:t xml:space="preserve"> the court </w:t>
      </w:r>
      <w:r w:rsidR="000F2251">
        <w:rPr>
          <w:rFonts w:ascii="Arial" w:hAnsi="Arial" w:cs="Arial"/>
          <w:sz w:val="22"/>
          <w:szCs w:val="22"/>
        </w:rPr>
        <w:t xml:space="preserve">(or tribunal) </w:t>
      </w:r>
      <w:r>
        <w:rPr>
          <w:rFonts w:ascii="Arial" w:hAnsi="Arial" w:cs="Arial"/>
          <w:sz w:val="22"/>
          <w:szCs w:val="22"/>
        </w:rPr>
        <w:t xml:space="preserve">in which the proceedings are filed </w:t>
      </w:r>
      <w:r w:rsidR="001C5D0E">
        <w:rPr>
          <w:rFonts w:ascii="Arial" w:hAnsi="Arial" w:cs="Arial"/>
          <w:sz w:val="22"/>
          <w:szCs w:val="22"/>
        </w:rPr>
        <w:t>has</w:t>
      </w:r>
      <w:r>
        <w:rPr>
          <w:rFonts w:ascii="Arial" w:hAnsi="Arial" w:cs="Arial"/>
          <w:sz w:val="22"/>
          <w:szCs w:val="22"/>
        </w:rPr>
        <w:t xml:space="preserve"> the power under the </w:t>
      </w:r>
      <w:r w:rsidRPr="00C1735A">
        <w:rPr>
          <w:rFonts w:ascii="Arial" w:hAnsi="Arial" w:cs="Arial"/>
          <w:i/>
          <w:iCs/>
          <w:sz w:val="22"/>
          <w:szCs w:val="22"/>
        </w:rPr>
        <w:t>lex concursus</w:t>
      </w:r>
      <w:r w:rsidR="00240077">
        <w:rPr>
          <w:rFonts w:ascii="Arial" w:hAnsi="Arial" w:cs="Arial"/>
          <w:sz w:val="22"/>
          <w:szCs w:val="22"/>
        </w:rPr>
        <w:t xml:space="preserve">, being the place of the filing, to hear and make </w:t>
      </w:r>
      <w:r w:rsidR="0089510E">
        <w:rPr>
          <w:rFonts w:ascii="Arial" w:hAnsi="Arial" w:cs="Arial"/>
          <w:sz w:val="22"/>
          <w:szCs w:val="22"/>
        </w:rPr>
        <w:t xml:space="preserve">the </w:t>
      </w:r>
      <w:r w:rsidR="00240077">
        <w:rPr>
          <w:rFonts w:ascii="Arial" w:hAnsi="Arial" w:cs="Arial"/>
          <w:sz w:val="22"/>
          <w:szCs w:val="22"/>
        </w:rPr>
        <w:t xml:space="preserve">orders </w:t>
      </w:r>
      <w:r w:rsidR="0089510E">
        <w:rPr>
          <w:rFonts w:ascii="Arial" w:hAnsi="Arial" w:cs="Arial"/>
          <w:sz w:val="22"/>
          <w:szCs w:val="22"/>
        </w:rPr>
        <w:t xml:space="preserve">sought </w:t>
      </w:r>
      <w:r w:rsidR="00240077">
        <w:rPr>
          <w:rFonts w:ascii="Arial" w:hAnsi="Arial" w:cs="Arial"/>
          <w:sz w:val="22"/>
          <w:szCs w:val="22"/>
        </w:rPr>
        <w:t>in the proceedings.</w:t>
      </w:r>
      <w:r w:rsidR="009103F7">
        <w:rPr>
          <w:rFonts w:ascii="Arial" w:hAnsi="Arial" w:cs="Arial"/>
          <w:sz w:val="22"/>
          <w:szCs w:val="22"/>
        </w:rPr>
        <w:t xml:space="preserve"> </w:t>
      </w:r>
      <w:r w:rsidR="00240077">
        <w:rPr>
          <w:rFonts w:ascii="Arial" w:hAnsi="Arial" w:cs="Arial"/>
          <w:sz w:val="22"/>
          <w:szCs w:val="22"/>
        </w:rPr>
        <w:t xml:space="preserve">Establishing jurisdiction does not mean the court will make the orders sought, it simply means that the court will enter into </w:t>
      </w:r>
      <w:r w:rsidR="006D40D3">
        <w:rPr>
          <w:rFonts w:ascii="Arial" w:hAnsi="Arial" w:cs="Arial"/>
          <w:sz w:val="22"/>
          <w:szCs w:val="22"/>
        </w:rPr>
        <w:t>a</w:t>
      </w:r>
      <w:r w:rsidR="006D40D3">
        <w:rPr>
          <w:rFonts w:ascii="Arial" w:hAnsi="Arial" w:cs="Arial"/>
          <w:sz w:val="22"/>
          <w:szCs w:val="22"/>
        </w:rPr>
        <w:t xml:space="preserve"> </w:t>
      </w:r>
      <w:r w:rsidR="00240077">
        <w:rPr>
          <w:rFonts w:ascii="Arial" w:hAnsi="Arial" w:cs="Arial"/>
          <w:sz w:val="22"/>
          <w:szCs w:val="22"/>
        </w:rPr>
        <w:t>substantive consideration of the application.</w:t>
      </w:r>
    </w:p>
    <w:p w14:paraId="7BBB073B" w14:textId="53DD5EA9" w:rsidR="00300703" w:rsidRDefault="00023892" w:rsidP="00763BD9">
      <w:pPr>
        <w:spacing w:before="120" w:after="120" w:line="360" w:lineRule="auto"/>
        <w:jc w:val="both"/>
        <w:rPr>
          <w:rFonts w:ascii="Arial" w:hAnsi="Arial" w:cs="Arial"/>
          <w:sz w:val="22"/>
          <w:szCs w:val="22"/>
        </w:rPr>
      </w:pPr>
      <w:r>
        <w:rPr>
          <w:rFonts w:ascii="Arial" w:hAnsi="Arial" w:cs="Arial"/>
          <w:sz w:val="22"/>
          <w:szCs w:val="22"/>
        </w:rPr>
        <w:t>Here, t</w:t>
      </w:r>
      <w:r w:rsidR="00FB0CAA">
        <w:rPr>
          <w:rFonts w:ascii="Arial" w:hAnsi="Arial" w:cs="Arial"/>
          <w:sz w:val="22"/>
          <w:szCs w:val="22"/>
        </w:rPr>
        <w:t xml:space="preserve">he jurisdiction question is whether a company can utilise court-assisted </w:t>
      </w:r>
      <w:r w:rsidR="002006C1">
        <w:rPr>
          <w:rFonts w:ascii="Arial" w:hAnsi="Arial" w:cs="Arial"/>
          <w:sz w:val="22"/>
          <w:szCs w:val="22"/>
        </w:rPr>
        <w:t>restructuring</w:t>
      </w:r>
      <w:r w:rsidR="00FB0CAA">
        <w:rPr>
          <w:rFonts w:ascii="Arial" w:hAnsi="Arial" w:cs="Arial"/>
          <w:sz w:val="22"/>
          <w:szCs w:val="22"/>
        </w:rPr>
        <w:t xml:space="preserve"> mechanisms in another jurisdiction, specifically the </w:t>
      </w:r>
      <w:r w:rsidR="001C5D0E">
        <w:rPr>
          <w:rFonts w:ascii="Arial" w:hAnsi="Arial" w:cs="Arial"/>
          <w:sz w:val="22"/>
          <w:szCs w:val="22"/>
        </w:rPr>
        <w:t>US</w:t>
      </w:r>
      <w:r w:rsidR="00FB0CAA">
        <w:rPr>
          <w:rFonts w:ascii="Arial" w:hAnsi="Arial" w:cs="Arial"/>
          <w:sz w:val="22"/>
          <w:szCs w:val="22"/>
        </w:rPr>
        <w:t xml:space="preserve"> and </w:t>
      </w:r>
      <w:r>
        <w:rPr>
          <w:rFonts w:ascii="Arial" w:hAnsi="Arial" w:cs="Arial"/>
          <w:sz w:val="22"/>
          <w:szCs w:val="22"/>
        </w:rPr>
        <w:t>England</w:t>
      </w:r>
      <w:r w:rsidR="00FB0CAA">
        <w:rPr>
          <w:rFonts w:ascii="Arial" w:hAnsi="Arial" w:cs="Arial"/>
          <w:sz w:val="22"/>
          <w:szCs w:val="22"/>
        </w:rPr>
        <w:t xml:space="preserve">. For this purpose, </w:t>
      </w:r>
      <w:r w:rsidR="001C5D0E">
        <w:rPr>
          <w:rFonts w:ascii="Arial" w:hAnsi="Arial" w:cs="Arial"/>
          <w:sz w:val="22"/>
          <w:szCs w:val="22"/>
        </w:rPr>
        <w:t>a</w:t>
      </w:r>
      <w:r w:rsidR="00FB0CAA">
        <w:rPr>
          <w:rFonts w:ascii="Arial" w:hAnsi="Arial" w:cs="Arial"/>
          <w:sz w:val="22"/>
          <w:szCs w:val="22"/>
        </w:rPr>
        <w:t xml:space="preserve"> foreign company </w:t>
      </w:r>
      <w:r w:rsidR="001C5D0E">
        <w:rPr>
          <w:rFonts w:ascii="Arial" w:hAnsi="Arial" w:cs="Arial"/>
          <w:sz w:val="22"/>
          <w:szCs w:val="22"/>
        </w:rPr>
        <w:t>is</w:t>
      </w:r>
      <w:r w:rsidR="00FB0CAA">
        <w:rPr>
          <w:rFonts w:ascii="Arial" w:hAnsi="Arial" w:cs="Arial"/>
          <w:sz w:val="22"/>
          <w:szCs w:val="22"/>
        </w:rPr>
        <w:t xml:space="preserve"> defined </w:t>
      </w:r>
      <w:r w:rsidR="006D40D3">
        <w:rPr>
          <w:rFonts w:ascii="Arial" w:hAnsi="Arial" w:cs="Arial"/>
          <w:sz w:val="22"/>
          <w:szCs w:val="22"/>
        </w:rPr>
        <w:t>to be</w:t>
      </w:r>
      <w:r w:rsidR="006D40D3">
        <w:rPr>
          <w:rFonts w:ascii="Arial" w:hAnsi="Arial" w:cs="Arial"/>
          <w:sz w:val="22"/>
          <w:szCs w:val="22"/>
        </w:rPr>
        <w:t xml:space="preserve"> </w:t>
      </w:r>
      <w:r w:rsidR="00FB0CAA">
        <w:rPr>
          <w:rFonts w:ascii="Arial" w:hAnsi="Arial" w:cs="Arial"/>
          <w:sz w:val="22"/>
          <w:szCs w:val="22"/>
        </w:rPr>
        <w:t xml:space="preserve">a company </w:t>
      </w:r>
      <w:r w:rsidR="001C5D0E">
        <w:rPr>
          <w:rFonts w:ascii="Arial" w:hAnsi="Arial" w:cs="Arial"/>
          <w:sz w:val="22"/>
          <w:szCs w:val="22"/>
        </w:rPr>
        <w:t>that</w:t>
      </w:r>
      <w:r w:rsidR="00FB0CAA">
        <w:rPr>
          <w:rFonts w:ascii="Arial" w:hAnsi="Arial" w:cs="Arial"/>
          <w:sz w:val="22"/>
          <w:szCs w:val="22"/>
        </w:rPr>
        <w:t xml:space="preserve"> would not ordinarily be subject to the jurisdiction </w:t>
      </w:r>
      <w:r w:rsidR="00B811E0">
        <w:rPr>
          <w:rFonts w:ascii="Arial" w:hAnsi="Arial" w:cs="Arial"/>
          <w:sz w:val="22"/>
          <w:szCs w:val="22"/>
        </w:rPr>
        <w:t xml:space="preserve">of the </w:t>
      </w:r>
      <w:r w:rsidR="001C5D0E">
        <w:rPr>
          <w:rFonts w:ascii="Arial" w:hAnsi="Arial" w:cs="Arial"/>
          <w:sz w:val="22"/>
          <w:szCs w:val="22"/>
        </w:rPr>
        <w:t>restructuring</w:t>
      </w:r>
      <w:r w:rsidR="00B811E0">
        <w:rPr>
          <w:rFonts w:ascii="Arial" w:hAnsi="Arial" w:cs="Arial"/>
          <w:sz w:val="22"/>
          <w:szCs w:val="22"/>
        </w:rPr>
        <w:t xml:space="preserve"> court, without entering into the debate about how one determines </w:t>
      </w:r>
      <w:r>
        <w:rPr>
          <w:rFonts w:ascii="Arial" w:hAnsi="Arial" w:cs="Arial"/>
          <w:sz w:val="22"/>
          <w:szCs w:val="22"/>
        </w:rPr>
        <w:t>ordinary jurisdiction over</w:t>
      </w:r>
      <w:r w:rsidR="00B811E0">
        <w:rPr>
          <w:rFonts w:ascii="Arial" w:hAnsi="Arial" w:cs="Arial"/>
          <w:sz w:val="22"/>
          <w:szCs w:val="22"/>
        </w:rPr>
        <w:t xml:space="preserve"> a company for private international law purposes, including for example by reference to its Centre of Main Interests</w:t>
      </w:r>
      <w:r w:rsidR="00754B0B">
        <w:rPr>
          <w:rFonts w:ascii="Arial" w:hAnsi="Arial" w:cs="Arial"/>
          <w:sz w:val="22"/>
          <w:szCs w:val="22"/>
        </w:rPr>
        <w:t xml:space="preserve"> (COMI)</w:t>
      </w:r>
      <w:r w:rsidR="006D40D3">
        <w:rPr>
          <w:rFonts w:ascii="Arial" w:hAnsi="Arial" w:cs="Arial"/>
          <w:sz w:val="22"/>
          <w:szCs w:val="22"/>
        </w:rPr>
        <w:t>,</w:t>
      </w:r>
      <w:r w:rsidR="003F74BA">
        <w:rPr>
          <w:rStyle w:val="FootnoteReference"/>
          <w:rFonts w:ascii="Arial" w:hAnsi="Arial" w:cs="Arial"/>
          <w:sz w:val="22"/>
          <w:szCs w:val="22"/>
        </w:rPr>
        <w:footnoteReference w:id="9"/>
      </w:r>
      <w:r>
        <w:rPr>
          <w:rFonts w:ascii="Arial" w:hAnsi="Arial" w:cs="Arial"/>
          <w:sz w:val="22"/>
          <w:szCs w:val="22"/>
        </w:rPr>
        <w:t xml:space="preserve"> or its place of incorporation</w:t>
      </w:r>
      <w:r w:rsidR="00B811E0">
        <w:rPr>
          <w:rFonts w:ascii="Arial" w:hAnsi="Arial" w:cs="Arial"/>
          <w:sz w:val="22"/>
          <w:szCs w:val="22"/>
        </w:rPr>
        <w:t>.</w:t>
      </w:r>
      <w:r w:rsidR="003F74BA">
        <w:rPr>
          <w:rStyle w:val="FootnoteReference"/>
          <w:rFonts w:ascii="Arial" w:hAnsi="Arial" w:cs="Arial"/>
          <w:sz w:val="22"/>
          <w:szCs w:val="22"/>
        </w:rPr>
        <w:footnoteReference w:id="10"/>
      </w:r>
      <w:r w:rsidR="00917AFC">
        <w:rPr>
          <w:rFonts w:ascii="Arial" w:hAnsi="Arial" w:cs="Arial"/>
          <w:sz w:val="22"/>
          <w:szCs w:val="22"/>
        </w:rPr>
        <w:t xml:space="preserve"> </w:t>
      </w:r>
    </w:p>
    <w:p w14:paraId="3EDEAADD" w14:textId="0682E32F" w:rsidR="005F4168" w:rsidRDefault="00023892" w:rsidP="00763BD9">
      <w:pPr>
        <w:spacing w:before="120" w:after="120" w:line="360" w:lineRule="auto"/>
        <w:jc w:val="both"/>
        <w:rPr>
          <w:rFonts w:ascii="Arial" w:hAnsi="Arial" w:cs="Arial"/>
          <w:sz w:val="22"/>
          <w:szCs w:val="22"/>
        </w:rPr>
      </w:pPr>
      <w:r>
        <w:rPr>
          <w:rFonts w:ascii="Arial" w:hAnsi="Arial" w:cs="Arial"/>
          <w:sz w:val="22"/>
          <w:szCs w:val="22"/>
        </w:rPr>
        <w:t xml:space="preserve">In the US, </w:t>
      </w:r>
      <w:r w:rsidR="00183B5D">
        <w:rPr>
          <w:rFonts w:ascii="Arial" w:hAnsi="Arial" w:cs="Arial"/>
          <w:sz w:val="22"/>
          <w:szCs w:val="22"/>
        </w:rPr>
        <w:t xml:space="preserve">Chapter 11 of the </w:t>
      </w:r>
      <w:r>
        <w:rPr>
          <w:rFonts w:ascii="Arial" w:hAnsi="Arial" w:cs="Arial"/>
          <w:sz w:val="22"/>
          <w:szCs w:val="22"/>
        </w:rPr>
        <w:t xml:space="preserve">US </w:t>
      </w:r>
      <w:r w:rsidR="00183B5D">
        <w:rPr>
          <w:rFonts w:ascii="Arial" w:hAnsi="Arial" w:cs="Arial"/>
          <w:sz w:val="22"/>
          <w:szCs w:val="22"/>
        </w:rPr>
        <w:t xml:space="preserve">Bankruptcy Code is concerned with the confirmation by the US Federal Court of a </w:t>
      </w:r>
      <w:r w:rsidR="002006C1">
        <w:rPr>
          <w:rFonts w:ascii="Arial" w:hAnsi="Arial" w:cs="Arial"/>
          <w:sz w:val="22"/>
          <w:szCs w:val="22"/>
        </w:rPr>
        <w:t>restructuring</w:t>
      </w:r>
      <w:r w:rsidR="00183B5D">
        <w:rPr>
          <w:rFonts w:ascii="Arial" w:hAnsi="Arial" w:cs="Arial"/>
          <w:sz w:val="22"/>
          <w:szCs w:val="22"/>
        </w:rPr>
        <w:t xml:space="preserve"> ‘Plan’. That Plan is one that will ordinarily be filed by the ‘debtor’, although it may also be filed by other interested parties, including creditors and equity-holders </w:t>
      </w:r>
      <w:r w:rsidR="007B1622">
        <w:rPr>
          <w:rFonts w:ascii="Arial" w:hAnsi="Arial" w:cs="Arial"/>
          <w:sz w:val="22"/>
          <w:szCs w:val="22"/>
        </w:rPr>
        <w:t xml:space="preserve">of the ‘debtor’ </w:t>
      </w:r>
      <w:r w:rsidR="00183B5D">
        <w:rPr>
          <w:rFonts w:ascii="Arial" w:hAnsi="Arial" w:cs="Arial"/>
          <w:sz w:val="22"/>
          <w:szCs w:val="22"/>
        </w:rPr>
        <w:t xml:space="preserve">(11 USC §1121). </w:t>
      </w:r>
      <w:r w:rsidR="005F4168">
        <w:rPr>
          <w:rFonts w:ascii="Arial" w:hAnsi="Arial" w:cs="Arial"/>
          <w:sz w:val="22"/>
          <w:szCs w:val="22"/>
        </w:rPr>
        <w:t xml:space="preserve">Jurisdiction therefore depends upon the definition of ‘debtor’ in §109, and specifically subsection (a), which provides that ‘only a person who resides or has a domicile, a place of business, or property in the United States, or a municipality, may be a debtor’ under the </w:t>
      </w:r>
      <w:r w:rsidR="008269B3">
        <w:rPr>
          <w:rFonts w:ascii="Arial" w:hAnsi="Arial" w:cs="Arial"/>
          <w:sz w:val="22"/>
          <w:szCs w:val="22"/>
        </w:rPr>
        <w:t xml:space="preserve">US </w:t>
      </w:r>
      <w:r w:rsidR="00A9015D">
        <w:rPr>
          <w:rFonts w:ascii="Arial" w:hAnsi="Arial" w:cs="Arial"/>
          <w:sz w:val="22"/>
          <w:szCs w:val="22"/>
        </w:rPr>
        <w:t xml:space="preserve">Bankruptcy </w:t>
      </w:r>
      <w:r w:rsidR="008269B3">
        <w:rPr>
          <w:rFonts w:ascii="Arial" w:hAnsi="Arial" w:cs="Arial"/>
          <w:sz w:val="22"/>
          <w:szCs w:val="22"/>
        </w:rPr>
        <w:t>Code</w:t>
      </w:r>
      <w:r w:rsidR="005F4168">
        <w:rPr>
          <w:rFonts w:ascii="Arial" w:hAnsi="Arial" w:cs="Arial"/>
          <w:sz w:val="22"/>
          <w:szCs w:val="22"/>
        </w:rPr>
        <w:t xml:space="preserve">. </w:t>
      </w:r>
    </w:p>
    <w:p w14:paraId="487D971F" w14:textId="609583A9" w:rsidR="008269B3" w:rsidRPr="00A2567E" w:rsidRDefault="008269B3" w:rsidP="00763BD9">
      <w:pPr>
        <w:spacing w:before="120" w:after="120" w:line="360" w:lineRule="auto"/>
        <w:jc w:val="both"/>
        <w:rPr>
          <w:rFonts w:ascii="Arial" w:hAnsi="Arial" w:cs="Arial"/>
          <w:sz w:val="22"/>
          <w:szCs w:val="22"/>
        </w:rPr>
      </w:pPr>
      <w:r>
        <w:rPr>
          <w:rFonts w:ascii="Arial" w:hAnsi="Arial" w:cs="Arial"/>
          <w:sz w:val="22"/>
          <w:szCs w:val="22"/>
        </w:rPr>
        <w:t xml:space="preserve">The US Courts have taken an expansive view of their jurisdiction under Chapter 11 by reference to the words ‘has…property in the United States’, in the definition of ‘debtor’. In </w:t>
      </w:r>
      <w:r w:rsidR="00A9015D">
        <w:rPr>
          <w:rFonts w:ascii="Arial" w:hAnsi="Arial" w:cs="Arial"/>
          <w:i/>
          <w:iCs/>
          <w:sz w:val="22"/>
          <w:szCs w:val="22"/>
        </w:rPr>
        <w:t>McTague</w:t>
      </w:r>
      <w:r>
        <w:rPr>
          <w:rFonts w:ascii="Arial" w:hAnsi="Arial" w:cs="Arial"/>
          <w:sz w:val="22"/>
          <w:szCs w:val="22"/>
        </w:rPr>
        <w:t xml:space="preserve">, </w:t>
      </w:r>
      <w:r w:rsidR="00E83102">
        <w:rPr>
          <w:rFonts w:ascii="Arial" w:hAnsi="Arial" w:cs="Arial"/>
          <w:sz w:val="22"/>
          <w:szCs w:val="22"/>
        </w:rPr>
        <w:t xml:space="preserve">the placing of </w:t>
      </w:r>
      <w:r w:rsidR="00AB3761">
        <w:rPr>
          <w:rFonts w:ascii="Arial" w:hAnsi="Arial" w:cs="Arial"/>
          <w:sz w:val="22"/>
          <w:szCs w:val="22"/>
        </w:rPr>
        <w:t>$194</w:t>
      </w:r>
      <w:r w:rsidR="00E83102">
        <w:rPr>
          <w:rFonts w:ascii="Arial" w:hAnsi="Arial" w:cs="Arial"/>
          <w:sz w:val="22"/>
          <w:szCs w:val="22"/>
        </w:rPr>
        <w:t xml:space="preserve"> in an attorney’s trust account</w:t>
      </w:r>
      <w:r w:rsidR="00754B0B">
        <w:rPr>
          <w:rFonts w:ascii="Arial" w:hAnsi="Arial" w:cs="Arial"/>
          <w:sz w:val="22"/>
          <w:szCs w:val="22"/>
        </w:rPr>
        <w:t>,</w:t>
      </w:r>
      <w:r w:rsidR="00E83102">
        <w:rPr>
          <w:rFonts w:ascii="Arial" w:hAnsi="Arial" w:cs="Arial"/>
          <w:sz w:val="22"/>
          <w:szCs w:val="22"/>
        </w:rPr>
        <w:t xml:space="preserve"> to pay the fees for </w:t>
      </w:r>
      <w:r w:rsidR="00754B0B">
        <w:rPr>
          <w:rFonts w:ascii="Arial" w:hAnsi="Arial" w:cs="Arial"/>
          <w:sz w:val="22"/>
          <w:szCs w:val="22"/>
        </w:rPr>
        <w:t xml:space="preserve">filing </w:t>
      </w:r>
      <w:r w:rsidR="00E83102">
        <w:rPr>
          <w:rFonts w:ascii="Arial" w:hAnsi="Arial" w:cs="Arial"/>
          <w:sz w:val="22"/>
          <w:szCs w:val="22"/>
        </w:rPr>
        <w:t>a petition</w:t>
      </w:r>
      <w:r w:rsidR="00754B0B">
        <w:rPr>
          <w:rFonts w:ascii="Arial" w:hAnsi="Arial" w:cs="Arial"/>
          <w:sz w:val="22"/>
          <w:szCs w:val="22"/>
        </w:rPr>
        <w:t>,</w:t>
      </w:r>
      <w:r w:rsidR="00E83102">
        <w:rPr>
          <w:rFonts w:ascii="Arial" w:hAnsi="Arial" w:cs="Arial"/>
          <w:sz w:val="22"/>
          <w:szCs w:val="22"/>
        </w:rPr>
        <w:t xml:space="preserve"> was held to be sufficient to ground the Court’s jurisdiction.</w:t>
      </w:r>
      <w:r w:rsidR="00AB3761">
        <w:rPr>
          <w:rStyle w:val="FootnoteReference"/>
          <w:rFonts w:ascii="Arial" w:hAnsi="Arial" w:cs="Arial"/>
          <w:sz w:val="22"/>
          <w:szCs w:val="22"/>
        </w:rPr>
        <w:footnoteReference w:id="11"/>
      </w:r>
      <w:r w:rsidR="00E83102">
        <w:rPr>
          <w:rFonts w:ascii="Arial" w:hAnsi="Arial" w:cs="Arial"/>
          <w:sz w:val="22"/>
          <w:szCs w:val="22"/>
        </w:rPr>
        <w:t xml:space="preserve"> On this approach, any company from any part of the world could validly file a Chapter 11 petition and invoke the jurisdiction of US Courts</w:t>
      </w:r>
      <w:r w:rsidR="00917AFC">
        <w:rPr>
          <w:rFonts w:ascii="Arial" w:hAnsi="Arial" w:cs="Arial"/>
          <w:sz w:val="22"/>
          <w:szCs w:val="22"/>
        </w:rPr>
        <w:t xml:space="preserve"> to effect a global </w:t>
      </w:r>
      <w:r w:rsidR="002006C1">
        <w:rPr>
          <w:rFonts w:ascii="Arial" w:hAnsi="Arial" w:cs="Arial"/>
          <w:sz w:val="22"/>
          <w:szCs w:val="22"/>
        </w:rPr>
        <w:t>restructuring</w:t>
      </w:r>
      <w:r w:rsidR="00E83102">
        <w:rPr>
          <w:rFonts w:ascii="Arial" w:hAnsi="Arial" w:cs="Arial"/>
          <w:sz w:val="22"/>
          <w:szCs w:val="22"/>
        </w:rPr>
        <w:t>.</w:t>
      </w:r>
      <w:r w:rsidR="00917AFC">
        <w:rPr>
          <w:rFonts w:ascii="Arial" w:hAnsi="Arial" w:cs="Arial"/>
          <w:sz w:val="22"/>
          <w:szCs w:val="22"/>
        </w:rPr>
        <w:t xml:space="preserve"> Such a view may be appropriately characterised as fulfilling a ‘universalist’ approach to </w:t>
      </w:r>
      <w:r w:rsidR="002006C1">
        <w:rPr>
          <w:rFonts w:ascii="Arial" w:hAnsi="Arial" w:cs="Arial"/>
          <w:sz w:val="22"/>
          <w:szCs w:val="22"/>
        </w:rPr>
        <w:t>restructuring</w:t>
      </w:r>
      <w:r w:rsidR="00917AFC">
        <w:rPr>
          <w:rFonts w:ascii="Arial" w:hAnsi="Arial" w:cs="Arial"/>
          <w:sz w:val="22"/>
          <w:szCs w:val="22"/>
        </w:rPr>
        <w:t>, without the necessity of being tethered to the debtor’s ‘home country’</w:t>
      </w:r>
      <w:r w:rsidR="00A2567E">
        <w:rPr>
          <w:rFonts w:ascii="Arial" w:hAnsi="Arial" w:cs="Arial"/>
          <w:sz w:val="22"/>
          <w:szCs w:val="22"/>
        </w:rPr>
        <w:t>.</w:t>
      </w:r>
      <w:r w:rsidR="00917AFC">
        <w:rPr>
          <w:rStyle w:val="FootnoteReference"/>
          <w:rFonts w:ascii="Arial" w:hAnsi="Arial" w:cs="Arial"/>
          <w:sz w:val="22"/>
          <w:szCs w:val="22"/>
        </w:rPr>
        <w:footnoteReference w:id="12"/>
      </w:r>
      <w:r w:rsidR="00A2567E">
        <w:rPr>
          <w:rFonts w:ascii="Arial" w:hAnsi="Arial" w:cs="Arial"/>
          <w:sz w:val="22"/>
          <w:szCs w:val="22"/>
        </w:rPr>
        <w:t xml:space="preserve"> </w:t>
      </w:r>
    </w:p>
    <w:p w14:paraId="33D0FC5A" w14:textId="4D73E748" w:rsidR="00CB5C9F" w:rsidRDefault="005777B3" w:rsidP="00763BD9">
      <w:pPr>
        <w:spacing w:before="120" w:after="120" w:line="360" w:lineRule="auto"/>
        <w:jc w:val="both"/>
        <w:rPr>
          <w:rFonts w:ascii="Arial" w:hAnsi="Arial" w:cs="Arial"/>
          <w:sz w:val="22"/>
          <w:szCs w:val="22"/>
        </w:rPr>
      </w:pPr>
      <w:r>
        <w:rPr>
          <w:rFonts w:ascii="Arial" w:hAnsi="Arial" w:cs="Arial"/>
          <w:sz w:val="22"/>
          <w:szCs w:val="22"/>
        </w:rPr>
        <w:t>A different route to jurisdiction, but one which is equally expansive</w:t>
      </w:r>
      <w:r w:rsidR="00CF54E5">
        <w:rPr>
          <w:rFonts w:ascii="Arial" w:hAnsi="Arial" w:cs="Arial"/>
          <w:sz w:val="22"/>
          <w:szCs w:val="22"/>
        </w:rPr>
        <w:t xml:space="preserve">, </w:t>
      </w:r>
      <w:r>
        <w:rPr>
          <w:rFonts w:ascii="Arial" w:hAnsi="Arial" w:cs="Arial"/>
          <w:sz w:val="22"/>
          <w:szCs w:val="22"/>
        </w:rPr>
        <w:t xml:space="preserve">prevails in restructuring proceedings in </w:t>
      </w:r>
      <w:r w:rsidR="007B1622">
        <w:rPr>
          <w:rFonts w:ascii="Arial" w:hAnsi="Arial" w:cs="Arial"/>
          <w:sz w:val="22"/>
          <w:szCs w:val="22"/>
        </w:rPr>
        <w:t>England</w:t>
      </w:r>
      <w:r>
        <w:rPr>
          <w:rFonts w:ascii="Arial" w:hAnsi="Arial" w:cs="Arial"/>
          <w:sz w:val="22"/>
          <w:szCs w:val="22"/>
        </w:rPr>
        <w:t xml:space="preserve">, in respect of Schemes of Arrangement under Part 26, or </w:t>
      </w:r>
      <w:r>
        <w:rPr>
          <w:rFonts w:ascii="Arial" w:hAnsi="Arial" w:cs="Arial"/>
          <w:sz w:val="22"/>
          <w:szCs w:val="22"/>
        </w:rPr>
        <w:lastRenderedPageBreak/>
        <w:t xml:space="preserve">Restructuring Plans under </w:t>
      </w:r>
      <w:r w:rsidR="007B1622">
        <w:rPr>
          <w:rFonts w:ascii="Arial" w:hAnsi="Arial" w:cs="Arial"/>
          <w:sz w:val="22"/>
          <w:szCs w:val="22"/>
        </w:rPr>
        <w:t>Part 26A,</w:t>
      </w:r>
      <w:r>
        <w:rPr>
          <w:rFonts w:ascii="Arial" w:hAnsi="Arial" w:cs="Arial"/>
          <w:sz w:val="22"/>
          <w:szCs w:val="22"/>
        </w:rPr>
        <w:t xml:space="preserve"> </w:t>
      </w:r>
      <w:r w:rsidR="007B1622">
        <w:rPr>
          <w:rFonts w:ascii="Arial" w:hAnsi="Arial" w:cs="Arial"/>
          <w:sz w:val="22"/>
          <w:szCs w:val="22"/>
        </w:rPr>
        <w:t xml:space="preserve">of the </w:t>
      </w:r>
      <w:r w:rsidR="007B1622" w:rsidRPr="00B76061">
        <w:rPr>
          <w:rFonts w:ascii="Arial" w:hAnsi="Arial" w:cs="Arial"/>
          <w:i/>
          <w:iCs/>
          <w:sz w:val="22"/>
          <w:szCs w:val="22"/>
        </w:rPr>
        <w:t>Companies Act</w:t>
      </w:r>
      <w:r w:rsidR="007B1622">
        <w:rPr>
          <w:rFonts w:ascii="Arial" w:hAnsi="Arial" w:cs="Arial"/>
          <w:sz w:val="22"/>
          <w:szCs w:val="22"/>
        </w:rPr>
        <w:t xml:space="preserve"> 2006. </w:t>
      </w:r>
      <w:r>
        <w:rPr>
          <w:rFonts w:ascii="Arial" w:hAnsi="Arial" w:cs="Arial"/>
          <w:sz w:val="22"/>
          <w:szCs w:val="22"/>
        </w:rPr>
        <w:t xml:space="preserve">The relevant test is whether there is a ‘sufficient connection’ between the Scheme or </w:t>
      </w:r>
      <w:r w:rsidR="007B1622">
        <w:rPr>
          <w:rFonts w:ascii="Arial" w:hAnsi="Arial" w:cs="Arial"/>
          <w:sz w:val="22"/>
          <w:szCs w:val="22"/>
        </w:rPr>
        <w:t>Restructuring Plan</w:t>
      </w:r>
      <w:r>
        <w:rPr>
          <w:rFonts w:ascii="Arial" w:hAnsi="Arial" w:cs="Arial"/>
          <w:sz w:val="22"/>
          <w:szCs w:val="22"/>
        </w:rPr>
        <w:t xml:space="preserve"> and England</w:t>
      </w:r>
      <w:r w:rsidR="007E7437">
        <w:rPr>
          <w:rFonts w:ascii="Arial" w:hAnsi="Arial" w:cs="Arial"/>
          <w:sz w:val="22"/>
          <w:szCs w:val="22"/>
        </w:rPr>
        <w:t>. This is based on the view that the English Court has jurisdiction to approve Schemes or Plans over both registered and unregistered companies (s.895(2)(b)).</w:t>
      </w:r>
      <w:r w:rsidR="0094596D">
        <w:rPr>
          <w:rStyle w:val="FootnoteReference"/>
          <w:rFonts w:ascii="Arial" w:hAnsi="Arial" w:cs="Arial"/>
          <w:sz w:val="22"/>
          <w:szCs w:val="22"/>
        </w:rPr>
        <w:footnoteReference w:id="13"/>
      </w:r>
      <w:r w:rsidR="007E7437">
        <w:rPr>
          <w:rFonts w:ascii="Arial" w:hAnsi="Arial" w:cs="Arial"/>
          <w:sz w:val="22"/>
          <w:szCs w:val="22"/>
        </w:rPr>
        <w:t xml:space="preserve"> </w:t>
      </w:r>
      <w:r w:rsidR="00CB7F7C">
        <w:rPr>
          <w:rFonts w:ascii="Arial" w:hAnsi="Arial" w:cs="Arial"/>
          <w:sz w:val="22"/>
          <w:szCs w:val="22"/>
        </w:rPr>
        <w:t xml:space="preserve">The logical extent of this approach would allow the English courts to </w:t>
      </w:r>
      <w:r w:rsidR="00D164FA">
        <w:rPr>
          <w:rFonts w:ascii="Arial" w:hAnsi="Arial" w:cs="Arial"/>
          <w:sz w:val="22"/>
          <w:szCs w:val="22"/>
        </w:rPr>
        <w:t xml:space="preserve">approve a Scheme in respect of any company anywhere in the world. In order to avoid claiming such ‘exorbitant’ jurisdiction, the English courts have </w:t>
      </w:r>
      <w:r w:rsidR="00F3331B">
        <w:rPr>
          <w:rFonts w:ascii="Arial" w:hAnsi="Arial" w:cs="Arial"/>
          <w:sz w:val="22"/>
          <w:szCs w:val="22"/>
        </w:rPr>
        <w:t>developed a flexible ‘sufficient connection’ test, as the gateway to jurisdiction.</w:t>
      </w:r>
    </w:p>
    <w:p w14:paraId="02D85AF1" w14:textId="3EE7F420" w:rsidR="00F3331B" w:rsidRDefault="00F3331B" w:rsidP="00763BD9">
      <w:pPr>
        <w:spacing w:before="120" w:after="120" w:line="360" w:lineRule="auto"/>
        <w:jc w:val="both"/>
        <w:rPr>
          <w:rFonts w:ascii="Arial" w:hAnsi="Arial" w:cs="Arial"/>
          <w:sz w:val="22"/>
          <w:szCs w:val="22"/>
        </w:rPr>
      </w:pPr>
      <w:r>
        <w:rPr>
          <w:rFonts w:ascii="Arial" w:hAnsi="Arial" w:cs="Arial"/>
          <w:sz w:val="22"/>
          <w:szCs w:val="22"/>
        </w:rPr>
        <w:t>Unlike the objective ‘property in the US’ test of Chapter 11, which can be satisfied in a relatively formalistic manner, the ‘sufficient connection’ test involves a weighing of factors for and against the acceptance of jurisdiction by the English courts</w:t>
      </w:r>
      <w:r w:rsidR="00754B0B">
        <w:rPr>
          <w:rFonts w:ascii="Arial" w:hAnsi="Arial" w:cs="Arial"/>
          <w:sz w:val="22"/>
          <w:szCs w:val="22"/>
        </w:rPr>
        <w:t>,</w:t>
      </w:r>
      <w:r w:rsidR="00AC39AF">
        <w:rPr>
          <w:rFonts w:ascii="Arial" w:hAnsi="Arial" w:cs="Arial"/>
          <w:sz w:val="22"/>
          <w:szCs w:val="22"/>
        </w:rPr>
        <w:t xml:space="preserve"> based on a consideration of the </w:t>
      </w:r>
      <w:r w:rsidR="00993532">
        <w:rPr>
          <w:rFonts w:ascii="Arial" w:hAnsi="Arial" w:cs="Arial"/>
          <w:sz w:val="22"/>
          <w:szCs w:val="22"/>
        </w:rPr>
        <w:t xml:space="preserve">actual </w:t>
      </w:r>
      <w:r w:rsidR="00AC39AF">
        <w:rPr>
          <w:rFonts w:ascii="Arial" w:hAnsi="Arial" w:cs="Arial"/>
          <w:sz w:val="22"/>
          <w:szCs w:val="22"/>
        </w:rPr>
        <w:t>interests involved</w:t>
      </w:r>
      <w:r>
        <w:rPr>
          <w:rFonts w:ascii="Arial" w:hAnsi="Arial" w:cs="Arial"/>
          <w:sz w:val="22"/>
          <w:szCs w:val="22"/>
        </w:rPr>
        <w:t>.</w:t>
      </w:r>
      <w:r w:rsidR="00AC39AF">
        <w:rPr>
          <w:rFonts w:ascii="Arial" w:hAnsi="Arial" w:cs="Arial"/>
          <w:sz w:val="22"/>
          <w:szCs w:val="22"/>
        </w:rPr>
        <w:t xml:space="preserve"> Thus, for example, in </w:t>
      </w:r>
      <w:r w:rsidR="00AC39AF" w:rsidRPr="00983EB7">
        <w:rPr>
          <w:rFonts w:ascii="Arial" w:hAnsi="Arial" w:cs="Arial"/>
          <w:i/>
          <w:iCs/>
          <w:sz w:val="22"/>
          <w:szCs w:val="22"/>
        </w:rPr>
        <w:t>Rodenstock</w:t>
      </w:r>
      <w:r w:rsidR="00AC39AF">
        <w:rPr>
          <w:rFonts w:ascii="Arial" w:hAnsi="Arial" w:cs="Arial"/>
          <w:sz w:val="22"/>
          <w:szCs w:val="22"/>
        </w:rPr>
        <w:t xml:space="preserve">, a Scheme was approved for a German company that was neither incorporated in England, nor had its COMI in England, on the basis that the Senior Lenders in that case had nominated English law as the governing law, and the English Courts as the venue for resolving disputes arising under their financing documents. </w:t>
      </w:r>
      <w:r w:rsidR="00CF54E5">
        <w:rPr>
          <w:rFonts w:ascii="Arial" w:hAnsi="Arial" w:cs="Arial"/>
          <w:sz w:val="22"/>
          <w:szCs w:val="22"/>
        </w:rPr>
        <w:t xml:space="preserve">Allen &amp; Ovary (2015) have </w:t>
      </w:r>
      <w:r w:rsidR="002464CE">
        <w:rPr>
          <w:rFonts w:ascii="Arial" w:hAnsi="Arial" w:cs="Arial"/>
          <w:sz w:val="22"/>
          <w:szCs w:val="22"/>
        </w:rPr>
        <w:t>noted</w:t>
      </w:r>
      <w:r w:rsidR="00CF54E5">
        <w:rPr>
          <w:rFonts w:ascii="Arial" w:hAnsi="Arial" w:cs="Arial"/>
          <w:sz w:val="22"/>
          <w:szCs w:val="22"/>
        </w:rPr>
        <w:t xml:space="preserve"> that the English courts have </w:t>
      </w:r>
      <w:r w:rsidR="005F6BD4">
        <w:rPr>
          <w:rFonts w:ascii="Arial" w:hAnsi="Arial" w:cs="Arial"/>
          <w:sz w:val="22"/>
          <w:szCs w:val="22"/>
        </w:rPr>
        <w:t>been open to permitting</w:t>
      </w:r>
      <w:r w:rsidR="00CF54E5">
        <w:rPr>
          <w:rFonts w:ascii="Arial" w:hAnsi="Arial" w:cs="Arial"/>
          <w:sz w:val="22"/>
          <w:szCs w:val="22"/>
        </w:rPr>
        <w:t xml:space="preserve"> </w:t>
      </w:r>
      <w:r w:rsidR="005F6BD4">
        <w:rPr>
          <w:rFonts w:ascii="Arial" w:hAnsi="Arial" w:cs="Arial"/>
          <w:sz w:val="22"/>
          <w:szCs w:val="22"/>
        </w:rPr>
        <w:t>‘</w:t>
      </w:r>
      <w:r w:rsidR="00CF54E5">
        <w:rPr>
          <w:rFonts w:ascii="Arial" w:hAnsi="Arial" w:cs="Arial"/>
          <w:sz w:val="22"/>
          <w:szCs w:val="22"/>
        </w:rPr>
        <w:t xml:space="preserve">jurisdictional </w:t>
      </w:r>
      <w:r w:rsidR="005F6BD4">
        <w:rPr>
          <w:rFonts w:ascii="Arial" w:hAnsi="Arial" w:cs="Arial"/>
          <w:sz w:val="22"/>
          <w:szCs w:val="22"/>
        </w:rPr>
        <w:t>manoeuvring’ by foreign companies to take advantage of English Schemes, particularly where the outcome is viewed by the Court as beneficial to creditors, and no ‘serious challenge’ is made to the Court’s jurisdiction.</w:t>
      </w:r>
    </w:p>
    <w:p w14:paraId="17E57B2C" w14:textId="07740096" w:rsidR="00512233" w:rsidRDefault="007E7437" w:rsidP="00763BD9">
      <w:pPr>
        <w:spacing w:before="120" w:after="120" w:line="360" w:lineRule="auto"/>
        <w:jc w:val="both"/>
        <w:rPr>
          <w:rFonts w:ascii="Arial" w:hAnsi="Arial" w:cs="Arial"/>
          <w:sz w:val="22"/>
          <w:szCs w:val="22"/>
        </w:rPr>
      </w:pPr>
      <w:r>
        <w:rPr>
          <w:rFonts w:ascii="Arial" w:hAnsi="Arial" w:cs="Arial"/>
          <w:sz w:val="22"/>
          <w:szCs w:val="22"/>
        </w:rPr>
        <w:t>The</w:t>
      </w:r>
      <w:r w:rsidR="00993532">
        <w:rPr>
          <w:rFonts w:ascii="Arial" w:hAnsi="Arial" w:cs="Arial"/>
          <w:sz w:val="22"/>
          <w:szCs w:val="22"/>
        </w:rPr>
        <w:t xml:space="preserve"> difference between the two approaches, in the US and the </w:t>
      </w:r>
      <w:r>
        <w:rPr>
          <w:rFonts w:ascii="Arial" w:hAnsi="Arial" w:cs="Arial"/>
          <w:sz w:val="22"/>
          <w:szCs w:val="22"/>
        </w:rPr>
        <w:t>England</w:t>
      </w:r>
      <w:r w:rsidR="00993532">
        <w:rPr>
          <w:rFonts w:ascii="Arial" w:hAnsi="Arial" w:cs="Arial"/>
          <w:sz w:val="22"/>
          <w:szCs w:val="22"/>
        </w:rPr>
        <w:t xml:space="preserve">, </w:t>
      </w:r>
      <w:r>
        <w:rPr>
          <w:rFonts w:ascii="Arial" w:hAnsi="Arial" w:cs="Arial"/>
          <w:sz w:val="22"/>
          <w:szCs w:val="22"/>
        </w:rPr>
        <w:t>may</w:t>
      </w:r>
      <w:r w:rsidR="00993532">
        <w:rPr>
          <w:rFonts w:ascii="Arial" w:hAnsi="Arial" w:cs="Arial"/>
          <w:sz w:val="22"/>
          <w:szCs w:val="22"/>
        </w:rPr>
        <w:t xml:space="preserve"> not </w:t>
      </w:r>
      <w:r>
        <w:rPr>
          <w:rFonts w:ascii="Arial" w:hAnsi="Arial" w:cs="Arial"/>
          <w:sz w:val="22"/>
          <w:szCs w:val="22"/>
        </w:rPr>
        <w:t xml:space="preserve">be </w:t>
      </w:r>
      <w:r w:rsidR="00993532">
        <w:rPr>
          <w:rFonts w:ascii="Arial" w:hAnsi="Arial" w:cs="Arial"/>
          <w:sz w:val="22"/>
          <w:szCs w:val="22"/>
        </w:rPr>
        <w:t>as great as it seems</w:t>
      </w:r>
      <w:r w:rsidR="007C09D0">
        <w:rPr>
          <w:rFonts w:ascii="Arial" w:hAnsi="Arial" w:cs="Arial"/>
          <w:sz w:val="22"/>
          <w:szCs w:val="22"/>
        </w:rPr>
        <w:t>,</w:t>
      </w:r>
      <w:r w:rsidR="00C307DB">
        <w:rPr>
          <w:rFonts w:ascii="Arial" w:hAnsi="Arial" w:cs="Arial"/>
          <w:sz w:val="22"/>
          <w:szCs w:val="22"/>
        </w:rPr>
        <w:t xml:space="preserve"> because of the ability of a disaffected party to challenge the invocation of the US Court’s jurisdiction. The </w:t>
      </w:r>
      <w:r w:rsidR="003A5EED">
        <w:rPr>
          <w:rFonts w:ascii="Arial" w:hAnsi="Arial" w:cs="Arial"/>
          <w:sz w:val="22"/>
          <w:szCs w:val="22"/>
        </w:rPr>
        <w:t>most direct route for a challenge</w:t>
      </w:r>
      <w:r w:rsidR="00843AB4">
        <w:rPr>
          <w:rFonts w:ascii="Arial" w:hAnsi="Arial" w:cs="Arial"/>
          <w:sz w:val="22"/>
          <w:szCs w:val="22"/>
        </w:rPr>
        <w:t xml:space="preserve"> </w:t>
      </w:r>
      <w:r w:rsidR="002464CE">
        <w:rPr>
          <w:rFonts w:ascii="Arial" w:hAnsi="Arial" w:cs="Arial"/>
          <w:sz w:val="22"/>
          <w:szCs w:val="22"/>
        </w:rPr>
        <w:t xml:space="preserve">in the US </w:t>
      </w:r>
      <w:r w:rsidR="00843AB4">
        <w:rPr>
          <w:rFonts w:ascii="Arial" w:hAnsi="Arial" w:cs="Arial"/>
          <w:sz w:val="22"/>
          <w:szCs w:val="22"/>
        </w:rPr>
        <w:t xml:space="preserve">is the Abstention clause (11 USC </w:t>
      </w:r>
      <w:r w:rsidR="00186E29">
        <w:rPr>
          <w:rFonts w:ascii="Arial" w:hAnsi="Arial" w:cs="Arial"/>
          <w:sz w:val="22"/>
          <w:szCs w:val="22"/>
        </w:rPr>
        <w:t>§</w:t>
      </w:r>
      <w:r w:rsidR="00843AB4">
        <w:rPr>
          <w:rFonts w:ascii="Arial" w:hAnsi="Arial" w:cs="Arial"/>
          <w:sz w:val="22"/>
          <w:szCs w:val="22"/>
        </w:rPr>
        <w:t>305</w:t>
      </w:r>
      <w:r w:rsidR="00186E29">
        <w:rPr>
          <w:rFonts w:ascii="Arial" w:hAnsi="Arial" w:cs="Arial"/>
          <w:sz w:val="22"/>
          <w:szCs w:val="22"/>
        </w:rPr>
        <w:t>)</w:t>
      </w:r>
      <w:r w:rsidR="003A5EED">
        <w:rPr>
          <w:rFonts w:ascii="Arial" w:hAnsi="Arial" w:cs="Arial"/>
          <w:sz w:val="22"/>
          <w:szCs w:val="22"/>
        </w:rPr>
        <w:t>,</w:t>
      </w:r>
      <w:r w:rsidR="00186E29">
        <w:rPr>
          <w:rFonts w:ascii="Arial" w:hAnsi="Arial" w:cs="Arial"/>
          <w:sz w:val="22"/>
          <w:szCs w:val="22"/>
        </w:rPr>
        <w:t xml:space="preserve"> which permits a case to be dismissed and proceedings suspended ‘if the interests of the creditors and debtors would be better served by such dismissal or suspension’.</w:t>
      </w:r>
      <w:r w:rsidR="00186E29">
        <w:rPr>
          <w:rStyle w:val="FootnoteReference"/>
          <w:rFonts w:ascii="Arial" w:hAnsi="Arial" w:cs="Arial"/>
          <w:sz w:val="22"/>
          <w:szCs w:val="22"/>
        </w:rPr>
        <w:footnoteReference w:id="14"/>
      </w:r>
      <w:r w:rsidR="00186E29">
        <w:rPr>
          <w:rFonts w:ascii="Arial" w:hAnsi="Arial" w:cs="Arial"/>
          <w:sz w:val="22"/>
          <w:szCs w:val="22"/>
        </w:rPr>
        <w:t xml:space="preserve"> </w:t>
      </w:r>
      <w:r w:rsidR="003A5EED">
        <w:rPr>
          <w:rFonts w:ascii="Arial" w:hAnsi="Arial" w:cs="Arial"/>
          <w:sz w:val="22"/>
          <w:szCs w:val="22"/>
        </w:rPr>
        <w:t>However, other possible grounds include</w:t>
      </w:r>
      <w:r w:rsidR="00C307DB">
        <w:rPr>
          <w:rFonts w:ascii="Arial" w:hAnsi="Arial" w:cs="Arial"/>
          <w:sz w:val="22"/>
          <w:szCs w:val="22"/>
        </w:rPr>
        <w:t xml:space="preserve"> the abuse of process ground under 11 USC §105(a), </w:t>
      </w:r>
      <w:r w:rsidR="003A5EED">
        <w:rPr>
          <w:rFonts w:ascii="Arial" w:hAnsi="Arial" w:cs="Arial"/>
          <w:sz w:val="22"/>
          <w:szCs w:val="22"/>
        </w:rPr>
        <w:t>or the doctrine of</w:t>
      </w:r>
      <w:r w:rsidR="007C09D0">
        <w:rPr>
          <w:rFonts w:ascii="Arial" w:hAnsi="Arial" w:cs="Arial"/>
          <w:sz w:val="22"/>
          <w:szCs w:val="22"/>
        </w:rPr>
        <w:t xml:space="preserve"> </w:t>
      </w:r>
      <w:r w:rsidR="007C09D0">
        <w:rPr>
          <w:rFonts w:ascii="Arial" w:hAnsi="Arial" w:cs="Arial"/>
          <w:i/>
          <w:iCs/>
          <w:sz w:val="22"/>
          <w:szCs w:val="22"/>
        </w:rPr>
        <w:t>forum non conveniens</w:t>
      </w:r>
      <w:r w:rsidR="007C09D0">
        <w:rPr>
          <w:rFonts w:ascii="Arial" w:hAnsi="Arial" w:cs="Arial"/>
          <w:sz w:val="22"/>
          <w:szCs w:val="22"/>
        </w:rPr>
        <w:t>, if the ‘oppression and vexation to a defendant’ would be ‘out of all proportion to plaintiff’s convenience’</w:t>
      </w:r>
      <w:r w:rsidR="00157293">
        <w:rPr>
          <w:rFonts w:ascii="Arial" w:hAnsi="Arial" w:cs="Arial"/>
          <w:sz w:val="22"/>
          <w:szCs w:val="22"/>
        </w:rPr>
        <w:t>.</w:t>
      </w:r>
      <w:r w:rsidR="00157293">
        <w:rPr>
          <w:rStyle w:val="FootnoteReference"/>
          <w:rFonts w:ascii="Arial" w:hAnsi="Arial" w:cs="Arial"/>
          <w:sz w:val="22"/>
          <w:szCs w:val="22"/>
        </w:rPr>
        <w:footnoteReference w:id="15"/>
      </w:r>
    </w:p>
    <w:p w14:paraId="607DA8B7" w14:textId="21B6F0BE" w:rsidR="002464CE" w:rsidRDefault="002C677E" w:rsidP="002464CE">
      <w:pPr>
        <w:spacing w:before="120" w:after="120" w:line="360" w:lineRule="auto"/>
        <w:jc w:val="both"/>
        <w:rPr>
          <w:rFonts w:ascii="Arial" w:hAnsi="Arial" w:cs="Arial"/>
          <w:sz w:val="22"/>
          <w:szCs w:val="22"/>
        </w:rPr>
      </w:pPr>
      <w:r>
        <w:rPr>
          <w:rFonts w:ascii="Arial" w:hAnsi="Arial" w:cs="Arial"/>
          <w:sz w:val="22"/>
          <w:szCs w:val="22"/>
        </w:rPr>
        <w:t>However, if</w:t>
      </w:r>
      <w:r w:rsidR="002464CE">
        <w:rPr>
          <w:rFonts w:ascii="Arial" w:hAnsi="Arial" w:cs="Arial"/>
          <w:sz w:val="22"/>
          <w:szCs w:val="22"/>
        </w:rPr>
        <w:t xml:space="preserve"> the jurisdictional threshold </w:t>
      </w:r>
      <w:r>
        <w:rPr>
          <w:rFonts w:ascii="Arial" w:hAnsi="Arial" w:cs="Arial"/>
          <w:sz w:val="22"/>
          <w:szCs w:val="22"/>
        </w:rPr>
        <w:t>can be</w:t>
      </w:r>
      <w:r w:rsidR="002464CE">
        <w:rPr>
          <w:rFonts w:ascii="Arial" w:hAnsi="Arial" w:cs="Arial"/>
          <w:sz w:val="22"/>
          <w:szCs w:val="22"/>
        </w:rPr>
        <w:t xml:space="preserve"> satisfied, the foreign company must </w:t>
      </w:r>
      <w:r w:rsidR="002464CE">
        <w:rPr>
          <w:rFonts w:ascii="Arial" w:hAnsi="Arial" w:cs="Arial"/>
          <w:sz w:val="22"/>
          <w:szCs w:val="22"/>
        </w:rPr>
        <w:t xml:space="preserve">then </w:t>
      </w:r>
      <w:r w:rsidR="002464CE">
        <w:rPr>
          <w:rFonts w:ascii="Arial" w:hAnsi="Arial" w:cs="Arial"/>
          <w:sz w:val="22"/>
          <w:szCs w:val="22"/>
        </w:rPr>
        <w:t xml:space="preserve">address the substantive issues of law and procedure required by the restructuring law of the </w:t>
      </w:r>
      <w:r w:rsidR="002464CE" w:rsidRPr="00C1735A">
        <w:rPr>
          <w:rFonts w:ascii="Arial" w:hAnsi="Arial" w:cs="Arial"/>
          <w:i/>
          <w:iCs/>
          <w:sz w:val="22"/>
          <w:szCs w:val="22"/>
        </w:rPr>
        <w:t>lex concursus</w:t>
      </w:r>
      <w:r w:rsidR="002464CE">
        <w:rPr>
          <w:rFonts w:ascii="Arial" w:hAnsi="Arial" w:cs="Arial"/>
          <w:i/>
          <w:iCs/>
          <w:sz w:val="22"/>
          <w:szCs w:val="22"/>
        </w:rPr>
        <w:t xml:space="preserve">, </w:t>
      </w:r>
      <w:r w:rsidR="002464CE">
        <w:rPr>
          <w:rFonts w:ascii="Arial" w:hAnsi="Arial" w:cs="Arial"/>
          <w:sz w:val="22"/>
          <w:szCs w:val="22"/>
        </w:rPr>
        <w:t xml:space="preserve">in order to ‘cram down’ the known or expected </w:t>
      </w:r>
      <w:r w:rsidR="00B870E6">
        <w:rPr>
          <w:rFonts w:ascii="Arial" w:hAnsi="Arial" w:cs="Arial"/>
          <w:sz w:val="22"/>
          <w:szCs w:val="22"/>
        </w:rPr>
        <w:t>dissenters</w:t>
      </w:r>
      <w:r w:rsidR="002464CE">
        <w:rPr>
          <w:rFonts w:ascii="Arial" w:hAnsi="Arial" w:cs="Arial"/>
          <w:sz w:val="22"/>
          <w:szCs w:val="22"/>
        </w:rPr>
        <w:t xml:space="preserve">. </w:t>
      </w:r>
    </w:p>
    <w:p w14:paraId="4FBE4C25" w14:textId="397A9E09" w:rsidR="002464CE" w:rsidRDefault="002464CE" w:rsidP="002464CE">
      <w:pPr>
        <w:spacing w:before="120" w:after="120" w:line="360" w:lineRule="auto"/>
        <w:jc w:val="both"/>
        <w:rPr>
          <w:rFonts w:ascii="Arial" w:hAnsi="Arial" w:cs="Arial"/>
          <w:sz w:val="22"/>
          <w:szCs w:val="22"/>
        </w:rPr>
      </w:pPr>
      <w:r>
        <w:rPr>
          <w:rFonts w:ascii="Arial" w:hAnsi="Arial" w:cs="Arial"/>
          <w:sz w:val="22"/>
          <w:szCs w:val="22"/>
        </w:rPr>
        <w:lastRenderedPageBreak/>
        <w:t xml:space="preserve">In the US, a Plan will be confirmed it is ‘fair and equitable’, is not unfairly discriminatory, and is passed by at least one impaired class by a majority of 2/3rds in value and 50% in number (§1129(b)). The Court’s </w:t>
      </w:r>
      <w:r>
        <w:rPr>
          <w:rFonts w:ascii="Arial" w:hAnsi="Arial" w:cs="Arial"/>
          <w:sz w:val="22"/>
          <w:szCs w:val="22"/>
        </w:rPr>
        <w:t xml:space="preserve">confirmation </w:t>
      </w:r>
      <w:r>
        <w:rPr>
          <w:rFonts w:ascii="Arial" w:hAnsi="Arial" w:cs="Arial"/>
          <w:sz w:val="22"/>
          <w:szCs w:val="22"/>
        </w:rPr>
        <w:t>discretion is relatively confined by §1129(b)(2) which deems a plan to be ‘fair and equitable’ if creditors are no worse off under the Plan than they would be in a liquidation.</w:t>
      </w:r>
    </w:p>
    <w:p w14:paraId="527C1536" w14:textId="60890D25" w:rsidR="002464CE" w:rsidRDefault="002464CE" w:rsidP="002464CE">
      <w:pPr>
        <w:spacing w:before="120" w:after="120" w:line="360" w:lineRule="auto"/>
        <w:jc w:val="both"/>
        <w:rPr>
          <w:rFonts w:ascii="Arial" w:hAnsi="Arial" w:cs="Arial"/>
          <w:sz w:val="22"/>
          <w:szCs w:val="22"/>
        </w:rPr>
      </w:pPr>
      <w:r>
        <w:rPr>
          <w:rFonts w:ascii="Arial" w:hAnsi="Arial" w:cs="Arial"/>
          <w:sz w:val="22"/>
          <w:szCs w:val="22"/>
        </w:rPr>
        <w:t>A broader discretion is conferred on the Court in England, by the use of the words ‘may</w:t>
      </w:r>
      <w:r w:rsidR="002C677E">
        <w:rPr>
          <w:rFonts w:ascii="Arial" w:hAnsi="Arial" w:cs="Arial"/>
          <w:sz w:val="22"/>
          <w:szCs w:val="22"/>
        </w:rPr>
        <w:t>…</w:t>
      </w:r>
      <w:r>
        <w:rPr>
          <w:rFonts w:ascii="Arial" w:hAnsi="Arial" w:cs="Arial"/>
          <w:sz w:val="22"/>
          <w:szCs w:val="22"/>
        </w:rPr>
        <w:t xml:space="preserve">sanction’ in ss.899 and 901F of the </w:t>
      </w:r>
      <w:r w:rsidRPr="003B7F03">
        <w:rPr>
          <w:rFonts w:ascii="Arial" w:hAnsi="Arial" w:cs="Arial"/>
          <w:i/>
          <w:iCs/>
          <w:sz w:val="22"/>
          <w:szCs w:val="22"/>
        </w:rPr>
        <w:t>Companies Act</w:t>
      </w:r>
      <w:r>
        <w:rPr>
          <w:rFonts w:ascii="Arial" w:hAnsi="Arial" w:cs="Arial"/>
          <w:sz w:val="22"/>
          <w:szCs w:val="22"/>
        </w:rPr>
        <w:t>.</w:t>
      </w:r>
      <w:r>
        <w:rPr>
          <w:rStyle w:val="FootnoteReference"/>
          <w:rFonts w:ascii="Arial" w:hAnsi="Arial" w:cs="Arial"/>
          <w:sz w:val="22"/>
          <w:szCs w:val="22"/>
        </w:rPr>
        <w:footnoteReference w:id="16"/>
      </w:r>
      <w:r>
        <w:rPr>
          <w:rFonts w:ascii="Arial" w:hAnsi="Arial" w:cs="Arial"/>
          <w:sz w:val="22"/>
          <w:szCs w:val="22"/>
        </w:rPr>
        <w:t xml:space="preserve"> This is generally understood as being a test of fairness and reasonableness,</w:t>
      </w:r>
      <w:r>
        <w:rPr>
          <w:rStyle w:val="FootnoteReference"/>
          <w:rFonts w:ascii="Arial" w:hAnsi="Arial" w:cs="Arial"/>
          <w:sz w:val="22"/>
          <w:szCs w:val="22"/>
        </w:rPr>
        <w:footnoteReference w:id="17"/>
      </w:r>
      <w:r>
        <w:rPr>
          <w:rFonts w:ascii="Arial" w:hAnsi="Arial" w:cs="Arial"/>
          <w:sz w:val="22"/>
          <w:szCs w:val="22"/>
        </w:rPr>
        <w:t xml:space="preserve"> provided the requisite class majorities are obtained – being 75% in value and 50% in number for a Scheme under Part 26 (s.899) or 75% in value for a Plan under Part 26A (s.901F). Where a ‘cross-class cram down’ is sought for under Part 26A, the Court must also be satisfied that ‘none of the members of the dissenting class would be any worse off’ than the next best alternative (s.901G).</w:t>
      </w:r>
    </w:p>
    <w:p w14:paraId="084729C7" w14:textId="7E13A926" w:rsidR="002464CE" w:rsidRPr="000A3C7C" w:rsidRDefault="002464CE" w:rsidP="00763BD9">
      <w:pPr>
        <w:spacing w:before="120" w:after="120" w:line="360" w:lineRule="auto"/>
        <w:jc w:val="both"/>
        <w:rPr>
          <w:rFonts w:ascii="Arial" w:hAnsi="Arial" w:cs="Arial"/>
          <w:sz w:val="22"/>
          <w:szCs w:val="22"/>
        </w:rPr>
      </w:pPr>
      <w:r>
        <w:rPr>
          <w:rFonts w:ascii="Arial" w:hAnsi="Arial" w:cs="Arial"/>
          <w:sz w:val="22"/>
          <w:szCs w:val="22"/>
        </w:rPr>
        <w:t xml:space="preserve">One important additional discretionary factor in England, to which reference was made in </w:t>
      </w:r>
      <w:r>
        <w:rPr>
          <w:rFonts w:ascii="Arial" w:hAnsi="Arial" w:cs="Arial"/>
          <w:i/>
          <w:iCs/>
          <w:sz w:val="22"/>
          <w:szCs w:val="22"/>
        </w:rPr>
        <w:t>DeepOcean</w:t>
      </w:r>
      <w:r w:rsidR="002C677E">
        <w:rPr>
          <w:rFonts w:ascii="Arial" w:hAnsi="Arial" w:cs="Arial"/>
          <w:sz w:val="22"/>
          <w:szCs w:val="22"/>
        </w:rPr>
        <w:t>,</w:t>
      </w:r>
      <w:r>
        <w:rPr>
          <w:rFonts w:ascii="Arial" w:hAnsi="Arial" w:cs="Arial"/>
          <w:sz w:val="22"/>
          <w:szCs w:val="22"/>
        </w:rPr>
        <w:t xml:space="preserve"> was that of enforceability of the Scheme or the Plan in ‘relevant jurisdictions outside England and Wales’.</w:t>
      </w:r>
      <w:r>
        <w:rPr>
          <w:rStyle w:val="FootnoteReference"/>
          <w:rFonts w:ascii="Arial" w:hAnsi="Arial" w:cs="Arial"/>
          <w:sz w:val="22"/>
          <w:szCs w:val="22"/>
        </w:rPr>
        <w:footnoteReference w:id="18"/>
      </w:r>
      <w:r>
        <w:rPr>
          <w:rFonts w:ascii="Arial" w:hAnsi="Arial" w:cs="Arial"/>
          <w:sz w:val="22"/>
          <w:szCs w:val="22"/>
        </w:rPr>
        <w:t xml:space="preserve"> Apart from the Absention clause mentioned earlier, there is no equivalent consideration by a US Court of the extra-territorial effect of its approval of a Plan under Chapter 11, once jurisdiction is established or confirmed. </w:t>
      </w:r>
      <w:r w:rsidR="000A3C7C">
        <w:rPr>
          <w:rFonts w:ascii="Arial" w:hAnsi="Arial" w:cs="Arial"/>
          <w:sz w:val="22"/>
          <w:szCs w:val="22"/>
        </w:rPr>
        <w:t xml:space="preserve">One answer to this potential conundrum was suggested by Richards J in </w:t>
      </w:r>
      <w:r w:rsidR="000A3C7C">
        <w:rPr>
          <w:rFonts w:ascii="Arial" w:hAnsi="Arial" w:cs="Arial"/>
          <w:i/>
          <w:iCs/>
          <w:sz w:val="22"/>
          <w:szCs w:val="22"/>
        </w:rPr>
        <w:t>Magyar</w:t>
      </w:r>
      <w:r w:rsidR="000A3C7C">
        <w:rPr>
          <w:rFonts w:ascii="Arial" w:hAnsi="Arial" w:cs="Arial"/>
          <w:sz w:val="22"/>
          <w:szCs w:val="22"/>
        </w:rPr>
        <w:t xml:space="preserve"> </w:t>
      </w:r>
      <w:r w:rsidR="004B55B0">
        <w:rPr>
          <w:rFonts w:ascii="Arial" w:hAnsi="Arial" w:cs="Arial"/>
          <w:sz w:val="22"/>
          <w:szCs w:val="22"/>
        </w:rPr>
        <w:t xml:space="preserve">(at [21]) </w:t>
      </w:r>
      <w:r w:rsidR="000A3C7C">
        <w:rPr>
          <w:rFonts w:ascii="Arial" w:hAnsi="Arial" w:cs="Arial"/>
          <w:sz w:val="22"/>
          <w:szCs w:val="22"/>
        </w:rPr>
        <w:t xml:space="preserve">by pointing out that the question of enforceability </w:t>
      </w:r>
      <w:r w:rsidR="004B55B0">
        <w:rPr>
          <w:rFonts w:ascii="Arial" w:hAnsi="Arial" w:cs="Arial"/>
          <w:sz w:val="22"/>
          <w:szCs w:val="22"/>
        </w:rPr>
        <w:t xml:space="preserve">at the confirmation hearing </w:t>
      </w:r>
      <w:r w:rsidR="000A3C7C">
        <w:rPr>
          <w:rFonts w:ascii="Arial" w:hAnsi="Arial" w:cs="Arial"/>
          <w:sz w:val="22"/>
          <w:szCs w:val="22"/>
        </w:rPr>
        <w:t xml:space="preserve">was closely related to the test of </w:t>
      </w:r>
      <w:r w:rsidR="004B55B0">
        <w:rPr>
          <w:rFonts w:ascii="Arial" w:hAnsi="Arial" w:cs="Arial"/>
          <w:sz w:val="22"/>
          <w:szCs w:val="22"/>
        </w:rPr>
        <w:t>‘sufficient connection’ that arises in relation to jurisdiction. If so, for reasons developed in Section III below, there may be merit in all courts</w:t>
      </w:r>
      <w:r w:rsidR="002C677E">
        <w:rPr>
          <w:rFonts w:ascii="Arial" w:hAnsi="Arial" w:cs="Arial"/>
          <w:sz w:val="22"/>
          <w:szCs w:val="22"/>
        </w:rPr>
        <w:t>,</w:t>
      </w:r>
      <w:r w:rsidR="004B55B0">
        <w:rPr>
          <w:rFonts w:ascii="Arial" w:hAnsi="Arial" w:cs="Arial"/>
          <w:sz w:val="22"/>
          <w:szCs w:val="22"/>
        </w:rPr>
        <w:t xml:space="preserve"> </w:t>
      </w:r>
      <w:r w:rsidR="002C677E">
        <w:rPr>
          <w:rFonts w:ascii="Arial" w:hAnsi="Arial" w:cs="Arial"/>
          <w:sz w:val="22"/>
          <w:szCs w:val="22"/>
        </w:rPr>
        <w:t>that seek</w:t>
      </w:r>
      <w:r w:rsidR="004B55B0">
        <w:rPr>
          <w:rFonts w:ascii="Arial" w:hAnsi="Arial" w:cs="Arial"/>
          <w:sz w:val="22"/>
          <w:szCs w:val="22"/>
        </w:rPr>
        <w:t xml:space="preserve"> to exercise jurisdiction over foreign companies, considering the potential enforceability issues at the jurisdiction stage</w:t>
      </w:r>
      <w:r w:rsidR="008A6A8F">
        <w:rPr>
          <w:rFonts w:ascii="Arial" w:hAnsi="Arial" w:cs="Arial"/>
          <w:sz w:val="22"/>
          <w:szCs w:val="22"/>
        </w:rPr>
        <w:t>.</w:t>
      </w:r>
      <w:r w:rsidR="008A6A8F">
        <w:rPr>
          <w:rStyle w:val="FootnoteReference"/>
          <w:rFonts w:ascii="Arial" w:hAnsi="Arial" w:cs="Arial"/>
          <w:sz w:val="22"/>
          <w:szCs w:val="22"/>
        </w:rPr>
        <w:footnoteReference w:id="19"/>
      </w:r>
      <w:r w:rsidR="008A6A8F">
        <w:rPr>
          <w:rFonts w:ascii="Arial" w:hAnsi="Arial" w:cs="Arial"/>
          <w:sz w:val="22"/>
          <w:szCs w:val="22"/>
        </w:rPr>
        <w:t xml:space="preserve"> </w:t>
      </w:r>
    </w:p>
    <w:p w14:paraId="660CCD92" w14:textId="42B282F0" w:rsidR="0038754F" w:rsidRPr="00912D47" w:rsidRDefault="00D53B0B" w:rsidP="00763BD9">
      <w:pPr>
        <w:spacing w:before="120" w:after="120" w:line="360" w:lineRule="auto"/>
        <w:jc w:val="both"/>
        <w:rPr>
          <w:rFonts w:ascii="Arial" w:hAnsi="Arial" w:cs="Arial"/>
          <w:sz w:val="22"/>
          <w:szCs w:val="22"/>
        </w:rPr>
      </w:pPr>
      <w:r>
        <w:rPr>
          <w:rFonts w:ascii="Arial" w:hAnsi="Arial" w:cs="Arial"/>
          <w:sz w:val="22"/>
          <w:szCs w:val="22"/>
        </w:rPr>
        <w:t xml:space="preserve">This brief review of the position suggests that </w:t>
      </w:r>
      <w:r w:rsidR="00912D47">
        <w:rPr>
          <w:rFonts w:ascii="Arial" w:hAnsi="Arial" w:cs="Arial"/>
          <w:sz w:val="22"/>
          <w:szCs w:val="22"/>
        </w:rPr>
        <w:t xml:space="preserve">both the US and UK statutes provide a very broad reach for their respective jurisdictions to open </w:t>
      </w:r>
      <w:r w:rsidR="002006C1">
        <w:rPr>
          <w:rFonts w:ascii="Arial" w:hAnsi="Arial" w:cs="Arial"/>
          <w:sz w:val="22"/>
          <w:szCs w:val="22"/>
        </w:rPr>
        <w:t>restructuring</w:t>
      </w:r>
      <w:r w:rsidR="00912D47">
        <w:rPr>
          <w:rFonts w:ascii="Arial" w:hAnsi="Arial" w:cs="Arial"/>
          <w:sz w:val="22"/>
          <w:szCs w:val="22"/>
        </w:rPr>
        <w:t xml:space="preserve"> proceedings for foreign entities</w:t>
      </w:r>
      <w:r w:rsidR="002464CE">
        <w:rPr>
          <w:rFonts w:ascii="Arial" w:hAnsi="Arial" w:cs="Arial"/>
          <w:sz w:val="22"/>
          <w:szCs w:val="22"/>
        </w:rPr>
        <w:t xml:space="preserve">, </w:t>
      </w:r>
      <w:r w:rsidR="002C677E">
        <w:rPr>
          <w:rFonts w:ascii="Arial" w:hAnsi="Arial" w:cs="Arial"/>
          <w:sz w:val="22"/>
          <w:szCs w:val="22"/>
        </w:rPr>
        <w:t>thereby permitting them to</w:t>
      </w:r>
      <w:r w:rsidR="002464CE">
        <w:rPr>
          <w:rFonts w:ascii="Arial" w:hAnsi="Arial" w:cs="Arial"/>
          <w:sz w:val="22"/>
          <w:szCs w:val="22"/>
        </w:rPr>
        <w:t xml:space="preserve"> proceed to sanction or confirm the Plan </w:t>
      </w:r>
      <w:r w:rsidR="002C677E">
        <w:rPr>
          <w:rFonts w:ascii="Arial" w:hAnsi="Arial" w:cs="Arial"/>
          <w:sz w:val="22"/>
          <w:szCs w:val="22"/>
        </w:rPr>
        <w:t>provided</w:t>
      </w:r>
      <w:r w:rsidR="002464CE">
        <w:rPr>
          <w:rFonts w:ascii="Arial" w:hAnsi="Arial" w:cs="Arial"/>
          <w:sz w:val="22"/>
          <w:szCs w:val="22"/>
        </w:rPr>
        <w:t xml:space="preserve"> relevant statutory criteria are satisfied</w:t>
      </w:r>
      <w:r w:rsidR="00912D47">
        <w:rPr>
          <w:rFonts w:ascii="Arial" w:hAnsi="Arial" w:cs="Arial"/>
          <w:sz w:val="22"/>
          <w:szCs w:val="22"/>
        </w:rPr>
        <w:t xml:space="preserve">. Second, it will be difficult for a </w:t>
      </w:r>
      <w:r w:rsidR="00B870E6">
        <w:rPr>
          <w:rFonts w:ascii="Arial" w:hAnsi="Arial" w:cs="Arial"/>
          <w:sz w:val="22"/>
          <w:szCs w:val="22"/>
        </w:rPr>
        <w:t>dissenting</w:t>
      </w:r>
      <w:r w:rsidR="00B870E6">
        <w:rPr>
          <w:rFonts w:ascii="Arial" w:hAnsi="Arial" w:cs="Arial"/>
          <w:sz w:val="22"/>
          <w:szCs w:val="22"/>
        </w:rPr>
        <w:t xml:space="preserve"> </w:t>
      </w:r>
      <w:r w:rsidR="00912D47">
        <w:rPr>
          <w:rFonts w:ascii="Arial" w:hAnsi="Arial" w:cs="Arial"/>
          <w:sz w:val="22"/>
          <w:szCs w:val="22"/>
        </w:rPr>
        <w:t xml:space="preserve">shareholder to </w:t>
      </w:r>
      <w:r w:rsidR="00D22F13">
        <w:rPr>
          <w:rFonts w:ascii="Arial" w:hAnsi="Arial" w:cs="Arial"/>
          <w:sz w:val="22"/>
          <w:szCs w:val="22"/>
        </w:rPr>
        <w:t>challenge jurisdiction in</w:t>
      </w:r>
      <w:r w:rsidR="004D6785">
        <w:rPr>
          <w:rFonts w:ascii="Arial" w:hAnsi="Arial" w:cs="Arial"/>
          <w:sz w:val="22"/>
          <w:szCs w:val="22"/>
        </w:rPr>
        <w:t xml:space="preserve"> </w:t>
      </w:r>
      <w:r w:rsidR="00912D47">
        <w:rPr>
          <w:rFonts w:ascii="Arial" w:hAnsi="Arial" w:cs="Arial"/>
          <w:sz w:val="22"/>
          <w:szCs w:val="22"/>
        </w:rPr>
        <w:t xml:space="preserve">either the US or UK court </w:t>
      </w:r>
      <w:r w:rsidR="00D22F13">
        <w:rPr>
          <w:rFonts w:ascii="Arial" w:hAnsi="Arial" w:cs="Arial"/>
          <w:sz w:val="22"/>
          <w:szCs w:val="22"/>
        </w:rPr>
        <w:t>unless there are clear and compelling reasons why the court should decline to open these proceedings.</w:t>
      </w:r>
    </w:p>
    <w:p w14:paraId="7C434F2C" w14:textId="77777777" w:rsidR="008A6A8F" w:rsidRDefault="008A6A8F" w:rsidP="008B40AB">
      <w:pPr>
        <w:spacing w:before="120" w:after="120" w:line="360" w:lineRule="auto"/>
        <w:jc w:val="both"/>
        <w:rPr>
          <w:rFonts w:ascii="Arial" w:hAnsi="Arial" w:cs="Arial"/>
          <w:b/>
          <w:bCs/>
          <w:sz w:val="22"/>
          <w:szCs w:val="22"/>
        </w:rPr>
      </w:pPr>
    </w:p>
    <w:p w14:paraId="1BFCECA3" w14:textId="032CF93E" w:rsidR="008B40AB" w:rsidRDefault="008B40AB" w:rsidP="008B40AB">
      <w:pPr>
        <w:spacing w:before="120" w:after="120" w:line="360" w:lineRule="auto"/>
        <w:jc w:val="both"/>
        <w:rPr>
          <w:rFonts w:ascii="Arial" w:hAnsi="Arial" w:cs="Arial"/>
          <w:b/>
          <w:bCs/>
          <w:sz w:val="22"/>
          <w:szCs w:val="22"/>
        </w:rPr>
      </w:pPr>
      <w:r w:rsidRPr="008B40AB">
        <w:rPr>
          <w:rFonts w:ascii="Arial" w:hAnsi="Arial" w:cs="Arial"/>
          <w:b/>
          <w:bCs/>
          <w:sz w:val="22"/>
          <w:szCs w:val="22"/>
        </w:rPr>
        <w:lastRenderedPageBreak/>
        <w:t>Section III – Enforcing the Restructuring Plan</w:t>
      </w:r>
    </w:p>
    <w:p w14:paraId="312A52D1" w14:textId="741152A3" w:rsidR="006C0E81" w:rsidRDefault="005F616C" w:rsidP="008B40AB">
      <w:pPr>
        <w:spacing w:before="120" w:after="120" w:line="360" w:lineRule="auto"/>
        <w:jc w:val="both"/>
        <w:rPr>
          <w:rFonts w:ascii="Arial" w:hAnsi="Arial" w:cs="Arial"/>
          <w:sz w:val="22"/>
          <w:szCs w:val="22"/>
        </w:rPr>
      </w:pPr>
      <w:r>
        <w:rPr>
          <w:rFonts w:ascii="Arial" w:hAnsi="Arial" w:cs="Arial"/>
          <w:sz w:val="22"/>
          <w:szCs w:val="22"/>
        </w:rPr>
        <w:t xml:space="preserve">Upon the Plan being approved, focus then shifts to the enforcement of the Plan and the </w:t>
      </w:r>
      <w:r w:rsidR="00F605B0">
        <w:rPr>
          <w:rFonts w:ascii="Arial" w:hAnsi="Arial" w:cs="Arial"/>
          <w:sz w:val="22"/>
          <w:szCs w:val="22"/>
        </w:rPr>
        <w:t xml:space="preserve">role of </w:t>
      </w:r>
      <w:r w:rsidR="008A6A8F">
        <w:rPr>
          <w:rFonts w:ascii="Arial" w:hAnsi="Arial" w:cs="Arial"/>
          <w:sz w:val="22"/>
          <w:szCs w:val="22"/>
        </w:rPr>
        <w:t>the</w:t>
      </w:r>
      <w:r w:rsidR="008A6A8F">
        <w:rPr>
          <w:rFonts w:ascii="Arial" w:hAnsi="Arial" w:cs="Arial"/>
          <w:sz w:val="22"/>
          <w:szCs w:val="22"/>
        </w:rPr>
        <w:t xml:space="preserve"> </w:t>
      </w:r>
      <w:r>
        <w:rPr>
          <w:rFonts w:ascii="Arial" w:hAnsi="Arial" w:cs="Arial"/>
          <w:sz w:val="22"/>
          <w:szCs w:val="22"/>
        </w:rPr>
        <w:t xml:space="preserve">enforcing court. </w:t>
      </w:r>
      <w:r w:rsidR="003F641C">
        <w:rPr>
          <w:rFonts w:ascii="Arial" w:hAnsi="Arial" w:cs="Arial"/>
          <w:sz w:val="22"/>
          <w:szCs w:val="22"/>
        </w:rPr>
        <w:t xml:space="preserve">The resolution of this problem </w:t>
      </w:r>
      <w:r w:rsidR="00F605B0">
        <w:rPr>
          <w:rFonts w:ascii="Arial" w:hAnsi="Arial" w:cs="Arial"/>
          <w:sz w:val="22"/>
          <w:szCs w:val="22"/>
        </w:rPr>
        <w:t>will be</w:t>
      </w:r>
      <w:r w:rsidR="003F641C">
        <w:rPr>
          <w:rFonts w:ascii="Arial" w:hAnsi="Arial" w:cs="Arial"/>
          <w:sz w:val="22"/>
          <w:szCs w:val="22"/>
        </w:rPr>
        <w:t xml:space="preserve"> straightforward in </w:t>
      </w:r>
      <w:r w:rsidR="00F605B0">
        <w:rPr>
          <w:rFonts w:ascii="Arial" w:hAnsi="Arial" w:cs="Arial"/>
          <w:sz w:val="22"/>
          <w:szCs w:val="22"/>
        </w:rPr>
        <w:t xml:space="preserve">many </w:t>
      </w:r>
      <w:r w:rsidR="003F641C">
        <w:rPr>
          <w:rFonts w:ascii="Arial" w:hAnsi="Arial" w:cs="Arial"/>
          <w:sz w:val="22"/>
          <w:szCs w:val="22"/>
        </w:rPr>
        <w:t xml:space="preserve">cases, such as </w:t>
      </w:r>
      <w:r w:rsidR="003F641C">
        <w:rPr>
          <w:rFonts w:ascii="Arial" w:hAnsi="Arial" w:cs="Arial"/>
          <w:i/>
          <w:iCs/>
          <w:sz w:val="22"/>
          <w:szCs w:val="22"/>
        </w:rPr>
        <w:t>Rodenstock</w:t>
      </w:r>
      <w:r w:rsidR="003F641C">
        <w:rPr>
          <w:rFonts w:ascii="Arial" w:hAnsi="Arial" w:cs="Arial"/>
          <w:sz w:val="22"/>
          <w:szCs w:val="22"/>
        </w:rPr>
        <w:t xml:space="preserve">, where the governing law of the contracts </w:t>
      </w:r>
      <w:r w:rsidR="00F605B0">
        <w:rPr>
          <w:rFonts w:ascii="Arial" w:hAnsi="Arial" w:cs="Arial"/>
          <w:sz w:val="22"/>
          <w:szCs w:val="22"/>
        </w:rPr>
        <w:t>was</w:t>
      </w:r>
      <w:r w:rsidR="003F641C">
        <w:rPr>
          <w:rFonts w:ascii="Arial" w:hAnsi="Arial" w:cs="Arial"/>
          <w:sz w:val="22"/>
          <w:szCs w:val="22"/>
        </w:rPr>
        <w:t xml:space="preserve"> English law</w:t>
      </w:r>
      <w:r w:rsidR="00F605B0">
        <w:rPr>
          <w:rFonts w:ascii="Arial" w:hAnsi="Arial" w:cs="Arial"/>
          <w:sz w:val="22"/>
          <w:szCs w:val="22"/>
        </w:rPr>
        <w:t xml:space="preserve">, </w:t>
      </w:r>
      <w:r w:rsidR="003F641C">
        <w:rPr>
          <w:rFonts w:ascii="Arial" w:hAnsi="Arial" w:cs="Arial"/>
          <w:sz w:val="22"/>
          <w:szCs w:val="22"/>
        </w:rPr>
        <w:t xml:space="preserve">and it was and English court that approved the Scheme. </w:t>
      </w:r>
    </w:p>
    <w:p w14:paraId="6C152234" w14:textId="6C6FA2CE" w:rsidR="008A38EF" w:rsidRPr="00E746CA" w:rsidRDefault="003F641C" w:rsidP="008B40AB">
      <w:pPr>
        <w:spacing w:before="120" w:after="120" w:line="360" w:lineRule="auto"/>
        <w:jc w:val="both"/>
        <w:rPr>
          <w:rFonts w:ascii="Arial" w:hAnsi="Arial" w:cs="Arial"/>
          <w:sz w:val="22"/>
          <w:szCs w:val="22"/>
        </w:rPr>
      </w:pPr>
      <w:r>
        <w:rPr>
          <w:rFonts w:ascii="Arial" w:hAnsi="Arial" w:cs="Arial"/>
          <w:sz w:val="22"/>
          <w:szCs w:val="22"/>
        </w:rPr>
        <w:t xml:space="preserve">On the other hand, the </w:t>
      </w:r>
      <w:r w:rsidR="00E731AD">
        <w:rPr>
          <w:rFonts w:ascii="Arial" w:hAnsi="Arial" w:cs="Arial"/>
          <w:sz w:val="22"/>
          <w:szCs w:val="22"/>
        </w:rPr>
        <w:t xml:space="preserve">refusal of the Isle of Man court </w:t>
      </w:r>
      <w:r w:rsidR="002C677E">
        <w:rPr>
          <w:rFonts w:ascii="Arial" w:hAnsi="Arial" w:cs="Arial"/>
          <w:sz w:val="22"/>
          <w:szCs w:val="22"/>
        </w:rPr>
        <w:t xml:space="preserve">in </w:t>
      </w:r>
      <w:r w:rsidR="002C677E">
        <w:rPr>
          <w:rFonts w:ascii="Arial" w:hAnsi="Arial" w:cs="Arial"/>
          <w:i/>
          <w:iCs/>
          <w:sz w:val="22"/>
          <w:szCs w:val="22"/>
        </w:rPr>
        <w:t>Cambridge Gas</w:t>
      </w:r>
      <w:r w:rsidR="002C677E">
        <w:rPr>
          <w:rFonts w:ascii="Arial" w:hAnsi="Arial" w:cs="Arial"/>
          <w:sz w:val="22"/>
          <w:szCs w:val="22"/>
        </w:rPr>
        <w:t xml:space="preserve">, </w:t>
      </w:r>
      <w:r w:rsidR="00E731AD">
        <w:rPr>
          <w:rFonts w:ascii="Arial" w:hAnsi="Arial" w:cs="Arial"/>
          <w:sz w:val="22"/>
          <w:szCs w:val="22"/>
        </w:rPr>
        <w:t xml:space="preserve">to </w:t>
      </w:r>
      <w:r w:rsidR="00E746CA">
        <w:rPr>
          <w:rFonts w:ascii="Arial" w:hAnsi="Arial" w:cs="Arial"/>
          <w:sz w:val="22"/>
          <w:szCs w:val="22"/>
        </w:rPr>
        <w:t xml:space="preserve">effect share transfers ordered under a Chapter 11 Plan, demonstrated ‘territoriality’ at work. </w:t>
      </w:r>
      <w:r w:rsidR="002C677E">
        <w:rPr>
          <w:rFonts w:ascii="Arial" w:hAnsi="Arial" w:cs="Arial"/>
          <w:sz w:val="22"/>
          <w:szCs w:val="22"/>
        </w:rPr>
        <w:t>That</w:t>
      </w:r>
      <w:r w:rsidR="002C677E">
        <w:rPr>
          <w:rFonts w:ascii="Arial" w:hAnsi="Arial" w:cs="Arial"/>
          <w:sz w:val="22"/>
          <w:szCs w:val="22"/>
        </w:rPr>
        <w:t xml:space="preserve"> </w:t>
      </w:r>
      <w:r w:rsidR="00F605B0">
        <w:rPr>
          <w:rFonts w:ascii="Arial" w:hAnsi="Arial" w:cs="Arial"/>
          <w:sz w:val="22"/>
          <w:szCs w:val="22"/>
        </w:rPr>
        <w:t xml:space="preserve">refusal </w:t>
      </w:r>
      <w:r w:rsidR="00E746CA">
        <w:rPr>
          <w:rFonts w:ascii="Arial" w:hAnsi="Arial" w:cs="Arial"/>
          <w:sz w:val="22"/>
          <w:szCs w:val="22"/>
        </w:rPr>
        <w:t xml:space="preserve">was overcome by a powerful appeal </w:t>
      </w:r>
      <w:r w:rsidR="00F605B0">
        <w:rPr>
          <w:rFonts w:ascii="Arial" w:hAnsi="Arial" w:cs="Arial"/>
          <w:sz w:val="22"/>
          <w:szCs w:val="22"/>
        </w:rPr>
        <w:t xml:space="preserve">made </w:t>
      </w:r>
      <w:r w:rsidR="00E746CA">
        <w:rPr>
          <w:rFonts w:ascii="Arial" w:hAnsi="Arial" w:cs="Arial"/>
          <w:sz w:val="22"/>
          <w:szCs w:val="22"/>
        </w:rPr>
        <w:t xml:space="preserve">by Lord Hoffman in the Privy Council to a sentiment of ‘universalism’, based on equating the outcome between the Chapter 11 Plan </w:t>
      </w:r>
      <w:r w:rsidR="002C677E">
        <w:rPr>
          <w:rFonts w:ascii="Arial" w:hAnsi="Arial" w:cs="Arial"/>
          <w:sz w:val="22"/>
          <w:szCs w:val="22"/>
        </w:rPr>
        <w:t>with</w:t>
      </w:r>
      <w:r w:rsidR="002C677E">
        <w:rPr>
          <w:rFonts w:ascii="Arial" w:hAnsi="Arial" w:cs="Arial"/>
          <w:sz w:val="22"/>
          <w:szCs w:val="22"/>
        </w:rPr>
        <w:t xml:space="preserve"> </w:t>
      </w:r>
      <w:r w:rsidR="00E746CA">
        <w:rPr>
          <w:rFonts w:ascii="Arial" w:hAnsi="Arial" w:cs="Arial"/>
          <w:sz w:val="22"/>
          <w:szCs w:val="22"/>
        </w:rPr>
        <w:t>a</w:t>
      </w:r>
      <w:r w:rsidR="00F605B0">
        <w:rPr>
          <w:rFonts w:ascii="Arial" w:hAnsi="Arial" w:cs="Arial"/>
          <w:sz w:val="22"/>
          <w:szCs w:val="22"/>
        </w:rPr>
        <w:t>n</w:t>
      </w:r>
      <w:r w:rsidR="00E746CA">
        <w:rPr>
          <w:rFonts w:ascii="Arial" w:hAnsi="Arial" w:cs="Arial"/>
          <w:sz w:val="22"/>
          <w:szCs w:val="22"/>
        </w:rPr>
        <w:t xml:space="preserve"> English Scheme </w:t>
      </w:r>
      <w:r w:rsidR="00F605B0">
        <w:rPr>
          <w:rFonts w:ascii="Arial" w:hAnsi="Arial" w:cs="Arial"/>
          <w:sz w:val="22"/>
          <w:szCs w:val="22"/>
        </w:rPr>
        <w:t>that could have</w:t>
      </w:r>
      <w:r w:rsidR="00E746CA">
        <w:rPr>
          <w:rFonts w:ascii="Arial" w:hAnsi="Arial" w:cs="Arial"/>
          <w:sz w:val="22"/>
          <w:szCs w:val="22"/>
        </w:rPr>
        <w:t xml:space="preserve"> achieve</w:t>
      </w:r>
      <w:r w:rsidR="00F605B0">
        <w:rPr>
          <w:rFonts w:ascii="Arial" w:hAnsi="Arial" w:cs="Arial"/>
          <w:sz w:val="22"/>
          <w:szCs w:val="22"/>
        </w:rPr>
        <w:t>d</w:t>
      </w:r>
      <w:r w:rsidR="00E746CA">
        <w:rPr>
          <w:rFonts w:ascii="Arial" w:hAnsi="Arial" w:cs="Arial"/>
          <w:sz w:val="22"/>
          <w:szCs w:val="22"/>
        </w:rPr>
        <w:t xml:space="preserve"> the same result.</w:t>
      </w:r>
      <w:r w:rsidR="00E746CA">
        <w:rPr>
          <w:rStyle w:val="FootnoteReference"/>
          <w:rFonts w:ascii="Arial" w:hAnsi="Arial" w:cs="Arial"/>
          <w:sz w:val="22"/>
          <w:szCs w:val="22"/>
        </w:rPr>
        <w:footnoteReference w:id="20"/>
      </w:r>
      <w:r w:rsidR="00E746CA">
        <w:rPr>
          <w:rFonts w:ascii="Arial" w:hAnsi="Arial" w:cs="Arial"/>
          <w:sz w:val="22"/>
          <w:szCs w:val="22"/>
        </w:rPr>
        <w:t xml:space="preserve"> In </w:t>
      </w:r>
      <w:r w:rsidR="006C0E81">
        <w:rPr>
          <w:rFonts w:ascii="Arial" w:hAnsi="Arial" w:cs="Arial"/>
          <w:sz w:val="22"/>
          <w:szCs w:val="22"/>
        </w:rPr>
        <w:t>a</w:t>
      </w:r>
      <w:r w:rsidR="00E746CA">
        <w:rPr>
          <w:rFonts w:ascii="Arial" w:hAnsi="Arial" w:cs="Arial"/>
          <w:sz w:val="22"/>
          <w:szCs w:val="22"/>
        </w:rPr>
        <w:t xml:space="preserve"> later </w:t>
      </w:r>
      <w:r w:rsidR="00F11862">
        <w:rPr>
          <w:rFonts w:ascii="Arial" w:hAnsi="Arial" w:cs="Arial"/>
          <w:sz w:val="22"/>
          <w:szCs w:val="22"/>
        </w:rPr>
        <w:t xml:space="preserve">Privy Council </w:t>
      </w:r>
      <w:r w:rsidR="006C0E81">
        <w:rPr>
          <w:rFonts w:ascii="Arial" w:hAnsi="Arial" w:cs="Arial"/>
          <w:sz w:val="22"/>
          <w:szCs w:val="22"/>
        </w:rPr>
        <w:t xml:space="preserve">decision in </w:t>
      </w:r>
      <w:r w:rsidR="00E746CA">
        <w:rPr>
          <w:rFonts w:ascii="Arial" w:hAnsi="Arial" w:cs="Arial"/>
          <w:i/>
          <w:iCs/>
          <w:sz w:val="22"/>
          <w:szCs w:val="22"/>
        </w:rPr>
        <w:t>Singularis</w:t>
      </w:r>
      <w:r w:rsidR="006C0E81">
        <w:rPr>
          <w:rFonts w:ascii="Arial" w:hAnsi="Arial" w:cs="Arial"/>
          <w:sz w:val="22"/>
          <w:szCs w:val="22"/>
        </w:rPr>
        <w:t>, Lord Sumption criticised Lord Hoffman’s approach on the basis that ‘the principle of modified universalism is part of the common law, but it is necessary to bear in mind, first, that it is subject to local law and local public policy’.</w:t>
      </w:r>
      <w:r w:rsidR="006C0E81" w:rsidRPr="006C0E81">
        <w:rPr>
          <w:rStyle w:val="FootnoteReference"/>
          <w:rFonts w:ascii="Arial" w:hAnsi="Arial" w:cs="Arial"/>
          <w:sz w:val="22"/>
          <w:szCs w:val="22"/>
        </w:rPr>
        <w:t xml:space="preserve"> </w:t>
      </w:r>
      <w:r w:rsidR="006C0E81">
        <w:rPr>
          <w:rStyle w:val="FootnoteReference"/>
          <w:rFonts w:ascii="Arial" w:hAnsi="Arial" w:cs="Arial"/>
          <w:sz w:val="22"/>
          <w:szCs w:val="22"/>
        </w:rPr>
        <w:footnoteReference w:id="21"/>
      </w:r>
    </w:p>
    <w:p w14:paraId="75DA7BF8" w14:textId="00C46E38" w:rsidR="005D4EF0" w:rsidRDefault="00A22E07" w:rsidP="008B40AB">
      <w:pPr>
        <w:spacing w:before="120" w:after="120" w:line="360" w:lineRule="auto"/>
        <w:jc w:val="both"/>
        <w:rPr>
          <w:rFonts w:ascii="Arial" w:hAnsi="Arial" w:cs="Arial"/>
          <w:sz w:val="22"/>
          <w:szCs w:val="22"/>
        </w:rPr>
      </w:pPr>
      <w:r>
        <w:rPr>
          <w:rFonts w:ascii="Arial" w:hAnsi="Arial" w:cs="Arial"/>
          <w:sz w:val="22"/>
          <w:szCs w:val="22"/>
        </w:rPr>
        <w:t xml:space="preserve">The tension referred to by Lord Sumption is </w:t>
      </w:r>
      <w:r w:rsidR="008A38EF">
        <w:rPr>
          <w:rFonts w:ascii="Arial" w:hAnsi="Arial" w:cs="Arial"/>
          <w:sz w:val="22"/>
          <w:szCs w:val="22"/>
        </w:rPr>
        <w:t xml:space="preserve">that </w:t>
      </w:r>
      <w:r>
        <w:rPr>
          <w:rFonts w:ascii="Arial" w:hAnsi="Arial" w:cs="Arial"/>
          <w:sz w:val="22"/>
          <w:szCs w:val="22"/>
        </w:rPr>
        <w:t>a</w:t>
      </w:r>
      <w:r w:rsidR="008A38EF">
        <w:rPr>
          <w:rFonts w:ascii="Arial" w:hAnsi="Arial" w:cs="Arial"/>
          <w:sz w:val="22"/>
          <w:szCs w:val="22"/>
        </w:rPr>
        <w:t xml:space="preserve"> Plan </w:t>
      </w:r>
      <w:r>
        <w:rPr>
          <w:rFonts w:ascii="Arial" w:hAnsi="Arial" w:cs="Arial"/>
          <w:sz w:val="22"/>
          <w:szCs w:val="22"/>
        </w:rPr>
        <w:t>may be</w:t>
      </w:r>
      <w:r w:rsidR="008A38EF">
        <w:rPr>
          <w:rFonts w:ascii="Arial" w:hAnsi="Arial" w:cs="Arial"/>
          <w:sz w:val="22"/>
          <w:szCs w:val="22"/>
        </w:rPr>
        <w:t xml:space="preserve"> valid under the orders of the approving court</w:t>
      </w:r>
      <w:r w:rsidR="00471444">
        <w:rPr>
          <w:rFonts w:ascii="Arial" w:hAnsi="Arial" w:cs="Arial"/>
          <w:sz w:val="22"/>
          <w:szCs w:val="22"/>
        </w:rPr>
        <w:t xml:space="preserve"> (located in State A)</w:t>
      </w:r>
      <w:r w:rsidR="008A38EF">
        <w:rPr>
          <w:rFonts w:ascii="Arial" w:hAnsi="Arial" w:cs="Arial"/>
          <w:sz w:val="22"/>
          <w:szCs w:val="22"/>
        </w:rPr>
        <w:t xml:space="preserve">, but </w:t>
      </w:r>
      <w:r w:rsidR="009B335E">
        <w:rPr>
          <w:rFonts w:ascii="Arial" w:hAnsi="Arial" w:cs="Arial"/>
          <w:sz w:val="22"/>
          <w:szCs w:val="22"/>
        </w:rPr>
        <w:t xml:space="preserve">is </w:t>
      </w:r>
      <w:r w:rsidR="008A38EF">
        <w:rPr>
          <w:rFonts w:ascii="Arial" w:hAnsi="Arial" w:cs="Arial"/>
          <w:sz w:val="22"/>
          <w:szCs w:val="22"/>
        </w:rPr>
        <w:t xml:space="preserve">not </w:t>
      </w:r>
      <w:r w:rsidR="009B335E">
        <w:rPr>
          <w:rFonts w:ascii="Arial" w:hAnsi="Arial" w:cs="Arial"/>
          <w:sz w:val="22"/>
          <w:szCs w:val="22"/>
        </w:rPr>
        <w:t xml:space="preserve">enforceable </w:t>
      </w:r>
      <w:r w:rsidR="00471444">
        <w:rPr>
          <w:rFonts w:ascii="Arial" w:hAnsi="Arial" w:cs="Arial"/>
          <w:sz w:val="22"/>
          <w:szCs w:val="22"/>
        </w:rPr>
        <w:t>against the stakeholder who matters (located in State B). To avoid a pyrrhic outcome of this type</w:t>
      </w:r>
      <w:r w:rsidR="008A6A8F">
        <w:rPr>
          <w:rFonts w:ascii="Arial" w:hAnsi="Arial" w:cs="Arial"/>
          <w:sz w:val="22"/>
          <w:szCs w:val="22"/>
        </w:rPr>
        <w:t xml:space="preserve"> in relation to an approved Plan</w:t>
      </w:r>
      <w:r w:rsidR="00471444">
        <w:rPr>
          <w:rFonts w:ascii="Arial" w:hAnsi="Arial" w:cs="Arial"/>
          <w:sz w:val="22"/>
          <w:szCs w:val="22"/>
        </w:rPr>
        <w:t xml:space="preserve">, three </w:t>
      </w:r>
      <w:r w:rsidR="009B335E">
        <w:rPr>
          <w:rFonts w:ascii="Arial" w:hAnsi="Arial" w:cs="Arial"/>
          <w:sz w:val="22"/>
          <w:szCs w:val="22"/>
        </w:rPr>
        <w:t>possible solutions</w:t>
      </w:r>
      <w:r w:rsidR="00471444">
        <w:rPr>
          <w:rFonts w:ascii="Arial" w:hAnsi="Arial" w:cs="Arial"/>
          <w:sz w:val="22"/>
          <w:szCs w:val="22"/>
        </w:rPr>
        <w:t xml:space="preserve"> can be identified.</w:t>
      </w:r>
    </w:p>
    <w:p w14:paraId="0A6FD4AF" w14:textId="41ECBC90" w:rsidR="00A9530E" w:rsidRDefault="00471444" w:rsidP="008B40AB">
      <w:pPr>
        <w:spacing w:before="120" w:after="120" w:line="360" w:lineRule="auto"/>
        <w:jc w:val="both"/>
        <w:rPr>
          <w:rFonts w:ascii="Arial" w:hAnsi="Arial" w:cs="Arial"/>
          <w:sz w:val="22"/>
          <w:szCs w:val="22"/>
        </w:rPr>
      </w:pPr>
      <w:r>
        <w:rPr>
          <w:rFonts w:ascii="Arial" w:hAnsi="Arial" w:cs="Arial"/>
          <w:sz w:val="22"/>
          <w:szCs w:val="22"/>
        </w:rPr>
        <w:t xml:space="preserve">First, there </w:t>
      </w:r>
      <w:r w:rsidR="00125569">
        <w:rPr>
          <w:rFonts w:ascii="Arial" w:hAnsi="Arial" w:cs="Arial"/>
          <w:sz w:val="22"/>
          <w:szCs w:val="22"/>
        </w:rPr>
        <w:t>may be</w:t>
      </w:r>
      <w:r>
        <w:rPr>
          <w:rFonts w:ascii="Arial" w:hAnsi="Arial" w:cs="Arial"/>
          <w:sz w:val="22"/>
          <w:szCs w:val="22"/>
        </w:rPr>
        <w:t xml:space="preserve"> a law of general application in State B which allows judgments of the Plan approving jurisdiction, State A, to be </w:t>
      </w:r>
      <w:r w:rsidR="00E31739">
        <w:rPr>
          <w:rFonts w:ascii="Arial" w:hAnsi="Arial" w:cs="Arial"/>
          <w:sz w:val="22"/>
          <w:szCs w:val="22"/>
        </w:rPr>
        <w:t xml:space="preserve">‘automatically’ recognised and </w:t>
      </w:r>
      <w:r>
        <w:rPr>
          <w:rFonts w:ascii="Arial" w:hAnsi="Arial" w:cs="Arial"/>
          <w:sz w:val="22"/>
          <w:szCs w:val="22"/>
        </w:rPr>
        <w:t xml:space="preserve">enforced. An example of such a law is the Australian </w:t>
      </w:r>
      <w:r>
        <w:rPr>
          <w:rFonts w:ascii="Arial" w:hAnsi="Arial" w:cs="Arial"/>
          <w:i/>
          <w:iCs/>
          <w:sz w:val="22"/>
          <w:szCs w:val="22"/>
        </w:rPr>
        <w:t xml:space="preserve">Foreign Judgments </w:t>
      </w:r>
      <w:r w:rsidR="00E31739">
        <w:rPr>
          <w:rFonts w:ascii="Arial" w:hAnsi="Arial" w:cs="Arial"/>
          <w:i/>
          <w:iCs/>
          <w:sz w:val="22"/>
          <w:szCs w:val="22"/>
        </w:rPr>
        <w:t xml:space="preserve">Act </w:t>
      </w:r>
      <w:r w:rsidR="00E31739">
        <w:rPr>
          <w:rFonts w:ascii="Arial" w:hAnsi="Arial" w:cs="Arial"/>
          <w:sz w:val="22"/>
          <w:szCs w:val="22"/>
        </w:rPr>
        <w:t>1991 (Cth)</w:t>
      </w:r>
      <w:r w:rsidR="006C0E81">
        <w:rPr>
          <w:rFonts w:ascii="Arial" w:hAnsi="Arial" w:cs="Arial"/>
          <w:sz w:val="22"/>
          <w:szCs w:val="22"/>
        </w:rPr>
        <w:t>, which</w:t>
      </w:r>
      <w:r w:rsidR="004D6785">
        <w:rPr>
          <w:rFonts w:ascii="Arial" w:hAnsi="Arial" w:cs="Arial"/>
          <w:sz w:val="22"/>
          <w:szCs w:val="22"/>
        </w:rPr>
        <w:t xml:space="preserve"> </w:t>
      </w:r>
      <w:r w:rsidR="00E31739">
        <w:rPr>
          <w:rFonts w:ascii="Arial" w:hAnsi="Arial" w:cs="Arial"/>
          <w:sz w:val="22"/>
          <w:szCs w:val="22"/>
        </w:rPr>
        <w:t xml:space="preserve">allows judgments of </w:t>
      </w:r>
      <w:r w:rsidR="008925C6">
        <w:rPr>
          <w:rFonts w:ascii="Arial" w:hAnsi="Arial" w:cs="Arial"/>
          <w:sz w:val="22"/>
          <w:szCs w:val="22"/>
        </w:rPr>
        <w:t>specified</w:t>
      </w:r>
      <w:r w:rsidR="00E31739">
        <w:rPr>
          <w:rFonts w:ascii="Arial" w:hAnsi="Arial" w:cs="Arial"/>
          <w:sz w:val="22"/>
          <w:szCs w:val="22"/>
        </w:rPr>
        <w:t xml:space="preserve"> States to be registered in Australia.</w:t>
      </w:r>
      <w:r w:rsidR="000554F6">
        <w:rPr>
          <w:rStyle w:val="FootnoteReference"/>
          <w:rFonts w:ascii="Arial" w:hAnsi="Arial" w:cs="Arial"/>
          <w:sz w:val="22"/>
          <w:szCs w:val="22"/>
        </w:rPr>
        <w:footnoteReference w:id="22"/>
      </w:r>
      <w:r w:rsidR="00E31739">
        <w:rPr>
          <w:rFonts w:ascii="Arial" w:hAnsi="Arial" w:cs="Arial"/>
          <w:sz w:val="22"/>
          <w:szCs w:val="22"/>
        </w:rPr>
        <w:t xml:space="preserve"> These include judgments of the English High Court, but not judgments of the US Court</w:t>
      </w:r>
      <w:r w:rsidR="006C0E81">
        <w:rPr>
          <w:rFonts w:ascii="Arial" w:hAnsi="Arial" w:cs="Arial"/>
          <w:sz w:val="22"/>
          <w:szCs w:val="22"/>
        </w:rPr>
        <w:t>s</w:t>
      </w:r>
      <w:r w:rsidR="00E31739">
        <w:rPr>
          <w:rFonts w:ascii="Arial" w:hAnsi="Arial" w:cs="Arial"/>
          <w:sz w:val="22"/>
          <w:szCs w:val="22"/>
        </w:rPr>
        <w:t>.</w:t>
      </w:r>
      <w:r w:rsidR="00A9530E">
        <w:rPr>
          <w:rFonts w:ascii="Arial" w:hAnsi="Arial" w:cs="Arial"/>
          <w:sz w:val="22"/>
          <w:szCs w:val="22"/>
        </w:rPr>
        <w:t xml:space="preserve"> Even where a judgment is entitled to recognition, it can be set aside if the Australian court is satisfied that the original court ‘had no jurisdiction in the circumstances of the case’.</w:t>
      </w:r>
      <w:r w:rsidR="00A9530E">
        <w:rPr>
          <w:rStyle w:val="FootnoteReference"/>
          <w:rFonts w:ascii="Arial" w:hAnsi="Arial" w:cs="Arial"/>
          <w:sz w:val="22"/>
          <w:szCs w:val="22"/>
        </w:rPr>
        <w:footnoteReference w:id="23"/>
      </w:r>
      <w:r w:rsidR="00A9530E">
        <w:rPr>
          <w:rFonts w:ascii="Arial" w:hAnsi="Arial" w:cs="Arial"/>
          <w:sz w:val="22"/>
          <w:szCs w:val="22"/>
        </w:rPr>
        <w:t xml:space="preserve"> This is a question for the enforcing court</w:t>
      </w:r>
      <w:r w:rsidR="009F06D9">
        <w:rPr>
          <w:rFonts w:ascii="Arial" w:hAnsi="Arial" w:cs="Arial"/>
          <w:sz w:val="22"/>
          <w:szCs w:val="22"/>
        </w:rPr>
        <w:t xml:space="preserve"> (in State B)</w:t>
      </w:r>
      <w:r w:rsidR="00A9530E">
        <w:rPr>
          <w:rFonts w:ascii="Arial" w:hAnsi="Arial" w:cs="Arial"/>
          <w:sz w:val="22"/>
          <w:szCs w:val="22"/>
        </w:rPr>
        <w:t xml:space="preserve"> to judge by its </w:t>
      </w:r>
      <w:r w:rsidR="009F06D9">
        <w:rPr>
          <w:rFonts w:ascii="Arial" w:hAnsi="Arial" w:cs="Arial"/>
          <w:sz w:val="22"/>
          <w:szCs w:val="22"/>
        </w:rPr>
        <w:t>private international law rules, and is not pre-empted by an assumption of jurisdiction by the Plan approving court (State A).</w:t>
      </w:r>
      <w:r w:rsidR="009F06D9">
        <w:rPr>
          <w:rStyle w:val="FootnoteReference"/>
          <w:rFonts w:ascii="Arial" w:hAnsi="Arial" w:cs="Arial"/>
          <w:sz w:val="22"/>
          <w:szCs w:val="22"/>
        </w:rPr>
        <w:footnoteReference w:id="24"/>
      </w:r>
      <w:r w:rsidR="004D6785">
        <w:rPr>
          <w:rFonts w:ascii="Arial" w:hAnsi="Arial" w:cs="Arial"/>
          <w:sz w:val="22"/>
          <w:szCs w:val="22"/>
        </w:rPr>
        <w:t xml:space="preserve"> </w:t>
      </w:r>
    </w:p>
    <w:p w14:paraId="49949D36" w14:textId="1A91E0E6" w:rsidR="00471444" w:rsidRDefault="00E31739" w:rsidP="008B40AB">
      <w:pPr>
        <w:spacing w:before="120" w:after="120" w:line="360" w:lineRule="auto"/>
        <w:jc w:val="both"/>
        <w:rPr>
          <w:rFonts w:ascii="Arial" w:hAnsi="Arial" w:cs="Arial"/>
          <w:sz w:val="22"/>
          <w:szCs w:val="22"/>
        </w:rPr>
      </w:pPr>
      <w:r>
        <w:rPr>
          <w:rFonts w:ascii="Arial" w:hAnsi="Arial" w:cs="Arial"/>
          <w:sz w:val="22"/>
          <w:szCs w:val="22"/>
        </w:rPr>
        <w:lastRenderedPageBreak/>
        <w:t xml:space="preserve">Another </w:t>
      </w:r>
      <w:r w:rsidR="00537491">
        <w:rPr>
          <w:rFonts w:ascii="Arial" w:hAnsi="Arial" w:cs="Arial"/>
          <w:sz w:val="22"/>
          <w:szCs w:val="22"/>
        </w:rPr>
        <w:t xml:space="preserve">possible </w:t>
      </w:r>
      <w:r>
        <w:rPr>
          <w:rFonts w:ascii="Arial" w:hAnsi="Arial" w:cs="Arial"/>
          <w:sz w:val="22"/>
          <w:szCs w:val="22"/>
        </w:rPr>
        <w:t xml:space="preserve">example is </w:t>
      </w:r>
      <w:r w:rsidR="009E31A4">
        <w:rPr>
          <w:rFonts w:ascii="Arial" w:hAnsi="Arial" w:cs="Arial"/>
          <w:sz w:val="22"/>
          <w:szCs w:val="22"/>
        </w:rPr>
        <w:t>the European Judgments Regulation</w:t>
      </w:r>
      <w:r w:rsidR="00984579">
        <w:rPr>
          <w:rFonts w:ascii="Arial" w:hAnsi="Arial" w:cs="Arial"/>
          <w:sz w:val="22"/>
          <w:szCs w:val="22"/>
        </w:rPr>
        <w:t xml:space="preserve"> (EJR), also known as the Recast Brussels Regulation</w:t>
      </w:r>
      <w:r w:rsidR="00537491">
        <w:rPr>
          <w:rFonts w:ascii="Arial" w:hAnsi="Arial" w:cs="Arial"/>
          <w:sz w:val="22"/>
          <w:szCs w:val="22"/>
        </w:rPr>
        <w:t>.</w:t>
      </w:r>
      <w:r w:rsidR="009E31A4">
        <w:rPr>
          <w:rStyle w:val="FootnoteReference"/>
          <w:rFonts w:ascii="Arial" w:hAnsi="Arial" w:cs="Arial"/>
          <w:sz w:val="22"/>
          <w:szCs w:val="22"/>
        </w:rPr>
        <w:footnoteReference w:id="25"/>
      </w:r>
      <w:r w:rsidR="009E31A4">
        <w:rPr>
          <w:rFonts w:ascii="Arial" w:hAnsi="Arial" w:cs="Arial"/>
          <w:sz w:val="22"/>
          <w:szCs w:val="22"/>
        </w:rPr>
        <w:t xml:space="preserve"> </w:t>
      </w:r>
      <w:r w:rsidR="00537491">
        <w:rPr>
          <w:rFonts w:ascii="Arial" w:hAnsi="Arial" w:cs="Arial"/>
          <w:sz w:val="22"/>
          <w:szCs w:val="22"/>
        </w:rPr>
        <w:t xml:space="preserve">However, </w:t>
      </w:r>
      <w:r w:rsidR="009E31A4">
        <w:rPr>
          <w:rFonts w:ascii="Arial" w:hAnsi="Arial" w:cs="Arial"/>
          <w:sz w:val="22"/>
          <w:szCs w:val="22"/>
        </w:rPr>
        <w:t>even before Brexit</w:t>
      </w:r>
      <w:r w:rsidR="00B92AD7">
        <w:rPr>
          <w:rFonts w:ascii="Arial" w:hAnsi="Arial" w:cs="Arial"/>
          <w:sz w:val="22"/>
          <w:szCs w:val="22"/>
        </w:rPr>
        <w:t>,</w:t>
      </w:r>
      <w:r w:rsidR="009E31A4">
        <w:rPr>
          <w:rFonts w:ascii="Arial" w:hAnsi="Arial" w:cs="Arial"/>
          <w:sz w:val="22"/>
          <w:szCs w:val="22"/>
        </w:rPr>
        <w:t xml:space="preserve"> </w:t>
      </w:r>
      <w:r w:rsidR="00984579">
        <w:rPr>
          <w:rFonts w:ascii="Arial" w:hAnsi="Arial" w:cs="Arial"/>
          <w:sz w:val="22"/>
          <w:szCs w:val="22"/>
        </w:rPr>
        <w:t>the EJR</w:t>
      </w:r>
      <w:r w:rsidR="00537491">
        <w:rPr>
          <w:rFonts w:ascii="Arial" w:hAnsi="Arial" w:cs="Arial"/>
          <w:sz w:val="22"/>
          <w:szCs w:val="22"/>
        </w:rPr>
        <w:t xml:space="preserve"> excluded </w:t>
      </w:r>
      <w:r w:rsidR="009B335E">
        <w:rPr>
          <w:rFonts w:ascii="Arial" w:hAnsi="Arial" w:cs="Arial"/>
          <w:sz w:val="22"/>
          <w:szCs w:val="22"/>
        </w:rPr>
        <w:t>‘</w:t>
      </w:r>
      <w:r w:rsidR="00537491">
        <w:rPr>
          <w:rFonts w:ascii="Arial" w:hAnsi="Arial" w:cs="Arial"/>
          <w:sz w:val="22"/>
          <w:szCs w:val="22"/>
        </w:rPr>
        <w:t>Bankruptcy proceedings</w:t>
      </w:r>
      <w:r w:rsidR="009B335E">
        <w:rPr>
          <w:rFonts w:ascii="Arial" w:hAnsi="Arial" w:cs="Arial"/>
          <w:sz w:val="22"/>
          <w:szCs w:val="22"/>
        </w:rPr>
        <w:t>’,</w:t>
      </w:r>
      <w:r w:rsidR="00537491">
        <w:rPr>
          <w:rFonts w:ascii="Arial" w:hAnsi="Arial" w:cs="Arial"/>
          <w:sz w:val="22"/>
          <w:szCs w:val="22"/>
        </w:rPr>
        <w:t xml:space="preserve"> as well as </w:t>
      </w:r>
      <w:r w:rsidR="009B335E">
        <w:rPr>
          <w:rFonts w:ascii="Arial" w:hAnsi="Arial" w:cs="Arial"/>
          <w:sz w:val="22"/>
          <w:szCs w:val="22"/>
        </w:rPr>
        <w:t>‘</w:t>
      </w:r>
      <w:r w:rsidR="00537491">
        <w:rPr>
          <w:rFonts w:ascii="Arial" w:hAnsi="Arial" w:cs="Arial"/>
          <w:sz w:val="22"/>
          <w:szCs w:val="22"/>
        </w:rPr>
        <w:t>judicial arrangements, compositions and analogous proceedings</w:t>
      </w:r>
      <w:r w:rsidR="009B335E">
        <w:rPr>
          <w:rFonts w:ascii="Arial" w:hAnsi="Arial" w:cs="Arial"/>
          <w:sz w:val="22"/>
          <w:szCs w:val="22"/>
        </w:rPr>
        <w:t>’</w:t>
      </w:r>
      <w:r w:rsidR="00537491">
        <w:rPr>
          <w:rFonts w:ascii="Arial" w:hAnsi="Arial" w:cs="Arial"/>
          <w:sz w:val="22"/>
          <w:szCs w:val="22"/>
        </w:rPr>
        <w:t>, which arguabl</w:t>
      </w:r>
      <w:r w:rsidR="00A9530E">
        <w:rPr>
          <w:rFonts w:ascii="Arial" w:hAnsi="Arial" w:cs="Arial"/>
          <w:sz w:val="22"/>
          <w:szCs w:val="22"/>
        </w:rPr>
        <w:t>y</w:t>
      </w:r>
      <w:r w:rsidR="00537491">
        <w:rPr>
          <w:rFonts w:ascii="Arial" w:hAnsi="Arial" w:cs="Arial"/>
          <w:sz w:val="22"/>
          <w:szCs w:val="22"/>
        </w:rPr>
        <w:t xml:space="preserve"> encompass restructuring Plans.</w:t>
      </w:r>
      <w:r w:rsidR="00537491">
        <w:rPr>
          <w:rStyle w:val="FootnoteReference"/>
          <w:rFonts w:ascii="Arial" w:hAnsi="Arial" w:cs="Arial"/>
          <w:sz w:val="22"/>
          <w:szCs w:val="22"/>
        </w:rPr>
        <w:footnoteReference w:id="26"/>
      </w:r>
      <w:r w:rsidR="00537491">
        <w:rPr>
          <w:rFonts w:ascii="Arial" w:hAnsi="Arial" w:cs="Arial"/>
          <w:sz w:val="22"/>
          <w:szCs w:val="22"/>
        </w:rPr>
        <w:t xml:space="preserve"> In any event, Allen &amp; Ovary (2015) noted that the pre-Brexit application </w:t>
      </w:r>
      <w:r w:rsidR="009E31A4">
        <w:rPr>
          <w:rFonts w:ascii="Arial" w:hAnsi="Arial" w:cs="Arial"/>
          <w:sz w:val="22"/>
          <w:szCs w:val="22"/>
        </w:rPr>
        <w:t xml:space="preserve">of </w:t>
      </w:r>
      <w:r w:rsidR="00984579">
        <w:rPr>
          <w:rFonts w:ascii="Arial" w:hAnsi="Arial" w:cs="Arial"/>
          <w:sz w:val="22"/>
          <w:szCs w:val="22"/>
        </w:rPr>
        <w:t>the EJR</w:t>
      </w:r>
      <w:r w:rsidR="009E31A4">
        <w:rPr>
          <w:rFonts w:ascii="Arial" w:hAnsi="Arial" w:cs="Arial"/>
          <w:sz w:val="22"/>
          <w:szCs w:val="22"/>
        </w:rPr>
        <w:t xml:space="preserve"> to English Schemes depended upon </w:t>
      </w:r>
      <w:r w:rsidR="00B60BCB">
        <w:rPr>
          <w:rFonts w:ascii="Arial" w:hAnsi="Arial" w:cs="Arial"/>
          <w:sz w:val="22"/>
          <w:szCs w:val="22"/>
        </w:rPr>
        <w:t xml:space="preserve">certain preconditions being satisfied – such as </w:t>
      </w:r>
      <w:r w:rsidR="00537491">
        <w:rPr>
          <w:rFonts w:ascii="Arial" w:hAnsi="Arial" w:cs="Arial"/>
          <w:sz w:val="22"/>
          <w:szCs w:val="22"/>
        </w:rPr>
        <w:t xml:space="preserve">whether there was </w:t>
      </w:r>
      <w:r w:rsidR="00B60BCB">
        <w:rPr>
          <w:rFonts w:ascii="Arial" w:hAnsi="Arial" w:cs="Arial"/>
          <w:sz w:val="22"/>
          <w:szCs w:val="22"/>
        </w:rPr>
        <w:t xml:space="preserve">submission to the English Court’s jurisdiction by all affected parties, or one creditor </w:t>
      </w:r>
      <w:r w:rsidR="00537491">
        <w:rPr>
          <w:rFonts w:ascii="Arial" w:hAnsi="Arial" w:cs="Arial"/>
          <w:sz w:val="22"/>
          <w:szCs w:val="22"/>
        </w:rPr>
        <w:t>was</w:t>
      </w:r>
      <w:r w:rsidR="00B60BCB">
        <w:rPr>
          <w:rFonts w:ascii="Arial" w:hAnsi="Arial" w:cs="Arial"/>
          <w:sz w:val="22"/>
          <w:szCs w:val="22"/>
        </w:rPr>
        <w:t xml:space="preserve"> domiciled in England. The existence of gateway conditions </w:t>
      </w:r>
      <w:r w:rsidR="008A6A8F">
        <w:rPr>
          <w:rFonts w:ascii="Arial" w:hAnsi="Arial" w:cs="Arial"/>
          <w:sz w:val="22"/>
          <w:szCs w:val="22"/>
        </w:rPr>
        <w:t xml:space="preserve">of this type </w:t>
      </w:r>
      <w:r w:rsidR="00B60BCB">
        <w:rPr>
          <w:rFonts w:ascii="Arial" w:hAnsi="Arial" w:cs="Arial"/>
          <w:sz w:val="22"/>
          <w:szCs w:val="22"/>
        </w:rPr>
        <w:t>in general recognition statutes will require close examination in each individual case</w:t>
      </w:r>
      <w:r w:rsidR="00D2411D">
        <w:rPr>
          <w:rFonts w:ascii="Arial" w:hAnsi="Arial" w:cs="Arial"/>
          <w:sz w:val="22"/>
          <w:szCs w:val="22"/>
        </w:rPr>
        <w:t xml:space="preserve">, </w:t>
      </w:r>
      <w:r w:rsidR="00B92AD7">
        <w:rPr>
          <w:rFonts w:ascii="Arial" w:hAnsi="Arial" w:cs="Arial"/>
          <w:sz w:val="22"/>
          <w:szCs w:val="22"/>
        </w:rPr>
        <w:t>as</w:t>
      </w:r>
      <w:r w:rsidR="00D2411D">
        <w:rPr>
          <w:rFonts w:ascii="Arial" w:hAnsi="Arial" w:cs="Arial"/>
          <w:sz w:val="22"/>
          <w:szCs w:val="22"/>
        </w:rPr>
        <w:t xml:space="preserve"> it cannot be assumed that simply because the English, US or other court </w:t>
      </w:r>
      <w:r w:rsidR="009B335E">
        <w:rPr>
          <w:rFonts w:ascii="Arial" w:hAnsi="Arial" w:cs="Arial"/>
          <w:sz w:val="22"/>
          <w:szCs w:val="22"/>
        </w:rPr>
        <w:t xml:space="preserve">has </w:t>
      </w:r>
      <w:r w:rsidR="00D2411D">
        <w:rPr>
          <w:rFonts w:ascii="Arial" w:hAnsi="Arial" w:cs="Arial"/>
          <w:sz w:val="22"/>
          <w:szCs w:val="22"/>
        </w:rPr>
        <w:t>accepted jurisdiction</w:t>
      </w:r>
      <w:r w:rsidR="00B92AD7">
        <w:rPr>
          <w:rFonts w:ascii="Arial" w:hAnsi="Arial" w:cs="Arial"/>
          <w:sz w:val="22"/>
          <w:szCs w:val="22"/>
        </w:rPr>
        <w:t>,</w:t>
      </w:r>
      <w:r w:rsidR="00D2411D">
        <w:rPr>
          <w:rFonts w:ascii="Arial" w:hAnsi="Arial" w:cs="Arial"/>
          <w:sz w:val="22"/>
          <w:szCs w:val="22"/>
        </w:rPr>
        <w:t xml:space="preserve"> that the Plan will be </w:t>
      </w:r>
      <w:r w:rsidR="00B92AD7">
        <w:rPr>
          <w:rFonts w:ascii="Arial" w:hAnsi="Arial" w:cs="Arial"/>
          <w:sz w:val="22"/>
          <w:szCs w:val="22"/>
        </w:rPr>
        <w:t xml:space="preserve">recognised by the enforcing court </w:t>
      </w:r>
      <w:r w:rsidR="00D2411D">
        <w:rPr>
          <w:rFonts w:ascii="Arial" w:hAnsi="Arial" w:cs="Arial"/>
          <w:sz w:val="22"/>
          <w:szCs w:val="22"/>
        </w:rPr>
        <w:t xml:space="preserve">in </w:t>
      </w:r>
      <w:r w:rsidR="00B92AD7">
        <w:rPr>
          <w:rFonts w:ascii="Arial" w:hAnsi="Arial" w:cs="Arial"/>
          <w:sz w:val="22"/>
          <w:szCs w:val="22"/>
        </w:rPr>
        <w:t xml:space="preserve">another </w:t>
      </w:r>
      <w:r w:rsidR="009B335E">
        <w:rPr>
          <w:rFonts w:ascii="Arial" w:hAnsi="Arial" w:cs="Arial"/>
          <w:sz w:val="22"/>
          <w:szCs w:val="22"/>
        </w:rPr>
        <w:t>S</w:t>
      </w:r>
      <w:r w:rsidR="00B92AD7">
        <w:rPr>
          <w:rFonts w:ascii="Arial" w:hAnsi="Arial" w:cs="Arial"/>
          <w:sz w:val="22"/>
          <w:szCs w:val="22"/>
        </w:rPr>
        <w:t>tate</w:t>
      </w:r>
      <w:r w:rsidR="00D2411D">
        <w:rPr>
          <w:rFonts w:ascii="Arial" w:hAnsi="Arial" w:cs="Arial"/>
          <w:sz w:val="22"/>
          <w:szCs w:val="22"/>
        </w:rPr>
        <w:t>.</w:t>
      </w:r>
    </w:p>
    <w:p w14:paraId="02DD84C0" w14:textId="11C5A3FD" w:rsidR="00FC17F0" w:rsidRDefault="00E31739" w:rsidP="008B40AB">
      <w:pPr>
        <w:spacing w:before="120" w:after="120" w:line="360" w:lineRule="auto"/>
        <w:jc w:val="both"/>
        <w:rPr>
          <w:rFonts w:ascii="Arial" w:hAnsi="Arial" w:cs="Arial"/>
          <w:sz w:val="22"/>
          <w:szCs w:val="22"/>
        </w:rPr>
      </w:pPr>
      <w:r>
        <w:rPr>
          <w:rFonts w:ascii="Arial" w:hAnsi="Arial" w:cs="Arial"/>
          <w:sz w:val="22"/>
          <w:szCs w:val="22"/>
        </w:rPr>
        <w:t>Second, there are insolvency specific laws and texts which may be incorporated into the law of State B</w:t>
      </w:r>
      <w:r w:rsidR="00303F4B">
        <w:rPr>
          <w:rFonts w:ascii="Arial" w:hAnsi="Arial" w:cs="Arial"/>
          <w:sz w:val="22"/>
          <w:szCs w:val="22"/>
        </w:rPr>
        <w:t xml:space="preserve"> that rely upon the subject matter of the judgment, rather than the place it was delivered. This is an evolving area of international law and practice, led by the work of UNCITRAL in relation to two of its model laws, the Model Law on Cross-Border Insolvency (MLCBI) and the Model Law on Insolvency Related Judgments (MLIJ). The first of these was promulgated in </w:t>
      </w:r>
      <w:r w:rsidR="00ED2F05">
        <w:rPr>
          <w:rFonts w:ascii="Arial" w:hAnsi="Arial" w:cs="Arial"/>
          <w:sz w:val="22"/>
          <w:szCs w:val="22"/>
        </w:rPr>
        <w:t>1997</w:t>
      </w:r>
      <w:r w:rsidR="00303F4B">
        <w:rPr>
          <w:rFonts w:ascii="Arial" w:hAnsi="Arial" w:cs="Arial"/>
          <w:sz w:val="22"/>
          <w:szCs w:val="22"/>
        </w:rPr>
        <w:t xml:space="preserve"> and has been adopted in </w:t>
      </w:r>
      <w:r w:rsidR="00ED2F05">
        <w:rPr>
          <w:rFonts w:ascii="Arial" w:hAnsi="Arial" w:cs="Arial"/>
          <w:sz w:val="22"/>
          <w:szCs w:val="22"/>
        </w:rPr>
        <w:t>50 States</w:t>
      </w:r>
      <w:r w:rsidR="00303F4B">
        <w:rPr>
          <w:rFonts w:ascii="Arial" w:hAnsi="Arial" w:cs="Arial"/>
          <w:sz w:val="22"/>
          <w:szCs w:val="22"/>
        </w:rPr>
        <w:t>.</w:t>
      </w:r>
      <w:r w:rsidR="00ED2F05">
        <w:rPr>
          <w:rStyle w:val="FootnoteReference"/>
          <w:rFonts w:ascii="Arial" w:hAnsi="Arial" w:cs="Arial"/>
          <w:sz w:val="22"/>
          <w:szCs w:val="22"/>
        </w:rPr>
        <w:footnoteReference w:id="27"/>
      </w:r>
      <w:r w:rsidR="00303F4B">
        <w:rPr>
          <w:rFonts w:ascii="Arial" w:hAnsi="Arial" w:cs="Arial"/>
          <w:sz w:val="22"/>
          <w:szCs w:val="22"/>
        </w:rPr>
        <w:t xml:space="preserve"> The latter is more recent, </w:t>
      </w:r>
      <w:r w:rsidR="00ED2F05">
        <w:rPr>
          <w:rFonts w:ascii="Arial" w:hAnsi="Arial" w:cs="Arial"/>
          <w:sz w:val="22"/>
          <w:szCs w:val="22"/>
        </w:rPr>
        <w:t>2018,</w:t>
      </w:r>
      <w:r w:rsidR="00303F4B">
        <w:rPr>
          <w:rFonts w:ascii="Arial" w:hAnsi="Arial" w:cs="Arial"/>
          <w:sz w:val="22"/>
          <w:szCs w:val="22"/>
        </w:rPr>
        <w:t xml:space="preserve"> and has not yet been adopted in any </w:t>
      </w:r>
      <w:r w:rsidR="009B335E">
        <w:rPr>
          <w:rFonts w:ascii="Arial" w:hAnsi="Arial" w:cs="Arial"/>
          <w:sz w:val="22"/>
          <w:szCs w:val="22"/>
        </w:rPr>
        <w:t>State</w:t>
      </w:r>
      <w:r w:rsidR="00303F4B">
        <w:rPr>
          <w:rFonts w:ascii="Arial" w:hAnsi="Arial" w:cs="Arial"/>
          <w:sz w:val="22"/>
          <w:szCs w:val="22"/>
        </w:rPr>
        <w:t xml:space="preserve">. </w:t>
      </w:r>
    </w:p>
    <w:p w14:paraId="3B16229F" w14:textId="5F77A8A4" w:rsidR="006A38F0" w:rsidRDefault="00303F4B" w:rsidP="008B40AB">
      <w:pPr>
        <w:spacing w:before="120" w:after="120" w:line="360" w:lineRule="auto"/>
        <w:jc w:val="both"/>
        <w:rPr>
          <w:rFonts w:ascii="Arial" w:hAnsi="Arial" w:cs="Arial"/>
          <w:sz w:val="22"/>
          <w:szCs w:val="22"/>
        </w:rPr>
      </w:pPr>
      <w:r>
        <w:rPr>
          <w:rFonts w:ascii="Arial" w:hAnsi="Arial" w:cs="Arial"/>
          <w:sz w:val="22"/>
          <w:szCs w:val="22"/>
        </w:rPr>
        <w:t xml:space="preserve">These Model Laws </w:t>
      </w:r>
      <w:r w:rsidR="002429B0">
        <w:rPr>
          <w:rFonts w:ascii="Arial" w:hAnsi="Arial" w:cs="Arial"/>
          <w:sz w:val="22"/>
          <w:szCs w:val="22"/>
        </w:rPr>
        <w:t>may be</w:t>
      </w:r>
      <w:r>
        <w:rPr>
          <w:rFonts w:ascii="Arial" w:hAnsi="Arial" w:cs="Arial"/>
          <w:sz w:val="22"/>
          <w:szCs w:val="22"/>
        </w:rPr>
        <w:t xml:space="preserve"> complemented by other regional laws</w:t>
      </w:r>
      <w:r w:rsidR="009B335E">
        <w:rPr>
          <w:rFonts w:ascii="Arial" w:hAnsi="Arial" w:cs="Arial"/>
          <w:sz w:val="22"/>
          <w:szCs w:val="22"/>
        </w:rPr>
        <w:t>,</w:t>
      </w:r>
      <w:r>
        <w:rPr>
          <w:rFonts w:ascii="Arial" w:hAnsi="Arial" w:cs="Arial"/>
          <w:sz w:val="22"/>
          <w:szCs w:val="22"/>
        </w:rPr>
        <w:t xml:space="preserve"> such as the European Union’s Insolvency Regulation 2015</w:t>
      </w:r>
      <w:r w:rsidR="006A38F0">
        <w:rPr>
          <w:rFonts w:ascii="Arial" w:hAnsi="Arial" w:cs="Arial"/>
          <w:sz w:val="22"/>
          <w:szCs w:val="22"/>
        </w:rPr>
        <w:t xml:space="preserve"> (EUIR)</w:t>
      </w:r>
      <w:r w:rsidR="00FC17F0">
        <w:rPr>
          <w:rFonts w:ascii="Arial" w:hAnsi="Arial" w:cs="Arial"/>
          <w:sz w:val="22"/>
          <w:szCs w:val="22"/>
        </w:rPr>
        <w:t>.</w:t>
      </w:r>
      <w:r w:rsidR="002429B0">
        <w:rPr>
          <w:rStyle w:val="FootnoteReference"/>
          <w:rFonts w:ascii="Arial" w:hAnsi="Arial" w:cs="Arial"/>
          <w:sz w:val="22"/>
          <w:szCs w:val="22"/>
        </w:rPr>
        <w:footnoteReference w:id="28"/>
      </w:r>
      <w:r w:rsidR="002429B0">
        <w:rPr>
          <w:rFonts w:ascii="Arial" w:hAnsi="Arial" w:cs="Arial"/>
          <w:sz w:val="22"/>
          <w:szCs w:val="22"/>
        </w:rPr>
        <w:t xml:space="preserve"> </w:t>
      </w:r>
      <w:r w:rsidR="006A38F0">
        <w:rPr>
          <w:rFonts w:ascii="Arial" w:hAnsi="Arial" w:cs="Arial"/>
          <w:sz w:val="22"/>
          <w:szCs w:val="22"/>
        </w:rPr>
        <w:t>The solution to the problem of ‘territoriality’ adopted by the Model Laws and the EUIR is one of ‘modified universalism’, based on the predicate that the appropriate court to open any insolvency,</w:t>
      </w:r>
      <w:r w:rsidR="0046031D">
        <w:rPr>
          <w:rStyle w:val="FootnoteReference"/>
          <w:rFonts w:ascii="Arial" w:hAnsi="Arial" w:cs="Arial"/>
          <w:sz w:val="22"/>
          <w:szCs w:val="22"/>
        </w:rPr>
        <w:footnoteReference w:id="29"/>
      </w:r>
      <w:r w:rsidR="006A38F0">
        <w:rPr>
          <w:rFonts w:ascii="Arial" w:hAnsi="Arial" w:cs="Arial"/>
          <w:sz w:val="22"/>
          <w:szCs w:val="22"/>
        </w:rPr>
        <w:t xml:space="preserve"> </w:t>
      </w:r>
      <w:r w:rsidR="009B2BC3">
        <w:rPr>
          <w:rFonts w:ascii="Arial" w:hAnsi="Arial" w:cs="Arial"/>
          <w:sz w:val="22"/>
          <w:szCs w:val="22"/>
        </w:rPr>
        <w:t>and</w:t>
      </w:r>
      <w:r w:rsidR="006A38F0">
        <w:rPr>
          <w:rFonts w:ascii="Arial" w:hAnsi="Arial" w:cs="Arial"/>
          <w:sz w:val="22"/>
          <w:szCs w:val="22"/>
        </w:rPr>
        <w:t xml:space="preserve"> in the case of the EUIR pre-insolvency proceedings,</w:t>
      </w:r>
      <w:r w:rsidR="0046031D">
        <w:rPr>
          <w:rStyle w:val="FootnoteReference"/>
          <w:rFonts w:ascii="Arial" w:hAnsi="Arial" w:cs="Arial"/>
          <w:sz w:val="22"/>
          <w:szCs w:val="22"/>
        </w:rPr>
        <w:footnoteReference w:id="30"/>
      </w:r>
      <w:r w:rsidR="006A38F0">
        <w:rPr>
          <w:rFonts w:ascii="Arial" w:hAnsi="Arial" w:cs="Arial"/>
          <w:sz w:val="22"/>
          <w:szCs w:val="22"/>
        </w:rPr>
        <w:t xml:space="preserve"> is determined by the COMI (Goode 2011)</w:t>
      </w:r>
      <w:r w:rsidR="009B335E">
        <w:rPr>
          <w:rFonts w:ascii="Arial" w:hAnsi="Arial" w:cs="Arial"/>
          <w:sz w:val="22"/>
          <w:szCs w:val="22"/>
        </w:rPr>
        <w:t>.</w:t>
      </w:r>
      <w:r w:rsidR="004D6785">
        <w:rPr>
          <w:rFonts w:ascii="Arial" w:hAnsi="Arial" w:cs="Arial"/>
          <w:sz w:val="22"/>
          <w:szCs w:val="22"/>
        </w:rPr>
        <w:t xml:space="preserve"> </w:t>
      </w:r>
      <w:r w:rsidR="00FC17F0">
        <w:rPr>
          <w:rFonts w:ascii="Arial" w:hAnsi="Arial" w:cs="Arial"/>
          <w:sz w:val="22"/>
          <w:szCs w:val="22"/>
        </w:rPr>
        <w:t>However,</w:t>
      </w:r>
      <w:r w:rsidR="004B2C3E">
        <w:rPr>
          <w:rFonts w:ascii="Arial" w:hAnsi="Arial" w:cs="Arial"/>
          <w:sz w:val="22"/>
          <w:szCs w:val="22"/>
        </w:rPr>
        <w:t xml:space="preserve"> </w:t>
      </w:r>
      <w:r w:rsidR="006A38F0">
        <w:rPr>
          <w:rFonts w:ascii="Arial" w:hAnsi="Arial" w:cs="Arial"/>
          <w:sz w:val="22"/>
          <w:szCs w:val="22"/>
        </w:rPr>
        <w:t>by definition, th</w:t>
      </w:r>
      <w:r w:rsidR="0046031D">
        <w:rPr>
          <w:rFonts w:ascii="Arial" w:hAnsi="Arial" w:cs="Arial"/>
          <w:sz w:val="22"/>
          <w:szCs w:val="22"/>
        </w:rPr>
        <w:t xml:space="preserve">e acceptance of jurisdiction in respect of a foreign debtor, excludes the COMI as a basis for jurisdiction. Thus, in principle, the Model Laws and the EUIR will, or may be, of little assistance in the enforcement of a </w:t>
      </w:r>
      <w:r w:rsidR="002006C1">
        <w:rPr>
          <w:rFonts w:ascii="Arial" w:hAnsi="Arial" w:cs="Arial"/>
          <w:sz w:val="22"/>
          <w:szCs w:val="22"/>
        </w:rPr>
        <w:t>restructuring</w:t>
      </w:r>
      <w:r w:rsidR="0046031D">
        <w:rPr>
          <w:rFonts w:ascii="Arial" w:hAnsi="Arial" w:cs="Arial"/>
          <w:sz w:val="22"/>
          <w:szCs w:val="22"/>
        </w:rPr>
        <w:t xml:space="preserve"> order of a court</w:t>
      </w:r>
      <w:r w:rsidR="00F11862">
        <w:rPr>
          <w:rFonts w:ascii="Arial" w:hAnsi="Arial" w:cs="Arial"/>
          <w:sz w:val="22"/>
          <w:szCs w:val="22"/>
        </w:rPr>
        <w:t xml:space="preserve"> in respect of a foreign company</w:t>
      </w:r>
      <w:r w:rsidR="0046031D">
        <w:rPr>
          <w:rFonts w:ascii="Arial" w:hAnsi="Arial" w:cs="Arial"/>
          <w:sz w:val="22"/>
          <w:szCs w:val="22"/>
        </w:rPr>
        <w:t xml:space="preserve">. It is also difficult to see how </w:t>
      </w:r>
      <w:r w:rsidR="00980A7A">
        <w:rPr>
          <w:rFonts w:ascii="Arial" w:hAnsi="Arial" w:cs="Arial"/>
          <w:sz w:val="22"/>
          <w:szCs w:val="22"/>
        </w:rPr>
        <w:t xml:space="preserve">the </w:t>
      </w:r>
      <w:r w:rsidR="0046031D">
        <w:rPr>
          <w:rFonts w:ascii="Arial" w:hAnsi="Arial" w:cs="Arial"/>
          <w:sz w:val="22"/>
          <w:szCs w:val="22"/>
        </w:rPr>
        <w:t xml:space="preserve">express or implicit disfavour </w:t>
      </w:r>
      <w:r w:rsidR="007E3EE6">
        <w:rPr>
          <w:rFonts w:ascii="Arial" w:hAnsi="Arial" w:cs="Arial"/>
          <w:sz w:val="22"/>
          <w:szCs w:val="22"/>
        </w:rPr>
        <w:t>of ‘forum shopping’ under these texts would lead to a relaxation of the</w:t>
      </w:r>
      <w:r w:rsidR="00F11862">
        <w:rPr>
          <w:rFonts w:ascii="Arial" w:hAnsi="Arial" w:cs="Arial"/>
          <w:sz w:val="22"/>
          <w:szCs w:val="22"/>
        </w:rPr>
        <w:t>ir</w:t>
      </w:r>
      <w:r w:rsidR="007E3EE6">
        <w:rPr>
          <w:rFonts w:ascii="Arial" w:hAnsi="Arial" w:cs="Arial"/>
          <w:sz w:val="22"/>
          <w:szCs w:val="22"/>
        </w:rPr>
        <w:t xml:space="preserve"> basal COMI requirement.</w:t>
      </w:r>
      <w:r w:rsidR="007E3EE6" w:rsidRPr="007E3EE6">
        <w:rPr>
          <w:rStyle w:val="FootnoteReference"/>
          <w:rFonts w:ascii="Arial" w:hAnsi="Arial" w:cs="Arial"/>
          <w:sz w:val="22"/>
          <w:szCs w:val="22"/>
        </w:rPr>
        <w:t xml:space="preserve"> </w:t>
      </w:r>
      <w:r w:rsidR="007E3EE6">
        <w:rPr>
          <w:rStyle w:val="FootnoteReference"/>
          <w:rFonts w:ascii="Arial" w:hAnsi="Arial" w:cs="Arial"/>
          <w:sz w:val="22"/>
          <w:szCs w:val="22"/>
        </w:rPr>
        <w:footnoteReference w:id="31"/>
      </w:r>
    </w:p>
    <w:p w14:paraId="2CA95D45" w14:textId="2D73524A" w:rsidR="005929A9" w:rsidRDefault="00CA0ECF" w:rsidP="00C822C9">
      <w:pPr>
        <w:spacing w:before="120" w:after="120" w:line="360" w:lineRule="auto"/>
        <w:jc w:val="both"/>
        <w:rPr>
          <w:rFonts w:ascii="Arial" w:hAnsi="Arial" w:cs="Arial"/>
          <w:sz w:val="22"/>
          <w:szCs w:val="22"/>
        </w:rPr>
      </w:pPr>
      <w:r>
        <w:rPr>
          <w:rFonts w:ascii="Arial" w:hAnsi="Arial" w:cs="Arial"/>
          <w:sz w:val="22"/>
          <w:szCs w:val="22"/>
        </w:rPr>
        <w:lastRenderedPageBreak/>
        <w:t>There may be</w:t>
      </w:r>
      <w:r w:rsidR="007E3EE6">
        <w:rPr>
          <w:rFonts w:ascii="Arial" w:hAnsi="Arial" w:cs="Arial"/>
          <w:sz w:val="22"/>
          <w:szCs w:val="22"/>
        </w:rPr>
        <w:t xml:space="preserve"> other problematic issues under the </w:t>
      </w:r>
      <w:r w:rsidR="006728D9">
        <w:rPr>
          <w:rFonts w:ascii="Arial" w:hAnsi="Arial" w:cs="Arial"/>
          <w:sz w:val="22"/>
          <w:szCs w:val="22"/>
        </w:rPr>
        <w:t xml:space="preserve">MLCBI and MLIJ </w:t>
      </w:r>
      <w:r w:rsidR="007E3EE6">
        <w:rPr>
          <w:rFonts w:ascii="Arial" w:hAnsi="Arial" w:cs="Arial"/>
          <w:sz w:val="22"/>
          <w:szCs w:val="22"/>
        </w:rPr>
        <w:t xml:space="preserve">in relation to the </w:t>
      </w:r>
      <w:r w:rsidR="002006C1">
        <w:rPr>
          <w:rFonts w:ascii="Arial" w:hAnsi="Arial" w:cs="Arial"/>
          <w:sz w:val="22"/>
          <w:szCs w:val="22"/>
        </w:rPr>
        <w:t>restructuring</w:t>
      </w:r>
      <w:r w:rsidR="007E3EE6">
        <w:rPr>
          <w:rFonts w:ascii="Arial" w:hAnsi="Arial" w:cs="Arial"/>
          <w:sz w:val="22"/>
          <w:szCs w:val="22"/>
        </w:rPr>
        <w:t xml:space="preserve"> of foreign companies, </w:t>
      </w:r>
      <w:r w:rsidR="009B335E">
        <w:rPr>
          <w:rFonts w:ascii="Arial" w:hAnsi="Arial" w:cs="Arial"/>
          <w:sz w:val="22"/>
          <w:szCs w:val="22"/>
        </w:rPr>
        <w:t xml:space="preserve">which </w:t>
      </w:r>
      <w:r w:rsidR="007E3EE6">
        <w:rPr>
          <w:rFonts w:ascii="Arial" w:hAnsi="Arial" w:cs="Arial"/>
          <w:sz w:val="22"/>
          <w:szCs w:val="22"/>
        </w:rPr>
        <w:t>may also be noted.</w:t>
      </w:r>
      <w:r w:rsidR="006728D9">
        <w:rPr>
          <w:rFonts w:ascii="Arial" w:hAnsi="Arial" w:cs="Arial"/>
          <w:sz w:val="22"/>
          <w:szCs w:val="22"/>
        </w:rPr>
        <w:t xml:space="preserve"> </w:t>
      </w:r>
      <w:r>
        <w:rPr>
          <w:rFonts w:ascii="Arial" w:hAnsi="Arial" w:cs="Arial"/>
          <w:sz w:val="22"/>
          <w:szCs w:val="22"/>
        </w:rPr>
        <w:t>For example, English Schemes may not satisfy the requirements in the MLCBI and MLIJ</w:t>
      </w:r>
      <w:r w:rsidR="0036757E">
        <w:rPr>
          <w:rFonts w:ascii="Arial" w:hAnsi="Arial" w:cs="Arial"/>
          <w:sz w:val="22"/>
          <w:szCs w:val="22"/>
        </w:rPr>
        <w:t>, as</w:t>
      </w:r>
      <w:r>
        <w:rPr>
          <w:rFonts w:ascii="Arial" w:hAnsi="Arial" w:cs="Arial"/>
          <w:sz w:val="22"/>
          <w:szCs w:val="22"/>
        </w:rPr>
        <w:t xml:space="preserve"> Part 26 of the English </w:t>
      </w:r>
      <w:r w:rsidRPr="0010787E">
        <w:rPr>
          <w:rFonts w:ascii="Arial" w:hAnsi="Arial" w:cs="Arial"/>
          <w:i/>
          <w:iCs/>
          <w:sz w:val="22"/>
          <w:szCs w:val="22"/>
        </w:rPr>
        <w:t>Companies Act</w:t>
      </w:r>
      <w:r w:rsidR="004D6785">
        <w:rPr>
          <w:rFonts w:ascii="Arial" w:hAnsi="Arial" w:cs="Arial"/>
          <w:sz w:val="22"/>
          <w:szCs w:val="22"/>
        </w:rPr>
        <w:t xml:space="preserve"> </w:t>
      </w:r>
      <w:r w:rsidR="0036757E">
        <w:rPr>
          <w:rFonts w:ascii="Arial" w:hAnsi="Arial" w:cs="Arial"/>
          <w:sz w:val="22"/>
          <w:szCs w:val="22"/>
        </w:rPr>
        <w:t>may not be</w:t>
      </w:r>
      <w:r w:rsidR="00980A7A">
        <w:rPr>
          <w:rFonts w:ascii="Arial" w:hAnsi="Arial" w:cs="Arial"/>
          <w:sz w:val="22"/>
          <w:szCs w:val="22"/>
        </w:rPr>
        <w:t xml:space="preserve"> characterised as</w:t>
      </w:r>
      <w:r w:rsidR="00980A7A">
        <w:rPr>
          <w:rFonts w:ascii="Arial" w:hAnsi="Arial" w:cs="Arial"/>
          <w:sz w:val="22"/>
          <w:szCs w:val="22"/>
        </w:rPr>
        <w:t xml:space="preserve"> </w:t>
      </w:r>
      <w:r>
        <w:rPr>
          <w:rFonts w:ascii="Arial" w:hAnsi="Arial" w:cs="Arial"/>
          <w:sz w:val="22"/>
          <w:szCs w:val="22"/>
        </w:rPr>
        <w:t xml:space="preserve">a </w:t>
      </w:r>
      <w:r w:rsidR="007E3EE6">
        <w:rPr>
          <w:rFonts w:ascii="Arial" w:hAnsi="Arial" w:cs="Arial"/>
          <w:sz w:val="22"/>
          <w:szCs w:val="22"/>
        </w:rPr>
        <w:t>‘law relating to insolvency’</w:t>
      </w:r>
      <w:r w:rsidR="00980A7A">
        <w:rPr>
          <w:rFonts w:ascii="Arial" w:hAnsi="Arial" w:cs="Arial"/>
          <w:sz w:val="22"/>
          <w:szCs w:val="22"/>
        </w:rPr>
        <w:t>.</w:t>
      </w:r>
      <w:r w:rsidR="00980A7A">
        <w:rPr>
          <w:rStyle w:val="FootnoteReference"/>
          <w:rFonts w:ascii="Arial" w:hAnsi="Arial" w:cs="Arial"/>
          <w:sz w:val="22"/>
          <w:szCs w:val="22"/>
        </w:rPr>
        <w:footnoteReference w:id="32"/>
      </w:r>
      <w:r w:rsidR="00F700CC">
        <w:rPr>
          <w:rFonts w:ascii="Arial" w:hAnsi="Arial" w:cs="Arial"/>
          <w:sz w:val="22"/>
          <w:szCs w:val="22"/>
        </w:rPr>
        <w:t xml:space="preserve"> </w:t>
      </w:r>
      <w:r w:rsidR="0074534C">
        <w:rPr>
          <w:rFonts w:ascii="Arial" w:hAnsi="Arial" w:cs="Arial"/>
          <w:sz w:val="22"/>
          <w:szCs w:val="22"/>
        </w:rPr>
        <w:t xml:space="preserve">More critically, as noted in </w:t>
      </w:r>
      <w:r w:rsidR="0036757E">
        <w:rPr>
          <w:rFonts w:ascii="Arial" w:hAnsi="Arial" w:cs="Arial"/>
          <w:sz w:val="22"/>
          <w:szCs w:val="22"/>
        </w:rPr>
        <w:t>its</w:t>
      </w:r>
      <w:r w:rsidR="0036757E">
        <w:rPr>
          <w:rFonts w:ascii="Arial" w:hAnsi="Arial" w:cs="Arial"/>
          <w:sz w:val="22"/>
          <w:szCs w:val="22"/>
        </w:rPr>
        <w:t xml:space="preserve"> </w:t>
      </w:r>
      <w:r w:rsidR="00C5538C">
        <w:rPr>
          <w:rFonts w:ascii="Arial" w:hAnsi="Arial" w:cs="Arial"/>
          <w:sz w:val="22"/>
          <w:szCs w:val="22"/>
        </w:rPr>
        <w:t xml:space="preserve">Guide to Enactment, the need for the MLIJ was a result of significant ‘uncertainty’ about the application of the MLCBI to the recognition and enforcement of judgments given in foreign insolvency proceedings, and the fact that very few States had </w:t>
      </w:r>
      <w:r w:rsidR="00357A72">
        <w:rPr>
          <w:rFonts w:ascii="Arial" w:hAnsi="Arial" w:cs="Arial"/>
          <w:sz w:val="22"/>
          <w:szCs w:val="22"/>
        </w:rPr>
        <w:t>specific recognition and enforcement regimes for insolvency related judgments.</w:t>
      </w:r>
      <w:r w:rsidR="00357A72">
        <w:rPr>
          <w:rStyle w:val="FootnoteReference"/>
          <w:rFonts w:ascii="Arial" w:hAnsi="Arial" w:cs="Arial"/>
          <w:sz w:val="22"/>
          <w:szCs w:val="22"/>
        </w:rPr>
        <w:footnoteReference w:id="33"/>
      </w:r>
      <w:r w:rsidR="00357A72">
        <w:rPr>
          <w:rFonts w:ascii="Arial" w:hAnsi="Arial" w:cs="Arial"/>
          <w:sz w:val="22"/>
          <w:szCs w:val="22"/>
        </w:rPr>
        <w:t xml:space="preserve"> </w:t>
      </w:r>
    </w:p>
    <w:p w14:paraId="71C1C987" w14:textId="76116E47" w:rsidR="001F5B9D" w:rsidRDefault="00357A72" w:rsidP="00C822C9">
      <w:pPr>
        <w:spacing w:before="120" w:after="120" w:line="360" w:lineRule="auto"/>
        <w:jc w:val="both"/>
        <w:rPr>
          <w:rFonts w:ascii="Arial" w:hAnsi="Arial" w:cs="Arial"/>
          <w:sz w:val="22"/>
          <w:szCs w:val="22"/>
        </w:rPr>
      </w:pPr>
      <w:r>
        <w:rPr>
          <w:rFonts w:ascii="Arial" w:hAnsi="Arial" w:cs="Arial"/>
          <w:sz w:val="22"/>
          <w:szCs w:val="22"/>
        </w:rPr>
        <w:t xml:space="preserve">Although the MLIJ seeks to solve some of these problems, </w:t>
      </w:r>
      <w:r w:rsidR="005929A9">
        <w:rPr>
          <w:rFonts w:ascii="Arial" w:hAnsi="Arial" w:cs="Arial"/>
          <w:sz w:val="22"/>
          <w:szCs w:val="22"/>
        </w:rPr>
        <w:t>it does not expressly remove the ‘territoriality’ concerns. In particular, one of the grounds for refusal of recognition and enforcement of an insolvency related judgment under Art 14(h) is whether ‘The judgment originates from a State whose insolvency proceeding is not or would not be recognised’ in the enforcing state, with certain exceptions to this rule.</w:t>
      </w:r>
      <w:r w:rsidR="0036757E">
        <w:rPr>
          <w:rStyle w:val="FootnoteReference"/>
          <w:rFonts w:ascii="Arial" w:hAnsi="Arial" w:cs="Arial"/>
          <w:sz w:val="22"/>
          <w:szCs w:val="22"/>
        </w:rPr>
        <w:footnoteReference w:id="34"/>
      </w:r>
      <w:r w:rsidR="005929A9">
        <w:rPr>
          <w:rFonts w:ascii="Arial" w:hAnsi="Arial" w:cs="Arial"/>
          <w:sz w:val="22"/>
          <w:szCs w:val="22"/>
        </w:rPr>
        <w:t xml:space="preserve"> </w:t>
      </w:r>
      <w:r w:rsidR="00C1735A">
        <w:rPr>
          <w:rFonts w:ascii="Arial" w:hAnsi="Arial" w:cs="Arial"/>
          <w:sz w:val="22"/>
          <w:szCs w:val="22"/>
        </w:rPr>
        <w:t>As Boraine has noted wryly, ‘In general, states are more willing to export than import insolvency proceedings’.</w:t>
      </w:r>
    </w:p>
    <w:p w14:paraId="0FF1FBA7" w14:textId="7C5C6173" w:rsidR="00836E23" w:rsidRPr="00843AA6" w:rsidRDefault="001F5B9D" w:rsidP="00C822C9">
      <w:pPr>
        <w:spacing w:before="120" w:after="120" w:line="360" w:lineRule="auto"/>
        <w:jc w:val="both"/>
        <w:rPr>
          <w:rFonts w:ascii="Arial" w:hAnsi="Arial" w:cs="Arial"/>
          <w:sz w:val="22"/>
          <w:szCs w:val="22"/>
        </w:rPr>
      </w:pPr>
      <w:r>
        <w:rPr>
          <w:rFonts w:ascii="Arial" w:hAnsi="Arial" w:cs="Arial"/>
          <w:sz w:val="22"/>
          <w:szCs w:val="22"/>
        </w:rPr>
        <w:t xml:space="preserve">Third, the company could seek to rely on general principles of comity as between the courts in the enforcing state, State B, for the approval of the </w:t>
      </w:r>
      <w:r w:rsidR="002006C1">
        <w:rPr>
          <w:rFonts w:ascii="Arial" w:hAnsi="Arial" w:cs="Arial"/>
          <w:sz w:val="22"/>
          <w:szCs w:val="22"/>
        </w:rPr>
        <w:t>restructuring</w:t>
      </w:r>
      <w:r>
        <w:rPr>
          <w:rFonts w:ascii="Arial" w:hAnsi="Arial" w:cs="Arial"/>
          <w:sz w:val="22"/>
          <w:szCs w:val="22"/>
        </w:rPr>
        <w:t xml:space="preserve"> Plan</w:t>
      </w:r>
      <w:r w:rsidR="00357A72" w:rsidRPr="00357A72">
        <w:rPr>
          <w:rFonts w:ascii="Arial" w:hAnsi="Arial" w:cs="Arial"/>
          <w:sz w:val="22"/>
          <w:szCs w:val="22"/>
        </w:rPr>
        <w:t xml:space="preserve"> </w:t>
      </w:r>
      <w:r w:rsidR="00357A72">
        <w:rPr>
          <w:rFonts w:ascii="Arial" w:hAnsi="Arial" w:cs="Arial"/>
          <w:sz w:val="22"/>
          <w:szCs w:val="22"/>
        </w:rPr>
        <w:t>in State A</w:t>
      </w:r>
      <w:r>
        <w:rPr>
          <w:rFonts w:ascii="Arial" w:hAnsi="Arial" w:cs="Arial"/>
          <w:sz w:val="22"/>
          <w:szCs w:val="22"/>
        </w:rPr>
        <w:t>.</w:t>
      </w:r>
      <w:r w:rsidR="00C16197">
        <w:rPr>
          <w:rStyle w:val="FootnoteReference"/>
          <w:rFonts w:ascii="Arial" w:hAnsi="Arial" w:cs="Arial"/>
          <w:sz w:val="22"/>
          <w:szCs w:val="22"/>
        </w:rPr>
        <w:footnoteReference w:id="35"/>
      </w:r>
      <w:r>
        <w:rPr>
          <w:rFonts w:ascii="Arial" w:hAnsi="Arial" w:cs="Arial"/>
          <w:sz w:val="22"/>
          <w:szCs w:val="22"/>
        </w:rPr>
        <w:t xml:space="preserve"> Principles of comity are inherently </w:t>
      </w:r>
      <w:r w:rsidR="005433D0">
        <w:rPr>
          <w:rFonts w:ascii="Arial" w:hAnsi="Arial" w:cs="Arial"/>
          <w:sz w:val="22"/>
          <w:szCs w:val="22"/>
        </w:rPr>
        <w:t>discretionary and therefore uncertain</w:t>
      </w:r>
      <w:r w:rsidR="0099431F">
        <w:rPr>
          <w:rFonts w:ascii="Arial" w:hAnsi="Arial" w:cs="Arial"/>
          <w:sz w:val="22"/>
          <w:szCs w:val="22"/>
        </w:rPr>
        <w:t>, and may produce inconsistent results</w:t>
      </w:r>
      <w:r w:rsidR="004E7EBC">
        <w:rPr>
          <w:rFonts w:ascii="Arial" w:hAnsi="Arial" w:cs="Arial"/>
          <w:sz w:val="22"/>
          <w:szCs w:val="22"/>
        </w:rPr>
        <w:t xml:space="preserve"> (Boraine 2021)</w:t>
      </w:r>
      <w:r w:rsidR="005433D0">
        <w:rPr>
          <w:rFonts w:ascii="Arial" w:hAnsi="Arial" w:cs="Arial"/>
          <w:sz w:val="22"/>
          <w:szCs w:val="22"/>
        </w:rPr>
        <w:t>.</w:t>
      </w:r>
      <w:r w:rsidR="0099431F">
        <w:rPr>
          <w:rStyle w:val="FootnoteReference"/>
          <w:rFonts w:ascii="Arial" w:hAnsi="Arial" w:cs="Arial"/>
          <w:sz w:val="22"/>
          <w:szCs w:val="22"/>
        </w:rPr>
        <w:footnoteReference w:id="36"/>
      </w:r>
      <w:r w:rsidR="005433D0">
        <w:rPr>
          <w:rFonts w:ascii="Arial" w:hAnsi="Arial" w:cs="Arial"/>
          <w:sz w:val="22"/>
          <w:szCs w:val="22"/>
        </w:rPr>
        <w:t xml:space="preserve"> Implicit in such cases are normative</w:t>
      </w:r>
      <w:r w:rsidR="00843AA6">
        <w:rPr>
          <w:rFonts w:ascii="Arial" w:hAnsi="Arial" w:cs="Arial"/>
          <w:sz w:val="22"/>
          <w:szCs w:val="22"/>
        </w:rPr>
        <w:t>, ‘territorial’</w:t>
      </w:r>
      <w:r w:rsidR="005433D0">
        <w:rPr>
          <w:rFonts w:ascii="Arial" w:hAnsi="Arial" w:cs="Arial"/>
          <w:sz w:val="22"/>
          <w:szCs w:val="22"/>
        </w:rPr>
        <w:t xml:space="preserve"> judgments </w:t>
      </w:r>
      <w:r w:rsidR="00843AA6">
        <w:rPr>
          <w:rFonts w:ascii="Arial" w:hAnsi="Arial" w:cs="Arial"/>
          <w:sz w:val="22"/>
          <w:szCs w:val="22"/>
        </w:rPr>
        <w:t>based on</w:t>
      </w:r>
      <w:r w:rsidR="005433D0">
        <w:rPr>
          <w:rFonts w:ascii="Arial" w:hAnsi="Arial" w:cs="Arial"/>
          <w:sz w:val="22"/>
          <w:szCs w:val="22"/>
        </w:rPr>
        <w:t xml:space="preserve"> the enforcing court’s standards</w:t>
      </w:r>
      <w:r w:rsidR="00843AA6">
        <w:rPr>
          <w:rFonts w:ascii="Arial" w:hAnsi="Arial" w:cs="Arial"/>
          <w:sz w:val="22"/>
          <w:szCs w:val="22"/>
        </w:rPr>
        <w:t>,</w:t>
      </w:r>
      <w:r w:rsidR="005433D0">
        <w:rPr>
          <w:rFonts w:ascii="Arial" w:hAnsi="Arial" w:cs="Arial"/>
          <w:sz w:val="22"/>
          <w:szCs w:val="22"/>
        </w:rPr>
        <w:t xml:space="preserve"> about the appropriateness of the applicant company bringing proceedings in a foreign jurisdiction and/or the exercise by the foreign </w:t>
      </w:r>
      <w:r w:rsidR="00F11862">
        <w:rPr>
          <w:rFonts w:ascii="Arial" w:hAnsi="Arial" w:cs="Arial"/>
          <w:sz w:val="22"/>
          <w:szCs w:val="22"/>
        </w:rPr>
        <w:t xml:space="preserve">court </w:t>
      </w:r>
      <w:r w:rsidR="005433D0">
        <w:rPr>
          <w:rFonts w:ascii="Arial" w:hAnsi="Arial" w:cs="Arial"/>
          <w:sz w:val="22"/>
          <w:szCs w:val="22"/>
        </w:rPr>
        <w:t>of that jurisdiction</w:t>
      </w:r>
      <w:r w:rsidR="00843AA6">
        <w:rPr>
          <w:rFonts w:ascii="Arial" w:hAnsi="Arial" w:cs="Arial"/>
          <w:sz w:val="22"/>
          <w:szCs w:val="22"/>
        </w:rPr>
        <w:t xml:space="preserve">, as Lord Sumption </w:t>
      </w:r>
      <w:r w:rsidR="00F11862">
        <w:rPr>
          <w:rFonts w:ascii="Arial" w:hAnsi="Arial" w:cs="Arial"/>
          <w:sz w:val="22"/>
          <w:szCs w:val="22"/>
        </w:rPr>
        <w:t>stated</w:t>
      </w:r>
      <w:r w:rsidR="00F11862">
        <w:rPr>
          <w:rFonts w:ascii="Arial" w:hAnsi="Arial" w:cs="Arial"/>
          <w:sz w:val="22"/>
          <w:szCs w:val="22"/>
        </w:rPr>
        <w:t xml:space="preserve"> </w:t>
      </w:r>
      <w:r w:rsidR="00843AA6">
        <w:rPr>
          <w:rFonts w:ascii="Arial" w:hAnsi="Arial" w:cs="Arial"/>
          <w:sz w:val="22"/>
          <w:szCs w:val="22"/>
        </w:rPr>
        <w:t xml:space="preserve">in </w:t>
      </w:r>
      <w:r w:rsidR="00843AA6">
        <w:rPr>
          <w:rFonts w:ascii="Arial" w:hAnsi="Arial" w:cs="Arial"/>
          <w:i/>
          <w:iCs/>
          <w:sz w:val="22"/>
          <w:szCs w:val="22"/>
        </w:rPr>
        <w:t>Singularis</w:t>
      </w:r>
      <w:r w:rsidR="00843AA6">
        <w:rPr>
          <w:rFonts w:ascii="Arial" w:hAnsi="Arial" w:cs="Arial"/>
          <w:sz w:val="22"/>
          <w:szCs w:val="22"/>
        </w:rPr>
        <w:t>.</w:t>
      </w:r>
    </w:p>
    <w:p w14:paraId="03A70B7C" w14:textId="0AD92C1B" w:rsidR="00836E23" w:rsidRPr="00901C29" w:rsidRDefault="00836E23" w:rsidP="00C822C9">
      <w:pPr>
        <w:spacing w:before="120" w:after="120" w:line="360" w:lineRule="auto"/>
        <w:jc w:val="both"/>
        <w:rPr>
          <w:rFonts w:ascii="Arial" w:hAnsi="Arial" w:cs="Arial"/>
          <w:sz w:val="22"/>
          <w:szCs w:val="22"/>
        </w:rPr>
      </w:pPr>
      <w:r>
        <w:rPr>
          <w:rFonts w:ascii="Arial" w:hAnsi="Arial" w:cs="Arial"/>
          <w:sz w:val="22"/>
          <w:szCs w:val="22"/>
        </w:rPr>
        <w:t>By way of summary, there is more work to be done at an international level to support the emergence of a global market for court-assisted restructuring</w:t>
      </w:r>
      <w:r w:rsidR="00784708">
        <w:rPr>
          <w:rFonts w:ascii="Arial" w:hAnsi="Arial" w:cs="Arial"/>
          <w:sz w:val="22"/>
          <w:szCs w:val="22"/>
        </w:rPr>
        <w:t>,</w:t>
      </w:r>
      <w:r w:rsidR="00972A67">
        <w:rPr>
          <w:rFonts w:ascii="Arial" w:hAnsi="Arial" w:cs="Arial"/>
          <w:sz w:val="22"/>
          <w:szCs w:val="22"/>
        </w:rPr>
        <w:t xml:space="preserve"> to ensure the same spirit of ‘universalism’ exists at the enforcement stage, as </w:t>
      </w:r>
      <w:r w:rsidR="00467BF9">
        <w:rPr>
          <w:rFonts w:ascii="Arial" w:hAnsi="Arial" w:cs="Arial"/>
          <w:sz w:val="22"/>
          <w:szCs w:val="22"/>
        </w:rPr>
        <w:t>it does</w:t>
      </w:r>
      <w:r w:rsidR="00972A67">
        <w:rPr>
          <w:rFonts w:ascii="Arial" w:hAnsi="Arial" w:cs="Arial"/>
          <w:sz w:val="22"/>
          <w:szCs w:val="22"/>
        </w:rPr>
        <w:t xml:space="preserve"> at the jurisdiction stage</w:t>
      </w:r>
      <w:r>
        <w:rPr>
          <w:rFonts w:ascii="Arial" w:hAnsi="Arial" w:cs="Arial"/>
          <w:sz w:val="22"/>
          <w:szCs w:val="22"/>
        </w:rPr>
        <w:t xml:space="preserve">. </w:t>
      </w:r>
      <w:r w:rsidR="00BC280F">
        <w:rPr>
          <w:rFonts w:ascii="Arial" w:hAnsi="Arial" w:cs="Arial"/>
          <w:sz w:val="22"/>
          <w:szCs w:val="22"/>
        </w:rPr>
        <w:t>However, at present, t</w:t>
      </w:r>
      <w:r w:rsidR="0059153F">
        <w:rPr>
          <w:rFonts w:ascii="Arial" w:hAnsi="Arial" w:cs="Arial"/>
          <w:sz w:val="22"/>
          <w:szCs w:val="22"/>
        </w:rPr>
        <w:t xml:space="preserve">he enforcement options examined in this Section do not inspire confidence that orders of </w:t>
      </w:r>
      <w:r w:rsidR="00784708">
        <w:rPr>
          <w:rFonts w:ascii="Arial" w:hAnsi="Arial" w:cs="Arial"/>
          <w:sz w:val="22"/>
          <w:szCs w:val="22"/>
        </w:rPr>
        <w:t>an</w:t>
      </w:r>
      <w:r w:rsidR="00784708">
        <w:rPr>
          <w:rFonts w:ascii="Arial" w:hAnsi="Arial" w:cs="Arial"/>
          <w:sz w:val="22"/>
          <w:szCs w:val="22"/>
        </w:rPr>
        <w:t xml:space="preserve"> </w:t>
      </w:r>
      <w:r w:rsidR="0059153F">
        <w:rPr>
          <w:rFonts w:ascii="Arial" w:hAnsi="Arial" w:cs="Arial"/>
          <w:sz w:val="22"/>
          <w:szCs w:val="22"/>
        </w:rPr>
        <w:t xml:space="preserve">approving court that </w:t>
      </w:r>
      <w:r w:rsidR="00C24003">
        <w:rPr>
          <w:rFonts w:ascii="Arial" w:hAnsi="Arial" w:cs="Arial"/>
          <w:sz w:val="22"/>
          <w:szCs w:val="22"/>
        </w:rPr>
        <w:t>‘</w:t>
      </w:r>
      <w:r w:rsidR="0059153F">
        <w:rPr>
          <w:rFonts w:ascii="Arial" w:hAnsi="Arial" w:cs="Arial"/>
          <w:sz w:val="22"/>
          <w:szCs w:val="22"/>
        </w:rPr>
        <w:t>cram down</w:t>
      </w:r>
      <w:r w:rsidR="00C24003">
        <w:rPr>
          <w:rFonts w:ascii="Arial" w:hAnsi="Arial" w:cs="Arial"/>
          <w:sz w:val="22"/>
          <w:szCs w:val="22"/>
        </w:rPr>
        <w:t xml:space="preserve">’ </w:t>
      </w:r>
      <w:r w:rsidR="0059153F">
        <w:rPr>
          <w:rFonts w:ascii="Arial" w:hAnsi="Arial" w:cs="Arial"/>
          <w:sz w:val="22"/>
          <w:szCs w:val="22"/>
        </w:rPr>
        <w:t xml:space="preserve">individuals or classes under </w:t>
      </w:r>
      <w:r w:rsidR="0049595F" w:rsidRPr="0049595F">
        <w:rPr>
          <w:rFonts w:ascii="Arial" w:hAnsi="Arial" w:cs="Arial"/>
          <w:i/>
          <w:iCs/>
          <w:sz w:val="22"/>
          <w:szCs w:val="22"/>
        </w:rPr>
        <w:t>lex concursus</w:t>
      </w:r>
      <w:r w:rsidR="0059153F">
        <w:rPr>
          <w:rFonts w:ascii="Arial" w:hAnsi="Arial" w:cs="Arial"/>
          <w:sz w:val="22"/>
          <w:szCs w:val="22"/>
        </w:rPr>
        <w:t xml:space="preserve"> will </w:t>
      </w:r>
      <w:r w:rsidR="0059153F">
        <w:rPr>
          <w:rFonts w:ascii="Arial" w:hAnsi="Arial" w:cs="Arial"/>
          <w:sz w:val="22"/>
          <w:szCs w:val="22"/>
        </w:rPr>
        <w:lastRenderedPageBreak/>
        <w:t xml:space="preserve">necessarily be enforceable against the </w:t>
      </w:r>
      <w:r w:rsidR="00B870E6">
        <w:rPr>
          <w:rFonts w:ascii="Arial" w:hAnsi="Arial" w:cs="Arial"/>
          <w:sz w:val="22"/>
          <w:szCs w:val="22"/>
        </w:rPr>
        <w:t>dissenting</w:t>
      </w:r>
      <w:r w:rsidR="00B870E6">
        <w:rPr>
          <w:rFonts w:ascii="Arial" w:hAnsi="Arial" w:cs="Arial"/>
          <w:sz w:val="22"/>
          <w:szCs w:val="22"/>
        </w:rPr>
        <w:t xml:space="preserve"> </w:t>
      </w:r>
      <w:r w:rsidR="0059153F">
        <w:rPr>
          <w:rFonts w:ascii="Arial" w:hAnsi="Arial" w:cs="Arial"/>
          <w:sz w:val="22"/>
          <w:szCs w:val="22"/>
        </w:rPr>
        <w:t>creditors or class</w:t>
      </w:r>
      <w:r w:rsidR="00BC280F">
        <w:rPr>
          <w:rFonts w:ascii="Arial" w:hAnsi="Arial" w:cs="Arial"/>
          <w:sz w:val="22"/>
          <w:szCs w:val="22"/>
        </w:rPr>
        <w:t xml:space="preserve">es </w:t>
      </w:r>
      <w:r w:rsidR="00784708">
        <w:rPr>
          <w:rFonts w:ascii="Arial" w:hAnsi="Arial" w:cs="Arial"/>
          <w:sz w:val="22"/>
          <w:szCs w:val="22"/>
        </w:rPr>
        <w:t xml:space="preserve">where needed. In that </w:t>
      </w:r>
      <w:r w:rsidR="0059153F">
        <w:rPr>
          <w:rFonts w:ascii="Arial" w:hAnsi="Arial" w:cs="Arial"/>
          <w:sz w:val="22"/>
          <w:szCs w:val="22"/>
        </w:rPr>
        <w:t>case</w:t>
      </w:r>
      <w:r w:rsidR="00784708">
        <w:rPr>
          <w:rFonts w:ascii="Arial" w:hAnsi="Arial" w:cs="Arial"/>
          <w:sz w:val="22"/>
          <w:szCs w:val="22"/>
        </w:rPr>
        <w:t>,</w:t>
      </w:r>
      <w:r w:rsidR="0059153F">
        <w:rPr>
          <w:rFonts w:ascii="Arial" w:hAnsi="Arial" w:cs="Arial"/>
          <w:sz w:val="22"/>
          <w:szCs w:val="22"/>
        </w:rPr>
        <w:t xml:space="preserve"> the</w:t>
      </w:r>
      <w:r w:rsidR="00C24003">
        <w:rPr>
          <w:rFonts w:ascii="Arial" w:hAnsi="Arial" w:cs="Arial"/>
          <w:sz w:val="22"/>
          <w:szCs w:val="22"/>
        </w:rPr>
        <w:t xml:space="preserve"> </w:t>
      </w:r>
      <w:r w:rsidR="0059153F">
        <w:rPr>
          <w:rFonts w:ascii="Arial" w:hAnsi="Arial" w:cs="Arial"/>
          <w:sz w:val="22"/>
          <w:szCs w:val="22"/>
        </w:rPr>
        <w:t>Plan</w:t>
      </w:r>
      <w:r w:rsidR="00BC280F">
        <w:rPr>
          <w:rFonts w:ascii="Arial" w:hAnsi="Arial" w:cs="Arial"/>
          <w:sz w:val="22"/>
          <w:szCs w:val="22"/>
        </w:rPr>
        <w:t xml:space="preserve">, </w:t>
      </w:r>
      <w:r w:rsidR="00C24003">
        <w:rPr>
          <w:rFonts w:ascii="Arial" w:hAnsi="Arial" w:cs="Arial"/>
          <w:sz w:val="22"/>
          <w:szCs w:val="22"/>
        </w:rPr>
        <w:t>in relation to</w:t>
      </w:r>
      <w:r w:rsidR="00BC280F">
        <w:rPr>
          <w:rFonts w:ascii="Arial" w:hAnsi="Arial" w:cs="Arial"/>
          <w:sz w:val="22"/>
          <w:szCs w:val="22"/>
        </w:rPr>
        <w:t xml:space="preserve"> which the company and its consenting stakeholders </w:t>
      </w:r>
      <w:r w:rsidR="0049595F">
        <w:rPr>
          <w:rFonts w:ascii="Arial" w:hAnsi="Arial" w:cs="Arial"/>
          <w:sz w:val="22"/>
          <w:szCs w:val="22"/>
        </w:rPr>
        <w:t xml:space="preserve">will </w:t>
      </w:r>
      <w:r w:rsidR="00BC280F">
        <w:rPr>
          <w:rFonts w:ascii="Arial" w:hAnsi="Arial" w:cs="Arial"/>
          <w:sz w:val="22"/>
          <w:szCs w:val="22"/>
        </w:rPr>
        <w:t>have invested considerable time and money to gain approval,</w:t>
      </w:r>
      <w:r w:rsidR="0059153F">
        <w:rPr>
          <w:rFonts w:ascii="Arial" w:hAnsi="Arial" w:cs="Arial"/>
          <w:sz w:val="22"/>
          <w:szCs w:val="22"/>
        </w:rPr>
        <w:t xml:space="preserve"> will not </w:t>
      </w:r>
      <w:r w:rsidR="00C24003">
        <w:rPr>
          <w:rFonts w:ascii="Arial" w:hAnsi="Arial" w:cs="Arial"/>
          <w:sz w:val="22"/>
          <w:szCs w:val="22"/>
        </w:rPr>
        <w:t>achieve</w:t>
      </w:r>
      <w:r w:rsidR="0059153F">
        <w:rPr>
          <w:rFonts w:ascii="Arial" w:hAnsi="Arial" w:cs="Arial"/>
          <w:sz w:val="22"/>
          <w:szCs w:val="22"/>
        </w:rPr>
        <w:t xml:space="preserve"> its </w:t>
      </w:r>
      <w:r w:rsidR="0049595F">
        <w:rPr>
          <w:rFonts w:ascii="Arial" w:hAnsi="Arial" w:cs="Arial"/>
          <w:sz w:val="22"/>
          <w:szCs w:val="22"/>
        </w:rPr>
        <w:t xml:space="preserve">intended </w:t>
      </w:r>
      <w:r w:rsidR="0059153F">
        <w:rPr>
          <w:rFonts w:ascii="Arial" w:hAnsi="Arial" w:cs="Arial"/>
          <w:sz w:val="22"/>
          <w:szCs w:val="22"/>
        </w:rPr>
        <w:t>effect</w:t>
      </w:r>
      <w:r w:rsidR="00C24003">
        <w:rPr>
          <w:rFonts w:ascii="Arial" w:hAnsi="Arial" w:cs="Arial"/>
          <w:sz w:val="22"/>
          <w:szCs w:val="22"/>
        </w:rPr>
        <w:t xml:space="preserve"> of binding </w:t>
      </w:r>
      <w:r w:rsidR="00B870E6">
        <w:rPr>
          <w:rFonts w:ascii="Arial" w:hAnsi="Arial" w:cs="Arial"/>
          <w:sz w:val="22"/>
          <w:szCs w:val="22"/>
        </w:rPr>
        <w:t>dissenting</w:t>
      </w:r>
      <w:r w:rsidR="00B870E6">
        <w:rPr>
          <w:rFonts w:ascii="Arial" w:hAnsi="Arial" w:cs="Arial"/>
          <w:sz w:val="22"/>
          <w:szCs w:val="22"/>
        </w:rPr>
        <w:t xml:space="preserve"> </w:t>
      </w:r>
      <w:r w:rsidR="00C24003">
        <w:rPr>
          <w:rFonts w:ascii="Arial" w:hAnsi="Arial" w:cs="Arial"/>
          <w:sz w:val="22"/>
          <w:szCs w:val="22"/>
        </w:rPr>
        <w:t>creditors</w:t>
      </w:r>
      <w:r w:rsidR="00784708">
        <w:rPr>
          <w:rFonts w:ascii="Arial" w:hAnsi="Arial" w:cs="Arial"/>
          <w:sz w:val="22"/>
          <w:szCs w:val="22"/>
        </w:rPr>
        <w:t xml:space="preserve"> and re-forming their contractual or other rights</w:t>
      </w:r>
      <w:r w:rsidR="0059153F">
        <w:rPr>
          <w:rFonts w:ascii="Arial" w:hAnsi="Arial" w:cs="Arial"/>
          <w:sz w:val="22"/>
          <w:szCs w:val="22"/>
        </w:rPr>
        <w:t>.</w:t>
      </w:r>
    </w:p>
    <w:p w14:paraId="504ABEF2" w14:textId="487DB990" w:rsidR="00B355E0" w:rsidRPr="00B355E0" w:rsidRDefault="00B355E0" w:rsidP="00B355E0">
      <w:pPr>
        <w:spacing w:before="120" w:after="120" w:line="360" w:lineRule="auto"/>
        <w:jc w:val="both"/>
        <w:rPr>
          <w:rFonts w:ascii="Arial" w:hAnsi="Arial" w:cs="Arial"/>
          <w:b/>
          <w:bCs/>
          <w:sz w:val="22"/>
          <w:szCs w:val="22"/>
        </w:rPr>
      </w:pPr>
      <w:r w:rsidRPr="00B355E0">
        <w:rPr>
          <w:rFonts w:ascii="Arial" w:hAnsi="Arial" w:cs="Arial"/>
          <w:b/>
          <w:bCs/>
          <w:sz w:val="22"/>
          <w:szCs w:val="22"/>
        </w:rPr>
        <w:t>Conclusion – Mini</w:t>
      </w:r>
      <w:r w:rsidR="00970825">
        <w:rPr>
          <w:rFonts w:ascii="Arial" w:hAnsi="Arial" w:cs="Arial"/>
          <w:b/>
          <w:bCs/>
          <w:sz w:val="22"/>
          <w:szCs w:val="22"/>
        </w:rPr>
        <w:t>m</w:t>
      </w:r>
      <w:r w:rsidRPr="00B355E0">
        <w:rPr>
          <w:rFonts w:ascii="Arial" w:hAnsi="Arial" w:cs="Arial"/>
          <w:b/>
          <w:bCs/>
          <w:sz w:val="22"/>
          <w:szCs w:val="22"/>
        </w:rPr>
        <w:t>ising Enforcement Risk is Critical</w:t>
      </w:r>
    </w:p>
    <w:p w14:paraId="01BB1F6E" w14:textId="52555ED2" w:rsidR="00507E3E" w:rsidRDefault="00B355E0" w:rsidP="008B40AB">
      <w:pPr>
        <w:spacing w:before="120" w:after="120" w:line="360" w:lineRule="auto"/>
        <w:jc w:val="both"/>
        <w:rPr>
          <w:rFonts w:ascii="Arial" w:hAnsi="Arial" w:cs="Arial"/>
          <w:sz w:val="22"/>
          <w:szCs w:val="22"/>
        </w:rPr>
      </w:pPr>
      <w:r>
        <w:rPr>
          <w:rFonts w:ascii="Arial" w:hAnsi="Arial" w:cs="Arial"/>
          <w:sz w:val="22"/>
          <w:szCs w:val="22"/>
        </w:rPr>
        <w:t xml:space="preserve">The answer to the underlying question addressed in this Paper is that </w:t>
      </w:r>
      <w:r w:rsidR="00507E3E">
        <w:rPr>
          <w:rFonts w:ascii="Arial" w:hAnsi="Arial" w:cs="Arial"/>
          <w:sz w:val="22"/>
          <w:szCs w:val="22"/>
        </w:rPr>
        <w:t>enforcement issues are a</w:t>
      </w:r>
      <w:r w:rsidR="00C24003">
        <w:rPr>
          <w:rFonts w:ascii="Arial" w:hAnsi="Arial" w:cs="Arial"/>
          <w:sz w:val="22"/>
          <w:szCs w:val="22"/>
        </w:rPr>
        <w:t>n</w:t>
      </w:r>
      <w:r w:rsidR="004E37E0">
        <w:rPr>
          <w:rFonts w:ascii="Arial" w:hAnsi="Arial" w:cs="Arial"/>
          <w:sz w:val="22"/>
          <w:szCs w:val="22"/>
        </w:rPr>
        <w:t xml:space="preserve"> important constraint on the use of foreign court</w:t>
      </w:r>
      <w:r w:rsidR="00784708">
        <w:rPr>
          <w:rFonts w:ascii="Arial" w:hAnsi="Arial" w:cs="Arial"/>
          <w:sz w:val="22"/>
          <w:szCs w:val="22"/>
        </w:rPr>
        <w:t>s</w:t>
      </w:r>
      <w:r w:rsidR="004E37E0">
        <w:rPr>
          <w:rFonts w:ascii="Arial" w:hAnsi="Arial" w:cs="Arial"/>
          <w:sz w:val="22"/>
          <w:szCs w:val="22"/>
        </w:rPr>
        <w:t xml:space="preserve"> to provide assistance in </w:t>
      </w:r>
      <w:r w:rsidR="002006C1">
        <w:rPr>
          <w:rFonts w:ascii="Arial" w:hAnsi="Arial" w:cs="Arial"/>
          <w:sz w:val="22"/>
          <w:szCs w:val="22"/>
        </w:rPr>
        <w:t>restructuring</w:t>
      </w:r>
      <w:r w:rsidR="004E37E0">
        <w:rPr>
          <w:rFonts w:ascii="Arial" w:hAnsi="Arial" w:cs="Arial"/>
          <w:sz w:val="22"/>
          <w:szCs w:val="22"/>
        </w:rPr>
        <w:t xml:space="preserve"> an entity in financial distress. As the US and </w:t>
      </w:r>
      <w:r w:rsidR="0059153F">
        <w:rPr>
          <w:rFonts w:ascii="Arial" w:hAnsi="Arial" w:cs="Arial"/>
          <w:sz w:val="22"/>
          <w:szCs w:val="22"/>
        </w:rPr>
        <w:t>English</w:t>
      </w:r>
      <w:r w:rsidR="004E37E0">
        <w:rPr>
          <w:rFonts w:ascii="Arial" w:hAnsi="Arial" w:cs="Arial"/>
          <w:sz w:val="22"/>
          <w:szCs w:val="22"/>
        </w:rPr>
        <w:t xml:space="preserve"> examples demonstrate, the jurisdictional threshold is a low bar to cross</w:t>
      </w:r>
      <w:r w:rsidR="00507E3E">
        <w:rPr>
          <w:rFonts w:ascii="Arial" w:hAnsi="Arial" w:cs="Arial"/>
          <w:sz w:val="22"/>
          <w:szCs w:val="22"/>
        </w:rPr>
        <w:t xml:space="preserve"> in most cases</w:t>
      </w:r>
      <w:r w:rsidR="00676301">
        <w:rPr>
          <w:rFonts w:ascii="Arial" w:hAnsi="Arial" w:cs="Arial"/>
          <w:sz w:val="22"/>
          <w:szCs w:val="22"/>
        </w:rPr>
        <w:t xml:space="preserve">. </w:t>
      </w:r>
      <w:r w:rsidR="00FC462D">
        <w:rPr>
          <w:rFonts w:ascii="Arial" w:hAnsi="Arial" w:cs="Arial"/>
          <w:sz w:val="22"/>
          <w:szCs w:val="22"/>
        </w:rPr>
        <w:t>Once satisfied, t</w:t>
      </w:r>
      <w:r w:rsidR="00507E3E">
        <w:rPr>
          <w:rFonts w:ascii="Arial" w:hAnsi="Arial" w:cs="Arial"/>
          <w:sz w:val="22"/>
          <w:szCs w:val="22"/>
        </w:rPr>
        <w:t xml:space="preserve">hese courts have </w:t>
      </w:r>
      <w:r w:rsidR="00FC462D">
        <w:rPr>
          <w:rFonts w:ascii="Arial" w:hAnsi="Arial" w:cs="Arial"/>
          <w:sz w:val="22"/>
          <w:szCs w:val="22"/>
        </w:rPr>
        <w:t>the</w:t>
      </w:r>
      <w:r w:rsidR="00507E3E">
        <w:rPr>
          <w:rFonts w:ascii="Arial" w:hAnsi="Arial" w:cs="Arial"/>
          <w:sz w:val="22"/>
          <w:szCs w:val="22"/>
        </w:rPr>
        <w:t xml:space="preserve"> </w:t>
      </w:r>
      <w:r w:rsidR="00C24003">
        <w:rPr>
          <w:rFonts w:ascii="Arial" w:hAnsi="Arial" w:cs="Arial"/>
          <w:sz w:val="22"/>
          <w:szCs w:val="22"/>
        </w:rPr>
        <w:t>‘</w:t>
      </w:r>
      <w:r w:rsidR="00507E3E">
        <w:rPr>
          <w:rFonts w:ascii="Arial" w:hAnsi="Arial" w:cs="Arial"/>
          <w:sz w:val="22"/>
          <w:szCs w:val="22"/>
        </w:rPr>
        <w:t>cram down</w:t>
      </w:r>
      <w:r w:rsidR="00C24003">
        <w:rPr>
          <w:rFonts w:ascii="Arial" w:hAnsi="Arial" w:cs="Arial"/>
          <w:sz w:val="22"/>
          <w:szCs w:val="22"/>
        </w:rPr>
        <w:t>’</w:t>
      </w:r>
      <w:r w:rsidR="00507E3E">
        <w:rPr>
          <w:rFonts w:ascii="Arial" w:hAnsi="Arial" w:cs="Arial"/>
          <w:sz w:val="22"/>
          <w:szCs w:val="22"/>
        </w:rPr>
        <w:t xml:space="preserve"> powers to overcome the objections of dissenting stakeholders</w:t>
      </w:r>
      <w:r w:rsidR="00FC462D">
        <w:rPr>
          <w:rFonts w:ascii="Arial" w:hAnsi="Arial" w:cs="Arial"/>
          <w:sz w:val="22"/>
          <w:szCs w:val="22"/>
        </w:rPr>
        <w:t>,</w:t>
      </w:r>
      <w:r w:rsidR="00507E3E">
        <w:rPr>
          <w:rFonts w:ascii="Arial" w:hAnsi="Arial" w:cs="Arial"/>
          <w:sz w:val="22"/>
          <w:szCs w:val="22"/>
        </w:rPr>
        <w:t xml:space="preserve"> </w:t>
      </w:r>
      <w:r w:rsidR="006D6DD2">
        <w:rPr>
          <w:rFonts w:ascii="Arial" w:hAnsi="Arial" w:cs="Arial"/>
          <w:sz w:val="22"/>
          <w:szCs w:val="22"/>
        </w:rPr>
        <w:t>by approving</w:t>
      </w:r>
      <w:r w:rsidR="00507E3E">
        <w:rPr>
          <w:rFonts w:ascii="Arial" w:hAnsi="Arial" w:cs="Arial"/>
          <w:sz w:val="22"/>
          <w:szCs w:val="22"/>
        </w:rPr>
        <w:t xml:space="preserve"> a Plan that </w:t>
      </w:r>
      <w:r w:rsidR="00FC462D">
        <w:rPr>
          <w:rFonts w:ascii="Arial" w:hAnsi="Arial" w:cs="Arial"/>
          <w:sz w:val="22"/>
          <w:szCs w:val="22"/>
        </w:rPr>
        <w:t>re-forms</w:t>
      </w:r>
      <w:r w:rsidR="00507E3E">
        <w:rPr>
          <w:rFonts w:ascii="Arial" w:hAnsi="Arial" w:cs="Arial"/>
          <w:sz w:val="22"/>
          <w:szCs w:val="22"/>
        </w:rPr>
        <w:t xml:space="preserve"> the contracts </w:t>
      </w:r>
      <w:r w:rsidR="006D6DD2">
        <w:rPr>
          <w:rFonts w:ascii="Arial" w:hAnsi="Arial" w:cs="Arial"/>
          <w:sz w:val="22"/>
          <w:szCs w:val="22"/>
        </w:rPr>
        <w:t>between those stakeholders and the entity, or between the stakeholders themselves</w:t>
      </w:r>
      <w:r w:rsidR="00FC462D">
        <w:rPr>
          <w:rFonts w:ascii="Arial" w:hAnsi="Arial" w:cs="Arial"/>
          <w:sz w:val="22"/>
          <w:szCs w:val="22"/>
        </w:rPr>
        <w:t>, to allow the underlying busines to survive</w:t>
      </w:r>
      <w:r w:rsidR="006D6DD2">
        <w:rPr>
          <w:rFonts w:ascii="Arial" w:hAnsi="Arial" w:cs="Arial"/>
          <w:sz w:val="22"/>
          <w:szCs w:val="22"/>
        </w:rPr>
        <w:t>.</w:t>
      </w:r>
      <w:r w:rsidR="00507E3E">
        <w:rPr>
          <w:rFonts w:ascii="Arial" w:hAnsi="Arial" w:cs="Arial"/>
          <w:sz w:val="22"/>
          <w:szCs w:val="22"/>
        </w:rPr>
        <w:t xml:space="preserve"> </w:t>
      </w:r>
      <w:r w:rsidR="00C24003">
        <w:rPr>
          <w:rFonts w:ascii="Arial" w:hAnsi="Arial" w:cs="Arial"/>
          <w:sz w:val="22"/>
          <w:szCs w:val="22"/>
        </w:rPr>
        <w:t xml:space="preserve">However, the ‘universalist’ nature of these low jurisdictional bars, falters when confronted with ‘territorial’ </w:t>
      </w:r>
      <w:r w:rsidR="00970825">
        <w:rPr>
          <w:rFonts w:ascii="Arial" w:hAnsi="Arial" w:cs="Arial"/>
          <w:sz w:val="22"/>
          <w:szCs w:val="22"/>
        </w:rPr>
        <w:t xml:space="preserve">enforcement problems </w:t>
      </w:r>
      <w:r w:rsidR="00784708">
        <w:rPr>
          <w:rFonts w:ascii="Arial" w:hAnsi="Arial" w:cs="Arial"/>
          <w:sz w:val="22"/>
          <w:szCs w:val="22"/>
        </w:rPr>
        <w:t>required</w:t>
      </w:r>
      <w:r w:rsidR="00970825">
        <w:rPr>
          <w:rFonts w:ascii="Arial" w:hAnsi="Arial" w:cs="Arial"/>
          <w:sz w:val="22"/>
          <w:szCs w:val="22"/>
        </w:rPr>
        <w:t xml:space="preserve"> to give effect to the approved ‘cram downs’</w:t>
      </w:r>
      <w:r w:rsidR="00C24003">
        <w:rPr>
          <w:rFonts w:ascii="Arial" w:hAnsi="Arial" w:cs="Arial"/>
          <w:sz w:val="22"/>
          <w:szCs w:val="22"/>
        </w:rPr>
        <w:t>.</w:t>
      </w:r>
    </w:p>
    <w:p w14:paraId="4BF7BC2B" w14:textId="7FF50F5E" w:rsidR="0052484C" w:rsidRDefault="00C24003" w:rsidP="008B40AB">
      <w:pPr>
        <w:spacing w:before="120" w:after="120" w:line="360" w:lineRule="auto"/>
        <w:jc w:val="both"/>
        <w:rPr>
          <w:rFonts w:ascii="Arial" w:hAnsi="Arial" w:cs="Arial"/>
          <w:sz w:val="22"/>
          <w:szCs w:val="22"/>
        </w:rPr>
      </w:pPr>
      <w:r>
        <w:rPr>
          <w:rFonts w:ascii="Arial" w:hAnsi="Arial" w:cs="Arial"/>
          <w:sz w:val="22"/>
          <w:szCs w:val="22"/>
        </w:rPr>
        <w:t>Unless</w:t>
      </w:r>
      <w:r w:rsidR="006D6DD2">
        <w:rPr>
          <w:rFonts w:ascii="Arial" w:hAnsi="Arial" w:cs="Arial"/>
          <w:sz w:val="22"/>
          <w:szCs w:val="22"/>
        </w:rPr>
        <w:t xml:space="preserve"> the </w:t>
      </w:r>
      <w:r w:rsidR="00970825">
        <w:rPr>
          <w:rFonts w:ascii="Arial" w:hAnsi="Arial" w:cs="Arial"/>
          <w:sz w:val="22"/>
          <w:szCs w:val="22"/>
        </w:rPr>
        <w:t xml:space="preserve">entity’s </w:t>
      </w:r>
      <w:r w:rsidR="006D6DD2">
        <w:rPr>
          <w:rFonts w:ascii="Arial" w:hAnsi="Arial" w:cs="Arial"/>
          <w:sz w:val="22"/>
          <w:szCs w:val="22"/>
        </w:rPr>
        <w:t>restructuring advisers carefully consider the enforceability of the proposed Plan, there is a risk that the approving court</w:t>
      </w:r>
      <w:r w:rsidR="00FC462D">
        <w:rPr>
          <w:rFonts w:ascii="Arial" w:hAnsi="Arial" w:cs="Arial"/>
          <w:sz w:val="22"/>
          <w:szCs w:val="22"/>
        </w:rPr>
        <w:t>’</w:t>
      </w:r>
      <w:r w:rsidR="006D6DD2">
        <w:rPr>
          <w:rFonts w:ascii="Arial" w:hAnsi="Arial" w:cs="Arial"/>
          <w:sz w:val="22"/>
          <w:szCs w:val="22"/>
        </w:rPr>
        <w:t xml:space="preserve">s orders will not be effective, </w:t>
      </w:r>
      <w:r w:rsidR="00085917">
        <w:rPr>
          <w:rFonts w:ascii="Arial" w:hAnsi="Arial" w:cs="Arial"/>
          <w:sz w:val="22"/>
          <w:szCs w:val="22"/>
        </w:rPr>
        <w:t>and</w:t>
      </w:r>
      <w:r w:rsidR="006D6DD2">
        <w:rPr>
          <w:rFonts w:ascii="Arial" w:hAnsi="Arial" w:cs="Arial"/>
          <w:sz w:val="22"/>
          <w:szCs w:val="22"/>
        </w:rPr>
        <w:t xml:space="preserve"> the </w:t>
      </w:r>
      <w:r w:rsidR="002006C1">
        <w:rPr>
          <w:rFonts w:ascii="Arial" w:hAnsi="Arial" w:cs="Arial"/>
          <w:sz w:val="22"/>
          <w:szCs w:val="22"/>
        </w:rPr>
        <w:t>restructuring</w:t>
      </w:r>
      <w:r w:rsidR="006D6DD2">
        <w:rPr>
          <w:rFonts w:ascii="Arial" w:hAnsi="Arial" w:cs="Arial"/>
          <w:sz w:val="22"/>
          <w:szCs w:val="22"/>
        </w:rPr>
        <w:t xml:space="preserve"> may fail. </w:t>
      </w:r>
      <w:r w:rsidR="00784708">
        <w:rPr>
          <w:rFonts w:ascii="Arial" w:hAnsi="Arial" w:cs="Arial"/>
          <w:sz w:val="22"/>
          <w:szCs w:val="22"/>
        </w:rPr>
        <w:t>Thus, a</w:t>
      </w:r>
      <w:r w:rsidR="00784708">
        <w:rPr>
          <w:rFonts w:ascii="Arial" w:hAnsi="Arial" w:cs="Arial"/>
          <w:sz w:val="22"/>
          <w:szCs w:val="22"/>
        </w:rPr>
        <w:t xml:space="preserve"> </w:t>
      </w:r>
      <w:r w:rsidR="006D6DD2">
        <w:rPr>
          <w:rFonts w:ascii="Arial" w:hAnsi="Arial" w:cs="Arial"/>
          <w:sz w:val="22"/>
          <w:szCs w:val="22"/>
        </w:rPr>
        <w:t>critical issue</w:t>
      </w:r>
      <w:r w:rsidR="00085917">
        <w:rPr>
          <w:rFonts w:ascii="Arial" w:hAnsi="Arial" w:cs="Arial"/>
          <w:sz w:val="22"/>
          <w:szCs w:val="22"/>
        </w:rPr>
        <w:t xml:space="preserve"> for the restructuring of a foreign company</w:t>
      </w:r>
      <w:r w:rsidR="006D6DD2">
        <w:rPr>
          <w:rFonts w:ascii="Arial" w:hAnsi="Arial" w:cs="Arial"/>
          <w:sz w:val="22"/>
          <w:szCs w:val="22"/>
        </w:rPr>
        <w:t xml:space="preserve"> </w:t>
      </w:r>
      <w:r w:rsidR="00085917">
        <w:rPr>
          <w:rFonts w:ascii="Arial" w:hAnsi="Arial" w:cs="Arial"/>
          <w:sz w:val="22"/>
          <w:szCs w:val="22"/>
        </w:rPr>
        <w:t>is</w:t>
      </w:r>
      <w:r w:rsidR="006D6DD2">
        <w:rPr>
          <w:rFonts w:ascii="Arial" w:hAnsi="Arial" w:cs="Arial"/>
          <w:sz w:val="22"/>
          <w:szCs w:val="22"/>
        </w:rPr>
        <w:t xml:space="preserve"> identifying </w:t>
      </w:r>
      <w:r w:rsidR="004E1A2E">
        <w:rPr>
          <w:rFonts w:ascii="Arial" w:hAnsi="Arial" w:cs="Arial"/>
          <w:sz w:val="22"/>
          <w:szCs w:val="22"/>
        </w:rPr>
        <w:t>which court’s order</w:t>
      </w:r>
      <w:r w:rsidR="00085917">
        <w:rPr>
          <w:rFonts w:ascii="Arial" w:hAnsi="Arial" w:cs="Arial"/>
          <w:sz w:val="22"/>
          <w:szCs w:val="22"/>
        </w:rPr>
        <w:t>s</w:t>
      </w:r>
      <w:r w:rsidR="004E1A2E">
        <w:rPr>
          <w:rFonts w:ascii="Arial" w:hAnsi="Arial" w:cs="Arial"/>
          <w:sz w:val="22"/>
          <w:szCs w:val="22"/>
        </w:rPr>
        <w:t xml:space="preserve"> will be </w:t>
      </w:r>
      <w:r w:rsidR="00085917">
        <w:rPr>
          <w:rFonts w:ascii="Arial" w:hAnsi="Arial" w:cs="Arial"/>
          <w:sz w:val="22"/>
          <w:szCs w:val="22"/>
        </w:rPr>
        <w:t>required to enforce the Plan</w:t>
      </w:r>
      <w:r w:rsidR="004E1A2E">
        <w:rPr>
          <w:rFonts w:ascii="Arial" w:hAnsi="Arial" w:cs="Arial"/>
          <w:sz w:val="22"/>
          <w:szCs w:val="22"/>
        </w:rPr>
        <w:t xml:space="preserve"> </w:t>
      </w:r>
      <w:r w:rsidR="00085917">
        <w:rPr>
          <w:rFonts w:ascii="Arial" w:hAnsi="Arial" w:cs="Arial"/>
          <w:sz w:val="22"/>
          <w:szCs w:val="22"/>
        </w:rPr>
        <w:t>against the likely</w:t>
      </w:r>
      <w:r w:rsidR="00FC462D">
        <w:rPr>
          <w:rFonts w:ascii="Arial" w:hAnsi="Arial" w:cs="Arial"/>
          <w:sz w:val="22"/>
          <w:szCs w:val="22"/>
        </w:rPr>
        <w:t xml:space="preserve"> </w:t>
      </w:r>
      <w:r w:rsidR="00B870E6">
        <w:rPr>
          <w:rFonts w:ascii="Arial" w:hAnsi="Arial" w:cs="Arial"/>
          <w:sz w:val="22"/>
          <w:szCs w:val="22"/>
        </w:rPr>
        <w:t>dissenters</w:t>
      </w:r>
      <w:r w:rsidR="004E1A2E">
        <w:rPr>
          <w:rFonts w:ascii="Arial" w:hAnsi="Arial" w:cs="Arial"/>
          <w:sz w:val="22"/>
          <w:szCs w:val="22"/>
        </w:rPr>
        <w:t>. This may be seen to invert the choice of jurisdiction for the approving court, but it may be the only way to answer the restructuring challenge</w:t>
      </w:r>
      <w:r w:rsidR="00B870E6">
        <w:rPr>
          <w:rFonts w:ascii="Arial" w:hAnsi="Arial" w:cs="Arial"/>
          <w:sz w:val="22"/>
          <w:szCs w:val="22"/>
        </w:rPr>
        <w:t xml:space="preserve"> safely. A</w:t>
      </w:r>
      <w:r w:rsidR="00085917">
        <w:rPr>
          <w:rFonts w:ascii="Arial" w:hAnsi="Arial" w:cs="Arial"/>
          <w:sz w:val="22"/>
          <w:szCs w:val="22"/>
        </w:rPr>
        <w:t xml:space="preserve">pproving courts can assist in this process too, by </w:t>
      </w:r>
      <w:r w:rsidR="00B870E6">
        <w:rPr>
          <w:rFonts w:ascii="Arial" w:hAnsi="Arial" w:cs="Arial"/>
          <w:sz w:val="22"/>
          <w:szCs w:val="22"/>
        </w:rPr>
        <w:t>addressing the enforceability question</w:t>
      </w:r>
      <w:r w:rsidR="00085917">
        <w:rPr>
          <w:rFonts w:ascii="Arial" w:hAnsi="Arial" w:cs="Arial"/>
          <w:sz w:val="22"/>
          <w:szCs w:val="22"/>
        </w:rPr>
        <w:t xml:space="preserve"> at the jurisdiction stage, and not merely at the approval stage.</w:t>
      </w:r>
      <w:r w:rsidR="004D6785">
        <w:rPr>
          <w:rFonts w:ascii="Arial" w:hAnsi="Arial" w:cs="Arial"/>
          <w:sz w:val="22"/>
          <w:szCs w:val="22"/>
        </w:rPr>
        <w:t xml:space="preserve"> </w:t>
      </w:r>
      <w:r w:rsidR="00B870E6">
        <w:rPr>
          <w:rFonts w:ascii="Arial" w:hAnsi="Arial" w:cs="Arial"/>
          <w:sz w:val="22"/>
          <w:szCs w:val="22"/>
        </w:rPr>
        <w:t>Thus</w:t>
      </w:r>
      <w:r w:rsidR="004E1A2E">
        <w:rPr>
          <w:rFonts w:ascii="Arial" w:hAnsi="Arial" w:cs="Arial"/>
          <w:sz w:val="22"/>
          <w:szCs w:val="22"/>
        </w:rPr>
        <w:t xml:space="preserve">, rather than asking which foreign court offers the </w:t>
      </w:r>
      <w:r w:rsidR="00FC462D">
        <w:rPr>
          <w:rFonts w:ascii="Arial" w:hAnsi="Arial" w:cs="Arial"/>
          <w:sz w:val="22"/>
          <w:szCs w:val="22"/>
        </w:rPr>
        <w:t>most appropriate</w:t>
      </w:r>
      <w:r w:rsidR="004E1A2E">
        <w:rPr>
          <w:rFonts w:ascii="Arial" w:hAnsi="Arial" w:cs="Arial"/>
          <w:sz w:val="22"/>
          <w:szCs w:val="22"/>
        </w:rPr>
        <w:t xml:space="preserve"> restructuring system</w:t>
      </w:r>
      <w:r w:rsidR="00FC462D">
        <w:rPr>
          <w:rFonts w:ascii="Arial" w:hAnsi="Arial" w:cs="Arial"/>
          <w:sz w:val="22"/>
          <w:szCs w:val="22"/>
        </w:rPr>
        <w:t xml:space="preserve"> for the entity</w:t>
      </w:r>
      <w:r w:rsidR="004E1A2E">
        <w:rPr>
          <w:rFonts w:ascii="Arial" w:hAnsi="Arial" w:cs="Arial"/>
          <w:sz w:val="22"/>
          <w:szCs w:val="22"/>
        </w:rPr>
        <w:t xml:space="preserve">, the </w:t>
      </w:r>
      <w:r w:rsidR="00B870E6">
        <w:rPr>
          <w:rFonts w:ascii="Arial" w:hAnsi="Arial" w:cs="Arial"/>
          <w:sz w:val="22"/>
          <w:szCs w:val="22"/>
        </w:rPr>
        <w:t xml:space="preserve">better </w:t>
      </w:r>
      <w:r w:rsidR="004E1A2E">
        <w:rPr>
          <w:rFonts w:ascii="Arial" w:hAnsi="Arial" w:cs="Arial"/>
          <w:sz w:val="22"/>
          <w:szCs w:val="22"/>
        </w:rPr>
        <w:t>question to ask is which court approved Plan is mostly likely to be enforceable against the likely opponents of the Plan</w:t>
      </w:r>
      <w:r w:rsidR="006E4261">
        <w:rPr>
          <w:rFonts w:ascii="Arial" w:hAnsi="Arial" w:cs="Arial"/>
          <w:sz w:val="22"/>
          <w:szCs w:val="22"/>
        </w:rPr>
        <w:t xml:space="preserve">, </w:t>
      </w:r>
      <w:r w:rsidR="00B870E6">
        <w:rPr>
          <w:rFonts w:ascii="Arial" w:hAnsi="Arial" w:cs="Arial"/>
          <w:sz w:val="22"/>
          <w:szCs w:val="22"/>
        </w:rPr>
        <w:t>and best resolve</w:t>
      </w:r>
      <w:r w:rsidR="006E4261">
        <w:rPr>
          <w:rFonts w:ascii="Arial" w:hAnsi="Arial" w:cs="Arial"/>
          <w:sz w:val="22"/>
          <w:szCs w:val="22"/>
        </w:rPr>
        <w:t xml:space="preserve"> the restructuring challenge for the entity in question.</w:t>
      </w:r>
    </w:p>
    <w:p w14:paraId="0CA9528F" w14:textId="56D0F11E" w:rsidR="006E4261" w:rsidRDefault="006E4261" w:rsidP="008B40AB">
      <w:pPr>
        <w:spacing w:before="120" w:after="120" w:line="360" w:lineRule="auto"/>
        <w:jc w:val="both"/>
        <w:rPr>
          <w:rFonts w:ascii="Arial" w:hAnsi="Arial" w:cs="Arial"/>
          <w:sz w:val="22"/>
          <w:szCs w:val="22"/>
        </w:rPr>
      </w:pPr>
    </w:p>
    <w:p w14:paraId="28BEFC71" w14:textId="02BE0DD7" w:rsidR="006E4261" w:rsidRDefault="006E4261" w:rsidP="008B40AB">
      <w:pPr>
        <w:spacing w:before="120" w:after="120" w:line="360" w:lineRule="auto"/>
        <w:jc w:val="both"/>
        <w:rPr>
          <w:rFonts w:ascii="Arial" w:hAnsi="Arial" w:cs="Arial"/>
          <w:sz w:val="22"/>
          <w:szCs w:val="22"/>
        </w:rPr>
      </w:pPr>
      <w:r>
        <w:rPr>
          <w:rFonts w:ascii="Arial" w:hAnsi="Arial" w:cs="Arial"/>
          <w:sz w:val="22"/>
          <w:szCs w:val="22"/>
        </w:rPr>
        <w:t>Dated:</w:t>
      </w:r>
      <w:r>
        <w:rPr>
          <w:rFonts w:ascii="Arial" w:hAnsi="Arial" w:cs="Arial"/>
          <w:sz w:val="22"/>
          <w:szCs w:val="22"/>
        </w:rPr>
        <w:tab/>
        <w:t>9 February 2022</w:t>
      </w:r>
    </w:p>
    <w:p w14:paraId="5025B4C4" w14:textId="51949DDE" w:rsidR="006E4261" w:rsidRDefault="006E4261" w:rsidP="008B40AB">
      <w:pPr>
        <w:spacing w:before="120" w:after="120" w:line="360" w:lineRule="auto"/>
        <w:jc w:val="both"/>
        <w:rPr>
          <w:rFonts w:ascii="Arial" w:hAnsi="Arial" w:cs="Arial"/>
          <w:sz w:val="22"/>
          <w:szCs w:val="22"/>
        </w:rPr>
      </w:pPr>
    </w:p>
    <w:p w14:paraId="4D79363F" w14:textId="019A5A54" w:rsidR="006E4261" w:rsidRDefault="006E4261" w:rsidP="008B40AB">
      <w:pPr>
        <w:spacing w:before="120" w:after="120" w:line="360" w:lineRule="auto"/>
        <w:jc w:val="both"/>
        <w:rPr>
          <w:rFonts w:ascii="Arial" w:hAnsi="Arial" w:cs="Arial"/>
          <w:sz w:val="22"/>
          <w:szCs w:val="22"/>
        </w:rPr>
      </w:pPr>
      <w:r>
        <w:rPr>
          <w:rFonts w:ascii="Arial" w:hAnsi="Arial" w:cs="Arial"/>
          <w:sz w:val="22"/>
          <w:szCs w:val="22"/>
        </w:rPr>
        <w:t>Word count: 4,</w:t>
      </w:r>
      <w:r w:rsidR="00B870E6">
        <w:rPr>
          <w:rFonts w:ascii="Arial" w:hAnsi="Arial" w:cs="Arial"/>
          <w:sz w:val="22"/>
          <w:szCs w:val="22"/>
        </w:rPr>
        <w:t>2</w:t>
      </w:r>
      <w:r w:rsidR="00784708">
        <w:rPr>
          <w:rFonts w:ascii="Arial" w:hAnsi="Arial" w:cs="Arial"/>
          <w:sz w:val="22"/>
          <w:szCs w:val="22"/>
        </w:rPr>
        <w:t>83</w:t>
      </w:r>
      <w:r w:rsidR="00B870E6">
        <w:rPr>
          <w:rFonts w:ascii="Arial" w:hAnsi="Arial" w:cs="Arial"/>
          <w:sz w:val="22"/>
          <w:szCs w:val="22"/>
        </w:rPr>
        <w:t xml:space="preserve"> </w:t>
      </w:r>
      <w:r>
        <w:rPr>
          <w:rFonts w:ascii="Arial" w:hAnsi="Arial" w:cs="Arial"/>
          <w:sz w:val="22"/>
          <w:szCs w:val="22"/>
        </w:rPr>
        <w:t>(excluding references and footnotes).</w:t>
      </w:r>
    </w:p>
    <w:p w14:paraId="22D04B4C" w14:textId="77777777" w:rsidR="0052484C" w:rsidRDefault="0052484C">
      <w:pPr>
        <w:rPr>
          <w:rFonts w:ascii="Arial" w:hAnsi="Arial" w:cs="Arial"/>
          <w:sz w:val="22"/>
          <w:szCs w:val="22"/>
        </w:rPr>
      </w:pPr>
      <w:r>
        <w:rPr>
          <w:rFonts w:ascii="Arial" w:hAnsi="Arial" w:cs="Arial"/>
          <w:sz w:val="22"/>
          <w:szCs w:val="22"/>
        </w:rPr>
        <w:br w:type="page"/>
      </w:r>
    </w:p>
    <w:p w14:paraId="0F212400" w14:textId="0F570269" w:rsidR="0010787E" w:rsidRPr="0052484C" w:rsidRDefault="00970825" w:rsidP="00B76061">
      <w:pPr>
        <w:spacing w:before="60" w:after="60"/>
        <w:jc w:val="both"/>
        <w:rPr>
          <w:rFonts w:ascii="Arial" w:hAnsi="Arial" w:cs="Arial"/>
          <w:b/>
          <w:bCs/>
          <w:sz w:val="22"/>
          <w:szCs w:val="22"/>
          <w:u w:val="single"/>
          <w:lang w:val="es-ES"/>
        </w:rPr>
      </w:pPr>
      <w:r>
        <w:rPr>
          <w:rFonts w:ascii="Arial" w:hAnsi="Arial" w:cs="Arial"/>
          <w:b/>
          <w:bCs/>
          <w:sz w:val="22"/>
          <w:szCs w:val="22"/>
          <w:u w:val="single"/>
          <w:lang w:val="es-ES"/>
        </w:rPr>
        <w:lastRenderedPageBreak/>
        <w:t>Bibliography</w:t>
      </w:r>
    </w:p>
    <w:p w14:paraId="056EDD49" w14:textId="77777777" w:rsidR="0010787E" w:rsidRPr="0052484C" w:rsidRDefault="0010787E" w:rsidP="00B76061">
      <w:pPr>
        <w:spacing w:before="60" w:after="60"/>
        <w:jc w:val="both"/>
        <w:rPr>
          <w:rFonts w:ascii="Arial" w:hAnsi="Arial" w:cs="Arial"/>
          <w:b/>
          <w:bCs/>
          <w:sz w:val="22"/>
          <w:szCs w:val="22"/>
          <w:u w:val="single"/>
          <w:lang w:val="es-ES"/>
        </w:rPr>
      </w:pPr>
    </w:p>
    <w:p w14:paraId="092BDF5D" w14:textId="18042191" w:rsidR="0010787E" w:rsidRPr="00866A64" w:rsidRDefault="0010787E" w:rsidP="00B76061">
      <w:pPr>
        <w:spacing w:before="60" w:after="60"/>
        <w:jc w:val="both"/>
        <w:rPr>
          <w:rFonts w:ascii="Arial" w:hAnsi="Arial" w:cs="Arial"/>
          <w:sz w:val="22"/>
          <w:szCs w:val="22"/>
        </w:rPr>
      </w:pPr>
      <w:r w:rsidRPr="0052484C">
        <w:rPr>
          <w:rFonts w:ascii="Arial" w:hAnsi="Arial" w:cs="Arial"/>
          <w:sz w:val="22"/>
          <w:szCs w:val="22"/>
          <w:lang w:val="es-ES"/>
        </w:rPr>
        <w:t xml:space="preserve">Adriaanse, J.A.A., &amp; Kujil, J.G. (2006). </w:t>
      </w:r>
      <w:r>
        <w:rPr>
          <w:rFonts w:ascii="Arial" w:hAnsi="Arial" w:cs="Arial"/>
          <w:sz w:val="22"/>
          <w:szCs w:val="22"/>
        </w:rPr>
        <w:t xml:space="preserve">‘Resolving Financial Distress: Informal Reorganisation in The Netherlands as a Beacon for Policy Makers in the CIS and the CEE/SEE Regions?’, </w:t>
      </w:r>
      <w:r>
        <w:rPr>
          <w:rFonts w:ascii="Arial" w:hAnsi="Arial" w:cs="Arial"/>
          <w:i/>
          <w:iCs/>
          <w:sz w:val="22"/>
          <w:szCs w:val="22"/>
        </w:rPr>
        <w:t>Review of Central and East European Law</w:t>
      </w:r>
      <w:r>
        <w:rPr>
          <w:rFonts w:ascii="Arial" w:hAnsi="Arial" w:cs="Arial"/>
          <w:sz w:val="22"/>
          <w:szCs w:val="22"/>
        </w:rPr>
        <w:t xml:space="preserve">, 31 </w:t>
      </w:r>
      <w:r w:rsidR="00D856E2">
        <w:rPr>
          <w:rFonts w:ascii="Arial" w:hAnsi="Arial" w:cs="Arial"/>
          <w:sz w:val="22"/>
          <w:szCs w:val="22"/>
        </w:rPr>
        <w:t>(</w:t>
      </w:r>
      <w:r>
        <w:rPr>
          <w:rFonts w:ascii="Arial" w:hAnsi="Arial" w:cs="Arial"/>
          <w:sz w:val="22"/>
          <w:szCs w:val="22"/>
        </w:rPr>
        <w:t>2), 135-154.</w:t>
      </w:r>
    </w:p>
    <w:p w14:paraId="73249BD8" w14:textId="77777777" w:rsidR="0010787E" w:rsidRPr="00866A64" w:rsidRDefault="0010787E" w:rsidP="00B76061">
      <w:pPr>
        <w:spacing w:before="60" w:after="60"/>
        <w:jc w:val="both"/>
        <w:rPr>
          <w:rFonts w:ascii="Arial" w:hAnsi="Arial" w:cs="Arial"/>
          <w:sz w:val="22"/>
          <w:szCs w:val="22"/>
        </w:rPr>
      </w:pPr>
    </w:p>
    <w:p w14:paraId="5E7B9BFD" w14:textId="71888855" w:rsidR="0010787E" w:rsidRDefault="0010787E" w:rsidP="00B76061">
      <w:pPr>
        <w:spacing w:before="60" w:after="60"/>
        <w:jc w:val="both"/>
        <w:rPr>
          <w:rFonts w:ascii="Arial" w:hAnsi="Arial" w:cs="Arial"/>
          <w:sz w:val="22"/>
          <w:szCs w:val="22"/>
        </w:rPr>
      </w:pPr>
      <w:r>
        <w:rPr>
          <w:rFonts w:ascii="Arial" w:hAnsi="Arial" w:cs="Arial"/>
          <w:sz w:val="22"/>
          <w:szCs w:val="22"/>
        </w:rPr>
        <w:t xml:space="preserve">Allen &amp; Ovary (2015). ‘The rise and rise of the English scheme of arrangement’, </w:t>
      </w:r>
      <w:hyperlink r:id="rId9" w:history="1">
        <w:r w:rsidR="00D856E2" w:rsidRPr="00DC36BD">
          <w:rPr>
            <w:rStyle w:val="Hyperlink"/>
            <w:rFonts w:ascii="Arial" w:hAnsi="Arial" w:cs="Arial"/>
            <w:sz w:val="22"/>
            <w:szCs w:val="22"/>
          </w:rPr>
          <w:t>https://www.allenovery.com/en-gb/global/news-and-insights/publications/the-rise-and-rise-of-the-english-scheme-of-arrangement</w:t>
        </w:r>
      </w:hyperlink>
      <w:r w:rsidR="00D856E2">
        <w:rPr>
          <w:rFonts w:ascii="Arial" w:hAnsi="Arial" w:cs="Arial"/>
          <w:sz w:val="22"/>
          <w:szCs w:val="22"/>
        </w:rPr>
        <w:t>, accessed February 2022.</w:t>
      </w:r>
    </w:p>
    <w:p w14:paraId="471C0FC0" w14:textId="77777777" w:rsidR="0010787E" w:rsidRDefault="0010787E" w:rsidP="00B76061">
      <w:pPr>
        <w:spacing w:before="60" w:after="60"/>
        <w:jc w:val="both"/>
        <w:rPr>
          <w:rFonts w:ascii="Arial" w:hAnsi="Arial" w:cs="Arial"/>
          <w:sz w:val="22"/>
          <w:szCs w:val="22"/>
        </w:rPr>
      </w:pPr>
    </w:p>
    <w:p w14:paraId="1A952699" w14:textId="77777777" w:rsidR="0010787E" w:rsidRDefault="0010787E" w:rsidP="00B76061">
      <w:pPr>
        <w:spacing w:before="60" w:after="60"/>
        <w:jc w:val="both"/>
        <w:rPr>
          <w:rFonts w:ascii="Arial" w:hAnsi="Arial" w:cs="Arial"/>
          <w:sz w:val="22"/>
          <w:szCs w:val="22"/>
        </w:rPr>
      </w:pPr>
      <w:r>
        <w:rPr>
          <w:rFonts w:ascii="Arial" w:hAnsi="Arial" w:cs="Arial"/>
          <w:sz w:val="22"/>
          <w:szCs w:val="22"/>
        </w:rPr>
        <w:t xml:space="preserve">Ashurst (2021). New restructuring tools in Europe: Keeping up with the competition’, </w:t>
      </w:r>
      <w:hyperlink r:id="rId10" w:history="1">
        <w:r w:rsidRPr="00DC36BD">
          <w:rPr>
            <w:rStyle w:val="Hyperlink"/>
            <w:rFonts w:ascii="Arial" w:hAnsi="Arial" w:cs="Arial"/>
            <w:sz w:val="22"/>
            <w:szCs w:val="22"/>
          </w:rPr>
          <w:t>https://www.ashurst.com/en/news-and-insights/insights/new-restructuring-tools-in-europe-keeping-up-with-the-competition</w:t>
        </w:r>
      </w:hyperlink>
      <w:r>
        <w:rPr>
          <w:rFonts w:ascii="Arial" w:hAnsi="Arial" w:cs="Arial"/>
          <w:sz w:val="22"/>
          <w:szCs w:val="22"/>
        </w:rPr>
        <w:t>, 29 October 2021, accessed 8 February 2022.</w:t>
      </w:r>
    </w:p>
    <w:p w14:paraId="28A936B1" w14:textId="77777777" w:rsidR="0010787E" w:rsidRDefault="0010787E" w:rsidP="00B76061">
      <w:pPr>
        <w:spacing w:before="60" w:after="60"/>
        <w:jc w:val="both"/>
        <w:rPr>
          <w:rFonts w:ascii="Arial" w:hAnsi="Arial" w:cs="Arial"/>
          <w:sz w:val="22"/>
          <w:szCs w:val="22"/>
        </w:rPr>
      </w:pPr>
    </w:p>
    <w:p w14:paraId="7EA3DC7E" w14:textId="77777777" w:rsidR="0010787E" w:rsidRDefault="0010787E" w:rsidP="00B76061">
      <w:pPr>
        <w:spacing w:before="60" w:after="60"/>
        <w:jc w:val="both"/>
        <w:rPr>
          <w:rFonts w:ascii="Arial" w:hAnsi="Arial" w:cs="Arial"/>
          <w:sz w:val="22"/>
          <w:szCs w:val="22"/>
        </w:rPr>
      </w:pPr>
      <w:r>
        <w:rPr>
          <w:rFonts w:ascii="Arial" w:hAnsi="Arial" w:cs="Arial"/>
          <w:sz w:val="22"/>
          <w:szCs w:val="22"/>
        </w:rPr>
        <w:t>Boraine, A. (2021). ‘A Framework for International Insolvency’, INSOL International, Global Insolvency Practice Course Guide.</w:t>
      </w:r>
    </w:p>
    <w:p w14:paraId="6F4ED6D1" w14:textId="77777777" w:rsidR="0010787E" w:rsidRDefault="0010787E" w:rsidP="00B76061">
      <w:pPr>
        <w:spacing w:before="60" w:after="60"/>
        <w:jc w:val="both"/>
        <w:rPr>
          <w:rFonts w:ascii="Arial" w:hAnsi="Arial" w:cs="Arial"/>
          <w:sz w:val="22"/>
          <w:szCs w:val="22"/>
        </w:rPr>
      </w:pPr>
    </w:p>
    <w:p w14:paraId="3E93F24F" w14:textId="77777777" w:rsidR="0010787E" w:rsidRPr="007A75ED" w:rsidRDefault="0010787E" w:rsidP="00B76061">
      <w:pPr>
        <w:spacing w:before="60" w:after="60"/>
        <w:jc w:val="both"/>
        <w:rPr>
          <w:rFonts w:ascii="Arial" w:hAnsi="Arial" w:cs="Arial"/>
          <w:sz w:val="22"/>
          <w:szCs w:val="22"/>
        </w:rPr>
      </w:pPr>
      <w:r>
        <w:rPr>
          <w:rFonts w:ascii="Arial" w:hAnsi="Arial" w:cs="Arial"/>
          <w:sz w:val="22"/>
          <w:szCs w:val="22"/>
        </w:rPr>
        <w:t xml:space="preserve">Chrenkoff, A. (1996). ‘Freedom of Contract: A New Look at the History and Future of the Idea’, </w:t>
      </w:r>
      <w:r>
        <w:rPr>
          <w:rFonts w:ascii="Arial" w:hAnsi="Arial" w:cs="Arial"/>
          <w:i/>
          <w:iCs/>
          <w:sz w:val="22"/>
          <w:szCs w:val="22"/>
        </w:rPr>
        <w:t>Australian Journal of Legal Philosophy</w:t>
      </w:r>
      <w:r>
        <w:rPr>
          <w:rFonts w:ascii="Arial" w:hAnsi="Arial" w:cs="Arial"/>
          <w:sz w:val="22"/>
          <w:szCs w:val="22"/>
        </w:rPr>
        <w:t xml:space="preserve"> (Vol. 21), pp.36-55.</w:t>
      </w:r>
    </w:p>
    <w:p w14:paraId="4CC38735" w14:textId="77777777" w:rsidR="0010787E" w:rsidRDefault="0010787E" w:rsidP="00B76061">
      <w:pPr>
        <w:spacing w:before="60" w:after="60"/>
        <w:jc w:val="both"/>
        <w:rPr>
          <w:rFonts w:ascii="Arial" w:hAnsi="Arial" w:cs="Arial"/>
          <w:sz w:val="22"/>
          <w:szCs w:val="22"/>
        </w:rPr>
      </w:pPr>
    </w:p>
    <w:p w14:paraId="0426D32D" w14:textId="4C16C045" w:rsidR="0010787E" w:rsidRPr="00C72FE6" w:rsidRDefault="0010787E" w:rsidP="00B76061">
      <w:pPr>
        <w:spacing w:before="60" w:after="60"/>
        <w:jc w:val="both"/>
        <w:rPr>
          <w:rFonts w:ascii="Arial" w:hAnsi="Arial" w:cs="Arial"/>
          <w:sz w:val="22"/>
          <w:szCs w:val="22"/>
        </w:rPr>
      </w:pPr>
      <w:r>
        <w:rPr>
          <w:rFonts w:ascii="Arial" w:hAnsi="Arial" w:cs="Arial"/>
          <w:sz w:val="22"/>
          <w:szCs w:val="22"/>
        </w:rPr>
        <w:t xml:space="preserve">Davies, M., Bell, A.S., </w:t>
      </w:r>
      <w:r w:rsidR="00D856E2">
        <w:rPr>
          <w:rFonts w:ascii="Arial" w:hAnsi="Arial" w:cs="Arial"/>
          <w:sz w:val="22"/>
          <w:szCs w:val="22"/>
        </w:rPr>
        <w:t xml:space="preserve">&amp; </w:t>
      </w:r>
      <w:r>
        <w:rPr>
          <w:rFonts w:ascii="Arial" w:hAnsi="Arial" w:cs="Arial"/>
          <w:sz w:val="22"/>
          <w:szCs w:val="22"/>
        </w:rPr>
        <w:t xml:space="preserve">Brereton, P.L.G. (2010), </w:t>
      </w:r>
      <w:r>
        <w:rPr>
          <w:rFonts w:ascii="Arial" w:hAnsi="Arial" w:cs="Arial"/>
          <w:i/>
          <w:iCs/>
          <w:sz w:val="22"/>
          <w:szCs w:val="22"/>
        </w:rPr>
        <w:t>Nygh’s Conflict of Laws in Australia</w:t>
      </w:r>
      <w:r>
        <w:rPr>
          <w:rFonts w:ascii="Arial" w:hAnsi="Arial" w:cs="Arial"/>
          <w:sz w:val="22"/>
          <w:szCs w:val="22"/>
        </w:rPr>
        <w:t>, LexisNexis Butterworths, Australia.</w:t>
      </w:r>
    </w:p>
    <w:p w14:paraId="30ABF0E7" w14:textId="77777777" w:rsidR="0010787E" w:rsidRDefault="0010787E" w:rsidP="00D856E2">
      <w:pPr>
        <w:spacing w:before="60" w:after="60"/>
        <w:jc w:val="both"/>
        <w:rPr>
          <w:rFonts w:ascii="Arial" w:hAnsi="Arial" w:cs="Arial"/>
          <w:sz w:val="22"/>
          <w:szCs w:val="22"/>
        </w:rPr>
      </w:pPr>
    </w:p>
    <w:p w14:paraId="4F4597DF" w14:textId="77777777" w:rsidR="0010787E" w:rsidRPr="00F85CF7" w:rsidRDefault="0010787E" w:rsidP="00D856E2">
      <w:pPr>
        <w:spacing w:before="60" w:after="60"/>
        <w:jc w:val="both"/>
        <w:rPr>
          <w:rFonts w:ascii="Arial" w:hAnsi="Arial" w:cs="Arial"/>
          <w:sz w:val="22"/>
          <w:szCs w:val="22"/>
        </w:rPr>
      </w:pPr>
      <w:r>
        <w:rPr>
          <w:rFonts w:ascii="Arial" w:hAnsi="Arial" w:cs="Arial"/>
          <w:sz w:val="22"/>
          <w:szCs w:val="22"/>
        </w:rPr>
        <w:t xml:space="preserve">Goode, R. (2011). </w:t>
      </w:r>
      <w:r>
        <w:rPr>
          <w:rFonts w:ascii="Arial" w:hAnsi="Arial" w:cs="Arial"/>
          <w:i/>
          <w:iCs/>
          <w:sz w:val="22"/>
          <w:szCs w:val="22"/>
        </w:rPr>
        <w:t>Principles of Insolvency Law</w:t>
      </w:r>
      <w:r>
        <w:rPr>
          <w:rFonts w:ascii="Arial" w:hAnsi="Arial" w:cs="Arial"/>
          <w:sz w:val="22"/>
          <w:szCs w:val="22"/>
        </w:rPr>
        <w:t xml:space="preserve"> (4 ed.), Sweet &amp; Maxwell, London, ch.16.</w:t>
      </w:r>
    </w:p>
    <w:p w14:paraId="3BE02A91" w14:textId="77777777" w:rsidR="0010787E" w:rsidRDefault="0010787E" w:rsidP="00D856E2">
      <w:pPr>
        <w:spacing w:before="60" w:after="60"/>
        <w:jc w:val="both"/>
        <w:rPr>
          <w:rFonts w:ascii="Arial" w:hAnsi="Arial" w:cs="Arial"/>
          <w:sz w:val="22"/>
          <w:szCs w:val="22"/>
        </w:rPr>
      </w:pPr>
    </w:p>
    <w:p w14:paraId="21CDCD60" w14:textId="1C43A1A0" w:rsidR="0010787E" w:rsidRPr="002A1D8B" w:rsidRDefault="00ED1B6C" w:rsidP="00D856E2">
      <w:pPr>
        <w:spacing w:before="60" w:after="60"/>
        <w:jc w:val="both"/>
        <w:rPr>
          <w:rFonts w:ascii="Arial" w:hAnsi="Arial" w:cs="Arial"/>
          <w:sz w:val="22"/>
          <w:szCs w:val="22"/>
        </w:rPr>
      </w:pPr>
      <w:r>
        <w:rPr>
          <w:rFonts w:ascii="Arial" w:hAnsi="Arial" w:cs="Arial"/>
          <w:sz w:val="22"/>
          <w:szCs w:val="22"/>
        </w:rPr>
        <w:t>Gopalan</w:t>
      </w:r>
      <w:r w:rsidR="0010787E">
        <w:rPr>
          <w:rFonts w:ascii="Arial" w:hAnsi="Arial" w:cs="Arial"/>
          <w:sz w:val="22"/>
          <w:szCs w:val="22"/>
        </w:rPr>
        <w:t xml:space="preserve">, S. &amp; Guihot, M. (2016). </w:t>
      </w:r>
      <w:r w:rsidR="0010787E">
        <w:rPr>
          <w:rFonts w:ascii="Arial" w:hAnsi="Arial" w:cs="Arial"/>
          <w:i/>
          <w:iCs/>
          <w:sz w:val="22"/>
          <w:szCs w:val="22"/>
        </w:rPr>
        <w:t>Cross-Border Insolvency Law</w:t>
      </w:r>
      <w:r w:rsidR="0010787E">
        <w:rPr>
          <w:rFonts w:ascii="Arial" w:hAnsi="Arial" w:cs="Arial"/>
          <w:sz w:val="22"/>
          <w:szCs w:val="22"/>
        </w:rPr>
        <w:t xml:space="preserve">, LexisNexis Butterworths, Australia, </w:t>
      </w:r>
      <w:r w:rsidR="00D856E2">
        <w:rPr>
          <w:rFonts w:ascii="Arial" w:hAnsi="Arial" w:cs="Arial"/>
          <w:sz w:val="22"/>
          <w:szCs w:val="22"/>
        </w:rPr>
        <w:t>ch.1.</w:t>
      </w:r>
    </w:p>
    <w:p w14:paraId="3B375384" w14:textId="77777777" w:rsidR="0010787E" w:rsidRDefault="0010787E" w:rsidP="00D856E2">
      <w:pPr>
        <w:spacing w:before="60" w:after="60"/>
        <w:jc w:val="both"/>
        <w:rPr>
          <w:rFonts w:ascii="Arial" w:hAnsi="Arial" w:cs="Arial"/>
          <w:i/>
          <w:iCs/>
          <w:sz w:val="22"/>
          <w:szCs w:val="22"/>
        </w:rPr>
      </w:pPr>
    </w:p>
    <w:p w14:paraId="548BC951" w14:textId="77777777" w:rsidR="0010787E" w:rsidRPr="005C5FF8" w:rsidRDefault="0010787E" w:rsidP="00D856E2">
      <w:pPr>
        <w:spacing w:before="60" w:after="60"/>
        <w:jc w:val="both"/>
        <w:rPr>
          <w:rFonts w:ascii="Arial" w:hAnsi="Arial" w:cs="Arial"/>
          <w:sz w:val="22"/>
          <w:szCs w:val="22"/>
        </w:rPr>
      </w:pPr>
      <w:r>
        <w:rPr>
          <w:rFonts w:ascii="Arial" w:hAnsi="Arial" w:cs="Arial"/>
          <w:sz w:val="22"/>
          <w:szCs w:val="22"/>
        </w:rPr>
        <w:t xml:space="preserve">Jensen, M.C. &amp; Meckling, W.H. (1976). ‘Theory of the Firm: Managerial Behaviour, Agency Costs and Ownership Structure’, </w:t>
      </w:r>
      <w:r>
        <w:rPr>
          <w:rFonts w:ascii="Arial" w:hAnsi="Arial" w:cs="Arial"/>
          <w:i/>
          <w:iCs/>
          <w:sz w:val="22"/>
          <w:szCs w:val="22"/>
        </w:rPr>
        <w:t>Journal of Financial Economics</w:t>
      </w:r>
      <w:r>
        <w:rPr>
          <w:rFonts w:ascii="Arial" w:hAnsi="Arial" w:cs="Arial"/>
          <w:sz w:val="22"/>
          <w:szCs w:val="22"/>
        </w:rPr>
        <w:t>, (Vol.3, No. 4), pp.305-360.</w:t>
      </w:r>
    </w:p>
    <w:p w14:paraId="624C0585" w14:textId="77777777" w:rsidR="0010787E" w:rsidRDefault="0010787E" w:rsidP="00D856E2">
      <w:pPr>
        <w:spacing w:before="60" w:after="60"/>
        <w:jc w:val="both"/>
        <w:rPr>
          <w:rFonts w:ascii="Arial" w:hAnsi="Arial" w:cs="Arial"/>
          <w:sz w:val="22"/>
          <w:szCs w:val="22"/>
        </w:rPr>
      </w:pPr>
    </w:p>
    <w:p w14:paraId="197C9CC1" w14:textId="77777777" w:rsidR="0010787E" w:rsidRDefault="0010787E" w:rsidP="00D856E2">
      <w:pPr>
        <w:spacing w:before="60" w:after="60"/>
        <w:jc w:val="both"/>
        <w:rPr>
          <w:rFonts w:ascii="Arial" w:hAnsi="Arial" w:cs="Arial"/>
          <w:sz w:val="22"/>
          <w:szCs w:val="22"/>
        </w:rPr>
      </w:pPr>
      <w:r>
        <w:rPr>
          <w:rFonts w:ascii="Arial" w:hAnsi="Arial" w:cs="Arial"/>
          <w:sz w:val="22"/>
          <w:szCs w:val="22"/>
        </w:rPr>
        <w:t xml:space="preserve">Sundarsnam, S., &amp; Lai, J. (2001), ‘Corporate Financial Distress and Turnaround Strategies: An Empirical Analysis’, </w:t>
      </w:r>
      <w:r>
        <w:rPr>
          <w:rFonts w:ascii="Arial" w:hAnsi="Arial" w:cs="Arial"/>
          <w:i/>
          <w:iCs/>
          <w:sz w:val="22"/>
          <w:szCs w:val="22"/>
        </w:rPr>
        <w:t>British Journal of Management</w:t>
      </w:r>
      <w:r>
        <w:rPr>
          <w:rFonts w:ascii="Arial" w:hAnsi="Arial" w:cs="Arial"/>
          <w:sz w:val="22"/>
          <w:szCs w:val="22"/>
        </w:rPr>
        <w:t>’, Vol. 12, 183-199.</w:t>
      </w:r>
    </w:p>
    <w:p w14:paraId="678A831D" w14:textId="77777777" w:rsidR="0010787E" w:rsidRDefault="0010787E" w:rsidP="00D856E2">
      <w:pPr>
        <w:spacing w:before="60" w:after="60"/>
        <w:jc w:val="both"/>
        <w:rPr>
          <w:rFonts w:ascii="Arial" w:hAnsi="Arial" w:cs="Arial"/>
          <w:sz w:val="22"/>
          <w:szCs w:val="22"/>
        </w:rPr>
      </w:pPr>
    </w:p>
    <w:p w14:paraId="47D4D211" w14:textId="4125192C" w:rsidR="0010787E" w:rsidRDefault="0010787E" w:rsidP="00D856E2">
      <w:pPr>
        <w:spacing w:before="60" w:after="60"/>
        <w:jc w:val="both"/>
        <w:rPr>
          <w:rFonts w:ascii="Arial" w:hAnsi="Arial" w:cs="Arial"/>
          <w:sz w:val="22"/>
          <w:szCs w:val="22"/>
        </w:rPr>
      </w:pPr>
      <w:r>
        <w:rPr>
          <w:rFonts w:ascii="Arial" w:hAnsi="Arial" w:cs="Arial"/>
          <w:sz w:val="22"/>
          <w:szCs w:val="22"/>
        </w:rPr>
        <w:t xml:space="preserve">UNCITRAL (2004). </w:t>
      </w:r>
      <w:r w:rsidRPr="00C5538C">
        <w:rPr>
          <w:rFonts w:ascii="Arial" w:hAnsi="Arial" w:cs="Arial"/>
          <w:i/>
          <w:iCs/>
          <w:sz w:val="22"/>
          <w:szCs w:val="22"/>
        </w:rPr>
        <w:t>Legislative Guide on Insolvency Law, Part I</w:t>
      </w:r>
      <w:r w:rsidR="00C5538C">
        <w:rPr>
          <w:rFonts w:ascii="Arial" w:hAnsi="Arial" w:cs="Arial"/>
          <w:sz w:val="22"/>
          <w:szCs w:val="22"/>
        </w:rPr>
        <w:t>, Vienna</w:t>
      </w:r>
      <w:r>
        <w:rPr>
          <w:rFonts w:ascii="Arial" w:hAnsi="Arial" w:cs="Arial"/>
          <w:sz w:val="22"/>
          <w:szCs w:val="22"/>
        </w:rPr>
        <w:t>.</w:t>
      </w:r>
    </w:p>
    <w:p w14:paraId="4A8BAA8B" w14:textId="77777777" w:rsidR="0010787E" w:rsidRDefault="0010787E" w:rsidP="00D856E2">
      <w:pPr>
        <w:spacing w:before="60" w:after="60"/>
        <w:jc w:val="both"/>
        <w:rPr>
          <w:rFonts w:ascii="Arial" w:hAnsi="Arial" w:cs="Arial"/>
          <w:sz w:val="22"/>
          <w:szCs w:val="22"/>
        </w:rPr>
      </w:pPr>
      <w:r>
        <w:rPr>
          <w:rFonts w:ascii="Arial" w:hAnsi="Arial" w:cs="Arial"/>
          <w:sz w:val="22"/>
          <w:szCs w:val="22"/>
        </w:rPr>
        <w:t xml:space="preserve"> </w:t>
      </w:r>
    </w:p>
    <w:p w14:paraId="6B1A8490" w14:textId="0FB39C5F" w:rsidR="0010787E" w:rsidRDefault="0010787E" w:rsidP="00D856E2">
      <w:pPr>
        <w:spacing w:before="60" w:after="60"/>
        <w:jc w:val="both"/>
        <w:rPr>
          <w:rFonts w:ascii="Arial" w:hAnsi="Arial" w:cs="Arial"/>
          <w:sz w:val="22"/>
          <w:szCs w:val="22"/>
        </w:rPr>
      </w:pPr>
      <w:r>
        <w:rPr>
          <w:rFonts w:ascii="Arial" w:hAnsi="Arial" w:cs="Arial"/>
          <w:sz w:val="22"/>
          <w:szCs w:val="22"/>
        </w:rPr>
        <w:t>UNCITRAL (2014).</w:t>
      </w:r>
      <w:r w:rsidR="004D6785">
        <w:rPr>
          <w:rFonts w:ascii="Arial" w:hAnsi="Arial" w:cs="Arial"/>
          <w:sz w:val="22"/>
          <w:szCs w:val="22"/>
        </w:rPr>
        <w:t xml:space="preserve"> </w:t>
      </w:r>
      <w:r w:rsidRPr="00C5538C">
        <w:rPr>
          <w:rFonts w:ascii="Arial" w:hAnsi="Arial" w:cs="Arial"/>
          <w:i/>
          <w:iCs/>
          <w:sz w:val="22"/>
          <w:szCs w:val="22"/>
        </w:rPr>
        <w:t>Guide to Enactment and Interpretation of the UNCITRAL Model Law on Cross-Border Insolvency</w:t>
      </w:r>
      <w:r w:rsidR="00C5538C">
        <w:rPr>
          <w:rFonts w:ascii="Arial" w:hAnsi="Arial" w:cs="Arial"/>
          <w:sz w:val="22"/>
          <w:szCs w:val="22"/>
        </w:rPr>
        <w:t>, Vienna</w:t>
      </w:r>
      <w:r>
        <w:rPr>
          <w:rFonts w:ascii="Arial" w:hAnsi="Arial" w:cs="Arial"/>
          <w:sz w:val="22"/>
          <w:szCs w:val="22"/>
        </w:rPr>
        <w:t>.</w:t>
      </w:r>
    </w:p>
    <w:p w14:paraId="6AB2B681" w14:textId="6510613B" w:rsidR="00C5538C" w:rsidRDefault="00C5538C" w:rsidP="00D856E2">
      <w:pPr>
        <w:spacing w:before="60" w:after="60"/>
        <w:jc w:val="both"/>
        <w:rPr>
          <w:rFonts w:ascii="Arial" w:hAnsi="Arial" w:cs="Arial"/>
          <w:sz w:val="22"/>
          <w:szCs w:val="22"/>
        </w:rPr>
      </w:pPr>
    </w:p>
    <w:p w14:paraId="406F03A1" w14:textId="0230F8D9" w:rsidR="00C5538C" w:rsidRDefault="00C5538C" w:rsidP="00D856E2">
      <w:pPr>
        <w:spacing w:before="60" w:after="60"/>
        <w:jc w:val="both"/>
        <w:rPr>
          <w:rFonts w:ascii="Arial" w:hAnsi="Arial" w:cs="Arial"/>
          <w:sz w:val="22"/>
          <w:szCs w:val="22"/>
        </w:rPr>
      </w:pPr>
      <w:r>
        <w:rPr>
          <w:rFonts w:ascii="Arial" w:hAnsi="Arial" w:cs="Arial"/>
          <w:sz w:val="22"/>
          <w:szCs w:val="22"/>
        </w:rPr>
        <w:t xml:space="preserve">UNCITRAL (2019). </w:t>
      </w:r>
      <w:r w:rsidRPr="00C5538C">
        <w:rPr>
          <w:rFonts w:ascii="Arial" w:hAnsi="Arial" w:cs="Arial"/>
          <w:i/>
          <w:iCs/>
          <w:sz w:val="22"/>
          <w:szCs w:val="22"/>
        </w:rPr>
        <w:t>UNCITRAL Model Law on Recognition and Enforcement of Insolvency-Related Judgments with Guide to Enactment</w:t>
      </w:r>
      <w:r>
        <w:rPr>
          <w:rFonts w:ascii="Arial" w:hAnsi="Arial" w:cs="Arial"/>
          <w:sz w:val="22"/>
          <w:szCs w:val="22"/>
        </w:rPr>
        <w:t>, Vienna.</w:t>
      </w:r>
    </w:p>
    <w:p w14:paraId="2ED3341A" w14:textId="77777777" w:rsidR="0010787E" w:rsidRDefault="0010787E" w:rsidP="00D856E2">
      <w:pPr>
        <w:spacing w:before="60" w:after="60"/>
        <w:jc w:val="both"/>
        <w:rPr>
          <w:rFonts w:ascii="Arial" w:hAnsi="Arial" w:cs="Arial"/>
          <w:sz w:val="22"/>
          <w:szCs w:val="22"/>
        </w:rPr>
      </w:pPr>
    </w:p>
    <w:p w14:paraId="494FFB94" w14:textId="7C07DDCF" w:rsidR="00A33E02" w:rsidRPr="00A33E02" w:rsidRDefault="0010787E" w:rsidP="00B76061">
      <w:pPr>
        <w:spacing w:before="120" w:after="120" w:line="276" w:lineRule="auto"/>
        <w:jc w:val="both"/>
        <w:rPr>
          <w:rFonts w:ascii="Arial" w:hAnsi="Arial" w:cs="Arial"/>
          <w:b/>
          <w:bCs/>
        </w:rPr>
      </w:pPr>
      <w:r>
        <w:rPr>
          <w:rFonts w:ascii="Arial" w:hAnsi="Arial" w:cs="Arial"/>
          <w:sz w:val="22"/>
          <w:szCs w:val="22"/>
        </w:rPr>
        <w:t>Wessels, B., &amp; Boon, G-J., (2019). ‘Soft Law Instruments in Restructuring and Insolvency Law: Exploring its Rise and Impact’</w:t>
      </w:r>
      <w:r w:rsidRPr="00BF723F">
        <w:rPr>
          <w:rFonts w:ascii="Arial" w:hAnsi="Arial" w:cs="Arial"/>
          <w:sz w:val="22"/>
          <w:szCs w:val="22"/>
        </w:rPr>
        <w:t xml:space="preserve">, </w:t>
      </w:r>
      <w:r w:rsidRPr="00B76061">
        <w:rPr>
          <w:rFonts w:ascii="Arial" w:hAnsi="Arial" w:cs="Arial"/>
          <w:color w:val="000000" w:themeColor="text1"/>
          <w:sz w:val="22"/>
          <w:szCs w:val="22"/>
          <w:shd w:val="clear" w:color="auto" w:fill="FFFFFF"/>
        </w:rPr>
        <w:t>Tijdschrift voor vennootschapsrecht, rechtspersonenrecht en ondernemingsbestuur.</w:t>
      </w:r>
    </w:p>
    <w:p w14:paraId="357156F9" w14:textId="77777777" w:rsidR="00A33E02" w:rsidRPr="00A33E02" w:rsidRDefault="00A33E02" w:rsidP="00763BD9">
      <w:pPr>
        <w:spacing w:before="120" w:after="120" w:line="360" w:lineRule="auto"/>
        <w:jc w:val="both"/>
        <w:rPr>
          <w:rFonts w:ascii="Arial" w:hAnsi="Arial" w:cs="Arial"/>
          <w:sz w:val="22"/>
          <w:szCs w:val="22"/>
        </w:rPr>
      </w:pPr>
    </w:p>
    <w:sectPr w:rsidR="00A33E02" w:rsidRPr="00A33E02" w:rsidSect="00ED1B6C">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BB81" w14:textId="77777777" w:rsidR="009A3BF3" w:rsidRDefault="009A3BF3" w:rsidP="007C2D2D">
      <w:r>
        <w:separator/>
      </w:r>
    </w:p>
  </w:endnote>
  <w:endnote w:type="continuationSeparator" w:id="0">
    <w:p w14:paraId="226E8196" w14:textId="77777777" w:rsidR="009A3BF3" w:rsidRDefault="009A3BF3" w:rsidP="007C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6C73" w14:textId="77777777" w:rsidR="009A3BF3" w:rsidRDefault="009A3BF3" w:rsidP="007C2D2D">
      <w:r>
        <w:separator/>
      </w:r>
    </w:p>
  </w:footnote>
  <w:footnote w:type="continuationSeparator" w:id="0">
    <w:p w14:paraId="5A709A1C" w14:textId="77777777" w:rsidR="009A3BF3" w:rsidRDefault="009A3BF3" w:rsidP="007C2D2D">
      <w:r>
        <w:continuationSeparator/>
      </w:r>
    </w:p>
  </w:footnote>
  <w:footnote w:id="1">
    <w:p w14:paraId="78DEE204" w14:textId="53ABA2F0" w:rsidR="00381F93" w:rsidRDefault="00381F93" w:rsidP="00B76061">
      <w:pPr>
        <w:pStyle w:val="FootnoteText"/>
        <w:jc w:val="both"/>
      </w:pPr>
      <w:r>
        <w:rPr>
          <w:rStyle w:val="FootnoteReference"/>
        </w:rPr>
        <w:footnoteRef/>
      </w:r>
      <w:r>
        <w:t xml:space="preserve"> </w:t>
      </w:r>
      <w:r w:rsidR="0008256B">
        <w:t>UNCITRAL Legislative Guide (2004), Objective 3, para [6].</w:t>
      </w:r>
    </w:p>
  </w:footnote>
  <w:footnote w:id="2">
    <w:p w14:paraId="7CEEEE50" w14:textId="3951BB3F" w:rsidR="00B92AD7" w:rsidRDefault="00B92AD7" w:rsidP="00B76061">
      <w:pPr>
        <w:pStyle w:val="FootnoteText"/>
        <w:ind w:left="142" w:hanging="142"/>
        <w:jc w:val="both"/>
      </w:pPr>
      <w:r>
        <w:rPr>
          <w:rStyle w:val="FootnoteReference"/>
        </w:rPr>
        <w:footnoteRef/>
      </w:r>
      <w:r>
        <w:t xml:space="preserve"> </w:t>
      </w:r>
      <w:r w:rsidR="0056351A">
        <w:t>EU Directive 2019/1023 has been</w:t>
      </w:r>
      <w:r w:rsidR="00ED1B6C">
        <w:t>, or will soon be,</w:t>
      </w:r>
      <w:r w:rsidR="0056351A">
        <w:t xml:space="preserve"> implemented in The Netherlands, Germany, France, Spain and Italy (Ashurst 2021).</w:t>
      </w:r>
      <w:r w:rsidR="00ED1B6C">
        <w:t xml:space="preserve"> </w:t>
      </w:r>
    </w:p>
  </w:footnote>
  <w:footnote w:id="3">
    <w:p w14:paraId="422A1971" w14:textId="74684280" w:rsidR="00B92AD7" w:rsidRDefault="00B92AD7" w:rsidP="00B76061">
      <w:pPr>
        <w:pStyle w:val="FootnoteText"/>
        <w:jc w:val="both"/>
      </w:pPr>
      <w:r>
        <w:rPr>
          <w:rStyle w:val="FootnoteReference"/>
        </w:rPr>
        <w:footnoteRef/>
      </w:r>
      <w:r>
        <w:t xml:space="preserve"> </w:t>
      </w:r>
      <w:r w:rsidR="008F49CE" w:rsidRPr="008F49CE">
        <w:rPr>
          <w:i/>
          <w:iCs/>
        </w:rPr>
        <w:t>Insolvency, Restructuring and Dissolution Act</w:t>
      </w:r>
      <w:r w:rsidR="008F49CE">
        <w:t xml:space="preserve"> 2018</w:t>
      </w:r>
      <w:r w:rsidR="00844218">
        <w:t xml:space="preserve"> (Sing)</w:t>
      </w:r>
      <w:r w:rsidR="008F49CE">
        <w:t>.</w:t>
      </w:r>
    </w:p>
  </w:footnote>
  <w:footnote w:id="4">
    <w:p w14:paraId="193F9AF5" w14:textId="3BCFC18B" w:rsidR="00CB04B8" w:rsidRDefault="00CB04B8" w:rsidP="00B76061">
      <w:pPr>
        <w:pStyle w:val="FootnoteText"/>
        <w:ind w:left="142" w:hanging="142"/>
        <w:jc w:val="both"/>
      </w:pPr>
      <w:r>
        <w:rPr>
          <w:rStyle w:val="FootnoteReference"/>
        </w:rPr>
        <w:footnoteRef/>
      </w:r>
      <w:r>
        <w:t xml:space="preserve"> To </w:t>
      </w:r>
      <w:r w:rsidR="00ED1B6C">
        <w:t>simplify</w:t>
      </w:r>
      <w:r>
        <w:t xml:space="preserve"> the analysis the entity is assumed to be a </w:t>
      </w:r>
      <w:r w:rsidR="00023892">
        <w:t xml:space="preserve">single </w:t>
      </w:r>
      <w:r>
        <w:t>company</w:t>
      </w:r>
      <w:r w:rsidR="00ED1B6C">
        <w:t>,</w:t>
      </w:r>
      <w:r>
        <w:t xml:space="preserve"> </w:t>
      </w:r>
      <w:r w:rsidR="00023892">
        <w:t>rather than a group</w:t>
      </w:r>
      <w:r w:rsidR="00ED1B6C">
        <w:t>,</w:t>
      </w:r>
      <w:r w:rsidR="00023892">
        <w:t xml:space="preserve"> with international operations.</w:t>
      </w:r>
    </w:p>
  </w:footnote>
  <w:footnote w:id="5">
    <w:p w14:paraId="374DB0EB" w14:textId="0F1A54D2" w:rsidR="00B65D52" w:rsidRPr="00844218" w:rsidRDefault="00B65D52" w:rsidP="00D856E2">
      <w:pPr>
        <w:jc w:val="both"/>
        <w:rPr>
          <w:rFonts w:cstheme="minorHAnsi"/>
          <w:i/>
          <w:iCs/>
          <w:sz w:val="20"/>
          <w:szCs w:val="20"/>
        </w:rPr>
      </w:pPr>
      <w:r w:rsidRPr="00844218">
        <w:rPr>
          <w:rStyle w:val="FootnoteReference"/>
          <w:rFonts w:cstheme="minorHAnsi"/>
          <w:sz w:val="20"/>
          <w:szCs w:val="20"/>
        </w:rPr>
        <w:footnoteRef/>
      </w:r>
      <w:r w:rsidRPr="00844218">
        <w:rPr>
          <w:rFonts w:cstheme="minorHAnsi"/>
          <w:sz w:val="20"/>
          <w:szCs w:val="20"/>
        </w:rPr>
        <w:t xml:space="preserve"> INSOL International. (2017). </w:t>
      </w:r>
      <w:r w:rsidRPr="00844218">
        <w:rPr>
          <w:rFonts w:cstheme="minorHAnsi"/>
          <w:i/>
          <w:iCs/>
          <w:sz w:val="20"/>
          <w:szCs w:val="20"/>
        </w:rPr>
        <w:t>Statement of Principles for a Global Approach to Multi-Creditor Workouts II.</w:t>
      </w:r>
    </w:p>
  </w:footnote>
  <w:footnote w:id="6">
    <w:p w14:paraId="2C125065" w14:textId="49C31693" w:rsidR="00744A8E" w:rsidRDefault="00744A8E" w:rsidP="00B76061">
      <w:pPr>
        <w:pStyle w:val="FootnoteText"/>
        <w:ind w:left="142" w:hanging="142"/>
        <w:jc w:val="both"/>
      </w:pPr>
      <w:r>
        <w:rPr>
          <w:rStyle w:val="FootnoteReference"/>
        </w:rPr>
        <w:footnoteRef/>
      </w:r>
      <w:r>
        <w:t xml:space="preserve"> For the purpose of this Paper, to simplify the analysis, other rights such as statutory rights are assumed to involve an analogous </w:t>
      </w:r>
      <w:r w:rsidR="00DE54C8">
        <w:t>question of consent</w:t>
      </w:r>
      <w:r w:rsidR="00DE54C8">
        <w:t xml:space="preserve"> </w:t>
      </w:r>
      <w:r w:rsidR="004A6397">
        <w:t xml:space="preserve">to </w:t>
      </w:r>
      <w:r w:rsidR="00DE54C8">
        <w:t>that applicable to</w:t>
      </w:r>
      <w:r w:rsidR="00DE54C8">
        <w:t xml:space="preserve"> </w:t>
      </w:r>
      <w:r>
        <w:t>contractual rights.</w:t>
      </w:r>
    </w:p>
  </w:footnote>
  <w:footnote w:id="7">
    <w:p w14:paraId="5EA58F67" w14:textId="39D25D9B" w:rsidR="00F7365C" w:rsidRDefault="00F7365C" w:rsidP="00B76061">
      <w:pPr>
        <w:pStyle w:val="FootnoteText"/>
        <w:jc w:val="both"/>
      </w:pPr>
      <w:r>
        <w:rPr>
          <w:rStyle w:val="FootnoteReference"/>
        </w:rPr>
        <w:footnoteRef/>
      </w:r>
      <w:r>
        <w:t xml:space="preserve"> </w:t>
      </w:r>
      <w:r w:rsidR="00ED1B6C">
        <w:t>Gopalan</w:t>
      </w:r>
      <w:r>
        <w:t xml:space="preserve"> and Guihot (2016) </w:t>
      </w:r>
      <w:r w:rsidR="00442B84">
        <w:t xml:space="preserve">at [1.17] </w:t>
      </w:r>
      <w:r w:rsidR="00676288">
        <w:t>quoting</w:t>
      </w:r>
      <w:r w:rsidR="00442B84">
        <w:t xml:space="preserve"> Fletcher.</w:t>
      </w:r>
      <w:r>
        <w:t xml:space="preserve"> </w:t>
      </w:r>
    </w:p>
  </w:footnote>
  <w:footnote w:id="8">
    <w:p w14:paraId="2B1C2372" w14:textId="5C45D6B3" w:rsidR="00676288" w:rsidRPr="001C5D0E" w:rsidRDefault="00676288" w:rsidP="00B76061">
      <w:pPr>
        <w:pStyle w:val="FootnoteText"/>
        <w:ind w:left="142" w:hanging="142"/>
        <w:jc w:val="both"/>
      </w:pPr>
      <w:r>
        <w:rPr>
          <w:rStyle w:val="FootnoteReference"/>
        </w:rPr>
        <w:footnoteRef/>
      </w:r>
      <w:r>
        <w:t xml:space="preserve"> In the US, see the US Bankruptcy Code</w:t>
      </w:r>
      <w:r w:rsidR="00754B0B">
        <w:t>,</w:t>
      </w:r>
      <w:r>
        <w:t xml:space="preserve"> Chapter 11, 11 USC §1141; In England, s</w:t>
      </w:r>
      <w:r w:rsidR="001C5D0E">
        <w:t>s</w:t>
      </w:r>
      <w:r>
        <w:t xml:space="preserve">.899 </w:t>
      </w:r>
      <w:r w:rsidR="001C5D0E">
        <w:t xml:space="preserve">and 901F </w:t>
      </w:r>
      <w:r>
        <w:t xml:space="preserve">provide </w:t>
      </w:r>
      <w:r w:rsidR="001C5D0E">
        <w:t>a</w:t>
      </w:r>
      <w:r>
        <w:t xml:space="preserve"> ‘cram down’ </w:t>
      </w:r>
      <w:r w:rsidR="001C5D0E">
        <w:t xml:space="preserve">of individual class members under Parts 26 and 26A of the </w:t>
      </w:r>
      <w:r w:rsidR="001C5D0E">
        <w:rPr>
          <w:i/>
          <w:iCs/>
        </w:rPr>
        <w:t>Companies Act</w:t>
      </w:r>
      <w:r w:rsidR="001C5D0E">
        <w:t xml:space="preserve"> 2006, and s.901G provides a ‘cross class cram down’ under Part 26A only.</w:t>
      </w:r>
    </w:p>
  </w:footnote>
  <w:footnote w:id="9">
    <w:p w14:paraId="377611E0" w14:textId="7AFD8816" w:rsidR="003F74BA" w:rsidRDefault="003F74BA" w:rsidP="00B76061">
      <w:pPr>
        <w:pStyle w:val="FootnoteText"/>
        <w:ind w:left="142" w:hanging="142"/>
        <w:jc w:val="both"/>
      </w:pPr>
      <w:r>
        <w:rPr>
          <w:rStyle w:val="FootnoteReference"/>
        </w:rPr>
        <w:footnoteRef/>
      </w:r>
      <w:r>
        <w:t xml:space="preserve"> </w:t>
      </w:r>
      <w:r w:rsidR="00522D12">
        <w:t>Cf. European Insolvency Regulation, EU 2015/848, Art 3(1); UNCITRAL Model Law on Cross-Border Insolvency, Art 2 (definition of “foreign main proceeding”).</w:t>
      </w:r>
    </w:p>
  </w:footnote>
  <w:footnote w:id="10">
    <w:p w14:paraId="373EB1A8" w14:textId="4F41BCB1" w:rsidR="003F74BA" w:rsidRPr="00AE1653" w:rsidRDefault="003F74BA" w:rsidP="00B76061">
      <w:pPr>
        <w:pStyle w:val="FootnoteText"/>
        <w:jc w:val="both"/>
      </w:pPr>
      <w:r>
        <w:rPr>
          <w:rStyle w:val="FootnoteReference"/>
        </w:rPr>
        <w:footnoteRef/>
      </w:r>
      <w:r>
        <w:t xml:space="preserve"> </w:t>
      </w:r>
      <w:r w:rsidR="001C5D0E">
        <w:t xml:space="preserve">Cf. </w:t>
      </w:r>
      <w:r w:rsidR="00AE1653">
        <w:rPr>
          <w:i/>
          <w:iCs/>
        </w:rPr>
        <w:t>Lazard Brothers v Midland Bank Ltd</w:t>
      </w:r>
      <w:r w:rsidR="00AE1653">
        <w:t xml:space="preserve"> [1933] AC 289; </w:t>
      </w:r>
      <w:r w:rsidR="00C16197">
        <w:t>Davies et al</w:t>
      </w:r>
      <w:r w:rsidR="00522D12">
        <w:t xml:space="preserve"> (</w:t>
      </w:r>
      <w:r w:rsidR="00C16197">
        <w:t>2010</w:t>
      </w:r>
      <w:r w:rsidR="00522D12">
        <w:t xml:space="preserve">) at </w:t>
      </w:r>
      <w:r w:rsidR="00C16197">
        <w:t>[35.36]</w:t>
      </w:r>
      <w:r w:rsidR="00522D12">
        <w:t>.</w:t>
      </w:r>
    </w:p>
  </w:footnote>
  <w:footnote w:id="11">
    <w:p w14:paraId="59EDD1E5" w14:textId="46E11BD4" w:rsidR="00AB3761" w:rsidRPr="00BF11B0" w:rsidRDefault="00AB3761" w:rsidP="00B76061">
      <w:pPr>
        <w:pStyle w:val="FootnoteText"/>
        <w:ind w:left="142" w:hanging="142"/>
        <w:jc w:val="both"/>
      </w:pPr>
      <w:r>
        <w:rPr>
          <w:rStyle w:val="FootnoteReference"/>
        </w:rPr>
        <w:footnoteRef/>
      </w:r>
      <w:r w:rsidRPr="00AB3761">
        <w:rPr>
          <w:i/>
          <w:iCs/>
        </w:rPr>
        <w:t>In re McTague</w:t>
      </w:r>
      <w:r>
        <w:t>, 198 B</w:t>
      </w:r>
      <w:r w:rsidR="00BF11B0">
        <w:t>.</w:t>
      </w:r>
      <w:r>
        <w:t>R</w:t>
      </w:r>
      <w:r w:rsidR="00BF11B0">
        <w:t>.</w:t>
      </w:r>
      <w:r>
        <w:t xml:space="preserve"> 428 (Bank. W</w:t>
      </w:r>
      <w:r w:rsidR="00BF11B0">
        <w:t>.</w:t>
      </w:r>
      <w:r>
        <w:t>D</w:t>
      </w:r>
      <w:r w:rsidR="00BF11B0">
        <w:t>.</w:t>
      </w:r>
      <w:r>
        <w:t>N</w:t>
      </w:r>
      <w:r w:rsidR="00BF11B0">
        <w:t>.Y.</w:t>
      </w:r>
      <w:r>
        <w:t xml:space="preserve"> 1996)</w:t>
      </w:r>
      <w:r w:rsidR="00754B0B">
        <w:t xml:space="preserve"> which concerned a Chapter 7 petition. The same test applies to Chapter 11, see eg.</w:t>
      </w:r>
      <w:r w:rsidR="00A2567E">
        <w:t xml:space="preserve"> </w:t>
      </w:r>
      <w:r w:rsidR="00BF11B0">
        <w:rPr>
          <w:i/>
          <w:iCs/>
        </w:rPr>
        <w:t>In re: Global Ocean Carriers Ltd</w:t>
      </w:r>
      <w:r w:rsidR="00BF11B0">
        <w:t xml:space="preserve"> 251 B.R. 31 (Bank. D. Del. 2000)</w:t>
      </w:r>
      <w:r w:rsidR="009531E4">
        <w:t>.</w:t>
      </w:r>
    </w:p>
  </w:footnote>
  <w:footnote w:id="12">
    <w:p w14:paraId="792DC797" w14:textId="04E6ED5F" w:rsidR="00917AFC" w:rsidRDefault="00917AFC" w:rsidP="00B76061">
      <w:pPr>
        <w:pStyle w:val="FootnoteText"/>
        <w:jc w:val="both"/>
      </w:pPr>
      <w:r>
        <w:rPr>
          <w:rStyle w:val="FootnoteReference"/>
        </w:rPr>
        <w:footnoteRef/>
      </w:r>
      <w:r>
        <w:t xml:space="preserve"> See Good</w:t>
      </w:r>
      <w:r w:rsidR="00A9015D">
        <w:t>e</w:t>
      </w:r>
      <w:r w:rsidR="00C01D5D">
        <w:t xml:space="preserve"> (2011) at [16-04]-[16-11].</w:t>
      </w:r>
    </w:p>
  </w:footnote>
  <w:footnote w:id="13">
    <w:p w14:paraId="6000A864" w14:textId="7B4DD462" w:rsidR="0094596D" w:rsidRPr="00157293" w:rsidRDefault="0094596D" w:rsidP="00B76061">
      <w:pPr>
        <w:pStyle w:val="FootnoteText"/>
        <w:ind w:left="142" w:hanging="142"/>
        <w:jc w:val="both"/>
      </w:pPr>
      <w:r>
        <w:rPr>
          <w:rStyle w:val="FootnoteReference"/>
        </w:rPr>
        <w:footnoteRef/>
      </w:r>
      <w:r>
        <w:t xml:space="preserve"> </w:t>
      </w:r>
      <w:r w:rsidR="00DA4C05">
        <w:t xml:space="preserve">See, by way of example, </w:t>
      </w:r>
      <w:r>
        <w:rPr>
          <w:i/>
          <w:iCs/>
        </w:rPr>
        <w:t>In the matter of Rodenstock GmbH</w:t>
      </w:r>
      <w:r>
        <w:t xml:space="preserve"> [2011] EWHC 1104 (Ch</w:t>
      </w:r>
      <w:r w:rsidR="00DA4C05">
        <w:t xml:space="preserve">); </w:t>
      </w:r>
      <w:r>
        <w:rPr>
          <w:i/>
          <w:iCs/>
        </w:rPr>
        <w:t xml:space="preserve">Primacom Holding GmbH v Credit Agricole </w:t>
      </w:r>
      <w:r>
        <w:t xml:space="preserve">[2012] EWHC 164 (Ch); </w:t>
      </w:r>
      <w:r w:rsidR="00157293">
        <w:rPr>
          <w:i/>
          <w:iCs/>
        </w:rPr>
        <w:t>In the matter of Magyar Telecom BV</w:t>
      </w:r>
      <w:r w:rsidR="00157293">
        <w:t xml:space="preserve"> [2013] EWHC 3800 (Ch).</w:t>
      </w:r>
    </w:p>
  </w:footnote>
  <w:footnote w:id="14">
    <w:p w14:paraId="72827504" w14:textId="0EA71730" w:rsidR="00186E29" w:rsidRPr="00186E29" w:rsidRDefault="00186E29" w:rsidP="00B76061">
      <w:pPr>
        <w:pStyle w:val="FootnoteText"/>
        <w:ind w:left="142" w:hanging="142"/>
        <w:jc w:val="both"/>
      </w:pPr>
      <w:r>
        <w:rPr>
          <w:rStyle w:val="FootnoteReference"/>
        </w:rPr>
        <w:footnoteRef/>
      </w:r>
      <w:r>
        <w:t xml:space="preserve"> This provision was applied in </w:t>
      </w:r>
      <w:r>
        <w:rPr>
          <w:i/>
          <w:iCs/>
        </w:rPr>
        <w:t>In re Northshore Mainland Services, Inc.</w:t>
      </w:r>
      <w:r>
        <w:t xml:space="preserve">, </w:t>
      </w:r>
      <w:r w:rsidR="003A5EED">
        <w:t>537 B.R. 192, 208 (Bankr. D. Del. 2015)</w:t>
      </w:r>
      <w:r>
        <w:t xml:space="preserve"> (the Baha Mar Resort case)</w:t>
      </w:r>
      <w:r w:rsidR="003A5EED">
        <w:t xml:space="preserve"> where the US court abstained from exercising jurisdiction in favour of the court in the Bahamas, where the project in question was still under construction</w:t>
      </w:r>
      <w:r w:rsidR="002464CE">
        <w:t>, and government interests were involved</w:t>
      </w:r>
      <w:r w:rsidR="003A5EED">
        <w:t>.</w:t>
      </w:r>
    </w:p>
  </w:footnote>
  <w:footnote w:id="15">
    <w:p w14:paraId="0B33F56F" w14:textId="42AD1F47" w:rsidR="00157293" w:rsidRPr="00157293" w:rsidRDefault="00157293" w:rsidP="00B76061">
      <w:pPr>
        <w:pStyle w:val="FootnoteText"/>
        <w:jc w:val="both"/>
      </w:pPr>
      <w:r>
        <w:rPr>
          <w:rStyle w:val="FootnoteReference"/>
        </w:rPr>
        <w:footnoteRef/>
      </w:r>
      <w:r>
        <w:t xml:space="preserve"> </w:t>
      </w:r>
      <w:r>
        <w:rPr>
          <w:i/>
          <w:iCs/>
        </w:rPr>
        <w:t>American Dredging Co. v Miller</w:t>
      </w:r>
      <w:r>
        <w:t>, 510 U.S. 443 (1994)</w:t>
      </w:r>
      <w:r w:rsidR="00240EC8">
        <w:t>.</w:t>
      </w:r>
    </w:p>
  </w:footnote>
  <w:footnote w:id="16">
    <w:p w14:paraId="1805BD53" w14:textId="77777777" w:rsidR="002464CE" w:rsidRPr="003B7F03" w:rsidRDefault="002464CE" w:rsidP="00B76061">
      <w:pPr>
        <w:pStyle w:val="FootnoteText"/>
        <w:ind w:left="142" w:hanging="142"/>
        <w:jc w:val="both"/>
      </w:pPr>
      <w:r>
        <w:rPr>
          <w:rStyle w:val="FootnoteReference"/>
        </w:rPr>
        <w:footnoteRef/>
      </w:r>
      <w:r>
        <w:t xml:space="preserve"> The English Courts adopt the same general approach to the discretion in Part 26A as they do to Part 26: </w:t>
      </w:r>
      <w:r>
        <w:rPr>
          <w:i/>
          <w:iCs/>
        </w:rPr>
        <w:t>In the Matter of DeepOcean UK Ltd</w:t>
      </w:r>
      <w:r>
        <w:t xml:space="preserve"> [2021] EWHC 138 (Ch) at [44].</w:t>
      </w:r>
    </w:p>
  </w:footnote>
  <w:footnote w:id="17">
    <w:p w14:paraId="2F3CD805" w14:textId="77777777" w:rsidR="002464CE" w:rsidRPr="00496695" w:rsidRDefault="002464CE" w:rsidP="00B76061">
      <w:pPr>
        <w:pStyle w:val="FootnoteText"/>
        <w:jc w:val="both"/>
      </w:pPr>
      <w:r>
        <w:rPr>
          <w:rStyle w:val="FootnoteReference"/>
        </w:rPr>
        <w:footnoteRef/>
      </w:r>
      <w:r>
        <w:t xml:space="preserve"> </w:t>
      </w:r>
      <w:r>
        <w:rPr>
          <w:i/>
          <w:iCs/>
        </w:rPr>
        <w:t>DeepOcean</w:t>
      </w:r>
      <w:r>
        <w:t xml:space="preserve"> at [20] quoting, inter alia, </w:t>
      </w:r>
      <w:r>
        <w:rPr>
          <w:i/>
          <w:iCs/>
        </w:rPr>
        <w:t>Re Telewest Communications plc (No. 2)</w:t>
      </w:r>
      <w:r>
        <w:t xml:space="preserve"> [2005] BCC 36 at [20]-[22].</w:t>
      </w:r>
    </w:p>
  </w:footnote>
  <w:footnote w:id="18">
    <w:p w14:paraId="4C37FA81" w14:textId="197F6DE8" w:rsidR="002464CE" w:rsidRPr="004B55B0" w:rsidRDefault="002464CE" w:rsidP="00B76061">
      <w:pPr>
        <w:pStyle w:val="FootnoteText"/>
        <w:ind w:left="142" w:hanging="142"/>
        <w:jc w:val="both"/>
      </w:pPr>
      <w:r>
        <w:rPr>
          <w:rStyle w:val="FootnoteReference"/>
        </w:rPr>
        <w:footnoteRef/>
      </w:r>
      <w:r>
        <w:t xml:space="preserve"> </w:t>
      </w:r>
      <w:r>
        <w:rPr>
          <w:i/>
          <w:iCs/>
        </w:rPr>
        <w:t>DeepOcean</w:t>
      </w:r>
      <w:r>
        <w:t xml:space="preserve"> at [67], citing also </w:t>
      </w:r>
      <w:r>
        <w:rPr>
          <w:i/>
          <w:iCs/>
        </w:rPr>
        <w:t>Re Magyar Telecom BV</w:t>
      </w:r>
      <w:r>
        <w:t xml:space="preserve"> at [16].</w:t>
      </w:r>
      <w:r w:rsidR="004B55B0">
        <w:t xml:space="preserve"> It would seem from </w:t>
      </w:r>
      <w:r w:rsidR="004B55B0">
        <w:rPr>
          <w:i/>
          <w:iCs/>
        </w:rPr>
        <w:t>DeepOcean</w:t>
      </w:r>
      <w:r w:rsidR="004B55B0">
        <w:t xml:space="preserve"> at [68] that the English Courts receive expert evidence at the confirmation hearing that addresses any potential enforceability issues.</w:t>
      </w:r>
    </w:p>
  </w:footnote>
  <w:footnote w:id="19">
    <w:p w14:paraId="46D848B0" w14:textId="7447920D" w:rsidR="008A6A8F" w:rsidRPr="008A6A8F" w:rsidRDefault="008A6A8F" w:rsidP="00B76061">
      <w:pPr>
        <w:pStyle w:val="FootnoteText"/>
        <w:jc w:val="both"/>
      </w:pPr>
      <w:r>
        <w:rPr>
          <w:rStyle w:val="FootnoteReference"/>
        </w:rPr>
        <w:footnoteRef/>
      </w:r>
      <w:r>
        <w:t xml:space="preserve"> In </w:t>
      </w:r>
      <w:r>
        <w:rPr>
          <w:i/>
          <w:iCs/>
        </w:rPr>
        <w:t>Re McTague</w:t>
      </w:r>
      <w:r>
        <w:t xml:space="preserve">, Kaplan J entered into such a discussion, although it was strictly </w:t>
      </w:r>
      <w:r w:rsidRPr="00B76061">
        <w:rPr>
          <w:i/>
          <w:iCs/>
        </w:rPr>
        <w:t>obiter dicta</w:t>
      </w:r>
      <w:r>
        <w:t>.</w:t>
      </w:r>
    </w:p>
  </w:footnote>
  <w:footnote w:id="20">
    <w:p w14:paraId="5302ED4F" w14:textId="77777777" w:rsidR="00E746CA" w:rsidRPr="00855B03" w:rsidRDefault="00E746CA" w:rsidP="00B76061">
      <w:pPr>
        <w:pStyle w:val="FootnoteText"/>
        <w:ind w:left="142" w:hanging="142"/>
        <w:jc w:val="both"/>
      </w:pPr>
      <w:r>
        <w:rPr>
          <w:rStyle w:val="FootnoteReference"/>
        </w:rPr>
        <w:footnoteRef/>
      </w:r>
      <w:r>
        <w:t xml:space="preserve"> </w:t>
      </w:r>
      <w:r>
        <w:rPr>
          <w:i/>
          <w:iCs/>
        </w:rPr>
        <w:t>Cambridge Gas Transport Corporation</w:t>
      </w:r>
      <w:r>
        <w:t xml:space="preserve"> </w:t>
      </w:r>
      <w:r w:rsidRPr="00B76061">
        <w:rPr>
          <w:i/>
          <w:iCs/>
        </w:rPr>
        <w:t xml:space="preserve">v The Official Committee of Unsecured Creditors of Navigator Holdings PLC </w:t>
      </w:r>
      <w:r>
        <w:t>[2006] UKPC 26; [2007 1 AC 508.</w:t>
      </w:r>
    </w:p>
  </w:footnote>
  <w:footnote w:id="21">
    <w:p w14:paraId="4489A049" w14:textId="2705BC4A" w:rsidR="006C0E81" w:rsidRPr="000554F6" w:rsidRDefault="006C0E81" w:rsidP="00B76061">
      <w:pPr>
        <w:pStyle w:val="FootnoteText"/>
        <w:ind w:left="142" w:hanging="142"/>
        <w:jc w:val="both"/>
      </w:pPr>
      <w:r>
        <w:rPr>
          <w:rStyle w:val="FootnoteReference"/>
        </w:rPr>
        <w:footnoteRef/>
      </w:r>
      <w:r>
        <w:t xml:space="preserve"> </w:t>
      </w:r>
      <w:r w:rsidRPr="008925C6">
        <w:rPr>
          <w:i/>
          <w:iCs/>
        </w:rPr>
        <w:t>Singularis Holdings Ltd v Pricewaterhouse Coopers</w:t>
      </w:r>
      <w:r>
        <w:t xml:space="preserve"> [2014] UKPC 36; [</w:t>
      </w:r>
      <w:r w:rsidR="008925C6">
        <w:t>2015</w:t>
      </w:r>
      <w:r>
        <w:t xml:space="preserve">] 1 AC 1675, and see also </w:t>
      </w:r>
      <w:r>
        <w:rPr>
          <w:i/>
          <w:iCs/>
        </w:rPr>
        <w:t>Rubin v Eurofinance SA</w:t>
      </w:r>
      <w:r>
        <w:t xml:space="preserve"> </w:t>
      </w:r>
      <w:r w:rsidR="008925C6">
        <w:t xml:space="preserve">[2012] UKSC 46, </w:t>
      </w:r>
      <w:r>
        <w:t>[2013] 1 AC 236</w:t>
      </w:r>
      <w:r w:rsidR="000554F6">
        <w:t xml:space="preserve">, in which reference was made at [20] to a similar statement of principle in </w:t>
      </w:r>
      <w:r w:rsidR="000554F6">
        <w:rPr>
          <w:i/>
          <w:iCs/>
        </w:rPr>
        <w:t>Re Maxwell Communication Corp</w:t>
      </w:r>
      <w:r w:rsidR="000554F6">
        <w:t xml:space="preserve"> 170 B.R. 800 (Bankr. SDNY 1994).</w:t>
      </w:r>
    </w:p>
  </w:footnote>
  <w:footnote w:id="22">
    <w:p w14:paraId="1FD66446" w14:textId="68381E44" w:rsidR="000554F6" w:rsidRPr="000554F6" w:rsidRDefault="000554F6" w:rsidP="00B76061">
      <w:pPr>
        <w:pStyle w:val="FootnoteText"/>
        <w:jc w:val="both"/>
      </w:pPr>
      <w:r>
        <w:rPr>
          <w:rStyle w:val="FootnoteReference"/>
        </w:rPr>
        <w:footnoteRef/>
      </w:r>
      <w:r>
        <w:t xml:space="preserve"> </w:t>
      </w:r>
      <w:r>
        <w:rPr>
          <w:i/>
          <w:iCs/>
        </w:rPr>
        <w:t>Rubin</w:t>
      </w:r>
      <w:r>
        <w:t xml:space="preserve"> referred to another example, s.426 of the English </w:t>
      </w:r>
      <w:r>
        <w:rPr>
          <w:i/>
          <w:iCs/>
        </w:rPr>
        <w:t>Insolvency Act</w:t>
      </w:r>
      <w:r>
        <w:t xml:space="preserve"> 1986.</w:t>
      </w:r>
    </w:p>
  </w:footnote>
  <w:footnote w:id="23">
    <w:p w14:paraId="753D0A8D" w14:textId="4A232D7A" w:rsidR="00A9530E" w:rsidRPr="00A9530E" w:rsidRDefault="00A9530E" w:rsidP="00B76061">
      <w:pPr>
        <w:pStyle w:val="FootnoteText"/>
        <w:jc w:val="both"/>
      </w:pPr>
      <w:r>
        <w:rPr>
          <w:rStyle w:val="FootnoteReference"/>
        </w:rPr>
        <w:footnoteRef/>
      </w:r>
      <w:r>
        <w:t xml:space="preserve"> </w:t>
      </w:r>
      <w:r>
        <w:rPr>
          <w:i/>
          <w:iCs/>
        </w:rPr>
        <w:t>Foreign Judgments Act</w:t>
      </w:r>
      <w:r>
        <w:t xml:space="preserve"> 1991, s.7(2)(a)(iv).</w:t>
      </w:r>
    </w:p>
  </w:footnote>
  <w:footnote w:id="24">
    <w:p w14:paraId="1FFD927A" w14:textId="2B005A55" w:rsidR="009F06D9" w:rsidRPr="009F06D9" w:rsidRDefault="009F06D9" w:rsidP="00B76061">
      <w:pPr>
        <w:pStyle w:val="FootnoteText"/>
        <w:ind w:left="142" w:hanging="142"/>
        <w:jc w:val="both"/>
      </w:pPr>
      <w:r>
        <w:rPr>
          <w:rStyle w:val="FootnoteReference"/>
        </w:rPr>
        <w:footnoteRef/>
      </w:r>
      <w:r>
        <w:t xml:space="preserve"> </w:t>
      </w:r>
      <w:r>
        <w:rPr>
          <w:i/>
          <w:iCs/>
        </w:rPr>
        <w:t>Henry v Geoprosco International Ltd</w:t>
      </w:r>
      <w:r>
        <w:t xml:space="preserve"> [1976] 1 QB 726 at 734; </w:t>
      </w:r>
      <w:r>
        <w:rPr>
          <w:i/>
          <w:iCs/>
        </w:rPr>
        <w:t>Rubin v Eurofinance SA</w:t>
      </w:r>
      <w:r>
        <w:t xml:space="preserve"> [2012] UKSC 426; [2013] 1 AC 236 at [7]-[9]; </w:t>
      </w:r>
      <w:r>
        <w:rPr>
          <w:i/>
          <w:iCs/>
        </w:rPr>
        <w:t>Quarter Enterprises Pty Ltd v Allardyce Lumber Company Ltd</w:t>
      </w:r>
      <w:r>
        <w:t xml:space="preserve"> [2014] NSWCA 3, 85 NSWLR 404 at [53].</w:t>
      </w:r>
    </w:p>
  </w:footnote>
  <w:footnote w:id="25">
    <w:p w14:paraId="528FE1DD" w14:textId="01D2E562" w:rsidR="009E31A4" w:rsidRPr="001D3506" w:rsidRDefault="009E31A4" w:rsidP="00B76061">
      <w:pPr>
        <w:pStyle w:val="FootnoteText"/>
        <w:jc w:val="both"/>
      </w:pPr>
      <w:r>
        <w:rPr>
          <w:rStyle w:val="FootnoteReference"/>
        </w:rPr>
        <w:footnoteRef/>
      </w:r>
      <w:r w:rsidRPr="001D3506">
        <w:t xml:space="preserve"> EU 1215/2012</w:t>
      </w:r>
      <w:r w:rsidR="002429B0" w:rsidRPr="001D3506">
        <w:t xml:space="preserve">. </w:t>
      </w:r>
    </w:p>
  </w:footnote>
  <w:footnote w:id="26">
    <w:p w14:paraId="33FD9C6D" w14:textId="44DDC7F6" w:rsidR="00537491" w:rsidRDefault="00537491" w:rsidP="00B76061">
      <w:pPr>
        <w:pStyle w:val="FootnoteText"/>
        <w:ind w:left="142" w:hanging="142"/>
        <w:jc w:val="both"/>
      </w:pPr>
      <w:r>
        <w:rPr>
          <w:rStyle w:val="FootnoteReference"/>
        </w:rPr>
        <w:footnoteRef/>
      </w:r>
      <w:r>
        <w:t xml:space="preserve"> </w:t>
      </w:r>
      <w:r w:rsidR="00125569">
        <w:t>EJR Art 2</w:t>
      </w:r>
      <w:r w:rsidR="00980A7A">
        <w:t>.</w:t>
      </w:r>
    </w:p>
  </w:footnote>
  <w:footnote w:id="27">
    <w:p w14:paraId="539B6B01" w14:textId="0B4CF3F9" w:rsidR="00ED2F05" w:rsidRDefault="00ED2F05" w:rsidP="00B76061">
      <w:pPr>
        <w:pStyle w:val="FootnoteText"/>
        <w:ind w:left="142" w:hanging="142"/>
        <w:jc w:val="both"/>
      </w:pPr>
      <w:r>
        <w:rPr>
          <w:rStyle w:val="FootnoteReference"/>
        </w:rPr>
        <w:footnoteRef/>
      </w:r>
      <w:r>
        <w:t xml:space="preserve">UNCITRAL, Status: UNCITRAL Model Law on Cross-Border Insolvency (1997), </w:t>
      </w:r>
      <w:hyperlink r:id="rId1" w:history="1">
        <w:r w:rsidRPr="00DC36BD">
          <w:rPr>
            <w:rStyle w:val="Hyperlink"/>
          </w:rPr>
          <w:t>https://uncitral.un.org/en/texts/insolvency/modellaw/cross-border_insolvency/status</w:t>
        </w:r>
      </w:hyperlink>
      <w:r>
        <w:t>, accessed 8 February 2022.</w:t>
      </w:r>
    </w:p>
  </w:footnote>
  <w:footnote w:id="28">
    <w:p w14:paraId="2D70A6D5" w14:textId="4C2F5C8C" w:rsidR="002429B0" w:rsidRPr="00537491" w:rsidRDefault="002429B0" w:rsidP="00B76061">
      <w:pPr>
        <w:pStyle w:val="FootnoteText"/>
        <w:jc w:val="both"/>
      </w:pPr>
      <w:r>
        <w:rPr>
          <w:rStyle w:val="FootnoteReference"/>
        </w:rPr>
        <w:footnoteRef/>
      </w:r>
      <w:r w:rsidRPr="00537491">
        <w:t xml:space="preserve"> </w:t>
      </w:r>
      <w:r w:rsidR="00ED2F05">
        <w:t>EU</w:t>
      </w:r>
      <w:r w:rsidR="009B2BC3">
        <w:t xml:space="preserve"> Regulation 2015/848.</w:t>
      </w:r>
    </w:p>
  </w:footnote>
  <w:footnote w:id="29">
    <w:p w14:paraId="724E6DCC" w14:textId="226A995F" w:rsidR="0046031D" w:rsidRDefault="0046031D" w:rsidP="00B76061">
      <w:pPr>
        <w:pStyle w:val="FootnoteText"/>
        <w:ind w:left="142" w:hanging="142"/>
        <w:jc w:val="both"/>
      </w:pPr>
      <w:r>
        <w:rPr>
          <w:rStyle w:val="FootnoteReference"/>
        </w:rPr>
        <w:footnoteRef/>
      </w:r>
      <w:r>
        <w:t xml:space="preserve"> ML</w:t>
      </w:r>
      <w:r w:rsidR="009B2BC3">
        <w:t>CBI, Art 2(b) describes ‘foreign main proceedings’ by reference to the COMI; MLIJ Art.14(h)(i) provides a ground of refusal for a judgment which does not comply with the MLCBI</w:t>
      </w:r>
      <w:r w:rsidR="00CA0ECF">
        <w:t>.</w:t>
      </w:r>
      <w:r w:rsidR="009B2BC3">
        <w:t xml:space="preserve"> </w:t>
      </w:r>
    </w:p>
  </w:footnote>
  <w:footnote w:id="30">
    <w:p w14:paraId="61D7BC52" w14:textId="58F3B2FF" w:rsidR="0046031D" w:rsidRDefault="0046031D" w:rsidP="00B76061">
      <w:pPr>
        <w:pStyle w:val="FootnoteText"/>
        <w:jc w:val="both"/>
      </w:pPr>
      <w:r>
        <w:rPr>
          <w:rStyle w:val="FootnoteReference"/>
        </w:rPr>
        <w:footnoteRef/>
      </w:r>
      <w:r>
        <w:t xml:space="preserve"> </w:t>
      </w:r>
      <w:r w:rsidR="00CA0ECF">
        <w:t>EUIR Arts.19, 20 32 tie recognition and enforcement of judgments to Art.3 jurisdiction based on the COMI.</w:t>
      </w:r>
    </w:p>
  </w:footnote>
  <w:footnote w:id="31">
    <w:p w14:paraId="435590F1" w14:textId="0881902B" w:rsidR="007E3EE6" w:rsidRDefault="007E3EE6" w:rsidP="00B76061">
      <w:pPr>
        <w:pStyle w:val="FootnoteText"/>
        <w:jc w:val="both"/>
      </w:pPr>
      <w:r>
        <w:rPr>
          <w:rStyle w:val="FootnoteReference"/>
        </w:rPr>
        <w:footnoteRef/>
      </w:r>
      <w:r>
        <w:t xml:space="preserve"> </w:t>
      </w:r>
      <w:r w:rsidR="00CA0ECF">
        <w:t xml:space="preserve">See eg. </w:t>
      </w:r>
      <w:r>
        <w:t>EUIR Recital para 5 which does not look favourably upon forum shopping.</w:t>
      </w:r>
    </w:p>
  </w:footnote>
  <w:footnote w:id="32">
    <w:p w14:paraId="0A3250BB" w14:textId="259B09B0" w:rsidR="00980A7A" w:rsidRPr="00980A7A" w:rsidRDefault="00980A7A" w:rsidP="009531E4">
      <w:pPr>
        <w:pStyle w:val="FootnoteText"/>
        <w:ind w:left="142" w:hanging="142"/>
        <w:jc w:val="both"/>
        <w:rPr>
          <w:rFonts w:cstheme="minorHAnsi"/>
        </w:rPr>
      </w:pPr>
      <w:r w:rsidRPr="00980A7A">
        <w:rPr>
          <w:rStyle w:val="FootnoteReference"/>
          <w:rFonts w:cstheme="minorHAnsi"/>
        </w:rPr>
        <w:footnoteRef/>
      </w:r>
      <w:r w:rsidRPr="00980A7A">
        <w:rPr>
          <w:rFonts w:cstheme="minorHAnsi"/>
        </w:rPr>
        <w:t xml:space="preserve"> </w:t>
      </w:r>
      <w:r w:rsidRPr="00B76061">
        <w:rPr>
          <w:rFonts w:cstheme="minorHAnsi"/>
        </w:rPr>
        <w:t xml:space="preserve">See the definitions of </w:t>
      </w:r>
      <w:r w:rsidRPr="00B76061">
        <w:rPr>
          <w:rFonts w:cstheme="minorHAnsi"/>
        </w:rPr>
        <w:t>‘</w:t>
      </w:r>
      <w:r w:rsidRPr="00B76061">
        <w:rPr>
          <w:rFonts w:cstheme="minorHAnsi"/>
        </w:rPr>
        <w:t>F</w:t>
      </w:r>
      <w:r w:rsidRPr="00B76061">
        <w:rPr>
          <w:rFonts w:cstheme="minorHAnsi"/>
        </w:rPr>
        <w:t>oreign proceeding’ under Art 2 of the MLCBI</w:t>
      </w:r>
      <w:r w:rsidRPr="00B76061">
        <w:rPr>
          <w:rFonts w:cstheme="minorHAnsi"/>
        </w:rPr>
        <w:t xml:space="preserve">, and </w:t>
      </w:r>
      <w:r w:rsidRPr="00B76061">
        <w:rPr>
          <w:rFonts w:cstheme="minorHAnsi"/>
        </w:rPr>
        <w:t>‘</w:t>
      </w:r>
      <w:r w:rsidRPr="00B76061">
        <w:rPr>
          <w:rFonts w:cstheme="minorHAnsi"/>
        </w:rPr>
        <w:t>I</w:t>
      </w:r>
      <w:r w:rsidRPr="00B76061">
        <w:rPr>
          <w:rFonts w:cstheme="minorHAnsi"/>
        </w:rPr>
        <w:t>nsolvency proceeding’ under Art 2 of the MLIJ.</w:t>
      </w:r>
      <w:r>
        <w:rPr>
          <w:rFonts w:cstheme="minorHAnsi"/>
        </w:rPr>
        <w:t xml:space="preserve"> There is no equivalent in Part 26 of the English Companies Act to the </w:t>
      </w:r>
      <w:r w:rsidR="0036757E">
        <w:rPr>
          <w:rFonts w:cstheme="minorHAnsi"/>
        </w:rPr>
        <w:t>‘financial difficulties’ precondition in Part 26A</w:t>
      </w:r>
      <w:r>
        <w:rPr>
          <w:rFonts w:cstheme="minorHAnsi"/>
        </w:rPr>
        <w:t xml:space="preserve"> </w:t>
      </w:r>
      <w:r w:rsidR="0036757E">
        <w:rPr>
          <w:rFonts w:cstheme="minorHAnsi"/>
        </w:rPr>
        <w:t>under</w:t>
      </w:r>
      <w:r>
        <w:rPr>
          <w:rFonts w:cstheme="minorHAnsi"/>
        </w:rPr>
        <w:t xml:space="preserve"> </w:t>
      </w:r>
      <w:r w:rsidR="0036757E">
        <w:rPr>
          <w:rFonts w:cstheme="minorHAnsi"/>
        </w:rPr>
        <w:t>s.901A(2).</w:t>
      </w:r>
    </w:p>
  </w:footnote>
  <w:footnote w:id="33">
    <w:p w14:paraId="28682562" w14:textId="0105EB4A" w:rsidR="00357A72" w:rsidRPr="00357A72" w:rsidRDefault="00357A72" w:rsidP="00B76061">
      <w:pPr>
        <w:pStyle w:val="FootnoteText"/>
        <w:jc w:val="both"/>
      </w:pPr>
      <w:r>
        <w:rPr>
          <w:rStyle w:val="FootnoteReference"/>
        </w:rPr>
        <w:footnoteRef/>
      </w:r>
      <w:r>
        <w:t xml:space="preserve"> UNCITRAL (2019) at [2], citing inter alia the </w:t>
      </w:r>
      <w:r>
        <w:rPr>
          <w:i/>
          <w:iCs/>
        </w:rPr>
        <w:t xml:space="preserve">Rubin </w:t>
      </w:r>
      <w:r>
        <w:t>decision, and [8].</w:t>
      </w:r>
    </w:p>
  </w:footnote>
  <w:footnote w:id="34">
    <w:p w14:paraId="75D1E04E" w14:textId="265AD5B4" w:rsidR="0036757E" w:rsidRDefault="0036757E" w:rsidP="00B76061">
      <w:pPr>
        <w:pStyle w:val="FootnoteText"/>
        <w:ind w:left="142" w:hanging="142"/>
        <w:jc w:val="both"/>
      </w:pPr>
      <w:r>
        <w:rPr>
          <w:rStyle w:val="FootnoteReference"/>
        </w:rPr>
        <w:footnoteRef/>
      </w:r>
      <w:r>
        <w:t xml:space="preserve"> An example</w:t>
      </w:r>
      <w:r w:rsidR="004D6785">
        <w:t>,</w:t>
      </w:r>
      <w:r>
        <w:t xml:space="preserve"> in the context of an arbitration award</w:t>
      </w:r>
      <w:r w:rsidR="004D6785">
        <w:t>,</w:t>
      </w:r>
      <w:r>
        <w:t xml:space="preserve"> of the refusal to enforce an award where the enforcing Court took a different view about the exercise of jurisdiction by the Court at the arbitral seat</w:t>
      </w:r>
      <w:r w:rsidR="004D6785">
        <w:t>,</w:t>
      </w:r>
      <w:r>
        <w:t xml:space="preserve"> highlights the danger</w:t>
      </w:r>
      <w:r w:rsidR="00970825">
        <w:t xml:space="preserve">s under Art 14(h): </w:t>
      </w:r>
      <w:r w:rsidR="00970825">
        <w:rPr>
          <w:i/>
          <w:iCs/>
        </w:rPr>
        <w:t>Hub Street Equipment Pty Ltd v Energy City Qatar Holding Company</w:t>
      </w:r>
      <w:r w:rsidR="00970825">
        <w:t xml:space="preserve"> [2021] FCAFC 110 at [49], [60], [82].</w:t>
      </w:r>
    </w:p>
  </w:footnote>
  <w:footnote w:id="35">
    <w:p w14:paraId="098B7F5D" w14:textId="3831B7E0" w:rsidR="00C16197" w:rsidRPr="008A3487" w:rsidRDefault="00C16197" w:rsidP="00B76061">
      <w:pPr>
        <w:pStyle w:val="FootnoteText"/>
        <w:jc w:val="both"/>
      </w:pPr>
      <w:r>
        <w:rPr>
          <w:rStyle w:val="FootnoteReference"/>
        </w:rPr>
        <w:footnoteRef/>
      </w:r>
      <w:r>
        <w:t xml:space="preserve"> </w:t>
      </w:r>
      <w:r>
        <w:rPr>
          <w:i/>
          <w:iCs/>
        </w:rPr>
        <w:t>Hilton v Guyot</w:t>
      </w:r>
      <w:r w:rsidR="0012098D">
        <w:rPr>
          <w:i/>
          <w:iCs/>
        </w:rPr>
        <w:t>,</w:t>
      </w:r>
      <w:r>
        <w:t xml:space="preserve"> 159 US 113</w:t>
      </w:r>
      <w:r w:rsidR="0012098D">
        <w:t xml:space="preserve"> (1895)</w:t>
      </w:r>
      <w:r>
        <w:t xml:space="preserve"> at 163-164</w:t>
      </w:r>
      <w:r w:rsidR="008A3487">
        <w:t xml:space="preserve">; see also </w:t>
      </w:r>
      <w:r w:rsidR="008A3487">
        <w:rPr>
          <w:i/>
          <w:iCs/>
        </w:rPr>
        <w:t>Rubin</w:t>
      </w:r>
      <w:r w:rsidR="008A3487">
        <w:t xml:space="preserve"> at [29]-[34].</w:t>
      </w:r>
    </w:p>
  </w:footnote>
  <w:footnote w:id="36">
    <w:p w14:paraId="757FD338" w14:textId="75C7338C" w:rsidR="0099431F" w:rsidRPr="0012098D" w:rsidRDefault="0099431F" w:rsidP="00B76061">
      <w:pPr>
        <w:pStyle w:val="FootnoteText"/>
        <w:ind w:left="142" w:hanging="142"/>
        <w:jc w:val="both"/>
      </w:pPr>
      <w:r>
        <w:rPr>
          <w:rStyle w:val="FootnoteReference"/>
        </w:rPr>
        <w:footnoteRef/>
      </w:r>
      <w:r>
        <w:t xml:space="preserve"> </w:t>
      </w:r>
      <w:r w:rsidR="00700B39">
        <w:t>Boraine</w:t>
      </w:r>
      <w:r w:rsidR="004E7EBC">
        <w:t xml:space="preserve"> </w:t>
      </w:r>
      <w:r w:rsidR="004D6785">
        <w:t xml:space="preserve">(2021) </w:t>
      </w:r>
      <w:r w:rsidR="004E7EBC">
        <w:t xml:space="preserve">cites, by way of example, the difference in approaches between the Privy Council decisions in </w:t>
      </w:r>
      <w:r w:rsidR="004E7EBC">
        <w:rPr>
          <w:i/>
          <w:iCs/>
        </w:rPr>
        <w:t>Cambridge Gas</w:t>
      </w:r>
      <w:r w:rsidR="004E7EBC">
        <w:t xml:space="preserve"> and </w:t>
      </w:r>
      <w:r w:rsidR="004E7EBC">
        <w:rPr>
          <w:i/>
          <w:iCs/>
        </w:rPr>
        <w:t>Singularis</w:t>
      </w:r>
      <w:r w:rsidR="004E7EBC">
        <w:t>, discussed above. Another example</w:t>
      </w:r>
      <w:r w:rsidR="00843AA6">
        <w:t xml:space="preserve"> of lack of comity</w:t>
      </w:r>
      <w:r w:rsidR="004E7EBC">
        <w:t xml:space="preserve">, from the US, is </w:t>
      </w:r>
      <w:r w:rsidR="00843AA6">
        <w:t>the anti-, anti-suit injunction granted in</w:t>
      </w:r>
      <w:r w:rsidR="0012098D">
        <w:t xml:space="preserve"> </w:t>
      </w:r>
      <w:r w:rsidR="0012098D">
        <w:rPr>
          <w:i/>
          <w:iCs/>
        </w:rPr>
        <w:t>Laker Airways v Sabena</w:t>
      </w:r>
      <w:r w:rsidR="0012098D">
        <w:t xml:space="preserve"> 731 F 2d 909 (1984)(DC Circ.) at 937, cited in </w:t>
      </w:r>
      <w:r w:rsidR="00ED1B6C">
        <w:t>Gopalan</w:t>
      </w:r>
      <w:r w:rsidR="0012098D">
        <w:t xml:space="preserve"> &amp; Guihot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881174"/>
      <w:docPartObj>
        <w:docPartGallery w:val="Page Numbers (Top of Page)"/>
        <w:docPartUnique/>
      </w:docPartObj>
    </w:sdtPr>
    <w:sdtEndPr>
      <w:rPr>
        <w:rStyle w:val="PageNumber"/>
      </w:rPr>
    </w:sdtEndPr>
    <w:sdtContent>
      <w:p w14:paraId="464D6A54" w14:textId="2B331106" w:rsidR="007C2D2D" w:rsidRDefault="007C2D2D" w:rsidP="00ED1B6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C8956" w14:textId="77777777" w:rsidR="007C2D2D" w:rsidRDefault="007C2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924594"/>
      <w:docPartObj>
        <w:docPartGallery w:val="Page Numbers (Top of Page)"/>
        <w:docPartUnique/>
      </w:docPartObj>
    </w:sdtPr>
    <w:sdtEndPr>
      <w:rPr>
        <w:rStyle w:val="PageNumber"/>
      </w:rPr>
    </w:sdtEndPr>
    <w:sdtContent>
      <w:p w14:paraId="4739581D" w14:textId="5B2F6C07" w:rsidR="007C2D2D" w:rsidRDefault="007C2D2D" w:rsidP="00ED1B6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CDBF86" w14:textId="77777777" w:rsidR="007C2D2D" w:rsidRDefault="007C2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02"/>
    <w:rsid w:val="00005213"/>
    <w:rsid w:val="00023892"/>
    <w:rsid w:val="000279BA"/>
    <w:rsid w:val="00042939"/>
    <w:rsid w:val="0004333D"/>
    <w:rsid w:val="000547EC"/>
    <w:rsid w:val="000554F6"/>
    <w:rsid w:val="0008256B"/>
    <w:rsid w:val="00085917"/>
    <w:rsid w:val="000A22A8"/>
    <w:rsid w:val="000A3C7C"/>
    <w:rsid w:val="000A70FE"/>
    <w:rsid w:val="000B0337"/>
    <w:rsid w:val="000B4EF2"/>
    <w:rsid w:val="000F0F94"/>
    <w:rsid w:val="000F2251"/>
    <w:rsid w:val="000F3D6C"/>
    <w:rsid w:val="000F7BCD"/>
    <w:rsid w:val="0010787E"/>
    <w:rsid w:val="0011465D"/>
    <w:rsid w:val="0012098D"/>
    <w:rsid w:val="00125569"/>
    <w:rsid w:val="00130FD0"/>
    <w:rsid w:val="00157293"/>
    <w:rsid w:val="00164F8D"/>
    <w:rsid w:val="00177187"/>
    <w:rsid w:val="00183B5D"/>
    <w:rsid w:val="001849B1"/>
    <w:rsid w:val="00186E29"/>
    <w:rsid w:val="001A0BA1"/>
    <w:rsid w:val="001A42DD"/>
    <w:rsid w:val="001C1BAA"/>
    <w:rsid w:val="001C5D0E"/>
    <w:rsid w:val="001D27BA"/>
    <w:rsid w:val="001D3270"/>
    <w:rsid w:val="001D3506"/>
    <w:rsid w:val="001F5B9D"/>
    <w:rsid w:val="001F70B4"/>
    <w:rsid w:val="002006C1"/>
    <w:rsid w:val="00211296"/>
    <w:rsid w:val="00214878"/>
    <w:rsid w:val="00217F1A"/>
    <w:rsid w:val="00223E9C"/>
    <w:rsid w:val="00240077"/>
    <w:rsid w:val="00240EC8"/>
    <w:rsid w:val="002429B0"/>
    <w:rsid w:val="00243180"/>
    <w:rsid w:val="002436E6"/>
    <w:rsid w:val="002464CE"/>
    <w:rsid w:val="0025332B"/>
    <w:rsid w:val="00262AAC"/>
    <w:rsid w:val="002648F7"/>
    <w:rsid w:val="002734C1"/>
    <w:rsid w:val="002873C0"/>
    <w:rsid w:val="00297819"/>
    <w:rsid w:val="002A69A6"/>
    <w:rsid w:val="002A76BD"/>
    <w:rsid w:val="002C677E"/>
    <w:rsid w:val="002D54D6"/>
    <w:rsid w:val="002F2EB8"/>
    <w:rsid w:val="00300703"/>
    <w:rsid w:val="00303F4B"/>
    <w:rsid w:val="00330195"/>
    <w:rsid w:val="00356F02"/>
    <w:rsid w:val="0035756F"/>
    <w:rsid w:val="00357A72"/>
    <w:rsid w:val="00366842"/>
    <w:rsid w:val="0036757E"/>
    <w:rsid w:val="00381F93"/>
    <w:rsid w:val="0038754F"/>
    <w:rsid w:val="00394327"/>
    <w:rsid w:val="00397931"/>
    <w:rsid w:val="003A5EED"/>
    <w:rsid w:val="003A72D6"/>
    <w:rsid w:val="003B7F03"/>
    <w:rsid w:val="003F641C"/>
    <w:rsid w:val="003F74BA"/>
    <w:rsid w:val="00413F57"/>
    <w:rsid w:val="00426DAD"/>
    <w:rsid w:val="00442B84"/>
    <w:rsid w:val="00443448"/>
    <w:rsid w:val="00454DE9"/>
    <w:rsid w:val="0046031D"/>
    <w:rsid w:val="004669FB"/>
    <w:rsid w:val="004671B5"/>
    <w:rsid w:val="00467BF9"/>
    <w:rsid w:val="00471444"/>
    <w:rsid w:val="0049081E"/>
    <w:rsid w:val="0049595F"/>
    <w:rsid w:val="00496695"/>
    <w:rsid w:val="004A0031"/>
    <w:rsid w:val="004A4E25"/>
    <w:rsid w:val="004A6397"/>
    <w:rsid w:val="004B2C3E"/>
    <w:rsid w:val="004B55B0"/>
    <w:rsid w:val="004D6785"/>
    <w:rsid w:val="004E1A2E"/>
    <w:rsid w:val="004E37E0"/>
    <w:rsid w:val="004E7EBC"/>
    <w:rsid w:val="00507E3E"/>
    <w:rsid w:val="00512233"/>
    <w:rsid w:val="00522D12"/>
    <w:rsid w:val="0052484C"/>
    <w:rsid w:val="00537491"/>
    <w:rsid w:val="005401EC"/>
    <w:rsid w:val="005433D0"/>
    <w:rsid w:val="005615FD"/>
    <w:rsid w:val="0056351A"/>
    <w:rsid w:val="005777B3"/>
    <w:rsid w:val="00590BF5"/>
    <w:rsid w:val="0059153F"/>
    <w:rsid w:val="005929A9"/>
    <w:rsid w:val="005D4EF0"/>
    <w:rsid w:val="005D6155"/>
    <w:rsid w:val="005F4168"/>
    <w:rsid w:val="005F4D05"/>
    <w:rsid w:val="005F616C"/>
    <w:rsid w:val="005F6BD4"/>
    <w:rsid w:val="00602DDC"/>
    <w:rsid w:val="006065CC"/>
    <w:rsid w:val="00625F60"/>
    <w:rsid w:val="0063303E"/>
    <w:rsid w:val="00664BA0"/>
    <w:rsid w:val="006728D9"/>
    <w:rsid w:val="006737D8"/>
    <w:rsid w:val="00676288"/>
    <w:rsid w:val="00676301"/>
    <w:rsid w:val="0069447A"/>
    <w:rsid w:val="0069799A"/>
    <w:rsid w:val="006A09E5"/>
    <w:rsid w:val="006A38F0"/>
    <w:rsid w:val="006C0213"/>
    <w:rsid w:val="006C0E81"/>
    <w:rsid w:val="006D0F6E"/>
    <w:rsid w:val="006D3B55"/>
    <w:rsid w:val="006D40D3"/>
    <w:rsid w:val="006D6DD2"/>
    <w:rsid w:val="006E0FB7"/>
    <w:rsid w:val="006E4261"/>
    <w:rsid w:val="006F6FA5"/>
    <w:rsid w:val="00700B39"/>
    <w:rsid w:val="00733264"/>
    <w:rsid w:val="0073355D"/>
    <w:rsid w:val="00744510"/>
    <w:rsid w:val="00744A8E"/>
    <w:rsid w:val="0074534C"/>
    <w:rsid w:val="00754B0B"/>
    <w:rsid w:val="00755430"/>
    <w:rsid w:val="00761399"/>
    <w:rsid w:val="00763BD9"/>
    <w:rsid w:val="00766624"/>
    <w:rsid w:val="00784708"/>
    <w:rsid w:val="0079596C"/>
    <w:rsid w:val="00796134"/>
    <w:rsid w:val="007B1622"/>
    <w:rsid w:val="007B7C67"/>
    <w:rsid w:val="007C06DB"/>
    <w:rsid w:val="007C09D0"/>
    <w:rsid w:val="007C2D2D"/>
    <w:rsid w:val="007C3134"/>
    <w:rsid w:val="007D4CB3"/>
    <w:rsid w:val="007D4FC0"/>
    <w:rsid w:val="007E1295"/>
    <w:rsid w:val="007E3EE6"/>
    <w:rsid w:val="007E7437"/>
    <w:rsid w:val="0080475D"/>
    <w:rsid w:val="00804C46"/>
    <w:rsid w:val="008269B3"/>
    <w:rsid w:val="00836E23"/>
    <w:rsid w:val="00843AA6"/>
    <w:rsid w:val="00843AB4"/>
    <w:rsid w:val="00844218"/>
    <w:rsid w:val="00855B03"/>
    <w:rsid w:val="00883349"/>
    <w:rsid w:val="00883815"/>
    <w:rsid w:val="008925C6"/>
    <w:rsid w:val="0089510E"/>
    <w:rsid w:val="00896EDA"/>
    <w:rsid w:val="00897C40"/>
    <w:rsid w:val="008A0363"/>
    <w:rsid w:val="008A3487"/>
    <w:rsid w:val="008A38EF"/>
    <w:rsid w:val="008A6A8F"/>
    <w:rsid w:val="008B071A"/>
    <w:rsid w:val="008B40AB"/>
    <w:rsid w:val="008B5821"/>
    <w:rsid w:val="008B61B3"/>
    <w:rsid w:val="008C7C94"/>
    <w:rsid w:val="008D1F0B"/>
    <w:rsid w:val="008D287B"/>
    <w:rsid w:val="008F49CE"/>
    <w:rsid w:val="00901C29"/>
    <w:rsid w:val="009103F7"/>
    <w:rsid w:val="00912D47"/>
    <w:rsid w:val="00917AFC"/>
    <w:rsid w:val="0093172F"/>
    <w:rsid w:val="0094596D"/>
    <w:rsid w:val="009531E4"/>
    <w:rsid w:val="00962FED"/>
    <w:rsid w:val="00970825"/>
    <w:rsid w:val="00972A67"/>
    <w:rsid w:val="00980A7A"/>
    <w:rsid w:val="00983EB7"/>
    <w:rsid w:val="00984579"/>
    <w:rsid w:val="00993532"/>
    <w:rsid w:val="0099431F"/>
    <w:rsid w:val="009A3BF3"/>
    <w:rsid w:val="009B2BC3"/>
    <w:rsid w:val="009B335E"/>
    <w:rsid w:val="009B37F4"/>
    <w:rsid w:val="009C212E"/>
    <w:rsid w:val="009D0623"/>
    <w:rsid w:val="009E31A4"/>
    <w:rsid w:val="009E460D"/>
    <w:rsid w:val="009E618D"/>
    <w:rsid w:val="009F06D9"/>
    <w:rsid w:val="00A22E07"/>
    <w:rsid w:val="00A2567E"/>
    <w:rsid w:val="00A2661F"/>
    <w:rsid w:val="00A33026"/>
    <w:rsid w:val="00A332B3"/>
    <w:rsid w:val="00A33E02"/>
    <w:rsid w:val="00A43EDA"/>
    <w:rsid w:val="00A50861"/>
    <w:rsid w:val="00A9015D"/>
    <w:rsid w:val="00A9530E"/>
    <w:rsid w:val="00A96EE8"/>
    <w:rsid w:val="00AA11A7"/>
    <w:rsid w:val="00AA6FD2"/>
    <w:rsid w:val="00AB3761"/>
    <w:rsid w:val="00AC39AF"/>
    <w:rsid w:val="00AD668F"/>
    <w:rsid w:val="00AE0F39"/>
    <w:rsid w:val="00AE1653"/>
    <w:rsid w:val="00B00FBE"/>
    <w:rsid w:val="00B11F6E"/>
    <w:rsid w:val="00B25502"/>
    <w:rsid w:val="00B25E9D"/>
    <w:rsid w:val="00B355E0"/>
    <w:rsid w:val="00B40658"/>
    <w:rsid w:val="00B5258E"/>
    <w:rsid w:val="00B541D5"/>
    <w:rsid w:val="00B57D52"/>
    <w:rsid w:val="00B60BCB"/>
    <w:rsid w:val="00B65D52"/>
    <w:rsid w:val="00B6725F"/>
    <w:rsid w:val="00B76061"/>
    <w:rsid w:val="00B811E0"/>
    <w:rsid w:val="00B870E6"/>
    <w:rsid w:val="00B87E38"/>
    <w:rsid w:val="00B92AD7"/>
    <w:rsid w:val="00BA178C"/>
    <w:rsid w:val="00BA62C2"/>
    <w:rsid w:val="00BB0495"/>
    <w:rsid w:val="00BC1978"/>
    <w:rsid w:val="00BC280F"/>
    <w:rsid w:val="00BC7B15"/>
    <w:rsid w:val="00BD77C1"/>
    <w:rsid w:val="00BE75DF"/>
    <w:rsid w:val="00BF11B0"/>
    <w:rsid w:val="00C01D5D"/>
    <w:rsid w:val="00C0486D"/>
    <w:rsid w:val="00C16197"/>
    <w:rsid w:val="00C1735A"/>
    <w:rsid w:val="00C24003"/>
    <w:rsid w:val="00C307DB"/>
    <w:rsid w:val="00C5538C"/>
    <w:rsid w:val="00C822C9"/>
    <w:rsid w:val="00CA0ECF"/>
    <w:rsid w:val="00CB04B8"/>
    <w:rsid w:val="00CB5C9F"/>
    <w:rsid w:val="00CB7F7C"/>
    <w:rsid w:val="00CD0068"/>
    <w:rsid w:val="00CF54E5"/>
    <w:rsid w:val="00D164FA"/>
    <w:rsid w:val="00D22F13"/>
    <w:rsid w:val="00D2411D"/>
    <w:rsid w:val="00D36882"/>
    <w:rsid w:val="00D53B0B"/>
    <w:rsid w:val="00D56747"/>
    <w:rsid w:val="00D608C9"/>
    <w:rsid w:val="00D8202E"/>
    <w:rsid w:val="00D856E2"/>
    <w:rsid w:val="00DA20B5"/>
    <w:rsid w:val="00DA4C05"/>
    <w:rsid w:val="00DD785C"/>
    <w:rsid w:val="00DE54C8"/>
    <w:rsid w:val="00DE6E3B"/>
    <w:rsid w:val="00E07D47"/>
    <w:rsid w:val="00E12AE9"/>
    <w:rsid w:val="00E31739"/>
    <w:rsid w:val="00E33230"/>
    <w:rsid w:val="00E731AD"/>
    <w:rsid w:val="00E746CA"/>
    <w:rsid w:val="00E83102"/>
    <w:rsid w:val="00EC6662"/>
    <w:rsid w:val="00ED1B6C"/>
    <w:rsid w:val="00ED238F"/>
    <w:rsid w:val="00ED2F05"/>
    <w:rsid w:val="00EE7A47"/>
    <w:rsid w:val="00EF0C75"/>
    <w:rsid w:val="00F01FDD"/>
    <w:rsid w:val="00F044B8"/>
    <w:rsid w:val="00F06E88"/>
    <w:rsid w:val="00F11862"/>
    <w:rsid w:val="00F16BBA"/>
    <w:rsid w:val="00F24F66"/>
    <w:rsid w:val="00F3331B"/>
    <w:rsid w:val="00F3788A"/>
    <w:rsid w:val="00F41AD2"/>
    <w:rsid w:val="00F605B0"/>
    <w:rsid w:val="00F700CC"/>
    <w:rsid w:val="00F7365C"/>
    <w:rsid w:val="00F94196"/>
    <w:rsid w:val="00F96B53"/>
    <w:rsid w:val="00FA4E2A"/>
    <w:rsid w:val="00FB0CAA"/>
    <w:rsid w:val="00FB2A1B"/>
    <w:rsid w:val="00FC17F0"/>
    <w:rsid w:val="00FC462D"/>
    <w:rsid w:val="00FF1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B7A3"/>
  <w15:chartTrackingRefBased/>
  <w15:docId w15:val="{943019B8-DF2D-A141-A936-C798B6AF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3E02"/>
  </w:style>
  <w:style w:type="paragraph" w:styleId="Header">
    <w:name w:val="header"/>
    <w:basedOn w:val="Normal"/>
    <w:link w:val="HeaderChar"/>
    <w:uiPriority w:val="99"/>
    <w:unhideWhenUsed/>
    <w:rsid w:val="007C2D2D"/>
    <w:pPr>
      <w:tabs>
        <w:tab w:val="center" w:pos="4680"/>
        <w:tab w:val="right" w:pos="9360"/>
      </w:tabs>
    </w:pPr>
  </w:style>
  <w:style w:type="character" w:customStyle="1" w:styleId="HeaderChar">
    <w:name w:val="Header Char"/>
    <w:basedOn w:val="DefaultParagraphFont"/>
    <w:link w:val="Header"/>
    <w:uiPriority w:val="99"/>
    <w:rsid w:val="007C2D2D"/>
  </w:style>
  <w:style w:type="character" w:styleId="PageNumber">
    <w:name w:val="page number"/>
    <w:basedOn w:val="DefaultParagraphFont"/>
    <w:uiPriority w:val="99"/>
    <w:semiHidden/>
    <w:unhideWhenUsed/>
    <w:rsid w:val="007C2D2D"/>
  </w:style>
  <w:style w:type="paragraph" w:styleId="FootnoteText">
    <w:name w:val="footnote text"/>
    <w:basedOn w:val="Normal"/>
    <w:link w:val="FootnoteTextChar"/>
    <w:uiPriority w:val="99"/>
    <w:semiHidden/>
    <w:unhideWhenUsed/>
    <w:rsid w:val="00744A8E"/>
    <w:rPr>
      <w:sz w:val="20"/>
      <w:szCs w:val="20"/>
    </w:rPr>
  </w:style>
  <w:style w:type="character" w:customStyle="1" w:styleId="FootnoteTextChar">
    <w:name w:val="Footnote Text Char"/>
    <w:basedOn w:val="DefaultParagraphFont"/>
    <w:link w:val="FootnoteText"/>
    <w:uiPriority w:val="99"/>
    <w:semiHidden/>
    <w:rsid w:val="00744A8E"/>
    <w:rPr>
      <w:sz w:val="20"/>
      <w:szCs w:val="20"/>
    </w:rPr>
  </w:style>
  <w:style w:type="character" w:styleId="FootnoteReference">
    <w:name w:val="footnote reference"/>
    <w:basedOn w:val="DefaultParagraphFont"/>
    <w:uiPriority w:val="99"/>
    <w:semiHidden/>
    <w:unhideWhenUsed/>
    <w:rsid w:val="00744A8E"/>
    <w:rPr>
      <w:vertAlign w:val="superscript"/>
    </w:rPr>
  </w:style>
  <w:style w:type="character" w:styleId="Hyperlink">
    <w:name w:val="Hyperlink"/>
    <w:basedOn w:val="DefaultParagraphFont"/>
    <w:uiPriority w:val="99"/>
    <w:unhideWhenUsed/>
    <w:rsid w:val="0052484C"/>
    <w:rPr>
      <w:color w:val="0563C1" w:themeColor="hyperlink"/>
      <w:u w:val="single"/>
    </w:rPr>
  </w:style>
  <w:style w:type="character" w:styleId="UnresolvedMention">
    <w:name w:val="Unresolved Mention"/>
    <w:basedOn w:val="DefaultParagraphFont"/>
    <w:uiPriority w:val="99"/>
    <w:semiHidden/>
    <w:unhideWhenUsed/>
    <w:rsid w:val="00F700CC"/>
    <w:rPr>
      <w:color w:val="605E5C"/>
      <w:shd w:val="clear" w:color="auto" w:fill="E1DFDD"/>
    </w:rPr>
  </w:style>
  <w:style w:type="character" w:styleId="FollowedHyperlink">
    <w:name w:val="FollowedHyperlink"/>
    <w:basedOn w:val="DefaultParagraphFont"/>
    <w:uiPriority w:val="99"/>
    <w:semiHidden/>
    <w:unhideWhenUsed/>
    <w:rsid w:val="00ED2F05"/>
    <w:rPr>
      <w:color w:val="954F72" w:themeColor="followedHyperlink"/>
      <w:u w:val="single"/>
    </w:rPr>
  </w:style>
  <w:style w:type="table" w:styleId="TableGrid">
    <w:name w:val="Table Grid"/>
    <w:basedOn w:val="TableNormal"/>
    <w:uiPriority w:val="39"/>
    <w:rsid w:val="0049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shurst.com/en/news-and-insights/insights/new-restructuring-tools-in-europe-keeping-up-with-the-competition" TargetMode="External"/><Relationship Id="rId4" Type="http://schemas.openxmlformats.org/officeDocument/2006/relationships/webSettings" Target="webSettings.xml"/><Relationship Id="rId9" Type="http://schemas.openxmlformats.org/officeDocument/2006/relationships/hyperlink" Target="https://www.allenovery.com/en-gb/global/news-and-insights/publications/the-rise-and-rise-of-the-english-scheme-of-arrang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citral.un.org/en/texts/insolvency/modellaw/cross-border_insolvency/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FEC3-C2D3-8444-8760-A3A9974A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Castle</dc:creator>
  <cp:keywords/>
  <dc:description/>
  <cp:lastModifiedBy>Tim Castle</cp:lastModifiedBy>
  <cp:revision>3</cp:revision>
  <cp:lastPrinted>2022-02-09T00:28:00Z</cp:lastPrinted>
  <dcterms:created xsi:type="dcterms:W3CDTF">2022-02-09T00:28:00Z</dcterms:created>
  <dcterms:modified xsi:type="dcterms:W3CDTF">2022-02-09T00:34:00Z</dcterms:modified>
</cp:coreProperties>
</file>