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5C5319">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5C5319">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5C5319">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282738" w:rsidRDefault="0050157D" w:rsidP="005C5319">
      <w:pPr>
        <w:pStyle w:val="ListParagraph"/>
        <w:numPr>
          <w:ilvl w:val="0"/>
          <w:numId w:val="1"/>
        </w:numPr>
        <w:ind w:left="426"/>
        <w:jc w:val="both"/>
        <w:rPr>
          <w:rFonts w:ascii="Arial" w:hAnsi="Arial" w:cs="Arial"/>
          <w:sz w:val="22"/>
          <w:szCs w:val="22"/>
          <w:highlight w:val="yellow"/>
          <w:lang w:val="en-GB"/>
        </w:rPr>
      </w:pPr>
      <w:bookmarkStart w:id="1" w:name="_Hlk47080379"/>
      <w:proofErr w:type="gramStart"/>
      <w:r w:rsidRPr="00282738">
        <w:rPr>
          <w:rFonts w:ascii="Arial" w:hAnsi="Arial" w:cs="Arial"/>
          <w:sz w:val="22"/>
          <w:szCs w:val="22"/>
          <w:highlight w:val="yellow"/>
          <w:lang w:val="en-GB"/>
        </w:rPr>
        <w:t>All of</w:t>
      </w:r>
      <w:proofErr w:type="gramEnd"/>
      <w:r w:rsidRPr="00282738">
        <w:rPr>
          <w:rFonts w:ascii="Arial" w:hAnsi="Arial" w:cs="Arial"/>
          <w:sz w:val="22"/>
          <w:szCs w:val="22"/>
          <w:highlight w:val="yellow"/>
          <w:lang w:val="en-GB"/>
        </w:rPr>
        <w:t xml:space="preserve"> the above. </w:t>
      </w:r>
      <w:bookmarkEnd w:id="1"/>
      <w:r w:rsidRPr="00282738">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AA5874" w:rsidRDefault="005F21F4" w:rsidP="005C5319">
      <w:pPr>
        <w:pStyle w:val="ListParagraph"/>
        <w:numPr>
          <w:ilvl w:val="0"/>
          <w:numId w:val="2"/>
        </w:numPr>
        <w:ind w:left="426"/>
        <w:jc w:val="both"/>
        <w:rPr>
          <w:rFonts w:ascii="Arial" w:hAnsi="Arial" w:cs="Arial"/>
          <w:sz w:val="22"/>
          <w:szCs w:val="22"/>
          <w:lang w:val="en-GB"/>
        </w:rPr>
      </w:pPr>
      <w:r w:rsidRPr="00AA5874">
        <w:rPr>
          <w:rFonts w:ascii="Arial" w:hAnsi="Arial" w:cs="Arial"/>
          <w:sz w:val="22"/>
          <w:szCs w:val="22"/>
          <w:lang w:val="en-GB"/>
        </w:rPr>
        <w:t>The existence of a statutory basis in national (insolvency) laws for co</w:t>
      </w:r>
      <w:r w:rsidR="00B61419" w:rsidRPr="00AA5874">
        <w:rPr>
          <w:rFonts w:ascii="Arial" w:hAnsi="Arial" w:cs="Arial"/>
          <w:sz w:val="22"/>
          <w:szCs w:val="22"/>
          <w:lang w:val="en-GB"/>
        </w:rPr>
        <w:t>-</w:t>
      </w:r>
      <w:r w:rsidRPr="00AA5874">
        <w:rPr>
          <w:rFonts w:ascii="Arial" w:hAnsi="Arial" w:cs="Arial"/>
          <w:sz w:val="22"/>
          <w:szCs w:val="22"/>
          <w:lang w:val="en-GB"/>
        </w:rPr>
        <w:t>operation and co</w:t>
      </w:r>
      <w:r w:rsidR="00B61419" w:rsidRPr="00AA5874">
        <w:rPr>
          <w:rFonts w:ascii="Arial" w:hAnsi="Arial" w:cs="Arial"/>
          <w:sz w:val="22"/>
          <w:szCs w:val="22"/>
          <w:lang w:val="en-GB"/>
        </w:rPr>
        <w:t>-</w:t>
      </w:r>
      <w:r w:rsidRPr="00AA5874">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C5319">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AA5874" w:rsidRDefault="005F21F4" w:rsidP="005C5319">
      <w:pPr>
        <w:pStyle w:val="ListParagraph"/>
        <w:numPr>
          <w:ilvl w:val="0"/>
          <w:numId w:val="2"/>
        </w:numPr>
        <w:ind w:left="426"/>
        <w:jc w:val="both"/>
        <w:rPr>
          <w:rFonts w:ascii="Arial" w:hAnsi="Arial" w:cs="Arial"/>
          <w:sz w:val="22"/>
          <w:szCs w:val="22"/>
          <w:highlight w:val="yellow"/>
          <w:lang w:val="en-GB"/>
        </w:rPr>
      </w:pPr>
      <w:r w:rsidRPr="00AA5874">
        <w:rPr>
          <w:rFonts w:ascii="Arial" w:hAnsi="Arial" w:cs="Arial"/>
          <w:sz w:val="22"/>
          <w:szCs w:val="22"/>
          <w:highlight w:val="yellow"/>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C5319">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5C5319">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5C5319">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3347BA" w:rsidRDefault="00853A74" w:rsidP="005C5319">
      <w:pPr>
        <w:pStyle w:val="ListParagraph"/>
        <w:numPr>
          <w:ilvl w:val="0"/>
          <w:numId w:val="3"/>
        </w:numPr>
        <w:ind w:left="426"/>
        <w:jc w:val="both"/>
        <w:rPr>
          <w:rFonts w:ascii="Arial" w:hAnsi="Arial" w:cs="Arial"/>
          <w:sz w:val="22"/>
          <w:szCs w:val="22"/>
          <w:lang w:val="en-GB"/>
        </w:rPr>
      </w:pPr>
      <w:r w:rsidRPr="003347BA">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3347BA" w:rsidRDefault="00853A74" w:rsidP="005C5319">
      <w:pPr>
        <w:pStyle w:val="ListParagraph"/>
        <w:numPr>
          <w:ilvl w:val="0"/>
          <w:numId w:val="3"/>
        </w:numPr>
        <w:ind w:left="426"/>
        <w:jc w:val="both"/>
        <w:rPr>
          <w:rFonts w:ascii="Arial" w:hAnsi="Arial" w:cs="Arial"/>
          <w:sz w:val="22"/>
          <w:szCs w:val="22"/>
          <w:highlight w:val="yellow"/>
          <w:lang w:val="en-GB"/>
        </w:rPr>
      </w:pPr>
      <w:r w:rsidRPr="003347BA">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3A7BF2" w:rsidRDefault="00E57410" w:rsidP="005C5319">
      <w:pPr>
        <w:pStyle w:val="ListParagraph"/>
        <w:numPr>
          <w:ilvl w:val="0"/>
          <w:numId w:val="4"/>
        </w:numPr>
        <w:ind w:left="426"/>
        <w:jc w:val="both"/>
        <w:rPr>
          <w:rFonts w:ascii="Arial" w:hAnsi="Arial" w:cs="Arial"/>
          <w:sz w:val="22"/>
          <w:szCs w:val="22"/>
          <w:highlight w:val="yellow"/>
          <w:lang w:val="en-GB"/>
        </w:rPr>
      </w:pPr>
      <w:r w:rsidRPr="003A7BF2">
        <w:rPr>
          <w:rFonts w:ascii="Arial" w:hAnsi="Arial" w:cs="Arial"/>
          <w:sz w:val="22"/>
          <w:szCs w:val="22"/>
          <w:highlight w:val="yellow"/>
          <w:lang w:val="en-GB"/>
        </w:rPr>
        <w:t xml:space="preserve">The </w:t>
      </w:r>
      <w:r w:rsidRPr="003A7BF2">
        <w:rPr>
          <w:rFonts w:ascii="Arial" w:hAnsi="Arial" w:cs="Arial"/>
          <w:i/>
          <w:iCs/>
          <w:sz w:val="22"/>
          <w:szCs w:val="22"/>
          <w:highlight w:val="yellow"/>
          <w:lang w:val="en-GB"/>
        </w:rPr>
        <w:t>locus standi</w:t>
      </w:r>
      <w:r w:rsidRPr="003A7BF2">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5C5319">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5C5319">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3A7BF2" w:rsidRDefault="00E57410" w:rsidP="005C5319">
      <w:pPr>
        <w:pStyle w:val="ListParagraph"/>
        <w:numPr>
          <w:ilvl w:val="0"/>
          <w:numId w:val="4"/>
        </w:numPr>
        <w:ind w:left="426"/>
        <w:jc w:val="both"/>
        <w:rPr>
          <w:rFonts w:ascii="Arial" w:hAnsi="Arial" w:cs="Arial"/>
          <w:sz w:val="22"/>
          <w:szCs w:val="22"/>
          <w:lang w:val="en-GB"/>
        </w:rPr>
      </w:pPr>
      <w:r w:rsidRPr="003A7BF2">
        <w:rPr>
          <w:rFonts w:ascii="Arial" w:hAnsi="Arial" w:cs="Arial"/>
          <w:sz w:val="22"/>
          <w:szCs w:val="22"/>
          <w:lang w:val="en-GB"/>
        </w:rPr>
        <w:t xml:space="preserve">The </w:t>
      </w:r>
      <w:r w:rsidR="001747C2" w:rsidRPr="003A7BF2">
        <w:rPr>
          <w:rFonts w:ascii="Arial" w:hAnsi="Arial" w:cs="Arial"/>
          <w:sz w:val="22"/>
          <w:szCs w:val="22"/>
          <w:lang w:val="en-GB"/>
        </w:rPr>
        <w:t>“</w:t>
      </w:r>
      <w:r w:rsidRPr="003A7BF2">
        <w:rPr>
          <w:rFonts w:ascii="Arial" w:hAnsi="Arial" w:cs="Arial"/>
          <w:sz w:val="22"/>
          <w:szCs w:val="22"/>
          <w:lang w:val="en-GB"/>
        </w:rPr>
        <w:t>hotchpot</w:t>
      </w:r>
      <w:r w:rsidR="001747C2" w:rsidRPr="003A7BF2">
        <w:rPr>
          <w:rFonts w:ascii="Arial" w:hAnsi="Arial" w:cs="Arial"/>
          <w:sz w:val="22"/>
          <w:szCs w:val="22"/>
          <w:lang w:val="en-GB"/>
        </w:rPr>
        <w:t>”</w:t>
      </w:r>
      <w:r w:rsidRPr="003A7BF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5C5319">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5C5319">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0D72C2" w:rsidRDefault="00C504E5" w:rsidP="005C5319">
      <w:pPr>
        <w:pStyle w:val="ListParagraph"/>
        <w:numPr>
          <w:ilvl w:val="0"/>
          <w:numId w:val="5"/>
        </w:numPr>
        <w:ind w:left="426"/>
        <w:jc w:val="both"/>
        <w:rPr>
          <w:rFonts w:ascii="Arial" w:hAnsi="Arial" w:cs="Arial"/>
          <w:sz w:val="22"/>
          <w:szCs w:val="22"/>
          <w:highlight w:val="yellow"/>
          <w:lang w:val="en-GB"/>
        </w:rPr>
      </w:pPr>
      <w:r w:rsidRPr="000D72C2">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5C5319">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5C5319">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5C5319">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5C5319">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310F9C" w:rsidRDefault="00B72F5F" w:rsidP="005C5319">
      <w:pPr>
        <w:pStyle w:val="ListParagraph"/>
        <w:numPr>
          <w:ilvl w:val="0"/>
          <w:numId w:val="6"/>
        </w:numPr>
        <w:ind w:left="426"/>
        <w:jc w:val="both"/>
        <w:rPr>
          <w:rFonts w:ascii="Arial" w:hAnsi="Arial" w:cs="Arial"/>
          <w:sz w:val="22"/>
          <w:szCs w:val="22"/>
          <w:highlight w:val="yellow"/>
          <w:lang w:val="en-GB"/>
        </w:rPr>
      </w:pPr>
      <w:r w:rsidRPr="00310F9C">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310F9C">
        <w:rPr>
          <w:rFonts w:ascii="Arial" w:hAnsi="Arial" w:cs="Arial"/>
          <w:sz w:val="22"/>
          <w:szCs w:val="22"/>
          <w:highlight w:val="yellow"/>
          <w:lang w:val="en-GB"/>
        </w:rPr>
        <w:t>will</w:t>
      </w:r>
      <w:r w:rsidRPr="00310F9C">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5C5319">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F36AF5" w:rsidRDefault="0067294B" w:rsidP="005C5319">
      <w:pPr>
        <w:pStyle w:val="ListParagraph"/>
        <w:numPr>
          <w:ilvl w:val="0"/>
          <w:numId w:val="7"/>
        </w:numPr>
        <w:ind w:left="426"/>
        <w:jc w:val="both"/>
        <w:rPr>
          <w:rFonts w:ascii="Arial" w:hAnsi="Arial" w:cs="Arial"/>
          <w:sz w:val="22"/>
          <w:szCs w:val="22"/>
          <w:highlight w:val="yellow"/>
          <w:lang w:val="en-GB"/>
        </w:rPr>
      </w:pPr>
      <w:r w:rsidRPr="00F36AF5">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5C5319">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5C5319">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F596F" w:rsidRDefault="004E0549" w:rsidP="005C5319">
      <w:pPr>
        <w:pStyle w:val="ListParagraph"/>
        <w:numPr>
          <w:ilvl w:val="0"/>
          <w:numId w:val="8"/>
        </w:numPr>
        <w:ind w:left="426"/>
        <w:jc w:val="both"/>
        <w:rPr>
          <w:rFonts w:ascii="Arial" w:hAnsi="Arial" w:cs="Arial"/>
          <w:sz w:val="22"/>
          <w:szCs w:val="22"/>
          <w:highlight w:val="yellow"/>
          <w:lang w:val="en-GB"/>
        </w:rPr>
      </w:pPr>
      <w:r w:rsidRPr="009F596F">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5C5319">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F596F" w:rsidRDefault="004E0549" w:rsidP="005C5319">
      <w:pPr>
        <w:pStyle w:val="ListParagraph"/>
        <w:numPr>
          <w:ilvl w:val="0"/>
          <w:numId w:val="8"/>
        </w:numPr>
        <w:ind w:left="426"/>
        <w:jc w:val="both"/>
        <w:rPr>
          <w:rFonts w:ascii="Arial" w:hAnsi="Arial" w:cs="Arial"/>
          <w:sz w:val="22"/>
          <w:szCs w:val="22"/>
          <w:lang w:val="en-GB"/>
        </w:rPr>
      </w:pPr>
      <w:r w:rsidRPr="009F596F">
        <w:rPr>
          <w:rFonts w:ascii="Arial" w:hAnsi="Arial" w:cs="Arial"/>
          <w:sz w:val="22"/>
          <w:szCs w:val="22"/>
          <w:lang w:val="en-GB"/>
        </w:rPr>
        <w:t xml:space="preserve">While </w:t>
      </w:r>
      <w:r w:rsidR="000C147F" w:rsidRPr="009F596F">
        <w:rPr>
          <w:rFonts w:ascii="Arial" w:hAnsi="Arial" w:cs="Arial"/>
          <w:sz w:val="22"/>
          <w:szCs w:val="22"/>
          <w:lang w:val="en-GB"/>
        </w:rPr>
        <w:t>(</w:t>
      </w:r>
      <w:r w:rsidRPr="009F596F">
        <w:rPr>
          <w:rFonts w:ascii="Arial" w:hAnsi="Arial" w:cs="Arial"/>
          <w:sz w:val="22"/>
          <w:szCs w:val="22"/>
          <w:lang w:val="en-GB"/>
        </w:rPr>
        <w:t>for purposes of the Model Law</w:t>
      </w:r>
      <w:r w:rsidR="000C147F" w:rsidRPr="009F596F">
        <w:rPr>
          <w:rFonts w:ascii="Arial" w:hAnsi="Arial" w:cs="Arial"/>
          <w:sz w:val="22"/>
          <w:szCs w:val="22"/>
          <w:lang w:val="en-GB"/>
        </w:rPr>
        <w:t>)</w:t>
      </w:r>
      <w:r w:rsidRPr="009F596F">
        <w:rPr>
          <w:rFonts w:ascii="Arial" w:hAnsi="Arial" w:cs="Arial"/>
          <w:sz w:val="22"/>
          <w:szCs w:val="22"/>
          <w:lang w:val="en-GB"/>
        </w:rPr>
        <w:t xml:space="preserve"> the COMI </w:t>
      </w:r>
      <w:r w:rsidR="000C147F" w:rsidRPr="009F596F">
        <w:rPr>
          <w:rFonts w:ascii="Arial" w:hAnsi="Arial" w:cs="Arial"/>
          <w:sz w:val="22"/>
          <w:szCs w:val="22"/>
          <w:lang w:val="en-GB"/>
        </w:rPr>
        <w:t xml:space="preserve">of a debtor </w:t>
      </w:r>
      <w:r w:rsidRPr="009F596F">
        <w:rPr>
          <w:rFonts w:ascii="Arial" w:hAnsi="Arial" w:cs="Arial"/>
          <w:sz w:val="22"/>
          <w:szCs w:val="22"/>
          <w:lang w:val="en-GB"/>
        </w:rPr>
        <w:t xml:space="preserve">can move, the closer such COMI shift is to the commencement of foreign proceedings, the harder it will be to establish that the move was </w:t>
      </w:r>
      <w:r w:rsidR="001747C2" w:rsidRPr="009F596F">
        <w:rPr>
          <w:rFonts w:ascii="Arial" w:hAnsi="Arial" w:cs="Arial"/>
          <w:sz w:val="22"/>
          <w:szCs w:val="22"/>
          <w:lang w:val="en-GB"/>
        </w:rPr>
        <w:t>“</w:t>
      </w:r>
      <w:r w:rsidRPr="009F596F">
        <w:rPr>
          <w:rFonts w:ascii="Arial" w:hAnsi="Arial" w:cs="Arial"/>
          <w:sz w:val="22"/>
          <w:szCs w:val="22"/>
          <w:lang w:val="en-GB"/>
        </w:rPr>
        <w:t>ascertainable by third parties</w:t>
      </w:r>
      <w:r w:rsidR="001747C2" w:rsidRPr="009F596F">
        <w:rPr>
          <w:rFonts w:ascii="Arial" w:hAnsi="Arial" w:cs="Arial"/>
          <w:sz w:val="22"/>
          <w:szCs w:val="22"/>
          <w:lang w:val="en-GB"/>
        </w:rPr>
        <w:t>”</w:t>
      </w:r>
      <w:r w:rsidRPr="009F596F">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5C5319">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5C5319">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5C5319">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115AFD" w:rsidRDefault="00573E73" w:rsidP="005C5319">
      <w:pPr>
        <w:pStyle w:val="ListParagraph"/>
        <w:numPr>
          <w:ilvl w:val="0"/>
          <w:numId w:val="9"/>
        </w:numPr>
        <w:ind w:left="426"/>
        <w:jc w:val="both"/>
        <w:rPr>
          <w:rFonts w:ascii="Arial" w:hAnsi="Arial" w:cs="Arial"/>
          <w:sz w:val="22"/>
          <w:szCs w:val="22"/>
          <w:highlight w:val="yellow"/>
          <w:lang w:val="en-GB"/>
        </w:rPr>
      </w:pPr>
      <w:r w:rsidRPr="00115AFD">
        <w:rPr>
          <w:rFonts w:ascii="Arial" w:hAnsi="Arial" w:cs="Arial"/>
          <w:sz w:val="22"/>
          <w:szCs w:val="22"/>
          <w:highlight w:val="yellow"/>
          <w:lang w:val="en-GB"/>
        </w:rPr>
        <w:t xml:space="preserve">Both </w:t>
      </w:r>
      <w:r w:rsidR="00114082" w:rsidRPr="00115AFD">
        <w:rPr>
          <w:rFonts w:ascii="Arial" w:hAnsi="Arial" w:cs="Arial"/>
          <w:sz w:val="22"/>
          <w:szCs w:val="22"/>
          <w:highlight w:val="yellow"/>
          <w:lang w:val="en-GB"/>
        </w:rPr>
        <w:t>(</w:t>
      </w:r>
      <w:r w:rsidRPr="00115AFD">
        <w:rPr>
          <w:rFonts w:ascii="Arial" w:hAnsi="Arial" w:cs="Arial"/>
          <w:sz w:val="22"/>
          <w:szCs w:val="22"/>
          <w:highlight w:val="yellow"/>
          <w:lang w:val="en-GB"/>
        </w:rPr>
        <w:t>a</w:t>
      </w:r>
      <w:r w:rsidR="00114082" w:rsidRPr="00115AFD">
        <w:rPr>
          <w:rFonts w:ascii="Arial" w:hAnsi="Arial" w:cs="Arial"/>
          <w:sz w:val="22"/>
          <w:szCs w:val="22"/>
          <w:highlight w:val="yellow"/>
          <w:lang w:val="en-GB"/>
        </w:rPr>
        <w:t>)</w:t>
      </w:r>
      <w:r w:rsidRPr="00115AFD">
        <w:rPr>
          <w:rFonts w:ascii="Arial" w:hAnsi="Arial" w:cs="Arial"/>
          <w:sz w:val="22"/>
          <w:szCs w:val="22"/>
          <w:highlight w:val="yellow"/>
          <w:lang w:val="en-GB"/>
        </w:rPr>
        <w:t xml:space="preserve"> and </w:t>
      </w:r>
      <w:r w:rsidR="00114082" w:rsidRPr="00115AFD">
        <w:rPr>
          <w:rFonts w:ascii="Arial" w:hAnsi="Arial" w:cs="Arial"/>
          <w:sz w:val="22"/>
          <w:szCs w:val="22"/>
          <w:highlight w:val="yellow"/>
          <w:lang w:val="en-GB"/>
        </w:rPr>
        <w:t>(</w:t>
      </w:r>
      <w:r w:rsidRPr="00115AFD">
        <w:rPr>
          <w:rFonts w:ascii="Arial" w:hAnsi="Arial" w:cs="Arial"/>
          <w:sz w:val="22"/>
          <w:szCs w:val="22"/>
          <w:highlight w:val="yellow"/>
          <w:lang w:val="en-GB"/>
        </w:rPr>
        <w:t>b</w:t>
      </w:r>
      <w:r w:rsidR="00114082" w:rsidRPr="00115AFD">
        <w:rPr>
          <w:rFonts w:ascii="Arial" w:hAnsi="Arial" w:cs="Arial"/>
          <w:sz w:val="22"/>
          <w:szCs w:val="22"/>
          <w:highlight w:val="yellow"/>
          <w:lang w:val="en-GB"/>
        </w:rPr>
        <w:t>)</w:t>
      </w:r>
      <w:r w:rsidRPr="00115AFD">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115AFD" w:rsidRDefault="00573E73" w:rsidP="005C5319">
      <w:pPr>
        <w:pStyle w:val="ListParagraph"/>
        <w:numPr>
          <w:ilvl w:val="0"/>
          <w:numId w:val="9"/>
        </w:numPr>
        <w:ind w:left="426"/>
        <w:jc w:val="both"/>
        <w:rPr>
          <w:rFonts w:ascii="Arial" w:hAnsi="Arial" w:cs="Arial"/>
          <w:sz w:val="22"/>
          <w:szCs w:val="22"/>
          <w:lang w:val="en-GB"/>
        </w:rPr>
      </w:pPr>
      <w:r w:rsidRPr="00115AFD">
        <w:rPr>
          <w:rFonts w:ascii="Arial" w:hAnsi="Arial" w:cs="Arial"/>
          <w:sz w:val="22"/>
          <w:szCs w:val="22"/>
          <w:lang w:val="en-GB"/>
        </w:rPr>
        <w:t xml:space="preserve">Neither </w:t>
      </w:r>
      <w:r w:rsidR="00114082" w:rsidRPr="00115AFD">
        <w:rPr>
          <w:rFonts w:ascii="Arial" w:hAnsi="Arial" w:cs="Arial"/>
          <w:sz w:val="22"/>
          <w:szCs w:val="22"/>
          <w:lang w:val="en-GB"/>
        </w:rPr>
        <w:t>(</w:t>
      </w:r>
      <w:r w:rsidRPr="00115AFD">
        <w:rPr>
          <w:rFonts w:ascii="Arial" w:hAnsi="Arial" w:cs="Arial"/>
          <w:sz w:val="22"/>
          <w:szCs w:val="22"/>
          <w:lang w:val="en-GB"/>
        </w:rPr>
        <w:t>a</w:t>
      </w:r>
      <w:r w:rsidR="00114082" w:rsidRPr="00115AFD">
        <w:rPr>
          <w:rFonts w:ascii="Arial" w:hAnsi="Arial" w:cs="Arial"/>
          <w:sz w:val="22"/>
          <w:szCs w:val="22"/>
          <w:lang w:val="en-GB"/>
        </w:rPr>
        <w:t>)</w:t>
      </w:r>
      <w:r w:rsidRPr="00115AFD">
        <w:rPr>
          <w:rFonts w:ascii="Arial" w:hAnsi="Arial" w:cs="Arial"/>
          <w:sz w:val="22"/>
          <w:szCs w:val="22"/>
          <w:lang w:val="en-GB"/>
        </w:rPr>
        <w:t xml:space="preserve"> nor </w:t>
      </w:r>
      <w:r w:rsidR="00114082" w:rsidRPr="00115AFD">
        <w:rPr>
          <w:rFonts w:ascii="Arial" w:hAnsi="Arial" w:cs="Arial"/>
          <w:sz w:val="22"/>
          <w:szCs w:val="22"/>
          <w:lang w:val="en-GB"/>
        </w:rPr>
        <w:t>(</w:t>
      </w:r>
      <w:r w:rsidRPr="00115AFD">
        <w:rPr>
          <w:rFonts w:ascii="Arial" w:hAnsi="Arial" w:cs="Arial"/>
          <w:sz w:val="22"/>
          <w:szCs w:val="22"/>
          <w:lang w:val="en-GB"/>
        </w:rPr>
        <w:t>b</w:t>
      </w:r>
      <w:r w:rsidR="00114082" w:rsidRPr="00115AFD">
        <w:rPr>
          <w:rFonts w:ascii="Arial" w:hAnsi="Arial" w:cs="Arial"/>
          <w:sz w:val="22"/>
          <w:szCs w:val="22"/>
          <w:lang w:val="en-GB"/>
        </w:rPr>
        <w:t>)</w:t>
      </w:r>
      <w:r w:rsidRPr="00115AFD">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5C5319">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5C5319">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5C5319">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E86838" w:rsidRDefault="00114082" w:rsidP="005C5319">
      <w:pPr>
        <w:pStyle w:val="ListParagraph"/>
        <w:numPr>
          <w:ilvl w:val="0"/>
          <w:numId w:val="10"/>
        </w:numPr>
        <w:spacing w:line="276" w:lineRule="auto"/>
        <w:ind w:left="426"/>
        <w:jc w:val="both"/>
        <w:rPr>
          <w:rFonts w:ascii="Arial" w:hAnsi="Arial" w:cs="Arial"/>
          <w:b/>
          <w:sz w:val="22"/>
          <w:szCs w:val="22"/>
          <w:highlight w:val="yellow"/>
          <w:lang w:val="en-GB"/>
        </w:rPr>
      </w:pPr>
      <w:proofErr w:type="gramStart"/>
      <w:r w:rsidRPr="00E86838">
        <w:rPr>
          <w:rFonts w:ascii="Arial" w:hAnsi="Arial" w:cs="Arial"/>
          <w:sz w:val="22"/>
          <w:szCs w:val="22"/>
          <w:highlight w:val="yellow"/>
          <w:lang w:val="en-GB"/>
        </w:rPr>
        <w:t>All of</w:t>
      </w:r>
      <w:proofErr w:type="gramEnd"/>
      <w:r w:rsidRPr="00E86838">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1C95B193" w14:textId="3A607C14" w:rsidR="001D2E07" w:rsidRPr="00E71E8D" w:rsidRDefault="00F5669E" w:rsidP="00E71E8D">
      <w:pPr>
        <w:ind w:left="360"/>
        <w:jc w:val="both"/>
        <w:rPr>
          <w:rFonts w:ascii="Arial" w:hAnsi="Arial" w:cs="Arial"/>
          <w:color w:val="0070C0"/>
          <w:sz w:val="22"/>
          <w:szCs w:val="22"/>
          <w:lang w:val="en-GB"/>
        </w:rPr>
      </w:pPr>
      <w:r w:rsidRPr="00E71E8D">
        <w:rPr>
          <w:rFonts w:ascii="Arial" w:hAnsi="Arial" w:cs="Arial"/>
          <w:color w:val="0070C0"/>
          <w:sz w:val="22"/>
          <w:szCs w:val="22"/>
          <w:lang w:val="en-GB"/>
        </w:rPr>
        <w:t xml:space="preserve">The concept of COMI (Centre of Main Interest) is fundamental to MLCBI. </w:t>
      </w:r>
      <w:r w:rsidR="006664FA" w:rsidRPr="00E71E8D">
        <w:rPr>
          <w:rFonts w:ascii="Arial" w:hAnsi="Arial" w:cs="Arial"/>
          <w:color w:val="0070C0"/>
          <w:sz w:val="22"/>
          <w:szCs w:val="22"/>
          <w:lang w:val="en-GB"/>
        </w:rPr>
        <w:t xml:space="preserve">COMI is not a defined term under MLCBI. </w:t>
      </w:r>
      <w:r w:rsidR="000C3CA0" w:rsidRPr="00E71E8D">
        <w:rPr>
          <w:rFonts w:ascii="Arial" w:hAnsi="Arial" w:cs="Arial"/>
          <w:color w:val="0070C0"/>
          <w:sz w:val="22"/>
          <w:szCs w:val="22"/>
          <w:lang w:val="en-GB"/>
        </w:rPr>
        <w:t xml:space="preserve">There is a rebuttable presumption that the place of the registered office of the debtor is the place of its COMI.  </w:t>
      </w:r>
    </w:p>
    <w:p w14:paraId="3386EB30" w14:textId="77777777" w:rsidR="006664FA" w:rsidRDefault="006664FA" w:rsidP="00F5669E">
      <w:pPr>
        <w:pStyle w:val="ListParagraph"/>
        <w:ind w:left="360"/>
        <w:jc w:val="both"/>
        <w:rPr>
          <w:rFonts w:ascii="Arial" w:hAnsi="Arial" w:cs="Arial"/>
          <w:color w:val="0070C0"/>
          <w:sz w:val="22"/>
          <w:szCs w:val="22"/>
          <w:lang w:val="en-GB"/>
        </w:rPr>
      </w:pPr>
    </w:p>
    <w:p w14:paraId="4C8C206F" w14:textId="77777777" w:rsidR="006664FA" w:rsidRPr="00F1363D" w:rsidRDefault="006664FA" w:rsidP="00F5669E">
      <w:pPr>
        <w:pStyle w:val="ListParagraph"/>
        <w:ind w:left="360"/>
        <w:jc w:val="both"/>
        <w:rPr>
          <w:rFonts w:ascii="Arial" w:hAnsi="Arial" w:cs="Arial"/>
          <w:b/>
          <w:bCs/>
          <w:color w:val="0070C0"/>
          <w:sz w:val="22"/>
          <w:szCs w:val="22"/>
          <w:lang w:val="en-GB"/>
        </w:rPr>
      </w:pPr>
      <w:r w:rsidRPr="00F1363D">
        <w:rPr>
          <w:rFonts w:ascii="Arial" w:hAnsi="Arial" w:cs="Arial"/>
          <w:b/>
          <w:bCs/>
          <w:color w:val="0070C0"/>
          <w:sz w:val="22"/>
          <w:szCs w:val="22"/>
          <w:lang w:val="en-GB"/>
        </w:rPr>
        <w:t>Appropriate date</w:t>
      </w:r>
    </w:p>
    <w:p w14:paraId="44BE7338" w14:textId="2EB4C212" w:rsidR="00463B24" w:rsidRDefault="00F5669E" w:rsidP="00E71E8D">
      <w:pPr>
        <w:pStyle w:val="ListParagraph"/>
        <w:numPr>
          <w:ilvl w:val="0"/>
          <w:numId w:val="28"/>
        </w:numPr>
        <w:jc w:val="both"/>
        <w:rPr>
          <w:rFonts w:ascii="Arial" w:hAnsi="Arial" w:cs="Arial"/>
          <w:color w:val="0070C0"/>
          <w:sz w:val="22"/>
          <w:szCs w:val="22"/>
          <w:lang w:val="en-GB"/>
        </w:rPr>
      </w:pPr>
      <w:r w:rsidRPr="00F5669E">
        <w:rPr>
          <w:rFonts w:ascii="Arial" w:hAnsi="Arial" w:cs="Arial"/>
          <w:color w:val="0070C0"/>
          <w:sz w:val="22"/>
          <w:szCs w:val="22"/>
          <w:lang w:val="en-GB"/>
        </w:rPr>
        <w:t>The appropriate date for determining</w:t>
      </w:r>
      <w:r w:rsidR="001D2E07">
        <w:rPr>
          <w:rFonts w:ascii="Arial" w:hAnsi="Arial" w:cs="Arial"/>
          <w:color w:val="0070C0"/>
          <w:sz w:val="22"/>
          <w:szCs w:val="22"/>
          <w:lang w:val="en-GB"/>
        </w:rPr>
        <w:t xml:space="preserve"> </w:t>
      </w:r>
      <w:r w:rsidR="00C435CC">
        <w:rPr>
          <w:rFonts w:ascii="Arial" w:hAnsi="Arial" w:cs="Arial"/>
          <w:color w:val="0070C0"/>
          <w:sz w:val="22"/>
          <w:szCs w:val="22"/>
          <w:lang w:val="en-GB"/>
        </w:rPr>
        <w:t>COMI</w:t>
      </w:r>
      <w:r w:rsidR="001D2E07">
        <w:rPr>
          <w:rFonts w:ascii="Arial" w:hAnsi="Arial" w:cs="Arial"/>
          <w:color w:val="0070C0"/>
          <w:sz w:val="22"/>
          <w:szCs w:val="22"/>
          <w:lang w:val="en-GB"/>
        </w:rPr>
        <w:t xml:space="preserve"> is the date of commencement of the foreign proceedin</w:t>
      </w:r>
      <w:r w:rsidR="000C3CA0">
        <w:rPr>
          <w:rFonts w:ascii="Arial" w:hAnsi="Arial" w:cs="Arial"/>
          <w:color w:val="0070C0"/>
          <w:sz w:val="22"/>
          <w:szCs w:val="22"/>
          <w:lang w:val="en-GB"/>
        </w:rPr>
        <w:t xml:space="preserve">g.  </w:t>
      </w:r>
    </w:p>
    <w:p w14:paraId="795D9A07" w14:textId="495AA132" w:rsidR="00463B24" w:rsidRDefault="00115AFD" w:rsidP="00E71E8D">
      <w:pPr>
        <w:pStyle w:val="ListParagraph"/>
        <w:numPr>
          <w:ilvl w:val="0"/>
          <w:numId w:val="28"/>
        </w:numPr>
        <w:jc w:val="both"/>
        <w:rPr>
          <w:rFonts w:ascii="Arial" w:hAnsi="Arial" w:cs="Arial"/>
          <w:color w:val="0070C0"/>
          <w:sz w:val="22"/>
          <w:szCs w:val="22"/>
          <w:lang w:val="en-GB"/>
        </w:rPr>
      </w:pPr>
      <w:r>
        <w:rPr>
          <w:rFonts w:ascii="Arial" w:hAnsi="Arial" w:cs="Arial"/>
          <w:color w:val="0070C0"/>
          <w:sz w:val="22"/>
          <w:szCs w:val="22"/>
          <w:lang w:val="en-GB"/>
        </w:rPr>
        <w:t>If</w:t>
      </w:r>
      <w:r w:rsidR="001D2E07">
        <w:rPr>
          <w:rFonts w:ascii="Arial" w:hAnsi="Arial" w:cs="Arial"/>
          <w:color w:val="0070C0"/>
          <w:sz w:val="22"/>
          <w:szCs w:val="22"/>
          <w:lang w:val="en-GB"/>
        </w:rPr>
        <w:t xml:space="preserve"> a debtor moves its </w:t>
      </w:r>
      <w:r w:rsidR="001C4CC2">
        <w:rPr>
          <w:rFonts w:ascii="Arial" w:hAnsi="Arial" w:cs="Arial"/>
          <w:color w:val="0070C0"/>
          <w:sz w:val="22"/>
          <w:szCs w:val="22"/>
          <w:lang w:val="en-GB"/>
        </w:rPr>
        <w:t>r</w:t>
      </w:r>
      <w:r w:rsidR="00E71E8D">
        <w:rPr>
          <w:rFonts w:ascii="Arial" w:hAnsi="Arial" w:cs="Arial"/>
          <w:color w:val="0070C0"/>
          <w:sz w:val="22"/>
          <w:szCs w:val="22"/>
          <w:lang w:val="en-GB"/>
        </w:rPr>
        <w:t xml:space="preserve">egistered office </w:t>
      </w:r>
      <w:r w:rsidR="001D2E07">
        <w:rPr>
          <w:rFonts w:ascii="Arial" w:hAnsi="Arial" w:cs="Arial"/>
          <w:color w:val="0070C0"/>
          <w:sz w:val="22"/>
          <w:szCs w:val="22"/>
          <w:lang w:val="en-GB"/>
        </w:rPr>
        <w:t xml:space="preserve">at a date that is close to the commencement of the foreign proceeding, it raises an issue as to whether the COMI should be determined </w:t>
      </w:r>
      <w:r w:rsidR="00902BF6">
        <w:rPr>
          <w:rFonts w:ascii="Arial" w:hAnsi="Arial" w:cs="Arial"/>
          <w:color w:val="0070C0"/>
          <w:sz w:val="22"/>
          <w:szCs w:val="22"/>
          <w:lang w:val="en-GB"/>
        </w:rPr>
        <w:t xml:space="preserve">(by reference to the place of the </w:t>
      </w:r>
      <w:r w:rsidR="00615890">
        <w:rPr>
          <w:rFonts w:ascii="Arial" w:hAnsi="Arial" w:cs="Arial"/>
          <w:color w:val="0070C0"/>
          <w:sz w:val="22"/>
          <w:szCs w:val="22"/>
          <w:lang w:val="en-GB"/>
        </w:rPr>
        <w:t xml:space="preserve">“new” </w:t>
      </w:r>
      <w:r w:rsidR="00902BF6">
        <w:rPr>
          <w:rFonts w:ascii="Arial" w:hAnsi="Arial" w:cs="Arial"/>
          <w:color w:val="0070C0"/>
          <w:sz w:val="22"/>
          <w:szCs w:val="22"/>
          <w:lang w:val="en-GB"/>
        </w:rPr>
        <w:t>registered office) at</w:t>
      </w:r>
      <w:r w:rsidR="001D2E07">
        <w:rPr>
          <w:rFonts w:ascii="Arial" w:hAnsi="Arial" w:cs="Arial"/>
          <w:color w:val="0070C0"/>
          <w:sz w:val="22"/>
          <w:szCs w:val="22"/>
          <w:lang w:val="en-GB"/>
        </w:rPr>
        <w:t xml:space="preserve"> the date of the commencement of the foreign proceeding</w:t>
      </w:r>
      <w:r w:rsidR="00C435CC">
        <w:rPr>
          <w:rFonts w:ascii="Arial" w:hAnsi="Arial" w:cs="Arial"/>
          <w:color w:val="0070C0"/>
          <w:sz w:val="22"/>
          <w:szCs w:val="22"/>
          <w:lang w:val="en-GB"/>
        </w:rPr>
        <w:t xml:space="preserve">. </w:t>
      </w:r>
      <w:r w:rsidR="00615890">
        <w:rPr>
          <w:rFonts w:ascii="Arial" w:hAnsi="Arial" w:cs="Arial"/>
          <w:color w:val="0070C0"/>
          <w:sz w:val="22"/>
          <w:szCs w:val="22"/>
          <w:lang w:val="en-GB"/>
        </w:rPr>
        <w:t xml:space="preserve">It may be that the court would deem the “old” registered office as its COMI.  </w:t>
      </w:r>
    </w:p>
    <w:p w14:paraId="205177B7" w14:textId="769AA589" w:rsidR="006664FA" w:rsidRPr="00E71E8D" w:rsidRDefault="00F30762" w:rsidP="00E71E8D">
      <w:pPr>
        <w:pStyle w:val="ListParagraph"/>
        <w:numPr>
          <w:ilvl w:val="0"/>
          <w:numId w:val="28"/>
        </w:numPr>
        <w:jc w:val="both"/>
        <w:rPr>
          <w:rFonts w:ascii="Arial" w:hAnsi="Arial" w:cs="Arial"/>
          <w:color w:val="0070C0"/>
          <w:sz w:val="22"/>
          <w:szCs w:val="22"/>
          <w:lang w:val="en-GB"/>
        </w:rPr>
      </w:pPr>
      <w:r>
        <w:rPr>
          <w:rFonts w:ascii="Arial" w:hAnsi="Arial" w:cs="Arial"/>
          <w:color w:val="0070C0"/>
          <w:sz w:val="22"/>
          <w:szCs w:val="22"/>
          <w:lang w:val="en-GB"/>
        </w:rPr>
        <w:t xml:space="preserve">As an illustration, if the </w:t>
      </w:r>
      <w:r w:rsidR="00E71E8D">
        <w:rPr>
          <w:rFonts w:ascii="Arial" w:hAnsi="Arial" w:cs="Arial"/>
          <w:color w:val="0070C0"/>
          <w:sz w:val="22"/>
          <w:szCs w:val="22"/>
          <w:lang w:val="en-GB"/>
        </w:rPr>
        <w:t>registered office i</w:t>
      </w:r>
      <w:r w:rsidR="00115AFD">
        <w:rPr>
          <w:rFonts w:ascii="Arial" w:hAnsi="Arial" w:cs="Arial"/>
          <w:color w:val="0070C0"/>
          <w:sz w:val="22"/>
          <w:szCs w:val="22"/>
          <w:lang w:val="en-GB"/>
        </w:rPr>
        <w:t>s</w:t>
      </w:r>
      <w:r w:rsidR="00E71E8D">
        <w:rPr>
          <w:rFonts w:ascii="Arial" w:hAnsi="Arial" w:cs="Arial"/>
          <w:color w:val="0070C0"/>
          <w:sz w:val="22"/>
          <w:szCs w:val="22"/>
          <w:lang w:val="en-GB"/>
        </w:rPr>
        <w:t xml:space="preserve"> </w:t>
      </w:r>
      <w:r w:rsidR="00902BF6">
        <w:rPr>
          <w:rFonts w:ascii="Arial" w:hAnsi="Arial" w:cs="Arial"/>
          <w:color w:val="0070C0"/>
          <w:sz w:val="22"/>
          <w:szCs w:val="22"/>
          <w:lang w:val="en-GB"/>
        </w:rPr>
        <w:t xml:space="preserve">moved from </w:t>
      </w:r>
      <w:r w:rsidR="00E71E8D">
        <w:rPr>
          <w:rFonts w:ascii="Arial" w:hAnsi="Arial" w:cs="Arial"/>
          <w:color w:val="0070C0"/>
          <w:sz w:val="22"/>
          <w:szCs w:val="22"/>
          <w:lang w:val="en-GB"/>
        </w:rPr>
        <w:t>State A to State B on “Day 1” and the foreign proceeding is filed on “Day 10”, the court might decide</w:t>
      </w:r>
      <w:r w:rsidR="00902BF6">
        <w:rPr>
          <w:rFonts w:ascii="Arial" w:hAnsi="Arial" w:cs="Arial"/>
          <w:color w:val="0070C0"/>
          <w:sz w:val="22"/>
          <w:szCs w:val="22"/>
          <w:lang w:val="en-GB"/>
        </w:rPr>
        <w:t xml:space="preserve"> that</w:t>
      </w:r>
      <w:r w:rsidR="00E71E8D">
        <w:rPr>
          <w:rFonts w:ascii="Arial" w:hAnsi="Arial" w:cs="Arial"/>
          <w:color w:val="0070C0"/>
          <w:sz w:val="22"/>
          <w:szCs w:val="22"/>
          <w:lang w:val="en-GB"/>
        </w:rPr>
        <w:t xml:space="preserve"> the COMI is State A, instead of State B</w:t>
      </w:r>
      <w:r w:rsidR="00115AFD">
        <w:rPr>
          <w:rFonts w:ascii="Arial" w:hAnsi="Arial" w:cs="Arial"/>
          <w:color w:val="0070C0"/>
          <w:sz w:val="22"/>
          <w:szCs w:val="22"/>
          <w:lang w:val="en-GB"/>
        </w:rPr>
        <w:t xml:space="preserve"> (although at the date of commencement of foreign </w:t>
      </w:r>
      <w:r w:rsidR="00115AFD">
        <w:rPr>
          <w:rFonts w:ascii="Arial" w:hAnsi="Arial" w:cs="Arial"/>
          <w:color w:val="0070C0"/>
          <w:sz w:val="22"/>
          <w:szCs w:val="22"/>
          <w:lang w:val="en-GB"/>
        </w:rPr>
        <w:lastRenderedPageBreak/>
        <w:t>proceeding, the registered office is in State B</w:t>
      </w:r>
      <w:r w:rsidR="00615890">
        <w:rPr>
          <w:rFonts w:ascii="Arial" w:hAnsi="Arial" w:cs="Arial"/>
          <w:color w:val="0070C0"/>
          <w:sz w:val="22"/>
          <w:szCs w:val="22"/>
          <w:lang w:val="en-GB"/>
        </w:rPr>
        <w:t>) as State A “is the location of the debtor’s business that is readily ascertainable by parties who do business with the debtor”.</w:t>
      </w:r>
    </w:p>
    <w:p w14:paraId="338D63C5" w14:textId="77777777" w:rsidR="00463B24" w:rsidRPr="00615890" w:rsidRDefault="00463B24" w:rsidP="00615890">
      <w:pPr>
        <w:jc w:val="both"/>
        <w:rPr>
          <w:rFonts w:ascii="Arial" w:hAnsi="Arial" w:cs="Arial"/>
          <w:color w:val="0070C0"/>
          <w:sz w:val="22"/>
          <w:szCs w:val="22"/>
          <w:lang w:val="en-GB"/>
        </w:rPr>
      </w:pPr>
    </w:p>
    <w:p w14:paraId="7D4CFE98" w14:textId="77777777" w:rsidR="00463B24" w:rsidRDefault="00463B24" w:rsidP="00F5669E">
      <w:pPr>
        <w:pStyle w:val="ListParagraph"/>
        <w:ind w:left="360"/>
        <w:jc w:val="both"/>
        <w:rPr>
          <w:rFonts w:ascii="Arial" w:hAnsi="Arial" w:cs="Arial"/>
          <w:color w:val="0070C0"/>
          <w:sz w:val="22"/>
          <w:szCs w:val="22"/>
          <w:lang w:val="en-GB"/>
        </w:rPr>
      </w:pPr>
    </w:p>
    <w:p w14:paraId="3FCAC5A7" w14:textId="52395A60" w:rsidR="006664FA" w:rsidRPr="00F1363D" w:rsidRDefault="002B3F75" w:rsidP="00F5669E">
      <w:pPr>
        <w:pStyle w:val="ListParagraph"/>
        <w:ind w:left="360"/>
        <w:jc w:val="both"/>
        <w:rPr>
          <w:rFonts w:ascii="Arial" w:hAnsi="Arial" w:cs="Arial"/>
          <w:b/>
          <w:bCs/>
          <w:color w:val="0070C0"/>
          <w:sz w:val="22"/>
          <w:szCs w:val="22"/>
          <w:lang w:val="en-GB"/>
        </w:rPr>
      </w:pPr>
      <w:r w:rsidRPr="00F1363D">
        <w:rPr>
          <w:rFonts w:ascii="Arial" w:hAnsi="Arial" w:cs="Arial"/>
          <w:b/>
          <w:bCs/>
          <w:color w:val="0070C0"/>
          <w:sz w:val="22"/>
          <w:szCs w:val="22"/>
          <w:lang w:val="en-GB"/>
        </w:rPr>
        <w:t>Whether an establishment exist</w:t>
      </w:r>
    </w:p>
    <w:p w14:paraId="023A9C3E" w14:textId="7D9B2250" w:rsidR="00244BB2" w:rsidRDefault="00244BB2" w:rsidP="005C5319">
      <w:pPr>
        <w:pStyle w:val="ListParagraph"/>
        <w:numPr>
          <w:ilvl w:val="0"/>
          <w:numId w:val="15"/>
        </w:numPr>
        <w:jc w:val="both"/>
        <w:rPr>
          <w:rFonts w:ascii="Arial" w:hAnsi="Arial" w:cs="Arial"/>
          <w:color w:val="0070C0"/>
          <w:sz w:val="22"/>
          <w:szCs w:val="22"/>
          <w:lang w:val="en-GB"/>
        </w:rPr>
      </w:pPr>
      <w:r>
        <w:rPr>
          <w:rFonts w:ascii="Arial" w:hAnsi="Arial" w:cs="Arial"/>
          <w:color w:val="0070C0"/>
          <w:sz w:val="22"/>
          <w:szCs w:val="22"/>
          <w:lang w:val="en-GB"/>
        </w:rPr>
        <w:t xml:space="preserve">An “establishment” is defined in the Model Law as “any place of operations where the debtor carries out a non-transitory economic activity with human means and goods or services”.  </w:t>
      </w:r>
    </w:p>
    <w:p w14:paraId="789978EA" w14:textId="77777777" w:rsidR="00F1363D" w:rsidRDefault="006664FA" w:rsidP="004F425B">
      <w:pPr>
        <w:pStyle w:val="ListParagraph"/>
        <w:numPr>
          <w:ilvl w:val="0"/>
          <w:numId w:val="15"/>
        </w:numPr>
        <w:jc w:val="both"/>
        <w:rPr>
          <w:rFonts w:ascii="Arial" w:hAnsi="Arial" w:cs="Arial"/>
          <w:color w:val="0070C0"/>
          <w:sz w:val="22"/>
          <w:szCs w:val="22"/>
          <w:lang w:val="en-GB"/>
        </w:rPr>
      </w:pPr>
      <w:r>
        <w:rPr>
          <w:rFonts w:ascii="Arial" w:hAnsi="Arial" w:cs="Arial"/>
          <w:color w:val="0070C0"/>
          <w:sz w:val="22"/>
          <w:szCs w:val="22"/>
          <w:lang w:val="en-GB"/>
        </w:rPr>
        <w:t xml:space="preserve">Whether an establishment exist in a particular jurisdiction depends on </w:t>
      </w:r>
      <w:r w:rsidR="001A309D">
        <w:rPr>
          <w:rFonts w:ascii="Arial" w:hAnsi="Arial" w:cs="Arial"/>
          <w:color w:val="0070C0"/>
          <w:sz w:val="22"/>
          <w:szCs w:val="22"/>
          <w:lang w:val="en-GB"/>
        </w:rPr>
        <w:t xml:space="preserve">(a) the location of the central administration of the debtor’s business and (b) the location of the debtor’s business that is readily ascertainable by parties who do business with the debtor. </w:t>
      </w:r>
    </w:p>
    <w:p w14:paraId="7D9BCCD2" w14:textId="5F45173D" w:rsidR="001A309D" w:rsidRPr="004F425B" w:rsidRDefault="001A309D" w:rsidP="004F425B">
      <w:pPr>
        <w:pStyle w:val="ListParagraph"/>
        <w:numPr>
          <w:ilvl w:val="0"/>
          <w:numId w:val="15"/>
        </w:numPr>
        <w:jc w:val="both"/>
        <w:rPr>
          <w:rFonts w:ascii="Arial" w:hAnsi="Arial" w:cs="Arial"/>
          <w:color w:val="0070C0"/>
          <w:sz w:val="22"/>
          <w:szCs w:val="22"/>
          <w:lang w:val="en-GB"/>
        </w:rPr>
      </w:pPr>
      <w:r w:rsidRPr="004F425B">
        <w:rPr>
          <w:rFonts w:ascii="Arial" w:hAnsi="Arial" w:cs="Arial"/>
          <w:color w:val="0070C0"/>
          <w:sz w:val="22"/>
          <w:szCs w:val="22"/>
          <w:lang w:val="en-GB"/>
        </w:rPr>
        <w:t xml:space="preserve">Factors to </w:t>
      </w:r>
      <w:r w:rsidR="00244BB2" w:rsidRPr="004F425B">
        <w:rPr>
          <w:rFonts w:ascii="Arial" w:hAnsi="Arial" w:cs="Arial"/>
          <w:color w:val="0070C0"/>
          <w:sz w:val="22"/>
          <w:szCs w:val="22"/>
          <w:lang w:val="en-GB"/>
        </w:rPr>
        <w:t>consider in determining the place of establishment include -</w:t>
      </w:r>
      <w:r w:rsidR="002B3F75" w:rsidRPr="004F425B">
        <w:rPr>
          <w:rFonts w:ascii="Arial" w:hAnsi="Arial" w:cs="Arial"/>
          <w:color w:val="0070C0"/>
          <w:sz w:val="22"/>
          <w:szCs w:val="22"/>
          <w:lang w:val="en-GB"/>
        </w:rPr>
        <w:t xml:space="preserve"> (</w:t>
      </w:r>
      <w:proofErr w:type="spellStart"/>
      <w:r w:rsidR="004F425B">
        <w:rPr>
          <w:rFonts w:ascii="Arial" w:hAnsi="Arial" w:cs="Arial"/>
          <w:color w:val="0070C0"/>
          <w:sz w:val="22"/>
          <w:szCs w:val="22"/>
          <w:lang w:val="en-GB"/>
        </w:rPr>
        <w:t>i</w:t>
      </w:r>
      <w:proofErr w:type="spellEnd"/>
      <w:r w:rsidR="002B3F75" w:rsidRPr="004F425B">
        <w:rPr>
          <w:rFonts w:ascii="Arial" w:hAnsi="Arial" w:cs="Arial"/>
          <w:color w:val="0070C0"/>
          <w:sz w:val="22"/>
          <w:szCs w:val="22"/>
          <w:lang w:val="en-GB"/>
        </w:rPr>
        <w:t>) the location of the debtor’s books and records (</w:t>
      </w:r>
      <w:r w:rsidR="004F425B">
        <w:rPr>
          <w:rFonts w:ascii="Arial" w:hAnsi="Arial" w:cs="Arial"/>
          <w:color w:val="0070C0"/>
          <w:sz w:val="22"/>
          <w:szCs w:val="22"/>
          <w:lang w:val="en-GB"/>
        </w:rPr>
        <w:t>ii</w:t>
      </w:r>
      <w:r w:rsidR="002B3F75" w:rsidRPr="004F425B">
        <w:rPr>
          <w:rFonts w:ascii="Arial" w:hAnsi="Arial" w:cs="Arial"/>
          <w:color w:val="0070C0"/>
          <w:sz w:val="22"/>
          <w:szCs w:val="22"/>
          <w:lang w:val="en-GB"/>
        </w:rPr>
        <w:t>) the location key assets or business operations (</w:t>
      </w:r>
      <w:r w:rsidR="004F425B">
        <w:rPr>
          <w:rFonts w:ascii="Arial" w:hAnsi="Arial" w:cs="Arial"/>
          <w:color w:val="0070C0"/>
          <w:sz w:val="22"/>
          <w:szCs w:val="22"/>
          <w:lang w:val="en-GB"/>
        </w:rPr>
        <w:t>iii</w:t>
      </w:r>
      <w:r w:rsidR="002B3F75" w:rsidRPr="004F425B">
        <w:rPr>
          <w:rFonts w:ascii="Arial" w:hAnsi="Arial" w:cs="Arial"/>
          <w:color w:val="0070C0"/>
          <w:sz w:val="22"/>
          <w:szCs w:val="22"/>
          <w:lang w:val="en-GB"/>
        </w:rPr>
        <w:t>) location of employees and key personnel</w:t>
      </w:r>
      <w:r w:rsidR="00463B24" w:rsidRPr="004F425B">
        <w:rPr>
          <w:rFonts w:ascii="Arial" w:hAnsi="Arial" w:cs="Arial"/>
          <w:color w:val="0070C0"/>
          <w:sz w:val="22"/>
          <w:szCs w:val="22"/>
          <w:lang w:val="en-GB"/>
        </w:rPr>
        <w:t xml:space="preserve">, among others.  </w:t>
      </w:r>
      <w:r w:rsidR="002B3F75" w:rsidRPr="004F425B">
        <w:rPr>
          <w:rFonts w:ascii="Arial" w:hAnsi="Arial" w:cs="Arial"/>
          <w:color w:val="0070C0"/>
          <w:sz w:val="22"/>
          <w:szCs w:val="22"/>
          <w:lang w:val="en-GB"/>
        </w:rPr>
        <w:t xml:space="preserve">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46C40F39" w:rsidR="009B07AD" w:rsidRPr="00F1363D" w:rsidRDefault="00987017" w:rsidP="00707FC8">
      <w:pPr>
        <w:ind w:left="720" w:hanging="720"/>
        <w:jc w:val="both"/>
        <w:rPr>
          <w:rFonts w:ascii="Arial" w:hAnsi="Arial" w:cs="Arial"/>
          <w:b/>
          <w:bCs/>
          <w:color w:val="0070C0"/>
          <w:sz w:val="22"/>
          <w:szCs w:val="22"/>
          <w:lang w:val="en-GB"/>
        </w:rPr>
      </w:pPr>
      <w:r w:rsidRPr="00F1363D">
        <w:rPr>
          <w:rFonts w:ascii="Arial" w:hAnsi="Arial" w:cs="Arial"/>
          <w:b/>
          <w:bCs/>
          <w:color w:val="0070C0"/>
          <w:sz w:val="22"/>
          <w:szCs w:val="22"/>
          <w:lang w:val="en-GB"/>
        </w:rPr>
        <w:t>Statement 1</w:t>
      </w:r>
    </w:p>
    <w:p w14:paraId="440A633F" w14:textId="77777777" w:rsidR="00BE0105" w:rsidRDefault="00BE0105" w:rsidP="005C5319">
      <w:pPr>
        <w:pStyle w:val="ListParagraph"/>
        <w:numPr>
          <w:ilvl w:val="0"/>
          <w:numId w:val="17"/>
        </w:numPr>
        <w:jc w:val="both"/>
        <w:rPr>
          <w:rFonts w:ascii="Arial" w:hAnsi="Arial" w:cs="Arial"/>
          <w:color w:val="0070C0"/>
          <w:sz w:val="22"/>
          <w:szCs w:val="22"/>
          <w:lang w:val="en-GB"/>
        </w:rPr>
      </w:pPr>
      <w:r>
        <w:rPr>
          <w:rFonts w:ascii="Arial" w:hAnsi="Arial" w:cs="Arial"/>
          <w:color w:val="0070C0"/>
          <w:sz w:val="22"/>
          <w:szCs w:val="22"/>
          <w:lang w:val="en-GB"/>
        </w:rPr>
        <w:t>I</w:t>
      </w:r>
      <w:r w:rsidR="00987017" w:rsidRPr="00E23A84">
        <w:rPr>
          <w:rFonts w:ascii="Arial" w:hAnsi="Arial" w:cs="Arial"/>
          <w:color w:val="0070C0"/>
          <w:sz w:val="22"/>
          <w:szCs w:val="22"/>
          <w:lang w:val="en-GB"/>
        </w:rPr>
        <w:t xml:space="preserve">n the event of two concurrent foreign non-main proceedings, </w:t>
      </w:r>
      <w:r w:rsidR="007104E9">
        <w:rPr>
          <w:rFonts w:ascii="Arial" w:hAnsi="Arial" w:cs="Arial"/>
          <w:color w:val="0070C0"/>
          <w:sz w:val="22"/>
          <w:szCs w:val="22"/>
          <w:lang w:val="en-GB"/>
        </w:rPr>
        <w:t>a prior proceeding is not to be treated preferentially over a later proceeding</w:t>
      </w:r>
      <w:r>
        <w:rPr>
          <w:rFonts w:ascii="Arial" w:hAnsi="Arial" w:cs="Arial"/>
          <w:color w:val="0070C0"/>
          <w:sz w:val="22"/>
          <w:szCs w:val="22"/>
          <w:lang w:val="en-GB"/>
        </w:rPr>
        <w:t xml:space="preserve">. </w:t>
      </w:r>
    </w:p>
    <w:p w14:paraId="4984A712" w14:textId="18A47B0C" w:rsidR="007104E9" w:rsidRDefault="00BE0105" w:rsidP="005C5319">
      <w:pPr>
        <w:pStyle w:val="ListParagraph"/>
        <w:numPr>
          <w:ilvl w:val="0"/>
          <w:numId w:val="17"/>
        </w:numPr>
        <w:jc w:val="both"/>
        <w:rPr>
          <w:rFonts w:ascii="Arial" w:hAnsi="Arial" w:cs="Arial"/>
          <w:color w:val="0070C0"/>
          <w:sz w:val="22"/>
          <w:szCs w:val="22"/>
          <w:lang w:val="en-GB"/>
        </w:rPr>
      </w:pPr>
      <w:r>
        <w:rPr>
          <w:rFonts w:ascii="Arial" w:hAnsi="Arial" w:cs="Arial"/>
          <w:color w:val="0070C0"/>
          <w:sz w:val="22"/>
          <w:szCs w:val="22"/>
          <w:lang w:val="en-GB"/>
        </w:rPr>
        <w:t>The court must grant, modify, or terminate relief for the purpose of facilitating coordination of the</w:t>
      </w:r>
      <w:r w:rsidR="00F1363D">
        <w:rPr>
          <w:rFonts w:ascii="Arial" w:hAnsi="Arial" w:cs="Arial"/>
          <w:color w:val="0070C0"/>
          <w:sz w:val="22"/>
          <w:szCs w:val="22"/>
          <w:lang w:val="en-GB"/>
        </w:rPr>
        <w:t xml:space="preserve">se </w:t>
      </w:r>
      <w:r>
        <w:rPr>
          <w:rFonts w:ascii="Arial" w:hAnsi="Arial" w:cs="Arial"/>
          <w:color w:val="0070C0"/>
          <w:sz w:val="22"/>
          <w:szCs w:val="22"/>
          <w:lang w:val="en-GB"/>
        </w:rPr>
        <w:t>proceedings</w:t>
      </w:r>
      <w:r w:rsidR="00025076">
        <w:rPr>
          <w:rFonts w:ascii="Arial" w:hAnsi="Arial" w:cs="Arial"/>
          <w:color w:val="0070C0"/>
          <w:sz w:val="22"/>
          <w:szCs w:val="22"/>
          <w:lang w:val="en-GB"/>
        </w:rPr>
        <w:t xml:space="preserve">: Article 30(c).  </w:t>
      </w:r>
    </w:p>
    <w:p w14:paraId="6A88CB55" w14:textId="010A4133" w:rsidR="00987017" w:rsidRDefault="00987017" w:rsidP="007104E9">
      <w:pPr>
        <w:pStyle w:val="ListParagraph"/>
        <w:ind w:left="360"/>
        <w:jc w:val="both"/>
        <w:rPr>
          <w:rFonts w:ascii="Arial" w:hAnsi="Arial" w:cs="Arial"/>
          <w:color w:val="0070C0"/>
          <w:sz w:val="22"/>
          <w:szCs w:val="22"/>
          <w:lang w:val="en-GB"/>
        </w:rPr>
      </w:pPr>
      <w:r w:rsidRPr="00E23A84">
        <w:rPr>
          <w:rFonts w:ascii="Arial" w:hAnsi="Arial" w:cs="Arial"/>
          <w:color w:val="0070C0"/>
          <w:sz w:val="22"/>
          <w:szCs w:val="22"/>
          <w:lang w:val="en-GB"/>
        </w:rPr>
        <w:t xml:space="preserve">  </w:t>
      </w:r>
    </w:p>
    <w:p w14:paraId="152F45B4" w14:textId="18B9C037" w:rsidR="00E23A84" w:rsidRDefault="00E23A84" w:rsidP="00E23A84">
      <w:pPr>
        <w:jc w:val="both"/>
        <w:rPr>
          <w:rFonts w:ascii="Arial" w:hAnsi="Arial" w:cs="Arial"/>
          <w:color w:val="0070C0"/>
          <w:sz w:val="22"/>
          <w:szCs w:val="22"/>
          <w:lang w:val="en-GB"/>
        </w:rPr>
      </w:pPr>
    </w:p>
    <w:p w14:paraId="290FCA8F" w14:textId="4E8D6552" w:rsidR="00E23A84" w:rsidRPr="00F1363D" w:rsidRDefault="00E23A84" w:rsidP="00E23A84">
      <w:pPr>
        <w:jc w:val="both"/>
        <w:rPr>
          <w:rFonts w:ascii="Arial" w:hAnsi="Arial" w:cs="Arial"/>
          <w:b/>
          <w:bCs/>
          <w:color w:val="0070C0"/>
          <w:sz w:val="22"/>
          <w:szCs w:val="22"/>
          <w:lang w:val="en-GB"/>
        </w:rPr>
      </w:pPr>
      <w:r w:rsidRPr="00F1363D">
        <w:rPr>
          <w:rFonts w:ascii="Arial" w:hAnsi="Arial" w:cs="Arial"/>
          <w:b/>
          <w:bCs/>
          <w:color w:val="0070C0"/>
          <w:sz w:val="22"/>
          <w:szCs w:val="22"/>
          <w:lang w:val="en-GB"/>
        </w:rPr>
        <w:t>Statement 2</w:t>
      </w:r>
    </w:p>
    <w:p w14:paraId="7A83D6E9" w14:textId="4473FD36" w:rsidR="00A709E9" w:rsidRDefault="00DF27A5" w:rsidP="005C5319">
      <w:pPr>
        <w:pStyle w:val="ListParagraph"/>
        <w:numPr>
          <w:ilvl w:val="0"/>
          <w:numId w:val="17"/>
        </w:numPr>
        <w:jc w:val="both"/>
        <w:rPr>
          <w:rFonts w:ascii="Arial" w:hAnsi="Arial" w:cs="Arial"/>
          <w:color w:val="0070C0"/>
          <w:sz w:val="22"/>
          <w:szCs w:val="22"/>
          <w:lang w:val="en-GB"/>
        </w:rPr>
      </w:pPr>
      <w:r>
        <w:rPr>
          <w:rFonts w:ascii="Arial" w:hAnsi="Arial" w:cs="Arial"/>
          <w:color w:val="0070C0"/>
          <w:sz w:val="22"/>
          <w:szCs w:val="22"/>
          <w:lang w:val="en-GB"/>
        </w:rPr>
        <w:t xml:space="preserve">Article 32 (hotchpot rule) </w:t>
      </w:r>
      <w:r w:rsidR="00A709E9">
        <w:rPr>
          <w:rFonts w:ascii="Arial" w:hAnsi="Arial" w:cs="Arial"/>
          <w:color w:val="0070C0"/>
          <w:sz w:val="22"/>
          <w:szCs w:val="22"/>
          <w:lang w:val="en-GB"/>
        </w:rPr>
        <w:t xml:space="preserve">provides that “without prejudice to secured claims or rights in rem, a creditor who has received part payment in respect of </w:t>
      </w:r>
      <w:r w:rsidR="00184A1F">
        <w:rPr>
          <w:rFonts w:ascii="Arial" w:hAnsi="Arial" w:cs="Arial"/>
          <w:color w:val="0070C0"/>
          <w:sz w:val="22"/>
          <w:szCs w:val="22"/>
          <w:lang w:val="en-GB"/>
        </w:rPr>
        <w:t>its</w:t>
      </w:r>
      <w:r w:rsidR="00A709E9">
        <w:rPr>
          <w:rFonts w:ascii="Arial" w:hAnsi="Arial" w:cs="Arial"/>
          <w:color w:val="0070C0"/>
          <w:sz w:val="22"/>
          <w:szCs w:val="22"/>
          <w:lang w:val="en-GB"/>
        </w:rPr>
        <w:t xml:space="preserve"> claim in a proceeding pursuant to a law relating to insolvency in a foreign State, may not receive a payment for the same claim in a </w:t>
      </w:r>
      <w:r w:rsidR="00184A1F">
        <w:rPr>
          <w:rFonts w:ascii="Arial" w:hAnsi="Arial" w:cs="Arial"/>
          <w:color w:val="0070C0"/>
          <w:sz w:val="22"/>
          <w:szCs w:val="22"/>
          <w:lang w:val="en-GB"/>
        </w:rPr>
        <w:t>[</w:t>
      </w:r>
      <w:r w:rsidR="00A709E9">
        <w:rPr>
          <w:rFonts w:ascii="Arial" w:hAnsi="Arial" w:cs="Arial"/>
          <w:color w:val="0070C0"/>
          <w:sz w:val="22"/>
          <w:szCs w:val="22"/>
          <w:lang w:val="en-GB"/>
        </w:rPr>
        <w:t>domestic proceeding in the enacting Stat</w:t>
      </w:r>
      <w:r w:rsidR="00184A1F">
        <w:rPr>
          <w:rFonts w:ascii="Arial" w:hAnsi="Arial" w:cs="Arial"/>
          <w:color w:val="0070C0"/>
          <w:sz w:val="22"/>
          <w:szCs w:val="22"/>
          <w:lang w:val="en-GB"/>
        </w:rPr>
        <w:t>e] regarding the same debtor …</w:t>
      </w:r>
      <w:r w:rsidR="00A709E9">
        <w:rPr>
          <w:rFonts w:ascii="Arial" w:hAnsi="Arial" w:cs="Arial"/>
          <w:color w:val="0070C0"/>
          <w:sz w:val="22"/>
          <w:szCs w:val="22"/>
          <w:lang w:val="en-GB"/>
        </w:rPr>
        <w:t>”</w:t>
      </w:r>
    </w:p>
    <w:p w14:paraId="7BC674E8" w14:textId="3D559DAF" w:rsidR="00184A1F" w:rsidRPr="00615890" w:rsidRDefault="00A709E9" w:rsidP="00615890">
      <w:pPr>
        <w:pStyle w:val="ListParagraph"/>
        <w:numPr>
          <w:ilvl w:val="0"/>
          <w:numId w:val="17"/>
        </w:numPr>
        <w:jc w:val="both"/>
        <w:rPr>
          <w:rFonts w:ascii="Arial" w:hAnsi="Arial" w:cs="Arial"/>
          <w:color w:val="0070C0"/>
          <w:sz w:val="22"/>
          <w:szCs w:val="22"/>
          <w:lang w:val="en-GB"/>
        </w:rPr>
      </w:pPr>
      <w:r>
        <w:rPr>
          <w:rFonts w:ascii="Arial" w:hAnsi="Arial" w:cs="Arial"/>
          <w:color w:val="0070C0"/>
          <w:sz w:val="22"/>
          <w:szCs w:val="22"/>
          <w:lang w:val="en-GB"/>
        </w:rPr>
        <w:t xml:space="preserve">Effectively, any amount already received by a creditor is to be accounted for when determining the final amount to be paid to the creditor. </w:t>
      </w:r>
      <w:r w:rsidR="00581D97" w:rsidRPr="00615890">
        <w:rPr>
          <w:rFonts w:ascii="Arial" w:hAnsi="Arial" w:cs="Arial"/>
          <w:color w:val="0070C0"/>
          <w:sz w:val="22"/>
          <w:szCs w:val="22"/>
          <w:lang w:val="en-GB"/>
        </w:rPr>
        <w:t xml:space="preserve">This avoids a situation where a creditor might obtain a more favourable treatment by obtaining payment in a different jurisdiction.   </w:t>
      </w:r>
      <w:r w:rsidR="00771289" w:rsidRPr="00615890">
        <w:rPr>
          <w:rFonts w:ascii="Arial" w:hAnsi="Arial" w:cs="Arial"/>
          <w:color w:val="0070C0"/>
          <w:sz w:val="22"/>
          <w:szCs w:val="22"/>
          <w:lang w:val="en-GB"/>
        </w:rPr>
        <w:t xml:space="preserve">  </w:t>
      </w:r>
    </w:p>
    <w:p w14:paraId="2174D41B" w14:textId="05F017C7" w:rsidR="00E23A84" w:rsidRPr="00E23A84" w:rsidRDefault="00A709E9" w:rsidP="005C5319">
      <w:pPr>
        <w:pStyle w:val="ListParagraph"/>
        <w:numPr>
          <w:ilvl w:val="0"/>
          <w:numId w:val="17"/>
        </w:numPr>
        <w:jc w:val="both"/>
        <w:rPr>
          <w:rFonts w:ascii="Arial" w:hAnsi="Arial" w:cs="Arial"/>
          <w:color w:val="0070C0"/>
          <w:sz w:val="22"/>
          <w:szCs w:val="22"/>
          <w:lang w:val="en-GB"/>
        </w:rPr>
      </w:pPr>
      <w:r>
        <w:rPr>
          <w:rFonts w:ascii="Arial" w:hAnsi="Arial" w:cs="Arial"/>
          <w:color w:val="0070C0"/>
          <w:sz w:val="22"/>
          <w:szCs w:val="22"/>
          <w:lang w:val="en-GB"/>
        </w:rPr>
        <w:t xml:space="preserve">However, the rule does not apply where it involves secured claims.   </w:t>
      </w:r>
    </w:p>
    <w:p w14:paraId="039E27B5" w14:textId="43F06D19" w:rsidR="00C82D87" w:rsidRPr="009B5832" w:rsidRDefault="00C82D87" w:rsidP="00707FC8">
      <w:pPr>
        <w:ind w:left="720" w:hanging="720"/>
        <w:jc w:val="both"/>
        <w:rPr>
          <w:rFonts w:ascii="Arial" w:hAnsi="Arial" w:cs="Arial"/>
          <w:sz w:val="22"/>
          <w:szCs w:val="22"/>
          <w:lang w:val="en-GB"/>
        </w:rPr>
      </w:pPr>
    </w:p>
    <w:p w14:paraId="751CA620" w14:textId="5576278B" w:rsidR="007652C8" w:rsidRPr="00F1363D" w:rsidRDefault="007652C8" w:rsidP="007652C8">
      <w:pPr>
        <w:jc w:val="both"/>
        <w:rPr>
          <w:rFonts w:ascii="Arial" w:hAnsi="Arial" w:cs="Arial"/>
          <w:b/>
          <w:bCs/>
          <w:color w:val="0070C0"/>
          <w:sz w:val="22"/>
          <w:szCs w:val="22"/>
          <w:lang w:val="en-GB"/>
        </w:rPr>
      </w:pPr>
      <w:r w:rsidRPr="00F1363D">
        <w:rPr>
          <w:rFonts w:ascii="Arial" w:hAnsi="Arial" w:cs="Arial"/>
          <w:b/>
          <w:bCs/>
          <w:color w:val="0070C0"/>
          <w:sz w:val="22"/>
          <w:szCs w:val="22"/>
          <w:lang w:val="en-GB"/>
        </w:rPr>
        <w:t>Statement 3</w:t>
      </w:r>
    </w:p>
    <w:p w14:paraId="4E4B540D" w14:textId="77777777" w:rsidR="00581D97" w:rsidRDefault="00581D97" w:rsidP="00581D97">
      <w:pPr>
        <w:pStyle w:val="ListParagraph"/>
        <w:numPr>
          <w:ilvl w:val="0"/>
          <w:numId w:val="17"/>
        </w:numPr>
        <w:jc w:val="both"/>
        <w:rPr>
          <w:rFonts w:ascii="Arial" w:hAnsi="Arial" w:cs="Arial"/>
          <w:color w:val="0070C0"/>
          <w:sz w:val="22"/>
          <w:szCs w:val="22"/>
          <w:lang w:val="en-GB"/>
        </w:rPr>
      </w:pPr>
      <w:r>
        <w:rPr>
          <w:rFonts w:ascii="Arial" w:hAnsi="Arial" w:cs="Arial"/>
          <w:color w:val="0070C0"/>
          <w:sz w:val="22"/>
          <w:szCs w:val="22"/>
          <w:lang w:val="en-GB"/>
        </w:rPr>
        <w:t>COMI is not defined under MLCBI.</w:t>
      </w:r>
    </w:p>
    <w:p w14:paraId="24D494A8" w14:textId="7FD8C5B7" w:rsidR="00E111F0" w:rsidRPr="00581D97" w:rsidRDefault="00E111F0" w:rsidP="00581D97">
      <w:pPr>
        <w:pStyle w:val="ListParagraph"/>
        <w:numPr>
          <w:ilvl w:val="0"/>
          <w:numId w:val="17"/>
        </w:numPr>
        <w:jc w:val="both"/>
        <w:rPr>
          <w:rFonts w:ascii="Arial" w:hAnsi="Arial" w:cs="Arial"/>
          <w:color w:val="0070C0"/>
          <w:sz w:val="22"/>
          <w:szCs w:val="22"/>
          <w:lang w:val="en-GB"/>
        </w:rPr>
      </w:pPr>
      <w:r>
        <w:rPr>
          <w:rFonts w:ascii="Arial" w:hAnsi="Arial" w:cs="Arial"/>
          <w:color w:val="0070C0"/>
          <w:sz w:val="22"/>
          <w:szCs w:val="22"/>
          <w:lang w:val="en-GB"/>
        </w:rPr>
        <w:t xml:space="preserve">Article 16 – </w:t>
      </w:r>
      <w:r w:rsidR="00184A1F">
        <w:rPr>
          <w:rFonts w:ascii="Arial" w:hAnsi="Arial" w:cs="Arial"/>
          <w:color w:val="0070C0"/>
          <w:sz w:val="22"/>
          <w:szCs w:val="22"/>
          <w:lang w:val="en-GB"/>
        </w:rPr>
        <w:t xml:space="preserve">This article provides that in the absence of proof to the contrary, the debtor’s registered office is presumed to be its COMI. </w:t>
      </w:r>
    </w:p>
    <w:p w14:paraId="194B3399" w14:textId="77777777" w:rsidR="00184A1F" w:rsidRDefault="0051164C" w:rsidP="005C5319">
      <w:pPr>
        <w:pStyle w:val="ListParagraph"/>
        <w:numPr>
          <w:ilvl w:val="0"/>
          <w:numId w:val="17"/>
        </w:numPr>
        <w:jc w:val="both"/>
        <w:rPr>
          <w:rFonts w:ascii="Arial" w:hAnsi="Arial" w:cs="Arial"/>
          <w:color w:val="0070C0"/>
          <w:sz w:val="22"/>
          <w:szCs w:val="22"/>
          <w:lang w:val="en-GB"/>
        </w:rPr>
      </w:pPr>
      <w:r>
        <w:rPr>
          <w:rFonts w:ascii="Arial" w:hAnsi="Arial" w:cs="Arial"/>
          <w:color w:val="0070C0"/>
          <w:sz w:val="22"/>
          <w:szCs w:val="22"/>
          <w:lang w:val="en-GB"/>
        </w:rPr>
        <w:lastRenderedPageBreak/>
        <w:t xml:space="preserve">While the debtor’s registered office is presumed to be its COMI, it is not </w:t>
      </w:r>
      <w:r w:rsidR="00E111F0">
        <w:rPr>
          <w:rFonts w:ascii="Arial" w:hAnsi="Arial" w:cs="Arial"/>
          <w:color w:val="0070C0"/>
          <w:sz w:val="22"/>
          <w:szCs w:val="22"/>
          <w:lang w:val="en-GB"/>
        </w:rPr>
        <w:t xml:space="preserve">conclusive </w:t>
      </w:r>
      <w:r>
        <w:rPr>
          <w:rFonts w:ascii="Arial" w:hAnsi="Arial" w:cs="Arial"/>
          <w:color w:val="0070C0"/>
          <w:sz w:val="22"/>
          <w:szCs w:val="22"/>
          <w:lang w:val="en-GB"/>
        </w:rPr>
        <w:t xml:space="preserve">(it </w:t>
      </w:r>
      <w:r w:rsidR="00184A1F">
        <w:rPr>
          <w:rFonts w:ascii="Arial" w:hAnsi="Arial" w:cs="Arial"/>
          <w:color w:val="0070C0"/>
          <w:sz w:val="22"/>
          <w:szCs w:val="22"/>
          <w:lang w:val="en-GB"/>
        </w:rPr>
        <w:t>may</w:t>
      </w:r>
      <w:r>
        <w:rPr>
          <w:rFonts w:ascii="Arial" w:hAnsi="Arial" w:cs="Arial"/>
          <w:color w:val="0070C0"/>
          <w:sz w:val="22"/>
          <w:szCs w:val="22"/>
          <w:lang w:val="en-GB"/>
        </w:rPr>
        <w:t xml:space="preserve"> be rebutted) </w:t>
      </w:r>
      <w:r w:rsidR="00E111F0">
        <w:rPr>
          <w:rFonts w:ascii="Arial" w:hAnsi="Arial" w:cs="Arial"/>
          <w:color w:val="0070C0"/>
          <w:sz w:val="22"/>
          <w:szCs w:val="22"/>
          <w:lang w:val="en-GB"/>
        </w:rPr>
        <w:t xml:space="preserve">for the purpose of determining its COMI.  </w:t>
      </w:r>
    </w:p>
    <w:p w14:paraId="05A9F02F" w14:textId="734E19A8" w:rsidR="007652C8" w:rsidRPr="00F1363D" w:rsidRDefault="0051164C" w:rsidP="00F1363D">
      <w:pPr>
        <w:pStyle w:val="ListParagraph"/>
        <w:numPr>
          <w:ilvl w:val="0"/>
          <w:numId w:val="17"/>
        </w:numPr>
        <w:jc w:val="both"/>
        <w:rPr>
          <w:rFonts w:ascii="Arial" w:hAnsi="Arial" w:cs="Arial"/>
          <w:color w:val="0070C0"/>
          <w:sz w:val="22"/>
          <w:szCs w:val="22"/>
          <w:lang w:val="en-GB"/>
        </w:rPr>
      </w:pPr>
      <w:r>
        <w:rPr>
          <w:rFonts w:ascii="Arial" w:hAnsi="Arial" w:cs="Arial"/>
          <w:color w:val="0070C0"/>
          <w:sz w:val="22"/>
          <w:szCs w:val="22"/>
          <w:lang w:val="en-GB"/>
        </w:rPr>
        <w:t xml:space="preserve">Evidence may be adduced to proof to the contrary that the registered office </w:t>
      </w:r>
      <w:r w:rsidR="00581D97">
        <w:rPr>
          <w:rFonts w:ascii="Arial" w:hAnsi="Arial" w:cs="Arial"/>
          <w:color w:val="0070C0"/>
          <w:sz w:val="22"/>
          <w:szCs w:val="22"/>
          <w:lang w:val="en-GB"/>
        </w:rPr>
        <w:t>shall</w:t>
      </w:r>
      <w:r>
        <w:rPr>
          <w:rFonts w:ascii="Arial" w:hAnsi="Arial" w:cs="Arial"/>
          <w:color w:val="0070C0"/>
          <w:sz w:val="22"/>
          <w:szCs w:val="22"/>
          <w:lang w:val="en-GB"/>
        </w:rPr>
        <w:t xml:space="preserve"> not </w:t>
      </w:r>
      <w:r w:rsidR="00581D97">
        <w:rPr>
          <w:rFonts w:ascii="Arial" w:hAnsi="Arial" w:cs="Arial"/>
          <w:color w:val="0070C0"/>
          <w:sz w:val="22"/>
          <w:szCs w:val="22"/>
          <w:lang w:val="en-GB"/>
        </w:rPr>
        <w:t xml:space="preserve">be </w:t>
      </w:r>
      <w:r>
        <w:rPr>
          <w:rFonts w:ascii="Arial" w:hAnsi="Arial" w:cs="Arial"/>
          <w:color w:val="0070C0"/>
          <w:sz w:val="22"/>
          <w:szCs w:val="22"/>
          <w:lang w:val="en-GB"/>
        </w:rPr>
        <w:t xml:space="preserve">the debtor’s COMI.  </w:t>
      </w:r>
      <w:r w:rsidR="00F1363D">
        <w:rPr>
          <w:rFonts w:ascii="Arial" w:hAnsi="Arial" w:cs="Arial"/>
          <w:color w:val="0070C0"/>
          <w:sz w:val="22"/>
          <w:szCs w:val="22"/>
          <w:lang w:val="en-GB"/>
        </w:rPr>
        <w:t>Creditor may argue that State A is the COMI as State A is “</w:t>
      </w:r>
      <w:r w:rsidR="00F1363D" w:rsidRPr="00F1363D">
        <w:rPr>
          <w:rFonts w:ascii="Arial" w:hAnsi="Arial" w:cs="Arial"/>
          <w:color w:val="0070C0"/>
          <w:sz w:val="22"/>
          <w:szCs w:val="22"/>
          <w:lang w:val="en-GB"/>
        </w:rPr>
        <w:t>readily ascertainable by the parties who do business with the debtor</w:t>
      </w:r>
      <w:r w:rsidR="00F1363D">
        <w:rPr>
          <w:rFonts w:ascii="Arial" w:hAnsi="Arial" w:cs="Arial"/>
          <w:color w:val="0070C0"/>
          <w:sz w:val="22"/>
          <w:szCs w:val="22"/>
          <w:lang w:val="en-GB"/>
        </w:rPr>
        <w:t xml:space="preserve">”, although the registered office may have </w:t>
      </w:r>
      <w:r w:rsidR="009A3E41">
        <w:rPr>
          <w:rFonts w:ascii="Arial" w:hAnsi="Arial" w:cs="Arial"/>
          <w:color w:val="0070C0"/>
          <w:sz w:val="22"/>
          <w:szCs w:val="22"/>
          <w:lang w:val="en-GB"/>
        </w:rPr>
        <w:t xml:space="preserve">recently been </w:t>
      </w:r>
      <w:r w:rsidR="00F1363D">
        <w:rPr>
          <w:rFonts w:ascii="Arial" w:hAnsi="Arial" w:cs="Arial"/>
          <w:color w:val="0070C0"/>
          <w:sz w:val="22"/>
          <w:szCs w:val="22"/>
          <w:lang w:val="en-GB"/>
        </w:rPr>
        <w:t xml:space="preserve">moved to State B.    </w:t>
      </w: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6B93C1E9" w14:textId="54524E97" w:rsidR="00D31963" w:rsidRDefault="00D31963" w:rsidP="005C5319">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An issue that arose in this case was whether the court has jurisdiction to grant an indefinite moratorium continuation. </w:t>
      </w:r>
    </w:p>
    <w:p w14:paraId="78DB9FD8" w14:textId="66A055A6" w:rsidR="00C72848" w:rsidRDefault="00A65919" w:rsidP="005C5319">
      <w:pPr>
        <w:pStyle w:val="ListParagraph"/>
        <w:numPr>
          <w:ilvl w:val="0"/>
          <w:numId w:val="18"/>
        </w:numPr>
        <w:jc w:val="both"/>
        <w:rPr>
          <w:rFonts w:ascii="Arial" w:hAnsi="Arial" w:cs="Arial"/>
          <w:color w:val="4472C4" w:themeColor="accent1"/>
          <w:sz w:val="22"/>
          <w:szCs w:val="22"/>
          <w:lang w:val="en-GB"/>
        </w:rPr>
      </w:pPr>
      <w:r w:rsidRPr="002B4ABD">
        <w:rPr>
          <w:rFonts w:ascii="Arial" w:hAnsi="Arial" w:cs="Arial"/>
          <w:color w:val="4472C4" w:themeColor="accent1"/>
          <w:sz w:val="22"/>
          <w:szCs w:val="22"/>
          <w:lang w:val="en-GB"/>
        </w:rPr>
        <w:t xml:space="preserve">The Court of Appeal held that </w:t>
      </w:r>
      <w:r w:rsidR="002B4ABD" w:rsidRPr="002B4ABD">
        <w:rPr>
          <w:rFonts w:ascii="Arial" w:hAnsi="Arial" w:cs="Arial"/>
          <w:color w:val="4472C4" w:themeColor="accent1"/>
          <w:sz w:val="22"/>
          <w:szCs w:val="22"/>
          <w:lang w:val="en-GB"/>
        </w:rPr>
        <w:t xml:space="preserve">while the court may have the jurisdiction (power) to grant indefinite moratorium continuation, the court should not do so </w:t>
      </w:r>
      <w:r w:rsidR="002B4ABD">
        <w:rPr>
          <w:rFonts w:ascii="Arial" w:hAnsi="Arial" w:cs="Arial"/>
          <w:color w:val="4472C4" w:themeColor="accent1"/>
          <w:sz w:val="22"/>
          <w:szCs w:val="22"/>
          <w:lang w:val="en-GB"/>
        </w:rPr>
        <w:t xml:space="preserve">unless it is satisfied of two things – (1) the stay would be necessary to protect the interest of creditors and (2) the stay would be appropriate </w:t>
      </w:r>
      <w:r w:rsidR="000D0F61">
        <w:rPr>
          <w:rFonts w:ascii="Arial" w:hAnsi="Arial" w:cs="Arial"/>
          <w:color w:val="4472C4" w:themeColor="accent1"/>
          <w:sz w:val="22"/>
          <w:szCs w:val="22"/>
          <w:lang w:val="en-GB"/>
        </w:rPr>
        <w:t>to</w:t>
      </w:r>
      <w:r w:rsidR="002B4ABD">
        <w:rPr>
          <w:rFonts w:ascii="Arial" w:hAnsi="Arial" w:cs="Arial"/>
          <w:color w:val="4472C4" w:themeColor="accent1"/>
          <w:sz w:val="22"/>
          <w:szCs w:val="22"/>
          <w:lang w:val="en-GB"/>
        </w:rPr>
        <w:t xml:space="preserve"> achieve such a protection. </w:t>
      </w:r>
    </w:p>
    <w:p w14:paraId="572227E7" w14:textId="06E41C24" w:rsidR="0045683E" w:rsidRPr="009A3E41" w:rsidRDefault="00D31963" w:rsidP="005E605F">
      <w:pPr>
        <w:pStyle w:val="ListParagraph"/>
        <w:numPr>
          <w:ilvl w:val="0"/>
          <w:numId w:val="18"/>
        </w:numPr>
        <w:jc w:val="both"/>
        <w:rPr>
          <w:rFonts w:ascii="Arial" w:hAnsi="Arial" w:cs="Arial"/>
          <w:b/>
          <w:sz w:val="22"/>
          <w:szCs w:val="22"/>
          <w:lang w:val="en-GB"/>
        </w:rPr>
      </w:pPr>
      <w:r w:rsidRPr="009A3E41">
        <w:rPr>
          <w:rFonts w:ascii="Arial" w:hAnsi="Arial" w:cs="Arial"/>
          <w:color w:val="4472C4" w:themeColor="accent1"/>
          <w:sz w:val="22"/>
          <w:szCs w:val="22"/>
          <w:lang w:val="en-GB"/>
        </w:rPr>
        <w:t xml:space="preserve">In the case, the Court of Appeal (based on the evidence before it) concluded that its creditors </w:t>
      </w:r>
      <w:r w:rsidR="009A3E41" w:rsidRPr="009A3E41">
        <w:rPr>
          <w:rFonts w:ascii="Arial" w:hAnsi="Arial" w:cs="Arial"/>
          <w:color w:val="4472C4" w:themeColor="accent1"/>
          <w:sz w:val="22"/>
          <w:szCs w:val="22"/>
          <w:lang w:val="en-GB"/>
        </w:rPr>
        <w:t xml:space="preserve">did not need such a protection.  </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48102175" w14:textId="2E102702" w:rsidR="00793729" w:rsidRPr="00375672" w:rsidRDefault="00A23908" w:rsidP="00375672">
      <w:pPr>
        <w:jc w:val="both"/>
        <w:rPr>
          <w:rFonts w:ascii="Arial" w:hAnsi="Arial" w:cs="Arial"/>
          <w:color w:val="4472C4" w:themeColor="accent1"/>
          <w:sz w:val="22"/>
          <w:szCs w:val="22"/>
          <w:lang w:val="en-GB"/>
        </w:rPr>
      </w:pPr>
      <w:r w:rsidRPr="00375672">
        <w:rPr>
          <w:rFonts w:ascii="Arial" w:hAnsi="Arial" w:cs="Arial"/>
          <w:color w:val="4472C4" w:themeColor="accent1"/>
          <w:sz w:val="22"/>
          <w:szCs w:val="22"/>
          <w:lang w:val="en-GB"/>
        </w:rPr>
        <w:t xml:space="preserve">  </w:t>
      </w:r>
    </w:p>
    <w:p w14:paraId="50AC9E32" w14:textId="50D93951" w:rsidR="00375672" w:rsidRPr="0005075A" w:rsidRDefault="00375672" w:rsidP="005C5319">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Any post-recognition relief of a foreign main proceeding must be consistent with the domestic insolvency proceeding.  </w:t>
      </w:r>
      <w:r w:rsidRPr="00E959D7">
        <w:rPr>
          <w:rFonts w:ascii="Arial" w:hAnsi="Arial" w:cs="Arial"/>
          <w:color w:val="4472C4" w:themeColor="accent1"/>
          <w:sz w:val="22"/>
          <w:szCs w:val="22"/>
          <w:lang w:val="en-GB"/>
        </w:rPr>
        <w:t xml:space="preserve">Primary is given to the domestic proceeding (Article 29). </w:t>
      </w:r>
    </w:p>
    <w:p w14:paraId="2F95B324" w14:textId="59D9D6ED" w:rsidR="000103C3" w:rsidRDefault="00BD2FB1" w:rsidP="005C5319">
      <w:pPr>
        <w:pStyle w:val="ListParagraph"/>
        <w:numPr>
          <w:ilvl w:val="0"/>
          <w:numId w:val="19"/>
        </w:numPr>
        <w:jc w:val="both"/>
        <w:rPr>
          <w:rFonts w:ascii="Arial" w:hAnsi="Arial" w:cs="Arial"/>
          <w:color w:val="4472C4" w:themeColor="accent1"/>
          <w:sz w:val="22"/>
          <w:szCs w:val="22"/>
          <w:lang w:val="en-GB"/>
        </w:rPr>
      </w:pPr>
      <w:r w:rsidRPr="00BD2FB1">
        <w:rPr>
          <w:rFonts w:ascii="Arial" w:hAnsi="Arial" w:cs="Arial"/>
          <w:color w:val="4472C4" w:themeColor="accent1"/>
          <w:sz w:val="22"/>
          <w:szCs w:val="22"/>
          <w:lang w:val="en-GB"/>
        </w:rPr>
        <w:t xml:space="preserve">The court </w:t>
      </w:r>
      <w:r>
        <w:rPr>
          <w:rFonts w:ascii="Arial" w:hAnsi="Arial" w:cs="Arial"/>
          <w:color w:val="4472C4" w:themeColor="accent1"/>
          <w:sz w:val="22"/>
          <w:szCs w:val="22"/>
          <w:lang w:val="en-GB"/>
        </w:rPr>
        <w:t xml:space="preserve">in </w:t>
      </w:r>
      <w:r w:rsidR="0005075A">
        <w:rPr>
          <w:rFonts w:ascii="Arial" w:hAnsi="Arial" w:cs="Arial"/>
          <w:color w:val="4472C4" w:themeColor="accent1"/>
          <w:sz w:val="22"/>
          <w:szCs w:val="22"/>
          <w:lang w:val="en-GB"/>
        </w:rPr>
        <w:t>the</w:t>
      </w:r>
      <w:r>
        <w:rPr>
          <w:rFonts w:ascii="Arial" w:hAnsi="Arial" w:cs="Arial"/>
          <w:color w:val="4472C4" w:themeColor="accent1"/>
          <w:sz w:val="22"/>
          <w:szCs w:val="22"/>
          <w:lang w:val="en-GB"/>
        </w:rPr>
        <w:t xml:space="preserve"> enacting State shall seek cooperation and coordination</w:t>
      </w:r>
      <w:r w:rsidR="00793729">
        <w:rPr>
          <w:rFonts w:ascii="Arial" w:hAnsi="Arial" w:cs="Arial"/>
          <w:color w:val="4472C4" w:themeColor="accent1"/>
          <w:sz w:val="22"/>
          <w:szCs w:val="22"/>
          <w:lang w:val="en-GB"/>
        </w:rPr>
        <w:t xml:space="preserve"> with </w:t>
      </w:r>
      <w:r w:rsidR="00793729" w:rsidRPr="00793729">
        <w:rPr>
          <w:rFonts w:ascii="Arial" w:hAnsi="Arial" w:cs="Arial"/>
          <w:color w:val="4472C4" w:themeColor="accent1"/>
          <w:sz w:val="22"/>
          <w:szCs w:val="22"/>
          <w:lang w:val="en-GB"/>
        </w:rPr>
        <w:t xml:space="preserve">foreign courts </w:t>
      </w:r>
      <w:r w:rsidR="00050173">
        <w:rPr>
          <w:rFonts w:ascii="Arial" w:hAnsi="Arial" w:cs="Arial"/>
          <w:color w:val="4472C4" w:themeColor="accent1"/>
          <w:sz w:val="22"/>
          <w:szCs w:val="22"/>
          <w:lang w:val="en-GB"/>
        </w:rPr>
        <w:t>and</w:t>
      </w:r>
      <w:r w:rsidR="00793729" w:rsidRPr="00793729">
        <w:rPr>
          <w:rFonts w:ascii="Arial" w:hAnsi="Arial" w:cs="Arial"/>
          <w:color w:val="4472C4" w:themeColor="accent1"/>
          <w:sz w:val="22"/>
          <w:szCs w:val="22"/>
          <w:lang w:val="en-GB"/>
        </w:rPr>
        <w:t xml:space="preserve"> foreign representative</w:t>
      </w:r>
      <w:r w:rsidR="00793729">
        <w:rPr>
          <w:rFonts w:ascii="Arial" w:hAnsi="Arial" w:cs="Arial"/>
          <w:color w:val="4472C4" w:themeColor="accent1"/>
          <w:sz w:val="22"/>
          <w:szCs w:val="22"/>
          <w:lang w:val="en-GB"/>
        </w:rPr>
        <w:t>s (</w:t>
      </w:r>
      <w:r w:rsidR="000103C3">
        <w:rPr>
          <w:rFonts w:ascii="Arial" w:hAnsi="Arial" w:cs="Arial"/>
          <w:color w:val="4472C4" w:themeColor="accent1"/>
          <w:sz w:val="22"/>
          <w:szCs w:val="22"/>
          <w:lang w:val="en-GB"/>
        </w:rPr>
        <w:t>A</w:t>
      </w:r>
      <w:r>
        <w:rPr>
          <w:rFonts w:ascii="Arial" w:hAnsi="Arial" w:cs="Arial"/>
          <w:color w:val="4472C4" w:themeColor="accent1"/>
          <w:sz w:val="22"/>
          <w:szCs w:val="22"/>
          <w:lang w:val="en-GB"/>
        </w:rPr>
        <w:t>rticles 25</w:t>
      </w:r>
      <w:r w:rsidR="00FB5F4F">
        <w:rPr>
          <w:rFonts w:ascii="Arial" w:hAnsi="Arial" w:cs="Arial"/>
          <w:color w:val="4472C4" w:themeColor="accent1"/>
          <w:sz w:val="22"/>
          <w:szCs w:val="22"/>
          <w:lang w:val="en-GB"/>
        </w:rPr>
        <w:t xml:space="preserve"> and </w:t>
      </w:r>
      <w:r>
        <w:rPr>
          <w:rFonts w:ascii="Arial" w:hAnsi="Arial" w:cs="Arial"/>
          <w:color w:val="4472C4" w:themeColor="accent1"/>
          <w:sz w:val="22"/>
          <w:szCs w:val="22"/>
          <w:lang w:val="en-GB"/>
        </w:rPr>
        <w:t>26</w:t>
      </w:r>
      <w:r w:rsidR="00793729">
        <w:rPr>
          <w:rFonts w:ascii="Arial" w:hAnsi="Arial" w:cs="Arial"/>
          <w:color w:val="4472C4" w:themeColor="accent1"/>
          <w:sz w:val="22"/>
          <w:szCs w:val="22"/>
          <w:lang w:val="en-GB"/>
        </w:rPr>
        <w:t>)</w:t>
      </w:r>
      <w:r w:rsidR="00FB5F4F">
        <w:rPr>
          <w:rFonts w:ascii="Arial" w:hAnsi="Arial" w:cs="Arial"/>
          <w:color w:val="4472C4" w:themeColor="accent1"/>
          <w:sz w:val="22"/>
          <w:szCs w:val="22"/>
          <w:lang w:val="en-GB"/>
        </w:rPr>
        <w:t xml:space="preserve">. </w:t>
      </w:r>
    </w:p>
    <w:p w14:paraId="15EE2B47" w14:textId="71218FC7" w:rsidR="0041139B" w:rsidRPr="0005075A" w:rsidRDefault="00585997" w:rsidP="005C5319">
      <w:pPr>
        <w:pStyle w:val="ListParagraph"/>
        <w:numPr>
          <w:ilvl w:val="0"/>
          <w:numId w:val="19"/>
        </w:numPr>
        <w:jc w:val="both"/>
        <w:rPr>
          <w:rFonts w:ascii="Arial" w:hAnsi="Arial" w:cs="Arial"/>
          <w:color w:val="4472C4" w:themeColor="accent1"/>
          <w:sz w:val="22"/>
          <w:szCs w:val="22"/>
          <w:lang w:val="en-GB"/>
        </w:rPr>
      </w:pPr>
      <w:r w:rsidRPr="0005075A">
        <w:rPr>
          <w:rFonts w:ascii="Arial" w:hAnsi="Arial" w:cs="Arial"/>
          <w:color w:val="4472C4" w:themeColor="accent1"/>
          <w:sz w:val="22"/>
          <w:szCs w:val="22"/>
          <w:lang w:val="en-GB"/>
        </w:rPr>
        <w:t>The court of the enacting State is entitled to request information or assistance directly from the foreign courts or foreign representative</w:t>
      </w:r>
      <w:r w:rsidR="00793729" w:rsidRPr="0005075A">
        <w:rPr>
          <w:rFonts w:ascii="Arial" w:hAnsi="Arial" w:cs="Arial"/>
          <w:color w:val="4472C4" w:themeColor="accent1"/>
          <w:sz w:val="22"/>
          <w:szCs w:val="22"/>
          <w:lang w:val="en-GB"/>
        </w:rPr>
        <w:t>s</w:t>
      </w:r>
      <w:r w:rsidRPr="0005075A">
        <w:rPr>
          <w:rFonts w:ascii="Arial" w:hAnsi="Arial" w:cs="Arial"/>
          <w:color w:val="4472C4" w:themeColor="accent1"/>
          <w:sz w:val="22"/>
          <w:szCs w:val="22"/>
          <w:lang w:val="en-GB"/>
        </w:rPr>
        <w:t xml:space="preserve">.  </w:t>
      </w:r>
      <w:r w:rsidR="00BD2FB1" w:rsidRPr="0005075A">
        <w:rPr>
          <w:rFonts w:ascii="Arial" w:hAnsi="Arial" w:cs="Arial"/>
          <w:color w:val="4472C4" w:themeColor="accent1"/>
          <w:sz w:val="22"/>
          <w:szCs w:val="22"/>
          <w:lang w:val="en-GB"/>
        </w:rPr>
        <w:t xml:space="preserve"> </w:t>
      </w:r>
    </w:p>
    <w:p w14:paraId="165A0DCE" w14:textId="46941ABE" w:rsidR="00BD2FB1" w:rsidRDefault="00FB5F4F" w:rsidP="005C5319">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foreign representatives (in the foreign main proceeding), in the exercise of its functions and subject to the supervision of the court, must cooperate with the court of the enacting State</w:t>
      </w:r>
      <w:r w:rsidR="00132CF8">
        <w:rPr>
          <w:rFonts w:ascii="Arial" w:hAnsi="Arial" w:cs="Arial"/>
          <w:color w:val="4472C4" w:themeColor="accent1"/>
          <w:sz w:val="22"/>
          <w:szCs w:val="22"/>
          <w:lang w:val="en-GB"/>
        </w:rPr>
        <w:t xml:space="preserve">.  </w:t>
      </w:r>
      <w:r w:rsidR="00032CDF">
        <w:rPr>
          <w:rFonts w:ascii="Arial" w:hAnsi="Arial" w:cs="Arial"/>
          <w:color w:val="4472C4" w:themeColor="accent1"/>
          <w:sz w:val="22"/>
          <w:szCs w:val="22"/>
          <w:lang w:val="en-GB"/>
        </w:rPr>
        <w:t xml:space="preserve"> </w:t>
      </w:r>
    </w:p>
    <w:p w14:paraId="5B84435F" w14:textId="30C46AE6" w:rsidR="000103C3" w:rsidRPr="00032CDF" w:rsidRDefault="000103C3" w:rsidP="005C5319">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foreign representatives have an ongoing obligation to update the court of the enacting State of any substantial change </w:t>
      </w:r>
      <w:r w:rsidR="00842D6F">
        <w:rPr>
          <w:rFonts w:ascii="Arial" w:hAnsi="Arial" w:cs="Arial"/>
          <w:color w:val="4472C4" w:themeColor="accent1"/>
          <w:sz w:val="22"/>
          <w:szCs w:val="22"/>
          <w:lang w:val="en-GB"/>
        </w:rPr>
        <w:t>(from the time of filing of the application for recognition) on</w:t>
      </w:r>
      <w:r>
        <w:rPr>
          <w:rFonts w:ascii="Arial" w:hAnsi="Arial" w:cs="Arial"/>
          <w:color w:val="4472C4" w:themeColor="accent1"/>
          <w:sz w:val="22"/>
          <w:szCs w:val="22"/>
          <w:lang w:val="en-GB"/>
        </w:rPr>
        <w:t xml:space="preserve"> the status of the recognised foreign proceedings</w:t>
      </w:r>
      <w:r w:rsidR="00842D6F">
        <w:rPr>
          <w:rFonts w:ascii="Arial" w:hAnsi="Arial" w:cs="Arial"/>
          <w:color w:val="4472C4" w:themeColor="accent1"/>
          <w:sz w:val="22"/>
          <w:szCs w:val="22"/>
          <w:lang w:val="en-GB"/>
        </w:rPr>
        <w:t xml:space="preserve">, the status of their appointment, or subsequently become aware of other foreign proceedings: Article 18.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71B8E961" w14:textId="198879CC" w:rsidR="000F1DED" w:rsidRPr="00A654E3" w:rsidRDefault="000F1DED" w:rsidP="00A654E3">
      <w:pPr>
        <w:pStyle w:val="ListParagraph"/>
        <w:numPr>
          <w:ilvl w:val="0"/>
          <w:numId w:val="20"/>
        </w:numPr>
        <w:jc w:val="both"/>
        <w:rPr>
          <w:rFonts w:ascii="Arial" w:hAnsi="Arial" w:cs="Arial"/>
          <w:color w:val="4472C4" w:themeColor="accent1"/>
          <w:sz w:val="24"/>
          <w:lang w:val="en-GB"/>
        </w:rPr>
      </w:pPr>
      <w:r>
        <w:rPr>
          <w:rFonts w:ascii="Arial" w:hAnsi="Arial" w:cs="Arial"/>
          <w:color w:val="4472C4" w:themeColor="accent1"/>
          <w:sz w:val="22"/>
          <w:szCs w:val="22"/>
          <w:lang w:val="en-GB"/>
        </w:rPr>
        <w:t>Access and co-ordination enable courts and foreign representative</w:t>
      </w:r>
      <w:r w:rsidR="00EC21D1">
        <w:rPr>
          <w:rFonts w:ascii="Arial" w:hAnsi="Arial" w:cs="Arial"/>
          <w:color w:val="4472C4" w:themeColor="accent1"/>
          <w:sz w:val="22"/>
          <w:szCs w:val="22"/>
          <w:lang w:val="en-GB"/>
        </w:rPr>
        <w:t xml:space="preserve">s </w:t>
      </w:r>
      <w:r>
        <w:rPr>
          <w:rFonts w:ascii="Arial" w:hAnsi="Arial" w:cs="Arial"/>
          <w:color w:val="4472C4" w:themeColor="accent1"/>
          <w:sz w:val="22"/>
          <w:szCs w:val="22"/>
          <w:lang w:val="en-GB"/>
        </w:rPr>
        <w:t>two</w:t>
      </w:r>
      <w:r w:rsidR="00EC21D1">
        <w:rPr>
          <w:rFonts w:ascii="Arial" w:hAnsi="Arial" w:cs="Arial"/>
          <w:color w:val="4472C4" w:themeColor="accent1"/>
          <w:sz w:val="22"/>
          <w:szCs w:val="22"/>
          <w:lang w:val="en-GB"/>
        </w:rPr>
        <w:t xml:space="preserve"> (or more)</w:t>
      </w:r>
      <w:r>
        <w:rPr>
          <w:rFonts w:ascii="Arial" w:hAnsi="Arial" w:cs="Arial"/>
          <w:color w:val="4472C4" w:themeColor="accent1"/>
          <w:sz w:val="22"/>
          <w:szCs w:val="22"/>
          <w:lang w:val="en-GB"/>
        </w:rPr>
        <w:t xml:space="preserve"> countries to work together to achieve a better or optimal results.  </w:t>
      </w:r>
      <w:r w:rsidRPr="00A654E3">
        <w:rPr>
          <w:rFonts w:ascii="Arial" w:hAnsi="Arial" w:cs="Arial"/>
          <w:color w:val="4472C4" w:themeColor="accent1"/>
          <w:sz w:val="22"/>
          <w:szCs w:val="22"/>
          <w:lang w:val="en-GB"/>
        </w:rPr>
        <w:t xml:space="preserve">  </w:t>
      </w:r>
    </w:p>
    <w:p w14:paraId="7BEB6EC5" w14:textId="0DEBD5C8" w:rsidR="00A654E3" w:rsidRPr="00A654E3" w:rsidRDefault="00105B48" w:rsidP="005C5319">
      <w:pPr>
        <w:pStyle w:val="ListParagraph"/>
        <w:numPr>
          <w:ilvl w:val="0"/>
          <w:numId w:val="20"/>
        </w:numPr>
        <w:jc w:val="both"/>
        <w:rPr>
          <w:rFonts w:ascii="Arial" w:hAnsi="Arial" w:cs="Arial"/>
          <w:color w:val="4472C4" w:themeColor="accent1"/>
          <w:sz w:val="24"/>
          <w:lang w:val="en-GB"/>
        </w:rPr>
      </w:pPr>
      <w:r w:rsidRPr="00105B48">
        <w:rPr>
          <w:rFonts w:ascii="Arial" w:hAnsi="Arial" w:cs="Arial"/>
          <w:color w:val="4472C4" w:themeColor="accent1"/>
          <w:sz w:val="22"/>
          <w:szCs w:val="22"/>
          <w:lang w:val="en-GB"/>
        </w:rPr>
        <w:t>A foreign</w:t>
      </w:r>
      <w:r>
        <w:rPr>
          <w:rFonts w:ascii="Arial" w:hAnsi="Arial" w:cs="Arial"/>
          <w:color w:val="4472C4" w:themeColor="accent1"/>
          <w:sz w:val="22"/>
          <w:szCs w:val="22"/>
          <w:lang w:val="en-GB"/>
        </w:rPr>
        <w:t xml:space="preserve"> representative may make an application in State A for recognition of its proceeding</w:t>
      </w:r>
      <w:r w:rsidR="000F1DED">
        <w:rPr>
          <w:rFonts w:ascii="Arial" w:hAnsi="Arial" w:cs="Arial"/>
          <w:color w:val="4472C4" w:themeColor="accent1"/>
          <w:sz w:val="22"/>
          <w:szCs w:val="22"/>
          <w:lang w:val="en-GB"/>
        </w:rPr>
        <w:t xml:space="preserve"> (without the need to file a separate insolvency proceeding in a foreign country, State A</w:t>
      </w:r>
      <w:r w:rsidR="00A654E3">
        <w:rPr>
          <w:rFonts w:ascii="Arial" w:hAnsi="Arial" w:cs="Arial"/>
          <w:color w:val="4472C4" w:themeColor="accent1"/>
          <w:sz w:val="22"/>
          <w:szCs w:val="22"/>
          <w:lang w:val="en-GB"/>
        </w:rPr>
        <w:t xml:space="preserve"> – which saves time and costs)</w:t>
      </w:r>
      <w:r w:rsidR="000F1DED">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w:t>
      </w:r>
    </w:p>
    <w:p w14:paraId="4D6E4840" w14:textId="4FF1F2CC" w:rsidR="00105B48" w:rsidRPr="00A654E3" w:rsidRDefault="00AC491D" w:rsidP="005C5319">
      <w:pPr>
        <w:pStyle w:val="ListParagraph"/>
        <w:numPr>
          <w:ilvl w:val="0"/>
          <w:numId w:val="20"/>
        </w:numPr>
        <w:jc w:val="both"/>
        <w:rPr>
          <w:rFonts w:ascii="Arial" w:hAnsi="Arial" w:cs="Arial"/>
          <w:color w:val="4472C4" w:themeColor="accent1"/>
          <w:sz w:val="24"/>
          <w:lang w:val="en-GB"/>
        </w:rPr>
      </w:pPr>
      <w:r>
        <w:rPr>
          <w:rFonts w:ascii="Arial" w:hAnsi="Arial" w:cs="Arial"/>
          <w:color w:val="4472C4" w:themeColor="accent1"/>
          <w:sz w:val="22"/>
          <w:szCs w:val="22"/>
          <w:lang w:val="en-GB"/>
        </w:rPr>
        <w:t>Upon application</w:t>
      </w:r>
      <w:r w:rsidR="00A654E3">
        <w:rPr>
          <w:rFonts w:ascii="Arial" w:hAnsi="Arial" w:cs="Arial"/>
          <w:color w:val="4472C4" w:themeColor="accent1"/>
          <w:sz w:val="22"/>
          <w:szCs w:val="22"/>
          <w:lang w:val="en-GB"/>
        </w:rPr>
        <w:t xml:space="preserve"> (prior to recognition)</w:t>
      </w:r>
      <w:r>
        <w:rPr>
          <w:rFonts w:ascii="Arial" w:hAnsi="Arial" w:cs="Arial"/>
          <w:color w:val="4472C4" w:themeColor="accent1"/>
          <w:sz w:val="22"/>
          <w:szCs w:val="22"/>
          <w:lang w:val="en-GB"/>
        </w:rPr>
        <w:t xml:space="preserve">, an interim relief may be granted by State A; Article 19. </w:t>
      </w:r>
      <w:r w:rsidR="007A0688">
        <w:rPr>
          <w:rFonts w:ascii="Arial" w:hAnsi="Arial" w:cs="Arial"/>
          <w:color w:val="4472C4" w:themeColor="accent1"/>
          <w:sz w:val="22"/>
          <w:szCs w:val="22"/>
          <w:lang w:val="en-GB"/>
        </w:rPr>
        <w:t xml:space="preserve">The interim relief includes a stay of actions or enforcement, providing the debtor with a “breathing space” to the debtor to organise its affairs.  The court in State A may also issue an order preventing the moving or transfer of assets, thus preventing the assets from dissipation and preserving the status quo.    </w:t>
      </w:r>
    </w:p>
    <w:p w14:paraId="3D2D2B25" w14:textId="77777777" w:rsidR="00A654E3" w:rsidRPr="00A654E3" w:rsidRDefault="00A654E3" w:rsidP="00A654E3">
      <w:pPr>
        <w:pStyle w:val="ListParagraph"/>
        <w:numPr>
          <w:ilvl w:val="0"/>
          <w:numId w:val="20"/>
        </w:numPr>
        <w:jc w:val="both"/>
        <w:rPr>
          <w:rFonts w:ascii="Arial" w:hAnsi="Arial" w:cs="Arial"/>
          <w:color w:val="4472C4" w:themeColor="accent1"/>
          <w:sz w:val="24"/>
          <w:lang w:val="en-GB"/>
        </w:rPr>
      </w:pPr>
      <w:r>
        <w:rPr>
          <w:rFonts w:ascii="Arial" w:hAnsi="Arial" w:cs="Arial"/>
          <w:color w:val="4472C4" w:themeColor="accent1"/>
          <w:sz w:val="22"/>
          <w:szCs w:val="22"/>
          <w:lang w:val="en-GB"/>
        </w:rPr>
        <w:t xml:space="preserve">Upon recognition, an automatic relief will be granted if the application qualifies as main foreign proceeding. </w:t>
      </w:r>
    </w:p>
    <w:p w14:paraId="3D06F62A" w14:textId="3BDB3EAC" w:rsidR="00A654E3" w:rsidRPr="00A654E3" w:rsidRDefault="00A654E3" w:rsidP="00A654E3">
      <w:pPr>
        <w:pStyle w:val="ListParagraph"/>
        <w:numPr>
          <w:ilvl w:val="0"/>
          <w:numId w:val="20"/>
        </w:numPr>
        <w:jc w:val="both"/>
        <w:rPr>
          <w:rFonts w:ascii="Arial" w:hAnsi="Arial" w:cs="Arial"/>
          <w:color w:val="4472C4" w:themeColor="accent1"/>
          <w:sz w:val="24"/>
          <w:lang w:val="en-GB"/>
        </w:rPr>
      </w:pPr>
      <w:r>
        <w:rPr>
          <w:rFonts w:ascii="Arial" w:hAnsi="Arial" w:cs="Arial"/>
          <w:color w:val="4472C4" w:themeColor="accent1"/>
          <w:sz w:val="22"/>
          <w:szCs w:val="22"/>
          <w:lang w:val="en-GB"/>
        </w:rPr>
        <w:t xml:space="preserve">Further, the court in State A may grant other relief upon recognition.  </w:t>
      </w:r>
      <w:r w:rsidRPr="00AC491D">
        <w:rPr>
          <w:rFonts w:ascii="Arial" w:hAnsi="Arial" w:cs="Arial"/>
          <w:color w:val="4472C4" w:themeColor="accent1"/>
          <w:sz w:val="22"/>
          <w:szCs w:val="22"/>
          <w:lang w:val="en-GB"/>
        </w:rPr>
        <w:t>The reliefs that may be granted by State A (Article 21) include – (a) staying legal proceedings against the debtor or debtor’s assets (b) staying execution against the debtor’s assets (c) suspend transfer or disposal of debtor’s assets (d) being able to examine witnesses or take evidence relating to the debtor’s assets (e) entrusting the administration of the debtor’s assets in the hands of the foreign representative or any other person as may be appointed by the court and (f) grant interim relief as the court finds appropriate</w:t>
      </w:r>
      <w:r>
        <w:rPr>
          <w:rFonts w:ascii="Arial" w:hAnsi="Arial" w:cs="Arial"/>
          <w:color w:val="4472C4" w:themeColor="accent1"/>
          <w:sz w:val="22"/>
          <w:szCs w:val="22"/>
          <w:lang w:val="en-GB"/>
        </w:rPr>
        <w:t xml:space="preserve">: Article 21.  </w:t>
      </w:r>
    </w:p>
    <w:p w14:paraId="4024A332" w14:textId="3E7A2053" w:rsidR="00544127" w:rsidRPr="00A654E3" w:rsidRDefault="00EC21D1" w:rsidP="00A654E3">
      <w:pPr>
        <w:pStyle w:val="ListParagraph"/>
        <w:numPr>
          <w:ilvl w:val="0"/>
          <w:numId w:val="20"/>
        </w:numPr>
        <w:jc w:val="both"/>
        <w:rPr>
          <w:rFonts w:ascii="Arial" w:hAnsi="Arial" w:cs="Arial"/>
          <w:color w:val="4472C4" w:themeColor="accent1"/>
          <w:sz w:val="24"/>
          <w:lang w:val="en-GB"/>
        </w:rPr>
      </w:pPr>
      <w:r>
        <w:rPr>
          <w:rFonts w:ascii="Arial" w:hAnsi="Arial" w:cs="Arial"/>
          <w:color w:val="4472C4" w:themeColor="accent1"/>
          <w:sz w:val="22"/>
          <w:szCs w:val="22"/>
          <w:lang w:val="en-GB"/>
        </w:rPr>
        <w:t>MLCBI provides a procedural framework to allow co-ordination and cooperation. It</w:t>
      </w:r>
      <w:r w:rsidR="00A654E3">
        <w:rPr>
          <w:rFonts w:ascii="Arial" w:hAnsi="Arial" w:cs="Arial"/>
          <w:color w:val="4472C4" w:themeColor="accent1"/>
          <w:sz w:val="22"/>
          <w:szCs w:val="22"/>
          <w:lang w:val="en-GB"/>
        </w:rPr>
        <w:t xml:space="preserve"> also</w:t>
      </w:r>
      <w:r>
        <w:rPr>
          <w:rFonts w:ascii="Arial" w:hAnsi="Arial" w:cs="Arial"/>
          <w:color w:val="4472C4" w:themeColor="accent1"/>
          <w:sz w:val="22"/>
          <w:szCs w:val="22"/>
          <w:lang w:val="en-GB"/>
        </w:rPr>
        <w:t xml:space="preserve"> provides a list of actions which the court may utilise</w:t>
      </w:r>
      <w:r w:rsidR="00A654E3">
        <w:rPr>
          <w:rFonts w:ascii="Arial" w:hAnsi="Arial" w:cs="Arial"/>
          <w:color w:val="4472C4" w:themeColor="accent1"/>
          <w:sz w:val="22"/>
          <w:szCs w:val="22"/>
          <w:lang w:val="en-GB"/>
        </w:rPr>
        <w:t xml:space="preserve"> to coordinate and cooperate.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38B2B585" w:rsidR="00DF75F8" w:rsidRDefault="00AB0C87" w:rsidP="00707FC8">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Other evidence, restrictions, exclusions, limitations, and judicial scrutiny includes: </w:t>
      </w:r>
    </w:p>
    <w:p w14:paraId="3AEA7C58" w14:textId="50B10B51" w:rsidR="00AB0C87" w:rsidRDefault="00AB0C87" w:rsidP="00707FC8">
      <w:pPr>
        <w:jc w:val="both"/>
        <w:rPr>
          <w:rFonts w:ascii="Arial" w:hAnsi="Arial" w:cs="Arial"/>
          <w:color w:val="4472C4" w:themeColor="accent1"/>
          <w:sz w:val="22"/>
          <w:szCs w:val="22"/>
          <w:lang w:val="en-GB"/>
        </w:rPr>
      </w:pPr>
    </w:p>
    <w:p w14:paraId="330C09FA" w14:textId="73DDEE42" w:rsidR="00AB0C87" w:rsidRDefault="00AB0C87" w:rsidP="005C5319">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application must not breach the full and frank disclosure obligation towards the court to which a recognition application is made. </w:t>
      </w:r>
    </w:p>
    <w:p w14:paraId="7AEC1CF7" w14:textId="5EFC10F2" w:rsidR="00942B84" w:rsidRDefault="00727B1A" w:rsidP="005C5319">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foreign representative </w:t>
      </w:r>
      <w:r w:rsidR="00942B84">
        <w:rPr>
          <w:rFonts w:ascii="Arial" w:hAnsi="Arial" w:cs="Arial"/>
          <w:color w:val="4472C4" w:themeColor="accent1"/>
          <w:sz w:val="22"/>
          <w:szCs w:val="22"/>
          <w:lang w:val="en-GB"/>
        </w:rPr>
        <w:t xml:space="preserve">must </w:t>
      </w:r>
      <w:r w:rsidR="002B0A46">
        <w:rPr>
          <w:rFonts w:ascii="Arial" w:hAnsi="Arial" w:cs="Arial"/>
          <w:color w:val="4472C4" w:themeColor="accent1"/>
          <w:sz w:val="22"/>
          <w:szCs w:val="22"/>
          <w:lang w:val="en-GB"/>
        </w:rPr>
        <w:t xml:space="preserve">consider whether public policy exception </w:t>
      </w:r>
      <w:r w:rsidR="00C67D8B">
        <w:rPr>
          <w:rFonts w:ascii="Arial" w:hAnsi="Arial" w:cs="Arial"/>
          <w:color w:val="4472C4" w:themeColor="accent1"/>
          <w:sz w:val="22"/>
          <w:szCs w:val="22"/>
          <w:lang w:val="en-GB"/>
        </w:rPr>
        <w:t xml:space="preserve">in State A </w:t>
      </w:r>
      <w:r w:rsidR="002B0A46">
        <w:rPr>
          <w:rFonts w:ascii="Arial" w:hAnsi="Arial" w:cs="Arial"/>
          <w:color w:val="4472C4" w:themeColor="accent1"/>
          <w:sz w:val="22"/>
          <w:szCs w:val="22"/>
          <w:lang w:val="en-GB"/>
        </w:rPr>
        <w:t>applies (Article 23)</w:t>
      </w:r>
      <w:r w:rsidR="00C42B27">
        <w:rPr>
          <w:rFonts w:ascii="Arial" w:hAnsi="Arial" w:cs="Arial"/>
          <w:color w:val="4472C4" w:themeColor="accent1"/>
          <w:sz w:val="22"/>
          <w:szCs w:val="22"/>
          <w:lang w:val="en-GB"/>
        </w:rPr>
        <w:t xml:space="preserve">. If the matter applied for falls within the public policy exclusion, recognition will not be granted.  </w:t>
      </w:r>
      <w:r w:rsidR="007A0688">
        <w:rPr>
          <w:rFonts w:ascii="Arial" w:hAnsi="Arial" w:cs="Arial"/>
          <w:color w:val="4472C4" w:themeColor="accent1"/>
          <w:sz w:val="22"/>
          <w:szCs w:val="22"/>
          <w:lang w:val="en-GB"/>
        </w:rPr>
        <w:t>In deciding whether it falls within the public policy exception, the court will give it a restrictive interpretation</w:t>
      </w:r>
      <w:r w:rsidR="0028289A">
        <w:rPr>
          <w:rFonts w:ascii="Arial" w:hAnsi="Arial" w:cs="Arial"/>
          <w:color w:val="4472C4" w:themeColor="accent1"/>
          <w:sz w:val="22"/>
          <w:szCs w:val="22"/>
          <w:lang w:val="en-GB"/>
        </w:rPr>
        <w:t xml:space="preserve"> in that it must be “manifestly” contrary to public policy.  </w:t>
      </w:r>
      <w:r w:rsidR="00C67D8B">
        <w:rPr>
          <w:rFonts w:ascii="Arial" w:hAnsi="Arial" w:cs="Arial"/>
          <w:color w:val="4472C4" w:themeColor="accent1"/>
          <w:sz w:val="22"/>
          <w:szCs w:val="22"/>
          <w:lang w:val="en-GB"/>
        </w:rPr>
        <w:t xml:space="preserve"> </w:t>
      </w:r>
    </w:p>
    <w:p w14:paraId="5F379F40" w14:textId="2C2BB62C" w:rsidR="00C67D8B" w:rsidRPr="0028289A" w:rsidRDefault="00C67D8B" w:rsidP="0028289A">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Banks and insurance companies are</w:t>
      </w:r>
      <w:r w:rsidR="00C42B27">
        <w:rPr>
          <w:rFonts w:ascii="Arial" w:hAnsi="Arial" w:cs="Arial"/>
          <w:color w:val="4472C4" w:themeColor="accent1"/>
          <w:sz w:val="22"/>
          <w:szCs w:val="22"/>
          <w:lang w:val="en-GB"/>
        </w:rPr>
        <w:t xml:space="preserve"> typical</w:t>
      </w:r>
      <w:r>
        <w:rPr>
          <w:rFonts w:ascii="Arial" w:hAnsi="Arial" w:cs="Arial"/>
          <w:color w:val="4472C4" w:themeColor="accent1"/>
          <w:sz w:val="22"/>
          <w:szCs w:val="22"/>
          <w:lang w:val="en-GB"/>
        </w:rPr>
        <w:t xml:space="preserve"> examples of entities that are excluded from the application of MLCBI. </w:t>
      </w:r>
      <w:r w:rsidR="0028289A">
        <w:rPr>
          <w:rFonts w:ascii="Arial" w:hAnsi="Arial" w:cs="Arial"/>
          <w:color w:val="4472C4" w:themeColor="accent1"/>
          <w:sz w:val="22"/>
          <w:szCs w:val="22"/>
          <w:lang w:val="en-GB"/>
        </w:rPr>
        <w:t xml:space="preserve"> </w:t>
      </w:r>
      <w:r w:rsidRPr="0028289A">
        <w:rPr>
          <w:rFonts w:ascii="Arial" w:hAnsi="Arial" w:cs="Arial"/>
          <w:color w:val="4472C4" w:themeColor="accent1"/>
          <w:sz w:val="22"/>
          <w:szCs w:val="22"/>
          <w:lang w:val="en-GB"/>
        </w:rPr>
        <w:t xml:space="preserve">Public utility companies may also be excluded from the application of MLCBI.  </w:t>
      </w:r>
    </w:p>
    <w:p w14:paraId="545C25AA" w14:textId="799E9870" w:rsidR="0028289A" w:rsidRPr="001047C7" w:rsidRDefault="00942B84" w:rsidP="001047C7">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The foreign representative is under an obligation to provide</w:t>
      </w:r>
      <w:r w:rsidR="0028289A">
        <w:rPr>
          <w:rFonts w:ascii="Arial" w:hAnsi="Arial" w:cs="Arial"/>
          <w:color w:val="4472C4" w:themeColor="accent1"/>
          <w:sz w:val="22"/>
          <w:szCs w:val="22"/>
          <w:lang w:val="en-GB"/>
        </w:rPr>
        <w:t xml:space="preserve"> and update</w:t>
      </w:r>
      <w:r>
        <w:rPr>
          <w:rFonts w:ascii="Arial" w:hAnsi="Arial" w:cs="Arial"/>
          <w:color w:val="4472C4" w:themeColor="accent1"/>
          <w:sz w:val="22"/>
          <w:szCs w:val="22"/>
          <w:lang w:val="en-GB"/>
        </w:rPr>
        <w:t xml:space="preserve"> the court in State A if there is any material change from the time the recognition application is made</w:t>
      </w:r>
      <w:r w:rsidR="00C42B27">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Article 23.  </w:t>
      </w:r>
    </w:p>
    <w:p w14:paraId="3ACBE4FD" w14:textId="1F65AFCD" w:rsidR="00942B84" w:rsidRDefault="00942B84" w:rsidP="005C5319">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foreign representative must ensure that there is COMI or </w:t>
      </w:r>
      <w:r w:rsidR="001047C7">
        <w:rPr>
          <w:rFonts w:ascii="Arial" w:hAnsi="Arial" w:cs="Arial"/>
          <w:color w:val="4472C4" w:themeColor="accent1"/>
          <w:sz w:val="22"/>
          <w:szCs w:val="22"/>
          <w:lang w:val="en-GB"/>
        </w:rPr>
        <w:t xml:space="preserve">has </w:t>
      </w:r>
      <w:r>
        <w:rPr>
          <w:rFonts w:ascii="Arial" w:hAnsi="Arial" w:cs="Arial"/>
          <w:color w:val="4472C4" w:themeColor="accent1"/>
          <w:sz w:val="22"/>
          <w:szCs w:val="22"/>
          <w:lang w:val="en-GB"/>
        </w:rPr>
        <w:t xml:space="preserve">an establishment in State A.  If not, the recognition application will be denied.  </w:t>
      </w:r>
    </w:p>
    <w:p w14:paraId="5F8A2B6D" w14:textId="77777777" w:rsidR="00F7795A" w:rsidRDefault="00F7795A" w:rsidP="005C5319">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Where a foreign decision was obtained via corruption, the court in State A (if it was convinced that it was obtained via corruption) may refuse to grant recognition. </w:t>
      </w:r>
    </w:p>
    <w:p w14:paraId="5EF833D4" w14:textId="68F309D7" w:rsidR="00B41097" w:rsidRDefault="00F7795A" w:rsidP="005C5319">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court in State A may also refuse to grant recognition if it is of the view that the debtor </w:t>
      </w:r>
      <w:r w:rsidR="00C67D8B">
        <w:rPr>
          <w:rFonts w:ascii="Arial" w:hAnsi="Arial" w:cs="Arial"/>
          <w:color w:val="4472C4" w:themeColor="accent1"/>
          <w:sz w:val="22"/>
          <w:szCs w:val="22"/>
          <w:lang w:val="en-GB"/>
        </w:rPr>
        <w:t>is trying to evade payments</w:t>
      </w:r>
      <w:r w:rsidR="00C42B27">
        <w:rPr>
          <w:rFonts w:ascii="Arial" w:hAnsi="Arial" w:cs="Arial"/>
          <w:color w:val="4472C4" w:themeColor="accent1"/>
          <w:sz w:val="22"/>
          <w:szCs w:val="22"/>
          <w:lang w:val="en-GB"/>
        </w:rPr>
        <w:t xml:space="preserve"> in State B</w:t>
      </w:r>
      <w:r w:rsidR="001047C7">
        <w:rPr>
          <w:rFonts w:ascii="Arial" w:hAnsi="Arial" w:cs="Arial"/>
          <w:color w:val="4472C4" w:themeColor="accent1"/>
          <w:sz w:val="22"/>
          <w:szCs w:val="22"/>
          <w:lang w:val="en-GB"/>
        </w:rPr>
        <w:t xml:space="preserve"> (an abuse of process).  </w:t>
      </w:r>
    </w:p>
    <w:p w14:paraId="1B935B86" w14:textId="3F353207" w:rsidR="00C42B27" w:rsidRDefault="00B21987" w:rsidP="005C5319">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To</w:t>
      </w:r>
      <w:r w:rsidR="00C42B27">
        <w:rPr>
          <w:rFonts w:ascii="Arial" w:hAnsi="Arial" w:cs="Arial"/>
          <w:color w:val="4472C4" w:themeColor="accent1"/>
          <w:sz w:val="22"/>
          <w:szCs w:val="22"/>
          <w:lang w:val="en-GB"/>
        </w:rPr>
        <w:t xml:space="preserve"> qualify as a “foreign proceeding”, the application must meet </w:t>
      </w:r>
      <w:proofErr w:type="gramStart"/>
      <w:r w:rsidR="00C42B27">
        <w:rPr>
          <w:rFonts w:ascii="Arial" w:hAnsi="Arial" w:cs="Arial"/>
          <w:color w:val="4472C4" w:themeColor="accent1"/>
          <w:sz w:val="22"/>
          <w:szCs w:val="22"/>
          <w:lang w:val="en-GB"/>
        </w:rPr>
        <w:t>a number of</w:t>
      </w:r>
      <w:proofErr w:type="gramEnd"/>
      <w:r w:rsidR="00C42B27">
        <w:rPr>
          <w:rFonts w:ascii="Arial" w:hAnsi="Arial" w:cs="Arial"/>
          <w:color w:val="4472C4" w:themeColor="accent1"/>
          <w:sz w:val="22"/>
          <w:szCs w:val="22"/>
          <w:lang w:val="en-GB"/>
        </w:rPr>
        <w:t xml:space="preserve"> requirements (elements).  They include – (a) proceeding must be of collection nature (b) it must related to insolvency (c) the affairs of the company </w:t>
      </w:r>
      <w:r w:rsidR="001047C7">
        <w:rPr>
          <w:rFonts w:ascii="Arial" w:hAnsi="Arial" w:cs="Arial"/>
          <w:color w:val="4472C4" w:themeColor="accent1"/>
          <w:sz w:val="22"/>
          <w:szCs w:val="22"/>
          <w:lang w:val="en-GB"/>
        </w:rPr>
        <w:t>are</w:t>
      </w:r>
      <w:r w:rsidR="00C42B27">
        <w:rPr>
          <w:rFonts w:ascii="Arial" w:hAnsi="Arial" w:cs="Arial"/>
          <w:color w:val="4472C4" w:themeColor="accent1"/>
          <w:sz w:val="22"/>
          <w:szCs w:val="22"/>
          <w:lang w:val="en-GB"/>
        </w:rPr>
        <w:t xml:space="preserve"> subject to the control and supervision of the foreign court and (d) the purpose is for reorganisation or liquidation.  </w:t>
      </w:r>
    </w:p>
    <w:p w14:paraId="02C41760" w14:textId="77777777" w:rsidR="00D769AB" w:rsidRPr="001047C7" w:rsidRDefault="00B21987" w:rsidP="00D769AB">
      <w:pPr>
        <w:pStyle w:val="ListParagraph"/>
        <w:numPr>
          <w:ilvl w:val="0"/>
          <w:numId w:val="21"/>
        </w:numPr>
        <w:jc w:val="both"/>
        <w:rPr>
          <w:rFonts w:ascii="Arial" w:hAnsi="Arial" w:cs="Arial"/>
          <w:color w:val="4472C4" w:themeColor="accent1"/>
          <w:sz w:val="22"/>
          <w:szCs w:val="22"/>
          <w:lang w:val="en-GB"/>
        </w:rPr>
      </w:pPr>
      <w:r w:rsidRPr="001047C7">
        <w:rPr>
          <w:rFonts w:ascii="Arial" w:hAnsi="Arial" w:cs="Arial"/>
          <w:color w:val="4472C4" w:themeColor="accent1"/>
          <w:sz w:val="22"/>
          <w:szCs w:val="22"/>
          <w:lang w:val="en-GB"/>
        </w:rPr>
        <w:t xml:space="preserve">To qualify as a “foreign representative”, he needs to be an authorised person (appointed by the court or recognised body), and that he is authorised to administer the debtor’s assets and affairs.  </w:t>
      </w:r>
    </w:p>
    <w:p w14:paraId="48E6849C" w14:textId="0FF9E908" w:rsidR="00CF18E7" w:rsidRPr="001047C7" w:rsidRDefault="0028289A" w:rsidP="00CF18E7">
      <w:pPr>
        <w:pStyle w:val="ListParagraph"/>
        <w:numPr>
          <w:ilvl w:val="0"/>
          <w:numId w:val="21"/>
        </w:numPr>
        <w:jc w:val="both"/>
        <w:rPr>
          <w:rFonts w:ascii="Arial" w:hAnsi="Arial" w:cs="Arial"/>
          <w:color w:val="4472C4" w:themeColor="accent1"/>
          <w:sz w:val="22"/>
          <w:szCs w:val="22"/>
          <w:lang w:val="en-GB"/>
        </w:rPr>
      </w:pPr>
      <w:r w:rsidRPr="00D769AB">
        <w:rPr>
          <w:rFonts w:ascii="Arial" w:hAnsi="Arial" w:cs="Arial"/>
          <w:color w:val="0070C0"/>
          <w:sz w:val="22"/>
          <w:szCs w:val="22"/>
          <w:lang w:val="en-GB"/>
        </w:rPr>
        <w:t>In</w:t>
      </w:r>
      <w:r w:rsidRPr="00D769AB">
        <w:rPr>
          <w:rFonts w:ascii="Arial" w:hAnsi="Arial" w:cs="Arial"/>
          <w:color w:val="4472C4" w:themeColor="accent1"/>
          <w:sz w:val="22"/>
          <w:szCs w:val="22"/>
          <w:lang w:val="en-GB"/>
        </w:rPr>
        <w:t xml:space="preserve"> relation to </w:t>
      </w:r>
      <w:r w:rsidR="00D55B85" w:rsidRPr="00D769AB">
        <w:rPr>
          <w:rFonts w:ascii="Arial" w:hAnsi="Arial" w:cs="Arial"/>
          <w:color w:val="4472C4" w:themeColor="accent1"/>
          <w:sz w:val="22"/>
          <w:szCs w:val="22"/>
          <w:lang w:val="en-GB"/>
        </w:rPr>
        <w:t xml:space="preserve">other </w:t>
      </w:r>
      <w:r w:rsidRPr="00D769AB">
        <w:rPr>
          <w:rFonts w:ascii="Arial" w:hAnsi="Arial" w:cs="Arial"/>
          <w:color w:val="4472C4" w:themeColor="accent1"/>
          <w:sz w:val="22"/>
          <w:szCs w:val="22"/>
          <w:lang w:val="en-GB"/>
        </w:rPr>
        <w:t xml:space="preserve">limitation, </w:t>
      </w:r>
      <w:r w:rsidR="00CF18E7">
        <w:rPr>
          <w:rFonts w:ascii="Arial" w:hAnsi="Arial" w:cs="Arial"/>
          <w:color w:val="4472C4" w:themeColor="accent1"/>
          <w:sz w:val="22"/>
          <w:szCs w:val="22"/>
          <w:lang w:val="en-GB"/>
        </w:rPr>
        <w:t xml:space="preserve">while ipso facto clause is valid and enforceable in the UK, it is not an “insolvency proceeding” within the meaning of Article 21.  The court in the UK therefore has no jurisdiction (under Article 21) to prevent the termination of a contract pursuant to an ipso factor </w:t>
      </w:r>
      <w:r w:rsidR="00CF18E7" w:rsidRPr="001047C7">
        <w:rPr>
          <w:rFonts w:ascii="Arial" w:hAnsi="Arial" w:cs="Arial"/>
          <w:color w:val="4472C4" w:themeColor="accent1"/>
          <w:sz w:val="22"/>
          <w:szCs w:val="22"/>
          <w:lang w:val="en-GB"/>
        </w:rPr>
        <w:t>clause</w:t>
      </w:r>
      <w:r w:rsidR="00D769AB" w:rsidRPr="001047C7">
        <w:rPr>
          <w:rFonts w:ascii="Arial" w:hAnsi="Arial" w:cs="Arial"/>
          <w:color w:val="4472C4" w:themeColor="accent1"/>
          <w:sz w:val="22"/>
          <w:szCs w:val="22"/>
          <w:lang w:val="en-GB"/>
        </w:rPr>
        <w:t xml:space="preserve">: </w:t>
      </w:r>
      <w:r w:rsidR="00D769AB" w:rsidRPr="001047C7">
        <w:rPr>
          <w:rFonts w:ascii="Arial" w:hAnsi="Arial" w:cs="Arial"/>
          <w:i/>
          <w:iCs/>
          <w:color w:val="4472C4" w:themeColor="accent1"/>
          <w:sz w:val="22"/>
          <w:szCs w:val="22"/>
          <w:lang w:val="en-GB"/>
        </w:rPr>
        <w:t>Pan Ocean case</w:t>
      </w:r>
      <w:r w:rsidR="00D769AB" w:rsidRPr="001047C7">
        <w:rPr>
          <w:rFonts w:ascii="Arial" w:hAnsi="Arial" w:cs="Arial"/>
          <w:color w:val="4472C4" w:themeColor="accent1"/>
          <w:sz w:val="22"/>
          <w:szCs w:val="22"/>
          <w:lang w:val="en-GB"/>
        </w:rPr>
        <w:t xml:space="preserve"> [2014]</w:t>
      </w:r>
    </w:p>
    <w:p w14:paraId="5D7689F1" w14:textId="5B8171DC" w:rsidR="00CF18E7" w:rsidRDefault="00CF18E7" w:rsidP="005C5319">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ability to terminate a contract based on ipso facto clause has been limited in the light of </w:t>
      </w:r>
      <w:r w:rsidR="000A421C">
        <w:rPr>
          <w:rFonts w:ascii="Arial" w:hAnsi="Arial" w:cs="Arial"/>
          <w:color w:val="4472C4" w:themeColor="accent1"/>
          <w:sz w:val="22"/>
          <w:szCs w:val="22"/>
          <w:lang w:val="en-GB"/>
        </w:rPr>
        <w:t xml:space="preserve">CIGA 2020; but this is a different issue from the ability (jurisdiction) of the court to prevent termination under Article 21.  </w:t>
      </w:r>
    </w:p>
    <w:p w14:paraId="66EA3324" w14:textId="7714365D" w:rsidR="006111E6" w:rsidRDefault="006111E6" w:rsidP="005C5319">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 terms of evidence, the application must be accompanied by documents supporting the application, as set out in Article 15.  Among them include (a) a certified copy of the decision commencing the foreign proceeding and appointing the foreign representative, (b) a certificate from the foreign court affirming the existence of the foreign proceeding and of the appointment of the foreign representative, and (c) other supporting documents.  </w:t>
      </w:r>
    </w:p>
    <w:p w14:paraId="6906451B" w14:textId="4A09FD94" w:rsidR="007F70C4" w:rsidRPr="00AB0C87" w:rsidRDefault="007F70C4" w:rsidP="005C5319">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Another restriction is</w:t>
      </w:r>
      <w:r w:rsidR="004621B4">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the applicant is subject to </w:t>
      </w:r>
      <w:r w:rsidR="00573CA4">
        <w:rPr>
          <w:rFonts w:ascii="Arial" w:hAnsi="Arial" w:cs="Arial"/>
          <w:color w:val="4472C4" w:themeColor="accent1"/>
          <w:sz w:val="22"/>
          <w:szCs w:val="22"/>
          <w:lang w:val="en-GB"/>
        </w:rPr>
        <w:t>compliance</w:t>
      </w:r>
      <w:r>
        <w:rPr>
          <w:rFonts w:ascii="Arial" w:hAnsi="Arial" w:cs="Arial"/>
          <w:color w:val="4472C4" w:themeColor="accent1"/>
          <w:sz w:val="22"/>
          <w:szCs w:val="22"/>
          <w:lang w:val="en-GB"/>
        </w:rPr>
        <w:t xml:space="preserve"> with local </w:t>
      </w:r>
      <w:r w:rsidR="00573CA4">
        <w:rPr>
          <w:rFonts w:ascii="Arial" w:hAnsi="Arial" w:cs="Arial"/>
          <w:color w:val="4472C4" w:themeColor="accent1"/>
          <w:sz w:val="22"/>
          <w:szCs w:val="22"/>
          <w:lang w:val="en-GB"/>
        </w:rPr>
        <w:t xml:space="preserve">procedural and notice requirements.  </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7D827F5E" w:rsidR="00DF75F8" w:rsidRDefault="00092816" w:rsidP="00707FC8">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Prior to the court </w:t>
      </w:r>
      <w:r w:rsidR="001133F3">
        <w:rPr>
          <w:rFonts w:ascii="Arial" w:hAnsi="Arial" w:cs="Arial"/>
          <w:color w:val="4472C4" w:themeColor="accent1"/>
          <w:sz w:val="22"/>
          <w:szCs w:val="22"/>
          <w:lang w:val="en-GB"/>
        </w:rPr>
        <w:t>deciding</w:t>
      </w:r>
      <w:r>
        <w:rPr>
          <w:rFonts w:ascii="Arial" w:hAnsi="Arial" w:cs="Arial"/>
          <w:color w:val="4472C4" w:themeColor="accent1"/>
          <w:sz w:val="22"/>
          <w:szCs w:val="22"/>
          <w:lang w:val="en-GB"/>
        </w:rPr>
        <w:t xml:space="preserve"> on whether to recognise a foreign proceeding, the court of the enacting State is entitled to grant interim relief (Article 19).  </w:t>
      </w:r>
      <w:r w:rsidR="001133F3">
        <w:rPr>
          <w:rFonts w:ascii="Arial" w:hAnsi="Arial" w:cs="Arial"/>
          <w:color w:val="4472C4" w:themeColor="accent1"/>
          <w:sz w:val="22"/>
          <w:szCs w:val="22"/>
          <w:lang w:val="en-GB"/>
        </w:rPr>
        <w:t xml:space="preserve">The relief include: </w:t>
      </w:r>
    </w:p>
    <w:p w14:paraId="256DE530" w14:textId="03FE39A8" w:rsidR="001133F3" w:rsidRDefault="001133F3" w:rsidP="00707FC8">
      <w:pPr>
        <w:jc w:val="both"/>
        <w:rPr>
          <w:rFonts w:ascii="Arial" w:hAnsi="Arial" w:cs="Arial"/>
          <w:color w:val="4472C4" w:themeColor="accent1"/>
          <w:sz w:val="22"/>
          <w:szCs w:val="22"/>
          <w:lang w:val="en-GB"/>
        </w:rPr>
      </w:pPr>
    </w:p>
    <w:p w14:paraId="4AF6A5FE" w14:textId="4556213A" w:rsidR="001133F3" w:rsidRDefault="001133F3" w:rsidP="005C5319">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 stay of execution in relation to the assets of the debtor</w:t>
      </w:r>
      <w:r w:rsidR="00C062E2">
        <w:rPr>
          <w:rFonts w:ascii="Arial" w:hAnsi="Arial" w:cs="Arial"/>
          <w:color w:val="4472C4" w:themeColor="accent1"/>
          <w:sz w:val="22"/>
          <w:szCs w:val="22"/>
          <w:lang w:val="en-GB"/>
        </w:rPr>
        <w:t xml:space="preserve">. </w:t>
      </w:r>
    </w:p>
    <w:p w14:paraId="08CD4200" w14:textId="59CBD8AB" w:rsidR="001133F3" w:rsidRDefault="001133F3" w:rsidP="005C5319">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entrusting the administration of the debtor’s assets in the hands of the foreign representative or any other person as may be appointed by the court of the enacting State, </w:t>
      </w:r>
      <w:r w:rsidR="00C062E2">
        <w:rPr>
          <w:rFonts w:ascii="Arial" w:hAnsi="Arial" w:cs="Arial"/>
          <w:color w:val="4472C4" w:themeColor="accent1"/>
          <w:sz w:val="22"/>
          <w:szCs w:val="22"/>
          <w:lang w:val="en-GB"/>
        </w:rPr>
        <w:t>to</w:t>
      </w:r>
      <w:r>
        <w:rPr>
          <w:rFonts w:ascii="Arial" w:hAnsi="Arial" w:cs="Arial"/>
          <w:color w:val="4472C4" w:themeColor="accent1"/>
          <w:sz w:val="22"/>
          <w:szCs w:val="22"/>
          <w:lang w:val="en-GB"/>
        </w:rPr>
        <w:t xml:space="preserve"> protect and preserve the value of assets</w:t>
      </w:r>
      <w:r w:rsidR="00C062E2">
        <w:rPr>
          <w:rFonts w:ascii="Arial" w:hAnsi="Arial" w:cs="Arial"/>
          <w:color w:val="4472C4" w:themeColor="accent1"/>
          <w:sz w:val="22"/>
          <w:szCs w:val="22"/>
          <w:lang w:val="en-GB"/>
        </w:rPr>
        <w:t xml:space="preserve">. </w:t>
      </w:r>
    </w:p>
    <w:p w14:paraId="37EA5F47" w14:textId="135EC9D9" w:rsidR="001133F3" w:rsidRDefault="001133F3" w:rsidP="005C5319">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suspending the </w:t>
      </w:r>
      <w:r w:rsidR="00C062E2">
        <w:rPr>
          <w:rFonts w:ascii="Arial" w:hAnsi="Arial" w:cs="Arial"/>
          <w:color w:val="4472C4" w:themeColor="accent1"/>
          <w:sz w:val="22"/>
          <w:szCs w:val="22"/>
          <w:lang w:val="en-GB"/>
        </w:rPr>
        <w:t xml:space="preserve">transfer or disposal of assets of the debtor. </w:t>
      </w:r>
    </w:p>
    <w:p w14:paraId="40A55EB0" w14:textId="39F39D37" w:rsidR="00C062E2" w:rsidRPr="001133F3" w:rsidRDefault="00C062E2" w:rsidP="005C5319">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allowing for the examination of witnesses and taking of evidence or information relation to the debtor’s asset.  </w:t>
      </w:r>
    </w:p>
    <w:p w14:paraId="4AE7EA78" w14:textId="32A77F25" w:rsidR="007D7C92" w:rsidRDefault="007D7C92" w:rsidP="00707FC8">
      <w:pPr>
        <w:ind w:left="720" w:hanging="720"/>
        <w:jc w:val="both"/>
        <w:rPr>
          <w:rFonts w:ascii="Arial" w:hAnsi="Arial" w:cs="Arial"/>
          <w:sz w:val="22"/>
          <w:szCs w:val="22"/>
          <w:lang w:val="en-GB"/>
        </w:rPr>
      </w:pPr>
    </w:p>
    <w:p w14:paraId="5EC57DA4" w14:textId="359F5BC9" w:rsidR="00904662" w:rsidRPr="0044145F" w:rsidRDefault="00904662" w:rsidP="0044145F">
      <w:pPr>
        <w:jc w:val="both"/>
        <w:rPr>
          <w:rFonts w:ascii="Arial" w:hAnsi="Arial" w:cs="Arial"/>
          <w:color w:val="4472C4" w:themeColor="accent1"/>
          <w:sz w:val="22"/>
          <w:szCs w:val="22"/>
          <w:lang w:val="en-GB"/>
        </w:rPr>
      </w:pPr>
      <w:r w:rsidRPr="0044145F">
        <w:rPr>
          <w:rFonts w:ascii="Arial" w:hAnsi="Arial" w:cs="Arial"/>
          <w:color w:val="4472C4" w:themeColor="accent1"/>
          <w:sz w:val="22"/>
          <w:szCs w:val="22"/>
          <w:lang w:val="en-GB"/>
        </w:rPr>
        <w:t xml:space="preserve">The interim relief is available if it is needed urgently to protect the assets of the </w:t>
      </w:r>
      <w:r w:rsidR="0044145F" w:rsidRPr="0044145F">
        <w:rPr>
          <w:rFonts w:ascii="Arial" w:hAnsi="Arial" w:cs="Arial"/>
          <w:color w:val="4472C4" w:themeColor="accent1"/>
          <w:sz w:val="22"/>
          <w:szCs w:val="22"/>
          <w:lang w:val="en-GB"/>
        </w:rPr>
        <w:t>debtor,</w:t>
      </w:r>
      <w:r w:rsidRPr="0044145F">
        <w:rPr>
          <w:rFonts w:ascii="Arial" w:hAnsi="Arial" w:cs="Arial"/>
          <w:color w:val="4472C4" w:themeColor="accent1"/>
          <w:sz w:val="22"/>
          <w:szCs w:val="22"/>
          <w:lang w:val="en-GB"/>
        </w:rPr>
        <w:t xml:space="preserve"> or it is in the interest of the </w:t>
      </w:r>
      <w:r w:rsidR="0044145F" w:rsidRPr="0044145F">
        <w:rPr>
          <w:rFonts w:ascii="Arial" w:hAnsi="Arial" w:cs="Arial"/>
          <w:color w:val="4472C4" w:themeColor="accent1"/>
          <w:sz w:val="22"/>
          <w:szCs w:val="22"/>
          <w:lang w:val="en-GB"/>
        </w:rPr>
        <w:t xml:space="preserve">creditors.  An example of the need to is to protect and preserve the value </w:t>
      </w:r>
      <w:r w:rsidR="0044145F" w:rsidRPr="0044145F">
        <w:rPr>
          <w:rFonts w:ascii="Arial" w:hAnsi="Arial" w:cs="Arial"/>
          <w:color w:val="4472C4" w:themeColor="accent1"/>
          <w:sz w:val="22"/>
          <w:szCs w:val="22"/>
          <w:lang w:val="en-GB"/>
        </w:rPr>
        <w:lastRenderedPageBreak/>
        <w:t>of the perishable assets</w:t>
      </w:r>
      <w:r w:rsidR="0044145F">
        <w:rPr>
          <w:rFonts w:ascii="Arial" w:hAnsi="Arial" w:cs="Arial"/>
          <w:color w:val="4472C4" w:themeColor="accent1"/>
          <w:sz w:val="22"/>
          <w:szCs w:val="22"/>
          <w:lang w:val="en-GB"/>
        </w:rPr>
        <w:t xml:space="preserve"> of the debtor</w:t>
      </w:r>
      <w:r w:rsidR="0044145F" w:rsidRPr="0044145F">
        <w:rPr>
          <w:rFonts w:ascii="Arial" w:hAnsi="Arial" w:cs="Arial"/>
          <w:color w:val="4472C4" w:themeColor="accent1"/>
          <w:sz w:val="22"/>
          <w:szCs w:val="22"/>
          <w:lang w:val="en-GB"/>
        </w:rPr>
        <w:t>.  Another example is to prevent the asset</w:t>
      </w:r>
      <w:r w:rsidR="0044145F">
        <w:rPr>
          <w:rFonts w:ascii="Arial" w:hAnsi="Arial" w:cs="Arial"/>
          <w:color w:val="4472C4" w:themeColor="accent1"/>
          <w:sz w:val="22"/>
          <w:szCs w:val="22"/>
          <w:lang w:val="en-GB"/>
        </w:rPr>
        <w:t>s of the debtor</w:t>
      </w:r>
      <w:r w:rsidR="0044145F" w:rsidRPr="0044145F">
        <w:rPr>
          <w:rFonts w:ascii="Arial" w:hAnsi="Arial" w:cs="Arial"/>
          <w:color w:val="4472C4" w:themeColor="accent1"/>
          <w:sz w:val="22"/>
          <w:szCs w:val="22"/>
          <w:lang w:val="en-GB"/>
        </w:rPr>
        <w:t xml:space="preserve"> from dissipation that may prejudice the interest of creditors.  </w:t>
      </w:r>
    </w:p>
    <w:p w14:paraId="6EC82A77" w14:textId="77777777" w:rsidR="0044145F" w:rsidRDefault="0044145F" w:rsidP="00C062E2">
      <w:pPr>
        <w:jc w:val="both"/>
        <w:rPr>
          <w:rFonts w:ascii="Arial" w:hAnsi="Arial" w:cs="Arial"/>
          <w:color w:val="4472C4" w:themeColor="accent1"/>
          <w:sz w:val="22"/>
          <w:szCs w:val="22"/>
          <w:lang w:val="en-GB"/>
        </w:rPr>
      </w:pPr>
    </w:p>
    <w:p w14:paraId="111EA170" w14:textId="23D99F7C" w:rsidR="00D17FDC" w:rsidRDefault="00C062E2" w:rsidP="00C062E2">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Upon the court recognising the foreign proceeding, the court of the enacting State has discretionary power to grant various relief, and they include</w:t>
      </w:r>
      <w:r w:rsidR="00904662">
        <w:rPr>
          <w:rFonts w:ascii="Arial" w:hAnsi="Arial" w:cs="Arial"/>
          <w:color w:val="4472C4" w:themeColor="accent1"/>
          <w:sz w:val="22"/>
          <w:szCs w:val="22"/>
          <w:lang w:val="en-GB"/>
        </w:rPr>
        <w:t xml:space="preserve"> (Article 21)</w:t>
      </w:r>
      <w:r>
        <w:rPr>
          <w:rFonts w:ascii="Arial" w:hAnsi="Arial" w:cs="Arial"/>
          <w:color w:val="4472C4" w:themeColor="accent1"/>
          <w:sz w:val="22"/>
          <w:szCs w:val="22"/>
          <w:lang w:val="en-GB"/>
        </w:rPr>
        <w:t xml:space="preserve">.  </w:t>
      </w:r>
    </w:p>
    <w:p w14:paraId="5065392D" w14:textId="564F59D9" w:rsidR="00C062E2" w:rsidRDefault="00C062E2" w:rsidP="00C062E2">
      <w:pPr>
        <w:jc w:val="both"/>
        <w:rPr>
          <w:rFonts w:ascii="Arial" w:hAnsi="Arial" w:cs="Arial"/>
          <w:color w:val="4472C4" w:themeColor="accent1"/>
          <w:sz w:val="22"/>
          <w:szCs w:val="22"/>
          <w:lang w:val="en-GB"/>
        </w:rPr>
      </w:pPr>
    </w:p>
    <w:p w14:paraId="61474E80" w14:textId="77777777" w:rsidR="00904662" w:rsidRDefault="00904662" w:rsidP="005C5319">
      <w:pPr>
        <w:pStyle w:val="ListParagraph"/>
        <w:numPr>
          <w:ilvl w:val="0"/>
          <w:numId w:val="23"/>
        </w:numPr>
        <w:jc w:val="both"/>
        <w:rPr>
          <w:rFonts w:ascii="Arial" w:hAnsi="Arial" w:cs="Arial"/>
          <w:color w:val="4472C4" w:themeColor="accent1"/>
          <w:sz w:val="22"/>
          <w:szCs w:val="22"/>
          <w:lang w:val="en-GB"/>
        </w:rPr>
      </w:pPr>
      <w:r w:rsidRPr="00904662">
        <w:rPr>
          <w:rFonts w:ascii="Arial" w:hAnsi="Arial" w:cs="Arial"/>
          <w:color w:val="4472C4" w:themeColor="accent1"/>
          <w:sz w:val="22"/>
          <w:szCs w:val="22"/>
          <w:lang w:val="en-GB"/>
        </w:rPr>
        <w:t xml:space="preserve">staying legal proceedings against the debtor or debtor’s assets </w:t>
      </w:r>
    </w:p>
    <w:p w14:paraId="44ADD0DF" w14:textId="77777777" w:rsidR="00904662" w:rsidRDefault="00904662" w:rsidP="005C5319">
      <w:pPr>
        <w:pStyle w:val="ListParagraph"/>
        <w:numPr>
          <w:ilvl w:val="0"/>
          <w:numId w:val="23"/>
        </w:numPr>
        <w:jc w:val="both"/>
        <w:rPr>
          <w:rFonts w:ascii="Arial" w:hAnsi="Arial" w:cs="Arial"/>
          <w:color w:val="4472C4" w:themeColor="accent1"/>
          <w:sz w:val="22"/>
          <w:szCs w:val="22"/>
          <w:lang w:val="en-GB"/>
        </w:rPr>
      </w:pPr>
      <w:r w:rsidRPr="00904662">
        <w:rPr>
          <w:rFonts w:ascii="Arial" w:hAnsi="Arial" w:cs="Arial"/>
          <w:color w:val="4472C4" w:themeColor="accent1"/>
          <w:sz w:val="22"/>
          <w:szCs w:val="22"/>
          <w:lang w:val="en-GB"/>
        </w:rPr>
        <w:t xml:space="preserve">staying execution against the debtor’s assets </w:t>
      </w:r>
    </w:p>
    <w:p w14:paraId="461E40CC" w14:textId="77777777" w:rsidR="00904662" w:rsidRDefault="00904662" w:rsidP="005C5319">
      <w:pPr>
        <w:pStyle w:val="ListParagraph"/>
        <w:numPr>
          <w:ilvl w:val="0"/>
          <w:numId w:val="23"/>
        </w:numPr>
        <w:jc w:val="both"/>
        <w:rPr>
          <w:rFonts w:ascii="Arial" w:hAnsi="Arial" w:cs="Arial"/>
          <w:color w:val="4472C4" w:themeColor="accent1"/>
          <w:sz w:val="22"/>
          <w:szCs w:val="22"/>
          <w:lang w:val="en-GB"/>
        </w:rPr>
      </w:pPr>
      <w:r w:rsidRPr="00904662">
        <w:rPr>
          <w:rFonts w:ascii="Arial" w:hAnsi="Arial" w:cs="Arial"/>
          <w:color w:val="4472C4" w:themeColor="accent1"/>
          <w:sz w:val="22"/>
          <w:szCs w:val="22"/>
          <w:lang w:val="en-GB"/>
        </w:rPr>
        <w:t xml:space="preserve">suspend transfer or disposal of debtor’s assets </w:t>
      </w:r>
    </w:p>
    <w:p w14:paraId="7C5E6303" w14:textId="77777777" w:rsidR="00904662" w:rsidRDefault="00904662" w:rsidP="005C5319">
      <w:pPr>
        <w:pStyle w:val="ListParagraph"/>
        <w:numPr>
          <w:ilvl w:val="0"/>
          <w:numId w:val="23"/>
        </w:numPr>
        <w:jc w:val="both"/>
        <w:rPr>
          <w:rFonts w:ascii="Arial" w:hAnsi="Arial" w:cs="Arial"/>
          <w:color w:val="4472C4" w:themeColor="accent1"/>
          <w:sz w:val="22"/>
          <w:szCs w:val="22"/>
          <w:lang w:val="en-GB"/>
        </w:rPr>
      </w:pPr>
      <w:r w:rsidRPr="00904662">
        <w:rPr>
          <w:rFonts w:ascii="Arial" w:hAnsi="Arial" w:cs="Arial"/>
          <w:color w:val="4472C4" w:themeColor="accent1"/>
          <w:sz w:val="22"/>
          <w:szCs w:val="22"/>
          <w:lang w:val="en-GB"/>
        </w:rPr>
        <w:t xml:space="preserve">being able to examine witnesses or take evidence relating to the debtor’s assets </w:t>
      </w:r>
    </w:p>
    <w:p w14:paraId="33A9AB75" w14:textId="77777777" w:rsidR="00904662" w:rsidRDefault="00904662" w:rsidP="005C5319">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e</w:t>
      </w:r>
      <w:r w:rsidRPr="00904662">
        <w:rPr>
          <w:rFonts w:ascii="Arial" w:hAnsi="Arial" w:cs="Arial"/>
          <w:color w:val="4472C4" w:themeColor="accent1"/>
          <w:sz w:val="22"/>
          <w:szCs w:val="22"/>
          <w:lang w:val="en-GB"/>
        </w:rPr>
        <w:t xml:space="preserve">ntrusting the administration of the debtor’s assets in the hands of the foreign representative or any other person as may be appointed by the court and </w:t>
      </w:r>
    </w:p>
    <w:p w14:paraId="3D36C641" w14:textId="4142068A" w:rsidR="00C062E2" w:rsidRDefault="00904662" w:rsidP="005C5319">
      <w:pPr>
        <w:pStyle w:val="ListParagraph"/>
        <w:numPr>
          <w:ilvl w:val="0"/>
          <w:numId w:val="23"/>
        </w:numPr>
        <w:jc w:val="both"/>
        <w:rPr>
          <w:rFonts w:ascii="Arial" w:hAnsi="Arial" w:cs="Arial"/>
          <w:color w:val="4472C4" w:themeColor="accent1"/>
          <w:sz w:val="22"/>
          <w:szCs w:val="22"/>
          <w:lang w:val="en-GB"/>
        </w:rPr>
      </w:pPr>
      <w:r w:rsidRPr="00904662">
        <w:rPr>
          <w:rFonts w:ascii="Arial" w:hAnsi="Arial" w:cs="Arial"/>
          <w:color w:val="4472C4" w:themeColor="accent1"/>
          <w:sz w:val="22"/>
          <w:szCs w:val="22"/>
          <w:lang w:val="en-GB"/>
        </w:rPr>
        <w:t>grant interim relief as the court finds appropriate</w:t>
      </w:r>
    </w:p>
    <w:p w14:paraId="1D01B021" w14:textId="5AE29183" w:rsidR="001C0CE1" w:rsidRDefault="001C0CE1" w:rsidP="001C0CE1">
      <w:pPr>
        <w:jc w:val="both"/>
        <w:rPr>
          <w:rFonts w:ascii="Arial" w:hAnsi="Arial" w:cs="Arial"/>
          <w:color w:val="4472C4" w:themeColor="accent1"/>
          <w:sz w:val="22"/>
          <w:szCs w:val="22"/>
          <w:lang w:val="en-GB"/>
        </w:rPr>
      </w:pPr>
    </w:p>
    <w:p w14:paraId="3EF35FCA" w14:textId="26DBEBA1" w:rsidR="00F97EC4" w:rsidRDefault="001C0CE1" w:rsidP="001C0CE1">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Notwithstanding the relief granted by the court (whether it is pre or post recognition of a foreign proceeding), it does not prevent or affect the right </w:t>
      </w:r>
      <w:r w:rsidR="00B21987">
        <w:rPr>
          <w:rFonts w:ascii="Arial" w:hAnsi="Arial" w:cs="Arial"/>
          <w:color w:val="4472C4" w:themeColor="accent1"/>
          <w:sz w:val="22"/>
          <w:szCs w:val="22"/>
          <w:lang w:val="en-GB"/>
        </w:rPr>
        <w:t xml:space="preserve">of a creditor </w:t>
      </w:r>
      <w:r>
        <w:rPr>
          <w:rFonts w:ascii="Arial" w:hAnsi="Arial" w:cs="Arial"/>
          <w:color w:val="4472C4" w:themeColor="accent1"/>
          <w:sz w:val="22"/>
          <w:szCs w:val="22"/>
          <w:lang w:val="en-GB"/>
        </w:rPr>
        <w:t xml:space="preserve">to commence proceedings against the debtor if it is necessary to preserve a claim against the debtor (Article 20).  </w:t>
      </w:r>
    </w:p>
    <w:p w14:paraId="5ADA3EA8" w14:textId="77777777" w:rsidR="00F97EC4" w:rsidRDefault="00F97EC4" w:rsidP="001C0CE1">
      <w:pPr>
        <w:jc w:val="both"/>
        <w:rPr>
          <w:rFonts w:ascii="Arial" w:hAnsi="Arial" w:cs="Arial"/>
          <w:color w:val="4472C4" w:themeColor="accent1"/>
          <w:sz w:val="22"/>
          <w:szCs w:val="22"/>
          <w:lang w:val="en-GB"/>
        </w:rPr>
      </w:pPr>
    </w:p>
    <w:p w14:paraId="40F541D4" w14:textId="158913B6" w:rsidR="001C0CE1" w:rsidRDefault="00F97EC4" w:rsidP="001C0CE1">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Further, i</w:t>
      </w:r>
      <w:r w:rsidR="001C0CE1">
        <w:rPr>
          <w:rFonts w:ascii="Arial" w:hAnsi="Arial" w:cs="Arial"/>
          <w:color w:val="4472C4" w:themeColor="accent1"/>
          <w:sz w:val="22"/>
          <w:szCs w:val="22"/>
          <w:lang w:val="en-GB"/>
        </w:rPr>
        <w:t xml:space="preserve">t does not affect the right </w:t>
      </w:r>
      <w:r>
        <w:rPr>
          <w:rFonts w:ascii="Arial" w:hAnsi="Arial" w:cs="Arial"/>
          <w:color w:val="4472C4" w:themeColor="accent1"/>
          <w:sz w:val="22"/>
          <w:szCs w:val="22"/>
          <w:lang w:val="en-GB"/>
        </w:rPr>
        <w:t xml:space="preserve">of creditor </w:t>
      </w:r>
      <w:r w:rsidR="001C0CE1">
        <w:rPr>
          <w:rFonts w:ascii="Arial" w:hAnsi="Arial" w:cs="Arial"/>
          <w:color w:val="4472C4" w:themeColor="accent1"/>
          <w:sz w:val="22"/>
          <w:szCs w:val="22"/>
          <w:lang w:val="en-GB"/>
        </w:rPr>
        <w:t xml:space="preserve">to commence domestic legal proceedings. </w:t>
      </w:r>
    </w:p>
    <w:p w14:paraId="46C5F366" w14:textId="3317786E" w:rsidR="00573CA4" w:rsidRDefault="00573CA4" w:rsidP="001C0CE1">
      <w:pPr>
        <w:jc w:val="both"/>
        <w:rPr>
          <w:rFonts w:ascii="Arial" w:hAnsi="Arial" w:cs="Arial"/>
          <w:color w:val="4472C4" w:themeColor="accent1"/>
          <w:sz w:val="22"/>
          <w:szCs w:val="22"/>
          <w:lang w:val="en-GB"/>
        </w:rPr>
      </w:pPr>
    </w:p>
    <w:p w14:paraId="06AA2D8A" w14:textId="6267C020" w:rsidR="00573CA4" w:rsidRDefault="00573CA4" w:rsidP="001C0CE1">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court of the enacting State will also deny the application if the relief sought falls is such that it is manifestly contrary to public policy.  </w:t>
      </w:r>
    </w:p>
    <w:p w14:paraId="41428143" w14:textId="2F65C7EC" w:rsidR="008A4297" w:rsidRDefault="008A4297" w:rsidP="001C0CE1">
      <w:pPr>
        <w:jc w:val="both"/>
        <w:rPr>
          <w:rFonts w:ascii="Arial" w:hAnsi="Arial" w:cs="Arial"/>
          <w:color w:val="4472C4" w:themeColor="accent1"/>
          <w:sz w:val="22"/>
          <w:szCs w:val="22"/>
          <w:lang w:val="en-GB"/>
        </w:rPr>
      </w:pPr>
    </w:p>
    <w:p w14:paraId="6EB387BE" w14:textId="5730DC99" w:rsidR="008A4297" w:rsidRPr="001C0CE1" w:rsidRDefault="008A4297" w:rsidP="001C0CE1">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Other limitation may include institutions that have been “carved out” such that MLCBI will not apply to such institutions; examples are banks, insurance company, and utility companies.    </w:t>
      </w:r>
    </w:p>
    <w:p w14:paraId="585AFCDF" w14:textId="76C9B484" w:rsidR="00C062E2" w:rsidRDefault="00C062E2" w:rsidP="00707FC8">
      <w:pPr>
        <w:ind w:left="720" w:hanging="720"/>
        <w:jc w:val="both"/>
        <w:rPr>
          <w:rFonts w:ascii="Arial" w:hAnsi="Arial" w:cs="Arial"/>
          <w:sz w:val="22"/>
          <w:szCs w:val="22"/>
          <w:lang w:val="en-GB"/>
        </w:rPr>
      </w:pPr>
    </w:p>
    <w:p w14:paraId="331F196D" w14:textId="77777777" w:rsidR="00F97EC4" w:rsidRPr="009B5832" w:rsidRDefault="00F97EC4"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21F936EA" w14:textId="77777777" w:rsidR="008A729B" w:rsidRDefault="008A729B" w:rsidP="00980314">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Interim relief granted (Article 19) is to protect and preserve the assets of the debtor pending the court’s decision on whether to recognise the foreign proceeding.  </w:t>
      </w:r>
    </w:p>
    <w:p w14:paraId="082BE8ED" w14:textId="77777777" w:rsidR="008A729B" w:rsidRDefault="008A729B" w:rsidP="00980314">
      <w:pPr>
        <w:jc w:val="both"/>
        <w:rPr>
          <w:rFonts w:ascii="Arial" w:hAnsi="Arial" w:cs="Arial"/>
          <w:color w:val="4472C4" w:themeColor="accent1"/>
          <w:sz w:val="22"/>
          <w:szCs w:val="22"/>
          <w:lang w:val="en-GB"/>
        </w:rPr>
      </w:pPr>
    </w:p>
    <w:p w14:paraId="2D6C2819" w14:textId="77777777" w:rsidR="008A729B" w:rsidRDefault="008A729B" w:rsidP="00980314">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the court of the enacting State recognises the foreign proceeding, the relief granted (Article 21) is likely to include all interim relief granted earlier under Article 19. </w:t>
      </w:r>
    </w:p>
    <w:p w14:paraId="3F5AF084" w14:textId="77777777" w:rsidR="008A729B" w:rsidRDefault="008A729B" w:rsidP="00980314">
      <w:pPr>
        <w:jc w:val="both"/>
        <w:rPr>
          <w:rFonts w:ascii="Arial" w:hAnsi="Arial" w:cs="Arial"/>
          <w:color w:val="4472C4" w:themeColor="accent1"/>
          <w:sz w:val="22"/>
          <w:szCs w:val="22"/>
          <w:lang w:val="en-GB"/>
        </w:rPr>
      </w:pPr>
    </w:p>
    <w:p w14:paraId="7BCB6618" w14:textId="77777777" w:rsidR="00723E60" w:rsidRDefault="008A729B" w:rsidP="00980314">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That being so, the pre-recognition relief will no longer be necessary and therefore unlikely to continue in post-recognition.  </w:t>
      </w:r>
    </w:p>
    <w:p w14:paraId="5F358D21" w14:textId="77777777" w:rsidR="00723E60" w:rsidRDefault="00723E60" w:rsidP="00980314">
      <w:pPr>
        <w:jc w:val="both"/>
        <w:rPr>
          <w:rFonts w:ascii="Arial" w:hAnsi="Arial" w:cs="Arial"/>
          <w:color w:val="4472C4" w:themeColor="accent1"/>
          <w:sz w:val="22"/>
          <w:szCs w:val="22"/>
          <w:lang w:val="en-GB"/>
        </w:rPr>
      </w:pPr>
    </w:p>
    <w:p w14:paraId="7F8E9782" w14:textId="104AE9A2" w:rsidR="008A729B" w:rsidRDefault="00723E60" w:rsidP="00980314">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Article 19, Paragraph 3 provides that “Unless extended … the relief granted under this article [relating to interim relief] terminates when the application for recognition is decided upon”.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w:t>
      </w:r>
      <w:r w:rsidRPr="009B5832">
        <w:rPr>
          <w:rFonts w:ascii="Arial" w:hAnsi="Arial" w:cs="Arial"/>
          <w:color w:val="000000"/>
          <w:sz w:val="22"/>
          <w:szCs w:val="22"/>
          <w:lang w:val="en-GB" w:eastAsia="en-GB"/>
        </w:rPr>
        <w:lastRenderedPageBreak/>
        <w:t>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5C5319">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5C5319">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5C5319">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5C5319">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5C5319">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5C5319">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5C5319">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5C5319">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5C5319">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5C5319">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5C5319">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 xml:space="preserve">an employee of the Fund, who on behalf of the Fund and within </w:t>
      </w:r>
      <w:r w:rsidRPr="009B5832">
        <w:rPr>
          <w:rFonts w:ascii="Arial" w:hAnsi="Arial" w:cs="Arial"/>
          <w:i/>
          <w:iCs/>
          <w:color w:val="000000"/>
          <w:sz w:val="22"/>
          <w:szCs w:val="22"/>
          <w:lang w:val="en-GB" w:eastAsia="en-GB"/>
        </w:rPr>
        <w:lastRenderedPageBreak/>
        <w:t>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5C5319">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5C5319">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5C5319">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5C5319">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5C5319">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9B5832">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7E92B942" w14:textId="77777777" w:rsidR="00680D3A" w:rsidRDefault="00680D3A" w:rsidP="008A7470">
      <w:pPr>
        <w:jc w:val="both"/>
        <w:rPr>
          <w:rFonts w:ascii="Arial" w:hAnsi="Arial" w:cs="Arial"/>
          <w:b/>
          <w:bCs/>
          <w:sz w:val="22"/>
          <w:szCs w:val="22"/>
          <w:lang w:val="en-GB"/>
        </w:rPr>
      </w:pPr>
    </w:p>
    <w:p w14:paraId="131BCA6D" w14:textId="77777777" w:rsidR="00680D3A" w:rsidRDefault="00680D3A" w:rsidP="008A7470">
      <w:pPr>
        <w:jc w:val="both"/>
        <w:rPr>
          <w:rFonts w:ascii="Arial" w:hAnsi="Arial" w:cs="Arial"/>
          <w:b/>
          <w:bCs/>
          <w:sz w:val="22"/>
          <w:szCs w:val="22"/>
          <w:lang w:val="en-GB"/>
        </w:rPr>
      </w:pPr>
    </w:p>
    <w:p w14:paraId="5199ECB1" w14:textId="5DDA19C7"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5D6DF89F" w14:textId="77777777" w:rsidR="0038142D" w:rsidRDefault="0038142D" w:rsidP="00707FC8">
      <w:pPr>
        <w:jc w:val="both"/>
        <w:rPr>
          <w:rFonts w:ascii="Arial" w:hAnsi="Arial" w:cs="Arial"/>
          <w:color w:val="4472C4" w:themeColor="accent1"/>
          <w:sz w:val="22"/>
          <w:szCs w:val="22"/>
          <w:lang w:val="en-GB"/>
        </w:rPr>
      </w:pPr>
    </w:p>
    <w:p w14:paraId="6E6B9AA4" w14:textId="4800B008" w:rsidR="00387106" w:rsidRDefault="002F62B1" w:rsidP="00707FC8">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 xml:space="preserve">Article 2(a) of MLCBI defines foreign proceeding as follows:  </w:t>
      </w:r>
    </w:p>
    <w:p w14:paraId="55DA030D" w14:textId="27B3DBC5" w:rsidR="002F62B1" w:rsidRDefault="002F62B1" w:rsidP="00707FC8">
      <w:pPr>
        <w:jc w:val="both"/>
        <w:rPr>
          <w:rFonts w:ascii="Arial" w:hAnsi="Arial" w:cs="Arial"/>
          <w:color w:val="4472C4" w:themeColor="accent1"/>
          <w:sz w:val="22"/>
          <w:szCs w:val="22"/>
          <w:lang w:val="en-GB"/>
        </w:rPr>
      </w:pPr>
    </w:p>
    <w:p w14:paraId="3A02EA6F" w14:textId="76CCF5AB" w:rsidR="002F62B1" w:rsidRPr="002F62B1" w:rsidRDefault="002F62B1" w:rsidP="005C5319">
      <w:pPr>
        <w:pStyle w:val="ListParagraph"/>
        <w:numPr>
          <w:ilvl w:val="0"/>
          <w:numId w:val="24"/>
        </w:numPr>
        <w:jc w:val="both"/>
        <w:rPr>
          <w:rFonts w:ascii="Arial" w:hAnsi="Arial" w:cs="Arial"/>
          <w:i/>
          <w:iCs/>
          <w:color w:val="4472C4" w:themeColor="accent1"/>
          <w:sz w:val="22"/>
          <w:szCs w:val="22"/>
          <w:lang w:val="en-GB"/>
        </w:rPr>
      </w:pPr>
      <w:r w:rsidRPr="002F62B1">
        <w:rPr>
          <w:rFonts w:ascii="Arial" w:hAnsi="Arial" w:cs="Arial"/>
          <w:i/>
          <w:iCs/>
          <w:color w:val="4472C4" w:themeColor="accent1"/>
          <w:sz w:val="22"/>
          <w:szCs w:val="22"/>
          <w:lang w:val="en-GB"/>
        </w:rPr>
        <w:t xml:space="preserve">“Foreign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or reorganisation or liquidation”    </w:t>
      </w:r>
    </w:p>
    <w:p w14:paraId="172B2D0A" w14:textId="5A0B0DB6" w:rsidR="00387106" w:rsidRPr="009B5832" w:rsidRDefault="00387106" w:rsidP="00707FC8">
      <w:pPr>
        <w:jc w:val="both"/>
        <w:rPr>
          <w:rFonts w:ascii="Arial" w:hAnsi="Arial" w:cs="Arial"/>
          <w:sz w:val="22"/>
          <w:szCs w:val="22"/>
          <w:lang w:val="en-GB"/>
        </w:rPr>
      </w:pPr>
    </w:p>
    <w:p w14:paraId="70C6A8B6" w14:textId="32F9A85B" w:rsidR="00126A4D" w:rsidRDefault="00126A4D" w:rsidP="00707FC8">
      <w:pPr>
        <w:autoSpaceDE w:val="0"/>
        <w:autoSpaceDN w:val="0"/>
        <w:adjustRightInd w:val="0"/>
        <w:spacing w:line="276" w:lineRule="auto"/>
        <w:jc w:val="both"/>
        <w:rPr>
          <w:rFonts w:ascii="Arial" w:hAnsi="Arial" w:cs="Arial"/>
          <w:sz w:val="22"/>
          <w:szCs w:val="22"/>
          <w:lang w:val="en-GB"/>
        </w:rPr>
      </w:pPr>
    </w:p>
    <w:p w14:paraId="3C854CDF" w14:textId="4505EE61" w:rsidR="00352A1C" w:rsidRPr="0038142D" w:rsidRDefault="0067280A" w:rsidP="00352A1C">
      <w:pPr>
        <w:autoSpaceDE w:val="0"/>
        <w:autoSpaceDN w:val="0"/>
        <w:adjustRightInd w:val="0"/>
        <w:spacing w:line="276" w:lineRule="auto"/>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To qualify as a “foreign proceeding”, </w:t>
      </w:r>
      <w:r w:rsidR="00B73D23">
        <w:rPr>
          <w:rFonts w:ascii="Arial" w:hAnsi="Arial" w:cs="Arial"/>
          <w:color w:val="4472C4" w:themeColor="accent1"/>
          <w:sz w:val="22"/>
          <w:szCs w:val="22"/>
          <w:lang w:val="en-GB"/>
        </w:rPr>
        <w:t xml:space="preserve">all the elements of the definition must be satisfied.  These elements will be discussed below. </w:t>
      </w:r>
      <w:proofErr w:type="gramStart"/>
      <w:r w:rsidR="004E2B3C">
        <w:rPr>
          <w:rFonts w:ascii="Arial" w:hAnsi="Arial" w:cs="Arial"/>
          <w:color w:val="4472C4" w:themeColor="accent1"/>
          <w:sz w:val="22"/>
          <w:szCs w:val="22"/>
          <w:lang w:val="en-GB"/>
        </w:rPr>
        <w:t>A number of</w:t>
      </w:r>
      <w:proofErr w:type="gramEnd"/>
      <w:r w:rsidR="004E2B3C">
        <w:rPr>
          <w:rFonts w:ascii="Arial" w:hAnsi="Arial" w:cs="Arial"/>
          <w:color w:val="4472C4" w:themeColor="accent1"/>
          <w:sz w:val="22"/>
          <w:szCs w:val="22"/>
          <w:lang w:val="en-GB"/>
        </w:rPr>
        <w:t xml:space="preserve"> elements were tested</w:t>
      </w:r>
      <w:r w:rsidR="0038142D">
        <w:rPr>
          <w:rFonts w:ascii="Arial" w:hAnsi="Arial" w:cs="Arial"/>
          <w:color w:val="4472C4" w:themeColor="accent1"/>
          <w:sz w:val="22"/>
          <w:szCs w:val="22"/>
          <w:lang w:val="en-GB"/>
        </w:rPr>
        <w:t xml:space="preserve"> and explained</w:t>
      </w:r>
      <w:r w:rsidR="004E2B3C">
        <w:rPr>
          <w:rFonts w:ascii="Arial" w:hAnsi="Arial" w:cs="Arial"/>
          <w:color w:val="4472C4" w:themeColor="accent1"/>
          <w:sz w:val="22"/>
          <w:szCs w:val="22"/>
          <w:lang w:val="en-GB"/>
        </w:rPr>
        <w:t xml:space="preserve"> in English court in the </w:t>
      </w:r>
      <w:r w:rsidR="004E2B3C" w:rsidRPr="0038142D">
        <w:rPr>
          <w:rFonts w:ascii="Arial" w:hAnsi="Arial" w:cs="Arial"/>
          <w:color w:val="4472C4" w:themeColor="accent1"/>
          <w:sz w:val="22"/>
          <w:szCs w:val="22"/>
          <w:lang w:val="en-GB"/>
        </w:rPr>
        <w:t xml:space="preserve">case of </w:t>
      </w:r>
      <w:proofErr w:type="spellStart"/>
      <w:r w:rsidR="004E2B3C" w:rsidRPr="0038142D">
        <w:rPr>
          <w:rFonts w:ascii="Arial" w:hAnsi="Arial" w:cs="Arial"/>
          <w:i/>
          <w:iCs/>
          <w:color w:val="4472C4" w:themeColor="accent1"/>
          <w:sz w:val="22"/>
          <w:szCs w:val="22"/>
          <w:lang w:val="en-GB"/>
        </w:rPr>
        <w:t>Agrokor</w:t>
      </w:r>
      <w:proofErr w:type="spellEnd"/>
      <w:r w:rsidR="0038142D">
        <w:rPr>
          <w:rFonts w:ascii="Arial" w:hAnsi="Arial" w:cs="Arial"/>
          <w:color w:val="4472C4" w:themeColor="accent1"/>
          <w:sz w:val="22"/>
          <w:szCs w:val="22"/>
          <w:lang w:val="en-GB"/>
        </w:rPr>
        <w:t xml:space="preserve"> [2017].  </w:t>
      </w:r>
      <w:r w:rsidR="004E2B3C" w:rsidRPr="0038142D">
        <w:rPr>
          <w:rFonts w:ascii="Arial" w:hAnsi="Arial" w:cs="Arial"/>
          <w:color w:val="4472C4" w:themeColor="accent1"/>
          <w:sz w:val="22"/>
          <w:szCs w:val="22"/>
          <w:lang w:val="en-GB"/>
        </w:rPr>
        <w:t xml:space="preserve">  </w:t>
      </w:r>
    </w:p>
    <w:p w14:paraId="60E2D828" w14:textId="77777777" w:rsidR="00352A1C" w:rsidRPr="00352A1C" w:rsidRDefault="00352A1C" w:rsidP="00352A1C">
      <w:pPr>
        <w:autoSpaceDE w:val="0"/>
        <w:autoSpaceDN w:val="0"/>
        <w:adjustRightInd w:val="0"/>
        <w:spacing w:line="276" w:lineRule="auto"/>
        <w:jc w:val="both"/>
        <w:rPr>
          <w:rFonts w:ascii="Arial" w:hAnsi="Arial" w:cs="Arial"/>
          <w:color w:val="4472C4" w:themeColor="accent1"/>
          <w:sz w:val="22"/>
          <w:szCs w:val="22"/>
          <w:lang w:val="en-GB"/>
        </w:rPr>
      </w:pPr>
    </w:p>
    <w:p w14:paraId="798B6BDE" w14:textId="73E0FA77" w:rsidR="00352A1C" w:rsidRDefault="0067280A" w:rsidP="005C5319">
      <w:pPr>
        <w:pStyle w:val="ListParagraph"/>
        <w:numPr>
          <w:ilvl w:val="0"/>
          <w:numId w:val="25"/>
        </w:numPr>
        <w:autoSpaceDE w:val="0"/>
        <w:autoSpaceDN w:val="0"/>
        <w:adjustRightInd w:val="0"/>
        <w:spacing w:line="276" w:lineRule="auto"/>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Judicial or administrative proceeding – </w:t>
      </w:r>
      <w:r w:rsidR="00B72D5F">
        <w:rPr>
          <w:rFonts w:ascii="Arial" w:hAnsi="Arial" w:cs="Arial"/>
          <w:color w:val="4472C4" w:themeColor="accent1"/>
          <w:sz w:val="22"/>
          <w:szCs w:val="22"/>
          <w:lang w:val="en-GB"/>
        </w:rPr>
        <w:t>Only one requirement (either it is a judicial or administrative proceeding) is required to be met.  In this case, the law in Country A provides for the Bank to be placed in liquidation</w:t>
      </w:r>
      <w:r w:rsidR="0038142D">
        <w:rPr>
          <w:rFonts w:ascii="Arial" w:hAnsi="Arial" w:cs="Arial"/>
          <w:color w:val="4472C4" w:themeColor="accent1"/>
          <w:sz w:val="22"/>
          <w:szCs w:val="22"/>
          <w:lang w:val="en-GB"/>
        </w:rPr>
        <w:t xml:space="preserve"> by NB (this is not a judicial proceeding)</w:t>
      </w:r>
      <w:r w:rsidR="00B72D5F">
        <w:rPr>
          <w:rFonts w:ascii="Arial" w:hAnsi="Arial" w:cs="Arial"/>
          <w:color w:val="4472C4" w:themeColor="accent1"/>
          <w:sz w:val="22"/>
          <w:szCs w:val="22"/>
          <w:lang w:val="en-GB"/>
        </w:rPr>
        <w:t xml:space="preserve">. </w:t>
      </w:r>
      <w:r w:rsidR="00D20244">
        <w:rPr>
          <w:rFonts w:ascii="Arial" w:hAnsi="Arial" w:cs="Arial"/>
          <w:color w:val="4472C4" w:themeColor="accent1"/>
          <w:sz w:val="22"/>
          <w:szCs w:val="22"/>
          <w:lang w:val="en-GB"/>
        </w:rPr>
        <w:t xml:space="preserve">While it was not placed in liquidation by the court, it was placed in liquidation by </w:t>
      </w:r>
      <w:proofErr w:type="spellStart"/>
      <w:r w:rsidR="0038142D">
        <w:rPr>
          <w:rFonts w:ascii="Arial" w:hAnsi="Arial" w:cs="Arial"/>
          <w:color w:val="4472C4" w:themeColor="accent1"/>
          <w:sz w:val="22"/>
          <w:szCs w:val="22"/>
          <w:lang w:val="en-GB"/>
        </w:rPr>
        <w:t>by</w:t>
      </w:r>
      <w:proofErr w:type="spellEnd"/>
      <w:r w:rsidR="0038142D">
        <w:rPr>
          <w:rFonts w:ascii="Arial" w:hAnsi="Arial" w:cs="Arial"/>
          <w:color w:val="4472C4" w:themeColor="accent1"/>
          <w:sz w:val="22"/>
          <w:szCs w:val="22"/>
          <w:lang w:val="en-GB"/>
        </w:rPr>
        <w:t xml:space="preserve"> operation of law where </w:t>
      </w:r>
      <w:r w:rsidR="00D20244">
        <w:rPr>
          <w:rFonts w:ascii="Arial" w:hAnsi="Arial" w:cs="Arial"/>
          <w:color w:val="4472C4" w:themeColor="accent1"/>
          <w:sz w:val="22"/>
          <w:szCs w:val="22"/>
          <w:lang w:val="en-GB"/>
        </w:rPr>
        <w:t xml:space="preserve">DGF </w:t>
      </w:r>
      <w:r w:rsidR="0038142D">
        <w:rPr>
          <w:rFonts w:ascii="Arial" w:hAnsi="Arial" w:cs="Arial"/>
          <w:color w:val="4472C4" w:themeColor="accent1"/>
          <w:sz w:val="22"/>
          <w:szCs w:val="22"/>
          <w:lang w:val="en-GB"/>
        </w:rPr>
        <w:t xml:space="preserve">is the authorised body.  On the facts, NB and DGF are administrative bodies or special agencies.  This element is deemed met.  </w:t>
      </w:r>
      <w:r w:rsidR="00D20244">
        <w:rPr>
          <w:rFonts w:ascii="Arial" w:hAnsi="Arial" w:cs="Arial"/>
          <w:color w:val="4472C4" w:themeColor="accent1"/>
          <w:sz w:val="22"/>
          <w:szCs w:val="22"/>
          <w:lang w:val="en-GB"/>
        </w:rPr>
        <w:t xml:space="preserve">  </w:t>
      </w:r>
      <w:r w:rsidR="00B72D5F">
        <w:rPr>
          <w:rFonts w:ascii="Arial" w:hAnsi="Arial" w:cs="Arial"/>
          <w:color w:val="4472C4" w:themeColor="accent1"/>
          <w:sz w:val="22"/>
          <w:szCs w:val="22"/>
          <w:lang w:val="en-GB"/>
        </w:rPr>
        <w:t xml:space="preserve"> </w:t>
      </w:r>
    </w:p>
    <w:p w14:paraId="743CB4C1" w14:textId="77777777" w:rsidR="00B72D5F" w:rsidRDefault="00B72D5F" w:rsidP="00B72D5F">
      <w:pPr>
        <w:pStyle w:val="ListParagraph"/>
        <w:autoSpaceDE w:val="0"/>
        <w:autoSpaceDN w:val="0"/>
        <w:adjustRightInd w:val="0"/>
        <w:spacing w:line="276" w:lineRule="auto"/>
        <w:jc w:val="both"/>
        <w:rPr>
          <w:rFonts w:ascii="Arial" w:hAnsi="Arial" w:cs="Arial"/>
          <w:color w:val="4472C4" w:themeColor="accent1"/>
          <w:sz w:val="22"/>
          <w:szCs w:val="22"/>
          <w:lang w:val="en-GB"/>
        </w:rPr>
      </w:pPr>
    </w:p>
    <w:p w14:paraId="14626DC4" w14:textId="00D7BF9F" w:rsidR="00826505" w:rsidRDefault="0067280A" w:rsidP="005C5319">
      <w:pPr>
        <w:pStyle w:val="ListParagraph"/>
        <w:numPr>
          <w:ilvl w:val="0"/>
          <w:numId w:val="25"/>
        </w:numPr>
        <w:autoSpaceDE w:val="0"/>
        <w:autoSpaceDN w:val="0"/>
        <w:adjustRightInd w:val="0"/>
        <w:spacing w:line="276" w:lineRule="auto"/>
        <w:jc w:val="both"/>
        <w:rPr>
          <w:rFonts w:ascii="Arial" w:hAnsi="Arial" w:cs="Arial"/>
          <w:color w:val="4472C4" w:themeColor="accent1"/>
          <w:sz w:val="22"/>
          <w:szCs w:val="22"/>
          <w:lang w:val="en-GB"/>
        </w:rPr>
      </w:pPr>
      <w:r>
        <w:rPr>
          <w:rFonts w:ascii="Arial" w:hAnsi="Arial" w:cs="Arial"/>
          <w:color w:val="4472C4" w:themeColor="accent1"/>
          <w:sz w:val="22"/>
          <w:szCs w:val="22"/>
          <w:lang w:val="en-GB"/>
        </w:rPr>
        <w:t>Collective proceeding</w:t>
      </w:r>
      <w:r w:rsidR="00B73D23">
        <w:rPr>
          <w:rFonts w:ascii="Arial" w:hAnsi="Arial" w:cs="Arial"/>
          <w:color w:val="4472C4" w:themeColor="accent1"/>
          <w:sz w:val="22"/>
          <w:szCs w:val="22"/>
          <w:lang w:val="en-GB"/>
        </w:rPr>
        <w:t xml:space="preserve"> </w:t>
      </w:r>
      <w:r w:rsidR="00826505">
        <w:rPr>
          <w:rFonts w:ascii="Arial" w:hAnsi="Arial" w:cs="Arial"/>
          <w:color w:val="4472C4" w:themeColor="accent1"/>
          <w:sz w:val="22"/>
          <w:szCs w:val="22"/>
          <w:lang w:val="en-GB"/>
        </w:rPr>
        <w:t>–</w:t>
      </w:r>
      <w:r w:rsidR="00B73D23">
        <w:rPr>
          <w:rFonts w:ascii="Arial" w:hAnsi="Arial" w:cs="Arial"/>
          <w:color w:val="4472C4" w:themeColor="accent1"/>
          <w:sz w:val="22"/>
          <w:szCs w:val="22"/>
          <w:lang w:val="en-GB"/>
        </w:rPr>
        <w:t xml:space="preserve"> </w:t>
      </w:r>
      <w:r w:rsidR="00826505">
        <w:rPr>
          <w:rFonts w:ascii="Arial" w:hAnsi="Arial" w:cs="Arial"/>
          <w:color w:val="4472C4" w:themeColor="accent1"/>
          <w:sz w:val="22"/>
          <w:szCs w:val="22"/>
          <w:lang w:val="en-GB"/>
        </w:rPr>
        <w:t xml:space="preserve">To qualify as a collective proceeding, it must have various characteristics, which include having an orderly framework to address the rights and obligations of all creditors and all the debtor’s assets.  There must exist opportunities for creditors’ participation, including the creditors right to seek remedy in courts.  </w:t>
      </w:r>
      <w:r w:rsidR="00D31AFA">
        <w:rPr>
          <w:rFonts w:ascii="Arial" w:hAnsi="Arial" w:cs="Arial"/>
          <w:color w:val="4472C4" w:themeColor="accent1"/>
          <w:sz w:val="22"/>
          <w:szCs w:val="22"/>
          <w:lang w:val="en-GB"/>
        </w:rPr>
        <w:t>Creditors rights were considered.  On the facts, DGF had resolved an approved an amended list of creditors’ claims totalling about USD 1.113 billion.  T</w:t>
      </w:r>
      <w:r w:rsidR="00826505">
        <w:rPr>
          <w:rFonts w:ascii="Arial" w:hAnsi="Arial" w:cs="Arial"/>
          <w:color w:val="4472C4" w:themeColor="accent1"/>
          <w:sz w:val="22"/>
          <w:szCs w:val="22"/>
          <w:lang w:val="en-GB"/>
        </w:rPr>
        <w:t xml:space="preserve">here is nothing </w:t>
      </w:r>
      <w:r w:rsidR="00D31AFA">
        <w:rPr>
          <w:rFonts w:ascii="Arial" w:hAnsi="Arial" w:cs="Arial"/>
          <w:color w:val="4472C4" w:themeColor="accent1"/>
          <w:sz w:val="22"/>
          <w:szCs w:val="22"/>
          <w:lang w:val="en-GB"/>
        </w:rPr>
        <w:t xml:space="preserve">on the facts </w:t>
      </w:r>
      <w:r w:rsidR="00826505">
        <w:rPr>
          <w:rFonts w:ascii="Arial" w:hAnsi="Arial" w:cs="Arial"/>
          <w:color w:val="4472C4" w:themeColor="accent1"/>
          <w:sz w:val="22"/>
          <w:szCs w:val="22"/>
          <w:lang w:val="en-GB"/>
        </w:rPr>
        <w:t xml:space="preserve">to suggest that it is not a collective proceeding.  On this basis, it should be deemed that </w:t>
      </w:r>
      <w:r w:rsidR="00D25759">
        <w:rPr>
          <w:rFonts w:ascii="Arial" w:hAnsi="Arial" w:cs="Arial"/>
          <w:color w:val="4472C4" w:themeColor="accent1"/>
          <w:sz w:val="22"/>
          <w:szCs w:val="22"/>
          <w:lang w:val="en-GB"/>
        </w:rPr>
        <w:t xml:space="preserve">this element has also been met.  </w:t>
      </w:r>
    </w:p>
    <w:p w14:paraId="32138F00" w14:textId="6FDEEFA1" w:rsidR="00D31AFA" w:rsidRPr="00826505" w:rsidRDefault="00826505" w:rsidP="00826505">
      <w:pPr>
        <w:autoSpaceDE w:val="0"/>
        <w:autoSpaceDN w:val="0"/>
        <w:adjustRightInd w:val="0"/>
        <w:spacing w:line="276" w:lineRule="auto"/>
        <w:jc w:val="both"/>
        <w:rPr>
          <w:rFonts w:ascii="Arial" w:hAnsi="Arial" w:cs="Arial"/>
          <w:color w:val="4472C4" w:themeColor="accent1"/>
          <w:sz w:val="22"/>
          <w:szCs w:val="22"/>
          <w:lang w:val="en-GB"/>
        </w:rPr>
      </w:pPr>
      <w:r w:rsidRPr="00826505">
        <w:rPr>
          <w:rFonts w:ascii="Arial" w:hAnsi="Arial" w:cs="Arial"/>
          <w:color w:val="4472C4" w:themeColor="accent1"/>
          <w:sz w:val="22"/>
          <w:szCs w:val="22"/>
          <w:lang w:val="en-GB"/>
        </w:rPr>
        <w:t xml:space="preserve"> </w:t>
      </w:r>
    </w:p>
    <w:p w14:paraId="3BD9C6E8" w14:textId="11B23D72" w:rsidR="0067280A" w:rsidRDefault="0067280A" w:rsidP="005C5319">
      <w:pPr>
        <w:pStyle w:val="ListParagraph"/>
        <w:numPr>
          <w:ilvl w:val="0"/>
          <w:numId w:val="25"/>
        </w:numPr>
        <w:autoSpaceDE w:val="0"/>
        <w:autoSpaceDN w:val="0"/>
        <w:adjustRightInd w:val="0"/>
        <w:spacing w:line="276" w:lineRule="auto"/>
        <w:jc w:val="both"/>
        <w:rPr>
          <w:rFonts w:ascii="Arial" w:hAnsi="Arial" w:cs="Arial"/>
          <w:color w:val="4472C4" w:themeColor="accent1"/>
          <w:sz w:val="22"/>
          <w:szCs w:val="22"/>
          <w:lang w:val="en-GB"/>
        </w:rPr>
      </w:pPr>
      <w:r>
        <w:rPr>
          <w:rFonts w:ascii="Arial" w:hAnsi="Arial" w:cs="Arial"/>
          <w:color w:val="4472C4" w:themeColor="accent1"/>
          <w:sz w:val="22"/>
          <w:szCs w:val="22"/>
          <w:lang w:val="en-GB"/>
        </w:rPr>
        <w:t>Pursuant to a law relating to insolvency</w:t>
      </w:r>
      <w:r w:rsidR="00B73D23">
        <w:rPr>
          <w:rFonts w:ascii="Arial" w:hAnsi="Arial" w:cs="Arial"/>
          <w:color w:val="4472C4" w:themeColor="accent1"/>
          <w:sz w:val="22"/>
          <w:szCs w:val="22"/>
          <w:lang w:val="en-GB"/>
        </w:rPr>
        <w:t xml:space="preserve"> </w:t>
      </w:r>
      <w:r w:rsidR="00D25759">
        <w:rPr>
          <w:rFonts w:ascii="Arial" w:hAnsi="Arial" w:cs="Arial"/>
          <w:color w:val="4472C4" w:themeColor="accent1"/>
          <w:sz w:val="22"/>
          <w:szCs w:val="22"/>
          <w:lang w:val="en-GB"/>
        </w:rPr>
        <w:t>–</w:t>
      </w:r>
      <w:r w:rsidR="00B73D23">
        <w:rPr>
          <w:rFonts w:ascii="Arial" w:hAnsi="Arial" w:cs="Arial"/>
          <w:color w:val="4472C4" w:themeColor="accent1"/>
          <w:sz w:val="22"/>
          <w:szCs w:val="22"/>
          <w:lang w:val="en-GB"/>
        </w:rPr>
        <w:t xml:space="preserve"> </w:t>
      </w:r>
      <w:r w:rsidR="00D25759">
        <w:rPr>
          <w:rFonts w:ascii="Arial" w:hAnsi="Arial" w:cs="Arial"/>
          <w:color w:val="4472C4" w:themeColor="accent1"/>
          <w:sz w:val="22"/>
          <w:szCs w:val="22"/>
          <w:lang w:val="en-GB"/>
        </w:rPr>
        <w:t>The facts are self-evident in that the Bank is insolvent, as declared by NB.  It has been placed in liquidation, and individuals have been appointed to administer the assets of the Bank, for its stakeholders.  This element has therefore been met</w:t>
      </w:r>
      <w:r w:rsidR="00B123F3">
        <w:rPr>
          <w:rFonts w:ascii="Arial" w:hAnsi="Arial" w:cs="Arial"/>
          <w:color w:val="4472C4" w:themeColor="accent1"/>
          <w:sz w:val="22"/>
          <w:szCs w:val="22"/>
          <w:lang w:val="en-GB"/>
        </w:rPr>
        <w:t xml:space="preserve">: </w:t>
      </w:r>
    </w:p>
    <w:p w14:paraId="4DD28A4E" w14:textId="375AF28E" w:rsidR="00500491" w:rsidRPr="003C7939" w:rsidRDefault="003C7939" w:rsidP="003C7939">
      <w:pPr>
        <w:ind w:left="360"/>
        <w:jc w:val="both"/>
        <w:rPr>
          <w:rFonts w:ascii="Arial" w:hAnsi="Arial" w:cs="Arial"/>
          <w:color w:val="000000"/>
          <w:sz w:val="22"/>
          <w:szCs w:val="22"/>
          <w:lang w:val="en-GB" w:eastAsia="en-GB"/>
        </w:rPr>
      </w:pPr>
      <w:r w:rsidRPr="003C7939">
        <w:rPr>
          <w:rFonts w:ascii="Arial" w:hAnsi="Arial" w:cs="Arial"/>
          <w:color w:val="000000"/>
          <w:sz w:val="22"/>
          <w:szCs w:val="22"/>
          <w:lang w:val="en-GB" w:eastAsia="en-GB"/>
        </w:rPr>
        <w:t xml:space="preserve">  </w:t>
      </w:r>
    </w:p>
    <w:p w14:paraId="6D74B783" w14:textId="56B2F9BA" w:rsidR="0067280A" w:rsidRPr="003C7939" w:rsidRDefault="003C7939" w:rsidP="005C5319">
      <w:pPr>
        <w:pStyle w:val="ListParagraph"/>
        <w:numPr>
          <w:ilvl w:val="0"/>
          <w:numId w:val="25"/>
        </w:numPr>
        <w:autoSpaceDE w:val="0"/>
        <w:autoSpaceDN w:val="0"/>
        <w:adjustRightInd w:val="0"/>
        <w:spacing w:line="276" w:lineRule="auto"/>
        <w:jc w:val="both"/>
        <w:rPr>
          <w:rFonts w:ascii="Arial" w:hAnsi="Arial" w:cs="Arial"/>
          <w:color w:val="4472C4" w:themeColor="accent1"/>
          <w:sz w:val="22"/>
          <w:szCs w:val="22"/>
          <w:lang w:val="en-GB"/>
        </w:rPr>
      </w:pPr>
      <w:r w:rsidRPr="003C7939">
        <w:rPr>
          <w:rFonts w:ascii="Arial" w:hAnsi="Arial" w:cs="Arial"/>
          <w:b/>
          <w:bCs/>
          <w:color w:val="4472C4" w:themeColor="accent1"/>
          <w:sz w:val="22"/>
          <w:szCs w:val="22"/>
          <w:lang w:val="en-GB"/>
        </w:rPr>
        <w:t>In which the assets and affairs of the debtor are subject to control or supervision by a foreign court –</w:t>
      </w:r>
      <w:r w:rsidRPr="003C7939">
        <w:rPr>
          <w:rFonts w:ascii="Arial" w:hAnsi="Arial" w:cs="Arial"/>
          <w:color w:val="4472C4" w:themeColor="accent1"/>
          <w:sz w:val="22"/>
          <w:szCs w:val="22"/>
          <w:lang w:val="en-GB"/>
        </w:rPr>
        <w:t xml:space="preserve"> It is also evident</w:t>
      </w:r>
      <w:r w:rsidR="00D31AFA">
        <w:rPr>
          <w:rFonts w:ascii="Arial" w:hAnsi="Arial" w:cs="Arial"/>
          <w:color w:val="4472C4" w:themeColor="accent1"/>
          <w:sz w:val="22"/>
          <w:szCs w:val="22"/>
          <w:lang w:val="en-GB"/>
        </w:rPr>
        <w:t xml:space="preserve"> on the facts that</w:t>
      </w:r>
      <w:r w:rsidRPr="003C7939">
        <w:rPr>
          <w:rFonts w:ascii="Arial" w:hAnsi="Arial" w:cs="Arial"/>
          <w:color w:val="4472C4" w:themeColor="accent1"/>
          <w:sz w:val="22"/>
          <w:szCs w:val="22"/>
          <w:lang w:val="en-GB"/>
        </w:rPr>
        <w:t xml:space="preserve"> Ms C and/or Ms G were/are in control of the assets and affairs of the Bank.  While Ms C and/or Ms G are not subject to the supervision by the court in Country A, the courts have indicated that control and supervision may be exercised not only be the court, but also by an insolvency representative who is subject to the control or supervision by the court or other regulatory authority:  </w:t>
      </w:r>
      <w:proofErr w:type="spellStart"/>
      <w:r w:rsidRPr="003C7939">
        <w:rPr>
          <w:rFonts w:ascii="Arial" w:hAnsi="Arial" w:cs="Arial"/>
          <w:i/>
          <w:iCs/>
          <w:color w:val="4472C4" w:themeColor="accent1"/>
          <w:sz w:val="22"/>
          <w:szCs w:val="22"/>
          <w:lang w:val="en-GB"/>
        </w:rPr>
        <w:t>Betcorp</w:t>
      </w:r>
      <w:proofErr w:type="spellEnd"/>
      <w:r w:rsidRPr="003C7939">
        <w:rPr>
          <w:rFonts w:ascii="Arial" w:hAnsi="Arial" w:cs="Arial"/>
          <w:i/>
          <w:iCs/>
          <w:color w:val="4472C4" w:themeColor="accent1"/>
          <w:sz w:val="22"/>
          <w:szCs w:val="22"/>
          <w:lang w:val="en-GB"/>
        </w:rPr>
        <w:t xml:space="preserve"> Limited.</w:t>
      </w:r>
      <w:r w:rsidRPr="003C7939">
        <w:rPr>
          <w:rFonts w:ascii="Arial" w:hAnsi="Arial" w:cs="Arial"/>
          <w:color w:val="4472C4" w:themeColor="accent1"/>
          <w:sz w:val="22"/>
          <w:szCs w:val="22"/>
          <w:lang w:val="en-GB"/>
        </w:rPr>
        <w:t xml:space="preserve">  Ms C and</w:t>
      </w:r>
      <w:r w:rsidR="00D31AFA">
        <w:rPr>
          <w:rFonts w:ascii="Arial" w:hAnsi="Arial" w:cs="Arial"/>
          <w:color w:val="4472C4" w:themeColor="accent1"/>
          <w:sz w:val="22"/>
          <w:szCs w:val="22"/>
          <w:lang w:val="en-GB"/>
        </w:rPr>
        <w:t>/or</w:t>
      </w:r>
      <w:r w:rsidRPr="003C7939">
        <w:rPr>
          <w:rFonts w:ascii="Arial" w:hAnsi="Arial" w:cs="Arial"/>
          <w:color w:val="4472C4" w:themeColor="accent1"/>
          <w:sz w:val="22"/>
          <w:szCs w:val="22"/>
          <w:lang w:val="en-GB"/>
        </w:rPr>
        <w:t xml:space="preserve"> Ms G are both subject to control and supervision by the regulatory body (DGF).  It should be noted that the Courts have confirmed that both the assets and affairs of the debtor must be subject to control to meet this element. However,</w:t>
      </w:r>
      <w:r w:rsidRPr="00DF3D1E">
        <w:rPr>
          <w:rFonts w:ascii="Arial" w:hAnsi="Arial" w:cs="Arial"/>
          <w:i/>
          <w:iCs/>
          <w:color w:val="4472C4" w:themeColor="accent1"/>
          <w:sz w:val="22"/>
          <w:szCs w:val="22"/>
          <w:lang w:val="en-GB"/>
        </w:rPr>
        <w:t xml:space="preserve"> “</w:t>
      </w:r>
      <w:r w:rsidRPr="00DF3D1E">
        <w:rPr>
          <w:rFonts w:ascii="Arial" w:hAnsi="Arial" w:cs="Arial"/>
          <w:i/>
          <w:iCs/>
          <w:color w:val="4472C4" w:themeColor="accent1"/>
          <w:sz w:val="22"/>
          <w:szCs w:val="22"/>
          <w:lang w:val="en-GB" w:eastAsia="en-GB"/>
        </w:rPr>
        <w:t xml:space="preserve">Resolution 1513 expressly excludes from Ms G’s authority the power to </w:t>
      </w:r>
      <w:r w:rsidR="00D31AFA" w:rsidRPr="00DF3D1E">
        <w:rPr>
          <w:rFonts w:ascii="Arial" w:hAnsi="Arial" w:cs="Arial"/>
          <w:i/>
          <w:iCs/>
          <w:color w:val="4472C4" w:themeColor="accent1"/>
          <w:sz w:val="22"/>
          <w:szCs w:val="22"/>
          <w:lang w:val="en-GB" w:eastAsia="en-GB"/>
        </w:rPr>
        <w:t xml:space="preserve">… </w:t>
      </w:r>
      <w:r w:rsidRPr="00DF3D1E">
        <w:rPr>
          <w:rFonts w:ascii="Arial" w:hAnsi="Arial" w:cs="Arial"/>
          <w:i/>
          <w:iCs/>
          <w:color w:val="4472C4" w:themeColor="accent1"/>
          <w:sz w:val="22"/>
          <w:szCs w:val="22"/>
          <w:lang w:val="en-GB" w:eastAsia="en-GB"/>
        </w:rPr>
        <w:t xml:space="preserve">to arrange for the sale of the Bank’s assets. Each of the excluded powers remains vested in the DGF as the Bank’s formally appointed liquidator”.  </w:t>
      </w:r>
      <w:r w:rsidR="00DF3D1E">
        <w:rPr>
          <w:rFonts w:ascii="Arial" w:hAnsi="Arial" w:cs="Arial"/>
          <w:color w:val="4472C4" w:themeColor="accent1"/>
          <w:sz w:val="22"/>
          <w:szCs w:val="22"/>
          <w:lang w:val="en-GB" w:eastAsia="en-GB"/>
        </w:rPr>
        <w:t>An</w:t>
      </w:r>
      <w:r w:rsidRPr="003C7939">
        <w:rPr>
          <w:rFonts w:ascii="Arial" w:hAnsi="Arial" w:cs="Arial"/>
          <w:color w:val="4472C4" w:themeColor="accent1"/>
          <w:sz w:val="22"/>
          <w:szCs w:val="22"/>
          <w:lang w:val="en-GB" w:eastAsia="en-GB"/>
        </w:rPr>
        <w:t xml:space="preserve"> issue that arises </w:t>
      </w:r>
      <w:r w:rsidR="00034A7D">
        <w:rPr>
          <w:rFonts w:ascii="Arial" w:hAnsi="Arial" w:cs="Arial"/>
          <w:color w:val="4472C4" w:themeColor="accent1"/>
          <w:sz w:val="22"/>
          <w:szCs w:val="22"/>
          <w:lang w:val="en-GB" w:eastAsia="en-GB"/>
        </w:rPr>
        <w:t>is whether it</w:t>
      </w:r>
      <w:r w:rsidRPr="003C7939">
        <w:rPr>
          <w:rFonts w:ascii="Arial" w:hAnsi="Arial" w:cs="Arial"/>
          <w:color w:val="4472C4" w:themeColor="accent1"/>
          <w:sz w:val="22"/>
          <w:szCs w:val="22"/>
          <w:lang w:val="en-GB" w:eastAsia="en-GB"/>
        </w:rPr>
        <w:t xml:space="preserve"> meet</w:t>
      </w:r>
      <w:r w:rsidR="00034A7D">
        <w:rPr>
          <w:rFonts w:ascii="Arial" w:hAnsi="Arial" w:cs="Arial"/>
          <w:color w:val="4472C4" w:themeColor="accent1"/>
          <w:sz w:val="22"/>
          <w:szCs w:val="22"/>
          <w:lang w:val="en-GB" w:eastAsia="en-GB"/>
        </w:rPr>
        <w:t>s</w:t>
      </w:r>
      <w:r w:rsidRPr="003C7939">
        <w:rPr>
          <w:rFonts w:ascii="Arial" w:hAnsi="Arial" w:cs="Arial"/>
          <w:color w:val="4472C4" w:themeColor="accent1"/>
          <w:sz w:val="22"/>
          <w:szCs w:val="22"/>
          <w:lang w:val="en-GB" w:eastAsia="en-GB"/>
        </w:rPr>
        <w:t xml:space="preserve"> the requirement of “both the affairs and assets are subject to control”.  I am of the view that it does.  Ms G has control of the affairs and assets of the debtor </w:t>
      </w:r>
      <w:r w:rsidR="00034A7D">
        <w:rPr>
          <w:rFonts w:ascii="Arial" w:hAnsi="Arial" w:cs="Arial"/>
          <w:color w:val="4472C4" w:themeColor="accent1"/>
          <w:sz w:val="22"/>
          <w:szCs w:val="22"/>
          <w:lang w:val="en-GB" w:eastAsia="en-GB"/>
        </w:rPr>
        <w:t xml:space="preserve">and </w:t>
      </w:r>
      <w:r w:rsidRPr="003C7939">
        <w:rPr>
          <w:rFonts w:ascii="Arial" w:hAnsi="Arial" w:cs="Arial"/>
          <w:color w:val="4472C4" w:themeColor="accent1"/>
          <w:sz w:val="22"/>
          <w:szCs w:val="22"/>
          <w:lang w:val="en-GB" w:eastAsia="en-GB"/>
        </w:rPr>
        <w:t xml:space="preserve">DGF (a regulatory body) reserves </w:t>
      </w:r>
      <w:r w:rsidR="00034A7D">
        <w:rPr>
          <w:rFonts w:ascii="Arial" w:hAnsi="Arial" w:cs="Arial"/>
          <w:color w:val="4472C4" w:themeColor="accent1"/>
          <w:sz w:val="22"/>
          <w:szCs w:val="22"/>
          <w:lang w:val="en-GB" w:eastAsia="en-GB"/>
        </w:rPr>
        <w:t>these</w:t>
      </w:r>
      <w:r w:rsidRPr="003C7939">
        <w:rPr>
          <w:rFonts w:ascii="Arial" w:hAnsi="Arial" w:cs="Arial"/>
          <w:color w:val="4472C4" w:themeColor="accent1"/>
          <w:sz w:val="22"/>
          <w:szCs w:val="22"/>
          <w:lang w:val="en-GB" w:eastAsia="en-GB"/>
        </w:rPr>
        <w:t xml:space="preserve"> </w:t>
      </w:r>
      <w:r w:rsidRPr="003C7939">
        <w:rPr>
          <w:rFonts w:ascii="Arial" w:hAnsi="Arial" w:cs="Arial"/>
          <w:color w:val="4472C4" w:themeColor="accent1"/>
          <w:sz w:val="22"/>
          <w:szCs w:val="22"/>
          <w:lang w:val="en-GB" w:eastAsia="en-GB"/>
        </w:rPr>
        <w:lastRenderedPageBreak/>
        <w:t>powers to itself</w:t>
      </w:r>
      <w:r w:rsidR="00362EB1">
        <w:rPr>
          <w:rFonts w:ascii="Arial" w:hAnsi="Arial" w:cs="Arial"/>
          <w:color w:val="4472C4" w:themeColor="accent1"/>
          <w:sz w:val="22"/>
          <w:szCs w:val="22"/>
          <w:lang w:val="en-GB" w:eastAsia="en-GB"/>
        </w:rPr>
        <w:t xml:space="preserve"> (DGF itself is a foreign representative)</w:t>
      </w:r>
      <w:r w:rsidRPr="003C7939">
        <w:rPr>
          <w:rFonts w:ascii="Arial" w:hAnsi="Arial" w:cs="Arial"/>
          <w:color w:val="4472C4" w:themeColor="accent1"/>
          <w:sz w:val="22"/>
          <w:szCs w:val="22"/>
          <w:lang w:val="en-GB" w:eastAsia="en-GB"/>
        </w:rPr>
        <w:t>.</w:t>
      </w:r>
      <w:r w:rsidR="003C79A6">
        <w:rPr>
          <w:rFonts w:ascii="Arial" w:hAnsi="Arial" w:cs="Arial"/>
          <w:color w:val="4472C4" w:themeColor="accent1"/>
          <w:sz w:val="22"/>
          <w:szCs w:val="22"/>
          <w:lang w:val="en-GB" w:eastAsia="en-GB"/>
        </w:rPr>
        <w:t xml:space="preserve">  Even if this is an issue</w:t>
      </w:r>
      <w:r w:rsidR="00DF3D1E">
        <w:rPr>
          <w:rFonts w:ascii="Arial" w:hAnsi="Arial" w:cs="Arial"/>
          <w:color w:val="4472C4" w:themeColor="accent1"/>
          <w:sz w:val="22"/>
          <w:szCs w:val="22"/>
          <w:lang w:val="en-GB" w:eastAsia="en-GB"/>
        </w:rPr>
        <w:t xml:space="preserve">, arguably, </w:t>
      </w:r>
      <w:r w:rsidR="003C79A6">
        <w:rPr>
          <w:rFonts w:ascii="Arial" w:hAnsi="Arial" w:cs="Arial"/>
          <w:color w:val="4472C4" w:themeColor="accent1"/>
          <w:sz w:val="22"/>
          <w:szCs w:val="22"/>
          <w:lang w:val="en-GB" w:eastAsia="en-GB"/>
        </w:rPr>
        <w:t xml:space="preserve">(Ms G lacks the certain powers under Resolution 1513), Article 7 provides that “Nothing in this Law limits the power of a court to provide additional assistance to a foreign representative under other laws of this State”.  </w:t>
      </w:r>
      <w:r w:rsidR="00D75CE8">
        <w:rPr>
          <w:rFonts w:ascii="Arial" w:hAnsi="Arial" w:cs="Arial"/>
          <w:color w:val="4472C4" w:themeColor="accent1"/>
          <w:sz w:val="22"/>
          <w:szCs w:val="22"/>
          <w:lang w:val="en-GB" w:eastAsia="en-GB"/>
        </w:rPr>
        <w:t xml:space="preserve">The court in the UK may consider this Article in deciding whether all the elements of “foreign proceeding” have been met. </w:t>
      </w:r>
      <w:r w:rsidR="00DF3D1E">
        <w:rPr>
          <w:rFonts w:ascii="Arial" w:hAnsi="Arial" w:cs="Arial"/>
          <w:color w:val="4472C4" w:themeColor="accent1"/>
          <w:sz w:val="22"/>
          <w:szCs w:val="22"/>
          <w:lang w:val="en-GB" w:eastAsia="en-GB"/>
        </w:rPr>
        <w:t xml:space="preserve">In making the decision (interpretation of the powers of the court under MLCBI), Article 8 provides that “regard is to be had to its international origin and the need to promote uniformity in its application and the observance of good faith”. </w:t>
      </w:r>
    </w:p>
    <w:p w14:paraId="57D8E31A" w14:textId="77777777" w:rsidR="00DB3BC2" w:rsidRDefault="00DB3BC2" w:rsidP="00DB3BC2">
      <w:pPr>
        <w:pStyle w:val="ListParagraph"/>
        <w:autoSpaceDE w:val="0"/>
        <w:autoSpaceDN w:val="0"/>
        <w:adjustRightInd w:val="0"/>
        <w:spacing w:line="276" w:lineRule="auto"/>
        <w:jc w:val="both"/>
        <w:rPr>
          <w:rFonts w:ascii="Arial" w:hAnsi="Arial" w:cs="Arial"/>
          <w:color w:val="4472C4" w:themeColor="accent1"/>
          <w:sz w:val="22"/>
          <w:szCs w:val="22"/>
          <w:lang w:val="en-GB"/>
        </w:rPr>
      </w:pPr>
    </w:p>
    <w:p w14:paraId="1941159B" w14:textId="17B4D535" w:rsidR="0067280A" w:rsidRPr="00352A1C" w:rsidRDefault="0067280A" w:rsidP="005C5319">
      <w:pPr>
        <w:pStyle w:val="ListParagraph"/>
        <w:numPr>
          <w:ilvl w:val="0"/>
          <w:numId w:val="25"/>
        </w:numPr>
        <w:autoSpaceDE w:val="0"/>
        <w:autoSpaceDN w:val="0"/>
        <w:adjustRightInd w:val="0"/>
        <w:spacing w:line="276" w:lineRule="auto"/>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For the purposes of liquidation or reorganisation </w:t>
      </w:r>
      <w:r w:rsidR="003C7939">
        <w:rPr>
          <w:rFonts w:ascii="Arial" w:hAnsi="Arial" w:cs="Arial"/>
          <w:color w:val="4472C4" w:themeColor="accent1"/>
          <w:sz w:val="22"/>
          <w:szCs w:val="22"/>
          <w:lang w:val="en-GB"/>
        </w:rPr>
        <w:t>–</w:t>
      </w:r>
      <w:r w:rsidR="00B73D23">
        <w:rPr>
          <w:rFonts w:ascii="Arial" w:hAnsi="Arial" w:cs="Arial"/>
          <w:color w:val="4472C4" w:themeColor="accent1"/>
          <w:sz w:val="22"/>
          <w:szCs w:val="22"/>
          <w:lang w:val="en-GB"/>
        </w:rPr>
        <w:t xml:space="preserve"> </w:t>
      </w:r>
      <w:r w:rsidR="003C7939">
        <w:rPr>
          <w:rFonts w:ascii="Arial" w:hAnsi="Arial" w:cs="Arial"/>
          <w:color w:val="4472C4" w:themeColor="accent1"/>
          <w:sz w:val="22"/>
          <w:szCs w:val="22"/>
          <w:lang w:val="en-GB"/>
        </w:rPr>
        <w:t>This is self-evident on the facts</w:t>
      </w:r>
      <w:r w:rsidR="00DF3D1E">
        <w:rPr>
          <w:rFonts w:ascii="Arial" w:hAnsi="Arial" w:cs="Arial"/>
          <w:color w:val="4472C4" w:themeColor="accent1"/>
          <w:sz w:val="22"/>
          <w:szCs w:val="22"/>
          <w:lang w:val="en-GB"/>
        </w:rPr>
        <w:t>, the Bank has been placed in liquidation</w:t>
      </w:r>
      <w:r w:rsidR="003C7939">
        <w:rPr>
          <w:rFonts w:ascii="Arial" w:hAnsi="Arial" w:cs="Arial"/>
          <w:color w:val="4472C4" w:themeColor="accent1"/>
          <w:sz w:val="22"/>
          <w:szCs w:val="22"/>
          <w:lang w:val="en-GB"/>
        </w:rPr>
        <w:t>.  The element is</w:t>
      </w:r>
      <w:r w:rsidR="009E0E78">
        <w:rPr>
          <w:rFonts w:ascii="Arial" w:hAnsi="Arial" w:cs="Arial"/>
          <w:color w:val="4472C4" w:themeColor="accent1"/>
          <w:sz w:val="22"/>
          <w:szCs w:val="22"/>
          <w:lang w:val="en-GB"/>
        </w:rPr>
        <w:t xml:space="preserve"> met</w:t>
      </w:r>
      <w:r w:rsidR="00965325">
        <w:rPr>
          <w:rFonts w:ascii="Arial" w:hAnsi="Arial" w:cs="Arial"/>
          <w:color w:val="4472C4" w:themeColor="accent1"/>
          <w:sz w:val="22"/>
          <w:szCs w:val="22"/>
          <w:lang w:val="en-GB"/>
        </w:rPr>
        <w:t xml:space="preserve">.  </w:t>
      </w:r>
    </w:p>
    <w:p w14:paraId="075F986A" w14:textId="77777777" w:rsidR="00352A1C" w:rsidRDefault="00352A1C" w:rsidP="00707FC8">
      <w:pPr>
        <w:autoSpaceDE w:val="0"/>
        <w:autoSpaceDN w:val="0"/>
        <w:adjustRightInd w:val="0"/>
        <w:spacing w:line="276" w:lineRule="auto"/>
        <w:jc w:val="both"/>
        <w:rPr>
          <w:rFonts w:ascii="Arial" w:hAnsi="Arial" w:cs="Arial"/>
          <w:sz w:val="22"/>
          <w:szCs w:val="22"/>
          <w:lang w:val="en-GB"/>
        </w:rPr>
      </w:pPr>
    </w:p>
    <w:p w14:paraId="7AA52F70" w14:textId="0F640163" w:rsidR="00352A1C" w:rsidRDefault="000768C5" w:rsidP="00707FC8">
      <w:pPr>
        <w:autoSpaceDE w:val="0"/>
        <w:autoSpaceDN w:val="0"/>
        <w:adjustRightInd w:val="0"/>
        <w:spacing w:line="276" w:lineRule="auto"/>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Although </w:t>
      </w:r>
      <w:r w:rsidR="00D20244" w:rsidRPr="00D20244">
        <w:rPr>
          <w:rFonts w:ascii="Arial" w:hAnsi="Arial" w:cs="Arial"/>
          <w:color w:val="4472C4" w:themeColor="accent1"/>
          <w:sz w:val="22"/>
          <w:szCs w:val="22"/>
          <w:lang w:val="en-GB"/>
        </w:rPr>
        <w:t xml:space="preserve">the application meets all the elements, the court is entitled to refuse to grant the recognition if </w:t>
      </w:r>
      <w:r>
        <w:rPr>
          <w:rFonts w:ascii="Arial" w:hAnsi="Arial" w:cs="Arial"/>
          <w:color w:val="4472C4" w:themeColor="accent1"/>
          <w:sz w:val="22"/>
          <w:szCs w:val="22"/>
          <w:lang w:val="en-GB"/>
        </w:rPr>
        <w:t xml:space="preserve">it </w:t>
      </w:r>
      <w:r w:rsidR="00D20244" w:rsidRPr="00D20244">
        <w:rPr>
          <w:rFonts w:ascii="Arial" w:hAnsi="Arial" w:cs="Arial"/>
          <w:color w:val="4472C4" w:themeColor="accent1"/>
          <w:sz w:val="22"/>
          <w:szCs w:val="22"/>
          <w:lang w:val="en-GB"/>
        </w:rPr>
        <w:t xml:space="preserve">is manifestly contrary to public policy in the UK: </w:t>
      </w:r>
      <w:r w:rsidR="00D20244" w:rsidRPr="00C02A26">
        <w:rPr>
          <w:rFonts w:ascii="Arial" w:hAnsi="Arial" w:cs="Arial"/>
          <w:i/>
          <w:iCs/>
          <w:color w:val="4472C4" w:themeColor="accent1"/>
          <w:sz w:val="22"/>
          <w:szCs w:val="22"/>
          <w:lang w:val="en-GB"/>
        </w:rPr>
        <w:t xml:space="preserve">Lex </w:t>
      </w:r>
      <w:proofErr w:type="spellStart"/>
      <w:r w:rsidR="00D20244" w:rsidRPr="00C02A26">
        <w:rPr>
          <w:rFonts w:ascii="Arial" w:hAnsi="Arial" w:cs="Arial"/>
          <w:i/>
          <w:iCs/>
          <w:color w:val="4472C4" w:themeColor="accent1"/>
          <w:sz w:val="22"/>
          <w:szCs w:val="22"/>
          <w:lang w:val="en-GB"/>
        </w:rPr>
        <w:t>Agrokor</w:t>
      </w:r>
      <w:proofErr w:type="spellEnd"/>
      <w:r w:rsidR="00D20244" w:rsidRPr="00C02A26">
        <w:rPr>
          <w:rFonts w:ascii="Arial" w:hAnsi="Arial" w:cs="Arial"/>
          <w:i/>
          <w:iCs/>
          <w:color w:val="4472C4" w:themeColor="accent1"/>
          <w:sz w:val="22"/>
          <w:szCs w:val="22"/>
          <w:lang w:val="en-GB"/>
        </w:rPr>
        <w:t>.</w:t>
      </w:r>
      <w:r w:rsidR="00D20244">
        <w:rPr>
          <w:rFonts w:ascii="Arial" w:hAnsi="Arial" w:cs="Arial"/>
          <w:color w:val="4472C4" w:themeColor="accent1"/>
          <w:sz w:val="22"/>
          <w:szCs w:val="22"/>
          <w:lang w:val="en-GB"/>
        </w:rPr>
        <w:t xml:space="preserve">  On the facts, there is no suggestion that granting it would be contrary to public policy.  </w:t>
      </w:r>
    </w:p>
    <w:p w14:paraId="0A95F01C" w14:textId="35291E0A" w:rsidR="009E0E78" w:rsidRDefault="009E0E78" w:rsidP="00707FC8">
      <w:pPr>
        <w:autoSpaceDE w:val="0"/>
        <w:autoSpaceDN w:val="0"/>
        <w:adjustRightInd w:val="0"/>
        <w:spacing w:line="276" w:lineRule="auto"/>
        <w:jc w:val="both"/>
        <w:rPr>
          <w:rFonts w:ascii="Arial" w:hAnsi="Arial" w:cs="Arial"/>
          <w:color w:val="4472C4" w:themeColor="accent1"/>
          <w:sz w:val="22"/>
          <w:szCs w:val="22"/>
          <w:lang w:val="en-GB"/>
        </w:rPr>
      </w:pPr>
    </w:p>
    <w:p w14:paraId="0572447F" w14:textId="215E84AB" w:rsidR="009E0E78" w:rsidRPr="00D20244" w:rsidRDefault="009E0E78" w:rsidP="00707FC8">
      <w:pPr>
        <w:autoSpaceDE w:val="0"/>
        <w:autoSpaceDN w:val="0"/>
        <w:adjustRightInd w:val="0"/>
        <w:spacing w:line="276" w:lineRule="auto"/>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It is noted that Country A has not adopted MLCBI. However, reciprocity is not a requirement under MLCBI unless the enacting country (UK) provides for it.  On the facts, there is nothing to suggest that UK requires reciprocity.  There is no impediment for the court in the UK to grant recognition of the foreign proceeding.  </w:t>
      </w:r>
    </w:p>
    <w:p w14:paraId="474CE425" w14:textId="77777777" w:rsidR="00D20244" w:rsidRDefault="00D20244" w:rsidP="00707FC8">
      <w:pPr>
        <w:autoSpaceDE w:val="0"/>
        <w:autoSpaceDN w:val="0"/>
        <w:adjustRightInd w:val="0"/>
        <w:spacing w:line="276" w:lineRule="auto"/>
        <w:jc w:val="both"/>
        <w:rPr>
          <w:rFonts w:ascii="Arial" w:hAnsi="Arial" w:cs="Arial"/>
          <w:sz w:val="22"/>
          <w:szCs w:val="22"/>
          <w:lang w:val="en-GB"/>
        </w:rPr>
      </w:pPr>
    </w:p>
    <w:p w14:paraId="2EBC7D42" w14:textId="7966DFD0" w:rsidR="002F62B1" w:rsidRPr="00352A1C" w:rsidRDefault="002F62B1" w:rsidP="00707FC8">
      <w:pPr>
        <w:autoSpaceDE w:val="0"/>
        <w:autoSpaceDN w:val="0"/>
        <w:adjustRightInd w:val="0"/>
        <w:spacing w:line="276" w:lineRule="auto"/>
        <w:jc w:val="both"/>
        <w:rPr>
          <w:rFonts w:ascii="Arial" w:hAnsi="Arial" w:cs="Arial"/>
          <w:color w:val="4472C4" w:themeColor="accent1"/>
          <w:sz w:val="22"/>
          <w:szCs w:val="22"/>
          <w:lang w:val="en-GB"/>
        </w:rPr>
      </w:pPr>
      <w:r w:rsidRPr="00352A1C">
        <w:rPr>
          <w:rFonts w:ascii="Arial" w:hAnsi="Arial" w:cs="Arial"/>
          <w:color w:val="4472C4" w:themeColor="accent1"/>
          <w:sz w:val="22"/>
          <w:szCs w:val="22"/>
          <w:lang w:val="en-GB"/>
        </w:rPr>
        <w:t xml:space="preserve">Article 2(d) of MLCBI </w:t>
      </w:r>
      <w:r w:rsidR="00352A1C" w:rsidRPr="00352A1C">
        <w:rPr>
          <w:rFonts w:ascii="Arial" w:hAnsi="Arial" w:cs="Arial"/>
          <w:color w:val="4472C4" w:themeColor="accent1"/>
          <w:sz w:val="22"/>
          <w:szCs w:val="22"/>
          <w:lang w:val="en-GB"/>
        </w:rPr>
        <w:t xml:space="preserve">defined “foreign representatives” as follows:  </w:t>
      </w:r>
    </w:p>
    <w:p w14:paraId="59043336" w14:textId="6CB60D46" w:rsidR="00352A1C" w:rsidRPr="00352A1C" w:rsidRDefault="00352A1C" w:rsidP="00707FC8">
      <w:pPr>
        <w:autoSpaceDE w:val="0"/>
        <w:autoSpaceDN w:val="0"/>
        <w:adjustRightInd w:val="0"/>
        <w:spacing w:line="276" w:lineRule="auto"/>
        <w:jc w:val="both"/>
        <w:rPr>
          <w:rFonts w:ascii="Arial" w:hAnsi="Arial" w:cs="Arial"/>
          <w:color w:val="4472C4" w:themeColor="accent1"/>
          <w:sz w:val="22"/>
          <w:szCs w:val="22"/>
          <w:lang w:val="en-GB"/>
        </w:rPr>
      </w:pPr>
    </w:p>
    <w:p w14:paraId="1F28331D" w14:textId="5FC2E584" w:rsidR="00352A1C" w:rsidRPr="00352A1C" w:rsidRDefault="00352A1C" w:rsidP="00352A1C">
      <w:pPr>
        <w:autoSpaceDE w:val="0"/>
        <w:autoSpaceDN w:val="0"/>
        <w:adjustRightInd w:val="0"/>
        <w:spacing w:line="276" w:lineRule="auto"/>
        <w:ind w:left="720"/>
        <w:jc w:val="both"/>
        <w:rPr>
          <w:rFonts w:ascii="Arial" w:hAnsi="Arial" w:cs="Arial"/>
          <w:i/>
          <w:iCs/>
          <w:color w:val="4472C4" w:themeColor="accent1"/>
          <w:sz w:val="22"/>
          <w:szCs w:val="22"/>
          <w:lang w:val="en-GB"/>
        </w:rPr>
      </w:pPr>
      <w:r w:rsidRPr="00352A1C">
        <w:rPr>
          <w:rFonts w:ascii="Arial" w:hAnsi="Arial" w:cs="Arial"/>
          <w:i/>
          <w:iCs/>
          <w:color w:val="4472C4" w:themeColor="accent1"/>
          <w:sz w:val="22"/>
          <w:szCs w:val="22"/>
          <w:lang w:val="en-GB"/>
        </w:rPr>
        <w:t xml:space="preserve">(d) “Foreign representative” means a person or body, including one appointed on an interim basis, authorised in a foreign proceeding to administer the reorganisation or liquidation of the debtor’s assets or affairs or to act as a representative of the foreign proceeding”.  </w:t>
      </w:r>
    </w:p>
    <w:p w14:paraId="52EBD1E4" w14:textId="10203EE6" w:rsidR="00352A1C" w:rsidRPr="00352A1C" w:rsidRDefault="00352A1C" w:rsidP="00352A1C">
      <w:pPr>
        <w:autoSpaceDE w:val="0"/>
        <w:autoSpaceDN w:val="0"/>
        <w:adjustRightInd w:val="0"/>
        <w:spacing w:line="276" w:lineRule="auto"/>
        <w:ind w:left="720"/>
        <w:jc w:val="both"/>
        <w:rPr>
          <w:rFonts w:ascii="Arial" w:hAnsi="Arial" w:cs="Arial"/>
          <w:color w:val="4472C4" w:themeColor="accent1"/>
          <w:sz w:val="22"/>
          <w:szCs w:val="22"/>
          <w:lang w:val="en-GB"/>
        </w:rPr>
      </w:pPr>
    </w:p>
    <w:p w14:paraId="2256005B" w14:textId="6C8197EA" w:rsidR="00352A1C" w:rsidRPr="00352A1C" w:rsidRDefault="00352A1C" w:rsidP="00352A1C">
      <w:pPr>
        <w:autoSpaceDE w:val="0"/>
        <w:autoSpaceDN w:val="0"/>
        <w:adjustRightInd w:val="0"/>
        <w:spacing w:line="276" w:lineRule="auto"/>
        <w:jc w:val="both"/>
        <w:rPr>
          <w:rFonts w:ascii="Arial" w:hAnsi="Arial" w:cs="Arial"/>
          <w:color w:val="4472C4" w:themeColor="accent1"/>
          <w:sz w:val="22"/>
          <w:szCs w:val="22"/>
          <w:lang w:val="en-GB"/>
        </w:rPr>
      </w:pPr>
      <w:r w:rsidRPr="00352A1C">
        <w:rPr>
          <w:rFonts w:ascii="Arial" w:hAnsi="Arial" w:cs="Arial"/>
          <w:color w:val="4472C4" w:themeColor="accent1"/>
          <w:sz w:val="22"/>
          <w:szCs w:val="22"/>
          <w:lang w:val="en-GB"/>
        </w:rPr>
        <w:t xml:space="preserve">The elements in the definition of “foreign representatives” are discussed below: </w:t>
      </w:r>
    </w:p>
    <w:p w14:paraId="42ADD6B5" w14:textId="4DCA6DE2" w:rsidR="00352A1C" w:rsidRPr="00352A1C" w:rsidRDefault="00352A1C" w:rsidP="00352A1C">
      <w:pPr>
        <w:autoSpaceDE w:val="0"/>
        <w:autoSpaceDN w:val="0"/>
        <w:adjustRightInd w:val="0"/>
        <w:spacing w:line="276" w:lineRule="auto"/>
        <w:jc w:val="both"/>
        <w:rPr>
          <w:rFonts w:ascii="Arial" w:hAnsi="Arial" w:cs="Arial"/>
          <w:color w:val="4472C4" w:themeColor="accent1"/>
          <w:sz w:val="22"/>
          <w:szCs w:val="22"/>
          <w:lang w:val="en-GB"/>
        </w:rPr>
      </w:pPr>
    </w:p>
    <w:p w14:paraId="3D12CC27" w14:textId="00D45E18" w:rsidR="00B73D23" w:rsidRPr="00362EB1" w:rsidRDefault="00B73D23" w:rsidP="00362EB1">
      <w:pPr>
        <w:pStyle w:val="ListParagraph"/>
        <w:numPr>
          <w:ilvl w:val="0"/>
          <w:numId w:val="25"/>
        </w:numPr>
        <w:autoSpaceDE w:val="0"/>
        <w:autoSpaceDN w:val="0"/>
        <w:adjustRightInd w:val="0"/>
        <w:spacing w:line="276" w:lineRule="auto"/>
        <w:jc w:val="both"/>
        <w:rPr>
          <w:rFonts w:ascii="Arial" w:hAnsi="Arial" w:cs="Arial"/>
          <w:color w:val="4472C4" w:themeColor="accent1"/>
          <w:sz w:val="22"/>
          <w:szCs w:val="22"/>
          <w:lang w:val="en-GB"/>
        </w:rPr>
      </w:pPr>
      <w:r w:rsidRPr="00362EB1">
        <w:rPr>
          <w:rFonts w:ascii="Arial" w:hAnsi="Arial" w:cs="Arial"/>
          <w:b/>
          <w:bCs/>
          <w:color w:val="4472C4" w:themeColor="accent1"/>
          <w:sz w:val="22"/>
          <w:szCs w:val="22"/>
          <w:lang w:val="en-GB"/>
        </w:rPr>
        <w:t>A person or body</w:t>
      </w:r>
      <w:r>
        <w:rPr>
          <w:rFonts w:ascii="Arial" w:hAnsi="Arial" w:cs="Arial"/>
          <w:color w:val="4472C4" w:themeColor="accent1"/>
          <w:sz w:val="22"/>
          <w:szCs w:val="22"/>
          <w:lang w:val="en-GB"/>
        </w:rPr>
        <w:t xml:space="preserve"> – </w:t>
      </w:r>
      <w:r w:rsidR="00965325">
        <w:rPr>
          <w:rFonts w:ascii="Arial" w:hAnsi="Arial" w:cs="Arial"/>
          <w:color w:val="4472C4" w:themeColor="accent1"/>
          <w:sz w:val="22"/>
          <w:szCs w:val="22"/>
          <w:lang w:val="en-GB"/>
        </w:rPr>
        <w:t xml:space="preserve">A person is a natural </w:t>
      </w:r>
      <w:r w:rsidR="00803625">
        <w:rPr>
          <w:rFonts w:ascii="Arial" w:hAnsi="Arial" w:cs="Arial"/>
          <w:color w:val="4472C4" w:themeColor="accent1"/>
          <w:sz w:val="22"/>
          <w:szCs w:val="22"/>
          <w:lang w:val="en-GB"/>
        </w:rPr>
        <w:t>person,</w:t>
      </w:r>
      <w:r w:rsidR="00965325">
        <w:rPr>
          <w:rFonts w:ascii="Arial" w:hAnsi="Arial" w:cs="Arial"/>
          <w:color w:val="4472C4" w:themeColor="accent1"/>
          <w:sz w:val="22"/>
          <w:szCs w:val="22"/>
          <w:lang w:val="en-GB"/>
        </w:rPr>
        <w:t xml:space="preserve"> and a body includes a non-natural </w:t>
      </w:r>
      <w:r w:rsidR="00803625">
        <w:rPr>
          <w:rFonts w:ascii="Arial" w:hAnsi="Arial" w:cs="Arial"/>
          <w:color w:val="4472C4" w:themeColor="accent1"/>
          <w:sz w:val="22"/>
          <w:szCs w:val="22"/>
          <w:lang w:val="en-GB"/>
        </w:rPr>
        <w:t xml:space="preserve">person - </w:t>
      </w:r>
      <w:r w:rsidR="00965325">
        <w:rPr>
          <w:rFonts w:ascii="Arial" w:hAnsi="Arial" w:cs="Arial"/>
          <w:color w:val="4472C4" w:themeColor="accent1"/>
          <w:sz w:val="22"/>
          <w:szCs w:val="22"/>
          <w:lang w:val="en-GB"/>
        </w:rPr>
        <w:t xml:space="preserve">for example, </w:t>
      </w:r>
      <w:r w:rsidR="00803625">
        <w:rPr>
          <w:rFonts w:ascii="Arial" w:hAnsi="Arial" w:cs="Arial"/>
          <w:color w:val="4472C4" w:themeColor="accent1"/>
          <w:sz w:val="22"/>
          <w:szCs w:val="22"/>
          <w:lang w:val="en-GB"/>
        </w:rPr>
        <w:t>a special agency other than the court.  On the facts, DGF should qualify as a special agency</w:t>
      </w:r>
      <w:r w:rsidR="009E0E78">
        <w:rPr>
          <w:rFonts w:ascii="Arial" w:hAnsi="Arial" w:cs="Arial"/>
          <w:color w:val="4472C4" w:themeColor="accent1"/>
          <w:sz w:val="22"/>
          <w:szCs w:val="22"/>
          <w:lang w:val="en-GB"/>
        </w:rPr>
        <w:t xml:space="preserve"> (body)</w:t>
      </w:r>
      <w:r w:rsidR="00803625">
        <w:rPr>
          <w:rFonts w:ascii="Arial" w:hAnsi="Arial" w:cs="Arial"/>
          <w:color w:val="4472C4" w:themeColor="accent1"/>
          <w:sz w:val="22"/>
          <w:szCs w:val="22"/>
          <w:lang w:val="en-GB"/>
        </w:rPr>
        <w:t xml:space="preserve">.  It is also noted that there is no requirement under Article 2 to satisfy the disinterested </w:t>
      </w:r>
      <w:r w:rsidR="00803625" w:rsidRPr="006810F4">
        <w:rPr>
          <w:rFonts w:ascii="Arial" w:hAnsi="Arial" w:cs="Arial"/>
          <w:color w:val="4472C4" w:themeColor="accent1"/>
          <w:sz w:val="22"/>
          <w:szCs w:val="22"/>
          <w:lang w:val="en-GB"/>
        </w:rPr>
        <w:t xml:space="preserve">test or be free of conflict of interest.  On the facts, Ms G and/or DGF </w:t>
      </w:r>
      <w:r w:rsidR="00362EB1" w:rsidRPr="006810F4">
        <w:rPr>
          <w:rFonts w:ascii="Arial" w:hAnsi="Arial" w:cs="Arial"/>
          <w:color w:val="4472C4" w:themeColor="accent1"/>
          <w:sz w:val="22"/>
          <w:szCs w:val="22"/>
          <w:lang w:val="en-GB"/>
        </w:rPr>
        <w:t xml:space="preserve">(arguably an interested party) </w:t>
      </w:r>
      <w:r w:rsidR="00803625" w:rsidRPr="006810F4">
        <w:rPr>
          <w:rFonts w:ascii="Arial" w:hAnsi="Arial" w:cs="Arial"/>
          <w:color w:val="4472C4" w:themeColor="accent1"/>
          <w:sz w:val="22"/>
          <w:szCs w:val="22"/>
          <w:lang w:val="en-GB"/>
        </w:rPr>
        <w:t xml:space="preserve">are in control of the affairs and assets of the Bank.  </w:t>
      </w:r>
      <w:r w:rsidR="009E0E78" w:rsidRPr="006810F4">
        <w:rPr>
          <w:rFonts w:ascii="Arial" w:hAnsi="Arial" w:cs="Arial"/>
          <w:color w:val="4472C4" w:themeColor="accent1"/>
          <w:sz w:val="22"/>
          <w:szCs w:val="22"/>
          <w:lang w:val="en-GB"/>
        </w:rPr>
        <w:t xml:space="preserve">In any case, the law in country provides that DGS is </w:t>
      </w:r>
      <w:r w:rsidR="006810F4" w:rsidRPr="006810F4">
        <w:rPr>
          <w:rFonts w:ascii="Arial" w:hAnsi="Arial" w:cs="Arial"/>
          <w:color w:val="4472C4" w:themeColor="accent1"/>
          <w:sz w:val="22"/>
          <w:szCs w:val="22"/>
          <w:lang w:val="en-GB"/>
        </w:rPr>
        <w:t>“</w:t>
      </w:r>
      <w:r w:rsidR="009E0E78" w:rsidRPr="006810F4">
        <w:rPr>
          <w:rFonts w:ascii="Arial" w:hAnsi="Arial" w:cs="Arial"/>
          <w:color w:val="4472C4" w:themeColor="accent1"/>
          <w:sz w:val="22"/>
          <w:szCs w:val="22"/>
          <w:lang w:val="en-GB" w:eastAsia="en-GB"/>
        </w:rPr>
        <w:t>an economically independent institution</w:t>
      </w:r>
      <w:r w:rsidR="006810F4" w:rsidRPr="006810F4">
        <w:rPr>
          <w:rFonts w:ascii="Arial" w:hAnsi="Arial" w:cs="Arial"/>
          <w:color w:val="4472C4" w:themeColor="accent1"/>
          <w:sz w:val="22"/>
          <w:szCs w:val="22"/>
          <w:lang w:val="en-GB" w:eastAsia="en-GB"/>
        </w:rPr>
        <w:t xml:space="preserve">”.  </w:t>
      </w:r>
    </w:p>
    <w:bookmarkEnd w:id="5"/>
    <w:p w14:paraId="6D8F5E51" w14:textId="3A089E19" w:rsidR="0077498C" w:rsidRDefault="0077498C" w:rsidP="00707FC8">
      <w:pPr>
        <w:jc w:val="both"/>
        <w:rPr>
          <w:rFonts w:ascii="Arial" w:hAnsi="Arial" w:cs="Arial"/>
          <w:color w:val="000000" w:themeColor="text1"/>
          <w:sz w:val="22"/>
          <w:szCs w:val="22"/>
          <w:lang w:val="en-GB"/>
        </w:rPr>
      </w:pPr>
    </w:p>
    <w:p w14:paraId="77A5FAF2" w14:textId="2E17515D" w:rsidR="00C6148E" w:rsidRPr="002A5A87" w:rsidRDefault="00C6148E" w:rsidP="00707FC8">
      <w:pPr>
        <w:jc w:val="both"/>
        <w:rPr>
          <w:rFonts w:ascii="Arial" w:hAnsi="Arial" w:cs="Arial"/>
          <w:color w:val="4472C4" w:themeColor="accent1"/>
          <w:sz w:val="22"/>
          <w:szCs w:val="22"/>
          <w:lang w:val="en-GB"/>
        </w:rPr>
      </w:pPr>
      <w:r w:rsidRPr="002A5A87">
        <w:rPr>
          <w:rFonts w:ascii="Arial" w:hAnsi="Arial" w:cs="Arial"/>
          <w:color w:val="4472C4" w:themeColor="accent1"/>
          <w:sz w:val="22"/>
          <w:szCs w:val="22"/>
          <w:lang w:val="en-GB"/>
        </w:rPr>
        <w:t xml:space="preserve">In making the application for recognition, both DGF and Ms G (foreign administrative body and representative) are to provide documents (set out in Article 15) to support the application that it qualifies as “foreign proceeding” and “foreign representatives”.  The court in the UK is entitled to presume that documents submitted in support </w:t>
      </w:r>
      <w:r w:rsidR="002A5A87" w:rsidRPr="002A5A87">
        <w:rPr>
          <w:rFonts w:ascii="Arial" w:hAnsi="Arial" w:cs="Arial"/>
          <w:color w:val="4472C4" w:themeColor="accent1"/>
          <w:sz w:val="22"/>
          <w:szCs w:val="22"/>
          <w:lang w:val="en-GB"/>
        </w:rPr>
        <w:t xml:space="preserve">of the application for recognition are authentic, whether or not they have been legalised”:  Article 16.  </w:t>
      </w:r>
    </w:p>
    <w:p w14:paraId="561EE4FD" w14:textId="77777777" w:rsidR="00C6148E" w:rsidRPr="009B5832" w:rsidRDefault="00C6148E"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750F" w14:textId="77777777" w:rsidR="000C59AB" w:rsidRDefault="000C59AB" w:rsidP="00241B44">
      <w:r>
        <w:separator/>
      </w:r>
    </w:p>
  </w:endnote>
  <w:endnote w:type="continuationSeparator" w:id="0">
    <w:p w14:paraId="3BD6DB7A" w14:textId="77777777" w:rsidR="000C59AB" w:rsidRDefault="000C59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7D934AC1" w:rsidR="0036760B" w:rsidRPr="00784B4B" w:rsidRDefault="00E8360D" w:rsidP="0036760B">
    <w:pPr>
      <w:pStyle w:val="Footer"/>
      <w:ind w:right="360" w:firstLine="360"/>
      <w:rPr>
        <w:rFonts w:ascii="Arial" w:hAnsi="Arial" w:cs="Arial"/>
        <w:sz w:val="18"/>
        <w:szCs w:val="18"/>
      </w:rPr>
    </w:pPr>
    <w:r>
      <w:rPr>
        <w:rFonts w:ascii="Arial" w:hAnsi="Arial" w:cs="Arial"/>
        <w:sz w:val="18"/>
        <w:szCs w:val="18"/>
      </w:rPr>
      <w:t>202122-499</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CAEB" w14:textId="77777777" w:rsidR="000C59AB" w:rsidRDefault="000C59AB" w:rsidP="00241B44">
      <w:r>
        <w:separator/>
      </w:r>
    </w:p>
  </w:footnote>
  <w:footnote w:type="continuationSeparator" w:id="0">
    <w:p w14:paraId="42A452F3" w14:textId="77777777" w:rsidR="000C59AB" w:rsidRDefault="000C59A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7E4C6E"/>
    <w:multiLevelType w:val="hybridMultilevel"/>
    <w:tmpl w:val="AD90DE2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13C76943"/>
    <w:multiLevelType w:val="hybridMultilevel"/>
    <w:tmpl w:val="203E43C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291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85222E"/>
    <w:multiLevelType w:val="hybridMultilevel"/>
    <w:tmpl w:val="1408CFB4"/>
    <w:lvl w:ilvl="0" w:tplc="4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C943CE"/>
    <w:multiLevelType w:val="hybridMultilevel"/>
    <w:tmpl w:val="D334085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9E5923"/>
    <w:multiLevelType w:val="hybridMultilevel"/>
    <w:tmpl w:val="B5EA4AE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343144"/>
    <w:multiLevelType w:val="hybridMultilevel"/>
    <w:tmpl w:val="921841DC"/>
    <w:lvl w:ilvl="0" w:tplc="4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37F2F86"/>
    <w:multiLevelType w:val="hybridMultilevel"/>
    <w:tmpl w:val="9618BD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50B7618"/>
    <w:multiLevelType w:val="hybridMultilevel"/>
    <w:tmpl w:val="33F2417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DD6C69"/>
    <w:multiLevelType w:val="hybridMultilevel"/>
    <w:tmpl w:val="AEE65348"/>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E6228D"/>
    <w:multiLevelType w:val="hybridMultilevel"/>
    <w:tmpl w:val="542ECE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491851"/>
    <w:multiLevelType w:val="hybridMultilevel"/>
    <w:tmpl w:val="330CBA8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74AF4088"/>
    <w:multiLevelType w:val="hybridMultilevel"/>
    <w:tmpl w:val="D08AF27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15:restartNumberingAfterBreak="0">
    <w:nsid w:val="755922B2"/>
    <w:multiLevelType w:val="hybridMultilevel"/>
    <w:tmpl w:val="177EBA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7891320D"/>
    <w:multiLevelType w:val="hybridMultilevel"/>
    <w:tmpl w:val="6EF66C90"/>
    <w:lvl w:ilvl="0" w:tplc="6EA8BD3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8"/>
  </w:num>
  <w:num w:numId="3">
    <w:abstractNumId w:val="9"/>
  </w:num>
  <w:num w:numId="4">
    <w:abstractNumId w:val="4"/>
  </w:num>
  <w:num w:numId="5">
    <w:abstractNumId w:val="27"/>
  </w:num>
  <w:num w:numId="6">
    <w:abstractNumId w:val="26"/>
  </w:num>
  <w:num w:numId="7">
    <w:abstractNumId w:val="21"/>
  </w:num>
  <w:num w:numId="8">
    <w:abstractNumId w:val="6"/>
  </w:num>
  <w:num w:numId="9">
    <w:abstractNumId w:val="7"/>
  </w:num>
  <w:num w:numId="10">
    <w:abstractNumId w:val="16"/>
  </w:num>
  <w:num w:numId="11">
    <w:abstractNumId w:val="0"/>
  </w:num>
  <w:num w:numId="12">
    <w:abstractNumId w:val="11"/>
  </w:num>
  <w:num w:numId="13">
    <w:abstractNumId w:val="12"/>
  </w:num>
  <w:num w:numId="14">
    <w:abstractNumId w:val="3"/>
  </w:num>
  <w:num w:numId="15">
    <w:abstractNumId w:val="14"/>
  </w:num>
  <w:num w:numId="16">
    <w:abstractNumId w:val="10"/>
  </w:num>
  <w:num w:numId="17">
    <w:abstractNumId w:val="15"/>
  </w:num>
  <w:num w:numId="18">
    <w:abstractNumId w:val="1"/>
  </w:num>
  <w:num w:numId="19">
    <w:abstractNumId w:val="23"/>
  </w:num>
  <w:num w:numId="20">
    <w:abstractNumId w:val="2"/>
  </w:num>
  <w:num w:numId="21">
    <w:abstractNumId w:val="20"/>
  </w:num>
  <w:num w:numId="22">
    <w:abstractNumId w:val="22"/>
  </w:num>
  <w:num w:numId="23">
    <w:abstractNumId w:val="8"/>
  </w:num>
  <w:num w:numId="24">
    <w:abstractNumId w:val="25"/>
  </w:num>
  <w:num w:numId="25">
    <w:abstractNumId w:val="24"/>
  </w:num>
  <w:num w:numId="26">
    <w:abstractNumId w:val="13"/>
  </w:num>
  <w:num w:numId="27">
    <w:abstractNumId w:val="17"/>
  </w:num>
  <w:num w:numId="2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M7E0NjY0NzayNDFR0lEKTi0uzszPAykwNKoFACHOlRwtAAAA"/>
  </w:docVars>
  <w:rsids>
    <w:rsidRoot w:val="00045088"/>
    <w:rsid w:val="00001E0C"/>
    <w:rsid w:val="000077DD"/>
    <w:rsid w:val="000103C3"/>
    <w:rsid w:val="00010BA0"/>
    <w:rsid w:val="00011778"/>
    <w:rsid w:val="00020557"/>
    <w:rsid w:val="000232A1"/>
    <w:rsid w:val="00025076"/>
    <w:rsid w:val="000250C7"/>
    <w:rsid w:val="00025CCF"/>
    <w:rsid w:val="0003114A"/>
    <w:rsid w:val="00032CDF"/>
    <w:rsid w:val="00034A7D"/>
    <w:rsid w:val="0003619C"/>
    <w:rsid w:val="00037621"/>
    <w:rsid w:val="00044D46"/>
    <w:rsid w:val="00045088"/>
    <w:rsid w:val="00045904"/>
    <w:rsid w:val="000464F7"/>
    <w:rsid w:val="00050173"/>
    <w:rsid w:val="0005075A"/>
    <w:rsid w:val="0005141D"/>
    <w:rsid w:val="00065166"/>
    <w:rsid w:val="00067A88"/>
    <w:rsid w:val="00073474"/>
    <w:rsid w:val="00076443"/>
    <w:rsid w:val="000768C5"/>
    <w:rsid w:val="00077D49"/>
    <w:rsid w:val="00082609"/>
    <w:rsid w:val="000851CC"/>
    <w:rsid w:val="00092816"/>
    <w:rsid w:val="00093BE8"/>
    <w:rsid w:val="000A421C"/>
    <w:rsid w:val="000A68ED"/>
    <w:rsid w:val="000B4FEB"/>
    <w:rsid w:val="000B5FF1"/>
    <w:rsid w:val="000B609F"/>
    <w:rsid w:val="000C147F"/>
    <w:rsid w:val="000C3CA0"/>
    <w:rsid w:val="000C59AB"/>
    <w:rsid w:val="000C6BB9"/>
    <w:rsid w:val="000D0F61"/>
    <w:rsid w:val="000D55A8"/>
    <w:rsid w:val="000D72C2"/>
    <w:rsid w:val="000E4841"/>
    <w:rsid w:val="000E6325"/>
    <w:rsid w:val="000F1677"/>
    <w:rsid w:val="000F1DED"/>
    <w:rsid w:val="000F3D6C"/>
    <w:rsid w:val="000F579C"/>
    <w:rsid w:val="00101707"/>
    <w:rsid w:val="001047C7"/>
    <w:rsid w:val="00105B48"/>
    <w:rsid w:val="001133F3"/>
    <w:rsid w:val="00114082"/>
    <w:rsid w:val="0011473D"/>
    <w:rsid w:val="00115AFD"/>
    <w:rsid w:val="00115C85"/>
    <w:rsid w:val="00123855"/>
    <w:rsid w:val="00126A4D"/>
    <w:rsid w:val="00132CF8"/>
    <w:rsid w:val="00140E0A"/>
    <w:rsid w:val="0014171F"/>
    <w:rsid w:val="0014622C"/>
    <w:rsid w:val="00151F58"/>
    <w:rsid w:val="00152348"/>
    <w:rsid w:val="0015456D"/>
    <w:rsid w:val="00155D0C"/>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84A1F"/>
    <w:rsid w:val="00190FD2"/>
    <w:rsid w:val="001966D9"/>
    <w:rsid w:val="001A24E7"/>
    <w:rsid w:val="001A2B78"/>
    <w:rsid w:val="001A309D"/>
    <w:rsid w:val="001A7E9A"/>
    <w:rsid w:val="001B0F70"/>
    <w:rsid w:val="001B5016"/>
    <w:rsid w:val="001C0CE1"/>
    <w:rsid w:val="001C3A88"/>
    <w:rsid w:val="001C45FC"/>
    <w:rsid w:val="001C4CC2"/>
    <w:rsid w:val="001D02C5"/>
    <w:rsid w:val="001D2E07"/>
    <w:rsid w:val="001D4862"/>
    <w:rsid w:val="001E25B9"/>
    <w:rsid w:val="001E49E0"/>
    <w:rsid w:val="001E7B5A"/>
    <w:rsid w:val="001F7412"/>
    <w:rsid w:val="001F7501"/>
    <w:rsid w:val="00201874"/>
    <w:rsid w:val="00202133"/>
    <w:rsid w:val="0020264E"/>
    <w:rsid w:val="0020725B"/>
    <w:rsid w:val="002175BA"/>
    <w:rsid w:val="0022599E"/>
    <w:rsid w:val="002305E8"/>
    <w:rsid w:val="0023198D"/>
    <w:rsid w:val="0023317E"/>
    <w:rsid w:val="00234F2C"/>
    <w:rsid w:val="00240B0E"/>
    <w:rsid w:val="0024116D"/>
    <w:rsid w:val="00241B44"/>
    <w:rsid w:val="00244BB2"/>
    <w:rsid w:val="00245EFB"/>
    <w:rsid w:val="00250E19"/>
    <w:rsid w:val="0025386E"/>
    <w:rsid w:val="002638B0"/>
    <w:rsid w:val="00264FFF"/>
    <w:rsid w:val="002650D7"/>
    <w:rsid w:val="0026647A"/>
    <w:rsid w:val="002668D3"/>
    <w:rsid w:val="002675BE"/>
    <w:rsid w:val="0027299F"/>
    <w:rsid w:val="00276913"/>
    <w:rsid w:val="0028135B"/>
    <w:rsid w:val="00282480"/>
    <w:rsid w:val="00282738"/>
    <w:rsid w:val="0028289A"/>
    <w:rsid w:val="00284EBE"/>
    <w:rsid w:val="0029433F"/>
    <w:rsid w:val="00294829"/>
    <w:rsid w:val="00294F3B"/>
    <w:rsid w:val="0029690F"/>
    <w:rsid w:val="002A2A60"/>
    <w:rsid w:val="002A5A87"/>
    <w:rsid w:val="002B0A46"/>
    <w:rsid w:val="002B1C45"/>
    <w:rsid w:val="002B3F75"/>
    <w:rsid w:val="002B4ABD"/>
    <w:rsid w:val="002C13C8"/>
    <w:rsid w:val="002C3547"/>
    <w:rsid w:val="002D0021"/>
    <w:rsid w:val="002D3473"/>
    <w:rsid w:val="002D5C95"/>
    <w:rsid w:val="002E00F8"/>
    <w:rsid w:val="002E1BB5"/>
    <w:rsid w:val="002E2322"/>
    <w:rsid w:val="002E38E2"/>
    <w:rsid w:val="002F1956"/>
    <w:rsid w:val="002F3440"/>
    <w:rsid w:val="002F4EC0"/>
    <w:rsid w:val="002F62B1"/>
    <w:rsid w:val="002F71BE"/>
    <w:rsid w:val="002F75A3"/>
    <w:rsid w:val="00303C2F"/>
    <w:rsid w:val="00310F9C"/>
    <w:rsid w:val="00312911"/>
    <w:rsid w:val="003144EF"/>
    <w:rsid w:val="003148CA"/>
    <w:rsid w:val="00315506"/>
    <w:rsid w:val="00322F3B"/>
    <w:rsid w:val="00326292"/>
    <w:rsid w:val="00326415"/>
    <w:rsid w:val="00330937"/>
    <w:rsid w:val="00330F31"/>
    <w:rsid w:val="0033442A"/>
    <w:rsid w:val="00334648"/>
    <w:rsid w:val="003347BA"/>
    <w:rsid w:val="0033768C"/>
    <w:rsid w:val="00337938"/>
    <w:rsid w:val="00340769"/>
    <w:rsid w:val="00341AA6"/>
    <w:rsid w:val="00342459"/>
    <w:rsid w:val="003427B9"/>
    <w:rsid w:val="00346B16"/>
    <w:rsid w:val="00350788"/>
    <w:rsid w:val="00352A1C"/>
    <w:rsid w:val="00361A0A"/>
    <w:rsid w:val="00362EB1"/>
    <w:rsid w:val="0036565C"/>
    <w:rsid w:val="0036625E"/>
    <w:rsid w:val="0036760B"/>
    <w:rsid w:val="0037465A"/>
    <w:rsid w:val="00375672"/>
    <w:rsid w:val="00380BAB"/>
    <w:rsid w:val="0038142D"/>
    <w:rsid w:val="00382C98"/>
    <w:rsid w:val="0038533C"/>
    <w:rsid w:val="00386568"/>
    <w:rsid w:val="00387106"/>
    <w:rsid w:val="00391F3E"/>
    <w:rsid w:val="003948D5"/>
    <w:rsid w:val="00396821"/>
    <w:rsid w:val="00397D3A"/>
    <w:rsid w:val="003A051E"/>
    <w:rsid w:val="003A2FEE"/>
    <w:rsid w:val="003A7BF2"/>
    <w:rsid w:val="003B1310"/>
    <w:rsid w:val="003B170F"/>
    <w:rsid w:val="003B3C5F"/>
    <w:rsid w:val="003C1B43"/>
    <w:rsid w:val="003C4471"/>
    <w:rsid w:val="003C66B1"/>
    <w:rsid w:val="003C7939"/>
    <w:rsid w:val="003C79A6"/>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145F"/>
    <w:rsid w:val="00443403"/>
    <w:rsid w:val="00444284"/>
    <w:rsid w:val="00445CE6"/>
    <w:rsid w:val="004534C2"/>
    <w:rsid w:val="0045446F"/>
    <w:rsid w:val="0045683E"/>
    <w:rsid w:val="004621B4"/>
    <w:rsid w:val="00463B24"/>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B3C"/>
    <w:rsid w:val="004E2E92"/>
    <w:rsid w:val="004E30B0"/>
    <w:rsid w:val="004E622C"/>
    <w:rsid w:val="004F2492"/>
    <w:rsid w:val="004F425B"/>
    <w:rsid w:val="004F5FDF"/>
    <w:rsid w:val="00500491"/>
    <w:rsid w:val="0050157D"/>
    <w:rsid w:val="00506803"/>
    <w:rsid w:val="0050682B"/>
    <w:rsid w:val="00507AAC"/>
    <w:rsid w:val="0051164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CA4"/>
    <w:rsid w:val="00573E73"/>
    <w:rsid w:val="00575B2D"/>
    <w:rsid w:val="00581D97"/>
    <w:rsid w:val="005833D0"/>
    <w:rsid w:val="005846F3"/>
    <w:rsid w:val="00585997"/>
    <w:rsid w:val="0058622F"/>
    <w:rsid w:val="00587461"/>
    <w:rsid w:val="00592F82"/>
    <w:rsid w:val="005A0CCA"/>
    <w:rsid w:val="005A726D"/>
    <w:rsid w:val="005B67AC"/>
    <w:rsid w:val="005C2C94"/>
    <w:rsid w:val="005C4865"/>
    <w:rsid w:val="005C5319"/>
    <w:rsid w:val="005D1D65"/>
    <w:rsid w:val="005D43E0"/>
    <w:rsid w:val="005D58A3"/>
    <w:rsid w:val="005E1B79"/>
    <w:rsid w:val="005E5C28"/>
    <w:rsid w:val="005F026D"/>
    <w:rsid w:val="005F21F4"/>
    <w:rsid w:val="005F2D0B"/>
    <w:rsid w:val="005F4B31"/>
    <w:rsid w:val="005F6F61"/>
    <w:rsid w:val="00610388"/>
    <w:rsid w:val="006111E6"/>
    <w:rsid w:val="00612CA5"/>
    <w:rsid w:val="00614FAF"/>
    <w:rsid w:val="006153EC"/>
    <w:rsid w:val="00615890"/>
    <w:rsid w:val="00621A17"/>
    <w:rsid w:val="0062234A"/>
    <w:rsid w:val="00622586"/>
    <w:rsid w:val="00622C2B"/>
    <w:rsid w:val="00622DCB"/>
    <w:rsid w:val="00627CC9"/>
    <w:rsid w:val="00627E7B"/>
    <w:rsid w:val="00630542"/>
    <w:rsid w:val="00632E44"/>
    <w:rsid w:val="00634622"/>
    <w:rsid w:val="00636808"/>
    <w:rsid w:val="00641002"/>
    <w:rsid w:val="00641515"/>
    <w:rsid w:val="00644A15"/>
    <w:rsid w:val="00651AE3"/>
    <w:rsid w:val="00654C2F"/>
    <w:rsid w:val="00657087"/>
    <w:rsid w:val="0066252C"/>
    <w:rsid w:val="006661EF"/>
    <w:rsid w:val="006664FA"/>
    <w:rsid w:val="0067280A"/>
    <w:rsid w:val="0067294B"/>
    <w:rsid w:val="00677736"/>
    <w:rsid w:val="0067785F"/>
    <w:rsid w:val="00677AEB"/>
    <w:rsid w:val="00680D3A"/>
    <w:rsid w:val="00680EF2"/>
    <w:rsid w:val="006810F4"/>
    <w:rsid w:val="006839C2"/>
    <w:rsid w:val="00687A1D"/>
    <w:rsid w:val="006920CC"/>
    <w:rsid w:val="00697EA1"/>
    <w:rsid w:val="006A1850"/>
    <w:rsid w:val="006A2646"/>
    <w:rsid w:val="006A3DF0"/>
    <w:rsid w:val="006A6530"/>
    <w:rsid w:val="006B435A"/>
    <w:rsid w:val="006B4C64"/>
    <w:rsid w:val="006B4FFC"/>
    <w:rsid w:val="006B5649"/>
    <w:rsid w:val="006D6BD5"/>
    <w:rsid w:val="006E303F"/>
    <w:rsid w:val="006E481A"/>
    <w:rsid w:val="006E5298"/>
    <w:rsid w:val="006F2CE3"/>
    <w:rsid w:val="006F734A"/>
    <w:rsid w:val="00700D83"/>
    <w:rsid w:val="00704852"/>
    <w:rsid w:val="00706297"/>
    <w:rsid w:val="00706AD5"/>
    <w:rsid w:val="007074E9"/>
    <w:rsid w:val="00707FC8"/>
    <w:rsid w:val="007104E9"/>
    <w:rsid w:val="00713DA4"/>
    <w:rsid w:val="00714BF1"/>
    <w:rsid w:val="00721383"/>
    <w:rsid w:val="00723E60"/>
    <w:rsid w:val="0072554C"/>
    <w:rsid w:val="00725911"/>
    <w:rsid w:val="00727B1A"/>
    <w:rsid w:val="00731DBD"/>
    <w:rsid w:val="007333CC"/>
    <w:rsid w:val="0073399A"/>
    <w:rsid w:val="007603F5"/>
    <w:rsid w:val="00764DB0"/>
    <w:rsid w:val="007652C8"/>
    <w:rsid w:val="0076764D"/>
    <w:rsid w:val="00771289"/>
    <w:rsid w:val="0077498C"/>
    <w:rsid w:val="00784128"/>
    <w:rsid w:val="00784B4B"/>
    <w:rsid w:val="007854ED"/>
    <w:rsid w:val="00793173"/>
    <w:rsid w:val="00793729"/>
    <w:rsid w:val="007A0688"/>
    <w:rsid w:val="007B3AC7"/>
    <w:rsid w:val="007C1FCC"/>
    <w:rsid w:val="007C32A8"/>
    <w:rsid w:val="007C3FE5"/>
    <w:rsid w:val="007C6201"/>
    <w:rsid w:val="007C6988"/>
    <w:rsid w:val="007D28A1"/>
    <w:rsid w:val="007D7C92"/>
    <w:rsid w:val="007E1154"/>
    <w:rsid w:val="007E6BA4"/>
    <w:rsid w:val="007E7678"/>
    <w:rsid w:val="007F1867"/>
    <w:rsid w:val="007F41F8"/>
    <w:rsid w:val="007F60D0"/>
    <w:rsid w:val="007F70C4"/>
    <w:rsid w:val="00803625"/>
    <w:rsid w:val="0080454E"/>
    <w:rsid w:val="00804C32"/>
    <w:rsid w:val="00806302"/>
    <w:rsid w:val="00807119"/>
    <w:rsid w:val="008104BA"/>
    <w:rsid w:val="00817D57"/>
    <w:rsid w:val="00822764"/>
    <w:rsid w:val="0082483F"/>
    <w:rsid w:val="008264CB"/>
    <w:rsid w:val="00826505"/>
    <w:rsid w:val="008279C0"/>
    <w:rsid w:val="00835FD1"/>
    <w:rsid w:val="00842D6F"/>
    <w:rsid w:val="0084683C"/>
    <w:rsid w:val="00853A74"/>
    <w:rsid w:val="00860E61"/>
    <w:rsid w:val="008723F3"/>
    <w:rsid w:val="00881DE6"/>
    <w:rsid w:val="008837A6"/>
    <w:rsid w:val="0089145D"/>
    <w:rsid w:val="008A0C6E"/>
    <w:rsid w:val="008A4297"/>
    <w:rsid w:val="008A4DF2"/>
    <w:rsid w:val="008A6CFE"/>
    <w:rsid w:val="008A729B"/>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2BF6"/>
    <w:rsid w:val="0090421A"/>
    <w:rsid w:val="00904662"/>
    <w:rsid w:val="00905A43"/>
    <w:rsid w:val="00912C79"/>
    <w:rsid w:val="009260A2"/>
    <w:rsid w:val="00942123"/>
    <w:rsid w:val="00942B84"/>
    <w:rsid w:val="00951031"/>
    <w:rsid w:val="0095207B"/>
    <w:rsid w:val="00956085"/>
    <w:rsid w:val="00957951"/>
    <w:rsid w:val="00962045"/>
    <w:rsid w:val="009634F7"/>
    <w:rsid w:val="00965325"/>
    <w:rsid w:val="00967EDA"/>
    <w:rsid w:val="00970897"/>
    <w:rsid w:val="00980314"/>
    <w:rsid w:val="009816D0"/>
    <w:rsid w:val="00987017"/>
    <w:rsid w:val="00991428"/>
    <w:rsid w:val="00992676"/>
    <w:rsid w:val="00996691"/>
    <w:rsid w:val="009A3E4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0E78"/>
    <w:rsid w:val="009E2AEB"/>
    <w:rsid w:val="009E2E27"/>
    <w:rsid w:val="009E4DE3"/>
    <w:rsid w:val="009F596F"/>
    <w:rsid w:val="00A047EE"/>
    <w:rsid w:val="00A114EA"/>
    <w:rsid w:val="00A153F7"/>
    <w:rsid w:val="00A2274A"/>
    <w:rsid w:val="00A235B7"/>
    <w:rsid w:val="00A23908"/>
    <w:rsid w:val="00A27A7A"/>
    <w:rsid w:val="00A407EF"/>
    <w:rsid w:val="00A46B4C"/>
    <w:rsid w:val="00A47EE8"/>
    <w:rsid w:val="00A5117B"/>
    <w:rsid w:val="00A54689"/>
    <w:rsid w:val="00A60074"/>
    <w:rsid w:val="00A654E3"/>
    <w:rsid w:val="00A65919"/>
    <w:rsid w:val="00A6627C"/>
    <w:rsid w:val="00A709E9"/>
    <w:rsid w:val="00A71019"/>
    <w:rsid w:val="00A81029"/>
    <w:rsid w:val="00A83CB5"/>
    <w:rsid w:val="00A96489"/>
    <w:rsid w:val="00AA3A42"/>
    <w:rsid w:val="00AA5311"/>
    <w:rsid w:val="00AA5874"/>
    <w:rsid w:val="00AB0C87"/>
    <w:rsid w:val="00AB685C"/>
    <w:rsid w:val="00AB6C2D"/>
    <w:rsid w:val="00AC08F7"/>
    <w:rsid w:val="00AC3839"/>
    <w:rsid w:val="00AC491D"/>
    <w:rsid w:val="00AC7082"/>
    <w:rsid w:val="00AD3FEA"/>
    <w:rsid w:val="00AD7BBD"/>
    <w:rsid w:val="00AF228E"/>
    <w:rsid w:val="00AF5AD9"/>
    <w:rsid w:val="00B04137"/>
    <w:rsid w:val="00B11D19"/>
    <w:rsid w:val="00B123F3"/>
    <w:rsid w:val="00B12936"/>
    <w:rsid w:val="00B14819"/>
    <w:rsid w:val="00B17AA9"/>
    <w:rsid w:val="00B21987"/>
    <w:rsid w:val="00B25E32"/>
    <w:rsid w:val="00B32DE4"/>
    <w:rsid w:val="00B33578"/>
    <w:rsid w:val="00B370C3"/>
    <w:rsid w:val="00B41097"/>
    <w:rsid w:val="00B411AE"/>
    <w:rsid w:val="00B54E7F"/>
    <w:rsid w:val="00B60190"/>
    <w:rsid w:val="00B61419"/>
    <w:rsid w:val="00B72D5F"/>
    <w:rsid w:val="00B72F5F"/>
    <w:rsid w:val="00B736DF"/>
    <w:rsid w:val="00B73D23"/>
    <w:rsid w:val="00B74FBD"/>
    <w:rsid w:val="00B82586"/>
    <w:rsid w:val="00B829A3"/>
    <w:rsid w:val="00B86DB1"/>
    <w:rsid w:val="00B87869"/>
    <w:rsid w:val="00BA0E44"/>
    <w:rsid w:val="00BA47C5"/>
    <w:rsid w:val="00BB0F2B"/>
    <w:rsid w:val="00BB3043"/>
    <w:rsid w:val="00BD175E"/>
    <w:rsid w:val="00BD269A"/>
    <w:rsid w:val="00BD2FB1"/>
    <w:rsid w:val="00BD7509"/>
    <w:rsid w:val="00BE0105"/>
    <w:rsid w:val="00BE1A50"/>
    <w:rsid w:val="00BE72D1"/>
    <w:rsid w:val="00BF50F7"/>
    <w:rsid w:val="00C02A26"/>
    <w:rsid w:val="00C02F29"/>
    <w:rsid w:val="00C062E2"/>
    <w:rsid w:val="00C10C13"/>
    <w:rsid w:val="00C17111"/>
    <w:rsid w:val="00C20747"/>
    <w:rsid w:val="00C20AFE"/>
    <w:rsid w:val="00C22A25"/>
    <w:rsid w:val="00C23B79"/>
    <w:rsid w:val="00C33D50"/>
    <w:rsid w:val="00C35671"/>
    <w:rsid w:val="00C35B77"/>
    <w:rsid w:val="00C370D3"/>
    <w:rsid w:val="00C376EB"/>
    <w:rsid w:val="00C4003A"/>
    <w:rsid w:val="00C42B27"/>
    <w:rsid w:val="00C435CC"/>
    <w:rsid w:val="00C46EC1"/>
    <w:rsid w:val="00C504E5"/>
    <w:rsid w:val="00C53E2C"/>
    <w:rsid w:val="00C550C8"/>
    <w:rsid w:val="00C56B61"/>
    <w:rsid w:val="00C606C3"/>
    <w:rsid w:val="00C6148E"/>
    <w:rsid w:val="00C620F4"/>
    <w:rsid w:val="00C67D8B"/>
    <w:rsid w:val="00C67ECE"/>
    <w:rsid w:val="00C72848"/>
    <w:rsid w:val="00C7736C"/>
    <w:rsid w:val="00C82D87"/>
    <w:rsid w:val="00C841ED"/>
    <w:rsid w:val="00C85F17"/>
    <w:rsid w:val="00C8712A"/>
    <w:rsid w:val="00C91324"/>
    <w:rsid w:val="00C963D3"/>
    <w:rsid w:val="00CA2779"/>
    <w:rsid w:val="00CA6E0D"/>
    <w:rsid w:val="00CB2CBB"/>
    <w:rsid w:val="00CB53F4"/>
    <w:rsid w:val="00CB7CAC"/>
    <w:rsid w:val="00CC0EA0"/>
    <w:rsid w:val="00CC5335"/>
    <w:rsid w:val="00CC5BA4"/>
    <w:rsid w:val="00CC70BB"/>
    <w:rsid w:val="00CD4998"/>
    <w:rsid w:val="00CE1035"/>
    <w:rsid w:val="00CE3CA4"/>
    <w:rsid w:val="00CF18E7"/>
    <w:rsid w:val="00CF2819"/>
    <w:rsid w:val="00CF4F9D"/>
    <w:rsid w:val="00CF70DC"/>
    <w:rsid w:val="00D148DC"/>
    <w:rsid w:val="00D17FDC"/>
    <w:rsid w:val="00D20244"/>
    <w:rsid w:val="00D25759"/>
    <w:rsid w:val="00D31351"/>
    <w:rsid w:val="00D31963"/>
    <w:rsid w:val="00D31AFA"/>
    <w:rsid w:val="00D444C5"/>
    <w:rsid w:val="00D45AEA"/>
    <w:rsid w:val="00D55B85"/>
    <w:rsid w:val="00D56A37"/>
    <w:rsid w:val="00D57202"/>
    <w:rsid w:val="00D63EFD"/>
    <w:rsid w:val="00D64826"/>
    <w:rsid w:val="00D75CE8"/>
    <w:rsid w:val="00D769AB"/>
    <w:rsid w:val="00D80DF2"/>
    <w:rsid w:val="00D84752"/>
    <w:rsid w:val="00D85AB0"/>
    <w:rsid w:val="00D86B3B"/>
    <w:rsid w:val="00D8748A"/>
    <w:rsid w:val="00D93196"/>
    <w:rsid w:val="00D97A93"/>
    <w:rsid w:val="00DA1083"/>
    <w:rsid w:val="00DA26C8"/>
    <w:rsid w:val="00DB243C"/>
    <w:rsid w:val="00DB3BC2"/>
    <w:rsid w:val="00DB482A"/>
    <w:rsid w:val="00DB56F2"/>
    <w:rsid w:val="00DB6EF5"/>
    <w:rsid w:val="00DC3089"/>
    <w:rsid w:val="00DC35E5"/>
    <w:rsid w:val="00DC4420"/>
    <w:rsid w:val="00DC45F4"/>
    <w:rsid w:val="00DD0802"/>
    <w:rsid w:val="00DD0A50"/>
    <w:rsid w:val="00DD2E11"/>
    <w:rsid w:val="00DE03AF"/>
    <w:rsid w:val="00DE121C"/>
    <w:rsid w:val="00DE2A27"/>
    <w:rsid w:val="00DE3705"/>
    <w:rsid w:val="00DE6633"/>
    <w:rsid w:val="00DF27A5"/>
    <w:rsid w:val="00DF3D1E"/>
    <w:rsid w:val="00DF415E"/>
    <w:rsid w:val="00DF75F8"/>
    <w:rsid w:val="00DF7A3A"/>
    <w:rsid w:val="00E00C00"/>
    <w:rsid w:val="00E04A7C"/>
    <w:rsid w:val="00E059FB"/>
    <w:rsid w:val="00E069C4"/>
    <w:rsid w:val="00E07275"/>
    <w:rsid w:val="00E07866"/>
    <w:rsid w:val="00E07C5A"/>
    <w:rsid w:val="00E111F0"/>
    <w:rsid w:val="00E15BA9"/>
    <w:rsid w:val="00E17B5C"/>
    <w:rsid w:val="00E23A84"/>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1E8D"/>
    <w:rsid w:val="00E73529"/>
    <w:rsid w:val="00E77C3D"/>
    <w:rsid w:val="00E80967"/>
    <w:rsid w:val="00E8360D"/>
    <w:rsid w:val="00E850FE"/>
    <w:rsid w:val="00E86838"/>
    <w:rsid w:val="00E909F0"/>
    <w:rsid w:val="00E90D47"/>
    <w:rsid w:val="00E93993"/>
    <w:rsid w:val="00E9597C"/>
    <w:rsid w:val="00E959D7"/>
    <w:rsid w:val="00EA0913"/>
    <w:rsid w:val="00EA0A2F"/>
    <w:rsid w:val="00EB0CF6"/>
    <w:rsid w:val="00EB146B"/>
    <w:rsid w:val="00EB45AC"/>
    <w:rsid w:val="00EC21D1"/>
    <w:rsid w:val="00EC2AEA"/>
    <w:rsid w:val="00EC7B11"/>
    <w:rsid w:val="00EC7F95"/>
    <w:rsid w:val="00ED0BC4"/>
    <w:rsid w:val="00ED3771"/>
    <w:rsid w:val="00ED6A32"/>
    <w:rsid w:val="00EE4971"/>
    <w:rsid w:val="00EF090E"/>
    <w:rsid w:val="00F033DA"/>
    <w:rsid w:val="00F11AAB"/>
    <w:rsid w:val="00F1363D"/>
    <w:rsid w:val="00F13A4A"/>
    <w:rsid w:val="00F13FB1"/>
    <w:rsid w:val="00F17C87"/>
    <w:rsid w:val="00F223E7"/>
    <w:rsid w:val="00F2288D"/>
    <w:rsid w:val="00F25779"/>
    <w:rsid w:val="00F2750A"/>
    <w:rsid w:val="00F27CD8"/>
    <w:rsid w:val="00F30351"/>
    <w:rsid w:val="00F30762"/>
    <w:rsid w:val="00F3323E"/>
    <w:rsid w:val="00F341F4"/>
    <w:rsid w:val="00F34F9D"/>
    <w:rsid w:val="00F35CCE"/>
    <w:rsid w:val="00F36AF5"/>
    <w:rsid w:val="00F55241"/>
    <w:rsid w:val="00F5524B"/>
    <w:rsid w:val="00F5669E"/>
    <w:rsid w:val="00F60538"/>
    <w:rsid w:val="00F61DD2"/>
    <w:rsid w:val="00F6523A"/>
    <w:rsid w:val="00F66AFF"/>
    <w:rsid w:val="00F71433"/>
    <w:rsid w:val="00F7241A"/>
    <w:rsid w:val="00F7795A"/>
    <w:rsid w:val="00F83E76"/>
    <w:rsid w:val="00F90A57"/>
    <w:rsid w:val="00F97C5B"/>
    <w:rsid w:val="00F97EC4"/>
    <w:rsid w:val="00FA05D2"/>
    <w:rsid w:val="00FA359A"/>
    <w:rsid w:val="00FA3D50"/>
    <w:rsid w:val="00FB009F"/>
    <w:rsid w:val="00FB25B0"/>
    <w:rsid w:val="00FB5F4F"/>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17</Pages>
  <Words>6878</Words>
  <Characters>39207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Jimmy Ng</cp:lastModifiedBy>
  <cp:revision>40</cp:revision>
  <cp:lastPrinted>2019-08-27T05:42:00Z</cp:lastPrinted>
  <dcterms:created xsi:type="dcterms:W3CDTF">2022-01-03T14:13:00Z</dcterms:created>
  <dcterms:modified xsi:type="dcterms:W3CDTF">2022-02-08T10:36:00Z</dcterms:modified>
</cp:coreProperties>
</file>