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A3F7" w14:textId="77777777" w:rsidR="00A750DA" w:rsidRDefault="00A750DA" w:rsidP="0058128E">
      <w:pPr>
        <w:jc w:val="center"/>
        <w:rPr>
          <w:rFonts w:ascii="Arial" w:hAnsi="Arial" w:cs="Arial"/>
          <w:b/>
          <w:bCs/>
          <w:sz w:val="28"/>
          <w:szCs w:val="28"/>
          <w:lang w:val="en-GB"/>
        </w:rPr>
      </w:pPr>
    </w:p>
    <w:p w14:paraId="051FCEF9" w14:textId="77777777" w:rsidR="00A750DA" w:rsidRDefault="00A750DA" w:rsidP="0058128E">
      <w:pPr>
        <w:jc w:val="center"/>
        <w:rPr>
          <w:rFonts w:ascii="Arial" w:hAnsi="Arial" w:cs="Arial"/>
          <w:b/>
          <w:bCs/>
          <w:sz w:val="28"/>
          <w:szCs w:val="28"/>
          <w:lang w:val="en-GB"/>
        </w:rPr>
      </w:pPr>
    </w:p>
    <w:p w14:paraId="3053E925" w14:textId="77777777" w:rsidR="00A750DA" w:rsidRDefault="00A750DA" w:rsidP="0058128E">
      <w:pPr>
        <w:jc w:val="center"/>
        <w:rPr>
          <w:rFonts w:ascii="Arial" w:hAnsi="Arial" w:cs="Arial"/>
          <w:b/>
          <w:bCs/>
          <w:sz w:val="28"/>
          <w:szCs w:val="28"/>
          <w:lang w:val="en-GB"/>
        </w:rPr>
      </w:pPr>
    </w:p>
    <w:p w14:paraId="29DF1924" w14:textId="77777777" w:rsidR="00A750DA" w:rsidRDefault="00A750DA" w:rsidP="0058128E">
      <w:pPr>
        <w:jc w:val="center"/>
        <w:rPr>
          <w:rFonts w:ascii="Arial" w:hAnsi="Arial" w:cs="Arial"/>
          <w:b/>
          <w:bCs/>
          <w:sz w:val="28"/>
          <w:szCs w:val="28"/>
          <w:lang w:val="en-GB"/>
        </w:rPr>
      </w:pPr>
    </w:p>
    <w:p w14:paraId="6ED44ED2" w14:textId="77777777" w:rsidR="00A750DA" w:rsidRDefault="00A750DA" w:rsidP="0058128E">
      <w:pPr>
        <w:jc w:val="center"/>
        <w:rPr>
          <w:rFonts w:ascii="Arial" w:hAnsi="Arial" w:cs="Arial"/>
          <w:b/>
          <w:bCs/>
          <w:sz w:val="28"/>
          <w:szCs w:val="28"/>
          <w:lang w:val="en-GB"/>
        </w:rPr>
      </w:pPr>
    </w:p>
    <w:p w14:paraId="61E0B8D6" w14:textId="77777777" w:rsidR="00A750DA" w:rsidRDefault="00A750DA" w:rsidP="0058128E">
      <w:pPr>
        <w:jc w:val="center"/>
        <w:rPr>
          <w:rFonts w:ascii="Arial" w:hAnsi="Arial" w:cs="Arial"/>
          <w:b/>
          <w:bCs/>
          <w:sz w:val="28"/>
          <w:szCs w:val="28"/>
          <w:lang w:val="en-GB"/>
        </w:rPr>
      </w:pPr>
    </w:p>
    <w:p w14:paraId="660C5FC9" w14:textId="0B01DAD8" w:rsidR="0025790A" w:rsidRPr="00212F5D" w:rsidRDefault="0058128E" w:rsidP="0058128E">
      <w:pPr>
        <w:jc w:val="center"/>
        <w:rPr>
          <w:rFonts w:ascii="Arial" w:hAnsi="Arial" w:cs="Arial"/>
          <w:sz w:val="24"/>
          <w:szCs w:val="24"/>
        </w:rPr>
      </w:pPr>
      <w:r w:rsidRPr="00212F5D">
        <w:rPr>
          <w:rFonts w:ascii="Arial" w:hAnsi="Arial" w:cs="Arial"/>
          <w:b/>
          <w:bCs/>
          <w:sz w:val="28"/>
          <w:szCs w:val="28"/>
          <w:lang w:val="en-GB"/>
        </w:rPr>
        <w:t xml:space="preserve">An Analysis of the Restructuring Mechanisms for Distressed Companies in the UK </w:t>
      </w:r>
      <w:r w:rsidR="00D238A6">
        <w:rPr>
          <w:rFonts w:ascii="Arial" w:hAnsi="Arial" w:cs="Arial"/>
          <w:b/>
          <w:bCs/>
          <w:sz w:val="28"/>
          <w:szCs w:val="28"/>
          <w:lang w:val="en-GB"/>
        </w:rPr>
        <w:t>and</w:t>
      </w:r>
      <w:r w:rsidRPr="00212F5D">
        <w:rPr>
          <w:rFonts w:ascii="Arial" w:hAnsi="Arial" w:cs="Arial"/>
          <w:b/>
          <w:bCs/>
          <w:sz w:val="28"/>
          <w:szCs w:val="28"/>
          <w:lang w:val="en-GB"/>
        </w:rPr>
        <w:t xml:space="preserve"> Canada</w:t>
      </w:r>
    </w:p>
    <w:p w14:paraId="02E599E0" w14:textId="2A96178D" w:rsidR="0025790A" w:rsidRPr="00212F5D" w:rsidRDefault="0025790A">
      <w:pPr>
        <w:rPr>
          <w:rFonts w:ascii="Arial" w:hAnsi="Arial" w:cs="Arial"/>
        </w:rPr>
      </w:pPr>
    </w:p>
    <w:p w14:paraId="5B123FF5" w14:textId="662C7BA2" w:rsidR="00D0265A" w:rsidRDefault="00D0265A">
      <w:pPr>
        <w:rPr>
          <w:rFonts w:ascii="Arial" w:hAnsi="Arial" w:cs="Arial"/>
          <w:sz w:val="24"/>
        </w:rPr>
      </w:pPr>
    </w:p>
    <w:p w14:paraId="1E23FD3F" w14:textId="77777777" w:rsidR="00A750DA" w:rsidRDefault="00A750DA">
      <w:pPr>
        <w:rPr>
          <w:rFonts w:ascii="Arial" w:hAnsi="Arial" w:cs="Arial"/>
          <w:sz w:val="24"/>
        </w:rPr>
      </w:pPr>
    </w:p>
    <w:p w14:paraId="65B71454" w14:textId="77777777" w:rsidR="00A750DA" w:rsidRPr="00212F5D" w:rsidRDefault="00A750DA">
      <w:pPr>
        <w:rPr>
          <w:rFonts w:ascii="Arial" w:hAnsi="Arial" w:cs="Arial"/>
          <w:sz w:val="24"/>
        </w:rPr>
      </w:pPr>
    </w:p>
    <w:p w14:paraId="3703CEE0" w14:textId="77777777" w:rsidR="00CB28AB" w:rsidRPr="00212F5D" w:rsidRDefault="00CB28AB" w:rsidP="00CB28AB">
      <w:pPr>
        <w:jc w:val="center"/>
        <w:rPr>
          <w:rFonts w:ascii="Arial" w:hAnsi="Arial" w:cs="Arial"/>
          <w:sz w:val="28"/>
        </w:rPr>
      </w:pPr>
      <w:r w:rsidRPr="00212F5D">
        <w:rPr>
          <w:rFonts w:ascii="Arial" w:hAnsi="Arial" w:cs="Arial"/>
          <w:sz w:val="28"/>
        </w:rPr>
        <w:t xml:space="preserve">By </w:t>
      </w:r>
    </w:p>
    <w:p w14:paraId="538FE9B1" w14:textId="28244ABB" w:rsidR="00D0265A" w:rsidRDefault="00CB28AB" w:rsidP="00CB28AB">
      <w:pPr>
        <w:jc w:val="center"/>
        <w:rPr>
          <w:rFonts w:ascii="Arial" w:hAnsi="Arial" w:cs="Arial"/>
          <w:sz w:val="28"/>
        </w:rPr>
      </w:pPr>
      <w:r w:rsidRPr="00212F5D">
        <w:rPr>
          <w:rFonts w:ascii="Arial" w:hAnsi="Arial" w:cs="Arial"/>
          <w:sz w:val="28"/>
        </w:rPr>
        <w:t xml:space="preserve">Dane Patterson </w:t>
      </w:r>
    </w:p>
    <w:p w14:paraId="6D75BAD9" w14:textId="26EE85D7" w:rsidR="00A750DA" w:rsidRDefault="00A750DA" w:rsidP="00CB28AB">
      <w:pPr>
        <w:jc w:val="center"/>
        <w:rPr>
          <w:rFonts w:ascii="Arial" w:hAnsi="Arial" w:cs="Arial"/>
          <w:sz w:val="28"/>
        </w:rPr>
      </w:pPr>
      <w:r>
        <w:rPr>
          <w:rFonts w:ascii="Arial" w:hAnsi="Arial" w:cs="Arial"/>
          <w:sz w:val="28"/>
        </w:rPr>
        <w:t>INSOL GIPC – Short Paper</w:t>
      </w:r>
    </w:p>
    <w:p w14:paraId="5CA4521A" w14:textId="57080F52" w:rsidR="00A750DA" w:rsidRPr="00212F5D" w:rsidRDefault="00A750DA" w:rsidP="00CB28AB">
      <w:pPr>
        <w:jc w:val="center"/>
        <w:rPr>
          <w:rFonts w:ascii="Arial" w:hAnsi="Arial" w:cs="Arial"/>
          <w:sz w:val="28"/>
        </w:rPr>
      </w:pPr>
      <w:r>
        <w:rPr>
          <w:rFonts w:ascii="Arial" w:hAnsi="Arial" w:cs="Arial"/>
          <w:sz w:val="28"/>
        </w:rPr>
        <w:t>February 7, 2022</w:t>
      </w:r>
    </w:p>
    <w:p w14:paraId="0194D3E9" w14:textId="4592486B" w:rsidR="00D0265A" w:rsidRPr="00212F5D" w:rsidRDefault="00D0265A">
      <w:pPr>
        <w:rPr>
          <w:rFonts w:ascii="Arial" w:hAnsi="Arial" w:cs="Arial"/>
        </w:rPr>
      </w:pPr>
    </w:p>
    <w:p w14:paraId="17F1023F" w14:textId="13EFF3DF" w:rsidR="00D0265A" w:rsidRPr="00212F5D" w:rsidRDefault="00D0265A">
      <w:pPr>
        <w:rPr>
          <w:rFonts w:ascii="Arial" w:hAnsi="Arial" w:cs="Arial"/>
        </w:rPr>
      </w:pPr>
    </w:p>
    <w:p w14:paraId="776B6256" w14:textId="6DA88383" w:rsidR="00D0265A" w:rsidRPr="00212F5D" w:rsidRDefault="00D0265A">
      <w:pPr>
        <w:rPr>
          <w:rFonts w:ascii="Arial" w:hAnsi="Arial" w:cs="Arial"/>
        </w:rPr>
      </w:pPr>
    </w:p>
    <w:p w14:paraId="74CA259C" w14:textId="0A11B69B" w:rsidR="00D0265A" w:rsidRPr="00212F5D" w:rsidRDefault="00D0265A">
      <w:pPr>
        <w:rPr>
          <w:rFonts w:ascii="Arial" w:hAnsi="Arial" w:cs="Arial"/>
        </w:rPr>
      </w:pPr>
    </w:p>
    <w:p w14:paraId="6496FF32" w14:textId="0FC9056C" w:rsidR="00D0265A" w:rsidRPr="00212F5D" w:rsidRDefault="00D0265A">
      <w:pPr>
        <w:rPr>
          <w:rFonts w:ascii="Arial" w:hAnsi="Arial" w:cs="Arial"/>
        </w:rPr>
      </w:pPr>
    </w:p>
    <w:p w14:paraId="2DE1B50F" w14:textId="46EBDC76" w:rsidR="00D0265A" w:rsidRPr="00212F5D" w:rsidRDefault="00D0265A">
      <w:pPr>
        <w:rPr>
          <w:rFonts w:ascii="Arial" w:hAnsi="Arial" w:cs="Arial"/>
        </w:rPr>
      </w:pPr>
    </w:p>
    <w:p w14:paraId="617576CD" w14:textId="725B91CD" w:rsidR="00D0265A" w:rsidRPr="00212F5D" w:rsidRDefault="00D0265A">
      <w:pPr>
        <w:rPr>
          <w:rFonts w:ascii="Arial" w:hAnsi="Arial" w:cs="Arial"/>
        </w:rPr>
      </w:pPr>
    </w:p>
    <w:p w14:paraId="3DF564ED" w14:textId="0A2DB0E4" w:rsidR="00D0265A" w:rsidRPr="00212F5D" w:rsidRDefault="00D0265A">
      <w:pPr>
        <w:rPr>
          <w:rFonts w:ascii="Arial" w:hAnsi="Arial" w:cs="Arial"/>
        </w:rPr>
      </w:pPr>
    </w:p>
    <w:p w14:paraId="15E7D7AC" w14:textId="7A49A7D7" w:rsidR="00D0265A" w:rsidRPr="00212F5D" w:rsidRDefault="00D0265A">
      <w:pPr>
        <w:rPr>
          <w:rFonts w:ascii="Arial" w:hAnsi="Arial" w:cs="Arial"/>
        </w:rPr>
      </w:pPr>
    </w:p>
    <w:bookmarkStart w:id="0" w:name="_GoBack" w:displacedByCustomXml="next"/>
    <w:bookmarkEnd w:id="0" w:displacedByCustomXml="next"/>
    <w:sdt>
      <w:sdtPr>
        <w:rPr>
          <w:rFonts w:ascii="Arial" w:eastAsiaTheme="minorHAnsi" w:hAnsi="Arial" w:cs="Arial"/>
          <w:color w:val="auto"/>
          <w:sz w:val="22"/>
          <w:szCs w:val="22"/>
        </w:rPr>
        <w:id w:val="1147408627"/>
        <w:docPartObj>
          <w:docPartGallery w:val="Table of Contents"/>
          <w:docPartUnique/>
        </w:docPartObj>
      </w:sdtPr>
      <w:sdtEndPr>
        <w:rPr>
          <w:b/>
          <w:bCs/>
          <w:noProof/>
        </w:rPr>
      </w:sdtEndPr>
      <w:sdtContent>
        <w:p w14:paraId="0F4524EC" w14:textId="4A328498" w:rsidR="00D0265A" w:rsidRPr="00A750DA" w:rsidRDefault="00D0265A">
          <w:pPr>
            <w:pStyle w:val="TOCHeading"/>
            <w:rPr>
              <w:rFonts w:ascii="Arial" w:hAnsi="Arial" w:cs="Arial"/>
              <w:sz w:val="22"/>
              <w:szCs w:val="22"/>
            </w:rPr>
          </w:pPr>
          <w:r w:rsidRPr="00A750DA">
            <w:rPr>
              <w:rFonts w:ascii="Arial" w:hAnsi="Arial" w:cs="Arial"/>
              <w:sz w:val="22"/>
              <w:szCs w:val="22"/>
            </w:rPr>
            <w:t>Contents</w:t>
          </w:r>
        </w:p>
        <w:p w14:paraId="55A2B44E" w14:textId="77777777" w:rsidR="00A750DA" w:rsidRPr="00A750DA" w:rsidRDefault="00D0265A">
          <w:pPr>
            <w:pStyle w:val="TOC1"/>
            <w:tabs>
              <w:tab w:val="right" w:leader="dot" w:pos="9350"/>
            </w:tabs>
            <w:rPr>
              <w:rFonts w:ascii="Arial" w:eastAsiaTheme="minorEastAsia" w:hAnsi="Arial" w:cs="Arial"/>
              <w:noProof/>
            </w:rPr>
          </w:pPr>
          <w:r w:rsidRPr="00A750DA">
            <w:rPr>
              <w:rFonts w:ascii="Arial" w:hAnsi="Arial" w:cs="Arial"/>
            </w:rPr>
            <w:fldChar w:fldCharType="begin"/>
          </w:r>
          <w:r w:rsidRPr="00A750DA">
            <w:rPr>
              <w:rFonts w:ascii="Arial" w:hAnsi="Arial" w:cs="Arial"/>
            </w:rPr>
            <w:instrText xml:space="preserve"> TOC \o "1-3" \h \z \u </w:instrText>
          </w:r>
          <w:r w:rsidRPr="00A750DA">
            <w:rPr>
              <w:rFonts w:ascii="Arial" w:hAnsi="Arial" w:cs="Arial"/>
            </w:rPr>
            <w:fldChar w:fldCharType="separate"/>
          </w:r>
          <w:hyperlink w:anchor="_Toc95128859" w:history="1">
            <w:r w:rsidR="00A750DA" w:rsidRPr="00A750DA">
              <w:rPr>
                <w:rStyle w:val="Hyperlink"/>
                <w:rFonts w:ascii="Arial" w:hAnsi="Arial" w:cs="Arial"/>
                <w:noProof/>
              </w:rPr>
              <w:t>PART I - INTRODUCTION</w:t>
            </w:r>
            <w:r w:rsidR="00A750DA" w:rsidRPr="00A750DA">
              <w:rPr>
                <w:rFonts w:ascii="Arial" w:hAnsi="Arial" w:cs="Arial"/>
                <w:noProof/>
                <w:webHidden/>
              </w:rPr>
              <w:tab/>
            </w:r>
            <w:r w:rsidR="00A750DA" w:rsidRPr="00A750DA">
              <w:rPr>
                <w:rFonts w:ascii="Arial" w:hAnsi="Arial" w:cs="Arial"/>
                <w:noProof/>
                <w:webHidden/>
              </w:rPr>
              <w:fldChar w:fldCharType="begin"/>
            </w:r>
            <w:r w:rsidR="00A750DA" w:rsidRPr="00A750DA">
              <w:rPr>
                <w:rFonts w:ascii="Arial" w:hAnsi="Arial" w:cs="Arial"/>
                <w:noProof/>
                <w:webHidden/>
              </w:rPr>
              <w:instrText xml:space="preserve"> PAGEREF _Toc95128859 \h </w:instrText>
            </w:r>
            <w:r w:rsidR="00A750DA" w:rsidRPr="00A750DA">
              <w:rPr>
                <w:rFonts w:ascii="Arial" w:hAnsi="Arial" w:cs="Arial"/>
                <w:noProof/>
                <w:webHidden/>
              </w:rPr>
            </w:r>
            <w:r w:rsidR="00A750DA" w:rsidRPr="00A750DA">
              <w:rPr>
                <w:rFonts w:ascii="Arial" w:hAnsi="Arial" w:cs="Arial"/>
                <w:noProof/>
                <w:webHidden/>
              </w:rPr>
              <w:fldChar w:fldCharType="separate"/>
            </w:r>
            <w:r w:rsidR="00A750DA" w:rsidRPr="00A750DA">
              <w:rPr>
                <w:rFonts w:ascii="Arial" w:hAnsi="Arial" w:cs="Arial"/>
                <w:noProof/>
                <w:webHidden/>
              </w:rPr>
              <w:t>3</w:t>
            </w:r>
            <w:r w:rsidR="00A750DA" w:rsidRPr="00A750DA">
              <w:rPr>
                <w:rFonts w:ascii="Arial" w:hAnsi="Arial" w:cs="Arial"/>
                <w:noProof/>
                <w:webHidden/>
              </w:rPr>
              <w:fldChar w:fldCharType="end"/>
            </w:r>
          </w:hyperlink>
        </w:p>
        <w:p w14:paraId="5DEC0A0C" w14:textId="77777777" w:rsidR="00A750DA" w:rsidRPr="00A750DA" w:rsidRDefault="00A750DA">
          <w:pPr>
            <w:pStyle w:val="TOC3"/>
            <w:tabs>
              <w:tab w:val="right" w:leader="dot" w:pos="9350"/>
            </w:tabs>
            <w:rPr>
              <w:rFonts w:ascii="Arial" w:eastAsiaTheme="minorEastAsia" w:hAnsi="Arial" w:cs="Arial"/>
              <w:noProof/>
            </w:rPr>
          </w:pPr>
          <w:hyperlink w:anchor="_Toc95128860" w:history="1">
            <w:r w:rsidRPr="00A750DA">
              <w:rPr>
                <w:rStyle w:val="Hyperlink"/>
                <w:rFonts w:ascii="Arial" w:hAnsi="Arial" w:cs="Arial"/>
                <w:noProof/>
              </w:rPr>
              <w:t>United Kingdom</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_Toc95128860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3</w:t>
            </w:r>
            <w:r w:rsidRPr="00A750DA">
              <w:rPr>
                <w:rFonts w:ascii="Arial" w:hAnsi="Arial" w:cs="Arial"/>
                <w:noProof/>
                <w:webHidden/>
              </w:rPr>
              <w:fldChar w:fldCharType="end"/>
            </w:r>
          </w:hyperlink>
        </w:p>
        <w:p w14:paraId="434A55E9" w14:textId="77777777" w:rsidR="00A750DA" w:rsidRPr="00A750DA" w:rsidRDefault="00A750DA">
          <w:pPr>
            <w:pStyle w:val="TOC3"/>
            <w:tabs>
              <w:tab w:val="right" w:leader="dot" w:pos="9350"/>
            </w:tabs>
            <w:rPr>
              <w:rFonts w:ascii="Arial" w:eastAsiaTheme="minorEastAsia" w:hAnsi="Arial" w:cs="Arial"/>
              <w:noProof/>
            </w:rPr>
          </w:pPr>
          <w:hyperlink w:anchor="_Toc95128861" w:history="1">
            <w:r w:rsidRPr="00A750DA">
              <w:rPr>
                <w:rStyle w:val="Hyperlink"/>
                <w:rFonts w:ascii="Arial" w:hAnsi="Arial" w:cs="Arial"/>
                <w:noProof/>
              </w:rPr>
              <w:t>Canada</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_Toc95128861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4</w:t>
            </w:r>
            <w:r w:rsidRPr="00A750DA">
              <w:rPr>
                <w:rFonts w:ascii="Arial" w:hAnsi="Arial" w:cs="Arial"/>
                <w:noProof/>
                <w:webHidden/>
              </w:rPr>
              <w:fldChar w:fldCharType="end"/>
            </w:r>
          </w:hyperlink>
        </w:p>
        <w:p w14:paraId="15CEA689" w14:textId="77777777" w:rsidR="00A750DA" w:rsidRPr="00A750DA" w:rsidRDefault="00A750DA">
          <w:pPr>
            <w:pStyle w:val="TOC1"/>
            <w:tabs>
              <w:tab w:val="right" w:leader="dot" w:pos="9350"/>
            </w:tabs>
            <w:rPr>
              <w:rFonts w:ascii="Arial" w:eastAsiaTheme="minorEastAsia" w:hAnsi="Arial" w:cs="Arial"/>
              <w:noProof/>
            </w:rPr>
          </w:pPr>
          <w:hyperlink w:anchor="_Toc95128862" w:history="1">
            <w:r w:rsidRPr="00A750DA">
              <w:rPr>
                <w:rStyle w:val="Hyperlink"/>
                <w:rFonts w:ascii="Arial" w:hAnsi="Arial" w:cs="Arial"/>
                <w:noProof/>
              </w:rPr>
              <w:t>PART II - METHODOLOGY</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_Toc95128862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4</w:t>
            </w:r>
            <w:r w:rsidRPr="00A750DA">
              <w:rPr>
                <w:rFonts w:ascii="Arial" w:hAnsi="Arial" w:cs="Arial"/>
                <w:noProof/>
                <w:webHidden/>
              </w:rPr>
              <w:fldChar w:fldCharType="end"/>
            </w:r>
          </w:hyperlink>
        </w:p>
        <w:p w14:paraId="33D795E9" w14:textId="77777777" w:rsidR="00A750DA" w:rsidRPr="00A750DA" w:rsidRDefault="00A750DA">
          <w:pPr>
            <w:pStyle w:val="TOC1"/>
            <w:tabs>
              <w:tab w:val="right" w:leader="dot" w:pos="9350"/>
            </w:tabs>
            <w:rPr>
              <w:rFonts w:ascii="Arial" w:eastAsiaTheme="minorEastAsia" w:hAnsi="Arial" w:cs="Arial"/>
              <w:noProof/>
            </w:rPr>
          </w:pPr>
          <w:hyperlink w:anchor="_Toc95128863" w:history="1">
            <w:r w:rsidRPr="00A750DA">
              <w:rPr>
                <w:rStyle w:val="Hyperlink"/>
                <w:rFonts w:ascii="Arial" w:hAnsi="Arial" w:cs="Arial"/>
                <w:noProof/>
              </w:rPr>
              <w:t>PART III - INSOLVENCY LAWS IN EACH JURISDICTION</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_Toc95128863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5</w:t>
            </w:r>
            <w:r w:rsidRPr="00A750DA">
              <w:rPr>
                <w:rFonts w:ascii="Arial" w:hAnsi="Arial" w:cs="Arial"/>
                <w:noProof/>
                <w:webHidden/>
              </w:rPr>
              <w:fldChar w:fldCharType="end"/>
            </w:r>
          </w:hyperlink>
        </w:p>
        <w:p w14:paraId="709ED1B3" w14:textId="77777777" w:rsidR="00A750DA" w:rsidRPr="00A750DA" w:rsidRDefault="00A750DA">
          <w:pPr>
            <w:pStyle w:val="TOC3"/>
            <w:tabs>
              <w:tab w:val="right" w:leader="dot" w:pos="9350"/>
            </w:tabs>
            <w:rPr>
              <w:rFonts w:ascii="Arial" w:eastAsiaTheme="minorEastAsia" w:hAnsi="Arial" w:cs="Arial"/>
              <w:noProof/>
            </w:rPr>
          </w:pPr>
          <w:hyperlink w:anchor="_Toc95128864" w:history="1">
            <w:r w:rsidRPr="00A750DA">
              <w:rPr>
                <w:rStyle w:val="Hyperlink"/>
                <w:rFonts w:ascii="Arial" w:hAnsi="Arial" w:cs="Arial"/>
                <w:noProof/>
              </w:rPr>
              <w:t>United Kingdom</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_Toc95128864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5</w:t>
            </w:r>
            <w:r w:rsidRPr="00A750DA">
              <w:rPr>
                <w:rFonts w:ascii="Arial" w:hAnsi="Arial" w:cs="Arial"/>
                <w:noProof/>
                <w:webHidden/>
              </w:rPr>
              <w:fldChar w:fldCharType="end"/>
            </w:r>
          </w:hyperlink>
        </w:p>
        <w:p w14:paraId="17DFB9DD" w14:textId="77777777" w:rsidR="00A750DA" w:rsidRPr="00A750DA" w:rsidRDefault="00A750DA">
          <w:pPr>
            <w:pStyle w:val="TOC3"/>
            <w:tabs>
              <w:tab w:val="right" w:leader="dot" w:pos="9350"/>
            </w:tabs>
            <w:rPr>
              <w:rFonts w:ascii="Arial" w:eastAsiaTheme="minorEastAsia" w:hAnsi="Arial" w:cs="Arial"/>
              <w:noProof/>
            </w:rPr>
          </w:pPr>
          <w:hyperlink w:anchor="_Toc95128865" w:history="1">
            <w:r w:rsidRPr="00A750DA">
              <w:rPr>
                <w:rStyle w:val="Hyperlink"/>
                <w:rFonts w:ascii="Arial" w:hAnsi="Arial" w:cs="Arial"/>
                <w:noProof/>
              </w:rPr>
              <w:t>Canada</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_Toc95128865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8</w:t>
            </w:r>
            <w:r w:rsidRPr="00A750DA">
              <w:rPr>
                <w:rFonts w:ascii="Arial" w:hAnsi="Arial" w:cs="Arial"/>
                <w:noProof/>
                <w:webHidden/>
              </w:rPr>
              <w:fldChar w:fldCharType="end"/>
            </w:r>
          </w:hyperlink>
        </w:p>
        <w:p w14:paraId="7CEA143F" w14:textId="77777777" w:rsidR="00A750DA" w:rsidRPr="00A750DA" w:rsidRDefault="00A750DA">
          <w:pPr>
            <w:pStyle w:val="TOC1"/>
            <w:tabs>
              <w:tab w:val="right" w:leader="dot" w:pos="9350"/>
            </w:tabs>
            <w:rPr>
              <w:rFonts w:ascii="Arial" w:eastAsiaTheme="minorEastAsia" w:hAnsi="Arial" w:cs="Arial"/>
              <w:noProof/>
            </w:rPr>
          </w:pPr>
          <w:hyperlink w:anchor="_Toc95128866" w:history="1">
            <w:r w:rsidRPr="00A750DA">
              <w:rPr>
                <w:rStyle w:val="Hyperlink"/>
                <w:rFonts w:ascii="Arial" w:hAnsi="Arial" w:cs="Arial"/>
                <w:noProof/>
              </w:rPr>
              <w:t>PART IV- APPLICATION OF THE VARIABLES TO EACH JURISDICTION</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_Toc95128866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9</w:t>
            </w:r>
            <w:r w:rsidRPr="00A750DA">
              <w:rPr>
                <w:rFonts w:ascii="Arial" w:hAnsi="Arial" w:cs="Arial"/>
                <w:noProof/>
                <w:webHidden/>
              </w:rPr>
              <w:fldChar w:fldCharType="end"/>
            </w:r>
          </w:hyperlink>
        </w:p>
        <w:p w14:paraId="3B17A13C" w14:textId="77777777" w:rsidR="00A750DA" w:rsidRPr="00A750DA" w:rsidRDefault="00A750DA">
          <w:pPr>
            <w:pStyle w:val="TOC2"/>
            <w:tabs>
              <w:tab w:val="right" w:leader="dot" w:pos="9350"/>
            </w:tabs>
            <w:rPr>
              <w:rFonts w:ascii="Arial" w:eastAsiaTheme="minorEastAsia" w:hAnsi="Arial" w:cs="Arial"/>
              <w:noProof/>
            </w:rPr>
          </w:pPr>
          <w:hyperlink w:anchor="_Toc95128867" w:history="1">
            <w:r w:rsidRPr="00A750DA">
              <w:rPr>
                <w:rStyle w:val="Hyperlink"/>
                <w:rFonts w:ascii="Arial" w:hAnsi="Arial" w:cs="Arial"/>
                <w:noProof/>
              </w:rPr>
              <w:t>Comparative Table</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_Toc95128867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10</w:t>
            </w:r>
            <w:r w:rsidRPr="00A750DA">
              <w:rPr>
                <w:rFonts w:ascii="Arial" w:hAnsi="Arial" w:cs="Arial"/>
                <w:noProof/>
                <w:webHidden/>
              </w:rPr>
              <w:fldChar w:fldCharType="end"/>
            </w:r>
          </w:hyperlink>
        </w:p>
        <w:p w14:paraId="14914774" w14:textId="77777777" w:rsidR="00A750DA" w:rsidRPr="00A750DA" w:rsidRDefault="00A750DA">
          <w:pPr>
            <w:pStyle w:val="TOC2"/>
            <w:tabs>
              <w:tab w:val="right" w:leader="dot" w:pos="9350"/>
            </w:tabs>
            <w:rPr>
              <w:rFonts w:ascii="Arial" w:eastAsiaTheme="minorEastAsia" w:hAnsi="Arial" w:cs="Arial"/>
              <w:noProof/>
            </w:rPr>
          </w:pPr>
          <w:hyperlink w:anchor="_Toc95128868" w:history="1">
            <w:r w:rsidRPr="00A750DA">
              <w:rPr>
                <w:rStyle w:val="Hyperlink"/>
                <w:rFonts w:ascii="Arial" w:hAnsi="Arial" w:cs="Arial"/>
                <w:noProof/>
              </w:rPr>
              <w:t>Analysis of Each Jurisdiction</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_Toc95128868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11</w:t>
            </w:r>
            <w:r w:rsidRPr="00A750DA">
              <w:rPr>
                <w:rFonts w:ascii="Arial" w:hAnsi="Arial" w:cs="Arial"/>
                <w:noProof/>
                <w:webHidden/>
              </w:rPr>
              <w:fldChar w:fldCharType="end"/>
            </w:r>
          </w:hyperlink>
        </w:p>
        <w:p w14:paraId="246ED9A6" w14:textId="77777777" w:rsidR="00A750DA" w:rsidRPr="00A750DA" w:rsidRDefault="00A750DA">
          <w:pPr>
            <w:pStyle w:val="TOC3"/>
            <w:tabs>
              <w:tab w:val="right" w:leader="dot" w:pos="9350"/>
            </w:tabs>
            <w:rPr>
              <w:rFonts w:ascii="Arial" w:eastAsiaTheme="minorEastAsia" w:hAnsi="Arial" w:cs="Arial"/>
              <w:noProof/>
            </w:rPr>
          </w:pPr>
          <w:hyperlink w:anchor="_Toc95128869" w:history="1">
            <w:r w:rsidRPr="00A750DA">
              <w:rPr>
                <w:rStyle w:val="Hyperlink"/>
                <w:rFonts w:ascii="Arial" w:hAnsi="Arial" w:cs="Arial"/>
                <w:noProof/>
              </w:rPr>
              <w:t>United Kingdom</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_Toc95128869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11</w:t>
            </w:r>
            <w:r w:rsidRPr="00A750DA">
              <w:rPr>
                <w:rFonts w:ascii="Arial" w:hAnsi="Arial" w:cs="Arial"/>
                <w:noProof/>
                <w:webHidden/>
              </w:rPr>
              <w:fldChar w:fldCharType="end"/>
            </w:r>
          </w:hyperlink>
        </w:p>
        <w:p w14:paraId="4BA08B19" w14:textId="77777777" w:rsidR="00A750DA" w:rsidRPr="00A750DA" w:rsidRDefault="00A750DA">
          <w:pPr>
            <w:pStyle w:val="TOC3"/>
            <w:tabs>
              <w:tab w:val="right" w:leader="dot" w:pos="9350"/>
            </w:tabs>
            <w:rPr>
              <w:rFonts w:ascii="Arial" w:eastAsiaTheme="minorEastAsia" w:hAnsi="Arial" w:cs="Arial"/>
              <w:noProof/>
            </w:rPr>
          </w:pPr>
          <w:hyperlink w:anchor="_Toc95128870" w:history="1">
            <w:r w:rsidRPr="00A750DA">
              <w:rPr>
                <w:rStyle w:val="Hyperlink"/>
                <w:rFonts w:ascii="Arial" w:hAnsi="Arial" w:cs="Arial"/>
                <w:noProof/>
              </w:rPr>
              <w:t>Canada</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_Toc95128870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12</w:t>
            </w:r>
            <w:r w:rsidRPr="00A750DA">
              <w:rPr>
                <w:rFonts w:ascii="Arial" w:hAnsi="Arial" w:cs="Arial"/>
                <w:noProof/>
                <w:webHidden/>
              </w:rPr>
              <w:fldChar w:fldCharType="end"/>
            </w:r>
          </w:hyperlink>
        </w:p>
        <w:p w14:paraId="69051718" w14:textId="77777777" w:rsidR="00A750DA" w:rsidRPr="00A750DA" w:rsidRDefault="00A750DA">
          <w:pPr>
            <w:pStyle w:val="TOC1"/>
            <w:tabs>
              <w:tab w:val="right" w:leader="dot" w:pos="9350"/>
            </w:tabs>
            <w:rPr>
              <w:rFonts w:ascii="Arial" w:eastAsiaTheme="minorEastAsia" w:hAnsi="Arial" w:cs="Arial"/>
              <w:noProof/>
            </w:rPr>
          </w:pPr>
          <w:hyperlink w:anchor="_Toc95128871" w:history="1">
            <w:r w:rsidRPr="00A750DA">
              <w:rPr>
                <w:rStyle w:val="Hyperlink"/>
                <w:rFonts w:ascii="Arial" w:hAnsi="Arial" w:cs="Arial"/>
                <w:noProof/>
              </w:rPr>
              <w:t>PART V - CONCLUSION</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_Toc95128871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13</w:t>
            </w:r>
            <w:r w:rsidRPr="00A750DA">
              <w:rPr>
                <w:rFonts w:ascii="Arial" w:hAnsi="Arial" w:cs="Arial"/>
                <w:noProof/>
                <w:webHidden/>
              </w:rPr>
              <w:fldChar w:fldCharType="end"/>
            </w:r>
          </w:hyperlink>
        </w:p>
        <w:p w14:paraId="0353EBD5" w14:textId="77777777" w:rsidR="00A750DA" w:rsidRPr="00A750DA" w:rsidRDefault="00A750DA">
          <w:pPr>
            <w:pStyle w:val="TOC1"/>
            <w:tabs>
              <w:tab w:val="right" w:leader="dot" w:pos="9350"/>
            </w:tabs>
            <w:rPr>
              <w:rFonts w:ascii="Arial" w:eastAsiaTheme="minorEastAsia" w:hAnsi="Arial" w:cs="Arial"/>
              <w:noProof/>
            </w:rPr>
          </w:pPr>
          <w:hyperlink w:anchor="_Toc95128872" w:history="1">
            <w:r w:rsidRPr="00A750DA">
              <w:rPr>
                <w:rStyle w:val="Hyperlink"/>
                <w:rFonts w:ascii="Arial" w:hAnsi="Arial" w:cs="Arial"/>
                <w:noProof/>
              </w:rPr>
              <w:t>BIBLIOGRAPHY</w:t>
            </w:r>
            <w:r w:rsidRPr="00A750DA">
              <w:rPr>
                <w:rFonts w:ascii="Arial" w:hAnsi="Arial" w:cs="Arial"/>
                <w:noProof/>
                <w:webHidden/>
              </w:rPr>
              <w:tab/>
            </w:r>
            <w:r w:rsidRPr="00A750DA">
              <w:rPr>
                <w:rFonts w:ascii="Arial" w:hAnsi="Arial" w:cs="Arial"/>
                <w:noProof/>
                <w:webHidden/>
              </w:rPr>
              <w:fldChar w:fldCharType="begin"/>
            </w:r>
            <w:r w:rsidRPr="00A750DA">
              <w:rPr>
                <w:rFonts w:ascii="Arial" w:hAnsi="Arial" w:cs="Arial"/>
                <w:noProof/>
                <w:webHidden/>
              </w:rPr>
              <w:instrText xml:space="preserve"> PAGEREF _Toc95128872 \h </w:instrText>
            </w:r>
            <w:r w:rsidRPr="00A750DA">
              <w:rPr>
                <w:rFonts w:ascii="Arial" w:hAnsi="Arial" w:cs="Arial"/>
                <w:noProof/>
                <w:webHidden/>
              </w:rPr>
            </w:r>
            <w:r w:rsidRPr="00A750DA">
              <w:rPr>
                <w:rFonts w:ascii="Arial" w:hAnsi="Arial" w:cs="Arial"/>
                <w:noProof/>
                <w:webHidden/>
              </w:rPr>
              <w:fldChar w:fldCharType="separate"/>
            </w:r>
            <w:r w:rsidRPr="00A750DA">
              <w:rPr>
                <w:rFonts w:ascii="Arial" w:hAnsi="Arial" w:cs="Arial"/>
                <w:noProof/>
                <w:webHidden/>
              </w:rPr>
              <w:t>15</w:t>
            </w:r>
            <w:r w:rsidRPr="00A750DA">
              <w:rPr>
                <w:rFonts w:ascii="Arial" w:hAnsi="Arial" w:cs="Arial"/>
                <w:noProof/>
                <w:webHidden/>
              </w:rPr>
              <w:fldChar w:fldCharType="end"/>
            </w:r>
          </w:hyperlink>
        </w:p>
        <w:p w14:paraId="6AA62ECC" w14:textId="3DB5195E" w:rsidR="00D0265A" w:rsidRPr="00F11E92" w:rsidRDefault="00D0265A">
          <w:pPr>
            <w:rPr>
              <w:rFonts w:ascii="Arial" w:hAnsi="Arial" w:cs="Arial"/>
            </w:rPr>
          </w:pPr>
          <w:r w:rsidRPr="00A750DA">
            <w:rPr>
              <w:rFonts w:ascii="Arial" w:hAnsi="Arial" w:cs="Arial"/>
              <w:b/>
              <w:bCs/>
              <w:noProof/>
            </w:rPr>
            <w:fldChar w:fldCharType="end"/>
          </w:r>
        </w:p>
      </w:sdtContent>
    </w:sdt>
    <w:p w14:paraId="07E1E2AA" w14:textId="7FC1389E" w:rsidR="00D0265A" w:rsidRPr="00212F5D" w:rsidRDefault="00D0265A">
      <w:pPr>
        <w:rPr>
          <w:rFonts w:ascii="Arial" w:hAnsi="Arial" w:cs="Arial"/>
        </w:rPr>
      </w:pPr>
    </w:p>
    <w:p w14:paraId="32A613B0" w14:textId="284E1E61" w:rsidR="00D0265A" w:rsidRPr="00212F5D" w:rsidRDefault="00D0265A">
      <w:pPr>
        <w:rPr>
          <w:rFonts w:ascii="Arial" w:hAnsi="Arial" w:cs="Arial"/>
        </w:rPr>
      </w:pPr>
    </w:p>
    <w:p w14:paraId="57F0481A" w14:textId="380AF79F" w:rsidR="00D0265A" w:rsidRPr="00212F5D" w:rsidRDefault="00D0265A">
      <w:pPr>
        <w:rPr>
          <w:rFonts w:ascii="Arial" w:hAnsi="Arial" w:cs="Arial"/>
        </w:rPr>
      </w:pPr>
    </w:p>
    <w:p w14:paraId="17CA5100" w14:textId="4792365B" w:rsidR="00D0265A" w:rsidRDefault="00D0265A">
      <w:pPr>
        <w:rPr>
          <w:rFonts w:ascii="Arial" w:hAnsi="Arial" w:cs="Arial"/>
        </w:rPr>
      </w:pPr>
    </w:p>
    <w:p w14:paraId="61355062" w14:textId="77777777" w:rsidR="00D238A6" w:rsidRDefault="00D238A6">
      <w:pPr>
        <w:rPr>
          <w:rFonts w:ascii="Arial" w:hAnsi="Arial" w:cs="Arial"/>
        </w:rPr>
      </w:pPr>
    </w:p>
    <w:p w14:paraId="5559971E" w14:textId="77777777" w:rsidR="00D238A6" w:rsidRPr="00212F5D" w:rsidRDefault="00D238A6">
      <w:pPr>
        <w:rPr>
          <w:rFonts w:ascii="Arial" w:hAnsi="Arial" w:cs="Arial"/>
        </w:rPr>
      </w:pPr>
    </w:p>
    <w:p w14:paraId="4F3C143A" w14:textId="4EE0E6BC" w:rsidR="00D0265A" w:rsidRPr="00212F5D" w:rsidRDefault="00D0265A">
      <w:pPr>
        <w:rPr>
          <w:rFonts w:ascii="Arial" w:hAnsi="Arial" w:cs="Arial"/>
        </w:rPr>
      </w:pPr>
    </w:p>
    <w:p w14:paraId="2500A931" w14:textId="2567900C" w:rsidR="00D0265A" w:rsidRPr="00212F5D" w:rsidRDefault="00D0265A">
      <w:pPr>
        <w:rPr>
          <w:rFonts w:ascii="Arial" w:hAnsi="Arial" w:cs="Arial"/>
        </w:rPr>
      </w:pPr>
    </w:p>
    <w:p w14:paraId="110DEEA2" w14:textId="5E888142" w:rsidR="00D0265A" w:rsidRPr="00212F5D" w:rsidRDefault="00D0265A">
      <w:pPr>
        <w:rPr>
          <w:rFonts w:ascii="Arial" w:hAnsi="Arial" w:cs="Arial"/>
        </w:rPr>
      </w:pPr>
    </w:p>
    <w:p w14:paraId="35D3BAF6" w14:textId="16B83E1F" w:rsidR="00D0265A" w:rsidRPr="00212F5D" w:rsidRDefault="00D0265A">
      <w:pPr>
        <w:rPr>
          <w:rFonts w:ascii="Arial" w:hAnsi="Arial" w:cs="Arial"/>
        </w:rPr>
      </w:pPr>
    </w:p>
    <w:p w14:paraId="3533DB11" w14:textId="44525B58" w:rsidR="00D0265A" w:rsidRPr="00212F5D" w:rsidRDefault="00D0265A">
      <w:pPr>
        <w:rPr>
          <w:rFonts w:ascii="Arial" w:hAnsi="Arial" w:cs="Arial"/>
        </w:rPr>
      </w:pPr>
    </w:p>
    <w:p w14:paraId="26871CA2" w14:textId="28622847" w:rsidR="00994CF7" w:rsidRPr="00212F5D" w:rsidRDefault="00994CF7">
      <w:pPr>
        <w:rPr>
          <w:rFonts w:ascii="Arial" w:hAnsi="Arial" w:cs="Arial"/>
        </w:rPr>
      </w:pPr>
    </w:p>
    <w:p w14:paraId="6AC2E1C7" w14:textId="681D9B90" w:rsidR="003E6D25" w:rsidRPr="00212F5D" w:rsidRDefault="00C11710" w:rsidP="003E6D25">
      <w:pPr>
        <w:pStyle w:val="Heading1"/>
        <w:rPr>
          <w:rFonts w:ascii="Arial" w:hAnsi="Arial" w:cs="Arial"/>
        </w:rPr>
      </w:pPr>
      <w:bookmarkStart w:id="1" w:name="_Toc95128859"/>
      <w:r w:rsidRPr="00212F5D">
        <w:rPr>
          <w:rFonts w:ascii="Arial" w:hAnsi="Arial" w:cs="Arial"/>
        </w:rPr>
        <w:lastRenderedPageBreak/>
        <w:t xml:space="preserve">PART I - </w:t>
      </w:r>
      <w:r w:rsidR="0025790A" w:rsidRPr="00212F5D">
        <w:rPr>
          <w:rFonts w:ascii="Arial" w:hAnsi="Arial" w:cs="Arial"/>
        </w:rPr>
        <w:t>INTRODUCTION</w:t>
      </w:r>
      <w:bookmarkEnd w:id="1"/>
    </w:p>
    <w:p w14:paraId="5BDF6A2F" w14:textId="4E2A779D" w:rsidR="005A10B3" w:rsidRPr="00212F5D" w:rsidRDefault="00203B12" w:rsidP="00F11E92">
      <w:pPr>
        <w:spacing w:after="120" w:line="360" w:lineRule="auto"/>
        <w:jc w:val="both"/>
        <w:rPr>
          <w:rFonts w:ascii="Arial" w:hAnsi="Arial" w:cs="Arial"/>
        </w:rPr>
      </w:pPr>
      <w:r w:rsidRPr="00212F5D">
        <w:rPr>
          <w:rFonts w:ascii="Arial" w:hAnsi="Arial" w:cs="Arial"/>
        </w:rPr>
        <w:tab/>
        <w:t xml:space="preserve">This </w:t>
      </w:r>
      <w:r w:rsidR="00855153" w:rsidRPr="00212F5D">
        <w:rPr>
          <w:rFonts w:ascii="Arial" w:hAnsi="Arial" w:cs="Arial"/>
        </w:rPr>
        <w:t>pa</w:t>
      </w:r>
      <w:r w:rsidR="00C11710" w:rsidRPr="00212F5D">
        <w:rPr>
          <w:rFonts w:ascii="Arial" w:hAnsi="Arial" w:cs="Arial"/>
        </w:rPr>
        <w:t>per</w:t>
      </w:r>
      <w:r w:rsidRPr="00212F5D">
        <w:rPr>
          <w:rFonts w:ascii="Arial" w:hAnsi="Arial" w:cs="Arial"/>
        </w:rPr>
        <w:t xml:space="preserve"> compares</w:t>
      </w:r>
      <w:r w:rsidR="00855153" w:rsidRPr="00212F5D">
        <w:rPr>
          <w:rFonts w:ascii="Arial" w:hAnsi="Arial" w:cs="Arial"/>
        </w:rPr>
        <w:t xml:space="preserve"> the restructuring processes and tools available to distresse</w:t>
      </w:r>
      <w:r w:rsidRPr="00212F5D">
        <w:rPr>
          <w:rFonts w:ascii="Arial" w:hAnsi="Arial" w:cs="Arial"/>
        </w:rPr>
        <w:t>d companies in the UK and</w:t>
      </w:r>
      <w:r w:rsidR="00855153" w:rsidRPr="00212F5D">
        <w:rPr>
          <w:rFonts w:ascii="Arial" w:hAnsi="Arial" w:cs="Arial"/>
        </w:rPr>
        <w:t xml:space="preserve"> in Canada. The aim of this exercise is to determine the extent to which </w:t>
      </w:r>
      <w:r w:rsidRPr="00212F5D">
        <w:rPr>
          <w:rFonts w:ascii="Arial" w:hAnsi="Arial" w:cs="Arial"/>
        </w:rPr>
        <w:t xml:space="preserve">each jurisdiction </w:t>
      </w:r>
      <w:r w:rsidR="00855153" w:rsidRPr="00212F5D">
        <w:rPr>
          <w:rFonts w:ascii="Arial" w:hAnsi="Arial" w:cs="Arial"/>
        </w:rPr>
        <w:t>would be considered as “</w:t>
      </w:r>
      <w:r w:rsidR="00855153" w:rsidRPr="00212F5D">
        <w:rPr>
          <w:rFonts w:ascii="Arial" w:hAnsi="Arial" w:cs="Arial"/>
          <w:i/>
          <w:iCs/>
        </w:rPr>
        <w:t>pro-restructuring</w:t>
      </w:r>
      <w:r w:rsidRPr="00212F5D">
        <w:rPr>
          <w:rFonts w:ascii="Arial" w:hAnsi="Arial" w:cs="Arial"/>
        </w:rPr>
        <w:t xml:space="preserve">” based on </w:t>
      </w:r>
      <w:proofErr w:type="spellStart"/>
      <w:r w:rsidRPr="00212F5D">
        <w:rPr>
          <w:rFonts w:ascii="Arial" w:hAnsi="Arial" w:cs="Arial"/>
        </w:rPr>
        <w:t>analys</w:t>
      </w:r>
      <w:r w:rsidR="00855153" w:rsidRPr="00212F5D">
        <w:rPr>
          <w:rFonts w:ascii="Arial" w:hAnsi="Arial" w:cs="Arial"/>
        </w:rPr>
        <w:t>ing</w:t>
      </w:r>
      <w:proofErr w:type="spellEnd"/>
      <w:r w:rsidR="00855153" w:rsidRPr="00212F5D">
        <w:rPr>
          <w:rFonts w:ascii="Arial" w:hAnsi="Arial" w:cs="Arial"/>
        </w:rPr>
        <w:t xml:space="preserve"> certain variables </w:t>
      </w:r>
      <w:r w:rsidR="00C11710" w:rsidRPr="00212F5D">
        <w:rPr>
          <w:rFonts w:ascii="Arial" w:hAnsi="Arial" w:cs="Arial"/>
        </w:rPr>
        <w:t xml:space="preserve">now commonly associated with </w:t>
      </w:r>
      <w:r w:rsidR="00F11E92">
        <w:rPr>
          <w:rFonts w:ascii="Arial" w:hAnsi="Arial" w:cs="Arial"/>
        </w:rPr>
        <w:t>“</w:t>
      </w:r>
      <w:r w:rsidR="00C11710" w:rsidRPr="00212F5D">
        <w:rPr>
          <w:rFonts w:ascii="Arial" w:hAnsi="Arial" w:cs="Arial"/>
          <w:i/>
          <w:iCs/>
        </w:rPr>
        <w:t>pro-restructuring</w:t>
      </w:r>
      <w:r w:rsidR="00F11E92">
        <w:rPr>
          <w:rFonts w:ascii="Arial" w:hAnsi="Arial" w:cs="Arial"/>
          <w:i/>
          <w:iCs/>
        </w:rPr>
        <w:t>”</w:t>
      </w:r>
      <w:r w:rsidR="00C11710" w:rsidRPr="00212F5D">
        <w:rPr>
          <w:rFonts w:ascii="Arial" w:hAnsi="Arial" w:cs="Arial"/>
        </w:rPr>
        <w:t xml:space="preserve"> regimes</w:t>
      </w:r>
      <w:r w:rsidR="00855153" w:rsidRPr="00212F5D">
        <w:rPr>
          <w:rFonts w:ascii="Arial" w:hAnsi="Arial" w:cs="Arial"/>
        </w:rPr>
        <w:t xml:space="preserve">. </w:t>
      </w:r>
      <w:r w:rsidR="00C11710" w:rsidRPr="00212F5D">
        <w:rPr>
          <w:rFonts w:ascii="Arial" w:hAnsi="Arial" w:cs="Arial"/>
        </w:rPr>
        <w:t>I</w:t>
      </w:r>
      <w:r w:rsidRPr="00212F5D">
        <w:rPr>
          <w:rFonts w:ascii="Arial" w:hAnsi="Arial" w:cs="Arial"/>
        </w:rPr>
        <w:t>n this part I</w:t>
      </w:r>
      <w:r w:rsidR="00C11710" w:rsidRPr="00212F5D">
        <w:rPr>
          <w:rFonts w:ascii="Arial" w:hAnsi="Arial" w:cs="Arial"/>
        </w:rPr>
        <w:t xml:space="preserve"> will first provide a brief introduction on the restructuring regimes in each jurisdiction. That is followed by </w:t>
      </w:r>
      <w:r w:rsidRPr="00212F5D">
        <w:rPr>
          <w:rFonts w:ascii="Arial" w:hAnsi="Arial" w:cs="Arial"/>
        </w:rPr>
        <w:t>Part II where I will set</w:t>
      </w:r>
      <w:r w:rsidR="00C11710" w:rsidRPr="00212F5D">
        <w:rPr>
          <w:rFonts w:ascii="Arial" w:hAnsi="Arial" w:cs="Arial"/>
        </w:rPr>
        <w:t xml:space="preserve"> out the methodology by which each jurisdiction </w:t>
      </w:r>
      <w:r w:rsidRPr="00212F5D">
        <w:rPr>
          <w:rFonts w:ascii="Arial" w:hAnsi="Arial" w:cs="Arial"/>
        </w:rPr>
        <w:t xml:space="preserve">will be </w:t>
      </w:r>
      <w:proofErr w:type="spellStart"/>
      <w:r w:rsidRPr="00212F5D">
        <w:rPr>
          <w:rFonts w:ascii="Arial" w:hAnsi="Arial" w:cs="Arial"/>
        </w:rPr>
        <w:t>analysed</w:t>
      </w:r>
      <w:proofErr w:type="spellEnd"/>
      <w:r w:rsidR="00C11710" w:rsidRPr="00212F5D">
        <w:rPr>
          <w:rFonts w:ascii="Arial" w:hAnsi="Arial" w:cs="Arial"/>
        </w:rPr>
        <w:t>.</w:t>
      </w:r>
      <w:r w:rsidR="00D452BD" w:rsidRPr="00212F5D">
        <w:rPr>
          <w:rFonts w:ascii="Arial" w:hAnsi="Arial" w:cs="Arial"/>
        </w:rPr>
        <w:t xml:space="preserve"> In Part III I </w:t>
      </w:r>
      <w:r w:rsidRPr="00212F5D">
        <w:rPr>
          <w:rFonts w:ascii="Arial" w:hAnsi="Arial" w:cs="Arial"/>
        </w:rPr>
        <w:t xml:space="preserve">will </w:t>
      </w:r>
      <w:proofErr w:type="spellStart"/>
      <w:r w:rsidRPr="00212F5D">
        <w:rPr>
          <w:rFonts w:ascii="Arial" w:hAnsi="Arial" w:cs="Arial"/>
        </w:rPr>
        <w:t>summarise</w:t>
      </w:r>
      <w:proofErr w:type="spellEnd"/>
      <w:r w:rsidRPr="00212F5D">
        <w:rPr>
          <w:rFonts w:ascii="Arial" w:hAnsi="Arial" w:cs="Arial"/>
        </w:rPr>
        <w:t xml:space="preserve"> the restructuring processes in each jurisdictions</w:t>
      </w:r>
      <w:r w:rsidR="00D452BD" w:rsidRPr="00212F5D">
        <w:rPr>
          <w:rFonts w:ascii="Arial" w:hAnsi="Arial" w:cs="Arial"/>
        </w:rPr>
        <w:t>.</w:t>
      </w:r>
      <w:r w:rsidR="005A10B3" w:rsidRPr="00212F5D">
        <w:rPr>
          <w:rFonts w:ascii="Arial" w:hAnsi="Arial" w:cs="Arial"/>
        </w:rPr>
        <w:t xml:space="preserve"> In Part IV I wi</w:t>
      </w:r>
      <w:r w:rsidR="00212F5D" w:rsidRPr="00212F5D">
        <w:rPr>
          <w:rFonts w:ascii="Arial" w:hAnsi="Arial" w:cs="Arial"/>
        </w:rPr>
        <w:t xml:space="preserve">ll apply the variables in </w:t>
      </w:r>
      <w:proofErr w:type="spellStart"/>
      <w:r w:rsidR="00212F5D" w:rsidRPr="00212F5D">
        <w:rPr>
          <w:rFonts w:ascii="Arial" w:hAnsi="Arial" w:cs="Arial"/>
        </w:rPr>
        <w:t>analys</w:t>
      </w:r>
      <w:r w:rsidR="005A10B3" w:rsidRPr="00212F5D">
        <w:rPr>
          <w:rFonts w:ascii="Arial" w:hAnsi="Arial" w:cs="Arial"/>
        </w:rPr>
        <w:t>ing</w:t>
      </w:r>
      <w:proofErr w:type="spellEnd"/>
      <w:r w:rsidR="005A10B3" w:rsidRPr="00212F5D">
        <w:rPr>
          <w:rFonts w:ascii="Arial" w:hAnsi="Arial" w:cs="Arial"/>
        </w:rPr>
        <w:t xml:space="preserve"> each jurisdiction. Finally</w:t>
      </w:r>
      <w:r w:rsidRPr="00212F5D">
        <w:rPr>
          <w:rFonts w:ascii="Arial" w:hAnsi="Arial" w:cs="Arial"/>
        </w:rPr>
        <w:t>,</w:t>
      </w:r>
      <w:r w:rsidR="005A10B3" w:rsidRPr="00212F5D">
        <w:rPr>
          <w:rFonts w:ascii="Arial" w:hAnsi="Arial" w:cs="Arial"/>
        </w:rPr>
        <w:t xml:space="preserve"> in Part V I provide my conclusion.</w:t>
      </w:r>
      <w:r w:rsidR="00D452BD" w:rsidRPr="00212F5D">
        <w:rPr>
          <w:rFonts w:ascii="Arial" w:hAnsi="Arial" w:cs="Arial"/>
        </w:rPr>
        <w:t xml:space="preserve"> </w:t>
      </w:r>
      <w:r w:rsidR="00C11710" w:rsidRPr="00212F5D">
        <w:rPr>
          <w:rFonts w:ascii="Arial" w:hAnsi="Arial" w:cs="Arial"/>
        </w:rPr>
        <w:t xml:space="preserve">  </w:t>
      </w:r>
    </w:p>
    <w:p w14:paraId="1FBAA3CA" w14:textId="0971553B" w:rsidR="003E6D25" w:rsidRPr="00212F5D" w:rsidRDefault="003E6D25" w:rsidP="00F11E92">
      <w:pPr>
        <w:pStyle w:val="Heading3"/>
        <w:spacing w:after="120"/>
        <w:rPr>
          <w:rFonts w:ascii="Arial" w:hAnsi="Arial" w:cs="Arial"/>
        </w:rPr>
      </w:pPr>
      <w:bookmarkStart w:id="2" w:name="_Toc95128860"/>
      <w:r w:rsidRPr="00212F5D">
        <w:rPr>
          <w:rFonts w:ascii="Arial" w:hAnsi="Arial" w:cs="Arial"/>
        </w:rPr>
        <w:t>United Kingdom</w:t>
      </w:r>
      <w:bookmarkEnd w:id="2"/>
    </w:p>
    <w:p w14:paraId="177C7B00" w14:textId="12F9EAC4" w:rsidR="003E6D25" w:rsidRPr="00212F5D" w:rsidRDefault="003E6D25" w:rsidP="00F11E92">
      <w:pPr>
        <w:spacing w:after="120" w:line="360" w:lineRule="auto"/>
        <w:jc w:val="both"/>
        <w:rPr>
          <w:rFonts w:ascii="Arial" w:hAnsi="Arial" w:cs="Arial"/>
        </w:rPr>
      </w:pPr>
      <w:r w:rsidRPr="00212F5D">
        <w:rPr>
          <w:rFonts w:ascii="Arial" w:hAnsi="Arial" w:cs="Arial"/>
        </w:rPr>
        <w:tab/>
      </w:r>
      <w:proofErr w:type="gramStart"/>
      <w:r w:rsidRPr="00212F5D">
        <w:rPr>
          <w:rFonts w:ascii="Arial" w:hAnsi="Arial" w:cs="Arial"/>
        </w:rPr>
        <w:t>In the United Kingdom during the 1980s and 1990s market participants (</w:t>
      </w:r>
      <w:r w:rsidR="00AC6DA4" w:rsidRPr="00212F5D">
        <w:rPr>
          <w:rFonts w:ascii="Arial" w:hAnsi="Arial" w:cs="Arial"/>
        </w:rPr>
        <w:t>invariably</w:t>
      </w:r>
      <w:r w:rsidRPr="00212F5D">
        <w:rPr>
          <w:rFonts w:ascii="Arial" w:hAnsi="Arial" w:cs="Arial"/>
        </w:rPr>
        <w:t xml:space="preserve"> banks) </w:t>
      </w:r>
      <w:r w:rsidR="00AC6DA4" w:rsidRPr="00212F5D">
        <w:rPr>
          <w:rFonts w:ascii="Arial" w:hAnsi="Arial" w:cs="Arial"/>
        </w:rPr>
        <w:t xml:space="preserve">followed </w:t>
      </w:r>
      <w:r w:rsidRPr="00212F5D">
        <w:rPr>
          <w:rFonts w:ascii="Arial" w:hAnsi="Arial" w:cs="Arial"/>
        </w:rPr>
        <w:t>extra-statutory principles to deal with customers in financial distress.</w:t>
      </w:r>
      <w:proofErr w:type="gramEnd"/>
      <w:r w:rsidRPr="00212F5D">
        <w:rPr>
          <w:rFonts w:ascii="Arial" w:hAnsi="Arial" w:cs="Arial"/>
        </w:rPr>
        <w:t xml:space="preserve"> These rules provided that banks should </w:t>
      </w:r>
      <w:r w:rsidRPr="00212F5D">
        <w:rPr>
          <w:rFonts w:ascii="Arial" w:hAnsi="Arial" w:cs="Arial"/>
          <w:i/>
          <w:iCs/>
        </w:rPr>
        <w:t>inter alia</w:t>
      </w:r>
      <w:r w:rsidRPr="00212F5D">
        <w:rPr>
          <w:rStyle w:val="FootnoteReference"/>
          <w:rFonts w:ascii="Arial" w:hAnsi="Arial" w:cs="Arial"/>
        </w:rPr>
        <w:footnoteReference w:id="1"/>
      </w:r>
      <w:r w:rsidRPr="00212F5D">
        <w:rPr>
          <w:rFonts w:ascii="Arial" w:hAnsi="Arial" w:cs="Arial"/>
        </w:rPr>
        <w:t>:</w:t>
      </w:r>
    </w:p>
    <w:p w14:paraId="1D8779C8" w14:textId="255106D9" w:rsidR="003E6D25" w:rsidRPr="00212F5D" w:rsidRDefault="003E6D25" w:rsidP="00F11E92">
      <w:pPr>
        <w:pStyle w:val="ListParagraph"/>
        <w:numPr>
          <w:ilvl w:val="0"/>
          <w:numId w:val="10"/>
        </w:numPr>
        <w:spacing w:after="120" w:line="360" w:lineRule="auto"/>
        <w:ind w:left="1483"/>
        <w:rPr>
          <w:rFonts w:ascii="Arial" w:hAnsi="Arial" w:cs="Arial"/>
        </w:rPr>
      </w:pPr>
      <w:proofErr w:type="gramStart"/>
      <w:r w:rsidRPr="00212F5D">
        <w:rPr>
          <w:rFonts w:ascii="Arial" w:hAnsi="Arial" w:cs="Arial"/>
        </w:rPr>
        <w:t>forbear</w:t>
      </w:r>
      <w:proofErr w:type="gramEnd"/>
      <w:r w:rsidRPr="00212F5D">
        <w:rPr>
          <w:rFonts w:ascii="Arial" w:hAnsi="Arial" w:cs="Arial"/>
        </w:rPr>
        <w:t xml:space="preserve"> from immediate enforcement </w:t>
      </w:r>
      <w:r w:rsidR="00AC6DA4" w:rsidRPr="00212F5D">
        <w:rPr>
          <w:rFonts w:ascii="Arial" w:hAnsi="Arial" w:cs="Arial"/>
        </w:rPr>
        <w:t>measures (such as foreclosing on collateral)</w:t>
      </w:r>
      <w:r w:rsidRPr="00212F5D">
        <w:rPr>
          <w:rFonts w:ascii="Arial" w:hAnsi="Arial" w:cs="Arial"/>
        </w:rPr>
        <w:t xml:space="preserve"> in order to give </w:t>
      </w:r>
      <w:r w:rsidR="00203B12" w:rsidRPr="00212F5D">
        <w:rPr>
          <w:rFonts w:ascii="Arial" w:hAnsi="Arial" w:cs="Arial"/>
        </w:rPr>
        <w:t xml:space="preserve">the debtor breathing room to restructure their finances. </w:t>
      </w:r>
    </w:p>
    <w:p w14:paraId="7157ABC5" w14:textId="25BD28CD" w:rsidR="003E6D25" w:rsidRPr="00212F5D" w:rsidRDefault="006A7776" w:rsidP="00F11E92">
      <w:pPr>
        <w:pStyle w:val="ListParagraph"/>
        <w:numPr>
          <w:ilvl w:val="0"/>
          <w:numId w:val="10"/>
        </w:numPr>
        <w:spacing w:after="120" w:line="360" w:lineRule="auto"/>
        <w:ind w:left="1483"/>
        <w:rPr>
          <w:rFonts w:ascii="Arial" w:hAnsi="Arial" w:cs="Arial"/>
        </w:rPr>
      </w:pPr>
      <w:proofErr w:type="gramStart"/>
      <w:r>
        <w:rPr>
          <w:rFonts w:ascii="Arial" w:hAnsi="Arial" w:cs="Arial"/>
        </w:rPr>
        <w:t>lend</w:t>
      </w:r>
      <w:proofErr w:type="gramEnd"/>
      <w:r>
        <w:rPr>
          <w:rFonts w:ascii="Arial" w:hAnsi="Arial" w:cs="Arial"/>
        </w:rPr>
        <w:t xml:space="preserve"> new financing</w:t>
      </w:r>
      <w:r w:rsidR="003E6D25" w:rsidRPr="00212F5D">
        <w:rPr>
          <w:rFonts w:ascii="Arial" w:hAnsi="Arial" w:cs="Arial"/>
        </w:rPr>
        <w:t xml:space="preserve"> on priority terms. </w:t>
      </w:r>
    </w:p>
    <w:p w14:paraId="4B6594A9" w14:textId="0A8A5C94" w:rsidR="003E6D25" w:rsidRPr="00212F5D" w:rsidRDefault="003E6D25" w:rsidP="00F11E92">
      <w:pPr>
        <w:pStyle w:val="ListParagraph"/>
        <w:numPr>
          <w:ilvl w:val="0"/>
          <w:numId w:val="10"/>
        </w:numPr>
        <w:spacing w:after="120" w:line="360" w:lineRule="auto"/>
        <w:ind w:left="1483"/>
        <w:rPr>
          <w:rFonts w:ascii="Arial" w:hAnsi="Arial" w:cs="Arial"/>
        </w:rPr>
      </w:pPr>
      <w:proofErr w:type="gramStart"/>
      <w:r w:rsidRPr="00212F5D">
        <w:rPr>
          <w:rFonts w:ascii="Arial" w:hAnsi="Arial" w:cs="Arial"/>
        </w:rPr>
        <w:t>act</w:t>
      </w:r>
      <w:proofErr w:type="gramEnd"/>
      <w:r w:rsidRPr="00212F5D">
        <w:rPr>
          <w:rFonts w:ascii="Arial" w:hAnsi="Arial" w:cs="Arial"/>
        </w:rPr>
        <w:t xml:space="preserve"> in good faith towards to the </w:t>
      </w:r>
      <w:r w:rsidR="00203B12" w:rsidRPr="00212F5D">
        <w:rPr>
          <w:rFonts w:ascii="Arial" w:hAnsi="Arial" w:cs="Arial"/>
        </w:rPr>
        <w:t>debtor</w:t>
      </w:r>
      <w:r w:rsidRPr="00212F5D">
        <w:rPr>
          <w:rFonts w:ascii="Arial" w:hAnsi="Arial" w:cs="Arial"/>
        </w:rPr>
        <w:t>.</w:t>
      </w:r>
    </w:p>
    <w:p w14:paraId="1304E70C" w14:textId="4BB7A5CC" w:rsidR="003E6D25" w:rsidRPr="00212F5D" w:rsidRDefault="003E6D25" w:rsidP="00F11E92">
      <w:pPr>
        <w:spacing w:after="120" w:line="360" w:lineRule="auto"/>
        <w:jc w:val="both"/>
        <w:rPr>
          <w:rFonts w:ascii="Arial" w:hAnsi="Arial" w:cs="Arial"/>
        </w:rPr>
      </w:pPr>
      <w:r w:rsidRPr="00212F5D">
        <w:rPr>
          <w:rFonts w:ascii="Arial" w:hAnsi="Arial" w:cs="Arial"/>
        </w:rPr>
        <w:t>These principles were referred to as the “</w:t>
      </w:r>
      <w:r w:rsidRPr="00212F5D">
        <w:rPr>
          <w:rFonts w:ascii="Arial" w:hAnsi="Arial" w:cs="Arial"/>
          <w:i/>
          <w:iCs/>
        </w:rPr>
        <w:t>London Approach</w:t>
      </w:r>
      <w:r w:rsidRPr="00212F5D">
        <w:rPr>
          <w:rFonts w:ascii="Arial" w:hAnsi="Arial" w:cs="Arial"/>
        </w:rPr>
        <w:t>”. Although not backed</w:t>
      </w:r>
      <w:r w:rsidR="00AC6DA4" w:rsidRPr="00212F5D">
        <w:rPr>
          <w:rFonts w:ascii="Arial" w:hAnsi="Arial" w:cs="Arial"/>
        </w:rPr>
        <w:t xml:space="preserve"> by</w:t>
      </w:r>
      <w:r w:rsidRPr="00212F5D">
        <w:rPr>
          <w:rFonts w:ascii="Arial" w:hAnsi="Arial" w:cs="Arial"/>
        </w:rPr>
        <w:t xml:space="preserve"> with hard law, these principles were enforced by the Bank of England</w:t>
      </w:r>
      <w:r w:rsidR="00AC6DA4" w:rsidRPr="00212F5D">
        <w:rPr>
          <w:rFonts w:ascii="Arial" w:hAnsi="Arial" w:cs="Arial"/>
        </w:rPr>
        <w:t xml:space="preserve"> </w:t>
      </w:r>
      <w:r w:rsidRPr="00212F5D">
        <w:rPr>
          <w:rFonts w:ascii="Arial" w:hAnsi="Arial" w:cs="Arial"/>
        </w:rPr>
        <w:t>and other market participants using informal non-legal mechanisms</w:t>
      </w:r>
      <w:r w:rsidRPr="00212F5D">
        <w:rPr>
          <w:rStyle w:val="FootnoteReference"/>
          <w:rFonts w:ascii="Arial" w:hAnsi="Arial" w:cs="Arial"/>
        </w:rPr>
        <w:footnoteReference w:id="2"/>
      </w:r>
      <w:r w:rsidR="00AC6DA4" w:rsidRPr="00212F5D">
        <w:rPr>
          <w:rFonts w:ascii="Arial" w:hAnsi="Arial" w:cs="Arial"/>
        </w:rPr>
        <w:t xml:space="preserve">. </w:t>
      </w:r>
    </w:p>
    <w:p w14:paraId="0AE3610C" w14:textId="6914CB45" w:rsidR="00A700A8" w:rsidRPr="00212F5D" w:rsidRDefault="00CF32B3" w:rsidP="00F11E92">
      <w:pPr>
        <w:spacing w:after="120" w:line="360" w:lineRule="auto"/>
        <w:jc w:val="both"/>
        <w:rPr>
          <w:rFonts w:ascii="Arial" w:hAnsi="Arial" w:cs="Arial"/>
        </w:rPr>
      </w:pPr>
      <w:r w:rsidRPr="00212F5D">
        <w:rPr>
          <w:rFonts w:ascii="Arial" w:hAnsi="Arial" w:cs="Arial"/>
        </w:rPr>
        <w:tab/>
      </w:r>
      <w:r w:rsidR="00BF0243" w:rsidRPr="00212F5D">
        <w:rPr>
          <w:rFonts w:ascii="Arial" w:hAnsi="Arial" w:cs="Arial"/>
        </w:rPr>
        <w:t>When</w:t>
      </w:r>
      <w:r w:rsidRPr="00212F5D">
        <w:rPr>
          <w:rFonts w:ascii="Arial" w:hAnsi="Arial" w:cs="Arial"/>
        </w:rPr>
        <w:t xml:space="preserve"> the </w:t>
      </w:r>
      <w:r w:rsidRPr="00212F5D">
        <w:rPr>
          <w:rFonts w:ascii="Arial" w:hAnsi="Arial" w:cs="Arial"/>
          <w:i/>
          <w:iCs/>
        </w:rPr>
        <w:t>London Approach</w:t>
      </w:r>
      <w:r w:rsidR="00203B12" w:rsidRPr="00212F5D">
        <w:rPr>
          <w:rFonts w:ascii="Arial" w:hAnsi="Arial" w:cs="Arial"/>
          <w:i/>
          <w:iCs/>
        </w:rPr>
        <w:t xml:space="preserve"> </w:t>
      </w:r>
      <w:r w:rsidR="00203B12" w:rsidRPr="00212F5D">
        <w:rPr>
          <w:rFonts w:ascii="Arial" w:hAnsi="Arial" w:cs="Arial"/>
          <w:iCs/>
        </w:rPr>
        <w:t>prevailed</w:t>
      </w:r>
      <w:r w:rsidR="00BF0243" w:rsidRPr="00212F5D">
        <w:rPr>
          <w:rFonts w:ascii="Arial" w:hAnsi="Arial" w:cs="Arial"/>
        </w:rPr>
        <w:t xml:space="preserve">, the UK could not outwardly be described as a jurisdiction that had in place laws which were </w:t>
      </w:r>
      <w:r w:rsidR="00F11E92">
        <w:rPr>
          <w:rFonts w:ascii="Arial" w:hAnsi="Arial" w:cs="Arial"/>
        </w:rPr>
        <w:t>“</w:t>
      </w:r>
      <w:r w:rsidR="00BF0243" w:rsidRPr="00212F5D">
        <w:rPr>
          <w:rFonts w:ascii="Arial" w:hAnsi="Arial" w:cs="Arial"/>
          <w:i/>
          <w:iCs/>
        </w:rPr>
        <w:t>pro-restructuring</w:t>
      </w:r>
      <w:r w:rsidR="00F11E92">
        <w:rPr>
          <w:rFonts w:ascii="Arial" w:hAnsi="Arial" w:cs="Arial"/>
          <w:i/>
          <w:iCs/>
        </w:rPr>
        <w:t>”</w:t>
      </w:r>
      <w:r w:rsidR="00203B12" w:rsidRPr="00212F5D">
        <w:rPr>
          <w:rStyle w:val="FootnoteReference"/>
          <w:rFonts w:ascii="Arial" w:hAnsi="Arial" w:cs="Arial"/>
          <w:i/>
          <w:iCs/>
        </w:rPr>
        <w:footnoteReference w:id="3"/>
      </w:r>
      <w:r w:rsidR="00BF0243" w:rsidRPr="00212F5D">
        <w:rPr>
          <w:rFonts w:ascii="Arial" w:hAnsi="Arial" w:cs="Arial"/>
        </w:rPr>
        <w:t xml:space="preserve">. The implementation of </w:t>
      </w:r>
      <w:r w:rsidR="003E6D25" w:rsidRPr="00212F5D">
        <w:rPr>
          <w:rFonts w:ascii="Arial" w:hAnsi="Arial" w:cs="Arial"/>
        </w:rPr>
        <w:t xml:space="preserve">the Insolvency Act, 1986 and Insolvency Rules 2016 </w:t>
      </w:r>
      <w:r w:rsidR="00BF0243" w:rsidRPr="00212F5D">
        <w:rPr>
          <w:rFonts w:ascii="Arial" w:hAnsi="Arial" w:cs="Arial"/>
        </w:rPr>
        <w:t xml:space="preserve">have since </w:t>
      </w:r>
      <w:r w:rsidR="00A700A8" w:rsidRPr="00212F5D">
        <w:rPr>
          <w:rFonts w:ascii="Arial" w:hAnsi="Arial" w:cs="Arial"/>
        </w:rPr>
        <w:t>p</w:t>
      </w:r>
      <w:r w:rsidR="003E6D25" w:rsidRPr="00212F5D">
        <w:rPr>
          <w:rFonts w:ascii="Arial" w:hAnsi="Arial" w:cs="Arial"/>
        </w:rPr>
        <w:t>rovided restructuring</w:t>
      </w:r>
      <w:r w:rsidR="00BF0243" w:rsidRPr="00212F5D">
        <w:rPr>
          <w:rFonts w:ascii="Arial" w:hAnsi="Arial" w:cs="Arial"/>
        </w:rPr>
        <w:t xml:space="preserve"> mechanisms</w:t>
      </w:r>
      <w:r w:rsidR="00A700A8" w:rsidRPr="00212F5D">
        <w:rPr>
          <w:rFonts w:ascii="Arial" w:hAnsi="Arial" w:cs="Arial"/>
        </w:rPr>
        <w:t xml:space="preserve"> -</w:t>
      </w:r>
      <w:r w:rsidR="003E6D25" w:rsidRPr="00212F5D">
        <w:rPr>
          <w:rFonts w:ascii="Arial" w:hAnsi="Arial" w:cs="Arial"/>
        </w:rPr>
        <w:t>Administration and a Creditors Voluntary Arrangement</w:t>
      </w:r>
      <w:r w:rsidR="00A700A8" w:rsidRPr="00212F5D">
        <w:rPr>
          <w:rFonts w:ascii="Arial" w:hAnsi="Arial" w:cs="Arial"/>
        </w:rPr>
        <w:t>-</w:t>
      </w:r>
      <w:r w:rsidR="003E6D25" w:rsidRPr="00212F5D">
        <w:rPr>
          <w:rFonts w:ascii="Arial" w:hAnsi="Arial" w:cs="Arial"/>
        </w:rPr>
        <w:t xml:space="preserve"> that exhibit</w:t>
      </w:r>
      <w:r w:rsidR="00A700A8" w:rsidRPr="00212F5D">
        <w:rPr>
          <w:rFonts w:ascii="Arial" w:hAnsi="Arial" w:cs="Arial"/>
        </w:rPr>
        <w:t>ed some of the</w:t>
      </w:r>
      <w:r w:rsidR="003E6D25" w:rsidRPr="00212F5D">
        <w:rPr>
          <w:rFonts w:ascii="Arial" w:hAnsi="Arial" w:cs="Arial"/>
        </w:rPr>
        <w:t xml:space="preserve"> </w:t>
      </w:r>
      <w:r w:rsidR="00A700A8" w:rsidRPr="00212F5D">
        <w:rPr>
          <w:rFonts w:ascii="Arial" w:hAnsi="Arial" w:cs="Arial"/>
        </w:rPr>
        <w:t xml:space="preserve">features </w:t>
      </w:r>
      <w:r w:rsidR="003E6D25" w:rsidRPr="00212F5D">
        <w:rPr>
          <w:rFonts w:ascii="Arial" w:hAnsi="Arial" w:cs="Arial"/>
        </w:rPr>
        <w:t xml:space="preserve">of a </w:t>
      </w:r>
      <w:r w:rsidR="00F11E92">
        <w:rPr>
          <w:rFonts w:ascii="Arial" w:hAnsi="Arial" w:cs="Arial"/>
        </w:rPr>
        <w:t>“</w:t>
      </w:r>
      <w:r w:rsidR="003E6D25" w:rsidRPr="00212F5D">
        <w:rPr>
          <w:rFonts w:ascii="Arial" w:hAnsi="Arial" w:cs="Arial"/>
          <w:i/>
          <w:iCs/>
        </w:rPr>
        <w:t>pro-restructuring</w:t>
      </w:r>
      <w:r w:rsidR="00F11E92">
        <w:rPr>
          <w:rFonts w:ascii="Arial" w:hAnsi="Arial" w:cs="Arial"/>
          <w:i/>
          <w:iCs/>
        </w:rPr>
        <w:t>”</w:t>
      </w:r>
      <w:r w:rsidR="003E6D25" w:rsidRPr="00212F5D">
        <w:rPr>
          <w:rFonts w:ascii="Arial" w:hAnsi="Arial" w:cs="Arial"/>
        </w:rPr>
        <w:t xml:space="preserve"> regime</w:t>
      </w:r>
      <w:r w:rsidR="00BF0243" w:rsidRPr="00212F5D">
        <w:rPr>
          <w:rFonts w:ascii="Arial" w:hAnsi="Arial" w:cs="Arial"/>
        </w:rPr>
        <w:t>.</w:t>
      </w:r>
      <w:r w:rsidR="00A700A8" w:rsidRPr="00212F5D">
        <w:rPr>
          <w:rFonts w:ascii="Arial" w:hAnsi="Arial" w:cs="Arial"/>
        </w:rPr>
        <w:t xml:space="preserve"> </w:t>
      </w:r>
    </w:p>
    <w:p w14:paraId="3E206E0F" w14:textId="5EA3199F" w:rsidR="003E6D25" w:rsidRPr="00212F5D" w:rsidRDefault="00A700A8" w:rsidP="00F11E92">
      <w:pPr>
        <w:spacing w:after="120" w:line="360" w:lineRule="auto"/>
        <w:jc w:val="both"/>
        <w:rPr>
          <w:rFonts w:ascii="Arial" w:hAnsi="Arial" w:cs="Arial"/>
        </w:rPr>
      </w:pPr>
      <w:r w:rsidRPr="00212F5D">
        <w:rPr>
          <w:rFonts w:ascii="Arial" w:hAnsi="Arial" w:cs="Arial"/>
        </w:rPr>
        <w:tab/>
      </w:r>
      <w:r w:rsidR="00203B12" w:rsidRPr="00212F5D">
        <w:rPr>
          <w:rFonts w:ascii="Arial" w:hAnsi="Arial" w:cs="Arial"/>
        </w:rPr>
        <w:t xml:space="preserve">However, it </w:t>
      </w:r>
      <w:r w:rsidRPr="00212F5D">
        <w:rPr>
          <w:rFonts w:ascii="Arial" w:hAnsi="Arial" w:cs="Arial"/>
        </w:rPr>
        <w:t xml:space="preserve">is submitted that the passage of the </w:t>
      </w:r>
      <w:r w:rsidR="00CF32B3" w:rsidRPr="00212F5D">
        <w:rPr>
          <w:rFonts w:ascii="Arial" w:hAnsi="Arial" w:cs="Arial"/>
        </w:rPr>
        <w:t>Corporate Insolvency and Governance 2020 (“CIGA</w:t>
      </w:r>
      <w:r w:rsidR="00203B12" w:rsidRPr="00212F5D">
        <w:rPr>
          <w:rFonts w:ascii="Arial" w:hAnsi="Arial" w:cs="Arial"/>
        </w:rPr>
        <w:t xml:space="preserve"> 2020</w:t>
      </w:r>
      <w:r w:rsidR="00CF32B3" w:rsidRPr="00212F5D">
        <w:rPr>
          <w:rFonts w:ascii="Arial" w:hAnsi="Arial" w:cs="Arial"/>
        </w:rPr>
        <w:t>”) and the reforms ushered therein ha</w:t>
      </w:r>
      <w:r w:rsidRPr="00212F5D">
        <w:rPr>
          <w:rFonts w:ascii="Arial" w:hAnsi="Arial" w:cs="Arial"/>
        </w:rPr>
        <w:t>ve</w:t>
      </w:r>
      <w:r w:rsidR="005760DF" w:rsidRPr="00212F5D">
        <w:rPr>
          <w:rFonts w:ascii="Arial" w:hAnsi="Arial" w:cs="Arial"/>
        </w:rPr>
        <w:t xml:space="preserve"> significantly burnished the </w:t>
      </w:r>
      <w:r w:rsidR="00CF32B3" w:rsidRPr="00212F5D">
        <w:rPr>
          <w:rFonts w:ascii="Arial" w:hAnsi="Arial" w:cs="Arial"/>
        </w:rPr>
        <w:t xml:space="preserve">UK </w:t>
      </w:r>
      <w:r w:rsidR="00F11E92">
        <w:rPr>
          <w:rFonts w:ascii="Arial" w:hAnsi="Arial" w:cs="Arial"/>
        </w:rPr>
        <w:t>“</w:t>
      </w:r>
      <w:r w:rsidR="00CF32B3" w:rsidRPr="00212F5D">
        <w:rPr>
          <w:rFonts w:ascii="Arial" w:hAnsi="Arial" w:cs="Arial"/>
          <w:i/>
          <w:iCs/>
        </w:rPr>
        <w:t>pro-restructuring</w:t>
      </w:r>
      <w:r w:rsidR="00F11E92">
        <w:rPr>
          <w:rFonts w:ascii="Arial" w:hAnsi="Arial" w:cs="Arial"/>
          <w:i/>
          <w:iCs/>
        </w:rPr>
        <w:t>”</w:t>
      </w:r>
      <w:r w:rsidR="00CF32B3" w:rsidRPr="00212F5D">
        <w:rPr>
          <w:rFonts w:ascii="Arial" w:hAnsi="Arial" w:cs="Arial"/>
        </w:rPr>
        <w:t xml:space="preserve"> credentials.  </w:t>
      </w:r>
      <w:r w:rsidR="003E6D25" w:rsidRPr="00212F5D">
        <w:rPr>
          <w:rFonts w:ascii="Arial" w:hAnsi="Arial" w:cs="Arial"/>
        </w:rPr>
        <w:t xml:space="preserve">    </w:t>
      </w:r>
    </w:p>
    <w:p w14:paraId="7D2AFFD9" w14:textId="77777777" w:rsidR="003E6D25" w:rsidRPr="00212F5D" w:rsidRDefault="003E6D25" w:rsidP="00F11E92">
      <w:pPr>
        <w:pStyle w:val="Heading3"/>
        <w:spacing w:after="120" w:line="360" w:lineRule="auto"/>
        <w:rPr>
          <w:rFonts w:ascii="Arial" w:hAnsi="Arial" w:cs="Arial"/>
        </w:rPr>
      </w:pPr>
      <w:bookmarkStart w:id="3" w:name="_Toc95128861"/>
      <w:r w:rsidRPr="00212F5D">
        <w:rPr>
          <w:rFonts w:ascii="Arial" w:hAnsi="Arial" w:cs="Arial"/>
        </w:rPr>
        <w:lastRenderedPageBreak/>
        <w:t>Canada</w:t>
      </w:r>
      <w:bookmarkEnd w:id="3"/>
    </w:p>
    <w:p w14:paraId="69714390" w14:textId="08A871FF" w:rsidR="005760DF" w:rsidRPr="00212F5D" w:rsidRDefault="003E6D25" w:rsidP="00F11E92">
      <w:pPr>
        <w:spacing w:after="120" w:line="360" w:lineRule="auto"/>
        <w:jc w:val="both"/>
        <w:rPr>
          <w:rFonts w:ascii="Arial" w:hAnsi="Arial" w:cs="Arial"/>
        </w:rPr>
      </w:pPr>
      <w:r w:rsidRPr="00212F5D">
        <w:rPr>
          <w:rFonts w:ascii="Arial" w:hAnsi="Arial" w:cs="Arial"/>
        </w:rPr>
        <w:tab/>
      </w:r>
      <w:r w:rsidR="005760DF" w:rsidRPr="00212F5D">
        <w:rPr>
          <w:rFonts w:ascii="Arial" w:hAnsi="Arial" w:cs="Arial"/>
        </w:rPr>
        <w:t xml:space="preserve">In </w:t>
      </w:r>
      <w:r w:rsidRPr="00212F5D">
        <w:rPr>
          <w:rFonts w:ascii="Arial" w:hAnsi="Arial" w:cs="Arial"/>
        </w:rPr>
        <w:t xml:space="preserve">Canada </w:t>
      </w:r>
      <w:r w:rsidR="00552CC5" w:rsidRPr="00212F5D">
        <w:rPr>
          <w:rFonts w:ascii="Arial" w:hAnsi="Arial" w:cs="Arial"/>
        </w:rPr>
        <w:t>t</w:t>
      </w:r>
      <w:r w:rsidR="000A2AAE" w:rsidRPr="00212F5D">
        <w:rPr>
          <w:rFonts w:ascii="Arial" w:hAnsi="Arial" w:cs="Arial"/>
        </w:rPr>
        <w:t>he</w:t>
      </w:r>
      <w:r w:rsidR="005760DF" w:rsidRPr="00212F5D">
        <w:rPr>
          <w:rFonts w:ascii="Arial" w:hAnsi="Arial" w:cs="Arial"/>
        </w:rPr>
        <w:t xml:space="preserve"> Bankruptcy and Insolvency Act</w:t>
      </w:r>
      <w:r w:rsidR="00552CC5" w:rsidRPr="00212F5D">
        <w:rPr>
          <w:rFonts w:ascii="Arial" w:hAnsi="Arial" w:cs="Arial"/>
        </w:rPr>
        <w:t xml:space="preserve"> (“BIA”)</w:t>
      </w:r>
      <w:r w:rsidR="005760DF" w:rsidRPr="00212F5D">
        <w:rPr>
          <w:rFonts w:ascii="Arial" w:hAnsi="Arial" w:cs="Arial"/>
        </w:rPr>
        <w:t xml:space="preserve"> has its provenance in the Canadian Bankruptcy and Insolvency Act of 1919 which was reformed in 1949 and amended in 1992, 1997 and most recently in 2009. The Companies’ Creditors Arrangement Act (“CCAA”) was passed in 1933 as a depression-era measure. The CCAA fell into disuse until the 1980s when its use was revived by activist judges who adopted creative interpretations</w:t>
      </w:r>
      <w:r w:rsidR="000A2AAE" w:rsidRPr="00212F5D">
        <w:rPr>
          <w:rFonts w:ascii="Arial" w:hAnsi="Arial" w:cs="Arial"/>
        </w:rPr>
        <w:t xml:space="preserve"> to facilitate its use.</w:t>
      </w:r>
      <w:r w:rsidR="005760DF" w:rsidRPr="00212F5D">
        <w:rPr>
          <w:rFonts w:ascii="Arial" w:hAnsi="Arial" w:cs="Arial"/>
        </w:rPr>
        <w:t xml:space="preserve"> The CCAA was amended in 1997 and in 2009.</w:t>
      </w:r>
      <w:r w:rsidR="006A024A" w:rsidRPr="00212F5D">
        <w:rPr>
          <w:rStyle w:val="FootnoteReference"/>
          <w:rFonts w:ascii="Arial" w:hAnsi="Arial" w:cs="Arial"/>
        </w:rPr>
        <w:footnoteReference w:id="4"/>
      </w:r>
    </w:p>
    <w:p w14:paraId="75A63631" w14:textId="51DF1461" w:rsidR="003E6D25" w:rsidRPr="00212F5D" w:rsidRDefault="00552CC5" w:rsidP="00F11E92">
      <w:pPr>
        <w:spacing w:after="120" w:line="360" w:lineRule="auto"/>
        <w:jc w:val="both"/>
        <w:rPr>
          <w:rFonts w:ascii="Arial" w:hAnsi="Arial" w:cs="Arial"/>
        </w:rPr>
      </w:pPr>
      <w:r w:rsidRPr="00212F5D">
        <w:rPr>
          <w:rFonts w:ascii="Arial" w:hAnsi="Arial" w:cs="Arial"/>
        </w:rPr>
        <w:tab/>
        <w:t xml:space="preserve">The BIA and the CCAA exhibit all the features of that are typical of </w:t>
      </w:r>
      <w:r w:rsidR="00F11E92">
        <w:rPr>
          <w:rFonts w:ascii="Arial" w:hAnsi="Arial" w:cs="Arial"/>
        </w:rPr>
        <w:t>“</w:t>
      </w:r>
      <w:r w:rsidRPr="00212F5D">
        <w:rPr>
          <w:rFonts w:ascii="Arial" w:hAnsi="Arial" w:cs="Arial"/>
          <w:i/>
          <w:iCs/>
        </w:rPr>
        <w:t>pro-restructuring</w:t>
      </w:r>
      <w:r w:rsidR="00F11E92">
        <w:rPr>
          <w:rFonts w:ascii="Arial" w:hAnsi="Arial" w:cs="Arial"/>
          <w:i/>
          <w:iCs/>
        </w:rPr>
        <w:t>”</w:t>
      </w:r>
      <w:r w:rsidRPr="00212F5D">
        <w:rPr>
          <w:rFonts w:ascii="Arial" w:hAnsi="Arial" w:cs="Arial"/>
          <w:i/>
          <w:iCs/>
        </w:rPr>
        <w:t xml:space="preserve"> </w:t>
      </w:r>
      <w:r w:rsidRPr="00212F5D">
        <w:rPr>
          <w:rFonts w:ascii="Arial" w:hAnsi="Arial" w:cs="Arial"/>
        </w:rPr>
        <w:t xml:space="preserve">regime. </w:t>
      </w:r>
      <w:proofErr w:type="spellStart"/>
      <w:r w:rsidR="003E6D25" w:rsidRPr="00212F5D">
        <w:rPr>
          <w:rFonts w:ascii="Arial" w:hAnsi="Arial" w:cs="Arial"/>
        </w:rPr>
        <w:t>Buckwold</w:t>
      </w:r>
      <w:proofErr w:type="spellEnd"/>
      <w:r w:rsidR="003E6D25" w:rsidRPr="00212F5D">
        <w:rPr>
          <w:rFonts w:ascii="Arial" w:hAnsi="Arial" w:cs="Arial"/>
        </w:rPr>
        <w:t xml:space="preserve"> et al in describing the insolvency regime in Canada have stated:</w:t>
      </w:r>
    </w:p>
    <w:p w14:paraId="0479FA81" w14:textId="668A7BD7" w:rsidR="003E6D25" w:rsidRPr="00212F5D" w:rsidRDefault="003E6D25" w:rsidP="00F11E92">
      <w:pPr>
        <w:spacing w:after="120" w:line="360" w:lineRule="auto"/>
        <w:ind w:left="720"/>
        <w:jc w:val="both"/>
        <w:rPr>
          <w:rFonts w:ascii="Arial" w:hAnsi="Arial" w:cs="Arial"/>
          <w:i/>
          <w:iCs/>
        </w:rPr>
      </w:pPr>
      <w:r w:rsidRPr="00212F5D">
        <w:rPr>
          <w:rFonts w:ascii="Arial" w:hAnsi="Arial" w:cs="Arial"/>
          <w:i/>
          <w:iCs/>
        </w:rPr>
        <w:t>“When one examines Canadian insolvency law three issues stand out. First the idea that substantive non-insolvency entitlements should prevail was never embraced.”</w:t>
      </w:r>
      <w:r w:rsidRPr="00212F5D">
        <w:rPr>
          <w:rStyle w:val="FootnoteReference"/>
          <w:rFonts w:ascii="Arial" w:hAnsi="Arial" w:cs="Arial"/>
          <w:i/>
          <w:iCs/>
        </w:rPr>
        <w:footnoteReference w:id="5"/>
      </w:r>
      <w:r w:rsidRPr="00212F5D">
        <w:rPr>
          <w:rFonts w:ascii="Arial" w:hAnsi="Arial" w:cs="Arial"/>
          <w:i/>
          <w:iCs/>
        </w:rPr>
        <w:t xml:space="preserve"> </w:t>
      </w:r>
    </w:p>
    <w:p w14:paraId="4C7821F8" w14:textId="66AE5AFB" w:rsidR="003E6D25" w:rsidRPr="00212F5D" w:rsidRDefault="000A2AAE" w:rsidP="00F11E92">
      <w:pPr>
        <w:spacing w:after="120" w:line="360" w:lineRule="auto"/>
        <w:rPr>
          <w:rFonts w:ascii="Arial" w:hAnsi="Arial" w:cs="Arial"/>
          <w:color w:val="000000" w:themeColor="text1"/>
          <w:sz w:val="16"/>
          <w:szCs w:val="16"/>
        </w:rPr>
      </w:pPr>
      <w:r w:rsidRPr="00212F5D">
        <w:rPr>
          <w:rFonts w:ascii="Arial" w:hAnsi="Arial" w:cs="Arial"/>
        </w:rPr>
        <w:tab/>
        <w:t xml:space="preserve">This demonstrates that Canada has long recognized the importance of providing tools to facilitate restructuring. </w:t>
      </w:r>
      <w:r w:rsidR="003E6D25" w:rsidRPr="00212F5D">
        <w:rPr>
          <w:rFonts w:ascii="Arial" w:hAnsi="Arial" w:cs="Arial"/>
        </w:rPr>
        <w:tab/>
      </w:r>
    </w:p>
    <w:p w14:paraId="3FB8FB0C" w14:textId="16A4990A" w:rsidR="005C414D" w:rsidRPr="00212F5D" w:rsidRDefault="00C11710" w:rsidP="00F11E92">
      <w:pPr>
        <w:pStyle w:val="Heading1"/>
        <w:spacing w:after="120" w:line="360" w:lineRule="auto"/>
        <w:rPr>
          <w:rFonts w:ascii="Arial" w:hAnsi="Arial" w:cs="Arial"/>
        </w:rPr>
      </w:pPr>
      <w:bookmarkStart w:id="4" w:name="_Toc95128862"/>
      <w:r w:rsidRPr="00212F5D">
        <w:rPr>
          <w:rFonts w:ascii="Arial" w:hAnsi="Arial" w:cs="Arial"/>
        </w:rPr>
        <w:t xml:space="preserve">PART II - </w:t>
      </w:r>
      <w:r w:rsidR="005C414D" w:rsidRPr="00212F5D">
        <w:rPr>
          <w:rFonts w:ascii="Arial" w:hAnsi="Arial" w:cs="Arial"/>
        </w:rPr>
        <w:t>M</w:t>
      </w:r>
      <w:r w:rsidR="00D0265A" w:rsidRPr="00212F5D">
        <w:rPr>
          <w:rFonts w:ascii="Arial" w:hAnsi="Arial" w:cs="Arial"/>
        </w:rPr>
        <w:t>ETHODOLOGY</w:t>
      </w:r>
      <w:bookmarkEnd w:id="4"/>
    </w:p>
    <w:p w14:paraId="145BBDC4" w14:textId="028C690F" w:rsidR="00B321B6" w:rsidRPr="00212F5D" w:rsidRDefault="00FC5B62" w:rsidP="00F11E92">
      <w:pPr>
        <w:spacing w:after="120" w:line="360" w:lineRule="auto"/>
        <w:ind w:firstLine="720"/>
        <w:jc w:val="both"/>
        <w:rPr>
          <w:rFonts w:ascii="Arial" w:hAnsi="Arial" w:cs="Arial"/>
        </w:rPr>
      </w:pPr>
      <w:r w:rsidRPr="00212F5D">
        <w:rPr>
          <w:rFonts w:ascii="Arial" w:hAnsi="Arial" w:cs="Arial"/>
        </w:rPr>
        <w:t xml:space="preserve">In </w:t>
      </w:r>
      <w:r w:rsidR="000A2AAE" w:rsidRPr="00212F5D">
        <w:rPr>
          <w:rFonts w:ascii="Arial" w:hAnsi="Arial" w:cs="Arial"/>
        </w:rPr>
        <w:t>evaluating where a jurisdiction is “</w:t>
      </w:r>
      <w:r w:rsidR="000A2AAE" w:rsidRPr="00F11E92">
        <w:rPr>
          <w:rFonts w:ascii="Arial" w:hAnsi="Arial" w:cs="Arial"/>
          <w:i/>
        </w:rPr>
        <w:t>pro-restructuring</w:t>
      </w:r>
      <w:r w:rsidR="000A2AAE" w:rsidRPr="00212F5D">
        <w:rPr>
          <w:rFonts w:ascii="Arial" w:hAnsi="Arial" w:cs="Arial"/>
        </w:rPr>
        <w:t xml:space="preserve">” we must first set out our evaluative criteria. </w:t>
      </w:r>
      <w:r w:rsidR="00B321B6" w:rsidRPr="00212F5D">
        <w:rPr>
          <w:rFonts w:ascii="Arial" w:hAnsi="Arial" w:cs="Arial"/>
        </w:rPr>
        <w:t xml:space="preserve">Probably the most well-known approach to comparing jurisdictions </w:t>
      </w:r>
      <w:r w:rsidR="00A2165B" w:rsidRPr="00212F5D">
        <w:rPr>
          <w:rFonts w:ascii="Arial" w:hAnsi="Arial" w:cs="Arial"/>
        </w:rPr>
        <w:t xml:space="preserve">in this context </w:t>
      </w:r>
      <w:r w:rsidR="00B321B6" w:rsidRPr="00212F5D">
        <w:rPr>
          <w:rFonts w:ascii="Arial" w:hAnsi="Arial" w:cs="Arial"/>
        </w:rPr>
        <w:t xml:space="preserve">was that of La </w:t>
      </w:r>
      <w:proofErr w:type="spellStart"/>
      <w:r w:rsidR="00B321B6" w:rsidRPr="00212F5D">
        <w:rPr>
          <w:rFonts w:ascii="Arial" w:hAnsi="Arial" w:cs="Arial"/>
        </w:rPr>
        <w:t>Porta</w:t>
      </w:r>
      <w:proofErr w:type="spellEnd"/>
      <w:r w:rsidR="00B321B6" w:rsidRPr="00212F5D">
        <w:rPr>
          <w:rFonts w:ascii="Arial" w:hAnsi="Arial" w:cs="Arial"/>
        </w:rPr>
        <w:t xml:space="preserve">, et </w:t>
      </w:r>
      <w:r w:rsidR="00A2165B" w:rsidRPr="00212F5D">
        <w:rPr>
          <w:rFonts w:ascii="Arial" w:hAnsi="Arial" w:cs="Arial"/>
        </w:rPr>
        <w:t>al</w:t>
      </w:r>
      <w:r w:rsidR="00B321B6" w:rsidRPr="00212F5D">
        <w:rPr>
          <w:rFonts w:ascii="Arial" w:hAnsi="Arial" w:cs="Arial"/>
        </w:rPr>
        <w:t xml:space="preserve"> </w:t>
      </w:r>
      <w:r w:rsidR="000A2AAE" w:rsidRPr="00212F5D">
        <w:rPr>
          <w:rFonts w:ascii="Arial" w:hAnsi="Arial" w:cs="Arial"/>
        </w:rPr>
        <w:t>those scholars chosen to debt</w:t>
      </w:r>
      <w:r w:rsidR="00B321B6" w:rsidRPr="00212F5D">
        <w:rPr>
          <w:rFonts w:ascii="Arial" w:hAnsi="Arial" w:cs="Arial"/>
        </w:rPr>
        <w:t xml:space="preserve"> enforcement </w:t>
      </w:r>
      <w:r w:rsidR="00493A5B" w:rsidRPr="00212F5D">
        <w:rPr>
          <w:rFonts w:ascii="Arial" w:hAnsi="Arial" w:cs="Arial"/>
        </w:rPr>
        <w:t>-</w:t>
      </w:r>
      <w:r w:rsidR="00B321B6" w:rsidRPr="00212F5D">
        <w:rPr>
          <w:rFonts w:ascii="Arial" w:hAnsi="Arial" w:cs="Arial"/>
        </w:rPr>
        <w:t>effectiveness and quality</w:t>
      </w:r>
      <w:r w:rsidR="00B321B6" w:rsidRPr="00212F5D">
        <w:rPr>
          <w:rStyle w:val="FootnoteReference"/>
          <w:rFonts w:ascii="Arial" w:hAnsi="Arial" w:cs="Arial"/>
        </w:rPr>
        <w:footnoteReference w:id="6"/>
      </w:r>
      <w:r w:rsidR="00B321B6" w:rsidRPr="00212F5D">
        <w:rPr>
          <w:rFonts w:ascii="Arial" w:hAnsi="Arial" w:cs="Arial"/>
        </w:rPr>
        <w:t xml:space="preserve">. </w:t>
      </w:r>
      <w:r w:rsidR="006A6FF1">
        <w:rPr>
          <w:rFonts w:ascii="Arial" w:hAnsi="Arial" w:cs="Arial"/>
        </w:rPr>
        <w:t xml:space="preserve">The La </w:t>
      </w:r>
      <w:proofErr w:type="spellStart"/>
      <w:r w:rsidR="006A6FF1">
        <w:rPr>
          <w:rFonts w:ascii="Arial" w:hAnsi="Arial" w:cs="Arial"/>
        </w:rPr>
        <w:t>Porta</w:t>
      </w:r>
      <w:proofErr w:type="spellEnd"/>
      <w:r w:rsidR="006A6FF1">
        <w:rPr>
          <w:rFonts w:ascii="Arial" w:hAnsi="Arial" w:cs="Arial"/>
        </w:rPr>
        <w:t xml:space="preserve"> et al</w:t>
      </w:r>
      <w:r w:rsidR="00B321B6" w:rsidRPr="00212F5D">
        <w:rPr>
          <w:rFonts w:ascii="Arial" w:hAnsi="Arial" w:cs="Arial"/>
        </w:rPr>
        <w:t xml:space="preserve"> </w:t>
      </w:r>
      <w:proofErr w:type="gramStart"/>
      <w:r w:rsidR="00B321B6" w:rsidRPr="00212F5D">
        <w:rPr>
          <w:rFonts w:ascii="Arial" w:hAnsi="Arial" w:cs="Arial"/>
        </w:rPr>
        <w:t xml:space="preserve">methodology </w:t>
      </w:r>
      <w:r w:rsidR="00493A5B" w:rsidRPr="00212F5D">
        <w:rPr>
          <w:rFonts w:ascii="Arial" w:hAnsi="Arial" w:cs="Arial"/>
        </w:rPr>
        <w:t xml:space="preserve">is </w:t>
      </w:r>
      <w:r w:rsidR="00B321B6" w:rsidRPr="00212F5D">
        <w:rPr>
          <w:rFonts w:ascii="Arial" w:hAnsi="Arial" w:cs="Arial"/>
        </w:rPr>
        <w:t xml:space="preserve">still useful </w:t>
      </w:r>
      <w:r w:rsidR="00493A5B" w:rsidRPr="00212F5D">
        <w:rPr>
          <w:rFonts w:ascii="Arial" w:hAnsi="Arial" w:cs="Arial"/>
        </w:rPr>
        <w:t xml:space="preserve">but </w:t>
      </w:r>
      <w:r w:rsidR="00B321B6" w:rsidRPr="00212F5D">
        <w:rPr>
          <w:rFonts w:ascii="Arial" w:hAnsi="Arial" w:cs="Arial"/>
        </w:rPr>
        <w:t xml:space="preserve">due to the fundamental paradigm shift instigated in Europe by way of </w:t>
      </w:r>
      <w:r w:rsidR="00B321B6" w:rsidRPr="00464934">
        <w:rPr>
          <w:rFonts w:ascii="Arial" w:hAnsi="Arial" w:cs="Arial"/>
          <w:i/>
          <w:iCs/>
        </w:rPr>
        <w:t>The European Directive 2019/1023 on Establishing Preventive Restructuring Frameworks</w:t>
      </w:r>
      <w:r w:rsidR="00B321B6" w:rsidRPr="00212F5D">
        <w:rPr>
          <w:rStyle w:val="FootnoteReference"/>
          <w:rFonts w:ascii="Arial" w:hAnsi="Arial" w:cs="Arial"/>
        </w:rPr>
        <w:footnoteReference w:id="7"/>
      </w:r>
      <w:r w:rsidR="00493A5B" w:rsidRPr="00212F5D">
        <w:rPr>
          <w:rFonts w:ascii="Arial" w:hAnsi="Arial" w:cs="Arial"/>
        </w:rPr>
        <w:t xml:space="preserve"> the</w:t>
      </w:r>
      <w:r w:rsidR="006A6FF1">
        <w:rPr>
          <w:rFonts w:ascii="Arial" w:hAnsi="Arial" w:cs="Arial"/>
        </w:rPr>
        <w:t>ir</w:t>
      </w:r>
      <w:r w:rsidR="00493A5B" w:rsidRPr="00212F5D">
        <w:rPr>
          <w:rFonts w:ascii="Arial" w:hAnsi="Arial" w:cs="Arial"/>
        </w:rPr>
        <w:t xml:space="preserve"> conclusions no longer represent</w:t>
      </w:r>
      <w:proofErr w:type="gramEnd"/>
      <w:r w:rsidR="00493A5B" w:rsidRPr="00212F5D">
        <w:rPr>
          <w:rFonts w:ascii="Arial" w:hAnsi="Arial" w:cs="Arial"/>
        </w:rPr>
        <w:t xml:space="preserve"> the present state of the law particularly in regards to civil law jurisdictions.  </w:t>
      </w:r>
    </w:p>
    <w:p w14:paraId="082A7E61" w14:textId="12FB2E84" w:rsidR="00250A38" w:rsidRPr="00212F5D" w:rsidRDefault="00493A5B" w:rsidP="00F11E92">
      <w:pPr>
        <w:spacing w:after="120" w:line="360" w:lineRule="auto"/>
        <w:jc w:val="both"/>
        <w:rPr>
          <w:rFonts w:ascii="Arial" w:hAnsi="Arial" w:cs="Arial"/>
        </w:rPr>
      </w:pPr>
      <w:r w:rsidRPr="00212F5D">
        <w:rPr>
          <w:rFonts w:ascii="Arial" w:hAnsi="Arial" w:cs="Arial"/>
        </w:rPr>
        <w:tab/>
      </w:r>
      <w:r w:rsidR="00A2165B" w:rsidRPr="00212F5D">
        <w:rPr>
          <w:rFonts w:ascii="Arial" w:hAnsi="Arial" w:cs="Arial"/>
        </w:rPr>
        <w:t xml:space="preserve">Rather than adopting the approach of La Porta et al </w:t>
      </w:r>
      <w:r w:rsidRPr="00212F5D">
        <w:rPr>
          <w:rFonts w:ascii="Arial" w:hAnsi="Arial" w:cs="Arial"/>
        </w:rPr>
        <w:t xml:space="preserve">I have chosen to examine </w:t>
      </w:r>
      <w:r w:rsidR="00A2165B" w:rsidRPr="00212F5D">
        <w:rPr>
          <w:rFonts w:ascii="Arial" w:hAnsi="Arial" w:cs="Arial"/>
        </w:rPr>
        <w:t>t</w:t>
      </w:r>
      <w:r w:rsidRPr="00212F5D">
        <w:rPr>
          <w:rFonts w:ascii="Arial" w:hAnsi="Arial" w:cs="Arial"/>
        </w:rPr>
        <w:t xml:space="preserve">he variables </w:t>
      </w:r>
      <w:r w:rsidR="00395AE5" w:rsidRPr="00212F5D">
        <w:rPr>
          <w:rFonts w:ascii="Arial" w:hAnsi="Arial" w:cs="Arial"/>
        </w:rPr>
        <w:t xml:space="preserve">that are at the present time reflective of a regime considered </w:t>
      </w:r>
      <w:r w:rsidR="00477647" w:rsidRPr="00212F5D">
        <w:rPr>
          <w:rFonts w:ascii="Arial" w:hAnsi="Arial" w:cs="Arial"/>
        </w:rPr>
        <w:t>“</w:t>
      </w:r>
      <w:r w:rsidR="00250A38" w:rsidRPr="00212F5D">
        <w:rPr>
          <w:rFonts w:ascii="Arial" w:hAnsi="Arial" w:cs="Arial"/>
          <w:i/>
          <w:iCs/>
        </w:rPr>
        <w:t>pro-restructuring</w:t>
      </w:r>
      <w:r w:rsidR="00477647" w:rsidRPr="00212F5D">
        <w:rPr>
          <w:rFonts w:ascii="Arial" w:hAnsi="Arial" w:cs="Arial"/>
        </w:rPr>
        <w:t>”</w:t>
      </w:r>
      <w:r w:rsidR="00395AE5" w:rsidRPr="00212F5D">
        <w:rPr>
          <w:rFonts w:ascii="Arial" w:hAnsi="Arial" w:cs="Arial"/>
        </w:rPr>
        <w:t>. More specifically I will consider the extent that each jurisdiction</w:t>
      </w:r>
      <w:r w:rsidR="00250A38" w:rsidRPr="00212F5D">
        <w:rPr>
          <w:rFonts w:ascii="Arial" w:hAnsi="Arial" w:cs="Arial"/>
        </w:rPr>
        <w:t xml:space="preserve"> has a mechanism/s that provides for</w:t>
      </w:r>
      <w:r w:rsidR="00250A38" w:rsidRPr="00212F5D">
        <w:rPr>
          <w:rStyle w:val="FootnoteReference"/>
          <w:rFonts w:ascii="Arial" w:hAnsi="Arial" w:cs="Arial"/>
        </w:rPr>
        <w:footnoteReference w:id="8"/>
      </w:r>
      <w:r w:rsidR="00250A38" w:rsidRPr="00212F5D">
        <w:rPr>
          <w:rFonts w:ascii="Arial" w:hAnsi="Arial" w:cs="Arial"/>
        </w:rPr>
        <w:t xml:space="preserve">:  </w:t>
      </w:r>
    </w:p>
    <w:p w14:paraId="613F1465" w14:textId="532D5FAA" w:rsidR="00250A38" w:rsidRPr="00212F5D" w:rsidRDefault="000A2AAE" w:rsidP="00F11E92">
      <w:pPr>
        <w:pStyle w:val="ListParagraph"/>
        <w:numPr>
          <w:ilvl w:val="0"/>
          <w:numId w:val="13"/>
        </w:numPr>
        <w:spacing w:after="120" w:line="360" w:lineRule="auto"/>
        <w:jc w:val="both"/>
        <w:rPr>
          <w:rFonts w:ascii="Arial" w:hAnsi="Arial" w:cs="Arial"/>
        </w:rPr>
      </w:pPr>
      <w:r w:rsidRPr="00212F5D">
        <w:rPr>
          <w:rFonts w:ascii="Arial" w:hAnsi="Arial" w:cs="Arial"/>
        </w:rPr>
        <w:lastRenderedPageBreak/>
        <w:t>A s</w:t>
      </w:r>
      <w:r w:rsidR="00250A38" w:rsidRPr="00212F5D">
        <w:rPr>
          <w:rFonts w:ascii="Arial" w:hAnsi="Arial" w:cs="Arial"/>
        </w:rPr>
        <w:t>tay of enforcement proceedings</w:t>
      </w:r>
      <w:r w:rsidR="00351E10" w:rsidRPr="00212F5D">
        <w:rPr>
          <w:rFonts w:ascii="Arial" w:hAnsi="Arial" w:cs="Arial"/>
        </w:rPr>
        <w:t xml:space="preserve"> that would give the debtor the opportunity to restructure its affairs.</w:t>
      </w:r>
      <w:r w:rsidRPr="00212F5D">
        <w:rPr>
          <w:rStyle w:val="FootnoteReference"/>
          <w:rFonts w:ascii="Arial" w:hAnsi="Arial" w:cs="Arial"/>
        </w:rPr>
        <w:footnoteReference w:id="9"/>
      </w:r>
    </w:p>
    <w:p w14:paraId="3BEB2797" w14:textId="77314E64" w:rsidR="003E6D25" w:rsidRPr="00212F5D" w:rsidRDefault="0074608F" w:rsidP="00F11E92">
      <w:pPr>
        <w:pStyle w:val="ListParagraph"/>
        <w:numPr>
          <w:ilvl w:val="0"/>
          <w:numId w:val="13"/>
        </w:numPr>
        <w:spacing w:after="120" w:line="360" w:lineRule="auto"/>
        <w:rPr>
          <w:rFonts w:ascii="Arial" w:hAnsi="Arial" w:cs="Arial"/>
        </w:rPr>
      </w:pPr>
      <w:bookmarkStart w:id="5" w:name="_Hlk94450403"/>
      <w:r w:rsidRPr="00212F5D">
        <w:rPr>
          <w:rFonts w:ascii="Arial" w:hAnsi="Arial" w:cs="Arial"/>
        </w:rPr>
        <w:t>Board of Directors</w:t>
      </w:r>
      <w:r w:rsidR="00250A38" w:rsidRPr="00212F5D">
        <w:rPr>
          <w:rFonts w:ascii="Arial" w:hAnsi="Arial" w:cs="Arial"/>
        </w:rPr>
        <w:t xml:space="preserve"> remaining in control</w:t>
      </w:r>
      <w:bookmarkEnd w:id="5"/>
      <w:r w:rsidR="00351E10" w:rsidRPr="00212F5D">
        <w:rPr>
          <w:rFonts w:ascii="Arial" w:hAnsi="Arial" w:cs="Arial"/>
        </w:rPr>
        <w:t xml:space="preserve"> during the stay of enforcement proceedings</w:t>
      </w:r>
      <w:r w:rsidR="000A2AAE" w:rsidRPr="00212F5D">
        <w:rPr>
          <w:rFonts w:ascii="Arial" w:hAnsi="Arial" w:cs="Arial"/>
        </w:rPr>
        <w:t xml:space="preserve"> (referred to as a “</w:t>
      </w:r>
      <w:r w:rsidR="000A2AAE" w:rsidRPr="00212F5D">
        <w:rPr>
          <w:rFonts w:ascii="Arial" w:hAnsi="Arial" w:cs="Arial"/>
          <w:i/>
        </w:rPr>
        <w:t>debtor-in-possession</w:t>
      </w:r>
      <w:r w:rsidR="000A2AAE" w:rsidRPr="00212F5D">
        <w:rPr>
          <w:rFonts w:ascii="Arial" w:hAnsi="Arial" w:cs="Arial"/>
        </w:rPr>
        <w:t>”)</w:t>
      </w:r>
      <w:r w:rsidR="00351E10" w:rsidRPr="00212F5D">
        <w:rPr>
          <w:rFonts w:ascii="Arial" w:hAnsi="Arial" w:cs="Arial"/>
        </w:rPr>
        <w:t xml:space="preserve">. </w:t>
      </w:r>
    </w:p>
    <w:p w14:paraId="478127AE" w14:textId="4C7A4844" w:rsidR="003E6D25" w:rsidRPr="00212F5D" w:rsidRDefault="00351E10" w:rsidP="00F11E92">
      <w:pPr>
        <w:pStyle w:val="ListParagraph"/>
        <w:numPr>
          <w:ilvl w:val="0"/>
          <w:numId w:val="13"/>
        </w:numPr>
        <w:spacing w:after="120" w:line="360" w:lineRule="auto"/>
        <w:rPr>
          <w:rFonts w:ascii="Arial" w:hAnsi="Arial" w:cs="Arial"/>
        </w:rPr>
      </w:pPr>
      <w:r w:rsidRPr="00212F5D">
        <w:rPr>
          <w:rFonts w:ascii="Arial" w:hAnsi="Arial" w:cs="Arial"/>
        </w:rPr>
        <w:t>Priority</w:t>
      </w:r>
      <w:r w:rsidR="0051527A" w:rsidRPr="00212F5D">
        <w:rPr>
          <w:rFonts w:ascii="Arial" w:hAnsi="Arial" w:cs="Arial"/>
        </w:rPr>
        <w:t xml:space="preserve"> for new financing.</w:t>
      </w:r>
    </w:p>
    <w:p w14:paraId="0DE0B41E" w14:textId="0A36D66E" w:rsidR="00BC2BD3" w:rsidRPr="00212F5D" w:rsidRDefault="00351E10" w:rsidP="00F11E92">
      <w:pPr>
        <w:pStyle w:val="ListParagraph"/>
        <w:numPr>
          <w:ilvl w:val="0"/>
          <w:numId w:val="13"/>
        </w:numPr>
        <w:spacing w:after="120" w:line="360" w:lineRule="auto"/>
        <w:rPr>
          <w:rFonts w:ascii="Arial" w:hAnsi="Arial" w:cs="Arial"/>
        </w:rPr>
      </w:pPr>
      <w:r w:rsidRPr="00212F5D">
        <w:rPr>
          <w:rFonts w:ascii="Arial" w:hAnsi="Arial" w:cs="Arial"/>
        </w:rPr>
        <w:t>V</w:t>
      </w:r>
      <w:r w:rsidR="00250A38" w:rsidRPr="00212F5D">
        <w:rPr>
          <w:rFonts w:ascii="Arial" w:hAnsi="Arial" w:cs="Arial"/>
        </w:rPr>
        <w:t xml:space="preserve">oting mechanisms that bind </w:t>
      </w:r>
      <w:r w:rsidRPr="00212F5D">
        <w:rPr>
          <w:rFonts w:ascii="Arial" w:hAnsi="Arial" w:cs="Arial"/>
        </w:rPr>
        <w:t xml:space="preserve">either: a dissenting </w:t>
      </w:r>
      <w:r w:rsidR="00250A38" w:rsidRPr="00212F5D">
        <w:rPr>
          <w:rFonts w:ascii="Arial" w:hAnsi="Arial" w:cs="Arial"/>
        </w:rPr>
        <w:t>creditor</w:t>
      </w:r>
      <w:r w:rsidR="0051527A" w:rsidRPr="00212F5D">
        <w:rPr>
          <w:rFonts w:ascii="Arial" w:hAnsi="Arial" w:cs="Arial"/>
        </w:rPr>
        <w:t xml:space="preserve"> within a class of creditors </w:t>
      </w:r>
      <w:r w:rsidRPr="00212F5D">
        <w:rPr>
          <w:rFonts w:ascii="Arial" w:hAnsi="Arial" w:cs="Arial"/>
        </w:rPr>
        <w:t>or an entire dissenting class of creditors</w:t>
      </w:r>
      <w:r w:rsidR="00250A38" w:rsidRPr="00212F5D">
        <w:rPr>
          <w:rFonts w:ascii="Arial" w:hAnsi="Arial" w:cs="Arial"/>
        </w:rPr>
        <w:t>.</w:t>
      </w:r>
      <w:r w:rsidR="00BC2BD3" w:rsidRPr="00212F5D">
        <w:rPr>
          <w:rFonts w:ascii="Arial" w:hAnsi="Arial" w:cs="Arial"/>
        </w:rPr>
        <w:tab/>
      </w:r>
    </w:p>
    <w:p w14:paraId="06053343" w14:textId="0F109888" w:rsidR="004F1D7D" w:rsidRPr="00212F5D" w:rsidRDefault="00C11710" w:rsidP="00F11E92">
      <w:pPr>
        <w:pStyle w:val="Heading1"/>
        <w:spacing w:after="120" w:line="360" w:lineRule="auto"/>
        <w:rPr>
          <w:rFonts w:ascii="Arial" w:hAnsi="Arial" w:cs="Arial"/>
        </w:rPr>
      </w:pPr>
      <w:bookmarkStart w:id="6" w:name="_Toc95128863"/>
      <w:r w:rsidRPr="00212F5D">
        <w:rPr>
          <w:rFonts w:ascii="Arial" w:hAnsi="Arial" w:cs="Arial"/>
        </w:rPr>
        <w:t xml:space="preserve">PART III - </w:t>
      </w:r>
      <w:r w:rsidR="002A4285" w:rsidRPr="00212F5D">
        <w:rPr>
          <w:rFonts w:ascii="Arial" w:hAnsi="Arial" w:cs="Arial"/>
        </w:rPr>
        <w:t>INSOLVENCY LAWS IN EACH JURISDICTION</w:t>
      </w:r>
      <w:bookmarkEnd w:id="6"/>
    </w:p>
    <w:p w14:paraId="23A97F62" w14:textId="42246256" w:rsidR="00163A7E" w:rsidRPr="00212F5D" w:rsidRDefault="00163A7E" w:rsidP="00F11E92">
      <w:pPr>
        <w:pStyle w:val="Heading3"/>
        <w:spacing w:after="120" w:line="360" w:lineRule="auto"/>
        <w:rPr>
          <w:rFonts w:ascii="Arial" w:hAnsi="Arial" w:cs="Arial"/>
        </w:rPr>
      </w:pPr>
      <w:bookmarkStart w:id="7" w:name="_Toc95128864"/>
      <w:r w:rsidRPr="00212F5D">
        <w:rPr>
          <w:rFonts w:ascii="Arial" w:hAnsi="Arial" w:cs="Arial"/>
        </w:rPr>
        <w:t>United Kingdom</w:t>
      </w:r>
      <w:bookmarkEnd w:id="7"/>
      <w:r w:rsidRPr="00212F5D">
        <w:rPr>
          <w:rFonts w:ascii="Arial" w:hAnsi="Arial" w:cs="Arial"/>
        </w:rPr>
        <w:t xml:space="preserve"> </w:t>
      </w:r>
    </w:p>
    <w:p w14:paraId="08DD4CF8" w14:textId="7D167076" w:rsidR="00F3648D" w:rsidRPr="00212F5D" w:rsidRDefault="000A2AAE" w:rsidP="00F11E92">
      <w:pPr>
        <w:spacing w:after="120" w:line="360" w:lineRule="auto"/>
        <w:rPr>
          <w:rFonts w:ascii="Arial" w:hAnsi="Arial" w:cs="Arial"/>
        </w:rPr>
      </w:pPr>
      <w:r w:rsidRPr="00212F5D">
        <w:rPr>
          <w:rFonts w:ascii="Arial" w:hAnsi="Arial" w:cs="Arial"/>
        </w:rPr>
        <w:tab/>
        <w:t>For the UK I</w:t>
      </w:r>
      <w:r w:rsidR="00F3648D" w:rsidRPr="00212F5D">
        <w:rPr>
          <w:rFonts w:ascii="Arial" w:hAnsi="Arial" w:cs="Arial"/>
        </w:rPr>
        <w:t xml:space="preserve"> consider the following three (3) restructuring tools:</w:t>
      </w:r>
    </w:p>
    <w:p w14:paraId="524C2645" w14:textId="0EC30393" w:rsidR="00F3648D" w:rsidRPr="00212F5D" w:rsidRDefault="00F3648D" w:rsidP="00F11E92">
      <w:pPr>
        <w:pStyle w:val="ListParagraph"/>
        <w:numPr>
          <w:ilvl w:val="0"/>
          <w:numId w:val="11"/>
        </w:numPr>
        <w:spacing w:after="120" w:line="360" w:lineRule="auto"/>
        <w:rPr>
          <w:rFonts w:ascii="Arial" w:hAnsi="Arial" w:cs="Arial"/>
        </w:rPr>
      </w:pPr>
      <w:r w:rsidRPr="00212F5D">
        <w:rPr>
          <w:rFonts w:ascii="Arial" w:hAnsi="Arial" w:cs="Arial"/>
        </w:rPr>
        <w:t xml:space="preserve">Company Voluntary Arrangement </w:t>
      </w:r>
      <w:r w:rsidR="00D63EDA" w:rsidRPr="00212F5D">
        <w:rPr>
          <w:rFonts w:ascii="Arial" w:hAnsi="Arial" w:cs="Arial"/>
        </w:rPr>
        <w:t>(“CVA”)</w:t>
      </w:r>
    </w:p>
    <w:p w14:paraId="5A32D550" w14:textId="6A992CE9" w:rsidR="00F3648D" w:rsidRPr="00212F5D" w:rsidRDefault="00F3648D" w:rsidP="00F11E92">
      <w:pPr>
        <w:pStyle w:val="ListParagraph"/>
        <w:numPr>
          <w:ilvl w:val="0"/>
          <w:numId w:val="11"/>
        </w:numPr>
        <w:spacing w:after="120" w:line="360" w:lineRule="auto"/>
        <w:rPr>
          <w:rFonts w:ascii="Arial" w:hAnsi="Arial" w:cs="Arial"/>
        </w:rPr>
      </w:pPr>
      <w:r w:rsidRPr="00212F5D">
        <w:rPr>
          <w:rFonts w:ascii="Arial" w:hAnsi="Arial" w:cs="Arial"/>
        </w:rPr>
        <w:t xml:space="preserve">Administration </w:t>
      </w:r>
    </w:p>
    <w:p w14:paraId="018EAB1D" w14:textId="7F2E0A13" w:rsidR="00F3648D" w:rsidRPr="00212F5D" w:rsidRDefault="00F3648D" w:rsidP="00F11E92">
      <w:pPr>
        <w:pStyle w:val="ListParagraph"/>
        <w:numPr>
          <w:ilvl w:val="0"/>
          <w:numId w:val="11"/>
        </w:numPr>
        <w:spacing w:after="120" w:line="360" w:lineRule="auto"/>
        <w:rPr>
          <w:rFonts w:ascii="Arial" w:hAnsi="Arial" w:cs="Arial"/>
        </w:rPr>
      </w:pPr>
      <w:r w:rsidRPr="00212F5D">
        <w:rPr>
          <w:rFonts w:ascii="Arial" w:hAnsi="Arial" w:cs="Arial"/>
        </w:rPr>
        <w:t>Restructuring Plan</w:t>
      </w:r>
    </w:p>
    <w:p w14:paraId="531C9263" w14:textId="535C5D27" w:rsidR="00627825" w:rsidRPr="00212F5D" w:rsidRDefault="00C42ABE" w:rsidP="00F11E92">
      <w:pPr>
        <w:spacing w:after="120" w:line="360" w:lineRule="auto"/>
        <w:jc w:val="both"/>
        <w:rPr>
          <w:rFonts w:ascii="Arial" w:hAnsi="Arial" w:cs="Arial"/>
        </w:rPr>
      </w:pPr>
      <w:r w:rsidRPr="00212F5D">
        <w:rPr>
          <w:rFonts w:ascii="Arial" w:hAnsi="Arial" w:cs="Arial"/>
        </w:rPr>
        <w:tab/>
        <w:t>The Scheme of Arrangement</w:t>
      </w:r>
      <w:r w:rsidR="006A6FF1">
        <w:rPr>
          <w:rStyle w:val="FootnoteReference"/>
          <w:rFonts w:ascii="Arial" w:hAnsi="Arial" w:cs="Arial"/>
        </w:rPr>
        <w:footnoteReference w:id="10"/>
      </w:r>
      <w:r w:rsidRPr="00212F5D">
        <w:rPr>
          <w:rFonts w:ascii="Arial" w:hAnsi="Arial" w:cs="Arial"/>
        </w:rPr>
        <w:t xml:space="preserve"> </w:t>
      </w:r>
      <w:r w:rsidR="00994CF7" w:rsidRPr="00212F5D">
        <w:rPr>
          <w:rFonts w:ascii="Arial" w:hAnsi="Arial" w:cs="Arial"/>
        </w:rPr>
        <w:t xml:space="preserve">(“SOA”) </w:t>
      </w:r>
      <w:r w:rsidRPr="00212F5D">
        <w:rPr>
          <w:rFonts w:ascii="Arial" w:hAnsi="Arial" w:cs="Arial"/>
        </w:rPr>
        <w:t>has undoubtedly</w:t>
      </w:r>
      <w:r w:rsidR="00F14B53" w:rsidRPr="00212F5D">
        <w:rPr>
          <w:rFonts w:ascii="Arial" w:hAnsi="Arial" w:cs="Arial"/>
        </w:rPr>
        <w:t xml:space="preserve"> </w:t>
      </w:r>
      <w:r w:rsidR="009F606F" w:rsidRPr="00212F5D">
        <w:rPr>
          <w:rFonts w:ascii="Arial" w:hAnsi="Arial" w:cs="Arial"/>
        </w:rPr>
        <w:t>been recognized</w:t>
      </w:r>
      <w:r w:rsidR="00F14B53" w:rsidRPr="00212F5D">
        <w:rPr>
          <w:rFonts w:ascii="Arial" w:hAnsi="Arial" w:cs="Arial"/>
        </w:rPr>
        <w:t xml:space="preserve"> as a flexible restructuring tool. Indeed</w:t>
      </w:r>
      <w:r w:rsidR="009F606F" w:rsidRPr="00212F5D">
        <w:rPr>
          <w:rFonts w:ascii="Arial" w:hAnsi="Arial" w:cs="Arial"/>
        </w:rPr>
        <w:t>,</w:t>
      </w:r>
      <w:r w:rsidR="00F14B53" w:rsidRPr="00212F5D">
        <w:rPr>
          <w:rFonts w:ascii="Arial" w:hAnsi="Arial" w:cs="Arial"/>
        </w:rPr>
        <w:t xml:space="preserve"> it was expressly contemplated that the Administration procedure would facilitate the use of S</w:t>
      </w:r>
      <w:r w:rsidR="00994CF7" w:rsidRPr="00212F5D">
        <w:rPr>
          <w:rFonts w:ascii="Arial" w:hAnsi="Arial" w:cs="Arial"/>
        </w:rPr>
        <w:t>OAs</w:t>
      </w:r>
      <w:r w:rsidR="00F14B53" w:rsidRPr="00212F5D">
        <w:rPr>
          <w:rFonts w:ascii="Arial" w:hAnsi="Arial" w:cs="Arial"/>
        </w:rPr>
        <w:t>.</w:t>
      </w:r>
      <w:r w:rsidR="005443DB" w:rsidRPr="00212F5D">
        <w:rPr>
          <w:rStyle w:val="FootnoteReference"/>
          <w:rFonts w:ascii="Arial" w:hAnsi="Arial" w:cs="Arial"/>
        </w:rPr>
        <w:footnoteReference w:id="11"/>
      </w:r>
      <w:r w:rsidR="00F14B53" w:rsidRPr="00212F5D">
        <w:rPr>
          <w:rFonts w:ascii="Arial" w:hAnsi="Arial" w:cs="Arial"/>
        </w:rPr>
        <w:t xml:space="preserve"> The </w:t>
      </w:r>
      <w:r w:rsidR="00994CF7" w:rsidRPr="00212F5D">
        <w:rPr>
          <w:rFonts w:ascii="Arial" w:hAnsi="Arial" w:cs="Arial"/>
        </w:rPr>
        <w:t>SOA</w:t>
      </w:r>
      <w:r w:rsidR="00F14B53" w:rsidRPr="00212F5D">
        <w:rPr>
          <w:rFonts w:ascii="Arial" w:hAnsi="Arial" w:cs="Arial"/>
        </w:rPr>
        <w:t xml:space="preserve"> is not considered here for three reasons. First is that the </w:t>
      </w:r>
      <w:r w:rsidR="00994CF7" w:rsidRPr="00212F5D">
        <w:rPr>
          <w:rFonts w:ascii="Arial" w:hAnsi="Arial" w:cs="Arial"/>
        </w:rPr>
        <w:t>SOA</w:t>
      </w:r>
      <w:r w:rsidR="009F606F" w:rsidRPr="00212F5D">
        <w:rPr>
          <w:rFonts w:ascii="Arial" w:hAnsi="Arial" w:cs="Arial"/>
        </w:rPr>
        <w:t xml:space="preserve"> procedure is really a corporate procedure rather than an insolvency procedure. Second is that the Restructuring Plan is modelled on the </w:t>
      </w:r>
      <w:r w:rsidR="00994CF7" w:rsidRPr="00212F5D">
        <w:rPr>
          <w:rFonts w:ascii="Arial" w:hAnsi="Arial" w:cs="Arial"/>
        </w:rPr>
        <w:t>SOA</w:t>
      </w:r>
      <w:r w:rsidR="000A2AAE" w:rsidRPr="00212F5D">
        <w:rPr>
          <w:rFonts w:ascii="Arial" w:hAnsi="Arial" w:cs="Arial"/>
        </w:rPr>
        <w:t xml:space="preserve"> procedure hence there will</w:t>
      </w:r>
      <w:r w:rsidR="009F606F" w:rsidRPr="00212F5D">
        <w:rPr>
          <w:rFonts w:ascii="Arial" w:hAnsi="Arial" w:cs="Arial"/>
        </w:rPr>
        <w:t xml:space="preserve"> likely be significant duplication. Third is that Canada has a similar provision under the Canada Business Corporations Act which would mean that there is not significant distinction between the jurisdictions.</w:t>
      </w:r>
      <w:r w:rsidR="00CB28AB" w:rsidRPr="00212F5D">
        <w:rPr>
          <w:rStyle w:val="FootnoteReference"/>
          <w:rFonts w:ascii="Arial" w:hAnsi="Arial" w:cs="Arial"/>
        </w:rPr>
        <w:footnoteReference w:id="12"/>
      </w:r>
    </w:p>
    <w:p w14:paraId="550BF121" w14:textId="35363E70" w:rsidR="00C42ABE" w:rsidRPr="00212F5D" w:rsidRDefault="00627825" w:rsidP="00F11E92">
      <w:pPr>
        <w:spacing w:after="120" w:line="360" w:lineRule="auto"/>
        <w:jc w:val="both"/>
        <w:rPr>
          <w:rFonts w:ascii="Arial" w:hAnsi="Arial" w:cs="Arial"/>
        </w:rPr>
      </w:pPr>
      <w:r w:rsidRPr="00212F5D">
        <w:rPr>
          <w:rFonts w:ascii="Arial" w:hAnsi="Arial" w:cs="Arial"/>
        </w:rPr>
        <w:tab/>
        <w:t>It must also be noted that the CIGA 2020 created a new free-standing moratorium that is available to distress</w:t>
      </w:r>
      <w:r w:rsidR="00043641" w:rsidRPr="00212F5D">
        <w:rPr>
          <w:rFonts w:ascii="Arial" w:hAnsi="Arial" w:cs="Arial"/>
        </w:rPr>
        <w:t>ed</w:t>
      </w:r>
      <w:r w:rsidRPr="00212F5D">
        <w:rPr>
          <w:rFonts w:ascii="Arial" w:hAnsi="Arial" w:cs="Arial"/>
        </w:rPr>
        <w:t xml:space="preserve"> UK companies. Although the moratorium is not tied to a particular restructuring process it </w:t>
      </w:r>
      <w:r w:rsidR="00C531E0" w:rsidRPr="00212F5D">
        <w:rPr>
          <w:rFonts w:ascii="Arial" w:hAnsi="Arial" w:cs="Arial"/>
        </w:rPr>
        <w:t xml:space="preserve">must be considered as a crucial new restructuring </w:t>
      </w:r>
      <w:r w:rsidR="00043641" w:rsidRPr="00212F5D">
        <w:rPr>
          <w:rFonts w:ascii="Arial" w:hAnsi="Arial" w:cs="Arial"/>
        </w:rPr>
        <w:t xml:space="preserve">tool </w:t>
      </w:r>
      <w:r w:rsidR="00C531E0" w:rsidRPr="00212F5D">
        <w:rPr>
          <w:rFonts w:ascii="Arial" w:hAnsi="Arial" w:cs="Arial"/>
        </w:rPr>
        <w:t xml:space="preserve">that is capable of being used in combination with any of the other restructuring processes available in the UK. </w:t>
      </w:r>
    </w:p>
    <w:p w14:paraId="58873E46" w14:textId="6FF18BF9" w:rsidR="00163A7E" w:rsidRPr="00212F5D" w:rsidRDefault="00F3648D" w:rsidP="00F11E92">
      <w:pPr>
        <w:pStyle w:val="Heading4"/>
        <w:spacing w:after="120" w:line="360" w:lineRule="auto"/>
        <w:rPr>
          <w:rStyle w:val="SubtleReference"/>
          <w:rFonts w:ascii="Arial" w:hAnsi="Arial" w:cs="Arial"/>
          <w:smallCaps w:val="0"/>
          <w:color w:val="365F91" w:themeColor="accent1" w:themeShade="BF"/>
        </w:rPr>
      </w:pPr>
      <w:r w:rsidRPr="00212F5D">
        <w:rPr>
          <w:rStyle w:val="SubtleReference"/>
          <w:rFonts w:ascii="Arial" w:hAnsi="Arial" w:cs="Arial"/>
          <w:smallCaps w:val="0"/>
          <w:color w:val="365F91" w:themeColor="accent1" w:themeShade="BF"/>
        </w:rPr>
        <w:lastRenderedPageBreak/>
        <w:t xml:space="preserve">Company Voluntary Arrangement </w:t>
      </w:r>
    </w:p>
    <w:p w14:paraId="7401A34D" w14:textId="49FF1FB4" w:rsidR="00F61AC1" w:rsidRPr="00212F5D" w:rsidRDefault="00F3648D" w:rsidP="00F11E92">
      <w:pPr>
        <w:spacing w:after="120" w:line="360" w:lineRule="auto"/>
        <w:jc w:val="both"/>
        <w:rPr>
          <w:rFonts w:ascii="Arial" w:hAnsi="Arial" w:cs="Arial"/>
        </w:rPr>
      </w:pPr>
      <w:r w:rsidRPr="00212F5D">
        <w:rPr>
          <w:rFonts w:ascii="Arial" w:hAnsi="Arial" w:cs="Arial"/>
        </w:rPr>
        <w:tab/>
      </w:r>
      <w:r w:rsidR="00D63EDA" w:rsidRPr="00212F5D">
        <w:rPr>
          <w:rFonts w:ascii="Arial" w:hAnsi="Arial" w:cs="Arial"/>
        </w:rPr>
        <w:t xml:space="preserve">A CVA is statutory procedure </w:t>
      </w:r>
      <w:r w:rsidR="0035425D" w:rsidRPr="00212F5D">
        <w:rPr>
          <w:rFonts w:ascii="Arial" w:hAnsi="Arial" w:cs="Arial"/>
        </w:rPr>
        <w:t>found i</w:t>
      </w:r>
      <w:r w:rsidR="00CD17C1" w:rsidRPr="00212F5D">
        <w:rPr>
          <w:rFonts w:ascii="Arial" w:hAnsi="Arial" w:cs="Arial"/>
        </w:rPr>
        <w:t xml:space="preserve">n </w:t>
      </w:r>
      <w:r w:rsidR="0035425D" w:rsidRPr="00212F5D">
        <w:rPr>
          <w:rFonts w:ascii="Arial" w:hAnsi="Arial" w:cs="Arial"/>
        </w:rPr>
        <w:t>the Insolvency Act, 1986</w:t>
      </w:r>
      <w:r w:rsidR="00464934">
        <w:rPr>
          <w:rStyle w:val="FootnoteReference"/>
          <w:rFonts w:ascii="Arial" w:hAnsi="Arial" w:cs="Arial"/>
        </w:rPr>
        <w:footnoteReference w:id="13"/>
      </w:r>
      <w:r w:rsidR="0035425D" w:rsidRPr="00212F5D">
        <w:rPr>
          <w:rFonts w:ascii="Arial" w:hAnsi="Arial" w:cs="Arial"/>
        </w:rPr>
        <w:t xml:space="preserve">. </w:t>
      </w:r>
      <w:r w:rsidR="00F61AC1" w:rsidRPr="00212F5D">
        <w:rPr>
          <w:rFonts w:ascii="Arial" w:hAnsi="Arial" w:cs="Arial"/>
        </w:rPr>
        <w:t xml:space="preserve">A </w:t>
      </w:r>
      <w:r w:rsidR="0035425D" w:rsidRPr="00212F5D">
        <w:rPr>
          <w:rFonts w:ascii="Arial" w:hAnsi="Arial" w:cs="Arial"/>
        </w:rPr>
        <w:t>CVA</w:t>
      </w:r>
      <w:r w:rsidR="00F61AC1" w:rsidRPr="00212F5D">
        <w:rPr>
          <w:rFonts w:ascii="Arial" w:hAnsi="Arial" w:cs="Arial"/>
        </w:rPr>
        <w:t xml:space="preserve"> (like all rescue focused processes)</w:t>
      </w:r>
      <w:r w:rsidR="0035425D" w:rsidRPr="00212F5D">
        <w:rPr>
          <w:rFonts w:ascii="Arial" w:hAnsi="Arial" w:cs="Arial"/>
        </w:rPr>
        <w:t xml:space="preserve"> </w:t>
      </w:r>
      <w:r w:rsidR="00F61AC1" w:rsidRPr="00212F5D">
        <w:rPr>
          <w:rFonts w:ascii="Arial" w:hAnsi="Arial" w:cs="Arial"/>
        </w:rPr>
        <w:t>is</w:t>
      </w:r>
      <w:r w:rsidR="0035425D" w:rsidRPr="00212F5D">
        <w:rPr>
          <w:rFonts w:ascii="Arial" w:hAnsi="Arial" w:cs="Arial"/>
        </w:rPr>
        <w:t xml:space="preserve"> intended to preserve viable companies that</w:t>
      </w:r>
      <w:r w:rsidR="00F61AC1" w:rsidRPr="00212F5D">
        <w:rPr>
          <w:rFonts w:ascii="Arial" w:hAnsi="Arial" w:cs="Arial"/>
        </w:rPr>
        <w:t xml:space="preserve"> find them</w:t>
      </w:r>
      <w:r w:rsidR="00CD17C1" w:rsidRPr="00212F5D">
        <w:rPr>
          <w:rFonts w:ascii="Arial" w:hAnsi="Arial" w:cs="Arial"/>
        </w:rPr>
        <w:t>self</w:t>
      </w:r>
      <w:r w:rsidR="0035425D" w:rsidRPr="00212F5D">
        <w:rPr>
          <w:rFonts w:ascii="Arial" w:hAnsi="Arial" w:cs="Arial"/>
        </w:rPr>
        <w:t xml:space="preserve"> in financial distress</w:t>
      </w:r>
      <w:r w:rsidR="00F61AC1" w:rsidRPr="00212F5D">
        <w:rPr>
          <w:rFonts w:ascii="Arial" w:hAnsi="Arial" w:cs="Arial"/>
        </w:rPr>
        <w:t xml:space="preserve">. The CVA has as its aim </w:t>
      </w:r>
      <w:r w:rsidR="0035425D" w:rsidRPr="00212F5D">
        <w:rPr>
          <w:rFonts w:ascii="Arial" w:hAnsi="Arial" w:cs="Arial"/>
        </w:rPr>
        <w:t xml:space="preserve">facilitating an agreement between a company and its unsecured creditors. </w:t>
      </w:r>
    </w:p>
    <w:p w14:paraId="1DE8DF04" w14:textId="4A516F12" w:rsidR="00F507D2" w:rsidRPr="00212F5D" w:rsidRDefault="00F61AC1" w:rsidP="00F11E92">
      <w:pPr>
        <w:spacing w:after="120" w:line="360" w:lineRule="auto"/>
        <w:jc w:val="both"/>
        <w:rPr>
          <w:rFonts w:ascii="Arial" w:hAnsi="Arial" w:cs="Arial"/>
        </w:rPr>
      </w:pPr>
      <w:r w:rsidRPr="00212F5D">
        <w:rPr>
          <w:rFonts w:ascii="Arial" w:hAnsi="Arial" w:cs="Arial"/>
        </w:rPr>
        <w:t xml:space="preserve"> </w:t>
      </w:r>
      <w:r w:rsidRPr="00212F5D">
        <w:rPr>
          <w:rFonts w:ascii="Arial" w:hAnsi="Arial" w:cs="Arial"/>
        </w:rPr>
        <w:tab/>
      </w:r>
      <w:r w:rsidR="0035425D" w:rsidRPr="00212F5D">
        <w:rPr>
          <w:rFonts w:ascii="Arial" w:hAnsi="Arial" w:cs="Arial"/>
        </w:rPr>
        <w:t xml:space="preserve">The CVA process </w:t>
      </w:r>
      <w:r w:rsidRPr="00212F5D">
        <w:rPr>
          <w:rFonts w:ascii="Arial" w:hAnsi="Arial" w:cs="Arial"/>
        </w:rPr>
        <w:t xml:space="preserve">requires the appointment of </w:t>
      </w:r>
      <w:r w:rsidR="0035425D" w:rsidRPr="00212F5D">
        <w:rPr>
          <w:rFonts w:ascii="Arial" w:hAnsi="Arial" w:cs="Arial"/>
        </w:rPr>
        <w:t>an Insolvency Practitioner</w:t>
      </w:r>
      <w:r w:rsidR="00FB0716" w:rsidRPr="00212F5D">
        <w:rPr>
          <w:rFonts w:ascii="Arial" w:hAnsi="Arial" w:cs="Arial"/>
        </w:rPr>
        <w:t xml:space="preserve"> (termed a </w:t>
      </w:r>
      <w:r w:rsidR="00C86836" w:rsidRPr="00212F5D">
        <w:rPr>
          <w:rFonts w:ascii="Arial" w:hAnsi="Arial" w:cs="Arial"/>
        </w:rPr>
        <w:t>“N</w:t>
      </w:r>
      <w:r w:rsidR="00FB0716" w:rsidRPr="00212F5D">
        <w:rPr>
          <w:rFonts w:ascii="Arial" w:hAnsi="Arial" w:cs="Arial"/>
        </w:rPr>
        <w:t>ominee</w:t>
      </w:r>
      <w:r w:rsidR="00C86836" w:rsidRPr="00212F5D">
        <w:rPr>
          <w:rFonts w:ascii="Arial" w:hAnsi="Arial" w:cs="Arial"/>
        </w:rPr>
        <w:t>”</w:t>
      </w:r>
      <w:r w:rsidR="00FB0716" w:rsidRPr="00212F5D">
        <w:rPr>
          <w:rFonts w:ascii="Arial" w:hAnsi="Arial" w:cs="Arial"/>
        </w:rPr>
        <w:t>)</w:t>
      </w:r>
      <w:r w:rsidR="00784C3B" w:rsidRPr="00212F5D">
        <w:rPr>
          <w:rFonts w:ascii="Arial" w:hAnsi="Arial" w:cs="Arial"/>
        </w:rPr>
        <w:t xml:space="preserve">. </w:t>
      </w:r>
      <w:r w:rsidR="00CD17C1" w:rsidRPr="00212F5D">
        <w:rPr>
          <w:rFonts w:ascii="Arial" w:hAnsi="Arial" w:cs="Arial"/>
        </w:rPr>
        <w:t>The N</w:t>
      </w:r>
      <w:r w:rsidRPr="00212F5D">
        <w:rPr>
          <w:rFonts w:ascii="Arial" w:hAnsi="Arial" w:cs="Arial"/>
        </w:rPr>
        <w:t>ominee</w:t>
      </w:r>
      <w:r w:rsidR="00CD17C1" w:rsidRPr="00212F5D">
        <w:rPr>
          <w:rFonts w:ascii="Arial" w:hAnsi="Arial" w:cs="Arial"/>
        </w:rPr>
        <w:t xml:space="preserve"> </w:t>
      </w:r>
      <w:r w:rsidR="00C86836" w:rsidRPr="00212F5D">
        <w:rPr>
          <w:rFonts w:ascii="Arial" w:hAnsi="Arial" w:cs="Arial"/>
        </w:rPr>
        <w:t xml:space="preserve">is expected </w:t>
      </w:r>
      <w:r w:rsidR="00CD17C1" w:rsidRPr="00212F5D">
        <w:rPr>
          <w:rFonts w:ascii="Arial" w:hAnsi="Arial" w:cs="Arial"/>
        </w:rPr>
        <w:t xml:space="preserve">to be </w:t>
      </w:r>
      <w:r w:rsidR="00C86836" w:rsidRPr="00212F5D">
        <w:rPr>
          <w:rFonts w:ascii="Arial" w:hAnsi="Arial" w:cs="Arial"/>
        </w:rPr>
        <w:t xml:space="preserve">an </w:t>
      </w:r>
      <w:r w:rsidR="00CD17C1" w:rsidRPr="00212F5D">
        <w:rPr>
          <w:rFonts w:ascii="Arial" w:hAnsi="Arial" w:cs="Arial"/>
        </w:rPr>
        <w:t xml:space="preserve">independent and impartial restructuring professional that </w:t>
      </w:r>
      <w:r w:rsidRPr="00212F5D">
        <w:rPr>
          <w:rFonts w:ascii="Arial" w:hAnsi="Arial" w:cs="Arial"/>
        </w:rPr>
        <w:t>drive</w:t>
      </w:r>
      <w:r w:rsidR="00C86836" w:rsidRPr="00212F5D">
        <w:rPr>
          <w:rFonts w:ascii="Arial" w:hAnsi="Arial" w:cs="Arial"/>
        </w:rPr>
        <w:t>s</w:t>
      </w:r>
      <w:r w:rsidRPr="00212F5D">
        <w:rPr>
          <w:rFonts w:ascii="Arial" w:hAnsi="Arial" w:cs="Arial"/>
        </w:rPr>
        <w:t xml:space="preserve"> the </w:t>
      </w:r>
      <w:r w:rsidR="000A2AAE" w:rsidRPr="00212F5D">
        <w:rPr>
          <w:rFonts w:ascii="Arial" w:hAnsi="Arial" w:cs="Arial"/>
        </w:rPr>
        <w:t xml:space="preserve">restructuring </w:t>
      </w:r>
      <w:r w:rsidRPr="00212F5D">
        <w:rPr>
          <w:rFonts w:ascii="Arial" w:hAnsi="Arial" w:cs="Arial"/>
        </w:rPr>
        <w:t xml:space="preserve">process </w:t>
      </w:r>
      <w:r w:rsidR="00C86836" w:rsidRPr="00212F5D">
        <w:rPr>
          <w:rFonts w:ascii="Arial" w:hAnsi="Arial" w:cs="Arial"/>
        </w:rPr>
        <w:t>by</w:t>
      </w:r>
      <w:r w:rsidRPr="00212F5D">
        <w:rPr>
          <w:rFonts w:ascii="Arial" w:hAnsi="Arial" w:cs="Arial"/>
        </w:rPr>
        <w:t xml:space="preserve"> </w:t>
      </w:r>
      <w:r w:rsidR="00784C3B" w:rsidRPr="00212F5D">
        <w:rPr>
          <w:rFonts w:ascii="Arial" w:hAnsi="Arial" w:cs="Arial"/>
        </w:rPr>
        <w:t>assist</w:t>
      </w:r>
      <w:r w:rsidR="00C86836" w:rsidRPr="00212F5D">
        <w:rPr>
          <w:rFonts w:ascii="Arial" w:hAnsi="Arial" w:cs="Arial"/>
        </w:rPr>
        <w:t>ing</w:t>
      </w:r>
      <w:r w:rsidR="00784C3B" w:rsidRPr="00212F5D">
        <w:rPr>
          <w:rFonts w:ascii="Arial" w:hAnsi="Arial" w:cs="Arial"/>
        </w:rPr>
        <w:t xml:space="preserve"> the board of directors in formulating a proposal which </w:t>
      </w:r>
      <w:r w:rsidRPr="00212F5D">
        <w:rPr>
          <w:rFonts w:ascii="Arial" w:hAnsi="Arial" w:cs="Arial"/>
        </w:rPr>
        <w:t>will be voted on by</w:t>
      </w:r>
      <w:r w:rsidR="00FB0716" w:rsidRPr="00212F5D">
        <w:rPr>
          <w:rFonts w:ascii="Arial" w:hAnsi="Arial" w:cs="Arial"/>
        </w:rPr>
        <w:t xml:space="preserve"> both shareholder</w:t>
      </w:r>
      <w:r w:rsidRPr="00212F5D">
        <w:rPr>
          <w:rFonts w:ascii="Arial" w:hAnsi="Arial" w:cs="Arial"/>
        </w:rPr>
        <w:t>/</w:t>
      </w:r>
      <w:r w:rsidR="00FB0716" w:rsidRPr="00212F5D">
        <w:rPr>
          <w:rFonts w:ascii="Arial" w:hAnsi="Arial" w:cs="Arial"/>
        </w:rPr>
        <w:t xml:space="preserve">s and </w:t>
      </w:r>
      <w:r w:rsidR="00784C3B" w:rsidRPr="00212F5D">
        <w:rPr>
          <w:rFonts w:ascii="Arial" w:hAnsi="Arial" w:cs="Arial"/>
        </w:rPr>
        <w:t>creditors.</w:t>
      </w:r>
      <w:r w:rsidRPr="00212F5D">
        <w:rPr>
          <w:rFonts w:ascii="Arial" w:hAnsi="Arial" w:cs="Arial"/>
        </w:rPr>
        <w:t xml:space="preserve"> </w:t>
      </w:r>
      <w:r w:rsidR="00784C3B" w:rsidRPr="00212F5D">
        <w:rPr>
          <w:rFonts w:ascii="Arial" w:hAnsi="Arial" w:cs="Arial"/>
        </w:rPr>
        <w:t xml:space="preserve">Approval of a CVA requires </w:t>
      </w:r>
      <w:r w:rsidR="00FB0716" w:rsidRPr="00212F5D">
        <w:rPr>
          <w:rFonts w:ascii="Arial" w:hAnsi="Arial" w:cs="Arial"/>
        </w:rPr>
        <w:t xml:space="preserve">unsecured creditors representing no less than </w:t>
      </w:r>
      <w:r w:rsidR="00784C3B" w:rsidRPr="00212F5D">
        <w:rPr>
          <w:rFonts w:ascii="Arial" w:hAnsi="Arial" w:cs="Arial"/>
        </w:rPr>
        <w:t>three-quarters</w:t>
      </w:r>
      <w:r w:rsidR="00FB0716" w:rsidRPr="00212F5D">
        <w:rPr>
          <w:rFonts w:ascii="Arial" w:hAnsi="Arial" w:cs="Arial"/>
        </w:rPr>
        <w:t xml:space="preserve"> in value to vote in </w:t>
      </w:r>
      <w:proofErr w:type="spellStart"/>
      <w:r w:rsidR="00784C3B" w:rsidRPr="00212F5D">
        <w:rPr>
          <w:rFonts w:ascii="Arial" w:hAnsi="Arial" w:cs="Arial"/>
        </w:rPr>
        <w:t>favour</w:t>
      </w:r>
      <w:proofErr w:type="spellEnd"/>
      <w:r w:rsidR="00784C3B" w:rsidRPr="00212F5D">
        <w:rPr>
          <w:rFonts w:ascii="Arial" w:hAnsi="Arial" w:cs="Arial"/>
        </w:rPr>
        <w:t xml:space="preserve"> of the </w:t>
      </w:r>
      <w:r w:rsidRPr="00212F5D">
        <w:rPr>
          <w:rFonts w:ascii="Arial" w:hAnsi="Arial" w:cs="Arial"/>
        </w:rPr>
        <w:t>p</w:t>
      </w:r>
      <w:r w:rsidR="0076090E" w:rsidRPr="00212F5D">
        <w:rPr>
          <w:rFonts w:ascii="Arial" w:hAnsi="Arial" w:cs="Arial"/>
        </w:rPr>
        <w:t>roposal.</w:t>
      </w:r>
      <w:r w:rsidR="00784C3B" w:rsidRPr="00212F5D">
        <w:rPr>
          <w:rFonts w:ascii="Arial" w:hAnsi="Arial" w:cs="Arial"/>
        </w:rPr>
        <w:t xml:space="preserve"> </w:t>
      </w:r>
      <w:r w:rsidR="00D5270B" w:rsidRPr="00212F5D">
        <w:rPr>
          <w:rFonts w:ascii="Arial" w:hAnsi="Arial" w:cs="Arial"/>
        </w:rPr>
        <w:t xml:space="preserve">All unsecured creditors (including those that are not being asked to compromise their debt) are given a vote on the </w:t>
      </w:r>
      <w:r w:rsidR="0076090E" w:rsidRPr="00212F5D">
        <w:rPr>
          <w:rFonts w:ascii="Arial" w:hAnsi="Arial" w:cs="Arial"/>
        </w:rPr>
        <w:t>p</w:t>
      </w:r>
      <w:r w:rsidR="00D5270B" w:rsidRPr="00212F5D">
        <w:rPr>
          <w:rFonts w:ascii="Arial" w:hAnsi="Arial" w:cs="Arial"/>
        </w:rPr>
        <w:t xml:space="preserve">roposal. </w:t>
      </w:r>
      <w:r w:rsidR="00784C3B" w:rsidRPr="00212F5D">
        <w:rPr>
          <w:rFonts w:ascii="Arial" w:hAnsi="Arial" w:cs="Arial"/>
        </w:rPr>
        <w:t xml:space="preserve">If approved </w:t>
      </w:r>
      <w:r w:rsidR="00D5270B" w:rsidRPr="00212F5D">
        <w:rPr>
          <w:rFonts w:ascii="Arial" w:hAnsi="Arial" w:cs="Arial"/>
        </w:rPr>
        <w:t>by the requisite majorit</w:t>
      </w:r>
      <w:r w:rsidR="0076090E" w:rsidRPr="00212F5D">
        <w:rPr>
          <w:rFonts w:ascii="Arial" w:hAnsi="Arial" w:cs="Arial"/>
        </w:rPr>
        <w:t>y</w:t>
      </w:r>
      <w:r w:rsidR="00D5270B" w:rsidRPr="00212F5D">
        <w:rPr>
          <w:rFonts w:ascii="Arial" w:hAnsi="Arial" w:cs="Arial"/>
        </w:rPr>
        <w:t xml:space="preserve"> </w:t>
      </w:r>
      <w:r w:rsidR="00784C3B" w:rsidRPr="00212F5D">
        <w:rPr>
          <w:rFonts w:ascii="Arial" w:hAnsi="Arial" w:cs="Arial"/>
        </w:rPr>
        <w:t>the CVA</w:t>
      </w:r>
      <w:r w:rsidR="00601517" w:rsidRPr="00212F5D">
        <w:rPr>
          <w:rFonts w:ascii="Arial" w:hAnsi="Arial" w:cs="Arial"/>
        </w:rPr>
        <w:t xml:space="preserve"> will bind all unsecured creditors (including those that dissented or chose not to participate).</w:t>
      </w:r>
      <w:r w:rsidR="0035425D" w:rsidRPr="00212F5D">
        <w:rPr>
          <w:rFonts w:ascii="Arial" w:hAnsi="Arial" w:cs="Arial"/>
        </w:rPr>
        <w:t xml:space="preserve"> </w:t>
      </w:r>
      <w:r w:rsidR="003D7A28" w:rsidRPr="00212F5D">
        <w:rPr>
          <w:rFonts w:ascii="Arial" w:hAnsi="Arial" w:cs="Arial"/>
        </w:rPr>
        <w:t xml:space="preserve">Among the benefits of </w:t>
      </w:r>
      <w:r w:rsidR="00C86836" w:rsidRPr="00212F5D">
        <w:rPr>
          <w:rFonts w:ascii="Arial" w:hAnsi="Arial" w:cs="Arial"/>
        </w:rPr>
        <w:t xml:space="preserve">a </w:t>
      </w:r>
      <w:r w:rsidR="003D7A28" w:rsidRPr="00212F5D">
        <w:rPr>
          <w:rFonts w:ascii="Arial" w:hAnsi="Arial" w:cs="Arial"/>
        </w:rPr>
        <w:t>CVA is that there is limited court involvement</w:t>
      </w:r>
      <w:r w:rsidR="0076090E" w:rsidRPr="00212F5D">
        <w:rPr>
          <w:rFonts w:ascii="Arial" w:hAnsi="Arial" w:cs="Arial"/>
        </w:rPr>
        <w:t xml:space="preserve"> which may mean that the CVA is </w:t>
      </w:r>
      <w:r w:rsidR="00C86836" w:rsidRPr="00212F5D">
        <w:rPr>
          <w:rFonts w:ascii="Arial" w:hAnsi="Arial" w:cs="Arial"/>
        </w:rPr>
        <w:t xml:space="preserve">more </w:t>
      </w:r>
      <w:r w:rsidR="0076090E" w:rsidRPr="00212F5D">
        <w:rPr>
          <w:rFonts w:ascii="Arial" w:hAnsi="Arial" w:cs="Arial"/>
        </w:rPr>
        <w:t>cost</w:t>
      </w:r>
      <w:r w:rsidR="00C86836" w:rsidRPr="00212F5D">
        <w:rPr>
          <w:rFonts w:ascii="Arial" w:hAnsi="Arial" w:cs="Arial"/>
        </w:rPr>
        <w:t>-</w:t>
      </w:r>
      <w:r w:rsidR="0076090E" w:rsidRPr="00212F5D">
        <w:rPr>
          <w:rFonts w:ascii="Arial" w:hAnsi="Arial" w:cs="Arial"/>
        </w:rPr>
        <w:t xml:space="preserve">efficient and less cumbersome than </w:t>
      </w:r>
      <w:r w:rsidR="00C86836" w:rsidRPr="00212F5D">
        <w:rPr>
          <w:rFonts w:ascii="Arial" w:hAnsi="Arial" w:cs="Arial"/>
        </w:rPr>
        <w:t xml:space="preserve">more court intensive </w:t>
      </w:r>
      <w:r w:rsidR="0076090E" w:rsidRPr="00212F5D">
        <w:rPr>
          <w:rFonts w:ascii="Arial" w:hAnsi="Arial" w:cs="Arial"/>
        </w:rPr>
        <w:t>restructuring process</w:t>
      </w:r>
      <w:r w:rsidR="00C86836" w:rsidRPr="00212F5D">
        <w:rPr>
          <w:rFonts w:ascii="Arial" w:hAnsi="Arial" w:cs="Arial"/>
        </w:rPr>
        <w:t>es</w:t>
      </w:r>
      <w:r w:rsidR="0076090E" w:rsidRPr="00212F5D">
        <w:rPr>
          <w:rFonts w:ascii="Arial" w:hAnsi="Arial" w:cs="Arial"/>
        </w:rPr>
        <w:t>.</w:t>
      </w:r>
      <w:r w:rsidR="00F4490C" w:rsidRPr="00212F5D">
        <w:rPr>
          <w:rFonts w:ascii="Arial" w:hAnsi="Arial" w:cs="Arial"/>
        </w:rPr>
        <w:t xml:space="preserve"> </w:t>
      </w:r>
    </w:p>
    <w:p w14:paraId="405039B6" w14:textId="4D72F964" w:rsidR="003D7A28" w:rsidRPr="00212F5D" w:rsidRDefault="00C86C37" w:rsidP="00F11E92">
      <w:pPr>
        <w:spacing w:after="120" w:line="360" w:lineRule="auto"/>
        <w:rPr>
          <w:rFonts w:ascii="Arial" w:hAnsi="Arial" w:cs="Arial"/>
        </w:rPr>
      </w:pPr>
      <w:r w:rsidRPr="00212F5D">
        <w:rPr>
          <w:rFonts w:ascii="Arial" w:hAnsi="Arial" w:cs="Arial"/>
        </w:rPr>
        <w:tab/>
        <w:t xml:space="preserve">Some </w:t>
      </w:r>
      <w:r w:rsidR="000A2AAE" w:rsidRPr="00212F5D">
        <w:rPr>
          <w:rFonts w:ascii="Arial" w:hAnsi="Arial" w:cs="Arial"/>
        </w:rPr>
        <w:t xml:space="preserve">aspects </w:t>
      </w:r>
      <w:r w:rsidRPr="00212F5D">
        <w:rPr>
          <w:rFonts w:ascii="Arial" w:hAnsi="Arial" w:cs="Arial"/>
        </w:rPr>
        <w:t>of CVAs</w:t>
      </w:r>
      <w:r w:rsidR="000A2AAE" w:rsidRPr="00212F5D">
        <w:rPr>
          <w:rFonts w:ascii="Arial" w:hAnsi="Arial" w:cs="Arial"/>
        </w:rPr>
        <w:t xml:space="preserve"> to note are:</w:t>
      </w:r>
    </w:p>
    <w:p w14:paraId="12A133C0" w14:textId="309B2E20" w:rsidR="003D7A28" w:rsidRPr="00212F5D" w:rsidRDefault="000A2AAE" w:rsidP="00F11E92">
      <w:pPr>
        <w:pStyle w:val="ListParagraph"/>
        <w:numPr>
          <w:ilvl w:val="0"/>
          <w:numId w:val="14"/>
        </w:numPr>
        <w:spacing w:after="120" w:line="360" w:lineRule="auto"/>
        <w:rPr>
          <w:rFonts w:ascii="Arial" w:hAnsi="Arial" w:cs="Arial"/>
        </w:rPr>
      </w:pPr>
      <w:r w:rsidRPr="00212F5D">
        <w:rPr>
          <w:rFonts w:ascii="Arial" w:hAnsi="Arial" w:cs="Arial"/>
        </w:rPr>
        <w:t xml:space="preserve">Board of directors </w:t>
      </w:r>
      <w:r w:rsidR="003D7A28" w:rsidRPr="00212F5D">
        <w:rPr>
          <w:rFonts w:ascii="Arial" w:hAnsi="Arial" w:cs="Arial"/>
        </w:rPr>
        <w:t>remains in control</w:t>
      </w:r>
      <w:r w:rsidRPr="00212F5D">
        <w:rPr>
          <w:rFonts w:ascii="Arial" w:hAnsi="Arial" w:cs="Arial"/>
        </w:rPr>
        <w:t xml:space="preserve"> (i.e. debtor-in-possession)</w:t>
      </w:r>
      <w:r w:rsidR="00994CF7" w:rsidRPr="00212F5D">
        <w:rPr>
          <w:rFonts w:ascii="Arial" w:hAnsi="Arial" w:cs="Arial"/>
        </w:rPr>
        <w:t>.</w:t>
      </w:r>
    </w:p>
    <w:p w14:paraId="282D67D2" w14:textId="2B4891A8" w:rsidR="00C96814" w:rsidRPr="00212F5D" w:rsidRDefault="003D7A28" w:rsidP="00F11E92">
      <w:pPr>
        <w:pStyle w:val="ListParagraph"/>
        <w:numPr>
          <w:ilvl w:val="0"/>
          <w:numId w:val="14"/>
        </w:numPr>
        <w:spacing w:after="120" w:line="360" w:lineRule="auto"/>
        <w:rPr>
          <w:rFonts w:ascii="Arial" w:hAnsi="Arial" w:cs="Arial"/>
        </w:rPr>
      </w:pPr>
      <w:r w:rsidRPr="00212F5D">
        <w:rPr>
          <w:rFonts w:ascii="Arial" w:hAnsi="Arial" w:cs="Arial"/>
        </w:rPr>
        <w:t>CVAs cannot compromise secured debt unless the secured creditor consents</w:t>
      </w:r>
      <w:r w:rsidR="00994CF7" w:rsidRPr="00212F5D">
        <w:rPr>
          <w:rFonts w:ascii="Arial" w:hAnsi="Arial" w:cs="Arial"/>
        </w:rPr>
        <w:t>.</w:t>
      </w:r>
      <w:r w:rsidRPr="00212F5D">
        <w:rPr>
          <w:rFonts w:ascii="Arial" w:hAnsi="Arial" w:cs="Arial"/>
        </w:rPr>
        <w:t xml:space="preserve"> </w:t>
      </w:r>
    </w:p>
    <w:p w14:paraId="47E30187" w14:textId="1CB322A2" w:rsidR="00C86C37" w:rsidRPr="00212F5D" w:rsidRDefault="00C96814" w:rsidP="00F11E92">
      <w:pPr>
        <w:pStyle w:val="ListParagraph"/>
        <w:numPr>
          <w:ilvl w:val="0"/>
          <w:numId w:val="14"/>
        </w:numPr>
        <w:spacing w:after="120" w:line="360" w:lineRule="auto"/>
        <w:rPr>
          <w:rFonts w:ascii="Arial" w:hAnsi="Arial" w:cs="Arial"/>
        </w:rPr>
      </w:pPr>
      <w:r w:rsidRPr="00212F5D">
        <w:rPr>
          <w:rFonts w:ascii="Arial" w:hAnsi="Arial" w:cs="Arial"/>
        </w:rPr>
        <w:t>creditors vote as a single class.</w:t>
      </w:r>
      <w:r w:rsidR="00C86C37" w:rsidRPr="00212F5D">
        <w:rPr>
          <w:rFonts w:ascii="Arial" w:hAnsi="Arial" w:cs="Arial"/>
        </w:rPr>
        <w:t xml:space="preserve"> </w:t>
      </w:r>
    </w:p>
    <w:p w14:paraId="1D6D2A10" w14:textId="0311D88A" w:rsidR="00686D9E" w:rsidRPr="00212F5D" w:rsidRDefault="00686D9E" w:rsidP="00F11E92">
      <w:pPr>
        <w:spacing w:after="120" w:line="360" w:lineRule="auto"/>
        <w:ind w:firstLine="720"/>
        <w:jc w:val="both"/>
        <w:rPr>
          <w:rFonts w:ascii="Arial" w:hAnsi="Arial" w:cs="Arial"/>
        </w:rPr>
      </w:pPr>
      <w:r w:rsidRPr="00212F5D">
        <w:rPr>
          <w:rFonts w:ascii="Arial" w:hAnsi="Arial" w:cs="Arial"/>
        </w:rPr>
        <w:t>CVAs have been used in a number of high-profile restructurings in the retail industry</w:t>
      </w:r>
      <w:r w:rsidRPr="00212F5D">
        <w:rPr>
          <w:rStyle w:val="FootnoteReference"/>
          <w:rFonts w:ascii="Arial" w:hAnsi="Arial" w:cs="Arial"/>
        </w:rPr>
        <w:footnoteReference w:id="14"/>
      </w:r>
      <w:r w:rsidR="009B7107" w:rsidRPr="00212F5D">
        <w:rPr>
          <w:rFonts w:ascii="Arial" w:hAnsi="Arial" w:cs="Arial"/>
        </w:rPr>
        <w:t xml:space="preserve"> including </w:t>
      </w:r>
      <w:r w:rsidRPr="00212F5D">
        <w:rPr>
          <w:rFonts w:ascii="Arial" w:hAnsi="Arial" w:cs="Arial"/>
          <w:i/>
          <w:iCs/>
          <w:u w:val="single"/>
        </w:rPr>
        <w:t>Toys R Us (UK)</w:t>
      </w:r>
      <w:r w:rsidRPr="00212F5D">
        <w:rPr>
          <w:rFonts w:ascii="Arial" w:hAnsi="Arial" w:cs="Arial"/>
        </w:rPr>
        <w:t xml:space="preserve"> (2018), </w:t>
      </w:r>
      <w:r w:rsidRPr="00212F5D">
        <w:rPr>
          <w:rFonts w:ascii="Arial" w:hAnsi="Arial" w:cs="Arial"/>
          <w:i/>
          <w:iCs/>
          <w:u w:val="single"/>
        </w:rPr>
        <w:t xml:space="preserve">Jamie’s Italian </w:t>
      </w:r>
      <w:r w:rsidR="0008647B" w:rsidRPr="00212F5D">
        <w:rPr>
          <w:rFonts w:ascii="Arial" w:hAnsi="Arial" w:cs="Arial"/>
          <w:i/>
          <w:iCs/>
          <w:u w:val="single"/>
        </w:rPr>
        <w:t>Limited</w:t>
      </w:r>
      <w:r w:rsidR="0008647B" w:rsidRPr="00212F5D">
        <w:rPr>
          <w:rFonts w:ascii="Arial" w:hAnsi="Arial" w:cs="Arial"/>
        </w:rPr>
        <w:t xml:space="preserve"> </w:t>
      </w:r>
      <w:r w:rsidRPr="00212F5D">
        <w:rPr>
          <w:rFonts w:ascii="Arial" w:hAnsi="Arial" w:cs="Arial"/>
        </w:rPr>
        <w:t xml:space="preserve">(2018), </w:t>
      </w:r>
      <w:proofErr w:type="spellStart"/>
      <w:proofErr w:type="gramStart"/>
      <w:r w:rsidRPr="00212F5D">
        <w:rPr>
          <w:rFonts w:ascii="Arial" w:hAnsi="Arial" w:cs="Arial"/>
          <w:i/>
          <w:iCs/>
          <w:u w:val="single"/>
        </w:rPr>
        <w:t>Mothercare</w:t>
      </w:r>
      <w:proofErr w:type="spellEnd"/>
      <w:proofErr w:type="gramEnd"/>
      <w:r w:rsidRPr="00212F5D">
        <w:rPr>
          <w:rFonts w:ascii="Arial" w:hAnsi="Arial" w:cs="Arial"/>
          <w:i/>
          <w:iCs/>
          <w:u w:val="single"/>
        </w:rPr>
        <w:t xml:space="preserve"> </w:t>
      </w:r>
      <w:proofErr w:type="spellStart"/>
      <w:r w:rsidRPr="00212F5D">
        <w:rPr>
          <w:rFonts w:ascii="Arial" w:hAnsi="Arial" w:cs="Arial"/>
          <w:i/>
          <w:iCs/>
          <w:u w:val="single"/>
        </w:rPr>
        <w:t>plc</w:t>
      </w:r>
      <w:proofErr w:type="spellEnd"/>
      <w:r w:rsidRPr="00212F5D">
        <w:rPr>
          <w:rFonts w:ascii="Arial" w:hAnsi="Arial" w:cs="Arial"/>
        </w:rPr>
        <w:t xml:space="preserve"> (2019). </w:t>
      </w:r>
    </w:p>
    <w:p w14:paraId="702CD75E" w14:textId="601E873E" w:rsidR="00465CA1" w:rsidRPr="00212F5D" w:rsidRDefault="00465CA1" w:rsidP="00F11E92">
      <w:pPr>
        <w:pStyle w:val="Heading4"/>
        <w:spacing w:after="120" w:line="360" w:lineRule="auto"/>
        <w:rPr>
          <w:rFonts w:ascii="Arial" w:hAnsi="Arial" w:cs="Arial"/>
        </w:rPr>
      </w:pPr>
      <w:r w:rsidRPr="00212F5D">
        <w:rPr>
          <w:rFonts w:ascii="Arial" w:hAnsi="Arial" w:cs="Arial"/>
        </w:rPr>
        <w:t>Administration</w:t>
      </w:r>
    </w:p>
    <w:p w14:paraId="6381DA62" w14:textId="5FA70E08" w:rsidR="00DD76DF" w:rsidRPr="00212F5D" w:rsidRDefault="00B65492" w:rsidP="00F11E92">
      <w:pPr>
        <w:spacing w:after="120" w:line="360" w:lineRule="auto"/>
        <w:jc w:val="both"/>
        <w:rPr>
          <w:rFonts w:ascii="Arial" w:hAnsi="Arial" w:cs="Arial"/>
        </w:rPr>
      </w:pPr>
      <w:r w:rsidRPr="00212F5D">
        <w:rPr>
          <w:rFonts w:ascii="Arial" w:hAnsi="Arial" w:cs="Arial"/>
        </w:rPr>
        <w:tab/>
        <w:t xml:space="preserve">The law relating to Administration is </w:t>
      </w:r>
      <w:r w:rsidR="00BC15C5" w:rsidRPr="00212F5D">
        <w:rPr>
          <w:rFonts w:ascii="Arial" w:hAnsi="Arial" w:cs="Arial"/>
        </w:rPr>
        <w:t xml:space="preserve">also </w:t>
      </w:r>
      <w:r w:rsidRPr="00212F5D">
        <w:rPr>
          <w:rFonts w:ascii="Arial" w:hAnsi="Arial" w:cs="Arial"/>
        </w:rPr>
        <w:t xml:space="preserve">found in </w:t>
      </w:r>
      <w:r w:rsidR="005164C1" w:rsidRPr="00212F5D">
        <w:rPr>
          <w:rFonts w:ascii="Arial" w:hAnsi="Arial" w:cs="Arial"/>
        </w:rPr>
        <w:t>the Insolvency Act, 1986</w:t>
      </w:r>
      <w:r w:rsidR="006A6FF1">
        <w:rPr>
          <w:rStyle w:val="FootnoteReference"/>
          <w:rFonts w:ascii="Arial" w:hAnsi="Arial" w:cs="Arial"/>
        </w:rPr>
        <w:footnoteReference w:id="15"/>
      </w:r>
      <w:r w:rsidR="005164C1" w:rsidRPr="00212F5D">
        <w:rPr>
          <w:rFonts w:ascii="Arial" w:hAnsi="Arial" w:cs="Arial"/>
        </w:rPr>
        <w:t xml:space="preserve">. Administration </w:t>
      </w:r>
      <w:r w:rsidR="00BC15C5" w:rsidRPr="00212F5D">
        <w:rPr>
          <w:rFonts w:ascii="Arial" w:hAnsi="Arial" w:cs="Arial"/>
        </w:rPr>
        <w:t xml:space="preserve">also </w:t>
      </w:r>
      <w:r w:rsidR="005164C1" w:rsidRPr="00212F5D">
        <w:rPr>
          <w:rFonts w:ascii="Arial" w:hAnsi="Arial" w:cs="Arial"/>
        </w:rPr>
        <w:t xml:space="preserve">involves the appointment of an Insolvency Practitioner (called an </w:t>
      </w:r>
      <w:r w:rsidR="00BC15C5" w:rsidRPr="00212F5D">
        <w:rPr>
          <w:rFonts w:ascii="Arial" w:hAnsi="Arial" w:cs="Arial"/>
        </w:rPr>
        <w:t>“</w:t>
      </w:r>
      <w:r w:rsidR="005164C1" w:rsidRPr="00212F5D">
        <w:rPr>
          <w:rFonts w:ascii="Arial" w:hAnsi="Arial" w:cs="Arial"/>
        </w:rPr>
        <w:t>Administrator</w:t>
      </w:r>
      <w:r w:rsidR="00BC15C5" w:rsidRPr="00212F5D">
        <w:rPr>
          <w:rFonts w:ascii="Arial" w:hAnsi="Arial" w:cs="Arial"/>
        </w:rPr>
        <w:t>”</w:t>
      </w:r>
      <w:r w:rsidR="005164C1" w:rsidRPr="00212F5D">
        <w:rPr>
          <w:rFonts w:ascii="Arial" w:hAnsi="Arial" w:cs="Arial"/>
        </w:rPr>
        <w:t xml:space="preserve">). </w:t>
      </w:r>
      <w:r w:rsidR="00DD76DF" w:rsidRPr="00212F5D">
        <w:rPr>
          <w:rFonts w:ascii="Arial" w:hAnsi="Arial" w:cs="Arial"/>
        </w:rPr>
        <w:t>The Administrator may be appointed either</w:t>
      </w:r>
      <w:r w:rsidR="0076090E" w:rsidRPr="00212F5D">
        <w:rPr>
          <w:rFonts w:ascii="Arial" w:hAnsi="Arial" w:cs="Arial"/>
        </w:rPr>
        <w:t xml:space="preserve"> pursuant to a</w:t>
      </w:r>
      <w:r w:rsidR="00DD76DF" w:rsidRPr="00212F5D">
        <w:rPr>
          <w:rFonts w:ascii="Arial" w:hAnsi="Arial" w:cs="Arial"/>
        </w:rPr>
        <w:t xml:space="preserve"> court</w:t>
      </w:r>
      <w:r w:rsidR="0076090E" w:rsidRPr="00212F5D">
        <w:rPr>
          <w:rFonts w:ascii="Arial" w:hAnsi="Arial" w:cs="Arial"/>
        </w:rPr>
        <w:t xml:space="preserve"> order</w:t>
      </w:r>
      <w:r w:rsidR="00DD76DF" w:rsidRPr="00212F5D">
        <w:rPr>
          <w:rFonts w:ascii="Arial" w:hAnsi="Arial" w:cs="Arial"/>
        </w:rPr>
        <w:t xml:space="preserve"> or out of court by </w:t>
      </w:r>
      <w:r w:rsidR="00B55DDB" w:rsidRPr="00212F5D">
        <w:rPr>
          <w:rFonts w:ascii="Arial" w:hAnsi="Arial" w:cs="Arial"/>
        </w:rPr>
        <w:t xml:space="preserve">the directors or </w:t>
      </w:r>
      <w:r w:rsidR="000A2AAE" w:rsidRPr="00212F5D">
        <w:rPr>
          <w:rFonts w:ascii="Arial" w:hAnsi="Arial" w:cs="Arial"/>
        </w:rPr>
        <w:t>certain</w:t>
      </w:r>
      <w:r w:rsidR="00BC15C5" w:rsidRPr="00212F5D">
        <w:rPr>
          <w:rFonts w:ascii="Arial" w:hAnsi="Arial" w:cs="Arial"/>
        </w:rPr>
        <w:t xml:space="preserve"> creditor</w:t>
      </w:r>
      <w:r w:rsidR="000A2AAE" w:rsidRPr="00212F5D">
        <w:rPr>
          <w:rFonts w:ascii="Arial" w:hAnsi="Arial" w:cs="Arial"/>
        </w:rPr>
        <w:t>s</w:t>
      </w:r>
      <w:r w:rsidR="000A2AAE" w:rsidRPr="00212F5D">
        <w:rPr>
          <w:rStyle w:val="FootnoteReference"/>
          <w:rFonts w:ascii="Arial" w:hAnsi="Arial" w:cs="Arial"/>
        </w:rPr>
        <w:footnoteReference w:id="16"/>
      </w:r>
      <w:r w:rsidR="00212F5D" w:rsidRPr="00212F5D">
        <w:rPr>
          <w:rFonts w:ascii="Arial" w:hAnsi="Arial" w:cs="Arial"/>
        </w:rPr>
        <w:t>.</w:t>
      </w:r>
    </w:p>
    <w:p w14:paraId="09AA395E" w14:textId="27F64E7A" w:rsidR="008A2165" w:rsidRPr="00212F5D" w:rsidRDefault="005164C1" w:rsidP="00F11E92">
      <w:pPr>
        <w:spacing w:after="120" w:line="360" w:lineRule="auto"/>
        <w:ind w:firstLine="720"/>
        <w:jc w:val="both"/>
        <w:rPr>
          <w:rFonts w:ascii="Arial" w:hAnsi="Arial" w:cs="Arial"/>
        </w:rPr>
      </w:pPr>
      <w:r w:rsidRPr="00212F5D">
        <w:rPr>
          <w:rFonts w:ascii="Arial" w:hAnsi="Arial" w:cs="Arial"/>
        </w:rPr>
        <w:lastRenderedPageBreak/>
        <w:t xml:space="preserve">The Administrator </w:t>
      </w:r>
      <w:r w:rsidR="00B55DDB" w:rsidRPr="00212F5D">
        <w:rPr>
          <w:rFonts w:ascii="Arial" w:hAnsi="Arial" w:cs="Arial"/>
        </w:rPr>
        <w:t xml:space="preserve">once appointed </w:t>
      </w:r>
      <w:r w:rsidRPr="00212F5D">
        <w:rPr>
          <w:rFonts w:ascii="Arial" w:hAnsi="Arial" w:cs="Arial"/>
        </w:rPr>
        <w:t>will take custody and control of the company</w:t>
      </w:r>
      <w:r w:rsidR="003014F3" w:rsidRPr="00212F5D">
        <w:rPr>
          <w:rFonts w:ascii="Arial" w:hAnsi="Arial" w:cs="Arial"/>
        </w:rPr>
        <w:t>’s assets</w:t>
      </w:r>
      <w:r w:rsidRPr="00212F5D">
        <w:rPr>
          <w:rFonts w:ascii="Arial" w:hAnsi="Arial" w:cs="Arial"/>
        </w:rPr>
        <w:t xml:space="preserve"> displacing the board of directo</w:t>
      </w:r>
      <w:r w:rsidR="00C531E0" w:rsidRPr="00212F5D">
        <w:rPr>
          <w:rFonts w:ascii="Arial" w:hAnsi="Arial" w:cs="Arial"/>
        </w:rPr>
        <w:t>r</w:t>
      </w:r>
      <w:r w:rsidRPr="00212F5D">
        <w:rPr>
          <w:rFonts w:ascii="Arial" w:hAnsi="Arial" w:cs="Arial"/>
        </w:rPr>
        <w:t>s. An</w:t>
      </w:r>
      <w:r w:rsidR="003014F3" w:rsidRPr="00212F5D">
        <w:rPr>
          <w:rFonts w:ascii="Arial" w:hAnsi="Arial" w:cs="Arial"/>
        </w:rPr>
        <w:t xml:space="preserve"> Administrator</w:t>
      </w:r>
      <w:r w:rsidRPr="00212F5D">
        <w:rPr>
          <w:rFonts w:ascii="Arial" w:hAnsi="Arial" w:cs="Arial"/>
        </w:rPr>
        <w:t xml:space="preserve"> </w:t>
      </w:r>
      <w:r w:rsidR="004164C9" w:rsidRPr="00212F5D">
        <w:rPr>
          <w:rFonts w:ascii="Arial" w:hAnsi="Arial" w:cs="Arial"/>
        </w:rPr>
        <w:t xml:space="preserve">has as </w:t>
      </w:r>
      <w:r w:rsidR="008A2165" w:rsidRPr="00212F5D">
        <w:rPr>
          <w:rFonts w:ascii="Arial" w:hAnsi="Arial" w:cs="Arial"/>
        </w:rPr>
        <w:t xml:space="preserve">a hierarchy of objectives; namely: </w:t>
      </w:r>
    </w:p>
    <w:p w14:paraId="179AB6F3" w14:textId="2BA251F9" w:rsidR="008A2165" w:rsidRPr="00212F5D" w:rsidRDefault="00BC15C5" w:rsidP="00F11E92">
      <w:pPr>
        <w:pStyle w:val="ListParagraph"/>
        <w:numPr>
          <w:ilvl w:val="0"/>
          <w:numId w:val="12"/>
        </w:numPr>
        <w:spacing w:after="120" w:line="360" w:lineRule="auto"/>
        <w:ind w:left="1440"/>
        <w:jc w:val="both"/>
        <w:rPr>
          <w:rFonts w:ascii="Arial" w:hAnsi="Arial" w:cs="Arial"/>
        </w:rPr>
      </w:pPr>
      <w:r w:rsidRPr="00212F5D">
        <w:rPr>
          <w:rFonts w:ascii="Arial" w:hAnsi="Arial" w:cs="Arial"/>
        </w:rPr>
        <w:t>F</w:t>
      </w:r>
      <w:r w:rsidR="004164C9" w:rsidRPr="00212F5D">
        <w:rPr>
          <w:rFonts w:ascii="Arial" w:hAnsi="Arial" w:cs="Arial"/>
        </w:rPr>
        <w:t>irst</w:t>
      </w:r>
      <w:r w:rsidRPr="00212F5D">
        <w:rPr>
          <w:rFonts w:ascii="Arial" w:hAnsi="Arial" w:cs="Arial"/>
        </w:rPr>
        <w:t xml:space="preserve">: </w:t>
      </w:r>
      <w:r w:rsidR="008A2165" w:rsidRPr="00212F5D">
        <w:rPr>
          <w:rFonts w:ascii="Arial" w:hAnsi="Arial" w:cs="Arial"/>
        </w:rPr>
        <w:t xml:space="preserve">to </w:t>
      </w:r>
      <w:r w:rsidR="004164C9" w:rsidRPr="00212F5D">
        <w:rPr>
          <w:rFonts w:ascii="Arial" w:hAnsi="Arial" w:cs="Arial"/>
        </w:rPr>
        <w:t xml:space="preserve">rescue of the company as a going concern. </w:t>
      </w:r>
    </w:p>
    <w:p w14:paraId="1AC3109A" w14:textId="3E2CE2F3" w:rsidR="008A2165" w:rsidRPr="00212F5D" w:rsidRDefault="00BC15C5" w:rsidP="00F11E92">
      <w:pPr>
        <w:pStyle w:val="ListParagraph"/>
        <w:numPr>
          <w:ilvl w:val="0"/>
          <w:numId w:val="12"/>
        </w:numPr>
        <w:spacing w:after="120" w:line="360" w:lineRule="auto"/>
        <w:ind w:left="1440"/>
        <w:jc w:val="both"/>
        <w:rPr>
          <w:rFonts w:ascii="Arial" w:hAnsi="Arial" w:cs="Arial"/>
        </w:rPr>
      </w:pPr>
      <w:r w:rsidRPr="00212F5D">
        <w:rPr>
          <w:rFonts w:ascii="Arial" w:hAnsi="Arial" w:cs="Arial"/>
        </w:rPr>
        <w:t>S</w:t>
      </w:r>
      <w:r w:rsidR="008A2165" w:rsidRPr="00212F5D">
        <w:rPr>
          <w:rFonts w:ascii="Arial" w:hAnsi="Arial" w:cs="Arial"/>
        </w:rPr>
        <w:t>econd</w:t>
      </w:r>
      <w:r w:rsidRPr="00212F5D">
        <w:rPr>
          <w:rFonts w:ascii="Arial" w:hAnsi="Arial" w:cs="Arial"/>
        </w:rPr>
        <w:t xml:space="preserve">: </w:t>
      </w:r>
      <w:r w:rsidR="004164C9" w:rsidRPr="00212F5D">
        <w:rPr>
          <w:rFonts w:ascii="Arial" w:hAnsi="Arial" w:cs="Arial"/>
        </w:rPr>
        <w:t>try to achieve a better result for the company’s creditors as a whole than would be likely if the company were put into liquidation.</w:t>
      </w:r>
    </w:p>
    <w:p w14:paraId="13C249D1" w14:textId="7B7485F4" w:rsidR="004164C9" w:rsidRPr="00212F5D" w:rsidRDefault="00BC15C5" w:rsidP="00F11E92">
      <w:pPr>
        <w:pStyle w:val="ListParagraph"/>
        <w:numPr>
          <w:ilvl w:val="0"/>
          <w:numId w:val="12"/>
        </w:numPr>
        <w:spacing w:after="120" w:line="360" w:lineRule="auto"/>
        <w:ind w:left="1440"/>
        <w:jc w:val="both"/>
        <w:rPr>
          <w:rFonts w:ascii="Arial" w:hAnsi="Arial" w:cs="Arial"/>
        </w:rPr>
      </w:pPr>
      <w:r w:rsidRPr="00212F5D">
        <w:rPr>
          <w:rFonts w:ascii="Arial" w:hAnsi="Arial" w:cs="Arial"/>
        </w:rPr>
        <w:t>T</w:t>
      </w:r>
      <w:r w:rsidR="008A2165" w:rsidRPr="00212F5D">
        <w:rPr>
          <w:rFonts w:ascii="Arial" w:hAnsi="Arial" w:cs="Arial"/>
        </w:rPr>
        <w:t>hird</w:t>
      </w:r>
      <w:r w:rsidRPr="00212F5D">
        <w:rPr>
          <w:rFonts w:ascii="Arial" w:hAnsi="Arial" w:cs="Arial"/>
        </w:rPr>
        <w:t xml:space="preserve">: </w:t>
      </w:r>
      <w:proofErr w:type="spellStart"/>
      <w:r w:rsidR="0008647B" w:rsidRPr="00212F5D">
        <w:rPr>
          <w:rFonts w:ascii="Arial" w:hAnsi="Arial" w:cs="Arial"/>
        </w:rPr>
        <w:t>realise</w:t>
      </w:r>
      <w:proofErr w:type="spellEnd"/>
      <w:r w:rsidR="0008647B" w:rsidRPr="00212F5D">
        <w:rPr>
          <w:rFonts w:ascii="Arial" w:hAnsi="Arial" w:cs="Arial"/>
        </w:rPr>
        <w:t xml:space="preserve"> the company’s property to make a distribution to the company’s preferential and secured creditors. </w:t>
      </w:r>
    </w:p>
    <w:p w14:paraId="0735B330" w14:textId="16E0FA7C" w:rsidR="004164C9" w:rsidRPr="00212F5D" w:rsidRDefault="00356BC9" w:rsidP="00F11E92">
      <w:pPr>
        <w:spacing w:after="120" w:line="360" w:lineRule="auto"/>
        <w:jc w:val="both"/>
        <w:rPr>
          <w:rFonts w:ascii="Arial" w:hAnsi="Arial" w:cs="Arial"/>
        </w:rPr>
      </w:pPr>
      <w:r w:rsidRPr="00212F5D">
        <w:rPr>
          <w:rFonts w:ascii="Arial" w:hAnsi="Arial" w:cs="Arial"/>
        </w:rPr>
        <w:tab/>
        <w:t>An important feature of Administration is an automatic statutory moratorium on enforcement</w:t>
      </w:r>
      <w:r w:rsidR="00BC15C5" w:rsidRPr="00212F5D">
        <w:rPr>
          <w:rFonts w:ascii="Arial" w:hAnsi="Arial" w:cs="Arial"/>
        </w:rPr>
        <w:t xml:space="preserve"> action</w:t>
      </w:r>
      <w:r w:rsidRPr="00212F5D">
        <w:rPr>
          <w:rFonts w:ascii="Arial" w:hAnsi="Arial" w:cs="Arial"/>
        </w:rPr>
        <w:t xml:space="preserve">. </w:t>
      </w:r>
      <w:r w:rsidR="008A2165" w:rsidRPr="00212F5D">
        <w:rPr>
          <w:rFonts w:ascii="Arial" w:hAnsi="Arial" w:cs="Arial"/>
        </w:rPr>
        <w:t>During the moratorium a</w:t>
      </w:r>
      <w:r w:rsidR="002D30A3" w:rsidRPr="00212F5D">
        <w:rPr>
          <w:rFonts w:ascii="Arial" w:hAnsi="Arial" w:cs="Arial"/>
        </w:rPr>
        <w:t xml:space="preserve">ll creditors (secured and unsecured) are prohibited from taking legal action against the company. </w:t>
      </w:r>
      <w:r w:rsidR="00D40E29" w:rsidRPr="00212F5D">
        <w:rPr>
          <w:rFonts w:ascii="Arial" w:hAnsi="Arial" w:cs="Arial"/>
        </w:rPr>
        <w:t xml:space="preserve"> </w:t>
      </w:r>
    </w:p>
    <w:p w14:paraId="004CD692" w14:textId="21E5F3C4" w:rsidR="00DD76DF" w:rsidRPr="00212F5D" w:rsidRDefault="002D30A3" w:rsidP="00F11E92">
      <w:pPr>
        <w:spacing w:after="120" w:line="360" w:lineRule="auto"/>
        <w:jc w:val="both"/>
        <w:rPr>
          <w:rFonts w:ascii="Arial" w:hAnsi="Arial" w:cs="Arial"/>
        </w:rPr>
      </w:pPr>
      <w:r w:rsidRPr="00212F5D">
        <w:rPr>
          <w:rFonts w:ascii="Arial" w:hAnsi="Arial" w:cs="Arial"/>
        </w:rPr>
        <w:tab/>
        <w:t xml:space="preserve">The typical outcome of an Administration is </w:t>
      </w:r>
      <w:r w:rsidR="00EB12DF" w:rsidRPr="00212F5D">
        <w:rPr>
          <w:rFonts w:ascii="Arial" w:hAnsi="Arial" w:cs="Arial"/>
        </w:rPr>
        <w:t>a going concern sale of the company’s assets</w:t>
      </w:r>
      <w:r w:rsidR="00EB12DF" w:rsidRPr="00212F5D">
        <w:rPr>
          <w:rStyle w:val="FootnoteReference"/>
          <w:rFonts w:ascii="Arial" w:hAnsi="Arial" w:cs="Arial"/>
        </w:rPr>
        <w:footnoteReference w:id="17"/>
      </w:r>
      <w:r w:rsidR="003014F3" w:rsidRPr="00212F5D">
        <w:rPr>
          <w:rFonts w:ascii="Arial" w:hAnsi="Arial" w:cs="Arial"/>
        </w:rPr>
        <w:t>, the net proceed</w:t>
      </w:r>
      <w:r w:rsidR="00EB12DF" w:rsidRPr="00212F5D">
        <w:rPr>
          <w:rFonts w:ascii="Arial" w:hAnsi="Arial" w:cs="Arial"/>
        </w:rPr>
        <w:t xml:space="preserve"> </w:t>
      </w:r>
      <w:r w:rsidR="00BC15C5" w:rsidRPr="00212F5D">
        <w:rPr>
          <w:rFonts w:ascii="Arial" w:hAnsi="Arial" w:cs="Arial"/>
        </w:rPr>
        <w:t>will then</w:t>
      </w:r>
      <w:r w:rsidR="00EB12DF" w:rsidRPr="00212F5D">
        <w:rPr>
          <w:rFonts w:ascii="Arial" w:hAnsi="Arial" w:cs="Arial"/>
        </w:rPr>
        <w:t xml:space="preserve"> be distributed to the company’s creditors according to their relevant </w:t>
      </w:r>
      <w:r w:rsidR="00BC15C5" w:rsidRPr="00212F5D">
        <w:rPr>
          <w:rFonts w:ascii="Arial" w:hAnsi="Arial" w:cs="Arial"/>
        </w:rPr>
        <w:t xml:space="preserve">(insolvency) </w:t>
      </w:r>
      <w:r w:rsidR="00EB12DF" w:rsidRPr="00212F5D">
        <w:rPr>
          <w:rFonts w:ascii="Arial" w:hAnsi="Arial" w:cs="Arial"/>
        </w:rPr>
        <w:t>priorities.</w:t>
      </w:r>
      <w:r w:rsidR="00607FBD" w:rsidRPr="00212F5D">
        <w:rPr>
          <w:rFonts w:ascii="Arial" w:hAnsi="Arial" w:cs="Arial"/>
        </w:rPr>
        <w:t xml:space="preserve"> These </w:t>
      </w:r>
      <w:r w:rsidR="003014F3" w:rsidRPr="00212F5D">
        <w:rPr>
          <w:rFonts w:ascii="Arial" w:hAnsi="Arial" w:cs="Arial"/>
        </w:rPr>
        <w:t xml:space="preserve">going concern </w:t>
      </w:r>
      <w:r w:rsidR="00607FBD" w:rsidRPr="00212F5D">
        <w:rPr>
          <w:rFonts w:ascii="Arial" w:hAnsi="Arial" w:cs="Arial"/>
        </w:rPr>
        <w:t xml:space="preserve">sales are sometimes in the form of a </w:t>
      </w:r>
      <w:r w:rsidR="00607FBD" w:rsidRPr="00212F5D">
        <w:rPr>
          <w:rFonts w:ascii="Arial" w:hAnsi="Arial" w:cs="Arial"/>
          <w:i/>
          <w:iCs/>
        </w:rPr>
        <w:t>pre-pack</w:t>
      </w:r>
      <w:r w:rsidR="00607FBD" w:rsidRPr="00212F5D">
        <w:rPr>
          <w:rFonts w:ascii="Arial" w:hAnsi="Arial" w:cs="Arial"/>
        </w:rPr>
        <w:t xml:space="preserve"> whereby the compa</w:t>
      </w:r>
      <w:r w:rsidR="00DD76DF" w:rsidRPr="00212F5D">
        <w:rPr>
          <w:rFonts w:ascii="Arial" w:hAnsi="Arial" w:cs="Arial"/>
        </w:rPr>
        <w:t>n</w:t>
      </w:r>
      <w:r w:rsidR="00607FBD" w:rsidRPr="00212F5D">
        <w:rPr>
          <w:rFonts w:ascii="Arial" w:hAnsi="Arial" w:cs="Arial"/>
        </w:rPr>
        <w:t xml:space="preserve">y’s assets are marketed </w:t>
      </w:r>
      <w:r w:rsidR="00DD76DF" w:rsidRPr="00212F5D">
        <w:rPr>
          <w:rFonts w:ascii="Arial" w:hAnsi="Arial" w:cs="Arial"/>
        </w:rPr>
        <w:t xml:space="preserve">prior to the </w:t>
      </w:r>
      <w:r w:rsidR="00607FBD" w:rsidRPr="00212F5D">
        <w:rPr>
          <w:rFonts w:ascii="Arial" w:hAnsi="Arial" w:cs="Arial"/>
        </w:rPr>
        <w:t>appointment of the Administrator</w:t>
      </w:r>
      <w:r w:rsidR="00DD76DF" w:rsidRPr="00212F5D">
        <w:rPr>
          <w:rFonts w:ascii="Arial" w:hAnsi="Arial" w:cs="Arial"/>
        </w:rPr>
        <w:t xml:space="preserve">. </w:t>
      </w:r>
      <w:r w:rsidR="003166A3" w:rsidRPr="00212F5D">
        <w:rPr>
          <w:rFonts w:ascii="Arial" w:hAnsi="Arial" w:cs="Arial"/>
        </w:rPr>
        <w:t>Then u</w:t>
      </w:r>
      <w:r w:rsidR="00DD76DF" w:rsidRPr="00212F5D">
        <w:rPr>
          <w:rFonts w:ascii="Arial" w:hAnsi="Arial" w:cs="Arial"/>
        </w:rPr>
        <w:t xml:space="preserve">pon </w:t>
      </w:r>
      <w:r w:rsidR="008A2165" w:rsidRPr="00212F5D">
        <w:rPr>
          <w:rFonts w:ascii="Arial" w:hAnsi="Arial" w:cs="Arial"/>
        </w:rPr>
        <w:t>a</w:t>
      </w:r>
      <w:r w:rsidR="00DD76DF" w:rsidRPr="00212F5D">
        <w:rPr>
          <w:rFonts w:ascii="Arial" w:hAnsi="Arial" w:cs="Arial"/>
        </w:rPr>
        <w:t>ppointment the Administrator mov</w:t>
      </w:r>
      <w:r w:rsidR="003166A3" w:rsidRPr="00212F5D">
        <w:rPr>
          <w:rFonts w:ascii="Arial" w:hAnsi="Arial" w:cs="Arial"/>
        </w:rPr>
        <w:t>es</w:t>
      </w:r>
      <w:r w:rsidR="00DD76DF" w:rsidRPr="00212F5D">
        <w:rPr>
          <w:rFonts w:ascii="Arial" w:hAnsi="Arial" w:cs="Arial"/>
        </w:rPr>
        <w:t xml:space="preserve"> to </w:t>
      </w:r>
      <w:r w:rsidR="008A2165" w:rsidRPr="00212F5D">
        <w:rPr>
          <w:rFonts w:ascii="Arial" w:hAnsi="Arial" w:cs="Arial"/>
        </w:rPr>
        <w:t xml:space="preserve">immediately </w:t>
      </w:r>
      <w:r w:rsidR="00DD76DF" w:rsidRPr="00212F5D">
        <w:rPr>
          <w:rFonts w:ascii="Arial" w:hAnsi="Arial" w:cs="Arial"/>
        </w:rPr>
        <w:t xml:space="preserve">sell the </w:t>
      </w:r>
      <w:r w:rsidR="003014F3" w:rsidRPr="00212F5D">
        <w:rPr>
          <w:rFonts w:ascii="Arial" w:hAnsi="Arial" w:cs="Arial"/>
        </w:rPr>
        <w:t xml:space="preserve">business </w:t>
      </w:r>
      <w:r w:rsidR="00DD76DF" w:rsidRPr="00212F5D">
        <w:rPr>
          <w:rFonts w:ascii="Arial" w:hAnsi="Arial" w:cs="Arial"/>
        </w:rPr>
        <w:t>to the winning bidder.</w:t>
      </w:r>
      <w:r w:rsidR="00DD76DF" w:rsidRPr="00212F5D">
        <w:rPr>
          <w:rStyle w:val="FootnoteReference"/>
          <w:rFonts w:ascii="Arial" w:hAnsi="Arial" w:cs="Arial"/>
        </w:rPr>
        <w:footnoteReference w:id="18"/>
      </w:r>
    </w:p>
    <w:p w14:paraId="3BF3F407" w14:textId="1711D636" w:rsidR="00465CA1" w:rsidRPr="00212F5D" w:rsidRDefault="00465CA1" w:rsidP="001B7F84">
      <w:pPr>
        <w:pStyle w:val="Heading4"/>
        <w:spacing w:line="360" w:lineRule="auto"/>
        <w:rPr>
          <w:rFonts w:ascii="Arial" w:hAnsi="Arial" w:cs="Arial"/>
        </w:rPr>
      </w:pPr>
      <w:r w:rsidRPr="00212F5D">
        <w:rPr>
          <w:rFonts w:ascii="Arial" w:hAnsi="Arial" w:cs="Arial"/>
        </w:rPr>
        <w:t>Restructuring Plan</w:t>
      </w:r>
    </w:p>
    <w:p w14:paraId="3B671858" w14:textId="5636A22E" w:rsidR="003166A3" w:rsidRPr="00212F5D" w:rsidRDefault="00B55DDB" w:rsidP="00F11E92">
      <w:pPr>
        <w:spacing w:after="120" w:line="360" w:lineRule="auto"/>
        <w:jc w:val="both"/>
        <w:rPr>
          <w:rFonts w:ascii="Arial" w:hAnsi="Arial" w:cs="Arial"/>
        </w:rPr>
      </w:pPr>
      <w:r w:rsidRPr="00212F5D">
        <w:rPr>
          <w:rFonts w:ascii="Arial" w:hAnsi="Arial" w:cs="Arial"/>
        </w:rPr>
        <w:tab/>
        <w:t>The C</w:t>
      </w:r>
      <w:r w:rsidR="00C531E0" w:rsidRPr="00212F5D">
        <w:rPr>
          <w:rFonts w:ascii="Arial" w:hAnsi="Arial" w:cs="Arial"/>
        </w:rPr>
        <w:t xml:space="preserve">IGA 2020 </w:t>
      </w:r>
      <w:r w:rsidRPr="00212F5D">
        <w:rPr>
          <w:rFonts w:ascii="Arial" w:hAnsi="Arial" w:cs="Arial"/>
        </w:rPr>
        <w:t>amended the UK Companies Act, 20</w:t>
      </w:r>
      <w:r w:rsidR="00725A9F" w:rsidRPr="00212F5D">
        <w:rPr>
          <w:rFonts w:ascii="Arial" w:hAnsi="Arial" w:cs="Arial"/>
        </w:rPr>
        <w:t>0</w:t>
      </w:r>
      <w:r w:rsidRPr="00212F5D">
        <w:rPr>
          <w:rFonts w:ascii="Arial" w:hAnsi="Arial" w:cs="Arial"/>
        </w:rPr>
        <w:t xml:space="preserve">6 by inserting a new </w:t>
      </w:r>
      <w:r w:rsidR="005A0272">
        <w:rPr>
          <w:rFonts w:ascii="Arial" w:hAnsi="Arial" w:cs="Arial"/>
        </w:rPr>
        <w:t>section 26A</w:t>
      </w:r>
      <w:r w:rsidR="007733F6" w:rsidRPr="00212F5D">
        <w:rPr>
          <w:rFonts w:ascii="Arial" w:hAnsi="Arial" w:cs="Arial"/>
        </w:rPr>
        <w:t xml:space="preserve"> </w:t>
      </w:r>
      <w:r w:rsidR="005A0272">
        <w:rPr>
          <w:rFonts w:ascii="Arial" w:hAnsi="Arial" w:cs="Arial"/>
        </w:rPr>
        <w:t>into the Companies Act, 2006</w:t>
      </w:r>
      <w:r w:rsidR="005A0272">
        <w:rPr>
          <w:rStyle w:val="FootnoteReference"/>
          <w:rFonts w:ascii="Arial" w:hAnsi="Arial" w:cs="Arial"/>
        </w:rPr>
        <w:footnoteReference w:id="19"/>
      </w:r>
      <w:r w:rsidR="005A0272">
        <w:rPr>
          <w:rFonts w:ascii="Arial" w:hAnsi="Arial" w:cs="Arial"/>
        </w:rPr>
        <w:t xml:space="preserve">, that created a new restructuring tool </w:t>
      </w:r>
      <w:r w:rsidR="007733F6" w:rsidRPr="00212F5D">
        <w:rPr>
          <w:rFonts w:ascii="Arial" w:hAnsi="Arial" w:cs="Arial"/>
        </w:rPr>
        <w:t>now typically referred to as a “</w:t>
      </w:r>
      <w:r w:rsidR="007733F6" w:rsidRPr="00212F5D">
        <w:rPr>
          <w:rFonts w:ascii="Arial" w:hAnsi="Arial" w:cs="Arial"/>
          <w:i/>
          <w:iCs/>
        </w:rPr>
        <w:t>Restructuring Plan</w:t>
      </w:r>
      <w:r w:rsidR="007733F6" w:rsidRPr="00212F5D">
        <w:rPr>
          <w:rFonts w:ascii="Arial" w:hAnsi="Arial" w:cs="Arial"/>
        </w:rPr>
        <w:t xml:space="preserve">”. </w:t>
      </w:r>
      <w:r w:rsidR="00725A9F" w:rsidRPr="00212F5D">
        <w:rPr>
          <w:rFonts w:ascii="Arial" w:hAnsi="Arial" w:cs="Arial"/>
        </w:rPr>
        <w:t xml:space="preserve"> </w:t>
      </w:r>
    </w:p>
    <w:p w14:paraId="10DA4EF9" w14:textId="43E6D856" w:rsidR="00163A7E" w:rsidRPr="00212F5D" w:rsidRDefault="007733F6" w:rsidP="00F11E92">
      <w:pPr>
        <w:spacing w:after="120" w:line="360" w:lineRule="auto"/>
        <w:ind w:firstLine="720"/>
        <w:jc w:val="both"/>
        <w:rPr>
          <w:rFonts w:ascii="Arial" w:hAnsi="Arial" w:cs="Arial"/>
        </w:rPr>
      </w:pPr>
      <w:r w:rsidRPr="00212F5D">
        <w:rPr>
          <w:rFonts w:ascii="Arial" w:hAnsi="Arial" w:cs="Arial"/>
        </w:rPr>
        <w:t>The Restructuring Plan</w:t>
      </w:r>
      <w:r w:rsidR="003166A3" w:rsidRPr="00212F5D">
        <w:rPr>
          <w:rFonts w:ascii="Arial" w:hAnsi="Arial" w:cs="Arial"/>
        </w:rPr>
        <w:t>’s</w:t>
      </w:r>
      <w:r w:rsidR="003014F3" w:rsidRPr="00212F5D">
        <w:rPr>
          <w:rFonts w:ascii="Arial" w:hAnsi="Arial" w:cs="Arial"/>
        </w:rPr>
        <w:t xml:space="preserve"> </w:t>
      </w:r>
      <w:r w:rsidR="00930A8D" w:rsidRPr="00212F5D">
        <w:rPr>
          <w:rFonts w:ascii="Arial" w:hAnsi="Arial" w:cs="Arial"/>
        </w:rPr>
        <w:t>process</w:t>
      </w:r>
      <w:r w:rsidRPr="00212F5D">
        <w:rPr>
          <w:rFonts w:ascii="Arial" w:hAnsi="Arial" w:cs="Arial"/>
        </w:rPr>
        <w:t xml:space="preserve"> </w:t>
      </w:r>
      <w:r w:rsidR="003166A3" w:rsidRPr="00212F5D">
        <w:rPr>
          <w:rFonts w:ascii="Arial" w:hAnsi="Arial" w:cs="Arial"/>
        </w:rPr>
        <w:t>is</w:t>
      </w:r>
      <w:r w:rsidRPr="00212F5D">
        <w:rPr>
          <w:rFonts w:ascii="Arial" w:hAnsi="Arial" w:cs="Arial"/>
        </w:rPr>
        <w:t xml:space="preserve"> </w:t>
      </w:r>
      <w:r w:rsidR="003014F3" w:rsidRPr="00212F5D">
        <w:rPr>
          <w:rFonts w:ascii="Arial" w:hAnsi="Arial" w:cs="Arial"/>
        </w:rPr>
        <w:t>modeled</w:t>
      </w:r>
      <w:r w:rsidRPr="00212F5D">
        <w:rPr>
          <w:rFonts w:ascii="Arial" w:hAnsi="Arial" w:cs="Arial"/>
        </w:rPr>
        <w:t xml:space="preserve"> on the </w:t>
      </w:r>
      <w:r w:rsidR="00930A8D" w:rsidRPr="00212F5D">
        <w:rPr>
          <w:rFonts w:ascii="Arial" w:hAnsi="Arial" w:cs="Arial"/>
        </w:rPr>
        <w:t xml:space="preserve">SOA </w:t>
      </w:r>
      <w:r w:rsidRPr="00212F5D">
        <w:rPr>
          <w:rFonts w:ascii="Arial" w:hAnsi="Arial" w:cs="Arial"/>
        </w:rPr>
        <w:t>re</w:t>
      </w:r>
      <w:r w:rsidR="003166A3" w:rsidRPr="00212F5D">
        <w:rPr>
          <w:rFonts w:ascii="Arial" w:hAnsi="Arial" w:cs="Arial"/>
        </w:rPr>
        <w:t>gime</w:t>
      </w:r>
      <w:r w:rsidR="00930A8D" w:rsidRPr="00212F5D">
        <w:rPr>
          <w:rFonts w:ascii="Arial" w:hAnsi="Arial" w:cs="Arial"/>
        </w:rPr>
        <w:t>.</w:t>
      </w:r>
      <w:r w:rsidR="003014F3" w:rsidRPr="00212F5D">
        <w:rPr>
          <w:rFonts w:ascii="Arial" w:hAnsi="Arial" w:cs="Arial"/>
        </w:rPr>
        <w:t xml:space="preserve"> However u</w:t>
      </w:r>
      <w:r w:rsidR="003166A3" w:rsidRPr="00212F5D">
        <w:rPr>
          <w:rFonts w:ascii="Arial" w:hAnsi="Arial" w:cs="Arial"/>
        </w:rPr>
        <w:t xml:space="preserve">nlike </w:t>
      </w:r>
      <w:r w:rsidR="00067B7E" w:rsidRPr="00212F5D">
        <w:rPr>
          <w:rFonts w:ascii="Arial" w:hAnsi="Arial" w:cs="Arial"/>
        </w:rPr>
        <w:t>a</w:t>
      </w:r>
      <w:r w:rsidR="003166A3" w:rsidRPr="00212F5D">
        <w:rPr>
          <w:rFonts w:ascii="Arial" w:hAnsi="Arial" w:cs="Arial"/>
        </w:rPr>
        <w:t xml:space="preserve"> SOA</w:t>
      </w:r>
      <w:r w:rsidR="00067B7E" w:rsidRPr="00212F5D">
        <w:rPr>
          <w:rFonts w:ascii="Arial" w:hAnsi="Arial" w:cs="Arial"/>
        </w:rPr>
        <w:t>,</w:t>
      </w:r>
      <w:r w:rsidR="003166A3" w:rsidRPr="00212F5D">
        <w:rPr>
          <w:rFonts w:ascii="Arial" w:hAnsi="Arial" w:cs="Arial"/>
        </w:rPr>
        <w:t xml:space="preserve"> </w:t>
      </w:r>
      <w:r w:rsidR="00067B7E" w:rsidRPr="00212F5D">
        <w:rPr>
          <w:rFonts w:ascii="Arial" w:hAnsi="Arial" w:cs="Arial"/>
        </w:rPr>
        <w:t>a</w:t>
      </w:r>
      <w:r w:rsidR="003166A3" w:rsidRPr="00212F5D">
        <w:rPr>
          <w:rFonts w:ascii="Arial" w:hAnsi="Arial" w:cs="Arial"/>
        </w:rPr>
        <w:t xml:space="preserve"> </w:t>
      </w:r>
      <w:r w:rsidRPr="00212F5D">
        <w:rPr>
          <w:rFonts w:ascii="Arial" w:hAnsi="Arial" w:cs="Arial"/>
        </w:rPr>
        <w:t>Restructuring Plan</w:t>
      </w:r>
      <w:r w:rsidR="003166A3" w:rsidRPr="00212F5D">
        <w:rPr>
          <w:rFonts w:ascii="Arial" w:hAnsi="Arial" w:cs="Arial"/>
        </w:rPr>
        <w:t xml:space="preserve"> </w:t>
      </w:r>
      <w:r w:rsidR="00930A8D" w:rsidRPr="00212F5D">
        <w:rPr>
          <w:rFonts w:ascii="Arial" w:hAnsi="Arial" w:cs="Arial"/>
        </w:rPr>
        <w:t xml:space="preserve">is only available to companies in (or likely to encounter) financial difficulties that are seeking to use the </w:t>
      </w:r>
      <w:r w:rsidR="003166A3" w:rsidRPr="00212F5D">
        <w:rPr>
          <w:rFonts w:ascii="Arial" w:hAnsi="Arial" w:cs="Arial"/>
        </w:rPr>
        <w:t xml:space="preserve">procedure </w:t>
      </w:r>
      <w:r w:rsidR="00930A8D" w:rsidRPr="00212F5D">
        <w:rPr>
          <w:rFonts w:ascii="Arial" w:hAnsi="Arial" w:cs="Arial"/>
        </w:rPr>
        <w:t xml:space="preserve">to mitigate those financial difficulties.  </w:t>
      </w:r>
      <w:r w:rsidRPr="00212F5D">
        <w:rPr>
          <w:rFonts w:ascii="Arial" w:hAnsi="Arial" w:cs="Arial"/>
        </w:rPr>
        <w:t xml:space="preserve"> </w:t>
      </w:r>
    </w:p>
    <w:p w14:paraId="3DDE1DCE" w14:textId="3C48D262" w:rsidR="00464934" w:rsidRPr="00212F5D" w:rsidRDefault="006420B6" w:rsidP="00F11E92">
      <w:pPr>
        <w:spacing w:after="120" w:line="360" w:lineRule="auto"/>
        <w:jc w:val="both"/>
        <w:rPr>
          <w:rFonts w:ascii="Arial" w:hAnsi="Arial" w:cs="Arial"/>
        </w:rPr>
      </w:pPr>
      <w:r w:rsidRPr="00212F5D">
        <w:rPr>
          <w:rFonts w:ascii="Arial" w:hAnsi="Arial" w:cs="Arial"/>
        </w:rPr>
        <w:tab/>
        <w:t>The Restructuring Pla</w:t>
      </w:r>
      <w:r w:rsidR="003014F3" w:rsidRPr="00212F5D">
        <w:rPr>
          <w:rFonts w:ascii="Arial" w:hAnsi="Arial" w:cs="Arial"/>
        </w:rPr>
        <w:t>n involves</w:t>
      </w:r>
      <w:r w:rsidRPr="00212F5D">
        <w:rPr>
          <w:rFonts w:ascii="Arial" w:hAnsi="Arial" w:cs="Arial"/>
        </w:rPr>
        <w:t xml:space="preserve"> two</w:t>
      </w:r>
      <w:r w:rsidR="003014F3" w:rsidRPr="00212F5D">
        <w:rPr>
          <w:rFonts w:ascii="Arial" w:hAnsi="Arial" w:cs="Arial"/>
        </w:rPr>
        <w:t xml:space="preserve"> </w:t>
      </w:r>
      <w:r w:rsidRPr="00212F5D">
        <w:rPr>
          <w:rFonts w:ascii="Arial" w:hAnsi="Arial" w:cs="Arial"/>
        </w:rPr>
        <w:t>court</w:t>
      </w:r>
      <w:r w:rsidR="00067B7E" w:rsidRPr="00212F5D">
        <w:rPr>
          <w:rFonts w:ascii="Arial" w:hAnsi="Arial" w:cs="Arial"/>
        </w:rPr>
        <w:t xml:space="preserve"> hearings </w:t>
      </w:r>
      <w:r w:rsidR="006C40F1" w:rsidRPr="00212F5D">
        <w:rPr>
          <w:rFonts w:ascii="Arial" w:hAnsi="Arial" w:cs="Arial"/>
        </w:rPr>
        <w:t>with the first court hearing</w:t>
      </w:r>
      <w:r w:rsidR="00C531E0" w:rsidRPr="00212F5D">
        <w:rPr>
          <w:rFonts w:ascii="Arial" w:hAnsi="Arial" w:cs="Arial"/>
        </w:rPr>
        <w:t xml:space="preserve"> considering</w:t>
      </w:r>
      <w:r w:rsidR="003014F3" w:rsidRPr="00212F5D">
        <w:rPr>
          <w:rFonts w:ascii="Arial" w:hAnsi="Arial" w:cs="Arial"/>
        </w:rPr>
        <w:t xml:space="preserve"> the </w:t>
      </w:r>
      <w:r w:rsidR="00C531E0" w:rsidRPr="00212F5D">
        <w:rPr>
          <w:rFonts w:ascii="Arial" w:hAnsi="Arial" w:cs="Arial"/>
        </w:rPr>
        <w:t>constitution of</w:t>
      </w:r>
      <w:r w:rsidR="003014F3" w:rsidRPr="00212F5D">
        <w:rPr>
          <w:rFonts w:ascii="Arial" w:hAnsi="Arial" w:cs="Arial"/>
        </w:rPr>
        <w:t xml:space="preserve"> the voting</w:t>
      </w:r>
      <w:r w:rsidR="00C531E0" w:rsidRPr="00212F5D">
        <w:rPr>
          <w:rFonts w:ascii="Arial" w:hAnsi="Arial" w:cs="Arial"/>
        </w:rPr>
        <w:t xml:space="preserve"> class</w:t>
      </w:r>
      <w:r w:rsidR="003014F3" w:rsidRPr="00212F5D">
        <w:rPr>
          <w:rFonts w:ascii="Arial" w:hAnsi="Arial" w:cs="Arial"/>
        </w:rPr>
        <w:t>es</w:t>
      </w:r>
      <w:r w:rsidR="00C531E0" w:rsidRPr="00212F5D">
        <w:rPr>
          <w:rFonts w:ascii="Arial" w:hAnsi="Arial" w:cs="Arial"/>
        </w:rPr>
        <w:t xml:space="preserve"> and convening the meeting </w:t>
      </w:r>
      <w:r w:rsidR="006C40F1" w:rsidRPr="00212F5D">
        <w:rPr>
          <w:rFonts w:ascii="Arial" w:hAnsi="Arial" w:cs="Arial"/>
        </w:rPr>
        <w:t xml:space="preserve">to consider and vote on the Restructuring Plan. The second court hearing </w:t>
      </w:r>
      <w:r w:rsidR="00A90E45" w:rsidRPr="00212F5D">
        <w:rPr>
          <w:rFonts w:ascii="Arial" w:hAnsi="Arial" w:cs="Arial"/>
        </w:rPr>
        <w:t xml:space="preserve">is </w:t>
      </w:r>
      <w:r w:rsidR="00067B7E" w:rsidRPr="00212F5D">
        <w:rPr>
          <w:rFonts w:ascii="Arial" w:hAnsi="Arial" w:cs="Arial"/>
        </w:rPr>
        <w:t>to</w:t>
      </w:r>
      <w:r w:rsidR="00A90E45" w:rsidRPr="00212F5D">
        <w:rPr>
          <w:rFonts w:ascii="Arial" w:hAnsi="Arial" w:cs="Arial"/>
        </w:rPr>
        <w:t xml:space="preserve"> determi</w:t>
      </w:r>
      <w:r w:rsidR="00C531E0" w:rsidRPr="00212F5D">
        <w:rPr>
          <w:rFonts w:ascii="Arial" w:hAnsi="Arial" w:cs="Arial"/>
        </w:rPr>
        <w:t>ne</w:t>
      </w:r>
      <w:r w:rsidR="00A90E45" w:rsidRPr="00212F5D">
        <w:rPr>
          <w:rFonts w:ascii="Arial" w:hAnsi="Arial" w:cs="Arial"/>
        </w:rPr>
        <w:t xml:space="preserve"> whether the</w:t>
      </w:r>
      <w:r w:rsidR="00067B7E" w:rsidRPr="00212F5D">
        <w:rPr>
          <w:rFonts w:ascii="Arial" w:hAnsi="Arial" w:cs="Arial"/>
        </w:rPr>
        <w:t xml:space="preserve"> court should sanction (approve) the</w:t>
      </w:r>
      <w:r w:rsidR="00A90E45" w:rsidRPr="00212F5D">
        <w:rPr>
          <w:rFonts w:ascii="Arial" w:hAnsi="Arial" w:cs="Arial"/>
        </w:rPr>
        <w:t xml:space="preserve"> Restructuring Plan.</w:t>
      </w:r>
      <w:r w:rsidR="00464934">
        <w:rPr>
          <w:rFonts w:ascii="Arial" w:hAnsi="Arial" w:cs="Arial"/>
        </w:rPr>
        <w:t xml:space="preserve"> </w:t>
      </w:r>
    </w:p>
    <w:p w14:paraId="04BC159E" w14:textId="5472A13C" w:rsidR="00163A7E" w:rsidRPr="00212F5D" w:rsidRDefault="00163A7E" w:rsidP="001B7F84">
      <w:pPr>
        <w:pStyle w:val="Heading3"/>
        <w:spacing w:line="360" w:lineRule="auto"/>
        <w:rPr>
          <w:rFonts w:ascii="Arial" w:hAnsi="Arial" w:cs="Arial"/>
        </w:rPr>
      </w:pPr>
      <w:bookmarkStart w:id="8" w:name="_Toc95128865"/>
      <w:r w:rsidRPr="00212F5D">
        <w:rPr>
          <w:rFonts w:ascii="Arial" w:hAnsi="Arial" w:cs="Arial"/>
        </w:rPr>
        <w:lastRenderedPageBreak/>
        <w:t>Canada</w:t>
      </w:r>
      <w:bookmarkEnd w:id="8"/>
    </w:p>
    <w:p w14:paraId="36408AD0" w14:textId="56786009" w:rsidR="005661AE" w:rsidRPr="00212F5D" w:rsidRDefault="005661AE" w:rsidP="001B7F84">
      <w:pPr>
        <w:spacing w:line="360" w:lineRule="auto"/>
        <w:rPr>
          <w:rFonts w:ascii="Arial" w:hAnsi="Arial" w:cs="Arial"/>
        </w:rPr>
      </w:pPr>
      <w:r w:rsidRPr="00212F5D">
        <w:rPr>
          <w:rFonts w:ascii="Arial" w:hAnsi="Arial" w:cs="Arial"/>
        </w:rPr>
        <w:tab/>
        <w:t>In Canada the</w:t>
      </w:r>
      <w:r w:rsidR="003014F3" w:rsidRPr="00212F5D">
        <w:rPr>
          <w:rFonts w:ascii="Arial" w:hAnsi="Arial" w:cs="Arial"/>
        </w:rPr>
        <w:t xml:space="preserve"> restructuring tools that I</w:t>
      </w:r>
      <w:r w:rsidRPr="00212F5D">
        <w:rPr>
          <w:rFonts w:ascii="Arial" w:hAnsi="Arial" w:cs="Arial"/>
        </w:rPr>
        <w:t xml:space="preserve"> examine are:</w:t>
      </w:r>
    </w:p>
    <w:p w14:paraId="4B61E042" w14:textId="27741543" w:rsidR="005661AE" w:rsidRPr="00212F5D" w:rsidRDefault="005661AE" w:rsidP="001B7F84">
      <w:pPr>
        <w:pStyle w:val="ListParagraph"/>
        <w:numPr>
          <w:ilvl w:val="0"/>
          <w:numId w:val="15"/>
        </w:numPr>
        <w:spacing w:line="360" w:lineRule="auto"/>
        <w:rPr>
          <w:rFonts w:ascii="Arial" w:hAnsi="Arial" w:cs="Arial"/>
        </w:rPr>
      </w:pPr>
      <w:r w:rsidRPr="00212F5D">
        <w:rPr>
          <w:rFonts w:ascii="Arial" w:hAnsi="Arial" w:cs="Arial"/>
        </w:rPr>
        <w:t>Proposal Procedure</w:t>
      </w:r>
      <w:r w:rsidR="00B170B0" w:rsidRPr="00212F5D">
        <w:rPr>
          <w:rFonts w:ascii="Arial" w:hAnsi="Arial" w:cs="Arial"/>
        </w:rPr>
        <w:t>.</w:t>
      </w:r>
    </w:p>
    <w:p w14:paraId="608F694D" w14:textId="4092698A" w:rsidR="005661AE" w:rsidRPr="00212F5D" w:rsidRDefault="005661AE" w:rsidP="001B7F84">
      <w:pPr>
        <w:pStyle w:val="ListParagraph"/>
        <w:numPr>
          <w:ilvl w:val="0"/>
          <w:numId w:val="15"/>
        </w:numPr>
        <w:spacing w:line="360" w:lineRule="auto"/>
        <w:rPr>
          <w:rFonts w:ascii="Arial" w:hAnsi="Arial" w:cs="Arial"/>
        </w:rPr>
      </w:pPr>
      <w:r w:rsidRPr="00212F5D">
        <w:rPr>
          <w:rFonts w:ascii="Arial" w:hAnsi="Arial" w:cs="Arial"/>
        </w:rPr>
        <w:t xml:space="preserve">Companies’ Creditor Arrangement. </w:t>
      </w:r>
    </w:p>
    <w:p w14:paraId="607B4F29" w14:textId="494D69E9" w:rsidR="005D0574" w:rsidRPr="00212F5D" w:rsidRDefault="005661AE" w:rsidP="001B7F84">
      <w:pPr>
        <w:pStyle w:val="Heading4"/>
        <w:spacing w:line="360" w:lineRule="auto"/>
        <w:rPr>
          <w:rFonts w:ascii="Arial" w:hAnsi="Arial" w:cs="Arial"/>
        </w:rPr>
      </w:pPr>
      <w:r w:rsidRPr="00212F5D">
        <w:rPr>
          <w:rFonts w:ascii="Arial" w:hAnsi="Arial" w:cs="Arial"/>
        </w:rPr>
        <w:t>Proposal Procedure</w:t>
      </w:r>
    </w:p>
    <w:p w14:paraId="52AD12F2" w14:textId="2DD16BDC" w:rsidR="005D0574" w:rsidRPr="00212F5D" w:rsidRDefault="005D0574" w:rsidP="00F11E92">
      <w:pPr>
        <w:spacing w:after="120" w:line="360" w:lineRule="auto"/>
        <w:jc w:val="both"/>
        <w:rPr>
          <w:rFonts w:ascii="Arial" w:hAnsi="Arial" w:cs="Arial"/>
        </w:rPr>
      </w:pPr>
      <w:r w:rsidRPr="00212F5D">
        <w:rPr>
          <w:rFonts w:ascii="Arial" w:hAnsi="Arial" w:cs="Arial"/>
        </w:rPr>
        <w:t xml:space="preserve"> </w:t>
      </w:r>
      <w:r w:rsidR="005823CD" w:rsidRPr="00212F5D">
        <w:rPr>
          <w:rFonts w:ascii="Arial" w:hAnsi="Arial" w:cs="Arial"/>
        </w:rPr>
        <w:tab/>
      </w:r>
      <w:r w:rsidR="003014F3" w:rsidRPr="00212F5D">
        <w:rPr>
          <w:rFonts w:ascii="Arial" w:hAnsi="Arial" w:cs="Arial"/>
        </w:rPr>
        <w:t>The Proposal Procedure</w:t>
      </w:r>
      <w:r w:rsidR="005661AE" w:rsidRPr="00212F5D">
        <w:rPr>
          <w:rFonts w:ascii="Arial" w:hAnsi="Arial" w:cs="Arial"/>
        </w:rPr>
        <w:t xml:space="preserve"> </w:t>
      </w:r>
      <w:r w:rsidR="003014F3" w:rsidRPr="00212F5D">
        <w:rPr>
          <w:rFonts w:ascii="Arial" w:hAnsi="Arial" w:cs="Arial"/>
        </w:rPr>
        <w:t>is found in the BIA</w:t>
      </w:r>
      <w:r w:rsidR="00464934">
        <w:rPr>
          <w:rStyle w:val="FootnoteReference"/>
          <w:rFonts w:ascii="Arial" w:hAnsi="Arial" w:cs="Arial"/>
        </w:rPr>
        <w:footnoteReference w:id="20"/>
      </w:r>
      <w:r w:rsidR="005661AE" w:rsidRPr="00212F5D">
        <w:rPr>
          <w:rFonts w:ascii="Arial" w:hAnsi="Arial" w:cs="Arial"/>
        </w:rPr>
        <w:t>.</w:t>
      </w:r>
      <w:r w:rsidR="00432646" w:rsidRPr="00212F5D">
        <w:rPr>
          <w:rFonts w:ascii="Arial" w:hAnsi="Arial" w:cs="Arial"/>
        </w:rPr>
        <w:t xml:space="preserve"> </w:t>
      </w:r>
      <w:r w:rsidR="00464934">
        <w:rPr>
          <w:rFonts w:ascii="Arial" w:hAnsi="Arial" w:cs="Arial"/>
        </w:rPr>
        <w:t>Entry into the proposal p</w:t>
      </w:r>
      <w:r w:rsidR="00432646" w:rsidRPr="00212F5D">
        <w:rPr>
          <w:rFonts w:ascii="Arial" w:hAnsi="Arial" w:cs="Arial"/>
        </w:rPr>
        <w:t xml:space="preserve">rocedure results in an automatic statutory stay of proceedings on all enforcement actions against the debtor. The board of directors </w:t>
      </w:r>
      <w:r w:rsidR="00450AD3" w:rsidRPr="00212F5D">
        <w:rPr>
          <w:rFonts w:ascii="Arial" w:hAnsi="Arial" w:cs="Arial"/>
        </w:rPr>
        <w:t xml:space="preserve">will remain in control of the company however an Insolvency Practitioner (called a </w:t>
      </w:r>
      <w:r w:rsidR="000B718E" w:rsidRPr="00212F5D">
        <w:rPr>
          <w:rFonts w:ascii="Arial" w:hAnsi="Arial" w:cs="Arial"/>
        </w:rPr>
        <w:t>“</w:t>
      </w:r>
      <w:r w:rsidR="000B718E" w:rsidRPr="00212F5D">
        <w:rPr>
          <w:rFonts w:ascii="Arial" w:hAnsi="Arial" w:cs="Arial"/>
          <w:i/>
          <w:iCs/>
        </w:rPr>
        <w:t>T</w:t>
      </w:r>
      <w:r w:rsidR="00450AD3" w:rsidRPr="00212F5D">
        <w:rPr>
          <w:rFonts w:ascii="Arial" w:hAnsi="Arial" w:cs="Arial"/>
          <w:i/>
          <w:iCs/>
        </w:rPr>
        <w:t>rustee</w:t>
      </w:r>
      <w:r w:rsidR="000B718E" w:rsidRPr="00212F5D">
        <w:rPr>
          <w:rFonts w:ascii="Arial" w:hAnsi="Arial" w:cs="Arial"/>
        </w:rPr>
        <w:t>”</w:t>
      </w:r>
      <w:r w:rsidR="00450AD3" w:rsidRPr="00212F5D">
        <w:rPr>
          <w:rFonts w:ascii="Arial" w:hAnsi="Arial" w:cs="Arial"/>
        </w:rPr>
        <w:t>)</w:t>
      </w:r>
      <w:r w:rsidR="00432646" w:rsidRPr="00212F5D">
        <w:rPr>
          <w:rFonts w:ascii="Arial" w:hAnsi="Arial" w:cs="Arial"/>
        </w:rPr>
        <w:t xml:space="preserve"> </w:t>
      </w:r>
      <w:r w:rsidR="00450AD3" w:rsidRPr="00212F5D">
        <w:rPr>
          <w:rFonts w:ascii="Arial" w:hAnsi="Arial" w:cs="Arial"/>
        </w:rPr>
        <w:t xml:space="preserve">will be appointed to assist the management with formulating a proposal. </w:t>
      </w:r>
    </w:p>
    <w:p w14:paraId="0531A189" w14:textId="6B6F8198" w:rsidR="003D7341" w:rsidRPr="00212F5D" w:rsidRDefault="00450AD3" w:rsidP="00F11E92">
      <w:pPr>
        <w:spacing w:after="120" w:line="360" w:lineRule="auto"/>
        <w:jc w:val="both"/>
        <w:rPr>
          <w:rFonts w:ascii="Arial" w:hAnsi="Arial" w:cs="Arial"/>
        </w:rPr>
      </w:pPr>
      <w:r w:rsidRPr="00212F5D">
        <w:rPr>
          <w:rFonts w:ascii="Arial" w:hAnsi="Arial" w:cs="Arial"/>
        </w:rPr>
        <w:tab/>
        <w:t>T</w:t>
      </w:r>
      <w:r w:rsidR="003D7341" w:rsidRPr="00212F5D">
        <w:rPr>
          <w:rFonts w:ascii="Arial" w:hAnsi="Arial" w:cs="Arial"/>
        </w:rPr>
        <w:t xml:space="preserve">o approve a </w:t>
      </w:r>
      <w:r w:rsidR="000B718E" w:rsidRPr="00212F5D">
        <w:rPr>
          <w:rFonts w:ascii="Arial" w:hAnsi="Arial" w:cs="Arial"/>
        </w:rPr>
        <w:t>p</w:t>
      </w:r>
      <w:r w:rsidR="003D7341" w:rsidRPr="00212F5D">
        <w:rPr>
          <w:rFonts w:ascii="Arial" w:hAnsi="Arial" w:cs="Arial"/>
        </w:rPr>
        <w:t xml:space="preserve">roposal requires a double majority of approval in each class of creditors. That is to say </w:t>
      </w:r>
      <w:r w:rsidR="000B718E" w:rsidRPr="00212F5D">
        <w:rPr>
          <w:rFonts w:ascii="Arial" w:hAnsi="Arial" w:cs="Arial"/>
        </w:rPr>
        <w:t xml:space="preserve">it must be </w:t>
      </w:r>
      <w:r w:rsidR="003D7341" w:rsidRPr="00212F5D">
        <w:rPr>
          <w:rFonts w:ascii="Arial" w:hAnsi="Arial" w:cs="Arial"/>
        </w:rPr>
        <w:t xml:space="preserve">approved by a majority in number of creditors in each class holding no less than two-thirds of value. A </w:t>
      </w:r>
      <w:r w:rsidR="000B718E" w:rsidRPr="00212F5D">
        <w:rPr>
          <w:rFonts w:ascii="Arial" w:hAnsi="Arial" w:cs="Arial"/>
        </w:rPr>
        <w:t>p</w:t>
      </w:r>
      <w:r w:rsidR="003D7341" w:rsidRPr="00212F5D">
        <w:rPr>
          <w:rFonts w:ascii="Arial" w:hAnsi="Arial" w:cs="Arial"/>
        </w:rPr>
        <w:t>roposal that has been approved will bind creditors within each of the classes that have approved the Proposal. A Proposal will only bind a</w:t>
      </w:r>
      <w:r w:rsidR="00A92548" w:rsidRPr="00212F5D">
        <w:rPr>
          <w:rFonts w:ascii="Arial" w:hAnsi="Arial" w:cs="Arial"/>
        </w:rPr>
        <w:t xml:space="preserve"> class of</w:t>
      </w:r>
      <w:r w:rsidR="003D7341" w:rsidRPr="00212F5D">
        <w:rPr>
          <w:rFonts w:ascii="Arial" w:hAnsi="Arial" w:cs="Arial"/>
        </w:rPr>
        <w:t xml:space="preserve"> secured creditor</w:t>
      </w:r>
      <w:r w:rsidR="00A92548" w:rsidRPr="00212F5D">
        <w:rPr>
          <w:rFonts w:ascii="Arial" w:hAnsi="Arial" w:cs="Arial"/>
        </w:rPr>
        <w:t xml:space="preserve">s with their </w:t>
      </w:r>
      <w:r w:rsidR="003D7341" w:rsidRPr="00212F5D">
        <w:rPr>
          <w:rFonts w:ascii="Arial" w:hAnsi="Arial" w:cs="Arial"/>
        </w:rPr>
        <w:t xml:space="preserve">consent. </w:t>
      </w:r>
    </w:p>
    <w:p w14:paraId="3E0C4B31" w14:textId="36FFEA56" w:rsidR="00A92548" w:rsidRPr="00212F5D" w:rsidRDefault="003014F3" w:rsidP="00F11E92">
      <w:pPr>
        <w:spacing w:after="120" w:line="360" w:lineRule="auto"/>
        <w:jc w:val="both"/>
        <w:rPr>
          <w:rFonts w:ascii="Arial" w:hAnsi="Arial" w:cs="Arial"/>
        </w:rPr>
      </w:pPr>
      <w:r w:rsidRPr="00212F5D">
        <w:rPr>
          <w:rFonts w:ascii="Arial" w:hAnsi="Arial" w:cs="Arial"/>
        </w:rPr>
        <w:tab/>
        <w:t>The Proposal Procedure</w:t>
      </w:r>
      <w:r w:rsidR="00A92548" w:rsidRPr="00212F5D">
        <w:rPr>
          <w:rFonts w:ascii="Arial" w:hAnsi="Arial" w:cs="Arial"/>
        </w:rPr>
        <w:t xml:space="preserve"> provisions expressly contemplate protection for new financing including g</w:t>
      </w:r>
      <w:r w:rsidR="007147DB" w:rsidRPr="00212F5D">
        <w:rPr>
          <w:rFonts w:ascii="Arial" w:hAnsi="Arial" w:cs="Arial"/>
        </w:rPr>
        <w:t xml:space="preserve">iving </w:t>
      </w:r>
      <w:r w:rsidR="00A92548" w:rsidRPr="00212F5D">
        <w:rPr>
          <w:rFonts w:ascii="Arial" w:hAnsi="Arial" w:cs="Arial"/>
        </w:rPr>
        <w:t xml:space="preserve">the court the power </w:t>
      </w:r>
      <w:r w:rsidR="007147DB" w:rsidRPr="00212F5D">
        <w:rPr>
          <w:rFonts w:ascii="Arial" w:hAnsi="Arial" w:cs="Arial"/>
        </w:rPr>
        <w:t>to grant priority over existing secured creditors to interim lenders</w:t>
      </w:r>
      <w:r w:rsidR="00A92548" w:rsidRPr="00212F5D">
        <w:rPr>
          <w:rFonts w:ascii="Arial" w:hAnsi="Arial" w:cs="Arial"/>
        </w:rPr>
        <w:t xml:space="preserve">.  </w:t>
      </w:r>
    </w:p>
    <w:p w14:paraId="2577F2EC" w14:textId="385C6828" w:rsidR="00465CA1" w:rsidRPr="00212F5D" w:rsidRDefault="00465CA1" w:rsidP="00F11E92">
      <w:pPr>
        <w:pStyle w:val="Heading4"/>
        <w:spacing w:after="120" w:line="360" w:lineRule="auto"/>
        <w:rPr>
          <w:rFonts w:ascii="Arial" w:hAnsi="Arial" w:cs="Arial"/>
        </w:rPr>
      </w:pPr>
      <w:r w:rsidRPr="00212F5D">
        <w:rPr>
          <w:rFonts w:ascii="Arial" w:hAnsi="Arial" w:cs="Arial"/>
        </w:rPr>
        <w:t>Companies</w:t>
      </w:r>
      <w:r w:rsidR="008A4564" w:rsidRPr="00212F5D">
        <w:rPr>
          <w:rFonts w:ascii="Arial" w:hAnsi="Arial" w:cs="Arial"/>
        </w:rPr>
        <w:t xml:space="preserve">’ </w:t>
      </w:r>
      <w:r w:rsidRPr="00212F5D">
        <w:rPr>
          <w:rFonts w:ascii="Arial" w:hAnsi="Arial" w:cs="Arial"/>
        </w:rPr>
        <w:t xml:space="preserve">Creditors </w:t>
      </w:r>
      <w:r w:rsidR="00F3648D" w:rsidRPr="00212F5D">
        <w:rPr>
          <w:rFonts w:ascii="Arial" w:hAnsi="Arial" w:cs="Arial"/>
        </w:rPr>
        <w:t>Arrangement</w:t>
      </w:r>
    </w:p>
    <w:p w14:paraId="326F950B" w14:textId="2D55E5C4" w:rsidR="008D6630" w:rsidRPr="00212F5D" w:rsidRDefault="007147DB" w:rsidP="00F11E92">
      <w:pPr>
        <w:spacing w:after="120" w:line="360" w:lineRule="auto"/>
        <w:jc w:val="both"/>
        <w:rPr>
          <w:rFonts w:ascii="Arial" w:hAnsi="Arial" w:cs="Arial"/>
        </w:rPr>
      </w:pPr>
      <w:r w:rsidRPr="00212F5D">
        <w:rPr>
          <w:rFonts w:ascii="Arial" w:hAnsi="Arial" w:cs="Arial"/>
        </w:rPr>
        <w:tab/>
      </w:r>
      <w:r w:rsidR="008D6630" w:rsidRPr="00212F5D">
        <w:rPr>
          <w:rFonts w:ascii="Arial" w:hAnsi="Arial" w:cs="Arial"/>
        </w:rPr>
        <w:t>A Companies’ Creditors Arrangement</w:t>
      </w:r>
      <w:r w:rsidR="005A0272">
        <w:rPr>
          <w:rStyle w:val="FootnoteReference"/>
          <w:rFonts w:ascii="Arial" w:hAnsi="Arial" w:cs="Arial"/>
        </w:rPr>
        <w:footnoteReference w:id="21"/>
      </w:r>
      <w:r w:rsidR="008D6630" w:rsidRPr="00212F5D">
        <w:rPr>
          <w:rFonts w:ascii="Arial" w:hAnsi="Arial" w:cs="Arial"/>
        </w:rPr>
        <w:t xml:space="preserve"> (“CCA</w:t>
      </w:r>
      <w:r w:rsidR="006A6FF1">
        <w:rPr>
          <w:rFonts w:ascii="Arial" w:hAnsi="Arial" w:cs="Arial"/>
        </w:rPr>
        <w:t>A</w:t>
      </w:r>
      <w:r w:rsidR="008D6630" w:rsidRPr="00212F5D">
        <w:rPr>
          <w:rFonts w:ascii="Arial" w:hAnsi="Arial" w:cs="Arial"/>
        </w:rPr>
        <w:t xml:space="preserve">”) </w:t>
      </w:r>
      <w:r w:rsidR="00DA470C" w:rsidRPr="00212F5D">
        <w:rPr>
          <w:rFonts w:ascii="Arial" w:hAnsi="Arial" w:cs="Arial"/>
        </w:rPr>
        <w:t xml:space="preserve">contemplates </w:t>
      </w:r>
      <w:r w:rsidR="008B2A97" w:rsidRPr="00212F5D">
        <w:rPr>
          <w:rFonts w:ascii="Arial" w:hAnsi="Arial" w:cs="Arial"/>
        </w:rPr>
        <w:t>significant court involvement. A CCA</w:t>
      </w:r>
      <w:r w:rsidR="006A6FF1">
        <w:rPr>
          <w:rFonts w:ascii="Arial" w:hAnsi="Arial" w:cs="Arial"/>
        </w:rPr>
        <w:t>A</w:t>
      </w:r>
      <w:r w:rsidR="008B2A97" w:rsidRPr="00212F5D">
        <w:rPr>
          <w:rFonts w:ascii="Arial" w:hAnsi="Arial" w:cs="Arial"/>
        </w:rPr>
        <w:t xml:space="preserve"> is commenced by</w:t>
      </w:r>
      <w:r w:rsidR="008D6630" w:rsidRPr="00212F5D">
        <w:rPr>
          <w:rFonts w:ascii="Arial" w:hAnsi="Arial" w:cs="Arial"/>
        </w:rPr>
        <w:t xml:space="preserve"> a court </w:t>
      </w:r>
      <w:r w:rsidR="00951095" w:rsidRPr="00212F5D">
        <w:rPr>
          <w:rFonts w:ascii="Arial" w:hAnsi="Arial" w:cs="Arial"/>
        </w:rPr>
        <w:t xml:space="preserve">application either by the company or </w:t>
      </w:r>
      <w:r w:rsidR="003014F3" w:rsidRPr="00212F5D">
        <w:rPr>
          <w:rFonts w:ascii="Arial" w:hAnsi="Arial" w:cs="Arial"/>
        </w:rPr>
        <w:t xml:space="preserve">a </w:t>
      </w:r>
      <w:r w:rsidR="00951095" w:rsidRPr="00212F5D">
        <w:rPr>
          <w:rFonts w:ascii="Arial" w:hAnsi="Arial" w:cs="Arial"/>
        </w:rPr>
        <w:t>creditor. To enter CCA</w:t>
      </w:r>
      <w:r w:rsidR="006A6FF1">
        <w:rPr>
          <w:rFonts w:ascii="Arial" w:hAnsi="Arial" w:cs="Arial"/>
        </w:rPr>
        <w:t>A</w:t>
      </w:r>
      <w:r w:rsidR="00951095" w:rsidRPr="00212F5D">
        <w:rPr>
          <w:rFonts w:ascii="Arial" w:hAnsi="Arial" w:cs="Arial"/>
        </w:rPr>
        <w:t xml:space="preserve"> proceedings the company must either be insolvent or have committed an “</w:t>
      </w:r>
      <w:r w:rsidR="00951095" w:rsidRPr="00212F5D">
        <w:rPr>
          <w:rFonts w:ascii="Arial" w:hAnsi="Arial" w:cs="Arial"/>
          <w:i/>
          <w:iCs/>
        </w:rPr>
        <w:t>act of bankruptcy</w:t>
      </w:r>
      <w:r w:rsidR="00951095" w:rsidRPr="00212F5D">
        <w:rPr>
          <w:rFonts w:ascii="Arial" w:hAnsi="Arial" w:cs="Arial"/>
        </w:rPr>
        <w:t xml:space="preserve">” and have creditor claims of no less than C$5,000,000. </w:t>
      </w:r>
    </w:p>
    <w:p w14:paraId="7A78A008" w14:textId="6142C9C3" w:rsidR="00E47AAA" w:rsidRPr="00212F5D" w:rsidRDefault="00951095" w:rsidP="00F11E92">
      <w:pPr>
        <w:spacing w:after="120" w:line="360" w:lineRule="auto"/>
        <w:jc w:val="both"/>
        <w:rPr>
          <w:rFonts w:ascii="Arial" w:hAnsi="Arial" w:cs="Arial"/>
        </w:rPr>
      </w:pPr>
      <w:r w:rsidRPr="00212F5D">
        <w:rPr>
          <w:rFonts w:ascii="Arial" w:hAnsi="Arial" w:cs="Arial"/>
        </w:rPr>
        <w:tab/>
        <w:t>A CCA</w:t>
      </w:r>
      <w:r w:rsidR="006A6FF1">
        <w:rPr>
          <w:rFonts w:ascii="Arial" w:hAnsi="Arial" w:cs="Arial"/>
        </w:rPr>
        <w:t>A</w:t>
      </w:r>
      <w:r w:rsidRPr="00212F5D">
        <w:rPr>
          <w:rFonts w:ascii="Arial" w:hAnsi="Arial" w:cs="Arial"/>
        </w:rPr>
        <w:t xml:space="preserve"> is a deb</w:t>
      </w:r>
      <w:r w:rsidR="008D6630" w:rsidRPr="00212F5D">
        <w:rPr>
          <w:rFonts w:ascii="Arial" w:hAnsi="Arial" w:cs="Arial"/>
        </w:rPr>
        <w:t xml:space="preserve">tor-in-possession process </w:t>
      </w:r>
      <w:r w:rsidRPr="00212F5D">
        <w:rPr>
          <w:rFonts w:ascii="Arial" w:hAnsi="Arial" w:cs="Arial"/>
        </w:rPr>
        <w:t>in which the existing board of directors and management retain control of the c</w:t>
      </w:r>
      <w:r w:rsidR="00E47AAA" w:rsidRPr="00212F5D">
        <w:rPr>
          <w:rFonts w:ascii="Arial" w:hAnsi="Arial" w:cs="Arial"/>
        </w:rPr>
        <w:t>o</w:t>
      </w:r>
      <w:r w:rsidRPr="00212F5D">
        <w:rPr>
          <w:rFonts w:ascii="Arial" w:hAnsi="Arial" w:cs="Arial"/>
        </w:rPr>
        <w:t xml:space="preserve">mpany. </w:t>
      </w:r>
      <w:r w:rsidR="00E47AAA" w:rsidRPr="00212F5D">
        <w:rPr>
          <w:rFonts w:ascii="Arial" w:hAnsi="Arial" w:cs="Arial"/>
        </w:rPr>
        <w:t>A CCA</w:t>
      </w:r>
      <w:r w:rsidR="006A6FF1">
        <w:rPr>
          <w:rFonts w:ascii="Arial" w:hAnsi="Arial" w:cs="Arial"/>
        </w:rPr>
        <w:t>A</w:t>
      </w:r>
      <w:r w:rsidR="00E47AAA" w:rsidRPr="00212F5D">
        <w:rPr>
          <w:rFonts w:ascii="Arial" w:hAnsi="Arial" w:cs="Arial"/>
        </w:rPr>
        <w:t xml:space="preserve"> application must include the appointment of an Insolvency Practitioner called a </w:t>
      </w:r>
      <w:r w:rsidR="000B718E" w:rsidRPr="00212F5D">
        <w:rPr>
          <w:rFonts w:ascii="Arial" w:hAnsi="Arial" w:cs="Arial"/>
        </w:rPr>
        <w:t>M</w:t>
      </w:r>
      <w:r w:rsidR="00E47AAA" w:rsidRPr="00212F5D">
        <w:rPr>
          <w:rFonts w:ascii="Arial" w:hAnsi="Arial" w:cs="Arial"/>
        </w:rPr>
        <w:t xml:space="preserve">onitor. The role of the </w:t>
      </w:r>
      <w:r w:rsidR="000B718E" w:rsidRPr="00212F5D">
        <w:rPr>
          <w:rFonts w:ascii="Arial" w:hAnsi="Arial" w:cs="Arial"/>
        </w:rPr>
        <w:t>M</w:t>
      </w:r>
      <w:r w:rsidR="00E47AAA" w:rsidRPr="00212F5D">
        <w:rPr>
          <w:rFonts w:ascii="Arial" w:hAnsi="Arial" w:cs="Arial"/>
        </w:rPr>
        <w:t>onitor is to supervise and</w:t>
      </w:r>
      <w:r w:rsidR="008B2A97" w:rsidRPr="00212F5D">
        <w:rPr>
          <w:rFonts w:ascii="Arial" w:hAnsi="Arial" w:cs="Arial"/>
        </w:rPr>
        <w:t xml:space="preserve"> </w:t>
      </w:r>
      <w:r w:rsidR="00E47AAA" w:rsidRPr="00212F5D">
        <w:rPr>
          <w:rFonts w:ascii="Arial" w:hAnsi="Arial" w:cs="Arial"/>
        </w:rPr>
        <w:t xml:space="preserve">advise the company on the development of a </w:t>
      </w:r>
      <w:r w:rsidR="00CA3D0C" w:rsidRPr="00212F5D">
        <w:rPr>
          <w:rFonts w:ascii="Arial" w:hAnsi="Arial" w:cs="Arial"/>
        </w:rPr>
        <w:t>p</w:t>
      </w:r>
      <w:r w:rsidR="00E47AAA" w:rsidRPr="00212F5D">
        <w:rPr>
          <w:rFonts w:ascii="Arial" w:hAnsi="Arial" w:cs="Arial"/>
        </w:rPr>
        <w:t xml:space="preserve">lan of </w:t>
      </w:r>
      <w:r w:rsidR="00CA3D0C" w:rsidRPr="00212F5D">
        <w:rPr>
          <w:rFonts w:ascii="Arial" w:hAnsi="Arial" w:cs="Arial"/>
        </w:rPr>
        <w:t>a</w:t>
      </w:r>
      <w:r w:rsidR="00E47AAA" w:rsidRPr="00212F5D">
        <w:rPr>
          <w:rFonts w:ascii="Arial" w:hAnsi="Arial" w:cs="Arial"/>
        </w:rPr>
        <w:t>rrangement</w:t>
      </w:r>
      <w:r w:rsidR="00CA3D0C" w:rsidRPr="00212F5D">
        <w:rPr>
          <w:rFonts w:ascii="Arial" w:hAnsi="Arial" w:cs="Arial"/>
        </w:rPr>
        <w:t xml:space="preserve"> or compromise (“CCA</w:t>
      </w:r>
      <w:r w:rsidR="006A6FF1">
        <w:rPr>
          <w:rFonts w:ascii="Arial" w:hAnsi="Arial" w:cs="Arial"/>
        </w:rPr>
        <w:t>A</w:t>
      </w:r>
      <w:r w:rsidR="00CA3D0C" w:rsidRPr="00212F5D">
        <w:rPr>
          <w:rFonts w:ascii="Arial" w:hAnsi="Arial" w:cs="Arial"/>
        </w:rPr>
        <w:t xml:space="preserve"> Plan”)</w:t>
      </w:r>
      <w:r w:rsidR="00E47AAA" w:rsidRPr="00212F5D">
        <w:rPr>
          <w:rFonts w:ascii="Arial" w:hAnsi="Arial" w:cs="Arial"/>
        </w:rPr>
        <w:t>.</w:t>
      </w:r>
    </w:p>
    <w:p w14:paraId="1667B1FE" w14:textId="5E9C3597" w:rsidR="00DA470C" w:rsidRPr="00212F5D" w:rsidRDefault="00E47AAA" w:rsidP="00F11E92">
      <w:pPr>
        <w:spacing w:after="120" w:line="360" w:lineRule="auto"/>
        <w:jc w:val="both"/>
        <w:rPr>
          <w:rFonts w:ascii="Arial" w:hAnsi="Arial" w:cs="Arial"/>
        </w:rPr>
      </w:pPr>
      <w:r w:rsidRPr="00212F5D">
        <w:rPr>
          <w:rFonts w:ascii="Arial" w:hAnsi="Arial" w:cs="Arial"/>
        </w:rPr>
        <w:tab/>
      </w:r>
      <w:r w:rsidR="000B718E" w:rsidRPr="00212F5D">
        <w:rPr>
          <w:rFonts w:ascii="Arial" w:hAnsi="Arial" w:cs="Arial"/>
        </w:rPr>
        <w:t>To be binding a</w:t>
      </w:r>
      <w:r w:rsidRPr="00212F5D">
        <w:rPr>
          <w:rFonts w:ascii="Arial" w:hAnsi="Arial" w:cs="Arial"/>
        </w:rPr>
        <w:t xml:space="preserve"> </w:t>
      </w:r>
      <w:r w:rsidR="00CA3D0C" w:rsidRPr="00212F5D">
        <w:rPr>
          <w:rFonts w:ascii="Arial" w:hAnsi="Arial" w:cs="Arial"/>
        </w:rPr>
        <w:t>CCA</w:t>
      </w:r>
      <w:r w:rsidR="006A6FF1">
        <w:rPr>
          <w:rFonts w:ascii="Arial" w:hAnsi="Arial" w:cs="Arial"/>
        </w:rPr>
        <w:t>A</w:t>
      </w:r>
      <w:r w:rsidR="00CA3D0C" w:rsidRPr="00212F5D">
        <w:rPr>
          <w:rFonts w:ascii="Arial" w:hAnsi="Arial" w:cs="Arial"/>
        </w:rPr>
        <w:t xml:space="preserve"> Plan</w:t>
      </w:r>
      <w:r w:rsidRPr="00212F5D">
        <w:rPr>
          <w:rFonts w:ascii="Arial" w:hAnsi="Arial" w:cs="Arial"/>
        </w:rPr>
        <w:t xml:space="preserve"> must be approved by a majority in number of creditors in each class holding no less than </w:t>
      </w:r>
      <w:r w:rsidR="000C73C7" w:rsidRPr="00212F5D">
        <w:rPr>
          <w:rFonts w:ascii="Arial" w:hAnsi="Arial" w:cs="Arial"/>
        </w:rPr>
        <w:t xml:space="preserve">two-thirds in value of the claims in that class. </w:t>
      </w:r>
      <w:r w:rsidR="00CA3D0C" w:rsidRPr="00212F5D">
        <w:rPr>
          <w:rFonts w:ascii="Arial" w:hAnsi="Arial" w:cs="Arial"/>
        </w:rPr>
        <w:t>A CCA</w:t>
      </w:r>
      <w:r w:rsidR="006A6FF1">
        <w:rPr>
          <w:rFonts w:ascii="Arial" w:hAnsi="Arial" w:cs="Arial"/>
        </w:rPr>
        <w:t>A</w:t>
      </w:r>
      <w:r w:rsidR="00CA3D0C" w:rsidRPr="00212F5D">
        <w:rPr>
          <w:rFonts w:ascii="Arial" w:hAnsi="Arial" w:cs="Arial"/>
        </w:rPr>
        <w:t xml:space="preserve"> Plan that has been accepted by the requisite double majorities must still be sanctioned by the court. </w:t>
      </w:r>
    </w:p>
    <w:p w14:paraId="6C10041C" w14:textId="763A88D8" w:rsidR="00951095" w:rsidRPr="00212F5D" w:rsidRDefault="006A6FF1" w:rsidP="00F11E92">
      <w:pPr>
        <w:spacing w:after="120" w:line="360" w:lineRule="auto"/>
        <w:jc w:val="both"/>
        <w:rPr>
          <w:rFonts w:ascii="Arial" w:hAnsi="Arial" w:cs="Arial"/>
        </w:rPr>
      </w:pPr>
      <w:r>
        <w:rPr>
          <w:rFonts w:ascii="Arial" w:hAnsi="Arial" w:cs="Arial"/>
        </w:rPr>
        <w:lastRenderedPageBreak/>
        <w:tab/>
        <w:t>The CCAA</w:t>
      </w:r>
      <w:r w:rsidR="008B2A97" w:rsidRPr="00212F5D">
        <w:rPr>
          <w:rFonts w:ascii="Arial" w:hAnsi="Arial" w:cs="Arial"/>
        </w:rPr>
        <w:t xml:space="preserve"> grants a court the statutory power to order a priority charge to secure interim financing. </w:t>
      </w:r>
      <w:r w:rsidR="00C33C68" w:rsidRPr="00212F5D">
        <w:rPr>
          <w:rFonts w:ascii="Arial" w:hAnsi="Arial" w:cs="Arial"/>
        </w:rPr>
        <w:t>A</w:t>
      </w:r>
      <w:r w:rsidR="00951095" w:rsidRPr="00212F5D">
        <w:rPr>
          <w:rFonts w:ascii="Arial" w:hAnsi="Arial" w:cs="Arial"/>
        </w:rPr>
        <w:t xml:space="preserve"> CCA</w:t>
      </w:r>
      <w:r>
        <w:rPr>
          <w:rFonts w:ascii="Arial" w:hAnsi="Arial" w:cs="Arial"/>
        </w:rPr>
        <w:t>A</w:t>
      </w:r>
      <w:r w:rsidR="00951095" w:rsidRPr="00212F5D">
        <w:rPr>
          <w:rFonts w:ascii="Arial" w:hAnsi="Arial" w:cs="Arial"/>
        </w:rPr>
        <w:t xml:space="preserve"> filing does not result in an automatic statutory stay of proceedings, but typically among the orders requested in the court application </w:t>
      </w:r>
      <w:r>
        <w:rPr>
          <w:rFonts w:ascii="Arial" w:hAnsi="Arial" w:cs="Arial"/>
        </w:rPr>
        <w:t xml:space="preserve">is </w:t>
      </w:r>
      <w:r w:rsidR="000B718E" w:rsidRPr="00212F5D">
        <w:rPr>
          <w:rFonts w:ascii="Arial" w:hAnsi="Arial" w:cs="Arial"/>
        </w:rPr>
        <w:t>a</w:t>
      </w:r>
      <w:r w:rsidR="00E47AAA" w:rsidRPr="00212F5D">
        <w:rPr>
          <w:rFonts w:ascii="Arial" w:hAnsi="Arial" w:cs="Arial"/>
        </w:rPr>
        <w:t xml:space="preserve"> request </w:t>
      </w:r>
      <w:r w:rsidR="000B718E" w:rsidRPr="00212F5D">
        <w:rPr>
          <w:rFonts w:ascii="Arial" w:hAnsi="Arial" w:cs="Arial"/>
        </w:rPr>
        <w:t xml:space="preserve">of a </w:t>
      </w:r>
      <w:r w:rsidR="00E47AAA" w:rsidRPr="00212F5D">
        <w:rPr>
          <w:rFonts w:ascii="Arial" w:hAnsi="Arial" w:cs="Arial"/>
        </w:rPr>
        <w:t xml:space="preserve">stay of proceedings. </w:t>
      </w:r>
    </w:p>
    <w:p w14:paraId="64B0C2E8" w14:textId="42AE922F" w:rsidR="00163A7E" w:rsidRPr="00212F5D" w:rsidRDefault="00C11710" w:rsidP="00F11E92">
      <w:pPr>
        <w:pStyle w:val="Heading1"/>
        <w:spacing w:after="120" w:line="360" w:lineRule="auto"/>
        <w:jc w:val="both"/>
        <w:rPr>
          <w:rFonts w:ascii="Arial" w:hAnsi="Arial" w:cs="Arial"/>
        </w:rPr>
      </w:pPr>
      <w:bookmarkStart w:id="9" w:name="_Toc95128866"/>
      <w:r w:rsidRPr="00212F5D">
        <w:rPr>
          <w:rFonts w:ascii="Arial" w:hAnsi="Arial" w:cs="Arial"/>
        </w:rPr>
        <w:t xml:space="preserve">PART IV- </w:t>
      </w:r>
      <w:r w:rsidR="002A4285" w:rsidRPr="00212F5D">
        <w:rPr>
          <w:rFonts w:ascii="Arial" w:hAnsi="Arial" w:cs="Arial"/>
        </w:rPr>
        <w:t>APPLICATION OF THE VARIABLES TO EACH JURISDICTION</w:t>
      </w:r>
      <w:bookmarkEnd w:id="9"/>
    </w:p>
    <w:p w14:paraId="52221CF6" w14:textId="2FCB8374" w:rsidR="00840855" w:rsidRPr="00212F5D" w:rsidRDefault="008D1823" w:rsidP="00F11E92">
      <w:pPr>
        <w:spacing w:after="120" w:line="360" w:lineRule="auto"/>
        <w:rPr>
          <w:rFonts w:ascii="Arial" w:hAnsi="Arial" w:cs="Arial"/>
        </w:rPr>
        <w:sectPr w:rsidR="00840855" w:rsidRPr="00212F5D" w:rsidSect="006F4AA1">
          <w:pgSz w:w="12240" w:h="15840"/>
          <w:pgMar w:top="1440" w:right="1440" w:bottom="1440" w:left="1440" w:header="720" w:footer="720" w:gutter="0"/>
          <w:cols w:space="720"/>
          <w:docGrid w:linePitch="360"/>
        </w:sectPr>
      </w:pPr>
      <w:r w:rsidRPr="00212F5D">
        <w:rPr>
          <w:rFonts w:ascii="Arial" w:hAnsi="Arial" w:cs="Arial"/>
        </w:rPr>
        <w:tab/>
        <w:t xml:space="preserve">The Table </w:t>
      </w:r>
      <w:r w:rsidR="00171774" w:rsidRPr="00212F5D">
        <w:rPr>
          <w:rFonts w:ascii="Arial" w:hAnsi="Arial" w:cs="Arial"/>
        </w:rPr>
        <w:t>below sets out</w:t>
      </w:r>
      <w:r w:rsidRPr="00212F5D">
        <w:rPr>
          <w:rFonts w:ascii="Arial" w:hAnsi="Arial" w:cs="Arial"/>
        </w:rPr>
        <w:t xml:space="preserve"> a summary of the application of the variables to</w:t>
      </w:r>
      <w:r w:rsidR="003014F3" w:rsidRPr="00212F5D">
        <w:rPr>
          <w:rFonts w:ascii="Arial" w:hAnsi="Arial" w:cs="Arial"/>
        </w:rPr>
        <w:t xml:space="preserve"> the restructuring processes in</w:t>
      </w:r>
      <w:r w:rsidRPr="00212F5D">
        <w:rPr>
          <w:rFonts w:ascii="Arial" w:hAnsi="Arial" w:cs="Arial"/>
        </w:rPr>
        <w:t xml:space="preserve"> each jurisdiction.  </w:t>
      </w:r>
    </w:p>
    <w:p w14:paraId="5F3E0755" w14:textId="46E22A18" w:rsidR="004F1D7D" w:rsidRPr="00212F5D" w:rsidRDefault="00465CA1" w:rsidP="002A4285">
      <w:pPr>
        <w:pStyle w:val="Heading2"/>
        <w:rPr>
          <w:rFonts w:ascii="Arial" w:hAnsi="Arial" w:cs="Arial"/>
        </w:rPr>
      </w:pPr>
      <w:bookmarkStart w:id="10" w:name="_Toc95128867"/>
      <w:r w:rsidRPr="00212F5D">
        <w:rPr>
          <w:rFonts w:ascii="Arial" w:hAnsi="Arial" w:cs="Arial"/>
        </w:rPr>
        <w:lastRenderedPageBreak/>
        <w:t>Table</w:t>
      </w:r>
      <w:bookmarkEnd w:id="10"/>
      <w:r w:rsidR="00E37AA0" w:rsidRPr="00212F5D">
        <w:rPr>
          <w:rFonts w:ascii="Arial" w:hAnsi="Arial" w:cs="Arial"/>
        </w:rPr>
        <w:t xml:space="preserve"> </w:t>
      </w:r>
    </w:p>
    <w:tbl>
      <w:tblPr>
        <w:tblStyle w:val="TableGrid"/>
        <w:tblW w:w="12978" w:type="dxa"/>
        <w:tblLayout w:type="fixed"/>
        <w:tblLook w:val="04A0" w:firstRow="1" w:lastRow="0" w:firstColumn="1" w:lastColumn="0" w:noHBand="0" w:noVBand="1"/>
      </w:tblPr>
      <w:tblGrid>
        <w:gridCol w:w="1458"/>
        <w:gridCol w:w="1867"/>
        <w:gridCol w:w="1890"/>
        <w:gridCol w:w="2453"/>
        <w:gridCol w:w="2520"/>
        <w:gridCol w:w="2790"/>
      </w:tblGrid>
      <w:tr w:rsidR="0091550B" w:rsidRPr="00212F5D" w14:paraId="210AA371" w14:textId="77777777" w:rsidTr="0051527A">
        <w:tc>
          <w:tcPr>
            <w:tcW w:w="1458" w:type="dxa"/>
          </w:tcPr>
          <w:p w14:paraId="1814F0A8" w14:textId="77777777" w:rsidR="0091550B" w:rsidRPr="00212F5D" w:rsidRDefault="0091550B" w:rsidP="0051527A">
            <w:pPr>
              <w:jc w:val="center"/>
              <w:rPr>
                <w:rFonts w:ascii="Arial" w:hAnsi="Arial" w:cs="Arial"/>
                <w:b/>
                <w:bCs/>
              </w:rPr>
            </w:pPr>
          </w:p>
        </w:tc>
        <w:tc>
          <w:tcPr>
            <w:tcW w:w="6210" w:type="dxa"/>
            <w:gridSpan w:val="3"/>
          </w:tcPr>
          <w:p w14:paraId="76610ABC" w14:textId="48E61689" w:rsidR="0091550B" w:rsidRPr="00212F5D" w:rsidRDefault="0091550B" w:rsidP="0051527A">
            <w:pPr>
              <w:jc w:val="center"/>
              <w:rPr>
                <w:rFonts w:ascii="Arial" w:hAnsi="Arial" w:cs="Arial"/>
                <w:b/>
                <w:bCs/>
              </w:rPr>
            </w:pPr>
            <w:r w:rsidRPr="00212F5D">
              <w:rPr>
                <w:rFonts w:ascii="Arial" w:hAnsi="Arial" w:cs="Arial"/>
                <w:b/>
                <w:bCs/>
              </w:rPr>
              <w:t>United Kingdom</w:t>
            </w:r>
            <w:r w:rsidR="005A0272">
              <w:rPr>
                <w:rStyle w:val="FootnoteReference"/>
                <w:rFonts w:ascii="Arial" w:hAnsi="Arial" w:cs="Arial"/>
                <w:b/>
                <w:bCs/>
              </w:rPr>
              <w:footnoteReference w:id="22"/>
            </w:r>
          </w:p>
        </w:tc>
        <w:tc>
          <w:tcPr>
            <w:tcW w:w="5310" w:type="dxa"/>
            <w:gridSpan w:val="2"/>
            <w:shd w:val="clear" w:color="auto" w:fill="auto"/>
          </w:tcPr>
          <w:p w14:paraId="03E5C6DC" w14:textId="77777777" w:rsidR="0091550B" w:rsidRPr="00212F5D" w:rsidRDefault="0091550B" w:rsidP="0051527A">
            <w:pPr>
              <w:jc w:val="center"/>
              <w:rPr>
                <w:rFonts w:ascii="Arial" w:hAnsi="Arial" w:cs="Arial"/>
                <w:b/>
                <w:bCs/>
              </w:rPr>
            </w:pPr>
            <w:r w:rsidRPr="00212F5D">
              <w:rPr>
                <w:rFonts w:ascii="Arial" w:hAnsi="Arial" w:cs="Arial"/>
                <w:b/>
                <w:bCs/>
              </w:rPr>
              <w:t>Canada</w:t>
            </w:r>
          </w:p>
        </w:tc>
      </w:tr>
      <w:tr w:rsidR="0091550B" w:rsidRPr="00212F5D" w14:paraId="70783932" w14:textId="77777777" w:rsidTr="006A6FF1">
        <w:trPr>
          <w:trHeight w:val="737"/>
        </w:trPr>
        <w:tc>
          <w:tcPr>
            <w:tcW w:w="1458" w:type="dxa"/>
          </w:tcPr>
          <w:p w14:paraId="302CDE66" w14:textId="77777777" w:rsidR="0091550B" w:rsidRPr="00212F5D" w:rsidRDefault="0091550B" w:rsidP="0051527A">
            <w:pPr>
              <w:jc w:val="center"/>
              <w:rPr>
                <w:rFonts w:ascii="Arial" w:hAnsi="Arial" w:cs="Arial"/>
                <w:b/>
                <w:bCs/>
                <w:sz w:val="20"/>
                <w:szCs w:val="20"/>
              </w:rPr>
            </w:pPr>
            <w:r w:rsidRPr="00212F5D">
              <w:rPr>
                <w:rFonts w:ascii="Arial" w:hAnsi="Arial" w:cs="Arial"/>
                <w:b/>
                <w:bCs/>
                <w:sz w:val="20"/>
                <w:szCs w:val="20"/>
              </w:rPr>
              <w:t>Process</w:t>
            </w:r>
          </w:p>
        </w:tc>
        <w:tc>
          <w:tcPr>
            <w:tcW w:w="1867" w:type="dxa"/>
          </w:tcPr>
          <w:p w14:paraId="343DE5C4" w14:textId="6B128B6B" w:rsidR="0091550B" w:rsidRPr="006A6FF1" w:rsidRDefault="0091550B" w:rsidP="0051527A">
            <w:pPr>
              <w:jc w:val="center"/>
              <w:rPr>
                <w:rFonts w:ascii="Arial" w:hAnsi="Arial" w:cs="Arial"/>
                <w:b/>
                <w:bCs/>
                <w:sz w:val="20"/>
                <w:szCs w:val="20"/>
              </w:rPr>
            </w:pPr>
            <w:r w:rsidRPr="00212F5D">
              <w:rPr>
                <w:rFonts w:ascii="Arial" w:hAnsi="Arial" w:cs="Arial"/>
                <w:b/>
                <w:bCs/>
                <w:sz w:val="20"/>
                <w:szCs w:val="20"/>
              </w:rPr>
              <w:t>C</w:t>
            </w:r>
            <w:r w:rsidR="006A6FF1">
              <w:rPr>
                <w:rFonts w:ascii="Arial" w:hAnsi="Arial" w:cs="Arial"/>
                <w:b/>
                <w:bCs/>
                <w:sz w:val="20"/>
                <w:szCs w:val="20"/>
              </w:rPr>
              <w:t xml:space="preserve">reditors Voluntary Arrangement </w:t>
            </w:r>
          </w:p>
        </w:tc>
        <w:tc>
          <w:tcPr>
            <w:tcW w:w="1890" w:type="dxa"/>
          </w:tcPr>
          <w:p w14:paraId="45A4506B" w14:textId="77777777" w:rsidR="0091550B" w:rsidRPr="00212F5D" w:rsidRDefault="0091550B" w:rsidP="0051527A">
            <w:pPr>
              <w:jc w:val="center"/>
              <w:rPr>
                <w:rFonts w:ascii="Arial" w:hAnsi="Arial" w:cs="Arial"/>
                <w:b/>
                <w:bCs/>
                <w:sz w:val="20"/>
                <w:szCs w:val="20"/>
              </w:rPr>
            </w:pPr>
          </w:p>
          <w:p w14:paraId="4BADE5E6" w14:textId="77777777" w:rsidR="0091550B" w:rsidRPr="00212F5D" w:rsidRDefault="0091550B" w:rsidP="0051527A">
            <w:pPr>
              <w:jc w:val="center"/>
              <w:rPr>
                <w:rFonts w:ascii="Arial" w:hAnsi="Arial" w:cs="Arial"/>
                <w:b/>
                <w:bCs/>
                <w:sz w:val="20"/>
                <w:szCs w:val="20"/>
              </w:rPr>
            </w:pPr>
            <w:r w:rsidRPr="00212F5D">
              <w:rPr>
                <w:rFonts w:ascii="Arial" w:hAnsi="Arial" w:cs="Arial"/>
                <w:b/>
                <w:bCs/>
                <w:sz w:val="20"/>
                <w:szCs w:val="20"/>
              </w:rPr>
              <w:t>Administration</w:t>
            </w:r>
          </w:p>
        </w:tc>
        <w:tc>
          <w:tcPr>
            <w:tcW w:w="2453" w:type="dxa"/>
          </w:tcPr>
          <w:p w14:paraId="695977E7" w14:textId="77777777" w:rsidR="0091550B" w:rsidRPr="00212F5D" w:rsidRDefault="0091550B" w:rsidP="0051527A">
            <w:pPr>
              <w:jc w:val="center"/>
              <w:rPr>
                <w:rFonts w:ascii="Arial" w:hAnsi="Arial" w:cs="Arial"/>
                <w:b/>
                <w:bCs/>
                <w:sz w:val="20"/>
                <w:szCs w:val="20"/>
              </w:rPr>
            </w:pPr>
          </w:p>
          <w:p w14:paraId="2859C078" w14:textId="279EF172" w:rsidR="0091550B" w:rsidRPr="00212F5D" w:rsidRDefault="0091550B" w:rsidP="0051527A">
            <w:pPr>
              <w:jc w:val="center"/>
              <w:rPr>
                <w:rFonts w:ascii="Arial" w:hAnsi="Arial" w:cs="Arial"/>
                <w:b/>
                <w:bCs/>
                <w:sz w:val="20"/>
                <w:szCs w:val="20"/>
              </w:rPr>
            </w:pPr>
            <w:r w:rsidRPr="00212F5D">
              <w:rPr>
                <w:rFonts w:ascii="Arial" w:hAnsi="Arial" w:cs="Arial"/>
                <w:b/>
                <w:bCs/>
                <w:sz w:val="20"/>
                <w:szCs w:val="20"/>
              </w:rPr>
              <w:t>Restructuring Plan</w:t>
            </w:r>
          </w:p>
        </w:tc>
        <w:tc>
          <w:tcPr>
            <w:tcW w:w="2520" w:type="dxa"/>
          </w:tcPr>
          <w:p w14:paraId="1639967C" w14:textId="77777777" w:rsidR="0091550B" w:rsidRPr="00212F5D" w:rsidRDefault="0091550B" w:rsidP="0051527A">
            <w:pPr>
              <w:jc w:val="center"/>
              <w:rPr>
                <w:rFonts w:ascii="Arial" w:hAnsi="Arial" w:cs="Arial"/>
                <w:b/>
                <w:bCs/>
                <w:sz w:val="20"/>
                <w:szCs w:val="20"/>
              </w:rPr>
            </w:pPr>
          </w:p>
          <w:p w14:paraId="3A4ED330" w14:textId="77777777" w:rsidR="0091550B" w:rsidRPr="00212F5D" w:rsidRDefault="0091550B" w:rsidP="0051527A">
            <w:pPr>
              <w:jc w:val="center"/>
              <w:rPr>
                <w:rFonts w:ascii="Arial" w:hAnsi="Arial" w:cs="Arial"/>
                <w:b/>
                <w:bCs/>
                <w:sz w:val="20"/>
                <w:szCs w:val="20"/>
              </w:rPr>
            </w:pPr>
            <w:r w:rsidRPr="00212F5D">
              <w:rPr>
                <w:rFonts w:ascii="Arial" w:hAnsi="Arial" w:cs="Arial"/>
                <w:b/>
                <w:bCs/>
                <w:sz w:val="20"/>
                <w:szCs w:val="20"/>
              </w:rPr>
              <w:t>Proposal</w:t>
            </w:r>
          </w:p>
        </w:tc>
        <w:tc>
          <w:tcPr>
            <w:tcW w:w="2790" w:type="dxa"/>
          </w:tcPr>
          <w:p w14:paraId="7D089E7E" w14:textId="77777777" w:rsidR="0091550B" w:rsidRPr="00212F5D" w:rsidRDefault="0091550B" w:rsidP="0051527A">
            <w:pPr>
              <w:jc w:val="center"/>
              <w:rPr>
                <w:rFonts w:ascii="Arial" w:hAnsi="Arial" w:cs="Arial"/>
                <w:b/>
                <w:bCs/>
                <w:sz w:val="20"/>
                <w:szCs w:val="20"/>
              </w:rPr>
            </w:pPr>
          </w:p>
          <w:p w14:paraId="1AA2BEA3" w14:textId="5E0AC013" w:rsidR="0091550B" w:rsidRPr="00212F5D" w:rsidRDefault="0091550B" w:rsidP="0051527A">
            <w:pPr>
              <w:jc w:val="center"/>
              <w:rPr>
                <w:rFonts w:ascii="Arial" w:hAnsi="Arial" w:cs="Arial"/>
                <w:b/>
                <w:bCs/>
                <w:sz w:val="20"/>
                <w:szCs w:val="20"/>
              </w:rPr>
            </w:pPr>
            <w:r w:rsidRPr="00212F5D">
              <w:rPr>
                <w:rFonts w:ascii="Arial" w:hAnsi="Arial" w:cs="Arial"/>
                <w:b/>
                <w:bCs/>
                <w:sz w:val="20"/>
                <w:szCs w:val="20"/>
              </w:rPr>
              <w:t>C</w:t>
            </w:r>
            <w:r w:rsidR="006A6FF1">
              <w:rPr>
                <w:rFonts w:ascii="Arial" w:hAnsi="Arial" w:cs="Arial"/>
                <w:b/>
                <w:bCs/>
                <w:sz w:val="20"/>
                <w:szCs w:val="20"/>
              </w:rPr>
              <w:t>ompanies’ Creditors Arrangement</w:t>
            </w:r>
          </w:p>
        </w:tc>
      </w:tr>
      <w:tr w:rsidR="0091550B" w:rsidRPr="00212F5D" w14:paraId="7D19E681" w14:textId="77777777" w:rsidTr="00C81D63">
        <w:trPr>
          <w:trHeight w:val="1268"/>
        </w:trPr>
        <w:tc>
          <w:tcPr>
            <w:tcW w:w="1458" w:type="dxa"/>
          </w:tcPr>
          <w:p w14:paraId="3713D6D2" w14:textId="77777777" w:rsidR="0091550B" w:rsidRPr="00212F5D" w:rsidRDefault="0091550B" w:rsidP="0051527A">
            <w:pPr>
              <w:jc w:val="center"/>
              <w:rPr>
                <w:rFonts w:ascii="Arial" w:hAnsi="Arial" w:cs="Arial"/>
                <w:b/>
                <w:bCs/>
                <w:sz w:val="18"/>
                <w:szCs w:val="18"/>
              </w:rPr>
            </w:pPr>
            <w:r w:rsidRPr="00212F5D">
              <w:rPr>
                <w:rFonts w:ascii="Arial" w:hAnsi="Arial" w:cs="Arial"/>
                <w:b/>
                <w:bCs/>
                <w:sz w:val="18"/>
                <w:szCs w:val="18"/>
              </w:rPr>
              <w:t xml:space="preserve">Court Involvement </w:t>
            </w:r>
          </w:p>
        </w:tc>
        <w:tc>
          <w:tcPr>
            <w:tcW w:w="1867" w:type="dxa"/>
          </w:tcPr>
          <w:p w14:paraId="0F24FFF2"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 xml:space="preserve">Supervised by Insolvency Practitioner. </w:t>
            </w:r>
          </w:p>
          <w:p w14:paraId="197BAF99"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Court not involved unless challenged</w:t>
            </w:r>
          </w:p>
        </w:tc>
        <w:tc>
          <w:tcPr>
            <w:tcW w:w="1890" w:type="dxa"/>
          </w:tcPr>
          <w:p w14:paraId="390C3B67"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Supervised by Administrator.</w:t>
            </w:r>
          </w:p>
          <w:p w14:paraId="254FA873"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Court need not be involved</w:t>
            </w:r>
          </w:p>
        </w:tc>
        <w:tc>
          <w:tcPr>
            <w:tcW w:w="2453" w:type="dxa"/>
          </w:tcPr>
          <w:p w14:paraId="7BFE08EF"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Significant Court supervision with at least two Court hearings</w:t>
            </w:r>
          </w:p>
        </w:tc>
        <w:tc>
          <w:tcPr>
            <w:tcW w:w="2520" w:type="dxa"/>
          </w:tcPr>
          <w:p w14:paraId="5BA9ABC3"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Supervised by Insolvency Practitioner.</w:t>
            </w:r>
          </w:p>
          <w:p w14:paraId="172F4A42"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 xml:space="preserve">Court must also approve Proposal once accepted by creditors  </w:t>
            </w:r>
          </w:p>
        </w:tc>
        <w:tc>
          <w:tcPr>
            <w:tcW w:w="2790" w:type="dxa"/>
          </w:tcPr>
          <w:p w14:paraId="0C408778"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 xml:space="preserve">Significant Court supervision and involvement and appointment of monitor. </w:t>
            </w:r>
          </w:p>
          <w:p w14:paraId="2299B0A1"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Court must also approve Plan or Arrangement once accepted by creditors</w:t>
            </w:r>
          </w:p>
        </w:tc>
      </w:tr>
      <w:tr w:rsidR="0091550B" w:rsidRPr="00212F5D" w14:paraId="646295AD" w14:textId="77777777" w:rsidTr="00C81D63">
        <w:tc>
          <w:tcPr>
            <w:tcW w:w="1458" w:type="dxa"/>
          </w:tcPr>
          <w:p w14:paraId="559FFCBA" w14:textId="77777777" w:rsidR="0091550B" w:rsidRPr="00212F5D" w:rsidRDefault="0091550B" w:rsidP="0051527A">
            <w:pPr>
              <w:jc w:val="center"/>
              <w:rPr>
                <w:rFonts w:ascii="Arial" w:hAnsi="Arial" w:cs="Arial"/>
                <w:b/>
                <w:bCs/>
                <w:sz w:val="18"/>
                <w:szCs w:val="18"/>
              </w:rPr>
            </w:pPr>
            <w:r w:rsidRPr="00212F5D">
              <w:rPr>
                <w:rFonts w:ascii="Arial" w:hAnsi="Arial" w:cs="Arial"/>
                <w:b/>
                <w:bCs/>
                <w:sz w:val="18"/>
                <w:szCs w:val="18"/>
              </w:rPr>
              <w:t>Stay on Enforcement Proceedings</w:t>
            </w:r>
          </w:p>
        </w:tc>
        <w:tc>
          <w:tcPr>
            <w:tcW w:w="1867" w:type="dxa"/>
          </w:tcPr>
          <w:p w14:paraId="2CF18FF2" w14:textId="3540115A" w:rsidR="0091550B" w:rsidRPr="00212F5D" w:rsidRDefault="0091550B" w:rsidP="0051527A">
            <w:pPr>
              <w:jc w:val="center"/>
              <w:rPr>
                <w:rFonts w:ascii="Arial" w:hAnsi="Arial" w:cs="Arial"/>
                <w:sz w:val="18"/>
                <w:szCs w:val="18"/>
              </w:rPr>
            </w:pPr>
            <w:r w:rsidRPr="00212F5D">
              <w:rPr>
                <w:rFonts w:ascii="Arial" w:hAnsi="Arial" w:cs="Arial"/>
                <w:sz w:val="18"/>
                <w:szCs w:val="18"/>
              </w:rPr>
              <w:t>No automatic statutory stay</w:t>
            </w:r>
            <w:r w:rsidR="002B68C5" w:rsidRPr="00212F5D">
              <w:rPr>
                <w:rFonts w:ascii="Arial" w:hAnsi="Arial" w:cs="Arial"/>
                <w:sz w:val="18"/>
                <w:szCs w:val="18"/>
              </w:rPr>
              <w:t>.</w:t>
            </w:r>
          </w:p>
          <w:p w14:paraId="75AF5D62" w14:textId="21A51D35" w:rsidR="00C531E0" w:rsidRPr="00212F5D" w:rsidRDefault="00C531E0" w:rsidP="0051527A">
            <w:pPr>
              <w:jc w:val="center"/>
              <w:rPr>
                <w:rFonts w:ascii="Arial" w:hAnsi="Arial" w:cs="Arial"/>
                <w:sz w:val="18"/>
                <w:szCs w:val="18"/>
              </w:rPr>
            </w:pPr>
          </w:p>
        </w:tc>
        <w:tc>
          <w:tcPr>
            <w:tcW w:w="1890" w:type="dxa"/>
          </w:tcPr>
          <w:p w14:paraId="639E756E" w14:textId="77777777" w:rsidR="0091550B" w:rsidRPr="00212F5D" w:rsidRDefault="0091550B" w:rsidP="0051527A">
            <w:pPr>
              <w:jc w:val="center"/>
              <w:rPr>
                <w:rFonts w:ascii="Arial" w:hAnsi="Arial" w:cs="Arial"/>
                <w:sz w:val="18"/>
                <w:szCs w:val="18"/>
              </w:rPr>
            </w:pPr>
            <w:bookmarkStart w:id="11" w:name="_Hlk94519057"/>
            <w:r w:rsidRPr="00212F5D">
              <w:rPr>
                <w:rFonts w:ascii="Arial" w:hAnsi="Arial" w:cs="Arial"/>
                <w:sz w:val="18"/>
                <w:szCs w:val="18"/>
              </w:rPr>
              <w:t>Automatic statutory stay once process commenced until administrative order granted</w:t>
            </w:r>
            <w:bookmarkEnd w:id="11"/>
          </w:p>
        </w:tc>
        <w:tc>
          <w:tcPr>
            <w:tcW w:w="2453" w:type="dxa"/>
          </w:tcPr>
          <w:p w14:paraId="0A975CF9"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No automatic statutory stay</w:t>
            </w:r>
            <w:r w:rsidR="002B68C5" w:rsidRPr="00212F5D">
              <w:rPr>
                <w:rFonts w:ascii="Arial" w:hAnsi="Arial" w:cs="Arial"/>
                <w:sz w:val="18"/>
                <w:szCs w:val="18"/>
              </w:rPr>
              <w:t>.</w:t>
            </w:r>
          </w:p>
          <w:p w14:paraId="510BEE7A" w14:textId="608F0299" w:rsidR="002B68C5" w:rsidRPr="00212F5D" w:rsidRDefault="002B68C5" w:rsidP="0051527A">
            <w:pPr>
              <w:jc w:val="center"/>
              <w:rPr>
                <w:rFonts w:ascii="Arial" w:hAnsi="Arial" w:cs="Arial"/>
                <w:sz w:val="18"/>
                <w:szCs w:val="18"/>
              </w:rPr>
            </w:pPr>
          </w:p>
        </w:tc>
        <w:tc>
          <w:tcPr>
            <w:tcW w:w="2520" w:type="dxa"/>
          </w:tcPr>
          <w:p w14:paraId="613ED5D7" w14:textId="77777777" w:rsidR="006A6FF1" w:rsidRPr="006A6FF1" w:rsidRDefault="0091550B" w:rsidP="006A6FF1">
            <w:pPr>
              <w:pStyle w:val="ListParagraph"/>
              <w:numPr>
                <w:ilvl w:val="0"/>
                <w:numId w:val="26"/>
              </w:numPr>
              <w:ind w:left="252" w:hanging="252"/>
              <w:rPr>
                <w:rFonts w:ascii="Arial" w:hAnsi="Arial" w:cs="Arial"/>
                <w:sz w:val="18"/>
                <w:szCs w:val="18"/>
              </w:rPr>
            </w:pPr>
            <w:r w:rsidRPr="006A6FF1">
              <w:rPr>
                <w:rFonts w:ascii="Arial" w:hAnsi="Arial" w:cs="Arial"/>
                <w:sz w:val="18"/>
                <w:szCs w:val="18"/>
              </w:rPr>
              <w:t xml:space="preserve">Automatic statutory stay for 30 days. </w:t>
            </w:r>
          </w:p>
          <w:p w14:paraId="51C89F47" w14:textId="429E8F6B" w:rsidR="0091550B" w:rsidRPr="006A6FF1" w:rsidRDefault="0091550B" w:rsidP="006A6FF1">
            <w:pPr>
              <w:pStyle w:val="ListParagraph"/>
              <w:numPr>
                <w:ilvl w:val="0"/>
                <w:numId w:val="25"/>
              </w:numPr>
              <w:ind w:left="252" w:hanging="252"/>
              <w:rPr>
                <w:rFonts w:ascii="Arial" w:hAnsi="Arial" w:cs="Arial"/>
                <w:sz w:val="18"/>
                <w:szCs w:val="18"/>
              </w:rPr>
            </w:pPr>
            <w:r w:rsidRPr="006A6FF1">
              <w:rPr>
                <w:rFonts w:ascii="Arial" w:hAnsi="Arial" w:cs="Arial"/>
                <w:sz w:val="18"/>
                <w:szCs w:val="18"/>
              </w:rPr>
              <w:t>May be extended up to 5 months</w:t>
            </w:r>
            <w:r w:rsidR="005A0272" w:rsidRPr="006A6FF1">
              <w:rPr>
                <w:rFonts w:ascii="Arial" w:hAnsi="Arial" w:cs="Arial"/>
                <w:sz w:val="18"/>
                <w:szCs w:val="18"/>
              </w:rPr>
              <w:t>.</w:t>
            </w:r>
          </w:p>
        </w:tc>
        <w:tc>
          <w:tcPr>
            <w:tcW w:w="2790" w:type="dxa"/>
          </w:tcPr>
          <w:p w14:paraId="074244CC" w14:textId="77777777" w:rsidR="005A0272" w:rsidRPr="006A6FF1" w:rsidRDefault="005A0272" w:rsidP="006A6FF1">
            <w:pPr>
              <w:pStyle w:val="ListParagraph"/>
              <w:numPr>
                <w:ilvl w:val="0"/>
                <w:numId w:val="24"/>
              </w:numPr>
              <w:ind w:left="162" w:hanging="180"/>
              <w:rPr>
                <w:rFonts w:ascii="Arial" w:hAnsi="Arial" w:cs="Arial"/>
                <w:sz w:val="18"/>
                <w:szCs w:val="18"/>
              </w:rPr>
            </w:pPr>
            <w:r w:rsidRPr="006A6FF1">
              <w:rPr>
                <w:rFonts w:ascii="Arial" w:hAnsi="Arial" w:cs="Arial"/>
                <w:sz w:val="18"/>
                <w:szCs w:val="18"/>
              </w:rPr>
              <w:t>No automatic statutory stay.</w:t>
            </w:r>
          </w:p>
          <w:p w14:paraId="18934248" w14:textId="77777777" w:rsidR="0091550B" w:rsidRPr="006A6FF1" w:rsidRDefault="0091550B" w:rsidP="006A6FF1">
            <w:pPr>
              <w:pStyle w:val="ListParagraph"/>
              <w:numPr>
                <w:ilvl w:val="0"/>
                <w:numId w:val="24"/>
              </w:numPr>
              <w:ind w:left="162" w:hanging="162"/>
              <w:rPr>
                <w:rFonts w:ascii="Arial" w:hAnsi="Arial" w:cs="Arial"/>
                <w:sz w:val="18"/>
                <w:szCs w:val="18"/>
              </w:rPr>
            </w:pPr>
            <w:r w:rsidRPr="006A6FF1">
              <w:rPr>
                <w:rFonts w:ascii="Arial" w:hAnsi="Arial" w:cs="Arial"/>
                <w:sz w:val="18"/>
                <w:szCs w:val="18"/>
              </w:rPr>
              <w:t xml:space="preserve">First day court order typically requests a stay on enforcement proceedings  </w:t>
            </w:r>
          </w:p>
        </w:tc>
      </w:tr>
      <w:tr w:rsidR="0091550B" w:rsidRPr="00212F5D" w14:paraId="6EB5581C" w14:textId="77777777" w:rsidTr="00C81D63">
        <w:tc>
          <w:tcPr>
            <w:tcW w:w="1458" w:type="dxa"/>
          </w:tcPr>
          <w:p w14:paraId="3514FFAA" w14:textId="6285A770" w:rsidR="0091550B" w:rsidRPr="00212F5D" w:rsidRDefault="00BD6772" w:rsidP="0051527A">
            <w:pPr>
              <w:jc w:val="center"/>
              <w:rPr>
                <w:rFonts w:ascii="Arial" w:hAnsi="Arial" w:cs="Arial"/>
                <w:b/>
                <w:bCs/>
                <w:sz w:val="18"/>
                <w:szCs w:val="18"/>
              </w:rPr>
            </w:pPr>
            <w:r>
              <w:rPr>
                <w:rFonts w:ascii="Arial" w:hAnsi="Arial" w:cs="Arial"/>
                <w:b/>
                <w:bCs/>
                <w:sz w:val="18"/>
                <w:szCs w:val="18"/>
              </w:rPr>
              <w:t>Debtor-in-</w:t>
            </w:r>
            <w:r w:rsidR="0091550B" w:rsidRPr="00212F5D">
              <w:rPr>
                <w:rFonts w:ascii="Arial" w:hAnsi="Arial" w:cs="Arial"/>
                <w:b/>
                <w:bCs/>
                <w:sz w:val="18"/>
                <w:szCs w:val="18"/>
              </w:rPr>
              <w:t xml:space="preserve">Possession </w:t>
            </w:r>
          </w:p>
        </w:tc>
        <w:tc>
          <w:tcPr>
            <w:tcW w:w="1867" w:type="dxa"/>
          </w:tcPr>
          <w:p w14:paraId="01A0F33B" w14:textId="77777777" w:rsidR="0091550B" w:rsidRPr="00212F5D" w:rsidRDefault="0091550B" w:rsidP="0051527A">
            <w:pPr>
              <w:jc w:val="center"/>
              <w:rPr>
                <w:rFonts w:ascii="Arial" w:hAnsi="Arial" w:cs="Arial"/>
                <w:b/>
                <w:bCs/>
                <w:sz w:val="18"/>
                <w:szCs w:val="18"/>
              </w:rPr>
            </w:pPr>
            <w:r w:rsidRPr="00212F5D">
              <w:rPr>
                <w:rFonts w:ascii="Arial" w:hAnsi="Arial" w:cs="Arial"/>
                <w:sz w:val="18"/>
                <w:szCs w:val="18"/>
              </w:rPr>
              <w:t>Board of Directors and management remain in control</w:t>
            </w:r>
          </w:p>
        </w:tc>
        <w:tc>
          <w:tcPr>
            <w:tcW w:w="1890" w:type="dxa"/>
          </w:tcPr>
          <w:p w14:paraId="169FC314"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Insolvency Practitioner displaces Board of Directors and management</w:t>
            </w:r>
          </w:p>
        </w:tc>
        <w:tc>
          <w:tcPr>
            <w:tcW w:w="2453" w:type="dxa"/>
          </w:tcPr>
          <w:p w14:paraId="0A0B82ED" w14:textId="77777777" w:rsidR="0091550B" w:rsidRPr="00212F5D" w:rsidRDefault="0091550B" w:rsidP="0051527A">
            <w:pPr>
              <w:jc w:val="center"/>
              <w:rPr>
                <w:rFonts w:ascii="Arial" w:hAnsi="Arial" w:cs="Arial"/>
                <w:b/>
                <w:bCs/>
                <w:sz w:val="18"/>
                <w:szCs w:val="18"/>
              </w:rPr>
            </w:pPr>
            <w:r w:rsidRPr="00212F5D">
              <w:rPr>
                <w:rFonts w:ascii="Arial" w:hAnsi="Arial" w:cs="Arial"/>
                <w:sz w:val="18"/>
                <w:szCs w:val="18"/>
              </w:rPr>
              <w:t>Board of Directors and management remain in control</w:t>
            </w:r>
          </w:p>
        </w:tc>
        <w:tc>
          <w:tcPr>
            <w:tcW w:w="2520" w:type="dxa"/>
          </w:tcPr>
          <w:p w14:paraId="76AA86F6"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 xml:space="preserve">Board of Directors and management remain in control </w:t>
            </w:r>
          </w:p>
        </w:tc>
        <w:tc>
          <w:tcPr>
            <w:tcW w:w="2790" w:type="dxa"/>
          </w:tcPr>
          <w:p w14:paraId="07089128"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Board of Directors and management remain in control</w:t>
            </w:r>
          </w:p>
        </w:tc>
      </w:tr>
      <w:tr w:rsidR="0091550B" w:rsidRPr="00212F5D" w14:paraId="57E597DD" w14:textId="77777777" w:rsidTr="00C81D63">
        <w:tc>
          <w:tcPr>
            <w:tcW w:w="1458" w:type="dxa"/>
          </w:tcPr>
          <w:p w14:paraId="3E022D4C" w14:textId="77777777" w:rsidR="0091550B" w:rsidRPr="00212F5D" w:rsidRDefault="0091550B" w:rsidP="0051527A">
            <w:pPr>
              <w:jc w:val="center"/>
              <w:rPr>
                <w:rFonts w:ascii="Arial" w:hAnsi="Arial" w:cs="Arial"/>
                <w:b/>
                <w:bCs/>
                <w:sz w:val="18"/>
                <w:szCs w:val="18"/>
              </w:rPr>
            </w:pPr>
            <w:r w:rsidRPr="00212F5D">
              <w:rPr>
                <w:rFonts w:ascii="Arial" w:hAnsi="Arial" w:cs="Arial"/>
                <w:b/>
                <w:bCs/>
                <w:sz w:val="18"/>
                <w:szCs w:val="18"/>
              </w:rPr>
              <w:t>Interim Financing</w:t>
            </w:r>
          </w:p>
        </w:tc>
        <w:tc>
          <w:tcPr>
            <w:tcW w:w="1867" w:type="dxa"/>
          </w:tcPr>
          <w:p w14:paraId="0EE85866" w14:textId="77777777" w:rsidR="0091550B" w:rsidRPr="00212F5D" w:rsidRDefault="0091550B" w:rsidP="0051527A">
            <w:pPr>
              <w:jc w:val="center"/>
              <w:rPr>
                <w:rFonts w:ascii="Arial" w:hAnsi="Arial" w:cs="Arial"/>
                <w:sz w:val="18"/>
                <w:szCs w:val="18"/>
              </w:rPr>
            </w:pPr>
            <w:r w:rsidRPr="00212F5D">
              <w:rPr>
                <w:rFonts w:ascii="Arial" w:hAnsi="Arial" w:cs="Arial"/>
                <w:sz w:val="18"/>
                <w:szCs w:val="18"/>
              </w:rPr>
              <w:t>No statutory provision.</w:t>
            </w:r>
          </w:p>
          <w:p w14:paraId="0183324C" w14:textId="77777777" w:rsidR="00536FFB" w:rsidRPr="00212F5D" w:rsidRDefault="00536FFB" w:rsidP="0051527A">
            <w:pPr>
              <w:jc w:val="center"/>
              <w:rPr>
                <w:rFonts w:ascii="Arial" w:hAnsi="Arial" w:cs="Arial"/>
                <w:sz w:val="18"/>
                <w:szCs w:val="18"/>
              </w:rPr>
            </w:pPr>
          </w:p>
          <w:p w14:paraId="749091A6" w14:textId="0293F74F" w:rsidR="00536FFB" w:rsidRPr="00212F5D" w:rsidRDefault="00536FFB" w:rsidP="0051527A">
            <w:pPr>
              <w:jc w:val="center"/>
              <w:rPr>
                <w:rFonts w:ascii="Arial" w:hAnsi="Arial" w:cs="Arial"/>
                <w:b/>
                <w:bCs/>
                <w:sz w:val="18"/>
                <w:szCs w:val="18"/>
              </w:rPr>
            </w:pPr>
          </w:p>
        </w:tc>
        <w:tc>
          <w:tcPr>
            <w:tcW w:w="1890" w:type="dxa"/>
          </w:tcPr>
          <w:p w14:paraId="5DF11E32" w14:textId="77777777" w:rsidR="006A6FF1" w:rsidRPr="006A6FF1" w:rsidRDefault="0091550B" w:rsidP="006A6FF1">
            <w:pPr>
              <w:pStyle w:val="ListParagraph"/>
              <w:numPr>
                <w:ilvl w:val="0"/>
                <w:numId w:val="23"/>
              </w:numPr>
              <w:ind w:left="275" w:hanging="270"/>
              <w:rPr>
                <w:rFonts w:ascii="Arial" w:hAnsi="Arial" w:cs="Arial"/>
                <w:sz w:val="18"/>
                <w:szCs w:val="18"/>
              </w:rPr>
            </w:pPr>
            <w:r w:rsidRPr="006A6FF1">
              <w:rPr>
                <w:rFonts w:ascii="Arial" w:hAnsi="Arial" w:cs="Arial"/>
                <w:sz w:val="18"/>
                <w:szCs w:val="18"/>
              </w:rPr>
              <w:t xml:space="preserve">No statutory provision. </w:t>
            </w:r>
          </w:p>
          <w:p w14:paraId="693093B9" w14:textId="06205F80" w:rsidR="0091550B" w:rsidRPr="006A6FF1" w:rsidRDefault="0091550B" w:rsidP="006A6FF1">
            <w:pPr>
              <w:pStyle w:val="ListParagraph"/>
              <w:numPr>
                <w:ilvl w:val="0"/>
                <w:numId w:val="22"/>
              </w:numPr>
              <w:ind w:left="275" w:hanging="270"/>
              <w:rPr>
                <w:rFonts w:ascii="Arial" w:hAnsi="Arial" w:cs="Arial"/>
                <w:b/>
                <w:bCs/>
                <w:sz w:val="18"/>
                <w:szCs w:val="18"/>
              </w:rPr>
            </w:pPr>
            <w:r w:rsidRPr="006A6FF1">
              <w:rPr>
                <w:rFonts w:ascii="Arial" w:hAnsi="Arial" w:cs="Arial"/>
                <w:sz w:val="18"/>
                <w:szCs w:val="18"/>
              </w:rPr>
              <w:t>May be rolled into administrative expenses to grant priority</w:t>
            </w:r>
          </w:p>
        </w:tc>
        <w:tc>
          <w:tcPr>
            <w:tcW w:w="2453" w:type="dxa"/>
          </w:tcPr>
          <w:p w14:paraId="40285B16" w14:textId="77777777" w:rsidR="006A6FF1" w:rsidRPr="006A6FF1" w:rsidRDefault="0091550B" w:rsidP="006A6FF1">
            <w:pPr>
              <w:pStyle w:val="ListParagraph"/>
              <w:numPr>
                <w:ilvl w:val="0"/>
                <w:numId w:val="21"/>
              </w:numPr>
              <w:ind w:left="185" w:hanging="180"/>
              <w:rPr>
                <w:rFonts w:ascii="Arial" w:hAnsi="Arial" w:cs="Arial"/>
                <w:sz w:val="18"/>
                <w:szCs w:val="18"/>
              </w:rPr>
            </w:pPr>
            <w:r w:rsidRPr="006A6FF1">
              <w:rPr>
                <w:rFonts w:ascii="Arial" w:hAnsi="Arial" w:cs="Arial"/>
                <w:sz w:val="18"/>
                <w:szCs w:val="18"/>
              </w:rPr>
              <w:t>No statutory provision.</w:t>
            </w:r>
          </w:p>
          <w:p w14:paraId="07A01B51" w14:textId="1A23DBA3" w:rsidR="0091550B" w:rsidRPr="006A6FF1" w:rsidRDefault="0091550B" w:rsidP="006A6FF1">
            <w:pPr>
              <w:pStyle w:val="ListParagraph"/>
              <w:numPr>
                <w:ilvl w:val="0"/>
                <w:numId w:val="20"/>
              </w:numPr>
              <w:ind w:left="185" w:hanging="180"/>
              <w:rPr>
                <w:rFonts w:ascii="Arial" w:hAnsi="Arial" w:cs="Arial"/>
                <w:sz w:val="18"/>
                <w:szCs w:val="18"/>
              </w:rPr>
            </w:pPr>
            <w:r w:rsidRPr="006A6FF1">
              <w:rPr>
                <w:rFonts w:ascii="Arial" w:hAnsi="Arial" w:cs="Arial"/>
                <w:sz w:val="18"/>
                <w:szCs w:val="18"/>
              </w:rPr>
              <w:t>May be included in the Restructuring Plan</w:t>
            </w:r>
          </w:p>
        </w:tc>
        <w:tc>
          <w:tcPr>
            <w:tcW w:w="2520" w:type="dxa"/>
          </w:tcPr>
          <w:p w14:paraId="2444B69D" w14:textId="5EB8F76C" w:rsidR="0091550B" w:rsidRPr="00212F5D" w:rsidRDefault="0091550B" w:rsidP="0051527A">
            <w:pPr>
              <w:jc w:val="center"/>
              <w:rPr>
                <w:rFonts w:ascii="Arial" w:hAnsi="Arial" w:cs="Arial"/>
                <w:sz w:val="18"/>
                <w:szCs w:val="18"/>
              </w:rPr>
            </w:pPr>
            <w:r w:rsidRPr="00212F5D">
              <w:rPr>
                <w:rFonts w:ascii="Arial" w:hAnsi="Arial" w:cs="Arial"/>
                <w:sz w:val="18"/>
                <w:szCs w:val="18"/>
              </w:rPr>
              <w:t xml:space="preserve">Interim </w:t>
            </w:r>
            <w:r w:rsidR="00BD6772">
              <w:rPr>
                <w:rFonts w:ascii="Arial" w:hAnsi="Arial" w:cs="Arial"/>
                <w:sz w:val="18"/>
                <w:szCs w:val="18"/>
              </w:rPr>
              <w:t xml:space="preserve">priority </w:t>
            </w:r>
            <w:r w:rsidRPr="00212F5D">
              <w:rPr>
                <w:rFonts w:ascii="Arial" w:hAnsi="Arial" w:cs="Arial"/>
                <w:sz w:val="18"/>
                <w:szCs w:val="18"/>
              </w:rPr>
              <w:t xml:space="preserve">financing pursuant to statute </w:t>
            </w:r>
          </w:p>
        </w:tc>
        <w:tc>
          <w:tcPr>
            <w:tcW w:w="2790" w:type="dxa"/>
          </w:tcPr>
          <w:p w14:paraId="7B1E63BF" w14:textId="78F8C02D" w:rsidR="0091550B" w:rsidRPr="00212F5D" w:rsidRDefault="0091550B" w:rsidP="0051527A">
            <w:pPr>
              <w:jc w:val="center"/>
              <w:rPr>
                <w:rFonts w:ascii="Arial" w:hAnsi="Arial" w:cs="Arial"/>
                <w:b/>
                <w:bCs/>
                <w:sz w:val="18"/>
                <w:szCs w:val="18"/>
              </w:rPr>
            </w:pPr>
            <w:r w:rsidRPr="00212F5D">
              <w:rPr>
                <w:rFonts w:ascii="Arial" w:hAnsi="Arial" w:cs="Arial"/>
                <w:sz w:val="18"/>
                <w:szCs w:val="18"/>
              </w:rPr>
              <w:t xml:space="preserve">Interim </w:t>
            </w:r>
            <w:r w:rsidR="00BD6772">
              <w:rPr>
                <w:rFonts w:ascii="Arial" w:hAnsi="Arial" w:cs="Arial"/>
                <w:sz w:val="18"/>
                <w:szCs w:val="18"/>
              </w:rPr>
              <w:t xml:space="preserve">priority </w:t>
            </w:r>
            <w:r w:rsidRPr="00212F5D">
              <w:rPr>
                <w:rFonts w:ascii="Arial" w:hAnsi="Arial" w:cs="Arial"/>
                <w:sz w:val="18"/>
                <w:szCs w:val="18"/>
              </w:rPr>
              <w:t>financing pursuant to statute</w:t>
            </w:r>
          </w:p>
        </w:tc>
      </w:tr>
      <w:tr w:rsidR="00C81D63" w:rsidRPr="00212F5D" w14:paraId="60EC6582" w14:textId="77777777" w:rsidTr="00C81D63">
        <w:tc>
          <w:tcPr>
            <w:tcW w:w="1458" w:type="dxa"/>
          </w:tcPr>
          <w:p w14:paraId="16DBC050" w14:textId="450A0B19" w:rsidR="00C81D63" w:rsidRPr="00212F5D" w:rsidRDefault="00C81D63" w:rsidP="00C81D63">
            <w:pPr>
              <w:jc w:val="center"/>
              <w:rPr>
                <w:rFonts w:ascii="Arial" w:hAnsi="Arial" w:cs="Arial"/>
                <w:b/>
                <w:bCs/>
                <w:sz w:val="18"/>
                <w:szCs w:val="18"/>
              </w:rPr>
            </w:pPr>
            <w:r w:rsidRPr="00212F5D">
              <w:rPr>
                <w:rFonts w:ascii="Arial" w:hAnsi="Arial" w:cs="Arial"/>
                <w:b/>
                <w:bCs/>
                <w:sz w:val="18"/>
                <w:szCs w:val="18"/>
              </w:rPr>
              <w:t>Voting Threshold</w:t>
            </w:r>
          </w:p>
        </w:tc>
        <w:tc>
          <w:tcPr>
            <w:tcW w:w="1867" w:type="dxa"/>
          </w:tcPr>
          <w:p w14:paraId="2D58857D" w14:textId="77777777" w:rsidR="00C81D63" w:rsidRPr="00212F5D" w:rsidRDefault="00C81D63" w:rsidP="00C81D63">
            <w:pPr>
              <w:jc w:val="center"/>
              <w:rPr>
                <w:rFonts w:ascii="Arial" w:hAnsi="Arial" w:cs="Arial"/>
                <w:sz w:val="18"/>
                <w:szCs w:val="18"/>
              </w:rPr>
            </w:pPr>
            <w:r w:rsidRPr="00212F5D">
              <w:rPr>
                <w:rFonts w:ascii="Arial" w:hAnsi="Arial" w:cs="Arial"/>
                <w:sz w:val="18"/>
                <w:szCs w:val="18"/>
              </w:rPr>
              <w:t xml:space="preserve">75% of all unsecured creditors must vote in </w:t>
            </w:r>
            <w:proofErr w:type="spellStart"/>
            <w:r w:rsidRPr="00212F5D">
              <w:rPr>
                <w:rFonts w:ascii="Arial" w:hAnsi="Arial" w:cs="Arial"/>
                <w:sz w:val="18"/>
                <w:szCs w:val="18"/>
              </w:rPr>
              <w:t>favour</w:t>
            </w:r>
            <w:proofErr w:type="spellEnd"/>
          </w:p>
          <w:p w14:paraId="076D6FF1" w14:textId="1A8DB1AE" w:rsidR="00C81D63" w:rsidRPr="00212F5D" w:rsidRDefault="00C81D63" w:rsidP="00C81D63">
            <w:pPr>
              <w:jc w:val="center"/>
              <w:rPr>
                <w:rFonts w:ascii="Arial" w:hAnsi="Arial" w:cs="Arial"/>
                <w:sz w:val="18"/>
                <w:szCs w:val="18"/>
              </w:rPr>
            </w:pPr>
            <w:r w:rsidRPr="00212F5D">
              <w:rPr>
                <w:rFonts w:ascii="Arial" w:hAnsi="Arial" w:cs="Arial"/>
                <w:sz w:val="18"/>
                <w:szCs w:val="18"/>
              </w:rPr>
              <w:t>Shareholder majority required but creditor vote prevails</w:t>
            </w:r>
            <w:r w:rsidR="005A0272">
              <w:rPr>
                <w:rFonts w:ascii="Arial" w:hAnsi="Arial" w:cs="Arial"/>
                <w:sz w:val="18"/>
                <w:szCs w:val="18"/>
              </w:rPr>
              <w:t>.</w:t>
            </w:r>
          </w:p>
        </w:tc>
        <w:tc>
          <w:tcPr>
            <w:tcW w:w="1890" w:type="dxa"/>
          </w:tcPr>
          <w:p w14:paraId="64C8EF40" w14:textId="77777777" w:rsidR="006A6FF1" w:rsidRDefault="006A6FF1" w:rsidP="00C81D63">
            <w:pPr>
              <w:jc w:val="center"/>
              <w:rPr>
                <w:rFonts w:ascii="Arial" w:hAnsi="Arial" w:cs="Arial"/>
                <w:sz w:val="18"/>
                <w:szCs w:val="18"/>
              </w:rPr>
            </w:pPr>
          </w:p>
          <w:p w14:paraId="0C6C30D8" w14:textId="55F75011" w:rsidR="00C81D63" w:rsidRPr="00212F5D" w:rsidRDefault="00C81D63" w:rsidP="00C81D63">
            <w:pPr>
              <w:jc w:val="center"/>
              <w:rPr>
                <w:rFonts w:ascii="Arial" w:hAnsi="Arial" w:cs="Arial"/>
                <w:sz w:val="18"/>
                <w:szCs w:val="18"/>
              </w:rPr>
            </w:pPr>
            <w:r w:rsidRPr="00212F5D">
              <w:rPr>
                <w:rFonts w:ascii="Arial" w:hAnsi="Arial" w:cs="Arial"/>
                <w:sz w:val="18"/>
                <w:szCs w:val="18"/>
              </w:rPr>
              <w:t>Not Applicable.</w:t>
            </w:r>
          </w:p>
        </w:tc>
        <w:tc>
          <w:tcPr>
            <w:tcW w:w="2453" w:type="dxa"/>
          </w:tcPr>
          <w:p w14:paraId="0BC78155" w14:textId="77777777" w:rsidR="00C81D63" w:rsidRPr="00C57CDD" w:rsidRDefault="00C81D63" w:rsidP="00C57CDD">
            <w:pPr>
              <w:pStyle w:val="ListParagraph"/>
              <w:numPr>
                <w:ilvl w:val="0"/>
                <w:numId w:val="19"/>
              </w:numPr>
              <w:ind w:left="185" w:hanging="180"/>
              <w:rPr>
                <w:rFonts w:ascii="Arial" w:hAnsi="Arial" w:cs="Arial"/>
                <w:sz w:val="18"/>
                <w:szCs w:val="18"/>
              </w:rPr>
            </w:pPr>
            <w:r w:rsidRPr="00C57CDD">
              <w:rPr>
                <w:rFonts w:ascii="Arial" w:hAnsi="Arial" w:cs="Arial"/>
                <w:sz w:val="18"/>
                <w:szCs w:val="18"/>
              </w:rPr>
              <w:t xml:space="preserve">Creditors separated into classes. </w:t>
            </w:r>
          </w:p>
          <w:p w14:paraId="52589CCA" w14:textId="77777777" w:rsidR="003014F3" w:rsidRPr="00C57CDD" w:rsidRDefault="00C81D63" w:rsidP="00C57CDD">
            <w:pPr>
              <w:pStyle w:val="ListParagraph"/>
              <w:numPr>
                <w:ilvl w:val="0"/>
                <w:numId w:val="19"/>
              </w:numPr>
              <w:ind w:left="185" w:hanging="180"/>
              <w:rPr>
                <w:rFonts w:ascii="Arial" w:hAnsi="Arial" w:cs="Arial"/>
                <w:sz w:val="18"/>
                <w:szCs w:val="18"/>
              </w:rPr>
            </w:pPr>
            <w:r w:rsidRPr="00C57CDD">
              <w:rPr>
                <w:rFonts w:ascii="Arial" w:hAnsi="Arial" w:cs="Arial"/>
                <w:sz w:val="18"/>
                <w:szCs w:val="18"/>
              </w:rPr>
              <w:t xml:space="preserve">75% in gross value of debt or equity in each class of creditors or shareholders vote in </w:t>
            </w:r>
            <w:proofErr w:type="spellStart"/>
            <w:r w:rsidRPr="00C57CDD">
              <w:rPr>
                <w:rFonts w:ascii="Arial" w:hAnsi="Arial" w:cs="Arial"/>
                <w:sz w:val="18"/>
                <w:szCs w:val="18"/>
              </w:rPr>
              <w:t>favour</w:t>
            </w:r>
            <w:proofErr w:type="spellEnd"/>
            <w:r w:rsidR="003014F3" w:rsidRPr="00C57CDD">
              <w:rPr>
                <w:rFonts w:ascii="Arial" w:hAnsi="Arial" w:cs="Arial"/>
                <w:sz w:val="18"/>
                <w:szCs w:val="18"/>
              </w:rPr>
              <w:t xml:space="preserve">. </w:t>
            </w:r>
          </w:p>
          <w:p w14:paraId="2D9A7C1A" w14:textId="06CDA709" w:rsidR="00C81D63" w:rsidRPr="00C57CDD" w:rsidRDefault="003014F3" w:rsidP="00C57CDD">
            <w:pPr>
              <w:pStyle w:val="ListParagraph"/>
              <w:numPr>
                <w:ilvl w:val="0"/>
                <w:numId w:val="19"/>
              </w:numPr>
              <w:ind w:left="185" w:hanging="180"/>
              <w:rPr>
                <w:rFonts w:ascii="Arial" w:hAnsi="Arial" w:cs="Arial"/>
                <w:sz w:val="18"/>
                <w:szCs w:val="18"/>
              </w:rPr>
            </w:pPr>
            <w:r w:rsidRPr="00C57CDD">
              <w:rPr>
                <w:rFonts w:ascii="Arial" w:hAnsi="Arial" w:cs="Arial"/>
                <w:sz w:val="18"/>
                <w:szCs w:val="18"/>
              </w:rPr>
              <w:t xml:space="preserve">Power to </w:t>
            </w:r>
            <w:r w:rsidRPr="00C57CDD">
              <w:rPr>
                <w:rFonts w:ascii="Arial" w:hAnsi="Arial" w:cs="Arial"/>
                <w:i/>
                <w:sz w:val="18"/>
                <w:szCs w:val="18"/>
              </w:rPr>
              <w:t>“cross-class cram down”</w:t>
            </w:r>
            <w:r w:rsidR="005A0272" w:rsidRPr="00C57CDD">
              <w:rPr>
                <w:rFonts w:ascii="Arial" w:hAnsi="Arial" w:cs="Arial"/>
                <w:sz w:val="18"/>
                <w:szCs w:val="18"/>
              </w:rPr>
              <w:t>.</w:t>
            </w:r>
          </w:p>
        </w:tc>
        <w:tc>
          <w:tcPr>
            <w:tcW w:w="2520" w:type="dxa"/>
          </w:tcPr>
          <w:p w14:paraId="3F66C326" w14:textId="77777777" w:rsidR="00C57CDD" w:rsidRPr="00C57CDD" w:rsidRDefault="00C57CDD" w:rsidP="00C57CDD">
            <w:pPr>
              <w:pStyle w:val="ListParagraph"/>
              <w:numPr>
                <w:ilvl w:val="0"/>
                <w:numId w:val="18"/>
              </w:numPr>
              <w:ind w:left="252" w:hanging="180"/>
              <w:rPr>
                <w:rFonts w:ascii="Arial" w:hAnsi="Arial" w:cs="Arial"/>
                <w:sz w:val="18"/>
                <w:szCs w:val="18"/>
              </w:rPr>
            </w:pPr>
            <w:r w:rsidRPr="00C57CDD">
              <w:rPr>
                <w:rFonts w:ascii="Arial" w:hAnsi="Arial" w:cs="Arial"/>
                <w:sz w:val="18"/>
                <w:szCs w:val="18"/>
              </w:rPr>
              <w:t xml:space="preserve">Creditors separated into classes. </w:t>
            </w:r>
          </w:p>
          <w:p w14:paraId="64595348" w14:textId="77777777" w:rsidR="00C57CDD" w:rsidRPr="00C57CDD" w:rsidRDefault="00C57CDD" w:rsidP="00C57CDD">
            <w:pPr>
              <w:pStyle w:val="ListParagraph"/>
              <w:numPr>
                <w:ilvl w:val="0"/>
                <w:numId w:val="17"/>
              </w:numPr>
              <w:ind w:left="252" w:hanging="180"/>
              <w:rPr>
                <w:rFonts w:ascii="Arial" w:hAnsi="Arial" w:cs="Arial"/>
                <w:sz w:val="18"/>
                <w:szCs w:val="18"/>
              </w:rPr>
            </w:pPr>
            <w:r w:rsidRPr="00C57CDD">
              <w:rPr>
                <w:rFonts w:ascii="Arial" w:hAnsi="Arial" w:cs="Arial"/>
                <w:sz w:val="18"/>
                <w:szCs w:val="18"/>
              </w:rPr>
              <w:t xml:space="preserve">Majority in number of creditors in each class holding no less than 66 2/3% in value must vote in </w:t>
            </w:r>
            <w:proofErr w:type="spellStart"/>
            <w:r w:rsidRPr="00C57CDD">
              <w:rPr>
                <w:rFonts w:ascii="Arial" w:hAnsi="Arial" w:cs="Arial"/>
                <w:sz w:val="18"/>
                <w:szCs w:val="18"/>
              </w:rPr>
              <w:t>favour</w:t>
            </w:r>
            <w:proofErr w:type="spellEnd"/>
            <w:r w:rsidRPr="00C57CDD">
              <w:rPr>
                <w:rFonts w:ascii="Arial" w:hAnsi="Arial" w:cs="Arial"/>
                <w:sz w:val="18"/>
                <w:szCs w:val="18"/>
              </w:rPr>
              <w:t>.</w:t>
            </w:r>
          </w:p>
          <w:p w14:paraId="1A97BCAD" w14:textId="40492A5A" w:rsidR="00BD6772" w:rsidRPr="00C57CDD" w:rsidRDefault="00C57CDD" w:rsidP="00C57CDD">
            <w:pPr>
              <w:pStyle w:val="ListParagraph"/>
              <w:numPr>
                <w:ilvl w:val="0"/>
                <w:numId w:val="17"/>
              </w:numPr>
              <w:ind w:left="252" w:hanging="180"/>
              <w:rPr>
                <w:rFonts w:ascii="Arial" w:hAnsi="Arial" w:cs="Arial"/>
                <w:sz w:val="18"/>
                <w:szCs w:val="18"/>
              </w:rPr>
            </w:pPr>
            <w:r w:rsidRPr="00C57CDD">
              <w:rPr>
                <w:rFonts w:ascii="Arial" w:hAnsi="Arial" w:cs="Arial"/>
                <w:sz w:val="18"/>
                <w:szCs w:val="18"/>
              </w:rPr>
              <w:t>No power to “</w:t>
            </w:r>
            <w:r w:rsidRPr="00C57CDD">
              <w:rPr>
                <w:rFonts w:ascii="Arial" w:hAnsi="Arial" w:cs="Arial"/>
                <w:i/>
                <w:sz w:val="18"/>
                <w:szCs w:val="18"/>
              </w:rPr>
              <w:t>cross-</w:t>
            </w:r>
            <w:r>
              <w:rPr>
                <w:rFonts w:ascii="Arial" w:hAnsi="Arial" w:cs="Arial"/>
                <w:i/>
                <w:sz w:val="18"/>
                <w:szCs w:val="18"/>
              </w:rPr>
              <w:t xml:space="preserve">class </w:t>
            </w:r>
            <w:r w:rsidRPr="00C57CDD">
              <w:rPr>
                <w:rFonts w:ascii="Arial" w:hAnsi="Arial" w:cs="Arial"/>
                <w:i/>
                <w:sz w:val="18"/>
                <w:szCs w:val="18"/>
              </w:rPr>
              <w:t>cram down</w:t>
            </w:r>
            <w:r w:rsidRPr="00C57CDD">
              <w:rPr>
                <w:rFonts w:ascii="Arial" w:hAnsi="Arial" w:cs="Arial"/>
                <w:sz w:val="18"/>
                <w:szCs w:val="18"/>
              </w:rPr>
              <w:t>”</w:t>
            </w:r>
          </w:p>
        </w:tc>
        <w:tc>
          <w:tcPr>
            <w:tcW w:w="2790" w:type="dxa"/>
          </w:tcPr>
          <w:p w14:paraId="0A064CAF" w14:textId="77777777" w:rsidR="00C81D63" w:rsidRPr="00C57CDD" w:rsidRDefault="00C81D63" w:rsidP="00C57CDD">
            <w:pPr>
              <w:pStyle w:val="ListParagraph"/>
              <w:numPr>
                <w:ilvl w:val="0"/>
                <w:numId w:val="18"/>
              </w:numPr>
              <w:ind w:left="252" w:hanging="180"/>
              <w:rPr>
                <w:rFonts w:ascii="Arial" w:hAnsi="Arial" w:cs="Arial"/>
                <w:sz w:val="18"/>
                <w:szCs w:val="18"/>
              </w:rPr>
            </w:pPr>
            <w:r w:rsidRPr="00C57CDD">
              <w:rPr>
                <w:rFonts w:ascii="Arial" w:hAnsi="Arial" w:cs="Arial"/>
                <w:sz w:val="18"/>
                <w:szCs w:val="18"/>
              </w:rPr>
              <w:t xml:space="preserve">Creditors separated into classes. </w:t>
            </w:r>
          </w:p>
          <w:p w14:paraId="2F147092" w14:textId="77777777" w:rsidR="00C81D63" w:rsidRPr="00C57CDD" w:rsidRDefault="00C81D63" w:rsidP="00C57CDD">
            <w:pPr>
              <w:pStyle w:val="ListParagraph"/>
              <w:numPr>
                <w:ilvl w:val="0"/>
                <w:numId w:val="17"/>
              </w:numPr>
              <w:ind w:left="252" w:hanging="180"/>
              <w:rPr>
                <w:rFonts w:ascii="Arial" w:hAnsi="Arial" w:cs="Arial"/>
                <w:sz w:val="18"/>
                <w:szCs w:val="18"/>
              </w:rPr>
            </w:pPr>
            <w:bookmarkStart w:id="12" w:name="_Hlk94531551"/>
            <w:r w:rsidRPr="00C57CDD">
              <w:rPr>
                <w:rFonts w:ascii="Arial" w:hAnsi="Arial" w:cs="Arial"/>
                <w:sz w:val="18"/>
                <w:szCs w:val="18"/>
              </w:rPr>
              <w:t xml:space="preserve">Majority in number of creditors in each class holding no less than 66 2/3% in value must vote in </w:t>
            </w:r>
            <w:proofErr w:type="spellStart"/>
            <w:r w:rsidRPr="00C57CDD">
              <w:rPr>
                <w:rFonts w:ascii="Arial" w:hAnsi="Arial" w:cs="Arial"/>
                <w:sz w:val="18"/>
                <w:szCs w:val="18"/>
              </w:rPr>
              <w:t>favour</w:t>
            </w:r>
            <w:bookmarkEnd w:id="12"/>
            <w:proofErr w:type="spellEnd"/>
            <w:r w:rsidR="005A0272" w:rsidRPr="00C57CDD">
              <w:rPr>
                <w:rFonts w:ascii="Arial" w:hAnsi="Arial" w:cs="Arial"/>
                <w:sz w:val="18"/>
                <w:szCs w:val="18"/>
              </w:rPr>
              <w:t>.</w:t>
            </w:r>
          </w:p>
          <w:p w14:paraId="4A2DFA69" w14:textId="7D0136C4" w:rsidR="00C57CDD" w:rsidRPr="00C57CDD" w:rsidRDefault="00C57CDD" w:rsidP="00C57CDD">
            <w:pPr>
              <w:pStyle w:val="ListParagraph"/>
              <w:numPr>
                <w:ilvl w:val="0"/>
                <w:numId w:val="16"/>
              </w:numPr>
              <w:ind w:left="252" w:hanging="180"/>
              <w:rPr>
                <w:rFonts w:ascii="Arial" w:hAnsi="Arial" w:cs="Arial"/>
                <w:sz w:val="18"/>
                <w:szCs w:val="18"/>
              </w:rPr>
            </w:pPr>
            <w:r w:rsidRPr="00C57CDD">
              <w:rPr>
                <w:rFonts w:ascii="Arial" w:hAnsi="Arial" w:cs="Arial"/>
                <w:sz w:val="18"/>
                <w:szCs w:val="18"/>
              </w:rPr>
              <w:t>No power to “</w:t>
            </w:r>
            <w:r w:rsidRPr="00C57CDD">
              <w:rPr>
                <w:rFonts w:ascii="Arial" w:hAnsi="Arial" w:cs="Arial"/>
                <w:i/>
                <w:sz w:val="18"/>
                <w:szCs w:val="18"/>
              </w:rPr>
              <w:t>cross-class cram down</w:t>
            </w:r>
            <w:r w:rsidRPr="00C57CDD">
              <w:rPr>
                <w:rFonts w:ascii="Arial" w:hAnsi="Arial" w:cs="Arial"/>
                <w:sz w:val="18"/>
                <w:szCs w:val="18"/>
              </w:rPr>
              <w:t>”</w:t>
            </w:r>
          </w:p>
        </w:tc>
      </w:tr>
    </w:tbl>
    <w:p w14:paraId="084D1FAE" w14:textId="77777777" w:rsidR="003C7F5C" w:rsidRPr="00212F5D" w:rsidRDefault="003C7F5C" w:rsidP="00966770">
      <w:pPr>
        <w:pStyle w:val="Heading2"/>
        <w:rPr>
          <w:rFonts w:ascii="Arial" w:hAnsi="Arial" w:cs="Arial"/>
        </w:rPr>
        <w:sectPr w:rsidR="003C7F5C" w:rsidRPr="00212F5D" w:rsidSect="0091550B">
          <w:pgSz w:w="15840" w:h="12240" w:orient="landscape"/>
          <w:pgMar w:top="1440" w:right="1440" w:bottom="1440" w:left="1440" w:header="720" w:footer="720" w:gutter="0"/>
          <w:cols w:space="720"/>
          <w:docGrid w:linePitch="360"/>
        </w:sectPr>
      </w:pPr>
    </w:p>
    <w:p w14:paraId="23286ED2" w14:textId="26A96F8A" w:rsidR="00C81D63" w:rsidRPr="00F11E92" w:rsidRDefault="00966770" w:rsidP="00F11E92">
      <w:pPr>
        <w:pStyle w:val="Heading2"/>
        <w:spacing w:after="120"/>
        <w:rPr>
          <w:rFonts w:ascii="Arial" w:hAnsi="Arial" w:cs="Arial"/>
          <w:sz w:val="22"/>
          <w:szCs w:val="22"/>
        </w:rPr>
      </w:pPr>
      <w:bookmarkStart w:id="13" w:name="_Toc95128868"/>
      <w:r w:rsidRPr="00F11E92">
        <w:rPr>
          <w:rFonts w:ascii="Arial" w:hAnsi="Arial" w:cs="Arial"/>
          <w:sz w:val="22"/>
          <w:szCs w:val="22"/>
        </w:rPr>
        <w:lastRenderedPageBreak/>
        <w:t>Analysis of Each Jurisdiction</w:t>
      </w:r>
      <w:bookmarkEnd w:id="13"/>
    </w:p>
    <w:p w14:paraId="61304581" w14:textId="77777777" w:rsidR="00966770" w:rsidRPr="00F11E92" w:rsidRDefault="00966770" w:rsidP="00F11E92">
      <w:pPr>
        <w:pStyle w:val="Heading3"/>
        <w:spacing w:after="120" w:line="360" w:lineRule="auto"/>
        <w:rPr>
          <w:rFonts w:ascii="Arial" w:hAnsi="Arial" w:cs="Arial"/>
          <w:sz w:val="22"/>
          <w:szCs w:val="22"/>
        </w:rPr>
      </w:pPr>
      <w:bookmarkStart w:id="14" w:name="_Toc95128869"/>
      <w:r w:rsidRPr="00F11E92">
        <w:rPr>
          <w:rFonts w:ascii="Arial" w:hAnsi="Arial" w:cs="Arial"/>
          <w:sz w:val="22"/>
          <w:szCs w:val="22"/>
        </w:rPr>
        <w:t>United Kingdom</w:t>
      </w:r>
      <w:bookmarkEnd w:id="14"/>
    </w:p>
    <w:p w14:paraId="13E75031" w14:textId="313DB0D8" w:rsidR="00966770" w:rsidRPr="00F11E92" w:rsidRDefault="00966770" w:rsidP="00F11E92">
      <w:pPr>
        <w:spacing w:after="120" w:line="360" w:lineRule="auto"/>
        <w:jc w:val="both"/>
        <w:rPr>
          <w:rFonts w:ascii="Arial" w:hAnsi="Arial" w:cs="Arial"/>
        </w:rPr>
      </w:pPr>
      <w:r w:rsidRPr="00F11E92">
        <w:rPr>
          <w:rFonts w:ascii="Arial" w:hAnsi="Arial" w:cs="Arial"/>
        </w:rPr>
        <w:tab/>
        <w:t>Assessing each variable</w:t>
      </w:r>
      <w:r w:rsidR="008A0703" w:rsidRPr="00F11E92">
        <w:rPr>
          <w:rFonts w:ascii="Arial" w:hAnsi="Arial" w:cs="Arial"/>
        </w:rPr>
        <w:t xml:space="preserve"> in more detail</w:t>
      </w:r>
      <w:r w:rsidRPr="00F11E92">
        <w:rPr>
          <w:rFonts w:ascii="Arial" w:hAnsi="Arial" w:cs="Arial"/>
        </w:rPr>
        <w:t>:</w:t>
      </w:r>
    </w:p>
    <w:p w14:paraId="2BFC119D" w14:textId="33FF9C97" w:rsidR="00966770" w:rsidRPr="00F11E92" w:rsidRDefault="00966770" w:rsidP="00F11E92">
      <w:pPr>
        <w:pStyle w:val="ListParagraph"/>
        <w:numPr>
          <w:ilvl w:val="0"/>
          <w:numId w:val="8"/>
        </w:numPr>
        <w:spacing w:after="120" w:line="360" w:lineRule="auto"/>
        <w:jc w:val="both"/>
        <w:rPr>
          <w:rFonts w:ascii="Arial" w:hAnsi="Arial" w:cs="Arial"/>
        </w:rPr>
      </w:pPr>
      <w:r w:rsidRPr="00F11E92">
        <w:rPr>
          <w:rFonts w:ascii="Arial" w:hAnsi="Arial" w:cs="Arial"/>
        </w:rPr>
        <w:t xml:space="preserve">Stay of Enforcement Proceedings – </w:t>
      </w:r>
      <w:r w:rsidR="002B68C5" w:rsidRPr="00F11E92">
        <w:rPr>
          <w:rFonts w:ascii="Arial" w:hAnsi="Arial" w:cs="Arial"/>
        </w:rPr>
        <w:t xml:space="preserve">Prior to CIGA 2020 </w:t>
      </w:r>
      <w:r w:rsidR="008A0703" w:rsidRPr="00F11E92">
        <w:rPr>
          <w:rFonts w:ascii="Arial" w:hAnsi="Arial" w:cs="Arial"/>
        </w:rPr>
        <w:t>the only UK restructuring process</w:t>
      </w:r>
      <w:r w:rsidRPr="00F11E92">
        <w:rPr>
          <w:rFonts w:ascii="Arial" w:hAnsi="Arial" w:cs="Arial"/>
        </w:rPr>
        <w:t xml:space="preserve"> that include</w:t>
      </w:r>
      <w:r w:rsidR="002B68C5" w:rsidRPr="00F11E92">
        <w:rPr>
          <w:rFonts w:ascii="Arial" w:hAnsi="Arial" w:cs="Arial"/>
        </w:rPr>
        <w:t>d</w:t>
      </w:r>
      <w:r w:rsidRPr="00F11E92">
        <w:rPr>
          <w:rFonts w:ascii="Arial" w:hAnsi="Arial" w:cs="Arial"/>
        </w:rPr>
        <w:t xml:space="preserve"> an automatic stay of enforcement proceedings is Administration.</w:t>
      </w:r>
      <w:r w:rsidR="008A0703" w:rsidRPr="00F11E92">
        <w:rPr>
          <w:rFonts w:ascii="Arial" w:hAnsi="Arial" w:cs="Arial"/>
        </w:rPr>
        <w:t xml:space="preserve"> In the past</w:t>
      </w:r>
      <w:r w:rsidRPr="00F11E92">
        <w:rPr>
          <w:rFonts w:ascii="Arial" w:hAnsi="Arial" w:cs="Arial"/>
        </w:rPr>
        <w:t xml:space="preserve"> Administration has been combined with CVAs or a SOA in order to obtain the benefits of the stay. </w:t>
      </w:r>
      <w:r w:rsidR="002B68C5" w:rsidRPr="00F11E92">
        <w:rPr>
          <w:rFonts w:ascii="Arial" w:hAnsi="Arial" w:cs="Arial"/>
        </w:rPr>
        <w:t>The CIGA 2020 has brought in</w:t>
      </w:r>
      <w:r w:rsidR="008A0703" w:rsidRPr="00F11E92">
        <w:rPr>
          <w:rFonts w:ascii="Arial" w:hAnsi="Arial" w:cs="Arial"/>
        </w:rPr>
        <w:t>to force</w:t>
      </w:r>
      <w:r w:rsidR="002B68C5" w:rsidRPr="00F11E92">
        <w:rPr>
          <w:rFonts w:ascii="Arial" w:hAnsi="Arial" w:cs="Arial"/>
        </w:rPr>
        <w:t xml:space="preserve"> a free-standing moratorium </w:t>
      </w:r>
      <w:r w:rsidR="00043641" w:rsidRPr="00F11E92">
        <w:rPr>
          <w:rFonts w:ascii="Arial" w:hAnsi="Arial" w:cs="Arial"/>
        </w:rPr>
        <w:t>in which the board of directors remain</w:t>
      </w:r>
      <w:r w:rsidR="00212F5D" w:rsidRPr="00F11E92">
        <w:rPr>
          <w:rFonts w:ascii="Arial" w:hAnsi="Arial" w:cs="Arial"/>
        </w:rPr>
        <w:t>s</w:t>
      </w:r>
      <w:r w:rsidR="00043641" w:rsidRPr="00F11E92">
        <w:rPr>
          <w:rFonts w:ascii="Arial" w:hAnsi="Arial" w:cs="Arial"/>
        </w:rPr>
        <w:t xml:space="preserve"> in place under the supervisor of a monitor. It is expected that the moratorium will b</w:t>
      </w:r>
      <w:r w:rsidR="002B68C5" w:rsidRPr="00F11E92">
        <w:rPr>
          <w:rFonts w:ascii="Arial" w:hAnsi="Arial" w:cs="Arial"/>
        </w:rPr>
        <w:t xml:space="preserve">e utilized in combination with </w:t>
      </w:r>
      <w:r w:rsidR="00043641" w:rsidRPr="00F11E92">
        <w:rPr>
          <w:rFonts w:ascii="Arial" w:hAnsi="Arial" w:cs="Arial"/>
        </w:rPr>
        <w:t xml:space="preserve">another of </w:t>
      </w:r>
      <w:r w:rsidR="002B68C5" w:rsidRPr="00F11E92">
        <w:rPr>
          <w:rFonts w:ascii="Arial" w:hAnsi="Arial" w:cs="Arial"/>
        </w:rPr>
        <w:t>the restructuring processes including the Restructuring Plan.</w:t>
      </w:r>
    </w:p>
    <w:p w14:paraId="003C7527" w14:textId="77777777" w:rsidR="00966770" w:rsidRPr="00F11E92" w:rsidRDefault="00966770" w:rsidP="00F11E92">
      <w:pPr>
        <w:pStyle w:val="ListParagraph"/>
        <w:spacing w:after="120" w:line="360" w:lineRule="auto"/>
        <w:ind w:left="1446"/>
        <w:jc w:val="both"/>
        <w:rPr>
          <w:rFonts w:ascii="Arial" w:hAnsi="Arial" w:cs="Arial"/>
        </w:rPr>
      </w:pPr>
    </w:p>
    <w:p w14:paraId="2A6706BA" w14:textId="00DB67C6" w:rsidR="00966770" w:rsidRPr="00F11E92" w:rsidRDefault="00966770" w:rsidP="00F11E92">
      <w:pPr>
        <w:pStyle w:val="ListParagraph"/>
        <w:numPr>
          <w:ilvl w:val="0"/>
          <w:numId w:val="8"/>
        </w:numPr>
        <w:spacing w:after="120" w:line="360" w:lineRule="auto"/>
        <w:jc w:val="both"/>
        <w:rPr>
          <w:rFonts w:ascii="Arial" w:hAnsi="Arial" w:cs="Arial"/>
        </w:rPr>
      </w:pPr>
      <w:bookmarkStart w:id="15" w:name="_Hlk94552031"/>
      <w:r w:rsidRPr="00F11E92">
        <w:rPr>
          <w:rFonts w:ascii="Arial" w:hAnsi="Arial" w:cs="Arial"/>
        </w:rPr>
        <w:t xml:space="preserve">Debtor-in-possession </w:t>
      </w:r>
      <w:bookmarkEnd w:id="15"/>
      <w:r w:rsidRPr="00F11E92">
        <w:rPr>
          <w:rFonts w:ascii="Arial" w:hAnsi="Arial" w:cs="Arial"/>
        </w:rPr>
        <w:t xml:space="preserve">– Both CVAs and the Restructuring Plan are restructuring tools that keep the board of directors in control of the company during the restructuring process. Administration involves the displacement of the board of directors in </w:t>
      </w:r>
      <w:proofErr w:type="spellStart"/>
      <w:r w:rsidRPr="00F11E92">
        <w:rPr>
          <w:rFonts w:ascii="Arial" w:hAnsi="Arial" w:cs="Arial"/>
        </w:rPr>
        <w:t>favour</w:t>
      </w:r>
      <w:proofErr w:type="spellEnd"/>
      <w:r w:rsidRPr="00F11E92">
        <w:rPr>
          <w:rFonts w:ascii="Arial" w:hAnsi="Arial" w:cs="Arial"/>
        </w:rPr>
        <w:t xml:space="preserve"> of an administrator.</w:t>
      </w:r>
      <w:r w:rsidR="002B68C5" w:rsidRPr="00F11E92">
        <w:rPr>
          <w:rFonts w:ascii="Arial" w:hAnsi="Arial" w:cs="Arial"/>
        </w:rPr>
        <w:t xml:space="preserve"> </w:t>
      </w:r>
    </w:p>
    <w:p w14:paraId="4D79D1D5" w14:textId="77777777" w:rsidR="00966770" w:rsidRPr="00F11E92" w:rsidRDefault="00966770" w:rsidP="00F11E92">
      <w:pPr>
        <w:pStyle w:val="ListParagraph"/>
        <w:spacing w:after="120" w:line="360" w:lineRule="auto"/>
        <w:rPr>
          <w:rFonts w:ascii="Arial" w:hAnsi="Arial" w:cs="Arial"/>
        </w:rPr>
      </w:pPr>
    </w:p>
    <w:p w14:paraId="5573AC73" w14:textId="77777777" w:rsidR="00966770" w:rsidRPr="00F11E92" w:rsidRDefault="00966770" w:rsidP="00F11E92">
      <w:pPr>
        <w:pStyle w:val="ListParagraph"/>
        <w:numPr>
          <w:ilvl w:val="0"/>
          <w:numId w:val="8"/>
        </w:numPr>
        <w:spacing w:after="120" w:line="360" w:lineRule="auto"/>
        <w:jc w:val="both"/>
        <w:rPr>
          <w:rFonts w:ascii="Arial" w:hAnsi="Arial" w:cs="Arial"/>
        </w:rPr>
      </w:pPr>
      <w:bookmarkStart w:id="16" w:name="_Hlk94552052"/>
      <w:r w:rsidRPr="00F11E92">
        <w:rPr>
          <w:rFonts w:ascii="Arial" w:hAnsi="Arial" w:cs="Arial"/>
        </w:rPr>
        <w:t>Protection for new financing</w:t>
      </w:r>
      <w:bookmarkEnd w:id="16"/>
      <w:r w:rsidRPr="00F11E92">
        <w:rPr>
          <w:rFonts w:ascii="Arial" w:hAnsi="Arial" w:cs="Arial"/>
        </w:rPr>
        <w:t xml:space="preserve"> – None of the UK restructuring tools explicitly provide the court with the power to grant an interim order for a priority charge for a new financing. In order to obtain protection for new financing either requires some creativity such as including the financing in the Administration Expenses or including the financing within the terms of the Restructuring Plan.</w:t>
      </w:r>
    </w:p>
    <w:p w14:paraId="51AB89F9" w14:textId="77777777" w:rsidR="00966770" w:rsidRPr="00F11E92" w:rsidRDefault="00966770" w:rsidP="00F11E92">
      <w:pPr>
        <w:pStyle w:val="ListParagraph"/>
        <w:spacing w:after="120" w:line="360" w:lineRule="auto"/>
        <w:rPr>
          <w:rFonts w:ascii="Arial" w:hAnsi="Arial" w:cs="Arial"/>
        </w:rPr>
      </w:pPr>
    </w:p>
    <w:p w14:paraId="3CD8F943" w14:textId="77777777" w:rsidR="00966770" w:rsidRPr="00F11E92" w:rsidRDefault="00966770" w:rsidP="00F11E92">
      <w:pPr>
        <w:pStyle w:val="ListParagraph"/>
        <w:numPr>
          <w:ilvl w:val="0"/>
          <w:numId w:val="8"/>
        </w:numPr>
        <w:spacing w:after="120" w:line="360" w:lineRule="auto"/>
        <w:jc w:val="both"/>
        <w:rPr>
          <w:rFonts w:ascii="Arial" w:hAnsi="Arial" w:cs="Arial"/>
        </w:rPr>
      </w:pPr>
      <w:r w:rsidRPr="00F11E92">
        <w:rPr>
          <w:rFonts w:ascii="Arial" w:hAnsi="Arial" w:cs="Arial"/>
        </w:rPr>
        <w:t>Voting Mechanism – CVAs and Restructuring Plans provide for voting mechanisms that will bind creditors whether they approve of dissent. The CVAs procedure differs in requiring a double majority of creditors voting as a single class whereas the Restructuring Plan requires only a majority in value of the class. Additionally, and most notably the Restructuring Plan gives the court the power to “</w:t>
      </w:r>
      <w:r w:rsidRPr="00F11E92">
        <w:rPr>
          <w:rFonts w:ascii="Arial" w:hAnsi="Arial" w:cs="Arial"/>
          <w:i/>
          <w:iCs/>
        </w:rPr>
        <w:t>cram down</w:t>
      </w:r>
      <w:r w:rsidRPr="00F11E92">
        <w:rPr>
          <w:rFonts w:ascii="Arial" w:hAnsi="Arial" w:cs="Arial"/>
        </w:rPr>
        <w:t xml:space="preserve">” a Restructuring Plan on an entire dissenting class. </w:t>
      </w:r>
    </w:p>
    <w:p w14:paraId="5623A273" w14:textId="40CE7FFB" w:rsidR="00464934" w:rsidRDefault="00966770" w:rsidP="00F11E92">
      <w:pPr>
        <w:spacing w:after="120" w:line="360" w:lineRule="auto"/>
        <w:ind w:firstLine="720"/>
        <w:jc w:val="both"/>
        <w:rPr>
          <w:rFonts w:ascii="Arial" w:hAnsi="Arial" w:cs="Arial"/>
        </w:rPr>
      </w:pPr>
      <w:r w:rsidRPr="00F11E92">
        <w:rPr>
          <w:rFonts w:ascii="Arial" w:hAnsi="Arial" w:cs="Arial"/>
        </w:rPr>
        <w:t>Save for the protection of new financing the UK regime has at l</w:t>
      </w:r>
      <w:r w:rsidR="008A0703" w:rsidRPr="00F11E92">
        <w:rPr>
          <w:rFonts w:ascii="Arial" w:hAnsi="Arial" w:cs="Arial"/>
        </w:rPr>
        <w:t xml:space="preserve">east one restructuring process that satisfies each </w:t>
      </w:r>
      <w:r w:rsidRPr="00F11E92">
        <w:rPr>
          <w:rFonts w:ascii="Arial" w:hAnsi="Arial" w:cs="Arial"/>
        </w:rPr>
        <w:t xml:space="preserve">of the variables that would position </w:t>
      </w:r>
      <w:r w:rsidR="008A0703" w:rsidRPr="00F11E92">
        <w:rPr>
          <w:rFonts w:ascii="Arial" w:hAnsi="Arial" w:cs="Arial"/>
        </w:rPr>
        <w:t xml:space="preserve">the UK </w:t>
      </w:r>
      <w:r w:rsidRPr="00F11E92">
        <w:rPr>
          <w:rFonts w:ascii="Arial" w:hAnsi="Arial" w:cs="Arial"/>
        </w:rPr>
        <w:t xml:space="preserve">as a </w:t>
      </w:r>
      <w:r w:rsidR="00F11E92">
        <w:rPr>
          <w:rFonts w:ascii="Arial" w:hAnsi="Arial" w:cs="Arial"/>
        </w:rPr>
        <w:t>“</w:t>
      </w:r>
      <w:r w:rsidRPr="00F11E92">
        <w:rPr>
          <w:rFonts w:ascii="Arial" w:hAnsi="Arial" w:cs="Arial"/>
          <w:i/>
          <w:iCs/>
        </w:rPr>
        <w:t>pro-restructuring</w:t>
      </w:r>
      <w:r w:rsidR="00F11E92">
        <w:rPr>
          <w:rFonts w:ascii="Arial" w:hAnsi="Arial" w:cs="Arial"/>
          <w:i/>
          <w:iCs/>
        </w:rPr>
        <w:t>”</w:t>
      </w:r>
      <w:r w:rsidRPr="00F11E92">
        <w:rPr>
          <w:rFonts w:ascii="Arial" w:hAnsi="Arial" w:cs="Arial"/>
          <w:i/>
          <w:iCs/>
        </w:rPr>
        <w:t xml:space="preserve"> </w:t>
      </w:r>
      <w:r w:rsidRPr="00F11E92">
        <w:rPr>
          <w:rFonts w:ascii="Arial" w:hAnsi="Arial" w:cs="Arial"/>
        </w:rPr>
        <w:t xml:space="preserve">regime. </w:t>
      </w:r>
      <w:r w:rsidR="006A6FF1">
        <w:rPr>
          <w:rFonts w:ascii="Arial" w:hAnsi="Arial" w:cs="Arial"/>
        </w:rPr>
        <w:t>However,</w:t>
      </w:r>
      <w:r w:rsidRPr="00F11E92">
        <w:rPr>
          <w:rFonts w:ascii="Arial" w:hAnsi="Arial" w:cs="Arial"/>
        </w:rPr>
        <w:t xml:space="preserve"> each of the three (3)</w:t>
      </w:r>
      <w:r w:rsidR="008A0703" w:rsidRPr="00F11E92">
        <w:rPr>
          <w:rFonts w:ascii="Arial" w:hAnsi="Arial" w:cs="Arial"/>
        </w:rPr>
        <w:t xml:space="preserve"> restructuring tools </w:t>
      </w:r>
      <w:r w:rsidRPr="00F11E92">
        <w:rPr>
          <w:rFonts w:ascii="Arial" w:hAnsi="Arial" w:cs="Arial"/>
        </w:rPr>
        <w:t xml:space="preserve">differs materially with respect to the variables considered. For instance, </w:t>
      </w:r>
      <w:r w:rsidR="00464934">
        <w:rPr>
          <w:rFonts w:ascii="Arial" w:hAnsi="Arial" w:cs="Arial"/>
        </w:rPr>
        <w:t xml:space="preserve">the CVA and Restructuring Plan have different voting </w:t>
      </w:r>
      <w:r w:rsidR="00464934">
        <w:rPr>
          <w:rFonts w:ascii="Arial" w:hAnsi="Arial" w:cs="Arial"/>
        </w:rPr>
        <w:lastRenderedPageBreak/>
        <w:t>mechanisms. Additionally n</w:t>
      </w:r>
      <w:r w:rsidRPr="00F11E92">
        <w:rPr>
          <w:rFonts w:ascii="Arial" w:hAnsi="Arial" w:cs="Arial"/>
        </w:rPr>
        <w:t>either CVA</w:t>
      </w:r>
      <w:r w:rsidR="008267FD" w:rsidRPr="00F11E92">
        <w:rPr>
          <w:rFonts w:ascii="Arial" w:hAnsi="Arial" w:cs="Arial"/>
        </w:rPr>
        <w:t xml:space="preserve">s </w:t>
      </w:r>
      <w:r w:rsidRPr="00F11E92">
        <w:rPr>
          <w:rFonts w:ascii="Arial" w:hAnsi="Arial" w:cs="Arial"/>
        </w:rPr>
        <w:t>nor Restructuring Plan</w:t>
      </w:r>
      <w:r w:rsidR="008267FD" w:rsidRPr="00F11E92">
        <w:rPr>
          <w:rFonts w:ascii="Arial" w:hAnsi="Arial" w:cs="Arial"/>
        </w:rPr>
        <w:t>s</w:t>
      </w:r>
      <w:r w:rsidRPr="00F11E92">
        <w:rPr>
          <w:rFonts w:ascii="Arial" w:hAnsi="Arial" w:cs="Arial"/>
        </w:rPr>
        <w:t xml:space="preserve"> impose</w:t>
      </w:r>
      <w:r w:rsidR="008267FD" w:rsidRPr="00F11E92">
        <w:rPr>
          <w:rFonts w:ascii="Arial" w:hAnsi="Arial" w:cs="Arial"/>
        </w:rPr>
        <w:t xml:space="preserve"> </w:t>
      </w:r>
      <w:r w:rsidRPr="00F11E92">
        <w:rPr>
          <w:rFonts w:ascii="Arial" w:hAnsi="Arial" w:cs="Arial"/>
        </w:rPr>
        <w:t>a statutory automatic stay on enforcement action by creditors.</w:t>
      </w:r>
    </w:p>
    <w:p w14:paraId="6ADF5714" w14:textId="301BF337" w:rsidR="00966770" w:rsidRPr="00F11E92" w:rsidRDefault="008267FD" w:rsidP="00F11E92">
      <w:pPr>
        <w:spacing w:after="120" w:line="360" w:lineRule="auto"/>
        <w:ind w:firstLine="720"/>
        <w:jc w:val="both"/>
        <w:rPr>
          <w:rFonts w:ascii="Arial" w:hAnsi="Arial" w:cs="Arial"/>
        </w:rPr>
      </w:pPr>
      <w:r w:rsidRPr="00F11E92">
        <w:rPr>
          <w:rFonts w:ascii="Arial" w:hAnsi="Arial" w:cs="Arial"/>
        </w:rPr>
        <w:t xml:space="preserve">Even so, it is important to bear in mind that </w:t>
      </w:r>
      <w:r w:rsidR="008A0703" w:rsidRPr="00F11E92">
        <w:rPr>
          <w:rFonts w:ascii="Arial" w:hAnsi="Arial" w:cs="Arial"/>
        </w:rPr>
        <w:t xml:space="preserve">the CIGA 2020 brought into effect </w:t>
      </w:r>
      <w:r w:rsidRPr="00F11E92">
        <w:rPr>
          <w:rFonts w:ascii="Arial" w:hAnsi="Arial" w:cs="Arial"/>
        </w:rPr>
        <w:t xml:space="preserve">the </w:t>
      </w:r>
      <w:r w:rsidR="008A0703" w:rsidRPr="00F11E92">
        <w:rPr>
          <w:rFonts w:ascii="Arial" w:hAnsi="Arial" w:cs="Arial"/>
        </w:rPr>
        <w:t>moratorium a</w:t>
      </w:r>
      <w:r w:rsidRPr="00F11E92">
        <w:rPr>
          <w:rFonts w:ascii="Arial" w:hAnsi="Arial" w:cs="Arial"/>
        </w:rPr>
        <w:t xml:space="preserve">s </w:t>
      </w:r>
      <w:r w:rsidR="008A0703" w:rsidRPr="00F11E92">
        <w:rPr>
          <w:rFonts w:ascii="Arial" w:hAnsi="Arial" w:cs="Arial"/>
        </w:rPr>
        <w:t xml:space="preserve">a mechanism </w:t>
      </w:r>
      <w:r w:rsidRPr="00F11E92">
        <w:rPr>
          <w:rFonts w:ascii="Arial" w:hAnsi="Arial" w:cs="Arial"/>
        </w:rPr>
        <w:t xml:space="preserve">independent of any specific restructuring process and so it could be used in both CVAs and Restructuring Plans. </w:t>
      </w:r>
    </w:p>
    <w:p w14:paraId="03A6F335" w14:textId="77777777" w:rsidR="00966770" w:rsidRPr="00F11E92" w:rsidRDefault="00966770" w:rsidP="00F11E92">
      <w:pPr>
        <w:pStyle w:val="Heading3"/>
        <w:spacing w:after="120" w:line="360" w:lineRule="auto"/>
        <w:rPr>
          <w:rFonts w:ascii="Arial" w:hAnsi="Arial" w:cs="Arial"/>
          <w:sz w:val="22"/>
          <w:szCs w:val="22"/>
        </w:rPr>
      </w:pPr>
      <w:bookmarkStart w:id="17" w:name="_Toc95128870"/>
      <w:r w:rsidRPr="00F11E92">
        <w:rPr>
          <w:rFonts w:ascii="Arial" w:hAnsi="Arial" w:cs="Arial"/>
          <w:sz w:val="22"/>
          <w:szCs w:val="22"/>
        </w:rPr>
        <w:t>Canada</w:t>
      </w:r>
      <w:bookmarkEnd w:id="17"/>
      <w:r w:rsidRPr="00F11E92">
        <w:rPr>
          <w:rFonts w:ascii="Arial" w:hAnsi="Arial" w:cs="Arial"/>
          <w:sz w:val="22"/>
          <w:szCs w:val="22"/>
        </w:rPr>
        <w:t xml:space="preserve"> </w:t>
      </w:r>
    </w:p>
    <w:p w14:paraId="36CCE390" w14:textId="54E9C456" w:rsidR="00966770" w:rsidRPr="00F11E92" w:rsidRDefault="00966770" w:rsidP="00F11E92">
      <w:pPr>
        <w:spacing w:after="120" w:line="360" w:lineRule="auto"/>
        <w:jc w:val="both"/>
        <w:rPr>
          <w:rFonts w:ascii="Arial" w:hAnsi="Arial" w:cs="Arial"/>
        </w:rPr>
      </w:pPr>
      <w:r w:rsidRPr="00F11E92">
        <w:rPr>
          <w:rFonts w:ascii="Arial" w:hAnsi="Arial" w:cs="Arial"/>
        </w:rPr>
        <w:tab/>
        <w:t>Assessing the variables with respect</w:t>
      </w:r>
      <w:r w:rsidR="008A0703" w:rsidRPr="00F11E92">
        <w:rPr>
          <w:rFonts w:ascii="Arial" w:hAnsi="Arial" w:cs="Arial"/>
        </w:rPr>
        <w:t xml:space="preserve"> Canadian restructuring processes</w:t>
      </w:r>
      <w:r w:rsidRPr="00F11E92">
        <w:rPr>
          <w:rFonts w:ascii="Arial" w:hAnsi="Arial" w:cs="Arial"/>
        </w:rPr>
        <w:t xml:space="preserve">: </w:t>
      </w:r>
    </w:p>
    <w:p w14:paraId="6D42E4B3" w14:textId="77777777" w:rsidR="00966770" w:rsidRPr="00F11E92" w:rsidRDefault="00966770" w:rsidP="00F11E92">
      <w:pPr>
        <w:pStyle w:val="ListParagraph"/>
        <w:numPr>
          <w:ilvl w:val="0"/>
          <w:numId w:val="9"/>
        </w:numPr>
        <w:spacing w:after="120" w:line="360" w:lineRule="auto"/>
        <w:ind w:left="1440"/>
        <w:jc w:val="both"/>
        <w:rPr>
          <w:rFonts w:ascii="Arial" w:hAnsi="Arial" w:cs="Arial"/>
        </w:rPr>
      </w:pPr>
      <w:r w:rsidRPr="00F11E92">
        <w:rPr>
          <w:rFonts w:ascii="Arial" w:hAnsi="Arial" w:cs="Arial"/>
        </w:rPr>
        <w:t>Stay of Enforcement Proceedings – the Proposal Procedure includes an automatic statutory stay of proceedings. In contrast the CCAA requires that the court exercise its discretion to grant a stay of enforcement proceedings.</w:t>
      </w:r>
    </w:p>
    <w:p w14:paraId="3A4C9B9E" w14:textId="77777777" w:rsidR="00966770" w:rsidRPr="00F11E92" w:rsidRDefault="00966770" w:rsidP="00F11E92">
      <w:pPr>
        <w:pStyle w:val="ListParagraph"/>
        <w:spacing w:after="120" w:line="360" w:lineRule="auto"/>
        <w:rPr>
          <w:rFonts w:ascii="Arial" w:hAnsi="Arial" w:cs="Arial"/>
        </w:rPr>
      </w:pPr>
    </w:p>
    <w:p w14:paraId="27FAC827" w14:textId="77777777" w:rsidR="00966770" w:rsidRPr="00F11E92" w:rsidRDefault="00966770" w:rsidP="00F11E92">
      <w:pPr>
        <w:pStyle w:val="ListParagraph"/>
        <w:numPr>
          <w:ilvl w:val="0"/>
          <w:numId w:val="9"/>
        </w:numPr>
        <w:spacing w:after="120" w:line="360" w:lineRule="auto"/>
        <w:ind w:left="1440"/>
        <w:jc w:val="both"/>
        <w:rPr>
          <w:rFonts w:ascii="Arial" w:hAnsi="Arial" w:cs="Arial"/>
        </w:rPr>
      </w:pPr>
      <w:r w:rsidRPr="00F11E92">
        <w:rPr>
          <w:rFonts w:ascii="Arial" w:hAnsi="Arial" w:cs="Arial"/>
        </w:rPr>
        <w:t xml:space="preserve">Debtor-in-Possession – in both the Proposal Procedure and the CCAA the board of directors remain in control of the company. </w:t>
      </w:r>
    </w:p>
    <w:p w14:paraId="5ADD4C25" w14:textId="77777777" w:rsidR="00966770" w:rsidRPr="00F11E92" w:rsidRDefault="00966770" w:rsidP="00F11E92">
      <w:pPr>
        <w:pStyle w:val="ListParagraph"/>
        <w:spacing w:after="120" w:line="360" w:lineRule="auto"/>
        <w:rPr>
          <w:rFonts w:ascii="Arial" w:hAnsi="Arial" w:cs="Arial"/>
        </w:rPr>
      </w:pPr>
    </w:p>
    <w:p w14:paraId="76BF0852" w14:textId="458AE3B6" w:rsidR="00966770" w:rsidRPr="00F11E92" w:rsidRDefault="00966770" w:rsidP="00F11E92">
      <w:pPr>
        <w:pStyle w:val="ListParagraph"/>
        <w:numPr>
          <w:ilvl w:val="0"/>
          <w:numId w:val="9"/>
        </w:numPr>
        <w:spacing w:after="120" w:line="360" w:lineRule="auto"/>
        <w:ind w:left="1440"/>
        <w:jc w:val="both"/>
        <w:rPr>
          <w:rFonts w:ascii="Arial" w:hAnsi="Arial" w:cs="Arial"/>
        </w:rPr>
      </w:pPr>
      <w:r w:rsidRPr="00F11E92">
        <w:rPr>
          <w:rFonts w:ascii="Arial" w:hAnsi="Arial" w:cs="Arial"/>
        </w:rPr>
        <w:t xml:space="preserve">Protection for new financing – the laws implementing the Proposal Procedure and the CCAA </w:t>
      </w:r>
      <w:r w:rsidR="008A0703" w:rsidRPr="00F11E92">
        <w:rPr>
          <w:rFonts w:ascii="Arial" w:hAnsi="Arial" w:cs="Arial"/>
        </w:rPr>
        <w:t xml:space="preserve">expressly </w:t>
      </w:r>
      <w:r w:rsidRPr="00F11E92">
        <w:rPr>
          <w:rFonts w:ascii="Arial" w:hAnsi="Arial" w:cs="Arial"/>
        </w:rPr>
        <w:t xml:space="preserve">provide </w:t>
      </w:r>
      <w:r w:rsidR="008A0703" w:rsidRPr="00F11E92">
        <w:rPr>
          <w:rFonts w:ascii="Arial" w:hAnsi="Arial" w:cs="Arial"/>
        </w:rPr>
        <w:t xml:space="preserve">a court the discretion </w:t>
      </w:r>
      <w:r w:rsidRPr="00F11E92">
        <w:rPr>
          <w:rFonts w:ascii="Arial" w:hAnsi="Arial" w:cs="Arial"/>
        </w:rPr>
        <w:t xml:space="preserve">for interim financing orders with the possibility of granting a priority charge for new financing. </w:t>
      </w:r>
    </w:p>
    <w:p w14:paraId="19AF2CAD" w14:textId="77777777" w:rsidR="00966770" w:rsidRPr="00F11E92" w:rsidRDefault="00966770" w:rsidP="00F11E92">
      <w:pPr>
        <w:pStyle w:val="ListParagraph"/>
        <w:spacing w:after="120" w:line="360" w:lineRule="auto"/>
        <w:rPr>
          <w:rFonts w:ascii="Arial" w:hAnsi="Arial" w:cs="Arial"/>
        </w:rPr>
      </w:pPr>
    </w:p>
    <w:p w14:paraId="70519820" w14:textId="3EA0CEEA" w:rsidR="00966770" w:rsidRPr="00F11E92" w:rsidRDefault="00966770" w:rsidP="00F11E92">
      <w:pPr>
        <w:pStyle w:val="ListParagraph"/>
        <w:numPr>
          <w:ilvl w:val="0"/>
          <w:numId w:val="9"/>
        </w:numPr>
        <w:spacing w:after="120" w:line="360" w:lineRule="auto"/>
        <w:ind w:left="1440"/>
        <w:jc w:val="both"/>
        <w:rPr>
          <w:rFonts w:ascii="Arial" w:hAnsi="Arial" w:cs="Arial"/>
        </w:rPr>
      </w:pPr>
      <w:r w:rsidRPr="00F11E92">
        <w:rPr>
          <w:rFonts w:ascii="Arial" w:hAnsi="Arial" w:cs="Arial"/>
        </w:rPr>
        <w:t>Voting Mechanism – the Proposal Procedures and CCA</w:t>
      </w:r>
      <w:r w:rsidR="006A6FF1">
        <w:rPr>
          <w:rFonts w:ascii="Arial" w:hAnsi="Arial" w:cs="Arial"/>
        </w:rPr>
        <w:t>A</w:t>
      </w:r>
      <w:r w:rsidRPr="00F11E92">
        <w:rPr>
          <w:rFonts w:ascii="Arial" w:hAnsi="Arial" w:cs="Arial"/>
        </w:rPr>
        <w:t xml:space="preserve"> Plan regime</w:t>
      </w:r>
      <w:r w:rsidR="008A0703" w:rsidRPr="00F11E92">
        <w:rPr>
          <w:rFonts w:ascii="Arial" w:hAnsi="Arial" w:cs="Arial"/>
        </w:rPr>
        <w:t xml:space="preserve"> requires </w:t>
      </w:r>
      <w:r w:rsidRPr="00F11E92">
        <w:rPr>
          <w:rFonts w:ascii="Arial" w:hAnsi="Arial" w:cs="Arial"/>
        </w:rPr>
        <w:t xml:space="preserve">double-majorities of creditors in each class to approve the proposal in the case of the former and the plan in the case of the latter. </w:t>
      </w:r>
    </w:p>
    <w:p w14:paraId="5B04A917" w14:textId="2A26847A" w:rsidR="00966770" w:rsidRPr="00F11E92" w:rsidRDefault="00966770" w:rsidP="00F11E92">
      <w:pPr>
        <w:spacing w:after="120" w:line="360" w:lineRule="auto"/>
        <w:ind w:firstLine="720"/>
        <w:rPr>
          <w:rFonts w:ascii="Arial" w:hAnsi="Arial" w:cs="Arial"/>
        </w:rPr>
        <w:sectPr w:rsidR="00966770" w:rsidRPr="00F11E92" w:rsidSect="003C7F5C">
          <w:pgSz w:w="12240" w:h="15840"/>
          <w:pgMar w:top="1440" w:right="1440" w:bottom="1440" w:left="1440" w:header="720" w:footer="720" w:gutter="0"/>
          <w:cols w:space="720"/>
          <w:docGrid w:linePitch="360"/>
        </w:sectPr>
      </w:pPr>
      <w:r w:rsidRPr="00F11E92">
        <w:rPr>
          <w:rFonts w:ascii="Arial" w:hAnsi="Arial" w:cs="Arial"/>
        </w:rPr>
        <w:t xml:space="preserve">Canada also has mechanisms that are within each of the variables that would identify it as a </w:t>
      </w:r>
      <w:r w:rsidR="00F11E92">
        <w:rPr>
          <w:rFonts w:ascii="Arial" w:hAnsi="Arial" w:cs="Arial"/>
        </w:rPr>
        <w:t>“</w:t>
      </w:r>
      <w:r w:rsidRPr="00F11E92">
        <w:rPr>
          <w:rFonts w:ascii="Arial" w:hAnsi="Arial" w:cs="Arial"/>
          <w:i/>
          <w:iCs/>
        </w:rPr>
        <w:t>pro-restructuring</w:t>
      </w:r>
      <w:r w:rsidR="00F11E92">
        <w:rPr>
          <w:rFonts w:ascii="Arial" w:hAnsi="Arial" w:cs="Arial"/>
          <w:i/>
          <w:iCs/>
        </w:rPr>
        <w:t>”</w:t>
      </w:r>
      <w:r w:rsidRPr="00F11E92">
        <w:rPr>
          <w:rFonts w:ascii="Arial" w:hAnsi="Arial" w:cs="Arial"/>
        </w:rPr>
        <w:t xml:space="preserve"> regime. Canada</w:t>
      </w:r>
      <w:r w:rsidR="00F519E5" w:rsidRPr="00F11E92">
        <w:rPr>
          <w:rFonts w:ascii="Arial" w:hAnsi="Arial" w:cs="Arial"/>
        </w:rPr>
        <w:t>’s</w:t>
      </w:r>
      <w:r w:rsidRPr="00F11E92">
        <w:rPr>
          <w:rFonts w:ascii="Arial" w:hAnsi="Arial" w:cs="Arial"/>
        </w:rPr>
        <w:t xml:space="preserve"> restructuring tools are </w:t>
      </w:r>
      <w:r w:rsidR="00F519E5" w:rsidRPr="00F11E92">
        <w:rPr>
          <w:rFonts w:ascii="Arial" w:hAnsi="Arial" w:cs="Arial"/>
        </w:rPr>
        <w:t xml:space="preserve">more </w:t>
      </w:r>
      <w:r w:rsidRPr="00F11E92">
        <w:rPr>
          <w:rFonts w:ascii="Arial" w:hAnsi="Arial" w:cs="Arial"/>
        </w:rPr>
        <w:t xml:space="preserve">closely aligned with each other </w:t>
      </w:r>
      <w:r w:rsidR="00F519E5" w:rsidRPr="00F11E92">
        <w:rPr>
          <w:rFonts w:ascii="Arial" w:hAnsi="Arial" w:cs="Arial"/>
        </w:rPr>
        <w:t>on</w:t>
      </w:r>
      <w:r w:rsidR="00212F5D" w:rsidRPr="00F11E92">
        <w:rPr>
          <w:rFonts w:ascii="Arial" w:hAnsi="Arial" w:cs="Arial"/>
        </w:rPr>
        <w:t xml:space="preserve"> </w:t>
      </w:r>
      <w:r w:rsidR="00F519E5" w:rsidRPr="00F11E92">
        <w:rPr>
          <w:rFonts w:ascii="Arial" w:hAnsi="Arial" w:cs="Arial"/>
        </w:rPr>
        <w:t xml:space="preserve">the variables </w:t>
      </w:r>
      <w:proofErr w:type="spellStart"/>
      <w:r w:rsidR="00F519E5" w:rsidRPr="00F11E92">
        <w:rPr>
          <w:rFonts w:ascii="Arial" w:hAnsi="Arial" w:cs="Arial"/>
        </w:rPr>
        <w:t>analysed</w:t>
      </w:r>
      <w:proofErr w:type="spellEnd"/>
      <w:r w:rsidR="00F519E5" w:rsidRPr="00F11E92">
        <w:rPr>
          <w:rFonts w:ascii="Arial" w:hAnsi="Arial" w:cs="Arial"/>
        </w:rPr>
        <w:t xml:space="preserve"> than </w:t>
      </w:r>
      <w:r w:rsidR="00212F5D" w:rsidRPr="00F11E92">
        <w:rPr>
          <w:rFonts w:ascii="Arial" w:hAnsi="Arial" w:cs="Arial"/>
        </w:rPr>
        <w:t xml:space="preserve">are </w:t>
      </w:r>
      <w:r w:rsidR="00F519E5" w:rsidRPr="00F11E92">
        <w:rPr>
          <w:rFonts w:ascii="Arial" w:hAnsi="Arial" w:cs="Arial"/>
        </w:rPr>
        <w:t xml:space="preserve">the UK’s restructuring tools. </w:t>
      </w:r>
    </w:p>
    <w:p w14:paraId="0713AA03" w14:textId="469753DA" w:rsidR="0025790A" w:rsidRPr="00F11E92" w:rsidRDefault="00D452BD" w:rsidP="00F11E92">
      <w:pPr>
        <w:pStyle w:val="Heading1"/>
        <w:spacing w:after="120"/>
        <w:rPr>
          <w:rFonts w:ascii="Arial" w:hAnsi="Arial" w:cs="Arial"/>
          <w:sz w:val="22"/>
          <w:szCs w:val="22"/>
        </w:rPr>
      </w:pPr>
      <w:bookmarkStart w:id="18" w:name="_Toc95128871"/>
      <w:r w:rsidRPr="00F11E92">
        <w:rPr>
          <w:rFonts w:ascii="Arial" w:hAnsi="Arial" w:cs="Arial"/>
          <w:sz w:val="22"/>
          <w:szCs w:val="22"/>
        </w:rPr>
        <w:lastRenderedPageBreak/>
        <w:t xml:space="preserve">PART V - </w:t>
      </w:r>
      <w:r w:rsidR="0025790A" w:rsidRPr="00F11E92">
        <w:rPr>
          <w:rFonts w:ascii="Arial" w:hAnsi="Arial" w:cs="Arial"/>
          <w:sz w:val="22"/>
          <w:szCs w:val="22"/>
        </w:rPr>
        <w:t>CONCLUSION</w:t>
      </w:r>
      <w:bookmarkEnd w:id="18"/>
    </w:p>
    <w:p w14:paraId="104B88CF" w14:textId="7CB8B677" w:rsidR="00E37AA0" w:rsidRPr="00F11E92" w:rsidRDefault="00840855" w:rsidP="00F11E92">
      <w:pPr>
        <w:spacing w:after="120" w:line="360" w:lineRule="auto"/>
        <w:jc w:val="both"/>
        <w:rPr>
          <w:rFonts w:ascii="Arial" w:hAnsi="Arial" w:cs="Arial"/>
        </w:rPr>
      </w:pPr>
      <w:r w:rsidRPr="00F11E92">
        <w:rPr>
          <w:rFonts w:ascii="Arial" w:hAnsi="Arial" w:cs="Arial"/>
        </w:rPr>
        <w:tab/>
      </w:r>
      <w:r w:rsidR="00910141" w:rsidRPr="00F11E92">
        <w:rPr>
          <w:rFonts w:ascii="Arial" w:hAnsi="Arial" w:cs="Arial"/>
        </w:rPr>
        <w:t>On balance it is submitted that b</w:t>
      </w:r>
      <w:r w:rsidRPr="00F11E92">
        <w:rPr>
          <w:rFonts w:ascii="Arial" w:hAnsi="Arial" w:cs="Arial"/>
        </w:rPr>
        <w:t xml:space="preserve">oth the UK and Canada </w:t>
      </w:r>
      <w:r w:rsidR="00910141" w:rsidRPr="00F11E92">
        <w:rPr>
          <w:rFonts w:ascii="Arial" w:hAnsi="Arial" w:cs="Arial"/>
        </w:rPr>
        <w:t xml:space="preserve">would </w:t>
      </w:r>
      <w:r w:rsidRPr="00F11E92">
        <w:rPr>
          <w:rFonts w:ascii="Arial" w:hAnsi="Arial" w:cs="Arial"/>
        </w:rPr>
        <w:t>be consider</w:t>
      </w:r>
      <w:r w:rsidR="00212F5D" w:rsidRPr="00F11E92">
        <w:rPr>
          <w:rFonts w:ascii="Arial" w:hAnsi="Arial" w:cs="Arial"/>
        </w:rPr>
        <w:t>ed</w:t>
      </w:r>
      <w:r w:rsidRPr="00F11E92">
        <w:rPr>
          <w:rFonts w:ascii="Arial" w:hAnsi="Arial" w:cs="Arial"/>
        </w:rPr>
        <w:t xml:space="preserve"> </w:t>
      </w:r>
      <w:r w:rsidR="00212F5D" w:rsidRPr="00F11E92">
        <w:rPr>
          <w:rFonts w:ascii="Arial" w:hAnsi="Arial" w:cs="Arial"/>
        </w:rPr>
        <w:t>“</w:t>
      </w:r>
      <w:r w:rsidRPr="00F11E92">
        <w:rPr>
          <w:rFonts w:ascii="Arial" w:hAnsi="Arial" w:cs="Arial"/>
          <w:i/>
          <w:iCs/>
        </w:rPr>
        <w:t>pro-restructuring</w:t>
      </w:r>
      <w:r w:rsidR="00212F5D" w:rsidRPr="00F11E92">
        <w:rPr>
          <w:rFonts w:ascii="Arial" w:hAnsi="Arial" w:cs="Arial"/>
          <w:i/>
          <w:iCs/>
        </w:rPr>
        <w:t>”</w:t>
      </w:r>
      <w:r w:rsidRPr="00F11E92">
        <w:rPr>
          <w:rFonts w:ascii="Arial" w:hAnsi="Arial" w:cs="Arial"/>
          <w:i/>
          <w:iCs/>
        </w:rPr>
        <w:t xml:space="preserve"> </w:t>
      </w:r>
      <w:r w:rsidR="00910141" w:rsidRPr="00F11E92">
        <w:rPr>
          <w:rFonts w:ascii="Arial" w:hAnsi="Arial" w:cs="Arial"/>
        </w:rPr>
        <w:t>regimes as they each have mechanisms that provide for the majority of variables c</w:t>
      </w:r>
      <w:r w:rsidR="00F519E5" w:rsidRPr="00F11E92">
        <w:rPr>
          <w:rFonts w:ascii="Arial" w:hAnsi="Arial" w:cs="Arial"/>
        </w:rPr>
        <w:t>haracteristic</w:t>
      </w:r>
      <w:r w:rsidR="00910141" w:rsidRPr="00F11E92">
        <w:rPr>
          <w:rFonts w:ascii="Arial" w:hAnsi="Arial" w:cs="Arial"/>
        </w:rPr>
        <w:t xml:space="preserve"> of a </w:t>
      </w:r>
      <w:r w:rsidR="00212F5D" w:rsidRPr="00F11E92">
        <w:rPr>
          <w:rFonts w:ascii="Arial" w:hAnsi="Arial" w:cs="Arial"/>
        </w:rPr>
        <w:t>“</w:t>
      </w:r>
      <w:r w:rsidR="00910141" w:rsidRPr="00F11E92">
        <w:rPr>
          <w:rFonts w:ascii="Arial" w:hAnsi="Arial" w:cs="Arial"/>
          <w:i/>
          <w:iCs/>
        </w:rPr>
        <w:t>pro-restructuring</w:t>
      </w:r>
      <w:r w:rsidR="00212F5D" w:rsidRPr="00F11E92">
        <w:rPr>
          <w:rFonts w:ascii="Arial" w:hAnsi="Arial" w:cs="Arial"/>
          <w:i/>
          <w:iCs/>
        </w:rPr>
        <w:t>”</w:t>
      </w:r>
      <w:r w:rsidR="00910141" w:rsidRPr="00F11E92">
        <w:rPr>
          <w:rFonts w:ascii="Arial" w:hAnsi="Arial" w:cs="Arial"/>
        </w:rPr>
        <w:t xml:space="preserve"> regime. </w:t>
      </w:r>
      <w:r w:rsidRPr="00F11E92">
        <w:rPr>
          <w:rFonts w:ascii="Arial" w:hAnsi="Arial" w:cs="Arial"/>
        </w:rPr>
        <w:t xml:space="preserve"> </w:t>
      </w:r>
      <w:r w:rsidR="00F519E5" w:rsidRPr="00F11E92">
        <w:rPr>
          <w:rFonts w:ascii="Arial" w:hAnsi="Arial" w:cs="Arial"/>
        </w:rPr>
        <w:t>Considered in more detail</w:t>
      </w:r>
      <w:r w:rsidR="00910141" w:rsidRPr="00F11E92">
        <w:rPr>
          <w:rFonts w:ascii="Arial" w:hAnsi="Arial" w:cs="Arial"/>
        </w:rPr>
        <w:t xml:space="preserve"> the UK’s restructuring tools have more varia</w:t>
      </w:r>
      <w:r w:rsidR="00326730" w:rsidRPr="00F11E92">
        <w:rPr>
          <w:rFonts w:ascii="Arial" w:hAnsi="Arial" w:cs="Arial"/>
        </w:rPr>
        <w:t xml:space="preserve">tion </w:t>
      </w:r>
      <w:r w:rsidR="006B4F85" w:rsidRPr="00F11E92">
        <w:rPr>
          <w:rFonts w:ascii="Arial" w:hAnsi="Arial" w:cs="Arial"/>
        </w:rPr>
        <w:t xml:space="preserve">among the variables. Whilst Canada’s restructuring tools are more closely aligned with each other.  </w:t>
      </w:r>
    </w:p>
    <w:p w14:paraId="71E4F7AA" w14:textId="776620B4" w:rsidR="00624FF9" w:rsidRPr="00F11E92" w:rsidRDefault="006B4F85" w:rsidP="00F11E92">
      <w:pPr>
        <w:spacing w:after="120" w:line="360" w:lineRule="auto"/>
        <w:jc w:val="both"/>
        <w:rPr>
          <w:rFonts w:ascii="Arial" w:hAnsi="Arial" w:cs="Arial"/>
        </w:rPr>
      </w:pPr>
      <w:r w:rsidRPr="00F11E92">
        <w:rPr>
          <w:rFonts w:ascii="Arial" w:hAnsi="Arial" w:cs="Arial"/>
        </w:rPr>
        <w:tab/>
        <w:t>Taking each regime as whole, the UK</w:t>
      </w:r>
      <w:r w:rsidR="00624FF9" w:rsidRPr="00F11E92">
        <w:rPr>
          <w:rFonts w:ascii="Arial" w:hAnsi="Arial" w:cs="Arial"/>
        </w:rPr>
        <w:t xml:space="preserve"> (through the</w:t>
      </w:r>
      <w:r w:rsidRPr="00F11E92">
        <w:rPr>
          <w:rFonts w:ascii="Arial" w:hAnsi="Arial" w:cs="Arial"/>
        </w:rPr>
        <w:t xml:space="preserve"> Restructuring Plan’s voting mechanism</w:t>
      </w:r>
      <w:r w:rsidR="00624FF9" w:rsidRPr="00F11E92">
        <w:rPr>
          <w:rFonts w:ascii="Arial" w:hAnsi="Arial" w:cs="Arial"/>
        </w:rPr>
        <w:t>)</w:t>
      </w:r>
      <w:r w:rsidRPr="00F11E92">
        <w:rPr>
          <w:rFonts w:ascii="Arial" w:hAnsi="Arial" w:cs="Arial"/>
        </w:rPr>
        <w:t xml:space="preserve"> provides </w:t>
      </w:r>
      <w:r w:rsidR="00F519E5" w:rsidRPr="00F11E92">
        <w:rPr>
          <w:rFonts w:ascii="Arial" w:hAnsi="Arial" w:cs="Arial"/>
        </w:rPr>
        <w:t>the</w:t>
      </w:r>
      <w:r w:rsidRPr="00F11E92">
        <w:rPr>
          <w:rFonts w:ascii="Arial" w:hAnsi="Arial" w:cs="Arial"/>
        </w:rPr>
        <w:t xml:space="preserve"> </w:t>
      </w:r>
      <w:r w:rsidR="00624FF9" w:rsidRPr="00F11E92">
        <w:rPr>
          <w:rFonts w:ascii="Arial" w:hAnsi="Arial" w:cs="Arial"/>
        </w:rPr>
        <w:t>power of “</w:t>
      </w:r>
      <w:r w:rsidR="00624FF9" w:rsidRPr="00F11E92">
        <w:rPr>
          <w:rFonts w:ascii="Arial" w:hAnsi="Arial" w:cs="Arial"/>
          <w:i/>
          <w:iCs/>
        </w:rPr>
        <w:t>cross-class cram downs</w:t>
      </w:r>
      <w:r w:rsidR="00624FF9" w:rsidRPr="00F11E92">
        <w:rPr>
          <w:rFonts w:ascii="Arial" w:hAnsi="Arial" w:cs="Arial"/>
        </w:rPr>
        <w:t xml:space="preserve">” which is not available in any tool in Canada. In In </w:t>
      </w:r>
      <w:r w:rsidR="00624FF9" w:rsidRPr="00F11E92">
        <w:rPr>
          <w:rFonts w:ascii="Arial" w:hAnsi="Arial" w:cs="Arial"/>
          <w:i/>
          <w:iCs/>
          <w:u w:val="single"/>
        </w:rPr>
        <w:t>Hurricane Energy</w:t>
      </w:r>
      <w:r w:rsidR="00656538" w:rsidRPr="00F11E92">
        <w:rPr>
          <w:rStyle w:val="FootnoteReference"/>
          <w:rFonts w:ascii="Arial" w:hAnsi="Arial" w:cs="Arial"/>
          <w:i/>
          <w:iCs/>
        </w:rPr>
        <w:footnoteReference w:id="23"/>
      </w:r>
      <w:r w:rsidR="00624FF9" w:rsidRPr="00F11E92">
        <w:rPr>
          <w:rFonts w:ascii="Arial" w:hAnsi="Arial" w:cs="Arial"/>
        </w:rPr>
        <w:t xml:space="preserve"> </w:t>
      </w:r>
      <w:r w:rsidR="00656538" w:rsidRPr="00F11E92">
        <w:rPr>
          <w:rFonts w:ascii="Arial" w:hAnsi="Arial" w:cs="Arial"/>
        </w:rPr>
        <w:t>Mr</w:t>
      </w:r>
      <w:r w:rsidR="00212F5D" w:rsidRPr="00F11E92">
        <w:rPr>
          <w:rFonts w:ascii="Arial" w:hAnsi="Arial" w:cs="Arial"/>
        </w:rPr>
        <w:t>.</w:t>
      </w:r>
      <w:r w:rsidR="00656538" w:rsidRPr="00F11E92">
        <w:rPr>
          <w:rFonts w:ascii="Arial" w:hAnsi="Arial" w:cs="Arial"/>
        </w:rPr>
        <w:t xml:space="preserve"> Justice </w:t>
      </w:r>
      <w:proofErr w:type="spellStart"/>
      <w:r w:rsidR="00656538" w:rsidRPr="00F11E92">
        <w:rPr>
          <w:rFonts w:ascii="Arial" w:hAnsi="Arial" w:cs="Arial"/>
        </w:rPr>
        <w:t>Zacaroli</w:t>
      </w:r>
      <w:proofErr w:type="spellEnd"/>
      <w:r w:rsidR="00624FF9" w:rsidRPr="00F11E92">
        <w:rPr>
          <w:rFonts w:ascii="Arial" w:hAnsi="Arial" w:cs="Arial"/>
        </w:rPr>
        <w:t xml:space="preserve"> stated: </w:t>
      </w:r>
    </w:p>
    <w:p w14:paraId="77FE2C91" w14:textId="77777777" w:rsidR="00624FF9" w:rsidRPr="00F11E92" w:rsidRDefault="00624FF9" w:rsidP="00F11E92">
      <w:pPr>
        <w:spacing w:after="120" w:line="360" w:lineRule="auto"/>
        <w:ind w:left="720"/>
        <w:jc w:val="both"/>
        <w:rPr>
          <w:rFonts w:ascii="Arial" w:hAnsi="Arial" w:cs="Arial"/>
        </w:rPr>
      </w:pPr>
      <w:r w:rsidRPr="00F11E92">
        <w:rPr>
          <w:rFonts w:ascii="Arial" w:hAnsi="Arial" w:cs="Arial"/>
        </w:rPr>
        <w:t>“</w:t>
      </w:r>
      <w:r w:rsidRPr="00F11E92">
        <w:rPr>
          <w:rFonts w:ascii="Arial" w:hAnsi="Arial" w:cs="Arial"/>
          <w:i/>
          <w:iCs/>
        </w:rPr>
        <w:t>[T]he reluctance of the Court in the [SOA procedure] to depart from the outcome of a properly convened meeting of a class of creditors cannot have the same place in the court’s approach to sanctioning a restructuring plan</w:t>
      </w:r>
      <w:r w:rsidRPr="00F11E92">
        <w:rPr>
          <w:rFonts w:ascii="Arial" w:hAnsi="Arial" w:cs="Arial"/>
        </w:rPr>
        <w:t>.”</w:t>
      </w:r>
      <w:r w:rsidRPr="00F11E92">
        <w:rPr>
          <w:rStyle w:val="FootnoteReference"/>
          <w:rFonts w:ascii="Arial" w:hAnsi="Arial" w:cs="Arial"/>
        </w:rPr>
        <w:footnoteReference w:id="24"/>
      </w:r>
    </w:p>
    <w:p w14:paraId="0F4C4C3C" w14:textId="2D4507A7" w:rsidR="00166FE3" w:rsidRPr="00F11E92" w:rsidRDefault="00624FF9" w:rsidP="00F11E92">
      <w:pPr>
        <w:spacing w:after="120" w:line="360" w:lineRule="auto"/>
        <w:jc w:val="both"/>
        <w:rPr>
          <w:rFonts w:ascii="Arial" w:hAnsi="Arial" w:cs="Arial"/>
        </w:rPr>
      </w:pPr>
      <w:r w:rsidRPr="00F11E92">
        <w:rPr>
          <w:rFonts w:ascii="Arial" w:hAnsi="Arial" w:cs="Arial"/>
        </w:rPr>
        <w:t>The power</w:t>
      </w:r>
      <w:r w:rsidR="00F519E5" w:rsidRPr="00F11E92">
        <w:rPr>
          <w:rFonts w:ascii="Arial" w:hAnsi="Arial" w:cs="Arial"/>
        </w:rPr>
        <w:t xml:space="preserve"> to</w:t>
      </w:r>
      <w:r w:rsidRPr="00F11E92">
        <w:rPr>
          <w:rFonts w:ascii="Arial" w:hAnsi="Arial" w:cs="Arial"/>
        </w:rPr>
        <w:t xml:space="preserve"> cram down a bargain on an entire dissenting class </w:t>
      </w:r>
      <w:r w:rsidR="00CB4277" w:rsidRPr="00F11E92">
        <w:rPr>
          <w:rFonts w:ascii="Arial" w:hAnsi="Arial" w:cs="Arial"/>
        </w:rPr>
        <w:t xml:space="preserve">gives </w:t>
      </w:r>
      <w:r w:rsidR="00166FE3" w:rsidRPr="00F11E92">
        <w:rPr>
          <w:rFonts w:ascii="Arial" w:hAnsi="Arial" w:cs="Arial"/>
        </w:rPr>
        <w:t xml:space="preserve">a </w:t>
      </w:r>
      <w:r w:rsidR="00CB4277" w:rsidRPr="00F11E92">
        <w:rPr>
          <w:rFonts w:ascii="Arial" w:hAnsi="Arial" w:cs="Arial"/>
        </w:rPr>
        <w:t xml:space="preserve">substantially more evaluative and contextual role to the court to </w:t>
      </w:r>
      <w:proofErr w:type="spellStart"/>
      <w:r w:rsidR="00212F5D" w:rsidRPr="00F11E92">
        <w:rPr>
          <w:rFonts w:ascii="Arial" w:hAnsi="Arial" w:cs="Arial"/>
        </w:rPr>
        <w:t>analys</w:t>
      </w:r>
      <w:r w:rsidR="00166FE3" w:rsidRPr="00F11E92">
        <w:rPr>
          <w:rFonts w:ascii="Arial" w:hAnsi="Arial" w:cs="Arial"/>
        </w:rPr>
        <w:t>e</w:t>
      </w:r>
      <w:proofErr w:type="spellEnd"/>
      <w:r w:rsidR="00166FE3" w:rsidRPr="00F11E92">
        <w:rPr>
          <w:rFonts w:ascii="Arial" w:hAnsi="Arial" w:cs="Arial"/>
        </w:rPr>
        <w:t xml:space="preserve"> the terms of the plan being put to creditors. Although of recent vintage the Restructuring Plan has already been utilized </w:t>
      </w:r>
      <w:r w:rsidR="008267FD" w:rsidRPr="00F11E92">
        <w:rPr>
          <w:rFonts w:ascii="Arial" w:hAnsi="Arial" w:cs="Arial"/>
        </w:rPr>
        <w:t>extensively</w:t>
      </w:r>
      <w:r w:rsidR="008267FD" w:rsidRPr="00F11E92">
        <w:rPr>
          <w:rStyle w:val="FootnoteReference"/>
          <w:rFonts w:ascii="Arial" w:hAnsi="Arial" w:cs="Arial"/>
        </w:rPr>
        <w:footnoteReference w:id="25"/>
      </w:r>
      <w:r w:rsidR="00166FE3" w:rsidRPr="00F11E92">
        <w:rPr>
          <w:rFonts w:ascii="Arial" w:hAnsi="Arial" w:cs="Arial"/>
        </w:rPr>
        <w:t>.</w:t>
      </w:r>
    </w:p>
    <w:p w14:paraId="0022EF71" w14:textId="1FA70073" w:rsidR="00C53225" w:rsidRPr="00F11E92" w:rsidRDefault="008267FD" w:rsidP="00F11E92">
      <w:pPr>
        <w:spacing w:after="120" w:line="360" w:lineRule="auto"/>
        <w:jc w:val="both"/>
        <w:rPr>
          <w:rFonts w:ascii="Arial" w:hAnsi="Arial" w:cs="Arial"/>
        </w:rPr>
      </w:pPr>
      <w:r w:rsidRPr="00F11E92">
        <w:rPr>
          <w:rFonts w:ascii="Arial" w:hAnsi="Arial" w:cs="Arial"/>
        </w:rPr>
        <w:tab/>
      </w:r>
      <w:r w:rsidR="001126F6" w:rsidRPr="00F11E92">
        <w:rPr>
          <w:rFonts w:ascii="Arial" w:hAnsi="Arial" w:cs="Arial"/>
        </w:rPr>
        <w:t xml:space="preserve">In Canada the voting mechanism requires a double majority in which a dissenting class effectively has the power to determine whether the proposal or plan is accepted. In spite of this, </w:t>
      </w:r>
      <w:r w:rsidR="006774C9" w:rsidRPr="00F11E92">
        <w:rPr>
          <w:rFonts w:ascii="Arial" w:hAnsi="Arial" w:cs="Arial"/>
        </w:rPr>
        <w:t xml:space="preserve">the </w:t>
      </w:r>
      <w:r w:rsidR="001126F6" w:rsidRPr="00F11E92">
        <w:rPr>
          <w:rFonts w:ascii="Arial" w:hAnsi="Arial" w:cs="Arial"/>
        </w:rPr>
        <w:t xml:space="preserve">Canada </w:t>
      </w:r>
      <w:r w:rsidR="006774C9" w:rsidRPr="00F11E92">
        <w:rPr>
          <w:rFonts w:ascii="Arial" w:hAnsi="Arial" w:cs="Arial"/>
        </w:rPr>
        <w:t xml:space="preserve">proposal recognizes an automatic statutory stay of proceedings and retention of the existing board of directors. </w:t>
      </w:r>
      <w:r w:rsidR="00F519E5" w:rsidRPr="00F11E92">
        <w:rPr>
          <w:rFonts w:ascii="Arial" w:hAnsi="Arial" w:cs="Arial"/>
        </w:rPr>
        <w:t>O</w:t>
      </w:r>
      <w:r w:rsidR="009E6FF8" w:rsidRPr="00F11E92">
        <w:rPr>
          <w:rFonts w:ascii="Arial" w:hAnsi="Arial" w:cs="Arial"/>
        </w:rPr>
        <w:t>nly since the impl</w:t>
      </w:r>
      <w:r w:rsidR="00F519E5" w:rsidRPr="00F11E92">
        <w:rPr>
          <w:rFonts w:ascii="Arial" w:hAnsi="Arial" w:cs="Arial"/>
        </w:rPr>
        <w:t>ementation of CIGA 2020 that has the</w:t>
      </w:r>
      <w:r w:rsidR="009E6FF8" w:rsidRPr="00F11E92">
        <w:rPr>
          <w:rFonts w:ascii="Arial" w:hAnsi="Arial" w:cs="Arial"/>
        </w:rPr>
        <w:t xml:space="preserve"> </w:t>
      </w:r>
      <w:r w:rsidR="006774C9" w:rsidRPr="00F11E92">
        <w:rPr>
          <w:rFonts w:ascii="Arial" w:hAnsi="Arial" w:cs="Arial"/>
        </w:rPr>
        <w:t xml:space="preserve">UK </w:t>
      </w:r>
      <w:r w:rsidR="009E6FF8" w:rsidRPr="00F11E92">
        <w:rPr>
          <w:rFonts w:ascii="Arial" w:hAnsi="Arial" w:cs="Arial"/>
        </w:rPr>
        <w:t>est</w:t>
      </w:r>
      <w:r w:rsidR="00F519E5" w:rsidRPr="00F11E92">
        <w:rPr>
          <w:rFonts w:ascii="Arial" w:hAnsi="Arial" w:cs="Arial"/>
        </w:rPr>
        <w:t>ablished the power</w:t>
      </w:r>
      <w:r w:rsidR="009E6FF8" w:rsidRPr="00F11E92">
        <w:rPr>
          <w:rFonts w:ascii="Arial" w:hAnsi="Arial" w:cs="Arial"/>
        </w:rPr>
        <w:t xml:space="preserve"> for a distressed company’s board to remain in control whilst benefiting from a stay on enforcement proceedings</w:t>
      </w:r>
      <w:r w:rsidR="006774C9" w:rsidRPr="00F11E92">
        <w:rPr>
          <w:rFonts w:ascii="Arial" w:hAnsi="Arial" w:cs="Arial"/>
        </w:rPr>
        <w:t xml:space="preserve">. </w:t>
      </w:r>
      <w:r w:rsidR="009E6FF8" w:rsidRPr="00F11E92">
        <w:rPr>
          <w:rFonts w:ascii="Arial" w:hAnsi="Arial" w:cs="Arial"/>
        </w:rPr>
        <w:t>Prior to</w:t>
      </w:r>
      <w:r w:rsidR="006A6FF1">
        <w:rPr>
          <w:rFonts w:ascii="Arial" w:hAnsi="Arial" w:cs="Arial"/>
        </w:rPr>
        <w:t xml:space="preserve"> CIGA 2020 </w:t>
      </w:r>
      <w:r w:rsidR="006774C9" w:rsidRPr="00F11E92">
        <w:rPr>
          <w:rFonts w:ascii="Arial" w:hAnsi="Arial" w:cs="Arial"/>
        </w:rPr>
        <w:t xml:space="preserve">the UK </w:t>
      </w:r>
      <w:r w:rsidR="009E6FF8" w:rsidRPr="00F11E92">
        <w:rPr>
          <w:rFonts w:ascii="Arial" w:hAnsi="Arial" w:cs="Arial"/>
        </w:rPr>
        <w:t>required a distressed debtor to</w:t>
      </w:r>
      <w:r w:rsidR="006774C9" w:rsidRPr="00F11E92">
        <w:rPr>
          <w:rFonts w:ascii="Arial" w:hAnsi="Arial" w:cs="Arial"/>
        </w:rPr>
        <w:t xml:space="preserve"> combine more than one restructuring </w:t>
      </w:r>
      <w:r w:rsidR="009E6FF8" w:rsidRPr="00F11E92">
        <w:rPr>
          <w:rFonts w:ascii="Arial" w:hAnsi="Arial" w:cs="Arial"/>
        </w:rPr>
        <w:t xml:space="preserve">process </w:t>
      </w:r>
      <w:r w:rsidR="006774C9" w:rsidRPr="00F11E92">
        <w:rPr>
          <w:rFonts w:ascii="Arial" w:hAnsi="Arial" w:cs="Arial"/>
        </w:rPr>
        <w:t xml:space="preserve">in order to obtain the benefits of each.   </w:t>
      </w:r>
      <w:r w:rsidR="001126F6" w:rsidRPr="00F11E92">
        <w:rPr>
          <w:rFonts w:ascii="Arial" w:hAnsi="Arial" w:cs="Arial"/>
        </w:rPr>
        <w:t xml:space="preserve">  </w:t>
      </w:r>
    </w:p>
    <w:p w14:paraId="1741ABE9" w14:textId="3A37F321" w:rsidR="006774C9" w:rsidRPr="00F11E92" w:rsidRDefault="00C53225" w:rsidP="00F11E92">
      <w:pPr>
        <w:spacing w:after="120" w:line="360" w:lineRule="auto"/>
        <w:ind w:firstLine="720"/>
        <w:jc w:val="both"/>
        <w:rPr>
          <w:rFonts w:ascii="Arial" w:hAnsi="Arial" w:cs="Arial"/>
        </w:rPr>
      </w:pPr>
      <w:r w:rsidRPr="00F11E92">
        <w:rPr>
          <w:rFonts w:ascii="Arial" w:hAnsi="Arial" w:cs="Arial"/>
        </w:rPr>
        <w:t>I</w:t>
      </w:r>
      <w:r w:rsidR="00F519E5" w:rsidRPr="00F11E92">
        <w:rPr>
          <w:rFonts w:ascii="Arial" w:hAnsi="Arial" w:cs="Arial"/>
        </w:rPr>
        <w:t>n a study conducted prior to</w:t>
      </w:r>
      <w:r w:rsidRPr="00F11E92">
        <w:rPr>
          <w:rFonts w:ascii="Arial" w:hAnsi="Arial" w:cs="Arial"/>
        </w:rPr>
        <w:t xml:space="preserve"> </w:t>
      </w:r>
      <w:r w:rsidR="00F519E5" w:rsidRPr="00F11E92">
        <w:rPr>
          <w:rFonts w:ascii="Arial" w:hAnsi="Arial" w:cs="Arial"/>
        </w:rPr>
        <w:t>CIGA 2020</w:t>
      </w:r>
      <w:r w:rsidRPr="00F11E92">
        <w:rPr>
          <w:rFonts w:ascii="Arial" w:hAnsi="Arial" w:cs="Arial"/>
        </w:rPr>
        <w:t xml:space="preserve">, </w:t>
      </w:r>
      <w:r w:rsidR="006774C9" w:rsidRPr="00F11E92">
        <w:rPr>
          <w:rFonts w:ascii="Arial" w:hAnsi="Arial" w:cs="Arial"/>
        </w:rPr>
        <w:t xml:space="preserve">PricewaterhouseCoopers </w:t>
      </w:r>
      <w:r w:rsidRPr="00F11E92">
        <w:rPr>
          <w:rFonts w:ascii="Arial" w:hAnsi="Arial" w:cs="Arial"/>
        </w:rPr>
        <w:t>determined that</w:t>
      </w:r>
      <w:r w:rsidR="006774C9" w:rsidRPr="00F11E92">
        <w:rPr>
          <w:rFonts w:ascii="Arial" w:hAnsi="Arial" w:cs="Arial"/>
        </w:rPr>
        <w:t xml:space="preserve"> 51% of </w:t>
      </w:r>
      <w:r w:rsidRPr="00F11E92">
        <w:rPr>
          <w:rFonts w:ascii="Arial" w:hAnsi="Arial" w:cs="Arial"/>
        </w:rPr>
        <w:t xml:space="preserve">all </w:t>
      </w:r>
      <w:r w:rsidR="006774C9" w:rsidRPr="00F11E92">
        <w:rPr>
          <w:rFonts w:ascii="Arial" w:hAnsi="Arial" w:cs="Arial"/>
        </w:rPr>
        <w:t>retail CVAs in the UK required some other insolvency related procedure such as an Administration.</w:t>
      </w:r>
      <w:r w:rsidR="006774C9" w:rsidRPr="00F11E92">
        <w:rPr>
          <w:rStyle w:val="FootnoteReference"/>
          <w:rFonts w:ascii="Arial" w:hAnsi="Arial" w:cs="Arial"/>
        </w:rPr>
        <w:footnoteReference w:id="26"/>
      </w:r>
      <w:r w:rsidRPr="00F11E92">
        <w:rPr>
          <w:rFonts w:ascii="Arial" w:hAnsi="Arial" w:cs="Arial"/>
        </w:rPr>
        <w:t xml:space="preserve"> </w:t>
      </w:r>
    </w:p>
    <w:p w14:paraId="0A4AB12D" w14:textId="45F41C6F" w:rsidR="00A2165B" w:rsidRPr="00F11E92" w:rsidRDefault="00C53225" w:rsidP="00F11E92">
      <w:pPr>
        <w:spacing w:after="120" w:line="360" w:lineRule="auto"/>
        <w:jc w:val="both"/>
        <w:rPr>
          <w:rFonts w:ascii="Arial" w:hAnsi="Arial" w:cs="Arial"/>
        </w:rPr>
      </w:pPr>
      <w:r w:rsidRPr="00F11E92">
        <w:rPr>
          <w:rFonts w:ascii="Arial" w:hAnsi="Arial" w:cs="Arial"/>
        </w:rPr>
        <w:lastRenderedPageBreak/>
        <w:tab/>
        <w:t>In contrast the Canada experience appears to be content</w:t>
      </w:r>
      <w:r w:rsidR="00315E20" w:rsidRPr="00F11E92">
        <w:rPr>
          <w:rFonts w:ascii="Arial" w:hAnsi="Arial" w:cs="Arial"/>
        </w:rPr>
        <w:t>ment</w:t>
      </w:r>
      <w:r w:rsidRPr="00F11E92">
        <w:rPr>
          <w:rFonts w:ascii="Arial" w:hAnsi="Arial" w:cs="Arial"/>
        </w:rPr>
        <w:t xml:space="preserve"> with its existing restructuring </w:t>
      </w:r>
      <w:r w:rsidR="00315E20" w:rsidRPr="00F11E92">
        <w:rPr>
          <w:rFonts w:ascii="Arial" w:hAnsi="Arial" w:cs="Arial"/>
        </w:rPr>
        <w:t>tools</w:t>
      </w:r>
      <w:r w:rsidR="00A2165B" w:rsidRPr="00F11E92">
        <w:rPr>
          <w:rFonts w:ascii="Arial" w:hAnsi="Arial" w:cs="Arial"/>
        </w:rPr>
        <w:t xml:space="preserve">. </w:t>
      </w:r>
      <w:r w:rsidR="00295480" w:rsidRPr="00F11E92">
        <w:rPr>
          <w:rFonts w:ascii="Arial" w:hAnsi="Arial" w:cs="Arial"/>
        </w:rPr>
        <w:t xml:space="preserve">In </w:t>
      </w:r>
      <w:r w:rsidR="00996764" w:rsidRPr="00F11E92">
        <w:rPr>
          <w:rFonts w:ascii="Arial" w:hAnsi="Arial" w:cs="Arial"/>
        </w:rPr>
        <w:t xml:space="preserve">a statutory review </w:t>
      </w:r>
      <w:r w:rsidR="00420C5F">
        <w:rPr>
          <w:rFonts w:ascii="Arial" w:hAnsi="Arial" w:cs="Arial"/>
        </w:rPr>
        <w:t xml:space="preserve">of Canada’s insolvency laws completed in </w:t>
      </w:r>
      <w:r w:rsidR="00996764" w:rsidRPr="00F11E92">
        <w:rPr>
          <w:rFonts w:ascii="Arial" w:hAnsi="Arial" w:cs="Arial"/>
        </w:rPr>
        <w:t xml:space="preserve">2014 concluded that:   </w:t>
      </w:r>
    </w:p>
    <w:p w14:paraId="6E7BC7D0" w14:textId="0EF77C11" w:rsidR="00A2165B" w:rsidRPr="00F11E92" w:rsidRDefault="00A2165B" w:rsidP="00F11E92">
      <w:pPr>
        <w:spacing w:after="120" w:line="360" w:lineRule="auto"/>
        <w:ind w:left="720"/>
        <w:jc w:val="both"/>
        <w:rPr>
          <w:rFonts w:ascii="Arial" w:hAnsi="Arial" w:cs="Arial"/>
          <w:color w:val="000000" w:themeColor="text1"/>
        </w:rPr>
      </w:pPr>
      <w:r w:rsidRPr="00F11E92">
        <w:rPr>
          <w:rFonts w:ascii="Arial" w:hAnsi="Arial" w:cs="Arial"/>
          <w:color w:val="000000" w:themeColor="text1"/>
          <w:shd w:val="clear" w:color="auto" w:fill="FFFFFF"/>
        </w:rPr>
        <w:t>“</w:t>
      </w:r>
      <w:r w:rsidRPr="00F11E92">
        <w:rPr>
          <w:rFonts w:ascii="Arial" w:hAnsi="Arial" w:cs="Arial"/>
          <w:i/>
          <w:iCs/>
          <w:color w:val="000000" w:themeColor="text1"/>
          <w:shd w:val="clear" w:color="auto" w:fill="FFFFFF"/>
        </w:rPr>
        <w:t>The 2008 economic downturn led many developed economies into a deep recession Canada's experience was better than most as a result of positive actions taken to address the downturn … The BIA and CCAA were up to the challenge and played their part by providing individuals with the needed fresh start and offering viable but financially troubled firms the opportunity to restructure</w:t>
      </w:r>
      <w:r w:rsidRPr="00F11E92">
        <w:rPr>
          <w:rFonts w:ascii="Arial" w:hAnsi="Arial" w:cs="Arial"/>
          <w:color w:val="000000" w:themeColor="text1"/>
          <w:shd w:val="clear" w:color="auto" w:fill="FFFFFF"/>
        </w:rPr>
        <w:t>.”</w:t>
      </w:r>
      <w:r w:rsidR="00465E51" w:rsidRPr="00F11E92">
        <w:rPr>
          <w:rStyle w:val="FootnoteReference"/>
          <w:rFonts w:ascii="Arial" w:hAnsi="Arial" w:cs="Arial"/>
          <w:color w:val="000000" w:themeColor="text1"/>
          <w:shd w:val="clear" w:color="auto" w:fill="FFFFFF"/>
        </w:rPr>
        <w:footnoteReference w:id="27"/>
      </w:r>
    </w:p>
    <w:p w14:paraId="5D0482FE" w14:textId="577C3743" w:rsidR="00855153" w:rsidRPr="00F11E92" w:rsidRDefault="00166FE3" w:rsidP="00F11E92">
      <w:pPr>
        <w:spacing w:after="120" w:line="360" w:lineRule="auto"/>
        <w:jc w:val="both"/>
        <w:rPr>
          <w:rFonts w:ascii="Arial" w:hAnsi="Arial" w:cs="Arial"/>
        </w:rPr>
      </w:pPr>
      <w:r w:rsidRPr="00F11E92">
        <w:rPr>
          <w:rFonts w:ascii="Arial" w:hAnsi="Arial" w:cs="Arial"/>
        </w:rPr>
        <w:tab/>
      </w:r>
      <w:r w:rsidR="00855153" w:rsidRPr="00F11E92">
        <w:rPr>
          <w:rFonts w:ascii="Arial" w:hAnsi="Arial" w:cs="Arial"/>
        </w:rPr>
        <w:t xml:space="preserve">It will be of significant interest whether the </w:t>
      </w:r>
      <w:r w:rsidR="00212F5D" w:rsidRPr="00F11E92">
        <w:rPr>
          <w:rFonts w:ascii="Arial" w:hAnsi="Arial" w:cs="Arial"/>
        </w:rPr>
        <w:t xml:space="preserve">UK’s </w:t>
      </w:r>
      <w:r w:rsidR="00855153" w:rsidRPr="00F11E92">
        <w:rPr>
          <w:rFonts w:ascii="Arial" w:hAnsi="Arial" w:cs="Arial"/>
        </w:rPr>
        <w:t xml:space="preserve">latest forms which put it squarely within the </w:t>
      </w:r>
      <w:r w:rsidR="00212F5D" w:rsidRPr="00F11E92">
        <w:rPr>
          <w:rFonts w:ascii="Arial" w:hAnsi="Arial" w:cs="Arial"/>
        </w:rPr>
        <w:t>“</w:t>
      </w:r>
      <w:r w:rsidR="00855153" w:rsidRPr="00F11E92">
        <w:rPr>
          <w:rFonts w:ascii="Arial" w:hAnsi="Arial" w:cs="Arial"/>
          <w:i/>
          <w:iCs/>
        </w:rPr>
        <w:t>pro-restructuring</w:t>
      </w:r>
      <w:r w:rsidR="00212F5D" w:rsidRPr="00F11E92">
        <w:rPr>
          <w:rFonts w:ascii="Arial" w:hAnsi="Arial" w:cs="Arial"/>
          <w:i/>
          <w:iCs/>
        </w:rPr>
        <w:t>”</w:t>
      </w:r>
      <w:r w:rsidR="00855153" w:rsidRPr="00F11E92">
        <w:rPr>
          <w:rFonts w:ascii="Arial" w:hAnsi="Arial" w:cs="Arial"/>
        </w:rPr>
        <w:t xml:space="preserve"> camp will instigate other jurisdictions such as Canada to seek to augment their restructuring regime.  </w:t>
      </w:r>
    </w:p>
    <w:p w14:paraId="2917280D" w14:textId="77777777" w:rsidR="00A73428" w:rsidRPr="00F11E92" w:rsidRDefault="00A73428" w:rsidP="00F11E92">
      <w:pPr>
        <w:spacing w:after="120"/>
        <w:rPr>
          <w:rFonts w:ascii="Arial" w:hAnsi="Arial" w:cs="Arial"/>
        </w:rPr>
      </w:pPr>
    </w:p>
    <w:p w14:paraId="4BC23923" w14:textId="77777777" w:rsidR="00465E51" w:rsidRPr="00212F5D" w:rsidRDefault="00465E51" w:rsidP="00AA1FC4">
      <w:pPr>
        <w:rPr>
          <w:rFonts w:ascii="Arial" w:hAnsi="Arial" w:cs="Arial"/>
        </w:rPr>
      </w:pPr>
    </w:p>
    <w:p w14:paraId="7516C53C" w14:textId="77777777" w:rsidR="00465E51" w:rsidRPr="00212F5D" w:rsidRDefault="00465E51" w:rsidP="00AA1FC4">
      <w:pPr>
        <w:rPr>
          <w:rFonts w:ascii="Arial" w:hAnsi="Arial" w:cs="Arial"/>
        </w:rPr>
      </w:pPr>
    </w:p>
    <w:p w14:paraId="0599809E" w14:textId="77777777" w:rsidR="00465E51" w:rsidRPr="00212F5D" w:rsidRDefault="00465E51" w:rsidP="00AA1FC4">
      <w:pPr>
        <w:rPr>
          <w:rFonts w:ascii="Arial" w:hAnsi="Arial" w:cs="Arial"/>
        </w:rPr>
      </w:pPr>
    </w:p>
    <w:p w14:paraId="6CE7DD93" w14:textId="77777777" w:rsidR="00465E51" w:rsidRPr="00212F5D" w:rsidRDefault="00465E51" w:rsidP="00AA1FC4">
      <w:pPr>
        <w:rPr>
          <w:rFonts w:ascii="Arial" w:hAnsi="Arial" w:cs="Arial"/>
        </w:rPr>
      </w:pPr>
    </w:p>
    <w:p w14:paraId="162C48BD" w14:textId="77777777" w:rsidR="00465E51" w:rsidRPr="00212F5D" w:rsidRDefault="00465E51" w:rsidP="00AA1FC4">
      <w:pPr>
        <w:rPr>
          <w:rFonts w:ascii="Arial" w:hAnsi="Arial" w:cs="Arial"/>
        </w:rPr>
      </w:pPr>
    </w:p>
    <w:p w14:paraId="3BEF49B6" w14:textId="77777777" w:rsidR="00465E51" w:rsidRPr="00212F5D" w:rsidRDefault="00465E51" w:rsidP="00AA1FC4">
      <w:pPr>
        <w:rPr>
          <w:rFonts w:ascii="Arial" w:hAnsi="Arial" w:cs="Arial"/>
        </w:rPr>
      </w:pPr>
    </w:p>
    <w:p w14:paraId="65EB96CB" w14:textId="77777777" w:rsidR="00465E51" w:rsidRPr="00212F5D" w:rsidRDefault="00465E51" w:rsidP="00AA1FC4">
      <w:pPr>
        <w:rPr>
          <w:rFonts w:ascii="Arial" w:hAnsi="Arial" w:cs="Arial"/>
        </w:rPr>
      </w:pPr>
    </w:p>
    <w:p w14:paraId="1A04D51F" w14:textId="77777777" w:rsidR="00465E51" w:rsidRPr="00212F5D" w:rsidRDefault="00465E51" w:rsidP="00AA1FC4">
      <w:pPr>
        <w:rPr>
          <w:rFonts w:ascii="Arial" w:hAnsi="Arial" w:cs="Arial"/>
        </w:rPr>
      </w:pPr>
    </w:p>
    <w:p w14:paraId="4670C4E7" w14:textId="77777777" w:rsidR="00465E51" w:rsidRPr="00212F5D" w:rsidRDefault="00465E51" w:rsidP="00AA1FC4">
      <w:pPr>
        <w:rPr>
          <w:rFonts w:ascii="Arial" w:hAnsi="Arial" w:cs="Arial"/>
        </w:rPr>
      </w:pPr>
    </w:p>
    <w:p w14:paraId="6F3EA60F" w14:textId="77777777" w:rsidR="00465E51" w:rsidRPr="00212F5D" w:rsidRDefault="00465E51" w:rsidP="00AA1FC4">
      <w:pPr>
        <w:rPr>
          <w:rFonts w:ascii="Arial" w:hAnsi="Arial" w:cs="Arial"/>
        </w:rPr>
      </w:pPr>
    </w:p>
    <w:p w14:paraId="51758CFA" w14:textId="77777777" w:rsidR="00465E51" w:rsidRDefault="00465E51" w:rsidP="00AA1FC4">
      <w:pPr>
        <w:rPr>
          <w:rFonts w:ascii="Arial" w:hAnsi="Arial" w:cs="Arial"/>
        </w:rPr>
      </w:pPr>
    </w:p>
    <w:p w14:paraId="62FAA1F2" w14:textId="77777777" w:rsidR="00B158E0" w:rsidRDefault="00B158E0" w:rsidP="00AA1FC4">
      <w:pPr>
        <w:rPr>
          <w:rFonts w:ascii="Arial" w:hAnsi="Arial" w:cs="Arial"/>
        </w:rPr>
      </w:pPr>
    </w:p>
    <w:p w14:paraId="4423A877" w14:textId="77777777" w:rsidR="00B158E0" w:rsidRPr="00212F5D" w:rsidRDefault="00B158E0" w:rsidP="00AA1FC4">
      <w:pPr>
        <w:rPr>
          <w:rFonts w:ascii="Arial" w:hAnsi="Arial" w:cs="Arial"/>
        </w:rPr>
      </w:pPr>
    </w:p>
    <w:p w14:paraId="25AE32A8" w14:textId="77777777" w:rsidR="00465E51" w:rsidRPr="00212F5D" w:rsidRDefault="00465E51" w:rsidP="00AA1FC4">
      <w:pPr>
        <w:rPr>
          <w:rFonts w:ascii="Arial" w:hAnsi="Arial" w:cs="Arial"/>
        </w:rPr>
      </w:pPr>
    </w:p>
    <w:p w14:paraId="1B37A063" w14:textId="55D53FC1" w:rsidR="00AA1FC4" w:rsidRPr="00212F5D" w:rsidRDefault="003E6D25" w:rsidP="003E6D25">
      <w:pPr>
        <w:pStyle w:val="Heading1"/>
        <w:rPr>
          <w:rFonts w:ascii="Arial" w:hAnsi="Arial" w:cs="Arial"/>
        </w:rPr>
      </w:pPr>
      <w:bookmarkStart w:id="19" w:name="_Toc95128872"/>
      <w:r w:rsidRPr="00212F5D">
        <w:rPr>
          <w:rFonts w:ascii="Arial" w:hAnsi="Arial" w:cs="Arial"/>
        </w:rPr>
        <w:lastRenderedPageBreak/>
        <w:t>BIBLIOGRAPHY</w:t>
      </w:r>
      <w:bookmarkEnd w:id="19"/>
      <w:r w:rsidRPr="00212F5D">
        <w:rPr>
          <w:rFonts w:ascii="Arial" w:hAnsi="Arial" w:cs="Arial"/>
        </w:rPr>
        <w:t xml:space="preserve"> </w:t>
      </w:r>
    </w:p>
    <w:p w14:paraId="65D5D861" w14:textId="77777777" w:rsidR="005231F8" w:rsidRPr="005231F8" w:rsidRDefault="005231F8" w:rsidP="005231F8">
      <w:pPr>
        <w:jc w:val="both"/>
        <w:rPr>
          <w:rFonts w:ascii="Arial" w:hAnsi="Arial" w:cs="Arial"/>
          <w:sz w:val="24"/>
          <w:szCs w:val="24"/>
        </w:rPr>
      </w:pPr>
      <w:r w:rsidRPr="005231F8">
        <w:rPr>
          <w:rFonts w:ascii="Arial" w:hAnsi="Arial" w:cs="Arial"/>
          <w:sz w:val="24"/>
          <w:szCs w:val="24"/>
        </w:rPr>
        <w:t xml:space="preserve">Bernstein, </w:t>
      </w:r>
      <w:r>
        <w:rPr>
          <w:rFonts w:ascii="Arial" w:hAnsi="Arial" w:cs="Arial"/>
          <w:sz w:val="24"/>
          <w:szCs w:val="24"/>
        </w:rPr>
        <w:t>Donald</w:t>
      </w:r>
      <w:r w:rsidRPr="005231F8">
        <w:rPr>
          <w:rFonts w:ascii="Arial" w:hAnsi="Arial" w:cs="Arial"/>
          <w:sz w:val="24"/>
          <w:szCs w:val="24"/>
        </w:rPr>
        <w:t xml:space="preserve">, </w:t>
      </w:r>
      <w:proofErr w:type="gramStart"/>
      <w:r w:rsidRPr="005231F8">
        <w:rPr>
          <w:rFonts w:ascii="Arial" w:hAnsi="Arial" w:cs="Arial"/>
          <w:i/>
          <w:sz w:val="24"/>
          <w:szCs w:val="24"/>
        </w:rPr>
        <w:t>The</w:t>
      </w:r>
      <w:proofErr w:type="gramEnd"/>
      <w:r w:rsidRPr="005231F8">
        <w:rPr>
          <w:rFonts w:ascii="Arial" w:hAnsi="Arial" w:cs="Arial"/>
          <w:i/>
          <w:sz w:val="24"/>
          <w:szCs w:val="24"/>
        </w:rPr>
        <w:t xml:space="preserve"> Insolvency Review</w:t>
      </w:r>
      <w:r w:rsidRPr="005231F8">
        <w:rPr>
          <w:rFonts w:ascii="Arial" w:hAnsi="Arial" w:cs="Arial"/>
          <w:sz w:val="24"/>
          <w:szCs w:val="24"/>
        </w:rPr>
        <w:t>, 6</w:t>
      </w:r>
      <w:r w:rsidRPr="005231F8">
        <w:rPr>
          <w:rFonts w:ascii="Arial" w:hAnsi="Arial" w:cs="Arial"/>
          <w:sz w:val="24"/>
          <w:szCs w:val="24"/>
          <w:vertAlign w:val="superscript"/>
        </w:rPr>
        <w:t>th</w:t>
      </w:r>
      <w:r w:rsidRPr="005231F8">
        <w:rPr>
          <w:rFonts w:ascii="Arial" w:hAnsi="Arial" w:cs="Arial"/>
          <w:sz w:val="24"/>
          <w:szCs w:val="24"/>
        </w:rPr>
        <w:t xml:space="preserve"> Edition, (2018).</w:t>
      </w:r>
    </w:p>
    <w:p w14:paraId="4E4C7901" w14:textId="67566BCF" w:rsidR="00D40430" w:rsidRPr="00212F5D" w:rsidRDefault="00D40430" w:rsidP="001A33FE">
      <w:pPr>
        <w:jc w:val="both"/>
        <w:rPr>
          <w:rFonts w:ascii="Arial" w:hAnsi="Arial" w:cs="Arial"/>
          <w:sz w:val="24"/>
        </w:rPr>
      </w:pPr>
      <w:proofErr w:type="spellStart"/>
      <w:r w:rsidRPr="00212F5D">
        <w:rPr>
          <w:rFonts w:ascii="Arial" w:hAnsi="Arial" w:cs="Arial"/>
          <w:sz w:val="24"/>
        </w:rPr>
        <w:t>Buckwold</w:t>
      </w:r>
      <w:proofErr w:type="spellEnd"/>
      <w:r w:rsidRPr="00212F5D">
        <w:rPr>
          <w:rFonts w:ascii="Arial" w:hAnsi="Arial" w:cs="Arial"/>
          <w:sz w:val="24"/>
        </w:rPr>
        <w:t>, Tamara, and Wood, Roderick, Chapter 5: Priorities, in: Ben-</w:t>
      </w:r>
      <w:proofErr w:type="spellStart"/>
      <w:r w:rsidRPr="00212F5D">
        <w:rPr>
          <w:rFonts w:ascii="Arial" w:hAnsi="Arial" w:cs="Arial"/>
          <w:sz w:val="24"/>
        </w:rPr>
        <w:t>Ishai</w:t>
      </w:r>
      <w:proofErr w:type="spellEnd"/>
      <w:r w:rsidRPr="00212F5D">
        <w:rPr>
          <w:rFonts w:ascii="Arial" w:hAnsi="Arial" w:cs="Arial"/>
          <w:sz w:val="24"/>
        </w:rPr>
        <w:t>, Stephanie and Duggan, Anthony (</w:t>
      </w:r>
      <w:proofErr w:type="spellStart"/>
      <w:proofErr w:type="gramStart"/>
      <w:r w:rsidRPr="00212F5D">
        <w:rPr>
          <w:rFonts w:ascii="Arial" w:hAnsi="Arial" w:cs="Arial"/>
          <w:sz w:val="24"/>
        </w:rPr>
        <w:t>eds</w:t>
      </w:r>
      <w:proofErr w:type="spellEnd"/>
      <w:proofErr w:type="gramEnd"/>
      <w:r w:rsidRPr="00212F5D">
        <w:rPr>
          <w:rFonts w:ascii="Arial" w:hAnsi="Arial" w:cs="Arial"/>
          <w:sz w:val="24"/>
        </w:rPr>
        <w:t xml:space="preserve">), </w:t>
      </w:r>
      <w:r w:rsidRPr="00212F5D">
        <w:rPr>
          <w:rFonts w:ascii="Arial" w:hAnsi="Arial" w:cs="Arial"/>
          <w:i/>
          <w:sz w:val="24"/>
        </w:rPr>
        <w:t>Canadian Bankruptcy &amp; Insolvency Law: Bill C-55, Statute C.47 And Beyond,</w:t>
      </w:r>
      <w:r w:rsidRPr="00212F5D">
        <w:rPr>
          <w:rFonts w:ascii="Arial" w:hAnsi="Arial" w:cs="Arial"/>
          <w:sz w:val="24"/>
        </w:rPr>
        <w:t xml:space="preserve"> LexisNexis, Canada </w:t>
      </w:r>
      <w:r w:rsidR="00B73058" w:rsidRPr="00212F5D">
        <w:rPr>
          <w:rFonts w:ascii="Arial" w:hAnsi="Arial" w:cs="Arial"/>
          <w:sz w:val="24"/>
        </w:rPr>
        <w:t xml:space="preserve">(2007), </w:t>
      </w:r>
      <w:proofErr w:type="spellStart"/>
      <w:r w:rsidR="00B73058" w:rsidRPr="00212F5D">
        <w:rPr>
          <w:rFonts w:ascii="Arial" w:hAnsi="Arial" w:cs="Arial"/>
          <w:sz w:val="24"/>
        </w:rPr>
        <w:t>pp</w:t>
      </w:r>
      <w:proofErr w:type="spellEnd"/>
      <w:r w:rsidR="00B73058" w:rsidRPr="00212F5D">
        <w:rPr>
          <w:rFonts w:ascii="Arial" w:hAnsi="Arial" w:cs="Arial"/>
          <w:sz w:val="24"/>
        </w:rPr>
        <w:t xml:space="preserve"> </w:t>
      </w:r>
      <w:r w:rsidR="005231F8">
        <w:rPr>
          <w:rFonts w:ascii="Arial" w:hAnsi="Arial" w:cs="Arial"/>
          <w:sz w:val="24"/>
        </w:rPr>
        <w:t>102 to 143.</w:t>
      </w:r>
    </w:p>
    <w:p w14:paraId="7110D319" w14:textId="2F31D569" w:rsidR="00465E51" w:rsidRDefault="00465E51" w:rsidP="00F273A1">
      <w:pPr>
        <w:jc w:val="both"/>
        <w:rPr>
          <w:rFonts w:ascii="Arial" w:hAnsi="Arial" w:cs="Arial"/>
          <w:sz w:val="24"/>
        </w:rPr>
      </w:pPr>
      <w:proofErr w:type="spellStart"/>
      <w:r w:rsidRPr="00212F5D">
        <w:rPr>
          <w:rFonts w:ascii="Arial" w:hAnsi="Arial" w:cs="Arial"/>
          <w:sz w:val="24"/>
        </w:rPr>
        <w:t>Djankov</w:t>
      </w:r>
      <w:proofErr w:type="spellEnd"/>
      <w:r w:rsidRPr="00212F5D">
        <w:rPr>
          <w:rFonts w:ascii="Arial" w:hAnsi="Arial" w:cs="Arial"/>
          <w:sz w:val="24"/>
        </w:rPr>
        <w:t xml:space="preserve">, Simeon, Hart, Oliver, </w:t>
      </w:r>
      <w:proofErr w:type="spellStart"/>
      <w:r w:rsidRPr="00212F5D">
        <w:rPr>
          <w:rFonts w:ascii="Arial" w:hAnsi="Arial" w:cs="Arial"/>
          <w:sz w:val="24"/>
        </w:rPr>
        <w:t>McLiesh</w:t>
      </w:r>
      <w:proofErr w:type="spellEnd"/>
      <w:r w:rsidRPr="00212F5D">
        <w:rPr>
          <w:rFonts w:ascii="Arial" w:hAnsi="Arial" w:cs="Arial"/>
          <w:sz w:val="24"/>
        </w:rPr>
        <w:t xml:space="preserve">, </w:t>
      </w:r>
      <w:proofErr w:type="spellStart"/>
      <w:r w:rsidRPr="00212F5D">
        <w:rPr>
          <w:rFonts w:ascii="Arial" w:hAnsi="Arial" w:cs="Arial"/>
          <w:sz w:val="24"/>
        </w:rPr>
        <w:t>Caralee</w:t>
      </w:r>
      <w:proofErr w:type="spellEnd"/>
      <w:r w:rsidRPr="00212F5D">
        <w:rPr>
          <w:rFonts w:ascii="Arial" w:hAnsi="Arial" w:cs="Arial"/>
          <w:sz w:val="24"/>
        </w:rPr>
        <w:t xml:space="preserve">, and </w:t>
      </w:r>
      <w:proofErr w:type="spellStart"/>
      <w:r w:rsidRPr="00212F5D">
        <w:rPr>
          <w:rFonts w:ascii="Arial" w:hAnsi="Arial" w:cs="Arial"/>
          <w:sz w:val="24"/>
        </w:rPr>
        <w:t>Shleifer</w:t>
      </w:r>
      <w:proofErr w:type="spellEnd"/>
      <w:r w:rsidRPr="00212F5D">
        <w:rPr>
          <w:rFonts w:ascii="Arial" w:hAnsi="Arial" w:cs="Arial"/>
          <w:sz w:val="24"/>
        </w:rPr>
        <w:t xml:space="preserve">, Andrei, Debt Enforcement around the World, Journal of Political Economy, 2008, Volume 116, Number 6. </w:t>
      </w:r>
    </w:p>
    <w:p w14:paraId="293E50D7" w14:textId="14F3C843" w:rsidR="001A33FE" w:rsidRPr="00212F5D" w:rsidRDefault="001A33FE" w:rsidP="001A33FE">
      <w:pPr>
        <w:jc w:val="both"/>
        <w:rPr>
          <w:rFonts w:ascii="Arial" w:hAnsi="Arial" w:cs="Arial"/>
          <w:sz w:val="24"/>
          <w:szCs w:val="24"/>
        </w:rPr>
      </w:pPr>
      <w:r w:rsidRPr="00212F5D">
        <w:rPr>
          <w:rFonts w:ascii="Arial" w:hAnsi="Arial" w:cs="Arial"/>
          <w:sz w:val="24"/>
          <w:szCs w:val="24"/>
        </w:rPr>
        <w:t>Duggan, Anthony and Ben-</w:t>
      </w:r>
      <w:proofErr w:type="spellStart"/>
      <w:r w:rsidRPr="00212F5D">
        <w:rPr>
          <w:rFonts w:ascii="Arial" w:hAnsi="Arial" w:cs="Arial"/>
          <w:sz w:val="24"/>
          <w:szCs w:val="24"/>
        </w:rPr>
        <w:t>Ishai</w:t>
      </w:r>
      <w:proofErr w:type="spellEnd"/>
      <w:r w:rsidRPr="00212F5D">
        <w:rPr>
          <w:rFonts w:ascii="Arial" w:hAnsi="Arial" w:cs="Arial"/>
          <w:sz w:val="24"/>
          <w:szCs w:val="24"/>
        </w:rPr>
        <w:t>, Chapter 1: Introduction, in: Ben-</w:t>
      </w:r>
      <w:proofErr w:type="spellStart"/>
      <w:r w:rsidRPr="00212F5D">
        <w:rPr>
          <w:rFonts w:ascii="Arial" w:hAnsi="Arial" w:cs="Arial"/>
          <w:sz w:val="24"/>
          <w:szCs w:val="24"/>
        </w:rPr>
        <w:t>Ishai</w:t>
      </w:r>
      <w:proofErr w:type="spellEnd"/>
      <w:r w:rsidRPr="00212F5D">
        <w:rPr>
          <w:rFonts w:ascii="Arial" w:hAnsi="Arial" w:cs="Arial"/>
          <w:sz w:val="24"/>
          <w:szCs w:val="24"/>
        </w:rPr>
        <w:t>, Stephanie and Duggan, Anthony (</w:t>
      </w:r>
      <w:proofErr w:type="spellStart"/>
      <w:proofErr w:type="gramStart"/>
      <w:r w:rsidRPr="00212F5D">
        <w:rPr>
          <w:rFonts w:ascii="Arial" w:hAnsi="Arial" w:cs="Arial"/>
          <w:sz w:val="24"/>
          <w:szCs w:val="24"/>
        </w:rPr>
        <w:t>eds</w:t>
      </w:r>
      <w:proofErr w:type="spellEnd"/>
      <w:proofErr w:type="gramEnd"/>
      <w:r w:rsidRPr="00212F5D">
        <w:rPr>
          <w:rFonts w:ascii="Arial" w:hAnsi="Arial" w:cs="Arial"/>
          <w:sz w:val="24"/>
          <w:szCs w:val="24"/>
        </w:rPr>
        <w:t xml:space="preserve">), </w:t>
      </w:r>
      <w:r w:rsidRPr="00212F5D">
        <w:rPr>
          <w:rFonts w:ascii="Arial" w:hAnsi="Arial" w:cs="Arial"/>
          <w:i/>
          <w:sz w:val="24"/>
          <w:szCs w:val="24"/>
        </w:rPr>
        <w:t>Canadian Bankruptcy &amp; Insolvency Law: Bill C-55, Statute C.47 And Beyond,</w:t>
      </w:r>
      <w:r w:rsidRPr="00212F5D">
        <w:rPr>
          <w:rFonts w:ascii="Arial" w:hAnsi="Arial" w:cs="Arial"/>
          <w:sz w:val="24"/>
          <w:szCs w:val="24"/>
        </w:rPr>
        <w:t xml:space="preserve"> LexisNexis, Canada (2007)</w:t>
      </w:r>
      <w:r w:rsidR="005231F8">
        <w:rPr>
          <w:rFonts w:ascii="Arial" w:hAnsi="Arial" w:cs="Arial"/>
          <w:sz w:val="24"/>
          <w:szCs w:val="24"/>
        </w:rPr>
        <w:t>.</w:t>
      </w:r>
    </w:p>
    <w:p w14:paraId="5E7FFFF7" w14:textId="38D66BD6" w:rsidR="009B7107" w:rsidRPr="00212F5D" w:rsidRDefault="009B7107" w:rsidP="009B7107">
      <w:pPr>
        <w:jc w:val="both"/>
        <w:rPr>
          <w:rFonts w:ascii="Arial" w:hAnsi="Arial" w:cs="Arial"/>
          <w:sz w:val="24"/>
        </w:rPr>
      </w:pPr>
      <w:proofErr w:type="gramStart"/>
      <w:r w:rsidRPr="00212F5D">
        <w:rPr>
          <w:rFonts w:ascii="Arial" w:hAnsi="Arial" w:cs="Arial"/>
          <w:sz w:val="24"/>
        </w:rPr>
        <w:t>“Fresh Start: A Review of Canada’s Insolvency Laws” &lt;</w:t>
      </w:r>
      <w:hyperlink r:id="rId9" w:history="1">
        <w:r w:rsidRPr="00212F5D">
          <w:rPr>
            <w:rStyle w:val="Hyperlink"/>
            <w:rFonts w:ascii="Arial" w:hAnsi="Arial" w:cs="Arial"/>
            <w:sz w:val="24"/>
          </w:rPr>
          <w:t>https://www.ic.gc.ca/eic/site/cilp-pdci.nsf/eng/cl00882.html</w:t>
        </w:r>
      </w:hyperlink>
      <w:r w:rsidRPr="00212F5D">
        <w:rPr>
          <w:rFonts w:ascii="Arial" w:hAnsi="Arial" w:cs="Arial"/>
          <w:sz w:val="24"/>
        </w:rPr>
        <w:t xml:space="preserve">&gt;, accessed on </w:t>
      </w:r>
      <w:r w:rsidR="005231F8">
        <w:rPr>
          <w:rFonts w:ascii="Arial" w:hAnsi="Arial" w:cs="Arial"/>
          <w:sz w:val="24"/>
        </w:rPr>
        <w:t>February 4, 2022.</w:t>
      </w:r>
      <w:proofErr w:type="gramEnd"/>
    </w:p>
    <w:p w14:paraId="12F34E40" w14:textId="2F834140" w:rsidR="009B7107" w:rsidRPr="00212F5D" w:rsidRDefault="009B7107" w:rsidP="009B7107">
      <w:pPr>
        <w:jc w:val="both"/>
        <w:rPr>
          <w:rFonts w:ascii="Arial" w:hAnsi="Arial" w:cs="Arial"/>
          <w:sz w:val="24"/>
        </w:rPr>
      </w:pPr>
      <w:proofErr w:type="spellStart"/>
      <w:r w:rsidRPr="00212F5D">
        <w:rPr>
          <w:rFonts w:ascii="Arial" w:hAnsi="Arial" w:cs="Arial"/>
          <w:sz w:val="24"/>
        </w:rPr>
        <w:t>Hussain</w:t>
      </w:r>
      <w:proofErr w:type="spellEnd"/>
      <w:r w:rsidRPr="00212F5D">
        <w:rPr>
          <w:rFonts w:ascii="Arial" w:hAnsi="Arial" w:cs="Arial"/>
          <w:sz w:val="24"/>
        </w:rPr>
        <w:t xml:space="preserve">, </w:t>
      </w:r>
      <w:proofErr w:type="spellStart"/>
      <w:r w:rsidRPr="00212F5D">
        <w:rPr>
          <w:rFonts w:ascii="Arial" w:hAnsi="Arial" w:cs="Arial"/>
          <w:sz w:val="24"/>
        </w:rPr>
        <w:t>Zelf</w:t>
      </w:r>
      <w:proofErr w:type="spellEnd"/>
      <w:r w:rsidRPr="00212F5D">
        <w:rPr>
          <w:rFonts w:ascii="Arial" w:hAnsi="Arial" w:cs="Arial"/>
          <w:sz w:val="24"/>
        </w:rPr>
        <w:t>, Hooker, Lisa, and Windsor, Jacqueline, PricewaterhouseCoopers UK in “Retail Restructuring: Why CVAs alone are not the answer”, at &lt;</w:t>
      </w:r>
      <w:hyperlink r:id="rId10" w:history="1">
        <w:r w:rsidRPr="00212F5D">
          <w:rPr>
            <w:rStyle w:val="Hyperlink"/>
            <w:rFonts w:ascii="Arial" w:hAnsi="Arial" w:cs="Arial"/>
            <w:sz w:val="24"/>
          </w:rPr>
          <w:t>https://www.pwc.co.uk/services/business-restructuring/insights/retail-restructuring-cva-alone-not-the-answer.html</w:t>
        </w:r>
      </w:hyperlink>
      <w:r w:rsidRPr="00212F5D">
        <w:rPr>
          <w:rFonts w:ascii="Arial" w:hAnsi="Arial" w:cs="Arial"/>
          <w:sz w:val="24"/>
        </w:rPr>
        <w:t xml:space="preserve">&gt;, accessed on </w:t>
      </w:r>
      <w:r w:rsidR="005231F8">
        <w:rPr>
          <w:rFonts w:ascii="Arial" w:hAnsi="Arial" w:cs="Arial"/>
          <w:sz w:val="24"/>
        </w:rPr>
        <w:t>February 4, 2022.</w:t>
      </w:r>
    </w:p>
    <w:p w14:paraId="78C44D69" w14:textId="15FFBBD4" w:rsidR="009B7107" w:rsidRPr="00212F5D" w:rsidRDefault="009B7107" w:rsidP="009B7107">
      <w:pPr>
        <w:jc w:val="both"/>
        <w:rPr>
          <w:rFonts w:ascii="Arial" w:hAnsi="Arial" w:cs="Arial"/>
          <w:sz w:val="24"/>
          <w:szCs w:val="24"/>
        </w:rPr>
      </w:pPr>
      <w:r w:rsidRPr="00212F5D">
        <w:rPr>
          <w:rFonts w:ascii="Arial" w:hAnsi="Arial" w:cs="Arial"/>
          <w:sz w:val="24"/>
          <w:szCs w:val="24"/>
        </w:rPr>
        <w:t>Johnson, Ian, “Chapter 5: England and Wales”, in Bernstein, Donald (</w:t>
      </w:r>
      <w:proofErr w:type="spellStart"/>
      <w:proofErr w:type="gramStart"/>
      <w:r w:rsidRPr="00212F5D">
        <w:rPr>
          <w:rFonts w:ascii="Arial" w:hAnsi="Arial" w:cs="Arial"/>
          <w:sz w:val="24"/>
          <w:szCs w:val="24"/>
        </w:rPr>
        <w:t>eds</w:t>
      </w:r>
      <w:proofErr w:type="spellEnd"/>
      <w:proofErr w:type="gramEnd"/>
      <w:r w:rsidRPr="00212F5D">
        <w:rPr>
          <w:rFonts w:ascii="Arial" w:hAnsi="Arial" w:cs="Arial"/>
          <w:sz w:val="24"/>
          <w:szCs w:val="24"/>
        </w:rPr>
        <w:t xml:space="preserve">), </w:t>
      </w:r>
      <w:r w:rsidRPr="00212F5D">
        <w:rPr>
          <w:rFonts w:ascii="Arial" w:hAnsi="Arial" w:cs="Arial"/>
          <w:i/>
          <w:sz w:val="24"/>
          <w:szCs w:val="24"/>
        </w:rPr>
        <w:t>The Insolvency Review</w:t>
      </w:r>
      <w:r w:rsidRPr="00212F5D">
        <w:rPr>
          <w:rFonts w:ascii="Arial" w:hAnsi="Arial" w:cs="Arial"/>
          <w:sz w:val="24"/>
          <w:szCs w:val="24"/>
        </w:rPr>
        <w:t>, 6</w:t>
      </w:r>
      <w:r w:rsidRPr="00212F5D">
        <w:rPr>
          <w:rFonts w:ascii="Arial" w:hAnsi="Arial" w:cs="Arial"/>
          <w:sz w:val="24"/>
          <w:szCs w:val="24"/>
          <w:vertAlign w:val="superscript"/>
        </w:rPr>
        <w:t>th</w:t>
      </w:r>
      <w:r w:rsidRPr="00212F5D">
        <w:rPr>
          <w:rFonts w:ascii="Arial" w:hAnsi="Arial" w:cs="Arial"/>
          <w:sz w:val="24"/>
          <w:szCs w:val="24"/>
        </w:rPr>
        <w:t xml:space="preserve"> Edition (2018) </w:t>
      </w:r>
      <w:proofErr w:type="spellStart"/>
      <w:r w:rsidR="005231F8" w:rsidRPr="005231F8">
        <w:rPr>
          <w:rFonts w:ascii="Arial" w:hAnsi="Arial" w:cs="Arial"/>
          <w:sz w:val="24"/>
          <w:szCs w:val="24"/>
        </w:rPr>
        <w:t>pp</w:t>
      </w:r>
      <w:proofErr w:type="spellEnd"/>
      <w:r w:rsidR="005231F8" w:rsidRPr="005231F8">
        <w:rPr>
          <w:rFonts w:ascii="Arial" w:hAnsi="Arial" w:cs="Arial"/>
          <w:sz w:val="24"/>
          <w:szCs w:val="24"/>
        </w:rPr>
        <w:t xml:space="preserve"> 49 to 79</w:t>
      </w:r>
      <w:r w:rsidRPr="005231F8">
        <w:rPr>
          <w:rFonts w:ascii="Arial" w:hAnsi="Arial" w:cs="Arial"/>
          <w:sz w:val="24"/>
          <w:szCs w:val="24"/>
        </w:rPr>
        <w:t>.</w:t>
      </w:r>
    </w:p>
    <w:p w14:paraId="4B621131" w14:textId="3A203F20" w:rsidR="00465E51" w:rsidRPr="00212F5D" w:rsidRDefault="00465E51" w:rsidP="00F273A1">
      <w:pPr>
        <w:jc w:val="both"/>
        <w:rPr>
          <w:rFonts w:ascii="Arial" w:hAnsi="Arial" w:cs="Arial"/>
          <w:sz w:val="24"/>
        </w:rPr>
      </w:pPr>
      <w:r w:rsidRPr="00212F5D">
        <w:rPr>
          <w:rFonts w:ascii="Arial" w:hAnsi="Arial" w:cs="Arial"/>
          <w:sz w:val="24"/>
        </w:rPr>
        <w:t xml:space="preserve">La </w:t>
      </w:r>
      <w:proofErr w:type="spellStart"/>
      <w:r w:rsidRPr="00212F5D">
        <w:rPr>
          <w:rFonts w:ascii="Arial" w:hAnsi="Arial" w:cs="Arial"/>
          <w:sz w:val="24"/>
        </w:rPr>
        <w:t>Porta</w:t>
      </w:r>
      <w:proofErr w:type="spellEnd"/>
      <w:r w:rsidRPr="00212F5D">
        <w:rPr>
          <w:rFonts w:ascii="Arial" w:hAnsi="Arial" w:cs="Arial"/>
          <w:sz w:val="24"/>
        </w:rPr>
        <w:t>, Rafael, Florencio, Lopez-de-</w:t>
      </w:r>
      <w:proofErr w:type="spellStart"/>
      <w:r w:rsidRPr="00212F5D">
        <w:rPr>
          <w:rFonts w:ascii="Arial" w:hAnsi="Arial" w:cs="Arial"/>
          <w:sz w:val="24"/>
        </w:rPr>
        <w:t>Silanes</w:t>
      </w:r>
      <w:proofErr w:type="spellEnd"/>
      <w:r w:rsidRPr="00212F5D">
        <w:rPr>
          <w:rFonts w:ascii="Arial" w:hAnsi="Arial" w:cs="Arial"/>
          <w:sz w:val="24"/>
        </w:rPr>
        <w:t xml:space="preserve">, </w:t>
      </w:r>
      <w:proofErr w:type="spellStart"/>
      <w:r w:rsidRPr="00212F5D">
        <w:rPr>
          <w:rFonts w:ascii="Arial" w:hAnsi="Arial" w:cs="Arial"/>
          <w:sz w:val="24"/>
        </w:rPr>
        <w:t>Shleifer</w:t>
      </w:r>
      <w:proofErr w:type="spellEnd"/>
      <w:r w:rsidRPr="00212F5D">
        <w:rPr>
          <w:rFonts w:ascii="Arial" w:hAnsi="Arial" w:cs="Arial"/>
          <w:sz w:val="24"/>
        </w:rPr>
        <w:t xml:space="preserve">, Andrei and </w:t>
      </w:r>
      <w:proofErr w:type="spellStart"/>
      <w:r w:rsidRPr="00212F5D">
        <w:rPr>
          <w:rFonts w:ascii="Arial" w:hAnsi="Arial" w:cs="Arial"/>
          <w:sz w:val="24"/>
        </w:rPr>
        <w:t>Vishny</w:t>
      </w:r>
      <w:proofErr w:type="spellEnd"/>
      <w:r w:rsidRPr="00212F5D">
        <w:rPr>
          <w:rFonts w:ascii="Arial" w:hAnsi="Arial" w:cs="Arial"/>
          <w:sz w:val="24"/>
        </w:rPr>
        <w:t xml:space="preserve">, Robert, </w:t>
      </w:r>
      <w:r w:rsidR="006A024A" w:rsidRPr="00212F5D">
        <w:rPr>
          <w:rFonts w:ascii="Arial" w:hAnsi="Arial" w:cs="Arial"/>
          <w:sz w:val="24"/>
        </w:rPr>
        <w:t>Law and Finance, Journal of Political Economy, 1998, Volume 106, Number 6.</w:t>
      </w:r>
    </w:p>
    <w:p w14:paraId="2F21739E" w14:textId="6DFFEEDC" w:rsidR="00C846DD" w:rsidRPr="00212F5D" w:rsidRDefault="00C846DD" w:rsidP="00AA1FC4">
      <w:pPr>
        <w:rPr>
          <w:rFonts w:ascii="Arial" w:hAnsi="Arial" w:cs="Arial"/>
          <w:sz w:val="24"/>
          <w:szCs w:val="24"/>
        </w:rPr>
      </w:pPr>
      <w:r w:rsidRPr="00212F5D">
        <w:rPr>
          <w:rFonts w:ascii="Arial" w:hAnsi="Arial" w:cs="Arial"/>
          <w:sz w:val="24"/>
          <w:szCs w:val="24"/>
        </w:rPr>
        <w:t xml:space="preserve">Paterson, Sarah, </w:t>
      </w:r>
      <w:r w:rsidRPr="00212F5D">
        <w:rPr>
          <w:rFonts w:ascii="Arial" w:hAnsi="Arial" w:cs="Arial"/>
          <w:i/>
          <w:sz w:val="24"/>
          <w:szCs w:val="24"/>
        </w:rPr>
        <w:t>Corporate Reorganization Law and Forces of Change</w:t>
      </w:r>
      <w:r w:rsidRPr="00212F5D">
        <w:rPr>
          <w:rFonts w:ascii="Arial" w:hAnsi="Arial" w:cs="Arial"/>
          <w:sz w:val="24"/>
          <w:szCs w:val="24"/>
        </w:rPr>
        <w:t>, Oxford U</w:t>
      </w:r>
      <w:r w:rsidR="006A7776">
        <w:rPr>
          <w:rFonts w:ascii="Arial" w:hAnsi="Arial" w:cs="Arial"/>
          <w:sz w:val="24"/>
          <w:szCs w:val="24"/>
        </w:rPr>
        <w:t>niversity Press, Oxford (2020)</w:t>
      </w:r>
    </w:p>
    <w:p w14:paraId="7B9CC21F" w14:textId="5ACC6ABC" w:rsidR="00AA1FC4" w:rsidRPr="00212F5D" w:rsidRDefault="00B73058" w:rsidP="00F273A1">
      <w:pPr>
        <w:jc w:val="both"/>
        <w:rPr>
          <w:rFonts w:ascii="Arial" w:hAnsi="Arial" w:cs="Arial"/>
          <w:sz w:val="24"/>
          <w:szCs w:val="24"/>
        </w:rPr>
      </w:pPr>
      <w:r w:rsidRPr="00212F5D">
        <w:rPr>
          <w:rFonts w:ascii="Arial" w:hAnsi="Arial" w:cs="Arial"/>
          <w:sz w:val="24"/>
          <w:szCs w:val="24"/>
        </w:rPr>
        <w:t xml:space="preserve">Payne, Jennifer, </w:t>
      </w:r>
      <w:r w:rsidR="001A33FE" w:rsidRPr="00212F5D">
        <w:rPr>
          <w:rFonts w:ascii="Arial" w:hAnsi="Arial" w:cs="Arial"/>
          <w:sz w:val="24"/>
          <w:szCs w:val="24"/>
        </w:rPr>
        <w:t>Chapter 8: The Geographical Development of Schemes of Arrangement</w:t>
      </w:r>
      <w:r w:rsidR="001A33FE" w:rsidRPr="00212F5D">
        <w:rPr>
          <w:rFonts w:ascii="Arial" w:hAnsi="Arial" w:cs="Arial"/>
          <w:i/>
          <w:sz w:val="24"/>
          <w:szCs w:val="24"/>
        </w:rPr>
        <w:t xml:space="preserve"> in </w:t>
      </w:r>
      <w:r w:rsidRPr="00212F5D">
        <w:rPr>
          <w:rFonts w:ascii="Arial" w:hAnsi="Arial" w:cs="Arial"/>
          <w:i/>
          <w:sz w:val="24"/>
          <w:szCs w:val="24"/>
        </w:rPr>
        <w:t>Schemes of Arrangement: Theory, Structure and Operation</w:t>
      </w:r>
      <w:r w:rsidR="00C846DD" w:rsidRPr="00212F5D">
        <w:rPr>
          <w:rFonts w:ascii="Arial" w:hAnsi="Arial" w:cs="Arial"/>
          <w:sz w:val="24"/>
          <w:szCs w:val="24"/>
        </w:rPr>
        <w:t>, Cambridge University Pres</w:t>
      </w:r>
      <w:r w:rsidR="005231F8">
        <w:rPr>
          <w:rFonts w:ascii="Arial" w:hAnsi="Arial" w:cs="Arial"/>
          <w:sz w:val="24"/>
          <w:szCs w:val="24"/>
        </w:rPr>
        <w:t xml:space="preserve">s, Cambridge (2014), </w:t>
      </w:r>
      <w:proofErr w:type="spellStart"/>
      <w:r w:rsidR="005231F8">
        <w:rPr>
          <w:rFonts w:ascii="Arial" w:hAnsi="Arial" w:cs="Arial"/>
          <w:sz w:val="24"/>
          <w:szCs w:val="24"/>
        </w:rPr>
        <w:t>pp</w:t>
      </w:r>
      <w:proofErr w:type="spellEnd"/>
      <w:r w:rsidR="005231F8">
        <w:rPr>
          <w:rFonts w:ascii="Arial" w:hAnsi="Arial" w:cs="Arial"/>
          <w:sz w:val="24"/>
          <w:szCs w:val="24"/>
        </w:rPr>
        <w:t xml:space="preserve"> 340 – 347.</w:t>
      </w:r>
    </w:p>
    <w:p w14:paraId="76CC9934" w14:textId="77777777" w:rsidR="00996764" w:rsidRPr="00212F5D" w:rsidRDefault="00996764">
      <w:pPr>
        <w:rPr>
          <w:rFonts w:ascii="Arial" w:hAnsi="Arial" w:cs="Arial"/>
        </w:rPr>
      </w:pPr>
    </w:p>
    <w:sectPr w:rsidR="00996764" w:rsidRPr="00212F5D" w:rsidSect="003C7F5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1DD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211F" w16cex:dateUtc="2022-02-03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1DD0A" w16cid:durableId="25A62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9801" w14:textId="77777777" w:rsidR="0081662B" w:rsidRDefault="0081662B" w:rsidP="00D27420">
      <w:pPr>
        <w:spacing w:after="0" w:line="240" w:lineRule="auto"/>
      </w:pPr>
      <w:r>
        <w:separator/>
      </w:r>
    </w:p>
  </w:endnote>
  <w:endnote w:type="continuationSeparator" w:id="0">
    <w:p w14:paraId="3CCF0838" w14:textId="77777777" w:rsidR="0081662B" w:rsidRDefault="0081662B" w:rsidP="00D2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56CAA" w14:textId="77777777" w:rsidR="0081662B" w:rsidRDefault="0081662B" w:rsidP="00D27420">
      <w:pPr>
        <w:spacing w:after="0" w:line="240" w:lineRule="auto"/>
      </w:pPr>
      <w:r>
        <w:separator/>
      </w:r>
    </w:p>
  </w:footnote>
  <w:footnote w:type="continuationSeparator" w:id="0">
    <w:p w14:paraId="0BEF56FC" w14:textId="77777777" w:rsidR="0081662B" w:rsidRDefault="0081662B" w:rsidP="00D27420">
      <w:pPr>
        <w:spacing w:after="0" w:line="240" w:lineRule="auto"/>
      </w:pPr>
      <w:r>
        <w:continuationSeparator/>
      </w:r>
    </w:p>
  </w:footnote>
  <w:footnote w:id="1">
    <w:p w14:paraId="37BC07AD" w14:textId="3EAADB61" w:rsidR="00C57CDD" w:rsidRPr="00B158E0" w:rsidRDefault="00C57CDD" w:rsidP="003E6D25">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Paterson, Sarah, </w:t>
      </w:r>
      <w:r w:rsidRPr="00B158E0">
        <w:rPr>
          <w:rFonts w:ascii="Arial" w:hAnsi="Arial" w:cs="Arial"/>
          <w:i/>
        </w:rPr>
        <w:t>Corporate Reorganization Law and Forces of Change</w:t>
      </w:r>
      <w:r w:rsidRPr="00B158E0">
        <w:rPr>
          <w:rFonts w:ascii="Arial" w:hAnsi="Arial" w:cs="Arial"/>
        </w:rPr>
        <w:t>, Oxford University Press, Oxford (2020), pp</w:t>
      </w:r>
      <w:r>
        <w:rPr>
          <w:rFonts w:ascii="Arial" w:hAnsi="Arial" w:cs="Arial"/>
        </w:rPr>
        <w:t>.</w:t>
      </w:r>
      <w:r w:rsidRPr="00B158E0">
        <w:rPr>
          <w:rFonts w:ascii="Arial" w:hAnsi="Arial" w:cs="Arial"/>
        </w:rPr>
        <w:t xml:space="preserve"> </w:t>
      </w:r>
      <w:r>
        <w:rPr>
          <w:rFonts w:ascii="Arial" w:hAnsi="Arial" w:cs="Arial"/>
        </w:rPr>
        <w:t>39.</w:t>
      </w:r>
    </w:p>
  </w:footnote>
  <w:footnote w:id="2">
    <w:p w14:paraId="437F56DB" w14:textId="4B420446" w:rsidR="00C57CDD" w:rsidRPr="00B158E0" w:rsidRDefault="00C57CDD" w:rsidP="003E6D25">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w:t>
      </w:r>
      <w:r>
        <w:rPr>
          <w:rFonts w:ascii="Arial" w:hAnsi="Arial" w:cs="Arial"/>
          <w:i/>
        </w:rPr>
        <w:t>Ibid.</w:t>
      </w:r>
    </w:p>
  </w:footnote>
  <w:footnote w:id="3">
    <w:p w14:paraId="2E297CB4" w14:textId="72A6EB94" w:rsidR="00C57CDD" w:rsidRPr="00B158E0" w:rsidRDefault="00C57CDD">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The UK has long used the Scheme of A</w:t>
      </w:r>
      <w:r>
        <w:rPr>
          <w:rFonts w:ascii="Arial" w:hAnsi="Arial" w:cs="Arial"/>
        </w:rPr>
        <w:t>rrangement process as a</w:t>
      </w:r>
      <w:r w:rsidRPr="00B158E0">
        <w:rPr>
          <w:rFonts w:ascii="Arial" w:hAnsi="Arial" w:cs="Arial"/>
        </w:rPr>
        <w:t xml:space="preserve"> restructuring</w:t>
      </w:r>
      <w:r>
        <w:rPr>
          <w:rFonts w:ascii="Arial" w:hAnsi="Arial" w:cs="Arial"/>
        </w:rPr>
        <w:t xml:space="preserve"> tool</w:t>
      </w:r>
      <w:r w:rsidRPr="00B158E0">
        <w:rPr>
          <w:rFonts w:ascii="Arial" w:hAnsi="Arial" w:cs="Arial"/>
        </w:rPr>
        <w:t xml:space="preserve">. At Part III I explain why I have chosen not to </w:t>
      </w:r>
      <w:proofErr w:type="spellStart"/>
      <w:r w:rsidRPr="00B158E0">
        <w:rPr>
          <w:rFonts w:ascii="Arial" w:hAnsi="Arial" w:cs="Arial"/>
        </w:rPr>
        <w:t>analyse</w:t>
      </w:r>
      <w:proofErr w:type="spellEnd"/>
      <w:r w:rsidRPr="00B158E0">
        <w:rPr>
          <w:rFonts w:ascii="Arial" w:hAnsi="Arial" w:cs="Arial"/>
        </w:rPr>
        <w:t xml:space="preserve"> the Scheme of Arrangement in any detail.</w:t>
      </w:r>
    </w:p>
  </w:footnote>
  <w:footnote w:id="4">
    <w:p w14:paraId="5E08B061" w14:textId="40D51690" w:rsidR="00C57CDD" w:rsidRPr="00B158E0" w:rsidRDefault="00C57CDD" w:rsidP="006A024A">
      <w:pPr>
        <w:pStyle w:val="FootnoteText"/>
        <w:jc w:val="both"/>
        <w:rPr>
          <w:rFonts w:ascii="Arial" w:hAnsi="Arial" w:cs="Arial"/>
        </w:rPr>
      </w:pPr>
      <w:r w:rsidRPr="00B158E0">
        <w:rPr>
          <w:rStyle w:val="FootnoteReference"/>
          <w:rFonts w:ascii="Arial" w:hAnsi="Arial" w:cs="Arial"/>
        </w:rPr>
        <w:footnoteRef/>
      </w:r>
      <w:r w:rsidRPr="00B158E0">
        <w:rPr>
          <w:rFonts w:ascii="Arial" w:hAnsi="Arial" w:cs="Arial"/>
        </w:rPr>
        <w:t xml:space="preserve"> A</w:t>
      </w:r>
      <w:r>
        <w:rPr>
          <w:rFonts w:ascii="Arial" w:hAnsi="Arial" w:cs="Arial"/>
        </w:rPr>
        <w:t>dapted</w:t>
      </w:r>
      <w:r w:rsidRPr="00B158E0">
        <w:rPr>
          <w:rFonts w:ascii="Arial" w:hAnsi="Arial" w:cs="Arial"/>
        </w:rPr>
        <w:t xml:space="preserve"> from Duggan, Anthony and Ben-</w:t>
      </w:r>
      <w:proofErr w:type="spellStart"/>
      <w:r w:rsidRPr="00B158E0">
        <w:rPr>
          <w:rFonts w:ascii="Arial" w:hAnsi="Arial" w:cs="Arial"/>
        </w:rPr>
        <w:t>Ishai</w:t>
      </w:r>
      <w:proofErr w:type="spellEnd"/>
      <w:r w:rsidRPr="00B158E0">
        <w:rPr>
          <w:rFonts w:ascii="Arial" w:hAnsi="Arial" w:cs="Arial"/>
        </w:rPr>
        <w:t xml:space="preserve">, Chapter 1: Introduction, in: </w:t>
      </w:r>
      <w:r w:rsidRPr="00B158E0">
        <w:rPr>
          <w:rFonts w:ascii="Arial" w:hAnsi="Arial" w:cs="Arial"/>
          <w:i/>
        </w:rPr>
        <w:t xml:space="preserve">Canadian Bankruptcy &amp; Insolvency Law: Bill C-55, Statute C.47 </w:t>
      </w:r>
      <w:proofErr w:type="gramStart"/>
      <w:r w:rsidRPr="00B158E0">
        <w:rPr>
          <w:rFonts w:ascii="Arial" w:hAnsi="Arial" w:cs="Arial"/>
          <w:i/>
        </w:rPr>
        <w:t>And</w:t>
      </w:r>
      <w:proofErr w:type="gramEnd"/>
      <w:r w:rsidRPr="00B158E0">
        <w:rPr>
          <w:rFonts w:ascii="Arial" w:hAnsi="Arial" w:cs="Arial"/>
          <w:i/>
        </w:rPr>
        <w:t xml:space="preserve"> Beyond,</w:t>
      </w:r>
      <w:r w:rsidRPr="00B158E0">
        <w:rPr>
          <w:rFonts w:ascii="Arial" w:hAnsi="Arial" w:cs="Arial"/>
        </w:rPr>
        <w:t xml:space="preserve"> pp. </w:t>
      </w:r>
      <w:r w:rsidR="00420C5F">
        <w:rPr>
          <w:rFonts w:ascii="Arial" w:hAnsi="Arial" w:cs="Arial"/>
        </w:rPr>
        <w:t xml:space="preserve">1 to </w:t>
      </w:r>
      <w:r>
        <w:rPr>
          <w:rFonts w:ascii="Arial" w:hAnsi="Arial" w:cs="Arial"/>
        </w:rPr>
        <w:t>7</w:t>
      </w:r>
      <w:r w:rsidR="00420C5F">
        <w:rPr>
          <w:rFonts w:ascii="Arial" w:hAnsi="Arial" w:cs="Arial"/>
        </w:rPr>
        <w:t>.</w:t>
      </w:r>
    </w:p>
  </w:footnote>
  <w:footnote w:id="5">
    <w:p w14:paraId="0733F5B1" w14:textId="3F6D9A7E" w:rsidR="00C57CDD" w:rsidRPr="00B158E0" w:rsidRDefault="00C57CDD" w:rsidP="004A0127">
      <w:pPr>
        <w:pStyle w:val="FootnoteText"/>
        <w:jc w:val="both"/>
        <w:rPr>
          <w:rFonts w:ascii="Arial" w:hAnsi="Arial" w:cs="Arial"/>
        </w:rPr>
      </w:pPr>
      <w:r w:rsidRPr="00B158E0">
        <w:rPr>
          <w:rStyle w:val="FootnoteReference"/>
          <w:rFonts w:ascii="Arial" w:hAnsi="Arial" w:cs="Arial"/>
        </w:rPr>
        <w:footnoteRef/>
      </w:r>
      <w:r w:rsidRPr="00B158E0">
        <w:rPr>
          <w:rFonts w:ascii="Arial" w:hAnsi="Arial" w:cs="Arial"/>
        </w:rPr>
        <w:t xml:space="preserve">  </w:t>
      </w:r>
      <w:proofErr w:type="spellStart"/>
      <w:r w:rsidRPr="00B158E0">
        <w:rPr>
          <w:rFonts w:ascii="Arial" w:hAnsi="Arial" w:cs="Arial"/>
        </w:rPr>
        <w:t>Buckwold</w:t>
      </w:r>
      <w:proofErr w:type="spellEnd"/>
      <w:r w:rsidRPr="00B158E0">
        <w:rPr>
          <w:rFonts w:ascii="Arial" w:hAnsi="Arial" w:cs="Arial"/>
        </w:rPr>
        <w:t xml:space="preserve">, Tamara, et al, Chapter 5: Priorities, in </w:t>
      </w:r>
      <w:r w:rsidRPr="00B158E0">
        <w:rPr>
          <w:rFonts w:ascii="Arial" w:hAnsi="Arial" w:cs="Arial"/>
          <w:i/>
        </w:rPr>
        <w:t>Canadian Bankruptcy &amp; Insolvency Law: Bill C-55, Statute C.47 And Beyond,</w:t>
      </w:r>
      <w:r w:rsidRPr="00B158E0">
        <w:rPr>
          <w:rFonts w:ascii="Arial" w:hAnsi="Arial" w:cs="Arial"/>
        </w:rPr>
        <w:t xml:space="preserve"> pp</w:t>
      </w:r>
      <w:r w:rsidR="00420C5F">
        <w:rPr>
          <w:rFonts w:ascii="Arial" w:hAnsi="Arial" w:cs="Arial"/>
        </w:rPr>
        <w:t>.</w:t>
      </w:r>
      <w:r w:rsidRPr="00B158E0">
        <w:rPr>
          <w:rFonts w:ascii="Arial" w:hAnsi="Arial" w:cs="Arial"/>
        </w:rPr>
        <w:t xml:space="preserve"> </w:t>
      </w:r>
      <w:r>
        <w:rPr>
          <w:rFonts w:ascii="Arial" w:hAnsi="Arial" w:cs="Arial"/>
        </w:rPr>
        <w:t>135</w:t>
      </w:r>
      <w:r w:rsidRPr="00B158E0">
        <w:rPr>
          <w:rFonts w:ascii="Arial" w:hAnsi="Arial" w:cs="Arial"/>
        </w:rPr>
        <w:t>.</w:t>
      </w:r>
    </w:p>
  </w:footnote>
  <w:footnote w:id="6">
    <w:p w14:paraId="4C09BC9D" w14:textId="18853754" w:rsidR="00C57CDD" w:rsidRPr="00B158E0" w:rsidRDefault="00C57CDD" w:rsidP="006A024A">
      <w:pPr>
        <w:spacing w:after="0" w:line="240" w:lineRule="auto"/>
        <w:jc w:val="both"/>
        <w:rPr>
          <w:rFonts w:ascii="Arial" w:hAnsi="Arial" w:cs="Arial"/>
          <w:sz w:val="20"/>
          <w:szCs w:val="20"/>
        </w:rPr>
      </w:pPr>
      <w:r w:rsidRPr="00B158E0">
        <w:rPr>
          <w:rStyle w:val="FootnoteReference"/>
          <w:rFonts w:ascii="Arial" w:hAnsi="Arial" w:cs="Arial"/>
          <w:sz w:val="20"/>
          <w:szCs w:val="20"/>
        </w:rPr>
        <w:footnoteRef/>
      </w:r>
      <w:r w:rsidRPr="00B158E0">
        <w:rPr>
          <w:rFonts w:ascii="Arial" w:hAnsi="Arial" w:cs="Arial"/>
          <w:sz w:val="20"/>
          <w:szCs w:val="20"/>
        </w:rPr>
        <w:t xml:space="preserve"> La </w:t>
      </w:r>
      <w:proofErr w:type="spellStart"/>
      <w:r w:rsidRPr="00B158E0">
        <w:rPr>
          <w:rFonts w:ascii="Arial" w:hAnsi="Arial" w:cs="Arial"/>
          <w:sz w:val="20"/>
          <w:szCs w:val="20"/>
        </w:rPr>
        <w:t>Porta</w:t>
      </w:r>
      <w:proofErr w:type="spellEnd"/>
      <w:r w:rsidRPr="00B158E0">
        <w:rPr>
          <w:rFonts w:ascii="Arial" w:hAnsi="Arial" w:cs="Arial"/>
          <w:sz w:val="20"/>
          <w:szCs w:val="20"/>
        </w:rPr>
        <w:t xml:space="preserve">, Rafael, et al, Law and Finance, Journal of Political Economy, 1998. See also </w:t>
      </w:r>
      <w:proofErr w:type="spellStart"/>
      <w:r w:rsidRPr="00B158E0">
        <w:rPr>
          <w:rFonts w:ascii="Arial" w:hAnsi="Arial" w:cs="Arial"/>
          <w:sz w:val="20"/>
          <w:szCs w:val="20"/>
        </w:rPr>
        <w:t>Djankov</w:t>
      </w:r>
      <w:proofErr w:type="spellEnd"/>
      <w:r w:rsidRPr="00B158E0">
        <w:rPr>
          <w:rFonts w:ascii="Arial" w:hAnsi="Arial" w:cs="Arial"/>
          <w:sz w:val="20"/>
          <w:szCs w:val="20"/>
        </w:rPr>
        <w:t xml:space="preserve">, Simeon, et al, Debt Enforcement around the World, Journal of Political Economy, 2008.  </w:t>
      </w:r>
    </w:p>
  </w:footnote>
  <w:footnote w:id="7">
    <w:p w14:paraId="07CDB211" w14:textId="28331025" w:rsidR="00C57CDD" w:rsidRPr="00B158E0" w:rsidRDefault="00C57CDD" w:rsidP="002A4285">
      <w:pPr>
        <w:spacing w:after="0"/>
        <w:jc w:val="both"/>
        <w:rPr>
          <w:rFonts w:ascii="Arial" w:hAnsi="Arial" w:cs="Arial"/>
          <w:sz w:val="20"/>
          <w:szCs w:val="20"/>
        </w:rPr>
      </w:pPr>
      <w:r w:rsidRPr="00B158E0">
        <w:rPr>
          <w:rStyle w:val="FootnoteReference"/>
          <w:rFonts w:ascii="Arial" w:hAnsi="Arial" w:cs="Arial"/>
          <w:sz w:val="20"/>
          <w:szCs w:val="20"/>
        </w:rPr>
        <w:footnoteRef/>
      </w:r>
      <w:r w:rsidRPr="00B158E0">
        <w:rPr>
          <w:rFonts w:ascii="Arial" w:hAnsi="Arial" w:cs="Arial"/>
          <w:sz w:val="20"/>
          <w:szCs w:val="20"/>
        </w:rPr>
        <w:t xml:space="preserve"> The directive orders European Union countries to adopt restructuring laws that gave debtors in financial difficulties the opportunity to restructure</w:t>
      </w:r>
      <w:r>
        <w:rPr>
          <w:rFonts w:ascii="Arial" w:hAnsi="Arial" w:cs="Arial"/>
          <w:sz w:val="20"/>
          <w:szCs w:val="20"/>
        </w:rPr>
        <w:t xml:space="preserve"> their affairs</w:t>
      </w:r>
      <w:r w:rsidRPr="00B158E0">
        <w:rPr>
          <w:rFonts w:ascii="Arial" w:hAnsi="Arial" w:cs="Arial"/>
          <w:sz w:val="20"/>
          <w:szCs w:val="20"/>
        </w:rPr>
        <w:t>.</w:t>
      </w:r>
    </w:p>
  </w:footnote>
  <w:footnote w:id="8">
    <w:p w14:paraId="22E54946" w14:textId="4B9C1F67" w:rsidR="00C57CDD" w:rsidRPr="00B158E0" w:rsidRDefault="00C57CDD" w:rsidP="004A0127">
      <w:pPr>
        <w:spacing w:after="0" w:line="240" w:lineRule="auto"/>
        <w:contextualSpacing/>
        <w:jc w:val="both"/>
        <w:rPr>
          <w:rFonts w:ascii="Arial" w:hAnsi="Arial" w:cs="Arial"/>
          <w:sz w:val="20"/>
          <w:szCs w:val="20"/>
        </w:rPr>
      </w:pPr>
      <w:r w:rsidRPr="00B158E0">
        <w:rPr>
          <w:rStyle w:val="FootnoteReference"/>
          <w:rFonts w:ascii="Arial" w:hAnsi="Arial" w:cs="Arial"/>
          <w:sz w:val="20"/>
          <w:szCs w:val="20"/>
        </w:rPr>
        <w:footnoteRef/>
      </w:r>
      <w:r>
        <w:rPr>
          <w:rFonts w:ascii="Arial" w:hAnsi="Arial" w:cs="Arial"/>
          <w:sz w:val="20"/>
          <w:szCs w:val="20"/>
        </w:rPr>
        <w:t xml:space="preserve"> Adapted</w:t>
      </w:r>
      <w:r w:rsidRPr="00B158E0">
        <w:rPr>
          <w:rFonts w:ascii="Arial" w:hAnsi="Arial" w:cs="Arial"/>
          <w:sz w:val="20"/>
          <w:szCs w:val="20"/>
        </w:rPr>
        <w:t xml:space="preserve"> from</w:t>
      </w:r>
      <w:r>
        <w:rPr>
          <w:rFonts w:ascii="Arial" w:hAnsi="Arial" w:cs="Arial"/>
          <w:sz w:val="20"/>
          <w:szCs w:val="20"/>
        </w:rPr>
        <w:t xml:space="preserve"> Bernstein, Donald, Preface in </w:t>
      </w:r>
      <w:r w:rsidRPr="00B158E0">
        <w:rPr>
          <w:rFonts w:ascii="Arial" w:hAnsi="Arial" w:cs="Arial"/>
          <w:i/>
          <w:sz w:val="20"/>
          <w:szCs w:val="20"/>
        </w:rPr>
        <w:t>The Insolvency Review</w:t>
      </w:r>
      <w:r w:rsidRPr="00B158E0">
        <w:rPr>
          <w:rFonts w:ascii="Arial" w:hAnsi="Arial" w:cs="Arial"/>
          <w:sz w:val="20"/>
          <w:szCs w:val="20"/>
        </w:rPr>
        <w:t>, 6</w:t>
      </w:r>
      <w:r w:rsidRPr="00B158E0">
        <w:rPr>
          <w:rFonts w:ascii="Arial" w:hAnsi="Arial" w:cs="Arial"/>
          <w:sz w:val="20"/>
          <w:szCs w:val="20"/>
          <w:vertAlign w:val="superscript"/>
        </w:rPr>
        <w:t>th</w:t>
      </w:r>
      <w:r w:rsidRPr="00B158E0">
        <w:rPr>
          <w:rFonts w:ascii="Arial" w:hAnsi="Arial" w:cs="Arial"/>
          <w:sz w:val="20"/>
          <w:szCs w:val="20"/>
        </w:rPr>
        <w:t xml:space="preserve"> Edition, (2018) pp</w:t>
      </w:r>
      <w:r w:rsidR="00420C5F">
        <w:rPr>
          <w:rFonts w:ascii="Arial" w:hAnsi="Arial" w:cs="Arial"/>
          <w:sz w:val="20"/>
          <w:szCs w:val="20"/>
        </w:rPr>
        <w:t>.</w:t>
      </w:r>
      <w:r w:rsidRPr="00B158E0">
        <w:rPr>
          <w:rFonts w:ascii="Arial" w:hAnsi="Arial" w:cs="Arial"/>
          <w:sz w:val="20"/>
          <w:szCs w:val="20"/>
        </w:rPr>
        <w:t xml:space="preserve"> vii.</w:t>
      </w:r>
    </w:p>
  </w:footnote>
  <w:footnote w:id="9">
    <w:p w14:paraId="0EBBCCA2" w14:textId="0DB749EF" w:rsidR="00C57CDD" w:rsidRPr="006A6FF1" w:rsidRDefault="00C57CDD">
      <w:pPr>
        <w:pStyle w:val="FootnoteText"/>
        <w:rPr>
          <w:rFonts w:ascii="Arial" w:hAnsi="Arial" w:cs="Arial"/>
        </w:rPr>
      </w:pPr>
      <w:r w:rsidRPr="006A6FF1">
        <w:rPr>
          <w:rStyle w:val="FootnoteReference"/>
          <w:rFonts w:ascii="Arial" w:hAnsi="Arial" w:cs="Arial"/>
        </w:rPr>
        <w:footnoteRef/>
      </w:r>
      <w:r w:rsidRPr="006A6FF1">
        <w:rPr>
          <w:rFonts w:ascii="Arial" w:hAnsi="Arial" w:cs="Arial"/>
        </w:rPr>
        <w:t xml:space="preserve"> I</w:t>
      </w:r>
      <w:r w:rsidR="00420C5F">
        <w:rPr>
          <w:rFonts w:ascii="Arial" w:hAnsi="Arial" w:cs="Arial"/>
        </w:rPr>
        <w:t xml:space="preserve"> treat a stay of </w:t>
      </w:r>
      <w:r w:rsidRPr="006A6FF1">
        <w:rPr>
          <w:rFonts w:ascii="Arial" w:hAnsi="Arial" w:cs="Arial"/>
        </w:rPr>
        <w:t xml:space="preserve">proceedings as synonymous with a moratorium. </w:t>
      </w:r>
    </w:p>
  </w:footnote>
  <w:footnote w:id="10">
    <w:p w14:paraId="196E8FEA" w14:textId="33404247" w:rsidR="006A6FF1" w:rsidRDefault="006A6FF1">
      <w:pPr>
        <w:pStyle w:val="FootnoteText"/>
      </w:pPr>
      <w:r w:rsidRPr="006A6FF1">
        <w:rPr>
          <w:rStyle w:val="FootnoteReference"/>
          <w:rFonts w:ascii="Arial" w:hAnsi="Arial" w:cs="Arial"/>
        </w:rPr>
        <w:footnoteRef/>
      </w:r>
      <w:r w:rsidRPr="006A6FF1">
        <w:rPr>
          <w:rFonts w:ascii="Arial" w:hAnsi="Arial" w:cs="Arial"/>
        </w:rPr>
        <w:t xml:space="preserve"> Part 26 of the Companies Act, 2006 </w:t>
      </w:r>
    </w:p>
  </w:footnote>
  <w:footnote w:id="11">
    <w:p w14:paraId="7B4F1203" w14:textId="2537C743" w:rsidR="00C57CDD" w:rsidRPr="00B158E0" w:rsidRDefault="00C57CDD">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w:t>
      </w:r>
      <w:r w:rsidRPr="00B158E0">
        <w:rPr>
          <w:rFonts w:ascii="Arial" w:hAnsi="Arial" w:cs="Arial"/>
          <w:i/>
        </w:rPr>
        <w:t>Supra</w:t>
      </w:r>
      <w:r w:rsidRPr="00B158E0">
        <w:rPr>
          <w:rFonts w:ascii="Arial" w:hAnsi="Arial" w:cs="Arial"/>
        </w:rPr>
        <w:t xml:space="preserve">, note </w:t>
      </w:r>
      <w:r>
        <w:rPr>
          <w:rFonts w:ascii="Arial" w:hAnsi="Arial" w:cs="Arial"/>
        </w:rPr>
        <w:t>1</w:t>
      </w:r>
      <w:r w:rsidRPr="00B158E0">
        <w:rPr>
          <w:rFonts w:ascii="Arial" w:hAnsi="Arial" w:cs="Arial"/>
        </w:rPr>
        <w:t>, pp</w:t>
      </w:r>
      <w:r>
        <w:rPr>
          <w:rFonts w:ascii="Arial" w:hAnsi="Arial" w:cs="Arial"/>
        </w:rPr>
        <w:t>.</w:t>
      </w:r>
      <w:r w:rsidRPr="00B158E0">
        <w:rPr>
          <w:rFonts w:ascii="Arial" w:hAnsi="Arial" w:cs="Arial"/>
        </w:rPr>
        <w:t xml:space="preserve"> </w:t>
      </w:r>
      <w:r>
        <w:rPr>
          <w:rFonts w:ascii="Arial" w:hAnsi="Arial" w:cs="Arial"/>
          <w:color w:val="000000" w:themeColor="text1"/>
        </w:rPr>
        <w:t>41</w:t>
      </w:r>
      <w:r>
        <w:rPr>
          <w:rFonts w:ascii="Arial" w:hAnsi="Arial" w:cs="Arial"/>
        </w:rPr>
        <w:t>.</w:t>
      </w:r>
    </w:p>
  </w:footnote>
  <w:footnote w:id="12">
    <w:p w14:paraId="66DF7204" w14:textId="2845182E" w:rsidR="00C57CDD" w:rsidRPr="00B158E0" w:rsidRDefault="00C57CDD">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Payne, Jennifer, </w:t>
      </w:r>
      <w:r w:rsidRPr="00B158E0">
        <w:rPr>
          <w:rFonts w:ascii="Arial" w:hAnsi="Arial" w:cs="Arial"/>
          <w:i/>
        </w:rPr>
        <w:t>Schemes of Arrangement: Theory, Structure and Operation</w:t>
      </w:r>
      <w:r w:rsidRPr="00B158E0">
        <w:rPr>
          <w:rFonts w:ascii="Arial" w:hAnsi="Arial" w:cs="Arial"/>
        </w:rPr>
        <w:t xml:space="preserve">, (2014). </w:t>
      </w:r>
    </w:p>
  </w:footnote>
  <w:footnote w:id="13">
    <w:p w14:paraId="5B700D93" w14:textId="56C6228C" w:rsidR="00C57CDD" w:rsidRPr="00464934" w:rsidRDefault="00C57CDD">
      <w:pPr>
        <w:pStyle w:val="FootnoteText"/>
        <w:rPr>
          <w:rFonts w:ascii="Arial" w:hAnsi="Arial" w:cs="Arial"/>
        </w:rPr>
      </w:pPr>
      <w:r w:rsidRPr="00464934">
        <w:rPr>
          <w:rStyle w:val="FootnoteReference"/>
          <w:rFonts w:ascii="Arial" w:hAnsi="Arial" w:cs="Arial"/>
        </w:rPr>
        <w:footnoteRef/>
      </w:r>
      <w:r w:rsidRPr="00464934">
        <w:rPr>
          <w:rFonts w:ascii="Arial" w:hAnsi="Arial" w:cs="Arial"/>
        </w:rPr>
        <w:t xml:space="preserve"> Part I of the Insolvency Act</w:t>
      </w:r>
      <w:r w:rsidR="00A750DA">
        <w:rPr>
          <w:rFonts w:ascii="Arial" w:hAnsi="Arial" w:cs="Arial"/>
        </w:rPr>
        <w:t>,</w:t>
      </w:r>
      <w:r w:rsidRPr="00464934">
        <w:rPr>
          <w:rFonts w:ascii="Arial" w:hAnsi="Arial" w:cs="Arial"/>
        </w:rPr>
        <w:t xml:space="preserve"> 1986</w:t>
      </w:r>
      <w:r>
        <w:rPr>
          <w:rFonts w:ascii="Arial" w:hAnsi="Arial" w:cs="Arial"/>
        </w:rPr>
        <w:t xml:space="preserve"> and the Insolvency (England and Wales) Rules 2016. </w:t>
      </w:r>
    </w:p>
  </w:footnote>
  <w:footnote w:id="14">
    <w:p w14:paraId="7FF375A9" w14:textId="39EB6109" w:rsidR="00C57CDD" w:rsidRPr="00B158E0" w:rsidRDefault="00C57CDD" w:rsidP="00686D9E">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w:t>
      </w:r>
      <w:r w:rsidRPr="006A7776">
        <w:rPr>
          <w:rFonts w:ascii="Arial" w:hAnsi="Arial" w:cs="Arial"/>
          <w:szCs w:val="24"/>
        </w:rPr>
        <w:t>Johnson, Ian, “Chapter 5: England and Wales”, in Bernstein, Donald (</w:t>
      </w:r>
      <w:proofErr w:type="spellStart"/>
      <w:proofErr w:type="gramStart"/>
      <w:r w:rsidRPr="006A7776">
        <w:rPr>
          <w:rFonts w:ascii="Arial" w:hAnsi="Arial" w:cs="Arial"/>
          <w:szCs w:val="24"/>
        </w:rPr>
        <w:t>eds</w:t>
      </w:r>
      <w:proofErr w:type="spellEnd"/>
      <w:proofErr w:type="gramEnd"/>
      <w:r w:rsidRPr="006A7776">
        <w:rPr>
          <w:rFonts w:ascii="Arial" w:hAnsi="Arial" w:cs="Arial"/>
          <w:szCs w:val="24"/>
        </w:rPr>
        <w:t xml:space="preserve">), </w:t>
      </w:r>
      <w:r w:rsidRPr="006A7776">
        <w:rPr>
          <w:rFonts w:ascii="Arial" w:hAnsi="Arial" w:cs="Arial"/>
          <w:i/>
          <w:szCs w:val="24"/>
        </w:rPr>
        <w:t>The Insolvency Review</w:t>
      </w:r>
      <w:r w:rsidRPr="006A7776">
        <w:rPr>
          <w:rFonts w:ascii="Arial" w:hAnsi="Arial" w:cs="Arial"/>
          <w:szCs w:val="24"/>
        </w:rPr>
        <w:t>, 6</w:t>
      </w:r>
      <w:r w:rsidRPr="006A7776">
        <w:rPr>
          <w:rFonts w:ascii="Arial" w:hAnsi="Arial" w:cs="Arial"/>
          <w:szCs w:val="24"/>
          <w:vertAlign w:val="superscript"/>
        </w:rPr>
        <w:t>th</w:t>
      </w:r>
      <w:r w:rsidRPr="006A7776">
        <w:rPr>
          <w:rFonts w:ascii="Arial" w:hAnsi="Arial" w:cs="Arial"/>
          <w:szCs w:val="24"/>
        </w:rPr>
        <w:t xml:space="preserve"> Edition (2018)</w:t>
      </w:r>
      <w:r>
        <w:rPr>
          <w:rFonts w:ascii="Arial" w:hAnsi="Arial" w:cs="Arial"/>
          <w:szCs w:val="24"/>
        </w:rPr>
        <w:t xml:space="preserve"> pp. 67 to 70.</w:t>
      </w:r>
    </w:p>
  </w:footnote>
  <w:footnote w:id="15">
    <w:p w14:paraId="26D241D8" w14:textId="12FA70BA" w:rsidR="006A6FF1" w:rsidRPr="006A6FF1" w:rsidRDefault="006A6FF1">
      <w:pPr>
        <w:pStyle w:val="FootnoteText"/>
        <w:rPr>
          <w:rFonts w:ascii="Arial" w:hAnsi="Arial" w:cs="Arial"/>
        </w:rPr>
      </w:pPr>
      <w:r w:rsidRPr="006A6FF1">
        <w:rPr>
          <w:rStyle w:val="FootnoteReference"/>
          <w:rFonts w:ascii="Arial" w:hAnsi="Arial" w:cs="Arial"/>
        </w:rPr>
        <w:footnoteRef/>
      </w:r>
      <w:r w:rsidRPr="006A6FF1">
        <w:rPr>
          <w:rFonts w:ascii="Arial" w:hAnsi="Arial" w:cs="Arial"/>
        </w:rPr>
        <w:t xml:space="preserve"> Schedule B1 of the Insolvency Act, 1986 and the Insolvency (England and Wales) Rules 2016.</w:t>
      </w:r>
    </w:p>
  </w:footnote>
  <w:footnote w:id="16">
    <w:p w14:paraId="56AB8098" w14:textId="0AA6E6F9" w:rsidR="00C57CDD" w:rsidRPr="00B158E0" w:rsidRDefault="00C57CDD">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A creditor that benefits from a “</w:t>
      </w:r>
      <w:r w:rsidRPr="00B158E0">
        <w:rPr>
          <w:rFonts w:ascii="Arial" w:hAnsi="Arial" w:cs="Arial"/>
          <w:i/>
        </w:rPr>
        <w:t>Qualifying Floating Charge</w:t>
      </w:r>
      <w:r w:rsidRPr="00B158E0">
        <w:rPr>
          <w:rFonts w:ascii="Arial" w:hAnsi="Arial" w:cs="Arial"/>
        </w:rPr>
        <w:t>” as defined in the Enterprise Act 2002.</w:t>
      </w:r>
    </w:p>
  </w:footnote>
  <w:footnote w:id="17">
    <w:p w14:paraId="2BDCF6EA" w14:textId="40F3B80C" w:rsidR="00C57CDD" w:rsidRPr="005A0272" w:rsidRDefault="00C57CDD">
      <w:pPr>
        <w:pStyle w:val="FootnoteText"/>
        <w:rPr>
          <w:rFonts w:ascii="Arial" w:hAnsi="Arial" w:cs="Arial"/>
        </w:rPr>
      </w:pPr>
      <w:r w:rsidRPr="005A0272">
        <w:rPr>
          <w:rStyle w:val="FootnoteReference"/>
          <w:rFonts w:ascii="Arial" w:hAnsi="Arial" w:cs="Arial"/>
        </w:rPr>
        <w:footnoteRef/>
      </w:r>
      <w:r w:rsidRPr="005A0272">
        <w:rPr>
          <w:rFonts w:ascii="Arial" w:hAnsi="Arial" w:cs="Arial"/>
        </w:rPr>
        <w:t xml:space="preserve"> </w:t>
      </w:r>
      <w:r w:rsidRPr="005A0272">
        <w:rPr>
          <w:rFonts w:ascii="Arial" w:hAnsi="Arial" w:cs="Arial"/>
          <w:i/>
        </w:rPr>
        <w:t xml:space="preserve">Supra, </w:t>
      </w:r>
      <w:r w:rsidRPr="005A0272">
        <w:rPr>
          <w:rFonts w:ascii="Arial" w:hAnsi="Arial" w:cs="Arial"/>
        </w:rPr>
        <w:t>note 1, pp</w:t>
      </w:r>
      <w:r w:rsidR="00420C5F">
        <w:rPr>
          <w:rFonts w:ascii="Arial" w:hAnsi="Arial" w:cs="Arial"/>
        </w:rPr>
        <w:t>.</w:t>
      </w:r>
      <w:r w:rsidRPr="005A0272">
        <w:rPr>
          <w:rFonts w:ascii="Arial" w:hAnsi="Arial" w:cs="Arial"/>
        </w:rPr>
        <w:t xml:space="preserve">  </w:t>
      </w:r>
      <w:proofErr w:type="gramStart"/>
      <w:r w:rsidRPr="005A0272">
        <w:rPr>
          <w:rFonts w:ascii="Arial" w:hAnsi="Arial" w:cs="Arial"/>
        </w:rPr>
        <w:t>41</w:t>
      </w:r>
      <w:proofErr w:type="gramEnd"/>
      <w:r w:rsidRPr="005A0272">
        <w:rPr>
          <w:rFonts w:ascii="Arial" w:hAnsi="Arial" w:cs="Arial"/>
        </w:rPr>
        <w:t>.</w:t>
      </w:r>
    </w:p>
  </w:footnote>
  <w:footnote w:id="18">
    <w:p w14:paraId="3ECD7F70" w14:textId="53F048AC" w:rsidR="00C57CDD" w:rsidRPr="005A0272" w:rsidRDefault="00C57CDD">
      <w:pPr>
        <w:pStyle w:val="FootnoteText"/>
        <w:rPr>
          <w:rFonts w:ascii="Arial" w:hAnsi="Arial" w:cs="Arial"/>
        </w:rPr>
      </w:pPr>
      <w:r w:rsidRPr="005A0272">
        <w:rPr>
          <w:rStyle w:val="FootnoteReference"/>
          <w:rFonts w:ascii="Arial" w:hAnsi="Arial" w:cs="Arial"/>
        </w:rPr>
        <w:footnoteRef/>
      </w:r>
      <w:r w:rsidRPr="005A0272">
        <w:rPr>
          <w:rFonts w:ascii="Arial" w:hAnsi="Arial" w:cs="Arial"/>
          <w:i/>
        </w:rPr>
        <w:t xml:space="preserve">Supra, </w:t>
      </w:r>
      <w:r w:rsidRPr="005A0272">
        <w:rPr>
          <w:rFonts w:ascii="Arial" w:hAnsi="Arial" w:cs="Arial"/>
        </w:rPr>
        <w:t>note 1, pp</w:t>
      </w:r>
      <w:r w:rsidR="00420C5F">
        <w:rPr>
          <w:rFonts w:ascii="Arial" w:hAnsi="Arial" w:cs="Arial"/>
        </w:rPr>
        <w:t>.</w:t>
      </w:r>
      <w:r w:rsidRPr="005A0272">
        <w:rPr>
          <w:rFonts w:ascii="Arial" w:hAnsi="Arial" w:cs="Arial"/>
        </w:rPr>
        <w:t xml:space="preserve"> 75</w:t>
      </w:r>
      <w:r w:rsidR="00420C5F">
        <w:rPr>
          <w:rFonts w:ascii="Arial" w:hAnsi="Arial" w:cs="Arial"/>
        </w:rPr>
        <w:t>.</w:t>
      </w:r>
      <w:r w:rsidRPr="005A0272">
        <w:rPr>
          <w:rFonts w:ascii="Arial" w:hAnsi="Arial" w:cs="Arial"/>
        </w:rPr>
        <w:t xml:space="preserve"> </w:t>
      </w:r>
    </w:p>
  </w:footnote>
  <w:footnote w:id="19">
    <w:p w14:paraId="347DB789" w14:textId="05C9D16C" w:rsidR="00C57CDD" w:rsidRPr="005A0272" w:rsidRDefault="00C57CDD" w:rsidP="005A0272">
      <w:pPr>
        <w:rPr>
          <w:rFonts w:ascii="Arial" w:hAnsi="Arial" w:cs="Arial"/>
          <w:sz w:val="20"/>
          <w:szCs w:val="20"/>
        </w:rPr>
      </w:pPr>
      <w:r w:rsidRPr="005A0272">
        <w:rPr>
          <w:rStyle w:val="FootnoteReference"/>
          <w:rFonts w:ascii="Arial" w:hAnsi="Arial" w:cs="Arial"/>
          <w:sz w:val="20"/>
          <w:szCs w:val="20"/>
        </w:rPr>
        <w:footnoteRef/>
      </w:r>
      <w:r w:rsidRPr="005A0272">
        <w:rPr>
          <w:rFonts w:ascii="Arial" w:hAnsi="Arial" w:cs="Arial"/>
          <w:sz w:val="20"/>
          <w:szCs w:val="20"/>
        </w:rPr>
        <w:t xml:space="preserve"> </w:t>
      </w:r>
      <w:proofErr w:type="gramStart"/>
      <w:r w:rsidR="006A6FF1">
        <w:rPr>
          <w:rFonts w:ascii="Arial" w:hAnsi="Arial" w:cs="Arial"/>
          <w:sz w:val="20"/>
          <w:szCs w:val="20"/>
        </w:rPr>
        <w:t>Part 26A of the Companies Act, 2006.</w:t>
      </w:r>
      <w:proofErr w:type="gramEnd"/>
    </w:p>
    <w:p w14:paraId="08F8ADAF" w14:textId="756811BF" w:rsidR="00C57CDD" w:rsidRDefault="00C57CDD">
      <w:pPr>
        <w:pStyle w:val="FootnoteText"/>
      </w:pPr>
    </w:p>
  </w:footnote>
  <w:footnote w:id="20">
    <w:p w14:paraId="409D9C3F" w14:textId="294676A8" w:rsidR="00C57CDD" w:rsidRPr="005A0272" w:rsidRDefault="00C57CDD">
      <w:pPr>
        <w:pStyle w:val="FootnoteText"/>
        <w:rPr>
          <w:rFonts w:ascii="Arial" w:hAnsi="Arial" w:cs="Arial"/>
        </w:rPr>
      </w:pPr>
      <w:r w:rsidRPr="005A0272">
        <w:rPr>
          <w:rStyle w:val="FootnoteReference"/>
          <w:rFonts w:ascii="Arial" w:hAnsi="Arial" w:cs="Arial"/>
        </w:rPr>
        <w:footnoteRef/>
      </w:r>
      <w:r w:rsidRPr="005A0272">
        <w:rPr>
          <w:rFonts w:ascii="Arial" w:hAnsi="Arial" w:cs="Arial"/>
        </w:rPr>
        <w:t xml:space="preserve"> Part III of the Bankruptcy and Insolvency Act. </w:t>
      </w:r>
    </w:p>
  </w:footnote>
  <w:footnote w:id="21">
    <w:p w14:paraId="1BF021F5" w14:textId="36D7F064" w:rsidR="00C57CDD" w:rsidRPr="005A0272" w:rsidRDefault="00C57CDD">
      <w:pPr>
        <w:pStyle w:val="FootnoteText"/>
        <w:rPr>
          <w:rFonts w:ascii="Arial" w:hAnsi="Arial" w:cs="Arial"/>
        </w:rPr>
      </w:pPr>
      <w:r w:rsidRPr="005A0272">
        <w:rPr>
          <w:rStyle w:val="FootnoteReference"/>
          <w:rFonts w:ascii="Arial" w:hAnsi="Arial" w:cs="Arial"/>
        </w:rPr>
        <w:footnoteRef/>
      </w:r>
      <w:r w:rsidRPr="005A0272">
        <w:rPr>
          <w:rFonts w:ascii="Arial" w:hAnsi="Arial" w:cs="Arial"/>
        </w:rPr>
        <w:t xml:space="preserve"> </w:t>
      </w:r>
      <w:proofErr w:type="gramStart"/>
      <w:r w:rsidRPr="005A0272">
        <w:rPr>
          <w:rFonts w:ascii="Arial" w:hAnsi="Arial" w:cs="Arial"/>
        </w:rPr>
        <w:t>Companies’ Creditors Arrangement Act.</w:t>
      </w:r>
      <w:proofErr w:type="gramEnd"/>
    </w:p>
  </w:footnote>
  <w:footnote w:id="22">
    <w:p w14:paraId="3DFB53B2" w14:textId="1DE25262" w:rsidR="00C57CDD" w:rsidRPr="005A0272" w:rsidRDefault="00C57CDD">
      <w:pPr>
        <w:pStyle w:val="FootnoteText"/>
        <w:rPr>
          <w:rFonts w:ascii="Arial" w:hAnsi="Arial" w:cs="Arial"/>
        </w:rPr>
      </w:pPr>
      <w:r w:rsidRPr="005A0272">
        <w:rPr>
          <w:rStyle w:val="FootnoteReference"/>
          <w:rFonts w:ascii="Arial" w:hAnsi="Arial" w:cs="Arial"/>
        </w:rPr>
        <w:footnoteRef/>
      </w:r>
      <w:r w:rsidRPr="005A0272">
        <w:rPr>
          <w:rFonts w:ascii="Arial" w:hAnsi="Arial" w:cs="Arial"/>
        </w:rPr>
        <w:t xml:space="preserve"> CIGA 2020 </w:t>
      </w:r>
      <w:r w:rsidR="00420C5F">
        <w:rPr>
          <w:rFonts w:ascii="Arial" w:hAnsi="Arial" w:cs="Arial"/>
        </w:rPr>
        <w:t xml:space="preserve">made available to distress UK companies a </w:t>
      </w:r>
      <w:r w:rsidRPr="005A0272">
        <w:rPr>
          <w:rFonts w:ascii="Arial" w:hAnsi="Arial" w:cs="Arial"/>
        </w:rPr>
        <w:t xml:space="preserve">free-standing moratorium </w:t>
      </w:r>
      <w:r w:rsidR="00420C5F">
        <w:rPr>
          <w:rFonts w:ascii="Arial" w:hAnsi="Arial" w:cs="Arial"/>
        </w:rPr>
        <w:t>on enforcement action. The moratorium</w:t>
      </w:r>
      <w:r w:rsidRPr="005A0272">
        <w:rPr>
          <w:rFonts w:ascii="Arial" w:hAnsi="Arial" w:cs="Arial"/>
        </w:rPr>
        <w:t xml:space="preserve"> is available initiall</w:t>
      </w:r>
      <w:r w:rsidR="00420C5F">
        <w:rPr>
          <w:rFonts w:ascii="Arial" w:hAnsi="Arial" w:cs="Arial"/>
        </w:rPr>
        <w:t>y for twenty (20) business days but may be extended</w:t>
      </w:r>
      <w:r w:rsidRPr="005A0272">
        <w:rPr>
          <w:rFonts w:ascii="Arial" w:hAnsi="Arial" w:cs="Arial"/>
        </w:rPr>
        <w:t>.</w:t>
      </w:r>
    </w:p>
  </w:footnote>
  <w:footnote w:id="23">
    <w:p w14:paraId="03454BB2" w14:textId="30A9F148" w:rsidR="00C57CDD" w:rsidRPr="00B158E0" w:rsidRDefault="00C57CDD">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Hurricane Energy PLC, Re [2021] EWHC 1759 (</w:t>
      </w:r>
      <w:proofErr w:type="spellStart"/>
      <w:r w:rsidRPr="00B158E0">
        <w:rPr>
          <w:rFonts w:ascii="Arial" w:hAnsi="Arial" w:cs="Arial"/>
        </w:rPr>
        <w:t>Ch</w:t>
      </w:r>
      <w:proofErr w:type="spellEnd"/>
      <w:r w:rsidRPr="00B158E0">
        <w:rPr>
          <w:rFonts w:ascii="Arial" w:hAnsi="Arial" w:cs="Arial"/>
        </w:rPr>
        <w:t>) (28 June 2021)</w:t>
      </w:r>
    </w:p>
  </w:footnote>
  <w:footnote w:id="24">
    <w:p w14:paraId="4C444C37" w14:textId="5769EBDE" w:rsidR="00C57CDD" w:rsidRPr="00B158E0" w:rsidRDefault="00C57CDD" w:rsidP="00624FF9">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w:t>
      </w:r>
      <w:proofErr w:type="gramStart"/>
      <w:r w:rsidRPr="00B158E0">
        <w:rPr>
          <w:rFonts w:ascii="Arial" w:hAnsi="Arial" w:cs="Arial"/>
          <w:i/>
        </w:rPr>
        <w:t xml:space="preserve">Ibid </w:t>
      </w:r>
      <w:r w:rsidRPr="00B158E0">
        <w:rPr>
          <w:rFonts w:ascii="Arial" w:hAnsi="Arial" w:cs="Arial"/>
        </w:rPr>
        <w:t xml:space="preserve">at </w:t>
      </w:r>
      <w:proofErr w:type="spellStart"/>
      <w:r w:rsidRPr="00B158E0">
        <w:rPr>
          <w:rFonts w:ascii="Arial" w:hAnsi="Arial" w:cs="Arial"/>
        </w:rPr>
        <w:t>para</w:t>
      </w:r>
      <w:proofErr w:type="spellEnd"/>
      <w:r w:rsidRPr="00B158E0">
        <w:rPr>
          <w:rFonts w:ascii="Arial" w:hAnsi="Arial" w:cs="Arial"/>
        </w:rPr>
        <w:t xml:space="preserve"> </w:t>
      </w:r>
      <w:r>
        <w:rPr>
          <w:rFonts w:ascii="Arial" w:hAnsi="Arial" w:cs="Arial"/>
        </w:rPr>
        <w:t>40.</w:t>
      </w:r>
      <w:proofErr w:type="gramEnd"/>
    </w:p>
  </w:footnote>
  <w:footnote w:id="25">
    <w:p w14:paraId="1D4F98AA" w14:textId="1888B2D1" w:rsidR="00C57CDD" w:rsidRPr="00B158E0" w:rsidRDefault="00C57CDD">
      <w:pPr>
        <w:pStyle w:val="FootnoteText"/>
        <w:rPr>
          <w:rFonts w:ascii="Arial" w:hAnsi="Arial" w:cs="Arial"/>
        </w:rPr>
      </w:pPr>
      <w:r w:rsidRPr="00B158E0">
        <w:rPr>
          <w:rStyle w:val="FootnoteReference"/>
          <w:rFonts w:ascii="Arial" w:hAnsi="Arial" w:cs="Arial"/>
        </w:rPr>
        <w:footnoteRef/>
      </w:r>
      <w:r w:rsidRPr="00B158E0">
        <w:rPr>
          <w:rFonts w:ascii="Arial" w:hAnsi="Arial" w:cs="Arial"/>
        </w:rPr>
        <w:t xml:space="preserve"> </w:t>
      </w:r>
      <w:r w:rsidRPr="00B158E0">
        <w:rPr>
          <w:rFonts w:ascii="Arial" w:hAnsi="Arial" w:cs="Arial"/>
          <w:i/>
          <w:iCs/>
          <w:u w:val="single"/>
        </w:rPr>
        <w:t>Deep Ocean</w:t>
      </w:r>
      <w:r w:rsidRPr="00B158E0">
        <w:rPr>
          <w:rFonts w:ascii="Arial" w:hAnsi="Arial" w:cs="Arial"/>
        </w:rPr>
        <w:t xml:space="preserve"> (January 2021), </w:t>
      </w:r>
      <w:proofErr w:type="spellStart"/>
      <w:r w:rsidRPr="00B158E0">
        <w:rPr>
          <w:rFonts w:ascii="Arial" w:hAnsi="Arial" w:cs="Arial"/>
          <w:i/>
          <w:iCs/>
          <w:u w:val="single"/>
        </w:rPr>
        <w:t>Gategroup</w:t>
      </w:r>
      <w:proofErr w:type="spellEnd"/>
      <w:r w:rsidRPr="00B158E0">
        <w:rPr>
          <w:rFonts w:ascii="Arial" w:hAnsi="Arial" w:cs="Arial"/>
          <w:i/>
          <w:iCs/>
          <w:u w:val="single"/>
        </w:rPr>
        <w:t xml:space="preserve"> UK</w:t>
      </w:r>
      <w:r w:rsidRPr="00B158E0">
        <w:rPr>
          <w:rFonts w:ascii="Arial" w:hAnsi="Arial" w:cs="Arial"/>
        </w:rPr>
        <w:t xml:space="preserve"> (March 2021), </w:t>
      </w:r>
      <w:r w:rsidRPr="00B158E0">
        <w:rPr>
          <w:rFonts w:ascii="Arial" w:hAnsi="Arial" w:cs="Arial"/>
          <w:i/>
          <w:iCs/>
          <w:u w:val="single"/>
        </w:rPr>
        <w:t>Premier Oil</w:t>
      </w:r>
      <w:r w:rsidRPr="00B158E0">
        <w:rPr>
          <w:rFonts w:ascii="Arial" w:hAnsi="Arial" w:cs="Arial"/>
        </w:rPr>
        <w:t xml:space="preserve"> (March 2021), </w:t>
      </w:r>
      <w:r w:rsidRPr="00B158E0">
        <w:rPr>
          <w:rFonts w:ascii="Arial" w:hAnsi="Arial" w:cs="Arial"/>
          <w:i/>
          <w:iCs/>
          <w:u w:val="single"/>
        </w:rPr>
        <w:t>Smile Telecoms</w:t>
      </w:r>
      <w:r w:rsidRPr="00B158E0">
        <w:rPr>
          <w:rFonts w:ascii="Arial" w:hAnsi="Arial" w:cs="Arial"/>
        </w:rPr>
        <w:t xml:space="preserve"> (March 2021), </w:t>
      </w:r>
      <w:r w:rsidRPr="00B158E0">
        <w:rPr>
          <w:rFonts w:ascii="Arial" w:hAnsi="Arial" w:cs="Arial"/>
          <w:i/>
          <w:iCs/>
          <w:u w:val="single"/>
        </w:rPr>
        <w:t>Virgin Active</w:t>
      </w:r>
      <w:r w:rsidRPr="00B158E0">
        <w:rPr>
          <w:rFonts w:ascii="Arial" w:hAnsi="Arial" w:cs="Arial"/>
        </w:rPr>
        <w:t xml:space="preserve"> (May 2021), </w:t>
      </w:r>
      <w:r w:rsidRPr="00B158E0">
        <w:rPr>
          <w:rFonts w:ascii="Arial" w:hAnsi="Arial" w:cs="Arial"/>
          <w:i/>
          <w:iCs/>
          <w:u w:val="single"/>
        </w:rPr>
        <w:t>Amicus Finance</w:t>
      </w:r>
      <w:r w:rsidRPr="00B158E0">
        <w:rPr>
          <w:rFonts w:ascii="Arial" w:hAnsi="Arial" w:cs="Arial"/>
        </w:rPr>
        <w:t xml:space="preserve"> (August 2021) </w:t>
      </w:r>
      <w:r w:rsidRPr="00B158E0">
        <w:rPr>
          <w:rFonts w:ascii="Arial" w:hAnsi="Arial" w:cs="Arial"/>
          <w:i/>
          <w:iCs/>
          <w:u w:val="single"/>
        </w:rPr>
        <w:t>Hurricane Energy</w:t>
      </w:r>
      <w:r w:rsidRPr="00B158E0">
        <w:rPr>
          <w:rFonts w:ascii="Arial" w:hAnsi="Arial" w:cs="Arial"/>
        </w:rPr>
        <w:t xml:space="preserve"> (June 2021)</w:t>
      </w:r>
    </w:p>
  </w:footnote>
  <w:footnote w:id="26">
    <w:p w14:paraId="4D6CD685" w14:textId="3BE6A810" w:rsidR="00C57CDD" w:rsidRPr="00B158E0" w:rsidRDefault="00C57CDD" w:rsidP="00465E51">
      <w:pPr>
        <w:pStyle w:val="FootnoteText"/>
        <w:jc w:val="both"/>
        <w:rPr>
          <w:rFonts w:ascii="Arial" w:hAnsi="Arial" w:cs="Arial"/>
        </w:rPr>
      </w:pPr>
      <w:r w:rsidRPr="00B158E0">
        <w:rPr>
          <w:rStyle w:val="FootnoteReference"/>
          <w:rFonts w:ascii="Arial" w:hAnsi="Arial" w:cs="Arial"/>
        </w:rPr>
        <w:footnoteRef/>
      </w:r>
      <w:r w:rsidRPr="00B158E0">
        <w:rPr>
          <w:rFonts w:ascii="Arial" w:hAnsi="Arial" w:cs="Arial"/>
        </w:rPr>
        <w:t>PricewaterhouseCoopers UK in “Retail Restructuring: Why CVAs alone are not the answer”, at &lt;</w:t>
      </w:r>
      <w:hyperlink r:id="rId1" w:history="1">
        <w:r w:rsidRPr="00B158E0">
          <w:rPr>
            <w:rStyle w:val="Hyperlink"/>
            <w:rFonts w:ascii="Arial" w:hAnsi="Arial" w:cs="Arial"/>
          </w:rPr>
          <w:t>https://www.pwc.co.uk/services/business-restructuring/insights/retail-restructuring-cva-alone-not-the-answer.html</w:t>
        </w:r>
      </w:hyperlink>
      <w:r w:rsidRPr="00B158E0">
        <w:rPr>
          <w:rFonts w:ascii="Arial" w:hAnsi="Arial" w:cs="Arial"/>
        </w:rPr>
        <w:t>&gt;</w:t>
      </w:r>
    </w:p>
  </w:footnote>
  <w:footnote w:id="27">
    <w:p w14:paraId="475F401D" w14:textId="314DEA4F" w:rsidR="00C57CDD" w:rsidRDefault="00C57CDD" w:rsidP="00465E51">
      <w:pPr>
        <w:jc w:val="both"/>
      </w:pPr>
      <w:r w:rsidRPr="00B158E0">
        <w:rPr>
          <w:rStyle w:val="FootnoteReference"/>
          <w:rFonts w:ascii="Arial" w:hAnsi="Arial" w:cs="Arial"/>
          <w:sz w:val="20"/>
          <w:szCs w:val="20"/>
        </w:rPr>
        <w:footnoteRef/>
      </w:r>
      <w:r w:rsidRPr="00B158E0">
        <w:rPr>
          <w:rFonts w:ascii="Arial" w:hAnsi="Arial" w:cs="Arial"/>
          <w:sz w:val="20"/>
          <w:szCs w:val="20"/>
        </w:rPr>
        <w:t xml:space="preserve"> Fresh Start: A Review of Canada’s Insolvency Laws &lt;</w:t>
      </w:r>
      <w:hyperlink r:id="rId2" w:history="1">
        <w:r w:rsidRPr="00B158E0">
          <w:rPr>
            <w:rStyle w:val="Hyperlink"/>
            <w:rFonts w:ascii="Arial" w:hAnsi="Arial" w:cs="Arial"/>
            <w:sz w:val="20"/>
            <w:szCs w:val="20"/>
          </w:rPr>
          <w:t>https://www.ic.gc.ca/eic/site/cilp-pdci.nsf/eng/cl00882.html</w:t>
        </w:r>
      </w:hyperlink>
      <w:r w:rsidRPr="00B158E0">
        <w:rPr>
          <w:rFonts w:ascii="Arial" w:hAnsi="Arial" w:cs="Arial"/>
          <w:sz w:val="20"/>
          <w:szCs w:val="2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EC6"/>
    <w:multiLevelType w:val="hybridMultilevel"/>
    <w:tmpl w:val="29920BD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9F5205"/>
    <w:multiLevelType w:val="hybridMultilevel"/>
    <w:tmpl w:val="4036E50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6297085"/>
    <w:multiLevelType w:val="hybridMultilevel"/>
    <w:tmpl w:val="DA5C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03385"/>
    <w:multiLevelType w:val="hybridMultilevel"/>
    <w:tmpl w:val="5622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87FE2"/>
    <w:multiLevelType w:val="hybridMultilevel"/>
    <w:tmpl w:val="99F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07B47"/>
    <w:multiLevelType w:val="hybridMultilevel"/>
    <w:tmpl w:val="B0B6B9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112D2233"/>
    <w:multiLevelType w:val="hybridMultilevel"/>
    <w:tmpl w:val="C72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D7157"/>
    <w:multiLevelType w:val="hybridMultilevel"/>
    <w:tmpl w:val="F10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C479D"/>
    <w:multiLevelType w:val="hybridMultilevel"/>
    <w:tmpl w:val="1CA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C0105"/>
    <w:multiLevelType w:val="hybridMultilevel"/>
    <w:tmpl w:val="619AEC74"/>
    <w:lvl w:ilvl="0" w:tplc="66EE3E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15CC3"/>
    <w:multiLevelType w:val="hybridMultilevel"/>
    <w:tmpl w:val="D5C2FD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E8F3217"/>
    <w:multiLevelType w:val="hybridMultilevel"/>
    <w:tmpl w:val="C418558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3F9A4654"/>
    <w:multiLevelType w:val="hybridMultilevel"/>
    <w:tmpl w:val="99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C3107"/>
    <w:multiLevelType w:val="hybridMultilevel"/>
    <w:tmpl w:val="FAC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F0164"/>
    <w:multiLevelType w:val="hybridMultilevel"/>
    <w:tmpl w:val="DB4A3D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nsid w:val="57F04C2C"/>
    <w:multiLevelType w:val="hybridMultilevel"/>
    <w:tmpl w:val="CF9C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64BA9"/>
    <w:multiLevelType w:val="hybridMultilevel"/>
    <w:tmpl w:val="CA7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D0688"/>
    <w:multiLevelType w:val="hybridMultilevel"/>
    <w:tmpl w:val="431C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00F00"/>
    <w:multiLevelType w:val="hybridMultilevel"/>
    <w:tmpl w:val="3AF2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63857"/>
    <w:multiLevelType w:val="hybridMultilevel"/>
    <w:tmpl w:val="21E8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742E3"/>
    <w:multiLevelType w:val="hybridMultilevel"/>
    <w:tmpl w:val="6DE8BDA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nsid w:val="6A8B1786"/>
    <w:multiLevelType w:val="hybridMultilevel"/>
    <w:tmpl w:val="5548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E3B74"/>
    <w:multiLevelType w:val="hybridMultilevel"/>
    <w:tmpl w:val="4EB4CC66"/>
    <w:lvl w:ilvl="0" w:tplc="633459B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76C6F"/>
    <w:multiLevelType w:val="hybridMultilevel"/>
    <w:tmpl w:val="68A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724BD"/>
    <w:multiLevelType w:val="hybridMultilevel"/>
    <w:tmpl w:val="211C83A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5">
    <w:nsid w:val="7A4049BA"/>
    <w:multiLevelType w:val="hybridMultilevel"/>
    <w:tmpl w:val="F8F0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2"/>
  </w:num>
  <w:num w:numId="4">
    <w:abstractNumId w:val="9"/>
  </w:num>
  <w:num w:numId="5">
    <w:abstractNumId w:val="2"/>
  </w:num>
  <w:num w:numId="6">
    <w:abstractNumId w:val="0"/>
  </w:num>
  <w:num w:numId="7">
    <w:abstractNumId w:val="1"/>
  </w:num>
  <w:num w:numId="8">
    <w:abstractNumId w:val="10"/>
  </w:num>
  <w:num w:numId="9">
    <w:abstractNumId w:val="6"/>
  </w:num>
  <w:num w:numId="10">
    <w:abstractNumId w:val="5"/>
  </w:num>
  <w:num w:numId="11">
    <w:abstractNumId w:val="11"/>
  </w:num>
  <w:num w:numId="12">
    <w:abstractNumId w:val="19"/>
  </w:num>
  <w:num w:numId="13">
    <w:abstractNumId w:val="24"/>
  </w:num>
  <w:num w:numId="14">
    <w:abstractNumId w:val="25"/>
  </w:num>
  <w:num w:numId="15">
    <w:abstractNumId w:val="14"/>
  </w:num>
  <w:num w:numId="16">
    <w:abstractNumId w:val="7"/>
  </w:num>
  <w:num w:numId="17">
    <w:abstractNumId w:val="17"/>
  </w:num>
  <w:num w:numId="18">
    <w:abstractNumId w:val="18"/>
  </w:num>
  <w:num w:numId="19">
    <w:abstractNumId w:val="13"/>
  </w:num>
  <w:num w:numId="20">
    <w:abstractNumId w:val="20"/>
  </w:num>
  <w:num w:numId="21">
    <w:abstractNumId w:val="21"/>
  </w:num>
  <w:num w:numId="22">
    <w:abstractNumId w:val="8"/>
  </w:num>
  <w:num w:numId="23">
    <w:abstractNumId w:val="23"/>
  </w:num>
  <w:num w:numId="24">
    <w:abstractNumId w:val="16"/>
  </w:num>
  <w:num w:numId="25">
    <w:abstractNumId w:val="15"/>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e Patterson">
    <w15:presenceInfo w15:providerId="None" w15:userId="Dane Patt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0C"/>
    <w:rsid w:val="00016A08"/>
    <w:rsid w:val="0004151E"/>
    <w:rsid w:val="00043641"/>
    <w:rsid w:val="00043663"/>
    <w:rsid w:val="00063D13"/>
    <w:rsid w:val="00067B7E"/>
    <w:rsid w:val="0007220E"/>
    <w:rsid w:val="0008647B"/>
    <w:rsid w:val="000A2AAE"/>
    <w:rsid w:val="000B5658"/>
    <w:rsid w:val="000B718E"/>
    <w:rsid w:val="000C73C7"/>
    <w:rsid w:val="000D05CC"/>
    <w:rsid w:val="000F1707"/>
    <w:rsid w:val="000F657F"/>
    <w:rsid w:val="00105F6D"/>
    <w:rsid w:val="001123D3"/>
    <w:rsid w:val="001126F6"/>
    <w:rsid w:val="00114321"/>
    <w:rsid w:val="001209E3"/>
    <w:rsid w:val="00160875"/>
    <w:rsid w:val="00163A7E"/>
    <w:rsid w:val="00166FE3"/>
    <w:rsid w:val="00171774"/>
    <w:rsid w:val="00175420"/>
    <w:rsid w:val="00185D50"/>
    <w:rsid w:val="001972B8"/>
    <w:rsid w:val="001A33FE"/>
    <w:rsid w:val="001B7F84"/>
    <w:rsid w:val="001E568F"/>
    <w:rsid w:val="001F65D3"/>
    <w:rsid w:val="002022E8"/>
    <w:rsid w:val="00203B12"/>
    <w:rsid w:val="00212F5D"/>
    <w:rsid w:val="00250A38"/>
    <w:rsid w:val="0025674C"/>
    <w:rsid w:val="0025790A"/>
    <w:rsid w:val="00262AE5"/>
    <w:rsid w:val="00295480"/>
    <w:rsid w:val="002A4285"/>
    <w:rsid w:val="002B08C0"/>
    <w:rsid w:val="002B68C5"/>
    <w:rsid w:val="002C5B57"/>
    <w:rsid w:val="002D30A3"/>
    <w:rsid w:val="002E0E00"/>
    <w:rsid w:val="002F6270"/>
    <w:rsid w:val="002F73FF"/>
    <w:rsid w:val="003014F3"/>
    <w:rsid w:val="00315E20"/>
    <w:rsid w:val="003166A3"/>
    <w:rsid w:val="00320D32"/>
    <w:rsid w:val="00326730"/>
    <w:rsid w:val="00335CC3"/>
    <w:rsid w:val="00346812"/>
    <w:rsid w:val="00351E10"/>
    <w:rsid w:val="0035425D"/>
    <w:rsid w:val="00356BC9"/>
    <w:rsid w:val="003701A5"/>
    <w:rsid w:val="00383306"/>
    <w:rsid w:val="00395AE5"/>
    <w:rsid w:val="003B5020"/>
    <w:rsid w:val="003C7F5C"/>
    <w:rsid w:val="003D7341"/>
    <w:rsid w:val="003D7A28"/>
    <w:rsid w:val="003E6D25"/>
    <w:rsid w:val="004164C9"/>
    <w:rsid w:val="00420C5F"/>
    <w:rsid w:val="00426C6D"/>
    <w:rsid w:val="00432646"/>
    <w:rsid w:val="0043615D"/>
    <w:rsid w:val="004470AA"/>
    <w:rsid w:val="00450AD3"/>
    <w:rsid w:val="00464934"/>
    <w:rsid w:val="00465CA1"/>
    <w:rsid w:val="00465E51"/>
    <w:rsid w:val="00477647"/>
    <w:rsid w:val="0049184B"/>
    <w:rsid w:val="00493A5B"/>
    <w:rsid w:val="004A0127"/>
    <w:rsid w:val="004A48EC"/>
    <w:rsid w:val="004B26B2"/>
    <w:rsid w:val="004D43A4"/>
    <w:rsid w:val="004E2F70"/>
    <w:rsid w:val="004F1D7D"/>
    <w:rsid w:val="0051527A"/>
    <w:rsid w:val="005164C1"/>
    <w:rsid w:val="005231F8"/>
    <w:rsid w:val="00536FFB"/>
    <w:rsid w:val="005443DB"/>
    <w:rsid w:val="005529D8"/>
    <w:rsid w:val="00552CC5"/>
    <w:rsid w:val="00554F19"/>
    <w:rsid w:val="005661AE"/>
    <w:rsid w:val="005760DF"/>
    <w:rsid w:val="00580D78"/>
    <w:rsid w:val="0058128E"/>
    <w:rsid w:val="005823CD"/>
    <w:rsid w:val="00597A18"/>
    <w:rsid w:val="005A0272"/>
    <w:rsid w:val="005A10B3"/>
    <w:rsid w:val="005C414D"/>
    <w:rsid w:val="005D0574"/>
    <w:rsid w:val="005D118D"/>
    <w:rsid w:val="005E048A"/>
    <w:rsid w:val="005E1A62"/>
    <w:rsid w:val="005E27F3"/>
    <w:rsid w:val="00601517"/>
    <w:rsid w:val="00607FBD"/>
    <w:rsid w:val="00624FF9"/>
    <w:rsid w:val="00627825"/>
    <w:rsid w:val="00634D44"/>
    <w:rsid w:val="006420B6"/>
    <w:rsid w:val="00656538"/>
    <w:rsid w:val="00663713"/>
    <w:rsid w:val="006774C9"/>
    <w:rsid w:val="00686D9E"/>
    <w:rsid w:val="00697B1E"/>
    <w:rsid w:val="006A024A"/>
    <w:rsid w:val="006A6FF1"/>
    <w:rsid w:val="006A7776"/>
    <w:rsid w:val="006B0924"/>
    <w:rsid w:val="006B4F85"/>
    <w:rsid w:val="006C40F1"/>
    <w:rsid w:val="006D6FAD"/>
    <w:rsid w:val="006F4AA1"/>
    <w:rsid w:val="007147DB"/>
    <w:rsid w:val="00725A9F"/>
    <w:rsid w:val="0074608F"/>
    <w:rsid w:val="00754DE8"/>
    <w:rsid w:val="0076090E"/>
    <w:rsid w:val="007733F6"/>
    <w:rsid w:val="00780B1D"/>
    <w:rsid w:val="007833CD"/>
    <w:rsid w:val="00784C3B"/>
    <w:rsid w:val="007E3772"/>
    <w:rsid w:val="007E49B7"/>
    <w:rsid w:val="007F04F3"/>
    <w:rsid w:val="0080016E"/>
    <w:rsid w:val="0081662B"/>
    <w:rsid w:val="008267FD"/>
    <w:rsid w:val="00830751"/>
    <w:rsid w:val="00840855"/>
    <w:rsid w:val="00855153"/>
    <w:rsid w:val="008709B1"/>
    <w:rsid w:val="008815E6"/>
    <w:rsid w:val="00890EA3"/>
    <w:rsid w:val="008A0703"/>
    <w:rsid w:val="008A2165"/>
    <w:rsid w:val="008A4564"/>
    <w:rsid w:val="008A55F2"/>
    <w:rsid w:val="008B019D"/>
    <w:rsid w:val="008B2A97"/>
    <w:rsid w:val="008D0A30"/>
    <w:rsid w:val="008D1823"/>
    <w:rsid w:val="008D6630"/>
    <w:rsid w:val="00910141"/>
    <w:rsid w:val="0091550B"/>
    <w:rsid w:val="00930A8D"/>
    <w:rsid w:val="009409DB"/>
    <w:rsid w:val="00951095"/>
    <w:rsid w:val="009644A0"/>
    <w:rsid w:val="00966770"/>
    <w:rsid w:val="00982A56"/>
    <w:rsid w:val="00994CF7"/>
    <w:rsid w:val="00996764"/>
    <w:rsid w:val="009B6233"/>
    <w:rsid w:val="009B7107"/>
    <w:rsid w:val="009C4283"/>
    <w:rsid w:val="009D4C9C"/>
    <w:rsid w:val="009E075D"/>
    <w:rsid w:val="009E1DB1"/>
    <w:rsid w:val="009E6FF8"/>
    <w:rsid w:val="009F4E28"/>
    <w:rsid w:val="009F606F"/>
    <w:rsid w:val="00A15A26"/>
    <w:rsid w:val="00A2165B"/>
    <w:rsid w:val="00A26F29"/>
    <w:rsid w:val="00A27C9B"/>
    <w:rsid w:val="00A32CA2"/>
    <w:rsid w:val="00A3670A"/>
    <w:rsid w:val="00A64FA7"/>
    <w:rsid w:val="00A700A8"/>
    <w:rsid w:val="00A73428"/>
    <w:rsid w:val="00A750DA"/>
    <w:rsid w:val="00A90E45"/>
    <w:rsid w:val="00A92548"/>
    <w:rsid w:val="00AA1FC4"/>
    <w:rsid w:val="00AB6966"/>
    <w:rsid w:val="00AC6DA4"/>
    <w:rsid w:val="00AD5528"/>
    <w:rsid w:val="00AE374B"/>
    <w:rsid w:val="00AE643C"/>
    <w:rsid w:val="00AF00B4"/>
    <w:rsid w:val="00B0559D"/>
    <w:rsid w:val="00B158E0"/>
    <w:rsid w:val="00B170B0"/>
    <w:rsid w:val="00B321B6"/>
    <w:rsid w:val="00B55DDB"/>
    <w:rsid w:val="00B56C46"/>
    <w:rsid w:val="00B65492"/>
    <w:rsid w:val="00B671DA"/>
    <w:rsid w:val="00B73058"/>
    <w:rsid w:val="00B74468"/>
    <w:rsid w:val="00BA2382"/>
    <w:rsid w:val="00BC15C5"/>
    <w:rsid w:val="00BC2BD3"/>
    <w:rsid w:val="00BD6772"/>
    <w:rsid w:val="00BF0243"/>
    <w:rsid w:val="00C11710"/>
    <w:rsid w:val="00C328F5"/>
    <w:rsid w:val="00C33C68"/>
    <w:rsid w:val="00C42ABE"/>
    <w:rsid w:val="00C531E0"/>
    <w:rsid w:val="00C53225"/>
    <w:rsid w:val="00C5666F"/>
    <w:rsid w:val="00C57CDD"/>
    <w:rsid w:val="00C81D63"/>
    <w:rsid w:val="00C846DD"/>
    <w:rsid w:val="00C84C7F"/>
    <w:rsid w:val="00C86836"/>
    <w:rsid w:val="00C86C37"/>
    <w:rsid w:val="00C96814"/>
    <w:rsid w:val="00CA3D0C"/>
    <w:rsid w:val="00CB28AB"/>
    <w:rsid w:val="00CB4277"/>
    <w:rsid w:val="00CD17C1"/>
    <w:rsid w:val="00CF32B3"/>
    <w:rsid w:val="00D0265A"/>
    <w:rsid w:val="00D238A6"/>
    <w:rsid w:val="00D27420"/>
    <w:rsid w:val="00D40430"/>
    <w:rsid w:val="00D40E29"/>
    <w:rsid w:val="00D43A86"/>
    <w:rsid w:val="00D452BD"/>
    <w:rsid w:val="00D5270B"/>
    <w:rsid w:val="00D63EDA"/>
    <w:rsid w:val="00D910F0"/>
    <w:rsid w:val="00DA470C"/>
    <w:rsid w:val="00DB298B"/>
    <w:rsid w:val="00DC3FA3"/>
    <w:rsid w:val="00DC6080"/>
    <w:rsid w:val="00DD760C"/>
    <w:rsid w:val="00DD76DF"/>
    <w:rsid w:val="00DE341B"/>
    <w:rsid w:val="00E05F3B"/>
    <w:rsid w:val="00E37AA0"/>
    <w:rsid w:val="00E4667A"/>
    <w:rsid w:val="00E47AAA"/>
    <w:rsid w:val="00E52C85"/>
    <w:rsid w:val="00EB12DF"/>
    <w:rsid w:val="00F02AAA"/>
    <w:rsid w:val="00F11E92"/>
    <w:rsid w:val="00F14B53"/>
    <w:rsid w:val="00F273A1"/>
    <w:rsid w:val="00F35855"/>
    <w:rsid w:val="00F3648D"/>
    <w:rsid w:val="00F4490C"/>
    <w:rsid w:val="00F507D2"/>
    <w:rsid w:val="00F519E5"/>
    <w:rsid w:val="00F61AC1"/>
    <w:rsid w:val="00F8767D"/>
    <w:rsid w:val="00FB0716"/>
    <w:rsid w:val="00FC2C2D"/>
    <w:rsid w:val="00FC5B62"/>
    <w:rsid w:val="00FD22F1"/>
    <w:rsid w:val="00FD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4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54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65C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60C"/>
    <w:pPr>
      <w:ind w:left="720"/>
      <w:contextualSpacing/>
    </w:pPr>
  </w:style>
  <w:style w:type="character" w:customStyle="1" w:styleId="Heading1Char">
    <w:name w:val="Heading 1 Char"/>
    <w:basedOn w:val="DefaultParagraphFont"/>
    <w:link w:val="Heading1"/>
    <w:uiPriority w:val="9"/>
    <w:rsid w:val="0025790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D27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420"/>
    <w:rPr>
      <w:sz w:val="20"/>
      <w:szCs w:val="20"/>
    </w:rPr>
  </w:style>
  <w:style w:type="character" w:styleId="FootnoteReference">
    <w:name w:val="footnote reference"/>
    <w:basedOn w:val="DefaultParagraphFont"/>
    <w:uiPriority w:val="99"/>
    <w:semiHidden/>
    <w:unhideWhenUsed/>
    <w:rsid w:val="00D27420"/>
    <w:rPr>
      <w:vertAlign w:val="superscript"/>
    </w:rPr>
  </w:style>
  <w:style w:type="character" w:customStyle="1" w:styleId="Heading2Char">
    <w:name w:val="Heading 2 Char"/>
    <w:basedOn w:val="DefaultParagraphFont"/>
    <w:link w:val="Heading2"/>
    <w:uiPriority w:val="9"/>
    <w:rsid w:val="005C414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A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709B"/>
    <w:rPr>
      <w:sz w:val="16"/>
      <w:szCs w:val="16"/>
    </w:rPr>
  </w:style>
  <w:style w:type="paragraph" w:styleId="CommentText">
    <w:name w:val="annotation text"/>
    <w:basedOn w:val="Normal"/>
    <w:link w:val="CommentTextChar"/>
    <w:uiPriority w:val="99"/>
    <w:semiHidden/>
    <w:unhideWhenUsed/>
    <w:rsid w:val="00FD709B"/>
    <w:pPr>
      <w:spacing w:line="240" w:lineRule="auto"/>
    </w:pPr>
    <w:rPr>
      <w:sz w:val="20"/>
      <w:szCs w:val="20"/>
    </w:rPr>
  </w:style>
  <w:style w:type="character" w:customStyle="1" w:styleId="CommentTextChar">
    <w:name w:val="Comment Text Char"/>
    <w:basedOn w:val="DefaultParagraphFont"/>
    <w:link w:val="CommentText"/>
    <w:uiPriority w:val="99"/>
    <w:semiHidden/>
    <w:rsid w:val="00FD709B"/>
    <w:rPr>
      <w:sz w:val="20"/>
      <w:szCs w:val="20"/>
    </w:rPr>
  </w:style>
  <w:style w:type="paragraph" w:styleId="CommentSubject">
    <w:name w:val="annotation subject"/>
    <w:basedOn w:val="CommentText"/>
    <w:next w:val="CommentText"/>
    <w:link w:val="CommentSubjectChar"/>
    <w:uiPriority w:val="99"/>
    <w:semiHidden/>
    <w:unhideWhenUsed/>
    <w:rsid w:val="00FD709B"/>
    <w:rPr>
      <w:b/>
      <w:bCs/>
    </w:rPr>
  </w:style>
  <w:style w:type="character" w:customStyle="1" w:styleId="CommentSubjectChar">
    <w:name w:val="Comment Subject Char"/>
    <w:basedOn w:val="CommentTextChar"/>
    <w:link w:val="CommentSubject"/>
    <w:uiPriority w:val="99"/>
    <w:semiHidden/>
    <w:rsid w:val="00FD709B"/>
    <w:rPr>
      <w:b/>
      <w:bCs/>
      <w:sz w:val="20"/>
      <w:szCs w:val="20"/>
    </w:rPr>
  </w:style>
  <w:style w:type="paragraph" w:styleId="Revision">
    <w:name w:val="Revision"/>
    <w:hidden/>
    <w:uiPriority w:val="99"/>
    <w:semiHidden/>
    <w:rsid w:val="00FD709B"/>
    <w:pPr>
      <w:spacing w:after="0" w:line="240" w:lineRule="auto"/>
    </w:pPr>
  </w:style>
  <w:style w:type="character" w:customStyle="1" w:styleId="Heading3Char">
    <w:name w:val="Heading 3 Char"/>
    <w:basedOn w:val="DefaultParagraphFont"/>
    <w:link w:val="Heading3"/>
    <w:uiPriority w:val="9"/>
    <w:rsid w:val="00175420"/>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465CA1"/>
    <w:rPr>
      <w:smallCaps/>
      <w:color w:val="5A5A5A" w:themeColor="text1" w:themeTint="A5"/>
    </w:rPr>
  </w:style>
  <w:style w:type="character" w:customStyle="1" w:styleId="Heading4Char">
    <w:name w:val="Heading 4 Char"/>
    <w:basedOn w:val="DefaultParagraphFont"/>
    <w:link w:val="Heading4"/>
    <w:uiPriority w:val="9"/>
    <w:rsid w:val="00465CA1"/>
    <w:rPr>
      <w:rFonts w:asciiTheme="majorHAnsi" w:eastAsiaTheme="majorEastAsia" w:hAnsiTheme="majorHAnsi" w:cstheme="majorBidi"/>
      <w:i/>
      <w:iCs/>
      <w:color w:val="365F91" w:themeColor="accent1" w:themeShade="BF"/>
    </w:rPr>
  </w:style>
  <w:style w:type="character" w:customStyle="1" w:styleId="coglossaryterm">
    <w:name w:val="co_glossaryterm"/>
    <w:basedOn w:val="DefaultParagraphFont"/>
    <w:rsid w:val="00EB12DF"/>
  </w:style>
  <w:style w:type="character" w:styleId="Hyperlink">
    <w:name w:val="Hyperlink"/>
    <w:basedOn w:val="DefaultParagraphFont"/>
    <w:uiPriority w:val="99"/>
    <w:unhideWhenUsed/>
    <w:rsid w:val="00EB12DF"/>
    <w:rPr>
      <w:color w:val="0000FF"/>
      <w:u w:val="single"/>
    </w:rPr>
  </w:style>
  <w:style w:type="paragraph" w:customStyle="1" w:styleId="Default">
    <w:name w:val="Default"/>
    <w:rsid w:val="00432646"/>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D0265A"/>
    <w:pPr>
      <w:spacing w:line="259" w:lineRule="auto"/>
      <w:outlineLvl w:val="9"/>
    </w:pPr>
  </w:style>
  <w:style w:type="paragraph" w:styleId="TOC1">
    <w:name w:val="toc 1"/>
    <w:basedOn w:val="Normal"/>
    <w:next w:val="Normal"/>
    <w:autoRedefine/>
    <w:uiPriority w:val="39"/>
    <w:unhideWhenUsed/>
    <w:rsid w:val="00D0265A"/>
    <w:pPr>
      <w:spacing w:after="100"/>
    </w:pPr>
  </w:style>
  <w:style w:type="paragraph" w:styleId="TOC3">
    <w:name w:val="toc 3"/>
    <w:basedOn w:val="Normal"/>
    <w:next w:val="Normal"/>
    <w:autoRedefine/>
    <w:uiPriority w:val="39"/>
    <w:unhideWhenUsed/>
    <w:rsid w:val="00D0265A"/>
    <w:pPr>
      <w:spacing w:after="100"/>
      <w:ind w:left="440"/>
    </w:pPr>
  </w:style>
  <w:style w:type="paragraph" w:styleId="TOC2">
    <w:name w:val="toc 2"/>
    <w:basedOn w:val="Normal"/>
    <w:next w:val="Normal"/>
    <w:autoRedefine/>
    <w:uiPriority w:val="39"/>
    <w:unhideWhenUsed/>
    <w:rsid w:val="00D0265A"/>
    <w:pPr>
      <w:spacing w:after="100"/>
      <w:ind w:left="220"/>
    </w:pPr>
  </w:style>
  <w:style w:type="paragraph" w:styleId="BalloonText">
    <w:name w:val="Balloon Text"/>
    <w:basedOn w:val="Normal"/>
    <w:link w:val="BalloonTextChar"/>
    <w:uiPriority w:val="99"/>
    <w:semiHidden/>
    <w:unhideWhenUsed/>
    <w:rsid w:val="00AB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4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54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65C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60C"/>
    <w:pPr>
      <w:ind w:left="720"/>
      <w:contextualSpacing/>
    </w:pPr>
  </w:style>
  <w:style w:type="character" w:customStyle="1" w:styleId="Heading1Char">
    <w:name w:val="Heading 1 Char"/>
    <w:basedOn w:val="DefaultParagraphFont"/>
    <w:link w:val="Heading1"/>
    <w:uiPriority w:val="9"/>
    <w:rsid w:val="0025790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D27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420"/>
    <w:rPr>
      <w:sz w:val="20"/>
      <w:szCs w:val="20"/>
    </w:rPr>
  </w:style>
  <w:style w:type="character" w:styleId="FootnoteReference">
    <w:name w:val="footnote reference"/>
    <w:basedOn w:val="DefaultParagraphFont"/>
    <w:uiPriority w:val="99"/>
    <w:semiHidden/>
    <w:unhideWhenUsed/>
    <w:rsid w:val="00D27420"/>
    <w:rPr>
      <w:vertAlign w:val="superscript"/>
    </w:rPr>
  </w:style>
  <w:style w:type="character" w:customStyle="1" w:styleId="Heading2Char">
    <w:name w:val="Heading 2 Char"/>
    <w:basedOn w:val="DefaultParagraphFont"/>
    <w:link w:val="Heading2"/>
    <w:uiPriority w:val="9"/>
    <w:rsid w:val="005C414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A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709B"/>
    <w:rPr>
      <w:sz w:val="16"/>
      <w:szCs w:val="16"/>
    </w:rPr>
  </w:style>
  <w:style w:type="paragraph" w:styleId="CommentText">
    <w:name w:val="annotation text"/>
    <w:basedOn w:val="Normal"/>
    <w:link w:val="CommentTextChar"/>
    <w:uiPriority w:val="99"/>
    <w:semiHidden/>
    <w:unhideWhenUsed/>
    <w:rsid w:val="00FD709B"/>
    <w:pPr>
      <w:spacing w:line="240" w:lineRule="auto"/>
    </w:pPr>
    <w:rPr>
      <w:sz w:val="20"/>
      <w:szCs w:val="20"/>
    </w:rPr>
  </w:style>
  <w:style w:type="character" w:customStyle="1" w:styleId="CommentTextChar">
    <w:name w:val="Comment Text Char"/>
    <w:basedOn w:val="DefaultParagraphFont"/>
    <w:link w:val="CommentText"/>
    <w:uiPriority w:val="99"/>
    <w:semiHidden/>
    <w:rsid w:val="00FD709B"/>
    <w:rPr>
      <w:sz w:val="20"/>
      <w:szCs w:val="20"/>
    </w:rPr>
  </w:style>
  <w:style w:type="paragraph" w:styleId="CommentSubject">
    <w:name w:val="annotation subject"/>
    <w:basedOn w:val="CommentText"/>
    <w:next w:val="CommentText"/>
    <w:link w:val="CommentSubjectChar"/>
    <w:uiPriority w:val="99"/>
    <w:semiHidden/>
    <w:unhideWhenUsed/>
    <w:rsid w:val="00FD709B"/>
    <w:rPr>
      <w:b/>
      <w:bCs/>
    </w:rPr>
  </w:style>
  <w:style w:type="character" w:customStyle="1" w:styleId="CommentSubjectChar">
    <w:name w:val="Comment Subject Char"/>
    <w:basedOn w:val="CommentTextChar"/>
    <w:link w:val="CommentSubject"/>
    <w:uiPriority w:val="99"/>
    <w:semiHidden/>
    <w:rsid w:val="00FD709B"/>
    <w:rPr>
      <w:b/>
      <w:bCs/>
      <w:sz w:val="20"/>
      <w:szCs w:val="20"/>
    </w:rPr>
  </w:style>
  <w:style w:type="paragraph" w:styleId="Revision">
    <w:name w:val="Revision"/>
    <w:hidden/>
    <w:uiPriority w:val="99"/>
    <w:semiHidden/>
    <w:rsid w:val="00FD709B"/>
    <w:pPr>
      <w:spacing w:after="0" w:line="240" w:lineRule="auto"/>
    </w:pPr>
  </w:style>
  <w:style w:type="character" w:customStyle="1" w:styleId="Heading3Char">
    <w:name w:val="Heading 3 Char"/>
    <w:basedOn w:val="DefaultParagraphFont"/>
    <w:link w:val="Heading3"/>
    <w:uiPriority w:val="9"/>
    <w:rsid w:val="00175420"/>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465CA1"/>
    <w:rPr>
      <w:smallCaps/>
      <w:color w:val="5A5A5A" w:themeColor="text1" w:themeTint="A5"/>
    </w:rPr>
  </w:style>
  <w:style w:type="character" w:customStyle="1" w:styleId="Heading4Char">
    <w:name w:val="Heading 4 Char"/>
    <w:basedOn w:val="DefaultParagraphFont"/>
    <w:link w:val="Heading4"/>
    <w:uiPriority w:val="9"/>
    <w:rsid w:val="00465CA1"/>
    <w:rPr>
      <w:rFonts w:asciiTheme="majorHAnsi" w:eastAsiaTheme="majorEastAsia" w:hAnsiTheme="majorHAnsi" w:cstheme="majorBidi"/>
      <w:i/>
      <w:iCs/>
      <w:color w:val="365F91" w:themeColor="accent1" w:themeShade="BF"/>
    </w:rPr>
  </w:style>
  <w:style w:type="character" w:customStyle="1" w:styleId="coglossaryterm">
    <w:name w:val="co_glossaryterm"/>
    <w:basedOn w:val="DefaultParagraphFont"/>
    <w:rsid w:val="00EB12DF"/>
  </w:style>
  <w:style w:type="character" w:styleId="Hyperlink">
    <w:name w:val="Hyperlink"/>
    <w:basedOn w:val="DefaultParagraphFont"/>
    <w:uiPriority w:val="99"/>
    <w:unhideWhenUsed/>
    <w:rsid w:val="00EB12DF"/>
    <w:rPr>
      <w:color w:val="0000FF"/>
      <w:u w:val="single"/>
    </w:rPr>
  </w:style>
  <w:style w:type="paragraph" w:customStyle="1" w:styleId="Default">
    <w:name w:val="Default"/>
    <w:rsid w:val="00432646"/>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D0265A"/>
    <w:pPr>
      <w:spacing w:line="259" w:lineRule="auto"/>
      <w:outlineLvl w:val="9"/>
    </w:pPr>
  </w:style>
  <w:style w:type="paragraph" w:styleId="TOC1">
    <w:name w:val="toc 1"/>
    <w:basedOn w:val="Normal"/>
    <w:next w:val="Normal"/>
    <w:autoRedefine/>
    <w:uiPriority w:val="39"/>
    <w:unhideWhenUsed/>
    <w:rsid w:val="00D0265A"/>
    <w:pPr>
      <w:spacing w:after="100"/>
    </w:pPr>
  </w:style>
  <w:style w:type="paragraph" w:styleId="TOC3">
    <w:name w:val="toc 3"/>
    <w:basedOn w:val="Normal"/>
    <w:next w:val="Normal"/>
    <w:autoRedefine/>
    <w:uiPriority w:val="39"/>
    <w:unhideWhenUsed/>
    <w:rsid w:val="00D0265A"/>
    <w:pPr>
      <w:spacing w:after="100"/>
      <w:ind w:left="440"/>
    </w:pPr>
  </w:style>
  <w:style w:type="paragraph" w:styleId="TOC2">
    <w:name w:val="toc 2"/>
    <w:basedOn w:val="Normal"/>
    <w:next w:val="Normal"/>
    <w:autoRedefine/>
    <w:uiPriority w:val="39"/>
    <w:unhideWhenUsed/>
    <w:rsid w:val="00D0265A"/>
    <w:pPr>
      <w:spacing w:after="100"/>
      <w:ind w:left="220"/>
    </w:pPr>
  </w:style>
  <w:style w:type="paragraph" w:styleId="BalloonText">
    <w:name w:val="Balloon Text"/>
    <w:basedOn w:val="Normal"/>
    <w:link w:val="BalloonTextChar"/>
    <w:uiPriority w:val="99"/>
    <w:semiHidden/>
    <w:unhideWhenUsed/>
    <w:rsid w:val="00AB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pwc.co.uk/services/business-restructuring/insights/retail-restructuring-cva-alone-not-the-answer.html" TargetMode="External"/><Relationship Id="rId4" Type="http://schemas.microsoft.com/office/2007/relationships/stylesWithEffects" Target="stylesWithEffects.xml"/><Relationship Id="rId9" Type="http://schemas.openxmlformats.org/officeDocument/2006/relationships/hyperlink" Target="https://www.ic.gc.ca/eic/site/cilp-pdci.nsf/eng/cl00882.html"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gc.ca/eic/site/cilp-pdci.nsf/eng/cl00882.html" TargetMode="External"/><Relationship Id="rId1" Type="http://schemas.openxmlformats.org/officeDocument/2006/relationships/hyperlink" Target="https://www.pwc.co.uk/services/business-restructuring/insights/retail-restructuring-cva-alone-not-the-ans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A84E-33DA-4881-8D51-5CC29D63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Patterson</dc:creator>
  <cp:lastModifiedBy>Dane</cp:lastModifiedBy>
  <cp:revision>2</cp:revision>
  <cp:lastPrinted>2022-02-03T21:19:00Z</cp:lastPrinted>
  <dcterms:created xsi:type="dcterms:W3CDTF">2022-02-07T17:24:00Z</dcterms:created>
  <dcterms:modified xsi:type="dcterms:W3CDTF">2022-02-07T17:24:00Z</dcterms:modified>
</cp:coreProperties>
</file>