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459B" w14:textId="551B2692" w:rsidR="00BA3FFC" w:rsidRPr="00411CEC" w:rsidRDefault="00BA3FFC" w:rsidP="00BA3FFC">
      <w:pPr>
        <w:spacing w:afterLines="50" w:after="156" w:line="360" w:lineRule="auto"/>
        <w:jc w:val="center"/>
        <w:rPr>
          <w:rFonts w:ascii="Times New Roman" w:eastAsia="宋体" w:hAnsi="Times New Roman" w:cs="Times New Roman"/>
          <w:b/>
          <w:bCs/>
          <w:sz w:val="30"/>
          <w:szCs w:val="30"/>
        </w:rPr>
      </w:pPr>
      <w:r w:rsidRPr="00411CEC">
        <w:rPr>
          <w:rFonts w:ascii="Times New Roman" w:eastAsia="宋体" w:hAnsi="Times New Roman" w:cs="Times New Roman"/>
          <w:b/>
          <w:bCs/>
          <w:sz w:val="30"/>
          <w:szCs w:val="30"/>
        </w:rPr>
        <w:t>S</w:t>
      </w:r>
      <w:r w:rsidRPr="005071F6">
        <w:rPr>
          <w:rFonts w:ascii="Times New Roman" w:eastAsia="宋体" w:hAnsi="Times New Roman" w:cs="Times New Roman"/>
          <w:b/>
          <w:bCs/>
          <w:sz w:val="30"/>
          <w:szCs w:val="30"/>
        </w:rPr>
        <w:t xml:space="preserve">ubstantive </w:t>
      </w:r>
      <w:r w:rsidRPr="00411CEC">
        <w:rPr>
          <w:rFonts w:ascii="Times New Roman" w:eastAsia="宋体" w:hAnsi="Times New Roman" w:cs="Times New Roman"/>
          <w:b/>
          <w:bCs/>
          <w:sz w:val="30"/>
          <w:szCs w:val="30"/>
        </w:rPr>
        <w:t>C</w:t>
      </w:r>
      <w:r w:rsidRPr="005071F6">
        <w:rPr>
          <w:rFonts w:ascii="Times New Roman" w:eastAsia="宋体" w:hAnsi="Times New Roman" w:cs="Times New Roman"/>
          <w:b/>
          <w:bCs/>
          <w:sz w:val="30"/>
          <w:szCs w:val="30"/>
        </w:rPr>
        <w:t>onsolidation</w:t>
      </w:r>
      <w:r w:rsidRPr="00411CEC">
        <w:rPr>
          <w:rFonts w:ascii="Times New Roman" w:eastAsia="宋体" w:hAnsi="Times New Roman" w:cs="Times New Roman"/>
          <w:b/>
          <w:bCs/>
          <w:sz w:val="30"/>
          <w:szCs w:val="30"/>
        </w:rPr>
        <w:t xml:space="preserve"> of Corporate Group</w:t>
      </w:r>
    </w:p>
    <w:p w14:paraId="2580A33E" w14:textId="0DA39206" w:rsidR="005071F6" w:rsidRPr="005071F6" w:rsidRDefault="00BA3FFC" w:rsidP="00BA3FFC">
      <w:pPr>
        <w:spacing w:afterLines="50" w:after="156" w:line="360" w:lineRule="auto"/>
        <w:jc w:val="center"/>
        <w:rPr>
          <w:rFonts w:ascii="Times New Roman" w:eastAsia="宋体" w:hAnsi="Times New Roman" w:cs="Times New Roman"/>
          <w:sz w:val="30"/>
          <w:szCs w:val="30"/>
        </w:rPr>
      </w:pPr>
      <w:r w:rsidRPr="00411CEC">
        <w:rPr>
          <w:rFonts w:ascii="Times New Roman" w:eastAsia="宋体" w:hAnsi="Times New Roman" w:cs="Times New Roman"/>
          <w:b/>
          <w:bCs/>
          <w:sz w:val="30"/>
          <w:szCs w:val="30"/>
        </w:rPr>
        <w:t>in Cross-border Insolvency</w:t>
      </w:r>
    </w:p>
    <w:p w14:paraId="017CDFDE" w14:textId="6D3D2B52" w:rsidR="007268C1" w:rsidRPr="00411CEC" w:rsidRDefault="007268C1" w:rsidP="00CD574B">
      <w:pPr>
        <w:spacing w:line="360" w:lineRule="auto"/>
        <w:rPr>
          <w:rFonts w:ascii="Times New Roman" w:eastAsia="宋体" w:hAnsi="Times New Roman" w:cs="Times New Roman"/>
          <w:b/>
          <w:bCs/>
          <w:sz w:val="22"/>
        </w:rPr>
      </w:pPr>
      <w:r w:rsidRPr="00411CEC">
        <w:rPr>
          <w:rFonts w:ascii="Times New Roman" w:eastAsia="宋体" w:hAnsi="Times New Roman" w:cs="Times New Roman"/>
          <w:b/>
          <w:bCs/>
          <w:sz w:val="22"/>
        </w:rPr>
        <w:t>Table of Contents</w:t>
      </w:r>
    </w:p>
    <w:p w14:paraId="19A63DF9" w14:textId="5FF7F2EE" w:rsidR="00C50188" w:rsidRPr="00411CEC" w:rsidRDefault="00C50188" w:rsidP="009C7050">
      <w:pPr>
        <w:rPr>
          <w:rFonts w:ascii="Times New Roman" w:eastAsia="宋体" w:hAnsi="Times New Roman" w:cs="Times New Roman"/>
          <w:sz w:val="22"/>
        </w:rPr>
      </w:pPr>
      <w:r w:rsidRPr="00411CEC">
        <w:rPr>
          <w:rFonts w:ascii="Times New Roman" w:eastAsia="宋体" w:hAnsi="Times New Roman" w:cs="Times New Roman"/>
          <w:sz w:val="22"/>
        </w:rPr>
        <w:t xml:space="preserve">1. </w:t>
      </w:r>
      <w:r w:rsidRPr="00411CEC">
        <w:rPr>
          <w:rFonts w:ascii="Times New Roman" w:eastAsia="宋体" w:hAnsi="Times New Roman" w:cs="Times New Roman"/>
          <w:sz w:val="22"/>
        </w:rPr>
        <w:t>Introduction</w:t>
      </w:r>
    </w:p>
    <w:p w14:paraId="7E5BCC46" w14:textId="21A40DDE" w:rsidR="00C50188" w:rsidRPr="00411CEC" w:rsidRDefault="00C50188" w:rsidP="009C7050">
      <w:pPr>
        <w:rPr>
          <w:rFonts w:ascii="Times New Roman" w:eastAsia="宋体" w:hAnsi="Times New Roman" w:cs="Times New Roman"/>
          <w:sz w:val="22"/>
        </w:rPr>
      </w:pPr>
      <w:r w:rsidRPr="00411CEC">
        <w:rPr>
          <w:rFonts w:ascii="Times New Roman" w:eastAsia="宋体" w:hAnsi="Times New Roman" w:cs="Times New Roman"/>
          <w:sz w:val="22"/>
        </w:rPr>
        <w:t>2. Where the Question Arises</w:t>
      </w:r>
    </w:p>
    <w:p w14:paraId="2DB4C7AE" w14:textId="03A493FE" w:rsidR="00C50188" w:rsidRPr="00411CEC" w:rsidRDefault="00C50188" w:rsidP="009C7050">
      <w:pPr>
        <w:rPr>
          <w:rFonts w:ascii="Times New Roman" w:eastAsia="宋体" w:hAnsi="Times New Roman" w:cs="Times New Roman"/>
          <w:sz w:val="22"/>
        </w:rPr>
      </w:pPr>
      <w:r w:rsidRPr="00411CEC">
        <w:rPr>
          <w:rFonts w:ascii="Times New Roman" w:eastAsia="宋体" w:hAnsi="Times New Roman" w:cs="Times New Roman"/>
          <w:sz w:val="22"/>
        </w:rPr>
        <w:t>3. Conceptualization of Corporate Groups</w:t>
      </w:r>
    </w:p>
    <w:p w14:paraId="5BCE3803" w14:textId="74CA1055" w:rsidR="00C50188" w:rsidRPr="00411CEC" w:rsidRDefault="00C50188" w:rsidP="009C7050">
      <w:pPr>
        <w:rPr>
          <w:rFonts w:ascii="Times New Roman" w:eastAsia="宋体" w:hAnsi="Times New Roman" w:cs="Times New Roman"/>
          <w:sz w:val="22"/>
        </w:rPr>
      </w:pPr>
      <w:r w:rsidRPr="00411CEC">
        <w:rPr>
          <w:rFonts w:ascii="Times New Roman" w:eastAsia="宋体" w:hAnsi="Times New Roman" w:cs="Times New Roman"/>
          <w:sz w:val="22"/>
        </w:rPr>
        <w:t>4. Problems of Cross-border Substantive Consolidation</w:t>
      </w:r>
    </w:p>
    <w:p w14:paraId="06E17E8D" w14:textId="7E7B70CE" w:rsidR="00C50188" w:rsidRPr="00411CEC" w:rsidRDefault="00C50188" w:rsidP="009C7050">
      <w:pPr>
        <w:ind w:firstLineChars="100" w:firstLine="220"/>
        <w:rPr>
          <w:rFonts w:ascii="Times New Roman" w:eastAsia="宋体" w:hAnsi="Times New Roman" w:cs="Times New Roman"/>
          <w:sz w:val="22"/>
        </w:rPr>
      </w:pPr>
      <w:r w:rsidRPr="00411CEC">
        <w:rPr>
          <w:rFonts w:ascii="Times New Roman" w:eastAsia="宋体" w:hAnsi="Times New Roman" w:cs="Times New Roman"/>
          <w:sz w:val="22"/>
        </w:rPr>
        <w:t>4.1 Problem One: COMI of Corporate Group</w:t>
      </w:r>
    </w:p>
    <w:p w14:paraId="60A38FC9" w14:textId="115EA5DB" w:rsidR="00C50188" w:rsidRPr="00411CEC" w:rsidRDefault="00C50188" w:rsidP="009C7050">
      <w:pPr>
        <w:ind w:firstLineChars="100" w:firstLine="220"/>
        <w:rPr>
          <w:rFonts w:ascii="Times New Roman" w:eastAsia="宋体" w:hAnsi="Times New Roman" w:cs="Times New Roman"/>
          <w:sz w:val="22"/>
        </w:rPr>
      </w:pPr>
      <w:r w:rsidRPr="00411CEC">
        <w:rPr>
          <w:rFonts w:ascii="Times New Roman" w:eastAsia="宋体" w:hAnsi="Times New Roman" w:cs="Times New Roman"/>
          <w:sz w:val="22"/>
        </w:rPr>
        <w:t>4.2 Problem Two: Piercing Cross-border Corporate Veil</w:t>
      </w:r>
    </w:p>
    <w:p w14:paraId="5DF6E097" w14:textId="77777777" w:rsidR="009C7050" w:rsidRPr="00411CEC" w:rsidRDefault="009C7050" w:rsidP="009C7050">
      <w:pPr>
        <w:ind w:firstLineChars="100" w:firstLine="220"/>
        <w:rPr>
          <w:rFonts w:ascii="Times New Roman" w:eastAsia="宋体" w:hAnsi="Times New Roman" w:cs="Times New Roman"/>
          <w:sz w:val="22"/>
        </w:rPr>
      </w:pPr>
      <w:r w:rsidRPr="00411CEC">
        <w:rPr>
          <w:rFonts w:ascii="Times New Roman" w:eastAsia="宋体" w:hAnsi="Times New Roman" w:cs="Times New Roman"/>
          <w:sz w:val="22"/>
        </w:rPr>
        <w:t xml:space="preserve">4.3 Problem Three: Substantive Consolidation of </w:t>
      </w:r>
      <w:proofErr w:type="spellStart"/>
      <w:r w:rsidRPr="00411CEC">
        <w:rPr>
          <w:rFonts w:ascii="Times New Roman" w:eastAsia="宋体" w:hAnsi="Times New Roman" w:cs="Times New Roman"/>
          <w:sz w:val="22"/>
        </w:rPr>
        <w:t>Nondebtor</w:t>
      </w:r>
      <w:proofErr w:type="spellEnd"/>
      <w:r w:rsidRPr="00411CEC">
        <w:rPr>
          <w:rFonts w:ascii="Times New Roman" w:eastAsia="宋体" w:hAnsi="Times New Roman" w:cs="Times New Roman"/>
          <w:sz w:val="22"/>
        </w:rPr>
        <w:t xml:space="preserve"> Entities</w:t>
      </w:r>
    </w:p>
    <w:p w14:paraId="25C03444" w14:textId="592A6730" w:rsidR="00C50188" w:rsidRPr="00411CEC" w:rsidRDefault="00C50188" w:rsidP="009C7050">
      <w:pPr>
        <w:ind w:firstLineChars="100" w:firstLine="220"/>
        <w:rPr>
          <w:rFonts w:ascii="Times New Roman" w:eastAsia="宋体" w:hAnsi="Times New Roman" w:cs="Times New Roman"/>
          <w:sz w:val="22"/>
        </w:rPr>
      </w:pPr>
      <w:r w:rsidRPr="00411CEC">
        <w:rPr>
          <w:rFonts w:ascii="Times New Roman" w:eastAsia="宋体" w:hAnsi="Times New Roman" w:cs="Times New Roman"/>
          <w:sz w:val="22"/>
        </w:rPr>
        <w:t>4.4 Problem Four: Practical Difficulty in Cross-border Enforcement</w:t>
      </w:r>
    </w:p>
    <w:p w14:paraId="4130BE31" w14:textId="0B962215" w:rsidR="00C50188" w:rsidRPr="00C50188" w:rsidRDefault="00C50188" w:rsidP="009C7050">
      <w:pPr>
        <w:rPr>
          <w:rFonts w:ascii="Times New Roman" w:eastAsia="宋体" w:hAnsi="Times New Roman" w:cs="Times New Roman"/>
          <w:sz w:val="22"/>
        </w:rPr>
      </w:pPr>
      <w:r w:rsidRPr="00C50188">
        <w:rPr>
          <w:rFonts w:ascii="Times New Roman" w:eastAsia="宋体" w:hAnsi="Times New Roman" w:cs="Times New Roman"/>
          <w:sz w:val="22"/>
        </w:rPr>
        <w:t>5. Conclusion</w:t>
      </w:r>
    </w:p>
    <w:p w14:paraId="5EB3E11F" w14:textId="77777777" w:rsidR="007268C1" w:rsidRPr="00411CEC" w:rsidRDefault="007268C1" w:rsidP="000B42E8">
      <w:pPr>
        <w:spacing w:afterLines="50" w:after="156" w:line="360" w:lineRule="auto"/>
        <w:rPr>
          <w:rFonts w:ascii="Times New Roman" w:eastAsia="宋体" w:hAnsi="Times New Roman" w:cs="Times New Roman"/>
          <w:b/>
          <w:bCs/>
          <w:sz w:val="22"/>
        </w:rPr>
      </w:pPr>
    </w:p>
    <w:p w14:paraId="2DD28AFD" w14:textId="3D629DB8" w:rsidR="007B225E" w:rsidRPr="00411CEC" w:rsidRDefault="007268C1" w:rsidP="007268C1">
      <w:pPr>
        <w:spacing w:afterLines="50" w:after="156" w:line="360" w:lineRule="auto"/>
        <w:rPr>
          <w:rFonts w:ascii="Times New Roman" w:eastAsia="宋体" w:hAnsi="Times New Roman" w:cs="Times New Roman"/>
          <w:b/>
          <w:bCs/>
          <w:sz w:val="22"/>
        </w:rPr>
      </w:pPr>
      <w:r w:rsidRPr="00411CEC">
        <w:rPr>
          <w:rFonts w:ascii="Times New Roman" w:eastAsia="宋体" w:hAnsi="Times New Roman" w:cs="Times New Roman"/>
          <w:b/>
          <w:bCs/>
          <w:sz w:val="22"/>
        </w:rPr>
        <w:t xml:space="preserve">1. </w:t>
      </w:r>
      <w:r w:rsidR="007B225E" w:rsidRPr="00411CEC">
        <w:rPr>
          <w:rFonts w:ascii="Times New Roman" w:eastAsia="宋体" w:hAnsi="Times New Roman" w:cs="Times New Roman"/>
          <w:b/>
          <w:bCs/>
          <w:sz w:val="22"/>
        </w:rPr>
        <w:t>Introduction</w:t>
      </w:r>
    </w:p>
    <w:p w14:paraId="373491E2" w14:textId="4561C223" w:rsidR="004525FB" w:rsidRPr="00411CEC" w:rsidRDefault="004525FB"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A corporate group is a number of companies consisting of parent and subsidiary companies. Neither the EIR nor chapter 15 define a corporate group or stipulate an insolvency process for a corporate groups’ multiple entities across multiple jurisdictions.</w:t>
      </w:r>
    </w:p>
    <w:p w14:paraId="526186CA" w14:textId="24E06C6D" w:rsidR="008A06BA" w:rsidRPr="00411CEC" w:rsidRDefault="008A06BA"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Systemic failure can lead to corporate group failure. Three key features that distinguish the corporate group insolvency from a standard individual insolvency are: (1) each entity in the group has its own legal status, shareholders, creditors, and assets; (2) </w:t>
      </w:r>
      <w:r w:rsidR="00544E48" w:rsidRPr="00411CEC">
        <w:rPr>
          <w:rFonts w:ascii="Times New Roman" w:eastAsia="宋体" w:hAnsi="Times New Roman" w:cs="Times New Roman"/>
          <w:sz w:val="22"/>
        </w:rPr>
        <w:t>each entity may have a unique COMI and (3) coordination between the entities is difficult.</w:t>
      </w:r>
      <w:r w:rsidR="00544E48" w:rsidRPr="00411CEC">
        <w:rPr>
          <w:rStyle w:val="a7"/>
          <w:rFonts w:ascii="Times New Roman" w:eastAsia="宋体" w:hAnsi="Times New Roman" w:cs="Times New Roman"/>
          <w:sz w:val="22"/>
        </w:rPr>
        <w:footnoteReference w:id="1"/>
      </w:r>
    </w:p>
    <w:p w14:paraId="67424222" w14:textId="7BA1CBBF" w:rsidR="000B42E8" w:rsidRPr="00411CEC" w:rsidRDefault="006C3C7E"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T</w:t>
      </w:r>
      <w:r w:rsidRPr="00411CEC">
        <w:rPr>
          <w:rFonts w:ascii="Times New Roman" w:eastAsia="宋体" w:hAnsi="Times New Roman" w:cs="Times New Roman"/>
          <w:sz w:val="22"/>
        </w:rPr>
        <w:t xml:space="preserve">here </w:t>
      </w:r>
      <w:proofErr w:type="gramStart"/>
      <w:r w:rsidRPr="00411CEC">
        <w:rPr>
          <w:rFonts w:ascii="Times New Roman" w:eastAsia="宋体" w:hAnsi="Times New Roman" w:cs="Times New Roman"/>
          <w:sz w:val="22"/>
        </w:rPr>
        <w:t>are</w:t>
      </w:r>
      <w:proofErr w:type="gramEnd"/>
      <w:r w:rsidRPr="00411CEC">
        <w:rPr>
          <w:rFonts w:ascii="Times New Roman" w:eastAsia="宋体" w:hAnsi="Times New Roman" w:cs="Times New Roman"/>
          <w:sz w:val="22"/>
        </w:rPr>
        <w:t xml:space="preserve"> essential two major</w:t>
      </w:r>
      <w:r w:rsidRPr="00411CEC">
        <w:rPr>
          <w:rFonts w:ascii="Times New Roman" w:eastAsia="宋体" w:hAnsi="Times New Roman" w:cs="Times New Roman"/>
          <w:sz w:val="22"/>
        </w:rPr>
        <w:t xml:space="preserve"> approaches to achieve insolvency resolution or liquidation in the whole corporate groups consisting of multiple entities across multiple jurisdictions—procedural consolidation and substantial consolidation.</w:t>
      </w:r>
      <w:r w:rsidR="000B42E8" w:rsidRPr="00411CEC">
        <w:rPr>
          <w:rFonts w:ascii="Times New Roman" w:eastAsia="宋体" w:hAnsi="Times New Roman" w:cs="Times New Roman"/>
          <w:sz w:val="22"/>
        </w:rPr>
        <w:t xml:space="preserve"> Procedural consolidation is where the proceedings of insolvency of different entities are coordinated in different jurisdictions where insolvency proceedings fall into main proceeding and secondary proceeding.</w:t>
      </w:r>
      <w:r w:rsidR="005575E8" w:rsidRPr="00411CEC">
        <w:rPr>
          <w:rFonts w:ascii="Times New Roman" w:eastAsia="宋体" w:hAnsi="Times New Roman" w:cs="Times New Roman"/>
          <w:sz w:val="22"/>
        </w:rPr>
        <w:t xml:space="preserve"> Procedural consolidation allows a corporate group to have a common court filing, a single set of notices, a common administrator, and joint proceedings; however, the individual legal entities can retain </w:t>
      </w:r>
      <w:r w:rsidR="005575E8" w:rsidRPr="00411CEC">
        <w:rPr>
          <w:rFonts w:ascii="Times New Roman" w:eastAsia="宋体" w:hAnsi="Times New Roman" w:cs="Times New Roman"/>
          <w:sz w:val="22"/>
        </w:rPr>
        <w:lastRenderedPageBreak/>
        <w:t>their separate insolvency estates and create different reorganization plans.</w:t>
      </w:r>
      <w:r w:rsidR="001C2819" w:rsidRPr="00411CEC">
        <w:rPr>
          <w:rStyle w:val="a7"/>
          <w:rFonts w:ascii="Times New Roman" w:eastAsia="宋体" w:hAnsi="Times New Roman" w:cs="Times New Roman"/>
          <w:sz w:val="22"/>
        </w:rPr>
        <w:footnoteReference w:id="2"/>
      </w:r>
    </w:p>
    <w:p w14:paraId="7AE061D6" w14:textId="1D373B0F" w:rsidR="006C3C7E" w:rsidRPr="00411CEC" w:rsidRDefault="000B42E8"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While procedural consolidation has successfully been applied in several major insolvencies of cross-border entities, </w:t>
      </w:r>
      <w:r w:rsidR="00BD4D21" w:rsidRPr="00411CEC">
        <w:rPr>
          <w:rFonts w:ascii="Times New Roman" w:eastAsia="宋体" w:hAnsi="Times New Roman" w:cs="Times New Roman"/>
          <w:sz w:val="22"/>
        </w:rPr>
        <w:t>substantive consolidation</w:t>
      </w:r>
      <w:r w:rsidR="00972505" w:rsidRPr="00411CEC">
        <w:rPr>
          <w:rFonts w:ascii="Times New Roman" w:eastAsia="宋体" w:hAnsi="Times New Roman" w:cs="Times New Roman"/>
          <w:sz w:val="22"/>
        </w:rPr>
        <w:t xml:space="preserve">, which aims to shatter the legal barriers between the entities and treat them as one, </w:t>
      </w:r>
      <w:r w:rsidR="00BD4D21" w:rsidRPr="00411CEC">
        <w:rPr>
          <w:rFonts w:ascii="Times New Roman" w:eastAsia="宋体" w:hAnsi="Times New Roman" w:cs="Times New Roman"/>
          <w:sz w:val="22"/>
        </w:rPr>
        <w:t xml:space="preserve">is rarely used. In essential, </w:t>
      </w:r>
      <w:r w:rsidR="006D05A1" w:rsidRPr="00411CEC">
        <w:rPr>
          <w:rFonts w:ascii="Times New Roman" w:eastAsia="宋体" w:hAnsi="Times New Roman" w:cs="Times New Roman"/>
          <w:sz w:val="22"/>
        </w:rPr>
        <w:t>substantive consolidation</w:t>
      </w:r>
      <w:r w:rsidR="00BD4D21" w:rsidRPr="00411CEC">
        <w:rPr>
          <w:rFonts w:ascii="Times New Roman" w:eastAsia="宋体" w:hAnsi="Times New Roman" w:cs="Times New Roman"/>
          <w:sz w:val="22"/>
        </w:rPr>
        <w:t xml:space="preserve"> disregards the separation of entities and pools the assets and liabilities of different legally independent entities into a common </w:t>
      </w:r>
      <w:r w:rsidR="006D05A1" w:rsidRPr="00411CEC">
        <w:rPr>
          <w:rFonts w:ascii="Times New Roman" w:eastAsia="宋体" w:hAnsi="Times New Roman" w:cs="Times New Roman"/>
          <w:sz w:val="22"/>
        </w:rPr>
        <w:t>p</w:t>
      </w:r>
      <w:r w:rsidR="00BD4D21" w:rsidRPr="00411CEC">
        <w:rPr>
          <w:rFonts w:ascii="Times New Roman" w:eastAsia="宋体" w:hAnsi="Times New Roman" w:cs="Times New Roman"/>
          <w:sz w:val="22"/>
        </w:rPr>
        <w:t>o</w:t>
      </w:r>
      <w:r w:rsidR="006D05A1" w:rsidRPr="00411CEC">
        <w:rPr>
          <w:rFonts w:ascii="Times New Roman" w:eastAsia="宋体" w:hAnsi="Times New Roman" w:cs="Times New Roman"/>
          <w:sz w:val="22"/>
        </w:rPr>
        <w:t>ol</w:t>
      </w:r>
      <w:r w:rsidR="00BD4D21" w:rsidRPr="00411CEC">
        <w:rPr>
          <w:rFonts w:ascii="Times New Roman" w:eastAsia="宋体" w:hAnsi="Times New Roman" w:cs="Times New Roman"/>
          <w:sz w:val="22"/>
        </w:rPr>
        <w:t xml:space="preserve"> and handled by a unified authority</w:t>
      </w:r>
      <w:r w:rsidR="009B415C" w:rsidRPr="00411CEC">
        <w:rPr>
          <w:rFonts w:ascii="Times New Roman" w:eastAsia="宋体" w:hAnsi="Times New Roman" w:cs="Times New Roman"/>
          <w:sz w:val="22"/>
        </w:rPr>
        <w:t xml:space="preserve">. </w:t>
      </w:r>
      <w:r w:rsidR="006D05A1" w:rsidRPr="00411CEC">
        <w:rPr>
          <w:rFonts w:ascii="Times New Roman" w:eastAsia="宋体" w:hAnsi="Times New Roman" w:cs="Times New Roman"/>
          <w:sz w:val="22"/>
        </w:rPr>
        <w:t xml:space="preserve">By combining all the assets and liabilities of multiple debtors, substantive consolidation fundamentally alters the value of creditor’s claims. </w:t>
      </w:r>
      <w:r w:rsidR="009B415C" w:rsidRPr="00411CEC">
        <w:rPr>
          <w:rFonts w:ascii="Times New Roman" w:eastAsia="宋体" w:hAnsi="Times New Roman" w:cs="Times New Roman"/>
          <w:sz w:val="22"/>
        </w:rPr>
        <w:t xml:space="preserve">Among other things, it is suggested that substantive consolidation will </w:t>
      </w:r>
      <w:proofErr w:type="gramStart"/>
      <w:r w:rsidR="009B415C" w:rsidRPr="00411CEC">
        <w:rPr>
          <w:rFonts w:ascii="Times New Roman" w:eastAsia="宋体" w:hAnsi="Times New Roman" w:cs="Times New Roman"/>
          <w:sz w:val="22"/>
        </w:rPr>
        <w:t>eliminated</w:t>
      </w:r>
      <w:proofErr w:type="gramEnd"/>
      <w:r w:rsidR="009B415C" w:rsidRPr="00411CEC">
        <w:rPr>
          <w:rFonts w:ascii="Times New Roman" w:eastAsia="宋体" w:hAnsi="Times New Roman" w:cs="Times New Roman"/>
          <w:sz w:val="22"/>
        </w:rPr>
        <w:t xml:space="preserve"> duplicate claims for the same indebtedness, intercompany claims and cross-corporate guarantees. </w:t>
      </w:r>
      <w:r w:rsidR="00A93966" w:rsidRPr="00411CEC">
        <w:rPr>
          <w:rStyle w:val="a7"/>
          <w:rFonts w:ascii="Times New Roman" w:eastAsia="宋体" w:hAnsi="Times New Roman" w:cs="Times New Roman"/>
          <w:sz w:val="22"/>
        </w:rPr>
        <w:footnoteReference w:id="3"/>
      </w:r>
      <w:r w:rsidR="00BD4D21" w:rsidRPr="00411CEC">
        <w:rPr>
          <w:rFonts w:ascii="Times New Roman" w:eastAsia="宋体" w:hAnsi="Times New Roman" w:cs="Times New Roman"/>
          <w:sz w:val="22"/>
        </w:rPr>
        <w:t xml:space="preserve"> </w:t>
      </w:r>
      <w:r w:rsidR="00852856" w:rsidRPr="00411CEC">
        <w:rPr>
          <w:rFonts w:ascii="Times New Roman" w:eastAsia="宋体" w:hAnsi="Times New Roman" w:cs="Times New Roman"/>
          <w:sz w:val="22"/>
        </w:rPr>
        <w:t xml:space="preserve">The </w:t>
      </w:r>
      <w:proofErr w:type="spellStart"/>
      <w:r w:rsidR="00852856" w:rsidRPr="00411CEC">
        <w:rPr>
          <w:rFonts w:ascii="Times New Roman" w:eastAsia="宋体" w:hAnsi="Times New Roman" w:cs="Times New Roman"/>
          <w:sz w:val="22"/>
        </w:rPr>
        <w:t>benefts</w:t>
      </w:r>
      <w:proofErr w:type="spellEnd"/>
      <w:r w:rsidR="00852856" w:rsidRPr="00411CEC">
        <w:rPr>
          <w:rFonts w:ascii="Times New Roman" w:eastAsia="宋体" w:hAnsi="Times New Roman" w:cs="Times New Roman"/>
          <w:sz w:val="22"/>
        </w:rPr>
        <w:t xml:space="preserve"> of substantive consolidation exist mainly in two types of cases. A typical scenario in the f</w:t>
      </w:r>
      <w:r w:rsidR="00852856" w:rsidRPr="00411CEC">
        <w:rPr>
          <w:rFonts w:ascii="Times New Roman" w:eastAsia="宋体" w:hAnsi="Times New Roman" w:cs="Times New Roman"/>
          <w:sz w:val="22"/>
        </w:rPr>
        <w:t>ir</w:t>
      </w:r>
      <w:r w:rsidR="00852856" w:rsidRPr="00411CEC">
        <w:rPr>
          <w:rFonts w:ascii="Times New Roman" w:eastAsia="宋体" w:hAnsi="Times New Roman" w:cs="Times New Roman"/>
          <w:sz w:val="22"/>
        </w:rPr>
        <w:t>st group is that the debtor group is functioning as one entity, and it is in line with creditors’ expectations at the time of making lending decisions to treat a group of companies as one entity; such practice will provide a quick solution to the given cases. Another type of cases is that the assets and liabilities of the debtor group are messily entangled together and very costly to untie; therefore, it is in the interest of creditors to treat the group as one entity.</w:t>
      </w:r>
      <w:r w:rsidR="00852856" w:rsidRPr="00411CEC">
        <w:rPr>
          <w:rStyle w:val="a7"/>
          <w:rFonts w:ascii="Times New Roman" w:eastAsia="宋体" w:hAnsi="Times New Roman" w:cs="Times New Roman"/>
          <w:sz w:val="22"/>
        </w:rPr>
        <w:footnoteReference w:id="4"/>
      </w:r>
    </w:p>
    <w:p w14:paraId="3C516DF9" w14:textId="2E212800" w:rsidR="006C3C7E" w:rsidRPr="00411CEC" w:rsidRDefault="00AF2A63"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There is a split of authority as to whether substantive consolidation is appropriate contrasted with entity-focused in insolvency. </w:t>
      </w:r>
      <w:r w:rsidR="00BD4D21" w:rsidRPr="00411CEC">
        <w:rPr>
          <w:rFonts w:ascii="Times New Roman" w:eastAsia="宋体" w:hAnsi="Times New Roman" w:cs="Times New Roman"/>
          <w:sz w:val="22"/>
        </w:rPr>
        <w:t xml:space="preserve">This article argues that substantive consolidation, even if not </w:t>
      </w:r>
      <w:r w:rsidR="00CB1674" w:rsidRPr="00411CEC">
        <w:rPr>
          <w:rFonts w:ascii="Times New Roman" w:eastAsia="宋体" w:hAnsi="Times New Roman" w:cs="Times New Roman"/>
          <w:sz w:val="22"/>
        </w:rPr>
        <w:t>improper</w:t>
      </w:r>
      <w:r w:rsidR="00BD4D21" w:rsidRPr="00411CEC">
        <w:rPr>
          <w:rFonts w:ascii="Times New Roman" w:eastAsia="宋体" w:hAnsi="Times New Roman" w:cs="Times New Roman"/>
          <w:sz w:val="22"/>
        </w:rPr>
        <w:t xml:space="preserve">, is not better than entity-focused insolvency </w:t>
      </w:r>
      <w:r w:rsidR="00D64F1F" w:rsidRPr="00411CEC">
        <w:rPr>
          <w:rFonts w:ascii="Times New Roman" w:eastAsia="宋体" w:hAnsi="Times New Roman" w:cs="Times New Roman"/>
          <w:sz w:val="22"/>
        </w:rPr>
        <w:t xml:space="preserve">in respect of insolvencies involving cross-border </w:t>
      </w:r>
      <w:r w:rsidR="003945B6" w:rsidRPr="00411CEC">
        <w:rPr>
          <w:rFonts w:ascii="Times New Roman" w:eastAsia="宋体" w:hAnsi="Times New Roman" w:cs="Times New Roman"/>
          <w:sz w:val="22"/>
        </w:rPr>
        <w:t>corporate groups.</w:t>
      </w:r>
      <w:r w:rsidR="00BD4D21" w:rsidRPr="00411CEC">
        <w:rPr>
          <w:rFonts w:ascii="Times New Roman" w:eastAsia="宋体" w:hAnsi="Times New Roman" w:cs="Times New Roman"/>
          <w:sz w:val="22"/>
        </w:rPr>
        <w:t xml:space="preserve"> </w:t>
      </w:r>
    </w:p>
    <w:p w14:paraId="62F6C4AD" w14:textId="656E1B75" w:rsidR="00902399" w:rsidRPr="00411CEC" w:rsidRDefault="007268C1" w:rsidP="000B42E8">
      <w:pPr>
        <w:spacing w:afterLines="50" w:after="156" w:line="360" w:lineRule="auto"/>
        <w:rPr>
          <w:rFonts w:ascii="Times New Roman" w:eastAsia="宋体" w:hAnsi="Times New Roman" w:cs="Times New Roman"/>
          <w:b/>
          <w:bCs/>
          <w:sz w:val="22"/>
        </w:rPr>
      </w:pPr>
      <w:r w:rsidRPr="00411CEC">
        <w:rPr>
          <w:rFonts w:ascii="Times New Roman" w:eastAsia="宋体" w:hAnsi="Times New Roman" w:cs="Times New Roman"/>
          <w:b/>
          <w:bCs/>
          <w:sz w:val="22"/>
        </w:rPr>
        <w:t xml:space="preserve">2. </w:t>
      </w:r>
      <w:r w:rsidR="007B225E" w:rsidRPr="00411CEC">
        <w:rPr>
          <w:rFonts w:ascii="Times New Roman" w:eastAsia="宋体" w:hAnsi="Times New Roman" w:cs="Times New Roman"/>
          <w:b/>
          <w:bCs/>
          <w:sz w:val="22"/>
        </w:rPr>
        <w:t xml:space="preserve">Where the </w:t>
      </w:r>
      <w:r w:rsidRPr="00411CEC">
        <w:rPr>
          <w:rFonts w:ascii="Times New Roman" w:eastAsia="宋体" w:hAnsi="Times New Roman" w:cs="Times New Roman"/>
          <w:b/>
          <w:bCs/>
          <w:sz w:val="22"/>
        </w:rPr>
        <w:t>Q</w:t>
      </w:r>
      <w:r w:rsidR="007B225E" w:rsidRPr="00411CEC">
        <w:rPr>
          <w:rFonts w:ascii="Times New Roman" w:eastAsia="宋体" w:hAnsi="Times New Roman" w:cs="Times New Roman"/>
          <w:b/>
          <w:bCs/>
          <w:sz w:val="22"/>
        </w:rPr>
        <w:t xml:space="preserve">uestion </w:t>
      </w:r>
      <w:r w:rsidRPr="00411CEC">
        <w:rPr>
          <w:rFonts w:ascii="Times New Roman" w:eastAsia="宋体" w:hAnsi="Times New Roman" w:cs="Times New Roman"/>
          <w:b/>
          <w:bCs/>
          <w:sz w:val="22"/>
        </w:rPr>
        <w:t>A</w:t>
      </w:r>
      <w:r w:rsidR="007B225E" w:rsidRPr="00411CEC">
        <w:rPr>
          <w:rFonts w:ascii="Times New Roman" w:eastAsia="宋体" w:hAnsi="Times New Roman" w:cs="Times New Roman"/>
          <w:b/>
          <w:bCs/>
          <w:sz w:val="22"/>
        </w:rPr>
        <w:t>rises</w:t>
      </w:r>
    </w:p>
    <w:p w14:paraId="3F9B8A9B" w14:textId="36D68DDB" w:rsidR="007B225E" w:rsidRPr="00411CEC" w:rsidRDefault="009740C0"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A successful corporate group insolvency is said to accomplish several key goals: (1) maximization of enterprise-wide value, (2) clarity and predictability in applying the law, (3) treating similarly situated creditors equally, (4) procedural fairness, (5) protection of </w:t>
      </w:r>
      <w:r w:rsidRPr="00411CEC">
        <w:rPr>
          <w:rFonts w:ascii="Times New Roman" w:eastAsia="宋体" w:hAnsi="Times New Roman" w:cs="Times New Roman"/>
          <w:sz w:val="22"/>
        </w:rPr>
        <w:lastRenderedPageBreak/>
        <w:t>employment, and (6) respecting the separate legal status of entities.</w:t>
      </w:r>
      <w:r w:rsidRPr="00411CEC">
        <w:rPr>
          <w:rStyle w:val="a7"/>
          <w:rFonts w:ascii="Times New Roman" w:eastAsia="宋体" w:hAnsi="Times New Roman" w:cs="Times New Roman"/>
          <w:sz w:val="22"/>
        </w:rPr>
        <w:footnoteReference w:id="5"/>
      </w:r>
    </w:p>
    <w:p w14:paraId="600CD1AA" w14:textId="2431D17A" w:rsidR="00655DDA" w:rsidRPr="00411CEC" w:rsidRDefault="00655DDA"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Some scholars have formulated ideal frameworks in light of these goals or values. The ideal way would be through a single, centralized insolvency proceeding which provides oversight to ensure that these goals are pursued effectively. </w:t>
      </w:r>
      <w:r w:rsidR="00E9405F" w:rsidRPr="00411CEC">
        <w:rPr>
          <w:rFonts w:ascii="Times New Roman" w:eastAsia="宋体" w:hAnsi="Times New Roman" w:cs="Times New Roman"/>
          <w:sz w:val="22"/>
        </w:rPr>
        <w:t xml:space="preserve">A single proceeding would minimize costs, expedite the proceedings, provide a single forum for comparison of relevant options, discourage individual </w:t>
      </w:r>
      <w:r w:rsidR="005575E8" w:rsidRPr="00411CEC">
        <w:rPr>
          <w:rFonts w:ascii="Times New Roman" w:eastAsia="宋体" w:hAnsi="Times New Roman" w:cs="Times New Roman"/>
          <w:sz w:val="22"/>
        </w:rPr>
        <w:t>parties</w:t>
      </w:r>
      <w:r w:rsidR="00E9405F" w:rsidRPr="00411CEC">
        <w:rPr>
          <w:rFonts w:ascii="Times New Roman" w:eastAsia="宋体" w:hAnsi="Times New Roman" w:cs="Times New Roman"/>
          <w:sz w:val="22"/>
        </w:rPr>
        <w:t>-in-interest from taking action beneficial to them but suboptimal for the entire corporate group, and ensure cooperation among all the parties.</w:t>
      </w:r>
      <w:r w:rsidR="00775208" w:rsidRPr="00411CEC">
        <w:rPr>
          <w:rStyle w:val="a7"/>
          <w:rFonts w:ascii="Times New Roman" w:eastAsia="宋体" w:hAnsi="Times New Roman" w:cs="Times New Roman"/>
          <w:sz w:val="22"/>
        </w:rPr>
        <w:footnoteReference w:id="6"/>
      </w:r>
      <w:r w:rsidR="00BB1B15" w:rsidRPr="00411CEC">
        <w:rPr>
          <w:rFonts w:ascii="Times New Roman" w:eastAsia="宋体" w:hAnsi="Times New Roman" w:cs="Times New Roman"/>
          <w:sz w:val="22"/>
        </w:rPr>
        <w:t xml:space="preserve"> I</w:t>
      </w:r>
      <w:r w:rsidR="00BB1B15" w:rsidRPr="00411CEC">
        <w:rPr>
          <w:rFonts w:ascii="Times New Roman" w:eastAsia="宋体" w:hAnsi="Times New Roman" w:cs="Times New Roman"/>
          <w:sz w:val="22"/>
        </w:rPr>
        <w:t>n practice, substantive consolidation is only applied in extreme cases, including situations where one subsidiary’s veil needs to be lifted or where assets of one corporate group are tightly intertwined which makes it costly to divide them into respective companies</w:t>
      </w:r>
    </w:p>
    <w:p w14:paraId="3EF4B988" w14:textId="34099E64" w:rsidR="0092551A" w:rsidRPr="00411CEC" w:rsidRDefault="00BB1B15"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J</w:t>
      </w:r>
      <w:r w:rsidR="0092551A" w:rsidRPr="00411CEC">
        <w:rPr>
          <w:rFonts w:ascii="Times New Roman" w:eastAsia="宋体" w:hAnsi="Times New Roman" w:cs="Times New Roman"/>
          <w:sz w:val="22"/>
        </w:rPr>
        <w:t>ust like the long lasting diametrically opposed approaches to cross-border insolvencies—universalism and territorialism, these two approaches ha</w:t>
      </w:r>
      <w:r w:rsidR="00972505" w:rsidRPr="00411CEC">
        <w:rPr>
          <w:rFonts w:ascii="Times New Roman" w:eastAsia="宋体" w:hAnsi="Times New Roman" w:cs="Times New Roman"/>
          <w:sz w:val="22"/>
        </w:rPr>
        <w:t>ve</w:t>
      </w:r>
      <w:r w:rsidR="0092551A" w:rsidRPr="00411CEC">
        <w:rPr>
          <w:rFonts w:ascii="Times New Roman" w:eastAsia="宋体" w:hAnsi="Times New Roman" w:cs="Times New Roman"/>
          <w:sz w:val="22"/>
        </w:rPr>
        <w:t xml:space="preserve"> their reflection in the field of cross-border groups insolvencies</w:t>
      </w:r>
      <w:r w:rsidR="00095EFC" w:rsidRPr="00411CEC">
        <w:rPr>
          <w:rFonts w:ascii="Times New Roman" w:eastAsia="宋体" w:hAnsi="Times New Roman" w:cs="Times New Roman"/>
          <w:sz w:val="22"/>
        </w:rPr>
        <w:t>: treating the entities of one corporate group as one entity or respecting the separate legal entities.</w:t>
      </w:r>
      <w:r w:rsidR="0092551A" w:rsidRPr="00411CEC">
        <w:rPr>
          <w:rFonts w:ascii="Times New Roman" w:eastAsia="宋体" w:hAnsi="Times New Roman" w:cs="Times New Roman"/>
          <w:sz w:val="22"/>
        </w:rPr>
        <w:t xml:space="preserve"> </w:t>
      </w:r>
    </w:p>
    <w:p w14:paraId="7626B37B" w14:textId="2683224C" w:rsidR="0092551A" w:rsidRPr="00411CEC" w:rsidRDefault="007268C1" w:rsidP="000B42E8">
      <w:pPr>
        <w:spacing w:afterLines="50" w:after="156" w:line="360" w:lineRule="auto"/>
        <w:rPr>
          <w:rFonts w:ascii="Times New Roman" w:eastAsia="宋体" w:hAnsi="Times New Roman" w:cs="Times New Roman"/>
          <w:b/>
          <w:bCs/>
          <w:sz w:val="22"/>
        </w:rPr>
      </w:pPr>
      <w:bookmarkStart w:id="2" w:name="_Hlk95167500"/>
      <w:r w:rsidRPr="00411CEC">
        <w:rPr>
          <w:rFonts w:ascii="Times New Roman" w:eastAsia="宋体" w:hAnsi="Times New Roman" w:cs="Times New Roman"/>
          <w:b/>
          <w:bCs/>
          <w:sz w:val="22"/>
        </w:rPr>
        <w:t xml:space="preserve">3. </w:t>
      </w:r>
      <w:r w:rsidR="00972505" w:rsidRPr="00411CEC">
        <w:rPr>
          <w:rFonts w:ascii="Times New Roman" w:eastAsia="宋体" w:hAnsi="Times New Roman" w:cs="Times New Roman"/>
          <w:b/>
          <w:bCs/>
          <w:sz w:val="22"/>
        </w:rPr>
        <w:t>Conceptualization of Corporate Groups</w:t>
      </w:r>
      <w:bookmarkEnd w:id="2"/>
    </w:p>
    <w:p w14:paraId="5174364F" w14:textId="30A83E62" w:rsidR="00972505" w:rsidRPr="00411CEC" w:rsidRDefault="00972505"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UNCITRAL explains that the term “enterprise group” covers various forms of economic or</w:t>
      </w:r>
      <w:r w:rsidR="00095EFC" w:rsidRPr="00411CEC">
        <w:rPr>
          <w:rFonts w:ascii="Times New Roman" w:eastAsia="宋体" w:hAnsi="Times New Roman" w:cs="Times New Roman"/>
          <w:sz w:val="22"/>
        </w:rPr>
        <w:t xml:space="preserve">ganizations that are treats a single entity but composed of two or more legal entities linked together by direct or indirect </w:t>
      </w:r>
      <w:r w:rsidR="00EF33F6" w:rsidRPr="00411CEC">
        <w:rPr>
          <w:rFonts w:ascii="Times New Roman" w:eastAsia="宋体" w:hAnsi="Times New Roman" w:cs="Times New Roman"/>
          <w:sz w:val="22"/>
        </w:rPr>
        <w:t>ownership</w:t>
      </w:r>
      <w:r w:rsidR="00095EFC" w:rsidRPr="00411CEC">
        <w:rPr>
          <w:rFonts w:ascii="Times New Roman" w:eastAsia="宋体" w:hAnsi="Times New Roman" w:cs="Times New Roman"/>
          <w:sz w:val="22"/>
        </w:rPr>
        <w:t>.</w:t>
      </w:r>
      <w:r w:rsidR="00095EFC" w:rsidRPr="00411CEC">
        <w:rPr>
          <w:rStyle w:val="a7"/>
          <w:rFonts w:ascii="Times New Roman" w:eastAsia="宋体" w:hAnsi="Times New Roman" w:cs="Times New Roman"/>
          <w:sz w:val="22"/>
        </w:rPr>
        <w:footnoteReference w:id="7"/>
      </w:r>
      <w:r w:rsidR="00EF33F6" w:rsidRPr="00411CEC">
        <w:rPr>
          <w:rFonts w:ascii="Times New Roman" w:eastAsia="宋体" w:hAnsi="Times New Roman" w:cs="Times New Roman"/>
          <w:sz w:val="22"/>
        </w:rPr>
        <w:t xml:space="preserve"> There are many different forms of enterprise groups or corporate groups. Structural flexibility benefits </w:t>
      </w:r>
      <w:r w:rsidR="007C61D4" w:rsidRPr="00411CEC">
        <w:rPr>
          <w:rFonts w:ascii="Times New Roman" w:eastAsia="宋体" w:hAnsi="Times New Roman" w:cs="Times New Roman"/>
          <w:sz w:val="22"/>
        </w:rPr>
        <w:t>the corporate group by allowing for the allocation of risk and reduction of cost of capital through the leverage effect.</w:t>
      </w:r>
    </w:p>
    <w:p w14:paraId="416DF4C4" w14:textId="56C0CD0E" w:rsidR="00F904BC" w:rsidRPr="00411CEC" w:rsidRDefault="00F904BC"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In the area of cross-border insolvency law, the newly released EU Regulation on insolvency proceedings recast (EIR recast) provides a </w:t>
      </w:r>
      <w:r w:rsidRPr="00411CEC">
        <w:rPr>
          <w:rFonts w:ascii="Times New Roman" w:eastAsia="宋体" w:hAnsi="Times New Roman" w:cs="Times New Roman"/>
          <w:sz w:val="22"/>
        </w:rPr>
        <w:t>definition</w:t>
      </w:r>
      <w:r w:rsidRPr="00411CEC">
        <w:rPr>
          <w:rFonts w:ascii="Times New Roman" w:eastAsia="宋体" w:hAnsi="Times New Roman" w:cs="Times New Roman"/>
          <w:sz w:val="22"/>
        </w:rPr>
        <w:t xml:space="preserve"> of groups of companies by using control as a benchmark. Its </w:t>
      </w:r>
      <w:r w:rsidRPr="00411CEC">
        <w:rPr>
          <w:rFonts w:ascii="Times New Roman" w:eastAsia="宋体" w:hAnsi="Times New Roman" w:cs="Times New Roman"/>
          <w:sz w:val="22"/>
        </w:rPr>
        <w:t>definition</w:t>
      </w:r>
      <w:r w:rsidRPr="00411CEC">
        <w:rPr>
          <w:rFonts w:ascii="Times New Roman" w:eastAsia="宋体" w:hAnsi="Times New Roman" w:cs="Times New Roman"/>
          <w:sz w:val="22"/>
        </w:rPr>
        <w:t xml:space="preserve"> is as follows: (13) ‘group of companies’ means a parent undertaking and all its subsidiary undertakings; (14) ‘parent undertaking’ means an undertaking which controls, either directly or indirectly, one or more subsidiary undertakings. An </w:t>
      </w:r>
      <w:r w:rsidRPr="00411CEC">
        <w:rPr>
          <w:rFonts w:ascii="Times New Roman" w:eastAsia="宋体" w:hAnsi="Times New Roman" w:cs="Times New Roman"/>
          <w:sz w:val="22"/>
        </w:rPr>
        <w:lastRenderedPageBreak/>
        <w:t xml:space="preserve">undertaking which prepares consolidated </w:t>
      </w:r>
      <w:r w:rsidRPr="00411CEC">
        <w:rPr>
          <w:rFonts w:ascii="Times New Roman" w:eastAsia="宋体" w:hAnsi="Times New Roman" w:cs="Times New Roman"/>
          <w:sz w:val="22"/>
        </w:rPr>
        <w:t>financial</w:t>
      </w:r>
      <w:r w:rsidRPr="00411CEC">
        <w:rPr>
          <w:rFonts w:ascii="Times New Roman" w:eastAsia="宋体" w:hAnsi="Times New Roman" w:cs="Times New Roman"/>
          <w:sz w:val="22"/>
        </w:rPr>
        <w:t xml:space="preserve"> statements in accordance with Directive 2013/34/EU of the European Parliament and of the Council (1) shall be deemed to be a parent undertaking</w:t>
      </w:r>
      <w:r w:rsidRPr="00411CEC">
        <w:rPr>
          <w:rFonts w:ascii="Times New Roman" w:eastAsia="宋体" w:hAnsi="Times New Roman" w:cs="Times New Roman"/>
          <w:sz w:val="22"/>
        </w:rPr>
        <w:t>.</w:t>
      </w:r>
      <w:r w:rsidRPr="00411CEC">
        <w:rPr>
          <w:rStyle w:val="a7"/>
          <w:rFonts w:ascii="Times New Roman" w:eastAsia="宋体" w:hAnsi="Times New Roman" w:cs="Times New Roman"/>
          <w:sz w:val="22"/>
        </w:rPr>
        <w:footnoteReference w:id="8"/>
      </w:r>
    </w:p>
    <w:p w14:paraId="337117EF" w14:textId="14AFFD20" w:rsidR="00723FA6" w:rsidRPr="00411CEC" w:rsidRDefault="007C61D4"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For the sense of insolvency, risk allocation and the structural flexibility can mitigate the likelihood of corporate group insolvency. </w:t>
      </w:r>
      <w:r w:rsidR="00B33A11" w:rsidRPr="00411CEC">
        <w:rPr>
          <w:rFonts w:ascii="Times New Roman" w:eastAsia="宋体" w:hAnsi="Times New Roman" w:cs="Times New Roman"/>
          <w:sz w:val="22"/>
        </w:rPr>
        <w:t xml:space="preserve">If all or part of the entities of the group are insolvent, opening of separate proceedings with independent administrator leads to the disintegration of business and ultimately a decrease in the returns to the creditors. </w:t>
      </w:r>
    </w:p>
    <w:p w14:paraId="7351629D" w14:textId="0FC77DC0" w:rsidR="00B33A11" w:rsidRPr="00411CEC" w:rsidRDefault="00723FA6"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However, there are problems which are impossible to overcome and unfair situations will arise if substantive consolidation is used to obtain fairness in favor of all creditors. </w:t>
      </w:r>
      <w:r w:rsidR="00243E19" w:rsidRPr="00411CEC">
        <w:rPr>
          <w:rFonts w:ascii="Times New Roman" w:eastAsia="宋体" w:hAnsi="Times New Roman" w:cs="Times New Roman"/>
          <w:sz w:val="22"/>
        </w:rPr>
        <w:t>Dismantling the pre-established legal separateness may not offer a</w:t>
      </w:r>
      <w:r w:rsidR="00F904BC" w:rsidRPr="00411CEC">
        <w:rPr>
          <w:rFonts w:ascii="Times New Roman" w:eastAsia="宋体" w:hAnsi="Times New Roman" w:cs="Times New Roman"/>
          <w:sz w:val="22"/>
        </w:rPr>
        <w:t>n</w:t>
      </w:r>
      <w:r w:rsidR="00243E19" w:rsidRPr="00411CEC">
        <w:rPr>
          <w:rFonts w:ascii="Times New Roman" w:eastAsia="宋体" w:hAnsi="Times New Roman" w:cs="Times New Roman"/>
          <w:sz w:val="22"/>
        </w:rPr>
        <w:t xml:space="preserve"> effective solution while bringing other problems.</w:t>
      </w:r>
    </w:p>
    <w:p w14:paraId="732FF4CE" w14:textId="58A933FB" w:rsidR="007268C1" w:rsidRPr="00411CEC" w:rsidRDefault="00C50188" w:rsidP="000B42E8">
      <w:pPr>
        <w:spacing w:afterLines="50" w:after="156" w:line="360" w:lineRule="auto"/>
        <w:rPr>
          <w:rFonts w:ascii="Times New Roman" w:eastAsia="宋体" w:hAnsi="Times New Roman" w:cs="Times New Roman"/>
          <w:b/>
          <w:bCs/>
          <w:sz w:val="22"/>
        </w:rPr>
      </w:pPr>
      <w:bookmarkStart w:id="3" w:name="_Hlk95167526"/>
      <w:r w:rsidRPr="00411CEC">
        <w:rPr>
          <w:rFonts w:ascii="Times New Roman" w:eastAsia="宋体" w:hAnsi="Times New Roman" w:cs="Times New Roman"/>
          <w:b/>
          <w:bCs/>
          <w:sz w:val="22"/>
        </w:rPr>
        <w:t xml:space="preserve">4. </w:t>
      </w:r>
      <w:r w:rsidR="007268C1" w:rsidRPr="00411CEC">
        <w:rPr>
          <w:rFonts w:ascii="Times New Roman" w:eastAsia="宋体" w:hAnsi="Times New Roman" w:cs="Times New Roman"/>
          <w:b/>
          <w:bCs/>
          <w:sz w:val="22"/>
        </w:rPr>
        <w:t xml:space="preserve">Problems of Cross-border </w:t>
      </w:r>
      <w:r w:rsidRPr="00411CEC">
        <w:rPr>
          <w:rFonts w:ascii="Times New Roman" w:eastAsia="宋体" w:hAnsi="Times New Roman" w:cs="Times New Roman"/>
          <w:b/>
          <w:bCs/>
          <w:sz w:val="22"/>
        </w:rPr>
        <w:t>Substantive Consolidation</w:t>
      </w:r>
      <w:bookmarkEnd w:id="3"/>
    </w:p>
    <w:p w14:paraId="1DC25FA8" w14:textId="5AED0F7A" w:rsidR="00B33A11" w:rsidRPr="00411CEC" w:rsidRDefault="00C50188" w:rsidP="000B42E8">
      <w:pPr>
        <w:spacing w:afterLines="50" w:after="156" w:line="360" w:lineRule="auto"/>
        <w:rPr>
          <w:rFonts w:ascii="Times New Roman" w:eastAsia="宋体" w:hAnsi="Times New Roman" w:cs="Times New Roman"/>
          <w:b/>
          <w:bCs/>
          <w:sz w:val="22"/>
        </w:rPr>
      </w:pPr>
      <w:bookmarkStart w:id="4" w:name="_Hlk95167549"/>
      <w:r w:rsidRPr="00411CEC">
        <w:rPr>
          <w:rFonts w:ascii="Times New Roman" w:eastAsia="宋体" w:hAnsi="Times New Roman" w:cs="Times New Roman"/>
          <w:b/>
          <w:bCs/>
          <w:sz w:val="22"/>
        </w:rPr>
        <w:t xml:space="preserve">4.1 </w:t>
      </w:r>
      <w:r w:rsidR="00723FA6" w:rsidRPr="00411CEC">
        <w:rPr>
          <w:rFonts w:ascii="Times New Roman" w:eastAsia="宋体" w:hAnsi="Times New Roman" w:cs="Times New Roman"/>
          <w:b/>
          <w:bCs/>
          <w:sz w:val="22"/>
        </w:rPr>
        <w:t>Problem One: COMI of Corporate Group</w:t>
      </w:r>
      <w:bookmarkEnd w:id="4"/>
    </w:p>
    <w:p w14:paraId="2C09F675" w14:textId="0F504AC8" w:rsidR="00723FA6" w:rsidRPr="00411CEC" w:rsidRDefault="002736E6"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At the first place, COMI, though well established in the world of cross-border insolvency, is a concept dependent of circumstances. The E.U. and the U.S. have different approaches to COMI. The E.U. focuses on formal registration, whereas the U.S. focuses on the head office test.</w:t>
      </w:r>
      <w:r w:rsidRPr="00411CEC">
        <w:rPr>
          <w:rStyle w:val="a7"/>
          <w:rFonts w:ascii="Times New Roman" w:eastAsia="宋体" w:hAnsi="Times New Roman" w:cs="Times New Roman"/>
          <w:sz w:val="22"/>
        </w:rPr>
        <w:footnoteReference w:id="9"/>
      </w:r>
    </w:p>
    <w:p w14:paraId="165196C0" w14:textId="2C52ACBB" w:rsidR="002736E6" w:rsidRPr="00411CEC" w:rsidRDefault="002736E6"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There is no concept such a corporate group COMI and each entities </w:t>
      </w:r>
      <w:r w:rsidR="001E6A8B" w:rsidRPr="00411CEC">
        <w:rPr>
          <w:rFonts w:ascii="Times New Roman" w:eastAsia="宋体" w:hAnsi="Times New Roman" w:cs="Times New Roman"/>
          <w:sz w:val="22"/>
        </w:rPr>
        <w:t xml:space="preserve">have its own COMI. Therefore, the double hindrances of COMI, COMI concept itself and lack of group COMI concept, </w:t>
      </w:r>
      <w:r w:rsidR="00B53996" w:rsidRPr="00411CEC">
        <w:rPr>
          <w:rFonts w:ascii="Times New Roman" w:eastAsia="宋体" w:hAnsi="Times New Roman" w:cs="Times New Roman"/>
          <w:sz w:val="22"/>
        </w:rPr>
        <w:t xml:space="preserve">make it too extremely difficult, if not impossible, to frame a unified rule for determining corporate group COMI. </w:t>
      </w:r>
      <w:r w:rsidR="00C3619B" w:rsidRPr="00411CEC">
        <w:rPr>
          <w:rFonts w:ascii="Times New Roman" w:eastAsia="宋体" w:hAnsi="Times New Roman" w:cs="Times New Roman"/>
          <w:sz w:val="22"/>
        </w:rPr>
        <w:t>When people attempt to decide COMI of a corporate group, it is quite possible that they forget when the corporate group design the group structure, the</w:t>
      </w:r>
      <w:r w:rsidR="00243E19" w:rsidRPr="00411CEC">
        <w:rPr>
          <w:rFonts w:ascii="Times New Roman" w:eastAsia="宋体" w:hAnsi="Times New Roman" w:cs="Times New Roman"/>
          <w:sz w:val="22"/>
        </w:rPr>
        <w:t xml:space="preserve"> designer had allocated different COMI to different entities. </w:t>
      </w:r>
      <w:r w:rsidR="00AD56E4" w:rsidRPr="00411CEC">
        <w:rPr>
          <w:rStyle w:val="a7"/>
          <w:rFonts w:ascii="Times New Roman" w:eastAsia="宋体" w:hAnsi="Times New Roman" w:cs="Times New Roman"/>
          <w:sz w:val="22"/>
        </w:rPr>
        <w:footnoteReference w:id="10"/>
      </w:r>
    </w:p>
    <w:p w14:paraId="4BC4CFFB" w14:textId="138F549A" w:rsidR="00D06654" w:rsidRPr="00411CEC" w:rsidRDefault="00D06654"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EIR Article dictates that the COMI is the place of registration which is a rebuttable presumption. Corporate groups may strategically migrate their COMI for more advantageous insolvency law.  </w:t>
      </w:r>
      <w:r w:rsidRPr="00411CEC">
        <w:rPr>
          <w:rFonts w:ascii="Times New Roman" w:eastAsia="宋体" w:hAnsi="Times New Roman" w:cs="Times New Roman"/>
          <w:sz w:val="22"/>
        </w:rPr>
        <w:lastRenderedPageBreak/>
        <w:t>However, there is no data to demonstrate whether creditors, particularly of the largest corporate groups, are tru</w:t>
      </w:r>
      <w:r w:rsidR="00AD56E4" w:rsidRPr="00411CEC">
        <w:rPr>
          <w:rFonts w:ascii="Times New Roman" w:eastAsia="宋体" w:hAnsi="Times New Roman" w:cs="Times New Roman"/>
          <w:sz w:val="22"/>
        </w:rPr>
        <w:t xml:space="preserve">ly confused as to with which member of the group they are dealing. </w:t>
      </w:r>
      <w:r w:rsidR="00AD56E4" w:rsidRPr="00411CEC">
        <w:rPr>
          <w:rFonts w:ascii="Times New Roman" w:eastAsia="宋体" w:hAnsi="Times New Roman" w:cs="Times New Roman"/>
          <w:sz w:val="22"/>
        </w:rPr>
        <w:t>That is to say,</w:t>
      </w:r>
      <w:r w:rsidR="00AD56E4" w:rsidRPr="00411CEC">
        <w:rPr>
          <w:rFonts w:ascii="Times New Roman" w:eastAsia="宋体" w:hAnsi="Times New Roman" w:cs="Times New Roman"/>
          <w:sz w:val="22"/>
        </w:rPr>
        <w:t xml:space="preserve"> the creditors such as trading partners are not unaware of the COMI of the specific group member with which they are having business. Thus, when the insolvency court</w:t>
      </w:r>
      <w:r w:rsidR="00292FD6" w:rsidRPr="00411CEC">
        <w:rPr>
          <w:rFonts w:ascii="Times New Roman" w:eastAsia="宋体" w:hAnsi="Times New Roman" w:cs="Times New Roman"/>
          <w:sz w:val="22"/>
        </w:rPr>
        <w:t>s</w:t>
      </w:r>
      <w:r w:rsidR="00AD56E4" w:rsidRPr="00411CEC">
        <w:rPr>
          <w:rFonts w:ascii="Times New Roman" w:eastAsia="宋体" w:hAnsi="Times New Roman" w:cs="Times New Roman"/>
          <w:sz w:val="22"/>
        </w:rPr>
        <w:t xml:space="preserve"> </w:t>
      </w:r>
      <w:r w:rsidR="00292FD6" w:rsidRPr="00411CEC">
        <w:rPr>
          <w:rFonts w:ascii="Times New Roman" w:eastAsia="宋体" w:hAnsi="Times New Roman" w:cs="Times New Roman"/>
          <w:sz w:val="22"/>
        </w:rPr>
        <w:t>attempt to regard the all the group members as a single entity and artificially identify a united COMI for this entity, they are not only distorting the original intent of the group but also misread the comprehension of the creditors</w:t>
      </w:r>
      <w:r w:rsidR="00D2582B" w:rsidRPr="00411CEC">
        <w:rPr>
          <w:rFonts w:ascii="Times New Roman" w:eastAsia="宋体" w:hAnsi="Times New Roman" w:cs="Times New Roman"/>
          <w:sz w:val="22"/>
        </w:rPr>
        <w:t xml:space="preserve"> at the time doing business with group members.</w:t>
      </w:r>
      <w:r w:rsidR="00292FD6" w:rsidRPr="00411CEC">
        <w:rPr>
          <w:rFonts w:ascii="Times New Roman" w:eastAsia="宋体" w:hAnsi="Times New Roman" w:cs="Times New Roman"/>
          <w:sz w:val="22"/>
        </w:rPr>
        <w:t xml:space="preserve"> </w:t>
      </w:r>
    </w:p>
    <w:p w14:paraId="56C4C831" w14:textId="23712229" w:rsidR="00B13C65" w:rsidRPr="00411CEC" w:rsidRDefault="00C50188" w:rsidP="000B42E8">
      <w:pPr>
        <w:spacing w:afterLines="50" w:after="156" w:line="360" w:lineRule="auto"/>
        <w:rPr>
          <w:rFonts w:ascii="Times New Roman" w:eastAsia="宋体" w:hAnsi="Times New Roman" w:cs="Times New Roman"/>
          <w:b/>
          <w:bCs/>
          <w:sz w:val="22"/>
        </w:rPr>
      </w:pPr>
      <w:bookmarkStart w:id="6" w:name="_Hlk95038734"/>
      <w:r w:rsidRPr="00411CEC">
        <w:rPr>
          <w:rFonts w:ascii="Times New Roman" w:eastAsia="宋体" w:hAnsi="Times New Roman" w:cs="Times New Roman"/>
          <w:b/>
          <w:bCs/>
          <w:sz w:val="22"/>
        </w:rPr>
        <w:t xml:space="preserve">4.2 </w:t>
      </w:r>
      <w:r w:rsidR="00B13C65" w:rsidRPr="00411CEC">
        <w:rPr>
          <w:rFonts w:ascii="Times New Roman" w:eastAsia="宋体" w:hAnsi="Times New Roman" w:cs="Times New Roman"/>
          <w:b/>
          <w:bCs/>
          <w:sz w:val="22"/>
        </w:rPr>
        <w:t>Problem Two: Piercing Cross-border Corporate Veil</w:t>
      </w:r>
      <w:bookmarkEnd w:id="6"/>
    </w:p>
    <w:p w14:paraId="0930B6C4" w14:textId="1B2DBDC5" w:rsidR="002736E6" w:rsidRPr="00411CEC" w:rsidRDefault="00451927"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Substantive consolidation disregards distinctions between parent companies, subsidiaries and affiliates that operate together as a corporate group. Furthermore, it will allow courts to dissolve and combine the assets and liabilities of all or a portion of the entities within a corporate family, so that all assets and liabilities are actually pooled together into a single entity.</w:t>
      </w:r>
      <w:r w:rsidR="0098750F" w:rsidRPr="00411CEC">
        <w:rPr>
          <w:rFonts w:ascii="Times New Roman" w:eastAsia="宋体" w:hAnsi="Times New Roman" w:cs="Times New Roman"/>
          <w:sz w:val="22"/>
        </w:rPr>
        <w:t xml:space="preserve"> Though there are subtle differences between substantive consolidation and piercing corporate veil, for the purpose of insolvency, they are quite similar or share common rationale.</w:t>
      </w:r>
    </w:p>
    <w:p w14:paraId="7111D2A5" w14:textId="1C4FEE5B" w:rsidR="00852856" w:rsidRPr="00411CEC" w:rsidRDefault="0098750F"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It is noteworthy that even under domestic law, piercing corporate veil is an exception </w:t>
      </w:r>
      <w:r w:rsidR="00DC70EE" w:rsidRPr="00411CEC">
        <w:rPr>
          <w:rFonts w:ascii="Times New Roman" w:eastAsia="宋体" w:hAnsi="Times New Roman" w:cs="Times New Roman"/>
          <w:sz w:val="22"/>
        </w:rPr>
        <w:t xml:space="preserve">of separate identity of legal persons. </w:t>
      </w:r>
      <w:r w:rsidR="00852856" w:rsidRPr="00411CEC">
        <w:rPr>
          <w:rFonts w:ascii="Times New Roman" w:eastAsia="宋体" w:hAnsi="Times New Roman" w:cs="Times New Roman"/>
          <w:sz w:val="22"/>
        </w:rPr>
        <w:t xml:space="preserve">It is well-established that a company has independent legal status; the limited liability and legal personality are core features of companies which generate economic </w:t>
      </w:r>
      <w:r w:rsidR="00852856" w:rsidRPr="00411CEC">
        <w:rPr>
          <w:rFonts w:ascii="Times New Roman" w:eastAsia="宋体" w:hAnsi="Times New Roman" w:cs="Times New Roman"/>
          <w:sz w:val="22"/>
        </w:rPr>
        <w:t>efficiency</w:t>
      </w:r>
      <w:r w:rsidR="00852856" w:rsidRPr="00411CEC">
        <w:rPr>
          <w:rFonts w:ascii="Times New Roman" w:eastAsia="宋体" w:hAnsi="Times New Roman" w:cs="Times New Roman"/>
          <w:sz w:val="22"/>
        </w:rPr>
        <w:t xml:space="preserve"> by lowering the costs of doing business.</w:t>
      </w:r>
      <w:r w:rsidR="00852856" w:rsidRPr="00411CEC">
        <w:rPr>
          <w:rFonts w:ascii="Times New Roman" w:eastAsia="宋体" w:hAnsi="Times New Roman" w:cs="Times New Roman"/>
          <w:sz w:val="22"/>
        </w:rPr>
        <w:t xml:space="preserve"> It is not advisable to dismantle the core ground of commercial law only for the purpose of convenience and facilitation of insolvency practice. </w:t>
      </w:r>
    </w:p>
    <w:p w14:paraId="76997EB6" w14:textId="5311E8B6" w:rsidR="0098750F" w:rsidRPr="00411CEC" w:rsidRDefault="00852856"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At the same time, it</w:t>
      </w:r>
      <w:r w:rsidR="00DC70EE" w:rsidRPr="00411CEC">
        <w:rPr>
          <w:rFonts w:ascii="Times New Roman" w:eastAsia="宋体" w:hAnsi="Times New Roman" w:cs="Times New Roman"/>
          <w:sz w:val="22"/>
        </w:rPr>
        <w:t xml:space="preserve"> is extremely difficult to pierce the veils of foreign entities. For instance, choosing the appropriate governing law for deciding whether or not to pierce the veils will make the complex cross-border insolvency more complex.</w:t>
      </w:r>
    </w:p>
    <w:p w14:paraId="1E369C8A" w14:textId="7247FCE7" w:rsidR="0020667F" w:rsidRPr="00411CEC" w:rsidRDefault="00DC70EE"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One may </w:t>
      </w:r>
      <w:r w:rsidR="001056DA" w:rsidRPr="00411CEC">
        <w:rPr>
          <w:rFonts w:ascii="Times New Roman" w:eastAsia="宋体" w:hAnsi="Times New Roman" w:cs="Times New Roman"/>
          <w:sz w:val="22"/>
        </w:rPr>
        <w:t>argue</w:t>
      </w:r>
      <w:r w:rsidRPr="00411CEC">
        <w:rPr>
          <w:rFonts w:ascii="Times New Roman" w:eastAsia="宋体" w:hAnsi="Times New Roman" w:cs="Times New Roman"/>
          <w:sz w:val="22"/>
        </w:rPr>
        <w:t xml:space="preserve"> that </w:t>
      </w:r>
      <w:r w:rsidR="001056DA" w:rsidRPr="00411CEC">
        <w:rPr>
          <w:rFonts w:ascii="Times New Roman" w:eastAsia="宋体" w:hAnsi="Times New Roman" w:cs="Times New Roman"/>
          <w:sz w:val="22"/>
        </w:rPr>
        <w:t>the rules in respect of piercing corporate veil share common features, such as (1)</w:t>
      </w:r>
      <w:r w:rsidR="001056DA" w:rsidRPr="00411CEC">
        <w:rPr>
          <w:rFonts w:ascii="Times New Roman" w:hAnsi="Times New Roman" w:cs="Times New Roman"/>
          <w:color w:val="000000"/>
          <w:shd w:val="clear" w:color="auto" w:fill="FFFFFF"/>
        </w:rPr>
        <w:t xml:space="preserve"> </w:t>
      </w:r>
      <w:r w:rsidR="001056DA" w:rsidRPr="00411CEC">
        <w:rPr>
          <w:rFonts w:ascii="Times New Roman" w:eastAsia="宋体" w:hAnsi="Times New Roman" w:cs="Times New Roman"/>
          <w:sz w:val="22"/>
        </w:rPr>
        <w:t xml:space="preserve">the shareholder dominated and controlled the corporation to such a degree that the corporation did not have an independent existence and shareholders were the alter egos of the corporation; (2) the corporate form was used fraudulently or for an improper purpose; and (3) this fraudulent or improper use of the corporate form caused injury to </w:t>
      </w:r>
      <w:r w:rsidR="001056DA" w:rsidRPr="00411CEC">
        <w:rPr>
          <w:rFonts w:ascii="Times New Roman" w:eastAsia="宋体" w:hAnsi="Times New Roman" w:cs="Times New Roman"/>
          <w:sz w:val="22"/>
        </w:rPr>
        <w:t>creditors</w:t>
      </w:r>
      <w:r w:rsidR="001056DA" w:rsidRPr="00411CEC">
        <w:rPr>
          <w:rFonts w:ascii="Times New Roman" w:eastAsia="宋体" w:hAnsi="Times New Roman" w:cs="Times New Roman"/>
          <w:sz w:val="22"/>
        </w:rPr>
        <w:t>. </w:t>
      </w:r>
      <w:r w:rsidR="001056DA" w:rsidRPr="00411CEC">
        <w:rPr>
          <w:rFonts w:ascii="Times New Roman" w:eastAsia="宋体" w:hAnsi="Times New Roman" w:cs="Times New Roman"/>
          <w:sz w:val="22"/>
        </w:rPr>
        <w:t xml:space="preserve"> </w:t>
      </w:r>
    </w:p>
    <w:p w14:paraId="3BEA5AF9" w14:textId="373631D8" w:rsidR="00DC70EE" w:rsidRPr="00411CEC" w:rsidRDefault="001056DA"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lastRenderedPageBreak/>
        <w:t xml:space="preserve">However, even if the rules for piercing veils between insolvency proceeding jurisdiction and alter-ego entity jurisdiction are the same, which is doubtful, it is hard for the </w:t>
      </w:r>
      <w:r w:rsidR="0020667F" w:rsidRPr="00411CEC">
        <w:rPr>
          <w:rFonts w:ascii="Times New Roman" w:eastAsia="宋体" w:hAnsi="Times New Roman" w:cs="Times New Roman"/>
          <w:sz w:val="22"/>
        </w:rPr>
        <w:t xml:space="preserve">foreign </w:t>
      </w:r>
      <w:r w:rsidRPr="00411CEC">
        <w:rPr>
          <w:rFonts w:ascii="Times New Roman" w:eastAsia="宋体" w:hAnsi="Times New Roman" w:cs="Times New Roman"/>
          <w:sz w:val="22"/>
        </w:rPr>
        <w:t xml:space="preserve">court to recognize the insolvency court’s decision which </w:t>
      </w:r>
      <w:r w:rsidR="00852856" w:rsidRPr="00411CEC">
        <w:rPr>
          <w:rFonts w:ascii="Times New Roman" w:eastAsia="宋体" w:hAnsi="Times New Roman" w:cs="Times New Roman"/>
          <w:sz w:val="22"/>
        </w:rPr>
        <w:t>denies</w:t>
      </w:r>
      <w:r w:rsidR="00F914BF" w:rsidRPr="00411CEC">
        <w:rPr>
          <w:rFonts w:ascii="Times New Roman" w:eastAsia="宋体" w:hAnsi="Times New Roman" w:cs="Times New Roman"/>
          <w:sz w:val="22"/>
        </w:rPr>
        <w:t xml:space="preserve"> </w:t>
      </w:r>
      <w:r w:rsidR="00CF7DF8" w:rsidRPr="00411CEC">
        <w:rPr>
          <w:rFonts w:ascii="Times New Roman" w:eastAsia="宋体" w:hAnsi="Times New Roman" w:cs="Times New Roman"/>
          <w:sz w:val="22"/>
        </w:rPr>
        <w:t>the legal person identity of an enterprise which was registered in this foreign jurisdiction.</w:t>
      </w:r>
    </w:p>
    <w:p w14:paraId="25984EEB" w14:textId="2B434F70" w:rsidR="00DC70EE" w:rsidRPr="00411CEC" w:rsidRDefault="00C50188"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b/>
          <w:bCs/>
          <w:sz w:val="22"/>
        </w:rPr>
        <w:t xml:space="preserve">4.3 </w:t>
      </w:r>
      <w:r w:rsidR="001C2819" w:rsidRPr="00411CEC">
        <w:rPr>
          <w:rFonts w:ascii="Times New Roman" w:eastAsia="宋体" w:hAnsi="Times New Roman" w:cs="Times New Roman"/>
          <w:b/>
          <w:bCs/>
          <w:sz w:val="22"/>
        </w:rPr>
        <w:t xml:space="preserve">Problem </w:t>
      </w:r>
      <w:r w:rsidR="001C2819" w:rsidRPr="00411CEC">
        <w:rPr>
          <w:rFonts w:ascii="Times New Roman" w:eastAsia="宋体" w:hAnsi="Times New Roman" w:cs="Times New Roman"/>
          <w:b/>
          <w:bCs/>
          <w:sz w:val="22"/>
        </w:rPr>
        <w:t>Three</w:t>
      </w:r>
      <w:r w:rsidR="001C2819" w:rsidRPr="00411CEC">
        <w:rPr>
          <w:rFonts w:ascii="Times New Roman" w:eastAsia="宋体" w:hAnsi="Times New Roman" w:cs="Times New Roman"/>
          <w:b/>
          <w:bCs/>
          <w:sz w:val="22"/>
        </w:rPr>
        <w:t xml:space="preserve">: </w:t>
      </w:r>
      <w:r w:rsidR="001C2819" w:rsidRPr="00411CEC">
        <w:rPr>
          <w:rFonts w:ascii="Times New Roman" w:eastAsia="宋体" w:hAnsi="Times New Roman" w:cs="Times New Roman"/>
          <w:b/>
          <w:bCs/>
          <w:sz w:val="22"/>
        </w:rPr>
        <w:t xml:space="preserve">Substantive Consolidation of </w:t>
      </w:r>
      <w:proofErr w:type="spellStart"/>
      <w:r w:rsidR="001C2819" w:rsidRPr="00411CEC">
        <w:rPr>
          <w:rFonts w:ascii="Times New Roman" w:eastAsia="宋体" w:hAnsi="Times New Roman" w:cs="Times New Roman"/>
          <w:b/>
          <w:bCs/>
          <w:sz w:val="22"/>
        </w:rPr>
        <w:t>Nondebtor</w:t>
      </w:r>
      <w:proofErr w:type="spellEnd"/>
      <w:r w:rsidR="001C2819" w:rsidRPr="00411CEC">
        <w:rPr>
          <w:rFonts w:ascii="Times New Roman" w:eastAsia="宋体" w:hAnsi="Times New Roman" w:cs="Times New Roman"/>
          <w:b/>
          <w:bCs/>
          <w:sz w:val="22"/>
        </w:rPr>
        <w:t xml:space="preserve"> </w:t>
      </w:r>
      <w:r w:rsidR="009C7050" w:rsidRPr="00411CEC">
        <w:rPr>
          <w:rFonts w:ascii="Times New Roman" w:eastAsia="宋体" w:hAnsi="Times New Roman" w:cs="Times New Roman"/>
          <w:b/>
          <w:bCs/>
          <w:sz w:val="22"/>
        </w:rPr>
        <w:t>E</w:t>
      </w:r>
      <w:r w:rsidR="001C2819" w:rsidRPr="00411CEC">
        <w:rPr>
          <w:rFonts w:ascii="Times New Roman" w:eastAsia="宋体" w:hAnsi="Times New Roman" w:cs="Times New Roman"/>
          <w:b/>
          <w:bCs/>
          <w:sz w:val="22"/>
        </w:rPr>
        <w:t>ntities</w:t>
      </w:r>
    </w:p>
    <w:p w14:paraId="6EE03569" w14:textId="376882F7" w:rsidR="00F070C9" w:rsidRPr="00411CEC" w:rsidRDefault="00F070C9"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The biggest unfairness </w:t>
      </w:r>
      <w:r w:rsidR="009B7CB3" w:rsidRPr="00411CEC">
        <w:rPr>
          <w:rFonts w:ascii="Times New Roman" w:eastAsia="宋体" w:hAnsi="Times New Roman" w:cs="Times New Roman"/>
          <w:sz w:val="22"/>
        </w:rPr>
        <w:t xml:space="preserve">scenario </w:t>
      </w:r>
      <w:r w:rsidRPr="00411CEC">
        <w:rPr>
          <w:rFonts w:ascii="Times New Roman" w:eastAsia="宋体" w:hAnsi="Times New Roman" w:cs="Times New Roman"/>
          <w:sz w:val="22"/>
        </w:rPr>
        <w:t xml:space="preserve">arising from substantial consolidation is </w:t>
      </w:r>
      <w:r w:rsidR="009B7CB3" w:rsidRPr="00411CEC">
        <w:rPr>
          <w:rFonts w:ascii="Times New Roman" w:eastAsia="宋体" w:hAnsi="Times New Roman" w:cs="Times New Roman"/>
          <w:sz w:val="22"/>
        </w:rPr>
        <w:t xml:space="preserve">the consolidation of debtor entities and </w:t>
      </w:r>
      <w:proofErr w:type="spellStart"/>
      <w:r w:rsidR="009B7CB3" w:rsidRPr="00411CEC">
        <w:rPr>
          <w:rFonts w:ascii="Times New Roman" w:eastAsia="宋体" w:hAnsi="Times New Roman" w:cs="Times New Roman"/>
          <w:sz w:val="22"/>
        </w:rPr>
        <w:t>nondebtor</w:t>
      </w:r>
      <w:proofErr w:type="spellEnd"/>
      <w:r w:rsidR="009B7CB3" w:rsidRPr="00411CEC">
        <w:rPr>
          <w:rFonts w:ascii="Times New Roman" w:eastAsia="宋体" w:hAnsi="Times New Roman" w:cs="Times New Roman"/>
          <w:sz w:val="22"/>
        </w:rPr>
        <w:t xml:space="preserve"> entities. One can at first grant cast doubt on substantive consolidation by asking why a solvent legally separate entity shall be regarded as insolvent together with other legally separate entities. In the more difficult scenario, this question becomes more challenging when the solvent entit</w:t>
      </w:r>
      <w:r w:rsidR="00560E25" w:rsidRPr="00411CEC">
        <w:rPr>
          <w:rFonts w:ascii="Times New Roman" w:eastAsia="宋体" w:hAnsi="Times New Roman" w:cs="Times New Roman"/>
          <w:sz w:val="22"/>
        </w:rPr>
        <w:t>ies and insolvent entities are registered and have operation in various jurisdictions.</w:t>
      </w:r>
      <w:r w:rsidR="006B2304" w:rsidRPr="00411CEC">
        <w:rPr>
          <w:rFonts w:ascii="Times New Roman" w:eastAsia="宋体" w:hAnsi="Times New Roman" w:cs="Times New Roman"/>
          <w:sz w:val="22"/>
        </w:rPr>
        <w:t xml:space="preserve"> Even they can be seen as members of the same corporate group, it is at odd that insolvency law announce they are regarded a single entity while company laws of different jurisdictions </w:t>
      </w:r>
      <w:proofErr w:type="gramStart"/>
      <w:r w:rsidR="006B2304" w:rsidRPr="00411CEC">
        <w:rPr>
          <w:rFonts w:ascii="Times New Roman" w:eastAsia="宋体" w:hAnsi="Times New Roman" w:cs="Times New Roman"/>
          <w:sz w:val="22"/>
        </w:rPr>
        <w:t>stipulate</w:t>
      </w:r>
      <w:proofErr w:type="gramEnd"/>
      <w:r w:rsidR="006B2304" w:rsidRPr="00411CEC">
        <w:rPr>
          <w:rFonts w:ascii="Times New Roman" w:eastAsia="宋体" w:hAnsi="Times New Roman" w:cs="Times New Roman"/>
          <w:sz w:val="22"/>
        </w:rPr>
        <w:t xml:space="preserve"> they are independent of each other in the sense of legal personality.</w:t>
      </w:r>
    </w:p>
    <w:p w14:paraId="3F751506" w14:textId="2DEEE31E" w:rsidR="006B2304" w:rsidRPr="00411CEC" w:rsidRDefault="00B83F80"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In the U.S., though it is uncontroversial that the bankruptcy courts have authority approving substantive consolidation under Section 105(a) of the Bankruptcy Code which provides that a court may issue any order, process, </w:t>
      </w:r>
      <w:r w:rsidRPr="00411CEC">
        <w:rPr>
          <w:rFonts w:ascii="Times New Roman" w:eastAsia="宋体" w:hAnsi="Times New Roman" w:cs="Times New Roman"/>
          <w:sz w:val="22"/>
        </w:rPr>
        <w:t>or judgment that is necessary or appropriate to carry out the provisions</w:t>
      </w:r>
      <w:r w:rsidRPr="00411CEC">
        <w:rPr>
          <w:rFonts w:ascii="Times New Roman" w:eastAsia="宋体" w:hAnsi="Times New Roman" w:cs="Times New Roman"/>
          <w:sz w:val="22"/>
        </w:rPr>
        <w:t xml:space="preserve"> </w:t>
      </w:r>
      <w:r w:rsidRPr="00411CEC">
        <w:rPr>
          <w:rFonts w:ascii="Times New Roman" w:eastAsia="宋体" w:hAnsi="Times New Roman" w:cs="Times New Roman"/>
          <w:sz w:val="22"/>
        </w:rPr>
        <w:t>of the Bankruptcy Code.</w:t>
      </w:r>
      <w:r w:rsidRPr="00411CEC">
        <w:rPr>
          <w:rFonts w:ascii="Times New Roman" w:hAnsi="Times New Roman" w:cs="Times New Roman"/>
          <w:color w:val="000000"/>
          <w:shd w:val="clear" w:color="auto" w:fill="FFFFFF"/>
        </w:rPr>
        <w:t xml:space="preserve"> </w:t>
      </w:r>
      <w:r w:rsidRPr="00411CEC">
        <w:rPr>
          <w:rFonts w:ascii="Times New Roman" w:eastAsia="宋体" w:hAnsi="Times New Roman" w:cs="Times New Roman"/>
          <w:sz w:val="22"/>
        </w:rPr>
        <w:t>However, because forcing creditors of one entity to share equally with creditors of a less solvent debtor is not appropriate in many circumstances, courts generally hold that substantive consolidation is to be used sparingly and have labeled it an extraordinary remedy.</w:t>
      </w:r>
      <w:r w:rsidRPr="00411CEC">
        <w:rPr>
          <w:rStyle w:val="a7"/>
          <w:rFonts w:ascii="Times New Roman" w:eastAsia="宋体" w:hAnsi="Times New Roman" w:cs="Times New Roman"/>
          <w:sz w:val="22"/>
        </w:rPr>
        <w:footnoteReference w:id="11"/>
      </w:r>
    </w:p>
    <w:p w14:paraId="408BB31D" w14:textId="367BCF48" w:rsidR="00F86101" w:rsidRPr="00411CEC" w:rsidRDefault="00F86101"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In </w:t>
      </w:r>
      <w:r w:rsidRPr="00411CEC">
        <w:rPr>
          <w:rFonts w:ascii="Times New Roman" w:eastAsia="宋体" w:hAnsi="Times New Roman" w:cs="Times New Roman"/>
          <w:i/>
          <w:iCs/>
          <w:sz w:val="22"/>
        </w:rPr>
        <w:t>In re Pearlman</w:t>
      </w:r>
      <w:r w:rsidRPr="00411CEC">
        <w:rPr>
          <w:rFonts w:ascii="Times New Roman" w:eastAsia="宋体" w:hAnsi="Times New Roman" w:cs="Times New Roman"/>
          <w:sz w:val="22"/>
        </w:rPr>
        <w:t xml:space="preserve">, when ruling against substantive consolidation of debtors and </w:t>
      </w:r>
      <w:proofErr w:type="spellStart"/>
      <w:proofErr w:type="gramStart"/>
      <w:r w:rsidRPr="00411CEC">
        <w:rPr>
          <w:rFonts w:ascii="Times New Roman" w:eastAsia="宋体" w:hAnsi="Times New Roman" w:cs="Times New Roman"/>
          <w:sz w:val="22"/>
        </w:rPr>
        <w:t>nonbebtors</w:t>
      </w:r>
      <w:proofErr w:type="spellEnd"/>
      <w:r w:rsidRPr="00411CEC">
        <w:rPr>
          <w:rFonts w:ascii="Times New Roman" w:eastAsia="宋体" w:hAnsi="Times New Roman" w:cs="Times New Roman"/>
          <w:sz w:val="22"/>
        </w:rPr>
        <w:t xml:space="preserve">, </w:t>
      </w:r>
      <w:r w:rsidRPr="00411CEC">
        <w:rPr>
          <w:rFonts w:ascii="Times New Roman" w:eastAsia="宋体" w:hAnsi="Times New Roman" w:cs="Times New Roman"/>
          <w:sz w:val="22"/>
        </w:rPr>
        <w:t xml:space="preserve"> the</w:t>
      </w:r>
      <w:proofErr w:type="gramEnd"/>
      <w:r w:rsidRPr="00411CEC">
        <w:rPr>
          <w:rFonts w:ascii="Times New Roman" w:eastAsia="宋体" w:hAnsi="Times New Roman" w:cs="Times New Roman"/>
          <w:sz w:val="22"/>
        </w:rPr>
        <w:t xml:space="preserve"> </w:t>
      </w:r>
      <w:proofErr w:type="spellStart"/>
      <w:r w:rsidRPr="00411CEC">
        <w:rPr>
          <w:rFonts w:ascii="Times New Roman" w:eastAsia="宋体" w:hAnsi="Times New Roman" w:cs="Times New Roman"/>
          <w:sz w:val="22"/>
        </w:rPr>
        <w:t>Folorida</w:t>
      </w:r>
      <w:proofErr w:type="spellEnd"/>
      <w:r w:rsidRPr="00411CEC">
        <w:rPr>
          <w:rFonts w:ascii="Times New Roman" w:eastAsia="宋体" w:hAnsi="Times New Roman" w:cs="Times New Roman"/>
          <w:sz w:val="22"/>
        </w:rPr>
        <w:t xml:space="preserve"> bankruptcy court</w:t>
      </w:r>
      <w:r w:rsidRPr="00411CEC">
        <w:rPr>
          <w:rFonts w:ascii="Times New Roman" w:eastAsia="宋体" w:hAnsi="Times New Roman" w:cs="Times New Roman"/>
          <w:sz w:val="22"/>
        </w:rPr>
        <w:t xml:space="preserve"> reasoned that allowing the substantive consolidation of debtors with </w:t>
      </w:r>
      <w:proofErr w:type="spellStart"/>
      <w:r w:rsidRPr="00411CEC">
        <w:rPr>
          <w:rFonts w:ascii="Times New Roman" w:eastAsia="宋体" w:hAnsi="Times New Roman" w:cs="Times New Roman"/>
          <w:sz w:val="22"/>
        </w:rPr>
        <w:t>nondebtor</w:t>
      </w:r>
      <w:proofErr w:type="spellEnd"/>
      <w:r w:rsidRPr="00411CEC">
        <w:rPr>
          <w:rFonts w:ascii="Times New Roman" w:eastAsia="宋体" w:hAnsi="Times New Roman" w:cs="Times New Roman"/>
          <w:sz w:val="22"/>
        </w:rPr>
        <w:t xml:space="preserve"> entities would circumvent</w:t>
      </w:r>
      <w:r w:rsidRPr="00411CEC">
        <w:rPr>
          <w:rFonts w:ascii="Times New Roman" w:eastAsia="宋体" w:hAnsi="Times New Roman" w:cs="Times New Roman"/>
          <w:sz w:val="22"/>
        </w:rPr>
        <w:t xml:space="preserve"> “t</w:t>
      </w:r>
      <w:r w:rsidRPr="00411CEC">
        <w:rPr>
          <w:rFonts w:ascii="Times New Roman" w:eastAsia="宋体" w:hAnsi="Times New Roman" w:cs="Times New Roman"/>
          <w:sz w:val="22"/>
        </w:rPr>
        <w:t>he procedures laid out in the Bankruptcy Code for involuntary bankruptcies. Section 303 provides strict requirements for when and how an unwilling party can be placed into bankruptcy. [F]</w:t>
      </w:r>
      <w:proofErr w:type="spellStart"/>
      <w:r w:rsidRPr="00411CEC">
        <w:rPr>
          <w:rFonts w:ascii="Times New Roman" w:eastAsia="宋体" w:hAnsi="Times New Roman" w:cs="Times New Roman"/>
          <w:sz w:val="22"/>
        </w:rPr>
        <w:t>orcing</w:t>
      </w:r>
      <w:proofErr w:type="spellEnd"/>
      <w:r w:rsidRPr="00411CEC">
        <w:rPr>
          <w:rFonts w:ascii="Times New Roman" w:eastAsia="宋体" w:hAnsi="Times New Roman" w:cs="Times New Roman"/>
          <w:sz w:val="22"/>
        </w:rPr>
        <w:t xml:space="preserve"> a non-debtor into bankruptcy via </w:t>
      </w:r>
      <w:r w:rsidRPr="00411CEC">
        <w:rPr>
          <w:rFonts w:ascii="Times New Roman" w:eastAsia="宋体" w:hAnsi="Times New Roman" w:cs="Times New Roman"/>
          <w:sz w:val="22"/>
        </w:rPr>
        <w:lastRenderedPageBreak/>
        <w:t>substantive consolidation,</w:t>
      </w:r>
      <w:r w:rsidRPr="00411CEC">
        <w:rPr>
          <w:rFonts w:ascii="Times New Roman" w:eastAsia="宋体" w:hAnsi="Times New Roman" w:cs="Times New Roman"/>
          <w:sz w:val="22"/>
        </w:rPr>
        <w:t>”</w:t>
      </w:r>
      <w:r w:rsidRPr="00411CEC">
        <w:rPr>
          <w:rFonts w:ascii="Times New Roman" w:eastAsia="宋体" w:hAnsi="Times New Roman" w:cs="Times New Roman"/>
          <w:sz w:val="22"/>
        </w:rPr>
        <w:t xml:space="preserve"> the court observed, circumvents these strict requirements and is in contravention of" the Bankruptcy Code. The court concluded that it would be outside the scope of section 105</w:t>
      </w:r>
      <w:r w:rsidRPr="00411CEC">
        <w:rPr>
          <w:rFonts w:ascii="Times New Roman" w:eastAsia="宋体" w:hAnsi="Times New Roman" w:cs="Times New Roman"/>
          <w:sz w:val="22"/>
        </w:rPr>
        <w:t>’</w:t>
      </w:r>
      <w:r w:rsidRPr="00411CEC">
        <w:rPr>
          <w:rFonts w:ascii="Times New Roman" w:eastAsia="宋体" w:hAnsi="Times New Roman" w:cs="Times New Roman"/>
          <w:sz w:val="22"/>
        </w:rPr>
        <w:t>s grant of authority for a bankruptcy court to circumvent such statutory provisions.</w:t>
      </w:r>
    </w:p>
    <w:p w14:paraId="5124EAB1" w14:textId="2B6FDB23" w:rsidR="001C2819" w:rsidRPr="00411CEC" w:rsidRDefault="00C50188"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b/>
          <w:bCs/>
          <w:sz w:val="22"/>
        </w:rPr>
        <w:t xml:space="preserve">4.4 </w:t>
      </w:r>
      <w:r w:rsidR="001C2819" w:rsidRPr="00411CEC">
        <w:rPr>
          <w:rFonts w:ascii="Times New Roman" w:eastAsia="宋体" w:hAnsi="Times New Roman" w:cs="Times New Roman"/>
          <w:b/>
          <w:bCs/>
          <w:sz w:val="22"/>
        </w:rPr>
        <w:t xml:space="preserve">Problem </w:t>
      </w:r>
      <w:r w:rsidR="001C2819" w:rsidRPr="00411CEC">
        <w:rPr>
          <w:rFonts w:ascii="Times New Roman" w:eastAsia="宋体" w:hAnsi="Times New Roman" w:cs="Times New Roman"/>
          <w:b/>
          <w:bCs/>
          <w:sz w:val="22"/>
        </w:rPr>
        <w:t>Four</w:t>
      </w:r>
      <w:r w:rsidR="001C2819" w:rsidRPr="00411CEC">
        <w:rPr>
          <w:rFonts w:ascii="Times New Roman" w:eastAsia="宋体" w:hAnsi="Times New Roman" w:cs="Times New Roman"/>
          <w:b/>
          <w:bCs/>
          <w:sz w:val="22"/>
        </w:rPr>
        <w:t xml:space="preserve">: </w:t>
      </w:r>
      <w:r w:rsidR="001C2819" w:rsidRPr="00411CEC">
        <w:rPr>
          <w:rFonts w:ascii="Times New Roman" w:eastAsia="宋体" w:hAnsi="Times New Roman" w:cs="Times New Roman"/>
          <w:b/>
          <w:bCs/>
          <w:sz w:val="22"/>
        </w:rPr>
        <w:t>Practical Difficulty in Cross-border Enforcement</w:t>
      </w:r>
    </w:p>
    <w:p w14:paraId="0CD7F626" w14:textId="5354D95C" w:rsidR="006317E4" w:rsidRPr="00411CEC" w:rsidRDefault="001C2819"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Let us come back to the real world. </w:t>
      </w:r>
      <w:r w:rsidR="00D13420" w:rsidRPr="00411CEC">
        <w:rPr>
          <w:rFonts w:ascii="Times New Roman" w:eastAsia="宋体" w:hAnsi="Times New Roman" w:cs="Times New Roman"/>
          <w:sz w:val="22"/>
        </w:rPr>
        <w:t xml:space="preserve">The U.S. is the only jurisdiction which has </w:t>
      </w:r>
      <w:r w:rsidR="00EF5D65" w:rsidRPr="00411CEC">
        <w:rPr>
          <w:rFonts w:ascii="Times New Roman" w:eastAsia="宋体" w:hAnsi="Times New Roman" w:cs="Times New Roman"/>
          <w:sz w:val="22"/>
        </w:rPr>
        <w:t xml:space="preserve">explicit </w:t>
      </w:r>
      <w:r w:rsidR="00D13420" w:rsidRPr="00411CEC">
        <w:rPr>
          <w:rFonts w:ascii="Times New Roman" w:eastAsia="宋体" w:hAnsi="Times New Roman" w:cs="Times New Roman"/>
          <w:sz w:val="22"/>
        </w:rPr>
        <w:t>provisions</w:t>
      </w:r>
      <w:r w:rsidR="00EF0364" w:rsidRPr="00411CEC">
        <w:rPr>
          <w:rFonts w:ascii="Times New Roman" w:eastAsia="宋体" w:hAnsi="Times New Roman" w:cs="Times New Roman"/>
          <w:sz w:val="22"/>
        </w:rPr>
        <w:t xml:space="preserve"> via case law</w:t>
      </w:r>
      <w:r w:rsidR="00D13420" w:rsidRPr="00411CEC">
        <w:rPr>
          <w:rFonts w:ascii="Times New Roman" w:eastAsia="宋体" w:hAnsi="Times New Roman" w:cs="Times New Roman"/>
          <w:sz w:val="22"/>
        </w:rPr>
        <w:t xml:space="preserve"> with respect to </w:t>
      </w:r>
      <w:r w:rsidR="00EF5D65" w:rsidRPr="00411CEC">
        <w:rPr>
          <w:rFonts w:ascii="Times New Roman" w:eastAsia="宋体" w:hAnsi="Times New Roman" w:cs="Times New Roman"/>
          <w:sz w:val="22"/>
        </w:rPr>
        <w:t xml:space="preserve">cross-border substantive consolidation. But </w:t>
      </w:r>
      <w:r w:rsidR="00EF0364" w:rsidRPr="00411CEC">
        <w:rPr>
          <w:rFonts w:ascii="Times New Roman" w:eastAsia="宋体" w:hAnsi="Times New Roman" w:cs="Times New Roman"/>
          <w:sz w:val="22"/>
        </w:rPr>
        <w:t xml:space="preserve">U.S. courts have consolidated entities on limited occasions. </w:t>
      </w:r>
      <w:r w:rsidR="006317E4" w:rsidRPr="00411CEC">
        <w:rPr>
          <w:rFonts w:ascii="Times New Roman" w:eastAsia="宋体" w:hAnsi="Times New Roman" w:cs="Times New Roman"/>
          <w:sz w:val="22"/>
        </w:rPr>
        <w:t xml:space="preserve">In re Owens-Corning set the standard for substantive consolidation. However, it is a rare tool used only </w:t>
      </w:r>
      <w:r w:rsidR="00044A74" w:rsidRPr="00411CEC">
        <w:rPr>
          <w:rFonts w:ascii="Times New Roman" w:eastAsia="宋体" w:hAnsi="Times New Roman" w:cs="Times New Roman"/>
          <w:sz w:val="22"/>
        </w:rPr>
        <w:t>when the legal separateness of the entities was a mere formality. Under these circumstances, the assets and liabilities are intertwined so much that creditors recognized no borders between the entities and it does not benefit them to respect the separateness of the entities.</w:t>
      </w:r>
      <w:r w:rsidR="00044A74" w:rsidRPr="00411CEC">
        <w:rPr>
          <w:rStyle w:val="a7"/>
          <w:rFonts w:ascii="Times New Roman" w:eastAsia="宋体" w:hAnsi="Times New Roman" w:cs="Times New Roman"/>
          <w:sz w:val="22"/>
        </w:rPr>
        <w:footnoteReference w:id="12"/>
      </w:r>
      <w:r w:rsidR="00044A74" w:rsidRPr="00411CEC">
        <w:rPr>
          <w:rFonts w:ascii="Times New Roman" w:eastAsia="宋体" w:hAnsi="Times New Roman" w:cs="Times New Roman"/>
          <w:sz w:val="22"/>
        </w:rPr>
        <w:t xml:space="preserve"> Therefore, it seem</w:t>
      </w:r>
      <w:r w:rsidR="00AB4064" w:rsidRPr="00411CEC">
        <w:rPr>
          <w:rFonts w:ascii="Times New Roman" w:eastAsia="宋体" w:hAnsi="Times New Roman" w:cs="Times New Roman"/>
          <w:sz w:val="22"/>
        </w:rPr>
        <w:t>s</w:t>
      </w:r>
      <w:r w:rsidR="00044A74" w:rsidRPr="00411CEC">
        <w:rPr>
          <w:rFonts w:ascii="Times New Roman" w:eastAsia="宋体" w:hAnsi="Times New Roman" w:cs="Times New Roman"/>
          <w:sz w:val="22"/>
        </w:rPr>
        <w:t xml:space="preserve"> that even in the U.S. substantive consolidation is an exception rather than </w:t>
      </w:r>
      <w:r w:rsidR="00AB4064" w:rsidRPr="00411CEC">
        <w:rPr>
          <w:rFonts w:ascii="Times New Roman" w:eastAsia="宋体" w:hAnsi="Times New Roman" w:cs="Times New Roman"/>
          <w:sz w:val="22"/>
        </w:rPr>
        <w:t xml:space="preserve">a </w:t>
      </w:r>
      <w:r w:rsidR="00044A74" w:rsidRPr="00411CEC">
        <w:rPr>
          <w:rFonts w:ascii="Times New Roman" w:eastAsia="宋体" w:hAnsi="Times New Roman" w:cs="Times New Roman"/>
          <w:sz w:val="22"/>
        </w:rPr>
        <w:t>principle.</w:t>
      </w:r>
    </w:p>
    <w:p w14:paraId="47485087" w14:textId="6BD2B614" w:rsidR="001C2819" w:rsidRPr="00411CEC" w:rsidRDefault="006317E4"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E</w:t>
      </w:r>
      <w:r w:rsidR="00EF5D65" w:rsidRPr="00411CEC">
        <w:rPr>
          <w:rFonts w:ascii="Times New Roman" w:eastAsia="宋体" w:hAnsi="Times New Roman" w:cs="Times New Roman"/>
          <w:sz w:val="22"/>
        </w:rPr>
        <w:t>nforcement of the U.S. judgments in foreign courts is another question. In rejecting the recognition of a U.S. judgment</w:t>
      </w:r>
      <w:r w:rsidR="00B1696C" w:rsidRPr="00411CEC">
        <w:rPr>
          <w:rFonts w:ascii="Times New Roman" w:eastAsia="宋体" w:hAnsi="Times New Roman" w:cs="Times New Roman"/>
          <w:sz w:val="22"/>
        </w:rPr>
        <w:t xml:space="preserve">, the English Supreme Court noted that there was no basis in English law to enforce the foreign law upon third parties while emphasizing that the Model Law does not extend enforcing judgments on third parties </w:t>
      </w:r>
      <w:r w:rsidR="00B1696C" w:rsidRPr="00411CEC">
        <w:rPr>
          <w:rFonts w:ascii="Times New Roman" w:eastAsia="宋体" w:hAnsi="Times New Roman" w:cs="Times New Roman"/>
          <w:i/>
          <w:iCs/>
          <w:sz w:val="22"/>
        </w:rPr>
        <w:t xml:space="preserve">in </w:t>
      </w:r>
      <w:proofErr w:type="spellStart"/>
      <w:r w:rsidR="00B1696C" w:rsidRPr="00411CEC">
        <w:rPr>
          <w:rFonts w:ascii="Times New Roman" w:eastAsia="宋体" w:hAnsi="Times New Roman" w:cs="Times New Roman"/>
          <w:i/>
          <w:iCs/>
          <w:sz w:val="22"/>
        </w:rPr>
        <w:t>personam</w:t>
      </w:r>
      <w:proofErr w:type="spellEnd"/>
      <w:r w:rsidR="00B1696C" w:rsidRPr="00411CEC">
        <w:rPr>
          <w:rFonts w:ascii="Times New Roman" w:eastAsia="宋体" w:hAnsi="Times New Roman" w:cs="Times New Roman"/>
          <w:sz w:val="22"/>
        </w:rPr>
        <w:t>.</w:t>
      </w:r>
      <w:r w:rsidR="00B1696C" w:rsidRPr="00411CEC">
        <w:rPr>
          <w:rStyle w:val="a7"/>
          <w:rFonts w:ascii="Times New Roman" w:eastAsia="宋体" w:hAnsi="Times New Roman" w:cs="Times New Roman"/>
          <w:sz w:val="22"/>
        </w:rPr>
        <w:footnoteReference w:id="13"/>
      </w:r>
      <w:r w:rsidR="00A74443" w:rsidRPr="00411CEC">
        <w:rPr>
          <w:rFonts w:ascii="Times New Roman" w:eastAsia="宋体" w:hAnsi="Times New Roman" w:cs="Times New Roman"/>
          <w:sz w:val="22"/>
        </w:rPr>
        <w:t xml:space="preserve"> In </w:t>
      </w:r>
      <w:r w:rsidR="00A74443" w:rsidRPr="00411CEC">
        <w:rPr>
          <w:rFonts w:ascii="Times New Roman" w:eastAsia="宋体" w:hAnsi="Times New Roman" w:cs="Times New Roman"/>
          <w:i/>
          <w:iCs/>
          <w:sz w:val="22"/>
        </w:rPr>
        <w:t>Re Polly Peck International plc</w:t>
      </w:r>
      <w:r w:rsidR="00A74443" w:rsidRPr="00411CEC">
        <w:rPr>
          <w:rFonts w:ascii="Times New Roman" w:eastAsia="宋体" w:hAnsi="Times New Roman" w:cs="Times New Roman"/>
          <w:sz w:val="22"/>
        </w:rPr>
        <w:t xml:space="preserve">, where the administrator requested substantive consolidation, </w:t>
      </w:r>
      <w:r w:rsidR="00A74443" w:rsidRPr="00411CEC">
        <w:rPr>
          <w:rFonts w:ascii="Times New Roman" w:eastAsia="宋体" w:hAnsi="Times New Roman" w:cs="Times New Roman"/>
          <w:sz w:val="22"/>
        </w:rPr>
        <w:t>t</w:t>
      </w:r>
      <w:r w:rsidR="00A74443" w:rsidRPr="00411CEC">
        <w:rPr>
          <w:rFonts w:ascii="Times New Roman" w:eastAsia="宋体" w:hAnsi="Times New Roman" w:cs="Times New Roman"/>
          <w:sz w:val="22"/>
        </w:rPr>
        <w:t>he UK court show</w:t>
      </w:r>
      <w:r w:rsidR="00A74443" w:rsidRPr="00411CEC">
        <w:rPr>
          <w:rFonts w:ascii="Times New Roman" w:eastAsia="宋体" w:hAnsi="Times New Roman" w:cs="Times New Roman"/>
          <w:sz w:val="22"/>
        </w:rPr>
        <w:t>ed</w:t>
      </w:r>
      <w:r w:rsidR="00A74443" w:rsidRPr="00411CEC">
        <w:rPr>
          <w:rFonts w:ascii="Times New Roman" w:eastAsia="宋体" w:hAnsi="Times New Roman" w:cs="Times New Roman"/>
          <w:sz w:val="22"/>
        </w:rPr>
        <w:t xml:space="preserve"> reluctance to apply substantive consolidation</w:t>
      </w:r>
      <w:r w:rsidR="00A74443" w:rsidRPr="00411CEC">
        <w:rPr>
          <w:rFonts w:ascii="Times New Roman" w:eastAsia="宋体" w:hAnsi="Times New Roman" w:cs="Times New Roman"/>
          <w:sz w:val="22"/>
        </w:rPr>
        <w:t xml:space="preserve"> and the</w:t>
      </w:r>
      <w:r w:rsidR="00A74443" w:rsidRPr="00411CEC">
        <w:rPr>
          <w:rFonts w:ascii="Times New Roman" w:eastAsia="宋体" w:hAnsi="Times New Roman" w:cs="Times New Roman"/>
          <w:sz w:val="22"/>
        </w:rPr>
        <w:t xml:space="preserve"> court denied the argument that one Special Purpose Vehicle (SPV) subsidiary is just the façade of the given company and thereby should be substantively consolidated. The UK court insisted that using SPVs solely for the purpose of </w:t>
      </w:r>
      <w:r w:rsidR="00A74443" w:rsidRPr="00411CEC">
        <w:rPr>
          <w:rFonts w:ascii="Times New Roman" w:eastAsia="宋体" w:hAnsi="Times New Roman" w:cs="Times New Roman"/>
          <w:sz w:val="22"/>
        </w:rPr>
        <w:t>finance</w:t>
      </w:r>
      <w:r w:rsidR="00A74443" w:rsidRPr="00411CEC">
        <w:rPr>
          <w:rFonts w:ascii="Times New Roman" w:eastAsia="宋体" w:hAnsi="Times New Roman" w:cs="Times New Roman"/>
          <w:sz w:val="22"/>
        </w:rPr>
        <w:t xml:space="preserve"> is common practice, even if creditors are harmed by group structures. There is no necessity to transplant the concept of substantive consolidation to UK case law.</w:t>
      </w:r>
      <w:r w:rsidR="00805887" w:rsidRPr="00411CEC">
        <w:rPr>
          <w:rStyle w:val="a7"/>
          <w:rFonts w:ascii="Times New Roman" w:eastAsia="宋体" w:hAnsi="Times New Roman" w:cs="Times New Roman"/>
          <w:sz w:val="22"/>
        </w:rPr>
        <w:footnoteReference w:id="14"/>
      </w:r>
    </w:p>
    <w:p w14:paraId="4C24ADE9" w14:textId="3F764FB1" w:rsidR="00B1696C" w:rsidRPr="00411CEC" w:rsidRDefault="00B1696C"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Substantive consolidation is arguably a proceeding involving multiple third parties. Thus, </w:t>
      </w:r>
      <w:r w:rsidR="00AB4064" w:rsidRPr="00411CEC">
        <w:rPr>
          <w:rFonts w:ascii="Times New Roman" w:eastAsia="宋体" w:hAnsi="Times New Roman" w:cs="Times New Roman"/>
          <w:sz w:val="22"/>
        </w:rPr>
        <w:t>it seems that it cannot find the existing legal ground in the English law and continental jurisdictions.</w:t>
      </w:r>
      <w:r w:rsidR="00A25C96" w:rsidRPr="00411CEC">
        <w:rPr>
          <w:rFonts w:ascii="Times New Roman" w:eastAsia="宋体" w:hAnsi="Times New Roman" w:cs="Times New Roman"/>
          <w:sz w:val="22"/>
        </w:rPr>
        <w:t xml:space="preserve"> The EIR Recast contains cooperation and communication duties for insolvency </w:t>
      </w:r>
      <w:r w:rsidR="00A25C96" w:rsidRPr="00411CEC">
        <w:rPr>
          <w:rFonts w:ascii="Times New Roman" w:eastAsia="宋体" w:hAnsi="Times New Roman" w:cs="Times New Roman"/>
          <w:sz w:val="22"/>
        </w:rPr>
        <w:lastRenderedPageBreak/>
        <w:t xml:space="preserve">practitioners and courts involved in insolvency proceedings of group companies and the possibility to open group coordination proceedings in which a coordinator shall propose a group coordination plan setting out an integrated approach to the resolution of the group member’s insolvencies. However, it should be noted that this plan shall </w:t>
      </w:r>
      <w:r w:rsidR="00A25C96" w:rsidRPr="00411CEC">
        <w:rPr>
          <w:rFonts w:ascii="Times New Roman" w:eastAsia="宋体" w:hAnsi="Times New Roman" w:cs="Times New Roman"/>
          <w:i/>
          <w:iCs/>
          <w:sz w:val="22"/>
        </w:rPr>
        <w:t xml:space="preserve">not </w:t>
      </w:r>
      <w:r w:rsidR="00A25C96" w:rsidRPr="00411CEC">
        <w:rPr>
          <w:rFonts w:ascii="Times New Roman" w:eastAsia="宋体" w:hAnsi="Times New Roman" w:cs="Times New Roman"/>
          <w:sz w:val="22"/>
        </w:rPr>
        <w:t>include recommendations as to any consolidation of proceedings or insolvency estates</w:t>
      </w:r>
      <w:r w:rsidR="00A449BA" w:rsidRPr="00411CEC">
        <w:rPr>
          <w:rFonts w:ascii="Times New Roman" w:eastAsia="宋体" w:hAnsi="Times New Roman" w:cs="Times New Roman"/>
          <w:sz w:val="22"/>
        </w:rPr>
        <w:t xml:space="preserve"> though it is also argued that the EIR does not prohibit all forms of procedural </w:t>
      </w:r>
      <w:r w:rsidR="00A74443" w:rsidRPr="00411CEC">
        <w:rPr>
          <w:rFonts w:ascii="Times New Roman" w:eastAsia="宋体" w:hAnsi="Times New Roman" w:cs="Times New Roman"/>
          <w:sz w:val="22"/>
        </w:rPr>
        <w:t>consolidation</w:t>
      </w:r>
      <w:r w:rsidR="00A25C96" w:rsidRPr="00411CEC">
        <w:rPr>
          <w:rFonts w:ascii="Times New Roman" w:eastAsia="宋体" w:hAnsi="Times New Roman" w:cs="Times New Roman"/>
          <w:sz w:val="22"/>
        </w:rPr>
        <w:t>.</w:t>
      </w:r>
    </w:p>
    <w:p w14:paraId="313A6D20" w14:textId="2D4FFBB6" w:rsidR="00C50188" w:rsidRPr="00411CEC" w:rsidRDefault="00C50188" w:rsidP="000B42E8">
      <w:pPr>
        <w:spacing w:afterLines="50" w:after="156" w:line="360" w:lineRule="auto"/>
        <w:rPr>
          <w:rFonts w:ascii="Times New Roman" w:eastAsia="宋体" w:hAnsi="Times New Roman" w:cs="Times New Roman"/>
          <w:b/>
          <w:bCs/>
          <w:sz w:val="22"/>
        </w:rPr>
      </w:pPr>
      <w:bookmarkStart w:id="7" w:name="_Hlk95167384"/>
      <w:r w:rsidRPr="00411CEC">
        <w:rPr>
          <w:rFonts w:ascii="Times New Roman" w:eastAsia="宋体" w:hAnsi="Times New Roman" w:cs="Times New Roman"/>
          <w:b/>
          <w:bCs/>
          <w:sz w:val="22"/>
        </w:rPr>
        <w:t>5. Conclusion</w:t>
      </w:r>
    </w:p>
    <w:bookmarkEnd w:id="7"/>
    <w:p w14:paraId="672F6716" w14:textId="7D368FE0" w:rsidR="00902399" w:rsidRPr="00411CEC" w:rsidRDefault="00202881"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To sum</w:t>
      </w:r>
      <w:r w:rsidR="0084537A" w:rsidRPr="00411CEC">
        <w:rPr>
          <w:rFonts w:ascii="Times New Roman" w:eastAsia="宋体" w:hAnsi="Times New Roman" w:cs="Times New Roman"/>
          <w:sz w:val="22"/>
        </w:rPr>
        <w:t>marize,</w:t>
      </w:r>
      <w:r w:rsidRPr="00411CEC">
        <w:rPr>
          <w:rFonts w:ascii="Times New Roman" w:eastAsia="宋体" w:hAnsi="Times New Roman" w:cs="Times New Roman"/>
          <w:sz w:val="22"/>
        </w:rPr>
        <w:t xml:space="preserve"> although substantive consolidation has theoretic advantages</w:t>
      </w:r>
      <w:r w:rsidR="00AB4064" w:rsidRPr="00411CEC">
        <w:rPr>
          <w:rFonts w:ascii="Times New Roman" w:eastAsia="宋体" w:hAnsi="Times New Roman" w:cs="Times New Roman"/>
          <w:sz w:val="22"/>
        </w:rPr>
        <w:t xml:space="preserve"> such as minimizing transaction and insolvency costs</w:t>
      </w:r>
      <w:r w:rsidRPr="00411CEC">
        <w:rPr>
          <w:rFonts w:ascii="Times New Roman" w:eastAsia="宋体" w:hAnsi="Times New Roman" w:cs="Times New Roman"/>
          <w:sz w:val="22"/>
        </w:rPr>
        <w:t xml:space="preserve"> and practical applications within the U.S., generally it is not justifiably reasonable or advisable in the </w:t>
      </w:r>
      <w:r w:rsidR="00CD7C70" w:rsidRPr="00411CEC">
        <w:rPr>
          <w:rFonts w:ascii="Times New Roman" w:eastAsia="宋体" w:hAnsi="Times New Roman" w:cs="Times New Roman"/>
          <w:sz w:val="22"/>
        </w:rPr>
        <w:t>worldwide</w:t>
      </w:r>
      <w:r w:rsidRPr="00411CEC">
        <w:rPr>
          <w:rFonts w:ascii="Times New Roman" w:eastAsia="宋体" w:hAnsi="Times New Roman" w:cs="Times New Roman"/>
          <w:sz w:val="22"/>
        </w:rPr>
        <w:t xml:space="preserve"> </w:t>
      </w:r>
      <w:r w:rsidR="0025291F" w:rsidRPr="00411CEC">
        <w:rPr>
          <w:rFonts w:ascii="Times New Roman" w:eastAsia="宋体" w:hAnsi="Times New Roman" w:cs="Times New Roman"/>
          <w:sz w:val="22"/>
        </w:rPr>
        <w:t>real-world</w:t>
      </w:r>
      <w:r w:rsidRPr="00411CEC">
        <w:rPr>
          <w:rFonts w:ascii="Times New Roman" w:eastAsia="宋体" w:hAnsi="Times New Roman" w:cs="Times New Roman"/>
          <w:sz w:val="22"/>
        </w:rPr>
        <w:t xml:space="preserve"> cross-border insolvency.</w:t>
      </w:r>
      <w:r w:rsidR="0025291F" w:rsidRPr="00411CEC">
        <w:rPr>
          <w:rFonts w:ascii="Times New Roman" w:eastAsia="宋体" w:hAnsi="Times New Roman" w:cs="Times New Roman"/>
          <w:sz w:val="22"/>
        </w:rPr>
        <w:t xml:space="preserve"> In contrast, if the concept and application of procedural consolidation are expanded and </w:t>
      </w:r>
      <w:r w:rsidR="00D13420" w:rsidRPr="00411CEC">
        <w:rPr>
          <w:rFonts w:ascii="Times New Roman" w:eastAsia="宋体" w:hAnsi="Times New Roman" w:cs="Times New Roman"/>
          <w:sz w:val="22"/>
        </w:rPr>
        <w:t xml:space="preserve">widely </w:t>
      </w:r>
      <w:r w:rsidR="0025291F" w:rsidRPr="00411CEC">
        <w:rPr>
          <w:rFonts w:ascii="Times New Roman" w:eastAsia="宋体" w:hAnsi="Times New Roman" w:cs="Times New Roman"/>
          <w:sz w:val="22"/>
        </w:rPr>
        <w:t>accepted by major economics and insolvency jurisdiction</w:t>
      </w:r>
      <w:r w:rsidR="00D13420" w:rsidRPr="00411CEC">
        <w:rPr>
          <w:rFonts w:ascii="Times New Roman" w:eastAsia="宋体" w:hAnsi="Times New Roman" w:cs="Times New Roman"/>
          <w:sz w:val="22"/>
        </w:rPr>
        <w:t>s, the cross-border insolvency practice</w:t>
      </w:r>
      <w:r w:rsidRPr="00411CEC">
        <w:rPr>
          <w:rFonts w:ascii="Times New Roman" w:eastAsia="宋体" w:hAnsi="Times New Roman" w:cs="Times New Roman"/>
          <w:sz w:val="22"/>
        </w:rPr>
        <w:t xml:space="preserve"> </w:t>
      </w:r>
      <w:r w:rsidR="00D13420" w:rsidRPr="00411CEC">
        <w:rPr>
          <w:rFonts w:ascii="Times New Roman" w:eastAsia="宋体" w:hAnsi="Times New Roman" w:cs="Times New Roman"/>
          <w:sz w:val="22"/>
        </w:rPr>
        <w:t xml:space="preserve">can be </w:t>
      </w:r>
      <w:r w:rsidR="00805887" w:rsidRPr="00411CEC">
        <w:rPr>
          <w:rFonts w:ascii="Times New Roman" w:eastAsia="宋体" w:hAnsi="Times New Roman" w:cs="Times New Roman"/>
          <w:sz w:val="22"/>
        </w:rPr>
        <w:t>enhanced</w:t>
      </w:r>
      <w:r w:rsidR="00D13420" w:rsidRPr="00411CEC">
        <w:rPr>
          <w:rFonts w:ascii="Times New Roman" w:eastAsia="宋体" w:hAnsi="Times New Roman" w:cs="Times New Roman"/>
          <w:sz w:val="22"/>
        </w:rPr>
        <w:t xml:space="preserve"> to a high level.</w:t>
      </w:r>
    </w:p>
    <w:p w14:paraId="68C46D55" w14:textId="0DBE50AD" w:rsidR="00CD7C70" w:rsidRPr="00411CEC" w:rsidRDefault="00CD7C70" w:rsidP="000B42E8">
      <w:pPr>
        <w:spacing w:afterLines="50" w:after="156" w:line="360" w:lineRule="auto"/>
        <w:rPr>
          <w:rFonts w:ascii="Times New Roman" w:eastAsia="宋体" w:hAnsi="Times New Roman" w:cs="Times New Roman"/>
          <w:sz w:val="22"/>
        </w:rPr>
      </w:pPr>
      <w:r w:rsidRPr="00411CEC">
        <w:rPr>
          <w:rFonts w:ascii="Times New Roman" w:eastAsia="宋体" w:hAnsi="Times New Roman" w:cs="Times New Roman"/>
          <w:sz w:val="22"/>
        </w:rPr>
        <w:t xml:space="preserve">In fact, in most scenarios </w:t>
      </w:r>
      <w:r w:rsidRPr="00411CEC">
        <w:rPr>
          <w:rFonts w:ascii="Times New Roman" w:eastAsia="宋体" w:hAnsi="Times New Roman" w:cs="Times New Roman"/>
          <w:sz w:val="22"/>
        </w:rPr>
        <w:t xml:space="preserve">of transnational insolvencies, procedural consolidation, </w:t>
      </w:r>
      <w:proofErr w:type="gramStart"/>
      <w:r w:rsidRPr="00411CEC">
        <w:rPr>
          <w:rFonts w:ascii="Times New Roman" w:eastAsia="宋体" w:hAnsi="Times New Roman" w:cs="Times New Roman"/>
          <w:sz w:val="22"/>
        </w:rPr>
        <w:t>i.e.</w:t>
      </w:r>
      <w:proofErr w:type="gramEnd"/>
      <w:r w:rsidRPr="00411CEC">
        <w:rPr>
          <w:rFonts w:ascii="Times New Roman" w:eastAsia="宋体" w:hAnsi="Times New Roman" w:cs="Times New Roman"/>
          <w:sz w:val="22"/>
        </w:rPr>
        <w:t xml:space="preserve"> </w:t>
      </w:r>
      <w:r w:rsidRPr="00411CEC">
        <w:rPr>
          <w:rFonts w:ascii="Times New Roman" w:eastAsia="宋体" w:hAnsi="Times New Roman" w:cs="Times New Roman"/>
          <w:sz w:val="22"/>
        </w:rPr>
        <w:t>consolidating the procedural aspect of the insolvency rather than the actual entities</w:t>
      </w:r>
      <w:r w:rsidRPr="00411CEC">
        <w:rPr>
          <w:rFonts w:ascii="Times New Roman" w:eastAsia="宋体" w:hAnsi="Times New Roman" w:cs="Times New Roman"/>
          <w:sz w:val="22"/>
        </w:rPr>
        <w:t xml:space="preserve">, is not </w:t>
      </w:r>
      <w:r w:rsidR="00805887" w:rsidRPr="00411CEC">
        <w:rPr>
          <w:rFonts w:ascii="Times New Roman" w:eastAsia="宋体" w:hAnsi="Times New Roman" w:cs="Times New Roman"/>
          <w:sz w:val="22"/>
        </w:rPr>
        <w:t>onl</w:t>
      </w:r>
      <w:r w:rsidRPr="00411CEC">
        <w:rPr>
          <w:rFonts w:ascii="Times New Roman" w:eastAsia="宋体" w:hAnsi="Times New Roman" w:cs="Times New Roman"/>
          <w:sz w:val="22"/>
        </w:rPr>
        <w:t xml:space="preserve">y </w:t>
      </w:r>
      <w:r w:rsidRPr="00411CEC">
        <w:rPr>
          <w:rFonts w:ascii="Times New Roman" w:eastAsia="宋体" w:hAnsi="Times New Roman" w:cs="Times New Roman"/>
          <w:sz w:val="22"/>
        </w:rPr>
        <w:t xml:space="preserve">the necessary </w:t>
      </w:r>
      <w:r w:rsidRPr="00411CEC">
        <w:rPr>
          <w:rFonts w:ascii="Times New Roman" w:eastAsia="宋体" w:hAnsi="Times New Roman" w:cs="Times New Roman"/>
          <w:sz w:val="22"/>
        </w:rPr>
        <w:t xml:space="preserve">but also </w:t>
      </w:r>
      <w:r w:rsidRPr="00411CEC">
        <w:rPr>
          <w:rFonts w:ascii="Times New Roman" w:eastAsia="宋体" w:hAnsi="Times New Roman" w:cs="Times New Roman"/>
          <w:sz w:val="22"/>
        </w:rPr>
        <w:t xml:space="preserve">sufficient mechanism to facilitate the insolvency process. </w:t>
      </w:r>
    </w:p>
    <w:p w14:paraId="1CB7577B" w14:textId="192A4D06" w:rsidR="00824C1E" w:rsidRDefault="00824C1E" w:rsidP="000B42E8">
      <w:pPr>
        <w:spacing w:afterLines="50" w:after="156" w:line="360" w:lineRule="auto"/>
        <w:rPr>
          <w:rFonts w:ascii="Times New Roman" w:eastAsia="宋体" w:hAnsi="Times New Roman" w:cs="Times New Roman"/>
          <w:sz w:val="22"/>
        </w:rPr>
      </w:pPr>
    </w:p>
    <w:p w14:paraId="06D9AB89" w14:textId="3D82FCB7" w:rsidR="00CD574B" w:rsidRPr="00CD574B" w:rsidRDefault="00CD574B" w:rsidP="000B42E8">
      <w:pPr>
        <w:spacing w:afterLines="50" w:after="156" w:line="360" w:lineRule="auto"/>
        <w:rPr>
          <w:rFonts w:ascii="Times New Roman" w:eastAsia="宋体" w:hAnsi="Times New Roman" w:cs="Times New Roman"/>
          <w:b/>
          <w:bCs/>
          <w:sz w:val="22"/>
        </w:rPr>
      </w:pPr>
      <w:r w:rsidRPr="00CD574B">
        <w:rPr>
          <w:rFonts w:ascii="Times New Roman" w:eastAsia="宋体" w:hAnsi="Times New Roman" w:cs="Times New Roman"/>
          <w:b/>
          <w:bCs/>
          <w:sz w:val="22"/>
        </w:rPr>
        <w:t>Bibliography</w:t>
      </w:r>
    </w:p>
    <w:p w14:paraId="4CA2B862" w14:textId="54CE6B50" w:rsidR="00CD574B" w:rsidRDefault="00CD574B" w:rsidP="00CD574B">
      <w:pPr>
        <w:spacing w:afterLines="50" w:after="156"/>
        <w:rPr>
          <w:rFonts w:ascii="Times New Roman" w:hAnsi="Times New Roman" w:cs="Times New Roman"/>
        </w:rPr>
      </w:pPr>
      <w:r w:rsidRPr="00411CEC">
        <w:rPr>
          <w:rFonts w:ascii="Times New Roman" w:hAnsi="Times New Roman" w:cs="Times New Roman"/>
        </w:rPr>
        <w:t xml:space="preserve">Alexandra CC Ragan, Comment, </w:t>
      </w:r>
      <w:proofErr w:type="spellStart"/>
      <w:r w:rsidRPr="00411CEC">
        <w:rPr>
          <w:rFonts w:ascii="Times New Roman" w:hAnsi="Times New Roman" w:cs="Times New Roman"/>
        </w:rPr>
        <w:t>Comi</w:t>
      </w:r>
      <w:proofErr w:type="spellEnd"/>
      <w:r w:rsidRPr="00411CEC">
        <w:rPr>
          <w:rFonts w:ascii="Times New Roman" w:hAnsi="Times New Roman" w:cs="Times New Roman"/>
        </w:rPr>
        <w:t xml:space="preserve"> Strikes </w:t>
      </w:r>
      <w:proofErr w:type="gramStart"/>
      <w:r w:rsidRPr="00411CEC">
        <w:rPr>
          <w:rFonts w:ascii="Times New Roman" w:hAnsi="Times New Roman" w:cs="Times New Roman"/>
        </w:rPr>
        <w:t>A</w:t>
      </w:r>
      <w:proofErr w:type="gramEnd"/>
      <w:r w:rsidRPr="00411CEC">
        <w:rPr>
          <w:rFonts w:ascii="Times New Roman" w:hAnsi="Times New Roman" w:cs="Times New Roman"/>
        </w:rPr>
        <w:t xml:space="preserve"> Discordant Note: Why U.S. Courts Are Not in Complete Harmony Despite Chapter 15 Directives, 27 EMORY BANKR. DEV. J. 117, 168 (2010).</w:t>
      </w:r>
    </w:p>
    <w:p w14:paraId="16D0B76B" w14:textId="4C00900A" w:rsidR="00CD574B" w:rsidRDefault="00CD574B" w:rsidP="00CD574B">
      <w:pPr>
        <w:spacing w:afterLines="50" w:after="156"/>
        <w:rPr>
          <w:rFonts w:ascii="Times New Roman" w:hAnsi="Times New Roman" w:cs="Times New Roman"/>
        </w:rPr>
      </w:pPr>
      <w:proofErr w:type="spellStart"/>
      <w:r w:rsidRPr="00411CEC">
        <w:rPr>
          <w:rFonts w:ascii="Times New Roman" w:hAnsi="Times New Roman" w:cs="Times New Roman"/>
        </w:rPr>
        <w:t>Daoning</w:t>
      </w:r>
      <w:proofErr w:type="spellEnd"/>
      <w:r w:rsidRPr="00411CEC">
        <w:rPr>
          <w:rFonts w:ascii="Times New Roman" w:hAnsi="Times New Roman" w:cs="Times New Roman"/>
        </w:rPr>
        <w:t xml:space="preserve"> Zhang, Preventive Restructuring Frameworks: A Possible Solution for Financially Distressed Multinational Corporate Groups in the EU, </w:t>
      </w:r>
      <w:r w:rsidRPr="00411CEC">
        <w:rPr>
          <w:rFonts w:ascii="Times New Roman" w:hAnsi="Times New Roman" w:cs="Times New Roman"/>
          <w:i/>
          <w:iCs/>
        </w:rPr>
        <w:t>European Business Organization Law Review</w:t>
      </w:r>
      <w:r w:rsidRPr="00411CEC">
        <w:rPr>
          <w:rFonts w:ascii="Times New Roman" w:hAnsi="Times New Roman" w:cs="Times New Roman"/>
        </w:rPr>
        <w:t xml:space="preserve"> 20: 285-318 (2019).</w:t>
      </w:r>
    </w:p>
    <w:p w14:paraId="7EF0E643" w14:textId="766643CC" w:rsidR="00CD574B" w:rsidRDefault="00CD574B" w:rsidP="00CD574B">
      <w:pPr>
        <w:spacing w:afterLines="50" w:after="156"/>
        <w:rPr>
          <w:rFonts w:ascii="Times New Roman" w:hAnsi="Times New Roman" w:cs="Times New Roman"/>
        </w:rPr>
      </w:pPr>
      <w:r w:rsidRPr="00411CEC">
        <w:rPr>
          <w:rFonts w:ascii="Times New Roman" w:hAnsi="Times New Roman" w:cs="Times New Roman"/>
        </w:rPr>
        <w:t xml:space="preserve">Janis </w:t>
      </w:r>
      <w:proofErr w:type="spellStart"/>
      <w:r w:rsidRPr="00411CEC">
        <w:rPr>
          <w:rFonts w:ascii="Times New Roman" w:hAnsi="Times New Roman" w:cs="Times New Roman"/>
        </w:rPr>
        <w:t>Sarra</w:t>
      </w:r>
      <w:proofErr w:type="spellEnd"/>
      <w:r w:rsidRPr="00411CEC">
        <w:rPr>
          <w:rFonts w:ascii="Times New Roman" w:hAnsi="Times New Roman" w:cs="Times New Roman"/>
        </w:rPr>
        <w:t>, Oversight and Financing of Cross-Border Business Enterprise Group Insolvency Proceedings, 44 TEX. INT’L L.J. 547, 562 (2009).</w:t>
      </w:r>
    </w:p>
    <w:p w14:paraId="4C43D707" w14:textId="619D135D" w:rsidR="00CD574B" w:rsidRDefault="00CD574B" w:rsidP="00CD574B">
      <w:pPr>
        <w:spacing w:afterLines="50" w:after="156"/>
        <w:rPr>
          <w:rFonts w:ascii="Times New Roman" w:hAnsi="Times New Roman" w:cs="Times New Roman"/>
        </w:rPr>
      </w:pPr>
      <w:r w:rsidRPr="00411CEC">
        <w:rPr>
          <w:rFonts w:ascii="Times New Roman" w:hAnsi="Times New Roman" w:cs="Times New Roman"/>
        </w:rPr>
        <w:t xml:space="preserve">Jones Day Publications, The rational against Substantive Consolidation of </w:t>
      </w:r>
      <w:proofErr w:type="spellStart"/>
      <w:r w:rsidRPr="00411CEC">
        <w:rPr>
          <w:rFonts w:ascii="Times New Roman" w:hAnsi="Times New Roman" w:cs="Times New Roman"/>
        </w:rPr>
        <w:t>Nondebtor</w:t>
      </w:r>
      <w:proofErr w:type="spellEnd"/>
      <w:r w:rsidRPr="00411CEC">
        <w:rPr>
          <w:rFonts w:ascii="Times New Roman" w:hAnsi="Times New Roman" w:cs="Times New Roman"/>
        </w:rPr>
        <w:t xml:space="preserve"> Entities: Florida on the Front Line, </w:t>
      </w:r>
      <w:hyperlink r:id="rId8" w:history="1">
        <w:r w:rsidRPr="00411CEC">
          <w:rPr>
            <w:rStyle w:val="a3"/>
            <w:rFonts w:ascii="Times New Roman" w:hAnsi="Times New Roman" w:cs="Times New Roman"/>
          </w:rPr>
          <w:t>https://www.jonesday.com/en/insights/2012/04/the-rationale-against-substantive-consolidation-of-nondebtor-entities-florida-on-the-front-line</w:t>
        </w:r>
      </w:hyperlink>
      <w:r w:rsidRPr="00411CEC">
        <w:rPr>
          <w:rFonts w:ascii="Times New Roman" w:hAnsi="Times New Roman" w:cs="Times New Roman"/>
        </w:rPr>
        <w:t>, last visited 6 February 2022.</w:t>
      </w:r>
    </w:p>
    <w:p w14:paraId="3BAD7C23" w14:textId="02EBD7F4" w:rsidR="00CD574B" w:rsidRDefault="00CD574B" w:rsidP="00CD574B">
      <w:pPr>
        <w:spacing w:afterLines="50" w:after="156"/>
        <w:rPr>
          <w:rFonts w:ascii="Times New Roman" w:hAnsi="Times New Roman" w:cs="Times New Roman"/>
        </w:rPr>
      </w:pPr>
      <w:r w:rsidRPr="00411CEC">
        <w:rPr>
          <w:rFonts w:ascii="Times New Roman" w:hAnsi="Times New Roman" w:cs="Times New Roman"/>
        </w:rPr>
        <w:t xml:space="preserve">Joy Flowers Conti, An Analytical Model for Substantive Consolidation of Bankruptcy Case, The </w:t>
      </w:r>
      <w:r w:rsidRPr="00411CEC">
        <w:rPr>
          <w:rFonts w:ascii="Times New Roman" w:hAnsi="Times New Roman" w:cs="Times New Roman"/>
        </w:rPr>
        <w:lastRenderedPageBreak/>
        <w:t>Business Lawyer, Vol. 38, No.3 (May 1983), pp. 855-865.</w:t>
      </w:r>
    </w:p>
    <w:p w14:paraId="2CC84E1C" w14:textId="1B6950EF" w:rsidR="00CD574B" w:rsidRDefault="00CD574B" w:rsidP="00CD574B">
      <w:pPr>
        <w:spacing w:afterLines="50" w:after="156"/>
        <w:rPr>
          <w:rFonts w:ascii="Times New Roman" w:hAnsi="Times New Roman" w:cs="Times New Roman"/>
        </w:rPr>
      </w:pPr>
      <w:r w:rsidRPr="00411CEC">
        <w:rPr>
          <w:rFonts w:ascii="Times New Roman" w:hAnsi="Times New Roman" w:cs="Times New Roman"/>
        </w:rPr>
        <w:t xml:space="preserve">Nora </w:t>
      </w:r>
      <w:proofErr w:type="spellStart"/>
      <w:r w:rsidRPr="00411CEC">
        <w:rPr>
          <w:rFonts w:ascii="Times New Roman" w:hAnsi="Times New Roman" w:cs="Times New Roman"/>
        </w:rPr>
        <w:t>Wouters</w:t>
      </w:r>
      <w:proofErr w:type="spellEnd"/>
      <w:r w:rsidRPr="00411CEC">
        <w:rPr>
          <w:rFonts w:ascii="Times New Roman" w:hAnsi="Times New Roman" w:cs="Times New Roman"/>
        </w:rPr>
        <w:t xml:space="preserve">, </w:t>
      </w:r>
      <w:proofErr w:type="spellStart"/>
      <w:r w:rsidRPr="00411CEC">
        <w:rPr>
          <w:rFonts w:ascii="Times New Roman" w:hAnsi="Times New Roman" w:cs="Times New Roman"/>
        </w:rPr>
        <w:t>Alla</w:t>
      </w:r>
      <w:proofErr w:type="spellEnd"/>
      <w:r w:rsidRPr="00411CEC">
        <w:rPr>
          <w:rFonts w:ascii="Times New Roman" w:hAnsi="Times New Roman" w:cs="Times New Roman"/>
        </w:rPr>
        <w:t xml:space="preserve"> </w:t>
      </w:r>
      <w:proofErr w:type="spellStart"/>
      <w:r w:rsidRPr="00411CEC">
        <w:rPr>
          <w:rFonts w:ascii="Times New Roman" w:hAnsi="Times New Roman" w:cs="Times New Roman"/>
        </w:rPr>
        <w:t>Raykin</w:t>
      </w:r>
      <w:proofErr w:type="spellEnd"/>
      <w:r w:rsidRPr="00411CEC">
        <w:rPr>
          <w:rFonts w:ascii="Times New Roman" w:hAnsi="Times New Roman" w:cs="Times New Roman"/>
        </w:rPr>
        <w:t xml:space="preserve">, Corporate Group Cross-border Insolvencies between the United States &amp; European Union: Legal &amp; Economic Developments, </w:t>
      </w:r>
      <w:r w:rsidRPr="00411CEC">
        <w:rPr>
          <w:rFonts w:ascii="Times New Roman" w:hAnsi="Times New Roman" w:cs="Times New Roman"/>
          <w:i/>
          <w:iCs/>
        </w:rPr>
        <w:t>Emory Bankruptcy Developments Journal</w:t>
      </w:r>
      <w:r w:rsidRPr="00411CEC">
        <w:rPr>
          <w:rFonts w:ascii="Times New Roman" w:hAnsi="Times New Roman" w:cs="Times New Roman"/>
        </w:rPr>
        <w:t>, Vol.29 (2013), pp.387-425.</w:t>
      </w:r>
    </w:p>
    <w:p w14:paraId="131D4E02" w14:textId="43A954C7" w:rsidR="00CD574B" w:rsidRDefault="00CD574B" w:rsidP="00CD574B">
      <w:pPr>
        <w:spacing w:afterLines="50" w:after="156"/>
        <w:rPr>
          <w:rFonts w:ascii="Times New Roman" w:hAnsi="Times New Roman" w:cs="Times New Roman"/>
        </w:rPr>
      </w:pPr>
      <w:r w:rsidRPr="00411CEC">
        <w:rPr>
          <w:rFonts w:ascii="Times New Roman" w:hAnsi="Times New Roman" w:cs="Times New Roman"/>
        </w:rPr>
        <w:t>Samuel L. Bufford, Coordination Insolvency Cases for International Enterprise Groups: A Proposal, 86 Am, Banker. L. J. 685,692 (2012)</w:t>
      </w:r>
      <w:r>
        <w:rPr>
          <w:rFonts w:ascii="Times New Roman" w:hAnsi="Times New Roman" w:cs="Times New Roman"/>
        </w:rPr>
        <w:t>.</w:t>
      </w:r>
    </w:p>
    <w:p w14:paraId="0EEACABF" w14:textId="77777777" w:rsidR="00CD574B" w:rsidRPr="00411CEC" w:rsidRDefault="00CD574B" w:rsidP="00CD574B">
      <w:pPr>
        <w:spacing w:afterLines="50" w:after="156"/>
        <w:rPr>
          <w:rFonts w:ascii="Times New Roman" w:eastAsia="宋体" w:hAnsi="Times New Roman" w:cs="Times New Roman" w:hint="eastAsia"/>
          <w:sz w:val="22"/>
        </w:rPr>
      </w:pPr>
    </w:p>
    <w:sectPr w:rsidR="00CD574B" w:rsidRPr="00411C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C875" w14:textId="77777777" w:rsidR="001553F0" w:rsidRDefault="001553F0" w:rsidP="009740C0">
      <w:r>
        <w:separator/>
      </w:r>
    </w:p>
  </w:endnote>
  <w:endnote w:type="continuationSeparator" w:id="0">
    <w:p w14:paraId="6AD15A03" w14:textId="77777777" w:rsidR="001553F0" w:rsidRDefault="001553F0" w:rsidP="0097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C409" w14:textId="77777777" w:rsidR="001553F0" w:rsidRDefault="001553F0" w:rsidP="009740C0">
      <w:r>
        <w:separator/>
      </w:r>
    </w:p>
  </w:footnote>
  <w:footnote w:type="continuationSeparator" w:id="0">
    <w:p w14:paraId="5C65931C" w14:textId="77777777" w:rsidR="001553F0" w:rsidRDefault="001553F0" w:rsidP="009740C0">
      <w:r>
        <w:continuationSeparator/>
      </w:r>
    </w:p>
  </w:footnote>
  <w:footnote w:id="1">
    <w:p w14:paraId="50AC5F13" w14:textId="0578C29F" w:rsidR="00544E48" w:rsidRPr="00411CEC" w:rsidRDefault="00544E48">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bookmarkStart w:id="0" w:name="_Hlk95170595"/>
      <w:r w:rsidRPr="00411CEC">
        <w:rPr>
          <w:rFonts w:ascii="Times New Roman" w:hAnsi="Times New Roman" w:cs="Times New Roman"/>
        </w:rPr>
        <w:t>Samuel L. Bufford, Coordination Insolvency Cases for International Enterprise Groups: A Proposal, 86 Am, Banker. L. J. 685,692 (2012)</w:t>
      </w:r>
      <w:bookmarkEnd w:id="0"/>
      <w:r w:rsidR="00CD574B">
        <w:rPr>
          <w:rFonts w:ascii="Times New Roman" w:hAnsi="Times New Roman" w:cs="Times New Roman"/>
        </w:rPr>
        <w:t>.</w:t>
      </w:r>
    </w:p>
  </w:footnote>
  <w:footnote w:id="2">
    <w:p w14:paraId="09124AF6" w14:textId="444711BE" w:rsidR="001C2819" w:rsidRPr="00411CEC" w:rsidRDefault="001C2819">
      <w:pPr>
        <w:pStyle w:val="a5"/>
        <w:rPr>
          <w:rFonts w:ascii="Times New Roman" w:hAnsi="Times New Roman" w:cs="Times New Roman"/>
        </w:rPr>
      </w:pPr>
      <w:r>
        <w:rPr>
          <w:rStyle w:val="a7"/>
        </w:rPr>
        <w:footnoteRef/>
      </w:r>
      <w:r w:rsidRPr="00411CEC">
        <w:rPr>
          <w:rFonts w:ascii="Times New Roman" w:hAnsi="Times New Roman" w:cs="Times New Roman"/>
        </w:rPr>
        <w:t xml:space="preserve"> </w:t>
      </w:r>
      <w:r w:rsidRPr="00411CEC">
        <w:rPr>
          <w:rFonts w:ascii="Times New Roman" w:hAnsi="Times New Roman" w:cs="Times New Roman"/>
        </w:rPr>
        <w:t>Samuel L. Bufford, Coordination of Insolvency Cases for International Enterprise Groups: A Proposal, 86 AM. BANKR. L.J. 685, 692 (2012).</w:t>
      </w:r>
    </w:p>
  </w:footnote>
  <w:footnote w:id="3">
    <w:p w14:paraId="2B68F6F0" w14:textId="71534DDE" w:rsidR="00A93966" w:rsidRPr="00411CEC" w:rsidRDefault="00A93966">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bookmarkStart w:id="1" w:name="_Hlk95170639"/>
      <w:r w:rsidRPr="00411CEC">
        <w:rPr>
          <w:rFonts w:ascii="Times New Roman" w:hAnsi="Times New Roman" w:cs="Times New Roman"/>
        </w:rPr>
        <w:t>Joy Flowers Conti, An Analytical Model for Substantive Consolidation of Bankruptcy Case, The Business Lawyer, Vol. 38, No.3 (May 1983), pp. 855-865.</w:t>
      </w:r>
      <w:bookmarkEnd w:id="1"/>
      <w:r w:rsidRPr="00411CEC">
        <w:rPr>
          <w:rFonts w:ascii="Times New Roman" w:hAnsi="Times New Roman" w:cs="Times New Roman"/>
        </w:rPr>
        <w:t xml:space="preserve"> </w:t>
      </w:r>
    </w:p>
  </w:footnote>
  <w:footnote w:id="4">
    <w:p w14:paraId="6AE16046" w14:textId="7F3EEBD2" w:rsidR="00852856" w:rsidRPr="00411CEC" w:rsidRDefault="00852856">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proofErr w:type="spellStart"/>
      <w:r w:rsidRPr="00411CEC">
        <w:rPr>
          <w:rFonts w:ascii="Times New Roman" w:hAnsi="Times New Roman" w:cs="Times New Roman"/>
        </w:rPr>
        <w:t>Daoning</w:t>
      </w:r>
      <w:proofErr w:type="spellEnd"/>
      <w:r w:rsidRPr="00411CEC">
        <w:rPr>
          <w:rFonts w:ascii="Times New Roman" w:hAnsi="Times New Roman" w:cs="Times New Roman"/>
        </w:rPr>
        <w:t xml:space="preserve"> Zhang, Preventive Restructuring Frameworks: A Possible Solution for Financially Distressed Multinational Corporate Groups in the EU, </w:t>
      </w:r>
      <w:r w:rsidRPr="00411CEC">
        <w:rPr>
          <w:rFonts w:ascii="Times New Roman" w:hAnsi="Times New Roman" w:cs="Times New Roman"/>
          <w:i/>
          <w:iCs/>
        </w:rPr>
        <w:t>European Business Organization Law Review</w:t>
      </w:r>
      <w:r w:rsidRPr="00411CEC">
        <w:rPr>
          <w:rFonts w:ascii="Times New Roman" w:hAnsi="Times New Roman" w:cs="Times New Roman"/>
        </w:rPr>
        <w:t xml:space="preserve"> </w:t>
      </w:r>
      <w:r w:rsidR="00807663" w:rsidRPr="00411CEC">
        <w:rPr>
          <w:rFonts w:ascii="Times New Roman" w:hAnsi="Times New Roman" w:cs="Times New Roman"/>
        </w:rPr>
        <w:t xml:space="preserve">20: 285-318 </w:t>
      </w:r>
      <w:r w:rsidRPr="00411CEC">
        <w:rPr>
          <w:rFonts w:ascii="Times New Roman" w:hAnsi="Times New Roman" w:cs="Times New Roman"/>
        </w:rPr>
        <w:t>(2019)</w:t>
      </w:r>
      <w:r w:rsidR="00807663" w:rsidRPr="00411CEC">
        <w:rPr>
          <w:rFonts w:ascii="Times New Roman" w:hAnsi="Times New Roman" w:cs="Times New Roman"/>
        </w:rPr>
        <w:t>.</w:t>
      </w:r>
    </w:p>
  </w:footnote>
  <w:footnote w:id="5">
    <w:p w14:paraId="63F9AB9A" w14:textId="7DD3C7F7" w:rsidR="009740C0" w:rsidRPr="00411CEC" w:rsidRDefault="009740C0">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Samuel L. Bufford, Coordination Insolvency Cases for International Enterprise Groups: A Proposal, 86 Am, </w:t>
      </w:r>
      <w:r w:rsidRPr="00411CEC">
        <w:rPr>
          <w:rFonts w:ascii="Times New Roman" w:hAnsi="Times New Roman" w:cs="Times New Roman"/>
          <w:i/>
          <w:iCs/>
        </w:rPr>
        <w:t>Banker. L. J.</w:t>
      </w:r>
      <w:r w:rsidRPr="00411CEC">
        <w:rPr>
          <w:rFonts w:ascii="Times New Roman" w:hAnsi="Times New Roman" w:cs="Times New Roman"/>
        </w:rPr>
        <w:t xml:space="preserve"> 685,692 (2012)</w:t>
      </w:r>
    </w:p>
  </w:footnote>
  <w:footnote w:id="6">
    <w:p w14:paraId="7B95F429" w14:textId="06726057" w:rsidR="00775208" w:rsidRPr="00411CEC" w:rsidRDefault="00775208">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Nora </w:t>
      </w:r>
      <w:proofErr w:type="spellStart"/>
      <w:r w:rsidRPr="00411CEC">
        <w:rPr>
          <w:rFonts w:ascii="Times New Roman" w:hAnsi="Times New Roman" w:cs="Times New Roman"/>
        </w:rPr>
        <w:t>Wouters</w:t>
      </w:r>
      <w:proofErr w:type="spellEnd"/>
      <w:r w:rsidRPr="00411CEC">
        <w:rPr>
          <w:rFonts w:ascii="Times New Roman" w:hAnsi="Times New Roman" w:cs="Times New Roman"/>
        </w:rPr>
        <w:t xml:space="preserve">, </w:t>
      </w:r>
      <w:proofErr w:type="spellStart"/>
      <w:r w:rsidRPr="00411CEC">
        <w:rPr>
          <w:rFonts w:ascii="Times New Roman" w:hAnsi="Times New Roman" w:cs="Times New Roman"/>
        </w:rPr>
        <w:t>Alla</w:t>
      </w:r>
      <w:proofErr w:type="spellEnd"/>
      <w:r w:rsidRPr="00411CEC">
        <w:rPr>
          <w:rFonts w:ascii="Times New Roman" w:hAnsi="Times New Roman" w:cs="Times New Roman"/>
        </w:rPr>
        <w:t xml:space="preserve"> </w:t>
      </w:r>
      <w:proofErr w:type="spellStart"/>
      <w:r w:rsidRPr="00411CEC">
        <w:rPr>
          <w:rFonts w:ascii="Times New Roman" w:hAnsi="Times New Roman" w:cs="Times New Roman"/>
        </w:rPr>
        <w:t>Raykin</w:t>
      </w:r>
      <w:proofErr w:type="spellEnd"/>
      <w:r w:rsidRPr="00411CEC">
        <w:rPr>
          <w:rFonts w:ascii="Times New Roman" w:hAnsi="Times New Roman" w:cs="Times New Roman"/>
        </w:rPr>
        <w:t xml:space="preserve">, Corporate Group Cross-border Insolvencies between the United States &amp; European Union: Legal &amp; Economic Developments, </w:t>
      </w:r>
      <w:r w:rsidRPr="00411CEC">
        <w:rPr>
          <w:rFonts w:ascii="Times New Roman" w:hAnsi="Times New Roman" w:cs="Times New Roman"/>
          <w:i/>
          <w:iCs/>
        </w:rPr>
        <w:t>Emory Bankruptcy Developments Journal</w:t>
      </w:r>
      <w:r w:rsidRPr="00411CEC">
        <w:rPr>
          <w:rFonts w:ascii="Times New Roman" w:hAnsi="Times New Roman" w:cs="Times New Roman"/>
        </w:rPr>
        <w:t>, Vol.29 (2013), pp.387-425.</w:t>
      </w:r>
    </w:p>
  </w:footnote>
  <w:footnote w:id="7">
    <w:p w14:paraId="7E9BEA81" w14:textId="495493AB" w:rsidR="00095EFC" w:rsidRPr="00411CEC" w:rsidRDefault="00095EFC">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See </w:t>
      </w:r>
      <w:r w:rsidRPr="00411CEC">
        <w:rPr>
          <w:rFonts w:ascii="Times New Roman" w:hAnsi="Times New Roman" w:cs="Times New Roman"/>
        </w:rPr>
        <w:t>http://www.uncitral. org/pdf/english/texts/insolven/Leg-Guide-Insol-Part3-ebook-E.pdf</w:t>
      </w:r>
      <w:r w:rsidRPr="00411CEC">
        <w:rPr>
          <w:rFonts w:ascii="Times New Roman" w:hAnsi="Times New Roman" w:cs="Times New Roman"/>
        </w:rPr>
        <w:t>.</w:t>
      </w:r>
    </w:p>
  </w:footnote>
  <w:footnote w:id="8">
    <w:p w14:paraId="3D877C09" w14:textId="18DA909E" w:rsidR="00F904BC" w:rsidRPr="00411CEC" w:rsidRDefault="00F904BC">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r w:rsidRPr="00411CEC">
        <w:rPr>
          <w:rFonts w:ascii="Times New Roman" w:hAnsi="Times New Roman" w:cs="Times New Roman"/>
        </w:rPr>
        <w:t>EIR recast, Art. 2.</w:t>
      </w:r>
    </w:p>
  </w:footnote>
  <w:footnote w:id="9">
    <w:p w14:paraId="49B05642" w14:textId="25A436A8" w:rsidR="002736E6" w:rsidRPr="00411CEC" w:rsidRDefault="002736E6">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r w:rsidRPr="00411CEC">
        <w:rPr>
          <w:rFonts w:ascii="Times New Roman" w:hAnsi="Times New Roman" w:cs="Times New Roman"/>
        </w:rPr>
        <w:t xml:space="preserve">Janis </w:t>
      </w:r>
      <w:proofErr w:type="spellStart"/>
      <w:r w:rsidRPr="00411CEC">
        <w:rPr>
          <w:rFonts w:ascii="Times New Roman" w:hAnsi="Times New Roman" w:cs="Times New Roman"/>
        </w:rPr>
        <w:t>Sarra</w:t>
      </w:r>
      <w:proofErr w:type="spellEnd"/>
      <w:r w:rsidRPr="00411CEC">
        <w:rPr>
          <w:rFonts w:ascii="Times New Roman" w:hAnsi="Times New Roman" w:cs="Times New Roman"/>
        </w:rPr>
        <w:t>, Oversight and Financing of Cross-Border Business Enterprise Group Insolvency Proceedings, 44 TEX. INT’L L.J. 547, 562 (2009).</w:t>
      </w:r>
    </w:p>
  </w:footnote>
  <w:footnote w:id="10">
    <w:p w14:paraId="7AB94537" w14:textId="75DC207C" w:rsidR="00AD56E4" w:rsidRPr="00411CEC" w:rsidRDefault="00AD56E4">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bookmarkStart w:id="5" w:name="_Hlk95170764"/>
      <w:r w:rsidRPr="00411CEC">
        <w:rPr>
          <w:rFonts w:ascii="Times New Roman" w:hAnsi="Times New Roman" w:cs="Times New Roman"/>
        </w:rPr>
        <w:t xml:space="preserve">Alexandra CC Ragan, Comment, </w:t>
      </w:r>
      <w:proofErr w:type="spellStart"/>
      <w:r w:rsidRPr="00411CEC">
        <w:rPr>
          <w:rFonts w:ascii="Times New Roman" w:hAnsi="Times New Roman" w:cs="Times New Roman"/>
        </w:rPr>
        <w:t>Comi</w:t>
      </w:r>
      <w:proofErr w:type="spellEnd"/>
      <w:r w:rsidRPr="00411CEC">
        <w:rPr>
          <w:rFonts w:ascii="Times New Roman" w:hAnsi="Times New Roman" w:cs="Times New Roman"/>
        </w:rPr>
        <w:t xml:space="preserve"> Strikes </w:t>
      </w:r>
      <w:proofErr w:type="gramStart"/>
      <w:r w:rsidRPr="00411CEC">
        <w:rPr>
          <w:rFonts w:ascii="Times New Roman" w:hAnsi="Times New Roman" w:cs="Times New Roman"/>
        </w:rPr>
        <w:t>A</w:t>
      </w:r>
      <w:proofErr w:type="gramEnd"/>
      <w:r w:rsidRPr="00411CEC">
        <w:rPr>
          <w:rFonts w:ascii="Times New Roman" w:hAnsi="Times New Roman" w:cs="Times New Roman"/>
        </w:rPr>
        <w:t xml:space="preserve"> Discordant Note: Why U.S. Courts Are Not in Complete Harmony Despite Chapter 15 Directives, 27 EMORY BANKR. DEV. J. 117, 168 (2010).</w:t>
      </w:r>
      <w:bookmarkEnd w:id="5"/>
    </w:p>
  </w:footnote>
  <w:footnote w:id="11">
    <w:p w14:paraId="17B902B0" w14:textId="1E9B6AAF" w:rsidR="00B83F80" w:rsidRPr="00411CEC" w:rsidRDefault="00B83F80">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Jones Day Publications, The rational against Substantive Consolidation of </w:t>
      </w:r>
      <w:proofErr w:type="spellStart"/>
      <w:r w:rsidRPr="00411CEC">
        <w:rPr>
          <w:rFonts w:ascii="Times New Roman" w:hAnsi="Times New Roman" w:cs="Times New Roman"/>
        </w:rPr>
        <w:t>Nondebtor</w:t>
      </w:r>
      <w:proofErr w:type="spellEnd"/>
      <w:r w:rsidRPr="00411CEC">
        <w:rPr>
          <w:rFonts w:ascii="Times New Roman" w:hAnsi="Times New Roman" w:cs="Times New Roman"/>
        </w:rPr>
        <w:t xml:space="preserve"> Entities: Florida on the Front Line, </w:t>
      </w:r>
      <w:hyperlink r:id="rId1" w:history="1">
        <w:r w:rsidRPr="00411CEC">
          <w:rPr>
            <w:rStyle w:val="a3"/>
            <w:rFonts w:ascii="Times New Roman" w:hAnsi="Times New Roman" w:cs="Times New Roman"/>
          </w:rPr>
          <w:t>https://www.jonesday.com/en/insights/2012/04/the-rationale-against-substantive-consolidation-of-nondebtor-entities-florida-on-the-front-line</w:t>
        </w:r>
      </w:hyperlink>
      <w:r w:rsidRPr="00411CEC">
        <w:rPr>
          <w:rFonts w:ascii="Times New Roman" w:hAnsi="Times New Roman" w:cs="Times New Roman"/>
        </w:rPr>
        <w:t>, last visited 6 February 2022.</w:t>
      </w:r>
    </w:p>
  </w:footnote>
  <w:footnote w:id="12">
    <w:p w14:paraId="16CC03D4" w14:textId="13725BB2" w:rsidR="00044A74" w:rsidRPr="00411CEC" w:rsidRDefault="00044A74">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r w:rsidRPr="00411CEC">
        <w:rPr>
          <w:rFonts w:ascii="Times New Roman" w:hAnsi="Times New Roman" w:cs="Times New Roman"/>
        </w:rPr>
        <w:t>In re Owens Corning, 419 F.3d 195 (3d Cir. 2005)</w:t>
      </w:r>
    </w:p>
  </w:footnote>
  <w:footnote w:id="13">
    <w:p w14:paraId="60C9973C" w14:textId="0B2E5DB0" w:rsidR="00B1696C" w:rsidRPr="00411CEC" w:rsidRDefault="00B1696C">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r w:rsidRPr="00411CEC">
        <w:rPr>
          <w:rFonts w:ascii="Times New Roman" w:hAnsi="Times New Roman" w:cs="Times New Roman"/>
        </w:rPr>
        <w:t xml:space="preserve">Rubin v </w:t>
      </w:r>
      <w:proofErr w:type="spellStart"/>
      <w:r w:rsidRPr="00411CEC">
        <w:rPr>
          <w:rFonts w:ascii="Times New Roman" w:hAnsi="Times New Roman" w:cs="Times New Roman"/>
        </w:rPr>
        <w:t>Eurofinance</w:t>
      </w:r>
      <w:proofErr w:type="spellEnd"/>
      <w:r w:rsidRPr="00411CEC">
        <w:rPr>
          <w:rFonts w:ascii="Times New Roman" w:hAnsi="Times New Roman" w:cs="Times New Roman"/>
        </w:rPr>
        <w:t xml:space="preserve"> S.A. [2012] UKSC 46.</w:t>
      </w:r>
    </w:p>
  </w:footnote>
  <w:footnote w:id="14">
    <w:p w14:paraId="0DA00F9C" w14:textId="15A26D37" w:rsidR="00805887" w:rsidRPr="00411CEC" w:rsidRDefault="00805887">
      <w:pPr>
        <w:pStyle w:val="a5"/>
        <w:rPr>
          <w:rFonts w:ascii="Times New Roman" w:hAnsi="Times New Roman" w:cs="Times New Roman"/>
        </w:rPr>
      </w:pPr>
      <w:r w:rsidRPr="00411CEC">
        <w:rPr>
          <w:rStyle w:val="a7"/>
          <w:rFonts w:ascii="Times New Roman" w:hAnsi="Times New Roman" w:cs="Times New Roman"/>
        </w:rPr>
        <w:footnoteRef/>
      </w:r>
      <w:r w:rsidRPr="00411CEC">
        <w:rPr>
          <w:rFonts w:ascii="Times New Roman" w:hAnsi="Times New Roman" w:cs="Times New Roman"/>
        </w:rPr>
        <w:t xml:space="preserve"> </w:t>
      </w:r>
      <w:proofErr w:type="spellStart"/>
      <w:r w:rsidRPr="00411CEC">
        <w:rPr>
          <w:rFonts w:ascii="Times New Roman" w:hAnsi="Times New Roman" w:cs="Times New Roman"/>
        </w:rPr>
        <w:t>Daoning</w:t>
      </w:r>
      <w:proofErr w:type="spellEnd"/>
      <w:r w:rsidRPr="00411CEC">
        <w:rPr>
          <w:rFonts w:ascii="Times New Roman" w:hAnsi="Times New Roman" w:cs="Times New Roman"/>
        </w:rPr>
        <w:t xml:space="preserve"> Zhang, Preventive Restructuring Frameworks: A Possible Solution for Financially Distressed Multinational Corporate Groups in the EU, </w:t>
      </w:r>
      <w:r w:rsidRPr="00411CEC">
        <w:rPr>
          <w:rFonts w:ascii="Times New Roman" w:hAnsi="Times New Roman" w:cs="Times New Roman"/>
          <w:i/>
          <w:iCs/>
        </w:rPr>
        <w:t>European Business Organization Law Review</w:t>
      </w:r>
      <w:r w:rsidRPr="00411CEC">
        <w:rPr>
          <w:rFonts w:ascii="Times New Roman" w:hAnsi="Times New Roman" w:cs="Times New Roman"/>
        </w:rPr>
        <w:t xml:space="preserve"> 20: 285-318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70E"/>
    <w:multiLevelType w:val="hybridMultilevel"/>
    <w:tmpl w:val="1732523A"/>
    <w:lvl w:ilvl="0" w:tplc="7A72D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B03B87"/>
    <w:multiLevelType w:val="hybridMultilevel"/>
    <w:tmpl w:val="3196D026"/>
    <w:lvl w:ilvl="0" w:tplc="ADDC6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AB"/>
    <w:rsid w:val="00044A74"/>
    <w:rsid w:val="00095EFC"/>
    <w:rsid w:val="000B42E8"/>
    <w:rsid w:val="001056DA"/>
    <w:rsid w:val="001553F0"/>
    <w:rsid w:val="001C2819"/>
    <w:rsid w:val="001E6A8B"/>
    <w:rsid w:val="00202881"/>
    <w:rsid w:val="00205D7C"/>
    <w:rsid w:val="0020667F"/>
    <w:rsid w:val="00243E19"/>
    <w:rsid w:val="0025291F"/>
    <w:rsid w:val="002736E6"/>
    <w:rsid w:val="00292FD6"/>
    <w:rsid w:val="00317FD5"/>
    <w:rsid w:val="003945B6"/>
    <w:rsid w:val="00411CEC"/>
    <w:rsid w:val="00447067"/>
    <w:rsid w:val="00451927"/>
    <w:rsid w:val="004525FB"/>
    <w:rsid w:val="005071F6"/>
    <w:rsid w:val="00544E48"/>
    <w:rsid w:val="005575E8"/>
    <w:rsid w:val="00560E25"/>
    <w:rsid w:val="00587FAB"/>
    <w:rsid w:val="006317E4"/>
    <w:rsid w:val="00655DDA"/>
    <w:rsid w:val="006B2304"/>
    <w:rsid w:val="006C3C7E"/>
    <w:rsid w:val="006D05A1"/>
    <w:rsid w:val="00723FA6"/>
    <w:rsid w:val="007268C1"/>
    <w:rsid w:val="00775208"/>
    <w:rsid w:val="007B225E"/>
    <w:rsid w:val="007C61D4"/>
    <w:rsid w:val="007E6281"/>
    <w:rsid w:val="00805887"/>
    <w:rsid w:val="00807663"/>
    <w:rsid w:val="00824C1E"/>
    <w:rsid w:val="0084537A"/>
    <w:rsid w:val="00852856"/>
    <w:rsid w:val="008A06BA"/>
    <w:rsid w:val="008F4C4E"/>
    <w:rsid w:val="00902399"/>
    <w:rsid w:val="0092551A"/>
    <w:rsid w:val="00972505"/>
    <w:rsid w:val="009740C0"/>
    <w:rsid w:val="0098750F"/>
    <w:rsid w:val="009B415C"/>
    <w:rsid w:val="009B7CB3"/>
    <w:rsid w:val="009C7050"/>
    <w:rsid w:val="00A25C96"/>
    <w:rsid w:val="00A449BA"/>
    <w:rsid w:val="00A74443"/>
    <w:rsid w:val="00A93966"/>
    <w:rsid w:val="00AB4064"/>
    <w:rsid w:val="00AD56E4"/>
    <w:rsid w:val="00AF2A63"/>
    <w:rsid w:val="00B13C65"/>
    <w:rsid w:val="00B1696C"/>
    <w:rsid w:val="00B33A11"/>
    <w:rsid w:val="00B53996"/>
    <w:rsid w:val="00B83F80"/>
    <w:rsid w:val="00B869C4"/>
    <w:rsid w:val="00BA3FFC"/>
    <w:rsid w:val="00BB1B15"/>
    <w:rsid w:val="00BD4D21"/>
    <w:rsid w:val="00C3619B"/>
    <w:rsid w:val="00C50188"/>
    <w:rsid w:val="00CB1674"/>
    <w:rsid w:val="00CD574B"/>
    <w:rsid w:val="00CD7C70"/>
    <w:rsid w:val="00CF7DF8"/>
    <w:rsid w:val="00D06654"/>
    <w:rsid w:val="00D13420"/>
    <w:rsid w:val="00D2582B"/>
    <w:rsid w:val="00D64F1F"/>
    <w:rsid w:val="00DC70EE"/>
    <w:rsid w:val="00E9405F"/>
    <w:rsid w:val="00EE0881"/>
    <w:rsid w:val="00EF0364"/>
    <w:rsid w:val="00EF33F6"/>
    <w:rsid w:val="00EF5D65"/>
    <w:rsid w:val="00F070C9"/>
    <w:rsid w:val="00F86101"/>
    <w:rsid w:val="00F904BC"/>
    <w:rsid w:val="00F914BF"/>
    <w:rsid w:val="00FE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2075"/>
  <w15:chartTrackingRefBased/>
  <w15:docId w15:val="{E92EF962-B655-451D-9F8C-DEB5AD7A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18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399"/>
    <w:rPr>
      <w:color w:val="0563C1" w:themeColor="hyperlink"/>
      <w:u w:val="single"/>
    </w:rPr>
  </w:style>
  <w:style w:type="character" w:styleId="a4">
    <w:name w:val="Unresolved Mention"/>
    <w:basedOn w:val="a0"/>
    <w:uiPriority w:val="99"/>
    <w:semiHidden/>
    <w:unhideWhenUsed/>
    <w:rsid w:val="00902399"/>
    <w:rPr>
      <w:color w:val="605E5C"/>
      <w:shd w:val="clear" w:color="auto" w:fill="E1DFDD"/>
    </w:rPr>
  </w:style>
  <w:style w:type="paragraph" w:styleId="a5">
    <w:name w:val="footnote text"/>
    <w:basedOn w:val="a"/>
    <w:link w:val="a6"/>
    <w:uiPriority w:val="99"/>
    <w:semiHidden/>
    <w:unhideWhenUsed/>
    <w:rsid w:val="009740C0"/>
    <w:pPr>
      <w:snapToGrid w:val="0"/>
      <w:jc w:val="left"/>
    </w:pPr>
    <w:rPr>
      <w:sz w:val="18"/>
      <w:szCs w:val="18"/>
    </w:rPr>
  </w:style>
  <w:style w:type="character" w:customStyle="1" w:styleId="a6">
    <w:name w:val="脚注文本 字符"/>
    <w:basedOn w:val="a0"/>
    <w:link w:val="a5"/>
    <w:uiPriority w:val="99"/>
    <w:semiHidden/>
    <w:rsid w:val="009740C0"/>
    <w:rPr>
      <w:sz w:val="18"/>
      <w:szCs w:val="18"/>
    </w:rPr>
  </w:style>
  <w:style w:type="character" w:styleId="a7">
    <w:name w:val="footnote reference"/>
    <w:basedOn w:val="a0"/>
    <w:uiPriority w:val="99"/>
    <w:semiHidden/>
    <w:unhideWhenUsed/>
    <w:rsid w:val="009740C0"/>
    <w:rPr>
      <w:vertAlign w:val="superscript"/>
    </w:rPr>
  </w:style>
  <w:style w:type="paragraph" w:styleId="a8">
    <w:name w:val="List Paragraph"/>
    <w:basedOn w:val="a"/>
    <w:uiPriority w:val="34"/>
    <w:qFormat/>
    <w:rsid w:val="007268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nesday.com/en/insights/2012/04/the-rationale-against-substantive-consolidation-of-nondebtor-entities-florida-on-the-front-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onesday.com/en/insights/2012/04/the-rationale-against-substantive-consolidation-of-nondebtor-entities-florida-on-the-front-lin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8312-BAA5-48F9-B4FA-D95B7A1D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9372</TotalTime>
  <Pages>9</Pages>
  <Words>2626</Words>
  <Characters>14974</Characters>
  <Application>Microsoft Office Word</Application>
  <DocSecurity>0</DocSecurity>
  <Lines>124</Lines>
  <Paragraphs>35</Paragraphs>
  <ScaleCrop>false</ScaleCrop>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11627</dc:creator>
  <cp:keywords/>
  <dc:description/>
  <cp:lastModifiedBy>11627</cp:lastModifiedBy>
  <cp:revision>18</cp:revision>
  <dcterms:created xsi:type="dcterms:W3CDTF">2022-02-01T03:49:00Z</dcterms:created>
  <dcterms:modified xsi:type="dcterms:W3CDTF">2022-02-07T16:02:00Z</dcterms:modified>
</cp:coreProperties>
</file>