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AD40" w14:textId="77777777" w:rsidR="008D0D20" w:rsidRDefault="008D0D20" w:rsidP="005944AA">
      <w:pPr>
        <w:jc w:val="both"/>
        <w:rPr>
          <w:rFonts w:ascii="Arial" w:hAnsi="Arial" w:cs="Arial"/>
          <w:b/>
          <w:sz w:val="22"/>
          <w:szCs w:val="22"/>
          <w:u w:val="single"/>
          <w:lang w:val="en-GB"/>
        </w:rPr>
      </w:pPr>
    </w:p>
    <w:p w14:paraId="56805C20" w14:textId="26DF8D87" w:rsidR="008D0D20" w:rsidRPr="000C780F" w:rsidRDefault="00076AD3" w:rsidP="005944AA">
      <w:pPr>
        <w:jc w:val="both"/>
        <w:rPr>
          <w:rFonts w:ascii="Arial" w:hAnsi="Arial" w:cs="Arial"/>
          <w:b/>
          <w:sz w:val="22"/>
          <w:szCs w:val="22"/>
          <w:u w:val="single"/>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0C780F">
        <w:rPr>
          <w:rFonts w:ascii="Arial" w:hAnsi="Arial" w:cs="Arial"/>
          <w:b/>
          <w:sz w:val="22"/>
          <w:szCs w:val="22"/>
          <w:u w:val="single"/>
          <w:lang w:val="en-GB"/>
        </w:rPr>
        <w:t>TITLE:</w:t>
      </w:r>
    </w:p>
    <w:p w14:paraId="69454856" w14:textId="77777777" w:rsidR="00076AD3" w:rsidRPr="00076AD3" w:rsidRDefault="00076AD3" w:rsidP="005944AA">
      <w:pPr>
        <w:jc w:val="both"/>
        <w:rPr>
          <w:rFonts w:ascii="Arial" w:hAnsi="Arial" w:cs="Arial"/>
          <w:b/>
          <w:sz w:val="22"/>
          <w:szCs w:val="22"/>
          <w:lang w:val="en-GB"/>
        </w:rPr>
      </w:pPr>
    </w:p>
    <w:p w14:paraId="468DFBFB" w14:textId="38D174F3" w:rsidR="005944AA" w:rsidRDefault="00E218AC" w:rsidP="005944AA">
      <w:pPr>
        <w:jc w:val="both"/>
        <w:rPr>
          <w:rFonts w:ascii="Arial" w:hAnsi="Arial" w:cs="Arial"/>
          <w:b/>
          <w:sz w:val="22"/>
          <w:szCs w:val="22"/>
          <w:u w:val="single"/>
          <w:lang w:val="en-GB"/>
        </w:rPr>
      </w:pPr>
      <w:r>
        <w:rPr>
          <w:rFonts w:ascii="Arial" w:hAnsi="Arial" w:cs="Arial"/>
          <w:b/>
          <w:sz w:val="22"/>
          <w:szCs w:val="22"/>
          <w:u w:val="single"/>
          <w:lang w:val="en-GB"/>
        </w:rPr>
        <w:t>ANALYSE THE USE OF CROSS-BORDER PROTOCOLS IN CROSS-BORDER INSOLVENCY PROCEEDINGS</w:t>
      </w:r>
    </w:p>
    <w:p w14:paraId="5008AAF8" w14:textId="77777777" w:rsidR="005944AA" w:rsidRDefault="005944AA" w:rsidP="005944AA">
      <w:pPr>
        <w:jc w:val="both"/>
        <w:rPr>
          <w:rFonts w:ascii="Arial" w:hAnsi="Arial" w:cs="Arial"/>
          <w:b/>
          <w:sz w:val="22"/>
          <w:szCs w:val="22"/>
          <w:u w:val="single"/>
          <w:lang w:val="en-GB"/>
        </w:rPr>
      </w:pPr>
    </w:p>
    <w:p w14:paraId="7793BD50" w14:textId="477EE8B3" w:rsidR="005944AA" w:rsidRDefault="00E218AC" w:rsidP="005944AA">
      <w:pPr>
        <w:jc w:val="both"/>
        <w:rPr>
          <w:rFonts w:ascii="Arial" w:hAnsi="Arial" w:cs="Arial"/>
          <w:b/>
          <w:sz w:val="22"/>
          <w:szCs w:val="22"/>
          <w:u w:val="single"/>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u w:val="single"/>
          <w:lang w:val="en-GB"/>
        </w:rPr>
        <w:t>TABLE OF CONTENTS</w:t>
      </w:r>
    </w:p>
    <w:p w14:paraId="6AB1E534" w14:textId="45B2F559" w:rsidR="0025388A" w:rsidRDefault="0025388A" w:rsidP="005944AA">
      <w:pPr>
        <w:jc w:val="both"/>
        <w:rPr>
          <w:rFonts w:ascii="Arial" w:hAnsi="Arial" w:cs="Arial"/>
          <w:b/>
          <w:sz w:val="22"/>
          <w:szCs w:val="22"/>
          <w:u w:val="single"/>
          <w:lang w:val="en-GB"/>
        </w:rPr>
      </w:pPr>
    </w:p>
    <w:p w14:paraId="7D7B4207" w14:textId="34B87E43" w:rsidR="0025388A" w:rsidRDefault="0025388A" w:rsidP="005944AA">
      <w:pPr>
        <w:jc w:val="both"/>
        <w:rPr>
          <w:rFonts w:ascii="Arial" w:hAnsi="Arial" w:cs="Arial"/>
          <w:b/>
          <w:sz w:val="22"/>
          <w:szCs w:val="22"/>
          <w:u w:val="single"/>
          <w:lang w:val="en-GB"/>
        </w:rPr>
      </w:pPr>
      <w:r>
        <w:rPr>
          <w:rFonts w:ascii="Arial" w:hAnsi="Arial" w:cs="Arial"/>
          <w:b/>
          <w:sz w:val="22"/>
          <w:szCs w:val="22"/>
          <w:u w:val="single"/>
          <w:lang w:val="en-GB"/>
        </w:rPr>
        <w:t>INTRODUCTION</w:t>
      </w:r>
    </w:p>
    <w:p w14:paraId="24D0A370" w14:textId="731AC405" w:rsidR="0098613D" w:rsidRDefault="0098613D" w:rsidP="005944AA">
      <w:pPr>
        <w:jc w:val="both"/>
        <w:rPr>
          <w:rFonts w:ascii="Arial" w:hAnsi="Arial" w:cs="Arial"/>
          <w:b/>
          <w:sz w:val="22"/>
          <w:szCs w:val="22"/>
          <w:u w:val="single"/>
          <w:lang w:val="en-GB"/>
        </w:rPr>
      </w:pPr>
    </w:p>
    <w:p w14:paraId="64DEE6D4" w14:textId="1E703223" w:rsidR="0098613D" w:rsidRDefault="0098613D" w:rsidP="005944AA">
      <w:pPr>
        <w:jc w:val="both"/>
        <w:rPr>
          <w:rFonts w:ascii="Arial" w:hAnsi="Arial" w:cs="Arial"/>
          <w:b/>
          <w:sz w:val="22"/>
          <w:szCs w:val="22"/>
          <w:u w:val="single"/>
          <w:lang w:val="en-GB"/>
        </w:rPr>
      </w:pPr>
      <w:r>
        <w:rPr>
          <w:rFonts w:ascii="Arial" w:hAnsi="Arial" w:cs="Arial"/>
          <w:b/>
          <w:sz w:val="22"/>
          <w:szCs w:val="22"/>
          <w:u w:val="single"/>
          <w:lang w:val="en-GB"/>
        </w:rPr>
        <w:t>THE USE OF CROSS BORDER PROTOCOLS IN CROSS-BORDER INSOLVENCY PROCEEDINGS</w:t>
      </w:r>
      <w:r w:rsidR="004C4082">
        <w:rPr>
          <w:rFonts w:ascii="Arial" w:hAnsi="Arial" w:cs="Arial"/>
          <w:b/>
          <w:sz w:val="22"/>
          <w:szCs w:val="22"/>
          <w:u w:val="single"/>
          <w:lang w:val="en-GB"/>
        </w:rPr>
        <w:t>:</w:t>
      </w:r>
    </w:p>
    <w:p w14:paraId="514031D8" w14:textId="26C51019" w:rsidR="0046176B" w:rsidRDefault="0046176B" w:rsidP="005944AA">
      <w:pPr>
        <w:jc w:val="both"/>
        <w:rPr>
          <w:rFonts w:ascii="Arial" w:hAnsi="Arial" w:cs="Arial"/>
          <w:b/>
          <w:sz w:val="22"/>
          <w:szCs w:val="22"/>
          <w:u w:val="single"/>
          <w:lang w:val="en-GB"/>
        </w:rPr>
      </w:pPr>
    </w:p>
    <w:p w14:paraId="710766BF" w14:textId="559A002D" w:rsidR="0046176B" w:rsidRDefault="0046176B" w:rsidP="005944AA">
      <w:pPr>
        <w:jc w:val="both"/>
        <w:rPr>
          <w:rFonts w:ascii="Arial" w:hAnsi="Arial" w:cs="Arial"/>
          <w:b/>
          <w:sz w:val="22"/>
          <w:szCs w:val="22"/>
          <w:u w:val="single"/>
          <w:lang w:val="en-GB"/>
        </w:rPr>
      </w:pPr>
      <w:r>
        <w:rPr>
          <w:rFonts w:ascii="Arial" w:hAnsi="Arial" w:cs="Arial"/>
          <w:b/>
          <w:sz w:val="22"/>
          <w:szCs w:val="22"/>
          <w:u w:val="single"/>
          <w:lang w:val="en-GB"/>
        </w:rPr>
        <w:t xml:space="preserve">What </w:t>
      </w:r>
      <w:r w:rsidR="008D7E16">
        <w:rPr>
          <w:rFonts w:ascii="Arial" w:hAnsi="Arial" w:cs="Arial"/>
          <w:b/>
          <w:sz w:val="22"/>
          <w:szCs w:val="22"/>
          <w:u w:val="single"/>
          <w:lang w:val="en-GB"/>
        </w:rPr>
        <w:t>are</w:t>
      </w:r>
      <w:r>
        <w:rPr>
          <w:rFonts w:ascii="Arial" w:hAnsi="Arial" w:cs="Arial"/>
          <w:b/>
          <w:sz w:val="22"/>
          <w:szCs w:val="22"/>
          <w:u w:val="single"/>
          <w:lang w:val="en-GB"/>
        </w:rPr>
        <w:t xml:space="preserve"> Cross Border Proceedings?</w:t>
      </w:r>
    </w:p>
    <w:p w14:paraId="340CFE1F" w14:textId="717DBB0F" w:rsidR="001C0AA4" w:rsidRDefault="001C0AA4" w:rsidP="005944AA">
      <w:pPr>
        <w:jc w:val="both"/>
        <w:rPr>
          <w:rFonts w:ascii="Arial" w:hAnsi="Arial" w:cs="Arial"/>
          <w:b/>
          <w:sz w:val="22"/>
          <w:szCs w:val="22"/>
          <w:u w:val="single"/>
          <w:lang w:val="en-GB"/>
        </w:rPr>
      </w:pPr>
    </w:p>
    <w:p w14:paraId="7F7E1971" w14:textId="043AEF2F" w:rsidR="001C0AA4" w:rsidRDefault="001C0AA4" w:rsidP="005944AA">
      <w:pPr>
        <w:jc w:val="both"/>
        <w:rPr>
          <w:rFonts w:ascii="Arial" w:hAnsi="Arial" w:cs="Arial"/>
          <w:b/>
          <w:sz w:val="22"/>
          <w:szCs w:val="22"/>
          <w:u w:val="single"/>
          <w:lang w:val="en-GB"/>
        </w:rPr>
      </w:pPr>
      <w:r>
        <w:rPr>
          <w:rFonts w:ascii="Arial" w:hAnsi="Arial" w:cs="Arial"/>
          <w:b/>
          <w:sz w:val="22"/>
          <w:szCs w:val="22"/>
          <w:u w:val="single"/>
          <w:lang w:val="en-GB"/>
        </w:rPr>
        <w:t>Existing Cross Border Protocols</w:t>
      </w:r>
    </w:p>
    <w:p w14:paraId="671015B1" w14:textId="6F1D2780" w:rsidR="00AC567B" w:rsidRDefault="00AC567B" w:rsidP="005944AA">
      <w:pPr>
        <w:jc w:val="both"/>
        <w:rPr>
          <w:rFonts w:ascii="Arial" w:hAnsi="Arial" w:cs="Arial"/>
          <w:b/>
          <w:sz w:val="22"/>
          <w:szCs w:val="22"/>
          <w:u w:val="single"/>
          <w:lang w:val="en-GB"/>
        </w:rPr>
      </w:pPr>
    </w:p>
    <w:p w14:paraId="4C815189" w14:textId="30B011A7" w:rsidR="00AC567B" w:rsidRDefault="00AC567B" w:rsidP="005944AA">
      <w:pPr>
        <w:jc w:val="both"/>
        <w:rPr>
          <w:rFonts w:ascii="Arial" w:hAnsi="Arial" w:cs="Arial"/>
          <w:b/>
          <w:sz w:val="22"/>
          <w:szCs w:val="22"/>
          <w:u w:val="single"/>
          <w:lang w:val="en-GB"/>
        </w:rPr>
      </w:pPr>
      <w:r>
        <w:rPr>
          <w:rFonts w:ascii="Arial" w:hAnsi="Arial" w:cs="Arial"/>
          <w:b/>
          <w:sz w:val="22"/>
          <w:szCs w:val="22"/>
          <w:u w:val="single"/>
          <w:lang w:val="en-GB"/>
        </w:rPr>
        <w:t>Legal Challenges of applying Cross-Border Protocols</w:t>
      </w:r>
    </w:p>
    <w:p w14:paraId="503E295C" w14:textId="7BC5887B" w:rsidR="004C4082" w:rsidRDefault="004C4082" w:rsidP="005944AA">
      <w:pPr>
        <w:jc w:val="both"/>
        <w:rPr>
          <w:rFonts w:ascii="Arial" w:hAnsi="Arial" w:cs="Arial"/>
          <w:b/>
          <w:sz w:val="22"/>
          <w:szCs w:val="22"/>
          <w:u w:val="single"/>
          <w:lang w:val="en-GB"/>
        </w:rPr>
      </w:pPr>
    </w:p>
    <w:p w14:paraId="0B4C912E" w14:textId="6B8129D3" w:rsidR="004C4082" w:rsidRDefault="004C4082" w:rsidP="005944AA">
      <w:pPr>
        <w:jc w:val="both"/>
        <w:rPr>
          <w:rFonts w:ascii="Arial" w:hAnsi="Arial" w:cs="Arial"/>
          <w:b/>
          <w:sz w:val="22"/>
          <w:szCs w:val="22"/>
          <w:u w:val="single"/>
          <w:lang w:val="en-GB"/>
        </w:rPr>
      </w:pPr>
      <w:r>
        <w:rPr>
          <w:rFonts w:ascii="Arial" w:hAnsi="Arial" w:cs="Arial"/>
          <w:b/>
          <w:sz w:val="22"/>
          <w:szCs w:val="22"/>
          <w:u w:val="single"/>
          <w:lang w:val="en-GB"/>
        </w:rPr>
        <w:t>CONCLUSION</w:t>
      </w:r>
    </w:p>
    <w:p w14:paraId="552E61FC" w14:textId="77777777" w:rsidR="00464DC1" w:rsidRDefault="00464DC1" w:rsidP="005944AA">
      <w:pPr>
        <w:jc w:val="both"/>
        <w:rPr>
          <w:rFonts w:ascii="Arial" w:hAnsi="Arial" w:cs="Arial"/>
          <w:b/>
          <w:sz w:val="22"/>
          <w:szCs w:val="22"/>
          <w:u w:val="single"/>
          <w:lang w:val="en-GB"/>
        </w:rPr>
      </w:pPr>
    </w:p>
    <w:p w14:paraId="400CC14A" w14:textId="456B4DE4" w:rsidR="004C4082" w:rsidRPr="00E450A4" w:rsidRDefault="004C4082" w:rsidP="005944AA">
      <w:pPr>
        <w:jc w:val="both"/>
        <w:rPr>
          <w:rFonts w:ascii="Arial" w:hAnsi="Arial" w:cs="Arial"/>
          <w:sz w:val="22"/>
          <w:szCs w:val="22"/>
          <w:lang w:val="en-GB"/>
        </w:rPr>
      </w:pPr>
      <w:r>
        <w:rPr>
          <w:rFonts w:ascii="Arial" w:hAnsi="Arial" w:cs="Arial"/>
          <w:b/>
          <w:sz w:val="22"/>
          <w:szCs w:val="22"/>
          <w:u w:val="single"/>
          <w:lang w:val="en-GB"/>
        </w:rPr>
        <w:t>BIBLIOGRAPHY</w:t>
      </w:r>
    </w:p>
    <w:p w14:paraId="79D2A25E" w14:textId="77777777" w:rsidR="005944AA" w:rsidRPr="00592F82" w:rsidRDefault="005944AA" w:rsidP="005944AA">
      <w:pPr>
        <w:spacing w:line="276" w:lineRule="auto"/>
        <w:ind w:left="720" w:hanging="720"/>
        <w:jc w:val="both"/>
        <w:rPr>
          <w:rFonts w:ascii="Arial" w:hAnsi="Arial" w:cs="Arial"/>
          <w:sz w:val="22"/>
          <w:szCs w:val="22"/>
          <w:lang w:val="en-GB"/>
        </w:rPr>
      </w:pPr>
    </w:p>
    <w:p w14:paraId="20ABD72D" w14:textId="65479594" w:rsidR="005944AA" w:rsidRDefault="005944AA" w:rsidP="005944AA">
      <w:pPr>
        <w:spacing w:line="276" w:lineRule="auto"/>
        <w:ind w:left="720" w:hanging="720"/>
        <w:jc w:val="both"/>
        <w:rPr>
          <w:rFonts w:ascii="Arial" w:hAnsi="Arial" w:cs="Arial"/>
          <w:sz w:val="22"/>
          <w:szCs w:val="22"/>
          <w:lang w:val="en-GB"/>
        </w:rPr>
      </w:pPr>
    </w:p>
    <w:p w14:paraId="06423CD7" w14:textId="3624B110" w:rsidR="007D24F2" w:rsidRDefault="007D24F2" w:rsidP="005944AA">
      <w:pPr>
        <w:spacing w:line="276" w:lineRule="auto"/>
        <w:ind w:left="720" w:hanging="720"/>
        <w:jc w:val="both"/>
        <w:rPr>
          <w:rFonts w:ascii="Arial" w:hAnsi="Arial" w:cs="Arial"/>
          <w:sz w:val="22"/>
          <w:szCs w:val="22"/>
          <w:lang w:val="en-GB"/>
        </w:rPr>
      </w:pPr>
    </w:p>
    <w:p w14:paraId="38A98C0E" w14:textId="5B6EB560" w:rsidR="007D24F2" w:rsidRDefault="007D24F2" w:rsidP="005944AA">
      <w:pPr>
        <w:spacing w:line="276" w:lineRule="auto"/>
        <w:ind w:left="720" w:hanging="720"/>
        <w:jc w:val="both"/>
        <w:rPr>
          <w:rFonts w:ascii="Arial" w:hAnsi="Arial" w:cs="Arial"/>
          <w:sz w:val="22"/>
          <w:szCs w:val="22"/>
          <w:lang w:val="en-GB"/>
        </w:rPr>
      </w:pPr>
    </w:p>
    <w:p w14:paraId="4130F7DF" w14:textId="0EA1F13E" w:rsidR="007D24F2" w:rsidRDefault="007D24F2" w:rsidP="005944AA">
      <w:pPr>
        <w:spacing w:line="276" w:lineRule="auto"/>
        <w:ind w:left="720" w:hanging="720"/>
        <w:jc w:val="both"/>
        <w:rPr>
          <w:rFonts w:ascii="Arial" w:hAnsi="Arial" w:cs="Arial"/>
          <w:sz w:val="22"/>
          <w:szCs w:val="22"/>
          <w:lang w:val="en-GB"/>
        </w:rPr>
      </w:pPr>
    </w:p>
    <w:p w14:paraId="75B09915" w14:textId="12EDB85D" w:rsidR="007D24F2" w:rsidRDefault="007D24F2" w:rsidP="005944AA">
      <w:pPr>
        <w:spacing w:line="276" w:lineRule="auto"/>
        <w:ind w:left="720" w:hanging="720"/>
        <w:jc w:val="both"/>
        <w:rPr>
          <w:rFonts w:ascii="Arial" w:hAnsi="Arial" w:cs="Arial"/>
          <w:sz w:val="22"/>
          <w:szCs w:val="22"/>
          <w:lang w:val="en-GB"/>
        </w:rPr>
      </w:pPr>
    </w:p>
    <w:p w14:paraId="44C67378" w14:textId="0C489877" w:rsidR="007D24F2" w:rsidRDefault="007D24F2" w:rsidP="005944AA">
      <w:pPr>
        <w:spacing w:line="276" w:lineRule="auto"/>
        <w:ind w:left="720" w:hanging="720"/>
        <w:jc w:val="both"/>
        <w:rPr>
          <w:rFonts w:ascii="Arial" w:hAnsi="Arial" w:cs="Arial"/>
          <w:sz w:val="22"/>
          <w:szCs w:val="22"/>
          <w:lang w:val="en-GB"/>
        </w:rPr>
      </w:pPr>
    </w:p>
    <w:p w14:paraId="580DC6D9" w14:textId="239266D3" w:rsidR="007D24F2" w:rsidRDefault="007D24F2" w:rsidP="005944AA">
      <w:pPr>
        <w:spacing w:line="276" w:lineRule="auto"/>
        <w:ind w:left="720" w:hanging="720"/>
        <w:jc w:val="both"/>
        <w:rPr>
          <w:rFonts w:ascii="Arial" w:hAnsi="Arial" w:cs="Arial"/>
          <w:sz w:val="22"/>
          <w:szCs w:val="22"/>
          <w:lang w:val="en-GB"/>
        </w:rPr>
      </w:pPr>
    </w:p>
    <w:p w14:paraId="427F6706" w14:textId="2CA017C3" w:rsidR="007D24F2" w:rsidRDefault="007D24F2" w:rsidP="005944AA">
      <w:pPr>
        <w:spacing w:line="276" w:lineRule="auto"/>
        <w:ind w:left="720" w:hanging="720"/>
        <w:jc w:val="both"/>
        <w:rPr>
          <w:rFonts w:ascii="Arial" w:hAnsi="Arial" w:cs="Arial"/>
          <w:sz w:val="22"/>
          <w:szCs w:val="22"/>
          <w:lang w:val="en-GB"/>
        </w:rPr>
      </w:pPr>
    </w:p>
    <w:p w14:paraId="14BC71BA" w14:textId="1C63B6E7" w:rsidR="007D24F2" w:rsidRDefault="007D24F2" w:rsidP="005944AA">
      <w:pPr>
        <w:spacing w:line="276" w:lineRule="auto"/>
        <w:ind w:left="720" w:hanging="720"/>
        <w:jc w:val="both"/>
        <w:rPr>
          <w:rFonts w:ascii="Arial" w:hAnsi="Arial" w:cs="Arial"/>
          <w:sz w:val="22"/>
          <w:szCs w:val="22"/>
          <w:lang w:val="en-GB"/>
        </w:rPr>
      </w:pPr>
    </w:p>
    <w:p w14:paraId="386C7696" w14:textId="340E3AF3" w:rsidR="007D24F2" w:rsidRDefault="007D24F2" w:rsidP="005944AA">
      <w:pPr>
        <w:spacing w:line="276" w:lineRule="auto"/>
        <w:ind w:left="720" w:hanging="720"/>
        <w:jc w:val="both"/>
        <w:rPr>
          <w:rFonts w:ascii="Arial" w:hAnsi="Arial" w:cs="Arial"/>
          <w:sz w:val="22"/>
          <w:szCs w:val="22"/>
          <w:lang w:val="en-GB"/>
        </w:rPr>
      </w:pPr>
    </w:p>
    <w:p w14:paraId="20F849AE" w14:textId="702F6409" w:rsidR="007D24F2" w:rsidRDefault="007D24F2" w:rsidP="005944AA">
      <w:pPr>
        <w:spacing w:line="276" w:lineRule="auto"/>
        <w:ind w:left="720" w:hanging="720"/>
        <w:jc w:val="both"/>
        <w:rPr>
          <w:rFonts w:ascii="Arial" w:hAnsi="Arial" w:cs="Arial"/>
          <w:sz w:val="22"/>
          <w:szCs w:val="22"/>
          <w:lang w:val="en-GB"/>
        </w:rPr>
      </w:pPr>
    </w:p>
    <w:p w14:paraId="651DA694" w14:textId="3D8C589A" w:rsidR="007D24F2" w:rsidRDefault="007D24F2" w:rsidP="005944AA">
      <w:pPr>
        <w:spacing w:line="276" w:lineRule="auto"/>
        <w:ind w:left="720" w:hanging="720"/>
        <w:jc w:val="both"/>
        <w:rPr>
          <w:rFonts w:ascii="Arial" w:hAnsi="Arial" w:cs="Arial"/>
          <w:sz w:val="22"/>
          <w:szCs w:val="22"/>
          <w:lang w:val="en-GB"/>
        </w:rPr>
      </w:pPr>
    </w:p>
    <w:p w14:paraId="4C2FE7CF" w14:textId="64DCBE33" w:rsidR="007D24F2" w:rsidRDefault="007D24F2" w:rsidP="005944AA">
      <w:pPr>
        <w:spacing w:line="276" w:lineRule="auto"/>
        <w:ind w:left="720" w:hanging="720"/>
        <w:jc w:val="both"/>
        <w:rPr>
          <w:rFonts w:ascii="Arial" w:hAnsi="Arial" w:cs="Arial"/>
          <w:sz w:val="22"/>
          <w:szCs w:val="22"/>
          <w:lang w:val="en-GB"/>
        </w:rPr>
      </w:pPr>
    </w:p>
    <w:p w14:paraId="037987BE" w14:textId="68593600" w:rsidR="007D24F2" w:rsidRDefault="007D24F2" w:rsidP="005944AA">
      <w:pPr>
        <w:spacing w:line="276" w:lineRule="auto"/>
        <w:ind w:left="720" w:hanging="720"/>
        <w:jc w:val="both"/>
        <w:rPr>
          <w:rFonts w:ascii="Arial" w:hAnsi="Arial" w:cs="Arial"/>
          <w:sz w:val="22"/>
          <w:szCs w:val="22"/>
          <w:lang w:val="en-GB"/>
        </w:rPr>
      </w:pPr>
    </w:p>
    <w:p w14:paraId="41797DC2" w14:textId="6CDA5A8F" w:rsidR="007D24F2" w:rsidRDefault="007D24F2" w:rsidP="005944AA">
      <w:pPr>
        <w:spacing w:line="276" w:lineRule="auto"/>
        <w:ind w:left="720" w:hanging="720"/>
        <w:jc w:val="both"/>
        <w:rPr>
          <w:rFonts w:ascii="Arial" w:hAnsi="Arial" w:cs="Arial"/>
          <w:sz w:val="22"/>
          <w:szCs w:val="22"/>
          <w:lang w:val="en-GB"/>
        </w:rPr>
      </w:pPr>
    </w:p>
    <w:p w14:paraId="0FD10D0C" w14:textId="61EE4AD1" w:rsidR="007D24F2" w:rsidRDefault="007D24F2" w:rsidP="005944AA">
      <w:pPr>
        <w:spacing w:line="276" w:lineRule="auto"/>
        <w:ind w:left="720" w:hanging="720"/>
        <w:jc w:val="both"/>
        <w:rPr>
          <w:rFonts w:ascii="Arial" w:hAnsi="Arial" w:cs="Arial"/>
          <w:sz w:val="22"/>
          <w:szCs w:val="22"/>
          <w:lang w:val="en-GB"/>
        </w:rPr>
      </w:pPr>
    </w:p>
    <w:p w14:paraId="0DB91C61" w14:textId="118270A9" w:rsidR="007D24F2" w:rsidRDefault="007D24F2" w:rsidP="005944AA">
      <w:pPr>
        <w:spacing w:line="276" w:lineRule="auto"/>
        <w:ind w:left="720" w:hanging="720"/>
        <w:jc w:val="both"/>
        <w:rPr>
          <w:rFonts w:ascii="Arial" w:hAnsi="Arial" w:cs="Arial"/>
          <w:sz w:val="22"/>
          <w:szCs w:val="22"/>
          <w:lang w:val="en-GB"/>
        </w:rPr>
      </w:pPr>
    </w:p>
    <w:p w14:paraId="5428B871" w14:textId="3938B7F8" w:rsidR="007D24F2" w:rsidRDefault="007D24F2" w:rsidP="005944AA">
      <w:pPr>
        <w:spacing w:line="276" w:lineRule="auto"/>
        <w:ind w:left="720" w:hanging="720"/>
        <w:jc w:val="both"/>
        <w:rPr>
          <w:rFonts w:ascii="Arial" w:hAnsi="Arial" w:cs="Arial"/>
          <w:sz w:val="22"/>
          <w:szCs w:val="22"/>
          <w:lang w:val="en-GB"/>
        </w:rPr>
      </w:pPr>
    </w:p>
    <w:p w14:paraId="4FF674AB" w14:textId="3CE69A37" w:rsidR="007D24F2" w:rsidRDefault="007D24F2" w:rsidP="005944AA">
      <w:pPr>
        <w:spacing w:line="276" w:lineRule="auto"/>
        <w:ind w:left="720" w:hanging="720"/>
        <w:jc w:val="both"/>
        <w:rPr>
          <w:rFonts w:ascii="Arial" w:hAnsi="Arial" w:cs="Arial"/>
          <w:sz w:val="22"/>
          <w:szCs w:val="22"/>
          <w:lang w:val="en-GB"/>
        </w:rPr>
      </w:pPr>
    </w:p>
    <w:p w14:paraId="75B6FE81" w14:textId="084E827E" w:rsidR="007D24F2" w:rsidRDefault="007D24F2" w:rsidP="005944AA">
      <w:pPr>
        <w:spacing w:line="276" w:lineRule="auto"/>
        <w:ind w:left="720" w:hanging="720"/>
        <w:jc w:val="both"/>
        <w:rPr>
          <w:rFonts w:ascii="Arial" w:hAnsi="Arial" w:cs="Arial"/>
          <w:sz w:val="22"/>
          <w:szCs w:val="22"/>
          <w:lang w:val="en-GB"/>
        </w:rPr>
      </w:pPr>
    </w:p>
    <w:p w14:paraId="46F0D757" w14:textId="20820DF5" w:rsidR="007D24F2" w:rsidRDefault="007D24F2" w:rsidP="005944AA">
      <w:pPr>
        <w:spacing w:line="276" w:lineRule="auto"/>
        <w:ind w:left="720" w:hanging="720"/>
        <w:jc w:val="both"/>
        <w:rPr>
          <w:rFonts w:ascii="Arial" w:hAnsi="Arial" w:cs="Arial"/>
          <w:sz w:val="22"/>
          <w:szCs w:val="22"/>
          <w:lang w:val="en-GB"/>
        </w:rPr>
      </w:pPr>
    </w:p>
    <w:p w14:paraId="385E3251" w14:textId="10BD1DC1" w:rsidR="007D24F2" w:rsidRDefault="007D24F2" w:rsidP="005944AA">
      <w:pPr>
        <w:spacing w:line="276" w:lineRule="auto"/>
        <w:ind w:left="720" w:hanging="720"/>
        <w:jc w:val="both"/>
        <w:rPr>
          <w:rFonts w:ascii="Arial" w:hAnsi="Arial" w:cs="Arial"/>
          <w:sz w:val="22"/>
          <w:szCs w:val="22"/>
          <w:lang w:val="en-GB"/>
        </w:rPr>
      </w:pPr>
    </w:p>
    <w:p w14:paraId="422B1DCD" w14:textId="0B230D27" w:rsidR="007D24F2" w:rsidRDefault="007D24F2" w:rsidP="005944AA">
      <w:pPr>
        <w:spacing w:line="276" w:lineRule="auto"/>
        <w:ind w:left="720" w:hanging="720"/>
        <w:jc w:val="both"/>
        <w:rPr>
          <w:rFonts w:ascii="Arial" w:hAnsi="Arial" w:cs="Arial"/>
          <w:sz w:val="22"/>
          <w:szCs w:val="22"/>
          <w:lang w:val="en-GB"/>
        </w:rPr>
      </w:pPr>
    </w:p>
    <w:p w14:paraId="5ABC562D" w14:textId="0642E15B" w:rsidR="007D24F2" w:rsidRDefault="007D24F2" w:rsidP="005944AA">
      <w:pPr>
        <w:spacing w:line="276" w:lineRule="auto"/>
        <w:ind w:left="720" w:hanging="720"/>
        <w:jc w:val="both"/>
        <w:rPr>
          <w:rFonts w:ascii="Arial" w:hAnsi="Arial" w:cs="Arial"/>
          <w:sz w:val="22"/>
          <w:szCs w:val="22"/>
          <w:lang w:val="en-GB"/>
        </w:rPr>
      </w:pPr>
    </w:p>
    <w:p w14:paraId="4ECC0DD7" w14:textId="76FE79F4" w:rsidR="007D24F2" w:rsidRDefault="007D24F2" w:rsidP="005944AA">
      <w:pPr>
        <w:spacing w:line="276" w:lineRule="auto"/>
        <w:ind w:left="720" w:hanging="720"/>
        <w:jc w:val="both"/>
        <w:rPr>
          <w:rFonts w:ascii="Arial" w:hAnsi="Arial" w:cs="Arial"/>
          <w:sz w:val="22"/>
          <w:szCs w:val="22"/>
          <w:lang w:val="en-GB"/>
        </w:rPr>
      </w:pPr>
    </w:p>
    <w:p w14:paraId="1B997882" w14:textId="69B0D83C" w:rsidR="00900F88" w:rsidRDefault="00900F88" w:rsidP="005944AA">
      <w:pPr>
        <w:spacing w:line="276" w:lineRule="auto"/>
        <w:ind w:left="720" w:hanging="720"/>
        <w:jc w:val="both"/>
        <w:rPr>
          <w:rFonts w:ascii="Arial" w:hAnsi="Arial" w:cs="Arial"/>
          <w:sz w:val="22"/>
          <w:szCs w:val="22"/>
          <w:lang w:val="en-GB"/>
        </w:rPr>
      </w:pPr>
    </w:p>
    <w:p w14:paraId="40645ACD" w14:textId="7E1F659A" w:rsidR="00900F88" w:rsidRDefault="00900F88" w:rsidP="005944AA">
      <w:pPr>
        <w:spacing w:line="276" w:lineRule="auto"/>
        <w:ind w:left="720" w:hanging="720"/>
        <w:jc w:val="both"/>
        <w:rPr>
          <w:rFonts w:ascii="Arial" w:hAnsi="Arial" w:cs="Arial"/>
          <w:sz w:val="22"/>
          <w:szCs w:val="22"/>
          <w:lang w:val="en-GB"/>
        </w:rPr>
      </w:pPr>
    </w:p>
    <w:p w14:paraId="1589BF62" w14:textId="77777777" w:rsidR="007F1BE9" w:rsidRDefault="007F1BE9" w:rsidP="005944AA">
      <w:pPr>
        <w:spacing w:line="276" w:lineRule="auto"/>
        <w:ind w:left="720" w:hanging="720"/>
        <w:jc w:val="both"/>
        <w:rPr>
          <w:rFonts w:ascii="Arial" w:hAnsi="Arial" w:cs="Arial"/>
          <w:sz w:val="22"/>
          <w:szCs w:val="22"/>
          <w:lang w:val="en-GB"/>
        </w:rPr>
      </w:pPr>
    </w:p>
    <w:p w14:paraId="26AC7081" w14:textId="4064C9F3" w:rsidR="007D24F2" w:rsidRPr="009601FF" w:rsidRDefault="007D24F2" w:rsidP="0019775E">
      <w:pPr>
        <w:spacing w:line="360" w:lineRule="auto"/>
        <w:ind w:left="720" w:hanging="720"/>
        <w:jc w:val="both"/>
        <w:rPr>
          <w:rFonts w:ascii="Arial" w:hAnsi="Arial" w:cs="Arial"/>
          <w:sz w:val="22"/>
          <w:szCs w:val="22"/>
          <w:lang w:val="en-GB"/>
        </w:rPr>
      </w:pPr>
    </w:p>
    <w:p w14:paraId="127B9A6A" w14:textId="1AC793B3" w:rsidR="00705222" w:rsidRPr="009601FF" w:rsidRDefault="007D24F2" w:rsidP="0019775E">
      <w:pPr>
        <w:pStyle w:val="ListParagraph"/>
        <w:numPr>
          <w:ilvl w:val="0"/>
          <w:numId w:val="3"/>
        </w:numPr>
        <w:spacing w:line="360" w:lineRule="auto"/>
        <w:jc w:val="both"/>
        <w:rPr>
          <w:rFonts w:ascii="Arial" w:hAnsi="Arial" w:cs="Arial"/>
          <w:b/>
          <w:sz w:val="22"/>
          <w:szCs w:val="22"/>
          <w:u w:val="single"/>
          <w:lang w:val="en-GB"/>
        </w:rPr>
      </w:pPr>
      <w:r w:rsidRPr="009601FF">
        <w:rPr>
          <w:rFonts w:ascii="Arial" w:hAnsi="Arial" w:cs="Arial"/>
          <w:b/>
          <w:sz w:val="22"/>
          <w:szCs w:val="22"/>
          <w:u w:val="single"/>
          <w:lang w:val="en-GB"/>
        </w:rPr>
        <w:t>INTRODUCTION</w:t>
      </w:r>
    </w:p>
    <w:p w14:paraId="7579EF4C" w14:textId="77777777" w:rsidR="00170F6A" w:rsidRPr="009601FF" w:rsidRDefault="00170F6A" w:rsidP="0019775E">
      <w:pPr>
        <w:pStyle w:val="ListParagraph"/>
        <w:spacing w:line="360" w:lineRule="auto"/>
        <w:ind w:left="450"/>
        <w:jc w:val="both"/>
        <w:rPr>
          <w:rFonts w:ascii="Arial" w:hAnsi="Arial" w:cs="Arial"/>
          <w:b/>
          <w:sz w:val="22"/>
          <w:szCs w:val="22"/>
          <w:u w:val="single"/>
          <w:lang w:val="en-GB"/>
        </w:rPr>
      </w:pPr>
    </w:p>
    <w:p w14:paraId="454421A7" w14:textId="77777777" w:rsidR="00D5630B" w:rsidRPr="00D5630B" w:rsidRDefault="00BB7565" w:rsidP="0019775E">
      <w:pPr>
        <w:pStyle w:val="ListParagraph"/>
        <w:numPr>
          <w:ilvl w:val="1"/>
          <w:numId w:val="3"/>
        </w:numPr>
        <w:spacing w:line="360" w:lineRule="auto"/>
        <w:jc w:val="both"/>
        <w:rPr>
          <w:rFonts w:ascii="Arial" w:hAnsi="Arial" w:cs="Arial"/>
          <w:b/>
          <w:sz w:val="22"/>
          <w:szCs w:val="22"/>
          <w:u w:val="single"/>
          <w:lang w:val="en-GB"/>
        </w:rPr>
      </w:pPr>
      <w:r w:rsidRPr="009601FF">
        <w:rPr>
          <w:rFonts w:ascii="Arial" w:hAnsi="Arial" w:cs="Arial"/>
          <w:sz w:val="22"/>
          <w:szCs w:val="22"/>
          <w:lang w:val="en-GB"/>
        </w:rPr>
        <w:t>One of the benefits of living</w:t>
      </w:r>
      <w:r w:rsidR="002938D8" w:rsidRPr="009601FF">
        <w:rPr>
          <w:rFonts w:ascii="Arial" w:hAnsi="Arial" w:cs="Arial"/>
          <w:sz w:val="22"/>
          <w:szCs w:val="22"/>
          <w:lang w:val="en-GB"/>
        </w:rPr>
        <w:t xml:space="preserve"> in the 21</w:t>
      </w:r>
      <w:r w:rsidR="002938D8" w:rsidRPr="009601FF">
        <w:rPr>
          <w:rFonts w:ascii="Arial" w:hAnsi="Arial" w:cs="Arial"/>
          <w:sz w:val="22"/>
          <w:szCs w:val="22"/>
          <w:vertAlign w:val="superscript"/>
          <w:lang w:val="en-GB"/>
        </w:rPr>
        <w:t>st</w:t>
      </w:r>
      <w:r w:rsidR="002938D8" w:rsidRPr="009601FF">
        <w:rPr>
          <w:rFonts w:ascii="Arial" w:hAnsi="Arial" w:cs="Arial"/>
          <w:sz w:val="22"/>
          <w:szCs w:val="22"/>
          <w:lang w:val="en-GB"/>
        </w:rPr>
        <w:t xml:space="preserve"> century is that you have the privilege to live in a digitized world.</w:t>
      </w:r>
      <w:r w:rsidR="007F1EF1" w:rsidRPr="009601FF">
        <w:rPr>
          <w:rFonts w:ascii="Arial" w:hAnsi="Arial" w:cs="Arial"/>
          <w:sz w:val="22"/>
          <w:szCs w:val="22"/>
          <w:lang w:val="en-GB"/>
        </w:rPr>
        <w:t xml:space="preserve"> The Covid 19 pandemic</w:t>
      </w:r>
      <w:r w:rsidR="00B45C88" w:rsidRPr="009601FF">
        <w:rPr>
          <w:rFonts w:ascii="Arial" w:hAnsi="Arial" w:cs="Arial"/>
          <w:sz w:val="22"/>
          <w:szCs w:val="22"/>
          <w:lang w:val="en-GB"/>
        </w:rPr>
        <w:t xml:space="preserve"> amplified the </w:t>
      </w:r>
      <w:r w:rsidR="00E42F64" w:rsidRPr="009601FF">
        <w:rPr>
          <w:rFonts w:ascii="Arial" w:hAnsi="Arial" w:cs="Arial"/>
          <w:sz w:val="22"/>
          <w:szCs w:val="22"/>
          <w:lang w:val="en-GB"/>
        </w:rPr>
        <w:t xml:space="preserve">digitalization </w:t>
      </w:r>
      <w:r w:rsidR="0073141B" w:rsidRPr="009601FF">
        <w:rPr>
          <w:rFonts w:ascii="Arial" w:hAnsi="Arial" w:cs="Arial"/>
          <w:sz w:val="22"/>
          <w:szCs w:val="22"/>
          <w:lang w:val="en-GB"/>
        </w:rPr>
        <w:t>by establishing the reality of a virtual economy</w:t>
      </w:r>
      <w:r w:rsidR="00D15584" w:rsidRPr="009601FF">
        <w:rPr>
          <w:rFonts w:ascii="Arial" w:hAnsi="Arial" w:cs="Arial"/>
          <w:sz w:val="22"/>
          <w:szCs w:val="22"/>
          <w:lang w:val="en-GB"/>
        </w:rPr>
        <w:t xml:space="preserve"> </w:t>
      </w:r>
      <w:r w:rsidR="005D7D71" w:rsidRPr="009601FF">
        <w:rPr>
          <w:rFonts w:ascii="Arial" w:hAnsi="Arial" w:cs="Arial"/>
          <w:sz w:val="22"/>
          <w:szCs w:val="22"/>
          <w:lang w:val="en-GB"/>
        </w:rPr>
        <w:t>so much so</w:t>
      </w:r>
      <w:r w:rsidR="00D15584" w:rsidRPr="009601FF">
        <w:rPr>
          <w:rFonts w:ascii="Arial" w:hAnsi="Arial" w:cs="Arial"/>
          <w:sz w:val="22"/>
          <w:szCs w:val="22"/>
          <w:lang w:val="en-GB"/>
        </w:rPr>
        <w:t xml:space="preserve"> that </w:t>
      </w:r>
      <w:r w:rsidR="00B0789F" w:rsidRPr="009601FF">
        <w:rPr>
          <w:rFonts w:ascii="Arial" w:hAnsi="Arial" w:cs="Arial"/>
          <w:sz w:val="22"/>
          <w:szCs w:val="22"/>
          <w:lang w:val="en-GB"/>
        </w:rPr>
        <w:t xml:space="preserve">even </w:t>
      </w:r>
      <w:r w:rsidR="00D15584" w:rsidRPr="009601FF">
        <w:rPr>
          <w:rFonts w:ascii="Arial" w:hAnsi="Arial" w:cs="Arial"/>
          <w:sz w:val="22"/>
          <w:szCs w:val="22"/>
          <w:lang w:val="en-GB"/>
        </w:rPr>
        <w:t>INSOL</w:t>
      </w:r>
      <w:r w:rsidR="00F12D03" w:rsidRPr="009601FF">
        <w:rPr>
          <w:rFonts w:ascii="Arial" w:hAnsi="Arial" w:cs="Arial"/>
          <w:sz w:val="22"/>
          <w:szCs w:val="22"/>
          <w:lang w:val="en-GB"/>
        </w:rPr>
        <w:t xml:space="preserve"> was constrained to make the GIPC course virtual for the first time.</w:t>
      </w:r>
      <w:r w:rsidR="009639E9" w:rsidRPr="009601FF">
        <w:rPr>
          <w:rFonts w:ascii="Arial" w:hAnsi="Arial" w:cs="Arial"/>
          <w:sz w:val="22"/>
          <w:szCs w:val="22"/>
          <w:lang w:val="en-GB"/>
        </w:rPr>
        <w:t xml:space="preserve"> </w:t>
      </w:r>
    </w:p>
    <w:p w14:paraId="64511DA8" w14:textId="77777777" w:rsidR="00D5630B" w:rsidRDefault="00D5630B" w:rsidP="00D5630B">
      <w:pPr>
        <w:pStyle w:val="ListParagraph"/>
        <w:spacing w:line="360" w:lineRule="auto"/>
        <w:ind w:left="360"/>
        <w:jc w:val="both"/>
        <w:rPr>
          <w:rFonts w:ascii="Arial" w:hAnsi="Arial" w:cs="Arial"/>
          <w:sz w:val="22"/>
          <w:szCs w:val="22"/>
          <w:lang w:val="en-GB"/>
        </w:rPr>
      </w:pPr>
    </w:p>
    <w:p w14:paraId="5E0FF5AE" w14:textId="61CBD902" w:rsidR="00336E39" w:rsidRPr="00336E39" w:rsidRDefault="009639E9" w:rsidP="00D5630B">
      <w:pPr>
        <w:pStyle w:val="ListParagraph"/>
        <w:spacing w:line="360" w:lineRule="auto"/>
        <w:ind w:left="360"/>
        <w:jc w:val="both"/>
        <w:rPr>
          <w:rFonts w:ascii="Arial" w:hAnsi="Arial" w:cs="Arial"/>
          <w:b/>
          <w:sz w:val="22"/>
          <w:szCs w:val="22"/>
          <w:u w:val="single"/>
          <w:lang w:val="en-GB"/>
        </w:rPr>
      </w:pPr>
      <w:r w:rsidRPr="009601FF">
        <w:rPr>
          <w:rFonts w:ascii="Arial" w:hAnsi="Arial" w:cs="Arial"/>
          <w:sz w:val="22"/>
          <w:szCs w:val="22"/>
          <w:lang w:val="en-GB"/>
        </w:rPr>
        <w:t xml:space="preserve">This digitized economy has also made it easier for businesses to </w:t>
      </w:r>
      <w:r w:rsidR="000A0339" w:rsidRPr="009601FF">
        <w:rPr>
          <w:rFonts w:ascii="Arial" w:hAnsi="Arial" w:cs="Arial"/>
          <w:sz w:val="22"/>
          <w:szCs w:val="22"/>
          <w:lang w:val="en-GB"/>
        </w:rPr>
        <w:t xml:space="preserve">slide through </w:t>
      </w:r>
      <w:r w:rsidRPr="009601FF">
        <w:rPr>
          <w:rFonts w:ascii="Arial" w:hAnsi="Arial" w:cs="Arial"/>
          <w:sz w:val="22"/>
          <w:szCs w:val="22"/>
          <w:lang w:val="en-GB"/>
        </w:rPr>
        <w:t>borders</w:t>
      </w:r>
      <w:r w:rsidR="00C355FF" w:rsidRPr="009601FF">
        <w:rPr>
          <w:rFonts w:ascii="Arial" w:hAnsi="Arial" w:cs="Arial"/>
          <w:sz w:val="22"/>
          <w:szCs w:val="22"/>
          <w:lang w:val="en-GB"/>
        </w:rPr>
        <w:t>.</w:t>
      </w:r>
      <w:r w:rsidR="00624051" w:rsidRPr="009601FF">
        <w:rPr>
          <w:rFonts w:ascii="Arial" w:hAnsi="Arial" w:cs="Arial"/>
          <w:sz w:val="22"/>
          <w:szCs w:val="22"/>
          <w:lang w:val="en-GB"/>
        </w:rPr>
        <w:t xml:space="preserve"> However, while the businesses are easily sliding through borders, they are regulated by</w:t>
      </w:r>
      <w:r w:rsidR="0007078B" w:rsidRPr="009601FF">
        <w:rPr>
          <w:rFonts w:ascii="Arial" w:hAnsi="Arial" w:cs="Arial"/>
          <w:sz w:val="22"/>
          <w:szCs w:val="22"/>
          <w:lang w:val="en-GB"/>
        </w:rPr>
        <w:t xml:space="preserve"> different laws.</w:t>
      </w:r>
      <w:r w:rsidR="009D7384" w:rsidRPr="009601FF">
        <w:rPr>
          <w:rFonts w:ascii="Arial" w:hAnsi="Arial" w:cs="Arial"/>
          <w:sz w:val="22"/>
          <w:szCs w:val="22"/>
          <w:lang w:val="en-GB"/>
        </w:rPr>
        <w:t xml:space="preserve"> In </w:t>
      </w:r>
      <w:r w:rsidR="00B005F4" w:rsidRPr="009601FF">
        <w:rPr>
          <w:rFonts w:ascii="Arial" w:hAnsi="Arial" w:cs="Arial"/>
          <w:sz w:val="22"/>
          <w:szCs w:val="22"/>
          <w:lang w:val="en-GB"/>
        </w:rPr>
        <w:t>other words</w:t>
      </w:r>
      <w:r w:rsidR="009D7384" w:rsidRPr="009601FF">
        <w:rPr>
          <w:rFonts w:ascii="Arial" w:hAnsi="Arial" w:cs="Arial"/>
          <w:sz w:val="22"/>
          <w:szCs w:val="22"/>
          <w:lang w:val="en-GB"/>
        </w:rPr>
        <w:t xml:space="preserve">, </w:t>
      </w:r>
      <w:r w:rsidR="006F738F" w:rsidRPr="009601FF">
        <w:rPr>
          <w:rFonts w:ascii="Arial" w:hAnsi="Arial" w:cs="Arial"/>
          <w:sz w:val="22"/>
          <w:szCs w:val="22"/>
          <w:lang w:val="en-GB"/>
        </w:rPr>
        <w:t>though the boundaries are flexible, the laws</w:t>
      </w:r>
      <w:r w:rsidR="001209A1">
        <w:rPr>
          <w:rFonts w:ascii="Arial" w:hAnsi="Arial" w:cs="Arial"/>
          <w:sz w:val="22"/>
          <w:szCs w:val="22"/>
          <w:lang w:val="en-GB"/>
        </w:rPr>
        <w:t xml:space="preserve"> </w:t>
      </w:r>
      <w:r w:rsidR="002E06E0">
        <w:rPr>
          <w:rFonts w:ascii="Arial" w:hAnsi="Arial" w:cs="Arial"/>
          <w:sz w:val="22"/>
          <w:szCs w:val="22"/>
          <w:lang w:val="en-GB"/>
        </w:rPr>
        <w:t>remain</w:t>
      </w:r>
      <w:r w:rsidR="006F738F" w:rsidRPr="009601FF">
        <w:rPr>
          <w:rFonts w:ascii="Arial" w:hAnsi="Arial" w:cs="Arial"/>
          <w:sz w:val="22"/>
          <w:szCs w:val="22"/>
          <w:lang w:val="en-GB"/>
        </w:rPr>
        <w:t xml:space="preserve"> fixed.</w:t>
      </w:r>
      <w:r w:rsidR="00365115" w:rsidRPr="009601FF">
        <w:rPr>
          <w:rFonts w:ascii="Arial" w:hAnsi="Arial" w:cs="Arial"/>
          <w:sz w:val="22"/>
          <w:szCs w:val="22"/>
          <w:lang w:val="en-GB"/>
        </w:rPr>
        <w:t xml:space="preserve"> The critical question that would then arise</w:t>
      </w:r>
      <w:r w:rsidR="00DE5313" w:rsidRPr="009601FF">
        <w:rPr>
          <w:rFonts w:ascii="Arial" w:hAnsi="Arial" w:cs="Arial"/>
          <w:sz w:val="22"/>
          <w:szCs w:val="22"/>
          <w:lang w:val="en-GB"/>
        </w:rPr>
        <w:t xml:space="preserve"> is</w:t>
      </w:r>
      <w:r w:rsidR="006A1494">
        <w:rPr>
          <w:rFonts w:ascii="Arial" w:hAnsi="Arial" w:cs="Arial"/>
          <w:sz w:val="22"/>
          <w:szCs w:val="22"/>
          <w:lang w:val="en-GB"/>
        </w:rPr>
        <w:t xml:space="preserve"> that-</w:t>
      </w:r>
      <w:r w:rsidR="00DE5313" w:rsidRPr="009601FF">
        <w:rPr>
          <w:rFonts w:ascii="Arial" w:hAnsi="Arial" w:cs="Arial"/>
          <w:sz w:val="22"/>
          <w:szCs w:val="22"/>
          <w:lang w:val="en-GB"/>
        </w:rPr>
        <w:t xml:space="preserve"> if some of the businesses</w:t>
      </w:r>
      <w:r w:rsidR="00790BA4" w:rsidRPr="009601FF">
        <w:rPr>
          <w:rFonts w:ascii="Arial" w:hAnsi="Arial" w:cs="Arial"/>
          <w:sz w:val="22"/>
          <w:szCs w:val="22"/>
          <w:lang w:val="en-GB"/>
        </w:rPr>
        <w:t xml:space="preserve"> begin to have insolvency proceedings by different creditors in different jurisdictions, which law would apply?</w:t>
      </w:r>
      <w:r w:rsidR="00640C16" w:rsidRPr="009601FF">
        <w:rPr>
          <w:rFonts w:ascii="Arial" w:hAnsi="Arial" w:cs="Arial"/>
          <w:sz w:val="22"/>
          <w:szCs w:val="22"/>
          <w:lang w:val="en-GB"/>
        </w:rPr>
        <w:t xml:space="preserve"> Can the law of one jurisdiction regulate the entire proceedings </w:t>
      </w:r>
      <w:r w:rsidR="00637BD1" w:rsidRPr="009601FF">
        <w:rPr>
          <w:rFonts w:ascii="Arial" w:hAnsi="Arial" w:cs="Arial"/>
          <w:sz w:val="22"/>
          <w:szCs w:val="22"/>
          <w:lang w:val="en-GB"/>
        </w:rPr>
        <w:t>if</w:t>
      </w:r>
      <w:r w:rsidR="00640C16" w:rsidRPr="009601FF">
        <w:rPr>
          <w:rFonts w:ascii="Arial" w:hAnsi="Arial" w:cs="Arial"/>
          <w:sz w:val="22"/>
          <w:szCs w:val="22"/>
          <w:lang w:val="en-GB"/>
        </w:rPr>
        <w:t xml:space="preserve"> the companies are part of a Group company?</w:t>
      </w:r>
      <w:r w:rsidR="009E206F" w:rsidRPr="009601FF">
        <w:rPr>
          <w:rFonts w:ascii="Arial" w:hAnsi="Arial" w:cs="Arial"/>
          <w:sz w:val="22"/>
          <w:szCs w:val="22"/>
          <w:lang w:val="en-GB"/>
        </w:rPr>
        <w:t xml:space="preserve"> How would the assets be dispersed?</w:t>
      </w:r>
      <w:r w:rsidR="00A26D68" w:rsidRPr="009601FF">
        <w:rPr>
          <w:rFonts w:ascii="Arial" w:hAnsi="Arial" w:cs="Arial"/>
          <w:sz w:val="22"/>
          <w:szCs w:val="22"/>
          <w:lang w:val="en-GB"/>
        </w:rPr>
        <w:t xml:space="preserve"> Can the </w:t>
      </w:r>
      <w:r w:rsidR="00E61D76">
        <w:rPr>
          <w:rFonts w:ascii="Arial" w:hAnsi="Arial" w:cs="Arial"/>
          <w:sz w:val="22"/>
          <w:szCs w:val="22"/>
          <w:lang w:val="en-GB"/>
        </w:rPr>
        <w:t>C</w:t>
      </w:r>
      <w:r w:rsidR="00A26D68" w:rsidRPr="009601FF">
        <w:rPr>
          <w:rFonts w:ascii="Arial" w:hAnsi="Arial" w:cs="Arial"/>
          <w:sz w:val="22"/>
          <w:szCs w:val="22"/>
          <w:lang w:val="en-GB"/>
        </w:rPr>
        <w:t>ourts and Insolvency Professionals coordinate in the interest of maximizing the assets of the debtor?</w:t>
      </w:r>
      <w:r w:rsidR="00C647E1" w:rsidRPr="009601FF">
        <w:rPr>
          <w:rFonts w:ascii="Arial" w:hAnsi="Arial" w:cs="Arial"/>
          <w:sz w:val="22"/>
          <w:szCs w:val="22"/>
          <w:lang w:val="en-GB"/>
        </w:rPr>
        <w:t xml:space="preserve"> </w:t>
      </w:r>
    </w:p>
    <w:p w14:paraId="6BF8A267" w14:textId="4555C54E" w:rsidR="00705222" w:rsidRPr="009601FF" w:rsidRDefault="002C2128" w:rsidP="00336E39">
      <w:pPr>
        <w:pStyle w:val="ListParagraph"/>
        <w:spacing w:line="360" w:lineRule="auto"/>
        <w:ind w:left="360"/>
        <w:jc w:val="both"/>
        <w:rPr>
          <w:rFonts w:ascii="Arial" w:hAnsi="Arial" w:cs="Arial"/>
          <w:b/>
          <w:sz w:val="22"/>
          <w:szCs w:val="22"/>
          <w:u w:val="single"/>
          <w:lang w:val="en-GB"/>
        </w:rPr>
      </w:pPr>
      <w:r w:rsidRPr="009601FF">
        <w:rPr>
          <w:rFonts w:ascii="Arial" w:hAnsi="Arial" w:cs="Arial"/>
          <w:sz w:val="22"/>
          <w:szCs w:val="22"/>
          <w:lang w:val="en-GB"/>
        </w:rPr>
        <w:t>While s</w:t>
      </w:r>
      <w:r w:rsidR="00983EBC" w:rsidRPr="009601FF">
        <w:rPr>
          <w:rFonts w:ascii="Arial" w:hAnsi="Arial" w:cs="Arial"/>
          <w:sz w:val="22"/>
          <w:szCs w:val="22"/>
          <w:lang w:val="en-GB"/>
        </w:rPr>
        <w:t>ome may have proposed different approaches to manage</w:t>
      </w:r>
      <w:r w:rsidR="003C0638" w:rsidRPr="009601FF">
        <w:rPr>
          <w:rFonts w:ascii="Arial" w:hAnsi="Arial" w:cs="Arial"/>
          <w:sz w:val="22"/>
          <w:szCs w:val="22"/>
          <w:lang w:val="en-GB"/>
        </w:rPr>
        <w:t xml:space="preserve"> the growing challenge</w:t>
      </w:r>
      <w:r w:rsidRPr="009601FF">
        <w:rPr>
          <w:rFonts w:ascii="Arial" w:hAnsi="Arial" w:cs="Arial"/>
          <w:sz w:val="22"/>
          <w:szCs w:val="22"/>
          <w:lang w:val="en-GB"/>
        </w:rPr>
        <w:t xml:space="preserve"> of these questions</w:t>
      </w:r>
      <w:r w:rsidR="003C0638" w:rsidRPr="009601FF">
        <w:rPr>
          <w:rFonts w:ascii="Arial" w:hAnsi="Arial" w:cs="Arial"/>
          <w:sz w:val="22"/>
          <w:szCs w:val="22"/>
          <w:lang w:val="en-GB"/>
        </w:rPr>
        <w:t xml:space="preserve"> (e.g</w:t>
      </w:r>
      <w:r w:rsidRPr="009601FF">
        <w:rPr>
          <w:rFonts w:ascii="Arial" w:hAnsi="Arial" w:cs="Arial"/>
          <w:sz w:val="22"/>
          <w:szCs w:val="22"/>
          <w:lang w:val="en-GB"/>
        </w:rPr>
        <w:t>.</w:t>
      </w:r>
      <w:r w:rsidR="003C0638" w:rsidRPr="009601FF">
        <w:rPr>
          <w:rFonts w:ascii="Arial" w:hAnsi="Arial" w:cs="Arial"/>
          <w:sz w:val="22"/>
          <w:szCs w:val="22"/>
          <w:lang w:val="en-GB"/>
        </w:rPr>
        <w:t xml:space="preserve"> the universality</w:t>
      </w:r>
      <w:r w:rsidR="0018500F">
        <w:rPr>
          <w:rFonts w:ascii="Arial" w:hAnsi="Arial" w:cs="Arial"/>
          <w:sz w:val="22"/>
          <w:szCs w:val="22"/>
          <w:lang w:val="en-GB"/>
        </w:rPr>
        <w:t>,</w:t>
      </w:r>
      <w:r w:rsidR="003C0638" w:rsidRPr="009601FF">
        <w:rPr>
          <w:rFonts w:ascii="Arial" w:hAnsi="Arial" w:cs="Arial"/>
          <w:sz w:val="22"/>
          <w:szCs w:val="22"/>
          <w:lang w:val="en-GB"/>
        </w:rPr>
        <w:t xml:space="preserve"> territorial </w:t>
      </w:r>
      <w:r w:rsidR="0018500F">
        <w:rPr>
          <w:rFonts w:ascii="Arial" w:hAnsi="Arial" w:cs="Arial"/>
          <w:sz w:val="22"/>
          <w:szCs w:val="22"/>
          <w:lang w:val="en-GB"/>
        </w:rPr>
        <w:t xml:space="preserve">or modified universality </w:t>
      </w:r>
      <w:r w:rsidR="003C0638" w:rsidRPr="009601FF">
        <w:rPr>
          <w:rFonts w:ascii="Arial" w:hAnsi="Arial" w:cs="Arial"/>
          <w:sz w:val="22"/>
          <w:szCs w:val="22"/>
          <w:lang w:val="en-GB"/>
        </w:rPr>
        <w:t>approach)</w:t>
      </w:r>
      <w:r w:rsidR="000006BB">
        <w:rPr>
          <w:rFonts w:ascii="Arial" w:hAnsi="Arial" w:cs="Arial"/>
          <w:sz w:val="22"/>
          <w:szCs w:val="22"/>
          <w:lang w:val="en-GB"/>
        </w:rPr>
        <w:t>,</w:t>
      </w:r>
      <w:r w:rsidR="00E06763" w:rsidRPr="009601FF">
        <w:rPr>
          <w:rFonts w:ascii="Arial" w:hAnsi="Arial" w:cs="Arial"/>
          <w:sz w:val="22"/>
          <w:szCs w:val="22"/>
          <w:lang w:val="en-GB"/>
        </w:rPr>
        <w:t xml:space="preserve"> it is apparent that</w:t>
      </w:r>
      <w:r w:rsidR="00E65544" w:rsidRPr="009601FF">
        <w:rPr>
          <w:rFonts w:ascii="Arial" w:hAnsi="Arial" w:cs="Arial"/>
          <w:sz w:val="22"/>
          <w:szCs w:val="22"/>
          <w:lang w:val="en-GB"/>
        </w:rPr>
        <w:t xml:space="preserve"> there is</w:t>
      </w:r>
      <w:r w:rsidR="00C45C74" w:rsidRPr="009601FF">
        <w:rPr>
          <w:rFonts w:ascii="Arial" w:hAnsi="Arial" w:cs="Arial"/>
          <w:sz w:val="22"/>
          <w:szCs w:val="22"/>
          <w:lang w:val="en-GB"/>
        </w:rPr>
        <w:t xml:space="preserve"> yet to be an absolute solution to </w:t>
      </w:r>
      <w:r w:rsidR="00904602" w:rsidRPr="009601FF">
        <w:rPr>
          <w:rFonts w:ascii="Arial" w:hAnsi="Arial" w:cs="Arial"/>
          <w:sz w:val="22"/>
          <w:szCs w:val="22"/>
          <w:lang w:val="en-GB"/>
        </w:rPr>
        <w:t>manage Cross Border</w:t>
      </w:r>
      <w:r w:rsidR="00292316" w:rsidRPr="009601FF">
        <w:rPr>
          <w:rFonts w:ascii="Arial" w:hAnsi="Arial" w:cs="Arial"/>
          <w:sz w:val="22"/>
          <w:szCs w:val="22"/>
          <w:lang w:val="en-GB"/>
        </w:rPr>
        <w:t xml:space="preserve"> Insolvency</w:t>
      </w:r>
      <w:r w:rsidR="00904602" w:rsidRPr="009601FF">
        <w:rPr>
          <w:rFonts w:ascii="Arial" w:hAnsi="Arial" w:cs="Arial"/>
          <w:sz w:val="22"/>
          <w:szCs w:val="22"/>
          <w:lang w:val="en-GB"/>
        </w:rPr>
        <w:t xml:space="preserve"> proceedings.</w:t>
      </w:r>
    </w:p>
    <w:p w14:paraId="5D34F394" w14:textId="77777777" w:rsidR="00705222" w:rsidRPr="009601FF" w:rsidRDefault="00705222" w:rsidP="0019775E">
      <w:pPr>
        <w:pStyle w:val="ListParagraph"/>
        <w:spacing w:line="360" w:lineRule="auto"/>
        <w:ind w:left="540"/>
        <w:jc w:val="both"/>
        <w:rPr>
          <w:rFonts w:ascii="Arial" w:hAnsi="Arial" w:cs="Arial"/>
          <w:b/>
          <w:sz w:val="22"/>
          <w:szCs w:val="22"/>
          <w:u w:val="single"/>
          <w:lang w:val="en-GB"/>
        </w:rPr>
      </w:pPr>
    </w:p>
    <w:p w14:paraId="16850128" w14:textId="50970635" w:rsidR="00FF7C22" w:rsidRPr="00FF7C22" w:rsidRDefault="00C647E1" w:rsidP="0019775E">
      <w:pPr>
        <w:pStyle w:val="ListParagraph"/>
        <w:numPr>
          <w:ilvl w:val="1"/>
          <w:numId w:val="3"/>
        </w:numPr>
        <w:spacing w:line="360" w:lineRule="auto"/>
        <w:jc w:val="both"/>
        <w:rPr>
          <w:rFonts w:ascii="Arial" w:hAnsi="Arial" w:cs="Arial"/>
          <w:b/>
          <w:sz w:val="22"/>
          <w:szCs w:val="22"/>
          <w:u w:val="single"/>
          <w:lang w:val="en-GB"/>
        </w:rPr>
      </w:pPr>
      <w:r w:rsidRPr="009601FF">
        <w:rPr>
          <w:rFonts w:ascii="Arial" w:hAnsi="Arial" w:cs="Arial"/>
          <w:sz w:val="22"/>
          <w:szCs w:val="22"/>
          <w:lang w:val="en-GB"/>
        </w:rPr>
        <w:t xml:space="preserve">Cross Border Protocols seem to have </w:t>
      </w:r>
      <w:r w:rsidR="00B005F4" w:rsidRPr="009601FF">
        <w:rPr>
          <w:rFonts w:ascii="Arial" w:hAnsi="Arial" w:cs="Arial"/>
          <w:sz w:val="22"/>
          <w:szCs w:val="22"/>
          <w:lang w:val="en-GB"/>
        </w:rPr>
        <w:t>tried</w:t>
      </w:r>
      <w:r w:rsidRPr="009601FF">
        <w:rPr>
          <w:rFonts w:ascii="Arial" w:hAnsi="Arial" w:cs="Arial"/>
          <w:sz w:val="22"/>
          <w:szCs w:val="22"/>
          <w:lang w:val="en-GB"/>
        </w:rPr>
        <w:t xml:space="preserve"> </w:t>
      </w:r>
      <w:r w:rsidR="00986757" w:rsidRPr="009601FF">
        <w:rPr>
          <w:rFonts w:ascii="Arial" w:hAnsi="Arial" w:cs="Arial"/>
          <w:sz w:val="22"/>
          <w:szCs w:val="22"/>
          <w:lang w:val="en-GB"/>
        </w:rPr>
        <w:t xml:space="preserve">to </w:t>
      </w:r>
      <w:r w:rsidRPr="009601FF">
        <w:rPr>
          <w:rFonts w:ascii="Arial" w:hAnsi="Arial" w:cs="Arial"/>
          <w:sz w:val="22"/>
          <w:szCs w:val="22"/>
          <w:lang w:val="en-GB"/>
        </w:rPr>
        <w:t>provid</w:t>
      </w:r>
      <w:r w:rsidR="00986757" w:rsidRPr="009601FF">
        <w:rPr>
          <w:rFonts w:ascii="Arial" w:hAnsi="Arial" w:cs="Arial"/>
          <w:sz w:val="22"/>
          <w:szCs w:val="22"/>
          <w:lang w:val="en-GB"/>
        </w:rPr>
        <w:t>e</w:t>
      </w:r>
      <w:r w:rsidRPr="009601FF">
        <w:rPr>
          <w:rFonts w:ascii="Arial" w:hAnsi="Arial" w:cs="Arial"/>
          <w:sz w:val="22"/>
          <w:szCs w:val="22"/>
          <w:lang w:val="en-GB"/>
        </w:rPr>
        <w:t xml:space="preserve"> a platform to regulate Cross Border Proceedings.</w:t>
      </w:r>
      <w:r w:rsidR="002D054D" w:rsidRPr="009601FF">
        <w:rPr>
          <w:rFonts w:ascii="Arial" w:hAnsi="Arial" w:cs="Arial"/>
          <w:sz w:val="22"/>
          <w:szCs w:val="22"/>
          <w:lang w:val="en-GB"/>
        </w:rPr>
        <w:t xml:space="preserve"> </w:t>
      </w:r>
      <w:r w:rsidR="00267F46" w:rsidRPr="009601FF">
        <w:rPr>
          <w:rFonts w:ascii="Arial" w:hAnsi="Arial" w:cs="Arial"/>
          <w:sz w:val="22"/>
          <w:szCs w:val="22"/>
          <w:lang w:val="en-GB"/>
        </w:rPr>
        <w:t xml:space="preserve">Thus, the objective of this paper is to analyse the use of </w:t>
      </w:r>
      <w:r w:rsidR="00D170B1" w:rsidRPr="009601FF">
        <w:rPr>
          <w:rFonts w:ascii="Arial" w:hAnsi="Arial" w:cs="Arial"/>
          <w:sz w:val="22"/>
          <w:szCs w:val="22"/>
          <w:lang w:val="en-GB"/>
        </w:rPr>
        <w:t>Cross Border Protocols in Cross Border Insolvency Proceedings and ascertain how useful it has been to regulate Cross Border Insolvency</w:t>
      </w:r>
      <w:r w:rsidR="00344F22">
        <w:rPr>
          <w:rFonts w:ascii="Arial" w:hAnsi="Arial" w:cs="Arial"/>
          <w:sz w:val="22"/>
          <w:szCs w:val="22"/>
          <w:lang w:val="en-GB"/>
        </w:rPr>
        <w:t xml:space="preserve"> Proceedings</w:t>
      </w:r>
      <w:r w:rsidR="00DF26C4" w:rsidRPr="009601FF">
        <w:rPr>
          <w:rFonts w:ascii="Arial" w:hAnsi="Arial" w:cs="Arial"/>
          <w:sz w:val="22"/>
          <w:szCs w:val="22"/>
          <w:lang w:val="en-GB"/>
        </w:rPr>
        <w:t xml:space="preserve">. </w:t>
      </w:r>
    </w:p>
    <w:p w14:paraId="5CA375EF" w14:textId="5836A39C" w:rsidR="00267F46" w:rsidRPr="009601FF" w:rsidRDefault="00FF7C22" w:rsidP="00FF7C22">
      <w:pPr>
        <w:pStyle w:val="ListParagraph"/>
        <w:spacing w:line="360" w:lineRule="auto"/>
        <w:ind w:left="360"/>
        <w:jc w:val="both"/>
        <w:rPr>
          <w:rFonts w:ascii="Arial" w:hAnsi="Arial" w:cs="Arial"/>
          <w:b/>
          <w:sz w:val="22"/>
          <w:szCs w:val="22"/>
          <w:u w:val="single"/>
          <w:lang w:val="en-GB"/>
        </w:rPr>
      </w:pPr>
      <w:r>
        <w:rPr>
          <w:rFonts w:ascii="Arial" w:hAnsi="Arial" w:cs="Arial"/>
          <w:sz w:val="22"/>
          <w:szCs w:val="22"/>
          <w:lang w:val="en-GB"/>
        </w:rPr>
        <w:t>I</w:t>
      </w:r>
      <w:r w:rsidR="00DF26C4" w:rsidRPr="009601FF">
        <w:rPr>
          <w:rFonts w:ascii="Arial" w:hAnsi="Arial" w:cs="Arial"/>
          <w:sz w:val="22"/>
          <w:szCs w:val="22"/>
          <w:lang w:val="en-GB"/>
        </w:rPr>
        <w:t xml:space="preserve"> shall also consider what can be done to ensure </w:t>
      </w:r>
      <w:r w:rsidR="00980A1E" w:rsidRPr="009601FF">
        <w:rPr>
          <w:rFonts w:ascii="Arial" w:hAnsi="Arial" w:cs="Arial"/>
          <w:sz w:val="22"/>
          <w:szCs w:val="22"/>
          <w:lang w:val="en-GB"/>
        </w:rPr>
        <w:t xml:space="preserve">that </w:t>
      </w:r>
      <w:r w:rsidR="00DF26C4" w:rsidRPr="009601FF">
        <w:rPr>
          <w:rFonts w:ascii="Arial" w:hAnsi="Arial" w:cs="Arial"/>
          <w:sz w:val="22"/>
          <w:szCs w:val="22"/>
          <w:lang w:val="en-GB"/>
        </w:rPr>
        <w:t>all the objectives of the Protocol</w:t>
      </w:r>
      <w:r w:rsidR="008159AA" w:rsidRPr="009601FF">
        <w:rPr>
          <w:rFonts w:ascii="Arial" w:hAnsi="Arial" w:cs="Arial"/>
          <w:sz w:val="22"/>
          <w:szCs w:val="22"/>
          <w:lang w:val="en-GB"/>
        </w:rPr>
        <w:t>(s)</w:t>
      </w:r>
      <w:r w:rsidR="00DF26C4" w:rsidRPr="009601FF">
        <w:rPr>
          <w:rFonts w:ascii="Arial" w:hAnsi="Arial" w:cs="Arial"/>
          <w:sz w:val="22"/>
          <w:szCs w:val="22"/>
          <w:lang w:val="en-GB"/>
        </w:rPr>
        <w:t xml:space="preserve"> are met</w:t>
      </w:r>
      <w:r w:rsidR="00820357" w:rsidRPr="009601FF">
        <w:rPr>
          <w:rFonts w:ascii="Arial" w:hAnsi="Arial" w:cs="Arial"/>
          <w:sz w:val="22"/>
          <w:szCs w:val="22"/>
          <w:lang w:val="en-GB"/>
        </w:rPr>
        <w:t xml:space="preserve"> in order to avoid any attempt by the debtor to exploit the system.</w:t>
      </w:r>
    </w:p>
    <w:p w14:paraId="45130E38" w14:textId="4234071D" w:rsidR="000852BE" w:rsidRPr="009601FF" w:rsidRDefault="000852BE" w:rsidP="0019775E">
      <w:pPr>
        <w:spacing w:line="360" w:lineRule="auto"/>
        <w:jc w:val="both"/>
        <w:rPr>
          <w:rFonts w:ascii="Arial" w:hAnsi="Arial" w:cs="Arial"/>
          <w:sz w:val="22"/>
          <w:szCs w:val="22"/>
          <w:lang w:val="en-GB"/>
        </w:rPr>
      </w:pPr>
    </w:p>
    <w:p w14:paraId="4CCAF748" w14:textId="77777777" w:rsidR="00800891" w:rsidRPr="009601FF" w:rsidRDefault="000852BE" w:rsidP="0019775E">
      <w:pPr>
        <w:pStyle w:val="ListParagraph"/>
        <w:numPr>
          <w:ilvl w:val="0"/>
          <w:numId w:val="3"/>
        </w:numPr>
        <w:spacing w:line="360" w:lineRule="auto"/>
        <w:jc w:val="both"/>
        <w:rPr>
          <w:rFonts w:ascii="Arial" w:hAnsi="Arial" w:cs="Arial"/>
          <w:b/>
          <w:sz w:val="22"/>
          <w:szCs w:val="22"/>
          <w:u w:val="single"/>
          <w:lang w:val="en-GB"/>
        </w:rPr>
      </w:pPr>
      <w:r w:rsidRPr="009601FF">
        <w:rPr>
          <w:rFonts w:ascii="Arial" w:hAnsi="Arial" w:cs="Arial"/>
          <w:b/>
          <w:sz w:val="22"/>
          <w:szCs w:val="22"/>
          <w:u w:val="single"/>
          <w:lang w:val="en-GB"/>
        </w:rPr>
        <w:t>THE USE OF CROSS BORDER PROTOCOLS IN CROSS-BORDER INSOLVENCY PROCEEDINGS:</w:t>
      </w:r>
      <w:r w:rsidR="00800891" w:rsidRPr="009601FF">
        <w:rPr>
          <w:rFonts w:ascii="Arial" w:hAnsi="Arial" w:cs="Arial"/>
          <w:b/>
          <w:sz w:val="22"/>
          <w:szCs w:val="22"/>
          <w:u w:val="single"/>
          <w:lang w:val="en-GB"/>
        </w:rPr>
        <w:t xml:space="preserve"> </w:t>
      </w:r>
    </w:p>
    <w:p w14:paraId="640DD326" w14:textId="674C40D1" w:rsidR="00800891" w:rsidRPr="009601FF" w:rsidRDefault="00800891" w:rsidP="0019775E">
      <w:pPr>
        <w:pStyle w:val="ListParagraph"/>
        <w:spacing w:line="360" w:lineRule="auto"/>
        <w:ind w:left="450"/>
        <w:jc w:val="both"/>
        <w:rPr>
          <w:rFonts w:ascii="Arial" w:hAnsi="Arial" w:cs="Arial"/>
          <w:b/>
          <w:sz w:val="22"/>
          <w:szCs w:val="22"/>
          <w:u w:val="single"/>
          <w:lang w:val="en-GB"/>
        </w:rPr>
      </w:pPr>
    </w:p>
    <w:p w14:paraId="286C8E20" w14:textId="0B137CF3" w:rsidR="00800891" w:rsidRDefault="00800891"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What are Cross Border Proceedings?</w:t>
      </w:r>
      <w:r w:rsidR="00BD19F0" w:rsidRPr="009601FF">
        <w:rPr>
          <w:rFonts w:ascii="Arial" w:hAnsi="Arial" w:cs="Arial"/>
          <w:bCs/>
          <w:sz w:val="22"/>
          <w:szCs w:val="22"/>
          <w:lang w:val="en-GB"/>
        </w:rPr>
        <w:t xml:space="preserve"> A Cross Border Proceeding may simply be defined</w:t>
      </w:r>
      <w:r w:rsidR="006B3358" w:rsidRPr="009601FF">
        <w:rPr>
          <w:rFonts w:ascii="Arial" w:hAnsi="Arial" w:cs="Arial"/>
          <w:bCs/>
          <w:sz w:val="22"/>
          <w:szCs w:val="22"/>
          <w:lang w:val="en-GB"/>
        </w:rPr>
        <w:t xml:space="preserve"> as a situation where insolvency proceedings are commenced in one jurisdiction against a debtor that has assets or liabilities in at least another jurisdiction.</w:t>
      </w:r>
      <w:r w:rsidR="0011711E" w:rsidRPr="009601FF">
        <w:rPr>
          <w:rFonts w:ascii="Arial" w:hAnsi="Arial" w:cs="Arial"/>
          <w:bCs/>
          <w:sz w:val="22"/>
          <w:szCs w:val="22"/>
          <w:lang w:val="en-GB"/>
        </w:rPr>
        <w:t xml:space="preserve"> In some complex cases, a multinational enterprise (set up as a group of companies) may have business operations in dozens of jurisdictions carried out by subsidiaries, branches</w:t>
      </w:r>
      <w:r w:rsidR="00211228" w:rsidRPr="009601FF">
        <w:rPr>
          <w:rFonts w:ascii="Arial" w:hAnsi="Arial" w:cs="Arial"/>
          <w:bCs/>
          <w:sz w:val="22"/>
          <w:szCs w:val="22"/>
          <w:lang w:val="en-GB"/>
        </w:rPr>
        <w:t>,</w:t>
      </w:r>
      <w:r w:rsidR="0011711E" w:rsidRPr="009601FF">
        <w:rPr>
          <w:rFonts w:ascii="Arial" w:hAnsi="Arial" w:cs="Arial"/>
          <w:bCs/>
          <w:sz w:val="22"/>
          <w:szCs w:val="22"/>
          <w:lang w:val="en-GB"/>
        </w:rPr>
        <w:t xml:space="preserve"> and other affiliated entities </w:t>
      </w:r>
      <w:r w:rsidR="0011711E" w:rsidRPr="009601FF">
        <w:rPr>
          <w:rFonts w:ascii="Arial" w:hAnsi="Arial" w:cs="Arial"/>
          <w:bCs/>
          <w:sz w:val="22"/>
          <w:szCs w:val="22"/>
          <w:lang w:val="en-GB"/>
        </w:rPr>
        <w:lastRenderedPageBreak/>
        <w:t>with a wide variety of different types of assets and liabilities</w:t>
      </w:r>
      <w:r w:rsidR="00B53A5D" w:rsidRPr="009601FF">
        <w:rPr>
          <w:rFonts w:ascii="Arial" w:hAnsi="Arial" w:cs="Arial"/>
          <w:bCs/>
          <w:sz w:val="22"/>
          <w:szCs w:val="22"/>
          <w:lang w:val="en-GB"/>
        </w:rPr>
        <w:t xml:space="preserve"> in different locations and numer</w:t>
      </w:r>
      <w:r w:rsidR="00BB2547" w:rsidRPr="009601FF">
        <w:rPr>
          <w:rFonts w:ascii="Arial" w:hAnsi="Arial" w:cs="Arial"/>
          <w:bCs/>
          <w:sz w:val="22"/>
          <w:szCs w:val="22"/>
          <w:lang w:val="en-GB"/>
        </w:rPr>
        <w:t>ou</w:t>
      </w:r>
      <w:r w:rsidR="00B53A5D" w:rsidRPr="009601FF">
        <w:rPr>
          <w:rFonts w:ascii="Arial" w:hAnsi="Arial" w:cs="Arial"/>
          <w:bCs/>
          <w:sz w:val="22"/>
          <w:szCs w:val="22"/>
          <w:lang w:val="en-GB"/>
        </w:rPr>
        <w:t>s creditors</w:t>
      </w:r>
      <w:r w:rsidR="00711CCE" w:rsidRPr="009601FF">
        <w:rPr>
          <w:rStyle w:val="FootnoteReference"/>
          <w:rFonts w:ascii="Arial" w:hAnsi="Arial" w:cs="Arial"/>
          <w:bCs/>
          <w:sz w:val="22"/>
          <w:szCs w:val="22"/>
          <w:lang w:val="en-GB"/>
        </w:rPr>
        <w:footnoteReference w:id="1"/>
      </w:r>
      <w:r w:rsidR="00B53A5D" w:rsidRPr="009601FF">
        <w:rPr>
          <w:rFonts w:ascii="Arial" w:hAnsi="Arial" w:cs="Arial"/>
          <w:bCs/>
          <w:sz w:val="22"/>
          <w:szCs w:val="22"/>
          <w:lang w:val="en-GB"/>
        </w:rPr>
        <w:t>.</w:t>
      </w:r>
      <w:r w:rsidR="001D2EF4" w:rsidRPr="009601FF">
        <w:rPr>
          <w:rFonts w:ascii="Arial" w:hAnsi="Arial" w:cs="Arial"/>
          <w:bCs/>
          <w:sz w:val="22"/>
          <w:szCs w:val="22"/>
          <w:lang w:val="en-GB"/>
        </w:rPr>
        <w:t xml:space="preserve"> For some of the debtors with cross-border business activities, </w:t>
      </w:r>
      <w:r w:rsidR="00012767" w:rsidRPr="009601FF">
        <w:rPr>
          <w:rFonts w:ascii="Arial" w:hAnsi="Arial" w:cs="Arial"/>
          <w:bCs/>
          <w:sz w:val="22"/>
          <w:szCs w:val="22"/>
          <w:lang w:val="en-GB"/>
        </w:rPr>
        <w:t xml:space="preserve">the effect of this cross-border activity is </w:t>
      </w:r>
      <w:r w:rsidR="00DB5553" w:rsidRPr="009601FF">
        <w:rPr>
          <w:rFonts w:ascii="Arial" w:hAnsi="Arial" w:cs="Arial"/>
          <w:bCs/>
          <w:sz w:val="22"/>
          <w:szCs w:val="22"/>
          <w:lang w:val="en-GB"/>
        </w:rPr>
        <w:t>an incentive to conceal assets outside the insolvent estate and thereby make them unavailable for collective distribution to the creditors of that debtor.</w:t>
      </w:r>
    </w:p>
    <w:p w14:paraId="7BCCE96C" w14:textId="7F23DEC6" w:rsidR="00C452F7" w:rsidRPr="009601FF" w:rsidRDefault="00C452F7" w:rsidP="0019775E">
      <w:pPr>
        <w:pStyle w:val="ListParagraph"/>
        <w:spacing w:line="360" w:lineRule="auto"/>
        <w:ind w:left="540"/>
        <w:jc w:val="both"/>
        <w:rPr>
          <w:rFonts w:ascii="Arial" w:hAnsi="Arial" w:cs="Arial"/>
          <w:bCs/>
          <w:sz w:val="22"/>
          <w:szCs w:val="22"/>
          <w:lang w:val="en-GB"/>
        </w:rPr>
      </w:pPr>
    </w:p>
    <w:p w14:paraId="1E264C97" w14:textId="492E4BBB" w:rsidR="00C452F7" w:rsidRPr="009601FF" w:rsidRDefault="00C452F7" w:rsidP="0019775E">
      <w:pPr>
        <w:pStyle w:val="ListParagraph"/>
        <w:spacing w:line="360" w:lineRule="auto"/>
        <w:ind w:left="540"/>
        <w:jc w:val="both"/>
        <w:rPr>
          <w:rFonts w:ascii="Arial" w:hAnsi="Arial" w:cs="Arial"/>
          <w:bCs/>
          <w:sz w:val="22"/>
          <w:szCs w:val="22"/>
          <w:lang w:val="en-GB"/>
        </w:rPr>
      </w:pPr>
      <w:r w:rsidRPr="009601FF">
        <w:rPr>
          <w:rFonts w:ascii="Arial" w:hAnsi="Arial" w:cs="Arial"/>
          <w:bCs/>
          <w:sz w:val="22"/>
          <w:szCs w:val="22"/>
          <w:lang w:val="en-GB"/>
        </w:rPr>
        <w:t xml:space="preserve">In order to address the potential scheme to </w:t>
      </w:r>
      <w:r w:rsidR="00D54A85" w:rsidRPr="009601FF">
        <w:rPr>
          <w:rFonts w:ascii="Arial" w:hAnsi="Arial" w:cs="Arial"/>
          <w:bCs/>
          <w:sz w:val="22"/>
          <w:szCs w:val="22"/>
          <w:lang w:val="en-GB"/>
        </w:rPr>
        <w:t>circumvent creditors</w:t>
      </w:r>
      <w:r w:rsidR="004F2FC4" w:rsidRPr="009601FF">
        <w:rPr>
          <w:rFonts w:ascii="Arial" w:hAnsi="Arial" w:cs="Arial"/>
          <w:bCs/>
          <w:sz w:val="22"/>
          <w:szCs w:val="22"/>
          <w:lang w:val="en-GB"/>
        </w:rPr>
        <w:t xml:space="preserve"> and also make international trade more predictable and transparent</w:t>
      </w:r>
      <w:r w:rsidR="00D11E0C" w:rsidRPr="009601FF">
        <w:rPr>
          <w:rFonts w:ascii="Arial" w:hAnsi="Arial" w:cs="Arial"/>
          <w:bCs/>
          <w:sz w:val="22"/>
          <w:szCs w:val="22"/>
          <w:lang w:val="en-GB"/>
        </w:rPr>
        <w:t>, it became necessary to establish some protocols that would govern the</w:t>
      </w:r>
      <w:r w:rsidR="003E1D73" w:rsidRPr="009601FF">
        <w:rPr>
          <w:rFonts w:ascii="Arial" w:hAnsi="Arial" w:cs="Arial"/>
          <w:bCs/>
          <w:sz w:val="22"/>
          <w:szCs w:val="22"/>
          <w:lang w:val="en-GB"/>
        </w:rPr>
        <w:t xml:space="preserve"> cross-border</w:t>
      </w:r>
      <w:r w:rsidR="00D11E0C" w:rsidRPr="009601FF">
        <w:rPr>
          <w:rFonts w:ascii="Arial" w:hAnsi="Arial" w:cs="Arial"/>
          <w:bCs/>
          <w:sz w:val="22"/>
          <w:szCs w:val="22"/>
          <w:lang w:val="en-GB"/>
        </w:rPr>
        <w:t xml:space="preserve"> debt recovery process.</w:t>
      </w:r>
      <w:r w:rsidR="006F10F4" w:rsidRPr="009601FF">
        <w:rPr>
          <w:rFonts w:ascii="Arial" w:hAnsi="Arial" w:cs="Arial"/>
          <w:bCs/>
          <w:sz w:val="22"/>
          <w:szCs w:val="22"/>
          <w:lang w:val="en-GB"/>
        </w:rPr>
        <w:t xml:space="preserve"> Amongst the British Commonwealth countries, a common law principle of “comity”</w:t>
      </w:r>
      <w:r w:rsidR="00D810D1" w:rsidRPr="009601FF">
        <w:rPr>
          <w:rFonts w:ascii="Arial" w:hAnsi="Arial" w:cs="Arial"/>
          <w:bCs/>
          <w:sz w:val="22"/>
          <w:szCs w:val="22"/>
          <w:lang w:val="en-GB"/>
        </w:rPr>
        <w:t xml:space="preserve"> was developed</w:t>
      </w:r>
      <w:r w:rsidR="003F03FF" w:rsidRPr="009601FF">
        <w:rPr>
          <w:rFonts w:ascii="Arial" w:hAnsi="Arial" w:cs="Arial"/>
          <w:bCs/>
          <w:sz w:val="22"/>
          <w:szCs w:val="22"/>
          <w:lang w:val="en-GB"/>
        </w:rPr>
        <w:t xml:space="preserve">. The principle allows the courts in one common </w:t>
      </w:r>
      <w:r w:rsidR="0006631A" w:rsidRPr="009601FF">
        <w:rPr>
          <w:rFonts w:ascii="Arial" w:hAnsi="Arial" w:cs="Arial"/>
          <w:bCs/>
          <w:sz w:val="22"/>
          <w:szCs w:val="22"/>
          <w:lang w:val="en-GB"/>
        </w:rPr>
        <w:t xml:space="preserve">law </w:t>
      </w:r>
      <w:r w:rsidR="003F03FF" w:rsidRPr="009601FF">
        <w:rPr>
          <w:rFonts w:ascii="Arial" w:hAnsi="Arial" w:cs="Arial"/>
          <w:bCs/>
          <w:sz w:val="22"/>
          <w:szCs w:val="22"/>
          <w:lang w:val="en-GB"/>
        </w:rPr>
        <w:t>jurisdiction</w:t>
      </w:r>
      <w:r w:rsidR="00905FDF" w:rsidRPr="009601FF">
        <w:rPr>
          <w:rFonts w:ascii="Arial" w:hAnsi="Arial" w:cs="Arial"/>
          <w:bCs/>
          <w:sz w:val="22"/>
          <w:szCs w:val="22"/>
          <w:lang w:val="en-GB"/>
        </w:rPr>
        <w:t xml:space="preserve"> to recognise the courts in another jurisdiction and to assist each other in the enforcement of their respective judgments. In </w:t>
      </w:r>
      <w:r w:rsidR="00905FDF" w:rsidRPr="009601FF">
        <w:rPr>
          <w:rFonts w:ascii="Arial" w:hAnsi="Arial" w:cs="Arial"/>
          <w:bCs/>
          <w:i/>
          <w:iCs/>
          <w:sz w:val="22"/>
          <w:szCs w:val="22"/>
          <w:lang w:val="en-GB"/>
        </w:rPr>
        <w:t>Hilton v Guyot</w:t>
      </w:r>
      <w:r w:rsidR="00905FDF" w:rsidRPr="009601FF">
        <w:rPr>
          <w:rFonts w:ascii="Arial" w:hAnsi="Arial" w:cs="Arial"/>
          <w:bCs/>
          <w:sz w:val="22"/>
          <w:szCs w:val="22"/>
          <w:lang w:val="en-GB"/>
        </w:rPr>
        <w:t xml:space="preserve"> </w:t>
      </w:r>
      <w:r w:rsidR="00B93EEE" w:rsidRPr="009601FF">
        <w:rPr>
          <w:rFonts w:ascii="Arial" w:hAnsi="Arial" w:cs="Arial"/>
          <w:bCs/>
          <w:sz w:val="22"/>
          <w:szCs w:val="22"/>
          <w:lang w:val="en-GB"/>
        </w:rPr>
        <w:t>(</w:t>
      </w:r>
      <w:r w:rsidR="00905FDF" w:rsidRPr="009601FF">
        <w:rPr>
          <w:rFonts w:ascii="Arial" w:hAnsi="Arial" w:cs="Arial"/>
          <w:bCs/>
          <w:sz w:val="22"/>
          <w:szCs w:val="22"/>
          <w:lang w:val="en-GB"/>
        </w:rPr>
        <w:t>1895) 159 US 113, 163-4, the United States Supreme Court described the principle as follows:</w:t>
      </w:r>
    </w:p>
    <w:p w14:paraId="53AD5BA3" w14:textId="3CA16EC8" w:rsidR="00EB237E" w:rsidRPr="009601FF" w:rsidRDefault="00EB237E" w:rsidP="0019775E">
      <w:pPr>
        <w:pStyle w:val="ListParagraph"/>
        <w:spacing w:line="360" w:lineRule="auto"/>
        <w:ind w:left="540"/>
        <w:jc w:val="both"/>
        <w:rPr>
          <w:rFonts w:ascii="Arial" w:hAnsi="Arial" w:cs="Arial"/>
          <w:bCs/>
          <w:sz w:val="22"/>
          <w:szCs w:val="22"/>
          <w:lang w:val="en-GB"/>
        </w:rPr>
      </w:pPr>
    </w:p>
    <w:p w14:paraId="1823BE15" w14:textId="4C67D864" w:rsidR="00EB237E" w:rsidRDefault="00EB237E" w:rsidP="0019775E">
      <w:pPr>
        <w:pStyle w:val="ListParagraph"/>
        <w:spacing w:line="360" w:lineRule="auto"/>
        <w:ind w:left="540"/>
        <w:jc w:val="both"/>
        <w:rPr>
          <w:rFonts w:ascii="Arial" w:hAnsi="Arial" w:cs="Arial"/>
          <w:bCs/>
          <w:sz w:val="22"/>
          <w:szCs w:val="22"/>
          <w:lang w:val="en-GB"/>
        </w:rPr>
      </w:pPr>
      <w:r w:rsidRPr="009601FF">
        <w:rPr>
          <w:rFonts w:ascii="Arial" w:hAnsi="Arial" w:cs="Arial"/>
          <w:bCs/>
          <w:sz w:val="22"/>
          <w:szCs w:val="22"/>
          <w:lang w:val="en-GB"/>
        </w:rPr>
        <w:tab/>
      </w:r>
      <w:r w:rsidRPr="009601FF">
        <w:rPr>
          <w:rFonts w:ascii="Arial" w:hAnsi="Arial" w:cs="Arial"/>
          <w:bCs/>
          <w:sz w:val="22"/>
          <w:szCs w:val="22"/>
          <w:lang w:val="en-GB"/>
        </w:rPr>
        <w:tab/>
      </w:r>
      <w:r w:rsidR="00FC06B5">
        <w:rPr>
          <w:rFonts w:ascii="Arial" w:hAnsi="Arial" w:cs="Arial"/>
          <w:bCs/>
          <w:sz w:val="22"/>
          <w:szCs w:val="22"/>
          <w:lang w:val="en-GB"/>
        </w:rPr>
        <w:t>“</w:t>
      </w:r>
      <w:r w:rsidRPr="00FC06B5">
        <w:rPr>
          <w:rFonts w:ascii="Arial" w:hAnsi="Arial" w:cs="Arial"/>
          <w:bCs/>
          <w:i/>
          <w:iCs/>
          <w:sz w:val="22"/>
          <w:szCs w:val="22"/>
          <w:lang w:val="en-GB"/>
        </w:rPr>
        <w:t>Comity in the legal sense, is neither a matter of absolute obligation, on one hand, nor of mere courtesy and goodwill, upon the other.</w:t>
      </w:r>
      <w:r w:rsidR="00CB2CE3" w:rsidRPr="00FC06B5">
        <w:rPr>
          <w:rFonts w:ascii="Arial" w:hAnsi="Arial" w:cs="Arial"/>
          <w:bCs/>
          <w:i/>
          <w:iCs/>
          <w:sz w:val="22"/>
          <w:szCs w:val="22"/>
          <w:lang w:val="en-GB"/>
        </w:rPr>
        <w:t xml:space="preserve"> But it is the recognition which one nation allows within its territory to the legislative, executive</w:t>
      </w:r>
      <w:r w:rsidR="0095008E" w:rsidRPr="00FC06B5">
        <w:rPr>
          <w:rFonts w:ascii="Arial" w:hAnsi="Arial" w:cs="Arial"/>
          <w:bCs/>
          <w:i/>
          <w:iCs/>
          <w:sz w:val="22"/>
          <w:szCs w:val="22"/>
          <w:lang w:val="en-GB"/>
        </w:rPr>
        <w:t>,</w:t>
      </w:r>
      <w:r w:rsidR="00CB2CE3" w:rsidRPr="00FC06B5">
        <w:rPr>
          <w:rFonts w:ascii="Arial" w:hAnsi="Arial" w:cs="Arial"/>
          <w:bCs/>
          <w:i/>
          <w:iCs/>
          <w:sz w:val="22"/>
          <w:szCs w:val="22"/>
          <w:lang w:val="en-GB"/>
        </w:rPr>
        <w:t xml:space="preserve"> or judicial acts of another nation, having due regard both to international duty and convenience, and to the rights of its own citizens or of other persons who are under the protection of its law</w:t>
      </w:r>
      <w:r w:rsidR="00FC06B5">
        <w:rPr>
          <w:rFonts w:ascii="Arial" w:hAnsi="Arial" w:cs="Arial"/>
          <w:bCs/>
          <w:sz w:val="22"/>
          <w:szCs w:val="22"/>
          <w:lang w:val="en-GB"/>
        </w:rPr>
        <w:t>”</w:t>
      </w:r>
      <w:r w:rsidR="00CB2CE3" w:rsidRPr="009601FF">
        <w:rPr>
          <w:rFonts w:ascii="Arial" w:hAnsi="Arial" w:cs="Arial"/>
          <w:bCs/>
          <w:sz w:val="22"/>
          <w:szCs w:val="22"/>
          <w:lang w:val="en-GB"/>
        </w:rPr>
        <w:t>.</w:t>
      </w:r>
    </w:p>
    <w:p w14:paraId="46E54ACC" w14:textId="65733F1C" w:rsidR="00907E4F" w:rsidRDefault="00907E4F" w:rsidP="0019775E">
      <w:pPr>
        <w:pStyle w:val="ListParagraph"/>
        <w:spacing w:line="360" w:lineRule="auto"/>
        <w:ind w:left="540"/>
        <w:jc w:val="both"/>
        <w:rPr>
          <w:rFonts w:ascii="Arial" w:hAnsi="Arial" w:cs="Arial"/>
          <w:bCs/>
          <w:sz w:val="22"/>
          <w:szCs w:val="22"/>
          <w:lang w:val="en-GB"/>
        </w:rPr>
      </w:pPr>
    </w:p>
    <w:p w14:paraId="215A0366" w14:textId="77777777" w:rsidR="002970D3" w:rsidRPr="009601FF" w:rsidRDefault="002970D3" w:rsidP="002970D3">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At this point, it is worthy to mention that the UNICTRAL Model Law on Cross Border Insolvency is the primary international instrument relating to multinational insolvency matters</w:t>
      </w:r>
      <w:r w:rsidRPr="009601FF">
        <w:rPr>
          <w:rStyle w:val="FootnoteReference"/>
          <w:rFonts w:ascii="Arial" w:hAnsi="Arial" w:cs="Arial"/>
          <w:bCs/>
          <w:sz w:val="22"/>
          <w:szCs w:val="22"/>
          <w:lang w:val="en-GB"/>
        </w:rPr>
        <w:footnoteReference w:id="2"/>
      </w:r>
      <w:r w:rsidRPr="009601FF">
        <w:rPr>
          <w:rFonts w:ascii="Arial" w:hAnsi="Arial" w:cs="Arial"/>
          <w:bCs/>
          <w:sz w:val="22"/>
          <w:szCs w:val="22"/>
          <w:lang w:val="en-GB"/>
        </w:rPr>
        <w:t>. The goals of the Model law are modest. There is no attempt to harmonize the substantive insolvency law of different jurisdictions. Instead, the Model law is designed to provide a legal framework to permit cooperation and coordination among multiple jurisdictions when a proceeding pending in one jurisdiction requires assistance in another. The Model law is premised on four key concepts:</w:t>
      </w:r>
    </w:p>
    <w:p w14:paraId="15411961" w14:textId="77777777" w:rsidR="002970D3" w:rsidRPr="009601FF" w:rsidRDefault="002970D3" w:rsidP="002970D3">
      <w:pPr>
        <w:pStyle w:val="ListParagraph"/>
        <w:numPr>
          <w:ilvl w:val="0"/>
          <w:numId w:val="5"/>
        </w:numPr>
        <w:spacing w:line="360" w:lineRule="auto"/>
        <w:jc w:val="both"/>
        <w:rPr>
          <w:rFonts w:ascii="Arial" w:hAnsi="Arial" w:cs="Arial"/>
          <w:bCs/>
          <w:sz w:val="22"/>
          <w:szCs w:val="22"/>
          <w:lang w:val="en-GB"/>
        </w:rPr>
      </w:pPr>
      <w:r w:rsidRPr="009601FF">
        <w:rPr>
          <w:rFonts w:ascii="Arial" w:hAnsi="Arial" w:cs="Arial"/>
          <w:bCs/>
          <w:sz w:val="22"/>
          <w:szCs w:val="22"/>
          <w:lang w:val="en-GB"/>
        </w:rPr>
        <w:t>Access-providing access of foreign representatives and creditors</w:t>
      </w:r>
    </w:p>
    <w:p w14:paraId="7D774FFD" w14:textId="77777777" w:rsidR="002970D3" w:rsidRPr="009601FF" w:rsidRDefault="002970D3" w:rsidP="002970D3">
      <w:pPr>
        <w:pStyle w:val="ListParagraph"/>
        <w:numPr>
          <w:ilvl w:val="0"/>
          <w:numId w:val="5"/>
        </w:numPr>
        <w:spacing w:line="360" w:lineRule="auto"/>
        <w:jc w:val="both"/>
        <w:rPr>
          <w:rFonts w:ascii="Arial" w:hAnsi="Arial" w:cs="Arial"/>
          <w:bCs/>
          <w:sz w:val="22"/>
          <w:szCs w:val="22"/>
          <w:lang w:val="en-GB"/>
        </w:rPr>
      </w:pPr>
      <w:r w:rsidRPr="009601FF">
        <w:rPr>
          <w:rFonts w:ascii="Arial" w:hAnsi="Arial" w:cs="Arial"/>
          <w:bCs/>
          <w:sz w:val="22"/>
          <w:szCs w:val="22"/>
          <w:lang w:val="en-GB"/>
        </w:rPr>
        <w:t>Recognition- recognition of foreign proceedings</w:t>
      </w:r>
    </w:p>
    <w:p w14:paraId="65448E20" w14:textId="77777777" w:rsidR="002970D3" w:rsidRPr="009601FF" w:rsidRDefault="002970D3" w:rsidP="002970D3">
      <w:pPr>
        <w:pStyle w:val="ListParagraph"/>
        <w:numPr>
          <w:ilvl w:val="0"/>
          <w:numId w:val="5"/>
        </w:numPr>
        <w:spacing w:line="360" w:lineRule="auto"/>
        <w:jc w:val="both"/>
        <w:rPr>
          <w:rFonts w:ascii="Arial" w:hAnsi="Arial" w:cs="Arial"/>
          <w:bCs/>
          <w:sz w:val="22"/>
          <w:szCs w:val="22"/>
          <w:lang w:val="en-GB"/>
        </w:rPr>
      </w:pPr>
      <w:r w:rsidRPr="009601FF">
        <w:rPr>
          <w:rFonts w:ascii="Arial" w:hAnsi="Arial" w:cs="Arial"/>
          <w:bCs/>
          <w:sz w:val="22"/>
          <w:szCs w:val="22"/>
          <w:lang w:val="en-GB"/>
        </w:rPr>
        <w:t>Relief- providing appropriate relief; and</w:t>
      </w:r>
    </w:p>
    <w:p w14:paraId="120D4D26" w14:textId="77777777" w:rsidR="002970D3" w:rsidRPr="009601FF" w:rsidRDefault="002970D3" w:rsidP="002970D3">
      <w:pPr>
        <w:pStyle w:val="ListParagraph"/>
        <w:numPr>
          <w:ilvl w:val="0"/>
          <w:numId w:val="5"/>
        </w:numPr>
        <w:spacing w:line="360" w:lineRule="auto"/>
        <w:jc w:val="both"/>
        <w:rPr>
          <w:rFonts w:ascii="Arial" w:hAnsi="Arial" w:cs="Arial"/>
          <w:bCs/>
          <w:sz w:val="22"/>
          <w:szCs w:val="22"/>
          <w:lang w:val="en-GB"/>
        </w:rPr>
      </w:pPr>
      <w:r w:rsidRPr="009601FF">
        <w:rPr>
          <w:rFonts w:ascii="Arial" w:hAnsi="Arial" w:cs="Arial"/>
          <w:bCs/>
          <w:sz w:val="22"/>
          <w:szCs w:val="22"/>
          <w:lang w:val="en-GB"/>
        </w:rPr>
        <w:t>Co-operation- facilitating co-operation with foreign courts and foreign representatives</w:t>
      </w:r>
    </w:p>
    <w:p w14:paraId="23557762" w14:textId="77777777" w:rsidR="002970D3" w:rsidRPr="009601FF" w:rsidRDefault="002970D3" w:rsidP="002970D3">
      <w:pPr>
        <w:pStyle w:val="ListParagraph"/>
        <w:spacing w:line="360" w:lineRule="auto"/>
        <w:ind w:left="1800"/>
        <w:jc w:val="both"/>
        <w:rPr>
          <w:rFonts w:ascii="Arial" w:hAnsi="Arial" w:cs="Arial"/>
          <w:bCs/>
          <w:sz w:val="22"/>
          <w:szCs w:val="22"/>
          <w:lang w:val="en-GB"/>
        </w:rPr>
      </w:pPr>
    </w:p>
    <w:p w14:paraId="1070EEDC" w14:textId="656D8952" w:rsidR="00425EBC" w:rsidRDefault="002970D3" w:rsidP="002970D3">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The Model law is designed to fit into any domestic legislation which is evidenced by alignment of relief, rights of local creditors respected, public policy safeguard, flexible form of Model law etc</w:t>
      </w:r>
      <w:r w:rsidR="003C6FD6">
        <w:rPr>
          <w:rFonts w:ascii="Arial" w:hAnsi="Arial" w:cs="Arial"/>
          <w:bCs/>
          <w:sz w:val="22"/>
          <w:szCs w:val="22"/>
          <w:lang w:val="en-GB"/>
        </w:rPr>
        <w:t xml:space="preserve"> and has served as a reference point to many Protocols</w:t>
      </w:r>
      <w:r w:rsidRPr="009601FF">
        <w:rPr>
          <w:rFonts w:ascii="Arial" w:hAnsi="Arial" w:cs="Arial"/>
          <w:bCs/>
          <w:sz w:val="22"/>
          <w:szCs w:val="22"/>
          <w:lang w:val="en-GB"/>
        </w:rPr>
        <w:t>.</w:t>
      </w:r>
      <w:r w:rsidR="00425EBC">
        <w:rPr>
          <w:rFonts w:ascii="Arial" w:hAnsi="Arial" w:cs="Arial"/>
          <w:bCs/>
          <w:sz w:val="22"/>
          <w:szCs w:val="22"/>
          <w:lang w:val="en-GB"/>
        </w:rPr>
        <w:t xml:space="preserve"> </w:t>
      </w:r>
    </w:p>
    <w:p w14:paraId="796F2BE9" w14:textId="38F47F82" w:rsidR="009C6A51" w:rsidRPr="009601FF" w:rsidRDefault="009C6A51" w:rsidP="0019775E">
      <w:pPr>
        <w:pStyle w:val="ListParagraph"/>
        <w:spacing w:line="360" w:lineRule="auto"/>
        <w:ind w:left="540"/>
        <w:jc w:val="both"/>
        <w:rPr>
          <w:rFonts w:ascii="Arial" w:hAnsi="Arial" w:cs="Arial"/>
          <w:bCs/>
          <w:sz w:val="22"/>
          <w:szCs w:val="22"/>
          <w:lang w:val="en-GB"/>
        </w:rPr>
      </w:pPr>
    </w:p>
    <w:p w14:paraId="16CC6D6E" w14:textId="402F520F" w:rsidR="009C6A51" w:rsidRPr="009601FF" w:rsidRDefault="009C6A51" w:rsidP="0019775E">
      <w:pPr>
        <w:pStyle w:val="ListParagraph"/>
        <w:spacing w:line="360" w:lineRule="auto"/>
        <w:ind w:left="540"/>
        <w:jc w:val="both"/>
        <w:rPr>
          <w:rFonts w:ascii="Arial" w:hAnsi="Arial" w:cs="Arial"/>
          <w:b/>
          <w:sz w:val="22"/>
          <w:szCs w:val="22"/>
          <w:lang w:val="en-GB"/>
        </w:rPr>
      </w:pPr>
      <w:r w:rsidRPr="009601FF">
        <w:rPr>
          <w:rFonts w:ascii="Arial" w:hAnsi="Arial" w:cs="Arial"/>
          <w:b/>
          <w:sz w:val="22"/>
          <w:szCs w:val="22"/>
          <w:lang w:val="en-GB"/>
        </w:rPr>
        <w:t>Existing Cross-Border Insolvency Protocols</w:t>
      </w:r>
      <w:r w:rsidR="00BB4E40" w:rsidRPr="009601FF">
        <w:rPr>
          <w:rFonts w:ascii="Arial" w:hAnsi="Arial" w:cs="Arial"/>
          <w:b/>
          <w:sz w:val="22"/>
          <w:szCs w:val="22"/>
          <w:lang w:val="en-GB"/>
        </w:rPr>
        <w:t>:</w:t>
      </w:r>
    </w:p>
    <w:p w14:paraId="6FA3A2BF" w14:textId="77777777" w:rsidR="009C6A51" w:rsidRPr="009601FF" w:rsidRDefault="009C6A51" w:rsidP="0019775E">
      <w:pPr>
        <w:pStyle w:val="ListParagraph"/>
        <w:spacing w:line="360" w:lineRule="auto"/>
        <w:ind w:left="540"/>
        <w:jc w:val="both"/>
        <w:rPr>
          <w:rFonts w:ascii="Arial" w:hAnsi="Arial" w:cs="Arial"/>
          <w:bCs/>
          <w:sz w:val="22"/>
          <w:szCs w:val="22"/>
          <w:lang w:val="en-GB"/>
        </w:rPr>
      </w:pPr>
    </w:p>
    <w:p w14:paraId="1869D992" w14:textId="015E4CB4" w:rsidR="003B023E" w:rsidRPr="009601FF" w:rsidRDefault="003B023E"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A Cross-Border Insolvency Protocol specif</w:t>
      </w:r>
      <w:r w:rsidR="00C67DC0" w:rsidRPr="009601FF">
        <w:rPr>
          <w:rFonts w:ascii="Arial" w:hAnsi="Arial" w:cs="Arial"/>
          <w:bCs/>
          <w:sz w:val="22"/>
          <w:szCs w:val="22"/>
          <w:lang w:val="en-GB"/>
        </w:rPr>
        <w:t>ies</w:t>
      </w:r>
      <w:r w:rsidRPr="009601FF">
        <w:rPr>
          <w:rFonts w:ascii="Arial" w:hAnsi="Arial" w:cs="Arial"/>
          <w:bCs/>
          <w:sz w:val="22"/>
          <w:szCs w:val="22"/>
          <w:lang w:val="en-GB"/>
        </w:rPr>
        <w:t xml:space="preserve"> procedural and administrative provisions designed to facilitate case management and establish a framework of principles addressing administrative issues involved in complex cases in different jurisdictions</w:t>
      </w:r>
      <w:r w:rsidR="00E47F94" w:rsidRPr="009601FF">
        <w:rPr>
          <w:rStyle w:val="FootnoteReference"/>
          <w:rFonts w:ascii="Arial" w:hAnsi="Arial" w:cs="Arial"/>
          <w:bCs/>
          <w:sz w:val="22"/>
          <w:szCs w:val="22"/>
          <w:lang w:val="en-GB"/>
        </w:rPr>
        <w:footnoteReference w:id="3"/>
      </w:r>
      <w:r w:rsidRPr="009601FF">
        <w:rPr>
          <w:rFonts w:ascii="Arial" w:hAnsi="Arial" w:cs="Arial"/>
          <w:bCs/>
          <w:sz w:val="22"/>
          <w:szCs w:val="22"/>
          <w:lang w:val="en-GB"/>
        </w:rPr>
        <w:t>.</w:t>
      </w:r>
      <w:r w:rsidR="007A08E8" w:rsidRPr="009601FF">
        <w:rPr>
          <w:rFonts w:ascii="Arial" w:hAnsi="Arial" w:cs="Arial"/>
          <w:bCs/>
          <w:sz w:val="22"/>
          <w:szCs w:val="22"/>
          <w:lang w:val="en-GB"/>
        </w:rPr>
        <w:t xml:space="preserve"> There is no prescribed format for a typical Cross-Border Insolvency Protocol.</w:t>
      </w:r>
      <w:r w:rsidR="00C626F7" w:rsidRPr="009601FF">
        <w:rPr>
          <w:rFonts w:ascii="Arial" w:hAnsi="Arial" w:cs="Arial"/>
          <w:bCs/>
          <w:sz w:val="22"/>
          <w:szCs w:val="22"/>
          <w:lang w:val="en-GB"/>
        </w:rPr>
        <w:t xml:space="preserve"> This is essentially because</w:t>
      </w:r>
      <w:r w:rsidR="007A08E8" w:rsidRPr="009601FF">
        <w:rPr>
          <w:rFonts w:ascii="Arial" w:hAnsi="Arial" w:cs="Arial"/>
          <w:bCs/>
          <w:sz w:val="22"/>
          <w:szCs w:val="22"/>
          <w:lang w:val="en-GB"/>
        </w:rPr>
        <w:t xml:space="preserve"> Protocols are inten</w:t>
      </w:r>
      <w:r w:rsidR="00CD07AD" w:rsidRPr="009601FF">
        <w:rPr>
          <w:rFonts w:ascii="Arial" w:hAnsi="Arial" w:cs="Arial"/>
          <w:bCs/>
          <w:sz w:val="22"/>
          <w:szCs w:val="22"/>
          <w:lang w:val="en-GB"/>
        </w:rPr>
        <w:t>d</w:t>
      </w:r>
      <w:r w:rsidR="007A08E8" w:rsidRPr="009601FF">
        <w:rPr>
          <w:rFonts w:ascii="Arial" w:hAnsi="Arial" w:cs="Arial"/>
          <w:bCs/>
          <w:sz w:val="22"/>
          <w:szCs w:val="22"/>
          <w:lang w:val="en-GB"/>
        </w:rPr>
        <w:t>ed to address the issues that are important to the actual case before the Courts and these factors will vary from cases to case</w:t>
      </w:r>
      <w:r w:rsidR="00D16327" w:rsidRPr="009601FF">
        <w:rPr>
          <w:rFonts w:ascii="Arial" w:hAnsi="Arial" w:cs="Arial"/>
          <w:bCs/>
          <w:sz w:val="22"/>
          <w:szCs w:val="22"/>
          <w:lang w:val="en-GB"/>
        </w:rPr>
        <w:t>. Protocols, therefore, invariably provide for a</w:t>
      </w:r>
      <w:r w:rsidR="00E71474" w:rsidRPr="009601FF">
        <w:rPr>
          <w:rFonts w:ascii="Arial" w:hAnsi="Arial" w:cs="Arial"/>
          <w:bCs/>
          <w:sz w:val="22"/>
          <w:szCs w:val="22"/>
          <w:lang w:val="en-GB"/>
        </w:rPr>
        <w:t>mendments or modifications which in turn, must be approved by the Courts involved</w:t>
      </w:r>
      <w:r w:rsidR="00622195" w:rsidRPr="009601FF">
        <w:rPr>
          <w:rStyle w:val="FootnoteReference"/>
          <w:rFonts w:ascii="Arial" w:hAnsi="Arial" w:cs="Arial"/>
          <w:bCs/>
          <w:sz w:val="22"/>
          <w:szCs w:val="22"/>
          <w:lang w:val="en-GB"/>
        </w:rPr>
        <w:footnoteReference w:id="4"/>
      </w:r>
      <w:r w:rsidR="00E71474" w:rsidRPr="009601FF">
        <w:rPr>
          <w:rFonts w:ascii="Arial" w:hAnsi="Arial" w:cs="Arial"/>
          <w:bCs/>
          <w:sz w:val="22"/>
          <w:szCs w:val="22"/>
          <w:lang w:val="en-GB"/>
        </w:rPr>
        <w:t>.</w:t>
      </w:r>
    </w:p>
    <w:p w14:paraId="6413A85D" w14:textId="77777777" w:rsidR="00943DDB" w:rsidRPr="009601FF" w:rsidRDefault="00943DDB" w:rsidP="0019775E">
      <w:pPr>
        <w:pStyle w:val="ListParagraph"/>
        <w:spacing w:line="360" w:lineRule="auto"/>
        <w:ind w:left="540"/>
        <w:jc w:val="both"/>
        <w:rPr>
          <w:rFonts w:ascii="Arial" w:hAnsi="Arial" w:cs="Arial"/>
          <w:bCs/>
          <w:sz w:val="22"/>
          <w:szCs w:val="22"/>
          <w:lang w:val="en-GB"/>
        </w:rPr>
      </w:pPr>
    </w:p>
    <w:p w14:paraId="04D43B51" w14:textId="26A5E6E6" w:rsidR="008A4807" w:rsidRPr="009601FF" w:rsidRDefault="008A4807"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The first major modern protocol was developed in Maxwell Communication</w:t>
      </w:r>
      <w:r w:rsidR="00A85B62" w:rsidRPr="009601FF">
        <w:rPr>
          <w:rFonts w:ascii="Arial" w:hAnsi="Arial" w:cs="Arial"/>
          <w:bCs/>
          <w:sz w:val="22"/>
          <w:szCs w:val="22"/>
          <w:lang w:val="en-GB"/>
        </w:rPr>
        <w:t xml:space="preserve"> which had administrations in the United States and England.</w:t>
      </w:r>
      <w:r w:rsidR="007A3424" w:rsidRPr="009601FF">
        <w:rPr>
          <w:rFonts w:ascii="Arial" w:hAnsi="Arial" w:cs="Arial"/>
          <w:bCs/>
          <w:sz w:val="22"/>
          <w:szCs w:val="22"/>
          <w:lang w:val="en-GB"/>
        </w:rPr>
        <w:t xml:space="preserve"> Thereafter, a more modest protocol was developed between Canada and the United States in Re Olympia &amp; York Developments Ltd.</w:t>
      </w:r>
      <w:r w:rsidR="00824C27" w:rsidRPr="009601FF">
        <w:rPr>
          <w:rFonts w:ascii="Arial" w:hAnsi="Arial" w:cs="Arial"/>
          <w:bCs/>
          <w:sz w:val="22"/>
          <w:szCs w:val="22"/>
          <w:lang w:val="en-GB"/>
        </w:rPr>
        <w:t xml:space="preserve"> Shortly after the adoption of the International Bar Association’s Cross Border Insolvency Concordat, another Canada-US protocol was developed in Re Everfresh Beverages Inc, which involved two judges who had participated in the deliberations leading to the development of the Concordat.</w:t>
      </w:r>
      <w:r w:rsidR="00621948" w:rsidRPr="009601FF">
        <w:rPr>
          <w:rFonts w:ascii="Arial" w:hAnsi="Arial" w:cs="Arial"/>
          <w:bCs/>
          <w:sz w:val="22"/>
          <w:szCs w:val="22"/>
          <w:lang w:val="en-GB"/>
        </w:rPr>
        <w:t xml:space="preserve"> Subsequently, protocols have been developed between the United States and Israel (Re Nakash)</w:t>
      </w:r>
      <w:r w:rsidR="00EF3D0B" w:rsidRPr="009601FF">
        <w:rPr>
          <w:rFonts w:ascii="Arial" w:hAnsi="Arial" w:cs="Arial"/>
          <w:bCs/>
          <w:sz w:val="22"/>
          <w:szCs w:val="22"/>
          <w:lang w:val="en-GB"/>
        </w:rPr>
        <w:t>, and</w:t>
      </w:r>
      <w:r w:rsidR="0033123B">
        <w:rPr>
          <w:rFonts w:ascii="Arial" w:hAnsi="Arial" w:cs="Arial"/>
          <w:bCs/>
          <w:sz w:val="22"/>
          <w:szCs w:val="22"/>
          <w:lang w:val="en-GB"/>
        </w:rPr>
        <w:t xml:space="preserve"> </w:t>
      </w:r>
      <w:r w:rsidR="008B7621">
        <w:rPr>
          <w:rFonts w:ascii="Arial" w:hAnsi="Arial" w:cs="Arial"/>
          <w:bCs/>
          <w:sz w:val="22"/>
          <w:szCs w:val="22"/>
          <w:lang w:val="en-GB"/>
        </w:rPr>
        <w:t>the Lehman brothers case</w:t>
      </w:r>
      <w:r w:rsidR="00EF3D0B" w:rsidRPr="009601FF">
        <w:rPr>
          <w:rFonts w:ascii="Arial" w:hAnsi="Arial" w:cs="Arial"/>
          <w:bCs/>
          <w:sz w:val="22"/>
          <w:szCs w:val="22"/>
          <w:lang w:val="en-GB"/>
        </w:rPr>
        <w:t>.</w:t>
      </w:r>
      <w:r w:rsidR="006E0D71" w:rsidRPr="009601FF">
        <w:rPr>
          <w:rFonts w:ascii="Arial" w:hAnsi="Arial" w:cs="Arial"/>
          <w:bCs/>
          <w:sz w:val="22"/>
          <w:szCs w:val="22"/>
          <w:lang w:val="en-GB"/>
        </w:rPr>
        <w:t xml:space="preserve"> </w:t>
      </w:r>
    </w:p>
    <w:p w14:paraId="7EE2B978" w14:textId="77777777" w:rsidR="0020334D" w:rsidRPr="009601FF" w:rsidRDefault="0020334D" w:rsidP="0019775E">
      <w:pPr>
        <w:pStyle w:val="ListParagraph"/>
        <w:spacing w:line="360" w:lineRule="auto"/>
        <w:rPr>
          <w:rFonts w:ascii="Arial" w:hAnsi="Arial" w:cs="Arial"/>
          <w:bCs/>
          <w:sz w:val="22"/>
          <w:szCs w:val="22"/>
          <w:lang w:val="en-GB"/>
        </w:rPr>
      </w:pPr>
    </w:p>
    <w:p w14:paraId="01969486" w14:textId="484BBBCE" w:rsidR="00313BAE" w:rsidRPr="009601FF" w:rsidRDefault="00856684"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A brief analysis of the Protocols developed in Maxwell Communication</w:t>
      </w:r>
      <w:r w:rsidR="00637FE7">
        <w:rPr>
          <w:rFonts w:ascii="Arial" w:hAnsi="Arial" w:cs="Arial"/>
          <w:bCs/>
          <w:sz w:val="22"/>
          <w:szCs w:val="22"/>
          <w:lang w:val="en-GB"/>
        </w:rPr>
        <w:t>,</w:t>
      </w:r>
      <w:r w:rsidRPr="009601FF">
        <w:rPr>
          <w:rFonts w:ascii="Arial" w:hAnsi="Arial" w:cs="Arial"/>
          <w:bCs/>
          <w:sz w:val="22"/>
          <w:szCs w:val="22"/>
          <w:lang w:val="en-GB"/>
        </w:rPr>
        <w:t xml:space="preserve"> Re Nakash </w:t>
      </w:r>
      <w:r w:rsidR="00637FE7">
        <w:rPr>
          <w:rFonts w:ascii="Arial" w:hAnsi="Arial" w:cs="Arial"/>
          <w:bCs/>
          <w:sz w:val="22"/>
          <w:szCs w:val="22"/>
          <w:lang w:val="en-GB"/>
        </w:rPr>
        <w:t xml:space="preserve">and The Lehman brothers </w:t>
      </w:r>
      <w:r w:rsidRPr="009601FF">
        <w:rPr>
          <w:rFonts w:ascii="Arial" w:hAnsi="Arial" w:cs="Arial"/>
          <w:bCs/>
          <w:sz w:val="22"/>
          <w:szCs w:val="22"/>
          <w:lang w:val="en-GB"/>
        </w:rPr>
        <w:t xml:space="preserve">would be discussed below: </w:t>
      </w:r>
    </w:p>
    <w:p w14:paraId="7988E8C7" w14:textId="6F9FCA72" w:rsidR="00CC277A" w:rsidRPr="009601FF" w:rsidRDefault="00CC277A" w:rsidP="0019775E">
      <w:pPr>
        <w:pStyle w:val="ListParagraph"/>
        <w:spacing w:line="360" w:lineRule="auto"/>
        <w:ind w:left="540"/>
        <w:jc w:val="both"/>
        <w:rPr>
          <w:rFonts w:ascii="Arial" w:hAnsi="Arial" w:cs="Arial"/>
          <w:bCs/>
          <w:sz w:val="22"/>
          <w:szCs w:val="22"/>
          <w:lang w:val="en-GB"/>
        </w:rPr>
      </w:pPr>
    </w:p>
    <w:p w14:paraId="60265CDE" w14:textId="4CF8A360" w:rsidR="003346D0" w:rsidRPr="009601FF" w:rsidRDefault="003346D0" w:rsidP="0019775E">
      <w:pPr>
        <w:pStyle w:val="ListParagraph"/>
        <w:spacing w:line="360" w:lineRule="auto"/>
        <w:ind w:left="540"/>
        <w:jc w:val="both"/>
        <w:rPr>
          <w:rFonts w:ascii="Arial" w:hAnsi="Arial" w:cs="Arial"/>
          <w:b/>
          <w:sz w:val="22"/>
          <w:szCs w:val="22"/>
          <w:lang w:val="en-GB"/>
        </w:rPr>
      </w:pPr>
      <w:r w:rsidRPr="009601FF">
        <w:rPr>
          <w:rFonts w:ascii="Arial" w:hAnsi="Arial" w:cs="Arial"/>
          <w:b/>
          <w:sz w:val="22"/>
          <w:szCs w:val="22"/>
          <w:lang w:val="en-GB"/>
        </w:rPr>
        <w:t>Maxwell Communication Corporation Plc</w:t>
      </w:r>
      <w:r w:rsidR="00222892" w:rsidRPr="009601FF">
        <w:rPr>
          <w:rFonts w:ascii="Arial" w:hAnsi="Arial" w:cs="Arial"/>
          <w:b/>
          <w:sz w:val="22"/>
          <w:szCs w:val="22"/>
          <w:lang w:val="en-GB"/>
        </w:rPr>
        <w:t xml:space="preserve"> (MCC)</w:t>
      </w:r>
      <w:r w:rsidR="006319D8" w:rsidRPr="009601FF">
        <w:rPr>
          <w:rStyle w:val="FootnoteReference"/>
          <w:rFonts w:ascii="Arial" w:hAnsi="Arial" w:cs="Arial"/>
          <w:b/>
          <w:sz w:val="22"/>
          <w:szCs w:val="22"/>
          <w:lang w:val="en-GB"/>
        </w:rPr>
        <w:footnoteReference w:id="5"/>
      </w:r>
    </w:p>
    <w:p w14:paraId="457FC981" w14:textId="77777777" w:rsidR="00841165" w:rsidRPr="009601FF" w:rsidRDefault="00841165" w:rsidP="0019775E">
      <w:pPr>
        <w:pStyle w:val="ListParagraph"/>
        <w:spacing w:line="360" w:lineRule="auto"/>
        <w:ind w:left="540"/>
        <w:jc w:val="both"/>
        <w:rPr>
          <w:rFonts w:ascii="Arial" w:hAnsi="Arial" w:cs="Arial"/>
          <w:bCs/>
          <w:sz w:val="22"/>
          <w:szCs w:val="22"/>
          <w:lang w:val="en-GB"/>
        </w:rPr>
      </w:pPr>
    </w:p>
    <w:p w14:paraId="63A0AA41" w14:textId="2117405B" w:rsidR="00841165" w:rsidRDefault="00222892"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MCC was the present company</w:t>
      </w:r>
      <w:r w:rsidR="002F2D8A" w:rsidRPr="009601FF">
        <w:rPr>
          <w:rFonts w:ascii="Arial" w:hAnsi="Arial" w:cs="Arial"/>
          <w:bCs/>
          <w:sz w:val="22"/>
          <w:szCs w:val="22"/>
          <w:lang w:val="en-GB"/>
        </w:rPr>
        <w:t xml:space="preserve"> of the media conglomerate created by the late Robert Maxwell. MCC was an English company with its headquarters in London, but the majority </w:t>
      </w:r>
      <w:r w:rsidR="002F2D8A" w:rsidRPr="009601FF">
        <w:rPr>
          <w:rFonts w:ascii="Arial" w:hAnsi="Arial" w:cs="Arial"/>
          <w:bCs/>
          <w:sz w:val="22"/>
          <w:szCs w:val="22"/>
          <w:lang w:val="en-GB"/>
        </w:rPr>
        <w:lastRenderedPageBreak/>
        <w:t>(in value)</w:t>
      </w:r>
      <w:r w:rsidR="00FD77B2" w:rsidRPr="009601FF">
        <w:rPr>
          <w:rFonts w:ascii="Arial" w:hAnsi="Arial" w:cs="Arial"/>
          <w:bCs/>
          <w:sz w:val="22"/>
          <w:szCs w:val="22"/>
          <w:lang w:val="en-GB"/>
        </w:rPr>
        <w:t xml:space="preserve"> of its assets </w:t>
      </w:r>
      <w:r w:rsidR="003549A1" w:rsidRPr="009601FF">
        <w:rPr>
          <w:rFonts w:ascii="Arial" w:hAnsi="Arial" w:cs="Arial"/>
          <w:bCs/>
          <w:sz w:val="22"/>
          <w:szCs w:val="22"/>
          <w:lang w:val="en-GB"/>
        </w:rPr>
        <w:t>were in</w:t>
      </w:r>
      <w:r w:rsidR="00FD77B2" w:rsidRPr="009601FF">
        <w:rPr>
          <w:rFonts w:ascii="Arial" w:hAnsi="Arial" w:cs="Arial"/>
          <w:bCs/>
          <w:sz w:val="22"/>
          <w:szCs w:val="22"/>
          <w:lang w:val="en-GB"/>
        </w:rPr>
        <w:t xml:space="preserve"> the United States.</w:t>
      </w:r>
      <w:r w:rsidR="00936464" w:rsidRPr="009601FF">
        <w:rPr>
          <w:rFonts w:ascii="Arial" w:hAnsi="Arial" w:cs="Arial"/>
          <w:bCs/>
          <w:sz w:val="22"/>
          <w:szCs w:val="22"/>
          <w:lang w:val="en-GB"/>
        </w:rPr>
        <w:t xml:space="preserve"> After Mr Maxwell’s sudden death in 1991 and the financial difficulties of MCC was too exposed, MCC needed to file for insolvency relief.</w:t>
      </w:r>
      <w:r w:rsidR="0062628A" w:rsidRPr="009601FF">
        <w:rPr>
          <w:rFonts w:ascii="Arial" w:hAnsi="Arial" w:cs="Arial"/>
          <w:bCs/>
          <w:sz w:val="22"/>
          <w:szCs w:val="22"/>
          <w:lang w:val="en-GB"/>
        </w:rPr>
        <w:t xml:space="preserve"> What made MCC different was that management petitioned for insolvency protection not only in London, but also in New York</w:t>
      </w:r>
      <w:r w:rsidR="004B1650" w:rsidRPr="009601FF">
        <w:rPr>
          <w:rFonts w:ascii="Arial" w:hAnsi="Arial" w:cs="Arial"/>
          <w:bCs/>
          <w:sz w:val="22"/>
          <w:szCs w:val="22"/>
          <w:lang w:val="en-GB"/>
        </w:rPr>
        <w:t>. This immediately created the potential for conflict between the English High Court of Justice, which had jurisdiction over MCC’s UK Administration proceedings</w:t>
      </w:r>
      <w:r w:rsidR="00256BD1" w:rsidRPr="009601FF">
        <w:rPr>
          <w:rFonts w:ascii="Arial" w:hAnsi="Arial" w:cs="Arial"/>
          <w:bCs/>
          <w:sz w:val="22"/>
          <w:szCs w:val="22"/>
          <w:lang w:val="en-GB"/>
        </w:rPr>
        <w:t xml:space="preserve"> and the United States Bankruptcy Court for Southern District of New York, which</w:t>
      </w:r>
      <w:r w:rsidR="00BE0A71" w:rsidRPr="009601FF">
        <w:rPr>
          <w:rFonts w:ascii="Arial" w:hAnsi="Arial" w:cs="Arial"/>
          <w:bCs/>
          <w:sz w:val="22"/>
          <w:szCs w:val="22"/>
          <w:lang w:val="en-GB"/>
        </w:rPr>
        <w:t xml:space="preserve"> had jurisdiction over MCC’s chapter 11 case. To compound the situation, English law provided for the immediate appointment of Administrators to assume management and take control of MCC, while the Bankruptcy</w:t>
      </w:r>
      <w:r w:rsidR="00815761" w:rsidRPr="009601FF">
        <w:rPr>
          <w:rFonts w:ascii="Arial" w:hAnsi="Arial" w:cs="Arial"/>
          <w:bCs/>
          <w:sz w:val="22"/>
          <w:szCs w:val="22"/>
          <w:lang w:val="en-GB"/>
        </w:rPr>
        <w:t xml:space="preserve"> Code left the existing management in place as the “debtor in possession”</w:t>
      </w:r>
      <w:r w:rsidR="00DF4F58" w:rsidRPr="009601FF">
        <w:rPr>
          <w:rFonts w:ascii="Arial" w:hAnsi="Arial" w:cs="Arial"/>
          <w:bCs/>
          <w:sz w:val="22"/>
          <w:szCs w:val="22"/>
          <w:lang w:val="en-GB"/>
        </w:rPr>
        <w:t>.</w:t>
      </w:r>
    </w:p>
    <w:p w14:paraId="2C47014C" w14:textId="77777777" w:rsidR="005A3E1D" w:rsidRPr="009601FF" w:rsidRDefault="005A3E1D" w:rsidP="005A3E1D">
      <w:pPr>
        <w:pStyle w:val="ListParagraph"/>
        <w:spacing w:line="360" w:lineRule="auto"/>
        <w:ind w:left="360"/>
        <w:jc w:val="both"/>
        <w:rPr>
          <w:rFonts w:ascii="Arial" w:hAnsi="Arial" w:cs="Arial"/>
          <w:bCs/>
          <w:sz w:val="22"/>
          <w:szCs w:val="22"/>
          <w:lang w:val="en-GB"/>
        </w:rPr>
      </w:pPr>
    </w:p>
    <w:p w14:paraId="5B6106DC" w14:textId="529F4A64" w:rsidR="00DF4F58" w:rsidRPr="009601FF" w:rsidRDefault="00DF4F58"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Whereas Section 304 contemplates a main insolvency proceeding in another country and an ancillary proceeding in the United States, MCC’s situation presented two main insolvency proceedings in two different countries for the same debtor</w:t>
      </w:r>
      <w:r w:rsidR="00DD5E6B" w:rsidRPr="009601FF">
        <w:rPr>
          <w:rFonts w:ascii="Arial" w:hAnsi="Arial" w:cs="Arial"/>
          <w:bCs/>
          <w:sz w:val="22"/>
          <w:szCs w:val="22"/>
          <w:lang w:val="en-GB"/>
        </w:rPr>
        <w:t>. As both countries appl</w:t>
      </w:r>
      <w:r w:rsidR="00BA0329">
        <w:rPr>
          <w:rFonts w:ascii="Arial" w:hAnsi="Arial" w:cs="Arial"/>
          <w:bCs/>
          <w:sz w:val="22"/>
          <w:szCs w:val="22"/>
          <w:lang w:val="en-GB"/>
        </w:rPr>
        <w:t>ied</w:t>
      </w:r>
      <w:r w:rsidR="00DD5E6B" w:rsidRPr="009601FF">
        <w:rPr>
          <w:rFonts w:ascii="Arial" w:hAnsi="Arial" w:cs="Arial"/>
          <w:bCs/>
          <w:sz w:val="22"/>
          <w:szCs w:val="22"/>
          <w:lang w:val="en-GB"/>
        </w:rPr>
        <w:t xml:space="preserve"> their laws extraterritorially, it immediately became apparent that the participants in the administration and in the Chapter 11 case would need to coordinate and cooperate in order to avoid inter</w:t>
      </w:r>
      <w:r w:rsidR="009C722F" w:rsidRPr="009601FF">
        <w:rPr>
          <w:rFonts w:ascii="Arial" w:hAnsi="Arial" w:cs="Arial"/>
          <w:bCs/>
          <w:sz w:val="22"/>
          <w:szCs w:val="22"/>
          <w:lang w:val="en-GB"/>
        </w:rPr>
        <w:t>national chaos.</w:t>
      </w:r>
      <w:r w:rsidR="009C1579" w:rsidRPr="009601FF">
        <w:rPr>
          <w:rFonts w:ascii="Arial" w:hAnsi="Arial" w:cs="Arial"/>
          <w:bCs/>
          <w:sz w:val="22"/>
          <w:szCs w:val="22"/>
          <w:lang w:val="en-GB"/>
        </w:rPr>
        <w:t xml:space="preserve"> Judge Tina L. Brozman sought to fill the void by putting in place an estate representative</w:t>
      </w:r>
      <w:r w:rsidR="00876E8C" w:rsidRPr="009601FF">
        <w:rPr>
          <w:rFonts w:ascii="Arial" w:hAnsi="Arial" w:cs="Arial"/>
          <w:bCs/>
          <w:sz w:val="22"/>
          <w:szCs w:val="22"/>
          <w:lang w:val="en-GB"/>
        </w:rPr>
        <w:t xml:space="preserve"> with the mandate to facilitate the coordination of the Chapter 11 case with the Administration.</w:t>
      </w:r>
      <w:r w:rsidR="001F3920" w:rsidRPr="009601FF">
        <w:rPr>
          <w:rFonts w:ascii="Arial" w:hAnsi="Arial" w:cs="Arial"/>
          <w:bCs/>
          <w:sz w:val="22"/>
          <w:szCs w:val="22"/>
          <w:lang w:val="en-GB"/>
        </w:rPr>
        <w:t xml:space="preserve"> She could have ordered the appointment of a Chapter 11 trustee</w:t>
      </w:r>
      <w:r w:rsidR="001F3920" w:rsidRPr="009601FF">
        <w:rPr>
          <w:rStyle w:val="FootnoteReference"/>
          <w:rFonts w:ascii="Arial" w:hAnsi="Arial" w:cs="Arial"/>
          <w:bCs/>
          <w:sz w:val="22"/>
          <w:szCs w:val="22"/>
          <w:lang w:val="en-GB"/>
        </w:rPr>
        <w:footnoteReference w:id="6"/>
      </w:r>
      <w:r w:rsidR="0070794E" w:rsidRPr="009601FF">
        <w:rPr>
          <w:rFonts w:ascii="Arial" w:hAnsi="Arial" w:cs="Arial"/>
          <w:bCs/>
          <w:sz w:val="22"/>
          <w:szCs w:val="22"/>
          <w:lang w:val="en-GB"/>
        </w:rPr>
        <w:t>, but this would have resulted in the trustee assuming the role of corporate management</w:t>
      </w:r>
      <w:r w:rsidR="0070794E" w:rsidRPr="009601FF">
        <w:rPr>
          <w:rStyle w:val="FootnoteReference"/>
          <w:rFonts w:ascii="Arial" w:hAnsi="Arial" w:cs="Arial"/>
          <w:bCs/>
          <w:sz w:val="22"/>
          <w:szCs w:val="22"/>
          <w:lang w:val="en-GB"/>
        </w:rPr>
        <w:footnoteReference w:id="7"/>
      </w:r>
      <w:r w:rsidR="006D7583" w:rsidRPr="009601FF">
        <w:rPr>
          <w:rFonts w:ascii="Arial" w:hAnsi="Arial" w:cs="Arial"/>
          <w:bCs/>
          <w:sz w:val="22"/>
          <w:szCs w:val="22"/>
          <w:lang w:val="en-GB"/>
        </w:rPr>
        <w:t>, which she did not consider to be warranted under the circumstances. Instead, she seized upon the examiner provisions</w:t>
      </w:r>
      <w:r w:rsidR="000B5FAA" w:rsidRPr="009601FF">
        <w:rPr>
          <w:rFonts w:ascii="Arial" w:hAnsi="Arial" w:cs="Arial"/>
          <w:bCs/>
          <w:sz w:val="22"/>
          <w:szCs w:val="22"/>
          <w:lang w:val="en-GB"/>
        </w:rPr>
        <w:t xml:space="preserve"> of the Bankruptcy Code</w:t>
      </w:r>
      <w:r w:rsidR="000B5FAA" w:rsidRPr="009601FF">
        <w:rPr>
          <w:rStyle w:val="FootnoteReference"/>
          <w:rFonts w:ascii="Arial" w:hAnsi="Arial" w:cs="Arial"/>
          <w:bCs/>
          <w:sz w:val="22"/>
          <w:szCs w:val="22"/>
          <w:lang w:val="en-GB"/>
        </w:rPr>
        <w:footnoteReference w:id="8"/>
      </w:r>
      <w:r w:rsidR="007B70CB" w:rsidRPr="009601FF">
        <w:rPr>
          <w:rFonts w:ascii="Arial" w:hAnsi="Arial" w:cs="Arial"/>
          <w:bCs/>
          <w:sz w:val="22"/>
          <w:szCs w:val="22"/>
          <w:lang w:val="en-GB"/>
        </w:rPr>
        <w:t>. Examiners are normally appointed “to conduct an investigation of the debtor as appropriate, but in this case Judge Brozman took advantage of a statutory cross-reference to “any other matter relevant to the case”</w:t>
      </w:r>
      <w:r w:rsidR="006B51D9" w:rsidRPr="009601FF">
        <w:rPr>
          <w:rFonts w:ascii="Arial" w:hAnsi="Arial" w:cs="Arial"/>
          <w:bCs/>
          <w:sz w:val="22"/>
          <w:szCs w:val="22"/>
          <w:lang w:val="en-GB"/>
        </w:rPr>
        <w:t xml:space="preserve"> to order the appointment of an Examiner to fulfil the facilitation role she envisioned.</w:t>
      </w:r>
    </w:p>
    <w:p w14:paraId="14A57142" w14:textId="77777777" w:rsidR="00281648" w:rsidRPr="009601FF" w:rsidRDefault="00281648" w:rsidP="0019775E">
      <w:pPr>
        <w:pStyle w:val="ListParagraph"/>
        <w:spacing w:line="360" w:lineRule="auto"/>
        <w:ind w:left="540"/>
        <w:jc w:val="both"/>
        <w:rPr>
          <w:rFonts w:ascii="Arial" w:hAnsi="Arial" w:cs="Arial"/>
          <w:bCs/>
          <w:sz w:val="22"/>
          <w:szCs w:val="22"/>
          <w:lang w:val="en-GB"/>
        </w:rPr>
      </w:pPr>
    </w:p>
    <w:p w14:paraId="3EA9B12E" w14:textId="403F5225" w:rsidR="00E65E4B" w:rsidRPr="009601FF" w:rsidRDefault="00E65E4B"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The Examiner was directed to facilitate the administration of the two primary cases, and because of the far</w:t>
      </w:r>
      <w:r w:rsidR="00085DAD" w:rsidRPr="009601FF">
        <w:rPr>
          <w:rFonts w:ascii="Arial" w:hAnsi="Arial" w:cs="Arial"/>
          <w:bCs/>
          <w:sz w:val="22"/>
          <w:szCs w:val="22"/>
          <w:lang w:val="en-GB"/>
        </w:rPr>
        <w:t>-</w:t>
      </w:r>
      <w:r w:rsidRPr="009601FF">
        <w:rPr>
          <w:rFonts w:ascii="Arial" w:hAnsi="Arial" w:cs="Arial"/>
          <w:bCs/>
          <w:sz w:val="22"/>
          <w:szCs w:val="22"/>
          <w:lang w:val="en-GB"/>
        </w:rPr>
        <w:t>reaching powers given to him, was in an ideal position to do so. His role was seen more as a mediator and facilitator</w:t>
      </w:r>
      <w:r w:rsidR="003038BA" w:rsidRPr="009601FF">
        <w:rPr>
          <w:rFonts w:ascii="Arial" w:hAnsi="Arial" w:cs="Arial"/>
          <w:bCs/>
          <w:sz w:val="22"/>
          <w:szCs w:val="22"/>
          <w:lang w:val="en-GB"/>
        </w:rPr>
        <w:t>, as he was appointed to search “for means that would enable the two proceedings and the two insolvency courts to coexist in a manner that would maximize the value of MCC for the parties concerned.</w:t>
      </w:r>
      <w:r w:rsidR="00914A63" w:rsidRPr="009601FF">
        <w:rPr>
          <w:rFonts w:ascii="Arial" w:hAnsi="Arial" w:cs="Arial"/>
          <w:bCs/>
          <w:sz w:val="22"/>
          <w:szCs w:val="22"/>
          <w:lang w:val="en-GB"/>
        </w:rPr>
        <w:t xml:space="preserve"> The Examiner and the UK administrators adopted a ground</w:t>
      </w:r>
      <w:r w:rsidR="00223424" w:rsidRPr="009601FF">
        <w:rPr>
          <w:rFonts w:ascii="Arial" w:hAnsi="Arial" w:cs="Arial"/>
          <w:bCs/>
          <w:sz w:val="22"/>
          <w:szCs w:val="22"/>
          <w:lang w:val="en-GB"/>
        </w:rPr>
        <w:t>-</w:t>
      </w:r>
      <w:r w:rsidR="00914A63" w:rsidRPr="009601FF">
        <w:rPr>
          <w:rFonts w:ascii="Arial" w:hAnsi="Arial" w:cs="Arial"/>
          <w:bCs/>
          <w:sz w:val="22"/>
          <w:szCs w:val="22"/>
          <w:lang w:val="en-GB"/>
        </w:rPr>
        <w:t>breaking</w:t>
      </w:r>
      <w:r w:rsidR="00845F67" w:rsidRPr="009601FF">
        <w:rPr>
          <w:rFonts w:ascii="Arial" w:hAnsi="Arial" w:cs="Arial"/>
          <w:bCs/>
          <w:sz w:val="22"/>
          <w:szCs w:val="22"/>
          <w:lang w:val="en-GB"/>
        </w:rPr>
        <w:t xml:space="preserve"> approach to international </w:t>
      </w:r>
      <w:r w:rsidR="00845F67" w:rsidRPr="009601FF">
        <w:rPr>
          <w:rFonts w:ascii="Arial" w:hAnsi="Arial" w:cs="Arial"/>
          <w:bCs/>
          <w:sz w:val="22"/>
          <w:szCs w:val="22"/>
          <w:lang w:val="en-GB"/>
        </w:rPr>
        <w:lastRenderedPageBreak/>
        <w:t>insolvencies. Instead of solely relying on the unilateral measures provided</w:t>
      </w:r>
      <w:r w:rsidR="004A3CCF" w:rsidRPr="009601FF">
        <w:rPr>
          <w:rFonts w:ascii="Arial" w:hAnsi="Arial" w:cs="Arial"/>
          <w:bCs/>
          <w:sz w:val="22"/>
          <w:szCs w:val="22"/>
          <w:lang w:val="en-GB"/>
        </w:rPr>
        <w:t xml:space="preserve"> for by each legal system, the Examiner</w:t>
      </w:r>
      <w:r w:rsidR="00C37026" w:rsidRPr="009601FF">
        <w:rPr>
          <w:rFonts w:ascii="Arial" w:hAnsi="Arial" w:cs="Arial"/>
          <w:bCs/>
          <w:sz w:val="22"/>
          <w:szCs w:val="22"/>
          <w:lang w:val="en-GB"/>
        </w:rPr>
        <w:t>,</w:t>
      </w:r>
      <w:r w:rsidR="004A3CCF" w:rsidRPr="009601FF">
        <w:rPr>
          <w:rFonts w:ascii="Arial" w:hAnsi="Arial" w:cs="Arial"/>
          <w:bCs/>
          <w:sz w:val="22"/>
          <w:szCs w:val="22"/>
          <w:lang w:val="en-GB"/>
        </w:rPr>
        <w:t xml:space="preserve"> and the administrators</w:t>
      </w:r>
      <w:r w:rsidR="005D0B0B" w:rsidRPr="009601FF">
        <w:rPr>
          <w:rFonts w:ascii="Arial" w:hAnsi="Arial" w:cs="Arial"/>
          <w:bCs/>
          <w:sz w:val="22"/>
          <w:szCs w:val="22"/>
          <w:lang w:val="en-GB"/>
        </w:rPr>
        <w:t xml:space="preserve"> sought to coordinate the procedures of the insolvency proceedings through the use of a Protocol.</w:t>
      </w:r>
      <w:r w:rsidR="00CB29AE" w:rsidRPr="009601FF">
        <w:rPr>
          <w:rFonts w:ascii="Arial" w:hAnsi="Arial" w:cs="Arial"/>
          <w:bCs/>
          <w:sz w:val="22"/>
          <w:szCs w:val="22"/>
          <w:lang w:val="en-GB"/>
        </w:rPr>
        <w:t xml:space="preserve"> The main provisions of the Maxwell Protocol are as follows:</w:t>
      </w:r>
    </w:p>
    <w:p w14:paraId="0856ADBE" w14:textId="77777777" w:rsidR="00A95669" w:rsidRPr="009601FF" w:rsidRDefault="00A95669" w:rsidP="0019775E">
      <w:pPr>
        <w:pStyle w:val="ListParagraph"/>
        <w:spacing w:line="360" w:lineRule="auto"/>
        <w:rPr>
          <w:rFonts w:ascii="Arial" w:hAnsi="Arial" w:cs="Arial"/>
          <w:bCs/>
          <w:sz w:val="22"/>
          <w:szCs w:val="22"/>
          <w:lang w:val="en-GB"/>
        </w:rPr>
      </w:pPr>
    </w:p>
    <w:p w14:paraId="583F1D5F" w14:textId="28C0B7DE" w:rsidR="00A95669" w:rsidRPr="00C95EAE" w:rsidRDefault="00A95669" w:rsidP="0019775E">
      <w:pPr>
        <w:pStyle w:val="ListParagraph"/>
        <w:spacing w:line="360" w:lineRule="auto"/>
        <w:ind w:left="540"/>
        <w:jc w:val="both"/>
        <w:rPr>
          <w:rFonts w:ascii="Arial" w:hAnsi="Arial" w:cs="Arial"/>
          <w:bCs/>
          <w:i/>
          <w:iCs/>
          <w:sz w:val="22"/>
          <w:szCs w:val="22"/>
          <w:lang w:val="en-GB"/>
        </w:rPr>
      </w:pPr>
      <w:r w:rsidRPr="009601FF">
        <w:rPr>
          <w:rFonts w:ascii="Arial" w:hAnsi="Arial" w:cs="Arial"/>
          <w:bCs/>
          <w:sz w:val="22"/>
          <w:szCs w:val="22"/>
          <w:lang w:val="en-GB"/>
        </w:rPr>
        <w:tab/>
      </w:r>
      <w:r w:rsidRPr="009601FF">
        <w:rPr>
          <w:rFonts w:ascii="Arial" w:hAnsi="Arial" w:cs="Arial"/>
          <w:bCs/>
          <w:sz w:val="22"/>
          <w:szCs w:val="22"/>
          <w:lang w:val="en-GB"/>
        </w:rPr>
        <w:tab/>
      </w:r>
      <w:r w:rsidRPr="00C95EAE">
        <w:rPr>
          <w:rFonts w:ascii="Arial" w:hAnsi="Arial" w:cs="Arial"/>
          <w:bCs/>
          <w:i/>
          <w:iCs/>
          <w:sz w:val="22"/>
          <w:szCs w:val="22"/>
          <w:lang w:val="en-GB"/>
        </w:rPr>
        <w:t>The Protocol tend</w:t>
      </w:r>
      <w:r w:rsidR="00C95EAE">
        <w:rPr>
          <w:rFonts w:ascii="Arial" w:hAnsi="Arial" w:cs="Arial"/>
          <w:bCs/>
          <w:i/>
          <w:iCs/>
          <w:sz w:val="22"/>
          <w:szCs w:val="22"/>
          <w:lang w:val="en-GB"/>
        </w:rPr>
        <w:t>s</w:t>
      </w:r>
      <w:r w:rsidRPr="00C95EAE">
        <w:rPr>
          <w:rFonts w:ascii="Arial" w:hAnsi="Arial" w:cs="Arial"/>
          <w:bCs/>
          <w:i/>
          <w:iCs/>
          <w:sz w:val="22"/>
          <w:szCs w:val="22"/>
          <w:lang w:val="en-GB"/>
        </w:rPr>
        <w:t xml:space="preserve"> to emphasize the creation and administration of a system for the disposition of assets of great value in </w:t>
      </w:r>
      <w:r w:rsidR="006053BF" w:rsidRPr="00C95EAE">
        <w:rPr>
          <w:rFonts w:ascii="Arial" w:hAnsi="Arial" w:cs="Arial"/>
          <w:bCs/>
          <w:i/>
          <w:iCs/>
          <w:sz w:val="22"/>
          <w:szCs w:val="22"/>
          <w:lang w:val="en-GB"/>
        </w:rPr>
        <w:t>England and in the United States.</w:t>
      </w:r>
      <w:r w:rsidR="00F668E4" w:rsidRPr="00C95EAE">
        <w:rPr>
          <w:rFonts w:ascii="Arial" w:hAnsi="Arial" w:cs="Arial"/>
          <w:bCs/>
          <w:i/>
          <w:iCs/>
          <w:sz w:val="22"/>
          <w:szCs w:val="22"/>
          <w:lang w:val="en-GB"/>
        </w:rPr>
        <w:t xml:space="preserve"> Similarly, it also dealt with the system</w:t>
      </w:r>
      <w:r w:rsidR="00FD0239" w:rsidRPr="00C95EAE">
        <w:rPr>
          <w:rFonts w:ascii="Arial" w:hAnsi="Arial" w:cs="Arial"/>
          <w:bCs/>
          <w:i/>
          <w:iCs/>
          <w:sz w:val="22"/>
          <w:szCs w:val="22"/>
          <w:lang w:val="en-GB"/>
        </w:rPr>
        <w:t xml:space="preserve"> to be applied to distribute the proceeds derived from the disposition of the assets to the Maxwell creditors</w:t>
      </w:r>
      <w:r w:rsidR="00E33B68" w:rsidRPr="00C95EAE">
        <w:rPr>
          <w:rFonts w:ascii="Arial" w:hAnsi="Arial" w:cs="Arial"/>
          <w:bCs/>
          <w:i/>
          <w:iCs/>
          <w:sz w:val="22"/>
          <w:szCs w:val="22"/>
          <w:lang w:val="en-GB"/>
        </w:rPr>
        <w:t>.</w:t>
      </w:r>
    </w:p>
    <w:p w14:paraId="791A113F" w14:textId="7814A235" w:rsidR="00E33B68" w:rsidRPr="00C95EAE" w:rsidRDefault="00E33B68" w:rsidP="0019775E">
      <w:pPr>
        <w:pStyle w:val="ListParagraph"/>
        <w:spacing w:line="360" w:lineRule="auto"/>
        <w:ind w:left="540"/>
        <w:jc w:val="both"/>
        <w:rPr>
          <w:rFonts w:ascii="Arial" w:hAnsi="Arial" w:cs="Arial"/>
          <w:bCs/>
          <w:i/>
          <w:iCs/>
          <w:sz w:val="22"/>
          <w:szCs w:val="22"/>
          <w:lang w:val="en-GB"/>
        </w:rPr>
      </w:pPr>
    </w:p>
    <w:p w14:paraId="4A9FC310" w14:textId="1971B028" w:rsidR="00E33B68" w:rsidRPr="00C95EAE" w:rsidRDefault="00E33B68" w:rsidP="0019775E">
      <w:pPr>
        <w:pStyle w:val="ListParagraph"/>
        <w:spacing w:line="360" w:lineRule="auto"/>
        <w:ind w:left="540"/>
        <w:jc w:val="both"/>
        <w:rPr>
          <w:rFonts w:ascii="Arial" w:hAnsi="Arial" w:cs="Arial"/>
          <w:bCs/>
          <w:i/>
          <w:iCs/>
          <w:sz w:val="22"/>
          <w:szCs w:val="22"/>
          <w:lang w:val="en-GB"/>
        </w:rPr>
      </w:pPr>
      <w:r w:rsidRPr="00C95EAE">
        <w:rPr>
          <w:rFonts w:ascii="Arial" w:hAnsi="Arial" w:cs="Arial"/>
          <w:bCs/>
          <w:i/>
          <w:iCs/>
          <w:sz w:val="22"/>
          <w:szCs w:val="22"/>
          <w:lang w:val="en-GB"/>
        </w:rPr>
        <w:t>In order to honor the statutory role of the United States Examiner,</w:t>
      </w:r>
      <w:r w:rsidR="00646C1C" w:rsidRPr="00C95EAE">
        <w:rPr>
          <w:rFonts w:ascii="Arial" w:hAnsi="Arial" w:cs="Arial"/>
          <w:bCs/>
          <w:i/>
          <w:iCs/>
          <w:sz w:val="22"/>
          <w:szCs w:val="22"/>
          <w:lang w:val="en-GB"/>
        </w:rPr>
        <w:t xml:space="preserve"> the Maxwell Protocol provided for the Joint Administrators to consult</w:t>
      </w:r>
      <w:r w:rsidR="00F72219" w:rsidRPr="00C95EAE">
        <w:rPr>
          <w:rFonts w:ascii="Arial" w:hAnsi="Arial" w:cs="Arial"/>
          <w:bCs/>
          <w:i/>
          <w:iCs/>
          <w:sz w:val="22"/>
          <w:szCs w:val="22"/>
          <w:lang w:val="en-GB"/>
        </w:rPr>
        <w:t xml:space="preserve"> with the Examiner and to make a continuing good faith</w:t>
      </w:r>
      <w:r w:rsidR="00AA1645" w:rsidRPr="00C95EAE">
        <w:rPr>
          <w:rFonts w:ascii="Arial" w:hAnsi="Arial" w:cs="Arial"/>
          <w:bCs/>
          <w:i/>
          <w:iCs/>
          <w:sz w:val="22"/>
          <w:szCs w:val="22"/>
          <w:lang w:val="en-GB"/>
        </w:rPr>
        <w:t xml:space="preserve"> attempt to obtain</w:t>
      </w:r>
      <w:r w:rsidR="00A556CD" w:rsidRPr="00C95EAE">
        <w:rPr>
          <w:rFonts w:ascii="Arial" w:hAnsi="Arial" w:cs="Arial"/>
          <w:bCs/>
          <w:i/>
          <w:iCs/>
          <w:sz w:val="22"/>
          <w:szCs w:val="22"/>
          <w:lang w:val="en-GB"/>
        </w:rPr>
        <w:t xml:space="preserve"> the consent of the American-</w:t>
      </w:r>
      <w:r w:rsidR="00F2755F" w:rsidRPr="00C95EAE">
        <w:rPr>
          <w:rFonts w:ascii="Arial" w:hAnsi="Arial" w:cs="Arial"/>
          <w:bCs/>
          <w:i/>
          <w:iCs/>
          <w:sz w:val="22"/>
          <w:szCs w:val="22"/>
          <w:lang w:val="en-GB"/>
        </w:rPr>
        <w:t>appoint</w:t>
      </w:r>
      <w:r w:rsidR="00F2755F">
        <w:rPr>
          <w:rFonts w:ascii="Arial" w:hAnsi="Arial" w:cs="Arial"/>
          <w:bCs/>
          <w:i/>
          <w:iCs/>
          <w:sz w:val="22"/>
          <w:szCs w:val="22"/>
          <w:lang w:val="en-GB"/>
        </w:rPr>
        <w:t>ed</w:t>
      </w:r>
      <w:r w:rsidR="00A556CD" w:rsidRPr="00C95EAE">
        <w:rPr>
          <w:rFonts w:ascii="Arial" w:hAnsi="Arial" w:cs="Arial"/>
          <w:bCs/>
          <w:i/>
          <w:iCs/>
          <w:sz w:val="22"/>
          <w:szCs w:val="22"/>
          <w:lang w:val="en-GB"/>
        </w:rPr>
        <w:t xml:space="preserve"> Examiner when taking significant steps in the bankruptcy…</w:t>
      </w:r>
    </w:p>
    <w:p w14:paraId="7A9266B2" w14:textId="77777777" w:rsidR="00841165" w:rsidRPr="009601FF" w:rsidRDefault="00841165" w:rsidP="0019775E">
      <w:pPr>
        <w:pStyle w:val="ListParagraph"/>
        <w:spacing w:line="360" w:lineRule="auto"/>
        <w:ind w:left="540"/>
        <w:jc w:val="both"/>
        <w:rPr>
          <w:rFonts w:ascii="Arial" w:hAnsi="Arial" w:cs="Arial"/>
          <w:bCs/>
          <w:sz w:val="22"/>
          <w:szCs w:val="22"/>
          <w:lang w:val="en-GB"/>
        </w:rPr>
      </w:pPr>
    </w:p>
    <w:p w14:paraId="045964ED" w14:textId="489F0EE8" w:rsidR="00327F87" w:rsidRDefault="006304F5"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 xml:space="preserve">One significant function of the Maxwell Protocol was to solidify the management of the </w:t>
      </w:r>
      <w:r w:rsidR="00074D5A" w:rsidRPr="009601FF">
        <w:rPr>
          <w:rFonts w:ascii="Arial" w:hAnsi="Arial" w:cs="Arial"/>
          <w:bCs/>
          <w:sz w:val="22"/>
          <w:szCs w:val="22"/>
          <w:lang w:val="en-GB"/>
        </w:rPr>
        <w:t xml:space="preserve">precarious group of Maxwell companies. The position of the </w:t>
      </w:r>
      <w:r w:rsidR="00284C86" w:rsidRPr="009601FF">
        <w:rPr>
          <w:rFonts w:ascii="Arial" w:hAnsi="Arial" w:cs="Arial"/>
          <w:bCs/>
          <w:sz w:val="22"/>
          <w:szCs w:val="22"/>
          <w:lang w:val="en-GB"/>
        </w:rPr>
        <w:t>administrators’</w:t>
      </w:r>
      <w:r w:rsidR="00074D5A" w:rsidRPr="009601FF">
        <w:rPr>
          <w:rFonts w:ascii="Arial" w:hAnsi="Arial" w:cs="Arial"/>
          <w:bCs/>
          <w:sz w:val="22"/>
          <w:szCs w:val="22"/>
          <w:lang w:val="en-GB"/>
        </w:rPr>
        <w:t xml:space="preserve"> as existing management was confirmed; procedures were also </w:t>
      </w:r>
      <w:r w:rsidR="00D60984" w:rsidRPr="009601FF">
        <w:rPr>
          <w:rFonts w:ascii="Arial" w:hAnsi="Arial" w:cs="Arial"/>
          <w:bCs/>
          <w:sz w:val="22"/>
          <w:szCs w:val="22"/>
          <w:lang w:val="en-GB"/>
        </w:rPr>
        <w:t>established for orderly</w:t>
      </w:r>
      <w:r w:rsidR="00327F87" w:rsidRPr="009601FF">
        <w:rPr>
          <w:rFonts w:ascii="Arial" w:hAnsi="Arial" w:cs="Arial"/>
          <w:bCs/>
          <w:sz w:val="22"/>
          <w:szCs w:val="22"/>
          <w:lang w:val="en-GB"/>
        </w:rPr>
        <w:t xml:space="preserve"> transitions. Among other provisions setting out in detail the functions of the Joint Administrators and the Examiner, the Protocol gave the Examiner powers to act as</w:t>
      </w:r>
      <w:r w:rsidR="00266BFA" w:rsidRPr="009601FF">
        <w:rPr>
          <w:rFonts w:ascii="Arial" w:hAnsi="Arial" w:cs="Arial"/>
          <w:bCs/>
          <w:sz w:val="22"/>
          <w:szCs w:val="22"/>
          <w:lang w:val="en-GB"/>
        </w:rPr>
        <w:t xml:space="preserve"> a mediator should disputes arise and provided that both the Joint Administrators and Examiner would be recognized as parties in interest</w:t>
      </w:r>
      <w:r w:rsidR="003A229E" w:rsidRPr="009601FF">
        <w:rPr>
          <w:rFonts w:ascii="Arial" w:hAnsi="Arial" w:cs="Arial"/>
          <w:bCs/>
          <w:sz w:val="22"/>
          <w:szCs w:val="22"/>
          <w:lang w:val="en-GB"/>
        </w:rPr>
        <w:t xml:space="preserve"> in bankruptcy proceeding in both the United States and in England.</w:t>
      </w:r>
      <w:r w:rsidR="003C1931" w:rsidRPr="009601FF">
        <w:rPr>
          <w:rFonts w:ascii="Arial" w:hAnsi="Arial" w:cs="Arial"/>
          <w:bCs/>
          <w:sz w:val="22"/>
          <w:szCs w:val="22"/>
          <w:lang w:val="en-GB"/>
        </w:rPr>
        <w:t xml:space="preserve"> The spirit of the arrangement under the Protocol is exemplified by the opening paragraph</w:t>
      </w:r>
      <w:r w:rsidR="00C13D1D" w:rsidRPr="009601FF">
        <w:rPr>
          <w:rFonts w:ascii="Arial" w:hAnsi="Arial" w:cs="Arial"/>
          <w:bCs/>
          <w:sz w:val="22"/>
          <w:szCs w:val="22"/>
          <w:lang w:val="en-GB"/>
        </w:rPr>
        <w:t xml:space="preserve"> of Judge Brozman’s approving Order, which “refers</w:t>
      </w:r>
      <w:r w:rsidR="002A3FA2" w:rsidRPr="009601FF">
        <w:rPr>
          <w:rFonts w:ascii="Arial" w:hAnsi="Arial" w:cs="Arial"/>
          <w:bCs/>
          <w:sz w:val="22"/>
          <w:szCs w:val="22"/>
          <w:lang w:val="en-GB"/>
        </w:rPr>
        <w:t xml:space="preserve"> to the administration under English law and express ‘a desire by this Court, the High Court of England,</w:t>
      </w:r>
      <w:r w:rsidR="006C1D2D" w:rsidRPr="009601FF">
        <w:rPr>
          <w:rFonts w:ascii="Arial" w:hAnsi="Arial" w:cs="Arial"/>
          <w:bCs/>
          <w:sz w:val="22"/>
          <w:szCs w:val="22"/>
          <w:lang w:val="en-GB"/>
        </w:rPr>
        <w:t xml:space="preserve"> the Examiner,</w:t>
      </w:r>
      <w:r w:rsidR="006A2520" w:rsidRPr="009601FF">
        <w:rPr>
          <w:rFonts w:ascii="Arial" w:hAnsi="Arial" w:cs="Arial"/>
          <w:bCs/>
          <w:sz w:val="22"/>
          <w:szCs w:val="22"/>
          <w:lang w:val="en-GB"/>
        </w:rPr>
        <w:t xml:space="preserve"> the Joint Administrators</w:t>
      </w:r>
      <w:r w:rsidR="00C65A59" w:rsidRPr="009601FF">
        <w:rPr>
          <w:rFonts w:ascii="Arial" w:hAnsi="Arial" w:cs="Arial"/>
          <w:bCs/>
          <w:sz w:val="22"/>
          <w:szCs w:val="22"/>
          <w:lang w:val="en-GB"/>
        </w:rPr>
        <w:t>,</w:t>
      </w:r>
      <w:r w:rsidR="006A2520" w:rsidRPr="009601FF">
        <w:rPr>
          <w:rFonts w:ascii="Arial" w:hAnsi="Arial" w:cs="Arial"/>
          <w:bCs/>
          <w:sz w:val="22"/>
          <w:szCs w:val="22"/>
          <w:lang w:val="en-GB"/>
        </w:rPr>
        <w:t xml:space="preserve"> and the Debtor (i) to harmonize the within proceedings</w:t>
      </w:r>
      <w:r w:rsidR="007E283A" w:rsidRPr="009601FF">
        <w:rPr>
          <w:rFonts w:ascii="Arial" w:hAnsi="Arial" w:cs="Arial"/>
          <w:bCs/>
          <w:sz w:val="22"/>
          <w:szCs w:val="22"/>
          <w:lang w:val="en-GB"/>
        </w:rPr>
        <w:t xml:space="preserve"> with the Administration and (ii) to facilitate a rehabilitation and reorganization of the Debtor</w:t>
      </w:r>
      <w:r w:rsidR="0001288A" w:rsidRPr="009601FF">
        <w:rPr>
          <w:rFonts w:ascii="Arial" w:hAnsi="Arial" w:cs="Arial"/>
          <w:bCs/>
          <w:sz w:val="22"/>
          <w:szCs w:val="22"/>
          <w:lang w:val="en-GB"/>
        </w:rPr>
        <w:t>.</w:t>
      </w:r>
    </w:p>
    <w:p w14:paraId="7C7323C3" w14:textId="77777777" w:rsidR="000F5F36" w:rsidRPr="009601FF" w:rsidRDefault="000F5F36" w:rsidP="000F5F36">
      <w:pPr>
        <w:pStyle w:val="ListParagraph"/>
        <w:spacing w:line="360" w:lineRule="auto"/>
        <w:ind w:left="360"/>
        <w:jc w:val="both"/>
        <w:rPr>
          <w:rFonts w:ascii="Arial" w:hAnsi="Arial" w:cs="Arial"/>
          <w:bCs/>
          <w:sz w:val="22"/>
          <w:szCs w:val="22"/>
          <w:lang w:val="en-GB"/>
        </w:rPr>
      </w:pPr>
    </w:p>
    <w:p w14:paraId="62EACE2A" w14:textId="7257C3C8" w:rsidR="00B0786F" w:rsidRPr="009601FF" w:rsidRDefault="00B0786F"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The Protocol and the appointment of the Examiner were successes</w:t>
      </w:r>
      <w:r w:rsidR="001554A8" w:rsidRPr="009601FF">
        <w:rPr>
          <w:rStyle w:val="FootnoteReference"/>
          <w:rFonts w:ascii="Arial" w:hAnsi="Arial" w:cs="Arial"/>
          <w:bCs/>
          <w:sz w:val="22"/>
          <w:szCs w:val="22"/>
          <w:lang w:val="en-GB"/>
        </w:rPr>
        <w:footnoteReference w:id="9"/>
      </w:r>
      <w:r w:rsidR="00FA5926" w:rsidRPr="009601FF">
        <w:rPr>
          <w:rFonts w:ascii="Arial" w:hAnsi="Arial" w:cs="Arial"/>
          <w:bCs/>
          <w:sz w:val="22"/>
          <w:szCs w:val="22"/>
          <w:lang w:val="en-GB"/>
        </w:rPr>
        <w:t>. After the approval of the Protocol by both the US Bankruptcy Court and the London</w:t>
      </w:r>
      <w:r w:rsidR="00FA6C93" w:rsidRPr="009601FF">
        <w:rPr>
          <w:rFonts w:ascii="Arial" w:hAnsi="Arial" w:cs="Arial"/>
          <w:bCs/>
          <w:sz w:val="22"/>
          <w:szCs w:val="22"/>
          <w:lang w:val="en-GB"/>
        </w:rPr>
        <w:t xml:space="preserve"> High Court, the Examiner</w:t>
      </w:r>
      <w:r w:rsidR="00B978BA" w:rsidRPr="009601FF">
        <w:rPr>
          <w:rFonts w:ascii="Arial" w:hAnsi="Arial" w:cs="Arial"/>
          <w:bCs/>
          <w:sz w:val="22"/>
          <w:szCs w:val="22"/>
          <w:lang w:val="en-GB"/>
        </w:rPr>
        <w:t xml:space="preserve"> and the Joint Administrators of the UK estate negotiated</w:t>
      </w:r>
      <w:r w:rsidR="00963F05" w:rsidRPr="009601FF">
        <w:rPr>
          <w:rFonts w:ascii="Arial" w:hAnsi="Arial" w:cs="Arial"/>
          <w:bCs/>
          <w:sz w:val="22"/>
          <w:szCs w:val="22"/>
          <w:lang w:val="en-GB"/>
        </w:rPr>
        <w:t>,</w:t>
      </w:r>
      <w:r w:rsidR="00826E6E" w:rsidRPr="009601FF">
        <w:rPr>
          <w:rFonts w:ascii="Arial" w:hAnsi="Arial" w:cs="Arial"/>
          <w:bCs/>
          <w:sz w:val="22"/>
          <w:szCs w:val="22"/>
          <w:lang w:val="en-GB"/>
        </w:rPr>
        <w:t xml:space="preserve"> within the frameworks laid out in the Protocol, the reorganization</w:t>
      </w:r>
      <w:r w:rsidR="00F40BBE" w:rsidRPr="009601FF">
        <w:rPr>
          <w:rFonts w:ascii="Arial" w:hAnsi="Arial" w:cs="Arial"/>
          <w:bCs/>
          <w:sz w:val="22"/>
          <w:szCs w:val="22"/>
          <w:lang w:val="en-GB"/>
        </w:rPr>
        <w:t xml:space="preserve"> of MCC. A Chapter 11 Plan of Reorganization was </w:t>
      </w:r>
      <w:r w:rsidR="00F40BBE" w:rsidRPr="009601FF">
        <w:rPr>
          <w:rFonts w:ascii="Arial" w:hAnsi="Arial" w:cs="Arial"/>
          <w:bCs/>
          <w:sz w:val="22"/>
          <w:szCs w:val="22"/>
          <w:lang w:val="en-GB"/>
        </w:rPr>
        <w:lastRenderedPageBreak/>
        <w:t>approved by the US Court in only 18 months, quickly followed by UK Court approval of a related UK Scheme of Arrangement</w:t>
      </w:r>
      <w:r w:rsidR="00271E0E" w:rsidRPr="009601FF">
        <w:rPr>
          <w:rStyle w:val="FootnoteReference"/>
          <w:rFonts w:ascii="Arial" w:hAnsi="Arial" w:cs="Arial"/>
          <w:bCs/>
          <w:sz w:val="22"/>
          <w:szCs w:val="22"/>
          <w:lang w:val="en-GB"/>
        </w:rPr>
        <w:footnoteReference w:id="10"/>
      </w:r>
      <w:r w:rsidR="00C8736B">
        <w:rPr>
          <w:rFonts w:ascii="Arial" w:hAnsi="Arial" w:cs="Arial"/>
          <w:bCs/>
          <w:sz w:val="22"/>
          <w:szCs w:val="22"/>
          <w:lang w:val="en-GB"/>
        </w:rPr>
        <w:t>”</w:t>
      </w:r>
      <w:r w:rsidR="00F40BBE" w:rsidRPr="009601FF">
        <w:rPr>
          <w:rFonts w:ascii="Arial" w:hAnsi="Arial" w:cs="Arial"/>
          <w:bCs/>
          <w:sz w:val="22"/>
          <w:szCs w:val="22"/>
          <w:lang w:val="en-GB"/>
        </w:rPr>
        <w:t>.</w:t>
      </w:r>
    </w:p>
    <w:p w14:paraId="06178161" w14:textId="52C797A1" w:rsidR="006304F5" w:rsidRPr="009601FF" w:rsidRDefault="006304F5" w:rsidP="0019775E">
      <w:pPr>
        <w:pStyle w:val="ListParagraph"/>
        <w:spacing w:line="360" w:lineRule="auto"/>
        <w:ind w:left="540"/>
        <w:jc w:val="both"/>
        <w:rPr>
          <w:rFonts w:ascii="Arial" w:hAnsi="Arial" w:cs="Arial"/>
          <w:bCs/>
          <w:sz w:val="22"/>
          <w:szCs w:val="22"/>
          <w:lang w:val="en-GB"/>
        </w:rPr>
      </w:pPr>
    </w:p>
    <w:p w14:paraId="6E6C7B6B" w14:textId="74160F4B" w:rsidR="00197943" w:rsidRPr="009601FF" w:rsidRDefault="00197943" w:rsidP="0019775E">
      <w:pPr>
        <w:pStyle w:val="ListParagraph"/>
        <w:spacing w:line="360" w:lineRule="auto"/>
        <w:ind w:left="540"/>
        <w:jc w:val="both"/>
        <w:rPr>
          <w:rFonts w:ascii="Arial" w:hAnsi="Arial" w:cs="Arial"/>
          <w:b/>
          <w:sz w:val="22"/>
          <w:szCs w:val="22"/>
          <w:lang w:val="en-GB"/>
        </w:rPr>
      </w:pPr>
      <w:r w:rsidRPr="009601FF">
        <w:rPr>
          <w:rFonts w:ascii="Arial" w:hAnsi="Arial" w:cs="Arial"/>
          <w:b/>
          <w:sz w:val="22"/>
          <w:szCs w:val="22"/>
          <w:lang w:val="en-GB"/>
        </w:rPr>
        <w:t>Joseph Nakas</w:t>
      </w:r>
      <w:r w:rsidR="007215EA" w:rsidRPr="009601FF">
        <w:rPr>
          <w:rFonts w:ascii="Arial" w:hAnsi="Arial" w:cs="Arial"/>
          <w:b/>
          <w:sz w:val="22"/>
          <w:szCs w:val="22"/>
          <w:lang w:val="en-GB"/>
        </w:rPr>
        <w:t>h</w:t>
      </w:r>
      <w:r w:rsidR="00870BAB" w:rsidRPr="009601FF">
        <w:rPr>
          <w:rStyle w:val="FootnoteReference"/>
          <w:rFonts w:ascii="Arial" w:hAnsi="Arial" w:cs="Arial"/>
          <w:b/>
          <w:sz w:val="22"/>
          <w:szCs w:val="22"/>
          <w:lang w:val="en-GB"/>
        </w:rPr>
        <w:footnoteReference w:id="11"/>
      </w:r>
    </w:p>
    <w:p w14:paraId="0C382220" w14:textId="34E27AE2" w:rsidR="00057B99" w:rsidRPr="009601FF" w:rsidRDefault="00057B99" w:rsidP="0019775E">
      <w:pPr>
        <w:pStyle w:val="ListParagraph"/>
        <w:spacing w:line="360" w:lineRule="auto"/>
        <w:ind w:left="540"/>
        <w:jc w:val="both"/>
        <w:rPr>
          <w:rFonts w:ascii="Arial" w:hAnsi="Arial" w:cs="Arial"/>
          <w:bCs/>
          <w:sz w:val="22"/>
          <w:szCs w:val="22"/>
          <w:lang w:val="en-GB"/>
        </w:rPr>
      </w:pPr>
    </w:p>
    <w:p w14:paraId="272F1724" w14:textId="6A5FDF73" w:rsidR="00057B99" w:rsidRPr="009601FF" w:rsidRDefault="00FD7F47" w:rsidP="0019775E">
      <w:pPr>
        <w:pStyle w:val="ListParagraph"/>
        <w:numPr>
          <w:ilvl w:val="1"/>
          <w:numId w:val="3"/>
        </w:numPr>
        <w:spacing w:line="360" w:lineRule="auto"/>
        <w:jc w:val="both"/>
        <w:rPr>
          <w:rFonts w:ascii="Arial" w:hAnsi="Arial" w:cs="Arial"/>
          <w:bCs/>
          <w:sz w:val="22"/>
          <w:szCs w:val="22"/>
          <w:lang w:val="en-GB"/>
        </w:rPr>
      </w:pPr>
      <w:r>
        <w:rPr>
          <w:rFonts w:ascii="Arial" w:hAnsi="Arial" w:cs="Arial"/>
          <w:bCs/>
          <w:sz w:val="22"/>
          <w:szCs w:val="22"/>
          <w:lang w:val="en-GB"/>
        </w:rPr>
        <w:t>“</w:t>
      </w:r>
      <w:r w:rsidR="00057B99" w:rsidRPr="009601FF">
        <w:rPr>
          <w:rFonts w:ascii="Arial" w:hAnsi="Arial" w:cs="Arial"/>
          <w:bCs/>
          <w:sz w:val="22"/>
          <w:szCs w:val="22"/>
          <w:lang w:val="en-GB"/>
        </w:rPr>
        <w:t xml:space="preserve">Joseph Nakash, the debtor, had a variety </w:t>
      </w:r>
      <w:r w:rsidR="004B1D08">
        <w:rPr>
          <w:rFonts w:ascii="Arial" w:hAnsi="Arial" w:cs="Arial"/>
          <w:bCs/>
          <w:sz w:val="22"/>
          <w:szCs w:val="22"/>
          <w:lang w:val="en-GB"/>
        </w:rPr>
        <w:t>o</w:t>
      </w:r>
      <w:r w:rsidR="00057B99" w:rsidRPr="009601FF">
        <w:rPr>
          <w:rFonts w:ascii="Arial" w:hAnsi="Arial" w:cs="Arial"/>
          <w:bCs/>
          <w:sz w:val="22"/>
          <w:szCs w:val="22"/>
          <w:lang w:val="en-GB"/>
        </w:rPr>
        <w:t>f business interests worldwide, including</w:t>
      </w:r>
      <w:r w:rsidR="00646A58" w:rsidRPr="009601FF">
        <w:rPr>
          <w:rFonts w:ascii="Arial" w:hAnsi="Arial" w:cs="Arial"/>
          <w:bCs/>
          <w:sz w:val="22"/>
          <w:szCs w:val="22"/>
          <w:lang w:val="en-GB"/>
        </w:rPr>
        <w:t xml:space="preserve"> shipping operations</w:t>
      </w:r>
      <w:r w:rsidR="00C53009">
        <w:rPr>
          <w:rFonts w:ascii="Arial" w:hAnsi="Arial" w:cs="Arial"/>
          <w:bCs/>
          <w:sz w:val="22"/>
          <w:szCs w:val="22"/>
          <w:lang w:val="en-GB"/>
        </w:rPr>
        <w:t xml:space="preserve">, </w:t>
      </w:r>
      <w:r w:rsidR="00646A58" w:rsidRPr="009601FF">
        <w:rPr>
          <w:rFonts w:ascii="Arial" w:hAnsi="Arial" w:cs="Arial"/>
          <w:bCs/>
          <w:sz w:val="22"/>
          <w:szCs w:val="22"/>
          <w:lang w:val="en-GB"/>
        </w:rPr>
        <w:t>real estate</w:t>
      </w:r>
      <w:r w:rsidR="00C53009">
        <w:rPr>
          <w:rFonts w:ascii="Arial" w:hAnsi="Arial" w:cs="Arial"/>
          <w:bCs/>
          <w:sz w:val="22"/>
          <w:szCs w:val="22"/>
          <w:lang w:val="en-GB"/>
        </w:rPr>
        <w:t xml:space="preserve"> etc</w:t>
      </w:r>
      <w:r w:rsidR="00646A58" w:rsidRPr="009601FF">
        <w:rPr>
          <w:rFonts w:ascii="Arial" w:hAnsi="Arial" w:cs="Arial"/>
          <w:bCs/>
          <w:sz w:val="22"/>
          <w:szCs w:val="22"/>
          <w:lang w:val="en-GB"/>
        </w:rPr>
        <w:t>.</w:t>
      </w:r>
      <w:r w:rsidR="0079115D" w:rsidRPr="009601FF">
        <w:rPr>
          <w:rFonts w:ascii="Arial" w:hAnsi="Arial" w:cs="Arial"/>
          <w:bCs/>
          <w:sz w:val="22"/>
          <w:szCs w:val="22"/>
          <w:lang w:val="en-GB"/>
        </w:rPr>
        <w:t xml:space="preserve"> Among other things, he was also a member of the Board of Directors of the North American Bank (NAB) in Israel, which was put into receivership after experiencing financial challenges. A judgment was rendered against Nakash personally in the amount of $160 million, due to his role as a director of NAB. While that judgment was still on appeal, the Official Receiver of the State of Israel (the “Official Receiver”), who was appointed as the receiver of NAB, filed an involuntary bankruptcy petition against Nakash in Israel. The Israeli Court granted the petition, and Nakash appealed.</w:t>
      </w:r>
    </w:p>
    <w:p w14:paraId="7BB81905" w14:textId="77777777" w:rsidR="00E84FDB" w:rsidRPr="009601FF" w:rsidRDefault="00E84FDB" w:rsidP="0019775E">
      <w:pPr>
        <w:pStyle w:val="ListParagraph"/>
        <w:spacing w:line="360" w:lineRule="auto"/>
        <w:ind w:left="540"/>
        <w:jc w:val="both"/>
        <w:rPr>
          <w:rFonts w:ascii="Arial" w:hAnsi="Arial" w:cs="Arial"/>
          <w:bCs/>
          <w:sz w:val="22"/>
          <w:szCs w:val="22"/>
          <w:lang w:val="en-GB"/>
        </w:rPr>
      </w:pPr>
    </w:p>
    <w:p w14:paraId="060E99A2" w14:textId="0568EDDF" w:rsidR="004C543F" w:rsidRPr="009601FF" w:rsidRDefault="00B71645"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In the midst of the legal battle surrounding the insolvency petition in Israel, the Receiver obtained an order of attachment against Nakash in the Federal Court of New York.</w:t>
      </w:r>
      <w:r w:rsidR="00870BAB" w:rsidRPr="009601FF">
        <w:rPr>
          <w:rFonts w:ascii="Arial" w:hAnsi="Arial" w:cs="Arial"/>
          <w:bCs/>
          <w:sz w:val="22"/>
          <w:szCs w:val="22"/>
          <w:lang w:val="en-GB"/>
        </w:rPr>
        <w:t xml:space="preserve"> Three days after the order of attachment was granted, Nakash commenced voluntary Chapter 11 proceedings in the United States Bankruptcy Court for the Southern District of New York</w:t>
      </w:r>
      <w:r w:rsidR="008C0D9E" w:rsidRPr="009601FF">
        <w:rPr>
          <w:rFonts w:ascii="Arial" w:hAnsi="Arial" w:cs="Arial"/>
          <w:bCs/>
          <w:sz w:val="22"/>
          <w:szCs w:val="22"/>
          <w:lang w:val="en-GB"/>
        </w:rPr>
        <w:t>.</w:t>
      </w:r>
      <w:r w:rsidR="00DD4B9D" w:rsidRPr="009601FF">
        <w:rPr>
          <w:rFonts w:ascii="Arial" w:hAnsi="Arial" w:cs="Arial"/>
          <w:bCs/>
          <w:sz w:val="22"/>
          <w:szCs w:val="22"/>
          <w:lang w:val="en-GB"/>
        </w:rPr>
        <w:t xml:space="preserve"> As in </w:t>
      </w:r>
      <w:r w:rsidR="00504DBE">
        <w:rPr>
          <w:rFonts w:ascii="Arial" w:hAnsi="Arial" w:cs="Arial"/>
          <w:bCs/>
          <w:sz w:val="22"/>
          <w:szCs w:val="22"/>
          <w:lang w:val="en-GB"/>
        </w:rPr>
        <w:t xml:space="preserve">the </w:t>
      </w:r>
      <w:r w:rsidR="00DD4B9D" w:rsidRPr="009601FF">
        <w:rPr>
          <w:rFonts w:ascii="Arial" w:hAnsi="Arial" w:cs="Arial"/>
          <w:bCs/>
          <w:sz w:val="22"/>
          <w:szCs w:val="22"/>
          <w:lang w:val="en-GB"/>
        </w:rPr>
        <w:t>MCC</w:t>
      </w:r>
      <w:r w:rsidR="00504DBE">
        <w:rPr>
          <w:rFonts w:ascii="Arial" w:hAnsi="Arial" w:cs="Arial"/>
          <w:bCs/>
          <w:sz w:val="22"/>
          <w:szCs w:val="22"/>
          <w:lang w:val="en-GB"/>
        </w:rPr>
        <w:t xml:space="preserve"> case</w:t>
      </w:r>
      <w:r w:rsidR="00DD4B9D" w:rsidRPr="009601FF">
        <w:rPr>
          <w:rFonts w:ascii="Arial" w:hAnsi="Arial" w:cs="Arial"/>
          <w:bCs/>
          <w:sz w:val="22"/>
          <w:szCs w:val="22"/>
          <w:lang w:val="en-GB"/>
        </w:rPr>
        <w:t>, Nakash was subjected to two main uncoordinated proceedings, this time in the US and Israel.</w:t>
      </w:r>
      <w:r w:rsidR="00F008DA" w:rsidRPr="009601FF">
        <w:rPr>
          <w:rFonts w:ascii="Arial" w:hAnsi="Arial" w:cs="Arial"/>
          <w:bCs/>
          <w:sz w:val="22"/>
          <w:szCs w:val="22"/>
          <w:lang w:val="en-GB"/>
        </w:rPr>
        <w:t xml:space="preserve"> All of this was further complicated by the fact that the </w:t>
      </w:r>
      <w:r w:rsidR="004C543F" w:rsidRPr="009601FF">
        <w:rPr>
          <w:rFonts w:ascii="Arial" w:hAnsi="Arial" w:cs="Arial"/>
          <w:bCs/>
          <w:sz w:val="22"/>
          <w:szCs w:val="22"/>
          <w:lang w:val="en-GB"/>
        </w:rPr>
        <w:t>Official</w:t>
      </w:r>
      <w:r w:rsidR="00F008DA" w:rsidRPr="009601FF">
        <w:rPr>
          <w:rFonts w:ascii="Arial" w:hAnsi="Arial" w:cs="Arial"/>
          <w:bCs/>
          <w:sz w:val="22"/>
          <w:szCs w:val="22"/>
          <w:lang w:val="en-GB"/>
        </w:rPr>
        <w:t xml:space="preserve"> Receiver</w:t>
      </w:r>
      <w:r w:rsidR="00DB6817" w:rsidRPr="009601FF">
        <w:rPr>
          <w:rFonts w:ascii="Arial" w:hAnsi="Arial" w:cs="Arial"/>
          <w:bCs/>
          <w:sz w:val="22"/>
          <w:szCs w:val="22"/>
          <w:lang w:val="en-GB"/>
        </w:rPr>
        <w:t xml:space="preserve"> had filed a second involuntary bankruptcy petition in Israel to correct possible deficiencies in the first insolvency</w:t>
      </w:r>
      <w:r w:rsidR="00CA72DA">
        <w:rPr>
          <w:rFonts w:ascii="Arial" w:hAnsi="Arial" w:cs="Arial"/>
          <w:bCs/>
          <w:sz w:val="22"/>
          <w:szCs w:val="22"/>
          <w:lang w:val="en-GB"/>
        </w:rPr>
        <w:t xml:space="preserve"> proceeding</w:t>
      </w:r>
      <w:r w:rsidR="00DB6817" w:rsidRPr="009601FF">
        <w:rPr>
          <w:rFonts w:ascii="Arial" w:hAnsi="Arial" w:cs="Arial"/>
          <w:bCs/>
          <w:sz w:val="22"/>
          <w:szCs w:val="22"/>
          <w:lang w:val="en-GB"/>
        </w:rPr>
        <w:t>. In connection with the second filing</w:t>
      </w:r>
      <w:r w:rsidR="001C1CC3" w:rsidRPr="009601FF">
        <w:rPr>
          <w:rFonts w:ascii="Arial" w:hAnsi="Arial" w:cs="Arial"/>
          <w:bCs/>
          <w:sz w:val="22"/>
          <w:szCs w:val="22"/>
          <w:lang w:val="en-GB"/>
        </w:rPr>
        <w:t xml:space="preserve">, the Official Receiver also took steps to attach the assets of Nakash in Curaco, the </w:t>
      </w:r>
      <w:r w:rsidR="000823AC" w:rsidRPr="009601FF">
        <w:rPr>
          <w:rFonts w:ascii="Arial" w:hAnsi="Arial" w:cs="Arial"/>
          <w:bCs/>
          <w:sz w:val="22"/>
          <w:szCs w:val="22"/>
          <w:lang w:val="en-GB"/>
        </w:rPr>
        <w:t xml:space="preserve">Netherlands and Luxembourg. </w:t>
      </w:r>
      <w:r w:rsidR="00713815">
        <w:rPr>
          <w:rFonts w:ascii="Arial" w:hAnsi="Arial" w:cs="Arial"/>
          <w:bCs/>
          <w:sz w:val="22"/>
          <w:szCs w:val="22"/>
          <w:lang w:val="en-GB"/>
        </w:rPr>
        <w:t>Meanwhile, b</w:t>
      </w:r>
      <w:r w:rsidR="000823AC" w:rsidRPr="009601FF">
        <w:rPr>
          <w:rFonts w:ascii="Arial" w:hAnsi="Arial" w:cs="Arial"/>
          <w:bCs/>
          <w:sz w:val="22"/>
          <w:szCs w:val="22"/>
          <w:lang w:val="en-GB"/>
        </w:rPr>
        <w:t>a</w:t>
      </w:r>
      <w:r w:rsidR="0046504F">
        <w:rPr>
          <w:rFonts w:ascii="Arial" w:hAnsi="Arial" w:cs="Arial"/>
          <w:bCs/>
          <w:sz w:val="22"/>
          <w:szCs w:val="22"/>
          <w:lang w:val="en-GB"/>
        </w:rPr>
        <w:t>c</w:t>
      </w:r>
      <w:r w:rsidR="000823AC" w:rsidRPr="009601FF">
        <w:rPr>
          <w:rFonts w:ascii="Arial" w:hAnsi="Arial" w:cs="Arial"/>
          <w:bCs/>
          <w:sz w:val="22"/>
          <w:szCs w:val="22"/>
          <w:lang w:val="en-GB"/>
        </w:rPr>
        <w:t>k in the US, Nakash asserted that the Official Receiver’s second bankruptcy filing</w:t>
      </w:r>
      <w:r w:rsidR="009007A5">
        <w:rPr>
          <w:rFonts w:ascii="Arial" w:hAnsi="Arial" w:cs="Arial"/>
          <w:bCs/>
          <w:sz w:val="22"/>
          <w:szCs w:val="22"/>
          <w:lang w:val="en-GB"/>
        </w:rPr>
        <w:t>,</w:t>
      </w:r>
      <w:r w:rsidR="000823AC" w:rsidRPr="009601FF">
        <w:rPr>
          <w:rFonts w:ascii="Arial" w:hAnsi="Arial" w:cs="Arial"/>
          <w:bCs/>
          <w:sz w:val="22"/>
          <w:szCs w:val="22"/>
          <w:lang w:val="en-GB"/>
        </w:rPr>
        <w:t xml:space="preserve"> and related asset attachments violated the US automatic stay</w:t>
      </w:r>
      <w:r w:rsidR="000823AC" w:rsidRPr="009601FF">
        <w:rPr>
          <w:rStyle w:val="FootnoteReference"/>
          <w:rFonts w:ascii="Arial" w:hAnsi="Arial" w:cs="Arial"/>
          <w:bCs/>
          <w:sz w:val="22"/>
          <w:szCs w:val="22"/>
          <w:lang w:val="en-GB"/>
        </w:rPr>
        <w:footnoteReference w:id="12"/>
      </w:r>
      <w:r w:rsidR="008120B7" w:rsidRPr="009601FF">
        <w:rPr>
          <w:rFonts w:ascii="Arial" w:hAnsi="Arial" w:cs="Arial"/>
          <w:bCs/>
          <w:sz w:val="22"/>
          <w:szCs w:val="22"/>
          <w:lang w:val="en-GB"/>
        </w:rPr>
        <w:t xml:space="preserve"> and the US Bankruptcy Court ultimately agreed</w:t>
      </w:r>
      <w:r w:rsidR="00B35A54" w:rsidRPr="009601FF">
        <w:rPr>
          <w:rStyle w:val="FootnoteReference"/>
          <w:rFonts w:ascii="Arial" w:hAnsi="Arial" w:cs="Arial"/>
          <w:bCs/>
          <w:sz w:val="22"/>
          <w:szCs w:val="22"/>
          <w:lang w:val="en-GB"/>
        </w:rPr>
        <w:footnoteReference w:id="13"/>
      </w:r>
      <w:r w:rsidR="008120B7" w:rsidRPr="009601FF">
        <w:rPr>
          <w:rFonts w:ascii="Arial" w:hAnsi="Arial" w:cs="Arial"/>
          <w:bCs/>
          <w:sz w:val="22"/>
          <w:szCs w:val="22"/>
          <w:lang w:val="en-GB"/>
        </w:rPr>
        <w:t>.</w:t>
      </w:r>
    </w:p>
    <w:p w14:paraId="4275E8CA" w14:textId="77777777" w:rsidR="00DB4CF5" w:rsidRPr="009601FF" w:rsidRDefault="00DB4CF5" w:rsidP="0019775E">
      <w:pPr>
        <w:pStyle w:val="ListParagraph"/>
        <w:spacing w:line="360" w:lineRule="auto"/>
        <w:rPr>
          <w:rFonts w:ascii="Arial" w:hAnsi="Arial" w:cs="Arial"/>
          <w:bCs/>
          <w:sz w:val="22"/>
          <w:szCs w:val="22"/>
          <w:lang w:val="en-GB"/>
        </w:rPr>
      </w:pPr>
    </w:p>
    <w:p w14:paraId="751313CB" w14:textId="7449A88E" w:rsidR="00DB4CF5" w:rsidRPr="009601FF" w:rsidRDefault="00DB4CF5" w:rsidP="0019775E">
      <w:pPr>
        <w:pStyle w:val="ListParagraph"/>
        <w:spacing w:line="360" w:lineRule="auto"/>
        <w:ind w:left="360"/>
        <w:jc w:val="both"/>
        <w:rPr>
          <w:rFonts w:ascii="Arial" w:hAnsi="Arial" w:cs="Arial"/>
          <w:bCs/>
          <w:sz w:val="22"/>
          <w:szCs w:val="22"/>
          <w:lang w:val="en-GB"/>
        </w:rPr>
      </w:pPr>
      <w:r w:rsidRPr="009601FF">
        <w:rPr>
          <w:rFonts w:ascii="Arial" w:hAnsi="Arial" w:cs="Arial"/>
          <w:bCs/>
          <w:sz w:val="22"/>
          <w:szCs w:val="22"/>
          <w:lang w:val="en-GB"/>
        </w:rPr>
        <w:t>In order to attempt to bring order to this international chaos, the US Bankruptcy Judge Burton R. Lifland appointed Richard A Gitlin to serve as Examiner.</w:t>
      </w:r>
      <w:r w:rsidR="00FE0929" w:rsidRPr="009601FF">
        <w:rPr>
          <w:rFonts w:ascii="Arial" w:hAnsi="Arial" w:cs="Arial"/>
          <w:bCs/>
          <w:sz w:val="22"/>
          <w:szCs w:val="22"/>
          <w:lang w:val="en-GB"/>
        </w:rPr>
        <w:t xml:space="preserve"> Ultimately, the Examiner negotiated a Protocol with the Official Receiver. The Nakash Protocol has been described as follows:</w:t>
      </w:r>
    </w:p>
    <w:p w14:paraId="48D4363D" w14:textId="1031964F" w:rsidR="004F5F5B" w:rsidRPr="009601FF" w:rsidRDefault="004F5F5B" w:rsidP="0019775E">
      <w:pPr>
        <w:pStyle w:val="ListParagraph"/>
        <w:spacing w:line="360" w:lineRule="auto"/>
        <w:ind w:left="360"/>
        <w:jc w:val="both"/>
        <w:rPr>
          <w:rFonts w:ascii="Arial" w:hAnsi="Arial" w:cs="Arial"/>
          <w:bCs/>
          <w:sz w:val="22"/>
          <w:szCs w:val="22"/>
          <w:lang w:val="en-GB"/>
        </w:rPr>
      </w:pPr>
    </w:p>
    <w:p w14:paraId="59600780" w14:textId="1BB05521" w:rsidR="004F5F5B" w:rsidRPr="009601FF" w:rsidRDefault="004F5F5B" w:rsidP="0019775E">
      <w:pPr>
        <w:pStyle w:val="ListParagraph"/>
        <w:spacing w:line="360" w:lineRule="auto"/>
        <w:ind w:left="360"/>
        <w:jc w:val="both"/>
        <w:rPr>
          <w:rFonts w:ascii="Arial" w:hAnsi="Arial" w:cs="Arial"/>
          <w:bCs/>
          <w:sz w:val="22"/>
          <w:szCs w:val="22"/>
          <w:lang w:val="en-GB"/>
        </w:rPr>
      </w:pPr>
      <w:r w:rsidRPr="009601FF">
        <w:rPr>
          <w:rFonts w:ascii="Arial" w:hAnsi="Arial" w:cs="Arial"/>
          <w:bCs/>
          <w:sz w:val="22"/>
          <w:szCs w:val="22"/>
          <w:lang w:val="en-GB"/>
        </w:rPr>
        <w:tab/>
      </w:r>
      <w:r w:rsidRPr="009601FF">
        <w:rPr>
          <w:rFonts w:ascii="Arial" w:hAnsi="Arial" w:cs="Arial"/>
          <w:bCs/>
          <w:sz w:val="22"/>
          <w:szCs w:val="22"/>
          <w:lang w:val="en-GB"/>
        </w:rPr>
        <w:tab/>
      </w:r>
      <w:r w:rsidRPr="00332D3A">
        <w:rPr>
          <w:rFonts w:ascii="Arial" w:hAnsi="Arial" w:cs="Arial"/>
          <w:bCs/>
          <w:i/>
          <w:iCs/>
          <w:sz w:val="22"/>
          <w:szCs w:val="22"/>
          <w:lang w:val="en-GB"/>
        </w:rPr>
        <w:t>The need for a Protocol in the Nakash proceedings was critical. In the absence of a Protocol, litigation wo</w:t>
      </w:r>
      <w:r w:rsidR="000552F4" w:rsidRPr="00332D3A">
        <w:rPr>
          <w:rFonts w:ascii="Arial" w:hAnsi="Arial" w:cs="Arial"/>
          <w:bCs/>
          <w:i/>
          <w:iCs/>
          <w:sz w:val="22"/>
          <w:szCs w:val="22"/>
          <w:lang w:val="en-GB"/>
        </w:rPr>
        <w:t>uld continue unbated between the debtor and Official Receiver, and there would be a continuing and possibly escalating risk of undesirable conflict between the U.S Court and the Israeli Court. Meanwhile, the value of Debtor’s worldwide business operations would undoubtedly deteriorate amid such wasteful and distracting litigation</w:t>
      </w:r>
      <w:r w:rsidR="000552F4" w:rsidRPr="009601FF">
        <w:rPr>
          <w:rFonts w:ascii="Arial" w:hAnsi="Arial" w:cs="Arial"/>
          <w:bCs/>
          <w:sz w:val="22"/>
          <w:szCs w:val="22"/>
          <w:lang w:val="en-GB"/>
        </w:rPr>
        <w:t>.</w:t>
      </w:r>
    </w:p>
    <w:p w14:paraId="0EC839AC" w14:textId="04E98892" w:rsidR="00F44912" w:rsidRPr="009601FF" w:rsidRDefault="00F44912" w:rsidP="0019775E">
      <w:pPr>
        <w:pStyle w:val="ListParagraph"/>
        <w:spacing w:line="360" w:lineRule="auto"/>
        <w:ind w:left="360"/>
        <w:jc w:val="both"/>
        <w:rPr>
          <w:rFonts w:ascii="Arial" w:hAnsi="Arial" w:cs="Arial"/>
          <w:bCs/>
          <w:sz w:val="22"/>
          <w:szCs w:val="22"/>
          <w:lang w:val="en-GB"/>
        </w:rPr>
      </w:pPr>
    </w:p>
    <w:p w14:paraId="7E290C07" w14:textId="17D8D2B9" w:rsidR="00F44912" w:rsidRPr="009601FF" w:rsidRDefault="00BC7407"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The parties agreed that for the actions to be taken in Israel or the United States, the Israeli or the US court, respectively, would be the primary addressee for the relief, and that each court would respect the jurisdiction of the other.</w:t>
      </w:r>
      <w:r w:rsidR="004A550D" w:rsidRPr="009601FF">
        <w:rPr>
          <w:rFonts w:ascii="Arial" w:hAnsi="Arial" w:cs="Arial"/>
          <w:bCs/>
          <w:sz w:val="22"/>
          <w:szCs w:val="22"/>
          <w:lang w:val="en-GB"/>
        </w:rPr>
        <w:t xml:space="preserve"> With respect to issues existing outside of the United States and Israel, </w:t>
      </w:r>
      <w:r w:rsidR="00A6678D">
        <w:rPr>
          <w:rFonts w:ascii="Arial" w:hAnsi="Arial" w:cs="Arial"/>
          <w:bCs/>
          <w:sz w:val="22"/>
          <w:szCs w:val="22"/>
          <w:lang w:val="en-GB"/>
        </w:rPr>
        <w:t xml:space="preserve">the </w:t>
      </w:r>
      <w:r w:rsidR="004A550D" w:rsidRPr="009601FF">
        <w:rPr>
          <w:rFonts w:ascii="Arial" w:hAnsi="Arial" w:cs="Arial"/>
          <w:bCs/>
          <w:sz w:val="22"/>
          <w:szCs w:val="22"/>
          <w:lang w:val="en-GB"/>
        </w:rPr>
        <w:t>parties agreed that</w:t>
      </w:r>
      <w:r w:rsidR="00C440F4" w:rsidRPr="009601FF">
        <w:rPr>
          <w:rFonts w:ascii="Arial" w:hAnsi="Arial" w:cs="Arial"/>
          <w:bCs/>
          <w:sz w:val="22"/>
          <w:szCs w:val="22"/>
          <w:lang w:val="en-GB"/>
        </w:rPr>
        <w:t xml:space="preserve"> they would coordinate their efforts “to avoid conflict rulings whenever possible”.</w:t>
      </w:r>
      <w:r w:rsidR="000045A2" w:rsidRPr="009601FF">
        <w:rPr>
          <w:rFonts w:ascii="Arial" w:hAnsi="Arial" w:cs="Arial"/>
          <w:bCs/>
          <w:sz w:val="22"/>
          <w:szCs w:val="22"/>
          <w:lang w:val="en-GB"/>
        </w:rPr>
        <w:t xml:space="preserve"> In order to do so, the parties and the court agreed that they would use the Official Receiver and the Examiner</w:t>
      </w:r>
      <w:r w:rsidR="003175EC" w:rsidRPr="009601FF">
        <w:rPr>
          <w:rFonts w:ascii="Arial" w:hAnsi="Arial" w:cs="Arial"/>
          <w:bCs/>
          <w:sz w:val="22"/>
          <w:szCs w:val="22"/>
          <w:lang w:val="en-GB"/>
        </w:rPr>
        <w:t xml:space="preserve"> to consult with each other, and to have direct telephone conferences whenever possible</w:t>
      </w:r>
      <w:r w:rsidR="00634678" w:rsidRPr="009601FF">
        <w:rPr>
          <w:rFonts w:ascii="Arial" w:hAnsi="Arial" w:cs="Arial"/>
          <w:bCs/>
          <w:sz w:val="22"/>
          <w:szCs w:val="22"/>
          <w:lang w:val="en-GB"/>
        </w:rPr>
        <w:t>.</w:t>
      </w:r>
    </w:p>
    <w:p w14:paraId="55358046" w14:textId="77777777" w:rsidR="00AE0F72" w:rsidRPr="009601FF" w:rsidRDefault="00AE0F72" w:rsidP="0019775E">
      <w:pPr>
        <w:pStyle w:val="ListParagraph"/>
        <w:spacing w:line="360" w:lineRule="auto"/>
        <w:ind w:left="360"/>
        <w:jc w:val="both"/>
        <w:rPr>
          <w:rFonts w:ascii="Arial" w:hAnsi="Arial" w:cs="Arial"/>
          <w:bCs/>
          <w:sz w:val="22"/>
          <w:szCs w:val="22"/>
          <w:lang w:val="en-GB"/>
        </w:rPr>
      </w:pPr>
    </w:p>
    <w:p w14:paraId="234AD28B" w14:textId="17233879" w:rsidR="00A144EF" w:rsidRDefault="00A144EF"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It is especially noteworthy that the Nakash Protocol was the first Protocol that was concluded between a common law country, in which the bankruptcy judges traditionally enjoy wide discretion, and a civil law country, in which judges are confined to the limits of their statutorily prescribed boundaries.</w:t>
      </w:r>
      <w:r w:rsidR="00860FCE" w:rsidRPr="009601FF">
        <w:rPr>
          <w:rFonts w:ascii="Arial" w:hAnsi="Arial" w:cs="Arial"/>
          <w:bCs/>
          <w:sz w:val="22"/>
          <w:szCs w:val="22"/>
          <w:lang w:val="en-GB"/>
        </w:rPr>
        <w:t xml:space="preserve"> The Nakash Protocol is also very unusual in that, not only was it not signed by the Debtor, but also the Debtor actively opposed its approval and filed appeals in both the US and Israel</w:t>
      </w:r>
      <w:r w:rsidR="0024508C" w:rsidRPr="009601FF">
        <w:rPr>
          <w:rFonts w:ascii="Arial" w:hAnsi="Arial" w:cs="Arial"/>
          <w:bCs/>
          <w:sz w:val="22"/>
          <w:szCs w:val="22"/>
          <w:lang w:val="en-GB"/>
        </w:rPr>
        <w:t>. Ultimately, with the active mediation of the Examiner, the Debtor and the Official Receiver resolved their differences consensually, and both the US and Israeli Bankruptcy cases were dismissed by agreement of the parties</w:t>
      </w:r>
      <w:r w:rsidR="00553C52" w:rsidRPr="009601FF">
        <w:rPr>
          <w:rStyle w:val="FootnoteReference"/>
          <w:rFonts w:ascii="Arial" w:hAnsi="Arial" w:cs="Arial"/>
          <w:bCs/>
          <w:sz w:val="22"/>
          <w:szCs w:val="22"/>
          <w:lang w:val="en-GB"/>
        </w:rPr>
        <w:footnoteReference w:id="14"/>
      </w:r>
      <w:r w:rsidR="00FD7F47">
        <w:rPr>
          <w:rFonts w:ascii="Arial" w:hAnsi="Arial" w:cs="Arial"/>
          <w:bCs/>
          <w:sz w:val="22"/>
          <w:szCs w:val="22"/>
          <w:lang w:val="en-GB"/>
        </w:rPr>
        <w:t>”</w:t>
      </w:r>
      <w:r w:rsidR="0024508C" w:rsidRPr="009601FF">
        <w:rPr>
          <w:rFonts w:ascii="Arial" w:hAnsi="Arial" w:cs="Arial"/>
          <w:bCs/>
          <w:sz w:val="22"/>
          <w:szCs w:val="22"/>
          <w:lang w:val="en-GB"/>
        </w:rPr>
        <w:t>.</w:t>
      </w:r>
    </w:p>
    <w:p w14:paraId="7D271EE5" w14:textId="77777777" w:rsidR="004E6150" w:rsidRPr="004E6150" w:rsidRDefault="004E6150" w:rsidP="004E6150">
      <w:pPr>
        <w:pStyle w:val="ListParagraph"/>
        <w:rPr>
          <w:rFonts w:ascii="Arial" w:hAnsi="Arial" w:cs="Arial"/>
          <w:bCs/>
          <w:sz w:val="22"/>
          <w:szCs w:val="22"/>
          <w:lang w:val="en-GB"/>
        </w:rPr>
      </w:pPr>
    </w:p>
    <w:p w14:paraId="3D3A359A" w14:textId="58C06121" w:rsidR="004E6150" w:rsidRPr="002970D3" w:rsidRDefault="007B7073" w:rsidP="004E6150">
      <w:pPr>
        <w:pStyle w:val="ListParagraph"/>
        <w:spacing w:line="360" w:lineRule="auto"/>
        <w:ind w:left="360"/>
        <w:jc w:val="both"/>
        <w:rPr>
          <w:rFonts w:ascii="Arial" w:hAnsi="Arial" w:cs="Arial"/>
          <w:b/>
          <w:sz w:val="22"/>
          <w:szCs w:val="22"/>
          <w:lang w:val="en-GB"/>
        </w:rPr>
      </w:pPr>
      <w:r>
        <w:rPr>
          <w:rFonts w:ascii="Arial" w:hAnsi="Arial" w:cs="Arial"/>
          <w:b/>
          <w:sz w:val="22"/>
          <w:szCs w:val="22"/>
          <w:lang w:val="en-GB"/>
        </w:rPr>
        <w:t xml:space="preserve">Re </w:t>
      </w:r>
      <w:r w:rsidR="004E6150" w:rsidRPr="002970D3">
        <w:rPr>
          <w:rFonts w:ascii="Arial" w:hAnsi="Arial" w:cs="Arial"/>
          <w:b/>
          <w:sz w:val="22"/>
          <w:szCs w:val="22"/>
          <w:lang w:val="en-GB"/>
        </w:rPr>
        <w:t>Leh</w:t>
      </w:r>
      <w:r w:rsidR="00E14A12" w:rsidRPr="002970D3">
        <w:rPr>
          <w:rFonts w:ascii="Arial" w:hAnsi="Arial" w:cs="Arial"/>
          <w:b/>
          <w:sz w:val="22"/>
          <w:szCs w:val="22"/>
          <w:lang w:val="en-GB"/>
        </w:rPr>
        <w:t>man</w:t>
      </w:r>
      <w:r w:rsidR="00D55AD6">
        <w:rPr>
          <w:rFonts w:ascii="Arial" w:hAnsi="Arial" w:cs="Arial"/>
          <w:b/>
          <w:sz w:val="22"/>
          <w:szCs w:val="22"/>
          <w:lang w:val="en-GB"/>
        </w:rPr>
        <w:t xml:space="preserve"> Brothers</w:t>
      </w:r>
      <w:r w:rsidR="004E6150" w:rsidRPr="002970D3">
        <w:rPr>
          <w:rFonts w:ascii="Arial" w:hAnsi="Arial" w:cs="Arial"/>
          <w:b/>
          <w:sz w:val="22"/>
          <w:szCs w:val="22"/>
          <w:lang w:val="en-GB"/>
        </w:rPr>
        <w:t xml:space="preserve"> Protocol</w:t>
      </w:r>
      <w:r w:rsidR="001F15F7">
        <w:rPr>
          <w:rStyle w:val="FootnoteReference"/>
          <w:rFonts w:ascii="Arial" w:hAnsi="Arial" w:cs="Arial"/>
          <w:b/>
          <w:sz w:val="22"/>
          <w:szCs w:val="22"/>
          <w:lang w:val="en-GB"/>
        </w:rPr>
        <w:footnoteReference w:id="15"/>
      </w:r>
    </w:p>
    <w:p w14:paraId="4365C7BB" w14:textId="77777777" w:rsidR="00F9452D" w:rsidRPr="00F9452D" w:rsidRDefault="00F9452D" w:rsidP="00F9452D">
      <w:pPr>
        <w:pStyle w:val="ListParagraph"/>
        <w:rPr>
          <w:rFonts w:ascii="Arial" w:hAnsi="Arial" w:cs="Arial"/>
          <w:bCs/>
          <w:sz w:val="22"/>
          <w:szCs w:val="22"/>
          <w:lang w:val="en-GB"/>
        </w:rPr>
      </w:pPr>
    </w:p>
    <w:p w14:paraId="692514E7" w14:textId="4A6BA8C4" w:rsidR="00BC7C1C" w:rsidRDefault="00F9452D" w:rsidP="00F9452D">
      <w:pPr>
        <w:pStyle w:val="ListParagraph"/>
        <w:numPr>
          <w:ilvl w:val="1"/>
          <w:numId w:val="3"/>
        </w:numPr>
        <w:spacing w:line="360" w:lineRule="auto"/>
        <w:jc w:val="both"/>
        <w:rPr>
          <w:rFonts w:ascii="Arial" w:hAnsi="Arial" w:cs="Arial"/>
          <w:bCs/>
          <w:sz w:val="22"/>
          <w:szCs w:val="22"/>
          <w:lang w:val="en-GB"/>
        </w:rPr>
      </w:pPr>
      <w:r>
        <w:rPr>
          <w:rFonts w:ascii="Arial" w:hAnsi="Arial" w:cs="Arial"/>
          <w:bCs/>
          <w:sz w:val="22"/>
          <w:szCs w:val="22"/>
          <w:lang w:val="en-GB"/>
        </w:rPr>
        <w:t>An</w:t>
      </w:r>
      <w:r w:rsidR="007777C9">
        <w:rPr>
          <w:rFonts w:ascii="Arial" w:hAnsi="Arial" w:cs="Arial"/>
          <w:bCs/>
          <w:sz w:val="22"/>
          <w:szCs w:val="22"/>
          <w:lang w:val="en-GB"/>
        </w:rPr>
        <w:t>other</w:t>
      </w:r>
      <w:r>
        <w:rPr>
          <w:rFonts w:ascii="Arial" w:hAnsi="Arial" w:cs="Arial"/>
          <w:bCs/>
          <w:sz w:val="22"/>
          <w:szCs w:val="22"/>
          <w:lang w:val="en-GB"/>
        </w:rPr>
        <w:t xml:space="preserve"> interesting case which buttresses the use of </w:t>
      </w:r>
      <w:r w:rsidR="00FE230A">
        <w:rPr>
          <w:rFonts w:ascii="Arial" w:hAnsi="Arial" w:cs="Arial"/>
          <w:bCs/>
          <w:sz w:val="22"/>
          <w:szCs w:val="22"/>
          <w:lang w:val="en-GB"/>
        </w:rPr>
        <w:t>P</w:t>
      </w:r>
      <w:r>
        <w:rPr>
          <w:rFonts w:ascii="Arial" w:hAnsi="Arial" w:cs="Arial"/>
          <w:bCs/>
          <w:sz w:val="22"/>
          <w:szCs w:val="22"/>
          <w:lang w:val="en-GB"/>
        </w:rPr>
        <w:t xml:space="preserve">rotocols in </w:t>
      </w:r>
      <w:r w:rsidR="00981266">
        <w:rPr>
          <w:rFonts w:ascii="Arial" w:hAnsi="Arial" w:cs="Arial"/>
          <w:bCs/>
          <w:sz w:val="22"/>
          <w:szCs w:val="22"/>
          <w:lang w:val="en-GB"/>
        </w:rPr>
        <w:t>C</w:t>
      </w:r>
      <w:r>
        <w:rPr>
          <w:rFonts w:ascii="Arial" w:hAnsi="Arial" w:cs="Arial"/>
          <w:bCs/>
          <w:sz w:val="22"/>
          <w:szCs w:val="22"/>
          <w:lang w:val="en-GB"/>
        </w:rPr>
        <w:t>ross-</w:t>
      </w:r>
      <w:r w:rsidR="00981266">
        <w:rPr>
          <w:rFonts w:ascii="Arial" w:hAnsi="Arial" w:cs="Arial"/>
          <w:bCs/>
          <w:sz w:val="22"/>
          <w:szCs w:val="22"/>
          <w:lang w:val="en-GB"/>
        </w:rPr>
        <w:t>B</w:t>
      </w:r>
      <w:r>
        <w:rPr>
          <w:rFonts w:ascii="Arial" w:hAnsi="Arial" w:cs="Arial"/>
          <w:bCs/>
          <w:sz w:val="22"/>
          <w:szCs w:val="22"/>
          <w:lang w:val="en-GB"/>
        </w:rPr>
        <w:t xml:space="preserve">other </w:t>
      </w:r>
      <w:r w:rsidR="00981266">
        <w:rPr>
          <w:rFonts w:ascii="Arial" w:hAnsi="Arial" w:cs="Arial"/>
          <w:bCs/>
          <w:sz w:val="22"/>
          <w:szCs w:val="22"/>
          <w:lang w:val="en-GB"/>
        </w:rPr>
        <w:t>I</w:t>
      </w:r>
      <w:r>
        <w:rPr>
          <w:rFonts w:ascii="Arial" w:hAnsi="Arial" w:cs="Arial"/>
          <w:bCs/>
          <w:sz w:val="22"/>
          <w:szCs w:val="22"/>
          <w:lang w:val="en-GB"/>
        </w:rPr>
        <w:t xml:space="preserve">nsolvency </w:t>
      </w:r>
      <w:r w:rsidR="00981266">
        <w:rPr>
          <w:rFonts w:ascii="Arial" w:hAnsi="Arial" w:cs="Arial"/>
          <w:bCs/>
          <w:sz w:val="22"/>
          <w:szCs w:val="22"/>
          <w:lang w:val="en-GB"/>
        </w:rPr>
        <w:t>P</w:t>
      </w:r>
      <w:r>
        <w:rPr>
          <w:rFonts w:ascii="Arial" w:hAnsi="Arial" w:cs="Arial"/>
          <w:bCs/>
          <w:sz w:val="22"/>
          <w:szCs w:val="22"/>
          <w:lang w:val="en-GB"/>
        </w:rPr>
        <w:t xml:space="preserve">roceedings is the Lehman </w:t>
      </w:r>
      <w:r w:rsidR="00053425">
        <w:rPr>
          <w:rFonts w:ascii="Arial" w:hAnsi="Arial" w:cs="Arial"/>
          <w:bCs/>
          <w:sz w:val="22"/>
          <w:szCs w:val="22"/>
          <w:lang w:val="en-GB"/>
        </w:rPr>
        <w:t xml:space="preserve">Brothers </w:t>
      </w:r>
      <w:r>
        <w:rPr>
          <w:rFonts w:ascii="Arial" w:hAnsi="Arial" w:cs="Arial"/>
          <w:bCs/>
          <w:sz w:val="22"/>
          <w:szCs w:val="22"/>
          <w:lang w:val="en-GB"/>
        </w:rPr>
        <w:t xml:space="preserve">Protocol. This is a case where a very large investment bank in the US filed for chapter 11 bankruptcy. The company operated in over 40 countries and more than 650 legal entities outside the US. The bankruptcy filing resulted in over 75 separate proceedings with more than 16 administrators and the law of </w:t>
      </w:r>
      <w:r>
        <w:rPr>
          <w:rFonts w:ascii="Arial" w:hAnsi="Arial" w:cs="Arial"/>
          <w:bCs/>
          <w:sz w:val="22"/>
          <w:szCs w:val="22"/>
          <w:lang w:val="en-GB"/>
        </w:rPr>
        <w:lastRenderedPageBreak/>
        <w:t>each country widely varied</w:t>
      </w:r>
      <w:r w:rsidR="002A75B1">
        <w:rPr>
          <w:rStyle w:val="FootnoteReference"/>
          <w:rFonts w:ascii="Arial" w:hAnsi="Arial" w:cs="Arial"/>
          <w:bCs/>
          <w:sz w:val="22"/>
          <w:szCs w:val="22"/>
          <w:lang w:val="en-GB"/>
        </w:rPr>
        <w:footnoteReference w:id="16"/>
      </w:r>
      <w:r>
        <w:rPr>
          <w:rFonts w:ascii="Arial" w:hAnsi="Arial" w:cs="Arial"/>
          <w:bCs/>
          <w:sz w:val="22"/>
          <w:szCs w:val="22"/>
          <w:lang w:val="en-GB"/>
        </w:rPr>
        <w:t xml:space="preserve">. To facilitate the process, interested parties entered a Cross-Border Insolvency Protocol for the Lehman Brothers Group of Companies (Lehman Protocol) with two primary objectives-effective case management and consistency of judgments. </w:t>
      </w:r>
    </w:p>
    <w:p w14:paraId="6692F25B" w14:textId="77777777" w:rsidR="00BC7C1C" w:rsidRDefault="00BC7C1C" w:rsidP="00BC7C1C">
      <w:pPr>
        <w:pStyle w:val="ListParagraph"/>
        <w:spacing w:line="360" w:lineRule="auto"/>
        <w:ind w:left="360"/>
        <w:jc w:val="both"/>
        <w:rPr>
          <w:rFonts w:ascii="Arial" w:hAnsi="Arial" w:cs="Arial"/>
          <w:bCs/>
          <w:sz w:val="22"/>
          <w:szCs w:val="22"/>
          <w:lang w:val="en-GB"/>
        </w:rPr>
      </w:pPr>
    </w:p>
    <w:p w14:paraId="59833F10" w14:textId="6EB2B9FB" w:rsidR="00F9452D" w:rsidRDefault="00F9452D" w:rsidP="00F9452D">
      <w:pPr>
        <w:pStyle w:val="ListParagraph"/>
        <w:numPr>
          <w:ilvl w:val="1"/>
          <w:numId w:val="3"/>
        </w:numPr>
        <w:spacing w:line="360" w:lineRule="auto"/>
        <w:jc w:val="both"/>
        <w:rPr>
          <w:rFonts w:ascii="Arial" w:hAnsi="Arial" w:cs="Arial"/>
          <w:bCs/>
          <w:sz w:val="22"/>
          <w:szCs w:val="22"/>
          <w:lang w:val="en-GB"/>
        </w:rPr>
      </w:pPr>
      <w:r>
        <w:rPr>
          <w:rFonts w:ascii="Arial" w:hAnsi="Arial" w:cs="Arial"/>
          <w:bCs/>
          <w:sz w:val="22"/>
          <w:szCs w:val="22"/>
          <w:lang w:val="en-GB"/>
        </w:rPr>
        <w:t>Some of the material terms of the Protocol</w:t>
      </w:r>
      <w:r w:rsidR="00634A57">
        <w:rPr>
          <w:rFonts w:ascii="Arial" w:hAnsi="Arial" w:cs="Arial"/>
          <w:bCs/>
          <w:sz w:val="22"/>
          <w:szCs w:val="22"/>
          <w:lang w:val="en-GB"/>
        </w:rPr>
        <w:t xml:space="preserve"> (which should guide future Protocols)</w:t>
      </w:r>
      <w:r>
        <w:rPr>
          <w:rFonts w:ascii="Arial" w:hAnsi="Arial" w:cs="Arial"/>
          <w:bCs/>
          <w:sz w:val="22"/>
          <w:szCs w:val="22"/>
          <w:lang w:val="en-GB"/>
        </w:rPr>
        <w:t xml:space="preserve"> are as follows: Coordination (with the objecti</w:t>
      </w:r>
      <w:r w:rsidR="00DC68C5">
        <w:rPr>
          <w:rFonts w:ascii="Arial" w:hAnsi="Arial" w:cs="Arial"/>
          <w:bCs/>
          <w:sz w:val="22"/>
          <w:szCs w:val="22"/>
          <w:lang w:val="en-GB"/>
        </w:rPr>
        <w:t>ve</w:t>
      </w:r>
      <w:r>
        <w:rPr>
          <w:rFonts w:ascii="Arial" w:hAnsi="Arial" w:cs="Arial"/>
          <w:bCs/>
          <w:sz w:val="22"/>
          <w:szCs w:val="22"/>
          <w:lang w:val="en-GB"/>
        </w:rPr>
        <w:t xml:space="preserve"> to reduce cost of proceedings, provide predictability, maximize recovery for creditors), Communication (between Courts and Insolvency Professionals involved), Information and data sharing (particularly amongst Insolvency Professionals amongst the different jurisdictions to save time), Asset preservation (identified, preserved and maximized for all interested parties), Claims reconciliation (efficient and transparent claim process for each interested party), Maximization of recoveries and Comity (ability to maintain independent jurisdiction regardless of the cross-border proceedings</w:t>
      </w:r>
      <w:r w:rsidR="0018329E">
        <w:rPr>
          <w:rFonts w:ascii="Arial" w:hAnsi="Arial" w:cs="Arial"/>
          <w:bCs/>
          <w:sz w:val="22"/>
          <w:szCs w:val="22"/>
          <w:lang w:val="en-GB"/>
        </w:rPr>
        <w:t>),</w:t>
      </w:r>
      <w:r>
        <w:rPr>
          <w:rFonts w:ascii="Arial" w:hAnsi="Arial" w:cs="Arial"/>
          <w:bCs/>
          <w:sz w:val="22"/>
          <w:szCs w:val="22"/>
          <w:lang w:val="en-GB"/>
        </w:rPr>
        <w:t xml:space="preserve"> Notice (Emails</w:t>
      </w:r>
      <w:r w:rsidR="0099257C">
        <w:rPr>
          <w:rFonts w:ascii="Arial" w:hAnsi="Arial" w:cs="Arial"/>
          <w:bCs/>
          <w:sz w:val="22"/>
          <w:szCs w:val="22"/>
          <w:lang w:val="en-GB"/>
        </w:rPr>
        <w:t xml:space="preserve"> as means of issuing notice</w:t>
      </w:r>
      <w:r>
        <w:rPr>
          <w:rFonts w:ascii="Arial" w:hAnsi="Arial" w:cs="Arial"/>
          <w:bCs/>
          <w:sz w:val="22"/>
          <w:szCs w:val="22"/>
          <w:lang w:val="en-GB"/>
        </w:rPr>
        <w:t>), Rights of Official Representatives and Creditors (equal access for all parties), Communication Among Tribunals, Communication Among Committees etc.</w:t>
      </w:r>
    </w:p>
    <w:p w14:paraId="7C269AAF" w14:textId="77777777" w:rsidR="00E84095" w:rsidRDefault="00E84095" w:rsidP="00E84095">
      <w:pPr>
        <w:pStyle w:val="ListParagraph"/>
        <w:spacing w:line="360" w:lineRule="auto"/>
        <w:ind w:left="360"/>
        <w:jc w:val="both"/>
        <w:rPr>
          <w:rFonts w:ascii="Arial" w:hAnsi="Arial" w:cs="Arial"/>
          <w:bCs/>
          <w:sz w:val="22"/>
          <w:szCs w:val="22"/>
          <w:lang w:val="en-GB"/>
        </w:rPr>
      </w:pPr>
    </w:p>
    <w:p w14:paraId="516C50D4" w14:textId="3CA4BD51" w:rsidR="00F9452D" w:rsidRPr="00873CA0" w:rsidRDefault="00F9452D" w:rsidP="00F9452D">
      <w:pPr>
        <w:pStyle w:val="ListParagraph"/>
        <w:numPr>
          <w:ilvl w:val="1"/>
          <w:numId w:val="3"/>
        </w:numPr>
        <w:spacing w:line="360" w:lineRule="auto"/>
        <w:jc w:val="both"/>
        <w:rPr>
          <w:rFonts w:ascii="Arial" w:hAnsi="Arial" w:cs="Arial"/>
          <w:bCs/>
          <w:sz w:val="22"/>
          <w:szCs w:val="22"/>
          <w:lang w:val="en-GB"/>
        </w:rPr>
      </w:pPr>
      <w:r w:rsidRPr="00873CA0">
        <w:rPr>
          <w:rFonts w:ascii="Arial" w:hAnsi="Arial" w:cs="Arial"/>
          <w:bCs/>
          <w:sz w:val="22"/>
          <w:szCs w:val="22"/>
          <w:lang w:val="en-GB"/>
        </w:rPr>
        <w:t xml:space="preserve">A careful review of the terms of the Lehman Protocol would reveal that parties, insolvency professionals and even the courts are </w:t>
      </w:r>
      <w:r w:rsidR="0076749C" w:rsidRPr="00873CA0">
        <w:rPr>
          <w:rFonts w:ascii="Arial" w:hAnsi="Arial" w:cs="Arial"/>
          <w:bCs/>
          <w:sz w:val="22"/>
          <w:szCs w:val="22"/>
          <w:lang w:val="en-GB"/>
        </w:rPr>
        <w:t>“</w:t>
      </w:r>
      <w:r w:rsidRPr="00873CA0">
        <w:rPr>
          <w:rFonts w:ascii="Arial" w:hAnsi="Arial" w:cs="Arial"/>
          <w:bCs/>
          <w:sz w:val="22"/>
          <w:szCs w:val="22"/>
          <w:lang w:val="en-GB"/>
        </w:rPr>
        <w:t>parties</w:t>
      </w:r>
      <w:r w:rsidR="0076749C" w:rsidRPr="00873CA0">
        <w:rPr>
          <w:rFonts w:ascii="Arial" w:hAnsi="Arial" w:cs="Arial"/>
          <w:bCs/>
          <w:sz w:val="22"/>
          <w:szCs w:val="22"/>
          <w:lang w:val="en-GB"/>
        </w:rPr>
        <w:t>”</w:t>
      </w:r>
      <w:r w:rsidRPr="00873CA0">
        <w:rPr>
          <w:rFonts w:ascii="Arial" w:hAnsi="Arial" w:cs="Arial"/>
          <w:bCs/>
          <w:sz w:val="22"/>
          <w:szCs w:val="22"/>
          <w:lang w:val="en-GB"/>
        </w:rPr>
        <w:t xml:space="preserve"> to the Protocols. This is essentially because the refusal by any relevant court or practitioner in any jurisdiction to adopt the Protocol (for reasons which may include conflict with local law or misunderstanding of the scope of the </w:t>
      </w:r>
      <w:r w:rsidR="00917EB7">
        <w:rPr>
          <w:rFonts w:ascii="Arial" w:hAnsi="Arial" w:cs="Arial"/>
          <w:bCs/>
          <w:sz w:val="22"/>
          <w:szCs w:val="22"/>
          <w:lang w:val="en-GB"/>
        </w:rPr>
        <w:t>Protocol</w:t>
      </w:r>
      <w:r w:rsidRPr="00873CA0">
        <w:rPr>
          <w:rFonts w:ascii="Arial" w:hAnsi="Arial" w:cs="Arial"/>
          <w:bCs/>
          <w:sz w:val="22"/>
          <w:szCs w:val="22"/>
          <w:lang w:val="en-GB"/>
        </w:rPr>
        <w:t xml:space="preserve">) may abort the objective of the </w:t>
      </w:r>
      <w:r w:rsidR="00CF440D" w:rsidRPr="00873CA0">
        <w:rPr>
          <w:rFonts w:ascii="Arial" w:hAnsi="Arial" w:cs="Arial"/>
          <w:bCs/>
          <w:sz w:val="22"/>
          <w:szCs w:val="22"/>
          <w:lang w:val="en-GB"/>
        </w:rPr>
        <w:t>P</w:t>
      </w:r>
      <w:r w:rsidRPr="00873CA0">
        <w:rPr>
          <w:rFonts w:ascii="Arial" w:hAnsi="Arial" w:cs="Arial"/>
          <w:bCs/>
          <w:sz w:val="22"/>
          <w:szCs w:val="22"/>
          <w:lang w:val="en-GB"/>
        </w:rPr>
        <w:t>rotocol</w:t>
      </w:r>
      <w:r w:rsidR="00406485">
        <w:rPr>
          <w:rFonts w:ascii="Arial" w:hAnsi="Arial" w:cs="Arial"/>
          <w:bCs/>
          <w:sz w:val="22"/>
          <w:szCs w:val="22"/>
          <w:lang w:val="en-GB"/>
        </w:rPr>
        <w:t xml:space="preserve"> and frustrate the proceeding in a local jurisdiction</w:t>
      </w:r>
      <w:r w:rsidRPr="00873CA0">
        <w:rPr>
          <w:rFonts w:ascii="Arial" w:hAnsi="Arial" w:cs="Arial"/>
          <w:bCs/>
          <w:sz w:val="22"/>
          <w:szCs w:val="22"/>
          <w:lang w:val="en-GB"/>
        </w:rPr>
        <w:t xml:space="preserve">. </w:t>
      </w:r>
    </w:p>
    <w:p w14:paraId="5516B9A6" w14:textId="63DD0625" w:rsidR="00F44912" w:rsidRPr="009601FF" w:rsidRDefault="00F44912" w:rsidP="0019775E">
      <w:pPr>
        <w:pStyle w:val="ListParagraph"/>
        <w:spacing w:line="360" w:lineRule="auto"/>
        <w:ind w:left="360"/>
        <w:jc w:val="both"/>
        <w:rPr>
          <w:rFonts w:ascii="Arial" w:hAnsi="Arial" w:cs="Arial"/>
          <w:bCs/>
          <w:sz w:val="22"/>
          <w:szCs w:val="22"/>
          <w:lang w:val="en-GB"/>
        </w:rPr>
      </w:pPr>
    </w:p>
    <w:p w14:paraId="1BDE7408" w14:textId="77777777" w:rsidR="00835734" w:rsidRPr="009601FF" w:rsidRDefault="00835734" w:rsidP="0019775E">
      <w:pPr>
        <w:spacing w:line="360" w:lineRule="auto"/>
        <w:jc w:val="both"/>
        <w:rPr>
          <w:rFonts w:ascii="Arial" w:hAnsi="Arial" w:cs="Arial"/>
          <w:b/>
          <w:sz w:val="22"/>
          <w:szCs w:val="22"/>
          <w:u w:val="single"/>
          <w:lang w:val="en-GB"/>
        </w:rPr>
      </w:pPr>
      <w:r w:rsidRPr="009601FF">
        <w:rPr>
          <w:rFonts w:ascii="Arial" w:hAnsi="Arial" w:cs="Arial"/>
          <w:b/>
          <w:sz w:val="22"/>
          <w:szCs w:val="22"/>
          <w:u w:val="single"/>
          <w:lang w:val="en-GB"/>
        </w:rPr>
        <w:t>Legal Challenges of applying Cross-Border Protocols</w:t>
      </w:r>
    </w:p>
    <w:p w14:paraId="3055FD93" w14:textId="77777777" w:rsidR="00F44912" w:rsidRPr="009601FF" w:rsidRDefault="00F44912" w:rsidP="0019775E">
      <w:pPr>
        <w:pStyle w:val="ListParagraph"/>
        <w:spacing w:line="360" w:lineRule="auto"/>
        <w:ind w:left="360"/>
        <w:jc w:val="both"/>
        <w:rPr>
          <w:rFonts w:ascii="Arial" w:hAnsi="Arial" w:cs="Arial"/>
          <w:bCs/>
          <w:sz w:val="22"/>
          <w:szCs w:val="22"/>
          <w:lang w:val="en-GB"/>
        </w:rPr>
      </w:pPr>
    </w:p>
    <w:p w14:paraId="715020D9" w14:textId="2F611BD1" w:rsidR="00B71645" w:rsidRPr="009601FF" w:rsidRDefault="00197680"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As earlier mentioned</w:t>
      </w:r>
      <w:r w:rsidR="00E4584F" w:rsidRPr="009601FF">
        <w:rPr>
          <w:rFonts w:ascii="Arial" w:hAnsi="Arial" w:cs="Arial"/>
          <w:bCs/>
          <w:sz w:val="22"/>
          <w:szCs w:val="22"/>
          <w:lang w:val="en-GB"/>
        </w:rPr>
        <w:t>, Protocols are not static. They are simply intended to address the issues that are important to the actual case before the Courts and these factors will vary from cases to case</w:t>
      </w:r>
      <w:r w:rsidR="00C61D68" w:rsidRPr="009601FF">
        <w:rPr>
          <w:rFonts w:ascii="Arial" w:hAnsi="Arial" w:cs="Arial"/>
          <w:bCs/>
          <w:sz w:val="22"/>
          <w:szCs w:val="22"/>
          <w:lang w:val="en-GB"/>
        </w:rPr>
        <w:t>.</w:t>
      </w:r>
      <w:r w:rsidR="00104AC3" w:rsidRPr="009601FF">
        <w:rPr>
          <w:rFonts w:ascii="Arial" w:hAnsi="Arial" w:cs="Arial"/>
          <w:bCs/>
          <w:sz w:val="22"/>
          <w:szCs w:val="22"/>
          <w:lang w:val="en-GB"/>
        </w:rPr>
        <w:t xml:space="preserve"> The use of Protocol</w:t>
      </w:r>
      <w:r w:rsidR="007D78AF">
        <w:rPr>
          <w:rFonts w:ascii="Arial" w:hAnsi="Arial" w:cs="Arial"/>
          <w:bCs/>
          <w:sz w:val="22"/>
          <w:szCs w:val="22"/>
          <w:lang w:val="en-GB"/>
        </w:rPr>
        <w:t>(</w:t>
      </w:r>
      <w:r w:rsidR="00104AC3" w:rsidRPr="009601FF">
        <w:rPr>
          <w:rFonts w:ascii="Arial" w:hAnsi="Arial" w:cs="Arial"/>
          <w:bCs/>
          <w:sz w:val="22"/>
          <w:szCs w:val="22"/>
          <w:lang w:val="en-GB"/>
        </w:rPr>
        <w:t>s</w:t>
      </w:r>
      <w:r w:rsidR="007D78AF">
        <w:rPr>
          <w:rFonts w:ascii="Arial" w:hAnsi="Arial" w:cs="Arial"/>
          <w:bCs/>
          <w:sz w:val="22"/>
          <w:szCs w:val="22"/>
          <w:lang w:val="en-GB"/>
        </w:rPr>
        <w:t>)</w:t>
      </w:r>
      <w:r w:rsidR="00104AC3" w:rsidRPr="009601FF">
        <w:rPr>
          <w:rFonts w:ascii="Arial" w:hAnsi="Arial" w:cs="Arial"/>
          <w:bCs/>
          <w:sz w:val="22"/>
          <w:szCs w:val="22"/>
          <w:lang w:val="en-GB"/>
        </w:rPr>
        <w:t xml:space="preserve"> </w:t>
      </w:r>
      <w:r w:rsidR="007D78AF" w:rsidRPr="009601FF">
        <w:rPr>
          <w:rFonts w:ascii="Arial" w:hAnsi="Arial" w:cs="Arial"/>
          <w:bCs/>
          <w:sz w:val="22"/>
          <w:szCs w:val="22"/>
          <w:lang w:val="en-GB"/>
        </w:rPr>
        <w:t>has</w:t>
      </w:r>
      <w:r w:rsidR="00104AC3" w:rsidRPr="009601FF">
        <w:rPr>
          <w:rFonts w:ascii="Arial" w:hAnsi="Arial" w:cs="Arial"/>
          <w:bCs/>
          <w:sz w:val="22"/>
          <w:szCs w:val="22"/>
          <w:lang w:val="en-GB"/>
        </w:rPr>
        <w:t xml:space="preserve"> therefore served as an interim measure to manage cross-border proceedings</w:t>
      </w:r>
      <w:r w:rsidR="00294BE2">
        <w:rPr>
          <w:rFonts w:ascii="Arial" w:hAnsi="Arial" w:cs="Arial"/>
          <w:bCs/>
          <w:sz w:val="22"/>
          <w:szCs w:val="22"/>
          <w:lang w:val="en-GB"/>
        </w:rPr>
        <w:t>. H</w:t>
      </w:r>
      <w:r w:rsidR="00104AC3" w:rsidRPr="009601FF">
        <w:rPr>
          <w:rFonts w:ascii="Arial" w:hAnsi="Arial" w:cs="Arial"/>
          <w:bCs/>
          <w:sz w:val="22"/>
          <w:szCs w:val="22"/>
          <w:lang w:val="en-GB"/>
        </w:rPr>
        <w:t>owever</w:t>
      </w:r>
      <w:r w:rsidR="00465AA3">
        <w:rPr>
          <w:rFonts w:ascii="Arial" w:hAnsi="Arial" w:cs="Arial"/>
          <w:bCs/>
          <w:sz w:val="22"/>
          <w:szCs w:val="22"/>
          <w:lang w:val="en-GB"/>
        </w:rPr>
        <w:t>,</w:t>
      </w:r>
      <w:r w:rsidR="00104AC3" w:rsidRPr="009601FF">
        <w:rPr>
          <w:rFonts w:ascii="Arial" w:hAnsi="Arial" w:cs="Arial"/>
          <w:bCs/>
          <w:sz w:val="22"/>
          <w:szCs w:val="22"/>
          <w:lang w:val="en-GB"/>
        </w:rPr>
        <w:t xml:space="preserve"> the question is how </w:t>
      </w:r>
      <w:r w:rsidR="00240B3D" w:rsidRPr="009601FF">
        <w:rPr>
          <w:rFonts w:ascii="Arial" w:hAnsi="Arial" w:cs="Arial"/>
          <w:bCs/>
          <w:sz w:val="22"/>
          <w:szCs w:val="22"/>
          <w:lang w:val="en-GB"/>
        </w:rPr>
        <w:t>long can this interim measure manage the rapid growth of international businesses in several countries?</w:t>
      </w:r>
      <w:r w:rsidR="0087101C" w:rsidRPr="009601FF">
        <w:rPr>
          <w:rFonts w:ascii="Arial" w:hAnsi="Arial" w:cs="Arial"/>
          <w:bCs/>
          <w:sz w:val="22"/>
          <w:szCs w:val="22"/>
          <w:lang w:val="en-GB"/>
        </w:rPr>
        <w:t xml:space="preserve"> For instance, if there are cross-border proceedings in over 30 jurisdictions, would the 30 courts appoint 30 different Insolvency Professionals to come up with a Protocol?</w:t>
      </w:r>
      <w:r w:rsidR="00882E78" w:rsidRPr="009601FF">
        <w:rPr>
          <w:rFonts w:ascii="Arial" w:hAnsi="Arial" w:cs="Arial"/>
          <w:bCs/>
          <w:sz w:val="22"/>
          <w:szCs w:val="22"/>
          <w:lang w:val="en-GB"/>
        </w:rPr>
        <w:t xml:space="preserve"> What if some of </w:t>
      </w:r>
      <w:r w:rsidR="00882E78" w:rsidRPr="009601FF">
        <w:rPr>
          <w:rFonts w:ascii="Arial" w:hAnsi="Arial" w:cs="Arial"/>
          <w:bCs/>
          <w:sz w:val="22"/>
          <w:szCs w:val="22"/>
          <w:lang w:val="en-GB"/>
        </w:rPr>
        <w:lastRenderedPageBreak/>
        <w:t>these jurisdictions are extremely creditor friendly and seek to protect only the interest of the local creditors</w:t>
      </w:r>
      <w:r w:rsidR="007B736D" w:rsidRPr="009601FF">
        <w:rPr>
          <w:rFonts w:ascii="Arial" w:hAnsi="Arial" w:cs="Arial"/>
          <w:bCs/>
          <w:sz w:val="22"/>
          <w:szCs w:val="22"/>
          <w:lang w:val="en-GB"/>
        </w:rPr>
        <w:t xml:space="preserve"> with no interest or deep understanding of </w:t>
      </w:r>
      <w:r w:rsidR="00FE7E98">
        <w:rPr>
          <w:rFonts w:ascii="Arial" w:hAnsi="Arial" w:cs="Arial"/>
          <w:bCs/>
          <w:sz w:val="22"/>
          <w:szCs w:val="22"/>
          <w:lang w:val="en-GB"/>
        </w:rPr>
        <w:t xml:space="preserve">international </w:t>
      </w:r>
      <w:r w:rsidR="007B736D" w:rsidRPr="009601FF">
        <w:rPr>
          <w:rFonts w:ascii="Arial" w:hAnsi="Arial" w:cs="Arial"/>
          <w:bCs/>
          <w:sz w:val="22"/>
          <w:szCs w:val="22"/>
          <w:lang w:val="en-GB"/>
        </w:rPr>
        <w:t>restructuring?</w:t>
      </w:r>
    </w:p>
    <w:p w14:paraId="12022E41" w14:textId="77777777" w:rsidR="00BF1F4E" w:rsidRPr="009601FF" w:rsidRDefault="00BF1F4E" w:rsidP="0019775E">
      <w:pPr>
        <w:pStyle w:val="ListParagraph"/>
        <w:spacing w:line="360" w:lineRule="auto"/>
        <w:ind w:left="360"/>
        <w:jc w:val="both"/>
        <w:rPr>
          <w:rFonts w:ascii="Arial" w:hAnsi="Arial" w:cs="Arial"/>
          <w:bCs/>
          <w:sz w:val="22"/>
          <w:szCs w:val="22"/>
          <w:lang w:val="en-GB"/>
        </w:rPr>
      </w:pPr>
    </w:p>
    <w:p w14:paraId="6E55975C" w14:textId="2596BB0E" w:rsidR="004C7EDA" w:rsidRPr="009601FF" w:rsidRDefault="00BF1F4E"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In Access Bank Plc v Robert Dyson &amp; Diket Limited &amp; 3 Ors</w:t>
      </w:r>
      <w:r w:rsidR="00EF684E" w:rsidRPr="009601FF">
        <w:rPr>
          <w:rStyle w:val="FootnoteReference"/>
          <w:rFonts w:ascii="Arial" w:hAnsi="Arial" w:cs="Arial"/>
          <w:bCs/>
          <w:sz w:val="22"/>
          <w:szCs w:val="22"/>
          <w:lang w:val="en-GB"/>
        </w:rPr>
        <w:footnoteReference w:id="17"/>
      </w:r>
      <w:r w:rsidR="004375B8" w:rsidRPr="009601FF">
        <w:rPr>
          <w:rFonts w:ascii="Arial" w:hAnsi="Arial" w:cs="Arial"/>
          <w:bCs/>
          <w:sz w:val="22"/>
          <w:szCs w:val="22"/>
          <w:lang w:val="en-GB"/>
        </w:rPr>
        <w:t>,</w:t>
      </w:r>
      <w:r w:rsidR="0088005E" w:rsidRPr="009601FF">
        <w:rPr>
          <w:rFonts w:ascii="Arial" w:hAnsi="Arial" w:cs="Arial"/>
          <w:bCs/>
          <w:sz w:val="22"/>
          <w:szCs w:val="22"/>
          <w:lang w:val="en-GB"/>
        </w:rPr>
        <w:t xml:space="preserve"> the Bank instituted an action against the purported debtor for the purported debt of about N50 billion Naira</w:t>
      </w:r>
      <w:r w:rsidR="0097506F">
        <w:rPr>
          <w:rFonts w:ascii="Arial" w:hAnsi="Arial" w:cs="Arial"/>
          <w:bCs/>
          <w:sz w:val="22"/>
          <w:szCs w:val="22"/>
          <w:lang w:val="en-GB"/>
        </w:rPr>
        <w:t xml:space="preserve"> (which is about US$88m)</w:t>
      </w:r>
      <w:r w:rsidR="0088005E" w:rsidRPr="009601FF">
        <w:rPr>
          <w:rFonts w:ascii="Arial" w:hAnsi="Arial" w:cs="Arial"/>
          <w:bCs/>
          <w:sz w:val="22"/>
          <w:szCs w:val="22"/>
          <w:lang w:val="en-GB"/>
        </w:rPr>
        <w:t>.</w:t>
      </w:r>
      <w:r w:rsidR="005513D5" w:rsidRPr="009601FF">
        <w:rPr>
          <w:rFonts w:ascii="Arial" w:hAnsi="Arial" w:cs="Arial"/>
          <w:bCs/>
          <w:sz w:val="22"/>
          <w:szCs w:val="22"/>
          <w:lang w:val="en-GB"/>
        </w:rPr>
        <w:t xml:space="preserve"> For context, the Bank had previously instituted an action against the purported Debtor and obtained Judgment of about N26 Billion Naira.</w:t>
      </w:r>
      <w:r w:rsidR="00DD594D" w:rsidRPr="009601FF">
        <w:rPr>
          <w:rFonts w:ascii="Arial" w:hAnsi="Arial" w:cs="Arial"/>
          <w:bCs/>
          <w:sz w:val="22"/>
          <w:szCs w:val="22"/>
          <w:lang w:val="en-GB"/>
        </w:rPr>
        <w:t xml:space="preserve"> The purported Debtor appealed and after several legal arguments, the parties settled amicably and executed terms of settlement for the sum of N12B </w:t>
      </w:r>
      <w:r w:rsidR="002B79FC">
        <w:rPr>
          <w:rFonts w:ascii="Arial" w:hAnsi="Arial" w:cs="Arial"/>
          <w:bCs/>
          <w:sz w:val="22"/>
          <w:szCs w:val="22"/>
          <w:lang w:val="en-GB"/>
        </w:rPr>
        <w:t>and the Settlement agreement</w:t>
      </w:r>
      <w:r w:rsidR="00DD594D" w:rsidRPr="009601FF">
        <w:rPr>
          <w:rFonts w:ascii="Arial" w:hAnsi="Arial" w:cs="Arial"/>
          <w:bCs/>
          <w:sz w:val="22"/>
          <w:szCs w:val="22"/>
          <w:lang w:val="en-GB"/>
        </w:rPr>
        <w:t xml:space="preserve"> was entered as Consent Judgment. According to the Settlement</w:t>
      </w:r>
      <w:r w:rsidR="00DD2FAF">
        <w:rPr>
          <w:rFonts w:ascii="Arial" w:hAnsi="Arial" w:cs="Arial"/>
          <w:bCs/>
          <w:sz w:val="22"/>
          <w:szCs w:val="22"/>
          <w:lang w:val="en-GB"/>
        </w:rPr>
        <w:t xml:space="preserve"> Agreement</w:t>
      </w:r>
      <w:r w:rsidR="00DD594D" w:rsidRPr="009601FF">
        <w:rPr>
          <w:rFonts w:ascii="Arial" w:hAnsi="Arial" w:cs="Arial"/>
          <w:bCs/>
          <w:sz w:val="22"/>
          <w:szCs w:val="22"/>
          <w:lang w:val="en-GB"/>
        </w:rPr>
        <w:t>, the sum of N1B would be paid while the N11B would be paid via an asset swap with assets in Nigeria, Dubai</w:t>
      </w:r>
      <w:r w:rsidR="00DB5A0B">
        <w:rPr>
          <w:rFonts w:ascii="Arial" w:hAnsi="Arial" w:cs="Arial"/>
          <w:bCs/>
          <w:sz w:val="22"/>
          <w:szCs w:val="22"/>
          <w:lang w:val="en-GB"/>
        </w:rPr>
        <w:t>,</w:t>
      </w:r>
      <w:r w:rsidR="00DD594D" w:rsidRPr="009601FF">
        <w:rPr>
          <w:rFonts w:ascii="Arial" w:hAnsi="Arial" w:cs="Arial"/>
          <w:bCs/>
          <w:sz w:val="22"/>
          <w:szCs w:val="22"/>
          <w:lang w:val="en-GB"/>
        </w:rPr>
        <w:t xml:space="preserve"> and US.</w:t>
      </w:r>
      <w:r w:rsidR="00D37C1A" w:rsidRPr="009601FF">
        <w:rPr>
          <w:rFonts w:ascii="Arial" w:hAnsi="Arial" w:cs="Arial"/>
          <w:bCs/>
          <w:sz w:val="22"/>
          <w:szCs w:val="22"/>
          <w:lang w:val="en-GB"/>
        </w:rPr>
        <w:t xml:space="preserve"> However, the purported Debtor disclosed that</w:t>
      </w:r>
      <w:r w:rsidR="001A5777" w:rsidRPr="009601FF">
        <w:rPr>
          <w:rFonts w:ascii="Arial" w:hAnsi="Arial" w:cs="Arial"/>
          <w:bCs/>
          <w:sz w:val="22"/>
          <w:szCs w:val="22"/>
          <w:lang w:val="en-GB"/>
        </w:rPr>
        <w:t xml:space="preserve"> </w:t>
      </w:r>
      <w:r w:rsidR="00865812">
        <w:rPr>
          <w:rFonts w:ascii="Arial" w:hAnsi="Arial" w:cs="Arial"/>
          <w:bCs/>
          <w:sz w:val="22"/>
          <w:szCs w:val="22"/>
          <w:lang w:val="en-GB"/>
        </w:rPr>
        <w:t xml:space="preserve">it </w:t>
      </w:r>
      <w:r w:rsidR="001A5777" w:rsidRPr="009601FF">
        <w:rPr>
          <w:rFonts w:ascii="Arial" w:hAnsi="Arial" w:cs="Arial"/>
          <w:bCs/>
          <w:sz w:val="22"/>
          <w:szCs w:val="22"/>
          <w:lang w:val="en-GB"/>
        </w:rPr>
        <w:t>was exposed to some financial liabilities to a</w:t>
      </w:r>
      <w:r w:rsidR="00F646D3">
        <w:rPr>
          <w:rFonts w:ascii="Arial" w:hAnsi="Arial" w:cs="Arial"/>
          <w:bCs/>
          <w:sz w:val="22"/>
          <w:szCs w:val="22"/>
          <w:lang w:val="en-GB"/>
        </w:rPr>
        <w:t>n international</w:t>
      </w:r>
      <w:r w:rsidR="001A5777" w:rsidRPr="009601FF">
        <w:rPr>
          <w:rFonts w:ascii="Arial" w:hAnsi="Arial" w:cs="Arial"/>
          <w:bCs/>
          <w:sz w:val="22"/>
          <w:szCs w:val="22"/>
          <w:lang w:val="en-GB"/>
        </w:rPr>
        <w:t xml:space="preserve"> creditor in the sum of about $3m which said sum would be deducted and balance paid to the Bank.</w:t>
      </w:r>
    </w:p>
    <w:p w14:paraId="4D1BBBB5" w14:textId="77777777" w:rsidR="00842DE9" w:rsidRPr="009601FF" w:rsidRDefault="00842DE9" w:rsidP="0019775E">
      <w:pPr>
        <w:pStyle w:val="ListParagraph"/>
        <w:spacing w:line="360" w:lineRule="auto"/>
        <w:rPr>
          <w:rFonts w:ascii="Arial" w:hAnsi="Arial" w:cs="Arial"/>
          <w:bCs/>
          <w:sz w:val="22"/>
          <w:szCs w:val="22"/>
          <w:lang w:val="en-GB"/>
        </w:rPr>
      </w:pPr>
    </w:p>
    <w:p w14:paraId="607F2098" w14:textId="77777777" w:rsidR="006D3C6E" w:rsidRDefault="00842DE9" w:rsidP="0019775E">
      <w:pPr>
        <w:pStyle w:val="ListParagraph"/>
        <w:spacing w:line="360" w:lineRule="auto"/>
        <w:ind w:left="360"/>
        <w:jc w:val="both"/>
        <w:rPr>
          <w:rFonts w:ascii="Arial" w:hAnsi="Arial" w:cs="Arial"/>
          <w:bCs/>
          <w:sz w:val="22"/>
          <w:szCs w:val="22"/>
          <w:lang w:val="en-GB"/>
        </w:rPr>
      </w:pPr>
      <w:r w:rsidRPr="009601FF">
        <w:rPr>
          <w:rFonts w:ascii="Arial" w:hAnsi="Arial" w:cs="Arial"/>
          <w:bCs/>
          <w:sz w:val="22"/>
          <w:szCs w:val="22"/>
          <w:lang w:val="en-GB"/>
        </w:rPr>
        <w:t>In the instant case, there was no need for a cross-border protocol because the proceeding</w:t>
      </w:r>
      <w:r w:rsidR="007F7416">
        <w:rPr>
          <w:rFonts w:ascii="Arial" w:hAnsi="Arial" w:cs="Arial"/>
          <w:bCs/>
          <w:sz w:val="22"/>
          <w:szCs w:val="22"/>
          <w:lang w:val="en-GB"/>
        </w:rPr>
        <w:t xml:space="preserve"> </w:t>
      </w:r>
      <w:r w:rsidRPr="009601FF">
        <w:rPr>
          <w:rFonts w:ascii="Arial" w:hAnsi="Arial" w:cs="Arial"/>
          <w:bCs/>
          <w:sz w:val="22"/>
          <w:szCs w:val="22"/>
          <w:lang w:val="en-GB"/>
        </w:rPr>
        <w:t>was in only one</w:t>
      </w:r>
      <w:r w:rsidR="00937749">
        <w:rPr>
          <w:rFonts w:ascii="Arial" w:hAnsi="Arial" w:cs="Arial"/>
          <w:bCs/>
          <w:sz w:val="22"/>
          <w:szCs w:val="22"/>
          <w:lang w:val="en-GB"/>
        </w:rPr>
        <w:t xml:space="preserve"> country</w:t>
      </w:r>
      <w:r w:rsidR="00CF57C1" w:rsidRPr="009601FF">
        <w:rPr>
          <w:rFonts w:ascii="Arial" w:hAnsi="Arial" w:cs="Arial"/>
          <w:bCs/>
          <w:sz w:val="22"/>
          <w:szCs w:val="22"/>
          <w:lang w:val="en-GB"/>
        </w:rPr>
        <w:t xml:space="preserve"> (Nigeria)</w:t>
      </w:r>
      <w:r w:rsidRPr="009601FF">
        <w:rPr>
          <w:rFonts w:ascii="Arial" w:hAnsi="Arial" w:cs="Arial"/>
          <w:bCs/>
          <w:sz w:val="22"/>
          <w:szCs w:val="22"/>
          <w:lang w:val="en-GB"/>
        </w:rPr>
        <w:t>. However, there was need for the Bankruptcy lawyers in the different jurisdictions</w:t>
      </w:r>
      <w:r w:rsidR="00CF57C1" w:rsidRPr="009601FF">
        <w:rPr>
          <w:rFonts w:ascii="Arial" w:hAnsi="Arial" w:cs="Arial"/>
          <w:bCs/>
          <w:sz w:val="22"/>
          <w:szCs w:val="22"/>
          <w:lang w:val="en-GB"/>
        </w:rPr>
        <w:t xml:space="preserve"> (Nigeria, Dubai</w:t>
      </w:r>
      <w:r w:rsidR="006D40B2">
        <w:rPr>
          <w:rFonts w:ascii="Arial" w:hAnsi="Arial" w:cs="Arial"/>
          <w:bCs/>
          <w:sz w:val="22"/>
          <w:szCs w:val="22"/>
          <w:lang w:val="en-GB"/>
        </w:rPr>
        <w:t>,</w:t>
      </w:r>
      <w:r w:rsidR="00CF57C1" w:rsidRPr="009601FF">
        <w:rPr>
          <w:rFonts w:ascii="Arial" w:hAnsi="Arial" w:cs="Arial"/>
          <w:bCs/>
          <w:sz w:val="22"/>
          <w:szCs w:val="22"/>
          <w:lang w:val="en-GB"/>
        </w:rPr>
        <w:t xml:space="preserve"> and US)</w:t>
      </w:r>
      <w:r w:rsidRPr="009601FF">
        <w:rPr>
          <w:rFonts w:ascii="Arial" w:hAnsi="Arial" w:cs="Arial"/>
          <w:bCs/>
          <w:sz w:val="22"/>
          <w:szCs w:val="22"/>
          <w:lang w:val="en-GB"/>
        </w:rPr>
        <w:t xml:space="preserve"> to</w:t>
      </w:r>
      <w:r w:rsidR="009F39C6">
        <w:rPr>
          <w:rFonts w:ascii="Arial" w:hAnsi="Arial" w:cs="Arial"/>
          <w:bCs/>
          <w:sz w:val="22"/>
          <w:szCs w:val="22"/>
          <w:lang w:val="en-GB"/>
        </w:rPr>
        <w:t xml:space="preserve"> establish a Protocol and</w:t>
      </w:r>
      <w:r w:rsidRPr="009601FF">
        <w:rPr>
          <w:rFonts w:ascii="Arial" w:hAnsi="Arial" w:cs="Arial"/>
          <w:bCs/>
          <w:sz w:val="22"/>
          <w:szCs w:val="22"/>
          <w:lang w:val="en-GB"/>
        </w:rPr>
        <w:t xml:space="preserve"> agree on the mode on how the assets would be</w:t>
      </w:r>
      <w:r w:rsidR="009F39C6">
        <w:rPr>
          <w:rFonts w:ascii="Arial" w:hAnsi="Arial" w:cs="Arial"/>
          <w:bCs/>
          <w:sz w:val="22"/>
          <w:szCs w:val="22"/>
          <w:lang w:val="en-GB"/>
        </w:rPr>
        <w:t xml:space="preserve"> sold and</w:t>
      </w:r>
      <w:r w:rsidRPr="009601FF">
        <w:rPr>
          <w:rFonts w:ascii="Arial" w:hAnsi="Arial" w:cs="Arial"/>
          <w:bCs/>
          <w:sz w:val="22"/>
          <w:szCs w:val="22"/>
          <w:lang w:val="en-GB"/>
        </w:rPr>
        <w:t xml:space="preserve"> utilised to get the maximum value</w:t>
      </w:r>
      <w:r w:rsidR="00B95D01" w:rsidRPr="009601FF">
        <w:rPr>
          <w:rFonts w:ascii="Arial" w:hAnsi="Arial" w:cs="Arial"/>
          <w:bCs/>
          <w:sz w:val="22"/>
          <w:szCs w:val="22"/>
          <w:lang w:val="en-GB"/>
        </w:rPr>
        <w:t xml:space="preserve"> and pay the outstanding debt to the relevant creditors</w:t>
      </w:r>
      <w:r w:rsidRPr="009601FF">
        <w:rPr>
          <w:rFonts w:ascii="Arial" w:hAnsi="Arial" w:cs="Arial"/>
          <w:bCs/>
          <w:sz w:val="22"/>
          <w:szCs w:val="22"/>
          <w:lang w:val="en-GB"/>
        </w:rPr>
        <w:t>.</w:t>
      </w:r>
      <w:r w:rsidR="00FE57B8" w:rsidRPr="009601FF">
        <w:rPr>
          <w:rFonts w:ascii="Arial" w:hAnsi="Arial" w:cs="Arial"/>
          <w:bCs/>
          <w:sz w:val="22"/>
          <w:szCs w:val="22"/>
          <w:lang w:val="en-GB"/>
        </w:rPr>
        <w:t xml:space="preserve"> </w:t>
      </w:r>
    </w:p>
    <w:p w14:paraId="3F792C92" w14:textId="77777777" w:rsidR="006D3C6E" w:rsidRDefault="006D3C6E" w:rsidP="0019775E">
      <w:pPr>
        <w:pStyle w:val="ListParagraph"/>
        <w:spacing w:line="360" w:lineRule="auto"/>
        <w:ind w:left="360"/>
        <w:jc w:val="both"/>
        <w:rPr>
          <w:rFonts w:ascii="Arial" w:hAnsi="Arial" w:cs="Arial"/>
          <w:bCs/>
          <w:sz w:val="22"/>
          <w:szCs w:val="22"/>
          <w:lang w:val="en-GB"/>
        </w:rPr>
      </w:pPr>
    </w:p>
    <w:p w14:paraId="05955648" w14:textId="334A8AD1" w:rsidR="00842DE9" w:rsidRPr="009601FF" w:rsidRDefault="00FE57B8" w:rsidP="0019775E">
      <w:pPr>
        <w:pStyle w:val="ListParagraph"/>
        <w:spacing w:line="360" w:lineRule="auto"/>
        <w:ind w:left="360"/>
        <w:jc w:val="both"/>
        <w:rPr>
          <w:rFonts w:ascii="Arial" w:hAnsi="Arial" w:cs="Arial"/>
          <w:bCs/>
          <w:sz w:val="22"/>
          <w:szCs w:val="22"/>
          <w:lang w:val="en-GB"/>
        </w:rPr>
      </w:pPr>
      <w:r w:rsidRPr="009601FF">
        <w:rPr>
          <w:rFonts w:ascii="Arial" w:hAnsi="Arial" w:cs="Arial"/>
          <w:bCs/>
          <w:sz w:val="22"/>
          <w:szCs w:val="22"/>
          <w:lang w:val="en-GB"/>
        </w:rPr>
        <w:t xml:space="preserve">The </w:t>
      </w:r>
      <w:r w:rsidR="006C0D61">
        <w:rPr>
          <w:rFonts w:ascii="Arial" w:hAnsi="Arial" w:cs="Arial"/>
          <w:bCs/>
          <w:sz w:val="22"/>
          <w:szCs w:val="22"/>
          <w:lang w:val="en-GB"/>
        </w:rPr>
        <w:t xml:space="preserve">purported </w:t>
      </w:r>
      <w:r w:rsidRPr="009601FF">
        <w:rPr>
          <w:rFonts w:ascii="Arial" w:hAnsi="Arial" w:cs="Arial"/>
          <w:bCs/>
          <w:sz w:val="22"/>
          <w:szCs w:val="22"/>
          <w:lang w:val="en-GB"/>
        </w:rPr>
        <w:t>failure of</w:t>
      </w:r>
      <w:r w:rsidR="00D4252C" w:rsidRPr="009601FF">
        <w:rPr>
          <w:rFonts w:ascii="Arial" w:hAnsi="Arial" w:cs="Arial"/>
          <w:bCs/>
          <w:sz w:val="22"/>
          <w:szCs w:val="22"/>
          <w:lang w:val="en-GB"/>
        </w:rPr>
        <w:t xml:space="preserve"> the </w:t>
      </w:r>
      <w:r w:rsidR="006C0D61">
        <w:rPr>
          <w:rFonts w:ascii="Arial" w:hAnsi="Arial" w:cs="Arial"/>
          <w:bCs/>
          <w:sz w:val="22"/>
          <w:szCs w:val="22"/>
          <w:lang w:val="en-GB"/>
        </w:rPr>
        <w:t xml:space="preserve">Parties and Insolvency Professionals to establish a Protocol </w:t>
      </w:r>
      <w:r w:rsidR="00013692">
        <w:rPr>
          <w:rFonts w:ascii="Arial" w:hAnsi="Arial" w:cs="Arial"/>
          <w:bCs/>
          <w:sz w:val="22"/>
          <w:szCs w:val="22"/>
          <w:lang w:val="en-GB"/>
        </w:rPr>
        <w:t xml:space="preserve">which should have contained </w:t>
      </w:r>
      <w:r w:rsidR="003A04E9">
        <w:rPr>
          <w:rFonts w:ascii="Arial" w:hAnsi="Arial" w:cs="Arial"/>
          <w:bCs/>
          <w:sz w:val="22"/>
          <w:szCs w:val="22"/>
          <w:lang w:val="en-GB"/>
        </w:rPr>
        <w:t xml:space="preserve">essential </w:t>
      </w:r>
      <w:r w:rsidR="00013692">
        <w:rPr>
          <w:rFonts w:ascii="Arial" w:hAnsi="Arial" w:cs="Arial"/>
          <w:bCs/>
          <w:sz w:val="22"/>
          <w:szCs w:val="22"/>
          <w:lang w:val="en-GB"/>
        </w:rPr>
        <w:t xml:space="preserve">provisions on </w:t>
      </w:r>
      <w:r w:rsidR="00013692">
        <w:rPr>
          <w:rFonts w:ascii="Arial" w:hAnsi="Arial" w:cs="Arial"/>
          <w:bCs/>
          <w:sz w:val="22"/>
          <w:szCs w:val="22"/>
          <w:lang w:val="en-GB"/>
        </w:rPr>
        <w:t>Information and data sharing</w:t>
      </w:r>
      <w:r w:rsidR="00013692">
        <w:rPr>
          <w:rFonts w:ascii="Arial" w:hAnsi="Arial" w:cs="Arial"/>
          <w:bCs/>
          <w:sz w:val="22"/>
          <w:szCs w:val="22"/>
          <w:lang w:val="en-GB"/>
        </w:rPr>
        <w:t xml:space="preserve">, </w:t>
      </w:r>
      <w:r w:rsidR="00013692">
        <w:rPr>
          <w:rFonts w:ascii="Arial" w:hAnsi="Arial" w:cs="Arial"/>
          <w:bCs/>
          <w:sz w:val="22"/>
          <w:szCs w:val="22"/>
          <w:lang w:val="en-GB"/>
        </w:rPr>
        <w:t>Asset preservation</w:t>
      </w:r>
      <w:r w:rsidR="00EA5A45">
        <w:rPr>
          <w:rFonts w:ascii="Arial" w:hAnsi="Arial" w:cs="Arial"/>
          <w:bCs/>
          <w:sz w:val="22"/>
          <w:szCs w:val="22"/>
          <w:lang w:val="en-GB"/>
        </w:rPr>
        <w:t xml:space="preserve">, </w:t>
      </w:r>
      <w:r w:rsidR="00013692">
        <w:rPr>
          <w:rFonts w:ascii="Arial" w:hAnsi="Arial" w:cs="Arial"/>
          <w:bCs/>
          <w:sz w:val="22"/>
          <w:szCs w:val="22"/>
          <w:lang w:val="en-GB"/>
        </w:rPr>
        <w:t>Claims</w:t>
      </w:r>
      <w:r w:rsidR="008637F7">
        <w:rPr>
          <w:rFonts w:ascii="Arial" w:hAnsi="Arial" w:cs="Arial"/>
          <w:bCs/>
          <w:sz w:val="22"/>
          <w:szCs w:val="22"/>
          <w:lang w:val="en-GB"/>
        </w:rPr>
        <w:t>’</w:t>
      </w:r>
      <w:r w:rsidR="00013692">
        <w:rPr>
          <w:rFonts w:ascii="Arial" w:hAnsi="Arial" w:cs="Arial"/>
          <w:bCs/>
          <w:sz w:val="22"/>
          <w:szCs w:val="22"/>
          <w:lang w:val="en-GB"/>
        </w:rPr>
        <w:t xml:space="preserve"> reconciliation</w:t>
      </w:r>
      <w:r w:rsidR="00EA5A45">
        <w:rPr>
          <w:rFonts w:ascii="Arial" w:hAnsi="Arial" w:cs="Arial"/>
          <w:bCs/>
          <w:sz w:val="22"/>
          <w:szCs w:val="22"/>
          <w:lang w:val="en-GB"/>
        </w:rPr>
        <w:t xml:space="preserve"> etc frustrated</w:t>
      </w:r>
      <w:r w:rsidR="00FC52B4">
        <w:rPr>
          <w:rFonts w:ascii="Arial" w:hAnsi="Arial" w:cs="Arial"/>
          <w:bCs/>
          <w:sz w:val="22"/>
          <w:szCs w:val="22"/>
          <w:lang w:val="en-GB"/>
        </w:rPr>
        <w:t xml:space="preserve"> the recovery and</w:t>
      </w:r>
      <w:r w:rsidR="00D4252C" w:rsidRPr="009601FF">
        <w:rPr>
          <w:rFonts w:ascii="Arial" w:hAnsi="Arial" w:cs="Arial"/>
          <w:bCs/>
          <w:sz w:val="22"/>
          <w:szCs w:val="22"/>
          <w:lang w:val="en-GB"/>
        </w:rPr>
        <w:t xml:space="preserve"> led the </w:t>
      </w:r>
      <w:r w:rsidR="006D17F4">
        <w:rPr>
          <w:rFonts w:ascii="Arial" w:hAnsi="Arial" w:cs="Arial"/>
          <w:bCs/>
          <w:sz w:val="22"/>
          <w:szCs w:val="22"/>
          <w:lang w:val="en-GB"/>
        </w:rPr>
        <w:t xml:space="preserve">local </w:t>
      </w:r>
      <w:r w:rsidR="00D4252C" w:rsidRPr="009601FF">
        <w:rPr>
          <w:rFonts w:ascii="Arial" w:hAnsi="Arial" w:cs="Arial"/>
          <w:bCs/>
          <w:sz w:val="22"/>
          <w:szCs w:val="22"/>
          <w:lang w:val="en-GB"/>
        </w:rPr>
        <w:t xml:space="preserve">Bank </w:t>
      </w:r>
      <w:r w:rsidR="00A91AC2">
        <w:rPr>
          <w:rFonts w:ascii="Arial" w:hAnsi="Arial" w:cs="Arial"/>
          <w:bCs/>
          <w:sz w:val="22"/>
          <w:szCs w:val="22"/>
          <w:lang w:val="en-GB"/>
        </w:rPr>
        <w:t xml:space="preserve">to </w:t>
      </w:r>
      <w:r w:rsidR="00D4252C" w:rsidRPr="009601FF">
        <w:rPr>
          <w:rFonts w:ascii="Arial" w:hAnsi="Arial" w:cs="Arial"/>
          <w:bCs/>
          <w:sz w:val="22"/>
          <w:szCs w:val="22"/>
          <w:lang w:val="en-GB"/>
        </w:rPr>
        <w:t>challeng</w:t>
      </w:r>
      <w:r w:rsidR="00A91AC2">
        <w:rPr>
          <w:rFonts w:ascii="Arial" w:hAnsi="Arial" w:cs="Arial"/>
          <w:bCs/>
          <w:sz w:val="22"/>
          <w:szCs w:val="22"/>
          <w:lang w:val="en-GB"/>
        </w:rPr>
        <w:t>e</w:t>
      </w:r>
      <w:r w:rsidR="00D4252C" w:rsidRPr="009601FF">
        <w:rPr>
          <w:rFonts w:ascii="Arial" w:hAnsi="Arial" w:cs="Arial"/>
          <w:bCs/>
          <w:sz w:val="22"/>
          <w:szCs w:val="22"/>
          <w:lang w:val="en-GB"/>
        </w:rPr>
        <w:t xml:space="preserve"> the consent judgment and seek the original judgment sum against the</w:t>
      </w:r>
      <w:r w:rsidR="00B57BCB">
        <w:rPr>
          <w:rFonts w:ascii="Arial" w:hAnsi="Arial" w:cs="Arial"/>
          <w:bCs/>
          <w:sz w:val="22"/>
          <w:szCs w:val="22"/>
          <w:lang w:val="en-GB"/>
        </w:rPr>
        <w:t xml:space="preserve"> purported</w:t>
      </w:r>
      <w:r w:rsidR="00D4252C" w:rsidRPr="009601FF">
        <w:rPr>
          <w:rFonts w:ascii="Arial" w:hAnsi="Arial" w:cs="Arial"/>
          <w:bCs/>
          <w:sz w:val="22"/>
          <w:szCs w:val="22"/>
          <w:lang w:val="en-GB"/>
        </w:rPr>
        <w:t xml:space="preserve"> Debtor.</w:t>
      </w:r>
      <w:r w:rsidR="00B40EBB" w:rsidRPr="009601FF">
        <w:rPr>
          <w:rFonts w:ascii="Arial" w:hAnsi="Arial" w:cs="Arial"/>
          <w:bCs/>
          <w:sz w:val="22"/>
          <w:szCs w:val="22"/>
          <w:lang w:val="en-GB"/>
        </w:rPr>
        <w:t xml:space="preserve"> </w:t>
      </w:r>
      <w:r w:rsidR="00F06C88" w:rsidRPr="009601FF">
        <w:rPr>
          <w:rFonts w:ascii="Arial" w:hAnsi="Arial" w:cs="Arial"/>
          <w:bCs/>
          <w:sz w:val="22"/>
          <w:szCs w:val="22"/>
          <w:lang w:val="en-GB"/>
        </w:rPr>
        <w:t xml:space="preserve">This buttresses the point that </w:t>
      </w:r>
      <w:r w:rsidR="00956602">
        <w:rPr>
          <w:rFonts w:ascii="Arial" w:hAnsi="Arial" w:cs="Arial"/>
          <w:bCs/>
          <w:sz w:val="22"/>
          <w:szCs w:val="22"/>
          <w:lang w:val="en-GB"/>
        </w:rPr>
        <w:t>the</w:t>
      </w:r>
      <w:r w:rsidR="00DB47F4">
        <w:rPr>
          <w:rFonts w:ascii="Arial" w:hAnsi="Arial" w:cs="Arial"/>
          <w:bCs/>
          <w:sz w:val="22"/>
          <w:szCs w:val="22"/>
          <w:lang w:val="en-GB"/>
        </w:rPr>
        <w:t xml:space="preserve"> </w:t>
      </w:r>
      <w:r w:rsidR="001D4408">
        <w:rPr>
          <w:rFonts w:ascii="Arial" w:hAnsi="Arial" w:cs="Arial"/>
          <w:bCs/>
          <w:sz w:val="22"/>
          <w:szCs w:val="22"/>
          <w:lang w:val="en-GB"/>
        </w:rPr>
        <w:t xml:space="preserve">agreement to the </w:t>
      </w:r>
      <w:r w:rsidR="00DB47F4">
        <w:rPr>
          <w:rFonts w:ascii="Arial" w:hAnsi="Arial" w:cs="Arial"/>
          <w:bCs/>
          <w:sz w:val="22"/>
          <w:szCs w:val="22"/>
          <w:lang w:val="en-GB"/>
        </w:rPr>
        <w:t xml:space="preserve">use </w:t>
      </w:r>
      <w:r w:rsidR="00C66AEF">
        <w:rPr>
          <w:rFonts w:ascii="Arial" w:hAnsi="Arial" w:cs="Arial"/>
          <w:bCs/>
          <w:sz w:val="22"/>
          <w:szCs w:val="22"/>
          <w:lang w:val="en-GB"/>
        </w:rPr>
        <w:t xml:space="preserve">of </w:t>
      </w:r>
      <w:r w:rsidR="000C74FA">
        <w:rPr>
          <w:rFonts w:ascii="Arial" w:hAnsi="Arial" w:cs="Arial"/>
          <w:bCs/>
          <w:sz w:val="22"/>
          <w:szCs w:val="22"/>
          <w:lang w:val="en-GB"/>
        </w:rPr>
        <w:t xml:space="preserve">a </w:t>
      </w:r>
      <w:r w:rsidR="00F06C88" w:rsidRPr="009601FF">
        <w:rPr>
          <w:rFonts w:ascii="Arial" w:hAnsi="Arial" w:cs="Arial"/>
          <w:bCs/>
          <w:sz w:val="22"/>
          <w:szCs w:val="22"/>
          <w:lang w:val="en-GB"/>
        </w:rPr>
        <w:t>Protocol</w:t>
      </w:r>
      <w:r w:rsidR="00804A72">
        <w:rPr>
          <w:rFonts w:ascii="Arial" w:hAnsi="Arial" w:cs="Arial"/>
          <w:bCs/>
          <w:sz w:val="22"/>
          <w:szCs w:val="22"/>
          <w:lang w:val="en-GB"/>
        </w:rPr>
        <w:t xml:space="preserve"> is limited to the agreement of the parties, professionals</w:t>
      </w:r>
      <w:r w:rsidR="00ED79C6">
        <w:rPr>
          <w:rFonts w:ascii="Arial" w:hAnsi="Arial" w:cs="Arial"/>
          <w:bCs/>
          <w:sz w:val="22"/>
          <w:szCs w:val="22"/>
          <w:lang w:val="en-GB"/>
        </w:rPr>
        <w:t>,</w:t>
      </w:r>
      <w:r w:rsidR="00804A72">
        <w:rPr>
          <w:rFonts w:ascii="Arial" w:hAnsi="Arial" w:cs="Arial"/>
          <w:bCs/>
          <w:sz w:val="22"/>
          <w:szCs w:val="22"/>
          <w:lang w:val="en-GB"/>
        </w:rPr>
        <w:t xml:space="preserve"> and the Court.</w:t>
      </w:r>
      <w:r w:rsidR="0011418E">
        <w:rPr>
          <w:rFonts w:ascii="Arial" w:hAnsi="Arial" w:cs="Arial"/>
          <w:bCs/>
          <w:sz w:val="22"/>
          <w:szCs w:val="22"/>
          <w:lang w:val="en-GB"/>
        </w:rPr>
        <w:t xml:space="preserve"> Moreso, even with the agreement of the relevant stakeholders, the success of the implementation of the provisions</w:t>
      </w:r>
      <w:r w:rsidR="001252F9">
        <w:rPr>
          <w:rFonts w:ascii="Arial" w:hAnsi="Arial" w:cs="Arial"/>
          <w:bCs/>
          <w:sz w:val="22"/>
          <w:szCs w:val="22"/>
          <w:lang w:val="en-GB"/>
        </w:rPr>
        <w:t xml:space="preserve"> of the Protocol</w:t>
      </w:r>
      <w:r w:rsidR="0011418E">
        <w:rPr>
          <w:rFonts w:ascii="Arial" w:hAnsi="Arial" w:cs="Arial"/>
          <w:bCs/>
          <w:sz w:val="22"/>
          <w:szCs w:val="22"/>
          <w:lang w:val="en-GB"/>
        </w:rPr>
        <w:t xml:space="preserve"> is limited to their knowledge and understanding</w:t>
      </w:r>
      <w:r w:rsidR="003A6D68">
        <w:rPr>
          <w:rFonts w:ascii="Arial" w:hAnsi="Arial" w:cs="Arial"/>
          <w:bCs/>
          <w:sz w:val="22"/>
          <w:szCs w:val="22"/>
          <w:lang w:val="en-GB"/>
        </w:rPr>
        <w:t xml:space="preserve"> of international restructuring.</w:t>
      </w:r>
      <w:r w:rsidR="00F06C88" w:rsidRPr="009601FF">
        <w:rPr>
          <w:rFonts w:ascii="Arial" w:hAnsi="Arial" w:cs="Arial"/>
          <w:bCs/>
          <w:sz w:val="22"/>
          <w:szCs w:val="22"/>
          <w:lang w:val="en-GB"/>
        </w:rPr>
        <w:t xml:space="preserve"> </w:t>
      </w:r>
    </w:p>
    <w:p w14:paraId="481808C5" w14:textId="77777777" w:rsidR="00646A58" w:rsidRPr="009601FF" w:rsidRDefault="00646A58" w:rsidP="0019775E">
      <w:pPr>
        <w:pStyle w:val="ListParagraph"/>
        <w:spacing w:line="360" w:lineRule="auto"/>
        <w:ind w:left="540"/>
        <w:jc w:val="both"/>
        <w:rPr>
          <w:rFonts w:ascii="Arial" w:hAnsi="Arial" w:cs="Arial"/>
          <w:bCs/>
          <w:sz w:val="22"/>
          <w:szCs w:val="22"/>
          <w:lang w:val="en-GB"/>
        </w:rPr>
      </w:pPr>
    </w:p>
    <w:p w14:paraId="1F267B80" w14:textId="3987EC99" w:rsidR="000852BE" w:rsidRPr="009601FF" w:rsidRDefault="00D6028F" w:rsidP="0019775E">
      <w:pPr>
        <w:pStyle w:val="ListParagraph"/>
        <w:spacing w:line="360" w:lineRule="auto"/>
        <w:ind w:left="450"/>
        <w:jc w:val="both"/>
        <w:rPr>
          <w:rFonts w:ascii="Arial" w:hAnsi="Arial" w:cs="Arial"/>
          <w:b/>
          <w:sz w:val="22"/>
          <w:szCs w:val="22"/>
          <w:u w:val="single"/>
          <w:lang w:val="en-GB"/>
        </w:rPr>
      </w:pPr>
      <w:r w:rsidRPr="009601FF">
        <w:rPr>
          <w:rFonts w:ascii="Arial" w:hAnsi="Arial" w:cs="Arial"/>
          <w:b/>
          <w:sz w:val="22"/>
          <w:szCs w:val="22"/>
          <w:u w:val="single"/>
          <w:lang w:val="en-GB"/>
        </w:rPr>
        <w:t>CONCLUSION:</w:t>
      </w:r>
    </w:p>
    <w:p w14:paraId="1DFD1F71" w14:textId="77777777" w:rsidR="007D78E7" w:rsidRPr="009601FF" w:rsidRDefault="007D78E7" w:rsidP="0019775E">
      <w:pPr>
        <w:pStyle w:val="ListParagraph"/>
        <w:spacing w:line="360" w:lineRule="auto"/>
        <w:ind w:left="540"/>
        <w:jc w:val="both"/>
        <w:rPr>
          <w:rFonts w:ascii="Arial" w:hAnsi="Arial" w:cs="Arial"/>
          <w:bCs/>
          <w:sz w:val="22"/>
          <w:szCs w:val="22"/>
          <w:lang w:val="en-GB"/>
        </w:rPr>
      </w:pPr>
    </w:p>
    <w:p w14:paraId="52CACF93" w14:textId="28C8C287" w:rsidR="008842A8" w:rsidRDefault="007D78E7" w:rsidP="0019775E">
      <w:pPr>
        <w:pStyle w:val="ListParagraph"/>
        <w:numPr>
          <w:ilvl w:val="1"/>
          <w:numId w:val="3"/>
        </w:numPr>
        <w:spacing w:line="360" w:lineRule="auto"/>
        <w:jc w:val="both"/>
        <w:rPr>
          <w:rFonts w:ascii="Arial" w:hAnsi="Arial" w:cs="Arial"/>
          <w:bCs/>
          <w:sz w:val="22"/>
          <w:szCs w:val="22"/>
          <w:lang w:val="en-GB"/>
        </w:rPr>
      </w:pPr>
      <w:r w:rsidRPr="009601FF">
        <w:rPr>
          <w:rFonts w:ascii="Arial" w:hAnsi="Arial" w:cs="Arial"/>
          <w:bCs/>
          <w:sz w:val="22"/>
          <w:szCs w:val="22"/>
          <w:lang w:val="en-GB"/>
        </w:rPr>
        <w:t>Th</w:t>
      </w:r>
      <w:r w:rsidR="00D237A4" w:rsidRPr="009601FF">
        <w:rPr>
          <w:rFonts w:ascii="Arial" w:hAnsi="Arial" w:cs="Arial"/>
          <w:bCs/>
          <w:sz w:val="22"/>
          <w:szCs w:val="22"/>
          <w:lang w:val="en-GB"/>
        </w:rPr>
        <w:t>e use of Protocols is an interim</w:t>
      </w:r>
      <w:r w:rsidR="000C106B" w:rsidRPr="009601FF">
        <w:rPr>
          <w:rFonts w:ascii="Arial" w:hAnsi="Arial" w:cs="Arial"/>
          <w:bCs/>
          <w:sz w:val="22"/>
          <w:szCs w:val="22"/>
          <w:lang w:val="en-GB"/>
        </w:rPr>
        <w:t>, unpredictable</w:t>
      </w:r>
      <w:r w:rsidR="00D237A4" w:rsidRPr="009601FF">
        <w:rPr>
          <w:rFonts w:ascii="Arial" w:hAnsi="Arial" w:cs="Arial"/>
          <w:bCs/>
          <w:sz w:val="22"/>
          <w:szCs w:val="22"/>
          <w:lang w:val="en-GB"/>
        </w:rPr>
        <w:t xml:space="preserve"> measure to manage cross-border proceedings</w:t>
      </w:r>
      <w:r w:rsidR="00120346">
        <w:rPr>
          <w:rFonts w:ascii="Arial" w:hAnsi="Arial" w:cs="Arial"/>
          <w:bCs/>
          <w:sz w:val="22"/>
          <w:szCs w:val="22"/>
          <w:lang w:val="en-GB"/>
        </w:rPr>
        <w:t xml:space="preserve"> by providing predictability as the procedure of the proceedings</w:t>
      </w:r>
      <w:r w:rsidR="00380ABA">
        <w:rPr>
          <w:rFonts w:ascii="Arial" w:hAnsi="Arial" w:cs="Arial"/>
          <w:bCs/>
          <w:sz w:val="22"/>
          <w:szCs w:val="22"/>
          <w:lang w:val="en-GB"/>
        </w:rPr>
        <w:t xml:space="preserve"> and </w:t>
      </w:r>
      <w:r w:rsidR="00380ABA">
        <w:rPr>
          <w:rFonts w:ascii="Arial" w:hAnsi="Arial" w:cs="Arial"/>
          <w:bCs/>
          <w:sz w:val="22"/>
          <w:szCs w:val="22"/>
          <w:lang w:val="en-GB"/>
        </w:rPr>
        <w:lastRenderedPageBreak/>
        <w:t>maximization of the assets for the stakeholders</w:t>
      </w:r>
      <w:r w:rsidR="00D237A4" w:rsidRPr="009601FF">
        <w:rPr>
          <w:rFonts w:ascii="Arial" w:hAnsi="Arial" w:cs="Arial"/>
          <w:bCs/>
          <w:sz w:val="22"/>
          <w:szCs w:val="22"/>
          <w:lang w:val="en-GB"/>
        </w:rPr>
        <w:t>.</w:t>
      </w:r>
      <w:r w:rsidR="00B037C4" w:rsidRPr="009601FF">
        <w:rPr>
          <w:rFonts w:ascii="Arial" w:hAnsi="Arial" w:cs="Arial"/>
          <w:bCs/>
          <w:sz w:val="22"/>
          <w:szCs w:val="22"/>
          <w:lang w:val="en-GB"/>
        </w:rPr>
        <w:t xml:space="preserve"> With the explosive growth of businesses around several jurisdictions</w:t>
      </w:r>
      <w:r w:rsidR="0022030D" w:rsidRPr="009601FF">
        <w:rPr>
          <w:rFonts w:ascii="Arial" w:hAnsi="Arial" w:cs="Arial"/>
          <w:bCs/>
          <w:sz w:val="22"/>
          <w:szCs w:val="22"/>
          <w:lang w:val="en-GB"/>
        </w:rPr>
        <w:t xml:space="preserve"> (whether debtor friendly or creditor friendly)</w:t>
      </w:r>
      <w:r w:rsidR="00ED7D4E" w:rsidRPr="009601FF">
        <w:rPr>
          <w:rFonts w:ascii="Arial" w:hAnsi="Arial" w:cs="Arial"/>
          <w:bCs/>
          <w:sz w:val="22"/>
          <w:szCs w:val="22"/>
          <w:lang w:val="en-GB"/>
        </w:rPr>
        <w:t>,</w:t>
      </w:r>
      <w:r w:rsidR="00A703EE" w:rsidRPr="009601FF">
        <w:rPr>
          <w:rFonts w:ascii="Arial" w:hAnsi="Arial" w:cs="Arial"/>
          <w:bCs/>
          <w:sz w:val="22"/>
          <w:szCs w:val="22"/>
          <w:lang w:val="en-GB"/>
        </w:rPr>
        <w:t xml:space="preserve"> the uncertainty occasioned by the pandemic</w:t>
      </w:r>
      <w:r w:rsidR="00CB2997" w:rsidRPr="009601FF">
        <w:rPr>
          <w:rFonts w:ascii="Arial" w:hAnsi="Arial" w:cs="Arial"/>
          <w:bCs/>
          <w:sz w:val="22"/>
          <w:szCs w:val="22"/>
          <w:lang w:val="en-GB"/>
        </w:rPr>
        <w:t>, the politics involved in domesticating any legislation</w:t>
      </w:r>
      <w:r w:rsidR="00A703EE" w:rsidRPr="009601FF">
        <w:rPr>
          <w:rFonts w:ascii="Arial" w:hAnsi="Arial" w:cs="Arial"/>
          <w:bCs/>
          <w:sz w:val="22"/>
          <w:szCs w:val="22"/>
          <w:lang w:val="en-GB"/>
        </w:rPr>
        <w:t>,</w:t>
      </w:r>
      <w:r w:rsidR="009877AD" w:rsidRPr="009601FF">
        <w:rPr>
          <w:rFonts w:ascii="Arial" w:hAnsi="Arial" w:cs="Arial"/>
          <w:bCs/>
          <w:sz w:val="22"/>
          <w:szCs w:val="22"/>
          <w:lang w:val="en-GB"/>
        </w:rPr>
        <w:t xml:space="preserve"> </w:t>
      </w:r>
      <w:r w:rsidR="008842A8">
        <w:rPr>
          <w:rFonts w:ascii="Arial" w:hAnsi="Arial" w:cs="Arial"/>
          <w:bCs/>
          <w:sz w:val="22"/>
          <w:szCs w:val="22"/>
          <w:lang w:val="en-GB"/>
        </w:rPr>
        <w:t>one of the essential measures to adopt to ensure that the future use of Protocols would be received well amongst several jurisdictions is to deepen the knowledge of international restructuring with the courts and professionals.</w:t>
      </w:r>
    </w:p>
    <w:p w14:paraId="4D2E648D" w14:textId="1C27D557" w:rsidR="000B1315" w:rsidRPr="0062420B" w:rsidRDefault="004109C4" w:rsidP="0062420B">
      <w:pPr>
        <w:pStyle w:val="ListParagraph"/>
        <w:numPr>
          <w:ilvl w:val="1"/>
          <w:numId w:val="3"/>
        </w:numPr>
        <w:spacing w:line="360" w:lineRule="auto"/>
        <w:jc w:val="both"/>
        <w:rPr>
          <w:rFonts w:ascii="Arial" w:hAnsi="Arial" w:cs="Arial"/>
          <w:bCs/>
          <w:sz w:val="22"/>
          <w:szCs w:val="22"/>
          <w:lang w:val="en-GB"/>
        </w:rPr>
      </w:pPr>
      <w:r>
        <w:rPr>
          <w:rFonts w:ascii="Arial" w:hAnsi="Arial" w:cs="Arial"/>
          <w:bCs/>
          <w:sz w:val="22"/>
          <w:szCs w:val="22"/>
          <w:lang w:val="en-GB"/>
        </w:rPr>
        <w:t xml:space="preserve">Moreso, </w:t>
      </w:r>
      <w:r w:rsidR="009877AD" w:rsidRPr="009601FF">
        <w:rPr>
          <w:rFonts w:ascii="Arial" w:hAnsi="Arial" w:cs="Arial"/>
          <w:bCs/>
          <w:sz w:val="22"/>
          <w:szCs w:val="22"/>
          <w:lang w:val="en-GB"/>
        </w:rPr>
        <w:t xml:space="preserve">it may </w:t>
      </w:r>
      <w:r w:rsidR="00753725" w:rsidRPr="009601FF">
        <w:rPr>
          <w:rFonts w:ascii="Arial" w:hAnsi="Arial" w:cs="Arial"/>
          <w:bCs/>
          <w:sz w:val="22"/>
          <w:szCs w:val="22"/>
          <w:lang w:val="en-GB"/>
        </w:rPr>
        <w:t xml:space="preserve">be </w:t>
      </w:r>
      <w:r w:rsidR="009877AD" w:rsidRPr="009601FF">
        <w:rPr>
          <w:rFonts w:ascii="Arial" w:hAnsi="Arial" w:cs="Arial"/>
          <w:bCs/>
          <w:sz w:val="22"/>
          <w:szCs w:val="22"/>
          <w:lang w:val="en-GB"/>
        </w:rPr>
        <w:t xml:space="preserve">pertinent to </w:t>
      </w:r>
      <w:r w:rsidR="000E5C80">
        <w:rPr>
          <w:rFonts w:ascii="Arial" w:hAnsi="Arial" w:cs="Arial"/>
          <w:bCs/>
          <w:sz w:val="22"/>
          <w:szCs w:val="22"/>
          <w:lang w:val="en-GB"/>
        </w:rPr>
        <w:t xml:space="preserve">also </w:t>
      </w:r>
      <w:r w:rsidR="009877AD" w:rsidRPr="009601FF">
        <w:rPr>
          <w:rFonts w:ascii="Arial" w:hAnsi="Arial" w:cs="Arial"/>
          <w:bCs/>
          <w:sz w:val="22"/>
          <w:szCs w:val="22"/>
          <w:lang w:val="en-GB"/>
        </w:rPr>
        <w:t>consider how</w:t>
      </w:r>
      <w:r w:rsidR="000C106B" w:rsidRPr="009601FF">
        <w:rPr>
          <w:rFonts w:ascii="Arial" w:hAnsi="Arial" w:cs="Arial"/>
          <w:bCs/>
          <w:sz w:val="22"/>
          <w:szCs w:val="22"/>
          <w:lang w:val="en-GB"/>
        </w:rPr>
        <w:t xml:space="preserve"> to regulate insolvency professionals globally</w:t>
      </w:r>
      <w:r w:rsidR="002F2E07" w:rsidRPr="009601FF">
        <w:rPr>
          <w:rFonts w:ascii="Arial" w:hAnsi="Arial" w:cs="Arial"/>
          <w:bCs/>
          <w:sz w:val="22"/>
          <w:szCs w:val="22"/>
          <w:lang w:val="en-GB"/>
        </w:rPr>
        <w:t>.</w:t>
      </w:r>
      <w:r w:rsidR="007E7F92" w:rsidRPr="009601FF">
        <w:rPr>
          <w:rFonts w:ascii="Arial" w:hAnsi="Arial" w:cs="Arial"/>
          <w:bCs/>
          <w:sz w:val="22"/>
          <w:szCs w:val="22"/>
          <w:lang w:val="en-GB"/>
        </w:rPr>
        <w:t xml:space="preserve"> </w:t>
      </w:r>
      <w:r w:rsidR="0062420B">
        <w:rPr>
          <w:rFonts w:ascii="Arial" w:hAnsi="Arial" w:cs="Arial"/>
          <w:bCs/>
          <w:sz w:val="22"/>
          <w:szCs w:val="22"/>
          <w:lang w:val="en-GB"/>
        </w:rPr>
        <w:t>T</w:t>
      </w:r>
      <w:r w:rsidR="000B1315" w:rsidRPr="0062420B">
        <w:rPr>
          <w:rFonts w:ascii="Arial" w:hAnsi="Arial" w:cs="Arial"/>
          <w:bCs/>
          <w:sz w:val="22"/>
          <w:szCs w:val="22"/>
          <w:lang w:val="en-GB"/>
        </w:rPr>
        <w:t xml:space="preserve">he objective of regulating </w:t>
      </w:r>
      <w:r w:rsidR="00751310" w:rsidRPr="0062420B">
        <w:rPr>
          <w:rFonts w:ascii="Arial" w:hAnsi="Arial" w:cs="Arial"/>
          <w:bCs/>
          <w:sz w:val="22"/>
          <w:szCs w:val="22"/>
          <w:lang w:val="en-GB"/>
        </w:rPr>
        <w:t>I</w:t>
      </w:r>
      <w:r w:rsidR="000B1315" w:rsidRPr="0062420B">
        <w:rPr>
          <w:rFonts w:ascii="Arial" w:hAnsi="Arial" w:cs="Arial"/>
          <w:bCs/>
          <w:sz w:val="22"/>
          <w:szCs w:val="22"/>
          <w:lang w:val="en-GB"/>
        </w:rPr>
        <w:t xml:space="preserve">nsolvency </w:t>
      </w:r>
      <w:r w:rsidR="00751310" w:rsidRPr="0062420B">
        <w:rPr>
          <w:rFonts w:ascii="Arial" w:hAnsi="Arial" w:cs="Arial"/>
          <w:bCs/>
          <w:sz w:val="22"/>
          <w:szCs w:val="22"/>
          <w:lang w:val="en-GB"/>
        </w:rPr>
        <w:t>P</w:t>
      </w:r>
      <w:r w:rsidR="000B1315" w:rsidRPr="0062420B">
        <w:rPr>
          <w:rFonts w:ascii="Arial" w:hAnsi="Arial" w:cs="Arial"/>
          <w:bCs/>
          <w:sz w:val="22"/>
          <w:szCs w:val="22"/>
          <w:lang w:val="en-GB"/>
        </w:rPr>
        <w:t>rofessionals globally would attempt to ensure that regardless of the jurisdiction where the Insolvency Professional is acting, the IP would be obligated to act in line with the Guidelines of INSOL</w:t>
      </w:r>
      <w:r w:rsidR="003B4923" w:rsidRPr="0062420B">
        <w:rPr>
          <w:rFonts w:ascii="Arial" w:hAnsi="Arial" w:cs="Arial"/>
          <w:bCs/>
          <w:sz w:val="22"/>
          <w:szCs w:val="22"/>
          <w:lang w:val="en-GB"/>
        </w:rPr>
        <w:t xml:space="preserve">. The IPs would therefore have an obligation to guide the Court and their respective clients </w:t>
      </w:r>
      <w:r w:rsidR="00751310" w:rsidRPr="0062420B">
        <w:rPr>
          <w:rFonts w:ascii="Arial" w:hAnsi="Arial" w:cs="Arial"/>
          <w:bCs/>
          <w:sz w:val="22"/>
          <w:szCs w:val="22"/>
          <w:lang w:val="en-GB"/>
        </w:rPr>
        <w:t>through</w:t>
      </w:r>
      <w:r w:rsidR="003B4923" w:rsidRPr="0062420B">
        <w:rPr>
          <w:rFonts w:ascii="Arial" w:hAnsi="Arial" w:cs="Arial"/>
          <w:bCs/>
          <w:sz w:val="22"/>
          <w:szCs w:val="22"/>
          <w:lang w:val="en-GB"/>
        </w:rPr>
        <w:t xml:space="preserve"> the </w:t>
      </w:r>
      <w:r w:rsidR="005F1480" w:rsidRPr="0062420B">
        <w:rPr>
          <w:rFonts w:ascii="Arial" w:hAnsi="Arial" w:cs="Arial"/>
          <w:bCs/>
          <w:sz w:val="22"/>
          <w:szCs w:val="22"/>
          <w:lang w:val="en-GB"/>
        </w:rPr>
        <w:t>established</w:t>
      </w:r>
      <w:r w:rsidR="00B9384E" w:rsidRPr="0062420B">
        <w:rPr>
          <w:rFonts w:ascii="Arial" w:hAnsi="Arial" w:cs="Arial"/>
          <w:bCs/>
          <w:sz w:val="22"/>
          <w:szCs w:val="22"/>
          <w:lang w:val="en-GB"/>
        </w:rPr>
        <w:t xml:space="preserve"> INSOL </w:t>
      </w:r>
      <w:r w:rsidR="00881178" w:rsidRPr="0062420B">
        <w:rPr>
          <w:rFonts w:ascii="Arial" w:hAnsi="Arial" w:cs="Arial"/>
          <w:bCs/>
          <w:sz w:val="22"/>
          <w:szCs w:val="22"/>
          <w:lang w:val="en-GB"/>
        </w:rPr>
        <w:t>Guidelines</w:t>
      </w:r>
      <w:r w:rsidR="00173753" w:rsidRPr="0062420B">
        <w:rPr>
          <w:rFonts w:ascii="Arial" w:hAnsi="Arial" w:cs="Arial"/>
          <w:bCs/>
          <w:sz w:val="22"/>
          <w:szCs w:val="22"/>
          <w:lang w:val="en-GB"/>
        </w:rPr>
        <w:t xml:space="preserve"> on Cross-Border Proceedings.</w:t>
      </w:r>
    </w:p>
    <w:p w14:paraId="6101B787" w14:textId="19EAA7A3" w:rsidR="000852BE" w:rsidRPr="009601FF" w:rsidRDefault="000852BE" w:rsidP="0019775E">
      <w:pPr>
        <w:spacing w:line="360" w:lineRule="auto"/>
        <w:jc w:val="both"/>
        <w:rPr>
          <w:rFonts w:ascii="Arial" w:hAnsi="Arial" w:cs="Arial"/>
          <w:sz w:val="22"/>
          <w:szCs w:val="22"/>
          <w:lang w:val="en-GB"/>
        </w:rPr>
      </w:pPr>
    </w:p>
    <w:p w14:paraId="11CE51FD" w14:textId="4FF46BDB" w:rsidR="001E62F2" w:rsidRPr="009601FF" w:rsidRDefault="001E62F2" w:rsidP="0019775E">
      <w:pPr>
        <w:pStyle w:val="ListParagraph"/>
        <w:spacing w:line="360" w:lineRule="auto"/>
        <w:ind w:left="450"/>
        <w:jc w:val="both"/>
        <w:rPr>
          <w:rFonts w:ascii="Arial" w:hAnsi="Arial" w:cs="Arial"/>
          <w:b/>
          <w:sz w:val="22"/>
          <w:szCs w:val="22"/>
          <w:u w:val="single"/>
          <w:lang w:val="en-GB"/>
        </w:rPr>
      </w:pPr>
      <w:r w:rsidRPr="009601FF">
        <w:rPr>
          <w:rFonts w:ascii="Arial" w:hAnsi="Arial" w:cs="Arial"/>
          <w:b/>
          <w:sz w:val="22"/>
          <w:szCs w:val="22"/>
          <w:u w:val="single"/>
          <w:lang w:val="en-GB"/>
        </w:rPr>
        <w:t>BIBLIOGRAPHY</w:t>
      </w:r>
      <w:r w:rsidR="003A643A">
        <w:rPr>
          <w:rFonts w:ascii="Arial" w:hAnsi="Arial" w:cs="Arial"/>
          <w:b/>
          <w:sz w:val="22"/>
          <w:szCs w:val="22"/>
          <w:u w:val="single"/>
          <w:lang w:val="en-GB"/>
        </w:rPr>
        <w:t>:</w:t>
      </w:r>
    </w:p>
    <w:p w14:paraId="2D888F9E" w14:textId="77777777" w:rsidR="000852BE" w:rsidRPr="009601FF" w:rsidRDefault="000852BE" w:rsidP="0019775E">
      <w:pPr>
        <w:spacing w:line="360" w:lineRule="auto"/>
        <w:jc w:val="both"/>
        <w:rPr>
          <w:rFonts w:ascii="Arial" w:hAnsi="Arial" w:cs="Arial"/>
          <w:b/>
          <w:sz w:val="22"/>
          <w:szCs w:val="22"/>
          <w:u w:val="single"/>
          <w:lang w:val="en-GB"/>
        </w:rPr>
      </w:pPr>
    </w:p>
    <w:p w14:paraId="403782E3" w14:textId="77777777" w:rsidR="00FC4388" w:rsidRDefault="000613A9" w:rsidP="0019775E">
      <w:pPr>
        <w:pStyle w:val="ListParagraph"/>
        <w:numPr>
          <w:ilvl w:val="0"/>
          <w:numId w:val="6"/>
        </w:numPr>
        <w:spacing w:line="360" w:lineRule="auto"/>
        <w:jc w:val="both"/>
        <w:rPr>
          <w:rFonts w:ascii="Arial" w:hAnsi="Arial" w:cs="Arial"/>
          <w:sz w:val="22"/>
          <w:szCs w:val="22"/>
          <w:lang w:val="en-GB"/>
        </w:rPr>
      </w:pPr>
      <w:r w:rsidRPr="00FC4388">
        <w:rPr>
          <w:rFonts w:ascii="Arial" w:hAnsi="Arial" w:cs="Arial"/>
          <w:sz w:val="22"/>
          <w:szCs w:val="22"/>
          <w:lang w:val="en-GB"/>
        </w:rPr>
        <w:t>Bruce Leonard, International Insolvency Institute: Co-ordinating Cross Border Insolvency Cases June 11-12, 2021</w:t>
      </w:r>
    </w:p>
    <w:p w14:paraId="48DBB192" w14:textId="77777777" w:rsidR="00FC4388" w:rsidRDefault="00BD0057" w:rsidP="0019775E">
      <w:pPr>
        <w:pStyle w:val="ListParagraph"/>
        <w:numPr>
          <w:ilvl w:val="0"/>
          <w:numId w:val="6"/>
        </w:numPr>
        <w:spacing w:line="360" w:lineRule="auto"/>
        <w:jc w:val="both"/>
        <w:rPr>
          <w:rFonts w:ascii="Arial" w:hAnsi="Arial" w:cs="Arial"/>
          <w:sz w:val="22"/>
          <w:szCs w:val="22"/>
          <w:lang w:val="en-GB"/>
        </w:rPr>
      </w:pPr>
      <w:r w:rsidRPr="00FC4388">
        <w:rPr>
          <w:rFonts w:ascii="Arial" w:hAnsi="Arial" w:cs="Arial"/>
          <w:sz w:val="22"/>
          <w:szCs w:val="22"/>
          <w:lang w:val="en-GB"/>
        </w:rPr>
        <w:t>Jay Lawrence Westbrook, Creating International Insolvency Law, 70 Am, Bankr. L.J. 563, 567 (1996) (recommending Maxwell Protocol as a potential “model protocol” for court cooperation in the NAFTA countries).</w:t>
      </w:r>
    </w:p>
    <w:p w14:paraId="2F61B0F3" w14:textId="77777777" w:rsidR="00FC4388" w:rsidRDefault="00BD0057" w:rsidP="0019775E">
      <w:pPr>
        <w:pStyle w:val="ListParagraph"/>
        <w:numPr>
          <w:ilvl w:val="0"/>
          <w:numId w:val="6"/>
        </w:numPr>
        <w:spacing w:line="360" w:lineRule="auto"/>
        <w:jc w:val="both"/>
        <w:rPr>
          <w:rFonts w:ascii="Arial" w:hAnsi="Arial" w:cs="Arial"/>
          <w:sz w:val="22"/>
          <w:szCs w:val="22"/>
          <w:lang w:val="en-GB"/>
        </w:rPr>
      </w:pPr>
      <w:r w:rsidRPr="00FC4388">
        <w:rPr>
          <w:rFonts w:ascii="Arial" w:hAnsi="Arial" w:cs="Arial"/>
          <w:sz w:val="22"/>
          <w:szCs w:val="22"/>
          <w:lang w:val="en-GB"/>
        </w:rPr>
        <w:t xml:space="preserve">Evan D. Fleschen, Anthony J. Smith and Leo Plank- Foreign Representatives in US Chapter 11 Cases: Filling the void in the Law of Multinational Insolvencies </w:t>
      </w:r>
    </w:p>
    <w:p w14:paraId="3EF13D4C" w14:textId="0161DB1A" w:rsidR="00A70EA7" w:rsidRDefault="00D41CF2" w:rsidP="0019775E">
      <w:pPr>
        <w:pStyle w:val="ListParagraph"/>
        <w:numPr>
          <w:ilvl w:val="0"/>
          <w:numId w:val="6"/>
        </w:numPr>
        <w:spacing w:line="360" w:lineRule="auto"/>
        <w:jc w:val="both"/>
        <w:rPr>
          <w:rFonts w:ascii="Arial" w:hAnsi="Arial" w:cs="Arial"/>
          <w:sz w:val="22"/>
          <w:szCs w:val="22"/>
          <w:lang w:val="en-GB"/>
        </w:rPr>
      </w:pPr>
      <w:r w:rsidRPr="00FC4388">
        <w:rPr>
          <w:rFonts w:ascii="Arial" w:hAnsi="Arial" w:cs="Arial"/>
          <w:sz w:val="22"/>
          <w:szCs w:val="22"/>
          <w:lang w:val="en-GB"/>
        </w:rPr>
        <w:t>Prof G Ray Warner, Enterprise Group Restructuring: Dutch Options and United States Enforcement published October 13, 2021</w:t>
      </w:r>
    </w:p>
    <w:p w14:paraId="221F2573" w14:textId="28C92840" w:rsidR="00BC42E5" w:rsidRPr="00FC4388" w:rsidRDefault="00BC42E5" w:rsidP="0019775E">
      <w:pPr>
        <w:pStyle w:val="ListParagraph"/>
        <w:numPr>
          <w:ilvl w:val="0"/>
          <w:numId w:val="6"/>
        </w:numPr>
        <w:spacing w:line="360" w:lineRule="auto"/>
        <w:jc w:val="both"/>
        <w:rPr>
          <w:rFonts w:ascii="Arial" w:hAnsi="Arial" w:cs="Arial"/>
          <w:sz w:val="22"/>
          <w:szCs w:val="22"/>
          <w:lang w:val="en-GB"/>
        </w:rPr>
      </w:pPr>
      <w:r>
        <w:rPr>
          <w:rFonts w:ascii="Arial" w:hAnsi="Arial" w:cs="Arial"/>
          <w:sz w:val="22"/>
          <w:szCs w:val="22"/>
          <w:lang w:val="en-GB"/>
        </w:rPr>
        <w:t>Jamie Altman, A Test Case in International Bankruptcy Protocols: The Lehman Brothers Insolvency</w:t>
      </w:r>
      <w:r w:rsidR="00D07096">
        <w:rPr>
          <w:rFonts w:ascii="Arial" w:hAnsi="Arial" w:cs="Arial"/>
          <w:sz w:val="22"/>
          <w:szCs w:val="22"/>
          <w:lang w:val="en-GB"/>
        </w:rPr>
        <w:t>, J.D Candidate 2011, University of San Diego School of Law.</w:t>
      </w:r>
    </w:p>
    <w:sectPr w:rsidR="00BC42E5" w:rsidRPr="00FC4388" w:rsidSect="00784B4B">
      <w:footerReference w:type="first" r:id="rId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8A53" w14:textId="77777777" w:rsidR="009D401E" w:rsidRDefault="009D401E">
      <w:r>
        <w:separator/>
      </w:r>
    </w:p>
  </w:endnote>
  <w:endnote w:type="continuationSeparator" w:id="0">
    <w:p w14:paraId="55559D99" w14:textId="77777777" w:rsidR="009D401E" w:rsidRDefault="009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22A1" w14:textId="77777777" w:rsidR="00784B4B" w:rsidRPr="00784B4B" w:rsidRDefault="00B005F4"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3298" w14:textId="77777777" w:rsidR="009D401E" w:rsidRDefault="009D401E">
      <w:r>
        <w:separator/>
      </w:r>
    </w:p>
  </w:footnote>
  <w:footnote w:type="continuationSeparator" w:id="0">
    <w:p w14:paraId="65A64C54" w14:textId="77777777" w:rsidR="009D401E" w:rsidRDefault="009D401E">
      <w:r>
        <w:continuationSeparator/>
      </w:r>
    </w:p>
  </w:footnote>
  <w:footnote w:id="1">
    <w:p w14:paraId="76621F22" w14:textId="6F66475F" w:rsidR="00711CCE" w:rsidRPr="00711CCE" w:rsidRDefault="00711CCE" w:rsidP="0056541E">
      <w:pPr>
        <w:pStyle w:val="FootnoteText"/>
        <w:jc w:val="both"/>
        <w:rPr>
          <w:lang w:val="en-GB"/>
        </w:rPr>
      </w:pPr>
      <w:r>
        <w:rPr>
          <w:rStyle w:val="FootnoteReference"/>
        </w:rPr>
        <w:footnoteRef/>
      </w:r>
      <w:r>
        <w:t xml:space="preserve"> </w:t>
      </w:r>
      <w:r w:rsidR="00DA0EB8">
        <w:rPr>
          <w:lang w:val="en-GB"/>
        </w:rPr>
        <w:t>See generally Peter JM Declercq, Guidance Text on UNCITRAL Model Law on Cross-Border Insolvency</w:t>
      </w:r>
      <w:r w:rsidR="00D55FD1">
        <w:rPr>
          <w:lang w:val="en-GB"/>
        </w:rPr>
        <w:t xml:space="preserve"> published September 2019</w:t>
      </w:r>
    </w:p>
  </w:footnote>
  <w:footnote w:id="2">
    <w:p w14:paraId="28534CC7" w14:textId="77777777" w:rsidR="002970D3" w:rsidRPr="00885055" w:rsidRDefault="002970D3" w:rsidP="002970D3">
      <w:pPr>
        <w:pStyle w:val="FootnoteText"/>
        <w:jc w:val="both"/>
        <w:rPr>
          <w:lang w:val="en-GB"/>
        </w:rPr>
      </w:pPr>
      <w:r>
        <w:rPr>
          <w:rStyle w:val="FootnoteReference"/>
        </w:rPr>
        <w:footnoteRef/>
      </w:r>
      <w:r>
        <w:t xml:space="preserve"> </w:t>
      </w:r>
      <w:r>
        <w:rPr>
          <w:lang w:val="en-GB"/>
        </w:rPr>
        <w:t>Prof G Ray Warner, Enterprise Group Restructuring: Dutch Options and United States Enforcement published October 13, 2021</w:t>
      </w:r>
    </w:p>
  </w:footnote>
  <w:footnote w:id="3">
    <w:p w14:paraId="1C26F04A" w14:textId="208A7666" w:rsidR="00E47F94" w:rsidRPr="00E47F94" w:rsidRDefault="00E47F94" w:rsidP="0056541E">
      <w:pPr>
        <w:pStyle w:val="FootnoteText"/>
        <w:jc w:val="both"/>
        <w:rPr>
          <w:lang w:val="en-GB"/>
        </w:rPr>
      </w:pPr>
      <w:r>
        <w:rPr>
          <w:rStyle w:val="FootnoteReference"/>
        </w:rPr>
        <w:footnoteRef/>
      </w:r>
      <w:r>
        <w:t xml:space="preserve"> </w:t>
      </w:r>
      <w:hyperlink r:id="rId1" w:history="1">
        <w:r>
          <w:rPr>
            <w:rStyle w:val="Hyperlink"/>
          </w:rPr>
          <w:t>Courts, Cooperation, and More: A Review of U.S. Cross-Border Insolvency Protocols — Part 1 | Insights | Jones Day</w:t>
        </w:r>
      </w:hyperlink>
      <w:r>
        <w:t xml:space="preserve"> accessed on January 6, 2022</w:t>
      </w:r>
    </w:p>
  </w:footnote>
  <w:footnote w:id="4">
    <w:p w14:paraId="36E01D66" w14:textId="40751A0F" w:rsidR="00622195" w:rsidRPr="00622195" w:rsidRDefault="00622195" w:rsidP="0056541E">
      <w:pPr>
        <w:pStyle w:val="FootnoteText"/>
        <w:jc w:val="both"/>
        <w:rPr>
          <w:lang w:val="en-GB"/>
        </w:rPr>
      </w:pPr>
      <w:r>
        <w:rPr>
          <w:rStyle w:val="FootnoteReference"/>
        </w:rPr>
        <w:footnoteRef/>
      </w:r>
      <w:r>
        <w:t xml:space="preserve"> </w:t>
      </w:r>
      <w:r>
        <w:rPr>
          <w:lang w:val="en-GB"/>
        </w:rPr>
        <w:t>Bruce Leonard, International Insolvency Institute: Co-ordinating Cross Border Insolvency Cases June 11-12, 2021</w:t>
      </w:r>
    </w:p>
  </w:footnote>
  <w:footnote w:id="5">
    <w:p w14:paraId="2B375854" w14:textId="1B7A738E" w:rsidR="006319D8" w:rsidRPr="006319D8" w:rsidRDefault="006319D8" w:rsidP="00A97D9B">
      <w:pPr>
        <w:pStyle w:val="FootnoteText"/>
        <w:jc w:val="both"/>
        <w:rPr>
          <w:lang w:val="en-GB"/>
        </w:rPr>
      </w:pPr>
      <w:r>
        <w:rPr>
          <w:rStyle w:val="FootnoteReference"/>
        </w:rPr>
        <w:footnoteRef/>
      </w:r>
      <w:r>
        <w:t xml:space="preserve"> </w:t>
      </w:r>
      <w:r>
        <w:rPr>
          <w:lang w:val="en-GB"/>
        </w:rPr>
        <w:t>In Re Maxwell Communication Corporation Plc, Case No. 91-B-15741 (TLB) (Bankr. S.D.N.Y 1991)</w:t>
      </w:r>
    </w:p>
  </w:footnote>
  <w:footnote w:id="6">
    <w:p w14:paraId="396E038B" w14:textId="268E0A8D" w:rsidR="001F3920" w:rsidRPr="001F3920" w:rsidRDefault="001F3920" w:rsidP="00BC4D40">
      <w:pPr>
        <w:pStyle w:val="FootnoteText"/>
        <w:jc w:val="both"/>
        <w:rPr>
          <w:lang w:val="en-GB"/>
        </w:rPr>
      </w:pPr>
      <w:r>
        <w:rPr>
          <w:rStyle w:val="FootnoteReference"/>
        </w:rPr>
        <w:footnoteRef/>
      </w:r>
      <w:r>
        <w:t xml:space="preserve"> </w:t>
      </w:r>
      <w:r>
        <w:rPr>
          <w:lang w:val="en-GB"/>
        </w:rPr>
        <w:t>Once a court has ordered the appointment of a Chapter 11 trustee or examiner, the United States trustee makes the actual appointment. See 11 USC s 1104 (d)</w:t>
      </w:r>
    </w:p>
  </w:footnote>
  <w:footnote w:id="7">
    <w:p w14:paraId="404D2BD8" w14:textId="1E0E111B" w:rsidR="0070794E" w:rsidRPr="0070794E" w:rsidRDefault="0070794E" w:rsidP="00BC4D40">
      <w:pPr>
        <w:pStyle w:val="FootnoteText"/>
        <w:jc w:val="both"/>
        <w:rPr>
          <w:lang w:val="en-GB"/>
        </w:rPr>
      </w:pPr>
      <w:r>
        <w:rPr>
          <w:rStyle w:val="FootnoteReference"/>
        </w:rPr>
        <w:footnoteRef/>
      </w:r>
      <w:r>
        <w:t xml:space="preserve"> </w:t>
      </w:r>
      <w:r>
        <w:rPr>
          <w:lang w:val="en-GB"/>
        </w:rPr>
        <w:t>See 11 USC s 1104, 1106 &amp; 1108</w:t>
      </w:r>
    </w:p>
  </w:footnote>
  <w:footnote w:id="8">
    <w:p w14:paraId="6AA3BC0E" w14:textId="548BC1C7" w:rsidR="000B5FAA" w:rsidRPr="000B5FAA" w:rsidRDefault="000B5FAA" w:rsidP="00BC4D40">
      <w:pPr>
        <w:pStyle w:val="FootnoteText"/>
        <w:jc w:val="both"/>
        <w:rPr>
          <w:lang w:val="en-GB"/>
        </w:rPr>
      </w:pPr>
      <w:r>
        <w:rPr>
          <w:rStyle w:val="FootnoteReference"/>
        </w:rPr>
        <w:footnoteRef/>
      </w:r>
      <w:r>
        <w:t xml:space="preserve"> </w:t>
      </w:r>
      <w:r>
        <w:rPr>
          <w:lang w:val="en-GB"/>
        </w:rPr>
        <w:t>See 11 USC s. 1106</w:t>
      </w:r>
    </w:p>
  </w:footnote>
  <w:footnote w:id="9">
    <w:p w14:paraId="0B74E7B6" w14:textId="529B8590" w:rsidR="001554A8" w:rsidRPr="001554A8" w:rsidRDefault="001554A8" w:rsidP="000223CE">
      <w:pPr>
        <w:pStyle w:val="FootnoteText"/>
        <w:jc w:val="both"/>
        <w:rPr>
          <w:lang w:val="en-GB"/>
        </w:rPr>
      </w:pPr>
      <w:r>
        <w:rPr>
          <w:rStyle w:val="FootnoteReference"/>
        </w:rPr>
        <w:footnoteRef/>
      </w:r>
      <w:r>
        <w:t xml:space="preserve"> </w:t>
      </w:r>
      <w:r>
        <w:rPr>
          <w:lang w:val="en-GB"/>
        </w:rPr>
        <w:t>See Jay Lawrence Westbrook, Creating International Insolvency Law, 70 Am, Bankr. L.J. 563, 567 (1996) (recommending Maxwell Protocol as a potential “model protocol” for court cooperation in the NAFTA countries).</w:t>
      </w:r>
    </w:p>
  </w:footnote>
  <w:footnote w:id="10">
    <w:p w14:paraId="1342971A" w14:textId="394EC5C4" w:rsidR="00271E0E" w:rsidRPr="00271E0E" w:rsidRDefault="00271E0E" w:rsidP="000223CE">
      <w:pPr>
        <w:pStyle w:val="FootnoteText"/>
        <w:jc w:val="both"/>
        <w:rPr>
          <w:lang w:val="en-GB"/>
        </w:rPr>
      </w:pPr>
      <w:r>
        <w:rPr>
          <w:rStyle w:val="FootnoteReference"/>
        </w:rPr>
        <w:footnoteRef/>
      </w:r>
      <w:r>
        <w:t xml:space="preserve"> </w:t>
      </w:r>
      <w:r>
        <w:rPr>
          <w:lang w:val="en-GB"/>
        </w:rPr>
        <w:t xml:space="preserve">The </w:t>
      </w:r>
      <w:r w:rsidR="005C0B9E">
        <w:rPr>
          <w:lang w:val="en-GB"/>
        </w:rPr>
        <w:t>entire</w:t>
      </w:r>
      <w:r>
        <w:rPr>
          <w:lang w:val="en-GB"/>
        </w:rPr>
        <w:t xml:space="preserve"> facts and summary of the issues</w:t>
      </w:r>
      <w:r w:rsidR="009158CB">
        <w:rPr>
          <w:lang w:val="en-GB"/>
        </w:rPr>
        <w:t xml:space="preserve"> in MCC case</w:t>
      </w:r>
      <w:r>
        <w:rPr>
          <w:lang w:val="en-GB"/>
        </w:rPr>
        <w:t xml:space="preserve"> were extracted from</w:t>
      </w:r>
      <w:r w:rsidR="001E60CC">
        <w:rPr>
          <w:lang w:val="en-GB"/>
        </w:rPr>
        <w:t xml:space="preserve"> “Foreign Representatives in US Chapter 11 Cases: Filling the void in the Law of Multinational Insolvencies by Evan D. Fleschen, Anthony J. Smith and Leo Plank</w:t>
      </w:r>
    </w:p>
  </w:footnote>
  <w:footnote w:id="11">
    <w:p w14:paraId="0D55B745" w14:textId="5FB71D76" w:rsidR="00870BAB" w:rsidRPr="00870BAB" w:rsidRDefault="00870BAB" w:rsidP="000223CE">
      <w:pPr>
        <w:pStyle w:val="FootnoteText"/>
        <w:jc w:val="both"/>
        <w:rPr>
          <w:lang w:val="en-GB"/>
        </w:rPr>
      </w:pPr>
      <w:r>
        <w:rPr>
          <w:rStyle w:val="FootnoteReference"/>
        </w:rPr>
        <w:footnoteRef/>
      </w:r>
      <w:r>
        <w:t xml:space="preserve"> </w:t>
      </w:r>
      <w:r>
        <w:rPr>
          <w:lang w:val="en-GB"/>
        </w:rPr>
        <w:t>In Re Nakash Case No 94-B-44840 (BRL) (Bankr. SDNY 1984)</w:t>
      </w:r>
    </w:p>
  </w:footnote>
  <w:footnote w:id="12">
    <w:p w14:paraId="3D978E0B" w14:textId="42313198" w:rsidR="000823AC" w:rsidRPr="000823AC" w:rsidRDefault="000823AC" w:rsidP="003927F3">
      <w:pPr>
        <w:pStyle w:val="FootnoteText"/>
        <w:jc w:val="both"/>
        <w:rPr>
          <w:lang w:val="en-GB"/>
        </w:rPr>
      </w:pPr>
      <w:r>
        <w:rPr>
          <w:rStyle w:val="FootnoteReference"/>
        </w:rPr>
        <w:footnoteRef/>
      </w:r>
      <w:r>
        <w:t xml:space="preserve"> </w:t>
      </w:r>
      <w:r>
        <w:rPr>
          <w:lang w:val="en-GB"/>
        </w:rPr>
        <w:t>11 USC s. 362</w:t>
      </w:r>
    </w:p>
  </w:footnote>
  <w:footnote w:id="13">
    <w:p w14:paraId="08C65C81" w14:textId="6CD72496" w:rsidR="00B35A54" w:rsidRPr="00B35A54" w:rsidRDefault="00B35A54" w:rsidP="003927F3">
      <w:pPr>
        <w:pStyle w:val="FootnoteText"/>
        <w:jc w:val="both"/>
        <w:rPr>
          <w:lang w:val="en-GB"/>
        </w:rPr>
      </w:pPr>
      <w:r>
        <w:rPr>
          <w:rStyle w:val="FootnoteReference"/>
        </w:rPr>
        <w:footnoteRef/>
      </w:r>
      <w:r>
        <w:t xml:space="preserve"> </w:t>
      </w:r>
      <w:r>
        <w:rPr>
          <w:lang w:val="en-GB"/>
        </w:rPr>
        <w:t>Nakash v Zur (In re Nakash), 190 B.R 763 (Bankr. S.D.N.Y 1996)</w:t>
      </w:r>
    </w:p>
  </w:footnote>
  <w:footnote w:id="14">
    <w:p w14:paraId="22874DAC" w14:textId="4261C5B6" w:rsidR="00553C52" w:rsidRPr="00553C52" w:rsidRDefault="00553C52" w:rsidP="00B810C2">
      <w:pPr>
        <w:pStyle w:val="FootnoteText"/>
        <w:jc w:val="both"/>
        <w:rPr>
          <w:lang w:val="en-GB"/>
        </w:rPr>
      </w:pPr>
      <w:r>
        <w:rPr>
          <w:rStyle w:val="FootnoteReference"/>
        </w:rPr>
        <w:footnoteRef/>
      </w:r>
      <w:r>
        <w:t xml:space="preserve"> </w:t>
      </w:r>
      <w:r>
        <w:rPr>
          <w:lang w:val="en-GB"/>
        </w:rPr>
        <w:t>The entire facts and summary of the issues in In Re Nakash case were also extracted from “Foreign Representatives in US Chapter 11 Cases: Filling the void in the Law of Multinational Insolvencies by Evan D. Fleschen, Anthony J. Smith and Leo Plank</w:t>
      </w:r>
    </w:p>
  </w:footnote>
  <w:footnote w:id="15">
    <w:p w14:paraId="675B0561" w14:textId="5B0EA016" w:rsidR="001F15F7" w:rsidRPr="001F15F7" w:rsidRDefault="001F15F7" w:rsidP="00B810C2">
      <w:pPr>
        <w:pStyle w:val="FootnoteText"/>
        <w:jc w:val="both"/>
        <w:rPr>
          <w:lang w:val="en-GB"/>
        </w:rPr>
      </w:pPr>
      <w:r>
        <w:rPr>
          <w:rStyle w:val="FootnoteReference"/>
        </w:rPr>
        <w:footnoteRef/>
      </w:r>
      <w:r>
        <w:t xml:space="preserve"> </w:t>
      </w:r>
      <w:r>
        <w:rPr>
          <w:lang w:val="en-GB"/>
        </w:rPr>
        <w:t>Chap 11 Case No-08-13555 (JMP) Jointly Administered</w:t>
      </w:r>
    </w:p>
  </w:footnote>
  <w:footnote w:id="16">
    <w:p w14:paraId="19970F76" w14:textId="6D1D0B3E" w:rsidR="002A75B1" w:rsidRPr="002A75B1" w:rsidRDefault="002A75B1" w:rsidP="00B810C2">
      <w:pPr>
        <w:pStyle w:val="FootnoteText"/>
        <w:jc w:val="both"/>
        <w:rPr>
          <w:lang w:val="en-GB"/>
        </w:rPr>
      </w:pPr>
      <w:r>
        <w:rPr>
          <w:rStyle w:val="FootnoteReference"/>
        </w:rPr>
        <w:footnoteRef/>
      </w:r>
      <w:r>
        <w:t xml:space="preserve"> </w:t>
      </w:r>
      <w:r>
        <w:rPr>
          <w:lang w:val="en-GB"/>
        </w:rPr>
        <w:t>The entire facts and summary of the issues in The Lehman brothers case were extracted</w:t>
      </w:r>
      <w:r w:rsidR="00173CC0">
        <w:rPr>
          <w:lang w:val="en-GB"/>
        </w:rPr>
        <w:t xml:space="preserve"> from “A Test Case in international Bankruptcy Protocols: The Lehman Brothers Insolvency</w:t>
      </w:r>
      <w:r w:rsidR="00722FC0">
        <w:rPr>
          <w:lang w:val="en-GB"/>
        </w:rPr>
        <w:t xml:space="preserve"> by </w:t>
      </w:r>
      <w:r w:rsidR="00AF6091">
        <w:rPr>
          <w:lang w:val="en-GB"/>
        </w:rPr>
        <w:t>Jamie Altman</w:t>
      </w:r>
      <w:r w:rsidR="00282DF7">
        <w:rPr>
          <w:lang w:val="en-GB"/>
        </w:rPr>
        <w:t>, J.D Candidate 2011, University of San Diego, School of Law.</w:t>
      </w:r>
    </w:p>
  </w:footnote>
  <w:footnote w:id="17">
    <w:p w14:paraId="73B3A1B8" w14:textId="10E34084" w:rsidR="00EF684E" w:rsidRPr="00EF684E" w:rsidRDefault="00EF684E" w:rsidP="005873BA">
      <w:pPr>
        <w:pStyle w:val="FootnoteText"/>
        <w:jc w:val="both"/>
        <w:rPr>
          <w:lang w:val="en-GB"/>
        </w:rPr>
      </w:pPr>
      <w:r>
        <w:rPr>
          <w:rStyle w:val="FootnoteReference"/>
        </w:rPr>
        <w:footnoteRef/>
      </w:r>
      <w:r>
        <w:t xml:space="preserve"> </w:t>
      </w:r>
      <w:r>
        <w:rPr>
          <w:lang w:val="en-GB"/>
        </w:rPr>
        <w:t>Suit No: FHC/L/CS/1955/2021 currently pending at the Federal High Court, Ikoyi Lagos Nigeria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698"/>
    <w:multiLevelType w:val="multilevel"/>
    <w:tmpl w:val="63482E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FD0307"/>
    <w:multiLevelType w:val="hybridMultilevel"/>
    <w:tmpl w:val="902ED74A"/>
    <w:lvl w:ilvl="0" w:tplc="3CBC4D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F5D2D7A"/>
    <w:multiLevelType w:val="hybridMultilevel"/>
    <w:tmpl w:val="895E4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F7FB6"/>
    <w:multiLevelType w:val="multilevel"/>
    <w:tmpl w:val="D2AA39C2"/>
    <w:lvl w:ilvl="0">
      <w:start w:val="1"/>
      <w:numFmt w:val="decimal"/>
      <w:lvlText w:val="%1.0"/>
      <w:lvlJc w:val="left"/>
      <w:pPr>
        <w:ind w:left="45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4" w15:restartNumberingAfterBreak="0">
    <w:nsid w:val="33E7724F"/>
    <w:multiLevelType w:val="multilevel"/>
    <w:tmpl w:val="9AF097BE"/>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5" w15:restartNumberingAfterBreak="0">
    <w:nsid w:val="7BF403A4"/>
    <w:multiLevelType w:val="hybridMultilevel"/>
    <w:tmpl w:val="B8A4E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AA"/>
    <w:rsid w:val="000006BB"/>
    <w:rsid w:val="000045A2"/>
    <w:rsid w:val="00012767"/>
    <w:rsid w:val="0001288A"/>
    <w:rsid w:val="00013692"/>
    <w:rsid w:val="000223CE"/>
    <w:rsid w:val="00033BBD"/>
    <w:rsid w:val="00053180"/>
    <w:rsid w:val="00053425"/>
    <w:rsid w:val="00054E42"/>
    <w:rsid w:val="000552F4"/>
    <w:rsid w:val="0005753F"/>
    <w:rsid w:val="00057B99"/>
    <w:rsid w:val="000613A9"/>
    <w:rsid w:val="00063FFD"/>
    <w:rsid w:val="0006631A"/>
    <w:rsid w:val="0007078B"/>
    <w:rsid w:val="00070E6B"/>
    <w:rsid w:val="00071C39"/>
    <w:rsid w:val="00074D5A"/>
    <w:rsid w:val="00076AD3"/>
    <w:rsid w:val="000823AC"/>
    <w:rsid w:val="000852BE"/>
    <w:rsid w:val="00085DAD"/>
    <w:rsid w:val="000911B2"/>
    <w:rsid w:val="000A0339"/>
    <w:rsid w:val="000B1315"/>
    <w:rsid w:val="000B4144"/>
    <w:rsid w:val="000B5FAA"/>
    <w:rsid w:val="000C106B"/>
    <w:rsid w:val="000C74FA"/>
    <w:rsid w:val="000C780F"/>
    <w:rsid w:val="000E5C80"/>
    <w:rsid w:val="000F5F36"/>
    <w:rsid w:val="00104AC3"/>
    <w:rsid w:val="0011418E"/>
    <w:rsid w:val="00116483"/>
    <w:rsid w:val="0011711E"/>
    <w:rsid w:val="00117F65"/>
    <w:rsid w:val="00120346"/>
    <w:rsid w:val="001209A1"/>
    <w:rsid w:val="001252F9"/>
    <w:rsid w:val="001554A8"/>
    <w:rsid w:val="00161A33"/>
    <w:rsid w:val="00170F6A"/>
    <w:rsid w:val="00173753"/>
    <w:rsid w:val="00173CC0"/>
    <w:rsid w:val="001807C4"/>
    <w:rsid w:val="0018329E"/>
    <w:rsid w:val="0018500F"/>
    <w:rsid w:val="00197680"/>
    <w:rsid w:val="0019775E"/>
    <w:rsid w:val="00197943"/>
    <w:rsid w:val="001A5777"/>
    <w:rsid w:val="001C0AA4"/>
    <w:rsid w:val="001C1CC3"/>
    <w:rsid w:val="001D2EF4"/>
    <w:rsid w:val="001D4408"/>
    <w:rsid w:val="001E60CC"/>
    <w:rsid w:val="001E62F2"/>
    <w:rsid w:val="001F15F7"/>
    <w:rsid w:val="001F3920"/>
    <w:rsid w:val="0020334D"/>
    <w:rsid w:val="002070E8"/>
    <w:rsid w:val="00211228"/>
    <w:rsid w:val="002164FA"/>
    <w:rsid w:val="0022030D"/>
    <w:rsid w:val="00220E49"/>
    <w:rsid w:val="00222892"/>
    <w:rsid w:val="00223424"/>
    <w:rsid w:val="00240B3D"/>
    <w:rsid w:val="0024508C"/>
    <w:rsid w:val="0025388A"/>
    <w:rsid w:val="00256BD1"/>
    <w:rsid w:val="00264A6A"/>
    <w:rsid w:val="002665FB"/>
    <w:rsid w:val="00266690"/>
    <w:rsid w:val="00266BFA"/>
    <w:rsid w:val="00267F46"/>
    <w:rsid w:val="00271E0E"/>
    <w:rsid w:val="00281648"/>
    <w:rsid w:val="00282DF7"/>
    <w:rsid w:val="00284C86"/>
    <w:rsid w:val="00292316"/>
    <w:rsid w:val="002938D8"/>
    <w:rsid w:val="00294BE2"/>
    <w:rsid w:val="002970D3"/>
    <w:rsid w:val="002A3E85"/>
    <w:rsid w:val="002A3FA2"/>
    <w:rsid w:val="002A75B1"/>
    <w:rsid w:val="002B3810"/>
    <w:rsid w:val="002B3A35"/>
    <w:rsid w:val="002B74B6"/>
    <w:rsid w:val="002B79FC"/>
    <w:rsid w:val="002C2128"/>
    <w:rsid w:val="002C57AC"/>
    <w:rsid w:val="002D054D"/>
    <w:rsid w:val="002E06E0"/>
    <w:rsid w:val="002F2D8A"/>
    <w:rsid w:val="002F2E07"/>
    <w:rsid w:val="002F79D0"/>
    <w:rsid w:val="002F7E81"/>
    <w:rsid w:val="003038BA"/>
    <w:rsid w:val="00311543"/>
    <w:rsid w:val="00313BAE"/>
    <w:rsid w:val="00315A47"/>
    <w:rsid w:val="003175EC"/>
    <w:rsid w:val="00327F87"/>
    <w:rsid w:val="0033123B"/>
    <w:rsid w:val="00332D3A"/>
    <w:rsid w:val="003346D0"/>
    <w:rsid w:val="00336E39"/>
    <w:rsid w:val="00344F22"/>
    <w:rsid w:val="003549A1"/>
    <w:rsid w:val="00365115"/>
    <w:rsid w:val="00380ABA"/>
    <w:rsid w:val="00385F38"/>
    <w:rsid w:val="003927F3"/>
    <w:rsid w:val="003A04E9"/>
    <w:rsid w:val="003A2097"/>
    <w:rsid w:val="003A229E"/>
    <w:rsid w:val="003A643A"/>
    <w:rsid w:val="003A6D68"/>
    <w:rsid w:val="003B023E"/>
    <w:rsid w:val="003B02D3"/>
    <w:rsid w:val="003B0BB2"/>
    <w:rsid w:val="003B4923"/>
    <w:rsid w:val="003C0638"/>
    <w:rsid w:val="003C1931"/>
    <w:rsid w:val="003C40D2"/>
    <w:rsid w:val="003C47C8"/>
    <w:rsid w:val="003C6FD6"/>
    <w:rsid w:val="003E1D73"/>
    <w:rsid w:val="003F03FF"/>
    <w:rsid w:val="00406485"/>
    <w:rsid w:val="004109C4"/>
    <w:rsid w:val="00425EBC"/>
    <w:rsid w:val="00433293"/>
    <w:rsid w:val="004375B8"/>
    <w:rsid w:val="0046176B"/>
    <w:rsid w:val="00464DC1"/>
    <w:rsid w:val="0046504F"/>
    <w:rsid w:val="00465AA3"/>
    <w:rsid w:val="004A3CCF"/>
    <w:rsid w:val="004A550D"/>
    <w:rsid w:val="004B1172"/>
    <w:rsid w:val="004B1650"/>
    <w:rsid w:val="004B1D08"/>
    <w:rsid w:val="004B37A3"/>
    <w:rsid w:val="004C3F14"/>
    <w:rsid w:val="004C4082"/>
    <w:rsid w:val="004C543F"/>
    <w:rsid w:val="004C7EDA"/>
    <w:rsid w:val="004E30A0"/>
    <w:rsid w:val="004E6150"/>
    <w:rsid w:val="004F1613"/>
    <w:rsid w:val="004F2FC4"/>
    <w:rsid w:val="004F5F5B"/>
    <w:rsid w:val="00504DBE"/>
    <w:rsid w:val="00541F5F"/>
    <w:rsid w:val="005513D5"/>
    <w:rsid w:val="00553C52"/>
    <w:rsid w:val="0056541E"/>
    <w:rsid w:val="00573482"/>
    <w:rsid w:val="00573E39"/>
    <w:rsid w:val="0058286F"/>
    <w:rsid w:val="005873BA"/>
    <w:rsid w:val="005944AA"/>
    <w:rsid w:val="005951E6"/>
    <w:rsid w:val="005A3E1D"/>
    <w:rsid w:val="005C0B9E"/>
    <w:rsid w:val="005D0B0B"/>
    <w:rsid w:val="005D3A73"/>
    <w:rsid w:val="005D5549"/>
    <w:rsid w:val="005D7D71"/>
    <w:rsid w:val="005F1480"/>
    <w:rsid w:val="006053BF"/>
    <w:rsid w:val="00605C09"/>
    <w:rsid w:val="00621948"/>
    <w:rsid w:val="00621EFB"/>
    <w:rsid w:val="00622195"/>
    <w:rsid w:val="00624051"/>
    <w:rsid w:val="0062420B"/>
    <w:rsid w:val="00624F51"/>
    <w:rsid w:val="00625F6F"/>
    <w:rsid w:val="0062628A"/>
    <w:rsid w:val="006304F5"/>
    <w:rsid w:val="006319D8"/>
    <w:rsid w:val="00634678"/>
    <w:rsid w:val="00634A57"/>
    <w:rsid w:val="0063711A"/>
    <w:rsid w:val="00637BD1"/>
    <w:rsid w:val="00637FE7"/>
    <w:rsid w:val="00640C16"/>
    <w:rsid w:val="00646A58"/>
    <w:rsid w:val="00646C1C"/>
    <w:rsid w:val="006509D9"/>
    <w:rsid w:val="00655E06"/>
    <w:rsid w:val="006720D0"/>
    <w:rsid w:val="006753F1"/>
    <w:rsid w:val="006A1494"/>
    <w:rsid w:val="006A2520"/>
    <w:rsid w:val="006A5FB3"/>
    <w:rsid w:val="006B3358"/>
    <w:rsid w:val="006B51D9"/>
    <w:rsid w:val="006C0D61"/>
    <w:rsid w:val="006C1D2D"/>
    <w:rsid w:val="006D0FB5"/>
    <w:rsid w:val="006D17F4"/>
    <w:rsid w:val="006D2524"/>
    <w:rsid w:val="006D2CFC"/>
    <w:rsid w:val="006D35E5"/>
    <w:rsid w:val="006D3C6E"/>
    <w:rsid w:val="006D40B2"/>
    <w:rsid w:val="006D7583"/>
    <w:rsid w:val="006E0D71"/>
    <w:rsid w:val="006E5D64"/>
    <w:rsid w:val="006F02FB"/>
    <w:rsid w:val="006F10F4"/>
    <w:rsid w:val="006F32A8"/>
    <w:rsid w:val="006F738F"/>
    <w:rsid w:val="00705222"/>
    <w:rsid w:val="0070794E"/>
    <w:rsid w:val="00711CCE"/>
    <w:rsid w:val="00713815"/>
    <w:rsid w:val="0071422A"/>
    <w:rsid w:val="007215EA"/>
    <w:rsid w:val="00722FC0"/>
    <w:rsid w:val="007256E9"/>
    <w:rsid w:val="0073141B"/>
    <w:rsid w:val="00731752"/>
    <w:rsid w:val="007322ED"/>
    <w:rsid w:val="00751310"/>
    <w:rsid w:val="00753725"/>
    <w:rsid w:val="0076749C"/>
    <w:rsid w:val="00771E5D"/>
    <w:rsid w:val="007753C3"/>
    <w:rsid w:val="007777C9"/>
    <w:rsid w:val="00790BA4"/>
    <w:rsid w:val="0079115D"/>
    <w:rsid w:val="007A08E8"/>
    <w:rsid w:val="007A3424"/>
    <w:rsid w:val="007A3EC1"/>
    <w:rsid w:val="007B7073"/>
    <w:rsid w:val="007B70CB"/>
    <w:rsid w:val="007B736D"/>
    <w:rsid w:val="007C1514"/>
    <w:rsid w:val="007D07FC"/>
    <w:rsid w:val="007D24F2"/>
    <w:rsid w:val="007D5F1E"/>
    <w:rsid w:val="007D78AF"/>
    <w:rsid w:val="007D78E7"/>
    <w:rsid w:val="007E283A"/>
    <w:rsid w:val="007E7F92"/>
    <w:rsid w:val="007F1BE9"/>
    <w:rsid w:val="007F1EF1"/>
    <w:rsid w:val="007F7416"/>
    <w:rsid w:val="00800891"/>
    <w:rsid w:val="008045A6"/>
    <w:rsid w:val="00804A72"/>
    <w:rsid w:val="008120B7"/>
    <w:rsid w:val="00815761"/>
    <w:rsid w:val="008159AA"/>
    <w:rsid w:val="00820357"/>
    <w:rsid w:val="00824C27"/>
    <w:rsid w:val="00826E6E"/>
    <w:rsid w:val="00834046"/>
    <w:rsid w:val="00834E3F"/>
    <w:rsid w:val="00835734"/>
    <w:rsid w:val="00841165"/>
    <w:rsid w:val="00842DE9"/>
    <w:rsid w:val="00845F67"/>
    <w:rsid w:val="00856684"/>
    <w:rsid w:val="00860FCE"/>
    <w:rsid w:val="008637F7"/>
    <w:rsid w:val="008655C0"/>
    <w:rsid w:val="00865812"/>
    <w:rsid w:val="00865980"/>
    <w:rsid w:val="00870BAB"/>
    <w:rsid w:val="0087101C"/>
    <w:rsid w:val="00873CA0"/>
    <w:rsid w:val="00876E8C"/>
    <w:rsid w:val="0088005E"/>
    <w:rsid w:val="00881178"/>
    <w:rsid w:val="008813B4"/>
    <w:rsid w:val="00882E78"/>
    <w:rsid w:val="008842A8"/>
    <w:rsid w:val="008847AD"/>
    <w:rsid w:val="00885055"/>
    <w:rsid w:val="008A4807"/>
    <w:rsid w:val="008B7621"/>
    <w:rsid w:val="008C0D9E"/>
    <w:rsid w:val="008D0D20"/>
    <w:rsid w:val="008D4CBE"/>
    <w:rsid w:val="008D7E16"/>
    <w:rsid w:val="008E0BDE"/>
    <w:rsid w:val="009007A5"/>
    <w:rsid w:val="00900F88"/>
    <w:rsid w:val="00902ABA"/>
    <w:rsid w:val="00904602"/>
    <w:rsid w:val="00905FDF"/>
    <w:rsid w:val="00907E4F"/>
    <w:rsid w:val="00914A63"/>
    <w:rsid w:val="009158CB"/>
    <w:rsid w:val="00917EB7"/>
    <w:rsid w:val="00926EA5"/>
    <w:rsid w:val="00936464"/>
    <w:rsid w:val="00937749"/>
    <w:rsid w:val="00943DDB"/>
    <w:rsid w:val="009467EE"/>
    <w:rsid w:val="0095008E"/>
    <w:rsid w:val="00950F28"/>
    <w:rsid w:val="00956602"/>
    <w:rsid w:val="009601FF"/>
    <w:rsid w:val="009603DF"/>
    <w:rsid w:val="009635CB"/>
    <w:rsid w:val="009639E9"/>
    <w:rsid w:val="00963F05"/>
    <w:rsid w:val="00964440"/>
    <w:rsid w:val="0097506F"/>
    <w:rsid w:val="00980A1E"/>
    <w:rsid w:val="00981266"/>
    <w:rsid w:val="0098243B"/>
    <w:rsid w:val="00983EBC"/>
    <w:rsid w:val="0098542B"/>
    <w:rsid w:val="0098613D"/>
    <w:rsid w:val="00986757"/>
    <w:rsid w:val="009877AD"/>
    <w:rsid w:val="0099257C"/>
    <w:rsid w:val="009A49F0"/>
    <w:rsid w:val="009B6238"/>
    <w:rsid w:val="009C1579"/>
    <w:rsid w:val="009C6A51"/>
    <w:rsid w:val="009C722F"/>
    <w:rsid w:val="009D1F8B"/>
    <w:rsid w:val="009D401E"/>
    <w:rsid w:val="009D7384"/>
    <w:rsid w:val="009E206F"/>
    <w:rsid w:val="009E4BAF"/>
    <w:rsid w:val="009F39C6"/>
    <w:rsid w:val="009F53F2"/>
    <w:rsid w:val="00A10BF7"/>
    <w:rsid w:val="00A144EF"/>
    <w:rsid w:val="00A26D68"/>
    <w:rsid w:val="00A46646"/>
    <w:rsid w:val="00A556CD"/>
    <w:rsid w:val="00A6678D"/>
    <w:rsid w:val="00A703EE"/>
    <w:rsid w:val="00A71371"/>
    <w:rsid w:val="00A85B62"/>
    <w:rsid w:val="00A91AC2"/>
    <w:rsid w:val="00A95669"/>
    <w:rsid w:val="00A97D9B"/>
    <w:rsid w:val="00AA1645"/>
    <w:rsid w:val="00AA4F80"/>
    <w:rsid w:val="00AA6732"/>
    <w:rsid w:val="00AC567B"/>
    <w:rsid w:val="00AC60A5"/>
    <w:rsid w:val="00AE0F72"/>
    <w:rsid w:val="00AE6590"/>
    <w:rsid w:val="00AF1C8B"/>
    <w:rsid w:val="00AF6091"/>
    <w:rsid w:val="00B005F4"/>
    <w:rsid w:val="00B037C4"/>
    <w:rsid w:val="00B0786F"/>
    <w:rsid w:val="00B0789F"/>
    <w:rsid w:val="00B31511"/>
    <w:rsid w:val="00B35A54"/>
    <w:rsid w:val="00B40EBB"/>
    <w:rsid w:val="00B45C88"/>
    <w:rsid w:val="00B46E24"/>
    <w:rsid w:val="00B53A5D"/>
    <w:rsid w:val="00B57BCB"/>
    <w:rsid w:val="00B71645"/>
    <w:rsid w:val="00B75D96"/>
    <w:rsid w:val="00B810C2"/>
    <w:rsid w:val="00B9384E"/>
    <w:rsid w:val="00B93EEE"/>
    <w:rsid w:val="00B95D01"/>
    <w:rsid w:val="00B978BA"/>
    <w:rsid w:val="00BA0329"/>
    <w:rsid w:val="00BB2547"/>
    <w:rsid w:val="00BB4E40"/>
    <w:rsid w:val="00BB7565"/>
    <w:rsid w:val="00BC42E5"/>
    <w:rsid w:val="00BC4D40"/>
    <w:rsid w:val="00BC7407"/>
    <w:rsid w:val="00BC7C1C"/>
    <w:rsid w:val="00BD0057"/>
    <w:rsid w:val="00BD19F0"/>
    <w:rsid w:val="00BE0A71"/>
    <w:rsid w:val="00BF1F4E"/>
    <w:rsid w:val="00C13D1D"/>
    <w:rsid w:val="00C22269"/>
    <w:rsid w:val="00C355FF"/>
    <w:rsid w:val="00C358A1"/>
    <w:rsid w:val="00C36ED9"/>
    <w:rsid w:val="00C37026"/>
    <w:rsid w:val="00C440F4"/>
    <w:rsid w:val="00C452F7"/>
    <w:rsid w:val="00C45C74"/>
    <w:rsid w:val="00C53009"/>
    <w:rsid w:val="00C613B4"/>
    <w:rsid w:val="00C61D68"/>
    <w:rsid w:val="00C626F7"/>
    <w:rsid w:val="00C647E1"/>
    <w:rsid w:val="00C65A59"/>
    <w:rsid w:val="00C66AEF"/>
    <w:rsid w:val="00C67DC0"/>
    <w:rsid w:val="00C743DD"/>
    <w:rsid w:val="00C8736B"/>
    <w:rsid w:val="00C95EAE"/>
    <w:rsid w:val="00CA72DA"/>
    <w:rsid w:val="00CB2997"/>
    <w:rsid w:val="00CB29AE"/>
    <w:rsid w:val="00CB2CE3"/>
    <w:rsid w:val="00CC277A"/>
    <w:rsid w:val="00CD07AD"/>
    <w:rsid w:val="00CD3DA8"/>
    <w:rsid w:val="00CF440D"/>
    <w:rsid w:val="00CF57C1"/>
    <w:rsid w:val="00D07096"/>
    <w:rsid w:val="00D11E0C"/>
    <w:rsid w:val="00D15584"/>
    <w:rsid w:val="00D16327"/>
    <w:rsid w:val="00D170B1"/>
    <w:rsid w:val="00D237A4"/>
    <w:rsid w:val="00D37C1A"/>
    <w:rsid w:val="00D41CF2"/>
    <w:rsid w:val="00D4252C"/>
    <w:rsid w:val="00D54A85"/>
    <w:rsid w:val="00D55AD6"/>
    <w:rsid w:val="00D55FD1"/>
    <w:rsid w:val="00D5630B"/>
    <w:rsid w:val="00D6028F"/>
    <w:rsid w:val="00D605A4"/>
    <w:rsid w:val="00D60984"/>
    <w:rsid w:val="00D60DB1"/>
    <w:rsid w:val="00D810D1"/>
    <w:rsid w:val="00D976C0"/>
    <w:rsid w:val="00DA0EB8"/>
    <w:rsid w:val="00DB47F4"/>
    <w:rsid w:val="00DB4CF5"/>
    <w:rsid w:val="00DB5553"/>
    <w:rsid w:val="00DB5A0B"/>
    <w:rsid w:val="00DB6817"/>
    <w:rsid w:val="00DB766A"/>
    <w:rsid w:val="00DC1AD0"/>
    <w:rsid w:val="00DC68C5"/>
    <w:rsid w:val="00DD2FAF"/>
    <w:rsid w:val="00DD4B9D"/>
    <w:rsid w:val="00DD594D"/>
    <w:rsid w:val="00DD5E6B"/>
    <w:rsid w:val="00DE5313"/>
    <w:rsid w:val="00DF26C4"/>
    <w:rsid w:val="00DF4DA7"/>
    <w:rsid w:val="00DF4F58"/>
    <w:rsid w:val="00E06763"/>
    <w:rsid w:val="00E14A12"/>
    <w:rsid w:val="00E218AC"/>
    <w:rsid w:val="00E22DB1"/>
    <w:rsid w:val="00E27D7B"/>
    <w:rsid w:val="00E33B68"/>
    <w:rsid w:val="00E363B6"/>
    <w:rsid w:val="00E3739F"/>
    <w:rsid w:val="00E42F64"/>
    <w:rsid w:val="00E4584F"/>
    <w:rsid w:val="00E47F94"/>
    <w:rsid w:val="00E61D76"/>
    <w:rsid w:val="00E65521"/>
    <w:rsid w:val="00E65544"/>
    <w:rsid w:val="00E65E4B"/>
    <w:rsid w:val="00E67210"/>
    <w:rsid w:val="00E71474"/>
    <w:rsid w:val="00E84095"/>
    <w:rsid w:val="00E84FDB"/>
    <w:rsid w:val="00EA03BE"/>
    <w:rsid w:val="00EA5A45"/>
    <w:rsid w:val="00EB237E"/>
    <w:rsid w:val="00ED79C6"/>
    <w:rsid w:val="00ED7D4E"/>
    <w:rsid w:val="00EF3D0B"/>
    <w:rsid w:val="00EF684E"/>
    <w:rsid w:val="00F008DA"/>
    <w:rsid w:val="00F0231C"/>
    <w:rsid w:val="00F04BB7"/>
    <w:rsid w:val="00F06C88"/>
    <w:rsid w:val="00F12D03"/>
    <w:rsid w:val="00F2755F"/>
    <w:rsid w:val="00F30A83"/>
    <w:rsid w:val="00F40BBE"/>
    <w:rsid w:val="00F44912"/>
    <w:rsid w:val="00F510FE"/>
    <w:rsid w:val="00F540D0"/>
    <w:rsid w:val="00F560C9"/>
    <w:rsid w:val="00F646D3"/>
    <w:rsid w:val="00F668E4"/>
    <w:rsid w:val="00F66AD6"/>
    <w:rsid w:val="00F72219"/>
    <w:rsid w:val="00F87CF7"/>
    <w:rsid w:val="00F9452D"/>
    <w:rsid w:val="00FA5926"/>
    <w:rsid w:val="00FA6C93"/>
    <w:rsid w:val="00FB1145"/>
    <w:rsid w:val="00FB53FC"/>
    <w:rsid w:val="00FC06B5"/>
    <w:rsid w:val="00FC13C7"/>
    <w:rsid w:val="00FC4388"/>
    <w:rsid w:val="00FC4DE6"/>
    <w:rsid w:val="00FC52B4"/>
    <w:rsid w:val="00FD0239"/>
    <w:rsid w:val="00FD77B2"/>
    <w:rsid w:val="00FD7F47"/>
    <w:rsid w:val="00FE0929"/>
    <w:rsid w:val="00FE230A"/>
    <w:rsid w:val="00FE57B8"/>
    <w:rsid w:val="00FE6FFF"/>
    <w:rsid w:val="00FE7E98"/>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F82A"/>
  <w15:chartTrackingRefBased/>
  <w15:docId w15:val="{6D880D76-4056-43EC-963D-6894A562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AA"/>
    <w:pPr>
      <w:spacing w:after="0" w:line="240" w:lineRule="auto"/>
    </w:pPr>
    <w:rPr>
      <w:rFonts w:eastAsia="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4AA"/>
    <w:pPr>
      <w:tabs>
        <w:tab w:val="center" w:pos="4513"/>
        <w:tab w:val="right" w:pos="9026"/>
      </w:tabs>
    </w:pPr>
  </w:style>
  <w:style w:type="character" w:customStyle="1" w:styleId="FooterChar">
    <w:name w:val="Footer Char"/>
    <w:basedOn w:val="DefaultParagraphFont"/>
    <w:link w:val="Footer"/>
    <w:uiPriority w:val="99"/>
    <w:rsid w:val="005944AA"/>
    <w:rPr>
      <w:rFonts w:eastAsia="Times New Roman"/>
      <w:sz w:val="20"/>
      <w:szCs w:val="24"/>
      <w:lang w:val="en-US"/>
    </w:rPr>
  </w:style>
  <w:style w:type="paragraph" w:styleId="ListParagraph">
    <w:name w:val="List Paragraph"/>
    <w:basedOn w:val="Normal"/>
    <w:uiPriority w:val="34"/>
    <w:qFormat/>
    <w:rsid w:val="000852BE"/>
    <w:pPr>
      <w:ind w:left="720"/>
      <w:contextualSpacing/>
    </w:pPr>
  </w:style>
  <w:style w:type="paragraph" w:styleId="FootnoteText">
    <w:name w:val="footnote text"/>
    <w:basedOn w:val="Normal"/>
    <w:link w:val="FootnoteTextChar"/>
    <w:uiPriority w:val="99"/>
    <w:unhideWhenUsed/>
    <w:rsid w:val="00711CCE"/>
    <w:rPr>
      <w:szCs w:val="20"/>
    </w:rPr>
  </w:style>
  <w:style w:type="character" w:customStyle="1" w:styleId="FootnoteTextChar">
    <w:name w:val="Footnote Text Char"/>
    <w:basedOn w:val="DefaultParagraphFont"/>
    <w:link w:val="FootnoteText"/>
    <w:uiPriority w:val="99"/>
    <w:rsid w:val="00711CCE"/>
    <w:rPr>
      <w:rFonts w:eastAsia="Times New Roman"/>
      <w:sz w:val="20"/>
      <w:szCs w:val="20"/>
      <w:lang w:val="en-US"/>
    </w:rPr>
  </w:style>
  <w:style w:type="character" w:styleId="FootnoteReference">
    <w:name w:val="footnote reference"/>
    <w:basedOn w:val="DefaultParagraphFont"/>
    <w:uiPriority w:val="99"/>
    <w:semiHidden/>
    <w:unhideWhenUsed/>
    <w:rsid w:val="00711CCE"/>
    <w:rPr>
      <w:vertAlign w:val="superscript"/>
    </w:rPr>
  </w:style>
  <w:style w:type="character" w:styleId="Hyperlink">
    <w:name w:val="Hyperlink"/>
    <w:basedOn w:val="DefaultParagraphFont"/>
    <w:uiPriority w:val="99"/>
    <w:semiHidden/>
    <w:unhideWhenUsed/>
    <w:rsid w:val="00E47F94"/>
    <w:rPr>
      <w:color w:val="0000FF"/>
      <w:u w:val="single"/>
    </w:rPr>
  </w:style>
  <w:style w:type="paragraph" w:styleId="Header">
    <w:name w:val="header"/>
    <w:basedOn w:val="Normal"/>
    <w:link w:val="HeaderChar"/>
    <w:uiPriority w:val="99"/>
    <w:unhideWhenUsed/>
    <w:rsid w:val="002B3A35"/>
    <w:pPr>
      <w:tabs>
        <w:tab w:val="center" w:pos="4513"/>
        <w:tab w:val="right" w:pos="9026"/>
      </w:tabs>
    </w:pPr>
  </w:style>
  <w:style w:type="character" w:customStyle="1" w:styleId="HeaderChar">
    <w:name w:val="Header Char"/>
    <w:basedOn w:val="DefaultParagraphFont"/>
    <w:link w:val="Header"/>
    <w:uiPriority w:val="99"/>
    <w:rsid w:val="002B3A35"/>
    <w:rPr>
      <w:rFonts w:eastAsia="Times New Roman"/>
      <w:sz w:val="20"/>
      <w:szCs w:val="24"/>
      <w:lang w:val="en-US"/>
    </w:rPr>
  </w:style>
  <w:style w:type="character" w:styleId="CommentReference">
    <w:name w:val="annotation reference"/>
    <w:basedOn w:val="DefaultParagraphFont"/>
    <w:uiPriority w:val="99"/>
    <w:semiHidden/>
    <w:unhideWhenUsed/>
    <w:rsid w:val="002A75B1"/>
    <w:rPr>
      <w:sz w:val="16"/>
      <w:szCs w:val="16"/>
    </w:rPr>
  </w:style>
  <w:style w:type="paragraph" w:styleId="CommentText">
    <w:name w:val="annotation text"/>
    <w:basedOn w:val="Normal"/>
    <w:link w:val="CommentTextChar"/>
    <w:uiPriority w:val="99"/>
    <w:semiHidden/>
    <w:unhideWhenUsed/>
    <w:rsid w:val="002A75B1"/>
    <w:rPr>
      <w:szCs w:val="20"/>
    </w:rPr>
  </w:style>
  <w:style w:type="character" w:customStyle="1" w:styleId="CommentTextChar">
    <w:name w:val="Comment Text Char"/>
    <w:basedOn w:val="DefaultParagraphFont"/>
    <w:link w:val="CommentText"/>
    <w:uiPriority w:val="99"/>
    <w:semiHidden/>
    <w:rsid w:val="002A75B1"/>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2A75B1"/>
    <w:rPr>
      <w:b/>
      <w:bCs/>
    </w:rPr>
  </w:style>
  <w:style w:type="character" w:customStyle="1" w:styleId="CommentSubjectChar">
    <w:name w:val="Comment Subject Char"/>
    <w:basedOn w:val="CommentTextChar"/>
    <w:link w:val="CommentSubject"/>
    <w:uiPriority w:val="99"/>
    <w:semiHidden/>
    <w:rsid w:val="002A75B1"/>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nesday.com/en/insights/2017/07/courts-cooperation-and-more-a-review-of-us-crossborder-insolvency-protocol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1CA5-12FE-4AEF-9710-1E036925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11</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Tobenna Nnamani</dc:creator>
  <cp:keywords/>
  <dc:description/>
  <cp:lastModifiedBy>Tobenna Nnamani</cp:lastModifiedBy>
  <cp:revision>572</cp:revision>
  <dcterms:created xsi:type="dcterms:W3CDTF">2022-01-05T07:34:00Z</dcterms:created>
  <dcterms:modified xsi:type="dcterms:W3CDTF">2022-02-06T16:20:00Z</dcterms:modified>
</cp:coreProperties>
</file>