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w:t>
      </w:r>
      <w:proofErr w:type="spellStart"/>
      <w:r w:rsidRPr="00BF1C6F">
        <w:rPr>
          <w:rFonts w:ascii="Arial" w:hAnsi="Arial" w:cs="Arial"/>
          <w:bCs/>
          <w:sz w:val="22"/>
          <w:szCs w:val="22"/>
          <w:lang w:val="en-GB"/>
        </w:rPr>
        <w:t>student</w:t>
      </w:r>
      <w:r w:rsidR="00B12EF7">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 xml:space="preserve">substantively </w:t>
      </w:r>
      <w:proofErr w:type="spellStart"/>
      <w:r w:rsidR="006D217A">
        <w:rPr>
          <w:rFonts w:ascii="Arial" w:hAnsi="Arial" w:cs="Arial"/>
          <w:sz w:val="22"/>
          <w:szCs w:val="22"/>
        </w:rPr>
        <w:t>harmoni</w:t>
      </w:r>
      <w:r w:rsidR="00897A78">
        <w:rPr>
          <w:rFonts w:ascii="Arial" w:hAnsi="Arial" w:cs="Arial"/>
          <w:sz w:val="22"/>
          <w:szCs w:val="22"/>
        </w:rPr>
        <w:t>s</w:t>
      </w:r>
      <w:r w:rsidR="006D217A">
        <w:rPr>
          <w:rFonts w:ascii="Arial" w:hAnsi="Arial" w:cs="Arial"/>
          <w:sz w:val="22"/>
          <w:szCs w:val="22"/>
        </w:rPr>
        <w:t>ed</w:t>
      </w:r>
      <w:proofErr w:type="spellEnd"/>
      <w:r w:rsidR="006D217A">
        <w:rPr>
          <w:rFonts w:ascii="Arial" w:hAnsi="Arial" w:cs="Arial"/>
          <w:sz w:val="22"/>
          <w:szCs w:val="22"/>
        </w:rPr>
        <w:t xml:space="preserve">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ListParagraph"/>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ListParagraph"/>
        <w:ind w:left="426"/>
        <w:jc w:val="both"/>
        <w:rPr>
          <w:rFonts w:ascii="Arial" w:hAnsi="Arial" w:cs="Arial"/>
          <w:sz w:val="22"/>
          <w:szCs w:val="22"/>
          <w:lang w:val="en-GB"/>
        </w:rPr>
      </w:pPr>
    </w:p>
    <w:p w14:paraId="284B9BBE" w14:textId="18A26DD1" w:rsidR="005B79F4" w:rsidRPr="00D21F62" w:rsidRDefault="00D21F62"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 xml:space="preserve">True. Since the entry into force of the EIR 2000, the insolvency laws of the Member States are similar. </w:t>
      </w:r>
      <w:r w:rsidR="00C7729F" w:rsidRPr="00D21F62">
        <w:rPr>
          <w:rFonts w:ascii="Arial" w:hAnsi="Arial" w:cs="Arial"/>
          <w:sz w:val="22"/>
          <w:szCs w:val="22"/>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5D2CD6" w:rsidRDefault="00D21F62" w:rsidP="003C4BCB">
      <w:pPr>
        <w:pStyle w:val="ListParagraph"/>
        <w:numPr>
          <w:ilvl w:val="0"/>
          <w:numId w:val="2"/>
        </w:numPr>
        <w:ind w:left="426"/>
        <w:jc w:val="both"/>
        <w:rPr>
          <w:rFonts w:ascii="Arial" w:hAnsi="Arial" w:cs="Arial"/>
          <w:sz w:val="22"/>
          <w:szCs w:val="22"/>
          <w:lang w:val="en-GB"/>
        </w:rPr>
      </w:pPr>
      <w:r w:rsidRPr="0029515E">
        <w:rPr>
          <w:rFonts w:ascii="Arial" w:hAnsi="Arial" w:cs="Arial"/>
          <w:sz w:val="22"/>
          <w:szCs w:val="22"/>
          <w:highlight w:val="yellow"/>
          <w:lang w:val="en-GB"/>
        </w:rPr>
        <w:t>False. While the EIR 2000 attempted to harmonise national insolvency laws, its focus was on procedural aspects of insolvency law, not substantive ones</w:t>
      </w:r>
      <w:r w:rsidRPr="005D2CD6">
        <w:rPr>
          <w:rFonts w:ascii="Arial" w:hAnsi="Arial" w:cs="Arial"/>
          <w:sz w:val="22"/>
          <w:szCs w:val="22"/>
          <w:lang w:val="en-GB"/>
        </w:rPr>
        <w:t>.</w:t>
      </w:r>
      <w:r w:rsidR="00C7729F" w:rsidRPr="005D2CD6">
        <w:rPr>
          <w:rFonts w:ascii="Arial" w:hAnsi="Arial" w:cs="Arial"/>
          <w:sz w:val="22"/>
          <w:szCs w:val="22"/>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9E5802">
        <w:rPr>
          <w:rFonts w:ascii="Arial" w:hAnsi="Arial" w:cs="Arial"/>
          <w:iCs/>
          <w:sz w:val="22"/>
          <w:szCs w:val="22"/>
          <w:highlight w:val="yellow"/>
          <w:lang w:val="en-GB"/>
        </w:rPr>
        <w:t>False</w:t>
      </w:r>
      <w:r w:rsidR="00D21F62" w:rsidRPr="009E5802">
        <w:rPr>
          <w:rFonts w:ascii="Arial" w:hAnsi="Arial" w:cs="Arial"/>
          <w:iCs/>
          <w:sz w:val="22"/>
          <w:szCs w:val="22"/>
          <w:highlight w:val="yellow"/>
          <w:lang w:val="en-GB"/>
        </w:rPr>
        <w:t>.</w:t>
      </w:r>
      <w:r w:rsidRPr="009E5802">
        <w:rPr>
          <w:rFonts w:ascii="Arial" w:hAnsi="Arial" w:cs="Arial"/>
          <w:iCs/>
          <w:sz w:val="22"/>
          <w:szCs w:val="22"/>
          <w:highlight w:val="yellow"/>
          <w:lang w:val="en-GB"/>
        </w:rPr>
        <w:t xml:space="preserve"> </w:t>
      </w:r>
      <w:r w:rsidR="00D21F62" w:rsidRPr="009E5802">
        <w:rPr>
          <w:rFonts w:ascii="Arial" w:hAnsi="Arial" w:cs="Arial"/>
          <w:sz w:val="22"/>
          <w:szCs w:val="22"/>
          <w:highlight w:val="yellow"/>
          <w:lang w:val="en-GB"/>
        </w:rPr>
        <w:t>T</w:t>
      </w:r>
      <w:r w:rsidRPr="009E5802">
        <w:rPr>
          <w:rFonts w:ascii="Arial" w:hAnsi="Arial" w:cs="Arial"/>
          <w:sz w:val="22"/>
          <w:szCs w:val="22"/>
          <w:highlight w:val="yellow"/>
          <w:lang w:val="en-GB"/>
        </w:rPr>
        <w:t>he EU sought to draft Conventions with a view to harmonising the insolvency laws of EU Member States as early as the 1960s, but these initiatives failed</w:t>
      </w:r>
      <w:r w:rsidRPr="005D2CD6">
        <w:rPr>
          <w:rFonts w:ascii="Arial" w:hAnsi="Arial" w:cs="Arial"/>
          <w:sz w:val="22"/>
          <w:szCs w:val="22"/>
          <w:lang w:val="en-GB"/>
        </w:rPr>
        <w:t>.</w:t>
      </w:r>
    </w:p>
    <w:p w14:paraId="1286E5B5" w14:textId="77777777" w:rsidR="006D217A" w:rsidRPr="005D2CD6" w:rsidRDefault="006D217A" w:rsidP="006D217A">
      <w:pPr>
        <w:pStyle w:val="ListParagraph"/>
        <w:ind w:left="426"/>
        <w:jc w:val="both"/>
        <w:rPr>
          <w:rFonts w:ascii="Arial" w:hAnsi="Arial" w:cs="Arial"/>
          <w:iCs/>
          <w:sz w:val="22"/>
          <w:szCs w:val="22"/>
          <w:lang w:val="en-GB"/>
        </w:rPr>
      </w:pPr>
    </w:p>
    <w:p w14:paraId="41F30847" w14:textId="15ADA3FC"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ListParagraph"/>
        <w:ind w:left="426"/>
        <w:jc w:val="both"/>
        <w:rPr>
          <w:rFonts w:ascii="Arial" w:hAnsi="Arial" w:cs="Arial"/>
          <w:iCs/>
          <w:sz w:val="22"/>
          <w:szCs w:val="22"/>
          <w:lang w:val="en-GB"/>
        </w:rPr>
      </w:pPr>
    </w:p>
    <w:p w14:paraId="74C0E9B6" w14:textId="67EBDC94" w:rsidR="005B79F4" w:rsidRPr="005D2CD6" w:rsidRDefault="006D217A" w:rsidP="00D21F62">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ListParagraph"/>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True</w:t>
      </w:r>
      <w:r w:rsidR="00D21F62" w:rsidRPr="005D2CD6">
        <w:rPr>
          <w:rFonts w:ascii="Arial" w:hAnsi="Arial" w:cs="Arial"/>
          <w:sz w:val="22"/>
          <w:szCs w:val="22"/>
          <w:lang w:val="en-GB"/>
        </w:rPr>
        <w:t>.</w:t>
      </w:r>
      <w:r w:rsidRPr="005D2CD6">
        <w:rPr>
          <w:rFonts w:ascii="Arial" w:hAnsi="Arial" w:cs="Arial"/>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5D2CD6" w:rsidRDefault="00D21F62" w:rsidP="003C4BCB">
      <w:pPr>
        <w:pStyle w:val="ListParagraph"/>
        <w:numPr>
          <w:ilvl w:val="0"/>
          <w:numId w:val="4"/>
        </w:numPr>
        <w:ind w:left="426"/>
        <w:jc w:val="both"/>
        <w:rPr>
          <w:rFonts w:ascii="Arial" w:hAnsi="Arial" w:cs="Arial"/>
          <w:sz w:val="22"/>
          <w:szCs w:val="22"/>
          <w:lang w:val="en-GB"/>
        </w:rPr>
      </w:pPr>
      <w:r w:rsidRPr="001A122B">
        <w:rPr>
          <w:rFonts w:ascii="Arial" w:hAnsi="Arial" w:cs="Arial"/>
          <w:sz w:val="22"/>
          <w:szCs w:val="22"/>
          <w:highlight w:val="yellow"/>
          <w:lang w:val="en-GB"/>
        </w:rPr>
        <w:lastRenderedPageBreak/>
        <w:t>False. While a number of shortcomings were identified by an evaluation study and a public consultation, the EIR 2000 was generally regarded as a successful instrument by most stakeholders, including practitioners, businesses, the EU institutions and insolvency academics</w:t>
      </w:r>
      <w:r w:rsidRPr="005D2CD6">
        <w:rPr>
          <w:rFonts w:ascii="Arial" w:hAnsi="Arial" w:cs="Arial"/>
          <w:sz w:val="22"/>
          <w:szCs w:val="22"/>
          <w:lang w:val="en-GB"/>
        </w:rPr>
        <w:t xml:space="preserve">.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ListParagraph"/>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5D2CD6" w:rsidRDefault="00971896" w:rsidP="003C4BCB">
      <w:pPr>
        <w:pStyle w:val="ListParagraph"/>
        <w:numPr>
          <w:ilvl w:val="0"/>
          <w:numId w:val="5"/>
        </w:numPr>
        <w:ind w:left="426"/>
        <w:jc w:val="both"/>
        <w:rPr>
          <w:rFonts w:ascii="Arial" w:hAnsi="Arial" w:cs="Arial"/>
          <w:sz w:val="22"/>
          <w:szCs w:val="22"/>
          <w:lang w:val="en-GB"/>
        </w:rPr>
      </w:pPr>
      <w:r w:rsidRPr="00634A26">
        <w:rPr>
          <w:rFonts w:ascii="Arial" w:hAnsi="Arial" w:cs="Arial"/>
          <w:sz w:val="22"/>
          <w:szCs w:val="22"/>
          <w:highlight w:val="yellow"/>
          <w:lang w:val="en-GB"/>
        </w:rPr>
        <w:t>A</w:t>
      </w:r>
      <w:r w:rsidRPr="00CD0A4B">
        <w:rPr>
          <w:rFonts w:ascii="Arial" w:hAnsi="Arial" w:cs="Arial"/>
          <w:sz w:val="22"/>
          <w:szCs w:val="22"/>
          <w:highlight w:val="yellow"/>
          <w:lang w:val="en-GB"/>
        </w:rPr>
        <w:t xml:space="preserve">lthough the EIR Recast includes relevant and useful innovations, it has stuck with the framework of the </w:t>
      </w:r>
      <w:r w:rsidR="006F0106" w:rsidRPr="00CD0A4B">
        <w:rPr>
          <w:rFonts w:ascii="Arial" w:hAnsi="Arial" w:cs="Arial"/>
          <w:sz w:val="22"/>
          <w:szCs w:val="22"/>
          <w:highlight w:val="yellow"/>
          <w:lang w:val="en-GB"/>
        </w:rPr>
        <w:t>EIR 2000 and mostly codified the jurisprudence of the CJEU</w:t>
      </w:r>
      <w:r w:rsidR="006F0106" w:rsidRPr="005D2CD6">
        <w:rPr>
          <w:rFonts w:ascii="Arial" w:hAnsi="Arial" w:cs="Arial"/>
          <w:sz w:val="22"/>
          <w:szCs w:val="22"/>
          <w:lang w:val="en-GB"/>
        </w:rPr>
        <w:t xml:space="preserve">.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5D2CD6" w:rsidRDefault="008E7371" w:rsidP="003C4BCB">
      <w:pPr>
        <w:pStyle w:val="ListParagraph"/>
        <w:numPr>
          <w:ilvl w:val="0"/>
          <w:numId w:val="6"/>
        </w:numPr>
        <w:ind w:left="426"/>
        <w:jc w:val="both"/>
        <w:rPr>
          <w:rFonts w:ascii="Arial" w:hAnsi="Arial" w:cs="Arial"/>
          <w:sz w:val="22"/>
          <w:szCs w:val="22"/>
          <w:lang w:val="en-GB"/>
        </w:rPr>
      </w:pPr>
      <w:r w:rsidRPr="00951C74">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r w:rsidRPr="005D2CD6">
        <w:rPr>
          <w:rFonts w:ascii="Arial" w:hAnsi="Arial" w:cs="Arial"/>
          <w:sz w:val="22"/>
          <w:szCs w:val="22"/>
          <w:lang w:val="en-GB"/>
        </w:rPr>
        <w:t>.</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5D2CD6" w:rsidRDefault="00113E29" w:rsidP="00D509A5">
      <w:pPr>
        <w:pStyle w:val="ListParagraph"/>
        <w:numPr>
          <w:ilvl w:val="0"/>
          <w:numId w:val="7"/>
        </w:numPr>
        <w:ind w:left="426"/>
        <w:jc w:val="both"/>
        <w:rPr>
          <w:rFonts w:ascii="Arial" w:hAnsi="Arial" w:cs="Arial"/>
          <w:sz w:val="22"/>
          <w:szCs w:val="22"/>
          <w:lang w:val="en-GB"/>
        </w:rPr>
      </w:pPr>
      <w:r w:rsidRPr="006616B4">
        <w:rPr>
          <w:rFonts w:ascii="Arial" w:hAnsi="Arial" w:cs="Arial"/>
          <w:sz w:val="22"/>
          <w:szCs w:val="22"/>
          <w:highlight w:val="yellow"/>
          <w:lang w:val="en-GB"/>
        </w:rPr>
        <w:t xml:space="preserve">The </w:t>
      </w:r>
      <w:r w:rsidR="008E7371" w:rsidRPr="006616B4">
        <w:rPr>
          <w:rFonts w:ascii="Arial" w:hAnsi="Arial" w:cs="Arial"/>
          <w:sz w:val="22"/>
          <w:szCs w:val="22"/>
          <w:highlight w:val="yellow"/>
          <w:lang w:val="en-GB"/>
        </w:rPr>
        <w:t>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w:t>
      </w:r>
      <w:r w:rsidR="008E7371" w:rsidRPr="005D2CD6">
        <w:rPr>
          <w:rFonts w:ascii="Arial" w:hAnsi="Arial" w:cs="Arial"/>
          <w:sz w:val="22"/>
          <w:szCs w:val="22"/>
          <w:lang w:val="en-GB"/>
        </w:rPr>
        <w:t xml:space="preserve">. </w:t>
      </w:r>
    </w:p>
    <w:p w14:paraId="206A7FB5" w14:textId="2BA718D4" w:rsidR="008E7371" w:rsidRPr="005D2CD6" w:rsidRDefault="008E7371" w:rsidP="008E7371">
      <w:pPr>
        <w:pStyle w:val="ListParagraph"/>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ListParagraph"/>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ListParagraph"/>
        <w:ind w:left="426"/>
        <w:jc w:val="both"/>
        <w:rPr>
          <w:rFonts w:ascii="Arial" w:hAnsi="Arial" w:cs="Arial"/>
          <w:sz w:val="22"/>
          <w:szCs w:val="22"/>
          <w:lang w:val="en-GB"/>
        </w:rPr>
      </w:pPr>
    </w:p>
    <w:p w14:paraId="7793DAFC" w14:textId="67E69AED" w:rsidR="00F814B4" w:rsidRPr="005D2CD6" w:rsidRDefault="0034705B" w:rsidP="003C4BCB">
      <w:pPr>
        <w:pStyle w:val="ListParagraph"/>
        <w:numPr>
          <w:ilvl w:val="0"/>
          <w:numId w:val="8"/>
        </w:numPr>
        <w:ind w:left="426"/>
        <w:jc w:val="both"/>
        <w:rPr>
          <w:rFonts w:ascii="Arial" w:hAnsi="Arial" w:cs="Arial"/>
          <w:sz w:val="22"/>
          <w:szCs w:val="22"/>
          <w:lang w:val="en-GB"/>
        </w:rPr>
      </w:pPr>
      <w:r w:rsidRPr="009D5FEE">
        <w:rPr>
          <w:rFonts w:ascii="Arial" w:hAnsi="Arial" w:cs="Arial"/>
          <w:sz w:val="22"/>
          <w:szCs w:val="22"/>
          <w:highlight w:val="yellow"/>
          <w:lang w:val="en-GB"/>
        </w:rPr>
        <w:t>“</w:t>
      </w:r>
      <w:r w:rsidR="00F814B4" w:rsidRPr="009D5FEE">
        <w:rPr>
          <w:rFonts w:ascii="Arial" w:hAnsi="Arial" w:cs="Arial"/>
          <w:sz w:val="22"/>
          <w:szCs w:val="22"/>
          <w:highlight w:val="yellow"/>
          <w:lang w:val="en-GB"/>
        </w:rPr>
        <w:t>Synthetic proceedings</w:t>
      </w:r>
      <w:r w:rsidRPr="009D5FEE">
        <w:rPr>
          <w:rFonts w:ascii="Arial" w:hAnsi="Arial" w:cs="Arial"/>
          <w:sz w:val="22"/>
          <w:szCs w:val="22"/>
          <w:highlight w:val="yellow"/>
          <w:lang w:val="en-GB"/>
        </w:rPr>
        <w:t>”</w:t>
      </w:r>
      <w:r w:rsidR="00F814B4" w:rsidRPr="009D5FEE">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w:t>
      </w:r>
      <w:r w:rsidR="00F814B4" w:rsidRPr="005D2CD6">
        <w:rPr>
          <w:rFonts w:ascii="Arial" w:hAnsi="Arial" w:cs="Arial"/>
          <w:sz w:val="22"/>
          <w:szCs w:val="22"/>
          <w:lang w:val="en-GB"/>
        </w:rPr>
        <w:t xml:space="preserve">. </w:t>
      </w:r>
    </w:p>
    <w:p w14:paraId="4AEFCB76" w14:textId="77777777" w:rsidR="00113E29" w:rsidRPr="005D2CD6" w:rsidRDefault="00113E29" w:rsidP="00113E29">
      <w:pPr>
        <w:pStyle w:val="CommentText"/>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ListParagraph"/>
        <w:ind w:left="426"/>
        <w:jc w:val="both"/>
        <w:rPr>
          <w:rFonts w:ascii="Arial" w:hAnsi="Arial" w:cs="Arial"/>
          <w:sz w:val="22"/>
          <w:szCs w:val="22"/>
          <w:lang w:val="en-GB"/>
        </w:rPr>
      </w:pPr>
    </w:p>
    <w:p w14:paraId="2C0C9375" w14:textId="74A9BBD3"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ListParagraph"/>
        <w:ind w:left="426"/>
        <w:jc w:val="both"/>
        <w:rPr>
          <w:rFonts w:ascii="Arial" w:hAnsi="Arial" w:cs="Arial"/>
          <w:sz w:val="22"/>
          <w:szCs w:val="22"/>
          <w:lang w:val="en-GB"/>
        </w:rPr>
      </w:pPr>
    </w:p>
    <w:p w14:paraId="7CF1BB8B"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917D05">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r w:rsidRPr="005D2CD6">
        <w:rPr>
          <w:rFonts w:ascii="Arial" w:hAnsi="Arial" w:cs="Arial"/>
          <w:sz w:val="22"/>
          <w:szCs w:val="22"/>
          <w:lang w:val="en-GB"/>
        </w:rPr>
        <w:t>.</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FF4FEA">
        <w:rPr>
          <w:rFonts w:ascii="Arial" w:hAnsi="Arial" w:cs="Arial"/>
          <w:sz w:val="22"/>
          <w:szCs w:val="22"/>
          <w:lang w:val="en-GB"/>
        </w:rPr>
        <w:t>The court, which has opened insolvency proceedings (originating court), most certainly did not have international insolvency jurisdiction to do so under the EIR Recast</w:t>
      </w:r>
      <w:r w:rsidRPr="005D2CD6">
        <w:rPr>
          <w:rFonts w:ascii="Arial" w:hAnsi="Arial" w:cs="Arial"/>
          <w:sz w:val="22"/>
          <w:szCs w:val="22"/>
          <w:lang w:val="en-GB"/>
        </w:rPr>
        <w: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proceedings before the Italian court opposes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(registered in Italy) and Lacroix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to Lacroix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Lacroix SARL must have been aware that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5D2CD6" w:rsidRDefault="00967219" w:rsidP="003C4BCB">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w:t>
      </w:r>
      <w:r w:rsidR="00375D11" w:rsidRPr="005D2CD6">
        <w:rPr>
          <w:rFonts w:ascii="Arial" w:hAnsi="Arial" w:cs="Arial"/>
          <w:sz w:val="22"/>
          <w:szCs w:val="22"/>
          <w:lang w:val="en-GB"/>
        </w:rPr>
        <w:t xml:space="preserve">insolvency practitioner will always succeed in his claim if he can clearly prove that under the </w:t>
      </w:r>
      <w:r w:rsidR="00375D11" w:rsidRPr="005D2CD6">
        <w:rPr>
          <w:rFonts w:ascii="Arial" w:hAnsi="Arial" w:cs="Arial"/>
          <w:i/>
          <w:sz w:val="22"/>
          <w:szCs w:val="22"/>
          <w:lang w:val="en-GB"/>
        </w:rPr>
        <w:t>lex concursus</w:t>
      </w:r>
      <w:r w:rsidR="00375D11" w:rsidRPr="005D2CD6">
        <w:rPr>
          <w:rFonts w:ascii="Arial" w:hAnsi="Arial" w:cs="Arial"/>
          <w:sz w:val="22"/>
          <w:szCs w:val="22"/>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5D2CD6" w:rsidRDefault="00375D11" w:rsidP="00375D11">
      <w:pPr>
        <w:pStyle w:val="ListParagraph"/>
        <w:numPr>
          <w:ilvl w:val="0"/>
          <w:numId w:val="9"/>
        </w:numPr>
        <w:ind w:left="426"/>
        <w:jc w:val="both"/>
        <w:rPr>
          <w:rFonts w:ascii="Arial" w:hAnsi="Arial" w:cs="Arial"/>
          <w:sz w:val="22"/>
          <w:szCs w:val="22"/>
          <w:lang w:val="en-GB"/>
        </w:rPr>
      </w:pPr>
      <w:r w:rsidRPr="00730D7B">
        <w:rPr>
          <w:rFonts w:ascii="Arial" w:hAnsi="Arial" w:cs="Arial"/>
          <w:sz w:val="22"/>
          <w:szCs w:val="22"/>
          <w:highlight w:val="yellow"/>
          <w:lang w:val="en-GB"/>
        </w:rPr>
        <w:t xml:space="preserve">The contested transactions cannot be avoided if Lacroix SARL can prove that the </w:t>
      </w:r>
      <w:r w:rsidRPr="00730D7B">
        <w:rPr>
          <w:rFonts w:ascii="Arial" w:hAnsi="Arial" w:cs="Arial"/>
          <w:i/>
          <w:sz w:val="22"/>
          <w:szCs w:val="22"/>
          <w:highlight w:val="yellow"/>
          <w:lang w:val="en-GB"/>
        </w:rPr>
        <w:t xml:space="preserve">lex </w:t>
      </w:r>
      <w:proofErr w:type="spellStart"/>
      <w:r w:rsidRPr="00730D7B">
        <w:rPr>
          <w:rFonts w:ascii="Arial" w:hAnsi="Arial" w:cs="Arial"/>
          <w:i/>
          <w:sz w:val="22"/>
          <w:szCs w:val="22"/>
          <w:highlight w:val="yellow"/>
          <w:lang w:val="en-GB"/>
        </w:rPr>
        <w:t>causae</w:t>
      </w:r>
      <w:proofErr w:type="spellEnd"/>
      <w:r w:rsidRPr="00730D7B">
        <w:rPr>
          <w:rFonts w:ascii="Arial" w:hAnsi="Arial"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r w:rsidRPr="005D2CD6">
        <w:rPr>
          <w:rFonts w:ascii="Arial" w:hAnsi="Arial" w:cs="Arial"/>
          <w:sz w:val="22"/>
          <w:szCs w:val="22"/>
          <w:lang w:val="en-GB"/>
        </w:rPr>
        <w:t>.</w:t>
      </w:r>
    </w:p>
    <w:p w14:paraId="1CE42A59" w14:textId="77777777" w:rsidR="00375D11" w:rsidRPr="005D2CD6" w:rsidRDefault="00375D11" w:rsidP="00375D11">
      <w:pPr>
        <w:pStyle w:val="ListParagraph"/>
        <w:ind w:left="426"/>
        <w:jc w:val="both"/>
        <w:rPr>
          <w:rFonts w:ascii="Arial" w:hAnsi="Arial" w:cs="Arial"/>
          <w:sz w:val="22"/>
          <w:szCs w:val="22"/>
          <w:lang w:val="en-GB"/>
        </w:rPr>
      </w:pPr>
    </w:p>
    <w:p w14:paraId="1A7B7775" w14:textId="4A1D42B1" w:rsidR="00375D11" w:rsidRPr="005D2CD6" w:rsidRDefault="00113E29"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r w:rsidR="00375D11" w:rsidRPr="005D2CD6">
        <w:rPr>
          <w:rFonts w:ascii="Arial" w:hAnsi="Arial" w:cs="Arial"/>
          <w:sz w:val="22"/>
          <w:szCs w:val="22"/>
          <w:lang w:val="en-GB"/>
        </w:rPr>
        <w:t>Lacroix SARL</w:t>
      </w:r>
      <w:r w:rsidRPr="005D2CD6">
        <w:rPr>
          <w:rFonts w:ascii="Arial" w:hAnsi="Arial" w:cs="Arial"/>
          <w:sz w:val="22"/>
          <w:szCs w:val="22"/>
          <w:lang w:val="en-GB"/>
        </w:rPr>
        <w:t xml:space="preserve"> can rely solely, in a purely abstract manner, on the unchallengeable character of the payments at issue on the basis of a provision of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w:t>
      </w:r>
    </w:p>
    <w:p w14:paraId="5F946A8C" w14:textId="77777777" w:rsidR="00375D11" w:rsidRPr="005D2CD6" w:rsidRDefault="00375D11" w:rsidP="00375D11">
      <w:pPr>
        <w:pStyle w:val="ListParagraph"/>
        <w:ind w:left="426"/>
        <w:jc w:val="both"/>
        <w:rPr>
          <w:rFonts w:ascii="Arial" w:hAnsi="Arial" w:cs="Arial"/>
          <w:sz w:val="22"/>
          <w:szCs w:val="22"/>
          <w:lang w:val="en-GB"/>
        </w:rPr>
      </w:pPr>
    </w:p>
    <w:p w14:paraId="3BB4C572" w14:textId="0D9E3986" w:rsidR="00375D11" w:rsidRPr="00730D7B" w:rsidRDefault="00375D11" w:rsidP="00375D11">
      <w:pPr>
        <w:pStyle w:val="ListParagraph"/>
        <w:numPr>
          <w:ilvl w:val="0"/>
          <w:numId w:val="9"/>
        </w:numPr>
        <w:ind w:left="426"/>
        <w:jc w:val="both"/>
        <w:rPr>
          <w:rFonts w:ascii="Arial" w:hAnsi="Arial" w:cs="Arial"/>
          <w:sz w:val="22"/>
          <w:szCs w:val="22"/>
          <w:lang w:val="en-GB"/>
        </w:rPr>
      </w:pPr>
      <w:r w:rsidRPr="00730D7B">
        <w:rPr>
          <w:rFonts w:ascii="Arial" w:hAnsi="Arial" w:cs="Arial"/>
          <w:sz w:val="22"/>
          <w:szCs w:val="22"/>
          <w:lang w:val="en-GB"/>
        </w:rPr>
        <w:t>The contested payments shall not be avoided if Lacroix SARL proves that such transactions cannot be challenged on the basis of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proofErr w:type="spellStart"/>
      <w:r w:rsidR="007772BD" w:rsidRPr="005D2CD6">
        <w:rPr>
          <w:rFonts w:ascii="Arial" w:hAnsi="Arial" w:cs="Arial"/>
          <w:i/>
          <w:iCs/>
          <w:sz w:val="22"/>
          <w:szCs w:val="22"/>
          <w:lang w:val="en-GB"/>
        </w:rPr>
        <w:t>Concurso</w:t>
      </w:r>
      <w:proofErr w:type="spellEnd"/>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time period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AD0D59" w:rsidRDefault="00FC48D8" w:rsidP="003C4BCB">
      <w:pPr>
        <w:pStyle w:val="ListParagraph"/>
        <w:numPr>
          <w:ilvl w:val="0"/>
          <w:numId w:val="11"/>
        </w:numPr>
        <w:ind w:left="426"/>
        <w:jc w:val="both"/>
        <w:rPr>
          <w:rFonts w:ascii="Arial" w:hAnsi="Arial" w:cs="Arial"/>
          <w:sz w:val="22"/>
          <w:szCs w:val="22"/>
          <w:highlight w:val="yellow"/>
          <w:lang w:val="en-GB"/>
        </w:rPr>
      </w:pPr>
      <w:r w:rsidRPr="00AD0D59">
        <w:rPr>
          <w:rFonts w:ascii="Arial" w:hAnsi="Arial" w:cs="Arial"/>
          <w:sz w:val="22"/>
          <w:szCs w:val="22"/>
          <w:highlight w:val="yellow"/>
          <w:lang w:val="en-GB"/>
        </w:rPr>
        <w:t xml:space="preserve">Within </w:t>
      </w:r>
      <w:r w:rsidR="006F2B12" w:rsidRPr="00AD0D59">
        <w:rPr>
          <w:rFonts w:ascii="Arial" w:hAnsi="Arial" w:cs="Arial"/>
          <w:sz w:val="22"/>
          <w:szCs w:val="22"/>
          <w:highlight w:val="yellow"/>
          <w:lang w:val="en-GB"/>
        </w:rPr>
        <w:t>one month</w:t>
      </w:r>
      <w:r w:rsidRPr="00AD0D59">
        <w:rPr>
          <w:rFonts w:ascii="Arial" w:hAnsi="Arial" w:cs="Arial"/>
          <w:sz w:val="22"/>
          <w:szCs w:val="22"/>
          <w:highlight w:val="yellow"/>
          <w:lang w:val="en-GB"/>
        </w:rPr>
        <w:t xml:space="preserve">, as stipulated in the applicable </w:t>
      </w:r>
      <w:r w:rsidRPr="00AD0D59">
        <w:rPr>
          <w:rFonts w:ascii="Arial" w:hAnsi="Arial" w:cs="Arial"/>
          <w:i/>
          <w:sz w:val="22"/>
          <w:szCs w:val="22"/>
          <w:highlight w:val="yellow"/>
          <w:lang w:val="en-GB"/>
        </w:rPr>
        <w:t xml:space="preserve">lex concursus </w:t>
      </w:r>
      <w:proofErr w:type="spellStart"/>
      <w:r w:rsidRPr="00AD0D59">
        <w:rPr>
          <w:rFonts w:ascii="Arial" w:hAnsi="Arial" w:cs="Arial"/>
          <w:i/>
          <w:sz w:val="22"/>
          <w:szCs w:val="22"/>
          <w:highlight w:val="yellow"/>
          <w:lang w:val="en-GB"/>
        </w:rPr>
        <w:t>secundarii</w:t>
      </w:r>
      <w:proofErr w:type="spellEnd"/>
      <w:r w:rsidRPr="00AD0D59">
        <w:rPr>
          <w:rFonts w:ascii="Arial" w:hAnsi="Arial" w:cs="Arial"/>
          <w:sz w:val="22"/>
          <w:szCs w:val="22"/>
          <w:highlight w:val="yellow"/>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30 days following the publication of the opening of insolvency proceedings in th</w:t>
      </w:r>
      <w:r w:rsidR="007772BD" w:rsidRPr="005D2CD6">
        <w:rPr>
          <w:rFonts w:ascii="Arial" w:hAnsi="Arial" w:cs="Arial"/>
          <w:sz w:val="22"/>
          <w:szCs w:val="22"/>
          <w:lang w:val="en-GB"/>
        </w:rPr>
        <w:t>e insolvency register of Spain</w:t>
      </w:r>
      <w:r w:rsidRPr="005D2CD6">
        <w:rPr>
          <w:rFonts w:ascii="Arial" w:hAnsi="Arial" w:cs="Arial"/>
          <w:sz w:val="22"/>
          <w:szCs w:val="22"/>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the time limit prescribed by the </w:t>
      </w:r>
      <w:r w:rsidRPr="005D2CD6">
        <w:rPr>
          <w:rFonts w:ascii="Arial" w:hAnsi="Arial" w:cs="Arial"/>
          <w:i/>
          <w:sz w:val="22"/>
          <w:szCs w:val="22"/>
          <w:lang w:val="en-GB"/>
        </w:rPr>
        <w:t>lex concursus</w:t>
      </w:r>
      <w:r w:rsidRPr="005D2CD6">
        <w:rPr>
          <w:rFonts w:ascii="Arial" w:hAnsi="Arial" w:cs="Arial"/>
          <w:sz w:val="22"/>
          <w:szCs w:val="22"/>
          <w:lang w:val="en-GB"/>
        </w:rPr>
        <w:t xml:space="preserve"> of the main insolvency proceeding (</w:t>
      </w:r>
      <w:r w:rsidR="007772BD" w:rsidRPr="005D2CD6">
        <w:rPr>
          <w:rFonts w:ascii="Arial" w:hAnsi="Arial" w:cs="Arial"/>
          <w:sz w:val="22"/>
          <w:szCs w:val="22"/>
          <w:lang w:val="en-GB"/>
        </w:rPr>
        <w:t>Irish</w:t>
      </w:r>
      <w:r w:rsidRPr="005D2CD6">
        <w:rPr>
          <w:rFonts w:ascii="Arial" w:hAnsi="Arial" w:cs="Arial"/>
          <w:sz w:val="22"/>
          <w:szCs w:val="22"/>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75B73D61" w:rsidR="00636C15" w:rsidRPr="005D2CD6"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This article introduces a legal regime for the avoidance of secondary insolvency proceedings, based on the unilateral promise given by the main insolvency practitioner to local creditors that they will receive treatment ‘as if’ secondary proceedings had in fact been open.’ – Articles 36/38</w:t>
      </w:r>
    </w:p>
    <w:p w14:paraId="4E37A99D" w14:textId="77777777" w:rsidR="00636C15" w:rsidRPr="005D2CD6" w:rsidRDefault="00636C15"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63129F80" w14:textId="77777777" w:rsidR="00636C15" w:rsidRPr="005D2CD6" w:rsidRDefault="00636C15" w:rsidP="00636C15">
      <w:pPr>
        <w:ind w:left="720" w:hanging="720"/>
        <w:jc w:val="both"/>
        <w:rPr>
          <w:rFonts w:ascii="Arial" w:hAnsi="Arial" w:cs="Arial"/>
          <w:sz w:val="22"/>
          <w:szCs w:val="22"/>
        </w:rPr>
      </w:pPr>
    </w:p>
    <w:p w14:paraId="5C7DD9F3" w14:textId="0BEFAEB7" w:rsidR="00636C15" w:rsidRDefault="00717B9D" w:rsidP="00636C15">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Statement 1 – articles 36/38(2), concept</w:t>
      </w:r>
      <w:r w:rsidR="000F5D5B">
        <w:rPr>
          <w:rFonts w:ascii="Arial" w:hAnsi="Arial" w:cs="Arial"/>
          <w:color w:val="7B7B7B" w:themeColor="accent3" w:themeShade="BF"/>
          <w:sz w:val="22"/>
          <w:szCs w:val="22"/>
        </w:rPr>
        <w:t>s</w:t>
      </w:r>
      <w:r>
        <w:rPr>
          <w:rFonts w:ascii="Arial" w:hAnsi="Arial" w:cs="Arial"/>
          <w:color w:val="7B7B7B" w:themeColor="accent3" w:themeShade="BF"/>
          <w:sz w:val="22"/>
          <w:szCs w:val="22"/>
        </w:rPr>
        <w:t xml:space="preserve"> of “undertaking”</w:t>
      </w:r>
      <w:r w:rsidR="000F5D5B">
        <w:rPr>
          <w:rFonts w:ascii="Arial" w:hAnsi="Arial" w:cs="Arial"/>
          <w:color w:val="7B7B7B" w:themeColor="accent3" w:themeShade="BF"/>
          <w:sz w:val="22"/>
          <w:szCs w:val="22"/>
        </w:rPr>
        <w:t xml:space="preserve"> and “synthetic proceedings”</w:t>
      </w:r>
      <w:r>
        <w:rPr>
          <w:rFonts w:ascii="Arial" w:hAnsi="Arial" w:cs="Arial"/>
          <w:color w:val="7B7B7B" w:themeColor="accent3" w:themeShade="BF"/>
          <w:sz w:val="22"/>
          <w:szCs w:val="22"/>
        </w:rPr>
        <w:t>.</w:t>
      </w:r>
    </w:p>
    <w:p w14:paraId="61BF52D2" w14:textId="3BE407DB" w:rsidR="00717B9D" w:rsidRPr="005D2CD6" w:rsidRDefault="00717B9D" w:rsidP="00636C15">
      <w:pPr>
        <w:ind w:left="720" w:hanging="720"/>
        <w:jc w:val="both"/>
        <w:rPr>
          <w:rFonts w:ascii="Arial" w:hAnsi="Arial" w:cs="Arial"/>
          <w:sz w:val="22"/>
          <w:szCs w:val="22"/>
        </w:rPr>
      </w:pPr>
      <w:r>
        <w:rPr>
          <w:rFonts w:ascii="Arial" w:hAnsi="Arial" w:cs="Arial"/>
          <w:color w:val="7B7B7B" w:themeColor="accent3" w:themeShade="BF"/>
          <w:sz w:val="22"/>
          <w:szCs w:val="22"/>
        </w:rPr>
        <w:t>Sta</w:t>
      </w:r>
      <w:r w:rsidR="00F32BC7">
        <w:rPr>
          <w:rFonts w:ascii="Arial" w:hAnsi="Arial" w:cs="Arial"/>
          <w:color w:val="7B7B7B" w:themeColor="accent3" w:themeShade="BF"/>
          <w:sz w:val="22"/>
          <w:szCs w:val="22"/>
        </w:rPr>
        <w:t>te</w:t>
      </w:r>
      <w:r>
        <w:rPr>
          <w:rFonts w:ascii="Arial" w:hAnsi="Arial" w:cs="Arial"/>
          <w:color w:val="7B7B7B" w:themeColor="accent3" w:themeShade="BF"/>
          <w:sz w:val="22"/>
          <w:szCs w:val="22"/>
        </w:rPr>
        <w:t xml:space="preserve">ment 2 – recital </w:t>
      </w:r>
      <w:r w:rsidR="00F32BC7">
        <w:rPr>
          <w:rFonts w:ascii="Arial" w:hAnsi="Arial" w:cs="Arial"/>
          <w:color w:val="7B7B7B" w:themeColor="accent3" w:themeShade="BF"/>
          <w:sz w:val="22"/>
          <w:szCs w:val="22"/>
        </w:rPr>
        <w:t>4</w:t>
      </w:r>
      <w:r>
        <w:rPr>
          <w:rFonts w:ascii="Arial" w:hAnsi="Arial" w:cs="Arial"/>
          <w:color w:val="7B7B7B" w:themeColor="accent3" w:themeShade="BF"/>
          <w:sz w:val="22"/>
          <w:szCs w:val="22"/>
        </w:rPr>
        <w:t>8/</w:t>
      </w:r>
      <w:r w:rsidR="00F32BC7">
        <w:rPr>
          <w:rFonts w:ascii="Arial" w:hAnsi="Arial" w:cs="Arial"/>
          <w:color w:val="7B7B7B" w:themeColor="accent3" w:themeShade="BF"/>
          <w:sz w:val="22"/>
          <w:szCs w:val="22"/>
        </w:rPr>
        <w:t>article 42(1), concept of “judicial cooperation”.</w:t>
      </w:r>
    </w:p>
    <w:p w14:paraId="22C610C9" w14:textId="16EF6256" w:rsidR="00DE03AF" w:rsidRPr="005D2CD6" w:rsidRDefault="00DE03AF" w:rsidP="002A37BB">
      <w:pPr>
        <w:jc w:val="both"/>
        <w:rPr>
          <w:rFonts w:ascii="Arial" w:hAnsi="Arial" w:cs="Arial"/>
          <w:sz w:val="22"/>
          <w:szCs w:val="22"/>
        </w:rPr>
      </w:pPr>
    </w:p>
    <w:p w14:paraId="789C3223" w14:textId="12982B5C" w:rsidR="00020557" w:rsidRPr="005D2CD6" w:rsidRDefault="00020557" w:rsidP="002A37BB">
      <w:pPr>
        <w:jc w:val="both"/>
        <w:rPr>
          <w:rFonts w:ascii="Arial" w:hAnsi="Arial" w:cs="Arial"/>
          <w:sz w:val="22"/>
          <w:szCs w:val="22"/>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16675D5F" w14:textId="473A168C" w:rsidR="00636C15" w:rsidRDefault="00142BF1" w:rsidP="008830C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Chapter V – jurisdictional consolidation in connection with the insolvency of corporate groups.</w:t>
      </w:r>
    </w:p>
    <w:p w14:paraId="1A7FD6F9" w14:textId="77777777" w:rsidR="0077662D" w:rsidRDefault="0077662D" w:rsidP="008830C2">
      <w:pPr>
        <w:jc w:val="both"/>
        <w:rPr>
          <w:rFonts w:ascii="Arial" w:hAnsi="Arial" w:cs="Arial"/>
          <w:color w:val="7B7B7B" w:themeColor="accent3" w:themeShade="BF"/>
          <w:sz w:val="22"/>
          <w:szCs w:val="22"/>
          <w:lang w:val="en-GB"/>
        </w:rPr>
      </w:pPr>
    </w:p>
    <w:p w14:paraId="3CAE81AC" w14:textId="07509695" w:rsidR="00142BF1" w:rsidRDefault="00142BF1" w:rsidP="008830C2">
      <w:pPr>
        <w:jc w:val="both"/>
        <w:rPr>
          <w:rFonts w:ascii="Arial" w:hAnsi="Arial" w:cs="Arial"/>
          <w:color w:val="767171" w:themeColor="background2" w:themeShade="80"/>
          <w:sz w:val="22"/>
          <w:szCs w:val="22"/>
          <w:lang w:val="en-GB"/>
        </w:rPr>
      </w:pPr>
      <w:r w:rsidRPr="0077662D">
        <w:rPr>
          <w:rFonts w:ascii="Arial" w:hAnsi="Arial" w:cs="Arial"/>
          <w:color w:val="767171" w:themeColor="background2" w:themeShade="80"/>
          <w:sz w:val="22"/>
          <w:szCs w:val="22"/>
          <w:lang w:val="en-GB"/>
        </w:rPr>
        <w:t>Article</w:t>
      </w:r>
      <w:r w:rsidR="0077662D">
        <w:rPr>
          <w:rFonts w:ascii="Arial" w:hAnsi="Arial" w:cs="Arial"/>
          <w:color w:val="767171" w:themeColor="background2" w:themeShade="80"/>
          <w:sz w:val="22"/>
          <w:szCs w:val="22"/>
          <w:lang w:val="en-GB"/>
        </w:rPr>
        <w:t>s</w:t>
      </w:r>
      <w:r w:rsidRPr="0077662D">
        <w:rPr>
          <w:rFonts w:ascii="Arial" w:hAnsi="Arial" w:cs="Arial"/>
          <w:color w:val="767171" w:themeColor="background2" w:themeShade="80"/>
          <w:sz w:val="22"/>
          <w:szCs w:val="22"/>
          <w:lang w:val="en-GB"/>
        </w:rPr>
        <w:t xml:space="preserve"> 3 </w:t>
      </w:r>
      <w:r w:rsidR="0077662D">
        <w:rPr>
          <w:rFonts w:ascii="Arial" w:hAnsi="Arial" w:cs="Arial"/>
          <w:color w:val="767171" w:themeColor="background2" w:themeShade="80"/>
          <w:sz w:val="22"/>
          <w:szCs w:val="22"/>
          <w:lang w:val="en-GB"/>
        </w:rPr>
        <w:t xml:space="preserve">and 19(2), </w:t>
      </w:r>
      <w:r w:rsidRPr="0077662D">
        <w:rPr>
          <w:rFonts w:ascii="Arial" w:hAnsi="Arial" w:cs="Arial"/>
          <w:color w:val="767171" w:themeColor="background2" w:themeShade="80"/>
          <w:sz w:val="22"/>
          <w:szCs w:val="22"/>
          <w:lang w:val="en-GB"/>
        </w:rPr>
        <w:t>recital</w:t>
      </w:r>
      <w:r w:rsidR="0077662D">
        <w:rPr>
          <w:rFonts w:ascii="Arial" w:hAnsi="Arial" w:cs="Arial"/>
          <w:color w:val="767171" w:themeColor="background2" w:themeShade="80"/>
          <w:sz w:val="22"/>
          <w:szCs w:val="22"/>
          <w:lang w:val="en-GB"/>
        </w:rPr>
        <w:t>s</w:t>
      </w:r>
      <w:r w:rsidRPr="0077662D">
        <w:rPr>
          <w:rFonts w:ascii="Arial" w:hAnsi="Arial" w:cs="Arial"/>
          <w:color w:val="767171" w:themeColor="background2" w:themeShade="80"/>
          <w:sz w:val="22"/>
          <w:szCs w:val="22"/>
          <w:lang w:val="en-GB"/>
        </w:rPr>
        <w:t xml:space="preserve"> 23</w:t>
      </w:r>
      <w:r w:rsidR="0077662D">
        <w:rPr>
          <w:rFonts w:ascii="Arial" w:hAnsi="Arial" w:cs="Arial"/>
          <w:color w:val="767171" w:themeColor="background2" w:themeShade="80"/>
          <w:sz w:val="22"/>
          <w:szCs w:val="22"/>
          <w:lang w:val="en-GB"/>
        </w:rPr>
        <w:t>/40</w:t>
      </w:r>
      <w:r w:rsidRPr="0077662D">
        <w:rPr>
          <w:rFonts w:ascii="Arial" w:hAnsi="Arial" w:cs="Arial"/>
          <w:color w:val="767171" w:themeColor="background2" w:themeShade="80"/>
          <w:sz w:val="22"/>
          <w:szCs w:val="22"/>
          <w:lang w:val="en-GB"/>
        </w:rPr>
        <w:t xml:space="preserve"> </w:t>
      </w:r>
      <w:r w:rsidR="0077662D" w:rsidRPr="0077662D">
        <w:rPr>
          <w:rFonts w:ascii="Arial" w:hAnsi="Arial" w:cs="Arial"/>
          <w:color w:val="767171" w:themeColor="background2" w:themeShade="80"/>
          <w:sz w:val="22"/>
          <w:szCs w:val="22"/>
          <w:lang w:val="en-GB"/>
        </w:rPr>
        <w:t>–</w:t>
      </w:r>
      <w:r w:rsidRPr="0077662D">
        <w:rPr>
          <w:rFonts w:ascii="Arial" w:hAnsi="Arial" w:cs="Arial"/>
          <w:color w:val="767171" w:themeColor="background2" w:themeShade="80"/>
          <w:sz w:val="22"/>
          <w:szCs w:val="22"/>
          <w:lang w:val="en-GB"/>
        </w:rPr>
        <w:t xml:space="preserve"> </w:t>
      </w:r>
      <w:r w:rsidR="0077662D" w:rsidRPr="0077662D">
        <w:rPr>
          <w:rFonts w:ascii="Arial" w:hAnsi="Arial" w:cs="Arial"/>
          <w:color w:val="767171" w:themeColor="background2" w:themeShade="80"/>
          <w:sz w:val="22"/>
          <w:szCs w:val="22"/>
          <w:lang w:val="en-GB"/>
        </w:rPr>
        <w:t>possibility of having main proceedings and secondary proceedings in different states.</w:t>
      </w:r>
    </w:p>
    <w:p w14:paraId="42F9B62F" w14:textId="00CF0CA8" w:rsidR="0077662D" w:rsidRDefault="0077662D" w:rsidP="008830C2">
      <w:pPr>
        <w:jc w:val="both"/>
        <w:rPr>
          <w:rFonts w:ascii="Arial" w:hAnsi="Arial" w:cs="Arial"/>
          <w:color w:val="767171" w:themeColor="background2" w:themeShade="80"/>
          <w:sz w:val="22"/>
          <w:szCs w:val="22"/>
          <w:lang w:val="en-GB"/>
        </w:rPr>
      </w:pPr>
    </w:p>
    <w:p w14:paraId="1D4E9B10" w14:textId="65DFBF43" w:rsidR="0077662D" w:rsidRPr="0077662D" w:rsidRDefault="00B05D0B" w:rsidP="008830C2">
      <w:pPr>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Recital 26 – while EIR Recast dictates the Member State in which proceedings should be opened, each individual Member State then applies its domestic laws to determine the relevant court.</w:t>
      </w:r>
    </w:p>
    <w:p w14:paraId="6948B395" w14:textId="65A1604F" w:rsidR="00E90991" w:rsidRPr="005D2CD6" w:rsidRDefault="00E90991" w:rsidP="002A37BB">
      <w:pPr>
        <w:ind w:left="720" w:hanging="720"/>
        <w:jc w:val="both"/>
        <w:rPr>
          <w:rFonts w:ascii="Arial" w:hAnsi="Arial" w:cs="Arial"/>
          <w:sz w:val="22"/>
          <w:szCs w:val="22"/>
          <w:lang w:val="en-GB"/>
        </w:rPr>
      </w:pPr>
    </w:p>
    <w:p w14:paraId="7AF8A6A4" w14:textId="77777777" w:rsidR="00FE2DE2" w:rsidRPr="005D2CD6" w:rsidRDefault="00FE2DE2" w:rsidP="002A37BB">
      <w:pPr>
        <w:ind w:left="720" w:hanging="720"/>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t xml:space="preserve">Cross-border co-operation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28FA893F" w14:textId="5F41C2D0" w:rsidR="00962045" w:rsidRPr="005D2CD6" w:rsidRDefault="00962045" w:rsidP="002A37BB">
      <w:pPr>
        <w:ind w:left="720" w:hanging="720"/>
        <w:jc w:val="both"/>
        <w:rPr>
          <w:rFonts w:ascii="Arial" w:hAnsi="Arial" w:cs="Arial"/>
          <w:sz w:val="22"/>
          <w:szCs w:val="22"/>
          <w:lang w:val="en-GB"/>
        </w:rPr>
      </w:pPr>
    </w:p>
    <w:p w14:paraId="78DB9FD8" w14:textId="322D594F" w:rsidR="00C72848" w:rsidRDefault="00506D33"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Recital 48</w:t>
      </w:r>
    </w:p>
    <w:p w14:paraId="10C7F38F" w14:textId="61D76FD7" w:rsidR="00506D33" w:rsidRDefault="00506D33" w:rsidP="002A37BB">
      <w:pPr>
        <w:ind w:left="720" w:hanging="720"/>
        <w:jc w:val="both"/>
        <w:rPr>
          <w:rFonts w:ascii="Arial" w:hAnsi="Arial" w:cs="Arial"/>
          <w:color w:val="7B7B7B" w:themeColor="accent3" w:themeShade="BF"/>
          <w:sz w:val="22"/>
          <w:szCs w:val="22"/>
          <w:lang w:val="en-GB"/>
        </w:rPr>
      </w:pPr>
    </w:p>
    <w:p w14:paraId="20EA8278" w14:textId="290B20E2" w:rsidR="00506D33" w:rsidRDefault="00506D33"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42</w:t>
      </w:r>
    </w:p>
    <w:p w14:paraId="010A85E2" w14:textId="0BBEEC79" w:rsidR="00506D33" w:rsidRDefault="00506D33" w:rsidP="002A37BB">
      <w:pPr>
        <w:ind w:left="720" w:hanging="720"/>
        <w:jc w:val="both"/>
        <w:rPr>
          <w:rFonts w:ascii="Arial" w:hAnsi="Arial" w:cs="Arial"/>
          <w:color w:val="7B7B7B" w:themeColor="accent3" w:themeShade="BF"/>
          <w:sz w:val="22"/>
          <w:szCs w:val="22"/>
          <w:lang w:val="en-GB"/>
        </w:rPr>
      </w:pPr>
    </w:p>
    <w:p w14:paraId="3682885E" w14:textId="1BC419FF" w:rsidR="00506D33" w:rsidRPr="005D2CD6" w:rsidRDefault="00506D33"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Article </w:t>
      </w:r>
      <w:r w:rsidR="00414D91">
        <w:rPr>
          <w:rFonts w:ascii="Arial" w:hAnsi="Arial" w:cs="Arial"/>
          <w:color w:val="7B7B7B" w:themeColor="accent3" w:themeShade="BF"/>
          <w:sz w:val="22"/>
          <w:szCs w:val="22"/>
          <w:lang w:val="en-GB"/>
        </w:rPr>
        <w:t>57</w:t>
      </w:r>
    </w:p>
    <w:p w14:paraId="572227E7" w14:textId="10041403" w:rsidR="0045683E" w:rsidRPr="005D2CD6" w:rsidRDefault="0045683E" w:rsidP="002A37BB">
      <w:pPr>
        <w:jc w:val="both"/>
        <w:rPr>
          <w:rFonts w:ascii="Arial" w:hAnsi="Arial" w:cs="Arial"/>
          <w:bCs/>
          <w:sz w:val="22"/>
          <w:szCs w:val="22"/>
          <w:lang w:val="en-GB"/>
        </w:rPr>
      </w:pPr>
    </w:p>
    <w:p w14:paraId="383B5930" w14:textId="24E126B6" w:rsidR="00C550C8" w:rsidRPr="005D2CD6" w:rsidRDefault="00C550C8" w:rsidP="002A37BB">
      <w:pPr>
        <w:jc w:val="both"/>
        <w:rPr>
          <w:rFonts w:ascii="Arial" w:hAnsi="Arial" w:cs="Arial"/>
          <w:bCs/>
          <w:sz w:val="22"/>
          <w:szCs w:val="22"/>
          <w:lang w:val="en-GB"/>
        </w:rPr>
      </w:pP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w:t>
      </w:r>
      <w:r w:rsidRPr="005D2CD6">
        <w:rPr>
          <w:rFonts w:ascii="Arial" w:hAnsi="Arial" w:cs="Arial"/>
          <w:sz w:val="22"/>
          <w:szCs w:val="22"/>
          <w:lang w:val="en-GB"/>
        </w:rPr>
        <w:lastRenderedPageBreak/>
        <w:t xml:space="preserve">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77777777" w:rsidR="00DD47EF" w:rsidRPr="005D2CD6" w:rsidRDefault="00DD47EF" w:rsidP="002A37BB">
      <w:pPr>
        <w:jc w:val="both"/>
        <w:rPr>
          <w:rFonts w:ascii="Arial" w:hAnsi="Arial" w:cs="Arial"/>
          <w:sz w:val="22"/>
          <w:szCs w:val="22"/>
        </w:rPr>
      </w:pPr>
    </w:p>
    <w:p w14:paraId="1A7B4777" w14:textId="58697197" w:rsidR="005D2925" w:rsidRDefault="003D0613" w:rsidP="00690D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38(2) </w:t>
      </w:r>
      <w:r w:rsidR="00690D54">
        <w:rPr>
          <w:rFonts w:ascii="Arial" w:hAnsi="Arial" w:cs="Arial"/>
          <w:color w:val="7B7B7B" w:themeColor="accent3" w:themeShade="BF"/>
          <w:sz w:val="22"/>
          <w:szCs w:val="22"/>
          <w:lang w:val="en-GB"/>
        </w:rPr>
        <w:t>EIR Recast provides that secondary proceedings should not be opened where an insolvency practitioner has already given</w:t>
      </w:r>
      <w:r w:rsidR="005D2925">
        <w:rPr>
          <w:rFonts w:ascii="Arial" w:hAnsi="Arial" w:cs="Arial"/>
          <w:color w:val="7B7B7B" w:themeColor="accent3" w:themeShade="BF"/>
          <w:sz w:val="22"/>
          <w:szCs w:val="22"/>
          <w:lang w:val="en-GB"/>
        </w:rPr>
        <w:t xml:space="preserve"> an undertaking in the main proceedings pursuant to article 36 and the court </w:t>
      </w:r>
      <w:r w:rsidR="006D71A5">
        <w:rPr>
          <w:rFonts w:ascii="Arial" w:hAnsi="Arial" w:cs="Arial"/>
          <w:color w:val="7B7B7B" w:themeColor="accent3" w:themeShade="BF"/>
          <w:sz w:val="22"/>
          <w:szCs w:val="22"/>
          <w:lang w:val="en-GB"/>
        </w:rPr>
        <w:t xml:space="preserve">in the jurisdiction of the proposed secondary proceedings is satisfied that such undertaking </w:t>
      </w:r>
      <w:r w:rsidR="00A84751">
        <w:rPr>
          <w:rFonts w:ascii="Arial" w:hAnsi="Arial" w:cs="Arial"/>
          <w:color w:val="7B7B7B" w:themeColor="accent3" w:themeShade="BF"/>
          <w:sz w:val="22"/>
          <w:szCs w:val="22"/>
          <w:lang w:val="en-GB"/>
        </w:rPr>
        <w:t>affords sufficient protection to local creditors</w:t>
      </w:r>
      <w:r w:rsidR="005D2925">
        <w:rPr>
          <w:rFonts w:ascii="Arial" w:hAnsi="Arial" w:cs="Arial"/>
          <w:color w:val="7B7B7B" w:themeColor="accent3" w:themeShade="BF"/>
          <w:sz w:val="22"/>
          <w:szCs w:val="22"/>
          <w:lang w:val="en-GB"/>
        </w:rPr>
        <w:t>.</w:t>
      </w:r>
    </w:p>
    <w:p w14:paraId="60379C39" w14:textId="507125E6" w:rsidR="00A84751" w:rsidRDefault="00A84751" w:rsidP="00690D54">
      <w:pPr>
        <w:jc w:val="both"/>
        <w:rPr>
          <w:rFonts w:ascii="Arial" w:hAnsi="Arial" w:cs="Arial"/>
          <w:color w:val="7B7B7B" w:themeColor="accent3" w:themeShade="BF"/>
          <w:sz w:val="22"/>
          <w:szCs w:val="22"/>
          <w:lang w:val="en-GB"/>
        </w:rPr>
      </w:pPr>
    </w:p>
    <w:p w14:paraId="1FC7D7AD" w14:textId="4E52DD74" w:rsidR="00A84751" w:rsidRPr="00A84751" w:rsidRDefault="00C86214" w:rsidP="00690D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w:t>
      </w:r>
      <w:r w:rsidR="00BB2D0D">
        <w:rPr>
          <w:rFonts w:ascii="Arial" w:hAnsi="Arial" w:cs="Arial"/>
          <w:color w:val="7B7B7B" w:themeColor="accent3" w:themeShade="BF"/>
          <w:sz w:val="22"/>
          <w:szCs w:val="22"/>
          <w:lang w:val="en-GB"/>
        </w:rPr>
        <w:t xml:space="preserve">38(3) EIR Recast </w:t>
      </w:r>
      <w:r w:rsidR="00F8565A">
        <w:rPr>
          <w:rFonts w:ascii="Arial" w:hAnsi="Arial" w:cs="Arial"/>
          <w:color w:val="7B7B7B" w:themeColor="accent3" w:themeShade="BF"/>
          <w:sz w:val="22"/>
          <w:szCs w:val="22"/>
          <w:lang w:val="en-GB"/>
        </w:rPr>
        <w:t>contains provisions relating to the temporary stay of secondary proceedings once main proceedings have been opened</w:t>
      </w:r>
      <w:r w:rsidR="000A0A2D">
        <w:rPr>
          <w:rFonts w:ascii="Arial" w:hAnsi="Arial" w:cs="Arial"/>
          <w:color w:val="7B7B7B" w:themeColor="accent3" w:themeShade="BF"/>
          <w:sz w:val="22"/>
          <w:szCs w:val="22"/>
          <w:lang w:val="en-GB"/>
        </w:rPr>
        <w:t xml:space="preserve"> in circumstances where a stay of proceedings has been granted in the main proceedings</w:t>
      </w:r>
      <w:r w:rsidR="00F8565A">
        <w:rPr>
          <w:rFonts w:ascii="Arial" w:hAnsi="Arial" w:cs="Arial"/>
          <w:color w:val="7B7B7B" w:themeColor="accent3" w:themeShade="BF"/>
          <w:sz w:val="22"/>
          <w:szCs w:val="22"/>
          <w:lang w:val="en-GB"/>
        </w:rPr>
        <w:t xml:space="preserve">. </w:t>
      </w:r>
    </w:p>
    <w:p w14:paraId="321358EA" w14:textId="77777777" w:rsidR="009954B2" w:rsidRPr="005D2CD6" w:rsidRDefault="009954B2" w:rsidP="002A37BB">
      <w:pPr>
        <w:jc w:val="both"/>
        <w:rPr>
          <w:rFonts w:ascii="Arial" w:hAnsi="Arial" w:cs="Arial"/>
          <w:bCs/>
          <w:sz w:val="22"/>
          <w:szCs w:val="22"/>
          <w:lang w:val="en-GB"/>
        </w:rPr>
      </w:pPr>
    </w:p>
    <w:p w14:paraId="526ED9B7" w14:textId="35C7BEE5" w:rsidR="00AE2316" w:rsidRPr="005D2CD6" w:rsidRDefault="00AE2316">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marks may be awarded or deducted on the basis of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F7328A7" w14:textId="77777777" w:rsidR="00DD47EF" w:rsidRPr="005D2CD6" w:rsidRDefault="00DD47EF"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p w14:paraId="4098D7DA" w14:textId="77777777" w:rsidR="00241FA3" w:rsidRPr="005D2CD6" w:rsidRDefault="00241FA3" w:rsidP="002A37BB">
      <w:pPr>
        <w:jc w:val="both"/>
        <w:rPr>
          <w:rFonts w:ascii="Arial" w:hAnsi="Arial" w:cs="Arial"/>
          <w:sz w:val="22"/>
          <w:szCs w:val="22"/>
        </w:rPr>
      </w:pPr>
    </w:p>
    <w:p w14:paraId="22631394" w14:textId="77777777" w:rsidR="00AE3C9C" w:rsidRDefault="000C4A7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Although the European Insolvency Regulation was </w:t>
      </w:r>
      <w:r w:rsidR="00EF5591">
        <w:rPr>
          <w:rFonts w:ascii="Arial" w:hAnsi="Arial" w:cs="Arial"/>
          <w:color w:val="7B7B7B" w:themeColor="accent3" w:themeShade="BF"/>
          <w:sz w:val="22"/>
          <w:szCs w:val="22"/>
          <w:lang w:val="en-GB"/>
        </w:rPr>
        <w:t xml:space="preserve">a successful piece of legislation, it was not a perfect one and, in any event, it was inevitable that amendments and </w:t>
      </w:r>
      <w:r w:rsidR="001F52A8">
        <w:rPr>
          <w:rFonts w:ascii="Arial" w:hAnsi="Arial" w:cs="Arial"/>
          <w:color w:val="7B7B7B" w:themeColor="accent3" w:themeShade="BF"/>
          <w:sz w:val="22"/>
          <w:szCs w:val="22"/>
          <w:lang w:val="en-GB"/>
        </w:rPr>
        <w:t xml:space="preserve">updates would be needed more than a decade after its implementation to reflect </w:t>
      </w:r>
      <w:r w:rsidR="00754620">
        <w:rPr>
          <w:rFonts w:ascii="Arial" w:hAnsi="Arial" w:cs="Arial"/>
          <w:color w:val="7B7B7B" w:themeColor="accent3" w:themeShade="BF"/>
          <w:sz w:val="22"/>
          <w:szCs w:val="22"/>
          <w:lang w:val="en-GB"/>
        </w:rPr>
        <w:t xml:space="preserve">changes in </w:t>
      </w:r>
      <w:r w:rsidR="00AE3C9C">
        <w:rPr>
          <w:rFonts w:ascii="Arial" w:hAnsi="Arial" w:cs="Arial"/>
          <w:color w:val="7B7B7B" w:themeColor="accent3" w:themeShade="BF"/>
          <w:sz w:val="22"/>
          <w:szCs w:val="22"/>
          <w:lang w:val="en-GB"/>
        </w:rPr>
        <w:t>insolvency practices across Member States</w:t>
      </w:r>
      <w:r w:rsidR="001F52A8">
        <w:rPr>
          <w:rFonts w:ascii="Arial" w:hAnsi="Arial" w:cs="Arial"/>
          <w:color w:val="7B7B7B" w:themeColor="accent3" w:themeShade="BF"/>
          <w:sz w:val="22"/>
          <w:szCs w:val="22"/>
          <w:lang w:val="en-GB"/>
        </w:rPr>
        <w:t>.</w:t>
      </w:r>
    </w:p>
    <w:p w14:paraId="78B35044" w14:textId="77777777" w:rsidR="00AE3C9C" w:rsidRDefault="00AE3C9C" w:rsidP="002A37BB">
      <w:pPr>
        <w:jc w:val="both"/>
        <w:rPr>
          <w:rFonts w:ascii="Arial" w:hAnsi="Arial" w:cs="Arial"/>
          <w:color w:val="7B7B7B" w:themeColor="accent3" w:themeShade="BF"/>
          <w:sz w:val="22"/>
          <w:szCs w:val="22"/>
          <w:lang w:val="en-GB"/>
        </w:rPr>
      </w:pPr>
    </w:p>
    <w:p w14:paraId="4024A332" w14:textId="6906F47B" w:rsidR="00544127" w:rsidRPr="005D2CD6" w:rsidRDefault="009E5045" w:rsidP="002A37BB">
      <w:pPr>
        <w:jc w:val="both"/>
        <w:rPr>
          <w:rFonts w:ascii="Arial" w:hAnsi="Arial" w:cs="Arial"/>
          <w:sz w:val="22"/>
          <w:szCs w:val="22"/>
        </w:rPr>
      </w:pPr>
      <w:r>
        <w:rPr>
          <w:rFonts w:ascii="Arial" w:hAnsi="Arial" w:cs="Arial"/>
          <w:color w:val="7B7B7B" w:themeColor="accent3" w:themeShade="BF"/>
          <w:sz w:val="22"/>
          <w:szCs w:val="22"/>
          <w:lang w:val="en-GB"/>
        </w:rPr>
        <w:t xml:space="preserve">Increased focus on rescue rather than </w:t>
      </w:r>
      <w:r w:rsidR="00853C33">
        <w:rPr>
          <w:rFonts w:ascii="Arial" w:hAnsi="Arial" w:cs="Arial"/>
          <w:color w:val="7B7B7B" w:themeColor="accent3" w:themeShade="BF"/>
          <w:sz w:val="22"/>
          <w:szCs w:val="22"/>
          <w:lang w:val="en-GB"/>
        </w:rPr>
        <w:t>liquidation led to the broadening of EIR Recast’s scope to restructuring proceedings</w:t>
      </w:r>
      <w:r w:rsidR="006E315C">
        <w:rPr>
          <w:rFonts w:ascii="Arial" w:hAnsi="Arial" w:cs="Arial"/>
          <w:color w:val="7B7B7B" w:themeColor="accent3" w:themeShade="BF"/>
          <w:sz w:val="22"/>
          <w:szCs w:val="22"/>
          <w:lang w:val="en-GB"/>
        </w:rPr>
        <w:t xml:space="preserve"> (article 1 and recital 10 EIR Recast)</w:t>
      </w:r>
      <w:r w:rsidR="004A1AFC">
        <w:rPr>
          <w:rFonts w:ascii="Arial" w:hAnsi="Arial" w:cs="Arial"/>
          <w:color w:val="7B7B7B" w:themeColor="accent3" w:themeShade="BF"/>
          <w:sz w:val="22"/>
          <w:szCs w:val="22"/>
          <w:lang w:val="en-GB"/>
        </w:rPr>
        <w:t>, and the need for cooperation and communication between insolvency practitioners a</w:t>
      </w:r>
      <w:r w:rsidR="001C35E2">
        <w:rPr>
          <w:rFonts w:ascii="Arial" w:hAnsi="Arial" w:cs="Arial"/>
          <w:color w:val="7B7B7B" w:themeColor="accent3" w:themeShade="BF"/>
          <w:sz w:val="22"/>
          <w:szCs w:val="22"/>
          <w:lang w:val="en-GB"/>
        </w:rPr>
        <w:t xml:space="preserve">nd courts was made compulsory in an effort to </w:t>
      </w:r>
      <w:r w:rsidR="00420704">
        <w:rPr>
          <w:rFonts w:ascii="Arial" w:hAnsi="Arial" w:cs="Arial"/>
          <w:color w:val="7B7B7B" w:themeColor="accent3" w:themeShade="BF"/>
          <w:sz w:val="22"/>
          <w:szCs w:val="22"/>
          <w:lang w:val="en-GB"/>
        </w:rPr>
        <w:t>simplify processes and save costs</w:t>
      </w:r>
      <w:r w:rsidR="00D44ECA">
        <w:rPr>
          <w:rFonts w:ascii="Arial" w:hAnsi="Arial" w:cs="Arial"/>
          <w:color w:val="7B7B7B" w:themeColor="accent3" w:themeShade="BF"/>
          <w:sz w:val="22"/>
          <w:szCs w:val="22"/>
          <w:lang w:val="en-GB"/>
        </w:rPr>
        <w:t xml:space="preserve"> (articles 41-43 and 56-59 EIR Recast)</w:t>
      </w:r>
      <w:r w:rsidR="00420704">
        <w:rPr>
          <w:rFonts w:ascii="Arial" w:hAnsi="Arial" w:cs="Arial"/>
          <w:color w:val="7B7B7B" w:themeColor="accent3" w:themeShade="BF"/>
          <w:sz w:val="22"/>
          <w:szCs w:val="22"/>
          <w:lang w:val="en-GB"/>
        </w:rPr>
        <w:t xml:space="preserve">. </w:t>
      </w:r>
      <w:r w:rsidR="00C36110">
        <w:rPr>
          <w:rFonts w:ascii="Arial" w:hAnsi="Arial" w:cs="Arial"/>
          <w:color w:val="7B7B7B" w:themeColor="accent3" w:themeShade="BF"/>
          <w:sz w:val="22"/>
          <w:szCs w:val="22"/>
          <w:lang w:val="en-GB"/>
        </w:rPr>
        <w:t>As a result of globalisation, it became more frequent for corporate groups to include subsidiaries based in different jurisdictions</w:t>
      </w:r>
      <w:r w:rsidR="0081076D">
        <w:rPr>
          <w:rFonts w:ascii="Arial" w:hAnsi="Arial" w:cs="Arial"/>
          <w:color w:val="7B7B7B" w:themeColor="accent3" w:themeShade="BF"/>
          <w:sz w:val="22"/>
          <w:szCs w:val="22"/>
          <w:lang w:val="en-GB"/>
        </w:rPr>
        <w:t xml:space="preserve"> and this development was taken into account by </w:t>
      </w:r>
      <w:r w:rsidR="00DD6424">
        <w:rPr>
          <w:rFonts w:ascii="Arial" w:hAnsi="Arial" w:cs="Arial"/>
          <w:color w:val="7B7B7B" w:themeColor="accent3" w:themeShade="BF"/>
          <w:sz w:val="22"/>
          <w:szCs w:val="22"/>
          <w:lang w:val="en-GB"/>
        </w:rPr>
        <w:t xml:space="preserve">chapter V </w:t>
      </w:r>
      <w:r w:rsidR="0081076D">
        <w:rPr>
          <w:rFonts w:ascii="Arial" w:hAnsi="Arial" w:cs="Arial"/>
          <w:color w:val="7B7B7B" w:themeColor="accent3" w:themeShade="BF"/>
          <w:sz w:val="22"/>
          <w:szCs w:val="22"/>
          <w:lang w:val="en-GB"/>
        </w:rPr>
        <w:t>EIR Recast</w:t>
      </w:r>
      <w:r w:rsidR="00DD6424">
        <w:rPr>
          <w:rFonts w:ascii="Arial" w:hAnsi="Arial" w:cs="Arial"/>
          <w:color w:val="7B7B7B" w:themeColor="accent3" w:themeShade="BF"/>
          <w:sz w:val="22"/>
          <w:szCs w:val="22"/>
          <w:lang w:val="en-GB"/>
        </w:rPr>
        <w:t>.</w:t>
      </w:r>
      <w:r w:rsidR="00C41AF4">
        <w:rPr>
          <w:rFonts w:ascii="Arial" w:hAnsi="Arial" w:cs="Arial"/>
          <w:color w:val="7B7B7B" w:themeColor="accent3" w:themeShade="BF"/>
          <w:sz w:val="22"/>
          <w:szCs w:val="22"/>
          <w:lang w:val="en-GB"/>
        </w:rPr>
        <w:t xml:space="preserve"> </w:t>
      </w:r>
      <w:r w:rsidR="006C375B">
        <w:rPr>
          <w:rFonts w:ascii="Arial" w:hAnsi="Arial" w:cs="Arial"/>
          <w:color w:val="7B7B7B" w:themeColor="accent3" w:themeShade="BF"/>
          <w:sz w:val="22"/>
          <w:szCs w:val="22"/>
          <w:lang w:val="en-GB"/>
        </w:rPr>
        <w:t xml:space="preserve">As a consequence of the </w:t>
      </w:r>
      <w:r w:rsidR="002347AE">
        <w:rPr>
          <w:rFonts w:ascii="Arial" w:hAnsi="Arial" w:cs="Arial"/>
          <w:color w:val="7B7B7B" w:themeColor="accent3" w:themeShade="BF"/>
          <w:sz w:val="22"/>
          <w:szCs w:val="22"/>
          <w:lang w:val="en-GB"/>
        </w:rPr>
        <w:t xml:space="preserve">need to protect the interests of creditors in complex cross-jurisdiction proceedings and to further </w:t>
      </w:r>
      <w:r w:rsidR="00DD0CA2">
        <w:rPr>
          <w:rFonts w:ascii="Arial" w:hAnsi="Arial" w:cs="Arial"/>
          <w:color w:val="7B7B7B" w:themeColor="accent3" w:themeShade="BF"/>
          <w:sz w:val="22"/>
          <w:szCs w:val="22"/>
          <w:lang w:val="en-GB"/>
        </w:rPr>
        <w:t xml:space="preserve">smooth cooperation between courts and insolvency practitioners, </w:t>
      </w:r>
      <w:r w:rsidR="00A945E2">
        <w:rPr>
          <w:rFonts w:ascii="Arial" w:hAnsi="Arial" w:cs="Arial"/>
          <w:color w:val="7B7B7B" w:themeColor="accent3" w:themeShade="BF"/>
          <w:sz w:val="22"/>
          <w:szCs w:val="22"/>
          <w:lang w:val="en-GB"/>
        </w:rPr>
        <w:t xml:space="preserve">articles 24 and 25 EIR Recast provide for the establishment and maintenance of </w:t>
      </w:r>
      <w:r w:rsidR="003951F5">
        <w:rPr>
          <w:rFonts w:ascii="Arial" w:hAnsi="Arial" w:cs="Arial"/>
          <w:color w:val="7B7B7B" w:themeColor="accent3" w:themeShade="BF"/>
          <w:sz w:val="22"/>
          <w:szCs w:val="22"/>
          <w:lang w:val="en-GB"/>
        </w:rPr>
        <w:t xml:space="preserve">insolvency registers in Member States with a view to </w:t>
      </w:r>
      <w:r w:rsidR="00D606A2">
        <w:rPr>
          <w:rFonts w:ascii="Arial" w:hAnsi="Arial" w:cs="Arial"/>
          <w:color w:val="7B7B7B" w:themeColor="accent3" w:themeShade="BF"/>
          <w:sz w:val="22"/>
          <w:szCs w:val="22"/>
          <w:lang w:val="en-GB"/>
        </w:rPr>
        <w:t xml:space="preserve">simplifying </w:t>
      </w:r>
      <w:r w:rsidR="00DE53B8">
        <w:rPr>
          <w:rFonts w:ascii="Arial" w:hAnsi="Arial" w:cs="Arial"/>
          <w:color w:val="7B7B7B" w:themeColor="accent3" w:themeShade="BF"/>
          <w:sz w:val="22"/>
          <w:szCs w:val="22"/>
          <w:lang w:val="en-GB"/>
        </w:rPr>
        <w:t xml:space="preserve">the necessary </w:t>
      </w:r>
      <w:r w:rsidR="00D606A2">
        <w:rPr>
          <w:rFonts w:ascii="Arial" w:hAnsi="Arial" w:cs="Arial"/>
          <w:color w:val="7B7B7B" w:themeColor="accent3" w:themeShade="BF"/>
          <w:sz w:val="22"/>
          <w:szCs w:val="22"/>
          <w:lang w:val="en-GB"/>
        </w:rPr>
        <w:t>exchange of information. Finally,</w:t>
      </w:r>
      <w:r w:rsidR="00D056B6">
        <w:rPr>
          <w:rFonts w:ascii="Arial" w:hAnsi="Arial" w:cs="Arial"/>
          <w:color w:val="7B7B7B" w:themeColor="accent3" w:themeShade="BF"/>
          <w:sz w:val="22"/>
          <w:szCs w:val="22"/>
          <w:lang w:val="en-GB"/>
        </w:rPr>
        <w:t xml:space="preserve"> the importance of</w:t>
      </w:r>
      <w:r w:rsidR="00D606A2">
        <w:rPr>
          <w:rFonts w:ascii="Arial" w:hAnsi="Arial" w:cs="Arial"/>
          <w:color w:val="7B7B7B" w:themeColor="accent3" w:themeShade="BF"/>
          <w:sz w:val="22"/>
          <w:szCs w:val="22"/>
          <w:lang w:val="en-GB"/>
        </w:rPr>
        <w:t xml:space="preserve"> </w:t>
      </w:r>
      <w:r w:rsidR="00DE53B8">
        <w:rPr>
          <w:rFonts w:ascii="Arial" w:hAnsi="Arial" w:cs="Arial"/>
          <w:color w:val="7B7B7B" w:themeColor="accent3" w:themeShade="BF"/>
          <w:sz w:val="22"/>
          <w:szCs w:val="22"/>
          <w:lang w:val="en-GB"/>
        </w:rPr>
        <w:t xml:space="preserve">data protection </w:t>
      </w:r>
      <w:r w:rsidR="00D056B6">
        <w:rPr>
          <w:rFonts w:ascii="Arial" w:hAnsi="Arial" w:cs="Arial"/>
          <w:color w:val="7B7B7B" w:themeColor="accent3" w:themeShade="BF"/>
          <w:sz w:val="22"/>
          <w:szCs w:val="22"/>
          <w:lang w:val="en-GB"/>
        </w:rPr>
        <w:t>increased significantly since the creation of EIR 2000</w:t>
      </w:r>
      <w:r w:rsidR="00506542">
        <w:rPr>
          <w:rFonts w:ascii="Arial" w:hAnsi="Arial" w:cs="Arial"/>
          <w:color w:val="7B7B7B" w:themeColor="accent3" w:themeShade="BF"/>
          <w:sz w:val="22"/>
          <w:szCs w:val="22"/>
          <w:lang w:val="en-GB"/>
        </w:rPr>
        <w:t xml:space="preserve"> and this is reflected in the provisions of </w:t>
      </w:r>
      <w:r w:rsidR="00D66489">
        <w:rPr>
          <w:rFonts w:ascii="Arial" w:hAnsi="Arial" w:cs="Arial"/>
          <w:color w:val="7B7B7B" w:themeColor="accent3" w:themeShade="BF"/>
          <w:sz w:val="22"/>
          <w:szCs w:val="22"/>
          <w:lang w:val="en-GB"/>
        </w:rPr>
        <w:t>chapter VI EIR Recast.</w:t>
      </w:r>
    </w:p>
    <w:p w14:paraId="4A637290" w14:textId="4A0282A0" w:rsidR="00544127" w:rsidRPr="005D2CD6" w:rsidRDefault="00544127" w:rsidP="002A37BB">
      <w:pPr>
        <w:ind w:left="720" w:hanging="720"/>
        <w:jc w:val="both"/>
        <w:rPr>
          <w:rFonts w:ascii="Arial" w:hAnsi="Arial" w:cs="Arial"/>
          <w:sz w:val="22"/>
          <w:szCs w:val="22"/>
        </w:rPr>
      </w:pPr>
    </w:p>
    <w:p w14:paraId="5D5A1FA5" w14:textId="77777777" w:rsidR="00D17FDC" w:rsidRPr="005D2CD6" w:rsidRDefault="00D17FDC" w:rsidP="002A37BB">
      <w:pPr>
        <w:ind w:left="720" w:hanging="720"/>
        <w:jc w:val="both"/>
        <w:rPr>
          <w:rFonts w:ascii="Arial" w:hAnsi="Arial" w:cs="Arial"/>
          <w:sz w:val="22"/>
          <w:szCs w:val="22"/>
        </w:rPr>
      </w:pPr>
    </w:p>
    <w:p w14:paraId="755D6AFF" w14:textId="0FC5164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0587872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innovative concepts and rules were introduced in the EIR Recast to improve the </w:t>
      </w:r>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 xml:space="preserve">in which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14:paraId="2F029E55" w14:textId="1280FB99" w:rsidR="00DF75F8" w:rsidRPr="005D2CD6" w:rsidRDefault="00DF75F8" w:rsidP="002A37BB">
      <w:pPr>
        <w:jc w:val="both"/>
        <w:rPr>
          <w:rFonts w:ascii="Arial" w:hAnsi="Arial" w:cs="Arial"/>
          <w:sz w:val="22"/>
          <w:szCs w:val="22"/>
        </w:rPr>
      </w:pPr>
    </w:p>
    <w:p w14:paraId="2D943339" w14:textId="6AE1B642" w:rsidR="008628A4" w:rsidRDefault="000F5D5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Synthetic secondary proceedings and the </w:t>
      </w:r>
      <w:r w:rsidR="00781533">
        <w:rPr>
          <w:rFonts w:ascii="Arial" w:hAnsi="Arial" w:cs="Arial"/>
          <w:color w:val="7B7B7B" w:themeColor="accent3" w:themeShade="BF"/>
          <w:sz w:val="22"/>
          <w:szCs w:val="22"/>
          <w:lang w:val="en-GB"/>
        </w:rPr>
        <w:t xml:space="preserve">right to give an undertaking (articles 36 and 38) are </w:t>
      </w:r>
      <w:r w:rsidR="00A75F78">
        <w:rPr>
          <w:rFonts w:ascii="Arial" w:hAnsi="Arial" w:cs="Arial"/>
          <w:color w:val="7B7B7B" w:themeColor="accent3" w:themeShade="BF"/>
          <w:sz w:val="22"/>
          <w:szCs w:val="22"/>
          <w:lang w:val="en-GB"/>
        </w:rPr>
        <w:t>innovations which did not appear in EIR 2000. In order to address the potential</w:t>
      </w:r>
      <w:r w:rsidR="00E01FFF">
        <w:rPr>
          <w:rFonts w:ascii="Arial" w:hAnsi="Arial" w:cs="Arial"/>
          <w:color w:val="7B7B7B" w:themeColor="accent3" w:themeShade="BF"/>
          <w:sz w:val="22"/>
          <w:szCs w:val="22"/>
          <w:lang w:val="en-GB"/>
        </w:rPr>
        <w:t>ly</w:t>
      </w:r>
      <w:r w:rsidR="00A75F78">
        <w:rPr>
          <w:rFonts w:ascii="Arial" w:hAnsi="Arial" w:cs="Arial"/>
          <w:color w:val="7B7B7B" w:themeColor="accent3" w:themeShade="BF"/>
          <w:sz w:val="22"/>
          <w:szCs w:val="22"/>
          <w:lang w:val="en-GB"/>
        </w:rPr>
        <w:t xml:space="preserve"> </w:t>
      </w:r>
      <w:r w:rsidR="0038027C">
        <w:rPr>
          <w:rFonts w:ascii="Arial" w:hAnsi="Arial" w:cs="Arial"/>
          <w:color w:val="7B7B7B" w:themeColor="accent3" w:themeShade="BF"/>
          <w:sz w:val="22"/>
          <w:szCs w:val="22"/>
          <w:lang w:val="en-GB"/>
        </w:rPr>
        <w:t>disruptive effect</w:t>
      </w:r>
      <w:r>
        <w:rPr>
          <w:rFonts w:ascii="Arial" w:hAnsi="Arial" w:cs="Arial"/>
          <w:color w:val="7B7B7B" w:themeColor="accent3" w:themeShade="BF"/>
          <w:sz w:val="22"/>
          <w:szCs w:val="22"/>
          <w:lang w:val="en-GB"/>
        </w:rPr>
        <w:t xml:space="preserve"> </w:t>
      </w:r>
      <w:r w:rsidR="0038027C">
        <w:rPr>
          <w:rFonts w:ascii="Arial" w:hAnsi="Arial" w:cs="Arial"/>
          <w:color w:val="7B7B7B" w:themeColor="accent3" w:themeShade="BF"/>
          <w:sz w:val="22"/>
          <w:szCs w:val="22"/>
          <w:lang w:val="en-GB"/>
        </w:rPr>
        <w:t xml:space="preserve">of secondary proceedings being opened once a main proceeding had started, </w:t>
      </w:r>
      <w:r w:rsidR="007A7BDE">
        <w:rPr>
          <w:rFonts w:ascii="Arial" w:hAnsi="Arial" w:cs="Arial"/>
          <w:color w:val="7B7B7B" w:themeColor="accent3" w:themeShade="BF"/>
          <w:sz w:val="22"/>
          <w:szCs w:val="22"/>
          <w:lang w:val="en-GB"/>
        </w:rPr>
        <w:t xml:space="preserve">EIR </w:t>
      </w:r>
      <w:r w:rsidR="007A7BDE">
        <w:rPr>
          <w:rFonts w:ascii="Arial" w:hAnsi="Arial" w:cs="Arial"/>
          <w:color w:val="7B7B7B" w:themeColor="accent3" w:themeShade="BF"/>
          <w:sz w:val="22"/>
          <w:szCs w:val="22"/>
          <w:lang w:val="en-GB"/>
        </w:rPr>
        <w:lastRenderedPageBreak/>
        <w:t xml:space="preserve">Recast allows insolvency practitioners </w:t>
      </w:r>
      <w:r w:rsidR="000D20C4">
        <w:rPr>
          <w:rFonts w:ascii="Arial" w:hAnsi="Arial" w:cs="Arial"/>
          <w:color w:val="7B7B7B" w:themeColor="accent3" w:themeShade="BF"/>
          <w:sz w:val="22"/>
          <w:szCs w:val="22"/>
          <w:lang w:val="en-GB"/>
        </w:rPr>
        <w:t xml:space="preserve">acting in main proceedings </w:t>
      </w:r>
      <w:r w:rsidR="007A7BDE">
        <w:rPr>
          <w:rFonts w:ascii="Arial" w:hAnsi="Arial" w:cs="Arial"/>
          <w:color w:val="7B7B7B" w:themeColor="accent3" w:themeShade="BF"/>
          <w:sz w:val="22"/>
          <w:szCs w:val="22"/>
          <w:lang w:val="en-GB"/>
        </w:rPr>
        <w:t>to give an undertaking t</w:t>
      </w:r>
      <w:r w:rsidR="00B8486A">
        <w:rPr>
          <w:rFonts w:ascii="Arial" w:hAnsi="Arial" w:cs="Arial"/>
          <w:color w:val="7B7B7B" w:themeColor="accent3" w:themeShade="BF"/>
          <w:sz w:val="22"/>
          <w:szCs w:val="22"/>
          <w:lang w:val="en-GB"/>
        </w:rPr>
        <w:t xml:space="preserve">o foreign creditors (who may otherwise </w:t>
      </w:r>
      <w:r w:rsidR="000D20C4">
        <w:rPr>
          <w:rFonts w:ascii="Arial" w:hAnsi="Arial" w:cs="Arial"/>
          <w:color w:val="7B7B7B" w:themeColor="accent3" w:themeShade="BF"/>
          <w:sz w:val="22"/>
          <w:szCs w:val="22"/>
          <w:lang w:val="en-GB"/>
        </w:rPr>
        <w:t>wish to open secondary proceedings) that their interests will be protect</w:t>
      </w:r>
      <w:r w:rsidR="00E01FFF">
        <w:rPr>
          <w:rFonts w:ascii="Arial" w:hAnsi="Arial" w:cs="Arial"/>
          <w:color w:val="7B7B7B" w:themeColor="accent3" w:themeShade="BF"/>
          <w:sz w:val="22"/>
          <w:szCs w:val="22"/>
          <w:lang w:val="en-GB"/>
        </w:rPr>
        <w:t>ed</w:t>
      </w:r>
      <w:r w:rsidR="000D20C4">
        <w:rPr>
          <w:rFonts w:ascii="Arial" w:hAnsi="Arial" w:cs="Arial"/>
          <w:color w:val="7B7B7B" w:themeColor="accent3" w:themeShade="BF"/>
          <w:sz w:val="22"/>
          <w:szCs w:val="22"/>
          <w:lang w:val="en-GB"/>
        </w:rPr>
        <w:t xml:space="preserve"> as if secondary proceedings had been opened. This allows </w:t>
      </w:r>
      <w:r w:rsidR="0001279A">
        <w:rPr>
          <w:rFonts w:ascii="Arial" w:hAnsi="Arial" w:cs="Arial"/>
          <w:color w:val="7B7B7B" w:themeColor="accent3" w:themeShade="BF"/>
          <w:sz w:val="22"/>
          <w:szCs w:val="22"/>
          <w:lang w:val="en-GB"/>
        </w:rPr>
        <w:t xml:space="preserve">the proceedings to adequately protect all creditors without the added complexity of opening several proceedings. </w:t>
      </w:r>
    </w:p>
    <w:p w14:paraId="38067528" w14:textId="6AC94FED" w:rsidR="0001279A" w:rsidRDefault="0001279A" w:rsidP="002A37BB">
      <w:pPr>
        <w:jc w:val="both"/>
        <w:rPr>
          <w:rFonts w:ascii="Arial" w:hAnsi="Arial" w:cs="Arial"/>
          <w:color w:val="7B7B7B" w:themeColor="accent3" w:themeShade="BF"/>
          <w:sz w:val="22"/>
          <w:szCs w:val="22"/>
          <w:lang w:val="en-GB"/>
        </w:rPr>
      </w:pPr>
    </w:p>
    <w:p w14:paraId="480C337A" w14:textId="19F6BEAD" w:rsidR="0001279A" w:rsidRDefault="00900E0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EIR Recast also </w:t>
      </w:r>
      <w:r w:rsidR="00613F2C">
        <w:rPr>
          <w:rFonts w:ascii="Arial" w:hAnsi="Arial" w:cs="Arial"/>
          <w:color w:val="7B7B7B" w:themeColor="accent3" w:themeShade="BF"/>
          <w:sz w:val="22"/>
          <w:szCs w:val="22"/>
          <w:lang w:val="en-GB"/>
        </w:rPr>
        <w:t xml:space="preserve">widened </w:t>
      </w:r>
      <w:r w:rsidR="000878CC">
        <w:rPr>
          <w:rFonts w:ascii="Arial" w:hAnsi="Arial" w:cs="Arial"/>
          <w:color w:val="7B7B7B" w:themeColor="accent3" w:themeShade="BF"/>
          <w:sz w:val="22"/>
          <w:szCs w:val="22"/>
          <w:lang w:val="en-GB"/>
        </w:rPr>
        <w:t>the application of the Regulation to pending arbitral proceedings</w:t>
      </w:r>
      <w:r w:rsidR="00175B96">
        <w:rPr>
          <w:rFonts w:ascii="Arial" w:hAnsi="Arial" w:cs="Arial"/>
          <w:color w:val="7B7B7B" w:themeColor="accent3" w:themeShade="BF"/>
          <w:sz w:val="22"/>
          <w:szCs w:val="22"/>
          <w:lang w:val="en-GB"/>
        </w:rPr>
        <w:t xml:space="preserve"> </w:t>
      </w:r>
      <w:r w:rsidR="005E1B94">
        <w:rPr>
          <w:rFonts w:ascii="Arial" w:hAnsi="Arial" w:cs="Arial"/>
          <w:color w:val="7B7B7B" w:themeColor="accent3" w:themeShade="BF"/>
          <w:sz w:val="22"/>
          <w:szCs w:val="22"/>
          <w:lang w:val="en-GB"/>
        </w:rPr>
        <w:t>(article 18)</w:t>
      </w:r>
      <w:r w:rsidR="000878CC">
        <w:rPr>
          <w:rFonts w:ascii="Arial" w:hAnsi="Arial" w:cs="Arial"/>
          <w:color w:val="7B7B7B" w:themeColor="accent3" w:themeShade="BF"/>
          <w:sz w:val="22"/>
          <w:szCs w:val="22"/>
          <w:lang w:val="en-GB"/>
        </w:rPr>
        <w:t xml:space="preserve">, which EIR 2000 did not do. </w:t>
      </w:r>
      <w:r w:rsidR="00AE34F8">
        <w:rPr>
          <w:rFonts w:ascii="Arial" w:hAnsi="Arial" w:cs="Arial"/>
          <w:color w:val="7B7B7B" w:themeColor="accent3" w:themeShade="BF"/>
          <w:sz w:val="22"/>
          <w:szCs w:val="22"/>
          <w:lang w:val="en-GB"/>
        </w:rPr>
        <w:t xml:space="preserve">As a result, </w:t>
      </w:r>
      <w:r w:rsidR="00E54E40">
        <w:rPr>
          <w:rFonts w:ascii="Arial" w:hAnsi="Arial" w:cs="Arial"/>
          <w:color w:val="7B7B7B" w:themeColor="accent3" w:themeShade="BF"/>
          <w:sz w:val="22"/>
          <w:szCs w:val="22"/>
          <w:lang w:val="en-GB"/>
        </w:rPr>
        <w:t xml:space="preserve">where the relevant conditions are met, </w:t>
      </w:r>
      <w:r w:rsidR="00AE34F8">
        <w:rPr>
          <w:rFonts w:ascii="Arial" w:hAnsi="Arial" w:cs="Arial"/>
          <w:color w:val="7B7B7B" w:themeColor="accent3" w:themeShade="BF"/>
          <w:sz w:val="22"/>
          <w:szCs w:val="22"/>
          <w:lang w:val="en-GB"/>
        </w:rPr>
        <w:t xml:space="preserve">it is now the case that the law of </w:t>
      </w:r>
      <w:r w:rsidR="00525B17">
        <w:rPr>
          <w:rFonts w:ascii="Arial" w:hAnsi="Arial" w:cs="Arial"/>
          <w:color w:val="7B7B7B" w:themeColor="accent3" w:themeShade="BF"/>
          <w:sz w:val="22"/>
          <w:szCs w:val="22"/>
          <w:lang w:val="en-GB"/>
        </w:rPr>
        <w:t xml:space="preserve">a Member State in which </w:t>
      </w:r>
      <w:r w:rsidR="00C478F9">
        <w:rPr>
          <w:rFonts w:ascii="Arial" w:hAnsi="Arial" w:cs="Arial"/>
          <w:color w:val="7B7B7B" w:themeColor="accent3" w:themeShade="BF"/>
          <w:sz w:val="22"/>
          <w:szCs w:val="22"/>
          <w:lang w:val="en-GB"/>
        </w:rPr>
        <w:t xml:space="preserve">either </w:t>
      </w:r>
      <w:r w:rsidR="00951FF5">
        <w:rPr>
          <w:rFonts w:ascii="Arial" w:hAnsi="Arial" w:cs="Arial"/>
          <w:color w:val="7B7B7B" w:themeColor="accent3" w:themeShade="BF"/>
          <w:sz w:val="22"/>
          <w:szCs w:val="22"/>
          <w:lang w:val="en-GB"/>
        </w:rPr>
        <w:t>a lawsuit or</w:t>
      </w:r>
      <w:r w:rsidR="00C478F9">
        <w:rPr>
          <w:rFonts w:ascii="Arial" w:hAnsi="Arial" w:cs="Arial"/>
          <w:color w:val="7B7B7B" w:themeColor="accent3" w:themeShade="BF"/>
          <w:sz w:val="22"/>
          <w:szCs w:val="22"/>
          <w:lang w:val="en-GB"/>
        </w:rPr>
        <w:t xml:space="preserve"> an</w:t>
      </w:r>
      <w:r w:rsidR="00951FF5">
        <w:rPr>
          <w:rFonts w:ascii="Arial" w:hAnsi="Arial" w:cs="Arial"/>
          <w:color w:val="7B7B7B" w:themeColor="accent3" w:themeShade="BF"/>
          <w:sz w:val="22"/>
          <w:szCs w:val="22"/>
          <w:lang w:val="en-GB"/>
        </w:rPr>
        <w:t xml:space="preserve"> arbitral proceeding is pending will govern the </w:t>
      </w:r>
      <w:r w:rsidR="00C478F9">
        <w:rPr>
          <w:rFonts w:ascii="Arial" w:hAnsi="Arial" w:cs="Arial"/>
          <w:color w:val="7B7B7B" w:themeColor="accent3" w:themeShade="BF"/>
          <w:sz w:val="22"/>
          <w:szCs w:val="22"/>
          <w:lang w:val="en-GB"/>
        </w:rPr>
        <w:t xml:space="preserve">effects of insolvency. </w:t>
      </w:r>
      <w:r w:rsidR="003B7C14">
        <w:rPr>
          <w:rFonts w:ascii="Arial" w:hAnsi="Arial" w:cs="Arial"/>
          <w:color w:val="7B7B7B" w:themeColor="accent3" w:themeShade="BF"/>
          <w:sz w:val="22"/>
          <w:szCs w:val="22"/>
          <w:lang w:val="en-GB"/>
        </w:rPr>
        <w:t xml:space="preserve">Before this was extended to arbitral proceedings, it was therefore possible for contradictory judgments </w:t>
      </w:r>
      <w:r w:rsidR="00DE6C32">
        <w:rPr>
          <w:rFonts w:ascii="Arial" w:hAnsi="Arial" w:cs="Arial"/>
          <w:color w:val="7B7B7B" w:themeColor="accent3" w:themeShade="BF"/>
          <w:sz w:val="22"/>
          <w:szCs w:val="22"/>
          <w:lang w:val="en-GB"/>
        </w:rPr>
        <w:t xml:space="preserve">to be obtained </w:t>
      </w:r>
      <w:r w:rsidR="00E54E40">
        <w:rPr>
          <w:rFonts w:ascii="Arial" w:hAnsi="Arial" w:cs="Arial"/>
          <w:color w:val="7B7B7B" w:themeColor="accent3" w:themeShade="BF"/>
          <w:sz w:val="22"/>
          <w:szCs w:val="22"/>
          <w:lang w:val="en-GB"/>
        </w:rPr>
        <w:t>and this undesirable situation was remedied by EIR Recast.</w:t>
      </w:r>
    </w:p>
    <w:p w14:paraId="5CF3605A" w14:textId="77777777" w:rsidR="008628A4" w:rsidRDefault="008628A4" w:rsidP="002A37BB">
      <w:pPr>
        <w:jc w:val="both"/>
        <w:rPr>
          <w:rFonts w:ascii="Arial" w:hAnsi="Arial" w:cs="Arial"/>
          <w:color w:val="7B7B7B" w:themeColor="accent3" w:themeShade="BF"/>
          <w:sz w:val="22"/>
          <w:szCs w:val="22"/>
          <w:lang w:val="en-GB"/>
        </w:rPr>
      </w:pPr>
    </w:p>
    <w:p w14:paraId="47ADEDDE" w14:textId="34A7C89C" w:rsidR="00DF461F" w:rsidRDefault="0007001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 under EIR 2000, insolvency judgments</w:t>
      </w:r>
      <w:r w:rsidR="0060603B">
        <w:rPr>
          <w:rFonts w:ascii="Arial" w:hAnsi="Arial" w:cs="Arial"/>
          <w:color w:val="7B7B7B" w:themeColor="accent3" w:themeShade="BF"/>
          <w:sz w:val="22"/>
          <w:szCs w:val="22"/>
          <w:lang w:val="en-GB"/>
        </w:rPr>
        <w:t xml:space="preserve"> </w:t>
      </w:r>
      <w:r w:rsidR="00582CD8">
        <w:rPr>
          <w:rFonts w:ascii="Arial" w:hAnsi="Arial" w:cs="Arial"/>
          <w:color w:val="7B7B7B" w:themeColor="accent3" w:themeShade="BF"/>
          <w:sz w:val="22"/>
          <w:szCs w:val="22"/>
          <w:lang w:val="en-GB"/>
        </w:rPr>
        <w:t xml:space="preserve">first </w:t>
      </w:r>
      <w:r w:rsidR="00263B06">
        <w:rPr>
          <w:rFonts w:ascii="Arial" w:hAnsi="Arial" w:cs="Arial"/>
          <w:color w:val="7B7B7B" w:themeColor="accent3" w:themeShade="BF"/>
          <w:sz w:val="22"/>
          <w:szCs w:val="22"/>
          <w:lang w:val="en-GB"/>
        </w:rPr>
        <w:t xml:space="preserve">required a declaration of enforceability before they could be enforced in another Member State. </w:t>
      </w:r>
      <w:r w:rsidR="005766CD">
        <w:rPr>
          <w:rFonts w:ascii="Arial" w:hAnsi="Arial" w:cs="Arial"/>
          <w:color w:val="7B7B7B" w:themeColor="accent3" w:themeShade="BF"/>
          <w:sz w:val="22"/>
          <w:szCs w:val="22"/>
          <w:lang w:val="en-GB"/>
        </w:rPr>
        <w:t>This had the potential to lead to delays and, in an effort to streamline and speed proceedings up,</w:t>
      </w:r>
      <w:r w:rsidR="00DA7E39">
        <w:rPr>
          <w:rFonts w:ascii="Arial" w:hAnsi="Arial" w:cs="Arial"/>
          <w:color w:val="7B7B7B" w:themeColor="accent3" w:themeShade="BF"/>
          <w:sz w:val="22"/>
          <w:szCs w:val="22"/>
          <w:lang w:val="en-GB"/>
        </w:rPr>
        <w:t xml:space="preserve"> article 32</w:t>
      </w:r>
      <w:r w:rsidR="005766CD">
        <w:rPr>
          <w:rFonts w:ascii="Arial" w:hAnsi="Arial" w:cs="Arial"/>
          <w:color w:val="7B7B7B" w:themeColor="accent3" w:themeShade="BF"/>
          <w:sz w:val="22"/>
          <w:szCs w:val="22"/>
          <w:lang w:val="en-GB"/>
        </w:rPr>
        <w:t xml:space="preserve"> EIR Recast</w:t>
      </w:r>
      <w:r w:rsidR="00DA7E39">
        <w:rPr>
          <w:rFonts w:ascii="Arial" w:hAnsi="Arial" w:cs="Arial"/>
          <w:color w:val="7B7B7B" w:themeColor="accent3" w:themeShade="BF"/>
          <w:sz w:val="22"/>
          <w:szCs w:val="22"/>
          <w:lang w:val="en-GB"/>
        </w:rPr>
        <w:t xml:space="preserve"> </w:t>
      </w:r>
      <w:r w:rsidR="00591905">
        <w:rPr>
          <w:rFonts w:ascii="Arial" w:hAnsi="Arial" w:cs="Arial"/>
          <w:color w:val="7B7B7B" w:themeColor="accent3" w:themeShade="BF"/>
          <w:sz w:val="22"/>
          <w:szCs w:val="22"/>
          <w:lang w:val="en-GB"/>
        </w:rPr>
        <w:t xml:space="preserve">now </w:t>
      </w:r>
      <w:r w:rsidR="00DA7E39">
        <w:rPr>
          <w:rFonts w:ascii="Arial" w:hAnsi="Arial" w:cs="Arial"/>
          <w:color w:val="7B7B7B" w:themeColor="accent3" w:themeShade="BF"/>
          <w:sz w:val="22"/>
          <w:szCs w:val="22"/>
          <w:lang w:val="en-GB"/>
        </w:rPr>
        <w:t>provides that insolvency judgments enfor</w:t>
      </w:r>
      <w:r w:rsidR="00265547">
        <w:rPr>
          <w:rFonts w:ascii="Arial" w:hAnsi="Arial" w:cs="Arial"/>
          <w:color w:val="7B7B7B" w:themeColor="accent3" w:themeShade="BF"/>
          <w:sz w:val="22"/>
          <w:szCs w:val="22"/>
          <w:lang w:val="en-GB"/>
        </w:rPr>
        <w:t>ceable in one Member State are also enforceable in other Member States without the need for any further formalities.</w:t>
      </w:r>
    </w:p>
    <w:p w14:paraId="3DAA6780" w14:textId="657CEFE1" w:rsidR="00962045" w:rsidRPr="005D2CD6" w:rsidRDefault="00962045" w:rsidP="002A37BB">
      <w:pPr>
        <w:jc w:val="both"/>
        <w:rPr>
          <w:rFonts w:ascii="Arial" w:hAnsi="Arial" w:cs="Arial"/>
          <w:sz w:val="22"/>
          <w:szCs w:val="22"/>
          <w:shd w:val="clear" w:color="auto" w:fill="FFFFFF"/>
        </w:rPr>
      </w:pPr>
    </w:p>
    <w:p w14:paraId="050B7D02" w14:textId="77777777" w:rsidR="00D17FDC" w:rsidRPr="005D2CD6" w:rsidRDefault="00D17FDC" w:rsidP="002A37BB">
      <w:pPr>
        <w:jc w:val="both"/>
        <w:rPr>
          <w:rFonts w:ascii="Arial" w:hAnsi="Arial" w:cs="Arial"/>
          <w:sz w:val="22"/>
          <w:szCs w:val="22"/>
          <w:shd w:val="clear" w:color="auto" w:fill="FFFFFF"/>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p w14:paraId="722B5381" w14:textId="032F740D" w:rsidR="00DF75F8" w:rsidRPr="008500BD" w:rsidRDefault="00DF75F8" w:rsidP="002A37BB">
      <w:pPr>
        <w:jc w:val="both"/>
        <w:rPr>
          <w:rFonts w:ascii="Arial" w:hAnsi="Arial" w:cs="Arial"/>
          <w:sz w:val="22"/>
          <w:szCs w:val="22"/>
          <w:lang w:val="en-GB"/>
        </w:rPr>
      </w:pPr>
    </w:p>
    <w:p w14:paraId="75D9BA1A" w14:textId="5EBC9D09" w:rsidR="00E7442A" w:rsidRDefault="00E7442A" w:rsidP="00E7442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Chapter V EIR recast deals with the concept of group coordination where insolvency proceedings apply to entities within a corporate group. The reason this was introduced in EIR Recast is to attempt to develop a process whereby the limited liability and separateness of each legal entity do not unduly affect insolvency proceedings which may affect a group as a whole. </w:t>
      </w:r>
      <w:r w:rsidR="00EF7911">
        <w:rPr>
          <w:rFonts w:ascii="Arial" w:hAnsi="Arial" w:cs="Arial"/>
          <w:color w:val="7B7B7B" w:themeColor="accent3" w:themeShade="BF"/>
          <w:sz w:val="22"/>
          <w:szCs w:val="22"/>
          <w:lang w:val="en-GB"/>
        </w:rPr>
        <w:t>In theory, such provisions</w:t>
      </w:r>
      <w:r w:rsidR="00DF1FA0">
        <w:rPr>
          <w:rFonts w:ascii="Arial" w:hAnsi="Arial" w:cs="Arial"/>
          <w:color w:val="7B7B7B" w:themeColor="accent3" w:themeShade="BF"/>
          <w:sz w:val="22"/>
          <w:szCs w:val="22"/>
          <w:lang w:val="en-GB"/>
        </w:rPr>
        <w:t xml:space="preserve"> have the potential to significantly simplify proceedings and achieve a coherent result for the group as a whole. </w:t>
      </w:r>
      <w:r w:rsidR="004D0E34">
        <w:rPr>
          <w:rFonts w:ascii="Arial" w:hAnsi="Arial" w:cs="Arial"/>
          <w:color w:val="7B7B7B" w:themeColor="accent3" w:themeShade="BF"/>
          <w:sz w:val="22"/>
          <w:szCs w:val="22"/>
          <w:lang w:val="en-GB"/>
        </w:rPr>
        <w:t>In practice, however, several issues make Chapter V a “missed opportunit</w:t>
      </w:r>
      <w:r w:rsidR="005E1046">
        <w:rPr>
          <w:rFonts w:ascii="Arial" w:hAnsi="Arial" w:cs="Arial"/>
          <w:color w:val="7B7B7B" w:themeColor="accent3" w:themeShade="BF"/>
          <w:sz w:val="22"/>
          <w:szCs w:val="22"/>
          <w:lang w:val="en-GB"/>
        </w:rPr>
        <w:t>y</w:t>
      </w:r>
      <w:r w:rsidR="004D0E34">
        <w:rPr>
          <w:rFonts w:ascii="Arial" w:hAnsi="Arial" w:cs="Arial"/>
          <w:color w:val="7B7B7B" w:themeColor="accent3" w:themeShade="BF"/>
          <w:sz w:val="22"/>
          <w:szCs w:val="22"/>
          <w:lang w:val="en-GB"/>
        </w:rPr>
        <w:t>”</w:t>
      </w:r>
      <w:r w:rsidR="005E1046">
        <w:rPr>
          <w:rFonts w:ascii="Arial" w:hAnsi="Arial" w:cs="Arial"/>
          <w:color w:val="7B7B7B" w:themeColor="accent3" w:themeShade="BF"/>
          <w:sz w:val="22"/>
          <w:szCs w:val="22"/>
          <w:lang w:val="en-GB"/>
        </w:rPr>
        <w:t>. The main flaw of Chapter V is that its provisions are not mandatory</w:t>
      </w:r>
      <w:r w:rsidR="004F7554">
        <w:rPr>
          <w:rFonts w:ascii="Arial" w:hAnsi="Arial" w:cs="Arial"/>
          <w:color w:val="7B7B7B" w:themeColor="accent3" w:themeShade="BF"/>
          <w:sz w:val="22"/>
          <w:szCs w:val="22"/>
          <w:lang w:val="en-GB"/>
        </w:rPr>
        <w:t xml:space="preserve"> and can be opted-out of completely. While </w:t>
      </w:r>
      <w:r w:rsidR="00A10BBB">
        <w:rPr>
          <w:rFonts w:ascii="Arial" w:hAnsi="Arial" w:cs="Arial"/>
          <w:color w:val="7B7B7B" w:themeColor="accent3" w:themeShade="BF"/>
          <w:sz w:val="22"/>
          <w:szCs w:val="22"/>
          <w:lang w:val="en-GB"/>
        </w:rPr>
        <w:t xml:space="preserve">the possibility of appointing a group co-ordinator is now available, </w:t>
      </w:r>
      <w:r w:rsidR="00222AD8">
        <w:rPr>
          <w:rFonts w:ascii="Arial" w:hAnsi="Arial" w:cs="Arial"/>
          <w:color w:val="7B7B7B" w:themeColor="accent3" w:themeShade="BF"/>
          <w:sz w:val="22"/>
          <w:szCs w:val="22"/>
          <w:lang w:val="en-GB"/>
        </w:rPr>
        <w:t xml:space="preserve">the co-ordinator’s suggestions are not binding </w:t>
      </w:r>
      <w:r w:rsidR="00C27B0F">
        <w:rPr>
          <w:rFonts w:ascii="Arial" w:hAnsi="Arial" w:cs="Arial"/>
          <w:color w:val="7B7B7B" w:themeColor="accent3" w:themeShade="BF"/>
          <w:sz w:val="22"/>
          <w:szCs w:val="22"/>
          <w:lang w:val="en-GB"/>
        </w:rPr>
        <w:t xml:space="preserve">on the insolvency practitioners </w:t>
      </w:r>
      <w:r w:rsidR="00222AD8">
        <w:rPr>
          <w:rFonts w:ascii="Arial" w:hAnsi="Arial" w:cs="Arial"/>
          <w:color w:val="7B7B7B" w:themeColor="accent3" w:themeShade="BF"/>
          <w:sz w:val="22"/>
          <w:szCs w:val="22"/>
          <w:lang w:val="en-GB"/>
        </w:rPr>
        <w:t xml:space="preserve">and </w:t>
      </w:r>
      <w:r w:rsidR="00EE3130">
        <w:rPr>
          <w:rFonts w:ascii="Arial" w:hAnsi="Arial" w:cs="Arial"/>
          <w:color w:val="7B7B7B" w:themeColor="accent3" w:themeShade="BF"/>
          <w:sz w:val="22"/>
          <w:szCs w:val="22"/>
          <w:lang w:val="en-GB"/>
        </w:rPr>
        <w:t xml:space="preserve">the addition of group co-ordinating proceedings end up complicating and adding costs </w:t>
      </w:r>
      <w:r w:rsidR="00C27B0F">
        <w:rPr>
          <w:rFonts w:ascii="Arial" w:hAnsi="Arial" w:cs="Arial"/>
          <w:color w:val="7B7B7B" w:themeColor="accent3" w:themeShade="BF"/>
          <w:sz w:val="22"/>
          <w:szCs w:val="22"/>
          <w:lang w:val="en-GB"/>
        </w:rPr>
        <w:t xml:space="preserve">to an already complex process. The lack of creditor consultation </w:t>
      </w:r>
      <w:r w:rsidR="00F879F1">
        <w:rPr>
          <w:rFonts w:ascii="Arial" w:hAnsi="Arial" w:cs="Arial"/>
          <w:color w:val="7B7B7B" w:themeColor="accent3" w:themeShade="BF"/>
          <w:sz w:val="22"/>
          <w:szCs w:val="22"/>
          <w:lang w:val="en-GB"/>
        </w:rPr>
        <w:t xml:space="preserve">can also be criticised, and of course </w:t>
      </w:r>
      <w:r w:rsidR="00F27A67">
        <w:rPr>
          <w:rFonts w:ascii="Arial" w:hAnsi="Arial" w:cs="Arial"/>
          <w:color w:val="7B7B7B" w:themeColor="accent3" w:themeShade="BF"/>
          <w:sz w:val="22"/>
          <w:szCs w:val="22"/>
          <w:lang w:val="en-GB"/>
        </w:rPr>
        <w:t xml:space="preserve">Chapter V is of no help where members of the corporate group are not Member States. </w:t>
      </w:r>
      <w:r w:rsidR="00A02BBF">
        <w:rPr>
          <w:rFonts w:ascii="Arial" w:hAnsi="Arial" w:cs="Arial"/>
          <w:color w:val="7B7B7B" w:themeColor="accent3" w:themeShade="BF"/>
          <w:sz w:val="22"/>
          <w:szCs w:val="22"/>
          <w:lang w:val="en-GB"/>
        </w:rPr>
        <w:t xml:space="preserve">A number of these shortcomings could be addressed if </w:t>
      </w:r>
      <w:r w:rsidR="00E16BE1">
        <w:rPr>
          <w:rFonts w:ascii="Arial" w:hAnsi="Arial" w:cs="Arial"/>
          <w:color w:val="7B7B7B" w:themeColor="accent3" w:themeShade="BF"/>
          <w:sz w:val="22"/>
          <w:szCs w:val="22"/>
          <w:lang w:val="en-GB"/>
        </w:rPr>
        <w:t>the co-ordination provisions were made compulsory and if the same insolvency practitioner was appointed to deal with all group members</w:t>
      </w:r>
      <w:r w:rsidR="00182AE2">
        <w:rPr>
          <w:rFonts w:ascii="Arial" w:hAnsi="Arial" w:cs="Arial"/>
          <w:color w:val="7B7B7B" w:themeColor="accent3" w:themeShade="BF"/>
          <w:sz w:val="22"/>
          <w:szCs w:val="22"/>
          <w:lang w:val="en-GB"/>
        </w:rPr>
        <w:t xml:space="preserve"> instead of appointing a group co-ordinator</w:t>
      </w:r>
      <w:r w:rsidR="00E16BE1">
        <w:rPr>
          <w:rFonts w:ascii="Arial" w:hAnsi="Arial" w:cs="Arial"/>
          <w:color w:val="7B7B7B" w:themeColor="accent3" w:themeShade="BF"/>
          <w:sz w:val="22"/>
          <w:szCs w:val="22"/>
          <w:lang w:val="en-GB"/>
        </w:rPr>
        <w:t xml:space="preserve">, however this would only be partially </w:t>
      </w:r>
      <w:r w:rsidR="00182AE2">
        <w:rPr>
          <w:rFonts w:ascii="Arial" w:hAnsi="Arial" w:cs="Arial"/>
          <w:color w:val="7B7B7B" w:themeColor="accent3" w:themeShade="BF"/>
          <w:sz w:val="22"/>
          <w:szCs w:val="22"/>
          <w:lang w:val="en-GB"/>
        </w:rPr>
        <w:t>satisfactory as it would not change the fact that</w:t>
      </w:r>
      <w:r w:rsidR="00E33328">
        <w:rPr>
          <w:rFonts w:ascii="Arial" w:hAnsi="Arial" w:cs="Arial"/>
          <w:color w:val="7B7B7B" w:themeColor="accent3" w:themeShade="BF"/>
          <w:sz w:val="22"/>
          <w:szCs w:val="22"/>
          <w:lang w:val="en-GB"/>
        </w:rPr>
        <w:t xml:space="preserve"> higher</w:t>
      </w:r>
      <w:r w:rsidR="00182AE2">
        <w:rPr>
          <w:rFonts w:ascii="Arial" w:hAnsi="Arial" w:cs="Arial"/>
          <w:color w:val="7B7B7B" w:themeColor="accent3" w:themeShade="BF"/>
          <w:sz w:val="22"/>
          <w:szCs w:val="22"/>
          <w:lang w:val="en-GB"/>
        </w:rPr>
        <w:t xml:space="preserve"> costs would still likely </w:t>
      </w:r>
      <w:r w:rsidR="00E33328">
        <w:rPr>
          <w:rFonts w:ascii="Arial" w:hAnsi="Arial" w:cs="Arial"/>
          <w:color w:val="7B7B7B" w:themeColor="accent3" w:themeShade="BF"/>
          <w:sz w:val="22"/>
          <w:szCs w:val="22"/>
          <w:lang w:val="en-GB"/>
        </w:rPr>
        <w:t xml:space="preserve">be incurred and </w:t>
      </w:r>
      <w:r w:rsidR="00974594">
        <w:rPr>
          <w:rFonts w:ascii="Arial" w:hAnsi="Arial" w:cs="Arial"/>
          <w:color w:val="7B7B7B" w:themeColor="accent3" w:themeShade="BF"/>
          <w:sz w:val="22"/>
          <w:szCs w:val="22"/>
          <w:lang w:val="en-GB"/>
        </w:rPr>
        <w:t xml:space="preserve">that </w:t>
      </w:r>
      <w:r w:rsidR="00E33328">
        <w:rPr>
          <w:rFonts w:ascii="Arial" w:hAnsi="Arial" w:cs="Arial"/>
          <w:color w:val="7B7B7B" w:themeColor="accent3" w:themeShade="BF"/>
          <w:sz w:val="22"/>
          <w:szCs w:val="22"/>
          <w:lang w:val="en-GB"/>
        </w:rPr>
        <w:t xml:space="preserve">Chapter V </w:t>
      </w:r>
      <w:r w:rsidR="00974594">
        <w:rPr>
          <w:rFonts w:ascii="Arial" w:hAnsi="Arial" w:cs="Arial"/>
          <w:color w:val="7B7B7B" w:themeColor="accent3" w:themeShade="BF"/>
          <w:sz w:val="22"/>
          <w:szCs w:val="22"/>
          <w:lang w:val="en-GB"/>
        </w:rPr>
        <w:t>does</w:t>
      </w:r>
      <w:r w:rsidR="00E33328">
        <w:rPr>
          <w:rFonts w:ascii="Arial" w:hAnsi="Arial" w:cs="Arial"/>
          <w:color w:val="7B7B7B" w:themeColor="accent3" w:themeShade="BF"/>
          <w:sz w:val="22"/>
          <w:szCs w:val="22"/>
          <w:lang w:val="en-GB"/>
        </w:rPr>
        <w:t xml:space="preserve"> not apply to jurisdictions which are not Member States. </w:t>
      </w:r>
    </w:p>
    <w:p w14:paraId="62AFC288" w14:textId="0BC6BD91" w:rsidR="00E33328" w:rsidRDefault="00E33328" w:rsidP="00E7442A">
      <w:pPr>
        <w:jc w:val="both"/>
        <w:rPr>
          <w:rFonts w:ascii="Arial" w:hAnsi="Arial" w:cs="Arial"/>
          <w:color w:val="7B7B7B" w:themeColor="accent3" w:themeShade="BF"/>
          <w:sz w:val="22"/>
          <w:szCs w:val="22"/>
          <w:lang w:val="en-GB"/>
        </w:rPr>
      </w:pPr>
    </w:p>
    <w:p w14:paraId="62631534" w14:textId="3E61523B" w:rsidR="00E33328" w:rsidRPr="00420795" w:rsidRDefault="00420795" w:rsidP="00E7442A">
      <w:pPr>
        <w:jc w:val="both"/>
        <w:rPr>
          <w:rFonts w:ascii="Arial" w:hAnsi="Arial" w:cs="Arial"/>
          <w:color w:val="7B7B7B" w:themeColor="accent3" w:themeShade="BF"/>
          <w:sz w:val="22"/>
          <w:szCs w:val="22"/>
          <w:lang w:val="en-GB"/>
        </w:rPr>
      </w:pPr>
      <w:r w:rsidRPr="00420795">
        <w:rPr>
          <w:rFonts w:ascii="Arial" w:hAnsi="Arial" w:cs="Arial"/>
          <w:color w:val="7B7B7B" w:themeColor="accent3" w:themeShade="BF"/>
          <w:sz w:val="22"/>
          <w:szCs w:val="22"/>
          <w:lang w:val="en-GB"/>
        </w:rPr>
        <w:t>It is also the case that</w:t>
      </w:r>
      <w:r>
        <w:rPr>
          <w:rFonts w:ascii="Arial" w:hAnsi="Arial" w:cs="Arial"/>
          <w:color w:val="7B7B7B" w:themeColor="accent3" w:themeShade="BF"/>
          <w:sz w:val="22"/>
          <w:szCs w:val="22"/>
          <w:lang w:val="en-GB"/>
        </w:rPr>
        <w:t xml:space="preserve"> EIR Recast only exclusively applies to the proceedings listed in </w:t>
      </w:r>
      <w:r w:rsidR="00AB4327">
        <w:rPr>
          <w:rFonts w:ascii="Arial" w:hAnsi="Arial" w:cs="Arial"/>
          <w:color w:val="7B7B7B" w:themeColor="accent3" w:themeShade="BF"/>
          <w:sz w:val="22"/>
          <w:szCs w:val="22"/>
          <w:lang w:val="en-GB"/>
        </w:rPr>
        <w:t xml:space="preserve">Annex A. </w:t>
      </w:r>
      <w:r w:rsidR="00511A79">
        <w:rPr>
          <w:rFonts w:ascii="Arial" w:hAnsi="Arial" w:cs="Arial"/>
          <w:color w:val="7B7B7B" w:themeColor="accent3" w:themeShade="BF"/>
          <w:sz w:val="22"/>
          <w:szCs w:val="22"/>
          <w:lang w:val="en-GB"/>
        </w:rPr>
        <w:t xml:space="preserve">This may create issues where a Member </w:t>
      </w:r>
      <w:r w:rsidR="00520B95">
        <w:rPr>
          <w:rFonts w:ascii="Arial" w:hAnsi="Arial" w:cs="Arial"/>
          <w:color w:val="7B7B7B" w:themeColor="accent3" w:themeShade="BF"/>
          <w:sz w:val="22"/>
          <w:szCs w:val="22"/>
          <w:lang w:val="en-GB"/>
        </w:rPr>
        <w:t xml:space="preserve">State has proceedings which are not included in this exhaustive list. For </w:t>
      </w:r>
      <w:r w:rsidR="003D7E66">
        <w:rPr>
          <w:rFonts w:ascii="Arial" w:hAnsi="Arial" w:cs="Arial"/>
          <w:color w:val="7B7B7B" w:themeColor="accent3" w:themeShade="BF"/>
          <w:sz w:val="22"/>
          <w:szCs w:val="22"/>
          <w:lang w:val="en-GB"/>
        </w:rPr>
        <w:t>instance</w:t>
      </w:r>
      <w:r w:rsidR="00520B95">
        <w:rPr>
          <w:rFonts w:ascii="Arial" w:hAnsi="Arial" w:cs="Arial"/>
          <w:color w:val="7B7B7B" w:themeColor="accent3" w:themeShade="BF"/>
          <w:sz w:val="22"/>
          <w:szCs w:val="22"/>
          <w:lang w:val="en-GB"/>
        </w:rPr>
        <w:t xml:space="preserve"> (a</w:t>
      </w:r>
      <w:r w:rsidR="00281D1A">
        <w:rPr>
          <w:rFonts w:ascii="Arial" w:hAnsi="Arial" w:cs="Arial"/>
          <w:color w:val="7B7B7B" w:themeColor="accent3" w:themeShade="BF"/>
          <w:sz w:val="22"/>
          <w:szCs w:val="22"/>
          <w:lang w:val="en-GB"/>
        </w:rPr>
        <w:t xml:space="preserve">lthough the UK is no longer a Member State, </w:t>
      </w:r>
      <w:r w:rsidR="003D7E66">
        <w:rPr>
          <w:rFonts w:ascii="Arial" w:hAnsi="Arial" w:cs="Arial"/>
          <w:color w:val="7B7B7B" w:themeColor="accent3" w:themeShade="BF"/>
          <w:sz w:val="22"/>
          <w:szCs w:val="22"/>
          <w:lang w:val="en-GB"/>
        </w:rPr>
        <w:t xml:space="preserve">it is useful to use its example), a number of proceedings </w:t>
      </w:r>
      <w:r w:rsidR="002740E1">
        <w:rPr>
          <w:rFonts w:ascii="Arial" w:hAnsi="Arial" w:cs="Arial"/>
          <w:color w:val="7B7B7B" w:themeColor="accent3" w:themeShade="BF"/>
          <w:sz w:val="22"/>
          <w:szCs w:val="22"/>
          <w:lang w:val="en-GB"/>
        </w:rPr>
        <w:t xml:space="preserve">under Part 26 of the Companies Act 2006 were not included in Annex A EIR Recast, and the Part 26A proceedings introduced </w:t>
      </w:r>
      <w:r w:rsidR="00FB4DD5">
        <w:rPr>
          <w:rFonts w:ascii="Arial" w:hAnsi="Arial" w:cs="Arial"/>
          <w:color w:val="7B7B7B" w:themeColor="accent3" w:themeShade="BF"/>
          <w:sz w:val="22"/>
          <w:szCs w:val="22"/>
          <w:lang w:val="en-GB"/>
        </w:rPr>
        <w:t xml:space="preserve">by the Corporate Insolvency and Governance Act 2020 are also excluded </w:t>
      </w:r>
      <w:r w:rsidR="00EB502A">
        <w:rPr>
          <w:rFonts w:ascii="Arial" w:hAnsi="Arial" w:cs="Arial"/>
          <w:color w:val="7B7B7B" w:themeColor="accent3" w:themeShade="BF"/>
          <w:sz w:val="22"/>
          <w:szCs w:val="22"/>
          <w:lang w:val="en-GB"/>
        </w:rPr>
        <w:t xml:space="preserve">simply </w:t>
      </w:r>
      <w:r w:rsidR="00FB4DD5">
        <w:rPr>
          <w:rFonts w:ascii="Arial" w:hAnsi="Arial" w:cs="Arial"/>
          <w:color w:val="7B7B7B" w:themeColor="accent3" w:themeShade="BF"/>
          <w:sz w:val="22"/>
          <w:szCs w:val="22"/>
          <w:lang w:val="en-GB"/>
        </w:rPr>
        <w:t xml:space="preserve">by virtue of being </w:t>
      </w:r>
      <w:r w:rsidR="00EB502A">
        <w:rPr>
          <w:rFonts w:ascii="Arial" w:hAnsi="Arial" w:cs="Arial"/>
          <w:color w:val="7B7B7B" w:themeColor="accent3" w:themeShade="BF"/>
          <w:sz w:val="22"/>
          <w:szCs w:val="22"/>
          <w:lang w:val="en-GB"/>
        </w:rPr>
        <w:t>new</w:t>
      </w:r>
      <w:r w:rsidR="00215661">
        <w:rPr>
          <w:rFonts w:ascii="Arial" w:hAnsi="Arial" w:cs="Arial"/>
          <w:color w:val="7B7B7B" w:themeColor="accent3" w:themeShade="BF"/>
          <w:sz w:val="22"/>
          <w:szCs w:val="22"/>
          <w:lang w:val="en-GB"/>
        </w:rPr>
        <w:t xml:space="preserve"> (and therefore not </w:t>
      </w:r>
      <w:r w:rsidR="00EE03BF">
        <w:rPr>
          <w:rFonts w:ascii="Arial" w:hAnsi="Arial" w:cs="Arial"/>
          <w:color w:val="7B7B7B" w:themeColor="accent3" w:themeShade="BF"/>
          <w:sz w:val="22"/>
          <w:szCs w:val="22"/>
          <w:lang w:val="en-GB"/>
        </w:rPr>
        <w:t xml:space="preserve">yet </w:t>
      </w:r>
      <w:r w:rsidR="00215661">
        <w:rPr>
          <w:rFonts w:ascii="Arial" w:hAnsi="Arial" w:cs="Arial"/>
          <w:color w:val="7B7B7B" w:themeColor="accent3" w:themeShade="BF"/>
          <w:sz w:val="22"/>
          <w:szCs w:val="22"/>
          <w:lang w:val="en-GB"/>
        </w:rPr>
        <w:t>in</w:t>
      </w:r>
      <w:r w:rsidR="00EE03BF">
        <w:rPr>
          <w:rFonts w:ascii="Arial" w:hAnsi="Arial" w:cs="Arial"/>
          <w:color w:val="7B7B7B" w:themeColor="accent3" w:themeShade="BF"/>
          <w:sz w:val="22"/>
          <w:szCs w:val="22"/>
          <w:lang w:val="en-GB"/>
        </w:rPr>
        <w:t xml:space="preserve"> </w:t>
      </w:r>
      <w:r w:rsidR="00215661">
        <w:rPr>
          <w:rFonts w:ascii="Arial" w:hAnsi="Arial" w:cs="Arial"/>
          <w:color w:val="7B7B7B" w:themeColor="accent3" w:themeShade="BF"/>
          <w:sz w:val="22"/>
          <w:szCs w:val="22"/>
          <w:lang w:val="en-GB"/>
        </w:rPr>
        <w:t xml:space="preserve">existence </w:t>
      </w:r>
      <w:r w:rsidR="00EE03BF">
        <w:rPr>
          <w:rFonts w:ascii="Arial" w:hAnsi="Arial" w:cs="Arial"/>
          <w:color w:val="7B7B7B" w:themeColor="accent3" w:themeShade="BF"/>
          <w:sz w:val="22"/>
          <w:szCs w:val="22"/>
          <w:lang w:val="en-GB"/>
        </w:rPr>
        <w:t>when EIR Recast came into force)</w:t>
      </w:r>
      <w:r w:rsidR="00EB502A">
        <w:rPr>
          <w:rFonts w:ascii="Arial" w:hAnsi="Arial" w:cs="Arial"/>
          <w:color w:val="7B7B7B" w:themeColor="accent3" w:themeShade="BF"/>
          <w:sz w:val="22"/>
          <w:szCs w:val="22"/>
          <w:lang w:val="en-GB"/>
        </w:rPr>
        <w:t xml:space="preserve">: not only is Annex A EIR Recast restrictive, it also does not take into account the evolution of insolvency law and the development of new proceedings in response to </w:t>
      </w:r>
      <w:r w:rsidR="00B4250A">
        <w:rPr>
          <w:rFonts w:ascii="Arial" w:hAnsi="Arial" w:cs="Arial"/>
          <w:color w:val="7B7B7B" w:themeColor="accent3" w:themeShade="BF"/>
          <w:sz w:val="22"/>
          <w:szCs w:val="22"/>
          <w:lang w:val="en-GB"/>
        </w:rPr>
        <w:t xml:space="preserve">economic change. One way to </w:t>
      </w:r>
      <w:r w:rsidR="00215661">
        <w:rPr>
          <w:rFonts w:ascii="Arial" w:hAnsi="Arial" w:cs="Arial"/>
          <w:color w:val="7B7B7B" w:themeColor="accent3" w:themeShade="BF"/>
          <w:sz w:val="22"/>
          <w:szCs w:val="22"/>
          <w:lang w:val="en-GB"/>
        </w:rPr>
        <w:t xml:space="preserve">solve this issue could be to keep Annex A under </w:t>
      </w:r>
      <w:r w:rsidR="00EE03BF">
        <w:rPr>
          <w:rFonts w:ascii="Arial" w:hAnsi="Arial" w:cs="Arial"/>
          <w:color w:val="7B7B7B" w:themeColor="accent3" w:themeShade="BF"/>
          <w:sz w:val="22"/>
          <w:szCs w:val="22"/>
          <w:lang w:val="en-GB"/>
        </w:rPr>
        <w:t xml:space="preserve">constant </w:t>
      </w:r>
      <w:r w:rsidR="00215661">
        <w:rPr>
          <w:rFonts w:ascii="Arial" w:hAnsi="Arial" w:cs="Arial"/>
          <w:color w:val="7B7B7B" w:themeColor="accent3" w:themeShade="BF"/>
          <w:sz w:val="22"/>
          <w:szCs w:val="22"/>
          <w:lang w:val="en-GB"/>
        </w:rPr>
        <w:t xml:space="preserve">review and to update it regularly to ensure that </w:t>
      </w:r>
      <w:r w:rsidR="00EE03BF">
        <w:rPr>
          <w:rFonts w:ascii="Arial" w:hAnsi="Arial" w:cs="Arial"/>
          <w:color w:val="7B7B7B" w:themeColor="accent3" w:themeShade="BF"/>
          <w:sz w:val="22"/>
          <w:szCs w:val="22"/>
          <w:lang w:val="en-GB"/>
        </w:rPr>
        <w:t xml:space="preserve">its current form </w:t>
      </w:r>
      <w:r w:rsidR="00370189">
        <w:rPr>
          <w:rFonts w:ascii="Arial" w:hAnsi="Arial" w:cs="Arial"/>
          <w:color w:val="7B7B7B" w:themeColor="accent3" w:themeShade="BF"/>
          <w:sz w:val="22"/>
          <w:szCs w:val="22"/>
          <w:lang w:val="en-GB"/>
        </w:rPr>
        <w:t>is always a reflection of the insolvency proceedings of Member States.</w:t>
      </w:r>
    </w:p>
    <w:p w14:paraId="4E83D7AF" w14:textId="08E9366D" w:rsidR="00DF75F8" w:rsidRPr="008500BD" w:rsidRDefault="00DF75F8" w:rsidP="002A37BB">
      <w:pPr>
        <w:jc w:val="both"/>
        <w:rPr>
          <w:rFonts w:ascii="Arial" w:hAnsi="Arial" w:cs="Arial"/>
          <w:sz w:val="22"/>
          <w:szCs w:val="22"/>
          <w:lang w:val="en-GB"/>
        </w:rPr>
      </w:pPr>
    </w:p>
    <w:p w14:paraId="4AE7EA78" w14:textId="24C76947" w:rsidR="007D7C92" w:rsidRPr="008500BD" w:rsidRDefault="007D7C92" w:rsidP="002A37BB">
      <w:pPr>
        <w:ind w:left="720" w:hanging="720"/>
        <w:jc w:val="both"/>
        <w:rPr>
          <w:rFonts w:ascii="Arial" w:hAnsi="Arial" w:cs="Arial"/>
          <w:sz w:val="22"/>
          <w:szCs w:val="22"/>
          <w:lang w:val="en-GB"/>
        </w:rPr>
      </w:pP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625CDDE0"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1FB8B38B" w14:textId="77777777" w:rsidR="005A7A42" w:rsidRDefault="005A7A42" w:rsidP="002A37BB">
      <w:pPr>
        <w:jc w:val="both"/>
        <w:rPr>
          <w:rFonts w:ascii="Arial" w:hAnsi="Arial" w:cs="Arial"/>
          <w:sz w:val="22"/>
          <w:szCs w:val="22"/>
          <w:lang w:val="en-GB"/>
        </w:rPr>
      </w:pPr>
    </w:p>
    <w:p w14:paraId="7E1BD204" w14:textId="253234F9" w:rsidR="00E7442A" w:rsidRPr="00EA5378" w:rsidRDefault="00C86400" w:rsidP="00E7442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article 3(1) IER Recast</w:t>
      </w:r>
      <w:r w:rsidR="001346F8">
        <w:rPr>
          <w:rFonts w:ascii="Arial" w:hAnsi="Arial" w:cs="Arial"/>
          <w:color w:val="7B7B7B" w:themeColor="accent3" w:themeShade="BF"/>
          <w:sz w:val="22"/>
          <w:szCs w:val="22"/>
          <w:lang w:val="en-GB"/>
        </w:rPr>
        <w:t xml:space="preserve">, main insolvency proceedings can be opened by the courts of the Member State in which </w:t>
      </w:r>
      <w:r w:rsidR="00B0621B">
        <w:rPr>
          <w:rFonts w:ascii="Arial" w:hAnsi="Arial" w:cs="Arial"/>
          <w:color w:val="7B7B7B" w:themeColor="accent3" w:themeShade="BF"/>
          <w:sz w:val="22"/>
          <w:szCs w:val="22"/>
          <w:lang w:val="en-GB"/>
        </w:rPr>
        <w:t>Cardinal Home has its COMI</w:t>
      </w:r>
      <w:r w:rsidR="00226E5C">
        <w:rPr>
          <w:rFonts w:ascii="Arial" w:hAnsi="Arial" w:cs="Arial"/>
          <w:color w:val="7B7B7B" w:themeColor="accent3" w:themeShade="BF"/>
          <w:sz w:val="22"/>
          <w:szCs w:val="22"/>
          <w:lang w:val="en-GB"/>
        </w:rPr>
        <w:t xml:space="preserve">, being “the place where the debtor </w:t>
      </w:r>
      <w:r w:rsidR="00EB7D11">
        <w:rPr>
          <w:rFonts w:ascii="Arial" w:hAnsi="Arial" w:cs="Arial"/>
          <w:color w:val="7B7B7B" w:themeColor="accent3" w:themeShade="BF"/>
          <w:sz w:val="22"/>
          <w:szCs w:val="22"/>
          <w:lang w:val="en-GB"/>
        </w:rPr>
        <w:t xml:space="preserve">conducts the administration of its interests on a regular basis and which is ascertainable by third parties”. </w:t>
      </w:r>
      <w:r w:rsidR="00722C63">
        <w:rPr>
          <w:rFonts w:ascii="Arial" w:hAnsi="Arial" w:cs="Arial"/>
          <w:color w:val="7B7B7B" w:themeColor="accent3" w:themeShade="BF"/>
          <w:sz w:val="22"/>
          <w:szCs w:val="22"/>
          <w:lang w:val="en-GB"/>
        </w:rPr>
        <w:t xml:space="preserve">In </w:t>
      </w:r>
      <w:proofErr w:type="spellStart"/>
      <w:r w:rsidR="00722C63">
        <w:rPr>
          <w:rFonts w:ascii="Arial" w:hAnsi="Arial" w:cs="Arial"/>
          <w:i/>
          <w:iCs/>
          <w:color w:val="7B7B7B" w:themeColor="accent3" w:themeShade="BF"/>
          <w:sz w:val="22"/>
          <w:szCs w:val="22"/>
          <w:lang w:val="en-GB"/>
        </w:rPr>
        <w:t>Eurofoods</w:t>
      </w:r>
      <w:proofErr w:type="spellEnd"/>
      <w:r w:rsidR="00E53FA7">
        <w:rPr>
          <w:rFonts w:ascii="Arial" w:hAnsi="Arial" w:cs="Arial"/>
          <w:i/>
          <w:iCs/>
          <w:color w:val="7B7B7B" w:themeColor="accent3" w:themeShade="BF"/>
          <w:sz w:val="22"/>
          <w:szCs w:val="22"/>
          <w:lang w:val="en-GB"/>
        </w:rPr>
        <w:t xml:space="preserve"> IFSC Ltd, </w:t>
      </w:r>
      <w:r w:rsidR="00E53FA7">
        <w:rPr>
          <w:rFonts w:ascii="Arial" w:hAnsi="Arial" w:cs="Arial"/>
          <w:color w:val="7B7B7B" w:themeColor="accent3" w:themeShade="BF"/>
          <w:sz w:val="22"/>
          <w:szCs w:val="22"/>
          <w:lang w:val="en-GB"/>
        </w:rPr>
        <w:t xml:space="preserve">the meaning of this concept was clarified and it was held that </w:t>
      </w:r>
      <w:r w:rsidR="00966A04">
        <w:rPr>
          <w:rFonts w:ascii="Arial" w:hAnsi="Arial" w:cs="Arial"/>
          <w:color w:val="7B7B7B" w:themeColor="accent3" w:themeShade="BF"/>
          <w:sz w:val="22"/>
          <w:szCs w:val="22"/>
          <w:lang w:val="en-GB"/>
        </w:rPr>
        <w:t>article 3(1)’s</w:t>
      </w:r>
      <w:r w:rsidR="00E53FA7">
        <w:rPr>
          <w:rFonts w:ascii="Arial" w:hAnsi="Arial" w:cs="Arial"/>
          <w:color w:val="7B7B7B" w:themeColor="accent3" w:themeShade="BF"/>
          <w:sz w:val="22"/>
          <w:szCs w:val="22"/>
          <w:lang w:val="en-GB"/>
        </w:rPr>
        <w:t xml:space="preserve"> presumption that a debtor’s COMI was </w:t>
      </w:r>
      <w:r w:rsidR="008F2272">
        <w:rPr>
          <w:rFonts w:ascii="Arial" w:hAnsi="Arial" w:cs="Arial"/>
          <w:color w:val="7B7B7B" w:themeColor="accent3" w:themeShade="BF"/>
          <w:sz w:val="22"/>
          <w:szCs w:val="22"/>
          <w:lang w:val="en-GB"/>
        </w:rPr>
        <w:t>the state where the debtor was registered, could only be rebutted if</w:t>
      </w:r>
      <w:r w:rsidR="0068558C">
        <w:rPr>
          <w:rFonts w:ascii="Arial" w:hAnsi="Arial" w:cs="Arial"/>
          <w:color w:val="7B7B7B" w:themeColor="accent3" w:themeShade="BF"/>
          <w:sz w:val="22"/>
          <w:szCs w:val="22"/>
          <w:lang w:val="en-GB"/>
        </w:rPr>
        <w:t xml:space="preserve"> clear evidence objectively showed that, despite being </w:t>
      </w:r>
      <w:r w:rsidR="00B26755">
        <w:rPr>
          <w:rFonts w:ascii="Arial" w:hAnsi="Arial" w:cs="Arial"/>
          <w:color w:val="7B7B7B" w:themeColor="accent3" w:themeShade="BF"/>
          <w:sz w:val="22"/>
          <w:szCs w:val="22"/>
          <w:lang w:val="en-GB"/>
        </w:rPr>
        <w:t>registered</w:t>
      </w:r>
      <w:r w:rsidR="0068558C">
        <w:rPr>
          <w:rFonts w:ascii="Arial" w:hAnsi="Arial" w:cs="Arial"/>
          <w:color w:val="7B7B7B" w:themeColor="accent3" w:themeShade="BF"/>
          <w:sz w:val="22"/>
          <w:szCs w:val="22"/>
          <w:lang w:val="en-GB"/>
        </w:rPr>
        <w:t xml:space="preserve"> in one Member State, the </w:t>
      </w:r>
      <w:r w:rsidR="00B26755">
        <w:rPr>
          <w:rFonts w:ascii="Arial" w:hAnsi="Arial" w:cs="Arial"/>
          <w:color w:val="7B7B7B" w:themeColor="accent3" w:themeShade="BF"/>
          <w:sz w:val="22"/>
          <w:szCs w:val="22"/>
          <w:lang w:val="en-GB"/>
        </w:rPr>
        <w:t xml:space="preserve">debtor in fact </w:t>
      </w:r>
      <w:r w:rsidR="00743469">
        <w:rPr>
          <w:rFonts w:ascii="Arial" w:hAnsi="Arial" w:cs="Arial"/>
          <w:color w:val="7B7B7B" w:themeColor="accent3" w:themeShade="BF"/>
          <w:sz w:val="22"/>
          <w:szCs w:val="22"/>
          <w:lang w:val="en-GB"/>
        </w:rPr>
        <w:t xml:space="preserve">administered its interest in a different Member State. </w:t>
      </w:r>
    </w:p>
    <w:p w14:paraId="79C33AF1" w14:textId="51B934EC" w:rsidR="00030738" w:rsidRDefault="00030738" w:rsidP="00E7442A">
      <w:pPr>
        <w:autoSpaceDE w:val="0"/>
        <w:autoSpaceDN w:val="0"/>
        <w:adjustRightInd w:val="0"/>
        <w:jc w:val="both"/>
        <w:rPr>
          <w:rFonts w:ascii="Arial" w:hAnsi="Arial" w:cs="Arial"/>
          <w:color w:val="7B7B7B" w:themeColor="accent3" w:themeShade="BF"/>
          <w:sz w:val="22"/>
          <w:szCs w:val="22"/>
          <w:lang w:val="en-GB"/>
        </w:rPr>
      </w:pPr>
    </w:p>
    <w:p w14:paraId="5D85B6A1" w14:textId="63F5C118" w:rsidR="00BE3C13" w:rsidRDefault="00030738" w:rsidP="00E7442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Here, </w:t>
      </w:r>
      <w:r w:rsidR="00A57185">
        <w:rPr>
          <w:rFonts w:ascii="Arial" w:hAnsi="Arial" w:cs="Arial"/>
          <w:color w:val="7B7B7B" w:themeColor="accent3" w:themeShade="BF"/>
          <w:sz w:val="22"/>
          <w:szCs w:val="22"/>
          <w:lang w:val="en-GB"/>
        </w:rPr>
        <w:t>we know that Cardinal Home was registered in Ireland</w:t>
      </w:r>
      <w:r w:rsidR="00E8099D">
        <w:rPr>
          <w:rFonts w:ascii="Arial" w:hAnsi="Arial" w:cs="Arial"/>
          <w:color w:val="7B7B7B" w:themeColor="accent3" w:themeShade="BF"/>
          <w:sz w:val="22"/>
          <w:szCs w:val="22"/>
          <w:lang w:val="en-GB"/>
        </w:rPr>
        <w:t xml:space="preserve"> - t</w:t>
      </w:r>
      <w:r w:rsidR="00A57185">
        <w:rPr>
          <w:rFonts w:ascii="Arial" w:hAnsi="Arial" w:cs="Arial"/>
          <w:color w:val="7B7B7B" w:themeColor="accent3" w:themeShade="BF"/>
          <w:sz w:val="22"/>
          <w:szCs w:val="22"/>
          <w:lang w:val="en-GB"/>
        </w:rPr>
        <w:t xml:space="preserve">here is therefore a presumption that its COMI is in Ireland. </w:t>
      </w:r>
      <w:r w:rsidR="00F527FC">
        <w:rPr>
          <w:rFonts w:ascii="Arial" w:hAnsi="Arial" w:cs="Arial"/>
          <w:color w:val="7B7B7B" w:themeColor="accent3" w:themeShade="BF"/>
          <w:sz w:val="22"/>
          <w:szCs w:val="22"/>
          <w:lang w:val="en-GB"/>
        </w:rPr>
        <w:t xml:space="preserve">Although it has a number of warehouses cross Europe, nothing on the facts indicates that the administration of Cardinal Home takes place from any of these Member States. </w:t>
      </w:r>
      <w:r w:rsidR="00352410">
        <w:rPr>
          <w:rFonts w:ascii="Arial" w:hAnsi="Arial" w:cs="Arial"/>
          <w:color w:val="7B7B7B" w:themeColor="accent3" w:themeShade="BF"/>
          <w:sz w:val="22"/>
          <w:szCs w:val="22"/>
          <w:lang w:val="en-GB"/>
        </w:rPr>
        <w:t xml:space="preserve">The fact that </w:t>
      </w:r>
      <w:r w:rsidR="00B63DCD">
        <w:rPr>
          <w:rFonts w:ascii="Arial" w:hAnsi="Arial" w:cs="Arial"/>
          <w:color w:val="7B7B7B" w:themeColor="accent3" w:themeShade="BF"/>
          <w:sz w:val="22"/>
          <w:szCs w:val="22"/>
          <w:lang w:val="en-GB"/>
        </w:rPr>
        <w:t xml:space="preserve">Cardinal Home entered into a credit agreement with an Italian bank </w:t>
      </w:r>
      <w:r w:rsidR="007046E9">
        <w:rPr>
          <w:rFonts w:ascii="Arial" w:hAnsi="Arial" w:cs="Arial"/>
          <w:color w:val="7B7B7B" w:themeColor="accent3" w:themeShade="BF"/>
          <w:sz w:val="22"/>
          <w:szCs w:val="22"/>
          <w:lang w:val="en-GB"/>
        </w:rPr>
        <w:t>does not, in itself, suggest that the COMI has been moved</w:t>
      </w:r>
      <w:r w:rsidR="00B62DD2">
        <w:rPr>
          <w:rFonts w:ascii="Arial" w:hAnsi="Arial" w:cs="Arial"/>
          <w:color w:val="7B7B7B" w:themeColor="accent3" w:themeShade="BF"/>
          <w:sz w:val="22"/>
          <w:szCs w:val="22"/>
          <w:lang w:val="en-GB"/>
        </w:rPr>
        <w:t xml:space="preserve"> – nor does the fact that Cardinal Home started negotiating with </w:t>
      </w:r>
      <w:r w:rsidR="00461338">
        <w:rPr>
          <w:rFonts w:ascii="Arial" w:hAnsi="Arial" w:cs="Arial"/>
          <w:color w:val="7B7B7B" w:themeColor="accent3" w:themeShade="BF"/>
          <w:sz w:val="22"/>
          <w:szCs w:val="22"/>
          <w:lang w:val="en-GB"/>
        </w:rPr>
        <w:t>local</w:t>
      </w:r>
      <w:r w:rsidR="00B62DD2">
        <w:rPr>
          <w:rFonts w:ascii="Arial" w:hAnsi="Arial" w:cs="Arial"/>
          <w:color w:val="7B7B7B" w:themeColor="accent3" w:themeShade="BF"/>
          <w:sz w:val="22"/>
          <w:szCs w:val="22"/>
          <w:lang w:val="en-GB"/>
        </w:rPr>
        <w:t xml:space="preserve"> distributors</w:t>
      </w:r>
      <w:r w:rsidR="00B846D5">
        <w:rPr>
          <w:rFonts w:ascii="Arial" w:hAnsi="Arial" w:cs="Arial"/>
          <w:color w:val="7B7B7B" w:themeColor="accent3" w:themeShade="BF"/>
          <w:sz w:val="22"/>
          <w:szCs w:val="22"/>
          <w:lang w:val="en-GB"/>
        </w:rPr>
        <w:t xml:space="preserve"> or has property in other Member States (as per </w:t>
      </w:r>
      <w:proofErr w:type="spellStart"/>
      <w:r w:rsidR="00B846D5">
        <w:rPr>
          <w:rFonts w:ascii="Arial" w:hAnsi="Arial" w:cs="Arial"/>
          <w:i/>
          <w:iCs/>
          <w:color w:val="7B7B7B" w:themeColor="accent3" w:themeShade="BF"/>
          <w:sz w:val="22"/>
          <w:szCs w:val="22"/>
          <w:lang w:val="en-GB"/>
        </w:rPr>
        <w:t>Interedil</w:t>
      </w:r>
      <w:proofErr w:type="spellEnd"/>
      <w:r w:rsidR="00B846D5">
        <w:rPr>
          <w:rFonts w:ascii="Arial" w:hAnsi="Arial" w:cs="Arial"/>
          <w:i/>
          <w:iCs/>
          <w:color w:val="7B7B7B" w:themeColor="accent3" w:themeShade="BF"/>
          <w:sz w:val="22"/>
          <w:szCs w:val="22"/>
          <w:lang w:val="en-GB"/>
        </w:rPr>
        <w:t xml:space="preserve"> </w:t>
      </w:r>
      <w:proofErr w:type="spellStart"/>
      <w:r w:rsidR="00B846D5">
        <w:rPr>
          <w:rFonts w:ascii="Arial" w:hAnsi="Arial" w:cs="Arial"/>
          <w:i/>
          <w:iCs/>
          <w:color w:val="7B7B7B" w:themeColor="accent3" w:themeShade="BF"/>
          <w:sz w:val="22"/>
          <w:szCs w:val="22"/>
          <w:lang w:val="en-GB"/>
        </w:rPr>
        <w:t>Srl</w:t>
      </w:r>
      <w:proofErr w:type="spellEnd"/>
      <w:r w:rsidR="00B846D5">
        <w:rPr>
          <w:rFonts w:ascii="Arial" w:hAnsi="Arial" w:cs="Arial"/>
          <w:i/>
          <w:iCs/>
          <w:color w:val="7B7B7B" w:themeColor="accent3" w:themeShade="BF"/>
          <w:sz w:val="22"/>
          <w:szCs w:val="22"/>
          <w:lang w:val="en-GB"/>
        </w:rPr>
        <w:t xml:space="preserve"> v </w:t>
      </w:r>
      <w:proofErr w:type="spellStart"/>
      <w:r w:rsidR="00B846D5">
        <w:rPr>
          <w:rFonts w:ascii="Arial" w:hAnsi="Arial" w:cs="Arial"/>
          <w:i/>
          <w:iCs/>
          <w:color w:val="7B7B7B" w:themeColor="accent3" w:themeShade="BF"/>
          <w:sz w:val="22"/>
          <w:szCs w:val="22"/>
          <w:lang w:val="en-GB"/>
        </w:rPr>
        <w:t>Fallimento</w:t>
      </w:r>
      <w:proofErr w:type="spellEnd"/>
      <w:r w:rsidR="00B846D5">
        <w:rPr>
          <w:rFonts w:ascii="Arial" w:hAnsi="Arial" w:cs="Arial"/>
          <w:i/>
          <w:iCs/>
          <w:color w:val="7B7B7B" w:themeColor="accent3" w:themeShade="BF"/>
          <w:sz w:val="22"/>
          <w:szCs w:val="22"/>
          <w:lang w:val="en-GB"/>
        </w:rPr>
        <w:t xml:space="preserve"> </w:t>
      </w:r>
      <w:proofErr w:type="spellStart"/>
      <w:r w:rsidR="00B846D5">
        <w:rPr>
          <w:rFonts w:ascii="Arial" w:hAnsi="Arial" w:cs="Arial"/>
          <w:i/>
          <w:iCs/>
          <w:color w:val="7B7B7B" w:themeColor="accent3" w:themeShade="BF"/>
          <w:sz w:val="22"/>
          <w:szCs w:val="22"/>
          <w:lang w:val="en-GB"/>
        </w:rPr>
        <w:t>Interedil</w:t>
      </w:r>
      <w:proofErr w:type="spellEnd"/>
      <w:r w:rsidR="00B846D5">
        <w:rPr>
          <w:rFonts w:ascii="Arial" w:hAnsi="Arial" w:cs="Arial"/>
          <w:i/>
          <w:iCs/>
          <w:color w:val="7B7B7B" w:themeColor="accent3" w:themeShade="BF"/>
          <w:sz w:val="22"/>
          <w:szCs w:val="22"/>
          <w:lang w:val="en-GB"/>
        </w:rPr>
        <w:t xml:space="preserve"> </w:t>
      </w:r>
      <w:proofErr w:type="spellStart"/>
      <w:r w:rsidR="00B846D5">
        <w:rPr>
          <w:rFonts w:ascii="Arial" w:hAnsi="Arial" w:cs="Arial"/>
          <w:i/>
          <w:iCs/>
          <w:color w:val="7B7B7B" w:themeColor="accent3" w:themeShade="BF"/>
          <w:sz w:val="22"/>
          <w:szCs w:val="22"/>
          <w:lang w:val="en-GB"/>
        </w:rPr>
        <w:t>Srl</w:t>
      </w:r>
      <w:proofErr w:type="spellEnd"/>
      <w:r w:rsidR="00B846D5" w:rsidRPr="00B846D5">
        <w:rPr>
          <w:rFonts w:ascii="Arial" w:hAnsi="Arial" w:cs="Arial"/>
          <w:color w:val="7B7B7B" w:themeColor="accent3" w:themeShade="BF"/>
          <w:sz w:val="22"/>
          <w:szCs w:val="22"/>
          <w:lang w:val="en-GB"/>
        </w:rPr>
        <w:t>)</w:t>
      </w:r>
      <w:r w:rsidR="007046E9">
        <w:rPr>
          <w:rFonts w:ascii="Arial" w:hAnsi="Arial" w:cs="Arial"/>
          <w:color w:val="7B7B7B" w:themeColor="accent3" w:themeShade="BF"/>
          <w:sz w:val="22"/>
          <w:szCs w:val="22"/>
          <w:lang w:val="en-GB"/>
        </w:rPr>
        <w:t>.</w:t>
      </w:r>
      <w:r w:rsidR="00B62DD2">
        <w:rPr>
          <w:rFonts w:ascii="Arial" w:hAnsi="Arial" w:cs="Arial"/>
          <w:color w:val="7B7B7B" w:themeColor="accent3" w:themeShade="BF"/>
          <w:sz w:val="22"/>
          <w:szCs w:val="22"/>
          <w:lang w:val="en-GB"/>
        </w:rPr>
        <w:t xml:space="preserve"> </w:t>
      </w:r>
      <w:r w:rsidR="009B58CA">
        <w:rPr>
          <w:rFonts w:ascii="Arial" w:hAnsi="Arial" w:cs="Arial"/>
          <w:color w:val="7B7B7B" w:themeColor="accent3" w:themeShade="BF"/>
          <w:sz w:val="22"/>
          <w:szCs w:val="22"/>
          <w:lang w:val="en-GB"/>
        </w:rPr>
        <w:t xml:space="preserve">There is also no indication that third parties </w:t>
      </w:r>
      <w:r w:rsidR="00A6511D">
        <w:rPr>
          <w:rFonts w:ascii="Arial" w:hAnsi="Arial" w:cs="Arial"/>
          <w:color w:val="7B7B7B" w:themeColor="accent3" w:themeShade="BF"/>
          <w:sz w:val="22"/>
          <w:szCs w:val="22"/>
          <w:lang w:val="en-GB"/>
        </w:rPr>
        <w:t xml:space="preserve">understand Cardinal Home’s COMI to be in another Member State and, in </w:t>
      </w:r>
      <w:r w:rsidR="00BE3C13">
        <w:rPr>
          <w:rFonts w:ascii="Arial" w:hAnsi="Arial" w:cs="Arial"/>
          <w:color w:val="7B7B7B" w:themeColor="accent3" w:themeShade="BF"/>
          <w:sz w:val="22"/>
          <w:szCs w:val="22"/>
          <w:lang w:val="en-GB"/>
        </w:rPr>
        <w:t xml:space="preserve">the absence of such factors, it is likely that Cardinal Home’s COMI is in Ireland. </w:t>
      </w:r>
    </w:p>
    <w:p w14:paraId="66682FD8" w14:textId="77777777" w:rsidR="00BE3C13" w:rsidRDefault="00BE3C13" w:rsidP="00E7442A">
      <w:pPr>
        <w:autoSpaceDE w:val="0"/>
        <w:autoSpaceDN w:val="0"/>
        <w:adjustRightInd w:val="0"/>
        <w:jc w:val="both"/>
        <w:rPr>
          <w:rFonts w:ascii="Arial" w:hAnsi="Arial" w:cs="Arial"/>
          <w:color w:val="7B7B7B" w:themeColor="accent3" w:themeShade="BF"/>
          <w:sz w:val="22"/>
          <w:szCs w:val="22"/>
          <w:lang w:val="en-GB"/>
        </w:rPr>
      </w:pPr>
    </w:p>
    <w:p w14:paraId="493027DD" w14:textId="223E68C0" w:rsidR="00030738" w:rsidRPr="00E53FA7" w:rsidRDefault="00BE3C13" w:rsidP="00E7442A">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As a result, </w:t>
      </w:r>
      <w:r w:rsidR="00580B83">
        <w:rPr>
          <w:rFonts w:ascii="Arial" w:hAnsi="Arial" w:cs="Arial"/>
          <w:color w:val="7B7B7B" w:themeColor="accent3" w:themeShade="BF"/>
          <w:sz w:val="22"/>
          <w:szCs w:val="22"/>
          <w:lang w:val="en-GB"/>
        </w:rPr>
        <w:t>the Dublin High Court does have international jurisdiction to open proceedings.</w:t>
      </w:r>
      <w:r w:rsidR="007046E9">
        <w:rPr>
          <w:rFonts w:ascii="Arial" w:hAnsi="Arial" w:cs="Arial"/>
          <w:color w:val="7B7B7B" w:themeColor="accent3" w:themeShade="BF"/>
          <w:sz w:val="22"/>
          <w:szCs w:val="22"/>
          <w:lang w:val="en-GB"/>
        </w:rPr>
        <w:t xml:space="preserve"> </w:t>
      </w:r>
    </w:p>
    <w:p w14:paraId="44AF0D80" w14:textId="0AA5B55B" w:rsidR="003E4DB0" w:rsidRDefault="003E4DB0" w:rsidP="002A37BB">
      <w:pPr>
        <w:jc w:val="both"/>
        <w:rPr>
          <w:rFonts w:ascii="Arial" w:hAnsi="Arial" w:cs="Arial"/>
          <w:sz w:val="22"/>
          <w:szCs w:val="22"/>
          <w:lang w:val="en-GB"/>
        </w:rPr>
      </w:pPr>
    </w:p>
    <w:p w14:paraId="122B0CF9" w14:textId="77777777" w:rsidR="003E4DB0" w:rsidRPr="008500BD" w:rsidRDefault="003E4DB0"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25B56B8D" w14:textId="0B112C96" w:rsidR="00C36AA7" w:rsidRDefault="00A04FEF"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w:t>
      </w:r>
      <w:r w:rsidR="003677A1">
        <w:rPr>
          <w:rFonts w:ascii="Arial" w:hAnsi="Arial" w:cs="Arial"/>
          <w:color w:val="7B7B7B" w:themeColor="accent3" w:themeShade="BF"/>
          <w:sz w:val="22"/>
          <w:szCs w:val="22"/>
          <w:lang w:val="en-GB"/>
        </w:rPr>
        <w:t xml:space="preserve">roposed proceedings must fall with </w:t>
      </w:r>
      <w:r w:rsidR="004443E7">
        <w:rPr>
          <w:rFonts w:ascii="Arial" w:hAnsi="Arial" w:cs="Arial"/>
          <w:color w:val="7B7B7B" w:themeColor="accent3" w:themeShade="BF"/>
          <w:sz w:val="22"/>
          <w:szCs w:val="22"/>
          <w:lang w:val="en-GB"/>
        </w:rPr>
        <w:t>EIR Recast’s</w:t>
      </w:r>
      <w:r w:rsidR="003677A1">
        <w:rPr>
          <w:rFonts w:ascii="Arial" w:hAnsi="Arial" w:cs="Arial"/>
          <w:color w:val="7B7B7B" w:themeColor="accent3" w:themeShade="BF"/>
          <w:sz w:val="22"/>
          <w:szCs w:val="22"/>
          <w:lang w:val="en-GB"/>
        </w:rPr>
        <w:t xml:space="preserve"> scope </w:t>
      </w:r>
      <w:r w:rsidR="004443E7">
        <w:rPr>
          <w:rFonts w:ascii="Arial" w:hAnsi="Arial" w:cs="Arial"/>
          <w:color w:val="7B7B7B" w:themeColor="accent3" w:themeShade="BF"/>
          <w:sz w:val="22"/>
          <w:szCs w:val="22"/>
          <w:lang w:val="en-GB"/>
        </w:rPr>
        <w:t xml:space="preserve">before this becomes applicable. </w:t>
      </w:r>
      <w:r w:rsidR="00C36AA7">
        <w:rPr>
          <w:rFonts w:ascii="Arial" w:hAnsi="Arial" w:cs="Arial"/>
          <w:color w:val="7B7B7B" w:themeColor="accent3" w:themeShade="BF"/>
          <w:sz w:val="22"/>
          <w:szCs w:val="22"/>
          <w:lang w:val="en-GB"/>
        </w:rPr>
        <w:t>There are four categories which need to be satisfied in this respect</w:t>
      </w:r>
      <w:r w:rsidR="001251F1">
        <w:rPr>
          <w:rFonts w:ascii="Arial" w:hAnsi="Arial" w:cs="Arial"/>
          <w:color w:val="7B7B7B" w:themeColor="accent3" w:themeShade="BF"/>
          <w:sz w:val="22"/>
          <w:szCs w:val="22"/>
          <w:lang w:val="en-GB"/>
        </w:rPr>
        <w:t>, as follows:</w:t>
      </w:r>
    </w:p>
    <w:p w14:paraId="5F0E6C88" w14:textId="77777777" w:rsidR="00C36AA7" w:rsidRDefault="00C36AA7" w:rsidP="002A37BB">
      <w:pPr>
        <w:autoSpaceDE w:val="0"/>
        <w:autoSpaceDN w:val="0"/>
        <w:adjustRightInd w:val="0"/>
        <w:jc w:val="both"/>
        <w:rPr>
          <w:rFonts w:ascii="Arial" w:hAnsi="Arial" w:cs="Arial"/>
          <w:color w:val="7B7B7B" w:themeColor="accent3" w:themeShade="BF"/>
          <w:sz w:val="22"/>
          <w:szCs w:val="22"/>
          <w:lang w:val="en-GB"/>
        </w:rPr>
      </w:pPr>
    </w:p>
    <w:p w14:paraId="626FA5C6" w14:textId="18E246D5" w:rsidR="002D3473" w:rsidRDefault="00691A12"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Temporal scope: </w:t>
      </w:r>
      <w:r w:rsidR="00545B85">
        <w:rPr>
          <w:rFonts w:ascii="Arial" w:hAnsi="Arial" w:cs="Arial"/>
          <w:color w:val="7B7B7B" w:themeColor="accent3" w:themeShade="BF"/>
          <w:sz w:val="22"/>
          <w:szCs w:val="22"/>
          <w:lang w:val="en-GB"/>
        </w:rPr>
        <w:t xml:space="preserve">EIR Recast came into force on 26 June 2017 and was therefore </w:t>
      </w:r>
      <w:r w:rsidR="00FA4CA9">
        <w:rPr>
          <w:rFonts w:ascii="Arial" w:hAnsi="Arial" w:cs="Arial"/>
          <w:color w:val="7B7B7B" w:themeColor="accent3" w:themeShade="BF"/>
          <w:sz w:val="22"/>
          <w:szCs w:val="22"/>
          <w:lang w:val="en-GB"/>
        </w:rPr>
        <w:t xml:space="preserve">in force when the proceedings were opened by the Dublin High Court. </w:t>
      </w:r>
      <w:r w:rsidR="00C36AA7">
        <w:rPr>
          <w:rFonts w:ascii="Arial" w:hAnsi="Arial" w:cs="Arial"/>
          <w:color w:val="7B7B7B" w:themeColor="accent3" w:themeShade="BF"/>
          <w:sz w:val="22"/>
          <w:szCs w:val="22"/>
          <w:lang w:val="en-GB"/>
        </w:rPr>
        <w:t xml:space="preserve">In accordance </w:t>
      </w:r>
      <w:r w:rsidR="00031814">
        <w:rPr>
          <w:rFonts w:ascii="Arial" w:hAnsi="Arial" w:cs="Arial"/>
          <w:color w:val="7B7B7B" w:themeColor="accent3" w:themeShade="BF"/>
          <w:sz w:val="22"/>
          <w:szCs w:val="22"/>
          <w:lang w:val="en-GB"/>
        </w:rPr>
        <w:t>with article 84(1) EIR Recast, the temporal scope element is satisfied.</w:t>
      </w:r>
    </w:p>
    <w:p w14:paraId="40CB6129" w14:textId="555B42DA" w:rsidR="002A73AA" w:rsidRDefault="002A73AA" w:rsidP="002A37BB">
      <w:pPr>
        <w:autoSpaceDE w:val="0"/>
        <w:autoSpaceDN w:val="0"/>
        <w:adjustRightInd w:val="0"/>
        <w:jc w:val="both"/>
        <w:rPr>
          <w:rFonts w:ascii="Arial" w:hAnsi="Arial" w:cs="Arial"/>
          <w:color w:val="7B7B7B" w:themeColor="accent3" w:themeShade="BF"/>
          <w:sz w:val="22"/>
          <w:szCs w:val="22"/>
          <w:lang w:val="en-GB"/>
        </w:rPr>
      </w:pPr>
    </w:p>
    <w:p w14:paraId="1A83070C" w14:textId="493F0BA4" w:rsidR="008F35D1" w:rsidRDefault="001251F1" w:rsidP="008F35D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Territorial scope: </w:t>
      </w:r>
      <w:r w:rsidR="00F32DBF">
        <w:rPr>
          <w:rFonts w:ascii="Arial" w:hAnsi="Arial" w:cs="Arial"/>
          <w:color w:val="7B7B7B" w:themeColor="accent3" w:themeShade="BF"/>
          <w:sz w:val="22"/>
          <w:szCs w:val="22"/>
          <w:lang w:val="en-GB"/>
        </w:rPr>
        <w:t>under recital 25 EIR Recast, the Regulation applies to proceedings</w:t>
      </w:r>
      <w:r w:rsidR="008F35D1">
        <w:rPr>
          <w:rFonts w:ascii="Arial" w:hAnsi="Arial" w:cs="Arial"/>
          <w:color w:val="7B7B7B" w:themeColor="accent3" w:themeShade="BF"/>
          <w:sz w:val="22"/>
          <w:szCs w:val="22"/>
          <w:lang w:val="en-GB"/>
        </w:rPr>
        <w:t xml:space="preserve"> relating to debtors who have their COMI in the European Union. A</w:t>
      </w:r>
      <w:r w:rsidR="002A73AA">
        <w:rPr>
          <w:rFonts w:ascii="Arial" w:hAnsi="Arial" w:cs="Arial"/>
          <w:color w:val="7B7B7B" w:themeColor="accent3" w:themeShade="BF"/>
          <w:sz w:val="22"/>
          <w:szCs w:val="22"/>
          <w:lang w:val="en-GB"/>
        </w:rPr>
        <w:t xml:space="preserve">s per the answer to the above question, </w:t>
      </w:r>
      <w:r>
        <w:rPr>
          <w:rFonts w:ascii="Arial" w:hAnsi="Arial" w:cs="Arial"/>
          <w:color w:val="7B7B7B" w:themeColor="accent3" w:themeShade="BF"/>
          <w:sz w:val="22"/>
          <w:szCs w:val="22"/>
          <w:lang w:val="en-GB"/>
        </w:rPr>
        <w:t xml:space="preserve">we have determined that </w:t>
      </w:r>
      <w:r w:rsidR="00AF3381">
        <w:rPr>
          <w:rFonts w:ascii="Arial" w:hAnsi="Arial" w:cs="Arial"/>
          <w:color w:val="7B7B7B" w:themeColor="accent3" w:themeShade="BF"/>
          <w:sz w:val="22"/>
          <w:szCs w:val="22"/>
          <w:lang w:val="en-GB"/>
        </w:rPr>
        <w:t>Cardinal Home’s COMI is in a Member State</w:t>
      </w:r>
      <w:r w:rsidR="008F35D1" w:rsidRPr="008F35D1">
        <w:rPr>
          <w:rFonts w:ascii="Arial" w:hAnsi="Arial" w:cs="Arial"/>
          <w:color w:val="7B7B7B" w:themeColor="accent3" w:themeShade="BF"/>
          <w:sz w:val="22"/>
          <w:szCs w:val="22"/>
          <w:lang w:val="en-GB"/>
        </w:rPr>
        <w:t xml:space="preserve"> </w:t>
      </w:r>
      <w:r w:rsidR="008F35D1">
        <w:rPr>
          <w:rFonts w:ascii="Arial" w:hAnsi="Arial" w:cs="Arial"/>
          <w:color w:val="7B7B7B" w:themeColor="accent3" w:themeShade="BF"/>
          <w:sz w:val="22"/>
          <w:szCs w:val="22"/>
          <w:lang w:val="en-GB"/>
        </w:rPr>
        <w:t xml:space="preserve">therefore the </w:t>
      </w:r>
      <w:r w:rsidR="008F35D1">
        <w:rPr>
          <w:rFonts w:ascii="Arial" w:hAnsi="Arial" w:cs="Arial"/>
          <w:color w:val="7B7B7B" w:themeColor="accent3" w:themeShade="BF"/>
          <w:sz w:val="22"/>
          <w:szCs w:val="22"/>
          <w:lang w:val="en-GB"/>
        </w:rPr>
        <w:t>territorial</w:t>
      </w:r>
      <w:r w:rsidR="008F35D1">
        <w:rPr>
          <w:rFonts w:ascii="Arial" w:hAnsi="Arial" w:cs="Arial"/>
          <w:color w:val="7B7B7B" w:themeColor="accent3" w:themeShade="BF"/>
          <w:sz w:val="22"/>
          <w:szCs w:val="22"/>
          <w:lang w:val="en-GB"/>
        </w:rPr>
        <w:t xml:space="preserve"> scope element is satisfied. </w:t>
      </w:r>
    </w:p>
    <w:p w14:paraId="771E194F" w14:textId="58BDEB73" w:rsidR="0023544F" w:rsidRDefault="0023544F" w:rsidP="002A37BB">
      <w:pPr>
        <w:autoSpaceDE w:val="0"/>
        <w:autoSpaceDN w:val="0"/>
        <w:adjustRightInd w:val="0"/>
        <w:jc w:val="both"/>
        <w:rPr>
          <w:rFonts w:ascii="Arial" w:hAnsi="Arial" w:cs="Arial"/>
          <w:color w:val="7B7B7B" w:themeColor="accent3" w:themeShade="BF"/>
          <w:sz w:val="22"/>
          <w:szCs w:val="22"/>
          <w:lang w:val="en-GB"/>
        </w:rPr>
      </w:pPr>
    </w:p>
    <w:p w14:paraId="08FE8F72" w14:textId="7579F390" w:rsidR="0023544F" w:rsidRDefault="005E1E41"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Material scope: </w:t>
      </w:r>
      <w:r w:rsidR="0055644C">
        <w:rPr>
          <w:rFonts w:ascii="Arial" w:hAnsi="Arial" w:cs="Arial"/>
          <w:color w:val="7B7B7B" w:themeColor="accent3" w:themeShade="BF"/>
          <w:sz w:val="22"/>
          <w:szCs w:val="22"/>
          <w:lang w:val="en-GB"/>
        </w:rPr>
        <w:t>article 1 EIR Recast refers to a list of insolvency proceedings contained within Annex A, to which the Regulation applies. E</w:t>
      </w:r>
      <w:r w:rsidR="0023544F">
        <w:rPr>
          <w:rFonts w:ascii="Arial" w:hAnsi="Arial" w:cs="Arial"/>
          <w:color w:val="7B7B7B" w:themeColor="accent3" w:themeShade="BF"/>
          <w:sz w:val="22"/>
          <w:szCs w:val="22"/>
          <w:lang w:val="en-GB"/>
        </w:rPr>
        <w:t xml:space="preserve">xaminership is one of the proceedings listed in Annex A </w:t>
      </w:r>
      <w:r w:rsidR="0055644C">
        <w:rPr>
          <w:rFonts w:ascii="Arial" w:hAnsi="Arial" w:cs="Arial"/>
          <w:color w:val="7B7B7B" w:themeColor="accent3" w:themeShade="BF"/>
          <w:sz w:val="22"/>
          <w:szCs w:val="22"/>
          <w:lang w:val="en-GB"/>
        </w:rPr>
        <w:t>therefore the material scope element is sat</w:t>
      </w:r>
      <w:r w:rsidR="00611244">
        <w:rPr>
          <w:rFonts w:ascii="Arial" w:hAnsi="Arial" w:cs="Arial"/>
          <w:color w:val="7B7B7B" w:themeColor="accent3" w:themeShade="BF"/>
          <w:sz w:val="22"/>
          <w:szCs w:val="22"/>
          <w:lang w:val="en-GB"/>
        </w:rPr>
        <w:t>i</w:t>
      </w:r>
      <w:r w:rsidR="0055644C">
        <w:rPr>
          <w:rFonts w:ascii="Arial" w:hAnsi="Arial" w:cs="Arial"/>
          <w:color w:val="7B7B7B" w:themeColor="accent3" w:themeShade="BF"/>
          <w:sz w:val="22"/>
          <w:szCs w:val="22"/>
          <w:lang w:val="en-GB"/>
        </w:rPr>
        <w:t>sfied</w:t>
      </w:r>
      <w:r w:rsidR="0023544F">
        <w:rPr>
          <w:rFonts w:ascii="Arial" w:hAnsi="Arial" w:cs="Arial"/>
          <w:color w:val="7B7B7B" w:themeColor="accent3" w:themeShade="BF"/>
          <w:sz w:val="22"/>
          <w:szCs w:val="22"/>
          <w:lang w:val="en-GB"/>
        </w:rPr>
        <w:t xml:space="preserve">. </w:t>
      </w:r>
    </w:p>
    <w:p w14:paraId="6281DD3D" w14:textId="2B1145CD" w:rsidR="00611244" w:rsidRDefault="00611244" w:rsidP="002A37BB">
      <w:pPr>
        <w:autoSpaceDE w:val="0"/>
        <w:autoSpaceDN w:val="0"/>
        <w:adjustRightInd w:val="0"/>
        <w:jc w:val="both"/>
        <w:rPr>
          <w:rFonts w:ascii="Arial" w:hAnsi="Arial" w:cs="Arial"/>
          <w:color w:val="7B7B7B" w:themeColor="accent3" w:themeShade="BF"/>
          <w:sz w:val="22"/>
          <w:szCs w:val="22"/>
          <w:lang w:val="en-GB"/>
        </w:rPr>
      </w:pPr>
    </w:p>
    <w:p w14:paraId="60295932" w14:textId="25BCB15A" w:rsidR="00696CEC" w:rsidRDefault="00611244" w:rsidP="00696CEC">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Per</w:t>
      </w:r>
      <w:r w:rsidR="00F10863">
        <w:rPr>
          <w:rFonts w:ascii="Arial" w:hAnsi="Arial" w:cs="Arial"/>
          <w:color w:val="7B7B7B" w:themeColor="accent3" w:themeShade="BF"/>
          <w:sz w:val="22"/>
          <w:szCs w:val="22"/>
          <w:lang w:val="en-GB"/>
        </w:rPr>
        <w:t xml:space="preserve">sonal scope: </w:t>
      </w:r>
      <w:r w:rsidR="00F15A54">
        <w:rPr>
          <w:rFonts w:ascii="Arial" w:hAnsi="Arial" w:cs="Arial"/>
          <w:color w:val="7B7B7B" w:themeColor="accent3" w:themeShade="BF"/>
          <w:sz w:val="22"/>
          <w:szCs w:val="22"/>
          <w:lang w:val="en-GB"/>
        </w:rPr>
        <w:t>recital 9 EIR Recast states that the Regulation applies to natural and legal persons</w:t>
      </w:r>
      <w:r w:rsidR="007719C1">
        <w:rPr>
          <w:rFonts w:ascii="Arial" w:hAnsi="Arial" w:cs="Arial"/>
          <w:color w:val="7B7B7B" w:themeColor="accent3" w:themeShade="BF"/>
          <w:sz w:val="22"/>
          <w:szCs w:val="22"/>
          <w:lang w:val="en-GB"/>
        </w:rPr>
        <w:t xml:space="preserve"> subject always to </w:t>
      </w:r>
      <w:r w:rsidR="004A2EDB">
        <w:rPr>
          <w:rFonts w:ascii="Arial" w:hAnsi="Arial" w:cs="Arial"/>
          <w:color w:val="7B7B7B" w:themeColor="accent3" w:themeShade="BF"/>
          <w:sz w:val="22"/>
          <w:szCs w:val="22"/>
          <w:lang w:val="en-GB"/>
        </w:rPr>
        <w:t>the exclusions contained in article 1(2) EIR Recast</w:t>
      </w:r>
      <w:r w:rsidR="00F15A54">
        <w:rPr>
          <w:rFonts w:ascii="Arial" w:hAnsi="Arial" w:cs="Arial"/>
          <w:color w:val="7B7B7B" w:themeColor="accent3" w:themeShade="BF"/>
          <w:sz w:val="22"/>
          <w:szCs w:val="22"/>
          <w:lang w:val="en-GB"/>
        </w:rPr>
        <w:t>. Cardinal Home is a legal person</w:t>
      </w:r>
      <w:r w:rsidR="007719C1">
        <w:rPr>
          <w:rFonts w:ascii="Arial" w:hAnsi="Arial" w:cs="Arial"/>
          <w:color w:val="7B7B7B" w:themeColor="accent3" w:themeShade="BF"/>
          <w:sz w:val="22"/>
          <w:szCs w:val="22"/>
          <w:lang w:val="en-GB"/>
        </w:rPr>
        <w:t xml:space="preserve"> and, being </w:t>
      </w:r>
      <w:r w:rsidR="00696CEC">
        <w:rPr>
          <w:rFonts w:ascii="Arial" w:hAnsi="Arial" w:cs="Arial"/>
          <w:color w:val="7B7B7B" w:themeColor="accent3" w:themeShade="BF"/>
          <w:sz w:val="22"/>
          <w:szCs w:val="22"/>
          <w:lang w:val="en-GB"/>
        </w:rPr>
        <w:t>a furniture company</w:t>
      </w:r>
      <w:r w:rsidR="007719C1">
        <w:rPr>
          <w:rFonts w:ascii="Arial" w:hAnsi="Arial" w:cs="Arial"/>
          <w:color w:val="7B7B7B" w:themeColor="accent3" w:themeShade="BF"/>
          <w:sz w:val="22"/>
          <w:szCs w:val="22"/>
          <w:lang w:val="en-GB"/>
        </w:rPr>
        <w:t>,</w:t>
      </w:r>
      <w:r w:rsidR="00696CEC">
        <w:rPr>
          <w:rFonts w:ascii="Arial" w:hAnsi="Arial" w:cs="Arial"/>
          <w:color w:val="7B7B7B" w:themeColor="accent3" w:themeShade="BF"/>
          <w:sz w:val="22"/>
          <w:szCs w:val="22"/>
          <w:lang w:val="en-GB"/>
        </w:rPr>
        <w:t xml:space="preserve"> does not fall within the list of excluded undertakings contained in</w:t>
      </w:r>
      <w:r w:rsidR="004A2EDB">
        <w:rPr>
          <w:rFonts w:ascii="Arial" w:hAnsi="Arial" w:cs="Arial"/>
          <w:color w:val="7B7B7B" w:themeColor="accent3" w:themeShade="BF"/>
          <w:sz w:val="22"/>
          <w:szCs w:val="22"/>
          <w:lang w:val="en-GB"/>
        </w:rPr>
        <w:t xml:space="preserve"> article 1(2)</w:t>
      </w:r>
      <w:r w:rsidR="00696CEC">
        <w:rPr>
          <w:rFonts w:ascii="Arial" w:hAnsi="Arial" w:cs="Arial"/>
          <w:color w:val="7B7B7B" w:themeColor="accent3" w:themeShade="BF"/>
          <w:sz w:val="22"/>
          <w:szCs w:val="22"/>
          <w:lang w:val="en-GB"/>
        </w:rPr>
        <w:t>.</w:t>
      </w:r>
      <w:r w:rsidR="004A2EDB">
        <w:rPr>
          <w:rFonts w:ascii="Arial" w:hAnsi="Arial" w:cs="Arial"/>
          <w:color w:val="7B7B7B" w:themeColor="accent3" w:themeShade="BF"/>
          <w:sz w:val="22"/>
          <w:szCs w:val="22"/>
          <w:lang w:val="en-GB"/>
        </w:rPr>
        <w:t xml:space="preserve"> The personal scope element is therefore </w:t>
      </w:r>
      <w:r w:rsidR="008F35D1">
        <w:rPr>
          <w:rFonts w:ascii="Arial" w:hAnsi="Arial" w:cs="Arial"/>
          <w:color w:val="7B7B7B" w:themeColor="accent3" w:themeShade="BF"/>
          <w:sz w:val="22"/>
          <w:szCs w:val="22"/>
          <w:lang w:val="en-GB"/>
        </w:rPr>
        <w:t>satisfied</w:t>
      </w:r>
      <w:r w:rsidR="004A2EDB">
        <w:rPr>
          <w:rFonts w:ascii="Arial" w:hAnsi="Arial" w:cs="Arial"/>
          <w:color w:val="7B7B7B" w:themeColor="accent3" w:themeShade="BF"/>
          <w:sz w:val="22"/>
          <w:szCs w:val="22"/>
          <w:lang w:val="en-GB"/>
        </w:rPr>
        <w:t>.</w:t>
      </w:r>
    </w:p>
    <w:p w14:paraId="50AF9EBE" w14:textId="2D4FB9D1" w:rsidR="00611244" w:rsidRDefault="00611244" w:rsidP="002A37BB">
      <w:pPr>
        <w:autoSpaceDE w:val="0"/>
        <w:autoSpaceDN w:val="0"/>
        <w:adjustRightInd w:val="0"/>
        <w:jc w:val="both"/>
        <w:rPr>
          <w:rFonts w:ascii="Arial" w:hAnsi="Arial" w:cs="Arial"/>
          <w:color w:val="7B7B7B" w:themeColor="accent3" w:themeShade="BF"/>
          <w:sz w:val="22"/>
          <w:szCs w:val="22"/>
          <w:lang w:val="en-GB"/>
        </w:rPr>
      </w:pPr>
    </w:p>
    <w:p w14:paraId="489B2F62" w14:textId="70A7E6D3" w:rsidR="00AF3381" w:rsidRPr="001A0D1B" w:rsidRDefault="008F35D1" w:rsidP="002A37BB">
      <w:pPr>
        <w:autoSpaceDE w:val="0"/>
        <w:autoSpaceDN w:val="0"/>
        <w:adjustRightInd w:val="0"/>
        <w:jc w:val="both"/>
        <w:rPr>
          <w:rFonts w:ascii="Arial" w:hAnsi="Arial" w:cs="Arial"/>
          <w:color w:val="7B7B7B" w:themeColor="accent3" w:themeShade="BF"/>
          <w:sz w:val="22"/>
          <w:szCs w:val="22"/>
          <w:lang w:val="en-GB"/>
        </w:rPr>
      </w:pPr>
      <w:r w:rsidRPr="001A0D1B">
        <w:rPr>
          <w:rFonts w:ascii="Arial" w:hAnsi="Arial" w:cs="Arial"/>
          <w:color w:val="7B7B7B" w:themeColor="accent3" w:themeShade="BF"/>
          <w:sz w:val="22"/>
          <w:szCs w:val="22"/>
          <w:lang w:val="en-GB"/>
        </w:rPr>
        <w:t xml:space="preserve">From the above, it appears that all four elements have been satisfied and that </w:t>
      </w:r>
      <w:r w:rsidR="001A0D1B" w:rsidRPr="001A0D1B">
        <w:rPr>
          <w:rFonts w:ascii="Arial" w:hAnsi="Arial" w:cs="Arial"/>
          <w:color w:val="7B7B7B" w:themeColor="accent3" w:themeShade="BF"/>
          <w:sz w:val="22"/>
          <w:szCs w:val="22"/>
          <w:lang w:val="en-GB"/>
        </w:rPr>
        <w:t>EIR Recast is therefore applicable.</w:t>
      </w:r>
    </w:p>
    <w:p w14:paraId="1B5E2F08" w14:textId="0E8BF6C2" w:rsidR="002D3473" w:rsidRPr="008500BD" w:rsidRDefault="002D3473" w:rsidP="002A37BB">
      <w:pPr>
        <w:autoSpaceDE w:val="0"/>
        <w:autoSpaceDN w:val="0"/>
        <w:adjustRightInd w:val="0"/>
        <w:jc w:val="both"/>
        <w:rPr>
          <w:rFonts w:ascii="Arial" w:hAnsi="Arial" w:cs="Arial"/>
          <w:sz w:val="22"/>
          <w:szCs w:val="22"/>
          <w:lang w:val="en-GB"/>
        </w:rPr>
      </w:pP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2A37BB">
      <w:pPr>
        <w:jc w:val="both"/>
        <w:rPr>
          <w:rFonts w:ascii="Arial" w:hAnsi="Arial" w:cs="Arial"/>
          <w:sz w:val="22"/>
          <w:szCs w:val="22"/>
          <w:lang w:val="en-GB"/>
        </w:rPr>
      </w:pPr>
    </w:p>
    <w:p w14:paraId="77CE8695" w14:textId="789C9EED" w:rsidR="0077498C" w:rsidRDefault="00C001F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article 3(2) EIR Recast, secondary proceedings can be opened </w:t>
      </w:r>
      <w:r w:rsidR="003E2689">
        <w:rPr>
          <w:rFonts w:ascii="Arial" w:hAnsi="Arial" w:cs="Arial"/>
          <w:color w:val="7B7B7B" w:themeColor="accent3" w:themeShade="BF"/>
          <w:sz w:val="22"/>
          <w:szCs w:val="22"/>
          <w:lang w:val="en-GB"/>
        </w:rPr>
        <w:t xml:space="preserve">in Member States in which the relevant debtor has an “establishment”. </w:t>
      </w:r>
      <w:r w:rsidR="00BD4794">
        <w:rPr>
          <w:rFonts w:ascii="Arial" w:hAnsi="Arial" w:cs="Arial"/>
          <w:color w:val="7B7B7B" w:themeColor="accent3" w:themeShade="BF"/>
          <w:sz w:val="22"/>
          <w:szCs w:val="22"/>
          <w:lang w:val="en-GB"/>
        </w:rPr>
        <w:t xml:space="preserve">This term is defined in article 2(10) EIR Recast as </w:t>
      </w:r>
      <w:r w:rsidR="005C2485">
        <w:rPr>
          <w:rFonts w:ascii="Arial" w:hAnsi="Arial" w:cs="Arial"/>
          <w:color w:val="7B7B7B" w:themeColor="accent3" w:themeShade="BF"/>
          <w:sz w:val="22"/>
          <w:szCs w:val="22"/>
          <w:lang w:val="en-GB"/>
        </w:rPr>
        <w:t xml:space="preserve">“any place of operations where a debtor carries out or has carried out in the three-month period </w:t>
      </w:r>
      <w:r w:rsidR="00A33C28">
        <w:rPr>
          <w:rFonts w:ascii="Arial" w:hAnsi="Arial" w:cs="Arial"/>
          <w:color w:val="7B7B7B" w:themeColor="accent3" w:themeShade="BF"/>
          <w:sz w:val="22"/>
          <w:szCs w:val="22"/>
          <w:lang w:val="en-GB"/>
        </w:rPr>
        <w:t xml:space="preserve">prior to the request to open main insolvency proceedings a non-transitory economic activity with human means and assets”. </w:t>
      </w:r>
      <w:proofErr w:type="spellStart"/>
      <w:r w:rsidR="00A33C28">
        <w:rPr>
          <w:rFonts w:ascii="Arial" w:hAnsi="Arial" w:cs="Arial"/>
          <w:i/>
          <w:iCs/>
          <w:color w:val="7B7B7B" w:themeColor="accent3" w:themeShade="BF"/>
          <w:sz w:val="22"/>
          <w:szCs w:val="22"/>
          <w:lang w:val="en-GB"/>
        </w:rPr>
        <w:t>Interedil</w:t>
      </w:r>
      <w:proofErr w:type="spellEnd"/>
      <w:r w:rsidR="00A33C28">
        <w:rPr>
          <w:rFonts w:ascii="Arial" w:hAnsi="Arial" w:cs="Arial"/>
          <w:i/>
          <w:iCs/>
          <w:color w:val="7B7B7B" w:themeColor="accent3" w:themeShade="BF"/>
          <w:sz w:val="22"/>
          <w:szCs w:val="22"/>
          <w:lang w:val="en-GB"/>
        </w:rPr>
        <w:t xml:space="preserve"> </w:t>
      </w:r>
      <w:proofErr w:type="spellStart"/>
      <w:r w:rsidR="00A33C28">
        <w:rPr>
          <w:rFonts w:ascii="Arial" w:hAnsi="Arial" w:cs="Arial"/>
          <w:i/>
          <w:iCs/>
          <w:color w:val="7B7B7B" w:themeColor="accent3" w:themeShade="BF"/>
          <w:sz w:val="22"/>
          <w:szCs w:val="22"/>
          <w:lang w:val="en-GB"/>
        </w:rPr>
        <w:t>Srl</w:t>
      </w:r>
      <w:proofErr w:type="spellEnd"/>
      <w:r w:rsidR="00A33C28">
        <w:rPr>
          <w:rFonts w:ascii="Arial" w:hAnsi="Arial" w:cs="Arial"/>
          <w:i/>
          <w:iCs/>
          <w:color w:val="7B7B7B" w:themeColor="accent3" w:themeShade="BF"/>
          <w:sz w:val="22"/>
          <w:szCs w:val="22"/>
          <w:lang w:val="en-GB"/>
        </w:rPr>
        <w:t xml:space="preserve"> v </w:t>
      </w:r>
      <w:proofErr w:type="spellStart"/>
      <w:r w:rsidR="00A33C28">
        <w:rPr>
          <w:rFonts w:ascii="Arial" w:hAnsi="Arial" w:cs="Arial"/>
          <w:i/>
          <w:iCs/>
          <w:color w:val="7B7B7B" w:themeColor="accent3" w:themeShade="BF"/>
          <w:sz w:val="22"/>
          <w:szCs w:val="22"/>
          <w:lang w:val="en-GB"/>
        </w:rPr>
        <w:t>Fallimento</w:t>
      </w:r>
      <w:proofErr w:type="spellEnd"/>
      <w:r w:rsidR="00A33C28">
        <w:rPr>
          <w:rFonts w:ascii="Arial" w:hAnsi="Arial" w:cs="Arial"/>
          <w:i/>
          <w:iCs/>
          <w:color w:val="7B7B7B" w:themeColor="accent3" w:themeShade="BF"/>
          <w:sz w:val="22"/>
          <w:szCs w:val="22"/>
          <w:lang w:val="en-GB"/>
        </w:rPr>
        <w:t xml:space="preserve"> </w:t>
      </w:r>
      <w:proofErr w:type="spellStart"/>
      <w:r w:rsidR="00A33C28">
        <w:rPr>
          <w:rFonts w:ascii="Arial" w:hAnsi="Arial" w:cs="Arial"/>
          <w:i/>
          <w:iCs/>
          <w:color w:val="7B7B7B" w:themeColor="accent3" w:themeShade="BF"/>
          <w:sz w:val="22"/>
          <w:szCs w:val="22"/>
          <w:lang w:val="en-GB"/>
        </w:rPr>
        <w:t>Interedil</w:t>
      </w:r>
      <w:proofErr w:type="spellEnd"/>
      <w:r w:rsidR="00A33C28">
        <w:rPr>
          <w:rFonts w:ascii="Arial" w:hAnsi="Arial" w:cs="Arial"/>
          <w:i/>
          <w:iCs/>
          <w:color w:val="7B7B7B" w:themeColor="accent3" w:themeShade="BF"/>
          <w:sz w:val="22"/>
          <w:szCs w:val="22"/>
          <w:lang w:val="en-GB"/>
        </w:rPr>
        <w:t xml:space="preserve"> </w:t>
      </w:r>
      <w:proofErr w:type="spellStart"/>
      <w:r w:rsidR="00A33C28">
        <w:rPr>
          <w:rFonts w:ascii="Arial" w:hAnsi="Arial" w:cs="Arial"/>
          <w:i/>
          <w:iCs/>
          <w:color w:val="7B7B7B" w:themeColor="accent3" w:themeShade="BF"/>
          <w:sz w:val="22"/>
          <w:szCs w:val="22"/>
          <w:lang w:val="en-GB"/>
        </w:rPr>
        <w:t>Srl</w:t>
      </w:r>
      <w:proofErr w:type="spellEnd"/>
      <w:r w:rsidR="00A33C28">
        <w:rPr>
          <w:rFonts w:ascii="Arial" w:hAnsi="Arial" w:cs="Arial"/>
          <w:i/>
          <w:iCs/>
          <w:color w:val="7B7B7B" w:themeColor="accent3" w:themeShade="BF"/>
          <w:sz w:val="22"/>
          <w:szCs w:val="22"/>
          <w:lang w:val="en-GB"/>
        </w:rPr>
        <w:t xml:space="preserve"> </w:t>
      </w:r>
      <w:r w:rsidR="00A33C28">
        <w:rPr>
          <w:rFonts w:ascii="Arial" w:hAnsi="Arial" w:cs="Arial"/>
          <w:color w:val="7B7B7B" w:themeColor="accent3" w:themeShade="BF"/>
          <w:sz w:val="22"/>
          <w:szCs w:val="22"/>
          <w:lang w:val="en-GB"/>
        </w:rPr>
        <w:t xml:space="preserve">expanded on this concept and clarified that </w:t>
      </w:r>
      <w:r w:rsidR="001C259F">
        <w:rPr>
          <w:rFonts w:ascii="Arial" w:hAnsi="Arial" w:cs="Arial"/>
          <w:color w:val="7B7B7B" w:themeColor="accent3" w:themeShade="BF"/>
          <w:sz w:val="22"/>
          <w:szCs w:val="22"/>
          <w:lang w:val="en-GB"/>
        </w:rPr>
        <w:t xml:space="preserve">a debtor simply having assets </w:t>
      </w:r>
      <w:r w:rsidR="008B1DB1">
        <w:rPr>
          <w:rFonts w:ascii="Arial" w:hAnsi="Arial" w:cs="Arial"/>
          <w:color w:val="7B7B7B" w:themeColor="accent3" w:themeShade="BF"/>
          <w:sz w:val="22"/>
          <w:szCs w:val="22"/>
          <w:lang w:val="en-GB"/>
        </w:rPr>
        <w:t xml:space="preserve">(including bank accounts) in that Member State is not sufficient for the existence of an establishment. </w:t>
      </w:r>
      <w:r w:rsidR="00214A09">
        <w:rPr>
          <w:rFonts w:ascii="Arial" w:hAnsi="Arial" w:cs="Arial"/>
          <w:color w:val="7B7B7B" w:themeColor="accent3" w:themeShade="BF"/>
          <w:sz w:val="22"/>
          <w:szCs w:val="22"/>
          <w:lang w:val="en-GB"/>
        </w:rPr>
        <w:t xml:space="preserve">Instead, there must be </w:t>
      </w:r>
      <w:r w:rsidR="00C7274F">
        <w:rPr>
          <w:rFonts w:ascii="Arial" w:hAnsi="Arial" w:cs="Arial"/>
          <w:color w:val="7B7B7B" w:themeColor="accent3" w:themeShade="BF"/>
          <w:sz w:val="22"/>
          <w:szCs w:val="22"/>
          <w:lang w:val="en-GB"/>
        </w:rPr>
        <w:t xml:space="preserve">both a </w:t>
      </w:r>
      <w:r w:rsidR="00420089">
        <w:rPr>
          <w:rFonts w:ascii="Arial" w:hAnsi="Arial" w:cs="Arial"/>
          <w:color w:val="7B7B7B" w:themeColor="accent3" w:themeShade="BF"/>
          <w:sz w:val="22"/>
          <w:szCs w:val="22"/>
          <w:lang w:val="en-GB"/>
        </w:rPr>
        <w:t xml:space="preserve">stable, </w:t>
      </w:r>
      <w:r w:rsidR="00C7274F">
        <w:rPr>
          <w:rFonts w:ascii="Arial" w:hAnsi="Arial" w:cs="Arial"/>
          <w:color w:val="7B7B7B" w:themeColor="accent3" w:themeShade="BF"/>
          <w:sz w:val="22"/>
          <w:szCs w:val="22"/>
          <w:lang w:val="en-GB"/>
        </w:rPr>
        <w:t xml:space="preserve">non-transitory economic activity and </w:t>
      </w:r>
      <w:r w:rsidR="00420089">
        <w:rPr>
          <w:rFonts w:ascii="Arial" w:hAnsi="Arial" w:cs="Arial"/>
          <w:color w:val="7B7B7B" w:themeColor="accent3" w:themeShade="BF"/>
          <w:sz w:val="22"/>
          <w:szCs w:val="22"/>
          <w:lang w:val="en-GB"/>
        </w:rPr>
        <w:t xml:space="preserve">the presence of human resources. </w:t>
      </w:r>
    </w:p>
    <w:p w14:paraId="2B89DCD0" w14:textId="62E8F4FF" w:rsidR="00420089" w:rsidRDefault="00420089" w:rsidP="002A37BB">
      <w:pPr>
        <w:jc w:val="both"/>
        <w:rPr>
          <w:rFonts w:ascii="Arial" w:hAnsi="Arial" w:cs="Arial"/>
          <w:color w:val="7B7B7B" w:themeColor="accent3" w:themeShade="BF"/>
          <w:sz w:val="22"/>
          <w:szCs w:val="22"/>
          <w:lang w:val="en-GB"/>
        </w:rPr>
      </w:pPr>
    </w:p>
    <w:p w14:paraId="2C64B231" w14:textId="77777777" w:rsidR="0041796C" w:rsidRDefault="0042008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Here we know that </w:t>
      </w:r>
      <w:r w:rsidR="0040229D">
        <w:rPr>
          <w:rFonts w:ascii="Arial" w:hAnsi="Arial" w:cs="Arial"/>
          <w:color w:val="7B7B7B" w:themeColor="accent3" w:themeShade="BF"/>
          <w:sz w:val="22"/>
          <w:szCs w:val="22"/>
          <w:lang w:val="en-GB"/>
        </w:rPr>
        <w:t xml:space="preserve">Cardinal Home opened a bank account with an Italian bank and started negotiating with local </w:t>
      </w:r>
      <w:r w:rsidR="0037112C">
        <w:rPr>
          <w:rFonts w:ascii="Arial" w:hAnsi="Arial" w:cs="Arial"/>
          <w:color w:val="7B7B7B" w:themeColor="accent3" w:themeShade="BF"/>
          <w:sz w:val="22"/>
          <w:szCs w:val="22"/>
          <w:lang w:val="en-GB"/>
        </w:rPr>
        <w:t>distributors. This happened in 2010 and therefore falls well within the time period introduced by article 3(2).</w:t>
      </w:r>
      <w:r w:rsidR="009D1DED">
        <w:rPr>
          <w:rFonts w:ascii="Arial" w:hAnsi="Arial" w:cs="Arial"/>
          <w:color w:val="7B7B7B" w:themeColor="accent3" w:themeShade="BF"/>
          <w:sz w:val="22"/>
          <w:szCs w:val="22"/>
          <w:lang w:val="en-GB"/>
        </w:rPr>
        <w:t xml:space="preserve"> We have seen above that the mere presence of a bank account </w:t>
      </w:r>
      <w:r w:rsidR="0000511E">
        <w:rPr>
          <w:rFonts w:ascii="Arial" w:hAnsi="Arial" w:cs="Arial"/>
          <w:color w:val="7B7B7B" w:themeColor="accent3" w:themeShade="BF"/>
          <w:sz w:val="22"/>
          <w:szCs w:val="22"/>
          <w:lang w:val="en-GB"/>
        </w:rPr>
        <w:t>is not enough for the presence of an establishment</w:t>
      </w:r>
      <w:r w:rsidR="00072434">
        <w:rPr>
          <w:rFonts w:ascii="Arial" w:hAnsi="Arial" w:cs="Arial"/>
          <w:color w:val="7B7B7B" w:themeColor="accent3" w:themeShade="BF"/>
          <w:sz w:val="22"/>
          <w:szCs w:val="22"/>
          <w:lang w:val="en-GB"/>
        </w:rPr>
        <w:t>. W</w:t>
      </w:r>
      <w:r w:rsidR="00991DA7">
        <w:rPr>
          <w:rFonts w:ascii="Arial" w:hAnsi="Arial" w:cs="Arial"/>
          <w:color w:val="7B7B7B" w:themeColor="accent3" w:themeShade="BF"/>
          <w:sz w:val="22"/>
          <w:szCs w:val="22"/>
          <w:lang w:val="en-GB"/>
        </w:rPr>
        <w:t>e know that in 2010 the negotiations with distributors led to non-binding memoranda of understanding</w:t>
      </w:r>
      <w:r w:rsidR="00072434">
        <w:rPr>
          <w:rFonts w:ascii="Arial" w:hAnsi="Arial" w:cs="Arial"/>
          <w:color w:val="7B7B7B" w:themeColor="accent3" w:themeShade="BF"/>
          <w:sz w:val="22"/>
          <w:szCs w:val="22"/>
          <w:lang w:val="en-GB"/>
        </w:rPr>
        <w:t xml:space="preserve">, however on the facts on the case we do not know whether such memoranda evolved into binding contracts with the Italian suppliers. In addition, we also do not know whether </w:t>
      </w:r>
      <w:r w:rsidR="009221EB">
        <w:rPr>
          <w:rFonts w:ascii="Arial" w:hAnsi="Arial" w:cs="Arial"/>
          <w:color w:val="7B7B7B" w:themeColor="accent3" w:themeShade="BF"/>
          <w:sz w:val="22"/>
          <w:szCs w:val="22"/>
          <w:lang w:val="en-GB"/>
        </w:rPr>
        <w:t xml:space="preserve">business was conducted from Italy at all and, if so, whether this was done with a sufficient level of </w:t>
      </w:r>
      <w:r w:rsidR="00B1789C">
        <w:rPr>
          <w:rFonts w:ascii="Arial" w:hAnsi="Arial" w:cs="Arial"/>
          <w:color w:val="7B7B7B" w:themeColor="accent3" w:themeShade="BF"/>
          <w:sz w:val="22"/>
          <w:szCs w:val="22"/>
          <w:lang w:val="en-GB"/>
        </w:rPr>
        <w:t xml:space="preserve">stability going beyond mere occasional business dealings. We </w:t>
      </w:r>
      <w:r w:rsidR="00E16E6A">
        <w:rPr>
          <w:rFonts w:ascii="Arial" w:hAnsi="Arial" w:cs="Arial"/>
          <w:color w:val="7B7B7B" w:themeColor="accent3" w:themeShade="BF"/>
          <w:sz w:val="22"/>
          <w:szCs w:val="22"/>
          <w:lang w:val="en-GB"/>
        </w:rPr>
        <w:t xml:space="preserve">do not know whether any employees/representatives of Cardinal Home are permanently based in Italy and it is not clear whether third parties are easily able to ascertain this. </w:t>
      </w:r>
    </w:p>
    <w:p w14:paraId="6C97E0AA" w14:textId="77777777" w:rsidR="0041796C" w:rsidRDefault="0041796C" w:rsidP="002A37BB">
      <w:pPr>
        <w:jc w:val="both"/>
        <w:rPr>
          <w:rFonts w:ascii="Arial" w:hAnsi="Arial" w:cs="Arial"/>
          <w:color w:val="7B7B7B" w:themeColor="accent3" w:themeShade="BF"/>
          <w:sz w:val="22"/>
          <w:szCs w:val="22"/>
          <w:lang w:val="en-GB"/>
        </w:rPr>
      </w:pPr>
    </w:p>
    <w:p w14:paraId="5583B188" w14:textId="21B86DE6" w:rsidR="00E16E6A" w:rsidRPr="00A33C28" w:rsidRDefault="00E16E6A" w:rsidP="002A37BB">
      <w:pPr>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Although we know that Cardinal Home “grew and performed well”</w:t>
      </w:r>
      <w:r w:rsidR="00967796">
        <w:rPr>
          <w:rFonts w:ascii="Arial" w:hAnsi="Arial" w:cs="Arial"/>
          <w:color w:val="7B7B7B" w:themeColor="accent3" w:themeShade="BF"/>
          <w:sz w:val="22"/>
          <w:szCs w:val="22"/>
          <w:lang w:val="en-GB"/>
        </w:rPr>
        <w:t xml:space="preserve"> (which may indicate th</w:t>
      </w:r>
      <w:r w:rsidR="00EF52E7">
        <w:rPr>
          <w:rFonts w:ascii="Arial" w:hAnsi="Arial" w:cs="Arial"/>
          <w:color w:val="7B7B7B" w:themeColor="accent3" w:themeShade="BF"/>
          <w:sz w:val="22"/>
          <w:szCs w:val="22"/>
          <w:lang w:val="en-GB"/>
        </w:rPr>
        <w:t>e presence of an establishment)</w:t>
      </w:r>
      <w:r>
        <w:rPr>
          <w:rFonts w:ascii="Arial" w:hAnsi="Arial" w:cs="Arial"/>
          <w:color w:val="7B7B7B" w:themeColor="accent3" w:themeShade="BF"/>
          <w:sz w:val="22"/>
          <w:szCs w:val="22"/>
          <w:lang w:val="en-GB"/>
        </w:rPr>
        <w:t xml:space="preserve">, we would need to </w:t>
      </w:r>
      <w:r w:rsidR="0020115C">
        <w:rPr>
          <w:rFonts w:ascii="Arial" w:hAnsi="Arial" w:cs="Arial"/>
          <w:color w:val="7B7B7B" w:themeColor="accent3" w:themeShade="BF"/>
          <w:sz w:val="22"/>
          <w:szCs w:val="22"/>
          <w:lang w:val="en-GB"/>
        </w:rPr>
        <w:t>be provided with more information on the above points</w:t>
      </w:r>
      <w:r w:rsidR="00EF52E7">
        <w:rPr>
          <w:rFonts w:ascii="Arial" w:hAnsi="Arial" w:cs="Arial"/>
          <w:color w:val="7B7B7B" w:themeColor="accent3" w:themeShade="BF"/>
          <w:sz w:val="22"/>
          <w:szCs w:val="22"/>
          <w:lang w:val="en-GB"/>
        </w:rPr>
        <w:t xml:space="preserve"> </w:t>
      </w:r>
      <w:r w:rsidR="001D6CA6">
        <w:rPr>
          <w:rFonts w:ascii="Arial" w:hAnsi="Arial" w:cs="Arial"/>
          <w:color w:val="7B7B7B" w:themeColor="accent3" w:themeShade="BF"/>
          <w:sz w:val="22"/>
          <w:szCs w:val="22"/>
          <w:lang w:val="en-GB"/>
        </w:rPr>
        <w:t xml:space="preserve">in relation to Italy specifically </w:t>
      </w:r>
      <w:r w:rsidR="00EF52E7">
        <w:rPr>
          <w:rFonts w:ascii="Arial" w:hAnsi="Arial" w:cs="Arial"/>
          <w:color w:val="7B7B7B" w:themeColor="accent3" w:themeShade="BF"/>
          <w:sz w:val="22"/>
          <w:szCs w:val="22"/>
          <w:lang w:val="en-GB"/>
        </w:rPr>
        <w:t>in order to give a definite answer</w:t>
      </w:r>
      <w:r w:rsidR="0020115C">
        <w:rPr>
          <w:rFonts w:ascii="Arial" w:hAnsi="Arial" w:cs="Arial"/>
          <w:color w:val="7B7B7B" w:themeColor="accent3" w:themeShade="BF"/>
          <w:sz w:val="22"/>
          <w:szCs w:val="22"/>
          <w:lang w:val="en-GB"/>
        </w:rPr>
        <w:t>.</w:t>
      </w:r>
      <w:r w:rsidR="0041796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If the answers to </w:t>
      </w:r>
      <w:r>
        <w:rPr>
          <w:rFonts w:ascii="Arial" w:hAnsi="Arial" w:cs="Arial"/>
          <w:color w:val="7B7B7B" w:themeColor="accent3" w:themeShade="BF"/>
          <w:sz w:val="22"/>
          <w:szCs w:val="22"/>
          <w:lang w:val="en-GB"/>
        </w:rPr>
        <w:lastRenderedPageBreak/>
        <w:t xml:space="preserve">the above queries are negative, then it is likely that Cardinal Home does not have an establishment in Italy and that </w:t>
      </w:r>
      <w:r w:rsidR="0020115C">
        <w:rPr>
          <w:rFonts w:ascii="Arial" w:hAnsi="Arial" w:cs="Arial"/>
          <w:color w:val="7B7B7B" w:themeColor="accent3" w:themeShade="BF"/>
          <w:sz w:val="22"/>
          <w:szCs w:val="22"/>
          <w:lang w:val="en-GB"/>
        </w:rPr>
        <w:t xml:space="preserve">the secondary proceedings cannot be opened. If however some of the answers were positive, and if it turned out that Cardinal Home did </w:t>
      </w:r>
      <w:r w:rsidR="00967796">
        <w:rPr>
          <w:rFonts w:ascii="Arial" w:hAnsi="Arial" w:cs="Arial"/>
          <w:color w:val="7B7B7B" w:themeColor="accent3" w:themeShade="BF"/>
          <w:sz w:val="22"/>
          <w:szCs w:val="22"/>
          <w:lang w:val="en-GB"/>
        </w:rPr>
        <w:t>carry out</w:t>
      </w:r>
      <w:r w:rsidR="001D6CA6">
        <w:rPr>
          <w:rFonts w:ascii="Arial" w:hAnsi="Arial" w:cs="Arial"/>
          <w:color w:val="7B7B7B" w:themeColor="accent3" w:themeShade="BF"/>
          <w:sz w:val="22"/>
          <w:szCs w:val="22"/>
          <w:lang w:val="en-GB"/>
        </w:rPr>
        <w:t xml:space="preserve"> “</w:t>
      </w:r>
      <w:r w:rsidR="001D6CA6">
        <w:rPr>
          <w:rFonts w:ascii="Arial" w:hAnsi="Arial" w:cs="Arial"/>
          <w:color w:val="7B7B7B" w:themeColor="accent3" w:themeShade="BF"/>
          <w:sz w:val="22"/>
          <w:szCs w:val="22"/>
          <w:lang w:val="en-GB"/>
        </w:rPr>
        <w:t>a non-transitory economic activity with human means and assets</w:t>
      </w:r>
      <w:r w:rsidR="001D6CA6">
        <w:rPr>
          <w:rFonts w:ascii="Arial" w:hAnsi="Arial" w:cs="Arial"/>
          <w:color w:val="7B7B7B" w:themeColor="accent3" w:themeShade="BF"/>
          <w:sz w:val="22"/>
          <w:szCs w:val="22"/>
          <w:lang w:val="en-GB"/>
        </w:rPr>
        <w:t xml:space="preserve">”, then </w:t>
      </w:r>
      <w:r w:rsidR="00794F6A">
        <w:rPr>
          <w:rFonts w:ascii="Arial" w:hAnsi="Arial" w:cs="Arial"/>
          <w:color w:val="7B7B7B" w:themeColor="accent3" w:themeShade="BF"/>
          <w:sz w:val="22"/>
          <w:szCs w:val="22"/>
          <w:lang w:val="en-GB"/>
        </w:rPr>
        <w:t xml:space="preserve">it is likely that the secondary proceedings could be opened in Italy on the basis that Cardinal Home </w:t>
      </w:r>
      <w:r w:rsidR="00922D2A">
        <w:rPr>
          <w:rFonts w:ascii="Arial" w:hAnsi="Arial" w:cs="Arial"/>
          <w:color w:val="7B7B7B" w:themeColor="accent3" w:themeShade="BF"/>
          <w:sz w:val="22"/>
          <w:szCs w:val="22"/>
          <w:lang w:val="en-GB"/>
        </w:rPr>
        <w:t xml:space="preserve">does have an establishment in that jurisdiction. </w:t>
      </w:r>
    </w:p>
    <w:p w14:paraId="35D8F287" w14:textId="77777777" w:rsidR="0077498C" w:rsidRPr="008500BD"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7F560" w14:textId="77777777" w:rsidR="00FF0B30" w:rsidRDefault="00FF0B30" w:rsidP="00241B44">
      <w:r>
        <w:separator/>
      </w:r>
    </w:p>
  </w:endnote>
  <w:endnote w:type="continuationSeparator" w:id="0">
    <w:p w14:paraId="3F5C1B66" w14:textId="77777777" w:rsidR="00FF0B30" w:rsidRDefault="00FF0B3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BA543A">
          <w:rPr>
            <w:rStyle w:val="PageNumber"/>
            <w:rFonts w:ascii="Arial" w:hAnsi="Arial" w:cs="Arial"/>
            <w:noProof/>
            <w:sz w:val="18"/>
            <w:szCs w:val="18"/>
          </w:rPr>
          <w:t>9</w:t>
        </w:r>
        <w:r w:rsidRPr="009B4976">
          <w:rPr>
            <w:rStyle w:val="PageNumber"/>
            <w:rFonts w:ascii="Arial" w:hAnsi="Arial" w:cs="Arial"/>
            <w:sz w:val="18"/>
            <w:szCs w:val="18"/>
          </w:rPr>
          <w:fldChar w:fldCharType="end"/>
        </w:r>
      </w:p>
    </w:sdtContent>
  </w:sdt>
  <w:p w14:paraId="30F05E79" w14:textId="0958986C" w:rsidR="00D509A5" w:rsidRPr="009B4976" w:rsidRDefault="00C167ED" w:rsidP="009B4976">
    <w:pPr>
      <w:pStyle w:val="Footer"/>
      <w:ind w:right="360"/>
      <w:rPr>
        <w:rFonts w:ascii="Arial" w:hAnsi="Arial" w:cs="Arial"/>
        <w:sz w:val="18"/>
        <w:szCs w:val="18"/>
        <w:lang w:val="en-GB"/>
      </w:rPr>
    </w:pPr>
    <w:r w:rsidRPr="00C167ED">
      <w:rPr>
        <w:rFonts w:ascii="Arial" w:hAnsi="Arial" w:cs="Arial"/>
        <w:sz w:val="18"/>
        <w:szCs w:val="18"/>
        <w:lang w:val="en-GB"/>
      </w:rPr>
      <w:t>202122-157</w:t>
    </w:r>
    <w:r w:rsidR="00D509A5" w:rsidRPr="009B4976">
      <w:rPr>
        <w:rFonts w:ascii="Arial" w:hAnsi="Arial" w:cs="Arial"/>
        <w:sz w:val="18"/>
        <w:szCs w:val="18"/>
        <w:lang w:val="en-GB"/>
      </w:rPr>
      <w:t>.assessment2B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C2A0D" w14:textId="77777777" w:rsidR="00506D33" w:rsidRDefault="00506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7B8E2" w14:textId="77777777" w:rsidR="00FF0B30" w:rsidRDefault="00FF0B30" w:rsidP="00241B44">
      <w:r>
        <w:separator/>
      </w:r>
    </w:p>
  </w:footnote>
  <w:footnote w:type="continuationSeparator" w:id="0">
    <w:p w14:paraId="559DCC7F" w14:textId="77777777" w:rsidR="00FF0B30" w:rsidRDefault="00FF0B30"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9CA7F" w14:textId="77777777" w:rsidR="00506D33" w:rsidRDefault="00506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A2F88" w14:textId="77777777" w:rsidR="00506D33" w:rsidRDefault="00506D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30656" w14:textId="77777777" w:rsidR="00506D33" w:rsidRDefault="00506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8"/>
  </w:num>
  <w:num w:numId="3">
    <w:abstractNumId w:val="3"/>
  </w:num>
  <w:num w:numId="4">
    <w:abstractNumId w:val="10"/>
  </w:num>
  <w:num w:numId="5">
    <w:abstractNumId w:val="7"/>
  </w:num>
  <w:num w:numId="6">
    <w:abstractNumId w:val="9"/>
  </w:num>
  <w:num w:numId="7">
    <w:abstractNumId w:val="0"/>
  </w:num>
  <w:num w:numId="8">
    <w:abstractNumId w:val="5"/>
  </w:num>
  <w:num w:numId="9">
    <w:abstractNumId w:val="4"/>
  </w:num>
  <w:num w:numId="10">
    <w:abstractNumId w:val="2"/>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511E"/>
    <w:rsid w:val="00007146"/>
    <w:rsid w:val="00010BA0"/>
    <w:rsid w:val="0001279A"/>
    <w:rsid w:val="0001344B"/>
    <w:rsid w:val="00020557"/>
    <w:rsid w:val="000250C7"/>
    <w:rsid w:val="00026F16"/>
    <w:rsid w:val="00030738"/>
    <w:rsid w:val="00031814"/>
    <w:rsid w:val="00037621"/>
    <w:rsid w:val="00041B32"/>
    <w:rsid w:val="00044D46"/>
    <w:rsid w:val="00045088"/>
    <w:rsid w:val="00045904"/>
    <w:rsid w:val="00065166"/>
    <w:rsid w:val="0007001F"/>
    <w:rsid w:val="00072434"/>
    <w:rsid w:val="00082609"/>
    <w:rsid w:val="000851CC"/>
    <w:rsid w:val="000878CC"/>
    <w:rsid w:val="00087CD6"/>
    <w:rsid w:val="00093BE8"/>
    <w:rsid w:val="000A0A2D"/>
    <w:rsid w:val="000A68ED"/>
    <w:rsid w:val="000A7BF9"/>
    <w:rsid w:val="000B5FF1"/>
    <w:rsid w:val="000B609F"/>
    <w:rsid w:val="000C4A77"/>
    <w:rsid w:val="000D20C4"/>
    <w:rsid w:val="000D55A8"/>
    <w:rsid w:val="000E4841"/>
    <w:rsid w:val="000F1677"/>
    <w:rsid w:val="000F3D6C"/>
    <w:rsid w:val="000F5D5B"/>
    <w:rsid w:val="00101707"/>
    <w:rsid w:val="00112A7E"/>
    <w:rsid w:val="00113E29"/>
    <w:rsid w:val="0011473D"/>
    <w:rsid w:val="0011548B"/>
    <w:rsid w:val="00115C85"/>
    <w:rsid w:val="00123855"/>
    <w:rsid w:val="001251F1"/>
    <w:rsid w:val="00126A4D"/>
    <w:rsid w:val="001346F8"/>
    <w:rsid w:val="0014171F"/>
    <w:rsid w:val="00142BF1"/>
    <w:rsid w:val="0014622C"/>
    <w:rsid w:val="00152348"/>
    <w:rsid w:val="0015456D"/>
    <w:rsid w:val="00155FA2"/>
    <w:rsid w:val="00161F1B"/>
    <w:rsid w:val="00162829"/>
    <w:rsid w:val="001714CC"/>
    <w:rsid w:val="00174DC4"/>
    <w:rsid w:val="00175A7D"/>
    <w:rsid w:val="00175B96"/>
    <w:rsid w:val="00177611"/>
    <w:rsid w:val="00180548"/>
    <w:rsid w:val="00180AC4"/>
    <w:rsid w:val="00180CCE"/>
    <w:rsid w:val="0018267A"/>
    <w:rsid w:val="00182779"/>
    <w:rsid w:val="00182AE2"/>
    <w:rsid w:val="001830DF"/>
    <w:rsid w:val="00187A34"/>
    <w:rsid w:val="001966D9"/>
    <w:rsid w:val="001A0D1B"/>
    <w:rsid w:val="001A122B"/>
    <w:rsid w:val="001A7E9A"/>
    <w:rsid w:val="001B07B4"/>
    <w:rsid w:val="001B0F70"/>
    <w:rsid w:val="001B5016"/>
    <w:rsid w:val="001C1938"/>
    <w:rsid w:val="001C259F"/>
    <w:rsid w:val="001C35E2"/>
    <w:rsid w:val="001C45FC"/>
    <w:rsid w:val="001D0469"/>
    <w:rsid w:val="001D4862"/>
    <w:rsid w:val="001D6CA6"/>
    <w:rsid w:val="001D6E1C"/>
    <w:rsid w:val="001E25B9"/>
    <w:rsid w:val="001E49E0"/>
    <w:rsid w:val="001E5F8A"/>
    <w:rsid w:val="001E7B5A"/>
    <w:rsid w:val="001F52A8"/>
    <w:rsid w:val="001F7412"/>
    <w:rsid w:val="0020115C"/>
    <w:rsid w:val="00202DFE"/>
    <w:rsid w:val="00203720"/>
    <w:rsid w:val="0020725B"/>
    <w:rsid w:val="002110F1"/>
    <w:rsid w:val="00214A09"/>
    <w:rsid w:val="00215661"/>
    <w:rsid w:val="00222AD8"/>
    <w:rsid w:val="00222FB5"/>
    <w:rsid w:val="00226E5C"/>
    <w:rsid w:val="002347AE"/>
    <w:rsid w:val="0023544F"/>
    <w:rsid w:val="0024116D"/>
    <w:rsid w:val="00241B44"/>
    <w:rsid w:val="00241FA3"/>
    <w:rsid w:val="00244C44"/>
    <w:rsid w:val="00245EFB"/>
    <w:rsid w:val="0025386E"/>
    <w:rsid w:val="002638B0"/>
    <w:rsid w:val="00263B06"/>
    <w:rsid w:val="00265547"/>
    <w:rsid w:val="0026647A"/>
    <w:rsid w:val="002668D3"/>
    <w:rsid w:val="0027299F"/>
    <w:rsid w:val="002740E1"/>
    <w:rsid w:val="00281D1A"/>
    <w:rsid w:val="00284EBE"/>
    <w:rsid w:val="0029433F"/>
    <w:rsid w:val="00294829"/>
    <w:rsid w:val="0029515E"/>
    <w:rsid w:val="0029690F"/>
    <w:rsid w:val="00297C8A"/>
    <w:rsid w:val="002A2A60"/>
    <w:rsid w:val="002A37BB"/>
    <w:rsid w:val="002A73AA"/>
    <w:rsid w:val="002B1C45"/>
    <w:rsid w:val="002C13C8"/>
    <w:rsid w:val="002C3547"/>
    <w:rsid w:val="002D0021"/>
    <w:rsid w:val="002D3473"/>
    <w:rsid w:val="002E4CF1"/>
    <w:rsid w:val="002F0BB4"/>
    <w:rsid w:val="002F1956"/>
    <w:rsid w:val="002F3440"/>
    <w:rsid w:val="002F75A3"/>
    <w:rsid w:val="00303C2F"/>
    <w:rsid w:val="0030437C"/>
    <w:rsid w:val="003144EF"/>
    <w:rsid w:val="003252C2"/>
    <w:rsid w:val="00325F64"/>
    <w:rsid w:val="00326292"/>
    <w:rsid w:val="00326415"/>
    <w:rsid w:val="00330937"/>
    <w:rsid w:val="00330F31"/>
    <w:rsid w:val="00331480"/>
    <w:rsid w:val="00334648"/>
    <w:rsid w:val="0033768C"/>
    <w:rsid w:val="00337938"/>
    <w:rsid w:val="00340769"/>
    <w:rsid w:val="00341AA6"/>
    <w:rsid w:val="0034705B"/>
    <w:rsid w:val="00352410"/>
    <w:rsid w:val="003525B6"/>
    <w:rsid w:val="003577DE"/>
    <w:rsid w:val="00361A0A"/>
    <w:rsid w:val="00364836"/>
    <w:rsid w:val="003650E5"/>
    <w:rsid w:val="0036565C"/>
    <w:rsid w:val="0036625E"/>
    <w:rsid w:val="00366415"/>
    <w:rsid w:val="003677A1"/>
    <w:rsid w:val="00370189"/>
    <w:rsid w:val="0037112C"/>
    <w:rsid w:val="0037465A"/>
    <w:rsid w:val="00375D11"/>
    <w:rsid w:val="0038027C"/>
    <w:rsid w:val="00382C98"/>
    <w:rsid w:val="0038533C"/>
    <w:rsid w:val="00386568"/>
    <w:rsid w:val="00390B57"/>
    <w:rsid w:val="003948D5"/>
    <w:rsid w:val="003951F5"/>
    <w:rsid w:val="00396821"/>
    <w:rsid w:val="00397D3A"/>
    <w:rsid w:val="003A051E"/>
    <w:rsid w:val="003B0A27"/>
    <w:rsid w:val="003B170F"/>
    <w:rsid w:val="003B3C5F"/>
    <w:rsid w:val="003B7C14"/>
    <w:rsid w:val="003C4342"/>
    <w:rsid w:val="003C4471"/>
    <w:rsid w:val="003C4BCB"/>
    <w:rsid w:val="003D0613"/>
    <w:rsid w:val="003D0A6D"/>
    <w:rsid w:val="003D1974"/>
    <w:rsid w:val="003D7E66"/>
    <w:rsid w:val="003E0B16"/>
    <w:rsid w:val="003E2689"/>
    <w:rsid w:val="003E4DB0"/>
    <w:rsid w:val="003E67D1"/>
    <w:rsid w:val="0040229D"/>
    <w:rsid w:val="00404329"/>
    <w:rsid w:val="00405DC1"/>
    <w:rsid w:val="00414D91"/>
    <w:rsid w:val="00415F1F"/>
    <w:rsid w:val="0041796C"/>
    <w:rsid w:val="00420089"/>
    <w:rsid w:val="004202D2"/>
    <w:rsid w:val="00420704"/>
    <w:rsid w:val="00420795"/>
    <w:rsid w:val="0042108F"/>
    <w:rsid w:val="00430FED"/>
    <w:rsid w:val="00434A8C"/>
    <w:rsid w:val="00437297"/>
    <w:rsid w:val="00444284"/>
    <w:rsid w:val="004443E7"/>
    <w:rsid w:val="00445CE6"/>
    <w:rsid w:val="004534C2"/>
    <w:rsid w:val="0045446F"/>
    <w:rsid w:val="0045683E"/>
    <w:rsid w:val="00457CA3"/>
    <w:rsid w:val="00461338"/>
    <w:rsid w:val="004617BF"/>
    <w:rsid w:val="00465BFF"/>
    <w:rsid w:val="00477C72"/>
    <w:rsid w:val="00491675"/>
    <w:rsid w:val="00493855"/>
    <w:rsid w:val="00495E79"/>
    <w:rsid w:val="0049649C"/>
    <w:rsid w:val="004A0692"/>
    <w:rsid w:val="004A1AFC"/>
    <w:rsid w:val="004A2EDB"/>
    <w:rsid w:val="004A57DD"/>
    <w:rsid w:val="004A7B51"/>
    <w:rsid w:val="004A7D71"/>
    <w:rsid w:val="004A7EF3"/>
    <w:rsid w:val="004B11FD"/>
    <w:rsid w:val="004B23A2"/>
    <w:rsid w:val="004C0D03"/>
    <w:rsid w:val="004C0D33"/>
    <w:rsid w:val="004D0E34"/>
    <w:rsid w:val="004D1A5A"/>
    <w:rsid w:val="004D2FFF"/>
    <w:rsid w:val="004D3721"/>
    <w:rsid w:val="004D64F9"/>
    <w:rsid w:val="004E3A6B"/>
    <w:rsid w:val="004E622C"/>
    <w:rsid w:val="004F4AF9"/>
    <w:rsid w:val="004F5FDF"/>
    <w:rsid w:val="004F7554"/>
    <w:rsid w:val="00506542"/>
    <w:rsid w:val="00506D33"/>
    <w:rsid w:val="00511A79"/>
    <w:rsid w:val="005177FE"/>
    <w:rsid w:val="00520B95"/>
    <w:rsid w:val="0052263B"/>
    <w:rsid w:val="00524728"/>
    <w:rsid w:val="00525B17"/>
    <w:rsid w:val="0053171F"/>
    <w:rsid w:val="005331CA"/>
    <w:rsid w:val="00537970"/>
    <w:rsid w:val="00540E3A"/>
    <w:rsid w:val="00544127"/>
    <w:rsid w:val="00544F6E"/>
    <w:rsid w:val="00545B85"/>
    <w:rsid w:val="005463A9"/>
    <w:rsid w:val="00553EB2"/>
    <w:rsid w:val="0055644C"/>
    <w:rsid w:val="00560534"/>
    <w:rsid w:val="0056391B"/>
    <w:rsid w:val="005650E2"/>
    <w:rsid w:val="00567AD7"/>
    <w:rsid w:val="00571328"/>
    <w:rsid w:val="00574A27"/>
    <w:rsid w:val="00575B2D"/>
    <w:rsid w:val="005766CD"/>
    <w:rsid w:val="00580B83"/>
    <w:rsid w:val="00582CD8"/>
    <w:rsid w:val="005833D0"/>
    <w:rsid w:val="005846F3"/>
    <w:rsid w:val="0058622F"/>
    <w:rsid w:val="00591280"/>
    <w:rsid w:val="00591905"/>
    <w:rsid w:val="00592F82"/>
    <w:rsid w:val="005A0CCA"/>
    <w:rsid w:val="005A726D"/>
    <w:rsid w:val="005A7A42"/>
    <w:rsid w:val="005B67AC"/>
    <w:rsid w:val="005B79F4"/>
    <w:rsid w:val="005C2485"/>
    <w:rsid w:val="005D2925"/>
    <w:rsid w:val="005D2CD6"/>
    <w:rsid w:val="005D43E0"/>
    <w:rsid w:val="005D58A3"/>
    <w:rsid w:val="005E1046"/>
    <w:rsid w:val="005E1B79"/>
    <w:rsid w:val="005E1B94"/>
    <w:rsid w:val="005E1E41"/>
    <w:rsid w:val="005E7008"/>
    <w:rsid w:val="005E784A"/>
    <w:rsid w:val="005F026D"/>
    <w:rsid w:val="005F082F"/>
    <w:rsid w:val="005F2AEA"/>
    <w:rsid w:val="005F2D0B"/>
    <w:rsid w:val="005F4B31"/>
    <w:rsid w:val="0060603B"/>
    <w:rsid w:val="00610388"/>
    <w:rsid w:val="00611244"/>
    <w:rsid w:val="00611DE6"/>
    <w:rsid w:val="00612CA5"/>
    <w:rsid w:val="00613F2C"/>
    <w:rsid w:val="006153EC"/>
    <w:rsid w:val="00621A17"/>
    <w:rsid w:val="00627CC9"/>
    <w:rsid w:val="00627DE9"/>
    <w:rsid w:val="00627E7B"/>
    <w:rsid w:val="00630542"/>
    <w:rsid w:val="00632E44"/>
    <w:rsid w:val="00634622"/>
    <w:rsid w:val="00634A26"/>
    <w:rsid w:val="00636808"/>
    <w:rsid w:val="00636C15"/>
    <w:rsid w:val="00641515"/>
    <w:rsid w:val="00654B27"/>
    <w:rsid w:val="00654C2F"/>
    <w:rsid w:val="00656DA7"/>
    <w:rsid w:val="00657087"/>
    <w:rsid w:val="006603F1"/>
    <w:rsid w:val="006616B4"/>
    <w:rsid w:val="006639DB"/>
    <w:rsid w:val="006661EF"/>
    <w:rsid w:val="00667471"/>
    <w:rsid w:val="0066764F"/>
    <w:rsid w:val="00677AEB"/>
    <w:rsid w:val="00680EF2"/>
    <w:rsid w:val="0068558C"/>
    <w:rsid w:val="00687A1D"/>
    <w:rsid w:val="00690D54"/>
    <w:rsid w:val="00691A12"/>
    <w:rsid w:val="00696CEC"/>
    <w:rsid w:val="00696ED8"/>
    <w:rsid w:val="00697EA1"/>
    <w:rsid w:val="006A2646"/>
    <w:rsid w:val="006A6530"/>
    <w:rsid w:val="006B435A"/>
    <w:rsid w:val="006B4C64"/>
    <w:rsid w:val="006C375B"/>
    <w:rsid w:val="006D217A"/>
    <w:rsid w:val="006D6BD5"/>
    <w:rsid w:val="006D71A5"/>
    <w:rsid w:val="006E315C"/>
    <w:rsid w:val="006E481A"/>
    <w:rsid w:val="006E5287"/>
    <w:rsid w:val="006E5298"/>
    <w:rsid w:val="006F0106"/>
    <w:rsid w:val="006F2B12"/>
    <w:rsid w:val="006F4A78"/>
    <w:rsid w:val="006F734A"/>
    <w:rsid w:val="00700D83"/>
    <w:rsid w:val="007046E9"/>
    <w:rsid w:val="00704852"/>
    <w:rsid w:val="007074E9"/>
    <w:rsid w:val="00713DA4"/>
    <w:rsid w:val="00714BF1"/>
    <w:rsid w:val="00717B9D"/>
    <w:rsid w:val="00721383"/>
    <w:rsid w:val="00722C63"/>
    <w:rsid w:val="00730D7B"/>
    <w:rsid w:val="0073158B"/>
    <w:rsid w:val="007333CC"/>
    <w:rsid w:val="0073399A"/>
    <w:rsid w:val="00743469"/>
    <w:rsid w:val="00754620"/>
    <w:rsid w:val="007603F5"/>
    <w:rsid w:val="00764DB0"/>
    <w:rsid w:val="0076764D"/>
    <w:rsid w:val="007719C1"/>
    <w:rsid w:val="0077498C"/>
    <w:rsid w:val="0077662D"/>
    <w:rsid w:val="007772BD"/>
    <w:rsid w:val="00777B1B"/>
    <w:rsid w:val="007809BC"/>
    <w:rsid w:val="00781533"/>
    <w:rsid w:val="00782EE1"/>
    <w:rsid w:val="00784128"/>
    <w:rsid w:val="00793173"/>
    <w:rsid w:val="00794F6A"/>
    <w:rsid w:val="007A107A"/>
    <w:rsid w:val="007A2A33"/>
    <w:rsid w:val="007A6B8D"/>
    <w:rsid w:val="007A7B20"/>
    <w:rsid w:val="007A7BDE"/>
    <w:rsid w:val="007B25DE"/>
    <w:rsid w:val="007B2E4D"/>
    <w:rsid w:val="007C1FCC"/>
    <w:rsid w:val="007C50AA"/>
    <w:rsid w:val="007C6201"/>
    <w:rsid w:val="007D7C92"/>
    <w:rsid w:val="007E1154"/>
    <w:rsid w:val="007E39B3"/>
    <w:rsid w:val="007E44C4"/>
    <w:rsid w:val="007E6BA4"/>
    <w:rsid w:val="007F41F8"/>
    <w:rsid w:val="007F6A57"/>
    <w:rsid w:val="00800B1B"/>
    <w:rsid w:val="00800B76"/>
    <w:rsid w:val="008017F0"/>
    <w:rsid w:val="0080454E"/>
    <w:rsid w:val="00804C32"/>
    <w:rsid w:val="00804DA6"/>
    <w:rsid w:val="00806302"/>
    <w:rsid w:val="00807119"/>
    <w:rsid w:val="0081076D"/>
    <w:rsid w:val="0082483F"/>
    <w:rsid w:val="008279C0"/>
    <w:rsid w:val="00841051"/>
    <w:rsid w:val="00846BC4"/>
    <w:rsid w:val="008500BD"/>
    <w:rsid w:val="00853C33"/>
    <w:rsid w:val="00860723"/>
    <w:rsid w:val="008628A4"/>
    <w:rsid w:val="008723F3"/>
    <w:rsid w:val="00874240"/>
    <w:rsid w:val="00881DE6"/>
    <w:rsid w:val="008830C2"/>
    <w:rsid w:val="008837A6"/>
    <w:rsid w:val="0089145D"/>
    <w:rsid w:val="00894C1D"/>
    <w:rsid w:val="00897A78"/>
    <w:rsid w:val="008A4DF2"/>
    <w:rsid w:val="008A6CFE"/>
    <w:rsid w:val="008B1DB1"/>
    <w:rsid w:val="008B5333"/>
    <w:rsid w:val="008B6223"/>
    <w:rsid w:val="008C4AC6"/>
    <w:rsid w:val="008C66E0"/>
    <w:rsid w:val="008D62F7"/>
    <w:rsid w:val="008E0EC8"/>
    <w:rsid w:val="008E3339"/>
    <w:rsid w:val="008E7371"/>
    <w:rsid w:val="008F20FC"/>
    <w:rsid w:val="008F2272"/>
    <w:rsid w:val="008F35D1"/>
    <w:rsid w:val="008F5FFE"/>
    <w:rsid w:val="00900E0E"/>
    <w:rsid w:val="00905A43"/>
    <w:rsid w:val="00912C79"/>
    <w:rsid w:val="00914A23"/>
    <w:rsid w:val="00917D05"/>
    <w:rsid w:val="009221EB"/>
    <w:rsid w:val="00922D2A"/>
    <w:rsid w:val="009253CE"/>
    <w:rsid w:val="00935A21"/>
    <w:rsid w:val="00936515"/>
    <w:rsid w:val="00942123"/>
    <w:rsid w:val="00951C74"/>
    <w:rsid w:val="00951FF5"/>
    <w:rsid w:val="0095207B"/>
    <w:rsid w:val="00962045"/>
    <w:rsid w:val="00966A04"/>
    <w:rsid w:val="00967219"/>
    <w:rsid w:val="00967796"/>
    <w:rsid w:val="00971896"/>
    <w:rsid w:val="00974594"/>
    <w:rsid w:val="00980E61"/>
    <w:rsid w:val="00991428"/>
    <w:rsid w:val="00991DA7"/>
    <w:rsid w:val="00992676"/>
    <w:rsid w:val="009954B2"/>
    <w:rsid w:val="00996691"/>
    <w:rsid w:val="009B0723"/>
    <w:rsid w:val="009B07AD"/>
    <w:rsid w:val="009B0883"/>
    <w:rsid w:val="009B15E2"/>
    <w:rsid w:val="009B4976"/>
    <w:rsid w:val="009B58CA"/>
    <w:rsid w:val="009C0B8E"/>
    <w:rsid w:val="009C1BC8"/>
    <w:rsid w:val="009C2442"/>
    <w:rsid w:val="009C5E52"/>
    <w:rsid w:val="009D0811"/>
    <w:rsid w:val="009D0EE1"/>
    <w:rsid w:val="009D1DED"/>
    <w:rsid w:val="009D5FEE"/>
    <w:rsid w:val="009E2AEB"/>
    <w:rsid w:val="009E2E27"/>
    <w:rsid w:val="009E39B2"/>
    <w:rsid w:val="009E4DE3"/>
    <w:rsid w:val="009E5045"/>
    <w:rsid w:val="009E5802"/>
    <w:rsid w:val="009F275E"/>
    <w:rsid w:val="00A02BBF"/>
    <w:rsid w:val="00A047EE"/>
    <w:rsid w:val="00A04FEF"/>
    <w:rsid w:val="00A10BBB"/>
    <w:rsid w:val="00A11E80"/>
    <w:rsid w:val="00A17858"/>
    <w:rsid w:val="00A2274A"/>
    <w:rsid w:val="00A235B7"/>
    <w:rsid w:val="00A27A7A"/>
    <w:rsid w:val="00A33C28"/>
    <w:rsid w:val="00A407EF"/>
    <w:rsid w:val="00A46B4C"/>
    <w:rsid w:val="00A5117B"/>
    <w:rsid w:val="00A54CB5"/>
    <w:rsid w:val="00A57185"/>
    <w:rsid w:val="00A60074"/>
    <w:rsid w:val="00A620A6"/>
    <w:rsid w:val="00A62FDA"/>
    <w:rsid w:val="00A6511D"/>
    <w:rsid w:val="00A6627C"/>
    <w:rsid w:val="00A71019"/>
    <w:rsid w:val="00A75F78"/>
    <w:rsid w:val="00A81029"/>
    <w:rsid w:val="00A84751"/>
    <w:rsid w:val="00A92153"/>
    <w:rsid w:val="00A945E2"/>
    <w:rsid w:val="00A96489"/>
    <w:rsid w:val="00AB4327"/>
    <w:rsid w:val="00AB685C"/>
    <w:rsid w:val="00AB6C2D"/>
    <w:rsid w:val="00AC08F7"/>
    <w:rsid w:val="00AC3839"/>
    <w:rsid w:val="00AC7082"/>
    <w:rsid w:val="00AD0D59"/>
    <w:rsid w:val="00AD2931"/>
    <w:rsid w:val="00AD513F"/>
    <w:rsid w:val="00AD6870"/>
    <w:rsid w:val="00AE2316"/>
    <w:rsid w:val="00AE34F8"/>
    <w:rsid w:val="00AE3C9C"/>
    <w:rsid w:val="00AE74BA"/>
    <w:rsid w:val="00AF228E"/>
    <w:rsid w:val="00AF3381"/>
    <w:rsid w:val="00B016A8"/>
    <w:rsid w:val="00B05D0B"/>
    <w:rsid w:val="00B0621B"/>
    <w:rsid w:val="00B12499"/>
    <w:rsid w:val="00B1276D"/>
    <w:rsid w:val="00B12EF7"/>
    <w:rsid w:val="00B14819"/>
    <w:rsid w:val="00B15E2F"/>
    <w:rsid w:val="00B1789C"/>
    <w:rsid w:val="00B17AA9"/>
    <w:rsid w:val="00B26755"/>
    <w:rsid w:val="00B30D9A"/>
    <w:rsid w:val="00B4250A"/>
    <w:rsid w:val="00B44713"/>
    <w:rsid w:val="00B56103"/>
    <w:rsid w:val="00B62DD2"/>
    <w:rsid w:val="00B63DCD"/>
    <w:rsid w:val="00B64929"/>
    <w:rsid w:val="00B736DF"/>
    <w:rsid w:val="00B743D6"/>
    <w:rsid w:val="00B74FBD"/>
    <w:rsid w:val="00B77F46"/>
    <w:rsid w:val="00B82586"/>
    <w:rsid w:val="00B829A3"/>
    <w:rsid w:val="00B846D5"/>
    <w:rsid w:val="00B8486A"/>
    <w:rsid w:val="00B86DB1"/>
    <w:rsid w:val="00B87869"/>
    <w:rsid w:val="00B96CE3"/>
    <w:rsid w:val="00BA543A"/>
    <w:rsid w:val="00BB0F2B"/>
    <w:rsid w:val="00BB2D0D"/>
    <w:rsid w:val="00BB38D1"/>
    <w:rsid w:val="00BD4794"/>
    <w:rsid w:val="00BD73DA"/>
    <w:rsid w:val="00BE3C13"/>
    <w:rsid w:val="00BE4FF3"/>
    <w:rsid w:val="00BF50F7"/>
    <w:rsid w:val="00C001F0"/>
    <w:rsid w:val="00C00B20"/>
    <w:rsid w:val="00C02F29"/>
    <w:rsid w:val="00C167ED"/>
    <w:rsid w:val="00C169F3"/>
    <w:rsid w:val="00C20AFE"/>
    <w:rsid w:val="00C22A25"/>
    <w:rsid w:val="00C27B0F"/>
    <w:rsid w:val="00C35671"/>
    <w:rsid w:val="00C35B77"/>
    <w:rsid w:val="00C36110"/>
    <w:rsid w:val="00C36AA7"/>
    <w:rsid w:val="00C376EB"/>
    <w:rsid w:val="00C41AF4"/>
    <w:rsid w:val="00C46A92"/>
    <w:rsid w:val="00C46DF7"/>
    <w:rsid w:val="00C46EC1"/>
    <w:rsid w:val="00C478F9"/>
    <w:rsid w:val="00C52796"/>
    <w:rsid w:val="00C53E2C"/>
    <w:rsid w:val="00C550C8"/>
    <w:rsid w:val="00C56B61"/>
    <w:rsid w:val="00C606C3"/>
    <w:rsid w:val="00C60B85"/>
    <w:rsid w:val="00C620F4"/>
    <w:rsid w:val="00C63E03"/>
    <w:rsid w:val="00C7274F"/>
    <w:rsid w:val="00C72848"/>
    <w:rsid w:val="00C7729F"/>
    <w:rsid w:val="00C7736C"/>
    <w:rsid w:val="00C82D87"/>
    <w:rsid w:val="00C86214"/>
    <w:rsid w:val="00C86400"/>
    <w:rsid w:val="00C8712A"/>
    <w:rsid w:val="00C963D3"/>
    <w:rsid w:val="00CB06E2"/>
    <w:rsid w:val="00CB1983"/>
    <w:rsid w:val="00CB2CBB"/>
    <w:rsid w:val="00CB508D"/>
    <w:rsid w:val="00CB7CAC"/>
    <w:rsid w:val="00CC5335"/>
    <w:rsid w:val="00CC5BA4"/>
    <w:rsid w:val="00CD0A4B"/>
    <w:rsid w:val="00CD4998"/>
    <w:rsid w:val="00CE1035"/>
    <w:rsid w:val="00CE6E50"/>
    <w:rsid w:val="00CF2819"/>
    <w:rsid w:val="00CF4F9D"/>
    <w:rsid w:val="00CF70DC"/>
    <w:rsid w:val="00D056B6"/>
    <w:rsid w:val="00D148DC"/>
    <w:rsid w:val="00D17FDC"/>
    <w:rsid w:val="00D21F62"/>
    <w:rsid w:val="00D26E26"/>
    <w:rsid w:val="00D30904"/>
    <w:rsid w:val="00D44ECA"/>
    <w:rsid w:val="00D509A5"/>
    <w:rsid w:val="00D54E9D"/>
    <w:rsid w:val="00D56B4E"/>
    <w:rsid w:val="00D606A2"/>
    <w:rsid w:val="00D608A4"/>
    <w:rsid w:val="00D60E46"/>
    <w:rsid w:val="00D63EFD"/>
    <w:rsid w:val="00D651FD"/>
    <w:rsid w:val="00D66489"/>
    <w:rsid w:val="00D73131"/>
    <w:rsid w:val="00D75351"/>
    <w:rsid w:val="00D84752"/>
    <w:rsid w:val="00D86B3B"/>
    <w:rsid w:val="00D8748A"/>
    <w:rsid w:val="00D93196"/>
    <w:rsid w:val="00D95496"/>
    <w:rsid w:val="00DA0DC0"/>
    <w:rsid w:val="00DA7E39"/>
    <w:rsid w:val="00DB1D76"/>
    <w:rsid w:val="00DB243C"/>
    <w:rsid w:val="00DB482A"/>
    <w:rsid w:val="00DB56F2"/>
    <w:rsid w:val="00DB6EF5"/>
    <w:rsid w:val="00DC3089"/>
    <w:rsid w:val="00DC4420"/>
    <w:rsid w:val="00DD0802"/>
    <w:rsid w:val="00DD0CA2"/>
    <w:rsid w:val="00DD2E11"/>
    <w:rsid w:val="00DD47EF"/>
    <w:rsid w:val="00DD6424"/>
    <w:rsid w:val="00DE03AF"/>
    <w:rsid w:val="00DE121C"/>
    <w:rsid w:val="00DE53B8"/>
    <w:rsid w:val="00DE6633"/>
    <w:rsid w:val="00DE6C32"/>
    <w:rsid w:val="00DF0864"/>
    <w:rsid w:val="00DF1FA0"/>
    <w:rsid w:val="00DF461F"/>
    <w:rsid w:val="00DF75F8"/>
    <w:rsid w:val="00DF7A3A"/>
    <w:rsid w:val="00E00C00"/>
    <w:rsid w:val="00E01FFF"/>
    <w:rsid w:val="00E03AF0"/>
    <w:rsid w:val="00E07C5A"/>
    <w:rsid w:val="00E15BA9"/>
    <w:rsid w:val="00E16BE1"/>
    <w:rsid w:val="00E16E6A"/>
    <w:rsid w:val="00E26E19"/>
    <w:rsid w:val="00E30C8A"/>
    <w:rsid w:val="00E31DF3"/>
    <w:rsid w:val="00E33328"/>
    <w:rsid w:val="00E450A4"/>
    <w:rsid w:val="00E506BE"/>
    <w:rsid w:val="00E53FA7"/>
    <w:rsid w:val="00E54E40"/>
    <w:rsid w:val="00E55547"/>
    <w:rsid w:val="00E604A1"/>
    <w:rsid w:val="00E6302B"/>
    <w:rsid w:val="00E6452F"/>
    <w:rsid w:val="00E64F45"/>
    <w:rsid w:val="00E6742D"/>
    <w:rsid w:val="00E71CB0"/>
    <w:rsid w:val="00E7442A"/>
    <w:rsid w:val="00E77C3D"/>
    <w:rsid w:val="00E8099D"/>
    <w:rsid w:val="00E81160"/>
    <w:rsid w:val="00E83CE8"/>
    <w:rsid w:val="00E90991"/>
    <w:rsid w:val="00E909F0"/>
    <w:rsid w:val="00E90D47"/>
    <w:rsid w:val="00E93993"/>
    <w:rsid w:val="00E9597C"/>
    <w:rsid w:val="00EA0913"/>
    <w:rsid w:val="00EA5378"/>
    <w:rsid w:val="00EA5B00"/>
    <w:rsid w:val="00EB146B"/>
    <w:rsid w:val="00EB45AC"/>
    <w:rsid w:val="00EB502A"/>
    <w:rsid w:val="00EB5CA4"/>
    <w:rsid w:val="00EB7D11"/>
    <w:rsid w:val="00EC00F9"/>
    <w:rsid w:val="00ED0BC4"/>
    <w:rsid w:val="00ED20E8"/>
    <w:rsid w:val="00ED472A"/>
    <w:rsid w:val="00ED54B6"/>
    <w:rsid w:val="00EE03BF"/>
    <w:rsid w:val="00EE3130"/>
    <w:rsid w:val="00EE4971"/>
    <w:rsid w:val="00EE5DEB"/>
    <w:rsid w:val="00EF090E"/>
    <w:rsid w:val="00EF52E7"/>
    <w:rsid w:val="00EF5591"/>
    <w:rsid w:val="00EF7911"/>
    <w:rsid w:val="00F00745"/>
    <w:rsid w:val="00F033DA"/>
    <w:rsid w:val="00F10863"/>
    <w:rsid w:val="00F13FB1"/>
    <w:rsid w:val="00F15A54"/>
    <w:rsid w:val="00F27A67"/>
    <w:rsid w:val="00F27CD8"/>
    <w:rsid w:val="00F30351"/>
    <w:rsid w:val="00F32BC7"/>
    <w:rsid w:val="00F32DBF"/>
    <w:rsid w:val="00F3323E"/>
    <w:rsid w:val="00F341F4"/>
    <w:rsid w:val="00F34F9D"/>
    <w:rsid w:val="00F35CCE"/>
    <w:rsid w:val="00F4673F"/>
    <w:rsid w:val="00F527FC"/>
    <w:rsid w:val="00F5524B"/>
    <w:rsid w:val="00F60538"/>
    <w:rsid w:val="00F60880"/>
    <w:rsid w:val="00F61DD2"/>
    <w:rsid w:val="00F66AFF"/>
    <w:rsid w:val="00F71433"/>
    <w:rsid w:val="00F76CD4"/>
    <w:rsid w:val="00F814B4"/>
    <w:rsid w:val="00F83464"/>
    <w:rsid w:val="00F8565A"/>
    <w:rsid w:val="00F879F1"/>
    <w:rsid w:val="00F93BE7"/>
    <w:rsid w:val="00F97C5B"/>
    <w:rsid w:val="00FA3D50"/>
    <w:rsid w:val="00FA4CA9"/>
    <w:rsid w:val="00FB4DD5"/>
    <w:rsid w:val="00FB7FBD"/>
    <w:rsid w:val="00FC374A"/>
    <w:rsid w:val="00FC48D8"/>
    <w:rsid w:val="00FC7B47"/>
    <w:rsid w:val="00FD035C"/>
    <w:rsid w:val="00FD1A35"/>
    <w:rsid w:val="00FD36C5"/>
    <w:rsid w:val="00FD6310"/>
    <w:rsid w:val="00FD7C7B"/>
    <w:rsid w:val="00FE1D12"/>
    <w:rsid w:val="00FE2122"/>
    <w:rsid w:val="00FE2A86"/>
    <w:rsid w:val="00FE2DE2"/>
    <w:rsid w:val="00FF0B30"/>
    <w:rsid w:val="00FF296F"/>
    <w:rsid w:val="00FF4FEA"/>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12</Pages>
  <Words>4636</Words>
  <Characters>26431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 Segura</cp:lastModifiedBy>
  <cp:revision>242</cp:revision>
  <cp:lastPrinted>2019-08-27T05:42:00Z</cp:lastPrinted>
  <dcterms:created xsi:type="dcterms:W3CDTF">2021-12-21T14:42:00Z</dcterms:created>
  <dcterms:modified xsi:type="dcterms:W3CDTF">2022-01-10T12:31:00Z</dcterms:modified>
</cp:coreProperties>
</file>