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B23A2" w:rsidP="00524728" w:rsidRDefault="007D0192" w14:paraId="425B7968" w14:textId="40C39912">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E3C07D">
      <w:pPr>
        <w:jc w:val="center"/>
        <w:rPr>
          <w:rFonts w:ascii="Arial" w:hAnsi="Arial" w:cs="Arial"/>
          <w:b/>
          <w:sz w:val="22"/>
          <w:szCs w:val="22"/>
          <w:lang w:val="en-GB"/>
        </w:rPr>
      </w:pPr>
    </w:p>
    <w:p w:rsidR="00437297" w:rsidP="00592F82" w:rsidRDefault="00437297" w14:paraId="045C7386" w14:textId="06C377C6">
      <w:pPr>
        <w:jc w:val="center"/>
        <w:rPr>
          <w:rFonts w:ascii="Arial" w:hAnsi="Arial" w:cs="Arial"/>
          <w:b/>
          <w:sz w:val="22"/>
          <w:szCs w:val="22"/>
          <w:lang w:val="en-GB"/>
        </w:rPr>
      </w:pPr>
    </w:p>
    <w:p w:rsidR="00437297" w:rsidP="00592F82" w:rsidRDefault="00437297" w14:paraId="13D68906" w14:textId="77777777">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7D0192" w:rsidR="00434A8C" w:rsidP="007D0192" w:rsidRDefault="00434A8C" w14:paraId="16393F7E"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4"/>
          <w:lang w:val="en-GB"/>
        </w:rPr>
      </w:pPr>
    </w:p>
    <w:p w:rsidRPr="007D0192" w:rsidR="0011473D" w:rsidP="007D0192" w:rsidRDefault="00C56B61" w14:paraId="59317C17" w14:textId="3BD5933A">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Pr="007D0192" w:rsidR="009D0811">
        <w:rPr>
          <w:rFonts w:ascii="Arial" w:hAnsi="Arial" w:cs="Arial"/>
          <w:b/>
          <w:color w:val="000000" w:themeColor="text1"/>
          <w:sz w:val="24"/>
          <w:lang w:val="en-GB"/>
        </w:rPr>
        <w:t xml:space="preserve">ASSESSMENT: MODULE </w:t>
      </w:r>
      <w:r w:rsidRPr="007D0192" w:rsidR="002903A7">
        <w:rPr>
          <w:rFonts w:ascii="Arial" w:hAnsi="Arial" w:cs="Arial"/>
          <w:b/>
          <w:color w:val="000000" w:themeColor="text1"/>
          <w:sz w:val="24"/>
          <w:lang w:val="en-GB"/>
        </w:rPr>
        <w:t>3A</w:t>
      </w:r>
    </w:p>
    <w:p w:rsidRPr="007D0192" w:rsidR="002638B0" w:rsidP="007D0192" w:rsidRDefault="002638B0" w14:paraId="1DCE41A2" w14:textId="0CB8A9C3">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p>
    <w:p w:rsidRPr="007D0192" w:rsidR="002638B0" w:rsidP="007D0192" w:rsidRDefault="00996691" w14:paraId="23556360" w14:textId="5A963E9C">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Pr="007D0192" w:rsidR="002903A7">
        <w:rPr>
          <w:rFonts w:ascii="Arial" w:hAnsi="Arial" w:cs="Arial"/>
          <w:b/>
          <w:color w:val="000000" w:themeColor="text1"/>
          <w:sz w:val="24"/>
          <w:lang w:val="en-GB"/>
        </w:rPr>
        <w:t>INSOLVENCY SYSTEM OF THE UNITED STATES</w:t>
      </w:r>
    </w:p>
    <w:p w:rsidRPr="007D0192" w:rsidR="00C362AA" w:rsidP="007D0192" w:rsidRDefault="00C362AA" w14:paraId="50ECD617" w14:textId="28DE0E04">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6E1EAE22">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00397D3A" w:rsidP="00592F82" w:rsidRDefault="00397D3A" w14:paraId="5C762CBD" w14:textId="28537775">
      <w:pPr>
        <w:jc w:val="center"/>
        <w:rPr>
          <w:rFonts w:ascii="Arial" w:hAnsi="Arial" w:cs="Arial"/>
          <w:b/>
          <w:sz w:val="22"/>
          <w:szCs w:val="22"/>
          <w:lang w:val="en-GB"/>
        </w:rPr>
      </w:pPr>
    </w:p>
    <w:p w:rsidR="00397D3A" w:rsidP="00592F82" w:rsidRDefault="00397D3A" w14:paraId="4051CEA3" w14:textId="31550508">
      <w:pPr>
        <w:jc w:val="center"/>
        <w:rPr>
          <w:rFonts w:ascii="Arial" w:hAnsi="Arial" w:cs="Arial"/>
          <w:b/>
          <w:sz w:val="22"/>
          <w:szCs w:val="22"/>
          <w:lang w:val="en-GB"/>
        </w:rPr>
      </w:pPr>
    </w:p>
    <w:p w:rsidR="00397D3A" w:rsidP="00592F82" w:rsidRDefault="00397D3A" w14:paraId="25AECBFD" w14:textId="77777777">
      <w:pPr>
        <w:jc w:val="center"/>
        <w:rPr>
          <w:rFonts w:ascii="Arial" w:hAnsi="Arial" w:cs="Arial"/>
          <w:b/>
          <w:sz w:val="22"/>
          <w:szCs w:val="22"/>
          <w:lang w:val="en-GB"/>
        </w:rPr>
      </w:pPr>
    </w:p>
    <w:p w:rsidR="00397D3A" w:rsidP="00592F82" w:rsidRDefault="00397D3A" w14:paraId="19855BF7" w14:textId="77777777">
      <w:pPr>
        <w:jc w:val="center"/>
        <w:rPr>
          <w:rFonts w:ascii="Arial" w:hAnsi="Arial" w:cs="Arial"/>
          <w:b/>
          <w:sz w:val="22"/>
          <w:szCs w:val="22"/>
          <w:lang w:val="en-GB"/>
        </w:rPr>
      </w:pPr>
    </w:p>
    <w:p w:rsidR="00DB56F2" w:rsidP="00DB56F2" w:rsidRDefault="00DB56F2" w14:paraId="0ED3DA75"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rsidR="00037671" w:rsidP="00037671" w:rsidRDefault="00037671" w14:paraId="55B59659" w14:textId="0C7DFF3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rsidR="00037671" w:rsidP="00037671" w:rsidRDefault="00037671" w14:paraId="3255AA47"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rsidR="00037671" w:rsidP="00037671" w:rsidRDefault="00037671" w14:paraId="1B722662"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037671" w:rsidP="00037671" w:rsidRDefault="00037671" w14:paraId="0537471C"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rsidRPr="00DB56F2" w:rsidR="00037671" w:rsidP="00037671" w:rsidRDefault="00037671" w14:paraId="34AFB7EB" w14:textId="736E28B4">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DB56F2" w:rsidRDefault="00DB56F2" w14:paraId="274024F0"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397D3A" w:rsidP="007C6201" w:rsidRDefault="00397D3A" w14:paraId="1B27A2C1" w14:textId="338BD4E5">
      <w:pPr>
        <w:jc w:val="both"/>
        <w:rPr>
          <w:rFonts w:ascii="Arial" w:hAnsi="Arial" w:cs="Arial"/>
          <w:b/>
          <w:sz w:val="22"/>
          <w:szCs w:val="22"/>
          <w:lang w:val="en-GB"/>
        </w:rPr>
      </w:pPr>
    </w:p>
    <w:p w:rsidR="002C0121" w:rsidP="007C6201" w:rsidRDefault="002C0121" w14:paraId="167336FA" w14:textId="5D10C9DE">
      <w:pPr>
        <w:jc w:val="both"/>
        <w:rPr>
          <w:rFonts w:ascii="Arial" w:hAnsi="Arial" w:cs="Arial"/>
          <w:b/>
          <w:sz w:val="22"/>
          <w:szCs w:val="22"/>
          <w:lang w:val="en-GB"/>
        </w:rPr>
      </w:pPr>
    </w:p>
    <w:p w:rsidR="002C0121" w:rsidP="007C6201" w:rsidRDefault="002C0121" w14:paraId="681D3A90" w14:textId="445C9C40">
      <w:pPr>
        <w:jc w:val="both"/>
        <w:rPr>
          <w:rFonts w:ascii="Arial" w:hAnsi="Arial" w:cs="Arial"/>
          <w:b/>
          <w:sz w:val="22"/>
          <w:szCs w:val="22"/>
          <w:lang w:val="en-GB"/>
        </w:rPr>
      </w:pPr>
    </w:p>
    <w:p w:rsidR="002C0121" w:rsidP="007C6201" w:rsidRDefault="002C0121" w14:paraId="2FE31958" w14:textId="3650137F">
      <w:pPr>
        <w:jc w:val="both"/>
        <w:rPr>
          <w:rFonts w:ascii="Arial" w:hAnsi="Arial" w:cs="Arial"/>
          <w:b/>
          <w:sz w:val="22"/>
          <w:szCs w:val="22"/>
          <w:lang w:val="en-GB"/>
        </w:rPr>
      </w:pPr>
    </w:p>
    <w:p w:rsidR="002C0121" w:rsidP="007C6201" w:rsidRDefault="002C0121" w14:paraId="3908B066" w14:textId="77777777">
      <w:pPr>
        <w:jc w:val="both"/>
        <w:rPr>
          <w:rFonts w:ascii="Arial" w:hAnsi="Arial" w:cs="Arial"/>
          <w:b/>
          <w:sz w:val="22"/>
          <w:szCs w:val="22"/>
          <w:lang w:val="en-GB"/>
        </w:rPr>
      </w:pPr>
    </w:p>
    <w:p w:rsidR="00397D3A" w:rsidP="007C6201" w:rsidRDefault="00397D3A" w14:paraId="1BC7CE2F" w14:textId="5B3D9200">
      <w:pPr>
        <w:jc w:val="both"/>
        <w:rPr>
          <w:rFonts w:ascii="Arial" w:hAnsi="Arial" w:cs="Arial"/>
          <w:b/>
          <w:sz w:val="22"/>
          <w:szCs w:val="22"/>
          <w:lang w:val="en-GB"/>
        </w:rPr>
      </w:pPr>
    </w:p>
    <w:p w:rsidR="00397D3A" w:rsidP="007C6201" w:rsidRDefault="00397D3A" w14:paraId="5683A375" w14:textId="1322B645">
      <w:pPr>
        <w:jc w:val="both"/>
        <w:rPr>
          <w:rFonts w:ascii="Arial" w:hAnsi="Arial" w:cs="Arial"/>
          <w:b/>
          <w:sz w:val="22"/>
          <w:szCs w:val="22"/>
          <w:lang w:val="en-GB"/>
        </w:rPr>
      </w:pPr>
    </w:p>
    <w:p w:rsidRPr="00592F82" w:rsidR="0011473D" w:rsidP="009D0811" w:rsidRDefault="00E93993" w14:paraId="3C0D3574" w14:textId="3C486EDE">
      <w:pPr>
        <w:jc w:val="center"/>
        <w:rPr>
          <w:rFonts w:ascii="Arial" w:hAnsi="Arial" w:cs="Arial"/>
          <w:b/>
          <w:sz w:val="22"/>
          <w:szCs w:val="22"/>
          <w:u w:val="single"/>
          <w:lang w:val="en-GB"/>
        </w:rPr>
      </w:pPr>
      <w:r>
        <w:rPr>
          <w:rFonts w:ascii="Arial" w:hAnsi="Arial" w:cs="Arial"/>
          <w:b/>
          <w:sz w:val="22"/>
          <w:szCs w:val="22"/>
          <w:u w:val="single"/>
          <w:lang w:val="en-GB"/>
        </w:rPr>
        <w:t>I</w:t>
      </w:r>
      <w:r w:rsidRPr="00592F82" w:rsidR="0011473D">
        <w:rPr>
          <w:rFonts w:ascii="Arial" w:hAnsi="Arial" w:cs="Arial"/>
          <w:b/>
          <w:sz w:val="22"/>
          <w:szCs w:val="22"/>
          <w:u w:val="single"/>
          <w:lang w:val="en-GB"/>
        </w:rPr>
        <w:t>NSTRUCTIONS FOR COMPLETION AND SUBMISSION OF ASSESSMENT</w:t>
      </w:r>
    </w:p>
    <w:p w:rsidRPr="00592F82" w:rsidR="0011473D" w:rsidP="00592F82" w:rsidRDefault="0011473D" w14:paraId="61C888AB" w14:textId="77777777">
      <w:pPr>
        <w:jc w:val="both"/>
        <w:rPr>
          <w:rFonts w:ascii="Arial" w:hAnsi="Arial" w:cs="Arial"/>
          <w:sz w:val="22"/>
          <w:szCs w:val="22"/>
          <w:lang w:val="en-GB"/>
        </w:rPr>
      </w:pPr>
    </w:p>
    <w:p w:rsidR="00397D3A" w:rsidP="00592F82" w:rsidRDefault="00397D3A" w14:paraId="173B0B40" w14:textId="77777777">
      <w:pPr>
        <w:jc w:val="both"/>
        <w:rPr>
          <w:rFonts w:ascii="Arial" w:hAnsi="Arial" w:cs="Arial"/>
          <w:b/>
          <w:sz w:val="22"/>
          <w:szCs w:val="22"/>
          <w:lang w:val="en-GB"/>
        </w:rPr>
      </w:pPr>
    </w:p>
    <w:p w:rsidRPr="00BF1C6F" w:rsidR="00C651D6" w:rsidP="00C651D6" w:rsidRDefault="00C651D6" w14:paraId="21CFB3AD" w14:textId="77777777">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Pr="00BF1C6F" w:rsidR="00C651D6" w:rsidP="00C651D6" w:rsidRDefault="00C651D6" w14:paraId="382CB855" w14:textId="77777777">
      <w:pPr>
        <w:jc w:val="both"/>
        <w:rPr>
          <w:rFonts w:ascii="Arial" w:hAnsi="Arial" w:cs="Arial"/>
          <w:b/>
          <w:sz w:val="22"/>
          <w:szCs w:val="22"/>
          <w:lang w:val="en-GB"/>
        </w:rPr>
      </w:pPr>
    </w:p>
    <w:p w:rsidRPr="00BF1C6F" w:rsidR="00C651D6" w:rsidP="00C651D6" w:rsidRDefault="00C651D6" w14:paraId="26A86F78" w14:textId="77777777">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r>
      <w:r w:rsidRPr="00BF1C6F">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BF1C6F" w:rsidR="00C651D6" w:rsidP="00C651D6" w:rsidRDefault="00C651D6" w14:paraId="26C91939" w14:textId="77777777">
      <w:pPr>
        <w:ind w:left="720" w:hanging="720"/>
        <w:jc w:val="both"/>
        <w:rPr>
          <w:rFonts w:ascii="Arial" w:hAnsi="Arial" w:cs="Arial"/>
          <w:sz w:val="22"/>
          <w:szCs w:val="22"/>
          <w:lang w:val="en-GB"/>
        </w:rPr>
      </w:pPr>
    </w:p>
    <w:p w:rsidRPr="00BF1C6F" w:rsidR="00C651D6" w:rsidP="00C651D6" w:rsidRDefault="00C651D6" w14:paraId="0BD97641" w14:textId="77777777">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r>
      <w:r w:rsidRPr="00BF1C6F">
        <w:rPr>
          <w:rFonts w:ascii="Arial" w:hAnsi="Arial" w:cs="Arial"/>
          <w:sz w:val="22"/>
          <w:szCs w:val="22"/>
          <w:lang w:val="en-GB"/>
        </w:rPr>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Pr="00BF1C6F" w:rsidR="00C651D6" w:rsidP="00C651D6" w:rsidRDefault="00C651D6" w14:paraId="309A4739" w14:textId="77777777">
      <w:pPr>
        <w:ind w:left="720" w:hanging="720"/>
        <w:jc w:val="both"/>
        <w:rPr>
          <w:rFonts w:ascii="Arial" w:hAnsi="Arial" w:cs="Arial"/>
          <w:sz w:val="22"/>
          <w:szCs w:val="22"/>
          <w:lang w:val="en-GB"/>
        </w:rPr>
      </w:pPr>
    </w:p>
    <w:p w:rsidRPr="00BF1C6F" w:rsidR="00C651D6" w:rsidP="00C651D6" w:rsidRDefault="00C651D6" w14:paraId="29AB249C" w14:textId="77777777">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r>
      <w:r w:rsidRPr="00BF1C6F">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BF1C6F" w:rsidR="00C651D6" w:rsidP="00C651D6" w:rsidRDefault="00C651D6" w14:paraId="25A8326A" w14:textId="77777777">
      <w:pPr>
        <w:ind w:left="720" w:hanging="720"/>
        <w:jc w:val="both"/>
        <w:rPr>
          <w:rFonts w:ascii="Arial" w:hAnsi="Arial" w:cs="Arial"/>
          <w:sz w:val="22"/>
          <w:szCs w:val="22"/>
          <w:lang w:val="en-GB"/>
        </w:rPr>
      </w:pPr>
    </w:p>
    <w:p w:rsidRPr="00BF1C6F" w:rsidR="00C651D6" w:rsidP="00C651D6" w:rsidRDefault="00C651D6" w14:paraId="40A2D9C2" w14:textId="3B737A2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r>
      <w:r w:rsidRPr="00BF1C6F">
        <w:rPr>
          <w:rFonts w:ascii="Arial" w:hAnsi="Arial" w:cs="Arial"/>
          <w:sz w:val="22"/>
          <w:szCs w:val="22"/>
          <w:lang w:val="en-GB"/>
        </w:rPr>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Pr="00BF1C6F" w:rsidR="00C651D6" w:rsidP="00C651D6" w:rsidRDefault="00C651D6" w14:paraId="4288CBBB" w14:textId="77777777">
      <w:pPr>
        <w:ind w:left="720" w:hanging="720"/>
        <w:jc w:val="both"/>
        <w:rPr>
          <w:rFonts w:ascii="Arial" w:hAnsi="Arial" w:cs="Arial"/>
          <w:sz w:val="22"/>
          <w:szCs w:val="22"/>
          <w:lang w:val="en-GB"/>
        </w:rPr>
      </w:pPr>
    </w:p>
    <w:p w:rsidRPr="00592F82" w:rsidR="00C651D6" w:rsidP="00C651D6" w:rsidRDefault="00C651D6" w14:paraId="14FCA020" w14:textId="77777777">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r>
      <w:r w:rsidRPr="00BF1C6F">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Pr="00592F82" w:rsidR="00C651D6" w:rsidP="00C651D6" w:rsidRDefault="00C651D6" w14:paraId="3A97A146" w14:textId="77777777">
      <w:pPr>
        <w:ind w:left="720" w:hanging="720"/>
        <w:jc w:val="both"/>
        <w:rPr>
          <w:rFonts w:ascii="Arial" w:hAnsi="Arial" w:cs="Arial"/>
          <w:sz w:val="22"/>
          <w:szCs w:val="22"/>
          <w:lang w:val="en-GB"/>
        </w:rPr>
      </w:pPr>
    </w:p>
    <w:p w:rsidR="00C651D6" w:rsidP="00C651D6" w:rsidRDefault="00C651D6" w14:paraId="6612D65D" w14:textId="48C4F418">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rsidR="00C651D6" w:rsidP="00C651D6" w:rsidRDefault="00C651D6" w14:paraId="7BB6A91D" w14:textId="77777777">
      <w:pPr>
        <w:ind w:left="720" w:hanging="720"/>
        <w:jc w:val="both"/>
        <w:rPr>
          <w:rFonts w:ascii="Arial" w:hAnsi="Arial" w:cs="Arial"/>
          <w:sz w:val="22"/>
          <w:szCs w:val="22"/>
          <w:lang w:val="en-GB"/>
        </w:rPr>
      </w:pPr>
    </w:p>
    <w:p w:rsidR="00C651D6" w:rsidP="00C651D6" w:rsidRDefault="00C651D6" w14:paraId="2982BCFD" w14:textId="0493109D">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r>
      <w:r>
        <w:rPr>
          <w:rFonts w:ascii="Arial" w:hAnsi="Arial" w:cs="Arial"/>
          <w:sz w:val="22"/>
          <w:szCs w:val="22"/>
          <w:lang w:val="en-GB"/>
        </w:rPr>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rsidR="00C651D6" w:rsidP="00C651D6" w:rsidRDefault="00C651D6" w14:paraId="17990EB4" w14:textId="77777777">
      <w:pPr>
        <w:ind w:left="720" w:hanging="720"/>
        <w:jc w:val="both"/>
        <w:rPr>
          <w:rFonts w:ascii="Arial" w:hAnsi="Arial" w:cs="Arial"/>
          <w:sz w:val="22"/>
          <w:szCs w:val="22"/>
          <w:lang w:val="en-GB"/>
        </w:rPr>
      </w:pPr>
    </w:p>
    <w:p w:rsidRPr="00592F82" w:rsidR="00037671" w:rsidP="00C651D6" w:rsidRDefault="00C651D6" w14:paraId="38A7E5FC" w14:textId="77C49CC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r>
      <w:r w:rsidRPr="00540E3A">
        <w:rPr>
          <w:rFonts w:ascii="Arial" w:hAnsi="Arial" w:cs="Arial"/>
          <w:sz w:val="22"/>
          <w:szCs w:val="22"/>
          <w:lang w:val="en-GB"/>
        </w:rPr>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Pr="00592F82" w:rsidR="00F3323E" w:rsidP="00592F82" w:rsidRDefault="00F3323E" w14:paraId="16583175" w14:textId="77777777">
      <w:pPr>
        <w:ind w:left="720" w:hanging="720"/>
        <w:jc w:val="both"/>
        <w:rPr>
          <w:rFonts w:ascii="Arial" w:hAnsi="Arial" w:cs="Arial"/>
          <w:sz w:val="22"/>
          <w:szCs w:val="22"/>
          <w:lang w:val="en-GB"/>
        </w:rPr>
      </w:pPr>
    </w:p>
    <w:p w:rsidR="00E450A4" w:rsidRDefault="00E450A4" w14:paraId="13D386FE" w14:textId="77777777">
      <w:pPr>
        <w:rPr>
          <w:rFonts w:ascii="Arial" w:hAnsi="Arial" w:cs="Arial"/>
          <w:sz w:val="22"/>
          <w:szCs w:val="22"/>
          <w:lang w:val="en-GB"/>
        </w:rPr>
      </w:pPr>
      <w:r>
        <w:rPr>
          <w:rFonts w:ascii="Arial" w:hAnsi="Arial" w:cs="Arial"/>
          <w:sz w:val="22"/>
          <w:szCs w:val="22"/>
          <w:lang w:val="en-GB"/>
        </w:rPr>
        <w:br w:type="page"/>
      </w:r>
    </w:p>
    <w:p w:rsidRPr="00B9639B" w:rsidR="00F3323E" w:rsidP="00B9639B" w:rsidRDefault="00F3323E" w14:paraId="2966AAD4" w14:textId="443A837F">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Pr="00B9639B" w:rsidR="00F3323E" w:rsidP="00B9639B" w:rsidRDefault="00F3323E" w14:paraId="62B460C7" w14:textId="77777777">
      <w:pPr>
        <w:ind w:left="720" w:hanging="720"/>
        <w:jc w:val="both"/>
        <w:rPr>
          <w:rFonts w:ascii="Arial" w:hAnsi="Arial" w:cs="Arial"/>
          <w:sz w:val="22"/>
          <w:szCs w:val="22"/>
          <w:lang w:val="en-GB"/>
        </w:rPr>
      </w:pPr>
    </w:p>
    <w:p w:rsidRPr="00B9639B" w:rsidR="005D43E0" w:rsidP="00B9639B" w:rsidRDefault="0029433F" w14:paraId="7855E8A8" w14:textId="3F6B427A">
      <w:pPr>
        <w:jc w:val="both"/>
        <w:rPr>
          <w:rFonts w:ascii="Arial" w:hAnsi="Arial" w:cs="Arial"/>
          <w:b/>
          <w:sz w:val="22"/>
          <w:szCs w:val="22"/>
          <w:lang w:val="en-GB"/>
        </w:rPr>
      </w:pPr>
      <w:r w:rsidRPr="00B9639B">
        <w:rPr>
          <w:rFonts w:ascii="Arial" w:hAnsi="Arial" w:cs="Arial"/>
          <w:b/>
          <w:sz w:val="22"/>
          <w:szCs w:val="22"/>
          <w:lang w:val="en-GB"/>
        </w:rPr>
        <w:t>QUESTION 1</w:t>
      </w:r>
      <w:r w:rsidRPr="00B9639B" w:rsidR="005D43E0">
        <w:rPr>
          <w:rFonts w:ascii="Arial" w:hAnsi="Arial" w:cs="Arial"/>
          <w:b/>
          <w:sz w:val="22"/>
          <w:szCs w:val="22"/>
          <w:lang w:val="en-GB"/>
        </w:rPr>
        <w:t xml:space="preserve"> (multiple-choice questions) [10 marks</w:t>
      </w:r>
      <w:r w:rsidRPr="00B9639B" w:rsidR="00D17FDC">
        <w:rPr>
          <w:rFonts w:ascii="Arial" w:hAnsi="Arial" w:cs="Arial"/>
          <w:b/>
          <w:sz w:val="22"/>
          <w:szCs w:val="22"/>
          <w:lang w:val="en-GB"/>
        </w:rPr>
        <w:t xml:space="preserve"> in total</w:t>
      </w:r>
      <w:r w:rsidRPr="00B9639B" w:rsidR="005D43E0">
        <w:rPr>
          <w:rFonts w:ascii="Arial" w:hAnsi="Arial" w:cs="Arial"/>
          <w:b/>
          <w:sz w:val="22"/>
          <w:szCs w:val="22"/>
          <w:lang w:val="en-GB"/>
        </w:rPr>
        <w:t>]</w:t>
      </w:r>
    </w:p>
    <w:p w:rsidRPr="00B9639B" w:rsidR="00F3323E" w:rsidP="00B9639B" w:rsidRDefault="00F3323E" w14:paraId="3CF1A35C" w14:textId="77777777">
      <w:pPr>
        <w:ind w:left="720" w:hanging="720"/>
        <w:jc w:val="both"/>
        <w:rPr>
          <w:rFonts w:ascii="Arial" w:hAnsi="Arial" w:cs="Arial"/>
          <w:sz w:val="22"/>
          <w:szCs w:val="22"/>
          <w:lang w:val="en-GB"/>
        </w:rPr>
      </w:pPr>
    </w:p>
    <w:p w:rsidRPr="00B9639B" w:rsidR="005D43E0" w:rsidP="00B9639B" w:rsidRDefault="005D43E0" w14:paraId="52F192E0" w14:textId="4F9975C1">
      <w:pPr>
        <w:jc w:val="both"/>
        <w:rPr>
          <w:rFonts w:ascii="Arial" w:hAnsi="Arial" w:cs="Arial"/>
          <w:sz w:val="22"/>
          <w:szCs w:val="22"/>
          <w:lang w:val="en-GB"/>
        </w:rPr>
      </w:pPr>
      <w:r w:rsidRPr="00B9639B">
        <w:rPr>
          <w:rFonts w:ascii="Arial" w:hAnsi="Arial" w:cs="Arial"/>
          <w:sz w:val="22"/>
          <w:szCs w:val="22"/>
          <w:lang w:val="en-GB"/>
        </w:rPr>
        <w:t>Questions 1.1. – 1.10</w:t>
      </w:r>
      <w:r w:rsidRPr="00B9639B" w:rsidR="00341AA6">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Pr="00B9639B" w:rsidR="00397D3A">
        <w:rPr>
          <w:rFonts w:ascii="Arial" w:hAnsi="Arial" w:cs="Arial"/>
          <w:sz w:val="22"/>
          <w:szCs w:val="22"/>
          <w:highlight w:val="yellow"/>
          <w:lang w:val="en-GB"/>
        </w:rPr>
        <w:t xml:space="preserve"> by highlighting the </w:t>
      </w:r>
      <w:r w:rsidRPr="00B9639B" w:rsidR="0036565C">
        <w:rPr>
          <w:rFonts w:ascii="Arial" w:hAnsi="Arial" w:cs="Arial"/>
          <w:sz w:val="22"/>
          <w:szCs w:val="22"/>
          <w:highlight w:val="yellow"/>
          <w:lang w:val="en-GB"/>
        </w:rPr>
        <w:t xml:space="preserve">relevant paragraph </w:t>
      </w:r>
      <w:r w:rsidRPr="00B9639B" w:rsidR="0036565C">
        <w:rPr>
          <w:rFonts w:ascii="Arial" w:hAnsi="Arial" w:cs="Arial"/>
          <w:b/>
          <w:bCs/>
          <w:sz w:val="22"/>
          <w:szCs w:val="22"/>
          <w:highlight w:val="yellow"/>
          <w:lang w:val="en-GB"/>
        </w:rPr>
        <w:t>in yellow</w:t>
      </w:r>
      <w:r w:rsidRPr="00B9639B">
        <w:rPr>
          <w:rFonts w:ascii="Arial" w:hAnsi="Arial" w:cs="Arial"/>
          <w:sz w:val="22"/>
          <w:szCs w:val="22"/>
          <w:lang w:val="en-GB"/>
        </w:rPr>
        <w:t>.</w:t>
      </w:r>
      <w:r w:rsidRPr="00B9639B" w:rsidR="0036565C">
        <w:rPr>
          <w:rFonts w:ascii="Arial" w:hAnsi="Arial" w:cs="Arial"/>
          <w:sz w:val="22"/>
          <w:szCs w:val="22"/>
          <w:lang w:val="en-GB"/>
        </w:rPr>
        <w:t xml:space="preserve"> Select only </w:t>
      </w:r>
      <w:r w:rsidRPr="00B9639B" w:rsidR="0036565C">
        <w:rPr>
          <w:rFonts w:ascii="Arial" w:hAnsi="Arial" w:cs="Arial"/>
          <w:b/>
          <w:bCs/>
          <w:sz w:val="22"/>
          <w:szCs w:val="22"/>
          <w:lang w:val="en-GB"/>
        </w:rPr>
        <w:t>ONE</w:t>
      </w:r>
      <w:r w:rsidRPr="00B9639B" w:rsidR="0036565C">
        <w:rPr>
          <w:rFonts w:ascii="Arial" w:hAnsi="Arial" w:cs="Arial"/>
          <w:sz w:val="22"/>
          <w:szCs w:val="22"/>
          <w:lang w:val="en-GB"/>
        </w:rPr>
        <w:t xml:space="preserve"> answer</w:t>
      </w:r>
      <w:r w:rsidRPr="00B9639B" w:rsidR="00A60074">
        <w:rPr>
          <w:rFonts w:ascii="Arial" w:hAnsi="Arial" w:cs="Arial"/>
          <w:sz w:val="22"/>
          <w:szCs w:val="22"/>
          <w:lang w:val="en-GB"/>
        </w:rPr>
        <w:t>. Candidates who select more than one answer will receive no mark for that specific question.</w:t>
      </w:r>
    </w:p>
    <w:p w:rsidRPr="007B0809" w:rsidR="00AF228E" w:rsidP="007B0809" w:rsidRDefault="00AF228E" w14:paraId="27033D10" w14:textId="424A462F">
      <w:pPr>
        <w:autoSpaceDE w:val="0"/>
        <w:autoSpaceDN w:val="0"/>
        <w:adjustRightInd w:val="0"/>
        <w:jc w:val="both"/>
        <w:rPr>
          <w:rFonts w:ascii="Arial" w:hAnsi="Arial" w:cs="Arial"/>
          <w:sz w:val="22"/>
          <w:szCs w:val="22"/>
        </w:rPr>
      </w:pPr>
    </w:p>
    <w:p w:rsidRPr="007B0809" w:rsidR="007B0809" w:rsidP="007B0809" w:rsidRDefault="007B0809" w14:paraId="44F39A8D" w14:textId="77777777">
      <w:pPr>
        <w:pStyle w:val="AODocTxt"/>
        <w:spacing w:before="0" w:line="240" w:lineRule="auto"/>
        <w:rPr>
          <w:rFonts w:ascii="Arial" w:hAnsi="Arial" w:cs="Arial"/>
          <w:b/>
        </w:rPr>
      </w:pPr>
      <w:r w:rsidRPr="007B0809">
        <w:rPr>
          <w:rFonts w:ascii="Arial" w:hAnsi="Arial" w:cs="Arial"/>
          <w:b/>
        </w:rPr>
        <w:t>Question 1.1</w:t>
      </w:r>
    </w:p>
    <w:p w:rsidR="007B0809" w:rsidP="007B0809" w:rsidRDefault="007B0809" w14:paraId="6B984F2B" w14:textId="77777777">
      <w:pPr>
        <w:pStyle w:val="AODocTxt"/>
        <w:spacing w:before="0" w:line="240" w:lineRule="auto"/>
        <w:rPr>
          <w:rFonts w:ascii="Arial" w:hAnsi="Arial" w:cs="Arial"/>
        </w:rPr>
      </w:pPr>
    </w:p>
    <w:p w:rsidR="007B0809" w:rsidP="007B0809" w:rsidRDefault="007B0809" w14:paraId="507CFC0C" w14:textId="4AB36F68">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Pr="00CC175B" w:rsid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rsidRPr="007B0809" w:rsidR="007B0809" w:rsidP="007B0809" w:rsidRDefault="007B0809" w14:paraId="2EA709F6" w14:textId="77777777">
      <w:pPr>
        <w:pStyle w:val="AODocTxt"/>
        <w:spacing w:before="0" w:line="240" w:lineRule="auto"/>
        <w:rPr>
          <w:rFonts w:ascii="Arial" w:hAnsi="Arial" w:cs="Arial"/>
        </w:rPr>
      </w:pPr>
    </w:p>
    <w:p w:rsidR="007B0809" w:rsidP="004F49B5" w:rsidRDefault="007B0809" w14:paraId="65DE369E" w14:textId="02DC58C9">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rsidRPr="007B0809" w:rsidR="007B0809" w:rsidP="007B0809" w:rsidRDefault="007B0809" w14:paraId="5A46BBF6" w14:textId="77777777">
      <w:pPr>
        <w:pStyle w:val="AODocTxt"/>
        <w:spacing w:before="0" w:line="240" w:lineRule="auto"/>
        <w:rPr>
          <w:rFonts w:ascii="Arial" w:hAnsi="Arial" w:cs="Arial"/>
        </w:rPr>
      </w:pPr>
    </w:p>
    <w:p w:rsidR="007B0809" w:rsidP="004F49B5" w:rsidRDefault="007B0809" w14:paraId="18E23892" w14:textId="350BA0DA">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rsidRPr="007B0809" w:rsidR="007B0809" w:rsidP="007B0809" w:rsidRDefault="007B0809" w14:paraId="7CC05916" w14:textId="77777777">
      <w:pPr>
        <w:pStyle w:val="AODocTxt"/>
        <w:spacing w:before="0" w:line="240" w:lineRule="auto"/>
        <w:rPr>
          <w:rFonts w:ascii="Arial" w:hAnsi="Arial" w:cs="Arial"/>
        </w:rPr>
      </w:pPr>
    </w:p>
    <w:p w:rsidR="007B0809" w:rsidP="004F49B5" w:rsidRDefault="007B0809" w14:paraId="39A10577" w14:textId="1A268977">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rsidRPr="007B0809" w:rsidR="007B0809" w:rsidP="007B0809" w:rsidRDefault="007B0809" w14:paraId="38B7B941" w14:textId="77777777">
      <w:pPr>
        <w:pStyle w:val="AODocTxt"/>
        <w:spacing w:before="0" w:line="240" w:lineRule="auto"/>
        <w:rPr>
          <w:rFonts w:ascii="Arial" w:hAnsi="Arial" w:cs="Arial"/>
        </w:rPr>
      </w:pPr>
    </w:p>
    <w:p w:rsidRPr="00E12EC4" w:rsidR="007B0809" w:rsidP="004F49B5" w:rsidRDefault="007B0809" w14:paraId="715B8A8F" w14:textId="53744B88">
      <w:pPr>
        <w:pStyle w:val="AODocTxt"/>
        <w:numPr>
          <w:ilvl w:val="0"/>
          <w:numId w:val="2"/>
        </w:numPr>
        <w:spacing w:before="0" w:line="240" w:lineRule="auto"/>
        <w:ind w:left="426"/>
        <w:rPr>
          <w:rFonts w:ascii="Arial" w:hAnsi="Arial" w:cs="Arial"/>
        </w:rPr>
      </w:pPr>
      <w:r w:rsidRPr="7CF14EE0" w:rsidR="7CF14EE0">
        <w:rPr>
          <w:rFonts w:ascii="Arial" w:hAnsi="Arial" w:cs="Arial"/>
          <w:highlight w:val="yellow"/>
        </w:rPr>
        <w:t xml:space="preserve">A local advocacy </w:t>
      </w:r>
      <w:proofErr w:type="gramStart"/>
      <w:r w:rsidRPr="7CF14EE0" w:rsidR="7CF14EE0">
        <w:rPr>
          <w:rFonts w:ascii="Arial" w:hAnsi="Arial" w:cs="Arial"/>
          <w:highlight w:val="yellow"/>
        </w:rPr>
        <w:t>group</w:t>
      </w:r>
      <w:proofErr w:type="gramEnd"/>
      <w:r w:rsidRPr="7CF14EE0" w:rsidR="7CF14EE0">
        <w:rPr>
          <w:rFonts w:ascii="Arial" w:hAnsi="Arial" w:cs="Arial"/>
          <w:highlight w:val="yellow"/>
        </w:rPr>
        <w:t>.</w:t>
      </w:r>
    </w:p>
    <w:p w:rsidRPr="007B0809" w:rsidR="007B0809" w:rsidP="007B0809" w:rsidRDefault="007B0809" w14:paraId="7EAC5A28" w14:textId="77777777">
      <w:pPr>
        <w:pStyle w:val="AODocTxt"/>
        <w:spacing w:before="0" w:line="240" w:lineRule="auto"/>
        <w:rPr>
          <w:rFonts w:ascii="Arial" w:hAnsi="Arial" w:cs="Arial"/>
        </w:rPr>
      </w:pPr>
    </w:p>
    <w:p w:rsidR="007B0809" w:rsidP="004F49B5" w:rsidRDefault="007B0809" w14:paraId="5FDF721B" w14:textId="3E953229">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rsidRPr="007B0809" w:rsidR="007B0809" w:rsidP="007B0809" w:rsidRDefault="007B0809" w14:paraId="7CB21240" w14:textId="77777777">
      <w:pPr>
        <w:pStyle w:val="AODocTxt"/>
        <w:spacing w:before="0" w:line="240" w:lineRule="auto"/>
        <w:rPr>
          <w:rFonts w:ascii="Arial" w:hAnsi="Arial" w:cs="Arial"/>
        </w:rPr>
      </w:pPr>
    </w:p>
    <w:p w:rsidRPr="007B0809" w:rsidR="007B0809" w:rsidP="007B0809" w:rsidRDefault="007B0809" w14:paraId="1A294DDA" w14:textId="77777777">
      <w:pPr>
        <w:pStyle w:val="AODocTxt"/>
        <w:spacing w:before="0" w:line="240" w:lineRule="auto"/>
        <w:rPr>
          <w:rFonts w:ascii="Arial" w:hAnsi="Arial" w:cs="Arial"/>
          <w:b/>
        </w:rPr>
      </w:pPr>
      <w:r w:rsidRPr="007B0809">
        <w:rPr>
          <w:rFonts w:ascii="Arial" w:hAnsi="Arial" w:cs="Arial"/>
          <w:b/>
        </w:rPr>
        <w:t>Question 1.2</w:t>
      </w:r>
    </w:p>
    <w:p w:rsidR="007B0809" w:rsidP="007B0809" w:rsidRDefault="007B0809" w14:paraId="1B893D70" w14:textId="77777777">
      <w:pPr>
        <w:pStyle w:val="AODocTxt"/>
        <w:spacing w:before="0" w:line="240" w:lineRule="auto"/>
        <w:rPr>
          <w:rFonts w:ascii="Arial" w:hAnsi="Arial" w:cs="Arial"/>
        </w:rPr>
      </w:pPr>
    </w:p>
    <w:p w:rsidR="007B0809" w:rsidP="007B0809" w:rsidRDefault="007B0809" w14:paraId="3D9C6815" w14:textId="7B06AA2E">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rsidRPr="007B0809" w:rsidR="007B0809" w:rsidP="007B0809" w:rsidRDefault="007B0809" w14:paraId="49BBA544" w14:textId="77777777">
      <w:pPr>
        <w:pStyle w:val="AODocTxt"/>
        <w:spacing w:before="0" w:line="240" w:lineRule="auto"/>
        <w:rPr>
          <w:rFonts w:ascii="Arial" w:hAnsi="Arial" w:cs="Arial"/>
        </w:rPr>
      </w:pPr>
    </w:p>
    <w:p w:rsidRPr="00E12EC4" w:rsidR="007B0809" w:rsidP="004F49B5" w:rsidRDefault="007B0809" w14:paraId="3451B6D6" w14:textId="509B9141">
      <w:pPr>
        <w:pStyle w:val="AODocTxt"/>
        <w:numPr>
          <w:ilvl w:val="0"/>
          <w:numId w:val="3"/>
        </w:numPr>
        <w:spacing w:before="0" w:line="240" w:lineRule="auto"/>
        <w:ind w:left="426"/>
        <w:rPr>
          <w:rFonts w:ascii="Arial" w:hAnsi="Arial" w:cs="Arial"/>
        </w:rPr>
      </w:pPr>
      <w:r w:rsidRPr="7CF14EE0" w:rsidR="7CF14EE0">
        <w:rPr>
          <w:rFonts w:ascii="Arial" w:hAnsi="Arial" w:cs="Arial"/>
          <w:highlight w:val="yellow"/>
        </w:rPr>
        <w:t>Executory contracts are clearly defined by the bankruptcy code.</w:t>
      </w:r>
    </w:p>
    <w:p w:rsidRPr="007B0809" w:rsidR="007B0809" w:rsidP="7CF14EE0" w:rsidRDefault="007B0809" w14:paraId="7B204619" w14:textId="77777777">
      <w:pPr>
        <w:pStyle w:val="AODocTxt"/>
        <w:spacing w:before="0" w:line="240" w:lineRule="auto"/>
        <w:rPr>
          <w:rFonts w:ascii="Arial" w:hAnsi="Arial" w:cs="Arial"/>
          <w:highlight w:val="yellow"/>
        </w:rPr>
      </w:pPr>
    </w:p>
    <w:p w:rsidR="007B0809" w:rsidP="004F49B5" w:rsidRDefault="007B0809" w14:paraId="3DDFF4FA" w14:textId="202E24F8">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rsidRPr="007B0809" w:rsidR="007B0809" w:rsidP="007B0809" w:rsidRDefault="007B0809" w14:paraId="254D098C" w14:textId="77777777">
      <w:pPr>
        <w:pStyle w:val="AODocTxt"/>
        <w:spacing w:before="0" w:line="240" w:lineRule="auto"/>
        <w:rPr>
          <w:rFonts w:ascii="Arial" w:hAnsi="Arial" w:cs="Arial"/>
        </w:rPr>
      </w:pPr>
    </w:p>
    <w:p w:rsidR="007B0809" w:rsidP="004F49B5" w:rsidRDefault="007B0809" w14:paraId="53C5EE5D" w14:textId="17741654">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rsidRPr="007B0809" w:rsidR="007B0809" w:rsidP="007B0809" w:rsidRDefault="007B0809" w14:paraId="5B895F84" w14:textId="77777777">
      <w:pPr>
        <w:pStyle w:val="AODocTxt"/>
        <w:spacing w:before="0" w:line="240" w:lineRule="auto"/>
        <w:rPr>
          <w:rFonts w:ascii="Arial" w:hAnsi="Arial" w:cs="Arial"/>
        </w:rPr>
      </w:pPr>
    </w:p>
    <w:p w:rsidR="007B0809" w:rsidP="004F49B5" w:rsidRDefault="007B0809" w14:paraId="6B5653ED" w14:textId="52AF04D6">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rsidRPr="007B0809" w:rsidR="007B0809" w:rsidP="007B0809" w:rsidRDefault="007B0809" w14:paraId="7DA47AF8" w14:textId="77777777">
      <w:pPr>
        <w:pStyle w:val="AODocTxt"/>
        <w:spacing w:before="0" w:line="240" w:lineRule="auto"/>
        <w:rPr>
          <w:rFonts w:ascii="Arial" w:hAnsi="Arial" w:cs="Arial"/>
        </w:rPr>
      </w:pPr>
    </w:p>
    <w:p w:rsidRPr="007B0809" w:rsidR="007B0809" w:rsidP="004F49B5" w:rsidRDefault="007B0809" w14:paraId="69DEABBF" w14:textId="068C54BD">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rsidRPr="007B0809" w:rsidR="007B0809" w:rsidP="007B0809" w:rsidRDefault="007B0809" w14:paraId="64F122E0" w14:textId="77777777">
      <w:pPr>
        <w:pStyle w:val="AODocTxt"/>
        <w:spacing w:before="0" w:line="240" w:lineRule="auto"/>
        <w:rPr>
          <w:rFonts w:ascii="Arial" w:hAnsi="Arial" w:cs="Arial"/>
          <w:bCs/>
        </w:rPr>
      </w:pPr>
    </w:p>
    <w:p w:rsidRPr="007B0809" w:rsidR="007B0809" w:rsidP="007B0809" w:rsidRDefault="007B0809" w14:paraId="1E6FB9F2" w14:textId="3EBFF39A">
      <w:pPr>
        <w:pStyle w:val="AODocTxt"/>
        <w:spacing w:before="0" w:line="240" w:lineRule="auto"/>
        <w:rPr>
          <w:rFonts w:ascii="Arial" w:hAnsi="Arial" w:cs="Arial"/>
          <w:b/>
        </w:rPr>
      </w:pPr>
      <w:r w:rsidRPr="007B0809">
        <w:rPr>
          <w:rFonts w:ascii="Arial" w:hAnsi="Arial" w:cs="Arial"/>
          <w:b/>
        </w:rPr>
        <w:t>Question 1.3</w:t>
      </w:r>
    </w:p>
    <w:p w:rsidR="007B0809" w:rsidP="007B0809" w:rsidRDefault="007B0809" w14:paraId="07677115" w14:textId="77777777">
      <w:pPr>
        <w:pStyle w:val="AODocTxt"/>
        <w:spacing w:before="0" w:line="240" w:lineRule="auto"/>
        <w:rPr>
          <w:rFonts w:ascii="Arial" w:hAnsi="Arial" w:cs="Arial"/>
        </w:rPr>
      </w:pPr>
    </w:p>
    <w:p w:rsidR="007B0809" w:rsidP="007B0809" w:rsidRDefault="007B0809" w14:paraId="3F3D408C" w14:textId="2669F385">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rsidRPr="007B0809" w:rsidR="007B0809" w:rsidP="007B0809" w:rsidRDefault="007B0809" w14:paraId="49AFF455" w14:textId="77777777">
      <w:pPr>
        <w:pStyle w:val="AODocTxt"/>
        <w:spacing w:before="0" w:line="240" w:lineRule="auto"/>
        <w:rPr>
          <w:rFonts w:ascii="Arial" w:hAnsi="Arial" w:cs="Arial"/>
        </w:rPr>
      </w:pPr>
    </w:p>
    <w:p w:rsidR="007B0809" w:rsidP="004F49B5" w:rsidRDefault="007B0809" w14:paraId="2BE20736" w14:textId="27DB25C9">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rsidRPr="007B0809" w:rsidR="007B0809" w:rsidP="007B0809" w:rsidRDefault="007B0809" w14:paraId="0CA0E66D" w14:textId="77777777">
      <w:pPr>
        <w:pStyle w:val="AODocTxt"/>
        <w:spacing w:before="0" w:line="240" w:lineRule="auto"/>
        <w:ind w:left="426"/>
        <w:rPr>
          <w:rFonts w:ascii="Arial" w:hAnsi="Arial" w:cs="Arial"/>
        </w:rPr>
      </w:pPr>
    </w:p>
    <w:p w:rsidR="007B0809" w:rsidP="004F49B5" w:rsidRDefault="007B0809" w14:paraId="193B7FFB" w14:textId="5F055199">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rsidR="007B0809" w:rsidP="004F49B5" w:rsidRDefault="007B0809" w14:paraId="1AA9801A" w14:textId="6A1855FD">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rsidRPr="007B0809" w:rsidR="007B0809" w:rsidP="007B0809" w:rsidRDefault="007B0809" w14:paraId="0E649C10" w14:textId="77777777">
      <w:pPr>
        <w:pStyle w:val="AODocTxt"/>
        <w:spacing w:before="0" w:line="240" w:lineRule="auto"/>
        <w:ind w:left="426"/>
        <w:rPr>
          <w:rFonts w:ascii="Arial" w:hAnsi="Arial" w:cs="Arial"/>
        </w:rPr>
      </w:pPr>
    </w:p>
    <w:p w:rsidRPr="00E12EC4" w:rsidR="007B0809" w:rsidP="004F49B5" w:rsidRDefault="007B0809" w14:paraId="73A41698" w14:textId="42A7AAF8">
      <w:pPr>
        <w:pStyle w:val="AODocTxt"/>
        <w:numPr>
          <w:ilvl w:val="0"/>
          <w:numId w:val="4"/>
        </w:numPr>
        <w:spacing w:before="0" w:line="240" w:lineRule="auto"/>
        <w:ind w:left="426"/>
        <w:rPr>
          <w:rFonts w:ascii="Arial" w:hAnsi="Arial" w:cs="Arial"/>
        </w:rPr>
      </w:pPr>
      <w:r w:rsidRPr="7CF14EE0" w:rsidR="7CF14EE0">
        <w:rPr>
          <w:rFonts w:ascii="Arial" w:hAnsi="Arial" w:cs="Arial"/>
          <w:highlight w:val="yellow"/>
        </w:rPr>
        <w:t>A debtor’s motion to dismiss an involuntary bankruptcy petition.</w:t>
      </w:r>
      <w:r w:rsidRPr="7CF14EE0" w:rsidR="7CF14EE0">
        <w:rPr>
          <w:rFonts w:ascii="Arial" w:hAnsi="Arial" w:cs="Arial"/>
        </w:rPr>
        <w:t xml:space="preserve"> </w:t>
      </w:r>
    </w:p>
    <w:p w:rsidRPr="007B0809" w:rsidR="007B0809" w:rsidP="007B0809" w:rsidRDefault="007B0809" w14:paraId="25F2F3DE" w14:textId="77777777">
      <w:pPr>
        <w:pStyle w:val="AODocTxt"/>
        <w:spacing w:before="0" w:line="240" w:lineRule="auto"/>
        <w:ind w:left="426"/>
        <w:rPr>
          <w:rFonts w:ascii="Arial" w:hAnsi="Arial" w:cs="Arial"/>
        </w:rPr>
      </w:pPr>
    </w:p>
    <w:p w:rsidR="007B0809" w:rsidP="004F49B5" w:rsidRDefault="007B0809" w14:paraId="7903CB6A" w14:textId="3556C0B0">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rsidRPr="007B0809" w:rsidR="007B0809" w:rsidP="007B0809" w:rsidRDefault="007B0809" w14:paraId="453DAEF8" w14:textId="77777777">
      <w:pPr>
        <w:pStyle w:val="AODocTxt"/>
        <w:spacing w:before="0" w:line="240" w:lineRule="auto"/>
        <w:rPr>
          <w:rFonts w:ascii="Arial" w:hAnsi="Arial" w:cs="Arial"/>
        </w:rPr>
      </w:pPr>
    </w:p>
    <w:p w:rsidRPr="007B0809" w:rsidR="007B0809" w:rsidP="007B0809" w:rsidRDefault="007B0809" w14:paraId="219F87A3" w14:textId="77777777">
      <w:pPr>
        <w:pStyle w:val="AODocTxt"/>
        <w:spacing w:before="0" w:line="240" w:lineRule="auto"/>
        <w:rPr>
          <w:rFonts w:ascii="Arial" w:hAnsi="Arial" w:cs="Arial"/>
          <w:b/>
        </w:rPr>
      </w:pPr>
      <w:r w:rsidRPr="007B0809">
        <w:rPr>
          <w:rFonts w:ascii="Arial" w:hAnsi="Arial" w:cs="Arial"/>
          <w:b/>
        </w:rPr>
        <w:t>Question 1.4</w:t>
      </w:r>
    </w:p>
    <w:p w:rsidR="004F49B5" w:rsidP="007B0809" w:rsidRDefault="004F49B5" w14:paraId="06791AE6" w14:textId="77777777">
      <w:pPr>
        <w:pStyle w:val="AODocTxt"/>
        <w:spacing w:before="0" w:line="240" w:lineRule="auto"/>
        <w:rPr>
          <w:rFonts w:ascii="Arial" w:hAnsi="Arial" w:cs="Arial"/>
        </w:rPr>
      </w:pPr>
    </w:p>
    <w:p w:rsidR="007B0809" w:rsidP="007B0809" w:rsidRDefault="007B0809" w14:paraId="002341E0" w14:textId="6F0994C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rsidRPr="007B0809" w:rsidR="004F49B5" w:rsidP="007B0809" w:rsidRDefault="004F49B5" w14:paraId="5D9DDBCD" w14:textId="77777777">
      <w:pPr>
        <w:pStyle w:val="AODocTxt"/>
        <w:spacing w:before="0" w:line="240" w:lineRule="auto"/>
        <w:rPr>
          <w:rFonts w:ascii="Arial" w:hAnsi="Arial" w:cs="Arial"/>
        </w:rPr>
      </w:pPr>
    </w:p>
    <w:p w:rsidRPr="00E12EC4" w:rsidR="007B0809" w:rsidP="004F49B5" w:rsidRDefault="007B0809" w14:paraId="63A2D0B1" w14:textId="37FA276E">
      <w:pPr>
        <w:pStyle w:val="AODocTxt"/>
        <w:numPr>
          <w:ilvl w:val="0"/>
          <w:numId w:val="5"/>
        </w:numPr>
        <w:spacing w:before="0" w:line="240" w:lineRule="auto"/>
        <w:ind w:left="426"/>
        <w:rPr>
          <w:rFonts w:ascii="Arial" w:hAnsi="Arial" w:cs="Arial"/>
        </w:rPr>
      </w:pPr>
      <w:r w:rsidRPr="7CF14EE0" w:rsidR="7CF14EE0">
        <w:rPr>
          <w:rFonts w:ascii="Arial" w:hAnsi="Arial" w:cs="Arial"/>
          <w:highlight w:val="yellow"/>
        </w:rPr>
        <w:t>A pre-pack cannot be used if the debtor wishes to reject executory contracts.</w:t>
      </w:r>
      <w:r w:rsidRPr="7CF14EE0" w:rsidR="7CF14EE0">
        <w:rPr>
          <w:rFonts w:ascii="Arial" w:hAnsi="Arial" w:cs="Arial"/>
        </w:rPr>
        <w:t xml:space="preserve"> </w:t>
      </w:r>
    </w:p>
    <w:p w:rsidRPr="007B0809" w:rsidR="004F49B5" w:rsidP="004F49B5" w:rsidRDefault="004F49B5" w14:paraId="66D91673" w14:textId="77777777">
      <w:pPr>
        <w:pStyle w:val="AODocTxt"/>
        <w:spacing w:before="0" w:line="240" w:lineRule="auto"/>
        <w:ind w:left="426"/>
        <w:rPr>
          <w:rFonts w:ascii="Arial" w:hAnsi="Arial" w:cs="Arial"/>
        </w:rPr>
      </w:pPr>
    </w:p>
    <w:p w:rsidR="007B0809" w:rsidP="004F49B5" w:rsidRDefault="007B0809" w14:paraId="782CF77B" w14:textId="5385BEDF">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rsidRPr="007B0809" w:rsidR="004F49B5" w:rsidP="004F49B5" w:rsidRDefault="004F49B5" w14:paraId="601375B3" w14:textId="77777777">
      <w:pPr>
        <w:pStyle w:val="AODocTxt"/>
        <w:spacing w:before="0" w:line="240" w:lineRule="auto"/>
        <w:ind w:left="426"/>
        <w:rPr>
          <w:rFonts w:ascii="Arial" w:hAnsi="Arial" w:cs="Arial"/>
        </w:rPr>
      </w:pPr>
    </w:p>
    <w:p w:rsidR="007B0809" w:rsidP="004F49B5" w:rsidRDefault="007B0809" w14:paraId="701F2876" w14:textId="6CFA77C0">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rsidRPr="007B0809" w:rsidR="004F49B5" w:rsidP="004F49B5" w:rsidRDefault="004F49B5" w14:paraId="78733985" w14:textId="77777777">
      <w:pPr>
        <w:pStyle w:val="AODocTxt"/>
        <w:spacing w:before="0" w:line="240" w:lineRule="auto"/>
        <w:ind w:left="426"/>
        <w:rPr>
          <w:rFonts w:ascii="Arial" w:hAnsi="Arial" w:cs="Arial"/>
        </w:rPr>
      </w:pPr>
    </w:p>
    <w:p w:rsidR="007B0809" w:rsidP="004F49B5" w:rsidRDefault="007B0809" w14:paraId="76601D97" w14:textId="70943D02">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rsidRPr="007B0809" w:rsidR="004F49B5" w:rsidP="004F49B5" w:rsidRDefault="004F49B5" w14:paraId="7FF2E55C" w14:textId="77777777">
      <w:pPr>
        <w:pStyle w:val="AODocTxt"/>
        <w:spacing w:before="0" w:line="240" w:lineRule="auto"/>
        <w:ind w:left="426"/>
        <w:rPr>
          <w:rFonts w:ascii="Arial" w:hAnsi="Arial" w:cs="Arial"/>
        </w:rPr>
      </w:pPr>
    </w:p>
    <w:p w:rsidR="007B0809" w:rsidP="004F49B5" w:rsidRDefault="007B0809" w14:paraId="605C2B41" w14:textId="03AD7D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rsidRPr="007B0809" w:rsidR="004F49B5" w:rsidP="007B0809" w:rsidRDefault="004F49B5" w14:paraId="0F5A7672" w14:textId="77777777">
      <w:pPr>
        <w:pStyle w:val="AODocTxt"/>
        <w:spacing w:before="0" w:line="240" w:lineRule="auto"/>
        <w:rPr>
          <w:rFonts w:ascii="Arial" w:hAnsi="Arial" w:cs="Arial"/>
        </w:rPr>
      </w:pPr>
    </w:p>
    <w:p w:rsidRPr="007B0809" w:rsidR="007B0809" w:rsidP="007B0809" w:rsidRDefault="007B0809" w14:paraId="4AF45120" w14:textId="77777777">
      <w:pPr>
        <w:pStyle w:val="AODocTxt"/>
        <w:spacing w:before="0" w:line="240" w:lineRule="auto"/>
        <w:rPr>
          <w:rFonts w:ascii="Arial" w:hAnsi="Arial" w:cs="Arial"/>
          <w:b/>
        </w:rPr>
      </w:pPr>
      <w:r w:rsidRPr="007B0809">
        <w:rPr>
          <w:rFonts w:ascii="Arial" w:hAnsi="Arial" w:cs="Arial"/>
          <w:b/>
        </w:rPr>
        <w:t>Question 1.5</w:t>
      </w:r>
    </w:p>
    <w:p w:rsidR="004F49B5" w:rsidP="007B0809" w:rsidRDefault="004F49B5" w14:paraId="3E55B8D4" w14:textId="77777777">
      <w:pPr>
        <w:pStyle w:val="AODocTxt"/>
        <w:spacing w:before="0" w:line="240" w:lineRule="auto"/>
        <w:rPr>
          <w:rFonts w:ascii="Arial" w:hAnsi="Arial" w:cs="Arial"/>
        </w:rPr>
      </w:pPr>
    </w:p>
    <w:p w:rsidR="007B0809" w:rsidP="007B0809" w:rsidRDefault="007B0809" w14:paraId="19D923C6" w14:textId="79A07FC5">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rsidRPr="007B0809" w:rsidR="004F49B5" w:rsidP="007B0809" w:rsidRDefault="004F49B5" w14:paraId="1D52A8D9" w14:textId="77777777">
      <w:pPr>
        <w:pStyle w:val="AODocTxt"/>
        <w:spacing w:before="0" w:line="240" w:lineRule="auto"/>
        <w:rPr>
          <w:rFonts w:ascii="Arial" w:hAnsi="Arial" w:cs="Arial"/>
        </w:rPr>
      </w:pPr>
    </w:p>
    <w:p w:rsidR="007B0809" w:rsidP="004F49B5" w:rsidRDefault="007B0809" w14:paraId="3A3E3307" w14:textId="72A6B5BB">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rsidRPr="007B0809" w:rsidR="004F49B5" w:rsidP="004F49B5" w:rsidRDefault="004F49B5" w14:paraId="1495EA71" w14:textId="77777777">
      <w:pPr>
        <w:pStyle w:val="AODocTxt"/>
        <w:spacing w:before="0" w:line="240" w:lineRule="auto"/>
        <w:ind w:left="426"/>
        <w:rPr>
          <w:rFonts w:ascii="Arial" w:hAnsi="Arial" w:cs="Arial"/>
        </w:rPr>
      </w:pPr>
    </w:p>
    <w:p w:rsidR="007B0809" w:rsidP="004F49B5" w:rsidRDefault="007B0809" w14:paraId="7F38740C" w14:textId="0B5BFDED">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rsidRPr="007B0809" w:rsidR="004F49B5" w:rsidP="004F49B5" w:rsidRDefault="004F49B5" w14:paraId="4C7831E6" w14:textId="77777777">
      <w:pPr>
        <w:pStyle w:val="AODocTxt"/>
        <w:spacing w:before="0" w:line="240" w:lineRule="auto"/>
        <w:ind w:left="426"/>
        <w:rPr>
          <w:rFonts w:ascii="Arial" w:hAnsi="Arial" w:cs="Arial"/>
        </w:rPr>
      </w:pPr>
    </w:p>
    <w:p w:rsidRPr="00E12EC4" w:rsidR="007B0809" w:rsidP="004F49B5" w:rsidRDefault="007B0809" w14:paraId="33C8EEC4" w14:textId="6329345A">
      <w:pPr>
        <w:pStyle w:val="AODocTxt"/>
        <w:numPr>
          <w:ilvl w:val="0"/>
          <w:numId w:val="6"/>
        </w:numPr>
        <w:spacing w:before="0" w:line="240" w:lineRule="auto"/>
        <w:ind w:left="426"/>
        <w:rPr>
          <w:rFonts w:ascii="Arial" w:hAnsi="Arial" w:cs="Arial"/>
        </w:rPr>
      </w:pPr>
      <w:r w:rsidRPr="7CF14EE0" w:rsidR="7CF14EE0">
        <w:rPr>
          <w:rFonts w:ascii="Arial" w:hAnsi="Arial" w:cs="Arial"/>
          <w:highlight w:val="yellow"/>
        </w:rPr>
        <w:t>Differential treatment of different classes is permitted if there is a reasonable, good faith basis for doing so and such treatment is required for the plan of reorganization to be successful.</w:t>
      </w:r>
      <w:r w:rsidRPr="7CF14EE0" w:rsidR="7CF14EE0">
        <w:rPr>
          <w:rFonts w:ascii="Arial" w:hAnsi="Arial" w:cs="Arial"/>
        </w:rPr>
        <w:t xml:space="preserve"> </w:t>
      </w:r>
    </w:p>
    <w:p w:rsidRPr="007B0809" w:rsidR="004F49B5" w:rsidP="7CF14EE0" w:rsidRDefault="004F49B5" w14:paraId="577353A3" w14:textId="77777777">
      <w:pPr>
        <w:pStyle w:val="AODocTxt"/>
        <w:spacing w:before="0" w:line="240" w:lineRule="auto"/>
        <w:ind w:left="426"/>
        <w:rPr>
          <w:rFonts w:ascii="Arial" w:hAnsi="Arial" w:cs="Arial"/>
          <w:highlight w:val="yellow"/>
        </w:rPr>
      </w:pPr>
    </w:p>
    <w:p w:rsidR="007B0809" w:rsidP="004F49B5" w:rsidRDefault="007B0809" w14:paraId="3E7C992A" w14:textId="3ECA56EF">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rsidRPr="007B0809" w:rsidR="004F49B5" w:rsidP="004F49B5" w:rsidRDefault="004F49B5" w14:paraId="3D47061E" w14:textId="77777777">
      <w:pPr>
        <w:pStyle w:val="AODocTxt"/>
        <w:spacing w:before="0" w:line="240" w:lineRule="auto"/>
        <w:ind w:left="426"/>
        <w:rPr>
          <w:rFonts w:ascii="Arial" w:hAnsi="Arial" w:cs="Arial"/>
        </w:rPr>
      </w:pPr>
    </w:p>
    <w:p w:rsidR="007B0809" w:rsidP="004F49B5" w:rsidRDefault="007B0809" w14:paraId="4D0CB06E" w14:textId="7375DA6D">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rsidRPr="007B0809" w:rsidR="004F49B5" w:rsidP="007B0809" w:rsidRDefault="004F49B5" w14:paraId="08E8DBA6" w14:textId="77777777">
      <w:pPr>
        <w:pStyle w:val="AODocTxt"/>
        <w:spacing w:before="0" w:line="240" w:lineRule="auto"/>
        <w:rPr>
          <w:rFonts w:ascii="Arial" w:hAnsi="Arial" w:cs="Arial"/>
        </w:rPr>
      </w:pPr>
    </w:p>
    <w:p w:rsidRPr="007B0809" w:rsidR="007B0809" w:rsidP="007B0809" w:rsidRDefault="007B0809" w14:paraId="7AD9536F" w14:textId="77777777">
      <w:pPr>
        <w:pStyle w:val="AODocTxt"/>
        <w:spacing w:before="0" w:line="240" w:lineRule="auto"/>
        <w:rPr>
          <w:rFonts w:ascii="Arial" w:hAnsi="Arial" w:cs="Arial"/>
          <w:b/>
        </w:rPr>
      </w:pPr>
      <w:r w:rsidRPr="007B0809">
        <w:rPr>
          <w:rFonts w:ascii="Arial" w:hAnsi="Arial" w:cs="Arial"/>
          <w:b/>
        </w:rPr>
        <w:t>Question 1.6</w:t>
      </w:r>
    </w:p>
    <w:p w:rsidR="004F49B5" w:rsidP="007B0809" w:rsidRDefault="004F49B5" w14:paraId="1AC12521" w14:textId="77777777">
      <w:pPr>
        <w:pStyle w:val="AODocTxt"/>
        <w:spacing w:before="0" w:line="240" w:lineRule="auto"/>
        <w:rPr>
          <w:rFonts w:ascii="Arial" w:hAnsi="Arial" w:cs="Arial"/>
        </w:rPr>
      </w:pPr>
    </w:p>
    <w:p w:rsidR="007B0809" w:rsidP="007B0809" w:rsidRDefault="007B0809" w14:paraId="7E62C39B" w14:textId="6A078A3D">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rsidRPr="007B0809" w:rsidR="004F49B5" w:rsidP="007B0809" w:rsidRDefault="004F49B5" w14:paraId="3E4F235F" w14:textId="77777777">
      <w:pPr>
        <w:pStyle w:val="AODocTxt"/>
        <w:spacing w:before="0" w:line="240" w:lineRule="auto"/>
        <w:rPr>
          <w:rFonts w:ascii="Arial" w:hAnsi="Arial" w:cs="Arial"/>
        </w:rPr>
      </w:pPr>
    </w:p>
    <w:p w:rsidR="007B0809" w:rsidP="004F49B5" w:rsidRDefault="007B0809" w14:paraId="2DF6FBEF" w14:textId="5CBF9079">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rsidRPr="007B0809" w:rsidR="004F49B5" w:rsidP="004F49B5" w:rsidRDefault="004F49B5" w14:paraId="6EF549F3" w14:textId="77777777">
      <w:pPr>
        <w:pStyle w:val="AODocTxt"/>
        <w:spacing w:before="0" w:line="240" w:lineRule="auto"/>
        <w:ind w:left="426"/>
        <w:rPr>
          <w:rFonts w:ascii="Arial" w:hAnsi="Arial" w:cs="Arial"/>
        </w:rPr>
      </w:pPr>
    </w:p>
    <w:p w:rsidR="007B0809" w:rsidP="004F49B5" w:rsidRDefault="007B0809" w14:paraId="772BC594" w14:textId="76FF905F">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rsidRPr="007B0809" w:rsidR="004F49B5" w:rsidP="004F49B5" w:rsidRDefault="004F49B5" w14:paraId="7F190A1E" w14:textId="77777777">
      <w:pPr>
        <w:pStyle w:val="AODocTxt"/>
        <w:spacing w:before="0" w:line="240" w:lineRule="auto"/>
        <w:ind w:left="426"/>
        <w:rPr>
          <w:rFonts w:ascii="Arial" w:hAnsi="Arial" w:cs="Arial"/>
        </w:rPr>
      </w:pPr>
    </w:p>
    <w:p w:rsidR="007B0809" w:rsidP="004F49B5" w:rsidRDefault="007B0809" w14:paraId="6547C316" w14:textId="4552939C">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rsidR="004F49B5" w:rsidP="004F49B5" w:rsidRDefault="004F49B5" w14:paraId="4311F9A4" w14:textId="7EBE14D5">
      <w:pPr>
        <w:pStyle w:val="AODocTxt"/>
        <w:spacing w:before="0" w:line="240" w:lineRule="auto"/>
        <w:ind w:left="426"/>
        <w:rPr>
          <w:rFonts w:ascii="Arial" w:hAnsi="Arial" w:cs="Arial"/>
        </w:rPr>
      </w:pPr>
    </w:p>
    <w:p w:rsidR="00895EF1" w:rsidP="004F49B5" w:rsidRDefault="00895EF1" w14:paraId="5D321BA6" w14:textId="665B9B46">
      <w:pPr>
        <w:pStyle w:val="AODocTxt"/>
        <w:spacing w:before="0" w:line="240" w:lineRule="auto"/>
        <w:ind w:left="426"/>
        <w:rPr>
          <w:rFonts w:ascii="Arial" w:hAnsi="Arial" w:cs="Arial"/>
        </w:rPr>
      </w:pPr>
    </w:p>
    <w:p w:rsidR="00895EF1" w:rsidP="004F49B5" w:rsidRDefault="00895EF1" w14:paraId="6360C2D1" w14:textId="77777777">
      <w:pPr>
        <w:pStyle w:val="AODocTxt"/>
        <w:spacing w:before="0" w:line="240" w:lineRule="auto"/>
        <w:ind w:left="426"/>
        <w:rPr>
          <w:rFonts w:ascii="Arial" w:hAnsi="Arial" w:cs="Arial"/>
        </w:rPr>
      </w:pPr>
    </w:p>
    <w:p w:rsidR="007B0809" w:rsidP="004F49B5" w:rsidRDefault="007B0809" w14:paraId="0D141ACE" w14:textId="0BF58E5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rsidRPr="007B0809" w:rsidR="004F49B5" w:rsidP="004F49B5" w:rsidRDefault="004F49B5" w14:paraId="3D1F5A29" w14:textId="77777777">
      <w:pPr>
        <w:pStyle w:val="AODocTxt"/>
        <w:spacing w:before="0" w:line="240" w:lineRule="auto"/>
        <w:ind w:left="426"/>
        <w:rPr>
          <w:rFonts w:ascii="Arial" w:hAnsi="Arial" w:cs="Arial"/>
        </w:rPr>
      </w:pPr>
    </w:p>
    <w:p w:rsidRPr="00E12EC4" w:rsidR="007B0809" w:rsidP="004F49B5" w:rsidRDefault="007B0809" w14:paraId="57551552" w14:textId="6662115E">
      <w:pPr>
        <w:pStyle w:val="AODocTxt"/>
        <w:numPr>
          <w:ilvl w:val="0"/>
          <w:numId w:val="7"/>
        </w:numPr>
        <w:spacing w:before="0" w:line="240" w:lineRule="auto"/>
        <w:ind w:left="426"/>
        <w:rPr>
          <w:rFonts w:ascii="Arial" w:hAnsi="Arial" w:cs="Arial"/>
        </w:rPr>
      </w:pPr>
      <w:r w:rsidRPr="7CF14EE0" w:rsidR="7CF14EE0">
        <w:rPr>
          <w:rFonts w:ascii="Arial" w:hAnsi="Arial" w:cs="Arial"/>
          <w:highlight w:val="yellow"/>
        </w:rPr>
        <w:t>During the exclusivity period, only the debtor may propose a plan of reorganization.</w:t>
      </w:r>
    </w:p>
    <w:p w:rsidRPr="007B0809" w:rsidR="004F49B5" w:rsidP="007B0809" w:rsidRDefault="004F49B5" w14:paraId="0C40290F" w14:textId="77777777">
      <w:pPr>
        <w:pStyle w:val="AODocTxt"/>
        <w:spacing w:before="0" w:line="240" w:lineRule="auto"/>
        <w:rPr>
          <w:rFonts w:ascii="Arial" w:hAnsi="Arial" w:cs="Arial"/>
        </w:rPr>
      </w:pPr>
    </w:p>
    <w:p w:rsidRPr="007B0809" w:rsidR="007B0809" w:rsidP="007B0809" w:rsidRDefault="007B0809" w14:paraId="761FC560" w14:textId="77777777">
      <w:pPr>
        <w:pStyle w:val="AODocTxt"/>
        <w:spacing w:before="0" w:line="240" w:lineRule="auto"/>
        <w:rPr>
          <w:rFonts w:ascii="Arial" w:hAnsi="Arial" w:cs="Arial"/>
          <w:b/>
        </w:rPr>
      </w:pPr>
      <w:r w:rsidRPr="007B0809">
        <w:rPr>
          <w:rFonts w:ascii="Arial" w:hAnsi="Arial" w:cs="Arial"/>
          <w:b/>
        </w:rPr>
        <w:t>Question 1.7</w:t>
      </w:r>
    </w:p>
    <w:p w:rsidR="004F49B5" w:rsidP="007B0809" w:rsidRDefault="004F49B5" w14:paraId="55B81C1E" w14:textId="77777777">
      <w:pPr>
        <w:pStyle w:val="AODocTxt"/>
        <w:spacing w:before="0" w:line="240" w:lineRule="auto"/>
        <w:rPr>
          <w:rFonts w:ascii="Arial" w:hAnsi="Arial" w:cs="Arial"/>
        </w:rPr>
      </w:pPr>
    </w:p>
    <w:p w:rsidR="007B0809" w:rsidP="007B0809" w:rsidRDefault="007B0809" w14:paraId="3BE3E4DE" w14:textId="131B89FC">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rsidRPr="007B0809" w:rsidR="004F49B5" w:rsidP="007B0809" w:rsidRDefault="004F49B5" w14:paraId="22894F48" w14:textId="77777777">
      <w:pPr>
        <w:pStyle w:val="AODocTxt"/>
        <w:spacing w:before="0" w:line="240" w:lineRule="auto"/>
        <w:rPr>
          <w:rFonts w:ascii="Arial" w:hAnsi="Arial" w:cs="Arial"/>
        </w:rPr>
      </w:pPr>
    </w:p>
    <w:p w:rsidRPr="00E12EC4" w:rsidR="007B0809" w:rsidP="004F49B5" w:rsidRDefault="007B0809" w14:paraId="30CFEF31" w14:textId="429DA9D6">
      <w:pPr>
        <w:pStyle w:val="AODocTxt"/>
        <w:numPr>
          <w:ilvl w:val="0"/>
          <w:numId w:val="8"/>
        </w:numPr>
        <w:spacing w:before="0" w:line="240" w:lineRule="auto"/>
        <w:ind w:left="426"/>
        <w:rPr>
          <w:rFonts w:ascii="Arial" w:hAnsi="Arial" w:cs="Arial"/>
        </w:rPr>
      </w:pPr>
      <w:r w:rsidRPr="7CF14EE0" w:rsidR="7CF14EE0">
        <w:rPr>
          <w:rFonts w:ascii="Arial" w:hAnsi="Arial" w:cs="Arial"/>
          <w:highlight w:val="yellow"/>
        </w:rPr>
        <w:t>The automatic stay applies upon the filing of a petition for recognition.</w:t>
      </w:r>
      <w:r w:rsidRPr="7CF14EE0" w:rsidR="7CF14EE0">
        <w:rPr>
          <w:rFonts w:ascii="Arial" w:hAnsi="Arial" w:cs="Arial"/>
        </w:rPr>
        <w:t xml:space="preserve"> </w:t>
      </w:r>
    </w:p>
    <w:p w:rsidRPr="007B0809" w:rsidR="004F49B5" w:rsidP="004F49B5" w:rsidRDefault="004F49B5" w14:paraId="600F697C" w14:textId="77777777">
      <w:pPr>
        <w:pStyle w:val="AODocTxt"/>
        <w:spacing w:before="0" w:line="240" w:lineRule="auto"/>
        <w:ind w:left="426"/>
        <w:rPr>
          <w:rFonts w:ascii="Arial" w:hAnsi="Arial" w:cs="Arial"/>
        </w:rPr>
      </w:pPr>
    </w:p>
    <w:p w:rsidR="007B0809" w:rsidP="004F49B5" w:rsidRDefault="007B0809" w14:paraId="3417FCC6" w14:textId="566F75A7">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rsidRPr="007B0809" w:rsidR="004F49B5" w:rsidP="004F49B5" w:rsidRDefault="004F49B5" w14:paraId="44BCEF6E" w14:textId="77777777">
      <w:pPr>
        <w:pStyle w:val="AODocTxt"/>
        <w:spacing w:before="0" w:line="240" w:lineRule="auto"/>
        <w:ind w:left="426"/>
        <w:rPr>
          <w:rFonts w:ascii="Arial" w:hAnsi="Arial" w:cs="Arial"/>
        </w:rPr>
      </w:pPr>
    </w:p>
    <w:p w:rsidR="007B0809" w:rsidP="004F49B5" w:rsidRDefault="007B0809" w14:paraId="174906D5" w14:textId="0D017597">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rsidRPr="007B0809" w:rsidR="004F49B5" w:rsidP="004F49B5" w:rsidRDefault="004F49B5" w14:paraId="12F1AC88" w14:textId="77777777">
      <w:pPr>
        <w:pStyle w:val="AODocTxt"/>
        <w:spacing w:before="0" w:line="240" w:lineRule="auto"/>
        <w:ind w:left="426"/>
        <w:rPr>
          <w:rFonts w:ascii="Arial" w:hAnsi="Arial" w:cs="Arial"/>
        </w:rPr>
      </w:pPr>
    </w:p>
    <w:p w:rsidR="007B0809" w:rsidP="004F49B5" w:rsidRDefault="007B0809" w14:paraId="6797D71E" w14:textId="0C08E73E">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rsidRPr="007B0809" w:rsidR="004F49B5" w:rsidP="004F49B5" w:rsidRDefault="004F49B5" w14:paraId="7E57463C" w14:textId="77777777">
      <w:pPr>
        <w:pStyle w:val="AODocTxt"/>
        <w:spacing w:before="0" w:line="240" w:lineRule="auto"/>
        <w:ind w:left="426"/>
        <w:rPr>
          <w:rFonts w:ascii="Arial" w:hAnsi="Arial" w:cs="Arial"/>
        </w:rPr>
      </w:pPr>
    </w:p>
    <w:p w:rsidR="007B0809" w:rsidP="004F49B5" w:rsidRDefault="007B0809" w14:paraId="47248D83" w14:textId="4C9BF0A4">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rsidRPr="007B0809" w:rsidR="004F49B5" w:rsidP="007B0809" w:rsidRDefault="004F49B5" w14:paraId="1302F5F4" w14:textId="77777777">
      <w:pPr>
        <w:pStyle w:val="AODocTxt"/>
        <w:spacing w:before="0" w:line="240" w:lineRule="auto"/>
        <w:rPr>
          <w:rFonts w:ascii="Arial" w:hAnsi="Arial" w:cs="Arial"/>
        </w:rPr>
      </w:pPr>
    </w:p>
    <w:p w:rsidRPr="007B0809" w:rsidR="007B0809" w:rsidP="007B0809" w:rsidRDefault="007B0809" w14:paraId="6055BED8" w14:textId="77777777">
      <w:pPr>
        <w:pStyle w:val="AODocTxt"/>
        <w:spacing w:before="0" w:line="240" w:lineRule="auto"/>
        <w:rPr>
          <w:rFonts w:ascii="Arial" w:hAnsi="Arial" w:cs="Arial"/>
          <w:b/>
        </w:rPr>
      </w:pPr>
      <w:r w:rsidRPr="007B0809">
        <w:rPr>
          <w:rFonts w:ascii="Arial" w:hAnsi="Arial" w:cs="Arial"/>
          <w:b/>
        </w:rPr>
        <w:t>Question 1.8</w:t>
      </w:r>
    </w:p>
    <w:p w:rsidR="004F49B5" w:rsidP="007B0809" w:rsidRDefault="004F49B5" w14:paraId="5E51AEB8" w14:textId="77777777">
      <w:pPr>
        <w:pStyle w:val="AODocTxt"/>
        <w:spacing w:before="0" w:line="240" w:lineRule="auto"/>
        <w:rPr>
          <w:rFonts w:ascii="Arial" w:hAnsi="Arial" w:cs="Arial"/>
        </w:rPr>
      </w:pPr>
    </w:p>
    <w:p w:rsidR="007B0809" w:rsidP="007B0809" w:rsidRDefault="007B0809" w14:paraId="54873FA8" w14:textId="7EA8BD47">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rsidRPr="007B0809" w:rsidR="004F49B5" w:rsidP="007B0809" w:rsidRDefault="004F49B5" w14:paraId="2A725756" w14:textId="77777777">
      <w:pPr>
        <w:pStyle w:val="AODocTxt"/>
        <w:spacing w:before="0" w:line="240" w:lineRule="auto"/>
        <w:rPr>
          <w:rFonts w:ascii="Arial" w:hAnsi="Arial" w:cs="Arial"/>
        </w:rPr>
      </w:pPr>
    </w:p>
    <w:p w:rsidR="007B0809" w:rsidP="004F49B5" w:rsidRDefault="007B0809" w14:paraId="63A1EC0B" w14:textId="7F6E2724">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rsidRPr="007B0809" w:rsidR="004F49B5" w:rsidP="004F49B5" w:rsidRDefault="004F49B5" w14:paraId="6BA438DE" w14:textId="77777777">
      <w:pPr>
        <w:pStyle w:val="AODocTxt"/>
        <w:spacing w:before="0" w:line="240" w:lineRule="auto"/>
        <w:ind w:left="426"/>
        <w:rPr>
          <w:rFonts w:ascii="Arial" w:hAnsi="Arial" w:cs="Arial"/>
        </w:rPr>
      </w:pPr>
    </w:p>
    <w:p w:rsidR="007B0809" w:rsidP="004F49B5" w:rsidRDefault="007B0809" w14:paraId="55E93DEF" w14:textId="6F04FFE3">
      <w:pPr>
        <w:pStyle w:val="AODocTxt"/>
        <w:numPr>
          <w:ilvl w:val="0"/>
          <w:numId w:val="9"/>
        </w:numPr>
        <w:spacing w:before="0" w:line="240" w:lineRule="auto"/>
        <w:ind w:left="426"/>
        <w:rPr>
          <w:rFonts w:ascii="Arial" w:hAnsi="Arial" w:cs="Arial"/>
        </w:rPr>
      </w:pPr>
      <w:r w:rsidRPr="7CF14EE0" w:rsidR="7CF14EE0">
        <w:rPr>
          <w:rFonts w:ascii="Arial" w:hAnsi="Arial" w:cs="Arial"/>
        </w:rPr>
        <w:t>A creditor’s lien on assets sold in a 363 sale attaches to the proceeds of the sale.</w:t>
      </w:r>
      <w:r w:rsidRPr="7CF14EE0" w:rsidR="7CF14EE0">
        <w:rPr>
          <w:rFonts w:ascii="Arial" w:hAnsi="Arial" w:cs="Arial"/>
        </w:rPr>
        <w:t xml:space="preserve"> </w:t>
      </w:r>
    </w:p>
    <w:p w:rsidRPr="007B0809" w:rsidR="004F49B5" w:rsidP="004F49B5" w:rsidRDefault="004F49B5" w14:paraId="62002D14" w14:textId="77777777">
      <w:pPr>
        <w:pStyle w:val="AODocTxt"/>
        <w:spacing w:before="0" w:line="240" w:lineRule="auto"/>
        <w:ind w:left="426"/>
        <w:rPr>
          <w:rFonts w:ascii="Arial" w:hAnsi="Arial" w:cs="Arial"/>
        </w:rPr>
      </w:pPr>
    </w:p>
    <w:p w:rsidRPr="00E12EC4" w:rsidR="007B0809" w:rsidP="004F49B5" w:rsidRDefault="007B0809" w14:paraId="6FF9CECA" w14:textId="50742624">
      <w:pPr>
        <w:pStyle w:val="AODocTxt"/>
        <w:numPr>
          <w:ilvl w:val="0"/>
          <w:numId w:val="9"/>
        </w:numPr>
        <w:spacing w:before="0" w:line="240" w:lineRule="auto"/>
        <w:ind w:left="426"/>
        <w:rPr>
          <w:rFonts w:ascii="Arial" w:hAnsi="Arial" w:cs="Arial"/>
        </w:rPr>
      </w:pPr>
      <w:r w:rsidRPr="7CF14EE0" w:rsidR="7CF14EE0">
        <w:rPr>
          <w:rFonts w:ascii="Arial" w:hAnsi="Arial" w:cs="Arial"/>
          <w:highlight w:val="yellow"/>
        </w:rPr>
        <w:t>A 363 sale must be conducted as an auction with a stalking horse bidder.</w:t>
      </w:r>
    </w:p>
    <w:p w:rsidRPr="007B0809" w:rsidR="004F49B5" w:rsidP="004F49B5" w:rsidRDefault="004F49B5" w14:paraId="73E2FF42" w14:textId="77777777">
      <w:pPr>
        <w:pStyle w:val="AODocTxt"/>
        <w:spacing w:before="0" w:line="240" w:lineRule="auto"/>
        <w:ind w:left="426"/>
        <w:rPr>
          <w:rFonts w:ascii="Arial" w:hAnsi="Arial" w:cs="Arial"/>
        </w:rPr>
      </w:pPr>
    </w:p>
    <w:p w:rsidR="007B0809" w:rsidP="004F49B5" w:rsidRDefault="007B0809" w14:paraId="5D7F1AD6" w14:textId="12E81D41">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rsidRPr="007B0809" w:rsidR="004F49B5" w:rsidP="004F49B5" w:rsidRDefault="004F49B5" w14:paraId="2A4FBD31" w14:textId="77777777">
      <w:pPr>
        <w:pStyle w:val="AODocTxt"/>
        <w:spacing w:before="0" w:line="240" w:lineRule="auto"/>
        <w:ind w:left="426"/>
        <w:rPr>
          <w:rFonts w:ascii="Arial" w:hAnsi="Arial" w:cs="Arial"/>
        </w:rPr>
      </w:pPr>
    </w:p>
    <w:p w:rsidR="007B0809" w:rsidP="004F49B5" w:rsidRDefault="007B0809" w14:paraId="70355C88" w14:textId="6DB708D9">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rsidRPr="007B0809" w:rsidR="004F49B5" w:rsidP="007B0809" w:rsidRDefault="004F49B5" w14:paraId="05A173E8" w14:textId="77777777">
      <w:pPr>
        <w:pStyle w:val="AODocTxt"/>
        <w:spacing w:before="0" w:line="240" w:lineRule="auto"/>
        <w:rPr>
          <w:rFonts w:ascii="Arial" w:hAnsi="Arial" w:cs="Arial"/>
        </w:rPr>
      </w:pPr>
    </w:p>
    <w:p w:rsidRPr="007B0809" w:rsidR="007B0809" w:rsidP="007B0809" w:rsidRDefault="007B0809" w14:paraId="4A2BB09C" w14:textId="77777777">
      <w:pPr>
        <w:pStyle w:val="AODocTxt"/>
        <w:spacing w:before="0" w:line="240" w:lineRule="auto"/>
        <w:rPr>
          <w:rFonts w:ascii="Arial" w:hAnsi="Arial" w:cs="Arial"/>
          <w:b/>
        </w:rPr>
      </w:pPr>
      <w:r w:rsidRPr="007B0809">
        <w:rPr>
          <w:rFonts w:ascii="Arial" w:hAnsi="Arial" w:cs="Arial"/>
          <w:b/>
        </w:rPr>
        <w:t xml:space="preserve">Question 1.9 </w:t>
      </w:r>
    </w:p>
    <w:p w:rsidR="004F49B5" w:rsidP="007B0809" w:rsidRDefault="004F49B5" w14:paraId="2610102A" w14:textId="77777777">
      <w:pPr>
        <w:pStyle w:val="AODocTxt"/>
        <w:spacing w:before="0" w:line="240" w:lineRule="auto"/>
        <w:rPr>
          <w:rFonts w:ascii="Arial" w:hAnsi="Arial" w:cs="Arial"/>
        </w:rPr>
      </w:pPr>
    </w:p>
    <w:p w:rsidR="007B0809" w:rsidP="007B0809" w:rsidRDefault="007B0809" w14:paraId="09233D66" w14:textId="5AF86C58">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rsidRPr="007B0809" w:rsidR="004F49B5" w:rsidP="007B0809" w:rsidRDefault="004F49B5" w14:paraId="733DDC4D" w14:textId="77777777">
      <w:pPr>
        <w:pStyle w:val="AODocTxt"/>
        <w:spacing w:before="0" w:line="240" w:lineRule="auto"/>
        <w:rPr>
          <w:rFonts w:ascii="Arial" w:hAnsi="Arial" w:cs="Arial"/>
        </w:rPr>
      </w:pPr>
    </w:p>
    <w:p w:rsidR="007B0809" w:rsidP="004F49B5" w:rsidRDefault="007B0809" w14:paraId="27F714AC" w14:textId="765F6C97">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rsidRPr="007B0809" w:rsidR="004F49B5" w:rsidP="004F49B5" w:rsidRDefault="004F49B5" w14:paraId="5E9D7A60" w14:textId="77777777">
      <w:pPr>
        <w:pStyle w:val="AODocTxt"/>
        <w:spacing w:before="0" w:line="240" w:lineRule="auto"/>
        <w:ind w:left="426"/>
        <w:rPr>
          <w:rFonts w:ascii="Arial" w:hAnsi="Arial" w:cs="Arial"/>
        </w:rPr>
      </w:pPr>
    </w:p>
    <w:p w:rsidR="007B0809" w:rsidP="004F49B5" w:rsidRDefault="007B0809" w14:paraId="4CE0E12D" w14:textId="6942A724">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rsidRPr="007B0809" w:rsidR="004F49B5" w:rsidP="004F49B5" w:rsidRDefault="004F49B5" w14:paraId="16773CEF" w14:textId="77777777">
      <w:pPr>
        <w:pStyle w:val="AODocTxt"/>
        <w:spacing w:before="0" w:line="240" w:lineRule="auto"/>
        <w:ind w:left="426"/>
        <w:rPr>
          <w:rFonts w:ascii="Arial" w:hAnsi="Arial" w:cs="Arial"/>
        </w:rPr>
      </w:pPr>
    </w:p>
    <w:p w:rsidR="007B0809" w:rsidP="004F49B5" w:rsidRDefault="007B0809" w14:paraId="6A2B5B41" w14:textId="3D13057E">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rsidRPr="007B0809" w:rsidR="004F49B5" w:rsidP="004F49B5" w:rsidRDefault="004F49B5" w14:paraId="1EE9C3C2" w14:textId="77777777">
      <w:pPr>
        <w:pStyle w:val="AODocTxt"/>
        <w:spacing w:before="0" w:line="240" w:lineRule="auto"/>
        <w:ind w:left="426"/>
        <w:rPr>
          <w:rFonts w:ascii="Arial" w:hAnsi="Arial" w:cs="Arial"/>
        </w:rPr>
      </w:pPr>
    </w:p>
    <w:p w:rsidR="007B0809" w:rsidP="004F49B5" w:rsidRDefault="007B0809" w14:paraId="1C58B9A3" w14:textId="1DC67E74">
      <w:pPr>
        <w:pStyle w:val="AODocTxt"/>
        <w:numPr>
          <w:ilvl w:val="0"/>
          <w:numId w:val="10"/>
        </w:numPr>
        <w:spacing w:before="0" w:line="240" w:lineRule="auto"/>
        <w:ind w:left="426"/>
        <w:rPr>
          <w:rFonts w:ascii="Arial" w:hAnsi="Arial" w:cs="Arial"/>
        </w:rPr>
      </w:pPr>
      <w:r w:rsidRPr="7CF14EE0" w:rsidR="7CF14EE0">
        <w:rPr>
          <w:rFonts w:ascii="Arial" w:hAnsi="Arial" w:cs="Arial"/>
          <w:highlight w:val="yellow"/>
        </w:rPr>
        <w:t>Both (a) and (b)</w:t>
      </w:r>
      <w:r w:rsidRPr="7CF14EE0" w:rsidR="7CF14EE0">
        <w:rPr>
          <w:rFonts w:ascii="Arial" w:hAnsi="Arial" w:cs="Arial"/>
        </w:rPr>
        <w:t>.</w:t>
      </w:r>
    </w:p>
    <w:p w:rsidRPr="007B0809" w:rsidR="004F49B5" w:rsidP="004F49B5" w:rsidRDefault="004F49B5" w14:paraId="06A0F159" w14:textId="77777777">
      <w:pPr>
        <w:pStyle w:val="AODocTxt"/>
        <w:spacing w:before="0" w:line="240" w:lineRule="auto"/>
        <w:ind w:left="426"/>
        <w:rPr>
          <w:rFonts w:ascii="Arial" w:hAnsi="Arial" w:cs="Arial"/>
        </w:rPr>
      </w:pPr>
    </w:p>
    <w:p w:rsidRPr="00E12EC4" w:rsidR="007B0809" w:rsidP="004F49B5" w:rsidRDefault="007B0809" w14:paraId="12D660B5" w14:textId="62EDED26">
      <w:pPr>
        <w:pStyle w:val="AODocTxt"/>
        <w:numPr>
          <w:ilvl w:val="0"/>
          <w:numId w:val="10"/>
        </w:numPr>
        <w:spacing w:before="0" w:line="240" w:lineRule="auto"/>
        <w:ind w:left="426"/>
        <w:rPr>
          <w:rFonts w:ascii="Arial" w:hAnsi="Arial" w:cs="Arial"/>
        </w:rPr>
      </w:pPr>
      <w:r w:rsidRPr="00E12EC4">
        <w:rPr>
          <w:rFonts w:ascii="Arial" w:hAnsi="Arial" w:cs="Arial"/>
        </w:rPr>
        <w:t>Both (a) and (c).</w:t>
      </w:r>
    </w:p>
    <w:p w:rsidR="004F49B5" w:rsidP="007B0809" w:rsidRDefault="004F49B5" w14:paraId="25D419CA" w14:textId="178D0360">
      <w:pPr>
        <w:pStyle w:val="AODocTxt"/>
        <w:spacing w:before="0" w:line="240" w:lineRule="auto"/>
        <w:rPr>
          <w:rFonts w:ascii="Arial" w:hAnsi="Arial" w:cs="Arial"/>
        </w:rPr>
      </w:pPr>
    </w:p>
    <w:p w:rsidR="004F49B5" w:rsidP="007B0809" w:rsidRDefault="004F49B5" w14:paraId="17C73F7C" w14:textId="51DB4812">
      <w:pPr>
        <w:pStyle w:val="AODocTxt"/>
        <w:spacing w:before="0" w:line="240" w:lineRule="auto"/>
        <w:rPr>
          <w:rFonts w:ascii="Arial" w:hAnsi="Arial" w:cs="Arial"/>
        </w:rPr>
      </w:pPr>
    </w:p>
    <w:p w:rsidR="004F49B5" w:rsidP="007B0809" w:rsidRDefault="004F49B5" w14:paraId="6468B414" w14:textId="1FD13F6E">
      <w:pPr>
        <w:pStyle w:val="AODocTxt"/>
        <w:spacing w:before="0" w:line="240" w:lineRule="auto"/>
        <w:rPr>
          <w:rFonts w:ascii="Arial" w:hAnsi="Arial" w:cs="Arial"/>
        </w:rPr>
      </w:pPr>
    </w:p>
    <w:p w:rsidR="004F49B5" w:rsidP="007B0809" w:rsidRDefault="004F49B5" w14:paraId="397B2279" w14:textId="43E648AF">
      <w:pPr>
        <w:pStyle w:val="AODocTxt"/>
        <w:spacing w:before="0" w:line="240" w:lineRule="auto"/>
        <w:rPr>
          <w:rFonts w:ascii="Arial" w:hAnsi="Arial" w:cs="Arial"/>
        </w:rPr>
      </w:pPr>
    </w:p>
    <w:p w:rsidR="004F49B5" w:rsidP="007B0809" w:rsidRDefault="004F49B5" w14:paraId="747F3B69" w14:textId="5017232E">
      <w:pPr>
        <w:pStyle w:val="AODocTxt"/>
        <w:spacing w:before="0" w:line="240" w:lineRule="auto"/>
        <w:rPr>
          <w:rFonts w:ascii="Arial" w:hAnsi="Arial" w:cs="Arial"/>
        </w:rPr>
      </w:pPr>
    </w:p>
    <w:p w:rsidRPr="007B0809" w:rsidR="007B0809" w:rsidP="007B0809" w:rsidRDefault="007B0809" w14:paraId="4548C5F6" w14:textId="77777777">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rsidR="004F49B5" w:rsidP="007B0809" w:rsidRDefault="004F49B5" w14:paraId="39A60909" w14:textId="77777777">
      <w:pPr>
        <w:pStyle w:val="AODocTxt"/>
        <w:spacing w:before="0" w:line="240" w:lineRule="auto"/>
        <w:rPr>
          <w:rFonts w:ascii="Arial" w:hAnsi="Arial" w:cs="Arial"/>
        </w:rPr>
      </w:pPr>
    </w:p>
    <w:p w:rsidR="007B0809" w:rsidP="007B0809" w:rsidRDefault="007B0809" w14:paraId="13DF4FC7" w14:textId="31B57663">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rsidRPr="007B0809" w:rsidR="004F49B5" w:rsidP="007B0809" w:rsidRDefault="004F49B5" w14:paraId="198B7ED2" w14:textId="77777777">
      <w:pPr>
        <w:pStyle w:val="AODocTxt"/>
        <w:spacing w:before="0" w:line="240" w:lineRule="auto"/>
        <w:rPr>
          <w:rFonts w:ascii="Arial" w:hAnsi="Arial" w:cs="Arial"/>
        </w:rPr>
      </w:pPr>
    </w:p>
    <w:p w:rsidR="007B0809" w:rsidP="004F49B5" w:rsidRDefault="007B0809" w14:paraId="79043DDC" w14:textId="05A85762">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rsidRPr="007B0809" w:rsidR="004F49B5" w:rsidP="004F49B5" w:rsidRDefault="004F49B5" w14:paraId="5BE84A04" w14:textId="77777777">
      <w:pPr>
        <w:pStyle w:val="AODocTxt"/>
        <w:spacing w:before="0" w:line="240" w:lineRule="auto"/>
        <w:ind w:left="426"/>
        <w:rPr>
          <w:rFonts w:ascii="Arial" w:hAnsi="Arial" w:cs="Arial"/>
        </w:rPr>
      </w:pPr>
    </w:p>
    <w:p w:rsidR="007B0809" w:rsidP="004F49B5" w:rsidRDefault="007B0809" w14:paraId="32C62672" w14:textId="38744D8B">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rsidRPr="007B0809" w:rsidR="004F49B5" w:rsidP="004F49B5" w:rsidRDefault="004F49B5" w14:paraId="4FDC8435" w14:textId="77777777">
      <w:pPr>
        <w:pStyle w:val="AODocTxt"/>
        <w:spacing w:before="0" w:line="240" w:lineRule="auto"/>
        <w:ind w:left="426"/>
        <w:rPr>
          <w:rFonts w:ascii="Arial" w:hAnsi="Arial" w:cs="Arial"/>
        </w:rPr>
      </w:pPr>
    </w:p>
    <w:p w:rsidR="007B0809" w:rsidP="004F49B5" w:rsidRDefault="007B0809" w14:paraId="76BDB143" w14:textId="60CF955A">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rsidRPr="007B0809" w:rsidR="004F49B5" w:rsidP="004F49B5" w:rsidRDefault="004F49B5" w14:paraId="0380629B" w14:textId="77777777">
      <w:pPr>
        <w:pStyle w:val="AODocTxt"/>
        <w:spacing w:before="0" w:line="240" w:lineRule="auto"/>
        <w:ind w:left="426"/>
        <w:rPr>
          <w:rFonts w:ascii="Arial" w:hAnsi="Arial" w:cs="Arial"/>
        </w:rPr>
      </w:pPr>
    </w:p>
    <w:p w:rsidR="007B0809" w:rsidP="004F49B5" w:rsidRDefault="007B0809" w14:paraId="66464CFA" w14:textId="16A18A6B">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rsidRPr="007B0809" w:rsidR="004F49B5" w:rsidP="004F49B5" w:rsidRDefault="004F49B5" w14:paraId="704855D0" w14:textId="77777777">
      <w:pPr>
        <w:pStyle w:val="AODocTxt"/>
        <w:spacing w:before="0" w:line="240" w:lineRule="auto"/>
        <w:ind w:left="426"/>
        <w:rPr>
          <w:rFonts w:ascii="Arial" w:hAnsi="Arial" w:cs="Arial"/>
        </w:rPr>
      </w:pPr>
    </w:p>
    <w:p w:rsidRPr="00E12EC4" w:rsidR="007B0809" w:rsidP="004F49B5" w:rsidRDefault="007B0809" w14:paraId="3203F38E" w14:textId="4E47F3DA">
      <w:pPr>
        <w:pStyle w:val="AODocTxt"/>
        <w:numPr>
          <w:ilvl w:val="0"/>
          <w:numId w:val="11"/>
        </w:numPr>
        <w:spacing w:before="0" w:line="240" w:lineRule="auto"/>
        <w:ind w:left="426"/>
        <w:rPr>
          <w:rFonts w:ascii="Arial" w:hAnsi="Arial" w:cs="Arial"/>
        </w:rPr>
      </w:pPr>
      <w:r w:rsidRPr="7CF14EE0" w:rsidR="7CF14EE0">
        <w:rPr>
          <w:rFonts w:ascii="Arial" w:hAnsi="Arial" w:cs="Arial"/>
          <w:highlight w:val="yellow"/>
        </w:rPr>
        <w:t>All of the above.</w:t>
      </w:r>
    </w:p>
    <w:p w:rsidRPr="00323167" w:rsidR="00ED74BC" w:rsidP="00ED74BC" w:rsidRDefault="00ED74BC" w14:paraId="21C93FC3" w14:textId="409FF335">
      <w:pPr>
        <w:pStyle w:val="AODocTxt"/>
        <w:spacing w:before="0" w:line="240" w:lineRule="auto"/>
        <w:rPr>
          <w:rFonts w:ascii="Arial" w:hAnsi="Arial" w:cs="Arial"/>
        </w:rPr>
      </w:pPr>
    </w:p>
    <w:p w:rsidRPr="00323167" w:rsidR="00ED74BC" w:rsidP="00323167" w:rsidRDefault="00ED74BC" w14:paraId="53420A26" w14:textId="77777777">
      <w:pPr>
        <w:pStyle w:val="AODocTxt"/>
        <w:spacing w:before="0" w:line="240" w:lineRule="auto"/>
        <w:rPr>
          <w:rFonts w:ascii="Arial" w:hAnsi="Arial" w:cs="Arial"/>
        </w:rPr>
      </w:pPr>
    </w:p>
    <w:p w:rsidRPr="00323167" w:rsidR="00323167" w:rsidP="00323167" w:rsidRDefault="00323167" w14:paraId="5E17678D" w14:textId="77777777">
      <w:pPr>
        <w:jc w:val="both"/>
        <w:rPr>
          <w:rFonts w:ascii="Arial" w:hAnsi="Arial" w:cs="Arial"/>
          <w:b/>
          <w:sz w:val="22"/>
          <w:szCs w:val="22"/>
          <w:lang w:val="en-GB"/>
        </w:rPr>
      </w:pPr>
      <w:bookmarkStart w:name="_Hlk17745211" w:id="0"/>
      <w:r w:rsidRPr="00323167">
        <w:rPr>
          <w:rFonts w:ascii="Arial" w:hAnsi="Arial" w:cs="Arial"/>
          <w:b/>
          <w:sz w:val="22"/>
          <w:szCs w:val="22"/>
          <w:lang w:val="en-GB"/>
        </w:rPr>
        <w:t xml:space="preserve">QUESTION 2 (direct questions) [10 marks] </w:t>
      </w:r>
    </w:p>
    <w:p w:rsidRPr="00323167" w:rsidR="00323167" w:rsidP="00323167" w:rsidRDefault="00323167" w14:paraId="0C2E896B" w14:textId="77777777">
      <w:pPr>
        <w:pStyle w:val="AODocTxt"/>
        <w:spacing w:before="0" w:line="240" w:lineRule="auto"/>
        <w:rPr>
          <w:rFonts w:ascii="Arial" w:hAnsi="Arial" w:cs="Arial"/>
          <w:bCs/>
        </w:rPr>
      </w:pPr>
    </w:p>
    <w:p w:rsidRPr="00323167" w:rsidR="00323167" w:rsidP="00323167" w:rsidRDefault="00323167" w14:paraId="42EC6769" w14:textId="5F7AFC51">
      <w:pPr>
        <w:pStyle w:val="AODocTxt"/>
        <w:spacing w:before="0" w:line="240" w:lineRule="auto"/>
        <w:rPr>
          <w:rFonts w:ascii="Arial" w:hAnsi="Arial" w:cs="Arial"/>
          <w:b/>
        </w:rPr>
      </w:pPr>
      <w:r w:rsidRPr="00323167">
        <w:rPr>
          <w:rFonts w:ascii="Arial" w:hAnsi="Arial" w:cs="Arial"/>
          <w:b/>
        </w:rPr>
        <w:t>Question 2.1 (2 marks)</w:t>
      </w:r>
    </w:p>
    <w:p w:rsidR="00323167" w:rsidP="00323167" w:rsidRDefault="00323167" w14:paraId="5BFE5B0B" w14:textId="77777777">
      <w:pPr>
        <w:pStyle w:val="AODocTxt"/>
        <w:spacing w:before="0" w:line="240" w:lineRule="auto"/>
        <w:rPr>
          <w:rFonts w:ascii="Arial" w:hAnsi="Arial" w:cs="Arial"/>
        </w:rPr>
      </w:pPr>
    </w:p>
    <w:p w:rsidR="00323167" w:rsidP="00323167" w:rsidRDefault="00323167" w14:paraId="02480329" w14:textId="6089E8A9">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rsidR="00323167" w:rsidP="00323167" w:rsidRDefault="00323167" w14:paraId="25AF8067" w14:textId="58DDB433">
      <w:pPr>
        <w:pStyle w:val="AODocTxt"/>
        <w:spacing w:before="0" w:line="240" w:lineRule="auto"/>
        <w:rPr>
          <w:rFonts w:ascii="Arial" w:hAnsi="Arial" w:cs="Arial"/>
        </w:rPr>
      </w:pPr>
    </w:p>
    <w:p w:rsidRPr="00FF5098" w:rsidR="00E12EC4" w:rsidP="7B43D7E7" w:rsidRDefault="00E12EC4" w14:paraId="4F3580F1" w14:textId="16E1079D">
      <w:pPr>
        <w:jc w:val="both"/>
        <w:rPr>
          <w:rFonts w:ascii="Arial" w:hAnsi="Arial" w:cs="Arial"/>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[voluntary petitions are filed by creditors, involuntary petitions are filed by debtors.</w:t>
      </w:r>
    </w:p>
    <w:p w:rsidRPr="00FF5098" w:rsidR="00E12EC4" w:rsidP="7B43D7E7" w:rsidRDefault="00E12EC4" w14:paraId="2A99CE2E" w14:textId="2CE1F263">
      <w:pPr>
        <w:jc w:val="both"/>
        <w:rPr>
          <w:rFonts w:ascii="Arial" w:hAnsi="Arial" w:cs="Arial"/>
          <w:color w:val="7B7B7B" w:themeColor="accent3" w:themeTint="FF" w:themeShade="BF"/>
          <w:sz w:val="22"/>
          <w:szCs w:val="22"/>
          <w:lang w:val="en-GB"/>
        </w:rPr>
      </w:pPr>
    </w:p>
    <w:p w:rsidRPr="00FF5098" w:rsidR="00E12EC4" w:rsidP="00E12EC4" w:rsidRDefault="00E12EC4" w14:paraId="164E4725" w14:textId="20DDF957">
      <w:pPr>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In an involuntary petition, petitioning creditors must allege insolvency of the debtor (i.e. the debtor is not paying its debts as they become due, unless they are the subject of a bona fide dispute as to liability or amount, or that within 120 days before the filing of the petition, a custodian, other than a trustee, receiver or an agent appointed to take charge of less than substantially all of the property of the debtor for the purpose of enforcing a lien against such property, was appointed or took possession).  There is no requirement of allegation of insolvency in a voluntary petition.]</w:t>
      </w:r>
    </w:p>
    <w:p w:rsidR="00323167" w:rsidP="00323167" w:rsidRDefault="00323167" w14:paraId="2EFB5850" w14:textId="6A67EA3E">
      <w:pPr>
        <w:pStyle w:val="AODocTxt"/>
        <w:spacing w:before="0" w:line="240" w:lineRule="auto"/>
        <w:rPr>
          <w:rFonts w:ascii="Arial" w:hAnsi="Arial" w:cs="Arial"/>
        </w:rPr>
      </w:pPr>
    </w:p>
    <w:p w:rsidRPr="00323167" w:rsidR="00E12EC4" w:rsidP="00323167" w:rsidRDefault="00E12EC4" w14:paraId="2F922DDB" w14:textId="77777777">
      <w:pPr>
        <w:pStyle w:val="AODocTxt"/>
        <w:spacing w:before="0" w:line="240" w:lineRule="auto"/>
        <w:rPr>
          <w:rFonts w:ascii="Arial" w:hAnsi="Arial" w:cs="Arial"/>
        </w:rPr>
      </w:pPr>
    </w:p>
    <w:p w:rsidRPr="00323167" w:rsidR="00323167" w:rsidP="00323167" w:rsidRDefault="00323167" w14:paraId="6F155D90" w14:textId="77777777">
      <w:pPr>
        <w:pStyle w:val="AODocTxt"/>
        <w:spacing w:before="0" w:line="240" w:lineRule="auto"/>
        <w:rPr>
          <w:rFonts w:ascii="Arial" w:hAnsi="Arial" w:cs="Arial"/>
          <w:b/>
        </w:rPr>
      </w:pPr>
      <w:r w:rsidRPr="00323167">
        <w:rPr>
          <w:rFonts w:ascii="Arial" w:hAnsi="Arial" w:cs="Arial"/>
          <w:b/>
        </w:rPr>
        <w:t>Question 2.2 (2 marks)</w:t>
      </w:r>
    </w:p>
    <w:p w:rsidR="003A75F4" w:rsidP="00323167" w:rsidRDefault="003A75F4" w14:paraId="42B1C644" w14:textId="77777777">
      <w:pPr>
        <w:pStyle w:val="AODocTxt"/>
        <w:spacing w:before="0" w:line="240" w:lineRule="auto"/>
        <w:rPr>
          <w:rFonts w:ascii="Arial" w:hAnsi="Arial" w:cs="Arial"/>
        </w:rPr>
      </w:pPr>
    </w:p>
    <w:p w:rsidR="00323167" w:rsidP="00323167" w:rsidRDefault="00323167" w14:paraId="21B34D68" w14:textId="390FF013">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rsidR="003A75F4" w:rsidP="00323167" w:rsidRDefault="003A75F4" w14:paraId="3379ECC8" w14:textId="677D935D">
      <w:pPr>
        <w:pStyle w:val="AODocTxt"/>
        <w:spacing w:before="0" w:line="240" w:lineRule="auto"/>
        <w:rPr>
          <w:rFonts w:ascii="Arial" w:hAnsi="Arial" w:cs="Arial"/>
        </w:rPr>
      </w:pPr>
    </w:p>
    <w:p w:rsidRPr="00FF5098" w:rsidR="00E12EC4" w:rsidP="3EAFC584" w:rsidRDefault="00E12EC4" w14:paraId="04786867" w14:textId="01F559CF">
      <w:pPr>
        <w:jc w:val="both"/>
        <w:rPr>
          <w:rFonts w:ascii="Arial" w:hAnsi="Arial" w:cs="Arial"/>
          <w:color w:val="7B7B7B" w:themeColor="accent3" w:themeTint="FF" w:themeShade="BF"/>
          <w:sz w:val="22"/>
          <w:szCs w:val="22"/>
          <w:lang w:val="en-GB"/>
        </w:rPr>
      </w:pPr>
      <w:r w:rsidRPr="3EAFC584" w:rsidR="3EAFC584">
        <w:rPr>
          <w:rFonts w:ascii="Arial" w:hAnsi="Arial" w:cs="Arial"/>
          <w:color w:val="7B7B7B" w:themeColor="accent3" w:themeTint="FF" w:themeShade="BF"/>
          <w:sz w:val="22"/>
          <w:szCs w:val="22"/>
          <w:lang w:val="en-GB"/>
        </w:rPr>
        <w:t xml:space="preserve">[An act taken in violation of the automatic stay is void or voidable (depending on the circuit in which the bankruptcy proceeding is pending). </w:t>
      </w:r>
    </w:p>
    <w:p w:rsidRPr="00FF5098" w:rsidR="00E12EC4" w:rsidP="3EAFC584" w:rsidRDefault="00E12EC4" w14:paraId="6EDFD3D1" w14:textId="4385D071">
      <w:pPr>
        <w:jc w:val="both"/>
        <w:rPr>
          <w:rFonts w:ascii="Arial" w:hAnsi="Arial" w:cs="Arial"/>
          <w:color w:val="7B7B7B" w:themeColor="accent3" w:themeTint="FF" w:themeShade="BF"/>
          <w:sz w:val="22"/>
          <w:szCs w:val="22"/>
          <w:lang w:val="en-GB"/>
        </w:rPr>
      </w:pPr>
    </w:p>
    <w:p w:rsidRPr="00FF5098" w:rsidR="00E12EC4" w:rsidP="00E12EC4" w:rsidRDefault="00E12EC4" w14:paraId="33FDE7BF" w14:textId="34A71477">
      <w:pPr>
        <w:jc w:val="both"/>
        <w:rPr>
          <w:rFonts w:ascii="Arial" w:hAnsi="Arial" w:cs="Arial"/>
          <w:color w:val="7B7B7B" w:themeColor="accent3" w:themeShade="BF"/>
          <w:sz w:val="22"/>
          <w:szCs w:val="22"/>
          <w:lang w:val="en-GB"/>
        </w:rPr>
      </w:pPr>
      <w:r w:rsidRPr="3EAFC584" w:rsidR="3EAFC584">
        <w:rPr>
          <w:rFonts w:ascii="Arial" w:hAnsi="Arial" w:cs="Arial"/>
          <w:color w:val="7B7B7B" w:themeColor="accent3" w:themeTint="FF" w:themeShade="BF"/>
          <w:sz w:val="22"/>
          <w:szCs w:val="22"/>
          <w:lang w:val="en-GB"/>
        </w:rPr>
        <w:t xml:space="preserve">Such act also </w:t>
      </w:r>
      <w:r w:rsidRPr="3EAFC584" w:rsidR="3EAFC584">
        <w:rPr>
          <w:rFonts w:ascii="Arial" w:hAnsi="Arial" w:cs="Arial"/>
          <w:color w:val="7B7B7B" w:themeColor="accent3" w:themeTint="FF" w:themeShade="BF"/>
          <w:sz w:val="22"/>
          <w:szCs w:val="22"/>
          <w:lang w:val="en-GB"/>
        </w:rPr>
        <w:t>constitutes</w:t>
      </w:r>
      <w:r w:rsidRPr="3EAFC584" w:rsidR="3EAFC584">
        <w:rPr>
          <w:rFonts w:ascii="Arial" w:hAnsi="Arial" w:cs="Arial"/>
          <w:color w:val="7B7B7B" w:themeColor="accent3" w:themeTint="FF" w:themeShade="BF"/>
          <w:sz w:val="22"/>
          <w:szCs w:val="22"/>
          <w:lang w:val="en-GB"/>
        </w:rPr>
        <w:t xml:space="preserve"> contempt of court, and a court can impose contempt sanctions, which may include payment of the debtors’ attorneys’ fees, requiring the stay violator to take affirmative acts to undo the effect of its violation, and/or impose a daily fine to be paid to the court until </w:t>
      </w:r>
      <w:r w:rsidRPr="3EAFC584" w:rsidR="3EAFC584">
        <w:rPr>
          <w:rFonts w:ascii="Arial" w:hAnsi="Arial" w:cs="Arial"/>
          <w:color w:val="7B7B7B" w:themeColor="accent3" w:themeTint="FF" w:themeShade="BF"/>
          <w:sz w:val="22"/>
          <w:szCs w:val="22"/>
          <w:lang w:val="en-GB"/>
        </w:rPr>
        <w:t>the stay</w:t>
      </w:r>
      <w:r w:rsidRPr="3EAFC584" w:rsidR="3EAFC584">
        <w:rPr>
          <w:rFonts w:ascii="Arial" w:hAnsi="Arial" w:cs="Arial"/>
          <w:color w:val="7B7B7B" w:themeColor="accent3" w:themeTint="FF" w:themeShade="BF"/>
          <w:sz w:val="22"/>
          <w:szCs w:val="22"/>
          <w:lang w:val="en-GB"/>
        </w:rPr>
        <w:t xml:space="preserve"> violation has been rectified,]</w:t>
      </w:r>
    </w:p>
    <w:p w:rsidR="00323167" w:rsidP="00323167" w:rsidRDefault="00323167" w14:paraId="740C7F05" w14:textId="46F220B2">
      <w:pPr>
        <w:pStyle w:val="AODocTxt"/>
        <w:spacing w:before="0" w:line="240" w:lineRule="auto"/>
        <w:rPr>
          <w:rFonts w:ascii="Arial" w:hAnsi="Arial" w:cs="Arial"/>
        </w:rPr>
      </w:pPr>
    </w:p>
    <w:p w:rsidRPr="00323167" w:rsidR="00E12EC4" w:rsidP="00323167" w:rsidRDefault="00E12EC4" w14:paraId="51DD27A0" w14:textId="77777777">
      <w:pPr>
        <w:pStyle w:val="AODocTxt"/>
        <w:spacing w:before="0" w:line="240" w:lineRule="auto"/>
        <w:rPr>
          <w:rFonts w:ascii="Arial" w:hAnsi="Arial" w:cs="Arial"/>
        </w:rPr>
      </w:pPr>
    </w:p>
    <w:p w:rsidRPr="00323167" w:rsidR="00323167" w:rsidP="00323167" w:rsidRDefault="00323167" w14:paraId="1E71D3BC" w14:textId="77777777">
      <w:pPr>
        <w:pStyle w:val="AODocTxt"/>
        <w:spacing w:before="0" w:line="240" w:lineRule="auto"/>
        <w:rPr>
          <w:rFonts w:ascii="Arial" w:hAnsi="Arial" w:cs="Arial"/>
          <w:b/>
        </w:rPr>
      </w:pPr>
      <w:r w:rsidRPr="00323167">
        <w:rPr>
          <w:rFonts w:ascii="Arial" w:hAnsi="Arial" w:cs="Arial"/>
          <w:b/>
        </w:rPr>
        <w:t>Question 2.3 (3 marks)</w:t>
      </w:r>
    </w:p>
    <w:p w:rsidR="003A75F4" w:rsidP="00323167" w:rsidRDefault="003A75F4" w14:paraId="0EF9E328" w14:textId="77777777">
      <w:pPr>
        <w:pStyle w:val="AODocTxt"/>
        <w:spacing w:before="0" w:line="240" w:lineRule="auto"/>
        <w:rPr>
          <w:rFonts w:ascii="Arial" w:hAnsi="Arial" w:cs="Arial"/>
        </w:rPr>
      </w:pPr>
    </w:p>
    <w:p w:rsidR="00323167" w:rsidP="00323167" w:rsidRDefault="00323167" w14:paraId="0FD4A2F3" w14:textId="0E5EC6C6">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rsidR="003A75F4" w:rsidP="00323167" w:rsidRDefault="003A75F4" w14:paraId="55D6E353" w14:textId="2FDBCE54">
      <w:pPr>
        <w:pStyle w:val="AODocTxt"/>
        <w:spacing w:before="0" w:line="240" w:lineRule="auto"/>
        <w:rPr>
          <w:rFonts w:ascii="Arial" w:hAnsi="Arial" w:cs="Arial"/>
        </w:rPr>
      </w:pPr>
    </w:p>
    <w:p w:rsidRPr="00FF5098" w:rsidR="00E12EC4" w:rsidP="3EAFC584" w:rsidRDefault="00E12EC4" w14:paraId="44013731" w14:textId="5787A675">
      <w:pPr>
        <w:jc w:val="both"/>
        <w:rPr>
          <w:rFonts w:ascii="Arial" w:hAnsi="Arial" w:cs="Arial"/>
          <w:color w:val="7B7B7B" w:themeColor="accent3" w:themeTint="FF" w:themeShade="BF"/>
          <w:sz w:val="22"/>
          <w:szCs w:val="22"/>
          <w:lang w:val="en-GB"/>
        </w:rPr>
      </w:pPr>
      <w:r w:rsidRPr="3EAFC584" w:rsidR="3EAFC584">
        <w:rPr>
          <w:rFonts w:ascii="Arial" w:hAnsi="Arial" w:cs="Arial"/>
          <w:color w:val="7B7B7B" w:themeColor="accent3" w:themeTint="FF" w:themeShade="BF"/>
          <w:sz w:val="22"/>
          <w:szCs w:val="22"/>
          <w:lang w:val="en-GB"/>
        </w:rPr>
        <w:t>[a claim is impaired unless the plan leaves the holder’s legal equitable, and contractual rights unaltered.</w:t>
      </w:r>
    </w:p>
    <w:p w:rsidRPr="00FF5098" w:rsidR="00E12EC4" w:rsidP="3EAFC584" w:rsidRDefault="00E12EC4" w14:paraId="46B9BB73" w14:textId="32C11C53">
      <w:pPr>
        <w:jc w:val="both"/>
        <w:rPr>
          <w:rFonts w:ascii="Arial" w:hAnsi="Arial" w:cs="Arial"/>
          <w:color w:val="7B7B7B" w:themeColor="accent3" w:themeTint="FF" w:themeShade="BF"/>
          <w:sz w:val="22"/>
          <w:szCs w:val="22"/>
          <w:lang w:val="en-GB"/>
        </w:rPr>
      </w:pPr>
    </w:p>
    <w:p w:rsidRPr="00FF5098" w:rsidR="00E12EC4" w:rsidP="00E12EC4" w:rsidRDefault="00E12EC4" w14:paraId="3A0B4207" w14:textId="056C8C24">
      <w:pPr>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If the proposed plan reverses contractual acceleration by curing any monetary default and compensating the holder for any damages, the holder of the claim would lose its entitlement to vote on the plan, and it would be deemed to have accepted the plan.]</w:t>
      </w:r>
    </w:p>
    <w:p w:rsidR="00323167" w:rsidP="00323167" w:rsidRDefault="00323167" w14:paraId="0E58133A" w14:textId="602DB469">
      <w:pPr>
        <w:pStyle w:val="AODocTxt"/>
        <w:spacing w:before="0" w:line="240" w:lineRule="auto"/>
        <w:rPr>
          <w:rFonts w:ascii="Arial" w:hAnsi="Arial" w:cs="Arial"/>
        </w:rPr>
      </w:pPr>
    </w:p>
    <w:p w:rsidRPr="00323167" w:rsidR="00E12EC4" w:rsidP="00323167" w:rsidRDefault="00E12EC4" w14:paraId="546F04FF" w14:textId="77777777">
      <w:pPr>
        <w:pStyle w:val="AODocTxt"/>
        <w:spacing w:before="0" w:line="240" w:lineRule="auto"/>
        <w:rPr>
          <w:rFonts w:ascii="Arial" w:hAnsi="Arial" w:cs="Arial"/>
        </w:rPr>
      </w:pPr>
    </w:p>
    <w:p w:rsidRPr="00323167" w:rsidR="00323167" w:rsidP="00323167" w:rsidRDefault="00323167" w14:paraId="63E659C8" w14:textId="77777777">
      <w:pPr>
        <w:pStyle w:val="AODocTxt"/>
        <w:spacing w:before="0" w:line="240" w:lineRule="auto"/>
        <w:rPr>
          <w:rFonts w:ascii="Arial" w:hAnsi="Arial" w:cs="Arial"/>
          <w:b/>
        </w:rPr>
      </w:pPr>
      <w:r w:rsidRPr="00323167">
        <w:rPr>
          <w:rFonts w:ascii="Arial" w:hAnsi="Arial" w:cs="Arial"/>
          <w:b/>
        </w:rPr>
        <w:t>Question 2.4 (3 marks)</w:t>
      </w:r>
    </w:p>
    <w:p w:rsidRPr="00323167" w:rsidR="00323167" w:rsidP="00323167" w:rsidRDefault="00323167" w14:paraId="170F32F6" w14:textId="77777777">
      <w:pPr>
        <w:pStyle w:val="AODocTxt"/>
        <w:spacing w:before="0" w:line="240" w:lineRule="auto"/>
        <w:rPr>
          <w:rFonts w:ascii="Arial" w:hAnsi="Arial" w:cs="Arial"/>
        </w:rPr>
      </w:pPr>
    </w:p>
    <w:p w:rsidR="00323167" w:rsidP="00323167" w:rsidRDefault="00323167" w14:paraId="3D22D106" w14:textId="756BA08D">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rsidRPr="00323167" w:rsidR="003A75F4" w:rsidP="00323167" w:rsidRDefault="003A75F4" w14:paraId="3CFB3C2E" w14:textId="77777777">
      <w:pPr>
        <w:pStyle w:val="AODocTxt"/>
        <w:spacing w:before="0" w:line="240" w:lineRule="auto"/>
        <w:rPr>
          <w:rFonts w:ascii="Arial" w:hAnsi="Arial" w:cs="Arial"/>
        </w:rPr>
      </w:pPr>
    </w:p>
    <w:p w:rsidR="00323167" w:rsidP="00DC359F" w:rsidRDefault="00323167" w14:paraId="7BB99BDB" w14:textId="520D2DB4">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rsidRPr="00DC359F" w:rsidR="00DC359F" w:rsidP="00DC359F" w:rsidRDefault="00DC359F" w14:paraId="5E9F37B1" w14:textId="77777777">
      <w:pPr>
        <w:pStyle w:val="AODocTxt"/>
        <w:spacing w:before="0" w:line="240" w:lineRule="auto"/>
        <w:rPr>
          <w:rFonts w:ascii="Arial" w:hAnsi="Arial" w:cs="Arial"/>
        </w:rPr>
      </w:pPr>
    </w:p>
    <w:p w:rsidR="00E12EC4" w:rsidP="00E12EC4" w:rsidRDefault="00E12EC4" w14:paraId="23EDCF1A" w14:textId="60C4CAB6">
      <w:pPr>
        <w:ind w:firstLine="426"/>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[Preference. Preference only arises where the debtor pays a creditor for a pre-existing debt.]</w:t>
      </w:r>
    </w:p>
    <w:p w:rsidRPr="00E12EC4" w:rsidR="005B2A9B" w:rsidP="00E12EC4" w:rsidRDefault="005B2A9B" w14:paraId="4E388149" w14:textId="77777777">
      <w:pPr>
        <w:ind w:firstLine="426"/>
        <w:jc w:val="both"/>
        <w:rPr>
          <w:rFonts w:ascii="Arial" w:hAnsi="Arial" w:cs="Arial"/>
          <w:color w:val="7B7B7B" w:themeColor="accent3" w:themeShade="BF"/>
          <w:sz w:val="22"/>
          <w:szCs w:val="22"/>
          <w:lang w:val="en-GB"/>
        </w:rPr>
      </w:pPr>
    </w:p>
    <w:p w:rsidR="00323167" w:rsidP="00DC359F" w:rsidRDefault="00323167" w14:paraId="1A185DEA" w14:textId="20A0A1FA">
      <w:pPr>
        <w:pStyle w:val="AODocTxt"/>
        <w:numPr>
          <w:ilvl w:val="0"/>
          <w:numId w:val="12"/>
        </w:numPr>
        <w:spacing w:before="0" w:line="240" w:lineRule="auto"/>
        <w:ind w:left="426"/>
        <w:rPr>
          <w:rFonts w:ascii="Arial" w:hAnsi="Arial" w:cs="Arial"/>
        </w:rPr>
      </w:pPr>
      <w:r w:rsidRPr="00DC359F">
        <w:rPr>
          <w:rFonts w:ascii="Arial" w:hAnsi="Arial" w:cs="Arial"/>
        </w:rPr>
        <w:lastRenderedPageBreak/>
        <w:t>Which cause of action requires that the debtor be presumed or proven to have been insolvent at the time of the transfer?</w:t>
      </w:r>
    </w:p>
    <w:p w:rsidRPr="00DC359F" w:rsidR="00DC359F" w:rsidP="00DC359F" w:rsidRDefault="00DC359F" w14:paraId="4D72C26B" w14:textId="77777777">
      <w:pPr>
        <w:pStyle w:val="AODocTxt"/>
        <w:spacing w:before="0" w:line="240" w:lineRule="auto"/>
        <w:rPr>
          <w:rFonts w:ascii="Arial" w:hAnsi="Arial" w:cs="Arial"/>
        </w:rPr>
      </w:pPr>
    </w:p>
    <w:p w:rsidRPr="00FF5098" w:rsidR="005B2A9B" w:rsidP="7CF14EE0" w:rsidRDefault="005B2A9B" w14:paraId="0D62D82C" w14:textId="09F0A58A">
      <w:pPr>
        <w:ind w:firstLine="426"/>
        <w:jc w:val="both"/>
        <w:rPr>
          <w:rFonts w:ascii="Arial" w:hAnsi="Arial" w:cs="Arial"/>
          <w:color w:val="7B7B7B" w:themeColor="accent3" w:themeTint="FF" w:themeShade="BF"/>
          <w:sz w:val="22"/>
          <w:szCs w:val="22"/>
          <w:lang w:val="en-GB"/>
        </w:rPr>
      </w:pPr>
      <w:r w:rsidRPr="7CF14EE0" w:rsidR="7CF14EE0">
        <w:rPr>
          <w:rFonts w:ascii="Arial" w:hAnsi="Arial" w:cs="Arial"/>
          <w:color w:val="7B7B7B" w:themeColor="accent3" w:themeTint="FF" w:themeShade="BF"/>
          <w:sz w:val="22"/>
          <w:szCs w:val="22"/>
          <w:lang w:val="en-GB"/>
        </w:rPr>
        <w:t>[Preference. To establish this cause of action, the debtor must be (presumed or proven) insolvent at the time of the transfer.</w:t>
      </w:r>
    </w:p>
    <w:p w:rsidRPr="00FF5098" w:rsidR="005B2A9B" w:rsidP="7CF14EE0" w:rsidRDefault="005B2A9B" w14:paraId="55941E94" w14:textId="26EDEDDF">
      <w:pPr>
        <w:ind w:firstLine="426"/>
        <w:jc w:val="both"/>
        <w:rPr>
          <w:rFonts w:ascii="Arial" w:hAnsi="Arial" w:cs="Arial"/>
          <w:color w:val="7B7B7B" w:themeColor="accent3" w:themeTint="FF" w:themeShade="BF"/>
          <w:sz w:val="22"/>
          <w:szCs w:val="22"/>
          <w:lang w:val="en-GB"/>
        </w:rPr>
      </w:pPr>
    </w:p>
    <w:p w:rsidRPr="00FF5098" w:rsidR="005B2A9B" w:rsidP="005B2A9B" w:rsidRDefault="005B2A9B" w14:paraId="267C8555" w14:textId="24C67010">
      <w:pPr>
        <w:ind w:firstLine="426"/>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Fraudulent and constructive fraudulent conveyancing may be established if the debtor is not insolvent at the time of the transaction but becomes insolvent as a result of the transfer.]</w:t>
      </w:r>
    </w:p>
    <w:p w:rsidR="00DC359F" w:rsidP="00DC359F" w:rsidRDefault="00DC359F" w14:paraId="76059889" w14:textId="6B9EA960">
      <w:pPr>
        <w:pStyle w:val="AODocTxt"/>
        <w:spacing w:before="0" w:line="240" w:lineRule="auto"/>
        <w:ind w:firstLine="426"/>
        <w:rPr>
          <w:rFonts w:ascii="Arial" w:hAnsi="Arial" w:cs="Arial"/>
          <w:highlight w:val="yellow"/>
        </w:rPr>
      </w:pPr>
    </w:p>
    <w:p w:rsidRPr="00323167" w:rsidR="005B2A9B" w:rsidP="00DC359F" w:rsidRDefault="005B2A9B" w14:paraId="40D4A9CE" w14:textId="77777777">
      <w:pPr>
        <w:pStyle w:val="AODocTxt"/>
        <w:spacing w:before="0" w:line="240" w:lineRule="auto"/>
        <w:ind w:firstLine="426"/>
        <w:rPr>
          <w:rFonts w:ascii="Arial" w:hAnsi="Arial" w:cs="Arial"/>
          <w:highlight w:val="yellow"/>
        </w:rPr>
      </w:pPr>
    </w:p>
    <w:p w:rsidR="00323167" w:rsidP="00DC359F" w:rsidRDefault="00323167" w14:paraId="730D552B" w14:textId="4FB9BC86">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rsidRPr="00DC359F" w:rsidR="00DC359F" w:rsidP="00DC359F" w:rsidRDefault="00DC359F" w14:paraId="23824B28" w14:textId="77777777">
      <w:pPr>
        <w:pStyle w:val="AODocTxt"/>
        <w:spacing w:before="0" w:line="240" w:lineRule="auto"/>
        <w:rPr>
          <w:rFonts w:ascii="Arial" w:hAnsi="Arial" w:cs="Arial"/>
        </w:rPr>
      </w:pPr>
    </w:p>
    <w:p w:rsidRPr="00FF5098" w:rsidR="005B2A9B" w:rsidP="005B2A9B" w:rsidRDefault="005B2A9B" w14:paraId="68F89BF6" w14:textId="14726AB3">
      <w:pPr>
        <w:ind w:firstLine="426"/>
        <w:jc w:val="both"/>
        <w:rPr>
          <w:rFonts w:ascii="Arial" w:hAnsi="Arial" w:cs="Arial"/>
          <w:color w:val="7B7B7B" w:themeColor="accent3" w:themeShade="BF"/>
          <w:sz w:val="22"/>
          <w:szCs w:val="22"/>
          <w:lang w:val="en-GB"/>
        </w:rPr>
      </w:pPr>
      <w:r w:rsidRPr="7CF14EE0" w:rsidR="7CF14EE0">
        <w:rPr>
          <w:rFonts w:ascii="Arial" w:hAnsi="Arial" w:cs="Arial"/>
          <w:color w:val="7B7B7B" w:themeColor="accent3" w:themeTint="FF" w:themeShade="BF"/>
          <w:sz w:val="22"/>
          <w:szCs w:val="22"/>
          <w:lang w:val="en-GB"/>
        </w:rPr>
        <w:t>[Fraudulent conveyances require proof of actual intent to hinder, delay or defraud a creditor.]</w:t>
      </w:r>
    </w:p>
    <w:p w:rsidR="00323167" w:rsidP="00323167" w:rsidRDefault="00323167" w14:paraId="6A32F1E1" w14:textId="3F7C4098">
      <w:pPr>
        <w:pStyle w:val="AODocTxt"/>
        <w:spacing w:before="0" w:line="240" w:lineRule="auto"/>
        <w:rPr>
          <w:rFonts w:ascii="Arial" w:hAnsi="Arial" w:cs="Arial"/>
        </w:rPr>
      </w:pPr>
    </w:p>
    <w:p w:rsidRPr="00323167" w:rsidR="005B2A9B" w:rsidP="00323167" w:rsidRDefault="005B2A9B" w14:paraId="1CC6EE8C" w14:textId="77777777">
      <w:pPr>
        <w:pStyle w:val="AODocTxt"/>
        <w:spacing w:before="0" w:line="240" w:lineRule="auto"/>
        <w:rPr>
          <w:rFonts w:ascii="Arial" w:hAnsi="Arial" w:cs="Arial"/>
        </w:rPr>
      </w:pPr>
    </w:p>
    <w:p w:rsidRPr="00323167" w:rsidR="00323167" w:rsidP="00323167" w:rsidRDefault="00323167" w14:paraId="3F763D13" w14:textId="7777777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rsidR="00DC359F" w:rsidP="00323167" w:rsidRDefault="00DC359F" w14:paraId="75F9E997" w14:textId="77777777">
      <w:pPr>
        <w:pStyle w:val="AODocTxt"/>
        <w:spacing w:before="0" w:line="240" w:lineRule="auto"/>
        <w:rPr>
          <w:rFonts w:ascii="Arial" w:hAnsi="Arial" w:cs="Arial"/>
          <w:b/>
          <w:lang w:val="en-GB"/>
        </w:rPr>
      </w:pPr>
    </w:p>
    <w:p w:rsidRPr="00323167" w:rsidR="00323167" w:rsidP="00323167" w:rsidRDefault="00323167" w14:paraId="3611D0CE" w14:textId="5E9ADC15">
      <w:pPr>
        <w:pStyle w:val="AODocTxt"/>
        <w:spacing w:before="0" w:line="240" w:lineRule="auto"/>
        <w:rPr>
          <w:rFonts w:ascii="Arial" w:hAnsi="Arial" w:cs="Arial"/>
          <w:b/>
          <w:lang w:val="en-GB"/>
        </w:rPr>
      </w:pPr>
      <w:r w:rsidRPr="00323167">
        <w:rPr>
          <w:rFonts w:ascii="Arial" w:hAnsi="Arial" w:cs="Arial"/>
          <w:b/>
          <w:lang w:val="en-GB"/>
        </w:rPr>
        <w:t>Question 3.1 (3 marks)</w:t>
      </w:r>
    </w:p>
    <w:p w:rsidR="00DC359F" w:rsidP="00323167" w:rsidRDefault="00DC359F" w14:paraId="3B8DAEE7" w14:textId="77777777">
      <w:pPr>
        <w:pStyle w:val="AODocTxt"/>
        <w:spacing w:before="0" w:line="240" w:lineRule="auto"/>
        <w:rPr>
          <w:rFonts w:ascii="Arial" w:hAnsi="Arial" w:cs="Arial"/>
          <w:lang w:val="en-GB"/>
        </w:rPr>
      </w:pPr>
    </w:p>
    <w:p w:rsidR="00323167" w:rsidP="00323167" w:rsidRDefault="00323167" w14:paraId="64842C93" w14:textId="67E73110">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rsidR="00DC359F" w:rsidP="00323167" w:rsidRDefault="00DC359F" w14:paraId="32AC3555" w14:textId="1386DAA5">
      <w:pPr>
        <w:pStyle w:val="AODocTxt"/>
        <w:spacing w:before="0" w:line="240" w:lineRule="auto"/>
        <w:rPr>
          <w:rFonts w:ascii="Arial" w:hAnsi="Arial" w:cs="Arial"/>
          <w:lang w:val="en-GB"/>
        </w:rPr>
      </w:pPr>
    </w:p>
    <w:p w:rsidRPr="00FF5098" w:rsidR="005B2A9B" w:rsidP="7B43D7E7" w:rsidRDefault="005B2A9B" w14:paraId="7BE875C1" w14:textId="3F655084">
      <w:pPr>
        <w:jc w:val="both"/>
        <w:rPr>
          <w:rFonts w:ascii="Arial" w:hAnsi="Arial" w:cs="Arial"/>
          <w:color w:val="7B7B7B" w:themeColor="accent3" w:themeTint="FF" w:themeShade="BF"/>
          <w:sz w:val="22"/>
          <w:szCs w:val="22"/>
          <w:lang w:val="en-GB"/>
        </w:rPr>
      </w:pPr>
      <w:r w:rsidRPr="7CF14EE0" w:rsidR="7CF14EE0">
        <w:rPr>
          <w:rFonts w:ascii="Arial" w:hAnsi="Arial" w:cs="Arial"/>
          <w:color w:val="7B7B7B" w:themeColor="accent3" w:themeTint="FF" w:themeShade="BF"/>
          <w:sz w:val="22"/>
          <w:szCs w:val="22"/>
          <w:lang w:val="en-GB"/>
        </w:rPr>
        <w:t xml:space="preserve">[Prior to the decision in </w:t>
      </w:r>
      <w:r w:rsidRPr="7CF14EE0" w:rsidR="7CF14EE0">
        <w:rPr>
          <w:rFonts w:ascii="Arial" w:hAnsi="Arial" w:cs="Arial"/>
          <w:i w:val="1"/>
          <w:iCs w:val="1"/>
          <w:color w:val="7B7B7B" w:themeColor="accent3" w:themeTint="FF" w:themeShade="BF"/>
          <w:sz w:val="22"/>
          <w:szCs w:val="22"/>
          <w:lang w:val="en-GB"/>
        </w:rPr>
        <w:t>Stern v Marshall</w:t>
      </w:r>
      <w:r w:rsidRPr="7CF14EE0" w:rsidR="7CF14EE0">
        <w:rPr>
          <w:rFonts w:ascii="Arial" w:hAnsi="Arial" w:cs="Arial"/>
          <w:color w:val="7B7B7B" w:themeColor="accent3" w:themeTint="FF" w:themeShade="BF"/>
          <w:sz w:val="22"/>
          <w:szCs w:val="22"/>
          <w:lang w:val="en-GB"/>
        </w:rPr>
        <w:t xml:space="preserve">, it was widely believed that bankruptcy judges can hear and make final determinations in core proceedings as prescribed by federal statute. As to non-core proceedings, bankruptcy court may hear if they are sufficiently related to a bankruptcy proceeding, but cannot make final determination, instead, the bankruptcy judge must submit the proposed findings of facts and conclusions of law to district court, which has jurisdiction to make final determination. </w:t>
      </w:r>
    </w:p>
    <w:p w:rsidRPr="00FF5098" w:rsidR="005B2A9B" w:rsidP="7B43D7E7" w:rsidRDefault="005B2A9B" w14:paraId="1CABFD40" w14:textId="12C6CCC2">
      <w:pPr>
        <w:jc w:val="both"/>
        <w:rPr>
          <w:rFonts w:ascii="Arial" w:hAnsi="Arial" w:cs="Arial"/>
          <w:color w:val="7B7B7B" w:themeColor="accent3" w:themeTint="FF" w:themeShade="BF"/>
          <w:sz w:val="22"/>
          <w:szCs w:val="22"/>
          <w:lang w:val="en-GB"/>
        </w:rPr>
      </w:pPr>
    </w:p>
    <w:p w:rsidRPr="00FF5098" w:rsidR="005B2A9B" w:rsidP="7CF14EE0" w:rsidRDefault="005B2A9B" w14:paraId="6F8CBCA8" w14:textId="6CC442BD">
      <w:pPr>
        <w:pStyle w:val="Normal"/>
        <w:jc w:val="both"/>
        <w:rPr>
          <w:rFonts w:ascii="Arial" w:hAnsi="Arial" w:cs="Arial"/>
          <w:color w:val="7B7B7B" w:themeColor="accent3" w:themeTint="FF" w:themeShade="BF"/>
          <w:sz w:val="22"/>
          <w:szCs w:val="22"/>
          <w:lang w:val="en-GB"/>
        </w:rPr>
      </w:pPr>
      <w:r w:rsidRPr="4CA587D3" w:rsidR="4CA587D3">
        <w:rPr>
          <w:rFonts w:ascii="Arial" w:hAnsi="Arial" w:cs="Arial"/>
          <w:i w:val="0"/>
          <w:iCs w:val="0"/>
          <w:color w:val="7B7B7B" w:themeColor="accent3" w:themeTint="FF" w:themeShade="BF"/>
          <w:sz w:val="22"/>
          <w:szCs w:val="22"/>
          <w:lang w:val="en-GB"/>
        </w:rPr>
        <w:t xml:space="preserve">In </w:t>
      </w:r>
      <w:r w:rsidRPr="4CA587D3" w:rsidR="4CA587D3">
        <w:rPr>
          <w:rFonts w:ascii="Arial" w:hAnsi="Arial" w:cs="Arial"/>
          <w:i w:val="1"/>
          <w:iCs w:val="1"/>
          <w:color w:val="7B7B7B" w:themeColor="accent3" w:themeTint="FF" w:themeShade="BF"/>
          <w:sz w:val="22"/>
          <w:szCs w:val="22"/>
          <w:lang w:val="en-GB"/>
        </w:rPr>
        <w:t>Stern v Marshall</w:t>
      </w:r>
      <w:r w:rsidRPr="4CA587D3" w:rsidR="4CA587D3">
        <w:rPr>
          <w:rFonts w:ascii="Arial" w:hAnsi="Arial" w:cs="Arial"/>
          <w:color w:val="7B7B7B" w:themeColor="accent3" w:themeTint="FF" w:themeShade="BF"/>
          <w:sz w:val="22"/>
          <w:szCs w:val="22"/>
          <w:lang w:val="en-GB"/>
        </w:rPr>
        <w:t xml:space="preserve">, the US Supreme Court held under Article III of the constitution, only Article III courts can exercise judicial powers granted by Article III.  Bankruptcy courts were established by federal statute and not by Article III of the US Constitution, thus are not Article III courts and cannot exercise Article III judicial power. While Congress did retain the power to assign certain matters to non-Article III tribunals, this power was limited to rights created by federal statute (such as rights under the Bankruptcy Code), and </w:t>
      </w:r>
      <w:proofErr w:type="gramStart"/>
      <w:r w:rsidRPr="4CA587D3" w:rsidR="4CA587D3">
        <w:rPr>
          <w:rFonts w:ascii="Arial" w:hAnsi="Arial" w:cs="Arial"/>
          <w:color w:val="7B7B7B" w:themeColor="accent3" w:themeTint="FF" w:themeShade="BF"/>
          <w:sz w:val="22"/>
          <w:szCs w:val="22"/>
          <w:lang w:val="en-GB"/>
        </w:rPr>
        <w:t>not</w:t>
      </w:r>
      <w:proofErr w:type="gramEnd"/>
      <w:r w:rsidRPr="4CA587D3" w:rsidR="4CA587D3">
        <w:rPr>
          <w:rFonts w:ascii="Arial" w:hAnsi="Arial" w:cs="Arial"/>
          <w:color w:val="7B7B7B" w:themeColor="accent3" w:themeTint="FF" w:themeShade="BF"/>
          <w:sz w:val="22"/>
          <w:szCs w:val="22"/>
          <w:lang w:val="en-GB"/>
        </w:rPr>
        <w:t xml:space="preserve"> other rights subject to Article III jurisdiction (for example, state law counterclaims as in </w:t>
      </w:r>
      <w:r w:rsidRPr="4CA587D3" w:rsidR="4CA587D3">
        <w:rPr>
          <w:rFonts w:ascii="Arial" w:hAnsi="Arial" w:cs="Arial"/>
          <w:i w:val="1"/>
          <w:iCs w:val="1"/>
          <w:color w:val="7B7B7B" w:themeColor="accent3" w:themeTint="FF" w:themeShade="BF"/>
          <w:sz w:val="22"/>
          <w:szCs w:val="22"/>
          <w:lang w:val="en-GB"/>
        </w:rPr>
        <w:t>Stern v Marshall</w:t>
      </w:r>
      <w:r w:rsidRPr="4CA587D3" w:rsidR="4CA587D3">
        <w:rPr>
          <w:rFonts w:ascii="Arial" w:hAnsi="Arial" w:cs="Arial"/>
          <w:color w:val="7B7B7B" w:themeColor="accent3" w:themeTint="FF" w:themeShade="BF"/>
          <w:sz w:val="22"/>
          <w:szCs w:val="22"/>
          <w:lang w:val="en-GB"/>
        </w:rPr>
        <w:t>), even if they are part of the core proceedings prescribed by statute.</w:t>
      </w:r>
    </w:p>
    <w:p w:rsidRPr="00FF5098" w:rsidR="005B2A9B" w:rsidP="7B43D7E7" w:rsidRDefault="005B2A9B" w14:paraId="50E2B12D" w14:textId="5A874BD6">
      <w:pPr>
        <w:pStyle w:val="Normal"/>
        <w:jc w:val="both"/>
        <w:rPr>
          <w:rFonts w:ascii="Arial" w:hAnsi="Arial" w:cs="Arial"/>
          <w:color w:val="7B7B7B" w:themeColor="accent3" w:themeTint="FF" w:themeShade="BF"/>
          <w:sz w:val="22"/>
          <w:szCs w:val="22"/>
          <w:lang w:val="en-GB"/>
        </w:rPr>
      </w:pPr>
      <w:r w:rsidRPr="7CF14EE0" w:rsidR="7CF14EE0">
        <w:rPr>
          <w:rFonts w:ascii="Arial" w:hAnsi="Arial" w:cs="Arial"/>
          <w:color w:val="7B7B7B" w:themeColor="accent3" w:themeTint="FF" w:themeShade="BF"/>
          <w:sz w:val="22"/>
          <w:szCs w:val="22"/>
          <w:lang w:val="en-GB"/>
        </w:rPr>
        <w:t xml:space="preserve"> </w:t>
      </w:r>
    </w:p>
    <w:p w:rsidRPr="00FF5098" w:rsidR="005B2A9B" w:rsidP="7B43D7E7" w:rsidRDefault="005B2A9B" w14:paraId="3DDA6A84" w14:textId="52625DCD">
      <w:pPr>
        <w:pStyle w:val="Normal"/>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 xml:space="preserve">Following the </w:t>
      </w:r>
      <w:r w:rsidRPr="4CA587D3" w:rsidR="4CA587D3">
        <w:rPr>
          <w:rFonts w:ascii="Arial" w:hAnsi="Arial" w:cs="Arial"/>
          <w:i w:val="1"/>
          <w:iCs w:val="1"/>
          <w:color w:val="7B7B7B" w:themeColor="accent3" w:themeTint="FF" w:themeShade="BF"/>
          <w:sz w:val="22"/>
          <w:szCs w:val="22"/>
          <w:lang w:val="en-GB"/>
        </w:rPr>
        <w:t>Stern v Marshall</w:t>
      </w:r>
      <w:r w:rsidRPr="4CA587D3" w:rsidR="4CA587D3">
        <w:rPr>
          <w:rFonts w:ascii="Arial" w:hAnsi="Arial" w:cs="Arial"/>
          <w:color w:val="7B7B7B" w:themeColor="accent3" w:themeTint="FF" w:themeShade="BF"/>
          <w:sz w:val="22"/>
          <w:szCs w:val="22"/>
          <w:lang w:val="en-GB"/>
        </w:rPr>
        <w:t xml:space="preserve">, in relation to issues in core proceedings over which they lack constitutional </w:t>
      </w:r>
      <w:r w:rsidRPr="4CA587D3" w:rsidR="4CA587D3">
        <w:rPr>
          <w:rFonts w:ascii="Arial" w:hAnsi="Arial" w:cs="Arial"/>
          <w:color w:val="7B7B7B" w:themeColor="accent3" w:themeTint="FF" w:themeShade="BF"/>
          <w:sz w:val="22"/>
          <w:szCs w:val="22"/>
          <w:lang w:val="en-GB"/>
        </w:rPr>
        <w:t>authority, bankruptcy</w:t>
      </w:r>
      <w:r w:rsidRPr="4CA587D3" w:rsidR="4CA587D3">
        <w:rPr>
          <w:rFonts w:ascii="Arial" w:hAnsi="Arial" w:cs="Arial"/>
          <w:color w:val="7B7B7B" w:themeColor="accent3" w:themeTint="FF" w:themeShade="BF"/>
          <w:sz w:val="22"/>
          <w:szCs w:val="22"/>
          <w:lang w:val="en-GB"/>
        </w:rPr>
        <w:t xml:space="preserve"> courts must follow the procedure for non-core proceedings, which is to issue a report and recommendation for review by the district court. The Bankruptcy Rules have been amended to reflect this by requiring litigants to state in their pleadings whether they consent to the entry of final orders or judgment by the bankruptcy court, and by permitting a district court that determines that a bankruptcy court did not have jurisdiction to enter a final order to treat its order as proposed finding of facts and conclusions of law.]</w:t>
      </w:r>
    </w:p>
    <w:p w:rsidR="00DC359F" w:rsidP="00323167" w:rsidRDefault="00DC359F" w14:paraId="160A9EFB" w14:textId="7E277990">
      <w:pPr>
        <w:pStyle w:val="AODocTxt"/>
        <w:spacing w:before="0" w:line="240" w:lineRule="auto"/>
        <w:rPr>
          <w:rFonts w:ascii="Arial" w:hAnsi="Arial" w:cs="Arial"/>
          <w:lang w:val="en-GB"/>
        </w:rPr>
      </w:pPr>
    </w:p>
    <w:p w:rsidRPr="00323167" w:rsidR="005B2A9B" w:rsidP="00323167" w:rsidRDefault="005B2A9B" w14:paraId="4B6F7DE7" w14:textId="77777777">
      <w:pPr>
        <w:pStyle w:val="AODocTxt"/>
        <w:spacing w:before="0" w:line="240" w:lineRule="auto"/>
        <w:rPr>
          <w:rFonts w:ascii="Arial" w:hAnsi="Arial" w:cs="Arial"/>
          <w:lang w:val="en-GB"/>
        </w:rPr>
      </w:pPr>
    </w:p>
    <w:p w:rsidRPr="00323167" w:rsidR="00323167" w:rsidP="00323167" w:rsidRDefault="00323167" w14:paraId="7C4738B4" w14:textId="77777777">
      <w:pPr>
        <w:pStyle w:val="AODocTxt"/>
        <w:spacing w:before="0" w:line="240" w:lineRule="auto"/>
        <w:rPr>
          <w:rFonts w:ascii="Arial" w:hAnsi="Arial" w:cs="Arial"/>
          <w:b/>
        </w:rPr>
      </w:pPr>
      <w:r w:rsidRPr="00323167">
        <w:rPr>
          <w:rFonts w:ascii="Arial" w:hAnsi="Arial" w:cs="Arial"/>
          <w:b/>
        </w:rPr>
        <w:t>Question 3.2 (3 marks)</w:t>
      </w:r>
    </w:p>
    <w:p w:rsidR="00DC359F" w:rsidP="00323167" w:rsidRDefault="00DC359F" w14:paraId="7F9351A9" w14:textId="77777777">
      <w:pPr>
        <w:pStyle w:val="AODocTxt"/>
        <w:spacing w:before="0" w:line="240" w:lineRule="auto"/>
        <w:rPr>
          <w:rFonts w:ascii="Arial" w:hAnsi="Arial" w:cs="Arial"/>
        </w:rPr>
      </w:pPr>
    </w:p>
    <w:p w:rsidR="00323167" w:rsidP="00323167" w:rsidRDefault="00323167" w14:paraId="535752F1" w14:textId="11E7A1B2">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rsidR="00DC359F" w:rsidP="00323167" w:rsidRDefault="00DC359F" w14:paraId="04948270" w14:textId="505CAC7F">
      <w:pPr>
        <w:pStyle w:val="AODocTxt"/>
        <w:spacing w:before="0" w:line="240" w:lineRule="auto"/>
        <w:rPr>
          <w:rFonts w:ascii="Arial" w:hAnsi="Arial" w:cs="Arial"/>
        </w:rPr>
      </w:pPr>
    </w:p>
    <w:p w:rsidRPr="00FF5098" w:rsidR="005B2A9B" w:rsidP="7CF14EE0" w:rsidRDefault="005B2A9B" w14:paraId="1204123D" w14:textId="5911D60A">
      <w:pPr>
        <w:jc w:val="both"/>
        <w:rPr>
          <w:rFonts w:ascii="Arial" w:hAnsi="Arial" w:cs="Arial"/>
          <w:color w:val="7B7B7B" w:themeColor="accent3" w:themeTint="FF" w:themeShade="BF"/>
          <w:sz w:val="22"/>
          <w:szCs w:val="22"/>
          <w:lang w:val="en-GB"/>
        </w:rPr>
      </w:pPr>
      <w:r w:rsidRPr="7CF14EE0" w:rsidR="7CF14EE0">
        <w:rPr>
          <w:rFonts w:ascii="Arial" w:hAnsi="Arial" w:cs="Arial"/>
          <w:color w:val="7B7B7B" w:themeColor="accent3" w:themeTint="FF" w:themeShade="BF"/>
          <w:sz w:val="22"/>
          <w:szCs w:val="22"/>
          <w:lang w:val="en-GB"/>
        </w:rPr>
        <w:t>[A foreign representative cannot invoke the powers of avoidance of preferences, fraudulent conveyances and constructive fraudulent conveyances under the Bankruptcy Code in a chapter 15 proceeding.</w:t>
      </w:r>
    </w:p>
    <w:p w:rsidRPr="00FF5098" w:rsidR="005B2A9B" w:rsidP="7CF14EE0" w:rsidRDefault="005B2A9B" w14:paraId="2B9583E7" w14:textId="41AB6501">
      <w:pPr>
        <w:jc w:val="both"/>
        <w:rPr>
          <w:rFonts w:ascii="Arial" w:hAnsi="Arial" w:cs="Arial"/>
          <w:color w:val="7B7B7B" w:themeColor="accent3" w:themeTint="FF" w:themeShade="BF"/>
          <w:sz w:val="22"/>
          <w:szCs w:val="22"/>
          <w:lang w:val="en-GB"/>
        </w:rPr>
      </w:pPr>
    </w:p>
    <w:p w:rsidRPr="00FF5098" w:rsidR="005B2A9B" w:rsidP="7CF14EE0" w:rsidRDefault="005B2A9B" w14:paraId="69CF7221" w14:textId="1670D5EE">
      <w:pPr>
        <w:jc w:val="both"/>
        <w:rPr>
          <w:rFonts w:ascii="Arial" w:hAnsi="Arial" w:cs="Arial"/>
          <w:color w:val="7B7B7B" w:themeColor="accent3" w:themeTint="FF" w:themeShade="BF"/>
          <w:sz w:val="22"/>
          <w:szCs w:val="22"/>
          <w:lang w:val="en-GB"/>
        </w:rPr>
      </w:pPr>
      <w:r w:rsidRPr="7CF14EE0" w:rsidR="7CF14EE0">
        <w:rPr>
          <w:rFonts w:ascii="Arial" w:hAnsi="Arial" w:cs="Arial"/>
          <w:color w:val="7B7B7B" w:themeColor="accent3" w:themeTint="FF" w:themeShade="BF"/>
          <w:sz w:val="22"/>
          <w:szCs w:val="22"/>
          <w:lang w:val="en-GB"/>
        </w:rPr>
        <w:t>To obtain access to the Bankruptcy Code’s avoiding powers, the foreign representatives may commence a plenary proceeding such as chapter 7 or chapter 11.</w:t>
      </w:r>
    </w:p>
    <w:p w:rsidRPr="00FF5098" w:rsidR="005B2A9B" w:rsidP="7CF14EE0" w:rsidRDefault="005B2A9B" w14:paraId="3603C4B8" w14:textId="4FC8D96F">
      <w:pPr>
        <w:jc w:val="both"/>
        <w:rPr>
          <w:rFonts w:ascii="Arial" w:hAnsi="Arial" w:cs="Arial"/>
          <w:color w:val="7B7B7B" w:themeColor="accent3" w:themeTint="FF" w:themeShade="BF"/>
          <w:sz w:val="22"/>
          <w:szCs w:val="22"/>
          <w:lang w:val="en-GB"/>
        </w:rPr>
      </w:pPr>
    </w:p>
    <w:p w:rsidRPr="00FF5098" w:rsidR="005B2A9B" w:rsidP="7CF14EE0" w:rsidRDefault="005B2A9B" w14:paraId="4268B1B6" w14:textId="52035F6C">
      <w:pPr>
        <w:pStyle w:val="Normal"/>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The foreign representative may also use equivalent avoidance powers under applicable foreign law or other US l</w:t>
      </w:r>
      <w:r w:rsidRPr="4CA587D3" w:rsidR="4CA587D3">
        <w:rPr>
          <w:rFonts w:ascii="Arial" w:hAnsi="Arial" w:eastAsia="Times New Roman" w:cs="Arial" w:asciiTheme="minorAscii" w:hAnsiTheme="minorAscii" w:cstheme="minorBidi"/>
          <w:color w:val="7B7B7B" w:themeColor="accent3" w:themeTint="FF" w:themeShade="BF"/>
          <w:sz w:val="22"/>
          <w:szCs w:val="22"/>
          <w:lang w:val="en-GB"/>
        </w:rPr>
        <w:t>aw (</w:t>
      </w:r>
      <w:r w:rsidRPr="4CA587D3" w:rsidR="4CA587D3">
        <w:rPr>
          <w:rFonts w:ascii="Arial" w:hAnsi="Arial" w:eastAsia="Times New Roman" w:cs="Arial" w:asciiTheme="minorAscii" w:hAnsiTheme="minorAscii" w:cstheme="minorBidi"/>
          <w:color w:val="7B7B7B" w:themeColor="accent3" w:themeTint="FF" w:themeShade="BF"/>
          <w:sz w:val="22"/>
          <w:szCs w:val="22"/>
          <w:lang w:val="en-GB"/>
        </w:rPr>
        <w:t>F</w:t>
      </w:r>
      <w:r w:rsidRPr="4CA587D3" w:rsidR="4CA587D3">
        <w:rPr>
          <w:rFonts w:ascii="Arial" w:hAnsi="Arial" w:eastAsia="Times New Roman" w:cs="Arial" w:asciiTheme="minorAscii" w:hAnsiTheme="minorAscii" w:cstheme="minorBidi"/>
          <w:i w:val="1"/>
          <w:iCs w:val="1"/>
          <w:color w:val="7B7B7B" w:themeColor="accent3" w:themeTint="FF" w:themeShade="BF"/>
          <w:sz w:val="22"/>
          <w:szCs w:val="22"/>
          <w:lang w:val="en-GB"/>
        </w:rPr>
        <w:t xml:space="preserve">ogerty v.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Petroquest</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Resources, Inc.</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601 F.3d 319 (5th Cir. 2010);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Massa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Falida</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do Banco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Cruzerio</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do Su</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l</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S.A.</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No. :14-22974-BKC-LMI, 2017 WL 1102814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S.D. Fla. Mar. 23, 2017)</w:t>
      </w:r>
      <w:r w:rsidRPr="4CA587D3" w:rsidR="4CA587D3">
        <w:rPr>
          <w:rFonts w:ascii="Calibri" w:hAnsi="Calibri" w:eastAsia="Times New Roman" w:cs="" w:asciiTheme="minorAscii" w:hAnsiTheme="minorAscii" w:cstheme="minorBidi"/>
          <w:noProof w:val="0"/>
          <w:color w:val="7B7B7B" w:themeColor="accent3" w:themeTint="FF" w:themeShade="BF"/>
          <w:sz w:val="22"/>
          <w:szCs w:val="22"/>
          <w:lang w:val="en-GB"/>
        </w:rPr>
        <w:t>]</w:t>
      </w:r>
    </w:p>
    <w:p w:rsidR="00DC359F" w:rsidP="00323167" w:rsidRDefault="00DC359F" w14:paraId="4844DDA4" w14:textId="05DC7DC8">
      <w:pPr>
        <w:pStyle w:val="AODocTxt"/>
        <w:spacing w:before="0" w:line="240" w:lineRule="auto"/>
        <w:rPr>
          <w:rFonts w:ascii="Arial" w:hAnsi="Arial" w:cs="Arial"/>
        </w:rPr>
      </w:pPr>
    </w:p>
    <w:p w:rsidRPr="00323167" w:rsidR="005B2A9B" w:rsidP="00323167" w:rsidRDefault="005B2A9B" w14:paraId="76D20C70" w14:textId="77777777">
      <w:pPr>
        <w:pStyle w:val="AODocTxt"/>
        <w:spacing w:before="0" w:line="240" w:lineRule="auto"/>
        <w:rPr>
          <w:rFonts w:ascii="Arial" w:hAnsi="Arial" w:cs="Arial"/>
        </w:rPr>
      </w:pPr>
    </w:p>
    <w:p w:rsidRPr="00323167" w:rsidR="00323167" w:rsidP="00323167" w:rsidRDefault="00323167" w14:paraId="55FF271F" w14:textId="77777777">
      <w:pPr>
        <w:pStyle w:val="AODocTxt"/>
        <w:spacing w:before="0" w:line="240" w:lineRule="auto"/>
        <w:rPr>
          <w:rFonts w:ascii="Arial" w:hAnsi="Arial" w:cs="Arial"/>
          <w:b/>
          <w:lang w:val="en-GB"/>
        </w:rPr>
      </w:pPr>
      <w:r w:rsidRPr="00323167">
        <w:rPr>
          <w:rFonts w:ascii="Arial" w:hAnsi="Arial" w:cs="Arial"/>
          <w:b/>
          <w:lang w:val="en-GB"/>
        </w:rPr>
        <w:t>Question 3.3 (4 marks)</w:t>
      </w:r>
    </w:p>
    <w:p w:rsidRPr="00323167" w:rsidR="00323167" w:rsidP="00323167" w:rsidRDefault="00323167" w14:paraId="388CA11C" w14:textId="77777777">
      <w:pPr>
        <w:pStyle w:val="AODocTxt"/>
        <w:spacing w:before="0" w:line="240" w:lineRule="auto"/>
        <w:rPr>
          <w:rFonts w:ascii="Arial" w:hAnsi="Arial" w:cs="Arial"/>
        </w:rPr>
      </w:pPr>
    </w:p>
    <w:p w:rsidRPr="00323167" w:rsidR="00323167" w:rsidP="00323167" w:rsidRDefault="00323167" w14:paraId="060D88A4" w14:textId="0B6168D8">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rsidR="00323167" w:rsidP="00323167" w:rsidRDefault="00323167" w14:paraId="503FAA68" w14:textId="14F7AE67">
      <w:pPr>
        <w:pStyle w:val="AODocTxt"/>
        <w:spacing w:before="0" w:line="240" w:lineRule="auto"/>
        <w:rPr>
          <w:rFonts w:ascii="Arial" w:hAnsi="Arial" w:cs="Arial"/>
        </w:rPr>
      </w:pPr>
    </w:p>
    <w:p w:rsidRPr="00FF5098" w:rsidR="005B2A9B" w:rsidP="7B43D7E7" w:rsidRDefault="005B2A9B" w14:paraId="30CCB618" w14:textId="52752E2D">
      <w:pPr>
        <w:pStyle w:val="Normal"/>
        <w:jc w:val="both"/>
        <w:rPr>
          <w:rFonts w:ascii="Calibri" w:hAnsi="Calibri" w:eastAsia="Times New Roman" w:cs=""/>
          <w:color w:val="7B7B7B" w:themeColor="accent3" w:themeTint="FF" w:themeShade="BF"/>
          <w:sz w:val="20"/>
          <w:szCs w:val="20"/>
          <w:lang w:val="en-GB"/>
        </w:rPr>
      </w:pPr>
      <w:r w:rsidRPr="4CA587D3" w:rsidR="4CA587D3">
        <w:rPr>
          <w:rFonts w:ascii="Arial" w:hAnsi="Arial" w:cs="Arial"/>
          <w:color w:val="7B7B7B" w:themeColor="accent3" w:themeTint="FF" w:themeShade="BF"/>
          <w:sz w:val="22"/>
          <w:szCs w:val="22"/>
          <w:lang w:val="en-GB"/>
        </w:rPr>
        <w:t>[Final orders are those that dispose of all issues, leaving nothing further to be determined. Interlocutory orders resolve only some issues or claims. Final orders can be appealed as of right, and interlocutory orders may only be appealed with leave of the appellate court. In bankruptcy proceedings, order resolving a discrete dispute is a final order for appeals purposes (</w:t>
      </w:r>
      <w:r w:rsidRPr="4CA587D3" w:rsidR="4CA587D3">
        <w:rPr>
          <w:rFonts w:ascii="Arial" w:hAnsi="Arial" w:cs="Arial"/>
          <w:i w:val="1"/>
          <w:iCs w:val="1"/>
          <w:color w:val="7B7B7B" w:themeColor="accent3" w:themeTint="FF" w:themeShade="BF"/>
          <w:sz w:val="22"/>
          <w:szCs w:val="22"/>
          <w:lang w:val="en-GB"/>
        </w:rPr>
        <w:t>Bullard v Blue Hills Bank</w:t>
      </w:r>
      <w:r w:rsidRPr="4CA587D3" w:rsidR="4CA587D3">
        <w:rPr>
          <w:rFonts w:ascii="Arial" w:hAnsi="Arial" w:cs="Arial"/>
          <w:color w:val="7B7B7B" w:themeColor="accent3" w:themeTint="FF" w:themeShade="BF"/>
          <w:sz w:val="22"/>
          <w:szCs w:val="22"/>
          <w:lang w:val="en-GB"/>
        </w:rPr>
        <w:t>, 135 S Ct 1686(2015)).</w:t>
      </w:r>
    </w:p>
    <w:p w:rsidRPr="00FF5098" w:rsidR="005B2A9B" w:rsidP="7B43D7E7" w:rsidRDefault="005B2A9B" w14:paraId="0DE8AEFE" w14:textId="1EF156E2">
      <w:pPr>
        <w:pStyle w:val="Normal"/>
        <w:jc w:val="both"/>
        <w:rPr>
          <w:rFonts w:ascii="Calibri" w:hAnsi="Calibri" w:eastAsia="Times New Roman" w:cs=""/>
          <w:color w:val="7B7B7B" w:themeColor="accent3" w:themeTint="FF" w:themeShade="BF"/>
          <w:sz w:val="20"/>
          <w:szCs w:val="20"/>
          <w:lang w:val="en-GB"/>
        </w:rPr>
      </w:pPr>
    </w:p>
    <w:p w:rsidRPr="00FF5098" w:rsidR="005B2A9B" w:rsidP="7B43D7E7" w:rsidRDefault="005B2A9B" w14:paraId="4C9EE606" w14:textId="15E89C0F">
      <w:pPr>
        <w:pStyle w:val="Normal"/>
        <w:jc w:val="both"/>
        <w:rPr>
          <w:rFonts w:ascii="Arial" w:hAnsi="Arial" w:eastAsia="Times New Roman" w:cs="Arial"/>
          <w:color w:val="7B7B7B" w:themeColor="accent3" w:themeTint="FF" w:themeShade="BF"/>
          <w:sz w:val="22"/>
          <w:szCs w:val="22"/>
          <w:lang w:val="en-GB"/>
        </w:rPr>
      </w:pPr>
      <w:r w:rsidRPr="4CA587D3" w:rsidR="4CA587D3">
        <w:rPr>
          <w:rFonts w:ascii="Arial" w:hAnsi="Arial" w:eastAsia="Times New Roman" w:cs="Arial"/>
          <w:color w:val="7B7B7B" w:themeColor="accent3" w:themeTint="FF" w:themeShade="BF"/>
          <w:sz w:val="22"/>
          <w:szCs w:val="22"/>
          <w:lang w:val="en-GB"/>
        </w:rPr>
        <w:t xml:space="preserve">As to orders in a core proceeding, over which the bankruptcy court had constitutional authority to enter a final order, the conclusions of law are reviewed de novo and findings of fact are reviewed for abuse of discretion. As to orders in relation to an issue over which the bankruptcy court lacks constitutional authority, all findings of facts and conclusions of law to which a party has objected are reviewed de novo.  </w:t>
      </w:r>
    </w:p>
    <w:p w:rsidRPr="00FF5098" w:rsidR="005B2A9B" w:rsidP="7B43D7E7" w:rsidRDefault="005B2A9B" w14:paraId="7B8B0F06" w14:textId="1C0FA438">
      <w:pPr>
        <w:pStyle w:val="Normal"/>
        <w:jc w:val="both"/>
        <w:rPr>
          <w:rFonts w:ascii="Calibri" w:hAnsi="Calibri" w:eastAsia="Times New Roman" w:cs=""/>
          <w:color w:val="7B7B7B" w:themeColor="accent3" w:themeTint="FF" w:themeShade="BF"/>
          <w:sz w:val="20"/>
          <w:szCs w:val="20"/>
          <w:lang w:val="en-GB"/>
        </w:rPr>
      </w:pPr>
    </w:p>
    <w:p w:rsidRPr="00FF5098" w:rsidR="005B2A9B" w:rsidP="7B43D7E7" w:rsidRDefault="005B2A9B" w14:paraId="4B0336A1" w14:textId="1CBFC5EA">
      <w:pPr>
        <w:pStyle w:val="Normal"/>
        <w:jc w:val="both"/>
        <w:rPr>
          <w:rFonts w:ascii="Arial" w:hAnsi="Arial" w:cs="Arial"/>
          <w:color w:val="7B7B7B" w:themeColor="accent3" w:themeShade="BF"/>
          <w:sz w:val="22"/>
          <w:szCs w:val="22"/>
          <w:lang w:val="en-GB"/>
        </w:rPr>
      </w:pPr>
      <w:r w:rsidRPr="7B43D7E7" w:rsidR="7B43D7E7">
        <w:rPr>
          <w:rFonts w:ascii="Arial" w:hAnsi="Arial" w:eastAsia="Times New Roman" w:cs="Arial"/>
          <w:color w:val="7B7B7B" w:themeColor="accent3" w:themeTint="FF" w:themeShade="BF"/>
          <w:sz w:val="22"/>
          <w:szCs w:val="22"/>
          <w:lang w:val="en-GB"/>
        </w:rPr>
        <w:t>In general, appeals from bankruptcy courts are heard by the district court for the district in which they sit. In certain circuits, bankruptcy appeals are heard by a Bankruptcy Appellate Panel. There is a further appeal of right to the circuit court of appeals.]</w:t>
      </w:r>
    </w:p>
    <w:p w:rsidR="00DC359F" w:rsidP="00323167" w:rsidRDefault="00DC359F" w14:paraId="61EA3F29" w14:textId="1548617A">
      <w:pPr>
        <w:pStyle w:val="AODocTxt"/>
        <w:spacing w:before="0" w:line="240" w:lineRule="auto"/>
        <w:rPr>
          <w:rFonts w:ascii="Arial" w:hAnsi="Arial" w:cs="Arial"/>
        </w:rPr>
      </w:pPr>
    </w:p>
    <w:p w:rsidRPr="00323167" w:rsidR="005B2A9B" w:rsidP="00323167" w:rsidRDefault="005B2A9B" w14:paraId="14D04922" w14:textId="77777777">
      <w:pPr>
        <w:pStyle w:val="AODocTxt"/>
        <w:spacing w:before="0" w:line="240" w:lineRule="auto"/>
        <w:rPr>
          <w:rFonts w:ascii="Arial" w:hAnsi="Arial" w:cs="Arial"/>
        </w:rPr>
      </w:pPr>
    </w:p>
    <w:p w:rsidRPr="00323167" w:rsidR="00323167" w:rsidP="00323167" w:rsidRDefault="00323167" w14:paraId="0876AFA6" w14:textId="77777777">
      <w:pPr>
        <w:pStyle w:val="AODocTxt"/>
        <w:spacing w:before="0" w:line="240" w:lineRule="auto"/>
        <w:rPr>
          <w:rFonts w:ascii="Arial" w:hAnsi="Arial" w:cs="Arial"/>
          <w:b/>
        </w:rPr>
      </w:pPr>
      <w:r w:rsidRPr="00323167">
        <w:rPr>
          <w:rFonts w:ascii="Arial" w:hAnsi="Arial" w:cs="Arial"/>
          <w:b/>
        </w:rPr>
        <w:t xml:space="preserve">Question 3.4 (5 marks) </w:t>
      </w:r>
    </w:p>
    <w:p w:rsidR="00DC359F" w:rsidP="00323167" w:rsidRDefault="00DC359F" w14:paraId="1895D3EA" w14:textId="77777777">
      <w:pPr>
        <w:pStyle w:val="AODocTxt"/>
        <w:spacing w:before="0" w:line="240" w:lineRule="auto"/>
        <w:rPr>
          <w:rFonts w:ascii="Arial" w:hAnsi="Arial" w:cs="Arial"/>
        </w:rPr>
      </w:pPr>
    </w:p>
    <w:p w:rsidR="00323167" w:rsidP="00323167" w:rsidRDefault="00323167" w14:paraId="4C3D2A4D" w14:textId="46EF807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rsidR="00DC359F" w:rsidP="00323167" w:rsidRDefault="00DC359F" w14:paraId="6D202181" w14:textId="04B24E9F">
      <w:pPr>
        <w:pStyle w:val="AODocTxt"/>
        <w:spacing w:before="0" w:line="240" w:lineRule="auto"/>
        <w:rPr>
          <w:rFonts w:ascii="Arial" w:hAnsi="Arial" w:cs="Arial"/>
        </w:rPr>
      </w:pPr>
    </w:p>
    <w:p w:rsidRPr="00FF5098" w:rsidR="005B2A9B" w:rsidP="7CF14EE0" w:rsidRDefault="005B2A9B" w14:paraId="19935379" w14:textId="357E5AF4">
      <w:pPr>
        <w:pStyle w:val="Normal"/>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[Directors of Delaware corporations are subject to the fiduciary duties of care and duties of loyalty. Duty of care requires directors to make informed, deliberative decisions based on all material information reasonably available. Duty of loyalty requires director to act, on a disinterested and independent basis, in good faith with an honest belief that the action is in the best interest of the corporation and its shareholders. The duties are owed to the corporation and its shareholders in the ordinary course of business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Guth v. Loft</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5 A.2d 503, 510 (Del. 1939);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Malone v. Brincat</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hyperlink w:anchor="p10" r:id="Ra600698ba82d4342">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111</w:t>
        </w:r>
      </w:hyperlink>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A.2d 5, 10 (Del. 1998). When the corporation is potentially or actual insolvent, directors’ duties are still owed to the corporation and its shareholders, and not the creditors.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Nacepf</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v.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Gheewalla</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930 A.2d 92 (Del. 2007))]</w:t>
      </w:r>
    </w:p>
    <w:p w:rsidR="00323167" w:rsidP="00323167" w:rsidRDefault="00323167" w14:paraId="6D9F18C4" w14:textId="66F24CA5">
      <w:pPr>
        <w:pStyle w:val="AODocTxt"/>
        <w:spacing w:before="0" w:line="240" w:lineRule="auto"/>
        <w:rPr>
          <w:rFonts w:ascii="Arial" w:hAnsi="Arial" w:cs="Arial"/>
          <w:lang w:val="en-GB"/>
        </w:rPr>
      </w:pPr>
    </w:p>
    <w:p w:rsidRPr="00323167" w:rsidR="005B2A9B" w:rsidP="00323167" w:rsidRDefault="005B2A9B" w14:paraId="78734FEC" w14:textId="77777777">
      <w:pPr>
        <w:pStyle w:val="AODocTxt"/>
        <w:spacing w:before="0" w:line="240" w:lineRule="auto"/>
        <w:rPr>
          <w:rFonts w:ascii="Arial" w:hAnsi="Arial" w:cs="Arial"/>
          <w:lang w:val="en-GB"/>
        </w:rPr>
      </w:pPr>
    </w:p>
    <w:p w:rsidRPr="00323167" w:rsidR="00323167" w:rsidP="00323167" w:rsidRDefault="00323167" w14:paraId="0B85F70A" w14:textId="7777777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rsidR="00DC359F" w:rsidP="00323167" w:rsidRDefault="00DC359F" w14:paraId="5F56F2B5" w14:textId="77777777">
      <w:pPr>
        <w:pStyle w:val="AODocTxt"/>
        <w:spacing w:before="0" w:line="240" w:lineRule="auto"/>
        <w:rPr>
          <w:rFonts w:ascii="Arial" w:hAnsi="Arial" w:cs="Arial"/>
          <w:b/>
        </w:rPr>
      </w:pPr>
    </w:p>
    <w:p w:rsidRPr="00323167" w:rsidR="00323167" w:rsidP="00323167" w:rsidRDefault="00323167" w14:paraId="2D62FA66" w14:textId="06F425B3">
      <w:pPr>
        <w:pStyle w:val="AODocTxt"/>
        <w:spacing w:before="0" w:line="240" w:lineRule="auto"/>
        <w:rPr>
          <w:rFonts w:ascii="Arial" w:hAnsi="Arial" w:cs="Arial"/>
          <w:b/>
        </w:rPr>
      </w:pPr>
      <w:r w:rsidRPr="00323167">
        <w:rPr>
          <w:rFonts w:ascii="Arial" w:hAnsi="Arial" w:cs="Arial"/>
          <w:b/>
        </w:rPr>
        <w:t>Question 4.1 [4 marks]</w:t>
      </w:r>
    </w:p>
    <w:p w:rsidR="00DC359F" w:rsidP="00323167" w:rsidRDefault="00DC359F" w14:paraId="027BA529" w14:textId="77777777">
      <w:pPr>
        <w:pStyle w:val="AODocTxt"/>
        <w:spacing w:before="0" w:line="240" w:lineRule="auto"/>
        <w:rPr>
          <w:rFonts w:ascii="Arial" w:hAnsi="Arial" w:cs="Arial"/>
        </w:rPr>
      </w:pPr>
    </w:p>
    <w:p w:rsidR="00323167" w:rsidP="00323167" w:rsidRDefault="00323167" w14:paraId="492CE4A2" w14:textId="02A007B0">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lastRenderedPageBreak/>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rsidRPr="00323167" w:rsidR="00DC359F" w:rsidP="00323167" w:rsidRDefault="00DC359F" w14:paraId="14536E67" w14:textId="77777777">
      <w:pPr>
        <w:pStyle w:val="AODocTxt"/>
        <w:spacing w:before="0" w:line="240" w:lineRule="auto"/>
        <w:rPr>
          <w:rFonts w:ascii="Arial" w:hAnsi="Arial" w:cs="Arial"/>
        </w:rPr>
      </w:pPr>
    </w:p>
    <w:p w:rsidR="00323167" w:rsidP="00323167" w:rsidRDefault="00323167" w14:paraId="5A4C02ED" w14:textId="5FBF306B">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rsidR="00DC359F" w:rsidP="00323167" w:rsidRDefault="00DC359F" w14:paraId="44B17241" w14:textId="66790B57">
      <w:pPr>
        <w:pStyle w:val="AODocTxt"/>
        <w:spacing w:before="0" w:line="240" w:lineRule="auto"/>
        <w:rPr>
          <w:rFonts w:ascii="Arial" w:hAnsi="Arial" w:cs="Arial"/>
        </w:rPr>
      </w:pPr>
    </w:p>
    <w:p w:rsidRPr="00FF5098" w:rsidR="005B2A9B" w:rsidP="4CA587D3" w:rsidRDefault="005B2A9B" w14:paraId="54DC99CF" w14:textId="330C556A">
      <w:pPr>
        <w:jc w:val="both"/>
        <w:rPr>
          <w:rFonts w:ascii="Arial" w:hAnsi="Arial" w:cs="Arial"/>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[A foreign proceeding may be recognised under Chapter 15 if it satisfies the following requirements:</w:t>
      </w:r>
    </w:p>
    <w:p w:rsidRPr="00FF5098" w:rsidR="005B2A9B" w:rsidP="4CA587D3" w:rsidRDefault="005B2A9B" w14:paraId="1AC14526" w14:textId="3ABC1803">
      <w:pPr>
        <w:jc w:val="both"/>
        <w:rPr>
          <w:rFonts w:ascii="Arial" w:hAnsi="Arial" w:cs="Arial"/>
          <w:color w:val="7B7B7B" w:themeColor="accent3" w:themeTint="FF" w:themeShade="BF"/>
          <w:sz w:val="22"/>
          <w:szCs w:val="22"/>
          <w:lang w:val="en-GB"/>
        </w:rPr>
      </w:pPr>
    </w:p>
    <w:p w:rsidRPr="00FF5098" w:rsidR="005B2A9B" w:rsidP="4CA587D3" w:rsidRDefault="005B2A9B" w14:paraId="5A718862" w14:textId="5C4DAAEE">
      <w:pPr>
        <w:pStyle w:val="ListParagraph"/>
        <w:numPr>
          <w:ilvl w:val="0"/>
          <w:numId w:val="14"/>
        </w:numPr>
        <w:jc w:val="both"/>
        <w:rPr>
          <w:rFonts w:ascii="Calibri" w:hAnsi="Calibri" w:eastAsia="Calibri" w:cs="Calibri" w:asciiTheme="minorAscii" w:hAnsiTheme="minorAscii" w:eastAsiaTheme="minorAscii" w:cstheme="minorAscii"/>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A foreign proceeding with respect to the debtor is pending.</w:t>
      </w:r>
    </w:p>
    <w:p w:rsidRPr="00FF5098" w:rsidR="005B2A9B" w:rsidP="4CA587D3" w:rsidRDefault="005B2A9B" w14:paraId="2D1A4BBC" w14:textId="4F7597D7">
      <w:pPr>
        <w:pStyle w:val="ListParagraph"/>
        <w:numPr>
          <w:ilvl w:val="0"/>
          <w:numId w:val="14"/>
        </w:numPr>
        <w:jc w:val="both"/>
        <w:rPr>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The foreign representative is empowered to act by the proceeding.</w:t>
      </w:r>
    </w:p>
    <w:p w:rsidRPr="00FF5098" w:rsidR="005B2A9B" w:rsidP="4CA587D3" w:rsidRDefault="005B2A9B" w14:paraId="43E592BE" w14:textId="3D84EEFB">
      <w:pPr>
        <w:pStyle w:val="ListParagraph"/>
        <w:numPr>
          <w:ilvl w:val="0"/>
          <w:numId w:val="14"/>
        </w:numPr>
        <w:jc w:val="both"/>
        <w:rPr>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The foreign proceeding must be opened in the debtor’s centre of main interests (COMI) or where the debtor has an establishment.</w:t>
      </w:r>
    </w:p>
    <w:p w:rsidRPr="00FF5098" w:rsidR="005B2A9B" w:rsidP="4CA587D3" w:rsidRDefault="005B2A9B" w14:paraId="04C8344A" w14:textId="0A59E7CD">
      <w:pPr>
        <w:pStyle w:val="Normal"/>
        <w:ind w:left="0"/>
        <w:jc w:val="both"/>
        <w:rPr>
          <w:rFonts w:ascii="Calibri" w:hAnsi="Calibri" w:eastAsia="Times New Roman" w:cs=""/>
          <w:color w:val="7B7B7B" w:themeColor="accent3" w:themeTint="FF" w:themeShade="BF"/>
          <w:sz w:val="20"/>
          <w:szCs w:val="20"/>
          <w:lang w:val="en-GB"/>
        </w:rPr>
      </w:pPr>
    </w:p>
    <w:p w:rsidRPr="00FF5098" w:rsidR="005B2A9B" w:rsidP="4CA587D3" w:rsidRDefault="005B2A9B" w14:paraId="5F39CADD" w14:textId="3A0B74F5">
      <w:pPr>
        <w:pStyle w:val="Normal"/>
        <w:ind w:left="0"/>
        <w:jc w:val="both"/>
        <w:rPr>
          <w:rFonts w:ascii="Calibri" w:hAnsi="Calibri" w:eastAsia="Times New Roman" w:cs=""/>
          <w:color w:val="7B7B7B" w:themeColor="accent3" w:themeTint="FF" w:themeShade="BF"/>
          <w:sz w:val="20"/>
          <w:szCs w:val="20"/>
          <w:lang w:val="en-GB"/>
        </w:rPr>
      </w:pPr>
      <w:r w:rsidRPr="4CA587D3" w:rsidR="4CA587D3">
        <w:rPr>
          <w:rFonts w:ascii="Arial" w:hAnsi="Arial" w:eastAsia="Times New Roman" w:cs="Arial"/>
          <w:color w:val="7B7B7B" w:themeColor="accent3" w:themeTint="FF" w:themeShade="BF"/>
          <w:sz w:val="22"/>
          <w:szCs w:val="22"/>
          <w:lang w:val="en-GB"/>
        </w:rPr>
        <w:t xml:space="preserve">Assuming the chapter 15 petition will be made by a foreign representative. </w:t>
      </w:r>
    </w:p>
    <w:p w:rsidRPr="00FF5098" w:rsidR="005B2A9B" w:rsidP="4CA587D3" w:rsidRDefault="005B2A9B" w14:paraId="152B65A7" w14:textId="45566E00">
      <w:pPr>
        <w:pStyle w:val="Normal"/>
        <w:ind w:left="0"/>
        <w:jc w:val="both"/>
        <w:rPr>
          <w:rFonts w:ascii="Calibri" w:hAnsi="Calibri" w:eastAsia="Times New Roman" w:cs=""/>
          <w:color w:val="7B7B7B" w:themeColor="accent3" w:themeTint="FF" w:themeShade="BF"/>
          <w:sz w:val="20"/>
          <w:szCs w:val="20"/>
          <w:lang w:val="en-GB"/>
        </w:rPr>
      </w:pPr>
    </w:p>
    <w:p w:rsidRPr="00FF5098" w:rsidR="005B2A9B" w:rsidP="4CA587D3" w:rsidRDefault="005B2A9B" w14:paraId="7DC14F8B" w14:textId="01C90CE1">
      <w:pPr>
        <w:pStyle w:val="Normal"/>
        <w:ind w:left="0"/>
        <w:jc w:val="both"/>
        <w:rPr>
          <w:rFonts w:ascii="Calibri" w:hAnsi="Calibri" w:eastAsia="Times New Roman" w:cs=""/>
          <w:color w:val="7B7B7B" w:themeColor="accent3" w:themeTint="FF" w:themeShade="BF"/>
          <w:sz w:val="20"/>
          <w:szCs w:val="20"/>
          <w:lang w:val="en-GB"/>
        </w:rPr>
      </w:pPr>
      <w:r w:rsidRPr="4CA587D3" w:rsidR="4CA587D3">
        <w:rPr>
          <w:rFonts w:ascii="Arial" w:hAnsi="Arial" w:cs="Arial"/>
          <w:b w:val="1"/>
          <w:bCs w:val="1"/>
          <w:color w:val="7B7B7B" w:themeColor="accent3" w:themeTint="FF" w:themeShade="BF"/>
          <w:sz w:val="22"/>
          <w:szCs w:val="22"/>
          <w:u w:val="single"/>
          <w:lang w:val="en-GB"/>
        </w:rPr>
        <w:t>Foreign Proceeding</w:t>
      </w:r>
      <w:r w:rsidRPr="4CA587D3" w:rsidR="4CA587D3">
        <w:rPr>
          <w:rFonts w:ascii="Arial" w:hAnsi="Arial" w:cs="Arial"/>
          <w:b w:val="1"/>
          <w:bCs w:val="1"/>
          <w:color w:val="7B7B7B" w:themeColor="accent3" w:themeTint="FF" w:themeShade="BF"/>
          <w:sz w:val="22"/>
          <w:szCs w:val="22"/>
          <w:lang w:val="en-GB"/>
        </w:rPr>
        <w:t xml:space="preserve"> </w:t>
      </w:r>
      <w:r w:rsidRPr="4CA587D3" w:rsidR="4CA587D3">
        <w:rPr>
          <w:rFonts w:ascii="Arial" w:hAnsi="Arial" w:cs="Arial"/>
          <w:color w:val="7B7B7B" w:themeColor="accent3" w:themeTint="FF" w:themeShade="BF"/>
          <w:sz w:val="22"/>
          <w:szCs w:val="22"/>
          <w:lang w:val="en-GB"/>
        </w:rPr>
        <w:t xml:space="preserve"> </w:t>
      </w:r>
    </w:p>
    <w:p w:rsidRPr="00FF5098" w:rsidR="005B2A9B" w:rsidP="4CA587D3" w:rsidRDefault="005B2A9B" w14:paraId="15A88272" w14:textId="611D8026">
      <w:pPr>
        <w:pStyle w:val="Normal"/>
        <w:ind w:left="0"/>
        <w:jc w:val="both"/>
        <w:rPr>
          <w:rFonts w:ascii="Arial" w:hAnsi="Arial" w:cs="Arial"/>
          <w:color w:val="7B7B7B" w:themeColor="accent3" w:themeTint="FF" w:themeShade="BF"/>
          <w:sz w:val="22"/>
          <w:szCs w:val="22"/>
          <w:lang w:val="en-GB"/>
        </w:rPr>
      </w:pPr>
    </w:p>
    <w:p w:rsidRPr="00FF5098" w:rsidR="005B2A9B" w:rsidP="4CA587D3" w:rsidRDefault="005B2A9B" w14:paraId="29EC021F" w14:textId="556EB841">
      <w:pPr>
        <w:pStyle w:val="Normal"/>
        <w:ind w:left="0"/>
        <w:jc w:val="both"/>
        <w:rPr>
          <w:rFonts w:ascii="Calibri" w:hAnsi="Calibri" w:eastAsia="Times New Roman" w:cs=""/>
          <w:color w:val="7B7B7B" w:themeColor="accent3" w:themeTint="FF" w:themeShade="BF"/>
          <w:sz w:val="20"/>
          <w:szCs w:val="20"/>
          <w:lang w:val="en-GB"/>
        </w:rPr>
      </w:pPr>
      <w:r w:rsidRPr="4CA587D3" w:rsidR="4CA587D3">
        <w:rPr>
          <w:rFonts w:ascii="Arial" w:hAnsi="Arial" w:cs="Arial"/>
          <w:color w:val="7B7B7B" w:themeColor="accent3" w:themeTint="FF" w:themeShade="BF"/>
          <w:sz w:val="22"/>
          <w:szCs w:val="22"/>
          <w:lang w:val="en-GB"/>
        </w:rPr>
        <w:t xml:space="preserve">Foreign proceeding is defined by the Bankruptcy Code as a collective judicial or administrative proceeding in a foreign country under a law relating to insolvency or adjustment of debt in which proceeding the assets and affairs of the debtor are subject to control or supervision by a foreign court for the purpose of reorganisation or liquidation. </w:t>
      </w:r>
    </w:p>
    <w:p w:rsidRPr="00FF5098" w:rsidR="005B2A9B" w:rsidP="4CA587D3" w:rsidRDefault="005B2A9B" w14:paraId="771371AB" w14:textId="70E4ED33">
      <w:pPr>
        <w:pStyle w:val="Normal"/>
        <w:ind w:left="0"/>
        <w:jc w:val="both"/>
        <w:rPr>
          <w:rFonts w:ascii="Arial" w:hAnsi="Arial" w:cs="Arial"/>
          <w:color w:val="7B7B7B" w:themeColor="accent3" w:themeTint="FF" w:themeShade="BF"/>
          <w:sz w:val="22"/>
          <w:szCs w:val="22"/>
          <w:lang w:val="en-GB"/>
        </w:rPr>
      </w:pPr>
    </w:p>
    <w:p w:rsidRPr="00FF5098" w:rsidR="005B2A9B" w:rsidP="4CA587D3" w:rsidRDefault="005B2A9B" w14:paraId="47A8F1E0" w14:textId="779872DB">
      <w:pPr>
        <w:pStyle w:val="Normal"/>
        <w:jc w:val="left"/>
        <w:rPr>
          <w:rFonts w:ascii="Arial" w:hAnsi="Arial" w:cs="Arial"/>
          <w:color w:val="7B7B7B" w:themeColor="accent3" w:themeTint="FF" w:themeShade="BF"/>
          <w:sz w:val="22"/>
          <w:szCs w:val="22"/>
          <w:lang w:val="en-GB"/>
        </w:rPr>
      </w:pP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The English scheme of arrangement is judicial proceeding, for purpose of restructure Gambling Corp. The English scheme is subject to approval and sanction by English Court. The US courts have held that because the scheme itself is subject to approval by the foreign court, the requirement that the debtor’s assets and affairs are subject to control or supervision by a foreign court is satisfied. The English scheme is collective proceeding because it affects the interests of at least one group of creditors. The English law relating to scheme of arrangement is a law relating to the adjustment of debt because it permits the restructuring of a company’s debts. In light of above, English scheme of arrangement is a foreign proceeding under the US Bankruptcy Code. English scheme of arrangement has routinely been recognised as foreign proceedings in chapter 15 cases (see, </w:t>
      </w:r>
      <w:proofErr w:type="gram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e.g.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In re Avanti Commc'ns Grp. PLC</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582 B.R. 603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2018);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Metinvest</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B.V.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17–10130–LSS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D. Del. Feb. 8, 2017); In re DTK Finance (plc</w:t>
      </w:r>
      <w:proofErr w:type="gram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16–13521–</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shl</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Jan. 18, 2017);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Metinvest</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B.V. ,</w:t>
      </w:r>
      <w:proofErr w:type="gram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No. 16–11424–LSS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D. Del. Jun. 30, 2016); In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re Abengoa Concessions Investments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Limited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16–12590–</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kjc</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D. Del. Dec. 6, 2016);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YH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Limited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16–12262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Sep. 8, 2016);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Metinvest</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B.V.</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16–10105–LSS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D. Del. Jan. 29, 2016);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OIC Run–Off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Limited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15–13054–</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scc</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Jan. 11, 2016);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Codere Finance (UK)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Limited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15–13017–jig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Dec. 22, 2015);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Towergate Finance,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plc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Case No. 15–10509 (SMB)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Mar. 27, 2015);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New World Resources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N.V</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Case No. 14–12226 (SMB)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Sept. 9, 2014);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Zlomrex</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International Finance</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proofErr w:type="gram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S.A.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13–14138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Jan. 31, 2014);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Magyar Telecom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B.V.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13–13508, 2013 WL 10399944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S.D.N.Y. Dec. 11, 2013</w:t>
      </w:r>
      <w:proofErr w:type="gram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w:t>
      </w:r>
      <w:proofErr w:type="spell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Tokio</w:t>
      </w:r>
      <w:proofErr w:type="spell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Marine Europe Insurance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Ltd.</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11–13420 (MG)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Sept. 08, 2011);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Highlands Ins.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Co.(</w:t>
      </w:r>
      <w:proofErr w:type="gramEnd"/>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U.K.</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 </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07–13970 (MG)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S.D.N.Y. Aug. 18, 2009);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 xml:space="preserve">In re Castle Holdco 4, </w:t>
      </w:r>
      <w:proofErr w:type="gramStart"/>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Ltd. ,</w:t>
      </w:r>
      <w:proofErr w:type="gram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No. 09–11761 (REG) (</w:t>
      </w:r>
      <w:proofErr w:type="spellStart"/>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Bankr</w:t>
      </w:r>
      <w:proofErr w:type="spellEnd"/>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S.D.N.Y. May 7, 2009).</w:t>
      </w:r>
    </w:p>
    <w:p w:rsidRPr="00FF5098" w:rsidR="005B2A9B" w:rsidP="4CA587D3" w:rsidRDefault="005B2A9B" w14:paraId="7DD704A5" w14:textId="1C335889">
      <w:pPr>
        <w:pStyle w:val="Normal"/>
        <w:jc w:val="left"/>
        <w:rPr>
          <w:rFonts w:ascii="Calibri" w:hAnsi="Calibri" w:eastAsia="Times New Roman" w:cs=""/>
          <w:noProof w:val="0"/>
          <w:color w:val="7B7B7B" w:themeColor="accent3" w:themeTint="FF" w:themeShade="BF"/>
          <w:sz w:val="20"/>
          <w:szCs w:val="20"/>
          <w:lang w:val="en-GB"/>
        </w:rPr>
      </w:pPr>
    </w:p>
    <w:p w:rsidRPr="00FF5098" w:rsidR="005B2A9B" w:rsidP="4CA587D3" w:rsidRDefault="005B2A9B" w14:paraId="51B9A672" w14:textId="5A716251">
      <w:pPr>
        <w:pStyle w:val="Normal"/>
        <w:jc w:val="left"/>
        <w:rPr>
          <w:rFonts w:ascii="Arial" w:hAnsi="Arial" w:eastAsia="Times New Roman" w:cs="Arial" w:asciiTheme="minorAscii" w:hAnsiTheme="minorAscii" w:cstheme="minorBidi"/>
          <w:b w:val="1"/>
          <w:bCs w:val="1"/>
          <w:noProof w:val="0"/>
          <w:color w:val="7B7B7B" w:themeColor="accent3" w:themeTint="FF" w:themeShade="BF"/>
          <w:sz w:val="22"/>
          <w:szCs w:val="22"/>
          <w:u w:val="single"/>
          <w:lang w:val="en-GB"/>
        </w:rPr>
      </w:pPr>
      <w:r w:rsidRPr="4CA587D3" w:rsidR="4CA587D3">
        <w:rPr>
          <w:rFonts w:ascii="Arial" w:hAnsi="Arial" w:eastAsia="Times New Roman" w:cs="Arial" w:asciiTheme="minorAscii" w:hAnsiTheme="minorAscii" w:cstheme="minorBidi"/>
          <w:b w:val="1"/>
          <w:bCs w:val="1"/>
          <w:noProof w:val="0"/>
          <w:color w:val="7B7B7B" w:themeColor="accent3" w:themeTint="FF" w:themeShade="BF"/>
          <w:sz w:val="22"/>
          <w:szCs w:val="22"/>
          <w:u w:val="single"/>
          <w:lang w:val="en-GB"/>
        </w:rPr>
        <w:t>COMI and Establishment</w:t>
      </w:r>
    </w:p>
    <w:p w:rsidRPr="00FF5098" w:rsidR="005B2A9B" w:rsidP="4CA587D3" w:rsidRDefault="005B2A9B" w14:paraId="665E375F" w14:textId="3D23F6AA">
      <w:pPr>
        <w:pStyle w:val="Normal"/>
        <w:jc w:val="left"/>
        <w:rPr>
          <w:rFonts w:ascii="Arial" w:hAnsi="Arial" w:eastAsia="Times New Roman" w:cs="Arial" w:asciiTheme="minorAscii" w:hAnsiTheme="minorAscii" w:cstheme="minorBidi"/>
          <w:noProof w:val="0"/>
          <w:color w:val="7B7B7B" w:themeColor="accent3" w:themeTint="FF" w:themeShade="BF"/>
          <w:sz w:val="22"/>
          <w:szCs w:val="22"/>
          <w:lang w:val="en-GB"/>
        </w:rPr>
      </w:pPr>
    </w:p>
    <w:p w:rsidRPr="00FF5098" w:rsidR="005B2A9B" w:rsidP="4CA587D3" w:rsidRDefault="005B2A9B" w14:paraId="7DF6EA44" w14:textId="0FD6C4D6">
      <w:pPr>
        <w:pStyle w:val="Normal"/>
        <w:jc w:val="left"/>
        <w:rPr>
          <w:rFonts w:ascii="Arial" w:hAnsi="Arial" w:eastAsia="Times New Roman" w:cs="Arial" w:asciiTheme="minorAscii" w:hAnsiTheme="minorAscii" w:cstheme="minorBidi"/>
          <w:noProof w:val="0"/>
          <w:color w:val="7B7B7B" w:themeColor="accent3" w:themeTint="FF" w:themeShade="BF"/>
          <w:sz w:val="22"/>
          <w:szCs w:val="22"/>
          <w:lang w:val="en-GB"/>
        </w:rPr>
      </w:pP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A debtor’s COMI is presumed to its place of incorporation, here Greece. However, that can be rebutted. Though the bonds are governed by English law, it is unlikely that the COMI of Grambling Corp is in the UK, because Gambling Corp’s principal place of business is not in the UK and does not have any substantial operation in the UK. However, the place of COMI will be assessed at the date of the US petition, so the COMI may be shifted to the UK through the conduct of the English proceeding, for example, by appointing a provisional liquidator in the UK, moving the books and records to the UK, appointing local agents to marshal the debtor’s assets, and holding meetings with creditors and the debtor's management in the UK (</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I</w:t>
      </w:r>
      <w:r w:rsidRPr="4CA587D3" w:rsidR="4CA587D3">
        <w:rPr>
          <w:rFonts w:ascii="Arial" w:hAnsi="Arial" w:eastAsia="Times New Roman" w:cs="Arial" w:asciiTheme="minorAscii" w:hAnsiTheme="minorAscii" w:cstheme="minorBidi"/>
          <w:i w:val="1"/>
          <w:iCs w:val="1"/>
          <w:noProof w:val="0"/>
          <w:color w:val="7B7B7B" w:themeColor="accent3" w:themeTint="FF" w:themeShade="BF"/>
          <w:sz w:val="22"/>
          <w:szCs w:val="22"/>
          <w:lang w:val="en-GB"/>
        </w:rPr>
        <w:t>n re Ocean Rig UDW Inc.</w:t>
      </w: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 570 BR 687 (Bankr SDNY 2017). </w:t>
      </w:r>
    </w:p>
    <w:p w:rsidR="4CA587D3" w:rsidP="4CA587D3" w:rsidRDefault="4CA587D3" w14:paraId="20CB5D75" w14:textId="7D318537">
      <w:pPr>
        <w:pStyle w:val="Normal"/>
        <w:jc w:val="left"/>
        <w:rPr>
          <w:rFonts w:ascii="Calibri" w:hAnsi="Calibri" w:eastAsia="Times New Roman" w:cs=""/>
          <w:noProof w:val="0"/>
          <w:color w:val="7B7B7B" w:themeColor="accent3" w:themeTint="FF" w:themeShade="BF"/>
          <w:sz w:val="20"/>
          <w:szCs w:val="20"/>
          <w:lang w:val="en-GB"/>
        </w:rPr>
      </w:pPr>
    </w:p>
    <w:p w:rsidR="4CA587D3" w:rsidP="4CA587D3" w:rsidRDefault="4CA587D3" w14:paraId="5D791528" w14:textId="46840735">
      <w:pPr>
        <w:pStyle w:val="Normal"/>
        <w:jc w:val="left"/>
        <w:rPr>
          <w:rFonts w:ascii="Arial" w:hAnsi="Arial" w:eastAsia="Times New Roman" w:cs="Arial" w:asciiTheme="minorAscii" w:hAnsiTheme="minorAscii" w:cstheme="minorBidi"/>
          <w:noProof w:val="0"/>
          <w:color w:val="7B7B7B" w:themeColor="accent3" w:themeTint="FF" w:themeShade="BF"/>
          <w:sz w:val="22"/>
          <w:szCs w:val="22"/>
          <w:lang w:val="en-GB"/>
        </w:rPr>
      </w:pPr>
      <w:r w:rsidRPr="4CA587D3" w:rsidR="4CA587D3">
        <w:rPr>
          <w:rFonts w:ascii="Arial" w:hAnsi="Arial" w:eastAsia="Times New Roman" w:cs="Arial" w:asciiTheme="minorAscii" w:hAnsiTheme="minorAscii" w:cstheme="minorBidi"/>
          <w:noProof w:val="0"/>
          <w:color w:val="7B7B7B" w:themeColor="accent3" w:themeTint="FF" w:themeShade="BF"/>
          <w:sz w:val="22"/>
          <w:szCs w:val="22"/>
          <w:lang w:val="en-GB"/>
        </w:rPr>
        <w:t xml:space="preserve">Alternatively, English scheme of arrangement may be recognised as a foreign non-main proceeding if it can be established that Gambling Corp has an establishment in the UK. Under the US Bankruptcy Code, establishment means a place of operations where the debtor carries out a non-transitory economic activity. </w:t>
      </w:r>
    </w:p>
    <w:p w:rsidR="00323167" w:rsidP="00323167" w:rsidRDefault="00323167" w14:paraId="2C6FF013" w14:textId="3F5E95B4">
      <w:pPr>
        <w:pStyle w:val="AODocTxt"/>
        <w:spacing w:before="0" w:line="240" w:lineRule="auto"/>
        <w:rPr>
          <w:rFonts w:ascii="Arial" w:hAnsi="Arial" w:cs="Arial"/>
        </w:rPr>
      </w:pPr>
    </w:p>
    <w:p w:rsidRPr="00323167" w:rsidR="005B2A9B" w:rsidP="00323167" w:rsidRDefault="005B2A9B" w14:paraId="2AA1E732" w14:textId="77777777">
      <w:pPr>
        <w:pStyle w:val="AODocTxt"/>
        <w:spacing w:before="0" w:line="240" w:lineRule="auto"/>
        <w:rPr>
          <w:rFonts w:ascii="Arial" w:hAnsi="Arial" w:cs="Arial"/>
        </w:rPr>
      </w:pPr>
    </w:p>
    <w:p w:rsidRPr="00323167" w:rsidR="00323167" w:rsidP="00323167" w:rsidRDefault="00323167" w14:paraId="5D59D195" w14:textId="77777777">
      <w:pPr>
        <w:pStyle w:val="AODocTxt"/>
        <w:spacing w:before="0" w:line="240" w:lineRule="auto"/>
        <w:rPr>
          <w:rFonts w:ascii="Arial" w:hAnsi="Arial" w:cs="Arial"/>
        </w:rPr>
      </w:pPr>
      <w:r w:rsidRPr="00323167">
        <w:rPr>
          <w:rFonts w:ascii="Arial" w:hAnsi="Arial" w:cs="Arial"/>
          <w:b/>
        </w:rPr>
        <w:t>Question 4.2 [5 marks]</w:t>
      </w:r>
    </w:p>
    <w:p w:rsidR="00DC359F" w:rsidP="00323167" w:rsidRDefault="00DC359F" w14:paraId="16990BB2" w14:textId="77777777">
      <w:pPr>
        <w:pStyle w:val="AODocTxt"/>
        <w:spacing w:before="0" w:line="240" w:lineRule="auto"/>
        <w:rPr>
          <w:rFonts w:ascii="Arial" w:hAnsi="Arial" w:cs="Arial"/>
        </w:rPr>
      </w:pPr>
    </w:p>
    <w:p w:rsidR="00323167" w:rsidP="00323167" w:rsidRDefault="00323167" w14:paraId="59CA224F" w14:textId="4423C39D">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rsidR="00DC359F" w:rsidP="00323167" w:rsidRDefault="00DC359F" w14:paraId="3FFFE43A" w14:textId="56E352FF">
      <w:pPr>
        <w:pStyle w:val="AODocTxt"/>
        <w:spacing w:before="0" w:line="240" w:lineRule="auto"/>
        <w:rPr>
          <w:rFonts w:ascii="Arial" w:hAnsi="Arial" w:cs="Arial"/>
        </w:rPr>
      </w:pPr>
    </w:p>
    <w:p w:rsidRPr="00FF5098" w:rsidR="005B2A9B" w:rsidP="4CA587D3" w:rsidRDefault="005B2A9B" w14:paraId="4AEF82BE" w14:textId="1B37CAF3">
      <w:pPr>
        <w:pStyle w:val="Normal"/>
        <w:jc w:val="both"/>
        <w:rPr>
          <w:rFonts w:ascii="Arial" w:hAnsi="Arial" w:cs="Arial"/>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 xml:space="preserve">[Upon filing of the chapter 11 petition, a worldwide automatic stay will immediately come into effect. </w:t>
      </w:r>
    </w:p>
    <w:p w:rsidRPr="00FF5098" w:rsidR="005B2A9B" w:rsidP="4CA587D3" w:rsidRDefault="005B2A9B" w14:paraId="448CE07B" w14:textId="186499E8">
      <w:pPr>
        <w:pStyle w:val="Normal"/>
        <w:jc w:val="both"/>
        <w:rPr>
          <w:rFonts w:ascii="Arial" w:hAnsi="Arial" w:cs="Arial"/>
          <w:color w:val="7B7B7B" w:themeColor="accent3" w:themeTint="FF" w:themeShade="BF"/>
          <w:sz w:val="22"/>
          <w:szCs w:val="22"/>
          <w:lang w:val="en-GB"/>
        </w:rPr>
      </w:pPr>
    </w:p>
    <w:p w:rsidRPr="00FF5098" w:rsidR="005B2A9B" w:rsidP="4CA587D3" w:rsidRDefault="005B2A9B" w14:paraId="3F05559A" w14:textId="52309B6C">
      <w:pPr>
        <w:pStyle w:val="Normal"/>
        <w:jc w:val="both"/>
        <w:rPr>
          <w:rFonts w:ascii="Arial" w:hAnsi="Arial" w:cs="Arial"/>
          <w:color w:val="7B7B7B" w:themeColor="accent3" w:themeTint="FF" w:themeShade="BF"/>
          <w:sz w:val="22"/>
          <w:szCs w:val="22"/>
          <w:lang w:val="en-GB"/>
        </w:rPr>
      </w:pPr>
      <w:proofErr w:type="spellStart"/>
      <w:r w:rsidRPr="4CA587D3" w:rsidR="4CA587D3">
        <w:rPr>
          <w:rFonts w:ascii="Arial" w:hAnsi="Arial" w:cs="Arial"/>
          <w:color w:val="7B7B7B" w:themeColor="accent3" w:themeTint="FF" w:themeShade="BF"/>
          <w:sz w:val="22"/>
          <w:szCs w:val="22"/>
          <w:lang w:val="en-GB"/>
        </w:rPr>
        <w:t>ShipCo</w:t>
      </w:r>
      <w:proofErr w:type="spellEnd"/>
      <w:r w:rsidRPr="4CA587D3" w:rsidR="4CA587D3">
        <w:rPr>
          <w:rFonts w:ascii="Arial" w:hAnsi="Arial" w:cs="Arial"/>
          <w:color w:val="7B7B7B" w:themeColor="accent3" w:themeTint="FF" w:themeShade="BF"/>
          <w:sz w:val="22"/>
          <w:szCs w:val="22"/>
          <w:lang w:val="en-GB"/>
        </w:rPr>
        <w:t xml:space="preserve"> will be barred from continuing the breach of contract proceeding (11 US Code s 362(a)(1)).</w:t>
      </w:r>
    </w:p>
    <w:p w:rsidRPr="00FF5098" w:rsidR="005B2A9B" w:rsidP="4CA587D3" w:rsidRDefault="005B2A9B" w14:paraId="69034C7B" w14:textId="16BA84C4">
      <w:pPr>
        <w:pStyle w:val="Normal"/>
        <w:jc w:val="both"/>
        <w:rPr>
          <w:rFonts w:ascii="Arial" w:hAnsi="Arial" w:cs="Arial"/>
          <w:color w:val="7B7B7B" w:themeColor="accent3" w:themeTint="FF" w:themeShade="BF"/>
          <w:sz w:val="22"/>
          <w:szCs w:val="22"/>
          <w:lang w:val="en-GB"/>
        </w:rPr>
      </w:pPr>
    </w:p>
    <w:p w:rsidRPr="00FF5098" w:rsidR="005B2A9B" w:rsidP="4CA587D3" w:rsidRDefault="005B2A9B" w14:paraId="110D720C" w14:textId="11C1B32D">
      <w:pPr>
        <w:pStyle w:val="Normal"/>
        <w:jc w:val="both"/>
        <w:rPr>
          <w:rFonts w:ascii="Arial" w:hAnsi="Arial" w:cs="Arial"/>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DOJ may continue its investigation. The automatic stay does not apply to criminal investigation and criminal actions (11 US Code s 362(b)(1))</w:t>
      </w:r>
    </w:p>
    <w:p w:rsidRPr="00FF5098" w:rsidR="005B2A9B" w:rsidP="4CA587D3" w:rsidRDefault="005B2A9B" w14:paraId="243CDCC8" w14:textId="2B5E8682">
      <w:pPr>
        <w:pStyle w:val="Normal"/>
        <w:jc w:val="both"/>
        <w:rPr>
          <w:rFonts w:ascii="Arial" w:hAnsi="Arial" w:cs="Arial"/>
          <w:color w:val="7B7B7B" w:themeColor="accent3" w:themeTint="FF" w:themeShade="BF"/>
          <w:sz w:val="22"/>
          <w:szCs w:val="22"/>
          <w:lang w:val="en-GB"/>
        </w:rPr>
      </w:pPr>
    </w:p>
    <w:p w:rsidRPr="00FF5098" w:rsidR="005B2A9B" w:rsidP="4CA587D3" w:rsidRDefault="005B2A9B" w14:paraId="2863F626" w14:textId="40F2FD96">
      <w:pPr>
        <w:pStyle w:val="Normal"/>
        <w:jc w:val="both"/>
        <w:rPr>
          <w:rFonts w:ascii="Arial" w:hAnsi="Arial" w:cs="Arial"/>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Despite that the oil refinery is located in the Philippines, USA Bank is barred from foreclosing the refinery (11 US Code s 362(a)(</w:t>
      </w:r>
      <w:r w:rsidRPr="4CA587D3" w:rsidR="4CA587D3">
        <w:rPr>
          <w:rFonts w:ascii="Arial" w:hAnsi="Arial" w:cs="Arial"/>
          <w:color w:val="7B7B7B" w:themeColor="accent3" w:themeTint="FF" w:themeShade="BF"/>
          <w:sz w:val="22"/>
          <w:szCs w:val="22"/>
          <w:lang w:val="en-GB"/>
        </w:rPr>
        <w:t>4)&amp;</w:t>
      </w:r>
      <w:r w:rsidRPr="4CA587D3" w:rsidR="4CA587D3">
        <w:rPr>
          <w:rFonts w:ascii="Arial" w:hAnsi="Arial" w:cs="Arial"/>
          <w:color w:val="7B7B7B" w:themeColor="accent3" w:themeTint="FF" w:themeShade="BF"/>
          <w:sz w:val="22"/>
          <w:szCs w:val="22"/>
          <w:lang w:val="en-GB"/>
        </w:rPr>
        <w:t>(5). The automatic stay bars actions worldwide.</w:t>
      </w:r>
    </w:p>
    <w:p w:rsidRPr="00FF5098" w:rsidR="005B2A9B" w:rsidP="4CA587D3" w:rsidRDefault="005B2A9B" w14:paraId="073FA8F2" w14:textId="60E1EF34">
      <w:pPr>
        <w:pStyle w:val="Normal"/>
        <w:jc w:val="both"/>
        <w:rPr>
          <w:rFonts w:ascii="Arial" w:hAnsi="Arial" w:cs="Arial"/>
          <w:color w:val="7B7B7B" w:themeColor="accent3" w:themeTint="FF" w:themeShade="BF"/>
          <w:sz w:val="22"/>
          <w:szCs w:val="22"/>
          <w:lang w:val="en-GB"/>
        </w:rPr>
      </w:pPr>
    </w:p>
    <w:p w:rsidRPr="00FF5098" w:rsidR="005B2A9B" w:rsidP="4CA587D3" w:rsidRDefault="005B2A9B" w14:paraId="6A802C40" w14:textId="2A26D068">
      <w:pPr>
        <w:pStyle w:val="Normal"/>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The landlord is barred from evicting Oil Corp from the office space under 11 US Code s 362(a)(3), unless the term of the lease is otherwise expired (</w:t>
      </w:r>
      <w:proofErr w:type="gramStart"/>
      <w:r w:rsidRPr="4CA587D3" w:rsidR="4CA587D3">
        <w:rPr>
          <w:rFonts w:ascii="Arial" w:hAnsi="Arial" w:cs="Arial"/>
          <w:color w:val="7B7B7B" w:themeColor="accent3" w:themeTint="FF" w:themeShade="BF"/>
          <w:sz w:val="22"/>
          <w:szCs w:val="22"/>
          <w:lang w:val="en-GB"/>
        </w:rPr>
        <w:t>i.e.</w:t>
      </w:r>
      <w:proofErr w:type="gramEnd"/>
      <w:r w:rsidRPr="4CA587D3" w:rsidR="4CA587D3">
        <w:rPr>
          <w:rFonts w:ascii="Arial" w:hAnsi="Arial" w:cs="Arial"/>
          <w:color w:val="7B7B7B" w:themeColor="accent3" w:themeTint="FF" w:themeShade="BF"/>
          <w:sz w:val="22"/>
          <w:szCs w:val="22"/>
          <w:lang w:val="en-GB"/>
        </w:rPr>
        <w:t xml:space="preserve"> not terminated for non-payment of rent).]</w:t>
      </w:r>
    </w:p>
    <w:p w:rsidR="00323167" w:rsidP="00323167" w:rsidRDefault="00323167" w14:paraId="6742B999" w14:textId="7B659E91">
      <w:pPr>
        <w:pStyle w:val="AODocTxt"/>
        <w:spacing w:before="0" w:line="240" w:lineRule="auto"/>
        <w:rPr>
          <w:rFonts w:ascii="Arial" w:hAnsi="Arial" w:cs="Arial"/>
        </w:rPr>
      </w:pPr>
    </w:p>
    <w:p w:rsidRPr="00323167" w:rsidR="005B2A9B" w:rsidP="00323167" w:rsidRDefault="005B2A9B" w14:paraId="04811112" w14:textId="77777777">
      <w:pPr>
        <w:pStyle w:val="AODocTxt"/>
        <w:spacing w:before="0" w:line="240" w:lineRule="auto"/>
        <w:rPr>
          <w:rFonts w:ascii="Arial" w:hAnsi="Arial" w:cs="Arial"/>
        </w:rPr>
      </w:pPr>
    </w:p>
    <w:p w:rsidRPr="00323167" w:rsidR="00323167" w:rsidP="00323167" w:rsidRDefault="00323167" w14:paraId="05D71E4B" w14:textId="77777777">
      <w:pPr>
        <w:pStyle w:val="AODocTxt"/>
        <w:spacing w:before="0" w:line="240" w:lineRule="auto"/>
        <w:rPr>
          <w:rFonts w:ascii="Arial" w:hAnsi="Arial" w:cs="Arial"/>
        </w:rPr>
      </w:pPr>
      <w:r w:rsidRPr="00323167">
        <w:rPr>
          <w:rFonts w:ascii="Arial" w:hAnsi="Arial" w:cs="Arial"/>
          <w:b/>
        </w:rPr>
        <w:t>Question 4.3 [6 marks]</w:t>
      </w:r>
    </w:p>
    <w:p w:rsidR="003B7184" w:rsidP="00323167" w:rsidRDefault="003B7184" w14:paraId="55E6F214" w14:textId="77777777">
      <w:pPr>
        <w:pStyle w:val="AODocTxt"/>
        <w:spacing w:before="0" w:line="240" w:lineRule="auto"/>
        <w:rPr>
          <w:rFonts w:ascii="Arial" w:hAnsi="Arial" w:cs="Arial"/>
        </w:rPr>
      </w:pPr>
    </w:p>
    <w:p w:rsidR="00323167" w:rsidP="00323167" w:rsidRDefault="00323167" w14:paraId="28B1D274" w14:textId="27FFADAB">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rsidRPr="00323167" w:rsidR="003B7184" w:rsidP="00323167" w:rsidRDefault="003B7184" w14:paraId="4DB2D5B3" w14:textId="77777777">
      <w:pPr>
        <w:pStyle w:val="AODocTxt"/>
        <w:spacing w:before="0" w:line="240" w:lineRule="auto"/>
        <w:rPr>
          <w:rFonts w:ascii="Arial" w:hAnsi="Arial" w:cs="Arial"/>
        </w:rPr>
      </w:pPr>
    </w:p>
    <w:p w:rsidR="00323167" w:rsidP="00323167" w:rsidRDefault="00323167" w14:paraId="48E37040" w14:textId="68DC1898">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rsidR="003B7184" w:rsidP="00323167" w:rsidRDefault="003B7184" w14:paraId="5236B363" w14:textId="178CAE91">
      <w:pPr>
        <w:pStyle w:val="AODocTxt"/>
        <w:spacing w:before="0" w:line="240" w:lineRule="auto"/>
        <w:rPr>
          <w:rFonts w:ascii="Arial" w:hAnsi="Arial" w:cs="Arial"/>
        </w:rPr>
      </w:pPr>
    </w:p>
    <w:p w:rsidRPr="00FF5098" w:rsidR="005B2A9B" w:rsidP="4CA587D3" w:rsidRDefault="005B2A9B" w14:paraId="4C6E734F" w14:textId="24D3273A">
      <w:pPr>
        <w:pStyle w:val="Normal"/>
        <w:jc w:val="both"/>
        <w:rPr>
          <w:rFonts w:ascii="Arial" w:hAnsi="Arial" w:cs="Arial"/>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w:t>
      </w:r>
      <w:proofErr w:type="spellStart"/>
      <w:r w:rsidRPr="4CA587D3" w:rsidR="4CA587D3">
        <w:rPr>
          <w:rFonts w:ascii="Arial" w:hAnsi="Arial" w:cs="Arial"/>
          <w:color w:val="7B7B7B" w:themeColor="accent3" w:themeTint="FF" w:themeShade="BF"/>
          <w:sz w:val="22"/>
          <w:szCs w:val="22"/>
          <w:lang w:val="en-GB"/>
        </w:rPr>
        <w:t>i</w:t>
      </w:r>
      <w:proofErr w:type="spellEnd"/>
      <w:r w:rsidRPr="4CA587D3" w:rsidR="4CA587D3">
        <w:rPr>
          <w:rFonts w:ascii="Arial" w:hAnsi="Arial" w:cs="Arial"/>
          <w:color w:val="7B7B7B" w:themeColor="accent3" w:themeTint="FF" w:themeShade="BF"/>
          <w:sz w:val="22"/>
          <w:szCs w:val="22"/>
          <w:lang w:val="en-GB"/>
        </w:rPr>
        <w:t>) Because intellectual property licensing law provides that a trademark licensee can assign the benefit of an exclusive or non-exclusive trade mark licence only with the express consent of the licensor, Oil Corp as the licensee cannot assume and assign the trademark license without express consent of Plastic Corp (11 US Code s 365(c))</w:t>
      </w:r>
    </w:p>
    <w:p w:rsidRPr="00FF5098" w:rsidR="005B2A9B" w:rsidP="4CA587D3" w:rsidRDefault="005B2A9B" w14:paraId="37FDDA97" w14:textId="798D7431">
      <w:pPr>
        <w:pStyle w:val="Normal"/>
        <w:jc w:val="both"/>
        <w:rPr>
          <w:rFonts w:ascii="Arial" w:hAnsi="Arial" w:cs="Arial"/>
          <w:color w:val="7B7B7B" w:themeColor="accent3" w:themeTint="FF" w:themeShade="BF"/>
          <w:sz w:val="22"/>
          <w:szCs w:val="22"/>
          <w:lang w:val="en-GB"/>
        </w:rPr>
      </w:pPr>
    </w:p>
    <w:p w:rsidRPr="00FF5098" w:rsidR="005B2A9B" w:rsidP="4CA587D3" w:rsidRDefault="005B2A9B" w14:paraId="4AFB95AE" w14:textId="6CF4782E">
      <w:pPr>
        <w:pStyle w:val="Normal"/>
        <w:jc w:val="both"/>
        <w:rPr>
          <w:rFonts w:ascii="Arial" w:hAnsi="Arial" w:cs="Arial"/>
          <w:color w:val="7B7B7B" w:themeColor="accent3" w:themeTint="FF" w:themeShade="BF"/>
          <w:sz w:val="22"/>
          <w:szCs w:val="22"/>
          <w:lang w:val="en-GB"/>
        </w:rPr>
      </w:pPr>
      <w:r w:rsidRPr="4CA587D3" w:rsidR="4CA587D3">
        <w:rPr>
          <w:rFonts w:ascii="Arial" w:hAnsi="Arial" w:cs="Arial"/>
          <w:color w:val="7B7B7B" w:themeColor="accent3" w:themeTint="FF" w:themeShade="BF"/>
          <w:sz w:val="22"/>
          <w:szCs w:val="22"/>
          <w:lang w:val="en-GB"/>
        </w:rPr>
        <w:t>(ii) The patent licenses are executory contracts, because there are material unperformed obligations on both sides (</w:t>
      </w:r>
      <w:proofErr w:type="gramStart"/>
      <w:r w:rsidRPr="4CA587D3" w:rsidR="4CA587D3">
        <w:rPr>
          <w:rFonts w:ascii="Arial" w:hAnsi="Arial" w:cs="Arial"/>
          <w:color w:val="7B7B7B" w:themeColor="accent3" w:themeTint="FF" w:themeShade="BF"/>
          <w:sz w:val="22"/>
          <w:szCs w:val="22"/>
          <w:lang w:val="en-GB"/>
        </w:rPr>
        <w:t>i.e.</w:t>
      </w:r>
      <w:proofErr w:type="gramEnd"/>
      <w:r w:rsidRPr="4CA587D3" w:rsidR="4CA587D3">
        <w:rPr>
          <w:rFonts w:ascii="Arial" w:hAnsi="Arial" w:cs="Arial"/>
          <w:color w:val="7B7B7B" w:themeColor="accent3" w:themeTint="FF" w:themeShade="BF"/>
          <w:sz w:val="22"/>
          <w:szCs w:val="22"/>
          <w:lang w:val="en-GB"/>
        </w:rPr>
        <w:t xml:space="preserve"> Oil Corp is obliged to continue to make the patent available to Plastic Corp, and Plastic Corp is obliged to make payments </w:t>
      </w:r>
      <w:r w:rsidRPr="4CA587D3" w:rsidR="4CA587D3">
        <w:rPr>
          <w:rFonts w:ascii="Arial" w:hAnsi="Arial" w:cs="Arial"/>
          <w:color w:val="7B7B7B" w:themeColor="accent3" w:themeTint="FF" w:themeShade="BF"/>
          <w:sz w:val="22"/>
          <w:szCs w:val="22"/>
          <w:lang w:val="en-GB"/>
        </w:rPr>
        <w:t>in accordance with</w:t>
      </w:r>
      <w:r w:rsidRPr="4CA587D3" w:rsidR="4CA587D3">
        <w:rPr>
          <w:rFonts w:ascii="Arial" w:hAnsi="Arial" w:cs="Arial"/>
          <w:color w:val="7B7B7B" w:themeColor="accent3" w:themeTint="FF" w:themeShade="BF"/>
          <w:sz w:val="22"/>
          <w:szCs w:val="22"/>
          <w:lang w:val="en-GB"/>
        </w:rPr>
        <w:t xml:space="preserve"> the agreement). Under 11 US Code s 365(a), Oil Corp may reject the patent licenses, but Plastic Corp may elect (1) to treat such contract as terminated if such rejection amounts to such a breach as would entitle Plastic Cop to treat the licensing agreement as terminated; or (2) to retain its rights under the licensing agreement including a right to enforce the exclusivity provision of the agreement, but excluding the right to specific enforcement, for the duration of the agreement (11 US Code s 365(n)). In light of the aforesaid, without Plastic Corp’s consent, Oil Corp may not reject the patent licenses and grant the exclusive right to use the patents to the purchaser. </w:t>
      </w:r>
    </w:p>
    <w:p w:rsidRPr="00FF5098" w:rsidR="005B2A9B" w:rsidP="4CA587D3" w:rsidRDefault="005B2A9B" w14:paraId="6AC4B7A2" w14:textId="1568B6E1">
      <w:pPr>
        <w:pStyle w:val="Normal"/>
        <w:jc w:val="both"/>
        <w:rPr>
          <w:rFonts w:ascii="Arial" w:hAnsi="Arial" w:cs="Arial"/>
          <w:color w:val="7B7B7B" w:themeColor="accent3" w:themeTint="FF" w:themeShade="BF"/>
          <w:sz w:val="22"/>
          <w:szCs w:val="22"/>
          <w:lang w:val="en-GB"/>
        </w:rPr>
      </w:pPr>
    </w:p>
    <w:p w:rsidRPr="00FF5098" w:rsidR="005B2A9B" w:rsidP="4CA587D3" w:rsidRDefault="005B2A9B" w14:paraId="2D44822C" w14:textId="2F66C7EF">
      <w:pPr>
        <w:pStyle w:val="Normal"/>
        <w:jc w:val="both"/>
        <w:rPr>
          <w:rFonts w:ascii="Arial" w:hAnsi="Arial" w:cs="Arial"/>
          <w:color w:val="7B7B7B" w:themeColor="accent3" w:themeShade="BF"/>
          <w:sz w:val="22"/>
          <w:szCs w:val="22"/>
          <w:lang w:val="en-GB"/>
        </w:rPr>
      </w:pPr>
      <w:r w:rsidRPr="4CA587D3" w:rsidR="4CA587D3">
        <w:rPr>
          <w:rFonts w:ascii="Arial" w:hAnsi="Arial" w:cs="Arial"/>
          <w:color w:val="7B7B7B" w:themeColor="accent3" w:themeTint="FF" w:themeShade="BF"/>
          <w:sz w:val="22"/>
          <w:szCs w:val="22"/>
          <w:lang w:val="en-GB"/>
        </w:rPr>
        <w:t>(iii) the manufacturing facility may be sold free and clear from the lien with USA Bank’s consent, or without its consent if the sale price is greater than the aggregate value of all liens on the property under 11 US Code s 363(f). So if the sale price is greater than US$ 500 million, the facility may be sold free and clear of USA bank’s lien even without its consent. Note that 11 US Code s 363(e) requires Bank USA’s interest to be adequately protected. This can be satisfied by giving Bank USA a replacement lien on the proceeds of sale.]</w:t>
      </w:r>
    </w:p>
    <w:p w:rsidR="00455018" w:rsidP="00323167" w:rsidRDefault="00455018" w14:paraId="691B977A" w14:textId="2E0184B3">
      <w:pPr>
        <w:autoSpaceDE w:val="0"/>
        <w:autoSpaceDN w:val="0"/>
        <w:adjustRightInd w:val="0"/>
        <w:jc w:val="both"/>
        <w:rPr>
          <w:rFonts w:ascii="Arial" w:hAnsi="Arial" w:cs="Arial"/>
          <w:color w:val="808080" w:themeColor="background1" w:themeShade="80"/>
          <w:sz w:val="22"/>
          <w:szCs w:val="22"/>
          <w:lang w:val="en-GB"/>
        </w:rPr>
      </w:pPr>
    </w:p>
    <w:p w:rsidRPr="00323167" w:rsidR="005B2A9B" w:rsidP="00323167" w:rsidRDefault="005B2A9B" w14:paraId="0B4C8718" w14:textId="77777777">
      <w:pPr>
        <w:autoSpaceDE w:val="0"/>
        <w:autoSpaceDN w:val="0"/>
        <w:adjustRightInd w:val="0"/>
        <w:jc w:val="both"/>
        <w:rPr>
          <w:rFonts w:ascii="Arial" w:hAnsi="Arial" w:cs="Arial"/>
          <w:color w:val="808080" w:themeColor="background1" w:themeShade="80"/>
          <w:sz w:val="22"/>
          <w:szCs w:val="22"/>
          <w:lang w:val="en-GB"/>
        </w:rPr>
      </w:pPr>
    </w:p>
    <w:p w:rsidRPr="00323167" w:rsidR="00126A4D" w:rsidP="00323167" w:rsidRDefault="00126A4D" w14:paraId="70C6A8B6" w14:textId="1261BD9D">
      <w:pPr>
        <w:autoSpaceDE w:val="0"/>
        <w:autoSpaceDN w:val="0"/>
        <w:adjustRightInd w:val="0"/>
        <w:jc w:val="both"/>
        <w:rPr>
          <w:rFonts w:ascii="Arial" w:hAnsi="Arial" w:cs="Arial"/>
          <w:color w:val="808080" w:themeColor="background1" w:themeShade="80"/>
          <w:sz w:val="22"/>
          <w:szCs w:val="22"/>
          <w:lang w:val="en-GB"/>
        </w:rPr>
      </w:pPr>
    </w:p>
    <w:bookmarkEnd w:id="0"/>
    <w:p w:rsidRPr="00BD4A58" w:rsidR="0077498C" w:rsidP="00BD4A58" w:rsidRDefault="0077498C" w14:paraId="35D8F287" w14:textId="77777777">
      <w:pPr>
        <w:jc w:val="both"/>
        <w:rPr>
          <w:rFonts w:ascii="Arial" w:hAnsi="Arial" w:cs="Arial"/>
          <w:color w:val="000000" w:themeColor="text1"/>
          <w:sz w:val="22"/>
          <w:szCs w:val="22"/>
          <w:lang w:val="en-GB"/>
        </w:rPr>
      </w:pPr>
    </w:p>
    <w:p w:rsidRPr="004E3A6B" w:rsidR="00B77F46" w:rsidP="004E3A6B" w:rsidRDefault="00C606C3" w14:paraId="7B275592" w14:textId="639AAD17">
      <w:pPr>
        <w:jc w:val="center"/>
        <w:rPr>
          <w:rFonts w:ascii="Arial" w:hAnsi="Arial" w:cs="Arial"/>
          <w:b/>
          <w:bCs/>
          <w:sz w:val="22"/>
          <w:szCs w:val="22"/>
          <w:lang w:val="en-GB"/>
        </w:rPr>
      </w:pPr>
      <w:r w:rsidRPr="00B77F46">
        <w:rPr>
          <w:rFonts w:ascii="Arial" w:hAnsi="Arial" w:cs="Arial"/>
          <w:b/>
          <w:bCs/>
          <w:sz w:val="22"/>
          <w:szCs w:val="22"/>
          <w:lang w:val="en-GB"/>
        </w:rPr>
        <w:t>*</w:t>
      </w:r>
      <w:r w:rsidRPr="00B77F46" w:rsidR="001E25B9">
        <w:rPr>
          <w:rFonts w:ascii="Arial" w:hAnsi="Arial" w:cs="Arial"/>
          <w:b/>
          <w:bCs/>
          <w:sz w:val="22"/>
          <w:szCs w:val="22"/>
          <w:lang w:val="en-GB"/>
        </w:rPr>
        <w:t xml:space="preserve"> </w:t>
      </w:r>
      <w:r w:rsidRPr="00B77F46" w:rsidR="0077498C">
        <w:rPr>
          <w:rFonts w:ascii="Arial" w:hAnsi="Arial" w:cs="Arial"/>
          <w:b/>
          <w:bCs/>
          <w:sz w:val="22"/>
          <w:szCs w:val="22"/>
          <w:lang w:val="en-GB"/>
        </w:rPr>
        <w:t>End of Assessment</w:t>
      </w:r>
      <w:r w:rsidRPr="00B77F46" w:rsidR="001E25B9">
        <w:rPr>
          <w:rFonts w:ascii="Arial" w:hAnsi="Arial" w:cs="Arial"/>
          <w:b/>
          <w:bCs/>
          <w:sz w:val="22"/>
          <w:szCs w:val="22"/>
          <w:lang w:val="en-GB"/>
        </w:rPr>
        <w:t xml:space="preserve"> </w:t>
      </w:r>
      <w:r w:rsidRPr="00B77F46">
        <w:rPr>
          <w:rFonts w:ascii="Arial" w:hAnsi="Arial" w:cs="Arial"/>
          <w:b/>
          <w:bCs/>
          <w:sz w:val="22"/>
          <w:szCs w:val="22"/>
          <w:lang w:val="en-GB"/>
        </w:rPr>
        <w:t>*</w:t>
      </w:r>
    </w:p>
    <w:sectPr w:rsidRPr="004E3A6B" w:rsidR="00B77F46" w:rsidSect="0073158B">
      <w:footerReference w:type="even" r:id="rId9"/>
      <w:footerReference w:type="default" r:id="rId10"/>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headerReference w:type="default" r:id="Ra13479120e23405c"/>
      <w:headerReference w:type="first" r:id="Re54c30227b514485"/>
      <w:footerReference w:type="first" r:id="R5e1f1e5cb0b94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8F6" w:rsidP="00241B44" w:rsidRDefault="004248F6" w14:paraId="1B89993F" w14:textId="77777777">
      <w:r>
        <w:separator/>
      </w:r>
    </w:p>
  </w:endnote>
  <w:endnote w:type="continuationSeparator" w:id="0">
    <w:p w:rsidR="004248F6" w:rsidP="00241B44" w:rsidRDefault="004248F6" w14:paraId="19EBBA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Pr="00FC7B47" w:rsidR="00E450A4" w:rsidP="009B4976" w:rsidRDefault="00E450A4" w14:paraId="0AAD6B61"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rsidRPr="00FC7B47" w:rsidR="00E450A4" w:rsidP="00FC7B47" w:rsidRDefault="00445CE6" w14:paraId="39FD1B0B" w14:textId="3A981440">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rsidRPr="009B4976" w:rsidR="009B4976" w:rsidP="00E23A7A" w:rsidRDefault="009B4976" w14:paraId="0A05F8FD" w14:textId="301381CC">
        <w:pPr>
          <w:pStyle w:val="Footer"/>
          <w:framePr w:wrap="none" w:hAnchor="margin" w:vAnchor="text"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rsidRPr="009B4976" w:rsidR="00241FA3" w:rsidP="009B4976" w:rsidRDefault="0073158B" w14:paraId="30F05E79" w14:textId="11C7745E">
    <w:pPr>
      <w:pStyle w:val="Footer"/>
      <w:ind w:right="360"/>
      <w:rPr>
        <w:rFonts w:ascii="Arial" w:hAnsi="Arial" w:cs="Arial"/>
        <w:sz w:val="18"/>
        <w:szCs w:val="18"/>
        <w:lang w:val="en-GB"/>
      </w:rPr>
    </w:pPr>
    <w:r w:rsidRPr="7CF14EE0" w:rsidR="7CF14EE0">
      <w:rPr>
        <w:rFonts w:ascii="Arial" w:hAnsi="Arial" w:cs="Arial"/>
        <w:sz w:val="18"/>
        <w:szCs w:val="18"/>
        <w:lang w:val="en-GB"/>
      </w:rPr>
      <w:t>202122-442.assessment3A</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CF14EE0" w:rsidTr="7CF14EE0" w14:paraId="339DC712">
      <w:tc>
        <w:tcPr>
          <w:tcW w:w="3005" w:type="dxa"/>
          <w:tcMar/>
        </w:tcPr>
        <w:p w:rsidR="7CF14EE0" w:rsidP="7CF14EE0" w:rsidRDefault="7CF14EE0" w14:paraId="3F55DC13" w14:textId="12D49C3D">
          <w:pPr>
            <w:pStyle w:val="Header"/>
            <w:bidi w:val="0"/>
            <w:ind w:left="-115"/>
            <w:jc w:val="left"/>
            <w:rPr>
              <w:rFonts w:ascii="Calibri" w:hAnsi="Calibri" w:eastAsia="Times New Roman" w:cs=""/>
              <w:sz w:val="20"/>
              <w:szCs w:val="20"/>
            </w:rPr>
          </w:pPr>
        </w:p>
      </w:tc>
      <w:tc>
        <w:tcPr>
          <w:tcW w:w="3005" w:type="dxa"/>
          <w:tcMar/>
        </w:tcPr>
        <w:p w:rsidR="7CF14EE0" w:rsidP="7CF14EE0" w:rsidRDefault="7CF14EE0" w14:paraId="7B0C6AF7" w14:textId="47B9A65D">
          <w:pPr>
            <w:pStyle w:val="Header"/>
            <w:bidi w:val="0"/>
            <w:jc w:val="center"/>
            <w:rPr>
              <w:rFonts w:ascii="Calibri" w:hAnsi="Calibri" w:eastAsia="Times New Roman" w:cs=""/>
              <w:sz w:val="20"/>
              <w:szCs w:val="20"/>
            </w:rPr>
          </w:pPr>
        </w:p>
      </w:tc>
      <w:tc>
        <w:tcPr>
          <w:tcW w:w="3005" w:type="dxa"/>
          <w:tcMar/>
        </w:tcPr>
        <w:p w:rsidR="7CF14EE0" w:rsidP="7CF14EE0" w:rsidRDefault="7CF14EE0" w14:paraId="2C3A7D64" w14:textId="0BFF42FD">
          <w:pPr>
            <w:pStyle w:val="Header"/>
            <w:bidi w:val="0"/>
            <w:ind w:right="-115"/>
            <w:jc w:val="right"/>
            <w:rPr>
              <w:rFonts w:ascii="Calibri" w:hAnsi="Calibri" w:eastAsia="Times New Roman" w:cs=""/>
              <w:sz w:val="20"/>
              <w:szCs w:val="20"/>
            </w:rPr>
          </w:pPr>
        </w:p>
      </w:tc>
    </w:tr>
  </w:tbl>
  <w:p w:rsidR="7CF14EE0" w:rsidP="7CF14EE0" w:rsidRDefault="7CF14EE0" w14:paraId="065CAA38" w14:textId="3DFF035C">
    <w:pPr>
      <w:pStyle w:val="Footer"/>
      <w:bidi w:val="0"/>
      <w:rPr>
        <w:rFonts w:ascii="Calibri" w:hAnsi="Calibri" w:eastAsia="Times New Roman" w: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8F6" w:rsidP="00241B44" w:rsidRDefault="004248F6" w14:paraId="4047B978" w14:textId="77777777">
      <w:r>
        <w:separator/>
      </w:r>
    </w:p>
  </w:footnote>
  <w:footnote w:type="continuationSeparator" w:id="0">
    <w:p w:rsidR="004248F6" w:rsidP="00241B44" w:rsidRDefault="004248F6" w14:paraId="7B051F4E"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CF14EE0" w:rsidTr="7CF14EE0" w14:paraId="054C5456">
      <w:tc>
        <w:tcPr>
          <w:tcW w:w="3005" w:type="dxa"/>
          <w:tcMar/>
        </w:tcPr>
        <w:p w:rsidR="7CF14EE0" w:rsidP="7CF14EE0" w:rsidRDefault="7CF14EE0" w14:paraId="7FE2BAB4" w14:textId="602EF135">
          <w:pPr>
            <w:pStyle w:val="Header"/>
            <w:bidi w:val="0"/>
            <w:ind w:left="-115"/>
            <w:jc w:val="left"/>
            <w:rPr>
              <w:rFonts w:ascii="Calibri" w:hAnsi="Calibri" w:eastAsia="Times New Roman" w:cs=""/>
              <w:sz w:val="20"/>
              <w:szCs w:val="20"/>
            </w:rPr>
          </w:pPr>
        </w:p>
      </w:tc>
      <w:tc>
        <w:tcPr>
          <w:tcW w:w="3005" w:type="dxa"/>
          <w:tcMar/>
        </w:tcPr>
        <w:p w:rsidR="7CF14EE0" w:rsidP="7CF14EE0" w:rsidRDefault="7CF14EE0" w14:paraId="77D58B49" w14:textId="2441D8C2">
          <w:pPr>
            <w:pStyle w:val="Header"/>
            <w:bidi w:val="0"/>
            <w:jc w:val="center"/>
            <w:rPr>
              <w:rFonts w:ascii="Calibri" w:hAnsi="Calibri" w:eastAsia="Times New Roman" w:cs=""/>
              <w:sz w:val="20"/>
              <w:szCs w:val="20"/>
            </w:rPr>
          </w:pPr>
        </w:p>
      </w:tc>
      <w:tc>
        <w:tcPr>
          <w:tcW w:w="3005" w:type="dxa"/>
          <w:tcMar/>
        </w:tcPr>
        <w:p w:rsidR="7CF14EE0" w:rsidP="7CF14EE0" w:rsidRDefault="7CF14EE0" w14:paraId="1E9AD166" w14:textId="13FD570B">
          <w:pPr>
            <w:pStyle w:val="Header"/>
            <w:bidi w:val="0"/>
            <w:ind w:right="-115"/>
            <w:jc w:val="right"/>
            <w:rPr>
              <w:rFonts w:ascii="Calibri" w:hAnsi="Calibri" w:eastAsia="Times New Roman" w:cs=""/>
              <w:sz w:val="20"/>
              <w:szCs w:val="20"/>
            </w:rPr>
          </w:pPr>
        </w:p>
      </w:tc>
    </w:tr>
  </w:tbl>
  <w:p w:rsidR="7CF14EE0" w:rsidP="7CF14EE0" w:rsidRDefault="7CF14EE0" w14:paraId="60CD2077" w14:textId="1C9AB46A">
    <w:pPr>
      <w:pStyle w:val="Header"/>
      <w:bidi w:val="0"/>
      <w:rPr>
        <w:rFonts w:ascii="Calibri" w:hAnsi="Calibri" w:eastAsia="Times New Roman" w:cs=""/>
        <w:sz w:val="20"/>
        <w:szCs w:val="2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CF14EE0" w:rsidTr="7CF14EE0" w14:paraId="2E08775D">
      <w:tc>
        <w:tcPr>
          <w:tcW w:w="3005" w:type="dxa"/>
          <w:tcMar/>
        </w:tcPr>
        <w:p w:rsidR="7CF14EE0" w:rsidP="7CF14EE0" w:rsidRDefault="7CF14EE0" w14:paraId="5DE4BDDE" w14:textId="19664CD5">
          <w:pPr>
            <w:pStyle w:val="Header"/>
            <w:bidi w:val="0"/>
            <w:ind w:left="-115"/>
            <w:jc w:val="left"/>
            <w:rPr>
              <w:rFonts w:ascii="Calibri" w:hAnsi="Calibri" w:eastAsia="Times New Roman" w:cs=""/>
              <w:sz w:val="20"/>
              <w:szCs w:val="20"/>
            </w:rPr>
          </w:pPr>
        </w:p>
      </w:tc>
      <w:tc>
        <w:tcPr>
          <w:tcW w:w="3005" w:type="dxa"/>
          <w:tcMar/>
        </w:tcPr>
        <w:p w:rsidR="7CF14EE0" w:rsidP="7CF14EE0" w:rsidRDefault="7CF14EE0" w14:paraId="36B30686" w14:textId="02DCC1B3">
          <w:pPr>
            <w:pStyle w:val="Header"/>
            <w:bidi w:val="0"/>
            <w:jc w:val="center"/>
            <w:rPr>
              <w:rFonts w:ascii="Calibri" w:hAnsi="Calibri" w:eastAsia="Times New Roman" w:cs=""/>
              <w:sz w:val="20"/>
              <w:szCs w:val="20"/>
            </w:rPr>
          </w:pPr>
        </w:p>
      </w:tc>
      <w:tc>
        <w:tcPr>
          <w:tcW w:w="3005" w:type="dxa"/>
          <w:tcMar/>
        </w:tcPr>
        <w:p w:rsidR="7CF14EE0" w:rsidP="7CF14EE0" w:rsidRDefault="7CF14EE0" w14:paraId="7A138CAF" w14:textId="6207E42A">
          <w:pPr>
            <w:pStyle w:val="Header"/>
            <w:bidi w:val="0"/>
            <w:ind w:right="-115"/>
            <w:jc w:val="right"/>
            <w:rPr>
              <w:rFonts w:ascii="Calibri" w:hAnsi="Calibri" w:eastAsia="Times New Roman" w:cs=""/>
              <w:sz w:val="20"/>
              <w:szCs w:val="20"/>
            </w:rPr>
          </w:pPr>
        </w:p>
      </w:tc>
    </w:tr>
  </w:tbl>
  <w:p w:rsidR="7CF14EE0" w:rsidP="7CF14EE0" w:rsidRDefault="7CF14EE0" w14:paraId="4F7CB7E3" w14:textId="3FF87A59">
    <w:pPr>
      <w:pStyle w:val="Header"/>
      <w:bidi w:val="0"/>
      <w:rPr>
        <w:rFonts w:ascii="Calibri" w:hAnsi="Calibri" w:eastAsia="Times New Roman" w:cs=""/>
        <w:sz w:val="20"/>
        <w:szCs w:val="20"/>
      </w:rPr>
    </w:pPr>
  </w:p>
</w:hdr>
</file>

<file path=word/intelligence.xml><?xml version="1.0" encoding="utf-8"?>
<int:Intelligence xmlns:int="http://schemas.microsoft.com/office/intelligence/2019/intelligence">
  <int:IntelligenceSettings/>
  <int:Manifest>
    <int:WordHash hashCode="Iq9bbcLu3fzrQ3" id="SkorfTJu"/>
    <int:WordHash hashCode="EdQHxGF4uWQ3m4" id="akWUGLLA"/>
  </int:Manifest>
  <int:Observations>
    <int:Content id="SkorfTJu">
      <int:Rejection type="LegacyProofing"/>
    </int:Content>
    <int:Content id="akWUGLL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480" w:hanging="480"/>
      </w:pPr>
      <w:rPr>
        <w:rFonts w:hint="default" w:ascii="Calibri" w:hAnsi="Calibri"/>
      </w:rPr>
    </w:lvl>
    <w:lvl xmlns:w="http://schemas.openxmlformats.org/wordprocessingml/2006/main" w:ilvl="1">
      <w:start w:val="1"/>
      <w:numFmt w:val="bullet"/>
      <w:lvlText w:val="o"/>
      <w:lvlJc w:val="left"/>
      <w:pPr>
        <w:ind w:left="960" w:hanging="480"/>
      </w:pPr>
      <w:rPr>
        <w:rFonts w:hint="default" w:ascii="Courier New" w:hAnsi="Courier New"/>
      </w:rPr>
    </w:lvl>
    <w:lvl xmlns:w="http://schemas.openxmlformats.org/wordprocessingml/2006/main" w:ilvl="2">
      <w:start w:val="1"/>
      <w:numFmt w:val="bullet"/>
      <w:lvlText w:val=""/>
      <w:lvlJc w:val="left"/>
      <w:pPr>
        <w:ind w:left="1440" w:hanging="480"/>
      </w:pPr>
      <w:rPr>
        <w:rFonts w:hint="default" w:ascii="Wingdings" w:hAnsi="Wingdings"/>
      </w:rPr>
    </w:lvl>
    <w:lvl xmlns:w="http://schemas.openxmlformats.org/wordprocessingml/2006/main" w:ilvl="3">
      <w:start w:val="1"/>
      <w:numFmt w:val="bullet"/>
      <w:lvlText w:val=""/>
      <w:lvlJc w:val="left"/>
      <w:pPr>
        <w:ind w:left="1920" w:hanging="480"/>
      </w:pPr>
      <w:rPr>
        <w:rFonts w:hint="default" w:ascii="Symbol" w:hAnsi="Symbol"/>
      </w:rPr>
    </w:lvl>
    <w:lvl xmlns:w="http://schemas.openxmlformats.org/wordprocessingml/2006/main" w:ilvl="4">
      <w:start w:val="1"/>
      <w:numFmt w:val="bullet"/>
      <w:lvlText w:val="o"/>
      <w:lvlJc w:val="left"/>
      <w:pPr>
        <w:ind w:left="2400" w:hanging="480"/>
      </w:pPr>
      <w:rPr>
        <w:rFonts w:hint="default" w:ascii="Courier New" w:hAnsi="Courier New"/>
      </w:rPr>
    </w:lvl>
    <w:lvl xmlns:w="http://schemas.openxmlformats.org/wordprocessingml/2006/main" w:ilvl="5">
      <w:start w:val="1"/>
      <w:numFmt w:val="bullet"/>
      <w:lvlText w:val=""/>
      <w:lvlJc w:val="left"/>
      <w:pPr>
        <w:ind w:left="2880" w:hanging="480"/>
      </w:pPr>
      <w:rPr>
        <w:rFonts w:hint="default" w:ascii="Wingdings" w:hAnsi="Wingdings"/>
      </w:rPr>
    </w:lvl>
    <w:lvl xmlns:w="http://schemas.openxmlformats.org/wordprocessingml/2006/main" w:ilvl="6">
      <w:start w:val="1"/>
      <w:numFmt w:val="bullet"/>
      <w:lvlText w:val=""/>
      <w:lvlJc w:val="left"/>
      <w:pPr>
        <w:ind w:left="3360" w:hanging="480"/>
      </w:pPr>
      <w:rPr>
        <w:rFonts w:hint="default" w:ascii="Symbol" w:hAnsi="Symbol"/>
      </w:rPr>
    </w:lvl>
    <w:lvl xmlns:w="http://schemas.openxmlformats.org/wordprocessingml/2006/main" w:ilvl="7">
      <w:start w:val="1"/>
      <w:numFmt w:val="bullet"/>
      <w:lvlText w:val="o"/>
      <w:lvlJc w:val="left"/>
      <w:pPr>
        <w:ind w:left="3840" w:hanging="480"/>
      </w:pPr>
      <w:rPr>
        <w:rFonts w:hint="default" w:ascii="Courier New" w:hAnsi="Courier New"/>
      </w:rPr>
    </w:lvl>
    <w:lvl xmlns:w="http://schemas.openxmlformats.org/wordprocessingml/2006/main" w:ilvl="8">
      <w:start w:val="1"/>
      <w:numFmt w:val="bullet"/>
      <w:lvlText w:val=""/>
      <w:lvlJc w:val="left"/>
      <w:pPr>
        <w:ind w:left="4320" w:hanging="480"/>
      </w:pPr>
      <w:rPr>
        <w:rFonts w:hint="default" w:ascii="Wingdings" w:hAnsi="Wingdings"/>
      </w:rPr>
    </w:lvl>
  </w:abstractNum>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4">
    <w:abstractNumId w:val="13"/>
  </w: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5"/>
  <w:displayBackgroundShape/>
  <w:trackRevisions w:val="fals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 w:val="3EAFC584"/>
    <w:rsid w:val="4CA587D3"/>
    <w:rsid w:val="7B43D7E7"/>
    <w:rsid w:val="7CF1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paragraph" w:styleId="AODocTxt" w:customStyle="1">
    <w:name w:val="AODocTxt"/>
    <w:basedOn w:val="Normal"/>
    <w:qFormat/>
    <w:rsid w:val="00256B74"/>
    <w:pPr>
      <w:spacing w:before="240" w:line="260" w:lineRule="atLeast"/>
      <w:jc w:val="both"/>
    </w:pPr>
    <w:rPr>
      <w:rFonts w:ascii="Times New Roman" w:hAnsi="Times New Roman" w:cs="Times New Roman" w:eastAsiaTheme="minorHAnsi"/>
      <w:sz w:val="22"/>
      <w:szCs w:val="2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84f2096f336242a0" /><Relationship Type="http://schemas.openxmlformats.org/officeDocument/2006/relationships/header" Target="header.xml" Id="Ra13479120e23405c" /><Relationship Type="http://schemas.openxmlformats.org/officeDocument/2006/relationships/header" Target="header2.xml" Id="Re54c30227b514485" /><Relationship Type="http://schemas.openxmlformats.org/officeDocument/2006/relationships/footer" Target="footer3.xml" Id="R5e1f1e5cb0b94595" /><Relationship Type="http://schemas.openxmlformats.org/officeDocument/2006/relationships/hyperlink" Target="https://casetext.com/case/malone-v-brincat" TargetMode="External" Id="Ra600698ba82d4342" /><Relationship Type="http://schemas.microsoft.com/office/2019/09/relationships/intelligence" Target="intelligence.xml" Id="R4256f43a8db04e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8c3562-430b-4e30-8b91-212d3b37cb68}"/>
      </w:docPartPr>
      <w:docPartBody>
        <w:p w14:paraId="64083F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Kay Kay</lastModifiedBy>
  <revision>10</revision>
  <lastPrinted>2019-08-27T05:42:00.0000000Z</lastPrinted>
  <dcterms:created xsi:type="dcterms:W3CDTF">2021-08-17T15:55:00.0000000Z</dcterms:created>
  <dcterms:modified xsi:type="dcterms:W3CDTF">2021-12-01T06:48:32.7277758Z</dcterms:modified>
</coreProperties>
</file>