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B23A2" w:rsidP="00524728" w:rsidRDefault="00F62E7A" w14:paraId="425B7968" w14:textId="1B7778D0">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rsidR="004B23A2" w:rsidP="00592F82" w:rsidRDefault="004B23A2" w14:paraId="15FA5ADC" w14:textId="2C25CEC0">
      <w:pPr>
        <w:jc w:val="center"/>
        <w:rPr>
          <w:rFonts w:ascii="Arial" w:hAnsi="Arial" w:cs="Arial"/>
          <w:b/>
          <w:sz w:val="22"/>
          <w:szCs w:val="22"/>
          <w:lang w:val="en-GB"/>
        </w:rPr>
      </w:pPr>
    </w:p>
    <w:p w:rsidR="00397D3A" w:rsidP="00592F82" w:rsidRDefault="00397D3A" w14:paraId="4179622F" w14:textId="68E3C07D">
      <w:pPr>
        <w:jc w:val="center"/>
        <w:rPr>
          <w:rFonts w:ascii="Arial" w:hAnsi="Arial" w:cs="Arial"/>
          <w:b/>
          <w:sz w:val="22"/>
          <w:szCs w:val="22"/>
          <w:lang w:val="en-GB"/>
        </w:rPr>
      </w:pPr>
    </w:p>
    <w:p w:rsidR="00437297" w:rsidP="00592F82" w:rsidRDefault="00437297" w14:paraId="045C7386" w14:textId="06C377C6">
      <w:pPr>
        <w:jc w:val="center"/>
        <w:rPr>
          <w:rFonts w:ascii="Arial" w:hAnsi="Arial" w:cs="Arial"/>
          <w:b/>
          <w:sz w:val="22"/>
          <w:szCs w:val="22"/>
          <w:lang w:val="en-GB"/>
        </w:rPr>
      </w:pPr>
    </w:p>
    <w:p w:rsidR="00437297" w:rsidP="00592F82" w:rsidRDefault="00437297" w14:paraId="13D68906" w14:textId="77777777">
      <w:pPr>
        <w:jc w:val="center"/>
        <w:rPr>
          <w:rFonts w:ascii="Arial" w:hAnsi="Arial" w:cs="Arial"/>
          <w:b/>
          <w:sz w:val="22"/>
          <w:szCs w:val="22"/>
          <w:lang w:val="en-GB"/>
        </w:rPr>
      </w:pPr>
    </w:p>
    <w:p w:rsidR="00397D3A" w:rsidP="00592F82" w:rsidRDefault="00397D3A" w14:paraId="076E39C1" w14:textId="2AAA5B09">
      <w:pPr>
        <w:jc w:val="center"/>
        <w:rPr>
          <w:rFonts w:ascii="Arial" w:hAnsi="Arial" w:cs="Arial"/>
          <w:b/>
          <w:sz w:val="22"/>
          <w:szCs w:val="22"/>
          <w:lang w:val="en-GB"/>
        </w:rPr>
      </w:pPr>
    </w:p>
    <w:p w:rsidR="00397D3A" w:rsidP="00592F82" w:rsidRDefault="00397D3A" w14:paraId="64732B67" w14:textId="77777777">
      <w:pPr>
        <w:jc w:val="center"/>
        <w:rPr>
          <w:rFonts w:ascii="Arial" w:hAnsi="Arial" w:cs="Arial"/>
          <w:b/>
          <w:sz w:val="22"/>
          <w:szCs w:val="22"/>
          <w:lang w:val="en-GB"/>
        </w:rPr>
      </w:pPr>
    </w:p>
    <w:p w:rsidR="00E93993" w:rsidP="00592F82" w:rsidRDefault="00E93993" w14:paraId="14C6FED8" w14:textId="77777777">
      <w:pPr>
        <w:jc w:val="center"/>
        <w:rPr>
          <w:rFonts w:ascii="Arial" w:hAnsi="Arial" w:cs="Arial"/>
          <w:b/>
          <w:sz w:val="22"/>
          <w:szCs w:val="22"/>
          <w:lang w:val="en-GB"/>
        </w:rPr>
      </w:pPr>
    </w:p>
    <w:p w:rsidRPr="00F62E7A" w:rsidR="00434A8C" w:rsidP="00F62E7A" w:rsidRDefault="00434A8C" w14:paraId="16393F7E"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4"/>
          <w:lang w:val="en-GB"/>
        </w:rPr>
      </w:pPr>
    </w:p>
    <w:p w:rsidRPr="00F62E7A" w:rsidR="0011473D" w:rsidP="00F62E7A" w:rsidRDefault="00C56B61" w14:paraId="59317C17" w14:textId="36F25A73">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Pr="00F62E7A" w:rsidR="009D0811">
        <w:rPr>
          <w:rFonts w:ascii="Arial" w:hAnsi="Arial" w:cs="Arial"/>
          <w:b/>
          <w:color w:val="000000" w:themeColor="text1"/>
          <w:sz w:val="24"/>
          <w:lang w:val="en-GB"/>
        </w:rPr>
        <w:t xml:space="preserve">ASSESSMENT: MODULE </w:t>
      </w:r>
      <w:r w:rsidRPr="00F62E7A" w:rsidR="002903A7">
        <w:rPr>
          <w:rFonts w:ascii="Arial" w:hAnsi="Arial" w:cs="Arial"/>
          <w:b/>
          <w:color w:val="000000" w:themeColor="text1"/>
          <w:sz w:val="24"/>
          <w:lang w:val="en-GB"/>
        </w:rPr>
        <w:t>3</w:t>
      </w:r>
      <w:r w:rsidRPr="00F62E7A" w:rsidR="002356EA">
        <w:rPr>
          <w:rFonts w:ascii="Arial" w:hAnsi="Arial" w:cs="Arial"/>
          <w:b/>
          <w:color w:val="000000" w:themeColor="text1"/>
          <w:sz w:val="24"/>
          <w:lang w:val="en-GB"/>
        </w:rPr>
        <w:t>B</w:t>
      </w:r>
    </w:p>
    <w:p w:rsidRPr="00F62E7A" w:rsidR="002638B0" w:rsidP="00F62E7A" w:rsidRDefault="002638B0" w14:paraId="1DCE41A2" w14:textId="0CB8A9C3">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p>
    <w:p w:rsidR="00F62E7A" w:rsidP="00F62E7A" w:rsidRDefault="00996691" w14:paraId="053FC0EF"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Pr="00F62E7A" w:rsidR="002903A7">
        <w:rPr>
          <w:rFonts w:ascii="Arial" w:hAnsi="Arial" w:cs="Arial"/>
          <w:b/>
          <w:color w:val="000000" w:themeColor="text1"/>
          <w:sz w:val="24"/>
          <w:lang w:val="en-GB"/>
        </w:rPr>
        <w:t xml:space="preserve">INSOLVENCY SYSTEM OF THE UNITED </w:t>
      </w:r>
      <w:r w:rsidRPr="00F62E7A" w:rsidR="002356EA">
        <w:rPr>
          <w:rFonts w:ascii="Arial" w:hAnsi="Arial" w:cs="Arial"/>
          <w:b/>
          <w:color w:val="000000" w:themeColor="text1"/>
          <w:sz w:val="24"/>
          <w:lang w:val="en-GB"/>
        </w:rPr>
        <w:t>KINGDOM</w:t>
      </w:r>
      <w:r w:rsidRPr="00F62E7A" w:rsidR="007A5171">
        <w:rPr>
          <w:rFonts w:ascii="Arial" w:hAnsi="Arial" w:cs="Arial"/>
          <w:b/>
          <w:color w:val="000000" w:themeColor="text1"/>
          <w:sz w:val="24"/>
          <w:lang w:val="en-GB"/>
        </w:rPr>
        <w:t xml:space="preserve"> </w:t>
      </w:r>
    </w:p>
    <w:p w:rsidRPr="00F62E7A" w:rsidR="002638B0" w:rsidP="00F62E7A" w:rsidRDefault="007A5171" w14:paraId="23556360" w14:textId="029E12B1">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rsidRPr="00F62E7A" w:rsidR="00434A8C" w:rsidP="00F62E7A" w:rsidRDefault="00434A8C" w14:paraId="5E119630"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4"/>
          <w:lang w:val="en-GB"/>
        </w:rPr>
      </w:pPr>
    </w:p>
    <w:p w:rsidR="009D0811" w:rsidP="00592F82" w:rsidRDefault="009D0811" w14:paraId="2BAA8639" w14:textId="312B667B">
      <w:pPr>
        <w:jc w:val="center"/>
        <w:rPr>
          <w:rFonts w:ascii="Arial" w:hAnsi="Arial" w:cs="Arial"/>
          <w:b/>
          <w:sz w:val="22"/>
          <w:szCs w:val="22"/>
          <w:lang w:val="en-GB"/>
        </w:rPr>
      </w:pPr>
    </w:p>
    <w:p w:rsidR="00E93993" w:rsidP="00592F82" w:rsidRDefault="00E93993" w14:paraId="6907577F" w14:textId="6E1EAE22">
      <w:pPr>
        <w:jc w:val="center"/>
        <w:rPr>
          <w:rFonts w:ascii="Arial" w:hAnsi="Arial" w:cs="Arial"/>
          <w:b/>
          <w:sz w:val="22"/>
          <w:szCs w:val="22"/>
          <w:lang w:val="en-GB"/>
        </w:rPr>
      </w:pPr>
    </w:p>
    <w:p w:rsidR="00397D3A" w:rsidP="00592F82" w:rsidRDefault="00397D3A" w14:paraId="2A0B50F4" w14:textId="0F2D6B33">
      <w:pPr>
        <w:jc w:val="center"/>
        <w:rPr>
          <w:rFonts w:ascii="Arial" w:hAnsi="Arial" w:cs="Arial"/>
          <w:b/>
          <w:sz w:val="22"/>
          <w:szCs w:val="22"/>
          <w:lang w:val="en-GB"/>
        </w:rPr>
      </w:pPr>
    </w:p>
    <w:p w:rsidR="00397D3A" w:rsidP="00592F82" w:rsidRDefault="00397D3A" w14:paraId="5C762CBD" w14:textId="28537775">
      <w:pPr>
        <w:jc w:val="center"/>
        <w:rPr>
          <w:rFonts w:ascii="Arial" w:hAnsi="Arial" w:cs="Arial"/>
          <w:b/>
          <w:sz w:val="22"/>
          <w:szCs w:val="22"/>
          <w:lang w:val="en-GB"/>
        </w:rPr>
      </w:pPr>
    </w:p>
    <w:p w:rsidR="00437297" w:rsidP="00592F82" w:rsidRDefault="00437297" w14:paraId="251A99E6" w14:textId="088ED098">
      <w:pPr>
        <w:jc w:val="center"/>
        <w:rPr>
          <w:rFonts w:ascii="Arial" w:hAnsi="Arial" w:cs="Arial"/>
          <w:b/>
          <w:sz w:val="22"/>
          <w:szCs w:val="22"/>
          <w:lang w:val="en-GB"/>
        </w:rPr>
      </w:pPr>
    </w:p>
    <w:p w:rsidR="00397D3A" w:rsidP="00592F82" w:rsidRDefault="00397D3A" w14:paraId="25AECBFD" w14:textId="77777777">
      <w:pPr>
        <w:jc w:val="center"/>
        <w:rPr>
          <w:rFonts w:ascii="Arial" w:hAnsi="Arial" w:cs="Arial"/>
          <w:b/>
          <w:sz w:val="22"/>
          <w:szCs w:val="22"/>
          <w:lang w:val="en-GB"/>
        </w:rPr>
      </w:pPr>
    </w:p>
    <w:p w:rsidR="00397D3A" w:rsidP="00592F82" w:rsidRDefault="00397D3A" w14:paraId="19855BF7" w14:textId="77777777">
      <w:pPr>
        <w:jc w:val="center"/>
        <w:rPr>
          <w:rFonts w:ascii="Arial" w:hAnsi="Arial" w:cs="Arial"/>
          <w:b/>
          <w:sz w:val="22"/>
          <w:szCs w:val="22"/>
          <w:lang w:val="en-GB"/>
        </w:rPr>
      </w:pPr>
    </w:p>
    <w:p w:rsidR="00DB56F2" w:rsidP="00DB56F2" w:rsidRDefault="00DB56F2" w14:paraId="0ED3DA75"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rsidR="004A2D83" w:rsidP="004A2D83" w:rsidRDefault="004A2D83" w14:paraId="3D73029C" w14:textId="645436B0">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rsidR="004A2D83" w:rsidP="004A2D83" w:rsidRDefault="004A2D83" w14:paraId="0037FF4E"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rsidR="004A2D83" w:rsidP="004A2D83" w:rsidRDefault="004A2D83" w14:paraId="7F4A04A3"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rsidR="004A2D83" w:rsidP="004A2D83" w:rsidRDefault="004A2D83" w14:paraId="55A0CEFC"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rsidRPr="00DB56F2" w:rsidR="004A2D83" w:rsidP="004A2D83" w:rsidRDefault="004A2D83" w14:paraId="153185D2" w14:textId="0C743E90">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Pr="00DB56F2" w:rsidR="00DB56F2" w:rsidP="00DB56F2" w:rsidRDefault="00DB56F2" w14:paraId="274024F0"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rsidR="00793173" w:rsidP="007C6201" w:rsidRDefault="00793173" w14:paraId="4614C5D8" w14:textId="3C9FD3D5">
      <w:pPr>
        <w:jc w:val="both"/>
        <w:rPr>
          <w:rFonts w:ascii="Arial" w:hAnsi="Arial" w:cs="Arial"/>
          <w:b/>
          <w:sz w:val="22"/>
          <w:szCs w:val="22"/>
          <w:lang w:val="en-GB"/>
        </w:rPr>
      </w:pPr>
    </w:p>
    <w:p w:rsidR="00DB56F2" w:rsidP="007C6201" w:rsidRDefault="00DB56F2" w14:paraId="5A8E70B6" w14:textId="3DD478B6">
      <w:pPr>
        <w:jc w:val="both"/>
        <w:rPr>
          <w:rFonts w:ascii="Arial" w:hAnsi="Arial" w:cs="Arial"/>
          <w:b/>
          <w:sz w:val="22"/>
          <w:szCs w:val="22"/>
          <w:lang w:val="en-GB"/>
        </w:rPr>
      </w:pPr>
    </w:p>
    <w:p w:rsidR="00397D3A" w:rsidP="007C6201" w:rsidRDefault="00397D3A" w14:paraId="1B27A2C1" w14:textId="5A9B8846">
      <w:pPr>
        <w:jc w:val="both"/>
        <w:rPr>
          <w:rFonts w:ascii="Arial" w:hAnsi="Arial" w:cs="Arial"/>
          <w:b/>
          <w:sz w:val="22"/>
          <w:szCs w:val="22"/>
          <w:lang w:val="en-GB"/>
        </w:rPr>
      </w:pPr>
    </w:p>
    <w:p w:rsidR="00397D3A" w:rsidP="007C6201" w:rsidRDefault="00397D3A" w14:paraId="1BC7CE2F" w14:textId="5B3D9200">
      <w:pPr>
        <w:jc w:val="both"/>
        <w:rPr>
          <w:rFonts w:ascii="Arial" w:hAnsi="Arial" w:cs="Arial"/>
          <w:b/>
          <w:sz w:val="22"/>
          <w:szCs w:val="22"/>
          <w:lang w:val="en-GB"/>
        </w:rPr>
      </w:pPr>
    </w:p>
    <w:p w:rsidR="00397D3A" w:rsidP="007C6201" w:rsidRDefault="00397D3A" w14:paraId="6416FB4A" w14:textId="60B3384C">
      <w:pPr>
        <w:jc w:val="both"/>
        <w:rPr>
          <w:rFonts w:ascii="Arial" w:hAnsi="Arial" w:cs="Arial"/>
          <w:b/>
          <w:sz w:val="22"/>
          <w:szCs w:val="22"/>
          <w:lang w:val="en-GB"/>
        </w:rPr>
      </w:pPr>
    </w:p>
    <w:p w:rsidR="00397D3A" w:rsidP="007C6201" w:rsidRDefault="00397D3A" w14:paraId="5683A375" w14:textId="1322B645">
      <w:pPr>
        <w:jc w:val="both"/>
        <w:rPr>
          <w:rFonts w:ascii="Arial" w:hAnsi="Arial" w:cs="Arial"/>
          <w:b/>
          <w:sz w:val="22"/>
          <w:szCs w:val="22"/>
          <w:lang w:val="en-GB"/>
        </w:rPr>
      </w:pPr>
    </w:p>
    <w:p w:rsidR="00397D3A" w:rsidP="007C6201" w:rsidRDefault="00397D3A" w14:paraId="35B724B9" w14:textId="4E0894C3">
      <w:pPr>
        <w:jc w:val="both"/>
        <w:rPr>
          <w:rFonts w:ascii="Arial" w:hAnsi="Arial" w:cs="Arial"/>
          <w:b/>
          <w:sz w:val="22"/>
          <w:szCs w:val="22"/>
          <w:lang w:val="en-GB"/>
        </w:rPr>
      </w:pPr>
    </w:p>
    <w:p w:rsidR="00397D3A" w:rsidP="007C6201" w:rsidRDefault="00397D3A" w14:paraId="3A3FE896" w14:textId="40CAA3F9">
      <w:pPr>
        <w:jc w:val="both"/>
        <w:rPr>
          <w:rFonts w:ascii="Arial" w:hAnsi="Arial" w:cs="Arial"/>
          <w:b/>
          <w:sz w:val="22"/>
          <w:szCs w:val="22"/>
          <w:lang w:val="en-GB"/>
        </w:rPr>
      </w:pPr>
    </w:p>
    <w:p w:rsidR="00397D3A" w:rsidP="007C6201" w:rsidRDefault="00397D3A" w14:paraId="39016D5C" w14:textId="06CD3D77">
      <w:pPr>
        <w:jc w:val="both"/>
        <w:rPr>
          <w:rFonts w:ascii="Arial" w:hAnsi="Arial" w:cs="Arial"/>
          <w:b/>
          <w:sz w:val="22"/>
          <w:szCs w:val="22"/>
          <w:lang w:val="en-GB"/>
        </w:rPr>
      </w:pPr>
    </w:p>
    <w:p w:rsidRPr="00592F82" w:rsidR="0011473D" w:rsidP="009D0811" w:rsidRDefault="00E93993" w14:paraId="3C0D3574" w14:textId="37DBAEC4">
      <w:pPr>
        <w:jc w:val="center"/>
        <w:rPr>
          <w:rFonts w:ascii="Arial" w:hAnsi="Arial" w:cs="Arial"/>
          <w:b/>
          <w:sz w:val="22"/>
          <w:szCs w:val="22"/>
          <w:u w:val="single"/>
          <w:lang w:val="en-GB"/>
        </w:rPr>
      </w:pPr>
      <w:r>
        <w:rPr>
          <w:rFonts w:ascii="Arial" w:hAnsi="Arial" w:cs="Arial"/>
          <w:b/>
          <w:sz w:val="22"/>
          <w:szCs w:val="22"/>
          <w:u w:val="single"/>
          <w:lang w:val="en-GB"/>
        </w:rPr>
        <w:t>I</w:t>
      </w:r>
      <w:r w:rsidRPr="00592F82" w:rsidR="0011473D">
        <w:rPr>
          <w:rFonts w:ascii="Arial" w:hAnsi="Arial" w:cs="Arial"/>
          <w:b/>
          <w:sz w:val="22"/>
          <w:szCs w:val="22"/>
          <w:u w:val="single"/>
          <w:lang w:val="en-GB"/>
        </w:rPr>
        <w:t>NSTRUCTIONS FOR COMPLETION AND SUBMISSION OF ASSESSMENT</w:t>
      </w:r>
    </w:p>
    <w:p w:rsidRPr="00592F82" w:rsidR="0011473D" w:rsidP="00592F82" w:rsidRDefault="0011473D" w14:paraId="61C888AB" w14:textId="77777777">
      <w:pPr>
        <w:jc w:val="both"/>
        <w:rPr>
          <w:rFonts w:ascii="Arial" w:hAnsi="Arial" w:cs="Arial"/>
          <w:sz w:val="22"/>
          <w:szCs w:val="22"/>
          <w:lang w:val="en-GB"/>
        </w:rPr>
      </w:pPr>
    </w:p>
    <w:p w:rsidR="00397D3A" w:rsidP="00592F82" w:rsidRDefault="00397D3A" w14:paraId="173B0B40" w14:textId="77777777">
      <w:pPr>
        <w:jc w:val="both"/>
        <w:rPr>
          <w:rFonts w:ascii="Arial" w:hAnsi="Arial" w:cs="Arial"/>
          <w:b/>
          <w:sz w:val="22"/>
          <w:szCs w:val="22"/>
          <w:lang w:val="en-GB"/>
        </w:rPr>
      </w:pPr>
    </w:p>
    <w:p w:rsidRPr="00BF1C6F" w:rsidR="00F87B04" w:rsidP="00F87B04" w:rsidRDefault="00F87B04" w14:paraId="6B52D650" w14:textId="77777777">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rsidRPr="00BF1C6F" w:rsidR="00F87B04" w:rsidP="00F87B04" w:rsidRDefault="00F87B04" w14:paraId="63F4A35C" w14:textId="77777777">
      <w:pPr>
        <w:jc w:val="both"/>
        <w:rPr>
          <w:rFonts w:ascii="Arial" w:hAnsi="Arial" w:cs="Arial"/>
          <w:b/>
          <w:sz w:val="22"/>
          <w:szCs w:val="22"/>
          <w:lang w:val="en-GB"/>
        </w:rPr>
      </w:pPr>
    </w:p>
    <w:p w:rsidRPr="00BF1C6F" w:rsidR="00F87B04" w:rsidP="00F87B04" w:rsidRDefault="00F87B04" w14:paraId="3B2BFAA1" w14:textId="77777777">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r>
      <w:r w:rsidRPr="00BF1C6F">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rsidRPr="00BF1C6F" w:rsidR="00F87B04" w:rsidP="00F87B04" w:rsidRDefault="00F87B04" w14:paraId="213AD625" w14:textId="77777777">
      <w:pPr>
        <w:ind w:left="720" w:hanging="720"/>
        <w:jc w:val="both"/>
        <w:rPr>
          <w:rFonts w:ascii="Arial" w:hAnsi="Arial" w:cs="Arial"/>
          <w:sz w:val="22"/>
          <w:szCs w:val="22"/>
          <w:lang w:val="en-GB"/>
        </w:rPr>
      </w:pPr>
    </w:p>
    <w:p w:rsidRPr="00BF1C6F" w:rsidR="00F87B04" w:rsidP="00F87B04" w:rsidRDefault="00F87B04" w14:paraId="6936133E" w14:textId="77777777">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r>
      <w:r w:rsidRPr="00BF1C6F">
        <w:rPr>
          <w:rFonts w:ascii="Arial" w:hAnsi="Arial" w:cs="Arial"/>
          <w:sz w:val="22"/>
          <w:szCs w:val="22"/>
          <w:lang w:val="en-GB"/>
        </w:rPr>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rsidRPr="00BF1C6F" w:rsidR="00F87B04" w:rsidP="00F87B04" w:rsidRDefault="00F87B04" w14:paraId="5A8D2E81" w14:textId="77777777">
      <w:pPr>
        <w:ind w:left="720" w:hanging="720"/>
        <w:jc w:val="both"/>
        <w:rPr>
          <w:rFonts w:ascii="Arial" w:hAnsi="Arial" w:cs="Arial"/>
          <w:sz w:val="22"/>
          <w:szCs w:val="22"/>
          <w:lang w:val="en-GB"/>
        </w:rPr>
      </w:pPr>
    </w:p>
    <w:p w:rsidRPr="00BF1C6F" w:rsidR="00F87B04" w:rsidP="00F87B04" w:rsidRDefault="00F87B04" w14:paraId="753DE3CD" w14:textId="77777777">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r>
      <w:r w:rsidRPr="00BF1C6F">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BF1C6F" w:rsidR="00F87B04" w:rsidP="00F87B04" w:rsidRDefault="00F87B04" w14:paraId="6259209D" w14:textId="77777777">
      <w:pPr>
        <w:ind w:left="720" w:hanging="720"/>
        <w:jc w:val="both"/>
        <w:rPr>
          <w:rFonts w:ascii="Arial" w:hAnsi="Arial" w:cs="Arial"/>
          <w:sz w:val="22"/>
          <w:szCs w:val="22"/>
          <w:lang w:val="en-GB"/>
        </w:rPr>
      </w:pPr>
    </w:p>
    <w:p w:rsidRPr="00BF1C6F" w:rsidR="00F87B04" w:rsidP="00F87B04" w:rsidRDefault="00F87B04" w14:paraId="10450BAB" w14:textId="1AFD697E">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r>
      <w:r w:rsidRPr="00BF1C6F">
        <w:rPr>
          <w:rFonts w:ascii="Arial" w:hAnsi="Arial" w:cs="Arial"/>
          <w:sz w:val="22"/>
          <w:szCs w:val="22"/>
          <w:lang w:val="en-GB"/>
        </w:rPr>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Pr="00BF1C6F" w:rsidR="00F87B04" w:rsidP="00F87B04" w:rsidRDefault="00F87B04" w14:paraId="43DD506D" w14:textId="77777777">
      <w:pPr>
        <w:ind w:left="720" w:hanging="720"/>
        <w:jc w:val="both"/>
        <w:rPr>
          <w:rFonts w:ascii="Arial" w:hAnsi="Arial" w:cs="Arial"/>
          <w:sz w:val="22"/>
          <w:szCs w:val="22"/>
          <w:lang w:val="en-GB"/>
        </w:rPr>
      </w:pPr>
    </w:p>
    <w:p w:rsidRPr="00592F82" w:rsidR="00F87B04" w:rsidP="00F87B04" w:rsidRDefault="00F87B04" w14:paraId="1C632D02" w14:textId="77777777">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r>
      <w:r w:rsidRPr="00BF1C6F">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Pr="00592F82" w:rsidR="00F87B04" w:rsidP="00F87B04" w:rsidRDefault="00F87B04" w14:paraId="23C25D2D" w14:textId="77777777">
      <w:pPr>
        <w:ind w:left="720" w:hanging="720"/>
        <w:jc w:val="both"/>
        <w:rPr>
          <w:rFonts w:ascii="Arial" w:hAnsi="Arial" w:cs="Arial"/>
          <w:sz w:val="22"/>
          <w:szCs w:val="22"/>
          <w:lang w:val="en-GB"/>
        </w:rPr>
      </w:pPr>
    </w:p>
    <w:p w:rsidR="00F87B04" w:rsidP="00F87B04" w:rsidRDefault="00F87B04" w14:paraId="727D4AB5" w14:textId="1DB30ED7">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rsidR="00F87B04" w:rsidP="00F87B04" w:rsidRDefault="00F87B04" w14:paraId="4BA7E6E8" w14:textId="77777777">
      <w:pPr>
        <w:ind w:left="720" w:hanging="720"/>
        <w:jc w:val="both"/>
        <w:rPr>
          <w:rFonts w:ascii="Arial" w:hAnsi="Arial" w:cs="Arial"/>
          <w:sz w:val="22"/>
          <w:szCs w:val="22"/>
          <w:lang w:val="en-GB"/>
        </w:rPr>
      </w:pPr>
    </w:p>
    <w:p w:rsidR="00F87B04" w:rsidP="00F87B04" w:rsidRDefault="00F87B04" w14:paraId="03523484" w14:textId="1C236948">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r>
      <w:r>
        <w:rPr>
          <w:rFonts w:ascii="Arial" w:hAnsi="Arial" w:cs="Arial"/>
          <w:sz w:val="22"/>
          <w:szCs w:val="22"/>
          <w:lang w:val="en-GB"/>
        </w:rPr>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rsidR="00F87B04" w:rsidP="00F87B04" w:rsidRDefault="00F87B04" w14:paraId="03B56474" w14:textId="77777777">
      <w:pPr>
        <w:ind w:left="720" w:hanging="720"/>
        <w:jc w:val="both"/>
        <w:rPr>
          <w:rFonts w:ascii="Arial" w:hAnsi="Arial" w:cs="Arial"/>
          <w:sz w:val="22"/>
          <w:szCs w:val="22"/>
          <w:lang w:val="en-GB"/>
        </w:rPr>
      </w:pPr>
    </w:p>
    <w:p w:rsidRPr="00592F82" w:rsidR="00F87B04" w:rsidP="00F87B04" w:rsidRDefault="00F87B04" w14:paraId="60DB67F8" w14:textId="21776F6F">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r>
      <w:r w:rsidRPr="00540E3A">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rsidRPr="00592F82" w:rsidR="00F3323E" w:rsidP="00592F82" w:rsidRDefault="00F3323E" w14:paraId="730563CC" w14:textId="77777777">
      <w:pPr>
        <w:ind w:left="720" w:hanging="720"/>
        <w:jc w:val="both"/>
        <w:rPr>
          <w:rFonts w:ascii="Arial" w:hAnsi="Arial" w:cs="Arial"/>
          <w:sz w:val="22"/>
          <w:szCs w:val="22"/>
          <w:lang w:val="en-GB"/>
        </w:rPr>
      </w:pPr>
    </w:p>
    <w:p w:rsidRPr="00592F82" w:rsidR="00F3323E" w:rsidP="00592F82" w:rsidRDefault="00F3323E" w14:paraId="16583175" w14:textId="77777777">
      <w:pPr>
        <w:ind w:left="720" w:hanging="720"/>
        <w:jc w:val="both"/>
        <w:rPr>
          <w:rFonts w:ascii="Arial" w:hAnsi="Arial" w:cs="Arial"/>
          <w:sz w:val="22"/>
          <w:szCs w:val="22"/>
          <w:lang w:val="en-GB"/>
        </w:rPr>
      </w:pPr>
    </w:p>
    <w:p w:rsidR="00F87B04" w:rsidRDefault="00F87B04" w14:paraId="36A1D517" w14:textId="77777777">
      <w:pPr>
        <w:rPr>
          <w:rFonts w:ascii="Arial" w:hAnsi="Arial" w:cs="Arial"/>
          <w:b/>
          <w:sz w:val="22"/>
          <w:szCs w:val="22"/>
          <w:u w:val="single"/>
          <w:lang w:val="en-GB"/>
        </w:rPr>
      </w:pPr>
      <w:r>
        <w:rPr>
          <w:rFonts w:ascii="Arial" w:hAnsi="Arial" w:cs="Arial"/>
          <w:b/>
          <w:sz w:val="22"/>
          <w:szCs w:val="22"/>
          <w:u w:val="single"/>
          <w:lang w:val="en-GB"/>
        </w:rPr>
        <w:br w:type="page"/>
      </w:r>
    </w:p>
    <w:p w:rsidRPr="00B9639B" w:rsidR="00F3323E" w:rsidP="00B9639B" w:rsidRDefault="00F3323E" w14:paraId="2966AAD4" w14:textId="024BF27A">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Pr="00B9639B" w:rsidR="00F3323E" w:rsidP="00B9639B" w:rsidRDefault="00F3323E" w14:paraId="62B460C7" w14:textId="77777777">
      <w:pPr>
        <w:ind w:left="720" w:hanging="720"/>
        <w:jc w:val="both"/>
        <w:rPr>
          <w:rFonts w:ascii="Arial" w:hAnsi="Arial" w:cs="Arial"/>
          <w:sz w:val="22"/>
          <w:szCs w:val="22"/>
          <w:lang w:val="en-GB"/>
        </w:rPr>
      </w:pPr>
    </w:p>
    <w:p w:rsidRPr="00B9639B" w:rsidR="005D43E0" w:rsidP="00B9639B" w:rsidRDefault="0029433F" w14:paraId="7855E8A8" w14:textId="3F6B427A">
      <w:pPr>
        <w:jc w:val="both"/>
        <w:rPr>
          <w:rFonts w:ascii="Arial" w:hAnsi="Arial" w:cs="Arial"/>
          <w:b/>
          <w:sz w:val="22"/>
          <w:szCs w:val="22"/>
          <w:lang w:val="en-GB"/>
        </w:rPr>
      </w:pPr>
      <w:r w:rsidRPr="00B9639B">
        <w:rPr>
          <w:rFonts w:ascii="Arial" w:hAnsi="Arial" w:cs="Arial"/>
          <w:b/>
          <w:sz w:val="22"/>
          <w:szCs w:val="22"/>
          <w:lang w:val="en-GB"/>
        </w:rPr>
        <w:t>QUESTION 1</w:t>
      </w:r>
      <w:r w:rsidRPr="00B9639B" w:rsidR="005D43E0">
        <w:rPr>
          <w:rFonts w:ascii="Arial" w:hAnsi="Arial" w:cs="Arial"/>
          <w:b/>
          <w:sz w:val="22"/>
          <w:szCs w:val="22"/>
          <w:lang w:val="en-GB"/>
        </w:rPr>
        <w:t xml:space="preserve"> (multiple-choice questions) [10 marks</w:t>
      </w:r>
      <w:r w:rsidRPr="00B9639B" w:rsidR="00D17FDC">
        <w:rPr>
          <w:rFonts w:ascii="Arial" w:hAnsi="Arial" w:cs="Arial"/>
          <w:b/>
          <w:sz w:val="22"/>
          <w:szCs w:val="22"/>
          <w:lang w:val="en-GB"/>
        </w:rPr>
        <w:t xml:space="preserve"> in total</w:t>
      </w:r>
      <w:r w:rsidRPr="00B9639B" w:rsidR="005D43E0">
        <w:rPr>
          <w:rFonts w:ascii="Arial" w:hAnsi="Arial" w:cs="Arial"/>
          <w:b/>
          <w:sz w:val="22"/>
          <w:szCs w:val="22"/>
          <w:lang w:val="en-GB"/>
        </w:rPr>
        <w:t>]</w:t>
      </w:r>
    </w:p>
    <w:p w:rsidRPr="00B9639B" w:rsidR="00F3323E" w:rsidP="00B9639B" w:rsidRDefault="00F3323E" w14:paraId="3CF1A35C" w14:textId="77777777">
      <w:pPr>
        <w:ind w:left="720" w:hanging="720"/>
        <w:jc w:val="both"/>
        <w:rPr>
          <w:rFonts w:ascii="Arial" w:hAnsi="Arial" w:cs="Arial"/>
          <w:sz w:val="22"/>
          <w:szCs w:val="22"/>
          <w:lang w:val="en-GB"/>
        </w:rPr>
      </w:pPr>
    </w:p>
    <w:p w:rsidRPr="00B9639B" w:rsidR="005D43E0" w:rsidP="00B9639B" w:rsidRDefault="005D43E0" w14:paraId="52F192E0" w14:textId="4F9975C1">
      <w:pPr>
        <w:jc w:val="both"/>
        <w:rPr>
          <w:rFonts w:ascii="Arial" w:hAnsi="Arial" w:cs="Arial"/>
          <w:sz w:val="22"/>
          <w:szCs w:val="22"/>
          <w:lang w:val="en-GB"/>
        </w:rPr>
      </w:pPr>
      <w:r w:rsidRPr="00B9639B">
        <w:rPr>
          <w:rFonts w:ascii="Arial" w:hAnsi="Arial" w:cs="Arial"/>
          <w:sz w:val="22"/>
          <w:szCs w:val="22"/>
          <w:lang w:val="en-GB"/>
        </w:rPr>
        <w:t>Questions 1.1. – 1.10</w:t>
      </w:r>
      <w:r w:rsidRPr="00B9639B" w:rsidR="00341AA6">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Pr="00B9639B" w:rsidR="00397D3A">
        <w:rPr>
          <w:rFonts w:ascii="Arial" w:hAnsi="Arial" w:cs="Arial"/>
          <w:sz w:val="22"/>
          <w:szCs w:val="22"/>
          <w:highlight w:val="yellow"/>
          <w:lang w:val="en-GB"/>
        </w:rPr>
        <w:t xml:space="preserve"> by highlighting the </w:t>
      </w:r>
      <w:r w:rsidRPr="00B9639B" w:rsidR="0036565C">
        <w:rPr>
          <w:rFonts w:ascii="Arial" w:hAnsi="Arial" w:cs="Arial"/>
          <w:sz w:val="22"/>
          <w:szCs w:val="22"/>
          <w:highlight w:val="yellow"/>
          <w:lang w:val="en-GB"/>
        </w:rPr>
        <w:t xml:space="preserve">relevant paragraph </w:t>
      </w:r>
      <w:r w:rsidRPr="00B9639B" w:rsidR="0036565C">
        <w:rPr>
          <w:rFonts w:ascii="Arial" w:hAnsi="Arial" w:cs="Arial"/>
          <w:b/>
          <w:bCs/>
          <w:sz w:val="22"/>
          <w:szCs w:val="22"/>
          <w:highlight w:val="yellow"/>
          <w:lang w:val="en-GB"/>
        </w:rPr>
        <w:t>in yellow</w:t>
      </w:r>
      <w:r w:rsidRPr="00B9639B">
        <w:rPr>
          <w:rFonts w:ascii="Arial" w:hAnsi="Arial" w:cs="Arial"/>
          <w:sz w:val="22"/>
          <w:szCs w:val="22"/>
          <w:lang w:val="en-GB"/>
        </w:rPr>
        <w:t>.</w:t>
      </w:r>
      <w:r w:rsidRPr="00B9639B" w:rsidR="0036565C">
        <w:rPr>
          <w:rFonts w:ascii="Arial" w:hAnsi="Arial" w:cs="Arial"/>
          <w:sz w:val="22"/>
          <w:szCs w:val="22"/>
          <w:lang w:val="en-GB"/>
        </w:rPr>
        <w:t xml:space="preserve"> Select only </w:t>
      </w:r>
      <w:r w:rsidRPr="00B9639B" w:rsidR="0036565C">
        <w:rPr>
          <w:rFonts w:ascii="Arial" w:hAnsi="Arial" w:cs="Arial"/>
          <w:b/>
          <w:bCs/>
          <w:sz w:val="22"/>
          <w:szCs w:val="22"/>
          <w:lang w:val="en-GB"/>
        </w:rPr>
        <w:t>ONE</w:t>
      </w:r>
      <w:r w:rsidRPr="00B9639B" w:rsidR="0036565C">
        <w:rPr>
          <w:rFonts w:ascii="Arial" w:hAnsi="Arial" w:cs="Arial"/>
          <w:sz w:val="22"/>
          <w:szCs w:val="22"/>
          <w:lang w:val="en-GB"/>
        </w:rPr>
        <w:t xml:space="preserve"> answer</w:t>
      </w:r>
      <w:r w:rsidRPr="00B9639B" w:rsidR="00A60074">
        <w:rPr>
          <w:rFonts w:ascii="Arial" w:hAnsi="Arial" w:cs="Arial"/>
          <w:sz w:val="22"/>
          <w:szCs w:val="22"/>
          <w:lang w:val="en-GB"/>
        </w:rPr>
        <w:t>. Candidates who select more than one answer will receive no mark for that specific question.</w:t>
      </w:r>
    </w:p>
    <w:p w:rsidRPr="00B9639B" w:rsidR="00AF228E" w:rsidP="00C55824" w:rsidRDefault="00AF228E" w14:paraId="27033D10" w14:textId="424A462F">
      <w:pPr>
        <w:autoSpaceDE w:val="0"/>
        <w:autoSpaceDN w:val="0"/>
        <w:adjustRightInd w:val="0"/>
        <w:jc w:val="both"/>
        <w:rPr>
          <w:rFonts w:ascii="Arial" w:hAnsi="Arial" w:cs="Arial"/>
          <w:sz w:val="22"/>
          <w:szCs w:val="22"/>
        </w:rPr>
      </w:pPr>
    </w:p>
    <w:p w:rsidRPr="00B9639B" w:rsidR="00E9597C" w:rsidP="00C55824" w:rsidRDefault="00E9597C" w14:paraId="43F355DA" w14:textId="77777777">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rsidRPr="00B9639B" w:rsidR="00E9597C" w:rsidP="00C55824" w:rsidRDefault="00E9597C" w14:paraId="280FEE57" w14:textId="77777777">
      <w:pPr>
        <w:jc w:val="both"/>
        <w:rPr>
          <w:rFonts w:ascii="Arial" w:hAnsi="Arial" w:cs="Arial"/>
          <w:sz w:val="22"/>
          <w:szCs w:val="22"/>
        </w:rPr>
      </w:pPr>
    </w:p>
    <w:p w:rsidR="00C91062" w:rsidP="00C55824" w:rsidRDefault="00C91062" w14:paraId="3F1B6D5C" w14:textId="3A1C9CF1">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rsidR="00C91062" w:rsidP="00C55824" w:rsidRDefault="00C91062" w14:paraId="37B58E8A" w14:textId="77777777">
      <w:pPr>
        <w:jc w:val="both"/>
        <w:rPr>
          <w:rFonts w:ascii="Arial" w:hAnsi="Arial" w:cs="Arial"/>
          <w:sz w:val="22"/>
          <w:szCs w:val="22"/>
          <w:lang w:val="en-GB"/>
        </w:rPr>
      </w:pPr>
    </w:p>
    <w:p w:rsidR="00867701" w:rsidP="00C55824" w:rsidRDefault="00C91062" w14:paraId="66D546CF" w14:textId="350F42EF">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rsidRPr="006D2BBF" w:rsidR="00876F56" w:rsidP="00C55824" w:rsidRDefault="00876F56" w14:paraId="2FEB1275" w14:textId="77777777">
      <w:pPr>
        <w:jc w:val="both"/>
        <w:rPr>
          <w:rFonts w:ascii="Arial" w:hAnsi="Arial" w:cs="Arial"/>
          <w:sz w:val="22"/>
          <w:szCs w:val="22"/>
          <w:lang w:val="en-GB"/>
        </w:rPr>
      </w:pPr>
    </w:p>
    <w:p w:rsidR="00867701" w:rsidP="00B04033" w:rsidRDefault="00AE5B6F" w14:paraId="1F0A6F95" w14:textId="2587A1B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rsidRPr="00763348" w:rsidR="00763348" w:rsidP="00763348" w:rsidRDefault="00763348" w14:paraId="05A9DB00" w14:textId="77777777">
      <w:pPr>
        <w:ind w:left="66"/>
        <w:jc w:val="both"/>
        <w:rPr>
          <w:rFonts w:ascii="Arial" w:hAnsi="Arial" w:cs="Arial"/>
          <w:sz w:val="22"/>
          <w:szCs w:val="22"/>
          <w:lang w:val="en-GB"/>
        </w:rPr>
      </w:pPr>
    </w:p>
    <w:p w:rsidRPr="00FF5098" w:rsidR="00867701" w:rsidP="00B04033" w:rsidRDefault="00AE5B6F" w14:paraId="6E676EAF" w14:textId="46D40D09" w14:noSpellErr="1">
      <w:pPr>
        <w:pStyle w:val="ListParagraph"/>
        <w:numPr>
          <w:ilvl w:val="0"/>
          <w:numId w:val="1"/>
        </w:numPr>
        <w:ind w:left="426"/>
        <w:jc w:val="both"/>
        <w:rPr>
          <w:rFonts w:ascii="Arial" w:hAnsi="Arial" w:cs="Arial"/>
          <w:sz w:val="22"/>
          <w:szCs w:val="22"/>
          <w:lang w:val="en-GB"/>
        </w:rPr>
      </w:pPr>
      <w:r w:rsidRPr="6CBF4B85" w:rsidR="6CBF4B85">
        <w:rPr>
          <w:rFonts w:ascii="Arial" w:hAnsi="Arial" w:cs="Arial"/>
          <w:sz w:val="22"/>
          <w:szCs w:val="22"/>
          <w:highlight w:val="yellow"/>
          <w:lang w:val="en-GB"/>
        </w:rPr>
        <w:t>w</w:t>
      </w:r>
      <w:r w:rsidRPr="6CBF4B85" w:rsidR="6CBF4B85">
        <w:rPr>
          <w:rFonts w:ascii="Arial" w:hAnsi="Arial" w:cs="Arial"/>
          <w:sz w:val="22"/>
          <w:szCs w:val="22"/>
          <w:highlight w:val="yellow"/>
          <w:lang w:val="en-GB"/>
        </w:rPr>
        <w:t>ithin 8 weeks of the commencement of the administration</w:t>
      </w:r>
      <w:r w:rsidRPr="6CBF4B85" w:rsidR="6CBF4B85">
        <w:rPr>
          <w:rFonts w:ascii="Arial" w:hAnsi="Arial" w:cs="Arial"/>
          <w:sz w:val="22"/>
          <w:szCs w:val="22"/>
          <w:highlight w:val="yellow"/>
          <w:lang w:val="en-GB"/>
        </w:rPr>
        <w:t>.</w:t>
      </w:r>
    </w:p>
    <w:p w:rsidRPr="00763348" w:rsidR="00763348" w:rsidP="00763348" w:rsidRDefault="00763348" w14:paraId="0D3DAC4F" w14:textId="77777777">
      <w:pPr>
        <w:ind w:left="66"/>
        <w:jc w:val="both"/>
        <w:rPr>
          <w:rFonts w:ascii="Arial" w:hAnsi="Arial" w:cs="Arial"/>
          <w:sz w:val="22"/>
          <w:szCs w:val="22"/>
          <w:lang w:val="en-GB"/>
        </w:rPr>
      </w:pPr>
    </w:p>
    <w:p w:rsidR="00867701" w:rsidP="00B04033" w:rsidRDefault="00AE5B6F" w14:paraId="110E1B53" w14:textId="697DCD59">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rsidRPr="00763348" w:rsidR="00763348" w:rsidP="00763348" w:rsidRDefault="00763348" w14:paraId="59EFF1DD" w14:textId="77777777">
      <w:pPr>
        <w:ind w:left="66"/>
        <w:jc w:val="both"/>
        <w:rPr>
          <w:rFonts w:ascii="Arial" w:hAnsi="Arial" w:cs="Arial"/>
          <w:sz w:val="22"/>
          <w:szCs w:val="22"/>
          <w:lang w:val="en-GB"/>
        </w:rPr>
      </w:pPr>
    </w:p>
    <w:p w:rsidRPr="00876F56" w:rsidR="00867701" w:rsidP="00B04033" w:rsidRDefault="00AE5B6F" w14:paraId="653AFA6B" w14:textId="01708526">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rsidR="005B79F4" w:rsidP="00C55824" w:rsidRDefault="005B79F4" w14:paraId="25EB1E9D" w14:textId="1196741D">
      <w:pPr>
        <w:jc w:val="both"/>
        <w:rPr>
          <w:rFonts w:ascii="Arial" w:hAnsi="Arial" w:cs="Arial"/>
          <w:sz w:val="22"/>
          <w:szCs w:val="22"/>
        </w:rPr>
      </w:pPr>
    </w:p>
    <w:p w:rsidRPr="00B9639B" w:rsidR="00E9597C" w:rsidP="00C55824" w:rsidRDefault="00E9597C" w14:paraId="1EDB374E" w14:textId="77777777">
      <w:pPr>
        <w:jc w:val="both"/>
        <w:rPr>
          <w:rFonts w:ascii="Arial" w:hAnsi="Arial" w:cs="Arial"/>
          <w:b/>
          <w:bCs/>
          <w:sz w:val="22"/>
          <w:szCs w:val="22"/>
        </w:rPr>
      </w:pPr>
      <w:r w:rsidRPr="00B9639B">
        <w:rPr>
          <w:rFonts w:ascii="Arial" w:hAnsi="Arial" w:cs="Arial"/>
          <w:b/>
          <w:bCs/>
          <w:sz w:val="22"/>
          <w:szCs w:val="22"/>
        </w:rPr>
        <w:t>Question 1.2</w:t>
      </w:r>
    </w:p>
    <w:p w:rsidRPr="00B9639B" w:rsidR="00E9597C" w:rsidP="00C55824" w:rsidRDefault="00E9597C" w14:paraId="2FDFDBCB" w14:textId="77777777">
      <w:pPr>
        <w:jc w:val="both"/>
        <w:rPr>
          <w:rFonts w:ascii="Arial" w:hAnsi="Arial" w:cs="Arial"/>
          <w:sz w:val="22"/>
          <w:szCs w:val="22"/>
        </w:rPr>
      </w:pPr>
    </w:p>
    <w:p w:rsidR="00867701" w:rsidP="00C55824" w:rsidRDefault="00867701" w14:paraId="76D85931" w14:textId="4E464BC2">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Pr="00AE5B6F" w:rsidR="00E443D7">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rsidRPr="006D2BBF" w:rsidR="00876F56" w:rsidP="00C55824" w:rsidRDefault="00876F56" w14:paraId="33CFB486" w14:textId="77777777">
      <w:pPr>
        <w:jc w:val="both"/>
        <w:rPr>
          <w:rFonts w:ascii="Arial" w:hAnsi="Arial" w:cs="Arial"/>
          <w:sz w:val="22"/>
          <w:szCs w:val="22"/>
          <w:lang w:val="en-GB"/>
        </w:rPr>
      </w:pPr>
    </w:p>
    <w:p w:rsidR="00867701" w:rsidP="00B04033" w:rsidRDefault="00E443D7" w14:paraId="64E2A043" w14:textId="369C0A21">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rsidRPr="00763348" w:rsidR="00763348" w:rsidP="00763348" w:rsidRDefault="00763348" w14:paraId="1B3D5D92" w14:textId="77777777">
      <w:pPr>
        <w:ind w:left="66"/>
        <w:jc w:val="both"/>
        <w:rPr>
          <w:rFonts w:ascii="Arial" w:hAnsi="Arial" w:cs="Arial"/>
          <w:sz w:val="22"/>
          <w:szCs w:val="22"/>
          <w:lang w:val="en-GB"/>
        </w:rPr>
      </w:pPr>
    </w:p>
    <w:p w:rsidR="00867701" w:rsidP="00B04033" w:rsidRDefault="00E443D7" w14:paraId="652B2718" w14:textId="2EA18A0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rsidRPr="00763348" w:rsidR="00763348" w:rsidP="00763348" w:rsidRDefault="00763348" w14:paraId="063A04BF" w14:textId="77777777">
      <w:pPr>
        <w:ind w:left="66"/>
        <w:jc w:val="both"/>
        <w:rPr>
          <w:rFonts w:ascii="Arial" w:hAnsi="Arial" w:cs="Arial"/>
          <w:sz w:val="22"/>
          <w:szCs w:val="22"/>
          <w:lang w:val="en-GB"/>
        </w:rPr>
      </w:pPr>
    </w:p>
    <w:p w:rsidR="00867701" w:rsidP="00B04033" w:rsidRDefault="00E443D7" w14:paraId="4387AE1E" w14:textId="4D4B9B92">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rsidRPr="00763348" w:rsidR="00763348" w:rsidP="00763348" w:rsidRDefault="00763348" w14:paraId="689C2081" w14:textId="77777777">
      <w:pPr>
        <w:ind w:left="66"/>
        <w:jc w:val="both"/>
        <w:rPr>
          <w:rFonts w:ascii="Arial" w:hAnsi="Arial" w:cs="Arial"/>
          <w:sz w:val="22"/>
          <w:szCs w:val="22"/>
          <w:lang w:val="en-GB"/>
        </w:rPr>
      </w:pPr>
    </w:p>
    <w:p w:rsidRPr="00FF5098" w:rsidR="00867701" w:rsidP="00B04033" w:rsidRDefault="00E443D7" w14:paraId="472F8C0A" w14:textId="0E8E31AE" w14:noSpellErr="1">
      <w:pPr>
        <w:pStyle w:val="ListParagraph"/>
        <w:numPr>
          <w:ilvl w:val="0"/>
          <w:numId w:val="2"/>
        </w:numPr>
        <w:ind w:left="426"/>
        <w:jc w:val="both"/>
        <w:rPr>
          <w:rFonts w:ascii="Arial" w:hAnsi="Arial" w:cs="Arial"/>
          <w:sz w:val="22"/>
          <w:szCs w:val="22"/>
          <w:lang w:val="en-GB"/>
        </w:rPr>
      </w:pPr>
      <w:r w:rsidRPr="6CBF4B85" w:rsidR="6CBF4B85">
        <w:rPr>
          <w:rFonts w:ascii="Arial" w:hAnsi="Arial" w:cs="Arial"/>
          <w:sz w:val="22"/>
          <w:szCs w:val="22"/>
          <w:highlight w:val="yellow"/>
          <w:lang w:val="en-GB"/>
        </w:rPr>
        <w:t>One year</w:t>
      </w:r>
      <w:r w:rsidRPr="6CBF4B85" w:rsidR="6CBF4B85">
        <w:rPr>
          <w:rFonts w:ascii="Arial" w:hAnsi="Arial" w:cs="Arial"/>
          <w:sz w:val="22"/>
          <w:szCs w:val="22"/>
          <w:highlight w:val="yellow"/>
          <w:lang w:val="en-GB"/>
        </w:rPr>
        <w:t>.</w:t>
      </w:r>
    </w:p>
    <w:p w:rsidR="005B79F4" w:rsidP="00C55824" w:rsidRDefault="005B79F4" w14:paraId="4B34F8F8" w14:textId="3B9555D5">
      <w:pPr>
        <w:ind w:left="66"/>
        <w:jc w:val="both"/>
        <w:rPr>
          <w:rFonts w:ascii="Arial" w:hAnsi="Arial" w:cs="Arial"/>
          <w:iCs/>
          <w:sz w:val="22"/>
          <w:szCs w:val="22"/>
          <w:lang w:val="en-GB"/>
        </w:rPr>
      </w:pPr>
    </w:p>
    <w:p w:rsidRPr="00B9639B" w:rsidR="00E9597C" w:rsidP="00C55824" w:rsidRDefault="00E9597C" w14:paraId="788B3207" w14:textId="77777777">
      <w:pPr>
        <w:jc w:val="both"/>
        <w:rPr>
          <w:rFonts w:ascii="Arial" w:hAnsi="Arial" w:cs="Arial"/>
          <w:b/>
          <w:bCs/>
          <w:sz w:val="22"/>
          <w:szCs w:val="22"/>
        </w:rPr>
      </w:pPr>
      <w:r w:rsidRPr="00B9639B">
        <w:rPr>
          <w:rFonts w:ascii="Arial" w:hAnsi="Arial" w:cs="Arial"/>
          <w:b/>
          <w:bCs/>
          <w:sz w:val="22"/>
          <w:szCs w:val="22"/>
        </w:rPr>
        <w:t>Question 1.3</w:t>
      </w:r>
    </w:p>
    <w:p w:rsidRPr="00B9639B" w:rsidR="00E9597C" w:rsidP="00C55824" w:rsidRDefault="00E9597C" w14:paraId="3CB02A2A" w14:textId="77777777">
      <w:pPr>
        <w:jc w:val="both"/>
        <w:rPr>
          <w:rFonts w:ascii="Arial" w:hAnsi="Arial" w:cs="Arial"/>
          <w:sz w:val="22"/>
          <w:szCs w:val="22"/>
        </w:rPr>
      </w:pPr>
    </w:p>
    <w:p w:rsidR="00867701" w:rsidP="00C55824" w:rsidRDefault="008D1616" w14:paraId="659506D1" w14:textId="5D99E47C">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rsidRPr="006D2BBF" w:rsidR="00C55824" w:rsidP="00C55824" w:rsidRDefault="00C55824" w14:paraId="5E91B5A8" w14:textId="77777777">
      <w:pPr>
        <w:jc w:val="both"/>
        <w:rPr>
          <w:rFonts w:ascii="Arial" w:hAnsi="Arial" w:cs="Arial"/>
          <w:sz w:val="22"/>
          <w:szCs w:val="22"/>
          <w:lang w:val="en-GB"/>
        </w:rPr>
      </w:pPr>
    </w:p>
    <w:p w:rsidR="008D1616" w:rsidP="00B04033" w:rsidRDefault="00AE5B6F" w14:paraId="631A3E32" w14:textId="5AAAC6E1">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Pr="008D1616" w:rsid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rsidRPr="00763348" w:rsidR="00763348" w:rsidP="00763348" w:rsidRDefault="00763348" w14:paraId="74E7D093" w14:textId="77777777">
      <w:pPr>
        <w:ind w:left="66"/>
        <w:jc w:val="both"/>
        <w:rPr>
          <w:rFonts w:ascii="Arial" w:hAnsi="Arial" w:cs="Arial"/>
          <w:sz w:val="22"/>
          <w:szCs w:val="22"/>
          <w:lang w:val="en-GB"/>
        </w:rPr>
      </w:pPr>
    </w:p>
    <w:p w:rsidR="008D1616" w:rsidP="00B04033" w:rsidRDefault="00AE5B6F" w14:paraId="00D0F383" w14:textId="66FEB296">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Pr="008D1616" w:rsid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rsidR="00763348" w:rsidP="00763348" w:rsidRDefault="00763348" w14:paraId="2B1510BD" w14:textId="62DD660B">
      <w:pPr>
        <w:ind w:left="66"/>
        <w:jc w:val="both"/>
        <w:rPr>
          <w:rFonts w:ascii="Arial" w:hAnsi="Arial" w:cs="Arial"/>
          <w:sz w:val="22"/>
          <w:szCs w:val="22"/>
          <w:lang w:val="en-GB"/>
        </w:rPr>
      </w:pPr>
    </w:p>
    <w:p w:rsidR="007E46A8" w:rsidP="00763348" w:rsidRDefault="007E46A8" w14:paraId="62A0A536" w14:textId="47EEF410">
      <w:pPr>
        <w:ind w:left="66"/>
        <w:jc w:val="both"/>
        <w:rPr>
          <w:rFonts w:ascii="Arial" w:hAnsi="Arial" w:cs="Arial"/>
          <w:sz w:val="22"/>
          <w:szCs w:val="22"/>
          <w:lang w:val="en-GB"/>
        </w:rPr>
      </w:pPr>
    </w:p>
    <w:p w:rsidRPr="00763348" w:rsidR="007E46A8" w:rsidP="00763348" w:rsidRDefault="007E46A8" w14:paraId="3515F5C9" w14:textId="77777777">
      <w:pPr>
        <w:ind w:left="66"/>
        <w:jc w:val="both"/>
        <w:rPr>
          <w:rFonts w:ascii="Arial" w:hAnsi="Arial" w:cs="Arial"/>
          <w:sz w:val="22"/>
          <w:szCs w:val="22"/>
          <w:lang w:val="en-GB"/>
        </w:rPr>
      </w:pPr>
    </w:p>
    <w:p w:rsidR="008D1616" w:rsidP="00B04033" w:rsidRDefault="00AE5B6F" w14:paraId="6B1A98EB" w14:textId="6C2F448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Pr="008D1616" w:rsid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rsidRPr="00763348" w:rsidR="00763348" w:rsidP="00763348" w:rsidRDefault="00763348" w14:paraId="097DC543" w14:textId="77777777">
      <w:pPr>
        <w:ind w:left="66"/>
        <w:jc w:val="both"/>
        <w:rPr>
          <w:rFonts w:ascii="Arial" w:hAnsi="Arial" w:cs="Arial"/>
          <w:sz w:val="22"/>
          <w:szCs w:val="22"/>
          <w:lang w:val="en-GB"/>
        </w:rPr>
      </w:pPr>
    </w:p>
    <w:p w:rsidRPr="00FF5098" w:rsidR="00867701" w:rsidP="00B04033" w:rsidRDefault="00AE5B6F" w14:paraId="6C67DEAB" w14:textId="5E53747A" w14:noSpellErr="1">
      <w:pPr>
        <w:pStyle w:val="ListParagraph"/>
        <w:numPr>
          <w:ilvl w:val="0"/>
          <w:numId w:val="3"/>
        </w:numPr>
        <w:ind w:left="426"/>
        <w:jc w:val="both"/>
        <w:rPr>
          <w:rFonts w:ascii="Arial" w:hAnsi="Arial" w:cs="Arial"/>
          <w:sz w:val="22"/>
          <w:szCs w:val="22"/>
          <w:lang w:val="en-GB"/>
        </w:rPr>
      </w:pPr>
      <w:r w:rsidRPr="6CBF4B85" w:rsidR="6CBF4B85">
        <w:rPr>
          <w:rFonts w:ascii="Arial" w:hAnsi="Arial" w:cs="Arial"/>
          <w:sz w:val="22"/>
          <w:szCs w:val="22"/>
          <w:highlight w:val="yellow"/>
          <w:lang w:val="en-GB"/>
        </w:rPr>
        <w:t>T</w:t>
      </w:r>
      <w:r w:rsidRPr="6CBF4B85" w:rsidR="6CBF4B85">
        <w:rPr>
          <w:rFonts w:ascii="Arial" w:hAnsi="Arial" w:cs="Arial"/>
          <w:sz w:val="22"/>
          <w:szCs w:val="22"/>
          <w:highlight w:val="yellow"/>
          <w:lang w:val="en-GB"/>
        </w:rPr>
        <w:t>he company is, or is likely to become, unable to pay their debts, as defined under s</w:t>
      </w:r>
      <w:r w:rsidRPr="6CBF4B85" w:rsidR="6CBF4B85">
        <w:rPr>
          <w:rFonts w:ascii="Arial" w:hAnsi="Arial" w:cs="Arial"/>
          <w:sz w:val="22"/>
          <w:szCs w:val="22"/>
          <w:highlight w:val="yellow"/>
          <w:lang w:val="en-GB"/>
        </w:rPr>
        <w:t>ection</w:t>
      </w:r>
      <w:r w:rsidRPr="6CBF4B85" w:rsidR="6CBF4B85">
        <w:rPr>
          <w:rFonts w:ascii="Arial" w:hAnsi="Arial" w:cs="Arial"/>
          <w:sz w:val="22"/>
          <w:szCs w:val="22"/>
          <w:highlight w:val="yellow"/>
          <w:lang w:val="en-GB"/>
        </w:rPr>
        <w:t xml:space="preserve"> 123 of the Insolvency Act 198</w:t>
      </w:r>
      <w:r w:rsidRPr="6CBF4B85" w:rsidR="6CBF4B85">
        <w:rPr>
          <w:rFonts w:ascii="Arial" w:hAnsi="Arial" w:cs="Arial"/>
          <w:sz w:val="22"/>
          <w:szCs w:val="22"/>
          <w:highlight w:val="yellow"/>
          <w:lang w:val="en-GB"/>
        </w:rPr>
        <w:t>6</w:t>
      </w:r>
      <w:r w:rsidRPr="6CBF4B85" w:rsidR="6CBF4B85">
        <w:rPr>
          <w:rFonts w:ascii="Arial" w:hAnsi="Arial" w:cs="Arial"/>
          <w:sz w:val="22"/>
          <w:szCs w:val="22"/>
          <w:lang w:val="en-GB"/>
        </w:rPr>
        <w:t>.</w:t>
      </w:r>
    </w:p>
    <w:p w:rsidR="008D1616" w:rsidP="00C55824" w:rsidRDefault="008D1616" w14:paraId="5A4D1428" w14:textId="77777777">
      <w:pPr>
        <w:jc w:val="both"/>
        <w:rPr>
          <w:rFonts w:ascii="Arial" w:hAnsi="Arial" w:cs="Arial"/>
          <w:b/>
          <w:bCs/>
          <w:sz w:val="22"/>
          <w:szCs w:val="22"/>
        </w:rPr>
      </w:pPr>
    </w:p>
    <w:p w:rsidRPr="00B9639B" w:rsidR="00E9597C" w:rsidP="00C55824" w:rsidRDefault="00E9597C" w14:paraId="5099C7EB" w14:textId="0A076F7F">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rsidRPr="00B9639B" w:rsidR="00E9597C" w:rsidP="00C55824" w:rsidRDefault="00E9597C" w14:paraId="67CD7462" w14:textId="49E4B21E">
      <w:pPr>
        <w:jc w:val="both"/>
        <w:rPr>
          <w:rFonts w:ascii="Arial" w:hAnsi="Arial" w:cs="Arial"/>
          <w:sz w:val="22"/>
          <w:szCs w:val="22"/>
        </w:rPr>
      </w:pPr>
    </w:p>
    <w:p w:rsidR="00867701" w:rsidP="00C55824" w:rsidRDefault="00C91062" w14:paraId="37BE982E" w14:textId="2E66BBCB">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Pr="006D2BBF" w:rsidR="00867701">
        <w:rPr>
          <w:rFonts w:ascii="Arial" w:hAnsi="Arial" w:cs="Arial"/>
          <w:sz w:val="22"/>
          <w:szCs w:val="22"/>
          <w:lang w:val="en-GB"/>
        </w:rPr>
        <w:t>?</w:t>
      </w:r>
    </w:p>
    <w:p w:rsidRPr="006D2BBF" w:rsidR="00C55824" w:rsidP="00C55824" w:rsidRDefault="00C55824" w14:paraId="7F008FCB" w14:textId="77777777">
      <w:pPr>
        <w:jc w:val="both"/>
        <w:rPr>
          <w:rFonts w:ascii="Arial" w:hAnsi="Arial" w:cs="Arial"/>
          <w:sz w:val="22"/>
          <w:szCs w:val="22"/>
          <w:lang w:val="en-GB"/>
        </w:rPr>
      </w:pPr>
    </w:p>
    <w:p w:rsidR="00867701" w:rsidP="00B04033" w:rsidRDefault="00C91062" w14:paraId="25E0FFB1" w14:textId="310AD91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rsidRPr="00763348" w:rsidR="00763348" w:rsidP="00763348" w:rsidRDefault="00763348" w14:paraId="012228F5" w14:textId="77777777">
      <w:pPr>
        <w:ind w:left="66"/>
        <w:jc w:val="both"/>
        <w:rPr>
          <w:rFonts w:ascii="Arial" w:hAnsi="Arial" w:cs="Arial"/>
          <w:sz w:val="22"/>
          <w:szCs w:val="22"/>
          <w:lang w:val="en-GB"/>
        </w:rPr>
      </w:pPr>
    </w:p>
    <w:p w:rsidR="00867701" w:rsidP="00B04033" w:rsidRDefault="00C91062" w14:paraId="43BE011E" w14:textId="000F4051">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rsidRPr="00763348" w:rsidR="00763348" w:rsidP="00763348" w:rsidRDefault="00763348" w14:paraId="2F2602FE" w14:textId="77777777">
      <w:pPr>
        <w:ind w:left="66"/>
        <w:jc w:val="both"/>
        <w:rPr>
          <w:rFonts w:ascii="Arial" w:hAnsi="Arial" w:cs="Arial"/>
          <w:sz w:val="22"/>
          <w:szCs w:val="22"/>
          <w:lang w:val="en-GB"/>
        </w:rPr>
      </w:pPr>
    </w:p>
    <w:p w:rsidRPr="00FF5098" w:rsidR="00867701" w:rsidP="00B04033" w:rsidRDefault="00C91062" w14:paraId="6B3DB13D" w14:textId="065F40C6" w14:noSpellErr="1">
      <w:pPr>
        <w:pStyle w:val="ListParagraph"/>
        <w:numPr>
          <w:ilvl w:val="0"/>
          <w:numId w:val="4"/>
        </w:numPr>
        <w:ind w:left="426"/>
        <w:jc w:val="both"/>
        <w:rPr>
          <w:rFonts w:ascii="Arial" w:hAnsi="Arial" w:cs="Arial"/>
          <w:sz w:val="22"/>
          <w:szCs w:val="22"/>
          <w:lang w:val="en-GB"/>
        </w:rPr>
      </w:pPr>
      <w:r w:rsidRPr="6CBF4B85" w:rsidR="6CBF4B85">
        <w:rPr>
          <w:rFonts w:ascii="Arial" w:hAnsi="Arial" w:cs="Arial"/>
          <w:sz w:val="22"/>
          <w:szCs w:val="22"/>
          <w:highlight w:val="yellow"/>
          <w:lang w:val="en-GB"/>
        </w:rPr>
        <w:t>The purchaser</w:t>
      </w:r>
      <w:r w:rsidRPr="6CBF4B85" w:rsidR="6CBF4B85">
        <w:rPr>
          <w:rFonts w:ascii="Arial" w:hAnsi="Arial" w:cs="Arial"/>
          <w:sz w:val="22"/>
          <w:szCs w:val="22"/>
          <w:highlight w:val="yellow"/>
          <w:lang w:val="en-GB"/>
        </w:rPr>
        <w:t>.</w:t>
      </w:r>
    </w:p>
    <w:p w:rsidRPr="00763348" w:rsidR="00763348" w:rsidP="00763348" w:rsidRDefault="00763348" w14:paraId="06844182" w14:textId="77777777">
      <w:pPr>
        <w:ind w:left="66"/>
        <w:jc w:val="both"/>
        <w:rPr>
          <w:rFonts w:ascii="Arial" w:hAnsi="Arial" w:cs="Arial"/>
          <w:sz w:val="22"/>
          <w:szCs w:val="22"/>
          <w:lang w:val="en-GB"/>
        </w:rPr>
      </w:pPr>
    </w:p>
    <w:p w:rsidRPr="00C55824" w:rsidR="00867701" w:rsidP="00B04033" w:rsidRDefault="00C91062" w14:paraId="38C56D18" w14:textId="54346684">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rsidR="0020090A" w:rsidP="00C55824" w:rsidRDefault="0020090A" w14:paraId="30A5FEA1" w14:textId="77777777">
      <w:pPr>
        <w:jc w:val="both"/>
        <w:rPr>
          <w:rFonts w:ascii="Arial" w:hAnsi="Arial" w:cs="Arial"/>
          <w:sz w:val="22"/>
          <w:szCs w:val="22"/>
        </w:rPr>
      </w:pPr>
    </w:p>
    <w:p w:rsidRPr="00B9639B" w:rsidR="00E9597C" w:rsidP="0020090A" w:rsidRDefault="00E9597C" w14:paraId="7826345D" w14:textId="77777777">
      <w:pPr>
        <w:keepNext/>
        <w:jc w:val="both"/>
        <w:rPr>
          <w:rFonts w:ascii="Arial" w:hAnsi="Arial" w:cs="Arial"/>
          <w:b/>
          <w:bCs/>
          <w:sz w:val="22"/>
          <w:szCs w:val="22"/>
        </w:rPr>
      </w:pPr>
      <w:r w:rsidRPr="00B9639B">
        <w:rPr>
          <w:rFonts w:ascii="Arial" w:hAnsi="Arial" w:cs="Arial"/>
          <w:b/>
          <w:bCs/>
          <w:sz w:val="22"/>
          <w:szCs w:val="22"/>
        </w:rPr>
        <w:t xml:space="preserve">Question 1.5 </w:t>
      </w:r>
    </w:p>
    <w:p w:rsidRPr="00B9639B" w:rsidR="00E9597C" w:rsidP="0020090A" w:rsidRDefault="00E9597C" w14:paraId="49262AAD" w14:textId="77777777">
      <w:pPr>
        <w:keepNext/>
        <w:jc w:val="both"/>
        <w:rPr>
          <w:rFonts w:ascii="Arial" w:hAnsi="Arial" w:cs="Arial"/>
          <w:b/>
          <w:bCs/>
          <w:sz w:val="22"/>
          <w:szCs w:val="22"/>
        </w:rPr>
      </w:pPr>
    </w:p>
    <w:p w:rsidR="00867701" w:rsidP="0020090A" w:rsidRDefault="00BA1CFD" w14:paraId="67BAD894" w14:textId="1A90F370">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rsidRPr="006D2BBF" w:rsidR="00C55824" w:rsidP="00C55824" w:rsidRDefault="00C55824" w14:paraId="1A7F3D4D" w14:textId="77777777">
      <w:pPr>
        <w:jc w:val="both"/>
        <w:rPr>
          <w:rFonts w:ascii="Arial" w:hAnsi="Arial" w:cs="Arial"/>
          <w:sz w:val="22"/>
          <w:szCs w:val="22"/>
          <w:lang w:val="en-GB"/>
        </w:rPr>
      </w:pPr>
    </w:p>
    <w:p w:rsidRPr="00FF5098" w:rsidR="00867701" w:rsidP="00B04033" w:rsidRDefault="00BA1CFD" w14:paraId="0613A3E0" w14:textId="373598F5">
      <w:pPr>
        <w:pStyle w:val="ListParagraph"/>
        <w:numPr>
          <w:ilvl w:val="0"/>
          <w:numId w:val="5"/>
        </w:numPr>
        <w:ind w:left="426"/>
        <w:jc w:val="both"/>
        <w:rPr>
          <w:rFonts w:ascii="Arial" w:hAnsi="Arial" w:cs="Arial"/>
          <w:sz w:val="22"/>
          <w:szCs w:val="22"/>
          <w:lang w:val="en-GB"/>
        </w:rPr>
      </w:pPr>
      <w:r w:rsidRPr="00FF5098">
        <w:rPr>
          <w:rFonts w:ascii="Arial" w:hAnsi="Arial" w:cs="Arial"/>
          <w:sz w:val="22"/>
          <w:szCs w:val="22"/>
          <w:lang w:val="en-GB"/>
        </w:rPr>
        <w:t>Administration</w:t>
      </w:r>
      <w:r w:rsidRPr="00FF5098" w:rsidR="00763348">
        <w:rPr>
          <w:rFonts w:ascii="Arial" w:hAnsi="Arial" w:cs="Arial"/>
          <w:sz w:val="22"/>
          <w:szCs w:val="22"/>
          <w:lang w:val="en-GB"/>
        </w:rPr>
        <w:t>.</w:t>
      </w:r>
    </w:p>
    <w:p w:rsidRPr="00763348" w:rsidR="00763348" w:rsidP="00763348" w:rsidRDefault="00763348" w14:paraId="1E39B630" w14:textId="77777777">
      <w:pPr>
        <w:ind w:left="66"/>
        <w:jc w:val="both"/>
        <w:rPr>
          <w:rFonts w:ascii="Arial" w:hAnsi="Arial" w:cs="Arial"/>
          <w:sz w:val="22"/>
          <w:szCs w:val="22"/>
          <w:lang w:val="en-GB"/>
        </w:rPr>
      </w:pPr>
    </w:p>
    <w:p w:rsidR="00867701" w:rsidP="00B04033" w:rsidRDefault="00BA1CFD" w14:paraId="3A827063" w14:textId="0925B7B2">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rsidRPr="00763348" w:rsidR="00763348" w:rsidP="00763348" w:rsidRDefault="00763348" w14:paraId="0704E555" w14:textId="77777777">
      <w:pPr>
        <w:ind w:left="66"/>
        <w:jc w:val="both"/>
        <w:rPr>
          <w:rFonts w:ascii="Arial" w:hAnsi="Arial" w:cs="Arial"/>
          <w:sz w:val="22"/>
          <w:szCs w:val="22"/>
          <w:lang w:val="en-GB"/>
        </w:rPr>
      </w:pPr>
    </w:p>
    <w:p w:rsidR="00867701" w:rsidP="00B04033" w:rsidRDefault="00BA1CFD" w14:paraId="391E5FA8" w14:textId="37B27145" w14:noSpellErr="1">
      <w:pPr>
        <w:pStyle w:val="ListParagraph"/>
        <w:numPr>
          <w:ilvl w:val="0"/>
          <w:numId w:val="5"/>
        </w:numPr>
        <w:ind w:left="426"/>
        <w:jc w:val="both"/>
        <w:rPr>
          <w:rFonts w:ascii="Arial" w:hAnsi="Arial" w:cs="Arial"/>
          <w:sz w:val="22"/>
          <w:szCs w:val="22"/>
          <w:lang w:val="en-GB"/>
        </w:rPr>
      </w:pPr>
      <w:r w:rsidRPr="6CBF4B85" w:rsidR="6CBF4B85">
        <w:rPr>
          <w:rFonts w:ascii="Arial" w:hAnsi="Arial" w:cs="Arial"/>
          <w:sz w:val="22"/>
          <w:szCs w:val="22"/>
          <w:highlight w:val="yellow"/>
          <w:lang w:val="en-GB"/>
        </w:rPr>
        <w:t>Scheme of Arrangement</w:t>
      </w:r>
      <w:r w:rsidRPr="6CBF4B85" w:rsidR="6CBF4B85">
        <w:rPr>
          <w:rFonts w:ascii="Arial" w:hAnsi="Arial" w:cs="Arial"/>
          <w:sz w:val="22"/>
          <w:szCs w:val="22"/>
          <w:highlight w:val="yellow"/>
          <w:lang w:val="en-GB"/>
        </w:rPr>
        <w:t>.</w:t>
      </w:r>
    </w:p>
    <w:p w:rsidRPr="00763348" w:rsidR="00763348" w:rsidP="00763348" w:rsidRDefault="00763348" w14:paraId="53B03EE1" w14:textId="77777777">
      <w:pPr>
        <w:ind w:left="66"/>
        <w:jc w:val="both"/>
        <w:rPr>
          <w:rFonts w:ascii="Arial" w:hAnsi="Arial" w:cs="Arial"/>
          <w:sz w:val="22"/>
          <w:szCs w:val="22"/>
          <w:lang w:val="en-GB"/>
        </w:rPr>
      </w:pPr>
    </w:p>
    <w:p w:rsidRPr="00C55824" w:rsidR="00867701" w:rsidP="00B04033" w:rsidRDefault="00BA1CFD" w14:paraId="5D4873C4" w14:textId="2B691D46">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rsidR="005B79F4" w:rsidP="00C55824" w:rsidRDefault="005B79F4" w14:paraId="7C11FE3C" w14:textId="1ECF12A4">
      <w:pPr>
        <w:autoSpaceDE w:val="0"/>
        <w:autoSpaceDN w:val="0"/>
        <w:adjustRightInd w:val="0"/>
        <w:jc w:val="both"/>
        <w:rPr>
          <w:rFonts w:ascii="Arial" w:hAnsi="Arial" w:cs="Arial"/>
          <w:sz w:val="22"/>
          <w:szCs w:val="22"/>
        </w:rPr>
      </w:pPr>
    </w:p>
    <w:p w:rsidRPr="00B9639B" w:rsidR="00E9597C" w:rsidP="00C55824" w:rsidRDefault="00E9597C" w14:paraId="462DBC77" w14:textId="41C248FC">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rsidRPr="00B9639B" w:rsidR="00E9597C" w:rsidP="00C55824" w:rsidRDefault="00E9597C" w14:paraId="2411DCA7" w14:textId="77777777">
      <w:pPr>
        <w:autoSpaceDE w:val="0"/>
        <w:autoSpaceDN w:val="0"/>
        <w:adjustRightInd w:val="0"/>
        <w:jc w:val="both"/>
        <w:rPr>
          <w:rFonts w:ascii="Arial" w:hAnsi="Arial" w:cs="Arial"/>
          <w:sz w:val="22"/>
          <w:szCs w:val="22"/>
        </w:rPr>
      </w:pPr>
    </w:p>
    <w:p w:rsidR="00876F56" w:rsidP="00C55824" w:rsidRDefault="00BA1CFD" w14:paraId="18D1130C" w14:textId="1A593FDE">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rsidRPr="006D2BBF" w:rsidR="00C55824" w:rsidP="00C55824" w:rsidRDefault="00C55824" w14:paraId="035AD3C3" w14:textId="77777777">
      <w:pPr>
        <w:ind w:left="720" w:hanging="720"/>
        <w:jc w:val="both"/>
        <w:rPr>
          <w:rFonts w:ascii="Arial" w:hAnsi="Arial" w:cs="Arial"/>
          <w:sz w:val="22"/>
          <w:szCs w:val="22"/>
          <w:lang w:val="en-GB"/>
        </w:rPr>
      </w:pPr>
    </w:p>
    <w:p w:rsidR="00876F56" w:rsidP="00B04033" w:rsidRDefault="00BA1CFD" w14:paraId="27D47034" w14:textId="7FDD2185">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rsidRPr="00763348" w:rsidR="00763348" w:rsidP="00763348" w:rsidRDefault="00763348" w14:paraId="3402777B" w14:textId="77777777">
      <w:pPr>
        <w:ind w:left="66"/>
        <w:jc w:val="both"/>
        <w:rPr>
          <w:rFonts w:ascii="Arial" w:hAnsi="Arial" w:cs="Arial"/>
          <w:sz w:val="22"/>
          <w:szCs w:val="22"/>
          <w:lang w:val="en-GB"/>
        </w:rPr>
      </w:pPr>
    </w:p>
    <w:p w:rsidR="00876F56" w:rsidP="00B04033" w:rsidRDefault="00BA1CFD" w14:paraId="1BE14140" w14:textId="615BE54C">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rsidRPr="00763348" w:rsidR="00763348" w:rsidP="00763348" w:rsidRDefault="00763348" w14:paraId="0968EF55" w14:textId="77777777">
      <w:pPr>
        <w:ind w:left="66"/>
        <w:jc w:val="both"/>
        <w:rPr>
          <w:rFonts w:ascii="Arial" w:hAnsi="Arial" w:cs="Arial"/>
          <w:sz w:val="22"/>
          <w:szCs w:val="22"/>
          <w:lang w:val="en-GB"/>
        </w:rPr>
      </w:pPr>
    </w:p>
    <w:p w:rsidRPr="00FF5098" w:rsidR="00876F56" w:rsidP="00B04033" w:rsidRDefault="00BA1CFD" w14:paraId="2B90FD3B" w14:textId="1D7889BA" w14:noSpellErr="1">
      <w:pPr>
        <w:pStyle w:val="ListParagraph"/>
        <w:numPr>
          <w:ilvl w:val="0"/>
          <w:numId w:val="6"/>
        </w:numPr>
        <w:ind w:left="426"/>
        <w:jc w:val="both"/>
        <w:rPr>
          <w:rFonts w:ascii="Arial" w:hAnsi="Arial" w:cs="Arial"/>
          <w:sz w:val="22"/>
          <w:szCs w:val="22"/>
          <w:lang w:val="en-GB"/>
        </w:rPr>
      </w:pPr>
      <w:r w:rsidRPr="6CBF4B85" w:rsidR="6CBF4B85">
        <w:rPr>
          <w:rFonts w:ascii="Arial" w:hAnsi="Arial" w:cs="Arial"/>
          <w:sz w:val="22"/>
          <w:szCs w:val="22"/>
          <w:highlight w:val="yellow"/>
          <w:lang w:val="en-GB"/>
        </w:rPr>
        <w:t>£1,000</w:t>
      </w:r>
    </w:p>
    <w:p w:rsidRPr="00763348" w:rsidR="00763348" w:rsidP="00763348" w:rsidRDefault="00763348" w14:paraId="6658F108" w14:textId="77777777">
      <w:pPr>
        <w:ind w:left="66"/>
        <w:jc w:val="both"/>
        <w:rPr>
          <w:rFonts w:ascii="Arial" w:hAnsi="Arial" w:cs="Arial"/>
          <w:sz w:val="22"/>
          <w:szCs w:val="22"/>
          <w:lang w:val="en-GB"/>
        </w:rPr>
      </w:pPr>
    </w:p>
    <w:p w:rsidRPr="00C55824" w:rsidR="00876F56" w:rsidP="00B04033" w:rsidRDefault="00BA1CFD" w14:paraId="744F971F" w14:textId="34485460">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rsidR="005B79F4" w:rsidP="00C55824" w:rsidRDefault="005B79F4" w14:paraId="5E8F900F" w14:textId="05EA5501">
      <w:pPr>
        <w:jc w:val="both"/>
        <w:rPr>
          <w:rFonts w:ascii="Arial" w:hAnsi="Arial" w:cs="Arial"/>
          <w:sz w:val="22"/>
          <w:szCs w:val="22"/>
        </w:rPr>
      </w:pPr>
    </w:p>
    <w:p w:rsidRPr="00B9639B" w:rsidR="00E9597C" w:rsidP="00C55824" w:rsidRDefault="00E9597C" w14:paraId="2A9B1C75" w14:textId="77777777">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rsidRPr="00B9639B" w:rsidR="00E9597C" w:rsidP="00C55824" w:rsidRDefault="00E9597C" w14:paraId="524461BA" w14:textId="77777777">
      <w:pPr>
        <w:jc w:val="both"/>
        <w:rPr>
          <w:rFonts w:ascii="Arial" w:hAnsi="Arial" w:cs="Arial"/>
          <w:sz w:val="22"/>
          <w:szCs w:val="22"/>
        </w:rPr>
      </w:pPr>
    </w:p>
    <w:p w:rsidR="00876F56" w:rsidP="00C55824" w:rsidRDefault="00BA1CFD" w14:paraId="38AAE14D" w14:textId="3FE07A0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rsidRPr="006D2BBF" w:rsidR="00C55824" w:rsidP="00C55824" w:rsidRDefault="00C55824" w14:paraId="222F119C" w14:textId="77777777">
      <w:pPr>
        <w:jc w:val="both"/>
        <w:rPr>
          <w:rFonts w:ascii="Arial" w:hAnsi="Arial" w:cs="Arial"/>
          <w:sz w:val="22"/>
          <w:szCs w:val="22"/>
          <w:lang w:val="en-GB"/>
        </w:rPr>
      </w:pPr>
    </w:p>
    <w:p w:rsidR="00876F56" w:rsidP="00B04033" w:rsidRDefault="00BA1CFD" w14:paraId="0E921A85" w14:textId="3A663CBB" w14:noSpellErr="1">
      <w:pPr>
        <w:pStyle w:val="ListParagraph"/>
        <w:numPr>
          <w:ilvl w:val="0"/>
          <w:numId w:val="7"/>
        </w:numPr>
        <w:ind w:left="426"/>
        <w:jc w:val="both"/>
        <w:rPr>
          <w:rFonts w:ascii="Arial" w:hAnsi="Arial" w:cs="Arial"/>
          <w:sz w:val="22"/>
          <w:szCs w:val="22"/>
          <w:lang w:val="en-GB"/>
        </w:rPr>
      </w:pPr>
      <w:r w:rsidRPr="6CBF4B85" w:rsidR="6CBF4B85">
        <w:rPr>
          <w:rFonts w:ascii="Arial" w:hAnsi="Arial" w:cs="Arial"/>
          <w:sz w:val="22"/>
          <w:szCs w:val="22"/>
          <w:highlight w:val="yellow"/>
          <w:lang w:val="en-GB"/>
        </w:rPr>
        <w:t>Wrongful trading</w:t>
      </w:r>
      <w:r w:rsidRPr="6CBF4B85" w:rsidR="6CBF4B85">
        <w:rPr>
          <w:rFonts w:ascii="Arial" w:hAnsi="Arial" w:cs="Arial"/>
          <w:sz w:val="22"/>
          <w:szCs w:val="22"/>
          <w:highlight w:val="yellow"/>
          <w:lang w:val="en-GB"/>
        </w:rPr>
        <w:t>.</w:t>
      </w:r>
    </w:p>
    <w:p w:rsidRPr="00763348" w:rsidR="00763348" w:rsidP="00763348" w:rsidRDefault="00763348" w14:paraId="7F34966A" w14:textId="77777777">
      <w:pPr>
        <w:ind w:left="66"/>
        <w:jc w:val="both"/>
        <w:rPr>
          <w:rFonts w:ascii="Arial" w:hAnsi="Arial" w:cs="Arial"/>
          <w:sz w:val="22"/>
          <w:szCs w:val="22"/>
          <w:lang w:val="en-GB"/>
        </w:rPr>
      </w:pPr>
    </w:p>
    <w:p w:rsidRPr="00FF5098" w:rsidR="00876F56" w:rsidP="00B04033" w:rsidRDefault="00BA1CFD" w14:paraId="1610281A" w14:textId="5B56B692">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Pr="00FF5098" w:rsidR="00763348">
        <w:rPr>
          <w:rFonts w:ascii="Arial" w:hAnsi="Arial" w:cs="Arial"/>
          <w:sz w:val="22"/>
          <w:szCs w:val="22"/>
          <w:lang w:val="en-GB"/>
        </w:rPr>
        <w:t>.</w:t>
      </w:r>
    </w:p>
    <w:p w:rsidR="00876F56" w:rsidP="00B04033" w:rsidRDefault="00BA1CFD" w14:paraId="04DF2160" w14:textId="3F4C372D">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rsidRPr="00763348" w:rsidR="00763348" w:rsidP="00763348" w:rsidRDefault="00763348" w14:paraId="69ED99EE" w14:textId="77777777">
      <w:pPr>
        <w:ind w:left="66"/>
        <w:jc w:val="both"/>
        <w:rPr>
          <w:rFonts w:ascii="Arial" w:hAnsi="Arial" w:cs="Arial"/>
          <w:sz w:val="22"/>
          <w:szCs w:val="22"/>
          <w:lang w:val="en-GB"/>
        </w:rPr>
      </w:pPr>
    </w:p>
    <w:p w:rsidRPr="009A3AB7" w:rsidR="00876F56" w:rsidP="00B04033" w:rsidRDefault="00BA1CFD" w14:paraId="7F100EA0" w14:textId="51221A58">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rsidR="005B79F4" w:rsidP="00C55824" w:rsidRDefault="005B79F4" w14:paraId="2CBB93E5" w14:textId="24599283">
      <w:pPr>
        <w:jc w:val="both"/>
        <w:rPr>
          <w:rFonts w:ascii="Arial" w:hAnsi="Arial" w:cs="Arial" w:eastAsiaTheme="minorHAnsi"/>
          <w:sz w:val="22"/>
          <w:szCs w:val="22"/>
          <w:lang w:val="en-GB"/>
        </w:rPr>
      </w:pPr>
    </w:p>
    <w:p w:rsidRPr="00B9639B" w:rsidR="00E9597C" w:rsidP="00C55824" w:rsidRDefault="00E9597C" w14:paraId="2542F9D9" w14:textId="77777777">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rsidRPr="00B9639B" w:rsidR="00E9597C" w:rsidP="00C55824" w:rsidRDefault="00E9597C" w14:paraId="2E73BC84" w14:textId="77777777">
      <w:pPr>
        <w:jc w:val="both"/>
        <w:rPr>
          <w:rFonts w:ascii="Arial" w:hAnsi="Arial" w:cs="Arial"/>
          <w:sz w:val="22"/>
          <w:szCs w:val="22"/>
        </w:rPr>
      </w:pPr>
    </w:p>
    <w:p w:rsidRPr="00C55824" w:rsidR="00876F56" w:rsidP="00C55824" w:rsidRDefault="00BA1CFD" w14:paraId="03FD1E6C" w14:textId="7626BB9B">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Pr="00AE5B6F" w:rsidR="00461F95">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Pr="00C55824" w:rsidR="00876F56">
        <w:rPr>
          <w:rFonts w:ascii="Arial" w:hAnsi="Arial" w:cs="Arial"/>
          <w:sz w:val="22"/>
          <w:szCs w:val="22"/>
          <w:lang w:val="en-GB"/>
        </w:rPr>
        <w:t>?</w:t>
      </w:r>
    </w:p>
    <w:p w:rsidRPr="006D2BBF" w:rsidR="00C55824" w:rsidP="00C55824" w:rsidRDefault="00C55824" w14:paraId="1B619245" w14:textId="77777777">
      <w:pPr>
        <w:ind w:left="720" w:hanging="720"/>
        <w:jc w:val="both"/>
        <w:rPr>
          <w:rFonts w:ascii="Arial" w:hAnsi="Arial" w:cs="Arial"/>
          <w:sz w:val="22"/>
          <w:szCs w:val="22"/>
          <w:lang w:val="en-GB"/>
        </w:rPr>
      </w:pPr>
    </w:p>
    <w:p w:rsidR="00876F56" w:rsidP="00B04033" w:rsidRDefault="00876F56" w14:paraId="2084CEBE" w14:textId="1A91C690">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rsidRPr="00763348" w:rsidR="00763348" w:rsidP="00763348" w:rsidRDefault="00763348" w14:paraId="287057A2" w14:textId="77777777">
      <w:pPr>
        <w:ind w:left="66"/>
        <w:jc w:val="both"/>
        <w:rPr>
          <w:rFonts w:ascii="Arial" w:hAnsi="Arial" w:cs="Arial"/>
          <w:sz w:val="22"/>
          <w:szCs w:val="22"/>
          <w:lang w:val="en-GB"/>
        </w:rPr>
      </w:pPr>
    </w:p>
    <w:p w:rsidR="00876F56" w:rsidP="00B04033" w:rsidRDefault="00876F56" w14:paraId="21FC2561" w14:textId="657B4AD7">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rsidRPr="00763348" w:rsidR="00763348" w:rsidP="00763348" w:rsidRDefault="00763348" w14:paraId="1A57B075" w14:textId="77777777">
      <w:pPr>
        <w:ind w:left="66"/>
        <w:jc w:val="both"/>
        <w:rPr>
          <w:rFonts w:ascii="Arial" w:hAnsi="Arial" w:cs="Arial"/>
          <w:sz w:val="22"/>
          <w:szCs w:val="22"/>
          <w:lang w:val="en-GB"/>
        </w:rPr>
      </w:pPr>
    </w:p>
    <w:p w:rsidRPr="00FF5098" w:rsidR="00876F56" w:rsidP="00B04033" w:rsidRDefault="00876F56" w14:paraId="6132CDF8" w14:textId="45F313B7" w14:noSpellErr="1">
      <w:pPr>
        <w:pStyle w:val="ListParagraph"/>
        <w:numPr>
          <w:ilvl w:val="0"/>
          <w:numId w:val="8"/>
        </w:numPr>
        <w:ind w:left="426"/>
        <w:jc w:val="both"/>
        <w:rPr>
          <w:rFonts w:ascii="Arial" w:hAnsi="Arial" w:cs="Arial"/>
          <w:sz w:val="22"/>
          <w:szCs w:val="22"/>
          <w:lang w:val="en-GB"/>
        </w:rPr>
      </w:pPr>
      <w:r w:rsidRPr="6CBF4B85" w:rsidR="6CBF4B85">
        <w:rPr>
          <w:rFonts w:ascii="Arial" w:hAnsi="Arial" w:cs="Arial"/>
          <w:sz w:val="22"/>
          <w:szCs w:val="22"/>
          <w:highlight w:val="yellow"/>
          <w:lang w:val="en-GB"/>
        </w:rPr>
        <w:t>10</w:t>
      </w:r>
    </w:p>
    <w:p w:rsidRPr="00763348" w:rsidR="00763348" w:rsidP="00763348" w:rsidRDefault="00763348" w14:paraId="589C5977" w14:textId="77777777">
      <w:pPr>
        <w:ind w:left="66"/>
        <w:jc w:val="both"/>
        <w:rPr>
          <w:rFonts w:ascii="Arial" w:hAnsi="Arial" w:cs="Arial"/>
          <w:sz w:val="22"/>
          <w:szCs w:val="22"/>
          <w:lang w:val="en-GB"/>
        </w:rPr>
      </w:pPr>
    </w:p>
    <w:p w:rsidRPr="00C55824" w:rsidR="00876F56" w:rsidP="00B04033" w:rsidRDefault="00876F56" w14:paraId="75148F7A" w14:textId="194825C1">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rsidR="005B79F4" w:rsidP="00C55824" w:rsidRDefault="005B79F4" w14:paraId="4A89722F" w14:textId="53BB4C47">
      <w:pPr>
        <w:jc w:val="both"/>
        <w:rPr>
          <w:rFonts w:ascii="Arial" w:hAnsi="Arial" w:cs="Arial" w:eastAsiaTheme="minorHAnsi"/>
          <w:sz w:val="22"/>
          <w:szCs w:val="22"/>
          <w:lang w:val="en-GB"/>
        </w:rPr>
      </w:pPr>
    </w:p>
    <w:p w:rsidRPr="00B9639B" w:rsidR="00E9597C" w:rsidP="00C55824" w:rsidRDefault="00E9597C" w14:paraId="057810FC" w14:textId="77777777">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rsidR="00E9597C" w:rsidP="00C55824" w:rsidRDefault="00E9597C" w14:paraId="596C3F7D" w14:textId="75962365">
      <w:pPr>
        <w:jc w:val="both"/>
        <w:rPr>
          <w:rFonts w:ascii="Arial" w:hAnsi="Arial" w:cs="Arial"/>
          <w:sz w:val="22"/>
          <w:szCs w:val="22"/>
        </w:rPr>
      </w:pPr>
    </w:p>
    <w:p w:rsidR="00876F56" w:rsidP="00C55824" w:rsidRDefault="00E833F4" w14:paraId="6F24FB4A" w14:textId="2E49A5DA">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Pr="00AE5B6F" w:rsidR="000D10C6">
        <w:rPr>
          <w:rFonts w:ascii="Arial" w:hAnsi="Arial" w:cs="Arial"/>
          <w:b/>
          <w:bCs/>
          <w:sz w:val="22"/>
          <w:szCs w:val="22"/>
          <w:u w:val="single"/>
          <w:lang w:val="en-GB"/>
        </w:rPr>
        <w:t>incorrect</w:t>
      </w:r>
      <w:r w:rsidRPr="00C55824" w:rsidR="00876F56">
        <w:rPr>
          <w:rFonts w:ascii="Arial" w:hAnsi="Arial" w:cs="Arial"/>
          <w:sz w:val="22"/>
          <w:szCs w:val="22"/>
          <w:lang w:val="en-GB"/>
        </w:rPr>
        <w:t>?</w:t>
      </w:r>
    </w:p>
    <w:p w:rsidRPr="00C55824" w:rsidR="00C55824" w:rsidP="00C55824" w:rsidRDefault="00C55824" w14:paraId="1FE475D6" w14:textId="77777777">
      <w:pPr>
        <w:jc w:val="both"/>
        <w:rPr>
          <w:rFonts w:ascii="Arial" w:hAnsi="Arial" w:cs="Arial"/>
          <w:sz w:val="22"/>
          <w:szCs w:val="22"/>
          <w:lang w:val="en-GB"/>
        </w:rPr>
      </w:pPr>
    </w:p>
    <w:p w:rsidRPr="00FF5098" w:rsidR="000D10C6" w:rsidP="00B04033" w:rsidRDefault="00E833F4" w14:paraId="16F83264" w14:textId="5A6C7A9B" w14:noSpellErr="1">
      <w:pPr>
        <w:pStyle w:val="ListParagraph"/>
        <w:numPr>
          <w:ilvl w:val="0"/>
          <w:numId w:val="9"/>
        </w:numPr>
        <w:ind w:left="426"/>
        <w:jc w:val="both"/>
        <w:rPr>
          <w:rFonts w:ascii="Arial" w:hAnsi="Arial" w:cs="Arial"/>
          <w:sz w:val="22"/>
          <w:szCs w:val="22"/>
          <w:lang w:val="en-GB"/>
        </w:rPr>
      </w:pPr>
      <w:r w:rsidRPr="6CBF4B85" w:rsidR="6CBF4B85">
        <w:rPr>
          <w:rFonts w:ascii="Arial" w:hAnsi="Arial" w:cs="Arial"/>
          <w:sz w:val="22"/>
          <w:szCs w:val="22"/>
          <w:highlight w:val="yellow"/>
          <w:lang w:val="en-GB"/>
        </w:rPr>
        <w:t>A</w:t>
      </w:r>
      <w:r w:rsidRPr="6CBF4B85" w:rsidR="6CBF4B85">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rsidR="00AC317D" w:rsidP="00AE5B6F" w:rsidRDefault="00AC317D" w14:paraId="29471076" w14:textId="77777777">
      <w:pPr>
        <w:pStyle w:val="ListParagraph"/>
        <w:ind w:left="426"/>
        <w:jc w:val="both"/>
        <w:rPr>
          <w:rFonts w:ascii="Arial" w:hAnsi="Arial" w:cs="Arial"/>
          <w:sz w:val="22"/>
          <w:szCs w:val="22"/>
          <w:lang w:val="en-GB"/>
        </w:rPr>
      </w:pPr>
    </w:p>
    <w:p w:rsidR="000D10C6" w:rsidP="00AE5B6F" w:rsidRDefault="000D10C6" w14:paraId="564FBFE2" w14:textId="18CB27BC">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rsidRPr="00AE5B6F" w:rsidR="00AC317D" w:rsidP="00AE5B6F" w:rsidRDefault="00AC317D" w14:paraId="2912DDDB" w14:textId="76C2B73C">
      <w:pPr>
        <w:jc w:val="both"/>
        <w:rPr>
          <w:rFonts w:ascii="Arial" w:hAnsi="Arial" w:cs="Arial"/>
          <w:sz w:val="22"/>
          <w:szCs w:val="22"/>
          <w:lang w:val="en-GB"/>
        </w:rPr>
      </w:pPr>
    </w:p>
    <w:p w:rsidR="00AC317D" w:rsidP="00AE5B6F" w:rsidRDefault="000D10C6" w14:paraId="657ABAAD" w14:textId="44C010F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rsidRPr="00AE5B6F" w:rsidR="00AC317D" w:rsidP="00AE5B6F" w:rsidRDefault="00AC317D" w14:paraId="405743D4" w14:textId="58DD46AB">
      <w:pPr>
        <w:jc w:val="both"/>
        <w:rPr>
          <w:rFonts w:ascii="Arial" w:hAnsi="Arial" w:cs="Arial"/>
          <w:sz w:val="22"/>
          <w:szCs w:val="22"/>
          <w:lang w:val="en-GB"/>
        </w:rPr>
      </w:pPr>
    </w:p>
    <w:p w:rsidRPr="000D10C6" w:rsidR="00763348" w:rsidP="00AE5B6F" w:rsidRDefault="00AC317D" w14:paraId="22EF3C05" w14:textId="1758B4D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rsidRPr="00C55824" w:rsidR="00876F56" w:rsidP="00AE5B6F" w:rsidRDefault="000D10C6" w14:paraId="1639580B" w14:textId="7E96CA34">
      <w:pPr>
        <w:ind w:left="66"/>
        <w:jc w:val="both"/>
        <w:rPr>
          <w:rFonts w:ascii="Arial" w:hAnsi="Arial" w:cs="Arial"/>
          <w:sz w:val="22"/>
          <w:szCs w:val="22"/>
          <w:lang w:val="en-GB"/>
        </w:rPr>
      </w:pPr>
      <w:r w:rsidRPr="000D10C6">
        <w:rPr>
          <w:rFonts w:ascii="Arial" w:hAnsi="Arial" w:cs="Arial"/>
          <w:sz w:val="22"/>
          <w:szCs w:val="22"/>
          <w:lang w:val="en-GB"/>
        </w:rPr>
        <w:tab/>
      </w:r>
    </w:p>
    <w:p w:rsidRPr="00B9639B" w:rsidR="00E9597C" w:rsidP="0020090A" w:rsidRDefault="00E9597C" w14:paraId="5E679430" w14:textId="33EF8B5F">
      <w:pPr>
        <w:keepNext/>
        <w:jc w:val="both"/>
        <w:rPr>
          <w:rFonts w:ascii="Arial" w:hAnsi="Arial" w:cs="Arial"/>
          <w:sz w:val="22"/>
          <w:szCs w:val="22"/>
        </w:rPr>
      </w:pPr>
      <w:r w:rsidRPr="00B9639B">
        <w:rPr>
          <w:rFonts w:ascii="Arial" w:hAnsi="Arial" w:cs="Arial"/>
          <w:b/>
          <w:bCs/>
          <w:sz w:val="22"/>
          <w:szCs w:val="22"/>
        </w:rPr>
        <w:t>Question 1.10</w:t>
      </w:r>
      <w:r w:rsidRPr="00B9639B" w:rsidR="006F4A78">
        <w:rPr>
          <w:rFonts w:ascii="Arial" w:hAnsi="Arial" w:cs="Arial"/>
          <w:sz w:val="22"/>
          <w:szCs w:val="22"/>
        </w:rPr>
        <w:t xml:space="preserve"> </w:t>
      </w:r>
    </w:p>
    <w:p w:rsidRPr="00B9639B" w:rsidR="00E9597C" w:rsidP="0020090A" w:rsidRDefault="00E9597C" w14:paraId="72785BD8" w14:textId="77777777">
      <w:pPr>
        <w:keepNext/>
        <w:jc w:val="both"/>
        <w:rPr>
          <w:rFonts w:ascii="Arial" w:hAnsi="Arial" w:cs="Arial"/>
          <w:sz w:val="22"/>
          <w:szCs w:val="22"/>
        </w:rPr>
      </w:pPr>
    </w:p>
    <w:p w:rsidR="00876F56" w:rsidP="0020090A" w:rsidRDefault="00876F56" w14:paraId="285E2325" w14:textId="522664D1">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Pr="00AE5B6F" w:rsidR="0020204E">
        <w:rPr>
          <w:rFonts w:ascii="Arial" w:hAnsi="Arial" w:cs="Arial"/>
          <w:b/>
          <w:bCs/>
          <w:sz w:val="22"/>
          <w:szCs w:val="22"/>
          <w:u w:val="single"/>
          <w:lang w:val="en-GB"/>
        </w:rPr>
        <w:t>for what period of time</w:t>
      </w:r>
      <w:r w:rsidR="0020204E">
        <w:rPr>
          <w:rFonts w:ascii="Arial" w:hAnsi="Arial" w:cs="Arial"/>
          <w:sz w:val="22"/>
          <w:szCs w:val="22"/>
          <w:lang w:val="en-GB"/>
        </w:rPr>
        <w:t>?</w:t>
      </w:r>
    </w:p>
    <w:p w:rsidRPr="00C55824" w:rsidR="00C55824" w:rsidP="0020090A" w:rsidRDefault="00C55824" w14:paraId="786079DD" w14:textId="77777777">
      <w:pPr>
        <w:keepNext/>
        <w:jc w:val="both"/>
        <w:rPr>
          <w:rFonts w:ascii="Arial" w:hAnsi="Arial" w:cs="Arial"/>
          <w:sz w:val="22"/>
          <w:szCs w:val="22"/>
          <w:lang w:val="en-GB"/>
        </w:rPr>
      </w:pPr>
    </w:p>
    <w:p w:rsidR="00876F56" w:rsidP="00B04033" w:rsidRDefault="0020204E" w14:paraId="3E7702F5" w14:textId="7FBDCF46">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rsidRPr="00763348" w:rsidR="00763348" w:rsidP="00763348" w:rsidRDefault="00763348" w14:paraId="21B2D59E" w14:textId="77777777">
      <w:pPr>
        <w:keepNext/>
        <w:ind w:left="66"/>
        <w:jc w:val="both"/>
        <w:rPr>
          <w:rFonts w:ascii="Arial" w:hAnsi="Arial" w:cs="Arial"/>
          <w:sz w:val="22"/>
          <w:szCs w:val="22"/>
          <w:lang w:val="en-GB"/>
        </w:rPr>
      </w:pPr>
    </w:p>
    <w:p w:rsidR="00876F56" w:rsidP="00B04033" w:rsidRDefault="0020204E" w14:paraId="76B9338A" w14:textId="2FC5A0D3" w14:noSpellErr="1">
      <w:pPr>
        <w:pStyle w:val="ListParagraph"/>
        <w:numPr>
          <w:ilvl w:val="0"/>
          <w:numId w:val="10"/>
        </w:numPr>
        <w:ind w:left="426"/>
        <w:jc w:val="both"/>
        <w:rPr>
          <w:rFonts w:ascii="Arial" w:hAnsi="Arial" w:cs="Arial"/>
          <w:sz w:val="22"/>
          <w:szCs w:val="22"/>
          <w:lang w:val="en-GB"/>
        </w:rPr>
      </w:pPr>
      <w:r w:rsidRPr="6CBF4B85" w:rsidR="6CBF4B85">
        <w:rPr>
          <w:rFonts w:ascii="Arial" w:hAnsi="Arial" w:cs="Arial"/>
          <w:sz w:val="22"/>
          <w:szCs w:val="22"/>
          <w:lang w:val="en-GB"/>
        </w:rPr>
        <w:t>12 months</w:t>
      </w:r>
      <w:r w:rsidRPr="6CBF4B85" w:rsidR="6CBF4B85">
        <w:rPr>
          <w:rFonts w:ascii="Arial" w:hAnsi="Arial" w:cs="Arial"/>
          <w:sz w:val="22"/>
          <w:szCs w:val="22"/>
          <w:lang w:val="en-GB"/>
        </w:rPr>
        <w:t>.</w:t>
      </w:r>
    </w:p>
    <w:p w:rsidRPr="00763348" w:rsidR="00763348" w:rsidP="00763348" w:rsidRDefault="00763348" w14:paraId="46563718" w14:textId="77777777">
      <w:pPr>
        <w:ind w:left="66"/>
        <w:jc w:val="both"/>
        <w:rPr>
          <w:rFonts w:ascii="Arial" w:hAnsi="Arial" w:cs="Arial"/>
          <w:sz w:val="22"/>
          <w:szCs w:val="22"/>
          <w:lang w:val="en-GB"/>
        </w:rPr>
      </w:pPr>
    </w:p>
    <w:p w:rsidR="00876F56" w:rsidP="00B04033" w:rsidRDefault="0020204E" w14:paraId="39FB1A5D" w14:textId="49792E19">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rsidRPr="00763348" w:rsidR="00763348" w:rsidP="00763348" w:rsidRDefault="00763348" w14:paraId="07B73EC0" w14:textId="77777777">
      <w:pPr>
        <w:ind w:left="66"/>
        <w:jc w:val="both"/>
        <w:rPr>
          <w:rFonts w:ascii="Arial" w:hAnsi="Arial" w:cs="Arial"/>
          <w:sz w:val="22"/>
          <w:szCs w:val="22"/>
          <w:lang w:val="en-GB"/>
        </w:rPr>
      </w:pPr>
    </w:p>
    <w:p w:rsidRPr="00FF5098" w:rsidR="00876F56" w:rsidP="00B04033" w:rsidRDefault="0020204E" w14:paraId="712F248B" w14:textId="56CADDBB" w14:noSpellErr="1">
      <w:pPr>
        <w:pStyle w:val="ListParagraph"/>
        <w:numPr>
          <w:ilvl w:val="0"/>
          <w:numId w:val="10"/>
        </w:numPr>
        <w:ind w:left="426"/>
        <w:jc w:val="both"/>
        <w:rPr>
          <w:rFonts w:ascii="Arial" w:hAnsi="Arial" w:cs="Arial"/>
          <w:sz w:val="22"/>
          <w:szCs w:val="22"/>
          <w:lang w:val="en-GB"/>
        </w:rPr>
      </w:pPr>
      <w:r w:rsidRPr="6CBF4B85" w:rsidR="6CBF4B85">
        <w:rPr>
          <w:rFonts w:ascii="Arial" w:hAnsi="Arial" w:cs="Arial"/>
          <w:sz w:val="22"/>
          <w:szCs w:val="22"/>
          <w:highlight w:val="yellow"/>
          <w:lang w:val="en-GB"/>
        </w:rPr>
        <w:t>5 years.</w:t>
      </w:r>
    </w:p>
    <w:p w:rsidR="005B79F4" w:rsidP="00C55824" w:rsidRDefault="005B79F4" w14:paraId="58395851" w14:textId="332DF058">
      <w:pPr>
        <w:jc w:val="both"/>
        <w:rPr>
          <w:rFonts w:ascii="Arial" w:hAnsi="Arial" w:cs="Arial"/>
          <w:b/>
          <w:sz w:val="22"/>
          <w:szCs w:val="22"/>
          <w:lang w:val="en-GB"/>
        </w:rPr>
      </w:pPr>
    </w:p>
    <w:p w:rsidR="007E46A8" w:rsidP="00C55824" w:rsidRDefault="007E46A8" w14:paraId="046A32B2" w14:textId="79277827">
      <w:pPr>
        <w:jc w:val="both"/>
        <w:rPr>
          <w:rFonts w:ascii="Arial" w:hAnsi="Arial" w:cs="Arial"/>
          <w:b/>
          <w:sz w:val="22"/>
          <w:szCs w:val="22"/>
          <w:lang w:val="en-GB"/>
        </w:rPr>
      </w:pPr>
    </w:p>
    <w:p w:rsidR="007E46A8" w:rsidP="00C55824" w:rsidRDefault="007E46A8" w14:paraId="7A3977C9" w14:textId="09B55189">
      <w:pPr>
        <w:jc w:val="both"/>
        <w:rPr>
          <w:rFonts w:ascii="Arial" w:hAnsi="Arial" w:cs="Arial"/>
          <w:b/>
          <w:sz w:val="22"/>
          <w:szCs w:val="22"/>
          <w:lang w:val="en-GB"/>
        </w:rPr>
      </w:pPr>
    </w:p>
    <w:p w:rsidR="007E46A8" w:rsidP="00C55824" w:rsidRDefault="007E46A8" w14:paraId="0C059D76" w14:textId="4E765D2E">
      <w:pPr>
        <w:jc w:val="both"/>
        <w:rPr>
          <w:rFonts w:ascii="Arial" w:hAnsi="Arial" w:cs="Arial"/>
          <w:b/>
          <w:sz w:val="22"/>
          <w:szCs w:val="22"/>
          <w:lang w:val="en-GB"/>
        </w:rPr>
      </w:pPr>
    </w:p>
    <w:p w:rsidR="007E46A8" w:rsidP="00C55824" w:rsidRDefault="007E46A8" w14:paraId="2DE19916" w14:textId="42BA9FA2">
      <w:pPr>
        <w:jc w:val="both"/>
        <w:rPr>
          <w:rFonts w:ascii="Arial" w:hAnsi="Arial" w:cs="Arial"/>
          <w:b/>
          <w:sz w:val="22"/>
          <w:szCs w:val="22"/>
          <w:lang w:val="en-GB"/>
        </w:rPr>
      </w:pPr>
    </w:p>
    <w:p w:rsidR="007E46A8" w:rsidP="00C55824" w:rsidRDefault="007E46A8" w14:paraId="0C8ADE00" w14:textId="77777777">
      <w:pPr>
        <w:jc w:val="both"/>
        <w:rPr>
          <w:rFonts w:ascii="Arial" w:hAnsi="Arial" w:cs="Arial"/>
          <w:b/>
          <w:sz w:val="22"/>
          <w:szCs w:val="22"/>
          <w:lang w:val="en-GB"/>
        </w:rPr>
      </w:pPr>
    </w:p>
    <w:p w:rsidRPr="00C55824" w:rsidR="00C55824" w:rsidP="002A37BB" w:rsidRDefault="00C55824" w14:paraId="1CA568F5" w14:textId="77777777">
      <w:pPr>
        <w:jc w:val="both"/>
        <w:rPr>
          <w:rFonts w:ascii="Arial" w:hAnsi="Arial" w:cs="Arial"/>
          <w:bCs/>
          <w:sz w:val="22"/>
          <w:szCs w:val="22"/>
          <w:lang w:val="en-GB"/>
        </w:rPr>
      </w:pPr>
    </w:p>
    <w:p w:rsidRPr="002A37BB" w:rsidR="00962045" w:rsidP="002A37BB" w:rsidRDefault="00DF75F8" w14:paraId="4FC20A3B" w14:textId="3868843A">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Pr="002A37BB" w:rsidR="00962045">
        <w:rPr>
          <w:rFonts w:ascii="Arial" w:hAnsi="Arial" w:cs="Arial"/>
          <w:b/>
          <w:sz w:val="22"/>
          <w:szCs w:val="22"/>
          <w:lang w:val="en-GB"/>
        </w:rPr>
        <w:t xml:space="preserve"> (direct questions) [10 marks] </w:t>
      </w:r>
    </w:p>
    <w:p w:rsidRPr="002A37BB" w:rsidR="00962045" w:rsidP="002A37BB" w:rsidRDefault="00962045" w14:paraId="620F47E2" w14:textId="77777777">
      <w:pPr>
        <w:ind w:left="720" w:hanging="720"/>
        <w:jc w:val="both"/>
        <w:rPr>
          <w:rFonts w:ascii="Arial" w:hAnsi="Arial" w:cs="Arial"/>
          <w:sz w:val="22"/>
          <w:szCs w:val="22"/>
          <w:lang w:val="en-GB"/>
        </w:rPr>
      </w:pPr>
    </w:p>
    <w:p w:rsidRPr="002A37BB" w:rsidR="002C13C8" w:rsidP="002A37BB" w:rsidRDefault="002C13C8" w14:paraId="40595AA6" w14:textId="3FA9409A">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Pr="002A37BB" w:rsidR="00962045">
        <w:rPr>
          <w:rFonts w:ascii="Arial" w:hAnsi="Arial" w:cs="Arial"/>
          <w:b/>
          <w:bCs/>
          <w:sz w:val="22"/>
          <w:szCs w:val="22"/>
          <w:lang w:val="en-GB"/>
        </w:rPr>
        <w:t>2.1</w:t>
      </w:r>
      <w:r w:rsidRPr="002A37BB" w:rsidR="00962045">
        <w:rPr>
          <w:rFonts w:ascii="Arial" w:hAnsi="Arial" w:cs="Arial"/>
          <w:b/>
          <w:bCs/>
          <w:sz w:val="22"/>
          <w:szCs w:val="22"/>
          <w:lang w:val="en-GB"/>
        </w:rPr>
        <w:tab/>
      </w:r>
      <w:r w:rsidRPr="002A37BB" w:rsidR="00DE03AF">
        <w:rPr>
          <w:rFonts w:ascii="Arial" w:hAnsi="Arial" w:cs="Arial"/>
          <w:b/>
          <w:bCs/>
          <w:sz w:val="22"/>
          <w:szCs w:val="22"/>
          <w:lang w:val="en-GB"/>
        </w:rPr>
        <w:t>[</w:t>
      </w:r>
      <w:r w:rsidRPr="002A37BB" w:rsidR="00D17FDC">
        <w:rPr>
          <w:rFonts w:ascii="Arial" w:hAnsi="Arial" w:cs="Arial"/>
          <w:b/>
          <w:bCs/>
          <w:sz w:val="22"/>
          <w:szCs w:val="22"/>
          <w:lang w:val="en-GB"/>
        </w:rPr>
        <w:t>m</w:t>
      </w:r>
      <w:r w:rsidRPr="002A37BB" w:rsidR="00DE03AF">
        <w:rPr>
          <w:rFonts w:ascii="Arial" w:hAnsi="Arial" w:cs="Arial"/>
          <w:b/>
          <w:bCs/>
          <w:sz w:val="22"/>
          <w:szCs w:val="22"/>
          <w:lang w:val="en-GB"/>
        </w:rPr>
        <w:t xml:space="preserve">aximum </w:t>
      </w:r>
      <w:r w:rsidR="00AC317D">
        <w:rPr>
          <w:rFonts w:ascii="Arial" w:hAnsi="Arial" w:cs="Arial"/>
          <w:b/>
          <w:bCs/>
          <w:sz w:val="22"/>
          <w:szCs w:val="22"/>
          <w:lang w:val="en-GB"/>
        </w:rPr>
        <w:t>5</w:t>
      </w:r>
      <w:r w:rsidRPr="002A37BB" w:rsidR="00DE03AF">
        <w:rPr>
          <w:rFonts w:ascii="Arial" w:hAnsi="Arial" w:cs="Arial"/>
          <w:b/>
          <w:bCs/>
          <w:sz w:val="22"/>
          <w:szCs w:val="22"/>
          <w:lang w:val="en-GB"/>
        </w:rPr>
        <w:t xml:space="preserve"> marks</w:t>
      </w:r>
      <w:r w:rsidRPr="007B5C89" w:rsidR="00DE03AF">
        <w:rPr>
          <w:rFonts w:ascii="Arial" w:hAnsi="Arial" w:cs="Arial"/>
          <w:b/>
          <w:bCs/>
          <w:sz w:val="22"/>
          <w:szCs w:val="22"/>
          <w:lang w:val="en-GB"/>
        </w:rPr>
        <w:t>]</w:t>
      </w:r>
      <w:r w:rsidRPr="002A37BB" w:rsidR="00DE03AF">
        <w:rPr>
          <w:rFonts w:ascii="Arial" w:hAnsi="Arial" w:cs="Arial"/>
          <w:sz w:val="22"/>
          <w:szCs w:val="22"/>
          <w:lang w:val="en-GB"/>
        </w:rPr>
        <w:t xml:space="preserve"> </w:t>
      </w:r>
    </w:p>
    <w:p w:rsidRPr="002A37BB" w:rsidR="002C13C8" w:rsidP="002A37BB" w:rsidRDefault="002C13C8" w14:paraId="36EB02DF" w14:textId="77777777">
      <w:pPr>
        <w:ind w:left="720" w:hanging="720"/>
        <w:jc w:val="both"/>
        <w:rPr>
          <w:rFonts w:ascii="Arial" w:hAnsi="Arial" w:cs="Arial"/>
          <w:sz w:val="22"/>
          <w:szCs w:val="22"/>
          <w:lang w:val="en-GB"/>
        </w:rPr>
      </w:pPr>
    </w:p>
    <w:p w:rsidR="00241FA3" w:rsidP="00AC317D" w:rsidRDefault="0080441E" w14:paraId="092B3E2C" w14:textId="79F14790">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Pr="006D2BBF" w:rsidR="0020090A">
        <w:rPr>
          <w:rFonts w:ascii="Arial" w:hAnsi="Arial" w:cs="Arial"/>
          <w:sz w:val="22"/>
          <w:szCs w:val="22"/>
          <w:lang w:val="en-GB"/>
        </w:rPr>
        <w:t>?</w:t>
      </w:r>
    </w:p>
    <w:p w:rsidRPr="002A37BB" w:rsidR="0020090A" w:rsidP="002A37BB" w:rsidRDefault="0020090A" w14:paraId="3BBFAC96" w14:textId="77777777">
      <w:pPr>
        <w:ind w:left="720" w:hanging="720"/>
        <w:jc w:val="both"/>
        <w:rPr>
          <w:rFonts w:ascii="Arial" w:hAnsi="Arial" w:cs="Arial"/>
          <w:sz w:val="22"/>
          <w:szCs w:val="22"/>
          <w:lang w:val="en-GB"/>
        </w:rPr>
      </w:pPr>
    </w:p>
    <w:p w:rsidRPr="00FF5098" w:rsidR="00AE5B6F" w:rsidP="6CBF4B85" w:rsidRDefault="00FF5098" w14:paraId="6ACAD288" w14:textId="00DF877C">
      <w:pPr>
        <w:jc w:val="both"/>
        <w:rPr>
          <w:rFonts w:ascii="Arial" w:hAnsi="Arial" w:cs="Arial"/>
          <w:color w:val="7B7B7B" w:themeColor="accent3" w:themeTint="FF" w:themeShade="BF"/>
          <w:sz w:val="22"/>
          <w:szCs w:val="22"/>
          <w:lang w:val="en-GB"/>
        </w:rPr>
      </w:pPr>
      <w:r w:rsidRPr="6CBF4B85" w:rsidR="6CBF4B85">
        <w:rPr>
          <w:rFonts w:ascii="Arial" w:hAnsi="Arial" w:cs="Arial"/>
          <w:color w:val="7B7B7B" w:themeColor="accent3" w:themeTint="FF" w:themeShade="BF"/>
          <w:sz w:val="22"/>
          <w:szCs w:val="22"/>
          <w:lang w:val="en-GB"/>
        </w:rPr>
        <w:t>[(</w:t>
      </w:r>
      <w:proofErr w:type="spellStart"/>
      <w:r w:rsidRPr="6CBF4B85" w:rsidR="6CBF4B85">
        <w:rPr>
          <w:rFonts w:ascii="Arial" w:hAnsi="Arial" w:cs="Arial"/>
          <w:color w:val="7B7B7B" w:themeColor="accent3" w:themeTint="FF" w:themeShade="BF"/>
          <w:sz w:val="22"/>
          <w:szCs w:val="22"/>
          <w:lang w:val="en-GB"/>
        </w:rPr>
        <w:t>i</w:t>
      </w:r>
      <w:proofErr w:type="spellEnd"/>
      <w:r w:rsidRPr="6CBF4B85" w:rsidR="6CBF4B85">
        <w:rPr>
          <w:rFonts w:ascii="Arial" w:hAnsi="Arial" w:cs="Arial"/>
          <w:color w:val="7B7B7B" w:themeColor="accent3" w:themeTint="FF" w:themeShade="BF"/>
          <w:sz w:val="22"/>
          <w:szCs w:val="22"/>
          <w:lang w:val="en-GB"/>
        </w:rPr>
        <w:t>) the following persons have the right to bring an action under section 423 of the Insolvency Act 1986 (“</w:t>
      </w:r>
      <w:r w:rsidRPr="6CBF4B85" w:rsidR="6CBF4B85">
        <w:rPr>
          <w:rFonts w:ascii="Arial" w:hAnsi="Arial" w:cs="Arial"/>
          <w:b w:val="1"/>
          <w:bCs w:val="1"/>
          <w:color w:val="7B7B7B" w:themeColor="accent3" w:themeTint="FF" w:themeShade="BF"/>
          <w:sz w:val="22"/>
          <w:szCs w:val="22"/>
          <w:lang w:val="en-GB"/>
        </w:rPr>
        <w:t>IA</w:t>
      </w:r>
      <w:r w:rsidRPr="6CBF4B85" w:rsidR="6CBF4B85">
        <w:rPr>
          <w:rFonts w:ascii="Arial" w:hAnsi="Arial" w:cs="Arial"/>
          <w:color w:val="7B7B7B" w:themeColor="accent3" w:themeTint="FF" w:themeShade="BF"/>
          <w:sz w:val="22"/>
          <w:szCs w:val="22"/>
          <w:lang w:val="en-GB"/>
        </w:rPr>
        <w:t>”): (1) where the company is in administration or liquidation, the official receiver, liquidator, administrator and (with leave) any victim of the transaction; (2) where a victim is bound by a voluntary administration, the supervisor of the voluntary arrangement or any victim of the transaction; (3) in any other case, a victim of the transaction.</w:t>
      </w:r>
    </w:p>
    <w:p w:rsidRPr="00FF5098" w:rsidR="00AE5B6F" w:rsidP="6CBF4B85" w:rsidRDefault="00FF5098" w14:paraId="2D457F51" w14:textId="7C71E937">
      <w:pPr>
        <w:jc w:val="both"/>
        <w:rPr>
          <w:rFonts w:ascii="Arial" w:hAnsi="Arial" w:cs="Arial"/>
          <w:color w:val="7B7B7B" w:themeColor="accent3" w:themeTint="FF" w:themeShade="BF"/>
          <w:sz w:val="22"/>
          <w:szCs w:val="22"/>
          <w:lang w:val="en-GB"/>
        </w:rPr>
      </w:pPr>
    </w:p>
    <w:p w:rsidRPr="00FF5098" w:rsidR="00AE5B6F" w:rsidP="6CBF4B85" w:rsidRDefault="00FF5098" w14:paraId="0C020CE5" w14:textId="683C2C22">
      <w:pPr>
        <w:pStyle w:val="Normal"/>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color w:val="7B7B7B" w:themeColor="accent3" w:themeTint="FF" w:themeShade="BF"/>
          <w:sz w:val="22"/>
          <w:szCs w:val="22"/>
          <w:lang w:val="en-GB"/>
        </w:rPr>
        <w:t xml:space="preserve">(ii) an action under section 6 of the Company Directors Disqualification Act 1986 may be brought by </w:t>
      </w:r>
      <w:r w:rsidRPr="7C870B9B" w:rsidR="7C870B9B">
        <w:rPr>
          <w:rFonts w:ascii="Arial" w:hAnsi="Arial" w:eastAsia="Times New Roman" w:cs="Arial"/>
          <w:color w:val="7B7B7B" w:themeColor="accent3" w:themeTint="FF" w:themeShade="BF"/>
          <w:sz w:val="22"/>
          <w:szCs w:val="22"/>
          <w:lang w:val="en-GB"/>
        </w:rPr>
        <w:t>the Secretary of State, or by the official receiver if the Secretary of State so directs in the case of a person who is or has been a director of a company which is being wound up by the court</w:t>
      </w:r>
      <w:r w:rsidRPr="7C870B9B" w:rsidR="7C870B9B">
        <w:rPr>
          <w:rFonts w:ascii="Arial" w:hAnsi="Arial" w:eastAsia="Times New Roman" w:cs="Arial"/>
          <w:color w:val="7B7B7B" w:themeColor="accent3" w:themeTint="FF" w:themeShade="BF"/>
          <w:sz w:val="22"/>
          <w:szCs w:val="22"/>
          <w:lang w:val="en-GB"/>
        </w:rPr>
        <w:t>.</w:t>
      </w:r>
    </w:p>
    <w:p w:rsidRPr="00FF5098" w:rsidR="00AE5B6F" w:rsidP="6CBF4B85" w:rsidRDefault="00FF5098" w14:paraId="243DB087" w14:textId="5BEF318D">
      <w:pPr>
        <w:pStyle w:val="Normal"/>
        <w:jc w:val="both"/>
        <w:rPr>
          <w:rFonts w:ascii="Calibri" w:hAnsi="Calibri" w:eastAsia="Times New Roman" w:cs=""/>
          <w:color w:val="7B7B7B" w:themeColor="accent3" w:themeTint="FF" w:themeShade="BF"/>
          <w:sz w:val="20"/>
          <w:szCs w:val="20"/>
          <w:lang w:val="en-GB"/>
        </w:rPr>
      </w:pPr>
    </w:p>
    <w:p w:rsidRPr="00FF5098" w:rsidR="00AE5B6F" w:rsidP="006624AB" w:rsidRDefault="00FF5098" w14:paraId="7061C9D6" w14:textId="4259916C">
      <w:pPr>
        <w:jc w:val="both"/>
        <w:rPr>
          <w:rFonts w:ascii="Arial" w:hAnsi="Arial" w:cs="Arial"/>
          <w:color w:val="7B7B7B" w:themeColor="accent3" w:themeShade="BF"/>
          <w:sz w:val="22"/>
          <w:szCs w:val="22"/>
          <w:lang w:val="en-GB"/>
        </w:rPr>
      </w:pPr>
      <w:r w:rsidRPr="6CBF4B85" w:rsidR="6CBF4B85">
        <w:rPr>
          <w:rFonts w:ascii="Arial" w:hAnsi="Arial" w:cs="Arial"/>
          <w:color w:val="7B7B7B" w:themeColor="accent3" w:themeTint="FF" w:themeShade="BF"/>
          <w:sz w:val="22"/>
          <w:szCs w:val="22"/>
          <w:lang w:val="en-GB"/>
        </w:rPr>
        <w:t>(iii) the administrator may bring an action under section 246ZB of the IA.]</w:t>
      </w:r>
    </w:p>
    <w:p w:rsidR="00DE03AF" w:rsidP="002A37BB" w:rsidRDefault="00DE03AF" w14:paraId="22C610C9" w14:textId="27725A01">
      <w:pPr>
        <w:jc w:val="both"/>
        <w:rPr>
          <w:rFonts w:ascii="Arial" w:hAnsi="Arial" w:cs="Arial"/>
          <w:sz w:val="22"/>
          <w:szCs w:val="22"/>
        </w:rPr>
      </w:pPr>
    </w:p>
    <w:p w:rsidRPr="002A37BB" w:rsidR="00FF5098" w:rsidP="002A37BB" w:rsidRDefault="00FF5098" w14:paraId="68F3A59D" w14:textId="77777777">
      <w:pPr>
        <w:jc w:val="both"/>
        <w:rPr>
          <w:rFonts w:ascii="Arial" w:hAnsi="Arial" w:cs="Arial"/>
          <w:sz w:val="22"/>
          <w:szCs w:val="22"/>
        </w:rPr>
      </w:pPr>
    </w:p>
    <w:p w:rsidRPr="002A37BB" w:rsidR="00C72848" w:rsidP="002A37BB" w:rsidRDefault="00C72848" w14:paraId="34516371" w14:textId="0E17B3B9">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Pr="002A37BB" w:rsidR="00E6452F">
        <w:rPr>
          <w:rFonts w:ascii="Arial" w:hAnsi="Arial" w:cs="Arial"/>
          <w:b/>
          <w:bCs/>
          <w:sz w:val="22"/>
          <w:szCs w:val="22"/>
          <w:lang w:val="en-GB"/>
        </w:rPr>
        <w:t>2.</w:t>
      </w:r>
      <w:r w:rsidR="00E833F4">
        <w:rPr>
          <w:rFonts w:ascii="Arial" w:hAnsi="Arial" w:cs="Arial"/>
          <w:b/>
          <w:bCs/>
          <w:sz w:val="22"/>
          <w:szCs w:val="22"/>
          <w:lang w:val="en-GB"/>
        </w:rPr>
        <w:t>2</w:t>
      </w:r>
      <w:r w:rsidRPr="002A37BB" w:rsidR="00E6452F">
        <w:rPr>
          <w:rFonts w:ascii="Arial" w:hAnsi="Arial" w:cs="Arial"/>
          <w:b/>
          <w:bCs/>
          <w:sz w:val="22"/>
          <w:szCs w:val="22"/>
          <w:lang w:val="en-GB"/>
        </w:rPr>
        <w:tab/>
      </w:r>
      <w:r w:rsidRPr="002A37BB" w:rsidR="00E6452F">
        <w:rPr>
          <w:rFonts w:ascii="Arial" w:hAnsi="Arial" w:cs="Arial"/>
          <w:b/>
          <w:bCs/>
          <w:sz w:val="22"/>
          <w:szCs w:val="22"/>
          <w:lang w:val="en-GB"/>
        </w:rPr>
        <w:t>[</w:t>
      </w:r>
      <w:r w:rsidRPr="002A37BB" w:rsidR="00D17FDC">
        <w:rPr>
          <w:rFonts w:ascii="Arial" w:hAnsi="Arial" w:cs="Arial"/>
          <w:b/>
          <w:bCs/>
          <w:sz w:val="22"/>
          <w:szCs w:val="22"/>
          <w:lang w:val="en-GB"/>
        </w:rPr>
        <w:t>m</w:t>
      </w:r>
      <w:r w:rsidRPr="002A37BB" w:rsidR="00E6452F">
        <w:rPr>
          <w:rFonts w:ascii="Arial" w:hAnsi="Arial" w:cs="Arial"/>
          <w:b/>
          <w:bCs/>
          <w:sz w:val="22"/>
          <w:szCs w:val="22"/>
          <w:lang w:val="en-GB"/>
        </w:rPr>
        <w:t xml:space="preserve">aximum </w:t>
      </w:r>
      <w:r w:rsidR="003A4482">
        <w:rPr>
          <w:rFonts w:ascii="Arial" w:hAnsi="Arial" w:cs="Arial"/>
          <w:b/>
          <w:bCs/>
          <w:sz w:val="22"/>
          <w:szCs w:val="22"/>
          <w:lang w:val="en-GB"/>
        </w:rPr>
        <w:t>5</w:t>
      </w:r>
      <w:r w:rsidRPr="002A37BB" w:rsidR="00E6452F">
        <w:rPr>
          <w:rFonts w:ascii="Arial" w:hAnsi="Arial" w:cs="Arial"/>
          <w:b/>
          <w:bCs/>
          <w:sz w:val="22"/>
          <w:szCs w:val="22"/>
          <w:lang w:val="en-GB"/>
        </w:rPr>
        <w:t xml:space="preserve"> marks] </w:t>
      </w:r>
    </w:p>
    <w:p w:rsidRPr="002A37BB" w:rsidR="00C72848" w:rsidP="002A37BB" w:rsidRDefault="00C72848" w14:paraId="64670543" w14:textId="77777777">
      <w:pPr>
        <w:ind w:left="720" w:hanging="720"/>
        <w:jc w:val="both"/>
        <w:rPr>
          <w:rFonts w:ascii="Arial" w:hAnsi="Arial" w:cs="Arial"/>
          <w:b/>
          <w:bCs/>
          <w:sz w:val="22"/>
          <w:szCs w:val="22"/>
          <w:lang w:val="en-GB"/>
        </w:rPr>
      </w:pPr>
    </w:p>
    <w:p w:rsidR="00962045" w:rsidP="00763348" w:rsidRDefault="00FA417D" w14:paraId="28FA893F" w14:textId="26906D2C">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Pr="00763348" w:rsidR="00763348">
        <w:rPr>
          <w:rFonts w:ascii="Arial" w:hAnsi="Arial" w:cs="Arial"/>
          <w:b/>
          <w:bCs/>
          <w:sz w:val="22"/>
          <w:szCs w:val="22"/>
          <w:lang w:val="en-GB"/>
        </w:rPr>
        <w:t>(</w:t>
      </w:r>
      <w:r w:rsidR="00AC317D">
        <w:rPr>
          <w:rFonts w:ascii="Arial" w:hAnsi="Arial" w:cs="Arial"/>
          <w:b/>
          <w:bCs/>
          <w:sz w:val="22"/>
          <w:szCs w:val="22"/>
          <w:lang w:val="en-GB"/>
        </w:rPr>
        <w:t>5</w:t>
      </w:r>
      <w:r w:rsidRPr="00763348" w:rsid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rsidRPr="002A37BB" w:rsidR="00FA417D" w:rsidP="002A37BB" w:rsidRDefault="00FA417D" w14:paraId="3C47960C" w14:textId="77777777">
      <w:pPr>
        <w:ind w:left="720" w:hanging="720"/>
        <w:jc w:val="both"/>
        <w:rPr>
          <w:rFonts w:ascii="Arial" w:hAnsi="Arial" w:cs="Arial"/>
          <w:sz w:val="22"/>
          <w:szCs w:val="22"/>
          <w:lang w:val="en-GB"/>
        </w:rPr>
      </w:pPr>
    </w:p>
    <w:p w:rsidRPr="00FF5098" w:rsidR="00FF5098" w:rsidP="6CBF4B85" w:rsidRDefault="00FF5098" w14:paraId="33D28B27" w14:textId="78FE84FD">
      <w:pPr>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 xml:space="preserve">[(1) correspondence. If liquidators </w:t>
      </w:r>
      <w:r w:rsidRPr="7C870B9B" w:rsidR="7C870B9B">
        <w:rPr>
          <w:rFonts w:ascii="Arial" w:hAnsi="Arial" w:cs="Arial"/>
          <w:color w:val="7B7B7B" w:themeColor="accent3" w:themeTint="FF" w:themeShade="BF"/>
          <w:sz w:val="22"/>
          <w:szCs w:val="22"/>
          <w:lang w:val="en-GB"/>
        </w:rPr>
        <w:t>intend</w:t>
      </w:r>
      <w:r w:rsidRPr="7C870B9B" w:rsidR="7C870B9B">
        <w:rPr>
          <w:rFonts w:ascii="Arial" w:hAnsi="Arial" w:cs="Arial"/>
          <w:color w:val="7B7B7B" w:themeColor="accent3" w:themeTint="FF" w:themeShade="BF"/>
          <w:sz w:val="22"/>
          <w:szCs w:val="22"/>
          <w:lang w:val="en-GB"/>
        </w:rPr>
        <w:t xml:space="preserve"> to use the correspondence procedure, he should send each creditor a notice of the decision procedure and a voting form. Creditors may vote by returning the completed voting form.</w:t>
      </w:r>
    </w:p>
    <w:p w:rsidR="7C870B9B" w:rsidP="7C870B9B" w:rsidRDefault="7C870B9B" w14:paraId="7925C030" w14:textId="557CA17D">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0F1B278B" w14:textId="267949DA">
      <w:pPr>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(2) electronic voting. Liquidators may elect to use an electronic voting system by which creditors can vote at any time without the need to attend at a particular location, for example Outlook voting buttons.</w:t>
      </w:r>
    </w:p>
    <w:p w:rsidR="7C870B9B" w:rsidP="7C870B9B" w:rsidRDefault="7C870B9B" w14:paraId="19EF7951" w14:textId="71ECDE9F">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55F5B31A" w14:textId="1EFD2331">
      <w:pPr>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(3) virtual meeting. Liquidators may elect to hold a virtual meeting where creditors are not physically present at the same location but may participate and communicate directly with all the others, and vote at the meeting, for example, Zoom meeting.</w:t>
      </w:r>
    </w:p>
    <w:p w:rsidR="7C870B9B" w:rsidP="7C870B9B" w:rsidRDefault="7C870B9B" w14:paraId="3DB755C5" w14:textId="0336DF27">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5AFDB299" w14:textId="6D9FC893">
      <w:pPr>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 xml:space="preserve">(4) physical meeting. Liquidators may elect to hold a physical meeting where creditors may participate in person or by proxy at the location of the meeting, and decisions will be made by creditors at the meeting (in person or by proxy) by voting. </w:t>
      </w:r>
    </w:p>
    <w:p w:rsidR="7C870B9B" w:rsidP="7C870B9B" w:rsidRDefault="7C870B9B" w14:paraId="146496B2" w14:textId="191CBFFF">
      <w:pPr>
        <w:jc w:val="both"/>
        <w:rPr>
          <w:rFonts w:ascii="Arial" w:hAnsi="Arial" w:cs="Arial"/>
          <w:color w:val="7B7B7B" w:themeColor="accent3" w:themeTint="FF" w:themeShade="BF"/>
          <w:sz w:val="22"/>
          <w:szCs w:val="22"/>
          <w:lang w:val="en-GB"/>
        </w:rPr>
      </w:pPr>
    </w:p>
    <w:p w:rsidRPr="00FF5098" w:rsidR="00FF5098" w:rsidP="6CBF4B85" w:rsidRDefault="00FF5098" w14:paraId="00BCF092" w14:textId="0FB49B1E">
      <w:pPr>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 xml:space="preserve">(5) any other </w:t>
      </w:r>
      <w:proofErr w:type="gramStart"/>
      <w:r w:rsidRPr="7C870B9B" w:rsidR="7C870B9B">
        <w:rPr>
          <w:rFonts w:ascii="Arial" w:hAnsi="Arial" w:cs="Arial"/>
          <w:color w:val="7B7B7B" w:themeColor="accent3" w:themeTint="FF" w:themeShade="BF"/>
          <w:sz w:val="22"/>
          <w:szCs w:val="22"/>
          <w:lang w:val="en-GB"/>
        </w:rPr>
        <w:t>decision making</w:t>
      </w:r>
      <w:proofErr w:type="gramEnd"/>
      <w:r w:rsidRPr="7C870B9B" w:rsidR="7C870B9B">
        <w:rPr>
          <w:rFonts w:ascii="Arial" w:hAnsi="Arial" w:cs="Arial"/>
          <w:color w:val="7B7B7B" w:themeColor="accent3" w:themeTint="FF" w:themeShade="BF"/>
          <w:sz w:val="22"/>
          <w:szCs w:val="22"/>
          <w:lang w:val="en-GB"/>
        </w:rPr>
        <w:t xml:space="preserve"> procedure which enables all creditors who are entitled to participate in the making of the decision to participate equally.</w:t>
      </w:r>
    </w:p>
    <w:p w:rsidR="7C870B9B" w:rsidP="7C870B9B" w:rsidRDefault="7C870B9B" w14:paraId="6BC1DD95" w14:textId="61562C4A">
      <w:pPr>
        <w:pStyle w:val="Normal"/>
        <w:jc w:val="both"/>
        <w:rPr>
          <w:rFonts w:ascii="Calibri" w:hAnsi="Calibri" w:eastAsia="Times New Roman" w:cs=""/>
          <w:color w:val="7B7B7B" w:themeColor="accent3" w:themeTint="FF" w:themeShade="BF"/>
          <w:sz w:val="20"/>
          <w:szCs w:val="20"/>
          <w:lang w:val="en-GB"/>
        </w:rPr>
      </w:pPr>
    </w:p>
    <w:p w:rsidRPr="00FF5098" w:rsidR="00FF5098" w:rsidP="00FF5098" w:rsidRDefault="00FF5098" w14:paraId="4E1236F0" w14:textId="259CFA12">
      <w:pPr>
        <w:jc w:val="both"/>
        <w:rPr>
          <w:rFonts w:ascii="Arial" w:hAnsi="Arial" w:cs="Arial"/>
          <w:color w:val="7B7B7B" w:themeColor="accent3" w:themeShade="BF"/>
          <w:sz w:val="22"/>
          <w:szCs w:val="22"/>
          <w:lang w:val="en-GB"/>
        </w:rPr>
      </w:pPr>
      <w:r w:rsidRPr="6CBF4B85" w:rsidR="6CBF4B85">
        <w:rPr>
          <w:rFonts w:ascii="Arial" w:hAnsi="Arial" w:cs="Arial"/>
          <w:color w:val="7B7B7B" w:themeColor="accent3" w:themeTint="FF" w:themeShade="BF"/>
          <w:sz w:val="22"/>
          <w:szCs w:val="22"/>
          <w:lang w:val="en-GB"/>
        </w:rPr>
        <w:t>(r15.3 of the Insolvency (England and Wales) Rules 2016]</w:t>
      </w:r>
    </w:p>
    <w:p w:rsidR="0045683E" w:rsidP="002A37BB" w:rsidRDefault="0045683E" w14:paraId="572227E7" w14:textId="5413394B">
      <w:pPr>
        <w:jc w:val="both"/>
        <w:rPr>
          <w:rFonts w:ascii="Arial" w:hAnsi="Arial" w:cs="Arial"/>
          <w:bCs/>
          <w:sz w:val="22"/>
          <w:szCs w:val="22"/>
          <w:lang w:val="en-GB"/>
        </w:rPr>
      </w:pPr>
    </w:p>
    <w:p w:rsidRPr="002A37BB" w:rsidR="00FF5098" w:rsidP="002A37BB" w:rsidRDefault="00FF5098" w14:paraId="0089DF92" w14:textId="77777777">
      <w:pPr>
        <w:jc w:val="both"/>
        <w:rPr>
          <w:rFonts w:ascii="Arial" w:hAnsi="Arial" w:cs="Arial"/>
          <w:bCs/>
          <w:sz w:val="22"/>
          <w:szCs w:val="22"/>
          <w:lang w:val="en-GB"/>
        </w:rPr>
      </w:pPr>
    </w:p>
    <w:p w:rsidRPr="002A37BB" w:rsidR="00962045" w:rsidP="002A37BB" w:rsidRDefault="00DF75F8" w14:paraId="170A9E71" w14:textId="2B46E193">
      <w:pPr>
        <w:jc w:val="both"/>
        <w:rPr>
          <w:rFonts w:ascii="Arial" w:hAnsi="Arial" w:cs="Arial"/>
          <w:b/>
          <w:sz w:val="22"/>
          <w:szCs w:val="22"/>
          <w:lang w:val="en-GB"/>
        </w:rPr>
      </w:pPr>
      <w:r w:rsidRPr="002A37BB">
        <w:rPr>
          <w:rFonts w:ascii="Arial" w:hAnsi="Arial" w:cs="Arial"/>
          <w:b/>
          <w:sz w:val="22"/>
          <w:szCs w:val="22"/>
          <w:lang w:val="en-GB"/>
        </w:rPr>
        <w:t>QUESTION</w:t>
      </w:r>
      <w:r w:rsidRPr="002A37BB" w:rsidR="00962045">
        <w:rPr>
          <w:rFonts w:ascii="Arial" w:hAnsi="Arial" w:cs="Arial"/>
          <w:b/>
          <w:sz w:val="22"/>
          <w:szCs w:val="22"/>
          <w:lang w:val="en-GB"/>
        </w:rPr>
        <w:t xml:space="preserve"> 3 (essay-type questions) [15 marks</w:t>
      </w:r>
      <w:r w:rsidRPr="002A37BB" w:rsidR="006A2646">
        <w:rPr>
          <w:rFonts w:ascii="Arial" w:hAnsi="Arial" w:cs="Arial"/>
          <w:b/>
          <w:sz w:val="22"/>
          <w:szCs w:val="22"/>
          <w:lang w:val="en-GB"/>
        </w:rPr>
        <w:t xml:space="preserve"> in total</w:t>
      </w:r>
      <w:r w:rsidRPr="002A37BB" w:rsidR="00962045">
        <w:rPr>
          <w:rFonts w:ascii="Arial" w:hAnsi="Arial" w:cs="Arial"/>
          <w:b/>
          <w:sz w:val="22"/>
          <w:szCs w:val="22"/>
          <w:lang w:val="en-GB"/>
        </w:rPr>
        <w:t xml:space="preserve">] </w:t>
      </w:r>
    </w:p>
    <w:p w:rsidRPr="002A37BB" w:rsidR="00962045" w:rsidP="002A37BB" w:rsidRDefault="00962045" w14:paraId="0D6D151E" w14:textId="1C7A4CD8">
      <w:pPr>
        <w:jc w:val="both"/>
        <w:rPr>
          <w:rFonts w:ascii="Arial" w:hAnsi="Arial" w:cs="Arial"/>
          <w:sz w:val="22"/>
          <w:szCs w:val="22"/>
          <w:lang w:val="en-GB"/>
        </w:rPr>
      </w:pPr>
    </w:p>
    <w:p w:rsidRPr="002A37BB" w:rsidR="00C550C8" w:rsidP="002A37BB" w:rsidRDefault="00C550C8" w14:paraId="4DDCEC2C" w14:textId="4B64ABBE">
      <w:pPr>
        <w:ind w:left="720" w:hanging="720"/>
        <w:jc w:val="both"/>
        <w:rPr>
          <w:rFonts w:ascii="Arial" w:hAnsi="Arial" w:cs="Arial"/>
          <w:sz w:val="22"/>
          <w:szCs w:val="22"/>
        </w:rPr>
      </w:pPr>
      <w:r w:rsidRPr="002A37BB">
        <w:rPr>
          <w:rFonts w:ascii="Arial" w:hAnsi="Arial" w:cs="Arial"/>
          <w:b/>
          <w:bCs/>
          <w:sz w:val="22"/>
          <w:szCs w:val="22"/>
        </w:rPr>
        <w:t xml:space="preserve">Question </w:t>
      </w:r>
      <w:r w:rsidRPr="002A37BB" w:rsidR="00807119">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Pr="002A37BB" w:rsidR="006A2646">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rsidRPr="002A37BB" w:rsidR="00C550C8" w:rsidP="002A37BB" w:rsidRDefault="00C550C8" w14:paraId="23D3936A" w14:textId="77777777">
      <w:pPr>
        <w:ind w:left="720" w:hanging="720"/>
        <w:jc w:val="both"/>
        <w:rPr>
          <w:rFonts w:ascii="Arial" w:hAnsi="Arial" w:cs="Arial"/>
          <w:sz w:val="22"/>
          <w:szCs w:val="22"/>
        </w:rPr>
      </w:pPr>
    </w:p>
    <w:p w:rsidRPr="002A37BB" w:rsidR="00FA417D" w:rsidP="00FA417D" w:rsidRDefault="00891690" w14:paraId="4087721A" w14:textId="559F77E8">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rsidRPr="002A37BB" w:rsidR="00241FA3" w:rsidP="002A37BB" w:rsidRDefault="00241FA3" w14:paraId="4098D7DA" w14:textId="77777777">
      <w:pPr>
        <w:jc w:val="both"/>
        <w:rPr>
          <w:rFonts w:ascii="Arial" w:hAnsi="Arial" w:cs="Arial"/>
          <w:sz w:val="22"/>
          <w:szCs w:val="22"/>
        </w:rPr>
      </w:pPr>
    </w:p>
    <w:p w:rsidRPr="00FF5098" w:rsidR="00FF5098" w:rsidP="7C870B9B" w:rsidRDefault="00FF5098" w14:paraId="58681707" w14:textId="09550E86">
      <w:pPr>
        <w:pStyle w:val="Normal"/>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[Assuming that the exceptions set out in section 233</w:t>
      </w:r>
      <w:proofErr w:type="gramStart"/>
      <w:r w:rsidRPr="7C870B9B" w:rsidR="7C870B9B">
        <w:rPr>
          <w:rFonts w:ascii="Arial" w:hAnsi="Arial" w:cs="Arial"/>
          <w:color w:val="7B7B7B" w:themeColor="accent3" w:themeTint="FF" w:themeShade="BF"/>
          <w:sz w:val="22"/>
          <w:szCs w:val="22"/>
          <w:lang w:val="en-GB"/>
        </w:rPr>
        <w:t>B(</w:t>
      </w:r>
      <w:proofErr w:type="gramEnd"/>
      <w:r w:rsidRPr="7C870B9B" w:rsidR="7C870B9B">
        <w:rPr>
          <w:rFonts w:ascii="Arial" w:hAnsi="Arial" w:cs="Arial"/>
          <w:color w:val="7B7B7B" w:themeColor="accent3" w:themeTint="FF" w:themeShade="BF"/>
          <w:sz w:val="22"/>
          <w:szCs w:val="22"/>
          <w:lang w:val="en-GB"/>
        </w:rPr>
        <w:t>10) and Schedule 4ZZA of the of the Insolvency Act 1986 (“</w:t>
      </w:r>
      <w:r w:rsidRPr="7C870B9B" w:rsidR="7C870B9B">
        <w:rPr>
          <w:rFonts w:ascii="Arial" w:hAnsi="Arial" w:cs="Arial"/>
          <w:b w:val="1"/>
          <w:bCs w:val="1"/>
          <w:color w:val="7B7B7B" w:themeColor="accent3" w:themeTint="FF" w:themeShade="BF"/>
          <w:sz w:val="22"/>
          <w:szCs w:val="22"/>
          <w:lang w:val="en-GB"/>
        </w:rPr>
        <w:t>IA</w:t>
      </w:r>
      <w:r w:rsidRPr="7C870B9B" w:rsidR="7C870B9B">
        <w:rPr>
          <w:rFonts w:ascii="Arial" w:hAnsi="Arial" w:cs="Arial"/>
          <w:color w:val="7B7B7B" w:themeColor="accent3" w:themeTint="FF" w:themeShade="BF"/>
          <w:sz w:val="22"/>
          <w:szCs w:val="22"/>
          <w:lang w:val="en-GB"/>
        </w:rPr>
        <w:t>”) do not apply here. The administrator may require suppliers to continue to supply goods and services during the administration under Part VI of the IA.</w:t>
      </w:r>
    </w:p>
    <w:p w:rsidRPr="00FF5098" w:rsidR="00FF5098" w:rsidP="6CBF4B85" w:rsidRDefault="00FF5098" w14:paraId="0584D93A" w14:textId="48ACD888">
      <w:pPr>
        <w:jc w:val="both"/>
        <w:rPr>
          <w:rFonts w:ascii="Arial" w:hAnsi="Arial" w:cs="Arial"/>
          <w:color w:val="7B7B7B" w:themeColor="accent3" w:themeTint="FF" w:themeShade="BF"/>
          <w:sz w:val="22"/>
          <w:szCs w:val="22"/>
          <w:lang w:val="en-GB"/>
        </w:rPr>
      </w:pPr>
    </w:p>
    <w:p w:rsidRPr="00FF5098" w:rsidR="00FF5098" w:rsidP="7C870B9B" w:rsidRDefault="00FF5098" w14:paraId="23347494" w14:textId="51BB60AA">
      <w:pPr>
        <w:pStyle w:val="Normal"/>
        <w:jc w:val="both"/>
        <w:rPr>
          <w:rFonts w:ascii="Calibri" w:hAnsi="Calibri" w:eastAsia="Times New Roman" w:cs=""/>
          <w:color w:val="7B7B7B" w:themeColor="accent3" w:themeTint="FF" w:themeShade="BF"/>
          <w:sz w:val="20"/>
          <w:szCs w:val="20"/>
          <w:lang w:val="en-GB"/>
        </w:rPr>
      </w:pPr>
      <w:r w:rsidRPr="7C870B9B" w:rsidR="7C870B9B">
        <w:rPr>
          <w:rFonts w:ascii="Arial" w:hAnsi="Arial" w:cs="Arial"/>
          <w:color w:val="7B7B7B" w:themeColor="accent3" w:themeTint="FF" w:themeShade="BF"/>
          <w:sz w:val="22"/>
          <w:szCs w:val="22"/>
          <w:lang w:val="en-GB"/>
        </w:rPr>
        <w:t>Section 233B of the IA provides contract clauses which allow suppliers of goods and services to terminate or do any other thing because the company enters administration ceases to have effect when the company is subject to the relevant insolvency procedure (section 233</w:t>
      </w:r>
      <w:proofErr w:type="gramStart"/>
      <w:r w:rsidRPr="7C870B9B" w:rsidR="7C870B9B">
        <w:rPr>
          <w:rFonts w:ascii="Arial" w:hAnsi="Arial" w:cs="Arial"/>
          <w:color w:val="7B7B7B" w:themeColor="accent3" w:themeTint="FF" w:themeShade="BF"/>
          <w:sz w:val="22"/>
          <w:szCs w:val="22"/>
          <w:lang w:val="en-GB"/>
        </w:rPr>
        <w:t>B(</w:t>
      </w:r>
      <w:proofErr w:type="gramEnd"/>
      <w:r w:rsidRPr="7C870B9B" w:rsidR="7C870B9B">
        <w:rPr>
          <w:rFonts w:ascii="Arial" w:hAnsi="Arial" w:cs="Arial"/>
          <w:color w:val="7B7B7B" w:themeColor="accent3" w:themeTint="FF" w:themeShade="BF"/>
          <w:sz w:val="22"/>
          <w:szCs w:val="22"/>
          <w:lang w:val="en-GB"/>
        </w:rPr>
        <w:t>3). It also suspends the exercise of the right by suppliers to terminate or do other thing because of an event occurring before the company entering administration during the period of the administration (section 233</w:t>
      </w:r>
      <w:proofErr w:type="gramStart"/>
      <w:r w:rsidRPr="7C870B9B" w:rsidR="7C870B9B">
        <w:rPr>
          <w:rFonts w:ascii="Arial" w:hAnsi="Arial" w:cs="Arial"/>
          <w:color w:val="7B7B7B" w:themeColor="accent3" w:themeTint="FF" w:themeShade="BF"/>
          <w:sz w:val="22"/>
          <w:szCs w:val="22"/>
          <w:lang w:val="en-GB"/>
        </w:rPr>
        <w:t>B(</w:t>
      </w:r>
      <w:proofErr w:type="gramEnd"/>
      <w:r w:rsidRPr="7C870B9B" w:rsidR="7C870B9B">
        <w:rPr>
          <w:rFonts w:ascii="Arial" w:hAnsi="Arial" w:cs="Arial"/>
          <w:color w:val="7B7B7B" w:themeColor="accent3" w:themeTint="FF" w:themeShade="BF"/>
          <w:sz w:val="22"/>
          <w:szCs w:val="22"/>
          <w:lang w:val="en-GB"/>
        </w:rPr>
        <w:t xml:space="preserve">4). So even if there is a contract provision which provides the supplier a right to terminate the contract in the event the company enters </w:t>
      </w:r>
      <w:r w:rsidRPr="7C870B9B" w:rsidR="7C870B9B">
        <w:rPr>
          <w:rFonts w:ascii="Arial" w:hAnsi="Arial" w:cs="Arial"/>
          <w:color w:val="7B7B7B" w:themeColor="accent3" w:themeTint="FF" w:themeShade="BF"/>
          <w:sz w:val="22"/>
          <w:szCs w:val="22"/>
          <w:lang w:val="en-GB"/>
        </w:rPr>
        <w:t>administration</w:t>
      </w:r>
      <w:r w:rsidRPr="7C870B9B" w:rsidR="7C870B9B">
        <w:rPr>
          <w:rFonts w:ascii="Arial" w:hAnsi="Arial" w:cs="Arial"/>
          <w:color w:val="7B7B7B" w:themeColor="accent3" w:themeTint="FF" w:themeShade="BF"/>
          <w:sz w:val="22"/>
          <w:szCs w:val="22"/>
          <w:lang w:val="en-GB"/>
        </w:rPr>
        <w:t>, that provision cannot be enforced. Suppliers may only terminate the supply contract if the administrator consents or on application to the court, the court is satisfied that the continuation of the contract would cause the supplier hardship, and grants permission for termination (section 233B(5).</w:t>
      </w:r>
    </w:p>
    <w:p w:rsidRPr="00FF5098" w:rsidR="00FF5098" w:rsidP="6CBF4B85" w:rsidRDefault="00FF5098" w14:paraId="14CBB1B4" w14:textId="26C4227B">
      <w:pPr>
        <w:jc w:val="both"/>
        <w:rPr>
          <w:rFonts w:ascii="Arial" w:hAnsi="Arial" w:cs="Arial"/>
          <w:color w:val="7B7B7B" w:themeColor="accent3" w:themeTint="FF" w:themeShade="BF"/>
          <w:sz w:val="22"/>
          <w:szCs w:val="22"/>
          <w:lang w:val="en-GB"/>
        </w:rPr>
      </w:pPr>
    </w:p>
    <w:p w:rsidRPr="00FF5098" w:rsidR="00FF5098" w:rsidP="6CBF4B85" w:rsidRDefault="00FF5098" w14:paraId="17F2E837" w14:textId="3AD73703">
      <w:pPr>
        <w:pStyle w:val="Normal"/>
        <w:jc w:val="both"/>
        <w:rPr>
          <w:rFonts w:ascii="Arial" w:hAnsi="Arial" w:cs="Arial"/>
          <w:color w:val="7B7B7B" w:themeColor="accent3" w:themeShade="BF"/>
          <w:sz w:val="22"/>
          <w:szCs w:val="22"/>
          <w:lang w:val="en-GB"/>
        </w:rPr>
      </w:pPr>
      <w:r w:rsidRPr="7C870B9B" w:rsidR="7C870B9B">
        <w:rPr>
          <w:rFonts w:ascii="Arial" w:hAnsi="Arial" w:cs="Arial"/>
          <w:color w:val="7B7B7B" w:themeColor="accent3" w:themeTint="FF" w:themeShade="BF"/>
          <w:sz w:val="22"/>
          <w:szCs w:val="22"/>
          <w:lang w:val="en-GB"/>
        </w:rPr>
        <w:t>Section 233B of the IA also prohibits suppliers from making it a condition of continued supply that pre-insolvency arrears re paid and from making other changes the contract such as increasing prices (section 233</w:t>
      </w:r>
      <w:proofErr w:type="gramStart"/>
      <w:r w:rsidRPr="7C870B9B" w:rsidR="7C870B9B">
        <w:rPr>
          <w:rFonts w:ascii="Arial" w:hAnsi="Arial" w:cs="Arial"/>
          <w:color w:val="7B7B7B" w:themeColor="accent3" w:themeTint="FF" w:themeShade="BF"/>
          <w:sz w:val="22"/>
          <w:szCs w:val="22"/>
          <w:lang w:val="en-GB"/>
        </w:rPr>
        <w:t>B(</w:t>
      </w:r>
      <w:proofErr w:type="gramEnd"/>
      <w:r w:rsidRPr="7C870B9B" w:rsidR="7C870B9B">
        <w:rPr>
          <w:rFonts w:ascii="Arial" w:hAnsi="Arial" w:cs="Arial"/>
          <w:color w:val="7B7B7B" w:themeColor="accent3" w:themeTint="FF" w:themeShade="BF"/>
          <w:sz w:val="22"/>
          <w:szCs w:val="22"/>
          <w:lang w:val="en-GB"/>
        </w:rPr>
        <w:t>7). It means that suppliers cannot impose new conditions such as payment of arrears for its continued supply.]</w:t>
      </w:r>
    </w:p>
    <w:p w:rsidRPr="00FF5098" w:rsidR="00FF5098" w:rsidP="002A37BB" w:rsidRDefault="00FF5098" w14:paraId="2E450CAD" w14:textId="77777777">
      <w:pPr>
        <w:ind w:left="720" w:hanging="720"/>
        <w:jc w:val="both"/>
        <w:rPr>
          <w:rFonts w:ascii="Arial" w:hAnsi="Arial" w:cs="Arial"/>
          <w:sz w:val="22"/>
          <w:szCs w:val="22"/>
        </w:rPr>
      </w:pPr>
    </w:p>
    <w:p w:rsidRPr="00FF5098" w:rsidR="00FF5098" w:rsidP="002A37BB" w:rsidRDefault="00FF5098" w14:paraId="78A88EA7" w14:textId="77777777">
      <w:pPr>
        <w:ind w:left="720" w:hanging="720"/>
        <w:jc w:val="both"/>
        <w:rPr>
          <w:rFonts w:ascii="Arial" w:hAnsi="Arial" w:cs="Arial"/>
          <w:sz w:val="22"/>
          <w:szCs w:val="22"/>
        </w:rPr>
      </w:pPr>
    </w:p>
    <w:p w:rsidRPr="002A37BB" w:rsidR="00C550C8" w:rsidP="002A37BB" w:rsidRDefault="00C550C8" w14:paraId="755D6AFF" w14:textId="2A040E62">
      <w:pPr>
        <w:ind w:left="720" w:hanging="720"/>
        <w:jc w:val="both"/>
        <w:rPr>
          <w:rFonts w:ascii="Arial" w:hAnsi="Arial" w:cs="Arial"/>
          <w:b/>
          <w:bCs/>
          <w:sz w:val="22"/>
          <w:szCs w:val="22"/>
        </w:rPr>
      </w:pPr>
      <w:r w:rsidRPr="002A37BB">
        <w:rPr>
          <w:rFonts w:ascii="Arial" w:hAnsi="Arial" w:cs="Arial"/>
          <w:b/>
          <w:bCs/>
          <w:sz w:val="22"/>
          <w:szCs w:val="22"/>
        </w:rPr>
        <w:t xml:space="preserve">Question </w:t>
      </w:r>
      <w:r w:rsidRPr="002A37BB" w:rsidR="00544127">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Pr="002A37BB" w:rsidR="006A2646">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rsidRPr="002A37BB" w:rsidR="00C550C8" w:rsidP="002A37BB" w:rsidRDefault="00C550C8" w14:paraId="49F0073B" w14:textId="77777777">
      <w:pPr>
        <w:ind w:left="720" w:hanging="720"/>
        <w:jc w:val="both"/>
        <w:rPr>
          <w:rFonts w:ascii="Arial" w:hAnsi="Arial" w:cs="Arial"/>
          <w:sz w:val="22"/>
          <w:szCs w:val="22"/>
        </w:rPr>
      </w:pPr>
    </w:p>
    <w:p w:rsidRPr="002A37BB" w:rsidR="00807119" w:rsidP="002A37BB" w:rsidRDefault="00087F21" w14:paraId="5FB8F5FB" w14:textId="4C332AE0">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rsidRPr="002A37BB" w:rsidR="00DF75F8" w:rsidP="002A37BB" w:rsidRDefault="00DF75F8" w14:paraId="2F029E55" w14:textId="1280FB99">
      <w:pPr>
        <w:jc w:val="both"/>
        <w:rPr>
          <w:rFonts w:ascii="Arial" w:hAnsi="Arial" w:cs="Arial"/>
          <w:sz w:val="22"/>
          <w:szCs w:val="22"/>
        </w:rPr>
      </w:pPr>
    </w:p>
    <w:p w:rsidRPr="00FF5098" w:rsidR="00FF5098" w:rsidP="6CBF4B85" w:rsidRDefault="00FF5098" w14:paraId="005A6AC3" w14:textId="2C9FCC7E">
      <w:pPr>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[the distribution of assets in liquidation follows the following order:</w:t>
      </w:r>
    </w:p>
    <w:p w:rsidRPr="00FF5098" w:rsidR="00FF5098" w:rsidP="6CBF4B85" w:rsidRDefault="00FF5098" w14:paraId="1298CE67" w14:textId="7907B118">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0534C583" w14:textId="48D2A72A">
      <w:pPr>
        <w:jc w:val="both"/>
        <w:rPr>
          <w:rFonts w:ascii="Arial" w:hAnsi="Arial" w:cs="Arial"/>
          <w:color w:val="7B7B7B" w:themeColor="accent3" w:themeTint="FF" w:themeShade="BF"/>
          <w:sz w:val="22"/>
          <w:szCs w:val="22"/>
          <w:u w:val="single"/>
          <w:lang w:val="en-GB"/>
        </w:rPr>
      </w:pPr>
      <w:r w:rsidRPr="6CBF4B85" w:rsidR="6CBF4B85">
        <w:rPr>
          <w:rFonts w:ascii="Arial" w:hAnsi="Arial" w:cs="Arial"/>
          <w:color w:val="7B7B7B" w:themeColor="accent3" w:themeTint="FF" w:themeShade="BF"/>
          <w:sz w:val="22"/>
          <w:szCs w:val="22"/>
          <w:u w:val="single"/>
          <w:lang w:val="en-GB"/>
        </w:rPr>
        <w:t>(1) payment of expenses of the winding up</w:t>
      </w:r>
    </w:p>
    <w:p w:rsidRPr="00FF5098" w:rsidR="00FF5098" w:rsidP="6CBF4B85" w:rsidRDefault="00FF5098" w14:paraId="74218FE5" w14:textId="2FFA2A03">
      <w:pPr>
        <w:pStyle w:val="Normal"/>
        <w:bidi w:val="0"/>
        <w:spacing w:beforeLines="0" w:beforeAutospacing="off" w:afterLines="0" w:afterAutospacing="off" w:line="259" w:lineRule="auto"/>
        <w:ind w:left="0" w:rightChars="0"/>
        <w:jc w:val="both"/>
        <w:rPr>
          <w:rFonts w:ascii="Arial" w:hAnsi="Arial" w:cs="Arial"/>
          <w:color w:val="7B7B7B" w:themeColor="accent3" w:themeTint="FF" w:themeShade="BF"/>
          <w:sz w:val="22"/>
          <w:szCs w:val="22"/>
          <w:lang w:val="en-GB"/>
        </w:rPr>
      </w:pPr>
    </w:p>
    <w:p w:rsidRPr="00FF5098" w:rsidR="00FF5098" w:rsidP="6CBF4B85" w:rsidRDefault="00FF5098" w14:paraId="08F06159" w14:textId="19639566">
      <w:pPr>
        <w:pStyle w:val="Normal"/>
        <w:bidi w:val="0"/>
        <w:spacing w:beforeLines="0" w:beforeAutospacing="off" w:afterLines="0" w:afterAutospacing="off" w:line="259" w:lineRule="auto"/>
        <w:ind w:left="0" w:rightChars="0"/>
        <w:jc w:val="both"/>
        <w:rPr>
          <w:rFonts w:ascii="Arial" w:hAnsi="Arial" w:cs="Arial"/>
          <w:color w:val="7B7B7B" w:themeColor="accent3" w:themeTint="FF" w:themeShade="BF"/>
          <w:sz w:val="22"/>
          <w:szCs w:val="22"/>
          <w:lang w:val="en-GB"/>
        </w:rPr>
      </w:pPr>
      <w:r w:rsidRPr="6CBF4B85" w:rsidR="6CBF4B85">
        <w:rPr>
          <w:rFonts w:ascii="Arial" w:hAnsi="Arial" w:cs="Arial"/>
          <w:color w:val="7B7B7B" w:themeColor="accent3" w:themeTint="FF" w:themeShade="BF"/>
          <w:sz w:val="22"/>
          <w:szCs w:val="22"/>
          <w:lang w:val="en-GB"/>
        </w:rPr>
        <w:t>All fees, costs and other expenses incurred in the course of the winding up are expense of the winding up. The main categories of winding up expenses are listed below and they are usually paid in the following order:</w:t>
      </w:r>
    </w:p>
    <w:p w:rsidRPr="00FF5098" w:rsidR="00FF5098" w:rsidP="6CBF4B85" w:rsidRDefault="00FF5098" w14:paraId="410EAA75" w14:textId="6C828F25">
      <w:pPr>
        <w:pStyle w:val="ListParagraph"/>
        <w:numPr>
          <w:ilvl w:val="0"/>
          <w:numId w:val="18"/>
        </w:numPr>
        <w:bidi w:val="0"/>
        <w:spacing w:beforeLines="0" w:beforeAutospacing="off" w:afterLines="0" w:afterAutospacing="off" w:line="259" w:lineRule="auto"/>
        <w:ind w:rightChars="0"/>
        <w:jc w:val="both"/>
        <w:rPr>
          <w:rFonts w:ascii="Arial" w:hAnsi="Arial" w:eastAsia="Arial" w:cs="Arial" w:asciiTheme="minorAscii" w:hAnsiTheme="minorAscii" w:eastAsiaTheme="minorAscii" w:cstheme="minorAscii"/>
          <w:color w:val="7B7B7B" w:themeColor="accent3" w:themeTint="FF" w:themeShade="BF"/>
          <w:sz w:val="22"/>
          <w:szCs w:val="22"/>
          <w:lang w:val="en-GB"/>
        </w:rPr>
      </w:pPr>
      <w:r w:rsidRPr="6CBF4B85" w:rsidR="6CBF4B85">
        <w:rPr>
          <w:rFonts w:ascii="Arial" w:hAnsi="Arial" w:cs="Arial"/>
          <w:color w:val="7B7B7B" w:themeColor="accent3" w:themeTint="FF" w:themeShade="BF"/>
          <w:sz w:val="22"/>
          <w:szCs w:val="22"/>
          <w:lang w:val="en-GB"/>
        </w:rPr>
        <w:t xml:space="preserve">expenses properly incurred by the liquidator in preserving, realising or getting in any of the assets of the company (including the conduct of any legal proceedings), </w:t>
      </w:r>
    </w:p>
    <w:p w:rsidRPr="00FF5098" w:rsidR="00FF5098" w:rsidP="6CBF4B85" w:rsidRDefault="00FF5098" w14:paraId="20BA9659" w14:textId="596A66EB">
      <w:pPr>
        <w:pStyle w:val="ListParagraph"/>
        <w:numPr>
          <w:ilvl w:val="0"/>
          <w:numId w:val="18"/>
        </w:numPr>
        <w:bidi w:val="0"/>
        <w:spacing w:beforeLines="0" w:beforeAutospacing="off" w:afterLines="0" w:afterAutospacing="off" w:line="259" w:lineRule="auto"/>
        <w:ind w:rightChars="0"/>
        <w:jc w:val="both"/>
        <w:rPr>
          <w:color w:val="7B7B7B" w:themeColor="accent3" w:themeTint="FF" w:themeShade="BF"/>
          <w:sz w:val="22"/>
          <w:szCs w:val="22"/>
          <w:lang w:val="en-GB"/>
        </w:rPr>
      </w:pPr>
      <w:r w:rsidRPr="6CBF4B85" w:rsidR="6CBF4B85">
        <w:rPr>
          <w:rFonts w:ascii="Arial" w:hAnsi="Arial" w:cs="Arial"/>
          <w:color w:val="7B7B7B" w:themeColor="accent3" w:themeTint="FF" w:themeShade="BF"/>
          <w:sz w:val="22"/>
          <w:szCs w:val="22"/>
          <w:lang w:val="en-GB"/>
        </w:rPr>
        <w:t xml:space="preserve">costs of any security provided by the liquidator, </w:t>
      </w:r>
    </w:p>
    <w:p w:rsidRPr="00FF5098" w:rsidR="00FF5098" w:rsidP="6CBF4B85" w:rsidRDefault="00FF5098" w14:paraId="721AEE27" w14:textId="50B8FD38">
      <w:pPr>
        <w:pStyle w:val="ListParagraph"/>
        <w:numPr>
          <w:ilvl w:val="0"/>
          <w:numId w:val="18"/>
        </w:numPr>
        <w:bidi w:val="0"/>
        <w:spacing w:beforeLines="0" w:beforeAutospacing="off" w:afterLines="0" w:afterAutospacing="off" w:line="259" w:lineRule="auto"/>
        <w:ind w:rightChars="0"/>
        <w:jc w:val="both"/>
        <w:rPr>
          <w:color w:val="7B7B7B" w:themeColor="accent3" w:themeTint="FF" w:themeShade="BF"/>
          <w:sz w:val="22"/>
          <w:szCs w:val="22"/>
          <w:lang w:val="en-GB"/>
        </w:rPr>
      </w:pPr>
      <w:r w:rsidRPr="6CBF4B85" w:rsidR="6CBF4B85">
        <w:rPr>
          <w:rFonts w:ascii="Arial" w:hAnsi="Arial" w:cs="Arial"/>
          <w:color w:val="7B7B7B" w:themeColor="accent3" w:themeTint="FF" w:themeShade="BF"/>
          <w:sz w:val="22"/>
          <w:szCs w:val="22"/>
          <w:lang w:val="en-GB"/>
        </w:rPr>
        <w:t>Any amount payable to a person to assist in the preparation of a statement of affairs or accounts,</w:t>
      </w:r>
    </w:p>
    <w:p w:rsidRPr="00FF5098" w:rsidR="00FF5098" w:rsidP="6CBF4B85" w:rsidRDefault="00FF5098" w14:paraId="02F2AF75" w14:textId="037B0A4D">
      <w:pPr>
        <w:pStyle w:val="ListParagraph"/>
        <w:numPr>
          <w:ilvl w:val="0"/>
          <w:numId w:val="18"/>
        </w:numPr>
        <w:bidi w:val="0"/>
        <w:spacing w:beforeLines="0" w:beforeAutospacing="off" w:afterLines="0" w:afterAutospacing="off" w:line="259" w:lineRule="auto"/>
        <w:ind w:rightChars="0"/>
        <w:jc w:val="both"/>
        <w:rPr>
          <w:color w:val="7B7B7B" w:themeColor="accent3" w:themeTint="FF" w:themeShade="BF"/>
          <w:sz w:val="22"/>
          <w:szCs w:val="22"/>
          <w:lang w:val="en-GB"/>
        </w:rPr>
      </w:pPr>
      <w:r w:rsidRPr="6CBF4B85" w:rsidR="6CBF4B85">
        <w:rPr>
          <w:rFonts w:ascii="Arial" w:hAnsi="Arial" w:eastAsia="Times New Roman" w:cs="Arial"/>
          <w:color w:val="7B7B7B" w:themeColor="accent3" w:themeTint="FF" w:themeShade="BF"/>
          <w:sz w:val="22"/>
          <w:szCs w:val="22"/>
          <w:lang w:val="en-GB"/>
        </w:rPr>
        <w:t>Any necessary disbursements by the liquidators in the course of the winding up,</w:t>
      </w:r>
    </w:p>
    <w:p w:rsidRPr="00FF5098" w:rsidR="00FF5098" w:rsidP="6CBF4B85" w:rsidRDefault="00FF5098" w14:paraId="52216C73" w14:textId="4B2D94C2">
      <w:pPr>
        <w:pStyle w:val="ListParagraph"/>
        <w:numPr>
          <w:ilvl w:val="0"/>
          <w:numId w:val="18"/>
        </w:numPr>
        <w:bidi w:val="0"/>
        <w:spacing w:beforeLines="0" w:beforeAutospacing="off" w:afterLines="0" w:afterAutospacing="off" w:line="259" w:lineRule="auto"/>
        <w:ind w:rightChars="0"/>
        <w:jc w:val="both"/>
        <w:rPr>
          <w:color w:val="7B7B7B" w:themeColor="accent3" w:themeTint="FF" w:themeShade="BF"/>
          <w:sz w:val="22"/>
          <w:szCs w:val="22"/>
          <w:lang w:val="en-GB"/>
        </w:rPr>
      </w:pPr>
      <w:r w:rsidRPr="6CBF4B85" w:rsidR="6CBF4B85">
        <w:rPr>
          <w:rFonts w:ascii="Arial" w:hAnsi="Arial" w:cs="Arial"/>
          <w:color w:val="7B7B7B" w:themeColor="accent3" w:themeTint="FF" w:themeShade="BF"/>
          <w:sz w:val="22"/>
          <w:szCs w:val="22"/>
          <w:lang w:val="en-GB"/>
        </w:rPr>
        <w:t>remuneration of any person employed by the liquidator and the liquidator,</w:t>
      </w:r>
    </w:p>
    <w:p w:rsidRPr="00FF5098" w:rsidR="00FF5098" w:rsidP="6CBF4B85" w:rsidRDefault="00FF5098" w14:paraId="5B73A6BD" w14:textId="09D6496A">
      <w:pPr>
        <w:pStyle w:val="ListParagraph"/>
        <w:numPr>
          <w:ilvl w:val="0"/>
          <w:numId w:val="18"/>
        </w:numPr>
        <w:bidi w:val="0"/>
        <w:spacing w:beforeLines="0" w:beforeAutospacing="off" w:afterLines="0" w:afterAutospacing="off" w:line="259" w:lineRule="auto"/>
        <w:ind w:rightChars="0"/>
        <w:jc w:val="both"/>
        <w:rPr>
          <w:rFonts w:ascii="Calibri" w:hAnsi="Calibri" w:eastAsia="Calibri" w:cs="Calibri" w:asciiTheme="minorAscii" w:hAnsiTheme="minorAscii" w:eastAsiaTheme="minorAscii" w:cstheme="minorAscii"/>
          <w:color w:val="7B7B7B" w:themeColor="accent3" w:themeTint="FF" w:themeShade="BF"/>
          <w:sz w:val="20"/>
          <w:szCs w:val="20"/>
          <w:lang w:val="en-GB"/>
        </w:rPr>
      </w:pPr>
      <w:r w:rsidRPr="6CBF4B85" w:rsidR="6CBF4B85">
        <w:rPr>
          <w:rFonts w:ascii="Arial" w:hAnsi="Arial" w:cs="Arial"/>
          <w:color w:val="7B7B7B" w:themeColor="accent3" w:themeTint="FF" w:themeShade="BF"/>
          <w:sz w:val="22"/>
          <w:szCs w:val="22"/>
          <w:lang w:val="en-GB"/>
        </w:rPr>
        <w:t>remuneration of the liquidator,</w:t>
      </w:r>
    </w:p>
    <w:p w:rsidRPr="00FF5098" w:rsidR="00FF5098" w:rsidP="6CBF4B85" w:rsidRDefault="00FF5098" w14:paraId="31D72521" w14:textId="44009C21">
      <w:pPr>
        <w:pStyle w:val="ListParagraph"/>
        <w:numPr>
          <w:ilvl w:val="0"/>
          <w:numId w:val="18"/>
        </w:numPr>
        <w:bidi w:val="0"/>
        <w:spacing w:beforeLines="0" w:beforeAutospacing="off" w:afterLines="0" w:afterAutospacing="off" w:line="259" w:lineRule="auto"/>
        <w:ind w:rightChars="0"/>
        <w:jc w:val="both"/>
        <w:rPr>
          <w:color w:val="7B7B7B" w:themeColor="accent3" w:themeTint="FF" w:themeShade="BF"/>
          <w:sz w:val="20"/>
          <w:szCs w:val="20"/>
          <w:lang w:val="en-GB"/>
        </w:rPr>
      </w:pPr>
      <w:r w:rsidRPr="6CBF4B85" w:rsidR="6CBF4B85">
        <w:rPr>
          <w:rFonts w:ascii="Arial" w:hAnsi="Arial" w:eastAsia="Times New Roman" w:cs="Arial"/>
          <w:color w:val="7B7B7B" w:themeColor="accent3" w:themeTint="FF" w:themeShade="BF"/>
          <w:sz w:val="22"/>
          <w:szCs w:val="22"/>
          <w:lang w:val="en-GB"/>
        </w:rPr>
        <w:t>The amount of any corporate tax on chargeable gains accruing on the realisation of any assets of the company,</w:t>
      </w:r>
    </w:p>
    <w:p w:rsidRPr="00FF5098" w:rsidR="00FF5098" w:rsidP="6CBF4B85" w:rsidRDefault="00FF5098" w14:paraId="357D1340" w14:textId="1B4DB16C">
      <w:pPr>
        <w:pStyle w:val="ListParagraph"/>
        <w:numPr>
          <w:ilvl w:val="0"/>
          <w:numId w:val="18"/>
        </w:numPr>
        <w:bidi w:val="0"/>
        <w:spacing w:beforeLines="0" w:beforeAutospacing="off" w:afterLines="0" w:afterAutospacing="off" w:line="259" w:lineRule="auto"/>
        <w:ind w:rightChars="0"/>
        <w:jc w:val="both"/>
        <w:rPr>
          <w:color w:val="7B7B7B" w:themeColor="accent3" w:themeTint="FF" w:themeShade="BF"/>
          <w:sz w:val="20"/>
          <w:szCs w:val="20"/>
          <w:lang w:val="en-GB"/>
        </w:rPr>
      </w:pPr>
      <w:r w:rsidRPr="6CBF4B85" w:rsidR="6CBF4B85">
        <w:rPr>
          <w:rFonts w:ascii="Arial" w:hAnsi="Arial" w:eastAsia="Times New Roman" w:cs="Arial"/>
          <w:color w:val="7B7B7B" w:themeColor="accent3" w:themeTint="FF" w:themeShade="BF"/>
          <w:sz w:val="22"/>
          <w:szCs w:val="22"/>
          <w:lang w:val="en-GB"/>
        </w:rPr>
        <w:t xml:space="preserve">Any other expenses properly </w:t>
      </w:r>
      <w:r w:rsidRPr="6CBF4B85" w:rsidR="6CBF4B85">
        <w:rPr>
          <w:rFonts w:ascii="Arial" w:hAnsi="Arial" w:eastAsia="Times New Roman" w:cs="Arial"/>
          <w:color w:val="7B7B7B" w:themeColor="accent3" w:themeTint="FF" w:themeShade="BF"/>
          <w:sz w:val="22"/>
          <w:szCs w:val="22"/>
          <w:lang w:val="en-GB"/>
        </w:rPr>
        <w:t>chargeable</w:t>
      </w:r>
      <w:r w:rsidRPr="6CBF4B85" w:rsidR="6CBF4B85">
        <w:rPr>
          <w:rFonts w:ascii="Arial" w:hAnsi="Arial" w:eastAsia="Times New Roman" w:cs="Arial"/>
          <w:color w:val="7B7B7B" w:themeColor="accent3" w:themeTint="FF" w:themeShade="BF"/>
          <w:sz w:val="22"/>
          <w:szCs w:val="22"/>
          <w:lang w:val="en-GB"/>
        </w:rPr>
        <w:t xml:space="preserve"> by the liquidator in carrying out his functions.</w:t>
      </w:r>
    </w:p>
    <w:p w:rsidRPr="00FF5098" w:rsidR="00FF5098" w:rsidP="6CBF4B85" w:rsidRDefault="00FF5098" w14:paraId="6EF0558F" w14:textId="42C29EDA">
      <w:pPr>
        <w:pStyle w:val="Normal"/>
        <w:bidi w:val="0"/>
        <w:spacing w:beforeLines="0" w:beforeAutospacing="off" w:afterLines="0" w:afterAutospacing="off" w:line="259" w:lineRule="auto"/>
        <w:ind w:left="0" w:rightChars="0"/>
        <w:jc w:val="both"/>
        <w:rPr>
          <w:rFonts w:ascii="Arial" w:hAnsi="Arial" w:cs="Arial"/>
          <w:color w:val="7B7B7B" w:themeColor="accent3" w:themeTint="FF" w:themeShade="BF"/>
          <w:sz w:val="22"/>
          <w:szCs w:val="22"/>
          <w:lang w:val="en-GB"/>
        </w:rPr>
      </w:pPr>
    </w:p>
    <w:p w:rsidRPr="00FF5098" w:rsidR="00FF5098" w:rsidP="6CBF4B85" w:rsidRDefault="00FF5098" w14:paraId="0EDF46C7" w14:textId="19AF2E1D">
      <w:pPr>
        <w:jc w:val="both"/>
        <w:rPr>
          <w:rFonts w:ascii="Arial" w:hAnsi="Arial" w:cs="Arial"/>
          <w:color w:val="7B7B7B" w:themeColor="accent3" w:themeTint="FF" w:themeShade="BF"/>
          <w:sz w:val="22"/>
          <w:szCs w:val="22"/>
          <w:u w:val="single"/>
          <w:lang w:val="en-GB"/>
        </w:rPr>
      </w:pPr>
      <w:r w:rsidRPr="6CBF4B85" w:rsidR="6CBF4B85">
        <w:rPr>
          <w:rFonts w:ascii="Arial" w:hAnsi="Arial" w:cs="Arial"/>
          <w:color w:val="7B7B7B" w:themeColor="accent3" w:themeTint="FF" w:themeShade="BF"/>
          <w:sz w:val="22"/>
          <w:szCs w:val="22"/>
          <w:u w:val="single"/>
          <w:lang w:val="en-GB"/>
        </w:rPr>
        <w:t>(2) payment of preferential debt</w:t>
      </w:r>
    </w:p>
    <w:p w:rsidRPr="00FF5098" w:rsidR="00FF5098" w:rsidP="6CBF4B85" w:rsidRDefault="00FF5098" w14:paraId="7B7F33D8" w14:textId="567B2B52">
      <w:pPr>
        <w:jc w:val="both"/>
        <w:rPr>
          <w:rFonts w:ascii="Arial" w:hAnsi="Arial" w:cs="Arial"/>
          <w:color w:val="7B7B7B" w:themeColor="accent3" w:themeTint="FF" w:themeShade="BF"/>
          <w:sz w:val="22"/>
          <w:szCs w:val="22"/>
          <w:lang w:val="en-GB"/>
        </w:rPr>
      </w:pPr>
    </w:p>
    <w:p w:rsidRPr="00FF5098" w:rsidR="00FF5098" w:rsidP="6CBF4B85" w:rsidRDefault="00FF5098" w14:paraId="3CD282BA" w14:textId="647FAF4B">
      <w:pPr>
        <w:pStyle w:val="Normal"/>
        <w:jc w:val="both"/>
        <w:rPr>
          <w:rFonts w:ascii="Calibri" w:hAnsi="Calibri" w:eastAsia="Times New Roman" w:cs=""/>
          <w:color w:val="7B7B7B" w:themeColor="accent3" w:themeTint="FF" w:themeShade="BF"/>
          <w:sz w:val="20"/>
          <w:szCs w:val="20"/>
          <w:lang w:val="en-GB"/>
        </w:rPr>
      </w:pPr>
      <w:r w:rsidRPr="6CBF4B85" w:rsidR="6CBF4B85">
        <w:rPr>
          <w:rFonts w:ascii="Arial" w:hAnsi="Arial" w:eastAsia="Times New Roman" w:cs="Arial"/>
          <w:color w:val="7B7B7B" w:themeColor="accent3" w:themeTint="FF" w:themeShade="BF"/>
          <w:sz w:val="22"/>
          <w:szCs w:val="22"/>
          <w:lang w:val="en-GB"/>
        </w:rPr>
        <w:t xml:space="preserve">Preferential debts generally include certain debts owed to employees and certain tax liabilities. </w:t>
      </w:r>
    </w:p>
    <w:p w:rsidRPr="00FF5098" w:rsidR="00FF5098" w:rsidP="6CBF4B85" w:rsidRDefault="00FF5098" w14:paraId="13A408B5" w14:textId="4E321908">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5FE8B204" w14:textId="5E6D4887">
      <w:pPr>
        <w:pStyle w:val="Normal"/>
        <w:jc w:val="both"/>
        <w:rPr>
          <w:rFonts w:ascii="Calibri" w:hAnsi="Calibri" w:eastAsia="Times New Roman" w:cs=""/>
          <w:color w:val="7B7B7B" w:themeColor="accent3" w:themeTint="FF" w:themeShade="BF"/>
          <w:sz w:val="20"/>
          <w:szCs w:val="20"/>
          <w:lang w:val="en-GB"/>
        </w:rPr>
      </w:pPr>
      <w:r w:rsidRPr="6CBF4B85" w:rsidR="6CBF4B85">
        <w:rPr>
          <w:rFonts w:ascii="Arial" w:hAnsi="Arial" w:eastAsia="Times New Roman" w:cs="Arial"/>
          <w:color w:val="7B7B7B" w:themeColor="accent3" w:themeTint="FF" w:themeShade="BF"/>
          <w:sz w:val="22"/>
          <w:szCs w:val="22"/>
          <w:lang w:val="en-GB"/>
        </w:rPr>
        <w:t>There are two categories of preferential debts, ordinary and secondary. Ordinary preferential debt is paid before secondary preferential debts, but in their respective classes, debts rank equally amongst themselves.</w:t>
      </w:r>
    </w:p>
    <w:p w:rsidRPr="00FF5098" w:rsidR="00FF5098" w:rsidP="6CBF4B85" w:rsidRDefault="00FF5098" w14:paraId="1710D88B" w14:textId="421BC2EE">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1FDD9FE4" w14:textId="23DF7745">
      <w:pPr>
        <w:pStyle w:val="Normal"/>
        <w:jc w:val="both"/>
        <w:rPr>
          <w:rFonts w:ascii="Calibri" w:hAnsi="Calibri" w:eastAsia="Times New Roman" w:cs=""/>
          <w:color w:val="7B7B7B" w:themeColor="accent3" w:themeTint="FF" w:themeShade="BF"/>
          <w:sz w:val="20"/>
          <w:szCs w:val="20"/>
          <w:lang w:val="en-GB"/>
        </w:rPr>
      </w:pPr>
      <w:r w:rsidRPr="6CBF4B85" w:rsidR="6CBF4B85">
        <w:rPr>
          <w:rFonts w:ascii="Arial" w:hAnsi="Arial" w:eastAsia="Times New Roman" w:cs="Arial"/>
          <w:color w:val="7B7B7B" w:themeColor="accent3" w:themeTint="FF" w:themeShade="BF"/>
          <w:sz w:val="22"/>
          <w:szCs w:val="22"/>
          <w:lang w:val="en-GB"/>
        </w:rPr>
        <w:t>Ordinary preferential dets include contributions to pension schemes, wages and salaries and holiday pay to employees. Secondary debts generally consist of debts owed to HMRC such as VAT, PAYE.</w:t>
      </w:r>
    </w:p>
    <w:p w:rsidRPr="00FF5098" w:rsidR="00FF5098" w:rsidP="6CBF4B85" w:rsidRDefault="00FF5098" w14:paraId="0FB429F6" w14:textId="4A5DB3A6">
      <w:pPr>
        <w:jc w:val="both"/>
        <w:rPr>
          <w:rFonts w:ascii="Arial" w:hAnsi="Arial" w:cs="Arial"/>
          <w:color w:val="7B7B7B" w:themeColor="accent3" w:themeTint="FF" w:themeShade="BF"/>
          <w:sz w:val="22"/>
          <w:szCs w:val="22"/>
          <w:lang w:val="en-GB"/>
        </w:rPr>
      </w:pPr>
    </w:p>
    <w:p w:rsidRPr="00FF5098" w:rsidR="00FF5098" w:rsidP="6CBF4B85" w:rsidRDefault="00FF5098" w14:paraId="5243EF38" w14:textId="03C9B0EA">
      <w:pPr>
        <w:jc w:val="both"/>
        <w:rPr>
          <w:rFonts w:ascii="Arial" w:hAnsi="Arial" w:cs="Arial"/>
          <w:color w:val="7B7B7B" w:themeColor="accent3" w:themeTint="FF" w:themeShade="BF"/>
          <w:sz w:val="22"/>
          <w:szCs w:val="22"/>
          <w:lang w:val="en-GB"/>
        </w:rPr>
      </w:pPr>
      <w:r w:rsidRPr="6CBF4B85" w:rsidR="6CBF4B85">
        <w:rPr>
          <w:rFonts w:ascii="Arial" w:hAnsi="Arial" w:cs="Arial"/>
          <w:color w:val="7B7B7B" w:themeColor="accent3" w:themeTint="FF" w:themeShade="BF"/>
          <w:sz w:val="22"/>
          <w:szCs w:val="22"/>
          <w:u w:val="single"/>
          <w:lang w:val="en-GB"/>
        </w:rPr>
        <w:t>(3) payment to floating charge holders (other than the prescribed part of the company’s net property</w:t>
      </w:r>
      <w:r w:rsidRPr="6CBF4B85" w:rsidR="6CBF4B85">
        <w:rPr>
          <w:rFonts w:ascii="Arial" w:hAnsi="Arial" w:cs="Arial"/>
          <w:color w:val="7B7B7B" w:themeColor="accent3" w:themeTint="FF" w:themeShade="BF"/>
          <w:sz w:val="22"/>
          <w:szCs w:val="22"/>
          <w:lang w:val="en-GB"/>
        </w:rPr>
        <w:t>)</w:t>
      </w:r>
    </w:p>
    <w:p w:rsidRPr="00FF5098" w:rsidR="00FF5098" w:rsidP="6CBF4B85" w:rsidRDefault="00FF5098" w14:paraId="072DFB9C" w14:textId="4D78EEAF">
      <w:pPr>
        <w:jc w:val="both"/>
        <w:rPr>
          <w:rFonts w:ascii="Arial" w:hAnsi="Arial" w:cs="Arial"/>
          <w:color w:val="7B7B7B" w:themeColor="accent3" w:themeTint="FF" w:themeShade="BF"/>
          <w:sz w:val="22"/>
          <w:szCs w:val="22"/>
          <w:lang w:val="en-GB"/>
        </w:rPr>
      </w:pPr>
    </w:p>
    <w:p w:rsidRPr="00FF5098" w:rsidR="00FF5098" w:rsidP="6CBF4B85" w:rsidRDefault="00FF5098" w14:paraId="146BE120" w14:textId="69325029">
      <w:pPr>
        <w:jc w:val="both"/>
        <w:rPr>
          <w:rFonts w:ascii="Arial" w:hAnsi="Arial" w:cs="Arial"/>
          <w:color w:val="7B7B7B" w:themeColor="accent3" w:themeTint="FF" w:themeShade="BF"/>
          <w:sz w:val="22"/>
          <w:szCs w:val="22"/>
          <w:lang w:val="en-GB"/>
        </w:rPr>
      </w:pPr>
      <w:r w:rsidRPr="6CBF4B85" w:rsidR="6CBF4B85">
        <w:rPr>
          <w:rFonts w:ascii="Arial" w:hAnsi="Arial" w:cs="Arial"/>
          <w:color w:val="7B7B7B" w:themeColor="accent3" w:themeTint="FF" w:themeShade="BF"/>
          <w:sz w:val="22"/>
          <w:szCs w:val="22"/>
          <w:lang w:val="en-GB"/>
        </w:rPr>
        <w:t xml:space="preserve">Floating charge holders are paid before unsecured creditors, and amongst themselves, </w:t>
      </w:r>
      <w:r w:rsidRPr="6CBF4B85" w:rsidR="6CBF4B85">
        <w:rPr>
          <w:rFonts w:ascii="Arial" w:hAnsi="Arial" w:cs="Arial"/>
          <w:color w:val="7B7B7B" w:themeColor="accent3" w:themeTint="FF" w:themeShade="BF"/>
          <w:sz w:val="22"/>
          <w:szCs w:val="22"/>
          <w:lang w:val="en-GB"/>
        </w:rPr>
        <w:t>priority</w:t>
      </w:r>
      <w:r w:rsidRPr="6CBF4B85" w:rsidR="6CBF4B85">
        <w:rPr>
          <w:rFonts w:ascii="Arial" w:hAnsi="Arial" w:cs="Arial"/>
          <w:color w:val="7B7B7B" w:themeColor="accent3" w:themeTint="FF" w:themeShade="BF"/>
          <w:sz w:val="22"/>
          <w:szCs w:val="22"/>
          <w:lang w:val="en-GB"/>
        </w:rPr>
        <w:t xml:space="preserve"> generally turns on time of creation.</w:t>
      </w:r>
    </w:p>
    <w:p w:rsidRPr="00FF5098" w:rsidR="00FF5098" w:rsidP="6CBF4B85" w:rsidRDefault="00FF5098" w14:paraId="2321D884" w14:textId="762BE299">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3324A3F8" w14:textId="62A0C7DD">
      <w:pPr>
        <w:pStyle w:val="Normal"/>
        <w:jc w:val="both"/>
        <w:rPr>
          <w:rFonts w:ascii="Calibri" w:hAnsi="Calibri" w:eastAsia="Times New Roman" w:cs=""/>
          <w:color w:val="7B7B7B" w:themeColor="accent3" w:themeTint="FF" w:themeShade="BF"/>
          <w:sz w:val="20"/>
          <w:szCs w:val="20"/>
          <w:lang w:val="en-GB"/>
        </w:rPr>
      </w:pPr>
      <w:r w:rsidRPr="6CBF4B85" w:rsidR="6CBF4B85">
        <w:rPr>
          <w:rFonts w:ascii="Arial" w:hAnsi="Arial" w:eastAsia="Times New Roman" w:cs="Arial"/>
          <w:color w:val="7B7B7B" w:themeColor="accent3" w:themeTint="FF" w:themeShade="BF"/>
          <w:sz w:val="22"/>
          <w:szCs w:val="22"/>
          <w:lang w:val="en-GB"/>
        </w:rPr>
        <w:t xml:space="preserve">The liquidator is under a duty to make a prescribed part of the company’s net asset available for the unsecured creditors, and therefore, only property in excess of the prescribed part will be distributed to floating charge holders. </w:t>
      </w:r>
    </w:p>
    <w:p w:rsidRPr="00FF5098" w:rsidR="00FF5098" w:rsidP="6CBF4B85" w:rsidRDefault="00FF5098" w14:paraId="7D6DFC05" w14:textId="72BC96DB">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6BEDC82C" w14:textId="2914D2A6">
      <w:pPr>
        <w:pStyle w:val="Normal"/>
        <w:jc w:val="both"/>
        <w:rPr>
          <w:rFonts w:ascii="Calibri" w:hAnsi="Calibri" w:eastAsia="Times New Roman" w:cs=""/>
          <w:color w:val="7B7B7B" w:themeColor="accent3" w:themeTint="FF" w:themeShade="BF"/>
          <w:sz w:val="20"/>
          <w:szCs w:val="20"/>
          <w:lang w:val="en-GB"/>
        </w:rPr>
      </w:pPr>
      <w:r w:rsidRPr="7C870B9B" w:rsidR="7C870B9B">
        <w:rPr>
          <w:rFonts w:ascii="Arial" w:hAnsi="Arial" w:eastAsia="Times New Roman" w:cs="Arial"/>
          <w:color w:val="7B7B7B" w:themeColor="accent3" w:themeTint="FF" w:themeShade="BF"/>
          <w:sz w:val="22"/>
          <w:szCs w:val="22"/>
          <w:lang w:val="en-GB"/>
        </w:rPr>
        <w:t xml:space="preserve">Floating charge holders are not allowed to participate in distribution of the prescribed part, even if their debts are not paid in full. The balance of the floating charge may be paid after the payment prescribed part. </w:t>
      </w:r>
    </w:p>
    <w:p w:rsidRPr="00FF5098" w:rsidR="00FF5098" w:rsidP="6CBF4B85" w:rsidRDefault="00FF5098" w14:paraId="20667E80" w14:textId="56111B43">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4DB2BF72" w14:textId="0E66E0D9">
      <w:pPr>
        <w:jc w:val="both"/>
        <w:rPr>
          <w:rFonts w:ascii="Arial" w:hAnsi="Arial" w:cs="Arial"/>
          <w:color w:val="7B7B7B" w:themeColor="accent3" w:themeTint="FF" w:themeShade="BF"/>
          <w:sz w:val="22"/>
          <w:szCs w:val="22"/>
          <w:lang w:val="en-GB"/>
        </w:rPr>
      </w:pPr>
      <w:r w:rsidRPr="6CBF4B85" w:rsidR="6CBF4B85">
        <w:rPr>
          <w:rFonts w:ascii="Arial" w:hAnsi="Arial" w:cs="Arial"/>
          <w:color w:val="7B7B7B" w:themeColor="accent3" w:themeTint="FF" w:themeShade="BF"/>
          <w:sz w:val="22"/>
          <w:szCs w:val="22"/>
          <w:u w:val="single"/>
          <w:lang w:val="en-GB"/>
        </w:rPr>
        <w:t>(4) payment to unsecured creditors</w:t>
      </w:r>
      <w:r w:rsidRPr="6CBF4B85" w:rsidR="6CBF4B85">
        <w:rPr>
          <w:rFonts w:ascii="Arial" w:hAnsi="Arial" w:cs="Arial"/>
          <w:color w:val="7B7B7B" w:themeColor="accent3" w:themeTint="FF" w:themeShade="BF"/>
          <w:sz w:val="22"/>
          <w:szCs w:val="22"/>
          <w:lang w:val="en-GB"/>
        </w:rPr>
        <w:t xml:space="preserve"> </w:t>
      </w:r>
    </w:p>
    <w:p w:rsidRPr="00FF5098" w:rsidR="00FF5098" w:rsidP="6CBF4B85" w:rsidRDefault="00FF5098" w14:paraId="1F47511B" w14:textId="243D043D">
      <w:pPr>
        <w:jc w:val="both"/>
        <w:rPr>
          <w:rFonts w:ascii="Arial" w:hAnsi="Arial" w:cs="Arial"/>
          <w:color w:val="7B7B7B" w:themeColor="accent3" w:themeTint="FF" w:themeShade="BF"/>
          <w:sz w:val="22"/>
          <w:szCs w:val="22"/>
          <w:lang w:val="en-GB"/>
        </w:rPr>
      </w:pPr>
    </w:p>
    <w:p w:rsidRPr="00FF5098" w:rsidR="00FF5098" w:rsidP="6CBF4B85" w:rsidRDefault="00FF5098" w14:paraId="44B25797" w14:textId="149278F8">
      <w:pPr>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 xml:space="preserve">Creditors with no securities (and not preferential creditors) are unsecured creditors. They are usually trade creditors.  </w:t>
      </w:r>
    </w:p>
    <w:p w:rsidR="7C870B9B" w:rsidP="7C870B9B" w:rsidRDefault="7C870B9B" w14:paraId="4D9A02B3" w14:textId="294660B0">
      <w:pPr>
        <w:pStyle w:val="Normal"/>
        <w:jc w:val="both"/>
        <w:rPr>
          <w:rFonts w:ascii="Calibri" w:hAnsi="Calibri" w:eastAsia="Times New Roman" w:cs=""/>
          <w:color w:val="7B7B7B" w:themeColor="accent3" w:themeTint="FF" w:themeShade="BF"/>
          <w:sz w:val="20"/>
          <w:szCs w:val="20"/>
          <w:lang w:val="en-GB"/>
        </w:rPr>
      </w:pPr>
    </w:p>
    <w:p w:rsidR="7C870B9B" w:rsidP="7C870B9B" w:rsidRDefault="7C870B9B" w14:paraId="1EAA664A" w14:textId="389A39C3">
      <w:pPr>
        <w:pStyle w:val="Normal"/>
        <w:jc w:val="both"/>
        <w:rPr>
          <w:rFonts w:ascii="Calibri" w:hAnsi="Calibri" w:eastAsia="Times New Roman" w:cs=""/>
          <w:color w:val="7B7B7B" w:themeColor="accent3" w:themeTint="FF" w:themeShade="BF"/>
          <w:sz w:val="20"/>
          <w:szCs w:val="20"/>
          <w:lang w:val="en-GB"/>
        </w:rPr>
      </w:pPr>
      <w:r w:rsidRPr="7C870B9B" w:rsidR="7C870B9B">
        <w:rPr>
          <w:rFonts w:ascii="Arial" w:hAnsi="Arial" w:eastAsia="Times New Roman" w:cs="Arial" w:asciiTheme="minorAscii" w:hAnsiTheme="minorAscii" w:cstheme="minorBidi"/>
          <w:color w:val="7B7B7B" w:themeColor="accent3" w:themeTint="FF" w:themeShade="BF"/>
          <w:sz w:val="22"/>
          <w:szCs w:val="22"/>
          <w:lang w:val="en-GB"/>
        </w:rPr>
        <w:t>If creditors entered into subordination agreements, the order of priority as between them will follow the agreement, and therefore the above orders regarding creditors may be altered by subordination agreements.</w:t>
      </w:r>
    </w:p>
    <w:p w:rsidRPr="00FF5098" w:rsidR="00FF5098" w:rsidP="6CBF4B85" w:rsidRDefault="00FF5098" w14:paraId="4451736A" w14:textId="40F31ED2">
      <w:pPr>
        <w:pStyle w:val="Normal"/>
        <w:jc w:val="both"/>
        <w:rPr>
          <w:rFonts w:ascii="Calibri" w:hAnsi="Calibri" w:eastAsia="Times New Roman" w:cs=""/>
          <w:color w:val="7B7B7B" w:themeColor="accent3" w:themeTint="FF" w:themeShade="BF"/>
          <w:sz w:val="20"/>
          <w:szCs w:val="20"/>
          <w:lang w:val="en-GB"/>
        </w:rPr>
      </w:pPr>
    </w:p>
    <w:p w:rsidRPr="00FF5098" w:rsidR="00FF5098" w:rsidP="6CBF4B85" w:rsidRDefault="00FF5098" w14:paraId="5EE161A8" w14:textId="3FAE4563">
      <w:pPr>
        <w:jc w:val="both"/>
        <w:rPr>
          <w:rFonts w:ascii="Arial" w:hAnsi="Arial" w:cs="Arial"/>
          <w:color w:val="7B7B7B" w:themeColor="accent3" w:themeTint="FF" w:themeShade="BF"/>
          <w:sz w:val="22"/>
          <w:szCs w:val="22"/>
          <w:u w:val="single"/>
          <w:lang w:val="en-GB"/>
        </w:rPr>
      </w:pPr>
      <w:r w:rsidRPr="6CBF4B85" w:rsidR="6CBF4B85">
        <w:rPr>
          <w:rFonts w:ascii="Arial" w:hAnsi="Arial" w:cs="Arial"/>
          <w:color w:val="7B7B7B" w:themeColor="accent3" w:themeTint="FF" w:themeShade="BF"/>
          <w:sz w:val="22"/>
          <w:szCs w:val="22"/>
          <w:u w:val="single"/>
          <w:lang w:val="en-GB"/>
        </w:rPr>
        <w:t>(5) payment to shareholders</w:t>
      </w:r>
    </w:p>
    <w:p w:rsidRPr="00FF5098" w:rsidR="00FF5098" w:rsidP="6CBF4B85" w:rsidRDefault="00FF5098" w14:paraId="64C48DFD" w14:textId="0577E916">
      <w:pPr>
        <w:jc w:val="both"/>
        <w:rPr>
          <w:rFonts w:ascii="Arial" w:hAnsi="Arial" w:cs="Arial"/>
          <w:color w:val="7B7B7B" w:themeColor="accent3" w:themeTint="FF" w:themeShade="BF"/>
          <w:sz w:val="22"/>
          <w:szCs w:val="22"/>
          <w:lang w:val="en-GB"/>
        </w:rPr>
      </w:pPr>
    </w:p>
    <w:p w:rsidRPr="00FF5098" w:rsidR="00FF5098" w:rsidP="7C870B9B" w:rsidRDefault="00FF5098" w14:paraId="416B3334" w14:textId="164C1C9B">
      <w:pPr>
        <w:pStyle w:val="Normal"/>
        <w:jc w:val="both"/>
        <w:rPr>
          <w:rFonts w:ascii="Arial" w:hAnsi="Arial" w:cs="Arial"/>
          <w:color w:val="7B7B7B" w:themeColor="accent3" w:themeShade="BF"/>
          <w:sz w:val="22"/>
          <w:szCs w:val="22"/>
          <w:lang w:val="en-GB"/>
        </w:rPr>
      </w:pPr>
      <w:r w:rsidRPr="7C870B9B" w:rsidR="7C870B9B">
        <w:rPr>
          <w:rFonts w:ascii="Arial" w:hAnsi="Arial" w:eastAsia="Times New Roman" w:cs="Arial" w:asciiTheme="minorAscii" w:hAnsiTheme="minorAscii" w:cstheme="minorBidi"/>
          <w:color w:val="7B7B7B" w:themeColor="accent3" w:themeTint="FF" w:themeShade="BF"/>
          <w:sz w:val="22"/>
          <w:szCs w:val="22"/>
          <w:lang w:val="en-GB"/>
        </w:rPr>
        <w:t>If there are sufficient funds to pay all creditors, the surplus will be distributed amongst the shareholders in accordance with the company’ constitution or shareholders agreement.]</w:t>
      </w:r>
    </w:p>
    <w:p w:rsidR="00962045" w:rsidP="002A37BB" w:rsidRDefault="00962045" w14:paraId="3DAA6780" w14:textId="35F146A0">
      <w:pPr>
        <w:jc w:val="both"/>
        <w:rPr>
          <w:rFonts w:ascii="Arial" w:hAnsi="Arial" w:cs="Arial"/>
          <w:sz w:val="22"/>
          <w:szCs w:val="22"/>
          <w:shd w:val="clear" w:color="auto" w:fill="FFFFFF"/>
        </w:rPr>
      </w:pPr>
    </w:p>
    <w:p w:rsidRPr="002A37BB" w:rsidR="00FF5098" w:rsidP="002A37BB" w:rsidRDefault="00FF5098" w14:paraId="042F2F16" w14:textId="77777777">
      <w:pPr>
        <w:jc w:val="both"/>
        <w:rPr>
          <w:rFonts w:ascii="Arial" w:hAnsi="Arial" w:cs="Arial"/>
          <w:sz w:val="22"/>
          <w:szCs w:val="22"/>
          <w:shd w:val="clear" w:color="auto" w:fill="FFFFFF"/>
        </w:rPr>
      </w:pPr>
    </w:p>
    <w:p w:rsidRPr="002A37BB" w:rsidR="009B0723" w:rsidP="00087F21" w:rsidRDefault="00DF75F8" w14:paraId="55C402CC" w14:textId="746A48C9">
      <w:pPr>
        <w:jc w:val="both"/>
        <w:rPr>
          <w:rFonts w:ascii="Arial" w:hAnsi="Arial" w:cs="Arial"/>
          <w:b/>
          <w:sz w:val="22"/>
          <w:szCs w:val="22"/>
          <w:lang w:val="en-GB"/>
        </w:rPr>
      </w:pPr>
      <w:r w:rsidRPr="002A37BB">
        <w:rPr>
          <w:rFonts w:ascii="Arial" w:hAnsi="Arial" w:cs="Arial"/>
          <w:b/>
          <w:sz w:val="22"/>
          <w:szCs w:val="22"/>
          <w:lang w:val="en-GB"/>
        </w:rPr>
        <w:t>QUESTION 4</w:t>
      </w:r>
      <w:r w:rsidRPr="002A37BB" w:rsidR="009B0723">
        <w:rPr>
          <w:rFonts w:ascii="Arial" w:hAnsi="Arial" w:cs="Arial"/>
          <w:b/>
          <w:sz w:val="22"/>
          <w:szCs w:val="22"/>
          <w:lang w:val="en-GB"/>
        </w:rPr>
        <w:t xml:space="preserve"> (fact-based application-type question) [15 marks</w:t>
      </w:r>
      <w:r w:rsidRPr="002A37BB" w:rsidR="006A2646">
        <w:rPr>
          <w:rFonts w:ascii="Arial" w:hAnsi="Arial" w:cs="Arial"/>
          <w:b/>
          <w:sz w:val="22"/>
          <w:szCs w:val="22"/>
          <w:lang w:val="en-GB"/>
        </w:rPr>
        <w:t xml:space="preserve"> in total</w:t>
      </w:r>
      <w:r w:rsidRPr="002A37BB" w:rsidR="009B0723">
        <w:rPr>
          <w:rFonts w:ascii="Arial" w:hAnsi="Arial" w:cs="Arial"/>
          <w:b/>
          <w:sz w:val="22"/>
          <w:szCs w:val="22"/>
          <w:lang w:val="en-GB"/>
        </w:rPr>
        <w:t>]</w:t>
      </w:r>
    </w:p>
    <w:p w:rsidRPr="002A37BB" w:rsidR="009B0723" w:rsidP="00087F21" w:rsidRDefault="009B0723" w14:paraId="5BAC2B6B" w14:textId="77777777">
      <w:pPr>
        <w:jc w:val="both"/>
        <w:rPr>
          <w:rFonts w:ascii="Arial" w:hAnsi="Arial" w:cs="Arial"/>
          <w:sz w:val="22"/>
          <w:szCs w:val="22"/>
          <w:lang w:val="en-GB"/>
        </w:rPr>
      </w:pPr>
    </w:p>
    <w:p w:rsidRPr="00CB79E4" w:rsidR="007E2919" w:rsidP="007E2919" w:rsidRDefault="007E2919" w14:paraId="3A50AFAA" w14:textId="54D873D1">
      <w:pPr>
        <w:pStyle w:val="NormalWeb"/>
        <w:spacing w:before="0" w:beforeAutospacing="0" w:after="0" w:afterAutospacing="0"/>
        <w:rPr>
          <w:rFonts w:ascii="Arial" w:hAnsi="Arial" w:cs="Arial"/>
        </w:rPr>
      </w:pPr>
      <w:bookmarkStart w:name="_Hlk17745211" w:id="0"/>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Pr="00E94797" w:rsidR="00314F32">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rsidR="007E2919" w:rsidP="007E2919" w:rsidRDefault="007E2919" w14:paraId="446FD66A" w14:textId="65DEFBAC">
      <w:pPr>
        <w:pStyle w:val="NormalWeb"/>
        <w:spacing w:before="0" w:beforeAutospacing="0" w:after="0" w:afterAutospacing="0"/>
        <w:rPr>
          <w:rFonts w:ascii="Arial" w:hAnsi="Arial" w:cs="Arial"/>
        </w:rPr>
      </w:pPr>
    </w:p>
    <w:p w:rsidR="00314F32" w:rsidP="007E2919" w:rsidRDefault="00314F32" w14:paraId="3669DFCF" w14:textId="3DDC0B11">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rsidRPr="00CB79E4" w:rsidR="00314F32" w:rsidP="007E2919" w:rsidRDefault="00314F32" w14:paraId="148D7C3C" w14:textId="77777777">
      <w:pPr>
        <w:pStyle w:val="NormalWeb"/>
        <w:spacing w:before="0" w:beforeAutospacing="0" w:after="0" w:afterAutospacing="0"/>
        <w:rPr>
          <w:rFonts w:ascii="Arial" w:hAnsi="Arial" w:cs="Arial"/>
        </w:rPr>
      </w:pPr>
    </w:p>
    <w:p w:rsidRPr="00CB79E4" w:rsidR="007E2919" w:rsidP="00891690" w:rsidRDefault="007E2919" w14:paraId="0C3B98CB" w14:textId="0513C8E8">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rsidRPr="00CB79E4" w:rsidR="007E2919" w:rsidP="007E2919" w:rsidRDefault="007E2919" w14:paraId="656168E7" w14:textId="77777777">
      <w:pPr>
        <w:pStyle w:val="NormalWeb"/>
        <w:spacing w:before="0" w:beforeAutospacing="0" w:after="0" w:afterAutospacing="0"/>
        <w:rPr>
          <w:rFonts w:ascii="Arial" w:hAnsi="Arial" w:cs="Arial"/>
        </w:rPr>
      </w:pPr>
    </w:p>
    <w:p w:rsidRPr="00CB79E4" w:rsidR="007E2919" w:rsidP="007E2919" w:rsidRDefault="007E2919" w14:paraId="650258DB" w14:textId="6C9D65B3">
      <w:pPr>
        <w:pStyle w:val="NormalWeb"/>
        <w:spacing w:before="0" w:beforeAutospacing="0" w:after="0" w:afterAutospacing="0"/>
        <w:rPr>
          <w:rFonts w:ascii="Arial" w:hAnsi="Arial" w:cs="Arial"/>
        </w:rPr>
      </w:pPr>
      <w:r w:rsidRPr="00CB79E4">
        <w:rPr>
          <w:rFonts w:ascii="Arial" w:hAnsi="Arial" w:cs="Arial"/>
        </w:rPr>
        <w:lastRenderedPageBreak/>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rsidRPr="00CB79E4" w:rsidR="007E2919" w:rsidP="007E2919" w:rsidRDefault="007E2919" w14:paraId="2617BBD3" w14:textId="77777777">
      <w:pPr>
        <w:pStyle w:val="NormalWeb"/>
        <w:spacing w:before="0" w:beforeAutospacing="0" w:after="0" w:afterAutospacing="0"/>
        <w:rPr>
          <w:rFonts w:ascii="Arial" w:hAnsi="Arial" w:cs="Arial"/>
        </w:rPr>
      </w:pPr>
    </w:p>
    <w:p w:rsidRPr="00CB79E4" w:rsidR="007E2919" w:rsidP="007E2919" w:rsidRDefault="007E2919" w14:paraId="778D6790" w14:textId="77777777">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rsidR="007E2919" w:rsidP="007E2919" w:rsidRDefault="007E2919" w14:paraId="52970EAB" w14:textId="77777777">
      <w:pPr>
        <w:jc w:val="both"/>
        <w:rPr>
          <w:rFonts w:ascii="Arial" w:hAnsi="Arial" w:cs="Arial"/>
          <w:b/>
          <w:bCs/>
          <w:sz w:val="22"/>
          <w:szCs w:val="22"/>
          <w:u w:val="single"/>
          <w:lang w:val="en-GB"/>
        </w:rPr>
      </w:pPr>
    </w:p>
    <w:p w:rsidR="007E2919" w:rsidP="007E2919" w:rsidRDefault="007E2919" w14:paraId="15B378AB" w14:textId="499ACC2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rsidRPr="00B04033" w:rsidR="007E2919" w:rsidP="007E2919" w:rsidRDefault="007E2919" w14:paraId="06CAFE52" w14:textId="77777777">
      <w:pPr>
        <w:pStyle w:val="NormalWeb"/>
        <w:spacing w:before="0" w:beforeAutospacing="0" w:after="0" w:afterAutospacing="0"/>
        <w:rPr>
          <w:rFonts w:ascii="Arial" w:hAnsi="Arial" w:cs="Arial"/>
          <w:sz w:val="22"/>
          <w:szCs w:val="22"/>
        </w:rPr>
      </w:pPr>
    </w:p>
    <w:p w:rsidRPr="00B04033" w:rsidR="007E2919" w:rsidP="007E2919" w:rsidRDefault="007E2919" w14:paraId="07D475B7" w14:textId="36E24A51">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rsidRPr="00B04033" w:rsidR="007E2919" w:rsidP="007E2919" w:rsidRDefault="007E2919" w14:paraId="62D93BC1" w14:textId="77777777">
      <w:pPr>
        <w:rPr>
          <w:rFonts w:ascii="Arial" w:hAnsi="Arial" w:cs="Arial"/>
          <w:b/>
          <w:sz w:val="22"/>
          <w:szCs w:val="22"/>
        </w:rPr>
      </w:pPr>
    </w:p>
    <w:p w:rsidR="007E2919" w:rsidP="007E2919" w:rsidRDefault="007E2919" w14:paraId="7ADF0676" w14:textId="77777777">
      <w:pPr>
        <w:rPr>
          <w:rFonts w:ascii="Arial" w:hAnsi="Arial" w:cs="Arial"/>
          <w:b/>
          <w:sz w:val="24"/>
        </w:rPr>
      </w:pPr>
      <w:r>
        <w:rPr>
          <w:rFonts w:ascii="Arial" w:hAnsi="Arial" w:cs="Arial"/>
          <w:b/>
          <w:sz w:val="24"/>
        </w:rPr>
        <w:t>Question 4.1 [maximum 5 marks]</w:t>
      </w:r>
    </w:p>
    <w:p w:rsidR="007E2919" w:rsidP="007E2919" w:rsidRDefault="007E2919" w14:paraId="38FEFA11" w14:textId="77777777">
      <w:pPr>
        <w:rPr>
          <w:rFonts w:ascii="Arial" w:hAnsi="Arial" w:cs="Arial"/>
          <w:b/>
          <w:sz w:val="24"/>
        </w:rPr>
      </w:pPr>
    </w:p>
    <w:p w:rsidRPr="007E2919" w:rsidR="007E2919" w:rsidP="007E2919" w:rsidRDefault="007E2919" w14:paraId="348B3EC5" w14:textId="4AEEC57F">
      <w:pPr>
        <w:rPr>
          <w:rFonts w:ascii="Arial" w:hAnsi="Arial" w:cs="Arial"/>
          <w:sz w:val="24"/>
        </w:rPr>
      </w:pPr>
      <w:r w:rsidRPr="007E2919">
        <w:rPr>
          <w:rFonts w:ascii="Arial" w:hAnsi="Arial" w:cs="Arial"/>
          <w:sz w:val="24"/>
        </w:rPr>
        <w:t>The floating charge in favour of Stercus Bank plc;</w:t>
      </w:r>
    </w:p>
    <w:p w:rsidR="007E2919" w:rsidP="007E2919" w:rsidRDefault="007E2919" w14:paraId="451B70BA" w14:textId="61081683">
      <w:pPr>
        <w:rPr>
          <w:rFonts w:ascii="Arial" w:hAnsi="Arial" w:cs="Arial"/>
          <w:b/>
          <w:sz w:val="24"/>
        </w:rPr>
      </w:pPr>
    </w:p>
    <w:p w:rsidRPr="00FF5098" w:rsidR="00FF5098" w:rsidP="27E4FEF1" w:rsidRDefault="00FF5098" w14:paraId="03D8F9AC" w14:textId="188CBD00">
      <w:pPr>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[The floating charge may be avoided under section 245 (floating charges) of the Insolvency Act 1986 (“</w:t>
      </w:r>
      <w:r w:rsidRPr="7C870B9B" w:rsidR="7C870B9B">
        <w:rPr>
          <w:rFonts w:ascii="Arial" w:hAnsi="Arial" w:cs="Arial"/>
          <w:b w:val="1"/>
          <w:bCs w:val="1"/>
          <w:color w:val="7B7B7B" w:themeColor="accent3" w:themeTint="FF" w:themeShade="BF"/>
          <w:sz w:val="22"/>
          <w:szCs w:val="22"/>
          <w:lang w:val="en-GB"/>
        </w:rPr>
        <w:t>IA</w:t>
      </w:r>
      <w:r w:rsidRPr="7C870B9B" w:rsidR="7C870B9B">
        <w:rPr>
          <w:rFonts w:ascii="Arial" w:hAnsi="Arial" w:cs="Arial"/>
          <w:color w:val="7B7B7B" w:themeColor="accent3" w:themeTint="FF" w:themeShade="BF"/>
          <w:sz w:val="22"/>
          <w:szCs w:val="22"/>
          <w:lang w:val="en-GB"/>
        </w:rPr>
        <w:t>”).</w:t>
      </w:r>
    </w:p>
    <w:p w:rsidRPr="00FF5098" w:rsidR="00FF5098" w:rsidP="27E4FEF1" w:rsidRDefault="00FF5098" w14:paraId="76B8E33E" w14:textId="55032AA8">
      <w:pPr>
        <w:pStyle w:val="Normal"/>
        <w:jc w:val="both"/>
        <w:rPr>
          <w:rFonts w:ascii="Calibri" w:hAnsi="Calibri" w:eastAsia="Times New Roman" w:cs=""/>
          <w:color w:val="7B7B7B" w:themeColor="accent3" w:themeTint="FF" w:themeShade="BF"/>
          <w:sz w:val="20"/>
          <w:szCs w:val="20"/>
          <w:lang w:val="en-GB"/>
        </w:rPr>
      </w:pPr>
    </w:p>
    <w:p w:rsidRPr="00FF5098" w:rsidR="00FF5098" w:rsidP="7C870B9B" w:rsidRDefault="00FF5098" w14:paraId="041AC9EE" w14:textId="53C6A0F6">
      <w:pPr>
        <w:pStyle w:val="Normal"/>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color w:val="7B7B7B" w:themeColor="accent3" w:themeTint="FF" w:themeShade="BF"/>
          <w:sz w:val="22"/>
          <w:szCs w:val="22"/>
          <w:lang w:val="en-GB"/>
        </w:rPr>
        <w:t>It</w:t>
      </w:r>
      <w:r w:rsidRPr="7C870B9B" w:rsidR="7C870B9B">
        <w:rPr>
          <w:rFonts w:ascii="Arial" w:hAnsi="Arial" w:eastAsia="Times New Roman" w:cs="Arial" w:asciiTheme="minorAscii" w:hAnsiTheme="minorAscii" w:cstheme="minorBidi"/>
          <w:color w:val="7B7B7B" w:themeColor="accent3" w:themeTint="FF" w:themeShade="BF"/>
          <w:sz w:val="22"/>
          <w:szCs w:val="22"/>
          <w:lang w:val="en-GB"/>
        </w:rPr>
        <w:t xml:space="preserve"> seems </w:t>
      </w:r>
      <w:proofErr w:type="spellStart"/>
      <w:r w:rsidRPr="7C870B9B" w:rsidR="7C870B9B">
        <w:rPr>
          <w:rFonts w:ascii="Arial" w:hAnsi="Arial" w:eastAsia="Times New Roman" w:cs="Arial" w:asciiTheme="minorAscii" w:hAnsiTheme="minorAscii" w:cstheme="minorBidi"/>
          <w:color w:val="7B7B7B" w:themeColor="accent3" w:themeTint="FF" w:themeShade="BF"/>
          <w:sz w:val="22"/>
          <w:szCs w:val="22"/>
          <w:lang w:val="en-GB"/>
        </w:rPr>
        <w:t>Stercus</w:t>
      </w:r>
      <w:proofErr w:type="spellEnd"/>
      <w:r w:rsidRPr="7C870B9B" w:rsidR="7C870B9B">
        <w:rPr>
          <w:rFonts w:ascii="Arial" w:hAnsi="Arial" w:eastAsia="Times New Roman" w:cs="Arial" w:asciiTheme="minorAscii" w:hAnsiTheme="minorAscii" w:cstheme="minorBidi"/>
          <w:color w:val="7B7B7B" w:themeColor="accent3" w:themeTint="FF" w:themeShade="BF"/>
          <w:sz w:val="22"/>
          <w:szCs w:val="22"/>
          <w:lang w:val="en-GB"/>
        </w:rPr>
        <w:t xml:space="preserve"> Bank is not connected with the company (they are not controlled by the same person or persons who are associated within the meaning of section 249 and 435 of the IA).</w:t>
      </w:r>
    </w:p>
    <w:p w:rsidRPr="00FF5098" w:rsidR="00FF5098" w:rsidP="7C870B9B" w:rsidRDefault="00FF5098" w14:paraId="32FA09EE" w14:textId="3FE41860">
      <w:pPr>
        <w:pStyle w:val="Normal"/>
        <w:jc w:val="both"/>
        <w:rPr>
          <w:rFonts w:ascii="Arial" w:hAnsi="Arial" w:eastAsia="Times New Roman" w:cs="Arial"/>
          <w:color w:val="7B7B7B" w:themeColor="accent3" w:themeTint="FF" w:themeShade="BF"/>
          <w:sz w:val="22"/>
          <w:szCs w:val="22"/>
          <w:lang w:val="en-GB"/>
        </w:rPr>
      </w:pPr>
    </w:p>
    <w:p w:rsidRPr="00FF5098" w:rsidR="00FF5098" w:rsidP="7C870B9B" w:rsidRDefault="00FF5098" w14:paraId="7BAD7023" w14:textId="2EFF9F96">
      <w:pPr>
        <w:pStyle w:val="Normal"/>
        <w:jc w:val="both"/>
        <w:rPr>
          <w:rFonts w:ascii="Arial" w:hAnsi="Arial" w:eastAsia="Times New Roman" w:cs="Arial"/>
          <w:color w:val="7B7B7B" w:themeColor="accent3" w:themeTint="FF" w:themeShade="BF"/>
          <w:sz w:val="22"/>
          <w:szCs w:val="22"/>
          <w:u w:val="single"/>
          <w:lang w:val="en-GB"/>
        </w:rPr>
      </w:pPr>
      <w:r w:rsidRPr="7C870B9B" w:rsidR="7C870B9B">
        <w:rPr>
          <w:rFonts w:ascii="Arial" w:hAnsi="Arial" w:eastAsia="Times New Roman" w:cs="Arial" w:asciiTheme="minorAscii" w:hAnsiTheme="minorAscii" w:cstheme="minorBidi"/>
          <w:color w:val="7B7B7B" w:themeColor="accent3" w:themeTint="FF" w:themeShade="BF"/>
          <w:sz w:val="22"/>
          <w:szCs w:val="22"/>
          <w:u w:val="single"/>
          <w:lang w:val="en-GB"/>
        </w:rPr>
        <w:t>Avoidance of certain floating charges</w:t>
      </w:r>
    </w:p>
    <w:p w:rsidRPr="00FF5098" w:rsidR="00FF5098" w:rsidP="7C870B9B" w:rsidRDefault="00FF5098" w14:paraId="50557473" w14:textId="3423F1BC">
      <w:pPr>
        <w:pStyle w:val="Normal"/>
        <w:jc w:val="both"/>
        <w:rPr>
          <w:rFonts w:ascii="Arial" w:hAnsi="Arial" w:eastAsia="Times New Roman" w:cs="Arial"/>
          <w:color w:val="7B7B7B" w:themeColor="accent3" w:themeTint="FF" w:themeShade="BF"/>
          <w:sz w:val="22"/>
          <w:szCs w:val="22"/>
          <w:lang w:val="en-GB"/>
        </w:rPr>
      </w:pPr>
    </w:p>
    <w:p w:rsidRPr="00FF5098" w:rsidR="00FF5098" w:rsidP="7C870B9B" w:rsidRDefault="00FF5098" w14:paraId="7A7F0547" w14:textId="44CCE7A2">
      <w:pPr>
        <w:pStyle w:val="Normal"/>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asciiTheme="minorAscii" w:hAnsiTheme="minorAscii" w:cstheme="minorBidi"/>
          <w:color w:val="7B7B7B" w:themeColor="accent3" w:themeTint="FF" w:themeShade="BF"/>
          <w:sz w:val="22"/>
          <w:szCs w:val="22"/>
          <w:lang w:val="en-GB"/>
        </w:rPr>
        <w:t>Section 245 of the IA provides that where a floating charge on the company’s undertaking or property was granted to a person not connected with the company at a time within the period of 12 months prior to the onset of insolvency, and at the time of creation of the floating charge the company was unable to pay its debts as they fell due within the meaning of section 123 of the IA (cash flow insolvency), or became unable to pay its debts in consequence of the transaction under which the charge was created, such charge is invalid unless new consideration was provided to the company.</w:t>
      </w:r>
    </w:p>
    <w:p w:rsidRPr="00FF5098" w:rsidR="00FF5098" w:rsidP="7C870B9B" w:rsidRDefault="00FF5098" w14:paraId="3CF22F65" w14:textId="415EE508">
      <w:pPr>
        <w:pStyle w:val="Normal"/>
        <w:jc w:val="both"/>
        <w:rPr>
          <w:rFonts w:ascii="Arial" w:hAnsi="Arial" w:eastAsia="Times New Roman" w:cs="Arial"/>
          <w:color w:val="7B7B7B" w:themeColor="accent3" w:themeTint="FF" w:themeShade="BF"/>
          <w:sz w:val="22"/>
          <w:szCs w:val="22"/>
          <w:lang w:val="en-GB"/>
        </w:rPr>
      </w:pPr>
    </w:p>
    <w:p w:rsidRPr="00FF5098" w:rsidR="00FF5098" w:rsidP="7C870B9B" w:rsidRDefault="00FF5098" w14:paraId="28B54A97" w14:textId="7F62B84E">
      <w:pPr>
        <w:pStyle w:val="Normal"/>
        <w:bidi w:val="0"/>
        <w:spacing w:beforeLines="0" w:beforeAutospacing="off" w:afterLines="0" w:afterAutospacing="off" w:line="259" w:lineRule="auto"/>
        <w:ind w:left="0" w:rightChars="0"/>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asciiTheme="minorAscii" w:hAnsiTheme="minorAscii" w:cstheme="minorBidi"/>
          <w:color w:val="7B7B7B" w:themeColor="accent3" w:themeTint="FF" w:themeShade="BF"/>
          <w:sz w:val="22"/>
          <w:szCs w:val="22"/>
          <w:lang w:val="en-GB"/>
        </w:rPr>
        <w:t xml:space="preserve">The company was ordered by the court to be wound up. In such a case, the onset of insolvency was the commencement of the winding up (section 245(5) of the IA). The commencement of the winding up is the date of the presentation of the winding up petition (section 129(2) of the IA), which is 14 October 2021. </w:t>
      </w:r>
      <w:proofErr w:type="gramStart"/>
      <w:r w:rsidRPr="7C870B9B" w:rsidR="7C870B9B">
        <w:rPr>
          <w:rFonts w:ascii="Arial" w:hAnsi="Arial" w:eastAsia="Times New Roman" w:cs="Arial" w:asciiTheme="minorAscii" w:hAnsiTheme="minorAscii" w:cstheme="minorBidi"/>
          <w:color w:val="7B7B7B" w:themeColor="accent3" w:themeTint="FF" w:themeShade="BF"/>
          <w:sz w:val="22"/>
          <w:szCs w:val="22"/>
          <w:lang w:val="en-GB"/>
        </w:rPr>
        <w:t>So</w:t>
      </w:r>
      <w:proofErr w:type="gramEnd"/>
      <w:r w:rsidRPr="7C870B9B" w:rsidR="7C870B9B">
        <w:rPr>
          <w:rFonts w:ascii="Arial" w:hAnsi="Arial" w:eastAsia="Times New Roman" w:cs="Arial" w:asciiTheme="minorAscii" w:hAnsiTheme="minorAscii" w:cstheme="minorBidi"/>
          <w:color w:val="7B7B7B" w:themeColor="accent3" w:themeTint="FF" w:themeShade="BF"/>
          <w:sz w:val="22"/>
          <w:szCs w:val="22"/>
          <w:lang w:val="en-GB"/>
        </w:rPr>
        <w:t xml:space="preserve"> the onset of insolvency in this case is 14 October 2021. The charge was created in February 2021, within 12 months of the onset of insolvency.</w:t>
      </w:r>
    </w:p>
    <w:p w:rsidRPr="00FF5098" w:rsidR="00FF5098" w:rsidP="7C870B9B" w:rsidRDefault="00FF5098" w14:paraId="1D521236" w14:textId="7DBC3449">
      <w:pPr>
        <w:pStyle w:val="Normal"/>
        <w:bidi w:val="0"/>
        <w:spacing w:beforeLines="0" w:beforeAutospacing="off" w:afterLines="0" w:afterAutospacing="off" w:line="259" w:lineRule="auto"/>
        <w:ind w:left="0" w:rightChars="0"/>
        <w:jc w:val="both"/>
        <w:rPr>
          <w:rFonts w:ascii="Arial" w:hAnsi="Arial" w:eastAsia="Times New Roman" w:cs="Arial"/>
          <w:color w:val="7B7B7B" w:themeColor="accent3" w:themeTint="FF" w:themeShade="BF"/>
          <w:sz w:val="22"/>
          <w:szCs w:val="22"/>
          <w:lang w:val="en-GB"/>
        </w:rPr>
      </w:pPr>
    </w:p>
    <w:p w:rsidRPr="00FF5098" w:rsidR="00FF5098" w:rsidP="7C870B9B" w:rsidRDefault="00FF5098" w14:paraId="0A13186A" w14:textId="120B5D9E">
      <w:pPr>
        <w:pStyle w:val="Normal"/>
        <w:bidi w:val="0"/>
        <w:spacing w:beforeLines="0" w:beforeAutospacing="off" w:afterLines="0" w:afterAutospacing="off" w:line="259" w:lineRule="auto"/>
        <w:ind w:left="0" w:rightChars="0"/>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asciiTheme="minorAscii" w:hAnsiTheme="minorAscii" w:cstheme="minorBidi"/>
          <w:color w:val="7B7B7B" w:themeColor="accent3" w:themeTint="FF" w:themeShade="BF"/>
          <w:sz w:val="22"/>
          <w:szCs w:val="22"/>
          <w:lang w:val="en-GB"/>
        </w:rPr>
        <w:t>It is not clear whether the company was cash flow insolvent or became cash flow insolvent because of this transaction concerning the floating charge. If the company was not insolvent or became insolvent in February 2021, the floating charge cannot be avoided under section 245 of the IA. The liquidators need to investigate the solvency of the company in February 2021.</w:t>
      </w:r>
    </w:p>
    <w:p w:rsidRPr="00FF5098" w:rsidR="00FF5098" w:rsidP="7C870B9B" w:rsidRDefault="00FF5098" w14:paraId="0D5A5849" w14:textId="58F1D9D4">
      <w:pPr>
        <w:pStyle w:val="Normal"/>
        <w:bidi w:val="0"/>
        <w:spacing w:beforeLines="0" w:beforeAutospacing="off" w:afterLines="0" w:afterAutospacing="off" w:line="259" w:lineRule="auto"/>
        <w:ind w:left="0" w:rightChars="0"/>
        <w:jc w:val="both"/>
        <w:rPr>
          <w:rFonts w:ascii="Arial" w:hAnsi="Arial" w:eastAsia="Times New Roman" w:cs="Arial"/>
          <w:color w:val="7B7B7B" w:themeColor="accent3" w:themeTint="FF" w:themeShade="BF"/>
          <w:sz w:val="22"/>
          <w:szCs w:val="22"/>
          <w:lang w:val="en-GB"/>
        </w:rPr>
      </w:pPr>
    </w:p>
    <w:p w:rsidRPr="00FF5098" w:rsidR="00FF5098" w:rsidP="7C870B9B" w:rsidRDefault="00FF5098" w14:paraId="3EE877D3" w14:textId="5C203479">
      <w:pPr>
        <w:pStyle w:val="Normal"/>
        <w:bidi w:val="0"/>
        <w:spacing w:beforeLines="0" w:beforeAutospacing="off" w:afterLines="0" w:afterAutospacing="off" w:line="259" w:lineRule="auto"/>
        <w:ind w:left="0" w:rightChars="0"/>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asciiTheme="minorAscii" w:hAnsiTheme="minorAscii" w:cstheme="minorBidi"/>
          <w:color w:val="7B7B7B" w:themeColor="accent3" w:themeTint="FF" w:themeShade="BF"/>
          <w:sz w:val="22"/>
          <w:szCs w:val="22"/>
          <w:lang w:val="en-GB"/>
        </w:rPr>
        <w:t xml:space="preserve">It seems that no new consideration was made to the company. The promise not to make demand is not a new consideration for purpose of section 245 of the IA. If there was any consideration (for example reduction of any debt of the company), the floating charge cannot be invalidated under section 245 of the IA. </w:t>
      </w:r>
    </w:p>
    <w:p w:rsidR="7C870B9B" w:rsidP="7C870B9B" w:rsidRDefault="7C870B9B" w14:paraId="14AC323C" w14:textId="0D11DCF6">
      <w:pPr>
        <w:pStyle w:val="Normal"/>
        <w:bidi w:val="0"/>
        <w:spacing w:beforeLines="0" w:beforeAutospacing="off" w:afterLines="0" w:afterAutospacing="off" w:line="259" w:lineRule="auto"/>
        <w:ind w:left="0" w:rightChars="0"/>
        <w:jc w:val="both"/>
        <w:rPr>
          <w:rFonts w:ascii="Arial" w:hAnsi="Arial" w:eastAsia="Times New Roman" w:cs="Arial"/>
          <w:color w:val="7B7B7B" w:themeColor="accent3" w:themeTint="FF" w:themeShade="BF"/>
          <w:sz w:val="22"/>
          <w:szCs w:val="22"/>
          <w:lang w:val="en-GB"/>
        </w:rPr>
      </w:pPr>
    </w:p>
    <w:p w:rsidRPr="00FF5098" w:rsidR="00FF5098" w:rsidP="7C870B9B" w:rsidRDefault="00FF5098" w14:paraId="7D90B533" w14:textId="27E25FAE">
      <w:pPr>
        <w:pStyle w:val="Normal"/>
        <w:jc w:val="both"/>
        <w:rPr>
          <w:rFonts w:ascii="Arial" w:hAnsi="Arial" w:eastAsia="Times New Roman" w:cs="Arial"/>
          <w:color w:val="7B7B7B" w:themeColor="accent3" w:themeTint="FF" w:themeShade="BF"/>
          <w:sz w:val="22"/>
          <w:szCs w:val="22"/>
          <w:u w:val="single"/>
          <w:lang w:val="en-GB"/>
        </w:rPr>
      </w:pPr>
      <w:r w:rsidRPr="7C870B9B" w:rsidR="7C870B9B">
        <w:rPr>
          <w:rFonts w:ascii="Arial" w:hAnsi="Arial" w:eastAsia="Times New Roman" w:cs="Arial" w:asciiTheme="minorAscii" w:hAnsiTheme="minorAscii" w:cstheme="minorBidi"/>
          <w:color w:val="7B7B7B" w:themeColor="accent3" w:themeTint="FF" w:themeShade="BF"/>
          <w:sz w:val="22"/>
          <w:szCs w:val="22"/>
          <w:u w:val="single"/>
          <w:lang w:val="en-GB"/>
        </w:rPr>
        <w:t>Avoidance of preference</w:t>
      </w:r>
    </w:p>
    <w:p w:rsidRPr="00FF5098" w:rsidR="00FF5098" w:rsidP="27E4FEF1" w:rsidRDefault="00FF5098" w14:paraId="72A9B2DD" w14:textId="669EFA1C">
      <w:pPr>
        <w:pStyle w:val="Normal"/>
        <w:jc w:val="both"/>
        <w:rPr>
          <w:rFonts w:ascii="Arial" w:hAnsi="Arial" w:eastAsia="Times New Roman" w:cs="Arial"/>
          <w:color w:val="7B7B7B" w:themeColor="accent3" w:themeTint="FF" w:themeShade="BF"/>
          <w:sz w:val="22"/>
          <w:szCs w:val="22"/>
          <w:lang w:val="en-GB"/>
        </w:rPr>
      </w:pPr>
    </w:p>
    <w:p w:rsidRPr="00FF5098" w:rsidR="00FF5098" w:rsidP="27E4FEF1" w:rsidRDefault="00FF5098" w14:paraId="27BBD5E7" w14:textId="238E8394">
      <w:pPr>
        <w:pStyle w:val="Normal"/>
        <w:jc w:val="both"/>
        <w:rPr>
          <w:rFonts w:ascii="Calibri" w:hAnsi="Calibri" w:eastAsia="Times New Roman" w:cs=""/>
          <w:color w:val="7B7B7B" w:themeColor="accent3" w:themeTint="FF" w:themeShade="BF"/>
          <w:sz w:val="20"/>
          <w:szCs w:val="20"/>
          <w:lang w:val="en-GB"/>
        </w:rPr>
      </w:pPr>
      <w:r w:rsidRPr="27E4FEF1" w:rsidR="27E4FEF1">
        <w:rPr>
          <w:rFonts w:ascii="Arial" w:hAnsi="Arial" w:eastAsia="Times New Roman" w:cs="Arial"/>
          <w:color w:val="7B7B7B" w:themeColor="accent3" w:themeTint="FF" w:themeShade="BF"/>
          <w:sz w:val="22"/>
          <w:szCs w:val="22"/>
          <w:lang w:val="en-GB"/>
        </w:rPr>
        <w:t xml:space="preserve">Section 239 of the IA prevents a company, before entering into an insolvency procedure, from placing any creditors in a better position than others. By giving </w:t>
      </w:r>
      <w:proofErr w:type="spellStart"/>
      <w:r w:rsidRPr="27E4FEF1" w:rsidR="27E4FEF1">
        <w:rPr>
          <w:rFonts w:ascii="Arial" w:hAnsi="Arial" w:eastAsia="Times New Roman" w:cs="Arial"/>
          <w:color w:val="7B7B7B" w:themeColor="accent3" w:themeTint="FF" w:themeShade="BF"/>
          <w:sz w:val="22"/>
          <w:szCs w:val="22"/>
          <w:lang w:val="en-GB"/>
        </w:rPr>
        <w:t>Stercus</w:t>
      </w:r>
      <w:proofErr w:type="spellEnd"/>
      <w:r w:rsidRPr="27E4FEF1" w:rsidR="27E4FEF1">
        <w:rPr>
          <w:rFonts w:ascii="Arial" w:hAnsi="Arial" w:eastAsia="Times New Roman" w:cs="Arial"/>
          <w:color w:val="7B7B7B" w:themeColor="accent3" w:themeTint="FF" w:themeShade="BF"/>
          <w:sz w:val="22"/>
          <w:szCs w:val="22"/>
          <w:lang w:val="en-GB"/>
        </w:rPr>
        <w:t xml:space="preserve"> Bank a floating charge shortly before it went into insolvent liquidation, the company may have put </w:t>
      </w:r>
      <w:proofErr w:type="spellStart"/>
      <w:r w:rsidRPr="27E4FEF1" w:rsidR="27E4FEF1">
        <w:rPr>
          <w:rFonts w:ascii="Arial" w:hAnsi="Arial" w:eastAsia="Times New Roman" w:cs="Arial"/>
          <w:color w:val="7B7B7B" w:themeColor="accent3" w:themeTint="FF" w:themeShade="BF"/>
          <w:sz w:val="22"/>
          <w:szCs w:val="22"/>
          <w:lang w:val="en-GB"/>
        </w:rPr>
        <w:t>Stercus</w:t>
      </w:r>
      <w:proofErr w:type="spellEnd"/>
      <w:r w:rsidRPr="27E4FEF1" w:rsidR="27E4FEF1">
        <w:rPr>
          <w:rFonts w:ascii="Arial" w:hAnsi="Arial" w:eastAsia="Times New Roman" w:cs="Arial"/>
          <w:color w:val="7B7B7B" w:themeColor="accent3" w:themeTint="FF" w:themeShade="BF"/>
          <w:sz w:val="22"/>
          <w:szCs w:val="22"/>
          <w:lang w:val="en-GB"/>
        </w:rPr>
        <w:t xml:space="preserve"> Bank in a better than other creditors. </w:t>
      </w:r>
    </w:p>
    <w:p w:rsidRPr="00FF5098" w:rsidR="00FF5098" w:rsidP="27E4FEF1" w:rsidRDefault="00FF5098" w14:paraId="7752D66E" w14:textId="5DDA709C">
      <w:pPr>
        <w:pStyle w:val="Normal"/>
        <w:jc w:val="both"/>
        <w:rPr>
          <w:rFonts w:ascii="Arial" w:hAnsi="Arial" w:eastAsia="Times New Roman" w:cs="Arial"/>
          <w:color w:val="7B7B7B" w:themeColor="accent3" w:themeTint="FF" w:themeShade="BF"/>
          <w:sz w:val="22"/>
          <w:szCs w:val="22"/>
          <w:lang w:val="en-GB"/>
        </w:rPr>
      </w:pPr>
    </w:p>
    <w:p w:rsidRPr="00FF5098" w:rsidR="00FF5098" w:rsidP="27E4FEF1" w:rsidRDefault="00FF5098" w14:paraId="733E18C4" w14:textId="6870BFC1">
      <w:pPr>
        <w:pStyle w:val="Normal"/>
        <w:jc w:val="both"/>
        <w:rPr>
          <w:rFonts w:ascii="Arial" w:hAnsi="Arial" w:eastAsia="Times New Roman" w:cs="Arial"/>
          <w:color w:val="7B7B7B" w:themeColor="accent3" w:themeTint="FF" w:themeShade="BF"/>
          <w:sz w:val="22"/>
          <w:szCs w:val="22"/>
          <w:lang w:val="en-GB"/>
        </w:rPr>
      </w:pPr>
      <w:r w:rsidRPr="27E4FEF1" w:rsidR="27E4FEF1">
        <w:rPr>
          <w:rFonts w:ascii="Arial" w:hAnsi="Arial" w:eastAsia="Times New Roman" w:cs="Arial"/>
          <w:color w:val="7B7B7B" w:themeColor="accent3" w:themeTint="FF" w:themeShade="BF"/>
          <w:sz w:val="22"/>
          <w:szCs w:val="22"/>
          <w:lang w:val="en-GB"/>
        </w:rPr>
        <w:t>To succeed on an application under section 239, the liquidators need to establish (1) the bank was a creditor of the company at the time the floating charge was created, (2) by granting the floating charge to the bank, the bank was put in a better position that it would have been in in the event of an insolvent liquidation had the floating charge not have been granted, (3) the company, in giving the preference, was influenced by a desire to prefer the bank, (4) the preference was given within the period of 6 months prior to the onset of insolvency, and at the time the preference was given, the company was unable to pay its debts as they fell due within the meaning of section 123 of the IA (cash flow insolvency), or became unable to pay its debts in consequence of the transaction (section 240 of the IA).</w:t>
      </w:r>
    </w:p>
    <w:p w:rsidRPr="00FF5098" w:rsidR="00FF5098" w:rsidP="27E4FEF1" w:rsidRDefault="00FF5098" w14:paraId="3F16186C" w14:textId="49D26E89">
      <w:pPr>
        <w:pStyle w:val="Normal"/>
        <w:jc w:val="both"/>
        <w:rPr>
          <w:rFonts w:ascii="Arial" w:hAnsi="Arial" w:eastAsia="Times New Roman" w:cs="Arial"/>
          <w:color w:val="7B7B7B" w:themeColor="accent3" w:themeTint="FF" w:themeShade="BF"/>
          <w:sz w:val="22"/>
          <w:szCs w:val="22"/>
          <w:lang w:val="en-GB"/>
        </w:rPr>
      </w:pPr>
    </w:p>
    <w:p w:rsidRPr="00FF5098" w:rsidR="00FF5098" w:rsidP="27E4FEF1" w:rsidRDefault="00FF5098" w14:paraId="6FE535FE" w14:textId="5A16EB7F">
      <w:pPr>
        <w:pStyle w:val="Normal"/>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color w:val="7B7B7B" w:themeColor="accent3" w:themeTint="FF" w:themeShade="BF"/>
          <w:sz w:val="22"/>
          <w:szCs w:val="22"/>
          <w:lang w:val="en-GB"/>
        </w:rPr>
        <w:t xml:space="preserve">At the time of the transaction, the bank was a creditor of the company, and the granting of the floating charge put the bank in a better position than it would have been in without the floating charge in the event that the company went into an insolvent liquidation, because with the floating charge, the bank ranks ahead of all unsecured creditors and had a better chance of recovery in an insolvent liquidation. </w:t>
      </w:r>
    </w:p>
    <w:p w:rsidRPr="00FF5098" w:rsidR="00FF5098" w:rsidP="27E4FEF1" w:rsidRDefault="00FF5098" w14:paraId="092D0BC7" w14:textId="2B8AB7B1">
      <w:pPr>
        <w:pStyle w:val="Normal"/>
        <w:jc w:val="both"/>
        <w:rPr>
          <w:rFonts w:ascii="Calibri" w:hAnsi="Calibri" w:eastAsia="Times New Roman" w:cs=""/>
          <w:color w:val="7B7B7B" w:themeColor="accent3" w:themeTint="FF" w:themeShade="BF"/>
          <w:sz w:val="20"/>
          <w:szCs w:val="20"/>
          <w:lang w:val="en-GB"/>
        </w:rPr>
      </w:pPr>
    </w:p>
    <w:p w:rsidRPr="00FF5098" w:rsidR="00FF5098" w:rsidP="27E4FEF1" w:rsidRDefault="00FF5098" w14:paraId="25B8F7D9" w14:textId="14F15AB5">
      <w:pPr>
        <w:pStyle w:val="Normal"/>
        <w:jc w:val="both"/>
        <w:rPr>
          <w:rFonts w:ascii="Calibri" w:hAnsi="Calibri" w:eastAsia="Times New Roman" w:cs=""/>
          <w:color w:val="7B7B7B" w:themeColor="accent3" w:themeTint="FF" w:themeShade="BF"/>
          <w:sz w:val="20"/>
          <w:szCs w:val="20"/>
          <w:lang w:val="en-GB"/>
        </w:rPr>
      </w:pPr>
      <w:r w:rsidRPr="7C870B9B" w:rsidR="7C870B9B">
        <w:rPr>
          <w:rFonts w:ascii="Arial" w:hAnsi="Arial" w:eastAsia="Times New Roman" w:cs="Arial"/>
          <w:color w:val="7B7B7B" w:themeColor="accent3" w:themeTint="FF" w:themeShade="BF"/>
          <w:sz w:val="22"/>
          <w:szCs w:val="22"/>
          <w:lang w:val="en-GB"/>
        </w:rPr>
        <w:t xml:space="preserve">The onset of insolvency, as explained above is 14 October 2021. The floating charge was granted in February 2021. So it seems that the floating charge was granted outside of the 6 month time period stipulated in section 239 of the IA and therefore, cannot be invalidated under section 239 of the IA. </w:t>
      </w:r>
    </w:p>
    <w:p w:rsidRPr="00FF5098" w:rsidR="00FF5098" w:rsidP="27E4FEF1" w:rsidRDefault="00FF5098" w14:paraId="0DA6EDAE" w14:textId="77C4F5B8">
      <w:pPr>
        <w:pStyle w:val="Normal"/>
        <w:jc w:val="both"/>
        <w:rPr>
          <w:rFonts w:ascii="Calibri" w:hAnsi="Calibri" w:eastAsia="Times New Roman" w:cs=""/>
          <w:color w:val="7B7B7B" w:themeColor="accent3" w:themeTint="FF" w:themeShade="BF"/>
          <w:sz w:val="20"/>
          <w:szCs w:val="20"/>
          <w:lang w:val="en-GB"/>
        </w:rPr>
      </w:pPr>
    </w:p>
    <w:p w:rsidRPr="00FF5098" w:rsidR="00FF5098" w:rsidP="27E4FEF1" w:rsidRDefault="00FF5098" w14:paraId="0A188A55" w14:textId="6D52B9DB">
      <w:pPr>
        <w:pStyle w:val="Normal"/>
        <w:jc w:val="both"/>
        <w:rPr>
          <w:rFonts w:ascii="Arial" w:hAnsi="Arial" w:cs="Arial"/>
          <w:color w:val="7B7B7B" w:themeColor="accent3" w:themeShade="BF"/>
          <w:sz w:val="22"/>
          <w:szCs w:val="22"/>
          <w:lang w:val="en-GB"/>
        </w:rPr>
      </w:pPr>
      <w:r w:rsidRPr="7C870B9B" w:rsidR="7C870B9B">
        <w:rPr>
          <w:rFonts w:ascii="Arial" w:hAnsi="Arial" w:eastAsia="Times New Roman" w:cs="Arial"/>
          <w:color w:val="7B7B7B" w:themeColor="accent3" w:themeTint="FF" w:themeShade="BF"/>
          <w:sz w:val="22"/>
          <w:szCs w:val="22"/>
          <w:lang w:val="en-GB"/>
        </w:rPr>
        <w:t>Even if the floating charge was granted within the relevant time, the liquidators may not be able to establish that the company was influenced by a desire to prefer the bank. Desire is subjectively determined (Re MC Bacon Ltd [1990] BCC 78). It seems from the facts that the company granted the floating charge for purpose of preventing the bank to make demands, and not influenced by a desire to prefer the bank.]</w:t>
      </w:r>
    </w:p>
    <w:p w:rsidR="007E2919" w:rsidP="007E2919" w:rsidRDefault="007E2919" w14:paraId="74C366AC" w14:textId="25CFC8A3">
      <w:pPr>
        <w:rPr>
          <w:rFonts w:ascii="Arial" w:hAnsi="Arial" w:cs="Arial"/>
          <w:b/>
          <w:sz w:val="24"/>
        </w:rPr>
      </w:pPr>
    </w:p>
    <w:p w:rsidR="00FF5098" w:rsidP="007E2919" w:rsidRDefault="00FF5098" w14:paraId="2F50DC9F" w14:textId="77777777">
      <w:pPr>
        <w:rPr>
          <w:rFonts w:ascii="Arial" w:hAnsi="Arial" w:cs="Arial"/>
          <w:b/>
          <w:sz w:val="24"/>
        </w:rPr>
      </w:pPr>
    </w:p>
    <w:p w:rsidR="007E2919" w:rsidP="007E2919" w:rsidRDefault="007E2919" w14:paraId="0E549215" w14:textId="1AD05DC7">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rsidR="007E2919" w:rsidP="007E2919" w:rsidRDefault="007E2919" w14:paraId="7916647F" w14:textId="470BBF53">
      <w:pPr>
        <w:rPr>
          <w:rFonts w:ascii="Arial" w:hAnsi="Arial" w:cs="Arial"/>
          <w:b/>
          <w:sz w:val="24"/>
        </w:rPr>
      </w:pPr>
    </w:p>
    <w:p w:rsidRPr="007E2919" w:rsidR="007E2919" w:rsidP="007E2919" w:rsidRDefault="007E2919" w14:paraId="28B7B160" w14:textId="46AA5F7A">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rsidR="007E2919" w:rsidP="007E2919" w:rsidRDefault="007E2919" w14:paraId="78CA5A7B" w14:textId="7BC31BB4">
      <w:pPr>
        <w:rPr>
          <w:rFonts w:ascii="Arial" w:hAnsi="Arial" w:cs="Arial"/>
          <w:b/>
          <w:sz w:val="24"/>
        </w:rPr>
      </w:pPr>
    </w:p>
    <w:p w:rsidRPr="00FF5098" w:rsidR="00FF5098" w:rsidP="27E4FEF1" w:rsidRDefault="00FF5098" w14:paraId="1ABD8D9F" w14:textId="5516953B">
      <w:pPr>
        <w:jc w:val="both"/>
        <w:rPr>
          <w:rFonts w:ascii="Arial" w:hAnsi="Arial" w:cs="Arial"/>
          <w:color w:val="7B7B7B" w:themeColor="accent3" w:themeTint="FF" w:themeShade="BF"/>
          <w:sz w:val="22"/>
          <w:szCs w:val="22"/>
          <w:lang w:val="en-GB"/>
        </w:rPr>
      </w:pPr>
      <w:r w:rsidRPr="27E4FEF1" w:rsidR="27E4FEF1">
        <w:rPr>
          <w:rFonts w:ascii="Arial" w:hAnsi="Arial" w:cs="Arial"/>
          <w:color w:val="7B7B7B" w:themeColor="accent3" w:themeTint="FF" w:themeShade="BF"/>
          <w:sz w:val="22"/>
          <w:szCs w:val="22"/>
          <w:lang w:val="en-GB"/>
        </w:rPr>
        <w:t xml:space="preserve">[The sale of five coffee roasting machines may be challenged under section 238 (transaction undervalue) and/or section 423 (transactions defrauding creditors) of the IA. </w:t>
      </w:r>
    </w:p>
    <w:p w:rsidRPr="00FF5098" w:rsidR="00FF5098" w:rsidP="27E4FEF1" w:rsidRDefault="00FF5098" w14:paraId="0F1183ED" w14:textId="4778E9DC">
      <w:pPr>
        <w:jc w:val="both"/>
        <w:rPr>
          <w:rFonts w:ascii="Arial" w:hAnsi="Arial" w:cs="Arial"/>
          <w:color w:val="7B7B7B" w:themeColor="accent3" w:themeTint="FF" w:themeShade="BF"/>
          <w:sz w:val="22"/>
          <w:szCs w:val="22"/>
          <w:lang w:val="en-GB"/>
        </w:rPr>
      </w:pPr>
    </w:p>
    <w:p w:rsidR="7C870B9B" w:rsidP="7C870B9B" w:rsidRDefault="7C870B9B" w14:paraId="4803A130" w14:textId="7B82FB77">
      <w:pPr>
        <w:pStyle w:val="Normal"/>
        <w:jc w:val="both"/>
        <w:rPr>
          <w:rFonts w:ascii="Arial" w:hAnsi="Arial" w:eastAsia="Times New Roman" w:cs="Arial"/>
          <w:color w:val="7B7B7B" w:themeColor="accent3" w:themeTint="FF" w:themeShade="BF"/>
          <w:sz w:val="22"/>
          <w:szCs w:val="22"/>
          <w:u w:val="single"/>
          <w:lang w:val="en-GB"/>
        </w:rPr>
      </w:pPr>
      <w:r w:rsidRPr="7C870B9B" w:rsidR="7C870B9B">
        <w:rPr>
          <w:rFonts w:ascii="Arial" w:hAnsi="Arial" w:eastAsia="Times New Roman" w:cs="Arial"/>
          <w:color w:val="7B7B7B" w:themeColor="accent3" w:themeTint="FF" w:themeShade="BF"/>
          <w:sz w:val="22"/>
          <w:szCs w:val="22"/>
          <w:u w:val="single"/>
          <w:lang w:val="en-GB"/>
        </w:rPr>
        <w:t>Transaction under value</w:t>
      </w:r>
    </w:p>
    <w:p w:rsidR="7C870B9B" w:rsidP="7C870B9B" w:rsidRDefault="7C870B9B" w14:paraId="04436044" w14:textId="44BD2EE2">
      <w:pPr>
        <w:pStyle w:val="Normal"/>
        <w:jc w:val="both"/>
        <w:rPr>
          <w:rFonts w:ascii="Calibri" w:hAnsi="Calibri" w:eastAsia="Times New Roman" w:cs=""/>
          <w:color w:val="7B7B7B" w:themeColor="accent3" w:themeTint="FF" w:themeShade="BF"/>
          <w:sz w:val="20"/>
          <w:szCs w:val="20"/>
          <w:lang w:val="en-GB"/>
        </w:rPr>
      </w:pPr>
    </w:p>
    <w:p w:rsidRPr="00FF5098" w:rsidR="00FF5098" w:rsidP="27E4FEF1" w:rsidRDefault="00FF5098" w14:paraId="1EB455EE" w14:textId="30180ED5">
      <w:pPr>
        <w:jc w:val="both"/>
        <w:rPr>
          <w:rFonts w:ascii="Arial" w:hAnsi="Arial" w:cs="Arial"/>
          <w:color w:val="7B7B7B" w:themeColor="accent3" w:themeTint="FF" w:themeShade="BF"/>
          <w:sz w:val="22"/>
          <w:szCs w:val="22"/>
          <w:lang w:val="en-GB"/>
        </w:rPr>
      </w:pPr>
      <w:r w:rsidRPr="27E4FEF1" w:rsidR="27E4FEF1">
        <w:rPr>
          <w:rFonts w:ascii="Arial" w:hAnsi="Arial" w:cs="Arial"/>
          <w:color w:val="7B7B7B" w:themeColor="accent3" w:themeTint="FF" w:themeShade="BF"/>
          <w:sz w:val="22"/>
          <w:szCs w:val="22"/>
          <w:lang w:val="en-GB"/>
        </w:rPr>
        <w:t>To succeed in an application under section 238 of the IA, the liquidator must establish that (1) the transaction was made for a consideration which, at the date of the transaction, significantly less than the value of the consideration provided by the company, (2) the transaction took place at a relevant time.</w:t>
      </w:r>
    </w:p>
    <w:p w:rsidRPr="00FF5098" w:rsidR="00FF5098" w:rsidP="27E4FEF1" w:rsidRDefault="00FF5098" w14:paraId="7D238184" w14:textId="3C84354B">
      <w:pPr>
        <w:pStyle w:val="Normal"/>
        <w:jc w:val="both"/>
        <w:rPr>
          <w:rFonts w:ascii="Calibri" w:hAnsi="Calibri" w:eastAsia="Times New Roman" w:cs=""/>
          <w:color w:val="7B7B7B" w:themeColor="accent3" w:themeTint="FF" w:themeShade="BF"/>
          <w:sz w:val="20"/>
          <w:szCs w:val="20"/>
          <w:lang w:val="en-GB"/>
        </w:rPr>
      </w:pPr>
    </w:p>
    <w:p w:rsidRPr="00FF5098" w:rsidR="00FF5098" w:rsidP="27E4FEF1" w:rsidRDefault="00FF5098" w14:paraId="3835DE57" w14:textId="68BEEF23">
      <w:pPr>
        <w:pStyle w:val="Normal"/>
        <w:jc w:val="both"/>
        <w:rPr>
          <w:rFonts w:ascii="Arial" w:hAnsi="Arial" w:eastAsia="Times New Roman" w:cs="Arial"/>
          <w:color w:val="7B7B7B" w:themeColor="accent3" w:themeTint="FF" w:themeShade="BF"/>
          <w:sz w:val="22"/>
          <w:szCs w:val="22"/>
          <w:lang w:val="en-GB"/>
        </w:rPr>
      </w:pPr>
      <w:r w:rsidRPr="27E4FEF1" w:rsidR="27E4FEF1">
        <w:rPr>
          <w:rFonts w:ascii="Arial" w:hAnsi="Arial" w:eastAsia="Times New Roman" w:cs="Arial"/>
          <w:color w:val="7B7B7B" w:themeColor="accent3" w:themeTint="FF" w:themeShade="BF"/>
          <w:sz w:val="22"/>
          <w:szCs w:val="22"/>
          <w:lang w:val="en-GB"/>
        </w:rPr>
        <w:t xml:space="preserve">The company sold the machines purchased for £25,000 a year ago for £10,000. It seems that the transaction was made for a consideration significantly less than the value of the consideration provided by the company. </w:t>
      </w:r>
    </w:p>
    <w:p w:rsidRPr="00FF5098" w:rsidR="00FF5098" w:rsidP="27E4FEF1" w:rsidRDefault="00FF5098" w14:paraId="6E15EFF8" w14:textId="1E13200B">
      <w:pPr>
        <w:pStyle w:val="Normal"/>
        <w:jc w:val="both"/>
        <w:rPr>
          <w:rFonts w:ascii="Calibri" w:hAnsi="Calibri" w:eastAsia="Times New Roman" w:cs=""/>
          <w:color w:val="7B7B7B" w:themeColor="accent3" w:themeTint="FF" w:themeShade="BF"/>
          <w:sz w:val="20"/>
          <w:szCs w:val="20"/>
          <w:lang w:val="en-GB"/>
        </w:rPr>
      </w:pPr>
    </w:p>
    <w:p w:rsidRPr="00FF5098" w:rsidR="00FF5098" w:rsidP="27E4FEF1" w:rsidRDefault="00FF5098" w14:paraId="49E964BF" w14:textId="0F841290">
      <w:pPr>
        <w:pStyle w:val="Normal"/>
        <w:jc w:val="both"/>
        <w:rPr>
          <w:rFonts w:ascii="Arial" w:hAnsi="Arial" w:eastAsia="Times New Roman" w:cs="Arial"/>
          <w:color w:val="7B7B7B" w:themeColor="accent3" w:themeTint="FF" w:themeShade="BF"/>
          <w:sz w:val="22"/>
          <w:szCs w:val="22"/>
          <w:lang w:val="en-GB"/>
        </w:rPr>
      </w:pPr>
      <w:r w:rsidRPr="27E4FEF1" w:rsidR="27E4FEF1">
        <w:rPr>
          <w:rFonts w:ascii="Arial" w:hAnsi="Arial" w:eastAsia="Times New Roman" w:cs="Arial"/>
          <w:color w:val="7B7B7B" w:themeColor="accent3" w:themeTint="FF" w:themeShade="BF"/>
          <w:sz w:val="22"/>
          <w:szCs w:val="22"/>
          <w:lang w:val="en-GB"/>
        </w:rPr>
        <w:t>The machines were sold to a director, a person connected with the company under section 249 of the IA. In such circumstances, relevant time for purpose of section 238 means within a period of two years prior to the commencement of liquidation, and at a time the company was insolvent (</w:t>
      </w:r>
      <w:proofErr w:type="gramStart"/>
      <w:r w:rsidRPr="27E4FEF1" w:rsidR="27E4FEF1">
        <w:rPr>
          <w:rFonts w:ascii="Arial" w:hAnsi="Arial" w:eastAsia="Times New Roman" w:cs="Arial"/>
          <w:color w:val="7B7B7B" w:themeColor="accent3" w:themeTint="FF" w:themeShade="BF"/>
          <w:sz w:val="22"/>
          <w:szCs w:val="22"/>
          <w:lang w:val="en-GB"/>
        </w:rPr>
        <w:t>i.e.</w:t>
      </w:r>
      <w:proofErr w:type="gramEnd"/>
      <w:r w:rsidRPr="27E4FEF1" w:rsidR="27E4FEF1">
        <w:rPr>
          <w:rFonts w:ascii="Arial" w:hAnsi="Arial" w:eastAsia="Times New Roman" w:cs="Arial"/>
          <w:color w:val="7B7B7B" w:themeColor="accent3" w:themeTint="FF" w:themeShade="BF"/>
          <w:sz w:val="22"/>
          <w:szCs w:val="22"/>
          <w:lang w:val="en-GB"/>
        </w:rPr>
        <w:t xml:space="preserve"> unable to pay its debts as they fell due or became unable to pay its debts in consequence of the transaction) (section 240 of the IA). The commencement of liquidation is 14 October 2021 and the transaction occurred in July 2021, within the </w:t>
      </w:r>
      <w:proofErr w:type="gramStart"/>
      <w:r w:rsidRPr="27E4FEF1" w:rsidR="27E4FEF1">
        <w:rPr>
          <w:rFonts w:ascii="Arial" w:hAnsi="Arial" w:eastAsia="Times New Roman" w:cs="Arial"/>
          <w:color w:val="7B7B7B" w:themeColor="accent3" w:themeTint="FF" w:themeShade="BF"/>
          <w:sz w:val="22"/>
          <w:szCs w:val="22"/>
          <w:lang w:val="en-GB"/>
        </w:rPr>
        <w:t>two year</w:t>
      </w:r>
      <w:proofErr w:type="gramEnd"/>
      <w:r w:rsidRPr="27E4FEF1" w:rsidR="27E4FEF1">
        <w:rPr>
          <w:rFonts w:ascii="Arial" w:hAnsi="Arial" w:eastAsia="Times New Roman" w:cs="Arial"/>
          <w:color w:val="7B7B7B" w:themeColor="accent3" w:themeTint="FF" w:themeShade="BF"/>
          <w:sz w:val="22"/>
          <w:szCs w:val="22"/>
          <w:lang w:val="en-GB"/>
        </w:rPr>
        <w:t xml:space="preserve"> period. Because the transaction was made with a connected person, it is presumed that the company was insolvent at the time of the transaction (section 240(2) of the IA).</w:t>
      </w:r>
    </w:p>
    <w:p w:rsidRPr="00FF5098" w:rsidR="00FF5098" w:rsidP="27E4FEF1" w:rsidRDefault="00FF5098" w14:paraId="0ACA9935" w14:textId="77A4CF4C">
      <w:pPr>
        <w:pStyle w:val="Normal"/>
        <w:jc w:val="both"/>
        <w:rPr>
          <w:rFonts w:ascii="Calibri" w:hAnsi="Calibri" w:eastAsia="Times New Roman" w:cs=""/>
          <w:color w:val="7B7B7B" w:themeColor="accent3" w:themeTint="FF" w:themeShade="BF"/>
          <w:sz w:val="20"/>
          <w:szCs w:val="20"/>
          <w:lang w:val="en-GB"/>
        </w:rPr>
      </w:pPr>
    </w:p>
    <w:p w:rsidRPr="00FF5098" w:rsidR="00FF5098" w:rsidP="27E4FEF1" w:rsidRDefault="00FF5098" w14:paraId="363D085D" w14:textId="3C27B120">
      <w:pPr>
        <w:pStyle w:val="Normal"/>
        <w:jc w:val="both"/>
        <w:rPr>
          <w:rFonts w:ascii="Calibri" w:hAnsi="Calibri" w:eastAsia="Times New Roman" w:cs=""/>
          <w:color w:val="7B7B7B" w:themeColor="accent3" w:themeTint="FF" w:themeShade="BF"/>
          <w:sz w:val="20"/>
          <w:szCs w:val="20"/>
          <w:lang w:val="en-GB"/>
        </w:rPr>
      </w:pPr>
      <w:r w:rsidRPr="7C870B9B" w:rsidR="7C870B9B">
        <w:rPr>
          <w:rFonts w:ascii="Arial" w:hAnsi="Arial" w:eastAsia="Times New Roman" w:cs="Arial"/>
          <w:color w:val="7B7B7B" w:themeColor="accent3" w:themeTint="FF" w:themeShade="BF"/>
          <w:sz w:val="22"/>
          <w:szCs w:val="22"/>
          <w:lang w:val="en-GB"/>
        </w:rPr>
        <w:t xml:space="preserve">It seems that the liquidators can establish all elements required under section 238. However, if the transaction was entered into in good faith and for the purpose of carrying on its business, and at the time it did so there were reasonable grounds for believing that the transaction would benefit the company, the court would not make the order under section 238. </w:t>
      </w:r>
      <w:proofErr w:type="gramStart"/>
      <w:r w:rsidRPr="7C870B9B" w:rsidR="7C870B9B">
        <w:rPr>
          <w:rFonts w:ascii="Arial" w:hAnsi="Arial" w:eastAsia="Times New Roman" w:cs="Arial"/>
          <w:color w:val="7B7B7B" w:themeColor="accent3" w:themeTint="FF" w:themeShade="BF"/>
          <w:sz w:val="22"/>
          <w:szCs w:val="22"/>
          <w:lang w:val="en-GB"/>
        </w:rPr>
        <w:t>So</w:t>
      </w:r>
      <w:proofErr w:type="gramEnd"/>
      <w:r w:rsidRPr="7C870B9B" w:rsidR="7C870B9B">
        <w:rPr>
          <w:rFonts w:ascii="Arial" w:hAnsi="Arial" w:eastAsia="Times New Roman" w:cs="Arial"/>
          <w:color w:val="7B7B7B" w:themeColor="accent3" w:themeTint="FF" w:themeShade="BF"/>
          <w:sz w:val="22"/>
          <w:szCs w:val="22"/>
          <w:lang w:val="en-GB"/>
        </w:rPr>
        <w:t xml:space="preserve"> the liquidators need to investigate the purpose and fairness of the transaction, for example, whether the transaction was necessary to raise needed capital for continuing operation of the business, whether the sale price is fair considering the market condition and the urgency of the sale, and whether the directors approved the transaction in good faith for the benefits of the creditors as a whole. </w:t>
      </w:r>
    </w:p>
    <w:p w:rsidR="7C870B9B" w:rsidP="7C870B9B" w:rsidRDefault="7C870B9B" w14:paraId="7CEC3B74" w14:textId="3872C5AC">
      <w:pPr>
        <w:pStyle w:val="Normal"/>
        <w:jc w:val="both"/>
        <w:rPr>
          <w:rFonts w:ascii="Calibri" w:hAnsi="Calibri" w:eastAsia="Times New Roman" w:cs=""/>
          <w:color w:val="7B7B7B" w:themeColor="accent3" w:themeTint="FF" w:themeShade="BF"/>
          <w:sz w:val="20"/>
          <w:szCs w:val="20"/>
          <w:lang w:val="en-GB"/>
        </w:rPr>
      </w:pPr>
    </w:p>
    <w:p w:rsidR="7C870B9B" w:rsidP="7C870B9B" w:rsidRDefault="7C870B9B" w14:paraId="67F4B69C" w14:textId="572EA7CE">
      <w:pPr>
        <w:pStyle w:val="Normal"/>
        <w:jc w:val="both"/>
        <w:rPr>
          <w:rFonts w:ascii="Arial" w:hAnsi="Arial" w:eastAsia="Times New Roman" w:cs="Arial"/>
          <w:color w:val="7B7B7B" w:themeColor="accent3" w:themeTint="FF" w:themeShade="BF"/>
          <w:sz w:val="22"/>
          <w:szCs w:val="22"/>
          <w:u w:val="single"/>
          <w:lang w:val="en-GB"/>
        </w:rPr>
      </w:pPr>
      <w:r w:rsidRPr="7C870B9B" w:rsidR="7C870B9B">
        <w:rPr>
          <w:rFonts w:ascii="Arial" w:hAnsi="Arial" w:eastAsia="Times New Roman" w:cs="Arial" w:asciiTheme="minorAscii" w:hAnsiTheme="minorAscii" w:cstheme="minorBidi"/>
          <w:color w:val="7B7B7B" w:themeColor="accent3" w:themeTint="FF" w:themeShade="BF"/>
          <w:sz w:val="22"/>
          <w:szCs w:val="22"/>
          <w:u w:val="single"/>
          <w:lang w:val="en-GB"/>
        </w:rPr>
        <w:t xml:space="preserve">Transaction </w:t>
      </w:r>
      <w:r w:rsidRPr="7C870B9B" w:rsidR="7C870B9B">
        <w:rPr>
          <w:rFonts w:ascii="Arial" w:hAnsi="Arial" w:eastAsia="Times New Roman" w:cs="Arial" w:asciiTheme="minorAscii" w:hAnsiTheme="minorAscii" w:cstheme="minorBidi"/>
          <w:color w:val="7B7B7B" w:themeColor="accent3" w:themeTint="FF" w:themeShade="BF"/>
          <w:sz w:val="22"/>
          <w:szCs w:val="22"/>
          <w:u w:val="single"/>
          <w:lang w:val="en-GB"/>
        </w:rPr>
        <w:t>defrauding</w:t>
      </w:r>
      <w:r w:rsidRPr="7C870B9B" w:rsidR="7C870B9B">
        <w:rPr>
          <w:rFonts w:ascii="Arial" w:hAnsi="Arial" w:eastAsia="Times New Roman" w:cs="Arial" w:asciiTheme="minorAscii" w:hAnsiTheme="minorAscii" w:cstheme="minorBidi"/>
          <w:color w:val="7B7B7B" w:themeColor="accent3" w:themeTint="FF" w:themeShade="BF"/>
          <w:sz w:val="22"/>
          <w:szCs w:val="22"/>
          <w:u w:val="single"/>
          <w:lang w:val="en-GB"/>
        </w:rPr>
        <w:t xml:space="preserve"> creditors</w:t>
      </w:r>
    </w:p>
    <w:p w:rsidRPr="00FF5098" w:rsidR="00FF5098" w:rsidP="27E4FEF1" w:rsidRDefault="00FF5098" w14:paraId="0010D0D6" w14:textId="0016C6FE">
      <w:pPr>
        <w:jc w:val="both"/>
        <w:rPr>
          <w:rFonts w:ascii="Arial" w:hAnsi="Arial" w:cs="Arial"/>
          <w:color w:val="7B7B7B" w:themeColor="accent3" w:themeTint="FF" w:themeShade="BF"/>
          <w:sz w:val="22"/>
          <w:szCs w:val="22"/>
          <w:lang w:val="en-GB"/>
        </w:rPr>
      </w:pPr>
    </w:p>
    <w:p w:rsidRPr="00FF5098" w:rsidR="00FF5098" w:rsidP="27E4FEF1" w:rsidRDefault="00FF5098" w14:paraId="02B9C4FF" w14:textId="6EE6686C">
      <w:pPr>
        <w:pStyle w:val="Normal"/>
        <w:bidi w:val="0"/>
        <w:spacing w:beforeLines="0" w:beforeAutospacing="off" w:afterLines="0" w:afterAutospacing="off" w:line="259" w:lineRule="auto"/>
        <w:ind w:left="0" w:rightChars="0"/>
        <w:jc w:val="both"/>
        <w:rPr>
          <w:rFonts w:ascii="Arial" w:hAnsi="Arial" w:cs="Arial"/>
          <w:color w:val="7B7B7B" w:themeColor="accent3" w:themeTint="FF" w:themeShade="BF"/>
          <w:sz w:val="22"/>
          <w:szCs w:val="22"/>
          <w:lang w:val="en-GB"/>
        </w:rPr>
      </w:pPr>
      <w:r w:rsidRPr="7C870B9B" w:rsidR="7C870B9B">
        <w:rPr>
          <w:rFonts w:ascii="Arial" w:hAnsi="Arial" w:eastAsia="Times New Roman" w:cs="Arial"/>
          <w:color w:val="7B7B7B" w:themeColor="accent3" w:themeTint="FF" w:themeShade="BF"/>
          <w:sz w:val="22"/>
          <w:szCs w:val="22"/>
          <w:lang w:val="en-GB"/>
        </w:rPr>
        <w:t xml:space="preserve">Section 423 of the IA prevents a company entering into a transaction undervalue with an intention to defraud creditors. It is similar to the requirements in section 238. However, </w:t>
      </w:r>
      <w:proofErr w:type="gramStart"/>
      <w:r w:rsidRPr="7C870B9B" w:rsidR="7C870B9B">
        <w:rPr>
          <w:rFonts w:ascii="Arial" w:hAnsi="Arial" w:eastAsia="Times New Roman" w:cs="Arial"/>
          <w:color w:val="7B7B7B" w:themeColor="accent3" w:themeTint="FF" w:themeShade="BF"/>
          <w:sz w:val="22"/>
          <w:szCs w:val="22"/>
          <w:lang w:val="en-GB"/>
        </w:rPr>
        <w:t>it</w:t>
      </w:r>
      <w:proofErr w:type="gramEnd"/>
      <w:r w:rsidRPr="7C870B9B" w:rsidR="7C870B9B">
        <w:rPr>
          <w:rFonts w:ascii="Arial" w:hAnsi="Arial" w:eastAsia="Times New Roman" w:cs="Arial"/>
          <w:color w:val="7B7B7B" w:themeColor="accent3" w:themeTint="FF" w:themeShade="BF"/>
          <w:sz w:val="22"/>
          <w:szCs w:val="22"/>
          <w:lang w:val="en-GB"/>
        </w:rPr>
        <w:t xml:space="preserve"> </w:t>
      </w:r>
      <w:r w:rsidRPr="7C870B9B" w:rsidR="7C870B9B">
        <w:rPr>
          <w:rFonts w:ascii="Arial" w:hAnsi="Arial" w:eastAsia="Times New Roman" w:cs="Arial"/>
          <w:color w:val="7B7B7B" w:themeColor="accent3" w:themeTint="FF" w:themeShade="BF"/>
          <w:sz w:val="22"/>
          <w:szCs w:val="22"/>
          <w:lang w:val="en-GB"/>
        </w:rPr>
        <w:t>does</w:t>
      </w:r>
      <w:r w:rsidRPr="7C870B9B" w:rsidR="7C870B9B">
        <w:rPr>
          <w:rFonts w:ascii="Arial" w:hAnsi="Arial" w:eastAsia="Times New Roman" w:cs="Arial"/>
          <w:color w:val="7B7B7B" w:themeColor="accent3" w:themeTint="FF" w:themeShade="BF"/>
          <w:sz w:val="22"/>
          <w:szCs w:val="22"/>
          <w:lang w:val="en-GB"/>
        </w:rPr>
        <w:t xml:space="preserve"> not have a time limit during which a transaction must have occurred, and it requires the liquidators to establish intention to defraud creditors. From the facts, it seems that the transaction can be challenged under section 238, in such a case, it is better to make an application under section 238 because it does not require proof of intention.]</w:t>
      </w:r>
    </w:p>
    <w:p w:rsidR="00311816" w:rsidP="00311816" w:rsidRDefault="00311816" w14:paraId="7AEDE530" w14:textId="4A0A9477">
      <w:pPr>
        <w:autoSpaceDE w:val="0"/>
        <w:autoSpaceDN w:val="0"/>
        <w:adjustRightInd w:val="0"/>
        <w:jc w:val="both"/>
        <w:rPr>
          <w:rFonts w:ascii="Arial" w:hAnsi="Arial" w:cs="Arial"/>
          <w:color w:val="7B7B7B" w:themeColor="accent3" w:themeShade="BF"/>
          <w:sz w:val="22"/>
          <w:szCs w:val="22"/>
          <w:lang w:val="en-GB"/>
        </w:rPr>
      </w:pPr>
    </w:p>
    <w:p w:rsidRPr="00311816" w:rsidR="008769B2" w:rsidP="00311816" w:rsidRDefault="008769B2" w14:paraId="12EE6ACB" w14:textId="77777777">
      <w:pPr>
        <w:autoSpaceDE w:val="0"/>
        <w:autoSpaceDN w:val="0"/>
        <w:adjustRightInd w:val="0"/>
        <w:jc w:val="both"/>
        <w:rPr>
          <w:rFonts w:ascii="Arial" w:hAnsi="Arial" w:cs="Arial"/>
          <w:color w:val="7B7B7B" w:themeColor="accent3" w:themeShade="BF"/>
          <w:sz w:val="22"/>
          <w:szCs w:val="22"/>
          <w:lang w:val="en-GB"/>
        </w:rPr>
      </w:pPr>
    </w:p>
    <w:p w:rsidR="007E2919" w:rsidP="007E2919" w:rsidRDefault="007E2919" w14:paraId="642039AC" w14:textId="225FE3D8">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rsidR="007E2919" w:rsidP="007E2919" w:rsidRDefault="007E2919" w14:paraId="38FA4FC9" w14:textId="6BBF8182">
      <w:pPr>
        <w:rPr>
          <w:rFonts w:ascii="Arial" w:hAnsi="Arial" w:cs="Arial"/>
          <w:b/>
          <w:sz w:val="24"/>
        </w:rPr>
      </w:pPr>
    </w:p>
    <w:p w:rsidRPr="007E2919" w:rsidR="007E2919" w:rsidP="007E2919" w:rsidRDefault="007E2919" w14:paraId="2CD8591B" w14:textId="380C1E7F">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Pr="0070524B" w:rsidR="0070524B">
        <w:rPr>
          <w:rFonts w:ascii="Arial" w:hAnsi="Arial" w:cs="Arial"/>
          <w:sz w:val="24"/>
        </w:rPr>
        <w:t>Beans and Leaves Ltd</w:t>
      </w:r>
      <w:r w:rsidR="00B04033">
        <w:rPr>
          <w:rFonts w:ascii="Arial" w:hAnsi="Arial" w:cs="Arial"/>
          <w:sz w:val="24"/>
        </w:rPr>
        <w:t>.</w:t>
      </w:r>
    </w:p>
    <w:p w:rsidR="00B04033" w:rsidP="00B04033" w:rsidRDefault="007E2919" w14:paraId="72C79D7A" w14:textId="77777777">
      <w:pPr>
        <w:rPr>
          <w:rFonts w:ascii="Arial" w:hAnsi="Arial" w:cs="Arial"/>
          <w:b/>
        </w:rPr>
      </w:pPr>
      <w:r w:rsidRPr="007E2919">
        <w:rPr>
          <w:rFonts w:ascii="Arial" w:hAnsi="Arial" w:cs="Arial"/>
          <w:b/>
        </w:rPr>
        <w:t xml:space="preserve"> </w:t>
      </w:r>
    </w:p>
    <w:p w:rsidR="27E4FEF1" w:rsidP="27E4FEF1" w:rsidRDefault="27E4FEF1" w14:paraId="5B7F4A74" w14:textId="3173B4CE">
      <w:pPr>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[Payments to Beans and Leaves may be challenged under section 214 of the IA (wrongful trading) or section 127 of the IA (avoidance of property disposition).</w:t>
      </w:r>
    </w:p>
    <w:p w:rsidR="27E4FEF1" w:rsidP="27E4FEF1" w:rsidRDefault="27E4FEF1" w14:paraId="24806FCF" w14:textId="2536A152">
      <w:pPr>
        <w:pStyle w:val="Normal"/>
        <w:jc w:val="both"/>
        <w:rPr>
          <w:rFonts w:ascii="Calibri" w:hAnsi="Calibri" w:eastAsia="Times New Roman" w:cs=""/>
          <w:color w:val="7B7B7B" w:themeColor="accent3" w:themeTint="FF" w:themeShade="BF"/>
          <w:sz w:val="20"/>
          <w:szCs w:val="20"/>
          <w:lang w:val="en-GB"/>
        </w:rPr>
      </w:pPr>
    </w:p>
    <w:p w:rsidR="27E4FEF1" w:rsidP="7C870B9B" w:rsidRDefault="27E4FEF1" w14:paraId="0EEA1B5B" w14:textId="596D8600">
      <w:pPr>
        <w:pStyle w:val="Normal"/>
        <w:bidi w:val="0"/>
        <w:spacing w:beforeLines="0" w:beforeAutospacing="off" w:afterLines="0" w:afterAutospacing="off" w:line="259" w:lineRule="auto"/>
        <w:ind w:left="0" w:rightChars="0"/>
        <w:jc w:val="both"/>
        <w:rPr>
          <w:rFonts w:ascii="Arial" w:hAnsi="Arial" w:eastAsia="Arial" w:cs="Arial"/>
          <w:b w:val="0"/>
          <w:bCs w:val="0"/>
          <w:color w:val="7B7B7B" w:themeColor="accent3" w:themeTint="FF" w:themeShade="BF"/>
          <w:sz w:val="22"/>
          <w:szCs w:val="22"/>
          <w:u w:val="single"/>
          <w:lang w:val="en-GB"/>
        </w:rPr>
      </w:pPr>
      <w:r w:rsidRPr="7C870B9B" w:rsidR="7C870B9B">
        <w:rPr>
          <w:rFonts w:ascii="Arial" w:hAnsi="Arial" w:eastAsia="Arial" w:cs="Arial"/>
          <w:b w:val="0"/>
          <w:bCs w:val="0"/>
          <w:color w:val="7B7B7B" w:themeColor="accent3" w:themeTint="FF" w:themeShade="BF"/>
          <w:sz w:val="22"/>
          <w:szCs w:val="22"/>
          <w:u w:val="single"/>
          <w:lang w:val="en-GB"/>
        </w:rPr>
        <w:t>Avoidance of property disposition</w:t>
      </w:r>
    </w:p>
    <w:p w:rsidR="27E4FEF1" w:rsidP="27E4FEF1" w:rsidRDefault="27E4FEF1" w14:paraId="5E4C8416" w14:textId="7C5A8102">
      <w:pPr>
        <w:jc w:val="both"/>
        <w:rPr>
          <w:rFonts w:ascii="Arial" w:hAnsi="Arial" w:cs="Arial"/>
          <w:color w:val="7B7B7B" w:themeColor="accent3" w:themeTint="FF" w:themeShade="BF"/>
          <w:sz w:val="22"/>
          <w:szCs w:val="22"/>
          <w:lang w:val="en-GB"/>
        </w:rPr>
      </w:pPr>
    </w:p>
    <w:p w:rsidR="27E4FEF1" w:rsidP="27E4FEF1" w:rsidRDefault="27E4FEF1" w14:paraId="2172BD87" w14:textId="07D5A54F">
      <w:pPr>
        <w:pStyle w:val="Normal"/>
        <w:jc w:val="both"/>
        <w:rPr>
          <w:rFonts w:ascii="Calibri" w:hAnsi="Calibri" w:eastAsia="Times New Roman" w:cs=""/>
          <w:color w:val="7B7B7B" w:themeColor="accent3" w:themeTint="FF" w:themeShade="BF"/>
          <w:sz w:val="20"/>
          <w:szCs w:val="20"/>
          <w:lang w:val="en-GB"/>
        </w:rPr>
      </w:pPr>
      <w:r w:rsidRPr="7C870B9B" w:rsidR="7C870B9B">
        <w:rPr>
          <w:rFonts w:ascii="Arial" w:hAnsi="Arial" w:cs="Arial"/>
          <w:color w:val="7B7B7B" w:themeColor="accent3" w:themeTint="FF" w:themeShade="BF"/>
          <w:sz w:val="22"/>
          <w:szCs w:val="22"/>
          <w:lang w:val="en-GB"/>
        </w:rPr>
        <w:t xml:space="preserve">Section 127 of the IA provides that any disposition of the company’s property, and any transfer of shares, or alteration in the status of the company’s members, made after the commencement of the winding up is, unless the court otherwise orders, void. As stated above, the commencement of the winding up is 14 October 2021 (the date of presentation of the winding up petition under section 129(2)). The payment to Bean and Leaves was made in November 2021, after the commencement of winding up. </w:t>
      </w:r>
      <w:proofErr w:type="gramStart"/>
      <w:r w:rsidRPr="7C870B9B" w:rsidR="7C870B9B">
        <w:rPr>
          <w:rFonts w:ascii="Arial" w:hAnsi="Arial" w:cs="Arial"/>
          <w:color w:val="7B7B7B" w:themeColor="accent3" w:themeTint="FF" w:themeShade="BF"/>
          <w:sz w:val="22"/>
          <w:szCs w:val="22"/>
          <w:lang w:val="en-GB"/>
        </w:rPr>
        <w:t>So</w:t>
      </w:r>
      <w:proofErr w:type="gramEnd"/>
      <w:r w:rsidRPr="7C870B9B" w:rsidR="7C870B9B">
        <w:rPr>
          <w:rFonts w:ascii="Arial" w:hAnsi="Arial" w:cs="Arial"/>
          <w:color w:val="7B7B7B" w:themeColor="accent3" w:themeTint="FF" w:themeShade="BF"/>
          <w:sz w:val="22"/>
          <w:szCs w:val="22"/>
          <w:lang w:val="en-GB"/>
        </w:rPr>
        <w:t xml:space="preserve"> the transaction may be void under section 127. </w:t>
      </w:r>
    </w:p>
    <w:p w:rsidR="27E4FEF1" w:rsidP="27E4FEF1" w:rsidRDefault="27E4FEF1" w14:paraId="4FE25928" w14:textId="0ECBDA69">
      <w:pPr>
        <w:pStyle w:val="Normal"/>
        <w:jc w:val="both"/>
        <w:rPr>
          <w:rFonts w:ascii="Calibri" w:hAnsi="Calibri" w:eastAsia="Times New Roman" w:cs=""/>
          <w:color w:val="7B7B7B" w:themeColor="accent3" w:themeTint="FF" w:themeShade="BF"/>
          <w:sz w:val="20"/>
          <w:szCs w:val="20"/>
          <w:lang w:val="en-GB"/>
        </w:rPr>
      </w:pPr>
    </w:p>
    <w:p w:rsidR="7C870B9B" w:rsidP="7C870B9B" w:rsidRDefault="7C870B9B" w14:paraId="7BE8D2A8" w14:textId="0CB341C9">
      <w:pPr>
        <w:pStyle w:val="Normal"/>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color w:val="7B7B7B" w:themeColor="accent3" w:themeTint="FF" w:themeShade="BF"/>
          <w:sz w:val="22"/>
          <w:szCs w:val="22"/>
          <w:lang w:val="en-GB"/>
        </w:rPr>
        <w:t xml:space="preserve">The court has a discretion whether to declare the disposition void. If the transaction was made in the ordinary course of business in the benefit of unsecured creditors, the court will be unlikely to invalidate this transaction. Supply of coffee beans is essential to the business. It seems that the transaction was made </w:t>
      </w:r>
      <w:r w:rsidRPr="7C870B9B" w:rsidR="7C870B9B">
        <w:rPr>
          <w:rFonts w:ascii="Arial" w:hAnsi="Arial" w:eastAsia="Times New Roman" w:cs="Arial"/>
          <w:color w:val="7B7B7B" w:themeColor="accent3" w:themeTint="FF" w:themeShade="BF"/>
          <w:sz w:val="22"/>
          <w:szCs w:val="22"/>
          <w:lang w:val="en-GB"/>
        </w:rPr>
        <w:t>in the ordinar</w:t>
      </w:r>
      <w:r w:rsidRPr="7C870B9B" w:rsidR="7C870B9B">
        <w:rPr>
          <w:rFonts w:ascii="Arial" w:hAnsi="Arial" w:eastAsia="Times New Roman" w:cs="Arial"/>
          <w:color w:val="7B7B7B" w:themeColor="accent3" w:themeTint="FF" w:themeShade="BF"/>
          <w:sz w:val="22"/>
          <w:szCs w:val="22"/>
          <w:lang w:val="en-GB"/>
        </w:rPr>
        <w:t xml:space="preserve">y course of business. It may be argued that the transaction was made in an attempt to rescue the company and to minimise loss to creditors, and therefore in the benefit of unsecured creditors. If the court is so persuaded, it may not invalidate the transaction under section 127 of the IA. </w:t>
      </w:r>
    </w:p>
    <w:p w:rsidR="7C870B9B" w:rsidP="7C870B9B" w:rsidRDefault="7C870B9B" w14:paraId="3C15604D" w14:textId="3773F059">
      <w:pPr>
        <w:jc w:val="both"/>
        <w:rPr>
          <w:rFonts w:ascii="Arial" w:hAnsi="Arial" w:cs="Arial"/>
          <w:color w:val="7B7B7B" w:themeColor="accent3" w:themeTint="FF" w:themeShade="BF"/>
          <w:sz w:val="22"/>
          <w:szCs w:val="22"/>
          <w:lang w:val="en-GB"/>
        </w:rPr>
      </w:pPr>
    </w:p>
    <w:p w:rsidR="7C870B9B" w:rsidP="7C870B9B" w:rsidRDefault="7C870B9B" w14:paraId="02A3CCC3" w14:textId="1717BC68">
      <w:pPr>
        <w:pStyle w:val="Normal"/>
        <w:jc w:val="both"/>
        <w:rPr>
          <w:rFonts w:ascii="Arial" w:hAnsi="Arial" w:eastAsia="Times New Roman" w:cs="Arial"/>
          <w:b w:val="0"/>
          <w:bCs w:val="0"/>
          <w:color w:val="7B7B7B" w:themeColor="accent3" w:themeTint="FF" w:themeShade="BF"/>
          <w:sz w:val="22"/>
          <w:szCs w:val="22"/>
          <w:u w:val="single"/>
          <w:lang w:val="en-GB"/>
        </w:rPr>
      </w:pPr>
      <w:r w:rsidRPr="7C870B9B" w:rsidR="7C870B9B">
        <w:rPr>
          <w:rFonts w:ascii="Arial" w:hAnsi="Arial" w:eastAsia="Times New Roman" w:cs="Arial"/>
          <w:b w:val="0"/>
          <w:bCs w:val="0"/>
          <w:color w:val="7B7B7B" w:themeColor="accent3" w:themeTint="FF" w:themeShade="BF"/>
          <w:sz w:val="22"/>
          <w:szCs w:val="22"/>
          <w:u w:val="single"/>
          <w:lang w:val="en-GB"/>
        </w:rPr>
        <w:t>Wrongful trading</w:t>
      </w:r>
    </w:p>
    <w:p w:rsidR="7C870B9B" w:rsidP="7C870B9B" w:rsidRDefault="7C870B9B" w14:paraId="0E6ACFA9" w14:textId="36265E33">
      <w:pPr>
        <w:pStyle w:val="Normal"/>
        <w:jc w:val="both"/>
        <w:rPr>
          <w:rFonts w:ascii="Arial" w:hAnsi="Arial" w:eastAsia="Times New Roman" w:cs="Arial"/>
          <w:color w:val="7B7B7B" w:themeColor="accent3" w:themeTint="FF" w:themeShade="BF"/>
          <w:sz w:val="22"/>
          <w:szCs w:val="22"/>
          <w:lang w:val="en-GB"/>
        </w:rPr>
      </w:pPr>
    </w:p>
    <w:p w:rsidR="7C870B9B" w:rsidP="7C870B9B" w:rsidRDefault="7C870B9B" w14:paraId="6BA588A3" w14:textId="3A0BCAC1">
      <w:pPr>
        <w:pStyle w:val="Normal"/>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color w:val="7B7B7B" w:themeColor="accent3" w:themeTint="FF" w:themeShade="BF"/>
          <w:sz w:val="22"/>
          <w:szCs w:val="22"/>
          <w:lang w:val="en-GB"/>
        </w:rPr>
        <w:t>Section 214 provides that the court may order directors of a company, which went into insolvent liquidation, to make contribution to the company’s assets if the directors allow the company to continue to trade when they knew or ought to have known that there was no reasonable prospect of avoiding insolvent liquidation.</w:t>
      </w:r>
    </w:p>
    <w:p w:rsidR="7C870B9B" w:rsidP="7C870B9B" w:rsidRDefault="7C870B9B" w14:paraId="47A42E6D" w14:textId="3CA0408E">
      <w:pPr>
        <w:pStyle w:val="Normal"/>
        <w:jc w:val="both"/>
        <w:rPr>
          <w:rFonts w:ascii="Arial" w:hAnsi="Arial" w:eastAsia="Times New Roman" w:cs="Arial"/>
          <w:color w:val="7B7B7B" w:themeColor="accent3" w:themeTint="FF" w:themeShade="BF"/>
          <w:sz w:val="22"/>
          <w:szCs w:val="22"/>
          <w:lang w:val="en-GB"/>
        </w:rPr>
      </w:pPr>
    </w:p>
    <w:p w:rsidR="7C870B9B" w:rsidP="7C870B9B" w:rsidRDefault="7C870B9B" w14:paraId="0DA76044" w14:textId="453662CE">
      <w:pPr>
        <w:pStyle w:val="Normal"/>
        <w:jc w:val="both"/>
        <w:rPr>
          <w:rFonts w:ascii="Arial" w:hAnsi="Arial" w:eastAsia="Times New Roman" w:cs="Arial"/>
          <w:color w:val="7B7B7B" w:themeColor="accent3" w:themeTint="FF" w:themeShade="BF"/>
          <w:sz w:val="22"/>
          <w:szCs w:val="22"/>
          <w:lang w:val="en-GB"/>
        </w:rPr>
      </w:pPr>
      <w:r w:rsidRPr="7C870B9B" w:rsidR="7C870B9B">
        <w:rPr>
          <w:rFonts w:ascii="Arial" w:hAnsi="Arial" w:eastAsia="Times New Roman" w:cs="Arial"/>
          <w:color w:val="7B7B7B" w:themeColor="accent3" w:themeTint="FF" w:themeShade="BF"/>
          <w:sz w:val="22"/>
          <w:szCs w:val="22"/>
          <w:lang w:val="en-GB"/>
        </w:rPr>
        <w:t>In order to succeed, the liquidator need to establish that the directors knew or ought to have concluded that there was no reasonable prospect that the company would avoid going into insolvent liquidation. In assessing whether a director ought to have made such conclusion, the court will look at the general knowledge, skill and experience that may reasonably be expected of a director carrying out the same functions (objective standard), and the general knowledge, skill and experience that the particular director has (subjective standard). (</w:t>
      </w:r>
      <w:proofErr w:type="gramStart"/>
      <w:r w:rsidRPr="7C870B9B" w:rsidR="7C870B9B">
        <w:rPr>
          <w:rFonts w:ascii="Arial" w:hAnsi="Arial" w:eastAsia="Times New Roman" w:cs="Arial"/>
          <w:color w:val="7B7B7B" w:themeColor="accent3" w:themeTint="FF" w:themeShade="BF"/>
          <w:sz w:val="22"/>
          <w:szCs w:val="22"/>
          <w:lang w:val="en-GB"/>
        </w:rPr>
        <w:t>section</w:t>
      </w:r>
      <w:proofErr w:type="gramEnd"/>
      <w:r w:rsidRPr="7C870B9B" w:rsidR="7C870B9B">
        <w:rPr>
          <w:rFonts w:ascii="Arial" w:hAnsi="Arial" w:eastAsia="Times New Roman" w:cs="Arial"/>
          <w:color w:val="7B7B7B" w:themeColor="accent3" w:themeTint="FF" w:themeShade="BF"/>
          <w:sz w:val="22"/>
          <w:szCs w:val="22"/>
          <w:lang w:val="en-GB"/>
        </w:rPr>
        <w:t xml:space="preserve"> 214(4) of the IA). It seems that the company had cash flow problems and the directors knew about it. The liquidators need to investigate whether, given the background of the company’s cash flow problems, the directors knew or ought to have known the company cannot trade out of insolvency. </w:t>
      </w:r>
    </w:p>
    <w:p w:rsidR="7C870B9B" w:rsidP="7C870B9B" w:rsidRDefault="7C870B9B" w14:paraId="74F3D540" w14:textId="7C991459">
      <w:pPr>
        <w:pStyle w:val="Normal"/>
        <w:jc w:val="both"/>
        <w:rPr>
          <w:rFonts w:ascii="Calibri" w:hAnsi="Calibri" w:eastAsia="Times New Roman" w:cs=""/>
          <w:color w:val="7B7B7B" w:themeColor="accent3" w:themeTint="FF" w:themeShade="BF"/>
          <w:sz w:val="20"/>
          <w:szCs w:val="20"/>
          <w:lang w:val="en-GB"/>
        </w:rPr>
      </w:pPr>
    </w:p>
    <w:p w:rsidR="7C870B9B" w:rsidP="7C870B9B" w:rsidRDefault="7C870B9B" w14:paraId="5471C68F" w14:textId="40C2B4B6">
      <w:pPr>
        <w:pStyle w:val="Normal"/>
        <w:jc w:val="both"/>
        <w:rPr>
          <w:rFonts w:ascii="Arial" w:hAnsi="Arial" w:cs="Arial"/>
          <w:color w:val="7B7B7B" w:themeColor="accent3" w:themeTint="FF" w:themeShade="BF"/>
          <w:sz w:val="22"/>
          <w:szCs w:val="22"/>
          <w:lang w:val="en-GB"/>
        </w:rPr>
      </w:pPr>
      <w:r w:rsidRPr="7C870B9B" w:rsidR="7C870B9B">
        <w:rPr>
          <w:rFonts w:ascii="Arial" w:hAnsi="Arial" w:cs="Arial"/>
          <w:color w:val="7B7B7B" w:themeColor="accent3" w:themeTint="FF" w:themeShade="BF"/>
          <w:sz w:val="22"/>
          <w:szCs w:val="22"/>
          <w:lang w:val="en-GB"/>
        </w:rPr>
        <w:t>However, the court will not make such order if it is satisfied that the directors took every step with a view to minimising the potential loss to the company’s creditors as he ought to have taken (section 214(3) of the IA). Supply of coffee beans is essential to the business. Therefore, it may be argued that the directors approved the transactions in a view to rescue the company and to minimise loss to creditors. If this argument is successfully made out, the court may not order the directors to make contribution under section 214 of the IA.</w:t>
      </w:r>
    </w:p>
    <w:p w:rsidR="7C870B9B" w:rsidP="7C870B9B" w:rsidRDefault="7C870B9B" w14:paraId="0098DBD0" w14:textId="614E0B2C">
      <w:pPr>
        <w:pStyle w:val="Normal"/>
        <w:jc w:val="both"/>
        <w:rPr>
          <w:rFonts w:ascii="Calibri" w:hAnsi="Calibri" w:eastAsia="Times New Roman" w:cs=""/>
          <w:color w:val="7B7B7B" w:themeColor="accent3" w:themeTint="FF" w:themeShade="BF"/>
          <w:sz w:val="20"/>
          <w:szCs w:val="20"/>
          <w:lang w:val="en-GB"/>
        </w:rPr>
      </w:pPr>
    </w:p>
    <w:p w:rsidRPr="002A37BB" w:rsidR="008769B2" w:rsidP="7C870B9B" w:rsidRDefault="008769B2" w14:paraId="7F4867F4" w14:textId="29098E90">
      <w:pPr>
        <w:pStyle w:val="Normal"/>
        <w:autoSpaceDE w:val="0"/>
        <w:autoSpaceDN w:val="0"/>
        <w:adjustRightInd w:val="0"/>
        <w:jc w:val="both"/>
        <w:rPr>
          <w:rFonts w:ascii="Calibri" w:hAnsi="Calibri" w:eastAsia="Times New Roman" w:cs=""/>
          <w:sz w:val="20"/>
          <w:szCs w:val="20"/>
          <w:lang w:val="en-GB"/>
        </w:rPr>
      </w:pPr>
    </w:p>
    <w:p w:rsidR="00126A4D" w:rsidP="00087F21" w:rsidRDefault="00126A4D" w14:paraId="70C6A8B6" w14:textId="3C57BE56">
      <w:pPr>
        <w:autoSpaceDE w:val="0"/>
        <w:autoSpaceDN w:val="0"/>
        <w:adjustRightInd w:val="0"/>
        <w:jc w:val="both"/>
        <w:rPr>
          <w:rFonts w:ascii="Arial" w:hAnsi="Arial" w:cs="Arial"/>
          <w:sz w:val="22"/>
          <w:szCs w:val="22"/>
          <w:lang w:val="en-GB"/>
        </w:rPr>
      </w:pPr>
    </w:p>
    <w:p w:rsidR="00B04033" w:rsidP="00087F21" w:rsidRDefault="00B04033" w14:paraId="0D2DC34F" w14:textId="77777777">
      <w:pPr>
        <w:autoSpaceDE w:val="0"/>
        <w:autoSpaceDN w:val="0"/>
        <w:adjustRightInd w:val="0"/>
        <w:jc w:val="both"/>
        <w:rPr>
          <w:rFonts w:ascii="Arial" w:hAnsi="Arial" w:cs="Arial"/>
          <w:sz w:val="22"/>
          <w:szCs w:val="22"/>
          <w:lang w:val="en-GB"/>
        </w:rPr>
      </w:pPr>
    </w:p>
    <w:bookmarkEnd w:id="0"/>
    <w:p w:rsidRPr="004E3A6B" w:rsidR="00B77F46" w:rsidP="004E3A6B" w:rsidRDefault="00C606C3" w14:paraId="7B275592" w14:textId="639AAD17">
      <w:pPr>
        <w:jc w:val="center"/>
        <w:rPr>
          <w:rFonts w:ascii="Arial" w:hAnsi="Arial" w:cs="Arial"/>
          <w:b/>
          <w:bCs/>
          <w:sz w:val="22"/>
          <w:szCs w:val="22"/>
          <w:lang w:val="en-GB"/>
        </w:rPr>
      </w:pPr>
      <w:r w:rsidRPr="00B77F46">
        <w:rPr>
          <w:rFonts w:ascii="Arial" w:hAnsi="Arial" w:cs="Arial"/>
          <w:b/>
          <w:bCs/>
          <w:sz w:val="22"/>
          <w:szCs w:val="22"/>
          <w:lang w:val="en-GB"/>
        </w:rPr>
        <w:t>*</w:t>
      </w:r>
      <w:r w:rsidRPr="00B77F46" w:rsidR="001E25B9">
        <w:rPr>
          <w:rFonts w:ascii="Arial" w:hAnsi="Arial" w:cs="Arial"/>
          <w:b/>
          <w:bCs/>
          <w:sz w:val="22"/>
          <w:szCs w:val="22"/>
          <w:lang w:val="en-GB"/>
        </w:rPr>
        <w:t xml:space="preserve"> </w:t>
      </w:r>
      <w:r w:rsidRPr="00B77F46" w:rsidR="0077498C">
        <w:rPr>
          <w:rFonts w:ascii="Arial" w:hAnsi="Arial" w:cs="Arial"/>
          <w:b/>
          <w:bCs/>
          <w:sz w:val="22"/>
          <w:szCs w:val="22"/>
          <w:lang w:val="en-GB"/>
        </w:rPr>
        <w:t>End of Assessment</w:t>
      </w:r>
      <w:r w:rsidRPr="00B77F46" w:rsidR="001E25B9">
        <w:rPr>
          <w:rFonts w:ascii="Arial" w:hAnsi="Arial" w:cs="Arial"/>
          <w:b/>
          <w:bCs/>
          <w:sz w:val="22"/>
          <w:szCs w:val="22"/>
          <w:lang w:val="en-GB"/>
        </w:rPr>
        <w:t xml:space="preserve"> </w:t>
      </w:r>
      <w:r w:rsidRPr="00B77F46">
        <w:rPr>
          <w:rFonts w:ascii="Arial" w:hAnsi="Arial" w:cs="Arial"/>
          <w:b/>
          <w:bCs/>
          <w:sz w:val="22"/>
          <w:szCs w:val="22"/>
          <w:lang w:val="en-GB"/>
        </w:rPr>
        <w:t>*</w:t>
      </w:r>
    </w:p>
    <w:sectPr w:rsidRPr="004E3A6B" w:rsidR="00B77F46" w:rsidSect="0073158B">
      <w:footerReference w:type="even" r:id="rId9"/>
      <w:footerReference w:type="default" r:id="rId10"/>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titlePg/>
      <w:docGrid w:linePitch="360"/>
      <w:headerReference w:type="default" r:id="R26af3ce6d689408e"/>
      <w:headerReference w:type="first" r:id="R68bc571944594df6"/>
      <w:footerReference w:type="first" r:id="R5a7be22a9ef54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4DAF" w:rsidP="00241B44" w:rsidRDefault="00924DAF" w14:paraId="20E6E08B" w14:textId="77777777">
      <w:r>
        <w:separator/>
      </w:r>
    </w:p>
  </w:endnote>
  <w:endnote w:type="continuationSeparator" w:id="0">
    <w:p w:rsidR="00924DAF" w:rsidP="00241B44" w:rsidRDefault="00924DAF" w14:paraId="58D3AF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Pr="00FC7B47" w:rsidR="00E450A4" w:rsidP="009B4976" w:rsidRDefault="00E450A4" w14:paraId="0AAD6B61" w14:textId="77777777">
        <w:pPr>
          <w:pStyle w:val="Footer"/>
          <w:framePr w:wrap="none" w:hAnchor="margin" w:vAnchor="text"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rsidRPr="00FC7B47" w:rsidR="00E450A4" w:rsidP="00FC7B47" w:rsidRDefault="00445CE6" w14:paraId="39FD1B0B" w14:textId="3A981440">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rsidRPr="009B4976" w:rsidR="009B4976" w:rsidP="00E23A7A" w:rsidRDefault="009B4976" w14:paraId="0A05F8FD" w14:textId="60436833">
        <w:pPr>
          <w:pStyle w:val="Footer"/>
          <w:framePr w:wrap="none" w:hAnchor="margin" w:vAnchor="text"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rsidRPr="009B4976" w:rsidR="00241FA3" w:rsidP="009B4976" w:rsidRDefault="0073158B" w14:paraId="30F05E79" w14:textId="5CF5CC26">
    <w:pPr>
      <w:pStyle w:val="Footer"/>
      <w:ind w:right="360"/>
      <w:rPr>
        <w:rFonts w:ascii="Arial" w:hAnsi="Arial" w:cs="Arial"/>
        <w:sz w:val="18"/>
        <w:szCs w:val="18"/>
        <w:lang w:val="en-GB"/>
      </w:rPr>
    </w:pPr>
    <w:r w:rsidRPr="6CBF4B85" w:rsidR="6CBF4B85">
      <w:rPr>
        <w:rFonts w:ascii="Arial" w:hAnsi="Arial" w:cs="Arial"/>
        <w:sz w:val="18"/>
        <w:szCs w:val="18"/>
        <w:lang w:val="en-GB"/>
      </w:rPr>
      <w:t>202122-442.assessment3B</w:t>
    </w: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CBF4B85" w:rsidTr="6CBF4B85" w14:paraId="400BE6CD">
      <w:tc>
        <w:tcPr>
          <w:tcW w:w="3005" w:type="dxa"/>
          <w:tcMar/>
        </w:tcPr>
        <w:p w:rsidR="6CBF4B85" w:rsidP="6CBF4B85" w:rsidRDefault="6CBF4B85" w14:paraId="5C708505" w14:textId="6064FEF8">
          <w:pPr>
            <w:pStyle w:val="Header"/>
            <w:bidi w:val="0"/>
            <w:ind w:left="-115"/>
            <w:jc w:val="left"/>
            <w:rPr>
              <w:rFonts w:ascii="Calibri" w:hAnsi="Calibri" w:eastAsia="Times New Roman" w:cs=""/>
              <w:sz w:val="20"/>
              <w:szCs w:val="20"/>
            </w:rPr>
          </w:pPr>
        </w:p>
      </w:tc>
      <w:tc>
        <w:tcPr>
          <w:tcW w:w="3005" w:type="dxa"/>
          <w:tcMar/>
        </w:tcPr>
        <w:p w:rsidR="6CBF4B85" w:rsidP="6CBF4B85" w:rsidRDefault="6CBF4B85" w14:paraId="0374D034" w14:textId="60D8E332">
          <w:pPr>
            <w:pStyle w:val="Header"/>
            <w:bidi w:val="0"/>
            <w:jc w:val="center"/>
            <w:rPr>
              <w:rFonts w:ascii="Calibri" w:hAnsi="Calibri" w:eastAsia="Times New Roman" w:cs=""/>
              <w:sz w:val="20"/>
              <w:szCs w:val="20"/>
            </w:rPr>
          </w:pPr>
        </w:p>
      </w:tc>
      <w:tc>
        <w:tcPr>
          <w:tcW w:w="3005" w:type="dxa"/>
          <w:tcMar/>
        </w:tcPr>
        <w:p w:rsidR="6CBF4B85" w:rsidP="6CBF4B85" w:rsidRDefault="6CBF4B85" w14:paraId="1DFB911C" w14:textId="6864A60A">
          <w:pPr>
            <w:pStyle w:val="Header"/>
            <w:bidi w:val="0"/>
            <w:ind w:right="-115"/>
            <w:jc w:val="right"/>
            <w:rPr>
              <w:rFonts w:ascii="Calibri" w:hAnsi="Calibri" w:eastAsia="Times New Roman" w:cs=""/>
              <w:sz w:val="20"/>
              <w:szCs w:val="20"/>
            </w:rPr>
          </w:pPr>
        </w:p>
      </w:tc>
    </w:tr>
  </w:tbl>
  <w:p w:rsidR="6CBF4B85" w:rsidP="6CBF4B85" w:rsidRDefault="6CBF4B85" w14:paraId="186D6E86" w14:textId="2DE5370E">
    <w:pPr>
      <w:pStyle w:val="Footer"/>
      <w:bidi w:val="0"/>
      <w:rPr>
        <w:rFonts w:ascii="Calibri" w:hAnsi="Calibri" w:eastAsia="Times New Roman" w: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4DAF" w:rsidP="00241B44" w:rsidRDefault="00924DAF" w14:paraId="0B0B0129" w14:textId="77777777">
      <w:r>
        <w:separator/>
      </w:r>
    </w:p>
  </w:footnote>
  <w:footnote w:type="continuationSeparator" w:id="0">
    <w:p w:rsidR="00924DAF" w:rsidP="00241B44" w:rsidRDefault="00924DAF" w14:paraId="4A2A4F3D"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CBF4B85" w:rsidTr="6CBF4B85" w14:paraId="424F5214">
      <w:tc>
        <w:tcPr>
          <w:tcW w:w="3005" w:type="dxa"/>
          <w:tcMar/>
        </w:tcPr>
        <w:p w:rsidR="6CBF4B85" w:rsidP="6CBF4B85" w:rsidRDefault="6CBF4B85" w14:paraId="16284F56" w14:textId="30CFC4C9">
          <w:pPr>
            <w:pStyle w:val="Header"/>
            <w:bidi w:val="0"/>
            <w:ind w:left="-115"/>
            <w:jc w:val="left"/>
            <w:rPr>
              <w:rFonts w:ascii="Calibri" w:hAnsi="Calibri" w:eastAsia="Times New Roman" w:cs=""/>
              <w:sz w:val="20"/>
              <w:szCs w:val="20"/>
            </w:rPr>
          </w:pPr>
        </w:p>
      </w:tc>
      <w:tc>
        <w:tcPr>
          <w:tcW w:w="3005" w:type="dxa"/>
          <w:tcMar/>
        </w:tcPr>
        <w:p w:rsidR="6CBF4B85" w:rsidP="6CBF4B85" w:rsidRDefault="6CBF4B85" w14:paraId="3EA13C73" w14:textId="2181DE52">
          <w:pPr>
            <w:pStyle w:val="Header"/>
            <w:bidi w:val="0"/>
            <w:jc w:val="center"/>
            <w:rPr>
              <w:rFonts w:ascii="Calibri" w:hAnsi="Calibri" w:eastAsia="Times New Roman" w:cs=""/>
              <w:sz w:val="20"/>
              <w:szCs w:val="20"/>
            </w:rPr>
          </w:pPr>
        </w:p>
      </w:tc>
      <w:tc>
        <w:tcPr>
          <w:tcW w:w="3005" w:type="dxa"/>
          <w:tcMar/>
        </w:tcPr>
        <w:p w:rsidR="6CBF4B85" w:rsidP="6CBF4B85" w:rsidRDefault="6CBF4B85" w14:paraId="424C8B86" w14:textId="3D4A58C0">
          <w:pPr>
            <w:pStyle w:val="Header"/>
            <w:bidi w:val="0"/>
            <w:ind w:right="-115"/>
            <w:jc w:val="right"/>
            <w:rPr>
              <w:rFonts w:ascii="Calibri" w:hAnsi="Calibri" w:eastAsia="Times New Roman" w:cs=""/>
              <w:sz w:val="20"/>
              <w:szCs w:val="20"/>
            </w:rPr>
          </w:pPr>
        </w:p>
      </w:tc>
    </w:tr>
  </w:tbl>
  <w:p w:rsidR="6CBF4B85" w:rsidP="6CBF4B85" w:rsidRDefault="6CBF4B85" w14:paraId="6C711383" w14:textId="46D31576">
    <w:pPr>
      <w:pStyle w:val="Header"/>
      <w:bidi w:val="0"/>
      <w:rPr>
        <w:rFonts w:ascii="Calibri" w:hAnsi="Calibri" w:eastAsia="Times New Roman" w:cs=""/>
        <w:sz w:val="20"/>
        <w:szCs w:val="2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CBF4B85" w:rsidTr="6CBF4B85" w14:paraId="29732D39">
      <w:tc>
        <w:tcPr>
          <w:tcW w:w="3005" w:type="dxa"/>
          <w:tcMar/>
        </w:tcPr>
        <w:p w:rsidR="6CBF4B85" w:rsidP="6CBF4B85" w:rsidRDefault="6CBF4B85" w14:paraId="1CAA708D" w14:textId="6229ACB0">
          <w:pPr>
            <w:pStyle w:val="Header"/>
            <w:bidi w:val="0"/>
            <w:ind w:left="-115"/>
            <w:jc w:val="left"/>
            <w:rPr>
              <w:rFonts w:ascii="Calibri" w:hAnsi="Calibri" w:eastAsia="Times New Roman" w:cs=""/>
              <w:sz w:val="20"/>
              <w:szCs w:val="20"/>
            </w:rPr>
          </w:pPr>
        </w:p>
      </w:tc>
      <w:tc>
        <w:tcPr>
          <w:tcW w:w="3005" w:type="dxa"/>
          <w:tcMar/>
        </w:tcPr>
        <w:p w:rsidR="6CBF4B85" w:rsidP="6CBF4B85" w:rsidRDefault="6CBF4B85" w14:paraId="320BA4BD" w14:textId="3995FD0A">
          <w:pPr>
            <w:pStyle w:val="Header"/>
            <w:bidi w:val="0"/>
            <w:jc w:val="center"/>
            <w:rPr>
              <w:rFonts w:ascii="Calibri" w:hAnsi="Calibri" w:eastAsia="Times New Roman" w:cs=""/>
              <w:sz w:val="20"/>
              <w:szCs w:val="20"/>
            </w:rPr>
          </w:pPr>
        </w:p>
      </w:tc>
      <w:tc>
        <w:tcPr>
          <w:tcW w:w="3005" w:type="dxa"/>
          <w:tcMar/>
        </w:tcPr>
        <w:p w:rsidR="6CBF4B85" w:rsidP="6CBF4B85" w:rsidRDefault="6CBF4B85" w14:paraId="49D14B18" w14:textId="79312196">
          <w:pPr>
            <w:pStyle w:val="Header"/>
            <w:bidi w:val="0"/>
            <w:ind w:right="-115"/>
            <w:jc w:val="right"/>
            <w:rPr>
              <w:rFonts w:ascii="Calibri" w:hAnsi="Calibri" w:eastAsia="Times New Roman" w:cs=""/>
              <w:sz w:val="20"/>
              <w:szCs w:val="20"/>
            </w:rPr>
          </w:pPr>
        </w:p>
      </w:tc>
    </w:tr>
  </w:tbl>
  <w:p w:rsidR="6CBF4B85" w:rsidP="6CBF4B85" w:rsidRDefault="6CBF4B85" w14:paraId="474DD4BD" w14:textId="38C4C23E">
    <w:pPr>
      <w:pStyle w:val="Header"/>
      <w:bidi w:val="0"/>
      <w:rPr>
        <w:rFonts w:ascii="Calibri" w:hAnsi="Calibri" w:eastAsia="Times New Roman" w: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480" w:hanging="480"/>
      </w:pPr>
      <w:rPr>
        <w:rFonts w:hint="default" w:ascii="Courier New" w:hAnsi="Courier New"/>
      </w:rPr>
    </w:lvl>
    <w:lvl xmlns:w="http://schemas.openxmlformats.org/wordprocessingml/2006/main" w:ilvl="1">
      <w:start w:val="1"/>
      <w:numFmt w:val="bullet"/>
      <w:lvlText w:val="o"/>
      <w:lvlJc w:val="left"/>
      <w:pPr>
        <w:ind w:left="960" w:hanging="480"/>
      </w:pPr>
      <w:rPr>
        <w:rFonts w:hint="default" w:ascii="Courier New" w:hAnsi="Courier New"/>
      </w:rPr>
    </w:lvl>
    <w:lvl xmlns:w="http://schemas.openxmlformats.org/wordprocessingml/2006/main" w:ilvl="2">
      <w:start w:val="1"/>
      <w:numFmt w:val="bullet"/>
      <w:lvlText w:val=""/>
      <w:lvlJc w:val="left"/>
      <w:pPr>
        <w:ind w:left="1440" w:hanging="480"/>
      </w:pPr>
      <w:rPr>
        <w:rFonts w:hint="default" w:ascii="Wingdings" w:hAnsi="Wingdings"/>
      </w:rPr>
    </w:lvl>
    <w:lvl xmlns:w="http://schemas.openxmlformats.org/wordprocessingml/2006/main" w:ilvl="3">
      <w:start w:val="1"/>
      <w:numFmt w:val="bullet"/>
      <w:lvlText w:val=""/>
      <w:lvlJc w:val="left"/>
      <w:pPr>
        <w:ind w:left="1920" w:hanging="480"/>
      </w:pPr>
      <w:rPr>
        <w:rFonts w:hint="default" w:ascii="Symbol" w:hAnsi="Symbol"/>
      </w:rPr>
    </w:lvl>
    <w:lvl xmlns:w="http://schemas.openxmlformats.org/wordprocessingml/2006/main" w:ilvl="4">
      <w:start w:val="1"/>
      <w:numFmt w:val="bullet"/>
      <w:lvlText w:val="o"/>
      <w:lvlJc w:val="left"/>
      <w:pPr>
        <w:ind w:left="2400" w:hanging="480"/>
      </w:pPr>
      <w:rPr>
        <w:rFonts w:hint="default" w:ascii="Courier New" w:hAnsi="Courier New"/>
      </w:rPr>
    </w:lvl>
    <w:lvl xmlns:w="http://schemas.openxmlformats.org/wordprocessingml/2006/main" w:ilvl="5">
      <w:start w:val="1"/>
      <w:numFmt w:val="bullet"/>
      <w:lvlText w:val=""/>
      <w:lvlJc w:val="left"/>
      <w:pPr>
        <w:ind w:left="2880" w:hanging="480"/>
      </w:pPr>
      <w:rPr>
        <w:rFonts w:hint="default" w:ascii="Wingdings" w:hAnsi="Wingdings"/>
      </w:rPr>
    </w:lvl>
    <w:lvl xmlns:w="http://schemas.openxmlformats.org/wordprocessingml/2006/main" w:ilvl="6">
      <w:start w:val="1"/>
      <w:numFmt w:val="bullet"/>
      <w:lvlText w:val=""/>
      <w:lvlJc w:val="left"/>
      <w:pPr>
        <w:ind w:left="3360" w:hanging="480"/>
      </w:pPr>
      <w:rPr>
        <w:rFonts w:hint="default" w:ascii="Symbol" w:hAnsi="Symbol"/>
      </w:rPr>
    </w:lvl>
    <w:lvl xmlns:w="http://schemas.openxmlformats.org/wordprocessingml/2006/main" w:ilvl="7">
      <w:start w:val="1"/>
      <w:numFmt w:val="bullet"/>
      <w:lvlText w:val="o"/>
      <w:lvlJc w:val="left"/>
      <w:pPr>
        <w:ind w:left="3840" w:hanging="480"/>
      </w:pPr>
      <w:rPr>
        <w:rFonts w:hint="default" w:ascii="Courier New" w:hAnsi="Courier New"/>
      </w:rPr>
    </w:lvl>
    <w:lvl xmlns:w="http://schemas.openxmlformats.org/wordprocessingml/2006/main" w:ilvl="8">
      <w:start w:val="1"/>
      <w:numFmt w:val="bullet"/>
      <w:lvlText w:val=""/>
      <w:lvlJc w:val="left"/>
      <w:pPr>
        <w:ind w:left="4320" w:hanging="480"/>
      </w:pPr>
      <w:rPr>
        <w:rFonts w:hint="default" w:ascii="Wingdings" w:hAnsi="Wingdings"/>
      </w:rPr>
    </w:lvl>
  </w:abstractNum>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hint="default" w:ascii="Symbol" w:hAnsi="Symbol"/>
      </w:rPr>
    </w:lvl>
    <w:lvl w:ilvl="1" w:tplc="08090003" w:tentative="1">
      <w:start w:val="1"/>
      <w:numFmt w:val="bullet"/>
      <w:lvlText w:val="o"/>
      <w:lvlJc w:val="left"/>
      <w:pPr>
        <w:ind w:left="1713" w:hanging="360"/>
      </w:pPr>
      <w:rPr>
        <w:rFonts w:hint="default" w:ascii="Courier New" w:hAnsi="Courier New" w:cs="Courier New"/>
      </w:rPr>
    </w:lvl>
    <w:lvl w:ilvl="2" w:tplc="08090005" w:tentative="1">
      <w:start w:val="1"/>
      <w:numFmt w:val="bullet"/>
      <w:lvlText w:val=""/>
      <w:lvlJc w:val="left"/>
      <w:pPr>
        <w:ind w:left="2433" w:hanging="360"/>
      </w:pPr>
      <w:rPr>
        <w:rFonts w:hint="default" w:ascii="Wingdings" w:hAnsi="Wingdings"/>
      </w:rPr>
    </w:lvl>
    <w:lvl w:ilvl="3" w:tplc="08090001" w:tentative="1">
      <w:start w:val="1"/>
      <w:numFmt w:val="bullet"/>
      <w:lvlText w:val=""/>
      <w:lvlJc w:val="left"/>
      <w:pPr>
        <w:ind w:left="3153" w:hanging="360"/>
      </w:pPr>
      <w:rPr>
        <w:rFonts w:hint="default" w:ascii="Symbol" w:hAnsi="Symbol"/>
      </w:rPr>
    </w:lvl>
    <w:lvl w:ilvl="4" w:tplc="08090003" w:tentative="1">
      <w:start w:val="1"/>
      <w:numFmt w:val="bullet"/>
      <w:lvlText w:val="o"/>
      <w:lvlJc w:val="left"/>
      <w:pPr>
        <w:ind w:left="3873" w:hanging="360"/>
      </w:pPr>
      <w:rPr>
        <w:rFonts w:hint="default" w:ascii="Courier New" w:hAnsi="Courier New" w:cs="Courier New"/>
      </w:rPr>
    </w:lvl>
    <w:lvl w:ilvl="5" w:tplc="08090005" w:tentative="1">
      <w:start w:val="1"/>
      <w:numFmt w:val="bullet"/>
      <w:lvlText w:val=""/>
      <w:lvlJc w:val="left"/>
      <w:pPr>
        <w:ind w:left="4593" w:hanging="360"/>
      </w:pPr>
      <w:rPr>
        <w:rFonts w:hint="default" w:ascii="Wingdings" w:hAnsi="Wingdings"/>
      </w:rPr>
    </w:lvl>
    <w:lvl w:ilvl="6" w:tplc="08090001" w:tentative="1">
      <w:start w:val="1"/>
      <w:numFmt w:val="bullet"/>
      <w:lvlText w:val=""/>
      <w:lvlJc w:val="left"/>
      <w:pPr>
        <w:ind w:left="5313" w:hanging="360"/>
      </w:pPr>
      <w:rPr>
        <w:rFonts w:hint="default" w:ascii="Symbol" w:hAnsi="Symbol"/>
      </w:rPr>
    </w:lvl>
    <w:lvl w:ilvl="7" w:tplc="08090003" w:tentative="1">
      <w:start w:val="1"/>
      <w:numFmt w:val="bullet"/>
      <w:lvlText w:val="o"/>
      <w:lvlJc w:val="left"/>
      <w:pPr>
        <w:ind w:left="6033" w:hanging="360"/>
      </w:pPr>
      <w:rPr>
        <w:rFonts w:hint="default" w:ascii="Courier New" w:hAnsi="Courier New" w:cs="Courier New"/>
      </w:rPr>
    </w:lvl>
    <w:lvl w:ilvl="8" w:tplc="08090005" w:tentative="1">
      <w:start w:val="1"/>
      <w:numFmt w:val="bullet"/>
      <w:lvlText w:val=""/>
      <w:lvlJc w:val="left"/>
      <w:pPr>
        <w:ind w:left="6753" w:hanging="360"/>
      </w:pPr>
      <w:rPr>
        <w:rFonts w:hint="default" w:ascii="Wingdings" w:hAnsi="Wingdings"/>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8">
    <w:abstractNumId w:val="17"/>
  </w: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6"/>
  <w:displayBackgroundShape/>
  <w:trackRevisions w:val="false"/>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 w:val="27E4FEF1"/>
    <w:rsid w:val="33D62833"/>
    <w:rsid w:val="6CBF4B85"/>
    <w:rsid w:val="7C87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2919"/>
    <w:rPr>
      <w:rFonts w:eastAsia="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styleId="CommentTextChar" w:customStyle="1">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070d869629f14118" /><Relationship Type="http://schemas.openxmlformats.org/officeDocument/2006/relationships/header" Target="header.xml" Id="R26af3ce6d689408e" /><Relationship Type="http://schemas.openxmlformats.org/officeDocument/2006/relationships/header" Target="header2.xml" Id="R68bc571944594df6" /><Relationship Type="http://schemas.openxmlformats.org/officeDocument/2006/relationships/footer" Target="footer3.xml" Id="R5a7be22a9ef542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e9d786-eb9d-499e-928d-2fa5e3dc0652}"/>
      </w:docPartPr>
      <w:docPartBody>
        <w:p w14:paraId="2B5038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Kay Kay</lastModifiedBy>
  <revision>8</revision>
  <lastPrinted>2019-08-27T05:42:00.0000000Z</lastPrinted>
  <dcterms:created xsi:type="dcterms:W3CDTF">2021-08-17T11:41:00.0000000Z</dcterms:created>
  <dcterms:modified xsi:type="dcterms:W3CDTF">2021-11-24T10:28:41.5713271Z</dcterms:modified>
</coreProperties>
</file>