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w:t>
      </w:r>
      <w:proofErr w:type="gramStart"/>
      <w:r w:rsidR="0011473D" w:rsidRPr="00205B31">
        <w:rPr>
          <w:rFonts w:ascii="Arial" w:hAnsi="Arial" w:cs="Arial"/>
          <w:sz w:val="22"/>
          <w:szCs w:val="22"/>
          <w:lang w:val="en-GB"/>
        </w:rPr>
        <w:t>a</w:t>
      </w:r>
      <w:proofErr w:type="gramEnd"/>
      <w:r w:rsidR="0011473D" w:rsidRPr="00205B31">
        <w:rPr>
          <w:rFonts w:ascii="Arial" w:hAnsi="Arial" w:cs="Arial"/>
          <w:sz w:val="22"/>
          <w:szCs w:val="22"/>
          <w:lang w:val="en-GB"/>
        </w:rPr>
        <w:t xml:space="preserve">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w:t>
      </w:r>
      <w:proofErr w:type="gramStart"/>
      <w:r w:rsidRPr="00205B31">
        <w:rPr>
          <w:rFonts w:ascii="Arial" w:hAnsi="Arial" w:cs="Arial"/>
          <w:sz w:val="22"/>
          <w:szCs w:val="22"/>
          <w:lang w:val="en-GB"/>
        </w:rPr>
        <w:t>submit</w:t>
      </w:r>
      <w:proofErr w:type="gramEnd"/>
      <w:r w:rsidRPr="00205B31">
        <w:rPr>
          <w:rFonts w:ascii="Arial" w:hAnsi="Arial" w:cs="Arial"/>
          <w:sz w:val="22"/>
          <w:szCs w:val="22"/>
          <w:lang w:val="en-GB"/>
        </w:rPr>
        <w:t xml:space="preserve">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 xml:space="preserve">Please also include the filename as </w:t>
      </w:r>
      <w:proofErr w:type="gramStart"/>
      <w:r w:rsidR="00697EA1" w:rsidRPr="00205B31">
        <w:rPr>
          <w:rFonts w:ascii="Arial" w:hAnsi="Arial" w:cs="Arial"/>
          <w:b/>
          <w:sz w:val="22"/>
          <w:szCs w:val="22"/>
          <w:lang w:val="en-GB"/>
        </w:rPr>
        <w:t>a footer</w:t>
      </w:r>
      <w:proofErr w:type="gramEnd"/>
      <w:r w:rsidR="00697EA1" w:rsidRPr="00205B31">
        <w:rPr>
          <w:rFonts w:ascii="Arial" w:hAnsi="Arial" w:cs="Arial"/>
          <w:b/>
          <w:sz w:val="22"/>
          <w:szCs w:val="22"/>
          <w:lang w:val="en-GB"/>
        </w:rPr>
        <w:t xml:space="preserve">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lastRenderedPageBreak/>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w:t>
      </w:r>
      <w:proofErr w:type="gramStart"/>
      <w:r w:rsidRPr="00205B31">
        <w:rPr>
          <w:rFonts w:ascii="Arial" w:hAnsi="Arial" w:cs="Arial"/>
          <w:sz w:val="22"/>
          <w:szCs w:val="22"/>
          <w:lang w:val="en-GB"/>
        </w:rPr>
        <w:t>are</w:t>
      </w:r>
      <w:proofErr w:type="gramEnd"/>
      <w:r w:rsidRPr="00205B31">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5904F3" w:rsidRDefault="00C60631" w:rsidP="009D510C">
      <w:pPr>
        <w:pStyle w:val="ListParagraph"/>
        <w:numPr>
          <w:ilvl w:val="0"/>
          <w:numId w:val="12"/>
        </w:numPr>
        <w:ind w:left="426"/>
        <w:jc w:val="both"/>
        <w:rPr>
          <w:rFonts w:ascii="Arial" w:hAnsi="Arial" w:cs="Arial"/>
          <w:sz w:val="22"/>
          <w:szCs w:val="22"/>
          <w:highlight w:val="yellow"/>
          <w:lang w:val="en-GB"/>
        </w:rPr>
      </w:pPr>
      <w:r w:rsidRPr="005904F3">
        <w:rPr>
          <w:rFonts w:ascii="Arial" w:hAnsi="Arial" w:cs="Arial"/>
          <w:sz w:val="22"/>
          <w:szCs w:val="22"/>
          <w:highlight w:val="yellow"/>
          <w:lang w:val="en-GB"/>
        </w:rPr>
        <w:t xml:space="preserve">This statement is incorrect since </w:t>
      </w:r>
      <w:r w:rsidR="00E7793C" w:rsidRPr="005904F3">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5904F3" w:rsidRDefault="00AE027F" w:rsidP="009D510C">
      <w:pPr>
        <w:pStyle w:val="ListParagraph"/>
        <w:numPr>
          <w:ilvl w:val="0"/>
          <w:numId w:val="13"/>
        </w:numPr>
        <w:jc w:val="both"/>
        <w:rPr>
          <w:rFonts w:ascii="Arial" w:hAnsi="Arial" w:cs="Arial"/>
          <w:sz w:val="22"/>
          <w:szCs w:val="22"/>
          <w:highlight w:val="yellow"/>
          <w:lang w:val="en-GB"/>
        </w:rPr>
      </w:pPr>
      <w:r w:rsidRPr="005904F3">
        <w:rPr>
          <w:rFonts w:ascii="Arial" w:hAnsi="Arial" w:cs="Arial"/>
          <w:sz w:val="22"/>
          <w:szCs w:val="22"/>
          <w:highlight w:val="yellow"/>
          <w:lang w:val="en-GB"/>
        </w:rPr>
        <w:t>The statement i</w:t>
      </w:r>
      <w:r w:rsidR="006E77B0" w:rsidRPr="005904F3">
        <w:rPr>
          <w:rFonts w:ascii="Arial" w:hAnsi="Arial" w:cs="Arial"/>
          <w:sz w:val="22"/>
          <w:szCs w:val="22"/>
          <w:highlight w:val="yellow"/>
          <w:lang w:val="en-GB"/>
        </w:rPr>
        <w:t>s incorrect since the UK did re</w:t>
      </w:r>
      <w:r w:rsidRPr="005904F3">
        <w:rPr>
          <w:rFonts w:ascii="Arial" w:hAnsi="Arial" w:cs="Arial"/>
          <w:sz w:val="22"/>
          <w:szCs w:val="22"/>
          <w:highlight w:val="yellow"/>
          <w:lang w:val="en-GB"/>
        </w:rPr>
        <w:t>v</w:t>
      </w:r>
      <w:r w:rsidR="006E77B0" w:rsidRPr="005904F3">
        <w:rPr>
          <w:rFonts w:ascii="Arial" w:hAnsi="Arial" w:cs="Arial"/>
          <w:sz w:val="22"/>
          <w:szCs w:val="22"/>
          <w:highlight w:val="yellow"/>
          <w:lang w:val="en-GB"/>
        </w:rPr>
        <w:t>i</w:t>
      </w:r>
      <w:r w:rsidRPr="005904F3">
        <w:rPr>
          <w:rFonts w:ascii="Arial" w:hAnsi="Arial" w:cs="Arial"/>
          <w:sz w:val="22"/>
          <w:szCs w:val="22"/>
          <w:highlight w:val="yellow"/>
          <w:lang w:val="en-GB"/>
        </w:rPr>
        <w:t>ew parts of its insolvency rules and amended some, among</w:t>
      </w:r>
      <w:r w:rsidR="006E77B0" w:rsidRPr="005904F3">
        <w:rPr>
          <w:rFonts w:ascii="Arial" w:hAnsi="Arial" w:cs="Arial"/>
          <w:sz w:val="22"/>
          <w:szCs w:val="22"/>
          <w:highlight w:val="yellow"/>
          <w:lang w:val="en-GB"/>
        </w:rPr>
        <w:t>s</w:t>
      </w:r>
      <w:r w:rsidRPr="005904F3">
        <w:rPr>
          <w:rFonts w:ascii="Arial" w:hAnsi="Arial" w:cs="Arial"/>
          <w:sz w:val="22"/>
          <w:szCs w:val="22"/>
          <w:highlight w:val="yellow"/>
          <w:lang w:val="en-GB"/>
        </w:rPr>
        <w:t>t other</w:t>
      </w:r>
      <w:r w:rsidR="00F96AF1" w:rsidRPr="005904F3">
        <w:rPr>
          <w:rFonts w:ascii="Arial" w:hAnsi="Arial" w:cs="Arial"/>
          <w:sz w:val="22"/>
          <w:szCs w:val="22"/>
          <w:highlight w:val="yellow"/>
          <w:lang w:val="en-GB"/>
        </w:rPr>
        <w:t xml:space="preserve"> things</w:t>
      </w:r>
      <w:r w:rsidRPr="005904F3">
        <w:rPr>
          <w:rFonts w:ascii="Arial" w:hAnsi="Arial" w:cs="Arial"/>
          <w:sz w:val="22"/>
          <w:szCs w:val="22"/>
          <w:highlight w:val="yellow"/>
          <w:lang w:val="en-GB"/>
        </w:rPr>
        <w:t>, to deal with the negative economic fall out of the pandemic.</w:t>
      </w:r>
      <w:r w:rsidR="00100A77" w:rsidRPr="005904F3">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 xml:space="preserve">Dutch insolvency system does not provide for a discharge of debt and without such a dispensation in </w:t>
      </w:r>
      <w:proofErr w:type="gramStart"/>
      <w:r w:rsidR="00B54F90" w:rsidRPr="00205B31">
        <w:rPr>
          <w:rFonts w:ascii="Arial" w:hAnsi="Arial" w:cs="Arial"/>
          <w:sz w:val="22"/>
          <w:szCs w:val="22"/>
          <w:lang w:val="en-GB"/>
        </w:rPr>
        <w:t>place,</w:t>
      </w:r>
      <w:proofErr w:type="gramEnd"/>
      <w:r w:rsidR="00B54F90" w:rsidRPr="00205B31">
        <w:rPr>
          <w:rFonts w:ascii="Arial" w:hAnsi="Arial" w:cs="Arial"/>
          <w:sz w:val="22"/>
          <w:szCs w:val="22"/>
          <w:lang w:val="en-GB"/>
        </w:rPr>
        <w:t xml:space="preserv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5904F3" w:rsidRDefault="00B54F90" w:rsidP="009D510C">
      <w:pPr>
        <w:pStyle w:val="ListParagraph"/>
        <w:numPr>
          <w:ilvl w:val="0"/>
          <w:numId w:val="14"/>
        </w:numPr>
        <w:ind w:left="426"/>
        <w:jc w:val="both"/>
        <w:rPr>
          <w:rFonts w:ascii="Arial" w:hAnsi="Arial" w:cs="Arial"/>
          <w:sz w:val="22"/>
          <w:szCs w:val="22"/>
          <w:highlight w:val="yellow"/>
          <w:lang w:val="en-GB"/>
        </w:rPr>
      </w:pPr>
      <w:r w:rsidRPr="005904F3">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5904F3">
        <w:rPr>
          <w:rFonts w:ascii="Arial" w:hAnsi="Arial" w:cs="Arial"/>
          <w:sz w:val="22"/>
          <w:szCs w:val="22"/>
          <w:highlight w:val="yellow"/>
          <w:lang w:val="en-GB"/>
        </w:rPr>
        <w:t xml:space="preserve">on </w:t>
      </w:r>
      <w:r w:rsidRPr="005904F3">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5904F3"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5904F3">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the majority of UN Member States, hence these rules are </w:t>
      </w:r>
      <w:proofErr w:type="gramStart"/>
      <w:r w:rsidRPr="00205B31">
        <w:rPr>
          <w:rFonts w:ascii="Arial" w:hAnsi="Arial" w:cs="Arial"/>
          <w:sz w:val="22"/>
          <w:szCs w:val="22"/>
          <w:lang w:val="en-GB"/>
        </w:rPr>
        <w:t>well-known</w:t>
      </w:r>
      <w:proofErr w:type="gramEnd"/>
      <w:r w:rsidRPr="00205B31">
        <w:rPr>
          <w:rFonts w:ascii="Arial" w:hAnsi="Arial" w:cs="Arial"/>
          <w:sz w:val="22"/>
          <w:szCs w:val="22"/>
          <w:lang w:val="en-GB"/>
        </w:rPr>
        <w:t xml:space="preserve">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5904F3" w:rsidRDefault="00926D10" w:rsidP="009D510C">
      <w:pPr>
        <w:pStyle w:val="ListParagraph"/>
        <w:numPr>
          <w:ilvl w:val="0"/>
          <w:numId w:val="5"/>
        </w:numPr>
        <w:ind w:left="426"/>
        <w:jc w:val="both"/>
        <w:rPr>
          <w:rFonts w:ascii="Arial" w:hAnsi="Arial" w:cs="Arial"/>
          <w:sz w:val="22"/>
          <w:szCs w:val="22"/>
          <w:highlight w:val="yellow"/>
          <w:lang w:val="en-GB"/>
        </w:rPr>
      </w:pPr>
      <w:r w:rsidRPr="005904F3">
        <w:rPr>
          <w:rFonts w:ascii="Arial" w:hAnsi="Arial" w:cs="Arial"/>
          <w:sz w:val="22"/>
          <w:szCs w:val="22"/>
          <w:highlight w:val="yellow"/>
          <w:lang w:val="en-GB"/>
        </w:rPr>
        <w:t xml:space="preserve">The statement is </w:t>
      </w:r>
      <w:r w:rsidR="006E1CB0" w:rsidRPr="005904F3">
        <w:rPr>
          <w:rFonts w:ascii="Arial" w:hAnsi="Arial" w:cs="Arial"/>
          <w:sz w:val="22"/>
          <w:szCs w:val="22"/>
          <w:highlight w:val="yellow"/>
          <w:lang w:val="en-GB"/>
        </w:rPr>
        <w:t xml:space="preserve">not </w:t>
      </w:r>
      <w:r w:rsidRPr="005904F3">
        <w:rPr>
          <w:rFonts w:ascii="Arial" w:hAnsi="Arial" w:cs="Arial"/>
          <w:sz w:val="22"/>
          <w:szCs w:val="22"/>
          <w:highlight w:val="yellow"/>
          <w:lang w:val="en-GB"/>
        </w:rPr>
        <w:t xml:space="preserve">correct </w:t>
      </w:r>
      <w:r w:rsidR="007958F0" w:rsidRPr="005904F3">
        <w:rPr>
          <w:rFonts w:ascii="Arial" w:hAnsi="Arial" w:cs="Arial"/>
          <w:sz w:val="22"/>
          <w:szCs w:val="22"/>
          <w:highlight w:val="yellow"/>
          <w:lang w:val="en-GB"/>
        </w:rPr>
        <w:t>because</w:t>
      </w:r>
      <w:r w:rsidRPr="005904F3">
        <w:rPr>
          <w:rFonts w:ascii="Arial" w:hAnsi="Arial" w:cs="Arial"/>
          <w:sz w:val="22"/>
          <w:szCs w:val="22"/>
          <w:highlight w:val="yellow"/>
          <w:lang w:val="en-GB"/>
        </w:rPr>
        <w:t xml:space="preserve"> very few </w:t>
      </w:r>
      <w:r w:rsidR="007958F0" w:rsidRPr="005904F3">
        <w:rPr>
          <w:rFonts w:ascii="Arial" w:hAnsi="Arial" w:cs="Arial"/>
          <w:sz w:val="22"/>
          <w:szCs w:val="22"/>
          <w:highlight w:val="yellow"/>
          <w:lang w:val="en-GB"/>
        </w:rPr>
        <w:t>States</w:t>
      </w:r>
      <w:r w:rsidRPr="005904F3">
        <w:rPr>
          <w:rFonts w:ascii="Arial" w:hAnsi="Arial" w:cs="Arial"/>
          <w:sz w:val="22"/>
          <w:szCs w:val="22"/>
          <w:highlight w:val="yellow"/>
          <w:lang w:val="en-GB"/>
        </w:rPr>
        <w:t xml:space="preserve"> allow insolvent estate representatives to deal with assets of a foreign debtor situated in </w:t>
      </w:r>
      <w:r w:rsidR="005936B3" w:rsidRPr="005904F3">
        <w:rPr>
          <w:rFonts w:ascii="Arial" w:hAnsi="Arial" w:cs="Arial"/>
          <w:sz w:val="22"/>
          <w:szCs w:val="22"/>
          <w:highlight w:val="yellow"/>
          <w:lang w:val="en-GB"/>
        </w:rPr>
        <w:t>their own</w:t>
      </w:r>
      <w:r w:rsidRPr="005904F3">
        <w:rPr>
          <w:rFonts w:ascii="Arial" w:hAnsi="Arial" w:cs="Arial"/>
          <w:sz w:val="22"/>
          <w:szCs w:val="22"/>
          <w:highlight w:val="yellow"/>
          <w:lang w:val="en-GB"/>
        </w:rPr>
        <w:t xml:space="preserve"> jurisdiction </w:t>
      </w:r>
      <w:r w:rsidRPr="005904F3">
        <w:rPr>
          <w:rFonts w:ascii="Arial" w:hAnsi="Arial" w:cs="Arial"/>
          <w:sz w:val="22"/>
          <w:szCs w:val="22"/>
          <w:highlight w:val="yellow"/>
          <w:lang w:val="en-GB"/>
        </w:rPr>
        <w:lastRenderedPageBreak/>
        <w:t xml:space="preserve">without </w:t>
      </w:r>
      <w:r w:rsidR="006E1CB0" w:rsidRPr="005904F3">
        <w:rPr>
          <w:rFonts w:ascii="Arial" w:hAnsi="Arial" w:cs="Arial"/>
          <w:sz w:val="22"/>
          <w:szCs w:val="22"/>
          <w:highlight w:val="yellow"/>
          <w:lang w:val="en-GB"/>
        </w:rPr>
        <w:t xml:space="preserve">some form of </w:t>
      </w:r>
      <w:r w:rsidR="0090037B" w:rsidRPr="005904F3">
        <w:rPr>
          <w:rFonts w:ascii="Arial" w:hAnsi="Arial" w:cs="Arial"/>
          <w:sz w:val="22"/>
          <w:szCs w:val="22"/>
          <w:highlight w:val="yellow"/>
          <w:lang w:val="en-GB"/>
        </w:rPr>
        <w:t xml:space="preserve">a </w:t>
      </w:r>
      <w:r w:rsidR="006E1CB0" w:rsidRPr="005904F3">
        <w:rPr>
          <w:rFonts w:ascii="Arial" w:hAnsi="Arial" w:cs="Arial"/>
          <w:sz w:val="22"/>
          <w:szCs w:val="22"/>
          <w:highlight w:val="yellow"/>
          <w:lang w:val="en-GB"/>
        </w:rPr>
        <w:t>(</w:t>
      </w:r>
      <w:r w:rsidR="0090037B" w:rsidRPr="005904F3">
        <w:rPr>
          <w:rFonts w:ascii="Arial" w:hAnsi="Arial" w:cs="Arial"/>
          <w:sz w:val="22"/>
          <w:szCs w:val="22"/>
          <w:highlight w:val="yellow"/>
          <w:lang w:val="en-GB"/>
        </w:rPr>
        <w:t>prior</w:t>
      </w:r>
      <w:r w:rsidR="006E1CB0" w:rsidRPr="005904F3">
        <w:rPr>
          <w:rFonts w:ascii="Arial" w:hAnsi="Arial" w:cs="Arial"/>
          <w:sz w:val="22"/>
          <w:szCs w:val="22"/>
          <w:highlight w:val="yellow"/>
          <w:lang w:val="en-GB"/>
        </w:rPr>
        <w:t>)</w:t>
      </w:r>
      <w:r w:rsidRPr="005904F3">
        <w:rPr>
          <w:rFonts w:ascii="Arial" w:hAnsi="Arial" w:cs="Arial"/>
          <w:sz w:val="22"/>
          <w:szCs w:val="22"/>
          <w:highlight w:val="yellow"/>
          <w:lang w:val="en-GB"/>
        </w:rPr>
        <w:t xml:space="preserve"> local procedure </w:t>
      </w:r>
      <w:r w:rsidR="005936B3" w:rsidRPr="005904F3">
        <w:rPr>
          <w:rFonts w:ascii="Arial" w:hAnsi="Arial" w:cs="Arial"/>
          <w:sz w:val="22"/>
          <w:szCs w:val="22"/>
          <w:highlight w:val="yellow"/>
          <w:lang w:val="en-GB"/>
        </w:rPr>
        <w:t xml:space="preserve">to </w:t>
      </w:r>
      <w:r w:rsidRPr="005904F3">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4A1D86" w:rsidRDefault="000329A6" w:rsidP="00C570AC">
      <w:pPr>
        <w:pStyle w:val="ListParagraph"/>
        <w:numPr>
          <w:ilvl w:val="0"/>
          <w:numId w:val="6"/>
        </w:numPr>
        <w:ind w:left="426"/>
        <w:jc w:val="both"/>
        <w:rPr>
          <w:rFonts w:ascii="Arial" w:hAnsi="Arial" w:cs="Arial"/>
          <w:sz w:val="22"/>
          <w:szCs w:val="22"/>
          <w:highlight w:val="yellow"/>
          <w:lang w:val="en-GB"/>
        </w:rPr>
      </w:pPr>
      <w:r w:rsidRPr="004A1D86">
        <w:rPr>
          <w:rFonts w:ascii="Arial" w:eastAsiaTheme="minorHAnsi" w:hAnsi="Arial" w:cs="Arial"/>
          <w:sz w:val="22"/>
          <w:szCs w:val="22"/>
          <w:highlight w:val="yellow"/>
          <w:lang w:val="en-GB"/>
        </w:rPr>
        <w:t xml:space="preserve">They were recently revised in 2021 and, together with the </w:t>
      </w:r>
      <w:r w:rsidRPr="004A1D86">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A1711B"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A1711B">
        <w:rPr>
          <w:rFonts w:ascii="Arial" w:eastAsiaTheme="minorHAnsi" w:hAnsi="Arial" w:cs="Arial"/>
          <w:sz w:val="22"/>
          <w:szCs w:val="22"/>
          <w:highlight w:val="yellow"/>
          <w:lang w:val="en-GB"/>
        </w:rPr>
        <w:t xml:space="preserve">The Nordic Convention </w:t>
      </w:r>
      <w:r w:rsidR="00076483" w:rsidRPr="00A1711B">
        <w:rPr>
          <w:rFonts w:ascii="Arial" w:eastAsiaTheme="minorHAnsi" w:hAnsi="Arial" w:cs="Arial"/>
          <w:sz w:val="22"/>
          <w:szCs w:val="22"/>
          <w:highlight w:val="yellow"/>
          <w:lang w:val="en-GB"/>
        </w:rPr>
        <w:t>1933</w:t>
      </w:r>
      <w:r w:rsidR="00966E44" w:rsidRPr="00A1711B">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BB2D45" w:rsidRDefault="00124B70" w:rsidP="00275182">
      <w:pPr>
        <w:pStyle w:val="ListParagraph"/>
        <w:numPr>
          <w:ilvl w:val="0"/>
          <w:numId w:val="8"/>
        </w:numPr>
        <w:ind w:left="426"/>
        <w:jc w:val="both"/>
        <w:rPr>
          <w:rFonts w:ascii="Arial" w:hAnsi="Arial" w:cs="Arial"/>
          <w:sz w:val="22"/>
          <w:szCs w:val="22"/>
          <w:highlight w:val="yellow"/>
          <w:lang w:val="en-GB"/>
        </w:rPr>
      </w:pPr>
      <w:r w:rsidRPr="00BB2D45">
        <w:rPr>
          <w:rFonts w:ascii="Arial" w:hAnsi="Arial" w:cs="Arial"/>
          <w:sz w:val="22"/>
          <w:szCs w:val="22"/>
          <w:highlight w:val="yellow"/>
          <w:lang w:val="en-GB"/>
        </w:rPr>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BB2D45" w:rsidRDefault="00E86549" w:rsidP="00275182">
      <w:pPr>
        <w:pStyle w:val="ListParagraph"/>
        <w:numPr>
          <w:ilvl w:val="0"/>
          <w:numId w:val="9"/>
        </w:numPr>
        <w:ind w:left="426"/>
        <w:jc w:val="both"/>
        <w:rPr>
          <w:rFonts w:ascii="Arial" w:hAnsi="Arial" w:cs="Arial"/>
          <w:bCs/>
          <w:sz w:val="22"/>
          <w:szCs w:val="22"/>
          <w:highlight w:val="yellow"/>
          <w:lang w:val="en-GB"/>
        </w:rPr>
      </w:pPr>
      <w:r w:rsidRPr="00BB2D45">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BB2D45">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BB2D45" w:rsidRDefault="00911C23" w:rsidP="00275182">
      <w:pPr>
        <w:pStyle w:val="ListParagraph"/>
        <w:numPr>
          <w:ilvl w:val="0"/>
          <w:numId w:val="10"/>
        </w:numPr>
        <w:ind w:left="426"/>
        <w:jc w:val="both"/>
        <w:rPr>
          <w:rFonts w:ascii="Arial" w:hAnsi="Arial" w:cs="Arial"/>
          <w:sz w:val="22"/>
          <w:szCs w:val="22"/>
          <w:highlight w:val="yellow"/>
          <w:lang w:val="en-GB"/>
        </w:rPr>
      </w:pPr>
      <w:r w:rsidRPr="00BB2D45">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70D9EC1E" w:rsidR="009B07AD" w:rsidRPr="00205B31" w:rsidRDefault="009B07AD" w:rsidP="00B7193E">
      <w:pPr>
        <w:ind w:left="720" w:hanging="720"/>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22C610C9" w14:textId="5636D871" w:rsidR="00DE03AF" w:rsidRDefault="00B65ED9" w:rsidP="00B7193E">
      <w:pPr>
        <w:jc w:val="both"/>
        <w:rPr>
          <w:rFonts w:ascii="Arial" w:hAnsi="Arial" w:cs="Arial"/>
          <w:sz w:val="22"/>
          <w:szCs w:val="22"/>
          <w:lang w:val="en-GB"/>
        </w:rPr>
      </w:pPr>
      <w:r>
        <w:rPr>
          <w:rFonts w:ascii="Arial" w:hAnsi="Arial" w:cs="Arial"/>
          <w:sz w:val="22"/>
          <w:szCs w:val="22"/>
          <w:lang w:val="en-GB"/>
        </w:rPr>
        <w:t xml:space="preserve">In 1542 the concept of collective participation and </w:t>
      </w:r>
      <w:proofErr w:type="spellStart"/>
      <w:r w:rsidRPr="00B65ED9">
        <w:rPr>
          <w:rFonts w:ascii="Arial" w:hAnsi="Arial" w:cs="Arial"/>
          <w:i/>
          <w:sz w:val="22"/>
          <w:szCs w:val="22"/>
          <w:lang w:val="en-GB"/>
        </w:rPr>
        <w:t>pari</w:t>
      </w:r>
      <w:proofErr w:type="spellEnd"/>
      <w:r w:rsidRPr="00B65ED9">
        <w:rPr>
          <w:rFonts w:ascii="Arial" w:hAnsi="Arial" w:cs="Arial"/>
          <w:i/>
          <w:sz w:val="22"/>
          <w:szCs w:val="22"/>
          <w:lang w:val="en-GB"/>
        </w:rPr>
        <w:t xml:space="preserve"> </w:t>
      </w:r>
      <w:proofErr w:type="spellStart"/>
      <w:r w:rsidRPr="00B65ED9">
        <w:rPr>
          <w:rFonts w:ascii="Arial" w:hAnsi="Arial" w:cs="Arial"/>
          <w:i/>
          <w:sz w:val="22"/>
          <w:szCs w:val="22"/>
          <w:lang w:val="en-GB"/>
        </w:rPr>
        <w:t>passu</w:t>
      </w:r>
      <w:proofErr w:type="spellEnd"/>
      <w:r>
        <w:rPr>
          <w:rFonts w:ascii="Arial" w:hAnsi="Arial" w:cs="Arial"/>
          <w:sz w:val="22"/>
          <w:szCs w:val="22"/>
          <w:lang w:val="en-GB"/>
        </w:rPr>
        <w:t xml:space="preserve"> distribution amongst creditors were introduced. This arose from the fist English Bankruptcy Act of 1542, which provided for a form of compulsory sequestration.</w:t>
      </w:r>
      <w:r>
        <w:rPr>
          <w:rStyle w:val="FootnoteReference"/>
          <w:rFonts w:ascii="Arial" w:hAnsi="Arial" w:cs="Arial"/>
          <w:sz w:val="22"/>
          <w:szCs w:val="22"/>
          <w:lang w:val="en-GB"/>
        </w:rPr>
        <w:footnoteReference w:id="1"/>
      </w:r>
    </w:p>
    <w:p w14:paraId="0F91EBE1" w14:textId="77777777" w:rsidR="00B22D14" w:rsidRDefault="00B22D14" w:rsidP="00B7193E">
      <w:pPr>
        <w:jc w:val="both"/>
        <w:rPr>
          <w:rFonts w:ascii="Arial" w:hAnsi="Arial" w:cs="Arial"/>
          <w:sz w:val="22"/>
          <w:szCs w:val="22"/>
          <w:lang w:val="en-GB"/>
        </w:rPr>
      </w:pPr>
    </w:p>
    <w:p w14:paraId="2F1EB258" w14:textId="24788C15" w:rsidR="00B22D14" w:rsidRDefault="00B22D14" w:rsidP="00B7193E">
      <w:pPr>
        <w:jc w:val="both"/>
        <w:rPr>
          <w:rFonts w:ascii="Arial" w:hAnsi="Arial" w:cs="Arial"/>
          <w:sz w:val="22"/>
          <w:szCs w:val="22"/>
          <w:lang w:val="en-GB"/>
        </w:rPr>
      </w:pPr>
      <w:r>
        <w:rPr>
          <w:rFonts w:ascii="Arial" w:hAnsi="Arial" w:cs="Arial"/>
          <w:sz w:val="22"/>
          <w:szCs w:val="22"/>
          <w:lang w:val="en-GB"/>
        </w:rPr>
        <w:t>In 1570 the Act of Elizabeth introduced during the reign of Queen Elizabeth I was passed, this provided for additional acts of bankruptcy and transferred jurisdiction for the supervision of a bankruptcy to the Lord Chancellor, whose office was petitioned by the debtor’s creditors to convene a bankruptcy meeting. The debtor’s property was transferred to the control of the Lord Chancellor. People could be summoned for questioning and may be sent to prison.</w:t>
      </w:r>
      <w:r>
        <w:rPr>
          <w:rStyle w:val="FootnoteReference"/>
          <w:rFonts w:ascii="Arial" w:hAnsi="Arial" w:cs="Arial"/>
          <w:sz w:val="22"/>
          <w:szCs w:val="22"/>
          <w:lang w:val="en-GB"/>
        </w:rPr>
        <w:footnoteReference w:id="2"/>
      </w:r>
    </w:p>
    <w:p w14:paraId="18FB9050" w14:textId="77777777" w:rsidR="00B22D14" w:rsidRDefault="00B22D14" w:rsidP="00B7193E">
      <w:pPr>
        <w:jc w:val="both"/>
        <w:rPr>
          <w:rFonts w:ascii="Arial" w:hAnsi="Arial" w:cs="Arial"/>
          <w:sz w:val="22"/>
          <w:szCs w:val="22"/>
          <w:lang w:val="en-GB"/>
        </w:rPr>
      </w:pPr>
    </w:p>
    <w:p w14:paraId="67439AD1" w14:textId="41058828" w:rsidR="00B22D14" w:rsidRPr="00205B31" w:rsidRDefault="00B22D14" w:rsidP="00B7193E">
      <w:pPr>
        <w:jc w:val="both"/>
        <w:rPr>
          <w:rFonts w:ascii="Arial" w:hAnsi="Arial" w:cs="Arial"/>
          <w:sz w:val="22"/>
          <w:szCs w:val="22"/>
          <w:lang w:val="en-GB"/>
        </w:rPr>
      </w:pPr>
      <w:r>
        <w:rPr>
          <w:rFonts w:ascii="Arial" w:hAnsi="Arial" w:cs="Arial"/>
          <w:sz w:val="22"/>
          <w:szCs w:val="22"/>
          <w:lang w:val="en-GB"/>
        </w:rPr>
        <w:t xml:space="preserve">In 1705, the Statute of Ann of 1705 introduced the concept of a statutory discharge. </w:t>
      </w:r>
      <w:r w:rsidR="00AD1766">
        <w:rPr>
          <w:rFonts w:ascii="Arial" w:hAnsi="Arial" w:cs="Arial"/>
          <w:sz w:val="22"/>
          <w:szCs w:val="22"/>
          <w:lang w:val="en-GB"/>
        </w:rPr>
        <w:t>This statutory discharge was not automatic, their discharge had to be confirmed by the commissioner who had to verify that the debtor had cooperated throughout his/her bankruptcy.</w:t>
      </w:r>
      <w:r w:rsidR="00AD1766">
        <w:rPr>
          <w:rStyle w:val="FootnoteReference"/>
          <w:rFonts w:ascii="Arial" w:hAnsi="Arial" w:cs="Arial"/>
          <w:sz w:val="22"/>
          <w:szCs w:val="22"/>
          <w:lang w:val="en-GB"/>
        </w:rPr>
        <w:footnoteReference w:id="3"/>
      </w:r>
      <w:r w:rsidR="00AD1766">
        <w:rPr>
          <w:rFonts w:ascii="Arial" w:hAnsi="Arial" w:cs="Arial"/>
          <w:sz w:val="22"/>
          <w:szCs w:val="22"/>
          <w:lang w:val="en-GB"/>
        </w:rPr>
        <w:t xml:space="preserve"> </w:t>
      </w: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5F06D026" w:rsidR="009B07AD" w:rsidRPr="00205B31" w:rsidRDefault="009B07AD" w:rsidP="00B7193E">
      <w:pPr>
        <w:ind w:left="720" w:hanging="720"/>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039E27B5" w14:textId="295B8D05" w:rsidR="00C82D87" w:rsidRDefault="00AD1766" w:rsidP="007B4389">
      <w:pPr>
        <w:jc w:val="both"/>
        <w:rPr>
          <w:rFonts w:ascii="Arial" w:hAnsi="Arial" w:cs="Arial"/>
          <w:sz w:val="22"/>
          <w:szCs w:val="22"/>
          <w:lang w:val="en-GB"/>
        </w:rPr>
      </w:pPr>
      <w:r>
        <w:rPr>
          <w:rFonts w:ascii="Arial" w:hAnsi="Arial" w:cs="Arial"/>
          <w:sz w:val="22"/>
          <w:szCs w:val="22"/>
          <w:lang w:val="en-GB"/>
        </w:rPr>
        <w:t>The United Kingdom passed the Corporate Insolvency and Governance Act 2020</w:t>
      </w:r>
      <w:r w:rsidR="00154F62">
        <w:rPr>
          <w:rFonts w:ascii="Arial" w:hAnsi="Arial" w:cs="Arial"/>
          <w:sz w:val="22"/>
          <w:szCs w:val="22"/>
          <w:lang w:val="en-GB"/>
        </w:rPr>
        <w:t xml:space="preserve"> (“</w:t>
      </w:r>
      <w:r w:rsidR="00154F62" w:rsidRPr="00154F62">
        <w:rPr>
          <w:rFonts w:ascii="Arial" w:hAnsi="Arial" w:cs="Arial"/>
          <w:b/>
          <w:sz w:val="22"/>
          <w:szCs w:val="22"/>
          <w:lang w:val="en-GB"/>
        </w:rPr>
        <w:t>CIGA</w:t>
      </w:r>
      <w:r w:rsidR="00154F62">
        <w:rPr>
          <w:rFonts w:ascii="Arial" w:hAnsi="Arial" w:cs="Arial"/>
          <w:sz w:val="22"/>
          <w:szCs w:val="22"/>
          <w:lang w:val="en-GB"/>
        </w:rPr>
        <w:t>”),</w:t>
      </w:r>
      <w:r>
        <w:rPr>
          <w:rFonts w:ascii="Arial" w:hAnsi="Arial" w:cs="Arial"/>
          <w:sz w:val="22"/>
          <w:szCs w:val="22"/>
          <w:lang w:val="en-GB"/>
        </w:rPr>
        <w:t xml:space="preserve"> which introduced new restructuring </w:t>
      </w:r>
      <w:r w:rsidR="007B4389">
        <w:rPr>
          <w:rFonts w:ascii="Arial" w:hAnsi="Arial" w:cs="Arial"/>
          <w:sz w:val="22"/>
          <w:szCs w:val="22"/>
          <w:lang w:val="en-GB"/>
        </w:rPr>
        <w:t>methods, relaxed wrongful trading liability and suspended winding-up petitions and statutory demands.</w:t>
      </w:r>
      <w:r w:rsidR="007B4389">
        <w:rPr>
          <w:rStyle w:val="FootnoteReference"/>
          <w:rFonts w:ascii="Arial" w:hAnsi="Arial" w:cs="Arial"/>
          <w:sz w:val="22"/>
          <w:szCs w:val="22"/>
          <w:lang w:val="en-GB"/>
        </w:rPr>
        <w:footnoteReference w:id="4"/>
      </w:r>
    </w:p>
    <w:p w14:paraId="5F711D8B" w14:textId="77777777" w:rsidR="007B4389" w:rsidRDefault="007B4389" w:rsidP="007B4389">
      <w:pPr>
        <w:jc w:val="both"/>
        <w:rPr>
          <w:rFonts w:ascii="Arial" w:hAnsi="Arial" w:cs="Arial"/>
          <w:sz w:val="22"/>
          <w:szCs w:val="22"/>
          <w:lang w:val="en-GB"/>
        </w:rPr>
      </w:pPr>
    </w:p>
    <w:p w14:paraId="11873491" w14:textId="1BFC3FF5" w:rsidR="007B4389" w:rsidRDefault="00154F62" w:rsidP="007B4389">
      <w:pPr>
        <w:jc w:val="both"/>
        <w:rPr>
          <w:rFonts w:ascii="Arial" w:hAnsi="Arial" w:cs="Arial"/>
          <w:sz w:val="22"/>
          <w:szCs w:val="22"/>
          <w:lang w:val="en-GB"/>
        </w:rPr>
      </w:pPr>
      <w:r>
        <w:rPr>
          <w:rFonts w:ascii="Arial" w:hAnsi="Arial" w:cs="Arial"/>
          <w:sz w:val="22"/>
          <w:szCs w:val="22"/>
          <w:lang w:val="en-GB"/>
        </w:rPr>
        <w:t>CIGA has two measures, permanent to update the UK’s insolvency regime and temporary, to assist businesses through the pandemic.</w:t>
      </w:r>
      <w:r w:rsidR="00B639D2">
        <w:rPr>
          <w:rFonts w:ascii="Arial" w:hAnsi="Arial" w:cs="Arial"/>
          <w:sz w:val="22"/>
          <w:szCs w:val="22"/>
          <w:lang w:val="en-GB"/>
        </w:rPr>
        <w:t xml:space="preserve"> With almost all provisions having commenced on 26 June 2020 and some temporary measures having retrospective effect to 1 March 2020.</w:t>
      </w:r>
      <w:r w:rsidR="00553E37">
        <w:rPr>
          <w:rStyle w:val="FootnoteReference"/>
          <w:rFonts w:ascii="Arial" w:hAnsi="Arial" w:cs="Arial"/>
          <w:sz w:val="22"/>
          <w:szCs w:val="22"/>
          <w:lang w:val="en-GB"/>
        </w:rPr>
        <w:footnoteReference w:id="5"/>
      </w:r>
      <w:r>
        <w:rPr>
          <w:rFonts w:ascii="Arial" w:hAnsi="Arial" w:cs="Arial"/>
          <w:sz w:val="22"/>
          <w:szCs w:val="22"/>
          <w:lang w:val="en-GB"/>
        </w:rPr>
        <w:t xml:space="preserve"> </w:t>
      </w:r>
    </w:p>
    <w:p w14:paraId="7B7243C2" w14:textId="77777777" w:rsidR="007A5396" w:rsidRDefault="007A5396" w:rsidP="007B4389">
      <w:pPr>
        <w:jc w:val="both"/>
        <w:rPr>
          <w:rFonts w:ascii="Arial" w:hAnsi="Arial" w:cs="Arial"/>
          <w:sz w:val="22"/>
          <w:szCs w:val="22"/>
          <w:lang w:val="en-GB"/>
        </w:rPr>
      </w:pPr>
    </w:p>
    <w:p w14:paraId="699E5419" w14:textId="26507A7E" w:rsidR="007A5396" w:rsidRPr="00205B31" w:rsidRDefault="007A5396" w:rsidP="007B4389">
      <w:pPr>
        <w:jc w:val="both"/>
        <w:rPr>
          <w:rFonts w:ascii="Arial" w:hAnsi="Arial" w:cs="Arial"/>
          <w:sz w:val="22"/>
          <w:szCs w:val="22"/>
          <w:lang w:val="en-GB"/>
        </w:rPr>
      </w:pPr>
      <w:r>
        <w:rPr>
          <w:rFonts w:ascii="Arial" w:hAnsi="Arial" w:cs="Arial"/>
          <w:sz w:val="22"/>
          <w:szCs w:val="22"/>
          <w:lang w:val="en-GB"/>
        </w:rPr>
        <w:t xml:space="preserve">The CIGA’s permanent measures marks a change towards a business rescue culture, similar to that of the US’s Chapter 11 insolvency regime. CIGA’s temporary measures include a suspension on serving a statutory demand over the “relevant period”  (between 1 March 2020 and 30 September 2021), restrictions on winding up petitions due to unpaid </w:t>
      </w:r>
      <w:r>
        <w:rPr>
          <w:rFonts w:ascii="Arial" w:hAnsi="Arial" w:cs="Arial"/>
          <w:sz w:val="22"/>
          <w:szCs w:val="22"/>
          <w:lang w:val="en-GB"/>
        </w:rPr>
        <w:lastRenderedPageBreak/>
        <w:t>debt due to COVID 19 during the relevant period, which expired on 30 September 2021, however a modified version continues to operate until 31 March 2022, suspension of wrongful trading rules which was extended and expired on 30 June 2021.</w:t>
      </w:r>
      <w:r w:rsidR="004B5A0B">
        <w:rPr>
          <w:rFonts w:ascii="Arial" w:hAnsi="Arial" w:cs="Arial"/>
          <w:sz w:val="22"/>
          <w:szCs w:val="22"/>
          <w:lang w:val="en-GB"/>
        </w:rPr>
        <w:t xml:space="preserve"> Temporary governance measures allowed by CIGA include temporarily allowing flexibility for companies to hold their AGMs in a safe and practical matter such as virtual meetings, and temporarily extended filing deadlines.</w:t>
      </w:r>
      <w:r>
        <w:rPr>
          <w:rStyle w:val="FootnoteReference"/>
          <w:rFonts w:ascii="Arial" w:hAnsi="Arial" w:cs="Arial"/>
          <w:sz w:val="22"/>
          <w:szCs w:val="22"/>
          <w:lang w:val="en-GB"/>
        </w:rPr>
        <w:footnoteReference w:id="6"/>
      </w: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1705E90E" w:rsidR="00C72848" w:rsidRPr="00205B31" w:rsidRDefault="00C72848" w:rsidP="00B7193E">
      <w:pPr>
        <w:ind w:left="720" w:hanging="720"/>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572227E7" w14:textId="17C74335" w:rsidR="0045683E" w:rsidRDefault="0074514A" w:rsidP="00B7193E">
      <w:pPr>
        <w:jc w:val="both"/>
        <w:rPr>
          <w:rFonts w:ascii="Arial" w:hAnsi="Arial" w:cs="Arial"/>
          <w:sz w:val="22"/>
          <w:szCs w:val="22"/>
          <w:lang w:val="en-GB"/>
        </w:rPr>
      </w:pPr>
      <w:r w:rsidRPr="0074514A">
        <w:rPr>
          <w:rFonts w:ascii="Arial" w:hAnsi="Arial" w:cs="Arial"/>
          <w:sz w:val="22"/>
          <w:szCs w:val="22"/>
          <w:lang w:val="en-GB"/>
        </w:rPr>
        <w:t xml:space="preserve">Treaties </w:t>
      </w:r>
      <w:r>
        <w:rPr>
          <w:rFonts w:ascii="Arial" w:hAnsi="Arial" w:cs="Arial"/>
          <w:sz w:val="22"/>
          <w:szCs w:val="22"/>
          <w:lang w:val="en-GB"/>
        </w:rPr>
        <w:t xml:space="preserve">and conventions </w:t>
      </w:r>
      <w:r w:rsidRPr="0074514A">
        <w:rPr>
          <w:rFonts w:ascii="Arial" w:hAnsi="Arial" w:cs="Arial"/>
          <w:sz w:val="22"/>
          <w:szCs w:val="22"/>
          <w:lang w:val="en-GB"/>
        </w:rPr>
        <w:t xml:space="preserve">are </w:t>
      </w:r>
      <w:r>
        <w:rPr>
          <w:rFonts w:ascii="Arial" w:hAnsi="Arial" w:cs="Arial"/>
          <w:sz w:val="22"/>
          <w:szCs w:val="22"/>
          <w:lang w:val="en-GB"/>
        </w:rPr>
        <w:t>public international instruments to which signatory states bind themselves and affect their domestic laws accordingly forming part of the State’s “hard law”, which is enforceable in the State’s local court.</w:t>
      </w:r>
    </w:p>
    <w:p w14:paraId="17F11BE1" w14:textId="77777777" w:rsidR="0074514A" w:rsidRDefault="0074514A" w:rsidP="00B7193E">
      <w:pPr>
        <w:jc w:val="both"/>
        <w:rPr>
          <w:rFonts w:ascii="Arial" w:hAnsi="Arial" w:cs="Arial"/>
          <w:sz w:val="22"/>
          <w:szCs w:val="22"/>
          <w:lang w:val="en-GB"/>
        </w:rPr>
      </w:pPr>
    </w:p>
    <w:p w14:paraId="21D21E84" w14:textId="77777777" w:rsidR="001A3B92" w:rsidRDefault="00532AD9" w:rsidP="00B7193E">
      <w:pPr>
        <w:jc w:val="both"/>
        <w:rPr>
          <w:rFonts w:ascii="Arial" w:hAnsi="Arial" w:cs="Arial"/>
          <w:sz w:val="22"/>
          <w:szCs w:val="22"/>
          <w:lang w:val="en-GB"/>
        </w:rPr>
      </w:pPr>
      <w:r>
        <w:rPr>
          <w:rFonts w:ascii="Arial" w:hAnsi="Arial" w:cs="Arial"/>
          <w:sz w:val="22"/>
          <w:szCs w:val="22"/>
          <w:lang w:val="en-GB"/>
        </w:rPr>
        <w:t>“Soft law”, separate to States or governments working on treaties or conventions, usually takes the form of model law to which states can adopt with or without modification. The most successful “soft law” is the United Nations Commission on International Trade Law (UNCITRAL) and the UNCITRAL Legislative Guide on Insolvency Law (2004)</w:t>
      </w:r>
      <w:r>
        <w:rPr>
          <w:rStyle w:val="FootnoteReference"/>
          <w:rFonts w:ascii="Arial" w:hAnsi="Arial" w:cs="Arial"/>
          <w:sz w:val="22"/>
          <w:szCs w:val="22"/>
          <w:lang w:val="en-GB"/>
        </w:rPr>
        <w:footnoteReference w:id="7"/>
      </w:r>
      <w:r>
        <w:rPr>
          <w:rFonts w:ascii="Arial" w:hAnsi="Arial" w:cs="Arial"/>
          <w:sz w:val="22"/>
          <w:szCs w:val="22"/>
          <w:lang w:val="en-GB"/>
        </w:rPr>
        <w:t>. An example of a state adopting UNCITRAL Model Law on Cross-border Insolvency is Australia through its Cross-border Insolvency Act 2008 (Cth).</w:t>
      </w:r>
      <w:r>
        <w:rPr>
          <w:rStyle w:val="FootnoteReference"/>
          <w:rFonts w:ascii="Arial" w:hAnsi="Arial" w:cs="Arial"/>
          <w:sz w:val="22"/>
          <w:szCs w:val="22"/>
          <w:lang w:val="en-GB"/>
        </w:rPr>
        <w:footnoteReference w:id="8"/>
      </w:r>
      <w:r w:rsidR="00EA6CF1">
        <w:rPr>
          <w:rFonts w:ascii="Arial" w:hAnsi="Arial" w:cs="Arial"/>
          <w:sz w:val="22"/>
          <w:szCs w:val="22"/>
          <w:lang w:val="en-GB"/>
        </w:rPr>
        <w:t xml:space="preserve"> </w:t>
      </w:r>
    </w:p>
    <w:p w14:paraId="5C5EFBB0" w14:textId="77777777" w:rsidR="001A3B92" w:rsidRDefault="001A3B92" w:rsidP="00B7193E">
      <w:pPr>
        <w:jc w:val="both"/>
        <w:rPr>
          <w:rFonts w:ascii="Arial" w:hAnsi="Arial" w:cs="Arial"/>
          <w:sz w:val="22"/>
          <w:szCs w:val="22"/>
          <w:lang w:val="en-GB"/>
        </w:rPr>
      </w:pPr>
    </w:p>
    <w:p w14:paraId="526A1222" w14:textId="14E97CA1" w:rsidR="0074514A" w:rsidRPr="0074514A" w:rsidRDefault="00EA6CF1" w:rsidP="00B7193E">
      <w:pPr>
        <w:jc w:val="both"/>
        <w:rPr>
          <w:rFonts w:ascii="Arial" w:hAnsi="Arial" w:cs="Arial"/>
          <w:sz w:val="22"/>
          <w:szCs w:val="22"/>
          <w:lang w:val="en-GB"/>
        </w:rPr>
      </w:pPr>
      <w:r>
        <w:rPr>
          <w:rFonts w:ascii="Arial" w:hAnsi="Arial" w:cs="Arial"/>
          <w:sz w:val="22"/>
          <w:szCs w:val="22"/>
          <w:lang w:val="en-GB"/>
        </w:rPr>
        <w:t>“Soft law” is not binding on States but it does work to contribute to international deliberations, an example of such is the Hague Conference on Private International Law established in the 19</w:t>
      </w:r>
      <w:r w:rsidRPr="00EA6CF1">
        <w:rPr>
          <w:rFonts w:ascii="Arial" w:hAnsi="Arial" w:cs="Arial"/>
          <w:sz w:val="22"/>
          <w:szCs w:val="22"/>
          <w:vertAlign w:val="superscript"/>
          <w:lang w:val="en-GB"/>
        </w:rPr>
        <w:t>th</w:t>
      </w:r>
      <w:r>
        <w:rPr>
          <w:rFonts w:ascii="Arial" w:hAnsi="Arial" w:cs="Arial"/>
          <w:sz w:val="22"/>
          <w:szCs w:val="22"/>
          <w:lang w:val="en-GB"/>
        </w:rPr>
        <w:t xml:space="preserve"> century with an aim to achieve progressive unification of private international law.</w:t>
      </w:r>
      <w:r>
        <w:rPr>
          <w:rStyle w:val="FootnoteReference"/>
          <w:rFonts w:ascii="Arial" w:hAnsi="Arial" w:cs="Arial"/>
          <w:sz w:val="22"/>
          <w:szCs w:val="22"/>
          <w:lang w:val="en-GB"/>
        </w:rPr>
        <w:footnoteReference w:id="9"/>
      </w: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544D5306" w:rsidR="00544127"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4A637290" w14:textId="6848267D" w:rsidR="00544127" w:rsidRDefault="00E16CBB" w:rsidP="00E16CBB">
      <w:pPr>
        <w:jc w:val="both"/>
        <w:rPr>
          <w:rFonts w:ascii="Arial" w:hAnsi="Arial" w:cs="Arial"/>
          <w:sz w:val="22"/>
          <w:szCs w:val="22"/>
          <w:lang w:val="en-GB"/>
        </w:rPr>
      </w:pPr>
      <w:r>
        <w:rPr>
          <w:rFonts w:ascii="Arial" w:hAnsi="Arial" w:cs="Arial"/>
          <w:sz w:val="22"/>
          <w:szCs w:val="22"/>
          <w:lang w:val="en-GB"/>
        </w:rPr>
        <w:t>It is important to find the main sources of law that apply to the insolvency laws of a particular state when analysing the laws of such state.</w:t>
      </w:r>
      <w:r w:rsidR="00615B94">
        <w:rPr>
          <w:rFonts w:ascii="Arial" w:hAnsi="Arial" w:cs="Arial"/>
          <w:sz w:val="22"/>
          <w:szCs w:val="22"/>
          <w:lang w:val="en-GB"/>
        </w:rPr>
        <w:t xml:space="preserve"> The main source of a state’s insolvency law is usually found in legislation, however some states have not developed their legislation in insolvency and may still rely on common law to fill in any gaps in their domestic insolvency legislation.</w:t>
      </w:r>
    </w:p>
    <w:p w14:paraId="78841C8A" w14:textId="77777777" w:rsidR="00615B94" w:rsidRDefault="00615B94" w:rsidP="00E16CBB">
      <w:pPr>
        <w:jc w:val="both"/>
        <w:rPr>
          <w:rFonts w:ascii="Arial" w:hAnsi="Arial" w:cs="Arial"/>
          <w:sz w:val="22"/>
          <w:szCs w:val="22"/>
          <w:lang w:val="en-GB"/>
        </w:rPr>
      </w:pPr>
    </w:p>
    <w:p w14:paraId="761D9774" w14:textId="24C0DDA8" w:rsidR="00615B94" w:rsidRDefault="00615B94" w:rsidP="00E16CBB">
      <w:pPr>
        <w:jc w:val="both"/>
        <w:rPr>
          <w:rFonts w:ascii="Arial" w:hAnsi="Arial" w:cs="Arial"/>
          <w:sz w:val="22"/>
          <w:szCs w:val="22"/>
          <w:lang w:val="en-GB"/>
        </w:rPr>
      </w:pPr>
      <w:r>
        <w:rPr>
          <w:rFonts w:ascii="Arial" w:hAnsi="Arial" w:cs="Arial"/>
          <w:sz w:val="22"/>
          <w:szCs w:val="22"/>
          <w:lang w:val="en-GB"/>
        </w:rPr>
        <w:t>Some states could have a single unified piece of bankruptcy legislation covering all aspects of bankruptcy, such as in the United States through the Bankruptcy Code 1978, whilst other states may have a multiplicity of legislation that needs to be studies in conjunction with each other, such as separate insolvency legislation for individuals and for corporations.</w:t>
      </w:r>
      <w:r w:rsidR="00DC47C3">
        <w:rPr>
          <w:rStyle w:val="FootnoteReference"/>
          <w:rFonts w:ascii="Arial" w:hAnsi="Arial" w:cs="Arial"/>
          <w:sz w:val="22"/>
          <w:szCs w:val="22"/>
          <w:lang w:val="en-GB"/>
        </w:rPr>
        <w:footnoteReference w:id="10"/>
      </w:r>
      <w:r>
        <w:rPr>
          <w:rFonts w:ascii="Arial" w:hAnsi="Arial" w:cs="Arial"/>
          <w:sz w:val="22"/>
          <w:szCs w:val="22"/>
          <w:lang w:val="en-GB"/>
        </w:rPr>
        <w:t xml:space="preserve"> </w:t>
      </w:r>
    </w:p>
    <w:p w14:paraId="3598B2CC" w14:textId="77777777" w:rsidR="00615B94" w:rsidRDefault="00615B94" w:rsidP="00E16CBB">
      <w:pPr>
        <w:jc w:val="both"/>
        <w:rPr>
          <w:rFonts w:ascii="Arial" w:hAnsi="Arial" w:cs="Arial"/>
          <w:sz w:val="22"/>
          <w:szCs w:val="22"/>
          <w:lang w:val="en-GB"/>
        </w:rPr>
      </w:pPr>
    </w:p>
    <w:p w14:paraId="0678075F" w14:textId="517CE91C" w:rsidR="00615B94" w:rsidRPr="00205B31" w:rsidRDefault="00615B94" w:rsidP="00E16CBB">
      <w:pPr>
        <w:jc w:val="both"/>
        <w:rPr>
          <w:rFonts w:ascii="Arial" w:hAnsi="Arial" w:cs="Arial"/>
          <w:sz w:val="22"/>
          <w:szCs w:val="22"/>
          <w:lang w:val="en-GB"/>
        </w:rPr>
      </w:pPr>
      <w:r>
        <w:rPr>
          <w:rFonts w:ascii="Arial" w:hAnsi="Arial" w:cs="Arial"/>
          <w:sz w:val="22"/>
          <w:szCs w:val="22"/>
          <w:lang w:val="en-GB"/>
        </w:rPr>
        <w:t xml:space="preserve">Further to multiplicity of legislation would be the state’s general law that impacts its insolvency legislation (if any), such as legislation regarding securities, rights of ownership, </w:t>
      </w:r>
      <w:r w:rsidR="00DC47C3">
        <w:rPr>
          <w:rFonts w:ascii="Arial" w:hAnsi="Arial" w:cs="Arial"/>
          <w:sz w:val="22"/>
          <w:szCs w:val="22"/>
          <w:lang w:val="en-GB"/>
        </w:rPr>
        <w:lastRenderedPageBreak/>
        <w:t xml:space="preserve">domestic policy such as employee entitlements or tax liability, which may not be found directly in a state’s insolvency legislation. Case law of a state would also </w:t>
      </w:r>
      <w:proofErr w:type="gramStart"/>
      <w:r w:rsidR="00DC47C3">
        <w:rPr>
          <w:rFonts w:ascii="Arial" w:hAnsi="Arial" w:cs="Arial"/>
          <w:sz w:val="22"/>
          <w:szCs w:val="22"/>
          <w:lang w:val="en-GB"/>
        </w:rPr>
        <w:t>need</w:t>
      </w:r>
      <w:r w:rsidR="001D6D38">
        <w:rPr>
          <w:rFonts w:ascii="Arial" w:hAnsi="Arial" w:cs="Arial"/>
          <w:sz w:val="22"/>
          <w:szCs w:val="22"/>
          <w:lang w:val="en-GB"/>
        </w:rPr>
        <w:t>s</w:t>
      </w:r>
      <w:proofErr w:type="gramEnd"/>
      <w:r w:rsidR="00DC47C3">
        <w:rPr>
          <w:rFonts w:ascii="Arial" w:hAnsi="Arial" w:cs="Arial"/>
          <w:sz w:val="22"/>
          <w:szCs w:val="22"/>
          <w:lang w:val="en-GB"/>
        </w:rPr>
        <w:t xml:space="preserve"> to be considered</w:t>
      </w:r>
      <w:r w:rsidR="001D6D38">
        <w:rPr>
          <w:rFonts w:ascii="Arial" w:hAnsi="Arial" w:cs="Arial"/>
          <w:sz w:val="22"/>
          <w:szCs w:val="22"/>
          <w:lang w:val="en-GB"/>
        </w:rPr>
        <w:t xml:space="preserve"> where there may not be clarity in its legislation.</w:t>
      </w: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xml:space="preserve">/ issues </w:t>
      </w:r>
      <w:proofErr w:type="gramStart"/>
      <w:r w:rsidR="001131C6" w:rsidRPr="00205B31">
        <w:rPr>
          <w:rFonts w:ascii="Arial" w:hAnsi="Arial" w:cs="Arial"/>
          <w:sz w:val="22"/>
          <w:szCs w:val="22"/>
          <w:lang w:val="en-GB"/>
        </w:rPr>
        <w:t>raised</w:t>
      </w:r>
      <w:proofErr w:type="gramEnd"/>
      <w:r w:rsidR="001131C6" w:rsidRPr="00205B31">
        <w:rPr>
          <w:rFonts w:ascii="Arial" w:hAnsi="Arial" w:cs="Arial"/>
          <w:sz w:val="22"/>
          <w:szCs w:val="22"/>
          <w:lang w:val="en-GB"/>
        </w:rPr>
        <w:t xml:space="preserve">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3576F987" w:rsidR="00DF75F8"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4135BFDA" w14:textId="0775E0CE" w:rsidR="00275182" w:rsidRPr="00205B31" w:rsidRDefault="00561BEA" w:rsidP="00275182">
      <w:pPr>
        <w:widowControl w:val="0"/>
        <w:ind w:left="720" w:hanging="720"/>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The Three pertinent questions / issues raised by Fletcher include:</w:t>
      </w:r>
    </w:p>
    <w:p w14:paraId="3926A6DE" w14:textId="77777777" w:rsidR="00561BEA" w:rsidRPr="00595B17" w:rsidRDefault="00561BEA" w:rsidP="00561BEA">
      <w:pPr>
        <w:pStyle w:val="ListParagraph"/>
        <w:numPr>
          <w:ilvl w:val="0"/>
          <w:numId w:val="17"/>
        </w:numPr>
        <w:autoSpaceDE w:val="0"/>
        <w:autoSpaceDN w:val="0"/>
        <w:adjustRightInd w:val="0"/>
        <w:spacing w:line="276" w:lineRule="auto"/>
        <w:jc w:val="both"/>
        <w:rPr>
          <w:rFonts w:ascii="Arial" w:hAnsi="Arial" w:cs="Arial"/>
          <w:sz w:val="22"/>
          <w:szCs w:val="22"/>
          <w:lang w:val="en-GB"/>
        </w:rPr>
      </w:pPr>
      <w:r w:rsidRPr="00595B17">
        <w:rPr>
          <w:rFonts w:ascii="Arial" w:hAnsi="Arial" w:cs="Arial"/>
          <w:sz w:val="22"/>
          <w:szCs w:val="22"/>
          <w:lang w:val="en-GB"/>
        </w:rPr>
        <w:t>The choice of forum to exercise jurisdiction in the matter</w:t>
      </w:r>
      <w:r>
        <w:rPr>
          <w:rFonts w:ascii="Arial" w:hAnsi="Arial" w:cs="Arial"/>
          <w:sz w:val="22"/>
          <w:szCs w:val="22"/>
          <w:lang w:val="en-GB"/>
        </w:rPr>
        <w:t>;</w:t>
      </w:r>
    </w:p>
    <w:p w14:paraId="1ADC63A6" w14:textId="77777777" w:rsidR="00561BEA" w:rsidRDefault="00561BEA" w:rsidP="00561BEA">
      <w:pPr>
        <w:pStyle w:val="ListParagraph"/>
        <w:numPr>
          <w:ilvl w:val="0"/>
          <w:numId w:val="17"/>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The recognition and effect accorded foreign proceedings in the same matter; and</w:t>
      </w:r>
    </w:p>
    <w:p w14:paraId="13E79858" w14:textId="77777777" w:rsidR="00561BEA" w:rsidRDefault="00561BEA" w:rsidP="00561BEA">
      <w:pPr>
        <w:pStyle w:val="ListParagraph"/>
        <w:numPr>
          <w:ilvl w:val="0"/>
          <w:numId w:val="17"/>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The choice of law to apply to the matter.</w:t>
      </w:r>
      <w:r>
        <w:rPr>
          <w:rStyle w:val="FootnoteReference"/>
          <w:rFonts w:ascii="Arial" w:hAnsi="Arial" w:cs="Arial"/>
          <w:sz w:val="22"/>
          <w:szCs w:val="22"/>
          <w:lang w:val="en-GB"/>
        </w:rPr>
        <w:footnoteReference w:id="11"/>
      </w:r>
    </w:p>
    <w:p w14:paraId="53170A1D" w14:textId="77777777" w:rsidR="00561BEA" w:rsidRDefault="00561BEA" w:rsidP="00561BEA">
      <w:pPr>
        <w:autoSpaceDE w:val="0"/>
        <w:autoSpaceDN w:val="0"/>
        <w:adjustRightInd w:val="0"/>
        <w:spacing w:line="276" w:lineRule="auto"/>
        <w:jc w:val="both"/>
        <w:rPr>
          <w:rFonts w:ascii="Arial" w:hAnsi="Arial" w:cs="Arial"/>
          <w:sz w:val="22"/>
          <w:szCs w:val="22"/>
          <w:lang w:val="en-GB"/>
        </w:rPr>
      </w:pPr>
    </w:p>
    <w:p w14:paraId="00F8459E" w14:textId="4CFFEE5D" w:rsidR="00561BEA" w:rsidRDefault="00C54768" w:rsidP="00561BEA">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Choice of forum to exercise jurisdiction is the local court’s determination as to whether it can and will hear and determine the matter, this is done by examination of the connection with the jurisdicti</w:t>
      </w:r>
      <w:r w:rsidR="00E02ECA">
        <w:rPr>
          <w:rFonts w:ascii="Arial" w:hAnsi="Arial" w:cs="Arial"/>
          <w:sz w:val="22"/>
          <w:szCs w:val="22"/>
          <w:lang w:val="en-GB"/>
        </w:rPr>
        <w:t>on of the parties or</w:t>
      </w:r>
      <w:r>
        <w:rPr>
          <w:rFonts w:ascii="Arial" w:hAnsi="Arial" w:cs="Arial"/>
          <w:sz w:val="22"/>
          <w:szCs w:val="22"/>
          <w:lang w:val="en-GB"/>
        </w:rPr>
        <w:t xml:space="preserve"> dis</w:t>
      </w:r>
      <w:r w:rsidR="00E02ECA">
        <w:rPr>
          <w:rFonts w:ascii="Arial" w:hAnsi="Arial" w:cs="Arial"/>
          <w:sz w:val="22"/>
          <w:szCs w:val="22"/>
          <w:lang w:val="en-GB"/>
        </w:rPr>
        <w:t>pute. Typically a court will consider this in respect of a commencement order, which may result in a company’s liquidation as opposed to a restructure or reorganisation.</w:t>
      </w:r>
      <w:r w:rsidR="00E02ECA">
        <w:rPr>
          <w:rStyle w:val="FootnoteReference"/>
          <w:rFonts w:ascii="Arial" w:hAnsi="Arial" w:cs="Arial"/>
          <w:sz w:val="22"/>
          <w:szCs w:val="22"/>
          <w:lang w:val="en-GB"/>
        </w:rPr>
        <w:footnoteReference w:id="12"/>
      </w:r>
    </w:p>
    <w:p w14:paraId="1168453F" w14:textId="77777777" w:rsidR="00E02ECA" w:rsidRDefault="00E02ECA" w:rsidP="00561BEA">
      <w:pPr>
        <w:autoSpaceDE w:val="0"/>
        <w:autoSpaceDN w:val="0"/>
        <w:adjustRightInd w:val="0"/>
        <w:spacing w:line="276" w:lineRule="auto"/>
        <w:jc w:val="both"/>
        <w:rPr>
          <w:rFonts w:ascii="Arial" w:hAnsi="Arial" w:cs="Arial"/>
          <w:sz w:val="22"/>
          <w:szCs w:val="22"/>
          <w:lang w:val="en-GB"/>
        </w:rPr>
      </w:pPr>
    </w:p>
    <w:p w14:paraId="68354518" w14:textId="2EE9D1BE" w:rsidR="00E02ECA" w:rsidRDefault="00271E4D" w:rsidP="00561BEA">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Recognition refers to whether the local court will recognise a foreign judgment and give effect or enforce the foreign judgment. This </w:t>
      </w:r>
      <w:r w:rsidR="00C31091">
        <w:rPr>
          <w:rFonts w:ascii="Arial" w:hAnsi="Arial" w:cs="Arial"/>
          <w:sz w:val="22"/>
          <w:szCs w:val="22"/>
          <w:lang w:val="en-GB"/>
        </w:rPr>
        <w:t xml:space="preserve">may vary according to the contents of the foreign judgment, such as whether it has to do with </w:t>
      </w:r>
      <w:proofErr w:type="gramStart"/>
      <w:r w:rsidR="00C31091">
        <w:rPr>
          <w:rFonts w:ascii="Arial" w:hAnsi="Arial" w:cs="Arial"/>
          <w:sz w:val="22"/>
          <w:szCs w:val="22"/>
          <w:lang w:val="en-GB"/>
        </w:rPr>
        <w:t>a recognition</w:t>
      </w:r>
      <w:proofErr w:type="gramEnd"/>
      <w:r w:rsidR="00C31091">
        <w:rPr>
          <w:rFonts w:ascii="Arial" w:hAnsi="Arial" w:cs="Arial"/>
          <w:sz w:val="22"/>
          <w:szCs w:val="22"/>
          <w:lang w:val="en-GB"/>
        </w:rPr>
        <w:t xml:space="preserve"> of a winding-up order or a claim for enforcement for a foreign creditor.</w:t>
      </w:r>
    </w:p>
    <w:p w14:paraId="69CB14CC" w14:textId="77777777" w:rsidR="00C31091" w:rsidRDefault="00C31091" w:rsidP="00561BEA">
      <w:pPr>
        <w:autoSpaceDE w:val="0"/>
        <w:autoSpaceDN w:val="0"/>
        <w:adjustRightInd w:val="0"/>
        <w:spacing w:line="276" w:lineRule="auto"/>
        <w:jc w:val="both"/>
        <w:rPr>
          <w:rFonts w:ascii="Arial" w:hAnsi="Arial" w:cs="Arial"/>
          <w:sz w:val="22"/>
          <w:szCs w:val="22"/>
          <w:lang w:val="en-GB"/>
        </w:rPr>
      </w:pPr>
    </w:p>
    <w:p w14:paraId="5B20349F" w14:textId="417204CF" w:rsidR="00C31091" w:rsidRPr="00561BEA" w:rsidRDefault="00C31091" w:rsidP="00561BEA">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Choice of law, this is a decision of the local court as to whether it will apply its domestic law to the judgment (if recognised and determined that it will exercise jurisdiction) or the foreign law of the country of the judgment. In common law systems, generally the question of choice of law only arises if the parties invoice them, otherwise the law of the court will apply. In civil systems foreign law is a question of fact to be applied whether pleaded or not.</w:t>
      </w:r>
      <w:r>
        <w:rPr>
          <w:rStyle w:val="FootnoteReference"/>
          <w:rFonts w:ascii="Arial" w:hAnsi="Arial" w:cs="Arial"/>
          <w:sz w:val="22"/>
          <w:szCs w:val="22"/>
          <w:lang w:val="en-GB"/>
        </w:rPr>
        <w:footnoteReference w:id="13"/>
      </w: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w:t>
      </w:r>
      <w:proofErr w:type="gramStart"/>
      <w:r w:rsidR="001131C6" w:rsidRPr="00205B31">
        <w:t>said that</w:t>
      </w:r>
      <w:proofErr w:type="gramEnd"/>
      <w:r w:rsidR="001131C6" w:rsidRPr="00205B31">
        <w:t xml:space="preserve">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w:t>
      </w:r>
      <w:proofErr w:type="gramStart"/>
      <w:r w:rsidRPr="00205B31">
        <w:rPr>
          <w:rFonts w:ascii="Arial" w:hAnsi="Arial" w:cs="Arial"/>
          <w:sz w:val="22"/>
          <w:szCs w:val="22"/>
          <w:lang w:val="en-GB"/>
        </w:rPr>
        <w:t>said that</w:t>
      </w:r>
      <w:proofErr w:type="gramEnd"/>
      <w:r w:rsidRPr="00205B31">
        <w:rPr>
          <w:rFonts w:ascii="Arial" w:hAnsi="Arial" w:cs="Arial"/>
          <w:sz w:val="22"/>
          <w:szCs w:val="22"/>
          <w:lang w:val="en-GB"/>
        </w:rPr>
        <w:t xml:space="preserve">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lastRenderedPageBreak/>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6A7200EE" w:rsidR="00DF75F8"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61F25AC5" w14:textId="77777777" w:rsidR="00A23CC4" w:rsidRDefault="00DC280E" w:rsidP="00DC280E">
      <w:pPr>
        <w:jc w:val="both"/>
        <w:rPr>
          <w:rFonts w:ascii="Arial" w:hAnsi="Arial" w:cs="Arial"/>
          <w:sz w:val="22"/>
          <w:szCs w:val="22"/>
          <w:lang w:val="en-GB"/>
        </w:rPr>
      </w:pPr>
      <w:r>
        <w:rPr>
          <w:rFonts w:ascii="Arial" w:hAnsi="Arial" w:cs="Arial"/>
          <w:sz w:val="22"/>
          <w:szCs w:val="22"/>
          <w:lang w:val="en-GB"/>
        </w:rPr>
        <w:t xml:space="preserve">The case of </w:t>
      </w:r>
      <w:r w:rsidRPr="00DC280E">
        <w:rPr>
          <w:rFonts w:ascii="Arial" w:hAnsi="Arial" w:cs="Arial"/>
          <w:i/>
          <w:sz w:val="22"/>
          <w:szCs w:val="22"/>
          <w:lang w:val="en-GB"/>
        </w:rPr>
        <w:t xml:space="preserve">Maxwell Communications Corporation </w:t>
      </w:r>
      <w:proofErr w:type="spellStart"/>
      <w:r w:rsidRPr="00DC280E">
        <w:rPr>
          <w:rFonts w:ascii="Arial" w:hAnsi="Arial" w:cs="Arial"/>
          <w:i/>
          <w:sz w:val="22"/>
          <w:szCs w:val="22"/>
          <w:lang w:val="en-GB"/>
        </w:rPr>
        <w:t>plc</w:t>
      </w:r>
      <w:proofErr w:type="spellEnd"/>
      <w:r>
        <w:rPr>
          <w:rFonts w:ascii="Arial" w:hAnsi="Arial" w:cs="Arial"/>
          <w:sz w:val="22"/>
          <w:szCs w:val="22"/>
          <w:lang w:val="en-GB"/>
        </w:rPr>
        <w:t xml:space="preserve"> is the 1991 case in question. This case involved the cross-border insolvency of British media magnet Robert Maxwell whose insolvency concerned concurrent insolvency proceedings both the United </w:t>
      </w:r>
      <w:r w:rsidR="00A23CC4">
        <w:rPr>
          <w:rFonts w:ascii="Arial" w:hAnsi="Arial" w:cs="Arial"/>
          <w:sz w:val="22"/>
          <w:szCs w:val="22"/>
          <w:lang w:val="en-GB"/>
        </w:rPr>
        <w:t>States (Chapter 11 proceedings)</w:t>
      </w:r>
      <w:r>
        <w:rPr>
          <w:rFonts w:ascii="Arial" w:hAnsi="Arial" w:cs="Arial"/>
          <w:sz w:val="22"/>
          <w:szCs w:val="22"/>
          <w:lang w:val="en-GB"/>
        </w:rPr>
        <w:t xml:space="preserve"> and the United </w:t>
      </w:r>
      <w:r w:rsidR="00A23CC4">
        <w:rPr>
          <w:rFonts w:ascii="Arial" w:hAnsi="Arial" w:cs="Arial"/>
          <w:sz w:val="22"/>
          <w:szCs w:val="22"/>
          <w:lang w:val="en-GB"/>
        </w:rPr>
        <w:t xml:space="preserve">Kingdom (administration proceedings). </w:t>
      </w:r>
    </w:p>
    <w:p w14:paraId="422F5C96" w14:textId="77777777" w:rsidR="00A23CC4" w:rsidRDefault="00A23CC4" w:rsidP="00DC280E">
      <w:pPr>
        <w:jc w:val="both"/>
        <w:rPr>
          <w:rFonts w:ascii="Arial" w:hAnsi="Arial" w:cs="Arial"/>
          <w:sz w:val="22"/>
          <w:szCs w:val="22"/>
          <w:lang w:val="en-GB"/>
        </w:rPr>
      </w:pPr>
    </w:p>
    <w:p w14:paraId="4AE7EA78" w14:textId="1D6B9AB0" w:rsidR="007D7C92" w:rsidRDefault="00A23CC4" w:rsidP="00DC280E">
      <w:pPr>
        <w:jc w:val="both"/>
        <w:rPr>
          <w:rFonts w:ascii="Arial" w:hAnsi="Arial" w:cs="Arial"/>
          <w:sz w:val="22"/>
          <w:szCs w:val="22"/>
          <w:lang w:val="en-GB"/>
        </w:rPr>
      </w:pPr>
      <w:r>
        <w:rPr>
          <w:rFonts w:ascii="Arial" w:hAnsi="Arial" w:cs="Arial"/>
          <w:sz w:val="22"/>
          <w:szCs w:val="22"/>
          <w:lang w:val="en-GB"/>
        </w:rPr>
        <w:t xml:space="preserve">The UNCITRAL Practice Guide provides a summary of the </w:t>
      </w:r>
      <w:proofErr w:type="gramStart"/>
      <w:r>
        <w:rPr>
          <w:rFonts w:ascii="Arial" w:hAnsi="Arial" w:cs="Arial"/>
          <w:sz w:val="22"/>
          <w:szCs w:val="22"/>
          <w:lang w:val="en-GB"/>
        </w:rPr>
        <w:t>matter which</w:t>
      </w:r>
      <w:proofErr w:type="gramEnd"/>
      <w:r>
        <w:rPr>
          <w:rFonts w:ascii="Arial" w:hAnsi="Arial" w:cs="Arial"/>
          <w:sz w:val="22"/>
          <w:szCs w:val="22"/>
          <w:lang w:val="en-GB"/>
        </w:rPr>
        <w:t xml:space="preserve"> includes the goals to guide the insolvency representatives which were to maximise value of the estate and harmonise the proceedings to minimise expense, waste and jurisdictional conflict. </w:t>
      </w:r>
    </w:p>
    <w:p w14:paraId="6FAFC61B" w14:textId="77777777" w:rsidR="00A23CC4" w:rsidRDefault="00A23CC4" w:rsidP="00DC280E">
      <w:pPr>
        <w:jc w:val="both"/>
        <w:rPr>
          <w:rFonts w:ascii="Arial" w:hAnsi="Arial" w:cs="Arial"/>
          <w:sz w:val="22"/>
          <w:szCs w:val="22"/>
          <w:lang w:val="en-GB"/>
        </w:rPr>
      </w:pPr>
    </w:p>
    <w:p w14:paraId="28FD6DD7" w14:textId="56E38526" w:rsidR="00A23CC4" w:rsidRDefault="00A23CC4" w:rsidP="00DC280E">
      <w:pPr>
        <w:jc w:val="both"/>
        <w:rPr>
          <w:rFonts w:ascii="Arial" w:hAnsi="Arial" w:cs="Arial"/>
          <w:sz w:val="22"/>
          <w:szCs w:val="22"/>
          <w:lang w:val="en-GB"/>
        </w:rPr>
      </w:pPr>
      <w:r>
        <w:rPr>
          <w:rFonts w:ascii="Arial" w:hAnsi="Arial" w:cs="Arial"/>
          <w:sz w:val="22"/>
          <w:szCs w:val="22"/>
          <w:lang w:val="en-GB"/>
        </w:rPr>
        <w:t>This case specificities includes aspects such as that some existing management be retained in the interest of maintain the debtor’s value as a going concern, with authority for the English insolvency representatives’ to appoint new and independent directors</w:t>
      </w:r>
      <w:r w:rsidR="00E22451">
        <w:rPr>
          <w:rFonts w:ascii="Arial" w:hAnsi="Arial" w:cs="Arial"/>
          <w:sz w:val="22"/>
          <w:szCs w:val="22"/>
          <w:lang w:val="en-GB"/>
        </w:rPr>
        <w:t xml:space="preserve"> </w:t>
      </w:r>
      <w:r>
        <w:rPr>
          <w:rFonts w:ascii="Arial" w:hAnsi="Arial" w:cs="Arial"/>
          <w:sz w:val="22"/>
          <w:szCs w:val="22"/>
          <w:lang w:val="en-GB"/>
        </w:rPr>
        <w:t>with the American insolvency</w:t>
      </w:r>
      <w:r w:rsidR="00E22451">
        <w:rPr>
          <w:rFonts w:ascii="Arial" w:hAnsi="Arial" w:cs="Arial"/>
          <w:sz w:val="22"/>
          <w:szCs w:val="22"/>
          <w:lang w:val="en-GB"/>
        </w:rPr>
        <w:t xml:space="preserve"> representatives’ consent. Allowing the English insolvency practitioners to incur debt or file a reorganisation plan with the consent of the American insolvency practitioners or the American (United States) courts. The English insolvency practitioners had to give prior notice to the American insolvency practitioners before undertaking any major transact n behalf of the debtor, but was authorised to undertake “lesser” transactions.  Many issues were purposely left out to be resolved over the course of the proceedings.</w:t>
      </w:r>
    </w:p>
    <w:p w14:paraId="40820416" w14:textId="77777777" w:rsidR="00E22451" w:rsidRDefault="00E22451" w:rsidP="00DC280E">
      <w:pPr>
        <w:jc w:val="both"/>
        <w:rPr>
          <w:rFonts w:ascii="Arial" w:hAnsi="Arial" w:cs="Arial"/>
          <w:sz w:val="22"/>
          <w:szCs w:val="22"/>
          <w:lang w:val="en-GB"/>
        </w:rPr>
      </w:pPr>
    </w:p>
    <w:p w14:paraId="7177F5BE" w14:textId="6F255EC1" w:rsidR="00E22451" w:rsidRPr="00205B31" w:rsidRDefault="00E22451" w:rsidP="00DC280E">
      <w:pPr>
        <w:jc w:val="both"/>
        <w:rPr>
          <w:rFonts w:ascii="Arial" w:hAnsi="Arial" w:cs="Arial"/>
          <w:sz w:val="22"/>
          <w:szCs w:val="22"/>
          <w:lang w:val="en-GB"/>
        </w:rPr>
      </w:pPr>
      <w:r>
        <w:rPr>
          <w:rFonts w:ascii="Arial" w:hAnsi="Arial" w:cs="Arial"/>
          <w:sz w:val="22"/>
          <w:szCs w:val="22"/>
          <w:lang w:val="en-GB"/>
        </w:rPr>
        <w:t>This case illustrates how the resolution of issues and conflicts that might arise in cross-border insolvency could be facilitated by cross border cooperation.</w:t>
      </w:r>
      <w:r>
        <w:rPr>
          <w:rStyle w:val="FootnoteReference"/>
          <w:rFonts w:ascii="Arial" w:hAnsi="Arial" w:cs="Arial"/>
          <w:sz w:val="22"/>
          <w:szCs w:val="22"/>
          <w:lang w:val="en-GB"/>
        </w:rPr>
        <w:footnoteReference w:id="14"/>
      </w: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proofErr w:type="gramStart"/>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w:t>
      </w:r>
      <w:proofErr w:type="gramEnd"/>
      <w:r w:rsidR="005716C3" w:rsidRPr="00205B31">
        <w:rPr>
          <w:rFonts w:ascii="Arial" w:hAnsi="Arial" w:cs="Arial"/>
          <w:color w:val="212529"/>
          <w:sz w:val="22"/>
          <w:szCs w:val="22"/>
          <w:shd w:val="clear" w:color="auto" w:fill="FFFFFF"/>
          <w:lang w:val="en-GB"/>
        </w:rPr>
        <w:t xml:space="preserve">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w:t>
      </w:r>
      <w:proofErr w:type="gramStart"/>
      <w:r w:rsidRPr="00205B31">
        <w:rPr>
          <w:rFonts w:ascii="Arial" w:hAnsi="Arial" w:cs="Arial"/>
          <w:color w:val="212529"/>
          <w:sz w:val="22"/>
          <w:szCs w:val="22"/>
          <w:shd w:val="clear" w:color="auto" w:fill="FFFFFF"/>
          <w:lang w:val="en-GB"/>
        </w:rPr>
        <w:t>Europe</w:t>
      </w:r>
      <w:r w:rsidR="00BB09FD" w:rsidRPr="00205B31">
        <w:rPr>
          <w:rFonts w:ascii="Arial" w:hAnsi="Arial" w:cs="Arial"/>
          <w:color w:val="212529"/>
          <w:sz w:val="22"/>
          <w:szCs w:val="22"/>
          <w:shd w:val="clear" w:color="auto" w:fill="FFFFFF"/>
          <w:lang w:val="en-GB"/>
        </w:rPr>
        <w:t xml:space="preserve"> which</w:t>
      </w:r>
      <w:proofErr w:type="gramEnd"/>
      <w:r w:rsidR="00BB09FD" w:rsidRPr="00205B31">
        <w:rPr>
          <w:rFonts w:ascii="Arial" w:hAnsi="Arial" w:cs="Arial"/>
          <w:color w:val="212529"/>
          <w:sz w:val="22"/>
          <w:szCs w:val="22"/>
          <w:shd w:val="clear" w:color="auto" w:fill="FFFFFF"/>
          <w:lang w:val="en-GB"/>
        </w:rPr>
        <w:t xml:space="preserve">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proofErr w:type="gramStart"/>
      <w:r w:rsidRPr="00205B31">
        <w:rPr>
          <w:rFonts w:ascii="Arial" w:hAnsi="Arial" w:cs="Arial"/>
          <w:sz w:val="22"/>
          <w:szCs w:val="22"/>
          <w:lang w:val="en-GB"/>
        </w:rPr>
        <w:t>An insolvency proceeding against Rydell was opened in the UK by a minor creditor</w:t>
      </w:r>
      <w:proofErr w:type="gramEnd"/>
      <w:r w:rsidRPr="00205B31">
        <w:rPr>
          <w:rFonts w:ascii="Arial" w:hAnsi="Arial" w:cs="Arial"/>
          <w:sz w:val="22"/>
          <w:szCs w:val="22"/>
          <w:lang w:val="en-GB"/>
        </w:rPr>
        <w:t xml:space="preserve">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w:t>
      </w:r>
      <w:proofErr w:type="gramStart"/>
      <w:r w:rsidRPr="00205B31">
        <w:rPr>
          <w:rFonts w:ascii="Arial" w:hAnsi="Arial" w:cs="Arial"/>
          <w:sz w:val="22"/>
          <w:szCs w:val="22"/>
          <w:lang w:val="en-GB"/>
        </w:rPr>
        <w:t>Europe</w:t>
      </w:r>
      <w:r w:rsidR="00BB09FD" w:rsidRPr="00205B31">
        <w:rPr>
          <w:rFonts w:ascii="Arial" w:hAnsi="Arial" w:cs="Arial"/>
          <w:sz w:val="22"/>
          <w:szCs w:val="22"/>
          <w:lang w:val="en-GB"/>
        </w:rPr>
        <w:t xml:space="preserve"> which</w:t>
      </w:r>
      <w:proofErr w:type="gramEnd"/>
      <w:r w:rsidR="00BB09FD" w:rsidRPr="00205B31">
        <w:rPr>
          <w:rFonts w:ascii="Arial" w:hAnsi="Arial" w:cs="Arial"/>
          <w:sz w:val="22"/>
          <w:szCs w:val="22"/>
          <w:lang w:val="en-GB"/>
        </w:rPr>
        <w:t xml:space="preserve">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w:t>
      </w:r>
      <w:proofErr w:type="gramStart"/>
      <w:r w:rsidRPr="00205B31">
        <w:rPr>
          <w:rFonts w:ascii="Arial" w:hAnsi="Arial" w:cs="Arial"/>
          <w:sz w:val="22"/>
          <w:szCs w:val="22"/>
          <w:lang w:val="en-GB"/>
        </w:rPr>
        <w:t>consider</w:t>
      </w:r>
      <w:proofErr w:type="gramEnd"/>
      <w:r w:rsidRPr="00205B31">
        <w:rPr>
          <w:rFonts w:ascii="Arial" w:hAnsi="Arial" w:cs="Arial"/>
          <w:sz w:val="22"/>
          <w:szCs w:val="22"/>
          <w:lang w:val="en-GB"/>
        </w:rPr>
        <w:t xml:space="preserve"> this question.</w:t>
      </w:r>
    </w:p>
    <w:p w14:paraId="7719E4F1" w14:textId="77777777" w:rsidR="00BA1648" w:rsidRPr="00205B31" w:rsidRDefault="00BA1648" w:rsidP="006D564C">
      <w:pPr>
        <w:jc w:val="both"/>
        <w:rPr>
          <w:rFonts w:ascii="Arial" w:hAnsi="Arial" w:cs="Arial"/>
          <w:sz w:val="22"/>
          <w:szCs w:val="22"/>
          <w:lang w:val="en-GB"/>
        </w:rPr>
      </w:pPr>
    </w:p>
    <w:p w14:paraId="0D37BBBB" w14:textId="2E29B1ED" w:rsidR="002F75A3" w:rsidRPr="00205B31" w:rsidRDefault="002F75A3"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38BBF3CA" w14:textId="2EAE4C08" w:rsidR="005F453F" w:rsidRDefault="006B404E" w:rsidP="00B7193E">
      <w:pPr>
        <w:jc w:val="both"/>
        <w:rPr>
          <w:rFonts w:ascii="Arial" w:hAnsi="Arial" w:cs="Arial"/>
          <w:sz w:val="22"/>
          <w:szCs w:val="22"/>
          <w:lang w:val="en-GB"/>
        </w:rPr>
      </w:pPr>
      <w:r>
        <w:rPr>
          <w:rFonts w:ascii="Arial" w:hAnsi="Arial" w:cs="Arial"/>
          <w:sz w:val="22"/>
          <w:szCs w:val="22"/>
          <w:lang w:val="en-GB"/>
        </w:rPr>
        <w:lastRenderedPageBreak/>
        <w:t>On 18 June 2020, the United Kingdom remained a member of the European Insolvency Regulation R</w:t>
      </w:r>
      <w:r w:rsidR="002348C3">
        <w:rPr>
          <w:rFonts w:ascii="Arial" w:hAnsi="Arial" w:cs="Arial"/>
          <w:sz w:val="22"/>
          <w:szCs w:val="22"/>
          <w:lang w:val="en-GB"/>
        </w:rPr>
        <w:t xml:space="preserve">ecast. </w:t>
      </w:r>
      <w:r w:rsidR="0086707A">
        <w:rPr>
          <w:rFonts w:ascii="Arial" w:hAnsi="Arial" w:cs="Arial"/>
          <w:sz w:val="22"/>
          <w:szCs w:val="22"/>
          <w:lang w:val="en-GB"/>
        </w:rPr>
        <w:t>Accordingly per the EIR Recast, at Article 7.1, the law of the insolvency proceeding and their effect shall be that of the State of the opening of proceedings. Accordingly, the laws of the UK will apply as the insolvency proceedings were opened in the UK.</w:t>
      </w:r>
      <w:r w:rsidR="0086707A">
        <w:rPr>
          <w:rStyle w:val="FootnoteReference"/>
          <w:rFonts w:ascii="Arial" w:hAnsi="Arial" w:cs="Arial"/>
          <w:sz w:val="22"/>
          <w:szCs w:val="22"/>
          <w:lang w:val="en-GB"/>
        </w:rPr>
        <w:footnoteReference w:id="15"/>
      </w:r>
    </w:p>
    <w:p w14:paraId="193EF670" w14:textId="77777777" w:rsidR="0086707A" w:rsidRDefault="0086707A" w:rsidP="00B7193E">
      <w:pPr>
        <w:jc w:val="both"/>
        <w:rPr>
          <w:rFonts w:ascii="Arial" w:hAnsi="Arial" w:cs="Arial"/>
          <w:sz w:val="22"/>
          <w:szCs w:val="22"/>
          <w:lang w:val="en-GB"/>
        </w:rPr>
      </w:pPr>
    </w:p>
    <w:p w14:paraId="1F80E3C2" w14:textId="4FEDC9FB" w:rsidR="0086707A" w:rsidRDefault="00A60E88" w:rsidP="00B7193E">
      <w:pPr>
        <w:jc w:val="both"/>
        <w:rPr>
          <w:rFonts w:ascii="Arial" w:hAnsi="Arial" w:cs="Arial"/>
          <w:sz w:val="22"/>
          <w:szCs w:val="22"/>
          <w:lang w:val="en-GB"/>
        </w:rPr>
      </w:pPr>
      <w:r>
        <w:rPr>
          <w:rFonts w:ascii="Arial" w:hAnsi="Arial" w:cs="Arial"/>
          <w:sz w:val="22"/>
          <w:szCs w:val="22"/>
          <w:lang w:val="en-GB"/>
        </w:rPr>
        <w:t>EIR allocates jurisdiction to the debtor’s Centre of Main Interest (COMI) as the COMI is in the UK, the jurisdictionally competent court will be that of the UK, though there is provision for the subsidiary territorial proceedings in other member states.</w:t>
      </w:r>
      <w:r>
        <w:rPr>
          <w:rStyle w:val="FootnoteReference"/>
          <w:rFonts w:ascii="Arial" w:hAnsi="Arial" w:cs="Arial"/>
          <w:sz w:val="22"/>
          <w:szCs w:val="22"/>
          <w:lang w:val="en-GB"/>
        </w:rPr>
        <w:footnoteReference w:id="16"/>
      </w:r>
    </w:p>
    <w:p w14:paraId="2A52E571" w14:textId="77777777" w:rsidR="0086707A" w:rsidRPr="00205B31" w:rsidRDefault="0086707A"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4"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4"/>
    <w:p w14:paraId="06CA1A12" w14:textId="77777777" w:rsidR="00015EE6" w:rsidRPr="00205B31" w:rsidRDefault="00015EE6" w:rsidP="00C45A03">
      <w:pPr>
        <w:jc w:val="both"/>
        <w:rPr>
          <w:rFonts w:ascii="Arial" w:hAnsi="Arial" w:cs="Arial"/>
          <w:sz w:val="22"/>
          <w:szCs w:val="22"/>
          <w:lang w:val="en-GB"/>
        </w:rPr>
      </w:pPr>
    </w:p>
    <w:p w14:paraId="1256E6FF" w14:textId="23B620BA" w:rsidR="00015EE6" w:rsidRPr="00205B31" w:rsidRDefault="00C45A03" w:rsidP="00C45A03">
      <w:pPr>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7C5E5F3E" w14:textId="29443BEF" w:rsidR="00275182" w:rsidRDefault="00F90166" w:rsidP="00B7193E">
      <w:pPr>
        <w:jc w:val="both"/>
        <w:rPr>
          <w:rFonts w:ascii="Arial" w:hAnsi="Arial" w:cs="Arial"/>
          <w:bCs/>
          <w:sz w:val="22"/>
          <w:szCs w:val="22"/>
          <w:lang w:val="en-GB"/>
        </w:rPr>
      </w:pPr>
      <w:r>
        <w:rPr>
          <w:rFonts w:ascii="Arial" w:hAnsi="Arial" w:cs="Arial"/>
          <w:bCs/>
          <w:sz w:val="22"/>
          <w:szCs w:val="22"/>
          <w:lang w:val="en-GB"/>
        </w:rPr>
        <w:t xml:space="preserve">As from 23:00 on 31 December 2020, the EIR Recast ceased to apply in the UK following </w:t>
      </w:r>
      <w:proofErr w:type="spellStart"/>
      <w:r>
        <w:rPr>
          <w:rFonts w:ascii="Arial" w:hAnsi="Arial" w:cs="Arial"/>
          <w:bCs/>
          <w:sz w:val="22"/>
          <w:szCs w:val="22"/>
          <w:lang w:val="en-GB"/>
        </w:rPr>
        <w:t>Brexit</w:t>
      </w:r>
      <w:proofErr w:type="spellEnd"/>
      <w:r w:rsidR="002348C3">
        <w:rPr>
          <w:rFonts w:ascii="Arial" w:hAnsi="Arial" w:cs="Arial"/>
          <w:bCs/>
          <w:sz w:val="22"/>
          <w:szCs w:val="22"/>
          <w:lang w:val="en-GB"/>
        </w:rPr>
        <w:t>, or the exit of the United Kingdom from the European Union.</w:t>
      </w:r>
      <w:r w:rsidR="002348C3">
        <w:rPr>
          <w:rStyle w:val="FootnoteReference"/>
          <w:rFonts w:ascii="Arial" w:hAnsi="Arial" w:cs="Arial"/>
          <w:bCs/>
          <w:sz w:val="22"/>
          <w:szCs w:val="22"/>
          <w:lang w:val="en-GB"/>
        </w:rPr>
        <w:footnoteReference w:id="17"/>
      </w:r>
      <w:r w:rsidR="002348C3">
        <w:rPr>
          <w:rFonts w:ascii="Arial" w:hAnsi="Arial" w:cs="Arial"/>
          <w:bCs/>
          <w:sz w:val="22"/>
          <w:szCs w:val="22"/>
          <w:lang w:val="en-GB"/>
        </w:rPr>
        <w:t xml:space="preserve"> The cross border insolvency application of the United Kingdom as it would apply to another nation would apply to the European Union creditors. Namely the United Kingdom’s approach and application of its cross-border insolvency legislation that may be found in section 426 of the Insolvency Act 1986 (UK) and its favoured approach to universalism as opposed to territorialism.</w:t>
      </w:r>
      <w:r w:rsidR="00A64385">
        <w:rPr>
          <w:rStyle w:val="FootnoteReference"/>
          <w:rFonts w:ascii="Arial" w:hAnsi="Arial" w:cs="Arial"/>
          <w:bCs/>
          <w:sz w:val="22"/>
          <w:szCs w:val="22"/>
          <w:lang w:val="en-GB"/>
        </w:rPr>
        <w:footnoteReference w:id="18"/>
      </w:r>
    </w:p>
    <w:p w14:paraId="6E2A9689" w14:textId="77777777" w:rsidR="002348C3" w:rsidRDefault="002348C3" w:rsidP="00B7193E">
      <w:pPr>
        <w:jc w:val="both"/>
        <w:rPr>
          <w:rFonts w:ascii="Arial" w:hAnsi="Arial" w:cs="Arial"/>
          <w:bCs/>
          <w:sz w:val="22"/>
          <w:szCs w:val="22"/>
          <w:lang w:val="en-GB"/>
        </w:rPr>
      </w:pPr>
    </w:p>
    <w:p w14:paraId="72DDF5A2" w14:textId="39BBFA6B" w:rsidR="002348C3" w:rsidRPr="00F90166" w:rsidRDefault="002348C3" w:rsidP="00B7193E">
      <w:pPr>
        <w:jc w:val="both"/>
        <w:rPr>
          <w:rFonts w:ascii="Arial" w:hAnsi="Arial" w:cs="Arial"/>
          <w:bCs/>
          <w:sz w:val="22"/>
          <w:szCs w:val="22"/>
          <w:lang w:val="en-GB"/>
        </w:rPr>
      </w:pPr>
      <w:r>
        <w:rPr>
          <w:rFonts w:ascii="Arial" w:hAnsi="Arial" w:cs="Arial"/>
          <w:bCs/>
          <w:sz w:val="22"/>
          <w:szCs w:val="22"/>
          <w:lang w:val="en-GB"/>
        </w:rPr>
        <w:t xml:space="preserve">In the absence of any pleading of the applicability of a law (per the third pertinent question raised by Fletcher, namely choice of law) the UK court will find itself applying its domestic laws to the cross-border insolvency. The three pertinent questions </w:t>
      </w:r>
      <w:proofErr w:type="gramStart"/>
      <w:r>
        <w:rPr>
          <w:rFonts w:ascii="Arial" w:hAnsi="Arial" w:cs="Arial"/>
          <w:bCs/>
          <w:sz w:val="22"/>
          <w:szCs w:val="22"/>
          <w:lang w:val="en-GB"/>
        </w:rPr>
        <w:t>raised</w:t>
      </w:r>
      <w:proofErr w:type="gramEnd"/>
      <w:r>
        <w:rPr>
          <w:rFonts w:ascii="Arial" w:hAnsi="Arial" w:cs="Arial"/>
          <w:bCs/>
          <w:sz w:val="22"/>
          <w:szCs w:val="22"/>
          <w:lang w:val="en-GB"/>
        </w:rPr>
        <w:t xml:space="preserve"> by Fletcher, (choice of forum, recognition of and effect accorded to foreign proceedings and choice of law) will also be a factor taken into account by the UK courts.</w:t>
      </w:r>
      <w:r w:rsidR="00A64385">
        <w:rPr>
          <w:rStyle w:val="FootnoteReference"/>
          <w:rFonts w:ascii="Arial" w:hAnsi="Arial" w:cs="Arial"/>
          <w:bCs/>
          <w:sz w:val="22"/>
          <w:szCs w:val="22"/>
          <w:lang w:val="en-GB"/>
        </w:rPr>
        <w:footnoteReference w:id="19"/>
      </w: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5" w:name="_Hlk75414344"/>
      <w:bookmarkEnd w:id="2"/>
    </w:p>
    <w:p w14:paraId="6625C320" w14:textId="383FB04A" w:rsidR="0046142D" w:rsidRDefault="0046142D" w:rsidP="0046142D">
      <w:pPr>
        <w:ind w:hanging="11"/>
        <w:jc w:val="both"/>
        <w:rPr>
          <w:rFonts w:ascii="Arial" w:hAnsi="Arial" w:cs="Arial"/>
          <w:sz w:val="22"/>
          <w:szCs w:val="22"/>
          <w:lang w:val="en-GB"/>
        </w:rPr>
      </w:pPr>
      <w:bookmarkStart w:id="6"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5"/>
    <w:bookmarkEnd w:id="6"/>
    <w:p w14:paraId="3CAE42BE"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04434D04" w14:textId="5E5A25CD" w:rsidR="00015EE6" w:rsidRDefault="00B860E6" w:rsidP="00015EE6">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The three </w:t>
      </w:r>
      <w:r w:rsidR="002348C3">
        <w:rPr>
          <w:rFonts w:ascii="Arial" w:hAnsi="Arial" w:cs="Arial"/>
          <w:sz w:val="22"/>
          <w:szCs w:val="22"/>
          <w:lang w:val="en-GB"/>
        </w:rPr>
        <w:t>pertinent</w:t>
      </w:r>
      <w:r>
        <w:rPr>
          <w:rFonts w:ascii="Arial" w:hAnsi="Arial" w:cs="Arial"/>
          <w:sz w:val="22"/>
          <w:szCs w:val="22"/>
          <w:lang w:val="en-GB"/>
        </w:rPr>
        <w:t xml:space="preserve"> questions to </w:t>
      </w:r>
      <w:r w:rsidR="00595B17">
        <w:rPr>
          <w:rFonts w:ascii="Arial" w:hAnsi="Arial" w:cs="Arial"/>
          <w:sz w:val="22"/>
          <w:szCs w:val="22"/>
          <w:lang w:val="en-GB"/>
        </w:rPr>
        <w:t>ask and establish</w:t>
      </w:r>
      <w:r>
        <w:rPr>
          <w:rFonts w:ascii="Arial" w:hAnsi="Arial" w:cs="Arial"/>
          <w:sz w:val="22"/>
          <w:szCs w:val="22"/>
          <w:lang w:val="en-GB"/>
        </w:rPr>
        <w:t xml:space="preserve"> in respect of a</w:t>
      </w:r>
      <w:r w:rsidR="00595B17">
        <w:rPr>
          <w:rFonts w:ascii="Arial" w:hAnsi="Arial" w:cs="Arial"/>
          <w:sz w:val="22"/>
          <w:szCs w:val="22"/>
          <w:lang w:val="en-GB"/>
        </w:rPr>
        <w:t>n international insolvency and its domestic applicability, which is the same questions asked by Fletcher in a cross-border insolvency matter are:</w:t>
      </w:r>
    </w:p>
    <w:p w14:paraId="78FB7CE1" w14:textId="791BD5A3" w:rsidR="00595B17" w:rsidRPr="00595B17" w:rsidRDefault="00595B17" w:rsidP="002348C3">
      <w:pPr>
        <w:pStyle w:val="ListParagraph"/>
        <w:numPr>
          <w:ilvl w:val="0"/>
          <w:numId w:val="19"/>
        </w:numPr>
        <w:autoSpaceDE w:val="0"/>
        <w:autoSpaceDN w:val="0"/>
        <w:adjustRightInd w:val="0"/>
        <w:spacing w:line="276" w:lineRule="auto"/>
        <w:jc w:val="both"/>
        <w:rPr>
          <w:rFonts w:ascii="Arial" w:hAnsi="Arial" w:cs="Arial"/>
          <w:sz w:val="22"/>
          <w:szCs w:val="22"/>
          <w:lang w:val="en-GB"/>
        </w:rPr>
      </w:pPr>
      <w:r w:rsidRPr="00595B17">
        <w:rPr>
          <w:rFonts w:ascii="Arial" w:hAnsi="Arial" w:cs="Arial"/>
          <w:sz w:val="22"/>
          <w:szCs w:val="22"/>
          <w:lang w:val="en-GB"/>
        </w:rPr>
        <w:t>The choice of forum to exercise jurisdiction in the matter</w:t>
      </w:r>
      <w:r>
        <w:rPr>
          <w:rFonts w:ascii="Arial" w:hAnsi="Arial" w:cs="Arial"/>
          <w:sz w:val="22"/>
          <w:szCs w:val="22"/>
          <w:lang w:val="en-GB"/>
        </w:rPr>
        <w:t>;</w:t>
      </w:r>
    </w:p>
    <w:p w14:paraId="12DB8E56" w14:textId="6310B96E" w:rsidR="00595B17" w:rsidRDefault="00595B17" w:rsidP="002348C3">
      <w:pPr>
        <w:pStyle w:val="ListParagraph"/>
        <w:numPr>
          <w:ilvl w:val="0"/>
          <w:numId w:val="19"/>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The recognition and effect accorded foreign proceedings in the same matter; and</w:t>
      </w:r>
    </w:p>
    <w:p w14:paraId="4886E47E" w14:textId="3431C8B2" w:rsidR="002348C3" w:rsidRPr="002348C3" w:rsidRDefault="00595B17" w:rsidP="002348C3">
      <w:pPr>
        <w:pStyle w:val="ListParagraph"/>
        <w:numPr>
          <w:ilvl w:val="0"/>
          <w:numId w:val="19"/>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The choice of law to apply to the matter.</w:t>
      </w:r>
      <w:r>
        <w:rPr>
          <w:rStyle w:val="FootnoteReference"/>
          <w:rFonts w:ascii="Arial" w:hAnsi="Arial" w:cs="Arial"/>
          <w:sz w:val="22"/>
          <w:szCs w:val="22"/>
          <w:lang w:val="en-GB"/>
        </w:rPr>
        <w:footnoteReference w:id="20"/>
      </w:r>
    </w:p>
    <w:p w14:paraId="6860115C" w14:textId="77777777" w:rsidR="002348C3" w:rsidRDefault="002348C3" w:rsidP="002348C3">
      <w:pPr>
        <w:autoSpaceDE w:val="0"/>
        <w:autoSpaceDN w:val="0"/>
        <w:adjustRightInd w:val="0"/>
        <w:spacing w:line="276" w:lineRule="auto"/>
        <w:jc w:val="both"/>
        <w:rPr>
          <w:rFonts w:ascii="Arial" w:hAnsi="Arial" w:cs="Arial"/>
          <w:sz w:val="22"/>
          <w:szCs w:val="22"/>
          <w:lang w:val="en-GB"/>
        </w:rPr>
      </w:pPr>
    </w:p>
    <w:p w14:paraId="4937E6E2" w14:textId="4E2F1A4C" w:rsidR="002348C3" w:rsidRDefault="002348C3" w:rsidP="002348C3">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lastRenderedPageBreak/>
        <w:t>Where a court is satisfied that there is a “sufficient connection” with England and Wales</w:t>
      </w:r>
      <w:r w:rsidR="00B20514">
        <w:rPr>
          <w:rFonts w:ascii="Arial" w:hAnsi="Arial" w:cs="Arial"/>
          <w:sz w:val="22"/>
          <w:szCs w:val="22"/>
          <w:lang w:val="en-GB"/>
        </w:rPr>
        <w:t>, the rel</w:t>
      </w:r>
      <w:r w:rsidR="0086707A">
        <w:rPr>
          <w:rFonts w:ascii="Arial" w:hAnsi="Arial" w:cs="Arial"/>
          <w:sz w:val="22"/>
          <w:szCs w:val="22"/>
          <w:lang w:val="en-GB"/>
        </w:rPr>
        <w:t>evant principles underpinning t</w:t>
      </w:r>
      <w:r w:rsidR="00B20514">
        <w:rPr>
          <w:rFonts w:ascii="Arial" w:hAnsi="Arial" w:cs="Arial"/>
          <w:sz w:val="22"/>
          <w:szCs w:val="22"/>
          <w:lang w:val="en-GB"/>
        </w:rPr>
        <w:t>he approach of the three core requirements:</w:t>
      </w:r>
    </w:p>
    <w:p w14:paraId="5F4685D2" w14:textId="77777777" w:rsidR="00B20514" w:rsidRDefault="00B20514" w:rsidP="002348C3">
      <w:pPr>
        <w:autoSpaceDE w:val="0"/>
        <w:autoSpaceDN w:val="0"/>
        <w:adjustRightInd w:val="0"/>
        <w:spacing w:line="276" w:lineRule="auto"/>
        <w:jc w:val="both"/>
        <w:rPr>
          <w:rFonts w:ascii="Arial" w:hAnsi="Arial" w:cs="Arial"/>
          <w:sz w:val="22"/>
          <w:szCs w:val="22"/>
          <w:lang w:val="en-GB"/>
        </w:rPr>
      </w:pPr>
    </w:p>
    <w:p w14:paraId="28A791FF" w14:textId="2D998D21" w:rsidR="00B20514" w:rsidRPr="00B20514" w:rsidRDefault="00B20514" w:rsidP="00B20514">
      <w:pPr>
        <w:pStyle w:val="ListParagraph"/>
        <w:numPr>
          <w:ilvl w:val="0"/>
          <w:numId w:val="20"/>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w:t>
      </w:r>
      <w:r w:rsidRPr="00B20514">
        <w:rPr>
          <w:rFonts w:ascii="Arial" w:hAnsi="Arial" w:cs="Arial"/>
          <w:sz w:val="22"/>
          <w:szCs w:val="22"/>
          <w:lang w:val="en-GB"/>
        </w:rPr>
        <w:t>There must be a sufficient connection with England and Wales which may, but does not necessarily have to, consist of assets within the jurisdiction;</w:t>
      </w:r>
    </w:p>
    <w:p w14:paraId="0162BF5F" w14:textId="25C4386D" w:rsidR="00B20514" w:rsidRDefault="00B20514" w:rsidP="00B20514">
      <w:pPr>
        <w:pStyle w:val="ListParagraph"/>
        <w:numPr>
          <w:ilvl w:val="0"/>
          <w:numId w:val="20"/>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There must be a reasonable possibility, if a winding-up order is made, of benefit to those applying or a winding-up order;</w:t>
      </w:r>
    </w:p>
    <w:p w14:paraId="5936C8DA" w14:textId="2EAABDD2" w:rsidR="00B20514" w:rsidRPr="00B20514" w:rsidRDefault="00B20514" w:rsidP="00B20514">
      <w:pPr>
        <w:pStyle w:val="ListParagraph"/>
        <w:numPr>
          <w:ilvl w:val="0"/>
          <w:numId w:val="20"/>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One or more persons interested in the distribution of assets of the company must be persons over whom the court can exercise jurisdiction.</w:t>
      </w:r>
      <w:r w:rsidR="00BD6388">
        <w:rPr>
          <w:rFonts w:ascii="Arial" w:hAnsi="Arial" w:cs="Arial"/>
          <w:sz w:val="22"/>
          <w:szCs w:val="22"/>
          <w:lang w:val="en-GB"/>
        </w:rPr>
        <w:t>”</w:t>
      </w:r>
      <w:r w:rsidR="00BD6388">
        <w:rPr>
          <w:rStyle w:val="FootnoteReference"/>
          <w:rFonts w:ascii="Arial" w:hAnsi="Arial" w:cs="Arial"/>
          <w:sz w:val="22"/>
          <w:szCs w:val="22"/>
          <w:lang w:val="en-GB"/>
        </w:rPr>
        <w:footnoteReference w:id="21"/>
      </w:r>
    </w:p>
    <w:p w14:paraId="74ED2882" w14:textId="77777777" w:rsidR="002348C3" w:rsidRPr="002348C3" w:rsidRDefault="002348C3" w:rsidP="002348C3">
      <w:pPr>
        <w:autoSpaceDE w:val="0"/>
        <w:autoSpaceDN w:val="0"/>
        <w:adjustRightInd w:val="0"/>
        <w:spacing w:line="276" w:lineRule="auto"/>
        <w:jc w:val="both"/>
        <w:rPr>
          <w:rFonts w:ascii="Arial" w:hAnsi="Arial" w:cs="Arial"/>
          <w:sz w:val="22"/>
          <w:szCs w:val="22"/>
          <w:lang w:val="en-GB"/>
        </w:rPr>
      </w:pPr>
    </w:p>
    <w:p w14:paraId="78969271" w14:textId="57CC556D" w:rsidR="00595B17" w:rsidRDefault="00595B17" w:rsidP="00595B17">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Section 220 of the Insolvency Act 1986 (UK) allows for jurisdiction to be established to wind up an “unregistered company”, which includes a company formed under foreign law. Section 221(5) of the Insolvency Act 1986 (UK) </w:t>
      </w:r>
      <w:r w:rsidR="00BF7ADF">
        <w:rPr>
          <w:rFonts w:ascii="Arial" w:hAnsi="Arial" w:cs="Arial"/>
          <w:sz w:val="22"/>
          <w:szCs w:val="22"/>
          <w:lang w:val="en-GB"/>
        </w:rPr>
        <w:t>provides for a court ordered winding up in the following circumstances:</w:t>
      </w:r>
    </w:p>
    <w:p w14:paraId="2634EF48" w14:textId="0CC36BBF" w:rsidR="00BF7ADF" w:rsidRPr="00BF7ADF" w:rsidRDefault="00BF7ADF" w:rsidP="00BF7ADF">
      <w:pPr>
        <w:pStyle w:val="ListParagraph"/>
        <w:numPr>
          <w:ilvl w:val="0"/>
          <w:numId w:val="18"/>
        </w:numPr>
        <w:autoSpaceDE w:val="0"/>
        <w:autoSpaceDN w:val="0"/>
        <w:adjustRightInd w:val="0"/>
        <w:spacing w:line="276" w:lineRule="auto"/>
        <w:jc w:val="both"/>
        <w:rPr>
          <w:rFonts w:ascii="Arial" w:hAnsi="Arial" w:cs="Arial"/>
          <w:sz w:val="22"/>
          <w:szCs w:val="22"/>
          <w:lang w:val="en-GB"/>
        </w:rPr>
      </w:pPr>
      <w:proofErr w:type="gramStart"/>
      <w:r w:rsidRPr="00BF7ADF">
        <w:rPr>
          <w:rFonts w:ascii="Arial" w:hAnsi="Arial" w:cs="Arial"/>
          <w:sz w:val="22"/>
          <w:szCs w:val="22"/>
          <w:lang w:val="en-GB"/>
        </w:rPr>
        <w:t>if</w:t>
      </w:r>
      <w:proofErr w:type="gramEnd"/>
      <w:r w:rsidRPr="00BF7ADF">
        <w:rPr>
          <w:rFonts w:ascii="Arial" w:hAnsi="Arial" w:cs="Arial"/>
          <w:sz w:val="22"/>
          <w:szCs w:val="22"/>
          <w:lang w:val="en-GB"/>
        </w:rPr>
        <w:t xml:space="preserve"> the company is dissolved, or has ceased to carry on business, or is carrying on business only for the purposes of winding up its affairs;</w:t>
      </w:r>
    </w:p>
    <w:p w14:paraId="54F6203F" w14:textId="3527F90E" w:rsidR="00BF7ADF" w:rsidRDefault="00BF7ADF" w:rsidP="00BF7ADF">
      <w:pPr>
        <w:pStyle w:val="ListParagraph"/>
        <w:numPr>
          <w:ilvl w:val="0"/>
          <w:numId w:val="18"/>
        </w:numPr>
        <w:autoSpaceDE w:val="0"/>
        <w:autoSpaceDN w:val="0"/>
        <w:adjustRightInd w:val="0"/>
        <w:spacing w:line="276" w:lineRule="auto"/>
        <w:jc w:val="both"/>
        <w:rPr>
          <w:rFonts w:ascii="Arial" w:hAnsi="Arial" w:cs="Arial"/>
          <w:sz w:val="22"/>
          <w:szCs w:val="22"/>
          <w:lang w:val="en-GB"/>
        </w:rPr>
      </w:pPr>
      <w:proofErr w:type="gramStart"/>
      <w:r>
        <w:rPr>
          <w:rFonts w:ascii="Arial" w:hAnsi="Arial" w:cs="Arial"/>
          <w:sz w:val="22"/>
          <w:szCs w:val="22"/>
          <w:lang w:val="en-GB"/>
        </w:rPr>
        <w:t>if</w:t>
      </w:r>
      <w:proofErr w:type="gramEnd"/>
      <w:r>
        <w:rPr>
          <w:rFonts w:ascii="Arial" w:hAnsi="Arial" w:cs="Arial"/>
          <w:sz w:val="22"/>
          <w:szCs w:val="22"/>
          <w:lang w:val="en-GB"/>
        </w:rPr>
        <w:t xml:space="preserve"> the company is unable to pay its debts;</w:t>
      </w:r>
    </w:p>
    <w:p w14:paraId="4E949514" w14:textId="52CCAB4F" w:rsidR="00BF7ADF" w:rsidRDefault="00BF7ADF" w:rsidP="00BF7ADF">
      <w:pPr>
        <w:pStyle w:val="ListParagraph"/>
        <w:numPr>
          <w:ilvl w:val="0"/>
          <w:numId w:val="18"/>
        </w:numPr>
        <w:autoSpaceDE w:val="0"/>
        <w:autoSpaceDN w:val="0"/>
        <w:adjustRightInd w:val="0"/>
        <w:spacing w:line="276" w:lineRule="auto"/>
        <w:jc w:val="both"/>
        <w:rPr>
          <w:rFonts w:ascii="Arial" w:hAnsi="Arial" w:cs="Arial"/>
          <w:sz w:val="22"/>
          <w:szCs w:val="22"/>
          <w:lang w:val="en-GB"/>
        </w:rPr>
      </w:pPr>
      <w:proofErr w:type="gramStart"/>
      <w:r>
        <w:rPr>
          <w:rFonts w:ascii="Arial" w:hAnsi="Arial" w:cs="Arial"/>
          <w:sz w:val="22"/>
          <w:szCs w:val="22"/>
          <w:lang w:val="en-GB"/>
        </w:rPr>
        <w:t>if</w:t>
      </w:r>
      <w:proofErr w:type="gramEnd"/>
      <w:r>
        <w:rPr>
          <w:rFonts w:ascii="Arial" w:hAnsi="Arial" w:cs="Arial"/>
          <w:sz w:val="22"/>
          <w:szCs w:val="22"/>
          <w:lang w:val="en-GB"/>
        </w:rPr>
        <w:t xml:space="preserve"> the court is of the opinion that it is just and equitable that the company should be wound up.</w:t>
      </w:r>
      <w:r>
        <w:rPr>
          <w:rStyle w:val="FootnoteReference"/>
          <w:rFonts w:ascii="Arial" w:hAnsi="Arial" w:cs="Arial"/>
          <w:sz w:val="22"/>
          <w:szCs w:val="22"/>
          <w:lang w:val="en-GB"/>
        </w:rPr>
        <w:footnoteReference w:id="22"/>
      </w:r>
    </w:p>
    <w:p w14:paraId="44A9A2D3" w14:textId="77777777" w:rsidR="00BF7ADF" w:rsidRDefault="00BF7ADF" w:rsidP="00BF7ADF">
      <w:pPr>
        <w:autoSpaceDE w:val="0"/>
        <w:autoSpaceDN w:val="0"/>
        <w:adjustRightInd w:val="0"/>
        <w:spacing w:line="276" w:lineRule="auto"/>
        <w:jc w:val="both"/>
        <w:rPr>
          <w:rFonts w:ascii="Arial" w:hAnsi="Arial" w:cs="Arial"/>
          <w:sz w:val="22"/>
          <w:szCs w:val="22"/>
          <w:lang w:val="en-GB"/>
        </w:rPr>
      </w:pPr>
    </w:p>
    <w:p w14:paraId="58356A02" w14:textId="29792B31" w:rsidR="00BF7ADF" w:rsidRDefault="00BF7ADF" w:rsidP="00BF7ADF">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One of three core requirements to establish if there is a “sufficient connection” with England and Wales is if “…one or more persons interested in the distribution of assets of the company must be persons over whom the court can exercise jurisdiction.”</w:t>
      </w:r>
      <w:r>
        <w:rPr>
          <w:rStyle w:val="FootnoteReference"/>
          <w:rFonts w:ascii="Arial" w:hAnsi="Arial" w:cs="Arial"/>
          <w:sz w:val="22"/>
          <w:szCs w:val="22"/>
          <w:lang w:val="en-GB"/>
        </w:rPr>
        <w:footnoteReference w:id="23"/>
      </w:r>
    </w:p>
    <w:p w14:paraId="51B500D2" w14:textId="77777777" w:rsidR="00BF7ADF" w:rsidRDefault="00BF7ADF" w:rsidP="00BF7ADF">
      <w:pPr>
        <w:autoSpaceDE w:val="0"/>
        <w:autoSpaceDN w:val="0"/>
        <w:adjustRightInd w:val="0"/>
        <w:spacing w:line="276" w:lineRule="auto"/>
        <w:jc w:val="both"/>
        <w:rPr>
          <w:rFonts w:ascii="Arial" w:hAnsi="Arial" w:cs="Arial"/>
          <w:sz w:val="22"/>
          <w:szCs w:val="22"/>
          <w:lang w:val="en-GB"/>
        </w:rPr>
      </w:pPr>
    </w:p>
    <w:p w14:paraId="19ADFF9A" w14:textId="43337702" w:rsidR="00082B10" w:rsidRDefault="00A337A5" w:rsidP="00BF7ADF">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Section 426 of the Insolvency Act 1986 (UK) was raised by Lord Scott in the matter of </w:t>
      </w:r>
      <w:r w:rsidRPr="00A337A5">
        <w:rPr>
          <w:rFonts w:ascii="Arial" w:hAnsi="Arial" w:cs="Arial"/>
          <w:i/>
          <w:sz w:val="22"/>
          <w:szCs w:val="22"/>
          <w:lang w:val="en-GB"/>
        </w:rPr>
        <w:t>McGrath v Ridde</w:t>
      </w:r>
      <w:r>
        <w:rPr>
          <w:rFonts w:ascii="Arial" w:hAnsi="Arial" w:cs="Arial"/>
          <w:i/>
          <w:sz w:val="22"/>
          <w:szCs w:val="22"/>
          <w:lang w:val="en-GB"/>
        </w:rPr>
        <w:t>l</w:t>
      </w:r>
      <w:r w:rsidRPr="00A337A5">
        <w:rPr>
          <w:rFonts w:ascii="Arial" w:hAnsi="Arial" w:cs="Arial"/>
          <w:i/>
          <w:sz w:val="22"/>
          <w:szCs w:val="22"/>
          <w:lang w:val="en-GB"/>
        </w:rPr>
        <w:t>l</w:t>
      </w:r>
      <w:r>
        <w:rPr>
          <w:rFonts w:ascii="Arial" w:hAnsi="Arial" w:cs="Arial"/>
          <w:sz w:val="22"/>
          <w:szCs w:val="22"/>
          <w:lang w:val="en-GB"/>
        </w:rPr>
        <w:t xml:space="preserve"> [2008] UKHL 21, that co-operation between courts exercising jurisdiction in relation to insolvency on cross border matters is to be interpreted essentially with the universalism in mind, namely that where UK liquidators were requested by foreign liquidators to remit to them assets collected in the UK so that such foreign liquidators can implement a universal </w:t>
      </w:r>
      <w:proofErr w:type="spellStart"/>
      <w:r w:rsidRPr="00A337A5">
        <w:rPr>
          <w:rFonts w:ascii="Arial" w:hAnsi="Arial" w:cs="Arial"/>
          <w:i/>
          <w:sz w:val="22"/>
          <w:szCs w:val="22"/>
          <w:lang w:val="en-GB"/>
        </w:rPr>
        <w:t>pari</w:t>
      </w:r>
      <w:proofErr w:type="spellEnd"/>
      <w:r w:rsidRPr="00A337A5">
        <w:rPr>
          <w:rFonts w:ascii="Arial" w:hAnsi="Arial" w:cs="Arial"/>
          <w:i/>
          <w:sz w:val="22"/>
          <w:szCs w:val="22"/>
          <w:lang w:val="en-GB"/>
        </w:rPr>
        <w:t xml:space="preserve"> </w:t>
      </w:r>
      <w:proofErr w:type="spellStart"/>
      <w:r w:rsidRPr="00A337A5">
        <w:rPr>
          <w:rFonts w:ascii="Arial" w:hAnsi="Arial" w:cs="Arial"/>
          <w:i/>
          <w:sz w:val="22"/>
          <w:szCs w:val="22"/>
          <w:lang w:val="en-GB"/>
        </w:rPr>
        <w:t>passu</w:t>
      </w:r>
      <w:proofErr w:type="spellEnd"/>
      <w:r>
        <w:rPr>
          <w:rFonts w:ascii="Arial" w:hAnsi="Arial" w:cs="Arial"/>
          <w:sz w:val="22"/>
          <w:szCs w:val="22"/>
          <w:lang w:val="en-GB"/>
        </w:rPr>
        <w:t xml:space="preserve"> distribution, the UK liquidators should “accede” to such request.</w:t>
      </w:r>
      <w:r>
        <w:rPr>
          <w:rStyle w:val="FootnoteReference"/>
          <w:rFonts w:ascii="Arial" w:hAnsi="Arial" w:cs="Arial"/>
          <w:sz w:val="22"/>
          <w:szCs w:val="22"/>
          <w:lang w:val="en-GB"/>
        </w:rPr>
        <w:footnoteReference w:id="24"/>
      </w:r>
      <w:r w:rsidR="00082B10">
        <w:rPr>
          <w:rFonts w:ascii="Arial" w:hAnsi="Arial" w:cs="Arial"/>
          <w:sz w:val="22"/>
          <w:szCs w:val="22"/>
          <w:lang w:val="en-GB"/>
        </w:rPr>
        <w:t xml:space="preserve"> </w:t>
      </w:r>
    </w:p>
    <w:p w14:paraId="28696D2E" w14:textId="77777777" w:rsidR="00082B10" w:rsidRDefault="00082B10" w:rsidP="00BF7ADF">
      <w:pPr>
        <w:autoSpaceDE w:val="0"/>
        <w:autoSpaceDN w:val="0"/>
        <w:adjustRightInd w:val="0"/>
        <w:spacing w:line="276" w:lineRule="auto"/>
        <w:jc w:val="both"/>
        <w:rPr>
          <w:rFonts w:ascii="Arial" w:hAnsi="Arial" w:cs="Arial"/>
          <w:sz w:val="22"/>
          <w:szCs w:val="22"/>
          <w:lang w:val="en-GB"/>
        </w:rPr>
      </w:pPr>
    </w:p>
    <w:p w14:paraId="6F8E554D" w14:textId="58DB0473" w:rsidR="00082B10" w:rsidRDefault="00082B10" w:rsidP="00BF7ADF">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In the same matter, Lord Hoffmann referred to the court’s “jurisdiction at common law, under its established practice of giving directions to ancillary liquidators, to direct remittal of English assets, notwithstanding any difference between English and foreign systems of distribution</w:t>
      </w:r>
      <w:r w:rsidR="000D6F7E">
        <w:rPr>
          <w:rFonts w:ascii="Arial" w:hAnsi="Arial" w:cs="Arial"/>
          <w:sz w:val="22"/>
          <w:szCs w:val="22"/>
          <w:lang w:val="en-GB"/>
        </w:rPr>
        <w:t>.</w:t>
      </w:r>
      <w:r>
        <w:rPr>
          <w:rFonts w:ascii="Arial" w:hAnsi="Arial" w:cs="Arial"/>
          <w:sz w:val="22"/>
          <w:szCs w:val="22"/>
          <w:lang w:val="en-GB"/>
        </w:rPr>
        <w:t>”</w:t>
      </w:r>
      <w:r w:rsidR="000D6F7E">
        <w:rPr>
          <w:rStyle w:val="FootnoteReference"/>
          <w:rFonts w:ascii="Arial" w:hAnsi="Arial" w:cs="Arial"/>
          <w:sz w:val="22"/>
          <w:szCs w:val="22"/>
          <w:lang w:val="en-GB"/>
        </w:rPr>
        <w:footnoteReference w:id="25"/>
      </w:r>
    </w:p>
    <w:p w14:paraId="25446A49" w14:textId="77777777" w:rsidR="00BF7ADF" w:rsidRDefault="00BF7ADF" w:rsidP="00BF7ADF">
      <w:pPr>
        <w:autoSpaceDE w:val="0"/>
        <w:autoSpaceDN w:val="0"/>
        <w:adjustRightInd w:val="0"/>
        <w:spacing w:line="276" w:lineRule="auto"/>
        <w:jc w:val="both"/>
        <w:rPr>
          <w:rFonts w:ascii="Arial" w:hAnsi="Arial" w:cs="Arial"/>
          <w:sz w:val="22"/>
          <w:szCs w:val="22"/>
          <w:lang w:val="en-GB"/>
        </w:rPr>
      </w:pPr>
    </w:p>
    <w:p w14:paraId="27ED64B6" w14:textId="2F09C7D8" w:rsidR="00BF7ADF" w:rsidRPr="00BF7ADF" w:rsidRDefault="00BF7ADF" w:rsidP="00BF7ADF">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Accordingly, the United Kingdom may be able to consider whether the minor creditor would be able to commence insolvency proceedings in the UK.</w:t>
      </w: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0E3AE571" w:rsidR="000D6F7E" w:rsidRDefault="000D6F7E">
      <w:pPr>
        <w:rPr>
          <w:rFonts w:ascii="Arial" w:hAnsi="Arial" w:cs="Arial"/>
          <w:sz w:val="22"/>
          <w:szCs w:val="22"/>
          <w:lang w:val="en-GB"/>
        </w:rPr>
      </w:pPr>
    </w:p>
    <w:p w14:paraId="327A68C1" w14:textId="77777777" w:rsidR="000D6F7E" w:rsidRPr="000D6F7E" w:rsidRDefault="000D6F7E" w:rsidP="000D6F7E">
      <w:pPr>
        <w:rPr>
          <w:rFonts w:ascii="Arial" w:hAnsi="Arial" w:cs="Arial"/>
          <w:sz w:val="22"/>
          <w:szCs w:val="22"/>
          <w:lang w:val="en-GB"/>
        </w:rPr>
      </w:pPr>
    </w:p>
    <w:p w14:paraId="42971CCF" w14:textId="77777777" w:rsidR="000D6F7E" w:rsidRPr="000D6F7E" w:rsidRDefault="000D6F7E" w:rsidP="000D6F7E">
      <w:pPr>
        <w:rPr>
          <w:rFonts w:ascii="Arial" w:hAnsi="Arial" w:cs="Arial"/>
          <w:sz w:val="22"/>
          <w:szCs w:val="22"/>
          <w:lang w:val="en-GB"/>
        </w:rPr>
      </w:pPr>
    </w:p>
    <w:p w14:paraId="38527CDA" w14:textId="77777777" w:rsidR="000D6F7E" w:rsidRPr="000D6F7E" w:rsidRDefault="000D6F7E" w:rsidP="000D6F7E">
      <w:pPr>
        <w:rPr>
          <w:rFonts w:ascii="Arial" w:hAnsi="Arial" w:cs="Arial"/>
          <w:sz w:val="22"/>
          <w:szCs w:val="22"/>
          <w:lang w:val="en-GB"/>
        </w:rPr>
      </w:pPr>
    </w:p>
    <w:p w14:paraId="5B3DDF20" w14:textId="77777777" w:rsidR="000D6F7E" w:rsidRPr="000D6F7E" w:rsidRDefault="000D6F7E" w:rsidP="000D6F7E">
      <w:pPr>
        <w:rPr>
          <w:rFonts w:ascii="Arial" w:hAnsi="Arial" w:cs="Arial"/>
          <w:sz w:val="22"/>
          <w:szCs w:val="22"/>
          <w:lang w:val="en-GB"/>
        </w:rPr>
      </w:pPr>
    </w:p>
    <w:p w14:paraId="44532B56" w14:textId="77777777" w:rsidR="000D6F7E" w:rsidRPr="000D6F7E" w:rsidRDefault="000D6F7E" w:rsidP="000D6F7E">
      <w:pPr>
        <w:rPr>
          <w:rFonts w:ascii="Arial" w:hAnsi="Arial" w:cs="Arial"/>
          <w:sz w:val="22"/>
          <w:szCs w:val="22"/>
          <w:lang w:val="en-GB"/>
        </w:rPr>
      </w:pPr>
    </w:p>
    <w:p w14:paraId="6918858E" w14:textId="77777777" w:rsidR="000D6F7E" w:rsidRPr="000D6F7E" w:rsidRDefault="000D6F7E" w:rsidP="000D6F7E">
      <w:pPr>
        <w:rPr>
          <w:rFonts w:ascii="Arial" w:hAnsi="Arial" w:cs="Arial"/>
          <w:sz w:val="22"/>
          <w:szCs w:val="22"/>
          <w:lang w:val="en-GB"/>
        </w:rPr>
      </w:pPr>
    </w:p>
    <w:p w14:paraId="62787EA5" w14:textId="77777777" w:rsidR="000D6F7E" w:rsidRPr="000D6F7E" w:rsidRDefault="000D6F7E" w:rsidP="000D6F7E">
      <w:pPr>
        <w:rPr>
          <w:rFonts w:ascii="Arial" w:hAnsi="Arial" w:cs="Arial"/>
          <w:sz w:val="22"/>
          <w:szCs w:val="22"/>
          <w:lang w:val="en-GB"/>
        </w:rPr>
      </w:pPr>
    </w:p>
    <w:p w14:paraId="56467CAB" w14:textId="77777777" w:rsidR="000D6F7E" w:rsidRPr="000D6F7E" w:rsidRDefault="000D6F7E" w:rsidP="000D6F7E">
      <w:pPr>
        <w:rPr>
          <w:rFonts w:ascii="Arial" w:hAnsi="Arial" w:cs="Arial"/>
          <w:sz w:val="22"/>
          <w:szCs w:val="22"/>
          <w:lang w:val="en-GB"/>
        </w:rPr>
      </w:pPr>
    </w:p>
    <w:p w14:paraId="0480E151" w14:textId="69298D9A" w:rsidR="000D6F7E" w:rsidRDefault="000D6F7E" w:rsidP="000D6F7E">
      <w:pPr>
        <w:rPr>
          <w:rFonts w:ascii="Arial" w:hAnsi="Arial" w:cs="Arial"/>
          <w:sz w:val="22"/>
          <w:szCs w:val="22"/>
          <w:lang w:val="en-GB"/>
        </w:rPr>
      </w:pPr>
    </w:p>
    <w:p w14:paraId="7A2A32D8" w14:textId="77777777" w:rsidR="001E23FD" w:rsidRPr="000D6F7E" w:rsidRDefault="001E23FD" w:rsidP="000D6F7E">
      <w:pPr>
        <w:jc w:val="center"/>
        <w:rPr>
          <w:rFonts w:ascii="Arial" w:hAnsi="Arial" w:cs="Arial"/>
          <w:sz w:val="22"/>
          <w:szCs w:val="22"/>
          <w:lang w:val="en-GB"/>
        </w:rPr>
      </w:pPr>
    </w:p>
    <w:sectPr w:rsidR="001E23FD" w:rsidRPr="000D6F7E" w:rsidSect="0052732A">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4FC56" w14:textId="77777777" w:rsidR="0086707A" w:rsidRDefault="0086707A" w:rsidP="00241B44">
      <w:r>
        <w:separator/>
      </w:r>
    </w:p>
  </w:endnote>
  <w:endnote w:type="continuationSeparator" w:id="0">
    <w:p w14:paraId="1569510E" w14:textId="77777777" w:rsidR="0086707A" w:rsidRDefault="0086707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Avenir Next">
    <w:altName w:val="Avenir Next Regular"/>
    <w:charset w:val="00"/>
    <w:family w:val="swiss"/>
    <w:pitch w:val="variable"/>
    <w:sig w:usb0="8000002F" w:usb1="5000204A" w:usb2="00000000" w:usb3="00000000" w:csb0="0000009B"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86707A" w:rsidRPr="00A31881" w:rsidRDefault="0086707A"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86707A" w:rsidRPr="00A31881" w:rsidRDefault="0086707A" w:rsidP="00FC7B47">
    <w:pPr>
      <w:pStyle w:val="Footer"/>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86707A" w:rsidRPr="0052732A" w:rsidRDefault="0086707A"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A60E88">
          <w:rPr>
            <w:rStyle w:val="PageNumber"/>
            <w:rFonts w:ascii="Arial" w:hAnsi="Arial" w:cs="Arial"/>
            <w:b/>
            <w:bCs/>
            <w:noProof/>
            <w:sz w:val="18"/>
            <w:szCs w:val="18"/>
          </w:rPr>
          <w:t>12</w:t>
        </w:r>
        <w:r w:rsidRPr="00C50F86">
          <w:rPr>
            <w:rStyle w:val="PageNumber"/>
            <w:rFonts w:ascii="Arial" w:hAnsi="Arial" w:cs="Arial"/>
            <w:b/>
            <w:bCs/>
            <w:sz w:val="18"/>
            <w:szCs w:val="18"/>
          </w:rPr>
          <w:fldChar w:fldCharType="end"/>
        </w:r>
      </w:p>
    </w:sdtContent>
  </w:sdt>
  <w:p w14:paraId="12ABA5E1" w14:textId="7C6F60E6" w:rsidR="0086707A" w:rsidRPr="0052732A" w:rsidRDefault="0086707A" w:rsidP="0052732A">
    <w:pPr>
      <w:pStyle w:val="Footer"/>
      <w:ind w:right="360"/>
      <w:rPr>
        <w:rFonts w:ascii="Arial" w:hAnsi="Arial" w:cs="Arial"/>
        <w:sz w:val="18"/>
        <w:szCs w:val="18"/>
      </w:rPr>
    </w:pPr>
    <w:r>
      <w:rPr>
        <w:rFonts w:ascii="Arial" w:hAnsi="Arial" w:cs="Arial"/>
        <w:sz w:val="18"/>
        <w:szCs w:val="18"/>
      </w:rPr>
      <w:t>202122-603</w:t>
    </w:r>
    <w:r w:rsidRPr="0052732A">
      <w:rPr>
        <w:rFonts w:ascii="Arial" w:hAnsi="Arial" w:cs="Arial"/>
        <w:sz w:val="18"/>
        <w:szCs w:val="18"/>
      </w:rPr>
      <w:t>.assessment1summative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D2433" w14:textId="77777777" w:rsidR="0086707A" w:rsidRDefault="0086707A" w:rsidP="00241B44">
      <w:r>
        <w:separator/>
      </w:r>
    </w:p>
  </w:footnote>
  <w:footnote w:type="continuationSeparator" w:id="0">
    <w:p w14:paraId="1B0F45A1" w14:textId="77777777" w:rsidR="0086707A" w:rsidRDefault="0086707A" w:rsidP="00241B44">
      <w:r>
        <w:continuationSeparator/>
      </w:r>
    </w:p>
  </w:footnote>
  <w:footnote w:id="1">
    <w:p w14:paraId="3F96960E" w14:textId="0EDF2C47" w:rsidR="0086707A" w:rsidRDefault="0086707A">
      <w:pPr>
        <w:pStyle w:val="FootnoteText"/>
      </w:pPr>
      <w:r>
        <w:rPr>
          <w:rStyle w:val="FootnoteReference"/>
        </w:rPr>
        <w:footnoteRef/>
      </w:r>
      <w:r>
        <w:t xml:space="preserve"> Prof. Andre </w:t>
      </w:r>
      <w:proofErr w:type="spellStart"/>
      <w:r>
        <w:t>Boraine</w:t>
      </w:r>
      <w:proofErr w:type="spellEnd"/>
      <w:r>
        <w:t xml:space="preserve"> &amp; Prof. </w:t>
      </w:r>
      <w:proofErr w:type="spellStart"/>
      <w:r>
        <w:t>Rodalind</w:t>
      </w:r>
      <w:proofErr w:type="spellEnd"/>
      <w:r>
        <w:t xml:space="preserve"> Mason – INSOL Foundation Certificate In International Insolvency Law Module 1 Guidance Text Introduction to International Insolvency Law 2021/2022 (“</w:t>
      </w:r>
      <w:r w:rsidRPr="00B65ED9">
        <w:rPr>
          <w:b/>
        </w:rPr>
        <w:t>Guidance Text</w:t>
      </w:r>
      <w:r>
        <w:t xml:space="preserve">”) pages 5; </w:t>
      </w:r>
    </w:p>
  </w:footnote>
  <w:footnote w:id="2">
    <w:p w14:paraId="3FA2C1C5" w14:textId="02D99E31" w:rsidR="0086707A" w:rsidRDefault="0086707A">
      <w:pPr>
        <w:pStyle w:val="FootnoteText"/>
      </w:pPr>
      <w:r>
        <w:rPr>
          <w:rStyle w:val="FootnoteReference"/>
        </w:rPr>
        <w:footnoteRef/>
      </w:r>
      <w:r>
        <w:t xml:space="preserve"> Guidance Text page 5</w:t>
      </w:r>
    </w:p>
  </w:footnote>
  <w:footnote w:id="3">
    <w:p w14:paraId="0C454458" w14:textId="5EEB5033" w:rsidR="0086707A" w:rsidRDefault="0086707A">
      <w:pPr>
        <w:pStyle w:val="FootnoteText"/>
      </w:pPr>
      <w:r>
        <w:rPr>
          <w:rStyle w:val="FootnoteReference"/>
        </w:rPr>
        <w:footnoteRef/>
      </w:r>
      <w:r>
        <w:t xml:space="preserve"> Guidance Text page 6</w:t>
      </w:r>
    </w:p>
  </w:footnote>
  <w:footnote w:id="4">
    <w:p w14:paraId="30C8E4D0" w14:textId="4366F27A" w:rsidR="0086707A" w:rsidRDefault="0086707A">
      <w:pPr>
        <w:pStyle w:val="FootnoteText"/>
      </w:pPr>
      <w:r>
        <w:rPr>
          <w:rStyle w:val="FootnoteReference"/>
        </w:rPr>
        <w:footnoteRef/>
      </w:r>
      <w:r>
        <w:t xml:space="preserve"> Guidance Text page 7</w:t>
      </w:r>
    </w:p>
  </w:footnote>
  <w:footnote w:id="5">
    <w:p w14:paraId="0208CA7D" w14:textId="6DB8D365" w:rsidR="0086707A" w:rsidRDefault="0086707A">
      <w:pPr>
        <w:pStyle w:val="FootnoteText"/>
      </w:pPr>
      <w:r>
        <w:rPr>
          <w:rStyle w:val="FootnoteReference"/>
        </w:rPr>
        <w:footnoteRef/>
      </w:r>
      <w:r>
        <w:t xml:space="preserve"> </w:t>
      </w:r>
      <w:hyperlink r:id="rId1" w:history="1">
        <w:r w:rsidRPr="00DA4DFC">
          <w:rPr>
            <w:rStyle w:val="Hyperlink"/>
          </w:rPr>
          <w:t>https://commonslibrary.parliament.uk/research-briefings/cbp-8971/</w:t>
        </w:r>
      </w:hyperlink>
      <w:r>
        <w:t xml:space="preserve"> </w:t>
      </w:r>
    </w:p>
  </w:footnote>
  <w:footnote w:id="6">
    <w:p w14:paraId="60C92874" w14:textId="136CF050" w:rsidR="0086707A" w:rsidRDefault="0086707A">
      <w:pPr>
        <w:pStyle w:val="FootnoteText"/>
      </w:pPr>
      <w:r>
        <w:rPr>
          <w:rStyle w:val="FootnoteReference"/>
        </w:rPr>
        <w:footnoteRef/>
      </w:r>
      <w:r>
        <w:t xml:space="preserve"> </w:t>
      </w:r>
      <w:hyperlink r:id="rId2" w:history="1">
        <w:r w:rsidRPr="00DA4DFC">
          <w:rPr>
            <w:rStyle w:val="Hyperlink"/>
          </w:rPr>
          <w:t>https://commonslibrary.parliament.uk/research-briefings/cbp-8971/</w:t>
        </w:r>
      </w:hyperlink>
    </w:p>
  </w:footnote>
  <w:footnote w:id="7">
    <w:p w14:paraId="172CB0A7" w14:textId="6F5E65CF" w:rsidR="0086707A" w:rsidRDefault="0086707A">
      <w:pPr>
        <w:pStyle w:val="FootnoteText"/>
      </w:pPr>
      <w:r>
        <w:rPr>
          <w:rStyle w:val="FootnoteReference"/>
        </w:rPr>
        <w:footnoteRef/>
      </w:r>
      <w:r>
        <w:t xml:space="preserve"> Guidance Text page 47</w:t>
      </w:r>
    </w:p>
  </w:footnote>
  <w:footnote w:id="8">
    <w:p w14:paraId="646D9F18" w14:textId="502FAF69" w:rsidR="0086707A" w:rsidRDefault="0086707A">
      <w:pPr>
        <w:pStyle w:val="FootnoteText"/>
      </w:pPr>
      <w:r>
        <w:rPr>
          <w:rStyle w:val="FootnoteReference"/>
        </w:rPr>
        <w:footnoteRef/>
      </w:r>
      <w:r>
        <w:t xml:space="preserve"> Guidance Text page 50</w:t>
      </w:r>
    </w:p>
  </w:footnote>
  <w:footnote w:id="9">
    <w:p w14:paraId="46CD8647" w14:textId="5EA83CCB" w:rsidR="0086707A" w:rsidRDefault="0086707A">
      <w:pPr>
        <w:pStyle w:val="FootnoteText"/>
      </w:pPr>
      <w:r>
        <w:rPr>
          <w:rStyle w:val="FootnoteReference"/>
        </w:rPr>
        <w:footnoteRef/>
      </w:r>
      <w:r>
        <w:t xml:space="preserve"> Guidance Text page 47</w:t>
      </w:r>
    </w:p>
  </w:footnote>
  <w:footnote w:id="10">
    <w:p w14:paraId="160436C6" w14:textId="1A990F08" w:rsidR="0086707A" w:rsidRDefault="0086707A">
      <w:pPr>
        <w:pStyle w:val="FootnoteText"/>
      </w:pPr>
      <w:r>
        <w:rPr>
          <w:rStyle w:val="FootnoteReference"/>
        </w:rPr>
        <w:footnoteRef/>
      </w:r>
      <w:r>
        <w:t xml:space="preserve"> Guidance Text page 19</w:t>
      </w:r>
    </w:p>
  </w:footnote>
  <w:footnote w:id="11">
    <w:p w14:paraId="36CC34EC" w14:textId="77777777" w:rsidR="0086707A" w:rsidRDefault="0086707A" w:rsidP="00561BEA">
      <w:pPr>
        <w:pStyle w:val="FootnoteText"/>
      </w:pPr>
      <w:r>
        <w:rPr>
          <w:rStyle w:val="FootnoteReference"/>
        </w:rPr>
        <w:footnoteRef/>
      </w:r>
      <w:r>
        <w:t xml:space="preserve"> Guidance Text page 44; I F Fletcher, the Law of Insolvency, London (Sweet and Maxwell, 5</w:t>
      </w:r>
      <w:r w:rsidRPr="00595B17">
        <w:rPr>
          <w:vertAlign w:val="superscript"/>
        </w:rPr>
        <w:t>th</w:t>
      </w:r>
      <w:r>
        <w:t xml:space="preserve"> </w:t>
      </w:r>
      <w:proofErr w:type="spellStart"/>
      <w:r>
        <w:t>ed</w:t>
      </w:r>
      <w:proofErr w:type="spellEnd"/>
      <w:r>
        <w:t>, 2017) (“Fletcher”) note 56</w:t>
      </w:r>
    </w:p>
  </w:footnote>
  <w:footnote w:id="12">
    <w:p w14:paraId="15E008C5" w14:textId="68457E02" w:rsidR="0086707A" w:rsidRDefault="0086707A">
      <w:pPr>
        <w:pStyle w:val="FootnoteText"/>
      </w:pPr>
      <w:r>
        <w:rPr>
          <w:rStyle w:val="FootnoteReference"/>
        </w:rPr>
        <w:footnoteRef/>
      </w:r>
      <w:r>
        <w:t xml:space="preserve"> Guidance Text page 44</w:t>
      </w:r>
    </w:p>
  </w:footnote>
  <w:footnote w:id="13">
    <w:p w14:paraId="4E2F5B21" w14:textId="236980B2" w:rsidR="0086707A" w:rsidRDefault="0086707A">
      <w:pPr>
        <w:pStyle w:val="FootnoteText"/>
      </w:pPr>
      <w:r>
        <w:rPr>
          <w:rStyle w:val="FootnoteReference"/>
        </w:rPr>
        <w:footnoteRef/>
      </w:r>
      <w:r>
        <w:t xml:space="preserve"> Guidance Text page 45</w:t>
      </w:r>
    </w:p>
  </w:footnote>
  <w:footnote w:id="14">
    <w:p w14:paraId="07B10249" w14:textId="64303DAE" w:rsidR="0086707A" w:rsidRDefault="0086707A">
      <w:pPr>
        <w:pStyle w:val="FootnoteText"/>
      </w:pPr>
      <w:r>
        <w:rPr>
          <w:rStyle w:val="FootnoteReference"/>
        </w:rPr>
        <w:footnoteRef/>
      </w:r>
      <w:r>
        <w:t xml:space="preserve"> Guidance Text pages 68-69</w:t>
      </w:r>
    </w:p>
  </w:footnote>
  <w:footnote w:id="15">
    <w:p w14:paraId="5C4B87A0" w14:textId="0010A2B7" w:rsidR="0086707A" w:rsidRDefault="0086707A">
      <w:pPr>
        <w:pStyle w:val="FootnoteText"/>
      </w:pPr>
      <w:r>
        <w:rPr>
          <w:rStyle w:val="FootnoteReference"/>
        </w:rPr>
        <w:footnoteRef/>
      </w:r>
      <w:r>
        <w:t xml:space="preserve"> Guidance Text page 54</w:t>
      </w:r>
    </w:p>
  </w:footnote>
  <w:footnote w:id="16">
    <w:p w14:paraId="706A7427" w14:textId="09380DBF" w:rsidR="00A60E88" w:rsidRDefault="00A60E88">
      <w:pPr>
        <w:pStyle w:val="FootnoteText"/>
      </w:pPr>
      <w:r>
        <w:rPr>
          <w:rStyle w:val="FootnoteReference"/>
        </w:rPr>
        <w:footnoteRef/>
      </w:r>
      <w:r>
        <w:t xml:space="preserve"> Guidance Text page </w:t>
      </w:r>
      <w:r>
        <w:t>64</w:t>
      </w:r>
      <w:bookmarkStart w:id="3" w:name="_GoBack"/>
      <w:bookmarkEnd w:id="3"/>
    </w:p>
  </w:footnote>
  <w:footnote w:id="17">
    <w:p w14:paraId="7FF7F7F9" w14:textId="4C22312A" w:rsidR="0086707A" w:rsidRDefault="0086707A">
      <w:pPr>
        <w:pStyle w:val="FootnoteText"/>
      </w:pPr>
      <w:r>
        <w:rPr>
          <w:rStyle w:val="FootnoteReference"/>
        </w:rPr>
        <w:footnoteRef/>
      </w:r>
      <w:r>
        <w:t xml:space="preserve"> Guidance Text page 46</w:t>
      </w:r>
    </w:p>
  </w:footnote>
  <w:footnote w:id="18">
    <w:p w14:paraId="1B51B973" w14:textId="77777777" w:rsidR="0086707A" w:rsidRDefault="0086707A" w:rsidP="00A64385">
      <w:pPr>
        <w:pStyle w:val="FootnoteText"/>
      </w:pPr>
      <w:r>
        <w:rPr>
          <w:rStyle w:val="FootnoteReference"/>
        </w:rPr>
        <w:footnoteRef/>
      </w:r>
      <w:r>
        <w:t xml:space="preserve"> Guidance Text pages 47 – 50 </w:t>
      </w:r>
    </w:p>
  </w:footnote>
  <w:footnote w:id="19">
    <w:p w14:paraId="7B82B65B" w14:textId="1F79D79E" w:rsidR="0086707A" w:rsidRDefault="0086707A">
      <w:pPr>
        <w:pStyle w:val="FootnoteText"/>
      </w:pPr>
      <w:r>
        <w:rPr>
          <w:rStyle w:val="FootnoteReference"/>
        </w:rPr>
        <w:footnoteRef/>
      </w:r>
      <w:r>
        <w:t xml:space="preserve"> Guidance Text page 45</w:t>
      </w:r>
    </w:p>
  </w:footnote>
  <w:footnote w:id="20">
    <w:p w14:paraId="15B39CF7" w14:textId="7F8DA8ED" w:rsidR="0086707A" w:rsidRDefault="0086707A">
      <w:pPr>
        <w:pStyle w:val="FootnoteText"/>
      </w:pPr>
      <w:r>
        <w:rPr>
          <w:rStyle w:val="FootnoteReference"/>
        </w:rPr>
        <w:footnoteRef/>
      </w:r>
      <w:r>
        <w:t xml:space="preserve"> Guidance Text page 44; I F Fletcher, the Law of Insolvency, London (Sweet and Maxwell, 5</w:t>
      </w:r>
      <w:r w:rsidRPr="00595B17">
        <w:rPr>
          <w:vertAlign w:val="superscript"/>
        </w:rPr>
        <w:t>th</w:t>
      </w:r>
      <w:r>
        <w:t xml:space="preserve"> </w:t>
      </w:r>
      <w:proofErr w:type="spellStart"/>
      <w:r>
        <w:t>ed</w:t>
      </w:r>
      <w:proofErr w:type="spellEnd"/>
      <w:r>
        <w:t>, 2017) (“Fletcher”) note 56</w:t>
      </w:r>
    </w:p>
  </w:footnote>
  <w:footnote w:id="21">
    <w:p w14:paraId="6740FF19" w14:textId="55A385FE" w:rsidR="0086707A" w:rsidRDefault="0086707A">
      <w:pPr>
        <w:pStyle w:val="FootnoteText"/>
      </w:pPr>
      <w:r>
        <w:rPr>
          <w:rStyle w:val="FootnoteReference"/>
        </w:rPr>
        <w:footnoteRef/>
      </w:r>
      <w:r>
        <w:t xml:space="preserve"> Guidance Text page 48; Fletcher note 4</w:t>
      </w:r>
    </w:p>
  </w:footnote>
  <w:footnote w:id="22">
    <w:p w14:paraId="10D4E2B9" w14:textId="3F874D34" w:rsidR="0086707A" w:rsidRDefault="0086707A">
      <w:pPr>
        <w:pStyle w:val="FootnoteText"/>
      </w:pPr>
      <w:r>
        <w:rPr>
          <w:rStyle w:val="FootnoteReference"/>
        </w:rPr>
        <w:footnoteRef/>
      </w:r>
      <w:r>
        <w:t xml:space="preserve"> Guidance Text page 48</w:t>
      </w:r>
    </w:p>
  </w:footnote>
  <w:footnote w:id="23">
    <w:p w14:paraId="287AB7EA" w14:textId="7A600BE3" w:rsidR="0086707A" w:rsidRDefault="0086707A">
      <w:pPr>
        <w:pStyle w:val="FootnoteText"/>
      </w:pPr>
      <w:r>
        <w:rPr>
          <w:rStyle w:val="FootnoteReference"/>
        </w:rPr>
        <w:footnoteRef/>
      </w:r>
      <w:r>
        <w:t xml:space="preserve"> Guidance Text page 48, Fletcher note 4</w:t>
      </w:r>
    </w:p>
  </w:footnote>
  <w:footnote w:id="24">
    <w:p w14:paraId="7EE7730A" w14:textId="70CA4858" w:rsidR="0086707A" w:rsidRDefault="0086707A">
      <w:pPr>
        <w:pStyle w:val="FootnoteText"/>
      </w:pPr>
      <w:r>
        <w:rPr>
          <w:rStyle w:val="FootnoteReference"/>
        </w:rPr>
        <w:footnoteRef/>
      </w:r>
      <w:r>
        <w:t xml:space="preserve"> Guidance Text page 50</w:t>
      </w:r>
    </w:p>
  </w:footnote>
  <w:footnote w:id="25">
    <w:p w14:paraId="65468B30" w14:textId="068DEFF3" w:rsidR="0086707A" w:rsidRDefault="0086707A">
      <w:pPr>
        <w:pStyle w:val="FootnoteText"/>
      </w:pPr>
      <w:r>
        <w:rPr>
          <w:rStyle w:val="FootnoteReference"/>
        </w:rPr>
        <w:footnoteRef/>
      </w:r>
      <w:r>
        <w:t xml:space="preserve"> Guidance Text page 49; McGrath v Riddell [2008] UKHL 21, par 30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nsid w:val="0DEE0A2E"/>
    <w:multiLevelType w:val="hybridMultilevel"/>
    <w:tmpl w:val="F3A2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nsid w:val="2A7048A0"/>
    <w:multiLevelType w:val="hybridMultilevel"/>
    <w:tmpl w:val="F3A2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0083A65"/>
    <w:multiLevelType w:val="hybridMultilevel"/>
    <w:tmpl w:val="62002374"/>
    <w:lvl w:ilvl="0" w:tplc="94761BE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5">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nsid w:val="6B7F35B8"/>
    <w:multiLevelType w:val="hybridMultilevel"/>
    <w:tmpl w:val="5316C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0"/>
  </w:num>
  <w:num w:numId="2">
    <w:abstractNumId w:val="11"/>
  </w:num>
  <w:num w:numId="3">
    <w:abstractNumId w:val="19"/>
  </w:num>
  <w:num w:numId="4">
    <w:abstractNumId w:val="5"/>
  </w:num>
  <w:num w:numId="5">
    <w:abstractNumId w:val="3"/>
  </w:num>
  <w:num w:numId="6">
    <w:abstractNumId w:val="16"/>
  </w:num>
  <w:num w:numId="7">
    <w:abstractNumId w:val="4"/>
  </w:num>
  <w:num w:numId="8">
    <w:abstractNumId w:val="2"/>
  </w:num>
  <w:num w:numId="9">
    <w:abstractNumId w:val="0"/>
  </w:num>
  <w:num w:numId="10">
    <w:abstractNumId w:val="7"/>
  </w:num>
  <w:num w:numId="11">
    <w:abstractNumId w:val="13"/>
  </w:num>
  <w:num w:numId="12">
    <w:abstractNumId w:val="18"/>
  </w:num>
  <w:num w:numId="13">
    <w:abstractNumId w:val="14"/>
  </w:num>
  <w:num w:numId="14">
    <w:abstractNumId w:val="8"/>
  </w:num>
  <w:num w:numId="15">
    <w:abstractNumId w:val="12"/>
  </w:num>
  <w:num w:numId="16">
    <w:abstractNumId w:val="15"/>
  </w:num>
  <w:num w:numId="17">
    <w:abstractNumId w:val="6"/>
  </w:num>
  <w:num w:numId="18">
    <w:abstractNumId w:val="9"/>
  </w:num>
  <w:num w:numId="19">
    <w:abstractNumId w:val="1"/>
  </w:num>
  <w:num w:numId="2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0CE4"/>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2B10"/>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D6F7E"/>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1DD"/>
    <w:rsid w:val="00124B70"/>
    <w:rsid w:val="00125A7C"/>
    <w:rsid w:val="00126A4D"/>
    <w:rsid w:val="00131D42"/>
    <w:rsid w:val="0013278B"/>
    <w:rsid w:val="00135FFC"/>
    <w:rsid w:val="0014171F"/>
    <w:rsid w:val="0014622C"/>
    <w:rsid w:val="00150F6C"/>
    <w:rsid w:val="00152348"/>
    <w:rsid w:val="0015328F"/>
    <w:rsid w:val="0015456D"/>
    <w:rsid w:val="00154F62"/>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3B92"/>
    <w:rsid w:val="001A620B"/>
    <w:rsid w:val="001A7E9A"/>
    <w:rsid w:val="001B0F70"/>
    <w:rsid w:val="001B5016"/>
    <w:rsid w:val="001B6CEE"/>
    <w:rsid w:val="001C45FC"/>
    <w:rsid w:val="001C594A"/>
    <w:rsid w:val="001D1BF7"/>
    <w:rsid w:val="001D4862"/>
    <w:rsid w:val="001D6D38"/>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17D96"/>
    <w:rsid w:val="00223780"/>
    <w:rsid w:val="0022719C"/>
    <w:rsid w:val="002348C3"/>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1E4D"/>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B72B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288D"/>
    <w:rsid w:val="00493855"/>
    <w:rsid w:val="00497558"/>
    <w:rsid w:val="00497CF9"/>
    <w:rsid w:val="004A1D86"/>
    <w:rsid w:val="004A57DD"/>
    <w:rsid w:val="004A7B51"/>
    <w:rsid w:val="004A7D71"/>
    <w:rsid w:val="004A7EF3"/>
    <w:rsid w:val="004B0EBE"/>
    <w:rsid w:val="004B10C5"/>
    <w:rsid w:val="004B11FD"/>
    <w:rsid w:val="004B23A2"/>
    <w:rsid w:val="004B25E4"/>
    <w:rsid w:val="004B428D"/>
    <w:rsid w:val="004B5A0B"/>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2AD9"/>
    <w:rsid w:val="005331CA"/>
    <w:rsid w:val="0053523A"/>
    <w:rsid w:val="00537970"/>
    <w:rsid w:val="00540E3A"/>
    <w:rsid w:val="00542E08"/>
    <w:rsid w:val="005433D7"/>
    <w:rsid w:val="00543941"/>
    <w:rsid w:val="00544127"/>
    <w:rsid w:val="005508BB"/>
    <w:rsid w:val="00553E37"/>
    <w:rsid w:val="00553EB2"/>
    <w:rsid w:val="00560534"/>
    <w:rsid w:val="00561BEA"/>
    <w:rsid w:val="0056391B"/>
    <w:rsid w:val="005650E2"/>
    <w:rsid w:val="00566D80"/>
    <w:rsid w:val="00567AD7"/>
    <w:rsid w:val="005716C3"/>
    <w:rsid w:val="00573594"/>
    <w:rsid w:val="00575B2D"/>
    <w:rsid w:val="005800D0"/>
    <w:rsid w:val="005833D0"/>
    <w:rsid w:val="005846F3"/>
    <w:rsid w:val="0058622F"/>
    <w:rsid w:val="005865D6"/>
    <w:rsid w:val="005904F3"/>
    <w:rsid w:val="00590880"/>
    <w:rsid w:val="00590FE6"/>
    <w:rsid w:val="00591631"/>
    <w:rsid w:val="00592E7F"/>
    <w:rsid w:val="00592F82"/>
    <w:rsid w:val="005936B3"/>
    <w:rsid w:val="005953ED"/>
    <w:rsid w:val="00595B17"/>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15B94"/>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04E"/>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514A"/>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A5396"/>
    <w:rsid w:val="007B1E13"/>
    <w:rsid w:val="007B4389"/>
    <w:rsid w:val="007C0111"/>
    <w:rsid w:val="007C0663"/>
    <w:rsid w:val="007C1FCC"/>
    <w:rsid w:val="007C2831"/>
    <w:rsid w:val="007C2AA1"/>
    <w:rsid w:val="007C6201"/>
    <w:rsid w:val="007D0348"/>
    <w:rsid w:val="007D09F5"/>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6707A"/>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11B"/>
    <w:rsid w:val="00A177BC"/>
    <w:rsid w:val="00A17930"/>
    <w:rsid w:val="00A2274A"/>
    <w:rsid w:val="00A235B7"/>
    <w:rsid w:val="00A23CC4"/>
    <w:rsid w:val="00A249AC"/>
    <w:rsid w:val="00A27A7A"/>
    <w:rsid w:val="00A301D1"/>
    <w:rsid w:val="00A31881"/>
    <w:rsid w:val="00A337A5"/>
    <w:rsid w:val="00A407EF"/>
    <w:rsid w:val="00A411B7"/>
    <w:rsid w:val="00A46B4C"/>
    <w:rsid w:val="00A5117B"/>
    <w:rsid w:val="00A560B6"/>
    <w:rsid w:val="00A56CF7"/>
    <w:rsid w:val="00A56DBC"/>
    <w:rsid w:val="00A60074"/>
    <w:rsid w:val="00A60E88"/>
    <w:rsid w:val="00A64385"/>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766"/>
    <w:rsid w:val="00AD1B6B"/>
    <w:rsid w:val="00AD74AD"/>
    <w:rsid w:val="00AE027F"/>
    <w:rsid w:val="00AF228E"/>
    <w:rsid w:val="00AF455B"/>
    <w:rsid w:val="00B0123F"/>
    <w:rsid w:val="00B04004"/>
    <w:rsid w:val="00B14819"/>
    <w:rsid w:val="00B17AA9"/>
    <w:rsid w:val="00B20514"/>
    <w:rsid w:val="00B221FF"/>
    <w:rsid w:val="00B22D14"/>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39D2"/>
    <w:rsid w:val="00B6409C"/>
    <w:rsid w:val="00B65ED9"/>
    <w:rsid w:val="00B66053"/>
    <w:rsid w:val="00B7193E"/>
    <w:rsid w:val="00B72999"/>
    <w:rsid w:val="00B72FD7"/>
    <w:rsid w:val="00B736DF"/>
    <w:rsid w:val="00B74FBD"/>
    <w:rsid w:val="00B82586"/>
    <w:rsid w:val="00B829A3"/>
    <w:rsid w:val="00B860E6"/>
    <w:rsid w:val="00B86537"/>
    <w:rsid w:val="00B86DB1"/>
    <w:rsid w:val="00B87869"/>
    <w:rsid w:val="00B87A61"/>
    <w:rsid w:val="00B92D5B"/>
    <w:rsid w:val="00B9417E"/>
    <w:rsid w:val="00BA1648"/>
    <w:rsid w:val="00BA2637"/>
    <w:rsid w:val="00BA35FF"/>
    <w:rsid w:val="00BB09FD"/>
    <w:rsid w:val="00BB0F2B"/>
    <w:rsid w:val="00BB2D45"/>
    <w:rsid w:val="00BB5A37"/>
    <w:rsid w:val="00BB6955"/>
    <w:rsid w:val="00BB6F7A"/>
    <w:rsid w:val="00BC48EB"/>
    <w:rsid w:val="00BC585F"/>
    <w:rsid w:val="00BC5D7D"/>
    <w:rsid w:val="00BD0299"/>
    <w:rsid w:val="00BD23B4"/>
    <w:rsid w:val="00BD3363"/>
    <w:rsid w:val="00BD3F18"/>
    <w:rsid w:val="00BD6388"/>
    <w:rsid w:val="00BD64FB"/>
    <w:rsid w:val="00BD7D49"/>
    <w:rsid w:val="00BF2B49"/>
    <w:rsid w:val="00BF2E7A"/>
    <w:rsid w:val="00BF3D02"/>
    <w:rsid w:val="00BF40B9"/>
    <w:rsid w:val="00BF50F7"/>
    <w:rsid w:val="00BF5D90"/>
    <w:rsid w:val="00BF7ADF"/>
    <w:rsid w:val="00C00231"/>
    <w:rsid w:val="00C01017"/>
    <w:rsid w:val="00C02F29"/>
    <w:rsid w:val="00C045C5"/>
    <w:rsid w:val="00C14FEA"/>
    <w:rsid w:val="00C15A16"/>
    <w:rsid w:val="00C1724E"/>
    <w:rsid w:val="00C20AFE"/>
    <w:rsid w:val="00C22A25"/>
    <w:rsid w:val="00C26E4B"/>
    <w:rsid w:val="00C31091"/>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4768"/>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2AF4"/>
    <w:rsid w:val="00DB482A"/>
    <w:rsid w:val="00DB56F2"/>
    <w:rsid w:val="00DB5D9B"/>
    <w:rsid w:val="00DB6EF5"/>
    <w:rsid w:val="00DC280E"/>
    <w:rsid w:val="00DC2A3F"/>
    <w:rsid w:val="00DC2BEC"/>
    <w:rsid w:val="00DC2FDB"/>
    <w:rsid w:val="00DC3089"/>
    <w:rsid w:val="00DC4420"/>
    <w:rsid w:val="00DC47C3"/>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2ECA"/>
    <w:rsid w:val="00E041F9"/>
    <w:rsid w:val="00E05837"/>
    <w:rsid w:val="00E07C5A"/>
    <w:rsid w:val="00E10A73"/>
    <w:rsid w:val="00E12C13"/>
    <w:rsid w:val="00E14F32"/>
    <w:rsid w:val="00E15BA9"/>
    <w:rsid w:val="00E161D2"/>
    <w:rsid w:val="00E16CBB"/>
    <w:rsid w:val="00E177E2"/>
    <w:rsid w:val="00E22451"/>
    <w:rsid w:val="00E22DE4"/>
    <w:rsid w:val="00E26E19"/>
    <w:rsid w:val="00E31DF3"/>
    <w:rsid w:val="00E37049"/>
    <w:rsid w:val="00E450A4"/>
    <w:rsid w:val="00E506BE"/>
    <w:rsid w:val="00E5077C"/>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A6CF1"/>
    <w:rsid w:val="00EB02BE"/>
    <w:rsid w:val="00EB146B"/>
    <w:rsid w:val="00EB2845"/>
    <w:rsid w:val="00EB45AC"/>
    <w:rsid w:val="00EB488B"/>
    <w:rsid w:val="00EB6668"/>
    <w:rsid w:val="00EB6A2F"/>
    <w:rsid w:val="00EC09F7"/>
    <w:rsid w:val="00EC2503"/>
    <w:rsid w:val="00EC3875"/>
    <w:rsid w:val="00EC549E"/>
    <w:rsid w:val="00EC6E55"/>
    <w:rsid w:val="00ED0BC4"/>
    <w:rsid w:val="00ED151E"/>
    <w:rsid w:val="00ED617A"/>
    <w:rsid w:val="00EE1A0E"/>
    <w:rsid w:val="00EE3381"/>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0166"/>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commonslibrary.parliament.uk/research-briefings/cbp-8971/" TargetMode="External"/><Relationship Id="rId2" Type="http://schemas.openxmlformats.org/officeDocument/2006/relationships/hyperlink" Target="https://commonslibrary.parliament.uk/research-briefings/cbp-8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96E6DD97-5EE3-8B42-9CC7-3C7FC3BC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14</Pages>
  <Words>4224</Words>
  <Characters>24077</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Kaveer Soni</cp:lastModifiedBy>
  <cp:revision>40</cp:revision>
  <cp:lastPrinted>2020-06-12T02:43:00Z</cp:lastPrinted>
  <dcterms:created xsi:type="dcterms:W3CDTF">2021-11-07T03:22:00Z</dcterms:created>
  <dcterms:modified xsi:type="dcterms:W3CDTF">2021-11-15T22:56:00Z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