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w:t>
      </w:r>
      <w:r w:rsidR="00E7793C" w:rsidRPr="00205B31">
        <w:rPr>
          <w:rFonts w:ascii="Arial" w:hAnsi="Arial" w:cs="Arial"/>
          <w:sz w:val="22"/>
          <w:szCs w:val="22"/>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B4173F" w:rsidRDefault="00E7793C" w:rsidP="009D510C">
      <w:pPr>
        <w:pStyle w:val="ListParagraph"/>
        <w:numPr>
          <w:ilvl w:val="0"/>
          <w:numId w:val="12"/>
        </w:numPr>
        <w:ind w:left="426"/>
        <w:jc w:val="both"/>
        <w:rPr>
          <w:rFonts w:ascii="Arial" w:hAnsi="Arial" w:cs="Arial"/>
          <w:sz w:val="22"/>
          <w:szCs w:val="22"/>
          <w:highlight w:val="yellow"/>
          <w:lang w:val="en-GB"/>
        </w:rPr>
      </w:pPr>
      <w:r w:rsidRPr="00B4173F">
        <w:rPr>
          <w:rFonts w:ascii="Arial" w:hAnsi="Arial" w:cs="Arial"/>
          <w:sz w:val="22"/>
          <w:szCs w:val="22"/>
          <w:highlight w:val="yellow"/>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71505F" w:rsidRDefault="00AE027F" w:rsidP="009D510C">
      <w:pPr>
        <w:pStyle w:val="ListParagraph"/>
        <w:numPr>
          <w:ilvl w:val="0"/>
          <w:numId w:val="13"/>
        </w:numPr>
        <w:jc w:val="both"/>
        <w:rPr>
          <w:rFonts w:ascii="Arial" w:hAnsi="Arial" w:cs="Arial"/>
          <w:sz w:val="22"/>
          <w:szCs w:val="22"/>
          <w:highlight w:val="yellow"/>
          <w:lang w:val="en-GB"/>
        </w:rPr>
      </w:pPr>
      <w:r w:rsidRPr="0071505F">
        <w:rPr>
          <w:rFonts w:ascii="Arial" w:hAnsi="Arial" w:cs="Arial"/>
          <w:sz w:val="22"/>
          <w:szCs w:val="22"/>
          <w:highlight w:val="yellow"/>
          <w:lang w:val="en-GB"/>
        </w:rPr>
        <w:t>The statement i</w:t>
      </w:r>
      <w:r w:rsidR="006E77B0" w:rsidRPr="0071505F">
        <w:rPr>
          <w:rFonts w:ascii="Arial" w:hAnsi="Arial" w:cs="Arial"/>
          <w:sz w:val="22"/>
          <w:szCs w:val="22"/>
          <w:highlight w:val="yellow"/>
          <w:lang w:val="en-GB"/>
        </w:rPr>
        <w:t>s incorrect since the UK did re</w:t>
      </w:r>
      <w:r w:rsidRPr="0071505F">
        <w:rPr>
          <w:rFonts w:ascii="Arial" w:hAnsi="Arial" w:cs="Arial"/>
          <w:sz w:val="22"/>
          <w:szCs w:val="22"/>
          <w:highlight w:val="yellow"/>
          <w:lang w:val="en-GB"/>
        </w:rPr>
        <w:t>v</w:t>
      </w:r>
      <w:r w:rsidR="006E77B0" w:rsidRPr="0071505F">
        <w:rPr>
          <w:rFonts w:ascii="Arial" w:hAnsi="Arial" w:cs="Arial"/>
          <w:sz w:val="22"/>
          <w:szCs w:val="22"/>
          <w:highlight w:val="yellow"/>
          <w:lang w:val="en-GB"/>
        </w:rPr>
        <w:t>i</w:t>
      </w:r>
      <w:r w:rsidRPr="0071505F">
        <w:rPr>
          <w:rFonts w:ascii="Arial" w:hAnsi="Arial" w:cs="Arial"/>
          <w:sz w:val="22"/>
          <w:szCs w:val="22"/>
          <w:highlight w:val="yellow"/>
          <w:lang w:val="en-GB"/>
        </w:rPr>
        <w:t>ew parts of its insolvency rules and amended some, among</w:t>
      </w:r>
      <w:r w:rsidR="006E77B0" w:rsidRPr="0071505F">
        <w:rPr>
          <w:rFonts w:ascii="Arial" w:hAnsi="Arial" w:cs="Arial"/>
          <w:sz w:val="22"/>
          <w:szCs w:val="22"/>
          <w:highlight w:val="yellow"/>
          <w:lang w:val="en-GB"/>
        </w:rPr>
        <w:t>s</w:t>
      </w:r>
      <w:r w:rsidRPr="0071505F">
        <w:rPr>
          <w:rFonts w:ascii="Arial" w:hAnsi="Arial" w:cs="Arial"/>
          <w:sz w:val="22"/>
          <w:szCs w:val="22"/>
          <w:highlight w:val="yellow"/>
          <w:lang w:val="en-GB"/>
        </w:rPr>
        <w:t>t other</w:t>
      </w:r>
      <w:r w:rsidR="00F96AF1" w:rsidRPr="0071505F">
        <w:rPr>
          <w:rFonts w:ascii="Arial" w:hAnsi="Arial" w:cs="Arial"/>
          <w:sz w:val="22"/>
          <w:szCs w:val="22"/>
          <w:highlight w:val="yellow"/>
          <w:lang w:val="en-GB"/>
        </w:rPr>
        <w:t xml:space="preserve"> things</w:t>
      </w:r>
      <w:r w:rsidRPr="0071505F">
        <w:rPr>
          <w:rFonts w:ascii="Arial" w:hAnsi="Arial" w:cs="Arial"/>
          <w:sz w:val="22"/>
          <w:szCs w:val="22"/>
          <w:highlight w:val="yellow"/>
          <w:lang w:val="en-GB"/>
        </w:rPr>
        <w:t>, to deal with the negative economic fall out of the pandemic</w:t>
      </w:r>
      <w:proofErr w:type="gramStart"/>
      <w:r w:rsidRPr="0071505F">
        <w:rPr>
          <w:rFonts w:ascii="Arial" w:hAnsi="Arial" w:cs="Arial"/>
          <w:sz w:val="22"/>
          <w:szCs w:val="22"/>
          <w:highlight w:val="yellow"/>
          <w:lang w:val="en-GB"/>
        </w:rPr>
        <w:t>.</w:t>
      </w:r>
      <w:r w:rsidR="00100A77" w:rsidRPr="0071505F">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CE218D" w:rsidRDefault="00B54F90" w:rsidP="009D510C">
      <w:pPr>
        <w:pStyle w:val="ListParagraph"/>
        <w:numPr>
          <w:ilvl w:val="0"/>
          <w:numId w:val="14"/>
        </w:numPr>
        <w:ind w:left="426"/>
        <w:jc w:val="both"/>
        <w:rPr>
          <w:rFonts w:ascii="Arial" w:hAnsi="Arial" w:cs="Arial"/>
          <w:sz w:val="22"/>
          <w:szCs w:val="22"/>
          <w:highlight w:val="yellow"/>
          <w:lang w:val="en-GB"/>
        </w:rPr>
      </w:pPr>
      <w:r w:rsidRPr="00CE218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E218D">
        <w:rPr>
          <w:rFonts w:ascii="Arial" w:hAnsi="Arial" w:cs="Arial"/>
          <w:sz w:val="22"/>
          <w:szCs w:val="22"/>
          <w:highlight w:val="yellow"/>
          <w:lang w:val="en-GB"/>
        </w:rPr>
        <w:t xml:space="preserve">on </w:t>
      </w:r>
      <w:r w:rsidRPr="00CE218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03F5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03F5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B4173F" w:rsidRDefault="00926D10" w:rsidP="009D510C">
      <w:pPr>
        <w:pStyle w:val="ListParagraph"/>
        <w:numPr>
          <w:ilvl w:val="0"/>
          <w:numId w:val="5"/>
        </w:numPr>
        <w:ind w:left="426"/>
        <w:jc w:val="both"/>
        <w:rPr>
          <w:rFonts w:ascii="Arial" w:hAnsi="Arial" w:cs="Arial"/>
          <w:sz w:val="22"/>
          <w:szCs w:val="22"/>
          <w:highlight w:val="yellow"/>
          <w:lang w:val="en-GB"/>
        </w:rPr>
      </w:pPr>
      <w:r w:rsidRPr="00B4173F">
        <w:rPr>
          <w:rFonts w:ascii="Arial" w:hAnsi="Arial" w:cs="Arial"/>
          <w:sz w:val="22"/>
          <w:szCs w:val="22"/>
          <w:highlight w:val="yellow"/>
          <w:lang w:val="en-GB"/>
        </w:rPr>
        <w:lastRenderedPageBreak/>
        <w:t xml:space="preserve">The statement is correct </w:t>
      </w:r>
      <w:r w:rsidR="0090037B" w:rsidRPr="00B4173F">
        <w:rPr>
          <w:rFonts w:ascii="Arial" w:hAnsi="Arial" w:cs="Arial"/>
          <w:sz w:val="22"/>
          <w:szCs w:val="22"/>
          <w:highlight w:val="yellow"/>
          <w:lang w:val="en-GB"/>
        </w:rPr>
        <w:t>because</w:t>
      </w:r>
      <w:r w:rsidRPr="00B4173F">
        <w:rPr>
          <w:rFonts w:ascii="Arial" w:hAnsi="Arial" w:cs="Arial"/>
          <w:sz w:val="22"/>
          <w:szCs w:val="22"/>
          <w:highlight w:val="yellow"/>
          <w:lang w:val="en-GB"/>
        </w:rPr>
        <w:t xml:space="preserve"> universality </w:t>
      </w:r>
      <w:r w:rsidR="00CB7283" w:rsidRPr="00B4173F">
        <w:rPr>
          <w:rFonts w:ascii="Arial" w:hAnsi="Arial" w:cs="Arial"/>
          <w:sz w:val="22"/>
          <w:szCs w:val="22"/>
          <w:highlight w:val="yellow"/>
          <w:lang w:val="en-GB"/>
        </w:rPr>
        <w:t>has become</w:t>
      </w:r>
      <w:r w:rsidRPr="00B4173F">
        <w:rPr>
          <w:rFonts w:ascii="Arial" w:hAnsi="Arial" w:cs="Arial"/>
          <w:sz w:val="22"/>
          <w:szCs w:val="22"/>
          <w:highlight w:val="yellow"/>
          <w:lang w:val="en-GB"/>
        </w:rPr>
        <w:t xml:space="preserve"> the norm in </w:t>
      </w:r>
      <w:proofErr w:type="gramStart"/>
      <w:r w:rsidRPr="00B4173F">
        <w:rPr>
          <w:rFonts w:ascii="Arial" w:hAnsi="Arial" w:cs="Arial"/>
          <w:sz w:val="22"/>
          <w:szCs w:val="22"/>
          <w:highlight w:val="yellow"/>
          <w:lang w:val="en-GB"/>
        </w:rPr>
        <w:t>the majority of</w:t>
      </w:r>
      <w:proofErr w:type="gramEnd"/>
      <w:r w:rsidRPr="00B4173F">
        <w:rPr>
          <w:rFonts w:ascii="Arial" w:hAnsi="Arial" w:cs="Arial"/>
          <w:sz w:val="22"/>
          <w:szCs w:val="22"/>
          <w:highlight w:val="yellow"/>
          <w:lang w:val="en-GB"/>
        </w:rPr>
        <w:t xml:space="preserve"> </w:t>
      </w:r>
      <w:r w:rsidR="00426B64" w:rsidRPr="00B4173F">
        <w:rPr>
          <w:rFonts w:ascii="Arial" w:hAnsi="Arial" w:cs="Arial"/>
          <w:sz w:val="22"/>
          <w:szCs w:val="22"/>
          <w:highlight w:val="yellow"/>
          <w:lang w:val="en-GB"/>
        </w:rPr>
        <w:t>States</w:t>
      </w:r>
      <w:r w:rsidRPr="00B4173F">
        <w:rPr>
          <w:rFonts w:ascii="Arial" w:hAnsi="Arial" w:cs="Arial"/>
          <w:sz w:val="22"/>
          <w:szCs w:val="22"/>
          <w:highlight w:val="yellow"/>
          <w:lang w:val="en-GB"/>
        </w:rPr>
        <w:t xml:space="preserve"> in cross-border insolvency matters</w:t>
      </w:r>
      <w:r w:rsidR="00CB7283" w:rsidRPr="00B4173F">
        <w:rPr>
          <w:rFonts w:ascii="Arial" w:hAnsi="Arial" w:cs="Arial"/>
          <w:sz w:val="22"/>
          <w:szCs w:val="22"/>
          <w:highlight w:val="yellow"/>
          <w:lang w:val="en-GB"/>
        </w:rPr>
        <w:t xml:space="preserve"> since the introduction of the UNCITRAL Model Law on Cross-Border Insolvency in 1997</w:t>
      </w:r>
      <w:r w:rsidRPr="00B4173F">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60ED6648" w:rsidR="002400DB" w:rsidRPr="00205B31" w:rsidRDefault="00C2568A" w:rsidP="00C570AC">
      <w:pPr>
        <w:pStyle w:val="ListParagraph"/>
        <w:numPr>
          <w:ilvl w:val="0"/>
          <w:numId w:val="6"/>
        </w:numPr>
        <w:ind w:left="426"/>
        <w:jc w:val="both"/>
        <w:rPr>
          <w:rFonts w:ascii="Arial" w:hAnsi="Arial" w:cs="Arial"/>
          <w:sz w:val="22"/>
          <w:szCs w:val="22"/>
          <w:lang w:val="en-GB"/>
        </w:rPr>
      </w:pPr>
      <w:r w:rsidRPr="00C2568A">
        <w:rPr>
          <w:rFonts w:ascii="Arial" w:eastAsiaTheme="minorHAnsi" w:hAnsi="Arial" w:cs="Arial"/>
          <w:noProof/>
          <w:sz w:val="22"/>
          <w:szCs w:val="22"/>
          <w:highlight w:val="yellow"/>
          <w:lang w:val="en-GB"/>
        </w:rPr>
        <mc:AlternateContent>
          <mc:Choice Requires="wpi">
            <w:drawing>
              <wp:anchor distT="0" distB="0" distL="114300" distR="114300" simplePos="0" relativeHeight="251659264" behindDoc="0" locked="0" layoutInCell="1" allowOverlap="1" wp14:anchorId="0E79C46E" wp14:editId="01A9716C">
                <wp:simplePos x="0" y="0"/>
                <wp:positionH relativeFrom="column">
                  <wp:posOffset>933465</wp:posOffset>
                </wp:positionH>
                <wp:positionV relativeFrom="paragraph">
                  <wp:posOffset>111550</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51802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9.25pt;margin-top:.3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">
                <v:imagedata r:id="rId13" o:title=""/>
              </v:shape>
            </w:pict>
          </mc:Fallback>
        </mc:AlternateContent>
      </w:r>
      <w:r w:rsidR="000329A6" w:rsidRPr="00C2568A">
        <w:rPr>
          <w:rFonts w:ascii="Arial" w:eastAsiaTheme="minorHAnsi" w:hAnsi="Arial" w:cs="Arial"/>
          <w:sz w:val="22"/>
          <w:szCs w:val="22"/>
          <w:highlight w:val="yellow"/>
          <w:lang w:val="en-GB"/>
        </w:rPr>
        <w:t xml:space="preserve">They were recently revised in 2021 and, together with the </w:t>
      </w:r>
      <w:r w:rsidR="000329A6" w:rsidRPr="00C2568A">
        <w:rPr>
          <w:rFonts w:ascii="Arial" w:hAnsi="Arial" w:cs="Arial"/>
          <w:sz w:val="22"/>
          <w:szCs w:val="22"/>
          <w:highlight w:val="yellow"/>
          <w:lang w:val="en-GB"/>
        </w:rPr>
        <w:t>UNCITRAL Legislative Guide, form the international best practice standard for insolvency regimes</w:t>
      </w:r>
      <w:r w:rsidR="000329A6" w:rsidRPr="00205B31">
        <w:rPr>
          <w:rFonts w:ascii="Arial" w:hAnsi="Arial" w:cs="Arial"/>
          <w:sz w:val="22"/>
          <w:szCs w:val="22"/>
          <w:lang w:val="en-GB"/>
        </w:rPr>
        <w:t>.</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6E3014">
        <w:rPr>
          <w:rFonts w:ascii="Arial" w:eastAsiaTheme="minorHAnsi" w:hAnsi="Arial" w:cs="Arial"/>
          <w:sz w:val="22"/>
          <w:szCs w:val="22"/>
          <w:highlight w:val="yellow"/>
          <w:lang w:val="en-GB"/>
        </w:rPr>
        <w:t xml:space="preserve">The Nordic Convention </w:t>
      </w:r>
      <w:r w:rsidR="00076483" w:rsidRPr="006E3014">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6E3014" w:rsidRDefault="00124B70" w:rsidP="00275182">
      <w:pPr>
        <w:pStyle w:val="ListParagraph"/>
        <w:numPr>
          <w:ilvl w:val="0"/>
          <w:numId w:val="8"/>
        </w:numPr>
        <w:ind w:left="426"/>
        <w:jc w:val="both"/>
        <w:rPr>
          <w:rFonts w:ascii="Arial" w:hAnsi="Arial" w:cs="Arial"/>
          <w:sz w:val="22"/>
          <w:szCs w:val="22"/>
          <w:highlight w:val="yellow"/>
          <w:lang w:val="en-GB"/>
        </w:rPr>
      </w:pPr>
      <w:r w:rsidRPr="006E3014">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30534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30534E" w:rsidRDefault="00911C23" w:rsidP="00275182">
      <w:pPr>
        <w:pStyle w:val="ListParagraph"/>
        <w:numPr>
          <w:ilvl w:val="0"/>
          <w:numId w:val="10"/>
        </w:numPr>
        <w:ind w:left="426"/>
        <w:jc w:val="both"/>
        <w:rPr>
          <w:rFonts w:ascii="Arial" w:hAnsi="Arial" w:cs="Arial"/>
          <w:sz w:val="22"/>
          <w:szCs w:val="22"/>
          <w:highlight w:val="yellow"/>
          <w:lang w:val="en-GB"/>
        </w:rPr>
      </w:pPr>
      <w:r w:rsidRPr="0030534E">
        <w:rPr>
          <w:rFonts w:ascii="Arial" w:hAnsi="Arial" w:cs="Arial"/>
          <w:sz w:val="22"/>
          <w:szCs w:val="22"/>
          <w:highlight w:val="yellow"/>
          <w:lang w:val="en-GB"/>
        </w:rPr>
        <w:t>To interfere with the independent exercise of jurisdiction by the relevant States’ courts</w:t>
      </w:r>
      <w:r w:rsidR="005C2790" w:rsidRPr="0030534E">
        <w:rPr>
          <w:rFonts w:ascii="Arial" w:hAnsi="Arial" w:cs="Arial"/>
          <w:sz w:val="22"/>
          <w:szCs w:val="22"/>
          <w:highlight w:val="yellow"/>
          <w:lang w:val="en-GB"/>
        </w:rPr>
        <w:t xml:space="preserve"> and ensure an effective outcome</w:t>
      </w:r>
      <w:r w:rsidRPr="0030534E">
        <w:rPr>
          <w:rFonts w:ascii="Arial" w:hAnsi="Arial" w:cs="Arial"/>
          <w:sz w:val="22"/>
          <w:szCs w:val="22"/>
          <w:highlight w:val="yellow"/>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7EBA7F11" w:rsidR="00DE03AF" w:rsidRDefault="009F2653" w:rsidP="00ED0BC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significant developments regarding debt collection were:</w:t>
      </w:r>
    </w:p>
    <w:p w14:paraId="53A99DFE" w14:textId="35E37F55" w:rsidR="00ED0BC3" w:rsidRDefault="00ED0BC3" w:rsidP="00ED0BC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English </w:t>
      </w:r>
      <w:proofErr w:type="spellStart"/>
      <w:r>
        <w:rPr>
          <w:rFonts w:ascii="Arial" w:hAnsi="Arial" w:cs="Arial"/>
          <w:color w:val="7B7B7B" w:themeColor="accent3" w:themeShade="BF"/>
          <w:sz w:val="22"/>
          <w:szCs w:val="22"/>
          <w:lang w:val="en-GB"/>
        </w:rPr>
        <w:t>Bankrupcy</w:t>
      </w:r>
      <w:proofErr w:type="spellEnd"/>
      <w:r>
        <w:rPr>
          <w:rFonts w:ascii="Arial" w:hAnsi="Arial" w:cs="Arial"/>
          <w:color w:val="7B7B7B" w:themeColor="accent3" w:themeShade="BF"/>
          <w:sz w:val="22"/>
          <w:szCs w:val="22"/>
          <w:lang w:val="en-GB"/>
        </w:rPr>
        <w:t xml:space="preserve"> act 1542 – whereby criminalization of debtors was recognized.</w:t>
      </w:r>
    </w:p>
    <w:p w14:paraId="73989D51" w14:textId="03EDD4D8" w:rsidR="00ED0BC3" w:rsidRDefault="00ED0BC3" w:rsidP="00ED0BC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 of Elizabeth 1952 – formalization of Insolvency considerations</w:t>
      </w:r>
    </w:p>
    <w:p w14:paraId="560B1B57" w14:textId="130B71A6" w:rsidR="00ED0BC3" w:rsidRPr="00ED0BC3" w:rsidRDefault="00F8250E" w:rsidP="00ED0BC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1883 Act – basis of English Insolvency Law influencing that of the 21</w:t>
      </w:r>
      <w:r w:rsidRPr="00F8250E">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19B8288A" w14:textId="07238F27" w:rsidR="00470ACD" w:rsidRPr="00470ACD" w:rsidRDefault="00F8250E" w:rsidP="00C47E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and Insolvency related </w:t>
      </w:r>
      <w:r w:rsidR="00470ACD">
        <w:rPr>
          <w:rFonts w:ascii="Arial" w:hAnsi="Arial" w:cs="Arial"/>
          <w:color w:val="7B7B7B" w:themeColor="accent3" w:themeShade="BF"/>
          <w:sz w:val="22"/>
          <w:szCs w:val="22"/>
          <w:lang w:val="en-GB"/>
        </w:rPr>
        <w:t>measures introduced due to Covid were</w:t>
      </w:r>
      <w:r w:rsidR="00C47EA9">
        <w:rPr>
          <w:rFonts w:ascii="Arial" w:hAnsi="Arial" w:cs="Arial"/>
          <w:color w:val="7B7B7B" w:themeColor="accent3" w:themeShade="BF"/>
          <w:sz w:val="22"/>
          <w:szCs w:val="22"/>
          <w:lang w:val="en-GB"/>
        </w:rPr>
        <w:t xml:space="preserve"> v</w:t>
      </w:r>
      <w:r w:rsidR="00470ACD">
        <w:rPr>
          <w:rFonts w:ascii="Arial" w:hAnsi="Arial" w:cs="Arial"/>
          <w:color w:val="7B7B7B" w:themeColor="accent3" w:themeShade="BF"/>
          <w:sz w:val="22"/>
          <w:szCs w:val="22"/>
          <w:lang w:val="en-GB"/>
        </w:rPr>
        <w:t xml:space="preserve">ia the </w:t>
      </w:r>
      <w:r w:rsidR="00470ACD" w:rsidRPr="00470ACD">
        <w:rPr>
          <w:rFonts w:ascii="Arial" w:hAnsi="Arial" w:cs="Arial"/>
          <w:color w:val="7B7B7B" w:themeColor="accent3" w:themeShade="BF"/>
          <w:sz w:val="22"/>
          <w:szCs w:val="22"/>
          <w:lang w:val="en-GB"/>
        </w:rPr>
        <w:t>C</w:t>
      </w:r>
      <w:r w:rsidR="00470ACD" w:rsidRPr="00470ACD">
        <w:rPr>
          <w:rFonts w:ascii="Arial" w:hAnsi="Arial" w:cs="Arial"/>
          <w:color w:val="7B7B7B" w:themeColor="accent3" w:themeShade="BF"/>
          <w:sz w:val="22"/>
          <w:szCs w:val="22"/>
          <w:lang w:val="en-GB"/>
        </w:rPr>
        <w:t>orporate</w:t>
      </w:r>
      <w:r w:rsidR="00C47EA9">
        <w:rPr>
          <w:rFonts w:ascii="Arial" w:hAnsi="Arial" w:cs="Arial"/>
          <w:color w:val="7B7B7B" w:themeColor="accent3" w:themeShade="BF"/>
          <w:sz w:val="22"/>
          <w:szCs w:val="22"/>
          <w:lang w:val="en-GB"/>
        </w:rPr>
        <w:t xml:space="preserve"> </w:t>
      </w:r>
      <w:r w:rsidR="00470ACD" w:rsidRPr="00470ACD">
        <w:rPr>
          <w:rFonts w:ascii="Arial" w:hAnsi="Arial" w:cs="Arial"/>
          <w:color w:val="7B7B7B" w:themeColor="accent3" w:themeShade="BF"/>
          <w:sz w:val="22"/>
          <w:szCs w:val="22"/>
          <w:lang w:val="en-GB"/>
        </w:rPr>
        <w:t>Insolvency and Governance Act 2020</w:t>
      </w:r>
      <w:r w:rsidR="00470ACD">
        <w:rPr>
          <w:rFonts w:ascii="Arial" w:hAnsi="Arial" w:cs="Arial"/>
          <w:color w:val="7B7B7B" w:themeColor="accent3" w:themeShade="BF"/>
          <w:sz w:val="22"/>
          <w:szCs w:val="22"/>
          <w:lang w:val="en-GB"/>
        </w:rPr>
        <w:t xml:space="preserve"> - </w:t>
      </w:r>
      <w:r w:rsidR="00470ACD" w:rsidRPr="00C47EA9">
        <w:rPr>
          <w:rFonts w:ascii="Arial" w:hAnsi="Arial" w:cs="Arial"/>
          <w:color w:val="7B7B7B" w:themeColor="accent3" w:themeShade="BF"/>
          <w:sz w:val="22"/>
          <w:szCs w:val="22"/>
          <w:lang w:val="en-GB"/>
        </w:rPr>
        <w:t xml:space="preserve">a free standing </w:t>
      </w:r>
      <w:r w:rsidR="00C47EA9" w:rsidRPr="00C47EA9">
        <w:rPr>
          <w:rFonts w:ascii="Arial" w:hAnsi="Arial" w:cs="Arial"/>
          <w:color w:val="7B7B7B" w:themeColor="accent3" w:themeShade="BF"/>
          <w:sz w:val="22"/>
          <w:szCs w:val="22"/>
          <w:lang w:val="en-GB"/>
        </w:rPr>
        <w:t xml:space="preserve">moratorium, </w:t>
      </w:r>
      <w:r w:rsidR="00C47EA9" w:rsidRPr="00C47EA9">
        <w:rPr>
          <w:rFonts w:ascii="Arial" w:hAnsi="Arial" w:cs="Arial"/>
          <w:color w:val="7B7B7B" w:themeColor="accent3" w:themeShade="BF"/>
          <w:sz w:val="22"/>
          <w:szCs w:val="22"/>
          <w:lang w:val="en-GB"/>
        </w:rPr>
        <w:t>a</w:t>
      </w:r>
      <w:r w:rsidR="00C47EA9">
        <w:rPr>
          <w:rFonts w:ascii="Arial" w:hAnsi="Arial" w:cs="Arial"/>
          <w:color w:val="7B7B7B" w:themeColor="accent3" w:themeShade="BF"/>
          <w:sz w:val="22"/>
          <w:szCs w:val="22"/>
          <w:lang w:val="en-GB"/>
        </w:rPr>
        <w:t xml:space="preserve"> new </w:t>
      </w:r>
      <w:r w:rsidR="00C47EA9" w:rsidRPr="00C47EA9">
        <w:rPr>
          <w:rFonts w:ascii="Arial" w:hAnsi="Arial" w:cs="Arial"/>
          <w:color w:val="7B7B7B" w:themeColor="accent3" w:themeShade="BF"/>
          <w:sz w:val="22"/>
          <w:szCs w:val="22"/>
          <w:lang w:val="en-GB"/>
        </w:rPr>
        <w:t>restructuring plan process</w:t>
      </w:r>
      <w:r w:rsidR="00C47EA9" w:rsidRPr="00C47EA9">
        <w:rPr>
          <w:rFonts w:ascii="Arial" w:hAnsi="Arial" w:cs="Arial"/>
          <w:color w:val="7B7B7B" w:themeColor="accent3" w:themeShade="BF"/>
          <w:sz w:val="22"/>
          <w:szCs w:val="22"/>
          <w:lang w:val="en-GB"/>
        </w:rPr>
        <w:t xml:space="preserve"> and </w:t>
      </w:r>
      <w:r w:rsidR="00C47EA9" w:rsidRPr="00C47EA9">
        <w:rPr>
          <w:rFonts w:ascii="Arial" w:hAnsi="Arial" w:cs="Arial"/>
          <w:color w:val="7B7B7B" w:themeColor="accent3" w:themeShade="BF"/>
          <w:sz w:val="22"/>
          <w:szCs w:val="22"/>
          <w:lang w:val="en-GB"/>
        </w:rPr>
        <w:t>restrictions on termination of contracts for the supply of goods and services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3D8195DB" w14:textId="2AFACA44" w:rsidR="00CF0689" w:rsidRDefault="00C47EA9"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refer to rules that are not </w:t>
      </w:r>
      <w:r w:rsidR="00CF0689">
        <w:rPr>
          <w:rFonts w:ascii="Arial" w:hAnsi="Arial" w:cs="Arial"/>
          <w:color w:val="7B7B7B" w:themeColor="accent3" w:themeShade="BF"/>
          <w:sz w:val="22"/>
          <w:szCs w:val="22"/>
          <w:lang w:val="en-GB"/>
        </w:rPr>
        <w:t>legally binding and can be used to strengthen the commitment of members to agreements. They do not create legal obligation but have legal effects. It provides flexibility for remedies.</w:t>
      </w:r>
    </w:p>
    <w:p w14:paraId="722E5217" w14:textId="77777777" w:rsidR="00CF0689" w:rsidRDefault="00CF0689" w:rsidP="00B7193E">
      <w:pPr>
        <w:ind w:left="720" w:hanging="720"/>
        <w:jc w:val="both"/>
        <w:rPr>
          <w:rFonts w:ascii="Arial" w:hAnsi="Arial" w:cs="Arial"/>
          <w:color w:val="7B7B7B" w:themeColor="accent3" w:themeShade="BF"/>
          <w:sz w:val="22"/>
          <w:szCs w:val="22"/>
          <w:lang w:val="en-GB"/>
        </w:rPr>
      </w:pPr>
    </w:p>
    <w:p w14:paraId="78DB9FD8" w14:textId="4D73A28E" w:rsidR="00C72848" w:rsidRPr="00205B31" w:rsidRDefault="00CF0689" w:rsidP="00CF0689">
      <w:pPr>
        <w:jc w:val="both"/>
        <w:rPr>
          <w:rFonts w:ascii="Arial" w:hAnsi="Arial" w:cs="Arial"/>
          <w:sz w:val="22"/>
          <w:szCs w:val="22"/>
          <w:lang w:val="en-GB"/>
        </w:rPr>
      </w:pP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 xml:space="preserve">Treaties”  </w:t>
      </w:r>
      <w:r w:rsidR="00B4173F">
        <w:rPr>
          <w:rFonts w:ascii="Arial" w:hAnsi="Arial" w:cs="Arial"/>
          <w:color w:val="7B7B7B" w:themeColor="accent3" w:themeShade="BF"/>
          <w:sz w:val="22"/>
          <w:szCs w:val="22"/>
          <w:lang w:val="en-GB"/>
        </w:rPr>
        <w:t>refers</w:t>
      </w:r>
      <w:proofErr w:type="gramEnd"/>
      <w:r w:rsidR="00B4173F">
        <w:rPr>
          <w:rFonts w:ascii="Arial" w:hAnsi="Arial" w:cs="Arial"/>
          <w:color w:val="7B7B7B" w:themeColor="accent3" w:themeShade="BF"/>
          <w:sz w:val="22"/>
          <w:szCs w:val="22"/>
          <w:lang w:val="en-GB"/>
        </w:rPr>
        <w:t xml:space="preserve"> to a contract or a legally binding agreement that is formal. In the way of insolvency these instruments assist maintain guideline in differing states views if the insolvency process.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544D5306"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576F987"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A7200EE"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2E29B1ED" w:rsidR="002F75A3" w:rsidRPr="00205B31" w:rsidRDefault="002F75A3"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3B620BA"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0451" w14:textId="77777777" w:rsidR="008928B9" w:rsidRDefault="008928B9" w:rsidP="00241B44">
      <w:r>
        <w:separator/>
      </w:r>
    </w:p>
  </w:endnote>
  <w:endnote w:type="continuationSeparator" w:id="0">
    <w:p w14:paraId="61839C6D" w14:textId="77777777" w:rsidR="008928B9" w:rsidRDefault="008928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70251C53" w:rsidR="006E1CB0" w:rsidRPr="0052732A" w:rsidRDefault="00187277" w:rsidP="00187277">
    <w:pPr>
      <w:pStyle w:val="Footer"/>
      <w:ind w:right="360"/>
      <w:rPr>
        <w:rFonts w:ascii="Arial" w:hAnsi="Arial" w:cs="Arial"/>
        <w:sz w:val="18"/>
        <w:szCs w:val="18"/>
      </w:rPr>
    </w:pPr>
    <w:r w:rsidRPr="00187277">
      <w:rPr>
        <w:rFonts w:ascii="Arial" w:hAnsi="Arial" w:cs="Arial"/>
        <w:sz w:val="18"/>
        <w:szCs w:val="18"/>
      </w:rPr>
      <w:t>202122-623.assessment1summative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602E" w14:textId="77777777" w:rsidR="008928B9" w:rsidRDefault="008928B9" w:rsidP="00241B44">
      <w:r>
        <w:separator/>
      </w:r>
    </w:p>
  </w:footnote>
  <w:footnote w:type="continuationSeparator" w:id="0">
    <w:p w14:paraId="06D3A576" w14:textId="77777777" w:rsidR="008928B9" w:rsidRDefault="008928B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A39"/>
    <w:multiLevelType w:val="hybridMultilevel"/>
    <w:tmpl w:val="33603DD0"/>
    <w:lvl w:ilvl="0" w:tplc="689A3D8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69942D20"/>
    <w:multiLevelType w:val="hybridMultilevel"/>
    <w:tmpl w:val="A93E53D0"/>
    <w:lvl w:ilvl="0" w:tplc="4CA8186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7"/>
  </w:num>
  <w:num w:numId="4">
    <w:abstractNumId w:val="5"/>
  </w:num>
  <w:num w:numId="5">
    <w:abstractNumId w:val="3"/>
  </w:num>
  <w:num w:numId="6">
    <w:abstractNumId w:val="14"/>
  </w:num>
  <w:num w:numId="7">
    <w:abstractNumId w:val="4"/>
  </w:num>
  <w:num w:numId="8">
    <w:abstractNumId w:val="2"/>
  </w:num>
  <w:num w:numId="9">
    <w:abstractNumId w:val="1"/>
  </w:num>
  <w:num w:numId="10">
    <w:abstractNumId w:val="6"/>
  </w:num>
  <w:num w:numId="11">
    <w:abstractNumId w:val="11"/>
  </w:num>
  <w:num w:numId="12">
    <w:abstractNumId w:val="16"/>
  </w:num>
  <w:num w:numId="13">
    <w:abstractNumId w:val="12"/>
  </w:num>
  <w:num w:numId="14">
    <w:abstractNumId w:val="7"/>
  </w:num>
  <w:num w:numId="15">
    <w:abstractNumId w:val="10"/>
  </w:num>
  <w:num w:numId="16">
    <w:abstractNumId w:val="13"/>
  </w:num>
  <w:num w:numId="17">
    <w:abstractNumId w:val="0"/>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87277"/>
    <w:rsid w:val="00193AB3"/>
    <w:rsid w:val="001966D9"/>
    <w:rsid w:val="00197963"/>
    <w:rsid w:val="001A620B"/>
    <w:rsid w:val="001A7E9A"/>
    <w:rsid w:val="001B0F70"/>
    <w:rsid w:val="001B5016"/>
    <w:rsid w:val="001B6CEE"/>
    <w:rsid w:val="001C45FC"/>
    <w:rsid w:val="001C594A"/>
    <w:rsid w:val="001D1BF7"/>
    <w:rsid w:val="001D26D8"/>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34E"/>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010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ACD"/>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3014"/>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1505F"/>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28B9"/>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2653"/>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173F"/>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568A"/>
    <w:rsid w:val="00C26E4B"/>
    <w:rsid w:val="00C31102"/>
    <w:rsid w:val="00C33C84"/>
    <w:rsid w:val="00C3453F"/>
    <w:rsid w:val="00C34A50"/>
    <w:rsid w:val="00C35026"/>
    <w:rsid w:val="00C35671"/>
    <w:rsid w:val="00C35B77"/>
    <w:rsid w:val="00C376EB"/>
    <w:rsid w:val="00C4187E"/>
    <w:rsid w:val="00C444EC"/>
    <w:rsid w:val="00C45A03"/>
    <w:rsid w:val="00C46EC1"/>
    <w:rsid w:val="00C47EA9"/>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218D"/>
    <w:rsid w:val="00CE62CA"/>
    <w:rsid w:val="00CF0689"/>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3F5F"/>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3"/>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21B4"/>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250E"/>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5T21:49:57.97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Edwards</cp:lastModifiedBy>
  <cp:revision>3</cp:revision>
  <cp:lastPrinted>2020-06-12T02:43:00Z</cp:lastPrinted>
  <dcterms:created xsi:type="dcterms:W3CDTF">2021-11-15T21:14:00Z</dcterms:created>
  <dcterms:modified xsi:type="dcterms:W3CDTF">2021-11-15T22:58:00Z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