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0669" w14:textId="77777777" w:rsidR="00506080" w:rsidRDefault="00506080" w:rsidP="00524728">
      <w:pPr>
        <w:jc w:val="center"/>
        <w:rPr>
          <w:rFonts w:ascii="Arial" w:hAnsi="Arial" w:cs="Arial"/>
          <w:b/>
          <w:sz w:val="22"/>
          <w:szCs w:val="22"/>
          <w:lang w:val="en-GB"/>
        </w:rPr>
      </w:pPr>
    </w:p>
    <w:p w14:paraId="425B7968" w14:textId="658147DE"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166EAD" w:rsidRDefault="00C60631" w:rsidP="009D510C">
      <w:pPr>
        <w:pStyle w:val="ListParagraph"/>
        <w:numPr>
          <w:ilvl w:val="0"/>
          <w:numId w:val="12"/>
        </w:numPr>
        <w:ind w:left="426"/>
        <w:jc w:val="both"/>
        <w:rPr>
          <w:rFonts w:ascii="Arial" w:hAnsi="Arial" w:cs="Arial"/>
          <w:sz w:val="22"/>
          <w:szCs w:val="22"/>
          <w:highlight w:val="yellow"/>
          <w:lang w:val="en-GB"/>
        </w:rPr>
      </w:pPr>
      <w:r w:rsidRPr="00166EAD">
        <w:rPr>
          <w:rFonts w:ascii="Arial" w:hAnsi="Arial" w:cs="Arial"/>
          <w:sz w:val="22"/>
          <w:szCs w:val="22"/>
          <w:highlight w:val="yellow"/>
          <w:lang w:val="en-GB"/>
        </w:rPr>
        <w:t xml:space="preserve">This statement is incorrect since </w:t>
      </w:r>
      <w:r w:rsidR="00E7793C" w:rsidRPr="00166EAD">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166EAD" w:rsidRDefault="00AE027F" w:rsidP="009D510C">
      <w:pPr>
        <w:pStyle w:val="ListParagraph"/>
        <w:numPr>
          <w:ilvl w:val="0"/>
          <w:numId w:val="13"/>
        </w:numPr>
        <w:jc w:val="both"/>
        <w:rPr>
          <w:rFonts w:ascii="Arial" w:hAnsi="Arial" w:cs="Arial"/>
          <w:sz w:val="22"/>
          <w:szCs w:val="22"/>
          <w:highlight w:val="yellow"/>
          <w:lang w:val="en-GB"/>
        </w:rPr>
      </w:pPr>
      <w:r w:rsidRPr="00166EAD">
        <w:rPr>
          <w:rFonts w:ascii="Arial" w:hAnsi="Arial" w:cs="Arial"/>
          <w:sz w:val="22"/>
          <w:szCs w:val="22"/>
          <w:highlight w:val="yellow"/>
          <w:lang w:val="en-GB"/>
        </w:rPr>
        <w:t>The statement i</w:t>
      </w:r>
      <w:r w:rsidR="006E77B0" w:rsidRPr="00166EAD">
        <w:rPr>
          <w:rFonts w:ascii="Arial" w:hAnsi="Arial" w:cs="Arial"/>
          <w:sz w:val="22"/>
          <w:szCs w:val="22"/>
          <w:highlight w:val="yellow"/>
          <w:lang w:val="en-GB"/>
        </w:rPr>
        <w:t>s incorrect since the UK did re</w:t>
      </w:r>
      <w:r w:rsidRPr="00166EAD">
        <w:rPr>
          <w:rFonts w:ascii="Arial" w:hAnsi="Arial" w:cs="Arial"/>
          <w:sz w:val="22"/>
          <w:szCs w:val="22"/>
          <w:highlight w:val="yellow"/>
          <w:lang w:val="en-GB"/>
        </w:rPr>
        <w:t>v</w:t>
      </w:r>
      <w:r w:rsidR="006E77B0" w:rsidRPr="00166EAD">
        <w:rPr>
          <w:rFonts w:ascii="Arial" w:hAnsi="Arial" w:cs="Arial"/>
          <w:sz w:val="22"/>
          <w:szCs w:val="22"/>
          <w:highlight w:val="yellow"/>
          <w:lang w:val="en-GB"/>
        </w:rPr>
        <w:t>i</w:t>
      </w:r>
      <w:r w:rsidRPr="00166EAD">
        <w:rPr>
          <w:rFonts w:ascii="Arial" w:hAnsi="Arial" w:cs="Arial"/>
          <w:sz w:val="22"/>
          <w:szCs w:val="22"/>
          <w:highlight w:val="yellow"/>
          <w:lang w:val="en-GB"/>
        </w:rPr>
        <w:t>ew parts of its insolvency rules and amended some, among</w:t>
      </w:r>
      <w:r w:rsidR="006E77B0" w:rsidRPr="00166EAD">
        <w:rPr>
          <w:rFonts w:ascii="Arial" w:hAnsi="Arial" w:cs="Arial"/>
          <w:sz w:val="22"/>
          <w:szCs w:val="22"/>
          <w:highlight w:val="yellow"/>
          <w:lang w:val="en-GB"/>
        </w:rPr>
        <w:t>s</w:t>
      </w:r>
      <w:r w:rsidRPr="00166EAD">
        <w:rPr>
          <w:rFonts w:ascii="Arial" w:hAnsi="Arial" w:cs="Arial"/>
          <w:sz w:val="22"/>
          <w:szCs w:val="22"/>
          <w:highlight w:val="yellow"/>
          <w:lang w:val="en-GB"/>
        </w:rPr>
        <w:t>t other</w:t>
      </w:r>
      <w:r w:rsidR="00F96AF1" w:rsidRPr="00166EAD">
        <w:rPr>
          <w:rFonts w:ascii="Arial" w:hAnsi="Arial" w:cs="Arial"/>
          <w:sz w:val="22"/>
          <w:szCs w:val="22"/>
          <w:highlight w:val="yellow"/>
          <w:lang w:val="en-GB"/>
        </w:rPr>
        <w:t xml:space="preserve"> things</w:t>
      </w:r>
      <w:r w:rsidRPr="00166EAD">
        <w:rPr>
          <w:rFonts w:ascii="Arial" w:hAnsi="Arial" w:cs="Arial"/>
          <w:sz w:val="22"/>
          <w:szCs w:val="22"/>
          <w:highlight w:val="yellow"/>
          <w:lang w:val="en-GB"/>
        </w:rPr>
        <w:t>, to deal with the negative economic fall out of the pandemic.</w:t>
      </w:r>
      <w:r w:rsidR="00100A77" w:rsidRPr="00166EAD">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166EAD" w:rsidRDefault="00B54F90" w:rsidP="009D510C">
      <w:pPr>
        <w:pStyle w:val="ListParagraph"/>
        <w:numPr>
          <w:ilvl w:val="0"/>
          <w:numId w:val="14"/>
        </w:numPr>
        <w:ind w:left="426"/>
        <w:jc w:val="both"/>
        <w:rPr>
          <w:rFonts w:ascii="Arial" w:hAnsi="Arial" w:cs="Arial"/>
          <w:sz w:val="22"/>
          <w:szCs w:val="22"/>
          <w:highlight w:val="yellow"/>
          <w:lang w:val="en-GB"/>
        </w:rPr>
      </w:pPr>
      <w:r w:rsidRPr="00166EAD">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166EAD">
        <w:rPr>
          <w:rFonts w:ascii="Arial" w:hAnsi="Arial" w:cs="Arial"/>
          <w:sz w:val="22"/>
          <w:szCs w:val="22"/>
          <w:highlight w:val="yellow"/>
          <w:lang w:val="en-GB"/>
        </w:rPr>
        <w:t xml:space="preserve">on </w:t>
      </w:r>
      <w:r w:rsidRPr="00166EAD">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166EAD" w:rsidRDefault="00926D10" w:rsidP="009D510C">
      <w:pPr>
        <w:pStyle w:val="ListParagraph"/>
        <w:numPr>
          <w:ilvl w:val="0"/>
          <w:numId w:val="5"/>
        </w:numPr>
        <w:ind w:left="426"/>
        <w:jc w:val="both"/>
        <w:rPr>
          <w:rFonts w:ascii="Arial" w:hAnsi="Arial" w:cs="Arial"/>
          <w:sz w:val="22"/>
          <w:szCs w:val="22"/>
          <w:highlight w:val="yellow"/>
          <w:lang w:val="en-GB"/>
        </w:rPr>
      </w:pPr>
      <w:r w:rsidRPr="00166EAD">
        <w:rPr>
          <w:rFonts w:ascii="Arial" w:hAnsi="Arial" w:cs="Arial"/>
          <w:sz w:val="22"/>
          <w:szCs w:val="22"/>
          <w:highlight w:val="yellow"/>
          <w:lang w:val="en-GB"/>
        </w:rPr>
        <w:t xml:space="preserve">The statement is </w:t>
      </w:r>
      <w:r w:rsidR="006E1CB0" w:rsidRPr="00166EAD">
        <w:rPr>
          <w:rFonts w:ascii="Arial" w:hAnsi="Arial" w:cs="Arial"/>
          <w:sz w:val="22"/>
          <w:szCs w:val="22"/>
          <w:highlight w:val="yellow"/>
          <w:lang w:val="en-GB"/>
        </w:rPr>
        <w:t xml:space="preserve">not </w:t>
      </w:r>
      <w:r w:rsidRPr="00166EAD">
        <w:rPr>
          <w:rFonts w:ascii="Arial" w:hAnsi="Arial" w:cs="Arial"/>
          <w:sz w:val="22"/>
          <w:szCs w:val="22"/>
          <w:highlight w:val="yellow"/>
          <w:lang w:val="en-GB"/>
        </w:rPr>
        <w:t xml:space="preserve">correct </w:t>
      </w:r>
      <w:r w:rsidR="007958F0" w:rsidRPr="00166EAD">
        <w:rPr>
          <w:rFonts w:ascii="Arial" w:hAnsi="Arial" w:cs="Arial"/>
          <w:sz w:val="22"/>
          <w:szCs w:val="22"/>
          <w:highlight w:val="yellow"/>
          <w:lang w:val="en-GB"/>
        </w:rPr>
        <w:t>because</w:t>
      </w:r>
      <w:r w:rsidRPr="00166EAD">
        <w:rPr>
          <w:rFonts w:ascii="Arial" w:hAnsi="Arial" w:cs="Arial"/>
          <w:sz w:val="22"/>
          <w:szCs w:val="22"/>
          <w:highlight w:val="yellow"/>
          <w:lang w:val="en-GB"/>
        </w:rPr>
        <w:t xml:space="preserve"> very few </w:t>
      </w:r>
      <w:r w:rsidR="007958F0" w:rsidRPr="00166EAD">
        <w:rPr>
          <w:rFonts w:ascii="Arial" w:hAnsi="Arial" w:cs="Arial"/>
          <w:sz w:val="22"/>
          <w:szCs w:val="22"/>
          <w:highlight w:val="yellow"/>
          <w:lang w:val="en-GB"/>
        </w:rPr>
        <w:t>States</w:t>
      </w:r>
      <w:r w:rsidRPr="00166EAD">
        <w:rPr>
          <w:rFonts w:ascii="Arial" w:hAnsi="Arial" w:cs="Arial"/>
          <w:sz w:val="22"/>
          <w:szCs w:val="22"/>
          <w:highlight w:val="yellow"/>
          <w:lang w:val="en-GB"/>
        </w:rPr>
        <w:t xml:space="preserve"> allow insolvent estate representatives to deal with assets of a foreign debtor situated in </w:t>
      </w:r>
      <w:r w:rsidR="005936B3" w:rsidRPr="00166EAD">
        <w:rPr>
          <w:rFonts w:ascii="Arial" w:hAnsi="Arial" w:cs="Arial"/>
          <w:sz w:val="22"/>
          <w:szCs w:val="22"/>
          <w:highlight w:val="yellow"/>
          <w:lang w:val="en-GB"/>
        </w:rPr>
        <w:t>their own</w:t>
      </w:r>
      <w:r w:rsidRPr="00166EAD">
        <w:rPr>
          <w:rFonts w:ascii="Arial" w:hAnsi="Arial" w:cs="Arial"/>
          <w:sz w:val="22"/>
          <w:szCs w:val="22"/>
          <w:highlight w:val="yellow"/>
          <w:lang w:val="en-GB"/>
        </w:rPr>
        <w:t xml:space="preserve"> jurisdiction without </w:t>
      </w:r>
      <w:r w:rsidR="006E1CB0" w:rsidRPr="00166EAD">
        <w:rPr>
          <w:rFonts w:ascii="Arial" w:hAnsi="Arial" w:cs="Arial"/>
          <w:sz w:val="22"/>
          <w:szCs w:val="22"/>
          <w:highlight w:val="yellow"/>
          <w:lang w:val="en-GB"/>
        </w:rPr>
        <w:t xml:space="preserve">some form of </w:t>
      </w:r>
      <w:r w:rsidR="0090037B" w:rsidRPr="00166EAD">
        <w:rPr>
          <w:rFonts w:ascii="Arial" w:hAnsi="Arial" w:cs="Arial"/>
          <w:sz w:val="22"/>
          <w:szCs w:val="22"/>
          <w:highlight w:val="yellow"/>
          <w:lang w:val="en-GB"/>
        </w:rPr>
        <w:t xml:space="preserve">a </w:t>
      </w:r>
      <w:r w:rsidR="006E1CB0" w:rsidRPr="00166EAD">
        <w:rPr>
          <w:rFonts w:ascii="Arial" w:hAnsi="Arial" w:cs="Arial"/>
          <w:sz w:val="22"/>
          <w:szCs w:val="22"/>
          <w:highlight w:val="yellow"/>
          <w:lang w:val="en-GB"/>
        </w:rPr>
        <w:t>(</w:t>
      </w:r>
      <w:r w:rsidR="0090037B" w:rsidRPr="00166EAD">
        <w:rPr>
          <w:rFonts w:ascii="Arial" w:hAnsi="Arial" w:cs="Arial"/>
          <w:sz w:val="22"/>
          <w:szCs w:val="22"/>
          <w:highlight w:val="yellow"/>
          <w:lang w:val="en-GB"/>
        </w:rPr>
        <w:t>prior</w:t>
      </w:r>
      <w:r w:rsidR="006E1CB0" w:rsidRPr="00166EAD">
        <w:rPr>
          <w:rFonts w:ascii="Arial" w:hAnsi="Arial" w:cs="Arial"/>
          <w:sz w:val="22"/>
          <w:szCs w:val="22"/>
          <w:highlight w:val="yellow"/>
          <w:lang w:val="en-GB"/>
        </w:rPr>
        <w:t>)</w:t>
      </w:r>
      <w:r w:rsidRPr="00166EAD">
        <w:rPr>
          <w:rFonts w:ascii="Arial" w:hAnsi="Arial" w:cs="Arial"/>
          <w:sz w:val="22"/>
          <w:szCs w:val="22"/>
          <w:highlight w:val="yellow"/>
          <w:lang w:val="en-GB"/>
        </w:rPr>
        <w:t xml:space="preserve"> local procedure </w:t>
      </w:r>
      <w:r w:rsidR="005936B3" w:rsidRPr="00166EAD">
        <w:rPr>
          <w:rFonts w:ascii="Arial" w:hAnsi="Arial" w:cs="Arial"/>
          <w:sz w:val="22"/>
          <w:szCs w:val="22"/>
          <w:highlight w:val="yellow"/>
          <w:lang w:val="en-GB"/>
        </w:rPr>
        <w:t xml:space="preserve">to </w:t>
      </w:r>
      <w:r w:rsidRPr="00166EAD">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166EAD" w:rsidRDefault="000329A6" w:rsidP="00C570AC">
      <w:pPr>
        <w:pStyle w:val="ListParagraph"/>
        <w:numPr>
          <w:ilvl w:val="0"/>
          <w:numId w:val="6"/>
        </w:numPr>
        <w:ind w:left="426"/>
        <w:jc w:val="both"/>
        <w:rPr>
          <w:rFonts w:ascii="Arial" w:hAnsi="Arial" w:cs="Arial"/>
          <w:sz w:val="22"/>
          <w:szCs w:val="22"/>
          <w:highlight w:val="yellow"/>
          <w:lang w:val="en-GB"/>
        </w:rPr>
      </w:pPr>
      <w:r w:rsidRPr="00166EAD">
        <w:rPr>
          <w:rFonts w:ascii="Arial" w:eastAsiaTheme="minorHAnsi" w:hAnsi="Arial" w:cs="Arial"/>
          <w:sz w:val="22"/>
          <w:szCs w:val="22"/>
          <w:highlight w:val="yellow"/>
          <w:lang w:val="en-GB"/>
        </w:rPr>
        <w:t xml:space="preserve">They were recently revised in 2021 and, together with the </w:t>
      </w:r>
      <w:r w:rsidRPr="00166EAD">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166EAD">
        <w:rPr>
          <w:rFonts w:ascii="Arial" w:eastAsiaTheme="minorHAnsi" w:hAnsi="Arial" w:cs="Arial"/>
          <w:sz w:val="22"/>
          <w:szCs w:val="22"/>
          <w:highlight w:val="yellow"/>
          <w:lang w:val="en-GB"/>
        </w:rPr>
        <w:t xml:space="preserve">The Nordic Convention </w:t>
      </w:r>
      <w:r w:rsidR="00076483" w:rsidRPr="00166EAD">
        <w:rPr>
          <w:rFonts w:ascii="Arial" w:eastAsiaTheme="minorHAnsi" w:hAnsi="Arial" w:cs="Arial"/>
          <w:sz w:val="22"/>
          <w:szCs w:val="22"/>
          <w:highlight w:val="yellow"/>
          <w:lang w:val="en-GB"/>
        </w:rPr>
        <w:t>1933</w:t>
      </w:r>
      <w:r w:rsidR="00966E44" w:rsidRPr="00166EAD">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166EAD" w:rsidRDefault="00124B70" w:rsidP="00275182">
      <w:pPr>
        <w:pStyle w:val="ListParagraph"/>
        <w:numPr>
          <w:ilvl w:val="0"/>
          <w:numId w:val="8"/>
        </w:numPr>
        <w:ind w:left="426"/>
        <w:jc w:val="both"/>
        <w:rPr>
          <w:rFonts w:ascii="Arial" w:hAnsi="Arial" w:cs="Arial"/>
          <w:sz w:val="22"/>
          <w:szCs w:val="22"/>
          <w:highlight w:val="yellow"/>
          <w:lang w:val="en-GB"/>
        </w:rPr>
      </w:pPr>
      <w:r w:rsidRPr="00166EAD">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166EAD" w:rsidRDefault="00E86549" w:rsidP="00275182">
      <w:pPr>
        <w:pStyle w:val="ListParagraph"/>
        <w:numPr>
          <w:ilvl w:val="0"/>
          <w:numId w:val="9"/>
        </w:numPr>
        <w:ind w:left="426"/>
        <w:jc w:val="both"/>
        <w:rPr>
          <w:rFonts w:ascii="Arial" w:hAnsi="Arial" w:cs="Arial"/>
          <w:bCs/>
          <w:sz w:val="22"/>
          <w:szCs w:val="22"/>
          <w:highlight w:val="yellow"/>
          <w:lang w:val="en-GB"/>
        </w:rPr>
      </w:pPr>
      <w:r w:rsidRPr="00166EAD">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166EAD">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166EAD" w:rsidRDefault="00911C23" w:rsidP="00275182">
      <w:pPr>
        <w:pStyle w:val="ListParagraph"/>
        <w:numPr>
          <w:ilvl w:val="0"/>
          <w:numId w:val="10"/>
        </w:numPr>
        <w:ind w:left="426"/>
        <w:jc w:val="both"/>
        <w:rPr>
          <w:rFonts w:ascii="Arial" w:hAnsi="Arial" w:cs="Arial"/>
          <w:sz w:val="22"/>
          <w:szCs w:val="22"/>
          <w:highlight w:val="yellow"/>
          <w:lang w:val="en-GB"/>
        </w:rPr>
      </w:pPr>
      <w:r w:rsidRPr="00166EAD">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4689C210" w:rsidR="009B07AD" w:rsidRPr="00205B31" w:rsidRDefault="00392935"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introduction of new legislation and various reforms in English Law have significantly impacted modern insolvency law and practices. The Statute of Ann 1705 was the first law to introduce statutory discharge. This is significant since this essentially allows the debtor after surrendering </w:t>
      </w:r>
      <w:r w:rsidR="007248AD">
        <w:rPr>
          <w:rFonts w:ascii="Arial" w:hAnsi="Arial" w:cs="Arial"/>
          <w:color w:val="7B7B7B" w:themeColor="accent3" w:themeShade="BF"/>
          <w:sz w:val="22"/>
          <w:szCs w:val="22"/>
          <w:lang w:val="en-GB"/>
        </w:rPr>
        <w:t xml:space="preserve">assets and making </w:t>
      </w:r>
      <w:r>
        <w:rPr>
          <w:rFonts w:ascii="Arial" w:hAnsi="Arial" w:cs="Arial"/>
          <w:color w:val="7B7B7B" w:themeColor="accent3" w:themeShade="BF"/>
          <w:sz w:val="22"/>
          <w:szCs w:val="22"/>
          <w:lang w:val="en-GB"/>
        </w:rPr>
        <w:t xml:space="preserve">distributions to its creditors to be completely </w:t>
      </w:r>
      <w:r w:rsidR="007248AD">
        <w:rPr>
          <w:rFonts w:ascii="Arial" w:hAnsi="Arial" w:cs="Arial"/>
          <w:color w:val="7B7B7B" w:themeColor="accent3" w:themeShade="BF"/>
          <w:sz w:val="22"/>
          <w:szCs w:val="22"/>
          <w:lang w:val="en-GB"/>
        </w:rPr>
        <w:t xml:space="preserve">absolved on any liability.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2DE20DFC" w:rsidR="009B07AD" w:rsidRPr="00205B31" w:rsidRDefault="00351B11" w:rsidP="00CD1247">
      <w:pPr>
        <w:jc w:val="both"/>
        <w:rPr>
          <w:rFonts w:ascii="Arial" w:hAnsi="Arial" w:cs="Arial"/>
          <w:sz w:val="22"/>
          <w:szCs w:val="22"/>
          <w:lang w:val="en-GB"/>
        </w:rPr>
      </w:pPr>
      <w:r>
        <w:rPr>
          <w:rFonts w:ascii="Arial" w:hAnsi="Arial" w:cs="Arial"/>
          <w:color w:val="7B7B7B" w:themeColor="accent3" w:themeShade="BF"/>
          <w:sz w:val="22"/>
          <w:szCs w:val="22"/>
          <w:lang w:val="en-GB"/>
        </w:rPr>
        <w:t>Due to the Covid-19 pandemic and its resulting</w:t>
      </w:r>
      <w:r w:rsidR="003350D0">
        <w:rPr>
          <w:rFonts w:ascii="Arial" w:hAnsi="Arial" w:cs="Arial"/>
          <w:color w:val="7B7B7B" w:themeColor="accent3" w:themeShade="BF"/>
          <w:sz w:val="22"/>
          <w:szCs w:val="22"/>
          <w:lang w:val="en-GB"/>
        </w:rPr>
        <w:t xml:space="preserve"> negative </w:t>
      </w:r>
      <w:r>
        <w:rPr>
          <w:rFonts w:ascii="Arial" w:hAnsi="Arial" w:cs="Arial"/>
          <w:color w:val="7B7B7B" w:themeColor="accent3" w:themeShade="BF"/>
          <w:sz w:val="22"/>
          <w:szCs w:val="22"/>
          <w:lang w:val="en-GB"/>
        </w:rPr>
        <w:t>effects of the economy</w:t>
      </w:r>
      <w:r w:rsidR="003350D0">
        <w:rPr>
          <w:rFonts w:ascii="Arial" w:hAnsi="Arial" w:cs="Arial"/>
          <w:color w:val="7B7B7B" w:themeColor="accent3" w:themeShade="BF"/>
          <w:sz w:val="22"/>
          <w:szCs w:val="22"/>
          <w:lang w:val="en-GB"/>
        </w:rPr>
        <w:t xml:space="preserve"> because of mandatory lockdown</w:t>
      </w:r>
      <w:r w:rsidR="00CA1F36">
        <w:rPr>
          <w:rFonts w:ascii="Arial" w:hAnsi="Arial" w:cs="Arial"/>
          <w:color w:val="7B7B7B" w:themeColor="accent3" w:themeShade="BF"/>
          <w:sz w:val="22"/>
          <w:szCs w:val="22"/>
          <w:lang w:val="en-GB"/>
        </w:rPr>
        <w:t xml:space="preserve">s </w:t>
      </w:r>
      <w:r w:rsidR="003350D0">
        <w:rPr>
          <w:rFonts w:ascii="Arial" w:hAnsi="Arial" w:cs="Arial"/>
          <w:color w:val="7B7B7B" w:themeColor="accent3" w:themeShade="BF"/>
          <w:sz w:val="22"/>
          <w:szCs w:val="22"/>
          <w:lang w:val="en-GB"/>
        </w:rPr>
        <w:t>which disrupted commercial activities</w:t>
      </w:r>
      <w:r>
        <w:rPr>
          <w:rFonts w:ascii="Arial" w:hAnsi="Arial" w:cs="Arial"/>
          <w:color w:val="7B7B7B" w:themeColor="accent3" w:themeShade="BF"/>
          <w:sz w:val="22"/>
          <w:szCs w:val="22"/>
          <w:lang w:val="en-GB"/>
        </w:rPr>
        <w:t>, new measures to address insolvency matters were included in th</w:t>
      </w:r>
      <w:r w:rsidR="003350D0">
        <w:rPr>
          <w:rFonts w:ascii="Arial" w:hAnsi="Arial" w:cs="Arial"/>
          <w:color w:val="7B7B7B" w:themeColor="accent3" w:themeShade="BF"/>
          <w:sz w:val="22"/>
          <w:szCs w:val="22"/>
          <w:lang w:val="en-GB"/>
        </w:rPr>
        <w:t xml:space="preserve">e </w:t>
      </w:r>
      <w:r>
        <w:rPr>
          <w:rFonts w:ascii="Arial" w:hAnsi="Arial" w:cs="Arial"/>
          <w:color w:val="7B7B7B" w:themeColor="accent3" w:themeShade="BF"/>
          <w:sz w:val="22"/>
          <w:szCs w:val="22"/>
          <w:lang w:val="en-GB"/>
        </w:rPr>
        <w:t xml:space="preserve">United Kingdom. The legislature passed the Corporate Insolvency and Governance Act 2020. This act outlines </w:t>
      </w:r>
      <w:r w:rsidR="003350D0">
        <w:rPr>
          <w:rFonts w:ascii="Arial" w:hAnsi="Arial" w:cs="Arial"/>
          <w:color w:val="7B7B7B" w:themeColor="accent3" w:themeShade="BF"/>
          <w:sz w:val="22"/>
          <w:szCs w:val="22"/>
          <w:lang w:val="en-GB"/>
        </w:rPr>
        <w:t xml:space="preserve">new guidelines for addressing issues such as business restructuring, moratoriums, the suspension of winding up petitions and demand notices from statutory bodies and relief from wrongful trading liability. </w:t>
      </w:r>
    </w:p>
    <w:p w14:paraId="039E27B5" w14:textId="2E43D12B" w:rsidR="00C82D87" w:rsidRPr="00205B31" w:rsidRDefault="00C82D87" w:rsidP="00351B11">
      <w:pPr>
        <w:tabs>
          <w:tab w:val="left" w:pos="7605"/>
        </w:tabs>
        <w:ind w:left="720" w:hanging="720"/>
        <w:jc w:val="both"/>
        <w:rPr>
          <w:rFonts w:ascii="Arial" w:hAnsi="Arial" w:cs="Arial"/>
          <w:sz w:val="22"/>
          <w:szCs w:val="22"/>
          <w:lang w:val="en-GB"/>
        </w:rPr>
      </w:pPr>
    </w:p>
    <w:p w14:paraId="79961E83" w14:textId="77777777" w:rsidR="00D17FDC" w:rsidRPr="00205B31" w:rsidRDefault="00D17FDC" w:rsidP="00CA1F36">
      <w:pPr>
        <w:ind w:left="720" w:hanging="720"/>
        <w:jc w:val="center"/>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0BD9878B" w:rsidR="00C72848" w:rsidRPr="00205B31" w:rsidRDefault="00664B01" w:rsidP="00CD1247">
      <w:pPr>
        <w:ind w:left="720"/>
        <w:jc w:val="both"/>
        <w:rPr>
          <w:rFonts w:ascii="Arial" w:hAnsi="Arial" w:cs="Arial"/>
          <w:sz w:val="22"/>
          <w:szCs w:val="22"/>
          <w:lang w:val="en-GB"/>
        </w:rPr>
      </w:pPr>
      <w:r>
        <w:rPr>
          <w:rFonts w:ascii="Arial" w:hAnsi="Arial" w:cs="Arial"/>
          <w:color w:val="7B7B7B" w:themeColor="accent3" w:themeShade="BF"/>
          <w:sz w:val="22"/>
          <w:szCs w:val="22"/>
          <w:lang w:val="en-GB"/>
        </w:rPr>
        <w:t xml:space="preserve">A treaty is a formal agreement, </w:t>
      </w:r>
      <w:r w:rsidR="00165AC7">
        <w:rPr>
          <w:rFonts w:ascii="Arial" w:hAnsi="Arial" w:cs="Arial"/>
          <w:color w:val="7B7B7B" w:themeColor="accent3" w:themeShade="BF"/>
          <w:sz w:val="22"/>
          <w:szCs w:val="22"/>
          <w:lang w:val="en-GB"/>
        </w:rPr>
        <w:t>contract,</w:t>
      </w:r>
      <w:r>
        <w:rPr>
          <w:rFonts w:ascii="Arial" w:hAnsi="Arial" w:cs="Arial"/>
          <w:color w:val="7B7B7B" w:themeColor="accent3" w:themeShade="BF"/>
          <w:sz w:val="22"/>
          <w:szCs w:val="22"/>
          <w:lang w:val="en-GB"/>
        </w:rPr>
        <w:t xml:space="preserve"> or instrument</w:t>
      </w:r>
      <w:r w:rsidR="00165AC7">
        <w:rPr>
          <w:rFonts w:ascii="Arial" w:hAnsi="Arial" w:cs="Arial"/>
          <w:color w:val="7B7B7B" w:themeColor="accent3" w:themeShade="BF"/>
          <w:sz w:val="22"/>
          <w:szCs w:val="22"/>
          <w:lang w:val="en-GB"/>
        </w:rPr>
        <w:t xml:space="preserve"> executed among related partieo</w:t>
      </w:r>
      <w:r w:rsidR="00CD1247">
        <w:rPr>
          <w:rFonts w:ascii="Arial" w:hAnsi="Arial" w:cs="Arial"/>
          <w:color w:val="7B7B7B" w:themeColor="accent3" w:themeShade="BF"/>
          <w:sz w:val="22"/>
          <w:szCs w:val="22"/>
          <w:lang w:val="en-GB"/>
        </w:rPr>
        <w:t>r</w:t>
      </w:r>
      <w:r w:rsidR="00165AC7">
        <w:rPr>
          <w:rFonts w:ascii="Arial" w:hAnsi="Arial" w:cs="Arial"/>
          <w:color w:val="7B7B7B" w:themeColor="accent3" w:themeShade="BF"/>
          <w:sz w:val="22"/>
          <w:szCs w:val="22"/>
          <w:lang w:val="en-GB"/>
        </w:rPr>
        <w:t>states. Treaties are legally binding when ratified, and usually influence legal proceedings</w:t>
      </w:r>
      <w:r w:rsidR="007D1C9B">
        <w:rPr>
          <w:rFonts w:ascii="Arial" w:hAnsi="Arial" w:cs="Arial"/>
          <w:color w:val="7B7B7B" w:themeColor="accent3" w:themeShade="BF"/>
          <w:sz w:val="22"/>
          <w:szCs w:val="22"/>
          <w:lang w:val="en-GB"/>
        </w:rPr>
        <w:t xml:space="preserve"> </w:t>
      </w:r>
      <w:r w:rsidR="00165AC7">
        <w:rPr>
          <w:rFonts w:ascii="Arial" w:hAnsi="Arial" w:cs="Arial"/>
          <w:color w:val="7B7B7B" w:themeColor="accent3" w:themeShade="BF"/>
          <w:sz w:val="22"/>
          <w:szCs w:val="22"/>
          <w:lang w:val="en-GB"/>
        </w:rPr>
        <w:t>among the parties. In relation to cross-border insolvency</w:t>
      </w:r>
      <w:r w:rsidR="007D1C9B">
        <w:rPr>
          <w:rFonts w:ascii="Arial" w:hAnsi="Arial" w:cs="Arial"/>
          <w:color w:val="7B7B7B" w:themeColor="accent3" w:themeShade="BF"/>
          <w:sz w:val="22"/>
          <w:szCs w:val="22"/>
          <w:lang w:val="en-GB"/>
        </w:rPr>
        <w:t xml:space="preserve">, </w:t>
      </w:r>
      <w:r w:rsidR="00F03857">
        <w:rPr>
          <w:rFonts w:ascii="Arial" w:hAnsi="Arial" w:cs="Arial"/>
          <w:color w:val="7B7B7B" w:themeColor="accent3" w:themeShade="BF"/>
          <w:sz w:val="22"/>
          <w:szCs w:val="22"/>
          <w:lang w:val="en-GB"/>
        </w:rPr>
        <w:t xml:space="preserve">a treaty would be very effective in establishing cross-border insolvency rules since the executed agreement generally becomes part of the laws of local jurisdictions. </w:t>
      </w:r>
      <w:r w:rsidR="002E7511">
        <w:rPr>
          <w:rFonts w:ascii="Arial" w:hAnsi="Arial" w:cs="Arial"/>
          <w:color w:val="7B7B7B" w:themeColor="accent3" w:themeShade="BF"/>
          <w:sz w:val="22"/>
          <w:szCs w:val="22"/>
          <w:lang w:val="en-GB"/>
        </w:rPr>
        <w:t xml:space="preserve">One such example is the Nordic Bankruptcy Convention (1933) established among Norway, Denmark, Finland, Iceland and Sweden. It is based on the principle of universalism, as such a bankruptcy proceeding occurring in one state, considered be the centre of main interest, influences all other </w:t>
      </w:r>
      <w:r w:rsidR="006D2DC9">
        <w:rPr>
          <w:rFonts w:ascii="Arial" w:hAnsi="Arial" w:cs="Arial"/>
          <w:color w:val="7B7B7B" w:themeColor="accent3" w:themeShade="BF"/>
          <w:sz w:val="22"/>
          <w:szCs w:val="22"/>
          <w:lang w:val="en-GB"/>
        </w:rPr>
        <w:t>member</w:t>
      </w:r>
      <w:r w:rsidR="00FD37C1">
        <w:rPr>
          <w:rFonts w:ascii="Arial" w:hAnsi="Arial" w:cs="Arial"/>
          <w:color w:val="7B7B7B" w:themeColor="accent3" w:themeShade="BF"/>
          <w:sz w:val="22"/>
          <w:szCs w:val="22"/>
          <w:lang w:val="en-GB"/>
        </w:rPr>
        <w:t xml:space="preserve"> </w:t>
      </w:r>
      <w:r w:rsidR="002E7511">
        <w:rPr>
          <w:rFonts w:ascii="Arial" w:hAnsi="Arial" w:cs="Arial"/>
          <w:color w:val="7B7B7B" w:themeColor="accent3" w:themeShade="BF"/>
          <w:sz w:val="22"/>
          <w:szCs w:val="22"/>
          <w:lang w:val="en-GB"/>
        </w:rPr>
        <w:t xml:space="preserve">states, regardless of the differences in domestic legislation. </w:t>
      </w:r>
      <w:r w:rsidR="00F03857">
        <w:rPr>
          <w:rFonts w:ascii="Arial" w:hAnsi="Arial" w:cs="Arial"/>
          <w:color w:val="7B7B7B" w:themeColor="accent3" w:themeShade="BF"/>
          <w:sz w:val="22"/>
          <w:szCs w:val="22"/>
          <w:lang w:val="en-GB"/>
        </w:rPr>
        <w:t xml:space="preserve">Contrastingly, “Soft law” is not legally binding. These are usually </w:t>
      </w:r>
      <w:r w:rsidR="008076A1">
        <w:rPr>
          <w:rFonts w:ascii="Arial" w:hAnsi="Arial" w:cs="Arial"/>
          <w:color w:val="7B7B7B" w:themeColor="accent3" w:themeShade="BF"/>
          <w:sz w:val="22"/>
          <w:szCs w:val="22"/>
          <w:lang w:val="en-GB"/>
        </w:rPr>
        <w:t xml:space="preserve">recommendations, guidelines or best practices established by multilateral organizations </w:t>
      </w:r>
      <w:r w:rsidR="00BB1A65">
        <w:rPr>
          <w:rFonts w:ascii="Arial" w:hAnsi="Arial" w:cs="Arial"/>
          <w:color w:val="7B7B7B" w:themeColor="accent3" w:themeShade="BF"/>
          <w:sz w:val="22"/>
          <w:szCs w:val="22"/>
          <w:lang w:val="en-GB"/>
        </w:rPr>
        <w:t>that</w:t>
      </w:r>
      <w:r w:rsidR="008076A1">
        <w:rPr>
          <w:rFonts w:ascii="Arial" w:hAnsi="Arial" w:cs="Arial"/>
          <w:color w:val="7B7B7B" w:themeColor="accent3" w:themeShade="BF"/>
          <w:sz w:val="22"/>
          <w:szCs w:val="22"/>
          <w:lang w:val="en-GB"/>
        </w:rPr>
        <w:t xml:space="preserve"> </w:t>
      </w:r>
      <w:r w:rsidR="00BB1A65">
        <w:rPr>
          <w:rFonts w:ascii="Arial" w:hAnsi="Arial" w:cs="Arial"/>
          <w:color w:val="7B7B7B" w:themeColor="accent3" w:themeShade="BF"/>
          <w:sz w:val="22"/>
          <w:szCs w:val="22"/>
          <w:lang w:val="en-GB"/>
        </w:rPr>
        <w:t>states</w:t>
      </w:r>
      <w:r w:rsidR="008076A1">
        <w:rPr>
          <w:rFonts w:ascii="Arial" w:hAnsi="Arial" w:cs="Arial"/>
          <w:color w:val="7B7B7B" w:themeColor="accent3" w:themeShade="BF"/>
          <w:sz w:val="22"/>
          <w:szCs w:val="22"/>
          <w:lang w:val="en-GB"/>
        </w:rPr>
        <w:t xml:space="preserve"> or governments may use choose to adopt as part of the legal framework on cross-border insolvency in their respective countries or states.</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A637290" w14:textId="41621439" w:rsidR="00544127" w:rsidRPr="00205B31" w:rsidRDefault="00A66D41" w:rsidP="00F76EA5">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Sources of insolvency law of a particular state </w:t>
      </w:r>
      <w:r w:rsidR="00F76EA5">
        <w:rPr>
          <w:rFonts w:ascii="Arial" w:hAnsi="Arial" w:cs="Arial"/>
          <w:color w:val="7B7B7B" w:themeColor="accent3" w:themeShade="BF"/>
          <w:sz w:val="22"/>
          <w:szCs w:val="22"/>
          <w:lang w:val="en-GB"/>
        </w:rPr>
        <w:t>may vary in relation to the presentation of the legislation</w:t>
      </w:r>
      <w:r w:rsidR="0050441B">
        <w:rPr>
          <w:rFonts w:ascii="Arial" w:hAnsi="Arial" w:cs="Arial"/>
          <w:color w:val="7B7B7B" w:themeColor="accent3" w:themeShade="BF"/>
          <w:sz w:val="22"/>
          <w:szCs w:val="22"/>
          <w:lang w:val="en-GB"/>
        </w:rPr>
        <w:t>, that is, whether it is contain in one specific act or various acts. In Australia, the Corporations Act 2001 is the legislative authority on c</w:t>
      </w:r>
      <w:r w:rsidR="001B6614">
        <w:rPr>
          <w:rFonts w:ascii="Arial" w:hAnsi="Arial" w:cs="Arial"/>
          <w:color w:val="7B7B7B" w:themeColor="accent3" w:themeShade="BF"/>
          <w:sz w:val="22"/>
          <w:szCs w:val="22"/>
          <w:lang w:val="en-GB"/>
        </w:rPr>
        <w:t>orporate insolvency, while the Bankruptcy Act 1966 provides the regulation</w:t>
      </w:r>
      <w:r w:rsidR="008971E8">
        <w:rPr>
          <w:rFonts w:ascii="Arial" w:hAnsi="Arial" w:cs="Arial"/>
          <w:color w:val="7B7B7B" w:themeColor="accent3" w:themeShade="BF"/>
          <w:sz w:val="22"/>
          <w:szCs w:val="22"/>
          <w:lang w:val="en-GB"/>
        </w:rPr>
        <w:t>s</w:t>
      </w:r>
      <w:r w:rsidR="001B6614">
        <w:rPr>
          <w:rFonts w:ascii="Arial" w:hAnsi="Arial" w:cs="Arial"/>
          <w:color w:val="7B7B7B" w:themeColor="accent3" w:themeShade="BF"/>
          <w:sz w:val="22"/>
          <w:szCs w:val="22"/>
          <w:lang w:val="en-GB"/>
        </w:rPr>
        <w:t xml:space="preserve"> for individual or natural persons. </w:t>
      </w:r>
      <w:r w:rsidR="008971E8">
        <w:rPr>
          <w:rFonts w:ascii="Arial" w:hAnsi="Arial" w:cs="Arial"/>
          <w:color w:val="7B7B7B" w:themeColor="accent3" w:themeShade="BF"/>
          <w:sz w:val="22"/>
          <w:szCs w:val="22"/>
          <w:lang w:val="en-GB"/>
        </w:rPr>
        <w:t>The Personal Properties Act 2009 outlines the process for the registration of a secur</w:t>
      </w:r>
      <w:r w:rsidR="000B377A">
        <w:rPr>
          <w:rFonts w:ascii="Arial" w:hAnsi="Arial" w:cs="Arial"/>
          <w:color w:val="7B7B7B" w:themeColor="accent3" w:themeShade="BF"/>
          <w:sz w:val="22"/>
          <w:szCs w:val="22"/>
          <w:lang w:val="en-GB"/>
        </w:rPr>
        <w:t>ity interest in personal property. In the case of personal bankruptcy of an Australian citizen it may be necessary for the administer or trustee to consult both the Bankruptcy Act 1996 and the Personal Properties Acts in case where the financial institution is a creditor and has a secured interest in the property of the debtor.</w:t>
      </w: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2A4AE3DE" w14:textId="64A08DEB" w:rsidR="00772D6B" w:rsidRDefault="00A1573A" w:rsidP="00772D6B">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Fletcher opined that </w:t>
      </w:r>
      <w:r w:rsidR="00155AEF">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three pertinent issues in cross-border insolvency involved the </w:t>
      </w:r>
      <w:r w:rsidR="00155AEF">
        <w:rPr>
          <w:rFonts w:ascii="Arial" w:hAnsi="Arial" w:cs="Arial"/>
          <w:color w:val="7B7B7B" w:themeColor="accent3" w:themeShade="BF"/>
          <w:sz w:val="22"/>
          <w:szCs w:val="22"/>
          <w:lang w:val="en-GB"/>
        </w:rPr>
        <w:t xml:space="preserve">choice forum or which court will have the legal authority or jurisdiction in the matter; </w:t>
      </w:r>
      <w:r>
        <w:rPr>
          <w:rFonts w:ascii="Arial" w:hAnsi="Arial" w:cs="Arial"/>
          <w:color w:val="7B7B7B" w:themeColor="accent3" w:themeShade="BF"/>
          <w:sz w:val="22"/>
          <w:szCs w:val="22"/>
          <w:lang w:val="en-GB"/>
        </w:rPr>
        <w:t>choice of law</w:t>
      </w:r>
      <w:r w:rsidR="00155AEF">
        <w:rPr>
          <w:rFonts w:ascii="Arial" w:hAnsi="Arial" w:cs="Arial"/>
          <w:color w:val="7B7B7B" w:themeColor="accent3" w:themeShade="BF"/>
          <w:sz w:val="22"/>
          <w:szCs w:val="22"/>
          <w:lang w:val="en-GB"/>
        </w:rPr>
        <w:t xml:space="preserve"> - </w:t>
      </w:r>
      <w:r>
        <w:rPr>
          <w:rFonts w:ascii="Arial" w:hAnsi="Arial" w:cs="Arial"/>
          <w:color w:val="7B7B7B" w:themeColor="accent3" w:themeShade="BF"/>
          <w:sz w:val="22"/>
          <w:szCs w:val="22"/>
          <w:lang w:val="en-GB"/>
        </w:rPr>
        <w:t>that is</w:t>
      </w:r>
      <w:r w:rsidR="00155AE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which countr</w:t>
      </w:r>
      <w:r w:rsidR="00ED45CE">
        <w:rPr>
          <w:rFonts w:ascii="Arial" w:hAnsi="Arial" w:cs="Arial"/>
          <w:color w:val="7B7B7B" w:themeColor="accent3" w:themeShade="BF"/>
          <w:sz w:val="22"/>
          <w:szCs w:val="22"/>
          <w:lang w:val="en-GB"/>
        </w:rPr>
        <w:t>y or state’s</w:t>
      </w:r>
      <w:r>
        <w:rPr>
          <w:rFonts w:ascii="Arial" w:hAnsi="Arial" w:cs="Arial"/>
          <w:color w:val="7B7B7B" w:themeColor="accent3" w:themeShade="BF"/>
          <w:sz w:val="22"/>
          <w:szCs w:val="22"/>
          <w:lang w:val="en-GB"/>
        </w:rPr>
        <w:t xml:space="preserve"> law </w:t>
      </w:r>
      <w:r w:rsidR="00ED45CE">
        <w:rPr>
          <w:rFonts w:ascii="Arial" w:hAnsi="Arial" w:cs="Arial"/>
          <w:color w:val="7B7B7B" w:themeColor="accent3" w:themeShade="BF"/>
          <w:sz w:val="22"/>
          <w:szCs w:val="22"/>
          <w:lang w:val="en-GB"/>
        </w:rPr>
        <w:t xml:space="preserve">is </w:t>
      </w:r>
      <w:r>
        <w:rPr>
          <w:rFonts w:ascii="Arial" w:hAnsi="Arial" w:cs="Arial"/>
          <w:color w:val="7B7B7B" w:themeColor="accent3" w:themeShade="BF"/>
          <w:sz w:val="22"/>
          <w:szCs w:val="22"/>
          <w:lang w:val="en-GB"/>
        </w:rPr>
        <w:t>applicable</w:t>
      </w:r>
      <w:r w:rsidR="00155AEF">
        <w:rPr>
          <w:rFonts w:ascii="Arial" w:hAnsi="Arial" w:cs="Arial"/>
          <w:color w:val="7B7B7B" w:themeColor="accent3" w:themeShade="BF"/>
          <w:sz w:val="22"/>
          <w:szCs w:val="22"/>
          <w:lang w:val="en-GB"/>
        </w:rPr>
        <w:t xml:space="preserve"> </w:t>
      </w:r>
      <w:r w:rsidR="005E48D6">
        <w:rPr>
          <w:rFonts w:ascii="Arial" w:hAnsi="Arial" w:cs="Arial"/>
          <w:color w:val="7B7B7B" w:themeColor="accent3" w:themeShade="BF"/>
          <w:sz w:val="22"/>
          <w:szCs w:val="22"/>
          <w:lang w:val="en-GB"/>
        </w:rPr>
        <w:t>to the</w:t>
      </w:r>
      <w:r>
        <w:rPr>
          <w:rFonts w:ascii="Arial" w:hAnsi="Arial" w:cs="Arial"/>
          <w:color w:val="7B7B7B" w:themeColor="accent3" w:themeShade="BF"/>
          <w:sz w:val="22"/>
          <w:szCs w:val="22"/>
          <w:lang w:val="en-GB"/>
        </w:rPr>
        <w:t xml:space="preserve"> insolvency proceeding</w:t>
      </w:r>
      <w:r w:rsidR="00ED45CE">
        <w:rPr>
          <w:rFonts w:ascii="Arial" w:hAnsi="Arial" w:cs="Arial"/>
          <w:color w:val="7B7B7B" w:themeColor="accent3" w:themeShade="BF"/>
          <w:sz w:val="22"/>
          <w:szCs w:val="22"/>
          <w:lang w:val="en-GB"/>
        </w:rPr>
        <w:t xml:space="preserve">; </w:t>
      </w:r>
      <w:r w:rsidR="00155AEF">
        <w:rPr>
          <w:rFonts w:ascii="Arial" w:hAnsi="Arial" w:cs="Arial"/>
          <w:color w:val="7B7B7B" w:themeColor="accent3" w:themeShade="BF"/>
          <w:sz w:val="22"/>
          <w:szCs w:val="22"/>
          <w:lang w:val="en-GB"/>
        </w:rPr>
        <w:t>and whether</w:t>
      </w:r>
      <w:r>
        <w:rPr>
          <w:rFonts w:ascii="Arial" w:hAnsi="Arial" w:cs="Arial"/>
          <w:color w:val="7B7B7B" w:themeColor="accent3" w:themeShade="BF"/>
          <w:sz w:val="22"/>
          <w:szCs w:val="22"/>
          <w:lang w:val="en-GB"/>
        </w:rPr>
        <w:t xml:space="preserve"> any judicial pronouncements in one state would be </w:t>
      </w:r>
      <w:r w:rsidR="00ED45CE">
        <w:rPr>
          <w:rFonts w:ascii="Arial" w:hAnsi="Arial" w:cs="Arial"/>
          <w:color w:val="7B7B7B" w:themeColor="accent3" w:themeShade="BF"/>
          <w:sz w:val="22"/>
          <w:szCs w:val="22"/>
          <w:lang w:val="en-GB"/>
        </w:rPr>
        <w:t xml:space="preserve">enforceable </w:t>
      </w:r>
      <w:r>
        <w:rPr>
          <w:rFonts w:ascii="Arial" w:hAnsi="Arial" w:cs="Arial"/>
          <w:color w:val="7B7B7B" w:themeColor="accent3" w:themeShade="BF"/>
          <w:sz w:val="22"/>
          <w:szCs w:val="22"/>
          <w:lang w:val="en-GB"/>
        </w:rPr>
        <w:t>in any state</w:t>
      </w:r>
      <w:r w:rsidR="00ED45CE">
        <w:rPr>
          <w:rFonts w:ascii="Arial" w:hAnsi="Arial" w:cs="Arial"/>
          <w:color w:val="7B7B7B" w:themeColor="accent3" w:themeShade="BF"/>
          <w:sz w:val="22"/>
          <w:szCs w:val="22"/>
          <w:lang w:val="en-GB"/>
        </w:rPr>
        <w:t xml:space="preserve"> without any agreement such as treaty or adopted regulations in place</w:t>
      </w:r>
      <w:r w:rsidR="009646BE">
        <w:rPr>
          <w:rFonts w:ascii="Arial" w:hAnsi="Arial" w:cs="Arial"/>
          <w:color w:val="7B7B7B" w:themeColor="accent3" w:themeShade="BF"/>
          <w:sz w:val="22"/>
          <w:szCs w:val="22"/>
          <w:lang w:val="en-GB"/>
        </w:rPr>
        <w:t xml:space="preserve"> among the parties.</w:t>
      </w:r>
    </w:p>
    <w:p w14:paraId="311AB11A" w14:textId="05F45B88" w:rsidR="00772D6B" w:rsidRDefault="009646BE" w:rsidP="00772D6B">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In addressing </w:t>
      </w:r>
      <w:r w:rsidR="006F35C3">
        <w:rPr>
          <w:rFonts w:ascii="Arial" w:hAnsi="Arial" w:cs="Arial"/>
          <w:color w:val="7B7B7B" w:themeColor="accent3" w:themeShade="BF"/>
          <w:sz w:val="22"/>
          <w:szCs w:val="22"/>
          <w:lang w:val="en-GB"/>
        </w:rPr>
        <w:t xml:space="preserve">issues surrounding </w:t>
      </w:r>
      <w:r>
        <w:rPr>
          <w:rFonts w:ascii="Arial" w:hAnsi="Arial" w:cs="Arial"/>
          <w:color w:val="7B7B7B" w:themeColor="accent3" w:themeShade="BF"/>
          <w:sz w:val="22"/>
          <w:szCs w:val="22"/>
          <w:lang w:val="en-GB"/>
        </w:rPr>
        <w:t>the choice of jurisdiction</w:t>
      </w:r>
      <w:r w:rsidR="00772D6B">
        <w:rPr>
          <w:rFonts w:ascii="Arial" w:hAnsi="Arial" w:cs="Arial"/>
          <w:color w:val="7B7B7B" w:themeColor="accent3" w:themeShade="BF"/>
          <w:sz w:val="22"/>
          <w:szCs w:val="22"/>
          <w:lang w:val="en-GB"/>
        </w:rPr>
        <w:t>, countries which have adopted the European Insolvency Regulation</w:t>
      </w:r>
      <w:r w:rsidR="001A3498">
        <w:rPr>
          <w:rFonts w:ascii="Arial" w:hAnsi="Arial" w:cs="Arial"/>
          <w:color w:val="7B7B7B" w:themeColor="accent3" w:themeShade="BF"/>
          <w:sz w:val="22"/>
          <w:szCs w:val="22"/>
          <w:lang w:val="en-GB"/>
        </w:rPr>
        <w:t xml:space="preserve"> or </w:t>
      </w:r>
      <w:r w:rsidR="00772D6B">
        <w:rPr>
          <w:rFonts w:ascii="Arial" w:hAnsi="Arial" w:cs="Arial"/>
          <w:color w:val="7B7B7B" w:themeColor="accent3" w:themeShade="BF"/>
          <w:sz w:val="22"/>
          <w:szCs w:val="22"/>
          <w:lang w:val="en-GB"/>
        </w:rPr>
        <w:t>allocate jurisdiction on the basis of the existence</w:t>
      </w:r>
      <w:r w:rsidR="001A3498">
        <w:rPr>
          <w:rFonts w:ascii="Arial" w:hAnsi="Arial" w:cs="Arial"/>
          <w:color w:val="7B7B7B" w:themeColor="accent3" w:themeShade="BF"/>
          <w:sz w:val="22"/>
          <w:szCs w:val="22"/>
          <w:lang w:val="en-GB"/>
        </w:rPr>
        <w:t xml:space="preserve"> </w:t>
      </w:r>
      <w:r w:rsidR="006F35C3">
        <w:rPr>
          <w:rFonts w:ascii="Arial" w:hAnsi="Arial" w:cs="Arial"/>
          <w:color w:val="7B7B7B" w:themeColor="accent3" w:themeShade="BF"/>
          <w:sz w:val="22"/>
          <w:szCs w:val="22"/>
          <w:lang w:val="en-GB"/>
        </w:rPr>
        <w:t>a “centre of the debtor’s main interest”</w:t>
      </w:r>
      <w:r w:rsidR="001A3498">
        <w:rPr>
          <w:rFonts w:ascii="Arial" w:hAnsi="Arial" w:cs="Arial"/>
          <w:color w:val="7B7B7B" w:themeColor="accent3" w:themeShade="BF"/>
          <w:sz w:val="22"/>
          <w:szCs w:val="22"/>
          <w:lang w:val="en-GB"/>
        </w:rPr>
        <w:t xml:space="preserve"> </w:t>
      </w:r>
      <w:r w:rsidR="006F35C3">
        <w:rPr>
          <w:rFonts w:ascii="Arial" w:hAnsi="Arial" w:cs="Arial"/>
          <w:color w:val="7B7B7B" w:themeColor="accent3" w:themeShade="BF"/>
          <w:sz w:val="22"/>
          <w:szCs w:val="22"/>
          <w:lang w:val="en-GB"/>
        </w:rPr>
        <w:t xml:space="preserve">(COMI) in the determination of </w:t>
      </w:r>
      <w:r w:rsidR="00C84A6B">
        <w:rPr>
          <w:rFonts w:ascii="Arial" w:hAnsi="Arial" w:cs="Arial"/>
          <w:color w:val="7B7B7B" w:themeColor="accent3" w:themeShade="BF"/>
          <w:sz w:val="22"/>
          <w:szCs w:val="22"/>
          <w:lang w:val="en-GB"/>
        </w:rPr>
        <w:t>where the main proceeding will be held. There must be an established operations location used for economic activity</w:t>
      </w:r>
      <w:r w:rsidR="001A3498">
        <w:rPr>
          <w:rFonts w:ascii="Arial" w:hAnsi="Arial" w:cs="Arial"/>
          <w:color w:val="7B7B7B" w:themeColor="accent3" w:themeShade="BF"/>
          <w:sz w:val="22"/>
          <w:szCs w:val="22"/>
          <w:lang w:val="en-GB"/>
        </w:rPr>
        <w:t xml:space="preserve"> and some agreed upon criteria must be met</w:t>
      </w:r>
      <w:r w:rsidR="00C84A6B">
        <w:rPr>
          <w:rFonts w:ascii="Arial" w:hAnsi="Arial" w:cs="Arial"/>
          <w:color w:val="7B7B7B" w:themeColor="accent3" w:themeShade="BF"/>
          <w:sz w:val="22"/>
          <w:szCs w:val="22"/>
          <w:lang w:val="en-GB"/>
        </w:rPr>
        <w:t xml:space="preserve">.  However, it must be noted that this does not preclude other member states from opening insolvency proceeding domestically. Proceeding </w:t>
      </w:r>
      <w:r w:rsidR="00D13F54">
        <w:rPr>
          <w:rFonts w:ascii="Arial" w:hAnsi="Arial" w:cs="Arial"/>
          <w:color w:val="7B7B7B" w:themeColor="accent3" w:themeShade="BF"/>
          <w:sz w:val="22"/>
          <w:szCs w:val="22"/>
          <w:lang w:val="en-GB"/>
        </w:rPr>
        <w:t>occurring outside of the main proceeding are subsidiary, regardless of whether they pre-date the main proceeding. Opponents of this practice, highlight issues such as the vulnerability of the main proceeding to manipulation and issues of trust with the legal systems in a particular country</w:t>
      </w:r>
      <w:r w:rsidR="00DA2D48">
        <w:rPr>
          <w:rFonts w:ascii="Arial" w:hAnsi="Arial" w:cs="Arial"/>
          <w:color w:val="7B7B7B" w:themeColor="accent3" w:themeShade="BF"/>
          <w:sz w:val="22"/>
          <w:szCs w:val="22"/>
          <w:lang w:val="en-GB"/>
        </w:rPr>
        <w:t>.</w:t>
      </w:r>
    </w:p>
    <w:p w14:paraId="5DFECB58" w14:textId="77777777" w:rsidR="005E48D6" w:rsidRDefault="009646BE" w:rsidP="00772D6B">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it relates to the choice of law</w:t>
      </w:r>
      <w:r w:rsidR="001A3498">
        <w:rPr>
          <w:rFonts w:ascii="Arial" w:hAnsi="Arial" w:cs="Arial"/>
          <w:color w:val="7B7B7B" w:themeColor="accent3" w:themeShade="BF"/>
          <w:sz w:val="22"/>
          <w:szCs w:val="22"/>
          <w:lang w:val="en-GB"/>
        </w:rPr>
        <w:t xml:space="preserve">, the Nordic </w:t>
      </w:r>
      <w:r w:rsidR="00DB044D">
        <w:rPr>
          <w:rFonts w:ascii="Arial" w:hAnsi="Arial" w:cs="Arial"/>
          <w:color w:val="7B7B7B" w:themeColor="accent3" w:themeShade="BF"/>
          <w:sz w:val="22"/>
          <w:szCs w:val="22"/>
          <w:lang w:val="en-GB"/>
        </w:rPr>
        <w:t xml:space="preserve">Bankruptcy </w:t>
      </w:r>
      <w:r w:rsidR="001A3498">
        <w:rPr>
          <w:rFonts w:ascii="Arial" w:hAnsi="Arial" w:cs="Arial"/>
          <w:color w:val="7B7B7B" w:themeColor="accent3" w:themeShade="BF"/>
          <w:sz w:val="22"/>
          <w:szCs w:val="22"/>
          <w:lang w:val="en-GB"/>
        </w:rPr>
        <w:t xml:space="preserve">Convention </w:t>
      </w:r>
      <w:r w:rsidR="005622E2">
        <w:rPr>
          <w:rFonts w:ascii="Arial" w:hAnsi="Arial" w:cs="Arial"/>
          <w:color w:val="7B7B7B" w:themeColor="accent3" w:themeShade="BF"/>
          <w:sz w:val="22"/>
          <w:szCs w:val="22"/>
          <w:lang w:val="en-GB"/>
        </w:rPr>
        <w:t>adopted</w:t>
      </w:r>
      <w:r w:rsidR="001A3498">
        <w:rPr>
          <w:rFonts w:ascii="Arial" w:hAnsi="Arial" w:cs="Arial"/>
          <w:color w:val="7B7B7B" w:themeColor="accent3" w:themeShade="BF"/>
          <w:sz w:val="22"/>
          <w:szCs w:val="22"/>
          <w:lang w:val="en-GB"/>
        </w:rPr>
        <w:t xml:space="preserve"> by Norway, </w:t>
      </w:r>
      <w:r w:rsidR="00DB044D">
        <w:rPr>
          <w:rFonts w:ascii="Arial" w:hAnsi="Arial" w:cs="Arial"/>
          <w:color w:val="7B7B7B" w:themeColor="accent3" w:themeShade="BF"/>
          <w:sz w:val="22"/>
          <w:szCs w:val="22"/>
          <w:lang w:val="en-GB"/>
        </w:rPr>
        <w:t>Denmark</w:t>
      </w:r>
      <w:r w:rsidR="001A3498">
        <w:rPr>
          <w:rFonts w:ascii="Arial" w:hAnsi="Arial" w:cs="Arial"/>
          <w:color w:val="7B7B7B" w:themeColor="accent3" w:themeShade="BF"/>
          <w:sz w:val="22"/>
          <w:szCs w:val="22"/>
          <w:lang w:val="en-GB"/>
        </w:rPr>
        <w:t xml:space="preserve">, Finland, Iceland and Sweden </w:t>
      </w:r>
      <w:r w:rsidR="005622E2">
        <w:rPr>
          <w:rFonts w:ascii="Arial" w:hAnsi="Arial" w:cs="Arial"/>
          <w:color w:val="7B7B7B" w:themeColor="accent3" w:themeShade="BF"/>
          <w:sz w:val="22"/>
          <w:szCs w:val="22"/>
          <w:lang w:val="en-GB"/>
        </w:rPr>
        <w:t>outline</w:t>
      </w:r>
      <w:r w:rsidR="00DB044D">
        <w:rPr>
          <w:rFonts w:ascii="Arial" w:hAnsi="Arial" w:cs="Arial"/>
          <w:color w:val="7B7B7B" w:themeColor="accent3" w:themeShade="BF"/>
          <w:sz w:val="22"/>
          <w:szCs w:val="22"/>
          <w:lang w:val="en-GB"/>
        </w:rPr>
        <w:t>s</w:t>
      </w:r>
      <w:r w:rsidR="005622E2">
        <w:rPr>
          <w:rFonts w:ascii="Arial" w:hAnsi="Arial" w:cs="Arial"/>
          <w:color w:val="7B7B7B" w:themeColor="accent3" w:themeShade="BF"/>
          <w:sz w:val="22"/>
          <w:szCs w:val="22"/>
          <w:lang w:val="en-GB"/>
        </w:rPr>
        <w:t xml:space="preserve"> how countries can work together on international insolvency matters. </w:t>
      </w:r>
      <w:r w:rsidR="00DB044D">
        <w:rPr>
          <w:rFonts w:ascii="Arial" w:hAnsi="Arial" w:cs="Arial"/>
          <w:color w:val="7B7B7B" w:themeColor="accent3" w:themeShade="BF"/>
          <w:sz w:val="22"/>
          <w:szCs w:val="22"/>
          <w:lang w:val="en-GB"/>
        </w:rPr>
        <w:t xml:space="preserve"> This convention is based on </w:t>
      </w:r>
      <w:r w:rsidR="00DA2D48">
        <w:rPr>
          <w:rFonts w:ascii="Arial" w:hAnsi="Arial" w:cs="Arial"/>
          <w:color w:val="7B7B7B" w:themeColor="accent3" w:themeShade="BF"/>
          <w:sz w:val="22"/>
          <w:szCs w:val="22"/>
          <w:lang w:val="en-GB"/>
        </w:rPr>
        <w:t xml:space="preserve">principle of </w:t>
      </w:r>
      <w:r w:rsidR="00DB044D">
        <w:rPr>
          <w:rFonts w:ascii="Arial" w:hAnsi="Arial" w:cs="Arial"/>
          <w:color w:val="7B7B7B" w:themeColor="accent3" w:themeShade="BF"/>
          <w:sz w:val="22"/>
          <w:szCs w:val="22"/>
          <w:lang w:val="en-GB"/>
        </w:rPr>
        <w:t>universali</w:t>
      </w:r>
      <w:r w:rsidR="00DA2D48">
        <w:rPr>
          <w:rFonts w:ascii="Arial" w:hAnsi="Arial" w:cs="Arial"/>
          <w:color w:val="7B7B7B" w:themeColor="accent3" w:themeShade="BF"/>
          <w:sz w:val="22"/>
          <w:szCs w:val="22"/>
          <w:lang w:val="en-GB"/>
        </w:rPr>
        <w:t>sm</w:t>
      </w:r>
      <w:r w:rsidR="00DB044D">
        <w:rPr>
          <w:rFonts w:ascii="Arial" w:hAnsi="Arial" w:cs="Arial"/>
          <w:color w:val="7B7B7B" w:themeColor="accent3" w:themeShade="BF"/>
          <w:sz w:val="22"/>
          <w:szCs w:val="22"/>
          <w:lang w:val="en-GB"/>
        </w:rPr>
        <w:t>, such as</w:t>
      </w:r>
      <w:r w:rsidR="00D8661B">
        <w:rPr>
          <w:rFonts w:ascii="Arial" w:hAnsi="Arial" w:cs="Arial"/>
          <w:color w:val="7B7B7B" w:themeColor="accent3" w:themeShade="BF"/>
          <w:sz w:val="22"/>
          <w:szCs w:val="22"/>
          <w:lang w:val="en-GB"/>
        </w:rPr>
        <w:t>,</w:t>
      </w:r>
      <w:r w:rsidR="00DB044D">
        <w:rPr>
          <w:rFonts w:ascii="Arial" w:hAnsi="Arial" w:cs="Arial"/>
          <w:color w:val="7B7B7B" w:themeColor="accent3" w:themeShade="BF"/>
          <w:sz w:val="22"/>
          <w:szCs w:val="22"/>
          <w:lang w:val="en-GB"/>
        </w:rPr>
        <w:t xml:space="preserve"> a bankruptcy proceeding opened in one Nordic state is recognized in all member states</w:t>
      </w:r>
      <w:r w:rsidR="00DA2D48">
        <w:rPr>
          <w:rFonts w:ascii="Arial" w:hAnsi="Arial" w:cs="Arial"/>
          <w:color w:val="7B7B7B" w:themeColor="accent3" w:themeShade="BF"/>
          <w:sz w:val="22"/>
          <w:szCs w:val="22"/>
          <w:lang w:val="en-GB"/>
        </w:rPr>
        <w:t>,</w:t>
      </w:r>
      <w:r w:rsidR="00DB044D">
        <w:rPr>
          <w:rFonts w:ascii="Arial" w:hAnsi="Arial" w:cs="Arial"/>
          <w:color w:val="7B7B7B" w:themeColor="accent3" w:themeShade="BF"/>
          <w:sz w:val="22"/>
          <w:szCs w:val="22"/>
          <w:lang w:val="en-GB"/>
        </w:rPr>
        <w:t xml:space="preserve"> in effect</w:t>
      </w:r>
      <w:r w:rsidR="00DA2D48">
        <w:rPr>
          <w:rFonts w:ascii="Arial" w:hAnsi="Arial" w:cs="Arial"/>
          <w:color w:val="7B7B7B" w:themeColor="accent3" w:themeShade="BF"/>
          <w:sz w:val="22"/>
          <w:szCs w:val="22"/>
          <w:lang w:val="en-GB"/>
        </w:rPr>
        <w:t>,</w:t>
      </w:r>
      <w:r w:rsidR="00023B7B">
        <w:rPr>
          <w:rFonts w:ascii="Arial" w:hAnsi="Arial" w:cs="Arial"/>
          <w:color w:val="7B7B7B" w:themeColor="accent3" w:themeShade="BF"/>
          <w:sz w:val="22"/>
          <w:szCs w:val="22"/>
          <w:lang w:val="en-GB"/>
        </w:rPr>
        <w:t xml:space="preserve"> the law of the country in which the bankruptcy proceeding is </w:t>
      </w:r>
      <w:r w:rsidR="00DA2D48">
        <w:rPr>
          <w:rFonts w:ascii="Arial" w:hAnsi="Arial" w:cs="Arial"/>
          <w:color w:val="7B7B7B" w:themeColor="accent3" w:themeShade="BF"/>
          <w:sz w:val="22"/>
          <w:szCs w:val="22"/>
          <w:lang w:val="en-GB"/>
        </w:rPr>
        <w:t xml:space="preserve">opened, is </w:t>
      </w:r>
      <w:r w:rsidR="00023B7B">
        <w:rPr>
          <w:rFonts w:ascii="Arial" w:hAnsi="Arial" w:cs="Arial"/>
          <w:color w:val="7B7B7B" w:themeColor="accent3" w:themeShade="BF"/>
          <w:sz w:val="22"/>
          <w:szCs w:val="22"/>
          <w:lang w:val="en-GB"/>
        </w:rPr>
        <w:t>applicable in all other states</w:t>
      </w:r>
      <w:r w:rsidR="00DA2D48">
        <w:rPr>
          <w:rFonts w:ascii="Arial" w:hAnsi="Arial" w:cs="Arial"/>
          <w:color w:val="7B7B7B" w:themeColor="accent3" w:themeShade="BF"/>
          <w:sz w:val="22"/>
          <w:szCs w:val="22"/>
          <w:lang w:val="en-GB"/>
        </w:rPr>
        <w:t xml:space="preserve">, </w:t>
      </w:r>
      <w:r w:rsidR="00023B7B">
        <w:rPr>
          <w:rFonts w:ascii="Arial" w:hAnsi="Arial" w:cs="Arial"/>
          <w:color w:val="7B7B7B" w:themeColor="accent3" w:themeShade="BF"/>
          <w:sz w:val="22"/>
          <w:szCs w:val="22"/>
          <w:lang w:val="en-GB"/>
        </w:rPr>
        <w:t>unless an exemption is stated in the convention. In practice, court order</w:t>
      </w:r>
      <w:r w:rsidR="00D8661B">
        <w:rPr>
          <w:rFonts w:ascii="Arial" w:hAnsi="Arial" w:cs="Arial"/>
          <w:color w:val="7B7B7B" w:themeColor="accent3" w:themeShade="BF"/>
          <w:sz w:val="22"/>
          <w:szCs w:val="22"/>
          <w:lang w:val="en-GB"/>
        </w:rPr>
        <w:t>ed</w:t>
      </w:r>
      <w:r w:rsidR="00023B7B">
        <w:rPr>
          <w:rFonts w:ascii="Arial" w:hAnsi="Arial" w:cs="Arial"/>
          <w:color w:val="7B7B7B" w:themeColor="accent3" w:themeShade="BF"/>
          <w:sz w:val="22"/>
          <w:szCs w:val="22"/>
          <w:lang w:val="en-GB"/>
        </w:rPr>
        <w:t xml:space="preserve"> stays of</w:t>
      </w:r>
      <w:r w:rsidR="00D8661B">
        <w:rPr>
          <w:rFonts w:ascii="Arial" w:hAnsi="Arial" w:cs="Arial"/>
          <w:color w:val="7B7B7B" w:themeColor="accent3" w:themeShade="BF"/>
          <w:sz w:val="22"/>
          <w:szCs w:val="22"/>
          <w:lang w:val="en-GB"/>
        </w:rPr>
        <w:t xml:space="preserve"> proceedings on legal actions opened by creditors</w:t>
      </w:r>
      <w:r w:rsidR="00023B7B">
        <w:rPr>
          <w:rFonts w:ascii="Arial" w:hAnsi="Arial" w:cs="Arial"/>
          <w:color w:val="7B7B7B" w:themeColor="accent3" w:themeShade="BF"/>
          <w:sz w:val="22"/>
          <w:szCs w:val="22"/>
          <w:lang w:val="en-GB"/>
        </w:rPr>
        <w:t xml:space="preserve"> are upheld and the administrator or trustee has the legal authority to request the surrender of the debtor’s assets and to carry out other administrative functions related to the bankruptcy</w:t>
      </w:r>
      <w:r w:rsidR="00DA2D48">
        <w:rPr>
          <w:rFonts w:ascii="Arial" w:hAnsi="Arial" w:cs="Arial"/>
          <w:color w:val="7B7B7B" w:themeColor="accent3" w:themeShade="BF"/>
          <w:sz w:val="22"/>
          <w:szCs w:val="22"/>
          <w:lang w:val="en-GB"/>
        </w:rPr>
        <w:t xml:space="preserve"> such as requesting documents from statutory bodies of other member states</w:t>
      </w:r>
      <w:r w:rsidR="00023B7B">
        <w:rPr>
          <w:rFonts w:ascii="Arial" w:hAnsi="Arial" w:cs="Arial"/>
          <w:color w:val="7B7B7B" w:themeColor="accent3" w:themeShade="BF"/>
          <w:sz w:val="22"/>
          <w:szCs w:val="22"/>
          <w:lang w:val="en-GB"/>
        </w:rPr>
        <w:t>.</w:t>
      </w:r>
    </w:p>
    <w:p w14:paraId="7940D274" w14:textId="139C95A0" w:rsidR="00DF75F8" w:rsidRPr="00205B31" w:rsidRDefault="005E48D6" w:rsidP="00772D6B">
      <w:pPr>
        <w:ind w:firstLine="720"/>
        <w:jc w:val="both"/>
        <w:rPr>
          <w:rFonts w:ascii="Arial" w:hAnsi="Arial" w:cs="Arial"/>
          <w:sz w:val="22"/>
          <w:szCs w:val="22"/>
          <w:lang w:val="en-GB"/>
        </w:rPr>
      </w:pPr>
      <w:r>
        <w:rPr>
          <w:rFonts w:ascii="Arial" w:hAnsi="Arial" w:cs="Arial"/>
          <w:color w:val="7B7B7B" w:themeColor="accent3" w:themeShade="BF"/>
          <w:sz w:val="22"/>
          <w:szCs w:val="22"/>
          <w:lang w:val="en-GB"/>
        </w:rPr>
        <w:t xml:space="preserve">The ability of enforce the laws in international insolvency proceeding is of critical importation particularly with globalization and international trade. </w:t>
      </w:r>
      <w:r w:rsidR="001B49A5">
        <w:rPr>
          <w:rFonts w:ascii="Arial" w:hAnsi="Arial" w:cs="Arial"/>
          <w:color w:val="7B7B7B" w:themeColor="accent3" w:themeShade="BF"/>
          <w:sz w:val="22"/>
          <w:szCs w:val="22"/>
          <w:lang w:val="en-GB"/>
        </w:rPr>
        <w:t>In resolving issues surrounding international insolvency, countries are encouraged through various regulatory bodies such as the World Bank and the United Nations Commission on International Trade Law (UN</w:t>
      </w:r>
      <w:r w:rsidR="00C7716A">
        <w:rPr>
          <w:rFonts w:ascii="Arial" w:hAnsi="Arial" w:cs="Arial"/>
          <w:color w:val="7B7B7B" w:themeColor="accent3" w:themeShade="BF"/>
          <w:sz w:val="22"/>
          <w:szCs w:val="22"/>
          <w:lang w:val="en-GB"/>
        </w:rPr>
        <w:t xml:space="preserve">CITRAL) to promote recognition and enforcement of insolvency laws across borders. Co-operation and co-ordination among countries is one a </w:t>
      </w:r>
      <w:r w:rsidR="00B01E8A">
        <w:rPr>
          <w:rFonts w:ascii="Arial" w:hAnsi="Arial" w:cs="Arial"/>
          <w:color w:val="7B7B7B" w:themeColor="accent3" w:themeShade="BF"/>
          <w:sz w:val="22"/>
          <w:szCs w:val="22"/>
          <w:lang w:val="en-GB"/>
        </w:rPr>
        <w:t>guiding principle</w:t>
      </w:r>
      <w:r w:rsidR="00C7716A">
        <w:rPr>
          <w:rFonts w:ascii="Arial" w:hAnsi="Arial" w:cs="Arial"/>
          <w:color w:val="7B7B7B" w:themeColor="accent3" w:themeShade="BF"/>
          <w:sz w:val="22"/>
          <w:szCs w:val="22"/>
          <w:lang w:val="en-GB"/>
        </w:rPr>
        <w:t xml:space="preserve"> of the UNCITRAL Model Law on Cross-border Insolvency. (MLCBI). It </w:t>
      </w:r>
      <w:r w:rsidR="00CD5DFF">
        <w:rPr>
          <w:rFonts w:ascii="Arial" w:hAnsi="Arial" w:cs="Arial"/>
          <w:color w:val="7B7B7B" w:themeColor="accent3" w:themeShade="BF"/>
          <w:sz w:val="22"/>
          <w:szCs w:val="22"/>
          <w:lang w:val="en-GB"/>
        </w:rPr>
        <w:t xml:space="preserve">outlines the basic principles and procedures for the recognition od foreign insolvency proceedings and the provisions of relief and assistance among courts and administers. </w:t>
      </w:r>
      <w:r w:rsidR="00B01E8A">
        <w:rPr>
          <w:rFonts w:ascii="Arial" w:hAnsi="Arial" w:cs="Arial"/>
          <w:color w:val="7B7B7B" w:themeColor="accent3" w:themeShade="BF"/>
          <w:sz w:val="22"/>
          <w:szCs w:val="22"/>
          <w:lang w:val="en-GB"/>
        </w:rPr>
        <w:t xml:space="preserve">It is believed that abiding </w:t>
      </w:r>
      <w:r w:rsidR="004E7920">
        <w:rPr>
          <w:rFonts w:ascii="Arial" w:hAnsi="Arial" w:cs="Arial"/>
          <w:color w:val="7B7B7B" w:themeColor="accent3" w:themeShade="BF"/>
          <w:sz w:val="22"/>
          <w:szCs w:val="22"/>
          <w:lang w:val="en-GB"/>
        </w:rPr>
        <w:t>these</w:t>
      </w:r>
      <w:r w:rsidR="00B01E8A">
        <w:rPr>
          <w:rFonts w:ascii="Arial" w:hAnsi="Arial" w:cs="Arial"/>
          <w:color w:val="7B7B7B" w:themeColor="accent3" w:themeShade="BF"/>
          <w:sz w:val="22"/>
          <w:szCs w:val="22"/>
          <w:lang w:val="en-GB"/>
        </w:rPr>
        <w:t xml:space="preserve"> </w:t>
      </w:r>
      <w:r w:rsidR="004E7920">
        <w:rPr>
          <w:rFonts w:ascii="Arial" w:hAnsi="Arial" w:cs="Arial"/>
          <w:color w:val="7B7B7B" w:themeColor="accent3" w:themeShade="BF"/>
          <w:sz w:val="22"/>
          <w:szCs w:val="22"/>
          <w:lang w:val="en-GB"/>
        </w:rPr>
        <w:t xml:space="preserve">guidelines lead </w:t>
      </w:r>
      <w:r w:rsidR="00B01E8A">
        <w:rPr>
          <w:rFonts w:ascii="Arial" w:hAnsi="Arial" w:cs="Arial"/>
          <w:color w:val="7B7B7B" w:themeColor="accent3" w:themeShade="BF"/>
          <w:sz w:val="22"/>
          <w:szCs w:val="22"/>
          <w:lang w:val="en-GB"/>
        </w:rPr>
        <w:t xml:space="preserve">to the most far and effective </w:t>
      </w:r>
      <w:r w:rsidR="00F45CF4">
        <w:rPr>
          <w:rFonts w:ascii="Arial" w:hAnsi="Arial" w:cs="Arial"/>
          <w:color w:val="7B7B7B" w:themeColor="accent3" w:themeShade="BF"/>
          <w:sz w:val="22"/>
          <w:szCs w:val="22"/>
          <w:lang w:val="en-GB"/>
        </w:rPr>
        <w:t>administration of a debtor’s affairs and helps to mitigate the cost of administration since resources and information is shared amongst courts especially where more than one proceeding is occurring concurrently.</w:t>
      </w:r>
    </w:p>
    <w:p w14:paraId="4135BFDA" w14:textId="3B10B85B" w:rsidR="00275182" w:rsidRPr="00205B31" w:rsidRDefault="00ED45CE" w:rsidP="00275182">
      <w:pPr>
        <w:widowControl w:val="0"/>
        <w:ind w:left="720" w:hanging="72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 </w:t>
      </w: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6F78B86A" w:rsidR="00DF75F8" w:rsidRPr="00205B31" w:rsidRDefault="00401C11" w:rsidP="00401C11">
      <w:pPr>
        <w:tabs>
          <w:tab w:val="left" w:pos="2865"/>
        </w:tabs>
        <w:jc w:val="both"/>
        <w:rPr>
          <w:rFonts w:ascii="Arial" w:hAnsi="Arial" w:cs="Arial"/>
          <w:sz w:val="22"/>
          <w:szCs w:val="22"/>
          <w:lang w:val="en-GB"/>
        </w:rPr>
      </w:pPr>
      <w:r>
        <w:rPr>
          <w:rFonts w:ascii="Arial" w:hAnsi="Arial" w:cs="Arial"/>
          <w:color w:val="7B7B7B" w:themeColor="accent3" w:themeShade="BF"/>
          <w:sz w:val="22"/>
          <w:szCs w:val="22"/>
          <w:lang w:val="en-GB"/>
        </w:rPr>
        <w:t xml:space="preserve">Maxwell Communication Corporation plc. Insolvency case of 19991 is an example </w:t>
      </w:r>
      <w:r w:rsidR="00040FE4">
        <w:rPr>
          <w:rFonts w:ascii="Arial" w:hAnsi="Arial" w:cs="Arial"/>
          <w:color w:val="7B7B7B" w:themeColor="accent3" w:themeShade="BF"/>
          <w:sz w:val="22"/>
          <w:szCs w:val="22"/>
          <w:lang w:val="en-GB"/>
        </w:rPr>
        <w:t>of</w:t>
      </w:r>
      <w:r>
        <w:rPr>
          <w:rFonts w:ascii="Arial" w:hAnsi="Arial" w:cs="Arial"/>
          <w:color w:val="7B7B7B" w:themeColor="accent3" w:themeShade="BF"/>
          <w:sz w:val="22"/>
          <w:szCs w:val="22"/>
          <w:lang w:val="en-GB"/>
        </w:rPr>
        <w:t xml:space="preserve"> an</w:t>
      </w:r>
      <w:r w:rsidR="00B93E1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insolvency proceeding in which “hard law” or common law, that is</w:t>
      </w:r>
      <w:r w:rsidR="00B93E1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case</w:t>
      </w:r>
      <w:r w:rsidR="00B93E1C">
        <w:rPr>
          <w:rFonts w:ascii="Arial" w:hAnsi="Arial" w:cs="Arial"/>
          <w:color w:val="7B7B7B" w:themeColor="accent3" w:themeShade="BF"/>
          <w:sz w:val="22"/>
          <w:szCs w:val="22"/>
          <w:lang w:val="en-GB"/>
        </w:rPr>
        <w:t xml:space="preserve"> made law</w:t>
      </w:r>
      <w:r>
        <w:rPr>
          <w:rFonts w:ascii="Arial" w:hAnsi="Arial" w:cs="Arial"/>
          <w:color w:val="7B7B7B" w:themeColor="accent3" w:themeShade="BF"/>
          <w:sz w:val="22"/>
          <w:szCs w:val="22"/>
          <w:lang w:val="en-GB"/>
        </w:rPr>
        <w:t xml:space="preserve"> encouraged co-ordination agreements </w:t>
      </w:r>
      <w:r w:rsidR="00B93E1C">
        <w:rPr>
          <w:rFonts w:ascii="Arial" w:hAnsi="Arial" w:cs="Arial"/>
          <w:color w:val="7B7B7B" w:themeColor="accent3" w:themeShade="BF"/>
          <w:sz w:val="22"/>
          <w:szCs w:val="22"/>
          <w:lang w:val="en-GB"/>
        </w:rPr>
        <w:t xml:space="preserve">between states </w:t>
      </w:r>
      <w:r>
        <w:rPr>
          <w:rFonts w:ascii="Arial" w:hAnsi="Arial" w:cs="Arial"/>
          <w:color w:val="7B7B7B" w:themeColor="accent3" w:themeShade="BF"/>
          <w:sz w:val="22"/>
          <w:szCs w:val="22"/>
          <w:lang w:val="en-GB"/>
        </w:rPr>
        <w:t xml:space="preserve">prior to the development of </w:t>
      </w:r>
      <w:r w:rsidR="00B93E1C">
        <w:rPr>
          <w:rFonts w:ascii="Arial" w:hAnsi="Arial" w:cs="Arial"/>
          <w:color w:val="7B7B7B" w:themeColor="accent3" w:themeShade="BF"/>
          <w:sz w:val="22"/>
          <w:szCs w:val="22"/>
          <w:lang w:val="en-GB"/>
        </w:rPr>
        <w:t xml:space="preserve">modern insolvency regulations or </w:t>
      </w:r>
      <w:r>
        <w:rPr>
          <w:rFonts w:ascii="Arial" w:hAnsi="Arial" w:cs="Arial"/>
          <w:color w:val="7B7B7B" w:themeColor="accent3" w:themeShade="BF"/>
          <w:sz w:val="22"/>
          <w:szCs w:val="22"/>
          <w:lang w:val="en-GB"/>
        </w:rPr>
        <w:t xml:space="preserve">such as UNICTRAL Model Law. </w:t>
      </w:r>
      <w:r w:rsidR="0039396E">
        <w:rPr>
          <w:rFonts w:ascii="Arial" w:hAnsi="Arial" w:cs="Arial"/>
          <w:color w:val="7B7B7B" w:themeColor="accent3" w:themeShade="BF"/>
          <w:sz w:val="22"/>
          <w:szCs w:val="22"/>
          <w:lang w:val="en-GB"/>
        </w:rPr>
        <w:t xml:space="preserve">At issue, in the case of Maxwell </w:t>
      </w:r>
      <w:r w:rsidR="00D26510">
        <w:rPr>
          <w:rFonts w:ascii="Arial" w:hAnsi="Arial" w:cs="Arial"/>
          <w:color w:val="7B7B7B" w:themeColor="accent3" w:themeShade="BF"/>
          <w:sz w:val="22"/>
          <w:szCs w:val="22"/>
          <w:lang w:val="en-GB"/>
        </w:rPr>
        <w:t xml:space="preserve">was whether Maxwell Communication, a limited liability company incorporated in England, and having filed chapter 11 </w:t>
      </w:r>
      <w:r w:rsidR="00B93E1C">
        <w:rPr>
          <w:rFonts w:ascii="Arial" w:hAnsi="Arial" w:cs="Arial"/>
          <w:color w:val="7B7B7B" w:themeColor="accent3" w:themeShade="BF"/>
          <w:sz w:val="22"/>
          <w:szCs w:val="22"/>
          <w:lang w:val="en-GB"/>
        </w:rPr>
        <w:t>bankruptcy</w:t>
      </w:r>
      <w:r w:rsidR="00D26510">
        <w:rPr>
          <w:rFonts w:ascii="Arial" w:hAnsi="Arial" w:cs="Arial"/>
          <w:color w:val="7B7B7B" w:themeColor="accent3" w:themeShade="BF"/>
          <w:sz w:val="22"/>
          <w:szCs w:val="22"/>
          <w:lang w:val="en-GB"/>
        </w:rPr>
        <w:t xml:space="preserve">, could recover under the Laws of the United States, millions of dollars that was transferred to foreign bank accounts prior to the bankruptcy declaration. </w:t>
      </w:r>
      <w:r w:rsidR="00B93E1C">
        <w:rPr>
          <w:rFonts w:ascii="Arial" w:hAnsi="Arial" w:cs="Arial"/>
          <w:color w:val="7B7B7B" w:themeColor="accent3" w:themeShade="BF"/>
          <w:sz w:val="22"/>
          <w:szCs w:val="22"/>
          <w:lang w:val="en-GB"/>
        </w:rPr>
        <w:t xml:space="preserve">The </w:t>
      </w:r>
      <w:r w:rsidR="00FA6208">
        <w:rPr>
          <w:rFonts w:ascii="Arial" w:hAnsi="Arial" w:cs="Arial"/>
          <w:color w:val="7B7B7B" w:themeColor="accent3" w:themeShade="BF"/>
          <w:sz w:val="22"/>
          <w:szCs w:val="22"/>
          <w:lang w:val="en-GB"/>
        </w:rPr>
        <w:t>Bankruptcy proceedings were initiated in both the United States and England</w:t>
      </w:r>
      <w:r w:rsidR="00B93E1C">
        <w:rPr>
          <w:rFonts w:ascii="Arial" w:hAnsi="Arial" w:cs="Arial"/>
          <w:color w:val="7B7B7B" w:themeColor="accent3" w:themeShade="BF"/>
          <w:sz w:val="22"/>
          <w:szCs w:val="22"/>
          <w:lang w:val="en-GB"/>
        </w:rPr>
        <w:t xml:space="preserve"> by the affected creditor</w:t>
      </w:r>
      <w:r w:rsidR="00FA6208">
        <w:rPr>
          <w:rFonts w:ascii="Arial" w:hAnsi="Arial" w:cs="Arial"/>
          <w:color w:val="7B7B7B" w:themeColor="accent3" w:themeShade="BF"/>
          <w:sz w:val="22"/>
          <w:szCs w:val="22"/>
          <w:lang w:val="en-GB"/>
        </w:rPr>
        <w:t>.  The courts in both countries ultimately agreed that it was in the best interest of the affected creditor to promote the co</w:t>
      </w:r>
      <w:r w:rsidR="00343459">
        <w:rPr>
          <w:rFonts w:ascii="Arial" w:hAnsi="Arial" w:cs="Arial"/>
          <w:color w:val="7B7B7B" w:themeColor="accent3" w:themeShade="BF"/>
          <w:sz w:val="22"/>
          <w:szCs w:val="22"/>
          <w:lang w:val="en-GB"/>
        </w:rPr>
        <w:t>-</w:t>
      </w:r>
      <w:r w:rsidR="00FA6208">
        <w:rPr>
          <w:rFonts w:ascii="Arial" w:hAnsi="Arial" w:cs="Arial"/>
          <w:color w:val="7B7B7B" w:themeColor="accent3" w:themeShade="BF"/>
          <w:sz w:val="22"/>
          <w:szCs w:val="22"/>
          <w:lang w:val="en-GB"/>
        </w:rPr>
        <w:t>operation and co-ordination</w:t>
      </w:r>
      <w:r w:rsidR="00343459">
        <w:rPr>
          <w:rFonts w:ascii="Arial" w:hAnsi="Arial" w:cs="Arial"/>
          <w:color w:val="7B7B7B" w:themeColor="accent3" w:themeShade="BF"/>
          <w:sz w:val="22"/>
          <w:szCs w:val="22"/>
          <w:lang w:val="en-GB"/>
        </w:rPr>
        <w:t>,</w:t>
      </w:r>
      <w:r w:rsidR="00FA6208">
        <w:rPr>
          <w:rFonts w:ascii="Arial" w:hAnsi="Arial" w:cs="Arial"/>
          <w:color w:val="7B7B7B" w:themeColor="accent3" w:themeShade="BF"/>
          <w:sz w:val="22"/>
          <w:szCs w:val="22"/>
          <w:lang w:val="en-GB"/>
        </w:rPr>
        <w:t xml:space="preserve"> despite the differences in the existing bankruptcy laws in each country. The parties agreed to a </w:t>
      </w:r>
      <w:r w:rsidR="0073008C">
        <w:rPr>
          <w:rFonts w:ascii="Arial" w:hAnsi="Arial" w:cs="Arial"/>
          <w:color w:val="7B7B7B" w:themeColor="accent3" w:themeShade="BF"/>
          <w:sz w:val="22"/>
          <w:szCs w:val="22"/>
          <w:lang w:val="en-GB"/>
        </w:rPr>
        <w:t>distribution</w:t>
      </w:r>
      <w:r w:rsidR="00FA6208">
        <w:rPr>
          <w:rFonts w:ascii="Arial" w:hAnsi="Arial" w:cs="Arial"/>
          <w:color w:val="7B7B7B" w:themeColor="accent3" w:themeShade="BF"/>
          <w:sz w:val="22"/>
          <w:szCs w:val="22"/>
          <w:lang w:val="en-GB"/>
        </w:rPr>
        <w:t xml:space="preserve"> mechanism that </w:t>
      </w:r>
      <w:r w:rsidR="0073008C">
        <w:rPr>
          <w:rFonts w:ascii="Arial" w:hAnsi="Arial" w:cs="Arial"/>
          <w:color w:val="7B7B7B" w:themeColor="accent3" w:themeShade="BF"/>
          <w:sz w:val="22"/>
          <w:szCs w:val="22"/>
          <w:lang w:val="en-GB"/>
        </w:rPr>
        <w:t>would</w:t>
      </w:r>
      <w:r w:rsidR="00FA6208">
        <w:rPr>
          <w:rFonts w:ascii="Arial" w:hAnsi="Arial" w:cs="Arial"/>
          <w:color w:val="7B7B7B" w:themeColor="accent3" w:themeShade="BF"/>
          <w:sz w:val="22"/>
          <w:szCs w:val="22"/>
          <w:lang w:val="en-GB"/>
        </w:rPr>
        <w:t xml:space="preserve"> allow for </w:t>
      </w:r>
      <w:r w:rsidR="0073008C">
        <w:rPr>
          <w:rFonts w:ascii="Arial" w:hAnsi="Arial" w:cs="Arial"/>
          <w:color w:val="7B7B7B" w:themeColor="accent3" w:themeShade="BF"/>
          <w:sz w:val="22"/>
          <w:szCs w:val="22"/>
          <w:lang w:val="en-GB"/>
        </w:rPr>
        <w:t>the pooling together of the debtor’s assets, that ultimately led to the maximum of creditors’ return</w:t>
      </w:r>
      <w:r w:rsidR="00B93E1C">
        <w:rPr>
          <w:rFonts w:ascii="Arial" w:hAnsi="Arial" w:cs="Arial"/>
          <w:color w:val="7B7B7B" w:themeColor="accent3" w:themeShade="BF"/>
          <w:sz w:val="22"/>
          <w:szCs w:val="22"/>
          <w:lang w:val="en-GB"/>
        </w:rPr>
        <w:t>, regardless of whether the creditor had filed a claim in both countries. This was significant since it reduced the processing time and eliminat</w:t>
      </w:r>
      <w:r w:rsidR="006A4BDB">
        <w:rPr>
          <w:rFonts w:ascii="Arial" w:hAnsi="Arial" w:cs="Arial"/>
          <w:color w:val="7B7B7B" w:themeColor="accent3" w:themeShade="BF"/>
          <w:sz w:val="22"/>
          <w:szCs w:val="22"/>
          <w:lang w:val="en-GB"/>
        </w:rPr>
        <w:t xml:space="preserve">ing </w:t>
      </w:r>
      <w:r w:rsidR="00B93E1C">
        <w:rPr>
          <w:rFonts w:ascii="Arial" w:hAnsi="Arial" w:cs="Arial"/>
          <w:color w:val="7B7B7B" w:themeColor="accent3" w:themeShade="BF"/>
          <w:sz w:val="22"/>
          <w:szCs w:val="22"/>
          <w:lang w:val="en-GB"/>
        </w:rPr>
        <w:t>inefficiencies</w:t>
      </w:r>
      <w:r w:rsidR="006A4BDB">
        <w:rPr>
          <w:rFonts w:ascii="Arial" w:hAnsi="Arial" w:cs="Arial"/>
          <w:color w:val="7B7B7B" w:themeColor="accent3" w:themeShade="BF"/>
          <w:sz w:val="22"/>
          <w:szCs w:val="22"/>
          <w:lang w:val="en-GB"/>
        </w:rPr>
        <w:t xml:space="preserve"> and cost</w:t>
      </w:r>
      <w:r w:rsidR="00B93E1C">
        <w:rPr>
          <w:rFonts w:ascii="Arial" w:hAnsi="Arial" w:cs="Arial"/>
          <w:color w:val="7B7B7B" w:themeColor="accent3" w:themeShade="BF"/>
          <w:sz w:val="22"/>
          <w:szCs w:val="22"/>
          <w:lang w:val="en-GB"/>
        </w:rPr>
        <w:t xml:space="preserve">. </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17CD138F" w:rsidR="00DF4D5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31742606" w14:textId="77777777" w:rsidR="00031F33" w:rsidRPr="00205B31" w:rsidRDefault="00031F33" w:rsidP="006D564C">
      <w:pPr>
        <w:jc w:val="both"/>
        <w:rPr>
          <w:rFonts w:ascii="Arial" w:hAnsi="Arial" w:cs="Arial"/>
          <w:sz w:val="22"/>
          <w:szCs w:val="22"/>
          <w:lang w:val="en-GB"/>
        </w:rPr>
      </w:pPr>
    </w:p>
    <w:p w14:paraId="793A98A7" w14:textId="77777777"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lastRenderedPageBreak/>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317DD6E7" w14:textId="00527057" w:rsidR="00126A4D" w:rsidRPr="00443A3C" w:rsidRDefault="00031F3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European Insolvency Recast 2015 allows for countries within the European Union to comply the principle of “the centre of debtor’s main interests” (COMI) when</w:t>
      </w:r>
      <w:r w:rsidR="00E55D90">
        <w:rPr>
          <w:rFonts w:ascii="Arial" w:hAnsi="Arial" w:cs="Arial"/>
          <w:color w:val="7B7B7B" w:themeColor="accent3" w:themeShade="BF"/>
          <w:sz w:val="22"/>
          <w:szCs w:val="22"/>
          <w:lang w:val="en-GB"/>
        </w:rPr>
        <w:t xml:space="preserve"> deciding </w:t>
      </w:r>
      <w:r>
        <w:rPr>
          <w:rFonts w:ascii="Arial" w:hAnsi="Arial" w:cs="Arial"/>
          <w:color w:val="7B7B7B" w:themeColor="accent3" w:themeShade="BF"/>
          <w:sz w:val="22"/>
          <w:szCs w:val="22"/>
          <w:lang w:val="en-GB"/>
        </w:rPr>
        <w:t xml:space="preserve">jurisdiction between members. </w:t>
      </w:r>
      <w:r w:rsidR="00E55D90">
        <w:rPr>
          <w:rFonts w:ascii="Arial" w:hAnsi="Arial" w:cs="Arial"/>
          <w:color w:val="7B7B7B" w:themeColor="accent3" w:themeShade="BF"/>
          <w:sz w:val="22"/>
          <w:szCs w:val="22"/>
          <w:lang w:val="en-GB"/>
        </w:rPr>
        <w:t>On 18 June 2020, the United Kingdom was still a member of the European Union and as such</w:t>
      </w:r>
      <w:r w:rsidR="00835030">
        <w:rPr>
          <w:rFonts w:ascii="Arial" w:hAnsi="Arial" w:cs="Arial"/>
          <w:color w:val="7B7B7B" w:themeColor="accent3" w:themeShade="BF"/>
          <w:sz w:val="22"/>
          <w:szCs w:val="22"/>
          <w:lang w:val="en-GB"/>
        </w:rPr>
        <w:t>, it</w:t>
      </w:r>
      <w:r w:rsidR="00E55D90">
        <w:rPr>
          <w:rFonts w:ascii="Arial" w:hAnsi="Arial" w:cs="Arial"/>
          <w:color w:val="7B7B7B" w:themeColor="accent3" w:themeShade="BF"/>
          <w:sz w:val="22"/>
          <w:szCs w:val="22"/>
          <w:lang w:val="en-GB"/>
        </w:rPr>
        <w:t xml:space="preserve"> would be subjected to the rules of the EIR Recast. </w:t>
      </w:r>
      <w:r w:rsidR="00845CDF">
        <w:rPr>
          <w:rFonts w:ascii="Arial" w:hAnsi="Arial" w:cs="Arial"/>
          <w:color w:val="7B7B7B" w:themeColor="accent3" w:themeShade="BF"/>
          <w:sz w:val="22"/>
          <w:szCs w:val="22"/>
          <w:lang w:val="en-GB"/>
        </w:rPr>
        <w:t>EIR Recast allows for more than</w:t>
      </w:r>
      <w:r w:rsidR="00835030">
        <w:rPr>
          <w:rFonts w:ascii="Arial" w:hAnsi="Arial" w:cs="Arial"/>
          <w:color w:val="7B7B7B" w:themeColor="accent3" w:themeShade="BF"/>
          <w:sz w:val="22"/>
          <w:szCs w:val="22"/>
          <w:lang w:val="en-GB"/>
        </w:rPr>
        <w:t xml:space="preserve"> one</w:t>
      </w:r>
      <w:r w:rsidR="00845CDF">
        <w:rPr>
          <w:rFonts w:ascii="Arial" w:hAnsi="Arial" w:cs="Arial"/>
          <w:color w:val="7B7B7B" w:themeColor="accent3" w:themeShade="BF"/>
          <w:sz w:val="22"/>
          <w:szCs w:val="22"/>
          <w:lang w:val="en-GB"/>
        </w:rPr>
        <w:t xml:space="preserve"> insolvency proceeding to initiated</w:t>
      </w:r>
      <w:r w:rsidR="009747EF">
        <w:rPr>
          <w:rFonts w:ascii="Arial" w:hAnsi="Arial" w:cs="Arial"/>
          <w:color w:val="7B7B7B" w:themeColor="accent3" w:themeShade="BF"/>
          <w:sz w:val="22"/>
          <w:szCs w:val="22"/>
          <w:lang w:val="en-GB"/>
        </w:rPr>
        <w:t xml:space="preserve"> where it is determined that, “the debtor</w:t>
      </w:r>
      <w:r w:rsidR="00376C07">
        <w:rPr>
          <w:rFonts w:ascii="Arial" w:hAnsi="Arial" w:cs="Arial"/>
          <w:color w:val="7B7B7B" w:themeColor="accent3" w:themeShade="BF"/>
          <w:sz w:val="22"/>
          <w:szCs w:val="22"/>
          <w:lang w:val="en-GB"/>
        </w:rPr>
        <w:t xml:space="preserve"> conducts the administration of its interest on a regular </w:t>
      </w:r>
      <w:r w:rsidR="00CC76F9">
        <w:rPr>
          <w:rFonts w:ascii="Arial" w:hAnsi="Arial" w:cs="Arial"/>
          <w:color w:val="7B7B7B" w:themeColor="accent3" w:themeShade="BF"/>
          <w:sz w:val="22"/>
          <w:szCs w:val="22"/>
          <w:lang w:val="en-GB"/>
        </w:rPr>
        <w:t>basis,</w:t>
      </w:r>
      <w:r w:rsidR="00376C07">
        <w:rPr>
          <w:rFonts w:ascii="Arial" w:hAnsi="Arial" w:cs="Arial"/>
          <w:color w:val="7B7B7B" w:themeColor="accent3" w:themeShade="BF"/>
          <w:sz w:val="22"/>
          <w:szCs w:val="22"/>
          <w:lang w:val="en-GB"/>
        </w:rPr>
        <w:t xml:space="preserve"> and which is ascertainable by third parties</w:t>
      </w:r>
      <w:r w:rsidR="00CC76F9">
        <w:rPr>
          <w:rFonts w:ascii="Arial" w:hAnsi="Arial" w:cs="Arial"/>
          <w:color w:val="7B7B7B" w:themeColor="accent3" w:themeShade="BF"/>
          <w:sz w:val="22"/>
          <w:szCs w:val="22"/>
          <w:lang w:val="en-GB"/>
        </w:rPr>
        <w:t>”</w:t>
      </w:r>
      <w:r w:rsidR="00376C07">
        <w:rPr>
          <w:rFonts w:ascii="Arial" w:hAnsi="Arial" w:cs="Arial"/>
          <w:color w:val="7B7B7B" w:themeColor="accent3" w:themeShade="BF"/>
          <w:sz w:val="22"/>
          <w:szCs w:val="22"/>
          <w:lang w:val="en-GB"/>
        </w:rPr>
        <w:t xml:space="preserve"> according to Section 3 of the EIR Recast.</w:t>
      </w:r>
      <w:r w:rsidR="009747EF">
        <w:rPr>
          <w:rFonts w:ascii="Arial" w:hAnsi="Arial" w:cs="Arial"/>
          <w:color w:val="7B7B7B" w:themeColor="accent3" w:themeShade="BF"/>
          <w:sz w:val="22"/>
          <w:szCs w:val="22"/>
          <w:lang w:val="en-GB"/>
        </w:rPr>
        <w:t xml:space="preserve"> </w:t>
      </w:r>
      <w:r w:rsidR="0090495C">
        <w:rPr>
          <w:rFonts w:ascii="Arial" w:hAnsi="Arial" w:cs="Arial"/>
          <w:color w:val="7B7B7B" w:themeColor="accent3" w:themeShade="BF"/>
          <w:sz w:val="22"/>
          <w:szCs w:val="22"/>
          <w:lang w:val="en-GB"/>
        </w:rPr>
        <w:t xml:space="preserve">Since the COMI was established to </w:t>
      </w:r>
      <w:r w:rsidR="00CC76F9">
        <w:rPr>
          <w:rFonts w:ascii="Arial" w:hAnsi="Arial" w:cs="Arial"/>
          <w:color w:val="7B7B7B" w:themeColor="accent3" w:themeShade="BF"/>
          <w:sz w:val="22"/>
          <w:szCs w:val="22"/>
          <w:lang w:val="en-GB"/>
        </w:rPr>
        <w:t>be in</w:t>
      </w:r>
      <w:r w:rsidR="0090495C">
        <w:rPr>
          <w:rFonts w:ascii="Arial" w:hAnsi="Arial" w:cs="Arial"/>
          <w:color w:val="7B7B7B" w:themeColor="accent3" w:themeShade="BF"/>
          <w:sz w:val="22"/>
          <w:szCs w:val="22"/>
          <w:lang w:val="en-GB"/>
        </w:rPr>
        <w:t xml:space="preserve"> the United Kingdom, and the minor creditor’s proceeding was initiated in the UK, this proceeding would </w:t>
      </w:r>
      <w:r w:rsidR="004E7920">
        <w:rPr>
          <w:rFonts w:ascii="Arial" w:hAnsi="Arial" w:cs="Arial"/>
          <w:color w:val="7B7B7B" w:themeColor="accent3" w:themeShade="BF"/>
          <w:sz w:val="22"/>
          <w:szCs w:val="22"/>
          <w:lang w:val="en-GB"/>
        </w:rPr>
        <w:t>be</w:t>
      </w:r>
      <w:r w:rsidR="0090495C">
        <w:rPr>
          <w:rFonts w:ascii="Arial" w:hAnsi="Arial" w:cs="Arial"/>
          <w:color w:val="7B7B7B" w:themeColor="accent3" w:themeShade="BF"/>
          <w:sz w:val="22"/>
          <w:szCs w:val="22"/>
          <w:lang w:val="en-GB"/>
        </w:rPr>
        <w:t xml:space="preserve"> the main proceeding</w:t>
      </w:r>
      <w:r w:rsidR="00835030">
        <w:rPr>
          <w:rFonts w:ascii="Arial" w:hAnsi="Arial" w:cs="Arial"/>
          <w:color w:val="7B7B7B" w:themeColor="accent3" w:themeShade="BF"/>
          <w:sz w:val="22"/>
          <w:szCs w:val="22"/>
          <w:lang w:val="en-GB"/>
        </w:rPr>
        <w:t xml:space="preserve"> if the minor creditor was also a member of the European Union</w:t>
      </w:r>
      <w:r w:rsidR="0090495C">
        <w:rPr>
          <w:rFonts w:ascii="Arial" w:hAnsi="Arial" w:cs="Arial"/>
          <w:color w:val="7B7B7B" w:themeColor="accent3" w:themeShade="BF"/>
          <w:sz w:val="22"/>
          <w:szCs w:val="22"/>
          <w:lang w:val="en-GB"/>
        </w:rPr>
        <w:t xml:space="preserve">. Nevertheless, </w:t>
      </w:r>
      <w:proofErr w:type="spellStart"/>
      <w:r w:rsidR="0090495C">
        <w:rPr>
          <w:rFonts w:ascii="Arial" w:hAnsi="Arial" w:cs="Arial"/>
          <w:color w:val="7B7B7B" w:themeColor="accent3" w:themeShade="BF"/>
          <w:sz w:val="22"/>
          <w:szCs w:val="22"/>
          <w:lang w:val="en-GB"/>
        </w:rPr>
        <w:t>Fernz</w:t>
      </w:r>
      <w:proofErr w:type="spellEnd"/>
      <w:r w:rsidR="0090495C">
        <w:rPr>
          <w:rFonts w:ascii="Arial" w:hAnsi="Arial" w:cs="Arial"/>
          <w:color w:val="7B7B7B" w:themeColor="accent3" w:themeShade="BF"/>
          <w:sz w:val="22"/>
          <w:szCs w:val="22"/>
          <w:lang w:val="en-GB"/>
        </w:rPr>
        <w:t xml:space="preserve"> would not be prevent</w:t>
      </w:r>
      <w:r w:rsidR="00B96FA5">
        <w:rPr>
          <w:rFonts w:ascii="Arial" w:hAnsi="Arial" w:cs="Arial"/>
          <w:color w:val="7B7B7B" w:themeColor="accent3" w:themeShade="BF"/>
          <w:sz w:val="22"/>
          <w:szCs w:val="22"/>
          <w:lang w:val="en-GB"/>
        </w:rPr>
        <w:t xml:space="preserve">ed </w:t>
      </w:r>
      <w:r w:rsidR="0090495C">
        <w:rPr>
          <w:rFonts w:ascii="Arial" w:hAnsi="Arial" w:cs="Arial"/>
          <w:color w:val="7B7B7B" w:themeColor="accent3" w:themeShade="BF"/>
          <w:sz w:val="22"/>
          <w:szCs w:val="22"/>
          <w:lang w:val="en-GB"/>
        </w:rPr>
        <w:t xml:space="preserve">from opening a </w:t>
      </w:r>
      <w:r w:rsidR="00B96FA5">
        <w:rPr>
          <w:rFonts w:ascii="Arial" w:hAnsi="Arial" w:cs="Arial"/>
          <w:color w:val="7B7B7B" w:themeColor="accent3" w:themeShade="BF"/>
          <w:sz w:val="22"/>
          <w:szCs w:val="22"/>
          <w:lang w:val="en-GB"/>
        </w:rPr>
        <w:t>subsidiary</w:t>
      </w:r>
      <w:r w:rsidR="0090495C">
        <w:rPr>
          <w:rFonts w:ascii="Arial" w:hAnsi="Arial" w:cs="Arial"/>
          <w:color w:val="7B7B7B" w:themeColor="accent3" w:themeShade="BF"/>
          <w:sz w:val="22"/>
          <w:szCs w:val="22"/>
          <w:lang w:val="en-GB"/>
        </w:rPr>
        <w:t xml:space="preserve"> proceeding in its </w:t>
      </w:r>
      <w:r w:rsidR="00443A3C">
        <w:rPr>
          <w:rFonts w:ascii="Arial" w:hAnsi="Arial" w:cs="Arial"/>
          <w:color w:val="7B7B7B" w:themeColor="accent3" w:themeShade="BF"/>
          <w:sz w:val="22"/>
          <w:szCs w:val="22"/>
          <w:lang w:val="en-GB"/>
        </w:rPr>
        <w:t xml:space="preserve">own </w:t>
      </w:r>
      <w:r w:rsidR="0090495C">
        <w:rPr>
          <w:rFonts w:ascii="Arial" w:hAnsi="Arial" w:cs="Arial"/>
          <w:color w:val="7B7B7B" w:themeColor="accent3" w:themeShade="BF"/>
          <w:sz w:val="22"/>
          <w:szCs w:val="22"/>
          <w:lang w:val="en-GB"/>
        </w:rPr>
        <w:t>country</w:t>
      </w:r>
      <w:r w:rsidR="00835030">
        <w:rPr>
          <w:rFonts w:ascii="Arial" w:hAnsi="Arial" w:cs="Arial"/>
          <w:color w:val="7B7B7B" w:themeColor="accent3" w:themeShade="BF"/>
          <w:sz w:val="22"/>
          <w:szCs w:val="22"/>
          <w:lang w:val="en-GB"/>
        </w:rPr>
        <w:t>,</w:t>
      </w:r>
      <w:r w:rsidR="0090495C">
        <w:rPr>
          <w:rFonts w:ascii="Arial" w:hAnsi="Arial" w:cs="Arial"/>
          <w:color w:val="7B7B7B" w:themeColor="accent3" w:themeShade="BF"/>
          <w:sz w:val="22"/>
          <w:szCs w:val="22"/>
          <w:lang w:val="en-GB"/>
        </w:rPr>
        <w:t xml:space="preserve"> if </w:t>
      </w:r>
      <w:r w:rsidR="00B96FA5">
        <w:rPr>
          <w:rFonts w:ascii="Arial" w:hAnsi="Arial" w:cs="Arial"/>
          <w:color w:val="7B7B7B" w:themeColor="accent3" w:themeShade="BF"/>
          <w:sz w:val="22"/>
          <w:szCs w:val="22"/>
          <w:lang w:val="en-GB"/>
        </w:rPr>
        <w:t>it could be determined that Rydell has a place of operations located in the country of the minor creditor</w:t>
      </w:r>
      <w:r w:rsidR="00CC76F9">
        <w:rPr>
          <w:rFonts w:ascii="Arial" w:hAnsi="Arial" w:cs="Arial"/>
          <w:color w:val="7B7B7B" w:themeColor="accent3" w:themeShade="BF"/>
          <w:sz w:val="22"/>
          <w:szCs w:val="22"/>
          <w:lang w:val="en-GB"/>
        </w:rPr>
        <w:t xml:space="preserve"> where economic activity is carried out solely for that domestic market</w:t>
      </w:r>
      <w:r w:rsidR="00B96FA5">
        <w:rPr>
          <w:rFonts w:ascii="Arial" w:hAnsi="Arial" w:cs="Arial"/>
          <w:color w:val="7B7B7B" w:themeColor="accent3" w:themeShade="BF"/>
          <w:sz w:val="22"/>
          <w:szCs w:val="22"/>
          <w:lang w:val="en-GB"/>
        </w:rPr>
        <w:t>. However, before this determination may be made, it is necessary to ascertain whether the minor creditor is also a member of the European Union</w:t>
      </w:r>
      <w:r w:rsidR="00443A3C">
        <w:rPr>
          <w:rFonts w:ascii="Arial" w:hAnsi="Arial" w:cs="Arial"/>
          <w:color w:val="7B7B7B" w:themeColor="accent3" w:themeShade="BF"/>
          <w:sz w:val="22"/>
          <w:szCs w:val="22"/>
          <w:lang w:val="en-GB"/>
        </w:rPr>
        <w:t xml:space="preserve"> (“EU”)</w:t>
      </w:r>
      <w:r w:rsidR="00B96FA5">
        <w:rPr>
          <w:rFonts w:ascii="Arial" w:hAnsi="Arial" w:cs="Arial"/>
          <w:color w:val="7B7B7B" w:themeColor="accent3" w:themeShade="BF"/>
          <w:sz w:val="22"/>
          <w:szCs w:val="22"/>
          <w:lang w:val="en-GB"/>
        </w:rPr>
        <w:t xml:space="preserve"> and would therefore be bound by the regulations of EIR Recast. </w:t>
      </w:r>
      <w:r w:rsidR="00443A3C">
        <w:rPr>
          <w:rFonts w:ascii="Arial" w:hAnsi="Arial" w:cs="Arial"/>
          <w:color w:val="7B7B7B" w:themeColor="accent3" w:themeShade="BF"/>
          <w:sz w:val="22"/>
          <w:szCs w:val="22"/>
          <w:lang w:val="en-GB"/>
        </w:rPr>
        <w:t xml:space="preserve">If the minor creditor is not an EU member, the administrator of the insolvency proceedings such as a liquidation </w:t>
      </w:r>
      <w:r w:rsidR="00CD1247">
        <w:rPr>
          <w:rFonts w:ascii="Arial" w:hAnsi="Arial" w:cs="Arial"/>
          <w:color w:val="7B7B7B" w:themeColor="accent3" w:themeShade="BF"/>
          <w:sz w:val="22"/>
          <w:szCs w:val="22"/>
          <w:lang w:val="en-GB"/>
        </w:rPr>
        <w:t>would</w:t>
      </w:r>
      <w:r w:rsidR="00443A3C">
        <w:rPr>
          <w:rFonts w:ascii="Arial" w:hAnsi="Arial" w:cs="Arial"/>
          <w:color w:val="7B7B7B" w:themeColor="accent3" w:themeShade="BF"/>
          <w:sz w:val="22"/>
          <w:szCs w:val="22"/>
          <w:lang w:val="en-GB"/>
        </w:rPr>
        <w:t xml:space="preserve"> still be guided by the UNICITRAL Model law to co-operate and co-operate with the local insolvency proceedings to ensure the maximum </w:t>
      </w:r>
      <w:r w:rsidR="00CD1247">
        <w:rPr>
          <w:rFonts w:ascii="Arial" w:hAnsi="Arial" w:cs="Arial"/>
          <w:color w:val="7B7B7B" w:themeColor="accent3" w:themeShade="BF"/>
          <w:sz w:val="22"/>
          <w:szCs w:val="22"/>
          <w:lang w:val="en-GB"/>
        </w:rPr>
        <w:t>return for the creditors. Additionally, the contractual agreements between the parties should be reviewed to see if there existed any special agreements for insolvency or bankruptcy proceedings.</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14DD742B" w:rsidR="00015EE6" w:rsidRPr="00205B31" w:rsidRDefault="00CD1247"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choice of law applicable to Rydell’s case would differ if the proceeding were opened on 18 June 2021 instead of </w:t>
      </w:r>
      <w:r w:rsidR="00906D39">
        <w:rPr>
          <w:rFonts w:ascii="Arial" w:hAnsi="Arial" w:cs="Arial"/>
          <w:color w:val="7B7B7B" w:themeColor="accent3" w:themeShade="BF"/>
          <w:sz w:val="22"/>
          <w:szCs w:val="22"/>
          <w:lang w:val="en-GB"/>
        </w:rPr>
        <w:t xml:space="preserve">18 June 2021. The United Kingdom was no longer a member of the European Union in 2021, therefore the EIR Recast would not be applicable to this scenario, The domestic laws of the UK, such as the Insolvency Act 1986 would have precedence in addressing this scenario, except where multilateral treaties or conventions were ratified by the British legislature.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134965DE" w:rsidR="00015EE6" w:rsidRPr="00205B31" w:rsidRDefault="00CC76F9"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The EIR Recast 2015 regulations became inapplicable to the United Kingdom on 31 December 2020 when the UK left the European Union. </w:t>
      </w:r>
      <w:r w:rsidR="004E7920">
        <w:rPr>
          <w:rFonts w:ascii="Arial" w:hAnsi="Arial" w:cs="Arial"/>
          <w:color w:val="7B7B7B" w:themeColor="accent3" w:themeShade="BF"/>
          <w:sz w:val="22"/>
          <w:szCs w:val="22"/>
          <w:lang w:val="en-GB"/>
        </w:rPr>
        <w:t>However, domestic English laws such as t</w:t>
      </w:r>
      <w:r>
        <w:rPr>
          <w:rFonts w:ascii="Arial" w:hAnsi="Arial" w:cs="Arial"/>
          <w:color w:val="7B7B7B" w:themeColor="accent3" w:themeShade="BF"/>
          <w:sz w:val="22"/>
          <w:szCs w:val="22"/>
          <w:lang w:val="en-GB"/>
        </w:rPr>
        <w:t>he Insolvency Act 1986</w:t>
      </w:r>
      <w:r w:rsidR="004E792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outlined special circumstances in which </w:t>
      </w:r>
      <w:r w:rsidR="00A730E9">
        <w:rPr>
          <w:rFonts w:ascii="Arial" w:hAnsi="Arial" w:cs="Arial"/>
          <w:color w:val="7B7B7B" w:themeColor="accent3" w:themeShade="BF"/>
          <w:sz w:val="22"/>
          <w:szCs w:val="22"/>
          <w:lang w:val="en-GB"/>
        </w:rPr>
        <w:t>UK domestic law could influence the winding-up of an unregistered company. These</w:t>
      </w:r>
      <w:r w:rsidR="004E7920">
        <w:rPr>
          <w:rFonts w:ascii="Arial" w:hAnsi="Arial" w:cs="Arial"/>
          <w:color w:val="7B7B7B" w:themeColor="accent3" w:themeShade="BF"/>
          <w:sz w:val="22"/>
          <w:szCs w:val="22"/>
          <w:lang w:val="en-GB"/>
        </w:rPr>
        <w:t xml:space="preserve"> conditions or requirements</w:t>
      </w:r>
      <w:r w:rsidR="008A769E">
        <w:rPr>
          <w:rFonts w:ascii="Arial" w:hAnsi="Arial" w:cs="Arial"/>
          <w:color w:val="7B7B7B" w:themeColor="accent3" w:themeShade="BF"/>
          <w:sz w:val="22"/>
          <w:szCs w:val="22"/>
          <w:lang w:val="en-GB"/>
        </w:rPr>
        <w:t xml:space="preserve"> </w:t>
      </w:r>
      <w:r w:rsidR="00A730E9">
        <w:rPr>
          <w:rFonts w:ascii="Arial" w:hAnsi="Arial" w:cs="Arial"/>
          <w:color w:val="7B7B7B" w:themeColor="accent3" w:themeShade="BF"/>
          <w:sz w:val="22"/>
          <w:szCs w:val="22"/>
          <w:lang w:val="en-GB"/>
        </w:rPr>
        <w:t xml:space="preserve">include situations where the company is unable to pay its </w:t>
      </w:r>
      <w:r w:rsidR="004E7920">
        <w:rPr>
          <w:rFonts w:ascii="Arial" w:hAnsi="Arial" w:cs="Arial"/>
          <w:color w:val="7B7B7B" w:themeColor="accent3" w:themeShade="BF"/>
          <w:sz w:val="22"/>
          <w:szCs w:val="22"/>
          <w:lang w:val="en-GB"/>
        </w:rPr>
        <w:t>debts; and</w:t>
      </w:r>
      <w:r w:rsidR="00A730E9">
        <w:rPr>
          <w:rFonts w:ascii="Arial" w:hAnsi="Arial" w:cs="Arial"/>
          <w:color w:val="7B7B7B" w:themeColor="accent3" w:themeShade="BF"/>
          <w:sz w:val="22"/>
          <w:szCs w:val="22"/>
          <w:lang w:val="en-GB"/>
        </w:rPr>
        <w:t xml:space="preserve"> it is possible to establish s</w:t>
      </w:r>
      <w:r w:rsidR="008A769E">
        <w:rPr>
          <w:rFonts w:ascii="Arial" w:hAnsi="Arial" w:cs="Arial"/>
          <w:color w:val="7B7B7B" w:themeColor="accent3" w:themeShade="BF"/>
          <w:sz w:val="22"/>
          <w:szCs w:val="22"/>
          <w:lang w:val="en-GB"/>
        </w:rPr>
        <w:t>ubstantive</w:t>
      </w:r>
      <w:r w:rsidR="00A730E9">
        <w:rPr>
          <w:rFonts w:ascii="Arial" w:hAnsi="Arial" w:cs="Arial"/>
          <w:color w:val="7B7B7B" w:themeColor="accent3" w:themeShade="BF"/>
          <w:sz w:val="22"/>
          <w:szCs w:val="22"/>
          <w:lang w:val="en-GB"/>
        </w:rPr>
        <w:t xml:space="preserve"> connectivity with the UK</w:t>
      </w:r>
      <w:r w:rsidR="004E7920">
        <w:rPr>
          <w:rFonts w:ascii="Arial" w:hAnsi="Arial" w:cs="Arial"/>
          <w:color w:val="7B7B7B" w:themeColor="accent3" w:themeShade="BF"/>
          <w:sz w:val="22"/>
          <w:szCs w:val="22"/>
          <w:lang w:val="en-GB"/>
        </w:rPr>
        <w:t xml:space="preserve">, </w:t>
      </w:r>
      <w:r w:rsidR="008A769E">
        <w:rPr>
          <w:rFonts w:ascii="Arial" w:hAnsi="Arial" w:cs="Arial"/>
          <w:color w:val="7B7B7B" w:themeColor="accent3" w:themeShade="BF"/>
          <w:sz w:val="22"/>
          <w:szCs w:val="22"/>
          <w:lang w:val="en-GB"/>
        </w:rPr>
        <w:t>(</w:t>
      </w:r>
      <w:r w:rsidR="004E7920">
        <w:rPr>
          <w:rFonts w:ascii="Arial" w:hAnsi="Arial" w:cs="Arial"/>
          <w:color w:val="7B7B7B" w:themeColor="accent3" w:themeShade="BF"/>
          <w:sz w:val="22"/>
          <w:szCs w:val="22"/>
          <w:lang w:val="en-GB"/>
        </w:rPr>
        <w:t>for example having the debtor’s centre of main interest (COMI) in the UK</w:t>
      </w:r>
      <w:r w:rsidR="008A769E">
        <w:rPr>
          <w:rFonts w:ascii="Arial" w:hAnsi="Arial" w:cs="Arial"/>
          <w:color w:val="7B7B7B" w:themeColor="accent3" w:themeShade="BF"/>
          <w:sz w:val="22"/>
          <w:szCs w:val="22"/>
          <w:lang w:val="en-GB"/>
        </w:rPr>
        <w:t xml:space="preserve"> as it’s the case in this scenario for Rydell) </w:t>
      </w:r>
      <w:r w:rsidR="004E7920">
        <w:rPr>
          <w:rFonts w:ascii="Arial" w:hAnsi="Arial" w:cs="Arial"/>
          <w:color w:val="7B7B7B" w:themeColor="accent3" w:themeShade="BF"/>
          <w:sz w:val="22"/>
          <w:szCs w:val="22"/>
          <w:lang w:val="en-GB"/>
        </w:rPr>
        <w:t>and</w:t>
      </w:r>
      <w:r w:rsidR="008A769E">
        <w:rPr>
          <w:rFonts w:ascii="Arial" w:hAnsi="Arial" w:cs="Arial"/>
          <w:color w:val="7B7B7B" w:themeColor="accent3" w:themeShade="BF"/>
          <w:sz w:val="22"/>
          <w:szCs w:val="22"/>
          <w:lang w:val="en-GB"/>
        </w:rPr>
        <w:t xml:space="preserve"> the existence of one or more interest parties in the distribution of the assets over whom there is judicial authority. </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9601" w14:textId="77777777" w:rsidR="002C5DD5" w:rsidRDefault="002C5DD5" w:rsidP="00241B44">
      <w:r>
        <w:separator/>
      </w:r>
    </w:p>
  </w:endnote>
  <w:endnote w:type="continuationSeparator" w:id="0">
    <w:p w14:paraId="605C0B7C" w14:textId="77777777" w:rsidR="002C5DD5" w:rsidRDefault="002C5DD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5C117F1D" w:rsidR="006E1CB0" w:rsidRPr="0052732A" w:rsidRDefault="006E1CB0" w:rsidP="0052732A">
    <w:pPr>
      <w:pStyle w:val="Footer"/>
      <w:ind w:right="360"/>
      <w:rPr>
        <w:rFonts w:ascii="Arial" w:hAnsi="Arial" w:cs="Arial"/>
        <w:sz w:val="18"/>
        <w:szCs w:val="18"/>
      </w:rPr>
    </w:pPr>
    <w:r w:rsidRPr="0052732A">
      <w:rPr>
        <w:rFonts w:ascii="Arial" w:hAnsi="Arial" w:cs="Arial"/>
        <w:sz w:val="18"/>
        <w:szCs w:val="18"/>
      </w:rPr>
      <w:t>student</w:t>
    </w:r>
    <w:r w:rsidR="003D6AC4">
      <w:rPr>
        <w:rFonts w:ascii="Arial" w:hAnsi="Arial" w:cs="Arial"/>
        <w:sz w:val="18"/>
        <w:szCs w:val="18"/>
      </w:rPr>
      <w:t>ID</w:t>
    </w:r>
    <w:r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88AA" w14:textId="77777777" w:rsidR="002C5DD5" w:rsidRDefault="002C5DD5" w:rsidP="00241B44">
      <w:r>
        <w:separator/>
      </w:r>
    </w:p>
  </w:footnote>
  <w:footnote w:type="continuationSeparator" w:id="0">
    <w:p w14:paraId="7F574250" w14:textId="77777777" w:rsidR="002C5DD5" w:rsidRDefault="002C5DD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177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3B7B"/>
    <w:rsid w:val="000250C7"/>
    <w:rsid w:val="00031918"/>
    <w:rsid w:val="00031F33"/>
    <w:rsid w:val="000329A6"/>
    <w:rsid w:val="00034C0C"/>
    <w:rsid w:val="00037621"/>
    <w:rsid w:val="00040FE4"/>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377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709"/>
    <w:rsid w:val="00126A4D"/>
    <w:rsid w:val="00131D42"/>
    <w:rsid w:val="0013278B"/>
    <w:rsid w:val="00135FFC"/>
    <w:rsid w:val="0014171F"/>
    <w:rsid w:val="0014622C"/>
    <w:rsid w:val="00150F6C"/>
    <w:rsid w:val="00152348"/>
    <w:rsid w:val="0015328F"/>
    <w:rsid w:val="0015456D"/>
    <w:rsid w:val="00155AEF"/>
    <w:rsid w:val="00161F1B"/>
    <w:rsid w:val="001620AF"/>
    <w:rsid w:val="00162829"/>
    <w:rsid w:val="0016472D"/>
    <w:rsid w:val="00164B28"/>
    <w:rsid w:val="00165AC7"/>
    <w:rsid w:val="00166EAD"/>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3498"/>
    <w:rsid w:val="001A620B"/>
    <w:rsid w:val="001A7E9A"/>
    <w:rsid w:val="001B0F70"/>
    <w:rsid w:val="001B44D7"/>
    <w:rsid w:val="001B49A5"/>
    <w:rsid w:val="001B5016"/>
    <w:rsid w:val="001B6614"/>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1BE7"/>
    <w:rsid w:val="002A2A60"/>
    <w:rsid w:val="002A3815"/>
    <w:rsid w:val="002A6646"/>
    <w:rsid w:val="002B1C45"/>
    <w:rsid w:val="002B2970"/>
    <w:rsid w:val="002C1227"/>
    <w:rsid w:val="002C13C8"/>
    <w:rsid w:val="002C259C"/>
    <w:rsid w:val="002C3547"/>
    <w:rsid w:val="002C5DD5"/>
    <w:rsid w:val="002D0021"/>
    <w:rsid w:val="002D10A3"/>
    <w:rsid w:val="002D295D"/>
    <w:rsid w:val="002D3473"/>
    <w:rsid w:val="002E37B7"/>
    <w:rsid w:val="002E4A02"/>
    <w:rsid w:val="002E4A1F"/>
    <w:rsid w:val="002E66F4"/>
    <w:rsid w:val="002E7511"/>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50D0"/>
    <w:rsid w:val="00336CA6"/>
    <w:rsid w:val="0033768C"/>
    <w:rsid w:val="00337938"/>
    <w:rsid w:val="00340769"/>
    <w:rsid w:val="00341A65"/>
    <w:rsid w:val="00341AA6"/>
    <w:rsid w:val="00342E57"/>
    <w:rsid w:val="00343459"/>
    <w:rsid w:val="00351B11"/>
    <w:rsid w:val="00355B57"/>
    <w:rsid w:val="00361A0A"/>
    <w:rsid w:val="00361DF9"/>
    <w:rsid w:val="0036565C"/>
    <w:rsid w:val="0036625E"/>
    <w:rsid w:val="00367162"/>
    <w:rsid w:val="00372CD4"/>
    <w:rsid w:val="0037465A"/>
    <w:rsid w:val="00376C07"/>
    <w:rsid w:val="003776F1"/>
    <w:rsid w:val="0038255B"/>
    <w:rsid w:val="00382C98"/>
    <w:rsid w:val="0038325E"/>
    <w:rsid w:val="00384604"/>
    <w:rsid w:val="00384E3D"/>
    <w:rsid w:val="00385041"/>
    <w:rsid w:val="0038533C"/>
    <w:rsid w:val="00392935"/>
    <w:rsid w:val="003937B9"/>
    <w:rsid w:val="0039396E"/>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1C11"/>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3A3C"/>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E7920"/>
    <w:rsid w:val="004F1534"/>
    <w:rsid w:val="004F2DD1"/>
    <w:rsid w:val="004F3375"/>
    <w:rsid w:val="004F55F1"/>
    <w:rsid w:val="004F5FDF"/>
    <w:rsid w:val="0050156C"/>
    <w:rsid w:val="0050441B"/>
    <w:rsid w:val="005059A4"/>
    <w:rsid w:val="00506080"/>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22E2"/>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48D6"/>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4638"/>
    <w:rsid w:val="00636808"/>
    <w:rsid w:val="0064043F"/>
    <w:rsid w:val="00641515"/>
    <w:rsid w:val="00643ABE"/>
    <w:rsid w:val="006521CD"/>
    <w:rsid w:val="00652A22"/>
    <w:rsid w:val="00653584"/>
    <w:rsid w:val="00654C2F"/>
    <w:rsid w:val="00655438"/>
    <w:rsid w:val="00657087"/>
    <w:rsid w:val="0065715A"/>
    <w:rsid w:val="00664B01"/>
    <w:rsid w:val="006661EF"/>
    <w:rsid w:val="006746CB"/>
    <w:rsid w:val="00677AEB"/>
    <w:rsid w:val="00680EF2"/>
    <w:rsid w:val="00682A3E"/>
    <w:rsid w:val="006850AE"/>
    <w:rsid w:val="00686C53"/>
    <w:rsid w:val="00687A1D"/>
    <w:rsid w:val="00697EA1"/>
    <w:rsid w:val="006A2646"/>
    <w:rsid w:val="006A4BDB"/>
    <w:rsid w:val="006A6530"/>
    <w:rsid w:val="006A695F"/>
    <w:rsid w:val="006A6D1D"/>
    <w:rsid w:val="006B2893"/>
    <w:rsid w:val="006B4043"/>
    <w:rsid w:val="006B435A"/>
    <w:rsid w:val="006B4C64"/>
    <w:rsid w:val="006B5AE8"/>
    <w:rsid w:val="006D0529"/>
    <w:rsid w:val="006D2DC9"/>
    <w:rsid w:val="006D564C"/>
    <w:rsid w:val="006D6BD5"/>
    <w:rsid w:val="006E1CB0"/>
    <w:rsid w:val="006E254C"/>
    <w:rsid w:val="006E481A"/>
    <w:rsid w:val="006E5298"/>
    <w:rsid w:val="006E6A1F"/>
    <w:rsid w:val="006E6A6A"/>
    <w:rsid w:val="006E77B0"/>
    <w:rsid w:val="006F35C3"/>
    <w:rsid w:val="006F6B2E"/>
    <w:rsid w:val="006F734A"/>
    <w:rsid w:val="00700D83"/>
    <w:rsid w:val="00704852"/>
    <w:rsid w:val="00704C24"/>
    <w:rsid w:val="007074E9"/>
    <w:rsid w:val="00707954"/>
    <w:rsid w:val="00707BC5"/>
    <w:rsid w:val="00713DA4"/>
    <w:rsid w:val="007142FA"/>
    <w:rsid w:val="00714BF1"/>
    <w:rsid w:val="00721383"/>
    <w:rsid w:val="007216AD"/>
    <w:rsid w:val="007248AD"/>
    <w:rsid w:val="00726E9A"/>
    <w:rsid w:val="00727864"/>
    <w:rsid w:val="0073008C"/>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2D6B"/>
    <w:rsid w:val="0077498C"/>
    <w:rsid w:val="00777070"/>
    <w:rsid w:val="00782B3F"/>
    <w:rsid w:val="00784128"/>
    <w:rsid w:val="0078662F"/>
    <w:rsid w:val="00790B4C"/>
    <w:rsid w:val="0079103A"/>
    <w:rsid w:val="0079206E"/>
    <w:rsid w:val="00793173"/>
    <w:rsid w:val="007958F0"/>
    <w:rsid w:val="00797E1B"/>
    <w:rsid w:val="007A12A4"/>
    <w:rsid w:val="007B1E13"/>
    <w:rsid w:val="007C0111"/>
    <w:rsid w:val="007C0663"/>
    <w:rsid w:val="007C1FCC"/>
    <w:rsid w:val="007C2831"/>
    <w:rsid w:val="007C2AA1"/>
    <w:rsid w:val="007C6201"/>
    <w:rsid w:val="007D0348"/>
    <w:rsid w:val="007D1C9B"/>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076A1"/>
    <w:rsid w:val="00811865"/>
    <w:rsid w:val="00814A55"/>
    <w:rsid w:val="0082483F"/>
    <w:rsid w:val="008279C0"/>
    <w:rsid w:val="00835030"/>
    <w:rsid w:val="00841E70"/>
    <w:rsid w:val="00845CDF"/>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1E8"/>
    <w:rsid w:val="00897428"/>
    <w:rsid w:val="008A30C3"/>
    <w:rsid w:val="008A30EE"/>
    <w:rsid w:val="008A4DF2"/>
    <w:rsid w:val="008A6841"/>
    <w:rsid w:val="008A6CFE"/>
    <w:rsid w:val="008A769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495C"/>
    <w:rsid w:val="00905A43"/>
    <w:rsid w:val="00906D39"/>
    <w:rsid w:val="009078CE"/>
    <w:rsid w:val="009108EF"/>
    <w:rsid w:val="00911C23"/>
    <w:rsid w:val="00912C79"/>
    <w:rsid w:val="00913FB9"/>
    <w:rsid w:val="00915010"/>
    <w:rsid w:val="0091528C"/>
    <w:rsid w:val="009173D1"/>
    <w:rsid w:val="00923CCC"/>
    <w:rsid w:val="00926D10"/>
    <w:rsid w:val="009275FE"/>
    <w:rsid w:val="00932282"/>
    <w:rsid w:val="00942123"/>
    <w:rsid w:val="0094263A"/>
    <w:rsid w:val="00946EE0"/>
    <w:rsid w:val="0095029B"/>
    <w:rsid w:val="0095207B"/>
    <w:rsid w:val="009533CB"/>
    <w:rsid w:val="00953B5C"/>
    <w:rsid w:val="0095526F"/>
    <w:rsid w:val="00955CE0"/>
    <w:rsid w:val="009609CA"/>
    <w:rsid w:val="00962045"/>
    <w:rsid w:val="009646BE"/>
    <w:rsid w:val="00966E44"/>
    <w:rsid w:val="009708BB"/>
    <w:rsid w:val="009727DF"/>
    <w:rsid w:val="009729E8"/>
    <w:rsid w:val="009747EF"/>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672"/>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573A"/>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66D41"/>
    <w:rsid w:val="00A71019"/>
    <w:rsid w:val="00A730E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2812"/>
    <w:rsid w:val="00AD74AD"/>
    <w:rsid w:val="00AE027F"/>
    <w:rsid w:val="00AF228E"/>
    <w:rsid w:val="00AF455B"/>
    <w:rsid w:val="00B0123F"/>
    <w:rsid w:val="00B01E8A"/>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3E1C"/>
    <w:rsid w:val="00B9417E"/>
    <w:rsid w:val="00B96FA5"/>
    <w:rsid w:val="00BA1648"/>
    <w:rsid w:val="00BA2637"/>
    <w:rsid w:val="00BA35FF"/>
    <w:rsid w:val="00BB09FD"/>
    <w:rsid w:val="00BB0F2B"/>
    <w:rsid w:val="00BB1A65"/>
    <w:rsid w:val="00BB2058"/>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16A"/>
    <w:rsid w:val="00C7736C"/>
    <w:rsid w:val="00C80272"/>
    <w:rsid w:val="00C82D87"/>
    <w:rsid w:val="00C84A6B"/>
    <w:rsid w:val="00C8712A"/>
    <w:rsid w:val="00C92A0D"/>
    <w:rsid w:val="00C963D3"/>
    <w:rsid w:val="00CA1802"/>
    <w:rsid w:val="00CA1F36"/>
    <w:rsid w:val="00CB262C"/>
    <w:rsid w:val="00CB2CBB"/>
    <w:rsid w:val="00CB7283"/>
    <w:rsid w:val="00CB7CAC"/>
    <w:rsid w:val="00CC467D"/>
    <w:rsid w:val="00CC5335"/>
    <w:rsid w:val="00CC579C"/>
    <w:rsid w:val="00CC5BA4"/>
    <w:rsid w:val="00CC76F9"/>
    <w:rsid w:val="00CC7728"/>
    <w:rsid w:val="00CD0FFE"/>
    <w:rsid w:val="00CD1247"/>
    <w:rsid w:val="00CD34DB"/>
    <w:rsid w:val="00CD377A"/>
    <w:rsid w:val="00CD4998"/>
    <w:rsid w:val="00CD5DFF"/>
    <w:rsid w:val="00CE1035"/>
    <w:rsid w:val="00CE62CA"/>
    <w:rsid w:val="00CF2819"/>
    <w:rsid w:val="00CF4F9D"/>
    <w:rsid w:val="00CF5AD8"/>
    <w:rsid w:val="00CF70DC"/>
    <w:rsid w:val="00CF717B"/>
    <w:rsid w:val="00D068C5"/>
    <w:rsid w:val="00D07F87"/>
    <w:rsid w:val="00D13F54"/>
    <w:rsid w:val="00D148DC"/>
    <w:rsid w:val="00D1688E"/>
    <w:rsid w:val="00D17FDC"/>
    <w:rsid w:val="00D223E4"/>
    <w:rsid w:val="00D256C6"/>
    <w:rsid w:val="00D25F51"/>
    <w:rsid w:val="00D26510"/>
    <w:rsid w:val="00D35229"/>
    <w:rsid w:val="00D35ADE"/>
    <w:rsid w:val="00D35EAE"/>
    <w:rsid w:val="00D4685B"/>
    <w:rsid w:val="00D57C59"/>
    <w:rsid w:val="00D60215"/>
    <w:rsid w:val="00D60874"/>
    <w:rsid w:val="00D63EFD"/>
    <w:rsid w:val="00D6588F"/>
    <w:rsid w:val="00D676F1"/>
    <w:rsid w:val="00D714E4"/>
    <w:rsid w:val="00D84752"/>
    <w:rsid w:val="00D8661B"/>
    <w:rsid w:val="00D86A74"/>
    <w:rsid w:val="00D86B3B"/>
    <w:rsid w:val="00D8748A"/>
    <w:rsid w:val="00D905E4"/>
    <w:rsid w:val="00D93196"/>
    <w:rsid w:val="00D931A2"/>
    <w:rsid w:val="00DA2D48"/>
    <w:rsid w:val="00DA42EF"/>
    <w:rsid w:val="00DB044D"/>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D90"/>
    <w:rsid w:val="00E55E9B"/>
    <w:rsid w:val="00E6211B"/>
    <w:rsid w:val="00E6302B"/>
    <w:rsid w:val="00E6452F"/>
    <w:rsid w:val="00E64F45"/>
    <w:rsid w:val="00E6742D"/>
    <w:rsid w:val="00E71CB0"/>
    <w:rsid w:val="00E75765"/>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45CE"/>
    <w:rsid w:val="00ED617A"/>
    <w:rsid w:val="00EE1A0E"/>
    <w:rsid w:val="00EE4971"/>
    <w:rsid w:val="00EE5A48"/>
    <w:rsid w:val="00EE6390"/>
    <w:rsid w:val="00EE7278"/>
    <w:rsid w:val="00EF090E"/>
    <w:rsid w:val="00EF16B6"/>
    <w:rsid w:val="00EF1B1A"/>
    <w:rsid w:val="00EF2D08"/>
    <w:rsid w:val="00EF5705"/>
    <w:rsid w:val="00EF6653"/>
    <w:rsid w:val="00F033DA"/>
    <w:rsid w:val="00F03857"/>
    <w:rsid w:val="00F0424E"/>
    <w:rsid w:val="00F06592"/>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45CF4"/>
    <w:rsid w:val="00F50D48"/>
    <w:rsid w:val="00F52E31"/>
    <w:rsid w:val="00F54776"/>
    <w:rsid w:val="00F5524B"/>
    <w:rsid w:val="00F5710B"/>
    <w:rsid w:val="00F61DD2"/>
    <w:rsid w:val="00F63720"/>
    <w:rsid w:val="00F65FB6"/>
    <w:rsid w:val="00F66AFF"/>
    <w:rsid w:val="00F71433"/>
    <w:rsid w:val="00F71CE8"/>
    <w:rsid w:val="00F738B0"/>
    <w:rsid w:val="00F76EA5"/>
    <w:rsid w:val="00F83231"/>
    <w:rsid w:val="00F85A51"/>
    <w:rsid w:val="00F85DB2"/>
    <w:rsid w:val="00F91FA7"/>
    <w:rsid w:val="00F96AF1"/>
    <w:rsid w:val="00F97C5B"/>
    <w:rsid w:val="00FA29FD"/>
    <w:rsid w:val="00FA2A46"/>
    <w:rsid w:val="00FA3739"/>
    <w:rsid w:val="00FA3D50"/>
    <w:rsid w:val="00FA43E7"/>
    <w:rsid w:val="00FA6208"/>
    <w:rsid w:val="00FB2EB3"/>
    <w:rsid w:val="00FB6703"/>
    <w:rsid w:val="00FB7C8F"/>
    <w:rsid w:val="00FB7D52"/>
    <w:rsid w:val="00FC337F"/>
    <w:rsid w:val="00FC374A"/>
    <w:rsid w:val="00FC4F43"/>
    <w:rsid w:val="00FC5D26"/>
    <w:rsid w:val="00FC7B47"/>
    <w:rsid w:val="00FD0169"/>
    <w:rsid w:val="00FD035C"/>
    <w:rsid w:val="00FD1240"/>
    <w:rsid w:val="00FD1A35"/>
    <w:rsid w:val="00FD36C5"/>
    <w:rsid w:val="00FD37C1"/>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11</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Georgia Lewis</cp:lastModifiedBy>
  <cp:revision>29</cp:revision>
  <cp:lastPrinted>2020-06-12T02:43:00Z</cp:lastPrinted>
  <dcterms:created xsi:type="dcterms:W3CDTF">2021-08-03T16:38:00Z</dcterms:created>
  <dcterms:modified xsi:type="dcterms:W3CDTF">2021-11-15T22:40:00Z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