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bookmarkStart w:id="0" w:name="_GoBack"/>
      <w:bookmarkEnd w:id="0"/>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3C3C33" w:rsidRDefault="00C60631" w:rsidP="009D510C">
      <w:pPr>
        <w:pStyle w:val="ListParagraph"/>
        <w:numPr>
          <w:ilvl w:val="0"/>
          <w:numId w:val="12"/>
        </w:numPr>
        <w:ind w:left="426"/>
        <w:jc w:val="both"/>
        <w:rPr>
          <w:rFonts w:ascii="Arial" w:hAnsi="Arial" w:cs="Arial"/>
          <w:sz w:val="22"/>
          <w:szCs w:val="22"/>
          <w:highlight w:val="yellow"/>
          <w:lang w:val="en-GB"/>
        </w:rPr>
      </w:pPr>
      <w:r w:rsidRPr="003C3C33">
        <w:rPr>
          <w:rFonts w:ascii="Arial" w:hAnsi="Arial" w:cs="Arial"/>
          <w:sz w:val="22"/>
          <w:szCs w:val="22"/>
          <w:highlight w:val="yellow"/>
          <w:lang w:val="en-GB"/>
        </w:rPr>
        <w:t xml:space="preserve">This statement is incorrect since </w:t>
      </w:r>
      <w:r w:rsidR="00E7793C" w:rsidRPr="003C3C3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3C561D" w:rsidRDefault="00AE027F" w:rsidP="009D510C">
      <w:pPr>
        <w:pStyle w:val="ListParagraph"/>
        <w:numPr>
          <w:ilvl w:val="0"/>
          <w:numId w:val="13"/>
        </w:numPr>
        <w:jc w:val="both"/>
        <w:rPr>
          <w:rFonts w:ascii="Arial" w:hAnsi="Arial" w:cs="Arial"/>
          <w:sz w:val="22"/>
          <w:szCs w:val="22"/>
          <w:highlight w:val="yellow"/>
          <w:lang w:val="en-GB"/>
        </w:rPr>
      </w:pPr>
      <w:r w:rsidRPr="003C561D">
        <w:rPr>
          <w:rFonts w:ascii="Arial" w:hAnsi="Arial" w:cs="Arial"/>
          <w:sz w:val="22"/>
          <w:szCs w:val="22"/>
          <w:highlight w:val="yellow"/>
          <w:lang w:val="en-GB"/>
        </w:rPr>
        <w:t>The statement i</w:t>
      </w:r>
      <w:r w:rsidR="006E77B0" w:rsidRPr="003C561D">
        <w:rPr>
          <w:rFonts w:ascii="Arial" w:hAnsi="Arial" w:cs="Arial"/>
          <w:sz w:val="22"/>
          <w:szCs w:val="22"/>
          <w:highlight w:val="yellow"/>
          <w:lang w:val="en-GB"/>
        </w:rPr>
        <w:t>s incorrect since the UK did re</w:t>
      </w:r>
      <w:r w:rsidRPr="003C561D">
        <w:rPr>
          <w:rFonts w:ascii="Arial" w:hAnsi="Arial" w:cs="Arial"/>
          <w:sz w:val="22"/>
          <w:szCs w:val="22"/>
          <w:highlight w:val="yellow"/>
          <w:lang w:val="en-GB"/>
        </w:rPr>
        <w:t>v</w:t>
      </w:r>
      <w:r w:rsidR="006E77B0" w:rsidRPr="003C561D">
        <w:rPr>
          <w:rFonts w:ascii="Arial" w:hAnsi="Arial" w:cs="Arial"/>
          <w:sz w:val="22"/>
          <w:szCs w:val="22"/>
          <w:highlight w:val="yellow"/>
          <w:lang w:val="en-GB"/>
        </w:rPr>
        <w:t>i</w:t>
      </w:r>
      <w:r w:rsidRPr="003C561D">
        <w:rPr>
          <w:rFonts w:ascii="Arial" w:hAnsi="Arial" w:cs="Arial"/>
          <w:sz w:val="22"/>
          <w:szCs w:val="22"/>
          <w:highlight w:val="yellow"/>
          <w:lang w:val="en-GB"/>
        </w:rPr>
        <w:t>ew parts of its insolvency rules and amended some, among</w:t>
      </w:r>
      <w:r w:rsidR="006E77B0" w:rsidRPr="003C561D">
        <w:rPr>
          <w:rFonts w:ascii="Arial" w:hAnsi="Arial" w:cs="Arial"/>
          <w:sz w:val="22"/>
          <w:szCs w:val="22"/>
          <w:highlight w:val="yellow"/>
          <w:lang w:val="en-GB"/>
        </w:rPr>
        <w:t>s</w:t>
      </w:r>
      <w:r w:rsidRPr="003C561D">
        <w:rPr>
          <w:rFonts w:ascii="Arial" w:hAnsi="Arial" w:cs="Arial"/>
          <w:sz w:val="22"/>
          <w:szCs w:val="22"/>
          <w:highlight w:val="yellow"/>
          <w:lang w:val="en-GB"/>
        </w:rPr>
        <w:t>t other</w:t>
      </w:r>
      <w:r w:rsidR="00F96AF1" w:rsidRPr="003C561D">
        <w:rPr>
          <w:rFonts w:ascii="Arial" w:hAnsi="Arial" w:cs="Arial"/>
          <w:sz w:val="22"/>
          <w:szCs w:val="22"/>
          <w:highlight w:val="yellow"/>
          <w:lang w:val="en-GB"/>
        </w:rPr>
        <w:t xml:space="preserve"> things</w:t>
      </w:r>
      <w:r w:rsidRPr="003C561D">
        <w:rPr>
          <w:rFonts w:ascii="Arial" w:hAnsi="Arial" w:cs="Arial"/>
          <w:sz w:val="22"/>
          <w:szCs w:val="22"/>
          <w:highlight w:val="yellow"/>
          <w:lang w:val="en-GB"/>
        </w:rPr>
        <w:t>, to deal with the negative economic fall out of the pandemic.</w:t>
      </w:r>
      <w:r w:rsidR="00100A77" w:rsidRPr="003C561D">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B20B45" w:rsidRDefault="00AE027F" w:rsidP="009D510C">
      <w:pPr>
        <w:pStyle w:val="ListParagraph"/>
        <w:numPr>
          <w:ilvl w:val="0"/>
          <w:numId w:val="14"/>
        </w:numPr>
        <w:ind w:left="426"/>
        <w:jc w:val="both"/>
        <w:rPr>
          <w:rFonts w:ascii="Arial" w:hAnsi="Arial" w:cs="Arial"/>
          <w:sz w:val="22"/>
          <w:szCs w:val="22"/>
          <w:lang w:val="en-GB"/>
        </w:rPr>
      </w:pPr>
      <w:r w:rsidRPr="00B20B45">
        <w:rPr>
          <w:rFonts w:ascii="Arial" w:hAnsi="Arial" w:cs="Arial"/>
          <w:sz w:val="22"/>
          <w:szCs w:val="22"/>
          <w:lang w:val="en-GB"/>
        </w:rPr>
        <w:t xml:space="preserve">This statement is correct since the </w:t>
      </w:r>
      <w:r w:rsidR="00B54F90" w:rsidRPr="00B20B45">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B20B45" w:rsidRDefault="00B54F90" w:rsidP="009D510C">
      <w:pPr>
        <w:pStyle w:val="ListParagraph"/>
        <w:numPr>
          <w:ilvl w:val="0"/>
          <w:numId w:val="14"/>
        </w:numPr>
        <w:ind w:left="426"/>
        <w:jc w:val="both"/>
        <w:rPr>
          <w:rFonts w:ascii="Arial" w:hAnsi="Arial" w:cs="Arial"/>
          <w:sz w:val="22"/>
          <w:szCs w:val="22"/>
          <w:highlight w:val="yellow"/>
          <w:lang w:val="en-GB"/>
        </w:rPr>
      </w:pPr>
      <w:r w:rsidRPr="00B20B4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B20B45">
        <w:rPr>
          <w:rFonts w:ascii="Arial" w:hAnsi="Arial" w:cs="Arial"/>
          <w:sz w:val="22"/>
          <w:szCs w:val="22"/>
          <w:highlight w:val="yellow"/>
          <w:lang w:val="en-GB"/>
        </w:rPr>
        <w:t xml:space="preserve">on </w:t>
      </w:r>
      <w:r w:rsidRPr="00B20B4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534D8"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534D8">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D6247F" w:rsidRDefault="00926D10" w:rsidP="009D510C">
      <w:pPr>
        <w:pStyle w:val="ListParagraph"/>
        <w:numPr>
          <w:ilvl w:val="0"/>
          <w:numId w:val="5"/>
        </w:numPr>
        <w:ind w:left="426"/>
        <w:jc w:val="both"/>
        <w:rPr>
          <w:rFonts w:ascii="Arial" w:hAnsi="Arial" w:cs="Arial"/>
          <w:sz w:val="22"/>
          <w:szCs w:val="22"/>
          <w:highlight w:val="yellow"/>
          <w:lang w:val="en-GB"/>
        </w:rPr>
      </w:pPr>
      <w:r w:rsidRPr="00D6247F">
        <w:rPr>
          <w:rFonts w:ascii="Arial" w:hAnsi="Arial" w:cs="Arial"/>
          <w:sz w:val="22"/>
          <w:szCs w:val="22"/>
          <w:highlight w:val="yellow"/>
          <w:lang w:val="en-GB"/>
        </w:rPr>
        <w:lastRenderedPageBreak/>
        <w:t xml:space="preserve">The statement is correct </w:t>
      </w:r>
      <w:r w:rsidR="0090037B" w:rsidRPr="00D6247F">
        <w:rPr>
          <w:rFonts w:ascii="Arial" w:hAnsi="Arial" w:cs="Arial"/>
          <w:sz w:val="22"/>
          <w:szCs w:val="22"/>
          <w:highlight w:val="yellow"/>
          <w:lang w:val="en-GB"/>
        </w:rPr>
        <w:t>because</w:t>
      </w:r>
      <w:r w:rsidRPr="00D6247F">
        <w:rPr>
          <w:rFonts w:ascii="Arial" w:hAnsi="Arial" w:cs="Arial"/>
          <w:sz w:val="22"/>
          <w:szCs w:val="22"/>
          <w:highlight w:val="yellow"/>
          <w:lang w:val="en-GB"/>
        </w:rPr>
        <w:t xml:space="preserve"> universality </w:t>
      </w:r>
      <w:r w:rsidR="00CB7283" w:rsidRPr="00D6247F">
        <w:rPr>
          <w:rFonts w:ascii="Arial" w:hAnsi="Arial" w:cs="Arial"/>
          <w:sz w:val="22"/>
          <w:szCs w:val="22"/>
          <w:highlight w:val="yellow"/>
          <w:lang w:val="en-GB"/>
        </w:rPr>
        <w:t>has become</w:t>
      </w:r>
      <w:r w:rsidRPr="00D6247F">
        <w:rPr>
          <w:rFonts w:ascii="Arial" w:hAnsi="Arial" w:cs="Arial"/>
          <w:sz w:val="22"/>
          <w:szCs w:val="22"/>
          <w:highlight w:val="yellow"/>
          <w:lang w:val="en-GB"/>
        </w:rPr>
        <w:t xml:space="preserve"> the norm in the majority of </w:t>
      </w:r>
      <w:r w:rsidR="00426B64" w:rsidRPr="00D6247F">
        <w:rPr>
          <w:rFonts w:ascii="Arial" w:hAnsi="Arial" w:cs="Arial"/>
          <w:sz w:val="22"/>
          <w:szCs w:val="22"/>
          <w:highlight w:val="yellow"/>
          <w:lang w:val="en-GB"/>
        </w:rPr>
        <w:t>States</w:t>
      </w:r>
      <w:r w:rsidRPr="00D6247F">
        <w:rPr>
          <w:rFonts w:ascii="Arial" w:hAnsi="Arial" w:cs="Arial"/>
          <w:sz w:val="22"/>
          <w:szCs w:val="22"/>
          <w:highlight w:val="yellow"/>
          <w:lang w:val="en-GB"/>
        </w:rPr>
        <w:t xml:space="preserve"> in cross-border insolvency matters</w:t>
      </w:r>
      <w:r w:rsidR="00CB7283" w:rsidRPr="00D6247F">
        <w:rPr>
          <w:rFonts w:ascii="Arial" w:hAnsi="Arial" w:cs="Arial"/>
          <w:sz w:val="22"/>
          <w:szCs w:val="22"/>
          <w:highlight w:val="yellow"/>
          <w:lang w:val="en-GB"/>
        </w:rPr>
        <w:t xml:space="preserve"> since the introduction of the UNCITRAL Model Law on Cross-Border Insolvency in 1997</w:t>
      </w:r>
      <w:r w:rsidRPr="00D6247F">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1"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1"/>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9A00B6" w:rsidRDefault="000329A6" w:rsidP="00C570AC">
      <w:pPr>
        <w:pStyle w:val="ListParagraph"/>
        <w:numPr>
          <w:ilvl w:val="0"/>
          <w:numId w:val="6"/>
        </w:numPr>
        <w:ind w:left="426"/>
        <w:jc w:val="both"/>
        <w:rPr>
          <w:rFonts w:ascii="Arial" w:hAnsi="Arial" w:cs="Arial"/>
          <w:sz w:val="22"/>
          <w:szCs w:val="22"/>
          <w:highlight w:val="yellow"/>
          <w:lang w:val="en-GB"/>
        </w:rPr>
      </w:pPr>
      <w:r w:rsidRPr="009A00B6">
        <w:rPr>
          <w:rFonts w:ascii="Arial" w:eastAsiaTheme="minorHAnsi" w:hAnsi="Arial" w:cs="Arial"/>
          <w:sz w:val="22"/>
          <w:szCs w:val="22"/>
          <w:highlight w:val="yellow"/>
          <w:lang w:val="en-GB"/>
        </w:rPr>
        <w:t xml:space="preserve">They were recently revised in 2021 and, together with the </w:t>
      </w:r>
      <w:r w:rsidRPr="009A00B6">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A00B6"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A00B6">
        <w:rPr>
          <w:rFonts w:ascii="Arial" w:eastAsiaTheme="minorHAnsi" w:hAnsi="Arial" w:cs="Arial"/>
          <w:sz w:val="22"/>
          <w:szCs w:val="22"/>
          <w:highlight w:val="yellow"/>
          <w:lang w:val="en-GB"/>
        </w:rPr>
        <w:t xml:space="preserve">The Nordic Convention </w:t>
      </w:r>
      <w:r w:rsidR="00076483" w:rsidRPr="009A00B6">
        <w:rPr>
          <w:rFonts w:ascii="Arial" w:eastAsiaTheme="minorHAnsi" w:hAnsi="Arial" w:cs="Arial"/>
          <w:sz w:val="22"/>
          <w:szCs w:val="22"/>
          <w:highlight w:val="yellow"/>
          <w:lang w:val="en-GB"/>
        </w:rPr>
        <w:t>1933</w:t>
      </w:r>
      <w:r w:rsidR="00966E44" w:rsidRPr="009A00B6">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D267FF" w:rsidRDefault="00124B70" w:rsidP="00275182">
      <w:pPr>
        <w:pStyle w:val="ListParagraph"/>
        <w:numPr>
          <w:ilvl w:val="0"/>
          <w:numId w:val="8"/>
        </w:numPr>
        <w:ind w:left="426"/>
        <w:jc w:val="both"/>
        <w:rPr>
          <w:rFonts w:ascii="Arial" w:hAnsi="Arial" w:cs="Arial"/>
          <w:sz w:val="22"/>
          <w:szCs w:val="22"/>
          <w:highlight w:val="yellow"/>
          <w:lang w:val="en-GB"/>
        </w:rPr>
      </w:pPr>
      <w:r w:rsidRPr="00D267FF">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2"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2"/>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D267FF" w:rsidRDefault="00E86549" w:rsidP="00275182">
      <w:pPr>
        <w:pStyle w:val="ListParagraph"/>
        <w:numPr>
          <w:ilvl w:val="0"/>
          <w:numId w:val="9"/>
        </w:numPr>
        <w:ind w:left="426"/>
        <w:jc w:val="both"/>
        <w:rPr>
          <w:rFonts w:ascii="Arial" w:hAnsi="Arial" w:cs="Arial"/>
          <w:bCs/>
          <w:sz w:val="22"/>
          <w:szCs w:val="22"/>
          <w:highlight w:val="yellow"/>
          <w:lang w:val="en-GB"/>
        </w:rPr>
      </w:pPr>
      <w:r w:rsidRPr="00D267F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D267F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D267FF" w:rsidRDefault="00911C23" w:rsidP="00275182">
      <w:pPr>
        <w:pStyle w:val="ListParagraph"/>
        <w:numPr>
          <w:ilvl w:val="0"/>
          <w:numId w:val="10"/>
        </w:numPr>
        <w:ind w:left="426"/>
        <w:jc w:val="both"/>
        <w:rPr>
          <w:rFonts w:ascii="Arial" w:hAnsi="Arial" w:cs="Arial"/>
          <w:sz w:val="22"/>
          <w:szCs w:val="22"/>
          <w:highlight w:val="yellow"/>
          <w:lang w:val="en-GB"/>
        </w:rPr>
      </w:pPr>
      <w:r w:rsidRPr="00D267FF">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4A51BD9" w14:textId="37364711" w:rsidR="00891DCB" w:rsidRDefault="009B07AD" w:rsidP="009A00B6">
      <w:pPr>
        <w:ind w:left="700" w:hanging="50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950AB3">
        <w:rPr>
          <w:rFonts w:ascii="Arial" w:hAnsi="Arial" w:cs="Arial"/>
          <w:color w:val="7B7B7B" w:themeColor="accent3" w:themeShade="BF"/>
          <w:sz w:val="22"/>
          <w:szCs w:val="22"/>
          <w:lang w:val="en-GB"/>
        </w:rPr>
        <w:t xml:space="preserve">(1) </w:t>
      </w:r>
      <w:r w:rsidR="00025CFA">
        <w:rPr>
          <w:rFonts w:ascii="Arial" w:hAnsi="Arial" w:cs="Arial"/>
          <w:color w:val="7B7B7B" w:themeColor="accent3" w:themeShade="BF"/>
          <w:sz w:val="22"/>
          <w:szCs w:val="22"/>
          <w:lang w:val="en-GB"/>
        </w:rPr>
        <w:t xml:space="preserve">The 1542 English bankruptcy Act </w:t>
      </w:r>
      <w:r w:rsidR="00891DCB">
        <w:rPr>
          <w:rFonts w:ascii="Arial" w:hAnsi="Arial" w:cs="Arial"/>
          <w:color w:val="7B7B7B" w:themeColor="accent3" w:themeShade="BF"/>
          <w:sz w:val="22"/>
          <w:szCs w:val="22"/>
          <w:lang w:val="en-GB"/>
        </w:rPr>
        <w:t>which provided for the proceeding against the fraudulent debtor was one of the significant development which contained two fundamental principles on which modern insolvency laws are based.</w:t>
      </w:r>
    </w:p>
    <w:p w14:paraId="60914D25" w14:textId="7D024383" w:rsidR="00E76F02" w:rsidRDefault="00891DCB" w:rsidP="009A00B6">
      <w:pPr>
        <w:ind w:left="700" w:hanging="5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(2)   </w:t>
      </w:r>
      <w:r w:rsidR="00E76F02">
        <w:rPr>
          <w:rFonts w:ascii="Arial" w:hAnsi="Arial" w:cs="Arial"/>
          <w:color w:val="7B7B7B" w:themeColor="accent3" w:themeShade="BF"/>
          <w:sz w:val="22"/>
          <w:szCs w:val="22"/>
          <w:lang w:val="en-GB"/>
        </w:rPr>
        <w:t>The 1570 Act provided for the proceeding to be opened by a creditor in case of act of bankruptcy by the debtor.</w:t>
      </w:r>
    </w:p>
    <w:p w14:paraId="10494B0D" w14:textId="749DA482" w:rsidR="0069658B" w:rsidRDefault="00E76F02" w:rsidP="009A00B6">
      <w:pPr>
        <w:ind w:left="700" w:hanging="50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(3)</w:t>
      </w:r>
      <w:r w:rsidR="0069658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Statute of An</w:t>
      </w:r>
      <w:r w:rsidR="0069658B">
        <w:rPr>
          <w:rFonts w:ascii="Arial" w:hAnsi="Arial" w:cs="Arial"/>
          <w:color w:val="7B7B7B" w:themeColor="accent3" w:themeShade="BF"/>
          <w:sz w:val="22"/>
          <w:szCs w:val="22"/>
          <w:lang w:val="en-GB"/>
        </w:rPr>
        <w:t>n</w:t>
      </w:r>
      <w:r>
        <w:rPr>
          <w:rFonts w:ascii="Arial" w:hAnsi="Arial" w:cs="Arial"/>
          <w:color w:val="7B7B7B" w:themeColor="accent3" w:themeShade="BF"/>
          <w:sz w:val="22"/>
          <w:szCs w:val="22"/>
          <w:lang w:val="en-GB"/>
        </w:rPr>
        <w:t xml:space="preserve"> of 1705, which introduced the term “statutory discharge”</w:t>
      </w:r>
      <w:r w:rsidR="0069658B">
        <w:rPr>
          <w:rFonts w:ascii="Arial" w:hAnsi="Arial" w:cs="Arial"/>
          <w:color w:val="7B7B7B" w:themeColor="accent3" w:themeShade="BF"/>
          <w:sz w:val="22"/>
          <w:szCs w:val="22"/>
          <w:lang w:val="en-GB"/>
        </w:rPr>
        <w:t xml:space="preserve"> was a significant development regarding debt collection procedures.</w:t>
      </w:r>
    </w:p>
    <w:p w14:paraId="359F410B" w14:textId="05EDDDB7" w:rsidR="0069658B" w:rsidRDefault="0069658B" w:rsidP="00891DCB">
      <w:pPr>
        <w:ind w:left="700" w:hanging="500"/>
        <w:jc w:val="both"/>
        <w:rPr>
          <w:rFonts w:ascii="Arial" w:hAnsi="Arial" w:cs="Arial"/>
          <w:color w:val="7B7B7B" w:themeColor="accent3" w:themeShade="BF"/>
          <w:sz w:val="22"/>
          <w:szCs w:val="22"/>
          <w:lang w:val="en-GB"/>
        </w:rPr>
      </w:pPr>
    </w:p>
    <w:p w14:paraId="57BCFC30" w14:textId="5456FD82" w:rsidR="009B07AD" w:rsidRPr="00205B31" w:rsidRDefault="0069658B" w:rsidP="0069658B">
      <w:pPr>
        <w:ind w:left="700"/>
        <w:jc w:val="both"/>
        <w:rPr>
          <w:rFonts w:ascii="Arial" w:hAnsi="Arial" w:cs="Arial"/>
          <w:sz w:val="22"/>
          <w:szCs w:val="22"/>
          <w:lang w:val="en-GB"/>
        </w:rPr>
      </w:pPr>
      <w:r>
        <w:rPr>
          <w:rFonts w:ascii="Arial" w:hAnsi="Arial" w:cs="Arial"/>
          <w:color w:val="7B7B7B" w:themeColor="accent3" w:themeShade="BF"/>
          <w:sz w:val="22"/>
          <w:szCs w:val="22"/>
          <w:lang w:val="en-GB"/>
        </w:rPr>
        <w:t>Thus, above mentioned are the three significant developments regarding debt collection procedures in English law that shaped the way of thinking concerning modern insolvency law.]</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3802A837" w14:textId="51F4A3A1" w:rsidR="0052231A" w:rsidRDefault="001823FD"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45779F">
        <w:rPr>
          <w:rFonts w:ascii="Arial" w:hAnsi="Arial" w:cs="Arial"/>
          <w:color w:val="7B7B7B" w:themeColor="accent3" w:themeShade="BF"/>
          <w:sz w:val="22"/>
          <w:szCs w:val="22"/>
          <w:lang w:val="en-GB"/>
        </w:rPr>
        <w:t xml:space="preserve">Corporate Insolvency and Governance Act 2020 </w:t>
      </w:r>
      <w:r w:rsidR="0052231A">
        <w:rPr>
          <w:rFonts w:ascii="Arial" w:hAnsi="Arial" w:cs="Arial"/>
          <w:color w:val="7B7B7B" w:themeColor="accent3" w:themeShade="BF"/>
          <w:sz w:val="22"/>
          <w:szCs w:val="22"/>
          <w:lang w:val="en-GB"/>
        </w:rPr>
        <w:t xml:space="preserve">was passed to deal with the negative economic fallout of Covid-19 pandemic. The major three insolvency and insolvency </w:t>
      </w:r>
      <w:r w:rsidR="001D166E">
        <w:rPr>
          <w:rFonts w:ascii="Arial" w:hAnsi="Arial" w:cs="Arial"/>
          <w:color w:val="7B7B7B" w:themeColor="accent3" w:themeShade="BF"/>
          <w:sz w:val="22"/>
          <w:szCs w:val="22"/>
          <w:lang w:val="en-GB"/>
        </w:rPr>
        <w:t>related measures introduced in the UK are listed below.</w:t>
      </w:r>
    </w:p>
    <w:p w14:paraId="4E2176DB" w14:textId="1AAB2246" w:rsidR="001D166E" w:rsidRDefault="001D166E"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324E9C11" w14:textId="6E0CEBBE" w:rsidR="001D166E" w:rsidRDefault="001D166E" w:rsidP="001D166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New Restructuring Plan and new moratorium rules</w:t>
      </w:r>
    </w:p>
    <w:p w14:paraId="00BCC6B2" w14:textId="3DCAF4F8" w:rsidR="001D166E" w:rsidRDefault="00C47D66" w:rsidP="001D166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Temporary suspension of wrongful</w:t>
      </w:r>
      <w:r w:rsidR="001823FD">
        <w:rPr>
          <w:rFonts w:ascii="Arial" w:hAnsi="Arial" w:cs="Arial"/>
          <w:color w:val="7B7B7B" w:themeColor="accent3" w:themeShade="BF"/>
          <w:sz w:val="22"/>
          <w:szCs w:val="22"/>
          <w:lang w:val="en-GB"/>
        </w:rPr>
        <w:t xml:space="preserve"> trading</w:t>
      </w:r>
    </w:p>
    <w:p w14:paraId="2E249307" w14:textId="09F02CD1" w:rsidR="001823FD" w:rsidRPr="001D166E" w:rsidRDefault="001823FD" w:rsidP="001D166E">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Suspension of winding-up petitions and statutory demands.]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3643FD51" w:rsidR="00C72848" w:rsidRDefault="00AC58A5" w:rsidP="00544B2C">
      <w:pPr>
        <w:ind w:left="60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w:t>
      </w:r>
      <w:r w:rsidR="00544B2C">
        <w:rPr>
          <w:rFonts w:ascii="Arial" w:hAnsi="Arial" w:cs="Arial"/>
          <w:color w:val="7B7B7B" w:themeColor="accent3" w:themeShade="BF"/>
          <w:sz w:val="22"/>
          <w:szCs w:val="22"/>
          <w:lang w:val="en-GB"/>
        </w:rPr>
        <w:t>Treaty can be defined as a written agreement between the parties to identif</w:t>
      </w:r>
      <w:r w:rsidR="00E0756D">
        <w:rPr>
          <w:rFonts w:ascii="Arial" w:hAnsi="Arial" w:cs="Arial"/>
          <w:color w:val="7B7B7B" w:themeColor="accent3" w:themeShade="BF"/>
          <w:sz w:val="22"/>
          <w:szCs w:val="22"/>
          <w:lang w:val="en-GB"/>
        </w:rPr>
        <w:t>y and follow a set of rules. In other words, treaties are public international instruments to which countries become signatories and bind themselves under the same.</w:t>
      </w:r>
    </w:p>
    <w:p w14:paraId="6959E0CB" w14:textId="4E263991" w:rsidR="00B05384" w:rsidRDefault="00B05384" w:rsidP="00544B2C">
      <w:pPr>
        <w:ind w:left="600" w:hanging="720"/>
        <w:jc w:val="both"/>
        <w:rPr>
          <w:rFonts w:ascii="Arial" w:hAnsi="Arial" w:cs="Arial"/>
          <w:color w:val="7B7B7B" w:themeColor="accent3" w:themeShade="BF"/>
          <w:sz w:val="22"/>
          <w:szCs w:val="22"/>
          <w:lang w:val="en-GB"/>
        </w:rPr>
      </w:pPr>
    </w:p>
    <w:p w14:paraId="64FEC20C" w14:textId="5BB81223" w:rsidR="00B05384" w:rsidRDefault="00B05384" w:rsidP="00544B2C">
      <w:pPr>
        <w:ind w:left="60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Soft law - Soft law is a set of rules or standards conveyed by the international group with the objective that each nation will abide by the rules/standards mentioned into the law.</w:t>
      </w:r>
    </w:p>
    <w:p w14:paraId="3F9CBAFB" w14:textId="5F72ECAB" w:rsidR="00B90F6C" w:rsidRDefault="00B90F6C" w:rsidP="00544B2C">
      <w:pPr>
        <w:ind w:left="600" w:hanging="720"/>
        <w:jc w:val="both"/>
        <w:rPr>
          <w:rFonts w:ascii="Arial" w:hAnsi="Arial" w:cs="Arial"/>
          <w:color w:val="7B7B7B" w:themeColor="accent3" w:themeShade="BF"/>
          <w:sz w:val="22"/>
          <w:szCs w:val="22"/>
          <w:lang w:val="en-GB"/>
        </w:rPr>
      </w:pPr>
    </w:p>
    <w:p w14:paraId="56EE5248" w14:textId="70CE941C" w:rsidR="00B90F6C" w:rsidRDefault="00B90F6C" w:rsidP="00544B2C">
      <w:pPr>
        <w:ind w:left="60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sidR="00D638A9">
        <w:rPr>
          <w:rFonts w:ascii="Arial" w:hAnsi="Arial" w:cs="Arial"/>
          <w:color w:val="7B7B7B" w:themeColor="accent3" w:themeShade="BF"/>
          <w:sz w:val="22"/>
          <w:szCs w:val="22"/>
          <w:lang w:val="en-GB"/>
        </w:rPr>
        <w:t>Since the adoption of this treaties and soft law is voluntary, and viewed as a recommendation, it has been gaining much momentum. With</w:t>
      </w:r>
      <w:r>
        <w:rPr>
          <w:rFonts w:ascii="Arial" w:hAnsi="Arial" w:cs="Arial"/>
          <w:color w:val="7B7B7B" w:themeColor="accent3" w:themeShade="BF"/>
          <w:sz w:val="22"/>
          <w:szCs w:val="22"/>
          <w:lang w:val="en-GB"/>
        </w:rPr>
        <w:t xml:space="preserve"> the development of Model Law on cross-border Insolvency, and given the number of states adopting the same, it has been instrumental in establishing cross-border insolvency rules in States.</w:t>
      </w:r>
    </w:p>
    <w:p w14:paraId="1386AD38" w14:textId="466C1968" w:rsidR="00B05384" w:rsidRDefault="00B05384" w:rsidP="00544B2C">
      <w:pPr>
        <w:ind w:left="600" w:hanging="720"/>
        <w:jc w:val="both"/>
        <w:rPr>
          <w:rFonts w:ascii="Arial" w:hAnsi="Arial" w:cs="Arial"/>
          <w:color w:val="7B7B7B" w:themeColor="accent3" w:themeShade="BF"/>
          <w:sz w:val="22"/>
          <w:szCs w:val="22"/>
          <w:lang w:val="en-GB"/>
        </w:rPr>
      </w:pPr>
    </w:p>
    <w:p w14:paraId="3C1781A0" w14:textId="04B2AABF" w:rsidR="00B05384" w:rsidRDefault="00B05384" w:rsidP="00544B2C">
      <w:pPr>
        <w:ind w:left="60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2B7B40F9" w14:textId="2DEC8032" w:rsidR="00B05384" w:rsidRDefault="00B05384" w:rsidP="00544B2C">
      <w:pPr>
        <w:ind w:left="60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012813D" w14:textId="77777777" w:rsidR="006A1FA3" w:rsidRDefault="006A1FA3" w:rsidP="00544B2C">
      <w:pPr>
        <w:ind w:left="600" w:hanging="720"/>
        <w:jc w:val="both"/>
        <w:rPr>
          <w:rFonts w:ascii="Arial" w:hAnsi="Arial" w:cs="Arial"/>
          <w:color w:val="7B7B7B" w:themeColor="accent3" w:themeShade="BF"/>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FA91E93" w14:textId="343FEEBE" w:rsidR="00D20A73" w:rsidRDefault="00DF75F8" w:rsidP="00C407B0">
      <w:pPr>
        <w:jc w:val="both"/>
        <w:rPr>
          <w:rFonts w:ascii="Arial" w:hAnsi="Arial" w:cs="Arial"/>
          <w:color w:val="7B7B7B" w:themeColor="accent3" w:themeShade="BF"/>
          <w:sz w:val="22"/>
          <w:szCs w:val="22"/>
        </w:rPr>
      </w:pPr>
      <w:r w:rsidRPr="00205B31">
        <w:rPr>
          <w:rFonts w:ascii="Arial" w:hAnsi="Arial" w:cs="Arial"/>
          <w:color w:val="7B7B7B" w:themeColor="accent3" w:themeShade="BF"/>
          <w:sz w:val="22"/>
          <w:szCs w:val="22"/>
          <w:lang w:val="en-GB"/>
        </w:rPr>
        <w:t>[</w:t>
      </w:r>
      <w:r w:rsidR="00C407B0" w:rsidRPr="00C407B0">
        <w:rPr>
          <w:rFonts w:ascii="Arial" w:hAnsi="Arial" w:cs="Arial"/>
          <w:color w:val="7B7B7B" w:themeColor="accent3" w:themeShade="BF"/>
          <w:sz w:val="22"/>
          <w:szCs w:val="22"/>
        </w:rPr>
        <w:t xml:space="preserve">There are </w:t>
      </w:r>
      <w:r w:rsidR="00C407B0" w:rsidRPr="00C407B0">
        <w:rPr>
          <w:rFonts w:ascii="Arial" w:hAnsi="Arial" w:cs="Arial"/>
          <w:bCs/>
          <w:color w:val="7B7B7B" w:themeColor="accent3" w:themeShade="BF"/>
          <w:sz w:val="22"/>
          <w:szCs w:val="22"/>
        </w:rPr>
        <w:t>diverse</w:t>
      </w:r>
      <w:r w:rsidR="00C407B0" w:rsidRPr="00C407B0">
        <w:rPr>
          <w:rFonts w:ascii="Arial" w:hAnsi="Arial" w:cs="Arial"/>
          <w:color w:val="7B7B7B" w:themeColor="accent3" w:themeShade="BF"/>
          <w:sz w:val="22"/>
          <w:szCs w:val="22"/>
        </w:rPr>
        <w:t xml:space="preserve"> </w:t>
      </w:r>
      <w:r w:rsidR="00C407B0">
        <w:rPr>
          <w:rFonts w:ascii="Arial" w:hAnsi="Arial" w:cs="Arial"/>
          <w:bCs/>
          <w:color w:val="7B7B7B" w:themeColor="accent3" w:themeShade="BF"/>
          <w:sz w:val="22"/>
          <w:szCs w:val="22"/>
        </w:rPr>
        <w:t>sources</w:t>
      </w:r>
      <w:r w:rsidR="00C407B0" w:rsidRPr="00C407B0">
        <w:rPr>
          <w:rFonts w:ascii="Arial" w:hAnsi="Arial" w:cs="Arial"/>
          <w:color w:val="7B7B7B" w:themeColor="accent3" w:themeShade="BF"/>
          <w:sz w:val="22"/>
          <w:szCs w:val="22"/>
        </w:rPr>
        <w:t xml:space="preserve"> of insolvency </w:t>
      </w:r>
      <w:r w:rsidR="00C407B0" w:rsidRPr="00C407B0">
        <w:rPr>
          <w:rFonts w:ascii="Arial" w:hAnsi="Arial" w:cs="Arial"/>
          <w:bCs/>
          <w:color w:val="7B7B7B" w:themeColor="accent3" w:themeShade="BF"/>
          <w:sz w:val="22"/>
          <w:szCs w:val="22"/>
        </w:rPr>
        <w:t>legal guidelines</w:t>
      </w:r>
      <w:r w:rsidR="00C407B0" w:rsidRPr="00C407B0">
        <w:rPr>
          <w:rFonts w:ascii="Arial" w:hAnsi="Arial" w:cs="Arial"/>
          <w:color w:val="7B7B7B" w:themeColor="accent3" w:themeShade="BF"/>
          <w:sz w:val="22"/>
          <w:szCs w:val="22"/>
        </w:rPr>
        <w:t xml:space="preserve"> in any </w:t>
      </w:r>
      <w:r w:rsidR="00C407B0" w:rsidRPr="00C407B0">
        <w:rPr>
          <w:rFonts w:ascii="Arial" w:hAnsi="Arial" w:cs="Arial"/>
          <w:bCs/>
          <w:color w:val="7B7B7B" w:themeColor="accent3" w:themeShade="BF"/>
          <w:sz w:val="22"/>
          <w:szCs w:val="22"/>
        </w:rPr>
        <w:t>nation</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however</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it's far</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important</w:t>
      </w:r>
      <w:r w:rsidR="00C407B0" w:rsidRPr="00C407B0">
        <w:rPr>
          <w:rFonts w:ascii="Arial" w:hAnsi="Arial" w:cs="Arial"/>
          <w:color w:val="7B7B7B" w:themeColor="accent3" w:themeShade="BF"/>
          <w:sz w:val="22"/>
          <w:szCs w:val="22"/>
        </w:rPr>
        <w:t xml:space="preserve"> to </w:t>
      </w:r>
      <w:r w:rsidR="00C407B0" w:rsidRPr="00C407B0">
        <w:rPr>
          <w:rFonts w:ascii="Arial" w:hAnsi="Arial" w:cs="Arial"/>
          <w:bCs/>
          <w:color w:val="7B7B7B" w:themeColor="accent3" w:themeShade="BF"/>
          <w:sz w:val="22"/>
          <w:szCs w:val="22"/>
        </w:rPr>
        <w:t>locate</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the primary</w:t>
      </w:r>
      <w:r w:rsidR="00C407B0" w:rsidRPr="00C407B0">
        <w:rPr>
          <w:rFonts w:ascii="Arial" w:hAnsi="Arial" w:cs="Arial"/>
          <w:color w:val="7B7B7B" w:themeColor="accent3" w:themeShade="BF"/>
          <w:sz w:val="22"/>
          <w:szCs w:val="22"/>
        </w:rPr>
        <w:t xml:space="preserve"> </w:t>
      </w:r>
      <w:r w:rsidR="00C407B0">
        <w:rPr>
          <w:rFonts w:ascii="Arial" w:hAnsi="Arial" w:cs="Arial"/>
          <w:bCs/>
          <w:color w:val="7B7B7B" w:themeColor="accent3" w:themeShade="BF"/>
          <w:sz w:val="22"/>
          <w:szCs w:val="22"/>
        </w:rPr>
        <w:t>source</w:t>
      </w:r>
      <w:r w:rsidR="00C407B0" w:rsidRPr="00C407B0">
        <w:rPr>
          <w:rFonts w:ascii="Arial" w:hAnsi="Arial" w:cs="Arial"/>
          <w:color w:val="7B7B7B" w:themeColor="accent3" w:themeShade="BF"/>
          <w:sz w:val="22"/>
          <w:szCs w:val="22"/>
        </w:rPr>
        <w:t xml:space="preserve"> of insolvency </w:t>
      </w:r>
      <w:r w:rsidR="00C407B0" w:rsidRPr="00C407B0">
        <w:rPr>
          <w:rFonts w:ascii="Arial" w:hAnsi="Arial" w:cs="Arial"/>
          <w:bCs/>
          <w:color w:val="7B7B7B" w:themeColor="accent3" w:themeShade="BF"/>
          <w:sz w:val="22"/>
          <w:szCs w:val="22"/>
        </w:rPr>
        <w:t>legal guidelines</w:t>
      </w:r>
      <w:r w:rsidR="00C407B0" w:rsidRPr="00C407B0">
        <w:rPr>
          <w:rFonts w:ascii="Arial" w:hAnsi="Arial" w:cs="Arial"/>
          <w:color w:val="7B7B7B" w:themeColor="accent3" w:themeShade="BF"/>
          <w:sz w:val="22"/>
          <w:szCs w:val="22"/>
        </w:rPr>
        <w:t xml:space="preserve"> that </w:t>
      </w:r>
      <w:r w:rsidR="00C407B0" w:rsidRPr="00C407B0">
        <w:rPr>
          <w:rFonts w:ascii="Arial" w:hAnsi="Arial" w:cs="Arial"/>
          <w:bCs/>
          <w:color w:val="7B7B7B" w:themeColor="accent3" w:themeShade="BF"/>
          <w:sz w:val="22"/>
          <w:szCs w:val="22"/>
        </w:rPr>
        <w:t>may be</w:t>
      </w:r>
      <w:r w:rsidR="00C407B0" w:rsidRPr="00C407B0">
        <w:rPr>
          <w:rFonts w:ascii="Arial" w:hAnsi="Arial" w:cs="Arial"/>
          <w:color w:val="7B7B7B" w:themeColor="accent3" w:themeShade="BF"/>
          <w:sz w:val="22"/>
          <w:szCs w:val="22"/>
        </w:rPr>
        <w:t xml:space="preserve"> applied. Generally, </w:t>
      </w:r>
      <w:r w:rsidR="00C407B0" w:rsidRPr="00C407B0">
        <w:rPr>
          <w:rFonts w:ascii="Arial" w:hAnsi="Arial" w:cs="Arial"/>
          <w:bCs/>
          <w:color w:val="7B7B7B" w:themeColor="accent3" w:themeShade="BF"/>
          <w:sz w:val="22"/>
          <w:szCs w:val="22"/>
        </w:rPr>
        <w:t>the primary</w:t>
      </w:r>
      <w:r w:rsidR="00C407B0" w:rsidRPr="00C407B0">
        <w:rPr>
          <w:rFonts w:ascii="Arial" w:hAnsi="Arial" w:cs="Arial"/>
          <w:color w:val="7B7B7B" w:themeColor="accent3" w:themeShade="BF"/>
          <w:sz w:val="22"/>
          <w:szCs w:val="22"/>
        </w:rPr>
        <w:t xml:space="preserve"> </w:t>
      </w:r>
      <w:r w:rsidR="00C407B0">
        <w:rPr>
          <w:rFonts w:ascii="Arial" w:hAnsi="Arial" w:cs="Arial"/>
          <w:bCs/>
          <w:color w:val="7B7B7B" w:themeColor="accent3" w:themeShade="BF"/>
          <w:sz w:val="22"/>
          <w:szCs w:val="22"/>
        </w:rPr>
        <w:t>source</w:t>
      </w:r>
      <w:r w:rsidR="00C407B0" w:rsidRPr="00C407B0">
        <w:rPr>
          <w:rFonts w:ascii="Arial" w:hAnsi="Arial" w:cs="Arial"/>
          <w:color w:val="7B7B7B" w:themeColor="accent3" w:themeShade="BF"/>
          <w:sz w:val="22"/>
          <w:szCs w:val="22"/>
        </w:rPr>
        <w:t xml:space="preserve"> of </w:t>
      </w:r>
      <w:r w:rsidR="00C407B0" w:rsidRPr="00C407B0">
        <w:rPr>
          <w:rFonts w:ascii="Arial" w:hAnsi="Arial" w:cs="Arial"/>
          <w:bCs/>
          <w:color w:val="7B7B7B" w:themeColor="accent3" w:themeShade="BF"/>
          <w:sz w:val="22"/>
          <w:szCs w:val="22"/>
        </w:rPr>
        <w:t>regulation</w:t>
      </w:r>
      <w:r w:rsidR="00C407B0" w:rsidRPr="00C407B0">
        <w:rPr>
          <w:rFonts w:ascii="Arial" w:hAnsi="Arial" w:cs="Arial"/>
          <w:color w:val="7B7B7B" w:themeColor="accent3" w:themeShade="BF"/>
          <w:sz w:val="22"/>
          <w:szCs w:val="22"/>
        </w:rPr>
        <w:t xml:space="preserve"> is </w:t>
      </w:r>
      <w:r w:rsidR="00C407B0" w:rsidRPr="00C407B0">
        <w:rPr>
          <w:rFonts w:ascii="Arial" w:hAnsi="Arial" w:cs="Arial"/>
          <w:bCs/>
          <w:color w:val="7B7B7B" w:themeColor="accent3" w:themeShade="BF"/>
          <w:sz w:val="22"/>
          <w:szCs w:val="22"/>
        </w:rPr>
        <w:t>located</w:t>
      </w:r>
      <w:r w:rsidR="00C407B0" w:rsidRPr="00C407B0">
        <w:rPr>
          <w:rFonts w:ascii="Arial" w:hAnsi="Arial" w:cs="Arial"/>
          <w:color w:val="7B7B7B" w:themeColor="accent3" w:themeShade="BF"/>
          <w:sz w:val="22"/>
          <w:szCs w:val="22"/>
        </w:rPr>
        <w:t xml:space="preserve"> in </w:t>
      </w:r>
      <w:r w:rsidR="00C407B0" w:rsidRPr="00C407B0">
        <w:rPr>
          <w:rFonts w:ascii="Arial" w:hAnsi="Arial" w:cs="Arial"/>
          <w:bCs/>
          <w:color w:val="7B7B7B" w:themeColor="accent3" w:themeShade="BF"/>
          <w:sz w:val="22"/>
          <w:szCs w:val="22"/>
        </w:rPr>
        <w:t>rules</w:t>
      </w:r>
      <w:r w:rsidR="00C407B0" w:rsidRPr="00C407B0">
        <w:rPr>
          <w:rFonts w:ascii="Arial" w:hAnsi="Arial" w:cs="Arial"/>
          <w:color w:val="7B7B7B" w:themeColor="accent3" w:themeShade="BF"/>
          <w:sz w:val="22"/>
          <w:szCs w:val="22"/>
        </w:rPr>
        <w:t xml:space="preserve"> or codes </w:t>
      </w:r>
      <w:r w:rsidR="00C407B0" w:rsidRPr="00C407B0">
        <w:rPr>
          <w:rFonts w:ascii="Arial" w:hAnsi="Arial" w:cs="Arial"/>
          <w:bCs/>
          <w:color w:val="7B7B7B" w:themeColor="accent3" w:themeShade="BF"/>
          <w:sz w:val="22"/>
          <w:szCs w:val="22"/>
        </w:rPr>
        <w:t>however</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in addition they</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rely upon</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ideas</w:t>
      </w:r>
      <w:r w:rsidR="00C407B0" w:rsidRPr="00C407B0">
        <w:rPr>
          <w:rFonts w:ascii="Arial" w:hAnsi="Arial" w:cs="Arial"/>
          <w:color w:val="7B7B7B" w:themeColor="accent3" w:themeShade="BF"/>
          <w:sz w:val="22"/>
          <w:szCs w:val="22"/>
        </w:rPr>
        <w:t xml:space="preserve"> of </w:t>
      </w:r>
      <w:r w:rsidR="00C407B0" w:rsidRPr="00C407B0">
        <w:rPr>
          <w:rFonts w:ascii="Arial" w:hAnsi="Arial" w:cs="Arial"/>
          <w:bCs/>
          <w:color w:val="7B7B7B" w:themeColor="accent3" w:themeShade="BF"/>
          <w:sz w:val="22"/>
          <w:szCs w:val="22"/>
        </w:rPr>
        <w:t xml:space="preserve">not </w:t>
      </w:r>
      <w:r w:rsidR="00C407B0">
        <w:rPr>
          <w:rFonts w:ascii="Arial" w:hAnsi="Arial" w:cs="Arial"/>
          <w:bCs/>
          <w:color w:val="7B7B7B" w:themeColor="accent3" w:themeShade="BF"/>
          <w:sz w:val="22"/>
          <w:szCs w:val="22"/>
        </w:rPr>
        <w:t>common law</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regulation</w:t>
      </w:r>
      <w:r w:rsidR="00C407B0" w:rsidRPr="00C407B0">
        <w:rPr>
          <w:rFonts w:ascii="Arial" w:hAnsi="Arial" w:cs="Arial"/>
          <w:color w:val="7B7B7B" w:themeColor="accent3" w:themeShade="BF"/>
          <w:sz w:val="22"/>
          <w:szCs w:val="22"/>
        </w:rPr>
        <w:t xml:space="preserve"> (in case of </w:t>
      </w:r>
      <w:r w:rsidR="00C407B0" w:rsidRPr="00C407B0">
        <w:rPr>
          <w:rFonts w:ascii="Arial" w:hAnsi="Arial" w:cs="Arial"/>
          <w:bCs/>
          <w:color w:val="7B7B7B" w:themeColor="accent3" w:themeShade="BF"/>
          <w:sz w:val="22"/>
          <w:szCs w:val="22"/>
        </w:rPr>
        <w:t xml:space="preserve">not </w:t>
      </w:r>
      <w:r w:rsidR="00C407B0">
        <w:rPr>
          <w:rFonts w:ascii="Arial" w:hAnsi="Arial" w:cs="Arial"/>
          <w:bCs/>
          <w:color w:val="7B7B7B" w:themeColor="accent3" w:themeShade="BF"/>
          <w:sz w:val="22"/>
          <w:szCs w:val="22"/>
        </w:rPr>
        <w:t xml:space="preserve">common law </w:t>
      </w:r>
      <w:r w:rsidR="00C407B0" w:rsidRPr="00C407B0">
        <w:rPr>
          <w:rFonts w:ascii="Arial" w:hAnsi="Arial" w:cs="Arial"/>
          <w:bCs/>
          <w:color w:val="7B7B7B" w:themeColor="accent3" w:themeShade="BF"/>
          <w:sz w:val="22"/>
          <w:szCs w:val="22"/>
        </w:rPr>
        <w:t>regulation</w:t>
      </w:r>
      <w:r w:rsidR="00C407B0" w:rsidRPr="00C407B0">
        <w:rPr>
          <w:rFonts w:ascii="Arial" w:hAnsi="Arial" w:cs="Arial"/>
          <w:color w:val="7B7B7B" w:themeColor="accent3" w:themeShade="BF"/>
          <w:sz w:val="22"/>
          <w:szCs w:val="22"/>
        </w:rPr>
        <w:t xml:space="preserve"> countries) to fill the gaps and loopholes </w:t>
      </w:r>
      <w:r w:rsidR="00C407B0" w:rsidRPr="00C407B0">
        <w:rPr>
          <w:rFonts w:ascii="Arial" w:hAnsi="Arial" w:cs="Arial"/>
          <w:bCs/>
          <w:color w:val="7B7B7B" w:themeColor="accent3" w:themeShade="BF"/>
          <w:sz w:val="22"/>
          <w:szCs w:val="22"/>
        </w:rPr>
        <w:t>with inside the</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current</w:t>
      </w:r>
      <w:r w:rsidR="00C407B0" w:rsidRPr="00C407B0">
        <w:rPr>
          <w:rFonts w:ascii="Arial" w:hAnsi="Arial" w:cs="Arial"/>
          <w:color w:val="7B7B7B" w:themeColor="accent3" w:themeShade="BF"/>
          <w:sz w:val="22"/>
          <w:szCs w:val="22"/>
        </w:rPr>
        <w:t xml:space="preserve"> </w:t>
      </w:r>
      <w:r w:rsidR="00C407B0" w:rsidRPr="00C407B0">
        <w:rPr>
          <w:rFonts w:ascii="Arial" w:hAnsi="Arial" w:cs="Arial"/>
          <w:bCs/>
          <w:color w:val="7B7B7B" w:themeColor="accent3" w:themeShade="BF"/>
          <w:sz w:val="22"/>
          <w:szCs w:val="22"/>
        </w:rPr>
        <w:t>rules</w:t>
      </w:r>
      <w:r w:rsidR="00C407B0" w:rsidRPr="00C407B0">
        <w:rPr>
          <w:rFonts w:ascii="Arial" w:hAnsi="Arial" w:cs="Arial"/>
          <w:color w:val="7B7B7B" w:themeColor="accent3" w:themeShade="BF"/>
          <w:sz w:val="22"/>
          <w:szCs w:val="22"/>
        </w:rPr>
        <w:t xml:space="preserve"> and code.</w:t>
      </w:r>
    </w:p>
    <w:p w14:paraId="41F8D54A" w14:textId="77777777" w:rsidR="00C407B0" w:rsidRPr="00C407B0" w:rsidRDefault="00C407B0" w:rsidP="00C407B0">
      <w:pPr>
        <w:jc w:val="both"/>
        <w:rPr>
          <w:rFonts w:ascii="Arial" w:hAnsi="Arial" w:cs="Arial"/>
          <w:color w:val="7B7B7B" w:themeColor="accent3" w:themeShade="BF"/>
          <w:sz w:val="22"/>
          <w:szCs w:val="22"/>
          <w:lang w:val="en-GB"/>
        </w:rPr>
      </w:pPr>
    </w:p>
    <w:p w14:paraId="78570DE5" w14:textId="77777777" w:rsidR="00D20A73" w:rsidRDefault="00D20A73" w:rsidP="00D20A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Moreover, the insolvency provisions are present is a unified legislation in some jurisdictions covering all aspects of insolvency and bankruptcy whereas some jurisdictions have multiplicity of legislations which must be studied in conjunction with each other in order to understand the law as a whole, i.e., where the laws for individual bankruptcy is contained in one legislation while the laws related to winding up of companies is mentioned in a different legislation/statute.</w:t>
      </w:r>
    </w:p>
    <w:p w14:paraId="3EBD0782" w14:textId="77777777" w:rsidR="00D20A73" w:rsidRDefault="00D20A73" w:rsidP="00D20A73">
      <w:pPr>
        <w:jc w:val="both"/>
        <w:rPr>
          <w:rFonts w:ascii="Arial" w:hAnsi="Arial" w:cs="Arial"/>
          <w:color w:val="7B7B7B" w:themeColor="accent3" w:themeShade="BF"/>
          <w:sz w:val="22"/>
          <w:szCs w:val="22"/>
          <w:lang w:val="en-GB"/>
        </w:rPr>
      </w:pPr>
    </w:p>
    <w:p w14:paraId="74D5EB74" w14:textId="77777777" w:rsidR="00D20A73" w:rsidRDefault="00D20A73" w:rsidP="00D20A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legal principles forming the part of general laws also play a vital role in insolvency laws of any state/jurisdiction apart from the insolvency legislation of that particular jurisdiction. The major reason for the applicability of the legal principles of general law is because of the absence of the same in insolvency laws legislation.   </w:t>
      </w:r>
    </w:p>
    <w:p w14:paraId="4DB6AA31" w14:textId="77777777" w:rsidR="00D20A73" w:rsidRDefault="00D20A73" w:rsidP="00D20A73">
      <w:pPr>
        <w:jc w:val="both"/>
        <w:rPr>
          <w:rFonts w:ascii="Arial" w:hAnsi="Arial" w:cs="Arial"/>
          <w:color w:val="7B7B7B" w:themeColor="accent3" w:themeShade="BF"/>
          <w:sz w:val="22"/>
          <w:szCs w:val="22"/>
          <w:lang w:val="en-GB"/>
        </w:rPr>
      </w:pPr>
    </w:p>
    <w:p w14:paraId="4024A332" w14:textId="1AFE99C9" w:rsidR="00544127" w:rsidRPr="00205B31" w:rsidRDefault="00D20A73" w:rsidP="00B7193E">
      <w:pPr>
        <w:jc w:val="both"/>
        <w:rPr>
          <w:rFonts w:ascii="Arial" w:hAnsi="Arial" w:cs="Arial"/>
          <w:sz w:val="22"/>
          <w:szCs w:val="22"/>
          <w:lang w:val="en-GB"/>
        </w:rPr>
      </w:pPr>
      <w:r>
        <w:rPr>
          <w:rFonts w:ascii="Arial" w:hAnsi="Arial" w:cs="Arial"/>
          <w:color w:val="7B7B7B" w:themeColor="accent3" w:themeShade="BF"/>
          <w:sz w:val="22"/>
          <w:szCs w:val="22"/>
          <w:lang w:val="en-GB"/>
        </w:rPr>
        <w:t>For the purpose of interaction between different sources of insolvency law, they must be studied in conjunction with each other for the purpose of interpreting the law as whole.</w:t>
      </w:r>
      <w:r w:rsidR="00DF75F8"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8B2FC7B" w14:textId="77777777" w:rsidR="003C561D" w:rsidRDefault="003C561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 asks three very pertinent questions in order to bring the “cross-border” aspects and the “insolvency” aspects together.</w:t>
      </w:r>
    </w:p>
    <w:p w14:paraId="08129A5D" w14:textId="77777777" w:rsidR="003C561D" w:rsidRDefault="003C561D" w:rsidP="00B7193E">
      <w:pPr>
        <w:jc w:val="both"/>
        <w:rPr>
          <w:rFonts w:ascii="Arial" w:hAnsi="Arial" w:cs="Arial"/>
          <w:color w:val="7B7B7B" w:themeColor="accent3" w:themeShade="BF"/>
          <w:sz w:val="22"/>
          <w:szCs w:val="22"/>
          <w:lang w:val="en-GB"/>
        </w:rPr>
      </w:pPr>
    </w:p>
    <w:p w14:paraId="73FAE62C" w14:textId="4E55E92D" w:rsidR="003C561D" w:rsidRDefault="003C561D" w:rsidP="003C561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Insolvency proceedings can be opened in which jurisdictions?</w:t>
      </w:r>
    </w:p>
    <w:p w14:paraId="50DF47AD" w14:textId="4C0CE558" w:rsidR="003C561D" w:rsidRDefault="003C561D" w:rsidP="003C561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different aspects of the case, which country’s law should be applied?</w:t>
      </w:r>
    </w:p>
    <w:p w14:paraId="25C750D7" w14:textId="6CBFCACA" w:rsidR="003C561D" w:rsidRDefault="00246CF9" w:rsidP="003C561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w:t>
      </w:r>
    </w:p>
    <w:p w14:paraId="14D39561" w14:textId="77777777" w:rsidR="00246CF9" w:rsidRDefault="00246CF9" w:rsidP="00246CF9">
      <w:pPr>
        <w:pStyle w:val="ListParagraph"/>
        <w:ind w:left="1080"/>
        <w:jc w:val="both"/>
        <w:rPr>
          <w:rFonts w:ascii="Arial" w:hAnsi="Arial" w:cs="Arial"/>
          <w:color w:val="7B7B7B" w:themeColor="accent3" w:themeShade="BF"/>
          <w:sz w:val="22"/>
          <w:szCs w:val="22"/>
          <w:lang w:val="en-GB"/>
        </w:rPr>
      </w:pPr>
    </w:p>
    <w:p w14:paraId="45AE44AA" w14:textId="4E72ABE5" w:rsidR="00246CF9" w:rsidRDefault="00246CF9" w:rsidP="00246C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 answers the above questions in following way.</w:t>
      </w:r>
    </w:p>
    <w:p w14:paraId="20393DF8" w14:textId="2933B1D8" w:rsidR="00246CF9" w:rsidRDefault="00246CF9" w:rsidP="00246CF9">
      <w:pPr>
        <w:jc w:val="both"/>
        <w:rPr>
          <w:rFonts w:ascii="Arial" w:hAnsi="Arial" w:cs="Arial"/>
          <w:color w:val="7B7B7B" w:themeColor="accent3" w:themeShade="BF"/>
          <w:sz w:val="22"/>
          <w:szCs w:val="22"/>
          <w:lang w:val="en-GB"/>
        </w:rPr>
      </w:pPr>
    </w:p>
    <w:p w14:paraId="3F3A6623" w14:textId="5D918037" w:rsidR="00246CF9" w:rsidRDefault="00246CF9" w:rsidP="00246C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response to the first question, the insolvency proceedings could possibly be opened concurrently in more than one state.</w:t>
      </w:r>
    </w:p>
    <w:p w14:paraId="31F09D71" w14:textId="710CEAE3" w:rsidR="00246CF9" w:rsidRDefault="00246CF9" w:rsidP="00246CF9">
      <w:pPr>
        <w:jc w:val="both"/>
        <w:rPr>
          <w:rFonts w:ascii="Arial" w:hAnsi="Arial" w:cs="Arial"/>
          <w:color w:val="7B7B7B" w:themeColor="accent3" w:themeShade="BF"/>
          <w:sz w:val="22"/>
          <w:szCs w:val="22"/>
          <w:lang w:val="en-GB"/>
        </w:rPr>
      </w:pPr>
    </w:p>
    <w:p w14:paraId="179BF67C" w14:textId="7AFAAD5F" w:rsidR="00246CF9" w:rsidRDefault="00246CF9" w:rsidP="00246C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response to the second question, </w:t>
      </w:r>
      <w:r w:rsidR="00E534D8">
        <w:rPr>
          <w:rFonts w:ascii="Arial" w:hAnsi="Arial" w:cs="Arial"/>
          <w:color w:val="7B7B7B" w:themeColor="accent3" w:themeShade="BF"/>
          <w:sz w:val="22"/>
          <w:szCs w:val="22"/>
          <w:lang w:val="en-GB"/>
        </w:rPr>
        <w:t>each state would apply its own laws including its choice of law rules.</w:t>
      </w:r>
    </w:p>
    <w:p w14:paraId="7DD9FEDC" w14:textId="2D0360FA" w:rsidR="00E534D8" w:rsidRDefault="00E534D8" w:rsidP="00246CF9">
      <w:pPr>
        <w:jc w:val="both"/>
        <w:rPr>
          <w:rFonts w:ascii="Arial" w:hAnsi="Arial" w:cs="Arial"/>
          <w:color w:val="7B7B7B" w:themeColor="accent3" w:themeShade="BF"/>
          <w:sz w:val="22"/>
          <w:szCs w:val="22"/>
          <w:lang w:val="en-GB"/>
        </w:rPr>
      </w:pPr>
    </w:p>
    <w:p w14:paraId="7940D274" w14:textId="390A5D9A" w:rsidR="00DF75F8" w:rsidRPr="00205B31" w:rsidRDefault="00E534D8" w:rsidP="00B7193E">
      <w:pPr>
        <w:jc w:val="both"/>
        <w:rPr>
          <w:rFonts w:ascii="Arial" w:hAnsi="Arial" w:cs="Arial"/>
          <w:sz w:val="22"/>
          <w:szCs w:val="22"/>
          <w:lang w:val="en-GB"/>
        </w:rPr>
      </w:pPr>
      <w:r>
        <w:rPr>
          <w:rFonts w:ascii="Arial" w:hAnsi="Arial" w:cs="Arial"/>
          <w:color w:val="7B7B7B" w:themeColor="accent3" w:themeShade="BF"/>
          <w:sz w:val="22"/>
          <w:szCs w:val="22"/>
          <w:lang w:val="en-GB"/>
        </w:rPr>
        <w:t>In response to the third question, no or very limited extraterritorial effects would be granted to foreign proceedings.</w:t>
      </w:r>
      <w:r w:rsidR="00DF75F8"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9930017" w14:textId="55C706EC" w:rsidR="00C407B0" w:rsidRDefault="00DF75F8" w:rsidP="00C407B0">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407B0">
        <w:rPr>
          <w:rFonts w:ascii="Arial" w:hAnsi="Arial" w:cs="Arial"/>
          <w:color w:val="7B7B7B" w:themeColor="accent3" w:themeShade="BF"/>
          <w:sz w:val="22"/>
          <w:szCs w:val="22"/>
          <w:lang w:val="en-GB"/>
        </w:rPr>
        <w:t xml:space="preserve">A prominent case law example is the </w:t>
      </w:r>
      <w:r w:rsidR="00C407B0" w:rsidRPr="009D5987">
        <w:rPr>
          <w:rFonts w:ascii="Arial" w:hAnsi="Arial" w:cs="Arial"/>
          <w:i/>
          <w:color w:val="7B7B7B" w:themeColor="accent3" w:themeShade="BF"/>
          <w:sz w:val="22"/>
          <w:szCs w:val="22"/>
          <w:lang w:val="en-GB"/>
        </w:rPr>
        <w:t>Maxwell Communications Corporation plc</w:t>
      </w:r>
      <w:r w:rsidR="00C407B0">
        <w:rPr>
          <w:rFonts w:ascii="Arial" w:hAnsi="Arial" w:cs="Arial"/>
          <w:i/>
          <w:color w:val="7B7B7B" w:themeColor="accent3" w:themeShade="BF"/>
          <w:sz w:val="22"/>
          <w:szCs w:val="22"/>
          <w:lang w:val="en-GB"/>
        </w:rPr>
        <w:t xml:space="preserve"> </w:t>
      </w:r>
      <w:r w:rsidR="00C407B0">
        <w:rPr>
          <w:rFonts w:ascii="Arial" w:hAnsi="Arial" w:cs="Arial"/>
          <w:color w:val="7B7B7B" w:themeColor="accent3" w:themeShade="BF"/>
          <w:sz w:val="22"/>
          <w:szCs w:val="22"/>
          <w:lang w:val="en-GB"/>
        </w:rPr>
        <w:t xml:space="preserve">cross-border insolvency case in 1991, in which concurrent principle insolvency proceedings in the United States (Chapter 11 proceedings) and England (administration proceedings) were co-ordinated through </w:t>
      </w:r>
      <w:r w:rsidR="00C407B0">
        <w:rPr>
          <w:rFonts w:ascii="Arial" w:hAnsi="Arial" w:cs="Arial"/>
          <w:color w:val="7B7B7B" w:themeColor="accent3" w:themeShade="BF"/>
          <w:sz w:val="22"/>
          <w:szCs w:val="22"/>
          <w:lang w:val="en-GB"/>
        </w:rPr>
        <w:t>an “</w:t>
      </w:r>
      <w:r w:rsidR="00C407B0">
        <w:rPr>
          <w:rFonts w:ascii="Arial" w:hAnsi="Arial" w:cs="Arial"/>
          <w:color w:val="7B7B7B" w:themeColor="accent3" w:themeShade="BF"/>
          <w:sz w:val="22"/>
          <w:szCs w:val="22"/>
          <w:lang w:val="en-GB"/>
        </w:rPr>
        <w:t>Order and Protocol” approved by the courts in the respective states.</w:t>
      </w:r>
    </w:p>
    <w:p w14:paraId="6777362A" w14:textId="77777777" w:rsidR="00C407B0" w:rsidRDefault="00C407B0" w:rsidP="00C407B0">
      <w:pPr>
        <w:jc w:val="both"/>
        <w:rPr>
          <w:rFonts w:ascii="Arial" w:hAnsi="Arial" w:cs="Arial"/>
          <w:color w:val="7B7B7B" w:themeColor="accent3" w:themeShade="BF"/>
          <w:sz w:val="22"/>
          <w:szCs w:val="22"/>
          <w:lang w:val="en-GB"/>
        </w:rPr>
      </w:pPr>
    </w:p>
    <w:p w14:paraId="6365D1DB" w14:textId="77777777" w:rsidR="00C407B0" w:rsidRDefault="00C407B0" w:rsidP="00C407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aforementioned case involved two primary insolvency proceedings initiated by Single corporate debtor in the United States and United Kingdom respectively and the appointment of two different and separate insolvency representatives in the two states. It was agreed by judges of both the states that an insolvency agreement could resolve the conflict and facilitate the exchange of information. Thus, under the agreement, two goals were set for guiding the representatives, i.e., maximizing the value of the estate and harmonising the proceeding to minimise the expense, waste and jurisdictional conflict. It was agreed by the parties that the United State courts would defer to the English proceedings, once the presence of certain criteria was determined.   </w:t>
      </w:r>
    </w:p>
    <w:p w14:paraId="5430AE47" w14:textId="77777777" w:rsidR="00C407B0" w:rsidRDefault="00C407B0" w:rsidP="00C407B0">
      <w:pPr>
        <w:jc w:val="both"/>
        <w:rPr>
          <w:rFonts w:ascii="Arial" w:hAnsi="Arial" w:cs="Arial"/>
          <w:color w:val="7B7B7B" w:themeColor="accent3" w:themeShade="BF"/>
          <w:sz w:val="22"/>
          <w:szCs w:val="22"/>
          <w:lang w:val="en-GB"/>
        </w:rPr>
      </w:pPr>
    </w:p>
    <w:p w14:paraId="6A9AACF6" w14:textId="479540D6" w:rsidR="00C407B0" w:rsidRDefault="00C407B0" w:rsidP="00C407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specifics included:</w:t>
      </w:r>
    </w:p>
    <w:p w14:paraId="43E5315A" w14:textId="77777777" w:rsidR="00C407B0" w:rsidRDefault="00C407B0" w:rsidP="00C407B0">
      <w:pPr>
        <w:jc w:val="both"/>
        <w:rPr>
          <w:rFonts w:ascii="Arial" w:hAnsi="Arial" w:cs="Arial"/>
          <w:color w:val="7B7B7B" w:themeColor="accent3" w:themeShade="BF"/>
          <w:sz w:val="22"/>
          <w:szCs w:val="22"/>
          <w:lang w:val="en-GB"/>
        </w:rPr>
      </w:pPr>
    </w:p>
    <w:p w14:paraId="4AEA4B08" w14:textId="77777777" w:rsidR="00C407B0" w:rsidRPr="00E158E8" w:rsidRDefault="00C407B0" w:rsidP="00C407B0">
      <w:pPr>
        <w:pStyle w:val="ListParagraph"/>
        <w:numPr>
          <w:ilvl w:val="0"/>
          <w:numId w:val="21"/>
        </w:numPr>
        <w:jc w:val="both"/>
        <w:rPr>
          <w:rFonts w:ascii="Arial" w:hAnsi="Arial" w:cs="Arial"/>
          <w:sz w:val="22"/>
          <w:szCs w:val="22"/>
          <w:lang w:val="en-GB"/>
        </w:rPr>
      </w:pPr>
      <w:r w:rsidRPr="00E158E8">
        <w:rPr>
          <w:rFonts w:ascii="Arial" w:hAnsi="Arial" w:cs="Arial"/>
          <w:color w:val="7B7B7B" w:themeColor="accent3" w:themeShade="BF"/>
          <w:sz w:val="22"/>
          <w:szCs w:val="22"/>
          <w:lang w:val="en-GB"/>
        </w:rPr>
        <w:t xml:space="preserve">Some of existing management would be retained in the interest of maintaining the debtor’s going concern value but the English representative with the consent of the US representative would be allowed to select new and independent directors. </w:t>
      </w:r>
    </w:p>
    <w:p w14:paraId="194D60CE" w14:textId="77777777" w:rsidR="00C407B0" w:rsidRPr="00E158E8" w:rsidRDefault="00C407B0" w:rsidP="00C407B0">
      <w:pPr>
        <w:pStyle w:val="ListParagraph"/>
        <w:numPr>
          <w:ilvl w:val="0"/>
          <w:numId w:val="21"/>
        </w:numPr>
        <w:jc w:val="both"/>
        <w:rPr>
          <w:rFonts w:ascii="Arial" w:hAnsi="Arial" w:cs="Arial"/>
          <w:sz w:val="22"/>
          <w:szCs w:val="22"/>
          <w:lang w:val="en-GB"/>
        </w:rPr>
      </w:pPr>
      <w:r w:rsidRPr="00E158E8">
        <w:rPr>
          <w:rFonts w:ascii="Arial" w:hAnsi="Arial" w:cs="Arial"/>
          <w:color w:val="7B7B7B" w:themeColor="accent3" w:themeShade="BF"/>
          <w:sz w:val="22"/>
          <w:szCs w:val="22"/>
          <w:lang w:val="en-GB"/>
        </w:rPr>
        <w:t xml:space="preserve">The English representative should only incur debt or file a reorganisation plan with the consent of the US representative or the US Court. </w:t>
      </w:r>
    </w:p>
    <w:p w14:paraId="48876BB8" w14:textId="77777777" w:rsidR="00C407B0" w:rsidRPr="00D1682E" w:rsidRDefault="00C407B0" w:rsidP="00C407B0">
      <w:pPr>
        <w:pStyle w:val="ListParagraph"/>
        <w:numPr>
          <w:ilvl w:val="0"/>
          <w:numId w:val="21"/>
        </w:numPr>
        <w:jc w:val="both"/>
        <w:rPr>
          <w:rFonts w:ascii="Arial" w:hAnsi="Arial" w:cs="Arial"/>
          <w:sz w:val="22"/>
          <w:szCs w:val="22"/>
          <w:lang w:val="en-GB"/>
        </w:rPr>
      </w:pPr>
      <w:r w:rsidRPr="00E158E8">
        <w:rPr>
          <w:rFonts w:ascii="Arial" w:hAnsi="Arial" w:cs="Arial"/>
          <w:color w:val="7B7B7B" w:themeColor="accent3" w:themeShade="BF"/>
          <w:sz w:val="22"/>
          <w:szCs w:val="22"/>
          <w:lang w:val="en-GB"/>
        </w:rPr>
        <w:t>The English representative should give prior notice to the US representative before undertaking any major transaction on behalf of the debtor, but were</w:t>
      </w:r>
      <w:r>
        <w:rPr>
          <w:rFonts w:ascii="Arial" w:hAnsi="Arial" w:cs="Arial"/>
          <w:color w:val="7B7B7B" w:themeColor="accent3" w:themeShade="BF"/>
          <w:sz w:val="22"/>
          <w:szCs w:val="22"/>
          <w:lang w:val="en-GB"/>
        </w:rPr>
        <w:t xml:space="preserve"> pre-authorized to</w:t>
      </w:r>
      <w:r w:rsidRPr="00E158E8">
        <w:rPr>
          <w:rFonts w:ascii="Arial" w:hAnsi="Arial" w:cs="Arial"/>
          <w:color w:val="7B7B7B" w:themeColor="accent3" w:themeShade="BF"/>
          <w:sz w:val="22"/>
          <w:szCs w:val="22"/>
          <w:lang w:val="en-GB"/>
        </w:rPr>
        <w:t xml:space="preserve"> take “lesser”</w:t>
      </w:r>
      <w:r>
        <w:rPr>
          <w:rFonts w:ascii="Arial" w:hAnsi="Arial" w:cs="Arial"/>
          <w:color w:val="7B7B7B" w:themeColor="accent3" w:themeShade="BF"/>
          <w:sz w:val="22"/>
          <w:szCs w:val="22"/>
          <w:lang w:val="en-GB"/>
        </w:rPr>
        <w:t xml:space="preserve"> transactions. </w:t>
      </w:r>
    </w:p>
    <w:p w14:paraId="0E3C441E" w14:textId="77777777" w:rsidR="00C407B0" w:rsidRPr="00DD376B" w:rsidRDefault="00C407B0" w:rsidP="00C407B0">
      <w:pPr>
        <w:pStyle w:val="ListParagraph"/>
        <w:jc w:val="both"/>
        <w:rPr>
          <w:rFonts w:ascii="Arial" w:hAnsi="Arial" w:cs="Arial"/>
          <w:sz w:val="22"/>
          <w:szCs w:val="22"/>
          <w:lang w:val="en-GB"/>
        </w:rPr>
      </w:pPr>
    </w:p>
    <w:p w14:paraId="4E83D7AF" w14:textId="4FD92FC9" w:rsidR="00DF75F8" w:rsidRPr="00205B31" w:rsidRDefault="00C407B0" w:rsidP="00C407B0">
      <w:pPr>
        <w:ind w:left="360"/>
        <w:jc w:val="both"/>
        <w:rPr>
          <w:rFonts w:ascii="Arial" w:hAnsi="Arial" w:cs="Arial"/>
          <w:sz w:val="22"/>
          <w:szCs w:val="22"/>
          <w:lang w:val="en-GB"/>
        </w:rPr>
      </w:pPr>
      <w:r w:rsidRPr="00DD376B">
        <w:rPr>
          <w:rFonts w:ascii="Arial" w:hAnsi="Arial" w:cs="Arial"/>
          <w:color w:val="7B7B7B" w:themeColor="accent3" w:themeShade="BF"/>
          <w:sz w:val="22"/>
          <w:szCs w:val="22"/>
          <w:lang w:val="en-GB"/>
        </w:rPr>
        <w:t>Further, many issues were purposely left out of the agreement to be resolved during the course of the proceedings. Some of the issues, such as distribution matters, were later included in</w:t>
      </w:r>
      <w:r>
        <w:rPr>
          <w:rFonts w:ascii="Arial" w:hAnsi="Arial" w:cs="Arial"/>
          <w:color w:val="7B7B7B" w:themeColor="accent3" w:themeShade="BF"/>
          <w:sz w:val="22"/>
          <w:szCs w:val="22"/>
          <w:lang w:val="en-GB"/>
        </w:rPr>
        <w:t xml:space="preserve"> an extension of the agreement.</w:t>
      </w:r>
      <w:r w:rsidR="00DF75F8" w:rsidRPr="00205B31">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lastRenderedPageBreak/>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4E6CBE9F" w14:textId="5C84C2AB" w:rsidR="00FA1024" w:rsidRDefault="00FA1024" w:rsidP="00FA1024">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GB"/>
        </w:rPr>
        <w:t>[</w:t>
      </w:r>
      <w:r w:rsidRPr="00FA1024">
        <w:rPr>
          <w:rFonts w:ascii="Arial" w:hAnsi="Arial" w:cs="Arial"/>
          <w:color w:val="7B7B7B" w:themeColor="accent3" w:themeShade="BF"/>
          <w:sz w:val="22"/>
          <w:szCs w:val="22"/>
          <w:lang w:val="en-IN"/>
        </w:rPr>
        <w:t>The Recast Regulation governs:</w:t>
      </w:r>
    </w:p>
    <w:p w14:paraId="6C2D0F02" w14:textId="77777777" w:rsidR="003C3C33" w:rsidRPr="00FA1024" w:rsidRDefault="003C3C33" w:rsidP="00FA1024">
      <w:pPr>
        <w:jc w:val="both"/>
        <w:rPr>
          <w:rFonts w:ascii="Arial" w:hAnsi="Arial" w:cs="Arial"/>
          <w:color w:val="7B7B7B" w:themeColor="accent3" w:themeShade="BF"/>
          <w:sz w:val="22"/>
          <w:szCs w:val="22"/>
          <w:lang w:val="en-IN"/>
        </w:rPr>
      </w:pPr>
    </w:p>
    <w:p w14:paraId="3CD9B6E6" w14:textId="4BA16C20" w:rsidR="00FA1024" w:rsidRPr="00FA1024" w:rsidRDefault="00FA1024" w:rsidP="00FA1024">
      <w:pPr>
        <w:numPr>
          <w:ilvl w:val="0"/>
          <w:numId w:val="19"/>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The proper jurisdiction of insolvency</w:t>
      </w:r>
      <w:r>
        <w:rPr>
          <w:rFonts w:ascii="Arial" w:hAnsi="Arial" w:cs="Arial"/>
          <w:color w:val="7B7B7B" w:themeColor="accent3" w:themeShade="BF"/>
          <w:sz w:val="22"/>
          <w:szCs w:val="22"/>
          <w:lang w:val="en-IN"/>
        </w:rPr>
        <w:t>.</w:t>
      </w:r>
      <w:r w:rsidRPr="00FA1024">
        <w:rPr>
          <w:rFonts w:ascii="Arial" w:hAnsi="Arial" w:cs="Arial"/>
          <w:color w:val="7B7B7B" w:themeColor="accent3" w:themeShade="BF"/>
          <w:sz w:val="22"/>
          <w:szCs w:val="22"/>
          <w:lang w:val="en-IN"/>
        </w:rPr>
        <w:t xml:space="preserve"> If a debtor's COMI is located in one-member state, insolvency proceedings can only be opened in another member state if the debtor has an establishment there.</w:t>
      </w:r>
    </w:p>
    <w:p w14:paraId="074A66EE" w14:textId="77777777" w:rsidR="00FA1024" w:rsidRPr="00FA1024" w:rsidRDefault="00FA1024" w:rsidP="00FA1024">
      <w:pPr>
        <w:numPr>
          <w:ilvl w:val="0"/>
          <w:numId w:val="19"/>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The applicable law to be used in those proceedings (subject to exceptions, the law of the state of opening of the proceedings).</w:t>
      </w:r>
    </w:p>
    <w:p w14:paraId="4C5B75FA" w14:textId="77777777" w:rsidR="00FA1024" w:rsidRPr="00FA1024" w:rsidRDefault="00FA1024" w:rsidP="00FA1024">
      <w:pPr>
        <w:numPr>
          <w:ilvl w:val="0"/>
          <w:numId w:val="19"/>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The mandatory automatic recognition of those proceedings in other member states.</w:t>
      </w:r>
    </w:p>
    <w:p w14:paraId="6BC9D687" w14:textId="19BB5315" w:rsidR="00FA1024" w:rsidRPr="00FA1024" w:rsidRDefault="00FA1024" w:rsidP="00FA1024">
      <w:pPr>
        <w:numPr>
          <w:ilvl w:val="0"/>
          <w:numId w:val="19"/>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Methods by which coordination and cooperation is to be, or may be, achieved within more than one-member state and for insolvent groups of companies.</w:t>
      </w:r>
    </w:p>
    <w:p w14:paraId="07707DA9" w14:textId="77777777" w:rsidR="00FA1024" w:rsidRDefault="00FA1024" w:rsidP="00FA1024">
      <w:pPr>
        <w:jc w:val="both"/>
        <w:rPr>
          <w:rFonts w:ascii="Arial" w:hAnsi="Arial" w:cs="Arial"/>
          <w:color w:val="7B7B7B" w:themeColor="accent3" w:themeShade="BF"/>
          <w:sz w:val="22"/>
          <w:szCs w:val="22"/>
          <w:lang w:val="en-IN"/>
        </w:rPr>
      </w:pPr>
    </w:p>
    <w:p w14:paraId="310BD289" w14:textId="677AEAED" w:rsidR="00FA1024" w:rsidRDefault="00FA1024" w:rsidP="00FA1024">
      <w:p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The Recast Regulation applies to insolvency proceedings in respect of corporate bodies and individuals, although it does not apply to certain specific types of institution such as:</w:t>
      </w:r>
    </w:p>
    <w:p w14:paraId="71937B6F" w14:textId="77777777" w:rsidR="003C3C33" w:rsidRPr="00FA1024" w:rsidRDefault="003C3C33" w:rsidP="00FA1024">
      <w:pPr>
        <w:jc w:val="both"/>
        <w:rPr>
          <w:rFonts w:ascii="Arial" w:hAnsi="Arial" w:cs="Arial"/>
          <w:color w:val="7B7B7B" w:themeColor="accent3" w:themeShade="BF"/>
          <w:sz w:val="22"/>
          <w:szCs w:val="22"/>
          <w:lang w:val="en-IN"/>
        </w:rPr>
      </w:pPr>
    </w:p>
    <w:p w14:paraId="2D9898F4" w14:textId="77777777" w:rsidR="00FA1024" w:rsidRPr="00FA1024" w:rsidRDefault="00FA1024" w:rsidP="00FA1024">
      <w:pPr>
        <w:numPr>
          <w:ilvl w:val="0"/>
          <w:numId w:val="20"/>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Insurance undertakings.</w:t>
      </w:r>
    </w:p>
    <w:p w14:paraId="5230918C" w14:textId="77777777" w:rsidR="00FA1024" w:rsidRPr="00FA1024" w:rsidRDefault="00FA1024" w:rsidP="00FA1024">
      <w:pPr>
        <w:numPr>
          <w:ilvl w:val="0"/>
          <w:numId w:val="20"/>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Credit institutions.</w:t>
      </w:r>
    </w:p>
    <w:p w14:paraId="2C4C7796" w14:textId="5EF7CE2A" w:rsidR="00FA1024" w:rsidRPr="00FA1024" w:rsidRDefault="00FA1024" w:rsidP="00FA1024">
      <w:pPr>
        <w:numPr>
          <w:ilvl w:val="0"/>
          <w:numId w:val="20"/>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Investment firms and other firms, institutions and undertakings to the extent that they are covered by the Directive of the European Parliament and of the Council of 4 April 2001 on the reorganisation and wi</w:t>
      </w:r>
      <w:r>
        <w:rPr>
          <w:rFonts w:ascii="Arial" w:hAnsi="Arial" w:cs="Arial"/>
          <w:color w:val="7B7B7B" w:themeColor="accent3" w:themeShade="BF"/>
          <w:sz w:val="22"/>
          <w:szCs w:val="22"/>
          <w:lang w:val="en-IN"/>
        </w:rPr>
        <w:t>nding up of credit institutions.</w:t>
      </w:r>
    </w:p>
    <w:p w14:paraId="0C947329" w14:textId="15C55CCE" w:rsidR="00FA1024" w:rsidRDefault="00FA1024" w:rsidP="00FA1024">
      <w:pPr>
        <w:numPr>
          <w:ilvl w:val="0"/>
          <w:numId w:val="20"/>
        </w:numPr>
        <w:jc w:val="both"/>
        <w:rPr>
          <w:rFonts w:ascii="Arial" w:hAnsi="Arial" w:cs="Arial"/>
          <w:color w:val="7B7B7B" w:themeColor="accent3" w:themeShade="BF"/>
          <w:sz w:val="22"/>
          <w:szCs w:val="22"/>
          <w:lang w:val="en-IN"/>
        </w:rPr>
      </w:pPr>
      <w:r w:rsidRPr="00FA1024">
        <w:rPr>
          <w:rFonts w:ascii="Arial" w:hAnsi="Arial" w:cs="Arial"/>
          <w:color w:val="7B7B7B" w:themeColor="accent3" w:themeShade="BF"/>
          <w:sz w:val="22"/>
          <w:szCs w:val="22"/>
          <w:lang w:val="en-IN"/>
        </w:rPr>
        <w:t>Collective investment undertakings.</w:t>
      </w:r>
    </w:p>
    <w:p w14:paraId="4F86196F" w14:textId="77777777" w:rsidR="00D46B72" w:rsidRPr="00FA1024" w:rsidRDefault="00D46B72" w:rsidP="00D46B72">
      <w:pPr>
        <w:ind w:left="720"/>
        <w:jc w:val="both"/>
        <w:rPr>
          <w:rFonts w:ascii="Arial" w:hAnsi="Arial" w:cs="Arial"/>
          <w:color w:val="7B7B7B" w:themeColor="accent3" w:themeShade="BF"/>
          <w:sz w:val="22"/>
          <w:szCs w:val="22"/>
          <w:lang w:val="en-IN"/>
        </w:rPr>
      </w:pPr>
    </w:p>
    <w:p w14:paraId="0D37BBBB" w14:textId="48374257" w:rsidR="002F75A3" w:rsidRPr="00205B31" w:rsidRDefault="00FA1024" w:rsidP="00FA1024">
      <w:pPr>
        <w:jc w:val="both"/>
        <w:rPr>
          <w:rFonts w:ascii="Arial" w:hAnsi="Arial" w:cs="Arial"/>
          <w:sz w:val="22"/>
          <w:szCs w:val="22"/>
          <w:lang w:val="en-GB"/>
        </w:rPr>
      </w:pPr>
      <w:r w:rsidRPr="00FA1024">
        <w:rPr>
          <w:rFonts w:ascii="Arial" w:hAnsi="Arial" w:cs="Arial"/>
          <w:color w:val="7B7B7B" w:themeColor="accent3" w:themeShade="BF"/>
          <w:sz w:val="22"/>
          <w:szCs w:val="22"/>
          <w:lang w:val="en-IN"/>
        </w:rPr>
        <w:t> The Recast Regulation applies only if the debtor has its COMI in a member state</w:t>
      </w:r>
      <w:r w:rsidR="00D46B72" w:rsidRPr="00FA1024">
        <w:rPr>
          <w:rFonts w:ascii="Arial" w:hAnsi="Arial" w:cs="Arial"/>
          <w:color w:val="7B7B7B" w:themeColor="accent3" w:themeShade="BF"/>
          <w:sz w:val="22"/>
          <w:szCs w:val="22"/>
          <w:lang w:val="en-IN"/>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0273E62C" w14:textId="0A7F5D6D" w:rsidR="00D46B72" w:rsidRDefault="00D46B72" w:rsidP="00D46B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D46B72">
        <w:rPr>
          <w:rFonts w:ascii="Arial" w:hAnsi="Arial" w:cs="Arial"/>
          <w:color w:val="7B7B7B" w:themeColor="accent3" w:themeShade="BF"/>
          <w:sz w:val="22"/>
          <w:szCs w:val="22"/>
          <w:lang w:val="en-GB"/>
        </w:rPr>
        <w:t xml:space="preserve">The UK </w:t>
      </w:r>
      <w:r>
        <w:rPr>
          <w:rFonts w:ascii="Arial" w:hAnsi="Arial" w:cs="Arial"/>
          <w:color w:val="7B7B7B" w:themeColor="accent3" w:themeShade="BF"/>
          <w:sz w:val="22"/>
          <w:szCs w:val="22"/>
          <w:lang w:val="en-GB"/>
        </w:rPr>
        <w:t xml:space="preserve">was </w:t>
      </w:r>
      <w:r w:rsidRPr="00D46B72">
        <w:rPr>
          <w:rFonts w:ascii="Arial" w:hAnsi="Arial" w:cs="Arial"/>
          <w:color w:val="7B7B7B" w:themeColor="accent3" w:themeShade="BF"/>
          <w:sz w:val="22"/>
          <w:szCs w:val="22"/>
          <w:lang w:val="en-GB"/>
        </w:rPr>
        <w:t xml:space="preserve">ceased to be a member of the </w:t>
      </w:r>
      <w:r>
        <w:rPr>
          <w:rFonts w:ascii="Arial" w:hAnsi="Arial" w:cs="Arial"/>
          <w:color w:val="7B7B7B" w:themeColor="accent3" w:themeShade="BF"/>
          <w:sz w:val="22"/>
          <w:szCs w:val="22"/>
          <w:lang w:val="en-GB"/>
        </w:rPr>
        <w:t xml:space="preserve">European Union </w:t>
      </w:r>
      <w:r w:rsidRPr="00D46B72">
        <w:rPr>
          <w:rFonts w:ascii="Arial" w:hAnsi="Arial" w:cs="Arial"/>
          <w:color w:val="7B7B7B" w:themeColor="accent3" w:themeShade="BF"/>
          <w:sz w:val="22"/>
          <w:szCs w:val="22"/>
          <w:lang w:val="en-GB"/>
        </w:rPr>
        <w:t>at 11pm</w:t>
      </w:r>
      <w:r>
        <w:rPr>
          <w:rFonts w:ascii="Arial" w:hAnsi="Arial" w:cs="Arial"/>
          <w:color w:val="7B7B7B" w:themeColor="accent3" w:themeShade="BF"/>
          <w:sz w:val="22"/>
          <w:szCs w:val="22"/>
          <w:lang w:val="en-GB"/>
        </w:rPr>
        <w:t xml:space="preserve"> </w:t>
      </w:r>
      <w:r w:rsidRPr="00D46B72">
        <w:rPr>
          <w:rFonts w:ascii="Arial" w:hAnsi="Arial" w:cs="Arial"/>
          <w:color w:val="7B7B7B" w:themeColor="accent3" w:themeShade="BF"/>
          <w:sz w:val="22"/>
          <w:szCs w:val="22"/>
          <w:lang w:val="en-GB"/>
        </w:rPr>
        <w:t xml:space="preserve">on 31 January 2020. Under UK law, the </w:t>
      </w:r>
      <w:r>
        <w:rPr>
          <w:rFonts w:ascii="Arial" w:hAnsi="Arial" w:cs="Arial"/>
          <w:color w:val="7B7B7B" w:themeColor="accent3" w:themeShade="BF"/>
          <w:sz w:val="22"/>
          <w:szCs w:val="22"/>
          <w:lang w:val="en-GB"/>
        </w:rPr>
        <w:t>European Insolvency Regulation</w:t>
      </w:r>
      <w:r w:rsidRPr="00D46B72">
        <w:rPr>
          <w:rFonts w:ascii="Arial" w:hAnsi="Arial" w:cs="Arial"/>
          <w:color w:val="7B7B7B" w:themeColor="accent3" w:themeShade="BF"/>
          <w:sz w:val="22"/>
          <w:szCs w:val="22"/>
          <w:lang w:val="en-GB"/>
        </w:rPr>
        <w:t xml:space="preserve"> R</w:t>
      </w:r>
      <w:r>
        <w:rPr>
          <w:rFonts w:ascii="Arial" w:hAnsi="Arial" w:cs="Arial"/>
          <w:color w:val="7B7B7B" w:themeColor="accent3" w:themeShade="BF"/>
          <w:sz w:val="22"/>
          <w:szCs w:val="22"/>
          <w:lang w:val="en-GB"/>
        </w:rPr>
        <w:t xml:space="preserve">ecast no longer applies to post </w:t>
      </w:r>
      <w:r w:rsidRPr="00D46B72">
        <w:rPr>
          <w:rFonts w:ascii="Arial" w:hAnsi="Arial" w:cs="Arial"/>
          <w:color w:val="7B7B7B" w:themeColor="accent3" w:themeShade="BF"/>
          <w:sz w:val="22"/>
          <w:szCs w:val="22"/>
          <w:lang w:val="en-GB"/>
        </w:rPr>
        <w:t>11pm 31 December</w:t>
      </w:r>
      <w:r>
        <w:rPr>
          <w:rFonts w:ascii="Arial" w:hAnsi="Arial" w:cs="Arial"/>
          <w:color w:val="7B7B7B" w:themeColor="accent3" w:themeShade="BF"/>
          <w:sz w:val="22"/>
          <w:szCs w:val="22"/>
          <w:lang w:val="en-GB"/>
        </w:rPr>
        <w:t xml:space="preserve"> </w:t>
      </w:r>
      <w:r w:rsidRPr="00D46B72">
        <w:rPr>
          <w:rFonts w:ascii="Arial" w:hAnsi="Arial" w:cs="Arial"/>
          <w:color w:val="7B7B7B" w:themeColor="accent3" w:themeShade="BF"/>
          <w:sz w:val="22"/>
          <w:szCs w:val="22"/>
          <w:lang w:val="en-GB"/>
        </w:rPr>
        <w:t>2020 proceedings in the UK. The Recast Insolvency Regulation applies to insolvencies where</w:t>
      </w:r>
      <w:r>
        <w:rPr>
          <w:rFonts w:ascii="Arial" w:hAnsi="Arial" w:cs="Arial"/>
          <w:color w:val="7B7B7B" w:themeColor="accent3" w:themeShade="BF"/>
          <w:sz w:val="22"/>
          <w:szCs w:val="22"/>
          <w:lang w:val="en-GB"/>
        </w:rPr>
        <w:t xml:space="preserve"> </w:t>
      </w:r>
      <w:r w:rsidRPr="00D46B72">
        <w:rPr>
          <w:rFonts w:ascii="Arial" w:hAnsi="Arial" w:cs="Arial"/>
          <w:color w:val="7B7B7B" w:themeColor="accent3" w:themeShade="BF"/>
          <w:sz w:val="22"/>
          <w:szCs w:val="22"/>
          <w:lang w:val="en-GB"/>
        </w:rPr>
        <w:t>the main proceedings were opened prior to the exp</w:t>
      </w:r>
      <w:r>
        <w:rPr>
          <w:rFonts w:ascii="Arial" w:hAnsi="Arial" w:cs="Arial"/>
          <w:color w:val="7B7B7B" w:themeColor="accent3" w:themeShade="BF"/>
          <w:sz w:val="22"/>
          <w:szCs w:val="22"/>
          <w:lang w:val="en-GB"/>
        </w:rPr>
        <w:t xml:space="preserve">iry of the transitional period </w:t>
      </w:r>
      <w:r w:rsidRPr="00D46B72">
        <w:rPr>
          <w:rFonts w:ascii="Arial" w:hAnsi="Arial" w:cs="Arial"/>
          <w:color w:val="7B7B7B" w:themeColor="accent3" w:themeShade="BF"/>
          <w:sz w:val="22"/>
          <w:szCs w:val="22"/>
          <w:lang w:val="en-GB"/>
        </w:rPr>
        <w:t>being 11pm</w:t>
      </w:r>
      <w:r>
        <w:rPr>
          <w:rFonts w:ascii="Arial" w:hAnsi="Arial" w:cs="Arial"/>
          <w:color w:val="7B7B7B" w:themeColor="accent3" w:themeShade="BF"/>
          <w:sz w:val="22"/>
          <w:szCs w:val="22"/>
          <w:lang w:val="en-GB"/>
        </w:rPr>
        <w:t xml:space="preserve"> on 31 December 2020.</w:t>
      </w:r>
    </w:p>
    <w:p w14:paraId="1BA00401" w14:textId="77777777" w:rsidR="00D46B72" w:rsidRDefault="00D46B72" w:rsidP="00D46B72">
      <w:pPr>
        <w:jc w:val="both"/>
        <w:rPr>
          <w:rFonts w:ascii="Arial" w:hAnsi="Arial" w:cs="Arial"/>
          <w:color w:val="7B7B7B" w:themeColor="accent3" w:themeShade="BF"/>
          <w:sz w:val="22"/>
          <w:szCs w:val="22"/>
          <w:lang w:val="en-GB"/>
        </w:rPr>
      </w:pPr>
    </w:p>
    <w:p w14:paraId="1256E6FF" w14:textId="424519B6" w:rsidR="00015EE6" w:rsidRPr="00205B31" w:rsidRDefault="00D46B72" w:rsidP="00D46B72">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Therefore, if the proceedings were opened in the UK on 18 June 2021 instead of 18 June 2020, it would have made no difference.</w:t>
      </w:r>
      <w:r w:rsidR="00C45A03"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3CAE42BE"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9727A" w14:textId="77777777" w:rsidR="00FB2D0B" w:rsidRDefault="00FB2D0B" w:rsidP="00241B44">
      <w:r>
        <w:separator/>
      </w:r>
    </w:p>
  </w:endnote>
  <w:endnote w:type="continuationSeparator" w:id="0">
    <w:p w14:paraId="40739B90" w14:textId="77777777" w:rsidR="00FB2D0B" w:rsidRDefault="00FB2D0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71149A45"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9C411F">
          <w:rPr>
            <w:rStyle w:val="PageNumber"/>
            <w:rFonts w:ascii="Arial" w:hAnsi="Arial" w:cs="Arial"/>
            <w:b/>
            <w:bCs/>
            <w:noProof/>
            <w:sz w:val="18"/>
            <w:szCs w:val="18"/>
          </w:rPr>
          <w:t>2</w:t>
        </w:r>
        <w:r w:rsidRPr="00C50F86">
          <w:rPr>
            <w:rStyle w:val="PageNumber"/>
            <w:rFonts w:ascii="Arial" w:hAnsi="Arial" w:cs="Arial"/>
            <w:b/>
            <w:bCs/>
            <w:sz w:val="18"/>
            <w:szCs w:val="18"/>
          </w:rPr>
          <w:fldChar w:fldCharType="end"/>
        </w:r>
      </w:p>
    </w:sdtContent>
  </w:sdt>
  <w:p w14:paraId="12ABA5E1" w14:textId="02DF5EC1" w:rsidR="006E1CB0" w:rsidRPr="0052732A" w:rsidRDefault="00D6247F" w:rsidP="0052732A">
    <w:pPr>
      <w:pStyle w:val="Footer"/>
      <w:ind w:right="360"/>
      <w:rPr>
        <w:rFonts w:ascii="Arial" w:hAnsi="Arial" w:cs="Arial"/>
        <w:sz w:val="18"/>
        <w:szCs w:val="18"/>
      </w:rPr>
    </w:pPr>
    <w:r>
      <w:rPr>
        <w:rFonts w:ascii="Arial" w:hAnsi="Arial" w:cs="Arial"/>
        <w:sz w:val="18"/>
        <w:szCs w:val="18"/>
      </w:rPr>
      <w:t>202122-575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D446" w14:textId="77777777" w:rsidR="00FB2D0B" w:rsidRDefault="00FB2D0B" w:rsidP="00241B44">
      <w:r>
        <w:separator/>
      </w:r>
    </w:p>
  </w:footnote>
  <w:footnote w:type="continuationSeparator" w:id="0">
    <w:p w14:paraId="7D250808" w14:textId="77777777" w:rsidR="00FB2D0B" w:rsidRDefault="00FB2D0B"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8AD070F"/>
    <w:multiLevelType w:val="multilevel"/>
    <w:tmpl w:val="D5C6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E2867"/>
    <w:multiLevelType w:val="hybridMultilevel"/>
    <w:tmpl w:val="9ED843CC"/>
    <w:lvl w:ilvl="0" w:tplc="28B8A7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E881E81"/>
    <w:multiLevelType w:val="multilevel"/>
    <w:tmpl w:val="EBD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5"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66384"/>
    <w:multiLevelType w:val="hybridMultilevel"/>
    <w:tmpl w:val="F100360A"/>
    <w:lvl w:ilvl="0" w:tplc="DFB4A77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E871AF1"/>
    <w:multiLevelType w:val="hybridMultilevel"/>
    <w:tmpl w:val="A232C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0"/>
  </w:num>
  <w:num w:numId="4">
    <w:abstractNumId w:val="7"/>
  </w:num>
  <w:num w:numId="5">
    <w:abstractNumId w:val="5"/>
  </w:num>
  <w:num w:numId="6">
    <w:abstractNumId w:val="18"/>
  </w:num>
  <w:num w:numId="7">
    <w:abstractNumId w:val="6"/>
  </w:num>
  <w:num w:numId="8">
    <w:abstractNumId w:val="4"/>
  </w:num>
  <w:num w:numId="9">
    <w:abstractNumId w:val="0"/>
  </w:num>
  <w:num w:numId="10">
    <w:abstractNumId w:val="8"/>
  </w:num>
  <w:num w:numId="11">
    <w:abstractNumId w:val="13"/>
  </w:num>
  <w:num w:numId="12">
    <w:abstractNumId w:val="19"/>
  </w:num>
  <w:num w:numId="13">
    <w:abstractNumId w:val="14"/>
  </w:num>
  <w:num w:numId="14">
    <w:abstractNumId w:val="9"/>
  </w:num>
  <w:num w:numId="15">
    <w:abstractNumId w:val="12"/>
  </w:num>
  <w:num w:numId="16">
    <w:abstractNumId w:val="15"/>
  </w:num>
  <w:num w:numId="17">
    <w:abstractNumId w:val="2"/>
  </w:num>
  <w:num w:numId="18">
    <w:abstractNumId w:val="16"/>
  </w:num>
  <w:num w:numId="19">
    <w:abstractNumId w:val="3"/>
  </w:num>
  <w:num w:numId="20">
    <w:abstractNumId w:val="1"/>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50C7"/>
    <w:rsid w:val="00025CFA"/>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17DB"/>
    <w:rsid w:val="0012303D"/>
    <w:rsid w:val="00123855"/>
    <w:rsid w:val="00124B70"/>
    <w:rsid w:val="00125A7C"/>
    <w:rsid w:val="00126A4D"/>
    <w:rsid w:val="00131D42"/>
    <w:rsid w:val="0013278B"/>
    <w:rsid w:val="00133767"/>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3FD"/>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66E"/>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4E24"/>
    <w:rsid w:val="00216499"/>
    <w:rsid w:val="002164C0"/>
    <w:rsid w:val="00216CB4"/>
    <w:rsid w:val="002173C5"/>
    <w:rsid w:val="00223780"/>
    <w:rsid w:val="0022719C"/>
    <w:rsid w:val="002362AB"/>
    <w:rsid w:val="002400DB"/>
    <w:rsid w:val="002406A4"/>
    <w:rsid w:val="0024116D"/>
    <w:rsid w:val="00241B44"/>
    <w:rsid w:val="00245EFB"/>
    <w:rsid w:val="00246CF9"/>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3C33"/>
    <w:rsid w:val="003C4471"/>
    <w:rsid w:val="003C561D"/>
    <w:rsid w:val="003D0A6D"/>
    <w:rsid w:val="003D100A"/>
    <w:rsid w:val="003D3045"/>
    <w:rsid w:val="003D4300"/>
    <w:rsid w:val="003D6AC4"/>
    <w:rsid w:val="003E064D"/>
    <w:rsid w:val="003E0B16"/>
    <w:rsid w:val="003E2D1B"/>
    <w:rsid w:val="003E67D1"/>
    <w:rsid w:val="003F655E"/>
    <w:rsid w:val="003F74D9"/>
    <w:rsid w:val="0040365D"/>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5779F"/>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C01"/>
    <w:rsid w:val="004F2DD1"/>
    <w:rsid w:val="004F3375"/>
    <w:rsid w:val="004F55F1"/>
    <w:rsid w:val="004F5FDF"/>
    <w:rsid w:val="0050156C"/>
    <w:rsid w:val="005059A4"/>
    <w:rsid w:val="00515756"/>
    <w:rsid w:val="00515F63"/>
    <w:rsid w:val="005177FE"/>
    <w:rsid w:val="0052231A"/>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4B2C"/>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47D28"/>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658B"/>
    <w:rsid w:val="00697EA1"/>
    <w:rsid w:val="006A1FA3"/>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1DCB"/>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077"/>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0AB3"/>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00B6"/>
    <w:rsid w:val="009A5354"/>
    <w:rsid w:val="009A6A10"/>
    <w:rsid w:val="009A7172"/>
    <w:rsid w:val="009B0723"/>
    <w:rsid w:val="009B07AD"/>
    <w:rsid w:val="009B0883"/>
    <w:rsid w:val="009B15E2"/>
    <w:rsid w:val="009C0B8E"/>
    <w:rsid w:val="009C1527"/>
    <w:rsid w:val="009C1BC8"/>
    <w:rsid w:val="009C2442"/>
    <w:rsid w:val="009C2628"/>
    <w:rsid w:val="009C27B1"/>
    <w:rsid w:val="009C411F"/>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1D42"/>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58A5"/>
    <w:rsid w:val="00AC7082"/>
    <w:rsid w:val="00AD0662"/>
    <w:rsid w:val="00AD1B6B"/>
    <w:rsid w:val="00AD74AD"/>
    <w:rsid w:val="00AE027F"/>
    <w:rsid w:val="00AF228E"/>
    <w:rsid w:val="00AF455B"/>
    <w:rsid w:val="00B0123F"/>
    <w:rsid w:val="00B04004"/>
    <w:rsid w:val="00B05384"/>
    <w:rsid w:val="00B14819"/>
    <w:rsid w:val="00B17AA9"/>
    <w:rsid w:val="00B20B45"/>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0F6C"/>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058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07B0"/>
    <w:rsid w:val="00C4187E"/>
    <w:rsid w:val="00C444EC"/>
    <w:rsid w:val="00C45A03"/>
    <w:rsid w:val="00C46EC1"/>
    <w:rsid w:val="00C47D66"/>
    <w:rsid w:val="00C50F86"/>
    <w:rsid w:val="00C53E2C"/>
    <w:rsid w:val="00C550C8"/>
    <w:rsid w:val="00C56B61"/>
    <w:rsid w:val="00C570AC"/>
    <w:rsid w:val="00C5730D"/>
    <w:rsid w:val="00C60631"/>
    <w:rsid w:val="00C606C3"/>
    <w:rsid w:val="00C620F4"/>
    <w:rsid w:val="00C629CB"/>
    <w:rsid w:val="00C70E0E"/>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0A73"/>
    <w:rsid w:val="00D223E4"/>
    <w:rsid w:val="00D256C6"/>
    <w:rsid w:val="00D25F51"/>
    <w:rsid w:val="00D267FF"/>
    <w:rsid w:val="00D35229"/>
    <w:rsid w:val="00D35ADE"/>
    <w:rsid w:val="00D35EAE"/>
    <w:rsid w:val="00D4685B"/>
    <w:rsid w:val="00D46B72"/>
    <w:rsid w:val="00D57C59"/>
    <w:rsid w:val="00D60215"/>
    <w:rsid w:val="00D60874"/>
    <w:rsid w:val="00D6247F"/>
    <w:rsid w:val="00D638A9"/>
    <w:rsid w:val="00D63EFD"/>
    <w:rsid w:val="00D6588F"/>
    <w:rsid w:val="00D676F1"/>
    <w:rsid w:val="00D714E4"/>
    <w:rsid w:val="00D84752"/>
    <w:rsid w:val="00D86A74"/>
    <w:rsid w:val="00D86B3B"/>
    <w:rsid w:val="00D8748A"/>
    <w:rsid w:val="00D905E4"/>
    <w:rsid w:val="00D93196"/>
    <w:rsid w:val="00D931A2"/>
    <w:rsid w:val="00DA42EF"/>
    <w:rsid w:val="00DB0332"/>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56D"/>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34D8"/>
    <w:rsid w:val="00E54ADD"/>
    <w:rsid w:val="00E55547"/>
    <w:rsid w:val="00E55E9B"/>
    <w:rsid w:val="00E6211B"/>
    <w:rsid w:val="00E6302B"/>
    <w:rsid w:val="00E6452F"/>
    <w:rsid w:val="00E64F45"/>
    <w:rsid w:val="00E6742D"/>
    <w:rsid w:val="00E71CB0"/>
    <w:rsid w:val="00E76F02"/>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1024"/>
    <w:rsid w:val="00FA29FD"/>
    <w:rsid w:val="00FA2A46"/>
    <w:rsid w:val="00FA3739"/>
    <w:rsid w:val="00FA3D50"/>
    <w:rsid w:val="00FA43E7"/>
    <w:rsid w:val="00FB2D0B"/>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95B8F8A7-224B-441E-BB36-CF6A0CF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562136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F269E-35CD-4A1D-A5D2-CA8F4D3F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cp:lastPrinted>2020-06-12T02:43:00Z</cp:lastPrinted>
  <dcterms:created xsi:type="dcterms:W3CDTF">2021-11-15T22:35:00Z</dcterms:created>
  <dcterms:modified xsi:type="dcterms:W3CDTF">2021-11-15T22:35:00Z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