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227191">
      <w:pPr>
        <w:tabs>
          <w:tab w:val="left" w:pos="2552"/>
        </w:tabs>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PargrafodaLista"/>
        <w:ind w:left="426"/>
        <w:jc w:val="both"/>
        <w:rPr>
          <w:rFonts w:ascii="Arial" w:hAnsi="Arial" w:cs="Arial"/>
          <w:sz w:val="22"/>
          <w:szCs w:val="22"/>
          <w:lang w:val="en-GB"/>
        </w:rPr>
      </w:pPr>
    </w:p>
    <w:p w14:paraId="3A5379A8" w14:textId="640837BF" w:rsidR="00C60631" w:rsidRPr="00205B31" w:rsidRDefault="00C60631"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PargrafodaLista"/>
        <w:ind w:left="426"/>
        <w:rPr>
          <w:rFonts w:ascii="Arial" w:hAnsi="Arial" w:cs="Arial"/>
          <w:sz w:val="22"/>
          <w:szCs w:val="22"/>
          <w:lang w:val="en-GB"/>
        </w:rPr>
      </w:pPr>
    </w:p>
    <w:p w14:paraId="0C8A950B" w14:textId="2BF27228" w:rsidR="00C60631" w:rsidRPr="00E93E0D" w:rsidRDefault="00C60631" w:rsidP="009D510C">
      <w:pPr>
        <w:pStyle w:val="PargrafodaLista"/>
        <w:numPr>
          <w:ilvl w:val="0"/>
          <w:numId w:val="12"/>
        </w:numPr>
        <w:ind w:left="426"/>
        <w:jc w:val="both"/>
        <w:rPr>
          <w:rFonts w:ascii="Arial" w:hAnsi="Arial" w:cs="Arial"/>
          <w:sz w:val="22"/>
          <w:szCs w:val="22"/>
          <w:highlight w:val="yellow"/>
          <w:lang w:val="en-GB"/>
        </w:rPr>
      </w:pPr>
      <w:r w:rsidRPr="00E93E0D">
        <w:rPr>
          <w:rFonts w:ascii="Arial" w:hAnsi="Arial" w:cs="Arial"/>
          <w:sz w:val="22"/>
          <w:szCs w:val="22"/>
          <w:highlight w:val="yellow"/>
          <w:lang w:val="en-GB"/>
        </w:rPr>
        <w:t xml:space="preserve">This statement is incorrect since </w:t>
      </w:r>
      <w:r w:rsidR="00E7793C" w:rsidRPr="00E93E0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PargrafodaLista"/>
        <w:ind w:left="426"/>
        <w:rPr>
          <w:rFonts w:ascii="Arial" w:hAnsi="Arial" w:cs="Arial"/>
          <w:sz w:val="22"/>
          <w:szCs w:val="22"/>
          <w:lang w:val="en-GB"/>
        </w:rPr>
      </w:pPr>
    </w:p>
    <w:p w14:paraId="0DCFE971" w14:textId="0AB341B1" w:rsidR="00E7793C" w:rsidRPr="00205B31" w:rsidRDefault="00E7793C"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PargrafodaLista"/>
        <w:ind w:left="426" w:hanging="360"/>
        <w:jc w:val="both"/>
        <w:rPr>
          <w:rFonts w:ascii="Arial" w:hAnsi="Arial" w:cs="Arial"/>
          <w:sz w:val="22"/>
          <w:szCs w:val="22"/>
          <w:lang w:val="en-GB"/>
        </w:rPr>
      </w:pPr>
    </w:p>
    <w:p w14:paraId="62B41459" w14:textId="77777777" w:rsidR="00AE027F" w:rsidRPr="00205B31" w:rsidRDefault="00E7793C"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PargrafodaLista"/>
        <w:ind w:left="426" w:hanging="360"/>
        <w:rPr>
          <w:rFonts w:ascii="Arial" w:hAnsi="Arial" w:cs="Arial"/>
          <w:sz w:val="22"/>
          <w:szCs w:val="22"/>
          <w:lang w:val="en-GB"/>
        </w:rPr>
      </w:pPr>
    </w:p>
    <w:p w14:paraId="60F45659" w14:textId="42DF7EA5" w:rsidR="00AE027F" w:rsidRPr="00205B31" w:rsidRDefault="00AE027F"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PargrafodaLista"/>
        <w:ind w:left="426" w:hanging="360"/>
        <w:rPr>
          <w:rFonts w:ascii="Arial" w:hAnsi="Arial" w:cs="Arial"/>
          <w:sz w:val="22"/>
          <w:szCs w:val="22"/>
          <w:lang w:val="en-GB"/>
        </w:rPr>
      </w:pPr>
    </w:p>
    <w:p w14:paraId="095097C0" w14:textId="5CFDC719" w:rsidR="00E7793C" w:rsidRPr="00E93E0D" w:rsidRDefault="00AE027F" w:rsidP="009D510C">
      <w:pPr>
        <w:pStyle w:val="PargrafodaLista"/>
        <w:numPr>
          <w:ilvl w:val="0"/>
          <w:numId w:val="13"/>
        </w:numPr>
        <w:jc w:val="both"/>
        <w:rPr>
          <w:rFonts w:ascii="Arial" w:hAnsi="Arial" w:cs="Arial"/>
          <w:sz w:val="22"/>
          <w:szCs w:val="22"/>
          <w:highlight w:val="yellow"/>
          <w:lang w:val="en-GB"/>
        </w:rPr>
      </w:pPr>
      <w:r w:rsidRPr="00E93E0D">
        <w:rPr>
          <w:rFonts w:ascii="Arial" w:hAnsi="Arial" w:cs="Arial"/>
          <w:sz w:val="22"/>
          <w:szCs w:val="22"/>
          <w:highlight w:val="yellow"/>
          <w:lang w:val="en-GB"/>
        </w:rPr>
        <w:t>The statement i</w:t>
      </w:r>
      <w:r w:rsidR="006E77B0" w:rsidRPr="00E93E0D">
        <w:rPr>
          <w:rFonts w:ascii="Arial" w:hAnsi="Arial" w:cs="Arial"/>
          <w:sz w:val="22"/>
          <w:szCs w:val="22"/>
          <w:highlight w:val="yellow"/>
          <w:lang w:val="en-GB"/>
        </w:rPr>
        <w:t>s incorrect since the UK did re</w:t>
      </w:r>
      <w:r w:rsidRPr="00E93E0D">
        <w:rPr>
          <w:rFonts w:ascii="Arial" w:hAnsi="Arial" w:cs="Arial"/>
          <w:sz w:val="22"/>
          <w:szCs w:val="22"/>
          <w:highlight w:val="yellow"/>
          <w:lang w:val="en-GB"/>
        </w:rPr>
        <w:t>v</w:t>
      </w:r>
      <w:r w:rsidR="006E77B0" w:rsidRPr="00E93E0D">
        <w:rPr>
          <w:rFonts w:ascii="Arial" w:hAnsi="Arial" w:cs="Arial"/>
          <w:sz w:val="22"/>
          <w:szCs w:val="22"/>
          <w:highlight w:val="yellow"/>
          <w:lang w:val="en-GB"/>
        </w:rPr>
        <w:t>i</w:t>
      </w:r>
      <w:r w:rsidRPr="00E93E0D">
        <w:rPr>
          <w:rFonts w:ascii="Arial" w:hAnsi="Arial" w:cs="Arial"/>
          <w:sz w:val="22"/>
          <w:szCs w:val="22"/>
          <w:highlight w:val="yellow"/>
          <w:lang w:val="en-GB"/>
        </w:rPr>
        <w:t>ew parts of its insolvency rules and amended some, among</w:t>
      </w:r>
      <w:r w:rsidR="006E77B0" w:rsidRPr="00E93E0D">
        <w:rPr>
          <w:rFonts w:ascii="Arial" w:hAnsi="Arial" w:cs="Arial"/>
          <w:sz w:val="22"/>
          <w:szCs w:val="22"/>
          <w:highlight w:val="yellow"/>
          <w:lang w:val="en-GB"/>
        </w:rPr>
        <w:t>s</w:t>
      </w:r>
      <w:r w:rsidRPr="00E93E0D">
        <w:rPr>
          <w:rFonts w:ascii="Arial" w:hAnsi="Arial" w:cs="Arial"/>
          <w:sz w:val="22"/>
          <w:szCs w:val="22"/>
          <w:highlight w:val="yellow"/>
          <w:lang w:val="en-GB"/>
        </w:rPr>
        <w:t>t other</w:t>
      </w:r>
      <w:r w:rsidR="00F96AF1" w:rsidRPr="00E93E0D">
        <w:rPr>
          <w:rFonts w:ascii="Arial" w:hAnsi="Arial" w:cs="Arial"/>
          <w:sz w:val="22"/>
          <w:szCs w:val="22"/>
          <w:highlight w:val="yellow"/>
          <w:lang w:val="en-GB"/>
        </w:rPr>
        <w:t xml:space="preserve"> things</w:t>
      </w:r>
      <w:r w:rsidRPr="00E93E0D">
        <w:rPr>
          <w:rFonts w:ascii="Arial" w:hAnsi="Arial" w:cs="Arial"/>
          <w:sz w:val="22"/>
          <w:szCs w:val="22"/>
          <w:highlight w:val="yellow"/>
          <w:lang w:val="en-GB"/>
        </w:rPr>
        <w:t>, to deal with the negative economic fall out of the pandemic.</w:t>
      </w:r>
      <w:r w:rsidR="00100A77" w:rsidRPr="00E93E0D">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PargrafodaLista"/>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PargrafodaLista"/>
        <w:ind w:left="426"/>
        <w:rPr>
          <w:rFonts w:ascii="Arial" w:hAnsi="Arial" w:cs="Arial"/>
          <w:sz w:val="22"/>
          <w:szCs w:val="22"/>
          <w:lang w:val="en-GB"/>
        </w:rPr>
      </w:pPr>
    </w:p>
    <w:p w14:paraId="633F6419" w14:textId="77777777" w:rsidR="00B54F90" w:rsidRPr="00205B31" w:rsidRDefault="00B54F90"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PargrafodaLista"/>
        <w:ind w:left="426"/>
        <w:rPr>
          <w:rFonts w:ascii="Arial" w:hAnsi="Arial" w:cs="Arial"/>
          <w:sz w:val="22"/>
          <w:szCs w:val="22"/>
          <w:lang w:val="en-GB"/>
        </w:rPr>
      </w:pPr>
    </w:p>
    <w:p w14:paraId="77ADD601" w14:textId="2D159736" w:rsidR="00B54F90" w:rsidRPr="00E93E0D" w:rsidRDefault="00B54F90" w:rsidP="009D510C">
      <w:pPr>
        <w:pStyle w:val="PargrafodaLista"/>
        <w:numPr>
          <w:ilvl w:val="0"/>
          <w:numId w:val="14"/>
        </w:numPr>
        <w:ind w:left="426"/>
        <w:jc w:val="both"/>
        <w:rPr>
          <w:rFonts w:ascii="Arial" w:hAnsi="Arial" w:cs="Arial"/>
          <w:sz w:val="22"/>
          <w:szCs w:val="22"/>
          <w:highlight w:val="yellow"/>
          <w:lang w:val="en-GB"/>
        </w:rPr>
      </w:pPr>
      <w:r w:rsidRPr="00E93E0D">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E93E0D">
        <w:rPr>
          <w:rFonts w:ascii="Arial" w:hAnsi="Arial" w:cs="Arial"/>
          <w:sz w:val="22"/>
          <w:szCs w:val="22"/>
          <w:highlight w:val="yellow"/>
          <w:lang w:val="en-GB"/>
        </w:rPr>
        <w:t xml:space="preserve">on </w:t>
      </w:r>
      <w:r w:rsidRPr="00E93E0D">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E93E0D"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E93E0D">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E93E0D" w:rsidRDefault="00926D10" w:rsidP="009D510C">
      <w:pPr>
        <w:pStyle w:val="PargrafodaLista"/>
        <w:numPr>
          <w:ilvl w:val="0"/>
          <w:numId w:val="5"/>
        </w:numPr>
        <w:ind w:left="426"/>
        <w:jc w:val="both"/>
        <w:rPr>
          <w:rFonts w:ascii="Arial" w:hAnsi="Arial" w:cs="Arial"/>
          <w:sz w:val="22"/>
          <w:szCs w:val="22"/>
          <w:highlight w:val="yellow"/>
          <w:lang w:val="en-GB"/>
        </w:rPr>
      </w:pPr>
      <w:r w:rsidRPr="00E93E0D">
        <w:rPr>
          <w:rFonts w:ascii="Arial" w:hAnsi="Arial" w:cs="Arial"/>
          <w:sz w:val="22"/>
          <w:szCs w:val="22"/>
          <w:highlight w:val="yellow"/>
          <w:lang w:val="en-GB"/>
        </w:rPr>
        <w:t xml:space="preserve">The statement is </w:t>
      </w:r>
      <w:r w:rsidR="006E1CB0" w:rsidRPr="00E93E0D">
        <w:rPr>
          <w:rFonts w:ascii="Arial" w:hAnsi="Arial" w:cs="Arial"/>
          <w:sz w:val="22"/>
          <w:szCs w:val="22"/>
          <w:highlight w:val="yellow"/>
          <w:lang w:val="en-GB"/>
        </w:rPr>
        <w:t xml:space="preserve">not </w:t>
      </w:r>
      <w:r w:rsidRPr="00E93E0D">
        <w:rPr>
          <w:rFonts w:ascii="Arial" w:hAnsi="Arial" w:cs="Arial"/>
          <w:sz w:val="22"/>
          <w:szCs w:val="22"/>
          <w:highlight w:val="yellow"/>
          <w:lang w:val="en-GB"/>
        </w:rPr>
        <w:t xml:space="preserve">correct </w:t>
      </w:r>
      <w:r w:rsidR="007958F0" w:rsidRPr="00E93E0D">
        <w:rPr>
          <w:rFonts w:ascii="Arial" w:hAnsi="Arial" w:cs="Arial"/>
          <w:sz w:val="22"/>
          <w:szCs w:val="22"/>
          <w:highlight w:val="yellow"/>
          <w:lang w:val="en-GB"/>
        </w:rPr>
        <w:t>because</w:t>
      </w:r>
      <w:r w:rsidRPr="00E93E0D">
        <w:rPr>
          <w:rFonts w:ascii="Arial" w:hAnsi="Arial" w:cs="Arial"/>
          <w:sz w:val="22"/>
          <w:szCs w:val="22"/>
          <w:highlight w:val="yellow"/>
          <w:lang w:val="en-GB"/>
        </w:rPr>
        <w:t xml:space="preserve"> very few </w:t>
      </w:r>
      <w:r w:rsidR="007958F0" w:rsidRPr="00E93E0D">
        <w:rPr>
          <w:rFonts w:ascii="Arial" w:hAnsi="Arial" w:cs="Arial"/>
          <w:sz w:val="22"/>
          <w:szCs w:val="22"/>
          <w:highlight w:val="yellow"/>
          <w:lang w:val="en-GB"/>
        </w:rPr>
        <w:t>States</w:t>
      </w:r>
      <w:r w:rsidRPr="00E93E0D">
        <w:rPr>
          <w:rFonts w:ascii="Arial" w:hAnsi="Arial" w:cs="Arial"/>
          <w:sz w:val="22"/>
          <w:szCs w:val="22"/>
          <w:highlight w:val="yellow"/>
          <w:lang w:val="en-GB"/>
        </w:rPr>
        <w:t xml:space="preserve"> allow insolvent estate representatives to deal with assets of a foreign debtor situated in </w:t>
      </w:r>
      <w:r w:rsidR="005936B3" w:rsidRPr="00E93E0D">
        <w:rPr>
          <w:rFonts w:ascii="Arial" w:hAnsi="Arial" w:cs="Arial"/>
          <w:sz w:val="22"/>
          <w:szCs w:val="22"/>
          <w:highlight w:val="yellow"/>
          <w:lang w:val="en-GB"/>
        </w:rPr>
        <w:t>their own</w:t>
      </w:r>
      <w:r w:rsidRPr="00E93E0D">
        <w:rPr>
          <w:rFonts w:ascii="Arial" w:hAnsi="Arial" w:cs="Arial"/>
          <w:sz w:val="22"/>
          <w:szCs w:val="22"/>
          <w:highlight w:val="yellow"/>
          <w:lang w:val="en-GB"/>
        </w:rPr>
        <w:t xml:space="preserve"> jurisdiction without </w:t>
      </w:r>
      <w:r w:rsidR="006E1CB0" w:rsidRPr="00E93E0D">
        <w:rPr>
          <w:rFonts w:ascii="Arial" w:hAnsi="Arial" w:cs="Arial"/>
          <w:sz w:val="22"/>
          <w:szCs w:val="22"/>
          <w:highlight w:val="yellow"/>
          <w:lang w:val="en-GB"/>
        </w:rPr>
        <w:t xml:space="preserve">some form of </w:t>
      </w:r>
      <w:r w:rsidR="0090037B" w:rsidRPr="00E93E0D">
        <w:rPr>
          <w:rFonts w:ascii="Arial" w:hAnsi="Arial" w:cs="Arial"/>
          <w:sz w:val="22"/>
          <w:szCs w:val="22"/>
          <w:highlight w:val="yellow"/>
          <w:lang w:val="en-GB"/>
        </w:rPr>
        <w:t xml:space="preserve">a </w:t>
      </w:r>
      <w:r w:rsidR="006E1CB0" w:rsidRPr="00E93E0D">
        <w:rPr>
          <w:rFonts w:ascii="Arial" w:hAnsi="Arial" w:cs="Arial"/>
          <w:sz w:val="22"/>
          <w:szCs w:val="22"/>
          <w:highlight w:val="yellow"/>
          <w:lang w:val="en-GB"/>
        </w:rPr>
        <w:t>(</w:t>
      </w:r>
      <w:r w:rsidR="0090037B" w:rsidRPr="00E93E0D">
        <w:rPr>
          <w:rFonts w:ascii="Arial" w:hAnsi="Arial" w:cs="Arial"/>
          <w:sz w:val="22"/>
          <w:szCs w:val="22"/>
          <w:highlight w:val="yellow"/>
          <w:lang w:val="en-GB"/>
        </w:rPr>
        <w:t>prior</w:t>
      </w:r>
      <w:r w:rsidR="006E1CB0" w:rsidRPr="00E93E0D">
        <w:rPr>
          <w:rFonts w:ascii="Arial" w:hAnsi="Arial" w:cs="Arial"/>
          <w:sz w:val="22"/>
          <w:szCs w:val="22"/>
          <w:highlight w:val="yellow"/>
          <w:lang w:val="en-GB"/>
        </w:rPr>
        <w:t>)</w:t>
      </w:r>
      <w:r w:rsidRPr="00E93E0D">
        <w:rPr>
          <w:rFonts w:ascii="Arial" w:hAnsi="Arial" w:cs="Arial"/>
          <w:sz w:val="22"/>
          <w:szCs w:val="22"/>
          <w:highlight w:val="yellow"/>
          <w:lang w:val="en-GB"/>
        </w:rPr>
        <w:t xml:space="preserve"> local procedure </w:t>
      </w:r>
      <w:r w:rsidR="005936B3" w:rsidRPr="00E93E0D">
        <w:rPr>
          <w:rFonts w:ascii="Arial" w:hAnsi="Arial" w:cs="Arial"/>
          <w:sz w:val="22"/>
          <w:szCs w:val="22"/>
          <w:highlight w:val="yellow"/>
          <w:lang w:val="en-GB"/>
        </w:rPr>
        <w:t xml:space="preserve">to </w:t>
      </w:r>
      <w:r w:rsidRPr="00E93E0D">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812D6B" w:rsidRDefault="000329A6" w:rsidP="00C570AC">
      <w:pPr>
        <w:pStyle w:val="PargrafodaLista"/>
        <w:numPr>
          <w:ilvl w:val="0"/>
          <w:numId w:val="6"/>
        </w:numPr>
        <w:ind w:left="426"/>
        <w:jc w:val="both"/>
        <w:rPr>
          <w:rFonts w:ascii="Arial" w:hAnsi="Arial" w:cs="Arial"/>
          <w:sz w:val="22"/>
          <w:szCs w:val="22"/>
          <w:highlight w:val="yellow"/>
          <w:lang w:val="en-GB"/>
        </w:rPr>
      </w:pPr>
      <w:r w:rsidRPr="00812D6B">
        <w:rPr>
          <w:rFonts w:ascii="Arial" w:eastAsiaTheme="minorHAnsi" w:hAnsi="Arial" w:cs="Arial"/>
          <w:sz w:val="22"/>
          <w:szCs w:val="22"/>
          <w:highlight w:val="yellow"/>
          <w:lang w:val="en-GB"/>
        </w:rPr>
        <w:t xml:space="preserve">They were recently revised in 2021 and, together with the </w:t>
      </w:r>
      <w:r w:rsidRPr="00812D6B">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PargrafodaLista"/>
        <w:ind w:left="426" w:hanging="360"/>
        <w:jc w:val="both"/>
        <w:rPr>
          <w:rFonts w:ascii="Arial" w:hAnsi="Arial" w:cs="Arial"/>
          <w:sz w:val="22"/>
          <w:szCs w:val="22"/>
          <w:lang w:val="en-GB"/>
        </w:rPr>
      </w:pPr>
    </w:p>
    <w:p w14:paraId="191AFD3F" w14:textId="2D782C6E" w:rsidR="00E9597C" w:rsidRPr="00205B31" w:rsidRDefault="00AC126D"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PargrafodaLista"/>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PargrafodaLista"/>
        <w:numPr>
          <w:ilvl w:val="0"/>
          <w:numId w:val="16"/>
        </w:numPr>
        <w:ind w:left="426"/>
        <w:jc w:val="both"/>
        <w:rPr>
          <w:rFonts w:ascii="Arial" w:eastAsiaTheme="minorHAnsi" w:hAnsi="Arial" w:cs="Arial"/>
          <w:sz w:val="22"/>
          <w:szCs w:val="22"/>
          <w:lang w:val="en-GB"/>
        </w:rPr>
      </w:pPr>
      <w:r w:rsidRPr="00AD3D05">
        <w:rPr>
          <w:rFonts w:ascii="Arial" w:eastAsiaTheme="minorHAnsi" w:hAnsi="Arial" w:cs="Arial"/>
          <w:sz w:val="22"/>
          <w:szCs w:val="22"/>
          <w:highlight w:val="yellow"/>
          <w:lang w:val="en-GB"/>
        </w:rPr>
        <w:t xml:space="preserve">The Nordic Convention </w:t>
      </w:r>
      <w:r w:rsidR="00076483" w:rsidRPr="00AD3D05">
        <w:rPr>
          <w:rFonts w:ascii="Arial" w:eastAsiaTheme="minorHAnsi" w:hAnsi="Arial" w:cs="Arial"/>
          <w:sz w:val="22"/>
          <w:szCs w:val="22"/>
          <w:highlight w:val="yellow"/>
          <w:lang w:val="en-GB"/>
        </w:rPr>
        <w:t>1933</w:t>
      </w:r>
      <w:r w:rsidR="00966E44" w:rsidRPr="00AD3D05">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PargrafodaLista"/>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E44F6" w:rsidRDefault="00124B70" w:rsidP="00275182">
      <w:pPr>
        <w:pStyle w:val="PargrafodaLista"/>
        <w:numPr>
          <w:ilvl w:val="0"/>
          <w:numId w:val="8"/>
        </w:numPr>
        <w:ind w:left="426"/>
        <w:jc w:val="both"/>
        <w:rPr>
          <w:rFonts w:ascii="Arial" w:hAnsi="Arial" w:cs="Arial"/>
          <w:sz w:val="22"/>
          <w:szCs w:val="22"/>
          <w:highlight w:val="yellow"/>
          <w:lang w:val="en-GB"/>
        </w:rPr>
      </w:pPr>
      <w:r w:rsidRPr="002E44F6">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PargrafodaLista"/>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PargrafodaLista"/>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PargrafodaLista"/>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042A80" w:rsidRDefault="00E86549" w:rsidP="00275182">
      <w:pPr>
        <w:pStyle w:val="PargrafodaLista"/>
        <w:numPr>
          <w:ilvl w:val="0"/>
          <w:numId w:val="9"/>
        </w:numPr>
        <w:ind w:left="426"/>
        <w:jc w:val="both"/>
        <w:rPr>
          <w:rFonts w:ascii="Arial" w:hAnsi="Arial" w:cs="Arial"/>
          <w:bCs/>
          <w:sz w:val="22"/>
          <w:szCs w:val="22"/>
          <w:highlight w:val="yellow"/>
          <w:lang w:val="en-GB"/>
        </w:rPr>
      </w:pPr>
      <w:r w:rsidRPr="00042A80">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042A80">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PargrafodaLista"/>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PargrafodaLista"/>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5D6177" w:rsidRDefault="00911C23" w:rsidP="00275182">
      <w:pPr>
        <w:pStyle w:val="PargrafodaLista"/>
        <w:numPr>
          <w:ilvl w:val="0"/>
          <w:numId w:val="10"/>
        </w:numPr>
        <w:ind w:left="426"/>
        <w:jc w:val="both"/>
        <w:rPr>
          <w:rFonts w:ascii="Arial" w:hAnsi="Arial" w:cs="Arial"/>
          <w:sz w:val="22"/>
          <w:szCs w:val="22"/>
          <w:highlight w:val="yellow"/>
          <w:lang w:val="en-GB"/>
        </w:rPr>
      </w:pPr>
      <w:r w:rsidRPr="005D6177">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531693" w:rsidRDefault="00CC7728" w:rsidP="00531693">
      <w:pPr>
        <w:jc w:val="both"/>
        <w:rPr>
          <w:rFonts w:ascii="Arial" w:hAnsi="Arial" w:cs="Arial"/>
          <w:color w:val="7B7B7B" w:themeColor="accent3" w:themeShade="BF"/>
          <w:sz w:val="22"/>
          <w:szCs w:val="22"/>
          <w:lang w:val="en-GB"/>
        </w:rPr>
      </w:pPr>
    </w:p>
    <w:p w14:paraId="57BCFC30" w14:textId="5DC26537" w:rsidR="009B07AD" w:rsidRPr="00531693" w:rsidRDefault="00B149B4" w:rsidP="00F35B1B">
      <w:pPr>
        <w:jc w:val="both"/>
        <w:rPr>
          <w:rFonts w:ascii="Arial" w:hAnsi="Arial" w:cs="Arial"/>
          <w:color w:val="7B7B7B" w:themeColor="accent3" w:themeShade="BF"/>
          <w:sz w:val="22"/>
          <w:szCs w:val="22"/>
          <w:lang w:val="en-GB"/>
        </w:rPr>
      </w:pPr>
      <w:r w:rsidRPr="00531693">
        <w:rPr>
          <w:rFonts w:ascii="Arial" w:hAnsi="Arial" w:cs="Arial"/>
          <w:color w:val="7B7B7B" w:themeColor="accent3" w:themeShade="BF"/>
          <w:sz w:val="22"/>
          <w:szCs w:val="22"/>
          <w:lang w:val="en-GB"/>
        </w:rPr>
        <w:t xml:space="preserve">The </w:t>
      </w:r>
      <w:r w:rsidR="009C35BF" w:rsidRPr="00531693">
        <w:rPr>
          <w:rFonts w:ascii="Arial" w:hAnsi="Arial" w:cs="Arial"/>
          <w:color w:val="7B7B7B" w:themeColor="accent3" w:themeShade="BF"/>
          <w:sz w:val="22"/>
          <w:szCs w:val="22"/>
          <w:lang w:val="en-GB"/>
        </w:rPr>
        <w:t>B</w:t>
      </w:r>
      <w:r w:rsidRPr="00531693">
        <w:rPr>
          <w:rFonts w:ascii="Arial" w:hAnsi="Arial" w:cs="Arial"/>
          <w:color w:val="7B7B7B" w:themeColor="accent3" w:themeShade="BF"/>
          <w:sz w:val="22"/>
          <w:szCs w:val="22"/>
          <w:lang w:val="en-GB"/>
        </w:rPr>
        <w:t>ankrup</w:t>
      </w:r>
      <w:r w:rsidR="00675434" w:rsidRPr="00531693">
        <w:rPr>
          <w:rFonts w:ascii="Arial" w:hAnsi="Arial" w:cs="Arial"/>
          <w:color w:val="7B7B7B" w:themeColor="accent3" w:themeShade="BF"/>
          <w:sz w:val="22"/>
          <w:szCs w:val="22"/>
          <w:lang w:val="en-GB"/>
        </w:rPr>
        <w:t>tcy act of 1542</w:t>
      </w:r>
      <w:r w:rsidR="00533748" w:rsidRPr="00531693">
        <w:rPr>
          <w:rFonts w:ascii="Arial" w:hAnsi="Arial" w:cs="Arial"/>
          <w:color w:val="7B7B7B" w:themeColor="accent3" w:themeShade="BF"/>
          <w:sz w:val="22"/>
          <w:szCs w:val="22"/>
          <w:lang w:val="en-GB"/>
        </w:rPr>
        <w:t xml:space="preserve"> </w:t>
      </w:r>
      <w:r w:rsidR="00533748" w:rsidRPr="00531693">
        <w:rPr>
          <w:rFonts w:ascii="Arial" w:hAnsi="Arial" w:cs="Arial"/>
          <w:color w:val="7B7B7B" w:themeColor="accent3" w:themeShade="BF"/>
          <w:sz w:val="22"/>
          <w:szCs w:val="22"/>
          <w:lang w:val="en-GB"/>
        </w:rPr>
        <w:t>provided for collective participation of creditors</w:t>
      </w:r>
      <w:r w:rsidR="009C35BF" w:rsidRPr="00531693">
        <w:rPr>
          <w:rFonts w:ascii="Arial" w:hAnsi="Arial" w:cs="Arial"/>
          <w:color w:val="7B7B7B" w:themeColor="accent3" w:themeShade="BF"/>
          <w:sz w:val="22"/>
          <w:szCs w:val="22"/>
          <w:lang w:val="en-GB"/>
        </w:rPr>
        <w:t xml:space="preserve">; The Act </w:t>
      </w:r>
      <w:r w:rsidR="00504142" w:rsidRPr="00531693">
        <w:rPr>
          <w:rFonts w:ascii="Arial" w:hAnsi="Arial" w:cs="Arial"/>
          <w:color w:val="7B7B7B" w:themeColor="accent3" w:themeShade="BF"/>
          <w:sz w:val="22"/>
          <w:szCs w:val="22"/>
          <w:lang w:val="en-GB"/>
        </w:rPr>
        <w:t xml:space="preserve">of Elizabeth </w:t>
      </w:r>
      <w:r w:rsidR="003C52EF" w:rsidRPr="00531693">
        <w:rPr>
          <w:rFonts w:ascii="Arial" w:hAnsi="Arial" w:cs="Arial"/>
          <w:color w:val="7B7B7B" w:themeColor="accent3" w:themeShade="BF"/>
          <w:sz w:val="22"/>
          <w:szCs w:val="22"/>
          <w:lang w:val="en-GB"/>
        </w:rPr>
        <w:t>created the possibility of a creditor</w:t>
      </w:r>
      <w:r w:rsidR="005164F9" w:rsidRPr="00531693">
        <w:rPr>
          <w:rFonts w:ascii="Arial" w:hAnsi="Arial" w:cs="Arial"/>
          <w:color w:val="7B7B7B" w:themeColor="accent3" w:themeShade="BF"/>
          <w:sz w:val="22"/>
          <w:szCs w:val="22"/>
          <w:lang w:val="en-GB"/>
        </w:rPr>
        <w:t>’</w:t>
      </w:r>
      <w:r w:rsidR="003C52EF" w:rsidRPr="00531693">
        <w:rPr>
          <w:rFonts w:ascii="Arial" w:hAnsi="Arial" w:cs="Arial"/>
          <w:color w:val="7B7B7B" w:themeColor="accent3" w:themeShade="BF"/>
          <w:sz w:val="22"/>
          <w:szCs w:val="22"/>
          <w:lang w:val="en-GB"/>
        </w:rPr>
        <w:t>s meeting</w:t>
      </w:r>
      <w:r w:rsidR="00221779" w:rsidRPr="00531693">
        <w:rPr>
          <w:rFonts w:ascii="Arial" w:hAnsi="Arial" w:cs="Arial"/>
          <w:color w:val="7B7B7B" w:themeColor="accent3" w:themeShade="BF"/>
          <w:sz w:val="22"/>
          <w:szCs w:val="22"/>
          <w:lang w:val="en-GB"/>
        </w:rPr>
        <w:t>;</w:t>
      </w:r>
      <w:r w:rsidR="00F35B1B" w:rsidRPr="00531693">
        <w:rPr>
          <w:rFonts w:ascii="Arial" w:hAnsi="Arial" w:cs="Arial"/>
          <w:color w:val="7B7B7B" w:themeColor="accent3" w:themeShade="BF"/>
          <w:sz w:val="22"/>
          <w:szCs w:val="22"/>
          <w:lang w:val="en-GB"/>
        </w:rPr>
        <w:t xml:space="preserve"> </w:t>
      </w:r>
      <w:r w:rsidR="00F35B1B" w:rsidRPr="00531693">
        <w:rPr>
          <w:rFonts w:ascii="Arial" w:hAnsi="Arial" w:cs="Arial"/>
          <w:color w:val="7B7B7B" w:themeColor="accent3" w:themeShade="BF"/>
          <w:sz w:val="22"/>
          <w:szCs w:val="22"/>
          <w:lang w:val="en-GB"/>
        </w:rPr>
        <w:t>The Statute of</w:t>
      </w:r>
      <w:r w:rsidR="00F35B1B" w:rsidRPr="00531693">
        <w:rPr>
          <w:rFonts w:ascii="Arial" w:hAnsi="Arial" w:cs="Arial"/>
          <w:color w:val="7B7B7B" w:themeColor="accent3" w:themeShade="BF"/>
          <w:sz w:val="22"/>
          <w:szCs w:val="22"/>
          <w:lang w:val="en-GB"/>
        </w:rPr>
        <w:t xml:space="preserve"> </w:t>
      </w:r>
      <w:r w:rsidR="00F35B1B" w:rsidRPr="00531693">
        <w:rPr>
          <w:rFonts w:ascii="Arial" w:hAnsi="Arial" w:cs="Arial"/>
          <w:color w:val="7B7B7B" w:themeColor="accent3" w:themeShade="BF"/>
          <w:sz w:val="22"/>
          <w:szCs w:val="22"/>
          <w:lang w:val="en-GB"/>
        </w:rPr>
        <w:t>Ann</w:t>
      </w:r>
      <w:r w:rsidR="001D4BF4" w:rsidRPr="00531693">
        <w:rPr>
          <w:rFonts w:ascii="Arial" w:hAnsi="Arial" w:cs="Arial"/>
          <w:color w:val="7B7B7B" w:themeColor="accent3" w:themeShade="BF"/>
          <w:sz w:val="22"/>
          <w:szCs w:val="22"/>
          <w:lang w:val="en-GB"/>
        </w:rPr>
        <w:t xml:space="preserve"> of 1705</w:t>
      </w:r>
      <w:r w:rsidR="00F35B1B" w:rsidRPr="00531693">
        <w:rPr>
          <w:rFonts w:ascii="Arial" w:hAnsi="Arial" w:cs="Arial"/>
          <w:color w:val="7B7B7B" w:themeColor="accent3" w:themeShade="BF"/>
          <w:sz w:val="22"/>
          <w:szCs w:val="22"/>
          <w:lang w:val="en-GB"/>
        </w:rPr>
        <w:t xml:space="preserve"> brought the idea of discharge of the debts upon cooperation with bankruptcy proceedings</w:t>
      </w:r>
      <w:r w:rsidR="00221779" w:rsidRPr="00531693">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DE1D5F" w:rsidRDefault="00CC7728" w:rsidP="00B7193E">
      <w:pPr>
        <w:jc w:val="both"/>
        <w:rPr>
          <w:rFonts w:ascii="Arial" w:hAnsi="Arial" w:cs="Arial"/>
          <w:sz w:val="22"/>
          <w:szCs w:val="22"/>
          <w:lang w:val="en-GB"/>
        </w:rPr>
      </w:pPr>
    </w:p>
    <w:p w14:paraId="039E27B5" w14:textId="08B85E96" w:rsidR="00C82D87" w:rsidRPr="00531693" w:rsidRDefault="00F57CC7" w:rsidP="00B16251">
      <w:pPr>
        <w:jc w:val="both"/>
        <w:rPr>
          <w:rFonts w:ascii="Arial" w:hAnsi="Arial" w:cs="Arial"/>
          <w:color w:val="7B7B7B" w:themeColor="accent3" w:themeShade="BF"/>
          <w:sz w:val="22"/>
          <w:szCs w:val="22"/>
          <w:lang w:val="en-GB"/>
        </w:rPr>
      </w:pPr>
      <w:r w:rsidRPr="00531693">
        <w:rPr>
          <w:rFonts w:ascii="Arial" w:hAnsi="Arial" w:cs="Arial"/>
          <w:color w:val="7B7B7B" w:themeColor="accent3" w:themeShade="BF"/>
          <w:sz w:val="22"/>
          <w:szCs w:val="22"/>
          <w:lang w:val="en-GB"/>
        </w:rPr>
        <w:t>UK passed the Corporate and Insolvency Governance Act of 2020</w:t>
      </w:r>
      <w:r w:rsidR="00B16251" w:rsidRPr="00531693">
        <w:rPr>
          <w:rFonts w:ascii="Arial" w:hAnsi="Arial" w:cs="Arial"/>
          <w:color w:val="7B7B7B" w:themeColor="accent3" w:themeShade="BF"/>
          <w:sz w:val="22"/>
          <w:szCs w:val="22"/>
          <w:lang w:val="en-GB"/>
        </w:rPr>
        <w:t xml:space="preserve"> providing </w:t>
      </w:r>
      <w:r w:rsidR="00657F20" w:rsidRPr="00531693">
        <w:rPr>
          <w:rFonts w:ascii="Arial" w:hAnsi="Arial" w:cs="Arial"/>
          <w:color w:val="7B7B7B" w:themeColor="accent3" w:themeShade="BF"/>
          <w:sz w:val="22"/>
          <w:szCs w:val="22"/>
          <w:lang w:val="en-GB"/>
        </w:rPr>
        <w:t xml:space="preserve">temporary </w:t>
      </w:r>
      <w:r w:rsidR="00B16251" w:rsidRPr="00531693">
        <w:rPr>
          <w:rFonts w:ascii="Arial" w:hAnsi="Arial" w:cs="Arial"/>
          <w:color w:val="7B7B7B" w:themeColor="accent3" w:themeShade="BF"/>
          <w:sz w:val="22"/>
          <w:szCs w:val="22"/>
          <w:lang w:val="en-GB"/>
        </w:rPr>
        <w:t>measures</w:t>
      </w:r>
      <w:r w:rsidR="002E06E4" w:rsidRPr="00531693">
        <w:rPr>
          <w:rFonts w:ascii="Arial" w:hAnsi="Arial" w:cs="Arial"/>
          <w:color w:val="7B7B7B" w:themeColor="accent3" w:themeShade="BF"/>
          <w:sz w:val="22"/>
          <w:szCs w:val="22"/>
          <w:lang w:val="en-GB"/>
        </w:rPr>
        <w:t xml:space="preserve"> </w:t>
      </w:r>
      <w:r w:rsidR="002576E6" w:rsidRPr="00531693">
        <w:rPr>
          <w:rFonts w:ascii="Arial" w:hAnsi="Arial" w:cs="Arial"/>
          <w:color w:val="7B7B7B" w:themeColor="accent3" w:themeShade="BF"/>
          <w:sz w:val="22"/>
          <w:szCs w:val="22"/>
          <w:lang w:val="en-GB"/>
        </w:rPr>
        <w:t xml:space="preserve">such as </w:t>
      </w:r>
      <w:r w:rsidR="002E06E4" w:rsidRPr="00531693">
        <w:rPr>
          <w:rFonts w:ascii="Arial" w:hAnsi="Arial" w:cs="Arial"/>
          <w:color w:val="7B7B7B" w:themeColor="accent3" w:themeShade="BF"/>
          <w:sz w:val="22"/>
          <w:szCs w:val="22"/>
          <w:lang w:val="en-GB"/>
        </w:rPr>
        <w:t>s</w:t>
      </w:r>
      <w:r w:rsidR="008746B0" w:rsidRPr="00531693">
        <w:rPr>
          <w:rFonts w:ascii="Arial" w:hAnsi="Arial" w:cs="Arial"/>
          <w:color w:val="7B7B7B" w:themeColor="accent3" w:themeShade="BF"/>
          <w:sz w:val="22"/>
          <w:szCs w:val="22"/>
          <w:lang w:val="en-GB"/>
        </w:rPr>
        <w:t>uspension of serving statutory demands</w:t>
      </w:r>
      <w:r w:rsidR="008746B0" w:rsidRPr="00531693">
        <w:rPr>
          <w:rFonts w:ascii="Arial" w:hAnsi="Arial" w:cs="Arial"/>
          <w:color w:val="7B7B7B" w:themeColor="accent3" w:themeShade="BF"/>
          <w:sz w:val="22"/>
          <w:szCs w:val="22"/>
          <w:lang w:val="en-GB"/>
        </w:rPr>
        <w:t>,</w:t>
      </w:r>
      <w:r w:rsidR="002E06E4" w:rsidRPr="00531693">
        <w:rPr>
          <w:rFonts w:ascii="Arial" w:hAnsi="Arial" w:cs="Arial"/>
          <w:color w:val="7B7B7B" w:themeColor="accent3" w:themeShade="BF"/>
          <w:sz w:val="22"/>
          <w:szCs w:val="22"/>
          <w:lang w:val="en-GB"/>
        </w:rPr>
        <w:t xml:space="preserve"> r</w:t>
      </w:r>
      <w:r w:rsidR="002E06E4" w:rsidRPr="00531693">
        <w:rPr>
          <w:rFonts w:ascii="Arial" w:hAnsi="Arial" w:cs="Arial"/>
          <w:color w:val="7B7B7B" w:themeColor="accent3" w:themeShade="BF"/>
          <w:sz w:val="22"/>
          <w:szCs w:val="22"/>
          <w:lang w:val="en-GB"/>
        </w:rPr>
        <w:t>estrictions on winding-up petitions where unpaid debt is due to C</w:t>
      </w:r>
      <w:r w:rsidR="007F1FAE" w:rsidRPr="00531693">
        <w:rPr>
          <w:rFonts w:ascii="Arial" w:hAnsi="Arial" w:cs="Arial"/>
          <w:color w:val="7B7B7B" w:themeColor="accent3" w:themeShade="BF"/>
          <w:sz w:val="22"/>
          <w:szCs w:val="22"/>
          <w:lang w:val="en-GB"/>
        </w:rPr>
        <w:t>OVID</w:t>
      </w:r>
      <w:r w:rsidR="00756E6E" w:rsidRPr="00531693">
        <w:rPr>
          <w:rFonts w:ascii="Arial" w:hAnsi="Arial" w:cs="Arial"/>
          <w:color w:val="7B7B7B" w:themeColor="accent3" w:themeShade="BF"/>
          <w:sz w:val="22"/>
          <w:szCs w:val="22"/>
          <w:lang w:val="en-GB"/>
        </w:rPr>
        <w:t xml:space="preserve"> and s</w:t>
      </w:r>
      <w:r w:rsidR="00756E6E" w:rsidRPr="00531693">
        <w:rPr>
          <w:rFonts w:ascii="Arial" w:hAnsi="Arial" w:cs="Arial"/>
          <w:color w:val="7B7B7B" w:themeColor="accent3" w:themeShade="BF"/>
          <w:sz w:val="22"/>
          <w:szCs w:val="22"/>
          <w:lang w:val="en-GB"/>
        </w:rPr>
        <w:t>uspension of the wrongful trading rules</w:t>
      </w:r>
      <w:r w:rsidR="00756E6E" w:rsidRPr="00531693">
        <w:rPr>
          <w:rFonts w:ascii="Arial" w:hAnsi="Arial" w:cs="Arial"/>
          <w:color w:val="7B7B7B" w:themeColor="accent3" w:themeShade="BF"/>
          <w:sz w:val="22"/>
          <w:szCs w:val="22"/>
          <w:lang w:val="en-GB"/>
        </w:rPr>
        <w:t>.</w:t>
      </w:r>
    </w:p>
    <w:p w14:paraId="46AD9173" w14:textId="77777777" w:rsidR="00811F72" w:rsidRPr="00205B31" w:rsidRDefault="00811F72"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00446704" w14:textId="3F1E6C60" w:rsidR="002576E6" w:rsidRPr="00133909" w:rsidRDefault="00B47CA8" w:rsidP="00B7193E">
      <w:pPr>
        <w:jc w:val="both"/>
        <w:rPr>
          <w:rFonts w:ascii="Arial" w:hAnsi="Arial" w:cs="Arial"/>
          <w:sz w:val="22"/>
          <w:szCs w:val="22"/>
          <w:lang w:val="en-GB"/>
        </w:rPr>
      </w:pPr>
      <w:r>
        <w:rPr>
          <w:rFonts w:ascii="Arial" w:hAnsi="Arial" w:cs="Arial"/>
          <w:color w:val="7B7B7B" w:themeColor="accent3" w:themeShade="BF"/>
          <w:sz w:val="22"/>
          <w:szCs w:val="22"/>
          <w:lang w:val="en-GB"/>
        </w:rPr>
        <w:t>Treaties are incorporated under the local legislation, acting as “hard law”</w:t>
      </w:r>
      <w:r w:rsidR="00F824E5">
        <w:rPr>
          <w:rFonts w:ascii="Arial" w:hAnsi="Arial" w:cs="Arial"/>
          <w:color w:val="7B7B7B" w:themeColor="accent3" w:themeShade="BF"/>
          <w:sz w:val="22"/>
          <w:szCs w:val="22"/>
          <w:lang w:val="en-GB"/>
        </w:rPr>
        <w:t>, whilst “soft law”</w:t>
      </w:r>
      <w:r w:rsidR="003B0CB9">
        <w:rPr>
          <w:rFonts w:ascii="Arial" w:hAnsi="Arial" w:cs="Arial"/>
          <w:color w:val="7B7B7B" w:themeColor="accent3" w:themeShade="BF"/>
          <w:sz w:val="22"/>
          <w:szCs w:val="22"/>
          <w:lang w:val="en-GB"/>
        </w:rPr>
        <w:t xml:space="preserve"> are </w:t>
      </w:r>
      <w:r w:rsidR="00B77980">
        <w:rPr>
          <w:rFonts w:ascii="Arial" w:hAnsi="Arial" w:cs="Arial"/>
          <w:color w:val="7B7B7B" w:themeColor="accent3" w:themeShade="BF"/>
          <w:sz w:val="22"/>
          <w:szCs w:val="22"/>
          <w:lang w:val="en-GB"/>
        </w:rPr>
        <w:t>recommendation from a well-recognized body</w:t>
      </w:r>
      <w:r w:rsidR="001E53E0">
        <w:rPr>
          <w:rFonts w:ascii="Arial" w:hAnsi="Arial" w:cs="Arial"/>
          <w:color w:val="7B7B7B" w:themeColor="accent3" w:themeShade="BF"/>
          <w:sz w:val="22"/>
          <w:szCs w:val="22"/>
          <w:lang w:val="en-GB"/>
        </w:rPr>
        <w:t>. Tre</w:t>
      </w:r>
      <w:r w:rsidR="005B1D81">
        <w:rPr>
          <w:rFonts w:ascii="Arial" w:hAnsi="Arial" w:cs="Arial"/>
          <w:color w:val="7B7B7B" w:themeColor="accent3" w:themeShade="BF"/>
          <w:sz w:val="22"/>
          <w:szCs w:val="22"/>
          <w:lang w:val="en-GB"/>
        </w:rPr>
        <w:t xml:space="preserve">aties can be </w:t>
      </w:r>
      <w:r w:rsidR="00133909">
        <w:rPr>
          <w:rFonts w:ascii="Arial" w:hAnsi="Arial" w:cs="Arial"/>
          <w:color w:val="7B7B7B" w:themeColor="accent3" w:themeShade="BF"/>
          <w:sz w:val="22"/>
          <w:szCs w:val="22"/>
          <w:lang w:val="en-GB"/>
        </w:rPr>
        <w:t xml:space="preserve">signed </w:t>
      </w:r>
      <w:r w:rsidR="005B1D81">
        <w:rPr>
          <w:rFonts w:ascii="Arial" w:hAnsi="Arial" w:cs="Arial"/>
          <w:color w:val="7B7B7B" w:themeColor="accent3" w:themeShade="BF"/>
          <w:sz w:val="22"/>
          <w:szCs w:val="22"/>
          <w:lang w:val="en-GB"/>
        </w:rPr>
        <w:t>to facilitate proceedings and communication between different States</w:t>
      </w:r>
      <w:r w:rsidR="00151608">
        <w:rPr>
          <w:rFonts w:ascii="Arial" w:hAnsi="Arial" w:cs="Arial"/>
          <w:color w:val="7B7B7B" w:themeColor="accent3" w:themeShade="BF"/>
          <w:sz w:val="22"/>
          <w:szCs w:val="22"/>
          <w:lang w:val="en-GB"/>
        </w:rPr>
        <w:t xml:space="preserve">, while soft law can provide </w:t>
      </w:r>
      <w:r w:rsidR="00626955">
        <w:rPr>
          <w:rFonts w:ascii="Arial" w:hAnsi="Arial" w:cs="Arial"/>
          <w:color w:val="7B7B7B" w:themeColor="accent3" w:themeShade="BF"/>
          <w:sz w:val="22"/>
          <w:szCs w:val="22"/>
          <w:lang w:val="en-GB"/>
        </w:rPr>
        <w:t xml:space="preserve">orientation </w:t>
      </w:r>
      <w:r w:rsidR="00151608">
        <w:rPr>
          <w:rFonts w:ascii="Arial" w:hAnsi="Arial" w:cs="Arial"/>
          <w:color w:val="7B7B7B" w:themeColor="accent3" w:themeShade="BF"/>
          <w:sz w:val="22"/>
          <w:szCs w:val="22"/>
          <w:lang w:val="en-GB"/>
        </w:rPr>
        <w:t xml:space="preserve">to professionals </w:t>
      </w:r>
      <w:r w:rsidR="00626955">
        <w:rPr>
          <w:rFonts w:ascii="Arial" w:hAnsi="Arial" w:cs="Arial"/>
          <w:color w:val="7B7B7B" w:themeColor="accent3" w:themeShade="BF"/>
          <w:sz w:val="22"/>
          <w:szCs w:val="22"/>
          <w:lang w:val="en-GB"/>
        </w:rPr>
        <w:t>involved</w:t>
      </w:r>
      <w:r w:rsidR="00151608">
        <w:rPr>
          <w:rFonts w:ascii="Arial" w:hAnsi="Arial" w:cs="Arial"/>
          <w:color w:val="7B7B7B" w:themeColor="accent3" w:themeShade="BF"/>
          <w:sz w:val="22"/>
          <w:szCs w:val="22"/>
          <w:lang w:val="en-GB"/>
        </w:rPr>
        <w:t xml:space="preserve"> in any S</w:t>
      </w:r>
      <w:r w:rsidR="00C95593">
        <w:rPr>
          <w:rFonts w:ascii="Arial" w:hAnsi="Arial" w:cs="Arial"/>
          <w:color w:val="7B7B7B" w:themeColor="accent3" w:themeShade="BF"/>
          <w:sz w:val="22"/>
          <w:szCs w:val="22"/>
          <w:lang w:val="en-GB"/>
        </w:rPr>
        <w:t>tate, facilitating cross border insolvency with</w:t>
      </w:r>
      <w:r w:rsidR="007B4284">
        <w:rPr>
          <w:rFonts w:ascii="Arial" w:hAnsi="Arial" w:cs="Arial"/>
          <w:color w:val="7B7B7B" w:themeColor="accent3" w:themeShade="BF"/>
          <w:sz w:val="22"/>
          <w:szCs w:val="22"/>
          <w:lang w:val="en-GB"/>
        </w:rPr>
        <w:t xml:space="preserve"> less diplomatic difficulties.</w:t>
      </w:r>
    </w:p>
    <w:p w14:paraId="74749906" w14:textId="77777777" w:rsidR="002576E6" w:rsidRPr="00205B31" w:rsidRDefault="002576E6"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15F5DF6D" w:rsidR="00544127" w:rsidRPr="00205B31" w:rsidRDefault="00397C8C"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Most </w:t>
      </w:r>
      <w:r w:rsidR="00E75FD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tates base their insolvency laws in legislation or codes, but some still use commo</w:t>
      </w:r>
      <w:r w:rsidR="00E75FD1">
        <w:rPr>
          <w:rFonts w:ascii="Arial" w:hAnsi="Arial" w:cs="Arial"/>
          <w:color w:val="7B7B7B" w:themeColor="accent3" w:themeShade="BF"/>
          <w:sz w:val="22"/>
          <w:szCs w:val="22"/>
          <w:lang w:val="en-GB"/>
        </w:rPr>
        <w:t>n law. Regardless, different p</w:t>
      </w:r>
      <w:r w:rsidR="004B7BF1">
        <w:rPr>
          <w:rFonts w:ascii="Arial" w:hAnsi="Arial" w:cs="Arial"/>
          <w:color w:val="7B7B7B" w:themeColor="accent3" w:themeShade="BF"/>
          <w:sz w:val="22"/>
          <w:szCs w:val="22"/>
          <w:lang w:val="en-GB"/>
        </w:rPr>
        <w:t>ieces</w:t>
      </w:r>
      <w:r w:rsidR="00E75FD1">
        <w:rPr>
          <w:rFonts w:ascii="Arial" w:hAnsi="Arial" w:cs="Arial"/>
          <w:color w:val="7B7B7B" w:themeColor="accent3" w:themeShade="BF"/>
          <w:sz w:val="22"/>
          <w:szCs w:val="22"/>
          <w:lang w:val="en-GB"/>
        </w:rPr>
        <w:t xml:space="preserve"> of legislation can impact </w:t>
      </w:r>
      <w:r w:rsidR="004B7BF1">
        <w:rPr>
          <w:rFonts w:ascii="Arial" w:hAnsi="Arial" w:cs="Arial"/>
          <w:color w:val="7B7B7B" w:themeColor="accent3" w:themeShade="BF"/>
          <w:sz w:val="22"/>
          <w:szCs w:val="22"/>
          <w:lang w:val="en-GB"/>
        </w:rPr>
        <w:t xml:space="preserve">in </w:t>
      </w:r>
      <w:r w:rsidR="00E75FD1">
        <w:rPr>
          <w:rFonts w:ascii="Arial" w:hAnsi="Arial" w:cs="Arial"/>
          <w:color w:val="7B7B7B" w:themeColor="accent3" w:themeShade="BF"/>
          <w:sz w:val="22"/>
          <w:szCs w:val="22"/>
          <w:lang w:val="en-GB"/>
        </w:rPr>
        <w:t>insolvency</w:t>
      </w:r>
      <w:r w:rsidR="004B7BF1">
        <w:rPr>
          <w:rFonts w:ascii="Arial" w:hAnsi="Arial" w:cs="Arial"/>
          <w:color w:val="7B7B7B" w:themeColor="accent3" w:themeShade="BF"/>
          <w:sz w:val="22"/>
          <w:szCs w:val="22"/>
          <w:lang w:val="en-GB"/>
        </w:rPr>
        <w:t xml:space="preserve"> law</w:t>
      </w:r>
      <w:r w:rsidR="00422070">
        <w:rPr>
          <w:rFonts w:ascii="Arial" w:hAnsi="Arial" w:cs="Arial"/>
          <w:color w:val="7B7B7B" w:themeColor="accent3" w:themeShade="BF"/>
          <w:sz w:val="22"/>
          <w:szCs w:val="22"/>
          <w:lang w:val="en-GB"/>
        </w:rPr>
        <w:t>,</w:t>
      </w:r>
      <w:r w:rsidR="00541EEB">
        <w:rPr>
          <w:rFonts w:ascii="Arial" w:hAnsi="Arial" w:cs="Arial"/>
          <w:color w:val="7B7B7B" w:themeColor="accent3" w:themeShade="BF"/>
          <w:sz w:val="22"/>
          <w:szCs w:val="22"/>
          <w:lang w:val="en-GB"/>
        </w:rPr>
        <w:t xml:space="preserve"> such as </w:t>
      </w:r>
      <w:r w:rsidR="00353DBC">
        <w:rPr>
          <w:rFonts w:ascii="Arial" w:hAnsi="Arial" w:cs="Arial"/>
          <w:color w:val="7B7B7B" w:themeColor="accent3" w:themeShade="BF"/>
          <w:sz w:val="22"/>
          <w:szCs w:val="22"/>
          <w:lang w:val="en-GB"/>
        </w:rPr>
        <w:t>ownership rights</w:t>
      </w:r>
      <w:r w:rsidR="00296E1C">
        <w:rPr>
          <w:rFonts w:ascii="Arial" w:hAnsi="Arial" w:cs="Arial"/>
          <w:color w:val="7B7B7B" w:themeColor="accent3" w:themeShade="BF"/>
          <w:sz w:val="22"/>
          <w:szCs w:val="22"/>
          <w:lang w:val="en-GB"/>
        </w:rPr>
        <w:t xml:space="preserve"> or corporate acts</w:t>
      </w:r>
      <w:r w:rsidR="00353DBC">
        <w:rPr>
          <w:rFonts w:ascii="Arial" w:hAnsi="Arial" w:cs="Arial"/>
          <w:color w:val="7B7B7B" w:themeColor="accent3" w:themeShade="BF"/>
          <w:sz w:val="22"/>
          <w:szCs w:val="22"/>
          <w:lang w:val="en-GB"/>
        </w:rPr>
        <w:t>,</w:t>
      </w:r>
      <w:r w:rsidR="00422070">
        <w:rPr>
          <w:rFonts w:ascii="Arial" w:hAnsi="Arial" w:cs="Arial"/>
          <w:color w:val="7B7B7B" w:themeColor="accent3" w:themeShade="BF"/>
          <w:sz w:val="22"/>
          <w:szCs w:val="22"/>
          <w:lang w:val="en-GB"/>
        </w:rPr>
        <w:t xml:space="preserve"> as well as established precedents and recommendation</w:t>
      </w:r>
      <w:r w:rsidR="00296E1C">
        <w:rPr>
          <w:rFonts w:ascii="Arial" w:hAnsi="Arial" w:cs="Arial"/>
          <w:color w:val="7B7B7B" w:themeColor="accent3" w:themeShade="BF"/>
          <w:sz w:val="22"/>
          <w:szCs w:val="22"/>
          <w:lang w:val="en-GB"/>
        </w:rPr>
        <w:t xml:space="preserve">s from </w:t>
      </w:r>
      <w:r w:rsidR="00561D68">
        <w:rPr>
          <w:rFonts w:ascii="Arial" w:hAnsi="Arial" w:cs="Arial"/>
          <w:color w:val="7B7B7B" w:themeColor="accent3" w:themeShade="BF"/>
          <w:sz w:val="22"/>
          <w:szCs w:val="22"/>
          <w:lang w:val="en-GB"/>
        </w:rPr>
        <w:t xml:space="preserve">specialized </w:t>
      </w:r>
      <w:r w:rsidR="00DC0F5C">
        <w:rPr>
          <w:rFonts w:ascii="Arial" w:hAnsi="Arial" w:cs="Arial"/>
          <w:color w:val="7B7B7B" w:themeColor="accent3" w:themeShade="BF"/>
          <w:sz w:val="22"/>
          <w:szCs w:val="22"/>
          <w:lang w:val="en-GB"/>
        </w:rPr>
        <w:t>bodies</w:t>
      </w:r>
      <w:r w:rsidR="00561D68">
        <w:rPr>
          <w:rFonts w:ascii="Arial" w:hAnsi="Arial" w:cs="Arial"/>
          <w:color w:val="7B7B7B" w:themeColor="accent3" w:themeShade="BF"/>
          <w:sz w:val="22"/>
          <w:szCs w:val="22"/>
          <w:lang w:val="en-GB"/>
        </w:rPr>
        <w:t xml:space="preserve">. Above legislation, are </w:t>
      </w:r>
      <w:r w:rsidR="00DC0F5C">
        <w:rPr>
          <w:rFonts w:ascii="Arial" w:hAnsi="Arial" w:cs="Arial"/>
          <w:color w:val="7B7B7B" w:themeColor="accent3" w:themeShade="BF"/>
          <w:sz w:val="22"/>
          <w:szCs w:val="22"/>
          <w:lang w:val="en-GB"/>
        </w:rPr>
        <w:t xml:space="preserve">legal </w:t>
      </w:r>
      <w:r w:rsidR="001A4A1C">
        <w:rPr>
          <w:rFonts w:ascii="Arial" w:hAnsi="Arial" w:cs="Arial"/>
          <w:color w:val="7B7B7B" w:themeColor="accent3" w:themeShade="BF"/>
          <w:sz w:val="22"/>
          <w:szCs w:val="22"/>
          <w:lang w:val="en-GB"/>
        </w:rPr>
        <w:t>principles</w:t>
      </w:r>
      <w:r w:rsidR="002805DB">
        <w:rPr>
          <w:rFonts w:ascii="Arial" w:hAnsi="Arial" w:cs="Arial"/>
          <w:color w:val="7B7B7B" w:themeColor="accent3" w:themeShade="BF"/>
          <w:sz w:val="22"/>
          <w:szCs w:val="22"/>
          <w:lang w:val="en-GB"/>
        </w:rPr>
        <w:t xml:space="preserve"> </w:t>
      </w:r>
      <w:r w:rsidR="001A4A1C">
        <w:rPr>
          <w:rFonts w:ascii="Arial" w:hAnsi="Arial" w:cs="Arial"/>
          <w:color w:val="7B7B7B" w:themeColor="accent3" w:themeShade="BF"/>
          <w:sz w:val="22"/>
          <w:szCs w:val="22"/>
          <w:lang w:val="en-GB"/>
        </w:rPr>
        <w:t xml:space="preserve">that can orient </w:t>
      </w:r>
      <w:r w:rsidR="002805DB">
        <w:rPr>
          <w:rFonts w:ascii="Arial" w:hAnsi="Arial" w:cs="Arial"/>
          <w:color w:val="7B7B7B" w:themeColor="accent3" w:themeShade="BF"/>
          <w:sz w:val="22"/>
          <w:szCs w:val="22"/>
          <w:lang w:val="en-GB"/>
        </w:rPr>
        <w:t xml:space="preserve">the </w:t>
      </w:r>
      <w:r w:rsidR="001A4A1C">
        <w:rPr>
          <w:rFonts w:ascii="Arial" w:hAnsi="Arial" w:cs="Arial"/>
          <w:color w:val="7B7B7B" w:themeColor="accent3" w:themeShade="BF"/>
          <w:sz w:val="22"/>
          <w:szCs w:val="22"/>
          <w:lang w:val="en-GB"/>
        </w:rPr>
        <w:t xml:space="preserve">legal </w:t>
      </w:r>
      <w:r w:rsidR="002805DB">
        <w:rPr>
          <w:rFonts w:ascii="Arial" w:hAnsi="Arial" w:cs="Arial"/>
          <w:color w:val="7B7B7B" w:themeColor="accent3" w:themeShade="BF"/>
          <w:sz w:val="22"/>
          <w:szCs w:val="22"/>
          <w:lang w:val="en-GB"/>
        </w:rPr>
        <w:t>systems, like</w:t>
      </w:r>
      <w:r w:rsidR="008621FD">
        <w:rPr>
          <w:rFonts w:ascii="Arial" w:hAnsi="Arial" w:cs="Arial"/>
          <w:color w:val="7B7B7B" w:themeColor="accent3" w:themeShade="BF"/>
          <w:sz w:val="22"/>
          <w:szCs w:val="22"/>
          <w:lang w:val="en-GB"/>
        </w:rPr>
        <w:t xml:space="preserve"> the</w:t>
      </w:r>
      <w:r w:rsidR="002805DB">
        <w:rPr>
          <w:rFonts w:ascii="Arial" w:hAnsi="Arial" w:cs="Arial"/>
          <w:color w:val="7B7B7B" w:themeColor="accent3" w:themeShade="BF"/>
          <w:sz w:val="22"/>
          <w:szCs w:val="22"/>
          <w:lang w:val="en-GB"/>
        </w:rPr>
        <w:t xml:space="preserve"> protection of business</w:t>
      </w:r>
      <w:r w:rsidR="004F5264">
        <w:rPr>
          <w:rFonts w:ascii="Arial" w:hAnsi="Arial" w:cs="Arial"/>
          <w:color w:val="7B7B7B" w:themeColor="accent3" w:themeShade="BF"/>
          <w:sz w:val="22"/>
          <w:szCs w:val="22"/>
          <w:lang w:val="en-GB"/>
        </w:rPr>
        <w:t xml:space="preserve"> and maintenance of jobs</w:t>
      </w:r>
      <w:r w:rsidR="008621FD">
        <w:rPr>
          <w:rFonts w:ascii="Arial" w:hAnsi="Arial" w:cs="Arial"/>
          <w:color w:val="7B7B7B" w:themeColor="accent3" w:themeShade="BF"/>
          <w:sz w:val="22"/>
          <w:szCs w:val="22"/>
          <w:lang w:val="en-GB"/>
        </w:rPr>
        <w:t>.</w:t>
      </w:r>
      <w:r w:rsidR="002805DB">
        <w:rPr>
          <w:rFonts w:ascii="Arial" w:hAnsi="Arial" w:cs="Arial"/>
          <w:color w:val="7B7B7B" w:themeColor="accent3" w:themeShade="BF"/>
          <w:sz w:val="22"/>
          <w:szCs w:val="22"/>
          <w:lang w:val="en-GB"/>
        </w:rPr>
        <w:t xml:space="preserve">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6A4B8E8A" w:rsidR="00DF75F8" w:rsidRPr="00205B31" w:rsidRDefault="0054354B" w:rsidP="00B7193E">
      <w:pPr>
        <w:jc w:val="both"/>
        <w:rPr>
          <w:rFonts w:ascii="Arial" w:hAnsi="Arial" w:cs="Arial"/>
          <w:sz w:val="22"/>
          <w:szCs w:val="22"/>
          <w:lang w:val="en-GB"/>
        </w:rPr>
      </w:pPr>
      <w:r>
        <w:rPr>
          <w:rFonts w:ascii="Arial" w:hAnsi="Arial" w:cs="Arial"/>
          <w:color w:val="7B7B7B" w:themeColor="accent3" w:themeShade="BF"/>
          <w:sz w:val="22"/>
          <w:szCs w:val="22"/>
          <w:lang w:val="en-GB"/>
        </w:rPr>
        <w:t>As appointed by Fletcher, jurisdiction</w:t>
      </w:r>
      <w:r w:rsidR="00F40A28">
        <w:rPr>
          <w:rFonts w:ascii="Arial" w:hAnsi="Arial" w:cs="Arial"/>
          <w:color w:val="7B7B7B" w:themeColor="accent3" w:themeShade="BF"/>
          <w:sz w:val="22"/>
          <w:szCs w:val="22"/>
          <w:lang w:val="en-GB"/>
        </w:rPr>
        <w:t xml:space="preserve">, applicable laws and international effects are the main </w:t>
      </w:r>
      <w:r w:rsidR="00EF1EAB">
        <w:rPr>
          <w:rFonts w:ascii="Arial" w:hAnsi="Arial" w:cs="Arial"/>
          <w:color w:val="7B7B7B" w:themeColor="accent3" w:themeShade="BF"/>
          <w:sz w:val="22"/>
          <w:szCs w:val="22"/>
          <w:lang w:val="en-GB"/>
        </w:rPr>
        <w:t>concerns</w:t>
      </w:r>
      <w:r w:rsidR="00F40A28">
        <w:rPr>
          <w:rFonts w:ascii="Arial" w:hAnsi="Arial" w:cs="Arial"/>
          <w:color w:val="7B7B7B" w:themeColor="accent3" w:themeShade="BF"/>
          <w:sz w:val="22"/>
          <w:szCs w:val="22"/>
          <w:lang w:val="en-GB"/>
        </w:rPr>
        <w:t xml:space="preserve"> when dealing with </w:t>
      </w:r>
      <w:r w:rsidR="004B4B5C">
        <w:rPr>
          <w:rFonts w:ascii="Arial" w:hAnsi="Arial" w:cs="Arial"/>
          <w:color w:val="7B7B7B" w:themeColor="accent3" w:themeShade="BF"/>
          <w:sz w:val="22"/>
          <w:szCs w:val="22"/>
          <w:lang w:val="en-GB"/>
        </w:rPr>
        <w:t>cross-border insolvency</w:t>
      </w:r>
      <w:r w:rsidR="002957A8">
        <w:rPr>
          <w:rFonts w:ascii="Arial" w:hAnsi="Arial" w:cs="Arial"/>
          <w:color w:val="7B7B7B" w:themeColor="accent3" w:themeShade="BF"/>
          <w:sz w:val="22"/>
          <w:szCs w:val="22"/>
          <w:lang w:val="en-GB"/>
        </w:rPr>
        <w:t xml:space="preserve">. When trying to </w:t>
      </w:r>
      <w:r w:rsidR="00135FAA">
        <w:rPr>
          <w:rFonts w:ascii="Arial" w:hAnsi="Arial" w:cs="Arial"/>
          <w:color w:val="7B7B7B" w:themeColor="accent3" w:themeShade="BF"/>
          <w:sz w:val="22"/>
          <w:szCs w:val="22"/>
          <w:lang w:val="en-GB"/>
        </w:rPr>
        <w:t>address</w:t>
      </w:r>
      <w:r w:rsidR="002957A8">
        <w:rPr>
          <w:rFonts w:ascii="Arial" w:hAnsi="Arial" w:cs="Arial"/>
          <w:color w:val="7B7B7B" w:themeColor="accent3" w:themeShade="BF"/>
          <w:sz w:val="22"/>
          <w:szCs w:val="22"/>
          <w:lang w:val="en-GB"/>
        </w:rPr>
        <w:t xml:space="preserve"> these issues, </w:t>
      </w:r>
      <w:r w:rsidR="00135FAA">
        <w:rPr>
          <w:rFonts w:ascii="Arial" w:hAnsi="Arial" w:cs="Arial"/>
          <w:color w:val="7B7B7B" w:themeColor="accent3" w:themeShade="BF"/>
          <w:sz w:val="22"/>
          <w:szCs w:val="22"/>
          <w:lang w:val="en-GB"/>
        </w:rPr>
        <w:t>UNCITRAL</w:t>
      </w:r>
      <w:r w:rsidR="002957A8">
        <w:rPr>
          <w:rFonts w:ascii="Arial" w:hAnsi="Arial" w:cs="Arial"/>
          <w:color w:val="7B7B7B" w:themeColor="accent3" w:themeShade="BF"/>
          <w:sz w:val="22"/>
          <w:szCs w:val="22"/>
          <w:lang w:val="en-GB"/>
        </w:rPr>
        <w:t xml:space="preserve"> model law </w:t>
      </w:r>
      <w:r w:rsidR="00135FAA">
        <w:rPr>
          <w:rFonts w:ascii="Arial" w:hAnsi="Arial" w:cs="Arial"/>
          <w:color w:val="7B7B7B" w:themeColor="accent3" w:themeShade="BF"/>
          <w:sz w:val="22"/>
          <w:szCs w:val="22"/>
          <w:lang w:val="en-GB"/>
        </w:rPr>
        <w:t>provided</w:t>
      </w:r>
      <w:r w:rsidR="002957A8">
        <w:rPr>
          <w:rFonts w:ascii="Arial" w:hAnsi="Arial" w:cs="Arial"/>
          <w:color w:val="7B7B7B" w:themeColor="accent3" w:themeShade="BF"/>
          <w:sz w:val="22"/>
          <w:szCs w:val="22"/>
          <w:lang w:val="en-GB"/>
        </w:rPr>
        <w:t xml:space="preserve"> for the concept of COMI, </w:t>
      </w:r>
      <w:r w:rsidR="00135FAA">
        <w:rPr>
          <w:rFonts w:ascii="Arial" w:hAnsi="Arial" w:cs="Arial"/>
          <w:color w:val="7B7B7B" w:themeColor="accent3" w:themeShade="BF"/>
          <w:sz w:val="22"/>
          <w:szCs w:val="22"/>
          <w:lang w:val="en-GB"/>
        </w:rPr>
        <w:t>directing jurisdiction to the main establishment of the debtor</w:t>
      </w:r>
      <w:r w:rsidR="004B3A2E">
        <w:rPr>
          <w:rFonts w:ascii="Arial" w:hAnsi="Arial" w:cs="Arial"/>
          <w:color w:val="7B7B7B" w:themeColor="accent3" w:themeShade="BF"/>
          <w:sz w:val="22"/>
          <w:szCs w:val="22"/>
          <w:lang w:val="en-GB"/>
        </w:rPr>
        <w:t xml:space="preserve"> and consequently its applicable law, but the enforcement of decisions in different states continues to be </w:t>
      </w:r>
      <w:r w:rsidR="00865811">
        <w:rPr>
          <w:rFonts w:ascii="Arial" w:hAnsi="Arial" w:cs="Arial"/>
          <w:color w:val="7B7B7B" w:themeColor="accent3" w:themeShade="BF"/>
          <w:sz w:val="22"/>
          <w:szCs w:val="22"/>
          <w:lang w:val="en-GB"/>
        </w:rPr>
        <w:t>a challenge face in each State.</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4C320A0E" w:rsidR="00DF75F8" w:rsidRPr="00205B31" w:rsidRDefault="00191F88" w:rsidP="00B7193E">
      <w:pPr>
        <w:jc w:val="both"/>
        <w:rPr>
          <w:rFonts w:ascii="Arial" w:hAnsi="Arial" w:cs="Arial"/>
          <w:sz w:val="22"/>
          <w:szCs w:val="22"/>
          <w:lang w:val="en-GB"/>
        </w:rPr>
      </w:pPr>
      <w:r>
        <w:rPr>
          <w:rFonts w:ascii="Arial" w:hAnsi="Arial" w:cs="Arial"/>
          <w:color w:val="7B7B7B" w:themeColor="accent3" w:themeShade="BF"/>
          <w:sz w:val="22"/>
          <w:szCs w:val="22"/>
          <w:lang w:val="en-GB"/>
        </w:rPr>
        <w:t>Ma</w:t>
      </w:r>
      <w:r w:rsidR="00B154EF">
        <w:rPr>
          <w:rFonts w:ascii="Arial" w:hAnsi="Arial" w:cs="Arial"/>
          <w:color w:val="7B7B7B" w:themeColor="accent3" w:themeShade="BF"/>
          <w:sz w:val="22"/>
          <w:szCs w:val="22"/>
          <w:lang w:val="en-GB"/>
        </w:rPr>
        <w:t>xwell Communications Corporation PLC case of 1991</w:t>
      </w:r>
      <w:r w:rsidR="00906CC6">
        <w:rPr>
          <w:rFonts w:ascii="Arial" w:hAnsi="Arial" w:cs="Arial"/>
          <w:color w:val="7B7B7B" w:themeColor="accent3" w:themeShade="BF"/>
          <w:sz w:val="22"/>
          <w:szCs w:val="22"/>
          <w:lang w:val="en-GB"/>
        </w:rPr>
        <w:t xml:space="preserve">, a cross-border insolvency case with proceedings in United States and </w:t>
      </w:r>
      <w:r w:rsidR="00CD1727">
        <w:rPr>
          <w:rFonts w:ascii="Arial" w:hAnsi="Arial" w:cs="Arial"/>
          <w:color w:val="7B7B7B" w:themeColor="accent3" w:themeShade="BF"/>
          <w:sz w:val="22"/>
          <w:szCs w:val="22"/>
          <w:lang w:val="en-GB"/>
        </w:rPr>
        <w:t xml:space="preserve">England is a prominent case. Both courts agreed that the main objective was to maximize </w:t>
      </w:r>
      <w:r w:rsidR="0009431E">
        <w:rPr>
          <w:rFonts w:ascii="Arial" w:hAnsi="Arial" w:cs="Arial"/>
          <w:color w:val="7B7B7B" w:themeColor="accent3" w:themeShade="BF"/>
          <w:sz w:val="22"/>
          <w:szCs w:val="22"/>
          <w:lang w:val="en-GB"/>
        </w:rPr>
        <w:t>the value o</w:t>
      </w:r>
      <w:r w:rsidR="00BA5AC6">
        <w:rPr>
          <w:rFonts w:ascii="Arial" w:hAnsi="Arial" w:cs="Arial"/>
          <w:color w:val="7B7B7B" w:themeColor="accent3" w:themeShade="BF"/>
          <w:sz w:val="22"/>
          <w:szCs w:val="22"/>
          <w:lang w:val="en-GB"/>
        </w:rPr>
        <w:t>f</w:t>
      </w:r>
      <w:r w:rsidR="0009431E">
        <w:rPr>
          <w:rFonts w:ascii="Arial" w:hAnsi="Arial" w:cs="Arial"/>
          <w:color w:val="7B7B7B" w:themeColor="accent3" w:themeShade="BF"/>
          <w:sz w:val="22"/>
          <w:szCs w:val="22"/>
          <w:lang w:val="en-GB"/>
        </w:rPr>
        <w:t xml:space="preserve"> the estate and minimize expenses with harmonization</w:t>
      </w:r>
      <w:r w:rsidR="00644E00">
        <w:rPr>
          <w:rFonts w:ascii="Arial" w:hAnsi="Arial" w:cs="Arial"/>
          <w:color w:val="7B7B7B" w:themeColor="accent3" w:themeShade="BF"/>
          <w:sz w:val="22"/>
          <w:szCs w:val="22"/>
          <w:lang w:val="en-GB"/>
        </w:rPr>
        <w:t xml:space="preserve">, thus crating a clear channel of communication, while still respecting </w:t>
      </w:r>
      <w:r w:rsidR="006775D1">
        <w:rPr>
          <w:rFonts w:ascii="Arial" w:hAnsi="Arial" w:cs="Arial"/>
          <w:color w:val="7B7B7B" w:themeColor="accent3" w:themeShade="BF"/>
          <w:sz w:val="22"/>
          <w:szCs w:val="22"/>
          <w:lang w:val="en-GB"/>
        </w:rPr>
        <w:t xml:space="preserve">relevant </w:t>
      </w:r>
      <w:r w:rsidR="00644E00">
        <w:rPr>
          <w:rFonts w:ascii="Arial" w:hAnsi="Arial" w:cs="Arial"/>
          <w:color w:val="7B7B7B" w:themeColor="accent3" w:themeShade="BF"/>
          <w:sz w:val="22"/>
          <w:szCs w:val="22"/>
          <w:lang w:val="en-GB"/>
        </w:rPr>
        <w:t xml:space="preserve">hard law of </w:t>
      </w:r>
      <w:r w:rsidR="006775D1">
        <w:rPr>
          <w:rFonts w:ascii="Arial" w:hAnsi="Arial" w:cs="Arial"/>
          <w:color w:val="7B7B7B" w:themeColor="accent3" w:themeShade="BF"/>
          <w:sz w:val="22"/>
          <w:szCs w:val="22"/>
          <w:lang w:val="en-GB"/>
        </w:rPr>
        <w:t>both States.</w:t>
      </w:r>
    </w:p>
    <w:p w14:paraId="4AE7EA78" w14:textId="345C78E1" w:rsidR="007D7C92" w:rsidRDefault="007D7C92" w:rsidP="00B7193E">
      <w:pPr>
        <w:ind w:left="720" w:hanging="720"/>
        <w:jc w:val="both"/>
        <w:rPr>
          <w:rFonts w:ascii="Arial" w:hAnsi="Arial" w:cs="Arial"/>
          <w:sz w:val="22"/>
          <w:szCs w:val="22"/>
          <w:lang w:val="en-GB"/>
        </w:rPr>
      </w:pPr>
    </w:p>
    <w:p w14:paraId="301DC351" w14:textId="77777777" w:rsidR="004D67C1" w:rsidRPr="00205B31" w:rsidRDefault="004D67C1"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6DFC8124"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other options</w:t>
      </w:r>
      <w:r w:rsidR="00D42B8F">
        <w:rPr>
          <w:rFonts w:ascii="Arial" w:hAnsi="Arial" w:cs="Arial"/>
          <w:color w:val="212529"/>
          <w:sz w:val="22"/>
          <w:szCs w:val="22"/>
          <w:shd w:val="clear" w:color="auto" w:fill="FFFFFF"/>
          <w:lang w:val="en-GB"/>
        </w:rPr>
        <w:t xml:space="preserve"> </w:t>
      </w:r>
      <w:r w:rsidR="00C15A16" w:rsidRPr="00205B31">
        <w:rPr>
          <w:rFonts w:ascii="Arial" w:hAnsi="Arial" w:cs="Arial"/>
          <w:color w:val="212529"/>
          <w:sz w:val="22"/>
          <w:szCs w:val="22"/>
          <w:shd w:val="clear" w:color="auto" w:fill="FFFFFF"/>
          <w:lang w:val="en-GB"/>
        </w:rPr>
        <w:t xml:space="preserve">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4EFD4C7A" w:rsidR="002F75A3" w:rsidRPr="00205B31" w:rsidRDefault="001F586B" w:rsidP="00B7193E">
      <w:pPr>
        <w:jc w:val="both"/>
        <w:rPr>
          <w:rFonts w:ascii="Arial" w:hAnsi="Arial" w:cs="Arial"/>
          <w:sz w:val="22"/>
          <w:szCs w:val="22"/>
          <w:lang w:val="en-GB"/>
        </w:rPr>
      </w:pPr>
      <w:r>
        <w:rPr>
          <w:rFonts w:ascii="Arial" w:hAnsi="Arial" w:cs="Arial"/>
          <w:color w:val="7B7B7B" w:themeColor="accent3" w:themeShade="BF"/>
          <w:sz w:val="22"/>
          <w:szCs w:val="22"/>
          <w:lang w:val="en-GB"/>
        </w:rPr>
        <w:t>T</w:t>
      </w:r>
      <w:r w:rsidR="00B97FD3">
        <w:rPr>
          <w:rFonts w:ascii="Arial" w:hAnsi="Arial" w:cs="Arial"/>
          <w:color w:val="7B7B7B" w:themeColor="accent3" w:themeShade="BF"/>
          <w:sz w:val="22"/>
          <w:szCs w:val="22"/>
          <w:lang w:val="en-GB"/>
        </w:rPr>
        <w:t>he European Insolvency Regulation w</w:t>
      </w:r>
      <w:r>
        <w:rPr>
          <w:rFonts w:ascii="Arial" w:hAnsi="Arial" w:cs="Arial"/>
          <w:color w:val="7B7B7B" w:themeColor="accent3" w:themeShade="BF"/>
          <w:sz w:val="22"/>
          <w:szCs w:val="22"/>
          <w:lang w:val="en-GB"/>
        </w:rPr>
        <w:t>as</w:t>
      </w:r>
      <w:r w:rsidR="00AE714A">
        <w:rPr>
          <w:rFonts w:ascii="Arial" w:hAnsi="Arial" w:cs="Arial"/>
          <w:color w:val="7B7B7B" w:themeColor="accent3" w:themeShade="BF"/>
          <w:sz w:val="22"/>
          <w:szCs w:val="22"/>
          <w:lang w:val="en-GB"/>
        </w:rPr>
        <w:t xml:space="preserve"> </w:t>
      </w:r>
      <w:r w:rsidR="00A85643">
        <w:rPr>
          <w:rFonts w:ascii="Arial" w:hAnsi="Arial" w:cs="Arial"/>
          <w:color w:val="7B7B7B" w:themeColor="accent3" w:themeShade="BF"/>
          <w:sz w:val="22"/>
          <w:szCs w:val="22"/>
          <w:lang w:val="en-GB"/>
        </w:rPr>
        <w:t>applicable</w:t>
      </w:r>
      <w:r w:rsidR="00AE714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for UK </w:t>
      </w:r>
      <w:r w:rsidR="00AE714A">
        <w:rPr>
          <w:rFonts w:ascii="Arial" w:hAnsi="Arial" w:cs="Arial"/>
          <w:color w:val="7B7B7B" w:themeColor="accent3" w:themeShade="BF"/>
          <w:sz w:val="22"/>
          <w:szCs w:val="22"/>
          <w:lang w:val="en-GB"/>
        </w:rPr>
        <w:t>until December 202</w:t>
      </w:r>
      <w:r>
        <w:rPr>
          <w:rFonts w:ascii="Arial" w:hAnsi="Arial" w:cs="Arial"/>
          <w:color w:val="7B7B7B" w:themeColor="accent3" w:themeShade="BF"/>
          <w:sz w:val="22"/>
          <w:szCs w:val="22"/>
          <w:lang w:val="en-GB"/>
        </w:rPr>
        <w:t>0</w:t>
      </w:r>
      <w:r w:rsidR="00A85643">
        <w:rPr>
          <w:rFonts w:ascii="Arial" w:hAnsi="Arial" w:cs="Arial"/>
          <w:color w:val="7B7B7B" w:themeColor="accent3" w:themeShade="BF"/>
          <w:sz w:val="22"/>
          <w:szCs w:val="22"/>
          <w:lang w:val="en-GB"/>
        </w:rPr>
        <w:t xml:space="preserve">, </w:t>
      </w:r>
      <w:r w:rsidR="001C6A8B">
        <w:rPr>
          <w:rFonts w:ascii="Arial" w:hAnsi="Arial" w:cs="Arial"/>
          <w:color w:val="7B7B7B" w:themeColor="accent3" w:themeShade="BF"/>
          <w:sz w:val="22"/>
          <w:szCs w:val="22"/>
          <w:lang w:val="en-GB"/>
        </w:rPr>
        <w:t>thus EIR would be applied</w:t>
      </w:r>
      <w:r w:rsidR="00530861">
        <w:rPr>
          <w:rFonts w:ascii="Arial" w:hAnsi="Arial" w:cs="Arial"/>
          <w:color w:val="7B7B7B" w:themeColor="accent3" w:themeShade="BF"/>
          <w:sz w:val="22"/>
          <w:szCs w:val="22"/>
          <w:lang w:val="en-GB"/>
        </w:rPr>
        <w:t xml:space="preserve"> to this case</w:t>
      </w:r>
      <w:r w:rsidR="001C6A8B">
        <w:rPr>
          <w:rFonts w:ascii="Arial" w:hAnsi="Arial" w:cs="Arial"/>
          <w:color w:val="7B7B7B" w:themeColor="accent3" w:themeShade="BF"/>
          <w:sz w:val="22"/>
          <w:szCs w:val="22"/>
          <w:lang w:val="en-GB"/>
        </w:rPr>
        <w:t>.</w:t>
      </w:r>
      <w:r w:rsidR="0014104B">
        <w:rPr>
          <w:rFonts w:ascii="Arial" w:hAnsi="Arial" w:cs="Arial"/>
          <w:color w:val="7B7B7B" w:themeColor="accent3" w:themeShade="BF"/>
          <w:sz w:val="22"/>
          <w:szCs w:val="22"/>
          <w:lang w:val="en-GB"/>
        </w:rPr>
        <w:t xml:space="preserve"> </w:t>
      </w:r>
      <w:r w:rsidR="008B3BC9">
        <w:rPr>
          <w:rFonts w:ascii="Arial" w:hAnsi="Arial" w:cs="Arial"/>
          <w:color w:val="7B7B7B" w:themeColor="accent3" w:themeShade="BF"/>
          <w:sz w:val="22"/>
          <w:szCs w:val="22"/>
          <w:lang w:val="en-GB"/>
        </w:rPr>
        <w:t xml:space="preserve">To consider opening proceedings in another country, </w:t>
      </w:r>
      <w:proofErr w:type="spellStart"/>
      <w:r w:rsidR="008B3BC9">
        <w:rPr>
          <w:rFonts w:ascii="Arial" w:hAnsi="Arial" w:cs="Arial"/>
          <w:color w:val="7B7B7B" w:themeColor="accent3" w:themeShade="BF"/>
          <w:sz w:val="22"/>
          <w:szCs w:val="22"/>
          <w:lang w:val="en-GB"/>
        </w:rPr>
        <w:t>Fernz</w:t>
      </w:r>
      <w:proofErr w:type="spellEnd"/>
      <w:r w:rsidR="008B3BC9">
        <w:rPr>
          <w:rFonts w:ascii="Arial" w:hAnsi="Arial" w:cs="Arial"/>
          <w:color w:val="7B7B7B" w:themeColor="accent3" w:themeShade="BF"/>
          <w:sz w:val="22"/>
          <w:szCs w:val="22"/>
          <w:lang w:val="en-GB"/>
        </w:rPr>
        <w:t xml:space="preserve"> </w:t>
      </w:r>
      <w:r w:rsidR="00B20F64">
        <w:rPr>
          <w:rFonts w:ascii="Arial" w:hAnsi="Arial" w:cs="Arial"/>
          <w:color w:val="7B7B7B" w:themeColor="accent3" w:themeShade="BF"/>
          <w:sz w:val="22"/>
          <w:szCs w:val="22"/>
          <w:lang w:val="en-GB"/>
        </w:rPr>
        <w:t xml:space="preserve">would have </w:t>
      </w:r>
      <w:r w:rsidR="00C95847">
        <w:rPr>
          <w:rFonts w:ascii="Arial" w:hAnsi="Arial" w:cs="Arial"/>
          <w:color w:val="7B7B7B" w:themeColor="accent3" w:themeShade="BF"/>
          <w:sz w:val="22"/>
          <w:szCs w:val="22"/>
          <w:lang w:val="en-GB"/>
        </w:rPr>
        <w:t>analyse</w:t>
      </w:r>
      <w:r w:rsidR="00B20F64">
        <w:rPr>
          <w:rFonts w:ascii="Arial" w:hAnsi="Arial" w:cs="Arial"/>
          <w:color w:val="7B7B7B" w:themeColor="accent3" w:themeShade="BF"/>
          <w:sz w:val="22"/>
          <w:szCs w:val="22"/>
          <w:lang w:val="en-GB"/>
        </w:rPr>
        <w:t xml:space="preserve"> if Rydell has </w:t>
      </w:r>
      <w:r w:rsidR="00C95847">
        <w:rPr>
          <w:rFonts w:ascii="Arial" w:hAnsi="Arial" w:cs="Arial"/>
          <w:color w:val="7B7B7B" w:themeColor="accent3" w:themeShade="BF"/>
          <w:sz w:val="22"/>
          <w:szCs w:val="22"/>
          <w:lang w:val="en-GB"/>
        </w:rPr>
        <w:t>an</w:t>
      </w:r>
      <w:r w:rsidR="00B20F64">
        <w:rPr>
          <w:rFonts w:ascii="Arial" w:hAnsi="Arial" w:cs="Arial"/>
          <w:color w:val="7B7B7B" w:themeColor="accent3" w:themeShade="BF"/>
          <w:sz w:val="22"/>
          <w:szCs w:val="22"/>
          <w:lang w:val="en-GB"/>
        </w:rPr>
        <w:t xml:space="preserve"> establishment in such </w:t>
      </w:r>
      <w:r w:rsidR="00C95847">
        <w:rPr>
          <w:rFonts w:ascii="Arial" w:hAnsi="Arial" w:cs="Arial"/>
          <w:color w:val="7B7B7B" w:themeColor="accent3" w:themeShade="BF"/>
          <w:sz w:val="22"/>
          <w:szCs w:val="22"/>
          <w:lang w:val="en-GB"/>
        </w:rPr>
        <w:t>country</w:t>
      </w:r>
      <w:r w:rsidR="00294762">
        <w:rPr>
          <w:rFonts w:ascii="Arial" w:hAnsi="Arial" w:cs="Arial"/>
          <w:color w:val="7B7B7B" w:themeColor="accent3" w:themeShade="BF"/>
          <w:sz w:val="22"/>
          <w:szCs w:val="22"/>
          <w:lang w:val="en-GB"/>
        </w:rPr>
        <w:t>, allowing a secondary procedure.</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53B3B444" w:rsidR="00015EE6" w:rsidRPr="00205B31" w:rsidRDefault="00461911"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Yes, since </w:t>
      </w:r>
      <w:r w:rsidR="004C7775">
        <w:rPr>
          <w:rFonts w:ascii="Arial" w:hAnsi="Arial" w:cs="Arial"/>
          <w:color w:val="7B7B7B" w:themeColor="accent3" w:themeShade="BF"/>
          <w:sz w:val="22"/>
          <w:szCs w:val="22"/>
          <w:lang w:val="en-GB"/>
        </w:rPr>
        <w:t xml:space="preserve">EIR cease to apply after </w:t>
      </w:r>
      <w:r w:rsidR="00294762">
        <w:rPr>
          <w:rFonts w:ascii="Arial" w:hAnsi="Arial" w:cs="Arial"/>
          <w:color w:val="7B7B7B" w:themeColor="accent3" w:themeShade="BF"/>
          <w:sz w:val="22"/>
          <w:szCs w:val="22"/>
          <w:lang w:val="en-GB"/>
        </w:rPr>
        <w:t>31 December 2021</w:t>
      </w:r>
      <w:r w:rsidR="0006172E">
        <w:rPr>
          <w:rFonts w:ascii="Arial" w:hAnsi="Arial" w:cs="Arial"/>
          <w:color w:val="7B7B7B" w:themeColor="accent3" w:themeShade="BF"/>
          <w:sz w:val="22"/>
          <w:szCs w:val="22"/>
          <w:lang w:val="en-GB"/>
        </w:rPr>
        <w:t>.</w:t>
      </w:r>
      <w:r w:rsidR="0006172E">
        <w:rPr>
          <w:rFonts w:ascii="Arial" w:hAnsi="Arial" w:cs="Arial"/>
          <w:color w:val="7B7B7B" w:themeColor="accent3" w:themeShade="BF"/>
          <w:sz w:val="22"/>
          <w:szCs w:val="22"/>
          <w:lang w:val="en-GB"/>
        </w:rPr>
        <w:t xml:space="preserve"> </w:t>
      </w:r>
      <w:r w:rsidR="0006172E">
        <w:rPr>
          <w:rFonts w:ascii="Arial" w:hAnsi="Arial" w:cs="Arial"/>
          <w:color w:val="7B7B7B" w:themeColor="accent3" w:themeShade="BF"/>
          <w:sz w:val="22"/>
          <w:szCs w:val="22"/>
          <w:lang w:val="en-GB"/>
        </w:rPr>
        <w:t xml:space="preserve">Nonetheless, </w:t>
      </w:r>
      <w:r w:rsidR="0006172E">
        <w:rPr>
          <w:rFonts w:ascii="Arial" w:hAnsi="Arial" w:cs="Arial"/>
          <w:color w:val="7B7B7B" w:themeColor="accent3" w:themeShade="BF"/>
          <w:sz w:val="22"/>
          <w:szCs w:val="22"/>
          <w:lang w:val="en-GB"/>
        </w:rPr>
        <w:t>EIR could be used to recognize the existence of insolvency proceedings outside of the EU</w:t>
      </w:r>
      <w:r w:rsidR="0006172E">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1A8537ED" w:rsidR="00015EE6" w:rsidRPr="00205B31" w:rsidRDefault="00BD618B"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Section </w:t>
      </w:r>
      <w:r w:rsidR="00104CAD">
        <w:rPr>
          <w:rFonts w:ascii="Arial" w:hAnsi="Arial" w:cs="Arial"/>
          <w:color w:val="7B7B7B" w:themeColor="accent3" w:themeShade="BF"/>
          <w:sz w:val="22"/>
          <w:szCs w:val="22"/>
          <w:lang w:val="en-GB"/>
        </w:rPr>
        <w:t xml:space="preserve">221 of the Insolvency Act of 1986 would apply, allowing a winding up order </w:t>
      </w:r>
      <w:r w:rsidR="00475E61">
        <w:rPr>
          <w:rFonts w:ascii="Arial" w:hAnsi="Arial" w:cs="Arial"/>
          <w:color w:val="7B7B7B" w:themeColor="accent3" w:themeShade="BF"/>
          <w:sz w:val="22"/>
          <w:szCs w:val="22"/>
          <w:lang w:val="en-GB"/>
        </w:rPr>
        <w:t xml:space="preserve">of a </w:t>
      </w:r>
      <w:r w:rsidR="008E0A73">
        <w:rPr>
          <w:rFonts w:ascii="Arial" w:hAnsi="Arial" w:cs="Arial"/>
          <w:color w:val="7B7B7B" w:themeColor="accent3" w:themeShade="BF"/>
          <w:sz w:val="22"/>
          <w:szCs w:val="22"/>
          <w:lang w:val="en-GB"/>
        </w:rPr>
        <w:t>foreign unregistered</w:t>
      </w:r>
      <w:r w:rsidR="00015846">
        <w:rPr>
          <w:rFonts w:ascii="Arial" w:hAnsi="Arial" w:cs="Arial"/>
          <w:color w:val="7B7B7B" w:themeColor="accent3" w:themeShade="BF"/>
          <w:sz w:val="22"/>
          <w:szCs w:val="22"/>
          <w:lang w:val="en-GB"/>
        </w:rPr>
        <w:t xml:space="preserve"> company</w:t>
      </w:r>
      <w:r w:rsidR="008E0A73">
        <w:rPr>
          <w:rFonts w:ascii="Arial" w:hAnsi="Arial" w:cs="Arial"/>
          <w:color w:val="7B7B7B" w:themeColor="accent3" w:themeShade="BF"/>
          <w:sz w:val="22"/>
          <w:szCs w:val="22"/>
          <w:lang w:val="en-GB"/>
        </w:rPr>
        <w:t xml:space="preserve"> </w:t>
      </w:r>
      <w:r w:rsidR="00CF4050">
        <w:rPr>
          <w:rFonts w:ascii="Arial" w:hAnsi="Arial" w:cs="Arial"/>
          <w:color w:val="7B7B7B" w:themeColor="accent3" w:themeShade="BF"/>
          <w:sz w:val="22"/>
          <w:szCs w:val="22"/>
          <w:lang w:val="en-GB"/>
        </w:rPr>
        <w:t xml:space="preserve">if the company </w:t>
      </w:r>
      <w:r w:rsidR="00404BAD">
        <w:rPr>
          <w:rFonts w:ascii="Arial" w:hAnsi="Arial" w:cs="Arial"/>
          <w:color w:val="7B7B7B" w:themeColor="accent3" w:themeShade="BF"/>
          <w:sz w:val="22"/>
          <w:szCs w:val="22"/>
          <w:lang w:val="en-GB"/>
        </w:rPr>
        <w:t>is dissolved, unable to pay its debts or i</w:t>
      </w:r>
      <w:r w:rsidR="00530861">
        <w:rPr>
          <w:rFonts w:ascii="Arial" w:hAnsi="Arial" w:cs="Arial"/>
          <w:color w:val="7B7B7B" w:themeColor="accent3" w:themeShade="BF"/>
          <w:sz w:val="22"/>
          <w:szCs w:val="22"/>
          <w:lang w:val="en-GB"/>
        </w:rPr>
        <w:t>f</w:t>
      </w:r>
      <w:r w:rsidR="00404BAD">
        <w:rPr>
          <w:rFonts w:ascii="Arial" w:hAnsi="Arial" w:cs="Arial"/>
          <w:color w:val="7B7B7B" w:themeColor="accent3" w:themeShade="BF"/>
          <w:sz w:val="22"/>
          <w:szCs w:val="22"/>
          <w:lang w:val="en-GB"/>
        </w:rPr>
        <w:t xml:space="preserve"> the court</w:t>
      </w:r>
      <w:r w:rsidR="00B63547">
        <w:rPr>
          <w:rFonts w:ascii="Arial" w:hAnsi="Arial" w:cs="Arial"/>
          <w:color w:val="7B7B7B" w:themeColor="accent3" w:themeShade="BF"/>
          <w:sz w:val="22"/>
          <w:szCs w:val="22"/>
          <w:lang w:val="en-GB"/>
        </w:rPr>
        <w:t xml:space="preserve"> is of opinion that it is just and </w:t>
      </w:r>
      <w:r w:rsidR="003371E7">
        <w:rPr>
          <w:rFonts w:ascii="Arial" w:hAnsi="Arial" w:cs="Arial"/>
          <w:color w:val="7B7B7B" w:themeColor="accent3" w:themeShade="BF"/>
          <w:sz w:val="22"/>
          <w:szCs w:val="22"/>
          <w:lang w:val="en-GB"/>
        </w:rPr>
        <w:t>equitable the company should be wound up</w:t>
      </w:r>
      <w:r w:rsidR="00530861">
        <w:rPr>
          <w:rFonts w:ascii="Arial" w:hAnsi="Arial" w:cs="Arial"/>
          <w:color w:val="7B7B7B" w:themeColor="accent3" w:themeShade="BF"/>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4AA54" w14:textId="77777777" w:rsidR="000F2F1E" w:rsidRDefault="000F2F1E" w:rsidP="00241B44">
      <w:r>
        <w:separator/>
      </w:r>
    </w:p>
  </w:endnote>
  <w:endnote w:type="continuationSeparator" w:id="0">
    <w:p w14:paraId="7D75607B" w14:textId="77777777" w:rsidR="000F2F1E" w:rsidRDefault="000F2F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bCs/>
        <w:sz w:val="18"/>
        <w:szCs w:val="18"/>
      </w:rPr>
      <w:id w:val="-758512077"/>
      <w:docPartObj>
        <w:docPartGallery w:val="Page Numbers (Bottom of Page)"/>
        <w:docPartUnique/>
      </w:docPartObj>
    </w:sdtPr>
    <w:sdtEndPr>
      <w:rPr>
        <w:rStyle w:val="Nmerodepgina"/>
      </w:rPr>
    </w:sdtEndPr>
    <w:sdtContent>
      <w:p w14:paraId="0AAD6B61" w14:textId="77777777" w:rsidR="006E1CB0" w:rsidRPr="00A31881" w:rsidRDefault="006E1CB0"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6E1CB0" w:rsidRPr="00A31881" w:rsidRDefault="006E1CB0"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b/>
        <w:bCs/>
        <w:sz w:val="18"/>
        <w:szCs w:val="18"/>
      </w:rPr>
      <w:id w:val="-2016673495"/>
      <w:docPartObj>
        <w:docPartGallery w:val="Page Numbers (Bottom of Page)"/>
        <w:docPartUnique/>
      </w:docPartObj>
    </w:sdtPr>
    <w:sdtEndPr>
      <w:rPr>
        <w:rStyle w:val="Nmerodepgina"/>
        <w:b w:val="0"/>
        <w:bCs w:val="0"/>
      </w:rPr>
    </w:sdtEndPr>
    <w:sdtContent>
      <w:p w14:paraId="532C33C7" w14:textId="3184068D" w:rsidR="006E1CB0" w:rsidRPr="0052732A" w:rsidRDefault="006E1CB0" w:rsidP="006E1CB0">
        <w:pPr>
          <w:pStyle w:val="Rodap"/>
          <w:framePr w:wrap="none" w:vAnchor="text" w:hAnchor="margin" w:xAlign="right" w:y="1"/>
          <w:rPr>
            <w:rStyle w:val="Nmerodepgina"/>
            <w:rFonts w:ascii="Arial" w:hAnsi="Arial" w:cs="Arial"/>
            <w:sz w:val="18"/>
            <w:szCs w:val="18"/>
          </w:rPr>
        </w:pPr>
        <w:r w:rsidRPr="00C50F86">
          <w:rPr>
            <w:rStyle w:val="Nmerodepgina"/>
            <w:rFonts w:ascii="Arial" w:hAnsi="Arial" w:cs="Arial"/>
            <w:b/>
            <w:bCs/>
            <w:sz w:val="18"/>
            <w:szCs w:val="18"/>
          </w:rPr>
          <w:t xml:space="preserve">Page </w:t>
        </w:r>
        <w:r w:rsidRPr="00C50F86">
          <w:rPr>
            <w:rStyle w:val="Nmerodepgina"/>
            <w:rFonts w:ascii="Arial" w:hAnsi="Arial" w:cs="Arial"/>
            <w:b/>
            <w:bCs/>
            <w:sz w:val="18"/>
            <w:szCs w:val="18"/>
          </w:rPr>
          <w:fldChar w:fldCharType="begin"/>
        </w:r>
        <w:r w:rsidRPr="00C50F86">
          <w:rPr>
            <w:rStyle w:val="Nmerodepgina"/>
            <w:rFonts w:ascii="Arial" w:hAnsi="Arial" w:cs="Arial"/>
            <w:b/>
            <w:bCs/>
            <w:sz w:val="18"/>
            <w:szCs w:val="18"/>
          </w:rPr>
          <w:instrText xml:space="preserve"> PAGE </w:instrText>
        </w:r>
        <w:r w:rsidRPr="00C50F86">
          <w:rPr>
            <w:rStyle w:val="Nmerodepgina"/>
            <w:rFonts w:ascii="Arial" w:hAnsi="Arial" w:cs="Arial"/>
            <w:b/>
            <w:bCs/>
            <w:sz w:val="18"/>
            <w:szCs w:val="18"/>
          </w:rPr>
          <w:fldChar w:fldCharType="separate"/>
        </w:r>
        <w:r w:rsidR="001D7EF2">
          <w:rPr>
            <w:rStyle w:val="Nmerodepgina"/>
            <w:rFonts w:ascii="Arial" w:hAnsi="Arial" w:cs="Arial"/>
            <w:b/>
            <w:bCs/>
            <w:noProof/>
            <w:sz w:val="18"/>
            <w:szCs w:val="18"/>
          </w:rPr>
          <w:t>10</w:t>
        </w:r>
        <w:r w:rsidRPr="00C50F86">
          <w:rPr>
            <w:rStyle w:val="Nmerodepgina"/>
            <w:rFonts w:ascii="Arial" w:hAnsi="Arial" w:cs="Arial"/>
            <w:b/>
            <w:bCs/>
            <w:sz w:val="18"/>
            <w:szCs w:val="18"/>
          </w:rPr>
          <w:fldChar w:fldCharType="end"/>
        </w:r>
      </w:p>
    </w:sdtContent>
  </w:sdt>
  <w:p w14:paraId="12ABA5E1" w14:textId="0DBDE8AC" w:rsidR="006E1CB0" w:rsidRPr="0052732A" w:rsidRDefault="000B5E64" w:rsidP="0052732A">
    <w:pPr>
      <w:pStyle w:val="Rodap"/>
      <w:ind w:right="360"/>
      <w:rPr>
        <w:rFonts w:ascii="Arial" w:hAnsi="Arial" w:cs="Arial"/>
        <w:sz w:val="18"/>
        <w:szCs w:val="18"/>
      </w:rPr>
    </w:pPr>
    <w:r>
      <w:rPr>
        <w:rFonts w:ascii="Arial" w:hAnsi="Arial" w:cs="Arial"/>
        <w:sz w:val="18"/>
        <w:szCs w:val="18"/>
      </w:rPr>
      <w:t>202122-520</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FBAFE" w14:textId="77777777" w:rsidR="000F2F1E" w:rsidRDefault="000F2F1E" w:rsidP="00241B44">
      <w:r>
        <w:separator/>
      </w:r>
    </w:p>
  </w:footnote>
  <w:footnote w:type="continuationSeparator" w:id="0">
    <w:p w14:paraId="6D606700" w14:textId="77777777" w:rsidR="000F2F1E" w:rsidRDefault="000F2F1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846"/>
    <w:rsid w:val="00015EE6"/>
    <w:rsid w:val="00020557"/>
    <w:rsid w:val="0002322B"/>
    <w:rsid w:val="000250C7"/>
    <w:rsid w:val="00031918"/>
    <w:rsid w:val="000329A6"/>
    <w:rsid w:val="00034C0C"/>
    <w:rsid w:val="00037621"/>
    <w:rsid w:val="000419D4"/>
    <w:rsid w:val="00042A80"/>
    <w:rsid w:val="00043365"/>
    <w:rsid w:val="000436F0"/>
    <w:rsid w:val="00043960"/>
    <w:rsid w:val="00044D46"/>
    <w:rsid w:val="00045088"/>
    <w:rsid w:val="00045904"/>
    <w:rsid w:val="00045DC7"/>
    <w:rsid w:val="00046789"/>
    <w:rsid w:val="000521C4"/>
    <w:rsid w:val="00052A5E"/>
    <w:rsid w:val="00054EC2"/>
    <w:rsid w:val="00055EB9"/>
    <w:rsid w:val="0006130F"/>
    <w:rsid w:val="0006172E"/>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31E"/>
    <w:rsid w:val="0009471C"/>
    <w:rsid w:val="000A01B9"/>
    <w:rsid w:val="000A0C1B"/>
    <w:rsid w:val="000A68ED"/>
    <w:rsid w:val="000A74CA"/>
    <w:rsid w:val="000B5B93"/>
    <w:rsid w:val="000B5E64"/>
    <w:rsid w:val="000B5FF1"/>
    <w:rsid w:val="000B609F"/>
    <w:rsid w:val="000D55A8"/>
    <w:rsid w:val="000D57BE"/>
    <w:rsid w:val="000D6876"/>
    <w:rsid w:val="000E0165"/>
    <w:rsid w:val="000E3A82"/>
    <w:rsid w:val="000E3C5A"/>
    <w:rsid w:val="000E4841"/>
    <w:rsid w:val="000E5CB4"/>
    <w:rsid w:val="000F0DC0"/>
    <w:rsid w:val="000F0FFF"/>
    <w:rsid w:val="000F1677"/>
    <w:rsid w:val="000F2F1E"/>
    <w:rsid w:val="000F3D6C"/>
    <w:rsid w:val="000F58B0"/>
    <w:rsid w:val="00100A77"/>
    <w:rsid w:val="00101707"/>
    <w:rsid w:val="00104CAD"/>
    <w:rsid w:val="00105CBD"/>
    <w:rsid w:val="001107F2"/>
    <w:rsid w:val="00110E0C"/>
    <w:rsid w:val="001131C6"/>
    <w:rsid w:val="0011473D"/>
    <w:rsid w:val="00115C85"/>
    <w:rsid w:val="0012303D"/>
    <w:rsid w:val="00123855"/>
    <w:rsid w:val="00124B70"/>
    <w:rsid w:val="00125A7C"/>
    <w:rsid w:val="00126A4D"/>
    <w:rsid w:val="00131D42"/>
    <w:rsid w:val="0013278B"/>
    <w:rsid w:val="00133909"/>
    <w:rsid w:val="00135FAA"/>
    <w:rsid w:val="00135FFC"/>
    <w:rsid w:val="0014104B"/>
    <w:rsid w:val="0014171F"/>
    <w:rsid w:val="0014622C"/>
    <w:rsid w:val="00150F6C"/>
    <w:rsid w:val="00151608"/>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1F88"/>
    <w:rsid w:val="00193AB3"/>
    <w:rsid w:val="001966D9"/>
    <w:rsid w:val="00197963"/>
    <w:rsid w:val="001A4A1C"/>
    <w:rsid w:val="001A620B"/>
    <w:rsid w:val="001A7E9A"/>
    <w:rsid w:val="001B0F70"/>
    <w:rsid w:val="001B5016"/>
    <w:rsid w:val="001B6CEE"/>
    <w:rsid w:val="001C45FC"/>
    <w:rsid w:val="001C594A"/>
    <w:rsid w:val="001C6A8B"/>
    <w:rsid w:val="001D1BF7"/>
    <w:rsid w:val="001D4862"/>
    <w:rsid w:val="001D4BF4"/>
    <w:rsid w:val="001D7EF2"/>
    <w:rsid w:val="001E1FB4"/>
    <w:rsid w:val="001E23FD"/>
    <w:rsid w:val="001E25B9"/>
    <w:rsid w:val="001E392F"/>
    <w:rsid w:val="001E49E0"/>
    <w:rsid w:val="001E53E0"/>
    <w:rsid w:val="001E7B5A"/>
    <w:rsid w:val="001F1478"/>
    <w:rsid w:val="001F2AF5"/>
    <w:rsid w:val="001F586B"/>
    <w:rsid w:val="001F603D"/>
    <w:rsid w:val="001F7412"/>
    <w:rsid w:val="001F7C77"/>
    <w:rsid w:val="00202C2B"/>
    <w:rsid w:val="00205B31"/>
    <w:rsid w:val="0020725B"/>
    <w:rsid w:val="00212B14"/>
    <w:rsid w:val="00216499"/>
    <w:rsid w:val="002164C0"/>
    <w:rsid w:val="00216CB4"/>
    <w:rsid w:val="002173C5"/>
    <w:rsid w:val="00221779"/>
    <w:rsid w:val="00223780"/>
    <w:rsid w:val="00227191"/>
    <w:rsid w:val="0022719C"/>
    <w:rsid w:val="002362AB"/>
    <w:rsid w:val="002400DB"/>
    <w:rsid w:val="002406A4"/>
    <w:rsid w:val="0024116D"/>
    <w:rsid w:val="00241B44"/>
    <w:rsid w:val="00245EFB"/>
    <w:rsid w:val="002529D2"/>
    <w:rsid w:val="0025386E"/>
    <w:rsid w:val="002576E6"/>
    <w:rsid w:val="0026322D"/>
    <w:rsid w:val="002638B0"/>
    <w:rsid w:val="00264E0E"/>
    <w:rsid w:val="0026510C"/>
    <w:rsid w:val="0026647A"/>
    <w:rsid w:val="002668D3"/>
    <w:rsid w:val="00266F17"/>
    <w:rsid w:val="002672D0"/>
    <w:rsid w:val="0027242B"/>
    <w:rsid w:val="0027299F"/>
    <w:rsid w:val="00275182"/>
    <w:rsid w:val="00275946"/>
    <w:rsid w:val="002805DB"/>
    <w:rsid w:val="00284EBE"/>
    <w:rsid w:val="00286720"/>
    <w:rsid w:val="002872E1"/>
    <w:rsid w:val="00287B2E"/>
    <w:rsid w:val="00287D4D"/>
    <w:rsid w:val="00290116"/>
    <w:rsid w:val="0029433F"/>
    <w:rsid w:val="00294762"/>
    <w:rsid w:val="00294829"/>
    <w:rsid w:val="00295742"/>
    <w:rsid w:val="002957A8"/>
    <w:rsid w:val="0029690F"/>
    <w:rsid w:val="00296E1C"/>
    <w:rsid w:val="002A2A60"/>
    <w:rsid w:val="002A3815"/>
    <w:rsid w:val="002A6646"/>
    <w:rsid w:val="002B1C45"/>
    <w:rsid w:val="002B2970"/>
    <w:rsid w:val="002C1227"/>
    <w:rsid w:val="002C13C8"/>
    <w:rsid w:val="002C259C"/>
    <w:rsid w:val="002C3547"/>
    <w:rsid w:val="002D0021"/>
    <w:rsid w:val="002D10A3"/>
    <w:rsid w:val="002D295D"/>
    <w:rsid w:val="002D3473"/>
    <w:rsid w:val="002E06E4"/>
    <w:rsid w:val="002E37B7"/>
    <w:rsid w:val="002E44F6"/>
    <w:rsid w:val="002E4A02"/>
    <w:rsid w:val="002E4A1F"/>
    <w:rsid w:val="002E66F4"/>
    <w:rsid w:val="002F1956"/>
    <w:rsid w:val="002F2B8D"/>
    <w:rsid w:val="002F3440"/>
    <w:rsid w:val="002F3B17"/>
    <w:rsid w:val="002F5413"/>
    <w:rsid w:val="002F5DD8"/>
    <w:rsid w:val="002F72C2"/>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1E7"/>
    <w:rsid w:val="0033768C"/>
    <w:rsid w:val="00337938"/>
    <w:rsid w:val="00340769"/>
    <w:rsid w:val="00341A65"/>
    <w:rsid w:val="00341AA6"/>
    <w:rsid w:val="00342E57"/>
    <w:rsid w:val="00353DBC"/>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C8C"/>
    <w:rsid w:val="00397D3A"/>
    <w:rsid w:val="003A051E"/>
    <w:rsid w:val="003A0BBE"/>
    <w:rsid w:val="003A2448"/>
    <w:rsid w:val="003A3128"/>
    <w:rsid w:val="003A60FF"/>
    <w:rsid w:val="003A696A"/>
    <w:rsid w:val="003B0CB9"/>
    <w:rsid w:val="003B170F"/>
    <w:rsid w:val="003B3C5F"/>
    <w:rsid w:val="003C1451"/>
    <w:rsid w:val="003C2017"/>
    <w:rsid w:val="003C4471"/>
    <w:rsid w:val="003C52EF"/>
    <w:rsid w:val="003D0A6D"/>
    <w:rsid w:val="003D100A"/>
    <w:rsid w:val="003D3045"/>
    <w:rsid w:val="003D4300"/>
    <w:rsid w:val="003D6AC4"/>
    <w:rsid w:val="003E064D"/>
    <w:rsid w:val="003E0B16"/>
    <w:rsid w:val="003E2D1B"/>
    <w:rsid w:val="003E67D1"/>
    <w:rsid w:val="003F655E"/>
    <w:rsid w:val="003F74D9"/>
    <w:rsid w:val="00404BAD"/>
    <w:rsid w:val="00404EF7"/>
    <w:rsid w:val="00405DC1"/>
    <w:rsid w:val="00414BF9"/>
    <w:rsid w:val="00415DFF"/>
    <w:rsid w:val="00415F1F"/>
    <w:rsid w:val="0042108F"/>
    <w:rsid w:val="004214D4"/>
    <w:rsid w:val="00422070"/>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0C80"/>
    <w:rsid w:val="0046142D"/>
    <w:rsid w:val="00461911"/>
    <w:rsid w:val="0046274F"/>
    <w:rsid w:val="0046298C"/>
    <w:rsid w:val="00463259"/>
    <w:rsid w:val="004659E0"/>
    <w:rsid w:val="00470A63"/>
    <w:rsid w:val="00470C55"/>
    <w:rsid w:val="004715C1"/>
    <w:rsid w:val="004731F4"/>
    <w:rsid w:val="00475E61"/>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3A2E"/>
    <w:rsid w:val="004B428D"/>
    <w:rsid w:val="004B4B5C"/>
    <w:rsid w:val="004B607C"/>
    <w:rsid w:val="004B7BF1"/>
    <w:rsid w:val="004C1DA6"/>
    <w:rsid w:val="004C5E4F"/>
    <w:rsid w:val="004C7030"/>
    <w:rsid w:val="004C7775"/>
    <w:rsid w:val="004D1A5A"/>
    <w:rsid w:val="004D2FFF"/>
    <w:rsid w:val="004D3721"/>
    <w:rsid w:val="004D64F9"/>
    <w:rsid w:val="004D67C1"/>
    <w:rsid w:val="004D687E"/>
    <w:rsid w:val="004E4224"/>
    <w:rsid w:val="004E5A14"/>
    <w:rsid w:val="004E622C"/>
    <w:rsid w:val="004E64DB"/>
    <w:rsid w:val="004F1534"/>
    <w:rsid w:val="004F2DD1"/>
    <w:rsid w:val="004F3375"/>
    <w:rsid w:val="004F5264"/>
    <w:rsid w:val="004F55F1"/>
    <w:rsid w:val="004F5FDF"/>
    <w:rsid w:val="0050156C"/>
    <w:rsid w:val="00504142"/>
    <w:rsid w:val="005059A4"/>
    <w:rsid w:val="00515756"/>
    <w:rsid w:val="00515F63"/>
    <w:rsid w:val="005164F9"/>
    <w:rsid w:val="005177FE"/>
    <w:rsid w:val="0052263B"/>
    <w:rsid w:val="00524728"/>
    <w:rsid w:val="00525459"/>
    <w:rsid w:val="00525C99"/>
    <w:rsid w:val="0052732A"/>
    <w:rsid w:val="00530010"/>
    <w:rsid w:val="00530861"/>
    <w:rsid w:val="00530CA0"/>
    <w:rsid w:val="00531693"/>
    <w:rsid w:val="00532283"/>
    <w:rsid w:val="005323A7"/>
    <w:rsid w:val="005331CA"/>
    <w:rsid w:val="00533748"/>
    <w:rsid w:val="0053523A"/>
    <w:rsid w:val="00537970"/>
    <w:rsid w:val="00540E3A"/>
    <w:rsid w:val="00541EEB"/>
    <w:rsid w:val="00542E08"/>
    <w:rsid w:val="005433D7"/>
    <w:rsid w:val="0054354B"/>
    <w:rsid w:val="00543941"/>
    <w:rsid w:val="00544127"/>
    <w:rsid w:val="005508BB"/>
    <w:rsid w:val="00553EB2"/>
    <w:rsid w:val="00556482"/>
    <w:rsid w:val="00560534"/>
    <w:rsid w:val="00560D74"/>
    <w:rsid w:val="00561D68"/>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1D81"/>
    <w:rsid w:val="005B2AA0"/>
    <w:rsid w:val="005B503A"/>
    <w:rsid w:val="005B67AC"/>
    <w:rsid w:val="005C01B0"/>
    <w:rsid w:val="005C2790"/>
    <w:rsid w:val="005C36E9"/>
    <w:rsid w:val="005C3B3A"/>
    <w:rsid w:val="005C6778"/>
    <w:rsid w:val="005D0511"/>
    <w:rsid w:val="005D3437"/>
    <w:rsid w:val="005D43E0"/>
    <w:rsid w:val="005D58A3"/>
    <w:rsid w:val="005D6177"/>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6955"/>
    <w:rsid w:val="00627CC9"/>
    <w:rsid w:val="00627E7B"/>
    <w:rsid w:val="00630542"/>
    <w:rsid w:val="00630727"/>
    <w:rsid w:val="00631E7B"/>
    <w:rsid w:val="00632E44"/>
    <w:rsid w:val="0063316D"/>
    <w:rsid w:val="00633DC9"/>
    <w:rsid w:val="00634622"/>
    <w:rsid w:val="00636808"/>
    <w:rsid w:val="0064043F"/>
    <w:rsid w:val="00641515"/>
    <w:rsid w:val="00643ABE"/>
    <w:rsid w:val="00644E00"/>
    <w:rsid w:val="006521CD"/>
    <w:rsid w:val="00652A22"/>
    <w:rsid w:val="00653584"/>
    <w:rsid w:val="00654C2F"/>
    <w:rsid w:val="00655438"/>
    <w:rsid w:val="00657087"/>
    <w:rsid w:val="0065715A"/>
    <w:rsid w:val="00657F20"/>
    <w:rsid w:val="006661EF"/>
    <w:rsid w:val="006746CB"/>
    <w:rsid w:val="00675434"/>
    <w:rsid w:val="006775D1"/>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6E6E"/>
    <w:rsid w:val="007576A3"/>
    <w:rsid w:val="007603F5"/>
    <w:rsid w:val="00760A70"/>
    <w:rsid w:val="0076181C"/>
    <w:rsid w:val="00764DB0"/>
    <w:rsid w:val="007671EB"/>
    <w:rsid w:val="0076764D"/>
    <w:rsid w:val="0076766F"/>
    <w:rsid w:val="00770DF5"/>
    <w:rsid w:val="00773496"/>
    <w:rsid w:val="0077498C"/>
    <w:rsid w:val="00777070"/>
    <w:rsid w:val="00782B3F"/>
    <w:rsid w:val="00784128"/>
    <w:rsid w:val="0078662F"/>
    <w:rsid w:val="00790B4C"/>
    <w:rsid w:val="0079206E"/>
    <w:rsid w:val="00793173"/>
    <w:rsid w:val="007958F0"/>
    <w:rsid w:val="00797E1B"/>
    <w:rsid w:val="007A12A4"/>
    <w:rsid w:val="007B1E13"/>
    <w:rsid w:val="007B4284"/>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19B"/>
    <w:rsid w:val="007E6BA4"/>
    <w:rsid w:val="007F19A2"/>
    <w:rsid w:val="007F1FAE"/>
    <w:rsid w:val="007F41F8"/>
    <w:rsid w:val="00804000"/>
    <w:rsid w:val="0080454E"/>
    <w:rsid w:val="00804C32"/>
    <w:rsid w:val="00806302"/>
    <w:rsid w:val="00807119"/>
    <w:rsid w:val="00811865"/>
    <w:rsid w:val="00811F72"/>
    <w:rsid w:val="00812D6B"/>
    <w:rsid w:val="00814A55"/>
    <w:rsid w:val="0082483F"/>
    <w:rsid w:val="008279C0"/>
    <w:rsid w:val="00841E70"/>
    <w:rsid w:val="008473AA"/>
    <w:rsid w:val="00852883"/>
    <w:rsid w:val="00852F37"/>
    <w:rsid w:val="008571F6"/>
    <w:rsid w:val="00861E51"/>
    <w:rsid w:val="008621FD"/>
    <w:rsid w:val="00865811"/>
    <w:rsid w:val="00870B96"/>
    <w:rsid w:val="008723F3"/>
    <w:rsid w:val="00873246"/>
    <w:rsid w:val="008746B0"/>
    <w:rsid w:val="00875E2E"/>
    <w:rsid w:val="00880F99"/>
    <w:rsid w:val="00881DA8"/>
    <w:rsid w:val="00881DE6"/>
    <w:rsid w:val="008837A6"/>
    <w:rsid w:val="0089145D"/>
    <w:rsid w:val="00896FD7"/>
    <w:rsid w:val="00897428"/>
    <w:rsid w:val="008A30C3"/>
    <w:rsid w:val="008A30EE"/>
    <w:rsid w:val="008A4DF2"/>
    <w:rsid w:val="008A6841"/>
    <w:rsid w:val="008A6CFE"/>
    <w:rsid w:val="008B3BC9"/>
    <w:rsid w:val="008B40E7"/>
    <w:rsid w:val="008B4681"/>
    <w:rsid w:val="008B4B58"/>
    <w:rsid w:val="008B5333"/>
    <w:rsid w:val="008B6223"/>
    <w:rsid w:val="008C4066"/>
    <w:rsid w:val="008C66E0"/>
    <w:rsid w:val="008D0122"/>
    <w:rsid w:val="008D3E17"/>
    <w:rsid w:val="008D46B8"/>
    <w:rsid w:val="008D5D34"/>
    <w:rsid w:val="008D7718"/>
    <w:rsid w:val="008E0A73"/>
    <w:rsid w:val="008E220E"/>
    <w:rsid w:val="008E3339"/>
    <w:rsid w:val="008E64D3"/>
    <w:rsid w:val="008E6F11"/>
    <w:rsid w:val="008F20FC"/>
    <w:rsid w:val="008F50C4"/>
    <w:rsid w:val="008F5FFE"/>
    <w:rsid w:val="0090037B"/>
    <w:rsid w:val="00905A43"/>
    <w:rsid w:val="00906CC6"/>
    <w:rsid w:val="009078CE"/>
    <w:rsid w:val="009108EF"/>
    <w:rsid w:val="00911C23"/>
    <w:rsid w:val="00912C79"/>
    <w:rsid w:val="00913FB9"/>
    <w:rsid w:val="009147DD"/>
    <w:rsid w:val="00915010"/>
    <w:rsid w:val="0091528C"/>
    <w:rsid w:val="009173D1"/>
    <w:rsid w:val="00923CCC"/>
    <w:rsid w:val="00926D10"/>
    <w:rsid w:val="009275FE"/>
    <w:rsid w:val="00942123"/>
    <w:rsid w:val="0094263A"/>
    <w:rsid w:val="00946EE0"/>
    <w:rsid w:val="0095029B"/>
    <w:rsid w:val="00950B30"/>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35BF"/>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85643"/>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3D05"/>
    <w:rsid w:val="00AD74AD"/>
    <w:rsid w:val="00AE027F"/>
    <w:rsid w:val="00AE714A"/>
    <w:rsid w:val="00AF228E"/>
    <w:rsid w:val="00AF455B"/>
    <w:rsid w:val="00B0123F"/>
    <w:rsid w:val="00B04004"/>
    <w:rsid w:val="00B14819"/>
    <w:rsid w:val="00B149B4"/>
    <w:rsid w:val="00B154EF"/>
    <w:rsid w:val="00B16251"/>
    <w:rsid w:val="00B17AA9"/>
    <w:rsid w:val="00B20F64"/>
    <w:rsid w:val="00B221FF"/>
    <w:rsid w:val="00B22FBD"/>
    <w:rsid w:val="00B26B31"/>
    <w:rsid w:val="00B30A70"/>
    <w:rsid w:val="00B32674"/>
    <w:rsid w:val="00B333FE"/>
    <w:rsid w:val="00B3503B"/>
    <w:rsid w:val="00B378FA"/>
    <w:rsid w:val="00B42352"/>
    <w:rsid w:val="00B47CA8"/>
    <w:rsid w:val="00B51227"/>
    <w:rsid w:val="00B51975"/>
    <w:rsid w:val="00B52E4D"/>
    <w:rsid w:val="00B54F90"/>
    <w:rsid w:val="00B55C9E"/>
    <w:rsid w:val="00B56B95"/>
    <w:rsid w:val="00B607DF"/>
    <w:rsid w:val="00B63547"/>
    <w:rsid w:val="00B6409C"/>
    <w:rsid w:val="00B66053"/>
    <w:rsid w:val="00B7193E"/>
    <w:rsid w:val="00B72999"/>
    <w:rsid w:val="00B72FD7"/>
    <w:rsid w:val="00B736DF"/>
    <w:rsid w:val="00B74FBD"/>
    <w:rsid w:val="00B77980"/>
    <w:rsid w:val="00B82586"/>
    <w:rsid w:val="00B829A3"/>
    <w:rsid w:val="00B86537"/>
    <w:rsid w:val="00B86DB1"/>
    <w:rsid w:val="00B87869"/>
    <w:rsid w:val="00B87A61"/>
    <w:rsid w:val="00B92D5B"/>
    <w:rsid w:val="00B9417E"/>
    <w:rsid w:val="00B97FD3"/>
    <w:rsid w:val="00BA1648"/>
    <w:rsid w:val="00BA2637"/>
    <w:rsid w:val="00BA35FF"/>
    <w:rsid w:val="00BA5AC6"/>
    <w:rsid w:val="00BB09FD"/>
    <w:rsid w:val="00BB0F2B"/>
    <w:rsid w:val="00BB5A37"/>
    <w:rsid w:val="00BB6955"/>
    <w:rsid w:val="00BB6F7A"/>
    <w:rsid w:val="00BC48EB"/>
    <w:rsid w:val="00BC585F"/>
    <w:rsid w:val="00BC5D7D"/>
    <w:rsid w:val="00BD0299"/>
    <w:rsid w:val="00BD23B4"/>
    <w:rsid w:val="00BD3363"/>
    <w:rsid w:val="00BD3F18"/>
    <w:rsid w:val="00BD618B"/>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593"/>
    <w:rsid w:val="00C95847"/>
    <w:rsid w:val="00C963D3"/>
    <w:rsid w:val="00C9715B"/>
    <w:rsid w:val="00CA1802"/>
    <w:rsid w:val="00CB262C"/>
    <w:rsid w:val="00CB2CBB"/>
    <w:rsid w:val="00CB7283"/>
    <w:rsid w:val="00CB7CAC"/>
    <w:rsid w:val="00CC467D"/>
    <w:rsid w:val="00CC5335"/>
    <w:rsid w:val="00CC579C"/>
    <w:rsid w:val="00CC5BA4"/>
    <w:rsid w:val="00CC7728"/>
    <w:rsid w:val="00CD0FFE"/>
    <w:rsid w:val="00CD1727"/>
    <w:rsid w:val="00CD34DB"/>
    <w:rsid w:val="00CD377A"/>
    <w:rsid w:val="00CD4998"/>
    <w:rsid w:val="00CE1035"/>
    <w:rsid w:val="00CE62CA"/>
    <w:rsid w:val="00CF2819"/>
    <w:rsid w:val="00CF4050"/>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2B8F"/>
    <w:rsid w:val="00D4685B"/>
    <w:rsid w:val="00D57C59"/>
    <w:rsid w:val="00D60215"/>
    <w:rsid w:val="00D60874"/>
    <w:rsid w:val="00D63EFD"/>
    <w:rsid w:val="00D6588F"/>
    <w:rsid w:val="00D676F1"/>
    <w:rsid w:val="00D714E4"/>
    <w:rsid w:val="00D84752"/>
    <w:rsid w:val="00D85A93"/>
    <w:rsid w:val="00D86A74"/>
    <w:rsid w:val="00D86B3B"/>
    <w:rsid w:val="00D8748A"/>
    <w:rsid w:val="00D905E4"/>
    <w:rsid w:val="00D93196"/>
    <w:rsid w:val="00D931A2"/>
    <w:rsid w:val="00DA42EF"/>
    <w:rsid w:val="00DB243C"/>
    <w:rsid w:val="00DB482A"/>
    <w:rsid w:val="00DB56F2"/>
    <w:rsid w:val="00DB5D9B"/>
    <w:rsid w:val="00DB6EF5"/>
    <w:rsid w:val="00DC0F5C"/>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1D5F"/>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3E2"/>
    <w:rsid w:val="00E525B9"/>
    <w:rsid w:val="00E54ADD"/>
    <w:rsid w:val="00E55547"/>
    <w:rsid w:val="00E55E9B"/>
    <w:rsid w:val="00E6211B"/>
    <w:rsid w:val="00E6302B"/>
    <w:rsid w:val="00E6452F"/>
    <w:rsid w:val="00E64F45"/>
    <w:rsid w:val="00E6742D"/>
    <w:rsid w:val="00E71CB0"/>
    <w:rsid w:val="00E75FD1"/>
    <w:rsid w:val="00E7793C"/>
    <w:rsid w:val="00E77C3D"/>
    <w:rsid w:val="00E80299"/>
    <w:rsid w:val="00E8272F"/>
    <w:rsid w:val="00E84DA5"/>
    <w:rsid w:val="00E84DD5"/>
    <w:rsid w:val="00E86549"/>
    <w:rsid w:val="00E86D64"/>
    <w:rsid w:val="00E909F0"/>
    <w:rsid w:val="00E90D47"/>
    <w:rsid w:val="00E91BE6"/>
    <w:rsid w:val="00E92DA7"/>
    <w:rsid w:val="00E93993"/>
    <w:rsid w:val="00E93E0D"/>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1EAB"/>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B1B"/>
    <w:rsid w:val="00F35CCE"/>
    <w:rsid w:val="00F35D73"/>
    <w:rsid w:val="00F366E1"/>
    <w:rsid w:val="00F40A28"/>
    <w:rsid w:val="00F42B4B"/>
    <w:rsid w:val="00F4376C"/>
    <w:rsid w:val="00F45599"/>
    <w:rsid w:val="00F50D48"/>
    <w:rsid w:val="00F52E31"/>
    <w:rsid w:val="00F54776"/>
    <w:rsid w:val="00F5524B"/>
    <w:rsid w:val="00F5710B"/>
    <w:rsid w:val="00F57CC7"/>
    <w:rsid w:val="00F61DD2"/>
    <w:rsid w:val="00F63720"/>
    <w:rsid w:val="00F65FB6"/>
    <w:rsid w:val="00F66AFF"/>
    <w:rsid w:val="00F71433"/>
    <w:rsid w:val="00F71CE8"/>
    <w:rsid w:val="00F738B0"/>
    <w:rsid w:val="00F824E5"/>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2991</Words>
  <Characters>16157</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Núbia Bufarah</cp:lastModifiedBy>
  <cp:revision>3</cp:revision>
  <cp:lastPrinted>2020-06-12T02:43:00Z</cp:lastPrinted>
  <dcterms:created xsi:type="dcterms:W3CDTF">2021-11-15T22:15:00Z</dcterms:created>
  <dcterms:modified xsi:type="dcterms:W3CDTF">2021-11-15T22:16:00Z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