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bookmarkStart w:id="0" w:name="_GoBack"/>
      <w:bookmarkEnd w:id="0"/>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D30B8" w:rsidRDefault="00C60631" w:rsidP="009D510C">
      <w:pPr>
        <w:pStyle w:val="ListParagraph"/>
        <w:numPr>
          <w:ilvl w:val="0"/>
          <w:numId w:val="12"/>
        </w:numPr>
        <w:ind w:left="426"/>
        <w:jc w:val="both"/>
        <w:rPr>
          <w:rFonts w:ascii="Arial" w:hAnsi="Arial" w:cs="Arial"/>
          <w:sz w:val="22"/>
          <w:szCs w:val="22"/>
          <w:highlight w:val="yellow"/>
          <w:lang w:val="en-GB"/>
        </w:rPr>
      </w:pPr>
      <w:r w:rsidRPr="004D30B8">
        <w:rPr>
          <w:rFonts w:ascii="Arial" w:hAnsi="Arial" w:cs="Arial"/>
          <w:sz w:val="22"/>
          <w:szCs w:val="22"/>
          <w:highlight w:val="yellow"/>
          <w:lang w:val="en-GB"/>
        </w:rPr>
        <w:t xml:space="preserve">This statement is incorrect since </w:t>
      </w:r>
      <w:r w:rsidR="00E7793C" w:rsidRPr="004D30B8">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4D30B8" w:rsidRDefault="00AE027F" w:rsidP="009D510C">
      <w:pPr>
        <w:pStyle w:val="ListParagraph"/>
        <w:numPr>
          <w:ilvl w:val="0"/>
          <w:numId w:val="13"/>
        </w:numPr>
        <w:jc w:val="both"/>
        <w:rPr>
          <w:rFonts w:ascii="Arial" w:hAnsi="Arial" w:cs="Arial"/>
          <w:sz w:val="22"/>
          <w:szCs w:val="22"/>
          <w:highlight w:val="yellow"/>
          <w:lang w:val="en-GB"/>
        </w:rPr>
      </w:pPr>
      <w:r w:rsidRPr="004D30B8">
        <w:rPr>
          <w:rFonts w:ascii="Arial" w:hAnsi="Arial" w:cs="Arial"/>
          <w:sz w:val="22"/>
          <w:szCs w:val="22"/>
          <w:highlight w:val="yellow"/>
          <w:lang w:val="en-GB"/>
        </w:rPr>
        <w:t>The statement i</w:t>
      </w:r>
      <w:r w:rsidR="006E77B0" w:rsidRPr="004D30B8">
        <w:rPr>
          <w:rFonts w:ascii="Arial" w:hAnsi="Arial" w:cs="Arial"/>
          <w:sz w:val="22"/>
          <w:szCs w:val="22"/>
          <w:highlight w:val="yellow"/>
          <w:lang w:val="en-GB"/>
        </w:rPr>
        <w:t>s incorrect since the UK did re</w:t>
      </w:r>
      <w:r w:rsidRPr="004D30B8">
        <w:rPr>
          <w:rFonts w:ascii="Arial" w:hAnsi="Arial" w:cs="Arial"/>
          <w:sz w:val="22"/>
          <w:szCs w:val="22"/>
          <w:highlight w:val="yellow"/>
          <w:lang w:val="en-GB"/>
        </w:rPr>
        <w:t>v</w:t>
      </w:r>
      <w:r w:rsidR="006E77B0" w:rsidRPr="004D30B8">
        <w:rPr>
          <w:rFonts w:ascii="Arial" w:hAnsi="Arial" w:cs="Arial"/>
          <w:sz w:val="22"/>
          <w:szCs w:val="22"/>
          <w:highlight w:val="yellow"/>
          <w:lang w:val="en-GB"/>
        </w:rPr>
        <w:t>i</w:t>
      </w:r>
      <w:r w:rsidRPr="004D30B8">
        <w:rPr>
          <w:rFonts w:ascii="Arial" w:hAnsi="Arial" w:cs="Arial"/>
          <w:sz w:val="22"/>
          <w:szCs w:val="22"/>
          <w:highlight w:val="yellow"/>
          <w:lang w:val="en-GB"/>
        </w:rPr>
        <w:t>ew parts of its insolvency rules and amended some, among</w:t>
      </w:r>
      <w:r w:rsidR="006E77B0" w:rsidRPr="004D30B8">
        <w:rPr>
          <w:rFonts w:ascii="Arial" w:hAnsi="Arial" w:cs="Arial"/>
          <w:sz w:val="22"/>
          <w:szCs w:val="22"/>
          <w:highlight w:val="yellow"/>
          <w:lang w:val="en-GB"/>
        </w:rPr>
        <w:t>s</w:t>
      </w:r>
      <w:r w:rsidRPr="004D30B8">
        <w:rPr>
          <w:rFonts w:ascii="Arial" w:hAnsi="Arial" w:cs="Arial"/>
          <w:sz w:val="22"/>
          <w:szCs w:val="22"/>
          <w:highlight w:val="yellow"/>
          <w:lang w:val="en-GB"/>
        </w:rPr>
        <w:t>t other</w:t>
      </w:r>
      <w:r w:rsidR="00F96AF1" w:rsidRPr="004D30B8">
        <w:rPr>
          <w:rFonts w:ascii="Arial" w:hAnsi="Arial" w:cs="Arial"/>
          <w:sz w:val="22"/>
          <w:szCs w:val="22"/>
          <w:highlight w:val="yellow"/>
          <w:lang w:val="en-GB"/>
        </w:rPr>
        <w:t xml:space="preserve"> things</w:t>
      </w:r>
      <w:r w:rsidRPr="004D30B8">
        <w:rPr>
          <w:rFonts w:ascii="Arial" w:hAnsi="Arial" w:cs="Arial"/>
          <w:sz w:val="22"/>
          <w:szCs w:val="22"/>
          <w:highlight w:val="yellow"/>
          <w:lang w:val="en-GB"/>
        </w:rPr>
        <w:t>, to deal with the negative economic fall out of the pandemic.</w:t>
      </w:r>
      <w:r w:rsidR="00100A77" w:rsidRPr="004D30B8">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4D30B8" w:rsidRDefault="00B54F90" w:rsidP="009D510C">
      <w:pPr>
        <w:pStyle w:val="ListParagraph"/>
        <w:numPr>
          <w:ilvl w:val="0"/>
          <w:numId w:val="14"/>
        </w:numPr>
        <w:ind w:left="426"/>
        <w:jc w:val="both"/>
        <w:rPr>
          <w:rFonts w:ascii="Arial" w:hAnsi="Arial" w:cs="Arial"/>
          <w:sz w:val="22"/>
          <w:szCs w:val="22"/>
          <w:highlight w:val="yellow"/>
          <w:lang w:val="en-GB"/>
        </w:rPr>
      </w:pPr>
      <w:r w:rsidRPr="004D30B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4D30B8">
        <w:rPr>
          <w:rFonts w:ascii="Arial" w:hAnsi="Arial" w:cs="Arial"/>
          <w:sz w:val="22"/>
          <w:szCs w:val="22"/>
          <w:highlight w:val="yellow"/>
          <w:lang w:val="en-GB"/>
        </w:rPr>
        <w:t xml:space="preserve">on </w:t>
      </w:r>
      <w:r w:rsidRPr="004D30B8">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4D30B8"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4D30B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4D30B8" w:rsidRDefault="00926D10" w:rsidP="009D510C">
      <w:pPr>
        <w:pStyle w:val="ListParagraph"/>
        <w:numPr>
          <w:ilvl w:val="0"/>
          <w:numId w:val="5"/>
        </w:numPr>
        <w:ind w:left="426"/>
        <w:jc w:val="both"/>
        <w:rPr>
          <w:rFonts w:ascii="Arial" w:hAnsi="Arial" w:cs="Arial"/>
          <w:sz w:val="22"/>
          <w:szCs w:val="22"/>
          <w:highlight w:val="yellow"/>
          <w:lang w:val="en-GB"/>
        </w:rPr>
      </w:pPr>
      <w:r w:rsidRPr="004D30B8">
        <w:rPr>
          <w:rFonts w:ascii="Arial" w:hAnsi="Arial" w:cs="Arial"/>
          <w:sz w:val="22"/>
          <w:szCs w:val="22"/>
          <w:highlight w:val="yellow"/>
          <w:lang w:val="en-GB"/>
        </w:rPr>
        <w:t xml:space="preserve">The statement is </w:t>
      </w:r>
      <w:r w:rsidR="006E1CB0" w:rsidRPr="004D30B8">
        <w:rPr>
          <w:rFonts w:ascii="Arial" w:hAnsi="Arial" w:cs="Arial"/>
          <w:sz w:val="22"/>
          <w:szCs w:val="22"/>
          <w:highlight w:val="yellow"/>
          <w:lang w:val="en-GB"/>
        </w:rPr>
        <w:t xml:space="preserve">not </w:t>
      </w:r>
      <w:r w:rsidRPr="004D30B8">
        <w:rPr>
          <w:rFonts w:ascii="Arial" w:hAnsi="Arial" w:cs="Arial"/>
          <w:sz w:val="22"/>
          <w:szCs w:val="22"/>
          <w:highlight w:val="yellow"/>
          <w:lang w:val="en-GB"/>
        </w:rPr>
        <w:t xml:space="preserve">correct </w:t>
      </w:r>
      <w:r w:rsidR="007958F0" w:rsidRPr="004D30B8">
        <w:rPr>
          <w:rFonts w:ascii="Arial" w:hAnsi="Arial" w:cs="Arial"/>
          <w:sz w:val="22"/>
          <w:szCs w:val="22"/>
          <w:highlight w:val="yellow"/>
          <w:lang w:val="en-GB"/>
        </w:rPr>
        <w:t>because</w:t>
      </w:r>
      <w:r w:rsidRPr="004D30B8">
        <w:rPr>
          <w:rFonts w:ascii="Arial" w:hAnsi="Arial" w:cs="Arial"/>
          <w:sz w:val="22"/>
          <w:szCs w:val="22"/>
          <w:highlight w:val="yellow"/>
          <w:lang w:val="en-GB"/>
        </w:rPr>
        <w:t xml:space="preserve"> very few </w:t>
      </w:r>
      <w:r w:rsidR="007958F0" w:rsidRPr="004D30B8">
        <w:rPr>
          <w:rFonts w:ascii="Arial" w:hAnsi="Arial" w:cs="Arial"/>
          <w:sz w:val="22"/>
          <w:szCs w:val="22"/>
          <w:highlight w:val="yellow"/>
          <w:lang w:val="en-GB"/>
        </w:rPr>
        <w:t>States</w:t>
      </w:r>
      <w:r w:rsidRPr="004D30B8">
        <w:rPr>
          <w:rFonts w:ascii="Arial" w:hAnsi="Arial" w:cs="Arial"/>
          <w:sz w:val="22"/>
          <w:szCs w:val="22"/>
          <w:highlight w:val="yellow"/>
          <w:lang w:val="en-GB"/>
        </w:rPr>
        <w:t xml:space="preserve"> allow insolvent estate representatives to deal with assets of a foreign debtor situated in </w:t>
      </w:r>
      <w:r w:rsidR="005936B3" w:rsidRPr="004D30B8">
        <w:rPr>
          <w:rFonts w:ascii="Arial" w:hAnsi="Arial" w:cs="Arial"/>
          <w:sz w:val="22"/>
          <w:szCs w:val="22"/>
          <w:highlight w:val="yellow"/>
          <w:lang w:val="en-GB"/>
        </w:rPr>
        <w:t>their own</w:t>
      </w:r>
      <w:r w:rsidRPr="004D30B8">
        <w:rPr>
          <w:rFonts w:ascii="Arial" w:hAnsi="Arial" w:cs="Arial"/>
          <w:sz w:val="22"/>
          <w:szCs w:val="22"/>
          <w:highlight w:val="yellow"/>
          <w:lang w:val="en-GB"/>
        </w:rPr>
        <w:t xml:space="preserve"> jurisdiction without </w:t>
      </w:r>
      <w:r w:rsidR="006E1CB0" w:rsidRPr="004D30B8">
        <w:rPr>
          <w:rFonts w:ascii="Arial" w:hAnsi="Arial" w:cs="Arial"/>
          <w:sz w:val="22"/>
          <w:szCs w:val="22"/>
          <w:highlight w:val="yellow"/>
          <w:lang w:val="en-GB"/>
        </w:rPr>
        <w:t xml:space="preserve">some form of </w:t>
      </w:r>
      <w:r w:rsidR="0090037B" w:rsidRPr="004D30B8">
        <w:rPr>
          <w:rFonts w:ascii="Arial" w:hAnsi="Arial" w:cs="Arial"/>
          <w:sz w:val="22"/>
          <w:szCs w:val="22"/>
          <w:highlight w:val="yellow"/>
          <w:lang w:val="en-GB"/>
        </w:rPr>
        <w:t xml:space="preserve">a </w:t>
      </w:r>
      <w:r w:rsidR="006E1CB0" w:rsidRPr="004D30B8">
        <w:rPr>
          <w:rFonts w:ascii="Arial" w:hAnsi="Arial" w:cs="Arial"/>
          <w:sz w:val="22"/>
          <w:szCs w:val="22"/>
          <w:highlight w:val="yellow"/>
          <w:lang w:val="en-GB"/>
        </w:rPr>
        <w:t>(</w:t>
      </w:r>
      <w:r w:rsidR="0090037B" w:rsidRPr="004D30B8">
        <w:rPr>
          <w:rFonts w:ascii="Arial" w:hAnsi="Arial" w:cs="Arial"/>
          <w:sz w:val="22"/>
          <w:szCs w:val="22"/>
          <w:highlight w:val="yellow"/>
          <w:lang w:val="en-GB"/>
        </w:rPr>
        <w:t>prior</w:t>
      </w:r>
      <w:r w:rsidR="006E1CB0" w:rsidRPr="004D30B8">
        <w:rPr>
          <w:rFonts w:ascii="Arial" w:hAnsi="Arial" w:cs="Arial"/>
          <w:sz w:val="22"/>
          <w:szCs w:val="22"/>
          <w:highlight w:val="yellow"/>
          <w:lang w:val="en-GB"/>
        </w:rPr>
        <w:t>)</w:t>
      </w:r>
      <w:r w:rsidRPr="004D30B8">
        <w:rPr>
          <w:rFonts w:ascii="Arial" w:hAnsi="Arial" w:cs="Arial"/>
          <w:sz w:val="22"/>
          <w:szCs w:val="22"/>
          <w:highlight w:val="yellow"/>
          <w:lang w:val="en-GB"/>
        </w:rPr>
        <w:t xml:space="preserve"> local procedure </w:t>
      </w:r>
      <w:r w:rsidR="005936B3" w:rsidRPr="004D30B8">
        <w:rPr>
          <w:rFonts w:ascii="Arial" w:hAnsi="Arial" w:cs="Arial"/>
          <w:sz w:val="22"/>
          <w:szCs w:val="22"/>
          <w:highlight w:val="yellow"/>
          <w:lang w:val="en-GB"/>
        </w:rPr>
        <w:t xml:space="preserve">to </w:t>
      </w:r>
      <w:r w:rsidRPr="004D30B8">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1"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1"/>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D30B8" w:rsidRDefault="000329A6" w:rsidP="00C570AC">
      <w:pPr>
        <w:pStyle w:val="ListParagraph"/>
        <w:numPr>
          <w:ilvl w:val="0"/>
          <w:numId w:val="6"/>
        </w:numPr>
        <w:ind w:left="426"/>
        <w:jc w:val="both"/>
        <w:rPr>
          <w:rFonts w:ascii="Arial" w:hAnsi="Arial" w:cs="Arial"/>
          <w:sz w:val="22"/>
          <w:szCs w:val="22"/>
          <w:highlight w:val="yellow"/>
          <w:lang w:val="en-GB"/>
        </w:rPr>
      </w:pPr>
      <w:r w:rsidRPr="004D30B8">
        <w:rPr>
          <w:rFonts w:ascii="Arial" w:eastAsiaTheme="minorHAnsi" w:hAnsi="Arial" w:cs="Arial"/>
          <w:sz w:val="22"/>
          <w:szCs w:val="22"/>
          <w:highlight w:val="yellow"/>
          <w:lang w:val="en-GB"/>
        </w:rPr>
        <w:t xml:space="preserve">They were recently revised in 2021 and, together with the </w:t>
      </w:r>
      <w:r w:rsidRPr="004D30B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4D30B8"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4D30B8">
        <w:rPr>
          <w:rFonts w:ascii="Arial" w:eastAsiaTheme="minorHAnsi" w:hAnsi="Arial" w:cs="Arial"/>
          <w:sz w:val="22"/>
          <w:szCs w:val="22"/>
          <w:highlight w:val="yellow"/>
          <w:lang w:val="en-GB"/>
        </w:rPr>
        <w:t xml:space="preserve">The Nordic Convention </w:t>
      </w:r>
      <w:r w:rsidR="00076483" w:rsidRPr="004D30B8">
        <w:rPr>
          <w:rFonts w:ascii="Arial" w:eastAsiaTheme="minorHAnsi" w:hAnsi="Arial" w:cs="Arial"/>
          <w:sz w:val="22"/>
          <w:szCs w:val="22"/>
          <w:highlight w:val="yellow"/>
          <w:lang w:val="en-GB"/>
        </w:rPr>
        <w:t>1933</w:t>
      </w:r>
      <w:r w:rsidR="00966E44" w:rsidRPr="004D30B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27FBB" w:rsidRDefault="00124B70" w:rsidP="00275182">
      <w:pPr>
        <w:pStyle w:val="ListParagraph"/>
        <w:numPr>
          <w:ilvl w:val="0"/>
          <w:numId w:val="8"/>
        </w:numPr>
        <w:ind w:left="426"/>
        <w:jc w:val="both"/>
        <w:rPr>
          <w:rFonts w:ascii="Arial" w:hAnsi="Arial" w:cs="Arial"/>
          <w:sz w:val="22"/>
          <w:szCs w:val="22"/>
          <w:highlight w:val="yellow"/>
          <w:lang w:val="en-GB"/>
        </w:rPr>
      </w:pPr>
      <w:r w:rsidRPr="00227FBB">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2"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2"/>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27FBB" w:rsidRDefault="00E86549" w:rsidP="00275182">
      <w:pPr>
        <w:pStyle w:val="ListParagraph"/>
        <w:numPr>
          <w:ilvl w:val="0"/>
          <w:numId w:val="9"/>
        </w:numPr>
        <w:ind w:left="426"/>
        <w:jc w:val="both"/>
        <w:rPr>
          <w:rFonts w:ascii="Arial" w:hAnsi="Arial" w:cs="Arial"/>
          <w:bCs/>
          <w:sz w:val="22"/>
          <w:szCs w:val="22"/>
          <w:highlight w:val="yellow"/>
          <w:lang w:val="en-GB"/>
        </w:rPr>
      </w:pPr>
      <w:r w:rsidRPr="00227FBB">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27FBB">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27FBB" w:rsidRDefault="00911C23" w:rsidP="00275182">
      <w:pPr>
        <w:pStyle w:val="ListParagraph"/>
        <w:numPr>
          <w:ilvl w:val="0"/>
          <w:numId w:val="10"/>
        </w:numPr>
        <w:ind w:left="426"/>
        <w:jc w:val="both"/>
        <w:rPr>
          <w:rFonts w:ascii="Arial" w:hAnsi="Arial" w:cs="Arial"/>
          <w:sz w:val="22"/>
          <w:szCs w:val="22"/>
          <w:highlight w:val="yellow"/>
          <w:lang w:val="en-GB"/>
        </w:rPr>
      </w:pPr>
      <w:r w:rsidRPr="00227FBB">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5BC7E83B" w:rsidR="009B07AD" w:rsidRPr="00205B31" w:rsidRDefault="009B07AD" w:rsidP="00B7193E">
      <w:pPr>
        <w:ind w:left="720" w:hanging="720"/>
        <w:jc w:val="both"/>
        <w:rPr>
          <w:rFonts w:ascii="Arial" w:hAnsi="Arial" w:cs="Arial"/>
          <w:sz w:val="22"/>
          <w:szCs w:val="22"/>
          <w:lang w:val="en-GB"/>
        </w:rPr>
      </w:pPr>
    </w:p>
    <w:p w14:paraId="2F208772" w14:textId="38816544" w:rsidR="00750515" w:rsidRPr="00750515" w:rsidRDefault="00750515" w:rsidP="00750515">
      <w:pPr>
        <w:pStyle w:val="ListParagraph"/>
        <w:numPr>
          <w:ilvl w:val="0"/>
          <w:numId w:val="17"/>
        </w:numPr>
        <w:jc w:val="both"/>
        <w:rPr>
          <w:rFonts w:ascii="Arial" w:hAnsi="Arial" w:cs="Arial"/>
          <w:sz w:val="22"/>
          <w:szCs w:val="22"/>
          <w:lang w:val="en-GB"/>
        </w:rPr>
      </w:pPr>
      <w:r w:rsidRPr="00750515">
        <w:rPr>
          <w:rFonts w:ascii="Arial" w:hAnsi="Arial" w:cs="Arial"/>
          <w:sz w:val="22"/>
          <w:szCs w:val="22"/>
          <w:lang w:val="en-GB"/>
        </w:rPr>
        <w:t xml:space="preserve">Abolition of 'debtors' prison' by virtue of the Debtors Act 1869. This persists in most developed countries to date. Although the principle of imprisonment for the civil matter of insolvency, it is still, in theory, possible to be imprisoned for non-payment of a debt where that is contained in a court order and failure to comply with the court order constitutes contempt. </w:t>
      </w:r>
    </w:p>
    <w:p w14:paraId="669566C7" w14:textId="77777777" w:rsidR="00750515" w:rsidRDefault="00750515" w:rsidP="00B7193E">
      <w:pPr>
        <w:jc w:val="both"/>
        <w:rPr>
          <w:rFonts w:ascii="Arial" w:hAnsi="Arial" w:cs="Arial"/>
          <w:sz w:val="22"/>
          <w:szCs w:val="22"/>
          <w:lang w:val="en-GB"/>
        </w:rPr>
      </w:pPr>
    </w:p>
    <w:p w14:paraId="22C610C9" w14:textId="7FE3F0AF" w:rsidR="00DE03AF" w:rsidRPr="00750515" w:rsidRDefault="000839E2" w:rsidP="00750515">
      <w:pPr>
        <w:pStyle w:val="ListParagraph"/>
        <w:numPr>
          <w:ilvl w:val="0"/>
          <w:numId w:val="17"/>
        </w:numPr>
        <w:jc w:val="both"/>
        <w:rPr>
          <w:rFonts w:ascii="Arial" w:hAnsi="Arial" w:cs="Arial"/>
          <w:sz w:val="22"/>
          <w:szCs w:val="22"/>
          <w:lang w:val="en-GB"/>
        </w:rPr>
      </w:pPr>
      <w:r w:rsidRPr="00750515">
        <w:rPr>
          <w:rFonts w:ascii="Arial" w:hAnsi="Arial" w:cs="Arial"/>
          <w:sz w:val="22"/>
          <w:szCs w:val="22"/>
          <w:lang w:val="en-GB"/>
        </w:rPr>
        <w:t>Statute of Ann 1705 introduced the concept of a statutory discharge a version of which persists to this day allowing debtors to become 'discharged bankrupt' following cooperation with the insolvency proceedings.</w:t>
      </w:r>
    </w:p>
    <w:p w14:paraId="0E239154" w14:textId="640C7F4B" w:rsidR="000839E2" w:rsidRDefault="000839E2" w:rsidP="00B7193E">
      <w:pPr>
        <w:jc w:val="both"/>
        <w:rPr>
          <w:rFonts w:ascii="Arial" w:hAnsi="Arial" w:cs="Arial"/>
          <w:sz w:val="22"/>
          <w:szCs w:val="22"/>
          <w:lang w:val="en-GB"/>
        </w:rPr>
      </w:pPr>
    </w:p>
    <w:p w14:paraId="789C3223" w14:textId="0484EE84" w:rsidR="00020557" w:rsidRPr="00750515" w:rsidRDefault="000839E2" w:rsidP="00750515">
      <w:pPr>
        <w:pStyle w:val="ListParagraph"/>
        <w:numPr>
          <w:ilvl w:val="0"/>
          <w:numId w:val="17"/>
        </w:numPr>
        <w:jc w:val="both"/>
        <w:rPr>
          <w:rFonts w:ascii="Arial" w:hAnsi="Arial" w:cs="Arial"/>
          <w:sz w:val="22"/>
          <w:szCs w:val="22"/>
          <w:lang w:val="en-GB"/>
        </w:rPr>
      </w:pPr>
      <w:r w:rsidRPr="00750515">
        <w:rPr>
          <w:rFonts w:ascii="Arial" w:hAnsi="Arial" w:cs="Arial"/>
          <w:sz w:val="22"/>
          <w:szCs w:val="22"/>
          <w:lang w:val="en-GB"/>
        </w:rPr>
        <w:t>The Act of Elizabeth 1570 was the first law that could be described as a true bankruptcy statute (as opposed to a law on the prevention and detection of fraud). Although there was no discharge (see, Statute of Ann, above) for over 150 years after its enactment. The 1570 Act allowed creditor to petition the Lord Chancellor (whom jurisdiction vested in under the 1570 Act) to convene a bankruptcy meeting and if so advised</w:t>
      </w:r>
      <w:r w:rsidR="005A44B3" w:rsidRPr="00750515">
        <w:rPr>
          <w:rFonts w:ascii="Arial" w:hAnsi="Arial" w:cs="Arial"/>
          <w:sz w:val="22"/>
          <w:szCs w:val="22"/>
          <w:lang w:val="en-GB"/>
        </w:rPr>
        <w:t xml:space="preserve"> appoint bankruptcy commissioners to oversee the bankruptcy process and where indicated the debtor would require to transfer his property to the commissioners. </w:t>
      </w:r>
    </w:p>
    <w:p w14:paraId="335D1FA8" w14:textId="77777777" w:rsidR="000839E2" w:rsidRPr="00205B31" w:rsidRDefault="000839E2"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F922EA">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7C8F987E" w14:textId="2D4D2D50" w:rsidR="00750515" w:rsidRDefault="00750515" w:rsidP="00F922EA">
      <w:pPr>
        <w:jc w:val="both"/>
        <w:rPr>
          <w:rFonts w:ascii="Arial" w:hAnsi="Arial" w:cs="Arial"/>
          <w:color w:val="7B7B7B" w:themeColor="accent3" w:themeShade="BF"/>
          <w:sz w:val="22"/>
          <w:szCs w:val="22"/>
          <w:lang w:val="en-GB"/>
        </w:rPr>
      </w:pPr>
    </w:p>
    <w:p w14:paraId="4740A58A" w14:textId="048A5FC3" w:rsidR="000B2B5C" w:rsidRDefault="000B2B5C" w:rsidP="00F922EA">
      <w:pPr>
        <w:ind w:left="720" w:hanging="720"/>
        <w:jc w:val="both"/>
        <w:rPr>
          <w:rFonts w:ascii="Arial" w:hAnsi="Arial" w:cs="Arial"/>
          <w:sz w:val="22"/>
          <w:szCs w:val="22"/>
          <w:lang w:val="en-GB"/>
        </w:rPr>
      </w:pPr>
    </w:p>
    <w:p w14:paraId="02843861" w14:textId="037F350F" w:rsidR="00CC1B5B" w:rsidRDefault="000B2B5C" w:rsidP="00F922EA">
      <w:pPr>
        <w:jc w:val="both"/>
        <w:rPr>
          <w:rFonts w:ascii="Arial" w:hAnsi="Arial" w:cs="Arial"/>
          <w:sz w:val="22"/>
          <w:szCs w:val="22"/>
          <w:lang w:val="en-GB"/>
        </w:rPr>
      </w:pPr>
      <w:r>
        <w:rPr>
          <w:rFonts w:ascii="Arial" w:hAnsi="Arial" w:cs="Arial"/>
          <w:sz w:val="22"/>
          <w:szCs w:val="22"/>
          <w:lang w:val="en-GB"/>
        </w:rPr>
        <w:t xml:space="preserve">The </w:t>
      </w:r>
      <w:r w:rsidR="00CC1B5B">
        <w:rPr>
          <w:rFonts w:ascii="Arial" w:hAnsi="Arial" w:cs="Arial"/>
          <w:sz w:val="22"/>
          <w:szCs w:val="22"/>
          <w:lang w:val="en-GB"/>
        </w:rPr>
        <w:t>Corporate Insolvency and Governance Act 2020 introduced the following provisions for business support to combat the impact of Covid-19:</w:t>
      </w:r>
    </w:p>
    <w:p w14:paraId="6B0886F8" w14:textId="77777777" w:rsidR="00CC1B5B" w:rsidRDefault="00CC1B5B" w:rsidP="00F922EA">
      <w:pPr>
        <w:jc w:val="both"/>
        <w:rPr>
          <w:rFonts w:ascii="Arial" w:hAnsi="Arial" w:cs="Arial"/>
          <w:sz w:val="22"/>
          <w:szCs w:val="22"/>
          <w:lang w:val="en-GB"/>
        </w:rPr>
      </w:pPr>
    </w:p>
    <w:p w14:paraId="39AFD5F1" w14:textId="7265BF1F" w:rsidR="00CC1B5B" w:rsidRPr="00F922EA" w:rsidRDefault="00CC1B5B" w:rsidP="00F922EA">
      <w:pPr>
        <w:pStyle w:val="ListParagraph"/>
        <w:numPr>
          <w:ilvl w:val="0"/>
          <w:numId w:val="18"/>
        </w:numPr>
        <w:jc w:val="both"/>
        <w:rPr>
          <w:rFonts w:ascii="Arial" w:hAnsi="Arial" w:cs="Arial"/>
          <w:sz w:val="22"/>
          <w:szCs w:val="22"/>
          <w:lang w:val="en-GB"/>
        </w:rPr>
      </w:pPr>
      <w:r w:rsidRPr="00F922EA">
        <w:rPr>
          <w:rFonts w:ascii="Arial" w:hAnsi="Arial" w:cs="Arial"/>
          <w:sz w:val="22"/>
          <w:szCs w:val="22"/>
          <w:lang w:val="en-GB"/>
        </w:rPr>
        <w:t xml:space="preserve">New restructuring plan process (similar to schemes of arrangement) supervised by the court (and which can be used without the new moratorium outlined below), and with the introduction of a cross class cram down mechanism </w:t>
      </w:r>
      <w:r w:rsidR="00F922EA" w:rsidRPr="00F922EA">
        <w:rPr>
          <w:rFonts w:ascii="Arial" w:hAnsi="Arial" w:cs="Arial"/>
          <w:sz w:val="22"/>
          <w:szCs w:val="22"/>
          <w:lang w:val="en-GB"/>
        </w:rPr>
        <w:t xml:space="preserve">for dissenting classes of creditors potentially binding them to the plan subject to the conditions in the 2020 Law. </w:t>
      </w:r>
    </w:p>
    <w:p w14:paraId="7CCE7D8F" w14:textId="77777777" w:rsidR="00F922EA" w:rsidRDefault="00F922EA" w:rsidP="00F922EA">
      <w:pPr>
        <w:jc w:val="both"/>
        <w:rPr>
          <w:rFonts w:ascii="Arial" w:hAnsi="Arial" w:cs="Arial"/>
          <w:sz w:val="22"/>
          <w:szCs w:val="22"/>
          <w:lang w:val="en-GB"/>
        </w:rPr>
      </w:pPr>
    </w:p>
    <w:p w14:paraId="66AAF512" w14:textId="57793614" w:rsidR="00F922EA" w:rsidRPr="00F922EA" w:rsidRDefault="00F922EA" w:rsidP="00F922EA">
      <w:pPr>
        <w:pStyle w:val="ListParagraph"/>
        <w:numPr>
          <w:ilvl w:val="0"/>
          <w:numId w:val="18"/>
        </w:numPr>
        <w:jc w:val="both"/>
        <w:rPr>
          <w:rFonts w:ascii="Arial" w:hAnsi="Arial" w:cs="Arial"/>
          <w:sz w:val="22"/>
          <w:szCs w:val="22"/>
          <w:lang w:val="en-GB"/>
        </w:rPr>
      </w:pPr>
      <w:r w:rsidRPr="00F922EA">
        <w:rPr>
          <w:rFonts w:ascii="Arial" w:hAnsi="Arial" w:cs="Arial"/>
          <w:sz w:val="22"/>
          <w:szCs w:val="22"/>
          <w:lang w:val="en-GB"/>
        </w:rPr>
        <w:t xml:space="preserve">Suspension/relaxation of the wrongful trading rules, removing the threat of personal liability for directors to allow them to continue to trade during the pandemic (this is distinct from fraudulent trading). </w:t>
      </w:r>
    </w:p>
    <w:p w14:paraId="51294A3C" w14:textId="77777777" w:rsidR="00F922EA" w:rsidRDefault="00F922EA" w:rsidP="00F922EA">
      <w:pPr>
        <w:jc w:val="both"/>
        <w:rPr>
          <w:rFonts w:ascii="Arial" w:hAnsi="Arial" w:cs="Arial"/>
          <w:sz w:val="22"/>
          <w:szCs w:val="22"/>
          <w:lang w:val="en-GB"/>
        </w:rPr>
      </w:pPr>
    </w:p>
    <w:p w14:paraId="745AFE27" w14:textId="132A19B7" w:rsidR="00CC1B5B" w:rsidRPr="00F922EA" w:rsidRDefault="00F922EA" w:rsidP="00F922EA">
      <w:pPr>
        <w:pStyle w:val="ListParagraph"/>
        <w:numPr>
          <w:ilvl w:val="0"/>
          <w:numId w:val="18"/>
        </w:numPr>
        <w:jc w:val="both"/>
        <w:rPr>
          <w:rFonts w:ascii="Arial" w:hAnsi="Arial" w:cs="Arial"/>
          <w:sz w:val="22"/>
          <w:szCs w:val="22"/>
          <w:lang w:val="en-GB"/>
        </w:rPr>
      </w:pPr>
      <w:r w:rsidRPr="00F922EA">
        <w:rPr>
          <w:rFonts w:ascii="Arial" w:hAnsi="Arial" w:cs="Arial"/>
          <w:sz w:val="22"/>
          <w:szCs w:val="22"/>
          <w:lang w:val="en-GB"/>
        </w:rPr>
        <w:t>Suspended</w:t>
      </w:r>
      <w:r w:rsidR="00CC1B5B" w:rsidRPr="00F922EA">
        <w:rPr>
          <w:rFonts w:ascii="Arial" w:hAnsi="Arial" w:cs="Arial"/>
          <w:sz w:val="22"/>
          <w:szCs w:val="22"/>
          <w:lang w:val="en-GB"/>
        </w:rPr>
        <w:t xml:space="preserve"> winding up petitions and statutory demand. </w:t>
      </w:r>
      <w:r w:rsidRPr="00F922EA">
        <w:rPr>
          <w:rFonts w:ascii="Arial" w:hAnsi="Arial" w:cs="Arial"/>
          <w:sz w:val="22"/>
          <w:szCs w:val="22"/>
          <w:lang w:val="en-GB"/>
        </w:rPr>
        <w:t xml:space="preserve">This prevents court-based action and insolvency on a temporary basis (ended in September 2021) unless it can be shown there are reasonable grounds to believe the pandemic has not had a financial impact on the company or that it would be unable to pay its debts irrespective of the economic impact of Covid-19 on the business. </w:t>
      </w:r>
    </w:p>
    <w:p w14:paraId="4E87137C" w14:textId="77777777" w:rsidR="00CC1B5B" w:rsidRDefault="00CC1B5B" w:rsidP="00F922EA">
      <w:pPr>
        <w:jc w:val="both"/>
        <w:rPr>
          <w:rFonts w:ascii="Arial" w:hAnsi="Arial" w:cs="Arial"/>
          <w:sz w:val="22"/>
          <w:szCs w:val="22"/>
          <w:lang w:val="en-GB"/>
        </w:rPr>
      </w:pPr>
    </w:p>
    <w:p w14:paraId="4EFC2383" w14:textId="596187A2" w:rsidR="00CC1B5B" w:rsidRDefault="00F922EA" w:rsidP="00F922EA">
      <w:pPr>
        <w:jc w:val="both"/>
        <w:rPr>
          <w:rFonts w:ascii="Arial" w:hAnsi="Arial" w:cs="Arial"/>
          <w:sz w:val="22"/>
          <w:szCs w:val="22"/>
          <w:lang w:val="en-GB"/>
        </w:rPr>
      </w:pPr>
      <w:r>
        <w:rPr>
          <w:rFonts w:ascii="Arial" w:hAnsi="Arial" w:cs="Arial"/>
          <w:sz w:val="22"/>
          <w:szCs w:val="22"/>
          <w:lang w:val="en-GB"/>
        </w:rPr>
        <w:t>The 2020 Act also i</w:t>
      </w:r>
      <w:r w:rsidR="00CC1B5B">
        <w:rPr>
          <w:rFonts w:ascii="Arial" w:hAnsi="Arial" w:cs="Arial"/>
          <w:sz w:val="22"/>
          <w:szCs w:val="22"/>
          <w:lang w:val="en-GB"/>
        </w:rPr>
        <w:t>ntroduced a new free-standing moratorium (for distressed but viable companies) this was not a specific Cov</w:t>
      </w:r>
      <w:r>
        <w:rPr>
          <w:rFonts w:ascii="Arial" w:hAnsi="Arial" w:cs="Arial"/>
          <w:sz w:val="22"/>
          <w:szCs w:val="22"/>
          <w:lang w:val="en-GB"/>
        </w:rPr>
        <w:t>id-19 measure, but it</w:t>
      </w:r>
      <w:r w:rsidR="00CC1B5B">
        <w:rPr>
          <w:rFonts w:ascii="Arial" w:hAnsi="Arial" w:cs="Arial"/>
          <w:sz w:val="22"/>
          <w:szCs w:val="22"/>
          <w:lang w:val="en-GB"/>
        </w:rPr>
        <w:t xml:space="preserve">s use during the pandemic has been instrumental in keeping businesses afloat during the difficult economic conditions created by the pandemic.  </w:t>
      </w:r>
    </w:p>
    <w:p w14:paraId="5B9F75C8" w14:textId="77777777" w:rsidR="00CC1B5B" w:rsidRDefault="00CC1B5B" w:rsidP="00CC1B5B">
      <w:pPr>
        <w:rPr>
          <w:rFonts w:ascii="Arial" w:hAnsi="Arial" w:cs="Arial"/>
          <w:sz w:val="22"/>
          <w:szCs w:val="22"/>
          <w:lang w:val="en-GB"/>
        </w:rPr>
      </w:pPr>
    </w:p>
    <w:p w14:paraId="0B0CF375" w14:textId="250CCDCC" w:rsidR="00CC1B5B" w:rsidRDefault="00CC1B5B" w:rsidP="00CC1B5B">
      <w:pPr>
        <w:ind w:left="720" w:hanging="720"/>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3EB22C84" w14:textId="1BDBC20D" w:rsidR="00C53359" w:rsidRDefault="00C53359" w:rsidP="00B7193E">
      <w:pPr>
        <w:jc w:val="both"/>
        <w:rPr>
          <w:rFonts w:ascii="Arial" w:hAnsi="Arial" w:cs="Arial"/>
          <w:sz w:val="22"/>
          <w:szCs w:val="22"/>
          <w:lang w:val="en-GB"/>
        </w:rPr>
      </w:pPr>
      <w:r>
        <w:rPr>
          <w:rFonts w:ascii="Arial" w:hAnsi="Arial" w:cs="Arial"/>
          <w:sz w:val="22"/>
          <w:szCs w:val="22"/>
          <w:lang w:val="en-GB"/>
        </w:rPr>
        <w:t>Treaties for</w:t>
      </w:r>
      <w:r w:rsidR="00DB2866">
        <w:rPr>
          <w:rFonts w:ascii="Arial" w:hAnsi="Arial" w:cs="Arial"/>
          <w:sz w:val="22"/>
          <w:szCs w:val="22"/>
          <w:lang w:val="en-GB"/>
        </w:rPr>
        <w:t>m</w:t>
      </w:r>
      <w:r>
        <w:rPr>
          <w:rFonts w:ascii="Arial" w:hAnsi="Arial" w:cs="Arial"/>
          <w:sz w:val="22"/>
          <w:szCs w:val="22"/>
          <w:lang w:val="en-GB"/>
        </w:rPr>
        <w:t xml:space="preserve"> part of the arse</w:t>
      </w:r>
      <w:r w:rsidR="00DB2866">
        <w:rPr>
          <w:rFonts w:ascii="Arial" w:hAnsi="Arial" w:cs="Arial"/>
          <w:sz w:val="22"/>
          <w:szCs w:val="22"/>
          <w:lang w:val="en-GB"/>
        </w:rPr>
        <w:t>nal of public p</w:t>
      </w:r>
      <w:r>
        <w:rPr>
          <w:rFonts w:ascii="Arial" w:hAnsi="Arial" w:cs="Arial"/>
          <w:sz w:val="22"/>
          <w:szCs w:val="22"/>
          <w:lang w:val="en-GB"/>
        </w:rPr>
        <w:t>aw instruments to bind States and shape domestic law and</w:t>
      </w:r>
      <w:r w:rsidR="00DB2866">
        <w:rPr>
          <w:rFonts w:ascii="Arial" w:hAnsi="Arial" w:cs="Arial"/>
          <w:sz w:val="22"/>
          <w:szCs w:val="22"/>
          <w:lang w:val="en-GB"/>
        </w:rPr>
        <w:t>,</w:t>
      </w:r>
      <w:r>
        <w:rPr>
          <w:rFonts w:ascii="Arial" w:hAnsi="Arial" w:cs="Arial"/>
          <w:sz w:val="22"/>
          <w:szCs w:val="22"/>
          <w:lang w:val="en-GB"/>
        </w:rPr>
        <w:t xml:space="preserve"> </w:t>
      </w:r>
      <w:r w:rsidR="00DB2866">
        <w:rPr>
          <w:rFonts w:ascii="Arial" w:hAnsi="Arial" w:cs="Arial"/>
          <w:sz w:val="22"/>
          <w:szCs w:val="22"/>
          <w:lang w:val="en-GB"/>
        </w:rPr>
        <w:t>by extension, the discretion and remit</w:t>
      </w:r>
      <w:r>
        <w:rPr>
          <w:rFonts w:ascii="Arial" w:hAnsi="Arial" w:cs="Arial"/>
          <w:sz w:val="22"/>
          <w:szCs w:val="22"/>
          <w:lang w:val="en-GB"/>
        </w:rPr>
        <w:t xml:space="preserve"> of the courts. </w:t>
      </w:r>
      <w:r w:rsidR="00DB2866">
        <w:rPr>
          <w:rFonts w:ascii="Arial" w:hAnsi="Arial" w:cs="Arial"/>
          <w:sz w:val="22"/>
          <w:szCs w:val="22"/>
          <w:lang w:val="en-GB"/>
        </w:rPr>
        <w:t>Once ratified, treaties will</w:t>
      </w:r>
      <w:r>
        <w:rPr>
          <w:rFonts w:ascii="Arial" w:hAnsi="Arial" w:cs="Arial"/>
          <w:sz w:val="22"/>
          <w:szCs w:val="22"/>
          <w:lang w:val="en-GB"/>
        </w:rPr>
        <w:t xml:space="preserve"> form part of the domestic law of the signatory States. The advent of the European Union has resulted in greater success for the </w:t>
      </w:r>
      <w:r w:rsidR="00DB2866">
        <w:rPr>
          <w:rFonts w:ascii="Arial" w:hAnsi="Arial" w:cs="Arial"/>
          <w:sz w:val="22"/>
          <w:szCs w:val="22"/>
          <w:lang w:val="en-GB"/>
        </w:rPr>
        <w:t>"</w:t>
      </w:r>
      <w:r>
        <w:rPr>
          <w:rFonts w:ascii="Arial" w:hAnsi="Arial" w:cs="Arial"/>
          <w:sz w:val="22"/>
          <w:szCs w:val="22"/>
          <w:lang w:val="en-GB"/>
        </w:rPr>
        <w:t>hard law</w:t>
      </w:r>
      <w:r w:rsidR="00DB2866">
        <w:rPr>
          <w:rFonts w:ascii="Arial" w:hAnsi="Arial" w:cs="Arial"/>
          <w:sz w:val="22"/>
          <w:szCs w:val="22"/>
          <w:lang w:val="en-GB"/>
        </w:rPr>
        <w:t>"</w:t>
      </w:r>
      <w:r>
        <w:rPr>
          <w:rFonts w:ascii="Arial" w:hAnsi="Arial" w:cs="Arial"/>
          <w:sz w:val="22"/>
          <w:szCs w:val="22"/>
          <w:lang w:val="en-GB"/>
        </w:rPr>
        <w:t xml:space="preserve"> approach of treaties and conventions although the ratification of these treaties is often poor, it nevertheless shapes the development of the conversation and approach to international insolvency. </w:t>
      </w:r>
      <w:r w:rsidR="00DB2866">
        <w:rPr>
          <w:rFonts w:ascii="Arial" w:hAnsi="Arial" w:cs="Arial"/>
          <w:sz w:val="22"/>
          <w:szCs w:val="22"/>
          <w:lang w:val="en-GB"/>
        </w:rPr>
        <w:t xml:space="preserve">Treaties, at their core, are an attempt to bind signatories to a common set of principles applied and maintained in States where domestic law (private law) differs. </w:t>
      </w:r>
    </w:p>
    <w:p w14:paraId="2B5BE0A1" w14:textId="77777777" w:rsidR="00C53359" w:rsidRDefault="00C53359" w:rsidP="00B7193E">
      <w:pPr>
        <w:jc w:val="both"/>
        <w:rPr>
          <w:rFonts w:ascii="Arial" w:hAnsi="Arial" w:cs="Arial"/>
          <w:sz w:val="22"/>
          <w:szCs w:val="22"/>
          <w:lang w:val="en-GB"/>
        </w:rPr>
      </w:pPr>
    </w:p>
    <w:p w14:paraId="572227E7" w14:textId="2901FEAB" w:rsidR="0045683E" w:rsidRDefault="00F922EA" w:rsidP="00B7193E">
      <w:pPr>
        <w:jc w:val="both"/>
        <w:rPr>
          <w:rFonts w:ascii="Arial" w:hAnsi="Arial" w:cs="Arial"/>
          <w:sz w:val="22"/>
          <w:szCs w:val="22"/>
          <w:lang w:val="en-GB"/>
        </w:rPr>
      </w:pPr>
      <w:r>
        <w:rPr>
          <w:rFonts w:ascii="Arial" w:hAnsi="Arial" w:cs="Arial"/>
          <w:sz w:val="22"/>
          <w:szCs w:val="22"/>
          <w:lang w:val="en-GB"/>
        </w:rPr>
        <w:t xml:space="preserve">Much of the international insolvency law regime relies on the successful implementation and adoption of 'soft law' measures. </w:t>
      </w:r>
      <w:r w:rsidR="0094649B">
        <w:rPr>
          <w:rFonts w:ascii="Arial" w:hAnsi="Arial" w:cs="Arial"/>
          <w:sz w:val="22"/>
          <w:szCs w:val="22"/>
          <w:lang w:val="en-GB"/>
        </w:rPr>
        <w:t xml:space="preserve">These are non-binding agreements, principles or recommendations devised by </w:t>
      </w:r>
      <w:r>
        <w:rPr>
          <w:rFonts w:ascii="Arial" w:hAnsi="Arial" w:cs="Arial"/>
          <w:sz w:val="22"/>
          <w:szCs w:val="22"/>
          <w:lang w:val="en-GB"/>
        </w:rPr>
        <w:t xml:space="preserve">multilateral organisations </w:t>
      </w:r>
      <w:r w:rsidR="0094649B">
        <w:rPr>
          <w:rFonts w:ascii="Arial" w:hAnsi="Arial" w:cs="Arial"/>
          <w:sz w:val="22"/>
          <w:szCs w:val="22"/>
          <w:lang w:val="en-GB"/>
        </w:rPr>
        <w:t xml:space="preserve">or inter-governmental bodies </w:t>
      </w:r>
      <w:r>
        <w:rPr>
          <w:rFonts w:ascii="Arial" w:hAnsi="Arial" w:cs="Arial"/>
          <w:sz w:val="22"/>
          <w:szCs w:val="22"/>
          <w:lang w:val="en-GB"/>
        </w:rPr>
        <w:t xml:space="preserve">(as opposed to Nation States) whose remit is to </w:t>
      </w:r>
      <w:r w:rsidR="0094649B">
        <w:rPr>
          <w:rFonts w:ascii="Arial" w:hAnsi="Arial" w:cs="Arial"/>
          <w:sz w:val="22"/>
          <w:szCs w:val="22"/>
          <w:lang w:val="en-GB"/>
        </w:rPr>
        <w:t xml:space="preserve">improve the harmonisation of international insolvency regimes and improve the co-operation between different domestic rules that are often in conflict or asymmetric. </w:t>
      </w:r>
      <w:r w:rsidR="00DB2866">
        <w:rPr>
          <w:rFonts w:ascii="Arial" w:hAnsi="Arial" w:cs="Arial"/>
          <w:sz w:val="22"/>
          <w:szCs w:val="22"/>
          <w:lang w:val="en-GB"/>
        </w:rPr>
        <w:t xml:space="preserve">It is often considered to be more of an external influence over domestic regulation rather than a strictly enforced principle or mandated rule. </w:t>
      </w:r>
    </w:p>
    <w:p w14:paraId="5CF8D6DD" w14:textId="144FE8DA" w:rsidR="0094649B" w:rsidRDefault="0094649B" w:rsidP="00B7193E">
      <w:pPr>
        <w:jc w:val="both"/>
        <w:rPr>
          <w:rFonts w:ascii="Arial" w:hAnsi="Arial" w:cs="Arial"/>
          <w:sz w:val="22"/>
          <w:szCs w:val="22"/>
          <w:lang w:val="en-GB"/>
        </w:rPr>
      </w:pPr>
    </w:p>
    <w:p w14:paraId="58A4AA6B" w14:textId="57C6461C" w:rsidR="0094649B" w:rsidRDefault="0094649B" w:rsidP="00B7193E">
      <w:pPr>
        <w:jc w:val="both"/>
        <w:rPr>
          <w:rFonts w:ascii="Arial" w:hAnsi="Arial" w:cs="Arial"/>
          <w:sz w:val="22"/>
          <w:szCs w:val="22"/>
          <w:lang w:val="en-GB"/>
        </w:rPr>
      </w:pPr>
      <w:r>
        <w:rPr>
          <w:rFonts w:ascii="Arial" w:hAnsi="Arial" w:cs="Arial"/>
          <w:sz w:val="22"/>
          <w:szCs w:val="22"/>
          <w:lang w:val="en-GB"/>
        </w:rPr>
        <w:t xml:space="preserve">The 'soft law' model required buy-in of </w:t>
      </w:r>
      <w:r w:rsidR="00DB2866">
        <w:rPr>
          <w:rFonts w:ascii="Arial" w:hAnsi="Arial" w:cs="Arial"/>
          <w:sz w:val="22"/>
          <w:szCs w:val="22"/>
          <w:lang w:val="en-GB"/>
        </w:rPr>
        <w:t xml:space="preserve">an </w:t>
      </w:r>
      <w:r>
        <w:rPr>
          <w:rFonts w:ascii="Arial" w:hAnsi="Arial" w:cs="Arial"/>
          <w:sz w:val="22"/>
          <w:szCs w:val="22"/>
          <w:lang w:val="en-GB"/>
        </w:rPr>
        <w:t xml:space="preserve">international initiative from domestic governments. The most pertinent example of this has been undertaken by UNCITRAL who developed the Model Law on Cross-Border Insolvency. This was a draft piece of recommended legislation that UNCITRAL encourages member States to adopt wholesale or with certain modifications. The snowball effect of the adoption of the model law becomes more evident the more nations that adopt the MLCBI across various disparate jurisdictions leading to greater harmonisation and consistency in the application of insolvency rules in cross-border insolvency matters. </w:t>
      </w:r>
    </w:p>
    <w:p w14:paraId="49E3957B" w14:textId="731AB54B" w:rsidR="0094649B" w:rsidRDefault="0094649B" w:rsidP="00B7193E">
      <w:pPr>
        <w:jc w:val="both"/>
        <w:rPr>
          <w:rFonts w:ascii="Arial" w:hAnsi="Arial" w:cs="Arial"/>
          <w:sz w:val="22"/>
          <w:szCs w:val="22"/>
          <w:lang w:val="en-GB"/>
        </w:rPr>
      </w:pPr>
    </w:p>
    <w:p w14:paraId="62A9F920" w14:textId="540D782B" w:rsidR="0094649B" w:rsidRDefault="0094649B" w:rsidP="00B7193E">
      <w:pPr>
        <w:jc w:val="both"/>
        <w:rPr>
          <w:rFonts w:ascii="Arial" w:hAnsi="Arial" w:cs="Arial"/>
          <w:sz w:val="22"/>
          <w:szCs w:val="22"/>
          <w:lang w:val="en-GB"/>
        </w:rPr>
      </w:pPr>
      <w:r>
        <w:rPr>
          <w:rFonts w:ascii="Arial" w:hAnsi="Arial" w:cs="Arial"/>
          <w:sz w:val="22"/>
          <w:szCs w:val="22"/>
          <w:lang w:val="en-GB"/>
        </w:rPr>
        <w:t xml:space="preserve">An example of regional soft law initiative was launched by the Asian Business Law Institute's joint project with the International Insolvency Institute to develop the Asian Principles of Business Restructuring. </w:t>
      </w:r>
    </w:p>
    <w:p w14:paraId="23C7FB11" w14:textId="19CD0F33" w:rsidR="00DB2866" w:rsidRDefault="00DB2866" w:rsidP="00B7193E">
      <w:pPr>
        <w:jc w:val="both"/>
        <w:rPr>
          <w:rFonts w:ascii="Arial" w:hAnsi="Arial" w:cs="Arial"/>
          <w:sz w:val="22"/>
          <w:szCs w:val="22"/>
          <w:lang w:val="en-GB"/>
        </w:rPr>
      </w:pPr>
    </w:p>
    <w:p w14:paraId="6ACCDCFC" w14:textId="11B15383" w:rsidR="00DB2866" w:rsidRPr="00F922EA" w:rsidRDefault="00DB2866" w:rsidP="00B7193E">
      <w:pPr>
        <w:jc w:val="both"/>
        <w:rPr>
          <w:rFonts w:ascii="Arial" w:hAnsi="Arial" w:cs="Arial"/>
          <w:sz w:val="22"/>
          <w:szCs w:val="22"/>
          <w:lang w:val="en-GB"/>
        </w:rPr>
      </w:pPr>
      <w:r>
        <w:rPr>
          <w:rFonts w:ascii="Arial" w:hAnsi="Arial" w:cs="Arial"/>
          <w:sz w:val="22"/>
          <w:szCs w:val="22"/>
          <w:lang w:val="en-GB"/>
        </w:rPr>
        <w:t xml:space="preserve">It is worth noting the categorisation of treaties as 'hard law' and non-treaties </w:t>
      </w:r>
      <w:r w:rsidRPr="00DB2866">
        <w:rPr>
          <w:rFonts w:ascii="Arial" w:hAnsi="Arial" w:cs="Arial"/>
          <w:i/>
          <w:sz w:val="22"/>
          <w:szCs w:val="22"/>
          <w:lang w:val="en-GB"/>
        </w:rPr>
        <w:t>e.g.</w:t>
      </w:r>
      <w:r>
        <w:rPr>
          <w:rFonts w:ascii="Arial" w:hAnsi="Arial" w:cs="Arial"/>
          <w:sz w:val="22"/>
          <w:szCs w:val="22"/>
          <w:lang w:val="en-GB"/>
        </w:rPr>
        <w:t xml:space="preserve"> non-binding instruments such as the MLCBI as 'soft law' is being abandoned in some quarters as not being indicative of the nature of these instruments (see, I Mevorach, 2018).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6CEEF996" w:rsidR="00544127" w:rsidRDefault="00632807" w:rsidP="00B7193E">
      <w:pPr>
        <w:jc w:val="both"/>
        <w:rPr>
          <w:rFonts w:ascii="Arial" w:hAnsi="Arial" w:cs="Arial"/>
          <w:sz w:val="22"/>
          <w:szCs w:val="22"/>
          <w:lang w:val="en-GB"/>
        </w:rPr>
      </w:pPr>
      <w:r w:rsidRPr="001F5145">
        <w:rPr>
          <w:rFonts w:ascii="Arial" w:hAnsi="Arial" w:cs="Arial"/>
          <w:b/>
          <w:sz w:val="22"/>
          <w:szCs w:val="22"/>
          <w:lang w:val="en-GB"/>
        </w:rPr>
        <w:t>Statutory Law: Primary Insolvency legislation</w:t>
      </w:r>
      <w:r>
        <w:rPr>
          <w:rFonts w:ascii="Arial" w:hAnsi="Arial" w:cs="Arial"/>
          <w:sz w:val="22"/>
          <w:szCs w:val="22"/>
          <w:lang w:val="en-GB"/>
        </w:rPr>
        <w:t xml:space="preserve"> – this includes by way of example the Insolvency Act 1986 (in addition to sections of the Corporate Insolvency Governance Act 2020) in England &amp; Wales, The unified Bankruptcy Code of 1976 in the US is a federal statute covering the whole of the US. Although several States have single predominant piece of legislation others have a multiplicity of primary laws that interact to provide the overall statutory insolvency regime in a given State. </w:t>
      </w:r>
    </w:p>
    <w:p w14:paraId="26E9E0C9" w14:textId="25D27DEA" w:rsidR="00632807" w:rsidRDefault="00632807" w:rsidP="00B7193E">
      <w:pPr>
        <w:jc w:val="both"/>
        <w:rPr>
          <w:rFonts w:ascii="Arial" w:hAnsi="Arial" w:cs="Arial"/>
          <w:sz w:val="22"/>
          <w:szCs w:val="22"/>
          <w:lang w:val="en-GB"/>
        </w:rPr>
      </w:pPr>
    </w:p>
    <w:p w14:paraId="1735440A" w14:textId="3B035BF2" w:rsidR="00632807" w:rsidRDefault="00632807" w:rsidP="00B7193E">
      <w:pPr>
        <w:jc w:val="both"/>
        <w:rPr>
          <w:rFonts w:ascii="Arial" w:hAnsi="Arial" w:cs="Arial"/>
          <w:sz w:val="22"/>
          <w:szCs w:val="22"/>
          <w:lang w:val="en-GB"/>
        </w:rPr>
      </w:pPr>
      <w:r w:rsidRPr="001F5145">
        <w:rPr>
          <w:rFonts w:ascii="Arial" w:hAnsi="Arial" w:cs="Arial"/>
          <w:b/>
          <w:sz w:val="22"/>
          <w:szCs w:val="22"/>
          <w:lang w:val="en-GB"/>
        </w:rPr>
        <w:lastRenderedPageBreak/>
        <w:t>Statutory Law: Non-Insolvency legislation</w:t>
      </w:r>
      <w:r>
        <w:rPr>
          <w:rFonts w:ascii="Arial" w:hAnsi="Arial" w:cs="Arial"/>
          <w:sz w:val="22"/>
          <w:szCs w:val="22"/>
          <w:lang w:val="en-GB"/>
        </w:rPr>
        <w:t xml:space="preserve"> – most insolvency regimes will rely on aspects of non-insolvency law to derive the tools to allow an effect insolvency system to flourish. These include laws pertaining to securities, priority of debts, vesting of property, company and banking law and laws relating to property, both corporeal and incorporeal and the mechanisms for how such property can be transferred applied in an insolvency context. </w:t>
      </w:r>
      <w:r w:rsidR="00CF7B1B">
        <w:rPr>
          <w:rFonts w:ascii="Arial" w:hAnsi="Arial" w:cs="Arial"/>
          <w:sz w:val="22"/>
          <w:szCs w:val="22"/>
          <w:lang w:val="en-GB"/>
        </w:rPr>
        <w:t xml:space="preserve">The domestic laws relating to set-off, consumer contracts and duties of directors, although not expressly insolvency related will be of general application in an insolvency context. </w:t>
      </w:r>
    </w:p>
    <w:p w14:paraId="7FBEC844" w14:textId="0133968B" w:rsidR="00632807" w:rsidRDefault="00632807" w:rsidP="00B7193E">
      <w:pPr>
        <w:jc w:val="both"/>
        <w:rPr>
          <w:rFonts w:ascii="Arial" w:hAnsi="Arial" w:cs="Arial"/>
          <w:sz w:val="22"/>
          <w:szCs w:val="22"/>
          <w:lang w:val="en-GB"/>
        </w:rPr>
      </w:pPr>
    </w:p>
    <w:p w14:paraId="1E57757B" w14:textId="6CF0ED73" w:rsidR="00F949F0" w:rsidRPr="00F949F0" w:rsidRDefault="00632807" w:rsidP="00F949F0">
      <w:pPr>
        <w:jc w:val="both"/>
        <w:rPr>
          <w:rFonts w:ascii="Arial" w:hAnsi="Arial" w:cs="Arial"/>
          <w:sz w:val="22"/>
          <w:szCs w:val="22"/>
          <w:lang w:val="en-GB"/>
        </w:rPr>
      </w:pPr>
      <w:r w:rsidRPr="001F5145">
        <w:rPr>
          <w:rFonts w:ascii="Arial" w:hAnsi="Arial" w:cs="Arial"/>
          <w:b/>
          <w:sz w:val="22"/>
          <w:szCs w:val="22"/>
          <w:lang w:val="en-GB"/>
        </w:rPr>
        <w:t>Subordinate legislation</w:t>
      </w:r>
      <w:r>
        <w:rPr>
          <w:rFonts w:ascii="Arial" w:hAnsi="Arial" w:cs="Arial"/>
          <w:sz w:val="22"/>
          <w:szCs w:val="22"/>
          <w:lang w:val="en-GB"/>
        </w:rPr>
        <w:t xml:space="preserve">: Insolvency rules: some States will contain a set of rules as subordinate legislation that will inform the primary legislation. The Insolvency Rules (England &amp; Wales) 2016 (replacing the </w:t>
      </w:r>
      <w:r w:rsidRPr="00632807">
        <w:rPr>
          <w:rFonts w:ascii="Arial" w:hAnsi="Arial" w:cs="Arial"/>
          <w:sz w:val="22"/>
          <w:szCs w:val="22"/>
          <w:lang w:val="en-GB"/>
        </w:rPr>
        <w:t>Insolvency Rules 1986 (SI 1986/1925)</w:t>
      </w:r>
      <w:r>
        <w:rPr>
          <w:rFonts w:ascii="Arial" w:hAnsi="Arial" w:cs="Arial"/>
          <w:sz w:val="22"/>
          <w:szCs w:val="22"/>
          <w:lang w:val="en-GB"/>
        </w:rPr>
        <w:t xml:space="preserve">) is an example of this and such rules give effect to the express provision in the </w:t>
      </w:r>
      <w:r w:rsidR="00F949F0">
        <w:rPr>
          <w:rFonts w:ascii="Arial" w:hAnsi="Arial" w:cs="Arial"/>
          <w:sz w:val="22"/>
          <w:szCs w:val="22"/>
          <w:lang w:val="en-GB"/>
        </w:rPr>
        <w:t xml:space="preserve">1986 Law for example setting time limits and prescribing the forms and documents to be used in complying with aspect of the 1986 Law. The subordinate legislation goes hand in hand with the primary legislation giving it the practical tools for practitioners to give effect to the provisions of the primary legislation in a consistent and ordered manner. The subordinate legislation is also used to give effect to policy decisions taken at governmental level, </w:t>
      </w:r>
      <w:r w:rsidR="00F949F0" w:rsidRPr="00F949F0">
        <w:rPr>
          <w:rFonts w:ascii="Arial" w:hAnsi="Arial" w:cs="Arial"/>
          <w:i/>
          <w:sz w:val="22"/>
          <w:szCs w:val="22"/>
          <w:lang w:val="en-GB"/>
        </w:rPr>
        <w:t>e.g.</w:t>
      </w:r>
      <w:r w:rsidR="00F949F0">
        <w:rPr>
          <w:rFonts w:ascii="Arial" w:hAnsi="Arial" w:cs="Arial"/>
          <w:i/>
          <w:sz w:val="22"/>
          <w:szCs w:val="22"/>
          <w:lang w:val="en-GB"/>
        </w:rPr>
        <w:t xml:space="preserve"> </w:t>
      </w:r>
      <w:r w:rsidR="00F949F0" w:rsidRPr="00F949F0">
        <w:rPr>
          <w:rFonts w:ascii="Arial" w:hAnsi="Arial" w:cs="Arial"/>
          <w:sz w:val="22"/>
          <w:szCs w:val="22"/>
          <w:lang w:val="en-GB"/>
        </w:rPr>
        <w:t xml:space="preserve">The </w:t>
      </w:r>
      <w:r w:rsidR="00F949F0">
        <w:rPr>
          <w:rFonts w:ascii="Arial" w:hAnsi="Arial" w:cs="Arial"/>
          <w:sz w:val="22"/>
          <w:szCs w:val="22"/>
          <w:lang w:val="en-GB"/>
        </w:rPr>
        <w:t>Deregulation Act 2015</w:t>
      </w:r>
      <w:r w:rsidR="00F949F0" w:rsidRPr="00F949F0">
        <w:rPr>
          <w:rFonts w:ascii="Arial" w:hAnsi="Arial" w:cs="Arial"/>
          <w:sz w:val="22"/>
          <w:szCs w:val="22"/>
          <w:lang w:val="en-GB"/>
        </w:rPr>
        <w:t xml:space="preserve"> and the Small Business, Enterprise and </w:t>
      </w:r>
      <w:r w:rsidR="00F949F0">
        <w:rPr>
          <w:rFonts w:ascii="Arial" w:hAnsi="Arial" w:cs="Arial"/>
          <w:sz w:val="22"/>
          <w:szCs w:val="22"/>
          <w:lang w:val="en-GB"/>
        </w:rPr>
        <w:t>Employment Act 2015</w:t>
      </w:r>
      <w:r w:rsidR="00F949F0" w:rsidRPr="00F949F0">
        <w:rPr>
          <w:rFonts w:ascii="Arial" w:hAnsi="Arial" w:cs="Arial"/>
          <w:sz w:val="22"/>
          <w:szCs w:val="22"/>
          <w:lang w:val="en-GB"/>
        </w:rPr>
        <w:t>; in particular amendments enabling modern methods of communication and decision making to be used in</w:t>
      </w:r>
      <w:r w:rsidR="00F949F0">
        <w:rPr>
          <w:rFonts w:ascii="Arial" w:hAnsi="Arial" w:cs="Arial"/>
          <w:sz w:val="22"/>
          <w:szCs w:val="22"/>
          <w:lang w:val="en-GB"/>
        </w:rPr>
        <w:t xml:space="preserve"> place of paper </w:t>
      </w:r>
      <w:r w:rsidR="00F949F0" w:rsidRPr="00F949F0">
        <w:rPr>
          <w:rFonts w:ascii="Arial" w:hAnsi="Arial" w:cs="Arial"/>
          <w:sz w:val="22"/>
          <w:szCs w:val="22"/>
          <w:lang w:val="en-GB"/>
        </w:rPr>
        <w:t>commu</w:t>
      </w:r>
      <w:r w:rsidR="00F949F0">
        <w:rPr>
          <w:rFonts w:ascii="Arial" w:hAnsi="Arial" w:cs="Arial"/>
          <w:sz w:val="22"/>
          <w:szCs w:val="22"/>
          <w:lang w:val="en-GB"/>
        </w:rPr>
        <w:t xml:space="preserve">nications and physical meetings – these were incorporated into the 2016 Rules. </w:t>
      </w:r>
      <w:r w:rsidR="00CF7B1B">
        <w:rPr>
          <w:rFonts w:ascii="Arial" w:hAnsi="Arial" w:cs="Arial"/>
          <w:sz w:val="22"/>
          <w:szCs w:val="22"/>
          <w:lang w:val="en-GB"/>
        </w:rPr>
        <w:t xml:space="preserve">The rules in tandem with the primary insolvency statute can also inform how insolvency proceedings are commenced and the framework for proceedings going through the court. </w:t>
      </w:r>
    </w:p>
    <w:p w14:paraId="3322F44A" w14:textId="553C4D37" w:rsidR="00632807" w:rsidRPr="00F949F0" w:rsidRDefault="00632807" w:rsidP="00F949F0">
      <w:pPr>
        <w:jc w:val="both"/>
        <w:rPr>
          <w:rFonts w:ascii="Arial" w:hAnsi="Arial" w:cs="Arial"/>
          <w:sz w:val="22"/>
          <w:szCs w:val="22"/>
          <w:lang w:val="en-GB"/>
        </w:rPr>
      </w:pPr>
    </w:p>
    <w:p w14:paraId="47F40854" w14:textId="6486D827" w:rsidR="00F949F0" w:rsidRDefault="00F949F0" w:rsidP="00B7193E">
      <w:pPr>
        <w:jc w:val="both"/>
        <w:rPr>
          <w:rFonts w:ascii="Arial" w:hAnsi="Arial" w:cs="Arial"/>
          <w:sz w:val="22"/>
          <w:szCs w:val="22"/>
          <w:lang w:val="en-GB"/>
        </w:rPr>
      </w:pPr>
      <w:r>
        <w:rPr>
          <w:rFonts w:ascii="Arial" w:hAnsi="Arial" w:cs="Arial"/>
          <w:sz w:val="22"/>
          <w:szCs w:val="22"/>
          <w:lang w:val="en-GB"/>
        </w:rPr>
        <w:t xml:space="preserve">Post Brexit, other regulations came into place to take into account the UK's position relative to the EU. </w:t>
      </w:r>
      <w:r w:rsidRPr="00F949F0">
        <w:rPr>
          <w:rFonts w:ascii="Arial" w:hAnsi="Arial" w:cs="Arial"/>
          <w:sz w:val="22"/>
          <w:szCs w:val="22"/>
          <w:lang w:val="en-GB"/>
        </w:rPr>
        <w:t>The Insolvency (Amendment) (EU Exit) Regulations 2019 (SI 2019/146) make changes to reflect the non-application of the Recast Insolvency Regulation in the UK from 1 January 2021, other than in a limited way preserved in UK domestic law.</w:t>
      </w:r>
    </w:p>
    <w:p w14:paraId="241F4D3A" w14:textId="69666F18" w:rsidR="00F949F0" w:rsidRDefault="00F949F0" w:rsidP="00B7193E">
      <w:pPr>
        <w:jc w:val="both"/>
        <w:rPr>
          <w:rFonts w:ascii="Arial" w:hAnsi="Arial" w:cs="Arial"/>
          <w:sz w:val="22"/>
          <w:szCs w:val="22"/>
          <w:lang w:val="en-GB"/>
        </w:rPr>
      </w:pPr>
    </w:p>
    <w:p w14:paraId="746F1C1E" w14:textId="3D1F7C31" w:rsidR="00F949F0" w:rsidRDefault="00F949F0" w:rsidP="00B7193E">
      <w:pPr>
        <w:jc w:val="both"/>
        <w:rPr>
          <w:rFonts w:ascii="Arial" w:hAnsi="Arial" w:cs="Arial"/>
          <w:sz w:val="22"/>
          <w:szCs w:val="22"/>
          <w:lang w:val="en-GB"/>
        </w:rPr>
      </w:pPr>
      <w:r w:rsidRPr="001F5145">
        <w:rPr>
          <w:rFonts w:ascii="Arial" w:hAnsi="Arial" w:cs="Arial"/>
          <w:b/>
          <w:sz w:val="22"/>
          <w:szCs w:val="22"/>
          <w:lang w:val="en-GB"/>
        </w:rPr>
        <w:t>Common law</w:t>
      </w:r>
      <w:r>
        <w:rPr>
          <w:rFonts w:ascii="Arial" w:hAnsi="Arial" w:cs="Arial"/>
          <w:sz w:val="22"/>
          <w:szCs w:val="22"/>
          <w:lang w:val="en-GB"/>
        </w:rPr>
        <w:t xml:space="preserve">: Certain common law states will rely on the common law to fill in gaps where the statutory regime may not cover </w:t>
      </w:r>
      <w:r w:rsidR="0059378B">
        <w:rPr>
          <w:rFonts w:ascii="Arial" w:hAnsi="Arial" w:cs="Arial"/>
          <w:sz w:val="22"/>
          <w:szCs w:val="22"/>
          <w:lang w:val="en-GB"/>
        </w:rPr>
        <w:t xml:space="preserve">a certain scenario. The common law will typically run parallel with the statutory regime although the statutory regime ought to be utilised in the first instance. If a country does not have a statutory mechanism for </w:t>
      </w:r>
      <w:r w:rsidR="0059378B" w:rsidRPr="0059378B">
        <w:rPr>
          <w:rFonts w:ascii="Arial" w:hAnsi="Arial" w:cs="Arial"/>
          <w:i/>
          <w:sz w:val="22"/>
          <w:szCs w:val="22"/>
          <w:lang w:val="en-GB"/>
        </w:rPr>
        <w:t>e.g.</w:t>
      </w:r>
      <w:r w:rsidR="0059378B">
        <w:rPr>
          <w:rFonts w:ascii="Arial" w:hAnsi="Arial" w:cs="Arial"/>
          <w:i/>
          <w:sz w:val="22"/>
          <w:szCs w:val="22"/>
          <w:lang w:val="en-GB"/>
        </w:rPr>
        <w:t xml:space="preserve"> </w:t>
      </w:r>
      <w:r w:rsidR="0059378B">
        <w:rPr>
          <w:rFonts w:ascii="Arial" w:hAnsi="Arial" w:cs="Arial"/>
          <w:sz w:val="22"/>
          <w:szCs w:val="22"/>
          <w:lang w:val="en-GB"/>
        </w:rPr>
        <w:t xml:space="preserve">recognition of a foreign liquidator, this is an example which may in states </w:t>
      </w:r>
      <w:r w:rsidR="0059378B" w:rsidRPr="0059378B">
        <w:rPr>
          <w:rFonts w:ascii="Arial" w:hAnsi="Arial" w:cs="Arial"/>
          <w:i/>
          <w:sz w:val="22"/>
          <w:szCs w:val="22"/>
          <w:lang w:val="en-GB"/>
        </w:rPr>
        <w:t>e.g.</w:t>
      </w:r>
      <w:r w:rsidR="0059378B">
        <w:rPr>
          <w:rFonts w:ascii="Arial" w:hAnsi="Arial" w:cs="Arial"/>
          <w:sz w:val="22"/>
          <w:szCs w:val="22"/>
          <w:lang w:val="en-GB"/>
        </w:rPr>
        <w:t xml:space="preserve"> Guernsey may look to the common law and the inherent jurisdiction </w:t>
      </w:r>
      <w:r w:rsidR="00CF7B1B">
        <w:rPr>
          <w:rFonts w:ascii="Arial" w:hAnsi="Arial" w:cs="Arial"/>
          <w:sz w:val="22"/>
          <w:szCs w:val="22"/>
          <w:lang w:val="en-GB"/>
        </w:rPr>
        <w:t>of the court as a</w:t>
      </w:r>
      <w:r w:rsidR="0059378B">
        <w:rPr>
          <w:rFonts w:ascii="Arial" w:hAnsi="Arial" w:cs="Arial"/>
          <w:sz w:val="22"/>
          <w:szCs w:val="22"/>
          <w:lang w:val="en-GB"/>
        </w:rPr>
        <w:t xml:space="preserve"> source of law for dealing with the issue. </w:t>
      </w:r>
    </w:p>
    <w:p w14:paraId="3A4D2413" w14:textId="77777777" w:rsidR="00F949F0" w:rsidRDefault="00F949F0" w:rsidP="00B7193E">
      <w:pPr>
        <w:jc w:val="both"/>
        <w:rPr>
          <w:rFonts w:ascii="Arial" w:hAnsi="Arial" w:cs="Arial"/>
          <w:sz w:val="22"/>
          <w:szCs w:val="22"/>
          <w:lang w:val="en-GB"/>
        </w:rPr>
      </w:pPr>
    </w:p>
    <w:p w14:paraId="19C0D48C" w14:textId="11399270" w:rsidR="00F949F0" w:rsidRDefault="00F949F0" w:rsidP="00B7193E">
      <w:pPr>
        <w:jc w:val="both"/>
        <w:rPr>
          <w:rFonts w:ascii="Arial" w:hAnsi="Arial" w:cs="Arial"/>
          <w:sz w:val="22"/>
          <w:szCs w:val="22"/>
          <w:lang w:val="en-GB"/>
        </w:rPr>
      </w:pPr>
      <w:r w:rsidRPr="001F5145">
        <w:rPr>
          <w:rFonts w:ascii="Arial" w:hAnsi="Arial" w:cs="Arial"/>
          <w:b/>
          <w:sz w:val="22"/>
          <w:szCs w:val="22"/>
          <w:lang w:val="en-GB"/>
        </w:rPr>
        <w:t>Case law</w:t>
      </w:r>
      <w:r>
        <w:rPr>
          <w:rFonts w:ascii="Arial" w:hAnsi="Arial" w:cs="Arial"/>
          <w:sz w:val="22"/>
          <w:szCs w:val="22"/>
          <w:lang w:val="en-GB"/>
        </w:rPr>
        <w:t xml:space="preserve">: </w:t>
      </w:r>
      <w:r w:rsidR="0059378B">
        <w:rPr>
          <w:rFonts w:ascii="Arial" w:hAnsi="Arial" w:cs="Arial"/>
          <w:sz w:val="22"/>
          <w:szCs w:val="22"/>
          <w:lang w:val="en-GB"/>
        </w:rPr>
        <w:t xml:space="preserve">Case law is used to assist (and in some cases dictate) the operation of the statutory provisions. This may apply to the interpretation of </w:t>
      </w:r>
      <w:r w:rsidR="0059378B" w:rsidRPr="0059378B">
        <w:rPr>
          <w:rFonts w:ascii="Arial" w:hAnsi="Arial" w:cs="Arial"/>
          <w:i/>
          <w:sz w:val="22"/>
          <w:szCs w:val="22"/>
          <w:lang w:val="en-GB"/>
        </w:rPr>
        <w:t>e.g.</w:t>
      </w:r>
      <w:r w:rsidR="0059378B">
        <w:rPr>
          <w:rFonts w:ascii="Arial" w:hAnsi="Arial" w:cs="Arial"/>
          <w:i/>
          <w:sz w:val="22"/>
          <w:szCs w:val="22"/>
          <w:lang w:val="en-GB"/>
        </w:rPr>
        <w:t xml:space="preserve"> </w:t>
      </w:r>
      <w:r w:rsidR="0059378B">
        <w:rPr>
          <w:rFonts w:ascii="Arial" w:hAnsi="Arial" w:cs="Arial"/>
          <w:sz w:val="22"/>
          <w:szCs w:val="22"/>
          <w:lang w:val="en-GB"/>
        </w:rPr>
        <w:t xml:space="preserve">a liquidator's duties or around more general principles such as comity. The courts will apply the legislation (domestic and in certain cases international) principles and laws in giving effect to the State's insolvency laws. </w:t>
      </w:r>
    </w:p>
    <w:p w14:paraId="4BE1EF4D" w14:textId="4E598DCE" w:rsidR="0059378B" w:rsidRDefault="0059378B" w:rsidP="00B7193E">
      <w:pPr>
        <w:jc w:val="both"/>
        <w:rPr>
          <w:rFonts w:ascii="Arial" w:hAnsi="Arial" w:cs="Arial"/>
          <w:sz w:val="22"/>
          <w:szCs w:val="22"/>
          <w:lang w:val="en-GB"/>
        </w:rPr>
      </w:pPr>
    </w:p>
    <w:p w14:paraId="5CA1FEF0" w14:textId="5904B09F" w:rsidR="0059378B" w:rsidRDefault="0059378B" w:rsidP="00B7193E">
      <w:pPr>
        <w:jc w:val="both"/>
        <w:rPr>
          <w:rFonts w:ascii="Arial" w:hAnsi="Arial" w:cs="Arial"/>
          <w:sz w:val="22"/>
          <w:szCs w:val="22"/>
          <w:lang w:val="en-GB"/>
        </w:rPr>
      </w:pPr>
      <w:r w:rsidRPr="001F5145">
        <w:rPr>
          <w:rFonts w:ascii="Arial" w:hAnsi="Arial" w:cs="Arial"/>
          <w:b/>
          <w:sz w:val="22"/>
          <w:szCs w:val="22"/>
          <w:lang w:val="en-GB"/>
        </w:rPr>
        <w:t>International Law</w:t>
      </w:r>
      <w:r>
        <w:rPr>
          <w:rFonts w:ascii="Arial" w:hAnsi="Arial" w:cs="Arial"/>
          <w:sz w:val="22"/>
          <w:szCs w:val="22"/>
          <w:lang w:val="en-GB"/>
        </w:rPr>
        <w:t>: The adoption of the MLCBI by states</w:t>
      </w:r>
      <w:r w:rsidR="00CF7B1B">
        <w:rPr>
          <w:rFonts w:ascii="Arial" w:hAnsi="Arial" w:cs="Arial"/>
          <w:sz w:val="22"/>
          <w:szCs w:val="22"/>
          <w:lang w:val="en-GB"/>
        </w:rPr>
        <w:t xml:space="preserve"> (</w:t>
      </w:r>
      <w:r w:rsidR="001F5145">
        <w:rPr>
          <w:rFonts w:ascii="Arial" w:hAnsi="Arial" w:cs="Arial"/>
          <w:sz w:val="22"/>
          <w:szCs w:val="22"/>
          <w:lang w:val="en-GB"/>
        </w:rPr>
        <w:t>although</w:t>
      </w:r>
      <w:r w:rsidR="00CF7B1B">
        <w:rPr>
          <w:rFonts w:ascii="Arial" w:hAnsi="Arial" w:cs="Arial"/>
          <w:sz w:val="22"/>
          <w:szCs w:val="22"/>
          <w:lang w:val="en-GB"/>
        </w:rPr>
        <w:t xml:space="preserve"> 'soft law')</w:t>
      </w:r>
      <w:r>
        <w:rPr>
          <w:rFonts w:ascii="Arial" w:hAnsi="Arial" w:cs="Arial"/>
          <w:sz w:val="22"/>
          <w:szCs w:val="22"/>
          <w:lang w:val="en-GB"/>
        </w:rPr>
        <w:t xml:space="preserve"> is a source that provides a framework for domestic legislation to reconcile international/multinational insolvency matters without creating conflicts of laws issues or problems with an asymmetry between domestic regimes. </w:t>
      </w:r>
      <w:r w:rsidR="00CF7B1B">
        <w:rPr>
          <w:rFonts w:ascii="Arial" w:hAnsi="Arial" w:cs="Arial"/>
          <w:sz w:val="22"/>
          <w:szCs w:val="22"/>
          <w:lang w:val="en-GB"/>
        </w:rPr>
        <w:t>Treaties are also a form of (typically) binding instruments that operate as a source of domestic law. The EIR has had success in effecting the laws of EU countries</w:t>
      </w:r>
      <w:r w:rsidR="001F5145">
        <w:rPr>
          <w:rFonts w:ascii="Arial" w:hAnsi="Arial" w:cs="Arial"/>
          <w:sz w:val="22"/>
          <w:szCs w:val="22"/>
          <w:lang w:val="en-GB"/>
        </w:rPr>
        <w:t xml:space="preserve"> and creating consistency across their domestic regimes</w:t>
      </w:r>
      <w:r w:rsidR="00CF7B1B">
        <w:rPr>
          <w:rFonts w:ascii="Arial" w:hAnsi="Arial" w:cs="Arial"/>
          <w:sz w:val="22"/>
          <w:szCs w:val="22"/>
          <w:lang w:val="en-GB"/>
        </w:rPr>
        <w:t xml:space="preserve">. Similarly, the Bustamante Code in the Americas and the Montevideo treaties </w:t>
      </w:r>
      <w:r w:rsidR="001F5145">
        <w:rPr>
          <w:rFonts w:ascii="Arial" w:hAnsi="Arial" w:cs="Arial"/>
          <w:sz w:val="22"/>
          <w:szCs w:val="22"/>
          <w:lang w:val="en-GB"/>
        </w:rPr>
        <w:t xml:space="preserve">(despite the low ratification rate) </w:t>
      </w:r>
      <w:r w:rsidR="00CF7B1B">
        <w:rPr>
          <w:rFonts w:ascii="Arial" w:hAnsi="Arial" w:cs="Arial"/>
          <w:sz w:val="22"/>
          <w:szCs w:val="22"/>
          <w:lang w:val="en-GB"/>
        </w:rPr>
        <w:t xml:space="preserve">operate as a source of law in these regions relating to issues of private international law and NAFTA and the Nordic Convention have a similar impact as a source of law in their respective regions, influencing and harmonising the domestic regimes to which they relate.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lastRenderedPageBreak/>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528BB99C" w:rsidR="00DF75F8" w:rsidRPr="00227FBB" w:rsidRDefault="001F5145" w:rsidP="00B7193E">
      <w:pPr>
        <w:jc w:val="both"/>
        <w:rPr>
          <w:rFonts w:ascii="Arial" w:hAnsi="Arial" w:cs="Arial"/>
          <w:sz w:val="22"/>
          <w:szCs w:val="22"/>
          <w:lang w:val="en-GB"/>
        </w:rPr>
      </w:pPr>
      <w:r w:rsidRPr="00227FBB">
        <w:rPr>
          <w:rFonts w:ascii="Arial" w:hAnsi="Arial" w:cs="Arial"/>
          <w:sz w:val="22"/>
          <w:szCs w:val="22"/>
          <w:lang w:val="en-GB"/>
        </w:rPr>
        <w:t>Fletcher poses the following questions</w:t>
      </w:r>
      <w:r w:rsidR="00623722">
        <w:rPr>
          <w:rFonts w:ascii="Arial" w:hAnsi="Arial" w:cs="Arial"/>
          <w:sz w:val="22"/>
          <w:szCs w:val="22"/>
          <w:lang w:val="en-GB"/>
        </w:rPr>
        <w:t>:</w:t>
      </w:r>
    </w:p>
    <w:p w14:paraId="7F0FAD97" w14:textId="223D9BB1" w:rsidR="001F5145" w:rsidRPr="00227FBB" w:rsidRDefault="001F5145" w:rsidP="00B7193E">
      <w:pPr>
        <w:jc w:val="both"/>
        <w:rPr>
          <w:rFonts w:ascii="Arial" w:hAnsi="Arial" w:cs="Arial"/>
          <w:sz w:val="22"/>
          <w:szCs w:val="22"/>
          <w:lang w:val="en-GB"/>
        </w:rPr>
      </w:pPr>
    </w:p>
    <w:p w14:paraId="308A954A" w14:textId="23700342" w:rsidR="001F5145" w:rsidRPr="00227FBB" w:rsidRDefault="001F5145" w:rsidP="00B7193E">
      <w:pPr>
        <w:jc w:val="both"/>
        <w:rPr>
          <w:rFonts w:ascii="Arial" w:hAnsi="Arial" w:cs="Arial"/>
          <w:sz w:val="22"/>
          <w:szCs w:val="22"/>
          <w:lang w:val="en-GB"/>
        </w:rPr>
      </w:pPr>
      <w:r w:rsidRPr="00227FBB">
        <w:rPr>
          <w:rFonts w:ascii="Arial" w:hAnsi="Arial" w:cs="Arial"/>
          <w:sz w:val="22"/>
          <w:szCs w:val="22"/>
          <w:lang w:val="en-GB"/>
        </w:rPr>
        <w:t>1) In which jurisdictions may insolvency proceedings be opened?</w:t>
      </w:r>
    </w:p>
    <w:p w14:paraId="1B39CF93" w14:textId="4CA5C09F" w:rsidR="001F5145" w:rsidRPr="00227FBB" w:rsidRDefault="001F5145" w:rsidP="00B7193E">
      <w:pPr>
        <w:jc w:val="both"/>
        <w:rPr>
          <w:rFonts w:ascii="Arial" w:hAnsi="Arial" w:cs="Arial"/>
          <w:sz w:val="22"/>
          <w:szCs w:val="22"/>
          <w:lang w:val="en-GB"/>
        </w:rPr>
      </w:pPr>
    </w:p>
    <w:p w14:paraId="0DDB6570" w14:textId="2632DF15" w:rsidR="001F5145" w:rsidRDefault="001F5145" w:rsidP="00B7193E">
      <w:pPr>
        <w:jc w:val="both"/>
        <w:rPr>
          <w:rFonts w:ascii="Arial" w:hAnsi="Arial" w:cs="Arial"/>
          <w:sz w:val="22"/>
          <w:szCs w:val="22"/>
          <w:lang w:val="en-GB"/>
        </w:rPr>
      </w:pPr>
      <w:r w:rsidRPr="00227FBB">
        <w:rPr>
          <w:rFonts w:ascii="Arial" w:hAnsi="Arial" w:cs="Arial"/>
          <w:sz w:val="22"/>
          <w:szCs w:val="22"/>
          <w:lang w:val="en-GB"/>
        </w:rPr>
        <w:t>Questions of jurisdiction can be governed by the law of the contract or the location/domicile of a party to insolvency proceedings. It may also be governed by the law of an individual state. A court may have jurisdiction to wind up a company formed in another state that has a connection to the state the court is situated even where that company is not registered in the countr</w:t>
      </w:r>
      <w:r w:rsidR="004C6B22" w:rsidRPr="00227FBB">
        <w:rPr>
          <w:rFonts w:ascii="Arial" w:hAnsi="Arial" w:cs="Arial"/>
          <w:sz w:val="22"/>
          <w:szCs w:val="22"/>
          <w:lang w:val="en-GB"/>
        </w:rPr>
        <w:t xml:space="preserve">y of the court hearing the case (see, </w:t>
      </w:r>
      <w:r w:rsidR="004C6B22" w:rsidRPr="00227FBB">
        <w:rPr>
          <w:rFonts w:ascii="Arial" w:hAnsi="Arial" w:cs="Arial"/>
          <w:i/>
          <w:sz w:val="22"/>
          <w:szCs w:val="22"/>
          <w:lang w:val="en-GB"/>
        </w:rPr>
        <w:t>e.g.</w:t>
      </w:r>
      <w:r w:rsidR="004C6B22" w:rsidRPr="00227FBB">
        <w:rPr>
          <w:rFonts w:ascii="Arial" w:hAnsi="Arial" w:cs="Arial"/>
          <w:sz w:val="22"/>
          <w:szCs w:val="22"/>
          <w:lang w:val="en-GB"/>
        </w:rPr>
        <w:t xml:space="preserve"> the Insolvency Act 1986 sections, 220-221).</w:t>
      </w:r>
      <w:r w:rsidRPr="00227FBB">
        <w:rPr>
          <w:rFonts w:ascii="Arial" w:hAnsi="Arial" w:cs="Arial"/>
          <w:sz w:val="22"/>
          <w:szCs w:val="22"/>
          <w:lang w:val="en-GB"/>
        </w:rPr>
        <w:t xml:space="preserve"> </w:t>
      </w:r>
    </w:p>
    <w:p w14:paraId="08A4DF08" w14:textId="36017EEC" w:rsidR="00227FBB" w:rsidRDefault="00227FBB" w:rsidP="00B7193E">
      <w:pPr>
        <w:jc w:val="both"/>
        <w:rPr>
          <w:rFonts w:ascii="Arial" w:hAnsi="Arial" w:cs="Arial"/>
          <w:sz w:val="22"/>
          <w:szCs w:val="22"/>
          <w:lang w:val="en-GB"/>
        </w:rPr>
      </w:pPr>
    </w:p>
    <w:p w14:paraId="726EE871" w14:textId="1FBA8F49" w:rsidR="00227FBB" w:rsidRPr="00227FBB" w:rsidRDefault="00227FBB" w:rsidP="00B7193E">
      <w:pPr>
        <w:jc w:val="both"/>
        <w:rPr>
          <w:rFonts w:ascii="Arial" w:hAnsi="Arial" w:cs="Arial"/>
          <w:sz w:val="22"/>
          <w:szCs w:val="22"/>
          <w:lang w:val="en-GB"/>
        </w:rPr>
      </w:pPr>
      <w:r>
        <w:rPr>
          <w:rFonts w:ascii="Arial" w:hAnsi="Arial" w:cs="Arial"/>
          <w:sz w:val="22"/>
          <w:szCs w:val="22"/>
          <w:lang w:val="en-GB"/>
        </w:rPr>
        <w:t>Equally there are questions of connection to the jurisdiction such that a court can legitimately seize jurisdiction of a particular matter.</w:t>
      </w:r>
    </w:p>
    <w:p w14:paraId="1F147277" w14:textId="1729A6CD" w:rsidR="001F5145" w:rsidRPr="00227FBB" w:rsidRDefault="001F5145" w:rsidP="00B7193E">
      <w:pPr>
        <w:jc w:val="both"/>
        <w:rPr>
          <w:rFonts w:ascii="Arial" w:hAnsi="Arial" w:cs="Arial"/>
          <w:sz w:val="22"/>
          <w:szCs w:val="22"/>
          <w:lang w:val="en-GB"/>
        </w:rPr>
      </w:pPr>
    </w:p>
    <w:p w14:paraId="33F0D4A0" w14:textId="2006299A" w:rsidR="001F5145" w:rsidRDefault="001F5145" w:rsidP="00B7193E">
      <w:pPr>
        <w:jc w:val="both"/>
        <w:rPr>
          <w:rFonts w:ascii="Arial" w:hAnsi="Arial" w:cs="Arial"/>
          <w:sz w:val="22"/>
          <w:szCs w:val="22"/>
          <w:lang w:val="en-GB"/>
        </w:rPr>
      </w:pPr>
      <w:r w:rsidRPr="00227FBB">
        <w:rPr>
          <w:rFonts w:ascii="Arial" w:hAnsi="Arial" w:cs="Arial"/>
          <w:sz w:val="22"/>
          <w:szCs w:val="22"/>
          <w:lang w:val="en-GB"/>
        </w:rPr>
        <w:t xml:space="preserve">2) What country's law should be </w:t>
      </w:r>
      <w:r w:rsidR="004C6B22" w:rsidRPr="00227FBB">
        <w:rPr>
          <w:rFonts w:ascii="Arial" w:hAnsi="Arial" w:cs="Arial"/>
          <w:sz w:val="22"/>
          <w:szCs w:val="22"/>
          <w:lang w:val="en-GB"/>
        </w:rPr>
        <w:t>applied</w:t>
      </w:r>
      <w:r w:rsidRPr="00227FBB">
        <w:rPr>
          <w:rFonts w:ascii="Arial" w:hAnsi="Arial" w:cs="Arial"/>
          <w:sz w:val="22"/>
          <w:szCs w:val="22"/>
          <w:lang w:val="en-GB"/>
        </w:rPr>
        <w:t xml:space="preserve"> in respect of different aspects of the case?</w:t>
      </w:r>
    </w:p>
    <w:p w14:paraId="2776B09E" w14:textId="1051AEB2" w:rsidR="00227FBB" w:rsidRDefault="00227FBB" w:rsidP="00B7193E">
      <w:pPr>
        <w:jc w:val="both"/>
        <w:rPr>
          <w:rFonts w:ascii="Arial" w:hAnsi="Arial" w:cs="Arial"/>
          <w:sz w:val="22"/>
          <w:szCs w:val="22"/>
          <w:lang w:val="en-GB"/>
        </w:rPr>
      </w:pPr>
    </w:p>
    <w:p w14:paraId="28A79159" w14:textId="6247AA24" w:rsidR="00227FBB" w:rsidRPr="00227FBB" w:rsidRDefault="00227FBB" w:rsidP="00B7193E">
      <w:pPr>
        <w:jc w:val="both"/>
        <w:rPr>
          <w:rFonts w:ascii="Arial" w:hAnsi="Arial" w:cs="Arial"/>
          <w:sz w:val="22"/>
          <w:szCs w:val="22"/>
          <w:lang w:val="en-GB"/>
        </w:rPr>
      </w:pPr>
      <w:r>
        <w:rPr>
          <w:rFonts w:ascii="Arial" w:hAnsi="Arial" w:cs="Arial"/>
          <w:sz w:val="22"/>
          <w:szCs w:val="22"/>
          <w:lang w:val="en-GB"/>
        </w:rPr>
        <w:t>Even where a proceedings are to be held in one country does not dictate that the court has to apply the law of that country (</w:t>
      </w:r>
      <w:r w:rsidRPr="00227FBB">
        <w:rPr>
          <w:rFonts w:ascii="Arial" w:hAnsi="Arial" w:cs="Arial"/>
          <w:i/>
          <w:sz w:val="22"/>
          <w:szCs w:val="22"/>
          <w:lang w:val="en-GB"/>
        </w:rPr>
        <w:t>e.g.</w:t>
      </w:r>
      <w:r>
        <w:rPr>
          <w:rFonts w:ascii="Arial" w:hAnsi="Arial" w:cs="Arial"/>
          <w:sz w:val="22"/>
          <w:szCs w:val="22"/>
          <w:lang w:val="en-GB"/>
        </w:rPr>
        <w:t xml:space="preserve"> a Guernsey Court can hear a case based on Danish law) although this approach differs between states. In common law states, such as Guernsey, choice of law issues only arise where parties invoke them (either through agreement or more typically through the express provisions in a contract). In other systems the law of the forum will dictate the choice of law (</w:t>
      </w:r>
      <w:r w:rsidRPr="00227FBB">
        <w:rPr>
          <w:rFonts w:ascii="Arial" w:hAnsi="Arial" w:cs="Arial"/>
          <w:i/>
          <w:sz w:val="22"/>
          <w:szCs w:val="22"/>
          <w:lang w:val="en-GB"/>
        </w:rPr>
        <w:t>i.e.</w:t>
      </w:r>
      <w:r>
        <w:rPr>
          <w:rFonts w:ascii="Arial" w:hAnsi="Arial" w:cs="Arial"/>
          <w:sz w:val="22"/>
          <w:szCs w:val="22"/>
          <w:lang w:val="en-GB"/>
        </w:rPr>
        <w:t xml:space="preserve"> that of the forum). In civil systems proof of foreign law is a question of law, as opposed to common law systems where proof of foreign law is a question of fact, pleaded and supported usually by expert evidence.  </w:t>
      </w:r>
    </w:p>
    <w:p w14:paraId="65B4C0C8" w14:textId="0BD669E6" w:rsidR="001F5145" w:rsidRPr="00227FBB" w:rsidRDefault="001F5145" w:rsidP="00B7193E">
      <w:pPr>
        <w:jc w:val="both"/>
        <w:rPr>
          <w:rFonts w:ascii="Arial" w:hAnsi="Arial" w:cs="Arial"/>
          <w:sz w:val="22"/>
          <w:szCs w:val="22"/>
          <w:lang w:val="en-GB"/>
        </w:rPr>
      </w:pPr>
    </w:p>
    <w:p w14:paraId="3BA95E58" w14:textId="4E238984" w:rsidR="001F5145" w:rsidRDefault="001F5145" w:rsidP="00B7193E">
      <w:pPr>
        <w:jc w:val="both"/>
        <w:rPr>
          <w:rFonts w:ascii="Arial" w:hAnsi="Arial" w:cs="Arial"/>
          <w:sz w:val="22"/>
          <w:szCs w:val="22"/>
          <w:lang w:val="en-GB"/>
        </w:rPr>
      </w:pPr>
      <w:r w:rsidRPr="00227FBB">
        <w:rPr>
          <w:rFonts w:ascii="Arial" w:hAnsi="Arial" w:cs="Arial"/>
          <w:sz w:val="22"/>
          <w:szCs w:val="22"/>
          <w:lang w:val="en-GB"/>
        </w:rPr>
        <w:t xml:space="preserve">3) What international effects will be accorded to proceedings conducted at a particular forum (including issues of enforcement). </w:t>
      </w:r>
    </w:p>
    <w:p w14:paraId="445F5CE7" w14:textId="1AE71736" w:rsidR="00227FBB" w:rsidRDefault="00227FBB" w:rsidP="00B7193E">
      <w:pPr>
        <w:jc w:val="both"/>
        <w:rPr>
          <w:rFonts w:ascii="Arial" w:hAnsi="Arial" w:cs="Arial"/>
          <w:sz w:val="22"/>
          <w:szCs w:val="22"/>
          <w:lang w:val="en-GB"/>
        </w:rPr>
      </w:pPr>
    </w:p>
    <w:p w14:paraId="2E7234C8" w14:textId="2F2FD1B3" w:rsidR="00227FBB" w:rsidRDefault="00227FBB" w:rsidP="00B7193E">
      <w:pPr>
        <w:jc w:val="both"/>
        <w:rPr>
          <w:rFonts w:ascii="Arial" w:hAnsi="Arial" w:cs="Arial"/>
          <w:sz w:val="22"/>
          <w:szCs w:val="22"/>
          <w:lang w:val="en-GB"/>
        </w:rPr>
      </w:pPr>
      <w:r>
        <w:rPr>
          <w:rFonts w:ascii="Arial" w:hAnsi="Arial" w:cs="Arial"/>
          <w:sz w:val="22"/>
          <w:szCs w:val="22"/>
          <w:lang w:val="en-GB"/>
        </w:rPr>
        <w:t xml:space="preserve">Recognition of a foreign judgment and enforcement of the same raise issues including the status/competency of the court to grant judgment (certain judgments may be deemed unsafe due to the jurisdiction they are granted, particularly where there are instances of judicial corruption or allegations of the same) as well as </w:t>
      </w:r>
      <w:r w:rsidR="00623722">
        <w:rPr>
          <w:rFonts w:ascii="Arial" w:hAnsi="Arial" w:cs="Arial"/>
          <w:sz w:val="22"/>
          <w:szCs w:val="22"/>
          <w:lang w:val="en-GB"/>
        </w:rPr>
        <w:t xml:space="preserve">the effect of any given judgment – this may be relevant in cases where a transaction or disposition is voidable or where there is a transaction at undervalue that can be reversed. </w:t>
      </w:r>
    </w:p>
    <w:p w14:paraId="588C9BD0" w14:textId="12EB679F" w:rsidR="00623722" w:rsidRDefault="00623722" w:rsidP="00B7193E">
      <w:pPr>
        <w:jc w:val="both"/>
        <w:rPr>
          <w:rFonts w:ascii="Arial" w:hAnsi="Arial" w:cs="Arial"/>
          <w:sz w:val="22"/>
          <w:szCs w:val="22"/>
          <w:lang w:val="en-GB"/>
        </w:rPr>
      </w:pPr>
    </w:p>
    <w:p w14:paraId="6BF2EE44" w14:textId="63638644" w:rsidR="00623722" w:rsidRDefault="00623722" w:rsidP="00B7193E">
      <w:pPr>
        <w:jc w:val="both"/>
        <w:rPr>
          <w:rFonts w:ascii="Arial" w:hAnsi="Arial" w:cs="Arial"/>
          <w:sz w:val="22"/>
          <w:szCs w:val="22"/>
          <w:lang w:val="en-GB"/>
        </w:rPr>
      </w:pPr>
      <w:r>
        <w:rPr>
          <w:rFonts w:ascii="Arial" w:hAnsi="Arial" w:cs="Arial"/>
          <w:sz w:val="22"/>
          <w:szCs w:val="22"/>
          <w:lang w:val="en-GB"/>
        </w:rPr>
        <w:t xml:space="preserve">These issues were grappled with in the development of the UNCITRAL Model Law on Recognition and Enforcement of Insolvency-Related Judgments (2018) following the UK Supreme Court decision in </w:t>
      </w:r>
      <w:r w:rsidR="00645818" w:rsidRPr="00645818">
        <w:rPr>
          <w:rFonts w:ascii="Arial" w:hAnsi="Arial" w:cs="Arial"/>
          <w:i/>
          <w:sz w:val="22"/>
          <w:szCs w:val="22"/>
          <w:lang w:val="en-GB"/>
        </w:rPr>
        <w:t>Rubin v Eurofinance, SA</w:t>
      </w:r>
      <w:r w:rsidR="00645818">
        <w:rPr>
          <w:rFonts w:ascii="Arial" w:hAnsi="Arial" w:cs="Arial"/>
          <w:i/>
          <w:sz w:val="22"/>
          <w:szCs w:val="22"/>
          <w:lang w:val="en-GB"/>
        </w:rPr>
        <w:t xml:space="preserve"> &amp; Oths </w:t>
      </w:r>
      <w:r w:rsidR="00645818" w:rsidRPr="00645818">
        <w:rPr>
          <w:rFonts w:ascii="Arial" w:hAnsi="Arial" w:cs="Arial"/>
          <w:sz w:val="22"/>
          <w:szCs w:val="22"/>
          <w:lang w:val="en-GB"/>
        </w:rPr>
        <w:t>[2012] UKSC 46</w:t>
      </w:r>
      <w:r w:rsidR="00645818">
        <w:rPr>
          <w:rFonts w:ascii="Arial" w:hAnsi="Arial" w:cs="Arial"/>
          <w:sz w:val="22"/>
          <w:szCs w:val="22"/>
          <w:lang w:val="en-GB"/>
        </w:rPr>
        <w:t xml:space="preserve"> where the apparent failure of the MLCBI to address the issues of recognition and enforcement of insolvency related judgments was highlighted. In this case the conflict between modified universalism and the common law rules on recognition and enforcement were discussed and in effected diluted the significance of universalism referring to it as "only a trend" (para 16).  </w:t>
      </w:r>
    </w:p>
    <w:p w14:paraId="222FE357" w14:textId="5332E635" w:rsidR="00227FBB" w:rsidRDefault="00227FBB" w:rsidP="00B7193E">
      <w:pPr>
        <w:jc w:val="both"/>
        <w:rPr>
          <w:rFonts w:ascii="Arial" w:hAnsi="Arial" w:cs="Arial"/>
          <w:sz w:val="22"/>
          <w:szCs w:val="22"/>
          <w:lang w:val="en-GB"/>
        </w:rPr>
      </w:pPr>
    </w:p>
    <w:p w14:paraId="62B6744A" w14:textId="1FA530DC" w:rsidR="00227FBB" w:rsidRPr="00227FBB" w:rsidRDefault="00227FBB" w:rsidP="00B7193E">
      <w:pPr>
        <w:jc w:val="both"/>
        <w:rPr>
          <w:rFonts w:ascii="Arial" w:hAnsi="Arial" w:cs="Arial"/>
          <w:sz w:val="22"/>
          <w:szCs w:val="22"/>
          <w:lang w:val="en-GB"/>
        </w:rPr>
      </w:pPr>
      <w:r>
        <w:rPr>
          <w:rFonts w:ascii="Arial" w:hAnsi="Arial" w:cs="Arial"/>
          <w:sz w:val="22"/>
          <w:szCs w:val="22"/>
          <w:lang w:val="en-GB"/>
        </w:rPr>
        <w:t>What underpins Fletcher's observations the live possibility of proceedings being commenced concurrently in two or more states, each applying its own laws (including its own position of conflict of laws) leading to judgments with little or no territorial effect or recognition.</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w:t>
      </w:r>
      <w:r w:rsidR="001131C6" w:rsidRPr="00205B31">
        <w:lastRenderedPageBreak/>
        <w:t xml:space="preserve">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4244490A" w:rsidR="00DF75F8" w:rsidRDefault="00C73238" w:rsidP="00B7193E">
      <w:pPr>
        <w:jc w:val="both"/>
        <w:rPr>
          <w:rFonts w:ascii="Arial" w:hAnsi="Arial" w:cs="Arial"/>
          <w:sz w:val="22"/>
          <w:szCs w:val="22"/>
          <w:lang w:val="en-GB"/>
        </w:rPr>
      </w:pPr>
      <w:r w:rsidRPr="00CE7E39">
        <w:rPr>
          <w:rFonts w:ascii="Arial" w:hAnsi="Arial" w:cs="Arial"/>
          <w:sz w:val="22"/>
          <w:szCs w:val="22"/>
          <w:lang w:val="en-GB"/>
        </w:rPr>
        <w:t xml:space="preserve">In </w:t>
      </w:r>
      <w:r w:rsidRPr="00CE7E39">
        <w:rPr>
          <w:rFonts w:ascii="Arial" w:hAnsi="Arial" w:cs="Arial"/>
          <w:i/>
          <w:sz w:val="22"/>
          <w:szCs w:val="22"/>
          <w:lang w:val="en-GB"/>
        </w:rPr>
        <w:t>re Maxwell Communications Corporation plc.</w:t>
      </w:r>
      <w:r w:rsidRPr="00CE7E39">
        <w:rPr>
          <w:rFonts w:ascii="Arial" w:hAnsi="Arial" w:cs="Arial"/>
          <w:sz w:val="22"/>
          <w:szCs w:val="22"/>
          <w:lang w:val="en-GB"/>
        </w:rPr>
        <w:t xml:space="preserve"> a dispute arose about </w:t>
      </w:r>
      <w:r w:rsidRPr="00CE7E39">
        <w:rPr>
          <w:rFonts w:ascii="Arial" w:hAnsi="Arial" w:cs="Arial"/>
          <w:i/>
          <w:sz w:val="22"/>
          <w:szCs w:val="22"/>
          <w:lang w:val="en-GB"/>
        </w:rPr>
        <w:t>inter alia</w:t>
      </w:r>
      <w:r w:rsidRPr="00CE7E39">
        <w:rPr>
          <w:rFonts w:ascii="Arial" w:hAnsi="Arial" w:cs="Arial"/>
          <w:sz w:val="22"/>
          <w:szCs w:val="22"/>
          <w:lang w:val="en-GB"/>
        </w:rPr>
        <w:t xml:space="preserve"> the appointment of the administrator in connection with the company, which was unable to pay its debts as they fell due. 80% of the value of the assets of the company was held in the US where there had been a Ch.11 petition for bankruptcy filed at the same time as proceedings in the UK at been initiated, i.e. the Company was placed into administration in England and the US at the same time. Two set of insolvency practitioners were tasked in connection with the same ultimate responsibility. Judges in both jurisdictions independently raised the prospect of the parties entering into an insolvency agreement between the two administrators to resolve the conflict and for the exchange and provision of information sharing. </w:t>
      </w:r>
    </w:p>
    <w:p w14:paraId="50B2D7A7" w14:textId="27731226" w:rsidR="00CE7E39" w:rsidRDefault="00CE7E39" w:rsidP="00B7193E">
      <w:pPr>
        <w:jc w:val="both"/>
        <w:rPr>
          <w:rFonts w:ascii="Arial" w:hAnsi="Arial" w:cs="Arial"/>
          <w:sz w:val="22"/>
          <w:szCs w:val="22"/>
          <w:lang w:val="en-GB"/>
        </w:rPr>
      </w:pPr>
    </w:p>
    <w:p w14:paraId="42830161" w14:textId="20C9F5FE" w:rsidR="00C73238" w:rsidRDefault="00CE7E39" w:rsidP="00B7193E">
      <w:pPr>
        <w:jc w:val="both"/>
        <w:rPr>
          <w:rFonts w:ascii="Arial" w:hAnsi="Arial" w:cs="Arial"/>
          <w:sz w:val="22"/>
          <w:szCs w:val="22"/>
          <w:lang w:val="en-GB"/>
        </w:rPr>
      </w:pPr>
      <w:r>
        <w:rPr>
          <w:rFonts w:ascii="Arial" w:hAnsi="Arial" w:cs="Arial"/>
          <w:sz w:val="22"/>
          <w:szCs w:val="22"/>
          <w:lang w:val="en-GB"/>
        </w:rPr>
        <w:t xml:space="preserve">Under the insolvency agreement (there was, in fact two agreements, one at the outset of the case, an operating agreement, addressing issues of stabilisation and asset preservation and second agreement relating to distributions to creditors </w:t>
      </w:r>
      <w:r w:rsidR="00107776">
        <w:rPr>
          <w:rFonts w:ascii="Arial" w:hAnsi="Arial" w:cs="Arial"/>
          <w:sz w:val="22"/>
          <w:szCs w:val="22"/>
          <w:lang w:val="en-GB"/>
        </w:rPr>
        <w:t>etc. although these are typically referred to as the one agreement</w:t>
      </w:r>
      <w:r>
        <w:rPr>
          <w:rFonts w:ascii="Arial" w:hAnsi="Arial" w:cs="Arial"/>
          <w:sz w:val="22"/>
          <w:szCs w:val="22"/>
          <w:lang w:val="en-GB"/>
        </w:rPr>
        <w:t>), two sets of goals were agreed: maximising the value of the estate, and harmonising proceedings to minimise expense, waste and remove the need for any jurisdictional conflict. With regard to the latter, t</w:t>
      </w:r>
      <w:r w:rsidR="00C73238" w:rsidRPr="00CE7E39">
        <w:rPr>
          <w:rFonts w:ascii="Arial" w:hAnsi="Arial" w:cs="Arial"/>
          <w:sz w:val="22"/>
          <w:szCs w:val="22"/>
          <w:lang w:val="en-GB"/>
        </w:rPr>
        <w:t xml:space="preserve">he insolvency agreement in </w:t>
      </w:r>
      <w:r w:rsidR="00C73238" w:rsidRPr="00CE7E39">
        <w:rPr>
          <w:rFonts w:ascii="Arial" w:hAnsi="Arial" w:cs="Arial"/>
          <w:i/>
          <w:sz w:val="22"/>
          <w:szCs w:val="22"/>
          <w:lang w:val="en-GB"/>
        </w:rPr>
        <w:t>Maxwell</w:t>
      </w:r>
      <w:r w:rsidR="00C73238" w:rsidRPr="00CE7E39">
        <w:rPr>
          <w:rFonts w:ascii="Arial" w:hAnsi="Arial" w:cs="Arial"/>
          <w:sz w:val="22"/>
          <w:szCs w:val="22"/>
          <w:lang w:val="en-GB"/>
        </w:rPr>
        <w:t xml:space="preserve"> resulted in the US and UK representatives performing </w:t>
      </w:r>
      <w:r>
        <w:rPr>
          <w:rFonts w:ascii="Arial" w:hAnsi="Arial" w:cs="Arial"/>
          <w:sz w:val="22"/>
          <w:szCs w:val="22"/>
          <w:lang w:val="en-GB"/>
        </w:rPr>
        <w:t xml:space="preserve">their respective obligations </w:t>
      </w:r>
      <w:r w:rsidR="00C73238" w:rsidRPr="00CE7E39">
        <w:rPr>
          <w:rFonts w:ascii="Arial" w:hAnsi="Arial" w:cs="Arial"/>
          <w:sz w:val="22"/>
          <w:szCs w:val="22"/>
          <w:lang w:val="en-GB"/>
        </w:rPr>
        <w:t xml:space="preserve">in such a way that there was no need for judicial intervention on the question of </w:t>
      </w:r>
      <w:r w:rsidRPr="00CE7E39">
        <w:rPr>
          <w:rFonts w:ascii="Arial" w:hAnsi="Arial" w:cs="Arial"/>
          <w:sz w:val="22"/>
          <w:szCs w:val="22"/>
          <w:lang w:val="en-GB"/>
        </w:rPr>
        <w:t xml:space="preserve">jurisdictional conflict thereby obviating the need for complex principles of private international law to be tackles in multiple jurisdictions. </w:t>
      </w:r>
    </w:p>
    <w:p w14:paraId="5D4CA694" w14:textId="14E3CC74" w:rsidR="00CE7E39" w:rsidRDefault="00CE7E39" w:rsidP="00B7193E">
      <w:pPr>
        <w:jc w:val="both"/>
        <w:rPr>
          <w:rFonts w:ascii="Arial" w:hAnsi="Arial" w:cs="Arial"/>
          <w:sz w:val="22"/>
          <w:szCs w:val="22"/>
          <w:lang w:val="en-GB"/>
        </w:rPr>
      </w:pPr>
    </w:p>
    <w:p w14:paraId="02273B36" w14:textId="2481A0CA" w:rsidR="00CE7E39" w:rsidRPr="00CE7E39" w:rsidRDefault="00CE7E39" w:rsidP="00B7193E">
      <w:pPr>
        <w:jc w:val="both"/>
        <w:rPr>
          <w:rFonts w:ascii="Arial" w:hAnsi="Arial" w:cs="Arial"/>
          <w:sz w:val="22"/>
          <w:szCs w:val="22"/>
          <w:lang w:val="en-GB"/>
        </w:rPr>
      </w:pPr>
      <w:r>
        <w:rPr>
          <w:rFonts w:ascii="Arial" w:hAnsi="Arial" w:cs="Arial"/>
          <w:sz w:val="22"/>
          <w:szCs w:val="22"/>
          <w:lang w:val="en-GB"/>
        </w:rPr>
        <w:t xml:space="preserve">The insolvency agreement dealt with issues that may otherwise present </w:t>
      </w:r>
      <w:r w:rsidR="00107776">
        <w:rPr>
          <w:rFonts w:ascii="Arial" w:hAnsi="Arial" w:cs="Arial"/>
          <w:sz w:val="22"/>
          <w:szCs w:val="22"/>
          <w:lang w:val="en-GB"/>
        </w:rPr>
        <w:t xml:space="preserve">the court with contentious issues and questions of international law. The </w:t>
      </w:r>
      <w:r w:rsidR="00107776" w:rsidRPr="00107776">
        <w:rPr>
          <w:rFonts w:ascii="Arial" w:hAnsi="Arial" w:cs="Arial"/>
          <w:i/>
          <w:sz w:val="22"/>
          <w:szCs w:val="22"/>
          <w:lang w:val="en-GB"/>
        </w:rPr>
        <w:t>Maxwell</w:t>
      </w:r>
      <w:r w:rsidR="00107776">
        <w:rPr>
          <w:rFonts w:ascii="Arial" w:hAnsi="Arial" w:cs="Arial"/>
          <w:sz w:val="22"/>
          <w:szCs w:val="22"/>
          <w:lang w:val="en-GB"/>
        </w:rPr>
        <w:t xml:space="preserve"> agreement contained provisions on retaining staff to maintain the business as a going concern (with the English IP's being allowed to select independent directors (with the consent of their US counterparts) prior notice was to be given in connection with major transactions although there was provision for pre-authorised "lesser" transactions. </w:t>
      </w:r>
    </w:p>
    <w:p w14:paraId="6E70A074" w14:textId="120DC864" w:rsidR="00C73238" w:rsidRDefault="00C73238" w:rsidP="00B7193E">
      <w:pPr>
        <w:jc w:val="both"/>
        <w:rPr>
          <w:rFonts w:ascii="Arial" w:hAnsi="Arial" w:cs="Arial"/>
          <w:color w:val="7B7B7B" w:themeColor="accent3" w:themeShade="BF"/>
          <w:sz w:val="22"/>
          <w:szCs w:val="22"/>
          <w:lang w:val="en-GB"/>
        </w:rPr>
      </w:pPr>
    </w:p>
    <w:p w14:paraId="35CD709B" w14:textId="21422517" w:rsidR="00C73238" w:rsidRDefault="00CE7E39" w:rsidP="00B7193E">
      <w:pPr>
        <w:jc w:val="both"/>
        <w:rPr>
          <w:rFonts w:ascii="Arial" w:hAnsi="Arial" w:cs="Arial"/>
          <w:sz w:val="22"/>
          <w:szCs w:val="22"/>
          <w:lang w:val="en-GB"/>
        </w:rPr>
      </w:pPr>
      <w:r w:rsidRPr="00CE7E39">
        <w:rPr>
          <w:rFonts w:ascii="Arial" w:hAnsi="Arial" w:cs="Arial"/>
          <w:i/>
          <w:sz w:val="22"/>
          <w:szCs w:val="22"/>
          <w:lang w:val="en-GB"/>
        </w:rPr>
        <w:t>Maxwell</w:t>
      </w:r>
      <w:r w:rsidR="00C73238">
        <w:rPr>
          <w:rFonts w:ascii="Arial" w:hAnsi="Arial" w:cs="Arial"/>
          <w:sz w:val="22"/>
          <w:szCs w:val="22"/>
          <w:lang w:val="en-GB"/>
        </w:rPr>
        <w:t xml:space="preserve"> is an example of a 1992 use of insolvency agreements by parties to achieve a similar effect to the Model Law but which pre-date the model law. These cases demonstrate that </w:t>
      </w:r>
      <w:r>
        <w:rPr>
          <w:rFonts w:ascii="Arial" w:hAnsi="Arial" w:cs="Arial"/>
          <w:sz w:val="22"/>
          <w:szCs w:val="22"/>
          <w:lang w:val="en-GB"/>
        </w:rPr>
        <w:t>agreements</w:t>
      </w:r>
      <w:r w:rsidR="00C73238">
        <w:rPr>
          <w:rFonts w:ascii="Arial" w:hAnsi="Arial" w:cs="Arial"/>
          <w:sz w:val="22"/>
          <w:szCs w:val="22"/>
          <w:lang w:val="en-GB"/>
        </w:rPr>
        <w:t xml:space="preserve"> of this nature have been used </w:t>
      </w:r>
      <w:r>
        <w:rPr>
          <w:rFonts w:ascii="Arial" w:hAnsi="Arial" w:cs="Arial"/>
          <w:sz w:val="22"/>
          <w:szCs w:val="22"/>
          <w:lang w:val="en-GB"/>
        </w:rPr>
        <w:t>historically</w:t>
      </w:r>
      <w:r w:rsidR="00C73238">
        <w:rPr>
          <w:rFonts w:ascii="Arial" w:hAnsi="Arial" w:cs="Arial"/>
          <w:sz w:val="22"/>
          <w:szCs w:val="22"/>
          <w:lang w:val="en-GB"/>
        </w:rPr>
        <w:t xml:space="preserve"> and how co-operation and co-ordination between judges, courts and professionals can aid the harmonisation of the international insolvency regime even in the absence of a unified international solution. </w:t>
      </w:r>
    </w:p>
    <w:p w14:paraId="61CBB435" w14:textId="38006A96" w:rsidR="00CE7E39" w:rsidRDefault="00CE7E39" w:rsidP="00B7193E">
      <w:pPr>
        <w:jc w:val="both"/>
        <w:rPr>
          <w:rFonts w:ascii="Arial" w:hAnsi="Arial" w:cs="Arial"/>
          <w:sz w:val="22"/>
          <w:szCs w:val="22"/>
          <w:lang w:val="en-GB"/>
        </w:rPr>
      </w:pPr>
    </w:p>
    <w:p w14:paraId="0305D3DD" w14:textId="2C5CCF14" w:rsidR="00CE7E39" w:rsidRPr="00CE7E39" w:rsidRDefault="00CE7E39" w:rsidP="00B7193E">
      <w:pPr>
        <w:jc w:val="both"/>
        <w:rPr>
          <w:rFonts w:ascii="Arial" w:hAnsi="Arial" w:cs="Arial"/>
          <w:sz w:val="22"/>
          <w:szCs w:val="22"/>
          <w:lang w:val="en-GB"/>
        </w:rPr>
      </w:pPr>
      <w:r w:rsidRPr="00CE7E39">
        <w:rPr>
          <w:rFonts w:ascii="Arial" w:hAnsi="Arial" w:cs="Arial"/>
          <w:i/>
          <w:sz w:val="22"/>
          <w:szCs w:val="22"/>
          <w:lang w:val="en-GB"/>
        </w:rPr>
        <w:t>Maxwell</w:t>
      </w:r>
      <w:r>
        <w:rPr>
          <w:rFonts w:ascii="Arial" w:hAnsi="Arial" w:cs="Arial"/>
          <w:i/>
          <w:sz w:val="22"/>
          <w:szCs w:val="22"/>
          <w:lang w:val="en-GB"/>
        </w:rPr>
        <w:t xml:space="preserve"> </w:t>
      </w:r>
      <w:r>
        <w:rPr>
          <w:rFonts w:ascii="Arial" w:hAnsi="Arial" w:cs="Arial"/>
          <w:sz w:val="22"/>
          <w:szCs w:val="22"/>
          <w:lang w:val="en-GB"/>
        </w:rPr>
        <w:t xml:space="preserve">highlights how a voluntary agreement to co-ordinate matters of multijurisdictional and complex international law, with the blessing of the courts, can lead to more effective means of resolving international insolvency issues.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 xml:space="preserve">Rydell supplies engine parts for large </w:t>
      </w:r>
      <w:r w:rsidR="00486776" w:rsidRPr="00205B31">
        <w:rPr>
          <w:rFonts w:ascii="Arial" w:hAnsi="Arial" w:cs="Arial"/>
          <w:color w:val="212529"/>
          <w:sz w:val="22"/>
          <w:szCs w:val="22"/>
          <w:shd w:val="clear" w:color="auto" w:fill="FFFFFF"/>
          <w:lang w:val="en-GB"/>
        </w:rPr>
        <w:lastRenderedPageBreak/>
        <w:t>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17DD6E7" w14:textId="43C0DA8F" w:rsidR="00126A4D" w:rsidRPr="00D85740" w:rsidRDefault="00D85740" w:rsidP="00B7193E">
      <w:pPr>
        <w:jc w:val="both"/>
        <w:rPr>
          <w:rFonts w:ascii="Arial" w:hAnsi="Arial" w:cs="Arial"/>
          <w:sz w:val="22"/>
          <w:szCs w:val="22"/>
          <w:lang w:val="en-GB"/>
        </w:rPr>
      </w:pPr>
      <w:r>
        <w:rPr>
          <w:rFonts w:ascii="Arial" w:hAnsi="Arial" w:cs="Arial"/>
          <w:sz w:val="22"/>
          <w:szCs w:val="22"/>
          <w:lang w:val="en-GB"/>
        </w:rPr>
        <w:t xml:space="preserve">As the proceedings are commenced after 26 June 2017 the EIR Recast will apply to insolvency proceedings. </w:t>
      </w:r>
      <w:r w:rsidR="00107776" w:rsidRPr="00D85740">
        <w:rPr>
          <w:rFonts w:ascii="Arial" w:hAnsi="Arial" w:cs="Arial"/>
          <w:sz w:val="22"/>
          <w:szCs w:val="22"/>
          <w:lang w:val="en-GB"/>
        </w:rPr>
        <w:t>The EIR Recast</w:t>
      </w:r>
      <w:r w:rsidRPr="00D85740">
        <w:rPr>
          <w:rFonts w:ascii="Arial" w:hAnsi="Arial" w:cs="Arial"/>
          <w:sz w:val="22"/>
          <w:szCs w:val="22"/>
          <w:lang w:val="en-GB"/>
        </w:rPr>
        <w:t xml:space="preserve"> grants jurisdiction to the court of a member state (in this case the UK) which is the centre of the debtor's main interests (COMI) (</w:t>
      </w:r>
      <w:r w:rsidRPr="00D85740">
        <w:rPr>
          <w:rFonts w:ascii="Arial" w:hAnsi="Arial" w:cs="Arial"/>
          <w:i/>
          <w:sz w:val="22"/>
          <w:szCs w:val="22"/>
          <w:lang w:val="en-GB"/>
        </w:rPr>
        <w:t>i.e.</w:t>
      </w:r>
      <w:r w:rsidRPr="00D85740">
        <w:rPr>
          <w:rFonts w:ascii="Arial" w:hAnsi="Arial" w:cs="Arial"/>
          <w:sz w:val="22"/>
          <w:szCs w:val="22"/>
          <w:lang w:val="en-GB"/>
        </w:rPr>
        <w:t xml:space="preserve"> where the debtor conducts the administration of its interests on a regular basis which is ascertainable by third parties (Art. 3(1)). This would mean the UK proceedings against Rydell would have primary jurisdiction based on Rydell's COMI. Hoever there is the possibility of subsidiary territorial proceedings in the EU country which Fernz is based, where Rydell has an "establishment" </w:t>
      </w:r>
      <w:r w:rsidRPr="00D85740">
        <w:rPr>
          <w:rFonts w:ascii="Arial" w:hAnsi="Arial" w:cs="Arial"/>
          <w:i/>
          <w:sz w:val="22"/>
          <w:szCs w:val="22"/>
          <w:lang w:val="en-GB"/>
        </w:rPr>
        <w:t xml:space="preserve">i.e. </w:t>
      </w:r>
      <w:r w:rsidRPr="00D85740">
        <w:rPr>
          <w:rFonts w:ascii="Arial" w:hAnsi="Arial" w:cs="Arial"/>
          <w:sz w:val="22"/>
          <w:szCs w:val="22"/>
          <w:lang w:val="en-GB"/>
        </w:rPr>
        <w:t>"</w:t>
      </w:r>
      <w:r w:rsidRPr="00D85740">
        <w:rPr>
          <w:rFonts w:ascii="Arial" w:hAnsi="Arial" w:cs="Arial"/>
          <w:i/>
          <w:sz w:val="22"/>
          <w:szCs w:val="22"/>
          <w:lang w:val="en-GB"/>
        </w:rPr>
        <w:t>a place of operations… where the debtor carries out non-transitory economic activity with human means and assets.</w:t>
      </w:r>
      <w:r w:rsidRPr="00D85740">
        <w:rPr>
          <w:rFonts w:ascii="Arial" w:hAnsi="Arial" w:cs="Arial"/>
          <w:sz w:val="22"/>
          <w:szCs w:val="22"/>
          <w:lang w:val="en-GB"/>
        </w:rPr>
        <w:t xml:space="preserve">" This may allow Fernz to open secondary proceedings against Rydell. </w:t>
      </w:r>
    </w:p>
    <w:p w14:paraId="09725BE8" w14:textId="5C9BD674" w:rsidR="00D85740" w:rsidRDefault="00D85740" w:rsidP="00B7193E">
      <w:pPr>
        <w:jc w:val="both"/>
        <w:rPr>
          <w:rFonts w:ascii="Arial" w:hAnsi="Arial" w:cs="Arial"/>
          <w:color w:val="7B7B7B" w:themeColor="accent3" w:themeShade="BF"/>
          <w:sz w:val="22"/>
          <w:szCs w:val="22"/>
          <w:lang w:val="en-GB"/>
        </w:rPr>
      </w:pPr>
    </w:p>
    <w:p w14:paraId="617F0524" w14:textId="74EBFDC4" w:rsidR="00D85740" w:rsidRPr="00844902" w:rsidRDefault="00844902" w:rsidP="00B7193E">
      <w:pPr>
        <w:jc w:val="both"/>
        <w:rPr>
          <w:rFonts w:ascii="Arial" w:hAnsi="Arial" w:cs="Arial"/>
          <w:sz w:val="22"/>
          <w:szCs w:val="22"/>
          <w:lang w:val="en-GB"/>
        </w:rPr>
      </w:pPr>
      <w:r w:rsidRPr="00844902">
        <w:rPr>
          <w:rFonts w:ascii="Arial" w:hAnsi="Arial" w:cs="Arial"/>
          <w:sz w:val="22"/>
          <w:szCs w:val="22"/>
          <w:lang w:val="en-GB"/>
        </w:rPr>
        <w:t xml:space="preserve">Additional information: </w:t>
      </w:r>
    </w:p>
    <w:p w14:paraId="1C733946" w14:textId="77777777" w:rsidR="00844902" w:rsidRDefault="00844902" w:rsidP="00B7193E">
      <w:pPr>
        <w:jc w:val="both"/>
        <w:rPr>
          <w:rFonts w:ascii="Arial" w:hAnsi="Arial" w:cs="Arial"/>
          <w:color w:val="7B7B7B" w:themeColor="accent3" w:themeShade="BF"/>
          <w:sz w:val="22"/>
          <w:szCs w:val="22"/>
          <w:lang w:val="en-GB"/>
        </w:rPr>
      </w:pPr>
    </w:p>
    <w:p w14:paraId="3B066774" w14:textId="77777777" w:rsidR="00844902" w:rsidRPr="00844902" w:rsidRDefault="00D85740" w:rsidP="00844902">
      <w:pPr>
        <w:pStyle w:val="ListParagraph"/>
        <w:numPr>
          <w:ilvl w:val="0"/>
          <w:numId w:val="19"/>
        </w:numPr>
        <w:jc w:val="both"/>
        <w:rPr>
          <w:rFonts w:ascii="Arial" w:hAnsi="Arial" w:cs="Arial"/>
          <w:sz w:val="22"/>
          <w:szCs w:val="22"/>
          <w:lang w:val="en-GB"/>
        </w:rPr>
      </w:pPr>
      <w:r w:rsidRPr="00844902">
        <w:rPr>
          <w:rFonts w:ascii="Arial" w:hAnsi="Arial" w:cs="Arial"/>
          <w:sz w:val="22"/>
          <w:szCs w:val="22"/>
          <w:lang w:val="en-GB"/>
        </w:rPr>
        <w:t>Does Rydell have an "establishment" in the country which Fernz is based?</w:t>
      </w:r>
      <w:r w:rsidR="00844902" w:rsidRPr="00844902">
        <w:rPr>
          <w:rFonts w:ascii="Arial" w:hAnsi="Arial" w:cs="Arial"/>
          <w:sz w:val="22"/>
          <w:szCs w:val="22"/>
          <w:lang w:val="en-GB"/>
        </w:rPr>
        <w:t xml:space="preserve"> </w:t>
      </w:r>
    </w:p>
    <w:p w14:paraId="3DBF59BA" w14:textId="77777777" w:rsidR="00844902" w:rsidRPr="00844902" w:rsidRDefault="00844902" w:rsidP="00844902">
      <w:pPr>
        <w:pStyle w:val="ListParagraph"/>
        <w:numPr>
          <w:ilvl w:val="0"/>
          <w:numId w:val="19"/>
        </w:numPr>
        <w:jc w:val="both"/>
        <w:rPr>
          <w:rFonts w:ascii="Arial" w:hAnsi="Arial" w:cs="Arial"/>
          <w:sz w:val="22"/>
          <w:szCs w:val="22"/>
          <w:lang w:val="en-GB"/>
        </w:rPr>
      </w:pPr>
      <w:r w:rsidRPr="00844902">
        <w:rPr>
          <w:rFonts w:ascii="Arial" w:hAnsi="Arial" w:cs="Arial"/>
          <w:sz w:val="22"/>
          <w:szCs w:val="22"/>
          <w:lang w:val="en-GB"/>
        </w:rPr>
        <w:t>Is Fernz a Danish company as the EIR Recast will not apply.</w:t>
      </w:r>
    </w:p>
    <w:p w14:paraId="19E8F146" w14:textId="6E421EEE" w:rsidR="00025DB8" w:rsidRDefault="00025DB8" w:rsidP="00844902">
      <w:pPr>
        <w:pStyle w:val="ListParagraph"/>
        <w:numPr>
          <w:ilvl w:val="0"/>
          <w:numId w:val="19"/>
        </w:numPr>
        <w:jc w:val="both"/>
        <w:rPr>
          <w:rFonts w:ascii="Arial" w:hAnsi="Arial" w:cs="Arial"/>
          <w:sz w:val="22"/>
          <w:szCs w:val="22"/>
          <w:lang w:val="en-GB"/>
        </w:rPr>
      </w:pPr>
      <w:r>
        <w:rPr>
          <w:rFonts w:ascii="Arial" w:hAnsi="Arial" w:cs="Arial"/>
          <w:sz w:val="22"/>
          <w:szCs w:val="22"/>
          <w:lang w:val="en-GB"/>
        </w:rPr>
        <w:t>Is</w:t>
      </w:r>
      <w:r w:rsidR="00844902" w:rsidRPr="00844902">
        <w:rPr>
          <w:rFonts w:ascii="Arial" w:hAnsi="Arial" w:cs="Arial"/>
          <w:sz w:val="22"/>
          <w:szCs w:val="22"/>
          <w:lang w:val="en-GB"/>
        </w:rPr>
        <w:t xml:space="preserve"> Fernz based in a member state bound by the EIR.</w:t>
      </w:r>
    </w:p>
    <w:p w14:paraId="4B6CED0C" w14:textId="55B7263E" w:rsidR="00D85740" w:rsidRPr="00844902" w:rsidRDefault="00025DB8" w:rsidP="00844902">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Can Rydell continue to trade as a going concern? Can it continue to carry on business.  </w:t>
      </w:r>
      <w:r w:rsidR="00844902" w:rsidRPr="00844902">
        <w:rPr>
          <w:rFonts w:ascii="Arial" w:hAnsi="Arial" w:cs="Arial"/>
          <w:sz w:val="22"/>
          <w:szCs w:val="22"/>
          <w:lang w:val="en-GB"/>
        </w:rPr>
        <w:t xml:space="preserve"> </w:t>
      </w:r>
      <w:r w:rsidR="00D85740" w:rsidRPr="00844902">
        <w:rPr>
          <w:rFonts w:ascii="Arial" w:hAnsi="Arial" w:cs="Arial"/>
          <w:sz w:val="22"/>
          <w:szCs w:val="22"/>
          <w:lang w:val="en-GB"/>
        </w:rPr>
        <w:t xml:space="preserve">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6F318853" w:rsidR="00015EE6" w:rsidRDefault="00107776" w:rsidP="00C45A03">
      <w:pPr>
        <w:jc w:val="both"/>
        <w:rPr>
          <w:rFonts w:ascii="Arial" w:hAnsi="Arial" w:cs="Arial"/>
          <w:sz w:val="22"/>
          <w:szCs w:val="22"/>
          <w:lang w:val="en-GB"/>
        </w:rPr>
      </w:pPr>
      <w:r w:rsidRPr="00844902">
        <w:rPr>
          <w:rFonts w:ascii="Arial" w:hAnsi="Arial" w:cs="Arial"/>
          <w:sz w:val="22"/>
          <w:szCs w:val="22"/>
          <w:lang w:val="en-GB"/>
        </w:rPr>
        <w:t xml:space="preserve">From 11pm on 31 of December 2020 the EIR Recast ceased to have application in the UK following the UK's exit from the EU. The Recast Insolvency Regulations apply to insolvencies where the main proceedings were opened prior to the expiry of the transitional period (31 Dec 2020). </w:t>
      </w:r>
    </w:p>
    <w:p w14:paraId="5A47C566" w14:textId="7B5C7B22" w:rsidR="00F646C8" w:rsidRDefault="00F646C8" w:rsidP="00C45A03">
      <w:pPr>
        <w:jc w:val="both"/>
        <w:rPr>
          <w:rFonts w:ascii="Arial" w:hAnsi="Arial" w:cs="Arial"/>
          <w:sz w:val="22"/>
          <w:szCs w:val="22"/>
          <w:lang w:val="en-GB"/>
        </w:rPr>
      </w:pPr>
    </w:p>
    <w:p w14:paraId="25ECC1B6" w14:textId="382703A3" w:rsidR="00F646C8" w:rsidRDefault="00F646C8" w:rsidP="00C45A03">
      <w:pPr>
        <w:jc w:val="both"/>
        <w:rPr>
          <w:rFonts w:ascii="Arial" w:hAnsi="Arial" w:cs="Arial"/>
          <w:sz w:val="22"/>
          <w:szCs w:val="22"/>
          <w:lang w:val="en-GB"/>
        </w:rPr>
      </w:pPr>
      <w:r>
        <w:rPr>
          <w:rFonts w:ascii="Arial" w:hAnsi="Arial" w:cs="Arial"/>
          <w:sz w:val="22"/>
          <w:szCs w:val="22"/>
          <w:lang w:val="en-GB"/>
        </w:rPr>
        <w:t xml:space="preserve">Recognition post-Brexit is also likely to create some issues. The pre-Brexit regime for recognition was relatively straightforward, however </w:t>
      </w:r>
    </w:p>
    <w:p w14:paraId="23126D6C" w14:textId="137C1B3B" w:rsidR="00F646C8" w:rsidRDefault="00F646C8" w:rsidP="00C45A03">
      <w:pPr>
        <w:jc w:val="both"/>
        <w:rPr>
          <w:rFonts w:ascii="Arial" w:hAnsi="Arial" w:cs="Arial"/>
          <w:sz w:val="22"/>
          <w:szCs w:val="22"/>
          <w:lang w:val="en-GB"/>
        </w:rPr>
      </w:pPr>
    </w:p>
    <w:p w14:paraId="6704E293" w14:textId="77777777" w:rsidR="00F646C8" w:rsidRDefault="00F646C8" w:rsidP="00C45A03">
      <w:pPr>
        <w:jc w:val="both"/>
        <w:rPr>
          <w:rFonts w:ascii="Arial" w:hAnsi="Arial" w:cs="Arial"/>
          <w:sz w:val="22"/>
          <w:szCs w:val="22"/>
          <w:lang w:val="en-GB"/>
        </w:rPr>
      </w:pPr>
      <w:r>
        <w:rPr>
          <w:rFonts w:ascii="Arial" w:hAnsi="Arial" w:cs="Arial"/>
          <w:sz w:val="22"/>
          <w:szCs w:val="22"/>
          <w:lang w:val="en-GB"/>
        </w:rPr>
        <w:t>Without the EIR Recast there would be a choice of law issue that would require reference to the terms of the original contract between Rydell and the creditor seeking to initiate insolvency proceedings.</w:t>
      </w:r>
    </w:p>
    <w:p w14:paraId="4CD0C4F6" w14:textId="77777777" w:rsidR="00F646C8" w:rsidRDefault="00F646C8" w:rsidP="00C45A03">
      <w:pPr>
        <w:jc w:val="both"/>
        <w:rPr>
          <w:rFonts w:ascii="Arial" w:hAnsi="Arial" w:cs="Arial"/>
          <w:sz w:val="22"/>
          <w:szCs w:val="22"/>
          <w:lang w:val="en-GB"/>
        </w:rPr>
      </w:pPr>
    </w:p>
    <w:p w14:paraId="3240B626" w14:textId="051DADE0" w:rsidR="00517218" w:rsidRDefault="00F646C8" w:rsidP="00C45A03">
      <w:pPr>
        <w:jc w:val="both"/>
        <w:rPr>
          <w:rFonts w:ascii="Arial" w:hAnsi="Arial" w:cs="Arial"/>
          <w:sz w:val="22"/>
          <w:szCs w:val="22"/>
          <w:lang w:val="en-GB"/>
        </w:rPr>
      </w:pPr>
      <w:r>
        <w:rPr>
          <w:rFonts w:ascii="Arial" w:hAnsi="Arial" w:cs="Arial"/>
          <w:sz w:val="22"/>
          <w:szCs w:val="22"/>
          <w:lang w:val="en-GB"/>
        </w:rPr>
        <w:t>Similarly, the automatic recognition of judgments will cease post 31 December 2020</w:t>
      </w:r>
      <w:r w:rsidR="00A75B10">
        <w:rPr>
          <w:rFonts w:ascii="Arial" w:hAnsi="Arial" w:cs="Arial"/>
          <w:sz w:val="22"/>
          <w:szCs w:val="22"/>
          <w:lang w:val="en-GB"/>
        </w:rPr>
        <w:t xml:space="preserve"> and different mechanisms will be required to obtain recognition</w:t>
      </w:r>
      <w:r>
        <w:rPr>
          <w:rFonts w:ascii="Arial" w:hAnsi="Arial" w:cs="Arial"/>
          <w:sz w:val="22"/>
          <w:szCs w:val="22"/>
          <w:lang w:val="en-GB"/>
        </w:rPr>
        <w:t xml:space="preserve">. </w:t>
      </w:r>
    </w:p>
    <w:p w14:paraId="42627C88" w14:textId="1111AC49" w:rsidR="00F646C8" w:rsidRDefault="00F646C8" w:rsidP="00C45A03">
      <w:pPr>
        <w:jc w:val="both"/>
        <w:rPr>
          <w:rFonts w:ascii="Arial" w:hAnsi="Arial" w:cs="Arial"/>
          <w:sz w:val="22"/>
          <w:szCs w:val="22"/>
          <w:lang w:val="en-GB"/>
        </w:rPr>
      </w:pPr>
    </w:p>
    <w:p w14:paraId="6E0B1FB1" w14:textId="6F13A2BE" w:rsidR="00F646C8" w:rsidRDefault="00F646C8" w:rsidP="00C45A03">
      <w:pPr>
        <w:jc w:val="both"/>
        <w:rPr>
          <w:rFonts w:ascii="Arial" w:hAnsi="Arial" w:cs="Arial"/>
          <w:sz w:val="22"/>
          <w:szCs w:val="22"/>
          <w:lang w:val="en-GB"/>
        </w:rPr>
      </w:pPr>
      <w:r>
        <w:rPr>
          <w:rFonts w:ascii="Arial" w:hAnsi="Arial" w:cs="Arial"/>
          <w:sz w:val="22"/>
          <w:szCs w:val="22"/>
          <w:lang w:val="en-GB"/>
        </w:rPr>
        <w:t xml:space="preserve">Additional information: </w:t>
      </w:r>
    </w:p>
    <w:p w14:paraId="5F573A93" w14:textId="04CD2BC7" w:rsidR="00F646C8" w:rsidRDefault="00F646C8" w:rsidP="00C45A03">
      <w:pPr>
        <w:jc w:val="both"/>
        <w:rPr>
          <w:rFonts w:ascii="Arial" w:hAnsi="Arial" w:cs="Arial"/>
          <w:sz w:val="22"/>
          <w:szCs w:val="22"/>
          <w:lang w:val="en-GB"/>
        </w:rPr>
      </w:pPr>
    </w:p>
    <w:p w14:paraId="4E151243" w14:textId="43CE22B4" w:rsidR="00F646C8" w:rsidRDefault="00F646C8" w:rsidP="00F646C8">
      <w:pPr>
        <w:pStyle w:val="ListParagraph"/>
        <w:numPr>
          <w:ilvl w:val="0"/>
          <w:numId w:val="22"/>
        </w:numPr>
        <w:jc w:val="both"/>
        <w:rPr>
          <w:rFonts w:ascii="Arial" w:hAnsi="Arial" w:cs="Arial"/>
          <w:sz w:val="22"/>
          <w:szCs w:val="22"/>
          <w:lang w:val="en-GB"/>
        </w:rPr>
      </w:pPr>
      <w:r w:rsidRPr="00F646C8">
        <w:rPr>
          <w:rFonts w:ascii="Arial" w:hAnsi="Arial" w:cs="Arial"/>
          <w:sz w:val="22"/>
          <w:szCs w:val="22"/>
          <w:lang w:val="en-GB"/>
        </w:rPr>
        <w:t xml:space="preserve">Whether the </w:t>
      </w:r>
      <w:r w:rsidR="00A75B10">
        <w:rPr>
          <w:rFonts w:ascii="Arial" w:hAnsi="Arial" w:cs="Arial"/>
          <w:sz w:val="22"/>
          <w:szCs w:val="22"/>
          <w:lang w:val="en-GB"/>
        </w:rPr>
        <w:t xml:space="preserve">creditor </w:t>
      </w:r>
      <w:r w:rsidRPr="00F646C8">
        <w:rPr>
          <w:rFonts w:ascii="Arial" w:hAnsi="Arial" w:cs="Arial"/>
          <w:sz w:val="22"/>
          <w:szCs w:val="22"/>
          <w:lang w:val="en-GB"/>
        </w:rPr>
        <w:t xml:space="preserve">member state has adopted MLCBI. </w:t>
      </w:r>
    </w:p>
    <w:p w14:paraId="1801F023" w14:textId="32FFF69A" w:rsidR="00F646C8" w:rsidRPr="00F646C8" w:rsidRDefault="00F646C8" w:rsidP="00F646C8">
      <w:pPr>
        <w:pStyle w:val="ListParagraph"/>
        <w:jc w:val="both"/>
        <w:rPr>
          <w:rFonts w:ascii="Arial" w:hAnsi="Arial" w:cs="Arial"/>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w:t>
      </w:r>
      <w:r w:rsidRPr="00205B31">
        <w:rPr>
          <w:rFonts w:ascii="Arial" w:hAnsi="Arial" w:cs="Arial"/>
          <w:sz w:val="22"/>
          <w:szCs w:val="22"/>
          <w:lang w:val="en-GB"/>
        </w:rPr>
        <w:lastRenderedPageBreak/>
        <w:t>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CAE42BE" w14:textId="0252887C" w:rsidR="00015EE6" w:rsidRDefault="00844902" w:rsidP="00015EE6">
      <w:pPr>
        <w:autoSpaceDE w:val="0"/>
        <w:autoSpaceDN w:val="0"/>
        <w:adjustRightInd w:val="0"/>
        <w:spacing w:line="276" w:lineRule="auto"/>
        <w:jc w:val="both"/>
        <w:rPr>
          <w:rFonts w:ascii="Arial" w:hAnsi="Arial" w:cs="Arial"/>
          <w:sz w:val="22"/>
          <w:szCs w:val="22"/>
          <w:lang w:val="en-GB"/>
        </w:rPr>
      </w:pPr>
      <w:r w:rsidRPr="005304C4">
        <w:rPr>
          <w:rFonts w:ascii="Arial" w:hAnsi="Arial" w:cs="Arial"/>
          <w:sz w:val="22"/>
          <w:szCs w:val="22"/>
          <w:lang w:val="en-GB"/>
        </w:rPr>
        <w:t xml:space="preserve">The Insolvency (Amendment) (EU Exit) </w:t>
      </w:r>
      <w:r w:rsidR="005304C4" w:rsidRPr="005304C4">
        <w:rPr>
          <w:rFonts w:ascii="Arial" w:hAnsi="Arial" w:cs="Arial"/>
          <w:sz w:val="22"/>
          <w:szCs w:val="22"/>
          <w:lang w:val="en-GB"/>
        </w:rPr>
        <w:t>Regulations</w:t>
      </w:r>
      <w:r w:rsidRPr="005304C4">
        <w:rPr>
          <w:rFonts w:ascii="Arial" w:hAnsi="Arial" w:cs="Arial"/>
          <w:sz w:val="22"/>
          <w:szCs w:val="22"/>
          <w:lang w:val="en-GB"/>
        </w:rPr>
        <w:t xml:space="preserve"> 2019 (as mended by the 2020 Regulations) addressed the amendments to EU insolvency law that previous were of direct application in the UK. The effect of the Insolvency Amendment Regulations gives the UK Courts scope to open insolvency proceedings after the exit date where the p</w:t>
      </w:r>
      <w:r w:rsidR="005304C4" w:rsidRPr="005304C4">
        <w:rPr>
          <w:rFonts w:ascii="Arial" w:hAnsi="Arial" w:cs="Arial"/>
          <w:sz w:val="22"/>
          <w:szCs w:val="22"/>
          <w:lang w:val="en-GB"/>
        </w:rPr>
        <w:t xml:space="preserve">roceedings are opened for the purpose  of </w:t>
      </w:r>
      <w:r w:rsidR="005304C4" w:rsidRPr="005304C4">
        <w:rPr>
          <w:rFonts w:ascii="Arial" w:hAnsi="Arial" w:cs="Arial"/>
          <w:i/>
          <w:sz w:val="22"/>
          <w:szCs w:val="22"/>
          <w:lang w:val="en-GB"/>
        </w:rPr>
        <w:t>e.g.</w:t>
      </w:r>
      <w:r w:rsidR="005304C4" w:rsidRPr="005304C4">
        <w:rPr>
          <w:rFonts w:ascii="Arial" w:hAnsi="Arial" w:cs="Arial"/>
          <w:sz w:val="22"/>
          <w:szCs w:val="22"/>
          <w:lang w:val="en-GB"/>
        </w:rPr>
        <w:t xml:space="preserve"> adjustment of debt given that Rydell's COMO is in a member state (and assuming Rydell still has establishment in the UK). </w:t>
      </w:r>
    </w:p>
    <w:p w14:paraId="334AB40C" w14:textId="6A1569E1" w:rsidR="00025DB8" w:rsidRDefault="00025DB8" w:rsidP="00015EE6">
      <w:pPr>
        <w:autoSpaceDE w:val="0"/>
        <w:autoSpaceDN w:val="0"/>
        <w:adjustRightInd w:val="0"/>
        <w:spacing w:line="276" w:lineRule="auto"/>
        <w:jc w:val="both"/>
        <w:rPr>
          <w:rFonts w:ascii="Arial" w:hAnsi="Arial" w:cs="Arial"/>
          <w:sz w:val="22"/>
          <w:szCs w:val="22"/>
          <w:lang w:val="en-GB"/>
        </w:rPr>
      </w:pPr>
    </w:p>
    <w:p w14:paraId="024ABB76" w14:textId="0227D40D" w:rsidR="00025DB8" w:rsidRDefault="00025DB8"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minor UK based creditor has jurisdiction to wind up Rydell as section 221(5) of the Insolvency Act 1986 provides for a court ordered winding up of an unregistered company where: </w:t>
      </w:r>
    </w:p>
    <w:p w14:paraId="4CFEB390" w14:textId="2289F5C9" w:rsidR="00025DB8" w:rsidRDefault="00025DB8" w:rsidP="00015EE6">
      <w:pPr>
        <w:autoSpaceDE w:val="0"/>
        <w:autoSpaceDN w:val="0"/>
        <w:adjustRightInd w:val="0"/>
        <w:spacing w:line="276" w:lineRule="auto"/>
        <w:jc w:val="both"/>
        <w:rPr>
          <w:rFonts w:ascii="Arial" w:hAnsi="Arial" w:cs="Arial"/>
          <w:sz w:val="22"/>
          <w:szCs w:val="22"/>
          <w:lang w:val="en-GB"/>
        </w:rPr>
      </w:pPr>
    </w:p>
    <w:p w14:paraId="61101683" w14:textId="77777777" w:rsidR="00025DB8" w:rsidRPr="00025DB8" w:rsidRDefault="00025DB8" w:rsidP="00025DB8">
      <w:pPr>
        <w:pStyle w:val="ListParagraph"/>
        <w:numPr>
          <w:ilvl w:val="0"/>
          <w:numId w:val="20"/>
        </w:numPr>
        <w:autoSpaceDE w:val="0"/>
        <w:autoSpaceDN w:val="0"/>
        <w:adjustRightInd w:val="0"/>
        <w:spacing w:line="276" w:lineRule="auto"/>
        <w:jc w:val="both"/>
        <w:rPr>
          <w:rFonts w:ascii="Arial" w:hAnsi="Arial" w:cs="Arial"/>
          <w:sz w:val="22"/>
          <w:szCs w:val="22"/>
          <w:lang w:val="en-GB"/>
        </w:rPr>
      </w:pPr>
      <w:r w:rsidRPr="00025DB8">
        <w:rPr>
          <w:rFonts w:ascii="Arial" w:hAnsi="Arial" w:cs="Arial"/>
          <w:sz w:val="22"/>
          <w:szCs w:val="22"/>
          <w:lang w:val="en-GB"/>
        </w:rPr>
        <w:t>the company is has ceased to carry on business;</w:t>
      </w:r>
    </w:p>
    <w:p w14:paraId="7EE71AE9" w14:textId="77777777" w:rsidR="00025DB8" w:rsidRPr="00025DB8" w:rsidRDefault="00025DB8" w:rsidP="00025DB8">
      <w:pPr>
        <w:pStyle w:val="ListParagraph"/>
        <w:numPr>
          <w:ilvl w:val="0"/>
          <w:numId w:val="20"/>
        </w:numPr>
        <w:autoSpaceDE w:val="0"/>
        <w:autoSpaceDN w:val="0"/>
        <w:adjustRightInd w:val="0"/>
        <w:spacing w:line="276" w:lineRule="auto"/>
        <w:jc w:val="both"/>
        <w:rPr>
          <w:rFonts w:ascii="Arial" w:hAnsi="Arial" w:cs="Arial"/>
          <w:sz w:val="22"/>
          <w:szCs w:val="22"/>
          <w:lang w:val="en-GB"/>
        </w:rPr>
      </w:pPr>
      <w:r w:rsidRPr="00025DB8">
        <w:rPr>
          <w:rFonts w:ascii="Arial" w:hAnsi="Arial" w:cs="Arial"/>
          <w:sz w:val="22"/>
          <w:szCs w:val="22"/>
          <w:lang w:val="en-GB"/>
        </w:rPr>
        <w:t xml:space="preserve">is unable to pay its debts; and </w:t>
      </w:r>
    </w:p>
    <w:p w14:paraId="21A6E04F" w14:textId="6846CB03" w:rsidR="00025DB8" w:rsidRPr="00025DB8" w:rsidRDefault="00025DB8" w:rsidP="00025DB8">
      <w:pPr>
        <w:pStyle w:val="ListParagraph"/>
        <w:numPr>
          <w:ilvl w:val="0"/>
          <w:numId w:val="20"/>
        </w:numPr>
        <w:autoSpaceDE w:val="0"/>
        <w:autoSpaceDN w:val="0"/>
        <w:adjustRightInd w:val="0"/>
        <w:spacing w:line="276" w:lineRule="auto"/>
        <w:jc w:val="both"/>
        <w:rPr>
          <w:rFonts w:ascii="Arial" w:hAnsi="Arial" w:cs="Arial"/>
          <w:sz w:val="22"/>
          <w:szCs w:val="22"/>
          <w:lang w:val="en-GB"/>
        </w:rPr>
      </w:pPr>
      <w:r w:rsidRPr="00025DB8">
        <w:rPr>
          <w:rFonts w:ascii="Arial" w:hAnsi="Arial" w:cs="Arial"/>
          <w:sz w:val="22"/>
          <w:szCs w:val="22"/>
          <w:lang w:val="en-GB"/>
        </w:rPr>
        <w:t xml:space="preserve">it is just and equitable to wind up the company. </w:t>
      </w:r>
    </w:p>
    <w:p w14:paraId="46EC2823" w14:textId="6E11D2E3" w:rsidR="00025DB8" w:rsidRDefault="00025DB8" w:rsidP="00015EE6">
      <w:pPr>
        <w:autoSpaceDE w:val="0"/>
        <w:autoSpaceDN w:val="0"/>
        <w:adjustRightInd w:val="0"/>
        <w:spacing w:line="276" w:lineRule="auto"/>
        <w:jc w:val="both"/>
        <w:rPr>
          <w:rFonts w:ascii="Arial" w:hAnsi="Arial" w:cs="Arial"/>
          <w:sz w:val="22"/>
          <w:szCs w:val="22"/>
          <w:lang w:val="en-GB"/>
        </w:rPr>
      </w:pPr>
    </w:p>
    <w:p w14:paraId="3CD44441" w14:textId="656FB5A4" w:rsidR="00025DB8" w:rsidRDefault="00025DB8"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In such circumstances the matter will likely turn on whether there is a "sufficient connection" with the UK as the court held in </w:t>
      </w:r>
      <w:r w:rsidRPr="00025DB8">
        <w:rPr>
          <w:rFonts w:ascii="Arial" w:hAnsi="Arial" w:cs="Arial"/>
          <w:i/>
          <w:sz w:val="22"/>
          <w:szCs w:val="22"/>
          <w:lang w:val="en-GB"/>
        </w:rPr>
        <w:t>Re Latreefers Inc.</w:t>
      </w:r>
      <w:r>
        <w:rPr>
          <w:rFonts w:ascii="Arial" w:hAnsi="Arial" w:cs="Arial"/>
          <w:sz w:val="22"/>
          <w:szCs w:val="22"/>
          <w:lang w:val="en-GB"/>
        </w:rPr>
        <w:t xml:space="preserve"> [2001] BCC 174 (CA). </w:t>
      </w:r>
      <w:r w:rsidR="00517218">
        <w:rPr>
          <w:rFonts w:ascii="Arial" w:hAnsi="Arial" w:cs="Arial"/>
          <w:sz w:val="22"/>
          <w:szCs w:val="22"/>
          <w:lang w:val="en-GB"/>
        </w:rPr>
        <w:t>This will encompass the following requirements:</w:t>
      </w:r>
    </w:p>
    <w:p w14:paraId="09984234" w14:textId="5A6954E2" w:rsidR="00517218" w:rsidRDefault="00517218" w:rsidP="00015EE6">
      <w:pPr>
        <w:autoSpaceDE w:val="0"/>
        <w:autoSpaceDN w:val="0"/>
        <w:adjustRightInd w:val="0"/>
        <w:spacing w:line="276" w:lineRule="auto"/>
        <w:jc w:val="both"/>
        <w:rPr>
          <w:rFonts w:ascii="Arial" w:hAnsi="Arial" w:cs="Arial"/>
          <w:sz w:val="22"/>
          <w:szCs w:val="22"/>
          <w:lang w:val="en-GB"/>
        </w:rPr>
      </w:pPr>
    </w:p>
    <w:p w14:paraId="15EA3859" w14:textId="1D139BE5" w:rsidR="00517218" w:rsidRPr="00517218" w:rsidRDefault="00517218" w:rsidP="00517218">
      <w:pPr>
        <w:pStyle w:val="ListParagraph"/>
        <w:numPr>
          <w:ilvl w:val="0"/>
          <w:numId w:val="21"/>
        </w:numPr>
        <w:autoSpaceDE w:val="0"/>
        <w:autoSpaceDN w:val="0"/>
        <w:adjustRightInd w:val="0"/>
        <w:spacing w:line="276" w:lineRule="auto"/>
        <w:jc w:val="both"/>
        <w:rPr>
          <w:rFonts w:ascii="Arial" w:hAnsi="Arial" w:cs="Arial"/>
          <w:sz w:val="22"/>
          <w:szCs w:val="22"/>
          <w:lang w:val="en-GB"/>
        </w:rPr>
      </w:pPr>
      <w:r w:rsidRPr="00517218">
        <w:rPr>
          <w:rFonts w:ascii="Arial" w:hAnsi="Arial" w:cs="Arial"/>
          <w:sz w:val="22"/>
          <w:szCs w:val="22"/>
          <w:lang w:val="en-GB"/>
        </w:rPr>
        <w:t>Sufficient connection including but not limited to assets within the jurisdiction;</w:t>
      </w:r>
    </w:p>
    <w:p w14:paraId="14505E29" w14:textId="24D5D547" w:rsidR="00517218" w:rsidRPr="00517218" w:rsidRDefault="00517218" w:rsidP="00517218">
      <w:pPr>
        <w:pStyle w:val="ListParagraph"/>
        <w:numPr>
          <w:ilvl w:val="0"/>
          <w:numId w:val="21"/>
        </w:numPr>
        <w:autoSpaceDE w:val="0"/>
        <w:autoSpaceDN w:val="0"/>
        <w:adjustRightInd w:val="0"/>
        <w:spacing w:line="276" w:lineRule="auto"/>
        <w:jc w:val="both"/>
        <w:rPr>
          <w:rFonts w:ascii="Arial" w:hAnsi="Arial" w:cs="Arial"/>
          <w:sz w:val="22"/>
          <w:szCs w:val="22"/>
          <w:lang w:val="en-GB"/>
        </w:rPr>
      </w:pPr>
      <w:r w:rsidRPr="00517218">
        <w:rPr>
          <w:rFonts w:ascii="Arial" w:hAnsi="Arial" w:cs="Arial"/>
          <w:sz w:val="22"/>
          <w:szCs w:val="22"/>
          <w:lang w:val="en-GB"/>
        </w:rPr>
        <w:t>Reasonable possibility of benefit from the winding up order</w:t>
      </w:r>
    </w:p>
    <w:p w14:paraId="3A63D604" w14:textId="60707BA8" w:rsidR="00517218" w:rsidRDefault="00517218" w:rsidP="00517218">
      <w:pPr>
        <w:pStyle w:val="ListParagraph"/>
        <w:numPr>
          <w:ilvl w:val="0"/>
          <w:numId w:val="21"/>
        </w:numPr>
        <w:autoSpaceDE w:val="0"/>
        <w:autoSpaceDN w:val="0"/>
        <w:adjustRightInd w:val="0"/>
        <w:spacing w:line="276" w:lineRule="auto"/>
        <w:jc w:val="both"/>
        <w:rPr>
          <w:rFonts w:ascii="Arial" w:hAnsi="Arial" w:cs="Arial"/>
          <w:sz w:val="22"/>
          <w:szCs w:val="22"/>
          <w:lang w:val="en-GB"/>
        </w:rPr>
      </w:pPr>
      <w:r w:rsidRPr="00517218">
        <w:rPr>
          <w:rFonts w:ascii="Arial" w:hAnsi="Arial" w:cs="Arial"/>
          <w:sz w:val="22"/>
          <w:szCs w:val="22"/>
          <w:lang w:val="en-GB"/>
        </w:rPr>
        <w:t xml:space="preserve">There must be one or more persons interested in the distribution of assets of the company over whom the company can exercise jurisdiction (in this case the UK creditor). </w:t>
      </w:r>
    </w:p>
    <w:p w14:paraId="7D665490" w14:textId="77777777" w:rsidR="00517218" w:rsidRDefault="00517218" w:rsidP="00517218">
      <w:pPr>
        <w:autoSpaceDE w:val="0"/>
        <w:autoSpaceDN w:val="0"/>
        <w:adjustRightInd w:val="0"/>
        <w:spacing w:line="276" w:lineRule="auto"/>
        <w:jc w:val="both"/>
        <w:rPr>
          <w:rFonts w:ascii="Arial" w:hAnsi="Arial" w:cs="Arial"/>
          <w:sz w:val="22"/>
          <w:szCs w:val="22"/>
          <w:lang w:val="en-GB"/>
        </w:rPr>
      </w:pPr>
    </w:p>
    <w:p w14:paraId="5644B9B1" w14:textId="09DC8D0A" w:rsidR="00517218" w:rsidRDefault="00517218" w:rsidP="00517218">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Insolvency Act 1986 will also apply to the winding up of Rydell as a foreign company in this context as English law applies to such winding ups on matters of procedure and substance. </w:t>
      </w:r>
    </w:p>
    <w:p w14:paraId="6D1B6FB4" w14:textId="33F0C6EB" w:rsidR="00F646C8" w:rsidRDefault="00F646C8" w:rsidP="00517218">
      <w:pPr>
        <w:autoSpaceDE w:val="0"/>
        <w:autoSpaceDN w:val="0"/>
        <w:adjustRightInd w:val="0"/>
        <w:spacing w:line="276" w:lineRule="auto"/>
        <w:jc w:val="both"/>
        <w:rPr>
          <w:rFonts w:ascii="Arial" w:hAnsi="Arial" w:cs="Arial"/>
          <w:sz w:val="22"/>
          <w:szCs w:val="22"/>
          <w:lang w:val="en-GB"/>
        </w:rPr>
      </w:pPr>
    </w:p>
    <w:p w14:paraId="68D36FEC" w14:textId="77777777" w:rsidR="00025DB8" w:rsidRDefault="00025DB8" w:rsidP="00015EE6">
      <w:pPr>
        <w:autoSpaceDE w:val="0"/>
        <w:autoSpaceDN w:val="0"/>
        <w:adjustRightInd w:val="0"/>
        <w:spacing w:line="276" w:lineRule="auto"/>
        <w:jc w:val="both"/>
        <w:rPr>
          <w:rFonts w:ascii="Arial" w:hAnsi="Arial" w:cs="Arial"/>
          <w:sz w:val="22"/>
          <w:szCs w:val="22"/>
          <w:lang w:val="en-GB"/>
        </w:rPr>
      </w:pPr>
    </w:p>
    <w:p w14:paraId="528BDEF6" w14:textId="52C05C84" w:rsidR="00025DB8" w:rsidRDefault="00025DB8"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CIGA and the moratorium on creditor actions may prevent the minor creditor from engaging in formal insolvency proceedings as an overseas company can apply for a moratorium where it has sufficient connection to the UK. </w:t>
      </w:r>
    </w:p>
    <w:p w14:paraId="06D1623B" w14:textId="6D361A21" w:rsidR="00025DB8" w:rsidRDefault="00025DB8" w:rsidP="00015EE6">
      <w:pPr>
        <w:autoSpaceDE w:val="0"/>
        <w:autoSpaceDN w:val="0"/>
        <w:adjustRightInd w:val="0"/>
        <w:spacing w:line="276" w:lineRule="auto"/>
        <w:jc w:val="both"/>
        <w:rPr>
          <w:rFonts w:ascii="Arial" w:hAnsi="Arial" w:cs="Arial"/>
          <w:sz w:val="22"/>
          <w:szCs w:val="22"/>
          <w:lang w:val="en-GB"/>
        </w:rPr>
      </w:pPr>
    </w:p>
    <w:p w14:paraId="4F955AE6" w14:textId="77777777" w:rsidR="00025DB8" w:rsidRPr="005304C4" w:rsidRDefault="00025DB8" w:rsidP="00015EE6">
      <w:pPr>
        <w:autoSpaceDE w:val="0"/>
        <w:autoSpaceDN w:val="0"/>
        <w:adjustRightInd w:val="0"/>
        <w:spacing w:line="276" w:lineRule="auto"/>
        <w:jc w:val="both"/>
        <w:rPr>
          <w:rFonts w:ascii="Arial" w:hAnsi="Arial" w:cs="Arial"/>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42FDD72F"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00EA248C">
          <w:rPr>
            <w:rStyle w:val="PageNumber"/>
            <w:rFonts w:ascii="Arial" w:hAnsi="Arial" w:cs="Arial"/>
            <w:bCs/>
            <w:noProof/>
            <w:sz w:val="18"/>
            <w:szCs w:val="18"/>
          </w:rPr>
          <w:t>1</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510FFA52"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EA248C">
          <w:rPr>
            <w:rStyle w:val="PageNumber"/>
            <w:rFonts w:ascii="Arial" w:hAnsi="Arial" w:cs="Arial"/>
            <w:b/>
            <w:bCs/>
            <w:noProof/>
            <w:sz w:val="18"/>
            <w:szCs w:val="18"/>
          </w:rPr>
          <w:t>3</w:t>
        </w:r>
        <w:r w:rsidRPr="00C50F86">
          <w:rPr>
            <w:rStyle w:val="PageNumber"/>
            <w:rFonts w:ascii="Arial" w:hAnsi="Arial" w:cs="Arial"/>
            <w:b/>
            <w:bCs/>
            <w:sz w:val="18"/>
            <w:szCs w:val="18"/>
          </w:rPr>
          <w:fldChar w:fldCharType="end"/>
        </w:r>
      </w:p>
    </w:sdtContent>
  </w:sdt>
  <w:p w14:paraId="12ABA5E1" w14:textId="0BD170AD" w:rsidR="006E1CB0" w:rsidRPr="0052732A" w:rsidRDefault="00F646C8" w:rsidP="00F646C8">
    <w:pPr>
      <w:pStyle w:val="Footer"/>
      <w:ind w:right="360"/>
      <w:rPr>
        <w:rFonts w:ascii="Arial" w:hAnsi="Arial" w:cs="Arial"/>
        <w:sz w:val="18"/>
        <w:szCs w:val="18"/>
      </w:rPr>
    </w:pPr>
    <w:r>
      <w:rPr>
        <w:rFonts w:ascii="Arial" w:hAnsi="Arial" w:cs="Arial"/>
        <w:sz w:val="18"/>
        <w:szCs w:val="18"/>
      </w:rPr>
      <w:t>202122-621.assessment1summative</w:t>
    </w:r>
    <w:r w:rsidRPr="00F646C8">
      <w:rPr>
        <w:rFonts w:ascii="Arial" w:hAnsi="Arial" w:cs="Arial"/>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E5F9" w14:textId="77777777" w:rsidR="00EA248C" w:rsidRDefault="00EA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D97B" w14:textId="77777777" w:rsidR="00EA248C" w:rsidRDefault="00EA2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5487" w14:textId="77777777" w:rsidR="00EA248C" w:rsidRDefault="00EA2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1348" w14:textId="77777777" w:rsidR="00EA248C" w:rsidRDefault="00EA2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20330F9"/>
    <w:multiLevelType w:val="hybridMultilevel"/>
    <w:tmpl w:val="D6A864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1102A9"/>
    <w:multiLevelType w:val="hybridMultilevel"/>
    <w:tmpl w:val="84CE6E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224F60"/>
    <w:multiLevelType w:val="hybridMultilevel"/>
    <w:tmpl w:val="D0C6C9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4A06C2"/>
    <w:multiLevelType w:val="hybridMultilevel"/>
    <w:tmpl w:val="C5109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5EA2AC7"/>
    <w:multiLevelType w:val="hybridMultilevel"/>
    <w:tmpl w:val="AA900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4397E31"/>
    <w:multiLevelType w:val="hybridMultilevel"/>
    <w:tmpl w:val="C9EE56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1"/>
  </w:num>
  <w:num w:numId="4">
    <w:abstractNumId w:val="6"/>
  </w:num>
  <w:num w:numId="5">
    <w:abstractNumId w:val="3"/>
  </w:num>
  <w:num w:numId="6">
    <w:abstractNumId w:val="18"/>
  </w:num>
  <w:num w:numId="7">
    <w:abstractNumId w:val="5"/>
  </w:num>
  <w:num w:numId="8">
    <w:abstractNumId w:val="1"/>
  </w:num>
  <w:num w:numId="9">
    <w:abstractNumId w:val="0"/>
  </w:num>
  <w:num w:numId="10">
    <w:abstractNumId w:val="7"/>
  </w:num>
  <w:num w:numId="11">
    <w:abstractNumId w:val="13"/>
  </w:num>
  <w:num w:numId="12">
    <w:abstractNumId w:val="20"/>
  </w:num>
  <w:num w:numId="13">
    <w:abstractNumId w:val="15"/>
  </w:num>
  <w:num w:numId="14">
    <w:abstractNumId w:val="8"/>
  </w:num>
  <w:num w:numId="15">
    <w:abstractNumId w:val="12"/>
  </w:num>
  <w:num w:numId="16">
    <w:abstractNumId w:val="17"/>
  </w:num>
  <w:num w:numId="17">
    <w:abstractNumId w:val="14"/>
  </w:num>
  <w:num w:numId="18">
    <w:abstractNumId w:val="19"/>
  </w:num>
  <w:num w:numId="19">
    <w:abstractNumId w:val="9"/>
  </w:num>
  <w:num w:numId="20">
    <w:abstractNumId w:val="2"/>
  </w:num>
  <w:num w:numId="21">
    <w:abstractNumId w:val="16"/>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DB8"/>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39E2"/>
    <w:rsid w:val="000851CC"/>
    <w:rsid w:val="00085349"/>
    <w:rsid w:val="00085D4B"/>
    <w:rsid w:val="00086BDD"/>
    <w:rsid w:val="00090933"/>
    <w:rsid w:val="00093BE8"/>
    <w:rsid w:val="00093FE2"/>
    <w:rsid w:val="0009471C"/>
    <w:rsid w:val="000A01B9"/>
    <w:rsid w:val="000A0C1B"/>
    <w:rsid w:val="000A68ED"/>
    <w:rsid w:val="000A74CA"/>
    <w:rsid w:val="000B2B5C"/>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07776"/>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5145"/>
    <w:rsid w:val="001F603D"/>
    <w:rsid w:val="001F7412"/>
    <w:rsid w:val="001F7C77"/>
    <w:rsid w:val="00202C2B"/>
    <w:rsid w:val="00205B31"/>
    <w:rsid w:val="0020725B"/>
    <w:rsid w:val="00212B14"/>
    <w:rsid w:val="00216499"/>
    <w:rsid w:val="002164C0"/>
    <w:rsid w:val="00216CB4"/>
    <w:rsid w:val="002173C5"/>
    <w:rsid w:val="00223780"/>
    <w:rsid w:val="0022719C"/>
    <w:rsid w:val="00227FBB"/>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6B22"/>
    <w:rsid w:val="004C7030"/>
    <w:rsid w:val="004D1A5A"/>
    <w:rsid w:val="004D2FFF"/>
    <w:rsid w:val="004D30B8"/>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218"/>
    <w:rsid w:val="005177FE"/>
    <w:rsid w:val="0052263B"/>
    <w:rsid w:val="00524728"/>
    <w:rsid w:val="00525459"/>
    <w:rsid w:val="00525C99"/>
    <w:rsid w:val="0052732A"/>
    <w:rsid w:val="00530010"/>
    <w:rsid w:val="005304C4"/>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378B"/>
    <w:rsid w:val="005953ED"/>
    <w:rsid w:val="00595B58"/>
    <w:rsid w:val="005966E3"/>
    <w:rsid w:val="005A0CCA"/>
    <w:rsid w:val="005A2152"/>
    <w:rsid w:val="005A2194"/>
    <w:rsid w:val="005A2628"/>
    <w:rsid w:val="005A383D"/>
    <w:rsid w:val="005A44B3"/>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1FBA"/>
    <w:rsid w:val="00623722"/>
    <w:rsid w:val="00627CC9"/>
    <w:rsid w:val="00627E7B"/>
    <w:rsid w:val="00630542"/>
    <w:rsid w:val="00630727"/>
    <w:rsid w:val="00631E7B"/>
    <w:rsid w:val="00632807"/>
    <w:rsid w:val="00632E44"/>
    <w:rsid w:val="0063316D"/>
    <w:rsid w:val="00633DC9"/>
    <w:rsid w:val="00634622"/>
    <w:rsid w:val="00636808"/>
    <w:rsid w:val="0064043F"/>
    <w:rsid w:val="00641515"/>
    <w:rsid w:val="00643ABE"/>
    <w:rsid w:val="00645818"/>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0515"/>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4902"/>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49B"/>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75B10"/>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4799"/>
    <w:rsid w:val="00AC7082"/>
    <w:rsid w:val="00AD0662"/>
    <w:rsid w:val="00AD1B6B"/>
    <w:rsid w:val="00AD74AD"/>
    <w:rsid w:val="00AE027F"/>
    <w:rsid w:val="00AF228E"/>
    <w:rsid w:val="00AF455B"/>
    <w:rsid w:val="00AF4E9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07D7"/>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5F0A"/>
    <w:rsid w:val="00C376EB"/>
    <w:rsid w:val="00C4187E"/>
    <w:rsid w:val="00C444EC"/>
    <w:rsid w:val="00C45A03"/>
    <w:rsid w:val="00C46EC1"/>
    <w:rsid w:val="00C50F86"/>
    <w:rsid w:val="00C53359"/>
    <w:rsid w:val="00C53E2C"/>
    <w:rsid w:val="00C550C8"/>
    <w:rsid w:val="00C56B61"/>
    <w:rsid w:val="00C570AC"/>
    <w:rsid w:val="00C5730D"/>
    <w:rsid w:val="00C60631"/>
    <w:rsid w:val="00C606C3"/>
    <w:rsid w:val="00C620F4"/>
    <w:rsid w:val="00C629CB"/>
    <w:rsid w:val="00C71F4F"/>
    <w:rsid w:val="00C72848"/>
    <w:rsid w:val="00C73238"/>
    <w:rsid w:val="00C750BA"/>
    <w:rsid w:val="00C7736C"/>
    <w:rsid w:val="00C80272"/>
    <w:rsid w:val="00C82D87"/>
    <w:rsid w:val="00C8712A"/>
    <w:rsid w:val="00C92A0D"/>
    <w:rsid w:val="00C963D3"/>
    <w:rsid w:val="00CA1802"/>
    <w:rsid w:val="00CB262C"/>
    <w:rsid w:val="00CB2CBB"/>
    <w:rsid w:val="00CB7283"/>
    <w:rsid w:val="00CB7CAC"/>
    <w:rsid w:val="00CC1B5B"/>
    <w:rsid w:val="00CC467D"/>
    <w:rsid w:val="00CC5335"/>
    <w:rsid w:val="00CC579C"/>
    <w:rsid w:val="00CC5BA4"/>
    <w:rsid w:val="00CC7728"/>
    <w:rsid w:val="00CD0FFE"/>
    <w:rsid w:val="00CD34DB"/>
    <w:rsid w:val="00CD377A"/>
    <w:rsid w:val="00CD4998"/>
    <w:rsid w:val="00CE1035"/>
    <w:rsid w:val="00CE62CA"/>
    <w:rsid w:val="00CE7E39"/>
    <w:rsid w:val="00CF2819"/>
    <w:rsid w:val="00CF4F9D"/>
    <w:rsid w:val="00CF5AD8"/>
    <w:rsid w:val="00CF70DC"/>
    <w:rsid w:val="00CF717B"/>
    <w:rsid w:val="00CF7B1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5740"/>
    <w:rsid w:val="00D86A74"/>
    <w:rsid w:val="00D86B3B"/>
    <w:rsid w:val="00D8748A"/>
    <w:rsid w:val="00D905E4"/>
    <w:rsid w:val="00D93196"/>
    <w:rsid w:val="00D931A2"/>
    <w:rsid w:val="00DA1E4B"/>
    <w:rsid w:val="00DA42EF"/>
    <w:rsid w:val="00DB243C"/>
    <w:rsid w:val="00DB2866"/>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248C"/>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46C8"/>
    <w:rsid w:val="00F65FB6"/>
    <w:rsid w:val="00F66AFF"/>
    <w:rsid w:val="00F71433"/>
    <w:rsid w:val="00F71CE8"/>
    <w:rsid w:val="00F738B0"/>
    <w:rsid w:val="00F83231"/>
    <w:rsid w:val="00F85A51"/>
    <w:rsid w:val="00F85DB2"/>
    <w:rsid w:val="00F91FA7"/>
    <w:rsid w:val="00F922EA"/>
    <w:rsid w:val="00F949F0"/>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d0ad2d52-4869-465d-a93a-001fa21a593d"/>
    <ds:schemaRef ds:uri="http://purl.org/dc/dcmitype/"/>
    <ds:schemaRef ds:uri="http://schemas.openxmlformats.org/package/2006/metadata/core-properties"/>
    <ds:schemaRef ds:uri="a21de7b9-cad9-43f2-8459-9b1b4f9894e2"/>
    <ds:schemaRef ds:uri="http://www.w3.org/XML/1998/namespace"/>
  </ds:schemaRefs>
</ds:datastoreItem>
</file>

<file path=customXml/itemProps4.xml><?xml version="1.0" encoding="utf-8"?>
<ds:datastoreItem xmlns:ds="http://schemas.openxmlformats.org/officeDocument/2006/customXml" ds:itemID="{7BE83526-E739-4372-BA92-77364C59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5559</Words>
  <Characters>29855</Characters>
  <Application>Microsoft Office Word</Application>
  <DocSecurity>0</DocSecurity>
  <PresentationFormat/>
  <Lines>694</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Balmer</dc:creator>
  <cp:keywords/>
  <dc:description/>
  <cp:lastModifiedBy>Steven Balmer</cp:lastModifiedBy>
  <cp:revision>2</cp:revision>
  <cp:lastPrinted>2021-11-15T17:39:00Z</cp:lastPrinted>
  <dcterms:created xsi:type="dcterms:W3CDTF">2021-11-15T22:02:00Z</dcterms:created>
  <dcterms:modified xsi:type="dcterms:W3CDTF">2021-11-15T22:02:00Z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1039118/0175/G13513635v1</vt:lpwstr>
  </property>
  <property fmtid="{D5CDD505-2E9C-101B-9397-08002B2CF9AE}" pid="3" name="WSFooter">
    <vt:lpwstr>1039118/0175/G13513635v1</vt:lpwstr>
  </property>
  <property fmtid="{D5CDD505-2E9C-101B-9397-08002B2CF9AE}" pid="4" name="iManAuthorPhone">
    <vt:lpwstr>+44 1481 741548</vt:lpwstr>
  </property>
  <property fmtid="{D5CDD505-2E9C-101B-9397-08002B2CF9AE}" pid="5" name="iManTitle">
    <vt:lpwstr>Associate (admitted in Scotland)</vt:lpwstr>
  </property>
  <property fmtid="{D5CDD505-2E9C-101B-9397-08002B2CF9AE}" pid="6" name="iManEmail">
    <vt:lpwstr>steven.balmer@careyolsen.com</vt:lpwstr>
  </property>
  <property fmtid="{D5CDD505-2E9C-101B-9397-08002B2CF9AE}" pid="7" name="iManFax">
    <vt:lpwstr>0</vt:lpwstr>
  </property>
  <property fmtid="{D5CDD505-2E9C-101B-9397-08002B2CF9AE}" pid="8" name="iManNotes">
    <vt:lpwstr>CAREY OLSEN (GUERNSEY) LLP</vt:lpwstr>
  </property>
  <property fmtid="{D5CDD505-2E9C-101B-9397-08002B2CF9AE}" pid="9" name="iManFullName">
    <vt:lpwstr>Steven Balmer</vt:lpwstr>
  </property>
  <property fmtid="{D5CDD505-2E9C-101B-9397-08002B2CF9AE}" pid="10" name="iManTitle2">
    <vt:lpwstr>0</vt:lpwstr>
  </property>
  <property fmtid="{D5CDD505-2E9C-101B-9397-08002B2CF9AE}" pid="11" name="iManOwner">
    <vt:lpwstr>BALMERS</vt:lpwstr>
  </property>
  <property fmtid="{D5CDD505-2E9C-101B-9397-08002B2CF9AE}" pid="12" name="iManOwnerName">
    <vt:lpwstr>0</vt:lpwstr>
  </property>
  <property fmtid="{D5CDD505-2E9C-101B-9397-08002B2CF9AE}" pid="13" name="iManClientNum">
    <vt:lpwstr>1039118</vt:lpwstr>
  </property>
  <property fmtid="{D5CDD505-2E9C-101B-9397-08002B2CF9AE}" pid="14" name="iManClientName">
    <vt:lpwstr>0</vt:lpwstr>
  </property>
  <property fmtid="{D5CDD505-2E9C-101B-9397-08002B2CF9AE}" pid="15" name="iManMatterNum">
    <vt:lpwstr>0175</vt:lpwstr>
  </property>
  <property fmtid="{D5CDD505-2E9C-101B-9397-08002B2CF9AE}" pid="16" name="iManMatterDesc">
    <vt:lpwstr>0</vt:lpwstr>
  </property>
  <property fmtid="{D5CDD505-2E9C-101B-9397-08002B2CF9AE}" pid="17" name="iManOurRef">
    <vt:lpwstr>SB/SB/</vt:lpwstr>
  </property>
  <property fmtid="{D5CDD505-2E9C-101B-9397-08002B2CF9AE}" pid="18" name="iManDept">
    <vt:lpwstr>400</vt:lpwstr>
  </property>
</Properties>
</file>