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13A6D" w:rsidRDefault="00C60631" w:rsidP="009D510C">
      <w:pPr>
        <w:pStyle w:val="ListParagraph"/>
        <w:numPr>
          <w:ilvl w:val="0"/>
          <w:numId w:val="12"/>
        </w:numPr>
        <w:ind w:left="426"/>
        <w:jc w:val="both"/>
        <w:rPr>
          <w:rFonts w:ascii="Arial" w:hAnsi="Arial" w:cs="Arial"/>
          <w:sz w:val="22"/>
          <w:szCs w:val="22"/>
          <w:highlight w:val="yellow"/>
          <w:lang w:val="en-GB"/>
        </w:rPr>
      </w:pPr>
      <w:r w:rsidRPr="00413A6D">
        <w:rPr>
          <w:rFonts w:ascii="Arial" w:hAnsi="Arial" w:cs="Arial"/>
          <w:sz w:val="22"/>
          <w:szCs w:val="22"/>
          <w:highlight w:val="yellow"/>
          <w:lang w:val="en-GB"/>
        </w:rPr>
        <w:t xml:space="preserve">This statement is incorrect since </w:t>
      </w:r>
      <w:r w:rsidR="00E7793C" w:rsidRPr="00413A6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454C67" w:rsidRDefault="00AE027F" w:rsidP="009D510C">
      <w:pPr>
        <w:pStyle w:val="ListParagraph"/>
        <w:numPr>
          <w:ilvl w:val="0"/>
          <w:numId w:val="13"/>
        </w:numPr>
        <w:jc w:val="both"/>
        <w:rPr>
          <w:rFonts w:ascii="Arial" w:hAnsi="Arial" w:cs="Arial"/>
          <w:sz w:val="22"/>
          <w:szCs w:val="22"/>
          <w:highlight w:val="yellow"/>
          <w:lang w:val="en-GB"/>
        </w:rPr>
      </w:pPr>
      <w:r w:rsidRPr="00454C67">
        <w:rPr>
          <w:rFonts w:ascii="Arial" w:hAnsi="Arial" w:cs="Arial"/>
          <w:sz w:val="22"/>
          <w:szCs w:val="22"/>
          <w:highlight w:val="yellow"/>
          <w:lang w:val="en-GB"/>
        </w:rPr>
        <w:t>The statement i</w:t>
      </w:r>
      <w:r w:rsidR="006E77B0" w:rsidRPr="00454C67">
        <w:rPr>
          <w:rFonts w:ascii="Arial" w:hAnsi="Arial" w:cs="Arial"/>
          <w:sz w:val="22"/>
          <w:szCs w:val="22"/>
          <w:highlight w:val="yellow"/>
          <w:lang w:val="en-GB"/>
        </w:rPr>
        <w:t>s incorrect since the UK did re</w:t>
      </w:r>
      <w:r w:rsidRPr="00454C67">
        <w:rPr>
          <w:rFonts w:ascii="Arial" w:hAnsi="Arial" w:cs="Arial"/>
          <w:sz w:val="22"/>
          <w:szCs w:val="22"/>
          <w:highlight w:val="yellow"/>
          <w:lang w:val="en-GB"/>
        </w:rPr>
        <w:t>v</w:t>
      </w:r>
      <w:r w:rsidR="006E77B0" w:rsidRPr="00454C67">
        <w:rPr>
          <w:rFonts w:ascii="Arial" w:hAnsi="Arial" w:cs="Arial"/>
          <w:sz w:val="22"/>
          <w:szCs w:val="22"/>
          <w:highlight w:val="yellow"/>
          <w:lang w:val="en-GB"/>
        </w:rPr>
        <w:t>i</w:t>
      </w:r>
      <w:r w:rsidRPr="00454C67">
        <w:rPr>
          <w:rFonts w:ascii="Arial" w:hAnsi="Arial" w:cs="Arial"/>
          <w:sz w:val="22"/>
          <w:szCs w:val="22"/>
          <w:highlight w:val="yellow"/>
          <w:lang w:val="en-GB"/>
        </w:rPr>
        <w:t>ew parts of its insolvency rules and amended some, among</w:t>
      </w:r>
      <w:r w:rsidR="006E77B0" w:rsidRPr="00454C67">
        <w:rPr>
          <w:rFonts w:ascii="Arial" w:hAnsi="Arial" w:cs="Arial"/>
          <w:sz w:val="22"/>
          <w:szCs w:val="22"/>
          <w:highlight w:val="yellow"/>
          <w:lang w:val="en-GB"/>
        </w:rPr>
        <w:t>s</w:t>
      </w:r>
      <w:r w:rsidRPr="00454C67">
        <w:rPr>
          <w:rFonts w:ascii="Arial" w:hAnsi="Arial" w:cs="Arial"/>
          <w:sz w:val="22"/>
          <w:szCs w:val="22"/>
          <w:highlight w:val="yellow"/>
          <w:lang w:val="en-GB"/>
        </w:rPr>
        <w:t>t other</w:t>
      </w:r>
      <w:r w:rsidR="00F96AF1" w:rsidRPr="00454C67">
        <w:rPr>
          <w:rFonts w:ascii="Arial" w:hAnsi="Arial" w:cs="Arial"/>
          <w:sz w:val="22"/>
          <w:szCs w:val="22"/>
          <w:highlight w:val="yellow"/>
          <w:lang w:val="en-GB"/>
        </w:rPr>
        <w:t xml:space="preserve"> things</w:t>
      </w:r>
      <w:r w:rsidRPr="00454C67">
        <w:rPr>
          <w:rFonts w:ascii="Arial" w:hAnsi="Arial" w:cs="Arial"/>
          <w:sz w:val="22"/>
          <w:szCs w:val="22"/>
          <w:highlight w:val="yellow"/>
          <w:lang w:val="en-GB"/>
        </w:rPr>
        <w:t>, to deal with the negative economic fall out of the pandemic.</w:t>
      </w:r>
      <w:r w:rsidR="00100A77" w:rsidRPr="00454C67">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D0650A" w:rsidRDefault="00B54F90" w:rsidP="009D510C">
      <w:pPr>
        <w:pStyle w:val="ListParagraph"/>
        <w:numPr>
          <w:ilvl w:val="0"/>
          <w:numId w:val="14"/>
        </w:numPr>
        <w:ind w:left="426"/>
        <w:jc w:val="both"/>
        <w:rPr>
          <w:rFonts w:ascii="Arial" w:hAnsi="Arial" w:cs="Arial"/>
          <w:sz w:val="22"/>
          <w:szCs w:val="22"/>
          <w:highlight w:val="yellow"/>
          <w:lang w:val="en-GB"/>
        </w:rPr>
      </w:pPr>
      <w:r w:rsidRPr="00D0650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D0650A">
        <w:rPr>
          <w:rFonts w:ascii="Arial" w:hAnsi="Arial" w:cs="Arial"/>
          <w:sz w:val="22"/>
          <w:szCs w:val="22"/>
          <w:highlight w:val="yellow"/>
          <w:lang w:val="en-GB"/>
        </w:rPr>
        <w:t xml:space="preserve">on </w:t>
      </w:r>
      <w:r w:rsidRPr="00D0650A">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BB47D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BB47D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EE5BFB" w:rsidRDefault="00926D10" w:rsidP="009D510C">
      <w:pPr>
        <w:pStyle w:val="ListParagraph"/>
        <w:numPr>
          <w:ilvl w:val="0"/>
          <w:numId w:val="5"/>
        </w:numPr>
        <w:ind w:left="426"/>
        <w:jc w:val="both"/>
        <w:rPr>
          <w:rFonts w:ascii="Arial" w:hAnsi="Arial" w:cs="Arial"/>
          <w:sz w:val="22"/>
          <w:szCs w:val="22"/>
          <w:highlight w:val="yellow"/>
          <w:lang w:val="en-GB"/>
        </w:rPr>
      </w:pPr>
      <w:r w:rsidRPr="00EE5BFB">
        <w:rPr>
          <w:rFonts w:ascii="Arial" w:hAnsi="Arial" w:cs="Arial"/>
          <w:sz w:val="22"/>
          <w:szCs w:val="22"/>
          <w:highlight w:val="yellow"/>
          <w:lang w:val="en-GB"/>
        </w:rPr>
        <w:t xml:space="preserve">The statement is </w:t>
      </w:r>
      <w:r w:rsidR="006E1CB0" w:rsidRPr="00EE5BFB">
        <w:rPr>
          <w:rFonts w:ascii="Arial" w:hAnsi="Arial" w:cs="Arial"/>
          <w:sz w:val="22"/>
          <w:szCs w:val="22"/>
          <w:highlight w:val="yellow"/>
          <w:lang w:val="en-GB"/>
        </w:rPr>
        <w:t xml:space="preserve">not </w:t>
      </w:r>
      <w:r w:rsidRPr="00EE5BFB">
        <w:rPr>
          <w:rFonts w:ascii="Arial" w:hAnsi="Arial" w:cs="Arial"/>
          <w:sz w:val="22"/>
          <w:szCs w:val="22"/>
          <w:highlight w:val="yellow"/>
          <w:lang w:val="en-GB"/>
        </w:rPr>
        <w:t xml:space="preserve">correct </w:t>
      </w:r>
      <w:r w:rsidR="007958F0" w:rsidRPr="00EE5BFB">
        <w:rPr>
          <w:rFonts w:ascii="Arial" w:hAnsi="Arial" w:cs="Arial"/>
          <w:sz w:val="22"/>
          <w:szCs w:val="22"/>
          <w:highlight w:val="yellow"/>
          <w:lang w:val="en-GB"/>
        </w:rPr>
        <w:t>because</w:t>
      </w:r>
      <w:r w:rsidRPr="00EE5BFB">
        <w:rPr>
          <w:rFonts w:ascii="Arial" w:hAnsi="Arial" w:cs="Arial"/>
          <w:sz w:val="22"/>
          <w:szCs w:val="22"/>
          <w:highlight w:val="yellow"/>
          <w:lang w:val="en-GB"/>
        </w:rPr>
        <w:t xml:space="preserve"> very few </w:t>
      </w:r>
      <w:r w:rsidR="007958F0" w:rsidRPr="00EE5BFB">
        <w:rPr>
          <w:rFonts w:ascii="Arial" w:hAnsi="Arial" w:cs="Arial"/>
          <w:sz w:val="22"/>
          <w:szCs w:val="22"/>
          <w:highlight w:val="yellow"/>
          <w:lang w:val="en-GB"/>
        </w:rPr>
        <w:t>States</w:t>
      </w:r>
      <w:r w:rsidRPr="00EE5BFB">
        <w:rPr>
          <w:rFonts w:ascii="Arial" w:hAnsi="Arial" w:cs="Arial"/>
          <w:sz w:val="22"/>
          <w:szCs w:val="22"/>
          <w:highlight w:val="yellow"/>
          <w:lang w:val="en-GB"/>
        </w:rPr>
        <w:t xml:space="preserve"> allow insolvent estate representatives to deal with assets of a foreign debtor situated in </w:t>
      </w:r>
      <w:r w:rsidR="005936B3" w:rsidRPr="00EE5BFB">
        <w:rPr>
          <w:rFonts w:ascii="Arial" w:hAnsi="Arial" w:cs="Arial"/>
          <w:sz w:val="22"/>
          <w:szCs w:val="22"/>
          <w:highlight w:val="yellow"/>
          <w:lang w:val="en-GB"/>
        </w:rPr>
        <w:t>their own</w:t>
      </w:r>
      <w:r w:rsidRPr="00EE5BFB">
        <w:rPr>
          <w:rFonts w:ascii="Arial" w:hAnsi="Arial" w:cs="Arial"/>
          <w:sz w:val="22"/>
          <w:szCs w:val="22"/>
          <w:highlight w:val="yellow"/>
          <w:lang w:val="en-GB"/>
        </w:rPr>
        <w:t xml:space="preserve"> jurisdiction without </w:t>
      </w:r>
      <w:r w:rsidR="006E1CB0" w:rsidRPr="00EE5BFB">
        <w:rPr>
          <w:rFonts w:ascii="Arial" w:hAnsi="Arial" w:cs="Arial"/>
          <w:sz w:val="22"/>
          <w:szCs w:val="22"/>
          <w:highlight w:val="yellow"/>
          <w:lang w:val="en-GB"/>
        </w:rPr>
        <w:t xml:space="preserve">some form of </w:t>
      </w:r>
      <w:r w:rsidR="0090037B" w:rsidRPr="00EE5BFB">
        <w:rPr>
          <w:rFonts w:ascii="Arial" w:hAnsi="Arial" w:cs="Arial"/>
          <w:sz w:val="22"/>
          <w:szCs w:val="22"/>
          <w:highlight w:val="yellow"/>
          <w:lang w:val="en-GB"/>
        </w:rPr>
        <w:t xml:space="preserve">a </w:t>
      </w:r>
      <w:r w:rsidR="006E1CB0" w:rsidRPr="00EE5BFB">
        <w:rPr>
          <w:rFonts w:ascii="Arial" w:hAnsi="Arial" w:cs="Arial"/>
          <w:sz w:val="22"/>
          <w:szCs w:val="22"/>
          <w:highlight w:val="yellow"/>
          <w:lang w:val="en-GB"/>
        </w:rPr>
        <w:t>(</w:t>
      </w:r>
      <w:r w:rsidR="0090037B" w:rsidRPr="00EE5BFB">
        <w:rPr>
          <w:rFonts w:ascii="Arial" w:hAnsi="Arial" w:cs="Arial"/>
          <w:sz w:val="22"/>
          <w:szCs w:val="22"/>
          <w:highlight w:val="yellow"/>
          <w:lang w:val="en-GB"/>
        </w:rPr>
        <w:t>prior</w:t>
      </w:r>
      <w:r w:rsidR="006E1CB0" w:rsidRPr="00EE5BFB">
        <w:rPr>
          <w:rFonts w:ascii="Arial" w:hAnsi="Arial" w:cs="Arial"/>
          <w:sz w:val="22"/>
          <w:szCs w:val="22"/>
          <w:highlight w:val="yellow"/>
          <w:lang w:val="en-GB"/>
        </w:rPr>
        <w:t>)</w:t>
      </w:r>
      <w:r w:rsidRPr="00EE5BFB">
        <w:rPr>
          <w:rFonts w:ascii="Arial" w:hAnsi="Arial" w:cs="Arial"/>
          <w:sz w:val="22"/>
          <w:szCs w:val="22"/>
          <w:highlight w:val="yellow"/>
          <w:lang w:val="en-GB"/>
        </w:rPr>
        <w:t xml:space="preserve"> local procedure </w:t>
      </w:r>
      <w:r w:rsidR="005936B3" w:rsidRPr="00EE5BFB">
        <w:rPr>
          <w:rFonts w:ascii="Arial" w:hAnsi="Arial" w:cs="Arial"/>
          <w:sz w:val="22"/>
          <w:szCs w:val="22"/>
          <w:highlight w:val="yellow"/>
          <w:lang w:val="en-GB"/>
        </w:rPr>
        <w:t xml:space="preserve">to </w:t>
      </w:r>
      <w:r w:rsidRPr="00EE5BFB">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8E75EB">
        <w:rPr>
          <w:rFonts w:ascii="Arial" w:eastAsiaTheme="minorHAnsi" w:hAnsi="Arial" w:cs="Arial"/>
          <w:sz w:val="22"/>
          <w:szCs w:val="22"/>
          <w:highlight w:val="yellow"/>
          <w:lang w:val="en-GB"/>
        </w:rPr>
        <w:t xml:space="preserve">They were recently revised in 2021 and, together with the </w:t>
      </w:r>
      <w:r w:rsidRPr="008E75EB">
        <w:rPr>
          <w:rFonts w:ascii="Arial" w:hAnsi="Arial" w:cs="Arial"/>
          <w:sz w:val="22"/>
          <w:szCs w:val="22"/>
          <w:highlight w:val="yellow"/>
          <w:lang w:val="en-GB"/>
        </w:rPr>
        <w:t>UNCITRAL Legislative Guide, form the international best practice standard for insolvency regimes</w:t>
      </w:r>
      <w:r w:rsidRPr="00205B31">
        <w:rPr>
          <w:rFonts w:ascii="Arial" w:hAnsi="Arial" w:cs="Arial"/>
          <w:sz w:val="22"/>
          <w:szCs w:val="22"/>
          <w:lang w:val="en-GB"/>
        </w:rPr>
        <w:t>.</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C71262">
        <w:rPr>
          <w:rFonts w:ascii="Arial" w:eastAsiaTheme="minorHAnsi" w:hAnsi="Arial" w:cs="Arial"/>
          <w:sz w:val="22"/>
          <w:szCs w:val="22"/>
          <w:highlight w:val="yellow"/>
          <w:lang w:val="en-GB"/>
        </w:rPr>
        <w:t xml:space="preserve">The Nordic Convention </w:t>
      </w:r>
      <w:r w:rsidR="00076483" w:rsidRPr="00C71262">
        <w:rPr>
          <w:rFonts w:ascii="Arial" w:eastAsiaTheme="minorHAnsi" w:hAnsi="Arial" w:cs="Arial"/>
          <w:sz w:val="22"/>
          <w:szCs w:val="22"/>
          <w:highlight w:val="yellow"/>
          <w:lang w:val="en-GB"/>
        </w:rPr>
        <w:t>1933</w:t>
      </w:r>
      <w:r w:rsidR="00966E44" w:rsidRPr="00C7126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C71262" w:rsidRDefault="00124B70" w:rsidP="00275182">
      <w:pPr>
        <w:pStyle w:val="ListParagraph"/>
        <w:numPr>
          <w:ilvl w:val="0"/>
          <w:numId w:val="8"/>
        </w:numPr>
        <w:ind w:left="426"/>
        <w:jc w:val="both"/>
        <w:rPr>
          <w:rFonts w:ascii="Arial" w:hAnsi="Arial" w:cs="Arial"/>
          <w:sz w:val="22"/>
          <w:szCs w:val="22"/>
          <w:highlight w:val="yellow"/>
          <w:lang w:val="en-GB"/>
        </w:rPr>
      </w:pPr>
      <w:r w:rsidRPr="00C7126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EF48BF" w:rsidRDefault="00E86549" w:rsidP="00275182">
      <w:pPr>
        <w:pStyle w:val="ListParagraph"/>
        <w:numPr>
          <w:ilvl w:val="0"/>
          <w:numId w:val="9"/>
        </w:numPr>
        <w:ind w:left="426"/>
        <w:jc w:val="both"/>
        <w:rPr>
          <w:rFonts w:ascii="Arial" w:hAnsi="Arial" w:cs="Arial"/>
          <w:bCs/>
          <w:sz w:val="22"/>
          <w:szCs w:val="22"/>
          <w:highlight w:val="yellow"/>
          <w:lang w:val="en-GB"/>
        </w:rPr>
      </w:pPr>
      <w:r w:rsidRPr="00EF48B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EF48BF">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EF48BF" w:rsidRDefault="00911C23" w:rsidP="00275182">
      <w:pPr>
        <w:pStyle w:val="ListParagraph"/>
        <w:numPr>
          <w:ilvl w:val="0"/>
          <w:numId w:val="10"/>
        </w:numPr>
        <w:ind w:left="426"/>
        <w:jc w:val="both"/>
        <w:rPr>
          <w:rFonts w:ascii="Arial" w:hAnsi="Arial" w:cs="Arial"/>
          <w:sz w:val="22"/>
          <w:szCs w:val="22"/>
          <w:highlight w:val="yellow"/>
          <w:lang w:val="en-GB"/>
        </w:rPr>
      </w:pPr>
      <w:r w:rsidRPr="00EF48BF">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11F56848" w14:textId="77777777" w:rsidR="000F04DF" w:rsidRDefault="000F04DF" w:rsidP="00F80BC5">
      <w:pPr>
        <w:jc w:val="both"/>
        <w:rPr>
          <w:rFonts w:ascii="Arial" w:hAnsi="Arial" w:cs="Arial"/>
          <w:color w:val="7B7B7B" w:themeColor="accent3" w:themeShade="BF"/>
          <w:sz w:val="22"/>
          <w:szCs w:val="22"/>
          <w:lang w:val="en-GB"/>
        </w:rPr>
      </w:pPr>
    </w:p>
    <w:p w14:paraId="57BCFC30" w14:textId="7B4395D8" w:rsidR="009B07AD" w:rsidRDefault="00FE4C14" w:rsidP="00F80B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English debt collection procedures have their roots in strict creditor-friendly</w:t>
      </w:r>
      <w:r w:rsidR="00D679E5">
        <w:rPr>
          <w:rStyle w:val="FootnoteReference"/>
          <w:rFonts w:ascii="Arial" w:hAnsi="Arial" w:cs="Arial"/>
          <w:color w:val="7B7B7B" w:themeColor="accent3" w:themeShade="BF"/>
          <w:sz w:val="22"/>
          <w:szCs w:val="22"/>
          <w:lang w:val="en-GB"/>
        </w:rPr>
        <w:footnoteReference w:id="1"/>
      </w:r>
      <w:r w:rsidR="00D679E5">
        <w:rPr>
          <w:rFonts w:ascii="Arial" w:hAnsi="Arial" w:cs="Arial"/>
          <w:color w:val="7B7B7B" w:themeColor="accent3" w:themeShade="BF"/>
          <w:sz w:val="22"/>
          <w:szCs w:val="22"/>
          <w:lang w:val="en-GB"/>
        </w:rPr>
        <w:t xml:space="preserve"> Roman</w:t>
      </w:r>
      <w:r w:rsidR="008919E5">
        <w:rPr>
          <w:rFonts w:ascii="Arial" w:hAnsi="Arial" w:cs="Arial"/>
          <w:color w:val="7B7B7B" w:themeColor="accent3" w:themeShade="BF"/>
          <w:sz w:val="22"/>
          <w:szCs w:val="22"/>
          <w:lang w:val="en-GB"/>
        </w:rPr>
        <w:t xml:space="preserve"> law</w:t>
      </w:r>
      <w:r w:rsidR="00360DEF">
        <w:rPr>
          <w:rFonts w:ascii="Arial" w:hAnsi="Arial" w:cs="Arial"/>
          <w:color w:val="7B7B7B" w:themeColor="accent3" w:themeShade="BF"/>
          <w:sz w:val="22"/>
          <w:szCs w:val="22"/>
          <w:lang w:val="en-GB"/>
        </w:rPr>
        <w:t xml:space="preserve">, and </w:t>
      </w:r>
      <w:r w:rsidR="008919E5">
        <w:rPr>
          <w:rFonts w:ascii="Arial" w:hAnsi="Arial" w:cs="Arial"/>
          <w:color w:val="7B7B7B" w:themeColor="accent3" w:themeShade="BF"/>
          <w:sz w:val="22"/>
          <w:szCs w:val="22"/>
          <w:lang w:val="en-GB"/>
        </w:rPr>
        <w:t>provided for individual debt collecting procedures prior to the development of a collective procedure.</w:t>
      </w:r>
      <w:r w:rsidR="001E1534">
        <w:rPr>
          <w:rStyle w:val="FootnoteReference"/>
          <w:rFonts w:ascii="Arial" w:hAnsi="Arial" w:cs="Arial"/>
          <w:color w:val="7B7B7B" w:themeColor="accent3" w:themeShade="BF"/>
          <w:sz w:val="22"/>
          <w:szCs w:val="22"/>
          <w:lang w:val="en-GB"/>
        </w:rPr>
        <w:footnoteReference w:id="2"/>
      </w:r>
      <w:r w:rsidR="008919E5">
        <w:rPr>
          <w:rFonts w:ascii="Arial" w:hAnsi="Arial" w:cs="Arial"/>
          <w:color w:val="7B7B7B" w:themeColor="accent3" w:themeShade="BF"/>
          <w:sz w:val="22"/>
          <w:szCs w:val="22"/>
          <w:lang w:val="en-GB"/>
        </w:rPr>
        <w:t xml:space="preserve"> </w:t>
      </w:r>
      <w:r w:rsidR="00095FE2">
        <w:rPr>
          <w:rFonts w:ascii="Arial" w:hAnsi="Arial" w:cs="Arial"/>
          <w:color w:val="7B7B7B" w:themeColor="accent3" w:themeShade="BF"/>
          <w:sz w:val="22"/>
          <w:szCs w:val="22"/>
          <w:lang w:val="en-GB"/>
        </w:rPr>
        <w:t>According to Fletcher</w:t>
      </w:r>
      <w:r w:rsidR="00C158A8">
        <w:rPr>
          <w:rStyle w:val="FootnoteReference"/>
          <w:rFonts w:ascii="Arial" w:hAnsi="Arial" w:cs="Arial"/>
          <w:color w:val="7B7B7B" w:themeColor="accent3" w:themeShade="BF"/>
          <w:sz w:val="22"/>
          <w:szCs w:val="22"/>
          <w:lang w:val="en-GB"/>
        </w:rPr>
        <w:footnoteReference w:id="3"/>
      </w:r>
      <w:r w:rsidR="00095FE2">
        <w:rPr>
          <w:rFonts w:ascii="Arial" w:hAnsi="Arial" w:cs="Arial"/>
          <w:color w:val="7B7B7B" w:themeColor="accent3" w:themeShade="BF"/>
          <w:sz w:val="22"/>
          <w:szCs w:val="22"/>
          <w:lang w:val="en-GB"/>
        </w:rPr>
        <w:t xml:space="preserve">, the following Roman law procedures gave rise to the development of collective debt collecting mechanisms: </w:t>
      </w:r>
      <w:r w:rsidR="00854539">
        <w:rPr>
          <w:rFonts w:ascii="Arial" w:hAnsi="Arial" w:cs="Arial"/>
          <w:i/>
          <w:color w:val="7B7B7B" w:themeColor="accent3" w:themeShade="BF"/>
          <w:sz w:val="22"/>
          <w:szCs w:val="22"/>
          <w:lang w:val="en-GB"/>
        </w:rPr>
        <w:t>cessio</w:t>
      </w:r>
      <w:r w:rsidR="00095FE2" w:rsidRPr="00C158A8">
        <w:rPr>
          <w:rFonts w:ascii="Arial" w:hAnsi="Arial" w:cs="Arial"/>
          <w:i/>
          <w:color w:val="7B7B7B" w:themeColor="accent3" w:themeShade="BF"/>
          <w:sz w:val="22"/>
          <w:szCs w:val="22"/>
          <w:lang w:val="en-GB"/>
        </w:rPr>
        <w:t xml:space="preserve"> bonorum </w:t>
      </w:r>
      <w:r w:rsidR="00095FE2">
        <w:rPr>
          <w:rFonts w:ascii="Arial" w:hAnsi="Arial" w:cs="Arial"/>
          <w:color w:val="7B7B7B" w:themeColor="accent3" w:themeShade="BF"/>
          <w:sz w:val="22"/>
          <w:szCs w:val="22"/>
          <w:lang w:val="en-GB"/>
        </w:rPr>
        <w:t xml:space="preserve">(assignment of property); </w:t>
      </w:r>
      <w:r w:rsidR="00095FE2" w:rsidRPr="00C158A8">
        <w:rPr>
          <w:rFonts w:ascii="Arial" w:hAnsi="Arial" w:cs="Arial"/>
          <w:i/>
          <w:color w:val="7B7B7B" w:themeColor="accent3" w:themeShade="BF"/>
          <w:sz w:val="22"/>
          <w:szCs w:val="22"/>
          <w:lang w:val="en-GB"/>
        </w:rPr>
        <w:t>distractio bonorum</w:t>
      </w:r>
      <w:r w:rsidR="00095FE2">
        <w:rPr>
          <w:rFonts w:ascii="Arial" w:hAnsi="Arial" w:cs="Arial"/>
          <w:color w:val="7B7B7B" w:themeColor="accent3" w:themeShade="BF"/>
          <w:sz w:val="22"/>
          <w:szCs w:val="22"/>
          <w:lang w:val="en-GB"/>
        </w:rPr>
        <w:t xml:space="preserve"> (forced liquidation of assets) and </w:t>
      </w:r>
      <w:r w:rsidR="00095FE2" w:rsidRPr="00854539">
        <w:rPr>
          <w:rFonts w:ascii="Arial" w:hAnsi="Arial" w:cs="Arial"/>
          <w:i/>
          <w:color w:val="7B7B7B" w:themeColor="accent3" w:themeShade="BF"/>
          <w:sz w:val="22"/>
          <w:szCs w:val="22"/>
          <w:lang w:val="en-GB"/>
        </w:rPr>
        <w:t xml:space="preserve">remission </w:t>
      </w:r>
      <w:r w:rsidR="00095FE2" w:rsidRPr="00854539">
        <w:rPr>
          <w:rFonts w:ascii="Arial" w:hAnsi="Arial" w:cs="Arial"/>
          <w:color w:val="7B7B7B" w:themeColor="accent3" w:themeShade="BF"/>
          <w:sz w:val="22"/>
          <w:szCs w:val="22"/>
          <w:lang w:val="en-GB"/>
        </w:rPr>
        <w:t>and</w:t>
      </w:r>
      <w:r w:rsidR="00095FE2" w:rsidRPr="00854539">
        <w:rPr>
          <w:rFonts w:ascii="Arial" w:hAnsi="Arial" w:cs="Arial"/>
          <w:i/>
          <w:color w:val="7B7B7B" w:themeColor="accent3" w:themeShade="BF"/>
          <w:sz w:val="22"/>
          <w:szCs w:val="22"/>
          <w:lang w:val="en-GB"/>
        </w:rPr>
        <w:t xml:space="preserve"> </w:t>
      </w:r>
      <w:r w:rsidR="00854539" w:rsidRPr="00854539">
        <w:rPr>
          <w:rFonts w:ascii="Arial" w:hAnsi="Arial" w:cs="Arial"/>
          <w:i/>
          <w:color w:val="7B7B7B" w:themeColor="accent3" w:themeShade="BF"/>
          <w:sz w:val="22"/>
          <w:szCs w:val="22"/>
          <w:lang w:val="en-GB"/>
        </w:rPr>
        <w:t>di</w:t>
      </w:r>
      <w:r w:rsidR="00095FE2" w:rsidRPr="00854539">
        <w:rPr>
          <w:rFonts w:ascii="Arial" w:hAnsi="Arial" w:cs="Arial"/>
          <w:i/>
          <w:color w:val="7B7B7B" w:themeColor="accent3" w:themeShade="BF"/>
          <w:sz w:val="22"/>
          <w:szCs w:val="22"/>
          <w:lang w:val="en-GB"/>
        </w:rPr>
        <w:t>l</w:t>
      </w:r>
      <w:r w:rsidR="00854539" w:rsidRPr="00854539">
        <w:rPr>
          <w:rFonts w:ascii="Arial" w:hAnsi="Arial" w:cs="Arial"/>
          <w:i/>
          <w:color w:val="7B7B7B" w:themeColor="accent3" w:themeShade="BF"/>
          <w:sz w:val="22"/>
          <w:szCs w:val="22"/>
          <w:lang w:val="en-GB"/>
        </w:rPr>
        <w:t>a</w:t>
      </w:r>
      <w:r w:rsidR="00095FE2" w:rsidRPr="00854539">
        <w:rPr>
          <w:rFonts w:ascii="Arial" w:hAnsi="Arial" w:cs="Arial"/>
          <w:i/>
          <w:color w:val="7B7B7B" w:themeColor="accent3" w:themeShade="BF"/>
          <w:sz w:val="22"/>
          <w:szCs w:val="22"/>
          <w:lang w:val="en-GB"/>
        </w:rPr>
        <w:t>tio</w:t>
      </w:r>
      <w:r w:rsidR="00095FE2">
        <w:rPr>
          <w:rFonts w:ascii="Arial" w:hAnsi="Arial" w:cs="Arial"/>
          <w:color w:val="7B7B7B" w:themeColor="accent3" w:themeShade="BF"/>
          <w:sz w:val="22"/>
          <w:szCs w:val="22"/>
          <w:lang w:val="en-GB"/>
        </w:rPr>
        <w:t xml:space="preserve"> (compositions with creditors)</w:t>
      </w:r>
      <w:r w:rsidR="00854539">
        <w:rPr>
          <w:rFonts w:ascii="Arial" w:hAnsi="Arial" w:cs="Arial"/>
          <w:color w:val="7B7B7B" w:themeColor="accent3" w:themeShade="BF"/>
          <w:sz w:val="22"/>
          <w:szCs w:val="22"/>
          <w:lang w:val="en-GB"/>
        </w:rPr>
        <w:t>.</w:t>
      </w:r>
      <w:r w:rsidR="00F80BC5">
        <w:rPr>
          <w:rFonts w:ascii="Arial" w:hAnsi="Arial" w:cs="Arial"/>
          <w:color w:val="7B7B7B" w:themeColor="accent3" w:themeShade="BF"/>
          <w:sz w:val="22"/>
          <w:szCs w:val="22"/>
          <w:lang w:val="en-GB"/>
        </w:rPr>
        <w:t xml:space="preserve"> These Roman law principles went on to provide a structure for the development of insolvency law</w:t>
      </w:r>
      <w:r w:rsidR="008903D4">
        <w:rPr>
          <w:rStyle w:val="FootnoteReference"/>
          <w:rFonts w:ascii="Arial" w:hAnsi="Arial" w:cs="Arial"/>
          <w:color w:val="7B7B7B" w:themeColor="accent3" w:themeShade="BF"/>
          <w:sz w:val="22"/>
          <w:szCs w:val="22"/>
          <w:lang w:val="en-GB"/>
        </w:rPr>
        <w:footnoteReference w:id="4"/>
      </w:r>
      <w:r w:rsidR="009E310B">
        <w:rPr>
          <w:rFonts w:ascii="Arial" w:hAnsi="Arial" w:cs="Arial"/>
          <w:color w:val="7B7B7B" w:themeColor="accent3" w:themeShade="BF"/>
          <w:sz w:val="22"/>
          <w:szCs w:val="22"/>
          <w:lang w:val="en-GB"/>
        </w:rPr>
        <w:t>.</w:t>
      </w:r>
    </w:p>
    <w:p w14:paraId="5FBF1D18" w14:textId="63DB2C8A" w:rsidR="009A7596" w:rsidRDefault="009A7596" w:rsidP="00F80BC5">
      <w:pPr>
        <w:jc w:val="both"/>
        <w:rPr>
          <w:rFonts w:ascii="Arial" w:hAnsi="Arial" w:cs="Arial"/>
          <w:color w:val="7B7B7B" w:themeColor="accent3" w:themeShade="BF"/>
          <w:sz w:val="22"/>
          <w:szCs w:val="22"/>
          <w:lang w:val="en-GB"/>
        </w:rPr>
      </w:pPr>
    </w:p>
    <w:p w14:paraId="48BF5FA1" w14:textId="6B99937E" w:rsidR="00F64226" w:rsidRDefault="00F61DF9" w:rsidP="00F80B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Debtors were initially viewed as </w:t>
      </w:r>
      <w:r w:rsidR="00435822">
        <w:rPr>
          <w:rFonts w:ascii="Arial" w:hAnsi="Arial" w:cs="Arial"/>
          <w:color w:val="7B7B7B" w:themeColor="accent3" w:themeShade="BF"/>
          <w:sz w:val="22"/>
          <w:szCs w:val="22"/>
          <w:lang w:val="en-GB"/>
        </w:rPr>
        <w:t xml:space="preserve">"quasi-criminals" or "offenders". </w:t>
      </w:r>
      <w:r w:rsidR="000B6403">
        <w:rPr>
          <w:rFonts w:ascii="Arial" w:hAnsi="Arial" w:cs="Arial"/>
          <w:color w:val="7B7B7B" w:themeColor="accent3" w:themeShade="BF"/>
          <w:sz w:val="22"/>
          <w:szCs w:val="22"/>
          <w:lang w:val="en-GB"/>
        </w:rPr>
        <w:t>The English Bankruptcy Act of 1542</w:t>
      </w:r>
      <w:r w:rsidR="00EE5AD1">
        <w:rPr>
          <w:rFonts w:ascii="Arial" w:hAnsi="Arial" w:cs="Arial"/>
          <w:color w:val="7B7B7B" w:themeColor="accent3" w:themeShade="BF"/>
          <w:sz w:val="22"/>
          <w:szCs w:val="22"/>
          <w:lang w:val="en-GB"/>
        </w:rPr>
        <w:t xml:space="preserve"> (the "EBA")</w:t>
      </w:r>
      <w:r w:rsidR="000B6403">
        <w:rPr>
          <w:rFonts w:ascii="Arial" w:hAnsi="Arial" w:cs="Arial"/>
          <w:color w:val="7B7B7B" w:themeColor="accent3" w:themeShade="BF"/>
          <w:sz w:val="22"/>
          <w:szCs w:val="22"/>
          <w:lang w:val="en-GB"/>
        </w:rPr>
        <w:t xml:space="preserve"> provided for a form of compulsory sequestration and also provided for </w:t>
      </w:r>
      <w:r w:rsidR="00945EC5">
        <w:rPr>
          <w:rFonts w:ascii="Arial" w:hAnsi="Arial" w:cs="Arial"/>
          <w:color w:val="7B7B7B" w:themeColor="accent3" w:themeShade="BF"/>
          <w:sz w:val="22"/>
          <w:szCs w:val="22"/>
          <w:lang w:val="en-GB"/>
        </w:rPr>
        <w:t>the appointment of commissioners</w:t>
      </w:r>
      <w:r w:rsidR="001C011C">
        <w:rPr>
          <w:rFonts w:ascii="Arial" w:hAnsi="Arial" w:cs="Arial"/>
          <w:color w:val="7B7B7B" w:themeColor="accent3" w:themeShade="BF"/>
          <w:sz w:val="22"/>
          <w:szCs w:val="22"/>
          <w:lang w:val="en-GB"/>
        </w:rPr>
        <w:t>,</w:t>
      </w:r>
      <w:r w:rsidR="00EE5AD1">
        <w:rPr>
          <w:rFonts w:ascii="Arial" w:hAnsi="Arial" w:cs="Arial"/>
          <w:color w:val="7B7B7B" w:themeColor="accent3" w:themeShade="BF"/>
          <w:sz w:val="22"/>
          <w:szCs w:val="22"/>
          <w:lang w:val="en-GB"/>
        </w:rPr>
        <w:t xml:space="preserve"> who could proceed against a debt upon a creditor's application</w:t>
      </w:r>
      <w:r w:rsidR="00A67BB2">
        <w:rPr>
          <w:rStyle w:val="FootnoteReference"/>
          <w:rFonts w:ascii="Arial" w:hAnsi="Arial" w:cs="Arial"/>
          <w:color w:val="7B7B7B" w:themeColor="accent3" w:themeShade="BF"/>
          <w:sz w:val="22"/>
          <w:szCs w:val="22"/>
          <w:lang w:val="en-GB"/>
        </w:rPr>
        <w:footnoteReference w:id="5"/>
      </w:r>
      <w:r w:rsidR="00EE5AD1">
        <w:rPr>
          <w:rFonts w:ascii="Arial" w:hAnsi="Arial" w:cs="Arial"/>
          <w:color w:val="7B7B7B" w:themeColor="accent3" w:themeShade="BF"/>
          <w:sz w:val="22"/>
          <w:szCs w:val="22"/>
          <w:lang w:val="en-GB"/>
        </w:rPr>
        <w:t xml:space="preserve">. The </w:t>
      </w:r>
      <w:r w:rsidR="00F41786">
        <w:rPr>
          <w:rFonts w:ascii="Arial" w:hAnsi="Arial" w:cs="Arial"/>
          <w:color w:val="7B7B7B" w:themeColor="accent3" w:themeShade="BF"/>
          <w:sz w:val="22"/>
          <w:szCs w:val="22"/>
          <w:lang w:val="en-GB"/>
        </w:rPr>
        <w:t>cornerstone of the EBA was that</w:t>
      </w:r>
      <w:r w:rsidR="00EF712F">
        <w:rPr>
          <w:rFonts w:ascii="Arial" w:hAnsi="Arial" w:cs="Arial"/>
          <w:color w:val="7B7B7B" w:themeColor="accent3" w:themeShade="BF"/>
          <w:sz w:val="22"/>
          <w:szCs w:val="22"/>
          <w:lang w:val="en-GB"/>
        </w:rPr>
        <w:t xml:space="preserve"> a fraudulent debtor should face </w:t>
      </w:r>
      <w:r w:rsidR="00420FA1">
        <w:rPr>
          <w:rFonts w:ascii="Arial" w:hAnsi="Arial" w:cs="Arial"/>
          <w:color w:val="7B7B7B" w:themeColor="accent3" w:themeShade="BF"/>
          <w:sz w:val="22"/>
          <w:szCs w:val="22"/>
          <w:lang w:val="en-GB"/>
        </w:rPr>
        <w:t xml:space="preserve">compulsory administration and distribution </w:t>
      </w:r>
      <w:r w:rsidR="00CC63C5">
        <w:rPr>
          <w:rFonts w:ascii="Arial" w:hAnsi="Arial" w:cs="Arial"/>
          <w:color w:val="7B7B7B" w:themeColor="accent3" w:themeShade="BF"/>
          <w:sz w:val="22"/>
          <w:szCs w:val="22"/>
          <w:lang w:val="en-GB"/>
        </w:rPr>
        <w:t xml:space="preserve">on a </w:t>
      </w:r>
      <w:r w:rsidR="00CC63C5" w:rsidRPr="008D5CD4">
        <w:rPr>
          <w:rFonts w:ascii="Arial" w:hAnsi="Arial" w:cs="Arial"/>
          <w:i/>
          <w:color w:val="7B7B7B" w:themeColor="accent3" w:themeShade="BF"/>
          <w:sz w:val="22"/>
          <w:szCs w:val="22"/>
          <w:lang w:val="en-GB"/>
        </w:rPr>
        <w:t>pari passu</w:t>
      </w:r>
      <w:r w:rsidR="00CC63C5">
        <w:rPr>
          <w:rFonts w:ascii="Arial" w:hAnsi="Arial" w:cs="Arial"/>
          <w:color w:val="7B7B7B" w:themeColor="accent3" w:themeShade="BF"/>
          <w:sz w:val="22"/>
          <w:szCs w:val="22"/>
          <w:lang w:val="en-GB"/>
        </w:rPr>
        <w:t xml:space="preserve"> basis to their </w:t>
      </w:r>
      <w:r w:rsidR="00DF0C70">
        <w:rPr>
          <w:rFonts w:ascii="Arial" w:hAnsi="Arial" w:cs="Arial"/>
          <w:color w:val="7B7B7B" w:themeColor="accent3" w:themeShade="BF"/>
          <w:sz w:val="22"/>
          <w:szCs w:val="22"/>
          <w:lang w:val="en-GB"/>
        </w:rPr>
        <w:t>creditors, which are both key principles in modern insolvency law</w:t>
      </w:r>
      <w:r w:rsidR="0000725B">
        <w:rPr>
          <w:rStyle w:val="FootnoteReference"/>
          <w:rFonts w:ascii="Arial" w:hAnsi="Arial" w:cs="Arial"/>
          <w:color w:val="7B7B7B" w:themeColor="accent3" w:themeShade="BF"/>
          <w:sz w:val="22"/>
          <w:szCs w:val="22"/>
          <w:lang w:val="en-GB"/>
        </w:rPr>
        <w:footnoteReference w:id="6"/>
      </w:r>
      <w:r w:rsidR="00DF0C70">
        <w:rPr>
          <w:rFonts w:ascii="Arial" w:hAnsi="Arial" w:cs="Arial"/>
          <w:color w:val="7B7B7B" w:themeColor="accent3" w:themeShade="BF"/>
          <w:sz w:val="22"/>
          <w:szCs w:val="22"/>
          <w:lang w:val="en-GB"/>
        </w:rPr>
        <w:t xml:space="preserve">. </w:t>
      </w:r>
    </w:p>
    <w:p w14:paraId="369E2262" w14:textId="253AEFAC" w:rsidR="00567A5B" w:rsidRDefault="00567A5B" w:rsidP="00F80BC5">
      <w:pPr>
        <w:jc w:val="both"/>
        <w:rPr>
          <w:rFonts w:ascii="Arial" w:hAnsi="Arial" w:cs="Arial"/>
          <w:color w:val="7B7B7B" w:themeColor="accent3" w:themeShade="BF"/>
          <w:sz w:val="22"/>
          <w:szCs w:val="22"/>
          <w:lang w:val="en-GB"/>
        </w:rPr>
      </w:pPr>
    </w:p>
    <w:p w14:paraId="22C610C9" w14:textId="2339B552" w:rsidR="00DE03AF" w:rsidRPr="00205B31" w:rsidRDefault="004668BF" w:rsidP="00B7193E">
      <w:pPr>
        <w:jc w:val="both"/>
        <w:rPr>
          <w:rFonts w:ascii="Arial" w:hAnsi="Arial" w:cs="Arial"/>
          <w:sz w:val="22"/>
          <w:szCs w:val="22"/>
          <w:lang w:val="en-GB"/>
        </w:rPr>
      </w:pPr>
      <w:r>
        <w:rPr>
          <w:rFonts w:ascii="Arial" w:hAnsi="Arial" w:cs="Arial"/>
          <w:color w:val="7B7B7B" w:themeColor="accent3" w:themeShade="BF"/>
          <w:sz w:val="22"/>
          <w:szCs w:val="22"/>
          <w:lang w:val="en-GB"/>
        </w:rPr>
        <w:t>The Statute of Ann</w:t>
      </w:r>
      <w:r w:rsidR="0000725B">
        <w:rPr>
          <w:rFonts w:ascii="Arial" w:hAnsi="Arial" w:cs="Arial"/>
          <w:color w:val="7B7B7B" w:themeColor="accent3" w:themeShade="BF"/>
          <w:sz w:val="22"/>
          <w:szCs w:val="22"/>
          <w:lang w:val="en-GB"/>
        </w:rPr>
        <w:t xml:space="preserve"> of 1705</w:t>
      </w:r>
      <w:r w:rsidR="007E0C01">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introduced the </w:t>
      </w:r>
      <w:r w:rsidR="00404B43">
        <w:rPr>
          <w:rFonts w:ascii="Arial" w:hAnsi="Arial" w:cs="Arial"/>
          <w:color w:val="7B7B7B" w:themeColor="accent3" w:themeShade="BF"/>
          <w:sz w:val="22"/>
          <w:szCs w:val="22"/>
          <w:lang w:val="en-GB"/>
        </w:rPr>
        <w:t>provision</w:t>
      </w:r>
      <w:r>
        <w:rPr>
          <w:rFonts w:ascii="Arial" w:hAnsi="Arial" w:cs="Arial"/>
          <w:color w:val="7B7B7B" w:themeColor="accent3" w:themeShade="BF"/>
          <w:sz w:val="22"/>
          <w:szCs w:val="22"/>
          <w:lang w:val="en-GB"/>
        </w:rPr>
        <w:t xml:space="preserve"> by which a "conforming" debtor, i.e. a debtor who had </w:t>
      </w:r>
      <w:r w:rsidR="00404B43">
        <w:rPr>
          <w:rFonts w:ascii="Arial" w:hAnsi="Arial" w:cs="Arial"/>
          <w:color w:val="7B7B7B" w:themeColor="accent3" w:themeShade="BF"/>
          <w:sz w:val="22"/>
          <w:szCs w:val="22"/>
          <w:lang w:val="en-GB"/>
        </w:rPr>
        <w:t xml:space="preserve">co-operated during debt proceedings, would obtain a statutory discharge. </w:t>
      </w:r>
      <w:r w:rsidR="0000725B">
        <w:rPr>
          <w:rFonts w:ascii="Arial" w:hAnsi="Arial" w:cs="Arial"/>
          <w:color w:val="7B7B7B" w:themeColor="accent3" w:themeShade="BF"/>
          <w:sz w:val="22"/>
          <w:szCs w:val="22"/>
          <w:lang w:val="en-GB"/>
        </w:rPr>
        <w:t>This concept of releasing a debtor from personal liability is yet another key principle in modern insolvency law</w:t>
      </w:r>
      <w:r w:rsidR="007E0C01">
        <w:rPr>
          <w:rStyle w:val="FootnoteReference"/>
          <w:rFonts w:ascii="Arial" w:hAnsi="Arial" w:cs="Arial"/>
          <w:color w:val="7B7B7B" w:themeColor="accent3" w:themeShade="BF"/>
          <w:sz w:val="22"/>
          <w:szCs w:val="22"/>
          <w:lang w:val="en-GB"/>
        </w:rPr>
        <w:footnoteReference w:id="8"/>
      </w:r>
      <w:r w:rsidR="0000725B">
        <w:rPr>
          <w:rFonts w:ascii="Arial" w:hAnsi="Arial" w:cs="Arial"/>
          <w:color w:val="7B7B7B" w:themeColor="accent3" w:themeShade="BF"/>
          <w:sz w:val="22"/>
          <w:szCs w:val="22"/>
          <w:lang w:val="en-GB"/>
        </w:rPr>
        <w:t xml:space="preserve">.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01E82A9" w14:textId="76F6B78B" w:rsidR="009C5A2F" w:rsidRDefault="000D3D75" w:rsidP="000D3D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Corporate Insolvency and Governance Act 2020 (CIGA 2020) contains both permanent and temporary measures, which relate to insolvency law and corporate governance. CIGA is designed to assist businesses </w:t>
      </w:r>
      <w:r w:rsidR="00ED1B6F">
        <w:rPr>
          <w:rFonts w:ascii="Arial" w:hAnsi="Arial" w:cs="Arial"/>
          <w:color w:val="7B7B7B" w:themeColor="accent3" w:themeShade="BF"/>
          <w:sz w:val="22"/>
          <w:szCs w:val="22"/>
          <w:lang w:val="en-GB"/>
        </w:rPr>
        <w:t>affected by the pandemic</w:t>
      </w:r>
      <w:r w:rsidR="00ED1B6F">
        <w:rPr>
          <w:rStyle w:val="FootnoteReference"/>
          <w:rFonts w:ascii="Arial" w:hAnsi="Arial" w:cs="Arial"/>
          <w:color w:val="7B7B7B" w:themeColor="accent3" w:themeShade="BF"/>
          <w:sz w:val="22"/>
          <w:szCs w:val="22"/>
          <w:lang w:val="en-GB"/>
        </w:rPr>
        <w:footnoteReference w:id="9"/>
      </w:r>
      <w:r w:rsidR="009C5A2F">
        <w:rPr>
          <w:rFonts w:ascii="Arial" w:hAnsi="Arial" w:cs="Arial"/>
          <w:color w:val="7B7B7B" w:themeColor="accent3" w:themeShade="BF"/>
          <w:sz w:val="22"/>
          <w:szCs w:val="22"/>
          <w:lang w:val="en-GB"/>
        </w:rPr>
        <w:t>.Three insolvency</w:t>
      </w:r>
      <w:r w:rsidR="008F341F">
        <w:rPr>
          <w:rFonts w:ascii="Arial" w:hAnsi="Arial" w:cs="Arial"/>
          <w:color w:val="7B7B7B" w:themeColor="accent3" w:themeShade="BF"/>
          <w:sz w:val="22"/>
          <w:szCs w:val="22"/>
          <w:lang w:val="en-GB"/>
        </w:rPr>
        <w:t xml:space="preserve"> and insolvency-related</w:t>
      </w:r>
      <w:r w:rsidR="009C5A2F">
        <w:rPr>
          <w:rFonts w:ascii="Arial" w:hAnsi="Arial" w:cs="Arial"/>
          <w:color w:val="7B7B7B" w:themeColor="accent3" w:themeShade="BF"/>
          <w:sz w:val="22"/>
          <w:szCs w:val="22"/>
          <w:lang w:val="en-GB"/>
        </w:rPr>
        <w:t xml:space="preserve"> measures introduced under CIGA are: </w:t>
      </w:r>
    </w:p>
    <w:p w14:paraId="707E17B6" w14:textId="1763C259" w:rsidR="009C5A2F" w:rsidRDefault="001A7F08" w:rsidP="009C5A2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n</w:t>
      </w:r>
      <w:r w:rsidR="00894887">
        <w:rPr>
          <w:rFonts w:ascii="Arial" w:hAnsi="Arial" w:cs="Arial"/>
          <w:color w:val="7B7B7B" w:themeColor="accent3" w:themeShade="BF"/>
          <w:sz w:val="22"/>
          <w:szCs w:val="22"/>
          <w:lang w:val="en-GB"/>
        </w:rPr>
        <w:t>ew r</w:t>
      </w:r>
      <w:r>
        <w:rPr>
          <w:rFonts w:ascii="Arial" w:hAnsi="Arial" w:cs="Arial"/>
          <w:color w:val="7B7B7B" w:themeColor="accent3" w:themeShade="BF"/>
          <w:sz w:val="22"/>
          <w:szCs w:val="22"/>
          <w:lang w:val="en-GB"/>
        </w:rPr>
        <w:t>estructuring plan. C</w:t>
      </w:r>
      <w:r w:rsidR="00894887">
        <w:rPr>
          <w:rFonts w:ascii="Arial" w:hAnsi="Arial" w:cs="Arial"/>
          <w:color w:val="7B7B7B" w:themeColor="accent3" w:themeShade="BF"/>
          <w:sz w:val="22"/>
          <w:szCs w:val="22"/>
          <w:lang w:val="en-GB"/>
        </w:rPr>
        <w:t xml:space="preserve">ourts can sanction a </w:t>
      </w:r>
      <w:r w:rsidR="00D31E45">
        <w:rPr>
          <w:rFonts w:ascii="Arial" w:hAnsi="Arial" w:cs="Arial"/>
          <w:color w:val="7B7B7B" w:themeColor="accent3" w:themeShade="BF"/>
          <w:sz w:val="22"/>
          <w:szCs w:val="22"/>
          <w:lang w:val="en-GB"/>
        </w:rPr>
        <w:t xml:space="preserve">"cross-class cram down" </w:t>
      </w:r>
      <w:r w:rsidR="00894887">
        <w:rPr>
          <w:rFonts w:ascii="Arial" w:hAnsi="Arial" w:cs="Arial"/>
          <w:color w:val="7B7B7B" w:themeColor="accent3" w:themeShade="BF"/>
          <w:sz w:val="22"/>
          <w:szCs w:val="22"/>
          <w:lang w:val="en-GB"/>
        </w:rPr>
        <w:t>restructuring plan</w:t>
      </w:r>
      <w:r w:rsidR="00587AF2">
        <w:rPr>
          <w:rFonts w:ascii="Arial" w:hAnsi="Arial" w:cs="Arial"/>
          <w:color w:val="7B7B7B" w:themeColor="accent3" w:themeShade="BF"/>
          <w:sz w:val="22"/>
          <w:szCs w:val="22"/>
          <w:lang w:val="en-GB"/>
        </w:rPr>
        <w:t xml:space="preserve"> voted for by creditors,</w:t>
      </w:r>
      <w:r w:rsidR="00894887">
        <w:rPr>
          <w:rFonts w:ascii="Arial" w:hAnsi="Arial" w:cs="Arial"/>
          <w:color w:val="7B7B7B" w:themeColor="accent3" w:themeShade="BF"/>
          <w:sz w:val="22"/>
          <w:szCs w:val="22"/>
          <w:lang w:val="en-GB"/>
        </w:rPr>
        <w:t xml:space="preserve"> </w:t>
      </w:r>
      <w:r w:rsidR="00587AF2">
        <w:rPr>
          <w:rFonts w:ascii="Arial" w:hAnsi="Arial" w:cs="Arial"/>
          <w:color w:val="7B7B7B" w:themeColor="accent3" w:themeShade="BF"/>
          <w:sz w:val="22"/>
          <w:szCs w:val="22"/>
          <w:lang w:val="en-GB"/>
        </w:rPr>
        <w:t xml:space="preserve">which </w:t>
      </w:r>
      <w:r w:rsidR="00894887">
        <w:rPr>
          <w:rFonts w:ascii="Arial" w:hAnsi="Arial" w:cs="Arial"/>
          <w:color w:val="7B7B7B" w:themeColor="accent3" w:themeShade="BF"/>
          <w:sz w:val="22"/>
          <w:szCs w:val="22"/>
          <w:lang w:val="en-GB"/>
        </w:rPr>
        <w:t xml:space="preserve">binds </w:t>
      </w:r>
      <w:r w:rsidR="00587AF2">
        <w:rPr>
          <w:rFonts w:ascii="Arial" w:hAnsi="Arial" w:cs="Arial"/>
          <w:color w:val="7B7B7B" w:themeColor="accent3" w:themeShade="BF"/>
          <w:sz w:val="22"/>
          <w:szCs w:val="22"/>
          <w:lang w:val="en-GB"/>
        </w:rPr>
        <w:t xml:space="preserve">dissenting </w:t>
      </w:r>
      <w:r w:rsidR="00894887">
        <w:rPr>
          <w:rFonts w:ascii="Arial" w:hAnsi="Arial" w:cs="Arial"/>
          <w:color w:val="7B7B7B" w:themeColor="accent3" w:themeShade="BF"/>
          <w:sz w:val="22"/>
          <w:szCs w:val="22"/>
          <w:lang w:val="en-GB"/>
        </w:rPr>
        <w:t>cre</w:t>
      </w:r>
      <w:r w:rsidR="00587AF2">
        <w:rPr>
          <w:rFonts w:ascii="Arial" w:hAnsi="Arial" w:cs="Arial"/>
          <w:color w:val="7B7B7B" w:themeColor="accent3" w:themeShade="BF"/>
          <w:sz w:val="22"/>
          <w:szCs w:val="22"/>
          <w:lang w:val="en-GB"/>
        </w:rPr>
        <w:t>ditors, if it is "fair and equitable</w:t>
      </w:r>
      <w:r w:rsidR="00D31E45">
        <w:rPr>
          <w:rFonts w:ascii="Arial" w:hAnsi="Arial" w:cs="Arial"/>
          <w:color w:val="7B7B7B" w:themeColor="accent3" w:themeShade="BF"/>
          <w:sz w:val="22"/>
          <w:szCs w:val="22"/>
          <w:lang w:val="en-GB"/>
        </w:rPr>
        <w:t xml:space="preserve">" to do so. </w:t>
      </w:r>
    </w:p>
    <w:p w14:paraId="3441DA4D" w14:textId="44121F75" w:rsidR="00D31E45" w:rsidRDefault="006B3E62" w:rsidP="009C5A2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Temporarily relaxed requirements to the </w:t>
      </w:r>
      <w:r w:rsidR="008D5F51">
        <w:rPr>
          <w:rFonts w:ascii="Arial" w:hAnsi="Arial" w:cs="Arial"/>
          <w:color w:val="7B7B7B" w:themeColor="accent3" w:themeShade="BF"/>
          <w:sz w:val="22"/>
          <w:szCs w:val="22"/>
          <w:lang w:val="en-GB"/>
        </w:rPr>
        <w:t xml:space="preserve">"debtor in possession" </w:t>
      </w:r>
      <w:r w:rsidR="001A7F08">
        <w:rPr>
          <w:rFonts w:ascii="Arial" w:hAnsi="Arial" w:cs="Arial"/>
          <w:color w:val="7B7B7B" w:themeColor="accent3" w:themeShade="BF"/>
          <w:sz w:val="22"/>
          <w:szCs w:val="22"/>
          <w:lang w:val="en-GB"/>
        </w:rPr>
        <w:t>m</w:t>
      </w:r>
      <w:r w:rsidR="00D31E45">
        <w:rPr>
          <w:rFonts w:ascii="Arial" w:hAnsi="Arial" w:cs="Arial"/>
          <w:color w:val="7B7B7B" w:themeColor="accent3" w:themeShade="BF"/>
          <w:sz w:val="22"/>
          <w:szCs w:val="22"/>
          <w:lang w:val="en-GB"/>
        </w:rPr>
        <w:t>oratorium</w:t>
      </w:r>
      <w:r w:rsidR="008D5F51">
        <w:rPr>
          <w:rFonts w:ascii="Arial" w:hAnsi="Arial" w:cs="Arial"/>
          <w:color w:val="7B7B7B" w:themeColor="accent3" w:themeShade="BF"/>
          <w:sz w:val="22"/>
          <w:szCs w:val="22"/>
          <w:lang w:val="en-GB"/>
        </w:rPr>
        <w:t xml:space="preserve"> procedure. </w:t>
      </w:r>
      <w:r w:rsidR="004C3446">
        <w:rPr>
          <w:rFonts w:ascii="Arial" w:hAnsi="Arial" w:cs="Arial"/>
          <w:color w:val="7B7B7B" w:themeColor="accent3" w:themeShade="BF"/>
          <w:sz w:val="22"/>
          <w:szCs w:val="22"/>
          <w:lang w:val="en-GB"/>
        </w:rPr>
        <w:t xml:space="preserve">During this temporary period, (a) A </w:t>
      </w:r>
      <w:r w:rsidR="008D5F51">
        <w:rPr>
          <w:rFonts w:ascii="Arial" w:hAnsi="Arial" w:cs="Arial"/>
          <w:color w:val="7B7B7B" w:themeColor="accent3" w:themeShade="BF"/>
          <w:sz w:val="22"/>
          <w:szCs w:val="22"/>
          <w:lang w:val="en-GB"/>
        </w:rPr>
        <w:t xml:space="preserve">UK company can obtain a moratorium </w:t>
      </w:r>
      <w:r w:rsidR="00D31E45">
        <w:rPr>
          <w:rFonts w:ascii="Arial" w:hAnsi="Arial" w:cs="Arial"/>
          <w:color w:val="7B7B7B" w:themeColor="accent3" w:themeShade="BF"/>
          <w:sz w:val="22"/>
          <w:szCs w:val="22"/>
          <w:lang w:val="en-GB"/>
        </w:rPr>
        <w:t xml:space="preserve">on creditor action </w:t>
      </w:r>
      <w:r w:rsidR="001A7F08">
        <w:rPr>
          <w:rFonts w:ascii="Arial" w:hAnsi="Arial" w:cs="Arial"/>
          <w:color w:val="7B7B7B" w:themeColor="accent3" w:themeShade="BF"/>
          <w:sz w:val="22"/>
          <w:szCs w:val="22"/>
          <w:lang w:val="en-GB"/>
        </w:rPr>
        <w:t xml:space="preserve">against </w:t>
      </w:r>
      <w:r w:rsidR="004C3446">
        <w:rPr>
          <w:rFonts w:ascii="Arial" w:hAnsi="Arial" w:cs="Arial"/>
          <w:color w:val="7B7B7B" w:themeColor="accent3" w:themeShade="BF"/>
          <w:sz w:val="22"/>
          <w:szCs w:val="22"/>
          <w:lang w:val="en-GB"/>
        </w:rPr>
        <w:t xml:space="preserve">it and (b) </w:t>
      </w:r>
      <w:r w:rsidR="008D5F51">
        <w:rPr>
          <w:rFonts w:ascii="Arial" w:hAnsi="Arial" w:cs="Arial"/>
          <w:color w:val="7B7B7B" w:themeColor="accent3" w:themeShade="BF"/>
          <w:sz w:val="22"/>
          <w:szCs w:val="22"/>
          <w:lang w:val="en-GB"/>
        </w:rPr>
        <w:t xml:space="preserve">A creditor cannot </w:t>
      </w:r>
      <w:r>
        <w:rPr>
          <w:rFonts w:ascii="Arial" w:hAnsi="Arial" w:cs="Arial"/>
          <w:color w:val="7B7B7B" w:themeColor="accent3" w:themeShade="BF"/>
          <w:sz w:val="22"/>
          <w:szCs w:val="22"/>
          <w:lang w:val="en-GB"/>
        </w:rPr>
        <w:t xml:space="preserve">issue proceedings </w:t>
      </w:r>
      <w:r w:rsidR="001A7F08">
        <w:rPr>
          <w:rFonts w:ascii="Arial" w:hAnsi="Arial" w:cs="Arial"/>
          <w:color w:val="7B7B7B" w:themeColor="accent3" w:themeShade="BF"/>
          <w:sz w:val="22"/>
          <w:szCs w:val="22"/>
          <w:lang w:val="en-GB"/>
        </w:rPr>
        <w:t xml:space="preserve">without the court's permission. </w:t>
      </w:r>
      <w:r w:rsidR="008D5F51">
        <w:rPr>
          <w:rFonts w:ascii="Arial" w:hAnsi="Arial" w:cs="Arial"/>
          <w:color w:val="7B7B7B" w:themeColor="accent3" w:themeShade="BF"/>
          <w:sz w:val="22"/>
          <w:szCs w:val="22"/>
          <w:lang w:val="en-GB"/>
        </w:rPr>
        <w:t xml:space="preserve">The moratorium is overseen by an insolvency practitioner, whilst day to day running of the company is overseen by the company’s directors. </w:t>
      </w:r>
      <w:r w:rsidR="00D13010">
        <w:rPr>
          <w:rFonts w:ascii="Arial" w:hAnsi="Arial" w:cs="Arial"/>
          <w:color w:val="7B7B7B" w:themeColor="accent3" w:themeShade="BF"/>
          <w:sz w:val="22"/>
          <w:szCs w:val="22"/>
          <w:lang w:val="en-GB"/>
        </w:rPr>
        <w:t xml:space="preserve">The temporary provisions expired on 30 September 2021. </w:t>
      </w:r>
    </w:p>
    <w:p w14:paraId="336107DC" w14:textId="78852D4C" w:rsidR="001A7F08" w:rsidRPr="009C5A2F" w:rsidRDefault="0098645A" w:rsidP="009C5A2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Suspension of serving statutory demands</w:t>
      </w:r>
      <w:r w:rsidR="00B9595E">
        <w:rPr>
          <w:rFonts w:ascii="Arial" w:hAnsi="Arial" w:cs="Arial"/>
          <w:color w:val="7B7B7B" w:themeColor="accent3" w:themeShade="BF"/>
          <w:sz w:val="22"/>
          <w:szCs w:val="22"/>
          <w:lang w:val="en-GB"/>
        </w:rPr>
        <w:t>, which are void if served on a UK company du</w:t>
      </w:r>
      <w:r w:rsidR="004C3446">
        <w:rPr>
          <w:rFonts w:ascii="Arial" w:hAnsi="Arial" w:cs="Arial"/>
          <w:color w:val="7B7B7B" w:themeColor="accent3" w:themeShade="BF"/>
          <w:sz w:val="22"/>
          <w:szCs w:val="22"/>
          <w:lang w:val="en-GB"/>
        </w:rPr>
        <w:t>ring the "relevant period", defined as the period</w:t>
      </w:r>
      <w:r w:rsidR="00B9595E">
        <w:rPr>
          <w:rFonts w:ascii="Arial" w:hAnsi="Arial" w:cs="Arial"/>
          <w:color w:val="7B7B7B" w:themeColor="accent3" w:themeShade="BF"/>
          <w:sz w:val="22"/>
          <w:szCs w:val="22"/>
          <w:lang w:val="en-GB"/>
        </w:rPr>
        <w:t xml:space="preserve"> between March 2020 and 30 September 2021. </w:t>
      </w:r>
    </w:p>
    <w:p w14:paraId="00F4A08A" w14:textId="130C6961" w:rsidR="000D3D75" w:rsidRDefault="000D3D75" w:rsidP="00B7193E">
      <w:pPr>
        <w:ind w:left="720" w:hanging="720"/>
        <w:jc w:val="both"/>
        <w:rPr>
          <w:rFonts w:ascii="Arial" w:hAnsi="Arial" w:cs="Arial"/>
          <w:color w:val="7B7B7B" w:themeColor="accent3" w:themeShade="BF"/>
          <w:sz w:val="22"/>
          <w:szCs w:val="22"/>
          <w:lang w:val="en-GB"/>
        </w:rPr>
      </w:pPr>
    </w:p>
    <w:p w14:paraId="5E335B45" w14:textId="77777777" w:rsidR="000D3D75" w:rsidRPr="00205B31" w:rsidRDefault="000D3D75"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6F767BE6" w:rsidR="00C72848" w:rsidRDefault="000B1F43" w:rsidP="000B1F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the product of government to government/State to State cooperation, whilst "soft law" refers to guidelines developed by various influential multilateral organisations. Treaties and "soft law" are both </w:t>
      </w:r>
      <w:r w:rsidR="00CA75A1">
        <w:rPr>
          <w:rFonts w:ascii="Arial" w:hAnsi="Arial" w:cs="Arial"/>
          <w:color w:val="7B7B7B" w:themeColor="accent3" w:themeShade="BF"/>
          <w:sz w:val="22"/>
          <w:szCs w:val="22"/>
          <w:lang w:val="en-GB"/>
        </w:rPr>
        <w:t xml:space="preserve">used </w:t>
      </w:r>
      <w:r w:rsidR="003C60CD">
        <w:rPr>
          <w:rFonts w:ascii="Arial" w:hAnsi="Arial" w:cs="Arial"/>
          <w:color w:val="7B7B7B" w:themeColor="accent3" w:themeShade="BF"/>
          <w:sz w:val="22"/>
          <w:szCs w:val="22"/>
          <w:lang w:val="en-GB"/>
        </w:rPr>
        <w:t>to find solutions to international insolvency law</w:t>
      </w:r>
      <w:r w:rsidR="003C60CD">
        <w:rPr>
          <w:rStyle w:val="FootnoteReference"/>
          <w:rFonts w:ascii="Arial" w:hAnsi="Arial" w:cs="Arial"/>
          <w:color w:val="7B7B7B" w:themeColor="accent3" w:themeShade="BF"/>
          <w:sz w:val="22"/>
          <w:szCs w:val="22"/>
          <w:lang w:val="en-GB"/>
        </w:rPr>
        <w:footnoteReference w:id="10"/>
      </w:r>
      <w:r w:rsidR="003C60CD">
        <w:rPr>
          <w:rFonts w:ascii="Arial" w:hAnsi="Arial" w:cs="Arial"/>
          <w:color w:val="7B7B7B" w:themeColor="accent3" w:themeShade="BF"/>
          <w:sz w:val="22"/>
          <w:szCs w:val="22"/>
          <w:lang w:val="en-GB"/>
        </w:rPr>
        <w:t xml:space="preserve">. </w:t>
      </w:r>
    </w:p>
    <w:p w14:paraId="2F7C0976" w14:textId="18CD87D1" w:rsidR="004C2DD1" w:rsidRDefault="004C2DD1" w:rsidP="000B1F43">
      <w:pPr>
        <w:jc w:val="both"/>
        <w:rPr>
          <w:rFonts w:ascii="Arial" w:hAnsi="Arial" w:cs="Arial"/>
          <w:color w:val="7B7B7B" w:themeColor="accent3" w:themeShade="BF"/>
          <w:sz w:val="22"/>
          <w:szCs w:val="22"/>
          <w:lang w:val="en-GB"/>
        </w:rPr>
      </w:pPr>
    </w:p>
    <w:p w14:paraId="1FE00E75" w14:textId="43BCA725" w:rsidR="004C2DD1" w:rsidRDefault="006C6504" w:rsidP="000B1F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becoming signatories to treaties, States bind themselves and </w:t>
      </w:r>
      <w:r w:rsidR="00923D4D">
        <w:rPr>
          <w:rFonts w:ascii="Arial" w:hAnsi="Arial" w:cs="Arial"/>
          <w:color w:val="7B7B7B" w:themeColor="accent3" w:themeShade="BF"/>
          <w:sz w:val="22"/>
          <w:szCs w:val="22"/>
          <w:lang w:val="en-GB"/>
        </w:rPr>
        <w:t xml:space="preserve">usually go on to </w:t>
      </w:r>
      <w:r w:rsidR="00887A2B">
        <w:rPr>
          <w:rFonts w:ascii="Arial" w:hAnsi="Arial" w:cs="Arial"/>
          <w:color w:val="7B7B7B" w:themeColor="accent3" w:themeShade="BF"/>
          <w:sz w:val="22"/>
          <w:szCs w:val="22"/>
          <w:lang w:val="en-GB"/>
        </w:rPr>
        <w:t xml:space="preserve">incorporate </w:t>
      </w:r>
      <w:r w:rsidR="004E73D0">
        <w:rPr>
          <w:rFonts w:ascii="Arial" w:hAnsi="Arial" w:cs="Arial"/>
          <w:color w:val="7B7B7B" w:themeColor="accent3" w:themeShade="BF"/>
          <w:sz w:val="22"/>
          <w:szCs w:val="22"/>
          <w:lang w:val="en-GB"/>
        </w:rPr>
        <w:t xml:space="preserve">the same </w:t>
      </w:r>
      <w:r w:rsidR="00887A2B">
        <w:rPr>
          <w:rFonts w:ascii="Arial" w:hAnsi="Arial" w:cs="Arial"/>
          <w:color w:val="7B7B7B" w:themeColor="accent3" w:themeShade="BF"/>
          <w:sz w:val="22"/>
          <w:szCs w:val="22"/>
          <w:lang w:val="en-GB"/>
        </w:rPr>
        <w:t xml:space="preserve">into their domestic law. </w:t>
      </w:r>
      <w:r w:rsidR="00923D4D">
        <w:rPr>
          <w:rFonts w:ascii="Arial" w:hAnsi="Arial" w:cs="Arial"/>
          <w:color w:val="7B7B7B" w:themeColor="accent3" w:themeShade="BF"/>
          <w:sz w:val="22"/>
          <w:szCs w:val="22"/>
          <w:lang w:val="en-GB"/>
        </w:rPr>
        <w:t xml:space="preserve">Once a treaty becomes domestic law enforceable in the State's courts, it forms part of that State's "hard law" on insolvency. </w:t>
      </w:r>
      <w:r w:rsidR="00C148D4">
        <w:rPr>
          <w:rFonts w:ascii="Arial" w:hAnsi="Arial" w:cs="Arial"/>
          <w:color w:val="7B7B7B" w:themeColor="accent3" w:themeShade="BF"/>
          <w:sz w:val="22"/>
          <w:szCs w:val="22"/>
          <w:lang w:val="en-GB"/>
        </w:rPr>
        <w:t>An example of how treaties are used to establish cross-border insolvency rules</w:t>
      </w:r>
      <w:r w:rsidR="001D3A65">
        <w:rPr>
          <w:rFonts w:ascii="Arial" w:hAnsi="Arial" w:cs="Arial"/>
          <w:color w:val="7B7B7B" w:themeColor="accent3" w:themeShade="BF"/>
          <w:sz w:val="22"/>
          <w:szCs w:val="22"/>
          <w:lang w:val="en-GB"/>
        </w:rPr>
        <w:t xml:space="preserve"> is the</w:t>
      </w:r>
      <w:r w:rsidR="006C3841">
        <w:rPr>
          <w:rFonts w:ascii="Arial" w:hAnsi="Arial" w:cs="Arial"/>
          <w:color w:val="7B7B7B" w:themeColor="accent3" w:themeShade="BF"/>
          <w:sz w:val="22"/>
          <w:szCs w:val="22"/>
          <w:lang w:val="en-GB"/>
        </w:rPr>
        <w:t xml:space="preserve"> Nordic Convention of 19</w:t>
      </w:r>
      <w:r w:rsidR="00C148D4">
        <w:rPr>
          <w:rFonts w:ascii="Arial" w:hAnsi="Arial" w:cs="Arial"/>
          <w:color w:val="7B7B7B" w:themeColor="accent3" w:themeShade="BF"/>
          <w:sz w:val="22"/>
          <w:szCs w:val="22"/>
          <w:lang w:val="en-GB"/>
        </w:rPr>
        <w:t>33</w:t>
      </w:r>
      <w:r w:rsidR="001D3A65">
        <w:rPr>
          <w:rFonts w:ascii="Arial" w:hAnsi="Arial" w:cs="Arial"/>
          <w:color w:val="7B7B7B" w:themeColor="accent3" w:themeShade="BF"/>
          <w:sz w:val="22"/>
          <w:szCs w:val="22"/>
          <w:lang w:val="en-GB"/>
        </w:rPr>
        <w:t xml:space="preserve"> (the "NC"). The NC </w:t>
      </w:r>
      <w:r w:rsidR="00D158FF">
        <w:rPr>
          <w:rFonts w:ascii="Arial" w:hAnsi="Arial" w:cs="Arial"/>
          <w:color w:val="7B7B7B" w:themeColor="accent3" w:themeShade="BF"/>
          <w:sz w:val="22"/>
          <w:szCs w:val="22"/>
          <w:lang w:val="en-GB"/>
        </w:rPr>
        <w:t>was signed by Denmark, Finland, Iceland and the other Nordic countries. Pursuant to the NC, a bankruptcy declared in one of the Nordic countries is recognized in the others as auto</w:t>
      </w:r>
      <w:r w:rsidR="00DA376E">
        <w:rPr>
          <w:rFonts w:ascii="Arial" w:hAnsi="Arial" w:cs="Arial"/>
          <w:color w:val="7B7B7B" w:themeColor="accent3" w:themeShade="BF"/>
          <w:sz w:val="22"/>
          <w:szCs w:val="22"/>
          <w:lang w:val="en-GB"/>
        </w:rPr>
        <w:t>matically applying to the bankrupt's property in those countries.</w:t>
      </w:r>
      <w:r w:rsidR="00265F38">
        <w:rPr>
          <w:rStyle w:val="FootnoteReference"/>
          <w:rFonts w:ascii="Arial" w:hAnsi="Arial" w:cs="Arial"/>
          <w:color w:val="7B7B7B" w:themeColor="accent3" w:themeShade="BF"/>
          <w:sz w:val="22"/>
          <w:szCs w:val="22"/>
          <w:lang w:val="en-GB"/>
        </w:rPr>
        <w:footnoteReference w:id="11"/>
      </w:r>
      <w:r w:rsidR="00DA376E">
        <w:rPr>
          <w:rFonts w:ascii="Arial" w:hAnsi="Arial" w:cs="Arial"/>
          <w:color w:val="7B7B7B" w:themeColor="accent3" w:themeShade="BF"/>
          <w:sz w:val="22"/>
          <w:szCs w:val="22"/>
          <w:lang w:val="en-GB"/>
        </w:rPr>
        <w:t xml:space="preserve"> </w:t>
      </w:r>
    </w:p>
    <w:p w14:paraId="279C35ED" w14:textId="275BE3C3" w:rsidR="00DA376E" w:rsidRDefault="00DA376E" w:rsidP="000B1F43">
      <w:pPr>
        <w:jc w:val="both"/>
        <w:rPr>
          <w:rFonts w:ascii="Arial" w:hAnsi="Arial" w:cs="Arial"/>
          <w:color w:val="7B7B7B" w:themeColor="accent3" w:themeShade="BF"/>
          <w:sz w:val="22"/>
          <w:szCs w:val="22"/>
          <w:lang w:val="en-GB"/>
        </w:rPr>
      </w:pPr>
    </w:p>
    <w:p w14:paraId="0B3D80EA" w14:textId="3B860693" w:rsidR="00DA376E" w:rsidRPr="000B1F43" w:rsidRDefault="00BF7EDB" w:rsidP="000B1F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always possible to get States to agree to incorporate "hard law" </w:t>
      </w:r>
      <w:r w:rsidR="002F30B1">
        <w:rPr>
          <w:rFonts w:ascii="Arial" w:hAnsi="Arial" w:cs="Arial"/>
          <w:color w:val="7B7B7B" w:themeColor="accent3" w:themeShade="BF"/>
          <w:sz w:val="22"/>
          <w:szCs w:val="22"/>
          <w:lang w:val="en-GB"/>
        </w:rPr>
        <w:t xml:space="preserve">solutions to international insolvency issues. </w:t>
      </w:r>
      <w:r w:rsidR="00A22B61">
        <w:rPr>
          <w:rFonts w:ascii="Arial" w:hAnsi="Arial" w:cs="Arial"/>
          <w:color w:val="7B7B7B" w:themeColor="accent3" w:themeShade="BF"/>
          <w:sz w:val="22"/>
          <w:szCs w:val="22"/>
          <w:lang w:val="en-GB"/>
        </w:rPr>
        <w:t xml:space="preserve">This is where "soft law" options come in. </w:t>
      </w:r>
      <w:r w:rsidR="00381DC4">
        <w:rPr>
          <w:rFonts w:ascii="Arial" w:hAnsi="Arial" w:cs="Arial"/>
          <w:color w:val="7B7B7B" w:themeColor="accent3" w:themeShade="BF"/>
          <w:sz w:val="22"/>
          <w:szCs w:val="22"/>
          <w:lang w:val="en-GB"/>
        </w:rPr>
        <w:t xml:space="preserve">The most successful "soft law" initiative has been </w:t>
      </w:r>
      <w:r w:rsidR="006B0E4E">
        <w:rPr>
          <w:rFonts w:ascii="Arial" w:hAnsi="Arial" w:cs="Arial"/>
          <w:color w:val="7B7B7B" w:themeColor="accent3" w:themeShade="BF"/>
          <w:sz w:val="22"/>
          <w:szCs w:val="22"/>
          <w:lang w:val="en-GB"/>
        </w:rPr>
        <w:t>the UNCITRAL Model Law on Cross-border I</w:t>
      </w:r>
      <w:r w:rsidR="00F37358">
        <w:rPr>
          <w:rFonts w:ascii="Arial" w:hAnsi="Arial" w:cs="Arial"/>
          <w:color w:val="7B7B7B" w:themeColor="accent3" w:themeShade="BF"/>
          <w:sz w:val="22"/>
          <w:szCs w:val="22"/>
          <w:lang w:val="en-GB"/>
        </w:rPr>
        <w:t xml:space="preserve">nsolvency (the "MLCBI"), which is draft legislation that can be </w:t>
      </w:r>
      <w:r w:rsidR="009C738E">
        <w:rPr>
          <w:rFonts w:ascii="Arial" w:hAnsi="Arial" w:cs="Arial"/>
          <w:color w:val="7B7B7B" w:themeColor="accent3" w:themeShade="BF"/>
          <w:sz w:val="22"/>
          <w:szCs w:val="22"/>
          <w:lang w:val="en-GB"/>
        </w:rPr>
        <w:t xml:space="preserve">voluntarily </w:t>
      </w:r>
      <w:r w:rsidR="00F37358">
        <w:rPr>
          <w:rFonts w:ascii="Arial" w:hAnsi="Arial" w:cs="Arial"/>
          <w:color w:val="7B7B7B" w:themeColor="accent3" w:themeShade="BF"/>
          <w:sz w:val="22"/>
          <w:szCs w:val="22"/>
          <w:lang w:val="en-GB"/>
        </w:rPr>
        <w:t>adopted by States with or without modification</w:t>
      </w:r>
      <w:r w:rsidR="009C6B93">
        <w:rPr>
          <w:rStyle w:val="FootnoteReference"/>
          <w:rFonts w:ascii="Arial" w:hAnsi="Arial" w:cs="Arial"/>
          <w:color w:val="7B7B7B" w:themeColor="accent3" w:themeShade="BF"/>
          <w:sz w:val="22"/>
          <w:szCs w:val="22"/>
          <w:lang w:val="en-GB"/>
        </w:rPr>
        <w:footnoteReference w:id="12"/>
      </w:r>
      <w:r w:rsidR="00F37358">
        <w:rPr>
          <w:rFonts w:ascii="Arial" w:hAnsi="Arial" w:cs="Arial"/>
          <w:color w:val="7B7B7B" w:themeColor="accent3" w:themeShade="BF"/>
          <w:sz w:val="22"/>
          <w:szCs w:val="22"/>
          <w:lang w:val="en-GB"/>
        </w:rPr>
        <w:t>. The M</w:t>
      </w:r>
      <w:r w:rsidR="009C6B93">
        <w:rPr>
          <w:rFonts w:ascii="Arial" w:hAnsi="Arial" w:cs="Arial"/>
          <w:color w:val="7B7B7B" w:themeColor="accent3" w:themeShade="BF"/>
          <w:sz w:val="22"/>
          <w:szCs w:val="22"/>
          <w:lang w:val="en-GB"/>
        </w:rPr>
        <w:t xml:space="preserve">LCBI has now been adopted by several States, such that it is an influential </w:t>
      </w:r>
      <w:r w:rsidR="004C3446">
        <w:rPr>
          <w:rFonts w:ascii="Arial" w:hAnsi="Arial" w:cs="Arial"/>
          <w:color w:val="7B7B7B" w:themeColor="accent3" w:themeShade="BF"/>
          <w:sz w:val="22"/>
          <w:szCs w:val="22"/>
          <w:lang w:val="en-GB"/>
        </w:rPr>
        <w:t>part of</w:t>
      </w:r>
      <w:r w:rsidR="009C6B93">
        <w:rPr>
          <w:rFonts w:ascii="Arial" w:hAnsi="Arial" w:cs="Arial"/>
          <w:color w:val="7B7B7B" w:themeColor="accent3" w:themeShade="BF"/>
          <w:sz w:val="22"/>
          <w:szCs w:val="22"/>
          <w:lang w:val="en-GB"/>
        </w:rPr>
        <w:t xml:space="preserve"> international insolvency law</w:t>
      </w:r>
      <w:r w:rsidR="009C6B93">
        <w:rPr>
          <w:rStyle w:val="FootnoteReference"/>
          <w:rFonts w:ascii="Arial" w:hAnsi="Arial" w:cs="Arial"/>
          <w:color w:val="7B7B7B" w:themeColor="accent3" w:themeShade="BF"/>
          <w:sz w:val="22"/>
          <w:szCs w:val="22"/>
          <w:lang w:val="en-GB"/>
        </w:rPr>
        <w:footnoteReference w:id="13"/>
      </w:r>
      <w:r w:rsidR="009F030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C806444" w14:textId="4064841F" w:rsidR="00532279" w:rsidRDefault="004064DC" w:rsidP="004064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source of insolvency law in any State is usually legislation or code</w:t>
      </w:r>
      <w:r w:rsidR="002C410B">
        <w:rPr>
          <w:rFonts w:ascii="Arial" w:hAnsi="Arial" w:cs="Arial"/>
          <w:color w:val="7B7B7B" w:themeColor="accent3" w:themeShade="BF"/>
          <w:sz w:val="22"/>
          <w:szCs w:val="22"/>
          <w:lang w:val="en-GB"/>
        </w:rPr>
        <w:t>, i.e. statutory provisions</w:t>
      </w:r>
      <w:r w:rsidR="008D4371">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w:t>
      </w:r>
      <w:r w:rsidR="00722A7A">
        <w:rPr>
          <w:rFonts w:ascii="Arial" w:hAnsi="Arial" w:cs="Arial"/>
          <w:color w:val="7B7B7B" w:themeColor="accent3" w:themeShade="BF"/>
          <w:sz w:val="22"/>
          <w:szCs w:val="22"/>
          <w:lang w:val="en-GB"/>
        </w:rPr>
        <w:t>However, States can have a combination of provisions to address in</w:t>
      </w:r>
      <w:r w:rsidR="008D4371">
        <w:rPr>
          <w:rFonts w:ascii="Arial" w:hAnsi="Arial" w:cs="Arial"/>
          <w:color w:val="7B7B7B" w:themeColor="accent3" w:themeShade="BF"/>
          <w:sz w:val="22"/>
          <w:szCs w:val="22"/>
          <w:lang w:val="en-GB"/>
        </w:rPr>
        <w:t xml:space="preserve">solvency, which </w:t>
      </w:r>
      <w:r w:rsidR="004A4C14">
        <w:rPr>
          <w:rFonts w:ascii="Arial" w:hAnsi="Arial" w:cs="Arial"/>
          <w:color w:val="7B7B7B" w:themeColor="accent3" w:themeShade="BF"/>
          <w:sz w:val="22"/>
          <w:szCs w:val="22"/>
          <w:lang w:val="en-GB"/>
        </w:rPr>
        <w:t>are</w:t>
      </w:r>
      <w:r w:rsidR="008D4371">
        <w:rPr>
          <w:rFonts w:ascii="Arial" w:hAnsi="Arial" w:cs="Arial"/>
          <w:color w:val="7B7B7B" w:themeColor="accent3" w:themeShade="BF"/>
          <w:sz w:val="22"/>
          <w:szCs w:val="22"/>
          <w:lang w:val="en-GB"/>
        </w:rPr>
        <w:t xml:space="preserve"> briefly set out below. </w:t>
      </w:r>
    </w:p>
    <w:p w14:paraId="153C7733" w14:textId="3AA83983" w:rsidR="00A17849" w:rsidRDefault="004064DC" w:rsidP="004064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common law jurisdictions, States </w:t>
      </w:r>
      <w:r w:rsidR="004C3446">
        <w:rPr>
          <w:rFonts w:ascii="Arial" w:hAnsi="Arial" w:cs="Arial"/>
          <w:color w:val="7B7B7B" w:themeColor="accent3" w:themeShade="BF"/>
          <w:sz w:val="22"/>
          <w:szCs w:val="22"/>
          <w:lang w:val="en-GB"/>
        </w:rPr>
        <w:t xml:space="preserve">(and the courts, which interpret and enforce insolvency law on their behalf) </w:t>
      </w:r>
      <w:r w:rsidR="002C410B">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also rely on the principles contained in common law authorities or precedents as guidance on how the legislation should be applied, or to fill any gaps (also known as lacunae) in the legislation</w:t>
      </w:r>
      <w:r>
        <w:rPr>
          <w:rStyle w:val="FootnoteReference"/>
          <w:rFonts w:ascii="Arial" w:hAnsi="Arial" w:cs="Arial"/>
          <w:color w:val="7B7B7B" w:themeColor="accent3" w:themeShade="BF"/>
          <w:sz w:val="22"/>
          <w:szCs w:val="22"/>
          <w:lang w:val="en-GB"/>
        </w:rPr>
        <w:footnoteReference w:id="15"/>
      </w:r>
      <w:r w:rsidR="002C410B">
        <w:rPr>
          <w:rFonts w:ascii="Arial" w:hAnsi="Arial" w:cs="Arial"/>
          <w:color w:val="7B7B7B" w:themeColor="accent3" w:themeShade="BF"/>
          <w:sz w:val="22"/>
          <w:szCs w:val="22"/>
          <w:lang w:val="en-GB"/>
        </w:rPr>
        <w:t>.</w:t>
      </w:r>
    </w:p>
    <w:p w14:paraId="4CFEF6DE" w14:textId="77777777" w:rsidR="00532279" w:rsidRDefault="00532279" w:rsidP="004064DC">
      <w:pPr>
        <w:jc w:val="both"/>
        <w:rPr>
          <w:rFonts w:ascii="Arial" w:hAnsi="Arial" w:cs="Arial"/>
          <w:color w:val="7B7B7B" w:themeColor="accent3" w:themeShade="BF"/>
          <w:sz w:val="22"/>
          <w:szCs w:val="22"/>
          <w:lang w:val="en-GB"/>
        </w:rPr>
      </w:pPr>
    </w:p>
    <w:p w14:paraId="0F94D86B" w14:textId="2AE65720" w:rsidR="00136062" w:rsidRDefault="00532279" w:rsidP="004064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w:t>
      </w:r>
      <w:r w:rsidR="008C29F4">
        <w:rPr>
          <w:rFonts w:ascii="Arial" w:hAnsi="Arial" w:cs="Arial"/>
          <w:color w:val="7B7B7B" w:themeColor="accent3" w:themeShade="BF"/>
          <w:sz w:val="22"/>
          <w:szCs w:val="22"/>
          <w:lang w:val="en-GB"/>
        </w:rPr>
        <w:t xml:space="preserve"> States may have a single piece of legislation, which </w:t>
      </w:r>
      <w:r w:rsidR="00CD1732">
        <w:rPr>
          <w:rFonts w:ascii="Arial" w:hAnsi="Arial" w:cs="Arial"/>
          <w:color w:val="7B7B7B" w:themeColor="accent3" w:themeShade="BF"/>
          <w:sz w:val="22"/>
          <w:szCs w:val="22"/>
          <w:lang w:val="en-GB"/>
        </w:rPr>
        <w:t>is the sole source of</w:t>
      </w:r>
      <w:r w:rsidR="008C29F4">
        <w:rPr>
          <w:rFonts w:ascii="Arial" w:hAnsi="Arial" w:cs="Arial"/>
          <w:color w:val="7B7B7B" w:themeColor="accent3" w:themeShade="BF"/>
          <w:sz w:val="22"/>
          <w:szCs w:val="22"/>
          <w:lang w:val="en-GB"/>
        </w:rPr>
        <w:t xml:space="preserve"> insolvency</w:t>
      </w:r>
      <w:r w:rsidR="00CD1732">
        <w:rPr>
          <w:rFonts w:ascii="Arial" w:hAnsi="Arial" w:cs="Arial"/>
          <w:color w:val="7B7B7B" w:themeColor="accent3" w:themeShade="BF"/>
          <w:sz w:val="22"/>
          <w:szCs w:val="22"/>
          <w:lang w:val="en-GB"/>
        </w:rPr>
        <w:t xml:space="preserve"> law</w:t>
      </w:r>
      <w:r w:rsidR="008C29F4">
        <w:rPr>
          <w:rFonts w:ascii="Arial" w:hAnsi="Arial" w:cs="Arial"/>
          <w:color w:val="7B7B7B" w:themeColor="accent3" w:themeShade="BF"/>
          <w:sz w:val="22"/>
          <w:szCs w:val="22"/>
          <w:lang w:val="en-GB"/>
        </w:rPr>
        <w:t xml:space="preserve">. </w:t>
      </w:r>
      <w:r w:rsidR="00136062">
        <w:rPr>
          <w:rFonts w:ascii="Arial" w:hAnsi="Arial" w:cs="Arial"/>
          <w:color w:val="7B7B7B" w:themeColor="accent3" w:themeShade="BF"/>
          <w:sz w:val="22"/>
          <w:szCs w:val="22"/>
          <w:lang w:val="en-GB"/>
        </w:rPr>
        <w:t xml:space="preserve">The USA has a single unified Bankruptcy Code, which is federal legislation and as such, applies throughout the USA. </w:t>
      </w:r>
    </w:p>
    <w:p w14:paraId="61A92411" w14:textId="1EB66521" w:rsidR="00CD1732" w:rsidRDefault="00CD1732" w:rsidP="004064DC">
      <w:pPr>
        <w:jc w:val="both"/>
        <w:rPr>
          <w:rFonts w:ascii="Arial" w:hAnsi="Arial" w:cs="Arial"/>
          <w:color w:val="7B7B7B" w:themeColor="accent3" w:themeShade="BF"/>
          <w:sz w:val="22"/>
          <w:szCs w:val="22"/>
          <w:lang w:val="en-GB"/>
        </w:rPr>
      </w:pPr>
    </w:p>
    <w:p w14:paraId="56525843" w14:textId="6E821F19" w:rsidR="00CD1732" w:rsidRDefault="000D6C6B" w:rsidP="004064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common for States to have multiple pieces of legislation, which all deal with different aspects of insolvency. It is therefore often necessary to consider the different legislative provisions together, in order </w:t>
      </w:r>
      <w:r w:rsidR="008467A4">
        <w:rPr>
          <w:rFonts w:ascii="Arial" w:hAnsi="Arial" w:cs="Arial"/>
          <w:color w:val="7B7B7B" w:themeColor="accent3" w:themeShade="BF"/>
          <w:sz w:val="22"/>
          <w:szCs w:val="22"/>
          <w:lang w:val="en-GB"/>
        </w:rPr>
        <w:t>to understand the insolvency system of that State in full</w:t>
      </w:r>
      <w:r w:rsidR="008467A4">
        <w:rPr>
          <w:rStyle w:val="FootnoteReference"/>
          <w:rFonts w:ascii="Arial" w:hAnsi="Arial" w:cs="Arial"/>
          <w:color w:val="7B7B7B" w:themeColor="accent3" w:themeShade="BF"/>
          <w:sz w:val="22"/>
          <w:szCs w:val="22"/>
          <w:lang w:val="en-GB"/>
        </w:rPr>
        <w:footnoteReference w:id="16"/>
      </w:r>
      <w:r w:rsidR="008467A4">
        <w:rPr>
          <w:rFonts w:ascii="Arial" w:hAnsi="Arial" w:cs="Arial"/>
          <w:color w:val="7B7B7B" w:themeColor="accent3" w:themeShade="BF"/>
          <w:sz w:val="22"/>
          <w:szCs w:val="22"/>
          <w:lang w:val="en-GB"/>
        </w:rPr>
        <w:t xml:space="preserve">. An example of this is the BVI, where both the Insolvency Act 2003 and the Insolvency Rules 2005 need to be considered in tandem. </w:t>
      </w:r>
    </w:p>
    <w:p w14:paraId="345CBB69" w14:textId="18F908E3" w:rsidR="00532279" w:rsidRDefault="00532279" w:rsidP="004064DC">
      <w:pPr>
        <w:jc w:val="both"/>
        <w:rPr>
          <w:rFonts w:ascii="Arial" w:hAnsi="Arial" w:cs="Arial"/>
          <w:color w:val="7B7B7B" w:themeColor="accent3" w:themeShade="BF"/>
          <w:sz w:val="22"/>
          <w:szCs w:val="22"/>
          <w:lang w:val="en-GB"/>
        </w:rPr>
      </w:pPr>
    </w:p>
    <w:p w14:paraId="24D69F91" w14:textId="79DEE8ED" w:rsidR="00532279" w:rsidRDefault="00847A85" w:rsidP="004064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final category of legislation and, in the case of common law jurisdictions, authorities, which may be a source of provisions that can affect the application of insolvency law. These are rules, legislation and authority relating to the vesting of real rights such as ownership or real security. </w:t>
      </w:r>
      <w:r w:rsidR="00414265">
        <w:rPr>
          <w:rFonts w:ascii="Arial" w:hAnsi="Arial" w:cs="Arial"/>
          <w:color w:val="7B7B7B" w:themeColor="accent3" w:themeShade="BF"/>
          <w:sz w:val="22"/>
          <w:szCs w:val="22"/>
          <w:lang w:val="en-GB"/>
        </w:rPr>
        <w:t>Whilst such provisions are not generally contained within insolvency statute, they can obviously affect the way insolvency law is applied</w:t>
      </w:r>
      <w:r w:rsidR="00414265">
        <w:rPr>
          <w:rStyle w:val="FootnoteReference"/>
          <w:rFonts w:ascii="Arial" w:hAnsi="Arial" w:cs="Arial"/>
          <w:color w:val="7B7B7B" w:themeColor="accent3" w:themeShade="BF"/>
          <w:sz w:val="22"/>
          <w:szCs w:val="22"/>
          <w:lang w:val="en-GB"/>
        </w:rPr>
        <w:footnoteReference w:id="17"/>
      </w:r>
      <w:r w:rsidR="00414265">
        <w:rPr>
          <w:rFonts w:ascii="Arial" w:hAnsi="Arial" w:cs="Arial"/>
          <w:color w:val="7B7B7B" w:themeColor="accent3" w:themeShade="BF"/>
          <w:sz w:val="22"/>
          <w:szCs w:val="22"/>
          <w:lang w:val="en-GB"/>
        </w:rPr>
        <w:t>.</w:t>
      </w:r>
    </w:p>
    <w:p w14:paraId="0064CF21" w14:textId="77777777" w:rsidR="00532279" w:rsidRPr="00136062" w:rsidRDefault="00532279" w:rsidP="004064DC">
      <w:pPr>
        <w:jc w:val="both"/>
        <w:rPr>
          <w:rFonts w:ascii="Arial" w:hAnsi="Arial" w:cs="Arial"/>
          <w:color w:val="7B7B7B" w:themeColor="accent3" w:themeShade="BF"/>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2197D913" w:rsidR="00DF75F8" w:rsidRDefault="00BE5B8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Fletcher asks the following three questions: </w:t>
      </w:r>
    </w:p>
    <w:p w14:paraId="596F795B" w14:textId="468DDCCF" w:rsidR="00BE5B8C" w:rsidRDefault="00BE5B8C" w:rsidP="00BE5B8C">
      <w:pPr>
        <w:pStyle w:val="ListParagraph"/>
        <w:numPr>
          <w:ilvl w:val="0"/>
          <w:numId w:val="20"/>
        </w:numPr>
        <w:jc w:val="both"/>
        <w:rPr>
          <w:rFonts w:ascii="Arial" w:hAnsi="Arial" w:cs="Arial"/>
          <w:color w:val="7B7B7B" w:themeColor="accent3" w:themeShade="BF"/>
          <w:sz w:val="22"/>
          <w:szCs w:val="22"/>
          <w:lang w:val="en-GB"/>
        </w:rPr>
      </w:pPr>
      <w:r w:rsidRPr="00BE5B8C">
        <w:rPr>
          <w:rFonts w:ascii="Arial" w:hAnsi="Arial" w:cs="Arial"/>
          <w:color w:val="7B7B7B" w:themeColor="accent3" w:themeShade="BF"/>
          <w:sz w:val="22"/>
          <w:szCs w:val="22"/>
          <w:lang w:val="en-GB"/>
        </w:rPr>
        <w:t xml:space="preserve">In which </w:t>
      </w:r>
      <w:r w:rsidR="00DF1FD4">
        <w:rPr>
          <w:rFonts w:ascii="Arial" w:hAnsi="Arial" w:cs="Arial"/>
          <w:color w:val="7B7B7B" w:themeColor="accent3" w:themeShade="BF"/>
          <w:sz w:val="22"/>
          <w:szCs w:val="22"/>
          <w:lang w:val="en-GB"/>
        </w:rPr>
        <w:t xml:space="preserve">jurisdictions may insolvency proceedings be opened? </w:t>
      </w:r>
    </w:p>
    <w:p w14:paraId="37C77F1C" w14:textId="4744E842" w:rsidR="00DF1FD4" w:rsidRDefault="00DF1FD4" w:rsidP="00DF1FD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w:t>
      </w:r>
      <w:r w:rsidR="00C01075">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y's law should be applied in respect of different aspects of the case? </w:t>
      </w:r>
    </w:p>
    <w:p w14:paraId="60F2B38E" w14:textId="1D1E834E" w:rsidR="00DF1FD4" w:rsidRDefault="00DF1FD4" w:rsidP="00DF1FD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r w:rsidR="00162DCA">
        <w:rPr>
          <w:rFonts w:ascii="Arial" w:hAnsi="Arial" w:cs="Arial"/>
          <w:color w:val="7B7B7B" w:themeColor="accent3" w:themeShade="BF"/>
          <w:sz w:val="22"/>
          <w:szCs w:val="22"/>
          <w:lang w:val="en-GB"/>
        </w:rPr>
        <w:t>)?</w:t>
      </w:r>
      <w:r w:rsidR="00162DCA">
        <w:rPr>
          <w:rStyle w:val="FootnoteReference"/>
          <w:rFonts w:ascii="Arial" w:hAnsi="Arial" w:cs="Arial"/>
          <w:color w:val="7B7B7B" w:themeColor="accent3" w:themeShade="BF"/>
          <w:sz w:val="22"/>
          <w:szCs w:val="22"/>
          <w:lang w:val="en-GB"/>
        </w:rPr>
        <w:footnoteReference w:id="18"/>
      </w:r>
    </w:p>
    <w:p w14:paraId="369FFAAA" w14:textId="77777777" w:rsidR="007A3B36" w:rsidRDefault="007A3B36" w:rsidP="007A3B36">
      <w:pPr>
        <w:pStyle w:val="ListParagraph"/>
        <w:ind w:left="1080"/>
        <w:jc w:val="both"/>
        <w:rPr>
          <w:rFonts w:ascii="Arial" w:hAnsi="Arial" w:cs="Arial"/>
          <w:color w:val="7B7B7B" w:themeColor="accent3" w:themeShade="BF"/>
          <w:sz w:val="22"/>
          <w:szCs w:val="22"/>
          <w:lang w:val="en-GB"/>
        </w:rPr>
      </w:pPr>
    </w:p>
    <w:p w14:paraId="50C20827" w14:textId="35311440" w:rsidR="00FC4E5D" w:rsidRDefault="00875E11" w:rsidP="00FC4E5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question of jurisdiction is highly relevant to insolvency proceedings, as it is often determinative of the applicable law, and therefore the manner in which the insolvency proceedings can be pursued and managed. A would be claimant</w:t>
      </w:r>
      <w:r w:rsidR="007E3FF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would be wise to consider jurisdiction carefully before issuing proceedings</w:t>
      </w:r>
      <w:r w:rsidR="00DA5687">
        <w:rPr>
          <w:rFonts w:ascii="Arial" w:hAnsi="Arial" w:cs="Arial"/>
          <w:color w:val="7B7B7B" w:themeColor="accent3" w:themeShade="BF"/>
          <w:sz w:val="22"/>
          <w:szCs w:val="22"/>
          <w:lang w:val="en-GB"/>
        </w:rPr>
        <w:t xml:space="preserve"> in any given State</w:t>
      </w:r>
      <w:r w:rsidR="007E3FF9">
        <w:rPr>
          <w:rFonts w:ascii="Arial" w:hAnsi="Arial" w:cs="Arial"/>
          <w:color w:val="7B7B7B" w:themeColor="accent3" w:themeShade="BF"/>
          <w:sz w:val="22"/>
          <w:szCs w:val="22"/>
          <w:lang w:val="en-GB"/>
        </w:rPr>
        <w:t>. Key consideration</w:t>
      </w:r>
      <w:r w:rsidR="00B0192E">
        <w:rPr>
          <w:rFonts w:ascii="Arial" w:hAnsi="Arial" w:cs="Arial"/>
          <w:color w:val="7B7B7B" w:themeColor="accent3" w:themeShade="BF"/>
          <w:sz w:val="22"/>
          <w:szCs w:val="22"/>
          <w:lang w:val="en-GB"/>
        </w:rPr>
        <w:t>s</w:t>
      </w:r>
      <w:r w:rsidR="007E3FF9">
        <w:rPr>
          <w:rFonts w:ascii="Arial" w:hAnsi="Arial" w:cs="Arial"/>
          <w:color w:val="7B7B7B" w:themeColor="accent3" w:themeShade="BF"/>
          <w:sz w:val="22"/>
          <w:szCs w:val="22"/>
          <w:lang w:val="en-GB"/>
        </w:rPr>
        <w:t xml:space="preserve"> are</w:t>
      </w:r>
      <w:r w:rsidR="00DA5687">
        <w:rPr>
          <w:rFonts w:ascii="Arial" w:hAnsi="Arial" w:cs="Arial"/>
          <w:color w:val="7B7B7B" w:themeColor="accent3" w:themeShade="BF"/>
          <w:sz w:val="22"/>
          <w:szCs w:val="22"/>
          <w:lang w:val="en-GB"/>
        </w:rPr>
        <w:t xml:space="preserve"> where the respondent is domi</w:t>
      </w:r>
      <w:r w:rsidR="007E3FF9">
        <w:rPr>
          <w:rFonts w:ascii="Arial" w:hAnsi="Arial" w:cs="Arial"/>
          <w:color w:val="7B7B7B" w:themeColor="accent3" w:themeShade="BF"/>
          <w:sz w:val="22"/>
          <w:szCs w:val="22"/>
          <w:lang w:val="en-GB"/>
        </w:rPr>
        <w:t>ciled, and</w:t>
      </w:r>
      <w:r w:rsidR="00DA5687">
        <w:rPr>
          <w:rFonts w:ascii="Arial" w:hAnsi="Arial" w:cs="Arial"/>
          <w:color w:val="7B7B7B" w:themeColor="accent3" w:themeShade="BF"/>
          <w:sz w:val="22"/>
          <w:szCs w:val="22"/>
          <w:lang w:val="en-GB"/>
        </w:rPr>
        <w:t xml:space="preserve"> where most of the respondent's assets are located. </w:t>
      </w:r>
    </w:p>
    <w:p w14:paraId="57B51D57" w14:textId="202F7DB4" w:rsidR="00DA5687" w:rsidRDefault="00DA5687" w:rsidP="00FC4E5D">
      <w:pPr>
        <w:jc w:val="both"/>
        <w:rPr>
          <w:rFonts w:ascii="Arial" w:hAnsi="Arial" w:cs="Arial"/>
          <w:color w:val="7B7B7B" w:themeColor="accent3" w:themeShade="BF"/>
          <w:sz w:val="22"/>
          <w:szCs w:val="22"/>
          <w:lang w:val="en-GB"/>
        </w:rPr>
      </w:pPr>
    </w:p>
    <w:p w14:paraId="03E771CF" w14:textId="004FDFB8" w:rsidR="00BE1602" w:rsidRDefault="00DA5687" w:rsidP="00FC4E5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Multiple insolvency proceedings could be opened in more than one State. Each State would then apply its own laws in respect of </w:t>
      </w:r>
      <w:r w:rsidR="00C01075">
        <w:rPr>
          <w:rFonts w:ascii="Arial" w:hAnsi="Arial" w:cs="Arial"/>
          <w:color w:val="7B7B7B" w:themeColor="accent3" w:themeShade="BF"/>
          <w:sz w:val="22"/>
          <w:szCs w:val="22"/>
          <w:lang w:val="en-GB"/>
        </w:rPr>
        <w:t>in respect of proceedings issued therein, and little to no extra-territorial effects would be granted to foreign proceedings. This presents problems when trying to encourage cooperation and coordination between different States</w:t>
      </w:r>
      <w:r w:rsidR="007A3B36">
        <w:rPr>
          <w:rStyle w:val="FootnoteReference"/>
          <w:rFonts w:ascii="Arial" w:hAnsi="Arial" w:cs="Arial"/>
          <w:color w:val="7B7B7B" w:themeColor="accent3" w:themeShade="BF"/>
          <w:sz w:val="22"/>
          <w:szCs w:val="22"/>
          <w:lang w:val="en-GB"/>
        </w:rPr>
        <w:footnoteReference w:id="19"/>
      </w:r>
      <w:r w:rsidR="00D221E5">
        <w:rPr>
          <w:rFonts w:ascii="Arial" w:hAnsi="Arial" w:cs="Arial"/>
          <w:color w:val="7B7B7B" w:themeColor="accent3" w:themeShade="BF"/>
          <w:sz w:val="22"/>
          <w:szCs w:val="22"/>
          <w:lang w:val="en-GB"/>
        </w:rPr>
        <w:t>, especially where multiple proceedings have been issued by a</w:t>
      </w:r>
      <w:r w:rsidR="00BE1602">
        <w:rPr>
          <w:rFonts w:ascii="Arial" w:hAnsi="Arial" w:cs="Arial"/>
          <w:color w:val="7B7B7B" w:themeColor="accent3" w:themeShade="BF"/>
          <w:sz w:val="22"/>
          <w:szCs w:val="22"/>
          <w:lang w:val="en-GB"/>
        </w:rPr>
        <w:t xml:space="preserve"> single</w:t>
      </w:r>
      <w:r w:rsidR="00D221E5">
        <w:rPr>
          <w:rFonts w:ascii="Arial" w:hAnsi="Arial" w:cs="Arial"/>
          <w:color w:val="7B7B7B" w:themeColor="accent3" w:themeShade="BF"/>
          <w:sz w:val="22"/>
          <w:szCs w:val="22"/>
          <w:lang w:val="en-GB"/>
        </w:rPr>
        <w:t xml:space="preserve"> claimant creditor </w:t>
      </w:r>
      <w:r w:rsidR="00BE1602">
        <w:rPr>
          <w:rFonts w:ascii="Arial" w:hAnsi="Arial" w:cs="Arial"/>
          <w:color w:val="7B7B7B" w:themeColor="accent3" w:themeShade="BF"/>
          <w:sz w:val="22"/>
          <w:szCs w:val="22"/>
          <w:lang w:val="en-GB"/>
        </w:rPr>
        <w:t xml:space="preserve">or group of creditors, </w:t>
      </w:r>
      <w:r w:rsidR="00D221E5">
        <w:rPr>
          <w:rFonts w:ascii="Arial" w:hAnsi="Arial" w:cs="Arial"/>
          <w:color w:val="7B7B7B" w:themeColor="accent3" w:themeShade="BF"/>
          <w:sz w:val="22"/>
          <w:szCs w:val="22"/>
          <w:lang w:val="en-GB"/>
        </w:rPr>
        <w:t xml:space="preserve">whose aim is to recover funds from a </w:t>
      </w:r>
      <w:r w:rsidR="00BE1602">
        <w:rPr>
          <w:rFonts w:ascii="Arial" w:hAnsi="Arial" w:cs="Arial"/>
          <w:color w:val="7B7B7B" w:themeColor="accent3" w:themeShade="BF"/>
          <w:sz w:val="22"/>
          <w:szCs w:val="22"/>
          <w:lang w:val="en-GB"/>
        </w:rPr>
        <w:t xml:space="preserve">single </w:t>
      </w:r>
      <w:r w:rsidR="00D221E5">
        <w:rPr>
          <w:rFonts w:ascii="Arial" w:hAnsi="Arial" w:cs="Arial"/>
          <w:color w:val="7B7B7B" w:themeColor="accent3" w:themeShade="BF"/>
          <w:sz w:val="22"/>
          <w:szCs w:val="22"/>
          <w:lang w:val="en-GB"/>
        </w:rPr>
        <w:t>debtor who is headquartered in one State, and has assets in other</w:t>
      </w:r>
      <w:r w:rsidR="00C01075">
        <w:rPr>
          <w:rFonts w:ascii="Arial" w:hAnsi="Arial" w:cs="Arial"/>
          <w:color w:val="7B7B7B" w:themeColor="accent3" w:themeShade="BF"/>
          <w:sz w:val="22"/>
          <w:szCs w:val="22"/>
          <w:lang w:val="en-GB"/>
        </w:rPr>
        <w:t>.</w:t>
      </w:r>
      <w:r w:rsidR="00D83C96">
        <w:rPr>
          <w:rFonts w:ascii="Arial" w:hAnsi="Arial" w:cs="Arial"/>
          <w:color w:val="7B7B7B" w:themeColor="accent3" w:themeShade="BF"/>
          <w:sz w:val="22"/>
          <w:szCs w:val="22"/>
          <w:lang w:val="en-GB"/>
        </w:rPr>
        <w:t xml:space="preserve"> Therefore, the question of what country's law should be applied to different </w:t>
      </w:r>
      <w:r w:rsidR="00D83C96">
        <w:rPr>
          <w:rFonts w:ascii="Arial" w:hAnsi="Arial" w:cs="Arial"/>
          <w:color w:val="7B7B7B" w:themeColor="accent3" w:themeShade="BF"/>
          <w:sz w:val="22"/>
          <w:szCs w:val="22"/>
          <w:lang w:val="en-GB"/>
        </w:rPr>
        <w:lastRenderedPageBreak/>
        <w:t xml:space="preserve">aspects of an insolvency proceeding should be </w:t>
      </w:r>
      <w:r w:rsidR="00B0192E">
        <w:rPr>
          <w:rFonts w:ascii="Arial" w:hAnsi="Arial" w:cs="Arial"/>
          <w:color w:val="7B7B7B" w:themeColor="accent3" w:themeShade="BF"/>
          <w:sz w:val="22"/>
          <w:szCs w:val="22"/>
          <w:lang w:val="en-GB"/>
        </w:rPr>
        <w:t xml:space="preserve">at the forefront of a prospective claimant's mind. </w:t>
      </w:r>
    </w:p>
    <w:p w14:paraId="5F15AC06" w14:textId="11FC5CFF" w:rsidR="007A3B36" w:rsidRDefault="007A3B36" w:rsidP="00FC4E5D">
      <w:pPr>
        <w:jc w:val="both"/>
        <w:rPr>
          <w:rFonts w:ascii="Arial" w:hAnsi="Arial" w:cs="Arial"/>
          <w:color w:val="7B7B7B" w:themeColor="accent3" w:themeShade="BF"/>
          <w:sz w:val="22"/>
          <w:szCs w:val="22"/>
          <w:lang w:val="en-GB"/>
        </w:rPr>
      </w:pPr>
    </w:p>
    <w:p w14:paraId="198867F3" w14:textId="287007C7" w:rsidR="007A3B36" w:rsidRPr="00FC4E5D" w:rsidRDefault="007C575C" w:rsidP="00FC4E5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Using the above example of a claimant creditor trying to recover its funds. </w:t>
      </w:r>
      <w:r w:rsidR="009D0C56">
        <w:rPr>
          <w:rFonts w:ascii="Arial" w:hAnsi="Arial" w:cs="Arial"/>
          <w:color w:val="7B7B7B" w:themeColor="accent3" w:themeShade="BF"/>
          <w:sz w:val="22"/>
          <w:szCs w:val="22"/>
          <w:lang w:val="en-GB"/>
        </w:rPr>
        <w:t xml:space="preserve">The creditor will want to know that a judgment obtained in State A, can be used to secure a debtors assets located in State B, so that the overall aim of recovering funds due to the creditor is achieved. </w:t>
      </w:r>
      <w:r w:rsidR="00936DA5">
        <w:rPr>
          <w:rFonts w:ascii="Arial" w:hAnsi="Arial" w:cs="Arial"/>
          <w:color w:val="7B7B7B" w:themeColor="accent3" w:themeShade="BF"/>
          <w:sz w:val="22"/>
          <w:szCs w:val="22"/>
          <w:lang w:val="en-GB"/>
        </w:rPr>
        <w:t xml:space="preserve">Thus, the question of </w:t>
      </w:r>
      <w:r w:rsidR="003C2C44">
        <w:rPr>
          <w:rFonts w:ascii="Arial" w:hAnsi="Arial" w:cs="Arial"/>
          <w:color w:val="7B7B7B" w:themeColor="accent3" w:themeShade="BF"/>
          <w:sz w:val="22"/>
          <w:szCs w:val="22"/>
          <w:lang w:val="en-GB"/>
        </w:rPr>
        <w:t>what international effects</w:t>
      </w:r>
      <w:r w:rsidR="00B0192E">
        <w:rPr>
          <w:rFonts w:ascii="Arial" w:hAnsi="Arial" w:cs="Arial"/>
          <w:color w:val="7B7B7B" w:themeColor="accent3" w:themeShade="BF"/>
          <w:sz w:val="22"/>
          <w:szCs w:val="22"/>
          <w:lang w:val="en-GB"/>
        </w:rPr>
        <w:t xml:space="preserve"> will be accorded to proceedings conducted in State A is another key element of an international insolvency strategy. </w:t>
      </w:r>
    </w:p>
    <w:p w14:paraId="4135BFDA" w14:textId="75112477" w:rsidR="00275182" w:rsidRDefault="00275182" w:rsidP="00275182">
      <w:pPr>
        <w:widowControl w:val="0"/>
        <w:ind w:left="720" w:hanging="720"/>
        <w:jc w:val="both"/>
        <w:rPr>
          <w:rFonts w:ascii="Arial" w:hAnsi="Arial" w:cs="Arial"/>
          <w:sz w:val="22"/>
          <w:szCs w:val="22"/>
          <w:shd w:val="clear" w:color="auto" w:fill="FFFFFF"/>
          <w:lang w:val="en-GB"/>
        </w:rPr>
      </w:pPr>
    </w:p>
    <w:p w14:paraId="2DB0D13B" w14:textId="77777777" w:rsidR="007E3FF9" w:rsidRPr="00205B31" w:rsidRDefault="007E3FF9" w:rsidP="00BE1602">
      <w:pPr>
        <w:widowControl w:val="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3AEFBA7" w14:textId="77777777" w:rsidR="0012521F" w:rsidRDefault="0012521F" w:rsidP="0012521F">
      <w:pPr>
        <w:jc w:val="both"/>
        <w:rPr>
          <w:rFonts w:ascii="Arial" w:hAnsi="Arial" w:cs="Arial"/>
          <w:color w:val="7B7B7B" w:themeColor="accent3" w:themeShade="BF"/>
          <w:sz w:val="22"/>
          <w:szCs w:val="22"/>
          <w:lang w:val="en-GB"/>
        </w:rPr>
      </w:pPr>
    </w:p>
    <w:p w14:paraId="137298F7" w14:textId="67269FE4" w:rsidR="006C3D9F" w:rsidRDefault="0012521F" w:rsidP="00790B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"seat" of Maxwell Communications Corporation ("MCC")'s business was London, from where the business was managed. However, most of MCC's assets were located in the USA</w:t>
      </w:r>
      <w:r>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 xml:space="preserve">.  </w:t>
      </w:r>
      <w:r w:rsidR="006C3D9F">
        <w:rPr>
          <w:rFonts w:ascii="Arial" w:hAnsi="Arial" w:cs="Arial"/>
          <w:color w:val="7B7B7B" w:themeColor="accent3" w:themeShade="BF"/>
          <w:sz w:val="22"/>
          <w:szCs w:val="22"/>
          <w:lang w:val="en-GB"/>
        </w:rPr>
        <w:t xml:space="preserve">MCC was therefore a large multinational corporation, which became insolvent. </w:t>
      </w:r>
      <w:r w:rsidR="007D6B2A">
        <w:rPr>
          <w:rFonts w:ascii="Arial" w:hAnsi="Arial" w:cs="Arial"/>
          <w:color w:val="7B7B7B" w:themeColor="accent3" w:themeShade="BF"/>
          <w:sz w:val="22"/>
          <w:szCs w:val="22"/>
          <w:lang w:val="en-GB"/>
        </w:rPr>
        <w:t xml:space="preserve">As a result of this corporate structure, proceedings </w:t>
      </w:r>
      <w:r w:rsidR="006C3D9F">
        <w:rPr>
          <w:rFonts w:ascii="Arial" w:hAnsi="Arial" w:cs="Arial"/>
          <w:color w:val="7B7B7B" w:themeColor="accent3" w:themeShade="BF"/>
          <w:sz w:val="22"/>
          <w:szCs w:val="22"/>
          <w:lang w:val="en-GB"/>
        </w:rPr>
        <w:t xml:space="preserve">were brought in the US and UK in relation to transactions entered into by MCC in the lead up to its insolvency. </w:t>
      </w:r>
      <w:r w:rsidR="00C74D6D" w:rsidRPr="00B973C6">
        <w:rPr>
          <w:rFonts w:ascii="Arial" w:hAnsi="Arial" w:cs="Arial"/>
          <w:color w:val="7B7B7B" w:themeColor="accent3" w:themeShade="BF"/>
          <w:sz w:val="22"/>
          <w:szCs w:val="22"/>
          <w:lang w:val="en-GB"/>
        </w:rPr>
        <w:t xml:space="preserve">The cross-border insolvency proceedings </w:t>
      </w:r>
      <w:r w:rsidR="006C09F1">
        <w:rPr>
          <w:rFonts w:ascii="Arial" w:hAnsi="Arial" w:cs="Arial"/>
          <w:color w:val="7B7B7B" w:themeColor="accent3" w:themeShade="BF"/>
          <w:sz w:val="22"/>
          <w:szCs w:val="22"/>
          <w:lang w:val="en-GB"/>
        </w:rPr>
        <w:t>saw</w:t>
      </w:r>
      <w:r w:rsidR="00C74D6D" w:rsidRPr="00B973C6">
        <w:rPr>
          <w:rFonts w:ascii="Arial" w:hAnsi="Arial" w:cs="Arial"/>
          <w:color w:val="7B7B7B" w:themeColor="accent3" w:themeShade="BF"/>
          <w:sz w:val="22"/>
          <w:szCs w:val="22"/>
          <w:lang w:val="en-GB"/>
        </w:rPr>
        <w:t xml:space="preserve"> Chapter 11 proceedings brought in the USA and administration proceedings brought in the UK</w:t>
      </w:r>
      <w:r w:rsidR="006C3D9F">
        <w:rPr>
          <w:rStyle w:val="FootnoteReference"/>
          <w:rFonts w:ascii="Arial" w:hAnsi="Arial" w:cs="Arial"/>
          <w:color w:val="7B7B7B" w:themeColor="accent3" w:themeShade="BF"/>
          <w:sz w:val="22"/>
          <w:szCs w:val="22"/>
          <w:lang w:val="en-GB"/>
        </w:rPr>
        <w:footnoteReference w:id="21"/>
      </w:r>
      <w:r w:rsidR="00C74D6D" w:rsidRPr="00B973C6">
        <w:rPr>
          <w:rFonts w:ascii="Arial" w:hAnsi="Arial" w:cs="Arial"/>
          <w:color w:val="7B7B7B" w:themeColor="accent3" w:themeShade="BF"/>
          <w:sz w:val="22"/>
          <w:szCs w:val="22"/>
          <w:lang w:val="en-GB"/>
        </w:rPr>
        <w:t xml:space="preserve">. </w:t>
      </w:r>
    </w:p>
    <w:p w14:paraId="0F40525F" w14:textId="77777777" w:rsidR="006C3D9F" w:rsidRDefault="006C3D9F" w:rsidP="00790B28">
      <w:pPr>
        <w:jc w:val="both"/>
        <w:rPr>
          <w:rFonts w:ascii="Arial" w:hAnsi="Arial" w:cs="Arial"/>
          <w:color w:val="7B7B7B" w:themeColor="accent3" w:themeShade="BF"/>
          <w:sz w:val="22"/>
          <w:szCs w:val="22"/>
          <w:lang w:val="en-GB"/>
        </w:rPr>
      </w:pPr>
    </w:p>
    <w:p w14:paraId="7419121D" w14:textId="12CE4BD8" w:rsidR="00790B28" w:rsidRDefault="00C44B1D" w:rsidP="00790B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courts needed to decide what country's law would apply</w:t>
      </w:r>
      <w:r w:rsidR="00790B28">
        <w:rPr>
          <w:rFonts w:ascii="Arial" w:hAnsi="Arial" w:cs="Arial"/>
          <w:color w:val="7B7B7B" w:themeColor="accent3" w:themeShade="BF"/>
          <w:sz w:val="22"/>
          <w:szCs w:val="22"/>
          <w:lang w:val="en-GB"/>
        </w:rPr>
        <w:t xml:space="preserve"> to the transactions. The judges in </w:t>
      </w:r>
      <w:r w:rsidR="00790B28" w:rsidRPr="00542B4D">
        <w:rPr>
          <w:rFonts w:ascii="Arial" w:hAnsi="Arial" w:cs="Arial"/>
          <w:i/>
          <w:color w:val="7B7B7B" w:themeColor="accent3" w:themeShade="BF"/>
          <w:sz w:val="22"/>
          <w:szCs w:val="22"/>
          <w:lang w:val="en-GB"/>
        </w:rPr>
        <w:t xml:space="preserve">Maxwell </w:t>
      </w:r>
      <w:r w:rsidR="00790B28">
        <w:rPr>
          <w:rFonts w:ascii="Arial" w:hAnsi="Arial" w:cs="Arial"/>
          <w:color w:val="7B7B7B" w:themeColor="accent3" w:themeShade="BF"/>
          <w:sz w:val="22"/>
          <w:szCs w:val="22"/>
          <w:lang w:val="en-GB"/>
        </w:rPr>
        <w:t>recognised that in most avoidance cases, there would be important elements of the challenged transaction taking place in more than one country and, therefore, no legal mechanism could avoid the need for a "choice of law" analysis</w:t>
      </w:r>
      <w:r w:rsidR="00790B28">
        <w:rPr>
          <w:rStyle w:val="FootnoteReference"/>
          <w:rFonts w:ascii="Arial" w:hAnsi="Arial" w:cs="Arial"/>
          <w:color w:val="7B7B7B" w:themeColor="accent3" w:themeShade="BF"/>
          <w:sz w:val="22"/>
          <w:szCs w:val="22"/>
          <w:lang w:val="en-GB"/>
        </w:rPr>
        <w:footnoteReference w:id="22"/>
      </w:r>
    </w:p>
    <w:p w14:paraId="3C9BF126" w14:textId="77777777" w:rsidR="00790B28" w:rsidRDefault="00790B28" w:rsidP="00790B28">
      <w:pPr>
        <w:jc w:val="both"/>
        <w:rPr>
          <w:rFonts w:ascii="Arial" w:hAnsi="Arial" w:cs="Arial"/>
          <w:color w:val="7B7B7B" w:themeColor="accent3" w:themeShade="BF"/>
          <w:sz w:val="22"/>
          <w:szCs w:val="22"/>
          <w:lang w:val="en-GB"/>
        </w:rPr>
      </w:pPr>
    </w:p>
    <w:p w14:paraId="42BC7CC2" w14:textId="0ED6E0BE" w:rsidR="00B70A06" w:rsidRDefault="00B973C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sets of proceedings were coordinated through an "Order and Protocol" </w:t>
      </w:r>
      <w:r w:rsidR="00041277">
        <w:rPr>
          <w:rFonts w:ascii="Arial" w:hAnsi="Arial" w:cs="Arial"/>
          <w:color w:val="7B7B7B" w:themeColor="accent3" w:themeShade="BF"/>
          <w:sz w:val="22"/>
          <w:szCs w:val="22"/>
          <w:lang w:val="en-GB"/>
        </w:rPr>
        <w:t xml:space="preserve">agreement </w:t>
      </w:r>
      <w:r>
        <w:rPr>
          <w:rFonts w:ascii="Arial" w:hAnsi="Arial" w:cs="Arial"/>
          <w:color w:val="7B7B7B" w:themeColor="accent3" w:themeShade="BF"/>
          <w:sz w:val="22"/>
          <w:szCs w:val="22"/>
          <w:lang w:val="en-GB"/>
        </w:rPr>
        <w:t xml:space="preserve">approved by the courts in </w:t>
      </w:r>
      <w:r w:rsidR="00790B28">
        <w:rPr>
          <w:rFonts w:ascii="Arial" w:hAnsi="Arial" w:cs="Arial"/>
          <w:color w:val="7B7B7B" w:themeColor="accent3" w:themeShade="BF"/>
          <w:sz w:val="22"/>
          <w:szCs w:val="22"/>
          <w:lang w:val="en-GB"/>
        </w:rPr>
        <w:t>the UK and US</w:t>
      </w:r>
      <w:r>
        <w:rPr>
          <w:rStyle w:val="FootnoteReference"/>
          <w:rFonts w:ascii="Arial" w:hAnsi="Arial" w:cs="Arial"/>
          <w:color w:val="7B7B7B" w:themeColor="accent3" w:themeShade="BF"/>
          <w:sz w:val="22"/>
          <w:szCs w:val="22"/>
          <w:lang w:val="en-GB"/>
        </w:rPr>
        <w:footnoteReference w:id="23"/>
      </w:r>
      <w:r w:rsidR="00B70A06">
        <w:rPr>
          <w:rFonts w:ascii="Arial" w:hAnsi="Arial" w:cs="Arial"/>
          <w:color w:val="7B7B7B" w:themeColor="accent3" w:themeShade="BF"/>
          <w:sz w:val="22"/>
          <w:szCs w:val="22"/>
          <w:lang w:val="en-GB"/>
        </w:rPr>
        <w:t>.</w:t>
      </w:r>
      <w:r w:rsidR="00041277">
        <w:rPr>
          <w:rFonts w:ascii="Arial" w:hAnsi="Arial" w:cs="Arial"/>
          <w:color w:val="7B7B7B" w:themeColor="accent3" w:themeShade="BF"/>
          <w:sz w:val="22"/>
          <w:szCs w:val="22"/>
          <w:lang w:val="en-GB"/>
        </w:rPr>
        <w:t>The aim of the agreement was to maximise the value of the estate and to harmonise the proceedings in order to minimise expenses, waste and jurisdictional conflict</w:t>
      </w:r>
      <w:r w:rsidR="00041277">
        <w:rPr>
          <w:rStyle w:val="FootnoteReference"/>
          <w:rFonts w:ascii="Arial" w:hAnsi="Arial" w:cs="Arial"/>
          <w:color w:val="7B7B7B" w:themeColor="accent3" w:themeShade="BF"/>
          <w:sz w:val="22"/>
          <w:szCs w:val="22"/>
          <w:lang w:val="en-GB"/>
        </w:rPr>
        <w:footnoteReference w:id="24"/>
      </w:r>
      <w:r w:rsidR="007D6B2A">
        <w:rPr>
          <w:rFonts w:ascii="Arial" w:hAnsi="Arial" w:cs="Arial"/>
          <w:color w:val="7B7B7B" w:themeColor="accent3" w:themeShade="BF"/>
          <w:sz w:val="22"/>
          <w:szCs w:val="22"/>
          <w:lang w:val="en-GB"/>
        </w:rPr>
        <w:t xml:space="preserve"> The US court appointed an examiner pursuant to the Chapter 11 proceedings, and ordered him to work alongside the UK administrators, in accordance with the "Order and Protocol" agreement. This was probably the first </w:t>
      </w:r>
      <w:r w:rsidR="00CE6AE1">
        <w:rPr>
          <w:rFonts w:ascii="Arial" w:hAnsi="Arial" w:cs="Arial"/>
          <w:color w:val="7B7B7B" w:themeColor="accent3" w:themeShade="BF"/>
          <w:sz w:val="22"/>
          <w:szCs w:val="22"/>
          <w:lang w:val="en-GB"/>
        </w:rPr>
        <w:t xml:space="preserve">successful world-wide plan of </w:t>
      </w:r>
      <w:r w:rsidR="00CE6AE1">
        <w:rPr>
          <w:rFonts w:ascii="Arial" w:hAnsi="Arial" w:cs="Arial"/>
          <w:color w:val="7B7B7B" w:themeColor="accent3" w:themeShade="BF"/>
          <w:sz w:val="22"/>
          <w:szCs w:val="22"/>
          <w:lang w:val="en-GB"/>
        </w:rPr>
        <w:lastRenderedPageBreak/>
        <w:t>coordinated liquidation, or at least the first reported decision in relation to the same</w:t>
      </w:r>
      <w:r w:rsidR="00CE6AE1">
        <w:rPr>
          <w:rStyle w:val="FootnoteReference"/>
          <w:rFonts w:ascii="Arial" w:hAnsi="Arial" w:cs="Arial"/>
          <w:color w:val="7B7B7B" w:themeColor="accent3" w:themeShade="BF"/>
          <w:sz w:val="22"/>
          <w:szCs w:val="22"/>
          <w:lang w:val="en-GB"/>
        </w:rPr>
        <w:footnoteReference w:id="25"/>
      </w:r>
      <w:r w:rsidR="00CE6AE1">
        <w:rPr>
          <w:rFonts w:ascii="Arial" w:hAnsi="Arial" w:cs="Arial"/>
          <w:color w:val="7B7B7B" w:themeColor="accent3" w:themeShade="BF"/>
          <w:sz w:val="22"/>
          <w:szCs w:val="22"/>
          <w:lang w:val="en-GB"/>
        </w:rPr>
        <w:t xml:space="preserve">. It predated the UNCITRAL Model Law on Cross-border Insolvency. </w:t>
      </w:r>
    </w:p>
    <w:p w14:paraId="62816FF1" w14:textId="2DE6A9E6"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8058C65" w14:textId="77777777" w:rsidR="008319E7" w:rsidRDefault="0032799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Recast (the "EIRR") would apply to an insolvency proceeding brought in the UK before 31 December 2020. There</w:t>
      </w:r>
      <w:r w:rsidR="00F512EC">
        <w:rPr>
          <w:rFonts w:ascii="Arial" w:hAnsi="Arial" w:cs="Arial"/>
          <w:color w:val="7B7B7B" w:themeColor="accent3" w:themeShade="BF"/>
          <w:sz w:val="22"/>
          <w:szCs w:val="22"/>
          <w:lang w:val="en-GB"/>
        </w:rPr>
        <w:t>fore,</w:t>
      </w:r>
      <w:r>
        <w:rPr>
          <w:rFonts w:ascii="Arial" w:hAnsi="Arial" w:cs="Arial"/>
          <w:color w:val="7B7B7B" w:themeColor="accent3" w:themeShade="BF"/>
          <w:sz w:val="22"/>
          <w:szCs w:val="22"/>
          <w:lang w:val="en-GB"/>
        </w:rPr>
        <w:t xml:space="preserve"> it applies to the above insolvency proceeding against Rydell, which was brought on 18 June 2020. </w:t>
      </w:r>
    </w:p>
    <w:p w14:paraId="0AED9131" w14:textId="77777777" w:rsidR="008319E7" w:rsidRDefault="008319E7" w:rsidP="00B7193E">
      <w:pPr>
        <w:jc w:val="both"/>
        <w:rPr>
          <w:rFonts w:ascii="Arial" w:hAnsi="Arial" w:cs="Arial"/>
          <w:color w:val="7B7B7B" w:themeColor="accent3" w:themeShade="BF"/>
          <w:sz w:val="22"/>
          <w:szCs w:val="22"/>
          <w:lang w:val="en-GB"/>
        </w:rPr>
      </w:pPr>
    </w:p>
    <w:p w14:paraId="35DE2E13" w14:textId="1C59118D" w:rsidR="0067588F" w:rsidRDefault="00D70A76" w:rsidP="00F45C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other proceedings </w:t>
      </w:r>
      <w:r w:rsidR="00966707">
        <w:rPr>
          <w:rFonts w:ascii="Arial" w:hAnsi="Arial" w:cs="Arial"/>
          <w:color w:val="7B7B7B" w:themeColor="accent3" w:themeShade="BF"/>
          <w:sz w:val="22"/>
          <w:szCs w:val="22"/>
          <w:lang w:val="en-GB"/>
        </w:rPr>
        <w:t xml:space="preserve">Fernz </w:t>
      </w:r>
      <w:r>
        <w:rPr>
          <w:rFonts w:ascii="Arial" w:hAnsi="Arial" w:cs="Arial"/>
          <w:color w:val="7B7B7B" w:themeColor="accent3" w:themeShade="BF"/>
          <w:sz w:val="22"/>
          <w:szCs w:val="22"/>
          <w:lang w:val="en-GB"/>
        </w:rPr>
        <w:t xml:space="preserve">is contemplating opening in another EU Member State, is intended to be brought pursuant to the EIRR, then those proceedings </w:t>
      </w:r>
      <w:r w:rsidR="00966707">
        <w:rPr>
          <w:rFonts w:ascii="Arial" w:hAnsi="Arial" w:cs="Arial"/>
          <w:color w:val="7B7B7B" w:themeColor="accent3" w:themeShade="BF"/>
          <w:sz w:val="22"/>
          <w:szCs w:val="22"/>
          <w:lang w:val="en-GB"/>
        </w:rPr>
        <w:t xml:space="preserve">can </w:t>
      </w:r>
      <w:r w:rsidR="00763693">
        <w:rPr>
          <w:rFonts w:ascii="Arial" w:hAnsi="Arial" w:cs="Arial"/>
          <w:color w:val="7B7B7B" w:themeColor="accent3" w:themeShade="BF"/>
          <w:sz w:val="22"/>
          <w:szCs w:val="22"/>
          <w:lang w:val="en-GB"/>
        </w:rPr>
        <w:t xml:space="preserve">probably </w:t>
      </w:r>
      <w:r w:rsidR="0067588F">
        <w:rPr>
          <w:rFonts w:ascii="Arial" w:hAnsi="Arial" w:cs="Arial"/>
          <w:color w:val="7B7B7B" w:themeColor="accent3" w:themeShade="BF"/>
          <w:sz w:val="22"/>
          <w:szCs w:val="22"/>
          <w:lang w:val="en-GB"/>
        </w:rPr>
        <w:t>be brought,</w:t>
      </w:r>
      <w:r w:rsidR="00763693">
        <w:rPr>
          <w:rFonts w:ascii="Arial" w:hAnsi="Arial" w:cs="Arial"/>
          <w:color w:val="7B7B7B" w:themeColor="accent3" w:themeShade="BF"/>
          <w:sz w:val="22"/>
          <w:szCs w:val="22"/>
          <w:lang w:val="en-GB"/>
        </w:rPr>
        <w:t xml:space="preserve"> if that Member State is any State apart from Denmark, which is excluded from the EIRR</w:t>
      </w:r>
      <w:r w:rsidR="0067588F">
        <w:rPr>
          <w:rFonts w:ascii="Arial" w:hAnsi="Arial" w:cs="Arial"/>
          <w:color w:val="7B7B7B" w:themeColor="accent3" w:themeShade="BF"/>
          <w:sz w:val="22"/>
          <w:szCs w:val="22"/>
          <w:lang w:val="en-GB"/>
        </w:rPr>
        <w:t xml:space="preserve"> and if the contemplated proceedings fall within one of the categories permitted under the EIRR</w:t>
      </w:r>
      <w:r w:rsidR="00220C33">
        <w:rPr>
          <w:rFonts w:ascii="Arial" w:hAnsi="Arial" w:cs="Arial"/>
          <w:color w:val="7B7B7B" w:themeColor="accent3" w:themeShade="BF"/>
          <w:sz w:val="22"/>
          <w:szCs w:val="22"/>
          <w:lang w:val="en-GB"/>
        </w:rPr>
        <w:t xml:space="preserve">. Namely, </w:t>
      </w:r>
      <w:r w:rsidR="001C6F7B">
        <w:rPr>
          <w:rFonts w:ascii="Arial" w:hAnsi="Arial" w:cs="Arial"/>
          <w:color w:val="7B7B7B" w:themeColor="accent3" w:themeShade="BF"/>
          <w:sz w:val="22"/>
          <w:szCs w:val="22"/>
          <w:lang w:val="en-GB"/>
        </w:rPr>
        <w:t>EIRR p</w:t>
      </w:r>
      <w:r w:rsidR="00F45C13">
        <w:rPr>
          <w:rFonts w:ascii="Arial" w:hAnsi="Arial" w:cs="Arial"/>
          <w:color w:val="7B7B7B" w:themeColor="accent3" w:themeShade="BF"/>
          <w:sz w:val="22"/>
          <w:szCs w:val="22"/>
          <w:lang w:val="en-GB"/>
        </w:rPr>
        <w:t>roceedings issued in another (eligible) Member State</w:t>
      </w:r>
      <w:r w:rsidR="00A5440C">
        <w:rPr>
          <w:rFonts w:ascii="Arial" w:hAnsi="Arial" w:cs="Arial"/>
          <w:color w:val="7B7B7B" w:themeColor="accent3" w:themeShade="BF"/>
          <w:sz w:val="22"/>
          <w:szCs w:val="22"/>
          <w:lang w:val="en-GB"/>
        </w:rPr>
        <w:t xml:space="preserve"> would in theory </w:t>
      </w:r>
      <w:r w:rsidR="00F45C13">
        <w:rPr>
          <w:rFonts w:ascii="Arial" w:hAnsi="Arial" w:cs="Arial"/>
          <w:color w:val="7B7B7B" w:themeColor="accent3" w:themeShade="BF"/>
          <w:sz w:val="22"/>
          <w:szCs w:val="22"/>
          <w:lang w:val="en-GB"/>
        </w:rPr>
        <w:t xml:space="preserve">be possible, </w:t>
      </w:r>
      <w:r w:rsidR="00A5440C">
        <w:rPr>
          <w:rFonts w:ascii="Arial" w:hAnsi="Arial" w:cs="Arial"/>
          <w:color w:val="7B7B7B" w:themeColor="accent3" w:themeShade="BF"/>
          <w:sz w:val="22"/>
          <w:szCs w:val="22"/>
          <w:lang w:val="en-GB"/>
        </w:rPr>
        <w:t xml:space="preserve">if they were winding up proceedings, or rescue or pre-insolvency proceedings. </w:t>
      </w:r>
    </w:p>
    <w:p w14:paraId="4A97AEE8" w14:textId="77777777" w:rsidR="0067588F" w:rsidRDefault="0067588F" w:rsidP="00F45C13">
      <w:pPr>
        <w:jc w:val="both"/>
        <w:rPr>
          <w:rFonts w:ascii="Arial" w:hAnsi="Arial" w:cs="Arial"/>
          <w:color w:val="7B7B7B" w:themeColor="accent3" w:themeShade="BF"/>
          <w:sz w:val="22"/>
          <w:szCs w:val="22"/>
          <w:lang w:val="en-GB"/>
        </w:rPr>
      </w:pPr>
    </w:p>
    <w:p w14:paraId="49877B8E" w14:textId="1B125BE9" w:rsidR="00F45C13" w:rsidRDefault="00220C33" w:rsidP="00F45C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issued, </w:t>
      </w:r>
      <w:r w:rsidR="00F45C13">
        <w:rPr>
          <w:rFonts w:ascii="Arial" w:hAnsi="Arial" w:cs="Arial"/>
          <w:color w:val="7B7B7B" w:themeColor="accent3" w:themeShade="BF"/>
          <w:sz w:val="22"/>
          <w:szCs w:val="22"/>
          <w:lang w:val="en-GB"/>
        </w:rPr>
        <w:t xml:space="preserve">those proceedings would </w:t>
      </w:r>
      <w:r w:rsidR="00A5440C">
        <w:rPr>
          <w:rFonts w:ascii="Arial" w:hAnsi="Arial" w:cs="Arial"/>
          <w:color w:val="7B7B7B" w:themeColor="accent3" w:themeShade="BF"/>
          <w:sz w:val="22"/>
          <w:szCs w:val="22"/>
          <w:lang w:val="en-GB"/>
        </w:rPr>
        <w:t xml:space="preserve">still </w:t>
      </w:r>
      <w:r w:rsidR="00F45C13">
        <w:rPr>
          <w:rFonts w:ascii="Arial" w:hAnsi="Arial" w:cs="Arial"/>
          <w:color w:val="7B7B7B" w:themeColor="accent3" w:themeShade="BF"/>
          <w:sz w:val="22"/>
          <w:szCs w:val="22"/>
          <w:lang w:val="en-GB"/>
        </w:rPr>
        <w:t>be secondary to the main insolvency proceeding in the UK, which is Rydell's COMI. This is because the concept of COMI is central to cross border insolvency in the EU and determines the jurisdiction in which main insolvency proceedings can be commenced pursuant to the EIRR</w:t>
      </w:r>
      <w:r>
        <w:rPr>
          <w:rStyle w:val="FootnoteReference"/>
          <w:rFonts w:ascii="Arial" w:hAnsi="Arial" w:cs="Arial"/>
          <w:color w:val="7B7B7B" w:themeColor="accent3" w:themeShade="BF"/>
          <w:sz w:val="22"/>
          <w:szCs w:val="22"/>
          <w:lang w:val="en-GB"/>
        </w:rPr>
        <w:footnoteReference w:id="26"/>
      </w:r>
      <w:r w:rsidR="00F45C13">
        <w:rPr>
          <w:rFonts w:ascii="Arial" w:hAnsi="Arial" w:cs="Arial"/>
          <w:color w:val="7B7B7B" w:themeColor="accent3" w:themeShade="BF"/>
          <w:sz w:val="22"/>
          <w:szCs w:val="22"/>
          <w:lang w:val="en-GB"/>
        </w:rPr>
        <w:t xml:space="preserve">. </w:t>
      </w:r>
    </w:p>
    <w:p w14:paraId="02C06827" w14:textId="77777777" w:rsidR="00F45C13" w:rsidRPr="00205B31" w:rsidRDefault="00F45C13" w:rsidP="00F45C13">
      <w:pPr>
        <w:jc w:val="both"/>
        <w:rPr>
          <w:rFonts w:ascii="Arial" w:hAnsi="Arial" w:cs="Arial"/>
          <w:sz w:val="22"/>
          <w:szCs w:val="22"/>
          <w:lang w:val="en-GB"/>
        </w:rPr>
      </w:pPr>
    </w:p>
    <w:p w14:paraId="49728458" w14:textId="080712DF" w:rsidR="00085154" w:rsidRDefault="008319E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Fernz would need to confirm </w:t>
      </w:r>
      <w:r w:rsidR="00351F7D">
        <w:rPr>
          <w:rFonts w:ascii="Arial" w:hAnsi="Arial" w:cs="Arial"/>
          <w:color w:val="7B7B7B" w:themeColor="accent3" w:themeShade="BF"/>
          <w:sz w:val="22"/>
          <w:szCs w:val="22"/>
          <w:lang w:val="en-GB"/>
        </w:rPr>
        <w:t>why it is</w:t>
      </w:r>
      <w:r>
        <w:rPr>
          <w:rFonts w:ascii="Arial" w:hAnsi="Arial" w:cs="Arial"/>
          <w:color w:val="7B7B7B" w:themeColor="accent3" w:themeShade="BF"/>
          <w:sz w:val="22"/>
          <w:szCs w:val="22"/>
          <w:lang w:val="en-GB"/>
        </w:rPr>
        <w:t xml:space="preserve"> bringing </w:t>
      </w:r>
      <w:r w:rsidR="00F45C13">
        <w:rPr>
          <w:rFonts w:ascii="Arial" w:hAnsi="Arial" w:cs="Arial"/>
          <w:color w:val="7B7B7B" w:themeColor="accent3" w:themeShade="BF"/>
          <w:sz w:val="22"/>
          <w:szCs w:val="22"/>
          <w:lang w:val="en-GB"/>
        </w:rPr>
        <w:t xml:space="preserve">secondary proceedings and the Member State in which it intends to issue those proceedings. </w:t>
      </w:r>
      <w:r w:rsidR="00A55D93">
        <w:rPr>
          <w:rFonts w:ascii="Arial" w:hAnsi="Arial" w:cs="Arial"/>
          <w:color w:val="7B7B7B" w:themeColor="accent3" w:themeShade="BF"/>
          <w:sz w:val="22"/>
          <w:szCs w:val="22"/>
          <w:lang w:val="en-GB"/>
        </w:rPr>
        <w:t>If the reason Fernz wants to bring secondary proceedings is because, for</w:t>
      </w:r>
      <w:r w:rsidR="00A55402">
        <w:rPr>
          <w:rFonts w:ascii="Arial" w:hAnsi="Arial" w:cs="Arial"/>
          <w:color w:val="7B7B7B" w:themeColor="accent3" w:themeShade="BF"/>
          <w:sz w:val="22"/>
          <w:szCs w:val="22"/>
          <w:lang w:val="en-GB"/>
        </w:rPr>
        <w:t xml:space="preserve"> example, Fernz is being supported in the main proceeding by a foreign creditor, there may be alternatives to bringing secondary proceedings, such as any office-holder appointed in the main proceedings giving an undertaking to </w:t>
      </w:r>
      <w:r w:rsidR="00D00207">
        <w:rPr>
          <w:rFonts w:ascii="Arial" w:hAnsi="Arial" w:cs="Arial"/>
          <w:color w:val="7B7B7B" w:themeColor="accent3" w:themeShade="BF"/>
          <w:sz w:val="22"/>
          <w:szCs w:val="22"/>
          <w:lang w:val="en-GB"/>
        </w:rPr>
        <w:t xml:space="preserve">treat any claims by </w:t>
      </w:r>
      <w:r w:rsidR="00D00207">
        <w:rPr>
          <w:rFonts w:ascii="Arial" w:hAnsi="Arial" w:cs="Arial"/>
          <w:color w:val="7B7B7B" w:themeColor="accent3" w:themeShade="BF"/>
          <w:sz w:val="22"/>
          <w:szCs w:val="22"/>
          <w:lang w:val="en-GB"/>
        </w:rPr>
        <w:lastRenderedPageBreak/>
        <w:t xml:space="preserve">the foreign creditor in the same way as they'd be treated in the secondary proceeding, in accordance with Article 36 of the EIRR. </w:t>
      </w:r>
      <w:r w:rsidR="00784D46">
        <w:rPr>
          <w:rFonts w:ascii="Arial" w:hAnsi="Arial" w:cs="Arial"/>
          <w:color w:val="7B7B7B" w:themeColor="accent3" w:themeShade="BF"/>
          <w:sz w:val="22"/>
          <w:szCs w:val="22"/>
          <w:lang w:val="en-GB"/>
        </w:rPr>
        <w:t>Again, in theory, such secondary proceedings would not even be necessary, because a judgment obtained in the main proceedings would broadly be offered automatic recognition</w:t>
      </w:r>
      <w:r w:rsidR="00B31FF3">
        <w:rPr>
          <w:rFonts w:ascii="Arial" w:hAnsi="Arial" w:cs="Arial"/>
          <w:color w:val="7B7B7B" w:themeColor="accent3" w:themeShade="BF"/>
          <w:sz w:val="22"/>
          <w:szCs w:val="22"/>
          <w:lang w:val="en-GB"/>
        </w:rPr>
        <w:t xml:space="preserve">. </w:t>
      </w:r>
    </w:p>
    <w:p w14:paraId="418B6978" w14:textId="77777777" w:rsidR="00085154" w:rsidRDefault="00085154" w:rsidP="00B7193E">
      <w:pPr>
        <w:jc w:val="both"/>
        <w:rPr>
          <w:rFonts w:ascii="Arial" w:hAnsi="Arial" w:cs="Arial"/>
          <w:color w:val="7B7B7B" w:themeColor="accent3" w:themeShade="BF"/>
          <w:sz w:val="22"/>
          <w:szCs w:val="22"/>
          <w:lang w:val="en-GB"/>
        </w:rPr>
      </w:pPr>
    </w:p>
    <w:p w14:paraId="2DFC5CE4" w14:textId="5528B22B" w:rsidR="00085154" w:rsidRDefault="00351F7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Specifically, Fernz would need to determine whether Rydell has assets in the Member State</w:t>
      </w:r>
      <w:r w:rsidR="003A35AD">
        <w:rPr>
          <w:rFonts w:ascii="Arial" w:hAnsi="Arial" w:cs="Arial"/>
          <w:color w:val="7B7B7B" w:themeColor="accent3" w:themeShade="BF"/>
          <w:sz w:val="22"/>
          <w:szCs w:val="22"/>
          <w:lang w:val="en-GB"/>
        </w:rPr>
        <w:t xml:space="preserve">, which could form a basis for secondary proceedings to be </w:t>
      </w:r>
      <w:r w:rsidR="00A55D93">
        <w:rPr>
          <w:rFonts w:ascii="Arial" w:hAnsi="Arial" w:cs="Arial"/>
          <w:color w:val="7B7B7B" w:themeColor="accent3" w:themeShade="BF"/>
          <w:sz w:val="22"/>
          <w:szCs w:val="22"/>
          <w:lang w:val="en-GB"/>
        </w:rPr>
        <w:t xml:space="preserve">brought. </w:t>
      </w:r>
    </w:p>
    <w:p w14:paraId="78532BA8" w14:textId="77777777" w:rsidR="00085154" w:rsidRDefault="00085154" w:rsidP="00B7193E">
      <w:pPr>
        <w:jc w:val="both"/>
        <w:rPr>
          <w:rFonts w:ascii="Arial" w:hAnsi="Arial" w:cs="Arial"/>
          <w:color w:val="7B7B7B" w:themeColor="accent3" w:themeShade="BF"/>
          <w:sz w:val="22"/>
          <w:szCs w:val="22"/>
          <w:lang w:val="en-GB"/>
        </w:rPr>
      </w:pPr>
    </w:p>
    <w:p w14:paraId="108F789C" w14:textId="6FFFA772" w:rsidR="00085154" w:rsidRDefault="00351F7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Fernz would also need to confirm that the fact </w:t>
      </w:r>
      <w:r w:rsidR="00184875">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any such secondary proceedings</w:t>
      </w:r>
      <w:r w:rsidR="00184875">
        <w:rPr>
          <w:rFonts w:ascii="Arial" w:hAnsi="Arial" w:cs="Arial"/>
          <w:color w:val="7B7B7B" w:themeColor="accent3" w:themeShade="BF"/>
          <w:sz w:val="22"/>
          <w:szCs w:val="22"/>
          <w:lang w:val="en-GB"/>
        </w:rPr>
        <w:t xml:space="preserve"> would remain limited to Rydell's assets in that Member State would not be an issue</w:t>
      </w:r>
      <w:r w:rsidR="003A35AD">
        <w:rPr>
          <w:rFonts w:ascii="Arial" w:hAnsi="Arial" w:cs="Arial"/>
          <w:color w:val="7B7B7B" w:themeColor="accent3" w:themeShade="BF"/>
          <w:sz w:val="22"/>
          <w:szCs w:val="22"/>
          <w:lang w:val="en-GB"/>
        </w:rPr>
        <w:t xml:space="preserve"> for Fernz's overall debt recovery strategy</w:t>
      </w:r>
      <w:r w:rsidR="00A55D93">
        <w:rPr>
          <w:rFonts w:ascii="Arial" w:hAnsi="Arial" w:cs="Arial"/>
          <w:color w:val="7B7B7B" w:themeColor="accent3" w:themeShade="BF"/>
          <w:sz w:val="22"/>
          <w:szCs w:val="22"/>
          <w:lang w:val="en-GB"/>
        </w:rPr>
        <w:t>, i.e. that it would not be counter-productive to the main proceedings.</w:t>
      </w:r>
    </w:p>
    <w:p w14:paraId="317DD6E7" w14:textId="0109FCC6"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3AF34B5D" w:rsidR="00015EE6" w:rsidRDefault="0008173D"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Fernz issued proceedings in the UK on 18 June 2021, they </w:t>
      </w:r>
      <w:r w:rsidR="00365B79">
        <w:rPr>
          <w:rFonts w:ascii="Arial" w:hAnsi="Arial" w:cs="Arial"/>
          <w:color w:val="7B7B7B" w:themeColor="accent3" w:themeShade="BF"/>
          <w:sz w:val="22"/>
          <w:szCs w:val="22"/>
          <w:lang w:val="en-GB"/>
        </w:rPr>
        <w:t>c</w:t>
      </w:r>
      <w:r w:rsidR="00784D46">
        <w:rPr>
          <w:rFonts w:ascii="Arial" w:hAnsi="Arial" w:cs="Arial"/>
          <w:color w:val="7B7B7B" w:themeColor="accent3" w:themeShade="BF"/>
          <w:sz w:val="22"/>
          <w:szCs w:val="22"/>
          <w:lang w:val="en-GB"/>
        </w:rPr>
        <w:t>ould not have been issued pursuant to the EIRR as that legislation ceased to be applicable to the UK</w:t>
      </w:r>
      <w:r w:rsidR="00365B79">
        <w:rPr>
          <w:rFonts w:ascii="Arial" w:hAnsi="Arial" w:cs="Arial"/>
          <w:color w:val="7B7B7B" w:themeColor="accent3" w:themeShade="BF"/>
          <w:sz w:val="22"/>
          <w:szCs w:val="22"/>
          <w:lang w:val="en-GB"/>
        </w:rPr>
        <w:t xml:space="preserve"> on 31 December 2020</w:t>
      </w:r>
      <w:bookmarkStart w:id="4" w:name="_GoBack"/>
      <w:bookmarkEnd w:id="4"/>
      <w:r w:rsidR="00784D46">
        <w:rPr>
          <w:rFonts w:ascii="Arial" w:hAnsi="Arial" w:cs="Arial"/>
          <w:color w:val="7B7B7B" w:themeColor="accent3" w:themeShade="BF"/>
          <w:sz w:val="22"/>
          <w:szCs w:val="22"/>
          <w:lang w:val="en-GB"/>
        </w:rPr>
        <w:t xml:space="preserve">. </w:t>
      </w:r>
      <w:r w:rsidR="00B31FF3">
        <w:rPr>
          <w:rFonts w:ascii="Arial" w:hAnsi="Arial" w:cs="Arial"/>
          <w:color w:val="7B7B7B" w:themeColor="accent3" w:themeShade="BF"/>
          <w:sz w:val="22"/>
          <w:szCs w:val="22"/>
          <w:lang w:val="en-GB"/>
        </w:rPr>
        <w:t>Notwithstanding the loss of the EIRR, there remains a legislative framework for recognition of insolvency proceedings and decisions relating to the same as between the UK and EU Member</w:t>
      </w:r>
      <w:r w:rsidR="00A80560">
        <w:rPr>
          <w:rFonts w:ascii="Arial" w:hAnsi="Arial" w:cs="Arial"/>
          <w:color w:val="7B7B7B" w:themeColor="accent3" w:themeShade="BF"/>
          <w:sz w:val="22"/>
          <w:szCs w:val="22"/>
          <w:lang w:val="en-GB"/>
        </w:rPr>
        <w:t xml:space="preserve"> States, namely, the Cross-Border Insolvency Regulations 2006 (the UK's enactment of the UNCITRAL Model Law on Cross-Border Insolvency). </w:t>
      </w:r>
    </w:p>
    <w:p w14:paraId="58DA8CDD" w14:textId="15A4C13A" w:rsidR="00A80560" w:rsidRDefault="00A80560" w:rsidP="00C45A03">
      <w:pPr>
        <w:jc w:val="both"/>
        <w:rPr>
          <w:rFonts w:ascii="Arial" w:hAnsi="Arial" w:cs="Arial"/>
          <w:color w:val="7B7B7B" w:themeColor="accent3" w:themeShade="BF"/>
          <w:sz w:val="22"/>
          <w:szCs w:val="22"/>
          <w:lang w:val="en-GB"/>
        </w:rPr>
      </w:pPr>
    </w:p>
    <w:p w14:paraId="6C958F2E" w14:textId="3E1E3595" w:rsidR="00A80560" w:rsidRPr="00205B31" w:rsidRDefault="00A80560"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If Fernz was still considering issuing proceedings in an EU Member State, </w:t>
      </w:r>
      <w:r w:rsidR="00743401">
        <w:rPr>
          <w:rFonts w:ascii="Arial" w:hAnsi="Arial" w:cs="Arial"/>
          <w:color w:val="7B7B7B" w:themeColor="accent3" w:themeShade="BF"/>
          <w:sz w:val="22"/>
          <w:szCs w:val="22"/>
          <w:lang w:val="en-GB"/>
        </w:rPr>
        <w:t xml:space="preserve">it should still consider whether such proceedings are necessary, as the UK proceedings could probably still be recognized in the EU Member State, subject to the local laws of the individual Member State concerned. </w:t>
      </w:r>
      <w:r w:rsidR="007947CD">
        <w:rPr>
          <w:rFonts w:ascii="Arial" w:hAnsi="Arial" w:cs="Arial"/>
          <w:color w:val="7B7B7B" w:themeColor="accent3" w:themeShade="BF"/>
          <w:sz w:val="22"/>
          <w:szCs w:val="22"/>
          <w:lang w:val="en-GB"/>
        </w:rPr>
        <w:t xml:space="preserve">Therefore the cost, ramifications and necessity of issuing proceedings in an EU Member State should be considered carefully, as against merely seeking recognition of any UK decision. </w:t>
      </w:r>
      <w:r w:rsidR="00A803A0">
        <w:rPr>
          <w:rFonts w:ascii="Arial" w:hAnsi="Arial" w:cs="Arial"/>
          <w:color w:val="7B7B7B" w:themeColor="accent3" w:themeShade="BF"/>
          <w:sz w:val="22"/>
          <w:szCs w:val="22"/>
          <w:lang w:val="en-GB"/>
        </w:rPr>
        <w:t>Both routes might involve court applications and procedural issues which need to be considered in full by an expert, which would obviously entail some cost to Fernz</w:t>
      </w:r>
      <w:r w:rsidR="00A803A0">
        <w:rPr>
          <w:rStyle w:val="FootnoteReference"/>
          <w:rFonts w:ascii="Arial" w:hAnsi="Arial" w:cs="Arial"/>
          <w:color w:val="7B7B7B" w:themeColor="accent3" w:themeShade="BF"/>
          <w:sz w:val="22"/>
          <w:szCs w:val="22"/>
          <w:lang w:val="en-GB"/>
        </w:rPr>
        <w:footnoteReference w:id="27"/>
      </w:r>
      <w:r w:rsidR="00A803A0">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2"/>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781AD3F9" w14:textId="725CF42B" w:rsidR="00883CCC" w:rsidRDefault="00883CC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court has jurisdiction to wind up a foreign company, i.e. a company incorporated </w:t>
      </w:r>
      <w:r w:rsidR="00874461">
        <w:rPr>
          <w:rFonts w:ascii="Arial" w:hAnsi="Arial" w:cs="Arial"/>
          <w:color w:val="7B7B7B" w:themeColor="accent3" w:themeShade="BF"/>
          <w:sz w:val="22"/>
          <w:szCs w:val="22"/>
          <w:lang w:val="en-GB"/>
        </w:rPr>
        <w:t>under the law of a country other than the UK</w:t>
      </w:r>
      <w:r w:rsidR="00874461">
        <w:rPr>
          <w:rStyle w:val="FootnoteReference"/>
          <w:rFonts w:ascii="Arial" w:hAnsi="Arial" w:cs="Arial"/>
          <w:color w:val="7B7B7B" w:themeColor="accent3" w:themeShade="BF"/>
          <w:sz w:val="22"/>
          <w:szCs w:val="22"/>
          <w:lang w:val="en-GB"/>
        </w:rPr>
        <w:footnoteReference w:id="28"/>
      </w:r>
    </w:p>
    <w:p w14:paraId="73100317" w14:textId="77777777" w:rsidR="00874461" w:rsidRDefault="0087446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7DE93ECA" w:rsidR="00015EE6" w:rsidRDefault="002F55D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Rydell were </w:t>
      </w:r>
      <w:r w:rsidR="00F335A0">
        <w:rPr>
          <w:rFonts w:ascii="Arial" w:hAnsi="Arial" w:cs="Arial"/>
          <w:color w:val="7B7B7B" w:themeColor="accent3" w:themeShade="BF"/>
          <w:sz w:val="22"/>
          <w:szCs w:val="22"/>
          <w:lang w:val="en-GB"/>
        </w:rPr>
        <w:t xml:space="preserve">unregistered with its COMI in an EU Member State and formal insolvency proceedings were opened in the UK on 18 June 2021, the applicable UK domestic law would be section 221(5) of the UK Insolvency Act 1986, which provides for court-ordered winding up of unregistered companies formed </w:t>
      </w:r>
      <w:r w:rsidR="004766FA">
        <w:rPr>
          <w:rFonts w:ascii="Arial" w:hAnsi="Arial" w:cs="Arial"/>
          <w:color w:val="7B7B7B" w:themeColor="accent3" w:themeShade="BF"/>
          <w:sz w:val="22"/>
          <w:szCs w:val="22"/>
          <w:lang w:val="en-GB"/>
        </w:rPr>
        <w:t xml:space="preserve">under foreign law, if: </w:t>
      </w:r>
    </w:p>
    <w:p w14:paraId="54484B52" w14:textId="0B7F5C28" w:rsidR="004766FA" w:rsidRDefault="004766FA" w:rsidP="004766FA">
      <w:pPr>
        <w:pStyle w:val="ListParagraph"/>
        <w:numPr>
          <w:ilvl w:val="0"/>
          <w:numId w:val="21"/>
        </w:numPr>
        <w:autoSpaceDE w:val="0"/>
        <w:autoSpaceDN w:val="0"/>
        <w:adjustRightInd w:val="0"/>
        <w:spacing w:line="276" w:lineRule="auto"/>
        <w:jc w:val="both"/>
        <w:rPr>
          <w:rFonts w:ascii="Arial" w:hAnsi="Arial" w:cs="Arial"/>
          <w:color w:val="7B7B7B" w:themeColor="accent3" w:themeShade="BF"/>
          <w:sz w:val="22"/>
          <w:szCs w:val="22"/>
          <w:lang w:val="en-GB"/>
        </w:rPr>
      </w:pPr>
      <w:r w:rsidRPr="004766FA">
        <w:rPr>
          <w:rFonts w:ascii="Arial" w:hAnsi="Arial" w:cs="Arial"/>
          <w:color w:val="7B7B7B" w:themeColor="accent3" w:themeShade="BF"/>
          <w:sz w:val="22"/>
          <w:szCs w:val="22"/>
          <w:lang w:val="en-GB"/>
        </w:rPr>
        <w:lastRenderedPageBreak/>
        <w:t xml:space="preserve">the company </w:t>
      </w:r>
      <w:r>
        <w:rPr>
          <w:rFonts w:ascii="Arial" w:hAnsi="Arial" w:cs="Arial"/>
          <w:color w:val="7B7B7B" w:themeColor="accent3" w:themeShade="BF"/>
          <w:sz w:val="22"/>
          <w:szCs w:val="22"/>
          <w:lang w:val="en-GB"/>
        </w:rPr>
        <w:t xml:space="preserve">is dissolved, or has ceased to carry on business, or is carrying on business only for the purpose of winding up its affairs; </w:t>
      </w:r>
    </w:p>
    <w:p w14:paraId="2FFF1C49" w14:textId="34E43817" w:rsidR="004766FA" w:rsidRDefault="004766FA" w:rsidP="004766FA">
      <w:pPr>
        <w:pStyle w:val="ListParagraph"/>
        <w:numPr>
          <w:ilvl w:val="0"/>
          <w:numId w:val="21"/>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unable to pay its debts;</w:t>
      </w:r>
    </w:p>
    <w:p w14:paraId="3248AAB7" w14:textId="52D4B52F" w:rsidR="004766FA" w:rsidRDefault="004766FA" w:rsidP="004766FA">
      <w:pPr>
        <w:pStyle w:val="ListParagraph"/>
        <w:numPr>
          <w:ilvl w:val="0"/>
          <w:numId w:val="21"/>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is of the opinion that it is just and equitable that the company should be wound up</w:t>
      </w:r>
      <w:r>
        <w:rPr>
          <w:rStyle w:val="FootnoteReference"/>
          <w:rFonts w:ascii="Arial" w:hAnsi="Arial" w:cs="Arial"/>
          <w:color w:val="7B7B7B" w:themeColor="accent3" w:themeShade="BF"/>
          <w:sz w:val="22"/>
          <w:szCs w:val="22"/>
          <w:lang w:val="en-GB"/>
        </w:rPr>
        <w:footnoteReference w:id="29"/>
      </w:r>
    </w:p>
    <w:p w14:paraId="45379D26" w14:textId="45A7BEBF" w:rsidR="00491FDD" w:rsidRDefault="00491FDD" w:rsidP="00491FDD">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minor creditor had unpaid debts </w:t>
      </w:r>
      <w:r w:rsidR="00883CCC">
        <w:rPr>
          <w:rFonts w:ascii="Arial" w:hAnsi="Arial" w:cs="Arial"/>
          <w:color w:val="7B7B7B" w:themeColor="accent3" w:themeShade="BF"/>
          <w:sz w:val="22"/>
          <w:szCs w:val="22"/>
          <w:lang w:val="en-GB"/>
        </w:rPr>
        <w:t xml:space="preserve">owed to it by Rydell, </w:t>
      </w:r>
      <w:r w:rsidR="00874461">
        <w:rPr>
          <w:rFonts w:ascii="Arial" w:hAnsi="Arial" w:cs="Arial"/>
          <w:color w:val="7B7B7B" w:themeColor="accent3" w:themeShade="BF"/>
          <w:sz w:val="22"/>
          <w:szCs w:val="22"/>
          <w:lang w:val="en-GB"/>
        </w:rPr>
        <w:t xml:space="preserve">it </w:t>
      </w:r>
      <w:r w:rsidR="00143D50">
        <w:rPr>
          <w:rFonts w:ascii="Arial" w:hAnsi="Arial" w:cs="Arial"/>
          <w:color w:val="7B7B7B" w:themeColor="accent3" w:themeShade="BF"/>
          <w:sz w:val="22"/>
          <w:szCs w:val="22"/>
          <w:lang w:val="en-GB"/>
        </w:rPr>
        <w:t xml:space="preserve">could commence formal insolvency proceedings in the UK on the basis of s.221 (5) (b), i.e. on the basis that the unregistered foreign company was unable to pay its debts. </w:t>
      </w:r>
    </w:p>
    <w:p w14:paraId="4F4D71BD" w14:textId="6F38884F" w:rsidR="00143D50" w:rsidRDefault="00143D50" w:rsidP="00491FDD">
      <w:pPr>
        <w:autoSpaceDE w:val="0"/>
        <w:autoSpaceDN w:val="0"/>
        <w:adjustRightInd w:val="0"/>
        <w:spacing w:line="276" w:lineRule="auto"/>
        <w:jc w:val="both"/>
        <w:rPr>
          <w:rFonts w:ascii="Arial" w:hAnsi="Arial" w:cs="Arial"/>
          <w:color w:val="7B7B7B" w:themeColor="accent3" w:themeShade="BF"/>
          <w:sz w:val="22"/>
          <w:szCs w:val="22"/>
          <w:lang w:val="en-GB"/>
        </w:rPr>
      </w:pPr>
    </w:p>
    <w:p w14:paraId="66D242B9" w14:textId="77777777" w:rsidR="00143D50" w:rsidRPr="00491FDD" w:rsidRDefault="00143D50" w:rsidP="00491FDD">
      <w:pPr>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7947CD" w:rsidRDefault="007947CD" w:rsidP="00241B44">
      <w:r>
        <w:separator/>
      </w:r>
    </w:p>
  </w:endnote>
  <w:endnote w:type="continuationSeparator" w:id="0">
    <w:p w14:paraId="1569510E" w14:textId="77777777" w:rsidR="007947CD" w:rsidRDefault="007947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7947CD" w:rsidRPr="00A31881" w:rsidRDefault="007947CD"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7947CD" w:rsidRPr="00A31881" w:rsidRDefault="007947CD"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002271EE" w:rsidR="007947CD" w:rsidRPr="0052732A" w:rsidRDefault="007947CD"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365B79">
          <w:rPr>
            <w:rStyle w:val="PageNumber"/>
            <w:rFonts w:ascii="Arial" w:hAnsi="Arial" w:cs="Arial"/>
            <w:b/>
            <w:bCs/>
            <w:noProof/>
            <w:sz w:val="18"/>
            <w:szCs w:val="18"/>
          </w:rPr>
          <w:t>13</w:t>
        </w:r>
        <w:r w:rsidRPr="00C50F86">
          <w:rPr>
            <w:rStyle w:val="PageNumber"/>
            <w:rFonts w:ascii="Arial" w:hAnsi="Arial" w:cs="Arial"/>
            <w:b/>
            <w:bCs/>
            <w:sz w:val="18"/>
            <w:szCs w:val="18"/>
          </w:rPr>
          <w:fldChar w:fldCharType="end"/>
        </w:r>
      </w:p>
    </w:sdtContent>
  </w:sdt>
  <w:p w14:paraId="12ABA5E1" w14:textId="3D1CF443" w:rsidR="007947CD" w:rsidRPr="0052732A" w:rsidRDefault="007947CD" w:rsidP="0052732A">
    <w:pPr>
      <w:pStyle w:val="Footer"/>
      <w:ind w:right="360"/>
      <w:rPr>
        <w:rFonts w:ascii="Arial" w:hAnsi="Arial" w:cs="Arial"/>
        <w:sz w:val="18"/>
        <w:szCs w:val="18"/>
      </w:rPr>
    </w:pPr>
    <w:r>
      <w:rPr>
        <w:rFonts w:ascii="Arial" w:hAnsi="Arial" w:cs="Arial"/>
        <w:sz w:val="18"/>
        <w:szCs w:val="18"/>
      </w:rPr>
      <w:t>202122-348</w:t>
    </w:r>
    <w:r w:rsidRPr="0052732A">
      <w:rPr>
        <w:rFonts w:ascii="Arial" w:hAnsi="Arial" w:cs="Arial"/>
        <w:sz w:val="18"/>
        <w:szCs w:val="18"/>
      </w:rPr>
      <w:t>.assessment1summative</w:t>
    </w:r>
    <w:r>
      <w:rPr>
        <w:rFonts w:ascii="Arial" w:hAnsi="Arial" w:cs="Arial"/>
        <w:sz w:val="18"/>
        <w:szCs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7947CD" w:rsidRDefault="007947CD" w:rsidP="00241B44">
      <w:r>
        <w:separator/>
      </w:r>
    </w:p>
  </w:footnote>
  <w:footnote w:type="continuationSeparator" w:id="0">
    <w:p w14:paraId="1B0F45A1" w14:textId="77777777" w:rsidR="007947CD" w:rsidRDefault="007947CD" w:rsidP="00241B44">
      <w:r>
        <w:continuationSeparator/>
      </w:r>
    </w:p>
  </w:footnote>
  <w:footnote w:id="1">
    <w:p w14:paraId="04E05C32" w14:textId="77777777" w:rsidR="007947CD" w:rsidRDefault="007947CD" w:rsidP="00D679E5">
      <w:pPr>
        <w:pStyle w:val="FootnoteText"/>
      </w:pPr>
      <w:r>
        <w:rPr>
          <w:rStyle w:val="FootnoteReference"/>
        </w:rPr>
        <w:footnoteRef/>
      </w:r>
      <w:r>
        <w:t xml:space="preserve"> Paolo Di Martino, The Historical Evolution of Bankruptcy Law in England, the US and Italy up to 1939: Determinants of Institutional Change and Structural Differences, (Manchester University, 2008)</w:t>
      </w:r>
    </w:p>
    <w:p w14:paraId="2E3DA549" w14:textId="77777777" w:rsidR="007947CD" w:rsidRDefault="007947CD" w:rsidP="00D679E5">
      <w:pPr>
        <w:pStyle w:val="FootnoteText"/>
      </w:pPr>
    </w:p>
  </w:footnote>
  <w:footnote w:id="2">
    <w:p w14:paraId="099293AB" w14:textId="113805F1" w:rsidR="007947CD" w:rsidRDefault="007947CD">
      <w:pPr>
        <w:pStyle w:val="FootnoteText"/>
      </w:pPr>
      <w:r>
        <w:rPr>
          <w:rStyle w:val="FootnoteReference"/>
        </w:rPr>
        <w:footnoteRef/>
      </w:r>
      <w:r>
        <w:t xml:space="preserve"> Foundation Certificate in International Insolvency Law Module 1 Guidance Text (para 4.1.1)</w:t>
      </w:r>
    </w:p>
  </w:footnote>
  <w:footnote w:id="3">
    <w:p w14:paraId="57130706" w14:textId="79B8F185" w:rsidR="007947CD" w:rsidRDefault="007947CD">
      <w:pPr>
        <w:pStyle w:val="FootnoteText"/>
      </w:pPr>
      <w:r>
        <w:rPr>
          <w:rStyle w:val="FootnoteReference"/>
        </w:rPr>
        <w:footnoteRef/>
      </w:r>
      <w:r>
        <w:t xml:space="preserve"> I F Fletcher, The Law of Insolvency, London (Sweet and Maxwell, 5</w:t>
      </w:r>
      <w:r w:rsidRPr="00C158A8">
        <w:rPr>
          <w:vertAlign w:val="superscript"/>
        </w:rPr>
        <w:t>th</w:t>
      </w:r>
      <w:r>
        <w:t xml:space="preserve"> ed, 2017), Ch 1, p 6; and see generally L E Levinthal, "The Early History of Bankruptcy Law", (1918) 66 Uni of Pennsylvania Law Review and American Law Register, p223 </w:t>
      </w:r>
    </w:p>
  </w:footnote>
  <w:footnote w:id="4">
    <w:p w14:paraId="6F7F7D5E" w14:textId="5E16A4CC" w:rsidR="007947CD" w:rsidRDefault="007947CD">
      <w:pPr>
        <w:pStyle w:val="FootnoteText"/>
      </w:pPr>
      <w:r>
        <w:rPr>
          <w:rStyle w:val="FootnoteReference"/>
        </w:rPr>
        <w:footnoteRef/>
      </w:r>
      <w:r>
        <w:t xml:space="preserve"> Levinthal, supra note 4, p232</w:t>
      </w:r>
    </w:p>
  </w:footnote>
  <w:footnote w:id="5">
    <w:p w14:paraId="6C8C3C1C" w14:textId="3F30674E" w:rsidR="007947CD" w:rsidRDefault="007947CD">
      <w:pPr>
        <w:pStyle w:val="FootnoteText"/>
      </w:pPr>
      <w:r>
        <w:rPr>
          <w:rStyle w:val="FootnoteReference"/>
        </w:rPr>
        <w:footnoteRef/>
      </w:r>
      <w:r>
        <w:t xml:space="preserve"> Calitz, supra note 3, p13</w:t>
      </w:r>
    </w:p>
  </w:footnote>
  <w:footnote w:id="6">
    <w:p w14:paraId="7DBC3019" w14:textId="0C6719A3" w:rsidR="007947CD" w:rsidRDefault="007947CD">
      <w:pPr>
        <w:pStyle w:val="FootnoteText"/>
      </w:pPr>
      <w:r>
        <w:rPr>
          <w:rStyle w:val="FootnoteReference"/>
        </w:rPr>
        <w:footnoteRef/>
      </w:r>
      <w:r>
        <w:t xml:space="preserve"> Foundation Certificate in International Insolvency Law Module 1 Guidance Text (para 4.1.1)</w:t>
      </w:r>
    </w:p>
  </w:footnote>
  <w:footnote w:id="7">
    <w:p w14:paraId="191F261C" w14:textId="3F3CC14C" w:rsidR="007947CD" w:rsidRDefault="007947CD">
      <w:pPr>
        <w:pStyle w:val="FootnoteText"/>
      </w:pPr>
      <w:r>
        <w:rPr>
          <w:rStyle w:val="FootnoteReference"/>
        </w:rPr>
        <w:footnoteRef/>
      </w:r>
      <w:r>
        <w:t xml:space="preserve"> Calitz, supra note 3, p9</w:t>
      </w:r>
    </w:p>
  </w:footnote>
  <w:footnote w:id="8">
    <w:p w14:paraId="77EDD0C5" w14:textId="723B0EC3" w:rsidR="007947CD" w:rsidRDefault="007947CD">
      <w:pPr>
        <w:pStyle w:val="FootnoteText"/>
      </w:pPr>
      <w:r>
        <w:rPr>
          <w:rStyle w:val="FootnoteReference"/>
        </w:rPr>
        <w:footnoteRef/>
      </w:r>
      <w:r>
        <w:t xml:space="preserve"> Foundation Certificate in International Insolvency Law Module 1 Guidance Text (para 4.1.1)</w:t>
      </w:r>
    </w:p>
  </w:footnote>
  <w:footnote w:id="9">
    <w:p w14:paraId="7DB14E14" w14:textId="36954E9A" w:rsidR="007947CD" w:rsidRDefault="007947CD">
      <w:pPr>
        <w:pStyle w:val="FootnoteText"/>
      </w:pPr>
      <w:r>
        <w:rPr>
          <w:rStyle w:val="FootnoteReference"/>
        </w:rPr>
        <w:footnoteRef/>
      </w:r>
      <w:r>
        <w:t xml:space="preserve"> Ali Shalchi, Corporate Governance and Insolvency Act 2020, (House of Commons Library 5 October 2021)</w:t>
      </w:r>
    </w:p>
  </w:footnote>
  <w:footnote w:id="10">
    <w:p w14:paraId="4F14D88E" w14:textId="489890AD" w:rsidR="007947CD" w:rsidRDefault="007947CD">
      <w:pPr>
        <w:pStyle w:val="FootnoteText"/>
      </w:pPr>
      <w:r>
        <w:rPr>
          <w:rStyle w:val="FootnoteReference"/>
        </w:rPr>
        <w:footnoteRef/>
      </w:r>
      <w:r>
        <w:t xml:space="preserve"> Foundation Certificate in International Insolvency Law Module 1 Guidance Text (para 6.1.2.3)</w:t>
      </w:r>
    </w:p>
  </w:footnote>
  <w:footnote w:id="11">
    <w:p w14:paraId="3765032B" w14:textId="1A3E5E50" w:rsidR="007947CD" w:rsidRDefault="007947CD">
      <w:pPr>
        <w:pStyle w:val="FootnoteText"/>
      </w:pPr>
      <w:r>
        <w:rPr>
          <w:rStyle w:val="FootnoteReference"/>
        </w:rPr>
        <w:footnoteRef/>
      </w:r>
      <w:r>
        <w:t xml:space="preserve"> Carl Hugo Parment, The Nordic Bankruptcy Convention- An Introduction (Frankfurt am Main, Germany, May 2004)</w:t>
      </w:r>
    </w:p>
  </w:footnote>
  <w:footnote w:id="12">
    <w:p w14:paraId="75A8B832" w14:textId="0BB39C69" w:rsidR="007947CD" w:rsidRDefault="007947CD">
      <w:pPr>
        <w:pStyle w:val="FootnoteText"/>
      </w:pPr>
      <w:r>
        <w:rPr>
          <w:rStyle w:val="FootnoteReference"/>
        </w:rPr>
        <w:footnoteRef/>
      </w:r>
      <w:r>
        <w:t xml:space="preserve"> Foundation Certificate in International Insolvency Law Module 1 Guidance Text (para 6.1.2.3)</w:t>
      </w:r>
    </w:p>
  </w:footnote>
  <w:footnote w:id="13">
    <w:p w14:paraId="14B3959B" w14:textId="0C7A740C" w:rsidR="007947CD" w:rsidRDefault="007947CD">
      <w:pPr>
        <w:pStyle w:val="FootnoteText"/>
      </w:pPr>
      <w:r>
        <w:rPr>
          <w:rStyle w:val="FootnoteReference"/>
        </w:rPr>
        <w:footnoteRef/>
      </w:r>
      <w:r>
        <w:t xml:space="preserve"> I Mevorach, The Future of Cross-border Insolvency: Overcoming Biases and Closing Gaps (Oxford University Press, 2009)  </w:t>
      </w:r>
    </w:p>
  </w:footnote>
  <w:footnote w:id="14">
    <w:p w14:paraId="5E0F48B6" w14:textId="36E0927E" w:rsidR="007947CD" w:rsidRDefault="007947CD">
      <w:pPr>
        <w:pStyle w:val="FootnoteText"/>
      </w:pPr>
      <w:r>
        <w:rPr>
          <w:rStyle w:val="FootnoteReference"/>
        </w:rPr>
        <w:footnoteRef/>
      </w:r>
      <w:r>
        <w:t xml:space="preserve"> Foundation Certificate in International Insolvency Law Module 1 Guidance Text (para 4.2.2.3)</w:t>
      </w:r>
    </w:p>
  </w:footnote>
  <w:footnote w:id="15">
    <w:p w14:paraId="7A77F01C" w14:textId="4035E17F" w:rsidR="007947CD" w:rsidRDefault="007947CD">
      <w:pPr>
        <w:pStyle w:val="FootnoteText"/>
      </w:pPr>
      <w:r>
        <w:rPr>
          <w:rStyle w:val="FootnoteReference"/>
        </w:rPr>
        <w:footnoteRef/>
      </w:r>
      <w:r>
        <w:t xml:space="preserve"> Foundation Certificate in International Insolvency Law Module 1 Guidance Text (para 4.2.2.3)</w:t>
      </w:r>
    </w:p>
  </w:footnote>
  <w:footnote w:id="16">
    <w:p w14:paraId="3FE06EE5" w14:textId="3205FA9F" w:rsidR="007947CD" w:rsidRDefault="007947CD">
      <w:pPr>
        <w:pStyle w:val="FootnoteText"/>
      </w:pPr>
      <w:r>
        <w:rPr>
          <w:rStyle w:val="FootnoteReference"/>
        </w:rPr>
        <w:footnoteRef/>
      </w:r>
      <w:r>
        <w:t xml:space="preserve"> Ibid. </w:t>
      </w:r>
    </w:p>
  </w:footnote>
  <w:footnote w:id="17">
    <w:p w14:paraId="3C6B4B80" w14:textId="7E05625E" w:rsidR="007947CD" w:rsidRDefault="007947CD">
      <w:pPr>
        <w:pStyle w:val="FootnoteText"/>
      </w:pPr>
      <w:r>
        <w:rPr>
          <w:rStyle w:val="FootnoteReference"/>
        </w:rPr>
        <w:footnoteRef/>
      </w:r>
      <w:r>
        <w:t xml:space="preserve"> Ibid.</w:t>
      </w:r>
    </w:p>
  </w:footnote>
  <w:footnote w:id="18">
    <w:p w14:paraId="61782D38" w14:textId="0FE57B41" w:rsidR="007947CD" w:rsidRDefault="007947CD">
      <w:pPr>
        <w:pStyle w:val="FootnoteText"/>
      </w:pPr>
      <w:r>
        <w:rPr>
          <w:rStyle w:val="FootnoteReference"/>
        </w:rPr>
        <w:footnoteRef/>
      </w:r>
      <w:r>
        <w:t xml:space="preserve"> Foundation Certificate in International Insolvency Law Module 1 Guidance Text (para 5.3)</w:t>
      </w:r>
    </w:p>
  </w:footnote>
  <w:footnote w:id="19">
    <w:p w14:paraId="13F917CD" w14:textId="32087B7F" w:rsidR="007947CD" w:rsidRDefault="007947CD">
      <w:pPr>
        <w:pStyle w:val="FootnoteText"/>
      </w:pPr>
      <w:r>
        <w:rPr>
          <w:rStyle w:val="FootnoteReference"/>
        </w:rPr>
        <w:footnoteRef/>
      </w:r>
      <w:r>
        <w:t xml:space="preserve"> Ibid.</w:t>
      </w:r>
    </w:p>
  </w:footnote>
  <w:footnote w:id="20">
    <w:p w14:paraId="3F6A7B18" w14:textId="1790D712" w:rsidR="007947CD" w:rsidRDefault="007947CD">
      <w:pPr>
        <w:pStyle w:val="FootnoteText"/>
      </w:pPr>
      <w:r>
        <w:rPr>
          <w:rStyle w:val="FootnoteReference"/>
        </w:rPr>
        <w:footnoteRef/>
      </w:r>
      <w:r>
        <w:t xml:space="preserve"> JL Westbrook, "The Lessons of Maxwell Communications", (1996) Fordham Law Review 64 2531, pp2531 to 2533</w:t>
      </w:r>
    </w:p>
  </w:footnote>
  <w:footnote w:id="21">
    <w:p w14:paraId="5D2E1E82" w14:textId="18F53FFA" w:rsidR="007947CD" w:rsidRDefault="007947CD">
      <w:pPr>
        <w:pStyle w:val="FootnoteText"/>
      </w:pPr>
      <w:r>
        <w:rPr>
          <w:rStyle w:val="FootnoteReference"/>
        </w:rPr>
        <w:footnoteRef/>
      </w:r>
      <w:r>
        <w:t xml:space="preserve"> Ibid</w:t>
      </w:r>
    </w:p>
  </w:footnote>
  <w:footnote w:id="22">
    <w:p w14:paraId="00D8E643" w14:textId="79C7ED56" w:rsidR="007947CD" w:rsidRDefault="007947CD" w:rsidP="00790B28">
      <w:pPr>
        <w:pStyle w:val="FootnoteText"/>
      </w:pPr>
      <w:r>
        <w:rPr>
          <w:rStyle w:val="FootnoteReference"/>
        </w:rPr>
        <w:footnoteRef/>
      </w:r>
      <w:r>
        <w:t xml:space="preserve"> Ibid</w:t>
      </w:r>
    </w:p>
  </w:footnote>
  <w:footnote w:id="23">
    <w:p w14:paraId="20C640D4" w14:textId="68404132" w:rsidR="007947CD" w:rsidRDefault="007947CD">
      <w:pPr>
        <w:pStyle w:val="FootnoteText"/>
      </w:pPr>
      <w:r>
        <w:rPr>
          <w:rStyle w:val="FootnoteReference"/>
        </w:rPr>
        <w:footnoteRef/>
      </w:r>
      <w:r>
        <w:t xml:space="preserve"> See the summary in UNICITRAL Practice Guide on Cross-Border Insolvency Cooperation 2009, pp. 128-129.</w:t>
      </w:r>
    </w:p>
  </w:footnote>
  <w:footnote w:id="24">
    <w:p w14:paraId="63F5E466" w14:textId="51D4EBDD" w:rsidR="007947CD" w:rsidRDefault="007947CD">
      <w:pPr>
        <w:pStyle w:val="FootnoteText"/>
      </w:pPr>
      <w:r>
        <w:rPr>
          <w:rStyle w:val="FootnoteReference"/>
        </w:rPr>
        <w:footnoteRef/>
      </w:r>
      <w:r>
        <w:t xml:space="preserve"> Foundation Certificate in International Insolvency Law Module 1 Guidance Text (para 7.2.2)</w:t>
      </w:r>
    </w:p>
  </w:footnote>
  <w:footnote w:id="25">
    <w:p w14:paraId="1BF69AF5" w14:textId="5760BD35" w:rsidR="007947CD" w:rsidRDefault="007947CD">
      <w:pPr>
        <w:pStyle w:val="FootnoteText"/>
      </w:pPr>
      <w:r>
        <w:rPr>
          <w:rStyle w:val="FootnoteReference"/>
        </w:rPr>
        <w:footnoteRef/>
      </w:r>
      <w:r>
        <w:t xml:space="preserve"> JL Westbrook, "The Lessons of Maxwell Communications", (1996) Fordham Law Review 64 2531, pp2531 to 2533</w:t>
      </w:r>
    </w:p>
  </w:footnote>
  <w:footnote w:id="26">
    <w:p w14:paraId="2A5CC506" w14:textId="3FFF3A64" w:rsidR="007947CD" w:rsidRDefault="007947CD">
      <w:pPr>
        <w:pStyle w:val="FootnoteText"/>
      </w:pPr>
      <w:r>
        <w:rPr>
          <w:rStyle w:val="FootnoteReference"/>
        </w:rPr>
        <w:footnoteRef/>
      </w:r>
      <w:r>
        <w:t xml:space="preserve"> James Forsyth, European Union: The Recast European Insolvency Regulation: What is Changing? (TLT Solicitors for Mondaq, 12 June 2017).</w:t>
      </w:r>
    </w:p>
  </w:footnote>
  <w:footnote w:id="27">
    <w:p w14:paraId="103B4382" w14:textId="063EE3B0" w:rsidR="00A803A0" w:rsidRDefault="00A803A0">
      <w:pPr>
        <w:pStyle w:val="FootnoteText"/>
      </w:pPr>
      <w:r>
        <w:rPr>
          <w:rStyle w:val="FootnoteReference"/>
        </w:rPr>
        <w:footnoteRef/>
      </w:r>
      <w:r>
        <w:t xml:space="preserve"> Norton Rose Fulbright, Impact of Brexit on Insolvency (UK Publication, February 2021)</w:t>
      </w:r>
    </w:p>
  </w:footnote>
  <w:footnote w:id="28">
    <w:p w14:paraId="7118408A" w14:textId="40A59C4A" w:rsidR="00874461" w:rsidRDefault="00874461">
      <w:pPr>
        <w:pStyle w:val="FootnoteText"/>
      </w:pPr>
      <w:r>
        <w:rPr>
          <w:rStyle w:val="FootnoteReference"/>
        </w:rPr>
        <w:footnoteRef/>
      </w:r>
      <w:r>
        <w:t xml:space="preserve"> UK Companies Act 2006, section 1044 defines an "overseas company"</w:t>
      </w:r>
    </w:p>
  </w:footnote>
  <w:footnote w:id="29">
    <w:p w14:paraId="0F9F4588" w14:textId="415C5111" w:rsidR="00491FDD" w:rsidRDefault="004766FA" w:rsidP="00491FDD">
      <w:pPr>
        <w:pStyle w:val="FootnoteText"/>
      </w:pPr>
      <w:r>
        <w:rPr>
          <w:rStyle w:val="FootnoteReference"/>
        </w:rPr>
        <w:footnoteRef/>
      </w:r>
      <w:r>
        <w:t xml:space="preserve"> </w:t>
      </w:r>
      <w:r w:rsidR="00491FDD">
        <w:t>Foundation Certificate in International Insolvency Law Module 1 Guidance Text (para 6.2.2)</w:t>
      </w:r>
    </w:p>
    <w:p w14:paraId="13092CA7" w14:textId="1BED5F4F" w:rsidR="004766FA" w:rsidRDefault="004766F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2912FCB"/>
    <w:multiLevelType w:val="hybridMultilevel"/>
    <w:tmpl w:val="98069F64"/>
    <w:lvl w:ilvl="0" w:tplc="0B5C039A">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270BE8"/>
    <w:multiLevelType w:val="hybridMultilevel"/>
    <w:tmpl w:val="ED7E89A2"/>
    <w:lvl w:ilvl="0" w:tplc="398E79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73C0B"/>
    <w:multiLevelType w:val="hybridMultilevel"/>
    <w:tmpl w:val="E9D07274"/>
    <w:lvl w:ilvl="0" w:tplc="5B32F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21563C4"/>
    <w:multiLevelType w:val="hybridMultilevel"/>
    <w:tmpl w:val="B476B864"/>
    <w:lvl w:ilvl="0" w:tplc="A57650C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85DC0"/>
    <w:multiLevelType w:val="hybridMultilevel"/>
    <w:tmpl w:val="ED7E89A2"/>
    <w:lvl w:ilvl="0" w:tplc="398E79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20"/>
  </w:num>
  <w:num w:numId="4">
    <w:abstractNumId w:val="4"/>
  </w:num>
  <w:num w:numId="5">
    <w:abstractNumId w:val="2"/>
  </w:num>
  <w:num w:numId="6">
    <w:abstractNumId w:val="16"/>
  </w:num>
  <w:num w:numId="7">
    <w:abstractNumId w:val="3"/>
  </w:num>
  <w:num w:numId="8">
    <w:abstractNumId w:val="1"/>
  </w:num>
  <w:num w:numId="9">
    <w:abstractNumId w:val="0"/>
  </w:num>
  <w:num w:numId="10">
    <w:abstractNumId w:val="5"/>
  </w:num>
  <w:num w:numId="11">
    <w:abstractNumId w:val="12"/>
  </w:num>
  <w:num w:numId="12">
    <w:abstractNumId w:val="19"/>
  </w:num>
  <w:num w:numId="13">
    <w:abstractNumId w:val="13"/>
  </w:num>
  <w:num w:numId="14">
    <w:abstractNumId w:val="7"/>
  </w:num>
  <w:num w:numId="15">
    <w:abstractNumId w:val="11"/>
  </w:num>
  <w:num w:numId="16">
    <w:abstractNumId w:val="14"/>
  </w:num>
  <w:num w:numId="17">
    <w:abstractNumId w:val="8"/>
  </w:num>
  <w:num w:numId="18">
    <w:abstractNumId w:val="6"/>
  </w:num>
  <w:num w:numId="19">
    <w:abstractNumId w:val="15"/>
  </w:num>
  <w:num w:numId="20">
    <w:abstractNumId w:val="18"/>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6E38"/>
    <w:rsid w:val="0000725B"/>
    <w:rsid w:val="00010BA0"/>
    <w:rsid w:val="000112A9"/>
    <w:rsid w:val="00015EE6"/>
    <w:rsid w:val="00020557"/>
    <w:rsid w:val="0002322B"/>
    <w:rsid w:val="000250C7"/>
    <w:rsid w:val="00031918"/>
    <w:rsid w:val="000329A6"/>
    <w:rsid w:val="00034C0C"/>
    <w:rsid w:val="00037621"/>
    <w:rsid w:val="00041277"/>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73D"/>
    <w:rsid w:val="00081A63"/>
    <w:rsid w:val="00082609"/>
    <w:rsid w:val="00085154"/>
    <w:rsid w:val="000851CC"/>
    <w:rsid w:val="00085349"/>
    <w:rsid w:val="00085D4B"/>
    <w:rsid w:val="00086BDD"/>
    <w:rsid w:val="00090933"/>
    <w:rsid w:val="00093BE8"/>
    <w:rsid w:val="00093FE2"/>
    <w:rsid w:val="0009471C"/>
    <w:rsid w:val="00095FE2"/>
    <w:rsid w:val="000A01B9"/>
    <w:rsid w:val="000A0C1B"/>
    <w:rsid w:val="000A592D"/>
    <w:rsid w:val="000A68ED"/>
    <w:rsid w:val="000A74CA"/>
    <w:rsid w:val="000B1F43"/>
    <w:rsid w:val="000B5B93"/>
    <w:rsid w:val="000B5FF1"/>
    <w:rsid w:val="000B609F"/>
    <w:rsid w:val="000B6403"/>
    <w:rsid w:val="000D3D75"/>
    <w:rsid w:val="000D55A8"/>
    <w:rsid w:val="000D57BE"/>
    <w:rsid w:val="000D6876"/>
    <w:rsid w:val="000D6C6B"/>
    <w:rsid w:val="000E0165"/>
    <w:rsid w:val="000E3A82"/>
    <w:rsid w:val="000E3C5A"/>
    <w:rsid w:val="000E4841"/>
    <w:rsid w:val="000E4BA3"/>
    <w:rsid w:val="000E5CB4"/>
    <w:rsid w:val="000F04DF"/>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21F"/>
    <w:rsid w:val="00125A7C"/>
    <w:rsid w:val="00126A4D"/>
    <w:rsid w:val="00131D42"/>
    <w:rsid w:val="0013278B"/>
    <w:rsid w:val="00135FFC"/>
    <w:rsid w:val="00136062"/>
    <w:rsid w:val="0014171F"/>
    <w:rsid w:val="00143D50"/>
    <w:rsid w:val="0014622C"/>
    <w:rsid w:val="00150F6C"/>
    <w:rsid w:val="00152348"/>
    <w:rsid w:val="0015328F"/>
    <w:rsid w:val="0015456D"/>
    <w:rsid w:val="00161F1B"/>
    <w:rsid w:val="001620AF"/>
    <w:rsid w:val="00162829"/>
    <w:rsid w:val="00162DCA"/>
    <w:rsid w:val="0016472D"/>
    <w:rsid w:val="00164B28"/>
    <w:rsid w:val="001677CC"/>
    <w:rsid w:val="00173647"/>
    <w:rsid w:val="00180548"/>
    <w:rsid w:val="00180AC4"/>
    <w:rsid w:val="00180B1E"/>
    <w:rsid w:val="00180CCE"/>
    <w:rsid w:val="00181438"/>
    <w:rsid w:val="0018267A"/>
    <w:rsid w:val="00182779"/>
    <w:rsid w:val="001830DF"/>
    <w:rsid w:val="001833C2"/>
    <w:rsid w:val="00184875"/>
    <w:rsid w:val="00193AB3"/>
    <w:rsid w:val="001966D9"/>
    <w:rsid w:val="00197963"/>
    <w:rsid w:val="001A620B"/>
    <w:rsid w:val="001A7E9A"/>
    <w:rsid w:val="001A7F08"/>
    <w:rsid w:val="001B0F70"/>
    <w:rsid w:val="001B5016"/>
    <w:rsid w:val="001B6CEE"/>
    <w:rsid w:val="001C011C"/>
    <w:rsid w:val="001C3A74"/>
    <w:rsid w:val="001C45FC"/>
    <w:rsid w:val="001C594A"/>
    <w:rsid w:val="001C6F7B"/>
    <w:rsid w:val="001D1BF7"/>
    <w:rsid w:val="001D3A65"/>
    <w:rsid w:val="001D4862"/>
    <w:rsid w:val="001D6A93"/>
    <w:rsid w:val="001D7EF2"/>
    <w:rsid w:val="001E1534"/>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0C33"/>
    <w:rsid w:val="00223780"/>
    <w:rsid w:val="0022719C"/>
    <w:rsid w:val="002362AB"/>
    <w:rsid w:val="002400DB"/>
    <w:rsid w:val="002406A4"/>
    <w:rsid w:val="0024116D"/>
    <w:rsid w:val="00241B44"/>
    <w:rsid w:val="00245EFB"/>
    <w:rsid w:val="002529D2"/>
    <w:rsid w:val="0025386E"/>
    <w:rsid w:val="002638B0"/>
    <w:rsid w:val="0026510C"/>
    <w:rsid w:val="00265F38"/>
    <w:rsid w:val="0026647A"/>
    <w:rsid w:val="002668D3"/>
    <w:rsid w:val="00266F17"/>
    <w:rsid w:val="002672D0"/>
    <w:rsid w:val="0027242B"/>
    <w:rsid w:val="0027299F"/>
    <w:rsid w:val="00275182"/>
    <w:rsid w:val="00275946"/>
    <w:rsid w:val="00276520"/>
    <w:rsid w:val="00284EBE"/>
    <w:rsid w:val="00286720"/>
    <w:rsid w:val="002872E1"/>
    <w:rsid w:val="00287B2E"/>
    <w:rsid w:val="00287D4D"/>
    <w:rsid w:val="00290116"/>
    <w:rsid w:val="0029248E"/>
    <w:rsid w:val="0029433F"/>
    <w:rsid w:val="00294829"/>
    <w:rsid w:val="00295742"/>
    <w:rsid w:val="0029690F"/>
    <w:rsid w:val="002A1169"/>
    <w:rsid w:val="002A2A60"/>
    <w:rsid w:val="002A3815"/>
    <w:rsid w:val="002A6646"/>
    <w:rsid w:val="002B1C45"/>
    <w:rsid w:val="002B2970"/>
    <w:rsid w:val="002C1227"/>
    <w:rsid w:val="002C13C8"/>
    <w:rsid w:val="002C259C"/>
    <w:rsid w:val="002C3547"/>
    <w:rsid w:val="002C410B"/>
    <w:rsid w:val="002D0021"/>
    <w:rsid w:val="002D10A3"/>
    <w:rsid w:val="002D295D"/>
    <w:rsid w:val="002D3473"/>
    <w:rsid w:val="002E37B7"/>
    <w:rsid w:val="002E4A02"/>
    <w:rsid w:val="002E4A1F"/>
    <w:rsid w:val="002E66F4"/>
    <w:rsid w:val="002E7089"/>
    <w:rsid w:val="002F1956"/>
    <w:rsid w:val="002F2B8D"/>
    <w:rsid w:val="002F30B1"/>
    <w:rsid w:val="002F3440"/>
    <w:rsid w:val="002F3B17"/>
    <w:rsid w:val="002F55D0"/>
    <w:rsid w:val="002F5DD8"/>
    <w:rsid w:val="002F75A3"/>
    <w:rsid w:val="002F75CD"/>
    <w:rsid w:val="002F7EB5"/>
    <w:rsid w:val="0030201F"/>
    <w:rsid w:val="00303C2F"/>
    <w:rsid w:val="0030558B"/>
    <w:rsid w:val="00306E87"/>
    <w:rsid w:val="00310FC2"/>
    <w:rsid w:val="003144EF"/>
    <w:rsid w:val="00326292"/>
    <w:rsid w:val="00326415"/>
    <w:rsid w:val="0032799D"/>
    <w:rsid w:val="00330937"/>
    <w:rsid w:val="00330F31"/>
    <w:rsid w:val="003326F0"/>
    <w:rsid w:val="00334648"/>
    <w:rsid w:val="00336CA6"/>
    <w:rsid w:val="0033768C"/>
    <w:rsid w:val="00337938"/>
    <w:rsid w:val="00340769"/>
    <w:rsid w:val="00341A65"/>
    <w:rsid w:val="00341AA6"/>
    <w:rsid w:val="00342E57"/>
    <w:rsid w:val="00351F7D"/>
    <w:rsid w:val="00355B57"/>
    <w:rsid w:val="00360DEF"/>
    <w:rsid w:val="00361A0A"/>
    <w:rsid w:val="00361DF9"/>
    <w:rsid w:val="0036565C"/>
    <w:rsid w:val="00365B79"/>
    <w:rsid w:val="0036625E"/>
    <w:rsid w:val="00367162"/>
    <w:rsid w:val="00372CD4"/>
    <w:rsid w:val="0037465A"/>
    <w:rsid w:val="00381DC4"/>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35AD"/>
    <w:rsid w:val="003A60FF"/>
    <w:rsid w:val="003A696A"/>
    <w:rsid w:val="003B170F"/>
    <w:rsid w:val="003B3C5F"/>
    <w:rsid w:val="003C1451"/>
    <w:rsid w:val="003C2017"/>
    <w:rsid w:val="003C2C44"/>
    <w:rsid w:val="003C4471"/>
    <w:rsid w:val="003C60CD"/>
    <w:rsid w:val="003D0A6D"/>
    <w:rsid w:val="003D100A"/>
    <w:rsid w:val="003D3045"/>
    <w:rsid w:val="003D4300"/>
    <w:rsid w:val="003D6AC4"/>
    <w:rsid w:val="003E064D"/>
    <w:rsid w:val="003E0B16"/>
    <w:rsid w:val="003E2D1B"/>
    <w:rsid w:val="003E67D1"/>
    <w:rsid w:val="003F655E"/>
    <w:rsid w:val="003F74D9"/>
    <w:rsid w:val="004030A2"/>
    <w:rsid w:val="00404B43"/>
    <w:rsid w:val="00404EF7"/>
    <w:rsid w:val="00405DC1"/>
    <w:rsid w:val="004064DC"/>
    <w:rsid w:val="00413A6D"/>
    <w:rsid w:val="00414265"/>
    <w:rsid w:val="00414BF9"/>
    <w:rsid w:val="00415DFF"/>
    <w:rsid w:val="00415F1F"/>
    <w:rsid w:val="00420FA1"/>
    <w:rsid w:val="0042108F"/>
    <w:rsid w:val="004214D4"/>
    <w:rsid w:val="00426969"/>
    <w:rsid w:val="00426B64"/>
    <w:rsid w:val="00430FED"/>
    <w:rsid w:val="00432CEE"/>
    <w:rsid w:val="00434A8C"/>
    <w:rsid w:val="00435822"/>
    <w:rsid w:val="00436DCA"/>
    <w:rsid w:val="00437297"/>
    <w:rsid w:val="00437ABE"/>
    <w:rsid w:val="00440AC5"/>
    <w:rsid w:val="00444284"/>
    <w:rsid w:val="004442F1"/>
    <w:rsid w:val="00445CE6"/>
    <w:rsid w:val="004534C2"/>
    <w:rsid w:val="00453967"/>
    <w:rsid w:val="0045446F"/>
    <w:rsid w:val="00454C67"/>
    <w:rsid w:val="00454C9D"/>
    <w:rsid w:val="0045614D"/>
    <w:rsid w:val="0045683E"/>
    <w:rsid w:val="0046142D"/>
    <w:rsid w:val="0046274F"/>
    <w:rsid w:val="0046298C"/>
    <w:rsid w:val="00463259"/>
    <w:rsid w:val="004659E0"/>
    <w:rsid w:val="004668BF"/>
    <w:rsid w:val="00470A63"/>
    <w:rsid w:val="00470C55"/>
    <w:rsid w:val="004715C1"/>
    <w:rsid w:val="004731F4"/>
    <w:rsid w:val="004766FA"/>
    <w:rsid w:val="00481FC8"/>
    <w:rsid w:val="00482FE3"/>
    <w:rsid w:val="00486065"/>
    <w:rsid w:val="00486776"/>
    <w:rsid w:val="004868BB"/>
    <w:rsid w:val="00491675"/>
    <w:rsid w:val="00491FDD"/>
    <w:rsid w:val="00493855"/>
    <w:rsid w:val="00497558"/>
    <w:rsid w:val="00497CF9"/>
    <w:rsid w:val="004A4C14"/>
    <w:rsid w:val="004A57DD"/>
    <w:rsid w:val="004A7B51"/>
    <w:rsid w:val="004A7D71"/>
    <w:rsid w:val="004A7EF3"/>
    <w:rsid w:val="004B0EBE"/>
    <w:rsid w:val="004B10C5"/>
    <w:rsid w:val="004B11FD"/>
    <w:rsid w:val="004B23A2"/>
    <w:rsid w:val="004B25E4"/>
    <w:rsid w:val="004B428D"/>
    <w:rsid w:val="004B607C"/>
    <w:rsid w:val="004C1DA6"/>
    <w:rsid w:val="004C2DD1"/>
    <w:rsid w:val="004C3446"/>
    <w:rsid w:val="004C5E4F"/>
    <w:rsid w:val="004C7030"/>
    <w:rsid w:val="004D1A5A"/>
    <w:rsid w:val="004D2FFF"/>
    <w:rsid w:val="004D3721"/>
    <w:rsid w:val="004D64F9"/>
    <w:rsid w:val="004D687E"/>
    <w:rsid w:val="004E4224"/>
    <w:rsid w:val="004E5A14"/>
    <w:rsid w:val="004E622C"/>
    <w:rsid w:val="004E64DB"/>
    <w:rsid w:val="004E73D0"/>
    <w:rsid w:val="004F1534"/>
    <w:rsid w:val="004F2DD1"/>
    <w:rsid w:val="004F3375"/>
    <w:rsid w:val="004F55F1"/>
    <w:rsid w:val="004F5FDF"/>
    <w:rsid w:val="0050156C"/>
    <w:rsid w:val="0050469A"/>
    <w:rsid w:val="005059A4"/>
    <w:rsid w:val="00515756"/>
    <w:rsid w:val="00515F63"/>
    <w:rsid w:val="005177FE"/>
    <w:rsid w:val="0052263B"/>
    <w:rsid w:val="00524728"/>
    <w:rsid w:val="00525459"/>
    <w:rsid w:val="00525C99"/>
    <w:rsid w:val="0052732A"/>
    <w:rsid w:val="00530010"/>
    <w:rsid w:val="00530CA0"/>
    <w:rsid w:val="00532279"/>
    <w:rsid w:val="00532283"/>
    <w:rsid w:val="005323A7"/>
    <w:rsid w:val="005331CA"/>
    <w:rsid w:val="0053523A"/>
    <w:rsid w:val="00537970"/>
    <w:rsid w:val="00540E3A"/>
    <w:rsid w:val="00542B4D"/>
    <w:rsid w:val="00542E08"/>
    <w:rsid w:val="005433D7"/>
    <w:rsid w:val="00543941"/>
    <w:rsid w:val="00544127"/>
    <w:rsid w:val="005508BB"/>
    <w:rsid w:val="00553EB2"/>
    <w:rsid w:val="00560534"/>
    <w:rsid w:val="0056391B"/>
    <w:rsid w:val="005650E2"/>
    <w:rsid w:val="00566D80"/>
    <w:rsid w:val="00567A5B"/>
    <w:rsid w:val="00567AD7"/>
    <w:rsid w:val="005716C3"/>
    <w:rsid w:val="00573594"/>
    <w:rsid w:val="00574F56"/>
    <w:rsid w:val="00575B2D"/>
    <w:rsid w:val="005800D0"/>
    <w:rsid w:val="005833D0"/>
    <w:rsid w:val="005846F3"/>
    <w:rsid w:val="0058622F"/>
    <w:rsid w:val="005865D6"/>
    <w:rsid w:val="00587AF2"/>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588F"/>
    <w:rsid w:val="00677AEB"/>
    <w:rsid w:val="00680EF2"/>
    <w:rsid w:val="00682A3E"/>
    <w:rsid w:val="006850AE"/>
    <w:rsid w:val="00686C53"/>
    <w:rsid w:val="00687A1D"/>
    <w:rsid w:val="00697EA1"/>
    <w:rsid w:val="006A2646"/>
    <w:rsid w:val="006A6530"/>
    <w:rsid w:val="006A695F"/>
    <w:rsid w:val="006A6D1D"/>
    <w:rsid w:val="006B0E4E"/>
    <w:rsid w:val="006B2893"/>
    <w:rsid w:val="006B3E62"/>
    <w:rsid w:val="006B435A"/>
    <w:rsid w:val="006B4C64"/>
    <w:rsid w:val="006B5AE8"/>
    <w:rsid w:val="006C09F1"/>
    <w:rsid w:val="006C3841"/>
    <w:rsid w:val="006C3D9F"/>
    <w:rsid w:val="006C6504"/>
    <w:rsid w:val="006D0529"/>
    <w:rsid w:val="006D4F82"/>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2A7A"/>
    <w:rsid w:val="00726E9A"/>
    <w:rsid w:val="00727864"/>
    <w:rsid w:val="007333CC"/>
    <w:rsid w:val="007335D8"/>
    <w:rsid w:val="0073399A"/>
    <w:rsid w:val="007369C7"/>
    <w:rsid w:val="00743401"/>
    <w:rsid w:val="00743531"/>
    <w:rsid w:val="007462D9"/>
    <w:rsid w:val="00751986"/>
    <w:rsid w:val="0075428A"/>
    <w:rsid w:val="00756ABD"/>
    <w:rsid w:val="007576A3"/>
    <w:rsid w:val="007603F5"/>
    <w:rsid w:val="00760A70"/>
    <w:rsid w:val="0076181C"/>
    <w:rsid w:val="00763693"/>
    <w:rsid w:val="00764DB0"/>
    <w:rsid w:val="007671EB"/>
    <w:rsid w:val="0076764D"/>
    <w:rsid w:val="0076766F"/>
    <w:rsid w:val="00770DF5"/>
    <w:rsid w:val="0077498C"/>
    <w:rsid w:val="00777070"/>
    <w:rsid w:val="00782B3F"/>
    <w:rsid w:val="00784128"/>
    <w:rsid w:val="00784D46"/>
    <w:rsid w:val="0078662F"/>
    <w:rsid w:val="00790B28"/>
    <w:rsid w:val="00790B4C"/>
    <w:rsid w:val="0079206E"/>
    <w:rsid w:val="00793173"/>
    <w:rsid w:val="007947CD"/>
    <w:rsid w:val="007958F0"/>
    <w:rsid w:val="00797E1B"/>
    <w:rsid w:val="007A12A4"/>
    <w:rsid w:val="007A3B36"/>
    <w:rsid w:val="007B1E13"/>
    <w:rsid w:val="007C0111"/>
    <w:rsid w:val="007C0663"/>
    <w:rsid w:val="007C1FCC"/>
    <w:rsid w:val="007C2831"/>
    <w:rsid w:val="007C2AA1"/>
    <w:rsid w:val="007C575C"/>
    <w:rsid w:val="007C6201"/>
    <w:rsid w:val="007D0348"/>
    <w:rsid w:val="007D1E28"/>
    <w:rsid w:val="007D6B2A"/>
    <w:rsid w:val="007D7C92"/>
    <w:rsid w:val="007D7E30"/>
    <w:rsid w:val="007E0C01"/>
    <w:rsid w:val="007E1154"/>
    <w:rsid w:val="007E3AA5"/>
    <w:rsid w:val="007E3ADF"/>
    <w:rsid w:val="007E3FF9"/>
    <w:rsid w:val="007E530F"/>
    <w:rsid w:val="007E6BA4"/>
    <w:rsid w:val="007F19A2"/>
    <w:rsid w:val="007F41F8"/>
    <w:rsid w:val="00804000"/>
    <w:rsid w:val="0080454E"/>
    <w:rsid w:val="00804C32"/>
    <w:rsid w:val="00806302"/>
    <w:rsid w:val="00807119"/>
    <w:rsid w:val="0080729A"/>
    <w:rsid w:val="00811865"/>
    <w:rsid w:val="00814A55"/>
    <w:rsid w:val="00823E3B"/>
    <w:rsid w:val="0082483F"/>
    <w:rsid w:val="008279C0"/>
    <w:rsid w:val="008319E7"/>
    <w:rsid w:val="00841E70"/>
    <w:rsid w:val="008467A4"/>
    <w:rsid w:val="008473AA"/>
    <w:rsid w:val="00847A85"/>
    <w:rsid w:val="00852883"/>
    <w:rsid w:val="00852F37"/>
    <w:rsid w:val="00854539"/>
    <w:rsid w:val="008571F6"/>
    <w:rsid w:val="00861E51"/>
    <w:rsid w:val="00870B96"/>
    <w:rsid w:val="008723F3"/>
    <w:rsid w:val="00873246"/>
    <w:rsid w:val="00874461"/>
    <w:rsid w:val="00875E11"/>
    <w:rsid w:val="00875E2E"/>
    <w:rsid w:val="00880F99"/>
    <w:rsid w:val="00881DA8"/>
    <w:rsid w:val="00881DE6"/>
    <w:rsid w:val="008837A6"/>
    <w:rsid w:val="00883CCC"/>
    <w:rsid w:val="00887A2B"/>
    <w:rsid w:val="008903D4"/>
    <w:rsid w:val="0089145D"/>
    <w:rsid w:val="008919E5"/>
    <w:rsid w:val="00894887"/>
    <w:rsid w:val="00894DE1"/>
    <w:rsid w:val="00896FD7"/>
    <w:rsid w:val="00897428"/>
    <w:rsid w:val="008A30C3"/>
    <w:rsid w:val="008A30EE"/>
    <w:rsid w:val="008A4DF2"/>
    <w:rsid w:val="008A6841"/>
    <w:rsid w:val="008A6CFE"/>
    <w:rsid w:val="008B40E7"/>
    <w:rsid w:val="008B4681"/>
    <w:rsid w:val="008B4B58"/>
    <w:rsid w:val="008B5333"/>
    <w:rsid w:val="008B6223"/>
    <w:rsid w:val="008C29F4"/>
    <w:rsid w:val="008C4066"/>
    <w:rsid w:val="008C66E0"/>
    <w:rsid w:val="008D0122"/>
    <w:rsid w:val="008D3E17"/>
    <w:rsid w:val="008D4371"/>
    <w:rsid w:val="008D5CD4"/>
    <w:rsid w:val="008D5D34"/>
    <w:rsid w:val="008D5F51"/>
    <w:rsid w:val="008D7718"/>
    <w:rsid w:val="008E220E"/>
    <w:rsid w:val="008E3339"/>
    <w:rsid w:val="008E64D3"/>
    <w:rsid w:val="008E6F11"/>
    <w:rsid w:val="008E75EB"/>
    <w:rsid w:val="008F20FC"/>
    <w:rsid w:val="008F341F"/>
    <w:rsid w:val="008F50C4"/>
    <w:rsid w:val="008F5FFE"/>
    <w:rsid w:val="0090037B"/>
    <w:rsid w:val="00905A43"/>
    <w:rsid w:val="009078CE"/>
    <w:rsid w:val="009108EF"/>
    <w:rsid w:val="00911C23"/>
    <w:rsid w:val="00912C79"/>
    <w:rsid w:val="00913FB9"/>
    <w:rsid w:val="00915010"/>
    <w:rsid w:val="0091528C"/>
    <w:rsid w:val="009173D1"/>
    <w:rsid w:val="00923CCC"/>
    <w:rsid w:val="00923D4D"/>
    <w:rsid w:val="00926D10"/>
    <w:rsid w:val="009275FE"/>
    <w:rsid w:val="00936DA5"/>
    <w:rsid w:val="00942123"/>
    <w:rsid w:val="009421AC"/>
    <w:rsid w:val="0094263A"/>
    <w:rsid w:val="00945EC5"/>
    <w:rsid w:val="00946EE0"/>
    <w:rsid w:val="0095029B"/>
    <w:rsid w:val="0095207B"/>
    <w:rsid w:val="009533CB"/>
    <w:rsid w:val="00953B5C"/>
    <w:rsid w:val="0095526F"/>
    <w:rsid w:val="00955CE0"/>
    <w:rsid w:val="009609CA"/>
    <w:rsid w:val="00962045"/>
    <w:rsid w:val="00966707"/>
    <w:rsid w:val="00966E44"/>
    <w:rsid w:val="009708BB"/>
    <w:rsid w:val="00970DA4"/>
    <w:rsid w:val="009727DF"/>
    <w:rsid w:val="009729E8"/>
    <w:rsid w:val="00975640"/>
    <w:rsid w:val="00976DA5"/>
    <w:rsid w:val="009773BA"/>
    <w:rsid w:val="00981608"/>
    <w:rsid w:val="0098645A"/>
    <w:rsid w:val="00991272"/>
    <w:rsid w:val="00991428"/>
    <w:rsid w:val="00992676"/>
    <w:rsid w:val="009A5354"/>
    <w:rsid w:val="009A6A10"/>
    <w:rsid w:val="009A7172"/>
    <w:rsid w:val="009A7596"/>
    <w:rsid w:val="009B0723"/>
    <w:rsid w:val="009B07AD"/>
    <w:rsid w:val="009B0883"/>
    <w:rsid w:val="009B15E2"/>
    <w:rsid w:val="009C0B8E"/>
    <w:rsid w:val="009C1527"/>
    <w:rsid w:val="009C1BC8"/>
    <w:rsid w:val="009C2442"/>
    <w:rsid w:val="009C2628"/>
    <w:rsid w:val="009C27B1"/>
    <w:rsid w:val="009C5A2F"/>
    <w:rsid w:val="009C6B93"/>
    <w:rsid w:val="009C738E"/>
    <w:rsid w:val="009D0811"/>
    <w:rsid w:val="009D0C56"/>
    <w:rsid w:val="009D0E12"/>
    <w:rsid w:val="009D0EE1"/>
    <w:rsid w:val="009D43D0"/>
    <w:rsid w:val="009D510C"/>
    <w:rsid w:val="009D5CDB"/>
    <w:rsid w:val="009D6709"/>
    <w:rsid w:val="009E13C1"/>
    <w:rsid w:val="009E2AEB"/>
    <w:rsid w:val="009E2E27"/>
    <w:rsid w:val="009E310B"/>
    <w:rsid w:val="009E44C0"/>
    <w:rsid w:val="009E4DE3"/>
    <w:rsid w:val="009E50C1"/>
    <w:rsid w:val="009F0301"/>
    <w:rsid w:val="009F0C29"/>
    <w:rsid w:val="00A047EE"/>
    <w:rsid w:val="00A057CA"/>
    <w:rsid w:val="00A149B7"/>
    <w:rsid w:val="00A177BC"/>
    <w:rsid w:val="00A17849"/>
    <w:rsid w:val="00A17930"/>
    <w:rsid w:val="00A2274A"/>
    <w:rsid w:val="00A22B61"/>
    <w:rsid w:val="00A235B7"/>
    <w:rsid w:val="00A249AC"/>
    <w:rsid w:val="00A27A7A"/>
    <w:rsid w:val="00A301D1"/>
    <w:rsid w:val="00A31881"/>
    <w:rsid w:val="00A407EF"/>
    <w:rsid w:val="00A411B7"/>
    <w:rsid w:val="00A46B4C"/>
    <w:rsid w:val="00A5117B"/>
    <w:rsid w:val="00A5440C"/>
    <w:rsid w:val="00A55402"/>
    <w:rsid w:val="00A55D93"/>
    <w:rsid w:val="00A560B6"/>
    <w:rsid w:val="00A56CF7"/>
    <w:rsid w:val="00A56DBC"/>
    <w:rsid w:val="00A60074"/>
    <w:rsid w:val="00A646E2"/>
    <w:rsid w:val="00A651A9"/>
    <w:rsid w:val="00A6627C"/>
    <w:rsid w:val="00A67BB2"/>
    <w:rsid w:val="00A71019"/>
    <w:rsid w:val="00A803A0"/>
    <w:rsid w:val="00A80560"/>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192E"/>
    <w:rsid w:val="00B04004"/>
    <w:rsid w:val="00B14819"/>
    <w:rsid w:val="00B17AA9"/>
    <w:rsid w:val="00B221FF"/>
    <w:rsid w:val="00B26B31"/>
    <w:rsid w:val="00B30A70"/>
    <w:rsid w:val="00B31FF3"/>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0A06"/>
    <w:rsid w:val="00B7193E"/>
    <w:rsid w:val="00B72999"/>
    <w:rsid w:val="00B72FD7"/>
    <w:rsid w:val="00B736DF"/>
    <w:rsid w:val="00B74FBD"/>
    <w:rsid w:val="00B82586"/>
    <w:rsid w:val="00B829A3"/>
    <w:rsid w:val="00B86537"/>
    <w:rsid w:val="00B86DB1"/>
    <w:rsid w:val="00B87869"/>
    <w:rsid w:val="00B87A61"/>
    <w:rsid w:val="00B92D5B"/>
    <w:rsid w:val="00B9417E"/>
    <w:rsid w:val="00B9595E"/>
    <w:rsid w:val="00B973C6"/>
    <w:rsid w:val="00BA1648"/>
    <w:rsid w:val="00BA2637"/>
    <w:rsid w:val="00BA35FF"/>
    <w:rsid w:val="00BA6793"/>
    <w:rsid w:val="00BB09FD"/>
    <w:rsid w:val="00BB0F2B"/>
    <w:rsid w:val="00BB47D8"/>
    <w:rsid w:val="00BB5A37"/>
    <w:rsid w:val="00BB6955"/>
    <w:rsid w:val="00BB6F7A"/>
    <w:rsid w:val="00BC48EB"/>
    <w:rsid w:val="00BC585F"/>
    <w:rsid w:val="00BC5D7D"/>
    <w:rsid w:val="00BD0299"/>
    <w:rsid w:val="00BD23B4"/>
    <w:rsid w:val="00BD3363"/>
    <w:rsid w:val="00BD3F18"/>
    <w:rsid w:val="00BD64FB"/>
    <w:rsid w:val="00BD7D49"/>
    <w:rsid w:val="00BE1602"/>
    <w:rsid w:val="00BE5B8C"/>
    <w:rsid w:val="00BF2B49"/>
    <w:rsid w:val="00BF2E7A"/>
    <w:rsid w:val="00BF3D02"/>
    <w:rsid w:val="00BF40B9"/>
    <w:rsid w:val="00BF50F7"/>
    <w:rsid w:val="00BF5D90"/>
    <w:rsid w:val="00BF7EDB"/>
    <w:rsid w:val="00C00231"/>
    <w:rsid w:val="00C01017"/>
    <w:rsid w:val="00C01075"/>
    <w:rsid w:val="00C02F29"/>
    <w:rsid w:val="00C1019C"/>
    <w:rsid w:val="00C13FC2"/>
    <w:rsid w:val="00C148D4"/>
    <w:rsid w:val="00C158A8"/>
    <w:rsid w:val="00C15A16"/>
    <w:rsid w:val="00C1724E"/>
    <w:rsid w:val="00C20AFE"/>
    <w:rsid w:val="00C22A25"/>
    <w:rsid w:val="00C23C88"/>
    <w:rsid w:val="00C26E4B"/>
    <w:rsid w:val="00C31102"/>
    <w:rsid w:val="00C33C84"/>
    <w:rsid w:val="00C3453F"/>
    <w:rsid w:val="00C34A50"/>
    <w:rsid w:val="00C35026"/>
    <w:rsid w:val="00C35671"/>
    <w:rsid w:val="00C35B77"/>
    <w:rsid w:val="00C376EB"/>
    <w:rsid w:val="00C4187E"/>
    <w:rsid w:val="00C444EC"/>
    <w:rsid w:val="00C44B1D"/>
    <w:rsid w:val="00C45A03"/>
    <w:rsid w:val="00C46EC1"/>
    <w:rsid w:val="00C50F86"/>
    <w:rsid w:val="00C53E2C"/>
    <w:rsid w:val="00C550C8"/>
    <w:rsid w:val="00C56B61"/>
    <w:rsid w:val="00C570AC"/>
    <w:rsid w:val="00C5730D"/>
    <w:rsid w:val="00C60631"/>
    <w:rsid w:val="00C606C3"/>
    <w:rsid w:val="00C620F4"/>
    <w:rsid w:val="00C629CB"/>
    <w:rsid w:val="00C71262"/>
    <w:rsid w:val="00C71F4F"/>
    <w:rsid w:val="00C72848"/>
    <w:rsid w:val="00C74D6D"/>
    <w:rsid w:val="00C750BA"/>
    <w:rsid w:val="00C7736C"/>
    <w:rsid w:val="00C80272"/>
    <w:rsid w:val="00C82D87"/>
    <w:rsid w:val="00C8712A"/>
    <w:rsid w:val="00C87346"/>
    <w:rsid w:val="00C92A0D"/>
    <w:rsid w:val="00C963D3"/>
    <w:rsid w:val="00CA1802"/>
    <w:rsid w:val="00CA75A1"/>
    <w:rsid w:val="00CB262C"/>
    <w:rsid w:val="00CB2CBB"/>
    <w:rsid w:val="00CB7283"/>
    <w:rsid w:val="00CB7CAC"/>
    <w:rsid w:val="00CC467D"/>
    <w:rsid w:val="00CC5335"/>
    <w:rsid w:val="00CC579C"/>
    <w:rsid w:val="00CC5BA4"/>
    <w:rsid w:val="00CC63C5"/>
    <w:rsid w:val="00CC7728"/>
    <w:rsid w:val="00CD0FFE"/>
    <w:rsid w:val="00CD1732"/>
    <w:rsid w:val="00CD3437"/>
    <w:rsid w:val="00CD34DB"/>
    <w:rsid w:val="00CD377A"/>
    <w:rsid w:val="00CD4998"/>
    <w:rsid w:val="00CE1035"/>
    <w:rsid w:val="00CE62CA"/>
    <w:rsid w:val="00CE6AE1"/>
    <w:rsid w:val="00CF2819"/>
    <w:rsid w:val="00CF4F9D"/>
    <w:rsid w:val="00CF5AD8"/>
    <w:rsid w:val="00CF70DC"/>
    <w:rsid w:val="00CF717B"/>
    <w:rsid w:val="00D00207"/>
    <w:rsid w:val="00D0650A"/>
    <w:rsid w:val="00D068C5"/>
    <w:rsid w:val="00D07F87"/>
    <w:rsid w:val="00D13010"/>
    <w:rsid w:val="00D148DC"/>
    <w:rsid w:val="00D158FF"/>
    <w:rsid w:val="00D1688E"/>
    <w:rsid w:val="00D17FDC"/>
    <w:rsid w:val="00D221E5"/>
    <w:rsid w:val="00D223E4"/>
    <w:rsid w:val="00D256C6"/>
    <w:rsid w:val="00D25F51"/>
    <w:rsid w:val="00D31E45"/>
    <w:rsid w:val="00D35229"/>
    <w:rsid w:val="00D35ADE"/>
    <w:rsid w:val="00D35EAE"/>
    <w:rsid w:val="00D4685B"/>
    <w:rsid w:val="00D57C59"/>
    <w:rsid w:val="00D60215"/>
    <w:rsid w:val="00D60874"/>
    <w:rsid w:val="00D63EFD"/>
    <w:rsid w:val="00D6588F"/>
    <w:rsid w:val="00D676F1"/>
    <w:rsid w:val="00D679E5"/>
    <w:rsid w:val="00D70A76"/>
    <w:rsid w:val="00D714E4"/>
    <w:rsid w:val="00D83C96"/>
    <w:rsid w:val="00D84752"/>
    <w:rsid w:val="00D86A74"/>
    <w:rsid w:val="00D86B3B"/>
    <w:rsid w:val="00D8748A"/>
    <w:rsid w:val="00D905E4"/>
    <w:rsid w:val="00D93196"/>
    <w:rsid w:val="00D931A2"/>
    <w:rsid w:val="00DA376E"/>
    <w:rsid w:val="00DA42EF"/>
    <w:rsid w:val="00DA5687"/>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0C70"/>
    <w:rsid w:val="00DF1FD4"/>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C7636"/>
    <w:rsid w:val="00ED0BC4"/>
    <w:rsid w:val="00ED151E"/>
    <w:rsid w:val="00ED1B6F"/>
    <w:rsid w:val="00ED617A"/>
    <w:rsid w:val="00EE1A0E"/>
    <w:rsid w:val="00EE4971"/>
    <w:rsid w:val="00EE5A48"/>
    <w:rsid w:val="00EE5AD1"/>
    <w:rsid w:val="00EE5BFB"/>
    <w:rsid w:val="00EE6390"/>
    <w:rsid w:val="00EE7278"/>
    <w:rsid w:val="00EF090E"/>
    <w:rsid w:val="00EF16B6"/>
    <w:rsid w:val="00EF1B1A"/>
    <w:rsid w:val="00EF2D08"/>
    <w:rsid w:val="00EF465E"/>
    <w:rsid w:val="00EF48BF"/>
    <w:rsid w:val="00EF5705"/>
    <w:rsid w:val="00EF6653"/>
    <w:rsid w:val="00EF712F"/>
    <w:rsid w:val="00F033DA"/>
    <w:rsid w:val="00F0424E"/>
    <w:rsid w:val="00F106CE"/>
    <w:rsid w:val="00F1096A"/>
    <w:rsid w:val="00F13FB1"/>
    <w:rsid w:val="00F15181"/>
    <w:rsid w:val="00F1640B"/>
    <w:rsid w:val="00F2025D"/>
    <w:rsid w:val="00F27CD8"/>
    <w:rsid w:val="00F30351"/>
    <w:rsid w:val="00F3323E"/>
    <w:rsid w:val="00F335A0"/>
    <w:rsid w:val="00F341F4"/>
    <w:rsid w:val="00F34F9D"/>
    <w:rsid w:val="00F34FAD"/>
    <w:rsid w:val="00F3554C"/>
    <w:rsid w:val="00F35CCE"/>
    <w:rsid w:val="00F35D73"/>
    <w:rsid w:val="00F366E1"/>
    <w:rsid w:val="00F37358"/>
    <w:rsid w:val="00F41786"/>
    <w:rsid w:val="00F42B4B"/>
    <w:rsid w:val="00F4376C"/>
    <w:rsid w:val="00F45599"/>
    <w:rsid w:val="00F45C13"/>
    <w:rsid w:val="00F50D48"/>
    <w:rsid w:val="00F512EC"/>
    <w:rsid w:val="00F52E31"/>
    <w:rsid w:val="00F54776"/>
    <w:rsid w:val="00F5524B"/>
    <w:rsid w:val="00F5710B"/>
    <w:rsid w:val="00F61DD2"/>
    <w:rsid w:val="00F61DF9"/>
    <w:rsid w:val="00F63720"/>
    <w:rsid w:val="00F64226"/>
    <w:rsid w:val="00F65FB6"/>
    <w:rsid w:val="00F66AFF"/>
    <w:rsid w:val="00F71433"/>
    <w:rsid w:val="00F71CE8"/>
    <w:rsid w:val="00F738B0"/>
    <w:rsid w:val="00F77E71"/>
    <w:rsid w:val="00F80BC5"/>
    <w:rsid w:val="00F83231"/>
    <w:rsid w:val="00F85A51"/>
    <w:rsid w:val="00F85DB2"/>
    <w:rsid w:val="00F868D3"/>
    <w:rsid w:val="00F91FA7"/>
    <w:rsid w:val="00F96AF1"/>
    <w:rsid w:val="00F97C5B"/>
    <w:rsid w:val="00FA29FD"/>
    <w:rsid w:val="00FA2A46"/>
    <w:rsid w:val="00FA3739"/>
    <w:rsid w:val="00FA3D50"/>
    <w:rsid w:val="00FA43E7"/>
    <w:rsid w:val="00FB6703"/>
    <w:rsid w:val="00FB7C8F"/>
    <w:rsid w:val="00FB7D52"/>
    <w:rsid w:val="00FC337F"/>
    <w:rsid w:val="00FC374A"/>
    <w:rsid w:val="00FC4E5D"/>
    <w:rsid w:val="00FC4F43"/>
    <w:rsid w:val="00FC5D26"/>
    <w:rsid w:val="00FC7B47"/>
    <w:rsid w:val="00FD0169"/>
    <w:rsid w:val="00FD035C"/>
    <w:rsid w:val="00FD1240"/>
    <w:rsid w:val="00FD1A35"/>
    <w:rsid w:val="00FD36C5"/>
    <w:rsid w:val="00FD5B6F"/>
    <w:rsid w:val="00FD6126"/>
    <w:rsid w:val="00FD6310"/>
    <w:rsid w:val="00FD6593"/>
    <w:rsid w:val="00FD7C7B"/>
    <w:rsid w:val="00FE1D12"/>
    <w:rsid w:val="00FE2122"/>
    <w:rsid w:val="00FE2A86"/>
    <w:rsid w:val="00FE4C14"/>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purl.org/dc/elements/1.1/"/>
    <ds:schemaRef ds:uri="http://www.w3.org/XML/1998/namespace"/>
    <ds:schemaRef ds:uri="http://schemas.microsoft.com/office/2006/documentManagement/types"/>
    <ds:schemaRef ds:uri="a21de7b9-cad9-43f2-8459-9b1b4f9894e2"/>
    <ds:schemaRef ds:uri="http://purl.org/dc/terms/"/>
    <ds:schemaRef ds:uri="d0ad2d52-4869-465d-a93a-001fa21a593d"/>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8592B0E-C1E9-4BA4-82DF-74C7016E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13</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Ramtahal</cp:lastModifiedBy>
  <cp:revision>10</cp:revision>
  <cp:lastPrinted>2020-06-12T02:43:00Z</cp:lastPrinted>
  <dcterms:created xsi:type="dcterms:W3CDTF">2021-11-13T23:45:00Z</dcterms:created>
  <dcterms:modified xsi:type="dcterms:W3CDTF">2021-11-15T21:54:00Z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