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jstalinea"/>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jstalinea"/>
        <w:ind w:left="426"/>
        <w:jc w:val="both"/>
        <w:rPr>
          <w:rFonts w:ascii="Arial" w:hAnsi="Arial" w:cs="Arial"/>
          <w:sz w:val="22"/>
          <w:szCs w:val="22"/>
          <w:lang w:val="en-GB"/>
        </w:rPr>
      </w:pPr>
    </w:p>
    <w:p w14:paraId="3A5379A8" w14:textId="640837BF" w:rsidR="00C60631" w:rsidRPr="00205B31" w:rsidRDefault="00C60631" w:rsidP="009D510C">
      <w:pPr>
        <w:pStyle w:val="Lijstalinea"/>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jstalinea"/>
        <w:ind w:left="426"/>
        <w:rPr>
          <w:rFonts w:ascii="Arial" w:hAnsi="Arial" w:cs="Arial"/>
          <w:sz w:val="22"/>
          <w:szCs w:val="22"/>
          <w:lang w:val="en-GB"/>
        </w:rPr>
      </w:pPr>
    </w:p>
    <w:p w14:paraId="0C8A950B" w14:textId="2BF27228" w:rsidR="00C60631" w:rsidRPr="00CD15FE" w:rsidRDefault="00C60631" w:rsidP="009D510C">
      <w:pPr>
        <w:pStyle w:val="Lijstalinea"/>
        <w:numPr>
          <w:ilvl w:val="0"/>
          <w:numId w:val="12"/>
        </w:numPr>
        <w:ind w:left="426"/>
        <w:jc w:val="both"/>
        <w:rPr>
          <w:rFonts w:ascii="Arial" w:hAnsi="Arial" w:cs="Arial"/>
          <w:sz w:val="22"/>
          <w:szCs w:val="22"/>
          <w:highlight w:val="yellow"/>
          <w:lang w:val="en-GB"/>
        </w:rPr>
      </w:pPr>
      <w:r w:rsidRPr="00CD15FE">
        <w:rPr>
          <w:rFonts w:ascii="Arial" w:hAnsi="Arial" w:cs="Arial"/>
          <w:sz w:val="22"/>
          <w:szCs w:val="22"/>
          <w:highlight w:val="yellow"/>
          <w:lang w:val="en-GB"/>
        </w:rPr>
        <w:t xml:space="preserve">This statement is incorrect since </w:t>
      </w:r>
      <w:r w:rsidR="00E7793C" w:rsidRPr="00CD15FE">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jstalinea"/>
        <w:ind w:left="426"/>
        <w:rPr>
          <w:rFonts w:ascii="Arial" w:hAnsi="Arial" w:cs="Arial"/>
          <w:sz w:val="22"/>
          <w:szCs w:val="22"/>
          <w:lang w:val="en-GB"/>
        </w:rPr>
      </w:pPr>
    </w:p>
    <w:p w14:paraId="0DCFE971" w14:textId="0AB341B1" w:rsidR="00E7793C" w:rsidRPr="00205B31" w:rsidRDefault="00E7793C" w:rsidP="009D510C">
      <w:pPr>
        <w:pStyle w:val="Lijstalinea"/>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jstalinea"/>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jstalinea"/>
        <w:ind w:left="426" w:hanging="360"/>
        <w:jc w:val="both"/>
        <w:rPr>
          <w:rFonts w:ascii="Arial" w:hAnsi="Arial" w:cs="Arial"/>
          <w:sz w:val="22"/>
          <w:szCs w:val="22"/>
          <w:lang w:val="en-GB"/>
        </w:rPr>
      </w:pPr>
    </w:p>
    <w:p w14:paraId="62B41459" w14:textId="77777777" w:rsidR="00AE027F" w:rsidRPr="00205B31" w:rsidRDefault="00E7793C" w:rsidP="009D510C">
      <w:pPr>
        <w:pStyle w:val="Lijstalinea"/>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jstalinea"/>
        <w:ind w:left="426" w:hanging="360"/>
        <w:rPr>
          <w:rFonts w:ascii="Arial" w:hAnsi="Arial" w:cs="Arial"/>
          <w:sz w:val="22"/>
          <w:szCs w:val="22"/>
          <w:lang w:val="en-GB"/>
        </w:rPr>
      </w:pPr>
    </w:p>
    <w:p w14:paraId="60F45659" w14:textId="42DF7EA5" w:rsidR="00AE027F" w:rsidRPr="00205B31" w:rsidRDefault="00AE027F" w:rsidP="009D510C">
      <w:pPr>
        <w:pStyle w:val="Lijstalinea"/>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jstalinea"/>
        <w:ind w:left="426" w:hanging="360"/>
        <w:rPr>
          <w:rFonts w:ascii="Arial" w:hAnsi="Arial" w:cs="Arial"/>
          <w:sz w:val="22"/>
          <w:szCs w:val="22"/>
          <w:lang w:val="en-GB"/>
        </w:rPr>
      </w:pPr>
    </w:p>
    <w:p w14:paraId="095097C0" w14:textId="5CFDC719" w:rsidR="00E7793C" w:rsidRPr="0073127D" w:rsidRDefault="00AE027F" w:rsidP="009D510C">
      <w:pPr>
        <w:pStyle w:val="Lijstalinea"/>
        <w:numPr>
          <w:ilvl w:val="0"/>
          <w:numId w:val="13"/>
        </w:numPr>
        <w:jc w:val="both"/>
        <w:rPr>
          <w:rFonts w:ascii="Arial" w:hAnsi="Arial" w:cs="Arial"/>
          <w:sz w:val="22"/>
          <w:szCs w:val="22"/>
          <w:highlight w:val="yellow"/>
          <w:lang w:val="en-GB"/>
        </w:rPr>
      </w:pPr>
      <w:r w:rsidRPr="0073127D">
        <w:rPr>
          <w:rFonts w:ascii="Arial" w:hAnsi="Arial" w:cs="Arial"/>
          <w:sz w:val="22"/>
          <w:szCs w:val="22"/>
          <w:highlight w:val="yellow"/>
          <w:lang w:val="en-GB"/>
        </w:rPr>
        <w:t>The statement i</w:t>
      </w:r>
      <w:r w:rsidR="006E77B0" w:rsidRPr="0073127D">
        <w:rPr>
          <w:rFonts w:ascii="Arial" w:hAnsi="Arial" w:cs="Arial"/>
          <w:sz w:val="22"/>
          <w:szCs w:val="22"/>
          <w:highlight w:val="yellow"/>
          <w:lang w:val="en-GB"/>
        </w:rPr>
        <w:t>s incorrect since the UK did re</w:t>
      </w:r>
      <w:r w:rsidRPr="0073127D">
        <w:rPr>
          <w:rFonts w:ascii="Arial" w:hAnsi="Arial" w:cs="Arial"/>
          <w:sz w:val="22"/>
          <w:szCs w:val="22"/>
          <w:highlight w:val="yellow"/>
          <w:lang w:val="en-GB"/>
        </w:rPr>
        <w:t>v</w:t>
      </w:r>
      <w:r w:rsidR="006E77B0" w:rsidRPr="0073127D">
        <w:rPr>
          <w:rFonts w:ascii="Arial" w:hAnsi="Arial" w:cs="Arial"/>
          <w:sz w:val="22"/>
          <w:szCs w:val="22"/>
          <w:highlight w:val="yellow"/>
          <w:lang w:val="en-GB"/>
        </w:rPr>
        <w:t>i</w:t>
      </w:r>
      <w:r w:rsidRPr="0073127D">
        <w:rPr>
          <w:rFonts w:ascii="Arial" w:hAnsi="Arial" w:cs="Arial"/>
          <w:sz w:val="22"/>
          <w:szCs w:val="22"/>
          <w:highlight w:val="yellow"/>
          <w:lang w:val="en-GB"/>
        </w:rPr>
        <w:t>ew parts of its insolvency rules and amended some, among</w:t>
      </w:r>
      <w:r w:rsidR="006E77B0" w:rsidRPr="0073127D">
        <w:rPr>
          <w:rFonts w:ascii="Arial" w:hAnsi="Arial" w:cs="Arial"/>
          <w:sz w:val="22"/>
          <w:szCs w:val="22"/>
          <w:highlight w:val="yellow"/>
          <w:lang w:val="en-GB"/>
        </w:rPr>
        <w:t>s</w:t>
      </w:r>
      <w:r w:rsidRPr="0073127D">
        <w:rPr>
          <w:rFonts w:ascii="Arial" w:hAnsi="Arial" w:cs="Arial"/>
          <w:sz w:val="22"/>
          <w:szCs w:val="22"/>
          <w:highlight w:val="yellow"/>
          <w:lang w:val="en-GB"/>
        </w:rPr>
        <w:t>t other</w:t>
      </w:r>
      <w:r w:rsidR="00F96AF1" w:rsidRPr="0073127D">
        <w:rPr>
          <w:rFonts w:ascii="Arial" w:hAnsi="Arial" w:cs="Arial"/>
          <w:sz w:val="22"/>
          <w:szCs w:val="22"/>
          <w:highlight w:val="yellow"/>
          <w:lang w:val="en-GB"/>
        </w:rPr>
        <w:t xml:space="preserve"> things</w:t>
      </w:r>
      <w:r w:rsidRPr="0073127D">
        <w:rPr>
          <w:rFonts w:ascii="Arial" w:hAnsi="Arial" w:cs="Arial"/>
          <w:sz w:val="22"/>
          <w:szCs w:val="22"/>
          <w:highlight w:val="yellow"/>
          <w:lang w:val="en-GB"/>
        </w:rPr>
        <w:t>, to deal with the negative economic fall out of the pandemic.</w:t>
      </w:r>
      <w:r w:rsidR="00100A77" w:rsidRPr="0073127D">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jstalinea"/>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jstalinea"/>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jstalinea"/>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jstalinea"/>
        <w:ind w:left="426"/>
        <w:rPr>
          <w:rFonts w:ascii="Arial" w:hAnsi="Arial" w:cs="Arial"/>
          <w:sz w:val="22"/>
          <w:szCs w:val="22"/>
          <w:lang w:val="en-GB"/>
        </w:rPr>
      </w:pPr>
    </w:p>
    <w:p w14:paraId="633F6419" w14:textId="77777777" w:rsidR="00B54F90" w:rsidRPr="00205B31" w:rsidRDefault="00B54F90" w:rsidP="009D510C">
      <w:pPr>
        <w:pStyle w:val="Lijstalinea"/>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jstalinea"/>
        <w:ind w:left="426"/>
        <w:rPr>
          <w:rFonts w:ascii="Arial" w:hAnsi="Arial" w:cs="Arial"/>
          <w:sz w:val="22"/>
          <w:szCs w:val="22"/>
          <w:lang w:val="en-GB"/>
        </w:rPr>
      </w:pPr>
    </w:p>
    <w:p w14:paraId="77ADD601" w14:textId="2D159736" w:rsidR="00B54F90" w:rsidRPr="0073127D" w:rsidRDefault="00B54F90" w:rsidP="009D510C">
      <w:pPr>
        <w:pStyle w:val="Lijstalinea"/>
        <w:numPr>
          <w:ilvl w:val="0"/>
          <w:numId w:val="14"/>
        </w:numPr>
        <w:ind w:left="426"/>
        <w:jc w:val="both"/>
        <w:rPr>
          <w:rFonts w:ascii="Arial" w:hAnsi="Arial" w:cs="Arial"/>
          <w:sz w:val="22"/>
          <w:szCs w:val="22"/>
          <w:highlight w:val="yellow"/>
          <w:lang w:val="en-GB"/>
        </w:rPr>
      </w:pPr>
      <w:r w:rsidRPr="0073127D">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73127D">
        <w:rPr>
          <w:rFonts w:ascii="Arial" w:hAnsi="Arial" w:cs="Arial"/>
          <w:sz w:val="22"/>
          <w:szCs w:val="22"/>
          <w:highlight w:val="yellow"/>
          <w:lang w:val="en-GB"/>
        </w:rPr>
        <w:t xml:space="preserve">on </w:t>
      </w:r>
      <w:r w:rsidRPr="0073127D">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jstalinea"/>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jstalinea"/>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jstalinea"/>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jstalinea"/>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73127D" w:rsidRDefault="006E1CB0" w:rsidP="009D510C">
      <w:pPr>
        <w:pStyle w:val="Lijstalinea"/>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73127D">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jstalinea"/>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jstalinea"/>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83726D" w:rsidRDefault="00926D10" w:rsidP="009D510C">
      <w:pPr>
        <w:pStyle w:val="Lijstalinea"/>
        <w:numPr>
          <w:ilvl w:val="0"/>
          <w:numId w:val="5"/>
        </w:numPr>
        <w:ind w:left="426"/>
        <w:jc w:val="both"/>
        <w:rPr>
          <w:rFonts w:ascii="Arial" w:hAnsi="Arial" w:cs="Arial"/>
          <w:sz w:val="22"/>
          <w:szCs w:val="22"/>
          <w:highlight w:val="yellow"/>
          <w:lang w:val="en-GB"/>
        </w:rPr>
      </w:pPr>
      <w:r w:rsidRPr="0083726D">
        <w:rPr>
          <w:rFonts w:ascii="Arial" w:hAnsi="Arial" w:cs="Arial"/>
          <w:sz w:val="22"/>
          <w:szCs w:val="22"/>
          <w:highlight w:val="yellow"/>
          <w:lang w:val="en-GB"/>
        </w:rPr>
        <w:t xml:space="preserve">The statement is </w:t>
      </w:r>
      <w:r w:rsidR="006E1CB0" w:rsidRPr="0083726D">
        <w:rPr>
          <w:rFonts w:ascii="Arial" w:hAnsi="Arial" w:cs="Arial"/>
          <w:sz w:val="22"/>
          <w:szCs w:val="22"/>
          <w:highlight w:val="yellow"/>
          <w:lang w:val="en-GB"/>
        </w:rPr>
        <w:t xml:space="preserve">not </w:t>
      </w:r>
      <w:r w:rsidRPr="0083726D">
        <w:rPr>
          <w:rFonts w:ascii="Arial" w:hAnsi="Arial" w:cs="Arial"/>
          <w:sz w:val="22"/>
          <w:szCs w:val="22"/>
          <w:highlight w:val="yellow"/>
          <w:lang w:val="en-GB"/>
        </w:rPr>
        <w:t xml:space="preserve">correct </w:t>
      </w:r>
      <w:r w:rsidR="007958F0" w:rsidRPr="0083726D">
        <w:rPr>
          <w:rFonts w:ascii="Arial" w:hAnsi="Arial" w:cs="Arial"/>
          <w:sz w:val="22"/>
          <w:szCs w:val="22"/>
          <w:highlight w:val="yellow"/>
          <w:lang w:val="en-GB"/>
        </w:rPr>
        <w:t>because</w:t>
      </w:r>
      <w:r w:rsidRPr="0083726D">
        <w:rPr>
          <w:rFonts w:ascii="Arial" w:hAnsi="Arial" w:cs="Arial"/>
          <w:sz w:val="22"/>
          <w:szCs w:val="22"/>
          <w:highlight w:val="yellow"/>
          <w:lang w:val="en-GB"/>
        </w:rPr>
        <w:t xml:space="preserve"> very few </w:t>
      </w:r>
      <w:r w:rsidR="007958F0" w:rsidRPr="0083726D">
        <w:rPr>
          <w:rFonts w:ascii="Arial" w:hAnsi="Arial" w:cs="Arial"/>
          <w:sz w:val="22"/>
          <w:szCs w:val="22"/>
          <w:highlight w:val="yellow"/>
          <w:lang w:val="en-GB"/>
        </w:rPr>
        <w:t>States</w:t>
      </w:r>
      <w:r w:rsidRPr="0083726D">
        <w:rPr>
          <w:rFonts w:ascii="Arial" w:hAnsi="Arial" w:cs="Arial"/>
          <w:sz w:val="22"/>
          <w:szCs w:val="22"/>
          <w:highlight w:val="yellow"/>
          <w:lang w:val="en-GB"/>
        </w:rPr>
        <w:t xml:space="preserve"> allow insolvent estate representatives to deal with assets of a foreign debtor situated in </w:t>
      </w:r>
      <w:r w:rsidR="005936B3" w:rsidRPr="0083726D">
        <w:rPr>
          <w:rFonts w:ascii="Arial" w:hAnsi="Arial" w:cs="Arial"/>
          <w:sz w:val="22"/>
          <w:szCs w:val="22"/>
          <w:highlight w:val="yellow"/>
          <w:lang w:val="en-GB"/>
        </w:rPr>
        <w:t>their own</w:t>
      </w:r>
      <w:r w:rsidRPr="0083726D">
        <w:rPr>
          <w:rFonts w:ascii="Arial" w:hAnsi="Arial" w:cs="Arial"/>
          <w:sz w:val="22"/>
          <w:szCs w:val="22"/>
          <w:highlight w:val="yellow"/>
          <w:lang w:val="en-GB"/>
        </w:rPr>
        <w:t xml:space="preserve"> jurisdiction without </w:t>
      </w:r>
      <w:r w:rsidR="006E1CB0" w:rsidRPr="0083726D">
        <w:rPr>
          <w:rFonts w:ascii="Arial" w:hAnsi="Arial" w:cs="Arial"/>
          <w:sz w:val="22"/>
          <w:szCs w:val="22"/>
          <w:highlight w:val="yellow"/>
          <w:lang w:val="en-GB"/>
        </w:rPr>
        <w:t xml:space="preserve">some form of </w:t>
      </w:r>
      <w:r w:rsidR="0090037B" w:rsidRPr="0083726D">
        <w:rPr>
          <w:rFonts w:ascii="Arial" w:hAnsi="Arial" w:cs="Arial"/>
          <w:sz w:val="22"/>
          <w:szCs w:val="22"/>
          <w:highlight w:val="yellow"/>
          <w:lang w:val="en-GB"/>
        </w:rPr>
        <w:t xml:space="preserve">a </w:t>
      </w:r>
      <w:r w:rsidR="006E1CB0" w:rsidRPr="0083726D">
        <w:rPr>
          <w:rFonts w:ascii="Arial" w:hAnsi="Arial" w:cs="Arial"/>
          <w:sz w:val="22"/>
          <w:szCs w:val="22"/>
          <w:highlight w:val="yellow"/>
          <w:lang w:val="en-GB"/>
        </w:rPr>
        <w:t>(</w:t>
      </w:r>
      <w:r w:rsidR="0090037B" w:rsidRPr="0083726D">
        <w:rPr>
          <w:rFonts w:ascii="Arial" w:hAnsi="Arial" w:cs="Arial"/>
          <w:sz w:val="22"/>
          <w:szCs w:val="22"/>
          <w:highlight w:val="yellow"/>
          <w:lang w:val="en-GB"/>
        </w:rPr>
        <w:t>prior</w:t>
      </w:r>
      <w:r w:rsidR="006E1CB0" w:rsidRPr="0083726D">
        <w:rPr>
          <w:rFonts w:ascii="Arial" w:hAnsi="Arial" w:cs="Arial"/>
          <w:sz w:val="22"/>
          <w:szCs w:val="22"/>
          <w:highlight w:val="yellow"/>
          <w:lang w:val="en-GB"/>
        </w:rPr>
        <w:t>)</w:t>
      </w:r>
      <w:r w:rsidRPr="0083726D">
        <w:rPr>
          <w:rFonts w:ascii="Arial" w:hAnsi="Arial" w:cs="Arial"/>
          <w:sz w:val="22"/>
          <w:szCs w:val="22"/>
          <w:highlight w:val="yellow"/>
          <w:lang w:val="en-GB"/>
        </w:rPr>
        <w:t xml:space="preserve"> local procedure </w:t>
      </w:r>
      <w:r w:rsidR="005936B3" w:rsidRPr="0083726D">
        <w:rPr>
          <w:rFonts w:ascii="Arial" w:hAnsi="Arial" w:cs="Arial"/>
          <w:sz w:val="22"/>
          <w:szCs w:val="22"/>
          <w:highlight w:val="yellow"/>
          <w:lang w:val="en-GB"/>
        </w:rPr>
        <w:t xml:space="preserve">to </w:t>
      </w:r>
      <w:r w:rsidRPr="0083726D">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jstalinea"/>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jstalinea"/>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jstalinea"/>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jstalinea"/>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954C91" w:rsidRDefault="000329A6" w:rsidP="00C570AC">
      <w:pPr>
        <w:pStyle w:val="Lijstalinea"/>
        <w:numPr>
          <w:ilvl w:val="0"/>
          <w:numId w:val="6"/>
        </w:numPr>
        <w:ind w:left="426"/>
        <w:jc w:val="both"/>
        <w:rPr>
          <w:rFonts w:ascii="Arial" w:hAnsi="Arial" w:cs="Arial"/>
          <w:sz w:val="22"/>
          <w:szCs w:val="22"/>
          <w:highlight w:val="yellow"/>
          <w:lang w:val="en-GB"/>
        </w:rPr>
      </w:pPr>
      <w:r w:rsidRPr="00954C91">
        <w:rPr>
          <w:rFonts w:ascii="Arial" w:eastAsiaTheme="minorHAnsi" w:hAnsi="Arial" w:cs="Arial"/>
          <w:sz w:val="22"/>
          <w:szCs w:val="22"/>
          <w:highlight w:val="yellow"/>
          <w:lang w:val="en-GB"/>
        </w:rPr>
        <w:t xml:space="preserve">They were recently revised in 2021 and, together with the </w:t>
      </w:r>
      <w:r w:rsidRPr="00954C91">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jstalinea"/>
        <w:ind w:left="426" w:hanging="360"/>
        <w:jc w:val="both"/>
        <w:rPr>
          <w:rFonts w:ascii="Arial" w:hAnsi="Arial" w:cs="Arial"/>
          <w:sz w:val="22"/>
          <w:szCs w:val="22"/>
          <w:lang w:val="en-GB"/>
        </w:rPr>
      </w:pPr>
    </w:p>
    <w:p w14:paraId="191AFD3F" w14:textId="2D782C6E" w:rsidR="00E9597C" w:rsidRPr="00205B31" w:rsidRDefault="00AC126D" w:rsidP="00C570AC">
      <w:pPr>
        <w:pStyle w:val="Lijstalinea"/>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jstalinea"/>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jstalinea"/>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jstalinea"/>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jstalinea"/>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jstalinea"/>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044E8B" w:rsidRDefault="00470C55" w:rsidP="00275182">
      <w:pPr>
        <w:pStyle w:val="Lijstalinea"/>
        <w:numPr>
          <w:ilvl w:val="0"/>
          <w:numId w:val="16"/>
        </w:numPr>
        <w:ind w:left="426"/>
        <w:jc w:val="both"/>
        <w:rPr>
          <w:rFonts w:ascii="Arial" w:eastAsiaTheme="minorHAnsi" w:hAnsi="Arial" w:cs="Arial"/>
          <w:sz w:val="22"/>
          <w:szCs w:val="22"/>
          <w:highlight w:val="yellow"/>
          <w:lang w:val="en-GB"/>
        </w:rPr>
      </w:pPr>
      <w:r w:rsidRPr="00044E8B">
        <w:rPr>
          <w:rFonts w:ascii="Arial" w:eastAsiaTheme="minorHAnsi" w:hAnsi="Arial" w:cs="Arial"/>
          <w:sz w:val="22"/>
          <w:szCs w:val="22"/>
          <w:highlight w:val="yellow"/>
          <w:lang w:val="en-GB"/>
        </w:rPr>
        <w:t xml:space="preserve">The Nordic Convention </w:t>
      </w:r>
      <w:r w:rsidR="00076483" w:rsidRPr="00044E8B">
        <w:rPr>
          <w:rFonts w:ascii="Arial" w:eastAsiaTheme="minorHAnsi" w:hAnsi="Arial" w:cs="Arial"/>
          <w:sz w:val="22"/>
          <w:szCs w:val="22"/>
          <w:highlight w:val="yellow"/>
          <w:lang w:val="en-GB"/>
        </w:rPr>
        <w:t>1933</w:t>
      </w:r>
      <w:r w:rsidR="00966E44" w:rsidRPr="00044E8B">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jstalinea"/>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044E8B" w:rsidRDefault="00124B70" w:rsidP="00275182">
      <w:pPr>
        <w:pStyle w:val="Lijstalinea"/>
        <w:numPr>
          <w:ilvl w:val="0"/>
          <w:numId w:val="8"/>
        </w:numPr>
        <w:ind w:left="426"/>
        <w:jc w:val="both"/>
        <w:rPr>
          <w:rFonts w:ascii="Arial" w:hAnsi="Arial" w:cs="Arial"/>
          <w:sz w:val="22"/>
          <w:szCs w:val="22"/>
          <w:highlight w:val="yellow"/>
          <w:lang w:val="en-GB"/>
        </w:rPr>
      </w:pPr>
      <w:r w:rsidRPr="00044E8B">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jstalinea"/>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jstalinea"/>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jstalinea"/>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044E8B" w:rsidRDefault="00E86549" w:rsidP="00275182">
      <w:pPr>
        <w:pStyle w:val="Lijstalinea"/>
        <w:numPr>
          <w:ilvl w:val="0"/>
          <w:numId w:val="9"/>
        </w:numPr>
        <w:ind w:left="426"/>
        <w:jc w:val="both"/>
        <w:rPr>
          <w:rFonts w:ascii="Arial" w:hAnsi="Arial" w:cs="Arial"/>
          <w:bCs/>
          <w:sz w:val="22"/>
          <w:szCs w:val="22"/>
          <w:highlight w:val="yellow"/>
          <w:lang w:val="en-GB"/>
        </w:rPr>
      </w:pPr>
      <w:r w:rsidRPr="00044E8B">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044E8B">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jstalinea"/>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jstalinea"/>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jstalinea"/>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jstalinea"/>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jstalinea"/>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jstalinea"/>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jstalinea"/>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044E8B" w:rsidRDefault="00911C23" w:rsidP="00275182">
      <w:pPr>
        <w:pStyle w:val="Lijstalinea"/>
        <w:numPr>
          <w:ilvl w:val="0"/>
          <w:numId w:val="10"/>
        </w:numPr>
        <w:ind w:left="426"/>
        <w:jc w:val="both"/>
        <w:rPr>
          <w:rFonts w:ascii="Arial" w:hAnsi="Arial" w:cs="Arial"/>
          <w:sz w:val="22"/>
          <w:szCs w:val="22"/>
          <w:highlight w:val="yellow"/>
          <w:lang w:val="en-GB"/>
        </w:rPr>
      </w:pPr>
      <w:r w:rsidRPr="00044E8B">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jstalinea"/>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7C60506C" w14:textId="15CB0A89" w:rsidR="001B5412" w:rsidRDefault="00495862" w:rsidP="001B541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important step in the development of </w:t>
      </w:r>
      <w:r w:rsidR="001B5412">
        <w:rPr>
          <w:rFonts w:ascii="Arial" w:hAnsi="Arial" w:cs="Arial"/>
          <w:color w:val="7B7B7B" w:themeColor="accent3" w:themeShade="BF"/>
          <w:sz w:val="22"/>
          <w:szCs w:val="22"/>
          <w:lang w:val="en-GB"/>
        </w:rPr>
        <w:t xml:space="preserve">insolvency and bankruptcy law in English law was  the adoption of the Bankruptcy Act of 1542. </w:t>
      </w:r>
      <w:r w:rsidR="007A6AAD">
        <w:rPr>
          <w:rFonts w:ascii="Arial" w:hAnsi="Arial" w:cs="Arial"/>
          <w:color w:val="7B7B7B" w:themeColor="accent3" w:themeShade="BF"/>
          <w:sz w:val="22"/>
          <w:szCs w:val="22"/>
          <w:lang w:val="en-GB"/>
        </w:rPr>
        <w:t xml:space="preserve">This Act already introduced two principles which remain valid as fundamental today: (1) </w:t>
      </w:r>
      <w:r w:rsidR="005B33A0">
        <w:rPr>
          <w:rFonts w:ascii="Arial" w:hAnsi="Arial" w:cs="Arial"/>
          <w:color w:val="7B7B7B" w:themeColor="accent3" w:themeShade="BF"/>
          <w:sz w:val="22"/>
          <w:szCs w:val="22"/>
          <w:lang w:val="en-GB"/>
        </w:rPr>
        <w:t xml:space="preserve">the collective character of creditor participation in insolvency proceedings; and (2) the principle that the debtor’s assets are to be distributed </w:t>
      </w:r>
      <w:r w:rsidR="005B33A0">
        <w:rPr>
          <w:rFonts w:ascii="Arial" w:hAnsi="Arial" w:cs="Arial"/>
          <w:i/>
          <w:iCs/>
          <w:color w:val="7B7B7B" w:themeColor="accent3" w:themeShade="BF"/>
          <w:sz w:val="22"/>
          <w:szCs w:val="22"/>
          <w:lang w:val="en-GB"/>
        </w:rPr>
        <w:t>pari passu</w:t>
      </w:r>
      <w:r w:rsidR="005B33A0">
        <w:rPr>
          <w:rFonts w:ascii="Arial" w:hAnsi="Arial" w:cs="Arial"/>
          <w:color w:val="7B7B7B" w:themeColor="accent3" w:themeShade="BF"/>
          <w:sz w:val="22"/>
          <w:szCs w:val="22"/>
          <w:lang w:val="en-GB"/>
        </w:rPr>
        <w:t xml:space="preserve"> between the creditors, </w:t>
      </w:r>
      <w:r w:rsidR="00945639">
        <w:rPr>
          <w:rFonts w:ascii="Arial" w:hAnsi="Arial" w:cs="Arial"/>
          <w:color w:val="7B7B7B" w:themeColor="accent3" w:themeShade="BF"/>
          <w:sz w:val="22"/>
          <w:szCs w:val="22"/>
          <w:lang w:val="en-GB"/>
        </w:rPr>
        <w:t>meaning that they must share any available assets of the debtor (or any proceeds of the sale thereof) in proportion to the debts due to each creditor.</w:t>
      </w:r>
    </w:p>
    <w:p w14:paraId="295FDCDF" w14:textId="77777777" w:rsidR="00945639" w:rsidRDefault="00945639" w:rsidP="001B5412">
      <w:pPr>
        <w:jc w:val="both"/>
        <w:rPr>
          <w:rFonts w:ascii="Arial" w:hAnsi="Arial" w:cs="Arial"/>
          <w:color w:val="7B7B7B" w:themeColor="accent3" w:themeShade="BF"/>
          <w:sz w:val="22"/>
          <w:szCs w:val="22"/>
          <w:lang w:val="en-GB"/>
        </w:rPr>
      </w:pPr>
    </w:p>
    <w:p w14:paraId="5170F568" w14:textId="77777777" w:rsidR="00175AE1" w:rsidRDefault="00F77E7C" w:rsidP="001B541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945639">
        <w:rPr>
          <w:rFonts w:ascii="Arial" w:hAnsi="Arial" w:cs="Arial"/>
          <w:color w:val="7B7B7B" w:themeColor="accent3" w:themeShade="BF"/>
          <w:sz w:val="22"/>
          <w:szCs w:val="22"/>
          <w:lang w:val="en-GB"/>
        </w:rPr>
        <w:t>nother</w:t>
      </w:r>
      <w:r>
        <w:rPr>
          <w:rFonts w:ascii="Arial" w:hAnsi="Arial" w:cs="Arial"/>
          <w:color w:val="7B7B7B" w:themeColor="accent3" w:themeShade="BF"/>
          <w:sz w:val="22"/>
          <w:szCs w:val="22"/>
          <w:lang w:val="en-GB"/>
        </w:rPr>
        <w:t xml:space="preserve"> major reform</w:t>
      </w:r>
      <w:r w:rsidR="001B5412">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came with the </w:t>
      </w:r>
      <w:r w:rsidR="00945639">
        <w:rPr>
          <w:rFonts w:ascii="Arial" w:hAnsi="Arial" w:cs="Arial"/>
          <w:color w:val="7B7B7B" w:themeColor="accent3" w:themeShade="BF"/>
          <w:sz w:val="22"/>
          <w:szCs w:val="22"/>
          <w:lang w:val="en-GB"/>
        </w:rPr>
        <w:t xml:space="preserve">Statute of Ann of 1705 because it was a step towards a more humane </w:t>
      </w:r>
      <w:r w:rsidR="009035A0">
        <w:rPr>
          <w:rFonts w:ascii="Arial" w:hAnsi="Arial" w:cs="Arial"/>
          <w:color w:val="7B7B7B" w:themeColor="accent3" w:themeShade="BF"/>
          <w:sz w:val="22"/>
          <w:szCs w:val="22"/>
          <w:lang w:val="en-GB"/>
        </w:rPr>
        <w:t xml:space="preserve">treatment and protection of </w:t>
      </w:r>
      <w:r w:rsidR="009212C8">
        <w:rPr>
          <w:rFonts w:ascii="Arial" w:hAnsi="Arial" w:cs="Arial"/>
          <w:color w:val="7B7B7B" w:themeColor="accent3" w:themeShade="BF"/>
          <w:sz w:val="22"/>
          <w:szCs w:val="22"/>
          <w:lang w:val="en-GB"/>
        </w:rPr>
        <w:t>people in poor financial situation</w:t>
      </w:r>
      <w:r w:rsidR="009035A0">
        <w:rPr>
          <w:rFonts w:ascii="Arial" w:hAnsi="Arial" w:cs="Arial"/>
          <w:color w:val="7B7B7B" w:themeColor="accent3" w:themeShade="BF"/>
          <w:sz w:val="22"/>
          <w:szCs w:val="22"/>
          <w:lang w:val="en-GB"/>
        </w:rPr>
        <w:t xml:space="preserve">. Until then, debtors were mainly seen as criminals. </w:t>
      </w:r>
      <w:r w:rsidR="009212C8">
        <w:rPr>
          <w:rFonts w:ascii="Arial" w:hAnsi="Arial" w:cs="Arial"/>
          <w:color w:val="7B7B7B" w:themeColor="accent3" w:themeShade="BF"/>
          <w:sz w:val="22"/>
          <w:szCs w:val="22"/>
          <w:lang w:val="en-GB"/>
        </w:rPr>
        <w:t>This piece of legislation</w:t>
      </w:r>
      <w:r w:rsidR="00C3129C">
        <w:rPr>
          <w:rFonts w:ascii="Arial" w:hAnsi="Arial" w:cs="Arial"/>
          <w:color w:val="7B7B7B" w:themeColor="accent3" w:themeShade="BF"/>
          <w:sz w:val="22"/>
          <w:szCs w:val="22"/>
          <w:lang w:val="en-GB"/>
        </w:rPr>
        <w:t xml:space="preserve"> made it possible, amongst other things, for the competent authorities to discharge debts </w:t>
      </w:r>
      <w:r w:rsidR="00C3129C" w:rsidRPr="00C3129C">
        <w:rPr>
          <w:rFonts w:ascii="Arial" w:hAnsi="Arial" w:cs="Arial"/>
          <w:color w:val="7B7B7B" w:themeColor="accent3" w:themeShade="BF"/>
          <w:sz w:val="22"/>
          <w:szCs w:val="22"/>
          <w:lang w:val="en-GB"/>
        </w:rPr>
        <w:t xml:space="preserve">when the </w:t>
      </w:r>
      <w:r w:rsidR="00C3129C">
        <w:rPr>
          <w:rFonts w:ascii="Arial" w:hAnsi="Arial" w:cs="Arial"/>
          <w:color w:val="7B7B7B" w:themeColor="accent3" w:themeShade="BF"/>
          <w:sz w:val="22"/>
          <w:szCs w:val="22"/>
          <w:lang w:val="en-GB"/>
        </w:rPr>
        <w:t>envisaged procedures</w:t>
      </w:r>
      <w:r w:rsidR="00C3129C" w:rsidRPr="00C3129C">
        <w:rPr>
          <w:rFonts w:ascii="Arial" w:hAnsi="Arial" w:cs="Arial"/>
          <w:color w:val="7B7B7B" w:themeColor="accent3" w:themeShade="BF"/>
          <w:sz w:val="22"/>
          <w:szCs w:val="22"/>
          <w:lang w:val="en-GB"/>
        </w:rPr>
        <w:t xml:space="preserve"> had been followed</w:t>
      </w:r>
      <w:r w:rsidR="00C3129C">
        <w:rPr>
          <w:rFonts w:ascii="Arial" w:hAnsi="Arial" w:cs="Arial"/>
          <w:color w:val="7B7B7B" w:themeColor="accent3" w:themeShade="BF"/>
          <w:sz w:val="22"/>
          <w:szCs w:val="22"/>
          <w:lang w:val="en-GB"/>
        </w:rPr>
        <w:t>. Although the law at that time still largely favoured the creditors, many of the principles introduced remain valid in modern insolvency law.</w:t>
      </w:r>
    </w:p>
    <w:p w14:paraId="4D0046E4" w14:textId="77777777" w:rsidR="00175AE1" w:rsidRDefault="00175AE1" w:rsidP="001B5412">
      <w:pPr>
        <w:jc w:val="both"/>
        <w:rPr>
          <w:rFonts w:ascii="Arial" w:hAnsi="Arial" w:cs="Arial"/>
          <w:color w:val="7B7B7B" w:themeColor="accent3" w:themeShade="BF"/>
          <w:sz w:val="22"/>
          <w:szCs w:val="22"/>
          <w:lang w:val="en-GB"/>
        </w:rPr>
      </w:pPr>
    </w:p>
    <w:p w14:paraId="789C3223" w14:textId="0B2AEE65" w:rsidR="00020557" w:rsidRPr="00CD25CF" w:rsidRDefault="00A910F0"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Finally, the Act of 1883 was also a significant development and important piece of legislation</w:t>
      </w:r>
      <w:r w:rsidR="001B3B8F">
        <w:rPr>
          <w:rFonts w:ascii="Arial" w:hAnsi="Arial" w:cs="Arial"/>
          <w:color w:val="7B7B7B" w:themeColor="accent3" w:themeShade="BF"/>
          <w:sz w:val="22"/>
          <w:szCs w:val="22"/>
          <w:lang w:val="en-GB"/>
        </w:rPr>
        <w:t xml:space="preserve"> since it brought a return to “officialism”, thereby </w:t>
      </w:r>
      <w:r w:rsidR="0053721E">
        <w:rPr>
          <w:rFonts w:ascii="Arial" w:hAnsi="Arial" w:cs="Arial"/>
          <w:color w:val="7B7B7B" w:themeColor="accent3" w:themeShade="BF"/>
          <w:sz w:val="22"/>
          <w:szCs w:val="22"/>
          <w:lang w:val="en-GB"/>
        </w:rPr>
        <w:t xml:space="preserve">again </w:t>
      </w:r>
      <w:r w:rsidR="001B3B8F">
        <w:rPr>
          <w:rFonts w:ascii="Arial" w:hAnsi="Arial" w:cs="Arial"/>
          <w:color w:val="7B7B7B" w:themeColor="accent3" w:themeShade="BF"/>
          <w:sz w:val="22"/>
          <w:szCs w:val="22"/>
          <w:lang w:val="en-GB"/>
        </w:rPr>
        <w:t xml:space="preserve">replacing </w:t>
      </w:r>
      <w:r w:rsidR="0053721E">
        <w:rPr>
          <w:rFonts w:ascii="Arial" w:hAnsi="Arial" w:cs="Arial"/>
          <w:color w:val="7B7B7B" w:themeColor="accent3" w:themeShade="BF"/>
          <w:sz w:val="22"/>
          <w:szCs w:val="22"/>
          <w:lang w:val="en-GB"/>
        </w:rPr>
        <w:t xml:space="preserve">a largely creditor-run system with a governmental official who would be the principal supervisor and conduct most of the administrative functions of the bankruptcy procedure. </w:t>
      </w:r>
      <w:r w:rsidR="003656A0">
        <w:rPr>
          <w:rFonts w:ascii="Arial" w:hAnsi="Arial" w:cs="Arial"/>
          <w:color w:val="7B7B7B" w:themeColor="accent3" w:themeShade="BF"/>
          <w:sz w:val="22"/>
          <w:szCs w:val="22"/>
          <w:lang w:val="en-GB"/>
        </w:rPr>
        <w:t>This Act established what are still the basic parameters of the modern English insolvency law.</w:t>
      </w:r>
    </w:p>
    <w:p w14:paraId="73331248" w14:textId="77777777" w:rsidR="00CD25CF" w:rsidRPr="00205B31" w:rsidRDefault="00CD25CF"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79961E83" w14:textId="2E520D7E" w:rsidR="00D17FDC" w:rsidRPr="00CD25CF" w:rsidRDefault="00B54452" w:rsidP="00CD25CF">
      <w:pPr>
        <w:jc w:val="both"/>
        <w:rPr>
          <w:rFonts w:ascii="Arial" w:hAnsi="Arial" w:cs="Arial"/>
          <w:color w:val="7B7B7B" w:themeColor="accent3" w:themeShade="BF"/>
          <w:sz w:val="22"/>
          <w:szCs w:val="22"/>
          <w:lang w:val="en-GB"/>
        </w:rPr>
      </w:pPr>
      <w:r w:rsidRPr="00B54452">
        <w:rPr>
          <w:rFonts w:ascii="Arial" w:hAnsi="Arial" w:cs="Arial"/>
          <w:color w:val="7B7B7B" w:themeColor="accent3" w:themeShade="BF"/>
          <w:sz w:val="22"/>
          <w:szCs w:val="22"/>
          <w:lang w:val="en-GB"/>
        </w:rPr>
        <w:t xml:space="preserve">In an effort to </w:t>
      </w:r>
      <w:r>
        <w:rPr>
          <w:rFonts w:ascii="Arial" w:hAnsi="Arial" w:cs="Arial"/>
          <w:color w:val="7B7B7B" w:themeColor="accent3" w:themeShade="BF"/>
          <w:sz w:val="22"/>
          <w:szCs w:val="22"/>
          <w:lang w:val="en-GB"/>
        </w:rPr>
        <w:t>prevent</w:t>
      </w:r>
      <w:r w:rsidRPr="00B54452">
        <w:rPr>
          <w:rFonts w:ascii="Arial" w:hAnsi="Arial" w:cs="Arial"/>
          <w:color w:val="7B7B7B" w:themeColor="accent3" w:themeShade="BF"/>
          <w:sz w:val="22"/>
          <w:szCs w:val="22"/>
          <w:lang w:val="en-GB"/>
        </w:rPr>
        <w:t xml:space="preserve"> businesses</w:t>
      </w:r>
      <w:r>
        <w:rPr>
          <w:rFonts w:ascii="Arial" w:hAnsi="Arial" w:cs="Arial"/>
          <w:color w:val="7B7B7B" w:themeColor="accent3" w:themeShade="BF"/>
          <w:sz w:val="22"/>
          <w:szCs w:val="22"/>
          <w:lang w:val="en-GB"/>
        </w:rPr>
        <w:t xml:space="preserve"> in the UK to fail as a consequence of the disruption caused by</w:t>
      </w:r>
      <w:r w:rsidRPr="00B54452">
        <w:rPr>
          <w:rFonts w:ascii="Arial" w:hAnsi="Arial" w:cs="Arial"/>
          <w:color w:val="7B7B7B" w:themeColor="accent3" w:themeShade="BF"/>
          <w:sz w:val="22"/>
          <w:szCs w:val="22"/>
          <w:lang w:val="en-GB"/>
        </w:rPr>
        <w:t xml:space="preserve"> the C</w:t>
      </w:r>
      <w:r>
        <w:rPr>
          <w:rFonts w:ascii="Arial" w:hAnsi="Arial" w:cs="Arial"/>
          <w:color w:val="7B7B7B" w:themeColor="accent3" w:themeShade="BF"/>
          <w:sz w:val="22"/>
          <w:szCs w:val="22"/>
          <w:lang w:val="en-GB"/>
        </w:rPr>
        <w:t>ovid</w:t>
      </w:r>
      <w:r w:rsidRPr="00B54452">
        <w:rPr>
          <w:rFonts w:ascii="Arial" w:hAnsi="Arial" w:cs="Arial"/>
          <w:color w:val="7B7B7B" w:themeColor="accent3" w:themeShade="BF"/>
          <w:sz w:val="22"/>
          <w:szCs w:val="22"/>
          <w:lang w:val="en-GB"/>
        </w:rPr>
        <w:t>-19 pandemic</w:t>
      </w:r>
      <w:r>
        <w:rPr>
          <w:rFonts w:ascii="Arial" w:hAnsi="Arial" w:cs="Arial"/>
          <w:color w:val="7B7B7B" w:themeColor="accent3" w:themeShade="BF"/>
          <w:sz w:val="22"/>
          <w:szCs w:val="22"/>
          <w:lang w:val="en-GB"/>
        </w:rPr>
        <w:t xml:space="preserve">, the UK government </w:t>
      </w:r>
      <w:r w:rsidR="00B97F0A">
        <w:rPr>
          <w:rFonts w:ascii="Arial" w:hAnsi="Arial" w:cs="Arial"/>
          <w:color w:val="7B7B7B" w:themeColor="accent3" w:themeShade="BF"/>
          <w:sz w:val="22"/>
          <w:szCs w:val="22"/>
          <w:lang w:val="en-GB"/>
        </w:rPr>
        <w:t xml:space="preserve">introduced permanent measures to reform the UK insolvency regime as well as temporary measures to support businesses </w:t>
      </w:r>
      <w:r w:rsidR="00B97F0A" w:rsidRPr="00B97F0A">
        <w:rPr>
          <w:rFonts w:ascii="Arial" w:hAnsi="Arial" w:cs="Arial"/>
          <w:color w:val="7B7B7B" w:themeColor="accent3" w:themeShade="BF"/>
          <w:sz w:val="22"/>
          <w:szCs w:val="22"/>
          <w:lang w:val="en-GB"/>
        </w:rPr>
        <w:t>through the pandemic</w:t>
      </w:r>
      <w:r w:rsidR="00B97F0A">
        <w:rPr>
          <w:rFonts w:ascii="Arial" w:hAnsi="Arial" w:cs="Arial"/>
          <w:color w:val="7B7B7B" w:themeColor="accent3" w:themeShade="BF"/>
          <w:sz w:val="22"/>
          <w:szCs w:val="22"/>
          <w:lang w:val="en-GB"/>
        </w:rPr>
        <w:t xml:space="preserve">, as part of the Corporate Insolvency and Governance Act 2020. </w:t>
      </w:r>
      <w:r w:rsidR="00A431C1">
        <w:rPr>
          <w:rFonts w:ascii="Arial" w:hAnsi="Arial" w:cs="Arial"/>
          <w:color w:val="7B7B7B" w:themeColor="accent3" w:themeShade="BF"/>
          <w:sz w:val="22"/>
          <w:szCs w:val="22"/>
          <w:lang w:val="en-GB"/>
        </w:rPr>
        <w:t xml:space="preserve">One of the permanent measures is a new free-standing moratorium during which no creditor action can </w:t>
      </w:r>
      <w:r w:rsidR="00EB6E0F">
        <w:rPr>
          <w:rFonts w:ascii="Arial" w:hAnsi="Arial" w:cs="Arial"/>
          <w:color w:val="7B7B7B" w:themeColor="accent3" w:themeShade="BF"/>
          <w:sz w:val="22"/>
          <w:szCs w:val="22"/>
          <w:lang w:val="en-GB"/>
        </w:rPr>
        <w:t xml:space="preserve">be taken against the company without the court’s permission. The objective of this measure is to provide businesses in financial distress with ‘breathing space’ to allow them to pursue a rescue or restructuring plan. </w:t>
      </w:r>
      <w:r w:rsidR="00A8023B">
        <w:rPr>
          <w:rFonts w:ascii="Arial" w:hAnsi="Arial" w:cs="Arial"/>
          <w:color w:val="7B7B7B" w:themeColor="accent3" w:themeShade="BF"/>
          <w:sz w:val="22"/>
          <w:szCs w:val="22"/>
          <w:lang w:val="en-GB"/>
        </w:rPr>
        <w:t>Furthermore</w:t>
      </w:r>
      <w:r w:rsidR="003410F3">
        <w:rPr>
          <w:rFonts w:ascii="Arial" w:hAnsi="Arial" w:cs="Arial"/>
          <w:color w:val="7B7B7B" w:themeColor="accent3" w:themeShade="BF"/>
          <w:sz w:val="22"/>
          <w:szCs w:val="22"/>
          <w:lang w:val="en-GB"/>
        </w:rPr>
        <w:t>, the Act also</w:t>
      </w:r>
      <w:r w:rsidR="00A8023B">
        <w:rPr>
          <w:rFonts w:ascii="Arial" w:hAnsi="Arial" w:cs="Arial"/>
          <w:color w:val="7B7B7B" w:themeColor="accent3" w:themeShade="BF"/>
          <w:sz w:val="22"/>
          <w:szCs w:val="22"/>
          <w:lang w:val="en-GB"/>
        </w:rPr>
        <w:t xml:space="preserve"> in principle</w:t>
      </w:r>
      <w:r w:rsidR="003410F3">
        <w:rPr>
          <w:rFonts w:ascii="Arial" w:hAnsi="Arial" w:cs="Arial"/>
          <w:color w:val="7B7B7B" w:themeColor="accent3" w:themeShade="BF"/>
          <w:sz w:val="22"/>
          <w:szCs w:val="22"/>
          <w:lang w:val="en-GB"/>
        </w:rPr>
        <w:t xml:space="preserve"> prevents suppliers from ceasing</w:t>
      </w:r>
      <w:r w:rsidR="003410F3" w:rsidRPr="003410F3">
        <w:rPr>
          <w:rFonts w:ascii="Arial" w:hAnsi="Arial" w:cs="Arial"/>
          <w:color w:val="7B7B7B" w:themeColor="accent3" w:themeShade="BF"/>
          <w:sz w:val="22"/>
          <w:szCs w:val="22"/>
          <w:lang w:val="en-GB"/>
        </w:rPr>
        <w:t xml:space="preserve"> their supply while a company is going through a rescue process</w:t>
      </w:r>
      <w:r w:rsidR="00A8023B">
        <w:rPr>
          <w:rFonts w:ascii="Arial" w:hAnsi="Arial" w:cs="Arial"/>
          <w:color w:val="7B7B7B" w:themeColor="accent3" w:themeShade="BF"/>
          <w:sz w:val="22"/>
          <w:szCs w:val="22"/>
          <w:lang w:val="en-GB"/>
        </w:rPr>
        <w:t xml:space="preserve"> (</w:t>
      </w:r>
      <w:r w:rsidR="00C14988">
        <w:rPr>
          <w:rFonts w:ascii="Arial" w:hAnsi="Arial" w:cs="Arial"/>
          <w:color w:val="7B7B7B" w:themeColor="accent3" w:themeShade="BF"/>
          <w:sz w:val="22"/>
          <w:szCs w:val="22"/>
          <w:lang w:val="en-GB"/>
        </w:rPr>
        <w:t xml:space="preserve">note </w:t>
      </w:r>
      <w:r w:rsidR="00C14988">
        <w:rPr>
          <w:rFonts w:ascii="Arial" w:hAnsi="Arial" w:cs="Arial"/>
          <w:i/>
          <w:iCs/>
          <w:color w:val="7B7B7B" w:themeColor="accent3" w:themeShade="BF"/>
          <w:sz w:val="22"/>
          <w:szCs w:val="22"/>
          <w:lang w:val="en-GB"/>
        </w:rPr>
        <w:t xml:space="preserve">inter alia </w:t>
      </w:r>
      <w:r w:rsidR="00C14988">
        <w:rPr>
          <w:rFonts w:ascii="Arial" w:hAnsi="Arial" w:cs="Arial"/>
          <w:color w:val="7B7B7B" w:themeColor="accent3" w:themeShade="BF"/>
          <w:sz w:val="22"/>
          <w:szCs w:val="22"/>
          <w:lang w:val="en-GB"/>
        </w:rPr>
        <w:t xml:space="preserve">that </w:t>
      </w:r>
      <w:r w:rsidR="00A8023B">
        <w:rPr>
          <w:rFonts w:ascii="Arial" w:hAnsi="Arial" w:cs="Arial"/>
          <w:color w:val="7B7B7B" w:themeColor="accent3" w:themeShade="BF"/>
          <w:sz w:val="22"/>
          <w:szCs w:val="22"/>
          <w:lang w:val="en-GB"/>
        </w:rPr>
        <w:t xml:space="preserve">a distinction </w:t>
      </w:r>
      <w:r w:rsidR="00C14988">
        <w:rPr>
          <w:rFonts w:ascii="Arial" w:hAnsi="Arial" w:cs="Arial"/>
          <w:color w:val="7B7B7B" w:themeColor="accent3" w:themeShade="BF"/>
          <w:sz w:val="22"/>
          <w:szCs w:val="22"/>
          <w:lang w:val="en-GB"/>
        </w:rPr>
        <w:t xml:space="preserve">is </w:t>
      </w:r>
      <w:r w:rsidR="00A8023B">
        <w:rPr>
          <w:rFonts w:ascii="Arial" w:hAnsi="Arial" w:cs="Arial"/>
          <w:color w:val="7B7B7B" w:themeColor="accent3" w:themeShade="BF"/>
          <w:sz w:val="22"/>
          <w:szCs w:val="22"/>
          <w:lang w:val="en-GB"/>
        </w:rPr>
        <w:t xml:space="preserve">made between small and large(r) suppliers). </w:t>
      </w:r>
      <w:r w:rsidR="0053561F">
        <w:rPr>
          <w:rFonts w:ascii="Arial" w:hAnsi="Arial" w:cs="Arial"/>
          <w:color w:val="7B7B7B" w:themeColor="accent3" w:themeShade="BF"/>
          <w:sz w:val="22"/>
          <w:szCs w:val="22"/>
          <w:lang w:val="en-GB"/>
        </w:rPr>
        <w:t xml:space="preserve">Finally, the Act temporarily suspended the provisions relating to wrongful trading director’s liability. The aim of this temporary measure was to prevent directors worrying </w:t>
      </w:r>
      <w:r w:rsidR="00892FEF">
        <w:rPr>
          <w:rFonts w:ascii="Arial" w:hAnsi="Arial" w:cs="Arial"/>
          <w:color w:val="7B7B7B" w:themeColor="accent3" w:themeShade="BF"/>
          <w:sz w:val="22"/>
          <w:szCs w:val="22"/>
          <w:lang w:val="en-GB"/>
        </w:rPr>
        <w:t xml:space="preserve">about their potential personal liability for </w:t>
      </w:r>
      <w:r w:rsidR="00892FEF" w:rsidRPr="00892FEF">
        <w:rPr>
          <w:rFonts w:ascii="Arial" w:hAnsi="Arial" w:cs="Arial"/>
          <w:color w:val="7B7B7B" w:themeColor="accent3" w:themeShade="BF"/>
          <w:sz w:val="22"/>
          <w:szCs w:val="22"/>
          <w:lang w:val="en-GB"/>
        </w:rPr>
        <w:t xml:space="preserve">any worsening of </w:t>
      </w:r>
      <w:r w:rsidR="00892FEF">
        <w:rPr>
          <w:rFonts w:ascii="Arial" w:hAnsi="Arial" w:cs="Arial"/>
          <w:color w:val="7B7B7B" w:themeColor="accent3" w:themeShade="BF"/>
          <w:sz w:val="22"/>
          <w:szCs w:val="22"/>
          <w:lang w:val="en-GB"/>
        </w:rPr>
        <w:t>the companies’</w:t>
      </w:r>
      <w:r w:rsidR="00892FEF" w:rsidRPr="00892FEF">
        <w:rPr>
          <w:rFonts w:ascii="Arial" w:hAnsi="Arial" w:cs="Arial"/>
          <w:color w:val="7B7B7B" w:themeColor="accent3" w:themeShade="BF"/>
          <w:sz w:val="22"/>
          <w:szCs w:val="22"/>
          <w:lang w:val="en-GB"/>
        </w:rPr>
        <w:t xml:space="preserve"> financial position</w:t>
      </w:r>
      <w:r w:rsidR="00892FEF">
        <w:rPr>
          <w:rFonts w:ascii="Arial" w:hAnsi="Arial" w:cs="Arial"/>
          <w:color w:val="7B7B7B" w:themeColor="accent3" w:themeShade="BF"/>
          <w:sz w:val="22"/>
          <w:szCs w:val="22"/>
          <w:lang w:val="en-GB"/>
        </w:rPr>
        <w:t xml:space="preserve"> during the indicated period. However, i</w:t>
      </w:r>
      <w:r w:rsidR="00BA5045">
        <w:rPr>
          <w:rFonts w:ascii="Arial" w:hAnsi="Arial" w:cs="Arial"/>
          <w:color w:val="7B7B7B" w:themeColor="accent3" w:themeShade="BF"/>
          <w:sz w:val="22"/>
          <w:szCs w:val="22"/>
          <w:lang w:val="en-GB"/>
        </w:rPr>
        <w:t>t should be noted that in the meantime a large number of the temporary measures came to an end, and were not</w:t>
      </w:r>
      <w:r w:rsidR="00C14988">
        <w:rPr>
          <w:rFonts w:ascii="Arial" w:hAnsi="Arial" w:cs="Arial"/>
          <w:color w:val="7B7B7B" w:themeColor="accent3" w:themeShade="BF"/>
          <w:sz w:val="22"/>
          <w:szCs w:val="22"/>
          <w:lang w:val="en-GB"/>
        </w:rPr>
        <w:t xml:space="preserve"> / no longer</w:t>
      </w:r>
      <w:r w:rsidR="00BA5045">
        <w:rPr>
          <w:rFonts w:ascii="Arial" w:hAnsi="Arial" w:cs="Arial"/>
          <w:color w:val="7B7B7B" w:themeColor="accent3" w:themeShade="BF"/>
          <w:sz w:val="22"/>
          <w:szCs w:val="22"/>
          <w:lang w:val="en-GB"/>
        </w:rPr>
        <w:t xml:space="preserve"> extended. </w:t>
      </w:r>
    </w:p>
    <w:p w14:paraId="0F29CA3D" w14:textId="77777777" w:rsidR="00CD25CF" w:rsidRPr="00205B31" w:rsidRDefault="00CD25CF"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424FE163" w14:textId="77777777" w:rsidR="00E926D7" w:rsidRDefault="00214F51" w:rsidP="00214F5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 ‘treaty’ can be defined as “</w:t>
      </w:r>
      <w:r w:rsidRPr="00214F51">
        <w:rPr>
          <w:rFonts w:ascii="Arial" w:hAnsi="Arial" w:cs="Arial"/>
          <w:i/>
          <w:iCs/>
          <w:color w:val="7B7B7B" w:themeColor="accent3" w:themeShade="BF"/>
          <w:sz w:val="22"/>
          <w:szCs w:val="22"/>
          <w:lang w:val="en-GB"/>
        </w:rPr>
        <w:t>an international agreement concluded between States in written form and governed by international law, whether embodied in a single instrument or in two or more related instruments and whatever its particular designation</w:t>
      </w:r>
      <w:r>
        <w:rPr>
          <w:rFonts w:ascii="Arial" w:hAnsi="Arial" w:cs="Arial"/>
          <w:color w:val="7B7B7B" w:themeColor="accent3" w:themeShade="BF"/>
          <w:sz w:val="22"/>
          <w:szCs w:val="22"/>
          <w:lang w:val="en-GB"/>
        </w:rPr>
        <w:t xml:space="preserve">” (see Article 2(1)(a) of the Vienna Convention on the Law of Treaties of 1969). </w:t>
      </w:r>
    </w:p>
    <w:p w14:paraId="7B02D5BE" w14:textId="77777777" w:rsidR="00E926D7" w:rsidRDefault="00E926D7" w:rsidP="00214F51">
      <w:pPr>
        <w:jc w:val="both"/>
        <w:rPr>
          <w:rFonts w:ascii="Arial" w:hAnsi="Arial" w:cs="Arial"/>
          <w:color w:val="7B7B7B" w:themeColor="accent3" w:themeShade="BF"/>
          <w:sz w:val="22"/>
          <w:szCs w:val="22"/>
          <w:lang w:val="en-GB"/>
        </w:rPr>
      </w:pPr>
    </w:p>
    <w:p w14:paraId="78DB9FD8" w14:textId="5494D801" w:rsidR="00C72848" w:rsidRDefault="00E926D7" w:rsidP="00214F5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Treaties are </w:t>
      </w:r>
      <w:r w:rsidRPr="00E926D7">
        <w:rPr>
          <w:rFonts w:ascii="Arial" w:hAnsi="Arial" w:cs="Arial"/>
          <w:color w:val="7B7B7B" w:themeColor="accent3" w:themeShade="BF"/>
          <w:sz w:val="22"/>
          <w:szCs w:val="22"/>
          <w:lang w:val="en-GB"/>
        </w:rPr>
        <w:t xml:space="preserve">international legal agreements which are usually concluded in writing between States or other subjects of international law with a view to regulating their mutual relationships, irrespective of </w:t>
      </w:r>
      <w:r>
        <w:rPr>
          <w:rFonts w:ascii="Arial" w:hAnsi="Arial" w:cs="Arial"/>
          <w:color w:val="7B7B7B" w:themeColor="accent3" w:themeShade="BF"/>
          <w:sz w:val="22"/>
          <w:szCs w:val="22"/>
          <w:lang w:val="en-GB"/>
        </w:rPr>
        <w:t>how they are called</w:t>
      </w:r>
      <w:r w:rsidRPr="00E926D7">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w:t>
      </w:r>
      <w:r w:rsidRPr="00E926D7">
        <w:rPr>
          <w:rFonts w:ascii="Arial" w:hAnsi="Arial" w:cs="Arial"/>
          <w:color w:val="7B7B7B" w:themeColor="accent3" w:themeShade="BF"/>
          <w:sz w:val="22"/>
          <w:szCs w:val="22"/>
          <w:lang w:val="en-GB"/>
        </w:rPr>
        <w:t>treat</w:t>
      </w:r>
      <w:r>
        <w:rPr>
          <w:rFonts w:ascii="Arial" w:hAnsi="Arial" w:cs="Arial"/>
          <w:color w:val="7B7B7B" w:themeColor="accent3" w:themeShade="BF"/>
          <w:sz w:val="22"/>
          <w:szCs w:val="22"/>
          <w:lang w:val="en-GB"/>
        </w:rPr>
        <w:t>ies’</w:t>
      </w:r>
      <w:r w:rsidRPr="00E926D7">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w:t>
      </w:r>
      <w:r w:rsidRPr="00E926D7">
        <w:rPr>
          <w:rFonts w:ascii="Arial" w:hAnsi="Arial" w:cs="Arial"/>
          <w:color w:val="7B7B7B" w:themeColor="accent3" w:themeShade="BF"/>
          <w:sz w:val="22"/>
          <w:szCs w:val="22"/>
          <w:lang w:val="en-GB"/>
        </w:rPr>
        <w:t>agreement</w:t>
      </w:r>
      <w:r>
        <w:rPr>
          <w:rFonts w:ascii="Arial" w:hAnsi="Arial" w:cs="Arial"/>
          <w:color w:val="7B7B7B" w:themeColor="accent3" w:themeShade="BF"/>
          <w:sz w:val="22"/>
          <w:szCs w:val="22"/>
          <w:lang w:val="en-GB"/>
        </w:rPr>
        <w:t>s’</w:t>
      </w:r>
      <w:r w:rsidRPr="00E926D7">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w:t>
      </w:r>
      <w:r w:rsidRPr="00E926D7">
        <w:rPr>
          <w:rFonts w:ascii="Arial" w:hAnsi="Arial" w:cs="Arial"/>
          <w:color w:val="7B7B7B" w:themeColor="accent3" w:themeShade="BF"/>
          <w:sz w:val="22"/>
          <w:szCs w:val="22"/>
          <w:lang w:val="en-GB"/>
        </w:rPr>
        <w:t>convention</w:t>
      </w:r>
      <w:r>
        <w:rPr>
          <w:rFonts w:ascii="Arial" w:hAnsi="Arial" w:cs="Arial"/>
          <w:color w:val="7B7B7B" w:themeColor="accent3" w:themeShade="BF"/>
          <w:sz w:val="22"/>
          <w:szCs w:val="22"/>
          <w:lang w:val="en-GB"/>
        </w:rPr>
        <w:t>s’</w:t>
      </w:r>
      <w:r w:rsidRPr="00E926D7">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w:t>
      </w:r>
      <w:r w:rsidRPr="00E926D7">
        <w:rPr>
          <w:rFonts w:ascii="Arial" w:hAnsi="Arial" w:cs="Arial"/>
          <w:color w:val="7B7B7B" w:themeColor="accent3" w:themeShade="BF"/>
          <w:sz w:val="22"/>
          <w:szCs w:val="22"/>
          <w:lang w:val="en-GB"/>
        </w:rPr>
        <w:t>protocol</w:t>
      </w:r>
      <w:r>
        <w:rPr>
          <w:rFonts w:ascii="Arial" w:hAnsi="Arial" w:cs="Arial"/>
          <w:color w:val="7B7B7B" w:themeColor="accent3" w:themeShade="BF"/>
          <w:sz w:val="22"/>
          <w:szCs w:val="22"/>
          <w:lang w:val="en-GB"/>
        </w:rPr>
        <w:t>s’</w:t>
      </w:r>
      <w:r w:rsidR="00687849">
        <w:rPr>
          <w:rFonts w:ascii="Arial" w:hAnsi="Arial" w:cs="Arial"/>
          <w:color w:val="7B7B7B" w:themeColor="accent3" w:themeShade="BF"/>
          <w:sz w:val="22"/>
          <w:szCs w:val="22"/>
          <w:lang w:val="en-GB"/>
        </w:rPr>
        <w:t>, ‘</w:t>
      </w:r>
      <w:r w:rsidR="00E77884">
        <w:rPr>
          <w:rFonts w:ascii="Arial" w:hAnsi="Arial" w:cs="Arial"/>
          <w:color w:val="7B7B7B" w:themeColor="accent3" w:themeShade="BF"/>
          <w:sz w:val="22"/>
          <w:szCs w:val="22"/>
          <w:lang w:val="en-GB"/>
        </w:rPr>
        <w:t>covenants’</w:t>
      </w:r>
      <w:r w:rsidRPr="00E926D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and which are intended to be binding at the international law.</w:t>
      </w:r>
      <w:r w:rsidR="00687849">
        <w:rPr>
          <w:rFonts w:ascii="Arial" w:hAnsi="Arial" w:cs="Arial"/>
          <w:color w:val="7B7B7B" w:themeColor="accent3" w:themeShade="BF"/>
          <w:sz w:val="22"/>
          <w:szCs w:val="22"/>
          <w:lang w:val="en-GB"/>
        </w:rPr>
        <w:t xml:space="preserve"> They are the principal regulatory instrument of Public International Law.</w:t>
      </w:r>
    </w:p>
    <w:p w14:paraId="1443A499" w14:textId="020E2DB8" w:rsidR="00687849" w:rsidRDefault="00687849" w:rsidP="00214F51">
      <w:pPr>
        <w:jc w:val="both"/>
        <w:rPr>
          <w:rFonts w:ascii="Arial" w:hAnsi="Arial" w:cs="Arial"/>
          <w:color w:val="7B7B7B" w:themeColor="accent3" w:themeShade="BF"/>
          <w:sz w:val="22"/>
          <w:szCs w:val="22"/>
          <w:lang w:val="en-GB"/>
        </w:rPr>
      </w:pPr>
    </w:p>
    <w:p w14:paraId="564F44BB" w14:textId="1CDA8D0F" w:rsidR="0067197A" w:rsidRDefault="00F571F5" w:rsidP="00214F5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a State ratifies or accedes to</w:t>
      </w:r>
      <w:r w:rsidR="00687849">
        <w:rPr>
          <w:rFonts w:ascii="Arial" w:hAnsi="Arial" w:cs="Arial"/>
          <w:color w:val="7B7B7B" w:themeColor="accent3" w:themeShade="BF"/>
          <w:sz w:val="22"/>
          <w:szCs w:val="22"/>
          <w:lang w:val="en-GB"/>
        </w:rPr>
        <w:t xml:space="preserve"> </w:t>
      </w:r>
      <w:r w:rsidR="00884763">
        <w:rPr>
          <w:rFonts w:ascii="Arial" w:hAnsi="Arial" w:cs="Arial"/>
          <w:color w:val="7B7B7B" w:themeColor="accent3" w:themeShade="BF"/>
          <w:sz w:val="22"/>
          <w:szCs w:val="22"/>
          <w:lang w:val="en-GB"/>
        </w:rPr>
        <w:t>‘</w:t>
      </w:r>
      <w:r w:rsidR="00687849">
        <w:rPr>
          <w:rFonts w:ascii="Arial" w:hAnsi="Arial" w:cs="Arial"/>
          <w:color w:val="7B7B7B" w:themeColor="accent3" w:themeShade="BF"/>
          <w:sz w:val="22"/>
          <w:szCs w:val="22"/>
          <w:lang w:val="en-GB"/>
        </w:rPr>
        <w:t>treaties</w:t>
      </w:r>
      <w:r w:rsidR="00884763">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(irrespective of the name given to it, see above) </w:t>
      </w:r>
      <w:r w:rsidR="0067197A">
        <w:rPr>
          <w:rFonts w:ascii="Arial" w:hAnsi="Arial" w:cs="Arial"/>
          <w:color w:val="7B7B7B" w:themeColor="accent3" w:themeShade="BF"/>
          <w:sz w:val="22"/>
          <w:szCs w:val="22"/>
          <w:lang w:val="en-GB"/>
        </w:rPr>
        <w:t>containing principles to resolve cross-border insolvency issues, these are imported into domestic laws enforceable in the courts. As such these principles</w:t>
      </w:r>
      <w:r w:rsidR="00687849">
        <w:rPr>
          <w:rFonts w:ascii="Arial" w:hAnsi="Arial" w:cs="Arial"/>
          <w:color w:val="7B7B7B" w:themeColor="accent3" w:themeShade="BF"/>
          <w:sz w:val="22"/>
          <w:szCs w:val="22"/>
          <w:lang w:val="en-GB"/>
        </w:rPr>
        <w:t xml:space="preserve"> can become part of </w:t>
      </w:r>
      <w:r w:rsidR="006E7183">
        <w:rPr>
          <w:rFonts w:ascii="Arial" w:hAnsi="Arial" w:cs="Arial"/>
          <w:color w:val="7B7B7B" w:themeColor="accent3" w:themeShade="BF"/>
          <w:sz w:val="22"/>
          <w:szCs w:val="22"/>
          <w:lang w:val="en-GB"/>
        </w:rPr>
        <w:t>a State’s “hard law”</w:t>
      </w:r>
      <w:r w:rsidR="0067197A">
        <w:rPr>
          <w:rFonts w:ascii="Arial" w:hAnsi="Arial" w:cs="Arial"/>
          <w:color w:val="7B7B7B" w:themeColor="accent3" w:themeShade="BF"/>
          <w:sz w:val="22"/>
          <w:szCs w:val="22"/>
          <w:lang w:val="en-GB"/>
        </w:rPr>
        <w:t>.</w:t>
      </w:r>
      <w:r w:rsidR="006E7183">
        <w:rPr>
          <w:rFonts w:ascii="Arial" w:hAnsi="Arial" w:cs="Arial"/>
          <w:color w:val="7B7B7B" w:themeColor="accent3" w:themeShade="BF"/>
          <w:sz w:val="22"/>
          <w:szCs w:val="22"/>
          <w:lang w:val="en-GB"/>
        </w:rPr>
        <w:t xml:space="preserve"> </w:t>
      </w:r>
    </w:p>
    <w:p w14:paraId="11B2EBE7" w14:textId="77777777" w:rsidR="0067197A" w:rsidRDefault="0067197A" w:rsidP="00214F51">
      <w:pPr>
        <w:jc w:val="both"/>
        <w:rPr>
          <w:rFonts w:ascii="Arial" w:hAnsi="Arial" w:cs="Arial"/>
          <w:color w:val="7B7B7B" w:themeColor="accent3" w:themeShade="BF"/>
          <w:sz w:val="22"/>
          <w:szCs w:val="22"/>
          <w:lang w:val="en-GB"/>
        </w:rPr>
      </w:pPr>
    </w:p>
    <w:p w14:paraId="74FC9ECB" w14:textId="5AEE8057" w:rsidR="00687849" w:rsidRDefault="0067197A" w:rsidP="00214F5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Whereas “hard law”</w:t>
      </w:r>
      <w:r w:rsidR="006E7183">
        <w:rPr>
          <w:rFonts w:ascii="Arial" w:hAnsi="Arial" w:cs="Arial"/>
          <w:color w:val="7B7B7B" w:themeColor="accent3" w:themeShade="BF"/>
          <w:sz w:val="22"/>
          <w:szCs w:val="22"/>
          <w:lang w:val="en-GB"/>
        </w:rPr>
        <w:t xml:space="preserve"> </w:t>
      </w:r>
      <w:r w:rsidR="006E7183" w:rsidRPr="006E7183">
        <w:rPr>
          <w:rFonts w:ascii="Arial" w:hAnsi="Arial" w:cs="Arial"/>
          <w:color w:val="7B7B7B" w:themeColor="accent3" w:themeShade="BF"/>
          <w:sz w:val="22"/>
          <w:szCs w:val="22"/>
          <w:lang w:val="en-GB"/>
        </w:rPr>
        <w:t>refers generally to legal obligations that are binding on the parties involved and which can be legally enforced before a court</w:t>
      </w:r>
      <w:r w:rsidR="006E7183">
        <w:rPr>
          <w:rFonts w:ascii="Arial" w:hAnsi="Arial" w:cs="Arial"/>
          <w:color w:val="7B7B7B" w:themeColor="accent3" w:themeShade="BF"/>
          <w:sz w:val="22"/>
          <w:szCs w:val="22"/>
          <w:lang w:val="en-GB"/>
        </w:rPr>
        <w:t>,</w:t>
      </w:r>
      <w:r w:rsidR="008C4C3C">
        <w:rPr>
          <w:rFonts w:ascii="Arial" w:hAnsi="Arial" w:cs="Arial"/>
          <w:color w:val="7B7B7B" w:themeColor="accent3" w:themeShade="BF"/>
          <w:sz w:val="22"/>
          <w:szCs w:val="22"/>
          <w:lang w:val="en-GB"/>
        </w:rPr>
        <w:t xml:space="preserve"> “soft law” is the term applied to</w:t>
      </w:r>
      <w:r w:rsidR="00222F86">
        <w:rPr>
          <w:rFonts w:ascii="Arial" w:hAnsi="Arial" w:cs="Arial"/>
          <w:color w:val="7B7B7B" w:themeColor="accent3" w:themeShade="BF"/>
          <w:sz w:val="22"/>
          <w:szCs w:val="22"/>
          <w:lang w:val="en-GB"/>
        </w:rPr>
        <w:t xml:space="preserve"> </w:t>
      </w:r>
      <w:r w:rsidR="00222F86" w:rsidRPr="00222F86">
        <w:rPr>
          <w:rFonts w:ascii="Arial" w:hAnsi="Arial" w:cs="Arial"/>
          <w:color w:val="7B7B7B" w:themeColor="accent3" w:themeShade="BF"/>
          <w:sz w:val="22"/>
          <w:szCs w:val="22"/>
          <w:lang w:val="en-GB"/>
        </w:rPr>
        <w:t>something which is a document that is being developed which is merely persuasive and trying to influence the development of local laws</w:t>
      </w:r>
      <w:r w:rsidR="00222F86">
        <w:rPr>
          <w:rFonts w:ascii="Arial" w:hAnsi="Arial" w:cs="Arial"/>
          <w:color w:val="7B7B7B" w:themeColor="accent3" w:themeShade="BF"/>
          <w:sz w:val="22"/>
          <w:szCs w:val="22"/>
          <w:lang w:val="en-GB"/>
        </w:rPr>
        <w:t xml:space="preserve"> or</w:t>
      </w:r>
      <w:r w:rsidR="008C4C3C">
        <w:rPr>
          <w:rFonts w:ascii="Arial" w:hAnsi="Arial" w:cs="Arial"/>
          <w:color w:val="7B7B7B" w:themeColor="accent3" w:themeShade="BF"/>
          <w:sz w:val="22"/>
          <w:szCs w:val="22"/>
          <w:lang w:val="en-GB"/>
        </w:rPr>
        <w:t xml:space="preserve"> (quasi-legal / policy) instruments which are not binding on those to whom they are addressed.</w:t>
      </w:r>
    </w:p>
    <w:p w14:paraId="4166FE2A" w14:textId="27316B40" w:rsidR="00E77884" w:rsidRDefault="00E77884" w:rsidP="00214F51">
      <w:pPr>
        <w:jc w:val="both"/>
        <w:rPr>
          <w:rFonts w:ascii="Arial" w:hAnsi="Arial" w:cs="Arial"/>
          <w:color w:val="7B7B7B" w:themeColor="accent3" w:themeShade="BF"/>
          <w:sz w:val="22"/>
          <w:szCs w:val="22"/>
          <w:lang w:val="en-GB"/>
        </w:rPr>
      </w:pPr>
    </w:p>
    <w:p w14:paraId="2DEC2F7F" w14:textId="76367C91" w:rsidR="00E77884" w:rsidRPr="00214F51" w:rsidRDefault="0067197A" w:rsidP="00214F5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w:t>
      </w:r>
      <w:r w:rsidR="00381C34">
        <w:rPr>
          <w:rFonts w:ascii="Arial" w:hAnsi="Arial" w:cs="Arial"/>
          <w:color w:val="7B7B7B" w:themeColor="accent3" w:themeShade="BF"/>
          <w:sz w:val="22"/>
          <w:szCs w:val="22"/>
          <w:lang w:val="en-GB"/>
        </w:rPr>
        <w:t xml:space="preserve">despite its lack of legally binding effect, “soft law” </w:t>
      </w:r>
      <w:r w:rsidR="00B86BE3">
        <w:rPr>
          <w:rFonts w:ascii="Arial" w:hAnsi="Arial" w:cs="Arial"/>
          <w:color w:val="7B7B7B" w:themeColor="accent3" w:themeShade="BF"/>
          <w:sz w:val="22"/>
          <w:szCs w:val="22"/>
          <w:lang w:val="en-GB"/>
        </w:rPr>
        <w:t xml:space="preserve">may to a great extent affect policy development and </w:t>
      </w:r>
      <w:r w:rsidR="00381C34">
        <w:rPr>
          <w:rFonts w:ascii="Arial" w:hAnsi="Arial" w:cs="Arial"/>
          <w:color w:val="7B7B7B" w:themeColor="accent3" w:themeShade="BF"/>
          <w:sz w:val="22"/>
          <w:szCs w:val="22"/>
          <w:lang w:val="en-GB"/>
        </w:rPr>
        <w:t xml:space="preserve">practice and can </w:t>
      </w:r>
      <w:r w:rsidR="00F34E71">
        <w:rPr>
          <w:rFonts w:ascii="Arial" w:hAnsi="Arial" w:cs="Arial"/>
          <w:color w:val="7B7B7B" w:themeColor="accent3" w:themeShade="BF"/>
          <w:sz w:val="22"/>
          <w:szCs w:val="22"/>
          <w:lang w:val="en-GB"/>
        </w:rPr>
        <w:t xml:space="preserve">still </w:t>
      </w:r>
      <w:r w:rsidR="00381C34">
        <w:rPr>
          <w:rFonts w:ascii="Arial" w:hAnsi="Arial" w:cs="Arial"/>
          <w:color w:val="7B7B7B" w:themeColor="accent3" w:themeShade="BF"/>
          <w:sz w:val="22"/>
          <w:szCs w:val="22"/>
          <w:lang w:val="en-GB"/>
        </w:rPr>
        <w:t>produce legal effects</w:t>
      </w:r>
      <w:r w:rsidR="00B86BE3">
        <w:rPr>
          <w:rFonts w:ascii="Arial" w:hAnsi="Arial" w:cs="Arial"/>
          <w:color w:val="7B7B7B" w:themeColor="accent3" w:themeShade="BF"/>
          <w:sz w:val="22"/>
          <w:szCs w:val="22"/>
          <w:lang w:val="en-GB"/>
        </w:rPr>
        <w:t>, precisely because of its informal influence:</w:t>
      </w:r>
      <w:r w:rsidR="00634662">
        <w:rPr>
          <w:rFonts w:ascii="Arial" w:hAnsi="Arial" w:cs="Arial"/>
          <w:color w:val="7B7B7B" w:themeColor="accent3" w:themeShade="BF"/>
          <w:sz w:val="22"/>
          <w:szCs w:val="22"/>
          <w:lang w:val="en-GB"/>
        </w:rPr>
        <w:t xml:space="preserve"> in situations where States </w:t>
      </w:r>
      <w:r w:rsidR="00F34E71">
        <w:rPr>
          <w:rFonts w:ascii="Arial" w:hAnsi="Arial" w:cs="Arial"/>
          <w:color w:val="7B7B7B" w:themeColor="accent3" w:themeShade="BF"/>
          <w:sz w:val="22"/>
          <w:szCs w:val="22"/>
          <w:lang w:val="en-GB"/>
        </w:rPr>
        <w:t>would be</w:t>
      </w:r>
      <w:r w:rsidR="00634662">
        <w:rPr>
          <w:rFonts w:ascii="Arial" w:hAnsi="Arial" w:cs="Arial"/>
          <w:color w:val="7B7B7B" w:themeColor="accent3" w:themeShade="BF"/>
          <w:sz w:val="22"/>
          <w:szCs w:val="22"/>
          <w:lang w:val="en-GB"/>
        </w:rPr>
        <w:t xml:space="preserve"> reluctant to </w:t>
      </w:r>
      <w:r w:rsidR="00884763">
        <w:rPr>
          <w:rFonts w:ascii="Arial" w:hAnsi="Arial" w:cs="Arial"/>
          <w:color w:val="7B7B7B" w:themeColor="accent3" w:themeShade="BF"/>
          <w:sz w:val="22"/>
          <w:szCs w:val="22"/>
          <w:lang w:val="en-GB"/>
        </w:rPr>
        <w:t>become signatories to ‘treaties’</w:t>
      </w:r>
      <w:r w:rsidR="00634662">
        <w:rPr>
          <w:rFonts w:ascii="Arial" w:hAnsi="Arial" w:cs="Arial"/>
          <w:color w:val="7B7B7B" w:themeColor="accent3" w:themeShade="BF"/>
          <w:sz w:val="22"/>
          <w:szCs w:val="22"/>
          <w:lang w:val="en-GB"/>
        </w:rPr>
        <w:t xml:space="preserve"> due to </w:t>
      </w:r>
      <w:r w:rsidR="00884763">
        <w:rPr>
          <w:rFonts w:ascii="Arial" w:hAnsi="Arial" w:cs="Arial"/>
          <w:color w:val="7B7B7B" w:themeColor="accent3" w:themeShade="BF"/>
          <w:sz w:val="22"/>
          <w:szCs w:val="22"/>
          <w:lang w:val="en-GB"/>
        </w:rPr>
        <w:t>them</w:t>
      </w:r>
      <w:r w:rsidR="00634662">
        <w:rPr>
          <w:rFonts w:ascii="Arial" w:hAnsi="Arial" w:cs="Arial"/>
          <w:color w:val="7B7B7B" w:themeColor="accent3" w:themeShade="BF"/>
          <w:sz w:val="22"/>
          <w:szCs w:val="22"/>
          <w:lang w:val="en-GB"/>
        </w:rPr>
        <w:t xml:space="preserve"> being legally binding, </w:t>
      </w:r>
      <w:r w:rsidR="00884763">
        <w:rPr>
          <w:rFonts w:ascii="Arial" w:hAnsi="Arial" w:cs="Arial"/>
          <w:color w:val="7B7B7B" w:themeColor="accent3" w:themeShade="BF"/>
          <w:sz w:val="22"/>
          <w:szCs w:val="22"/>
          <w:lang w:val="en-GB"/>
        </w:rPr>
        <w:t xml:space="preserve">the use of soft law instruments </w:t>
      </w:r>
      <w:r w:rsidR="00F34E71">
        <w:rPr>
          <w:rFonts w:ascii="Arial" w:hAnsi="Arial" w:cs="Arial"/>
          <w:color w:val="7B7B7B" w:themeColor="accent3" w:themeShade="BF"/>
          <w:sz w:val="22"/>
          <w:szCs w:val="22"/>
          <w:lang w:val="en-GB"/>
        </w:rPr>
        <w:t>could still</w:t>
      </w:r>
      <w:r w:rsidR="00884763">
        <w:rPr>
          <w:rFonts w:ascii="Arial" w:hAnsi="Arial" w:cs="Arial"/>
          <w:color w:val="7B7B7B" w:themeColor="accent3" w:themeShade="BF"/>
          <w:sz w:val="22"/>
          <w:szCs w:val="22"/>
          <w:lang w:val="en-GB"/>
        </w:rPr>
        <w:t xml:space="preserve"> encourage those States to </w:t>
      </w:r>
      <w:r w:rsidR="00884763" w:rsidRPr="00884763">
        <w:rPr>
          <w:rFonts w:ascii="Arial" w:hAnsi="Arial" w:cs="Arial"/>
          <w:color w:val="7B7B7B" w:themeColor="accent3" w:themeShade="BF"/>
          <w:sz w:val="22"/>
          <w:szCs w:val="22"/>
          <w:lang w:val="en-GB"/>
        </w:rPr>
        <w:t>consider and eventually adopt policies and strategies</w:t>
      </w:r>
      <w:r w:rsidR="00884763">
        <w:rPr>
          <w:rFonts w:ascii="Arial" w:hAnsi="Arial" w:cs="Arial"/>
          <w:color w:val="7B7B7B" w:themeColor="accent3" w:themeShade="BF"/>
          <w:sz w:val="22"/>
          <w:szCs w:val="22"/>
          <w:lang w:val="en-GB"/>
        </w:rPr>
        <w:t xml:space="preserve"> in order to achieve solutions to cross-border insolvency issues (e.g. the UNCITRAL Model Law on Cross-border Insolvency as one of the most successful initiatives</w:t>
      </w:r>
      <w:r w:rsidR="00987140">
        <w:rPr>
          <w:rFonts w:ascii="Arial" w:hAnsi="Arial" w:cs="Arial"/>
          <w:color w:val="7B7B7B" w:themeColor="accent3" w:themeShade="BF"/>
          <w:sz w:val="22"/>
          <w:szCs w:val="22"/>
          <w:lang w:val="en-GB"/>
        </w:rPr>
        <w:t xml:space="preserve"> in this regard</w:t>
      </w:r>
      <w:r w:rsidR="00884763">
        <w:rPr>
          <w:rFonts w:ascii="Arial" w:hAnsi="Arial" w:cs="Arial"/>
          <w:color w:val="7B7B7B" w:themeColor="accent3" w:themeShade="BF"/>
          <w:sz w:val="22"/>
          <w:szCs w:val="22"/>
          <w:lang w:val="en-GB"/>
        </w:rPr>
        <w:t xml:space="preserve"> within</w:t>
      </w:r>
      <w:r w:rsidR="00987140">
        <w:rPr>
          <w:rFonts w:ascii="Arial" w:hAnsi="Arial" w:cs="Arial"/>
          <w:color w:val="7B7B7B" w:themeColor="accent3" w:themeShade="BF"/>
          <w:sz w:val="22"/>
          <w:szCs w:val="22"/>
          <w:lang w:val="en-GB"/>
        </w:rPr>
        <w:t xml:space="preserve"> the field of </w:t>
      </w:r>
      <w:r w:rsidR="00F34E71">
        <w:rPr>
          <w:rFonts w:ascii="Arial" w:hAnsi="Arial" w:cs="Arial"/>
          <w:color w:val="7B7B7B" w:themeColor="accent3" w:themeShade="BF"/>
          <w:sz w:val="22"/>
          <w:szCs w:val="22"/>
          <w:lang w:val="en-GB"/>
        </w:rPr>
        <w:t>international</w:t>
      </w:r>
      <w:r w:rsidR="00987140">
        <w:rPr>
          <w:rFonts w:ascii="Arial" w:hAnsi="Arial" w:cs="Arial"/>
          <w:color w:val="7B7B7B" w:themeColor="accent3" w:themeShade="BF"/>
          <w:sz w:val="22"/>
          <w:szCs w:val="22"/>
          <w:lang w:val="en-GB"/>
        </w:rPr>
        <w:t xml:space="preserve"> insolvency law</w:t>
      </w:r>
      <w:r w:rsidR="00884763">
        <w:rPr>
          <w:rFonts w:ascii="Arial" w:hAnsi="Arial" w:cs="Arial"/>
          <w:color w:val="7B7B7B" w:themeColor="accent3" w:themeShade="BF"/>
          <w:sz w:val="22"/>
          <w:szCs w:val="22"/>
          <w:lang w:val="en-GB"/>
        </w:rPr>
        <w:t>).</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644D083B" w14:textId="77777777" w:rsidR="004F0791" w:rsidRDefault="00D92685" w:rsidP="00D9268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 of all,</w:t>
      </w:r>
      <w:r w:rsidRPr="00D92685">
        <w:rPr>
          <w:rFonts w:ascii="Arial" w:hAnsi="Arial" w:cs="Arial"/>
          <w:color w:val="7B7B7B" w:themeColor="accent3" w:themeShade="BF"/>
          <w:sz w:val="22"/>
          <w:szCs w:val="22"/>
          <w:lang w:val="en-GB"/>
        </w:rPr>
        <w:t xml:space="preserve"> it is important to </w:t>
      </w:r>
      <w:r w:rsidR="00E45D10">
        <w:rPr>
          <w:rFonts w:ascii="Arial" w:hAnsi="Arial" w:cs="Arial"/>
          <w:color w:val="7B7B7B" w:themeColor="accent3" w:themeShade="BF"/>
          <w:sz w:val="22"/>
          <w:szCs w:val="22"/>
          <w:lang w:val="en-GB"/>
        </w:rPr>
        <w:t>pinpoint</w:t>
      </w:r>
      <w:r w:rsidRPr="00D9268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 law</w:t>
      </w:r>
      <w:r w:rsidRPr="00D92685">
        <w:rPr>
          <w:rFonts w:ascii="Arial" w:hAnsi="Arial" w:cs="Arial"/>
          <w:color w:val="7B7B7B" w:themeColor="accent3" w:themeShade="BF"/>
          <w:sz w:val="22"/>
          <w:szCs w:val="22"/>
          <w:lang w:val="en-GB"/>
        </w:rPr>
        <w:t xml:space="preserve"> system </w:t>
      </w:r>
      <w:r>
        <w:rPr>
          <w:rFonts w:ascii="Arial" w:hAnsi="Arial" w:cs="Arial"/>
          <w:color w:val="7B7B7B" w:themeColor="accent3" w:themeShade="BF"/>
          <w:sz w:val="22"/>
          <w:szCs w:val="22"/>
          <w:lang w:val="en-GB"/>
        </w:rPr>
        <w:t xml:space="preserve">of </w:t>
      </w:r>
      <w:r w:rsidR="00E45D10">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 xml:space="preserve">particular State </w:t>
      </w:r>
      <w:r w:rsidRPr="00D92685">
        <w:rPr>
          <w:rFonts w:ascii="Arial" w:hAnsi="Arial" w:cs="Arial"/>
          <w:color w:val="7B7B7B" w:themeColor="accent3" w:themeShade="BF"/>
          <w:sz w:val="22"/>
          <w:szCs w:val="22"/>
          <w:lang w:val="en-GB"/>
        </w:rPr>
        <w:t>within the context of a civil law or an English common law system</w:t>
      </w:r>
      <w:r w:rsidR="009E7EA4">
        <w:rPr>
          <w:rFonts w:ascii="Arial" w:hAnsi="Arial" w:cs="Arial"/>
          <w:color w:val="7B7B7B" w:themeColor="accent3" w:themeShade="BF"/>
          <w:sz w:val="22"/>
          <w:szCs w:val="22"/>
          <w:lang w:val="en-GB"/>
        </w:rPr>
        <w:t xml:space="preserve"> (or even </w:t>
      </w:r>
      <w:r w:rsidR="009E60B9">
        <w:rPr>
          <w:rFonts w:ascii="Arial" w:hAnsi="Arial" w:cs="Arial"/>
          <w:color w:val="7B7B7B" w:themeColor="accent3" w:themeShade="BF"/>
          <w:sz w:val="22"/>
          <w:szCs w:val="22"/>
          <w:lang w:val="en-GB"/>
        </w:rPr>
        <w:t>a mix of both legal systems, e.g. South African insolvency law)</w:t>
      </w:r>
      <w:r w:rsidRPr="00D92685">
        <w:rPr>
          <w:rFonts w:ascii="Arial" w:hAnsi="Arial" w:cs="Arial"/>
          <w:color w:val="7B7B7B" w:themeColor="accent3" w:themeShade="BF"/>
          <w:sz w:val="22"/>
          <w:szCs w:val="22"/>
          <w:lang w:val="en-GB"/>
        </w:rPr>
        <w:t xml:space="preserve">. </w:t>
      </w:r>
      <w:r w:rsidR="003522CA">
        <w:rPr>
          <w:rFonts w:ascii="Arial" w:hAnsi="Arial" w:cs="Arial"/>
          <w:color w:val="7B7B7B" w:themeColor="accent3" w:themeShade="BF"/>
          <w:sz w:val="22"/>
          <w:szCs w:val="22"/>
          <w:lang w:val="en-GB"/>
        </w:rPr>
        <w:t>Whereas</w:t>
      </w:r>
      <w:r w:rsidRPr="00D92685">
        <w:rPr>
          <w:rFonts w:ascii="Arial" w:hAnsi="Arial" w:cs="Arial"/>
          <w:color w:val="7B7B7B" w:themeColor="accent3" w:themeShade="BF"/>
          <w:sz w:val="22"/>
          <w:szCs w:val="22"/>
          <w:lang w:val="en-GB"/>
        </w:rPr>
        <w:t xml:space="preserve"> the civil law systems are steeped in the </w:t>
      </w:r>
      <w:r w:rsidR="00E45D10">
        <w:rPr>
          <w:rFonts w:ascii="Arial" w:hAnsi="Arial" w:cs="Arial"/>
          <w:color w:val="7B7B7B" w:themeColor="accent3" w:themeShade="BF"/>
          <w:sz w:val="22"/>
          <w:szCs w:val="22"/>
          <w:lang w:val="en-GB"/>
        </w:rPr>
        <w:t>R</w:t>
      </w:r>
      <w:r w:rsidRPr="00D92685">
        <w:rPr>
          <w:rFonts w:ascii="Arial" w:hAnsi="Arial" w:cs="Arial"/>
          <w:color w:val="7B7B7B" w:themeColor="accent3" w:themeShade="BF"/>
          <w:sz w:val="22"/>
          <w:szCs w:val="22"/>
          <w:lang w:val="en-GB"/>
        </w:rPr>
        <w:t xml:space="preserve">oman </w:t>
      </w:r>
      <w:r w:rsidR="00E45D10">
        <w:rPr>
          <w:rFonts w:ascii="Arial" w:hAnsi="Arial" w:cs="Arial"/>
          <w:color w:val="7B7B7B" w:themeColor="accent3" w:themeShade="BF"/>
          <w:sz w:val="22"/>
          <w:szCs w:val="22"/>
          <w:lang w:val="en-GB"/>
        </w:rPr>
        <w:t>L</w:t>
      </w:r>
      <w:r w:rsidRPr="00D92685">
        <w:rPr>
          <w:rFonts w:ascii="Arial" w:hAnsi="Arial" w:cs="Arial"/>
          <w:color w:val="7B7B7B" w:themeColor="accent3" w:themeShade="BF"/>
          <w:sz w:val="22"/>
          <w:szCs w:val="22"/>
          <w:lang w:val="en-GB"/>
        </w:rPr>
        <w:t>aw tradition</w:t>
      </w:r>
      <w:r w:rsidR="003522CA">
        <w:rPr>
          <w:rFonts w:ascii="Arial" w:hAnsi="Arial" w:cs="Arial"/>
          <w:color w:val="7B7B7B" w:themeColor="accent3" w:themeShade="BF"/>
          <w:sz w:val="22"/>
          <w:szCs w:val="22"/>
          <w:lang w:val="en-GB"/>
        </w:rPr>
        <w:t>,</w:t>
      </w:r>
      <w:r w:rsidRPr="00D92685">
        <w:rPr>
          <w:rFonts w:ascii="Arial" w:hAnsi="Arial" w:cs="Arial"/>
          <w:color w:val="7B7B7B" w:themeColor="accent3" w:themeShade="BF"/>
          <w:sz w:val="22"/>
          <w:szCs w:val="22"/>
          <w:lang w:val="en-GB"/>
        </w:rPr>
        <w:t xml:space="preserve"> the</w:t>
      </w:r>
      <w:r w:rsidR="00E45D10">
        <w:rPr>
          <w:rFonts w:ascii="Arial" w:hAnsi="Arial" w:cs="Arial"/>
          <w:color w:val="7B7B7B" w:themeColor="accent3" w:themeShade="BF"/>
          <w:sz w:val="22"/>
          <w:szCs w:val="22"/>
          <w:lang w:val="en-GB"/>
        </w:rPr>
        <w:t xml:space="preserve"> roots of the</w:t>
      </w:r>
      <w:r w:rsidRPr="00D92685">
        <w:rPr>
          <w:rFonts w:ascii="Arial" w:hAnsi="Arial" w:cs="Arial"/>
          <w:color w:val="7B7B7B" w:themeColor="accent3" w:themeShade="BF"/>
          <w:sz w:val="22"/>
          <w:szCs w:val="22"/>
          <w:lang w:val="en-GB"/>
        </w:rPr>
        <w:t xml:space="preserve"> English common law systems </w:t>
      </w:r>
      <w:r w:rsidR="00E45D10">
        <w:rPr>
          <w:rFonts w:ascii="Arial" w:hAnsi="Arial" w:cs="Arial"/>
          <w:color w:val="7B7B7B" w:themeColor="accent3" w:themeShade="BF"/>
          <w:sz w:val="22"/>
          <w:szCs w:val="22"/>
          <w:lang w:val="en-GB"/>
        </w:rPr>
        <w:t xml:space="preserve">are </w:t>
      </w:r>
      <w:r w:rsidRPr="00D92685">
        <w:rPr>
          <w:rFonts w:ascii="Arial" w:hAnsi="Arial" w:cs="Arial"/>
          <w:color w:val="7B7B7B" w:themeColor="accent3" w:themeShade="BF"/>
          <w:sz w:val="22"/>
          <w:szCs w:val="22"/>
          <w:lang w:val="en-GB"/>
        </w:rPr>
        <w:t>of course</w:t>
      </w:r>
      <w:r w:rsidR="00E45D10">
        <w:rPr>
          <w:rFonts w:ascii="Arial" w:hAnsi="Arial" w:cs="Arial"/>
          <w:color w:val="7B7B7B" w:themeColor="accent3" w:themeShade="BF"/>
          <w:sz w:val="22"/>
          <w:szCs w:val="22"/>
          <w:lang w:val="en-GB"/>
        </w:rPr>
        <w:t xml:space="preserve"> to be found</w:t>
      </w:r>
      <w:r w:rsidRPr="00D92685">
        <w:rPr>
          <w:rFonts w:ascii="Arial" w:hAnsi="Arial" w:cs="Arial"/>
          <w:color w:val="7B7B7B" w:themeColor="accent3" w:themeShade="BF"/>
          <w:sz w:val="22"/>
          <w:szCs w:val="22"/>
          <w:lang w:val="en-GB"/>
        </w:rPr>
        <w:t xml:space="preserve"> in English </w:t>
      </w:r>
      <w:r w:rsidR="00E45D10">
        <w:rPr>
          <w:rFonts w:ascii="Arial" w:hAnsi="Arial" w:cs="Arial"/>
          <w:color w:val="7B7B7B" w:themeColor="accent3" w:themeShade="BF"/>
          <w:sz w:val="22"/>
          <w:szCs w:val="22"/>
          <w:lang w:val="en-GB"/>
        </w:rPr>
        <w:t>L</w:t>
      </w:r>
      <w:r w:rsidRPr="00D92685">
        <w:rPr>
          <w:rFonts w:ascii="Arial" w:hAnsi="Arial" w:cs="Arial"/>
          <w:color w:val="7B7B7B" w:themeColor="accent3" w:themeShade="BF"/>
          <w:sz w:val="22"/>
          <w:szCs w:val="22"/>
          <w:lang w:val="en-GB"/>
        </w:rPr>
        <w:t xml:space="preserve">aw. </w:t>
      </w:r>
      <w:r w:rsidR="00E45D10">
        <w:rPr>
          <w:rFonts w:ascii="Arial" w:hAnsi="Arial" w:cs="Arial"/>
          <w:color w:val="7B7B7B" w:themeColor="accent3" w:themeShade="BF"/>
          <w:sz w:val="22"/>
          <w:szCs w:val="22"/>
          <w:lang w:val="en-GB"/>
        </w:rPr>
        <w:t>In</w:t>
      </w:r>
      <w:r w:rsidRPr="00D92685">
        <w:rPr>
          <w:rFonts w:ascii="Arial" w:hAnsi="Arial" w:cs="Arial"/>
          <w:color w:val="7B7B7B" w:themeColor="accent3" w:themeShade="BF"/>
          <w:sz w:val="22"/>
          <w:szCs w:val="22"/>
          <w:lang w:val="en-GB"/>
        </w:rPr>
        <w:t xml:space="preserve"> both these systems there was a historical development until </w:t>
      </w:r>
      <w:r w:rsidR="00E45D10">
        <w:rPr>
          <w:rFonts w:ascii="Arial" w:hAnsi="Arial" w:cs="Arial"/>
          <w:color w:val="7B7B7B" w:themeColor="accent3" w:themeShade="BF"/>
          <w:sz w:val="22"/>
          <w:szCs w:val="22"/>
          <w:lang w:val="en-GB"/>
        </w:rPr>
        <w:t>they</w:t>
      </w:r>
      <w:r w:rsidRPr="00D92685">
        <w:rPr>
          <w:rFonts w:ascii="Arial" w:hAnsi="Arial" w:cs="Arial"/>
          <w:color w:val="7B7B7B" w:themeColor="accent3" w:themeShade="BF"/>
          <w:sz w:val="22"/>
          <w:szCs w:val="22"/>
          <w:lang w:val="en-GB"/>
        </w:rPr>
        <w:t xml:space="preserve"> finally reached the stage where both systems acknowledged insolvency law. </w:t>
      </w:r>
    </w:p>
    <w:p w14:paraId="41CA224B" w14:textId="77777777" w:rsidR="004F0791" w:rsidRDefault="004F0791" w:rsidP="00D92685">
      <w:pPr>
        <w:jc w:val="both"/>
        <w:rPr>
          <w:rFonts w:ascii="Arial" w:hAnsi="Arial" w:cs="Arial"/>
          <w:color w:val="7B7B7B" w:themeColor="accent3" w:themeShade="BF"/>
          <w:sz w:val="22"/>
          <w:szCs w:val="22"/>
          <w:lang w:val="en-GB"/>
        </w:rPr>
      </w:pPr>
    </w:p>
    <w:p w14:paraId="43DBA353" w14:textId="4FBC8807" w:rsidR="00D92685" w:rsidRPr="00D92685" w:rsidRDefault="00ED5B0A" w:rsidP="00D9268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Although legislation is generally considered the primary source of law today and will override the common law, </w:t>
      </w:r>
      <w:r w:rsidR="004F0791">
        <w:rPr>
          <w:rFonts w:ascii="Arial" w:hAnsi="Arial" w:cs="Arial"/>
          <w:color w:val="7B7B7B" w:themeColor="accent3" w:themeShade="BF"/>
          <w:sz w:val="22"/>
          <w:szCs w:val="22"/>
          <w:lang w:val="en-GB"/>
        </w:rPr>
        <w:t xml:space="preserve">‘common law’ (i.e. a </w:t>
      </w:r>
      <w:r w:rsidR="004F0791" w:rsidRPr="004F0791">
        <w:rPr>
          <w:rFonts w:ascii="Arial" w:hAnsi="Arial" w:cs="Arial"/>
          <w:color w:val="7B7B7B" w:themeColor="accent3" w:themeShade="BF"/>
          <w:sz w:val="22"/>
          <w:szCs w:val="22"/>
          <w:lang w:val="en-GB"/>
        </w:rPr>
        <w:t>body of</w:t>
      </w:r>
      <w:r w:rsidR="00CF0E27">
        <w:rPr>
          <w:rFonts w:ascii="Arial" w:hAnsi="Arial" w:cs="Arial"/>
          <w:color w:val="7B7B7B" w:themeColor="accent3" w:themeShade="BF"/>
          <w:sz w:val="22"/>
          <w:szCs w:val="22"/>
          <w:lang w:val="en-GB"/>
        </w:rPr>
        <w:t xml:space="preserve"> additional</w:t>
      </w:r>
      <w:r w:rsidR="004F0791" w:rsidRPr="004F0791">
        <w:rPr>
          <w:rFonts w:ascii="Arial" w:hAnsi="Arial" w:cs="Arial"/>
          <w:color w:val="7B7B7B" w:themeColor="accent3" w:themeShade="BF"/>
          <w:sz w:val="22"/>
          <w:szCs w:val="22"/>
          <w:lang w:val="en-GB"/>
        </w:rPr>
        <w:t xml:space="preserve"> legal rules</w:t>
      </w:r>
      <w:r w:rsidR="00CF0E27">
        <w:rPr>
          <w:rFonts w:ascii="Arial" w:hAnsi="Arial" w:cs="Arial"/>
          <w:color w:val="7B7B7B" w:themeColor="accent3" w:themeShade="BF"/>
          <w:sz w:val="22"/>
          <w:szCs w:val="22"/>
          <w:lang w:val="en-GB"/>
        </w:rPr>
        <w:t xml:space="preserve"> of practice</w:t>
      </w:r>
      <w:r w:rsidR="004F0791" w:rsidRPr="004F0791">
        <w:rPr>
          <w:rFonts w:ascii="Arial" w:hAnsi="Arial" w:cs="Arial"/>
          <w:color w:val="7B7B7B" w:themeColor="accent3" w:themeShade="BF"/>
          <w:sz w:val="22"/>
          <w:szCs w:val="22"/>
          <w:lang w:val="en-GB"/>
        </w:rPr>
        <w:t xml:space="preserve"> that have been made by judges as they issue rulings on cases</w:t>
      </w:r>
      <w:r w:rsidR="004F0791">
        <w:rPr>
          <w:rFonts w:ascii="Arial" w:hAnsi="Arial" w:cs="Arial"/>
          <w:color w:val="7B7B7B" w:themeColor="accent3" w:themeShade="BF"/>
          <w:sz w:val="22"/>
          <w:szCs w:val="22"/>
          <w:lang w:val="en-GB"/>
        </w:rPr>
        <w:t xml:space="preserve">) is </w:t>
      </w:r>
      <w:r w:rsidR="00272CC1">
        <w:rPr>
          <w:rFonts w:ascii="Arial" w:hAnsi="Arial" w:cs="Arial"/>
          <w:color w:val="7B7B7B" w:themeColor="accent3" w:themeShade="BF"/>
          <w:sz w:val="22"/>
          <w:szCs w:val="22"/>
          <w:lang w:val="en-GB"/>
        </w:rPr>
        <w:t xml:space="preserve">of primary importance and </w:t>
      </w:r>
      <w:r w:rsidR="004F0791">
        <w:rPr>
          <w:rFonts w:ascii="Arial" w:hAnsi="Arial" w:cs="Arial"/>
          <w:color w:val="7B7B7B" w:themeColor="accent3" w:themeShade="BF"/>
          <w:sz w:val="22"/>
          <w:szCs w:val="22"/>
          <w:lang w:val="en-GB"/>
        </w:rPr>
        <w:t>used</w:t>
      </w:r>
      <w:r>
        <w:rPr>
          <w:rFonts w:ascii="Arial" w:hAnsi="Arial" w:cs="Arial"/>
          <w:color w:val="7B7B7B" w:themeColor="accent3" w:themeShade="BF"/>
          <w:sz w:val="22"/>
          <w:szCs w:val="22"/>
          <w:lang w:val="en-GB"/>
        </w:rPr>
        <w:t xml:space="preserve"> </w:t>
      </w:r>
      <w:r w:rsidR="004F0791">
        <w:rPr>
          <w:rFonts w:ascii="Arial" w:hAnsi="Arial" w:cs="Arial"/>
          <w:color w:val="7B7B7B" w:themeColor="accent3" w:themeShade="BF"/>
          <w:sz w:val="22"/>
          <w:szCs w:val="22"/>
          <w:lang w:val="en-GB"/>
        </w:rPr>
        <w:t>in</w:t>
      </w:r>
      <w:r w:rsidR="00272CC1">
        <w:rPr>
          <w:rFonts w:ascii="Arial" w:hAnsi="Arial" w:cs="Arial"/>
          <w:color w:val="7B7B7B" w:themeColor="accent3" w:themeShade="BF"/>
          <w:sz w:val="22"/>
          <w:szCs w:val="22"/>
          <w:lang w:val="en-GB"/>
        </w:rPr>
        <w:t xml:space="preserve"> various</w:t>
      </w:r>
      <w:r w:rsidR="004F0791">
        <w:rPr>
          <w:rFonts w:ascii="Arial" w:hAnsi="Arial" w:cs="Arial"/>
          <w:color w:val="7B7B7B" w:themeColor="accent3" w:themeShade="BF"/>
          <w:sz w:val="22"/>
          <w:szCs w:val="22"/>
          <w:lang w:val="en-GB"/>
        </w:rPr>
        <w:t xml:space="preserve"> common law based systems to fill in gaps in existing legislation. </w:t>
      </w:r>
    </w:p>
    <w:p w14:paraId="5C157227" w14:textId="77777777" w:rsidR="00D92685" w:rsidRPr="00D92685" w:rsidRDefault="00D92685" w:rsidP="00D92685">
      <w:pPr>
        <w:jc w:val="both"/>
        <w:rPr>
          <w:rFonts w:ascii="Arial" w:hAnsi="Arial" w:cs="Arial"/>
          <w:color w:val="7B7B7B" w:themeColor="accent3" w:themeShade="BF"/>
          <w:sz w:val="22"/>
          <w:szCs w:val="22"/>
          <w:lang w:val="en-GB"/>
        </w:rPr>
      </w:pPr>
    </w:p>
    <w:p w14:paraId="3DC93B8D" w14:textId="260A3D3C" w:rsidR="00D92685" w:rsidRPr="00D92685" w:rsidRDefault="00CF0E27" w:rsidP="00D9268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Leaving aside supra-national </w:t>
      </w:r>
      <w:r w:rsidR="005A0E4B">
        <w:rPr>
          <w:rFonts w:ascii="Arial" w:hAnsi="Arial" w:cs="Arial"/>
          <w:color w:val="7B7B7B" w:themeColor="accent3" w:themeShade="BF"/>
          <w:sz w:val="22"/>
          <w:szCs w:val="22"/>
          <w:lang w:val="en-GB"/>
        </w:rPr>
        <w:t xml:space="preserve">legislation </w:t>
      </w:r>
      <w:r>
        <w:rPr>
          <w:rFonts w:ascii="Arial" w:hAnsi="Arial" w:cs="Arial"/>
          <w:color w:val="7B7B7B" w:themeColor="accent3" w:themeShade="BF"/>
          <w:sz w:val="22"/>
          <w:szCs w:val="22"/>
          <w:lang w:val="en-GB"/>
        </w:rPr>
        <w:t xml:space="preserve">and/or international </w:t>
      </w:r>
      <w:r w:rsidR="005A0E4B">
        <w:rPr>
          <w:rFonts w:ascii="Arial" w:hAnsi="Arial" w:cs="Arial"/>
          <w:color w:val="7B7B7B" w:themeColor="accent3" w:themeShade="BF"/>
          <w:sz w:val="22"/>
          <w:szCs w:val="22"/>
          <w:lang w:val="en-GB"/>
        </w:rPr>
        <w:t>instruments</w:t>
      </w:r>
      <w:r>
        <w:rPr>
          <w:rFonts w:ascii="Arial" w:hAnsi="Arial" w:cs="Arial"/>
          <w:color w:val="7B7B7B" w:themeColor="accent3" w:themeShade="BF"/>
          <w:sz w:val="22"/>
          <w:szCs w:val="22"/>
          <w:lang w:val="en-GB"/>
        </w:rPr>
        <w:t xml:space="preserve"> (both “hard law” as well as “soft law”, see above), i</w:t>
      </w:r>
      <w:r w:rsidR="00D92685" w:rsidRPr="00D92685">
        <w:rPr>
          <w:rFonts w:ascii="Arial" w:hAnsi="Arial" w:cs="Arial"/>
          <w:color w:val="7B7B7B" w:themeColor="accent3" w:themeShade="BF"/>
          <w:sz w:val="22"/>
          <w:szCs w:val="22"/>
          <w:lang w:val="en-GB"/>
        </w:rPr>
        <w:t xml:space="preserve">f we look at modern day systems across the globe we will find many pieces of insolvency legislation, either in civil law systems or in English common law systems. </w:t>
      </w:r>
      <w:r w:rsidR="00F23658">
        <w:rPr>
          <w:rFonts w:ascii="Arial" w:hAnsi="Arial" w:cs="Arial"/>
          <w:color w:val="7B7B7B" w:themeColor="accent3" w:themeShade="BF"/>
          <w:sz w:val="22"/>
          <w:szCs w:val="22"/>
          <w:lang w:val="en-GB"/>
        </w:rPr>
        <w:t>It is thereby</w:t>
      </w:r>
      <w:r w:rsidR="00D92685" w:rsidRPr="00D92685">
        <w:rPr>
          <w:rFonts w:ascii="Arial" w:hAnsi="Arial" w:cs="Arial"/>
          <w:color w:val="7B7B7B" w:themeColor="accent3" w:themeShade="BF"/>
          <w:sz w:val="22"/>
          <w:szCs w:val="22"/>
          <w:lang w:val="en-GB"/>
        </w:rPr>
        <w:t xml:space="preserve"> </w:t>
      </w:r>
      <w:r w:rsidR="00F23658">
        <w:rPr>
          <w:rFonts w:ascii="Arial" w:hAnsi="Arial" w:cs="Arial"/>
          <w:color w:val="7B7B7B" w:themeColor="accent3" w:themeShade="BF"/>
          <w:sz w:val="22"/>
          <w:szCs w:val="22"/>
          <w:lang w:val="en-GB"/>
        </w:rPr>
        <w:t xml:space="preserve">also </w:t>
      </w:r>
      <w:r w:rsidR="00D92685" w:rsidRPr="00D92685">
        <w:rPr>
          <w:rFonts w:ascii="Arial" w:hAnsi="Arial" w:cs="Arial"/>
          <w:color w:val="7B7B7B" w:themeColor="accent3" w:themeShade="BF"/>
          <w:sz w:val="22"/>
          <w:szCs w:val="22"/>
          <w:lang w:val="en-GB"/>
        </w:rPr>
        <w:t xml:space="preserve">important to ask the question if a particular system provides for a single insolvency act or bankruptcy act, or a (bankruptcy) code, or if </w:t>
      </w:r>
      <w:r w:rsidR="00F23658">
        <w:rPr>
          <w:rFonts w:ascii="Arial" w:hAnsi="Arial" w:cs="Arial"/>
          <w:color w:val="7B7B7B" w:themeColor="accent3" w:themeShade="BF"/>
          <w:sz w:val="22"/>
          <w:szCs w:val="22"/>
          <w:lang w:val="en-GB"/>
        </w:rPr>
        <w:t>it takes</w:t>
      </w:r>
      <w:r w:rsidR="00D92685" w:rsidRPr="00D92685">
        <w:rPr>
          <w:rFonts w:ascii="Arial" w:hAnsi="Arial" w:cs="Arial"/>
          <w:color w:val="7B7B7B" w:themeColor="accent3" w:themeShade="BF"/>
          <w:sz w:val="22"/>
          <w:szCs w:val="22"/>
          <w:lang w:val="en-GB"/>
        </w:rPr>
        <w:t xml:space="preserve"> a </w:t>
      </w:r>
      <w:r w:rsidR="00F23658">
        <w:rPr>
          <w:rFonts w:ascii="Arial" w:hAnsi="Arial" w:cs="Arial"/>
          <w:color w:val="7B7B7B" w:themeColor="accent3" w:themeShade="BF"/>
          <w:sz w:val="22"/>
          <w:szCs w:val="22"/>
          <w:lang w:val="en-GB"/>
        </w:rPr>
        <w:t xml:space="preserve">more </w:t>
      </w:r>
      <w:r w:rsidR="00D92685" w:rsidRPr="00D92685">
        <w:rPr>
          <w:rFonts w:ascii="Arial" w:hAnsi="Arial" w:cs="Arial"/>
          <w:color w:val="7B7B7B" w:themeColor="accent3" w:themeShade="BF"/>
          <w:sz w:val="22"/>
          <w:szCs w:val="22"/>
          <w:lang w:val="en-GB"/>
        </w:rPr>
        <w:t xml:space="preserve">fragmented </w:t>
      </w:r>
      <w:r w:rsidR="00D92685" w:rsidRPr="00D92685">
        <w:rPr>
          <w:rFonts w:ascii="Arial" w:hAnsi="Arial" w:cs="Arial"/>
          <w:color w:val="7B7B7B" w:themeColor="accent3" w:themeShade="BF"/>
          <w:sz w:val="22"/>
          <w:szCs w:val="22"/>
          <w:lang w:val="en-GB"/>
        </w:rPr>
        <w:lastRenderedPageBreak/>
        <w:t xml:space="preserve">approach where we find a </w:t>
      </w:r>
      <w:r w:rsidR="009E60B9">
        <w:rPr>
          <w:rFonts w:ascii="Arial" w:hAnsi="Arial" w:cs="Arial"/>
          <w:color w:val="7B7B7B" w:themeColor="accent3" w:themeShade="BF"/>
          <w:sz w:val="22"/>
          <w:szCs w:val="22"/>
          <w:lang w:val="en-GB"/>
        </w:rPr>
        <w:t>multiplicity</w:t>
      </w:r>
      <w:r w:rsidR="00D92685" w:rsidRPr="00D92685">
        <w:rPr>
          <w:rFonts w:ascii="Arial" w:hAnsi="Arial" w:cs="Arial"/>
          <w:color w:val="7B7B7B" w:themeColor="accent3" w:themeShade="BF"/>
          <w:sz w:val="22"/>
          <w:szCs w:val="22"/>
          <w:lang w:val="en-GB"/>
        </w:rPr>
        <w:t xml:space="preserve"> of legislation dealing with various aspects of insolvency. This is also very prevalent in the various systems across the world</w:t>
      </w:r>
      <w:r w:rsidR="000D2F9D">
        <w:rPr>
          <w:rFonts w:ascii="Arial" w:hAnsi="Arial" w:cs="Arial"/>
          <w:color w:val="7B7B7B" w:themeColor="accent3" w:themeShade="BF"/>
          <w:sz w:val="22"/>
          <w:szCs w:val="22"/>
          <w:lang w:val="en-GB"/>
        </w:rPr>
        <w:t xml:space="preserve"> (e.g. in Australian insol</w:t>
      </w:r>
      <w:r w:rsidR="009E60B9">
        <w:rPr>
          <w:rFonts w:ascii="Arial" w:hAnsi="Arial" w:cs="Arial"/>
          <w:color w:val="7B7B7B" w:themeColor="accent3" w:themeShade="BF"/>
          <w:sz w:val="22"/>
          <w:szCs w:val="22"/>
          <w:lang w:val="en-GB"/>
        </w:rPr>
        <w:t>v</w:t>
      </w:r>
      <w:r w:rsidR="000D2F9D">
        <w:rPr>
          <w:rFonts w:ascii="Arial" w:hAnsi="Arial" w:cs="Arial"/>
          <w:color w:val="7B7B7B" w:themeColor="accent3" w:themeShade="BF"/>
          <w:sz w:val="22"/>
          <w:szCs w:val="22"/>
          <w:lang w:val="en-GB"/>
        </w:rPr>
        <w:t>ency law, the rules will be found in separate legislation dealing with various aspects of insolvency; it does not have a single unified Bankruptcy or Insolvency Code or Act, as opposed to the Bankruptcy Code of 1978</w:t>
      </w:r>
      <w:r w:rsidR="009E7EA4">
        <w:rPr>
          <w:rFonts w:ascii="Arial" w:hAnsi="Arial" w:cs="Arial"/>
          <w:color w:val="7B7B7B" w:themeColor="accent3" w:themeShade="BF"/>
          <w:sz w:val="22"/>
          <w:szCs w:val="22"/>
          <w:lang w:val="en-GB"/>
        </w:rPr>
        <w:t xml:space="preserve"> that applies throughout the USA or the Insolvency Act of 1986 that applies to</w:t>
      </w:r>
      <w:r w:rsidR="000D2F9D">
        <w:rPr>
          <w:rFonts w:ascii="Arial" w:hAnsi="Arial" w:cs="Arial"/>
          <w:color w:val="7B7B7B" w:themeColor="accent3" w:themeShade="BF"/>
          <w:sz w:val="22"/>
          <w:szCs w:val="22"/>
          <w:lang w:val="en-GB"/>
        </w:rPr>
        <w:t xml:space="preserve"> </w:t>
      </w:r>
      <w:r w:rsidR="009E7EA4">
        <w:rPr>
          <w:rFonts w:ascii="Arial" w:hAnsi="Arial" w:cs="Arial"/>
          <w:color w:val="7B7B7B" w:themeColor="accent3" w:themeShade="BF"/>
          <w:sz w:val="22"/>
          <w:szCs w:val="22"/>
          <w:lang w:val="en-GB"/>
        </w:rPr>
        <w:t>England and Wales).</w:t>
      </w:r>
    </w:p>
    <w:p w14:paraId="6BFE73F3" w14:textId="77777777" w:rsidR="00D92685" w:rsidRPr="00D92685" w:rsidRDefault="00D92685" w:rsidP="00D92685">
      <w:pPr>
        <w:jc w:val="both"/>
        <w:rPr>
          <w:rFonts w:ascii="Arial" w:hAnsi="Arial" w:cs="Arial"/>
          <w:color w:val="7B7B7B" w:themeColor="accent3" w:themeShade="BF"/>
          <w:sz w:val="22"/>
          <w:szCs w:val="22"/>
          <w:lang w:val="en-GB"/>
        </w:rPr>
      </w:pPr>
    </w:p>
    <w:p w14:paraId="624E69FB" w14:textId="2A9992F3" w:rsidR="00726E9A" w:rsidRPr="00CD25CF" w:rsidRDefault="00794551" w:rsidP="00CD25C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addition to</w:t>
      </w:r>
      <w:r w:rsidR="00272CC1">
        <w:rPr>
          <w:rFonts w:ascii="Arial" w:hAnsi="Arial" w:cs="Arial"/>
          <w:color w:val="7B7B7B" w:themeColor="accent3" w:themeShade="BF"/>
          <w:sz w:val="22"/>
          <w:szCs w:val="22"/>
          <w:lang w:val="en-GB"/>
        </w:rPr>
        <w:t xml:space="preserve"> insolvency legislation, another important source of </w:t>
      </w:r>
      <w:r>
        <w:rPr>
          <w:rFonts w:ascii="Arial" w:hAnsi="Arial" w:cs="Arial"/>
          <w:color w:val="7B7B7B" w:themeColor="accent3" w:themeShade="BF"/>
          <w:sz w:val="22"/>
          <w:szCs w:val="22"/>
          <w:lang w:val="en-GB"/>
        </w:rPr>
        <w:t>insolvency laws is to be found in</w:t>
      </w:r>
      <w:r w:rsidR="00D92685" w:rsidRPr="00D92685">
        <w:rPr>
          <w:rFonts w:ascii="Arial" w:hAnsi="Arial" w:cs="Arial"/>
          <w:color w:val="7B7B7B" w:themeColor="accent3" w:themeShade="BF"/>
          <w:sz w:val="22"/>
          <w:szCs w:val="22"/>
          <w:lang w:val="en-GB"/>
        </w:rPr>
        <w:t xml:space="preserve"> the notion of the ‘general law’. We usually refer to the general law as the law outside insolvency law but that may have an impact on insolvency law aspects as well, e.g. the law of securities</w:t>
      </w:r>
      <w:r>
        <w:rPr>
          <w:rFonts w:ascii="Arial" w:hAnsi="Arial" w:cs="Arial"/>
          <w:color w:val="7B7B7B" w:themeColor="accent3" w:themeShade="BF"/>
          <w:sz w:val="22"/>
          <w:szCs w:val="22"/>
          <w:lang w:val="en-GB"/>
        </w:rPr>
        <w:t>.</w:t>
      </w:r>
      <w:r w:rsidR="003E788D">
        <w:rPr>
          <w:rFonts w:ascii="Arial" w:hAnsi="Arial" w:cs="Arial"/>
          <w:color w:val="7B7B7B" w:themeColor="accent3" w:themeShade="BF"/>
          <w:sz w:val="22"/>
          <w:szCs w:val="22"/>
          <w:lang w:val="en-GB"/>
        </w:rPr>
        <w:t xml:space="preserve"> </w:t>
      </w:r>
      <w:r w:rsidR="007D3F6A">
        <w:rPr>
          <w:rFonts w:ascii="Arial" w:hAnsi="Arial" w:cs="Arial"/>
          <w:color w:val="7B7B7B" w:themeColor="accent3" w:themeShade="BF"/>
          <w:sz w:val="22"/>
          <w:szCs w:val="22"/>
          <w:lang w:val="en-GB"/>
        </w:rPr>
        <w:t>However, i</w:t>
      </w:r>
      <w:r w:rsidR="003E788D">
        <w:rPr>
          <w:rFonts w:ascii="Arial" w:hAnsi="Arial" w:cs="Arial"/>
          <w:color w:val="7B7B7B" w:themeColor="accent3" w:themeShade="BF"/>
          <w:sz w:val="22"/>
          <w:szCs w:val="22"/>
          <w:lang w:val="en-GB"/>
        </w:rPr>
        <w:t>t goes without saying that the general law will apply substantively different depending on the specific legal system</w:t>
      </w:r>
      <w:r w:rsidR="007D3F6A">
        <w:rPr>
          <w:rFonts w:ascii="Arial" w:hAnsi="Arial" w:cs="Arial"/>
          <w:color w:val="7B7B7B" w:themeColor="accent3" w:themeShade="BF"/>
          <w:sz w:val="22"/>
          <w:szCs w:val="22"/>
          <w:lang w:val="en-GB"/>
        </w:rPr>
        <w:t>. i</w:t>
      </w:r>
      <w:r w:rsidR="007D3F6A" w:rsidRPr="007D3F6A">
        <w:rPr>
          <w:rFonts w:ascii="Arial" w:hAnsi="Arial" w:cs="Arial"/>
          <w:color w:val="7B7B7B" w:themeColor="accent3" w:themeShade="BF"/>
          <w:sz w:val="22"/>
          <w:szCs w:val="22"/>
          <w:lang w:val="en-GB"/>
        </w:rPr>
        <w:t>n the English common law systems we find a floating charge; we do not necessarily find the same kind of security in other systems. So the</w:t>
      </w:r>
      <w:r w:rsidR="007D3F6A">
        <w:rPr>
          <w:rFonts w:ascii="Arial" w:hAnsi="Arial" w:cs="Arial"/>
          <w:color w:val="7B7B7B" w:themeColor="accent3" w:themeShade="BF"/>
          <w:sz w:val="22"/>
          <w:szCs w:val="22"/>
          <w:lang w:val="en-GB"/>
        </w:rPr>
        <w:t xml:space="preserve"> rules on how to establish rights of security</w:t>
      </w:r>
      <w:r w:rsidR="007D3F6A" w:rsidRPr="007D3F6A">
        <w:rPr>
          <w:rFonts w:ascii="Arial" w:hAnsi="Arial" w:cs="Arial"/>
          <w:color w:val="7B7B7B" w:themeColor="accent3" w:themeShade="BF"/>
          <w:sz w:val="22"/>
          <w:szCs w:val="22"/>
          <w:lang w:val="en-GB"/>
        </w:rPr>
        <w:t xml:space="preserve"> may differ, and the general law will prescribe how these rights are established in a particular system and it is very important in any insolvency case to take note of this</w:t>
      </w:r>
      <w:r w:rsidR="007D3F6A">
        <w:rPr>
          <w:rFonts w:ascii="Arial" w:hAnsi="Arial" w:cs="Arial"/>
          <w:color w:val="7B7B7B" w:themeColor="accent3" w:themeShade="BF"/>
          <w:sz w:val="22"/>
          <w:szCs w:val="22"/>
          <w:lang w:val="en-GB"/>
        </w:rPr>
        <w:t>.</w:t>
      </w:r>
    </w:p>
    <w:p w14:paraId="2AB5F3F2" w14:textId="77777777" w:rsidR="00CD25CF" w:rsidRPr="00205B31" w:rsidRDefault="00CD25CF"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4135BFDA" w14:textId="0EB9ACCA" w:rsidR="00275182" w:rsidRDefault="00497769" w:rsidP="00497769">
      <w:pPr>
        <w:widowControl w:val="0"/>
        <w:jc w:val="both"/>
        <w:rPr>
          <w:rFonts w:ascii="Arial" w:hAnsi="Arial" w:cs="Arial"/>
          <w:color w:val="7B7B7B" w:themeColor="accent3" w:themeShade="BF"/>
          <w:sz w:val="22"/>
          <w:szCs w:val="22"/>
          <w:lang w:val="en-GB"/>
        </w:rPr>
      </w:pPr>
      <w:r w:rsidRPr="00497769">
        <w:rPr>
          <w:rFonts w:ascii="Arial" w:hAnsi="Arial" w:cs="Arial"/>
          <w:color w:val="7B7B7B" w:themeColor="accent3" w:themeShade="BF"/>
          <w:sz w:val="22"/>
          <w:szCs w:val="22"/>
          <w:lang w:val="en-GB"/>
        </w:rPr>
        <w:t>Prof. FLETCHER pose</w:t>
      </w:r>
      <w:r>
        <w:rPr>
          <w:rFonts w:ascii="Arial" w:hAnsi="Arial" w:cs="Arial"/>
          <w:color w:val="7B7B7B" w:themeColor="accent3" w:themeShade="BF"/>
          <w:sz w:val="22"/>
          <w:szCs w:val="22"/>
          <w:lang w:val="en-GB"/>
        </w:rPr>
        <w:t xml:space="preserve">s three </w:t>
      </w:r>
      <w:r w:rsidR="00902062">
        <w:rPr>
          <w:rFonts w:ascii="Arial" w:hAnsi="Arial" w:cs="Arial"/>
          <w:color w:val="7B7B7B" w:themeColor="accent3" w:themeShade="BF"/>
          <w:sz w:val="22"/>
          <w:szCs w:val="22"/>
          <w:lang w:val="en-GB"/>
        </w:rPr>
        <w:t xml:space="preserve">pertinent </w:t>
      </w:r>
      <w:r w:rsidRPr="00497769">
        <w:rPr>
          <w:rFonts w:ascii="Arial" w:hAnsi="Arial" w:cs="Arial"/>
          <w:color w:val="7B7B7B" w:themeColor="accent3" w:themeShade="BF"/>
          <w:sz w:val="22"/>
          <w:szCs w:val="22"/>
          <w:lang w:val="en-GB"/>
        </w:rPr>
        <w:t>questions</w:t>
      </w:r>
      <w:r>
        <w:rPr>
          <w:rFonts w:ascii="Arial" w:hAnsi="Arial" w:cs="Arial"/>
          <w:color w:val="7B7B7B" w:themeColor="accent3" w:themeShade="BF"/>
          <w:sz w:val="22"/>
          <w:szCs w:val="22"/>
          <w:lang w:val="en-GB"/>
        </w:rPr>
        <w:t xml:space="preserve"> regarding a </w:t>
      </w:r>
      <w:r w:rsidR="00902062">
        <w:rPr>
          <w:rFonts w:ascii="Arial" w:hAnsi="Arial" w:cs="Arial"/>
          <w:color w:val="7B7B7B" w:themeColor="accent3" w:themeShade="BF"/>
          <w:sz w:val="22"/>
          <w:szCs w:val="22"/>
          <w:lang w:val="en-GB"/>
        </w:rPr>
        <w:t>cross-border insolvency matter</w:t>
      </w:r>
      <w:r w:rsidRPr="00497769">
        <w:rPr>
          <w:rFonts w:ascii="Arial" w:hAnsi="Arial" w:cs="Arial"/>
          <w:color w:val="7B7B7B" w:themeColor="accent3" w:themeShade="BF"/>
          <w:sz w:val="22"/>
          <w:szCs w:val="22"/>
          <w:lang w:val="en-GB"/>
        </w:rPr>
        <w:t xml:space="preserve">: (1) </w:t>
      </w:r>
      <w:r>
        <w:rPr>
          <w:rFonts w:ascii="Arial" w:hAnsi="Arial" w:cs="Arial"/>
          <w:color w:val="7B7B7B" w:themeColor="accent3" w:themeShade="BF"/>
          <w:sz w:val="22"/>
          <w:szCs w:val="22"/>
          <w:lang w:val="en-GB"/>
        </w:rPr>
        <w:t>I</w:t>
      </w:r>
      <w:r w:rsidRPr="00497769">
        <w:rPr>
          <w:rFonts w:ascii="Arial" w:hAnsi="Arial" w:cs="Arial"/>
          <w:color w:val="7B7B7B" w:themeColor="accent3" w:themeShade="BF"/>
          <w:sz w:val="22"/>
          <w:szCs w:val="22"/>
          <w:lang w:val="en-GB"/>
        </w:rPr>
        <w:t>n which jurisdiction</w:t>
      </w:r>
      <w:r>
        <w:rPr>
          <w:rFonts w:ascii="Arial" w:hAnsi="Arial" w:cs="Arial"/>
          <w:color w:val="7B7B7B" w:themeColor="accent3" w:themeShade="BF"/>
          <w:sz w:val="22"/>
          <w:szCs w:val="22"/>
          <w:lang w:val="en-GB"/>
        </w:rPr>
        <w:t>(s)</w:t>
      </w:r>
      <w:r w:rsidRPr="00497769">
        <w:rPr>
          <w:rFonts w:ascii="Arial" w:hAnsi="Arial" w:cs="Arial"/>
          <w:color w:val="7B7B7B" w:themeColor="accent3" w:themeShade="BF"/>
          <w:sz w:val="22"/>
          <w:szCs w:val="22"/>
          <w:lang w:val="en-GB"/>
        </w:rPr>
        <w:t xml:space="preserve"> must </w:t>
      </w:r>
      <w:r>
        <w:rPr>
          <w:rFonts w:ascii="Arial" w:hAnsi="Arial" w:cs="Arial"/>
          <w:color w:val="7B7B7B" w:themeColor="accent3" w:themeShade="BF"/>
          <w:sz w:val="22"/>
          <w:szCs w:val="22"/>
          <w:lang w:val="en-GB"/>
        </w:rPr>
        <w:t xml:space="preserve">the insolvency proceeding(s) </w:t>
      </w:r>
      <w:r w:rsidRPr="00497769">
        <w:rPr>
          <w:rFonts w:ascii="Arial" w:hAnsi="Arial" w:cs="Arial"/>
          <w:color w:val="7B7B7B" w:themeColor="accent3" w:themeShade="BF"/>
          <w:sz w:val="22"/>
          <w:szCs w:val="22"/>
          <w:lang w:val="en-GB"/>
        </w:rPr>
        <w:t>be opened</w:t>
      </w:r>
      <w:r>
        <w:rPr>
          <w:rFonts w:ascii="Arial" w:hAnsi="Arial" w:cs="Arial"/>
          <w:color w:val="7B7B7B" w:themeColor="accent3" w:themeShade="BF"/>
          <w:sz w:val="22"/>
          <w:szCs w:val="22"/>
          <w:lang w:val="en-GB"/>
        </w:rPr>
        <w:t>;</w:t>
      </w:r>
      <w:r w:rsidRPr="00497769">
        <w:rPr>
          <w:rFonts w:ascii="Arial" w:hAnsi="Arial" w:cs="Arial"/>
          <w:color w:val="7B7B7B" w:themeColor="accent3" w:themeShade="BF"/>
          <w:sz w:val="22"/>
          <w:szCs w:val="22"/>
          <w:lang w:val="en-GB"/>
        </w:rPr>
        <w:t xml:space="preserve"> (2) </w:t>
      </w:r>
      <w:r>
        <w:rPr>
          <w:rFonts w:ascii="Arial" w:hAnsi="Arial" w:cs="Arial"/>
          <w:color w:val="7B7B7B" w:themeColor="accent3" w:themeShade="BF"/>
          <w:sz w:val="22"/>
          <w:szCs w:val="22"/>
          <w:lang w:val="en-GB"/>
        </w:rPr>
        <w:t xml:space="preserve">The law of which State should be applied in respect of different aspects of the </w:t>
      </w:r>
      <w:r w:rsidR="003626F1">
        <w:rPr>
          <w:rFonts w:ascii="Arial" w:hAnsi="Arial" w:cs="Arial"/>
          <w:color w:val="7B7B7B" w:themeColor="accent3" w:themeShade="BF"/>
          <w:sz w:val="22"/>
          <w:szCs w:val="22"/>
          <w:lang w:val="en-GB"/>
        </w:rPr>
        <w:t>matter</w:t>
      </w:r>
      <w:r>
        <w:rPr>
          <w:rFonts w:ascii="Arial" w:hAnsi="Arial" w:cs="Arial"/>
          <w:color w:val="7B7B7B" w:themeColor="accent3" w:themeShade="BF"/>
          <w:sz w:val="22"/>
          <w:szCs w:val="22"/>
          <w:lang w:val="en-GB"/>
        </w:rPr>
        <w:t xml:space="preserve"> / which system must</w:t>
      </w:r>
      <w:r w:rsidRPr="00497769">
        <w:rPr>
          <w:rFonts w:ascii="Arial" w:hAnsi="Arial" w:cs="Arial"/>
          <w:color w:val="7B7B7B" w:themeColor="accent3" w:themeShade="BF"/>
          <w:sz w:val="22"/>
          <w:szCs w:val="22"/>
          <w:lang w:val="en-GB"/>
        </w:rPr>
        <w:t xml:space="preserve"> rule elements of diversity</w:t>
      </w:r>
      <w:r>
        <w:rPr>
          <w:rFonts w:ascii="Arial" w:hAnsi="Arial" w:cs="Arial"/>
          <w:color w:val="7B7B7B" w:themeColor="accent3" w:themeShade="BF"/>
          <w:sz w:val="22"/>
          <w:szCs w:val="22"/>
          <w:lang w:val="en-GB"/>
        </w:rPr>
        <w:t>;</w:t>
      </w:r>
      <w:r w:rsidRPr="00497769">
        <w:rPr>
          <w:rFonts w:ascii="Arial" w:hAnsi="Arial" w:cs="Arial"/>
          <w:color w:val="7B7B7B" w:themeColor="accent3" w:themeShade="BF"/>
          <w:sz w:val="22"/>
          <w:szCs w:val="22"/>
          <w:lang w:val="en-GB"/>
        </w:rPr>
        <w:t xml:space="preserve"> and (3) What are the international effects to proceedings in a particular forum?</w:t>
      </w:r>
      <w:r>
        <w:rPr>
          <w:rFonts w:ascii="Arial" w:hAnsi="Arial" w:cs="Arial"/>
          <w:color w:val="7B7B7B" w:themeColor="accent3" w:themeShade="BF"/>
          <w:sz w:val="22"/>
          <w:szCs w:val="22"/>
          <w:lang w:val="en-GB"/>
        </w:rPr>
        <w:t xml:space="preserve"> (</w:t>
      </w:r>
      <w:r w:rsidR="007F16D2">
        <w:rPr>
          <w:rFonts w:ascii="Arial" w:hAnsi="Arial" w:cs="Arial"/>
          <w:color w:val="7B7B7B" w:themeColor="accent3" w:themeShade="BF"/>
          <w:sz w:val="22"/>
          <w:szCs w:val="22"/>
          <w:lang w:val="en-GB"/>
        </w:rPr>
        <w:t xml:space="preserve">see I F Fletcher, </w:t>
      </w:r>
      <w:r w:rsidR="007F16D2">
        <w:rPr>
          <w:rFonts w:ascii="Arial" w:hAnsi="Arial" w:cs="Arial"/>
          <w:i/>
          <w:iCs/>
          <w:color w:val="7B7B7B" w:themeColor="accent3" w:themeShade="BF"/>
          <w:sz w:val="22"/>
          <w:szCs w:val="22"/>
          <w:lang w:val="en-GB"/>
        </w:rPr>
        <w:t>Insolvency in Private International Law – National and International Approaches</w:t>
      </w:r>
      <w:r w:rsidR="007F16D2">
        <w:rPr>
          <w:rFonts w:ascii="Arial" w:hAnsi="Arial" w:cs="Arial"/>
          <w:color w:val="7B7B7B" w:themeColor="accent3" w:themeShade="BF"/>
          <w:sz w:val="22"/>
          <w:szCs w:val="22"/>
          <w:lang w:val="en-GB"/>
        </w:rPr>
        <w:t xml:space="preserve"> (Oxford: Oxford University Press, 2</w:t>
      </w:r>
      <w:r w:rsidR="007F16D2" w:rsidRPr="007F16D2">
        <w:rPr>
          <w:rFonts w:ascii="Arial" w:hAnsi="Arial" w:cs="Arial"/>
          <w:color w:val="7B7B7B" w:themeColor="accent3" w:themeShade="BF"/>
          <w:sz w:val="22"/>
          <w:szCs w:val="22"/>
          <w:vertAlign w:val="superscript"/>
          <w:lang w:val="en-GB"/>
        </w:rPr>
        <w:t>n</w:t>
      </w:r>
      <w:r w:rsidR="007F16D2">
        <w:rPr>
          <w:rFonts w:ascii="Arial" w:hAnsi="Arial" w:cs="Arial"/>
          <w:color w:val="7B7B7B" w:themeColor="accent3" w:themeShade="BF"/>
          <w:sz w:val="22"/>
          <w:szCs w:val="22"/>
          <w:vertAlign w:val="superscript"/>
          <w:lang w:val="en-GB"/>
        </w:rPr>
        <w:t xml:space="preserve">d </w:t>
      </w:r>
      <w:r w:rsidR="007F16D2">
        <w:rPr>
          <w:rFonts w:ascii="Arial" w:hAnsi="Arial" w:cs="Arial"/>
          <w:color w:val="7B7B7B" w:themeColor="accent3" w:themeShade="BF"/>
          <w:sz w:val="22"/>
          <w:szCs w:val="22"/>
          <w:lang w:val="en-GB"/>
        </w:rPr>
        <w:t>ed, 2005, pp 3 to 5).</w:t>
      </w:r>
    </w:p>
    <w:p w14:paraId="677EF450" w14:textId="0C6F7DE7" w:rsidR="00902062" w:rsidRDefault="00902062" w:rsidP="00497769">
      <w:pPr>
        <w:widowControl w:val="0"/>
        <w:jc w:val="both"/>
        <w:rPr>
          <w:rFonts w:ascii="Arial" w:hAnsi="Arial" w:cs="Arial"/>
          <w:color w:val="7B7B7B" w:themeColor="accent3" w:themeShade="BF"/>
          <w:sz w:val="22"/>
          <w:szCs w:val="22"/>
          <w:lang w:val="en-GB"/>
        </w:rPr>
      </w:pPr>
    </w:p>
    <w:p w14:paraId="2C3DBC6B" w14:textId="02A95F96" w:rsidR="00902062" w:rsidRDefault="00902062" w:rsidP="00497769">
      <w:pPr>
        <w:widowControl w:val="0"/>
        <w:jc w:val="both"/>
        <w:rPr>
          <w:rFonts w:ascii="Arial" w:hAnsi="Arial" w:cs="Arial"/>
          <w:color w:val="7B7B7B" w:themeColor="accent3" w:themeShade="BF"/>
          <w:sz w:val="22"/>
          <w:szCs w:val="22"/>
          <w:lang w:val="en-GB"/>
        </w:rPr>
      </w:pPr>
      <w:r w:rsidRPr="00902062">
        <w:rPr>
          <w:rFonts w:ascii="Arial" w:hAnsi="Arial" w:cs="Arial"/>
          <w:color w:val="7B7B7B" w:themeColor="accent3" w:themeShade="BF"/>
          <w:sz w:val="22"/>
          <w:szCs w:val="22"/>
          <w:lang w:val="en-GB"/>
        </w:rPr>
        <w:t>Most legal systems when they have developed laws in relation to insolvency law, have omitted to consider international insolvency. They have typically developed the statutes or codes to deal with an insolvency that is solely operating within the one (nation) state / country. However, business crosses borders. And if that business becomes insolvent than an issue arises with how to resolve that foreign connection, that connection with a foreign state</w:t>
      </w:r>
      <w:r>
        <w:rPr>
          <w:rFonts w:ascii="Arial" w:hAnsi="Arial" w:cs="Arial"/>
          <w:color w:val="7B7B7B" w:themeColor="accent3" w:themeShade="BF"/>
          <w:sz w:val="22"/>
          <w:szCs w:val="22"/>
          <w:lang w:val="en-GB"/>
        </w:rPr>
        <w:t xml:space="preserve">. </w:t>
      </w:r>
    </w:p>
    <w:p w14:paraId="50C7D622" w14:textId="4C2C1CB4" w:rsidR="007F16D2" w:rsidRDefault="007F16D2" w:rsidP="00497769">
      <w:pPr>
        <w:widowControl w:val="0"/>
        <w:jc w:val="both"/>
        <w:rPr>
          <w:rFonts w:ascii="Arial" w:hAnsi="Arial" w:cs="Arial"/>
          <w:color w:val="7B7B7B" w:themeColor="accent3" w:themeShade="BF"/>
          <w:sz w:val="22"/>
          <w:szCs w:val="22"/>
          <w:lang w:val="en-GB"/>
        </w:rPr>
      </w:pPr>
    </w:p>
    <w:p w14:paraId="2AD776DE" w14:textId="3ABB3596" w:rsidR="005827A2" w:rsidRDefault="00AC4BEA" w:rsidP="00497769">
      <w:pPr>
        <w:widowControl w:val="0"/>
        <w:jc w:val="both"/>
        <w:rPr>
          <w:rFonts w:ascii="Arial" w:hAnsi="Arial" w:cs="Arial"/>
          <w:color w:val="7B7B7B" w:themeColor="accent3" w:themeShade="BF"/>
          <w:sz w:val="22"/>
          <w:szCs w:val="22"/>
          <w:lang w:val="en-GB"/>
        </w:rPr>
      </w:pPr>
      <w:r w:rsidRPr="00AC4BEA">
        <w:rPr>
          <w:rFonts w:ascii="Arial" w:hAnsi="Arial" w:cs="Arial"/>
          <w:color w:val="7B7B7B" w:themeColor="accent3" w:themeShade="BF"/>
          <w:sz w:val="22"/>
          <w:szCs w:val="22"/>
          <w:lang w:val="en-GB"/>
        </w:rPr>
        <w:t>If there is a foreign connection than this is where private international law comes into play. And as Prof. F</w:t>
      </w:r>
      <w:r>
        <w:rPr>
          <w:rFonts w:ascii="Arial" w:hAnsi="Arial" w:cs="Arial"/>
          <w:color w:val="7B7B7B" w:themeColor="accent3" w:themeShade="BF"/>
          <w:sz w:val="22"/>
          <w:szCs w:val="22"/>
          <w:lang w:val="en-GB"/>
        </w:rPr>
        <w:t>LETCHER</w:t>
      </w:r>
      <w:r w:rsidRPr="00AC4BEA">
        <w:rPr>
          <w:rFonts w:ascii="Arial" w:hAnsi="Arial" w:cs="Arial"/>
          <w:color w:val="7B7B7B" w:themeColor="accent3" w:themeShade="BF"/>
          <w:sz w:val="22"/>
          <w:szCs w:val="22"/>
          <w:lang w:val="en-GB"/>
        </w:rPr>
        <w:t xml:space="preserve"> describes it: </w:t>
      </w:r>
      <w:r w:rsidR="00C14988">
        <w:rPr>
          <w:rFonts w:ascii="Arial" w:hAnsi="Arial" w:cs="Arial"/>
          <w:color w:val="7B7B7B" w:themeColor="accent3" w:themeShade="BF"/>
          <w:sz w:val="22"/>
          <w:szCs w:val="22"/>
          <w:lang w:val="en-GB"/>
        </w:rPr>
        <w:t>‘</w:t>
      </w:r>
      <w:r w:rsidRPr="00AC4BEA">
        <w:rPr>
          <w:rFonts w:ascii="Arial" w:hAnsi="Arial" w:cs="Arial"/>
          <w:color w:val="7B7B7B" w:themeColor="accent3" w:themeShade="BF"/>
          <w:sz w:val="22"/>
          <w:szCs w:val="22"/>
          <w:lang w:val="en-GB"/>
        </w:rPr>
        <w:t>where there is an international legal problem coming before a local court, essentially that will raise three key legal questions: (1) can the local court exercise jurisdiction in the matter that has come before it; is it an appropriate forum in which that matter should be heard; (2) if there are in fact at the same time foreign proceedings dealing with the same matter and this is brought to the attention of the local court, will the local court recognise what is happening in another jurisdiction (will it for example recognise a foreign winding up order), and if it does, what impact does that have locally; will the local court enforce that foreign order, will it in some way give it an effect such as placing a stay upon any proceedings in the local jurisdiction because of those foreign proceedings; and finally (3) if the local court decides that it does have jurisdiction to hear a matter, it may be that the question of the choice of law arises; that is when determining the matter should it apply the local law / the law of the forum, or does the matter before the court raise an issue that in fact raises the possibility that a foreign law will apply, for example the law of the place where the debtor’s assets are situated</w:t>
      </w:r>
      <w:r w:rsidR="00C14988">
        <w:rPr>
          <w:rFonts w:ascii="Arial" w:hAnsi="Arial" w:cs="Arial"/>
          <w:color w:val="7B7B7B" w:themeColor="accent3" w:themeShade="BF"/>
          <w:sz w:val="22"/>
          <w:szCs w:val="22"/>
          <w:lang w:val="en-GB"/>
        </w:rPr>
        <w:t>’</w:t>
      </w:r>
      <w:r w:rsidRPr="00AC4BEA">
        <w:rPr>
          <w:rFonts w:ascii="Arial" w:hAnsi="Arial" w:cs="Arial"/>
          <w:color w:val="7B7B7B" w:themeColor="accent3" w:themeShade="BF"/>
          <w:sz w:val="22"/>
          <w:szCs w:val="22"/>
          <w:lang w:val="en-GB"/>
        </w:rPr>
        <w:t xml:space="preserve">. </w:t>
      </w:r>
    </w:p>
    <w:p w14:paraId="12A99891" w14:textId="77777777" w:rsidR="005827A2" w:rsidRDefault="005827A2" w:rsidP="00497769">
      <w:pPr>
        <w:widowControl w:val="0"/>
        <w:jc w:val="both"/>
        <w:rPr>
          <w:rFonts w:ascii="Arial" w:hAnsi="Arial" w:cs="Arial"/>
          <w:color w:val="7B7B7B" w:themeColor="accent3" w:themeShade="BF"/>
          <w:sz w:val="22"/>
          <w:szCs w:val="22"/>
          <w:lang w:val="en-GB"/>
        </w:rPr>
      </w:pPr>
    </w:p>
    <w:p w14:paraId="5355FEDB" w14:textId="3C18CCFC" w:rsidR="00AC4BEA" w:rsidRDefault="00AC4BEA" w:rsidP="00497769">
      <w:pPr>
        <w:widowControl w:val="0"/>
        <w:jc w:val="both"/>
        <w:rPr>
          <w:rFonts w:ascii="Arial" w:hAnsi="Arial" w:cs="Arial"/>
          <w:color w:val="7B7B7B" w:themeColor="accent3" w:themeShade="BF"/>
          <w:sz w:val="22"/>
          <w:szCs w:val="22"/>
          <w:lang w:val="en-GB"/>
        </w:rPr>
      </w:pPr>
      <w:r w:rsidRPr="00AC4BEA">
        <w:rPr>
          <w:rFonts w:ascii="Arial" w:hAnsi="Arial" w:cs="Arial"/>
          <w:color w:val="7B7B7B" w:themeColor="accent3" w:themeShade="BF"/>
          <w:sz w:val="22"/>
          <w:szCs w:val="22"/>
          <w:lang w:val="en-GB"/>
        </w:rPr>
        <w:t>So those are three key issues that can still apply</w:t>
      </w:r>
      <w:r w:rsidR="005827A2">
        <w:rPr>
          <w:rFonts w:ascii="Arial" w:hAnsi="Arial" w:cs="Arial"/>
          <w:color w:val="7B7B7B" w:themeColor="accent3" w:themeShade="BF"/>
          <w:sz w:val="22"/>
          <w:szCs w:val="22"/>
          <w:lang w:val="en-GB"/>
        </w:rPr>
        <w:t>, and</w:t>
      </w:r>
      <w:r w:rsidRPr="00AC4BEA">
        <w:rPr>
          <w:rFonts w:ascii="Arial" w:hAnsi="Arial" w:cs="Arial"/>
          <w:color w:val="7B7B7B" w:themeColor="accent3" w:themeShade="BF"/>
          <w:sz w:val="22"/>
          <w:szCs w:val="22"/>
          <w:lang w:val="en-GB"/>
        </w:rPr>
        <w:t xml:space="preserve"> looking at it from a domestic dimension</w:t>
      </w:r>
      <w:r w:rsidR="005827A2">
        <w:rPr>
          <w:rFonts w:ascii="Arial" w:hAnsi="Arial" w:cs="Arial"/>
          <w:color w:val="7B7B7B" w:themeColor="accent3" w:themeShade="BF"/>
          <w:sz w:val="22"/>
          <w:szCs w:val="22"/>
          <w:lang w:val="en-GB"/>
        </w:rPr>
        <w:t>,</w:t>
      </w:r>
      <w:r w:rsidRPr="00AC4BEA">
        <w:rPr>
          <w:rFonts w:ascii="Arial" w:hAnsi="Arial" w:cs="Arial"/>
          <w:color w:val="7B7B7B" w:themeColor="accent3" w:themeShade="BF"/>
          <w:sz w:val="22"/>
          <w:szCs w:val="22"/>
          <w:lang w:val="en-GB"/>
        </w:rPr>
        <w:t xml:space="preserve"> that a local court may have to answer those questions when dealing with an insolvency that </w:t>
      </w:r>
      <w:r w:rsidRPr="00AC4BEA">
        <w:rPr>
          <w:rFonts w:ascii="Arial" w:hAnsi="Arial" w:cs="Arial"/>
          <w:color w:val="7B7B7B" w:themeColor="accent3" w:themeShade="BF"/>
          <w:sz w:val="22"/>
          <w:szCs w:val="22"/>
          <w:lang w:val="en-GB"/>
        </w:rPr>
        <w:lastRenderedPageBreak/>
        <w:t>has a foreign connection</w:t>
      </w:r>
      <w:r w:rsidR="005827A2">
        <w:rPr>
          <w:rFonts w:ascii="Arial" w:hAnsi="Arial" w:cs="Arial"/>
          <w:color w:val="7B7B7B" w:themeColor="accent3" w:themeShade="BF"/>
          <w:sz w:val="22"/>
          <w:szCs w:val="22"/>
          <w:lang w:val="en-GB"/>
        </w:rPr>
        <w:t>.</w:t>
      </w:r>
    </w:p>
    <w:p w14:paraId="6E1F4899" w14:textId="413104B3" w:rsidR="005827A2" w:rsidRDefault="005827A2" w:rsidP="00497769">
      <w:pPr>
        <w:widowControl w:val="0"/>
        <w:jc w:val="both"/>
        <w:rPr>
          <w:rFonts w:ascii="Arial" w:hAnsi="Arial" w:cs="Arial"/>
          <w:color w:val="7B7B7B" w:themeColor="accent3" w:themeShade="BF"/>
          <w:sz w:val="22"/>
          <w:szCs w:val="22"/>
          <w:lang w:val="en-GB"/>
        </w:rPr>
      </w:pPr>
    </w:p>
    <w:p w14:paraId="30E3E805" w14:textId="77777777" w:rsidR="005827A2" w:rsidRDefault="005827A2" w:rsidP="005827A2">
      <w:pPr>
        <w:widowControl w:val="0"/>
        <w:jc w:val="both"/>
        <w:rPr>
          <w:rFonts w:ascii="Arial" w:hAnsi="Arial" w:cs="Arial"/>
          <w:color w:val="7B7B7B" w:themeColor="accent3" w:themeShade="BF"/>
          <w:sz w:val="22"/>
          <w:szCs w:val="22"/>
          <w:lang w:val="en-GB"/>
        </w:rPr>
      </w:pPr>
      <w:r w:rsidRPr="00AC4BEA">
        <w:rPr>
          <w:rFonts w:ascii="Arial" w:hAnsi="Arial" w:cs="Arial"/>
          <w:color w:val="7B7B7B" w:themeColor="accent3" w:themeShade="BF"/>
          <w:sz w:val="22"/>
          <w:szCs w:val="22"/>
          <w:lang w:val="en-GB"/>
        </w:rPr>
        <w:t>Some practical determinants in this regard are: th</w:t>
      </w:r>
      <w:r>
        <w:rPr>
          <w:rFonts w:ascii="Arial" w:hAnsi="Arial" w:cs="Arial"/>
          <w:color w:val="7B7B7B" w:themeColor="accent3" w:themeShade="BF"/>
          <w:sz w:val="22"/>
          <w:szCs w:val="22"/>
          <w:lang w:val="en-GB"/>
        </w:rPr>
        <w:t>e</w:t>
      </w:r>
      <w:r w:rsidRPr="00AC4BEA">
        <w:rPr>
          <w:rFonts w:ascii="Arial" w:hAnsi="Arial" w:cs="Arial"/>
          <w:color w:val="7B7B7B" w:themeColor="accent3" w:themeShade="BF"/>
          <w:sz w:val="22"/>
          <w:szCs w:val="22"/>
          <w:lang w:val="en-GB"/>
        </w:rPr>
        <w:t xml:space="preserve"> court</w:t>
      </w:r>
      <w:r>
        <w:rPr>
          <w:rFonts w:ascii="Arial" w:hAnsi="Arial" w:cs="Arial"/>
          <w:color w:val="7B7B7B" w:themeColor="accent3" w:themeShade="BF"/>
          <w:sz w:val="22"/>
          <w:szCs w:val="22"/>
          <w:lang w:val="en-GB"/>
        </w:rPr>
        <w:t xml:space="preserve"> </w:t>
      </w:r>
      <w:r w:rsidRPr="00AC4BEA">
        <w:rPr>
          <w:rFonts w:ascii="Arial" w:hAnsi="Arial" w:cs="Arial"/>
          <w:color w:val="7B7B7B" w:themeColor="accent3" w:themeShade="BF"/>
          <w:sz w:val="22"/>
          <w:szCs w:val="22"/>
          <w:lang w:val="en-GB"/>
        </w:rPr>
        <w:t>first issuing the order</w:t>
      </w:r>
      <w:r>
        <w:rPr>
          <w:rFonts w:ascii="Arial" w:hAnsi="Arial" w:cs="Arial"/>
          <w:color w:val="7B7B7B" w:themeColor="accent3" w:themeShade="BF"/>
          <w:sz w:val="22"/>
          <w:szCs w:val="22"/>
          <w:lang w:val="en-GB"/>
        </w:rPr>
        <w:t xml:space="preserve"> and the jurisdiction of that particular court </w:t>
      </w:r>
      <w:r w:rsidRPr="00AC4BEA">
        <w:rPr>
          <w:rFonts w:ascii="Arial" w:hAnsi="Arial" w:cs="Arial"/>
          <w:color w:val="7B7B7B" w:themeColor="accent3" w:themeShade="BF"/>
          <w:sz w:val="22"/>
          <w:szCs w:val="22"/>
          <w:lang w:val="en-GB"/>
        </w:rPr>
        <w:t>(think in terms of the COMI)</w:t>
      </w:r>
      <w:r>
        <w:rPr>
          <w:rFonts w:ascii="Arial" w:hAnsi="Arial" w:cs="Arial"/>
          <w:color w:val="7B7B7B" w:themeColor="accent3" w:themeShade="BF"/>
          <w:sz w:val="22"/>
          <w:szCs w:val="22"/>
          <w:lang w:val="en-GB"/>
        </w:rPr>
        <w:t>, whether</w:t>
      </w:r>
      <w:r w:rsidRPr="00AC4BEA">
        <w:rPr>
          <w:rFonts w:ascii="Arial" w:hAnsi="Arial" w:cs="Arial"/>
          <w:color w:val="7B7B7B" w:themeColor="accent3" w:themeShade="BF"/>
          <w:sz w:val="22"/>
          <w:szCs w:val="22"/>
          <w:lang w:val="en-GB"/>
        </w:rPr>
        <w:t xml:space="preserve"> that particular state or jurisdiction </w:t>
      </w:r>
      <w:r>
        <w:rPr>
          <w:rFonts w:ascii="Arial" w:hAnsi="Arial" w:cs="Arial"/>
          <w:color w:val="7B7B7B" w:themeColor="accent3" w:themeShade="BF"/>
          <w:sz w:val="22"/>
          <w:szCs w:val="22"/>
          <w:lang w:val="en-GB"/>
        </w:rPr>
        <w:t xml:space="preserve">does </w:t>
      </w:r>
      <w:r w:rsidRPr="00AC4BEA">
        <w:rPr>
          <w:rFonts w:ascii="Arial" w:hAnsi="Arial" w:cs="Arial"/>
          <w:color w:val="7B7B7B" w:themeColor="accent3" w:themeShade="BF"/>
          <w:sz w:val="22"/>
          <w:szCs w:val="22"/>
          <w:lang w:val="en-GB"/>
        </w:rPr>
        <w:t>adhere to universalism or territorialis</w:t>
      </w:r>
      <w:r>
        <w:rPr>
          <w:rFonts w:ascii="Arial" w:hAnsi="Arial" w:cs="Arial"/>
          <w:color w:val="7B7B7B" w:themeColor="accent3" w:themeShade="BF"/>
          <w:sz w:val="22"/>
          <w:szCs w:val="22"/>
          <w:lang w:val="en-GB"/>
        </w:rPr>
        <w:t>m,</w:t>
      </w:r>
      <w:r w:rsidRPr="00AC4BEA">
        <w:rPr>
          <w:rFonts w:ascii="Arial" w:hAnsi="Arial" w:cs="Arial"/>
          <w:color w:val="7B7B7B" w:themeColor="accent3" w:themeShade="BF"/>
          <w:sz w:val="22"/>
          <w:szCs w:val="22"/>
          <w:lang w:val="en-GB"/>
        </w:rPr>
        <w:t xml:space="preserve"> what types of assets are involved in the estate and the location of the assets</w:t>
      </w:r>
      <w:r>
        <w:rPr>
          <w:rFonts w:ascii="Arial" w:hAnsi="Arial" w:cs="Arial"/>
          <w:color w:val="7B7B7B" w:themeColor="accent3" w:themeShade="BF"/>
          <w:sz w:val="22"/>
          <w:szCs w:val="22"/>
          <w:lang w:val="en-GB"/>
        </w:rPr>
        <w:t xml:space="preserve">, etc. </w:t>
      </w:r>
    </w:p>
    <w:p w14:paraId="2DCFA0B1" w14:textId="77777777" w:rsidR="005827A2" w:rsidRDefault="005827A2" w:rsidP="005827A2">
      <w:pPr>
        <w:widowControl w:val="0"/>
        <w:jc w:val="both"/>
        <w:rPr>
          <w:rFonts w:ascii="Arial" w:hAnsi="Arial" w:cs="Arial"/>
          <w:color w:val="7B7B7B" w:themeColor="accent3" w:themeShade="BF"/>
          <w:sz w:val="22"/>
          <w:szCs w:val="22"/>
          <w:lang w:val="en-GB"/>
        </w:rPr>
      </w:pPr>
    </w:p>
    <w:p w14:paraId="39B93AC5" w14:textId="0003BDEB" w:rsidR="00275182" w:rsidRPr="00CD25CF" w:rsidRDefault="005827A2" w:rsidP="00CD25CF">
      <w:pPr>
        <w:widowControl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also </w:t>
      </w:r>
      <w:r w:rsidRPr="00AC4BEA">
        <w:rPr>
          <w:rFonts w:ascii="Arial" w:hAnsi="Arial" w:cs="Arial"/>
          <w:color w:val="7B7B7B" w:themeColor="accent3" w:themeShade="BF"/>
          <w:sz w:val="22"/>
          <w:szCs w:val="22"/>
          <w:lang w:val="en-GB"/>
        </w:rPr>
        <w:t>very important in a cross-border insolvency matter to understand the differences between approaches and laws</w:t>
      </w:r>
      <w:r>
        <w:rPr>
          <w:rFonts w:ascii="Arial" w:hAnsi="Arial" w:cs="Arial"/>
          <w:color w:val="7B7B7B" w:themeColor="accent3" w:themeShade="BF"/>
          <w:sz w:val="22"/>
          <w:szCs w:val="22"/>
          <w:lang w:val="en-GB"/>
        </w:rPr>
        <w:t>.</w:t>
      </w:r>
    </w:p>
    <w:p w14:paraId="6D7015DD" w14:textId="77777777" w:rsidR="00CD25CF" w:rsidRPr="00205B31" w:rsidRDefault="00CD25CF"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44C65F0C" w14:textId="77777777" w:rsidR="00C21F8C" w:rsidRDefault="00644650" w:rsidP="00644650">
      <w:pPr>
        <w:jc w:val="both"/>
        <w:rPr>
          <w:rFonts w:ascii="Arial" w:hAnsi="Arial" w:cs="Arial"/>
          <w:color w:val="7B7B7B" w:themeColor="accent3" w:themeShade="BF"/>
          <w:sz w:val="22"/>
          <w:szCs w:val="22"/>
          <w:lang w:val="en-GB"/>
        </w:rPr>
      </w:pPr>
      <w:r w:rsidRPr="00644650">
        <w:rPr>
          <w:rFonts w:ascii="Arial" w:hAnsi="Arial" w:cs="Arial"/>
          <w:color w:val="7B7B7B" w:themeColor="accent3" w:themeShade="BF"/>
          <w:sz w:val="22"/>
          <w:szCs w:val="22"/>
          <w:lang w:val="en-GB"/>
        </w:rPr>
        <w:t>In those situations where there are multiple insolvency proceedings</w:t>
      </w:r>
      <w:r>
        <w:rPr>
          <w:rFonts w:ascii="Arial" w:hAnsi="Arial" w:cs="Arial"/>
          <w:color w:val="7B7B7B" w:themeColor="accent3" w:themeShade="BF"/>
          <w:sz w:val="22"/>
          <w:szCs w:val="22"/>
          <w:lang w:val="en-GB"/>
        </w:rPr>
        <w:t xml:space="preserve"> (proceedings happening in more than one jurisdiction concerning the same individual debtor or individual company and also potentially a whole business enterprise)</w:t>
      </w:r>
      <w:r w:rsidRPr="00644650">
        <w:rPr>
          <w:rFonts w:ascii="Arial" w:hAnsi="Arial" w:cs="Arial"/>
          <w:color w:val="7B7B7B" w:themeColor="accent3" w:themeShade="BF"/>
          <w:sz w:val="22"/>
          <w:szCs w:val="22"/>
          <w:lang w:val="en-GB"/>
        </w:rPr>
        <w:t xml:space="preserve"> than it may be that the insolvency representatives appointed in those proceedings may seek to come to some agreement about how to manage some of the cross-border insolvency issues that they are facing and to try and see to what extent agreement can be reached on some key issues in the interests of saving time and money. </w:t>
      </w:r>
    </w:p>
    <w:p w14:paraId="72F3C3EB" w14:textId="77777777" w:rsidR="00C21F8C" w:rsidRDefault="00C21F8C" w:rsidP="00644650">
      <w:pPr>
        <w:jc w:val="both"/>
        <w:rPr>
          <w:rFonts w:ascii="Arial" w:hAnsi="Arial" w:cs="Arial"/>
          <w:color w:val="7B7B7B" w:themeColor="accent3" w:themeShade="BF"/>
          <w:sz w:val="22"/>
          <w:szCs w:val="22"/>
          <w:lang w:val="en-GB"/>
        </w:rPr>
      </w:pPr>
    </w:p>
    <w:p w14:paraId="56D534A1" w14:textId="40E43D5C" w:rsidR="00C53E3E" w:rsidRDefault="00644650" w:rsidP="0064465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Already in</w:t>
      </w:r>
      <w:r w:rsidRPr="00644650">
        <w:rPr>
          <w:rFonts w:ascii="Arial" w:hAnsi="Arial" w:cs="Arial"/>
          <w:color w:val="7B7B7B" w:themeColor="accent3" w:themeShade="BF"/>
          <w:sz w:val="22"/>
          <w:szCs w:val="22"/>
          <w:lang w:val="en-GB"/>
        </w:rPr>
        <w:t xml:space="preserve"> the 1990’s there was, as an example, the Maxwell case, which was a situation where there were two plenary insolvency proceedings, one happening in the UK and one in the USA</w:t>
      </w:r>
      <w:r w:rsidR="00700451">
        <w:rPr>
          <w:rFonts w:ascii="Arial" w:hAnsi="Arial" w:cs="Arial"/>
          <w:color w:val="7B7B7B" w:themeColor="accent3" w:themeShade="BF"/>
          <w:sz w:val="22"/>
          <w:szCs w:val="22"/>
          <w:lang w:val="en-GB"/>
        </w:rPr>
        <w:t>. Wh</w:t>
      </w:r>
      <w:r w:rsidR="00A37E44">
        <w:rPr>
          <w:rFonts w:ascii="Arial" w:hAnsi="Arial" w:cs="Arial"/>
          <w:color w:val="7B7B7B" w:themeColor="accent3" w:themeShade="BF"/>
          <w:sz w:val="22"/>
          <w:szCs w:val="22"/>
          <w:lang w:val="en-GB"/>
        </w:rPr>
        <w:t>ile</w:t>
      </w:r>
      <w:r w:rsidR="00700451">
        <w:rPr>
          <w:rFonts w:ascii="Arial" w:hAnsi="Arial" w:cs="Arial"/>
          <w:color w:val="7B7B7B" w:themeColor="accent3" w:themeShade="BF"/>
          <w:sz w:val="22"/>
          <w:szCs w:val="22"/>
          <w:lang w:val="en-GB"/>
        </w:rPr>
        <w:t xml:space="preserve"> Maxwell had its seat in London, its principal assets (various operating companies) were in the USA. </w:t>
      </w:r>
      <w:r w:rsidR="00A37E44">
        <w:rPr>
          <w:rFonts w:ascii="Arial" w:hAnsi="Arial" w:cs="Arial"/>
          <w:color w:val="7B7B7B" w:themeColor="accent3" w:themeShade="BF"/>
          <w:sz w:val="22"/>
          <w:szCs w:val="22"/>
          <w:lang w:val="en-GB"/>
        </w:rPr>
        <w:t xml:space="preserve">Due to this ambiguous structure, Maxwell filed for a Chapter 11 bankruptcy in the USA and </w:t>
      </w:r>
      <w:r w:rsidR="00E948A8">
        <w:rPr>
          <w:rFonts w:ascii="Arial" w:hAnsi="Arial" w:cs="Arial"/>
          <w:color w:val="7B7B7B" w:themeColor="accent3" w:themeShade="BF"/>
          <w:sz w:val="22"/>
          <w:szCs w:val="22"/>
          <w:lang w:val="en-GB"/>
        </w:rPr>
        <w:t>– the next day – also petitioned for an administrator order in the UK. The UK judges appointed administrators whereas the USA judges appointed an examiner. In order to minimize the potential inconsistencies and conflicts that might arise in simultaneous proceedings in different countries, the judges in both countries authorised the</w:t>
      </w:r>
      <w:r w:rsidR="00C21F8C">
        <w:rPr>
          <w:rFonts w:ascii="Arial" w:hAnsi="Arial" w:cs="Arial"/>
          <w:color w:val="7B7B7B" w:themeColor="accent3" w:themeShade="BF"/>
          <w:sz w:val="22"/>
          <w:szCs w:val="22"/>
          <w:lang w:val="en-GB"/>
        </w:rPr>
        <w:t>ir respectively appointed insolvency representatives to</w:t>
      </w:r>
      <w:r w:rsidR="00C21F8C" w:rsidRPr="00C21F8C">
        <w:rPr>
          <w:rFonts w:ascii="Arial" w:hAnsi="Arial" w:cs="Arial"/>
          <w:color w:val="7B7B7B" w:themeColor="accent3" w:themeShade="BF"/>
          <w:sz w:val="22"/>
          <w:szCs w:val="22"/>
          <w:lang w:val="en-GB"/>
        </w:rPr>
        <w:t xml:space="preserve"> coordinate their efforts pursuant to an agreement between </w:t>
      </w:r>
      <w:r w:rsidR="00C21F8C">
        <w:rPr>
          <w:rFonts w:ascii="Arial" w:hAnsi="Arial" w:cs="Arial"/>
          <w:color w:val="7B7B7B" w:themeColor="accent3" w:themeShade="BF"/>
          <w:sz w:val="22"/>
          <w:szCs w:val="22"/>
          <w:lang w:val="en-GB"/>
        </w:rPr>
        <w:t>these insolvency representatives (a so-called Protocol) in order to produce a common system for reorganising Maxwell.</w:t>
      </w:r>
    </w:p>
    <w:p w14:paraId="000D4C23" w14:textId="192E7EE8" w:rsidR="00C1345B" w:rsidRDefault="00C1345B" w:rsidP="00644650">
      <w:pPr>
        <w:jc w:val="both"/>
        <w:rPr>
          <w:rFonts w:ascii="Arial" w:hAnsi="Arial" w:cs="Arial"/>
          <w:color w:val="7B7B7B" w:themeColor="accent3" w:themeShade="BF"/>
          <w:sz w:val="22"/>
          <w:szCs w:val="22"/>
          <w:lang w:val="en-GB"/>
        </w:rPr>
      </w:pPr>
    </w:p>
    <w:p w14:paraId="569620DE" w14:textId="5B3A47B4" w:rsidR="00C53E3E" w:rsidRDefault="00C1345B" w:rsidP="00644650">
      <w:pPr>
        <w:jc w:val="both"/>
        <w:rPr>
          <w:rFonts w:ascii="Arial" w:hAnsi="Arial" w:cs="Arial"/>
          <w:color w:val="7B7B7B" w:themeColor="accent3" w:themeShade="BF"/>
          <w:sz w:val="22"/>
          <w:szCs w:val="22"/>
          <w:lang w:val="en-GB"/>
        </w:rPr>
      </w:pPr>
      <w:r w:rsidRPr="00C1345B">
        <w:rPr>
          <w:rFonts w:ascii="Arial" w:hAnsi="Arial" w:cs="Arial"/>
          <w:color w:val="7B7B7B" w:themeColor="accent3" w:themeShade="BF"/>
          <w:sz w:val="22"/>
          <w:szCs w:val="22"/>
          <w:lang w:val="en-GB"/>
        </w:rPr>
        <w:t>After that occurred</w:t>
      </w:r>
      <w:r>
        <w:rPr>
          <w:rFonts w:ascii="Arial" w:hAnsi="Arial" w:cs="Arial"/>
          <w:color w:val="7B7B7B" w:themeColor="accent3" w:themeShade="BF"/>
          <w:sz w:val="22"/>
          <w:szCs w:val="22"/>
          <w:lang w:val="en-GB"/>
        </w:rPr>
        <w:t>,</w:t>
      </w:r>
      <w:r w:rsidRPr="00C1345B">
        <w:rPr>
          <w:rFonts w:ascii="Arial" w:hAnsi="Arial" w:cs="Arial"/>
          <w:color w:val="7B7B7B" w:themeColor="accent3" w:themeShade="BF"/>
          <w:sz w:val="22"/>
          <w:szCs w:val="22"/>
          <w:lang w:val="en-GB"/>
        </w:rPr>
        <w:t xml:space="preserve"> the U</w:t>
      </w:r>
      <w:r>
        <w:rPr>
          <w:rFonts w:ascii="Arial" w:hAnsi="Arial" w:cs="Arial"/>
          <w:color w:val="7B7B7B" w:themeColor="accent3" w:themeShade="BF"/>
          <w:sz w:val="22"/>
          <w:szCs w:val="22"/>
          <w:lang w:val="en-GB"/>
        </w:rPr>
        <w:t>nited Nations Commission on International Trade Law (U</w:t>
      </w:r>
      <w:r w:rsidRPr="00C1345B">
        <w:rPr>
          <w:rFonts w:ascii="Arial" w:hAnsi="Arial" w:cs="Arial"/>
          <w:color w:val="7B7B7B" w:themeColor="accent3" w:themeShade="BF"/>
          <w:sz w:val="22"/>
          <w:szCs w:val="22"/>
          <w:lang w:val="en-GB"/>
        </w:rPr>
        <w:t>NCITRAL</w:t>
      </w:r>
      <w:r>
        <w:rPr>
          <w:rFonts w:ascii="Arial" w:hAnsi="Arial" w:cs="Arial"/>
          <w:color w:val="7B7B7B" w:themeColor="accent3" w:themeShade="BF"/>
          <w:sz w:val="22"/>
          <w:szCs w:val="22"/>
          <w:lang w:val="en-GB"/>
        </w:rPr>
        <w:t>)</w:t>
      </w:r>
      <w:r w:rsidRPr="00C1345B">
        <w:rPr>
          <w:rFonts w:ascii="Arial" w:hAnsi="Arial" w:cs="Arial"/>
          <w:color w:val="7B7B7B" w:themeColor="accent3" w:themeShade="BF"/>
          <w:sz w:val="22"/>
          <w:szCs w:val="22"/>
          <w:lang w:val="en-GB"/>
        </w:rPr>
        <w:t xml:space="preserve"> developed </w:t>
      </w:r>
      <w:r>
        <w:rPr>
          <w:rFonts w:ascii="Arial" w:hAnsi="Arial" w:cs="Arial"/>
          <w:color w:val="7B7B7B" w:themeColor="accent3" w:themeShade="BF"/>
          <w:sz w:val="22"/>
          <w:szCs w:val="22"/>
          <w:lang w:val="en-GB"/>
        </w:rPr>
        <w:t xml:space="preserve">in 1997 </w:t>
      </w:r>
      <w:r w:rsidRPr="00C1345B">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Model Law on C</w:t>
      </w:r>
      <w:r w:rsidRPr="00C1345B">
        <w:rPr>
          <w:rFonts w:ascii="Arial" w:hAnsi="Arial" w:cs="Arial"/>
          <w:color w:val="7B7B7B" w:themeColor="accent3" w:themeShade="BF"/>
          <w:sz w:val="22"/>
          <w:szCs w:val="22"/>
          <w:lang w:val="en-GB"/>
        </w:rPr>
        <w:t>ross-</w:t>
      </w:r>
      <w:r>
        <w:rPr>
          <w:rFonts w:ascii="Arial" w:hAnsi="Arial" w:cs="Arial"/>
          <w:color w:val="7B7B7B" w:themeColor="accent3" w:themeShade="BF"/>
          <w:sz w:val="22"/>
          <w:szCs w:val="22"/>
          <w:lang w:val="en-GB"/>
        </w:rPr>
        <w:t>B</w:t>
      </w:r>
      <w:r w:rsidRPr="00C1345B">
        <w:rPr>
          <w:rFonts w:ascii="Arial" w:hAnsi="Arial" w:cs="Arial"/>
          <w:color w:val="7B7B7B" w:themeColor="accent3" w:themeShade="BF"/>
          <w:sz w:val="22"/>
          <w:szCs w:val="22"/>
          <w:lang w:val="en-GB"/>
        </w:rPr>
        <w:t xml:space="preserve">order </w:t>
      </w:r>
      <w:r>
        <w:rPr>
          <w:rFonts w:ascii="Arial" w:hAnsi="Arial" w:cs="Arial"/>
          <w:color w:val="7B7B7B" w:themeColor="accent3" w:themeShade="BF"/>
          <w:sz w:val="22"/>
          <w:szCs w:val="22"/>
          <w:lang w:val="en-GB"/>
        </w:rPr>
        <w:t>I</w:t>
      </w:r>
      <w:r w:rsidRPr="00C1345B">
        <w:rPr>
          <w:rFonts w:ascii="Arial" w:hAnsi="Arial" w:cs="Arial"/>
          <w:color w:val="7B7B7B" w:themeColor="accent3" w:themeShade="BF"/>
          <w:sz w:val="22"/>
          <w:szCs w:val="22"/>
          <w:lang w:val="en-GB"/>
        </w:rPr>
        <w:t>nsolvency which also has provisions within it which encourages the arrival at some protocols or some agreements by the parties with or without some recognition of those agreements by the courts themselves</w:t>
      </w:r>
      <w:r>
        <w:rPr>
          <w:rFonts w:ascii="Arial" w:hAnsi="Arial" w:cs="Arial"/>
          <w:color w:val="7B7B7B" w:themeColor="accent3" w:themeShade="BF"/>
          <w:sz w:val="22"/>
          <w:szCs w:val="22"/>
          <w:lang w:val="en-GB"/>
        </w:rPr>
        <w:t xml:space="preserve">. </w:t>
      </w:r>
      <w:r w:rsidR="00F60809">
        <w:rPr>
          <w:rFonts w:ascii="Arial" w:hAnsi="Arial" w:cs="Arial"/>
          <w:color w:val="7B7B7B" w:themeColor="accent3" w:themeShade="BF"/>
          <w:sz w:val="22"/>
          <w:szCs w:val="22"/>
          <w:lang w:val="en-GB"/>
        </w:rPr>
        <w:t xml:space="preserve">In 2009 </w:t>
      </w:r>
      <w:r w:rsidRPr="00C1345B">
        <w:rPr>
          <w:rFonts w:ascii="Arial" w:hAnsi="Arial" w:cs="Arial"/>
          <w:color w:val="7B7B7B" w:themeColor="accent3" w:themeShade="BF"/>
          <w:sz w:val="22"/>
          <w:szCs w:val="22"/>
          <w:lang w:val="en-GB"/>
        </w:rPr>
        <w:t xml:space="preserve">UNCITRAL </w:t>
      </w:r>
      <w:r w:rsidR="00F60809">
        <w:rPr>
          <w:rFonts w:ascii="Arial" w:hAnsi="Arial" w:cs="Arial"/>
          <w:color w:val="7B7B7B" w:themeColor="accent3" w:themeShade="BF"/>
          <w:sz w:val="22"/>
          <w:szCs w:val="22"/>
          <w:lang w:val="en-GB"/>
        </w:rPr>
        <w:t>also</w:t>
      </w:r>
      <w:r w:rsidRPr="00C1345B">
        <w:rPr>
          <w:rFonts w:ascii="Arial" w:hAnsi="Arial" w:cs="Arial"/>
          <w:color w:val="7B7B7B" w:themeColor="accent3" w:themeShade="BF"/>
          <w:sz w:val="22"/>
          <w:szCs w:val="22"/>
          <w:lang w:val="en-GB"/>
        </w:rPr>
        <w:t xml:space="preserve"> developed a </w:t>
      </w:r>
      <w:r w:rsidR="00F60809">
        <w:rPr>
          <w:rFonts w:ascii="Arial" w:hAnsi="Arial" w:cs="Arial"/>
          <w:color w:val="7B7B7B" w:themeColor="accent3" w:themeShade="BF"/>
          <w:sz w:val="22"/>
          <w:szCs w:val="22"/>
          <w:lang w:val="en-GB"/>
        </w:rPr>
        <w:t>P</w:t>
      </w:r>
      <w:r w:rsidRPr="00C1345B">
        <w:rPr>
          <w:rFonts w:ascii="Arial" w:hAnsi="Arial" w:cs="Arial"/>
          <w:color w:val="7B7B7B" w:themeColor="accent3" w:themeShade="BF"/>
          <w:sz w:val="22"/>
          <w:szCs w:val="22"/>
          <w:lang w:val="en-GB"/>
        </w:rPr>
        <w:t xml:space="preserve">ractice </w:t>
      </w:r>
      <w:r w:rsidR="00F60809">
        <w:rPr>
          <w:rFonts w:ascii="Arial" w:hAnsi="Arial" w:cs="Arial"/>
          <w:color w:val="7B7B7B" w:themeColor="accent3" w:themeShade="BF"/>
          <w:sz w:val="22"/>
          <w:szCs w:val="22"/>
          <w:lang w:val="en-GB"/>
        </w:rPr>
        <w:t>G</w:t>
      </w:r>
      <w:r w:rsidRPr="00C1345B">
        <w:rPr>
          <w:rFonts w:ascii="Arial" w:hAnsi="Arial" w:cs="Arial"/>
          <w:color w:val="7B7B7B" w:themeColor="accent3" w:themeShade="BF"/>
          <w:sz w:val="22"/>
          <w:szCs w:val="22"/>
          <w:lang w:val="en-GB"/>
        </w:rPr>
        <w:t>uide</w:t>
      </w:r>
      <w:r w:rsidR="00F60809">
        <w:rPr>
          <w:rFonts w:ascii="Arial" w:hAnsi="Arial" w:cs="Arial"/>
          <w:color w:val="7B7B7B" w:themeColor="accent3" w:themeShade="BF"/>
          <w:sz w:val="22"/>
          <w:szCs w:val="22"/>
          <w:lang w:val="en-GB"/>
        </w:rPr>
        <w:t xml:space="preserve"> on Cross-Border Insolvency Agreements</w:t>
      </w:r>
      <w:r w:rsidRPr="00C1345B">
        <w:rPr>
          <w:rFonts w:ascii="Arial" w:hAnsi="Arial" w:cs="Arial"/>
          <w:color w:val="7B7B7B" w:themeColor="accent3" w:themeShade="BF"/>
          <w:sz w:val="22"/>
          <w:szCs w:val="22"/>
          <w:lang w:val="en-GB"/>
        </w:rPr>
        <w:t xml:space="preserve"> which contains information about examples of cross-border insolvency agreements or protocols</w:t>
      </w:r>
      <w:r w:rsidR="00F60809">
        <w:rPr>
          <w:rFonts w:ascii="Arial" w:hAnsi="Arial" w:cs="Arial"/>
          <w:color w:val="7B7B7B" w:themeColor="accent3" w:themeShade="BF"/>
          <w:sz w:val="22"/>
          <w:szCs w:val="22"/>
          <w:lang w:val="en-GB"/>
        </w:rPr>
        <w:t xml:space="preserve"> (see also the summary of the </w:t>
      </w:r>
      <w:r w:rsidR="00F60809">
        <w:rPr>
          <w:rFonts w:ascii="Arial" w:hAnsi="Arial" w:cs="Arial"/>
          <w:i/>
          <w:iCs/>
          <w:color w:val="7B7B7B" w:themeColor="accent3" w:themeShade="BF"/>
          <w:sz w:val="22"/>
          <w:szCs w:val="22"/>
          <w:lang w:val="en-GB"/>
        </w:rPr>
        <w:t>Maxwell Communications Corporation plc</w:t>
      </w:r>
      <w:r w:rsidR="00F60809">
        <w:rPr>
          <w:rFonts w:ascii="Arial" w:hAnsi="Arial" w:cs="Arial"/>
          <w:color w:val="7B7B7B" w:themeColor="accent3" w:themeShade="BF"/>
          <w:sz w:val="22"/>
          <w:szCs w:val="22"/>
          <w:lang w:val="en-GB"/>
        </w:rPr>
        <w:t xml:space="preserve"> case of 1991 in </w:t>
      </w:r>
      <w:r w:rsidR="00F60809">
        <w:rPr>
          <w:rFonts w:ascii="Arial" w:hAnsi="Arial" w:cs="Arial"/>
          <w:i/>
          <w:iCs/>
          <w:color w:val="7B7B7B" w:themeColor="accent3" w:themeShade="BF"/>
          <w:sz w:val="22"/>
          <w:szCs w:val="22"/>
          <w:lang w:val="en-GB"/>
        </w:rPr>
        <w:t>UNCITRAL Practice Guide on Cross-Border Insolvency Cooperation</w:t>
      </w:r>
      <w:r w:rsidR="00F60809">
        <w:rPr>
          <w:rFonts w:ascii="Arial" w:hAnsi="Arial" w:cs="Arial"/>
          <w:color w:val="7B7B7B" w:themeColor="accent3" w:themeShade="BF"/>
          <w:sz w:val="22"/>
          <w:szCs w:val="22"/>
          <w:lang w:val="en-GB"/>
        </w:rPr>
        <w:t xml:space="preserve"> 2009, pp. 128-129).</w:t>
      </w:r>
    </w:p>
    <w:p w14:paraId="65DD9A1B" w14:textId="77777777" w:rsidR="00F60809" w:rsidRDefault="00F60809" w:rsidP="00644650">
      <w:pPr>
        <w:jc w:val="both"/>
        <w:rPr>
          <w:rFonts w:ascii="Arial" w:hAnsi="Arial" w:cs="Arial"/>
          <w:color w:val="7B7B7B" w:themeColor="accent3" w:themeShade="BF"/>
          <w:sz w:val="22"/>
          <w:szCs w:val="22"/>
          <w:lang w:val="en-GB"/>
        </w:rPr>
      </w:pPr>
    </w:p>
    <w:p w14:paraId="62816FF1" w14:textId="21BC0064" w:rsidR="00275182" w:rsidRPr="00F60809" w:rsidRDefault="00C21F8C" w:rsidP="00B7193E">
      <w:pPr>
        <w:jc w:val="both"/>
        <w:rPr>
          <w:rFonts w:ascii="Arial" w:hAnsi="Arial" w:cs="Arial"/>
          <w:sz w:val="22"/>
          <w:szCs w:val="22"/>
          <w:lang w:val="en-GB"/>
        </w:rPr>
      </w:pPr>
      <w:r>
        <w:rPr>
          <w:rFonts w:ascii="Arial" w:hAnsi="Arial" w:cs="Arial"/>
          <w:color w:val="7B7B7B" w:themeColor="accent3" w:themeShade="BF"/>
          <w:sz w:val="22"/>
          <w:szCs w:val="22"/>
          <w:lang w:val="en-GB"/>
        </w:rPr>
        <w:t xml:space="preserve"> </w:t>
      </w:r>
      <w:r w:rsidR="00E948A8">
        <w:rPr>
          <w:rFonts w:ascii="Arial" w:hAnsi="Arial" w:cs="Arial"/>
          <w:color w:val="7B7B7B" w:themeColor="accent3" w:themeShade="BF"/>
          <w:sz w:val="22"/>
          <w:szCs w:val="22"/>
          <w:lang w:val="en-GB"/>
        </w:rPr>
        <w:t xml:space="preserve"> </w:t>
      </w: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Rydell’s main creditor is Fernz Co Ltd (Fernz)</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r w:rsidR="00DF4D51" w:rsidRPr="00205B31">
        <w:rPr>
          <w:rFonts w:ascii="Arial" w:hAnsi="Arial" w:cs="Arial"/>
          <w:color w:val="212529"/>
          <w:sz w:val="22"/>
          <w:szCs w:val="22"/>
          <w:shd w:val="clear" w:color="auto" w:fill="FFFFFF"/>
          <w:lang w:val="en-GB"/>
        </w:rPr>
        <w:t xml:space="preserve">Fernz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r w:rsidR="0050156C" w:rsidRPr="00205B31">
        <w:rPr>
          <w:rFonts w:ascii="Arial" w:hAnsi="Arial" w:cs="Arial"/>
          <w:sz w:val="22"/>
          <w:szCs w:val="22"/>
          <w:lang w:val="en-GB"/>
        </w:rPr>
        <w:t xml:space="preserve">Fernz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1B48B5FB" w14:textId="3B07C466" w:rsidR="005A0E4B" w:rsidRDefault="00302196"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 of all, the</w:t>
      </w:r>
      <w:r w:rsidR="005A0E4B">
        <w:rPr>
          <w:rFonts w:ascii="Arial" w:hAnsi="Arial" w:cs="Arial"/>
          <w:color w:val="7B7B7B" w:themeColor="accent3" w:themeShade="BF"/>
          <w:sz w:val="22"/>
          <w:szCs w:val="22"/>
          <w:lang w:val="en-GB"/>
        </w:rPr>
        <w:t xml:space="preserve"> question arises whether this matter falls within the (</w:t>
      </w:r>
      <w:r w:rsidR="00AF5D11">
        <w:rPr>
          <w:rFonts w:ascii="Arial" w:hAnsi="Arial" w:cs="Arial"/>
          <w:color w:val="7B7B7B" w:themeColor="accent3" w:themeShade="BF"/>
          <w:sz w:val="22"/>
          <w:szCs w:val="22"/>
          <w:lang w:val="en-GB"/>
        </w:rPr>
        <w:t>material, territorial, temporal and personal) scope of the European Insolvency Regulation Recast (hereafter “</w:t>
      </w:r>
      <w:r w:rsidR="00AF5D11">
        <w:rPr>
          <w:rFonts w:ascii="Arial" w:hAnsi="Arial" w:cs="Arial"/>
          <w:b/>
          <w:bCs/>
          <w:color w:val="7B7B7B" w:themeColor="accent3" w:themeShade="BF"/>
          <w:sz w:val="22"/>
          <w:szCs w:val="22"/>
          <w:lang w:val="en-GB"/>
        </w:rPr>
        <w:t>EIR</w:t>
      </w:r>
      <w:r w:rsidR="00AF5D11">
        <w:rPr>
          <w:rFonts w:ascii="Arial" w:hAnsi="Arial" w:cs="Arial"/>
          <w:color w:val="7B7B7B" w:themeColor="accent3" w:themeShade="BF"/>
          <w:sz w:val="22"/>
          <w:szCs w:val="22"/>
          <w:lang w:val="en-GB"/>
        </w:rPr>
        <w:t>”).</w:t>
      </w:r>
    </w:p>
    <w:p w14:paraId="56BCFB46" w14:textId="2B007F3A" w:rsidR="00F703B6" w:rsidRDefault="00F703B6" w:rsidP="00B7193E">
      <w:pPr>
        <w:jc w:val="both"/>
        <w:rPr>
          <w:rFonts w:ascii="Arial" w:hAnsi="Arial" w:cs="Arial"/>
          <w:color w:val="7B7B7B" w:themeColor="accent3" w:themeShade="BF"/>
          <w:sz w:val="22"/>
          <w:szCs w:val="22"/>
          <w:lang w:val="en-GB"/>
        </w:rPr>
      </w:pPr>
    </w:p>
    <w:p w14:paraId="23829448" w14:textId="77777777" w:rsidR="0012482F" w:rsidRDefault="00F703B6"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EIR applies to “</w:t>
      </w:r>
      <w:r w:rsidRPr="00F703B6">
        <w:rPr>
          <w:rFonts w:ascii="Arial" w:hAnsi="Arial" w:cs="Arial"/>
          <w:i/>
          <w:iCs/>
          <w:color w:val="7B7B7B" w:themeColor="accent3" w:themeShade="BF"/>
          <w:sz w:val="22"/>
          <w:szCs w:val="22"/>
          <w:lang w:val="en-GB"/>
        </w:rPr>
        <w:t>insolvency proceedings which meet the conditions set out in it, irrespective of whether the debtor is a natural person or a legal person, a trader or an individual. Those insolvency proceedings are listed exhaustively in Annex A. […]. National insolvency procedures not listed in Annex A should not be covered by this Regulation</w:t>
      </w:r>
      <w:r>
        <w:rPr>
          <w:rFonts w:ascii="Arial" w:hAnsi="Arial" w:cs="Arial"/>
          <w:color w:val="7B7B7B" w:themeColor="accent3" w:themeShade="BF"/>
          <w:sz w:val="22"/>
          <w:szCs w:val="22"/>
          <w:lang w:val="en-GB"/>
        </w:rPr>
        <w:t xml:space="preserve">.” (see recital 9 of the EIR). </w:t>
      </w:r>
      <w:r w:rsidR="00807CB3">
        <w:rPr>
          <w:rFonts w:ascii="Arial" w:hAnsi="Arial" w:cs="Arial"/>
          <w:color w:val="7B7B7B" w:themeColor="accent3" w:themeShade="BF"/>
          <w:sz w:val="22"/>
          <w:szCs w:val="22"/>
          <w:lang w:val="en-GB"/>
        </w:rPr>
        <w:t xml:space="preserve">It is for the sake of completeness that we thus must require further information on what kind of insolvency proceeding was opened in the UK. </w:t>
      </w:r>
    </w:p>
    <w:p w14:paraId="295DF7F7" w14:textId="77777777" w:rsidR="0012482F" w:rsidRDefault="0012482F" w:rsidP="00B7193E">
      <w:pPr>
        <w:jc w:val="both"/>
        <w:rPr>
          <w:rFonts w:ascii="Arial" w:hAnsi="Arial" w:cs="Arial"/>
          <w:color w:val="7B7B7B" w:themeColor="accent3" w:themeShade="BF"/>
          <w:sz w:val="22"/>
          <w:szCs w:val="22"/>
          <w:lang w:val="en-GB"/>
        </w:rPr>
      </w:pPr>
    </w:p>
    <w:p w14:paraId="055B3449" w14:textId="77777777" w:rsidR="0012482F" w:rsidRDefault="00E466F0"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Given the activity of Rydell, it seems that </w:t>
      </w:r>
      <w:r w:rsidR="00807CB3">
        <w:rPr>
          <w:rFonts w:ascii="Arial" w:hAnsi="Arial" w:cs="Arial"/>
          <w:color w:val="7B7B7B" w:themeColor="accent3" w:themeShade="BF"/>
          <w:sz w:val="22"/>
          <w:szCs w:val="22"/>
          <w:lang w:val="en-GB"/>
        </w:rPr>
        <w:t xml:space="preserve">Rydell is not </w:t>
      </w:r>
      <w:r w:rsidR="002351FE">
        <w:rPr>
          <w:rFonts w:ascii="Arial" w:hAnsi="Arial" w:cs="Arial"/>
          <w:color w:val="7B7B7B" w:themeColor="accent3" w:themeShade="BF"/>
          <w:sz w:val="22"/>
          <w:szCs w:val="22"/>
          <w:lang w:val="en-GB"/>
        </w:rPr>
        <w:t xml:space="preserve">to </w:t>
      </w:r>
      <w:r w:rsidR="00807CB3">
        <w:rPr>
          <w:rFonts w:ascii="Arial" w:hAnsi="Arial" w:cs="Arial"/>
          <w:color w:val="7B7B7B" w:themeColor="accent3" w:themeShade="BF"/>
          <w:sz w:val="22"/>
          <w:szCs w:val="22"/>
          <w:lang w:val="en-GB"/>
        </w:rPr>
        <w:t xml:space="preserve">be considered as one of the entities described in Article </w:t>
      </w:r>
      <w:r w:rsidR="002351FE">
        <w:rPr>
          <w:rFonts w:ascii="Arial" w:hAnsi="Arial" w:cs="Arial"/>
          <w:color w:val="7B7B7B" w:themeColor="accent3" w:themeShade="BF"/>
          <w:sz w:val="22"/>
          <w:szCs w:val="22"/>
          <w:lang w:val="en-GB"/>
        </w:rPr>
        <w:t>1.2 of the EIR in which case the regulation would not apply.</w:t>
      </w:r>
      <w:r w:rsidR="0012482F">
        <w:rPr>
          <w:rFonts w:ascii="Arial" w:hAnsi="Arial" w:cs="Arial"/>
          <w:color w:val="7B7B7B" w:themeColor="accent3" w:themeShade="BF"/>
          <w:sz w:val="22"/>
          <w:szCs w:val="22"/>
          <w:lang w:val="en-GB"/>
        </w:rPr>
        <w:t xml:space="preserve"> </w:t>
      </w:r>
    </w:p>
    <w:p w14:paraId="4A9F1772" w14:textId="77777777" w:rsidR="0012482F" w:rsidRDefault="0012482F" w:rsidP="00B7193E">
      <w:pPr>
        <w:jc w:val="both"/>
        <w:rPr>
          <w:rFonts w:ascii="Arial" w:hAnsi="Arial" w:cs="Arial"/>
          <w:color w:val="7B7B7B" w:themeColor="accent3" w:themeShade="BF"/>
          <w:sz w:val="22"/>
          <w:szCs w:val="22"/>
          <w:lang w:val="en-GB"/>
        </w:rPr>
      </w:pPr>
    </w:p>
    <w:p w14:paraId="0D37BBBB" w14:textId="16F1859A" w:rsidR="002F75A3" w:rsidRDefault="002351FE"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With regard to the temporal scope of the EIR, the EIR ap</w:t>
      </w:r>
      <w:r w:rsidR="00993ADD">
        <w:rPr>
          <w:rFonts w:ascii="Arial" w:hAnsi="Arial" w:cs="Arial"/>
          <w:color w:val="7B7B7B" w:themeColor="accent3" w:themeShade="BF"/>
          <w:sz w:val="22"/>
          <w:szCs w:val="22"/>
          <w:lang w:val="en-GB"/>
        </w:rPr>
        <w:t>plies to insolvency proceedings commenced after 26 June 2017.</w:t>
      </w:r>
    </w:p>
    <w:p w14:paraId="7488EB20" w14:textId="43B11386" w:rsidR="00302196" w:rsidRDefault="00302196" w:rsidP="00B7193E">
      <w:pPr>
        <w:jc w:val="both"/>
        <w:rPr>
          <w:rFonts w:ascii="Arial" w:hAnsi="Arial" w:cs="Arial"/>
          <w:color w:val="7B7B7B" w:themeColor="accent3" w:themeShade="BF"/>
          <w:sz w:val="22"/>
          <w:szCs w:val="22"/>
          <w:lang w:val="en-GB"/>
        </w:rPr>
      </w:pPr>
    </w:p>
    <w:p w14:paraId="7B46E0E8" w14:textId="25E53CFC" w:rsidR="00302196" w:rsidRDefault="00CB3941" w:rsidP="0030219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Assuming that the EIR applies in this case, </w:t>
      </w:r>
      <w:r w:rsidR="00302196">
        <w:rPr>
          <w:rFonts w:ascii="Arial" w:hAnsi="Arial" w:cs="Arial"/>
          <w:color w:val="7B7B7B" w:themeColor="accent3" w:themeShade="BF"/>
          <w:sz w:val="22"/>
          <w:szCs w:val="22"/>
          <w:lang w:val="en-GB"/>
        </w:rPr>
        <w:t>Article 3</w:t>
      </w:r>
      <w:r w:rsidR="0012482F">
        <w:rPr>
          <w:rFonts w:ascii="Arial" w:hAnsi="Arial" w:cs="Arial"/>
          <w:color w:val="7B7B7B" w:themeColor="accent3" w:themeShade="BF"/>
          <w:sz w:val="22"/>
          <w:szCs w:val="22"/>
          <w:lang w:val="en-GB"/>
        </w:rPr>
        <w:t>.1</w:t>
      </w:r>
      <w:r w:rsidR="00302196">
        <w:rPr>
          <w:rFonts w:ascii="Arial" w:hAnsi="Arial" w:cs="Arial"/>
          <w:color w:val="7B7B7B" w:themeColor="accent3" w:themeShade="BF"/>
          <w:sz w:val="22"/>
          <w:szCs w:val="22"/>
          <w:lang w:val="en-GB"/>
        </w:rPr>
        <w:t xml:space="preserve"> of the EIR states that t</w:t>
      </w:r>
      <w:r w:rsidR="00302196" w:rsidRPr="00302196">
        <w:rPr>
          <w:rFonts w:ascii="Arial" w:hAnsi="Arial" w:cs="Arial"/>
          <w:color w:val="7B7B7B" w:themeColor="accent3" w:themeShade="BF"/>
          <w:sz w:val="22"/>
          <w:szCs w:val="22"/>
          <w:lang w:val="en-GB"/>
        </w:rPr>
        <w:t>he courts of the Member State within the territory of which the centre of the debtor's main interests is situated</w:t>
      </w:r>
      <w:r w:rsidR="00302196">
        <w:rPr>
          <w:rFonts w:ascii="Arial" w:hAnsi="Arial" w:cs="Arial"/>
          <w:color w:val="7B7B7B" w:themeColor="accent3" w:themeShade="BF"/>
          <w:sz w:val="22"/>
          <w:szCs w:val="22"/>
          <w:lang w:val="en-GB"/>
        </w:rPr>
        <w:t xml:space="preserve"> </w:t>
      </w:r>
      <w:r w:rsidR="00302196" w:rsidRPr="00302196">
        <w:rPr>
          <w:rFonts w:ascii="Arial" w:hAnsi="Arial" w:cs="Arial"/>
          <w:color w:val="7B7B7B" w:themeColor="accent3" w:themeShade="BF"/>
          <w:sz w:val="22"/>
          <w:szCs w:val="22"/>
          <w:lang w:val="en-GB"/>
        </w:rPr>
        <w:t>shall have jurisdiction to open insolvency proceedings (‘main insolvency proceedings’). The centre of main interests shall</w:t>
      </w:r>
      <w:r w:rsidR="00302196">
        <w:rPr>
          <w:rFonts w:ascii="Arial" w:hAnsi="Arial" w:cs="Arial"/>
          <w:color w:val="7B7B7B" w:themeColor="accent3" w:themeShade="BF"/>
          <w:sz w:val="22"/>
          <w:szCs w:val="22"/>
          <w:lang w:val="en-GB"/>
        </w:rPr>
        <w:t xml:space="preserve"> </w:t>
      </w:r>
      <w:r w:rsidR="00302196" w:rsidRPr="00302196">
        <w:rPr>
          <w:rFonts w:ascii="Arial" w:hAnsi="Arial" w:cs="Arial"/>
          <w:color w:val="7B7B7B" w:themeColor="accent3" w:themeShade="BF"/>
          <w:sz w:val="22"/>
          <w:szCs w:val="22"/>
          <w:lang w:val="en-GB"/>
        </w:rPr>
        <w:t>be the place where the debtor conducts the administration of its interests on a regular basis and which is ascertainable</w:t>
      </w:r>
      <w:r w:rsidR="00302196">
        <w:rPr>
          <w:rFonts w:ascii="Arial" w:hAnsi="Arial" w:cs="Arial"/>
          <w:color w:val="7B7B7B" w:themeColor="accent3" w:themeShade="BF"/>
          <w:sz w:val="22"/>
          <w:szCs w:val="22"/>
          <w:lang w:val="en-GB"/>
        </w:rPr>
        <w:t xml:space="preserve"> </w:t>
      </w:r>
      <w:r w:rsidR="00302196" w:rsidRPr="00302196">
        <w:rPr>
          <w:rFonts w:ascii="Arial" w:hAnsi="Arial" w:cs="Arial"/>
          <w:color w:val="7B7B7B" w:themeColor="accent3" w:themeShade="BF"/>
          <w:sz w:val="22"/>
          <w:szCs w:val="22"/>
          <w:lang w:val="en-GB"/>
        </w:rPr>
        <w:t>by third parties</w:t>
      </w:r>
      <w:r w:rsidR="00302196">
        <w:rPr>
          <w:rFonts w:ascii="Arial" w:hAnsi="Arial" w:cs="Arial"/>
          <w:color w:val="7B7B7B" w:themeColor="accent3" w:themeShade="BF"/>
          <w:sz w:val="22"/>
          <w:szCs w:val="22"/>
          <w:lang w:val="en-GB"/>
        </w:rPr>
        <w:t>. Given the COMI of Rydell being in the UK, the UK courts thus ha</w:t>
      </w:r>
      <w:r>
        <w:rPr>
          <w:rFonts w:ascii="Arial" w:hAnsi="Arial" w:cs="Arial"/>
          <w:color w:val="7B7B7B" w:themeColor="accent3" w:themeShade="BF"/>
          <w:sz w:val="22"/>
          <w:szCs w:val="22"/>
          <w:lang w:val="en-GB"/>
        </w:rPr>
        <w:t>ve</w:t>
      </w:r>
      <w:r w:rsidR="00302196">
        <w:rPr>
          <w:rFonts w:ascii="Arial" w:hAnsi="Arial" w:cs="Arial"/>
          <w:color w:val="7B7B7B" w:themeColor="accent3" w:themeShade="BF"/>
          <w:sz w:val="22"/>
          <w:szCs w:val="22"/>
          <w:lang w:val="en-GB"/>
        </w:rPr>
        <w:t xml:space="preserve"> jurisdiction to open a (main) insolvency proceeding in the UK.</w:t>
      </w:r>
    </w:p>
    <w:p w14:paraId="719D1DB4" w14:textId="33897ACD" w:rsidR="00CB3941" w:rsidRDefault="00CB3941" w:rsidP="00302196">
      <w:pPr>
        <w:jc w:val="both"/>
        <w:rPr>
          <w:rFonts w:ascii="Arial" w:hAnsi="Arial" w:cs="Arial"/>
          <w:color w:val="7B7B7B" w:themeColor="accent3" w:themeShade="BF"/>
          <w:sz w:val="22"/>
          <w:szCs w:val="22"/>
          <w:lang w:val="en-GB"/>
        </w:rPr>
      </w:pPr>
    </w:p>
    <w:p w14:paraId="3C38E06A" w14:textId="01E7A5F1" w:rsidR="00CB3941" w:rsidRDefault="00CB3941" w:rsidP="0030219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7 contains provisions on the applicable law in proceedings subject to the EIR, and Articles 7 to 18 contain provisions on the applicable in respect of specific matters.</w:t>
      </w:r>
    </w:p>
    <w:p w14:paraId="4450E0EF" w14:textId="6DD203D8" w:rsidR="00EF21AA" w:rsidRDefault="00EF21AA" w:rsidP="00302196">
      <w:pPr>
        <w:jc w:val="both"/>
        <w:rPr>
          <w:rFonts w:ascii="Arial" w:hAnsi="Arial" w:cs="Arial"/>
          <w:color w:val="7B7B7B" w:themeColor="accent3" w:themeShade="BF"/>
          <w:sz w:val="22"/>
          <w:szCs w:val="22"/>
          <w:lang w:val="en-GB"/>
        </w:rPr>
      </w:pPr>
    </w:p>
    <w:p w14:paraId="2CEA5933" w14:textId="00816834" w:rsidR="00EF21AA" w:rsidRDefault="000C5D43" w:rsidP="000C5D4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19 of the EIR states that a</w:t>
      </w:r>
      <w:r w:rsidRPr="000C5D43">
        <w:rPr>
          <w:rFonts w:ascii="Arial" w:hAnsi="Arial" w:cs="Arial"/>
          <w:color w:val="7B7B7B" w:themeColor="accent3" w:themeShade="BF"/>
          <w:sz w:val="22"/>
          <w:szCs w:val="22"/>
          <w:lang w:val="en-GB"/>
        </w:rPr>
        <w:t>ny judgment opening insolvency proceedings handed down by a court of a Member State which has jurisdiction</w:t>
      </w:r>
      <w:r>
        <w:rPr>
          <w:rFonts w:ascii="Arial" w:hAnsi="Arial" w:cs="Arial"/>
          <w:color w:val="7B7B7B" w:themeColor="accent3" w:themeShade="BF"/>
          <w:sz w:val="22"/>
          <w:szCs w:val="22"/>
          <w:lang w:val="en-GB"/>
        </w:rPr>
        <w:t xml:space="preserve"> </w:t>
      </w:r>
      <w:r w:rsidRPr="000C5D43">
        <w:rPr>
          <w:rFonts w:ascii="Arial" w:hAnsi="Arial" w:cs="Arial"/>
          <w:color w:val="7B7B7B" w:themeColor="accent3" w:themeShade="BF"/>
          <w:sz w:val="22"/>
          <w:szCs w:val="22"/>
          <w:lang w:val="en-GB"/>
        </w:rPr>
        <w:t>pursuant to Article 3 shall be recognised in all other Member States from the moment that it becomes effective in the</w:t>
      </w:r>
      <w:r>
        <w:rPr>
          <w:rFonts w:ascii="Arial" w:hAnsi="Arial" w:cs="Arial"/>
          <w:color w:val="7B7B7B" w:themeColor="accent3" w:themeShade="BF"/>
          <w:sz w:val="22"/>
          <w:szCs w:val="22"/>
          <w:lang w:val="en-GB"/>
        </w:rPr>
        <w:t xml:space="preserve"> </w:t>
      </w:r>
      <w:r w:rsidRPr="000C5D43">
        <w:rPr>
          <w:rFonts w:ascii="Arial" w:hAnsi="Arial" w:cs="Arial"/>
          <w:color w:val="7B7B7B" w:themeColor="accent3" w:themeShade="BF"/>
          <w:sz w:val="22"/>
          <w:szCs w:val="22"/>
          <w:lang w:val="en-GB"/>
        </w:rPr>
        <w:t xml:space="preserve">State of the </w:t>
      </w:r>
      <w:r w:rsidRPr="000C5D43">
        <w:rPr>
          <w:rFonts w:ascii="Arial" w:hAnsi="Arial" w:cs="Arial"/>
          <w:color w:val="7B7B7B" w:themeColor="accent3" w:themeShade="BF"/>
          <w:sz w:val="22"/>
          <w:szCs w:val="22"/>
          <w:lang w:val="en-GB"/>
        </w:rPr>
        <w:lastRenderedPageBreak/>
        <w:t>opening of proceedings</w:t>
      </w:r>
      <w:r>
        <w:rPr>
          <w:rFonts w:ascii="Arial" w:hAnsi="Arial" w:cs="Arial"/>
          <w:color w:val="7B7B7B" w:themeColor="accent3" w:themeShade="BF"/>
          <w:sz w:val="22"/>
          <w:szCs w:val="22"/>
          <w:lang w:val="en-GB"/>
        </w:rPr>
        <w:t xml:space="preserve">. It thus provides in an automatic recognition of the aforementioned proceeding in all the other countries in Europe which are a member of the European Union (it should however be noted that </w:t>
      </w:r>
      <w:r w:rsidRPr="000C5D43">
        <w:rPr>
          <w:rFonts w:ascii="Arial" w:hAnsi="Arial" w:cs="Arial"/>
          <w:color w:val="7B7B7B" w:themeColor="accent3" w:themeShade="BF"/>
          <w:sz w:val="22"/>
          <w:szCs w:val="22"/>
          <w:lang w:val="en-GB"/>
        </w:rPr>
        <w:t xml:space="preserve">Denmark is not bound by </w:t>
      </w:r>
      <w:r>
        <w:rPr>
          <w:rFonts w:ascii="Arial" w:hAnsi="Arial" w:cs="Arial"/>
          <w:color w:val="7B7B7B" w:themeColor="accent3" w:themeShade="BF"/>
          <w:sz w:val="22"/>
          <w:szCs w:val="22"/>
          <w:lang w:val="en-GB"/>
        </w:rPr>
        <w:t>the EIR</w:t>
      </w:r>
      <w:r w:rsidRPr="000C5D43">
        <w:rPr>
          <w:rFonts w:ascii="Arial" w:hAnsi="Arial" w:cs="Arial"/>
          <w:color w:val="7B7B7B" w:themeColor="accent3" w:themeShade="BF"/>
          <w:sz w:val="22"/>
          <w:szCs w:val="22"/>
          <w:lang w:val="en-GB"/>
        </w:rPr>
        <w:t xml:space="preserve"> or subject to its application</w:t>
      </w:r>
      <w:r>
        <w:rPr>
          <w:rFonts w:ascii="Arial" w:hAnsi="Arial" w:cs="Arial"/>
          <w:color w:val="7B7B7B" w:themeColor="accent3" w:themeShade="BF"/>
          <w:sz w:val="22"/>
          <w:szCs w:val="22"/>
          <w:lang w:val="en-GB"/>
        </w:rPr>
        <w:t>; see recital 88 of the EIR).</w:t>
      </w:r>
    </w:p>
    <w:p w14:paraId="7F873282" w14:textId="00A99819" w:rsidR="000C5D43" w:rsidRDefault="000C5D43" w:rsidP="000C5D43">
      <w:pPr>
        <w:jc w:val="both"/>
        <w:rPr>
          <w:rFonts w:ascii="Arial" w:hAnsi="Arial" w:cs="Arial"/>
          <w:color w:val="7B7B7B" w:themeColor="accent3" w:themeShade="BF"/>
          <w:sz w:val="22"/>
          <w:szCs w:val="22"/>
          <w:lang w:val="en-GB"/>
        </w:rPr>
      </w:pPr>
    </w:p>
    <w:p w14:paraId="053CA145" w14:textId="5E102689" w:rsidR="000C5D43" w:rsidRPr="0012482F" w:rsidRDefault="00EF79ED" w:rsidP="00E267F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Following the above, Fernz </w:t>
      </w:r>
      <w:r w:rsidRPr="00EF79ED">
        <w:rPr>
          <w:rFonts w:ascii="Arial" w:hAnsi="Arial" w:cs="Arial"/>
          <w:color w:val="7B7B7B" w:themeColor="accent3" w:themeShade="BF"/>
          <w:sz w:val="22"/>
          <w:szCs w:val="22"/>
          <w:lang w:val="en-GB"/>
        </w:rPr>
        <w:t>can only</w:t>
      </w:r>
      <w:r>
        <w:rPr>
          <w:rFonts w:ascii="Arial" w:hAnsi="Arial" w:cs="Arial"/>
          <w:color w:val="7B7B7B" w:themeColor="accent3" w:themeShade="BF"/>
          <w:sz w:val="22"/>
          <w:szCs w:val="22"/>
          <w:lang w:val="en-GB"/>
        </w:rPr>
        <w:t xml:space="preserve"> request the courts in another country of Europe which is a member of the European Union to open</w:t>
      </w:r>
      <w:r w:rsidRPr="00EF79ED">
        <w:rPr>
          <w:rFonts w:ascii="Arial" w:hAnsi="Arial" w:cs="Arial"/>
          <w:color w:val="7B7B7B" w:themeColor="accent3" w:themeShade="BF"/>
          <w:sz w:val="22"/>
          <w:szCs w:val="22"/>
          <w:lang w:val="en-GB"/>
        </w:rPr>
        <w:t xml:space="preserve"> insolvency proceedings against </w:t>
      </w:r>
      <w:r>
        <w:rPr>
          <w:rFonts w:ascii="Arial" w:hAnsi="Arial" w:cs="Arial"/>
          <w:color w:val="7B7B7B" w:themeColor="accent3" w:themeShade="BF"/>
          <w:sz w:val="22"/>
          <w:szCs w:val="22"/>
          <w:lang w:val="en-GB"/>
        </w:rPr>
        <w:t>Rydell</w:t>
      </w:r>
      <w:r w:rsidRPr="00EF79ED">
        <w:rPr>
          <w:rFonts w:ascii="Arial" w:hAnsi="Arial" w:cs="Arial"/>
          <w:color w:val="7B7B7B" w:themeColor="accent3" w:themeShade="BF"/>
          <w:sz w:val="22"/>
          <w:szCs w:val="22"/>
          <w:lang w:val="en-GB"/>
        </w:rPr>
        <w:t xml:space="preserve"> if </w:t>
      </w:r>
      <w:r>
        <w:rPr>
          <w:rFonts w:ascii="Arial" w:hAnsi="Arial" w:cs="Arial"/>
          <w:color w:val="7B7B7B" w:themeColor="accent3" w:themeShade="BF"/>
          <w:sz w:val="22"/>
          <w:szCs w:val="22"/>
          <w:lang w:val="en-GB"/>
        </w:rPr>
        <w:t>the latter</w:t>
      </w:r>
      <w:r w:rsidRPr="00EF79ED">
        <w:rPr>
          <w:rFonts w:ascii="Arial" w:hAnsi="Arial" w:cs="Arial"/>
          <w:color w:val="7B7B7B" w:themeColor="accent3" w:themeShade="BF"/>
          <w:sz w:val="22"/>
          <w:szCs w:val="22"/>
          <w:lang w:val="en-GB"/>
        </w:rPr>
        <w:t xml:space="preserve"> has an establishment in the jurisdiction of that </w:t>
      </w:r>
      <w:r>
        <w:rPr>
          <w:rFonts w:ascii="Arial" w:hAnsi="Arial" w:cs="Arial"/>
          <w:color w:val="7B7B7B" w:themeColor="accent3" w:themeShade="BF"/>
          <w:sz w:val="22"/>
          <w:szCs w:val="22"/>
          <w:lang w:val="en-GB"/>
        </w:rPr>
        <w:t>particular country</w:t>
      </w:r>
      <w:r w:rsidR="00E267F6">
        <w:rPr>
          <w:rFonts w:ascii="Arial" w:hAnsi="Arial" w:cs="Arial"/>
          <w:color w:val="7B7B7B" w:themeColor="accent3" w:themeShade="BF"/>
          <w:sz w:val="22"/>
          <w:szCs w:val="22"/>
          <w:lang w:val="en-GB"/>
        </w:rPr>
        <w:t xml:space="preserve">. </w:t>
      </w:r>
      <w:r w:rsidR="00E267F6" w:rsidRPr="00E267F6">
        <w:rPr>
          <w:rFonts w:ascii="Arial" w:hAnsi="Arial" w:cs="Arial"/>
          <w:color w:val="7B7B7B" w:themeColor="accent3" w:themeShade="BF"/>
          <w:sz w:val="22"/>
          <w:szCs w:val="22"/>
          <w:lang w:val="en-GB"/>
        </w:rPr>
        <w:t xml:space="preserve">The effects of those </w:t>
      </w:r>
      <w:r w:rsidR="00E267F6">
        <w:rPr>
          <w:rFonts w:ascii="Arial" w:hAnsi="Arial" w:cs="Arial"/>
          <w:color w:val="7B7B7B" w:themeColor="accent3" w:themeShade="BF"/>
          <w:sz w:val="22"/>
          <w:szCs w:val="22"/>
          <w:lang w:val="en-GB"/>
        </w:rPr>
        <w:t xml:space="preserve">secondary insolvency </w:t>
      </w:r>
      <w:r w:rsidR="00E267F6" w:rsidRPr="00E267F6">
        <w:rPr>
          <w:rFonts w:ascii="Arial" w:hAnsi="Arial" w:cs="Arial"/>
          <w:color w:val="7B7B7B" w:themeColor="accent3" w:themeShade="BF"/>
          <w:sz w:val="22"/>
          <w:szCs w:val="22"/>
          <w:lang w:val="en-GB"/>
        </w:rPr>
        <w:t>proceedings shall be restricted to the</w:t>
      </w:r>
      <w:r w:rsidR="00E267F6">
        <w:rPr>
          <w:rFonts w:ascii="Arial" w:hAnsi="Arial" w:cs="Arial"/>
          <w:color w:val="7B7B7B" w:themeColor="accent3" w:themeShade="BF"/>
          <w:sz w:val="22"/>
          <w:szCs w:val="22"/>
          <w:lang w:val="en-GB"/>
        </w:rPr>
        <w:t xml:space="preserve"> </w:t>
      </w:r>
      <w:r w:rsidR="00E267F6" w:rsidRPr="00E267F6">
        <w:rPr>
          <w:rFonts w:ascii="Arial" w:hAnsi="Arial" w:cs="Arial"/>
          <w:color w:val="7B7B7B" w:themeColor="accent3" w:themeShade="BF"/>
          <w:sz w:val="22"/>
          <w:szCs w:val="22"/>
          <w:lang w:val="en-GB"/>
        </w:rPr>
        <w:t xml:space="preserve">assets of </w:t>
      </w:r>
      <w:r w:rsidR="00E267F6">
        <w:rPr>
          <w:rFonts w:ascii="Arial" w:hAnsi="Arial" w:cs="Arial"/>
          <w:color w:val="7B7B7B" w:themeColor="accent3" w:themeShade="BF"/>
          <w:sz w:val="22"/>
          <w:szCs w:val="22"/>
          <w:lang w:val="en-GB"/>
        </w:rPr>
        <w:t>Rydell</w:t>
      </w:r>
      <w:r w:rsidR="00E267F6" w:rsidRPr="00E267F6">
        <w:rPr>
          <w:rFonts w:ascii="Arial" w:hAnsi="Arial" w:cs="Arial"/>
          <w:color w:val="7B7B7B" w:themeColor="accent3" w:themeShade="BF"/>
          <w:sz w:val="22"/>
          <w:szCs w:val="22"/>
          <w:lang w:val="en-GB"/>
        </w:rPr>
        <w:t xml:space="preserve"> situated in the territory of </w:t>
      </w:r>
      <w:r w:rsidR="00E267F6">
        <w:rPr>
          <w:rFonts w:ascii="Arial" w:hAnsi="Arial" w:cs="Arial"/>
          <w:color w:val="7B7B7B" w:themeColor="accent3" w:themeShade="BF"/>
          <w:sz w:val="22"/>
          <w:szCs w:val="22"/>
          <w:lang w:val="en-GB"/>
        </w:rPr>
        <w:t>that country</w:t>
      </w:r>
      <w:r w:rsidR="0012482F">
        <w:rPr>
          <w:rFonts w:ascii="Arial" w:hAnsi="Arial" w:cs="Arial"/>
          <w:color w:val="7B7B7B" w:themeColor="accent3" w:themeShade="BF"/>
          <w:sz w:val="22"/>
          <w:szCs w:val="22"/>
          <w:lang w:val="en-GB"/>
        </w:rPr>
        <w:t xml:space="preserve"> (see Article 3.2 of the EIR)</w:t>
      </w:r>
      <w:r>
        <w:rPr>
          <w:rFonts w:ascii="Arial" w:hAnsi="Arial" w:cs="Arial"/>
          <w:color w:val="7B7B7B" w:themeColor="accent3" w:themeShade="BF"/>
          <w:sz w:val="22"/>
          <w:szCs w:val="22"/>
          <w:lang w:val="en-GB"/>
        </w:rPr>
        <w:t>.</w:t>
      </w:r>
      <w:r w:rsidR="0012482F">
        <w:rPr>
          <w:rFonts w:ascii="Arial" w:hAnsi="Arial" w:cs="Arial"/>
          <w:color w:val="7B7B7B" w:themeColor="accent3" w:themeShade="BF"/>
          <w:sz w:val="22"/>
          <w:szCs w:val="22"/>
          <w:lang w:val="en-GB"/>
        </w:rPr>
        <w:t xml:space="preserve"> An establishment is defined as “</w:t>
      </w:r>
      <w:r w:rsidR="0012482F" w:rsidRPr="0012482F">
        <w:rPr>
          <w:rFonts w:ascii="Arial" w:hAnsi="Arial" w:cs="Arial"/>
          <w:i/>
          <w:iCs/>
          <w:color w:val="7B7B7B" w:themeColor="accent3" w:themeShade="BF"/>
          <w:sz w:val="22"/>
          <w:szCs w:val="22"/>
          <w:lang w:val="en-GB"/>
        </w:rPr>
        <w:t>any place of operations where a debtor carries out or has carried out in the 3-month period prior to the request to open main insolvency proceedings a non-transitory economic activity with human means and assets</w:t>
      </w:r>
      <w:r w:rsidR="0012482F">
        <w:rPr>
          <w:rFonts w:ascii="Arial" w:hAnsi="Arial" w:cs="Arial"/>
          <w:color w:val="7B7B7B" w:themeColor="accent3" w:themeShade="BF"/>
          <w:sz w:val="22"/>
          <w:szCs w:val="22"/>
          <w:lang w:val="en-GB"/>
        </w:rPr>
        <w:t>” (see Article 2(10) of the EIR).</w:t>
      </w:r>
      <w:r w:rsidR="00E267F6">
        <w:rPr>
          <w:rFonts w:ascii="Arial" w:hAnsi="Arial" w:cs="Arial"/>
          <w:color w:val="7B7B7B" w:themeColor="accent3" w:themeShade="BF"/>
          <w:sz w:val="22"/>
          <w:szCs w:val="22"/>
          <w:lang w:val="en-GB"/>
        </w:rPr>
        <w:t xml:space="preserve"> </w:t>
      </w:r>
      <w:r w:rsidR="006768EA">
        <w:rPr>
          <w:rFonts w:ascii="Arial" w:hAnsi="Arial" w:cs="Arial"/>
          <w:color w:val="7B7B7B" w:themeColor="accent3" w:themeShade="BF"/>
          <w:sz w:val="22"/>
          <w:szCs w:val="22"/>
          <w:lang w:val="en-GB"/>
        </w:rPr>
        <w:t>We</w:t>
      </w:r>
      <w:r w:rsidR="00A41716">
        <w:rPr>
          <w:rFonts w:ascii="Arial" w:hAnsi="Arial" w:cs="Arial"/>
          <w:color w:val="7B7B7B" w:themeColor="accent3" w:themeShade="BF"/>
          <w:sz w:val="22"/>
          <w:szCs w:val="22"/>
          <w:lang w:val="en-GB"/>
        </w:rPr>
        <w:t xml:space="preserve"> thus must require further information </w:t>
      </w:r>
      <w:r w:rsidR="006768EA">
        <w:rPr>
          <w:rFonts w:ascii="Arial" w:hAnsi="Arial" w:cs="Arial"/>
          <w:color w:val="7B7B7B" w:themeColor="accent3" w:themeShade="BF"/>
          <w:sz w:val="22"/>
          <w:szCs w:val="22"/>
          <w:lang w:val="en-GB"/>
        </w:rPr>
        <w:t>on the countries of Europe which are a member of the European Union in which Rydell at least still carried out such activity in the period between 18 March and 18 June 2020.</w:t>
      </w:r>
      <w:r w:rsidR="00E267F6">
        <w:rPr>
          <w:rFonts w:ascii="Arial" w:hAnsi="Arial" w:cs="Arial"/>
          <w:color w:val="7B7B7B" w:themeColor="accent3" w:themeShade="BF"/>
          <w:sz w:val="22"/>
          <w:szCs w:val="22"/>
          <w:lang w:val="en-GB"/>
        </w:rPr>
        <w:t xml:space="preserve"> If Rydell did not, the courts in those countries cannot commence secondary insolvency proceedings against Rydell. Furthermore, </w:t>
      </w:r>
      <w:r w:rsidR="00632C3D">
        <w:rPr>
          <w:rFonts w:ascii="Arial" w:hAnsi="Arial" w:cs="Arial"/>
          <w:color w:val="7B7B7B" w:themeColor="accent3" w:themeShade="BF"/>
          <w:sz w:val="22"/>
          <w:szCs w:val="22"/>
          <w:lang w:val="en-GB"/>
        </w:rPr>
        <w:t>the opening of such proceedings seems only appropriate if Rydell has in fact assets in that particular country.</w:t>
      </w:r>
      <w:r w:rsidR="00E267F6">
        <w:rPr>
          <w:rFonts w:ascii="Arial" w:hAnsi="Arial" w:cs="Arial"/>
          <w:color w:val="7B7B7B" w:themeColor="accent3" w:themeShade="BF"/>
          <w:sz w:val="22"/>
          <w:szCs w:val="22"/>
          <w:lang w:val="en-GB"/>
        </w:rPr>
        <w:t xml:space="preserve"> </w:t>
      </w: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1256E6FF" w14:textId="77D6B06F" w:rsidR="00015EE6" w:rsidRDefault="00993ADD"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Because of Brexit and due to the lack of regulations between the UK and the EU on cross-border insolvencies as part of the Brexit deal, the European Insolvency Regulation Recast ceased to apply to insolvencies where the proceedings are </w:t>
      </w:r>
      <w:r w:rsidR="007B17C5">
        <w:rPr>
          <w:rFonts w:ascii="Arial" w:hAnsi="Arial" w:cs="Arial"/>
          <w:color w:val="7B7B7B" w:themeColor="accent3" w:themeShade="BF"/>
          <w:sz w:val="22"/>
          <w:szCs w:val="22"/>
          <w:lang w:val="en-GB"/>
        </w:rPr>
        <w:t xml:space="preserve">opened after the transitional period (11pm on 31 December 2020). However, </w:t>
      </w:r>
      <w:r w:rsidR="00BB0D68">
        <w:rPr>
          <w:rFonts w:ascii="Arial" w:hAnsi="Arial" w:cs="Arial"/>
          <w:color w:val="7B7B7B" w:themeColor="accent3" w:themeShade="BF"/>
          <w:sz w:val="22"/>
          <w:szCs w:val="22"/>
          <w:lang w:val="en-GB"/>
        </w:rPr>
        <w:t xml:space="preserve">the European Insolvency Regulation Recast (and thus also </w:t>
      </w:r>
      <w:r w:rsidR="00BB0D68" w:rsidRPr="00BB0D68">
        <w:rPr>
          <w:rFonts w:ascii="Arial" w:hAnsi="Arial" w:cs="Arial"/>
          <w:color w:val="7B7B7B" w:themeColor="accent3" w:themeShade="BF"/>
          <w:sz w:val="22"/>
          <w:szCs w:val="22"/>
          <w:lang w:val="en-GB"/>
        </w:rPr>
        <w:t>the rules regarding the applicable law, jurisdiction and automatic recognition</w:t>
      </w:r>
      <w:r w:rsidR="00BB0D68">
        <w:rPr>
          <w:rFonts w:ascii="Arial" w:hAnsi="Arial" w:cs="Arial"/>
          <w:color w:val="7B7B7B" w:themeColor="accent3" w:themeShade="BF"/>
          <w:sz w:val="22"/>
          <w:szCs w:val="22"/>
          <w:lang w:val="en-GB"/>
        </w:rPr>
        <w:t>)</w:t>
      </w:r>
      <w:r w:rsidR="007B17C5">
        <w:rPr>
          <w:rFonts w:ascii="Arial" w:hAnsi="Arial" w:cs="Arial"/>
          <w:color w:val="7B7B7B" w:themeColor="accent3" w:themeShade="BF"/>
          <w:sz w:val="22"/>
          <w:szCs w:val="22"/>
          <w:lang w:val="en-GB"/>
        </w:rPr>
        <w:t xml:space="preserve"> continue</w:t>
      </w:r>
      <w:r w:rsidR="00757629">
        <w:rPr>
          <w:rFonts w:ascii="Arial" w:hAnsi="Arial" w:cs="Arial"/>
          <w:color w:val="7B7B7B" w:themeColor="accent3" w:themeShade="BF"/>
          <w:sz w:val="22"/>
          <w:szCs w:val="22"/>
          <w:lang w:val="en-GB"/>
        </w:rPr>
        <w:t>s</w:t>
      </w:r>
      <w:r w:rsidR="007B17C5">
        <w:rPr>
          <w:rFonts w:ascii="Arial" w:hAnsi="Arial" w:cs="Arial"/>
          <w:color w:val="7B7B7B" w:themeColor="accent3" w:themeShade="BF"/>
          <w:sz w:val="22"/>
          <w:szCs w:val="22"/>
          <w:lang w:val="en-GB"/>
        </w:rPr>
        <w:t xml:space="preserve"> to apply to insolvencies where the main proceedings are opened before this transitional period.</w:t>
      </w:r>
    </w:p>
    <w:p w14:paraId="459DE61F" w14:textId="559211D2" w:rsidR="007B17C5" w:rsidRDefault="007B17C5" w:rsidP="00C45A03">
      <w:pPr>
        <w:jc w:val="both"/>
        <w:rPr>
          <w:rFonts w:ascii="Arial" w:hAnsi="Arial" w:cs="Arial"/>
          <w:color w:val="7B7B7B" w:themeColor="accent3" w:themeShade="BF"/>
          <w:sz w:val="22"/>
          <w:szCs w:val="22"/>
          <w:lang w:val="en-GB"/>
        </w:rPr>
      </w:pPr>
    </w:p>
    <w:p w14:paraId="5FC287F8" w14:textId="1E2C05C0" w:rsidR="007B17C5" w:rsidRDefault="007B17C5"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proceedings were opened in the UK on 18 June 2021, the </w:t>
      </w:r>
      <w:r w:rsidR="00632C3D">
        <w:rPr>
          <w:rFonts w:ascii="Arial" w:hAnsi="Arial" w:cs="Arial"/>
          <w:color w:val="7B7B7B" w:themeColor="accent3" w:themeShade="BF"/>
          <w:sz w:val="22"/>
          <w:szCs w:val="22"/>
          <w:lang w:val="en-GB"/>
        </w:rPr>
        <w:t>EIR</w:t>
      </w:r>
      <w:r>
        <w:rPr>
          <w:rFonts w:ascii="Arial" w:hAnsi="Arial" w:cs="Arial"/>
          <w:color w:val="7B7B7B" w:themeColor="accent3" w:themeShade="BF"/>
          <w:sz w:val="22"/>
          <w:szCs w:val="22"/>
          <w:lang w:val="en-GB"/>
        </w:rPr>
        <w:t xml:space="preserve"> would thus not apply.</w:t>
      </w:r>
    </w:p>
    <w:p w14:paraId="19E54F79" w14:textId="0D269BB1" w:rsidR="00AB1D26" w:rsidRDefault="00AB1D26" w:rsidP="00C45A03">
      <w:pPr>
        <w:jc w:val="both"/>
        <w:rPr>
          <w:rFonts w:ascii="Arial" w:hAnsi="Arial" w:cs="Arial"/>
          <w:color w:val="7B7B7B" w:themeColor="accent3" w:themeShade="BF"/>
          <w:sz w:val="22"/>
          <w:szCs w:val="22"/>
          <w:lang w:val="en-GB"/>
        </w:rPr>
      </w:pPr>
    </w:p>
    <w:p w14:paraId="1D2F9AC3" w14:textId="41698414" w:rsidR="00AB1D26" w:rsidRPr="00205B31" w:rsidRDefault="00AB1D26" w:rsidP="00C45A03">
      <w:pPr>
        <w:jc w:val="both"/>
        <w:rPr>
          <w:rFonts w:ascii="Arial" w:hAnsi="Arial" w:cs="Arial"/>
          <w:sz w:val="22"/>
          <w:szCs w:val="22"/>
          <w:lang w:val="en-GB"/>
        </w:rPr>
      </w:pPr>
      <w:r>
        <w:rPr>
          <w:rFonts w:ascii="Arial" w:hAnsi="Arial" w:cs="Arial"/>
          <w:color w:val="7B7B7B" w:themeColor="accent3" w:themeShade="BF"/>
          <w:sz w:val="22"/>
          <w:szCs w:val="22"/>
          <w:lang w:val="en-GB"/>
        </w:rPr>
        <w:t xml:space="preserve">Nonetheless, the UK courts would in principle still have jurisdiction to open proceedings where Rydell’s COMI is in the UK or Rydell has an establishment in the UK, but </w:t>
      </w:r>
      <w:r w:rsidRPr="00AB1D26">
        <w:rPr>
          <w:rFonts w:ascii="Arial" w:hAnsi="Arial" w:cs="Arial"/>
          <w:color w:val="7B7B7B" w:themeColor="accent3" w:themeShade="BF"/>
          <w:sz w:val="22"/>
          <w:szCs w:val="22"/>
          <w:lang w:val="en-GB"/>
        </w:rPr>
        <w:t>these proceedings (or any other proceedings for UK companies) will no</w:t>
      </w:r>
      <w:r>
        <w:rPr>
          <w:rFonts w:ascii="Arial" w:hAnsi="Arial" w:cs="Arial"/>
          <w:color w:val="7B7B7B" w:themeColor="accent3" w:themeShade="BF"/>
          <w:sz w:val="22"/>
          <w:szCs w:val="22"/>
          <w:lang w:val="en-GB"/>
        </w:rPr>
        <w:t xml:space="preserve"> longer</w:t>
      </w:r>
      <w:r w:rsidRPr="00AB1D26">
        <w:rPr>
          <w:rFonts w:ascii="Arial" w:hAnsi="Arial" w:cs="Arial"/>
          <w:color w:val="7B7B7B" w:themeColor="accent3" w:themeShade="BF"/>
          <w:sz w:val="22"/>
          <w:szCs w:val="22"/>
          <w:lang w:val="en-GB"/>
        </w:rPr>
        <w:t xml:space="preserve"> benefit from automatic recognition in </w:t>
      </w:r>
      <w:r>
        <w:rPr>
          <w:rFonts w:ascii="Arial" w:hAnsi="Arial" w:cs="Arial"/>
          <w:color w:val="7B7B7B" w:themeColor="accent3" w:themeShade="BF"/>
          <w:sz w:val="22"/>
          <w:szCs w:val="22"/>
          <w:lang w:val="en-GB"/>
        </w:rPr>
        <w:t>the countries in Europe which are a member of the European Union.</w:t>
      </w: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085A0145" w14:textId="387C4E1E" w:rsidR="003D2732" w:rsidRDefault="003D2732"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mentioned above, the EIR would not apply.</w:t>
      </w:r>
    </w:p>
    <w:p w14:paraId="13CD93C4" w14:textId="50AA88E3" w:rsidR="00041203" w:rsidRDefault="00041203"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39525FA1" w14:textId="1526A817" w:rsidR="00041203" w:rsidRDefault="00041203"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seems that UK courts also have jurisdiction to wind up a “overseas company”, that is one which was</w:t>
      </w:r>
      <w:r w:rsidRPr="00041203">
        <w:rPr>
          <w:rFonts w:ascii="Arial" w:hAnsi="Arial" w:cs="Arial"/>
          <w:color w:val="7B7B7B" w:themeColor="accent3" w:themeShade="BF"/>
          <w:sz w:val="22"/>
          <w:szCs w:val="22"/>
          <w:lang w:val="en-GB"/>
        </w:rPr>
        <w:t xml:space="preserve"> incorporated outside the United Kingdom</w:t>
      </w:r>
      <w:r>
        <w:rPr>
          <w:rFonts w:ascii="Arial" w:hAnsi="Arial" w:cs="Arial"/>
          <w:color w:val="7B7B7B" w:themeColor="accent3" w:themeShade="BF"/>
          <w:sz w:val="22"/>
          <w:szCs w:val="22"/>
          <w:lang w:val="en-GB"/>
        </w:rPr>
        <w:t xml:space="preserve"> (see Section 1044 of the Companies Act 2006).</w:t>
      </w:r>
    </w:p>
    <w:p w14:paraId="1EF98A72" w14:textId="77777777" w:rsidR="003D2732" w:rsidRDefault="003D2732"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3CAE42BE" w14:textId="7A06571C" w:rsidR="00015EE6" w:rsidRDefault="00041203"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Furthermore, according to Section 221(5)</w:t>
      </w:r>
      <w:r w:rsidR="0065010F">
        <w:rPr>
          <w:rFonts w:ascii="Arial" w:hAnsi="Arial" w:cs="Arial"/>
          <w:color w:val="7B7B7B" w:themeColor="accent3" w:themeShade="BF"/>
          <w:sz w:val="22"/>
          <w:szCs w:val="22"/>
          <w:lang w:val="en-GB"/>
        </w:rPr>
        <w:t xml:space="preserve"> of the Insolvency Act 1986</w:t>
      </w:r>
      <w:r>
        <w:rPr>
          <w:rFonts w:ascii="Arial" w:hAnsi="Arial" w:cs="Arial"/>
          <w:color w:val="7B7B7B" w:themeColor="accent3" w:themeShade="BF"/>
          <w:sz w:val="22"/>
          <w:szCs w:val="22"/>
          <w:lang w:val="en-GB"/>
        </w:rPr>
        <w:t xml:space="preserve"> an unregistered company may also be wound up in the following circumstances: </w:t>
      </w:r>
      <w:r w:rsidRPr="00041203">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 </w:t>
      </w:r>
      <w:r w:rsidRPr="00041203">
        <w:rPr>
          <w:rFonts w:ascii="Arial" w:hAnsi="Arial" w:cs="Arial"/>
          <w:color w:val="7B7B7B" w:themeColor="accent3" w:themeShade="BF"/>
          <w:sz w:val="22"/>
          <w:szCs w:val="22"/>
          <w:lang w:val="en-GB"/>
        </w:rPr>
        <w:t>if the company is dissolved, or has ceased to carry on business, or is carrying on business only for the purpose of winding up its affairs;</w:t>
      </w:r>
      <w:r w:rsidR="0065010F">
        <w:rPr>
          <w:rFonts w:ascii="Arial" w:hAnsi="Arial" w:cs="Arial"/>
          <w:color w:val="7B7B7B" w:themeColor="accent3" w:themeShade="BF"/>
          <w:sz w:val="22"/>
          <w:szCs w:val="22"/>
          <w:lang w:val="en-GB"/>
        </w:rPr>
        <w:t xml:space="preserve"> </w:t>
      </w:r>
      <w:r w:rsidRPr="00041203">
        <w:rPr>
          <w:rFonts w:ascii="Arial" w:hAnsi="Arial" w:cs="Arial"/>
          <w:color w:val="7B7B7B" w:themeColor="accent3" w:themeShade="BF"/>
          <w:sz w:val="22"/>
          <w:szCs w:val="22"/>
          <w:lang w:val="en-GB"/>
        </w:rPr>
        <w:t>(b)</w:t>
      </w:r>
      <w:r w:rsidR="0065010F">
        <w:rPr>
          <w:rFonts w:ascii="Arial" w:hAnsi="Arial" w:cs="Arial"/>
          <w:color w:val="7B7B7B" w:themeColor="accent3" w:themeShade="BF"/>
          <w:sz w:val="22"/>
          <w:szCs w:val="22"/>
          <w:lang w:val="en-GB"/>
        </w:rPr>
        <w:t xml:space="preserve"> </w:t>
      </w:r>
      <w:r w:rsidRPr="00041203">
        <w:rPr>
          <w:rFonts w:ascii="Arial" w:hAnsi="Arial" w:cs="Arial"/>
          <w:color w:val="7B7B7B" w:themeColor="accent3" w:themeShade="BF"/>
          <w:sz w:val="22"/>
          <w:szCs w:val="22"/>
          <w:lang w:val="en-GB"/>
        </w:rPr>
        <w:t>if the company is unable to pay its debts;</w:t>
      </w:r>
      <w:r w:rsidR="0065010F">
        <w:rPr>
          <w:rFonts w:ascii="Arial" w:hAnsi="Arial" w:cs="Arial"/>
          <w:color w:val="7B7B7B" w:themeColor="accent3" w:themeShade="BF"/>
          <w:sz w:val="22"/>
          <w:szCs w:val="22"/>
          <w:lang w:val="en-GB"/>
        </w:rPr>
        <w:t xml:space="preserve"> </w:t>
      </w:r>
      <w:r w:rsidRPr="00041203">
        <w:rPr>
          <w:rFonts w:ascii="Arial" w:hAnsi="Arial" w:cs="Arial"/>
          <w:color w:val="7B7B7B" w:themeColor="accent3" w:themeShade="BF"/>
          <w:sz w:val="22"/>
          <w:szCs w:val="22"/>
          <w:lang w:val="en-GB"/>
        </w:rPr>
        <w:t>(c)</w:t>
      </w:r>
      <w:r w:rsidR="0065010F">
        <w:rPr>
          <w:rFonts w:ascii="Arial" w:hAnsi="Arial" w:cs="Arial"/>
          <w:color w:val="7B7B7B" w:themeColor="accent3" w:themeShade="BF"/>
          <w:sz w:val="22"/>
          <w:szCs w:val="22"/>
          <w:lang w:val="en-GB"/>
        </w:rPr>
        <w:t xml:space="preserve"> </w:t>
      </w:r>
      <w:r w:rsidRPr="00041203">
        <w:rPr>
          <w:rFonts w:ascii="Arial" w:hAnsi="Arial" w:cs="Arial"/>
          <w:color w:val="7B7B7B" w:themeColor="accent3" w:themeShade="BF"/>
          <w:sz w:val="22"/>
          <w:szCs w:val="22"/>
          <w:lang w:val="en-GB"/>
        </w:rPr>
        <w:t>if the court is of opinion that it is just and equitable that the company should be wound up</w:t>
      </w:r>
      <w:r w:rsidR="0065010F">
        <w:rPr>
          <w:rFonts w:ascii="Arial" w:hAnsi="Arial" w:cs="Arial"/>
          <w:color w:val="7B7B7B" w:themeColor="accent3" w:themeShade="BF"/>
          <w:sz w:val="22"/>
          <w:szCs w:val="22"/>
          <w:lang w:val="en-GB"/>
        </w:rPr>
        <w:t xml:space="preserve">. </w:t>
      </w:r>
      <w:r w:rsidR="00ED71DE">
        <w:rPr>
          <w:rFonts w:ascii="Arial" w:hAnsi="Arial" w:cs="Arial"/>
          <w:color w:val="7B7B7B" w:themeColor="accent3" w:themeShade="BF"/>
          <w:sz w:val="22"/>
          <w:szCs w:val="22"/>
          <w:lang w:val="en-GB"/>
        </w:rPr>
        <w:t xml:space="preserve">Article 220 of the Insolvency Act 1986 defines an “unregistered company” as </w:t>
      </w:r>
      <w:r w:rsidR="00ED71DE" w:rsidRPr="00ED71DE">
        <w:rPr>
          <w:rFonts w:ascii="Arial" w:hAnsi="Arial" w:cs="Arial"/>
          <w:color w:val="7B7B7B" w:themeColor="accent3" w:themeShade="BF"/>
          <w:sz w:val="22"/>
          <w:szCs w:val="22"/>
          <w:lang w:val="en-GB"/>
        </w:rPr>
        <w:t>any association and any company, with the exception of a company registered under the Companies Act 2006 in any part of the United Kingdom</w:t>
      </w:r>
      <w:r w:rsidR="00ED71DE">
        <w:rPr>
          <w:rFonts w:ascii="Arial" w:hAnsi="Arial" w:cs="Arial"/>
          <w:color w:val="7B7B7B" w:themeColor="accent3" w:themeShade="BF"/>
          <w:sz w:val="22"/>
          <w:szCs w:val="22"/>
          <w:lang w:val="en-GB"/>
        </w:rPr>
        <w:t>.</w:t>
      </w:r>
    </w:p>
    <w:p w14:paraId="6048B386" w14:textId="601BFA50" w:rsidR="0065010F" w:rsidRDefault="0065010F"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2C5EB8B7" w14:textId="082EC66E" w:rsidR="0065010F" w:rsidRDefault="0065010F"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it seems that English case law requires some kind of (sufficient) connection </w:t>
      </w:r>
      <w:r w:rsidR="003A1BC0">
        <w:rPr>
          <w:rFonts w:ascii="Arial" w:hAnsi="Arial" w:cs="Arial"/>
          <w:color w:val="7B7B7B" w:themeColor="accent3" w:themeShade="BF"/>
          <w:sz w:val="22"/>
          <w:szCs w:val="22"/>
          <w:lang w:val="en-GB"/>
        </w:rPr>
        <w:t>with England and Wales (either directly or indirectly).</w:t>
      </w:r>
    </w:p>
    <w:p w14:paraId="057F1845" w14:textId="77D2CC48" w:rsidR="003A1BC0" w:rsidRDefault="003A1BC0"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6CF3CF5A" w14:textId="1C0B8AB4" w:rsidR="003A1BC0" w:rsidRDefault="003A1BC0"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should also be noted that domestic laws of choice of laws might apply in an English winding up </w:t>
      </w:r>
      <w:r w:rsidR="001F7B22">
        <w:rPr>
          <w:rFonts w:ascii="Arial" w:hAnsi="Arial" w:cs="Arial"/>
          <w:color w:val="7B7B7B" w:themeColor="accent3" w:themeShade="BF"/>
          <w:sz w:val="22"/>
          <w:szCs w:val="22"/>
          <w:lang w:val="en-GB"/>
        </w:rPr>
        <w:t>under the Insolvency Act of 1986 of a company where there is an international dimension.</w:t>
      </w:r>
    </w:p>
    <w:p w14:paraId="74C88BAB" w14:textId="4CA31EE0" w:rsidR="00ED71DE" w:rsidRDefault="00ED71DE"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5A94A" w14:textId="77777777" w:rsidR="00114A7C" w:rsidRDefault="00114A7C" w:rsidP="00241B44">
      <w:r>
        <w:separator/>
      </w:r>
    </w:p>
  </w:endnote>
  <w:endnote w:type="continuationSeparator" w:id="0">
    <w:p w14:paraId="602BB68A" w14:textId="77777777" w:rsidR="00114A7C" w:rsidRDefault="00114A7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Fonts w:ascii="Arial" w:hAnsi="Arial" w:cs="Arial"/>
        <w:bCs/>
        <w:sz w:val="18"/>
        <w:szCs w:val="18"/>
      </w:rPr>
      <w:id w:val="-758512077"/>
      <w:docPartObj>
        <w:docPartGallery w:val="Page Numbers (Bottom of Page)"/>
        <w:docPartUnique/>
      </w:docPartObj>
    </w:sdtPr>
    <w:sdtEndPr>
      <w:rPr>
        <w:rStyle w:val="Paginanummer"/>
      </w:rPr>
    </w:sdtEndPr>
    <w:sdtContent>
      <w:p w14:paraId="0AAD6B61" w14:textId="77777777" w:rsidR="006E1CB0" w:rsidRPr="00A31881" w:rsidRDefault="006E1CB0" w:rsidP="0052732A">
        <w:pPr>
          <w:pStyle w:val="Voettekst"/>
          <w:framePr w:wrap="none" w:vAnchor="text" w:hAnchor="margin" w:xAlign="right" w:y="1"/>
          <w:rPr>
            <w:rStyle w:val="Paginanummer"/>
            <w:rFonts w:ascii="Arial" w:hAnsi="Arial" w:cs="Arial"/>
            <w:bCs/>
            <w:sz w:val="18"/>
            <w:szCs w:val="18"/>
          </w:rPr>
        </w:pPr>
        <w:r w:rsidRPr="00A31881">
          <w:rPr>
            <w:rStyle w:val="Paginanummer"/>
            <w:rFonts w:ascii="Arial" w:hAnsi="Arial" w:cs="Arial"/>
            <w:bCs/>
            <w:sz w:val="18"/>
            <w:szCs w:val="18"/>
          </w:rPr>
          <w:t xml:space="preserve">Page </w:t>
        </w:r>
        <w:r w:rsidRPr="00A31881">
          <w:rPr>
            <w:rStyle w:val="Paginanummer"/>
            <w:rFonts w:ascii="Arial" w:hAnsi="Arial" w:cs="Arial"/>
            <w:bCs/>
            <w:sz w:val="18"/>
            <w:szCs w:val="18"/>
          </w:rPr>
          <w:fldChar w:fldCharType="begin"/>
        </w:r>
        <w:r w:rsidRPr="00A31881">
          <w:rPr>
            <w:rStyle w:val="Paginanummer"/>
            <w:rFonts w:ascii="Arial" w:hAnsi="Arial" w:cs="Arial"/>
            <w:bCs/>
            <w:sz w:val="18"/>
            <w:szCs w:val="18"/>
          </w:rPr>
          <w:instrText xml:space="preserve"> PAGE </w:instrText>
        </w:r>
        <w:r w:rsidRPr="00A31881">
          <w:rPr>
            <w:rStyle w:val="Paginanummer"/>
            <w:rFonts w:ascii="Arial" w:hAnsi="Arial" w:cs="Arial"/>
            <w:bCs/>
            <w:sz w:val="18"/>
            <w:szCs w:val="18"/>
          </w:rPr>
          <w:fldChar w:fldCharType="separate"/>
        </w:r>
        <w:r w:rsidRPr="00A31881">
          <w:rPr>
            <w:rStyle w:val="Paginanummer"/>
            <w:rFonts w:ascii="Arial" w:hAnsi="Arial" w:cs="Arial"/>
            <w:bCs/>
            <w:noProof/>
            <w:sz w:val="18"/>
            <w:szCs w:val="18"/>
          </w:rPr>
          <w:t>10</w:t>
        </w:r>
        <w:r w:rsidRPr="00A31881">
          <w:rPr>
            <w:rStyle w:val="Paginanummer"/>
            <w:rFonts w:ascii="Arial" w:hAnsi="Arial" w:cs="Arial"/>
            <w:bCs/>
            <w:sz w:val="18"/>
            <w:szCs w:val="18"/>
          </w:rPr>
          <w:fldChar w:fldCharType="end"/>
        </w:r>
      </w:p>
    </w:sdtContent>
  </w:sdt>
  <w:p w14:paraId="39FD1B0B" w14:textId="131F514A" w:rsidR="006E1CB0" w:rsidRPr="00A31881" w:rsidRDefault="006E1CB0" w:rsidP="00FC7B47">
    <w:pPr>
      <w:pStyle w:val="Voettekst"/>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Fonts w:ascii="Arial" w:hAnsi="Arial" w:cs="Arial"/>
        <w:b/>
        <w:bCs/>
        <w:sz w:val="18"/>
        <w:szCs w:val="18"/>
      </w:rPr>
      <w:id w:val="-2016673495"/>
      <w:docPartObj>
        <w:docPartGallery w:val="Page Numbers (Bottom of Page)"/>
        <w:docPartUnique/>
      </w:docPartObj>
    </w:sdtPr>
    <w:sdtEndPr>
      <w:rPr>
        <w:rStyle w:val="Paginanummer"/>
        <w:b w:val="0"/>
        <w:bCs w:val="0"/>
      </w:rPr>
    </w:sdtEndPr>
    <w:sdtContent>
      <w:p w14:paraId="532C33C7" w14:textId="3184068D" w:rsidR="006E1CB0" w:rsidRPr="0052732A" w:rsidRDefault="006E1CB0" w:rsidP="006E1CB0">
        <w:pPr>
          <w:pStyle w:val="Voettekst"/>
          <w:framePr w:wrap="none" w:vAnchor="text" w:hAnchor="margin" w:xAlign="right" w:y="1"/>
          <w:rPr>
            <w:rStyle w:val="Paginanummer"/>
            <w:rFonts w:ascii="Arial" w:hAnsi="Arial" w:cs="Arial"/>
            <w:sz w:val="18"/>
            <w:szCs w:val="18"/>
          </w:rPr>
        </w:pPr>
        <w:r w:rsidRPr="00C50F86">
          <w:rPr>
            <w:rStyle w:val="Paginanummer"/>
            <w:rFonts w:ascii="Arial" w:hAnsi="Arial" w:cs="Arial"/>
            <w:b/>
            <w:bCs/>
            <w:sz w:val="18"/>
            <w:szCs w:val="18"/>
          </w:rPr>
          <w:t xml:space="preserve">Page </w:t>
        </w:r>
        <w:r w:rsidRPr="00C50F86">
          <w:rPr>
            <w:rStyle w:val="Paginanummer"/>
            <w:rFonts w:ascii="Arial" w:hAnsi="Arial" w:cs="Arial"/>
            <w:b/>
            <w:bCs/>
            <w:sz w:val="18"/>
            <w:szCs w:val="18"/>
          </w:rPr>
          <w:fldChar w:fldCharType="begin"/>
        </w:r>
        <w:r w:rsidRPr="00C50F86">
          <w:rPr>
            <w:rStyle w:val="Paginanummer"/>
            <w:rFonts w:ascii="Arial" w:hAnsi="Arial" w:cs="Arial"/>
            <w:b/>
            <w:bCs/>
            <w:sz w:val="18"/>
            <w:szCs w:val="18"/>
          </w:rPr>
          <w:instrText xml:space="preserve"> PAGE </w:instrText>
        </w:r>
        <w:r w:rsidRPr="00C50F86">
          <w:rPr>
            <w:rStyle w:val="Paginanummer"/>
            <w:rFonts w:ascii="Arial" w:hAnsi="Arial" w:cs="Arial"/>
            <w:b/>
            <w:bCs/>
            <w:sz w:val="18"/>
            <w:szCs w:val="18"/>
          </w:rPr>
          <w:fldChar w:fldCharType="separate"/>
        </w:r>
        <w:r w:rsidR="001D7EF2">
          <w:rPr>
            <w:rStyle w:val="Paginanummer"/>
            <w:rFonts w:ascii="Arial" w:hAnsi="Arial" w:cs="Arial"/>
            <w:b/>
            <w:bCs/>
            <w:noProof/>
            <w:sz w:val="18"/>
            <w:szCs w:val="18"/>
          </w:rPr>
          <w:t>10</w:t>
        </w:r>
        <w:r w:rsidRPr="00C50F86">
          <w:rPr>
            <w:rStyle w:val="Paginanummer"/>
            <w:rFonts w:ascii="Arial" w:hAnsi="Arial" w:cs="Arial"/>
            <w:b/>
            <w:bCs/>
            <w:sz w:val="18"/>
            <w:szCs w:val="18"/>
          </w:rPr>
          <w:fldChar w:fldCharType="end"/>
        </w:r>
      </w:p>
    </w:sdtContent>
  </w:sdt>
  <w:p w14:paraId="12ABA5E1" w14:textId="6D582879" w:rsidR="006E1CB0" w:rsidRPr="0052732A" w:rsidRDefault="00CD25CF" w:rsidP="0052732A">
    <w:pPr>
      <w:pStyle w:val="Voettekst"/>
      <w:ind w:right="360"/>
      <w:rPr>
        <w:rFonts w:ascii="Arial" w:hAnsi="Arial" w:cs="Arial"/>
        <w:sz w:val="18"/>
        <w:szCs w:val="18"/>
      </w:rPr>
    </w:pPr>
    <w:r w:rsidRPr="00CD25CF">
      <w:rPr>
        <w:rFonts w:ascii="Arial" w:hAnsi="Arial" w:cs="Arial"/>
        <w:sz w:val="18"/>
        <w:szCs w:val="18"/>
      </w:rPr>
      <w:t>202021IFU-370</w:t>
    </w:r>
    <w:r w:rsidR="006E1CB0" w:rsidRPr="0052732A">
      <w:rPr>
        <w:rFonts w:ascii="Arial" w:hAnsi="Arial" w:cs="Arial"/>
        <w:sz w:val="18"/>
        <w:szCs w:val="18"/>
      </w:rPr>
      <w:t>.assessment1summative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8501" w14:textId="77777777" w:rsidR="00CD25CF" w:rsidRDefault="00CD25C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26267" w14:textId="77777777" w:rsidR="00114A7C" w:rsidRDefault="00114A7C" w:rsidP="00241B44">
      <w:r>
        <w:separator/>
      </w:r>
    </w:p>
  </w:footnote>
  <w:footnote w:type="continuationSeparator" w:id="0">
    <w:p w14:paraId="0F3CF9E6" w14:textId="77777777" w:rsidR="00114A7C" w:rsidRDefault="00114A7C"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1A53" w14:textId="77777777" w:rsidR="00CD25CF" w:rsidRDefault="00CD25C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D611" w14:textId="77777777" w:rsidR="00CD25CF" w:rsidRDefault="00CD25C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76D5D" w14:textId="77777777" w:rsidR="00CD25CF" w:rsidRDefault="00CD25C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2"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7"/>
  </w:num>
  <w:num w:numId="2">
    <w:abstractNumId w:val="8"/>
  </w:num>
  <w:num w:numId="3">
    <w:abstractNumId w:val="15"/>
  </w:num>
  <w:num w:numId="4">
    <w:abstractNumId w:val="4"/>
  </w:num>
  <w:num w:numId="5">
    <w:abstractNumId w:val="2"/>
  </w:num>
  <w:num w:numId="6">
    <w:abstractNumId w:val="13"/>
  </w:num>
  <w:num w:numId="7">
    <w:abstractNumId w:val="3"/>
  </w:num>
  <w:num w:numId="8">
    <w:abstractNumId w:val="1"/>
  </w:num>
  <w:num w:numId="9">
    <w:abstractNumId w:val="0"/>
  </w:num>
  <w:num w:numId="10">
    <w:abstractNumId w:val="5"/>
  </w:num>
  <w:num w:numId="11">
    <w:abstractNumId w:val="10"/>
  </w:num>
  <w:num w:numId="12">
    <w:abstractNumId w:val="14"/>
  </w:num>
  <w:num w:numId="13">
    <w:abstractNumId w:val="11"/>
  </w:num>
  <w:num w:numId="14">
    <w:abstractNumId w:val="6"/>
  </w:num>
  <w:num w:numId="15">
    <w:abstractNumId w:val="9"/>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31918"/>
    <w:rsid w:val="000329A6"/>
    <w:rsid w:val="00034C0C"/>
    <w:rsid w:val="00037621"/>
    <w:rsid w:val="00041203"/>
    <w:rsid w:val="000419D4"/>
    <w:rsid w:val="00043365"/>
    <w:rsid w:val="000436F0"/>
    <w:rsid w:val="00043960"/>
    <w:rsid w:val="00044D46"/>
    <w:rsid w:val="00044E8B"/>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C5D43"/>
    <w:rsid w:val="000D2F9D"/>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4A7C"/>
    <w:rsid w:val="00115C85"/>
    <w:rsid w:val="0012303D"/>
    <w:rsid w:val="00123855"/>
    <w:rsid w:val="0012482F"/>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75AE1"/>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3B8F"/>
    <w:rsid w:val="001B5016"/>
    <w:rsid w:val="001B5412"/>
    <w:rsid w:val="001B6CEE"/>
    <w:rsid w:val="001C0DFA"/>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B22"/>
    <w:rsid w:val="001F7C77"/>
    <w:rsid w:val="00202C2B"/>
    <w:rsid w:val="00205B31"/>
    <w:rsid w:val="0020725B"/>
    <w:rsid w:val="00212B14"/>
    <w:rsid w:val="00214F51"/>
    <w:rsid w:val="00216499"/>
    <w:rsid w:val="002164C0"/>
    <w:rsid w:val="00216CB4"/>
    <w:rsid w:val="002173C5"/>
    <w:rsid w:val="00222F86"/>
    <w:rsid w:val="00223780"/>
    <w:rsid w:val="0022719C"/>
    <w:rsid w:val="002351FE"/>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2CC1"/>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2196"/>
    <w:rsid w:val="00303C2F"/>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10F3"/>
    <w:rsid w:val="00341A65"/>
    <w:rsid w:val="00341AA6"/>
    <w:rsid w:val="00342E57"/>
    <w:rsid w:val="003522CA"/>
    <w:rsid w:val="00355B57"/>
    <w:rsid w:val="00361A0A"/>
    <w:rsid w:val="00361DF9"/>
    <w:rsid w:val="003626F1"/>
    <w:rsid w:val="0036565C"/>
    <w:rsid w:val="003656A0"/>
    <w:rsid w:val="0036625E"/>
    <w:rsid w:val="00367162"/>
    <w:rsid w:val="00372CD4"/>
    <w:rsid w:val="0037465A"/>
    <w:rsid w:val="00381C34"/>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1BC0"/>
    <w:rsid w:val="003A2448"/>
    <w:rsid w:val="003A3128"/>
    <w:rsid w:val="003A60FF"/>
    <w:rsid w:val="003A696A"/>
    <w:rsid w:val="003B170F"/>
    <w:rsid w:val="003B3C5F"/>
    <w:rsid w:val="003C1451"/>
    <w:rsid w:val="003C2017"/>
    <w:rsid w:val="003C4471"/>
    <w:rsid w:val="003D0A6D"/>
    <w:rsid w:val="003D100A"/>
    <w:rsid w:val="003D2732"/>
    <w:rsid w:val="003D3045"/>
    <w:rsid w:val="003D4300"/>
    <w:rsid w:val="003D6AC4"/>
    <w:rsid w:val="003E064D"/>
    <w:rsid w:val="003E0B16"/>
    <w:rsid w:val="003E2D1B"/>
    <w:rsid w:val="003E67D1"/>
    <w:rsid w:val="003E788D"/>
    <w:rsid w:val="003F655E"/>
    <w:rsid w:val="003F74D9"/>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5862"/>
    <w:rsid w:val="00497558"/>
    <w:rsid w:val="00497769"/>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E4224"/>
    <w:rsid w:val="004E5A14"/>
    <w:rsid w:val="004E622C"/>
    <w:rsid w:val="004E64DB"/>
    <w:rsid w:val="004F0791"/>
    <w:rsid w:val="004F1534"/>
    <w:rsid w:val="004F2DD1"/>
    <w:rsid w:val="004F3375"/>
    <w:rsid w:val="004F55F1"/>
    <w:rsid w:val="004F5FDF"/>
    <w:rsid w:val="00501197"/>
    <w:rsid w:val="0050156C"/>
    <w:rsid w:val="005059A4"/>
    <w:rsid w:val="0051380D"/>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561F"/>
    <w:rsid w:val="0053721E"/>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27A2"/>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0E4B"/>
    <w:rsid w:val="005A2152"/>
    <w:rsid w:val="005A2194"/>
    <w:rsid w:val="005A2628"/>
    <w:rsid w:val="005A383D"/>
    <w:rsid w:val="005A5ACB"/>
    <w:rsid w:val="005A726D"/>
    <w:rsid w:val="005B2AA0"/>
    <w:rsid w:val="005B33A0"/>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0410"/>
    <w:rsid w:val="0060397D"/>
    <w:rsid w:val="00610388"/>
    <w:rsid w:val="00612092"/>
    <w:rsid w:val="00612CA5"/>
    <w:rsid w:val="006153EC"/>
    <w:rsid w:val="00621A17"/>
    <w:rsid w:val="00627CC9"/>
    <w:rsid w:val="00627E7B"/>
    <w:rsid w:val="00630542"/>
    <w:rsid w:val="00630727"/>
    <w:rsid w:val="00631E7B"/>
    <w:rsid w:val="00632C3D"/>
    <w:rsid w:val="00632E44"/>
    <w:rsid w:val="0063316D"/>
    <w:rsid w:val="00633DC9"/>
    <w:rsid w:val="00634622"/>
    <w:rsid w:val="00634662"/>
    <w:rsid w:val="00636808"/>
    <w:rsid w:val="0064043F"/>
    <w:rsid w:val="00641515"/>
    <w:rsid w:val="00643ABE"/>
    <w:rsid w:val="00644650"/>
    <w:rsid w:val="00644B67"/>
    <w:rsid w:val="0065010F"/>
    <w:rsid w:val="006521CD"/>
    <w:rsid w:val="00652A22"/>
    <w:rsid w:val="00653584"/>
    <w:rsid w:val="00654C2F"/>
    <w:rsid w:val="00655438"/>
    <w:rsid w:val="00657087"/>
    <w:rsid w:val="0065715A"/>
    <w:rsid w:val="006661EF"/>
    <w:rsid w:val="0067197A"/>
    <w:rsid w:val="006746CB"/>
    <w:rsid w:val="006768EA"/>
    <w:rsid w:val="00677AEB"/>
    <w:rsid w:val="00680EF2"/>
    <w:rsid w:val="00682A3E"/>
    <w:rsid w:val="006850AE"/>
    <w:rsid w:val="00686C53"/>
    <w:rsid w:val="00687849"/>
    <w:rsid w:val="00687A1D"/>
    <w:rsid w:val="00697EA1"/>
    <w:rsid w:val="006A2646"/>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183"/>
    <w:rsid w:val="006E77B0"/>
    <w:rsid w:val="006F6B2E"/>
    <w:rsid w:val="006F734A"/>
    <w:rsid w:val="00700451"/>
    <w:rsid w:val="00700D83"/>
    <w:rsid w:val="00704852"/>
    <w:rsid w:val="00704C24"/>
    <w:rsid w:val="007074E9"/>
    <w:rsid w:val="00707954"/>
    <w:rsid w:val="00707BC5"/>
    <w:rsid w:val="00713DA4"/>
    <w:rsid w:val="007142FA"/>
    <w:rsid w:val="00714BF1"/>
    <w:rsid w:val="00721383"/>
    <w:rsid w:val="007216AD"/>
    <w:rsid w:val="00726E9A"/>
    <w:rsid w:val="00727864"/>
    <w:rsid w:val="0073127D"/>
    <w:rsid w:val="007333CC"/>
    <w:rsid w:val="007335D8"/>
    <w:rsid w:val="0073399A"/>
    <w:rsid w:val="007369C7"/>
    <w:rsid w:val="00743531"/>
    <w:rsid w:val="007462D9"/>
    <w:rsid w:val="00751986"/>
    <w:rsid w:val="0075428A"/>
    <w:rsid w:val="00756ABD"/>
    <w:rsid w:val="00757629"/>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4551"/>
    <w:rsid w:val="007958F0"/>
    <w:rsid w:val="00797E1B"/>
    <w:rsid w:val="007A12A4"/>
    <w:rsid w:val="007A6AAD"/>
    <w:rsid w:val="007B17C5"/>
    <w:rsid w:val="007B1E13"/>
    <w:rsid w:val="007C0111"/>
    <w:rsid w:val="007C0663"/>
    <w:rsid w:val="007C1FCC"/>
    <w:rsid w:val="007C2831"/>
    <w:rsid w:val="007C2AA1"/>
    <w:rsid w:val="007C6201"/>
    <w:rsid w:val="007D0348"/>
    <w:rsid w:val="007D1E28"/>
    <w:rsid w:val="007D3F6A"/>
    <w:rsid w:val="007D7C92"/>
    <w:rsid w:val="007D7E30"/>
    <w:rsid w:val="007E1154"/>
    <w:rsid w:val="007E3AA5"/>
    <w:rsid w:val="007E3ADF"/>
    <w:rsid w:val="007E530F"/>
    <w:rsid w:val="007E6BA4"/>
    <w:rsid w:val="007F16D2"/>
    <w:rsid w:val="007F19A2"/>
    <w:rsid w:val="007F41F8"/>
    <w:rsid w:val="00804000"/>
    <w:rsid w:val="0080454E"/>
    <w:rsid w:val="00804C32"/>
    <w:rsid w:val="00806302"/>
    <w:rsid w:val="00807119"/>
    <w:rsid w:val="00807CB3"/>
    <w:rsid w:val="00811865"/>
    <w:rsid w:val="00814A55"/>
    <w:rsid w:val="0082483F"/>
    <w:rsid w:val="008279C0"/>
    <w:rsid w:val="0083726D"/>
    <w:rsid w:val="00841E70"/>
    <w:rsid w:val="008473AA"/>
    <w:rsid w:val="00852883"/>
    <w:rsid w:val="00852F37"/>
    <w:rsid w:val="008571F6"/>
    <w:rsid w:val="00861E51"/>
    <w:rsid w:val="00870B96"/>
    <w:rsid w:val="008723F3"/>
    <w:rsid w:val="00873246"/>
    <w:rsid w:val="00875E2E"/>
    <w:rsid w:val="00880F99"/>
    <w:rsid w:val="00881DA8"/>
    <w:rsid w:val="00881DE6"/>
    <w:rsid w:val="008837A6"/>
    <w:rsid w:val="00884763"/>
    <w:rsid w:val="0089145D"/>
    <w:rsid w:val="00892FEF"/>
    <w:rsid w:val="00896FD7"/>
    <w:rsid w:val="00897428"/>
    <w:rsid w:val="008A30C3"/>
    <w:rsid w:val="008A30EE"/>
    <w:rsid w:val="008A4DF2"/>
    <w:rsid w:val="008A6841"/>
    <w:rsid w:val="008A6CFE"/>
    <w:rsid w:val="008B40E7"/>
    <w:rsid w:val="008B4681"/>
    <w:rsid w:val="008B4B58"/>
    <w:rsid w:val="008B5333"/>
    <w:rsid w:val="008B6223"/>
    <w:rsid w:val="008C4066"/>
    <w:rsid w:val="008C4C3C"/>
    <w:rsid w:val="008C66E0"/>
    <w:rsid w:val="008D0122"/>
    <w:rsid w:val="008D3E17"/>
    <w:rsid w:val="008D5D34"/>
    <w:rsid w:val="008D7718"/>
    <w:rsid w:val="008E220E"/>
    <w:rsid w:val="008E3339"/>
    <w:rsid w:val="008E64D3"/>
    <w:rsid w:val="008E6F11"/>
    <w:rsid w:val="008F20FC"/>
    <w:rsid w:val="008F50C4"/>
    <w:rsid w:val="008F5FFE"/>
    <w:rsid w:val="0090037B"/>
    <w:rsid w:val="00902062"/>
    <w:rsid w:val="009035A0"/>
    <w:rsid w:val="00905A43"/>
    <w:rsid w:val="009078CE"/>
    <w:rsid w:val="009108EF"/>
    <w:rsid w:val="00911C23"/>
    <w:rsid w:val="00912C79"/>
    <w:rsid w:val="00913FB9"/>
    <w:rsid w:val="00915010"/>
    <w:rsid w:val="0091528C"/>
    <w:rsid w:val="009173D1"/>
    <w:rsid w:val="009212C8"/>
    <w:rsid w:val="00923CCC"/>
    <w:rsid w:val="00926D10"/>
    <w:rsid w:val="009275FE"/>
    <w:rsid w:val="00942123"/>
    <w:rsid w:val="0094263A"/>
    <w:rsid w:val="00945639"/>
    <w:rsid w:val="00946EE0"/>
    <w:rsid w:val="0095029B"/>
    <w:rsid w:val="0095207B"/>
    <w:rsid w:val="009533CB"/>
    <w:rsid w:val="00953B5C"/>
    <w:rsid w:val="00954C91"/>
    <w:rsid w:val="0095526F"/>
    <w:rsid w:val="00955CE0"/>
    <w:rsid w:val="009609CA"/>
    <w:rsid w:val="00962045"/>
    <w:rsid w:val="00966E44"/>
    <w:rsid w:val="009708BB"/>
    <w:rsid w:val="009727DF"/>
    <w:rsid w:val="009729E8"/>
    <w:rsid w:val="00975640"/>
    <w:rsid w:val="00976DA5"/>
    <w:rsid w:val="009773BA"/>
    <w:rsid w:val="00981608"/>
    <w:rsid w:val="00987140"/>
    <w:rsid w:val="00991272"/>
    <w:rsid w:val="00991428"/>
    <w:rsid w:val="00992676"/>
    <w:rsid w:val="00993ADD"/>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E60B9"/>
    <w:rsid w:val="009E7EA4"/>
    <w:rsid w:val="009F0C29"/>
    <w:rsid w:val="00A047EE"/>
    <w:rsid w:val="00A057CA"/>
    <w:rsid w:val="00A149B7"/>
    <w:rsid w:val="00A177BC"/>
    <w:rsid w:val="00A17930"/>
    <w:rsid w:val="00A2274A"/>
    <w:rsid w:val="00A235B7"/>
    <w:rsid w:val="00A249AC"/>
    <w:rsid w:val="00A27A7A"/>
    <w:rsid w:val="00A301D1"/>
    <w:rsid w:val="00A31881"/>
    <w:rsid w:val="00A37E44"/>
    <w:rsid w:val="00A407EF"/>
    <w:rsid w:val="00A411B7"/>
    <w:rsid w:val="00A41716"/>
    <w:rsid w:val="00A431C1"/>
    <w:rsid w:val="00A46B4C"/>
    <w:rsid w:val="00A5117B"/>
    <w:rsid w:val="00A560B6"/>
    <w:rsid w:val="00A56CF7"/>
    <w:rsid w:val="00A56DBC"/>
    <w:rsid w:val="00A60074"/>
    <w:rsid w:val="00A646E2"/>
    <w:rsid w:val="00A651A9"/>
    <w:rsid w:val="00A6627C"/>
    <w:rsid w:val="00A71019"/>
    <w:rsid w:val="00A8023B"/>
    <w:rsid w:val="00A81029"/>
    <w:rsid w:val="00A82AFB"/>
    <w:rsid w:val="00A8485D"/>
    <w:rsid w:val="00A910F0"/>
    <w:rsid w:val="00A96062"/>
    <w:rsid w:val="00A96489"/>
    <w:rsid w:val="00A96BB0"/>
    <w:rsid w:val="00A97D88"/>
    <w:rsid w:val="00AA0E39"/>
    <w:rsid w:val="00AA23CE"/>
    <w:rsid w:val="00AA5A58"/>
    <w:rsid w:val="00AA670C"/>
    <w:rsid w:val="00AB1D26"/>
    <w:rsid w:val="00AB5A37"/>
    <w:rsid w:val="00AB61D6"/>
    <w:rsid w:val="00AB685C"/>
    <w:rsid w:val="00AB6C2D"/>
    <w:rsid w:val="00AC08F7"/>
    <w:rsid w:val="00AC126D"/>
    <w:rsid w:val="00AC3839"/>
    <w:rsid w:val="00AC4BEA"/>
    <w:rsid w:val="00AC7082"/>
    <w:rsid w:val="00AD0662"/>
    <w:rsid w:val="00AD1B6B"/>
    <w:rsid w:val="00AD74AD"/>
    <w:rsid w:val="00AE027F"/>
    <w:rsid w:val="00AF228E"/>
    <w:rsid w:val="00AF455B"/>
    <w:rsid w:val="00AF5D11"/>
    <w:rsid w:val="00B0123F"/>
    <w:rsid w:val="00B04004"/>
    <w:rsid w:val="00B14819"/>
    <w:rsid w:val="00B17AA9"/>
    <w:rsid w:val="00B221FF"/>
    <w:rsid w:val="00B26B31"/>
    <w:rsid w:val="00B30A70"/>
    <w:rsid w:val="00B32674"/>
    <w:rsid w:val="00B333FE"/>
    <w:rsid w:val="00B3503B"/>
    <w:rsid w:val="00B378FA"/>
    <w:rsid w:val="00B42352"/>
    <w:rsid w:val="00B51227"/>
    <w:rsid w:val="00B51975"/>
    <w:rsid w:val="00B52E4D"/>
    <w:rsid w:val="00B54452"/>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BE3"/>
    <w:rsid w:val="00B86DB1"/>
    <w:rsid w:val="00B876A2"/>
    <w:rsid w:val="00B87869"/>
    <w:rsid w:val="00B87A61"/>
    <w:rsid w:val="00B92D5B"/>
    <w:rsid w:val="00B9417E"/>
    <w:rsid w:val="00B97F0A"/>
    <w:rsid w:val="00BA1648"/>
    <w:rsid w:val="00BA2637"/>
    <w:rsid w:val="00BA35FF"/>
    <w:rsid w:val="00BA5045"/>
    <w:rsid w:val="00BB09FD"/>
    <w:rsid w:val="00BB0D68"/>
    <w:rsid w:val="00BB0F2B"/>
    <w:rsid w:val="00BB5A37"/>
    <w:rsid w:val="00BB6955"/>
    <w:rsid w:val="00BB6F7A"/>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1345B"/>
    <w:rsid w:val="00C14988"/>
    <w:rsid w:val="00C15A16"/>
    <w:rsid w:val="00C1724E"/>
    <w:rsid w:val="00C20AFE"/>
    <w:rsid w:val="00C21F8C"/>
    <w:rsid w:val="00C22A25"/>
    <w:rsid w:val="00C26E4B"/>
    <w:rsid w:val="00C31102"/>
    <w:rsid w:val="00C3129C"/>
    <w:rsid w:val="00C33C84"/>
    <w:rsid w:val="00C3453F"/>
    <w:rsid w:val="00C34A50"/>
    <w:rsid w:val="00C35026"/>
    <w:rsid w:val="00C35671"/>
    <w:rsid w:val="00C35B77"/>
    <w:rsid w:val="00C376EB"/>
    <w:rsid w:val="00C4187E"/>
    <w:rsid w:val="00C444EC"/>
    <w:rsid w:val="00C45A03"/>
    <w:rsid w:val="00C46EC1"/>
    <w:rsid w:val="00C50F86"/>
    <w:rsid w:val="00C53E2C"/>
    <w:rsid w:val="00C53E3E"/>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63D3"/>
    <w:rsid w:val="00CA1802"/>
    <w:rsid w:val="00CB262C"/>
    <w:rsid w:val="00CB2CBB"/>
    <w:rsid w:val="00CB3941"/>
    <w:rsid w:val="00CB7283"/>
    <w:rsid w:val="00CB7CAC"/>
    <w:rsid w:val="00CC467D"/>
    <w:rsid w:val="00CC5335"/>
    <w:rsid w:val="00CC579C"/>
    <w:rsid w:val="00CC5BA4"/>
    <w:rsid w:val="00CC7728"/>
    <w:rsid w:val="00CD0FFE"/>
    <w:rsid w:val="00CD15FE"/>
    <w:rsid w:val="00CD25CF"/>
    <w:rsid w:val="00CD34DB"/>
    <w:rsid w:val="00CD377A"/>
    <w:rsid w:val="00CD4998"/>
    <w:rsid w:val="00CE1035"/>
    <w:rsid w:val="00CE62CA"/>
    <w:rsid w:val="00CF0E27"/>
    <w:rsid w:val="00CF2819"/>
    <w:rsid w:val="00CF4F9D"/>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4685B"/>
    <w:rsid w:val="00D57C59"/>
    <w:rsid w:val="00D60215"/>
    <w:rsid w:val="00D60874"/>
    <w:rsid w:val="00D63EFD"/>
    <w:rsid w:val="00D6588F"/>
    <w:rsid w:val="00D676F1"/>
    <w:rsid w:val="00D714E4"/>
    <w:rsid w:val="00D84752"/>
    <w:rsid w:val="00D86A74"/>
    <w:rsid w:val="00D86B3B"/>
    <w:rsid w:val="00D8748A"/>
    <w:rsid w:val="00D905E4"/>
    <w:rsid w:val="00D92685"/>
    <w:rsid w:val="00D93196"/>
    <w:rsid w:val="00D931A2"/>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7F6"/>
    <w:rsid w:val="00E26E19"/>
    <w:rsid w:val="00E31DF3"/>
    <w:rsid w:val="00E37049"/>
    <w:rsid w:val="00E450A4"/>
    <w:rsid w:val="00E45D10"/>
    <w:rsid w:val="00E466F0"/>
    <w:rsid w:val="00E506BE"/>
    <w:rsid w:val="00E518B6"/>
    <w:rsid w:val="00E525B9"/>
    <w:rsid w:val="00E54ADD"/>
    <w:rsid w:val="00E55547"/>
    <w:rsid w:val="00E55E9B"/>
    <w:rsid w:val="00E6211B"/>
    <w:rsid w:val="00E6302B"/>
    <w:rsid w:val="00E6452F"/>
    <w:rsid w:val="00E64F45"/>
    <w:rsid w:val="00E6742D"/>
    <w:rsid w:val="00E71CB0"/>
    <w:rsid w:val="00E77884"/>
    <w:rsid w:val="00E7793C"/>
    <w:rsid w:val="00E77C3D"/>
    <w:rsid w:val="00E80299"/>
    <w:rsid w:val="00E8272F"/>
    <w:rsid w:val="00E84DA5"/>
    <w:rsid w:val="00E84DD5"/>
    <w:rsid w:val="00E86549"/>
    <w:rsid w:val="00E86D64"/>
    <w:rsid w:val="00E909F0"/>
    <w:rsid w:val="00E90D47"/>
    <w:rsid w:val="00E91BE6"/>
    <w:rsid w:val="00E926D7"/>
    <w:rsid w:val="00E92DA7"/>
    <w:rsid w:val="00E93993"/>
    <w:rsid w:val="00E948A8"/>
    <w:rsid w:val="00E950C0"/>
    <w:rsid w:val="00E9597C"/>
    <w:rsid w:val="00EA0879"/>
    <w:rsid w:val="00EA0913"/>
    <w:rsid w:val="00EA4D77"/>
    <w:rsid w:val="00EB02BE"/>
    <w:rsid w:val="00EB146B"/>
    <w:rsid w:val="00EB2845"/>
    <w:rsid w:val="00EB45AC"/>
    <w:rsid w:val="00EB488B"/>
    <w:rsid w:val="00EB6668"/>
    <w:rsid w:val="00EB6A2F"/>
    <w:rsid w:val="00EB6E0F"/>
    <w:rsid w:val="00EC3875"/>
    <w:rsid w:val="00EC549E"/>
    <w:rsid w:val="00EC6E55"/>
    <w:rsid w:val="00ED0BC4"/>
    <w:rsid w:val="00ED151E"/>
    <w:rsid w:val="00ED5B0A"/>
    <w:rsid w:val="00ED617A"/>
    <w:rsid w:val="00ED71DE"/>
    <w:rsid w:val="00EE1A0E"/>
    <w:rsid w:val="00EE4971"/>
    <w:rsid w:val="00EE5A48"/>
    <w:rsid w:val="00EE6390"/>
    <w:rsid w:val="00EE7278"/>
    <w:rsid w:val="00EF090E"/>
    <w:rsid w:val="00EF16B6"/>
    <w:rsid w:val="00EF1B1A"/>
    <w:rsid w:val="00EF21AA"/>
    <w:rsid w:val="00EF2D08"/>
    <w:rsid w:val="00EF5705"/>
    <w:rsid w:val="00EF6653"/>
    <w:rsid w:val="00EF79ED"/>
    <w:rsid w:val="00F033DA"/>
    <w:rsid w:val="00F0424E"/>
    <w:rsid w:val="00F106CE"/>
    <w:rsid w:val="00F1096A"/>
    <w:rsid w:val="00F110C5"/>
    <w:rsid w:val="00F13FB1"/>
    <w:rsid w:val="00F15181"/>
    <w:rsid w:val="00F1640B"/>
    <w:rsid w:val="00F2025D"/>
    <w:rsid w:val="00F23658"/>
    <w:rsid w:val="00F27CD8"/>
    <w:rsid w:val="00F30351"/>
    <w:rsid w:val="00F3323E"/>
    <w:rsid w:val="00F341F4"/>
    <w:rsid w:val="00F34E71"/>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571F5"/>
    <w:rsid w:val="00F60809"/>
    <w:rsid w:val="00F61DD2"/>
    <w:rsid w:val="00F63720"/>
    <w:rsid w:val="00F65FB6"/>
    <w:rsid w:val="00F66AFF"/>
    <w:rsid w:val="00F703B6"/>
    <w:rsid w:val="00F71433"/>
    <w:rsid w:val="00F71CE8"/>
    <w:rsid w:val="00F738B0"/>
    <w:rsid w:val="00F77E7C"/>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630542"/>
  </w:style>
  <w:style w:type="paragraph" w:styleId="Lijstalinea">
    <w:name w:val="List Paragraph"/>
    <w:basedOn w:val="Standaard"/>
    <w:uiPriority w:val="34"/>
    <w:qFormat/>
    <w:rsid w:val="00430FED"/>
    <w:pPr>
      <w:ind w:left="720"/>
      <w:contextualSpacing/>
    </w:pPr>
  </w:style>
  <w:style w:type="paragraph" w:styleId="Voetnootteks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Standaard"/>
    <w:link w:val="VoetnoottekstChar"/>
    <w:unhideWhenUsed/>
    <w:rsid w:val="00241B44"/>
    <w:rPr>
      <w:szCs w:val="20"/>
    </w:rPr>
  </w:style>
  <w:style w:type="character" w:customStyle="1" w:styleId="VoetnoottekstChar">
    <w:name w:val="Voetnoottekst Char"/>
    <w:aliases w:val="fn Char,Fußnotentext Char Char Char Char Char,Fußnotentext Char Char Char Char Char Char Char,Fußnotentext Char Char Char Char Char Char Char Char Char,Fußnotentextf Char,footnotes Char,Footnote Text Char2 Char Char,Footnote Char"/>
    <w:basedOn w:val="Standaardalinea-lettertype"/>
    <w:link w:val="Voetnoottekst"/>
    <w:rsid w:val="00241B44"/>
    <w:rPr>
      <w:sz w:val="20"/>
      <w:szCs w:val="20"/>
    </w:rPr>
  </w:style>
  <w:style w:type="character" w:styleId="Voetnootmarkering">
    <w:name w:val="footnote reference"/>
    <w:aliases w:val="fr,Footnote Refernece,BVI fnr,callout,16 Point,Superscript 6 Point,Footnote Reference Superscript,Ref,de nota al pie,-E Fußnotenzeichen,number,SUPERS,EN Footnote Reference,-E Fuﬂnotenzeichen,-E Fuûnotenzeichen,Footnote numbe, BVI fnr"/>
    <w:basedOn w:val="Standaardalinea-lettertype"/>
    <w:unhideWhenUsed/>
    <w:qFormat/>
    <w:rsid w:val="00241B44"/>
    <w:rPr>
      <w:vertAlign w:val="superscript"/>
    </w:rPr>
  </w:style>
  <w:style w:type="character" w:styleId="Hyperlink">
    <w:name w:val="Hyperlink"/>
    <w:basedOn w:val="Standaardalinea-lettertype"/>
    <w:uiPriority w:val="99"/>
    <w:unhideWhenUsed/>
    <w:rsid w:val="00A047EE"/>
    <w:rPr>
      <w:color w:val="0563C1" w:themeColor="hyperlink"/>
      <w:u w:val="single"/>
    </w:rPr>
  </w:style>
  <w:style w:type="character" w:customStyle="1" w:styleId="UnresolvedMention1">
    <w:name w:val="Unresolved Mention1"/>
    <w:basedOn w:val="Standaardalinea-lettertype"/>
    <w:uiPriority w:val="99"/>
    <w:rsid w:val="00A047EE"/>
    <w:rPr>
      <w:color w:val="605E5C"/>
      <w:shd w:val="clear" w:color="auto" w:fill="E1DFDD"/>
    </w:rPr>
  </w:style>
  <w:style w:type="character" w:styleId="Verwijzingopmerking">
    <w:name w:val="annotation reference"/>
    <w:basedOn w:val="Standaardalinea-lettertype"/>
    <w:uiPriority w:val="99"/>
    <w:semiHidden/>
    <w:unhideWhenUsed/>
    <w:rsid w:val="008B5333"/>
    <w:rPr>
      <w:sz w:val="16"/>
      <w:szCs w:val="16"/>
    </w:rPr>
  </w:style>
  <w:style w:type="paragraph" w:styleId="Tekstopmerking">
    <w:name w:val="annotation text"/>
    <w:basedOn w:val="Standaard"/>
    <w:link w:val="TekstopmerkingChar"/>
    <w:uiPriority w:val="99"/>
    <w:unhideWhenUsed/>
    <w:rsid w:val="008B5333"/>
    <w:rPr>
      <w:szCs w:val="20"/>
    </w:rPr>
  </w:style>
  <w:style w:type="character" w:customStyle="1" w:styleId="TekstopmerkingChar">
    <w:name w:val="Tekst opmerking Char"/>
    <w:basedOn w:val="Standaardalinea-lettertype"/>
    <w:link w:val="Tekstopmerking"/>
    <w:uiPriority w:val="99"/>
    <w:rsid w:val="008B5333"/>
    <w:rPr>
      <w:rFonts w:eastAsia="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8B5333"/>
    <w:rPr>
      <w:b/>
      <w:bCs/>
    </w:rPr>
  </w:style>
  <w:style w:type="character" w:customStyle="1" w:styleId="OnderwerpvanopmerkingChar">
    <w:name w:val="Onderwerp van opmerking Char"/>
    <w:basedOn w:val="TekstopmerkingChar"/>
    <w:link w:val="Onderwerpvanopmerking"/>
    <w:uiPriority w:val="99"/>
    <w:semiHidden/>
    <w:rsid w:val="008B5333"/>
    <w:rPr>
      <w:rFonts w:eastAsia="Times New Roman"/>
      <w:b/>
      <w:bCs/>
      <w:sz w:val="20"/>
      <w:szCs w:val="20"/>
    </w:rPr>
  </w:style>
  <w:style w:type="paragraph" w:styleId="Ballontekst">
    <w:name w:val="Balloon Text"/>
    <w:basedOn w:val="Standaard"/>
    <w:link w:val="BallontekstChar"/>
    <w:uiPriority w:val="99"/>
    <w:semiHidden/>
    <w:unhideWhenUsed/>
    <w:rsid w:val="008B5333"/>
    <w:rPr>
      <w:rFonts w:ascii="Tahoma" w:hAnsi="Tahoma" w:cs="Tahoma"/>
      <w:sz w:val="16"/>
      <w:szCs w:val="16"/>
    </w:rPr>
  </w:style>
  <w:style w:type="character" w:customStyle="1" w:styleId="BallontekstChar">
    <w:name w:val="Ballontekst Char"/>
    <w:basedOn w:val="Standaardalinea-lettertype"/>
    <w:link w:val="Ballontekst"/>
    <w:uiPriority w:val="99"/>
    <w:semiHidden/>
    <w:rsid w:val="008B5333"/>
    <w:rPr>
      <w:rFonts w:ascii="Tahoma" w:eastAsia="Times New Roman" w:hAnsi="Tahoma" w:cs="Tahoma"/>
      <w:sz w:val="16"/>
      <w:szCs w:val="16"/>
    </w:rPr>
  </w:style>
  <w:style w:type="paragraph" w:styleId="Voettekst">
    <w:name w:val="footer"/>
    <w:basedOn w:val="Standaard"/>
    <w:link w:val="VoettekstChar"/>
    <w:uiPriority w:val="99"/>
    <w:unhideWhenUsed/>
    <w:rsid w:val="00FC7B47"/>
    <w:pPr>
      <w:tabs>
        <w:tab w:val="center" w:pos="4513"/>
        <w:tab w:val="right" w:pos="9026"/>
      </w:tabs>
    </w:pPr>
  </w:style>
  <w:style w:type="character" w:customStyle="1" w:styleId="VoettekstChar">
    <w:name w:val="Voettekst Char"/>
    <w:basedOn w:val="Standaardalinea-lettertype"/>
    <w:link w:val="Voettekst"/>
    <w:uiPriority w:val="99"/>
    <w:rsid w:val="00FC7B47"/>
    <w:rPr>
      <w:rFonts w:eastAsia="Times New Roman"/>
      <w:sz w:val="20"/>
    </w:rPr>
  </w:style>
  <w:style w:type="character" w:styleId="Paginanummer">
    <w:name w:val="page number"/>
    <w:basedOn w:val="Standaardalinea-lettertype"/>
    <w:uiPriority w:val="99"/>
    <w:semiHidden/>
    <w:unhideWhenUsed/>
    <w:rsid w:val="00FC7B47"/>
  </w:style>
  <w:style w:type="paragraph" w:styleId="Koptekst">
    <w:name w:val="header"/>
    <w:basedOn w:val="Standaard"/>
    <w:link w:val="KoptekstChar"/>
    <w:uiPriority w:val="99"/>
    <w:unhideWhenUsed/>
    <w:rsid w:val="00FC7B47"/>
    <w:pPr>
      <w:tabs>
        <w:tab w:val="center" w:pos="4513"/>
        <w:tab w:val="right" w:pos="9026"/>
      </w:tabs>
    </w:pPr>
  </w:style>
  <w:style w:type="character" w:customStyle="1" w:styleId="KoptekstChar">
    <w:name w:val="Koptekst Char"/>
    <w:basedOn w:val="Standaardalinea-lettertype"/>
    <w:link w:val="Koptekst"/>
    <w:uiPriority w:val="99"/>
    <w:rsid w:val="00FC7B47"/>
    <w:rPr>
      <w:rFonts w:eastAsia="Times New Roman"/>
      <w:sz w:val="20"/>
    </w:rPr>
  </w:style>
  <w:style w:type="character" w:customStyle="1" w:styleId="UnresolvedMention2">
    <w:name w:val="Unresolved Mention2"/>
    <w:basedOn w:val="Standaardalinea-lettertype"/>
    <w:uiPriority w:val="99"/>
    <w:semiHidden/>
    <w:unhideWhenUsed/>
    <w:rsid w:val="007333CC"/>
    <w:rPr>
      <w:color w:val="605E5C"/>
      <w:shd w:val="clear" w:color="auto" w:fill="E1DFDD"/>
    </w:rPr>
  </w:style>
  <w:style w:type="character" w:styleId="GevolgdeHyperlink">
    <w:name w:val="FollowedHyperlink"/>
    <w:basedOn w:val="Standaardalinea-lettertype"/>
    <w:uiPriority w:val="99"/>
    <w:semiHidden/>
    <w:unhideWhenUsed/>
    <w:rsid w:val="00E6452F"/>
    <w:rPr>
      <w:color w:val="954F72" w:themeColor="followedHyperlink"/>
      <w:u w:val="single"/>
    </w:rPr>
  </w:style>
  <w:style w:type="character" w:styleId="Zwaar">
    <w:name w:val="Strong"/>
    <w:basedOn w:val="Standaardalinea-lettertype"/>
    <w:uiPriority w:val="22"/>
    <w:qFormat/>
    <w:rsid w:val="00E6452F"/>
    <w:rPr>
      <w:b/>
      <w:bCs/>
    </w:rPr>
  </w:style>
  <w:style w:type="paragraph" w:styleId="Normaalweb">
    <w:name w:val="Normal (Web)"/>
    <w:basedOn w:val="Standaard"/>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Standaard"/>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Standaard"/>
    <w:next w:val="Standaard"/>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Standaard"/>
    <w:next w:val="Standaard"/>
    <w:qFormat/>
    <w:rsid w:val="001131C6"/>
    <w:pPr>
      <w:ind w:left="708"/>
    </w:pPr>
    <w:rPr>
      <w:rFonts w:ascii="Arial" w:eastAsiaTheme="minorEastAsia" w:hAnsi="Arial" w:cs="Arial"/>
      <w:sz w:val="22"/>
      <w:szCs w:val="22"/>
      <w:u w:color="FF0000"/>
      <w:lang w:val="en-GB"/>
    </w:rPr>
  </w:style>
  <w:style w:type="paragraph" w:styleId="Revisie">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21111957">
      <w:bodyDiv w:val="1"/>
      <w:marLeft w:val="0"/>
      <w:marRight w:val="0"/>
      <w:marTop w:val="0"/>
      <w:marBottom w:val="0"/>
      <w:divBdr>
        <w:top w:val="none" w:sz="0" w:space="0" w:color="auto"/>
        <w:left w:val="none" w:sz="0" w:space="0" w:color="auto"/>
        <w:bottom w:val="none" w:sz="0" w:space="0" w:color="auto"/>
        <w:right w:val="none" w:sz="0" w:space="0" w:color="auto"/>
      </w:divBdr>
    </w:div>
    <w:div w:id="138355807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5363</Words>
  <Characters>29499</Characters>
  <Application>Microsoft Office Word</Application>
  <DocSecurity>0</DocSecurity>
  <Lines>245</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Arcas Law</cp:lastModifiedBy>
  <cp:revision>3</cp:revision>
  <cp:lastPrinted>2020-06-12T02:43:00Z</cp:lastPrinted>
  <dcterms:created xsi:type="dcterms:W3CDTF">2021-11-15T21:20:00Z</dcterms:created>
  <dcterms:modified xsi:type="dcterms:W3CDTF">2021-11-15T21:31:00Z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