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In order to pass this module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More often </w:t>
      </w:r>
      <w:r w:rsidR="000851CC" w:rsidRPr="00205B31">
        <w:rPr>
          <w:rFonts w:ascii="Arial" w:hAnsi="Arial" w:cs="Arial"/>
          <w:sz w:val="22"/>
          <w:szCs w:val="22"/>
          <w:lang w:val="en-GB"/>
        </w:rPr>
        <w:t>than not,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A73194" w:rsidRDefault="00C60631" w:rsidP="009D510C">
      <w:pPr>
        <w:pStyle w:val="ListParagraph"/>
        <w:numPr>
          <w:ilvl w:val="0"/>
          <w:numId w:val="12"/>
        </w:numPr>
        <w:ind w:left="426"/>
        <w:jc w:val="both"/>
        <w:rPr>
          <w:rFonts w:ascii="Arial" w:hAnsi="Arial" w:cs="Arial"/>
          <w:sz w:val="22"/>
          <w:szCs w:val="22"/>
          <w:highlight w:val="yellow"/>
          <w:lang w:val="en-GB"/>
        </w:rPr>
      </w:pPr>
      <w:r w:rsidRPr="00A73194">
        <w:rPr>
          <w:rFonts w:ascii="Arial" w:hAnsi="Arial" w:cs="Arial"/>
          <w:sz w:val="22"/>
          <w:szCs w:val="22"/>
          <w:highlight w:val="yellow"/>
          <w:lang w:val="en-GB"/>
        </w:rPr>
        <w:t xml:space="preserve">This statement is incorrect since </w:t>
      </w:r>
      <w:r w:rsidR="00E7793C" w:rsidRPr="00A73194">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B545D0" w:rsidRDefault="00AE027F" w:rsidP="009D510C">
      <w:pPr>
        <w:pStyle w:val="ListParagraph"/>
        <w:numPr>
          <w:ilvl w:val="0"/>
          <w:numId w:val="13"/>
        </w:numPr>
        <w:jc w:val="both"/>
        <w:rPr>
          <w:rFonts w:ascii="Arial" w:hAnsi="Arial" w:cs="Arial"/>
          <w:sz w:val="22"/>
          <w:szCs w:val="22"/>
          <w:highlight w:val="yellow"/>
          <w:lang w:val="en-GB"/>
        </w:rPr>
      </w:pPr>
      <w:r w:rsidRPr="00B545D0">
        <w:rPr>
          <w:rFonts w:ascii="Arial" w:hAnsi="Arial" w:cs="Arial"/>
          <w:sz w:val="22"/>
          <w:szCs w:val="22"/>
          <w:highlight w:val="yellow"/>
          <w:lang w:val="en-GB"/>
        </w:rPr>
        <w:t>The statement i</w:t>
      </w:r>
      <w:r w:rsidR="006E77B0" w:rsidRPr="00B545D0">
        <w:rPr>
          <w:rFonts w:ascii="Arial" w:hAnsi="Arial" w:cs="Arial"/>
          <w:sz w:val="22"/>
          <w:szCs w:val="22"/>
          <w:highlight w:val="yellow"/>
          <w:lang w:val="en-GB"/>
        </w:rPr>
        <w:t>s incorrect since the UK did re</w:t>
      </w:r>
      <w:r w:rsidRPr="00B545D0">
        <w:rPr>
          <w:rFonts w:ascii="Arial" w:hAnsi="Arial" w:cs="Arial"/>
          <w:sz w:val="22"/>
          <w:szCs w:val="22"/>
          <w:highlight w:val="yellow"/>
          <w:lang w:val="en-GB"/>
        </w:rPr>
        <w:t>v</w:t>
      </w:r>
      <w:r w:rsidR="006E77B0" w:rsidRPr="00B545D0">
        <w:rPr>
          <w:rFonts w:ascii="Arial" w:hAnsi="Arial" w:cs="Arial"/>
          <w:sz w:val="22"/>
          <w:szCs w:val="22"/>
          <w:highlight w:val="yellow"/>
          <w:lang w:val="en-GB"/>
        </w:rPr>
        <w:t>i</w:t>
      </w:r>
      <w:r w:rsidRPr="00B545D0">
        <w:rPr>
          <w:rFonts w:ascii="Arial" w:hAnsi="Arial" w:cs="Arial"/>
          <w:sz w:val="22"/>
          <w:szCs w:val="22"/>
          <w:highlight w:val="yellow"/>
          <w:lang w:val="en-GB"/>
        </w:rPr>
        <w:t>ew parts of its insolvency rules and amended some, among</w:t>
      </w:r>
      <w:r w:rsidR="006E77B0" w:rsidRPr="00B545D0">
        <w:rPr>
          <w:rFonts w:ascii="Arial" w:hAnsi="Arial" w:cs="Arial"/>
          <w:sz w:val="22"/>
          <w:szCs w:val="22"/>
          <w:highlight w:val="yellow"/>
          <w:lang w:val="en-GB"/>
        </w:rPr>
        <w:t>s</w:t>
      </w:r>
      <w:r w:rsidRPr="00B545D0">
        <w:rPr>
          <w:rFonts w:ascii="Arial" w:hAnsi="Arial" w:cs="Arial"/>
          <w:sz w:val="22"/>
          <w:szCs w:val="22"/>
          <w:highlight w:val="yellow"/>
          <w:lang w:val="en-GB"/>
        </w:rPr>
        <w:t>t other</w:t>
      </w:r>
      <w:r w:rsidR="00F96AF1" w:rsidRPr="00B545D0">
        <w:rPr>
          <w:rFonts w:ascii="Arial" w:hAnsi="Arial" w:cs="Arial"/>
          <w:sz w:val="22"/>
          <w:szCs w:val="22"/>
          <w:highlight w:val="yellow"/>
          <w:lang w:val="en-GB"/>
        </w:rPr>
        <w:t xml:space="preserve"> things</w:t>
      </w:r>
      <w:r w:rsidRPr="00B545D0">
        <w:rPr>
          <w:rFonts w:ascii="Arial" w:hAnsi="Arial" w:cs="Arial"/>
          <w:sz w:val="22"/>
          <w:szCs w:val="22"/>
          <w:highlight w:val="yellow"/>
          <w:lang w:val="en-GB"/>
        </w:rPr>
        <w:t>, to deal with the negative economic fall out of the pandemic.</w:t>
      </w:r>
      <w:r w:rsidR="00100A77" w:rsidRPr="00B545D0">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43536C" w:rsidRDefault="00B54F90" w:rsidP="009D510C">
      <w:pPr>
        <w:pStyle w:val="ListParagraph"/>
        <w:numPr>
          <w:ilvl w:val="0"/>
          <w:numId w:val="14"/>
        </w:numPr>
        <w:ind w:left="426"/>
        <w:jc w:val="both"/>
        <w:rPr>
          <w:rFonts w:ascii="Arial" w:hAnsi="Arial" w:cs="Arial"/>
          <w:sz w:val="22"/>
          <w:szCs w:val="22"/>
          <w:highlight w:val="yellow"/>
          <w:lang w:val="en-GB"/>
        </w:rPr>
      </w:pPr>
      <w:r w:rsidRPr="0043536C">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43536C">
        <w:rPr>
          <w:rFonts w:ascii="Arial" w:hAnsi="Arial" w:cs="Arial"/>
          <w:sz w:val="22"/>
          <w:szCs w:val="22"/>
          <w:highlight w:val="yellow"/>
          <w:lang w:val="en-GB"/>
        </w:rPr>
        <w:t xml:space="preserve">on </w:t>
      </w:r>
      <w:r w:rsidRPr="0043536C">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FE0882"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FE0882">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apart from the wide discretion that judges in general have, the UNCITRAL Model Law on Cross-Border Insolvency has been adopted by the majority of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the majority of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CA4664" w:rsidRDefault="00926D10" w:rsidP="009D510C">
      <w:pPr>
        <w:pStyle w:val="ListParagraph"/>
        <w:numPr>
          <w:ilvl w:val="0"/>
          <w:numId w:val="5"/>
        </w:numPr>
        <w:ind w:left="426"/>
        <w:jc w:val="both"/>
        <w:rPr>
          <w:rFonts w:ascii="Arial" w:hAnsi="Arial" w:cs="Arial"/>
          <w:sz w:val="22"/>
          <w:szCs w:val="22"/>
          <w:highlight w:val="yellow"/>
          <w:lang w:val="en-GB"/>
        </w:rPr>
      </w:pPr>
      <w:r w:rsidRPr="00CA4664">
        <w:rPr>
          <w:rFonts w:ascii="Arial" w:hAnsi="Arial" w:cs="Arial"/>
          <w:sz w:val="22"/>
          <w:szCs w:val="22"/>
          <w:highlight w:val="yellow"/>
          <w:lang w:val="en-GB"/>
        </w:rPr>
        <w:t xml:space="preserve">The statement is </w:t>
      </w:r>
      <w:r w:rsidR="006E1CB0" w:rsidRPr="00CA4664">
        <w:rPr>
          <w:rFonts w:ascii="Arial" w:hAnsi="Arial" w:cs="Arial"/>
          <w:sz w:val="22"/>
          <w:szCs w:val="22"/>
          <w:highlight w:val="yellow"/>
          <w:lang w:val="en-GB"/>
        </w:rPr>
        <w:t xml:space="preserve">not </w:t>
      </w:r>
      <w:r w:rsidRPr="00CA4664">
        <w:rPr>
          <w:rFonts w:ascii="Arial" w:hAnsi="Arial" w:cs="Arial"/>
          <w:sz w:val="22"/>
          <w:szCs w:val="22"/>
          <w:highlight w:val="yellow"/>
          <w:lang w:val="en-GB"/>
        </w:rPr>
        <w:t xml:space="preserve">correct </w:t>
      </w:r>
      <w:r w:rsidR="007958F0" w:rsidRPr="00CA4664">
        <w:rPr>
          <w:rFonts w:ascii="Arial" w:hAnsi="Arial" w:cs="Arial"/>
          <w:sz w:val="22"/>
          <w:szCs w:val="22"/>
          <w:highlight w:val="yellow"/>
          <w:lang w:val="en-GB"/>
        </w:rPr>
        <w:t>because</w:t>
      </w:r>
      <w:r w:rsidRPr="00CA4664">
        <w:rPr>
          <w:rFonts w:ascii="Arial" w:hAnsi="Arial" w:cs="Arial"/>
          <w:sz w:val="22"/>
          <w:szCs w:val="22"/>
          <w:highlight w:val="yellow"/>
          <w:lang w:val="en-GB"/>
        </w:rPr>
        <w:t xml:space="preserve"> very few </w:t>
      </w:r>
      <w:r w:rsidR="007958F0" w:rsidRPr="00CA4664">
        <w:rPr>
          <w:rFonts w:ascii="Arial" w:hAnsi="Arial" w:cs="Arial"/>
          <w:sz w:val="22"/>
          <w:szCs w:val="22"/>
          <w:highlight w:val="yellow"/>
          <w:lang w:val="en-GB"/>
        </w:rPr>
        <w:t>States</w:t>
      </w:r>
      <w:r w:rsidRPr="00CA4664">
        <w:rPr>
          <w:rFonts w:ascii="Arial" w:hAnsi="Arial" w:cs="Arial"/>
          <w:sz w:val="22"/>
          <w:szCs w:val="22"/>
          <w:highlight w:val="yellow"/>
          <w:lang w:val="en-GB"/>
        </w:rPr>
        <w:t xml:space="preserve"> allow insolvent estate representatives to deal with assets of a foreign debtor situated in </w:t>
      </w:r>
      <w:r w:rsidR="005936B3" w:rsidRPr="00CA4664">
        <w:rPr>
          <w:rFonts w:ascii="Arial" w:hAnsi="Arial" w:cs="Arial"/>
          <w:sz w:val="22"/>
          <w:szCs w:val="22"/>
          <w:highlight w:val="yellow"/>
          <w:lang w:val="en-GB"/>
        </w:rPr>
        <w:t>their own</w:t>
      </w:r>
      <w:r w:rsidRPr="00CA4664">
        <w:rPr>
          <w:rFonts w:ascii="Arial" w:hAnsi="Arial" w:cs="Arial"/>
          <w:sz w:val="22"/>
          <w:szCs w:val="22"/>
          <w:highlight w:val="yellow"/>
          <w:lang w:val="en-GB"/>
        </w:rPr>
        <w:t xml:space="preserve"> jurisdiction without </w:t>
      </w:r>
      <w:r w:rsidR="006E1CB0" w:rsidRPr="00CA4664">
        <w:rPr>
          <w:rFonts w:ascii="Arial" w:hAnsi="Arial" w:cs="Arial"/>
          <w:sz w:val="22"/>
          <w:szCs w:val="22"/>
          <w:highlight w:val="yellow"/>
          <w:lang w:val="en-GB"/>
        </w:rPr>
        <w:t xml:space="preserve">some form of </w:t>
      </w:r>
      <w:r w:rsidR="0090037B" w:rsidRPr="00CA4664">
        <w:rPr>
          <w:rFonts w:ascii="Arial" w:hAnsi="Arial" w:cs="Arial"/>
          <w:sz w:val="22"/>
          <w:szCs w:val="22"/>
          <w:highlight w:val="yellow"/>
          <w:lang w:val="en-GB"/>
        </w:rPr>
        <w:t xml:space="preserve">a </w:t>
      </w:r>
      <w:r w:rsidR="006E1CB0" w:rsidRPr="00CA4664">
        <w:rPr>
          <w:rFonts w:ascii="Arial" w:hAnsi="Arial" w:cs="Arial"/>
          <w:sz w:val="22"/>
          <w:szCs w:val="22"/>
          <w:highlight w:val="yellow"/>
          <w:lang w:val="en-GB"/>
        </w:rPr>
        <w:t>(</w:t>
      </w:r>
      <w:r w:rsidR="0090037B" w:rsidRPr="00CA4664">
        <w:rPr>
          <w:rFonts w:ascii="Arial" w:hAnsi="Arial" w:cs="Arial"/>
          <w:sz w:val="22"/>
          <w:szCs w:val="22"/>
          <w:highlight w:val="yellow"/>
          <w:lang w:val="en-GB"/>
        </w:rPr>
        <w:t>prior</w:t>
      </w:r>
      <w:r w:rsidR="006E1CB0" w:rsidRPr="00CA4664">
        <w:rPr>
          <w:rFonts w:ascii="Arial" w:hAnsi="Arial" w:cs="Arial"/>
          <w:sz w:val="22"/>
          <w:szCs w:val="22"/>
          <w:highlight w:val="yellow"/>
          <w:lang w:val="en-GB"/>
        </w:rPr>
        <w:t>)</w:t>
      </w:r>
      <w:r w:rsidRPr="00CA4664">
        <w:rPr>
          <w:rFonts w:ascii="Arial" w:hAnsi="Arial" w:cs="Arial"/>
          <w:sz w:val="22"/>
          <w:szCs w:val="22"/>
          <w:highlight w:val="yellow"/>
          <w:lang w:val="en-GB"/>
        </w:rPr>
        <w:t xml:space="preserve"> local procedure </w:t>
      </w:r>
      <w:r w:rsidR="005936B3" w:rsidRPr="00CA4664">
        <w:rPr>
          <w:rFonts w:ascii="Arial" w:hAnsi="Arial" w:cs="Arial"/>
          <w:sz w:val="22"/>
          <w:szCs w:val="22"/>
          <w:highlight w:val="yellow"/>
          <w:lang w:val="en-GB"/>
        </w:rPr>
        <w:t xml:space="preserve">to </w:t>
      </w:r>
      <w:r w:rsidRPr="00CA4664">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the majority of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the majority of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r w:rsidRPr="00205B31">
        <w:rPr>
          <w:rFonts w:ascii="Arial" w:hAnsi="Arial" w:cs="Arial"/>
          <w:sz w:val="22"/>
          <w:szCs w:val="22"/>
          <w:lang w:val="en-GB"/>
        </w:rPr>
        <w:t xml:space="preserve">A number of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126A83" w:rsidRDefault="000329A6" w:rsidP="00C570AC">
      <w:pPr>
        <w:pStyle w:val="ListParagraph"/>
        <w:numPr>
          <w:ilvl w:val="0"/>
          <w:numId w:val="6"/>
        </w:numPr>
        <w:ind w:left="426"/>
        <w:jc w:val="both"/>
        <w:rPr>
          <w:rFonts w:ascii="Arial" w:hAnsi="Arial" w:cs="Arial"/>
          <w:sz w:val="22"/>
          <w:szCs w:val="22"/>
          <w:highlight w:val="yellow"/>
          <w:lang w:val="en-GB"/>
        </w:rPr>
      </w:pPr>
      <w:r w:rsidRPr="00126A83">
        <w:rPr>
          <w:rFonts w:ascii="Arial" w:eastAsiaTheme="minorHAnsi" w:hAnsi="Arial" w:cs="Arial"/>
          <w:sz w:val="22"/>
          <w:szCs w:val="22"/>
          <w:highlight w:val="yellow"/>
          <w:lang w:val="en-GB"/>
        </w:rPr>
        <w:t xml:space="preserve">They were recently revised in 2021 and, together with the </w:t>
      </w:r>
      <w:r w:rsidRPr="00126A83">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0A0587">
        <w:rPr>
          <w:rFonts w:ascii="Arial" w:eastAsiaTheme="minorHAnsi" w:hAnsi="Arial" w:cs="Arial"/>
          <w:sz w:val="22"/>
          <w:szCs w:val="22"/>
          <w:highlight w:val="yellow"/>
          <w:lang w:val="en-GB"/>
        </w:rPr>
        <w:t xml:space="preserve">The Nordic Convention </w:t>
      </w:r>
      <w:r w:rsidR="00076483" w:rsidRPr="000A0587">
        <w:rPr>
          <w:rFonts w:ascii="Arial" w:eastAsiaTheme="minorHAnsi" w:hAnsi="Arial" w:cs="Arial"/>
          <w:sz w:val="22"/>
          <w:szCs w:val="22"/>
          <w:highlight w:val="yellow"/>
          <w:lang w:val="en-GB"/>
        </w:rPr>
        <w:t>1933</w:t>
      </w:r>
      <w:r w:rsidR="00966E44" w:rsidRPr="000A058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772185" w:rsidRDefault="00124B70" w:rsidP="00275182">
      <w:pPr>
        <w:pStyle w:val="ListParagraph"/>
        <w:numPr>
          <w:ilvl w:val="0"/>
          <w:numId w:val="8"/>
        </w:numPr>
        <w:ind w:left="426"/>
        <w:jc w:val="both"/>
        <w:rPr>
          <w:rFonts w:ascii="Arial" w:hAnsi="Arial" w:cs="Arial"/>
          <w:sz w:val="22"/>
          <w:szCs w:val="22"/>
          <w:highlight w:val="yellow"/>
          <w:lang w:val="en-GB"/>
        </w:rPr>
      </w:pPr>
      <w:r w:rsidRPr="0077218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93C6E" w:rsidRDefault="00E86549" w:rsidP="00275182">
      <w:pPr>
        <w:pStyle w:val="ListParagraph"/>
        <w:numPr>
          <w:ilvl w:val="0"/>
          <w:numId w:val="9"/>
        </w:numPr>
        <w:ind w:left="426"/>
        <w:jc w:val="both"/>
        <w:rPr>
          <w:rFonts w:ascii="Arial" w:hAnsi="Arial" w:cs="Arial"/>
          <w:bCs/>
          <w:sz w:val="22"/>
          <w:szCs w:val="22"/>
          <w:highlight w:val="yellow"/>
          <w:lang w:val="en-GB"/>
        </w:rPr>
      </w:pPr>
      <w:r w:rsidRPr="00293C6E">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93C6E">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EE07E5" w:rsidRDefault="00911C23" w:rsidP="00275182">
      <w:pPr>
        <w:pStyle w:val="ListParagraph"/>
        <w:numPr>
          <w:ilvl w:val="0"/>
          <w:numId w:val="10"/>
        </w:numPr>
        <w:ind w:left="426"/>
        <w:jc w:val="both"/>
        <w:rPr>
          <w:rFonts w:ascii="Arial" w:hAnsi="Arial" w:cs="Arial"/>
          <w:sz w:val="22"/>
          <w:szCs w:val="22"/>
          <w:highlight w:val="yellow"/>
          <w:lang w:val="en-GB"/>
        </w:rPr>
      </w:pPr>
      <w:r w:rsidRPr="00EE07E5">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 xml:space="preserve">Briefly indicate </w:t>
      </w:r>
      <w:bookmarkStart w:id="2" w:name="_Hlk87557829"/>
      <w:r w:rsidRPr="00205B31">
        <w:rPr>
          <w:rFonts w:ascii="Arial" w:hAnsi="Arial" w:cs="Arial"/>
          <w:sz w:val="22"/>
          <w:szCs w:val="22"/>
          <w:lang w:val="en-GB"/>
        </w:rPr>
        <w:t>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w:t>
      </w:r>
      <w:bookmarkEnd w:id="2"/>
      <w:r w:rsidRPr="00205B31">
        <w:rPr>
          <w:rFonts w:ascii="Arial" w:hAnsi="Arial" w:cs="Arial"/>
          <w:sz w:val="22"/>
          <w:szCs w:val="22"/>
          <w:lang w:val="en-GB"/>
        </w:rPr>
        <w:t xml:space="preserve">in English law that shaped the way of thinking concerning </w:t>
      </w:r>
      <w:bookmarkStart w:id="3" w:name="_Hlk87553071"/>
      <w:r w:rsidRPr="00205B31">
        <w:rPr>
          <w:rFonts w:ascii="Arial" w:hAnsi="Arial" w:cs="Arial"/>
          <w:sz w:val="22"/>
          <w:szCs w:val="22"/>
          <w:lang w:val="en-GB"/>
        </w:rPr>
        <w:t>modern insolvency law.</w:t>
      </w:r>
    </w:p>
    <w:p w14:paraId="304C2FB2" w14:textId="77777777" w:rsidR="00CC7728" w:rsidRPr="00205B31" w:rsidRDefault="00CC7728" w:rsidP="00E84DD5">
      <w:pPr>
        <w:rPr>
          <w:rFonts w:ascii="Arial" w:hAnsi="Arial" w:cs="Arial"/>
          <w:sz w:val="22"/>
          <w:szCs w:val="22"/>
          <w:lang w:val="en-GB"/>
        </w:rPr>
      </w:pPr>
    </w:p>
    <w:bookmarkEnd w:id="3"/>
    <w:p w14:paraId="732138B4" w14:textId="071186FF" w:rsidR="003E0FB8" w:rsidRPr="003E0FB8" w:rsidRDefault="009B07AD" w:rsidP="003E0FB8">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3E0FB8" w:rsidRPr="003E0FB8">
        <w:rPr>
          <w:rFonts w:ascii="Arial" w:hAnsi="Arial" w:cs="Arial"/>
          <w:color w:val="7B7B7B" w:themeColor="accent3" w:themeShade="BF"/>
          <w:sz w:val="22"/>
          <w:szCs w:val="22"/>
          <w:lang w:val="en-GB"/>
        </w:rPr>
        <w:t xml:space="preserve">Firstly, appointment of an independent commissioner, a body to oversee debt collection, the participation of Creditors and the </w:t>
      </w:r>
      <w:proofErr w:type="spellStart"/>
      <w:r w:rsidR="003E0FB8" w:rsidRPr="003E0FB8">
        <w:rPr>
          <w:rFonts w:ascii="Arial" w:hAnsi="Arial" w:cs="Arial"/>
          <w:color w:val="7B7B7B" w:themeColor="accent3" w:themeShade="BF"/>
          <w:sz w:val="22"/>
          <w:szCs w:val="22"/>
          <w:lang w:val="en-GB"/>
        </w:rPr>
        <w:t>pari</w:t>
      </w:r>
      <w:proofErr w:type="spellEnd"/>
      <w:r w:rsidR="003E0FB8" w:rsidRPr="003E0FB8">
        <w:rPr>
          <w:rFonts w:ascii="Arial" w:hAnsi="Arial" w:cs="Arial"/>
          <w:color w:val="7B7B7B" w:themeColor="accent3" w:themeShade="BF"/>
          <w:sz w:val="22"/>
          <w:szCs w:val="22"/>
          <w:lang w:val="en-GB"/>
        </w:rPr>
        <w:t xml:space="preserve"> passu distribution of debtor’s assets introduced since the 13th century through to the early 19th century which led to subsequent enhancement of the English Law were some of the significant developments.</w:t>
      </w:r>
    </w:p>
    <w:p w14:paraId="5C894F6B" w14:textId="77777777" w:rsidR="003E0FB8" w:rsidRPr="003E0FB8" w:rsidRDefault="003E0FB8" w:rsidP="003E0FB8">
      <w:pPr>
        <w:ind w:left="720" w:hanging="720"/>
        <w:jc w:val="both"/>
        <w:rPr>
          <w:rFonts w:ascii="Arial" w:hAnsi="Arial" w:cs="Arial"/>
          <w:color w:val="7B7B7B" w:themeColor="accent3" w:themeShade="BF"/>
          <w:sz w:val="22"/>
          <w:szCs w:val="22"/>
          <w:lang w:val="en-GB"/>
        </w:rPr>
      </w:pPr>
    </w:p>
    <w:p w14:paraId="1AB8A9CB" w14:textId="2AF1911C" w:rsidR="003E0FB8" w:rsidRPr="003E0FB8" w:rsidRDefault="003E0FB8" w:rsidP="003E0FB8">
      <w:pPr>
        <w:ind w:left="720" w:hanging="720"/>
        <w:jc w:val="both"/>
        <w:rPr>
          <w:rFonts w:ascii="Arial" w:hAnsi="Arial" w:cs="Arial"/>
          <w:color w:val="7B7B7B" w:themeColor="accent3" w:themeShade="BF"/>
          <w:sz w:val="22"/>
          <w:szCs w:val="22"/>
          <w:lang w:val="en-GB"/>
        </w:rPr>
      </w:pPr>
      <w:r w:rsidRPr="003E0FB8">
        <w:rPr>
          <w:rFonts w:ascii="Arial" w:hAnsi="Arial" w:cs="Arial"/>
          <w:color w:val="7B7B7B" w:themeColor="accent3" w:themeShade="BF"/>
          <w:sz w:val="22"/>
          <w:szCs w:val="22"/>
          <w:lang w:val="en-GB"/>
        </w:rPr>
        <w:t>Debtors were imprisoned which according Calitz, they were viewed as “quasi-criminals” or “offenders” which many schools of thoughts have debunk the assession of debtors being criminals. However, there may be other economic factors which may account for their insolvency state. The imprisonment of debtors who were unable to pay their debts as a principle were eventually abolished.</w:t>
      </w:r>
      <w:r w:rsidR="00965A5F">
        <w:rPr>
          <w:rStyle w:val="FootnoteReference"/>
          <w:rFonts w:ascii="Arial" w:hAnsi="Arial" w:cs="Arial"/>
          <w:color w:val="7B7B7B" w:themeColor="accent3" w:themeShade="BF"/>
          <w:sz w:val="22"/>
          <w:szCs w:val="22"/>
          <w:lang w:val="en-GB"/>
        </w:rPr>
        <w:footnoteReference w:id="1"/>
      </w:r>
    </w:p>
    <w:p w14:paraId="39569621" w14:textId="77777777" w:rsidR="003E0FB8" w:rsidRPr="003E0FB8" w:rsidRDefault="003E0FB8" w:rsidP="003E0FB8">
      <w:pPr>
        <w:ind w:left="720" w:hanging="720"/>
        <w:jc w:val="both"/>
        <w:rPr>
          <w:rFonts w:ascii="Arial" w:hAnsi="Arial" w:cs="Arial"/>
          <w:color w:val="7B7B7B" w:themeColor="accent3" w:themeShade="BF"/>
          <w:sz w:val="22"/>
          <w:szCs w:val="22"/>
          <w:lang w:val="en-GB"/>
        </w:rPr>
      </w:pPr>
    </w:p>
    <w:p w14:paraId="49CA5178" w14:textId="3F8009C2" w:rsidR="003E0FB8" w:rsidRPr="003E0FB8" w:rsidRDefault="003E0FB8" w:rsidP="003E0FB8">
      <w:pPr>
        <w:ind w:left="720" w:hanging="720"/>
        <w:jc w:val="both"/>
        <w:rPr>
          <w:rFonts w:ascii="Arial" w:hAnsi="Arial" w:cs="Arial"/>
          <w:color w:val="7B7B7B" w:themeColor="accent3" w:themeShade="BF"/>
          <w:sz w:val="22"/>
          <w:szCs w:val="22"/>
          <w:lang w:val="en-GB"/>
        </w:rPr>
      </w:pPr>
      <w:r w:rsidRPr="003E0FB8">
        <w:rPr>
          <w:rFonts w:ascii="Arial" w:hAnsi="Arial" w:cs="Arial"/>
          <w:color w:val="7B7B7B" w:themeColor="accent3" w:themeShade="BF"/>
          <w:sz w:val="22"/>
          <w:szCs w:val="22"/>
          <w:lang w:val="en-GB"/>
        </w:rPr>
        <w:t>Fletcher elaborated another significant development which entails the appointment of an independent persons to have an over sight responsibility in the debt collection who was or were termed as commissioners to supervise the debtor’s estate. Now, such individuals in modern proceedings are referred as Insolvency Practitioners, a very proactive development in the English Law. The commissioners would not only assess the debtor’s estate and other transactions thereof, but have the power to transfer or dispose of debtor’s assets. This in view of this contributed to the developments regarding debt collection procedures in the English Law.</w:t>
      </w:r>
      <w:r w:rsidR="00371191">
        <w:rPr>
          <w:rStyle w:val="FootnoteReference"/>
          <w:rFonts w:ascii="Arial" w:hAnsi="Arial" w:cs="Arial"/>
          <w:color w:val="7B7B7B" w:themeColor="accent3" w:themeShade="BF"/>
          <w:sz w:val="22"/>
          <w:szCs w:val="22"/>
          <w:lang w:val="en-GB"/>
        </w:rPr>
        <w:footnoteReference w:id="2"/>
      </w:r>
    </w:p>
    <w:p w14:paraId="71A44E7E" w14:textId="77777777" w:rsidR="003E0FB8" w:rsidRPr="003E0FB8" w:rsidRDefault="003E0FB8" w:rsidP="003E0FB8">
      <w:pPr>
        <w:ind w:left="720" w:hanging="720"/>
        <w:jc w:val="both"/>
        <w:rPr>
          <w:rFonts w:ascii="Arial" w:hAnsi="Arial" w:cs="Arial"/>
          <w:color w:val="7B7B7B" w:themeColor="accent3" w:themeShade="BF"/>
          <w:sz w:val="22"/>
          <w:szCs w:val="22"/>
          <w:lang w:val="en-GB"/>
        </w:rPr>
      </w:pPr>
    </w:p>
    <w:p w14:paraId="4764392D" w14:textId="6057E062" w:rsidR="003E0FB8" w:rsidRPr="003E0FB8" w:rsidRDefault="003E0FB8" w:rsidP="003E0FB8">
      <w:pPr>
        <w:ind w:left="720" w:hanging="720"/>
        <w:jc w:val="both"/>
        <w:rPr>
          <w:rFonts w:ascii="Arial" w:hAnsi="Arial" w:cs="Arial"/>
          <w:color w:val="7B7B7B" w:themeColor="accent3" w:themeShade="BF"/>
          <w:sz w:val="22"/>
          <w:szCs w:val="22"/>
          <w:lang w:val="en-GB"/>
        </w:rPr>
      </w:pPr>
      <w:r w:rsidRPr="003E0FB8">
        <w:rPr>
          <w:rFonts w:ascii="Arial" w:hAnsi="Arial" w:cs="Arial"/>
          <w:color w:val="7B7B7B" w:themeColor="accent3" w:themeShade="BF"/>
          <w:sz w:val="22"/>
          <w:szCs w:val="22"/>
          <w:lang w:val="en-GB"/>
        </w:rPr>
        <w:t>Fletcher clearly opines that even though bankruptcy which commenced in the early favoured the creditors, it gave equal treatment of debtor’s assets.</w:t>
      </w:r>
    </w:p>
    <w:p w14:paraId="6AF2417F" w14:textId="77777777" w:rsidR="003E0FB8" w:rsidRPr="003E0FB8" w:rsidRDefault="003E0FB8" w:rsidP="003E0FB8">
      <w:pPr>
        <w:ind w:left="720" w:hanging="720"/>
        <w:jc w:val="both"/>
        <w:rPr>
          <w:rFonts w:ascii="Arial" w:hAnsi="Arial" w:cs="Arial"/>
          <w:color w:val="7B7B7B" w:themeColor="accent3" w:themeShade="BF"/>
          <w:sz w:val="22"/>
          <w:szCs w:val="22"/>
          <w:lang w:val="en-GB"/>
        </w:rPr>
      </w:pPr>
    </w:p>
    <w:p w14:paraId="57BCFC30" w14:textId="14A8AE11" w:rsidR="009B07AD" w:rsidRPr="00205B31" w:rsidRDefault="003E0FB8" w:rsidP="003E0FB8">
      <w:pPr>
        <w:ind w:left="720" w:hanging="720"/>
        <w:jc w:val="both"/>
        <w:rPr>
          <w:rFonts w:ascii="Arial" w:hAnsi="Arial" w:cs="Arial"/>
          <w:sz w:val="22"/>
          <w:szCs w:val="22"/>
          <w:lang w:val="en-GB"/>
        </w:rPr>
      </w:pPr>
      <w:r w:rsidRPr="003E0FB8">
        <w:rPr>
          <w:rFonts w:ascii="Arial" w:hAnsi="Arial" w:cs="Arial"/>
          <w:color w:val="7B7B7B" w:themeColor="accent3" w:themeShade="BF"/>
          <w:sz w:val="22"/>
          <w:szCs w:val="22"/>
          <w:lang w:val="en-GB"/>
        </w:rPr>
        <w:t>Another historical context appraised in the 19th Century is the Chamberlain principles to a good bankrupt which in sum affirms creditors rights over debtor’s assets, appointment on an independent official supervisor to carry out an audit into the affairs of the debtor and the examination of the circumstances which led to the insolvency of the debtor</w:t>
      </w:r>
      <w:r w:rsidR="009B07AD" w:rsidRPr="00205B31">
        <w:rPr>
          <w:rFonts w:ascii="Arial" w:hAnsi="Arial" w:cs="Arial"/>
          <w:color w:val="7B7B7B" w:themeColor="accent3" w:themeShade="BF"/>
          <w:sz w:val="22"/>
          <w:szCs w:val="22"/>
          <w:lang w:val="en-GB"/>
        </w:rPr>
        <w:t>]</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0C82B73" w14:textId="4E7BF225" w:rsidR="00CE4D3B" w:rsidRPr="00CE4D3B" w:rsidRDefault="009B07AD" w:rsidP="00CE4D3B">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E4D3B" w:rsidRPr="00CE4D3B">
        <w:rPr>
          <w:rFonts w:ascii="Arial" w:hAnsi="Arial" w:cs="Arial"/>
          <w:color w:val="7B7B7B" w:themeColor="accent3" w:themeShade="BF"/>
          <w:sz w:val="22"/>
          <w:szCs w:val="22"/>
          <w:lang w:val="en-GB"/>
        </w:rPr>
        <w:t xml:space="preserve">The Royal Assent of the Corporate Insolvency and Governance Act 2020 (CIGA 2020) on 25 June 2020 following the COVID-19 pandemic which caused a major disruption to business not only UK but the whole world. UK introduced both permanent and temporary measures to manage distressed companies. These were some three (3) measures introduced: the restructuring element in the act, relax the provision of suspension of Directors trading while insolvent, statutory filings and the strict timelines were reviewed among others. </w:t>
      </w:r>
      <w:r w:rsidR="00505580">
        <w:rPr>
          <w:rStyle w:val="FootnoteReference"/>
          <w:rFonts w:ascii="Arial" w:hAnsi="Arial" w:cs="Arial"/>
          <w:color w:val="7B7B7B" w:themeColor="accent3" w:themeShade="BF"/>
          <w:sz w:val="22"/>
          <w:szCs w:val="22"/>
          <w:lang w:val="en-GB"/>
        </w:rPr>
        <w:footnoteReference w:id="3"/>
      </w:r>
    </w:p>
    <w:p w14:paraId="0A37A842" w14:textId="77777777" w:rsidR="00CE4D3B" w:rsidRPr="00CE4D3B" w:rsidRDefault="00CE4D3B" w:rsidP="00CE4D3B">
      <w:pPr>
        <w:ind w:left="720" w:hanging="720"/>
        <w:jc w:val="both"/>
        <w:rPr>
          <w:rFonts w:ascii="Arial" w:hAnsi="Arial" w:cs="Arial"/>
          <w:color w:val="7B7B7B" w:themeColor="accent3" w:themeShade="BF"/>
          <w:sz w:val="22"/>
          <w:szCs w:val="22"/>
          <w:lang w:val="en-GB"/>
        </w:rPr>
      </w:pPr>
    </w:p>
    <w:p w14:paraId="143E9869" w14:textId="636C4E05" w:rsidR="00CE4D3B" w:rsidRPr="00CE4D3B" w:rsidRDefault="00CE4D3B" w:rsidP="00CE4D3B">
      <w:pPr>
        <w:ind w:left="720" w:hanging="720"/>
        <w:jc w:val="both"/>
        <w:rPr>
          <w:rFonts w:ascii="Arial" w:hAnsi="Arial" w:cs="Arial"/>
          <w:color w:val="7B7B7B" w:themeColor="accent3" w:themeShade="BF"/>
          <w:sz w:val="22"/>
          <w:szCs w:val="22"/>
          <w:lang w:val="en-GB"/>
        </w:rPr>
      </w:pPr>
      <w:r w:rsidRPr="00CE4D3B">
        <w:rPr>
          <w:rFonts w:ascii="Arial" w:hAnsi="Arial" w:cs="Arial"/>
          <w:color w:val="7B7B7B" w:themeColor="accent3" w:themeShade="BF"/>
          <w:sz w:val="22"/>
          <w:szCs w:val="22"/>
          <w:lang w:val="en-GB"/>
        </w:rPr>
        <w:t xml:space="preserve">First was the introduction of the restructuring elements to allow companies to reorganize and allow them to restructure.  This moratorium allows temporarily distressed companies but viable some “breathing space” executive a restructuring plan through the appointment of an Insolvency Practitioner with oversight responsibilities of the company. In such circumstances, creditors who would otherwise take actions against the company need leave from the Courts and there is a more organized proceeding with maximum participation by Creditors through voting among others. </w:t>
      </w:r>
      <w:r w:rsidR="00505580">
        <w:rPr>
          <w:rStyle w:val="FootnoteReference"/>
          <w:rFonts w:ascii="Arial" w:hAnsi="Arial" w:cs="Arial"/>
          <w:color w:val="7B7B7B" w:themeColor="accent3" w:themeShade="BF"/>
          <w:sz w:val="22"/>
          <w:szCs w:val="22"/>
          <w:lang w:val="en-GB"/>
        </w:rPr>
        <w:footnoteReference w:id="4"/>
      </w:r>
    </w:p>
    <w:p w14:paraId="4069C2F8" w14:textId="77777777" w:rsidR="00CE4D3B" w:rsidRPr="00CE4D3B" w:rsidRDefault="00CE4D3B" w:rsidP="00CE4D3B">
      <w:pPr>
        <w:ind w:left="720" w:hanging="720"/>
        <w:jc w:val="both"/>
        <w:rPr>
          <w:rFonts w:ascii="Arial" w:hAnsi="Arial" w:cs="Arial"/>
          <w:color w:val="7B7B7B" w:themeColor="accent3" w:themeShade="BF"/>
          <w:sz w:val="22"/>
          <w:szCs w:val="22"/>
          <w:lang w:val="en-GB"/>
        </w:rPr>
      </w:pPr>
    </w:p>
    <w:p w14:paraId="3469813B" w14:textId="77777777" w:rsidR="00CE4D3B" w:rsidRPr="00CE4D3B" w:rsidRDefault="00CE4D3B" w:rsidP="00CE4D3B">
      <w:pPr>
        <w:ind w:left="720" w:hanging="720"/>
        <w:jc w:val="both"/>
        <w:rPr>
          <w:rFonts w:ascii="Arial" w:hAnsi="Arial" w:cs="Arial"/>
          <w:color w:val="7B7B7B" w:themeColor="accent3" w:themeShade="BF"/>
          <w:sz w:val="22"/>
          <w:szCs w:val="22"/>
          <w:lang w:val="en-GB"/>
        </w:rPr>
      </w:pPr>
      <w:r w:rsidRPr="00CE4D3B">
        <w:rPr>
          <w:rFonts w:ascii="Arial" w:hAnsi="Arial" w:cs="Arial"/>
          <w:color w:val="7B7B7B" w:themeColor="accent3" w:themeShade="BF"/>
          <w:sz w:val="22"/>
          <w:szCs w:val="22"/>
          <w:lang w:val="en-GB"/>
        </w:rPr>
        <w:t>Secondly, there was the removal of directors’ wrongful trading while insolvent. This takes away the individual liability of a director trading while insolvent.</w:t>
      </w:r>
    </w:p>
    <w:p w14:paraId="4E8F85CE" w14:textId="77777777" w:rsidR="00CE4D3B" w:rsidRPr="00CE4D3B" w:rsidRDefault="00CE4D3B" w:rsidP="00CE4D3B">
      <w:pPr>
        <w:ind w:left="720" w:hanging="720"/>
        <w:jc w:val="both"/>
        <w:rPr>
          <w:rFonts w:ascii="Arial" w:hAnsi="Arial" w:cs="Arial"/>
          <w:color w:val="7B7B7B" w:themeColor="accent3" w:themeShade="BF"/>
          <w:sz w:val="22"/>
          <w:szCs w:val="22"/>
          <w:lang w:val="en-GB"/>
        </w:rPr>
      </w:pPr>
    </w:p>
    <w:p w14:paraId="2F57801B" w14:textId="00579E05" w:rsidR="009B07AD" w:rsidRPr="00205B31" w:rsidRDefault="00741E20" w:rsidP="00CE4D3B">
      <w:pPr>
        <w:ind w:left="720" w:hanging="720"/>
        <w:jc w:val="both"/>
        <w:rPr>
          <w:rFonts w:ascii="Arial" w:hAnsi="Arial" w:cs="Arial"/>
          <w:sz w:val="22"/>
          <w:szCs w:val="22"/>
          <w:lang w:val="en-GB"/>
        </w:rPr>
      </w:pPr>
      <w:r w:rsidRPr="00CE4D3B">
        <w:rPr>
          <w:rFonts w:ascii="Arial" w:hAnsi="Arial" w:cs="Arial"/>
          <w:color w:val="7B7B7B" w:themeColor="accent3" w:themeShade="BF"/>
          <w:sz w:val="22"/>
          <w:szCs w:val="22"/>
          <w:lang w:val="en-GB"/>
        </w:rPr>
        <w:t>Finally,</w:t>
      </w:r>
      <w:r w:rsidR="00CE4D3B" w:rsidRPr="00CE4D3B">
        <w:rPr>
          <w:rFonts w:ascii="Arial" w:hAnsi="Arial" w:cs="Arial"/>
          <w:color w:val="7B7B7B" w:themeColor="accent3" w:themeShade="BF"/>
          <w:sz w:val="22"/>
          <w:szCs w:val="22"/>
          <w:lang w:val="en-GB"/>
        </w:rPr>
        <w:t xml:space="preserve"> easing of the requirement for Annual general meetings and the stator filings such as returns among others during the period. There were among the measures taken UK</w:t>
      </w:r>
      <w:r w:rsidR="009B07AD" w:rsidRPr="00205B31">
        <w:rPr>
          <w:rFonts w:ascii="Arial" w:hAnsi="Arial" w:cs="Arial"/>
          <w:color w:val="7B7B7B" w:themeColor="accent3" w:themeShade="BF"/>
          <w:sz w:val="22"/>
          <w:szCs w:val="22"/>
          <w:lang w:val="en-GB"/>
        </w:rPr>
        <w:t>]</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21A886" w14:textId="61F40360" w:rsidR="00DD39C9" w:rsidRDefault="00C72848" w:rsidP="00B7193E">
      <w:pPr>
        <w:ind w:left="720" w:hanging="720"/>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[T</w:t>
      </w:r>
      <w:r w:rsidR="00BF6A24">
        <w:rPr>
          <w:rFonts w:ascii="Arial" w:hAnsi="Arial" w:cs="Arial"/>
          <w:color w:val="7B7B7B" w:themeColor="accent3" w:themeShade="BF"/>
          <w:sz w:val="22"/>
          <w:szCs w:val="22"/>
          <w:lang w:val="en-GB"/>
        </w:rPr>
        <w:t xml:space="preserve">reaties or convention are agreements which ultimately binds two or more countries together in recognition and implementation of its laws. These opens up for enforcement of laws </w:t>
      </w:r>
      <w:r w:rsidR="00BF5E01">
        <w:rPr>
          <w:rFonts w:ascii="Arial" w:hAnsi="Arial" w:cs="Arial"/>
          <w:color w:val="7B7B7B" w:themeColor="accent3" w:themeShade="BF"/>
          <w:sz w:val="22"/>
          <w:szCs w:val="22"/>
          <w:lang w:val="en-GB"/>
        </w:rPr>
        <w:t xml:space="preserve">to deal with insolvency issues. Evidently, a number of bilateral and multilateral </w:t>
      </w:r>
      <w:r w:rsidR="00486B9F">
        <w:rPr>
          <w:rFonts w:ascii="Arial" w:hAnsi="Arial" w:cs="Arial"/>
          <w:color w:val="7B7B7B" w:themeColor="accent3" w:themeShade="BF"/>
          <w:sz w:val="22"/>
          <w:szCs w:val="22"/>
          <w:lang w:val="en-GB"/>
        </w:rPr>
        <w:t>treaties in</w:t>
      </w:r>
      <w:r w:rsidR="00BF5E01">
        <w:rPr>
          <w:rFonts w:ascii="Arial" w:hAnsi="Arial" w:cs="Arial"/>
          <w:color w:val="7B7B7B" w:themeColor="accent3" w:themeShade="BF"/>
          <w:sz w:val="22"/>
          <w:szCs w:val="22"/>
          <w:lang w:val="en-GB"/>
        </w:rPr>
        <w:t xml:space="preserve"> their recognition, jurisdiction and enforcement. An example is the </w:t>
      </w:r>
      <w:proofErr w:type="spellStart"/>
      <w:r w:rsidR="00BF5E01">
        <w:rPr>
          <w:rFonts w:ascii="Arial" w:hAnsi="Arial" w:cs="Arial"/>
          <w:color w:val="7B7B7B" w:themeColor="accent3" w:themeShade="BF"/>
          <w:sz w:val="22"/>
          <w:szCs w:val="22"/>
          <w:lang w:val="en-GB"/>
        </w:rPr>
        <w:t>Nodiac</w:t>
      </w:r>
      <w:proofErr w:type="spellEnd"/>
      <w:r w:rsidR="00BF5E01">
        <w:rPr>
          <w:rFonts w:ascii="Arial" w:hAnsi="Arial" w:cs="Arial"/>
          <w:color w:val="7B7B7B" w:themeColor="accent3" w:themeShade="BF"/>
          <w:sz w:val="22"/>
          <w:szCs w:val="22"/>
          <w:lang w:val="en-GB"/>
        </w:rPr>
        <w:t xml:space="preserve"> Convention</w:t>
      </w:r>
      <w:r w:rsidR="00F45466">
        <w:rPr>
          <w:rFonts w:ascii="Arial" w:hAnsi="Arial" w:cs="Arial"/>
          <w:color w:val="7B7B7B" w:themeColor="accent3" w:themeShade="BF"/>
          <w:sz w:val="22"/>
          <w:szCs w:val="22"/>
          <w:lang w:val="en-GB"/>
        </w:rPr>
        <w:t xml:space="preserve"> (1933)</w:t>
      </w:r>
      <w:r w:rsidR="00434196">
        <w:rPr>
          <w:rFonts w:ascii="Arial" w:hAnsi="Arial" w:cs="Arial"/>
          <w:color w:val="7B7B7B" w:themeColor="accent3" w:themeShade="BF"/>
          <w:sz w:val="22"/>
          <w:szCs w:val="22"/>
          <w:lang w:val="en-GB"/>
        </w:rPr>
        <w:t xml:space="preserve"> and Mo</w:t>
      </w:r>
      <w:r w:rsidR="00F45466">
        <w:rPr>
          <w:rFonts w:ascii="Arial" w:hAnsi="Arial" w:cs="Arial"/>
          <w:color w:val="7B7B7B" w:themeColor="accent3" w:themeShade="BF"/>
          <w:sz w:val="22"/>
          <w:szCs w:val="22"/>
          <w:lang w:val="en-GB"/>
        </w:rPr>
        <w:t>n</w:t>
      </w:r>
      <w:r w:rsidR="00434196">
        <w:rPr>
          <w:rFonts w:ascii="Arial" w:hAnsi="Arial" w:cs="Arial"/>
          <w:color w:val="7B7B7B" w:themeColor="accent3" w:themeShade="BF"/>
          <w:sz w:val="22"/>
          <w:szCs w:val="22"/>
          <w:lang w:val="en-GB"/>
        </w:rPr>
        <w:t>tevideo Treaties (1889) and (19</w:t>
      </w:r>
      <w:r w:rsidR="00F45466">
        <w:rPr>
          <w:rFonts w:ascii="Arial" w:hAnsi="Arial" w:cs="Arial"/>
          <w:color w:val="7B7B7B" w:themeColor="accent3" w:themeShade="BF"/>
          <w:sz w:val="22"/>
          <w:szCs w:val="22"/>
          <w:lang w:val="en-GB"/>
        </w:rPr>
        <w:t>40) among others. Some were not successful especially in the early 19</w:t>
      </w:r>
      <w:r w:rsidR="00F45466" w:rsidRPr="00F45466">
        <w:rPr>
          <w:rFonts w:ascii="Arial" w:hAnsi="Arial" w:cs="Arial"/>
          <w:color w:val="7B7B7B" w:themeColor="accent3" w:themeShade="BF"/>
          <w:sz w:val="22"/>
          <w:szCs w:val="22"/>
          <w:vertAlign w:val="superscript"/>
          <w:lang w:val="en-GB"/>
        </w:rPr>
        <w:t>th</w:t>
      </w:r>
      <w:r w:rsidR="00F45466">
        <w:rPr>
          <w:rFonts w:ascii="Arial" w:hAnsi="Arial" w:cs="Arial"/>
          <w:color w:val="7B7B7B" w:themeColor="accent3" w:themeShade="BF"/>
          <w:sz w:val="22"/>
          <w:szCs w:val="22"/>
          <w:lang w:val="en-GB"/>
        </w:rPr>
        <w:t xml:space="preserve"> century in Europe.</w:t>
      </w:r>
      <w:r w:rsidR="00BF5E01">
        <w:rPr>
          <w:rFonts w:ascii="Arial" w:hAnsi="Arial" w:cs="Arial"/>
          <w:color w:val="7B7B7B" w:themeColor="accent3" w:themeShade="BF"/>
          <w:sz w:val="22"/>
          <w:szCs w:val="22"/>
          <w:lang w:val="en-GB"/>
        </w:rPr>
        <w:t xml:space="preserve"> </w:t>
      </w:r>
      <w:r w:rsidR="00486B9F">
        <w:rPr>
          <w:rFonts w:ascii="Arial" w:hAnsi="Arial" w:cs="Arial"/>
          <w:color w:val="7B7B7B" w:themeColor="accent3" w:themeShade="BF"/>
          <w:sz w:val="22"/>
          <w:szCs w:val="22"/>
          <w:lang w:val="en-GB"/>
        </w:rPr>
        <w:t>In treaties, ones</w:t>
      </w:r>
      <w:r w:rsidR="00DD39C9">
        <w:rPr>
          <w:rFonts w:ascii="Arial" w:hAnsi="Arial" w:cs="Arial"/>
          <w:color w:val="7B7B7B" w:themeColor="accent3" w:themeShade="BF"/>
          <w:sz w:val="22"/>
          <w:szCs w:val="22"/>
          <w:lang w:val="en-GB"/>
        </w:rPr>
        <w:t xml:space="preserve"> state or countries to this agreement signs, the insolvency proceedings becomes binding on them. </w:t>
      </w:r>
    </w:p>
    <w:p w14:paraId="5EF9A5F4" w14:textId="77777777" w:rsidR="00DD39C9" w:rsidRDefault="00DD39C9" w:rsidP="00B7193E">
      <w:pPr>
        <w:ind w:left="720" w:hanging="720"/>
        <w:jc w:val="both"/>
        <w:rPr>
          <w:rFonts w:ascii="Arial" w:hAnsi="Arial" w:cs="Arial"/>
          <w:color w:val="7B7B7B" w:themeColor="accent3" w:themeShade="BF"/>
          <w:sz w:val="22"/>
          <w:szCs w:val="22"/>
          <w:lang w:val="en-GB"/>
        </w:rPr>
      </w:pPr>
    </w:p>
    <w:p w14:paraId="78DB9FD8" w14:textId="32950332" w:rsidR="00C72848" w:rsidRPr="00205B31" w:rsidRDefault="00BF5E01"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 “Soft Law”  body of knowledge and special guide which have been carefully designed to facilitate cross-border issues</w:t>
      </w:r>
      <w:r w:rsidR="00486B9F">
        <w:rPr>
          <w:rFonts w:ascii="Arial" w:hAnsi="Arial" w:cs="Arial"/>
          <w:color w:val="7B7B7B" w:themeColor="accent3" w:themeShade="BF"/>
          <w:sz w:val="22"/>
          <w:szCs w:val="22"/>
          <w:lang w:val="en-GB"/>
        </w:rPr>
        <w:t xml:space="preserve">. “Soft law” such as the </w:t>
      </w:r>
      <w:r w:rsidR="00620184">
        <w:rPr>
          <w:rFonts w:ascii="Arial" w:hAnsi="Arial" w:cs="Arial"/>
          <w:color w:val="7B7B7B" w:themeColor="accent3" w:themeShade="BF"/>
          <w:sz w:val="22"/>
          <w:szCs w:val="22"/>
          <w:lang w:val="en-GB"/>
        </w:rPr>
        <w:t>UNCITRAL These</w:t>
      </w:r>
      <w:r w:rsidR="002E1CC8">
        <w:rPr>
          <w:rFonts w:ascii="Arial" w:hAnsi="Arial" w:cs="Arial"/>
          <w:color w:val="7B7B7B" w:themeColor="accent3" w:themeShade="BF"/>
          <w:sz w:val="22"/>
          <w:szCs w:val="22"/>
          <w:lang w:val="en-GB"/>
        </w:rPr>
        <w:t xml:space="preserve"> can be used to establish cross-border insolvency</w:t>
      </w:r>
      <w:r w:rsidR="00F941E5">
        <w:rPr>
          <w:rFonts w:ascii="Arial" w:hAnsi="Arial" w:cs="Arial"/>
          <w:color w:val="7B7B7B" w:themeColor="accent3" w:themeShade="BF"/>
          <w:sz w:val="22"/>
          <w:szCs w:val="22"/>
          <w:lang w:val="en-GB"/>
        </w:rPr>
        <w:t>. This</w:t>
      </w:r>
      <w:r w:rsidR="002E1CC8">
        <w:rPr>
          <w:rFonts w:ascii="Arial" w:hAnsi="Arial" w:cs="Arial"/>
          <w:color w:val="7B7B7B" w:themeColor="accent3" w:themeShade="BF"/>
          <w:sz w:val="22"/>
          <w:szCs w:val="22"/>
          <w:lang w:val="en-GB"/>
        </w:rPr>
        <w:t xml:space="preserve"> </w:t>
      </w:r>
      <w:r w:rsidR="000C541D">
        <w:rPr>
          <w:rFonts w:ascii="Arial" w:hAnsi="Arial" w:cs="Arial"/>
          <w:color w:val="7B7B7B" w:themeColor="accent3" w:themeShade="BF"/>
          <w:sz w:val="22"/>
          <w:szCs w:val="22"/>
          <w:lang w:val="en-GB"/>
        </w:rPr>
        <w:t xml:space="preserve">are option promulgated by multinational organisations such as the Hague Conference on Private International Law, United Nations Commission on International Trade Law (UNCITRAL), Unification of Private Law (UNIDROIT) , World Bank, INSOL among others with special guidelines to assist nations in matters of procedures in enforcement of their law. They may be adopted by a country to facilitate their insolvency system. Soft Law can establish Cross-Border proceedings when the other country or state of which the insolvent debtor exist are signatories to this </w:t>
      </w:r>
      <w:r w:rsidR="00620184">
        <w:rPr>
          <w:rFonts w:ascii="Arial" w:hAnsi="Arial" w:cs="Arial"/>
          <w:color w:val="7B7B7B" w:themeColor="accent3" w:themeShade="BF"/>
          <w:sz w:val="22"/>
          <w:szCs w:val="22"/>
          <w:lang w:val="en-GB"/>
        </w:rPr>
        <w:t xml:space="preserve">guide. Soft Law are often illustrative and option seeks to harmonise laws and defines where appropriate the approach to use </w:t>
      </w:r>
      <w:proofErr w:type="spellStart"/>
      <w:r w:rsidR="00620184">
        <w:rPr>
          <w:rFonts w:ascii="Arial" w:hAnsi="Arial" w:cs="Arial"/>
          <w:color w:val="7B7B7B" w:themeColor="accent3" w:themeShade="BF"/>
          <w:sz w:val="22"/>
          <w:szCs w:val="22"/>
          <w:lang w:val="en-GB"/>
        </w:rPr>
        <w:t>accordindly</w:t>
      </w:r>
      <w:proofErr w:type="spellEnd"/>
      <w:r w:rsidR="00620184">
        <w:rPr>
          <w:rFonts w:ascii="Arial" w:hAnsi="Arial" w:cs="Arial"/>
          <w:color w:val="7B7B7B" w:themeColor="accent3" w:themeShade="BF"/>
          <w:sz w:val="22"/>
          <w:szCs w:val="22"/>
          <w:lang w:val="en-GB"/>
        </w:rPr>
        <w:t>.</w:t>
      </w:r>
      <w:r w:rsidR="00F45466">
        <w:rPr>
          <w:rFonts w:ascii="Arial" w:hAnsi="Arial" w:cs="Arial"/>
          <w:color w:val="7B7B7B" w:themeColor="accent3" w:themeShade="BF"/>
          <w:sz w:val="22"/>
          <w:szCs w:val="22"/>
          <w:lang w:val="en-GB"/>
        </w:rPr>
        <w:t xml:space="preserve"> </w:t>
      </w:r>
      <w:r w:rsidR="00C72848" w:rsidRPr="00205B31">
        <w:rPr>
          <w:rFonts w:ascii="Arial" w:hAnsi="Arial" w:cs="Arial"/>
          <w:color w:val="7B7B7B" w:themeColor="accent3" w:themeShade="BF"/>
          <w:sz w:val="22"/>
          <w:szCs w:val="22"/>
          <w:lang w:val="en-GB"/>
        </w:rPr>
        <w:t>]</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059DC378"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413A7F">
        <w:rPr>
          <w:rFonts w:ascii="Arial" w:hAnsi="Arial" w:cs="Arial"/>
          <w:color w:val="7B7B7B" w:themeColor="accent3" w:themeShade="BF"/>
          <w:sz w:val="22"/>
          <w:szCs w:val="22"/>
          <w:lang w:val="en-GB"/>
        </w:rPr>
        <w:t xml:space="preserve">The United State of America (USA) has a unified code which regulates insolvency proceedings. The Bankruptcy Code (1978) for instance takes precedence in the entire states </w:t>
      </w:r>
      <w:r w:rsidR="00413A7F">
        <w:rPr>
          <w:rFonts w:ascii="Arial" w:hAnsi="Arial" w:cs="Arial"/>
          <w:color w:val="7B7B7B" w:themeColor="accent3" w:themeShade="BF"/>
          <w:sz w:val="22"/>
          <w:szCs w:val="22"/>
          <w:lang w:val="en-GB"/>
        </w:rPr>
        <w:lastRenderedPageBreak/>
        <w:t>due to the federal piece of legislation</w:t>
      </w:r>
      <w:r w:rsidR="00924F5E">
        <w:rPr>
          <w:rFonts w:ascii="Arial" w:hAnsi="Arial" w:cs="Arial"/>
          <w:color w:val="7B7B7B" w:themeColor="accent3" w:themeShade="BF"/>
          <w:sz w:val="22"/>
          <w:szCs w:val="22"/>
          <w:lang w:val="en-GB"/>
        </w:rPr>
        <w:t xml:space="preserve"> it processes. </w:t>
      </w:r>
      <w:r w:rsidR="00413A7F">
        <w:rPr>
          <w:rFonts w:ascii="Arial" w:hAnsi="Arial" w:cs="Arial"/>
          <w:color w:val="7B7B7B" w:themeColor="accent3" w:themeShade="BF"/>
          <w:sz w:val="22"/>
          <w:szCs w:val="22"/>
          <w:lang w:val="en-GB"/>
        </w:rPr>
        <w:t xml:space="preserve"> The Code provides key areas such Chapter 7 (Liquidation), Chapter 9 (</w:t>
      </w:r>
      <w:r w:rsidR="006506F0">
        <w:rPr>
          <w:rFonts w:ascii="Arial" w:hAnsi="Arial" w:cs="Arial"/>
          <w:color w:val="7B7B7B" w:themeColor="accent3" w:themeShade="BF"/>
          <w:sz w:val="22"/>
          <w:szCs w:val="22"/>
          <w:lang w:val="en-GB"/>
        </w:rPr>
        <w:t>Municipalities)</w:t>
      </w:r>
      <w:r w:rsidR="00413A7F">
        <w:rPr>
          <w:rFonts w:ascii="Arial" w:hAnsi="Arial" w:cs="Arial"/>
          <w:color w:val="7B7B7B" w:themeColor="accent3" w:themeShade="BF"/>
          <w:sz w:val="22"/>
          <w:szCs w:val="22"/>
          <w:lang w:val="en-GB"/>
        </w:rPr>
        <w:t>, Chapter 11 (reorganisation), Chapter 12 (Family Farmer)</w:t>
      </w:r>
      <w:r w:rsidR="00752D34">
        <w:rPr>
          <w:rFonts w:ascii="Arial" w:hAnsi="Arial" w:cs="Arial"/>
          <w:color w:val="7B7B7B" w:themeColor="accent3" w:themeShade="BF"/>
          <w:sz w:val="22"/>
          <w:szCs w:val="22"/>
          <w:lang w:val="en-GB"/>
        </w:rPr>
        <w:t xml:space="preserve">, Chapter 13 (rescheduling of debt (repayment plan) which interact with each other. There </w:t>
      </w:r>
      <w:r w:rsidR="006506F0">
        <w:rPr>
          <w:rFonts w:ascii="Arial" w:hAnsi="Arial" w:cs="Arial"/>
          <w:color w:val="7B7B7B" w:themeColor="accent3" w:themeShade="BF"/>
          <w:sz w:val="22"/>
          <w:szCs w:val="22"/>
          <w:lang w:val="en-GB"/>
        </w:rPr>
        <w:t>are</w:t>
      </w:r>
      <w:r w:rsidR="00752D34">
        <w:rPr>
          <w:rFonts w:ascii="Arial" w:hAnsi="Arial" w:cs="Arial"/>
          <w:color w:val="7B7B7B" w:themeColor="accent3" w:themeShade="BF"/>
          <w:sz w:val="22"/>
          <w:szCs w:val="22"/>
          <w:lang w:val="en-GB"/>
        </w:rPr>
        <w:t xml:space="preserve"> other legislation which also form the bases of the USA law which connects with issues which involves taxes, labour issues, fraud or criminal in nature. These laws interact with each other and the Courts reserves the rights to apply such law when an insolvency practitioner presents a matter which the court considers the right forum to hear the matter</w:t>
      </w:r>
      <w:r w:rsidR="00FF09D0">
        <w:rPr>
          <w:rFonts w:ascii="Arial" w:hAnsi="Arial" w:cs="Arial"/>
          <w:color w:val="7B7B7B" w:themeColor="accent3" w:themeShade="BF"/>
          <w:sz w:val="22"/>
          <w:szCs w:val="22"/>
          <w:lang w:val="en-GB"/>
        </w:rPr>
        <w:t xml:space="preserve">. Another interesting area which Review Commission of </w:t>
      </w:r>
      <w:r w:rsidR="009113F9">
        <w:rPr>
          <w:rFonts w:ascii="Arial" w:hAnsi="Arial" w:cs="Arial"/>
          <w:color w:val="7B7B7B" w:themeColor="accent3" w:themeShade="BF"/>
          <w:sz w:val="22"/>
          <w:szCs w:val="22"/>
          <w:lang w:val="en-GB"/>
        </w:rPr>
        <w:t>1990’s led to the promulgation of the Bankruptcy Abuse Prevention and Consumer Protection Act, 2005 (BABCAPA). This reforms generally introduces “Fresh start” to debtors when they apply such actions thereof. Also,  in 2019 there was an introduction of Sub-Chapter V of Chapter 11 which deals with reorganisation of small businesse</w:t>
      </w:r>
      <w:r w:rsidR="003A6499">
        <w:rPr>
          <w:rFonts w:ascii="Arial" w:hAnsi="Arial" w:cs="Arial"/>
          <w:color w:val="7B7B7B" w:themeColor="accent3" w:themeShade="BF"/>
          <w:sz w:val="22"/>
          <w:szCs w:val="22"/>
          <w:lang w:val="en-GB"/>
        </w:rPr>
        <w:t>s.</w:t>
      </w:r>
      <w:r w:rsidR="009113F9">
        <w:rPr>
          <w:rFonts w:ascii="Arial" w:hAnsi="Arial" w:cs="Arial"/>
          <w:color w:val="7B7B7B" w:themeColor="accent3" w:themeShade="BF"/>
          <w:sz w:val="22"/>
          <w:szCs w:val="22"/>
          <w:lang w:val="en-GB"/>
        </w:rPr>
        <w:t xml:space="preserve"> In view of these, the America Insolvency law </w:t>
      </w:r>
      <w:r w:rsidR="003A6499">
        <w:rPr>
          <w:rFonts w:ascii="Arial" w:hAnsi="Arial" w:cs="Arial"/>
          <w:color w:val="7B7B7B" w:themeColor="accent3" w:themeShade="BF"/>
          <w:sz w:val="22"/>
          <w:szCs w:val="22"/>
          <w:lang w:val="en-GB"/>
        </w:rPr>
        <w:t>interact which each other. Ultimately, the code recognises UNCITRAL Model Law provisions</w:t>
      </w:r>
      <w:r w:rsidRPr="00205B31">
        <w:rPr>
          <w:rFonts w:ascii="Arial" w:hAnsi="Arial" w:cs="Arial"/>
          <w:color w:val="7B7B7B" w:themeColor="accent3" w:themeShade="BF"/>
          <w:sz w:val="22"/>
          <w:szCs w:val="22"/>
          <w:lang w:val="en-GB"/>
        </w:rPr>
        <w:t>]</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r w:rsidRPr="00205B31">
        <w:rPr>
          <w:rFonts w:ascii="Arial" w:hAnsi="Arial" w:cs="Arial"/>
          <w:sz w:val="22"/>
          <w:szCs w:val="22"/>
          <w:lang w:val="en-GB"/>
        </w:rPr>
        <w:t>A number of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In an attempt to bring the “cross-border” aspects and the “insolvency” aspects together, </w:t>
      </w:r>
      <w:bookmarkStart w:id="4" w:name="_Hlk87808309"/>
      <w:r w:rsidRPr="00205B31">
        <w:rPr>
          <w:rFonts w:ascii="Arial" w:hAnsi="Arial" w:cs="Arial"/>
          <w:sz w:val="22"/>
          <w:szCs w:val="22"/>
          <w:lang w:val="en-GB"/>
        </w:rPr>
        <w:t>Fletcher asks three</w:t>
      </w:r>
      <w:bookmarkEnd w:id="4"/>
      <w:r w:rsidRPr="00205B31">
        <w:rPr>
          <w:rFonts w:ascii="Arial" w:hAnsi="Arial" w:cs="Arial"/>
          <w:sz w:val="22"/>
          <w:szCs w:val="22"/>
          <w:lang w:val="en-GB"/>
        </w:rPr>
        <w:t xml:space="preserv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594AB537" w14:textId="77777777" w:rsidR="008B6678" w:rsidRPr="008B6678" w:rsidRDefault="00DF75F8" w:rsidP="008B6678">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8B6678" w:rsidRPr="008B6678">
        <w:rPr>
          <w:rFonts w:ascii="Arial" w:hAnsi="Arial" w:cs="Arial"/>
          <w:color w:val="7B7B7B" w:themeColor="accent3" w:themeShade="BF"/>
          <w:sz w:val="22"/>
          <w:szCs w:val="22"/>
          <w:lang w:val="en-GB"/>
        </w:rPr>
        <w:t>Fletcher asked three main question</w:t>
      </w:r>
    </w:p>
    <w:p w14:paraId="2216D779" w14:textId="77777777" w:rsidR="008B6678" w:rsidRPr="008B6678" w:rsidRDefault="008B6678" w:rsidP="008B6678">
      <w:pPr>
        <w:jc w:val="both"/>
        <w:rPr>
          <w:rFonts w:ascii="Arial" w:hAnsi="Arial" w:cs="Arial"/>
          <w:color w:val="7B7B7B" w:themeColor="accent3" w:themeShade="BF"/>
          <w:sz w:val="22"/>
          <w:szCs w:val="22"/>
          <w:lang w:val="en-GB"/>
        </w:rPr>
      </w:pPr>
      <w:r w:rsidRPr="008B6678">
        <w:rPr>
          <w:rFonts w:ascii="Arial" w:hAnsi="Arial" w:cs="Arial"/>
          <w:color w:val="7B7B7B" w:themeColor="accent3" w:themeShade="BF"/>
          <w:sz w:val="22"/>
          <w:szCs w:val="22"/>
          <w:lang w:val="en-GB"/>
        </w:rPr>
        <w:t>“1. In which jurisdiction may insolvency proceedings be opened?</w:t>
      </w:r>
    </w:p>
    <w:p w14:paraId="61550449" w14:textId="77777777" w:rsidR="008B6678" w:rsidRPr="008B6678" w:rsidRDefault="008B6678" w:rsidP="008B6678">
      <w:pPr>
        <w:jc w:val="both"/>
        <w:rPr>
          <w:rFonts w:ascii="Arial" w:hAnsi="Arial" w:cs="Arial"/>
          <w:color w:val="7B7B7B" w:themeColor="accent3" w:themeShade="BF"/>
          <w:sz w:val="22"/>
          <w:szCs w:val="22"/>
          <w:lang w:val="en-GB"/>
        </w:rPr>
      </w:pPr>
      <w:r w:rsidRPr="008B6678">
        <w:rPr>
          <w:rFonts w:ascii="Arial" w:hAnsi="Arial" w:cs="Arial"/>
          <w:color w:val="7B7B7B" w:themeColor="accent3" w:themeShade="BF"/>
          <w:sz w:val="22"/>
          <w:szCs w:val="22"/>
          <w:lang w:val="en-GB"/>
        </w:rPr>
        <w:t xml:space="preserve"> 2. What country’s law should be applied in respect of different aspects of the case?</w:t>
      </w:r>
    </w:p>
    <w:p w14:paraId="159261BA" w14:textId="390964FB" w:rsidR="008B6678" w:rsidRDefault="008B6678" w:rsidP="008B6678">
      <w:pPr>
        <w:jc w:val="both"/>
        <w:rPr>
          <w:rFonts w:ascii="Arial" w:hAnsi="Arial" w:cs="Arial"/>
          <w:color w:val="7B7B7B" w:themeColor="accent3" w:themeShade="BF"/>
          <w:sz w:val="22"/>
          <w:szCs w:val="22"/>
          <w:lang w:val="en-GB"/>
        </w:rPr>
      </w:pPr>
      <w:r w:rsidRPr="008B6678">
        <w:rPr>
          <w:rFonts w:ascii="Arial" w:hAnsi="Arial" w:cs="Arial"/>
          <w:color w:val="7B7B7B" w:themeColor="accent3" w:themeShade="BF"/>
          <w:sz w:val="22"/>
          <w:szCs w:val="22"/>
          <w:lang w:val="en-GB"/>
        </w:rPr>
        <w:t xml:space="preserve"> 3. What international effects will be accorded to proceedings conducted at a particular forum (including issues of enforcement)? “</w:t>
      </w:r>
      <w:r>
        <w:rPr>
          <w:rStyle w:val="FootnoteReference"/>
          <w:rFonts w:ascii="Arial" w:hAnsi="Arial" w:cs="Arial"/>
          <w:color w:val="7B7B7B" w:themeColor="accent3" w:themeShade="BF"/>
          <w:sz w:val="22"/>
          <w:szCs w:val="22"/>
          <w:lang w:val="en-GB"/>
        </w:rPr>
        <w:footnoteReference w:id="5"/>
      </w:r>
    </w:p>
    <w:p w14:paraId="4D48331A" w14:textId="77777777" w:rsidR="008B6678" w:rsidRPr="008B6678" w:rsidRDefault="008B6678" w:rsidP="008B6678">
      <w:pPr>
        <w:jc w:val="both"/>
        <w:rPr>
          <w:rFonts w:ascii="Arial" w:hAnsi="Arial" w:cs="Arial"/>
          <w:color w:val="7B7B7B" w:themeColor="accent3" w:themeShade="BF"/>
          <w:sz w:val="22"/>
          <w:szCs w:val="22"/>
          <w:lang w:val="en-GB"/>
        </w:rPr>
      </w:pPr>
    </w:p>
    <w:p w14:paraId="3472DBD1" w14:textId="7EFC0EEC" w:rsidR="004848C6" w:rsidRDefault="008B6678" w:rsidP="008B6678">
      <w:pPr>
        <w:jc w:val="both"/>
        <w:rPr>
          <w:rFonts w:ascii="Arial" w:hAnsi="Arial" w:cs="Arial"/>
          <w:color w:val="7B7B7B" w:themeColor="accent3" w:themeShade="BF"/>
          <w:sz w:val="22"/>
          <w:szCs w:val="22"/>
          <w:lang w:val="en-GB"/>
        </w:rPr>
      </w:pPr>
      <w:r w:rsidRPr="008B6678">
        <w:rPr>
          <w:rFonts w:ascii="Arial" w:hAnsi="Arial" w:cs="Arial"/>
          <w:color w:val="7B7B7B" w:themeColor="accent3" w:themeShade="BF"/>
          <w:sz w:val="22"/>
          <w:szCs w:val="22"/>
          <w:lang w:val="en-GB"/>
        </w:rPr>
        <w:t>First of all, the issues about the jurisdiction to open a proceeding clearly raises the concern about the choice of forum. This takes into account the forum in which the parties to the proceedings may consider. Typically, most insolvency proceedings within a local jurisdiction are commences at a High Courts. Also, there may be other issues which may arise and must be heard at other specified Courts which directly affects the insolvency proceedings. For instance, labour or criminal issues among others which may require a specialized Courts to handle such proceedings. Fletcher raises these concerns in an attempt to proffer recommendations in dealing with foreign proceedings and a consideration of local courts may hear the case.</w:t>
      </w:r>
    </w:p>
    <w:p w14:paraId="26D568B3" w14:textId="77777777" w:rsidR="004848C6" w:rsidRDefault="004848C6" w:rsidP="008B6678">
      <w:pPr>
        <w:jc w:val="both"/>
        <w:rPr>
          <w:rFonts w:ascii="Arial" w:hAnsi="Arial" w:cs="Arial"/>
          <w:color w:val="7B7B7B" w:themeColor="accent3" w:themeShade="BF"/>
          <w:sz w:val="22"/>
          <w:szCs w:val="22"/>
          <w:lang w:val="en-GB"/>
        </w:rPr>
      </w:pPr>
    </w:p>
    <w:p w14:paraId="6E82C533" w14:textId="641E6355" w:rsidR="004848C6" w:rsidRDefault="004848C6" w:rsidP="004848C6">
      <w:pPr>
        <w:jc w:val="both"/>
        <w:rPr>
          <w:rFonts w:ascii="Arial" w:hAnsi="Arial" w:cs="Arial"/>
          <w:color w:val="7B7B7B" w:themeColor="accent3" w:themeShade="BF"/>
          <w:sz w:val="22"/>
          <w:szCs w:val="22"/>
          <w:lang w:val="en-GB"/>
        </w:rPr>
      </w:pPr>
      <w:r w:rsidRPr="004848C6">
        <w:rPr>
          <w:rFonts w:ascii="Arial" w:hAnsi="Arial" w:cs="Arial"/>
          <w:color w:val="7B7B7B" w:themeColor="accent3" w:themeShade="BF"/>
          <w:sz w:val="22"/>
          <w:szCs w:val="22"/>
          <w:lang w:val="en-GB"/>
        </w:rPr>
        <w:t xml:space="preserve">Secondly, the issues about the law to be applied at a different aspect of the case hinges around recognition of the judgement, enforcements and the possible cause and effect. In an attempt to execute a foreign judgement, issues such as the type of judgments, the Courts that issued the judgement and the effect of the judgement are very paramount and must be taken into account. Fletcher opines that in executing an insolvency judgement, it becomes apparent that the matter many not set aside any incumbrances in the debtors estate rather the full enforcement whether commencement order was sort after or involving in matters that compels the debtor to pay its debts at a specified duration. </w:t>
      </w:r>
    </w:p>
    <w:p w14:paraId="7CD59894" w14:textId="77777777" w:rsidR="004848C6" w:rsidRPr="004848C6" w:rsidRDefault="004848C6" w:rsidP="004848C6">
      <w:pPr>
        <w:jc w:val="both"/>
        <w:rPr>
          <w:rFonts w:ascii="Arial" w:hAnsi="Arial" w:cs="Arial"/>
          <w:color w:val="7B7B7B" w:themeColor="accent3" w:themeShade="BF"/>
          <w:sz w:val="22"/>
          <w:szCs w:val="22"/>
          <w:lang w:val="en-GB"/>
        </w:rPr>
      </w:pPr>
    </w:p>
    <w:p w14:paraId="29D43774" w14:textId="294B6AC4" w:rsidR="004848C6" w:rsidRDefault="004848C6" w:rsidP="004848C6">
      <w:pPr>
        <w:jc w:val="both"/>
        <w:rPr>
          <w:rFonts w:ascii="Arial" w:hAnsi="Arial" w:cs="Arial"/>
          <w:color w:val="7B7B7B" w:themeColor="accent3" w:themeShade="BF"/>
          <w:sz w:val="22"/>
          <w:szCs w:val="22"/>
          <w:lang w:val="en-GB"/>
        </w:rPr>
      </w:pPr>
      <w:r w:rsidRPr="004848C6">
        <w:rPr>
          <w:rFonts w:ascii="Arial" w:hAnsi="Arial" w:cs="Arial"/>
          <w:color w:val="7B7B7B" w:themeColor="accent3" w:themeShade="BF"/>
          <w:sz w:val="22"/>
          <w:szCs w:val="22"/>
          <w:lang w:val="en-GB"/>
        </w:rPr>
        <w:t xml:space="preserve">Finally the law to address the proceedings. Fletcher examined the appropriate approach in dealing with a matter before a court particular which are foreign in nature. Obviously, certain systems have law determines the particular approach to adopt to deal with the matter and depends on the parties choice of the law.  The issues of choice of law is very critical which reemphasis the forum it so applies. In common law system, the adoption of approach gives rise to many questions as a result of different issues. </w:t>
      </w:r>
    </w:p>
    <w:p w14:paraId="4D4BA490" w14:textId="77777777" w:rsidR="004848C6" w:rsidRPr="004848C6" w:rsidRDefault="004848C6" w:rsidP="004848C6">
      <w:pPr>
        <w:jc w:val="both"/>
        <w:rPr>
          <w:rFonts w:ascii="Arial" w:hAnsi="Arial" w:cs="Arial"/>
          <w:color w:val="7B7B7B" w:themeColor="accent3" w:themeShade="BF"/>
          <w:sz w:val="22"/>
          <w:szCs w:val="22"/>
          <w:lang w:val="en-GB"/>
        </w:rPr>
      </w:pPr>
    </w:p>
    <w:p w14:paraId="7940D274" w14:textId="62004560" w:rsidR="00DF75F8" w:rsidRPr="00205B31" w:rsidRDefault="004848C6" w:rsidP="004848C6">
      <w:pPr>
        <w:jc w:val="both"/>
        <w:rPr>
          <w:rFonts w:ascii="Arial" w:hAnsi="Arial" w:cs="Arial"/>
          <w:sz w:val="22"/>
          <w:szCs w:val="22"/>
          <w:lang w:val="en-GB"/>
        </w:rPr>
      </w:pPr>
      <w:r w:rsidRPr="004848C6">
        <w:rPr>
          <w:rFonts w:ascii="Arial" w:hAnsi="Arial" w:cs="Arial"/>
          <w:color w:val="7B7B7B" w:themeColor="accent3" w:themeShade="BF"/>
          <w:sz w:val="22"/>
          <w:szCs w:val="22"/>
          <w:lang w:val="en-GB"/>
        </w:rPr>
        <w:t>“proof of foreign law is a question of fact whereas in civil law systems, foreign law is presumed to be a question of law to be applied regardless of whether it is pleaded by the parties or not”</w:t>
      </w:r>
      <w:r>
        <w:rPr>
          <w:rStyle w:val="FootnoteReference"/>
          <w:rFonts w:ascii="Arial" w:hAnsi="Arial" w:cs="Arial"/>
          <w:color w:val="7B7B7B" w:themeColor="accent3" w:themeShade="BF"/>
          <w:sz w:val="22"/>
          <w:szCs w:val="22"/>
          <w:lang w:val="en-GB"/>
        </w:rPr>
        <w:footnoteReference w:id="6"/>
      </w:r>
      <w:r w:rsidR="00DF75F8" w:rsidRPr="00205B31">
        <w:rPr>
          <w:rFonts w:ascii="Arial" w:hAnsi="Arial" w:cs="Arial"/>
          <w:color w:val="7B7B7B" w:themeColor="accent3" w:themeShade="BF"/>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F51DEAC" w14:textId="46D75834" w:rsidR="00942A4B" w:rsidRDefault="00DF75F8" w:rsidP="00942A4B">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C9247D">
        <w:rPr>
          <w:rFonts w:ascii="Arial" w:hAnsi="Arial" w:cs="Arial"/>
          <w:color w:val="7B7B7B" w:themeColor="accent3" w:themeShade="BF"/>
          <w:sz w:val="22"/>
          <w:szCs w:val="22"/>
          <w:lang w:val="en-GB"/>
        </w:rPr>
        <w:t>Dating back in 5 November 1991, the Swiss Bank Office in London declared Maxwell Private Business 57.5 million</w:t>
      </w:r>
      <w:r w:rsidR="00C208FD">
        <w:rPr>
          <w:rFonts w:ascii="Arial" w:hAnsi="Arial" w:cs="Arial"/>
          <w:color w:val="7B7B7B" w:themeColor="accent3" w:themeShade="BF"/>
          <w:sz w:val="22"/>
          <w:szCs w:val="22"/>
          <w:lang w:val="en-GB"/>
        </w:rPr>
        <w:t xml:space="preserve"> pounce and demanded a repayment. Other Banks also joined with an estimated 3billion pounce as huge loans undertaken by Maxwell Corporation. This case was multifaceted as it showed a breakdown of good corporate governance among others.</w:t>
      </w:r>
      <w:r w:rsidR="00C208FD">
        <w:rPr>
          <w:rStyle w:val="FootnoteReference"/>
          <w:rFonts w:ascii="Arial" w:hAnsi="Arial" w:cs="Arial"/>
          <w:color w:val="7B7B7B" w:themeColor="accent3" w:themeShade="BF"/>
          <w:sz w:val="22"/>
          <w:szCs w:val="22"/>
          <w:lang w:val="en-GB"/>
        </w:rPr>
        <w:footnoteReference w:id="7"/>
      </w:r>
      <w:r w:rsidR="00C208FD">
        <w:rPr>
          <w:rFonts w:ascii="Arial" w:hAnsi="Arial" w:cs="Arial"/>
          <w:color w:val="7B7B7B" w:themeColor="accent3" w:themeShade="BF"/>
          <w:sz w:val="22"/>
          <w:szCs w:val="22"/>
          <w:lang w:val="en-GB"/>
        </w:rPr>
        <w:t xml:space="preserve">  </w:t>
      </w:r>
      <w:r w:rsidR="00942A4B" w:rsidRPr="00942A4B">
        <w:rPr>
          <w:rFonts w:ascii="Arial" w:hAnsi="Arial" w:cs="Arial"/>
          <w:color w:val="7B7B7B" w:themeColor="accent3" w:themeShade="BF"/>
          <w:sz w:val="22"/>
          <w:szCs w:val="22"/>
          <w:lang w:val="en-GB"/>
        </w:rPr>
        <w:t>Maxwell Communications Corporation plc cross-border insolvency case epitomizes Court-</w:t>
      </w:r>
      <w:r w:rsidR="00C9247D">
        <w:rPr>
          <w:rFonts w:ascii="Arial" w:hAnsi="Arial" w:cs="Arial"/>
          <w:color w:val="7B7B7B" w:themeColor="accent3" w:themeShade="BF"/>
          <w:sz w:val="22"/>
          <w:szCs w:val="22"/>
          <w:lang w:val="en-GB"/>
        </w:rPr>
        <w:t>to</w:t>
      </w:r>
      <w:r w:rsidR="00942A4B" w:rsidRPr="00942A4B">
        <w:rPr>
          <w:rFonts w:ascii="Arial" w:hAnsi="Arial" w:cs="Arial"/>
          <w:color w:val="7B7B7B" w:themeColor="accent3" w:themeShade="BF"/>
          <w:sz w:val="22"/>
          <w:szCs w:val="22"/>
          <w:lang w:val="en-GB"/>
        </w:rPr>
        <w:t>-</w:t>
      </w:r>
      <w:r w:rsidR="00C9247D">
        <w:rPr>
          <w:rFonts w:ascii="Arial" w:hAnsi="Arial" w:cs="Arial"/>
          <w:color w:val="7B7B7B" w:themeColor="accent3" w:themeShade="BF"/>
          <w:sz w:val="22"/>
          <w:szCs w:val="22"/>
          <w:lang w:val="en-GB"/>
        </w:rPr>
        <w:t>C</w:t>
      </w:r>
      <w:r w:rsidR="00942A4B" w:rsidRPr="00942A4B">
        <w:rPr>
          <w:rFonts w:ascii="Arial" w:hAnsi="Arial" w:cs="Arial"/>
          <w:color w:val="7B7B7B" w:themeColor="accent3" w:themeShade="BF"/>
          <w:sz w:val="22"/>
          <w:szCs w:val="22"/>
          <w:lang w:val="en-GB"/>
        </w:rPr>
        <w:t>ou</w:t>
      </w:r>
      <w:r w:rsidR="00C9247D">
        <w:rPr>
          <w:rFonts w:ascii="Arial" w:hAnsi="Arial" w:cs="Arial"/>
          <w:color w:val="7B7B7B" w:themeColor="accent3" w:themeShade="BF"/>
          <w:sz w:val="22"/>
          <w:szCs w:val="22"/>
          <w:lang w:val="en-GB"/>
        </w:rPr>
        <w:t>r</w:t>
      </w:r>
      <w:r w:rsidR="00942A4B" w:rsidRPr="00942A4B">
        <w:rPr>
          <w:rFonts w:ascii="Arial" w:hAnsi="Arial" w:cs="Arial"/>
          <w:color w:val="7B7B7B" w:themeColor="accent3" w:themeShade="BF"/>
          <w:sz w:val="22"/>
          <w:szCs w:val="22"/>
          <w:lang w:val="en-GB"/>
        </w:rPr>
        <w:t xml:space="preserve">t communication and voluntary approach by the insolvency partitioners assigned the duties to oversee the proceedings in the United State and England where both Courts approved an agreement which became binding on both parties. The Protocol established by both jurisdictions having stated in the UNCITRAL Practice Guide served as an example in co-operation and communication between courts and practitioners. This as a result reduced complexities regarding the Court processes and fillings, maximize the value of the debtors estate, reduce cost or expenses among others. </w:t>
      </w:r>
    </w:p>
    <w:p w14:paraId="6F1AE1BB" w14:textId="77777777" w:rsidR="00942A4B" w:rsidRPr="00942A4B" w:rsidRDefault="00942A4B" w:rsidP="00942A4B">
      <w:pPr>
        <w:jc w:val="both"/>
        <w:rPr>
          <w:rFonts w:ascii="Arial" w:hAnsi="Arial" w:cs="Arial"/>
          <w:color w:val="7B7B7B" w:themeColor="accent3" w:themeShade="BF"/>
          <w:sz w:val="22"/>
          <w:szCs w:val="22"/>
          <w:lang w:val="en-GB"/>
        </w:rPr>
      </w:pPr>
    </w:p>
    <w:p w14:paraId="52D815EB" w14:textId="77777777" w:rsidR="00942A4B" w:rsidRPr="00942A4B" w:rsidRDefault="00942A4B" w:rsidP="00942A4B">
      <w:pPr>
        <w:ind w:left="720"/>
        <w:jc w:val="both"/>
        <w:rPr>
          <w:rFonts w:ascii="Arial" w:hAnsi="Arial" w:cs="Arial"/>
          <w:i/>
          <w:iCs/>
          <w:color w:val="7B7B7B" w:themeColor="accent3" w:themeShade="BF"/>
          <w:sz w:val="22"/>
          <w:szCs w:val="22"/>
          <w:lang w:val="en-GB"/>
        </w:rPr>
      </w:pPr>
      <w:r w:rsidRPr="00942A4B">
        <w:rPr>
          <w:rFonts w:ascii="Arial" w:hAnsi="Arial" w:cs="Arial"/>
          <w:i/>
          <w:iCs/>
          <w:color w:val="7B7B7B" w:themeColor="accent3" w:themeShade="BF"/>
          <w:sz w:val="22"/>
          <w:szCs w:val="22"/>
          <w:lang w:val="en-GB"/>
        </w:rPr>
        <w:t>“The case of Maxwell Communication Corporation plc. Involved two primary insolvency proceedings initiated by a single debtor, one in the United State and the other in the United Kingdom, and the appointment of two different and separate insolvency representatives in the two different and separate insolvency representatives in the two States, each charged with a similar responsibility. The United State and English judges independently raised with their respective counsel the idea that an insolvency agreement between the two administrations could resolve conflicts and facilitate the exchange information.</w:t>
      </w:r>
    </w:p>
    <w:p w14:paraId="46CDC35E" w14:textId="77777777" w:rsidR="00942A4B" w:rsidRPr="00942A4B" w:rsidRDefault="00942A4B" w:rsidP="00942A4B">
      <w:pPr>
        <w:ind w:left="720"/>
        <w:jc w:val="both"/>
        <w:rPr>
          <w:rFonts w:ascii="Arial" w:hAnsi="Arial" w:cs="Arial"/>
          <w:i/>
          <w:iCs/>
          <w:color w:val="7B7B7B" w:themeColor="accent3" w:themeShade="BF"/>
          <w:sz w:val="22"/>
          <w:szCs w:val="22"/>
          <w:lang w:val="en-GB"/>
        </w:rPr>
      </w:pPr>
      <w:r w:rsidRPr="00942A4B">
        <w:rPr>
          <w:rFonts w:ascii="Arial" w:hAnsi="Arial" w:cs="Arial"/>
          <w:i/>
          <w:iCs/>
          <w:color w:val="7B7B7B" w:themeColor="accent3" w:themeShade="BF"/>
          <w:sz w:val="22"/>
          <w:szCs w:val="22"/>
          <w:lang w:val="en-GB"/>
        </w:rPr>
        <w:t>Under the agreement, two goals were set to guide the insolvency representatives: maximizing the value of the estate and harmonizing the proceedings to minimize expenses, waste and jurisdictional conflict. The parties agreed essentially that the United State court would defer to the English proceedings, once it was determined that certain criteria were present.</w:t>
      </w:r>
    </w:p>
    <w:p w14:paraId="5ECCD5AC" w14:textId="2F675A84" w:rsidR="00942A4B" w:rsidRPr="00942A4B" w:rsidRDefault="00942A4B" w:rsidP="00942A4B">
      <w:pPr>
        <w:ind w:left="720"/>
        <w:jc w:val="both"/>
        <w:rPr>
          <w:rFonts w:ascii="Arial" w:hAnsi="Arial" w:cs="Arial"/>
          <w:color w:val="7B7B7B" w:themeColor="accent3" w:themeShade="BF"/>
          <w:sz w:val="22"/>
          <w:szCs w:val="22"/>
          <w:lang w:val="en-GB"/>
        </w:rPr>
      </w:pPr>
      <w:r w:rsidRPr="00942A4B">
        <w:rPr>
          <w:rFonts w:ascii="Arial" w:hAnsi="Arial" w:cs="Arial"/>
          <w:i/>
          <w:iCs/>
          <w:color w:val="7B7B7B" w:themeColor="accent3" w:themeShade="BF"/>
          <w:sz w:val="22"/>
          <w:szCs w:val="22"/>
          <w:lang w:val="en-GB"/>
        </w:rPr>
        <w:t xml:space="preserve">Specificities included that some existing management would be retained in the interest of maintaining the debtor’s going concern value, but the English Insolvency representatives would be allowed, with the consent of their United States counterpart, to select new and independent directors; the English insolvency representative should give prior notice to the United State insolvency representative before undertaking any major transaction on behalf of the debtor, but were pre-authorized to undertake ‘lesser” </w:t>
      </w:r>
      <w:r w:rsidRPr="00942A4B">
        <w:rPr>
          <w:rFonts w:ascii="Arial" w:hAnsi="Arial" w:cs="Arial"/>
          <w:i/>
          <w:iCs/>
          <w:color w:val="7B7B7B" w:themeColor="accent3" w:themeShade="BF"/>
          <w:sz w:val="22"/>
          <w:szCs w:val="22"/>
          <w:lang w:val="en-GB"/>
        </w:rPr>
        <w:lastRenderedPageBreak/>
        <w:t>transactions. Many issues were purposely left out of the agreement to resolved during the course of proceedings. Some of those issues, such as distribution matters, were later included in an extension of the agreement.”</w:t>
      </w:r>
      <w:r>
        <w:rPr>
          <w:rStyle w:val="FootnoteReference"/>
          <w:rFonts w:ascii="Arial" w:hAnsi="Arial" w:cs="Arial"/>
          <w:i/>
          <w:iCs/>
          <w:color w:val="7B7B7B" w:themeColor="accent3" w:themeShade="BF"/>
          <w:sz w:val="22"/>
          <w:szCs w:val="22"/>
          <w:lang w:val="en-GB"/>
        </w:rPr>
        <w:footnoteReference w:id="8"/>
      </w:r>
    </w:p>
    <w:p w14:paraId="16D47BD7" w14:textId="77777777" w:rsidR="00942A4B" w:rsidRPr="00942A4B" w:rsidRDefault="00942A4B" w:rsidP="00942A4B">
      <w:pPr>
        <w:ind w:left="720"/>
        <w:jc w:val="both"/>
        <w:rPr>
          <w:rFonts w:ascii="Arial" w:hAnsi="Arial" w:cs="Arial"/>
          <w:color w:val="7B7B7B" w:themeColor="accent3" w:themeShade="BF"/>
          <w:sz w:val="22"/>
          <w:szCs w:val="22"/>
          <w:lang w:val="en-GB"/>
        </w:rPr>
      </w:pPr>
    </w:p>
    <w:p w14:paraId="4E83D7AF" w14:textId="732E103B" w:rsidR="00DF75F8" w:rsidRPr="00205B31" w:rsidRDefault="00942A4B" w:rsidP="00942A4B">
      <w:pPr>
        <w:jc w:val="both"/>
        <w:rPr>
          <w:rFonts w:ascii="Arial" w:hAnsi="Arial" w:cs="Arial"/>
          <w:sz w:val="22"/>
          <w:szCs w:val="22"/>
          <w:lang w:val="en-GB"/>
        </w:rPr>
      </w:pPr>
      <w:r w:rsidRPr="00942A4B">
        <w:rPr>
          <w:rFonts w:ascii="Arial" w:hAnsi="Arial" w:cs="Arial"/>
          <w:color w:val="7B7B7B" w:themeColor="accent3" w:themeShade="BF"/>
          <w:sz w:val="22"/>
          <w:szCs w:val="22"/>
          <w:lang w:val="en-GB"/>
        </w:rPr>
        <w:t>These as a result received some commendation by the International Bar Association and other likeminded bodies which has subsequently paved way for an efficient structure and practical body of knowledge in resolving cross-border insolvency issues.</w:t>
      </w:r>
      <w:r w:rsidR="00DF75F8" w:rsidRPr="00205B31">
        <w:rPr>
          <w:rFonts w:ascii="Arial" w:hAnsi="Arial" w:cs="Arial"/>
          <w:color w:val="7B7B7B" w:themeColor="accent3" w:themeShade="BF"/>
          <w:sz w:val="22"/>
          <w:szCs w:val="22"/>
          <w:lang w:val="en-GB"/>
        </w:rPr>
        <w:t>]</w:t>
      </w:r>
    </w:p>
    <w:p w14:paraId="4AE7EA78" w14:textId="383F587B" w:rsidR="007D7C92" w:rsidRDefault="007D7C92" w:rsidP="00B7193E">
      <w:pPr>
        <w:ind w:left="720" w:hanging="720"/>
        <w:jc w:val="both"/>
        <w:rPr>
          <w:rFonts w:ascii="Arial" w:hAnsi="Arial" w:cs="Arial"/>
          <w:sz w:val="22"/>
          <w:szCs w:val="22"/>
          <w:lang w:val="en-GB"/>
        </w:rPr>
      </w:pPr>
    </w:p>
    <w:p w14:paraId="71323F19" w14:textId="2FAB88CF" w:rsidR="00CE5F88" w:rsidRDefault="00CE5F88" w:rsidP="00B7193E">
      <w:pPr>
        <w:ind w:left="720" w:hanging="720"/>
        <w:jc w:val="both"/>
        <w:rPr>
          <w:rFonts w:ascii="Arial" w:hAnsi="Arial" w:cs="Arial"/>
          <w:sz w:val="22"/>
          <w:szCs w:val="22"/>
          <w:lang w:val="en-GB"/>
        </w:rPr>
      </w:pPr>
    </w:p>
    <w:p w14:paraId="62AC483C" w14:textId="065C1A3D" w:rsidR="00CE5F88" w:rsidRDefault="00CE5F88" w:rsidP="00B7193E">
      <w:pPr>
        <w:ind w:left="720" w:hanging="720"/>
        <w:jc w:val="both"/>
        <w:rPr>
          <w:rFonts w:ascii="Arial" w:hAnsi="Arial" w:cs="Arial"/>
          <w:sz w:val="22"/>
          <w:szCs w:val="22"/>
          <w:lang w:val="en-GB"/>
        </w:rPr>
      </w:pPr>
    </w:p>
    <w:p w14:paraId="166753FB" w14:textId="150D720B" w:rsidR="00CE5F88" w:rsidRDefault="00CE5F88" w:rsidP="00B7193E">
      <w:pPr>
        <w:ind w:left="720" w:hanging="720"/>
        <w:jc w:val="both"/>
        <w:rPr>
          <w:rFonts w:ascii="Arial" w:hAnsi="Arial" w:cs="Arial"/>
          <w:sz w:val="22"/>
          <w:szCs w:val="22"/>
          <w:lang w:val="en-GB"/>
        </w:rPr>
      </w:pPr>
    </w:p>
    <w:p w14:paraId="3FDCC9C4" w14:textId="14353FC5" w:rsidR="00CE5F88" w:rsidRDefault="00CE5F88" w:rsidP="00B7193E">
      <w:pPr>
        <w:ind w:left="720" w:hanging="720"/>
        <w:jc w:val="both"/>
        <w:rPr>
          <w:rFonts w:ascii="Arial" w:hAnsi="Arial" w:cs="Arial"/>
          <w:sz w:val="22"/>
          <w:szCs w:val="22"/>
          <w:lang w:val="en-GB"/>
        </w:rPr>
      </w:pPr>
    </w:p>
    <w:p w14:paraId="59DC1AB1" w14:textId="6BF8E5FE" w:rsidR="00CE5F88" w:rsidRDefault="00CE5F88" w:rsidP="00B7193E">
      <w:pPr>
        <w:ind w:left="720" w:hanging="720"/>
        <w:jc w:val="both"/>
        <w:rPr>
          <w:rFonts w:ascii="Arial" w:hAnsi="Arial" w:cs="Arial"/>
          <w:sz w:val="22"/>
          <w:szCs w:val="22"/>
          <w:lang w:val="en-GB"/>
        </w:rPr>
      </w:pPr>
    </w:p>
    <w:p w14:paraId="469C3E7B" w14:textId="7315BC3D" w:rsidR="00CE5F88" w:rsidRDefault="00CE5F88" w:rsidP="00B7193E">
      <w:pPr>
        <w:ind w:left="720" w:hanging="720"/>
        <w:jc w:val="both"/>
        <w:rPr>
          <w:rFonts w:ascii="Arial" w:hAnsi="Arial" w:cs="Arial"/>
          <w:sz w:val="22"/>
          <w:szCs w:val="22"/>
          <w:lang w:val="en-GB"/>
        </w:rPr>
      </w:pPr>
    </w:p>
    <w:p w14:paraId="23E35BE9" w14:textId="6449B4E9" w:rsidR="00CE5F88" w:rsidRDefault="00CE5F88" w:rsidP="00B7193E">
      <w:pPr>
        <w:ind w:left="720" w:hanging="720"/>
        <w:jc w:val="both"/>
        <w:rPr>
          <w:rFonts w:ascii="Arial" w:hAnsi="Arial" w:cs="Arial"/>
          <w:sz w:val="22"/>
          <w:szCs w:val="22"/>
          <w:lang w:val="en-GB"/>
        </w:rPr>
      </w:pPr>
    </w:p>
    <w:p w14:paraId="7AAE427B" w14:textId="0A3961D9" w:rsidR="00CE5F88" w:rsidRDefault="00CE5F88" w:rsidP="00B7193E">
      <w:pPr>
        <w:ind w:left="720" w:hanging="720"/>
        <w:jc w:val="both"/>
        <w:rPr>
          <w:rFonts w:ascii="Arial" w:hAnsi="Arial" w:cs="Arial"/>
          <w:sz w:val="22"/>
          <w:szCs w:val="22"/>
          <w:lang w:val="en-GB"/>
        </w:rPr>
      </w:pPr>
    </w:p>
    <w:p w14:paraId="566B6A5E" w14:textId="71DC7C40" w:rsidR="00CE5F88" w:rsidRDefault="00CE5F88" w:rsidP="00B7193E">
      <w:pPr>
        <w:ind w:left="720" w:hanging="720"/>
        <w:jc w:val="both"/>
        <w:rPr>
          <w:rFonts w:ascii="Arial" w:hAnsi="Arial" w:cs="Arial"/>
          <w:sz w:val="22"/>
          <w:szCs w:val="22"/>
          <w:lang w:val="en-GB"/>
        </w:rPr>
      </w:pPr>
    </w:p>
    <w:p w14:paraId="329796DE" w14:textId="7C83809C" w:rsidR="00CE5F88" w:rsidRDefault="00CE5F88" w:rsidP="00B7193E">
      <w:pPr>
        <w:ind w:left="720" w:hanging="720"/>
        <w:jc w:val="both"/>
        <w:rPr>
          <w:rFonts w:ascii="Arial" w:hAnsi="Arial" w:cs="Arial"/>
          <w:sz w:val="22"/>
          <w:szCs w:val="22"/>
          <w:lang w:val="en-GB"/>
        </w:rPr>
      </w:pPr>
    </w:p>
    <w:p w14:paraId="5BE9E931" w14:textId="37A3D4D8" w:rsidR="00CE5F88" w:rsidRDefault="00CE5F88" w:rsidP="00B7193E">
      <w:pPr>
        <w:ind w:left="720" w:hanging="720"/>
        <w:jc w:val="both"/>
        <w:rPr>
          <w:rFonts w:ascii="Arial" w:hAnsi="Arial" w:cs="Arial"/>
          <w:sz w:val="22"/>
          <w:szCs w:val="22"/>
          <w:lang w:val="en-GB"/>
        </w:rPr>
      </w:pPr>
    </w:p>
    <w:p w14:paraId="2329265B" w14:textId="77777777" w:rsidR="00CE5F88" w:rsidRPr="00205B31" w:rsidRDefault="00CE5F88"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a number of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5"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27B15191" w:rsidR="002F75A3" w:rsidRPr="00205B31" w:rsidRDefault="002F75A3"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w:t>
      </w:r>
      <w:r w:rsidR="00E143D7">
        <w:rPr>
          <w:rFonts w:ascii="Arial" w:hAnsi="Arial" w:cs="Arial"/>
          <w:color w:val="7B7B7B" w:themeColor="accent3" w:themeShade="BF"/>
          <w:sz w:val="22"/>
          <w:szCs w:val="22"/>
          <w:lang w:val="en-GB"/>
        </w:rPr>
        <w:t>Clearly, since the proceedings is opened on 18</w:t>
      </w:r>
      <w:r w:rsidR="00E143D7" w:rsidRPr="00E143D7">
        <w:rPr>
          <w:rFonts w:ascii="Arial" w:hAnsi="Arial" w:cs="Arial"/>
          <w:color w:val="7B7B7B" w:themeColor="accent3" w:themeShade="BF"/>
          <w:sz w:val="22"/>
          <w:szCs w:val="22"/>
          <w:vertAlign w:val="superscript"/>
          <w:lang w:val="en-GB"/>
        </w:rPr>
        <w:t>th</w:t>
      </w:r>
      <w:r w:rsidR="00E143D7">
        <w:rPr>
          <w:rFonts w:ascii="Arial" w:hAnsi="Arial" w:cs="Arial"/>
          <w:color w:val="7B7B7B" w:themeColor="accent3" w:themeShade="BF"/>
          <w:sz w:val="22"/>
          <w:szCs w:val="22"/>
          <w:lang w:val="en-GB"/>
        </w:rPr>
        <w:t xml:space="preserve"> June 2020, European Union Regulation (EU) 2015/ /</w:t>
      </w:r>
      <w:r w:rsidR="009D29B8">
        <w:rPr>
          <w:rFonts w:ascii="Arial" w:hAnsi="Arial" w:cs="Arial"/>
          <w:color w:val="7B7B7B" w:themeColor="accent3" w:themeShade="BF"/>
          <w:sz w:val="22"/>
          <w:szCs w:val="22"/>
          <w:lang w:val="en-GB"/>
        </w:rPr>
        <w:t>848 insolvency</w:t>
      </w:r>
      <w:r w:rsidR="00E143D7">
        <w:rPr>
          <w:rFonts w:ascii="Arial" w:hAnsi="Arial" w:cs="Arial"/>
          <w:color w:val="7B7B7B" w:themeColor="accent3" w:themeShade="BF"/>
          <w:sz w:val="22"/>
          <w:szCs w:val="22"/>
          <w:lang w:val="en-GB"/>
        </w:rPr>
        <w:t xml:space="preserve"> proceedings (Recast) </w:t>
      </w:r>
      <w:r w:rsidR="009D29B8">
        <w:rPr>
          <w:rFonts w:ascii="Arial" w:hAnsi="Arial" w:cs="Arial"/>
          <w:color w:val="7B7B7B" w:themeColor="accent3" w:themeShade="BF"/>
          <w:sz w:val="22"/>
          <w:szCs w:val="22"/>
          <w:lang w:val="en-GB"/>
        </w:rPr>
        <w:t xml:space="preserve">would </w:t>
      </w:r>
      <w:r w:rsidR="00E143D7">
        <w:rPr>
          <w:rFonts w:ascii="Arial" w:hAnsi="Arial" w:cs="Arial"/>
          <w:color w:val="7B7B7B" w:themeColor="accent3" w:themeShade="BF"/>
          <w:sz w:val="22"/>
          <w:szCs w:val="22"/>
          <w:lang w:val="en-GB"/>
        </w:rPr>
        <w:t>apply. Since the EIR Recast would not be operational, after 31 December 2020, the consideration of the year of which the insolvency proceedings will be effective in June 2020 with the EIR</w:t>
      </w:r>
      <w:r w:rsidR="009D29B8">
        <w:rPr>
          <w:rFonts w:ascii="Arial" w:hAnsi="Arial" w:cs="Arial"/>
          <w:color w:val="7B7B7B" w:themeColor="accent3" w:themeShade="BF"/>
          <w:sz w:val="22"/>
          <w:szCs w:val="22"/>
          <w:lang w:val="en-GB"/>
        </w:rPr>
        <w:t xml:space="preserve"> in place will give </w:t>
      </w:r>
      <w:proofErr w:type="spellStart"/>
      <w:r w:rsidR="009D29B8">
        <w:rPr>
          <w:rFonts w:ascii="Arial" w:hAnsi="Arial" w:cs="Arial"/>
          <w:color w:val="7B7B7B" w:themeColor="accent3" w:themeShade="BF"/>
          <w:sz w:val="22"/>
          <w:szCs w:val="22"/>
          <w:lang w:val="en-GB"/>
        </w:rPr>
        <w:t>Fernz</w:t>
      </w:r>
      <w:proofErr w:type="spellEnd"/>
      <w:r w:rsidR="009D29B8">
        <w:rPr>
          <w:rFonts w:ascii="Arial" w:hAnsi="Arial" w:cs="Arial"/>
          <w:color w:val="7B7B7B" w:themeColor="accent3" w:themeShade="BF"/>
          <w:sz w:val="22"/>
          <w:szCs w:val="22"/>
          <w:lang w:val="en-GB"/>
        </w:rPr>
        <w:t xml:space="preserve"> an opportunity to appoint an insolvency practitioner to open the proceedings, conduct and bring to closure According to Article 7.1 of the EIR Recast “save as otherwise provided in this Regulation, the </w:t>
      </w:r>
      <w:r w:rsidR="009D29B8">
        <w:rPr>
          <w:rFonts w:ascii="Arial" w:hAnsi="Arial" w:cs="Arial"/>
          <w:color w:val="7B7B7B" w:themeColor="accent3" w:themeShade="BF"/>
          <w:sz w:val="22"/>
          <w:szCs w:val="22"/>
          <w:lang w:val="en-GB"/>
        </w:rPr>
        <w:lastRenderedPageBreak/>
        <w:t>law applicable to insolvency proceedings and their effect shall be that of …the ‘Sate of opening of proceedings”</w:t>
      </w:r>
      <w:r w:rsidR="007F070B">
        <w:rPr>
          <w:rStyle w:val="FootnoteReference"/>
          <w:rFonts w:ascii="Arial" w:hAnsi="Arial" w:cs="Arial"/>
          <w:color w:val="7B7B7B" w:themeColor="accent3" w:themeShade="BF"/>
          <w:sz w:val="22"/>
          <w:szCs w:val="22"/>
          <w:lang w:val="en-GB"/>
        </w:rPr>
        <w:footnoteReference w:id="9"/>
      </w:r>
      <w:r w:rsidR="007F070B">
        <w:rPr>
          <w:rFonts w:ascii="Arial" w:hAnsi="Arial" w:cs="Arial"/>
          <w:color w:val="7B7B7B" w:themeColor="accent3" w:themeShade="BF"/>
          <w:sz w:val="22"/>
          <w:szCs w:val="22"/>
          <w:lang w:val="en-GB"/>
        </w:rPr>
        <w:t xml:space="preserve"> In this case the minor creditor must first be established whether their charge are secured and has the capacity to open such proceedings in the UK. All things been equal, the proceedings opened in UK </w:t>
      </w:r>
      <w:r w:rsidR="00A83D83">
        <w:rPr>
          <w:rFonts w:ascii="Arial" w:hAnsi="Arial" w:cs="Arial"/>
          <w:color w:val="7B7B7B" w:themeColor="accent3" w:themeShade="BF"/>
          <w:sz w:val="22"/>
          <w:szCs w:val="22"/>
          <w:lang w:val="en-GB"/>
        </w:rPr>
        <w:t>and will be binding</w:t>
      </w:r>
      <w:r w:rsidR="00351BC0">
        <w:rPr>
          <w:rFonts w:ascii="Arial" w:hAnsi="Arial" w:cs="Arial"/>
          <w:color w:val="7B7B7B" w:themeColor="accent3" w:themeShade="BF"/>
          <w:sz w:val="22"/>
          <w:szCs w:val="22"/>
          <w:lang w:val="en-GB"/>
        </w:rPr>
        <w:t>. Here the “centre of debtors main interest” is the UK.</w:t>
      </w:r>
      <w:r w:rsidRPr="00205B31">
        <w:rPr>
          <w:rFonts w:ascii="Arial" w:hAnsi="Arial" w:cs="Arial"/>
          <w:color w:val="7B7B7B" w:themeColor="accent3" w:themeShade="BF"/>
          <w:sz w:val="22"/>
          <w:szCs w:val="22"/>
          <w:lang w:val="en-GB"/>
        </w:rPr>
        <w:t>]</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6"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6"/>
    <w:p w14:paraId="06CA1A12" w14:textId="77777777" w:rsidR="00015EE6" w:rsidRPr="00205B31" w:rsidRDefault="00015EE6" w:rsidP="00C45A03">
      <w:pPr>
        <w:jc w:val="both"/>
        <w:rPr>
          <w:rFonts w:ascii="Arial" w:hAnsi="Arial" w:cs="Arial"/>
          <w:sz w:val="22"/>
          <w:szCs w:val="22"/>
          <w:lang w:val="en-GB"/>
        </w:rPr>
      </w:pPr>
    </w:p>
    <w:p w14:paraId="1256E6FF" w14:textId="29742BE6" w:rsidR="00015EE6" w:rsidRDefault="00C45A03" w:rsidP="00C45A03">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916331">
        <w:rPr>
          <w:rFonts w:ascii="Arial" w:hAnsi="Arial" w:cs="Arial"/>
          <w:color w:val="7B7B7B" w:themeColor="accent3" w:themeShade="BF"/>
          <w:sz w:val="22"/>
          <w:szCs w:val="22"/>
          <w:lang w:val="en-GB"/>
        </w:rPr>
        <w:t>Clearly the EIR Recast ceases to have effect after 31</w:t>
      </w:r>
      <w:r w:rsidR="00916331" w:rsidRPr="00916331">
        <w:rPr>
          <w:rFonts w:ascii="Arial" w:hAnsi="Arial" w:cs="Arial"/>
          <w:color w:val="7B7B7B" w:themeColor="accent3" w:themeShade="BF"/>
          <w:sz w:val="22"/>
          <w:szCs w:val="22"/>
          <w:vertAlign w:val="superscript"/>
          <w:lang w:val="en-GB"/>
        </w:rPr>
        <w:t>st</w:t>
      </w:r>
      <w:r w:rsidR="00916331">
        <w:rPr>
          <w:rFonts w:ascii="Arial" w:hAnsi="Arial" w:cs="Arial"/>
          <w:color w:val="7B7B7B" w:themeColor="accent3" w:themeShade="BF"/>
          <w:sz w:val="22"/>
          <w:szCs w:val="22"/>
          <w:lang w:val="en-GB"/>
        </w:rPr>
        <w:t xml:space="preserve"> December 202</w:t>
      </w:r>
      <w:r w:rsidR="00317849">
        <w:rPr>
          <w:rFonts w:ascii="Arial" w:hAnsi="Arial" w:cs="Arial"/>
          <w:color w:val="7B7B7B" w:themeColor="accent3" w:themeShade="BF"/>
          <w:sz w:val="22"/>
          <w:szCs w:val="22"/>
          <w:lang w:val="en-GB"/>
        </w:rPr>
        <w:t>0</w:t>
      </w:r>
      <w:r w:rsidR="00916331">
        <w:rPr>
          <w:rFonts w:ascii="Arial" w:hAnsi="Arial" w:cs="Arial"/>
          <w:color w:val="7B7B7B" w:themeColor="accent3" w:themeShade="BF"/>
          <w:sz w:val="22"/>
          <w:szCs w:val="22"/>
          <w:lang w:val="en-GB"/>
        </w:rPr>
        <w:t>. Since UK no longer belong to the EU, all the proceedings opened within UK must apply. Here, 18</w:t>
      </w:r>
      <w:r w:rsidR="00916331" w:rsidRPr="00916331">
        <w:rPr>
          <w:rFonts w:ascii="Arial" w:hAnsi="Arial" w:cs="Arial"/>
          <w:color w:val="7B7B7B" w:themeColor="accent3" w:themeShade="BF"/>
          <w:sz w:val="22"/>
          <w:szCs w:val="22"/>
          <w:vertAlign w:val="superscript"/>
          <w:lang w:val="en-GB"/>
        </w:rPr>
        <w:t>th</w:t>
      </w:r>
      <w:r w:rsidR="00916331">
        <w:rPr>
          <w:rFonts w:ascii="Arial" w:hAnsi="Arial" w:cs="Arial"/>
          <w:color w:val="7B7B7B" w:themeColor="accent3" w:themeShade="BF"/>
          <w:sz w:val="22"/>
          <w:szCs w:val="22"/>
          <w:lang w:val="en-GB"/>
        </w:rPr>
        <w:t xml:space="preserve"> June 2021, the creditor </w:t>
      </w:r>
      <w:r w:rsidR="00317849">
        <w:rPr>
          <w:rFonts w:ascii="Arial" w:hAnsi="Arial" w:cs="Arial"/>
          <w:color w:val="7B7B7B" w:themeColor="accent3" w:themeShade="BF"/>
          <w:sz w:val="22"/>
          <w:szCs w:val="22"/>
          <w:lang w:val="en-GB"/>
        </w:rPr>
        <w:t xml:space="preserve">opening insolvency proceedings against </w:t>
      </w:r>
      <w:r w:rsidR="00317849" w:rsidRPr="00317849">
        <w:rPr>
          <w:rFonts w:ascii="Arial" w:hAnsi="Arial" w:cs="Arial"/>
          <w:color w:val="7B7B7B" w:themeColor="accent3" w:themeShade="BF"/>
          <w:sz w:val="22"/>
          <w:szCs w:val="22"/>
          <w:lang w:val="en-GB"/>
        </w:rPr>
        <w:t>Rydell</w:t>
      </w:r>
      <w:r w:rsidR="00317849">
        <w:rPr>
          <w:rFonts w:ascii="Arial" w:hAnsi="Arial" w:cs="Arial"/>
          <w:color w:val="7B7B7B" w:themeColor="accent3" w:themeShade="BF"/>
          <w:sz w:val="22"/>
          <w:szCs w:val="22"/>
          <w:lang w:val="en-GB"/>
        </w:rPr>
        <w:t xml:space="preserve"> </w:t>
      </w:r>
      <w:r w:rsidR="00916331">
        <w:rPr>
          <w:rFonts w:ascii="Arial" w:hAnsi="Arial" w:cs="Arial"/>
          <w:color w:val="7B7B7B" w:themeColor="accent3" w:themeShade="BF"/>
          <w:sz w:val="22"/>
          <w:szCs w:val="22"/>
          <w:lang w:val="en-GB"/>
        </w:rPr>
        <w:t xml:space="preserve">must </w:t>
      </w:r>
      <w:r w:rsidR="009F47EB">
        <w:rPr>
          <w:rFonts w:ascii="Arial" w:hAnsi="Arial" w:cs="Arial"/>
          <w:color w:val="7B7B7B" w:themeColor="accent3" w:themeShade="BF"/>
          <w:sz w:val="22"/>
          <w:szCs w:val="22"/>
          <w:lang w:val="en-GB"/>
        </w:rPr>
        <w:t>come under the</w:t>
      </w:r>
      <w:r w:rsidR="00916331">
        <w:rPr>
          <w:rFonts w:ascii="Arial" w:hAnsi="Arial" w:cs="Arial"/>
          <w:color w:val="7B7B7B" w:themeColor="accent3" w:themeShade="BF"/>
          <w:sz w:val="22"/>
          <w:szCs w:val="22"/>
          <w:lang w:val="en-GB"/>
        </w:rPr>
        <w:t xml:space="preserve"> UK </w:t>
      </w:r>
      <w:r w:rsidR="009F47EB">
        <w:rPr>
          <w:rFonts w:ascii="Arial" w:hAnsi="Arial" w:cs="Arial"/>
          <w:color w:val="7B7B7B" w:themeColor="accent3" w:themeShade="BF"/>
          <w:sz w:val="22"/>
          <w:szCs w:val="22"/>
          <w:lang w:val="en-GB"/>
        </w:rPr>
        <w:t xml:space="preserve">Corporate Insolvency and Governance Act, 2020 </w:t>
      </w:r>
      <w:r w:rsidR="00916331">
        <w:rPr>
          <w:rFonts w:ascii="Arial" w:hAnsi="Arial" w:cs="Arial"/>
          <w:color w:val="7B7B7B" w:themeColor="accent3" w:themeShade="BF"/>
          <w:sz w:val="22"/>
          <w:szCs w:val="22"/>
          <w:lang w:val="en-GB"/>
        </w:rPr>
        <w:t>and provisions regard</w:t>
      </w:r>
      <w:r w:rsidR="009F47EB">
        <w:rPr>
          <w:rFonts w:ascii="Arial" w:hAnsi="Arial" w:cs="Arial"/>
          <w:color w:val="7B7B7B" w:themeColor="accent3" w:themeShade="BF"/>
          <w:sz w:val="22"/>
          <w:szCs w:val="22"/>
          <w:lang w:val="en-GB"/>
        </w:rPr>
        <w:t>ed within the remit of UKs</w:t>
      </w:r>
      <w:r w:rsidR="00916331">
        <w:rPr>
          <w:rFonts w:ascii="Arial" w:hAnsi="Arial" w:cs="Arial"/>
          <w:color w:val="7B7B7B" w:themeColor="accent3" w:themeShade="BF"/>
          <w:sz w:val="22"/>
          <w:szCs w:val="22"/>
          <w:lang w:val="en-GB"/>
        </w:rPr>
        <w:t xml:space="preserve"> laws and applications </w:t>
      </w:r>
      <w:r w:rsidR="009F47EB">
        <w:rPr>
          <w:rFonts w:ascii="Arial" w:hAnsi="Arial" w:cs="Arial"/>
          <w:color w:val="7B7B7B" w:themeColor="accent3" w:themeShade="BF"/>
          <w:sz w:val="22"/>
          <w:szCs w:val="22"/>
          <w:lang w:val="en-GB"/>
        </w:rPr>
        <w:t>so thereof enforced</w:t>
      </w:r>
      <w:r w:rsidR="00916331">
        <w:rPr>
          <w:rFonts w:ascii="Arial" w:hAnsi="Arial" w:cs="Arial"/>
          <w:color w:val="7B7B7B" w:themeColor="accent3" w:themeShade="BF"/>
          <w:sz w:val="22"/>
          <w:szCs w:val="22"/>
          <w:lang w:val="en-GB"/>
        </w:rPr>
        <w:t>.</w:t>
      </w:r>
      <w:r w:rsidRPr="00205B31">
        <w:rPr>
          <w:rFonts w:ascii="Arial" w:hAnsi="Arial" w:cs="Arial"/>
          <w:color w:val="7B7B7B" w:themeColor="accent3" w:themeShade="BF"/>
          <w:sz w:val="22"/>
          <w:szCs w:val="22"/>
          <w:lang w:val="en-GB"/>
        </w:rPr>
        <w:t>]</w:t>
      </w:r>
    </w:p>
    <w:p w14:paraId="32C61EE8" w14:textId="759C6C5D" w:rsidR="00317849" w:rsidRDefault="00317849" w:rsidP="00C45A03">
      <w:pPr>
        <w:jc w:val="both"/>
        <w:rPr>
          <w:rFonts w:ascii="Arial" w:hAnsi="Arial" w:cs="Arial"/>
          <w:color w:val="7B7B7B" w:themeColor="accent3" w:themeShade="BF"/>
          <w:sz w:val="22"/>
          <w:szCs w:val="22"/>
          <w:lang w:val="en-GB"/>
        </w:rPr>
      </w:pPr>
    </w:p>
    <w:p w14:paraId="0CF633EF" w14:textId="77777777" w:rsidR="00317849" w:rsidRPr="00205B31" w:rsidRDefault="00317849" w:rsidP="00C45A03">
      <w:pPr>
        <w:jc w:val="both"/>
        <w:rPr>
          <w:rFonts w:ascii="Arial" w:hAnsi="Arial" w:cs="Arial"/>
          <w:sz w:val="22"/>
          <w:szCs w:val="22"/>
          <w:lang w:val="en-GB"/>
        </w:rPr>
      </w:pP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7" w:name="_Hlk75414344"/>
      <w:bookmarkEnd w:id="5"/>
    </w:p>
    <w:p w14:paraId="6625C320" w14:textId="383FB04A" w:rsidR="0046142D" w:rsidRDefault="0046142D" w:rsidP="0046142D">
      <w:pPr>
        <w:ind w:hanging="11"/>
        <w:jc w:val="both"/>
        <w:rPr>
          <w:rFonts w:ascii="Arial" w:hAnsi="Arial" w:cs="Arial"/>
          <w:sz w:val="22"/>
          <w:szCs w:val="22"/>
          <w:lang w:val="en-GB"/>
        </w:rPr>
      </w:pPr>
      <w:bookmarkStart w:id="8"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7"/>
    <w:bookmarkEnd w:id="8"/>
    <w:p w14:paraId="3CAE42BE" w14:textId="12144E6E" w:rsidR="00015EE6" w:rsidRPr="0001023C" w:rsidRDefault="00015EE6" w:rsidP="00015EE6">
      <w:pPr>
        <w:autoSpaceDE w:val="0"/>
        <w:autoSpaceDN w:val="0"/>
        <w:adjustRightInd w:val="0"/>
        <w:spacing w:line="276" w:lineRule="auto"/>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w:t>
      </w:r>
      <w:r w:rsidR="0001023C">
        <w:rPr>
          <w:rFonts w:ascii="Arial" w:hAnsi="Arial" w:cs="Arial"/>
          <w:color w:val="7B7B7B" w:themeColor="accent3" w:themeShade="BF"/>
          <w:sz w:val="22"/>
          <w:szCs w:val="22"/>
          <w:lang w:val="en-GB"/>
        </w:rPr>
        <w:t>Under Section 221(5) Insolvency Act 1986 gives an opportunity for an unregistered company to be wound up however must demonstrate a reasonable cause of action</w:t>
      </w:r>
      <w:r w:rsidR="006B2869">
        <w:rPr>
          <w:rFonts w:ascii="Arial" w:hAnsi="Arial" w:cs="Arial"/>
          <w:color w:val="7B7B7B" w:themeColor="accent3" w:themeShade="BF"/>
          <w:sz w:val="22"/>
          <w:szCs w:val="22"/>
          <w:lang w:val="en-GB"/>
        </w:rPr>
        <w:t xml:space="preserve">, must have sufficient connection to the English law, </w:t>
      </w:r>
      <w:r w:rsidR="00012F14">
        <w:rPr>
          <w:rFonts w:ascii="Arial" w:hAnsi="Arial" w:cs="Arial"/>
          <w:color w:val="7B7B7B" w:themeColor="accent3" w:themeShade="BF"/>
          <w:sz w:val="22"/>
          <w:szCs w:val="22"/>
          <w:lang w:val="en-GB"/>
        </w:rPr>
        <w:t>and Court grant leave for the proceedings to commence</w:t>
      </w:r>
      <w:r w:rsidR="0001023C">
        <w:rPr>
          <w:rFonts w:ascii="Arial" w:hAnsi="Arial" w:cs="Arial"/>
          <w:color w:val="7B7B7B" w:themeColor="accent3" w:themeShade="BF"/>
          <w:sz w:val="22"/>
          <w:szCs w:val="22"/>
          <w:lang w:val="en-GB"/>
        </w:rPr>
        <w:t>. Since the proceedings is opened in 18</w:t>
      </w:r>
      <w:r w:rsidR="0001023C" w:rsidRPr="0001023C">
        <w:rPr>
          <w:rFonts w:ascii="Arial" w:hAnsi="Arial" w:cs="Arial"/>
          <w:color w:val="7B7B7B" w:themeColor="accent3" w:themeShade="BF"/>
          <w:sz w:val="22"/>
          <w:szCs w:val="22"/>
          <w:vertAlign w:val="superscript"/>
          <w:lang w:val="en-GB"/>
        </w:rPr>
        <w:t>th</w:t>
      </w:r>
      <w:r w:rsidR="0001023C">
        <w:rPr>
          <w:rFonts w:ascii="Arial" w:hAnsi="Arial" w:cs="Arial"/>
          <w:color w:val="7B7B7B" w:themeColor="accent3" w:themeShade="BF"/>
          <w:sz w:val="22"/>
          <w:szCs w:val="22"/>
          <w:lang w:val="en-GB"/>
        </w:rPr>
        <w:t xml:space="preserve"> June 2021, the Corporate Insolvency and Governance Act will kick in accordingly.</w:t>
      </w:r>
      <w:r w:rsidRPr="00205B31">
        <w:rPr>
          <w:rFonts w:ascii="Arial" w:hAnsi="Arial" w:cs="Arial"/>
          <w:color w:val="7B7B7B" w:themeColor="accent3" w:themeShade="BF"/>
          <w:sz w:val="22"/>
          <w:szCs w:val="22"/>
          <w:lang w:val="en-GB"/>
        </w:rPr>
        <w:t>]</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70A8" w14:textId="77777777" w:rsidR="00D004AF" w:rsidRDefault="00D004AF" w:rsidP="00241B44">
      <w:r>
        <w:separator/>
      </w:r>
    </w:p>
  </w:endnote>
  <w:endnote w:type="continuationSeparator" w:id="0">
    <w:p w14:paraId="5B004C24" w14:textId="77777777" w:rsidR="00D004AF" w:rsidRDefault="00D004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14E97EEC" w:rsidR="006E1CB0" w:rsidRPr="0052732A" w:rsidRDefault="00DD413A" w:rsidP="0052732A">
    <w:pPr>
      <w:pStyle w:val="Footer"/>
      <w:ind w:right="360"/>
      <w:rPr>
        <w:rFonts w:ascii="Arial" w:hAnsi="Arial" w:cs="Arial"/>
        <w:sz w:val="18"/>
        <w:szCs w:val="18"/>
      </w:rPr>
    </w:pPr>
    <w:r w:rsidRPr="00DD413A">
      <w:rPr>
        <w:rFonts w:ascii="Arial" w:hAnsi="Arial" w:cs="Arial"/>
        <w:sz w:val="18"/>
        <w:szCs w:val="18"/>
      </w:rPr>
      <w:t>202122-510</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57D2" w14:textId="77777777" w:rsidR="00D004AF" w:rsidRDefault="00D004AF" w:rsidP="00241B44">
      <w:r>
        <w:separator/>
      </w:r>
    </w:p>
  </w:footnote>
  <w:footnote w:type="continuationSeparator" w:id="0">
    <w:p w14:paraId="5A4C16C4" w14:textId="77777777" w:rsidR="00D004AF" w:rsidRDefault="00D004AF" w:rsidP="00241B44">
      <w:r>
        <w:continuationSeparator/>
      </w:r>
    </w:p>
  </w:footnote>
  <w:footnote w:id="1">
    <w:p w14:paraId="1058B3D8" w14:textId="7FB4547C" w:rsidR="00965A5F" w:rsidRPr="00371191" w:rsidRDefault="00965A5F" w:rsidP="00371191">
      <w:pPr>
        <w:jc w:val="both"/>
        <w:rPr>
          <w:rFonts w:ascii="Arial" w:hAnsi="Arial" w:cs="Arial"/>
          <w:sz w:val="18"/>
          <w:szCs w:val="18"/>
          <w:lang w:val="en-GB"/>
        </w:rPr>
      </w:pPr>
      <w:r w:rsidRPr="00965A5F">
        <w:rPr>
          <w:rStyle w:val="FootnoteReference"/>
          <w:sz w:val="16"/>
          <w:szCs w:val="20"/>
        </w:rPr>
        <w:footnoteRef/>
      </w:r>
      <w:r w:rsidRPr="00965A5F">
        <w:rPr>
          <w:sz w:val="16"/>
          <w:szCs w:val="20"/>
        </w:rPr>
        <w:t xml:space="preserve"> </w:t>
      </w:r>
      <w:r w:rsidRPr="00965A5F">
        <w:rPr>
          <w:rFonts w:ascii="Arial" w:hAnsi="Arial" w:cs="Arial"/>
          <w:sz w:val="18"/>
          <w:szCs w:val="18"/>
          <w:lang w:val="en-GB"/>
        </w:rPr>
        <w:t xml:space="preserve">J.C. Calitz </w:t>
      </w:r>
      <w:r w:rsidRPr="00965A5F">
        <w:rPr>
          <w:rFonts w:ascii="Arial" w:hAnsi="Arial" w:cs="Arial"/>
          <w:i/>
          <w:iCs/>
          <w:sz w:val="18"/>
          <w:szCs w:val="18"/>
          <w:lang w:val="en-GB"/>
        </w:rPr>
        <w:t>“Historical overview of state regulation of south African Insolvency Law”</w:t>
      </w:r>
      <w:r w:rsidRPr="00965A5F">
        <w:rPr>
          <w:rFonts w:ascii="Arial" w:hAnsi="Arial" w:cs="Arial"/>
          <w:sz w:val="18"/>
          <w:szCs w:val="18"/>
          <w:lang w:val="en-GB"/>
        </w:rPr>
        <w:t xml:space="preserve"> (2010) p 13</w:t>
      </w:r>
    </w:p>
  </w:footnote>
  <w:footnote w:id="2">
    <w:p w14:paraId="2E0321BB" w14:textId="2FCBF2C6" w:rsidR="00371191" w:rsidRDefault="00371191">
      <w:pPr>
        <w:pStyle w:val="FootnoteText"/>
      </w:pPr>
      <w:r>
        <w:rPr>
          <w:rStyle w:val="FootnoteReference"/>
        </w:rPr>
        <w:footnoteRef/>
      </w:r>
      <w:r>
        <w:t xml:space="preserve"> </w:t>
      </w:r>
      <w:r w:rsidRPr="00371191">
        <w:t xml:space="preserve">I.F. Fletcher, </w:t>
      </w:r>
      <w:r w:rsidRPr="00371191">
        <w:rPr>
          <w:i/>
          <w:iCs/>
        </w:rPr>
        <w:t>“The Law of Insolvency , London</w:t>
      </w:r>
      <w:r w:rsidRPr="00371191">
        <w:t xml:space="preserve"> (Sweet and Maxwell, 5th ed, 2017) p9</w:t>
      </w:r>
    </w:p>
  </w:footnote>
  <w:footnote w:id="3">
    <w:p w14:paraId="04056683" w14:textId="119D87B8" w:rsidR="00505580" w:rsidRPr="00505580" w:rsidRDefault="00505580">
      <w:pPr>
        <w:pStyle w:val="FootnoteText"/>
      </w:pPr>
      <w:r>
        <w:rPr>
          <w:rStyle w:val="FootnoteReference"/>
        </w:rPr>
        <w:footnoteRef/>
      </w:r>
      <w:r>
        <w:t xml:space="preserve"> House of Common Library – </w:t>
      </w:r>
      <w:r w:rsidRPr="00505580">
        <w:rPr>
          <w:i/>
          <w:iCs/>
        </w:rPr>
        <w:t>“New business support measures: Corporate Insolvency and Governance Act 2020”</w:t>
      </w:r>
      <w:r>
        <w:t xml:space="preserve"> (see at </w:t>
      </w:r>
      <w:hyperlink r:id="rId1" w:history="1">
        <w:r w:rsidRPr="00CE73D8">
          <w:rPr>
            <w:rStyle w:val="Hyperlink"/>
          </w:rPr>
          <w:t>https://commonslibrary.parliament.uk/research-briefings/cbp-8971/</w:t>
        </w:r>
      </w:hyperlink>
      <w:r>
        <w:t xml:space="preserve"> Accessed 3 November 2021)</w:t>
      </w:r>
    </w:p>
  </w:footnote>
  <w:footnote w:id="4">
    <w:p w14:paraId="4CFA0E27" w14:textId="2B4CDC83" w:rsidR="00505580" w:rsidRDefault="00505580">
      <w:pPr>
        <w:pStyle w:val="FootnoteText"/>
      </w:pPr>
      <w:r>
        <w:rPr>
          <w:rStyle w:val="FootnoteReference"/>
        </w:rPr>
        <w:footnoteRef/>
      </w:r>
      <w:r>
        <w:t xml:space="preserve"> See </w:t>
      </w:r>
      <w:r w:rsidRPr="00505580">
        <w:t>https://www.orrick.com/en/Insights/2020/10/COVID-19-UK-The-Corporate-Insolvency-and-Governance-Act-2020-The-UK-Restructuring-Plan</w:t>
      </w:r>
    </w:p>
  </w:footnote>
  <w:footnote w:id="5">
    <w:p w14:paraId="3873BD9C" w14:textId="1CD1024A" w:rsidR="008B6678" w:rsidRPr="004848C6" w:rsidRDefault="008B6678" w:rsidP="004848C6">
      <w:pPr>
        <w:rPr>
          <w:sz w:val="18"/>
          <w:szCs w:val="22"/>
        </w:rPr>
      </w:pPr>
      <w:r>
        <w:rPr>
          <w:rStyle w:val="FootnoteReference"/>
        </w:rPr>
        <w:footnoteRef/>
      </w:r>
      <w:r>
        <w:t xml:space="preserve"> </w:t>
      </w:r>
      <w:r w:rsidRPr="004848C6">
        <w:rPr>
          <w:sz w:val="18"/>
          <w:szCs w:val="22"/>
        </w:rPr>
        <w:t>See Fletcher, supra note 56,pp 3 to 5</w:t>
      </w:r>
    </w:p>
  </w:footnote>
  <w:footnote w:id="6">
    <w:p w14:paraId="3F7262FE" w14:textId="3B718887" w:rsidR="004848C6" w:rsidRDefault="004848C6">
      <w:pPr>
        <w:pStyle w:val="FootnoteText"/>
      </w:pPr>
      <w:r w:rsidRPr="004848C6">
        <w:rPr>
          <w:rStyle w:val="FootnoteReference"/>
          <w:sz w:val="18"/>
          <w:szCs w:val="18"/>
        </w:rPr>
        <w:footnoteRef/>
      </w:r>
      <w:r w:rsidRPr="004848C6">
        <w:rPr>
          <w:sz w:val="18"/>
          <w:szCs w:val="18"/>
        </w:rPr>
        <w:t xml:space="preserve">  </w:t>
      </w:r>
      <w:r w:rsidRPr="004848C6">
        <w:rPr>
          <w:sz w:val="18"/>
          <w:szCs w:val="22"/>
        </w:rPr>
        <w:t xml:space="preserve">Foundation Certificate in International Insolvency Law, </w:t>
      </w:r>
      <w:r w:rsidRPr="009C6862">
        <w:rPr>
          <w:i/>
          <w:iCs/>
          <w:sz w:val="18"/>
          <w:szCs w:val="22"/>
        </w:rPr>
        <w:t>“Introduction to Insolvency Law”,</w:t>
      </w:r>
      <w:r w:rsidRPr="004848C6">
        <w:rPr>
          <w:sz w:val="18"/>
          <w:szCs w:val="22"/>
        </w:rPr>
        <w:t xml:space="preserve">  </w:t>
      </w:r>
      <w:r>
        <w:rPr>
          <w:sz w:val="18"/>
          <w:szCs w:val="22"/>
        </w:rPr>
        <w:t>INSOL p</w:t>
      </w:r>
      <w:r w:rsidRPr="004848C6">
        <w:rPr>
          <w:sz w:val="18"/>
          <w:szCs w:val="22"/>
        </w:rPr>
        <w:t>p 45</w:t>
      </w:r>
    </w:p>
  </w:footnote>
  <w:footnote w:id="7">
    <w:p w14:paraId="4E5FAEDD" w14:textId="08ED2F0A" w:rsidR="00C208FD" w:rsidRPr="00C208FD" w:rsidRDefault="00C208FD" w:rsidP="00C208FD">
      <w:pPr>
        <w:rPr>
          <w:sz w:val="18"/>
          <w:szCs w:val="22"/>
        </w:rPr>
      </w:pPr>
      <w:r>
        <w:rPr>
          <w:rStyle w:val="FootnoteReference"/>
        </w:rPr>
        <w:footnoteRef/>
      </w:r>
      <w:r>
        <w:t xml:space="preserve"> </w:t>
      </w:r>
      <w:r w:rsidRPr="00C208FD">
        <w:rPr>
          <w:sz w:val="18"/>
          <w:szCs w:val="22"/>
        </w:rPr>
        <w:t xml:space="preserve">Thomas Clarke </w:t>
      </w:r>
      <w:r w:rsidRPr="00C208FD">
        <w:rPr>
          <w:i/>
          <w:iCs/>
          <w:sz w:val="18"/>
          <w:szCs w:val="22"/>
        </w:rPr>
        <w:t>“Case Study: Robert Maxwell: Master of Corporate Malfeasance” (</w:t>
      </w:r>
      <w:r w:rsidRPr="00C208FD">
        <w:rPr>
          <w:sz w:val="18"/>
          <w:szCs w:val="22"/>
        </w:rPr>
        <w:t xml:space="preserve">1993) </w:t>
      </w:r>
      <w:hyperlink r:id="rId2" w:history="1">
        <w:r w:rsidRPr="00C208FD">
          <w:rPr>
            <w:rStyle w:val="Hyperlink"/>
            <w:sz w:val="18"/>
            <w:szCs w:val="22"/>
          </w:rPr>
          <w:t>https://onlinelibrary.wiley.com/doi/abs/10.1111/j.1467-8683.1993.tb00028.x</w:t>
        </w:r>
      </w:hyperlink>
      <w:r w:rsidRPr="00C208FD">
        <w:rPr>
          <w:sz w:val="18"/>
          <w:szCs w:val="22"/>
        </w:rPr>
        <w:t xml:space="preserve"> retrieved 11/11/2021</w:t>
      </w:r>
    </w:p>
  </w:footnote>
  <w:footnote w:id="8">
    <w:p w14:paraId="3A32E72D" w14:textId="20279C85" w:rsidR="00942A4B" w:rsidRDefault="00942A4B">
      <w:pPr>
        <w:pStyle w:val="FootnoteText"/>
      </w:pPr>
      <w:r w:rsidRPr="00C208FD">
        <w:rPr>
          <w:rStyle w:val="FootnoteReference"/>
          <w:sz w:val="18"/>
          <w:szCs w:val="18"/>
        </w:rPr>
        <w:footnoteRef/>
      </w:r>
      <w:r w:rsidRPr="00C208FD">
        <w:rPr>
          <w:sz w:val="18"/>
          <w:szCs w:val="18"/>
        </w:rPr>
        <w:t xml:space="preserve"> See Summary – UNCITRAL Practice Guide on Cross-Border Insolvency Cooperation 2009, pp. 128 -129</w:t>
      </w:r>
    </w:p>
  </w:footnote>
  <w:footnote w:id="9">
    <w:p w14:paraId="7E0D5F20" w14:textId="6584451C" w:rsidR="007F070B" w:rsidRDefault="007F070B">
      <w:pPr>
        <w:pStyle w:val="FootnoteText"/>
      </w:pPr>
      <w:r>
        <w:rPr>
          <w:rStyle w:val="FootnoteReference"/>
        </w:rPr>
        <w:footnoteRef/>
      </w:r>
      <w:r>
        <w:t xml:space="preserve"> </w:t>
      </w:r>
      <w:r w:rsidRPr="004848C6">
        <w:rPr>
          <w:sz w:val="18"/>
          <w:szCs w:val="22"/>
        </w:rPr>
        <w:t xml:space="preserve">Foundation Certificate in International Insolvency Law, </w:t>
      </w:r>
      <w:r w:rsidRPr="009C6862">
        <w:rPr>
          <w:i/>
          <w:iCs/>
          <w:sz w:val="18"/>
          <w:szCs w:val="22"/>
        </w:rPr>
        <w:t>“Introduction to Insolvency Law”</w:t>
      </w:r>
      <w:r>
        <w:rPr>
          <w:i/>
          <w:iCs/>
          <w:sz w:val="18"/>
          <w:szCs w:val="22"/>
        </w:rPr>
        <w:t xml:space="preserve"> “EIR recast”</w:t>
      </w:r>
      <w:r w:rsidRPr="009C6862">
        <w:rPr>
          <w:i/>
          <w:iCs/>
          <w:sz w:val="18"/>
          <w:szCs w:val="22"/>
        </w:rPr>
        <w:t>,</w:t>
      </w:r>
      <w:r w:rsidRPr="004848C6">
        <w:rPr>
          <w:sz w:val="18"/>
          <w:szCs w:val="22"/>
        </w:rPr>
        <w:t xml:space="preserve">  </w:t>
      </w:r>
      <w:r>
        <w:rPr>
          <w:sz w:val="18"/>
          <w:szCs w:val="22"/>
        </w:rPr>
        <w:t>INSOL p</w:t>
      </w:r>
      <w:r w:rsidRPr="004848C6">
        <w:rPr>
          <w:sz w:val="18"/>
          <w:szCs w:val="22"/>
        </w:rPr>
        <w:t xml:space="preserve">p </w:t>
      </w:r>
      <w:r>
        <w:rPr>
          <w:sz w:val="18"/>
          <w:szCs w:val="22"/>
        </w:rPr>
        <w:t>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GB" w:vendorID="64" w:dllVersion="4096" w:nlCheck="1" w:checkStyle="0"/>
  <w:activeWritingStyle w:appName="MSWord" w:lang="en-US" w:vendorID="64" w:dllVersion="4096" w:nlCheck="1" w:checkStyle="0"/>
  <w:activeWritingStyle w:appName="MSWord" w:lang="en-GH" w:vendorID="64" w:dllVersion="4096"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23C"/>
    <w:rsid w:val="00010BA0"/>
    <w:rsid w:val="00012F14"/>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156"/>
    <w:rsid w:val="00054EC2"/>
    <w:rsid w:val="00055EB9"/>
    <w:rsid w:val="00060705"/>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587"/>
    <w:rsid w:val="000A0C1B"/>
    <w:rsid w:val="000A68ED"/>
    <w:rsid w:val="000A74CA"/>
    <w:rsid w:val="000B5B93"/>
    <w:rsid w:val="000B5FF1"/>
    <w:rsid w:val="000B609F"/>
    <w:rsid w:val="000C541D"/>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26A83"/>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03E5"/>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3C6E"/>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1CC8"/>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17849"/>
    <w:rsid w:val="00326292"/>
    <w:rsid w:val="00326415"/>
    <w:rsid w:val="00330937"/>
    <w:rsid w:val="00330F31"/>
    <w:rsid w:val="003326F0"/>
    <w:rsid w:val="00334648"/>
    <w:rsid w:val="00336CA6"/>
    <w:rsid w:val="0033768C"/>
    <w:rsid w:val="00337938"/>
    <w:rsid w:val="00340769"/>
    <w:rsid w:val="00341A65"/>
    <w:rsid w:val="00341AA6"/>
    <w:rsid w:val="00342E57"/>
    <w:rsid w:val="00351BC0"/>
    <w:rsid w:val="00355B57"/>
    <w:rsid w:val="00361A0A"/>
    <w:rsid w:val="00361DF9"/>
    <w:rsid w:val="0036565C"/>
    <w:rsid w:val="0036625E"/>
    <w:rsid w:val="00367162"/>
    <w:rsid w:val="00371191"/>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4933"/>
    <w:rsid w:val="003A60FF"/>
    <w:rsid w:val="003A6499"/>
    <w:rsid w:val="003A696A"/>
    <w:rsid w:val="003B170F"/>
    <w:rsid w:val="003B3C5F"/>
    <w:rsid w:val="003C1451"/>
    <w:rsid w:val="003C2017"/>
    <w:rsid w:val="003C4471"/>
    <w:rsid w:val="003D0A6D"/>
    <w:rsid w:val="003D100A"/>
    <w:rsid w:val="003D3045"/>
    <w:rsid w:val="003D4300"/>
    <w:rsid w:val="003D6AC4"/>
    <w:rsid w:val="003E064D"/>
    <w:rsid w:val="003E0B16"/>
    <w:rsid w:val="003E0FB8"/>
    <w:rsid w:val="003E2D1B"/>
    <w:rsid w:val="003E67D1"/>
    <w:rsid w:val="003F655E"/>
    <w:rsid w:val="003F74D9"/>
    <w:rsid w:val="00404EF7"/>
    <w:rsid w:val="00405DC1"/>
    <w:rsid w:val="00413A7F"/>
    <w:rsid w:val="00414BF9"/>
    <w:rsid w:val="00415DFF"/>
    <w:rsid w:val="00415F1F"/>
    <w:rsid w:val="0042108F"/>
    <w:rsid w:val="004214D4"/>
    <w:rsid w:val="00426969"/>
    <w:rsid w:val="00426B64"/>
    <w:rsid w:val="00430FED"/>
    <w:rsid w:val="00434196"/>
    <w:rsid w:val="00434A8C"/>
    <w:rsid w:val="0043536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48C6"/>
    <w:rsid w:val="00486065"/>
    <w:rsid w:val="00486776"/>
    <w:rsid w:val="004868BB"/>
    <w:rsid w:val="00486B9F"/>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580"/>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0184"/>
    <w:rsid w:val="00621A17"/>
    <w:rsid w:val="00627CC9"/>
    <w:rsid w:val="00627E7B"/>
    <w:rsid w:val="00630542"/>
    <w:rsid w:val="00630727"/>
    <w:rsid w:val="00631E7B"/>
    <w:rsid w:val="00632E44"/>
    <w:rsid w:val="0063316D"/>
    <w:rsid w:val="00633D59"/>
    <w:rsid w:val="00633DC9"/>
    <w:rsid w:val="00634622"/>
    <w:rsid w:val="00636808"/>
    <w:rsid w:val="0064043F"/>
    <w:rsid w:val="00641515"/>
    <w:rsid w:val="00643ABE"/>
    <w:rsid w:val="006479EE"/>
    <w:rsid w:val="006506F0"/>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69"/>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6F7B21"/>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1E20"/>
    <w:rsid w:val="00743531"/>
    <w:rsid w:val="007462D9"/>
    <w:rsid w:val="00751986"/>
    <w:rsid w:val="00752D34"/>
    <w:rsid w:val="0075428A"/>
    <w:rsid w:val="00756ABD"/>
    <w:rsid w:val="007576A3"/>
    <w:rsid w:val="007603F5"/>
    <w:rsid w:val="00760A70"/>
    <w:rsid w:val="0076181C"/>
    <w:rsid w:val="00764DB0"/>
    <w:rsid w:val="007671EB"/>
    <w:rsid w:val="0076764D"/>
    <w:rsid w:val="0076766F"/>
    <w:rsid w:val="00770DF5"/>
    <w:rsid w:val="0077218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070B"/>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5B50"/>
    <w:rsid w:val="008A6841"/>
    <w:rsid w:val="008A6CFE"/>
    <w:rsid w:val="008B40E7"/>
    <w:rsid w:val="008B4681"/>
    <w:rsid w:val="008B4B58"/>
    <w:rsid w:val="008B5333"/>
    <w:rsid w:val="008B6223"/>
    <w:rsid w:val="008B6678"/>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3F9"/>
    <w:rsid w:val="00911C23"/>
    <w:rsid w:val="00912C79"/>
    <w:rsid w:val="00913FB9"/>
    <w:rsid w:val="00915010"/>
    <w:rsid w:val="0091528C"/>
    <w:rsid w:val="00916331"/>
    <w:rsid w:val="009173D1"/>
    <w:rsid w:val="00923CCC"/>
    <w:rsid w:val="00924F5E"/>
    <w:rsid w:val="00926D10"/>
    <w:rsid w:val="009275FE"/>
    <w:rsid w:val="00942123"/>
    <w:rsid w:val="0094263A"/>
    <w:rsid w:val="00942A4B"/>
    <w:rsid w:val="00946EE0"/>
    <w:rsid w:val="0095029B"/>
    <w:rsid w:val="0095207B"/>
    <w:rsid w:val="009533CB"/>
    <w:rsid w:val="00953B5C"/>
    <w:rsid w:val="0095526F"/>
    <w:rsid w:val="00955CE0"/>
    <w:rsid w:val="009609CA"/>
    <w:rsid w:val="00962045"/>
    <w:rsid w:val="00965A5F"/>
    <w:rsid w:val="00966E44"/>
    <w:rsid w:val="009708BB"/>
    <w:rsid w:val="009727DF"/>
    <w:rsid w:val="009729E8"/>
    <w:rsid w:val="00975640"/>
    <w:rsid w:val="00976DA5"/>
    <w:rsid w:val="009773BA"/>
    <w:rsid w:val="00981608"/>
    <w:rsid w:val="00991272"/>
    <w:rsid w:val="00991428"/>
    <w:rsid w:val="00992676"/>
    <w:rsid w:val="009A5354"/>
    <w:rsid w:val="009A64CC"/>
    <w:rsid w:val="009A6A10"/>
    <w:rsid w:val="009A7172"/>
    <w:rsid w:val="009B0723"/>
    <w:rsid w:val="009B07AD"/>
    <w:rsid w:val="009B0883"/>
    <w:rsid w:val="009B15E2"/>
    <w:rsid w:val="009C0B8E"/>
    <w:rsid w:val="009C1527"/>
    <w:rsid w:val="009C1BC8"/>
    <w:rsid w:val="009C2442"/>
    <w:rsid w:val="009C2628"/>
    <w:rsid w:val="009C27B1"/>
    <w:rsid w:val="009C6862"/>
    <w:rsid w:val="009D0811"/>
    <w:rsid w:val="009D0E12"/>
    <w:rsid w:val="009D0EE1"/>
    <w:rsid w:val="009D29B8"/>
    <w:rsid w:val="009D43D0"/>
    <w:rsid w:val="009D510C"/>
    <w:rsid w:val="009D5CDB"/>
    <w:rsid w:val="009D6709"/>
    <w:rsid w:val="009E13C1"/>
    <w:rsid w:val="009E2AEB"/>
    <w:rsid w:val="009E2E27"/>
    <w:rsid w:val="009E44C0"/>
    <w:rsid w:val="009E4DE3"/>
    <w:rsid w:val="009E50C1"/>
    <w:rsid w:val="009F0C29"/>
    <w:rsid w:val="009F47EB"/>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73194"/>
    <w:rsid w:val="00A81029"/>
    <w:rsid w:val="00A82AFB"/>
    <w:rsid w:val="00A83D83"/>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5D0"/>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BF5E01"/>
    <w:rsid w:val="00BF6A24"/>
    <w:rsid w:val="00C00231"/>
    <w:rsid w:val="00C01017"/>
    <w:rsid w:val="00C02F29"/>
    <w:rsid w:val="00C15A16"/>
    <w:rsid w:val="00C1724E"/>
    <w:rsid w:val="00C208FD"/>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47D"/>
    <w:rsid w:val="00C92A0D"/>
    <w:rsid w:val="00C963D3"/>
    <w:rsid w:val="00CA1802"/>
    <w:rsid w:val="00CA4664"/>
    <w:rsid w:val="00CB262C"/>
    <w:rsid w:val="00CB2CBB"/>
    <w:rsid w:val="00CB7283"/>
    <w:rsid w:val="00CB7CAC"/>
    <w:rsid w:val="00CC467D"/>
    <w:rsid w:val="00CC5335"/>
    <w:rsid w:val="00CC579C"/>
    <w:rsid w:val="00CC5BA4"/>
    <w:rsid w:val="00CC7728"/>
    <w:rsid w:val="00CD0FFE"/>
    <w:rsid w:val="00CD34DB"/>
    <w:rsid w:val="00CD377A"/>
    <w:rsid w:val="00CD4998"/>
    <w:rsid w:val="00CE0629"/>
    <w:rsid w:val="00CE1035"/>
    <w:rsid w:val="00CE4D3B"/>
    <w:rsid w:val="00CE5F88"/>
    <w:rsid w:val="00CE62CA"/>
    <w:rsid w:val="00CF2819"/>
    <w:rsid w:val="00CF4F9D"/>
    <w:rsid w:val="00CF5AD8"/>
    <w:rsid w:val="00CF70DC"/>
    <w:rsid w:val="00CF717B"/>
    <w:rsid w:val="00D004AF"/>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74B7A"/>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39C9"/>
    <w:rsid w:val="00DD413A"/>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43D7"/>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4ACC"/>
    <w:rsid w:val="00ED617A"/>
    <w:rsid w:val="00EE07E5"/>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5E4A"/>
    <w:rsid w:val="00F27CD8"/>
    <w:rsid w:val="00F30351"/>
    <w:rsid w:val="00F3323E"/>
    <w:rsid w:val="00F341F4"/>
    <w:rsid w:val="00F34F9D"/>
    <w:rsid w:val="00F34FAD"/>
    <w:rsid w:val="00F3554C"/>
    <w:rsid w:val="00F35CCE"/>
    <w:rsid w:val="00F35D73"/>
    <w:rsid w:val="00F366E1"/>
    <w:rsid w:val="00F42B4B"/>
    <w:rsid w:val="00F4376C"/>
    <w:rsid w:val="00F45466"/>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41E5"/>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0882"/>
    <w:rsid w:val="00FE1D12"/>
    <w:rsid w:val="00FE2122"/>
    <w:rsid w:val="00FE2A86"/>
    <w:rsid w:val="00FE6330"/>
    <w:rsid w:val="00FF09D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UnresolvedMention">
    <w:name w:val="Unresolved Mention"/>
    <w:basedOn w:val="DefaultParagraphFont"/>
    <w:uiPriority w:val="99"/>
    <w:semiHidden/>
    <w:unhideWhenUsed/>
    <w:rsid w:val="0050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024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onlinelibrary.wiley.com/doi/abs/10.1111/j.1467-8683.1993.tb00028.x" TargetMode="External"/><Relationship Id="rId1" Type="http://schemas.openxmlformats.org/officeDocument/2006/relationships/hyperlink" Target="https://commonslibrary.parliament.uk/research-briefings/cbp-8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4422</Words>
  <Characters>25210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GARIA Ghana</cp:lastModifiedBy>
  <cp:revision>5</cp:revision>
  <cp:lastPrinted>2020-06-12T02:43:00Z</cp:lastPrinted>
  <dcterms:created xsi:type="dcterms:W3CDTF">2021-11-15T21:00:00Z</dcterms:created>
  <dcterms:modified xsi:type="dcterms:W3CDTF">2021-11-15T21:11:00Z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