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666DD" w:rsidRDefault="00C60631" w:rsidP="009D510C">
      <w:pPr>
        <w:pStyle w:val="ListParagraph"/>
        <w:numPr>
          <w:ilvl w:val="0"/>
          <w:numId w:val="12"/>
        </w:numPr>
        <w:ind w:left="426"/>
        <w:jc w:val="both"/>
        <w:rPr>
          <w:rFonts w:ascii="Arial" w:hAnsi="Arial" w:cs="Arial"/>
          <w:sz w:val="22"/>
          <w:szCs w:val="22"/>
          <w:highlight w:val="yellow"/>
          <w:lang w:val="en-GB"/>
        </w:rPr>
      </w:pPr>
      <w:r w:rsidRPr="008666DD">
        <w:rPr>
          <w:rFonts w:ascii="Arial" w:hAnsi="Arial" w:cs="Arial"/>
          <w:sz w:val="22"/>
          <w:szCs w:val="22"/>
          <w:highlight w:val="yellow"/>
          <w:lang w:val="en-GB"/>
        </w:rPr>
        <w:t xml:space="preserve">This statement is incorrect since </w:t>
      </w:r>
      <w:r w:rsidR="00E7793C" w:rsidRPr="008666D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666DD" w:rsidRDefault="00AE027F" w:rsidP="009D510C">
      <w:pPr>
        <w:pStyle w:val="ListParagraph"/>
        <w:numPr>
          <w:ilvl w:val="0"/>
          <w:numId w:val="13"/>
        </w:numPr>
        <w:jc w:val="both"/>
        <w:rPr>
          <w:rFonts w:ascii="Arial" w:hAnsi="Arial" w:cs="Arial"/>
          <w:sz w:val="22"/>
          <w:szCs w:val="22"/>
          <w:highlight w:val="yellow"/>
          <w:lang w:val="en-GB"/>
        </w:rPr>
      </w:pPr>
      <w:r w:rsidRPr="008666DD">
        <w:rPr>
          <w:rFonts w:ascii="Arial" w:hAnsi="Arial" w:cs="Arial"/>
          <w:sz w:val="22"/>
          <w:szCs w:val="22"/>
          <w:highlight w:val="yellow"/>
          <w:lang w:val="en-GB"/>
        </w:rPr>
        <w:t>The statement i</w:t>
      </w:r>
      <w:r w:rsidR="006E77B0" w:rsidRPr="008666DD">
        <w:rPr>
          <w:rFonts w:ascii="Arial" w:hAnsi="Arial" w:cs="Arial"/>
          <w:sz w:val="22"/>
          <w:szCs w:val="22"/>
          <w:highlight w:val="yellow"/>
          <w:lang w:val="en-GB"/>
        </w:rPr>
        <w:t>s incorrect since the UK did re</w:t>
      </w:r>
      <w:r w:rsidRPr="008666DD">
        <w:rPr>
          <w:rFonts w:ascii="Arial" w:hAnsi="Arial" w:cs="Arial"/>
          <w:sz w:val="22"/>
          <w:szCs w:val="22"/>
          <w:highlight w:val="yellow"/>
          <w:lang w:val="en-GB"/>
        </w:rPr>
        <w:t>v</w:t>
      </w:r>
      <w:r w:rsidR="006E77B0" w:rsidRPr="008666DD">
        <w:rPr>
          <w:rFonts w:ascii="Arial" w:hAnsi="Arial" w:cs="Arial"/>
          <w:sz w:val="22"/>
          <w:szCs w:val="22"/>
          <w:highlight w:val="yellow"/>
          <w:lang w:val="en-GB"/>
        </w:rPr>
        <w:t>i</w:t>
      </w:r>
      <w:r w:rsidRPr="008666DD">
        <w:rPr>
          <w:rFonts w:ascii="Arial" w:hAnsi="Arial" w:cs="Arial"/>
          <w:sz w:val="22"/>
          <w:szCs w:val="22"/>
          <w:highlight w:val="yellow"/>
          <w:lang w:val="en-GB"/>
        </w:rPr>
        <w:t>ew parts of its insolvency rules and amended some, among</w:t>
      </w:r>
      <w:r w:rsidR="006E77B0" w:rsidRPr="008666DD">
        <w:rPr>
          <w:rFonts w:ascii="Arial" w:hAnsi="Arial" w:cs="Arial"/>
          <w:sz w:val="22"/>
          <w:szCs w:val="22"/>
          <w:highlight w:val="yellow"/>
          <w:lang w:val="en-GB"/>
        </w:rPr>
        <w:t>s</w:t>
      </w:r>
      <w:r w:rsidRPr="008666DD">
        <w:rPr>
          <w:rFonts w:ascii="Arial" w:hAnsi="Arial" w:cs="Arial"/>
          <w:sz w:val="22"/>
          <w:szCs w:val="22"/>
          <w:highlight w:val="yellow"/>
          <w:lang w:val="en-GB"/>
        </w:rPr>
        <w:t>t other</w:t>
      </w:r>
      <w:r w:rsidR="00F96AF1" w:rsidRPr="008666DD">
        <w:rPr>
          <w:rFonts w:ascii="Arial" w:hAnsi="Arial" w:cs="Arial"/>
          <w:sz w:val="22"/>
          <w:szCs w:val="22"/>
          <w:highlight w:val="yellow"/>
          <w:lang w:val="en-GB"/>
        </w:rPr>
        <w:t xml:space="preserve"> things</w:t>
      </w:r>
      <w:r w:rsidRPr="008666DD">
        <w:rPr>
          <w:rFonts w:ascii="Arial" w:hAnsi="Arial" w:cs="Arial"/>
          <w:sz w:val="22"/>
          <w:szCs w:val="22"/>
          <w:highlight w:val="yellow"/>
          <w:lang w:val="en-GB"/>
        </w:rPr>
        <w:t>, to deal with the negative economic fall out of the pandemic.</w:t>
      </w:r>
      <w:r w:rsidR="00100A77" w:rsidRPr="008666D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8666DD" w:rsidRDefault="00B54F90" w:rsidP="009D510C">
      <w:pPr>
        <w:pStyle w:val="ListParagraph"/>
        <w:numPr>
          <w:ilvl w:val="0"/>
          <w:numId w:val="14"/>
        </w:numPr>
        <w:ind w:left="426"/>
        <w:jc w:val="both"/>
        <w:rPr>
          <w:rFonts w:ascii="Arial" w:hAnsi="Arial" w:cs="Arial"/>
          <w:sz w:val="22"/>
          <w:szCs w:val="22"/>
          <w:highlight w:val="yellow"/>
          <w:lang w:val="en-GB"/>
        </w:rPr>
      </w:pPr>
      <w:r w:rsidRPr="008666D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8666DD">
        <w:rPr>
          <w:rFonts w:ascii="Arial" w:hAnsi="Arial" w:cs="Arial"/>
          <w:sz w:val="22"/>
          <w:szCs w:val="22"/>
          <w:highlight w:val="yellow"/>
          <w:lang w:val="en-GB"/>
        </w:rPr>
        <w:t xml:space="preserve">on </w:t>
      </w:r>
      <w:r w:rsidRPr="008666D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666DD"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666DD">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ED6246" w:rsidRDefault="00926D10" w:rsidP="009D510C">
      <w:pPr>
        <w:pStyle w:val="ListParagraph"/>
        <w:numPr>
          <w:ilvl w:val="0"/>
          <w:numId w:val="5"/>
        </w:numPr>
        <w:ind w:left="426"/>
        <w:jc w:val="both"/>
        <w:rPr>
          <w:rFonts w:ascii="Arial" w:hAnsi="Arial" w:cs="Arial"/>
          <w:sz w:val="22"/>
          <w:szCs w:val="22"/>
          <w:highlight w:val="yellow"/>
          <w:lang w:val="en-GB"/>
        </w:rPr>
      </w:pPr>
      <w:r w:rsidRPr="00ED6246">
        <w:rPr>
          <w:rFonts w:ascii="Arial" w:hAnsi="Arial" w:cs="Arial"/>
          <w:sz w:val="22"/>
          <w:szCs w:val="22"/>
          <w:highlight w:val="yellow"/>
          <w:lang w:val="en-GB"/>
        </w:rPr>
        <w:t xml:space="preserve">The statement is </w:t>
      </w:r>
      <w:r w:rsidR="006E1CB0" w:rsidRPr="00ED6246">
        <w:rPr>
          <w:rFonts w:ascii="Arial" w:hAnsi="Arial" w:cs="Arial"/>
          <w:sz w:val="22"/>
          <w:szCs w:val="22"/>
          <w:highlight w:val="yellow"/>
          <w:lang w:val="en-GB"/>
        </w:rPr>
        <w:t xml:space="preserve">not </w:t>
      </w:r>
      <w:r w:rsidRPr="00ED6246">
        <w:rPr>
          <w:rFonts w:ascii="Arial" w:hAnsi="Arial" w:cs="Arial"/>
          <w:sz w:val="22"/>
          <w:szCs w:val="22"/>
          <w:highlight w:val="yellow"/>
          <w:lang w:val="en-GB"/>
        </w:rPr>
        <w:t xml:space="preserve">correct </w:t>
      </w:r>
      <w:r w:rsidR="007958F0" w:rsidRPr="00ED6246">
        <w:rPr>
          <w:rFonts w:ascii="Arial" w:hAnsi="Arial" w:cs="Arial"/>
          <w:sz w:val="22"/>
          <w:szCs w:val="22"/>
          <w:highlight w:val="yellow"/>
          <w:lang w:val="en-GB"/>
        </w:rPr>
        <w:t>because</w:t>
      </w:r>
      <w:r w:rsidRPr="00ED6246">
        <w:rPr>
          <w:rFonts w:ascii="Arial" w:hAnsi="Arial" w:cs="Arial"/>
          <w:sz w:val="22"/>
          <w:szCs w:val="22"/>
          <w:highlight w:val="yellow"/>
          <w:lang w:val="en-GB"/>
        </w:rPr>
        <w:t xml:space="preserve"> very few </w:t>
      </w:r>
      <w:r w:rsidR="007958F0" w:rsidRPr="00ED6246">
        <w:rPr>
          <w:rFonts w:ascii="Arial" w:hAnsi="Arial" w:cs="Arial"/>
          <w:sz w:val="22"/>
          <w:szCs w:val="22"/>
          <w:highlight w:val="yellow"/>
          <w:lang w:val="en-GB"/>
        </w:rPr>
        <w:t>States</w:t>
      </w:r>
      <w:r w:rsidRPr="00ED6246">
        <w:rPr>
          <w:rFonts w:ascii="Arial" w:hAnsi="Arial" w:cs="Arial"/>
          <w:sz w:val="22"/>
          <w:szCs w:val="22"/>
          <w:highlight w:val="yellow"/>
          <w:lang w:val="en-GB"/>
        </w:rPr>
        <w:t xml:space="preserve"> allow insolvent estate representatives to deal with assets of a foreign debtor situated in </w:t>
      </w:r>
      <w:r w:rsidR="005936B3" w:rsidRPr="00ED6246">
        <w:rPr>
          <w:rFonts w:ascii="Arial" w:hAnsi="Arial" w:cs="Arial"/>
          <w:sz w:val="22"/>
          <w:szCs w:val="22"/>
          <w:highlight w:val="yellow"/>
          <w:lang w:val="en-GB"/>
        </w:rPr>
        <w:t>their own</w:t>
      </w:r>
      <w:r w:rsidRPr="00ED6246">
        <w:rPr>
          <w:rFonts w:ascii="Arial" w:hAnsi="Arial" w:cs="Arial"/>
          <w:sz w:val="22"/>
          <w:szCs w:val="22"/>
          <w:highlight w:val="yellow"/>
          <w:lang w:val="en-GB"/>
        </w:rPr>
        <w:t xml:space="preserve"> jurisdiction without </w:t>
      </w:r>
      <w:r w:rsidR="006E1CB0" w:rsidRPr="00ED6246">
        <w:rPr>
          <w:rFonts w:ascii="Arial" w:hAnsi="Arial" w:cs="Arial"/>
          <w:sz w:val="22"/>
          <w:szCs w:val="22"/>
          <w:highlight w:val="yellow"/>
          <w:lang w:val="en-GB"/>
        </w:rPr>
        <w:t xml:space="preserve">some form of </w:t>
      </w:r>
      <w:r w:rsidR="0090037B" w:rsidRPr="00ED6246">
        <w:rPr>
          <w:rFonts w:ascii="Arial" w:hAnsi="Arial" w:cs="Arial"/>
          <w:sz w:val="22"/>
          <w:szCs w:val="22"/>
          <w:highlight w:val="yellow"/>
          <w:lang w:val="en-GB"/>
        </w:rPr>
        <w:t xml:space="preserve">a </w:t>
      </w:r>
      <w:r w:rsidR="006E1CB0" w:rsidRPr="00ED6246">
        <w:rPr>
          <w:rFonts w:ascii="Arial" w:hAnsi="Arial" w:cs="Arial"/>
          <w:sz w:val="22"/>
          <w:szCs w:val="22"/>
          <w:highlight w:val="yellow"/>
          <w:lang w:val="en-GB"/>
        </w:rPr>
        <w:t>(</w:t>
      </w:r>
      <w:r w:rsidR="0090037B" w:rsidRPr="00ED6246">
        <w:rPr>
          <w:rFonts w:ascii="Arial" w:hAnsi="Arial" w:cs="Arial"/>
          <w:sz w:val="22"/>
          <w:szCs w:val="22"/>
          <w:highlight w:val="yellow"/>
          <w:lang w:val="en-GB"/>
        </w:rPr>
        <w:t>prior</w:t>
      </w:r>
      <w:r w:rsidR="006E1CB0" w:rsidRPr="00ED6246">
        <w:rPr>
          <w:rFonts w:ascii="Arial" w:hAnsi="Arial" w:cs="Arial"/>
          <w:sz w:val="22"/>
          <w:szCs w:val="22"/>
          <w:highlight w:val="yellow"/>
          <w:lang w:val="en-GB"/>
        </w:rPr>
        <w:t>)</w:t>
      </w:r>
      <w:r w:rsidRPr="00ED6246">
        <w:rPr>
          <w:rFonts w:ascii="Arial" w:hAnsi="Arial" w:cs="Arial"/>
          <w:sz w:val="22"/>
          <w:szCs w:val="22"/>
          <w:highlight w:val="yellow"/>
          <w:lang w:val="en-GB"/>
        </w:rPr>
        <w:t xml:space="preserve"> local procedure </w:t>
      </w:r>
      <w:r w:rsidR="005936B3" w:rsidRPr="00ED6246">
        <w:rPr>
          <w:rFonts w:ascii="Arial" w:hAnsi="Arial" w:cs="Arial"/>
          <w:sz w:val="22"/>
          <w:szCs w:val="22"/>
          <w:highlight w:val="yellow"/>
          <w:lang w:val="en-GB"/>
        </w:rPr>
        <w:t xml:space="preserve">to </w:t>
      </w:r>
      <w:r w:rsidRPr="00ED6246">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D6246" w:rsidRDefault="000329A6" w:rsidP="00C570AC">
      <w:pPr>
        <w:pStyle w:val="ListParagraph"/>
        <w:numPr>
          <w:ilvl w:val="0"/>
          <w:numId w:val="6"/>
        </w:numPr>
        <w:ind w:left="426"/>
        <w:jc w:val="both"/>
        <w:rPr>
          <w:rFonts w:ascii="Arial" w:hAnsi="Arial" w:cs="Arial"/>
          <w:sz w:val="22"/>
          <w:szCs w:val="22"/>
          <w:highlight w:val="yellow"/>
          <w:lang w:val="en-GB"/>
        </w:rPr>
      </w:pPr>
      <w:r w:rsidRPr="00ED6246">
        <w:rPr>
          <w:rFonts w:ascii="Arial" w:eastAsiaTheme="minorHAnsi" w:hAnsi="Arial" w:cs="Arial"/>
          <w:sz w:val="22"/>
          <w:szCs w:val="22"/>
          <w:highlight w:val="yellow"/>
          <w:lang w:val="en-GB"/>
        </w:rPr>
        <w:t xml:space="preserve">They were recently revised in 2021 and, together with the </w:t>
      </w:r>
      <w:r w:rsidRPr="00ED6246">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D6246"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D6246">
        <w:rPr>
          <w:rFonts w:ascii="Arial" w:eastAsiaTheme="minorHAnsi" w:hAnsi="Arial" w:cs="Arial"/>
          <w:sz w:val="22"/>
          <w:szCs w:val="22"/>
          <w:highlight w:val="yellow"/>
          <w:lang w:val="en-GB"/>
        </w:rPr>
        <w:t xml:space="preserve">The Nordic Convention </w:t>
      </w:r>
      <w:r w:rsidR="00076483" w:rsidRPr="00ED6246">
        <w:rPr>
          <w:rFonts w:ascii="Arial" w:eastAsiaTheme="minorHAnsi" w:hAnsi="Arial" w:cs="Arial"/>
          <w:sz w:val="22"/>
          <w:szCs w:val="22"/>
          <w:highlight w:val="yellow"/>
          <w:lang w:val="en-GB"/>
        </w:rPr>
        <w:t>1933</w:t>
      </w:r>
      <w:r w:rsidR="00966E44" w:rsidRPr="00ED6246">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8719B1" w:rsidRDefault="00124B70" w:rsidP="00275182">
      <w:pPr>
        <w:pStyle w:val="ListParagraph"/>
        <w:numPr>
          <w:ilvl w:val="0"/>
          <w:numId w:val="8"/>
        </w:numPr>
        <w:ind w:left="426"/>
        <w:jc w:val="both"/>
        <w:rPr>
          <w:rFonts w:ascii="Arial" w:hAnsi="Arial" w:cs="Arial"/>
          <w:sz w:val="22"/>
          <w:szCs w:val="22"/>
          <w:highlight w:val="yellow"/>
          <w:lang w:val="en-GB"/>
        </w:rPr>
      </w:pPr>
      <w:r w:rsidRPr="008719B1">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8719B1" w:rsidRDefault="00E86549" w:rsidP="00275182">
      <w:pPr>
        <w:pStyle w:val="ListParagraph"/>
        <w:numPr>
          <w:ilvl w:val="0"/>
          <w:numId w:val="9"/>
        </w:numPr>
        <w:ind w:left="426"/>
        <w:jc w:val="both"/>
        <w:rPr>
          <w:rFonts w:ascii="Arial" w:hAnsi="Arial" w:cs="Arial"/>
          <w:bCs/>
          <w:sz w:val="22"/>
          <w:szCs w:val="22"/>
          <w:highlight w:val="yellow"/>
          <w:lang w:val="en-GB"/>
        </w:rPr>
      </w:pPr>
      <w:r w:rsidRPr="008719B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8719B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8719B1" w:rsidRDefault="00911C23" w:rsidP="00275182">
      <w:pPr>
        <w:pStyle w:val="ListParagraph"/>
        <w:numPr>
          <w:ilvl w:val="0"/>
          <w:numId w:val="10"/>
        </w:numPr>
        <w:ind w:left="426"/>
        <w:jc w:val="both"/>
        <w:rPr>
          <w:rFonts w:ascii="Arial" w:hAnsi="Arial" w:cs="Arial"/>
          <w:sz w:val="22"/>
          <w:szCs w:val="22"/>
          <w:highlight w:val="yellow"/>
          <w:lang w:val="en-GB"/>
        </w:rPr>
      </w:pPr>
      <w:r w:rsidRPr="008719B1">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C723CF">
      <w:pPr>
        <w:jc w:val="both"/>
        <w:rPr>
          <w:rFonts w:ascii="Arial" w:hAnsi="Arial" w:cs="Arial"/>
          <w:sz w:val="22"/>
          <w:szCs w:val="22"/>
          <w:lang w:val="en-GB"/>
        </w:rPr>
      </w:pPr>
    </w:p>
    <w:p w14:paraId="13E739D0" w14:textId="58701BD0" w:rsidR="00C723CF" w:rsidRPr="009F4FF2" w:rsidRDefault="00C723CF" w:rsidP="00C723CF">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The Statute of Marlbridge of 1267 was introduced which provided for imprisonment for debt.</w:t>
      </w:r>
    </w:p>
    <w:p w14:paraId="57BCFC30" w14:textId="748E3FB8" w:rsidR="009B07AD" w:rsidRPr="009F4FF2" w:rsidRDefault="00C723CF" w:rsidP="00C723CF">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 xml:space="preserve">Imprisonment for the non-payment of debt was then abolished in 1869 by the Debtors Act. </w:t>
      </w:r>
    </w:p>
    <w:p w14:paraId="22C610C9" w14:textId="61EA7653" w:rsidR="00DE03AF" w:rsidRPr="009F4FF2" w:rsidRDefault="00C723CF" w:rsidP="00C723CF">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 xml:space="preserve">The English Bankruptcy Act of 1542 provided for the appointment of a body of commissioners who could, </w:t>
      </w:r>
      <w:r w:rsidRPr="009F4FF2">
        <w:rPr>
          <w:rFonts w:ascii="Arial" w:hAnsi="Arial" w:cs="Arial"/>
          <w:i/>
          <w:sz w:val="22"/>
          <w:szCs w:val="22"/>
          <w:lang w:val="en-GB"/>
        </w:rPr>
        <w:t>inter alia</w:t>
      </w:r>
      <w:r w:rsidRPr="009F4FF2">
        <w:rPr>
          <w:rFonts w:ascii="Arial" w:hAnsi="Arial" w:cs="Arial"/>
          <w:sz w:val="22"/>
          <w:szCs w:val="22"/>
          <w:lang w:val="en-GB"/>
        </w:rPr>
        <w:t>, proceed against a trading debtor who fled from the country or neglected to pay his debts.</w:t>
      </w:r>
    </w:p>
    <w:p w14:paraId="789C3223" w14:textId="22F70A7E" w:rsidR="00020557" w:rsidRDefault="00020557" w:rsidP="00B7193E">
      <w:pPr>
        <w:jc w:val="both"/>
        <w:rPr>
          <w:rFonts w:ascii="Arial" w:hAnsi="Arial" w:cs="Arial"/>
          <w:sz w:val="22"/>
          <w:szCs w:val="22"/>
          <w:lang w:val="en-GB"/>
        </w:rPr>
      </w:pPr>
    </w:p>
    <w:p w14:paraId="7A5A3E4A" w14:textId="77777777" w:rsidR="00C723CF" w:rsidRPr="00205B31" w:rsidRDefault="00C723CF"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0A078997" w:rsidR="009B07AD" w:rsidRPr="009F4FF2" w:rsidRDefault="00C723CF" w:rsidP="00C723CF">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New moratorium rules were introduced</w:t>
      </w:r>
    </w:p>
    <w:p w14:paraId="5E362D69" w14:textId="3D249A2F" w:rsidR="00C723CF" w:rsidRPr="009F4FF2" w:rsidRDefault="00C723CF" w:rsidP="00C723CF">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There was a suspension of winding-up petitions and statutory demands</w:t>
      </w:r>
    </w:p>
    <w:p w14:paraId="403BE2C1" w14:textId="72596D5B" w:rsidR="00C723CF" w:rsidRPr="009F4FF2" w:rsidRDefault="00C723CF" w:rsidP="00C723CF">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There was relaxation of wrongful trading liability</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6159BC77" w:rsidR="00C72848" w:rsidRPr="009F4FF2" w:rsidRDefault="009732F5" w:rsidP="009732F5">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Treaties are instruments that provide for agreements between different States in relation to the treatment of cross-border insolvency matters where there may otherwise be conflicting legislation between the differing jurisdictions.</w:t>
      </w:r>
      <w:r w:rsidR="00BB6364" w:rsidRPr="009F4FF2">
        <w:rPr>
          <w:rFonts w:ascii="Arial" w:hAnsi="Arial" w:cs="Arial"/>
          <w:sz w:val="22"/>
          <w:szCs w:val="22"/>
          <w:lang w:val="en-GB"/>
        </w:rPr>
        <w:t xml:space="preserve">  Treaties may be a useful instrument in determining procedures for dealing with specific aspects of cross-border insolvency cases, such as the treatment of certain assets.</w:t>
      </w:r>
    </w:p>
    <w:p w14:paraId="757F0AC5" w14:textId="457230A2" w:rsidR="009732F5" w:rsidRPr="009F4FF2" w:rsidRDefault="00BB6364" w:rsidP="009732F5">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 xml:space="preserve">A </w:t>
      </w:r>
      <w:r w:rsidR="009732F5" w:rsidRPr="009F4FF2">
        <w:rPr>
          <w:rFonts w:ascii="Arial" w:hAnsi="Arial" w:cs="Arial"/>
          <w:sz w:val="22"/>
          <w:szCs w:val="22"/>
          <w:lang w:val="en-GB"/>
        </w:rPr>
        <w:t>“</w:t>
      </w:r>
      <w:r w:rsidRPr="009F4FF2">
        <w:rPr>
          <w:rFonts w:ascii="Arial" w:hAnsi="Arial" w:cs="Arial"/>
          <w:sz w:val="22"/>
          <w:szCs w:val="22"/>
          <w:lang w:val="en-GB"/>
        </w:rPr>
        <w:t>s</w:t>
      </w:r>
      <w:r w:rsidR="009732F5" w:rsidRPr="009F4FF2">
        <w:rPr>
          <w:rFonts w:ascii="Arial" w:hAnsi="Arial" w:cs="Arial"/>
          <w:sz w:val="22"/>
          <w:szCs w:val="22"/>
          <w:lang w:val="en-GB"/>
        </w:rPr>
        <w:t xml:space="preserve">oft law” </w:t>
      </w:r>
      <w:r w:rsidRPr="009F4FF2">
        <w:rPr>
          <w:rFonts w:ascii="Arial" w:hAnsi="Arial" w:cs="Arial"/>
          <w:sz w:val="22"/>
          <w:szCs w:val="22"/>
          <w:lang w:val="en-GB"/>
        </w:rPr>
        <w:t>is a form of quasi-legal instrument or policy which is not legally binding which could be referred to as ‘guidelines’.  An example of such would be the Model Law on Cross-Border Insolvency (MLCBI) developed by UNCITRAL in the mid-1990s, which UNCITRAL recommended to member States to adopt; so, although member States were governed by their own legislation, the could follow similar guidelines, the MLCBI provides guidelines to allow a synergistic approach to cross-border insolvency matters between member States.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124E48CC" w14:textId="1BEB38EB" w:rsidR="00302023" w:rsidRPr="009F4FF2" w:rsidRDefault="00302023" w:rsidP="00B7193E">
      <w:pPr>
        <w:jc w:val="both"/>
        <w:rPr>
          <w:rFonts w:ascii="Arial" w:hAnsi="Arial" w:cs="Arial"/>
          <w:sz w:val="22"/>
          <w:szCs w:val="22"/>
          <w:lang w:val="en-GB"/>
        </w:rPr>
      </w:pPr>
      <w:r w:rsidRPr="009F4FF2">
        <w:rPr>
          <w:rFonts w:ascii="Arial" w:hAnsi="Arial" w:cs="Arial"/>
          <w:sz w:val="22"/>
          <w:szCs w:val="22"/>
          <w:lang w:val="en-GB"/>
        </w:rPr>
        <w:lastRenderedPageBreak/>
        <w:t xml:space="preserve">A State may have multiple sources from which to draw its insolvency laws, such as in </w:t>
      </w:r>
      <w:r w:rsidR="00C16EE4" w:rsidRPr="009F4FF2">
        <w:rPr>
          <w:rFonts w:ascii="Arial" w:hAnsi="Arial" w:cs="Arial"/>
          <w:sz w:val="22"/>
          <w:szCs w:val="22"/>
          <w:lang w:val="en-GB"/>
        </w:rPr>
        <w:t>UK</w:t>
      </w:r>
      <w:r w:rsidRPr="009F4FF2">
        <w:rPr>
          <w:rFonts w:ascii="Arial" w:hAnsi="Arial" w:cs="Arial"/>
          <w:sz w:val="22"/>
          <w:szCs w:val="22"/>
          <w:lang w:val="en-GB"/>
        </w:rPr>
        <w:t xml:space="preserve"> insolvency law, there is both the Insolvency Act 1986 (the “</w:t>
      </w:r>
      <w:r w:rsidRPr="009F4FF2">
        <w:rPr>
          <w:rFonts w:ascii="Arial" w:hAnsi="Arial" w:cs="Arial"/>
          <w:b/>
          <w:sz w:val="22"/>
          <w:szCs w:val="22"/>
          <w:lang w:val="en-GB"/>
        </w:rPr>
        <w:t>Act</w:t>
      </w:r>
      <w:r w:rsidRPr="009F4FF2">
        <w:rPr>
          <w:rFonts w:ascii="Arial" w:hAnsi="Arial" w:cs="Arial"/>
          <w:sz w:val="22"/>
          <w:szCs w:val="22"/>
          <w:lang w:val="en-GB"/>
        </w:rPr>
        <w:t>”) and the Insolvency Rules 2016 (the “</w:t>
      </w:r>
      <w:r w:rsidRPr="009F4FF2">
        <w:rPr>
          <w:rFonts w:ascii="Arial" w:hAnsi="Arial" w:cs="Arial"/>
          <w:b/>
          <w:sz w:val="22"/>
          <w:szCs w:val="22"/>
          <w:lang w:val="en-GB"/>
        </w:rPr>
        <w:t>Rules</w:t>
      </w:r>
      <w:r w:rsidRPr="009F4FF2">
        <w:rPr>
          <w:rFonts w:ascii="Arial" w:hAnsi="Arial" w:cs="Arial"/>
          <w:sz w:val="22"/>
          <w:szCs w:val="22"/>
          <w:lang w:val="en-GB"/>
        </w:rPr>
        <w:t>”).</w:t>
      </w:r>
    </w:p>
    <w:p w14:paraId="70A830F9" w14:textId="77777777" w:rsidR="00302023" w:rsidRPr="009F4FF2" w:rsidRDefault="00302023" w:rsidP="00B7193E">
      <w:pPr>
        <w:jc w:val="both"/>
        <w:rPr>
          <w:rFonts w:ascii="Arial" w:hAnsi="Arial" w:cs="Arial"/>
          <w:sz w:val="22"/>
          <w:szCs w:val="22"/>
          <w:lang w:val="en-GB"/>
        </w:rPr>
      </w:pPr>
    </w:p>
    <w:p w14:paraId="4024A332" w14:textId="579C464F" w:rsidR="00544127" w:rsidRPr="009F4FF2" w:rsidRDefault="00302023" w:rsidP="00B7193E">
      <w:pPr>
        <w:jc w:val="both"/>
        <w:rPr>
          <w:rFonts w:ascii="Arial" w:hAnsi="Arial" w:cs="Arial"/>
          <w:sz w:val="22"/>
          <w:szCs w:val="22"/>
          <w:lang w:val="en-GB"/>
        </w:rPr>
      </w:pPr>
      <w:r w:rsidRPr="009F4FF2">
        <w:rPr>
          <w:rFonts w:ascii="Arial" w:hAnsi="Arial" w:cs="Arial"/>
          <w:sz w:val="22"/>
          <w:szCs w:val="22"/>
          <w:lang w:val="en-GB"/>
        </w:rPr>
        <w:t xml:space="preserve">In this instance, both the Act and the Rules are examples of unified insolvency legislation as they </w:t>
      </w:r>
      <w:r w:rsidR="00842552" w:rsidRPr="009F4FF2">
        <w:rPr>
          <w:rFonts w:ascii="Arial" w:hAnsi="Arial" w:cs="Arial"/>
          <w:sz w:val="22"/>
          <w:szCs w:val="22"/>
          <w:lang w:val="en-GB"/>
        </w:rPr>
        <w:t xml:space="preserve">each </w:t>
      </w:r>
      <w:r w:rsidRPr="009F4FF2">
        <w:rPr>
          <w:rFonts w:ascii="Arial" w:hAnsi="Arial" w:cs="Arial"/>
          <w:sz w:val="22"/>
          <w:szCs w:val="22"/>
          <w:lang w:val="en-GB"/>
        </w:rPr>
        <w:t>combine the necessary laws and rules for corporate and personal insolvency and they detail the legislation to follow for the treatment of both insolvent individuals and insolvent entities.</w:t>
      </w:r>
      <w:r w:rsidR="00842552" w:rsidRPr="009F4FF2">
        <w:rPr>
          <w:rFonts w:ascii="Arial" w:hAnsi="Arial" w:cs="Arial"/>
          <w:sz w:val="22"/>
          <w:szCs w:val="22"/>
          <w:lang w:val="en-GB"/>
        </w:rPr>
        <w:t xml:space="preserve">  Both of these sources of legislation should be reviewed simultaneously and should be implemented together in order to achieve the desired and effective outcome in UK-based insolvency proceedings.</w:t>
      </w:r>
    </w:p>
    <w:p w14:paraId="6DF1D183" w14:textId="04244B6A" w:rsidR="00842552" w:rsidRPr="009F4FF2" w:rsidRDefault="00842552" w:rsidP="00B7193E">
      <w:pPr>
        <w:jc w:val="both"/>
        <w:rPr>
          <w:rFonts w:ascii="Arial" w:hAnsi="Arial" w:cs="Arial"/>
          <w:sz w:val="22"/>
          <w:szCs w:val="22"/>
          <w:lang w:val="en-GB"/>
        </w:rPr>
      </w:pPr>
    </w:p>
    <w:p w14:paraId="7F6DCCE3" w14:textId="3AC4C592" w:rsidR="00842552" w:rsidRPr="00205B31" w:rsidRDefault="00842552" w:rsidP="00B7193E">
      <w:pPr>
        <w:jc w:val="both"/>
        <w:rPr>
          <w:rFonts w:ascii="Arial" w:hAnsi="Arial" w:cs="Arial"/>
          <w:sz w:val="22"/>
          <w:szCs w:val="22"/>
          <w:lang w:val="en-GB"/>
        </w:rPr>
      </w:pPr>
      <w:r w:rsidRPr="009F4FF2">
        <w:rPr>
          <w:rFonts w:ascii="Arial" w:hAnsi="Arial" w:cs="Arial"/>
          <w:sz w:val="22"/>
          <w:szCs w:val="22"/>
          <w:lang w:val="en-GB"/>
        </w:rPr>
        <w:t>In more recent times, the UK also passed the Corporate Insolvency and Governance Act 2020 (“</w:t>
      </w:r>
      <w:r w:rsidRPr="009F4FF2">
        <w:rPr>
          <w:rFonts w:ascii="Arial" w:hAnsi="Arial" w:cs="Arial"/>
          <w:b/>
          <w:sz w:val="22"/>
          <w:szCs w:val="22"/>
          <w:lang w:val="en-GB"/>
        </w:rPr>
        <w:t>CIGA</w:t>
      </w:r>
      <w:r w:rsidRPr="009F4FF2">
        <w:rPr>
          <w:rFonts w:ascii="Arial" w:hAnsi="Arial" w:cs="Arial"/>
          <w:sz w:val="22"/>
          <w:szCs w:val="22"/>
          <w:lang w:val="en-GB"/>
        </w:rPr>
        <w:t xml:space="preserve">”) which has brought about reforms to the UK’s insolvency law.  Whilst there would be conflicts </w:t>
      </w:r>
      <w:r w:rsidR="00C16EE4" w:rsidRPr="009F4FF2">
        <w:rPr>
          <w:rFonts w:ascii="Arial" w:hAnsi="Arial" w:cs="Arial"/>
          <w:sz w:val="22"/>
          <w:szCs w:val="22"/>
          <w:lang w:val="en-GB"/>
        </w:rPr>
        <w:t xml:space="preserve">between CIGA and </w:t>
      </w:r>
      <w:r w:rsidRPr="009F4FF2">
        <w:rPr>
          <w:rFonts w:ascii="Arial" w:hAnsi="Arial" w:cs="Arial"/>
          <w:sz w:val="22"/>
          <w:szCs w:val="22"/>
          <w:lang w:val="en-GB"/>
        </w:rPr>
        <w:t xml:space="preserve">certain sections of the Act and the Rules, CIGA would </w:t>
      </w:r>
      <w:r w:rsidR="00C16EE4" w:rsidRPr="009F4FF2">
        <w:rPr>
          <w:rFonts w:ascii="Arial" w:hAnsi="Arial" w:cs="Arial"/>
          <w:sz w:val="22"/>
          <w:szCs w:val="22"/>
          <w:lang w:val="en-GB"/>
        </w:rPr>
        <w:t xml:space="preserve">be expected to </w:t>
      </w:r>
      <w:r w:rsidRPr="009F4FF2">
        <w:rPr>
          <w:rFonts w:ascii="Arial" w:hAnsi="Arial" w:cs="Arial"/>
          <w:sz w:val="22"/>
          <w:szCs w:val="22"/>
          <w:lang w:val="en-GB"/>
        </w:rPr>
        <w:t xml:space="preserve">supersede </w:t>
      </w:r>
      <w:r w:rsidR="00C16EE4" w:rsidRPr="009F4FF2">
        <w:rPr>
          <w:rFonts w:ascii="Arial" w:hAnsi="Arial" w:cs="Arial"/>
          <w:sz w:val="22"/>
          <w:szCs w:val="22"/>
          <w:lang w:val="en-GB"/>
        </w:rPr>
        <w:t xml:space="preserve">in this instance </w:t>
      </w:r>
      <w:r w:rsidRPr="009F4FF2">
        <w:rPr>
          <w:rFonts w:ascii="Arial" w:hAnsi="Arial" w:cs="Arial"/>
          <w:sz w:val="22"/>
          <w:szCs w:val="22"/>
          <w:lang w:val="en-GB"/>
        </w:rPr>
        <w:t>as it was introduced in order to address and help UK-based individuals and entities overcome the modern day effects which have stemmed from the COVID-19 pandemic.</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57117688" w:rsidR="001131C6" w:rsidRDefault="001131C6" w:rsidP="00BB6364">
      <w:pPr>
        <w:jc w:val="both"/>
        <w:rPr>
          <w:rFonts w:ascii="Arial" w:hAnsi="Arial" w:cs="Arial"/>
          <w:sz w:val="22"/>
          <w:szCs w:val="22"/>
          <w:lang w:val="en-GB"/>
        </w:rPr>
      </w:pPr>
    </w:p>
    <w:p w14:paraId="53FD1C51" w14:textId="645F7ACF" w:rsidR="008A7B71" w:rsidRPr="009F4FF2" w:rsidRDefault="008A7B71" w:rsidP="00BB6364">
      <w:pPr>
        <w:jc w:val="both"/>
        <w:rPr>
          <w:rFonts w:ascii="Arial" w:hAnsi="Arial" w:cs="Arial"/>
          <w:sz w:val="22"/>
          <w:szCs w:val="22"/>
          <w:lang w:val="en-GB"/>
        </w:rPr>
      </w:pPr>
      <w:r w:rsidRPr="009F4FF2">
        <w:rPr>
          <w:rFonts w:ascii="Arial" w:hAnsi="Arial" w:cs="Arial"/>
          <w:sz w:val="22"/>
          <w:szCs w:val="22"/>
          <w:lang w:val="en-GB"/>
        </w:rPr>
        <w:t>The three pertinent questions asked by Fletcher are as follows:</w:t>
      </w:r>
    </w:p>
    <w:p w14:paraId="3DF73F5A" w14:textId="77777777" w:rsidR="008A7B71" w:rsidRPr="009F4FF2" w:rsidRDefault="008A7B71" w:rsidP="00BB6364">
      <w:pPr>
        <w:jc w:val="both"/>
        <w:rPr>
          <w:rFonts w:ascii="Arial" w:hAnsi="Arial" w:cs="Arial"/>
          <w:sz w:val="22"/>
          <w:szCs w:val="22"/>
          <w:lang w:val="en-GB"/>
        </w:rPr>
      </w:pPr>
    </w:p>
    <w:p w14:paraId="4AEE87BA" w14:textId="77777777" w:rsidR="008A7B71" w:rsidRPr="009F4FF2" w:rsidRDefault="008A7B71" w:rsidP="008A7B71">
      <w:pPr>
        <w:pStyle w:val="ListParagraph"/>
        <w:numPr>
          <w:ilvl w:val="0"/>
          <w:numId w:val="18"/>
        </w:numPr>
        <w:jc w:val="both"/>
        <w:rPr>
          <w:rFonts w:ascii="Arial" w:hAnsi="Arial" w:cs="Arial"/>
          <w:i/>
          <w:sz w:val="22"/>
          <w:szCs w:val="22"/>
          <w:lang w:val="en-GB"/>
        </w:rPr>
      </w:pPr>
      <w:r w:rsidRPr="009F4FF2">
        <w:rPr>
          <w:rFonts w:ascii="Arial" w:hAnsi="Arial" w:cs="Arial"/>
          <w:i/>
          <w:sz w:val="22"/>
          <w:szCs w:val="22"/>
          <w:lang w:val="en-GB"/>
        </w:rPr>
        <w:t>In which jurisdictions may insolvency proceedings be opened?</w:t>
      </w:r>
    </w:p>
    <w:p w14:paraId="7940D274" w14:textId="5FB9BB73" w:rsidR="00DF75F8" w:rsidRPr="009F4FF2" w:rsidRDefault="008A7B71" w:rsidP="008A7B71">
      <w:pPr>
        <w:pStyle w:val="ListParagraph"/>
        <w:numPr>
          <w:ilvl w:val="0"/>
          <w:numId w:val="18"/>
        </w:numPr>
        <w:jc w:val="both"/>
        <w:rPr>
          <w:rFonts w:ascii="Arial" w:hAnsi="Arial" w:cs="Arial"/>
          <w:i/>
          <w:sz w:val="22"/>
          <w:szCs w:val="22"/>
          <w:lang w:val="en-GB"/>
        </w:rPr>
      </w:pPr>
      <w:r w:rsidRPr="009F4FF2">
        <w:rPr>
          <w:rFonts w:ascii="Arial" w:hAnsi="Arial" w:cs="Arial"/>
          <w:i/>
          <w:sz w:val="22"/>
          <w:szCs w:val="22"/>
          <w:lang w:val="en-GB"/>
        </w:rPr>
        <w:t>What country’s law should be applied in respect of different aspects of the case?</w:t>
      </w:r>
    </w:p>
    <w:p w14:paraId="264C6532" w14:textId="09846772" w:rsidR="008A7B71" w:rsidRPr="009F4FF2" w:rsidRDefault="008A7B71" w:rsidP="008A7B71">
      <w:pPr>
        <w:pStyle w:val="ListParagraph"/>
        <w:numPr>
          <w:ilvl w:val="0"/>
          <w:numId w:val="18"/>
        </w:numPr>
        <w:jc w:val="both"/>
        <w:rPr>
          <w:rFonts w:ascii="Arial" w:hAnsi="Arial" w:cs="Arial"/>
          <w:i/>
          <w:sz w:val="22"/>
          <w:szCs w:val="22"/>
          <w:lang w:val="en-GB"/>
        </w:rPr>
      </w:pPr>
      <w:r w:rsidRPr="009F4FF2">
        <w:rPr>
          <w:rFonts w:ascii="Arial" w:hAnsi="Arial" w:cs="Arial"/>
          <w:i/>
          <w:sz w:val="22"/>
          <w:szCs w:val="22"/>
          <w:lang w:val="en-GB"/>
        </w:rPr>
        <w:t>What international effects will be accorded to proceeding conducted at a particular forum (including issues of enforcement)?</w:t>
      </w:r>
    </w:p>
    <w:p w14:paraId="5ADC7F27" w14:textId="77777777" w:rsidR="008A7B71" w:rsidRPr="009F4FF2" w:rsidRDefault="008A7B71" w:rsidP="008A7B71">
      <w:pPr>
        <w:jc w:val="both"/>
        <w:rPr>
          <w:rFonts w:ascii="Arial" w:hAnsi="Arial" w:cs="Arial"/>
          <w:sz w:val="22"/>
          <w:szCs w:val="22"/>
          <w:lang w:val="en-GB"/>
        </w:rPr>
      </w:pPr>
    </w:p>
    <w:p w14:paraId="03A8FBCA" w14:textId="2BAA6FF0" w:rsidR="008A7B71" w:rsidRPr="009F4FF2" w:rsidRDefault="008A7B71" w:rsidP="008A7B71">
      <w:pPr>
        <w:jc w:val="both"/>
        <w:rPr>
          <w:rFonts w:ascii="Arial" w:hAnsi="Arial" w:cs="Arial"/>
          <w:sz w:val="22"/>
          <w:szCs w:val="22"/>
          <w:lang w:val="en-GB"/>
        </w:rPr>
      </w:pPr>
      <w:r w:rsidRPr="009F4FF2">
        <w:rPr>
          <w:rFonts w:ascii="Arial" w:hAnsi="Arial" w:cs="Arial"/>
          <w:sz w:val="22"/>
          <w:szCs w:val="22"/>
          <w:lang w:val="en-GB"/>
        </w:rPr>
        <w:t xml:space="preserve">These questions asked by Fletcher give rise to issues in relation to harmonisation between different </w:t>
      </w:r>
      <w:r w:rsidR="004350F9" w:rsidRPr="009F4FF2">
        <w:rPr>
          <w:rFonts w:ascii="Arial" w:hAnsi="Arial" w:cs="Arial"/>
          <w:sz w:val="22"/>
          <w:szCs w:val="22"/>
          <w:lang w:val="en-GB"/>
        </w:rPr>
        <w:t>countries or states</w:t>
      </w:r>
      <w:r w:rsidRPr="009F4FF2">
        <w:rPr>
          <w:rFonts w:ascii="Arial" w:hAnsi="Arial" w:cs="Arial"/>
          <w:sz w:val="22"/>
          <w:szCs w:val="22"/>
          <w:lang w:val="en-GB"/>
        </w:rPr>
        <w:t xml:space="preserve"> as, although this </w:t>
      </w:r>
      <w:r w:rsidR="004350F9" w:rsidRPr="009F4FF2">
        <w:rPr>
          <w:rFonts w:ascii="Arial" w:hAnsi="Arial" w:cs="Arial"/>
          <w:sz w:val="22"/>
          <w:szCs w:val="22"/>
          <w:lang w:val="en-GB"/>
        </w:rPr>
        <w:t xml:space="preserve">would likely be the </w:t>
      </w:r>
      <w:r w:rsidRPr="009F4FF2">
        <w:rPr>
          <w:rFonts w:ascii="Arial" w:hAnsi="Arial" w:cs="Arial"/>
          <w:sz w:val="22"/>
          <w:szCs w:val="22"/>
          <w:lang w:val="en-GB"/>
        </w:rPr>
        <w:t>desirable</w:t>
      </w:r>
      <w:r w:rsidR="004350F9" w:rsidRPr="009F4FF2">
        <w:rPr>
          <w:rFonts w:ascii="Arial" w:hAnsi="Arial" w:cs="Arial"/>
          <w:sz w:val="22"/>
          <w:szCs w:val="22"/>
          <w:lang w:val="en-GB"/>
        </w:rPr>
        <w:t xml:space="preserve"> outcome</w:t>
      </w:r>
      <w:r w:rsidRPr="009F4FF2">
        <w:rPr>
          <w:rFonts w:ascii="Arial" w:hAnsi="Arial" w:cs="Arial"/>
          <w:sz w:val="22"/>
          <w:szCs w:val="22"/>
          <w:lang w:val="en-GB"/>
        </w:rPr>
        <w:t>, it is not easily achievable.  With so many countries having such different legal systems, the differing laws of each country provide the root problem in trying to achieve harmony when approaching a cross-border insolvency matter.  These issues are addressed in the three questions above as, when a cross-border insolvency case arises, Fletcher acknowledges the difficulty in determining which country sho</w:t>
      </w:r>
      <w:r w:rsidR="00623B77" w:rsidRPr="009F4FF2">
        <w:rPr>
          <w:rFonts w:ascii="Arial" w:hAnsi="Arial" w:cs="Arial"/>
          <w:sz w:val="22"/>
          <w:szCs w:val="22"/>
          <w:lang w:val="en-GB"/>
        </w:rPr>
        <w:t>uld be the primary jurisdiction</w:t>
      </w:r>
      <w:r w:rsidRPr="009F4FF2">
        <w:rPr>
          <w:rFonts w:ascii="Arial" w:hAnsi="Arial" w:cs="Arial"/>
          <w:sz w:val="22"/>
          <w:szCs w:val="22"/>
          <w:lang w:val="en-GB"/>
        </w:rPr>
        <w:t xml:space="preserve"> </w:t>
      </w:r>
      <w:r w:rsidR="00623B77" w:rsidRPr="009F4FF2">
        <w:rPr>
          <w:rFonts w:ascii="Arial" w:hAnsi="Arial" w:cs="Arial"/>
          <w:sz w:val="22"/>
          <w:szCs w:val="22"/>
          <w:lang w:val="en-GB"/>
        </w:rPr>
        <w:t>for</w:t>
      </w:r>
      <w:r w:rsidRPr="009F4FF2">
        <w:rPr>
          <w:rFonts w:ascii="Arial" w:hAnsi="Arial" w:cs="Arial"/>
          <w:sz w:val="22"/>
          <w:szCs w:val="22"/>
          <w:lang w:val="en-GB"/>
        </w:rPr>
        <w:t xml:space="preserve"> the insolvency proceedings and </w:t>
      </w:r>
      <w:r w:rsidR="00623B77" w:rsidRPr="009F4FF2">
        <w:rPr>
          <w:rFonts w:ascii="Arial" w:hAnsi="Arial" w:cs="Arial"/>
          <w:sz w:val="22"/>
          <w:szCs w:val="22"/>
          <w:lang w:val="en-GB"/>
        </w:rPr>
        <w:t xml:space="preserve">whose </w:t>
      </w:r>
      <w:r w:rsidRPr="009F4FF2">
        <w:rPr>
          <w:rFonts w:ascii="Arial" w:hAnsi="Arial" w:cs="Arial"/>
          <w:sz w:val="22"/>
          <w:szCs w:val="22"/>
          <w:lang w:val="en-GB"/>
        </w:rPr>
        <w:t xml:space="preserve">laws should be applied.  It could be argued that </w:t>
      </w:r>
      <w:r w:rsidR="00623B77" w:rsidRPr="009F4FF2">
        <w:rPr>
          <w:rFonts w:ascii="Arial" w:hAnsi="Arial" w:cs="Arial"/>
          <w:sz w:val="22"/>
          <w:szCs w:val="22"/>
          <w:lang w:val="en-GB"/>
        </w:rPr>
        <w:t xml:space="preserve">the determination of such </w:t>
      </w:r>
      <w:r w:rsidRPr="009F4FF2">
        <w:rPr>
          <w:rFonts w:ascii="Arial" w:hAnsi="Arial" w:cs="Arial"/>
          <w:sz w:val="22"/>
          <w:szCs w:val="22"/>
          <w:lang w:val="en-GB"/>
        </w:rPr>
        <w:t xml:space="preserve">would be dependent upon </w:t>
      </w:r>
      <w:r w:rsidR="00302023" w:rsidRPr="009F4FF2">
        <w:rPr>
          <w:rFonts w:ascii="Arial" w:hAnsi="Arial" w:cs="Arial"/>
          <w:sz w:val="22"/>
          <w:szCs w:val="22"/>
          <w:lang w:val="en-GB"/>
        </w:rPr>
        <w:t xml:space="preserve">specific factors, such as </w:t>
      </w:r>
      <w:r w:rsidRPr="009F4FF2">
        <w:rPr>
          <w:rFonts w:ascii="Arial" w:hAnsi="Arial" w:cs="Arial"/>
          <w:sz w:val="22"/>
          <w:szCs w:val="22"/>
          <w:lang w:val="en-GB"/>
        </w:rPr>
        <w:t xml:space="preserve">the debtor’s </w:t>
      </w:r>
      <w:r w:rsidR="00623B77" w:rsidRPr="009F4FF2">
        <w:rPr>
          <w:rFonts w:ascii="Arial" w:hAnsi="Arial" w:cs="Arial"/>
          <w:sz w:val="22"/>
          <w:szCs w:val="22"/>
          <w:lang w:val="en-GB"/>
        </w:rPr>
        <w:t xml:space="preserve">centre of main interest or </w:t>
      </w:r>
      <w:r w:rsidR="00302023" w:rsidRPr="009F4FF2">
        <w:rPr>
          <w:rFonts w:ascii="Arial" w:hAnsi="Arial" w:cs="Arial"/>
          <w:sz w:val="22"/>
          <w:szCs w:val="22"/>
          <w:lang w:val="en-GB"/>
        </w:rPr>
        <w:t xml:space="preserve">country of </w:t>
      </w:r>
      <w:r w:rsidR="00623B77" w:rsidRPr="009F4FF2">
        <w:rPr>
          <w:rFonts w:ascii="Arial" w:hAnsi="Arial" w:cs="Arial"/>
          <w:sz w:val="22"/>
          <w:szCs w:val="22"/>
          <w:lang w:val="en-GB"/>
        </w:rPr>
        <w:t xml:space="preserve">residence; however, </w:t>
      </w:r>
      <w:r w:rsidR="00302023" w:rsidRPr="009F4FF2">
        <w:rPr>
          <w:rFonts w:ascii="Arial" w:hAnsi="Arial" w:cs="Arial"/>
          <w:sz w:val="22"/>
          <w:szCs w:val="22"/>
          <w:lang w:val="en-GB"/>
        </w:rPr>
        <w:t>dependent on the countries</w:t>
      </w:r>
      <w:r w:rsidR="00C16EE4" w:rsidRPr="009F4FF2">
        <w:rPr>
          <w:rFonts w:ascii="Arial" w:hAnsi="Arial" w:cs="Arial"/>
          <w:sz w:val="22"/>
          <w:szCs w:val="22"/>
          <w:lang w:val="en-GB"/>
        </w:rPr>
        <w:t xml:space="preserve"> involved, conflict</w:t>
      </w:r>
      <w:r w:rsidR="00623B77" w:rsidRPr="009F4FF2">
        <w:rPr>
          <w:rFonts w:ascii="Arial" w:hAnsi="Arial" w:cs="Arial"/>
          <w:sz w:val="22"/>
          <w:szCs w:val="22"/>
          <w:lang w:val="en-GB"/>
        </w:rPr>
        <w:t xml:space="preserve">s may arise in establishing </w:t>
      </w:r>
      <w:r w:rsidR="00302023" w:rsidRPr="009F4FF2">
        <w:rPr>
          <w:rFonts w:ascii="Arial" w:hAnsi="Arial" w:cs="Arial"/>
          <w:sz w:val="22"/>
          <w:szCs w:val="22"/>
          <w:lang w:val="en-GB"/>
        </w:rPr>
        <w:t xml:space="preserve">and affirming the outcome of </w:t>
      </w:r>
      <w:r w:rsidR="00623B77" w:rsidRPr="009F4FF2">
        <w:rPr>
          <w:rFonts w:ascii="Arial" w:hAnsi="Arial" w:cs="Arial"/>
          <w:sz w:val="22"/>
          <w:szCs w:val="22"/>
          <w:lang w:val="en-GB"/>
        </w:rPr>
        <w:t xml:space="preserve">these </w:t>
      </w:r>
      <w:r w:rsidR="00302023" w:rsidRPr="009F4FF2">
        <w:rPr>
          <w:rFonts w:ascii="Arial" w:hAnsi="Arial" w:cs="Arial"/>
          <w:sz w:val="22"/>
          <w:szCs w:val="22"/>
          <w:lang w:val="en-GB"/>
        </w:rPr>
        <w:t>matters</w:t>
      </w:r>
      <w:r w:rsidR="00623B77" w:rsidRPr="009F4FF2">
        <w:rPr>
          <w:rFonts w:ascii="Arial" w:hAnsi="Arial" w:cs="Arial"/>
          <w:sz w:val="22"/>
          <w:szCs w:val="22"/>
          <w:lang w:val="en-GB"/>
        </w:rPr>
        <w:t>.</w:t>
      </w:r>
    </w:p>
    <w:p w14:paraId="487F0E2D" w14:textId="104BAA13" w:rsidR="00623B77" w:rsidRPr="009F4FF2" w:rsidRDefault="00623B77" w:rsidP="008A7B71">
      <w:pPr>
        <w:jc w:val="both"/>
        <w:rPr>
          <w:rFonts w:ascii="Arial" w:hAnsi="Arial" w:cs="Arial"/>
          <w:sz w:val="22"/>
          <w:szCs w:val="22"/>
          <w:lang w:val="en-GB"/>
        </w:rPr>
      </w:pPr>
    </w:p>
    <w:p w14:paraId="41C84BD5" w14:textId="4F096717" w:rsidR="00623B77" w:rsidRPr="009F4FF2" w:rsidRDefault="00623B77" w:rsidP="008A7B71">
      <w:pPr>
        <w:jc w:val="both"/>
        <w:rPr>
          <w:rFonts w:ascii="Arial" w:hAnsi="Arial" w:cs="Arial"/>
          <w:sz w:val="22"/>
          <w:szCs w:val="22"/>
          <w:lang w:val="en-GB"/>
        </w:rPr>
      </w:pPr>
      <w:r w:rsidRPr="009F4FF2">
        <w:rPr>
          <w:rFonts w:ascii="Arial" w:hAnsi="Arial" w:cs="Arial"/>
          <w:sz w:val="22"/>
          <w:szCs w:val="22"/>
          <w:lang w:val="en-GB"/>
        </w:rPr>
        <w:t xml:space="preserve">There is also the concern that insolvency proceedings could be opened concurrently in multiple countries, with each </w:t>
      </w:r>
      <w:r w:rsidR="00302023" w:rsidRPr="009F4FF2">
        <w:rPr>
          <w:rFonts w:ascii="Arial" w:hAnsi="Arial" w:cs="Arial"/>
          <w:sz w:val="22"/>
          <w:szCs w:val="22"/>
          <w:lang w:val="en-GB"/>
        </w:rPr>
        <w:t xml:space="preserve">country </w:t>
      </w:r>
      <w:r w:rsidRPr="009F4FF2">
        <w:rPr>
          <w:rFonts w:ascii="Arial" w:hAnsi="Arial" w:cs="Arial"/>
          <w:sz w:val="22"/>
          <w:szCs w:val="22"/>
          <w:lang w:val="en-GB"/>
        </w:rPr>
        <w:t xml:space="preserve">applying its own laws.  If this situation were to arise, this </w:t>
      </w:r>
      <w:r w:rsidR="00302023" w:rsidRPr="009F4FF2">
        <w:rPr>
          <w:rFonts w:ascii="Arial" w:hAnsi="Arial" w:cs="Arial"/>
          <w:sz w:val="22"/>
          <w:szCs w:val="22"/>
          <w:lang w:val="en-GB"/>
        </w:rPr>
        <w:t xml:space="preserve">could result in conflicting laws and regulations, and so </w:t>
      </w:r>
      <w:r w:rsidRPr="009F4FF2">
        <w:rPr>
          <w:rFonts w:ascii="Arial" w:hAnsi="Arial" w:cs="Arial"/>
          <w:sz w:val="22"/>
          <w:szCs w:val="22"/>
          <w:lang w:val="en-GB"/>
        </w:rPr>
        <w:t>would require cooperation between the multiple countries involved in order to achieve a seamless process, but this would be dependent on each country’s recognition and treatment of proceedings in foreign jurisdictions.</w:t>
      </w:r>
      <w:r w:rsidR="00C16EE4" w:rsidRPr="009F4FF2">
        <w:rPr>
          <w:rFonts w:ascii="Arial" w:hAnsi="Arial" w:cs="Arial"/>
          <w:sz w:val="22"/>
          <w:szCs w:val="22"/>
          <w:lang w:val="en-GB"/>
        </w:rPr>
        <w:t xml:space="preserve">  Concurrent proceedings in different jurisdictions would likely result in increased costs being borne by the insolvent estate.</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lastRenderedPageBreak/>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25887157" w:rsidR="00DF75F8" w:rsidRPr="009F4FF2" w:rsidRDefault="006E4E0F" w:rsidP="00B7193E">
      <w:pPr>
        <w:jc w:val="both"/>
        <w:rPr>
          <w:rFonts w:ascii="Arial" w:hAnsi="Arial" w:cs="Arial"/>
          <w:sz w:val="22"/>
          <w:szCs w:val="22"/>
          <w:lang w:val="en-GB"/>
        </w:rPr>
      </w:pPr>
      <w:r w:rsidRPr="009F4FF2">
        <w:rPr>
          <w:rFonts w:ascii="Arial" w:hAnsi="Arial" w:cs="Arial"/>
          <w:sz w:val="22"/>
          <w:szCs w:val="22"/>
          <w:lang w:val="en-GB"/>
        </w:rPr>
        <w:t xml:space="preserve">Case: </w:t>
      </w:r>
      <w:r w:rsidR="004117B7" w:rsidRPr="009F4FF2">
        <w:rPr>
          <w:rFonts w:ascii="Arial" w:hAnsi="Arial" w:cs="Arial"/>
          <w:sz w:val="22"/>
          <w:szCs w:val="22"/>
          <w:lang w:val="en-GB"/>
        </w:rPr>
        <w:t xml:space="preserve">Re </w:t>
      </w:r>
      <w:r w:rsidR="007F6D8F" w:rsidRPr="009F4FF2">
        <w:rPr>
          <w:rFonts w:ascii="Arial" w:hAnsi="Arial" w:cs="Arial"/>
          <w:sz w:val="22"/>
          <w:szCs w:val="22"/>
          <w:lang w:val="en-GB"/>
        </w:rPr>
        <w:t>Maxwell Communications Corporation Plc</w:t>
      </w:r>
    </w:p>
    <w:p w14:paraId="0E18052D" w14:textId="2E9F6257" w:rsidR="006E4E0F" w:rsidRPr="009F4FF2" w:rsidRDefault="006E4E0F" w:rsidP="00B7193E">
      <w:pPr>
        <w:jc w:val="both"/>
        <w:rPr>
          <w:rFonts w:ascii="Arial" w:hAnsi="Arial" w:cs="Arial"/>
          <w:sz w:val="22"/>
          <w:szCs w:val="22"/>
          <w:lang w:val="en-GB"/>
        </w:rPr>
      </w:pPr>
    </w:p>
    <w:p w14:paraId="338C7188" w14:textId="4891BB32" w:rsidR="00E336F6" w:rsidRPr="009F4FF2" w:rsidRDefault="00E336F6" w:rsidP="00B7193E">
      <w:pPr>
        <w:jc w:val="both"/>
        <w:rPr>
          <w:rFonts w:ascii="Arial" w:hAnsi="Arial" w:cs="Arial"/>
          <w:sz w:val="22"/>
          <w:szCs w:val="22"/>
          <w:lang w:val="en-GB"/>
        </w:rPr>
      </w:pPr>
      <w:r w:rsidRPr="009F4FF2">
        <w:rPr>
          <w:rFonts w:ascii="Arial" w:hAnsi="Arial" w:cs="Arial"/>
          <w:sz w:val="22"/>
          <w:szCs w:val="22"/>
          <w:lang w:val="en-GB"/>
        </w:rPr>
        <w:t xml:space="preserve">The </w:t>
      </w:r>
      <w:r w:rsidR="00C16EE4" w:rsidRPr="009F4FF2">
        <w:rPr>
          <w:rFonts w:ascii="Arial" w:hAnsi="Arial" w:cs="Arial"/>
          <w:sz w:val="22"/>
          <w:szCs w:val="22"/>
          <w:lang w:val="en-GB"/>
        </w:rPr>
        <w:t>Model Law on Cross-Border Insolvency (“</w:t>
      </w:r>
      <w:r w:rsidRPr="009F4FF2">
        <w:rPr>
          <w:rFonts w:ascii="Arial" w:hAnsi="Arial" w:cs="Arial"/>
          <w:b/>
          <w:sz w:val="22"/>
          <w:szCs w:val="22"/>
          <w:lang w:val="en-GB"/>
        </w:rPr>
        <w:t>MLCBI</w:t>
      </w:r>
      <w:r w:rsidR="00C16EE4" w:rsidRPr="009F4FF2">
        <w:rPr>
          <w:rFonts w:ascii="Arial" w:hAnsi="Arial" w:cs="Arial"/>
          <w:sz w:val="22"/>
          <w:szCs w:val="22"/>
          <w:lang w:val="en-GB"/>
        </w:rPr>
        <w:t>”)</w:t>
      </w:r>
      <w:r w:rsidRPr="009F4FF2">
        <w:rPr>
          <w:rFonts w:ascii="Arial" w:hAnsi="Arial" w:cs="Arial"/>
          <w:sz w:val="22"/>
          <w:szCs w:val="22"/>
          <w:lang w:val="en-GB"/>
        </w:rPr>
        <w:t xml:space="preserve"> was introduced in 1997.</w:t>
      </w:r>
    </w:p>
    <w:p w14:paraId="0AFEEFC9" w14:textId="77777777" w:rsidR="00E336F6" w:rsidRPr="009F4FF2" w:rsidRDefault="00E336F6" w:rsidP="00B7193E">
      <w:pPr>
        <w:jc w:val="both"/>
        <w:rPr>
          <w:rFonts w:ascii="Arial" w:hAnsi="Arial" w:cs="Arial"/>
          <w:sz w:val="22"/>
          <w:szCs w:val="22"/>
          <w:lang w:val="en-GB"/>
        </w:rPr>
      </w:pPr>
    </w:p>
    <w:p w14:paraId="4A935EA5" w14:textId="7FFD4AF1" w:rsidR="006E4E0F" w:rsidRPr="009F4FF2" w:rsidRDefault="004117B7" w:rsidP="00B7193E">
      <w:pPr>
        <w:jc w:val="both"/>
        <w:rPr>
          <w:rFonts w:ascii="Arial" w:hAnsi="Arial" w:cs="Arial"/>
          <w:sz w:val="22"/>
          <w:szCs w:val="22"/>
          <w:lang w:val="en-GB"/>
        </w:rPr>
      </w:pPr>
      <w:r w:rsidRPr="009F4FF2">
        <w:rPr>
          <w:rFonts w:ascii="Arial" w:hAnsi="Arial" w:cs="Arial"/>
          <w:sz w:val="22"/>
          <w:szCs w:val="22"/>
          <w:lang w:val="en-GB"/>
        </w:rPr>
        <w:t xml:space="preserve">The </w:t>
      </w:r>
      <w:r w:rsidR="00E336F6" w:rsidRPr="009F4FF2">
        <w:rPr>
          <w:rFonts w:ascii="Arial" w:hAnsi="Arial" w:cs="Arial"/>
          <w:sz w:val="22"/>
          <w:szCs w:val="22"/>
          <w:lang w:val="en-GB"/>
        </w:rPr>
        <w:t>example case above</w:t>
      </w:r>
      <w:r w:rsidRPr="009F4FF2">
        <w:rPr>
          <w:rFonts w:ascii="Arial" w:hAnsi="Arial" w:cs="Arial"/>
          <w:sz w:val="22"/>
          <w:szCs w:val="22"/>
          <w:lang w:val="en-GB"/>
        </w:rPr>
        <w:t xml:space="preserve"> preceded the introduction of the MLCBI.  This </w:t>
      </w:r>
      <w:r w:rsidR="00E336F6" w:rsidRPr="009F4FF2">
        <w:rPr>
          <w:rFonts w:ascii="Arial" w:hAnsi="Arial" w:cs="Arial"/>
          <w:sz w:val="22"/>
          <w:szCs w:val="22"/>
          <w:lang w:val="en-GB"/>
        </w:rPr>
        <w:t xml:space="preserve">matter </w:t>
      </w:r>
      <w:r w:rsidR="006E4E0F" w:rsidRPr="009F4FF2">
        <w:rPr>
          <w:rFonts w:ascii="Arial" w:hAnsi="Arial" w:cs="Arial"/>
          <w:sz w:val="22"/>
          <w:szCs w:val="22"/>
          <w:lang w:val="en-GB"/>
        </w:rPr>
        <w:t>involved two primary insolvency proceedings</w:t>
      </w:r>
      <w:r w:rsidR="00E336F6" w:rsidRPr="009F4FF2">
        <w:rPr>
          <w:rFonts w:ascii="Arial" w:hAnsi="Arial" w:cs="Arial"/>
          <w:sz w:val="22"/>
          <w:szCs w:val="22"/>
          <w:lang w:val="en-GB"/>
        </w:rPr>
        <w:t>,</w:t>
      </w:r>
      <w:r w:rsidR="006E4E0F" w:rsidRPr="009F4FF2">
        <w:rPr>
          <w:rFonts w:ascii="Arial" w:hAnsi="Arial" w:cs="Arial"/>
          <w:sz w:val="22"/>
          <w:szCs w:val="22"/>
          <w:lang w:val="en-GB"/>
        </w:rPr>
        <w:t xml:space="preserve"> which were initiated by a </w:t>
      </w:r>
      <w:r w:rsidR="00E336F6" w:rsidRPr="009F4FF2">
        <w:rPr>
          <w:rFonts w:ascii="Arial" w:hAnsi="Arial" w:cs="Arial"/>
          <w:sz w:val="22"/>
          <w:szCs w:val="22"/>
          <w:lang w:val="en-GB"/>
        </w:rPr>
        <w:t>single debtor. One set of proceedings took place</w:t>
      </w:r>
      <w:r w:rsidR="006E4E0F" w:rsidRPr="009F4FF2">
        <w:rPr>
          <w:rFonts w:ascii="Arial" w:hAnsi="Arial" w:cs="Arial"/>
          <w:sz w:val="22"/>
          <w:szCs w:val="22"/>
          <w:lang w:val="en-GB"/>
        </w:rPr>
        <w:t xml:space="preserve"> in the USA and </w:t>
      </w:r>
      <w:r w:rsidR="00E336F6" w:rsidRPr="009F4FF2">
        <w:rPr>
          <w:rFonts w:ascii="Arial" w:hAnsi="Arial" w:cs="Arial"/>
          <w:sz w:val="22"/>
          <w:szCs w:val="22"/>
          <w:lang w:val="en-GB"/>
        </w:rPr>
        <w:t xml:space="preserve">the other proceedings took place in </w:t>
      </w:r>
      <w:r w:rsidR="006E4E0F" w:rsidRPr="009F4FF2">
        <w:rPr>
          <w:rFonts w:ascii="Arial" w:hAnsi="Arial" w:cs="Arial"/>
          <w:sz w:val="22"/>
          <w:szCs w:val="22"/>
          <w:lang w:val="en-GB"/>
        </w:rPr>
        <w:t xml:space="preserve">the UK.  The separate proceedings resulted in the appointment of two different and independent insolvency representatives in the two States </w:t>
      </w:r>
      <w:r w:rsidR="00D607A5" w:rsidRPr="009F4FF2">
        <w:rPr>
          <w:rFonts w:ascii="Arial" w:hAnsi="Arial" w:cs="Arial"/>
          <w:sz w:val="22"/>
          <w:szCs w:val="22"/>
          <w:lang w:val="en-GB"/>
        </w:rPr>
        <w:t xml:space="preserve">with </w:t>
      </w:r>
      <w:r w:rsidR="006E4E0F" w:rsidRPr="009F4FF2">
        <w:rPr>
          <w:rFonts w:ascii="Arial" w:hAnsi="Arial" w:cs="Arial"/>
          <w:sz w:val="22"/>
          <w:szCs w:val="22"/>
          <w:lang w:val="en-GB"/>
        </w:rPr>
        <w:t>each bearing similar responsibilities.</w:t>
      </w:r>
    </w:p>
    <w:p w14:paraId="43DABE9A" w14:textId="6FB7FDE5" w:rsidR="006E4E0F" w:rsidRPr="009F4FF2" w:rsidRDefault="006E4E0F" w:rsidP="00B7193E">
      <w:pPr>
        <w:jc w:val="both"/>
        <w:rPr>
          <w:rFonts w:ascii="Arial" w:hAnsi="Arial" w:cs="Arial"/>
          <w:sz w:val="22"/>
          <w:szCs w:val="22"/>
          <w:lang w:val="en-GB"/>
        </w:rPr>
      </w:pPr>
    </w:p>
    <w:p w14:paraId="0DBE45C9" w14:textId="05CC6739" w:rsidR="006E4E0F" w:rsidRPr="009F4FF2" w:rsidRDefault="004B27D0" w:rsidP="00B7193E">
      <w:pPr>
        <w:jc w:val="both"/>
        <w:rPr>
          <w:rFonts w:ascii="Arial" w:hAnsi="Arial" w:cs="Arial"/>
          <w:sz w:val="22"/>
          <w:szCs w:val="22"/>
          <w:lang w:val="en-GB"/>
        </w:rPr>
      </w:pPr>
      <w:r w:rsidRPr="009F4FF2">
        <w:rPr>
          <w:rFonts w:ascii="Arial" w:hAnsi="Arial" w:cs="Arial"/>
          <w:sz w:val="22"/>
          <w:szCs w:val="22"/>
          <w:lang w:val="en-GB"/>
        </w:rPr>
        <w:t>In the case of Re Maxwell Communications Corporation Plc</w:t>
      </w:r>
      <w:r w:rsidR="006E4E0F" w:rsidRPr="009F4FF2">
        <w:rPr>
          <w:rFonts w:ascii="Arial" w:hAnsi="Arial" w:cs="Arial"/>
          <w:sz w:val="22"/>
          <w:szCs w:val="22"/>
          <w:lang w:val="en-GB"/>
        </w:rPr>
        <w:t xml:space="preserve">, the courts in the USA and the UK </w:t>
      </w:r>
      <w:r w:rsidR="00E336F6" w:rsidRPr="009F4FF2">
        <w:rPr>
          <w:rFonts w:ascii="Arial" w:hAnsi="Arial" w:cs="Arial"/>
          <w:sz w:val="22"/>
          <w:szCs w:val="22"/>
          <w:lang w:val="en-GB"/>
        </w:rPr>
        <w:t xml:space="preserve">cooperated </w:t>
      </w:r>
      <w:r w:rsidR="001B7BA6" w:rsidRPr="009F4FF2">
        <w:rPr>
          <w:rFonts w:ascii="Arial" w:hAnsi="Arial" w:cs="Arial"/>
          <w:sz w:val="22"/>
          <w:szCs w:val="22"/>
          <w:lang w:val="en-GB"/>
        </w:rPr>
        <w:t xml:space="preserve">with each other </w:t>
      </w:r>
      <w:r w:rsidR="00E336F6" w:rsidRPr="009F4FF2">
        <w:rPr>
          <w:rFonts w:ascii="Arial" w:hAnsi="Arial" w:cs="Arial"/>
          <w:sz w:val="22"/>
          <w:szCs w:val="22"/>
          <w:lang w:val="en-GB"/>
        </w:rPr>
        <w:t xml:space="preserve">and </w:t>
      </w:r>
      <w:r w:rsidR="006E4E0F" w:rsidRPr="009F4FF2">
        <w:rPr>
          <w:rFonts w:ascii="Arial" w:hAnsi="Arial" w:cs="Arial"/>
          <w:sz w:val="22"/>
          <w:szCs w:val="22"/>
          <w:lang w:val="en-GB"/>
        </w:rPr>
        <w:t>ruled that an insolvency agreement, or protocol, between the two separate insolvency proceedings could be reached to resolve potential conflicts, as well as to facilitate the sharing of information</w:t>
      </w:r>
      <w:r w:rsidR="00E336F6" w:rsidRPr="009F4FF2">
        <w:rPr>
          <w:rFonts w:ascii="Arial" w:hAnsi="Arial" w:cs="Arial"/>
          <w:sz w:val="22"/>
          <w:szCs w:val="22"/>
          <w:lang w:val="en-GB"/>
        </w:rPr>
        <w:t xml:space="preserve"> and achieve a working arrangement</w:t>
      </w:r>
      <w:r w:rsidR="006E4E0F" w:rsidRPr="009F4FF2">
        <w:rPr>
          <w:rFonts w:ascii="Arial" w:hAnsi="Arial" w:cs="Arial"/>
          <w:sz w:val="22"/>
          <w:szCs w:val="22"/>
          <w:lang w:val="en-GB"/>
        </w:rPr>
        <w:t>.</w:t>
      </w:r>
    </w:p>
    <w:p w14:paraId="28BA0F35" w14:textId="77777777" w:rsidR="006E4E0F" w:rsidRPr="009F4FF2" w:rsidRDefault="006E4E0F" w:rsidP="00B7193E">
      <w:pPr>
        <w:jc w:val="both"/>
        <w:rPr>
          <w:rFonts w:ascii="Arial" w:hAnsi="Arial" w:cs="Arial"/>
          <w:sz w:val="22"/>
          <w:szCs w:val="22"/>
          <w:lang w:val="en-GB"/>
        </w:rPr>
      </w:pPr>
    </w:p>
    <w:p w14:paraId="33EAC3B8" w14:textId="77777777" w:rsidR="002C0B48" w:rsidRPr="009F4FF2" w:rsidRDefault="00E336F6" w:rsidP="00B7193E">
      <w:pPr>
        <w:jc w:val="both"/>
        <w:rPr>
          <w:rFonts w:ascii="Arial" w:hAnsi="Arial" w:cs="Arial"/>
          <w:sz w:val="22"/>
          <w:szCs w:val="22"/>
          <w:lang w:val="en-GB"/>
        </w:rPr>
      </w:pPr>
      <w:r w:rsidRPr="009F4FF2">
        <w:rPr>
          <w:rFonts w:ascii="Arial" w:hAnsi="Arial" w:cs="Arial"/>
          <w:sz w:val="22"/>
          <w:szCs w:val="22"/>
          <w:lang w:val="en-GB"/>
        </w:rPr>
        <w:t xml:space="preserve">Pursuant to the protocol put in place in this case, the insolvency representatives were set the </w:t>
      </w:r>
      <w:r w:rsidR="002C0B48" w:rsidRPr="009F4FF2">
        <w:rPr>
          <w:rFonts w:ascii="Arial" w:hAnsi="Arial" w:cs="Arial"/>
          <w:sz w:val="22"/>
          <w:szCs w:val="22"/>
          <w:lang w:val="en-GB"/>
        </w:rPr>
        <w:t xml:space="preserve">following </w:t>
      </w:r>
      <w:r w:rsidRPr="009F4FF2">
        <w:rPr>
          <w:rFonts w:ascii="Arial" w:hAnsi="Arial" w:cs="Arial"/>
          <w:sz w:val="22"/>
          <w:szCs w:val="22"/>
          <w:lang w:val="en-GB"/>
        </w:rPr>
        <w:t>goals</w:t>
      </w:r>
      <w:r w:rsidR="002C0B48" w:rsidRPr="009F4FF2">
        <w:rPr>
          <w:rFonts w:ascii="Arial" w:hAnsi="Arial" w:cs="Arial"/>
          <w:sz w:val="22"/>
          <w:szCs w:val="22"/>
          <w:lang w:val="en-GB"/>
        </w:rPr>
        <w:t>:</w:t>
      </w:r>
    </w:p>
    <w:p w14:paraId="5F5DE49D" w14:textId="77777777" w:rsidR="002C0B48" w:rsidRPr="009F4FF2" w:rsidRDefault="002C0B48" w:rsidP="00B7193E">
      <w:pPr>
        <w:jc w:val="both"/>
        <w:rPr>
          <w:rFonts w:ascii="Arial" w:hAnsi="Arial" w:cs="Arial"/>
          <w:sz w:val="22"/>
          <w:szCs w:val="22"/>
          <w:lang w:val="en-GB"/>
        </w:rPr>
      </w:pPr>
    </w:p>
    <w:p w14:paraId="2D4BB567" w14:textId="77777777" w:rsidR="002C0B48" w:rsidRPr="009F4FF2" w:rsidRDefault="002C0B48" w:rsidP="002C0B48">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Maximizing the estate’s value; and</w:t>
      </w:r>
    </w:p>
    <w:p w14:paraId="5323E8D1" w14:textId="523A8715" w:rsidR="00E336F6" w:rsidRPr="009F4FF2" w:rsidRDefault="002C0B48" w:rsidP="002C0B48">
      <w:pPr>
        <w:pStyle w:val="ListParagraph"/>
        <w:numPr>
          <w:ilvl w:val="0"/>
          <w:numId w:val="17"/>
        </w:numPr>
        <w:jc w:val="both"/>
        <w:rPr>
          <w:rFonts w:ascii="Arial" w:hAnsi="Arial" w:cs="Arial"/>
          <w:sz w:val="22"/>
          <w:szCs w:val="22"/>
          <w:lang w:val="en-GB"/>
        </w:rPr>
      </w:pPr>
      <w:r w:rsidRPr="009F4FF2">
        <w:rPr>
          <w:rFonts w:ascii="Arial" w:hAnsi="Arial" w:cs="Arial"/>
          <w:sz w:val="22"/>
          <w:szCs w:val="22"/>
          <w:lang w:val="en-GB"/>
        </w:rPr>
        <w:t>H</w:t>
      </w:r>
      <w:r w:rsidR="00E336F6" w:rsidRPr="009F4FF2">
        <w:rPr>
          <w:rFonts w:ascii="Arial" w:hAnsi="Arial" w:cs="Arial"/>
          <w:sz w:val="22"/>
          <w:szCs w:val="22"/>
          <w:lang w:val="en-GB"/>
        </w:rPr>
        <w:t>armonization of proceedings to minimize the costs borne by the estate.</w:t>
      </w:r>
    </w:p>
    <w:p w14:paraId="110D5F24" w14:textId="77777777" w:rsidR="00E336F6" w:rsidRPr="009F4FF2" w:rsidRDefault="00E336F6" w:rsidP="00B7193E">
      <w:pPr>
        <w:jc w:val="both"/>
        <w:rPr>
          <w:rFonts w:ascii="Arial" w:hAnsi="Arial" w:cs="Arial"/>
          <w:sz w:val="22"/>
          <w:szCs w:val="22"/>
          <w:lang w:val="en-GB"/>
        </w:rPr>
      </w:pPr>
    </w:p>
    <w:p w14:paraId="7487D049" w14:textId="383A8B1D" w:rsidR="00E336F6" w:rsidRPr="009F4FF2" w:rsidRDefault="00E336F6" w:rsidP="00B7193E">
      <w:pPr>
        <w:jc w:val="both"/>
        <w:rPr>
          <w:rFonts w:ascii="Arial" w:hAnsi="Arial" w:cs="Arial"/>
          <w:sz w:val="22"/>
          <w:szCs w:val="22"/>
          <w:lang w:val="en-GB"/>
        </w:rPr>
      </w:pPr>
      <w:r w:rsidRPr="009F4FF2">
        <w:rPr>
          <w:rFonts w:ascii="Arial" w:hAnsi="Arial" w:cs="Arial"/>
          <w:sz w:val="22"/>
          <w:szCs w:val="22"/>
          <w:lang w:val="en-GB"/>
        </w:rPr>
        <w:t xml:space="preserve">The relevant parties </w:t>
      </w:r>
      <w:r w:rsidR="006E4E0F" w:rsidRPr="009F4FF2">
        <w:rPr>
          <w:rFonts w:ascii="Arial" w:hAnsi="Arial" w:cs="Arial"/>
          <w:sz w:val="22"/>
          <w:szCs w:val="22"/>
          <w:lang w:val="en-GB"/>
        </w:rPr>
        <w:t xml:space="preserve">cooperated </w:t>
      </w:r>
      <w:r w:rsidRPr="009F4FF2">
        <w:rPr>
          <w:rFonts w:ascii="Arial" w:hAnsi="Arial" w:cs="Arial"/>
          <w:sz w:val="22"/>
          <w:szCs w:val="22"/>
          <w:lang w:val="en-GB"/>
        </w:rPr>
        <w:t xml:space="preserve">and applied to their respective courts.  It was then agreed that the UK proceedings would take precedent and the USA court would defer to the UK proceedings; however, this was subject to certain criteria being put in place so that the proceedings could be undertaken </w:t>
      </w:r>
      <w:r w:rsidR="002C0B48" w:rsidRPr="009F4FF2">
        <w:rPr>
          <w:rFonts w:ascii="Arial" w:hAnsi="Arial" w:cs="Arial"/>
          <w:sz w:val="22"/>
          <w:szCs w:val="22"/>
          <w:lang w:val="en-GB"/>
        </w:rPr>
        <w:t xml:space="preserve">in a just manner </w:t>
      </w:r>
      <w:r w:rsidRPr="009F4FF2">
        <w:rPr>
          <w:rFonts w:ascii="Arial" w:hAnsi="Arial" w:cs="Arial"/>
          <w:sz w:val="22"/>
          <w:szCs w:val="22"/>
          <w:lang w:val="en-GB"/>
        </w:rPr>
        <w:t>and each insolvency representative could fulfil their duties and obligations as required.</w:t>
      </w:r>
      <w:r w:rsidR="00D40E22" w:rsidRPr="009F4FF2">
        <w:rPr>
          <w:rFonts w:ascii="Arial" w:hAnsi="Arial" w:cs="Arial"/>
          <w:sz w:val="22"/>
          <w:szCs w:val="22"/>
          <w:lang w:val="en-GB"/>
        </w:rPr>
        <w:t xml:space="preserve">  Some of the criteria in question included</w:t>
      </w:r>
      <w:r w:rsidR="00471C56" w:rsidRPr="009F4FF2">
        <w:rPr>
          <w:rFonts w:ascii="Arial" w:hAnsi="Arial" w:cs="Arial"/>
          <w:sz w:val="22"/>
          <w:szCs w:val="22"/>
          <w:lang w:val="en-GB"/>
        </w:rPr>
        <w:t xml:space="preserve">, </w:t>
      </w:r>
      <w:r w:rsidR="00471C56" w:rsidRPr="009F4FF2">
        <w:rPr>
          <w:rFonts w:ascii="Arial" w:hAnsi="Arial" w:cs="Arial"/>
          <w:i/>
          <w:sz w:val="22"/>
          <w:szCs w:val="22"/>
          <w:lang w:val="en-GB"/>
        </w:rPr>
        <w:t>inter alia</w:t>
      </w:r>
      <w:r w:rsidR="00471C56" w:rsidRPr="009F4FF2">
        <w:rPr>
          <w:rFonts w:ascii="Arial" w:hAnsi="Arial" w:cs="Arial"/>
          <w:sz w:val="22"/>
          <w:szCs w:val="22"/>
          <w:lang w:val="en-GB"/>
        </w:rPr>
        <w:t>,</w:t>
      </w:r>
      <w:r w:rsidR="00D40E22" w:rsidRPr="009F4FF2">
        <w:rPr>
          <w:rFonts w:ascii="Arial" w:hAnsi="Arial" w:cs="Arial"/>
          <w:sz w:val="22"/>
          <w:szCs w:val="22"/>
          <w:lang w:val="en-GB"/>
        </w:rPr>
        <w:t xml:space="preserve"> that the UK representatives could only file a reorganization plan with the consent of the USA representatives or the USA court, and that the USA representatives should be given prior notice before authorizing transactions of a particular size.</w:t>
      </w:r>
    </w:p>
    <w:p w14:paraId="11C38F23" w14:textId="2B88BE57" w:rsidR="00E336F6" w:rsidRPr="009F4FF2" w:rsidRDefault="00E336F6" w:rsidP="00B7193E">
      <w:pPr>
        <w:jc w:val="both"/>
        <w:rPr>
          <w:rFonts w:ascii="Arial" w:hAnsi="Arial" w:cs="Arial"/>
          <w:sz w:val="22"/>
          <w:szCs w:val="22"/>
          <w:lang w:val="en-GB"/>
        </w:rPr>
      </w:pPr>
    </w:p>
    <w:p w14:paraId="4AE7EA78" w14:textId="7B778CB1" w:rsidR="007D7C92" w:rsidRPr="009F4FF2" w:rsidRDefault="00E336F6" w:rsidP="004117B7">
      <w:pPr>
        <w:jc w:val="both"/>
        <w:rPr>
          <w:rFonts w:ascii="Arial" w:hAnsi="Arial" w:cs="Arial"/>
          <w:sz w:val="22"/>
          <w:szCs w:val="22"/>
          <w:lang w:val="en-GB"/>
        </w:rPr>
      </w:pPr>
      <w:r w:rsidRPr="009F4FF2">
        <w:rPr>
          <w:rFonts w:ascii="Arial" w:hAnsi="Arial" w:cs="Arial"/>
          <w:sz w:val="22"/>
          <w:szCs w:val="22"/>
          <w:lang w:val="en-GB"/>
        </w:rPr>
        <w:t xml:space="preserve">The insolvency representatives essentially </w:t>
      </w:r>
      <w:r w:rsidR="004117B7" w:rsidRPr="009F4FF2">
        <w:rPr>
          <w:rFonts w:ascii="Arial" w:hAnsi="Arial" w:cs="Arial"/>
          <w:sz w:val="22"/>
          <w:szCs w:val="22"/>
          <w:lang w:val="en-GB"/>
        </w:rPr>
        <w:t>cooperated with each other and, through the courts, structured an effective working plan to carry out and coordinate a complex, cross-border insolvency matter.</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lastRenderedPageBreak/>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0DBE4A98" w:rsidR="002F75A3" w:rsidRPr="009F4FF2" w:rsidRDefault="00DD1DBA" w:rsidP="00B7193E">
      <w:pPr>
        <w:jc w:val="both"/>
        <w:rPr>
          <w:rFonts w:ascii="Arial" w:hAnsi="Arial" w:cs="Arial"/>
          <w:sz w:val="22"/>
          <w:szCs w:val="22"/>
          <w:lang w:val="en-GB"/>
        </w:rPr>
      </w:pPr>
      <w:r w:rsidRPr="009F4FF2">
        <w:rPr>
          <w:rFonts w:ascii="Arial" w:hAnsi="Arial" w:cs="Arial"/>
          <w:sz w:val="22"/>
          <w:szCs w:val="22"/>
          <w:lang w:val="en-GB"/>
        </w:rPr>
        <w:t>The European Insolvency Regulation Recast (“</w:t>
      </w:r>
      <w:r w:rsidRPr="009F4FF2">
        <w:rPr>
          <w:rFonts w:ascii="Arial" w:hAnsi="Arial" w:cs="Arial"/>
          <w:b/>
          <w:sz w:val="22"/>
          <w:szCs w:val="22"/>
          <w:lang w:val="en-GB"/>
        </w:rPr>
        <w:t>EIR Recast</w:t>
      </w:r>
      <w:r w:rsidRPr="009F4FF2">
        <w:rPr>
          <w:rFonts w:ascii="Arial" w:hAnsi="Arial" w:cs="Arial"/>
          <w:sz w:val="22"/>
          <w:szCs w:val="22"/>
          <w:lang w:val="en-GB"/>
        </w:rPr>
        <w:t>”)</w:t>
      </w:r>
      <w:r w:rsidR="006776FC" w:rsidRPr="009F4FF2">
        <w:rPr>
          <w:rFonts w:ascii="Arial" w:hAnsi="Arial" w:cs="Arial"/>
          <w:sz w:val="22"/>
          <w:szCs w:val="22"/>
          <w:lang w:val="en-GB"/>
        </w:rPr>
        <w:t xml:space="preserve"> relates to </w:t>
      </w:r>
      <w:r w:rsidR="003F4253" w:rsidRPr="009F4FF2">
        <w:rPr>
          <w:rFonts w:ascii="Arial" w:hAnsi="Arial" w:cs="Arial"/>
          <w:sz w:val="22"/>
          <w:szCs w:val="22"/>
          <w:lang w:val="en-GB"/>
        </w:rPr>
        <w:t>a multilateral ar</w:t>
      </w:r>
      <w:r w:rsidR="00471C56" w:rsidRPr="009F4FF2">
        <w:rPr>
          <w:rFonts w:ascii="Arial" w:hAnsi="Arial" w:cs="Arial"/>
          <w:sz w:val="22"/>
          <w:szCs w:val="22"/>
          <w:lang w:val="en-GB"/>
        </w:rPr>
        <w:t xml:space="preserve">rangement in the European Union </w:t>
      </w:r>
      <w:r w:rsidR="003F4253" w:rsidRPr="009F4FF2">
        <w:rPr>
          <w:rFonts w:ascii="Arial" w:hAnsi="Arial" w:cs="Arial"/>
          <w:sz w:val="22"/>
          <w:szCs w:val="22"/>
          <w:lang w:val="en-GB"/>
        </w:rPr>
        <w:t xml:space="preserve">involving </w:t>
      </w:r>
      <w:r w:rsidR="006776FC" w:rsidRPr="009F4FF2">
        <w:rPr>
          <w:rFonts w:ascii="Arial" w:hAnsi="Arial" w:cs="Arial"/>
          <w:sz w:val="22"/>
          <w:szCs w:val="22"/>
          <w:lang w:val="en-GB"/>
        </w:rPr>
        <w:t>Council Regulation on insolvency proceedings</w:t>
      </w:r>
      <w:r w:rsidR="003F4253" w:rsidRPr="009F4FF2">
        <w:rPr>
          <w:rFonts w:ascii="Arial" w:hAnsi="Arial" w:cs="Arial"/>
          <w:sz w:val="22"/>
          <w:szCs w:val="22"/>
          <w:lang w:val="en-GB"/>
        </w:rPr>
        <w:t>.  The EIR Recast was</w:t>
      </w:r>
      <w:r w:rsidR="006776FC" w:rsidRPr="009F4FF2">
        <w:rPr>
          <w:rFonts w:ascii="Arial" w:hAnsi="Arial" w:cs="Arial"/>
          <w:sz w:val="22"/>
          <w:szCs w:val="22"/>
          <w:lang w:val="en-GB"/>
        </w:rPr>
        <w:t xml:space="preserve"> passed by the European Union in 2000, and was then modified and adopted in 2015.</w:t>
      </w:r>
    </w:p>
    <w:p w14:paraId="6F28366B" w14:textId="1E434C61" w:rsidR="006776FC" w:rsidRPr="009F4FF2" w:rsidRDefault="006776FC" w:rsidP="00B7193E">
      <w:pPr>
        <w:jc w:val="both"/>
        <w:rPr>
          <w:rFonts w:ascii="Arial" w:hAnsi="Arial" w:cs="Arial"/>
          <w:sz w:val="22"/>
          <w:szCs w:val="22"/>
          <w:lang w:val="en-GB"/>
        </w:rPr>
      </w:pPr>
    </w:p>
    <w:p w14:paraId="16D5E95A" w14:textId="2858FEDB" w:rsidR="006776FC" w:rsidRPr="009F4FF2" w:rsidRDefault="006776FC" w:rsidP="00B7193E">
      <w:pPr>
        <w:jc w:val="both"/>
        <w:rPr>
          <w:rFonts w:ascii="Arial" w:hAnsi="Arial" w:cs="Arial"/>
          <w:sz w:val="22"/>
          <w:szCs w:val="22"/>
          <w:lang w:val="en-GB"/>
        </w:rPr>
      </w:pPr>
      <w:r w:rsidRPr="009F4FF2">
        <w:rPr>
          <w:rFonts w:ascii="Arial" w:hAnsi="Arial" w:cs="Arial"/>
          <w:sz w:val="22"/>
          <w:szCs w:val="22"/>
          <w:lang w:val="en-GB"/>
        </w:rPr>
        <w:t xml:space="preserve">The EIR Recast allocates jurisdictional competence to the courts of a member state within which a debtor’s </w:t>
      </w:r>
      <w:r w:rsidR="00471C56" w:rsidRPr="009F4FF2">
        <w:rPr>
          <w:rFonts w:ascii="Arial" w:hAnsi="Arial" w:cs="Arial"/>
          <w:sz w:val="22"/>
          <w:szCs w:val="22"/>
          <w:lang w:val="en-GB"/>
        </w:rPr>
        <w:t>centre of main interest (“</w:t>
      </w:r>
      <w:r w:rsidRPr="009F4FF2">
        <w:rPr>
          <w:rFonts w:ascii="Arial" w:hAnsi="Arial" w:cs="Arial"/>
          <w:b/>
          <w:sz w:val="22"/>
          <w:szCs w:val="22"/>
          <w:lang w:val="en-GB"/>
        </w:rPr>
        <w:t>COMI</w:t>
      </w:r>
      <w:r w:rsidR="00471C56" w:rsidRPr="009F4FF2">
        <w:rPr>
          <w:rFonts w:ascii="Arial" w:hAnsi="Arial" w:cs="Arial"/>
          <w:sz w:val="22"/>
          <w:szCs w:val="22"/>
          <w:lang w:val="en-GB"/>
        </w:rPr>
        <w:t>”)</w:t>
      </w:r>
      <w:r w:rsidRPr="009F4FF2">
        <w:rPr>
          <w:rFonts w:ascii="Arial" w:hAnsi="Arial" w:cs="Arial"/>
          <w:sz w:val="22"/>
          <w:szCs w:val="22"/>
          <w:lang w:val="en-GB"/>
        </w:rPr>
        <w:t xml:space="preserve"> is situated.</w:t>
      </w:r>
    </w:p>
    <w:p w14:paraId="40DC39ED" w14:textId="7DC848AC" w:rsidR="006776FC" w:rsidRPr="009F4FF2" w:rsidRDefault="006776FC" w:rsidP="00B7193E">
      <w:pPr>
        <w:jc w:val="both"/>
        <w:rPr>
          <w:rFonts w:ascii="Arial" w:hAnsi="Arial" w:cs="Arial"/>
          <w:sz w:val="22"/>
          <w:szCs w:val="22"/>
          <w:lang w:val="en-GB"/>
        </w:rPr>
      </w:pPr>
    </w:p>
    <w:p w14:paraId="25F66658" w14:textId="2AA72AC7" w:rsidR="003F4253" w:rsidRPr="009F4FF2" w:rsidRDefault="006776FC" w:rsidP="00B7193E">
      <w:pPr>
        <w:jc w:val="both"/>
        <w:rPr>
          <w:rFonts w:ascii="Arial" w:hAnsi="Arial" w:cs="Arial"/>
          <w:sz w:val="22"/>
          <w:szCs w:val="22"/>
          <w:lang w:val="en-GB"/>
        </w:rPr>
      </w:pPr>
      <w:r w:rsidRPr="009F4FF2">
        <w:rPr>
          <w:rFonts w:ascii="Arial" w:hAnsi="Arial" w:cs="Arial"/>
          <w:sz w:val="22"/>
          <w:szCs w:val="22"/>
          <w:lang w:val="en-GB"/>
        </w:rPr>
        <w:t>Rydell’s COMI is confirmed to be in the UK</w:t>
      </w:r>
      <w:r w:rsidR="003F4253" w:rsidRPr="009F4FF2">
        <w:rPr>
          <w:rFonts w:ascii="Arial" w:hAnsi="Arial" w:cs="Arial"/>
          <w:sz w:val="22"/>
          <w:szCs w:val="22"/>
          <w:lang w:val="en-GB"/>
        </w:rPr>
        <w:t xml:space="preserve"> and the insolvency proceedings were commenced against Rydell on 18 June 2020.  As at this date, the UK was </w:t>
      </w:r>
      <w:r w:rsidR="00471C56" w:rsidRPr="009F4FF2">
        <w:rPr>
          <w:rFonts w:ascii="Arial" w:hAnsi="Arial" w:cs="Arial"/>
          <w:sz w:val="22"/>
          <w:szCs w:val="22"/>
          <w:lang w:val="en-GB"/>
        </w:rPr>
        <w:t xml:space="preserve">still </w:t>
      </w:r>
      <w:r w:rsidR="003F4253" w:rsidRPr="009F4FF2">
        <w:rPr>
          <w:rFonts w:ascii="Arial" w:hAnsi="Arial" w:cs="Arial"/>
          <w:sz w:val="22"/>
          <w:szCs w:val="22"/>
          <w:lang w:val="en-GB"/>
        </w:rPr>
        <w:t>a member state under the EIR Recast.</w:t>
      </w:r>
      <w:r w:rsidR="008E366A" w:rsidRPr="009F4FF2">
        <w:rPr>
          <w:rFonts w:ascii="Arial" w:hAnsi="Arial" w:cs="Arial"/>
          <w:sz w:val="22"/>
          <w:szCs w:val="22"/>
          <w:lang w:val="en-GB"/>
        </w:rPr>
        <w:t xml:space="preserve">  The EIR Recast would, therefore, be expected to allocate primary jurisdictional competence to the UK courts for overseeing the insolvency proceedings of Rydell.</w:t>
      </w:r>
    </w:p>
    <w:p w14:paraId="35230D1E" w14:textId="4E4FED43" w:rsidR="003F4253" w:rsidRPr="009F4FF2" w:rsidRDefault="003F4253" w:rsidP="00B7193E">
      <w:pPr>
        <w:jc w:val="both"/>
        <w:rPr>
          <w:rFonts w:ascii="Arial" w:hAnsi="Arial" w:cs="Arial"/>
          <w:sz w:val="22"/>
          <w:szCs w:val="22"/>
          <w:lang w:val="en-GB"/>
        </w:rPr>
      </w:pPr>
    </w:p>
    <w:p w14:paraId="6B4E00C6" w14:textId="583CF72D" w:rsidR="008E366A" w:rsidRPr="009F4FF2" w:rsidRDefault="008E366A" w:rsidP="00B7193E">
      <w:pPr>
        <w:jc w:val="both"/>
        <w:rPr>
          <w:rFonts w:ascii="Arial" w:hAnsi="Arial" w:cs="Arial"/>
          <w:sz w:val="22"/>
          <w:szCs w:val="22"/>
          <w:lang w:val="en-GB"/>
        </w:rPr>
      </w:pPr>
      <w:r w:rsidRPr="009F4FF2">
        <w:rPr>
          <w:rFonts w:ascii="Arial" w:hAnsi="Arial" w:cs="Arial"/>
          <w:sz w:val="22"/>
          <w:szCs w:val="22"/>
          <w:lang w:val="en-GB"/>
        </w:rPr>
        <w:t xml:space="preserve">It is noted that Fernz, a firm based in a different European country, may seek to open separate insolvency proceedings </w:t>
      </w:r>
      <w:r w:rsidR="00A42484" w:rsidRPr="009F4FF2">
        <w:rPr>
          <w:rFonts w:ascii="Arial" w:hAnsi="Arial" w:cs="Arial"/>
          <w:sz w:val="22"/>
          <w:szCs w:val="22"/>
          <w:lang w:val="en-GB"/>
        </w:rPr>
        <w:t xml:space="preserve">against Rydell </w:t>
      </w:r>
      <w:r w:rsidRPr="009F4FF2">
        <w:rPr>
          <w:rFonts w:ascii="Arial" w:hAnsi="Arial" w:cs="Arial"/>
          <w:sz w:val="22"/>
          <w:szCs w:val="22"/>
          <w:lang w:val="en-GB"/>
        </w:rPr>
        <w:t>in another country in the European Union.</w:t>
      </w:r>
      <w:r w:rsidR="00A42484" w:rsidRPr="009F4FF2">
        <w:rPr>
          <w:rFonts w:ascii="Arial" w:hAnsi="Arial" w:cs="Arial"/>
          <w:sz w:val="22"/>
          <w:szCs w:val="22"/>
          <w:lang w:val="en-GB"/>
        </w:rPr>
        <w:t xml:space="preserve">  If Fernz follows through with this, </w:t>
      </w:r>
      <w:r w:rsidR="002F5D1A" w:rsidRPr="009F4FF2">
        <w:rPr>
          <w:rFonts w:ascii="Arial" w:hAnsi="Arial" w:cs="Arial"/>
          <w:sz w:val="22"/>
          <w:szCs w:val="22"/>
          <w:lang w:val="en-GB"/>
        </w:rPr>
        <w:t xml:space="preserve">Fernz </w:t>
      </w:r>
      <w:r w:rsidR="00A42484" w:rsidRPr="009F4FF2">
        <w:rPr>
          <w:rFonts w:ascii="Arial" w:hAnsi="Arial" w:cs="Arial"/>
          <w:sz w:val="22"/>
          <w:szCs w:val="22"/>
          <w:lang w:val="en-GB"/>
        </w:rPr>
        <w:t xml:space="preserve">could be granted </w:t>
      </w:r>
      <w:r w:rsidRPr="009F4FF2">
        <w:rPr>
          <w:rFonts w:ascii="Arial" w:hAnsi="Arial" w:cs="Arial"/>
          <w:sz w:val="22"/>
          <w:szCs w:val="22"/>
          <w:lang w:val="en-GB"/>
        </w:rPr>
        <w:t xml:space="preserve">secondary proceedings </w:t>
      </w:r>
      <w:r w:rsidR="00A42484" w:rsidRPr="009F4FF2">
        <w:rPr>
          <w:rFonts w:ascii="Arial" w:hAnsi="Arial" w:cs="Arial"/>
          <w:sz w:val="22"/>
          <w:szCs w:val="22"/>
          <w:lang w:val="en-GB"/>
        </w:rPr>
        <w:t>pursuant to the terms of the EIR Recast.</w:t>
      </w:r>
    </w:p>
    <w:p w14:paraId="13AF8A2C" w14:textId="640238DA" w:rsidR="00A42484" w:rsidRPr="009F4FF2" w:rsidRDefault="00A42484" w:rsidP="00B7193E">
      <w:pPr>
        <w:jc w:val="both"/>
        <w:rPr>
          <w:rFonts w:ascii="Arial" w:hAnsi="Arial" w:cs="Arial"/>
          <w:sz w:val="22"/>
          <w:szCs w:val="22"/>
          <w:lang w:val="en-GB"/>
        </w:rPr>
      </w:pPr>
    </w:p>
    <w:p w14:paraId="444C008D" w14:textId="4E891791" w:rsidR="00A42484" w:rsidRPr="009F4FF2" w:rsidRDefault="00A42484" w:rsidP="00B7193E">
      <w:pPr>
        <w:jc w:val="both"/>
        <w:rPr>
          <w:rFonts w:ascii="Arial" w:hAnsi="Arial" w:cs="Arial"/>
          <w:sz w:val="22"/>
          <w:szCs w:val="22"/>
          <w:lang w:val="en-GB"/>
        </w:rPr>
      </w:pPr>
      <w:r w:rsidRPr="009F4FF2">
        <w:rPr>
          <w:rFonts w:ascii="Arial" w:hAnsi="Arial" w:cs="Arial"/>
          <w:sz w:val="22"/>
          <w:szCs w:val="22"/>
          <w:lang w:val="en-GB"/>
        </w:rPr>
        <w:t xml:space="preserve">If Fernz were to obtain secondary proceedings, it should be considered by the duly appointed UK-based insolvency representative, as well as the UK courts, in which jurisdiction the secondary proceedings are to be granted.  This would assist in understanding which insolvency legislation the secondary proceedings would be governed by and in determining the likelihood of any cooperation between the courts in that country and the UK courts.  Should secondary proceedings be obtained in another country, an arrangement or protocol should be established between the respective insolvency representatives of Rydell and, similarly in the case of </w:t>
      </w:r>
      <w:r w:rsidRPr="009F4FF2">
        <w:rPr>
          <w:rFonts w:ascii="Arial" w:hAnsi="Arial" w:cs="Arial"/>
          <w:i/>
          <w:sz w:val="22"/>
          <w:szCs w:val="22"/>
          <w:lang w:val="en-GB"/>
        </w:rPr>
        <w:t>Re Maxwell Communications Corporation Plc</w:t>
      </w:r>
      <w:r w:rsidRPr="009F4FF2">
        <w:rPr>
          <w:rFonts w:ascii="Arial" w:hAnsi="Arial" w:cs="Arial"/>
          <w:sz w:val="22"/>
          <w:szCs w:val="22"/>
          <w:lang w:val="en-GB"/>
        </w:rPr>
        <w:t>, they should seek for this to be ratified by the courts in both countries.</w:t>
      </w:r>
    </w:p>
    <w:p w14:paraId="7B4179A3" w14:textId="49B648CD" w:rsidR="00A42484" w:rsidRPr="009F4FF2" w:rsidRDefault="00A42484" w:rsidP="00B7193E">
      <w:pPr>
        <w:jc w:val="both"/>
        <w:rPr>
          <w:rFonts w:ascii="Arial" w:hAnsi="Arial" w:cs="Arial"/>
          <w:sz w:val="22"/>
          <w:szCs w:val="22"/>
          <w:lang w:val="en-GB"/>
        </w:rPr>
      </w:pPr>
    </w:p>
    <w:p w14:paraId="7113AF38" w14:textId="3716E6A9" w:rsidR="00A42484" w:rsidRPr="009F4FF2" w:rsidRDefault="00A42484" w:rsidP="00B7193E">
      <w:pPr>
        <w:jc w:val="both"/>
        <w:rPr>
          <w:rFonts w:ascii="Arial" w:hAnsi="Arial" w:cs="Arial"/>
          <w:sz w:val="22"/>
          <w:szCs w:val="22"/>
          <w:lang w:val="en-GB"/>
        </w:rPr>
      </w:pPr>
      <w:r w:rsidRPr="009F4FF2">
        <w:rPr>
          <w:rFonts w:ascii="Arial" w:hAnsi="Arial" w:cs="Arial"/>
          <w:sz w:val="22"/>
          <w:szCs w:val="22"/>
          <w:lang w:val="en-GB"/>
        </w:rPr>
        <w:t xml:space="preserve">The appointed insolvency representative should also investigate the affairs of Rydell to consider in which other countries or jurisdictions Rydell has establishments and in which </w:t>
      </w:r>
      <w:r w:rsidR="008F6834" w:rsidRPr="009F4FF2">
        <w:rPr>
          <w:rFonts w:ascii="Arial" w:hAnsi="Arial" w:cs="Arial"/>
          <w:sz w:val="22"/>
          <w:szCs w:val="22"/>
          <w:lang w:val="en-GB"/>
        </w:rPr>
        <w:t xml:space="preserve">European </w:t>
      </w:r>
      <w:r w:rsidR="00E64212" w:rsidRPr="009F4FF2">
        <w:rPr>
          <w:rFonts w:ascii="Arial" w:hAnsi="Arial" w:cs="Arial"/>
          <w:sz w:val="22"/>
          <w:szCs w:val="22"/>
          <w:lang w:val="en-GB"/>
        </w:rPr>
        <w:t xml:space="preserve">countries Rydell’s </w:t>
      </w:r>
      <w:r w:rsidRPr="009F4FF2">
        <w:rPr>
          <w:rFonts w:ascii="Arial" w:hAnsi="Arial" w:cs="Arial"/>
          <w:sz w:val="22"/>
          <w:szCs w:val="22"/>
          <w:lang w:val="en-GB"/>
        </w:rPr>
        <w:t xml:space="preserve">other creditors are based.  This is to determine the potential or likelihood of further subsidiary proceedings being granted in other member states </w:t>
      </w:r>
      <w:r w:rsidR="002A38F4" w:rsidRPr="009F4FF2">
        <w:rPr>
          <w:rFonts w:ascii="Arial" w:hAnsi="Arial" w:cs="Arial"/>
          <w:sz w:val="22"/>
          <w:szCs w:val="22"/>
          <w:lang w:val="en-GB"/>
        </w:rPr>
        <w:t xml:space="preserve">pursuant to </w:t>
      </w:r>
      <w:r w:rsidRPr="009F4FF2">
        <w:rPr>
          <w:rFonts w:ascii="Arial" w:hAnsi="Arial" w:cs="Arial"/>
          <w:sz w:val="22"/>
          <w:szCs w:val="22"/>
          <w:lang w:val="en-GB"/>
        </w:rPr>
        <w:t xml:space="preserve">the EIR Recast.  If further subsidiary proceedings were to be granted, this would require further arrangements to be established and ratified by the necessary courts to ensure an efficient coordination of Rydell’s insolvency process.  The involvement of other insolvency representatives from different countries or jurisdictions would likely result in increased costs </w:t>
      </w:r>
      <w:r w:rsidRPr="009F4FF2">
        <w:rPr>
          <w:rFonts w:ascii="Arial" w:hAnsi="Arial" w:cs="Arial"/>
          <w:sz w:val="22"/>
          <w:szCs w:val="22"/>
          <w:lang w:val="en-GB"/>
        </w:rPr>
        <w:lastRenderedPageBreak/>
        <w:t>to Rydell’s estate, which the appointed insolvency representative should be mindful of and should seek to minimise.</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438A40A6" w:rsidR="00015EE6" w:rsidRPr="009F4FF2" w:rsidRDefault="00E64212" w:rsidP="00C45A03">
      <w:pPr>
        <w:jc w:val="both"/>
        <w:rPr>
          <w:rFonts w:ascii="Arial" w:hAnsi="Arial" w:cs="Arial"/>
          <w:sz w:val="22"/>
          <w:szCs w:val="22"/>
          <w:lang w:val="en-GB"/>
        </w:rPr>
      </w:pPr>
      <w:r w:rsidRPr="009F4FF2">
        <w:rPr>
          <w:rFonts w:ascii="Arial" w:hAnsi="Arial" w:cs="Arial"/>
          <w:sz w:val="22"/>
          <w:szCs w:val="22"/>
          <w:lang w:val="en-GB"/>
        </w:rPr>
        <w:t>The UK ceased to be a member of the EU at 11:00pm on 31 January 2020 and the EIR Recast no longer applies to proceedings in the UK following 11:00pm on 31 December 2020.</w:t>
      </w:r>
    </w:p>
    <w:p w14:paraId="7C5E5F3E" w14:textId="0203870D" w:rsidR="00275182" w:rsidRPr="009F4FF2" w:rsidRDefault="00275182" w:rsidP="00B7193E">
      <w:pPr>
        <w:jc w:val="both"/>
        <w:rPr>
          <w:rFonts w:ascii="Arial" w:hAnsi="Arial" w:cs="Arial"/>
          <w:sz w:val="22"/>
          <w:szCs w:val="22"/>
          <w:lang w:val="en-GB"/>
        </w:rPr>
      </w:pPr>
    </w:p>
    <w:p w14:paraId="5C60B757" w14:textId="7E7AFE71" w:rsidR="00F0247A" w:rsidRPr="009F4FF2" w:rsidRDefault="00F0247A" w:rsidP="00B7193E">
      <w:pPr>
        <w:jc w:val="both"/>
        <w:rPr>
          <w:rFonts w:ascii="Arial" w:hAnsi="Arial" w:cs="Arial"/>
          <w:sz w:val="22"/>
          <w:szCs w:val="22"/>
          <w:lang w:val="en-GB"/>
        </w:rPr>
      </w:pPr>
      <w:r w:rsidRPr="009F4FF2">
        <w:rPr>
          <w:rFonts w:ascii="Arial" w:hAnsi="Arial" w:cs="Arial"/>
          <w:sz w:val="22"/>
          <w:szCs w:val="22"/>
          <w:lang w:val="en-GB"/>
        </w:rPr>
        <w:t xml:space="preserve">If the </w:t>
      </w:r>
      <w:r w:rsidR="00AD6D6E" w:rsidRPr="009F4FF2">
        <w:rPr>
          <w:rFonts w:ascii="Arial" w:hAnsi="Arial" w:cs="Arial"/>
          <w:sz w:val="22"/>
          <w:szCs w:val="22"/>
          <w:lang w:val="en-GB"/>
        </w:rPr>
        <w:t xml:space="preserve">insolvency </w:t>
      </w:r>
      <w:r w:rsidRPr="009F4FF2">
        <w:rPr>
          <w:rFonts w:ascii="Arial" w:hAnsi="Arial" w:cs="Arial"/>
          <w:sz w:val="22"/>
          <w:szCs w:val="22"/>
          <w:lang w:val="en-GB"/>
        </w:rPr>
        <w:t xml:space="preserve">proceedings were opened in the UK on 18 June 2021, the EIR Recast would no longer apply.  The proceedings would be governed by </w:t>
      </w:r>
      <w:r w:rsidR="00C94ADF" w:rsidRPr="009F4FF2">
        <w:rPr>
          <w:rFonts w:ascii="Arial" w:hAnsi="Arial" w:cs="Arial"/>
          <w:sz w:val="22"/>
          <w:szCs w:val="22"/>
          <w:lang w:val="en-GB"/>
        </w:rPr>
        <w:t xml:space="preserve">the laws of the </w:t>
      </w:r>
      <w:r w:rsidRPr="009F4FF2">
        <w:rPr>
          <w:rFonts w:ascii="Arial" w:hAnsi="Arial" w:cs="Arial"/>
          <w:sz w:val="22"/>
          <w:szCs w:val="22"/>
          <w:lang w:val="en-GB"/>
        </w:rPr>
        <w:t>UK jurisdiction; however, it should be considered in which other countries Rydell has an establishment to consider if there would be competing interests from foreign jurisdictions.</w:t>
      </w:r>
      <w:r w:rsidR="00463822" w:rsidRPr="009F4FF2">
        <w:rPr>
          <w:rFonts w:ascii="Arial" w:hAnsi="Arial" w:cs="Arial"/>
          <w:sz w:val="22"/>
          <w:szCs w:val="22"/>
          <w:lang w:val="en-GB"/>
        </w:rPr>
        <w:t xml:space="preserve">  The appointed UK insolvency representative of Rydell would need to consider the ability for cooperation between the courts of the UK and the other European jurisdictions in which Rydell has an establishment.</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42B8D4C1" w:rsidR="00015EE6" w:rsidRPr="009F4FF2" w:rsidRDefault="00463822" w:rsidP="00463822">
      <w:pPr>
        <w:ind w:hanging="11"/>
        <w:jc w:val="both"/>
        <w:rPr>
          <w:rFonts w:ascii="Arial" w:hAnsi="Arial" w:cs="Arial"/>
          <w:sz w:val="22"/>
          <w:szCs w:val="22"/>
          <w:lang w:val="en-GB"/>
        </w:rPr>
      </w:pPr>
      <w:r w:rsidRPr="009F4FF2">
        <w:rPr>
          <w:rFonts w:ascii="Arial" w:hAnsi="Arial" w:cs="Arial"/>
          <w:sz w:val="22"/>
          <w:szCs w:val="22"/>
          <w:lang w:val="en-GB"/>
        </w:rPr>
        <w:t>Pursuant to Section 221 of the UK Insolvency Act 1986</w:t>
      </w:r>
      <w:r w:rsidR="00CE3C39" w:rsidRPr="009F4FF2">
        <w:rPr>
          <w:rFonts w:ascii="Arial" w:hAnsi="Arial" w:cs="Arial"/>
          <w:sz w:val="22"/>
          <w:szCs w:val="22"/>
          <w:lang w:val="en-GB"/>
        </w:rPr>
        <w:t xml:space="preserve"> (the “</w:t>
      </w:r>
      <w:r w:rsidR="00CE3C39" w:rsidRPr="009F4FF2">
        <w:rPr>
          <w:rFonts w:ascii="Arial" w:hAnsi="Arial" w:cs="Arial"/>
          <w:b/>
          <w:sz w:val="22"/>
          <w:szCs w:val="22"/>
          <w:lang w:val="en-GB"/>
        </w:rPr>
        <w:t>Act</w:t>
      </w:r>
      <w:r w:rsidR="00CE3C39" w:rsidRPr="009F4FF2">
        <w:rPr>
          <w:rFonts w:ascii="Arial" w:hAnsi="Arial" w:cs="Arial"/>
          <w:sz w:val="22"/>
          <w:szCs w:val="22"/>
          <w:lang w:val="en-GB"/>
        </w:rPr>
        <w:t>”)</w:t>
      </w:r>
      <w:r w:rsidRPr="009F4FF2">
        <w:rPr>
          <w:rFonts w:ascii="Arial" w:hAnsi="Arial" w:cs="Arial"/>
          <w:sz w:val="22"/>
          <w:szCs w:val="22"/>
          <w:lang w:val="en-GB"/>
        </w:rPr>
        <w:t>, an unregistered company may be wound up by the UK Court</w:t>
      </w:r>
      <w:r w:rsidR="007C7E12" w:rsidRPr="009F4FF2">
        <w:rPr>
          <w:rFonts w:ascii="Arial" w:hAnsi="Arial" w:cs="Arial"/>
          <w:sz w:val="22"/>
          <w:szCs w:val="22"/>
          <w:lang w:val="en-GB"/>
        </w:rPr>
        <w:t>s</w:t>
      </w:r>
      <w:r w:rsidRPr="009F4FF2">
        <w:rPr>
          <w:rFonts w:ascii="Arial" w:hAnsi="Arial" w:cs="Arial"/>
          <w:sz w:val="22"/>
          <w:szCs w:val="22"/>
          <w:lang w:val="en-GB"/>
        </w:rPr>
        <w:t>, but only if that company is deemed to be registered in England and Wales</w:t>
      </w:r>
      <w:r w:rsidR="007C7E12" w:rsidRPr="009F4FF2">
        <w:rPr>
          <w:rFonts w:ascii="Arial" w:hAnsi="Arial" w:cs="Arial"/>
          <w:sz w:val="22"/>
          <w:szCs w:val="22"/>
          <w:lang w:val="en-GB"/>
        </w:rPr>
        <w:t xml:space="preserve">, </w:t>
      </w:r>
      <w:r w:rsidRPr="009F4FF2">
        <w:rPr>
          <w:rFonts w:ascii="Arial" w:hAnsi="Arial" w:cs="Arial"/>
          <w:sz w:val="22"/>
          <w:szCs w:val="22"/>
          <w:lang w:val="en-GB"/>
        </w:rPr>
        <w:t>if its principal pla</w:t>
      </w:r>
      <w:r w:rsidR="007C7E12" w:rsidRPr="009F4FF2">
        <w:rPr>
          <w:rFonts w:ascii="Arial" w:hAnsi="Arial" w:cs="Arial"/>
          <w:sz w:val="22"/>
          <w:szCs w:val="22"/>
          <w:lang w:val="en-GB"/>
        </w:rPr>
        <w:t>ce of business is situated in England and Wales</w:t>
      </w:r>
      <w:r w:rsidR="00844D34" w:rsidRPr="009F4FF2">
        <w:rPr>
          <w:rFonts w:ascii="Arial" w:hAnsi="Arial" w:cs="Arial"/>
          <w:sz w:val="22"/>
          <w:szCs w:val="22"/>
          <w:lang w:val="en-GB"/>
        </w:rPr>
        <w:t>,</w:t>
      </w:r>
      <w:r w:rsidR="005745DF" w:rsidRPr="009F4FF2">
        <w:rPr>
          <w:rFonts w:ascii="Arial" w:hAnsi="Arial" w:cs="Arial"/>
          <w:sz w:val="22"/>
          <w:szCs w:val="22"/>
          <w:lang w:val="en-GB"/>
        </w:rPr>
        <w:t xml:space="preserve"> and the principal place of business is deemed to be the registered office of the company</w:t>
      </w:r>
      <w:r w:rsidR="007C7E12" w:rsidRPr="009F4FF2">
        <w:rPr>
          <w:rFonts w:ascii="Arial" w:hAnsi="Arial" w:cs="Arial"/>
          <w:sz w:val="22"/>
          <w:szCs w:val="22"/>
          <w:lang w:val="en-GB"/>
        </w:rPr>
        <w:t>.</w:t>
      </w:r>
    </w:p>
    <w:p w14:paraId="381B9196" w14:textId="2E88297C" w:rsidR="00CE3C39" w:rsidRPr="009F4FF2" w:rsidRDefault="00CE3C39" w:rsidP="00463822">
      <w:pPr>
        <w:ind w:hanging="11"/>
        <w:jc w:val="both"/>
        <w:rPr>
          <w:rFonts w:ascii="Arial" w:hAnsi="Arial" w:cs="Arial"/>
          <w:sz w:val="22"/>
          <w:szCs w:val="22"/>
          <w:lang w:val="en-GB"/>
        </w:rPr>
      </w:pPr>
    </w:p>
    <w:p w14:paraId="38AC4460" w14:textId="07C3BFCE" w:rsidR="00CE3C39" w:rsidRPr="009F4FF2" w:rsidRDefault="00CE3C39" w:rsidP="00463822">
      <w:pPr>
        <w:ind w:hanging="11"/>
        <w:jc w:val="both"/>
        <w:rPr>
          <w:rFonts w:ascii="Arial" w:hAnsi="Arial" w:cs="Arial"/>
          <w:sz w:val="22"/>
          <w:szCs w:val="22"/>
          <w:lang w:val="en-GB"/>
        </w:rPr>
      </w:pPr>
      <w:r w:rsidRPr="009F4FF2">
        <w:rPr>
          <w:rFonts w:ascii="Arial" w:hAnsi="Arial" w:cs="Arial"/>
          <w:sz w:val="22"/>
          <w:szCs w:val="22"/>
          <w:lang w:val="en-GB"/>
        </w:rPr>
        <w:t>An unregistered company may only be wound up in the UK if certain criteria is met, pursuant to Section 221(5) of the Act.</w:t>
      </w:r>
    </w:p>
    <w:p w14:paraId="521D798A" w14:textId="2FF79C4B" w:rsidR="007C7E12" w:rsidRPr="009F4FF2" w:rsidRDefault="007C7E12" w:rsidP="00463822">
      <w:pPr>
        <w:ind w:hanging="11"/>
        <w:jc w:val="both"/>
        <w:rPr>
          <w:rFonts w:ascii="Arial" w:hAnsi="Arial" w:cs="Arial"/>
          <w:sz w:val="22"/>
          <w:szCs w:val="22"/>
          <w:lang w:val="en-GB"/>
        </w:rPr>
      </w:pPr>
    </w:p>
    <w:p w14:paraId="4933B23A" w14:textId="7B88CD3E" w:rsidR="007C7E12" w:rsidRPr="009F4FF2" w:rsidRDefault="007C7E12" w:rsidP="00463822">
      <w:pPr>
        <w:ind w:hanging="11"/>
        <w:jc w:val="both"/>
        <w:rPr>
          <w:rFonts w:ascii="Arial" w:hAnsi="Arial" w:cs="Arial"/>
          <w:sz w:val="22"/>
          <w:szCs w:val="22"/>
          <w:lang w:val="en-GB"/>
        </w:rPr>
      </w:pPr>
      <w:r w:rsidRPr="009F4FF2">
        <w:rPr>
          <w:rFonts w:ascii="Arial" w:hAnsi="Arial" w:cs="Arial"/>
          <w:sz w:val="22"/>
          <w:szCs w:val="22"/>
          <w:lang w:val="en-GB"/>
        </w:rPr>
        <w:t>If the insolvency proceedings of Rydell were opened in the UK on 18 June 2021, the UK would not be subject to the EIR Recast.  The UK Courts would have their own governance on the matter and could make any ruling as the Court sees fit.  The UK Courts could do so without consideration of the Courts in other jurisdictions in which Rydell’s establishment</w:t>
      </w:r>
      <w:r w:rsidR="00A71C93" w:rsidRPr="009F4FF2">
        <w:rPr>
          <w:rFonts w:ascii="Arial" w:hAnsi="Arial" w:cs="Arial"/>
          <w:sz w:val="22"/>
          <w:szCs w:val="22"/>
          <w:lang w:val="en-GB"/>
        </w:rPr>
        <w:t>(s)</w:t>
      </w:r>
      <w:r w:rsidRPr="009F4FF2">
        <w:rPr>
          <w:rFonts w:ascii="Arial" w:hAnsi="Arial" w:cs="Arial"/>
          <w:sz w:val="22"/>
          <w:szCs w:val="22"/>
          <w:lang w:val="en-GB"/>
        </w:rPr>
        <w:t xml:space="preserve"> or creditors are based.</w:t>
      </w:r>
    </w:p>
    <w:p w14:paraId="4A36C8D2" w14:textId="6B0215E9" w:rsidR="00E74E27" w:rsidRPr="009F4FF2" w:rsidRDefault="00E74E27" w:rsidP="00463822">
      <w:pPr>
        <w:ind w:hanging="11"/>
        <w:jc w:val="both"/>
        <w:rPr>
          <w:rFonts w:ascii="Arial" w:hAnsi="Arial" w:cs="Arial"/>
          <w:sz w:val="22"/>
          <w:szCs w:val="22"/>
          <w:lang w:val="en-GB"/>
        </w:rPr>
      </w:pPr>
    </w:p>
    <w:p w14:paraId="4A0F74EB" w14:textId="59730591" w:rsidR="00E74E27" w:rsidRPr="009F4FF2" w:rsidRDefault="00E74E27" w:rsidP="00463822">
      <w:pPr>
        <w:ind w:hanging="11"/>
        <w:jc w:val="both"/>
        <w:rPr>
          <w:rFonts w:ascii="Arial" w:hAnsi="Arial" w:cs="Arial"/>
          <w:sz w:val="22"/>
          <w:szCs w:val="22"/>
          <w:lang w:val="en-GB"/>
        </w:rPr>
      </w:pPr>
      <w:r w:rsidRPr="009F4FF2">
        <w:rPr>
          <w:rFonts w:ascii="Arial" w:hAnsi="Arial" w:cs="Arial"/>
          <w:sz w:val="22"/>
          <w:szCs w:val="22"/>
          <w:lang w:val="en-GB"/>
        </w:rPr>
        <w:t>If a minor creditor is commencing insolvency proceedings against Rydell in the UK, that creditor should refer to Sections 222 to 224 of the Act, which sets out the grounds on which Rydell would be deemed unable to pay its debts.  For instance, the debt owed to the minor creditor must be a sum exceeding at least £750 and the minor creditor must have served a statutory demand at Rydell’s principal pace of business or on a relevant representative of Rydell, as listed under Section 222(1)(a).</w:t>
      </w:r>
    </w:p>
    <w:p w14:paraId="712F2517" w14:textId="458867FA" w:rsidR="00CE3C39" w:rsidRPr="009F4FF2" w:rsidRDefault="00CE3C39" w:rsidP="00463822">
      <w:pPr>
        <w:ind w:hanging="11"/>
        <w:jc w:val="both"/>
        <w:rPr>
          <w:rFonts w:ascii="Arial" w:hAnsi="Arial" w:cs="Arial"/>
          <w:sz w:val="22"/>
          <w:szCs w:val="22"/>
          <w:lang w:val="en-GB"/>
        </w:rPr>
      </w:pPr>
    </w:p>
    <w:p w14:paraId="1D09B3CB" w14:textId="57090BC4" w:rsidR="00CE3C39" w:rsidRPr="009F4FF2" w:rsidRDefault="00E74E27" w:rsidP="00463822">
      <w:pPr>
        <w:ind w:hanging="11"/>
        <w:jc w:val="both"/>
        <w:rPr>
          <w:rFonts w:ascii="Arial" w:hAnsi="Arial" w:cs="Arial"/>
          <w:sz w:val="22"/>
          <w:szCs w:val="22"/>
          <w:lang w:val="en-GB"/>
        </w:rPr>
      </w:pPr>
      <w:r w:rsidRPr="009F4FF2">
        <w:rPr>
          <w:rFonts w:ascii="Arial" w:hAnsi="Arial" w:cs="Arial"/>
          <w:sz w:val="22"/>
          <w:szCs w:val="22"/>
          <w:lang w:val="en-GB"/>
        </w:rPr>
        <w:t xml:space="preserve">When administering the insolvency proceedings, the </w:t>
      </w:r>
      <w:r w:rsidR="00CE3C39" w:rsidRPr="009F4FF2">
        <w:rPr>
          <w:rFonts w:ascii="Arial" w:hAnsi="Arial" w:cs="Arial"/>
          <w:sz w:val="22"/>
          <w:szCs w:val="22"/>
          <w:lang w:val="en-GB"/>
        </w:rPr>
        <w:t>ap</w:t>
      </w:r>
      <w:r w:rsidR="00CE1E3A" w:rsidRPr="009F4FF2">
        <w:rPr>
          <w:rFonts w:ascii="Arial" w:hAnsi="Arial" w:cs="Arial"/>
          <w:sz w:val="22"/>
          <w:szCs w:val="22"/>
          <w:lang w:val="en-GB"/>
        </w:rPr>
        <w:t xml:space="preserve">pointed UK insolvency </w:t>
      </w:r>
      <w:r w:rsidR="00A71C93" w:rsidRPr="009F4FF2">
        <w:rPr>
          <w:rFonts w:ascii="Arial" w:hAnsi="Arial" w:cs="Arial"/>
          <w:sz w:val="22"/>
          <w:szCs w:val="22"/>
          <w:lang w:val="en-GB"/>
        </w:rPr>
        <w:t xml:space="preserve">representative of Rydell should take into consideration the application of some foreign laws.  For example, in the instance of Rydell, we are aware that there are some creditors based in other European jurisdictions.  When the Rydell insolvency representative requests proofs of debt to be lodged by each creditor, they are authorised to accept such proofs, even if the related liabilities are </w:t>
      </w:r>
      <w:r w:rsidR="00A71C93" w:rsidRPr="009F4FF2">
        <w:rPr>
          <w:rFonts w:ascii="Arial" w:hAnsi="Arial" w:cs="Arial"/>
          <w:sz w:val="22"/>
          <w:szCs w:val="22"/>
          <w:lang w:val="en-GB"/>
        </w:rPr>
        <w:lastRenderedPageBreak/>
        <w:t>governed by foreign law.</w:t>
      </w:r>
      <w:r w:rsidRPr="009F4FF2">
        <w:rPr>
          <w:rFonts w:ascii="Arial" w:hAnsi="Arial" w:cs="Arial"/>
          <w:sz w:val="22"/>
          <w:szCs w:val="22"/>
          <w:lang w:val="en-GB"/>
        </w:rPr>
        <w:t xml:space="preserve">  If Rydell’s insolvency representative is in doubt of administrating aspects of the insolvency proceedings, they should apply to the UK Court for directions.</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bookmarkStart w:id="6" w:name="_GoBack"/>
      <w:bookmarkEnd w:id="6"/>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1D7D02A3"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9F4FF2">
          <w:rPr>
            <w:rStyle w:val="PageNumber"/>
            <w:rFonts w:ascii="Arial" w:hAnsi="Arial" w:cs="Arial"/>
            <w:b/>
            <w:bCs/>
            <w:noProof/>
            <w:sz w:val="18"/>
            <w:szCs w:val="18"/>
          </w:rPr>
          <w:t>12</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6F2E7479"/>
    <w:multiLevelType w:val="hybridMultilevel"/>
    <w:tmpl w:val="D980B100"/>
    <w:lvl w:ilvl="0" w:tplc="3D08D2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E794C"/>
    <w:multiLevelType w:val="hybridMultilevel"/>
    <w:tmpl w:val="AF32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7"/>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6"/>
  </w:num>
  <w:num w:numId="13">
    <w:abstractNumId w:val="11"/>
  </w:num>
  <w:num w:numId="14">
    <w:abstractNumId w:val="6"/>
  </w:num>
  <w:num w:numId="15">
    <w:abstractNumId w:val="9"/>
  </w:num>
  <w:num w:numId="16">
    <w:abstractNumId w:val="12"/>
  </w:num>
  <w:num w:numId="17">
    <w:abstractNumId w:val="14"/>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B7BA6"/>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38F4"/>
    <w:rsid w:val="002A6646"/>
    <w:rsid w:val="002B1C45"/>
    <w:rsid w:val="002B2970"/>
    <w:rsid w:val="002C0B48"/>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1A"/>
    <w:rsid w:val="002F5DD8"/>
    <w:rsid w:val="002F75A3"/>
    <w:rsid w:val="002F75CD"/>
    <w:rsid w:val="002F7EB5"/>
    <w:rsid w:val="0030201F"/>
    <w:rsid w:val="00302023"/>
    <w:rsid w:val="00303C2F"/>
    <w:rsid w:val="0030558B"/>
    <w:rsid w:val="00306E87"/>
    <w:rsid w:val="00310FC2"/>
    <w:rsid w:val="003144EF"/>
    <w:rsid w:val="0031752B"/>
    <w:rsid w:val="00326292"/>
    <w:rsid w:val="00326415"/>
    <w:rsid w:val="00330937"/>
    <w:rsid w:val="00330F31"/>
    <w:rsid w:val="003326F0"/>
    <w:rsid w:val="00334648"/>
    <w:rsid w:val="00336CA6"/>
    <w:rsid w:val="0033768C"/>
    <w:rsid w:val="00337938"/>
    <w:rsid w:val="00340769"/>
    <w:rsid w:val="00341A65"/>
    <w:rsid w:val="00341AA6"/>
    <w:rsid w:val="00342E57"/>
    <w:rsid w:val="00354A9E"/>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4253"/>
    <w:rsid w:val="003F655E"/>
    <w:rsid w:val="003F74D9"/>
    <w:rsid w:val="00404EF7"/>
    <w:rsid w:val="00405DC1"/>
    <w:rsid w:val="004117B7"/>
    <w:rsid w:val="00414BF9"/>
    <w:rsid w:val="00415DFF"/>
    <w:rsid w:val="00415F1F"/>
    <w:rsid w:val="0042108F"/>
    <w:rsid w:val="004214D4"/>
    <w:rsid w:val="00426969"/>
    <w:rsid w:val="00426B64"/>
    <w:rsid w:val="00430FED"/>
    <w:rsid w:val="00434A8C"/>
    <w:rsid w:val="004350F9"/>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3822"/>
    <w:rsid w:val="004659E0"/>
    <w:rsid w:val="00470A63"/>
    <w:rsid w:val="00470C55"/>
    <w:rsid w:val="004715C1"/>
    <w:rsid w:val="00471C56"/>
    <w:rsid w:val="004731F4"/>
    <w:rsid w:val="00481FC8"/>
    <w:rsid w:val="00482FE3"/>
    <w:rsid w:val="00486065"/>
    <w:rsid w:val="00486776"/>
    <w:rsid w:val="004868BB"/>
    <w:rsid w:val="00491675"/>
    <w:rsid w:val="00493855"/>
    <w:rsid w:val="00493CB4"/>
    <w:rsid w:val="00497558"/>
    <w:rsid w:val="00497CF9"/>
    <w:rsid w:val="004A57DD"/>
    <w:rsid w:val="004A7B51"/>
    <w:rsid w:val="004A7D71"/>
    <w:rsid w:val="004A7EF3"/>
    <w:rsid w:val="004B0EBE"/>
    <w:rsid w:val="004B10C5"/>
    <w:rsid w:val="004B11FD"/>
    <w:rsid w:val="004B23A2"/>
    <w:rsid w:val="004B25E4"/>
    <w:rsid w:val="004B27D0"/>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45DF"/>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3B7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6FC"/>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C1227"/>
    <w:rsid w:val="006C7ED2"/>
    <w:rsid w:val="006D0529"/>
    <w:rsid w:val="006D564C"/>
    <w:rsid w:val="006D6BD5"/>
    <w:rsid w:val="006E1CB0"/>
    <w:rsid w:val="006E254C"/>
    <w:rsid w:val="006E481A"/>
    <w:rsid w:val="006E4E0F"/>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C7E12"/>
    <w:rsid w:val="007D0348"/>
    <w:rsid w:val="007D1E28"/>
    <w:rsid w:val="007D7C92"/>
    <w:rsid w:val="007D7E30"/>
    <w:rsid w:val="007E1154"/>
    <w:rsid w:val="007E3AA5"/>
    <w:rsid w:val="007E3ADF"/>
    <w:rsid w:val="007E530F"/>
    <w:rsid w:val="007E6BA4"/>
    <w:rsid w:val="007F19A2"/>
    <w:rsid w:val="007F41F8"/>
    <w:rsid w:val="007F6D8F"/>
    <w:rsid w:val="00804000"/>
    <w:rsid w:val="0080454E"/>
    <w:rsid w:val="00804C32"/>
    <w:rsid w:val="00806302"/>
    <w:rsid w:val="00807119"/>
    <w:rsid w:val="00811865"/>
    <w:rsid w:val="00814A55"/>
    <w:rsid w:val="0082483F"/>
    <w:rsid w:val="008279C0"/>
    <w:rsid w:val="00841E70"/>
    <w:rsid w:val="00842552"/>
    <w:rsid w:val="00844D34"/>
    <w:rsid w:val="008473AA"/>
    <w:rsid w:val="00852883"/>
    <w:rsid w:val="00852F37"/>
    <w:rsid w:val="008571F6"/>
    <w:rsid w:val="00861E51"/>
    <w:rsid w:val="008666DD"/>
    <w:rsid w:val="00870B96"/>
    <w:rsid w:val="008719B1"/>
    <w:rsid w:val="008723F3"/>
    <w:rsid w:val="00873246"/>
    <w:rsid w:val="00875E2E"/>
    <w:rsid w:val="00880F99"/>
    <w:rsid w:val="00881DA8"/>
    <w:rsid w:val="00881DE6"/>
    <w:rsid w:val="008837A6"/>
    <w:rsid w:val="0089145D"/>
    <w:rsid w:val="00896FD7"/>
    <w:rsid w:val="00897428"/>
    <w:rsid w:val="008A30C3"/>
    <w:rsid w:val="008A30EE"/>
    <w:rsid w:val="008A3111"/>
    <w:rsid w:val="008A4DF2"/>
    <w:rsid w:val="008A6841"/>
    <w:rsid w:val="008A6CFE"/>
    <w:rsid w:val="008A7B71"/>
    <w:rsid w:val="008B40E7"/>
    <w:rsid w:val="008B4681"/>
    <w:rsid w:val="008B4B58"/>
    <w:rsid w:val="008B5333"/>
    <w:rsid w:val="008B6223"/>
    <w:rsid w:val="008C4066"/>
    <w:rsid w:val="008C66E0"/>
    <w:rsid w:val="008D0122"/>
    <w:rsid w:val="008D3E17"/>
    <w:rsid w:val="008D5D34"/>
    <w:rsid w:val="008D7718"/>
    <w:rsid w:val="008E220E"/>
    <w:rsid w:val="008E3339"/>
    <w:rsid w:val="008E366A"/>
    <w:rsid w:val="008E64D3"/>
    <w:rsid w:val="008E6F11"/>
    <w:rsid w:val="008F20FC"/>
    <w:rsid w:val="008F50C4"/>
    <w:rsid w:val="008F5FFE"/>
    <w:rsid w:val="008F6834"/>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32F5"/>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4FF2"/>
    <w:rsid w:val="00A047EE"/>
    <w:rsid w:val="00A057CA"/>
    <w:rsid w:val="00A149B7"/>
    <w:rsid w:val="00A177BC"/>
    <w:rsid w:val="00A17930"/>
    <w:rsid w:val="00A2274A"/>
    <w:rsid w:val="00A235B7"/>
    <w:rsid w:val="00A249AC"/>
    <w:rsid w:val="00A27A7A"/>
    <w:rsid w:val="00A301D1"/>
    <w:rsid w:val="00A31881"/>
    <w:rsid w:val="00A407EF"/>
    <w:rsid w:val="00A411B7"/>
    <w:rsid w:val="00A42484"/>
    <w:rsid w:val="00A46B4C"/>
    <w:rsid w:val="00A5117B"/>
    <w:rsid w:val="00A560B6"/>
    <w:rsid w:val="00A56CF7"/>
    <w:rsid w:val="00A56DBC"/>
    <w:rsid w:val="00A60074"/>
    <w:rsid w:val="00A646E2"/>
    <w:rsid w:val="00A651A9"/>
    <w:rsid w:val="00A6627C"/>
    <w:rsid w:val="00A71019"/>
    <w:rsid w:val="00A71C93"/>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6D6E"/>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5CCD"/>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364"/>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6EE4"/>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3CF"/>
    <w:rsid w:val="00C72848"/>
    <w:rsid w:val="00C750BA"/>
    <w:rsid w:val="00C7736C"/>
    <w:rsid w:val="00C80272"/>
    <w:rsid w:val="00C82D87"/>
    <w:rsid w:val="00C8712A"/>
    <w:rsid w:val="00C92A0D"/>
    <w:rsid w:val="00C94ADF"/>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1E3A"/>
    <w:rsid w:val="00CE3C39"/>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0E22"/>
    <w:rsid w:val="00D4685B"/>
    <w:rsid w:val="00D57C59"/>
    <w:rsid w:val="00D60215"/>
    <w:rsid w:val="00D607A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1D1"/>
    <w:rsid w:val="00DB56F2"/>
    <w:rsid w:val="00DB5D9B"/>
    <w:rsid w:val="00DB6EF5"/>
    <w:rsid w:val="00DC2A3F"/>
    <w:rsid w:val="00DC2BEC"/>
    <w:rsid w:val="00DC2FDB"/>
    <w:rsid w:val="00DC3089"/>
    <w:rsid w:val="00DC4420"/>
    <w:rsid w:val="00DC6681"/>
    <w:rsid w:val="00DD01DA"/>
    <w:rsid w:val="00DD0802"/>
    <w:rsid w:val="00DD19C6"/>
    <w:rsid w:val="00DD1DBA"/>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36F6"/>
    <w:rsid w:val="00E37049"/>
    <w:rsid w:val="00E450A4"/>
    <w:rsid w:val="00E506BE"/>
    <w:rsid w:val="00E518B6"/>
    <w:rsid w:val="00E525B9"/>
    <w:rsid w:val="00E54ADD"/>
    <w:rsid w:val="00E55547"/>
    <w:rsid w:val="00E55E9B"/>
    <w:rsid w:val="00E6211B"/>
    <w:rsid w:val="00E6302B"/>
    <w:rsid w:val="00E64212"/>
    <w:rsid w:val="00E6452F"/>
    <w:rsid w:val="00E64F45"/>
    <w:rsid w:val="00E6742D"/>
    <w:rsid w:val="00E71CB0"/>
    <w:rsid w:val="00E74E27"/>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D6246"/>
    <w:rsid w:val="00EE1A0E"/>
    <w:rsid w:val="00EE4971"/>
    <w:rsid w:val="00EE5A48"/>
    <w:rsid w:val="00EE6390"/>
    <w:rsid w:val="00EE7278"/>
    <w:rsid w:val="00EF090E"/>
    <w:rsid w:val="00EF16B6"/>
    <w:rsid w:val="00EF1B1A"/>
    <w:rsid w:val="00EF2D08"/>
    <w:rsid w:val="00EF5705"/>
    <w:rsid w:val="00EF6653"/>
    <w:rsid w:val="00F0247A"/>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43F4"/>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C7A46-492C-4ED3-98B3-E290195D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Knight</cp:lastModifiedBy>
  <cp:revision>54</cp:revision>
  <cp:lastPrinted>2020-06-12T02:43:00Z</cp:lastPrinted>
  <dcterms:created xsi:type="dcterms:W3CDTF">2021-08-03T16:38:00Z</dcterms:created>
  <dcterms:modified xsi:type="dcterms:W3CDTF">2021-11-15T20:21:00Z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