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205B31" w:rsidRDefault="00C60631" w:rsidP="009D510C">
      <w:pPr>
        <w:pStyle w:val="ListParagraph"/>
        <w:numPr>
          <w:ilvl w:val="0"/>
          <w:numId w:val="12"/>
        </w:numPr>
        <w:ind w:left="426"/>
        <w:jc w:val="both"/>
        <w:rPr>
          <w:rFonts w:ascii="Arial" w:hAnsi="Arial" w:cs="Arial"/>
          <w:sz w:val="22"/>
          <w:szCs w:val="22"/>
          <w:lang w:val="en-GB"/>
        </w:rPr>
      </w:pPr>
      <w:r w:rsidRPr="00A27003">
        <w:rPr>
          <w:rFonts w:ascii="Arial" w:hAnsi="Arial" w:cs="Arial"/>
          <w:sz w:val="22"/>
          <w:szCs w:val="22"/>
          <w:highlight w:val="yellow"/>
          <w:lang w:val="en-GB"/>
        </w:rPr>
        <w:t xml:space="preserve">This statement is incorrect since </w:t>
      </w:r>
      <w:r w:rsidR="00E7793C" w:rsidRPr="00A27003">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205B31" w:rsidRDefault="00AE027F" w:rsidP="009D510C">
      <w:pPr>
        <w:pStyle w:val="ListParagraph"/>
        <w:numPr>
          <w:ilvl w:val="0"/>
          <w:numId w:val="13"/>
        </w:numPr>
        <w:jc w:val="both"/>
        <w:rPr>
          <w:rFonts w:ascii="Arial" w:hAnsi="Arial" w:cs="Arial"/>
          <w:sz w:val="22"/>
          <w:szCs w:val="22"/>
          <w:lang w:val="en-GB"/>
        </w:rPr>
      </w:pPr>
      <w:r w:rsidRPr="00A27003">
        <w:rPr>
          <w:rFonts w:ascii="Arial" w:hAnsi="Arial" w:cs="Arial"/>
          <w:sz w:val="22"/>
          <w:szCs w:val="22"/>
          <w:highlight w:val="yellow"/>
          <w:lang w:val="en-GB"/>
        </w:rPr>
        <w:t>The statement i</w:t>
      </w:r>
      <w:r w:rsidR="006E77B0" w:rsidRPr="00A27003">
        <w:rPr>
          <w:rFonts w:ascii="Arial" w:hAnsi="Arial" w:cs="Arial"/>
          <w:sz w:val="22"/>
          <w:szCs w:val="22"/>
          <w:highlight w:val="yellow"/>
          <w:lang w:val="en-GB"/>
        </w:rPr>
        <w:t>s incorrect since the UK did re</w:t>
      </w:r>
      <w:r w:rsidRPr="00A27003">
        <w:rPr>
          <w:rFonts w:ascii="Arial" w:hAnsi="Arial" w:cs="Arial"/>
          <w:sz w:val="22"/>
          <w:szCs w:val="22"/>
          <w:highlight w:val="yellow"/>
          <w:lang w:val="en-GB"/>
        </w:rPr>
        <w:t>v</w:t>
      </w:r>
      <w:r w:rsidR="006E77B0" w:rsidRPr="00A27003">
        <w:rPr>
          <w:rFonts w:ascii="Arial" w:hAnsi="Arial" w:cs="Arial"/>
          <w:sz w:val="22"/>
          <w:szCs w:val="22"/>
          <w:highlight w:val="yellow"/>
          <w:lang w:val="en-GB"/>
        </w:rPr>
        <w:t>i</w:t>
      </w:r>
      <w:r w:rsidRPr="00A27003">
        <w:rPr>
          <w:rFonts w:ascii="Arial" w:hAnsi="Arial" w:cs="Arial"/>
          <w:sz w:val="22"/>
          <w:szCs w:val="22"/>
          <w:highlight w:val="yellow"/>
          <w:lang w:val="en-GB"/>
        </w:rPr>
        <w:t>ew parts of its insolvency rules and amended some, among</w:t>
      </w:r>
      <w:r w:rsidR="006E77B0" w:rsidRPr="00A27003">
        <w:rPr>
          <w:rFonts w:ascii="Arial" w:hAnsi="Arial" w:cs="Arial"/>
          <w:sz w:val="22"/>
          <w:szCs w:val="22"/>
          <w:highlight w:val="yellow"/>
          <w:lang w:val="en-GB"/>
        </w:rPr>
        <w:t>s</w:t>
      </w:r>
      <w:r w:rsidRPr="00A27003">
        <w:rPr>
          <w:rFonts w:ascii="Arial" w:hAnsi="Arial" w:cs="Arial"/>
          <w:sz w:val="22"/>
          <w:szCs w:val="22"/>
          <w:highlight w:val="yellow"/>
          <w:lang w:val="en-GB"/>
        </w:rPr>
        <w:t>t other</w:t>
      </w:r>
      <w:r w:rsidR="00F96AF1" w:rsidRPr="00A27003">
        <w:rPr>
          <w:rFonts w:ascii="Arial" w:hAnsi="Arial" w:cs="Arial"/>
          <w:sz w:val="22"/>
          <w:szCs w:val="22"/>
          <w:highlight w:val="yellow"/>
          <w:lang w:val="en-GB"/>
        </w:rPr>
        <w:t xml:space="preserve"> things</w:t>
      </w:r>
      <w:r w:rsidRPr="00A27003">
        <w:rPr>
          <w:rFonts w:ascii="Arial" w:hAnsi="Arial" w:cs="Arial"/>
          <w:sz w:val="22"/>
          <w:szCs w:val="22"/>
          <w:highlight w:val="yellow"/>
          <w:lang w:val="en-GB"/>
        </w:rPr>
        <w:t>, to deal with the negative economic fall out of the pandemic.</w:t>
      </w:r>
      <w:r w:rsidR="00100A77">
        <w:rPr>
          <w:rFonts w:ascii="Arial" w:hAnsi="Arial" w:cs="Arial"/>
          <w:sz w:val="22"/>
          <w:szCs w:val="22"/>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205B31" w:rsidRDefault="00B54F90" w:rsidP="009D510C">
      <w:pPr>
        <w:pStyle w:val="ListParagraph"/>
        <w:numPr>
          <w:ilvl w:val="0"/>
          <w:numId w:val="14"/>
        </w:numPr>
        <w:ind w:left="426"/>
        <w:jc w:val="both"/>
        <w:rPr>
          <w:rFonts w:ascii="Arial" w:hAnsi="Arial" w:cs="Arial"/>
          <w:sz w:val="22"/>
          <w:szCs w:val="22"/>
          <w:lang w:val="en-GB"/>
        </w:rPr>
      </w:pPr>
      <w:r w:rsidRPr="00A27003">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A27003">
        <w:rPr>
          <w:rFonts w:ascii="Arial" w:hAnsi="Arial" w:cs="Arial"/>
          <w:sz w:val="22"/>
          <w:szCs w:val="22"/>
          <w:highlight w:val="yellow"/>
          <w:lang w:val="en-GB"/>
        </w:rPr>
        <w:t xml:space="preserve">on </w:t>
      </w:r>
      <w:r w:rsidRPr="00A27003">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A27003">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05B31" w:rsidRDefault="00926D10" w:rsidP="009D510C">
      <w:pPr>
        <w:pStyle w:val="ListParagraph"/>
        <w:numPr>
          <w:ilvl w:val="0"/>
          <w:numId w:val="5"/>
        </w:numPr>
        <w:ind w:left="426"/>
        <w:jc w:val="both"/>
        <w:rPr>
          <w:rFonts w:ascii="Arial" w:hAnsi="Arial" w:cs="Arial"/>
          <w:sz w:val="22"/>
          <w:szCs w:val="22"/>
          <w:lang w:val="en-GB"/>
        </w:rPr>
      </w:pPr>
      <w:r w:rsidRPr="00A27003">
        <w:rPr>
          <w:rFonts w:ascii="Arial" w:hAnsi="Arial" w:cs="Arial"/>
          <w:sz w:val="22"/>
          <w:szCs w:val="22"/>
          <w:highlight w:val="yellow"/>
          <w:lang w:val="en-GB"/>
        </w:rPr>
        <w:t xml:space="preserve">The statement is </w:t>
      </w:r>
      <w:r w:rsidR="006E1CB0" w:rsidRPr="00A27003">
        <w:rPr>
          <w:rFonts w:ascii="Arial" w:hAnsi="Arial" w:cs="Arial"/>
          <w:sz w:val="22"/>
          <w:szCs w:val="22"/>
          <w:highlight w:val="yellow"/>
          <w:lang w:val="en-GB"/>
        </w:rPr>
        <w:t xml:space="preserve">not </w:t>
      </w:r>
      <w:r w:rsidRPr="00A27003">
        <w:rPr>
          <w:rFonts w:ascii="Arial" w:hAnsi="Arial" w:cs="Arial"/>
          <w:sz w:val="22"/>
          <w:szCs w:val="22"/>
          <w:highlight w:val="yellow"/>
          <w:lang w:val="en-GB"/>
        </w:rPr>
        <w:t xml:space="preserve">correct </w:t>
      </w:r>
      <w:r w:rsidR="007958F0" w:rsidRPr="00A27003">
        <w:rPr>
          <w:rFonts w:ascii="Arial" w:hAnsi="Arial" w:cs="Arial"/>
          <w:sz w:val="22"/>
          <w:szCs w:val="22"/>
          <w:highlight w:val="yellow"/>
          <w:lang w:val="en-GB"/>
        </w:rPr>
        <w:t>because</w:t>
      </w:r>
      <w:r w:rsidRPr="00A27003">
        <w:rPr>
          <w:rFonts w:ascii="Arial" w:hAnsi="Arial" w:cs="Arial"/>
          <w:sz w:val="22"/>
          <w:szCs w:val="22"/>
          <w:highlight w:val="yellow"/>
          <w:lang w:val="en-GB"/>
        </w:rPr>
        <w:t xml:space="preserve"> very few </w:t>
      </w:r>
      <w:r w:rsidR="007958F0" w:rsidRPr="00A27003">
        <w:rPr>
          <w:rFonts w:ascii="Arial" w:hAnsi="Arial" w:cs="Arial"/>
          <w:sz w:val="22"/>
          <w:szCs w:val="22"/>
          <w:highlight w:val="yellow"/>
          <w:lang w:val="en-GB"/>
        </w:rPr>
        <w:t>States</w:t>
      </w:r>
      <w:r w:rsidRPr="00A27003">
        <w:rPr>
          <w:rFonts w:ascii="Arial" w:hAnsi="Arial" w:cs="Arial"/>
          <w:sz w:val="22"/>
          <w:szCs w:val="22"/>
          <w:highlight w:val="yellow"/>
          <w:lang w:val="en-GB"/>
        </w:rPr>
        <w:t xml:space="preserve"> allow insolvent estate representatives to deal with assets of a foreign debtor situated in </w:t>
      </w:r>
      <w:r w:rsidR="005936B3" w:rsidRPr="00A27003">
        <w:rPr>
          <w:rFonts w:ascii="Arial" w:hAnsi="Arial" w:cs="Arial"/>
          <w:sz w:val="22"/>
          <w:szCs w:val="22"/>
          <w:highlight w:val="yellow"/>
          <w:lang w:val="en-GB"/>
        </w:rPr>
        <w:t>their own</w:t>
      </w:r>
      <w:r w:rsidRPr="00A27003">
        <w:rPr>
          <w:rFonts w:ascii="Arial" w:hAnsi="Arial" w:cs="Arial"/>
          <w:sz w:val="22"/>
          <w:szCs w:val="22"/>
          <w:highlight w:val="yellow"/>
          <w:lang w:val="en-GB"/>
        </w:rPr>
        <w:t xml:space="preserve"> jurisdiction without </w:t>
      </w:r>
      <w:r w:rsidR="006E1CB0" w:rsidRPr="00A27003">
        <w:rPr>
          <w:rFonts w:ascii="Arial" w:hAnsi="Arial" w:cs="Arial"/>
          <w:sz w:val="22"/>
          <w:szCs w:val="22"/>
          <w:highlight w:val="yellow"/>
          <w:lang w:val="en-GB"/>
        </w:rPr>
        <w:t xml:space="preserve">some form of </w:t>
      </w:r>
      <w:r w:rsidR="0090037B" w:rsidRPr="00A27003">
        <w:rPr>
          <w:rFonts w:ascii="Arial" w:hAnsi="Arial" w:cs="Arial"/>
          <w:sz w:val="22"/>
          <w:szCs w:val="22"/>
          <w:highlight w:val="yellow"/>
          <w:lang w:val="en-GB"/>
        </w:rPr>
        <w:t xml:space="preserve">a </w:t>
      </w:r>
      <w:r w:rsidR="006E1CB0" w:rsidRPr="00A27003">
        <w:rPr>
          <w:rFonts w:ascii="Arial" w:hAnsi="Arial" w:cs="Arial"/>
          <w:sz w:val="22"/>
          <w:szCs w:val="22"/>
          <w:highlight w:val="yellow"/>
          <w:lang w:val="en-GB"/>
        </w:rPr>
        <w:t>(</w:t>
      </w:r>
      <w:r w:rsidR="0090037B" w:rsidRPr="00A27003">
        <w:rPr>
          <w:rFonts w:ascii="Arial" w:hAnsi="Arial" w:cs="Arial"/>
          <w:sz w:val="22"/>
          <w:szCs w:val="22"/>
          <w:highlight w:val="yellow"/>
          <w:lang w:val="en-GB"/>
        </w:rPr>
        <w:t>prior</w:t>
      </w:r>
      <w:r w:rsidR="006E1CB0" w:rsidRPr="00A27003">
        <w:rPr>
          <w:rFonts w:ascii="Arial" w:hAnsi="Arial" w:cs="Arial"/>
          <w:sz w:val="22"/>
          <w:szCs w:val="22"/>
          <w:highlight w:val="yellow"/>
          <w:lang w:val="en-GB"/>
        </w:rPr>
        <w:t>)</w:t>
      </w:r>
      <w:r w:rsidRPr="00A27003">
        <w:rPr>
          <w:rFonts w:ascii="Arial" w:hAnsi="Arial" w:cs="Arial"/>
          <w:sz w:val="22"/>
          <w:szCs w:val="22"/>
          <w:highlight w:val="yellow"/>
          <w:lang w:val="en-GB"/>
        </w:rPr>
        <w:t xml:space="preserve"> local procedure </w:t>
      </w:r>
      <w:r w:rsidR="005936B3" w:rsidRPr="00A27003">
        <w:rPr>
          <w:rFonts w:ascii="Arial" w:hAnsi="Arial" w:cs="Arial"/>
          <w:sz w:val="22"/>
          <w:szCs w:val="22"/>
          <w:highlight w:val="yellow"/>
          <w:lang w:val="en-GB"/>
        </w:rPr>
        <w:t xml:space="preserve">to </w:t>
      </w:r>
      <w:r w:rsidRPr="00A27003">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205B31" w:rsidRDefault="000329A6" w:rsidP="00C570AC">
      <w:pPr>
        <w:pStyle w:val="ListParagraph"/>
        <w:numPr>
          <w:ilvl w:val="0"/>
          <w:numId w:val="6"/>
        </w:numPr>
        <w:ind w:left="426"/>
        <w:jc w:val="both"/>
        <w:rPr>
          <w:rFonts w:ascii="Arial" w:hAnsi="Arial" w:cs="Arial"/>
          <w:sz w:val="22"/>
          <w:szCs w:val="22"/>
          <w:lang w:val="en-GB"/>
        </w:rPr>
      </w:pPr>
      <w:r w:rsidRPr="003E2478">
        <w:rPr>
          <w:rFonts w:ascii="Arial" w:eastAsiaTheme="minorHAnsi" w:hAnsi="Arial" w:cs="Arial"/>
          <w:sz w:val="22"/>
          <w:szCs w:val="22"/>
          <w:highlight w:val="yellow"/>
          <w:lang w:val="en-GB"/>
        </w:rPr>
        <w:t xml:space="preserve">They were recently revised in 2021 and, together with the </w:t>
      </w:r>
      <w:r w:rsidRPr="003E2478">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3E2478">
        <w:rPr>
          <w:rFonts w:ascii="Arial" w:eastAsiaTheme="minorHAnsi" w:hAnsi="Arial" w:cs="Arial"/>
          <w:sz w:val="22"/>
          <w:szCs w:val="22"/>
          <w:highlight w:val="yellow"/>
          <w:lang w:val="en-GB"/>
        </w:rPr>
        <w:t xml:space="preserve">The Nordic Convention </w:t>
      </w:r>
      <w:r w:rsidR="00076483" w:rsidRPr="003E2478">
        <w:rPr>
          <w:rFonts w:ascii="Arial" w:eastAsiaTheme="minorHAnsi" w:hAnsi="Arial" w:cs="Arial"/>
          <w:sz w:val="22"/>
          <w:szCs w:val="22"/>
          <w:highlight w:val="yellow"/>
          <w:lang w:val="en-GB"/>
        </w:rPr>
        <w:t>1933</w:t>
      </w:r>
      <w:r w:rsidR="00966E44" w:rsidRPr="003E2478">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205B31" w:rsidRDefault="00124B70" w:rsidP="00275182">
      <w:pPr>
        <w:pStyle w:val="ListParagraph"/>
        <w:numPr>
          <w:ilvl w:val="0"/>
          <w:numId w:val="8"/>
        </w:numPr>
        <w:ind w:left="426"/>
        <w:jc w:val="both"/>
        <w:rPr>
          <w:rFonts w:ascii="Arial" w:hAnsi="Arial" w:cs="Arial"/>
          <w:sz w:val="22"/>
          <w:szCs w:val="22"/>
          <w:lang w:val="en-GB"/>
        </w:rPr>
      </w:pPr>
      <w:r w:rsidRPr="001F42F3">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05B31" w:rsidRDefault="00E86549" w:rsidP="00275182">
      <w:pPr>
        <w:pStyle w:val="ListParagraph"/>
        <w:numPr>
          <w:ilvl w:val="0"/>
          <w:numId w:val="9"/>
        </w:numPr>
        <w:ind w:left="426"/>
        <w:jc w:val="both"/>
        <w:rPr>
          <w:rFonts w:ascii="Arial" w:hAnsi="Arial" w:cs="Arial"/>
          <w:bCs/>
          <w:sz w:val="22"/>
          <w:szCs w:val="22"/>
          <w:lang w:val="en-GB"/>
        </w:rPr>
      </w:pPr>
      <w:r w:rsidRPr="00215A76">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15A76">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205B31" w:rsidRDefault="00911C23" w:rsidP="00275182">
      <w:pPr>
        <w:pStyle w:val="ListParagraph"/>
        <w:numPr>
          <w:ilvl w:val="0"/>
          <w:numId w:val="10"/>
        </w:numPr>
        <w:ind w:left="426"/>
        <w:jc w:val="both"/>
        <w:rPr>
          <w:rFonts w:ascii="Arial" w:hAnsi="Arial" w:cs="Arial"/>
          <w:sz w:val="22"/>
          <w:szCs w:val="22"/>
          <w:lang w:val="en-GB"/>
        </w:rPr>
      </w:pPr>
      <w:r w:rsidRPr="00215A76">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76782E76" w14:textId="6A078718" w:rsidR="00DF78F9" w:rsidRDefault="009B07AD" w:rsidP="00B7193E">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2063B7">
        <w:rPr>
          <w:rFonts w:ascii="Arial" w:hAnsi="Arial" w:cs="Arial"/>
          <w:color w:val="7B7B7B" w:themeColor="accent3" w:themeShade="BF"/>
          <w:sz w:val="22"/>
          <w:szCs w:val="22"/>
          <w:lang w:val="en-GB"/>
        </w:rPr>
        <w:t>(a)</w:t>
      </w:r>
      <w:r w:rsidR="002063B7">
        <w:rPr>
          <w:rFonts w:ascii="Arial" w:hAnsi="Arial" w:cs="Arial"/>
          <w:color w:val="7B7B7B" w:themeColor="accent3" w:themeShade="BF"/>
          <w:sz w:val="22"/>
          <w:szCs w:val="22"/>
          <w:lang w:val="en-GB"/>
        </w:rPr>
        <w:tab/>
      </w:r>
      <w:r w:rsidR="00DF78F9">
        <w:rPr>
          <w:rFonts w:ascii="Arial" w:hAnsi="Arial" w:cs="Arial"/>
          <w:color w:val="7B7B7B" w:themeColor="accent3" w:themeShade="BF"/>
          <w:sz w:val="22"/>
          <w:szCs w:val="22"/>
          <w:lang w:val="en-GB"/>
        </w:rPr>
        <w:t>T</w:t>
      </w:r>
      <w:r w:rsidR="00643C6D">
        <w:rPr>
          <w:rFonts w:ascii="Arial" w:hAnsi="Arial" w:cs="Arial"/>
          <w:color w:val="7B7B7B" w:themeColor="accent3" w:themeShade="BF"/>
          <w:sz w:val="22"/>
          <w:szCs w:val="22"/>
          <w:lang w:val="en-GB"/>
        </w:rPr>
        <w:t xml:space="preserve">he Statute of </w:t>
      </w:r>
      <w:proofErr w:type="spellStart"/>
      <w:r w:rsidR="00643C6D">
        <w:rPr>
          <w:rFonts w:ascii="Arial" w:hAnsi="Arial" w:cs="Arial"/>
          <w:color w:val="7B7B7B" w:themeColor="accent3" w:themeShade="BF"/>
          <w:sz w:val="22"/>
          <w:szCs w:val="22"/>
          <w:lang w:val="en-GB"/>
        </w:rPr>
        <w:t>Marlb</w:t>
      </w:r>
      <w:r w:rsidR="002C30AD">
        <w:rPr>
          <w:rFonts w:ascii="Arial" w:hAnsi="Arial" w:cs="Arial"/>
          <w:color w:val="7B7B7B" w:themeColor="accent3" w:themeShade="BF"/>
          <w:sz w:val="22"/>
          <w:szCs w:val="22"/>
          <w:lang w:val="en-GB"/>
        </w:rPr>
        <w:t>r</w:t>
      </w:r>
      <w:r w:rsidR="00643C6D">
        <w:rPr>
          <w:rFonts w:ascii="Arial" w:hAnsi="Arial" w:cs="Arial"/>
          <w:color w:val="7B7B7B" w:themeColor="accent3" w:themeShade="BF"/>
          <w:sz w:val="22"/>
          <w:szCs w:val="22"/>
          <w:lang w:val="en-GB"/>
        </w:rPr>
        <w:t>idge</w:t>
      </w:r>
      <w:proofErr w:type="spellEnd"/>
      <w:r w:rsidR="00643C6D">
        <w:rPr>
          <w:rFonts w:ascii="Arial" w:hAnsi="Arial" w:cs="Arial"/>
          <w:color w:val="7B7B7B" w:themeColor="accent3" w:themeShade="BF"/>
          <w:sz w:val="22"/>
          <w:szCs w:val="22"/>
          <w:lang w:val="en-GB"/>
        </w:rPr>
        <w:t xml:space="preserve"> 1267</w:t>
      </w:r>
      <w:r w:rsidR="00DF78F9">
        <w:rPr>
          <w:rFonts w:ascii="Arial" w:hAnsi="Arial" w:cs="Arial"/>
          <w:color w:val="7B7B7B" w:themeColor="accent3" w:themeShade="BF"/>
          <w:sz w:val="22"/>
          <w:szCs w:val="22"/>
          <w:lang w:val="en-GB"/>
        </w:rPr>
        <w:t xml:space="preserve"> introduced imprisonment for non-payment of debt.</w:t>
      </w:r>
    </w:p>
    <w:p w14:paraId="118D0BCB" w14:textId="0C8BB7A7" w:rsidR="00DF78F9" w:rsidRDefault="00DF78F9" w:rsidP="00B7193E">
      <w:pPr>
        <w:ind w:left="720" w:hanging="720"/>
        <w:jc w:val="both"/>
        <w:rPr>
          <w:rFonts w:ascii="Arial" w:hAnsi="Arial" w:cs="Arial"/>
          <w:color w:val="7B7B7B" w:themeColor="accent3" w:themeShade="BF"/>
          <w:sz w:val="22"/>
          <w:szCs w:val="22"/>
          <w:lang w:val="en-GB"/>
        </w:rPr>
      </w:pPr>
    </w:p>
    <w:p w14:paraId="67112A0D" w14:textId="7AE27DAC" w:rsidR="00DF78F9" w:rsidRDefault="002063B7"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DF78F9">
        <w:rPr>
          <w:rFonts w:ascii="Arial" w:hAnsi="Arial" w:cs="Arial"/>
          <w:color w:val="7B7B7B" w:themeColor="accent3" w:themeShade="BF"/>
          <w:sz w:val="22"/>
          <w:szCs w:val="22"/>
          <w:lang w:val="en-GB"/>
        </w:rPr>
        <w:t>In the 1570 Act. the administration of the estate of bankrupts (performed by commissioners prior to this) was transferred to the jurisdiction of the Lord Chancellor.</w:t>
      </w:r>
    </w:p>
    <w:p w14:paraId="207AC3B0" w14:textId="77777777" w:rsidR="00E373DA" w:rsidRDefault="00E373DA" w:rsidP="00B7193E">
      <w:pPr>
        <w:ind w:left="720" w:hanging="720"/>
        <w:jc w:val="both"/>
        <w:rPr>
          <w:rFonts w:ascii="Arial" w:hAnsi="Arial" w:cs="Arial"/>
          <w:color w:val="7B7B7B" w:themeColor="accent3" w:themeShade="BF"/>
          <w:sz w:val="22"/>
          <w:szCs w:val="22"/>
          <w:lang w:val="en-GB"/>
        </w:rPr>
      </w:pPr>
    </w:p>
    <w:p w14:paraId="1579601C" w14:textId="5B4074F7" w:rsidR="00DF78F9" w:rsidRDefault="002063B7"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E373DA">
        <w:rPr>
          <w:rFonts w:ascii="Arial" w:hAnsi="Arial" w:cs="Arial"/>
          <w:color w:val="7B7B7B" w:themeColor="accent3" w:themeShade="BF"/>
          <w:sz w:val="22"/>
          <w:szCs w:val="22"/>
          <w:lang w:val="en-GB"/>
        </w:rPr>
        <w:t>The Statute of Ann of 1705 introduced the concept of a statutory discharge.</w:t>
      </w:r>
    </w:p>
    <w:p w14:paraId="006170EC" w14:textId="77777777" w:rsidR="00E373DA" w:rsidRDefault="00E373DA" w:rsidP="00B7193E">
      <w:pPr>
        <w:ind w:left="720" w:hanging="720"/>
        <w:jc w:val="both"/>
        <w:rPr>
          <w:rFonts w:ascii="Arial" w:hAnsi="Arial" w:cs="Arial"/>
          <w:color w:val="7B7B7B" w:themeColor="accent3" w:themeShade="BF"/>
          <w:sz w:val="22"/>
          <w:szCs w:val="22"/>
          <w:lang w:val="en-GB"/>
        </w:rPr>
      </w:pPr>
    </w:p>
    <w:p w14:paraId="57BCFC30" w14:textId="764AD77C" w:rsidR="009B07AD" w:rsidRPr="00205B31" w:rsidRDefault="002063B7"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r>
      <w:r w:rsidR="00DF78F9">
        <w:rPr>
          <w:rFonts w:ascii="Arial" w:hAnsi="Arial" w:cs="Arial"/>
          <w:color w:val="7B7B7B" w:themeColor="accent3" w:themeShade="BF"/>
          <w:sz w:val="22"/>
          <w:szCs w:val="22"/>
          <w:lang w:val="en-GB"/>
        </w:rPr>
        <w:t>Imprisonment was abolished in 1869 by the Debtor’s Act.</w:t>
      </w:r>
      <w:r w:rsidR="00C7316D">
        <w:rPr>
          <w:rFonts w:ascii="Arial" w:hAnsi="Arial" w:cs="Arial"/>
          <w:color w:val="7B7B7B" w:themeColor="accent3" w:themeShade="BF"/>
          <w:sz w:val="22"/>
          <w:szCs w:val="22"/>
          <w:lang w:val="en-GB"/>
        </w:rPr>
        <w:t xml:space="preserve"> The next significant development after this was the act of 1883.</w:t>
      </w:r>
      <w:r w:rsidR="009B07AD" w:rsidRPr="00205B31">
        <w:rPr>
          <w:rFonts w:ascii="Arial" w:hAnsi="Arial" w:cs="Arial"/>
          <w:color w:val="7B7B7B" w:themeColor="accent3" w:themeShade="BF"/>
          <w:sz w:val="22"/>
          <w:szCs w:val="22"/>
          <w:lang w:val="en-GB"/>
        </w:rPr>
        <w:t>]</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6EEF547B" w14:textId="61C63C03" w:rsidR="00DE6FB5" w:rsidRDefault="009B07AD" w:rsidP="00B7193E">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2063B7">
        <w:rPr>
          <w:rFonts w:ascii="Arial" w:hAnsi="Arial" w:cs="Arial"/>
          <w:color w:val="7B7B7B" w:themeColor="accent3" w:themeShade="BF"/>
          <w:sz w:val="22"/>
          <w:szCs w:val="22"/>
          <w:lang w:val="en-GB"/>
        </w:rPr>
        <w:t>(a)</w:t>
      </w:r>
      <w:r w:rsidR="002063B7">
        <w:rPr>
          <w:rFonts w:ascii="Arial" w:hAnsi="Arial" w:cs="Arial"/>
          <w:color w:val="7B7B7B" w:themeColor="accent3" w:themeShade="BF"/>
          <w:sz w:val="22"/>
          <w:szCs w:val="22"/>
          <w:lang w:val="en-GB"/>
        </w:rPr>
        <w:tab/>
      </w:r>
      <w:r w:rsidR="00FB10B3">
        <w:rPr>
          <w:rFonts w:ascii="Arial" w:hAnsi="Arial" w:cs="Arial"/>
          <w:color w:val="7B7B7B" w:themeColor="accent3" w:themeShade="BF"/>
          <w:sz w:val="22"/>
          <w:szCs w:val="22"/>
          <w:lang w:val="en-GB"/>
        </w:rPr>
        <w:t xml:space="preserve">The </w:t>
      </w:r>
      <w:r w:rsidR="005C65BB">
        <w:rPr>
          <w:rFonts w:ascii="Arial" w:hAnsi="Arial" w:cs="Arial"/>
          <w:color w:val="7B7B7B" w:themeColor="accent3" w:themeShade="BF"/>
          <w:sz w:val="22"/>
          <w:szCs w:val="22"/>
          <w:lang w:val="en-GB"/>
        </w:rPr>
        <w:t>Corporate Insolvency and Governance Act 2020</w:t>
      </w:r>
      <w:r w:rsidR="00FB10B3">
        <w:rPr>
          <w:rFonts w:ascii="Arial" w:hAnsi="Arial" w:cs="Arial"/>
          <w:color w:val="7B7B7B" w:themeColor="accent3" w:themeShade="BF"/>
          <w:sz w:val="22"/>
          <w:szCs w:val="22"/>
          <w:lang w:val="en-GB"/>
        </w:rPr>
        <w:t xml:space="preserve"> was passed into law</w:t>
      </w:r>
      <w:r w:rsidR="00F93ACF">
        <w:rPr>
          <w:rFonts w:ascii="Arial" w:hAnsi="Arial" w:cs="Arial"/>
          <w:color w:val="7B7B7B" w:themeColor="accent3" w:themeShade="BF"/>
          <w:sz w:val="22"/>
          <w:szCs w:val="22"/>
          <w:lang w:val="en-GB"/>
        </w:rPr>
        <w:t xml:space="preserve"> on 26 June 2020</w:t>
      </w:r>
      <w:r w:rsidR="00DE6FB5">
        <w:rPr>
          <w:rFonts w:ascii="Arial" w:hAnsi="Arial" w:cs="Arial"/>
          <w:color w:val="7B7B7B" w:themeColor="accent3" w:themeShade="BF"/>
          <w:sz w:val="22"/>
          <w:szCs w:val="22"/>
          <w:lang w:val="en-GB"/>
        </w:rPr>
        <w:t>. The 3 insolvency and insolvency-related measures introduced by this legislation are as follows:</w:t>
      </w:r>
    </w:p>
    <w:p w14:paraId="024EBBE7" w14:textId="77777777" w:rsidR="00DE6FB5" w:rsidRDefault="00DE6FB5" w:rsidP="00B7193E">
      <w:pPr>
        <w:ind w:left="720" w:hanging="720"/>
        <w:jc w:val="both"/>
        <w:rPr>
          <w:rFonts w:ascii="Arial" w:hAnsi="Arial" w:cs="Arial"/>
          <w:color w:val="7B7B7B" w:themeColor="accent3" w:themeShade="BF"/>
          <w:sz w:val="22"/>
          <w:szCs w:val="22"/>
          <w:lang w:val="en-GB"/>
        </w:rPr>
      </w:pPr>
    </w:p>
    <w:p w14:paraId="45554A33" w14:textId="16BBB2D0" w:rsidR="007C6568" w:rsidRDefault="002063B7"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DE6FB5">
        <w:rPr>
          <w:rFonts w:ascii="Arial" w:hAnsi="Arial" w:cs="Arial"/>
          <w:color w:val="7B7B7B" w:themeColor="accent3" w:themeShade="BF"/>
          <w:sz w:val="22"/>
          <w:szCs w:val="22"/>
          <w:lang w:val="en-GB"/>
        </w:rPr>
        <w:t xml:space="preserve">Termination of supply contracts </w:t>
      </w:r>
      <w:r w:rsidR="0030654F">
        <w:rPr>
          <w:rFonts w:ascii="Arial" w:hAnsi="Arial" w:cs="Arial"/>
          <w:color w:val="7B7B7B" w:themeColor="accent3" w:themeShade="BF"/>
          <w:sz w:val="22"/>
          <w:szCs w:val="22"/>
          <w:lang w:val="en-GB"/>
        </w:rPr>
        <w:t xml:space="preserve">are prohibited when there is an insolvency situation such as where a company </w:t>
      </w:r>
      <w:proofErr w:type="gramStart"/>
      <w:r w:rsidR="0030654F">
        <w:rPr>
          <w:rFonts w:ascii="Arial" w:hAnsi="Arial" w:cs="Arial"/>
          <w:color w:val="7B7B7B" w:themeColor="accent3" w:themeShade="BF"/>
          <w:sz w:val="22"/>
          <w:szCs w:val="22"/>
          <w:lang w:val="en-GB"/>
        </w:rPr>
        <w:t>enters into</w:t>
      </w:r>
      <w:proofErr w:type="gramEnd"/>
      <w:r w:rsidR="0030654F">
        <w:rPr>
          <w:rFonts w:ascii="Arial" w:hAnsi="Arial" w:cs="Arial"/>
          <w:color w:val="7B7B7B" w:themeColor="accent3" w:themeShade="BF"/>
          <w:sz w:val="22"/>
          <w:szCs w:val="22"/>
          <w:lang w:val="en-GB"/>
        </w:rPr>
        <w:t xml:space="preserve"> administration. Suppliers may be excused </w:t>
      </w:r>
      <w:proofErr w:type="spellStart"/>
      <w:r w:rsidR="0030654F">
        <w:rPr>
          <w:rFonts w:ascii="Arial" w:hAnsi="Arial" w:cs="Arial"/>
          <w:color w:val="7B7B7B" w:themeColor="accent3" w:themeShade="BF"/>
          <w:sz w:val="22"/>
          <w:szCs w:val="22"/>
          <w:lang w:val="en-GB"/>
        </w:rPr>
        <w:t>rom</w:t>
      </w:r>
      <w:proofErr w:type="spellEnd"/>
      <w:r w:rsidR="0030654F">
        <w:rPr>
          <w:rFonts w:ascii="Arial" w:hAnsi="Arial" w:cs="Arial"/>
          <w:color w:val="7B7B7B" w:themeColor="accent3" w:themeShade="BF"/>
          <w:sz w:val="22"/>
          <w:szCs w:val="22"/>
          <w:lang w:val="en-GB"/>
        </w:rPr>
        <w:t xml:space="preserve"> performing their obligations if performance of obligations causes hardship to the supplier’s business.  </w:t>
      </w:r>
    </w:p>
    <w:p w14:paraId="1BDF308B" w14:textId="77777777" w:rsidR="007C6568" w:rsidRDefault="007C6568" w:rsidP="00B7193E">
      <w:pPr>
        <w:ind w:left="720" w:hanging="720"/>
        <w:jc w:val="both"/>
        <w:rPr>
          <w:rFonts w:ascii="Arial" w:hAnsi="Arial" w:cs="Arial"/>
          <w:color w:val="7B7B7B" w:themeColor="accent3" w:themeShade="BF"/>
          <w:sz w:val="22"/>
          <w:szCs w:val="22"/>
          <w:lang w:val="en-GB"/>
        </w:rPr>
      </w:pPr>
    </w:p>
    <w:p w14:paraId="2F57801B" w14:textId="362663D3" w:rsidR="009B07AD" w:rsidRPr="00205B31" w:rsidRDefault="002063B7"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386E95">
        <w:rPr>
          <w:rFonts w:ascii="Arial" w:hAnsi="Arial" w:cs="Arial"/>
          <w:color w:val="7B7B7B" w:themeColor="accent3" w:themeShade="BF"/>
          <w:sz w:val="22"/>
          <w:szCs w:val="22"/>
          <w:lang w:val="en-GB"/>
        </w:rPr>
        <w:t>Moratorium period for non-finance pre-moratorium debts may be triggered by a company in certain situations such as a company that is seeking a rescue or restructuring, a licensed insolvency practitioner will supervise the company and represent the creditors’ interes</w:t>
      </w:r>
      <w:r w:rsidR="00E374EC">
        <w:rPr>
          <w:rFonts w:ascii="Arial" w:hAnsi="Arial" w:cs="Arial"/>
          <w:color w:val="7B7B7B" w:themeColor="accent3" w:themeShade="BF"/>
          <w:sz w:val="22"/>
          <w:szCs w:val="22"/>
          <w:lang w:val="en-GB"/>
        </w:rPr>
        <w:t>t. The insolvency practitioner verifies that the rescue of the company as a going concern is likely, approves sales of assets outside the ordinary course of business and approves the grant of new security over assets.</w:t>
      </w:r>
      <w:r w:rsidR="009B07AD" w:rsidRPr="00205B31">
        <w:rPr>
          <w:rFonts w:ascii="Arial" w:hAnsi="Arial" w:cs="Arial"/>
          <w:color w:val="7B7B7B" w:themeColor="accent3" w:themeShade="BF"/>
          <w:sz w:val="22"/>
          <w:szCs w:val="22"/>
          <w:lang w:val="en-GB"/>
        </w:rPr>
        <w:t>]</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74052256"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0E3F2127" w14:textId="711815F8" w:rsidR="00BF0EA2" w:rsidRDefault="00C72848" w:rsidP="00B7193E">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71591C">
        <w:rPr>
          <w:rFonts w:ascii="Arial" w:hAnsi="Arial" w:cs="Arial"/>
          <w:color w:val="7B7B7B" w:themeColor="accent3" w:themeShade="BF"/>
          <w:sz w:val="22"/>
          <w:szCs w:val="22"/>
          <w:lang w:val="en-GB"/>
        </w:rPr>
        <w:t>(a)</w:t>
      </w:r>
      <w:r w:rsidR="0071591C">
        <w:rPr>
          <w:rFonts w:ascii="Arial" w:hAnsi="Arial" w:cs="Arial"/>
          <w:color w:val="7B7B7B" w:themeColor="accent3" w:themeShade="BF"/>
          <w:sz w:val="22"/>
          <w:szCs w:val="22"/>
          <w:lang w:val="en-GB"/>
        </w:rPr>
        <w:tab/>
      </w:r>
      <w:r w:rsidR="00BF0EA2">
        <w:rPr>
          <w:rFonts w:ascii="Arial" w:hAnsi="Arial" w:cs="Arial"/>
          <w:color w:val="7B7B7B" w:themeColor="accent3" w:themeShade="BF"/>
          <w:sz w:val="22"/>
          <w:szCs w:val="22"/>
          <w:lang w:val="en-GB"/>
        </w:rPr>
        <w:t xml:space="preserve">Treaties are </w:t>
      </w:r>
      <w:r w:rsidR="00533A7B">
        <w:rPr>
          <w:rFonts w:ascii="Arial" w:hAnsi="Arial" w:cs="Arial"/>
          <w:color w:val="7B7B7B" w:themeColor="accent3" w:themeShade="BF"/>
          <w:sz w:val="22"/>
          <w:szCs w:val="22"/>
          <w:lang w:val="en-GB"/>
        </w:rPr>
        <w:t xml:space="preserve">binding agreements that are entered at an international level, most commonly into between or among countries. </w:t>
      </w:r>
      <w:r w:rsidR="00BB2183">
        <w:rPr>
          <w:rFonts w:ascii="Arial" w:hAnsi="Arial" w:cs="Arial"/>
          <w:color w:val="7B7B7B" w:themeColor="accent3" w:themeShade="BF"/>
          <w:sz w:val="22"/>
          <w:szCs w:val="22"/>
          <w:lang w:val="en-GB"/>
        </w:rPr>
        <w:t xml:space="preserve">Country that </w:t>
      </w:r>
      <w:proofErr w:type="gramStart"/>
      <w:r w:rsidR="00BB2183">
        <w:rPr>
          <w:rFonts w:ascii="Arial" w:hAnsi="Arial" w:cs="Arial"/>
          <w:color w:val="7B7B7B" w:themeColor="accent3" w:themeShade="BF"/>
          <w:sz w:val="22"/>
          <w:szCs w:val="22"/>
          <w:lang w:val="en-GB"/>
        </w:rPr>
        <w:t>agree</w:t>
      </w:r>
      <w:proofErr w:type="gramEnd"/>
      <w:r w:rsidR="00BB2183">
        <w:rPr>
          <w:rFonts w:ascii="Arial" w:hAnsi="Arial" w:cs="Arial"/>
          <w:color w:val="7B7B7B" w:themeColor="accent3" w:themeShade="BF"/>
          <w:sz w:val="22"/>
          <w:szCs w:val="22"/>
          <w:lang w:val="en-GB"/>
        </w:rPr>
        <w:t xml:space="preserve"> to be a party of a treaty are required at the domestic or national level (within the country) to give effect to the terms of the treaty by enacting local/national legislation </w:t>
      </w:r>
      <w:r w:rsidR="00E07277">
        <w:rPr>
          <w:rFonts w:ascii="Arial" w:hAnsi="Arial" w:cs="Arial"/>
          <w:color w:val="7B7B7B" w:themeColor="accent3" w:themeShade="BF"/>
          <w:sz w:val="22"/>
          <w:szCs w:val="22"/>
          <w:lang w:val="en-GB"/>
        </w:rPr>
        <w:t>(i.e., ‘hard law’) so that it can be enforced in the courts</w:t>
      </w:r>
      <w:r w:rsidR="00BF0EA2">
        <w:rPr>
          <w:rFonts w:ascii="Arial" w:hAnsi="Arial" w:cs="Arial"/>
          <w:color w:val="7B7B7B" w:themeColor="accent3" w:themeShade="BF"/>
          <w:sz w:val="22"/>
          <w:szCs w:val="22"/>
          <w:lang w:val="en-GB"/>
        </w:rPr>
        <w:t>…</w:t>
      </w:r>
    </w:p>
    <w:p w14:paraId="220E15C1" w14:textId="77777777" w:rsidR="002432B7" w:rsidRDefault="002432B7" w:rsidP="00B7193E">
      <w:pPr>
        <w:ind w:left="720" w:hanging="720"/>
        <w:jc w:val="both"/>
        <w:rPr>
          <w:rFonts w:ascii="Arial" w:hAnsi="Arial" w:cs="Arial"/>
          <w:color w:val="7B7B7B" w:themeColor="accent3" w:themeShade="BF"/>
          <w:sz w:val="22"/>
          <w:szCs w:val="22"/>
          <w:lang w:val="en-GB"/>
        </w:rPr>
      </w:pPr>
    </w:p>
    <w:p w14:paraId="1C550966" w14:textId="1CC61AD6" w:rsidR="00BF0EA2" w:rsidRDefault="0071591C"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2432B7">
        <w:rPr>
          <w:rFonts w:ascii="Arial" w:hAnsi="Arial" w:cs="Arial"/>
          <w:color w:val="7B7B7B" w:themeColor="accent3" w:themeShade="BF"/>
          <w:sz w:val="22"/>
          <w:szCs w:val="22"/>
          <w:lang w:val="en-GB"/>
        </w:rPr>
        <w:t xml:space="preserve">There have been treaties addressing various points relating to insolvency laws (e.g., absconding debtors, gathering of assets, jurisdictions, recognition, enforcement of bankruptcy, winding-up, arrangements and compositions. </w:t>
      </w:r>
    </w:p>
    <w:p w14:paraId="331B0468" w14:textId="2E84DFCD" w:rsidR="00E450C0" w:rsidRDefault="00E450C0" w:rsidP="00B7193E">
      <w:pPr>
        <w:ind w:left="720" w:hanging="720"/>
        <w:jc w:val="both"/>
        <w:rPr>
          <w:rFonts w:ascii="Arial" w:hAnsi="Arial" w:cs="Arial"/>
          <w:color w:val="7B7B7B" w:themeColor="accent3" w:themeShade="BF"/>
          <w:sz w:val="22"/>
          <w:szCs w:val="22"/>
          <w:lang w:val="en-GB"/>
        </w:rPr>
      </w:pPr>
    </w:p>
    <w:p w14:paraId="3A8A8308" w14:textId="3BFFABFA" w:rsidR="00E450C0" w:rsidRDefault="0071591C"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000545">
        <w:rPr>
          <w:rFonts w:ascii="Arial" w:hAnsi="Arial" w:cs="Arial"/>
          <w:color w:val="7B7B7B" w:themeColor="accent3" w:themeShade="BF"/>
          <w:sz w:val="22"/>
          <w:szCs w:val="22"/>
          <w:lang w:val="en-GB"/>
        </w:rPr>
        <w:t>Examples of treaties that address insolvency laws are the Nordic Convention 1933, the Istanbul Convention, Council of Europe Treaty series 136 and in the European Union, the EIR Recast.</w:t>
      </w:r>
    </w:p>
    <w:p w14:paraId="1E3AEFFD" w14:textId="77777777" w:rsidR="00E450C0" w:rsidRDefault="00E450C0" w:rsidP="00B7193E">
      <w:pPr>
        <w:ind w:left="720" w:hanging="720"/>
        <w:jc w:val="both"/>
        <w:rPr>
          <w:rFonts w:ascii="Arial" w:hAnsi="Arial" w:cs="Arial"/>
          <w:color w:val="7B7B7B" w:themeColor="accent3" w:themeShade="BF"/>
          <w:sz w:val="22"/>
          <w:szCs w:val="22"/>
          <w:lang w:val="en-GB"/>
        </w:rPr>
      </w:pPr>
    </w:p>
    <w:p w14:paraId="151A5487" w14:textId="1DE27F7E" w:rsidR="00BF0EA2" w:rsidRDefault="0071591C"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r>
      <w:r w:rsidR="00BF0EA2">
        <w:rPr>
          <w:rFonts w:ascii="Arial" w:hAnsi="Arial" w:cs="Arial"/>
          <w:color w:val="7B7B7B" w:themeColor="accent3" w:themeShade="BF"/>
          <w:sz w:val="22"/>
          <w:szCs w:val="22"/>
          <w:lang w:val="en-GB"/>
        </w:rPr>
        <w:t xml:space="preserve">“soft law” refers to </w:t>
      </w:r>
      <w:r w:rsidR="00000545">
        <w:rPr>
          <w:rFonts w:ascii="Arial" w:hAnsi="Arial" w:cs="Arial"/>
          <w:color w:val="7B7B7B" w:themeColor="accent3" w:themeShade="BF"/>
          <w:sz w:val="22"/>
          <w:szCs w:val="22"/>
          <w:lang w:val="en-GB"/>
        </w:rPr>
        <w:t>initiatives advanced by non-government organisations or special interest organisations.</w:t>
      </w:r>
    </w:p>
    <w:p w14:paraId="07C7A23C" w14:textId="77777777" w:rsidR="00BF0EA2" w:rsidRDefault="00BF0EA2" w:rsidP="00B7193E">
      <w:pPr>
        <w:ind w:left="720" w:hanging="720"/>
        <w:jc w:val="both"/>
        <w:rPr>
          <w:rFonts w:ascii="Arial" w:hAnsi="Arial" w:cs="Arial"/>
          <w:color w:val="7B7B7B" w:themeColor="accent3" w:themeShade="BF"/>
          <w:sz w:val="22"/>
          <w:szCs w:val="22"/>
          <w:lang w:val="en-GB"/>
        </w:rPr>
      </w:pPr>
    </w:p>
    <w:p w14:paraId="3DB74F74" w14:textId="187A9F16" w:rsidR="00E450C0" w:rsidRDefault="0071591C"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ab/>
      </w:r>
      <w:r w:rsidR="00BF0EA2">
        <w:rPr>
          <w:rFonts w:ascii="Arial" w:hAnsi="Arial" w:cs="Arial"/>
          <w:color w:val="7B7B7B" w:themeColor="accent3" w:themeShade="BF"/>
          <w:sz w:val="22"/>
          <w:szCs w:val="22"/>
          <w:lang w:val="en-GB"/>
        </w:rPr>
        <w:t xml:space="preserve">The Model Law on Cross Border Insolvency is </w:t>
      </w:r>
      <w:r w:rsidR="00204193">
        <w:rPr>
          <w:rFonts w:ascii="Arial" w:hAnsi="Arial" w:cs="Arial"/>
          <w:color w:val="7B7B7B" w:themeColor="accent3" w:themeShade="BF"/>
          <w:sz w:val="22"/>
          <w:szCs w:val="22"/>
          <w:lang w:val="en-GB"/>
        </w:rPr>
        <w:t>widely considered as one of the most successful examples of soft law having influence on reform or development of international insolvency law</w:t>
      </w:r>
      <w:r w:rsidR="00BC2030">
        <w:rPr>
          <w:rFonts w:ascii="Arial" w:hAnsi="Arial" w:cs="Arial"/>
          <w:color w:val="7B7B7B" w:themeColor="accent3" w:themeShade="BF"/>
          <w:sz w:val="22"/>
          <w:szCs w:val="22"/>
          <w:lang w:val="en-GB"/>
        </w:rPr>
        <w:t xml:space="preserve">. </w:t>
      </w:r>
    </w:p>
    <w:p w14:paraId="2BA61693" w14:textId="77777777" w:rsidR="00E450C0" w:rsidRDefault="00E450C0" w:rsidP="00B7193E">
      <w:pPr>
        <w:ind w:left="720" w:hanging="720"/>
        <w:jc w:val="both"/>
        <w:rPr>
          <w:rFonts w:ascii="Arial" w:hAnsi="Arial" w:cs="Arial"/>
          <w:color w:val="7B7B7B" w:themeColor="accent3" w:themeShade="BF"/>
          <w:sz w:val="22"/>
          <w:szCs w:val="22"/>
          <w:lang w:val="en-GB"/>
        </w:rPr>
      </w:pPr>
    </w:p>
    <w:p w14:paraId="78DB9FD8" w14:textId="20179B3B" w:rsidR="00C72848" w:rsidRPr="00205B31" w:rsidRDefault="00000545"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ab/>
      </w:r>
      <w:r w:rsidR="002823AE">
        <w:rPr>
          <w:rFonts w:ascii="Arial" w:hAnsi="Arial" w:cs="Arial"/>
          <w:color w:val="7B7B7B" w:themeColor="accent3" w:themeShade="BF"/>
          <w:sz w:val="22"/>
          <w:szCs w:val="22"/>
          <w:lang w:val="en-GB"/>
        </w:rPr>
        <w:t>The Model Law is a draft legislation designed by UNCITRAL and recommended for adoption, with or without modification. The individual states then assess its suitability for incorporation into its domestic/local laws.</w:t>
      </w:r>
      <w:r w:rsidR="00C72848" w:rsidRPr="00205B31">
        <w:rPr>
          <w:rFonts w:ascii="Arial" w:hAnsi="Arial" w:cs="Arial"/>
          <w:color w:val="7B7B7B" w:themeColor="accent3" w:themeShade="BF"/>
          <w:sz w:val="22"/>
          <w:szCs w:val="22"/>
          <w:lang w:val="en-GB"/>
        </w:rPr>
        <w:t>]</w:t>
      </w:r>
    </w:p>
    <w:p w14:paraId="572227E7" w14:textId="2B965A44"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3B5DD639" w14:textId="6F5FC114" w:rsidR="00C468A8" w:rsidRDefault="00DF75F8" w:rsidP="00755B87">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755B87">
        <w:rPr>
          <w:rFonts w:ascii="Arial" w:hAnsi="Arial" w:cs="Arial"/>
          <w:color w:val="7B7B7B" w:themeColor="accent3" w:themeShade="BF"/>
          <w:sz w:val="22"/>
          <w:szCs w:val="22"/>
          <w:lang w:val="en-GB"/>
        </w:rPr>
        <w:t>(a)</w:t>
      </w:r>
      <w:r w:rsidR="00755B87">
        <w:rPr>
          <w:rFonts w:ascii="Arial" w:hAnsi="Arial" w:cs="Arial"/>
          <w:color w:val="7B7B7B" w:themeColor="accent3" w:themeShade="BF"/>
          <w:sz w:val="22"/>
          <w:szCs w:val="22"/>
          <w:lang w:val="en-GB"/>
        </w:rPr>
        <w:tab/>
      </w:r>
      <w:r w:rsidR="004C51AE">
        <w:rPr>
          <w:rFonts w:ascii="Arial" w:hAnsi="Arial" w:cs="Arial"/>
          <w:color w:val="7B7B7B" w:themeColor="accent3" w:themeShade="BF"/>
          <w:sz w:val="22"/>
          <w:szCs w:val="22"/>
          <w:lang w:val="en-GB"/>
        </w:rPr>
        <w:t xml:space="preserve">The most common source or authority for insolvency law in any state are </w:t>
      </w:r>
      <w:r w:rsidR="004C1999">
        <w:rPr>
          <w:rFonts w:ascii="Arial" w:hAnsi="Arial" w:cs="Arial"/>
          <w:color w:val="7B7B7B" w:themeColor="accent3" w:themeShade="BF"/>
          <w:sz w:val="22"/>
          <w:szCs w:val="22"/>
          <w:lang w:val="en-GB"/>
        </w:rPr>
        <w:t>l</w:t>
      </w:r>
      <w:r w:rsidR="004C51AE">
        <w:rPr>
          <w:rFonts w:ascii="Arial" w:hAnsi="Arial" w:cs="Arial"/>
          <w:color w:val="7B7B7B" w:themeColor="accent3" w:themeShade="BF"/>
          <w:sz w:val="22"/>
          <w:szCs w:val="22"/>
          <w:lang w:val="en-GB"/>
        </w:rPr>
        <w:t>aws that deal specifically with bankruptcy of an individual or winding-up of a company or entity</w:t>
      </w:r>
      <w:r w:rsidR="00C468A8">
        <w:rPr>
          <w:rFonts w:ascii="Arial" w:hAnsi="Arial" w:cs="Arial"/>
          <w:color w:val="7B7B7B" w:themeColor="accent3" w:themeShade="BF"/>
          <w:sz w:val="22"/>
          <w:szCs w:val="22"/>
          <w:lang w:val="en-GB"/>
        </w:rPr>
        <w:t xml:space="preserve">. </w:t>
      </w:r>
      <w:proofErr w:type="gramStart"/>
      <w:r w:rsidR="00C468A8">
        <w:rPr>
          <w:rFonts w:ascii="Arial" w:hAnsi="Arial" w:cs="Arial"/>
          <w:color w:val="7B7B7B" w:themeColor="accent3" w:themeShade="BF"/>
          <w:sz w:val="22"/>
          <w:szCs w:val="22"/>
          <w:lang w:val="en-GB"/>
        </w:rPr>
        <w:t>Usually</w:t>
      </w:r>
      <w:proofErr w:type="gramEnd"/>
      <w:r w:rsidR="00C468A8">
        <w:rPr>
          <w:rFonts w:ascii="Arial" w:hAnsi="Arial" w:cs="Arial"/>
          <w:color w:val="7B7B7B" w:themeColor="accent3" w:themeShade="BF"/>
          <w:sz w:val="22"/>
          <w:szCs w:val="22"/>
          <w:lang w:val="en-GB"/>
        </w:rPr>
        <w:t xml:space="preserve"> these laws prescribe the applicable procedure and eligibility conditions for these laws to be invoked.</w:t>
      </w:r>
    </w:p>
    <w:p w14:paraId="2BAF4EF0" w14:textId="77777777" w:rsidR="00C468A8" w:rsidRDefault="00C468A8" w:rsidP="00B7193E">
      <w:pPr>
        <w:jc w:val="both"/>
        <w:rPr>
          <w:rFonts w:ascii="Arial" w:hAnsi="Arial" w:cs="Arial"/>
          <w:color w:val="7B7B7B" w:themeColor="accent3" w:themeShade="BF"/>
          <w:sz w:val="22"/>
          <w:szCs w:val="22"/>
          <w:lang w:val="en-GB"/>
        </w:rPr>
      </w:pPr>
    </w:p>
    <w:p w14:paraId="20511775" w14:textId="5A545B76" w:rsidR="00567608" w:rsidRDefault="00755B87" w:rsidP="00755B8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C468A8">
        <w:rPr>
          <w:rFonts w:ascii="Arial" w:hAnsi="Arial" w:cs="Arial"/>
          <w:color w:val="7B7B7B" w:themeColor="accent3" w:themeShade="BF"/>
          <w:sz w:val="22"/>
          <w:szCs w:val="22"/>
          <w:lang w:val="en-GB"/>
        </w:rPr>
        <w:t xml:space="preserve">There are also other legislations </w:t>
      </w:r>
      <w:r w:rsidR="00BE5C64">
        <w:rPr>
          <w:rFonts w:ascii="Arial" w:hAnsi="Arial" w:cs="Arial"/>
          <w:color w:val="7B7B7B" w:themeColor="accent3" w:themeShade="BF"/>
          <w:sz w:val="22"/>
          <w:szCs w:val="22"/>
          <w:lang w:val="en-GB"/>
        </w:rPr>
        <w:t xml:space="preserve">that are not specific to bankruptcy or winding-up but due to the subject matter, it would be necessary to have provisions that deal with the consequences of an act of bankruptcy or an act of winding-up or court orders issued pursuant to specific bankruptcy or winding-up legislation. Examples of such other legislations would be legislation that deals with land law, </w:t>
      </w:r>
      <w:proofErr w:type="gramStart"/>
      <w:r w:rsidR="00BE5C64">
        <w:rPr>
          <w:rFonts w:ascii="Arial" w:hAnsi="Arial" w:cs="Arial"/>
          <w:color w:val="7B7B7B" w:themeColor="accent3" w:themeShade="BF"/>
          <w:sz w:val="22"/>
          <w:szCs w:val="22"/>
          <w:lang w:val="en-GB"/>
        </w:rPr>
        <w:t>probate</w:t>
      </w:r>
      <w:proofErr w:type="gramEnd"/>
      <w:r w:rsidR="00BE5C64">
        <w:rPr>
          <w:rFonts w:ascii="Arial" w:hAnsi="Arial" w:cs="Arial"/>
          <w:color w:val="7B7B7B" w:themeColor="accent3" w:themeShade="BF"/>
          <w:sz w:val="22"/>
          <w:szCs w:val="22"/>
          <w:lang w:val="en-GB"/>
        </w:rPr>
        <w:t xml:space="preserve"> and administration.</w:t>
      </w:r>
    </w:p>
    <w:p w14:paraId="5950C473" w14:textId="77777777" w:rsidR="00567608" w:rsidRDefault="00567608" w:rsidP="00B7193E">
      <w:pPr>
        <w:jc w:val="both"/>
        <w:rPr>
          <w:rFonts w:ascii="Arial" w:hAnsi="Arial" w:cs="Arial"/>
          <w:color w:val="7B7B7B" w:themeColor="accent3" w:themeShade="BF"/>
          <w:sz w:val="22"/>
          <w:szCs w:val="22"/>
          <w:lang w:val="en-GB"/>
        </w:rPr>
      </w:pPr>
    </w:p>
    <w:p w14:paraId="4024A332" w14:textId="5F2D5286" w:rsidR="00544127" w:rsidRPr="00205B31" w:rsidRDefault="00755B87" w:rsidP="00755B8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567608">
        <w:rPr>
          <w:rFonts w:ascii="Arial" w:hAnsi="Arial" w:cs="Arial"/>
          <w:color w:val="7B7B7B" w:themeColor="accent3" w:themeShade="BF"/>
          <w:sz w:val="22"/>
          <w:szCs w:val="22"/>
          <w:lang w:val="en-GB"/>
        </w:rPr>
        <w:t>While there is legislation that is specific to insolvency as well as legislation that are not specific but contain provisions that become applicable in an insolvency situation,</w:t>
      </w:r>
      <w:r w:rsidR="007D78DF">
        <w:rPr>
          <w:rFonts w:ascii="Arial" w:hAnsi="Arial" w:cs="Arial"/>
          <w:color w:val="7B7B7B" w:themeColor="accent3" w:themeShade="BF"/>
          <w:sz w:val="22"/>
          <w:szCs w:val="22"/>
          <w:lang w:val="en-GB"/>
        </w:rPr>
        <w:t xml:space="preserve"> another source law would be common law</w:t>
      </w:r>
      <w:r w:rsidR="00E65020">
        <w:rPr>
          <w:rFonts w:ascii="Arial" w:hAnsi="Arial" w:cs="Arial"/>
          <w:color w:val="7B7B7B" w:themeColor="accent3" w:themeShade="BF"/>
          <w:sz w:val="22"/>
          <w:szCs w:val="22"/>
          <w:lang w:val="en-GB"/>
        </w:rPr>
        <w:t xml:space="preserve"> and it would usually be relied on or invoked when existing legislation does not have specific provisions to address a particular insolvency situation. Invoking common law principles in such situations which do not have a treatment prescribed in statute</w:t>
      </w:r>
      <w:r w:rsidR="00DF75F8" w:rsidRPr="00205B31">
        <w:rPr>
          <w:rFonts w:ascii="Arial" w:hAnsi="Arial" w:cs="Arial"/>
          <w:color w:val="7B7B7B" w:themeColor="accent3" w:themeShade="BF"/>
          <w:sz w:val="22"/>
          <w:szCs w:val="22"/>
          <w:lang w:val="en-GB"/>
        </w:rPr>
        <w:t>]</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6E1D9873" w14:textId="11CFB599" w:rsidR="00282AEF" w:rsidRDefault="00DF75F8" w:rsidP="002E4D35">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2E4D35">
        <w:rPr>
          <w:rFonts w:ascii="Arial" w:hAnsi="Arial" w:cs="Arial"/>
          <w:color w:val="7B7B7B" w:themeColor="accent3" w:themeShade="BF"/>
          <w:sz w:val="22"/>
          <w:szCs w:val="22"/>
          <w:lang w:val="en-GB"/>
        </w:rPr>
        <w:t>(a)</w:t>
      </w:r>
      <w:r w:rsidR="002E4D35">
        <w:rPr>
          <w:rFonts w:ascii="Arial" w:hAnsi="Arial" w:cs="Arial"/>
          <w:color w:val="7B7B7B" w:themeColor="accent3" w:themeShade="BF"/>
          <w:sz w:val="22"/>
          <w:szCs w:val="22"/>
          <w:lang w:val="en-GB"/>
        </w:rPr>
        <w:tab/>
      </w:r>
      <w:r w:rsidR="00BB5F0B">
        <w:rPr>
          <w:rFonts w:ascii="Arial" w:hAnsi="Arial" w:cs="Arial"/>
          <w:color w:val="7B7B7B" w:themeColor="accent3" w:themeShade="BF"/>
          <w:sz w:val="22"/>
          <w:szCs w:val="22"/>
          <w:lang w:val="en-GB"/>
        </w:rPr>
        <w:t xml:space="preserve">The </w:t>
      </w:r>
      <w:r w:rsidR="00595AB5">
        <w:rPr>
          <w:rFonts w:ascii="Arial" w:hAnsi="Arial" w:cs="Arial"/>
          <w:color w:val="7B7B7B" w:themeColor="accent3" w:themeShade="BF"/>
          <w:sz w:val="22"/>
          <w:szCs w:val="22"/>
          <w:lang w:val="en-GB"/>
        </w:rPr>
        <w:t xml:space="preserve">3 questions </w:t>
      </w:r>
      <w:r w:rsidR="00282AEF">
        <w:rPr>
          <w:rFonts w:ascii="Arial" w:hAnsi="Arial" w:cs="Arial"/>
          <w:color w:val="7B7B7B" w:themeColor="accent3" w:themeShade="BF"/>
          <w:sz w:val="22"/>
          <w:szCs w:val="22"/>
          <w:lang w:val="en-GB"/>
        </w:rPr>
        <w:t>relate to how a state</w:t>
      </w:r>
      <w:r w:rsidR="00113AA4">
        <w:rPr>
          <w:rFonts w:ascii="Arial" w:hAnsi="Arial" w:cs="Arial"/>
          <w:color w:val="7B7B7B" w:themeColor="accent3" w:themeShade="BF"/>
          <w:sz w:val="22"/>
          <w:szCs w:val="22"/>
          <w:lang w:val="en-GB"/>
        </w:rPr>
        <w:t xml:space="preserve"> (specifically a local or domestic court)</w:t>
      </w:r>
      <w:r w:rsidR="00282AEF">
        <w:rPr>
          <w:rFonts w:ascii="Arial" w:hAnsi="Arial" w:cs="Arial"/>
          <w:color w:val="7B7B7B" w:themeColor="accent3" w:themeShade="BF"/>
          <w:sz w:val="22"/>
          <w:szCs w:val="22"/>
          <w:lang w:val="en-GB"/>
        </w:rPr>
        <w:t xml:space="preserve"> may deal with insolvency proceedings that have a foreign element. </w:t>
      </w:r>
      <w:r w:rsidR="00113AA4">
        <w:rPr>
          <w:rFonts w:ascii="Arial" w:hAnsi="Arial" w:cs="Arial"/>
          <w:color w:val="7B7B7B" w:themeColor="accent3" w:themeShade="BF"/>
          <w:sz w:val="22"/>
          <w:szCs w:val="22"/>
          <w:lang w:val="en-GB"/>
        </w:rPr>
        <w:t>Usually national/domestic laws would not have any specific legal or statutory provisions that come into play or are triggered when there is a foreign element. Examples of issues that arise in an insolvency proceeding that has a foreign element are as follows:</w:t>
      </w:r>
    </w:p>
    <w:p w14:paraId="1AD0C62F" w14:textId="564FAB5A" w:rsidR="00113AA4" w:rsidRDefault="00113AA4" w:rsidP="002E4D35">
      <w:pPr>
        <w:ind w:left="720" w:hanging="720"/>
        <w:jc w:val="both"/>
        <w:rPr>
          <w:rFonts w:ascii="Arial" w:hAnsi="Arial" w:cs="Arial"/>
          <w:color w:val="7B7B7B" w:themeColor="accent3" w:themeShade="BF"/>
          <w:sz w:val="22"/>
          <w:szCs w:val="22"/>
          <w:lang w:val="en-GB"/>
        </w:rPr>
      </w:pPr>
    </w:p>
    <w:p w14:paraId="496D70F7" w14:textId="2FE352B8" w:rsidR="00113AA4" w:rsidRDefault="00113AA4" w:rsidP="00113AA4">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b/>
        <w:t>whether an insolvency practitioner for the foreign jurisdiction will have locus in the domestic/local court</w:t>
      </w:r>
      <w:r w:rsidR="00A063A4">
        <w:rPr>
          <w:rFonts w:ascii="Arial" w:hAnsi="Arial" w:cs="Arial"/>
          <w:color w:val="7B7B7B" w:themeColor="accent3" w:themeShade="BF"/>
          <w:sz w:val="22"/>
          <w:szCs w:val="22"/>
          <w:lang w:val="en-GB"/>
        </w:rPr>
        <w:t xml:space="preserve"> (in terms of having the foreign insolvency proceedings recognised in the domestic/local court</w:t>
      </w:r>
      <w:proofErr w:type="gramStart"/>
      <w:r w:rsidR="00A063A4">
        <w:rPr>
          <w:rFonts w:ascii="Arial" w:hAnsi="Arial" w:cs="Arial"/>
          <w:color w:val="7B7B7B" w:themeColor="accent3" w:themeShade="BF"/>
          <w:sz w:val="22"/>
          <w:szCs w:val="22"/>
          <w:lang w:val="en-GB"/>
        </w:rPr>
        <w:t>);</w:t>
      </w:r>
      <w:proofErr w:type="gramEnd"/>
    </w:p>
    <w:p w14:paraId="3EE92B98" w14:textId="123A3C64" w:rsidR="00A063A4" w:rsidRDefault="00A063A4" w:rsidP="00113AA4">
      <w:pPr>
        <w:ind w:left="1440" w:hanging="720"/>
        <w:jc w:val="both"/>
        <w:rPr>
          <w:rFonts w:ascii="Arial" w:hAnsi="Arial" w:cs="Arial"/>
          <w:color w:val="7B7B7B" w:themeColor="accent3" w:themeShade="BF"/>
          <w:sz w:val="22"/>
          <w:szCs w:val="22"/>
          <w:lang w:val="en-GB"/>
        </w:rPr>
      </w:pPr>
    </w:p>
    <w:p w14:paraId="7461B224" w14:textId="7B219110" w:rsidR="00A063A4" w:rsidRDefault="00A063A4" w:rsidP="00A063A4">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ab/>
        <w:t>distribution of the assets in the domestic/local jurisdiction (</w:t>
      </w:r>
      <w:r w:rsidR="004C6A1D">
        <w:rPr>
          <w:rFonts w:ascii="Arial" w:hAnsi="Arial" w:cs="Arial"/>
          <w:color w:val="7B7B7B" w:themeColor="accent3" w:themeShade="BF"/>
          <w:sz w:val="22"/>
          <w:szCs w:val="22"/>
          <w:lang w:val="en-GB"/>
        </w:rPr>
        <w:t xml:space="preserve">e.g., </w:t>
      </w:r>
      <w:r>
        <w:rPr>
          <w:rFonts w:ascii="Arial" w:hAnsi="Arial" w:cs="Arial"/>
          <w:color w:val="7B7B7B" w:themeColor="accent3" w:themeShade="BF"/>
          <w:sz w:val="22"/>
          <w:szCs w:val="22"/>
          <w:lang w:val="en-GB"/>
        </w:rPr>
        <w:t xml:space="preserve">would the creditors in the local jurisdiction have priority over local assets or should </w:t>
      </w:r>
      <w:r w:rsidR="004C6A1D">
        <w:rPr>
          <w:rFonts w:ascii="Arial" w:hAnsi="Arial" w:cs="Arial"/>
          <w:color w:val="7B7B7B" w:themeColor="accent3" w:themeShade="BF"/>
          <w:sz w:val="22"/>
          <w:szCs w:val="22"/>
          <w:lang w:val="en-GB"/>
        </w:rPr>
        <w:t>local and foreign creditors be considered as being equal or part of a class</w:t>
      </w:r>
      <w:proofErr w:type="gramStart"/>
      <w:r w:rsidR="004C6A1D">
        <w:rPr>
          <w:rFonts w:ascii="Arial" w:hAnsi="Arial" w:cs="Arial"/>
          <w:color w:val="7B7B7B" w:themeColor="accent3" w:themeShade="BF"/>
          <w:sz w:val="22"/>
          <w:szCs w:val="22"/>
          <w:lang w:val="en-GB"/>
        </w:rPr>
        <w:t>);</w:t>
      </w:r>
      <w:proofErr w:type="gramEnd"/>
    </w:p>
    <w:p w14:paraId="51C70514" w14:textId="5B1AAA41" w:rsidR="004C6A1D" w:rsidRDefault="004C6A1D" w:rsidP="00A063A4">
      <w:pPr>
        <w:ind w:left="1440" w:hanging="720"/>
        <w:jc w:val="both"/>
        <w:rPr>
          <w:rFonts w:ascii="Arial" w:hAnsi="Arial" w:cs="Arial"/>
          <w:color w:val="7B7B7B" w:themeColor="accent3" w:themeShade="BF"/>
          <w:sz w:val="22"/>
          <w:szCs w:val="22"/>
          <w:lang w:val="en-GB"/>
        </w:rPr>
      </w:pPr>
    </w:p>
    <w:p w14:paraId="29025F39" w14:textId="04B61959" w:rsidR="004C6A1D" w:rsidRDefault="004C6A1D" w:rsidP="00A063A4">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w:t>
      </w:r>
      <w:r>
        <w:rPr>
          <w:rFonts w:ascii="Arial" w:hAnsi="Arial" w:cs="Arial"/>
          <w:color w:val="7B7B7B" w:themeColor="accent3" w:themeShade="BF"/>
          <w:sz w:val="22"/>
          <w:szCs w:val="22"/>
          <w:lang w:val="en-GB"/>
        </w:rPr>
        <w:tab/>
        <w:t xml:space="preserve">whether the courts in the domestic/local jurisdiction are required to enforce orders issued by courts in a foreign </w:t>
      </w:r>
      <w:proofErr w:type="gramStart"/>
      <w:r>
        <w:rPr>
          <w:rFonts w:ascii="Arial" w:hAnsi="Arial" w:cs="Arial"/>
          <w:color w:val="7B7B7B" w:themeColor="accent3" w:themeShade="BF"/>
          <w:sz w:val="22"/>
          <w:szCs w:val="22"/>
          <w:lang w:val="en-GB"/>
        </w:rPr>
        <w:t>jurisdiction;</w:t>
      </w:r>
      <w:proofErr w:type="gramEnd"/>
    </w:p>
    <w:p w14:paraId="58F712BE" w14:textId="1996F1B2" w:rsidR="004C6A1D" w:rsidRDefault="004C6A1D" w:rsidP="00A063A4">
      <w:pPr>
        <w:ind w:left="1440" w:hanging="720"/>
        <w:jc w:val="both"/>
        <w:rPr>
          <w:rFonts w:ascii="Arial" w:hAnsi="Arial" w:cs="Arial"/>
          <w:color w:val="7B7B7B" w:themeColor="accent3" w:themeShade="BF"/>
          <w:sz w:val="22"/>
          <w:szCs w:val="22"/>
          <w:lang w:val="en-GB"/>
        </w:rPr>
      </w:pPr>
    </w:p>
    <w:p w14:paraId="4EC2F801" w14:textId="085EE239" w:rsidR="004C6A1D" w:rsidRDefault="004C6A1D" w:rsidP="00A063A4">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(iv)</w:t>
      </w:r>
      <w:r>
        <w:rPr>
          <w:rFonts w:ascii="Arial" w:hAnsi="Arial" w:cs="Arial"/>
          <w:color w:val="7B7B7B" w:themeColor="accent3" w:themeShade="BF"/>
          <w:sz w:val="22"/>
          <w:szCs w:val="22"/>
          <w:lang w:val="en-GB"/>
        </w:rPr>
        <w:tab/>
      </w:r>
      <w:r w:rsidR="007A57FF">
        <w:rPr>
          <w:rFonts w:ascii="Arial" w:hAnsi="Arial" w:cs="Arial"/>
          <w:color w:val="7B7B7B" w:themeColor="accent3" w:themeShade="BF"/>
          <w:sz w:val="22"/>
          <w:szCs w:val="22"/>
          <w:lang w:val="en-GB"/>
        </w:rPr>
        <w:t>whether certain transactions should be avoided (e.g., preference payments, certain types of contracts, etc.)</w:t>
      </w:r>
    </w:p>
    <w:p w14:paraId="25CF13AD" w14:textId="77777777" w:rsidR="00282AEF" w:rsidRDefault="00282AEF" w:rsidP="00B7193E">
      <w:pPr>
        <w:jc w:val="both"/>
        <w:rPr>
          <w:rFonts w:ascii="Arial" w:hAnsi="Arial" w:cs="Arial"/>
          <w:color w:val="7B7B7B" w:themeColor="accent3" w:themeShade="BF"/>
          <w:sz w:val="22"/>
          <w:szCs w:val="22"/>
          <w:lang w:val="en-GB"/>
        </w:rPr>
      </w:pPr>
    </w:p>
    <w:p w14:paraId="5844B7C5" w14:textId="4B502D85" w:rsidR="00BB5F0B" w:rsidRDefault="002E4D35" w:rsidP="002E4D3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4A2FE6">
        <w:rPr>
          <w:rFonts w:ascii="Arial" w:hAnsi="Arial" w:cs="Arial"/>
          <w:color w:val="7B7B7B" w:themeColor="accent3" w:themeShade="BF"/>
          <w:sz w:val="22"/>
          <w:szCs w:val="22"/>
          <w:lang w:val="en-GB"/>
        </w:rPr>
        <w:t xml:space="preserve">The 3 questions </w:t>
      </w:r>
      <w:r w:rsidR="007A57FF">
        <w:rPr>
          <w:rFonts w:ascii="Arial" w:hAnsi="Arial" w:cs="Arial"/>
          <w:color w:val="7B7B7B" w:themeColor="accent3" w:themeShade="BF"/>
          <w:sz w:val="22"/>
          <w:szCs w:val="22"/>
          <w:lang w:val="en-GB"/>
        </w:rPr>
        <w:t xml:space="preserve">raised by Fletcher when there is a foreign element in insolvency proceedings </w:t>
      </w:r>
      <w:r w:rsidR="00595AB5">
        <w:rPr>
          <w:rFonts w:ascii="Arial" w:hAnsi="Arial" w:cs="Arial"/>
          <w:color w:val="7B7B7B" w:themeColor="accent3" w:themeShade="BF"/>
          <w:sz w:val="22"/>
          <w:szCs w:val="22"/>
          <w:lang w:val="en-GB"/>
        </w:rPr>
        <w:t>are</w:t>
      </w:r>
      <w:r w:rsidR="00BB5F0B">
        <w:rPr>
          <w:rFonts w:ascii="Arial" w:hAnsi="Arial" w:cs="Arial"/>
          <w:color w:val="7B7B7B" w:themeColor="accent3" w:themeShade="BF"/>
          <w:sz w:val="22"/>
          <w:szCs w:val="22"/>
          <w:lang w:val="en-GB"/>
        </w:rPr>
        <w:t xml:space="preserve"> as follows:</w:t>
      </w:r>
    </w:p>
    <w:p w14:paraId="58477252" w14:textId="196E19F3" w:rsidR="00BB5F0B" w:rsidRDefault="00BB5F0B" w:rsidP="00B7193E">
      <w:pPr>
        <w:jc w:val="both"/>
        <w:rPr>
          <w:rFonts w:ascii="Arial" w:hAnsi="Arial" w:cs="Arial"/>
          <w:color w:val="7B7B7B" w:themeColor="accent3" w:themeShade="BF"/>
          <w:sz w:val="22"/>
          <w:szCs w:val="22"/>
          <w:lang w:val="en-GB"/>
        </w:rPr>
      </w:pPr>
    </w:p>
    <w:p w14:paraId="5833BA5F" w14:textId="06D76045" w:rsidR="00BB5F0B" w:rsidRDefault="00BB5F0B" w:rsidP="002E4D35">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w:t>
      </w:r>
      <w:r w:rsidR="002E4D35">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in which jurisdiction may insolvency proceedings be opened?</w:t>
      </w:r>
    </w:p>
    <w:p w14:paraId="33C4CC99" w14:textId="77777777" w:rsidR="00BB5F0B" w:rsidRDefault="00BB5F0B" w:rsidP="00B7193E">
      <w:pPr>
        <w:jc w:val="both"/>
        <w:rPr>
          <w:rFonts w:ascii="Arial" w:hAnsi="Arial" w:cs="Arial"/>
          <w:color w:val="7B7B7B" w:themeColor="accent3" w:themeShade="BF"/>
          <w:sz w:val="22"/>
          <w:szCs w:val="22"/>
          <w:lang w:val="en-GB"/>
        </w:rPr>
      </w:pPr>
    </w:p>
    <w:p w14:paraId="283D2A61" w14:textId="22552EFD" w:rsidR="00BB5F0B" w:rsidRDefault="00BB5F0B" w:rsidP="002E4D35">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w:t>
      </w:r>
      <w:r w:rsidR="002E4D35">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what country’s law should be applied in respect of different aspects of the case?</w:t>
      </w:r>
    </w:p>
    <w:p w14:paraId="162DB672" w14:textId="77777777" w:rsidR="00BB5F0B" w:rsidRDefault="00BB5F0B" w:rsidP="00B7193E">
      <w:pPr>
        <w:jc w:val="both"/>
        <w:rPr>
          <w:rFonts w:ascii="Arial" w:hAnsi="Arial" w:cs="Arial"/>
          <w:color w:val="7B7B7B" w:themeColor="accent3" w:themeShade="BF"/>
          <w:sz w:val="22"/>
          <w:szCs w:val="22"/>
          <w:lang w:val="en-GB"/>
        </w:rPr>
      </w:pPr>
    </w:p>
    <w:p w14:paraId="1290E5B7" w14:textId="03A6A37F" w:rsidR="000D36F8" w:rsidRDefault="00BB5F0B" w:rsidP="002E4D35">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(iii) </w:t>
      </w:r>
      <w:r w:rsidR="002E4D35">
        <w:rPr>
          <w:rFonts w:ascii="Arial" w:hAnsi="Arial" w:cs="Arial"/>
          <w:color w:val="7B7B7B" w:themeColor="accent3" w:themeShade="BF"/>
          <w:sz w:val="22"/>
          <w:szCs w:val="22"/>
          <w:lang w:val="en-GB"/>
        </w:rPr>
        <w:tab/>
      </w:r>
      <w:r w:rsidR="000D36F8">
        <w:rPr>
          <w:rFonts w:ascii="Arial" w:hAnsi="Arial" w:cs="Arial"/>
          <w:color w:val="7B7B7B" w:themeColor="accent3" w:themeShade="BF"/>
          <w:sz w:val="22"/>
          <w:szCs w:val="22"/>
          <w:lang w:val="en-GB"/>
        </w:rPr>
        <w:t>what international effects will be accorded to proceedings conducted at a particular forum (including issues of enforcement)?</w:t>
      </w:r>
    </w:p>
    <w:p w14:paraId="6081DFE9" w14:textId="77777777" w:rsidR="00863EFD" w:rsidRDefault="00863EFD" w:rsidP="00B7193E">
      <w:pPr>
        <w:jc w:val="both"/>
        <w:rPr>
          <w:rFonts w:ascii="Arial" w:hAnsi="Arial" w:cs="Arial"/>
          <w:color w:val="7B7B7B" w:themeColor="accent3" w:themeShade="BF"/>
          <w:sz w:val="22"/>
          <w:szCs w:val="22"/>
          <w:lang w:val="en-GB"/>
        </w:rPr>
      </w:pPr>
    </w:p>
    <w:p w14:paraId="44274361" w14:textId="1C823FAC" w:rsidR="007A2C82" w:rsidRDefault="002E4D35" w:rsidP="002E4D3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651A93">
        <w:rPr>
          <w:rFonts w:ascii="Arial" w:hAnsi="Arial" w:cs="Arial"/>
          <w:color w:val="7B7B7B" w:themeColor="accent3" w:themeShade="BF"/>
          <w:sz w:val="22"/>
          <w:szCs w:val="22"/>
          <w:lang w:val="en-GB"/>
        </w:rPr>
        <w:t xml:space="preserve">These 3 questions </w:t>
      </w:r>
      <w:r w:rsidR="005E20E9">
        <w:rPr>
          <w:rFonts w:ascii="Arial" w:hAnsi="Arial" w:cs="Arial"/>
          <w:color w:val="7B7B7B" w:themeColor="accent3" w:themeShade="BF"/>
          <w:sz w:val="22"/>
          <w:szCs w:val="22"/>
          <w:lang w:val="en-GB"/>
        </w:rPr>
        <w:t xml:space="preserve">offer perspective to a domestic or local court on </w:t>
      </w:r>
      <w:r w:rsidR="005E20E9">
        <w:rPr>
          <w:rFonts w:ascii="Arial" w:hAnsi="Arial" w:cs="Arial"/>
          <w:color w:val="7B7B7B" w:themeColor="accent3" w:themeShade="BF"/>
          <w:sz w:val="22"/>
          <w:szCs w:val="22"/>
          <w:lang w:val="en-GB"/>
        </w:rPr>
        <w:t>competing issues/interest in insolvency proceedings that have a foreign element</w:t>
      </w:r>
      <w:r w:rsidR="005E20E9">
        <w:rPr>
          <w:rFonts w:ascii="Arial" w:hAnsi="Arial" w:cs="Arial"/>
          <w:color w:val="7B7B7B" w:themeColor="accent3" w:themeShade="BF"/>
          <w:sz w:val="22"/>
          <w:szCs w:val="22"/>
          <w:lang w:val="en-GB"/>
        </w:rPr>
        <w:t xml:space="preserve"> </w:t>
      </w:r>
      <w:r w:rsidR="008D03E6">
        <w:rPr>
          <w:rFonts w:ascii="Arial" w:hAnsi="Arial" w:cs="Arial"/>
          <w:color w:val="7B7B7B" w:themeColor="accent3" w:themeShade="BF"/>
          <w:sz w:val="22"/>
          <w:szCs w:val="22"/>
          <w:lang w:val="en-GB"/>
        </w:rPr>
        <w:t>and</w:t>
      </w:r>
      <w:r w:rsidR="005E20E9">
        <w:rPr>
          <w:rFonts w:ascii="Arial" w:hAnsi="Arial" w:cs="Arial"/>
          <w:color w:val="7B7B7B" w:themeColor="accent3" w:themeShade="BF"/>
          <w:sz w:val="22"/>
          <w:szCs w:val="22"/>
          <w:lang w:val="en-GB"/>
        </w:rPr>
        <w:t xml:space="preserve"> how to apply relevant</w:t>
      </w:r>
      <w:r w:rsidR="008D03E6">
        <w:rPr>
          <w:rFonts w:ascii="Arial" w:hAnsi="Arial" w:cs="Arial"/>
          <w:color w:val="7B7B7B" w:themeColor="accent3" w:themeShade="BF"/>
          <w:sz w:val="22"/>
          <w:szCs w:val="22"/>
          <w:lang w:val="en-GB"/>
        </w:rPr>
        <w:t xml:space="preserve"> legal </w:t>
      </w:r>
      <w:r w:rsidR="00715B26">
        <w:rPr>
          <w:rFonts w:ascii="Arial" w:hAnsi="Arial" w:cs="Arial"/>
          <w:color w:val="7B7B7B" w:themeColor="accent3" w:themeShade="BF"/>
          <w:sz w:val="22"/>
          <w:szCs w:val="22"/>
          <w:lang w:val="en-GB"/>
        </w:rPr>
        <w:t xml:space="preserve">consideration or priority when trying to </w:t>
      </w:r>
      <w:r w:rsidR="005E20E9">
        <w:rPr>
          <w:rFonts w:ascii="Arial" w:hAnsi="Arial" w:cs="Arial"/>
          <w:color w:val="7B7B7B" w:themeColor="accent3" w:themeShade="BF"/>
          <w:sz w:val="22"/>
          <w:szCs w:val="22"/>
          <w:lang w:val="en-GB"/>
        </w:rPr>
        <w:t>resolve or reconcile such</w:t>
      </w:r>
      <w:r w:rsidR="00715B26">
        <w:rPr>
          <w:rFonts w:ascii="Arial" w:hAnsi="Arial" w:cs="Arial"/>
          <w:color w:val="7B7B7B" w:themeColor="accent3" w:themeShade="BF"/>
          <w:sz w:val="22"/>
          <w:szCs w:val="22"/>
          <w:lang w:val="en-GB"/>
        </w:rPr>
        <w:t xml:space="preserve"> issues</w:t>
      </w:r>
      <w:r w:rsidR="007A2C82">
        <w:rPr>
          <w:rFonts w:ascii="Arial" w:hAnsi="Arial" w:cs="Arial"/>
          <w:color w:val="7B7B7B" w:themeColor="accent3" w:themeShade="BF"/>
          <w:sz w:val="22"/>
          <w:szCs w:val="22"/>
          <w:lang w:val="en-GB"/>
        </w:rPr>
        <w:t xml:space="preserve">. </w:t>
      </w:r>
    </w:p>
    <w:p w14:paraId="018C3C9B" w14:textId="77777777" w:rsidR="007A2C82" w:rsidRDefault="007A2C82" w:rsidP="00B7193E">
      <w:pPr>
        <w:jc w:val="both"/>
        <w:rPr>
          <w:rFonts w:ascii="Arial" w:hAnsi="Arial" w:cs="Arial"/>
          <w:color w:val="7B7B7B" w:themeColor="accent3" w:themeShade="BF"/>
          <w:sz w:val="22"/>
          <w:szCs w:val="22"/>
          <w:lang w:val="en-GB"/>
        </w:rPr>
      </w:pPr>
    </w:p>
    <w:p w14:paraId="3C507471" w14:textId="4F6AB3D3" w:rsidR="00A87622" w:rsidRDefault="00425001" w:rsidP="0042500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r>
      <w:r w:rsidR="00A87622">
        <w:rPr>
          <w:rFonts w:ascii="Arial" w:hAnsi="Arial" w:cs="Arial"/>
          <w:color w:val="7B7B7B" w:themeColor="accent3" w:themeShade="BF"/>
          <w:sz w:val="22"/>
          <w:szCs w:val="22"/>
          <w:lang w:val="en-GB"/>
        </w:rPr>
        <w:t>With respect to point (</w:t>
      </w:r>
      <w:proofErr w:type="spellStart"/>
      <w:r w:rsidR="00A87622">
        <w:rPr>
          <w:rFonts w:ascii="Arial" w:hAnsi="Arial" w:cs="Arial"/>
          <w:color w:val="7B7B7B" w:themeColor="accent3" w:themeShade="BF"/>
          <w:sz w:val="22"/>
          <w:szCs w:val="22"/>
          <w:lang w:val="en-GB"/>
        </w:rPr>
        <w:t>i</w:t>
      </w:r>
      <w:proofErr w:type="spellEnd"/>
      <w:r w:rsidR="00A87622">
        <w:rPr>
          <w:rFonts w:ascii="Arial" w:hAnsi="Arial" w:cs="Arial"/>
          <w:color w:val="7B7B7B" w:themeColor="accent3" w:themeShade="BF"/>
          <w:sz w:val="22"/>
          <w:szCs w:val="22"/>
          <w:lang w:val="en-GB"/>
        </w:rPr>
        <w:t>)</w:t>
      </w:r>
      <w:r w:rsidR="00D10707">
        <w:rPr>
          <w:rFonts w:ascii="Arial" w:hAnsi="Arial" w:cs="Arial"/>
          <w:color w:val="7B7B7B" w:themeColor="accent3" w:themeShade="BF"/>
          <w:sz w:val="22"/>
          <w:szCs w:val="22"/>
          <w:lang w:val="en-GB"/>
        </w:rPr>
        <w:t xml:space="preserve"> in paragraph (b) above</w:t>
      </w:r>
      <w:r w:rsidR="00A87622">
        <w:rPr>
          <w:rFonts w:ascii="Arial" w:hAnsi="Arial" w:cs="Arial"/>
          <w:color w:val="7B7B7B" w:themeColor="accent3" w:themeShade="BF"/>
          <w:sz w:val="22"/>
          <w:szCs w:val="22"/>
          <w:lang w:val="en-GB"/>
        </w:rPr>
        <w:t xml:space="preserve">, </w:t>
      </w:r>
      <w:r w:rsidR="00051138">
        <w:rPr>
          <w:rFonts w:ascii="Arial" w:hAnsi="Arial" w:cs="Arial"/>
          <w:color w:val="7B7B7B" w:themeColor="accent3" w:themeShade="BF"/>
          <w:sz w:val="22"/>
          <w:szCs w:val="22"/>
          <w:lang w:val="en-GB"/>
        </w:rPr>
        <w:t>the emphasis is on the existence of any connection between the parties in the proceedings and the jurisdiction</w:t>
      </w:r>
      <w:r w:rsidR="0085568F">
        <w:rPr>
          <w:rFonts w:ascii="Arial" w:hAnsi="Arial" w:cs="Arial"/>
          <w:color w:val="7B7B7B" w:themeColor="accent3" w:themeShade="BF"/>
          <w:sz w:val="22"/>
          <w:szCs w:val="22"/>
          <w:lang w:val="en-GB"/>
        </w:rPr>
        <w:t>.</w:t>
      </w:r>
    </w:p>
    <w:p w14:paraId="2DECF396" w14:textId="77777777" w:rsidR="00A87622" w:rsidRDefault="00A87622" w:rsidP="00B7193E">
      <w:pPr>
        <w:jc w:val="both"/>
        <w:rPr>
          <w:rFonts w:ascii="Arial" w:hAnsi="Arial" w:cs="Arial"/>
          <w:color w:val="7B7B7B" w:themeColor="accent3" w:themeShade="BF"/>
          <w:sz w:val="22"/>
          <w:szCs w:val="22"/>
          <w:lang w:val="en-GB"/>
        </w:rPr>
      </w:pPr>
    </w:p>
    <w:p w14:paraId="3A38AFB6" w14:textId="36BABC6A" w:rsidR="00A87622" w:rsidRDefault="00425001" w:rsidP="0042500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ab/>
      </w:r>
      <w:r w:rsidR="00A87622">
        <w:rPr>
          <w:rFonts w:ascii="Arial" w:hAnsi="Arial" w:cs="Arial"/>
          <w:color w:val="7B7B7B" w:themeColor="accent3" w:themeShade="BF"/>
          <w:sz w:val="22"/>
          <w:szCs w:val="22"/>
          <w:lang w:val="en-GB"/>
        </w:rPr>
        <w:t>With respect to point (ii)</w:t>
      </w:r>
      <w:r w:rsidR="00D10707">
        <w:rPr>
          <w:rFonts w:ascii="Arial" w:hAnsi="Arial" w:cs="Arial"/>
          <w:color w:val="7B7B7B" w:themeColor="accent3" w:themeShade="BF"/>
          <w:sz w:val="22"/>
          <w:szCs w:val="22"/>
          <w:lang w:val="en-GB"/>
        </w:rPr>
        <w:t xml:space="preserve"> </w:t>
      </w:r>
      <w:r w:rsidR="00D10707">
        <w:rPr>
          <w:rFonts w:ascii="Arial" w:hAnsi="Arial" w:cs="Arial"/>
          <w:color w:val="7B7B7B" w:themeColor="accent3" w:themeShade="BF"/>
          <w:sz w:val="22"/>
          <w:szCs w:val="22"/>
          <w:lang w:val="en-GB"/>
        </w:rPr>
        <w:t>in paragraph (b) above</w:t>
      </w:r>
      <w:r w:rsidR="00A87622">
        <w:rPr>
          <w:rFonts w:ascii="Arial" w:hAnsi="Arial" w:cs="Arial"/>
          <w:color w:val="7B7B7B" w:themeColor="accent3" w:themeShade="BF"/>
          <w:sz w:val="22"/>
          <w:szCs w:val="22"/>
          <w:lang w:val="en-GB"/>
        </w:rPr>
        <w:t xml:space="preserve">, </w:t>
      </w:r>
      <w:r w:rsidR="00905D1F">
        <w:rPr>
          <w:rFonts w:ascii="Arial" w:hAnsi="Arial" w:cs="Arial"/>
          <w:color w:val="7B7B7B" w:themeColor="accent3" w:themeShade="BF"/>
          <w:sz w:val="22"/>
          <w:szCs w:val="22"/>
          <w:lang w:val="en-GB"/>
        </w:rPr>
        <w:t>consideration should be given to how or whether a court order of foreign law would be recognised in the domestic court.</w:t>
      </w:r>
    </w:p>
    <w:p w14:paraId="0B50127E" w14:textId="77777777" w:rsidR="00A87622" w:rsidRDefault="00A87622" w:rsidP="00B7193E">
      <w:pPr>
        <w:jc w:val="both"/>
        <w:rPr>
          <w:rFonts w:ascii="Arial" w:hAnsi="Arial" w:cs="Arial"/>
          <w:color w:val="7B7B7B" w:themeColor="accent3" w:themeShade="BF"/>
          <w:sz w:val="22"/>
          <w:szCs w:val="22"/>
          <w:lang w:val="en-GB"/>
        </w:rPr>
      </w:pPr>
    </w:p>
    <w:p w14:paraId="7940D274" w14:textId="26EAC44F" w:rsidR="00DF75F8" w:rsidRDefault="00425001" w:rsidP="0042500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ab/>
      </w:r>
      <w:r w:rsidR="00A87622">
        <w:rPr>
          <w:rFonts w:ascii="Arial" w:hAnsi="Arial" w:cs="Arial"/>
          <w:color w:val="7B7B7B" w:themeColor="accent3" w:themeShade="BF"/>
          <w:sz w:val="22"/>
          <w:szCs w:val="22"/>
          <w:lang w:val="en-GB"/>
        </w:rPr>
        <w:t>With respect to point (iii)</w:t>
      </w:r>
      <w:r w:rsidR="00D10707">
        <w:rPr>
          <w:rFonts w:ascii="Arial" w:hAnsi="Arial" w:cs="Arial"/>
          <w:color w:val="7B7B7B" w:themeColor="accent3" w:themeShade="BF"/>
          <w:sz w:val="22"/>
          <w:szCs w:val="22"/>
          <w:lang w:val="en-GB"/>
        </w:rPr>
        <w:t xml:space="preserve"> </w:t>
      </w:r>
      <w:r w:rsidR="00D10707">
        <w:rPr>
          <w:rFonts w:ascii="Arial" w:hAnsi="Arial" w:cs="Arial"/>
          <w:color w:val="7B7B7B" w:themeColor="accent3" w:themeShade="BF"/>
          <w:sz w:val="22"/>
          <w:szCs w:val="22"/>
          <w:lang w:val="en-GB"/>
        </w:rPr>
        <w:t>in paragraph (b) above</w:t>
      </w:r>
      <w:r w:rsidR="00A87622">
        <w:rPr>
          <w:rFonts w:ascii="Arial" w:hAnsi="Arial" w:cs="Arial"/>
          <w:color w:val="7B7B7B" w:themeColor="accent3" w:themeShade="BF"/>
          <w:sz w:val="22"/>
          <w:szCs w:val="22"/>
          <w:lang w:val="en-GB"/>
        </w:rPr>
        <w:t xml:space="preserve">, </w:t>
      </w:r>
      <w:r w:rsidR="00905D1F">
        <w:rPr>
          <w:rFonts w:ascii="Arial" w:hAnsi="Arial" w:cs="Arial"/>
          <w:color w:val="7B7B7B" w:themeColor="accent3" w:themeShade="BF"/>
          <w:sz w:val="22"/>
          <w:szCs w:val="22"/>
          <w:lang w:val="en-GB"/>
        </w:rPr>
        <w:t xml:space="preserve">once a domestic court has determined that it has sufficient jurisdiction for insolvency proceedings, </w:t>
      </w:r>
      <w:r w:rsidR="00F675ED">
        <w:rPr>
          <w:rFonts w:ascii="Arial" w:hAnsi="Arial" w:cs="Arial"/>
          <w:color w:val="7B7B7B" w:themeColor="accent3" w:themeShade="BF"/>
          <w:sz w:val="22"/>
          <w:szCs w:val="22"/>
          <w:lang w:val="en-GB"/>
        </w:rPr>
        <w:t xml:space="preserve">it would still be necessary for the domestic court to ascertain the </w:t>
      </w:r>
      <w:r w:rsidR="00E83E55">
        <w:rPr>
          <w:rFonts w:ascii="Arial" w:hAnsi="Arial" w:cs="Arial"/>
          <w:color w:val="7B7B7B" w:themeColor="accent3" w:themeShade="BF"/>
          <w:sz w:val="22"/>
          <w:szCs w:val="22"/>
          <w:lang w:val="en-GB"/>
        </w:rPr>
        <w:t>applicable law (as in, which country)</w:t>
      </w:r>
      <w:r w:rsidR="00DF75F8" w:rsidRPr="00205B31">
        <w:rPr>
          <w:rFonts w:ascii="Arial" w:hAnsi="Arial" w:cs="Arial"/>
          <w:color w:val="7B7B7B" w:themeColor="accent3" w:themeShade="BF"/>
          <w:sz w:val="22"/>
          <w:szCs w:val="22"/>
          <w:lang w:val="en-GB"/>
        </w:rPr>
        <w:t>]</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55A3A4D3" w14:textId="4668771C" w:rsidR="00B008EC" w:rsidRDefault="00DF75F8" w:rsidP="004C2602">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lastRenderedPageBreak/>
        <w:t>[</w:t>
      </w:r>
      <w:r w:rsidR="004C2602">
        <w:rPr>
          <w:rFonts w:ascii="Arial" w:hAnsi="Arial" w:cs="Arial"/>
          <w:color w:val="7B7B7B" w:themeColor="accent3" w:themeShade="BF"/>
          <w:sz w:val="22"/>
          <w:szCs w:val="22"/>
          <w:lang w:val="en-GB"/>
        </w:rPr>
        <w:t>(a)</w:t>
      </w:r>
      <w:r w:rsidR="004C2602">
        <w:rPr>
          <w:rFonts w:ascii="Arial" w:hAnsi="Arial" w:cs="Arial"/>
          <w:color w:val="7B7B7B" w:themeColor="accent3" w:themeShade="BF"/>
          <w:sz w:val="22"/>
          <w:szCs w:val="22"/>
          <w:lang w:val="en-GB"/>
        </w:rPr>
        <w:tab/>
      </w:r>
      <w:r w:rsidR="007357C7">
        <w:rPr>
          <w:rFonts w:ascii="Arial" w:hAnsi="Arial" w:cs="Arial"/>
          <w:color w:val="7B7B7B" w:themeColor="accent3" w:themeShade="BF"/>
          <w:sz w:val="22"/>
          <w:szCs w:val="22"/>
          <w:lang w:val="en-GB"/>
        </w:rPr>
        <w:t xml:space="preserve">The case of Maxwell Communications Corporation </w:t>
      </w:r>
      <w:r w:rsidR="00B008EC">
        <w:rPr>
          <w:rFonts w:ascii="Arial" w:hAnsi="Arial" w:cs="Arial"/>
          <w:color w:val="7B7B7B" w:themeColor="accent3" w:themeShade="BF"/>
          <w:sz w:val="22"/>
          <w:szCs w:val="22"/>
          <w:lang w:val="en-GB"/>
        </w:rPr>
        <w:t>is an example of cooperation and communication between courts of 2 different jurisdictions that pre-date the Model Law.</w:t>
      </w:r>
    </w:p>
    <w:p w14:paraId="01DFDED3" w14:textId="77777777" w:rsidR="00B008EC" w:rsidRDefault="00B008EC" w:rsidP="00B7193E">
      <w:pPr>
        <w:jc w:val="both"/>
        <w:rPr>
          <w:rFonts w:ascii="Arial" w:hAnsi="Arial" w:cs="Arial"/>
          <w:color w:val="7B7B7B" w:themeColor="accent3" w:themeShade="BF"/>
          <w:sz w:val="22"/>
          <w:szCs w:val="22"/>
          <w:lang w:val="en-GB"/>
        </w:rPr>
      </w:pPr>
    </w:p>
    <w:p w14:paraId="1D207DCA" w14:textId="20454F6B" w:rsidR="00B008EC" w:rsidRDefault="004C2602" w:rsidP="004C260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205A19">
        <w:rPr>
          <w:rFonts w:ascii="Arial" w:hAnsi="Arial" w:cs="Arial"/>
          <w:color w:val="7B7B7B" w:themeColor="accent3" w:themeShade="BF"/>
          <w:sz w:val="22"/>
          <w:szCs w:val="22"/>
          <w:lang w:val="en-GB"/>
        </w:rPr>
        <w:t>This case concerned insolvency proceedings that were commenced in the UK and the USA.</w:t>
      </w:r>
      <w:r w:rsidR="00F345D0">
        <w:rPr>
          <w:rFonts w:ascii="Arial" w:hAnsi="Arial" w:cs="Arial"/>
          <w:color w:val="7B7B7B" w:themeColor="accent3" w:themeShade="BF"/>
          <w:sz w:val="22"/>
          <w:szCs w:val="22"/>
          <w:lang w:val="en-GB"/>
        </w:rPr>
        <w:t xml:space="preserve"> There were insolvency representatives appointed by the court in the respective jurisdictions.</w:t>
      </w:r>
    </w:p>
    <w:p w14:paraId="7506F844" w14:textId="64B84F3F" w:rsidR="00205A19" w:rsidRDefault="00205A19" w:rsidP="00B7193E">
      <w:pPr>
        <w:jc w:val="both"/>
        <w:rPr>
          <w:rFonts w:ascii="Arial" w:hAnsi="Arial" w:cs="Arial"/>
          <w:color w:val="7B7B7B" w:themeColor="accent3" w:themeShade="BF"/>
          <w:sz w:val="22"/>
          <w:szCs w:val="22"/>
          <w:lang w:val="en-GB"/>
        </w:rPr>
      </w:pPr>
    </w:p>
    <w:p w14:paraId="0DC52118" w14:textId="1C1DF01E" w:rsidR="004F3C09" w:rsidRDefault="004C2602" w:rsidP="009C710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9C7108">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b/>
      </w:r>
      <w:r w:rsidR="009C7108">
        <w:rPr>
          <w:rFonts w:ascii="Arial" w:hAnsi="Arial" w:cs="Arial"/>
          <w:color w:val="7B7B7B" w:themeColor="accent3" w:themeShade="BF"/>
          <w:sz w:val="22"/>
          <w:szCs w:val="22"/>
          <w:lang w:val="en-GB"/>
        </w:rPr>
        <w:t>Examples of</w:t>
      </w:r>
      <w:r w:rsidR="004F3C09">
        <w:rPr>
          <w:rFonts w:ascii="Arial" w:hAnsi="Arial" w:cs="Arial"/>
          <w:color w:val="7B7B7B" w:themeColor="accent3" w:themeShade="BF"/>
          <w:sz w:val="22"/>
          <w:szCs w:val="22"/>
          <w:lang w:val="en-GB"/>
        </w:rPr>
        <w:t xml:space="preserve"> key issues that had to be addressed were as follows:</w:t>
      </w:r>
    </w:p>
    <w:p w14:paraId="11108071" w14:textId="411C28D2" w:rsidR="004F3C09" w:rsidRDefault="004F3C09" w:rsidP="00B7193E">
      <w:pPr>
        <w:jc w:val="both"/>
        <w:rPr>
          <w:rFonts w:ascii="Arial" w:hAnsi="Arial" w:cs="Arial"/>
          <w:color w:val="7B7B7B" w:themeColor="accent3" w:themeShade="BF"/>
          <w:sz w:val="22"/>
          <w:szCs w:val="22"/>
          <w:lang w:val="en-GB"/>
        </w:rPr>
      </w:pPr>
    </w:p>
    <w:p w14:paraId="10F2A986" w14:textId="6A41724C" w:rsidR="004F3C09" w:rsidRDefault="009C7108" w:rsidP="009C7108">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b/>
      </w:r>
      <w:r w:rsidR="00614D99">
        <w:rPr>
          <w:rFonts w:ascii="Arial" w:hAnsi="Arial" w:cs="Arial"/>
          <w:color w:val="7B7B7B" w:themeColor="accent3" w:themeShade="BF"/>
          <w:sz w:val="22"/>
          <w:szCs w:val="22"/>
          <w:lang w:val="en-GB"/>
        </w:rPr>
        <w:t>t</w:t>
      </w:r>
      <w:r w:rsidR="004F3C09">
        <w:rPr>
          <w:rFonts w:ascii="Arial" w:hAnsi="Arial" w:cs="Arial"/>
          <w:color w:val="7B7B7B" w:themeColor="accent3" w:themeShade="BF"/>
          <w:sz w:val="22"/>
          <w:szCs w:val="22"/>
          <w:lang w:val="en-GB"/>
        </w:rPr>
        <w:t xml:space="preserve">ransfer of funds </w:t>
      </w:r>
      <w:r w:rsidR="00614D99">
        <w:rPr>
          <w:rFonts w:ascii="Arial" w:hAnsi="Arial" w:cs="Arial"/>
          <w:color w:val="7B7B7B" w:themeColor="accent3" w:themeShade="BF"/>
          <w:sz w:val="22"/>
          <w:szCs w:val="22"/>
          <w:lang w:val="en-GB"/>
        </w:rPr>
        <w:t>that constitute preference payments</w:t>
      </w:r>
      <w:r w:rsidR="005C6D15">
        <w:rPr>
          <w:rFonts w:ascii="Arial" w:hAnsi="Arial" w:cs="Arial"/>
          <w:color w:val="7B7B7B" w:themeColor="accent3" w:themeShade="BF"/>
          <w:sz w:val="22"/>
          <w:szCs w:val="22"/>
          <w:lang w:val="en-GB"/>
        </w:rPr>
        <w:t xml:space="preserve"> (depending on the laws of the respective jurisdictions</w:t>
      </w:r>
      <w:proofErr w:type="gramStart"/>
      <w:r w:rsidR="005C6D1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proofErr w:type="gramEnd"/>
    </w:p>
    <w:p w14:paraId="032FD0FA" w14:textId="5C24A89B" w:rsidR="00614D99" w:rsidRDefault="00614D99" w:rsidP="00B7193E">
      <w:pPr>
        <w:jc w:val="both"/>
        <w:rPr>
          <w:rFonts w:ascii="Arial" w:hAnsi="Arial" w:cs="Arial"/>
          <w:color w:val="7B7B7B" w:themeColor="accent3" w:themeShade="BF"/>
          <w:sz w:val="22"/>
          <w:szCs w:val="22"/>
          <w:lang w:val="en-GB"/>
        </w:rPr>
      </w:pPr>
    </w:p>
    <w:p w14:paraId="425927CE" w14:textId="19D7933F" w:rsidR="00614D99" w:rsidRDefault="009C7108" w:rsidP="009C7108">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ab/>
      </w:r>
      <w:r w:rsidR="005C6D15">
        <w:rPr>
          <w:rFonts w:ascii="Arial" w:hAnsi="Arial" w:cs="Arial"/>
          <w:color w:val="7B7B7B" w:themeColor="accent3" w:themeShade="BF"/>
          <w:sz w:val="22"/>
          <w:szCs w:val="22"/>
          <w:lang w:val="en-GB"/>
        </w:rPr>
        <w:t xml:space="preserve">how the business and operations in both jurisdictions are to be </w:t>
      </w:r>
      <w:proofErr w:type="gramStart"/>
      <w:r w:rsidR="005C6D15">
        <w:rPr>
          <w:rFonts w:ascii="Arial" w:hAnsi="Arial" w:cs="Arial"/>
          <w:color w:val="7B7B7B" w:themeColor="accent3" w:themeShade="BF"/>
          <w:sz w:val="22"/>
          <w:szCs w:val="22"/>
          <w:lang w:val="en-GB"/>
        </w:rPr>
        <w:t>managed  during</w:t>
      </w:r>
      <w:proofErr w:type="gramEnd"/>
      <w:r w:rsidR="005C6D15">
        <w:rPr>
          <w:rFonts w:ascii="Arial" w:hAnsi="Arial" w:cs="Arial"/>
          <w:color w:val="7B7B7B" w:themeColor="accent3" w:themeShade="BF"/>
          <w:sz w:val="22"/>
          <w:szCs w:val="22"/>
          <w:lang w:val="en-GB"/>
        </w:rPr>
        <w:t xml:space="preserve">  insolvency proceedings </w:t>
      </w:r>
      <w:r>
        <w:rPr>
          <w:rFonts w:ascii="Arial" w:hAnsi="Arial" w:cs="Arial"/>
          <w:color w:val="7B7B7B" w:themeColor="accent3" w:themeShade="BF"/>
          <w:sz w:val="22"/>
          <w:szCs w:val="22"/>
          <w:lang w:val="en-GB"/>
        </w:rPr>
        <w:t>a</w:t>
      </w:r>
      <w:r w:rsidR="00614D99">
        <w:rPr>
          <w:rFonts w:ascii="Arial" w:hAnsi="Arial" w:cs="Arial"/>
          <w:color w:val="7B7B7B" w:themeColor="accent3" w:themeShade="BF"/>
          <w:sz w:val="22"/>
          <w:szCs w:val="22"/>
          <w:lang w:val="en-GB"/>
        </w:rPr>
        <w:t>s the business was primarily operated through its offices in London and its key assets situated in the USA</w:t>
      </w:r>
      <w:r w:rsidR="005C6D15">
        <w:rPr>
          <w:rFonts w:ascii="Arial" w:hAnsi="Arial" w:cs="Arial"/>
          <w:color w:val="7B7B7B" w:themeColor="accent3" w:themeShade="BF"/>
          <w:sz w:val="22"/>
          <w:szCs w:val="22"/>
          <w:lang w:val="en-GB"/>
        </w:rPr>
        <w:t>;</w:t>
      </w:r>
    </w:p>
    <w:p w14:paraId="05653C4C" w14:textId="0439F599" w:rsidR="00614D99" w:rsidRDefault="00614D99" w:rsidP="00B7193E">
      <w:pPr>
        <w:jc w:val="both"/>
        <w:rPr>
          <w:rFonts w:ascii="Arial" w:hAnsi="Arial" w:cs="Arial"/>
          <w:color w:val="7B7B7B" w:themeColor="accent3" w:themeShade="BF"/>
          <w:sz w:val="22"/>
          <w:szCs w:val="22"/>
          <w:lang w:val="en-GB"/>
        </w:rPr>
      </w:pPr>
    </w:p>
    <w:p w14:paraId="3E8FAB59" w14:textId="0A6BC57F" w:rsidR="004C2602" w:rsidRDefault="009C7108" w:rsidP="009C7108">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w:t>
      </w:r>
      <w:r>
        <w:rPr>
          <w:rFonts w:ascii="Arial" w:hAnsi="Arial" w:cs="Arial"/>
          <w:color w:val="7B7B7B" w:themeColor="accent3" w:themeShade="BF"/>
          <w:sz w:val="22"/>
          <w:szCs w:val="22"/>
          <w:lang w:val="en-GB"/>
        </w:rPr>
        <w:tab/>
        <w:t>d</w:t>
      </w:r>
      <w:r w:rsidR="004C2602">
        <w:rPr>
          <w:rFonts w:ascii="Arial" w:hAnsi="Arial" w:cs="Arial"/>
          <w:color w:val="7B7B7B" w:themeColor="accent3" w:themeShade="BF"/>
          <w:sz w:val="22"/>
          <w:szCs w:val="22"/>
          <w:lang w:val="en-GB"/>
        </w:rPr>
        <w:t>istribution of assets to creditors in both jurisdictions</w:t>
      </w:r>
      <w:r w:rsidR="005C6D15">
        <w:rPr>
          <w:rFonts w:ascii="Arial" w:hAnsi="Arial" w:cs="Arial"/>
          <w:color w:val="7B7B7B" w:themeColor="accent3" w:themeShade="BF"/>
          <w:sz w:val="22"/>
          <w:szCs w:val="22"/>
          <w:lang w:val="en-GB"/>
        </w:rPr>
        <w:t xml:space="preserve"> (depending on the laws of the respective jurisdictions)</w:t>
      </w:r>
      <w:r w:rsidR="004C2602">
        <w:rPr>
          <w:rFonts w:ascii="Arial" w:hAnsi="Arial" w:cs="Arial"/>
          <w:color w:val="7B7B7B" w:themeColor="accent3" w:themeShade="BF"/>
          <w:sz w:val="22"/>
          <w:szCs w:val="22"/>
          <w:lang w:val="en-GB"/>
        </w:rPr>
        <w:t>.</w:t>
      </w:r>
    </w:p>
    <w:p w14:paraId="5EF754B6" w14:textId="77777777" w:rsidR="004F3C09" w:rsidRDefault="004F3C09" w:rsidP="00B7193E">
      <w:pPr>
        <w:jc w:val="both"/>
        <w:rPr>
          <w:rFonts w:ascii="Arial" w:hAnsi="Arial" w:cs="Arial"/>
          <w:color w:val="7B7B7B" w:themeColor="accent3" w:themeShade="BF"/>
          <w:sz w:val="22"/>
          <w:szCs w:val="22"/>
          <w:lang w:val="en-GB"/>
        </w:rPr>
      </w:pPr>
    </w:p>
    <w:p w14:paraId="237B227C" w14:textId="666DF724" w:rsidR="00F97AD5" w:rsidRDefault="009C7108" w:rsidP="009C710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r>
      <w:r w:rsidR="006721EE">
        <w:rPr>
          <w:rFonts w:ascii="Arial" w:hAnsi="Arial" w:cs="Arial"/>
          <w:color w:val="7B7B7B" w:themeColor="accent3" w:themeShade="BF"/>
          <w:sz w:val="22"/>
          <w:szCs w:val="22"/>
          <w:lang w:val="en-GB"/>
        </w:rPr>
        <w:t xml:space="preserve">Recognising the complications and conflicts that would arise when there are multiple insolvency proceedings that exist concurrently, the judges in the respective </w:t>
      </w:r>
      <w:proofErr w:type="gramStart"/>
      <w:r w:rsidR="006721EE">
        <w:rPr>
          <w:rFonts w:ascii="Arial" w:hAnsi="Arial" w:cs="Arial"/>
          <w:color w:val="7B7B7B" w:themeColor="accent3" w:themeShade="BF"/>
          <w:sz w:val="22"/>
          <w:szCs w:val="22"/>
          <w:lang w:val="en-GB"/>
        </w:rPr>
        <w:t xml:space="preserve">jurisdictions </w:t>
      </w:r>
      <w:r w:rsidR="00C76F29">
        <w:rPr>
          <w:rFonts w:ascii="Arial" w:hAnsi="Arial" w:cs="Arial"/>
          <w:color w:val="7B7B7B" w:themeColor="accent3" w:themeShade="BF"/>
          <w:sz w:val="22"/>
          <w:szCs w:val="22"/>
          <w:lang w:val="en-GB"/>
        </w:rPr>
        <w:t xml:space="preserve"> </w:t>
      </w:r>
      <w:r w:rsidR="00F97AD5">
        <w:rPr>
          <w:rFonts w:ascii="Arial" w:hAnsi="Arial" w:cs="Arial"/>
          <w:color w:val="7B7B7B" w:themeColor="accent3" w:themeShade="BF"/>
          <w:sz w:val="22"/>
          <w:szCs w:val="22"/>
          <w:lang w:val="en-GB"/>
        </w:rPr>
        <w:t>instructed</w:t>
      </w:r>
      <w:proofErr w:type="gramEnd"/>
      <w:r w:rsidR="00F97AD5">
        <w:rPr>
          <w:rFonts w:ascii="Arial" w:hAnsi="Arial" w:cs="Arial"/>
          <w:color w:val="7B7B7B" w:themeColor="accent3" w:themeShade="BF"/>
          <w:sz w:val="22"/>
          <w:szCs w:val="22"/>
          <w:lang w:val="en-GB"/>
        </w:rPr>
        <w:t xml:space="preserve"> the insolvency representatives in each jurisdiction to coordinate their respective efforts and to extend cooperation to each other</w:t>
      </w:r>
      <w:r w:rsidR="00D05211">
        <w:rPr>
          <w:rFonts w:ascii="Arial" w:hAnsi="Arial" w:cs="Arial"/>
          <w:color w:val="7B7B7B" w:themeColor="accent3" w:themeShade="BF"/>
          <w:sz w:val="22"/>
          <w:szCs w:val="22"/>
          <w:lang w:val="en-GB"/>
        </w:rPr>
        <w:t xml:space="preserve"> in order to carry out the liquidation exercise filed by the company itself in both jurisdictions</w:t>
      </w:r>
      <w:r w:rsidR="00F97AD5">
        <w:rPr>
          <w:rFonts w:ascii="Arial" w:hAnsi="Arial" w:cs="Arial"/>
          <w:color w:val="7B7B7B" w:themeColor="accent3" w:themeShade="BF"/>
          <w:sz w:val="22"/>
          <w:szCs w:val="22"/>
          <w:lang w:val="en-GB"/>
        </w:rPr>
        <w:t>.</w:t>
      </w:r>
    </w:p>
    <w:p w14:paraId="3DB06C70" w14:textId="492D908C" w:rsidR="00F97AD5" w:rsidRDefault="00F97AD5" w:rsidP="00B7193E">
      <w:pPr>
        <w:jc w:val="both"/>
        <w:rPr>
          <w:rFonts w:ascii="Arial" w:hAnsi="Arial" w:cs="Arial"/>
          <w:color w:val="7B7B7B" w:themeColor="accent3" w:themeShade="BF"/>
          <w:sz w:val="22"/>
          <w:szCs w:val="22"/>
          <w:lang w:val="en-GB"/>
        </w:rPr>
      </w:pPr>
    </w:p>
    <w:p w14:paraId="73C16953" w14:textId="721E8A0E" w:rsidR="00835237" w:rsidRDefault="00835237" w:rsidP="0083523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ab/>
        <w:t xml:space="preserve">The liquidation efforts were directed towards being able to maximise the value of the estate and to harmonise proceedings to </w:t>
      </w:r>
      <w:proofErr w:type="gramStart"/>
      <w:r>
        <w:rPr>
          <w:rFonts w:ascii="Arial" w:hAnsi="Arial" w:cs="Arial"/>
          <w:color w:val="7B7B7B" w:themeColor="accent3" w:themeShade="BF"/>
          <w:sz w:val="22"/>
          <w:szCs w:val="22"/>
          <w:lang w:val="en-GB"/>
        </w:rPr>
        <w:t>minimise  expense</w:t>
      </w:r>
      <w:proofErr w:type="gramEnd"/>
      <w:r>
        <w:rPr>
          <w:rFonts w:ascii="Arial" w:hAnsi="Arial" w:cs="Arial"/>
          <w:color w:val="7B7B7B" w:themeColor="accent3" w:themeShade="BF"/>
          <w:sz w:val="22"/>
          <w:szCs w:val="22"/>
          <w:lang w:val="en-GB"/>
        </w:rPr>
        <w:t>, waste and jurisdictional conflict.</w:t>
      </w:r>
    </w:p>
    <w:p w14:paraId="0A6F8802" w14:textId="77777777" w:rsidR="00835237" w:rsidRDefault="00835237" w:rsidP="00B7193E">
      <w:pPr>
        <w:jc w:val="both"/>
        <w:rPr>
          <w:rFonts w:ascii="Arial" w:hAnsi="Arial" w:cs="Arial"/>
          <w:color w:val="7B7B7B" w:themeColor="accent3" w:themeShade="BF"/>
          <w:sz w:val="22"/>
          <w:szCs w:val="22"/>
          <w:lang w:val="en-GB"/>
        </w:rPr>
      </w:pPr>
    </w:p>
    <w:p w14:paraId="102D3D03" w14:textId="7BF68987" w:rsidR="00F97AD5" w:rsidRDefault="009C7108" w:rsidP="009C710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835237">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b/>
      </w:r>
      <w:r w:rsidR="00F97AD5">
        <w:rPr>
          <w:rFonts w:ascii="Arial" w:hAnsi="Arial" w:cs="Arial"/>
          <w:color w:val="7B7B7B" w:themeColor="accent3" w:themeShade="BF"/>
          <w:sz w:val="22"/>
          <w:szCs w:val="22"/>
          <w:lang w:val="en-GB"/>
        </w:rPr>
        <w:t xml:space="preserve">The insolvency representatives documented mutually agreed principles in a document called the “Protocol”. </w:t>
      </w:r>
    </w:p>
    <w:p w14:paraId="7D71D27C" w14:textId="3EBD3B81" w:rsidR="00F97AD5" w:rsidRDefault="00F97AD5" w:rsidP="00B7193E">
      <w:pPr>
        <w:jc w:val="both"/>
        <w:rPr>
          <w:rFonts w:ascii="Arial" w:hAnsi="Arial" w:cs="Arial"/>
          <w:color w:val="7B7B7B" w:themeColor="accent3" w:themeShade="BF"/>
          <w:sz w:val="22"/>
          <w:szCs w:val="22"/>
          <w:lang w:val="en-GB"/>
        </w:rPr>
      </w:pPr>
    </w:p>
    <w:p w14:paraId="139B3278" w14:textId="18D58515" w:rsidR="00F97AD5" w:rsidRDefault="009C7108" w:rsidP="009C710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w:t>
      </w:r>
      <w:r>
        <w:rPr>
          <w:rFonts w:ascii="Arial" w:hAnsi="Arial" w:cs="Arial"/>
          <w:color w:val="7B7B7B" w:themeColor="accent3" w:themeShade="BF"/>
          <w:sz w:val="22"/>
          <w:szCs w:val="22"/>
          <w:lang w:val="en-GB"/>
        </w:rPr>
        <w:tab/>
      </w:r>
      <w:r w:rsidR="00205231">
        <w:rPr>
          <w:rFonts w:ascii="Arial" w:hAnsi="Arial" w:cs="Arial"/>
          <w:color w:val="7B7B7B" w:themeColor="accent3" w:themeShade="BF"/>
          <w:sz w:val="22"/>
          <w:szCs w:val="22"/>
          <w:lang w:val="en-GB"/>
        </w:rPr>
        <w:t xml:space="preserve">Developing further on the Protocol, a reorganisation plan and scheme of arrangement was which addressed assets in both jurisdictions were jointly agreed and filed. </w:t>
      </w:r>
    </w:p>
    <w:p w14:paraId="2F7AED62" w14:textId="6101A2E9" w:rsidR="00B008EC" w:rsidRDefault="00B008EC" w:rsidP="005D27C7">
      <w:pPr>
        <w:ind w:left="720" w:hanging="720"/>
        <w:jc w:val="both"/>
        <w:rPr>
          <w:rFonts w:ascii="Arial" w:hAnsi="Arial" w:cs="Arial"/>
          <w:color w:val="7B7B7B" w:themeColor="accent3" w:themeShade="BF"/>
          <w:sz w:val="22"/>
          <w:szCs w:val="22"/>
          <w:lang w:val="en-GB"/>
        </w:rPr>
      </w:pPr>
    </w:p>
    <w:p w14:paraId="4E83D7AF" w14:textId="723042E4" w:rsidR="00DF75F8" w:rsidRDefault="005D27C7" w:rsidP="008D03E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w:t>
      </w:r>
      <w:r>
        <w:rPr>
          <w:rFonts w:ascii="Arial" w:hAnsi="Arial" w:cs="Arial"/>
          <w:color w:val="7B7B7B" w:themeColor="accent3" w:themeShade="BF"/>
          <w:sz w:val="22"/>
          <w:szCs w:val="22"/>
          <w:lang w:val="en-GB"/>
        </w:rPr>
        <w:tab/>
        <w:t>The Maxwell case</w:t>
      </w:r>
      <w:r w:rsidR="004A5EE6">
        <w:rPr>
          <w:rFonts w:ascii="Arial" w:hAnsi="Arial" w:cs="Arial"/>
          <w:color w:val="7B7B7B" w:themeColor="accent3" w:themeShade="BF"/>
          <w:sz w:val="22"/>
          <w:szCs w:val="22"/>
          <w:lang w:val="en-GB"/>
        </w:rPr>
        <w:t xml:space="preserve"> is a powerful example that</w:t>
      </w:r>
      <w:r>
        <w:rPr>
          <w:rFonts w:ascii="Arial" w:hAnsi="Arial" w:cs="Arial"/>
          <w:color w:val="7B7B7B" w:themeColor="accent3" w:themeShade="BF"/>
          <w:sz w:val="22"/>
          <w:szCs w:val="22"/>
          <w:lang w:val="en-GB"/>
        </w:rPr>
        <w:t xml:space="preserve"> shows how much ground can be covered in an orderly fashion when there are cooperation and coordination efforts employed</w:t>
      </w:r>
      <w:r w:rsidR="004A5EE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the insolvency process</w:t>
      </w:r>
      <w:r w:rsidR="00B92AB6">
        <w:rPr>
          <w:rFonts w:ascii="Arial" w:hAnsi="Arial" w:cs="Arial"/>
          <w:color w:val="7B7B7B" w:themeColor="accent3" w:themeShade="BF"/>
          <w:sz w:val="22"/>
          <w:szCs w:val="22"/>
          <w:lang w:val="en-GB"/>
        </w:rPr>
        <w:t>.</w:t>
      </w:r>
      <w:r w:rsidR="00DF75F8" w:rsidRPr="00205B31">
        <w:rPr>
          <w:rFonts w:ascii="Arial" w:hAnsi="Arial" w:cs="Arial"/>
          <w:color w:val="7B7B7B" w:themeColor="accent3" w:themeShade="BF"/>
          <w:sz w:val="22"/>
          <w:szCs w:val="22"/>
          <w:lang w:val="en-GB"/>
        </w:rPr>
        <w:t>]</w:t>
      </w:r>
    </w:p>
    <w:p w14:paraId="6C97C515" w14:textId="77777777" w:rsidR="00B008EC" w:rsidRPr="00205B31" w:rsidRDefault="00B008EC" w:rsidP="00B7193E">
      <w:pPr>
        <w:jc w:val="both"/>
        <w:rPr>
          <w:rFonts w:ascii="Arial" w:hAnsi="Arial" w:cs="Arial"/>
          <w:sz w:val="22"/>
          <w:szCs w:val="22"/>
          <w:lang w:val="en-GB"/>
        </w:rPr>
      </w:pP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lastRenderedPageBreak/>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3B249A9" w14:textId="7CDA0C0D" w:rsidR="00F15DE0" w:rsidRDefault="002F75A3" w:rsidP="00CE1A6D">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CE1A6D">
        <w:rPr>
          <w:rFonts w:ascii="Arial" w:hAnsi="Arial" w:cs="Arial"/>
          <w:color w:val="7B7B7B" w:themeColor="accent3" w:themeShade="BF"/>
          <w:sz w:val="22"/>
          <w:szCs w:val="22"/>
          <w:lang w:val="en-GB"/>
        </w:rPr>
        <w:t>(a)</w:t>
      </w:r>
      <w:r w:rsidR="00CE1A6D">
        <w:rPr>
          <w:rFonts w:ascii="Arial" w:hAnsi="Arial" w:cs="Arial"/>
          <w:color w:val="7B7B7B" w:themeColor="accent3" w:themeShade="BF"/>
          <w:sz w:val="22"/>
          <w:szCs w:val="22"/>
          <w:lang w:val="en-GB"/>
        </w:rPr>
        <w:tab/>
      </w:r>
      <w:r w:rsidR="007107F5">
        <w:rPr>
          <w:rFonts w:ascii="Arial" w:hAnsi="Arial" w:cs="Arial"/>
          <w:color w:val="7B7B7B" w:themeColor="accent3" w:themeShade="BF"/>
          <w:sz w:val="22"/>
          <w:szCs w:val="22"/>
          <w:lang w:val="en-GB"/>
        </w:rPr>
        <w:t xml:space="preserve">The </w:t>
      </w:r>
      <w:r w:rsidR="007107F5" w:rsidRPr="007107F5">
        <w:rPr>
          <w:rFonts w:ascii="Arial" w:hAnsi="Arial" w:cs="Arial"/>
          <w:color w:val="7B7B7B" w:themeColor="accent3" w:themeShade="BF"/>
          <w:sz w:val="22"/>
          <w:szCs w:val="22"/>
          <w:lang w:val="en-GB"/>
        </w:rPr>
        <w:t xml:space="preserve">European Insolvency Regulation Recast </w:t>
      </w:r>
      <w:r w:rsidR="00044DBA">
        <w:rPr>
          <w:rFonts w:ascii="Arial" w:hAnsi="Arial" w:cs="Arial"/>
          <w:color w:val="7B7B7B" w:themeColor="accent3" w:themeShade="BF"/>
          <w:sz w:val="22"/>
          <w:szCs w:val="22"/>
          <w:lang w:val="en-GB"/>
        </w:rPr>
        <w:t xml:space="preserve">(“EIR Recast”) </w:t>
      </w:r>
      <w:r w:rsidR="007107F5">
        <w:rPr>
          <w:rFonts w:ascii="Arial" w:hAnsi="Arial" w:cs="Arial"/>
          <w:color w:val="7B7B7B" w:themeColor="accent3" w:themeShade="BF"/>
          <w:sz w:val="22"/>
          <w:szCs w:val="22"/>
          <w:lang w:val="en-GB"/>
        </w:rPr>
        <w:t xml:space="preserve">would </w:t>
      </w:r>
      <w:r w:rsidR="00D77D9D">
        <w:rPr>
          <w:rFonts w:ascii="Arial" w:hAnsi="Arial" w:cs="Arial"/>
          <w:color w:val="7B7B7B" w:themeColor="accent3" w:themeShade="BF"/>
          <w:sz w:val="22"/>
          <w:szCs w:val="22"/>
          <w:lang w:val="en-GB"/>
        </w:rPr>
        <w:t xml:space="preserve">still </w:t>
      </w:r>
      <w:r w:rsidR="007107F5">
        <w:rPr>
          <w:rFonts w:ascii="Arial" w:hAnsi="Arial" w:cs="Arial"/>
          <w:color w:val="7B7B7B" w:themeColor="accent3" w:themeShade="BF"/>
          <w:sz w:val="22"/>
          <w:szCs w:val="22"/>
          <w:lang w:val="en-GB"/>
        </w:rPr>
        <w:t xml:space="preserve">be applicable in the UK for </w:t>
      </w:r>
      <w:r w:rsidR="007107F5" w:rsidRPr="007107F5">
        <w:rPr>
          <w:rFonts w:ascii="Arial" w:hAnsi="Arial" w:cs="Arial"/>
          <w:color w:val="7B7B7B" w:themeColor="accent3" w:themeShade="BF"/>
          <w:sz w:val="22"/>
          <w:szCs w:val="22"/>
          <w:lang w:val="en-GB"/>
        </w:rPr>
        <w:t>insolvency proceedings</w:t>
      </w:r>
      <w:r w:rsidR="006B7E43">
        <w:rPr>
          <w:rFonts w:ascii="Arial" w:hAnsi="Arial" w:cs="Arial"/>
          <w:color w:val="7B7B7B" w:themeColor="accent3" w:themeShade="BF"/>
          <w:sz w:val="22"/>
          <w:szCs w:val="22"/>
          <w:lang w:val="en-GB"/>
        </w:rPr>
        <w:t xml:space="preserve"> </w:t>
      </w:r>
      <w:r w:rsidR="007107F5">
        <w:rPr>
          <w:rFonts w:ascii="Arial" w:hAnsi="Arial" w:cs="Arial"/>
          <w:color w:val="7B7B7B" w:themeColor="accent3" w:themeShade="BF"/>
          <w:sz w:val="22"/>
          <w:szCs w:val="22"/>
          <w:lang w:val="en-GB"/>
        </w:rPr>
        <w:t xml:space="preserve">initiated </w:t>
      </w:r>
      <w:r w:rsidR="00902A31">
        <w:rPr>
          <w:rFonts w:ascii="Arial" w:hAnsi="Arial" w:cs="Arial"/>
          <w:color w:val="7B7B7B" w:themeColor="accent3" w:themeShade="BF"/>
          <w:sz w:val="22"/>
          <w:szCs w:val="22"/>
          <w:lang w:val="en-GB"/>
        </w:rPr>
        <w:t xml:space="preserve">prior to </w:t>
      </w:r>
      <w:r w:rsidR="00F15DE0">
        <w:rPr>
          <w:rFonts w:ascii="Arial" w:hAnsi="Arial" w:cs="Arial"/>
          <w:color w:val="7B7B7B" w:themeColor="accent3" w:themeShade="BF"/>
          <w:sz w:val="22"/>
          <w:szCs w:val="22"/>
          <w:lang w:val="en-GB"/>
        </w:rPr>
        <w:t>11 p.m. on 31 December 2020 (due to Brexit)</w:t>
      </w:r>
      <w:r w:rsidR="00902A31">
        <w:rPr>
          <w:rFonts w:ascii="Arial" w:hAnsi="Arial" w:cs="Arial"/>
          <w:color w:val="7B7B7B" w:themeColor="accent3" w:themeShade="BF"/>
          <w:sz w:val="22"/>
          <w:szCs w:val="22"/>
          <w:lang w:val="en-GB"/>
        </w:rPr>
        <w:t>.</w:t>
      </w:r>
      <w:r w:rsidR="006B7E43">
        <w:rPr>
          <w:rFonts w:ascii="Arial" w:hAnsi="Arial" w:cs="Arial"/>
          <w:color w:val="7B7B7B" w:themeColor="accent3" w:themeShade="BF"/>
          <w:sz w:val="22"/>
          <w:szCs w:val="22"/>
          <w:lang w:val="en-GB"/>
        </w:rPr>
        <w:t xml:space="preserve"> The insolvency proceedings must be one that falls within the description in Annex A of the regulations.</w:t>
      </w:r>
    </w:p>
    <w:p w14:paraId="70CD2D4A" w14:textId="5A024675" w:rsidR="00153499" w:rsidRDefault="00153499" w:rsidP="00B7193E">
      <w:pPr>
        <w:jc w:val="both"/>
        <w:rPr>
          <w:rFonts w:ascii="Arial" w:hAnsi="Arial" w:cs="Arial"/>
          <w:color w:val="7B7B7B" w:themeColor="accent3" w:themeShade="BF"/>
          <w:sz w:val="22"/>
          <w:szCs w:val="22"/>
          <w:lang w:val="en-GB"/>
        </w:rPr>
      </w:pPr>
    </w:p>
    <w:p w14:paraId="2455DDFB" w14:textId="6C8749B1" w:rsidR="00044DBA" w:rsidRDefault="00CE1A6D" w:rsidP="00CE1A6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044DBA">
        <w:rPr>
          <w:rFonts w:ascii="Arial" w:hAnsi="Arial" w:cs="Arial"/>
          <w:color w:val="7B7B7B" w:themeColor="accent3" w:themeShade="BF"/>
          <w:sz w:val="22"/>
          <w:szCs w:val="22"/>
          <w:lang w:val="en-GB"/>
        </w:rPr>
        <w:t>The EIR Recast establishes the applicable principles for determination of the propert</w:t>
      </w:r>
      <w:r w:rsidR="00427E85">
        <w:rPr>
          <w:rFonts w:ascii="Arial" w:hAnsi="Arial" w:cs="Arial"/>
          <w:color w:val="7B7B7B" w:themeColor="accent3" w:themeShade="BF"/>
          <w:sz w:val="22"/>
          <w:szCs w:val="22"/>
          <w:lang w:val="en-GB"/>
        </w:rPr>
        <w:t>y</w:t>
      </w:r>
      <w:r w:rsidR="00044DBA">
        <w:rPr>
          <w:rFonts w:ascii="Arial" w:hAnsi="Arial" w:cs="Arial"/>
          <w:color w:val="7B7B7B" w:themeColor="accent3" w:themeShade="BF"/>
          <w:sz w:val="22"/>
          <w:szCs w:val="22"/>
          <w:lang w:val="en-GB"/>
        </w:rPr>
        <w:t xml:space="preserve"> jurisdiction for insolvency proceedings, the applicable law to be applied in the proceedings</w:t>
      </w:r>
      <w:r w:rsidR="00427E85">
        <w:rPr>
          <w:rFonts w:ascii="Arial" w:hAnsi="Arial" w:cs="Arial"/>
          <w:color w:val="7B7B7B" w:themeColor="accent3" w:themeShade="BF"/>
          <w:sz w:val="22"/>
          <w:szCs w:val="22"/>
          <w:lang w:val="en-GB"/>
        </w:rPr>
        <w:t xml:space="preserve"> as well as the applicable principles for recognition where there are other insolvency proceedings commenced. </w:t>
      </w:r>
    </w:p>
    <w:p w14:paraId="47BD6211" w14:textId="77777777" w:rsidR="00044DBA" w:rsidRDefault="00044DBA" w:rsidP="00B7193E">
      <w:pPr>
        <w:jc w:val="both"/>
        <w:rPr>
          <w:rFonts w:ascii="Arial" w:hAnsi="Arial" w:cs="Arial"/>
          <w:color w:val="7B7B7B" w:themeColor="accent3" w:themeShade="BF"/>
          <w:sz w:val="22"/>
          <w:szCs w:val="22"/>
          <w:lang w:val="en-GB"/>
        </w:rPr>
      </w:pPr>
    </w:p>
    <w:p w14:paraId="661F08CF" w14:textId="484528C1" w:rsidR="00AE42E8" w:rsidRDefault="00CE1A6D" w:rsidP="00CE1A6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AE42E8">
        <w:rPr>
          <w:rFonts w:ascii="Arial" w:hAnsi="Arial" w:cs="Arial"/>
          <w:color w:val="7B7B7B" w:themeColor="accent3" w:themeShade="BF"/>
          <w:sz w:val="22"/>
          <w:szCs w:val="22"/>
          <w:lang w:val="en-GB"/>
        </w:rPr>
        <w:t xml:space="preserve">In considering whether insolvency proceedings should be initiated by ferns in another EU member state, it is necessary for Ferns to ascertain whether the EU member state is a jurisdiction where Rydell has an establishment, </w:t>
      </w:r>
      <w:r w:rsidR="008539F8">
        <w:rPr>
          <w:rFonts w:ascii="Arial" w:hAnsi="Arial" w:cs="Arial"/>
          <w:color w:val="7B7B7B" w:themeColor="accent3" w:themeShade="BF"/>
          <w:sz w:val="22"/>
          <w:szCs w:val="22"/>
          <w:lang w:val="en-GB"/>
        </w:rPr>
        <w:t>If</w:t>
      </w:r>
      <w:r w:rsidR="00AE42E8">
        <w:rPr>
          <w:rFonts w:ascii="Arial" w:hAnsi="Arial" w:cs="Arial"/>
          <w:color w:val="7B7B7B" w:themeColor="accent3" w:themeShade="BF"/>
          <w:sz w:val="22"/>
          <w:szCs w:val="22"/>
          <w:lang w:val="en-GB"/>
        </w:rPr>
        <w:t xml:space="preserve"> Rydell does not have an establishment in that EU member state, that EU member state will not be eligible to initiate insolvency proceedings. </w:t>
      </w:r>
    </w:p>
    <w:p w14:paraId="1062AE02" w14:textId="77777777" w:rsidR="00AE42E8" w:rsidRDefault="00AE42E8" w:rsidP="00B7193E">
      <w:pPr>
        <w:jc w:val="both"/>
        <w:rPr>
          <w:rFonts w:ascii="Arial" w:hAnsi="Arial" w:cs="Arial"/>
          <w:color w:val="7B7B7B" w:themeColor="accent3" w:themeShade="BF"/>
          <w:sz w:val="22"/>
          <w:szCs w:val="22"/>
          <w:lang w:val="en-GB"/>
        </w:rPr>
      </w:pPr>
    </w:p>
    <w:p w14:paraId="440EC8F8" w14:textId="015E57FA" w:rsidR="00AE42E8" w:rsidRDefault="00CE1A6D" w:rsidP="00CE1A6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r>
      <w:r w:rsidR="00EE0610">
        <w:rPr>
          <w:rFonts w:ascii="Arial" w:hAnsi="Arial" w:cs="Arial"/>
          <w:color w:val="7B7B7B" w:themeColor="accent3" w:themeShade="BF"/>
          <w:sz w:val="22"/>
          <w:szCs w:val="22"/>
          <w:lang w:val="en-GB"/>
        </w:rPr>
        <w:t>It is noted f</w:t>
      </w:r>
      <w:r w:rsidR="00AE42E8">
        <w:rPr>
          <w:rFonts w:ascii="Arial" w:hAnsi="Arial" w:cs="Arial"/>
          <w:color w:val="7B7B7B" w:themeColor="accent3" w:themeShade="BF"/>
          <w:sz w:val="22"/>
          <w:szCs w:val="22"/>
          <w:lang w:val="en-GB"/>
        </w:rPr>
        <w:t>r</w:t>
      </w:r>
      <w:r w:rsidR="00EE0610">
        <w:rPr>
          <w:rFonts w:ascii="Arial" w:hAnsi="Arial" w:cs="Arial"/>
          <w:color w:val="7B7B7B" w:themeColor="accent3" w:themeShade="BF"/>
          <w:sz w:val="22"/>
          <w:szCs w:val="22"/>
          <w:lang w:val="en-GB"/>
        </w:rPr>
        <w:t>o</w:t>
      </w:r>
      <w:r w:rsidR="00AE42E8">
        <w:rPr>
          <w:rFonts w:ascii="Arial" w:hAnsi="Arial" w:cs="Arial"/>
          <w:color w:val="7B7B7B" w:themeColor="accent3" w:themeShade="BF"/>
          <w:sz w:val="22"/>
          <w:szCs w:val="22"/>
          <w:lang w:val="en-GB"/>
        </w:rPr>
        <w:t xml:space="preserve">m the given narrative that Rydell has offices throughout Europe. </w:t>
      </w:r>
      <w:r w:rsidR="00750031">
        <w:rPr>
          <w:rFonts w:ascii="Arial" w:hAnsi="Arial" w:cs="Arial"/>
          <w:color w:val="7B7B7B" w:themeColor="accent3" w:themeShade="BF"/>
          <w:sz w:val="22"/>
          <w:szCs w:val="22"/>
          <w:lang w:val="en-GB"/>
        </w:rPr>
        <w:t xml:space="preserve">If Ferns decides to initiate insolvency proceedings </w:t>
      </w:r>
      <w:r w:rsidR="00AE42E8">
        <w:rPr>
          <w:rFonts w:ascii="Arial" w:hAnsi="Arial" w:cs="Arial"/>
          <w:color w:val="7B7B7B" w:themeColor="accent3" w:themeShade="BF"/>
          <w:sz w:val="22"/>
          <w:szCs w:val="22"/>
          <w:lang w:val="en-GB"/>
        </w:rPr>
        <w:t xml:space="preserve">in an EU member state, this assumes Ferns will be able </w:t>
      </w:r>
      <w:r w:rsidR="00085EB5">
        <w:rPr>
          <w:rFonts w:ascii="Arial" w:hAnsi="Arial" w:cs="Arial"/>
          <w:color w:val="7B7B7B" w:themeColor="accent3" w:themeShade="BF"/>
          <w:sz w:val="22"/>
          <w:szCs w:val="22"/>
          <w:lang w:val="en-GB"/>
        </w:rPr>
        <w:t>to</w:t>
      </w:r>
      <w:r w:rsidR="00AE42E8">
        <w:rPr>
          <w:rFonts w:ascii="Arial" w:hAnsi="Arial" w:cs="Arial"/>
          <w:color w:val="7B7B7B" w:themeColor="accent3" w:themeShade="BF"/>
          <w:sz w:val="22"/>
          <w:szCs w:val="22"/>
          <w:lang w:val="en-GB"/>
        </w:rPr>
        <w:t xml:space="preserve"> persuade the court in that EU member state that Rydell has an establishment in its jurisdiction. </w:t>
      </w:r>
    </w:p>
    <w:p w14:paraId="7B2D54B1" w14:textId="0A7CE8E6" w:rsidR="00AE42E8" w:rsidRDefault="00AE42E8" w:rsidP="00B7193E">
      <w:pPr>
        <w:jc w:val="both"/>
        <w:rPr>
          <w:rFonts w:ascii="Arial" w:hAnsi="Arial" w:cs="Arial"/>
          <w:color w:val="7B7B7B" w:themeColor="accent3" w:themeShade="BF"/>
          <w:sz w:val="22"/>
          <w:szCs w:val="22"/>
          <w:lang w:val="en-GB"/>
        </w:rPr>
      </w:pPr>
    </w:p>
    <w:p w14:paraId="74FF701B" w14:textId="7BB6F0B0" w:rsidR="00054602" w:rsidRDefault="00CE1A6D" w:rsidP="00CE1A6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ab/>
      </w:r>
      <w:r w:rsidR="00054602">
        <w:rPr>
          <w:rFonts w:ascii="Arial" w:hAnsi="Arial" w:cs="Arial"/>
          <w:color w:val="7B7B7B" w:themeColor="accent3" w:themeShade="BF"/>
          <w:sz w:val="22"/>
          <w:szCs w:val="22"/>
          <w:lang w:val="en-GB"/>
        </w:rPr>
        <w:t xml:space="preserve">Insolvency proceedings initiated in the EU member state will </w:t>
      </w:r>
      <w:r w:rsidR="00A869FA">
        <w:rPr>
          <w:rFonts w:ascii="Arial" w:hAnsi="Arial" w:cs="Arial"/>
          <w:color w:val="7B7B7B" w:themeColor="accent3" w:themeShade="BF"/>
          <w:sz w:val="22"/>
          <w:szCs w:val="22"/>
          <w:lang w:val="en-GB"/>
        </w:rPr>
        <w:t>b</w:t>
      </w:r>
      <w:r w:rsidR="00054602">
        <w:rPr>
          <w:rFonts w:ascii="Arial" w:hAnsi="Arial" w:cs="Arial"/>
          <w:color w:val="7B7B7B" w:themeColor="accent3" w:themeShade="BF"/>
          <w:sz w:val="22"/>
          <w:szCs w:val="22"/>
          <w:lang w:val="en-GB"/>
        </w:rPr>
        <w:t>e restricted to the assets of Rydell in that EU member state.</w:t>
      </w:r>
    </w:p>
    <w:p w14:paraId="2589A3B7" w14:textId="2C5A5BFA" w:rsidR="00054602" w:rsidRDefault="00054602" w:rsidP="00B7193E">
      <w:pPr>
        <w:jc w:val="both"/>
        <w:rPr>
          <w:rFonts w:ascii="Arial" w:hAnsi="Arial" w:cs="Arial"/>
          <w:color w:val="7B7B7B" w:themeColor="accent3" w:themeShade="BF"/>
          <w:sz w:val="22"/>
          <w:szCs w:val="22"/>
          <w:lang w:val="en-GB"/>
        </w:rPr>
      </w:pPr>
    </w:p>
    <w:p w14:paraId="53609177" w14:textId="19BF22E5" w:rsidR="00153499" w:rsidRDefault="00CE1A6D" w:rsidP="00CE1A6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ab/>
      </w:r>
      <w:r w:rsidR="00085EB5">
        <w:rPr>
          <w:rFonts w:ascii="Arial" w:hAnsi="Arial" w:cs="Arial"/>
          <w:color w:val="7B7B7B" w:themeColor="accent3" w:themeShade="BF"/>
          <w:sz w:val="22"/>
          <w:szCs w:val="22"/>
          <w:lang w:val="en-GB"/>
        </w:rPr>
        <w:t>Under the auspices of the EIR Recast, t</w:t>
      </w:r>
      <w:r w:rsidR="009C08D1">
        <w:rPr>
          <w:rFonts w:ascii="Arial" w:hAnsi="Arial" w:cs="Arial"/>
          <w:color w:val="7B7B7B" w:themeColor="accent3" w:themeShade="BF"/>
          <w:sz w:val="22"/>
          <w:szCs w:val="22"/>
          <w:lang w:val="en-GB"/>
        </w:rPr>
        <w:t xml:space="preserve">he proceedings in the </w:t>
      </w:r>
      <w:r w:rsidR="00085EB5">
        <w:rPr>
          <w:rFonts w:ascii="Arial" w:hAnsi="Arial" w:cs="Arial"/>
          <w:color w:val="7B7B7B" w:themeColor="accent3" w:themeShade="BF"/>
          <w:sz w:val="22"/>
          <w:szCs w:val="22"/>
          <w:lang w:val="en-GB"/>
        </w:rPr>
        <w:t xml:space="preserve">that </w:t>
      </w:r>
      <w:r w:rsidR="009C08D1">
        <w:rPr>
          <w:rFonts w:ascii="Arial" w:hAnsi="Arial" w:cs="Arial"/>
          <w:color w:val="7B7B7B" w:themeColor="accent3" w:themeShade="BF"/>
          <w:sz w:val="22"/>
          <w:szCs w:val="22"/>
          <w:lang w:val="en-GB"/>
        </w:rPr>
        <w:t xml:space="preserve">EU member state will be considered a secondary insolvency proceeding because </w:t>
      </w:r>
      <w:r w:rsidR="00855676">
        <w:rPr>
          <w:rFonts w:ascii="Arial" w:hAnsi="Arial" w:cs="Arial"/>
          <w:color w:val="7B7B7B" w:themeColor="accent3" w:themeShade="BF"/>
          <w:sz w:val="22"/>
          <w:szCs w:val="22"/>
          <w:lang w:val="en-GB"/>
        </w:rPr>
        <w:t xml:space="preserve">Rydell’s centre of main interests in is the UK and insolvency proceedings have already been commenced in the UK by the minor creditor. </w:t>
      </w:r>
    </w:p>
    <w:p w14:paraId="23133E9C" w14:textId="77777777" w:rsidR="00153499" w:rsidRDefault="00153499" w:rsidP="00B7193E">
      <w:pPr>
        <w:jc w:val="both"/>
        <w:rPr>
          <w:rFonts w:ascii="Arial" w:hAnsi="Arial" w:cs="Arial"/>
          <w:color w:val="7B7B7B" w:themeColor="accent3" w:themeShade="BF"/>
          <w:sz w:val="22"/>
          <w:szCs w:val="22"/>
          <w:lang w:val="en-GB"/>
        </w:rPr>
      </w:pPr>
    </w:p>
    <w:p w14:paraId="0A9B71AC" w14:textId="4C213271" w:rsidR="00E95CEE" w:rsidRDefault="00CE1A6D" w:rsidP="00CE1A6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w:t>
      </w:r>
      <w:r>
        <w:rPr>
          <w:rFonts w:ascii="Arial" w:hAnsi="Arial" w:cs="Arial"/>
          <w:color w:val="7B7B7B" w:themeColor="accent3" w:themeShade="BF"/>
          <w:sz w:val="22"/>
          <w:szCs w:val="22"/>
          <w:lang w:val="en-GB"/>
        </w:rPr>
        <w:tab/>
      </w:r>
      <w:r w:rsidR="00085EB5">
        <w:rPr>
          <w:rFonts w:ascii="Arial" w:hAnsi="Arial" w:cs="Arial"/>
          <w:color w:val="7B7B7B" w:themeColor="accent3" w:themeShade="BF"/>
          <w:sz w:val="22"/>
          <w:szCs w:val="22"/>
          <w:lang w:val="en-GB"/>
        </w:rPr>
        <w:t xml:space="preserve">The EIR Recast </w:t>
      </w:r>
      <w:r w:rsidR="00764A22">
        <w:rPr>
          <w:rFonts w:ascii="Arial" w:hAnsi="Arial" w:cs="Arial"/>
          <w:color w:val="7B7B7B" w:themeColor="accent3" w:themeShade="BF"/>
          <w:sz w:val="22"/>
          <w:szCs w:val="22"/>
          <w:lang w:val="en-GB"/>
        </w:rPr>
        <w:t>provides that t</w:t>
      </w:r>
      <w:r w:rsidR="00085EB5">
        <w:rPr>
          <w:rFonts w:ascii="Arial" w:hAnsi="Arial" w:cs="Arial"/>
          <w:color w:val="7B7B7B" w:themeColor="accent3" w:themeShade="BF"/>
          <w:sz w:val="22"/>
          <w:szCs w:val="22"/>
          <w:lang w:val="en-GB"/>
        </w:rPr>
        <w:t xml:space="preserve">he insolvency proceedings commenced in the UK will </w:t>
      </w:r>
      <w:r w:rsidR="00764A22">
        <w:rPr>
          <w:rFonts w:ascii="Arial" w:hAnsi="Arial" w:cs="Arial"/>
          <w:color w:val="7B7B7B" w:themeColor="accent3" w:themeShade="BF"/>
          <w:sz w:val="22"/>
          <w:szCs w:val="22"/>
          <w:lang w:val="en-GB"/>
        </w:rPr>
        <w:t>be automatically recognised in the other EU member states as the main proceeding and the laws of the UK will be the applicable law for the insolvency proceedings and provides a mechanism for coordination and cooperation among other EU member states with respect to insolvency proceedings</w:t>
      </w:r>
      <w:r w:rsidR="008F1FED">
        <w:rPr>
          <w:rFonts w:ascii="Arial" w:hAnsi="Arial" w:cs="Arial"/>
          <w:color w:val="7B7B7B" w:themeColor="accent3" w:themeShade="BF"/>
          <w:sz w:val="22"/>
          <w:szCs w:val="22"/>
          <w:lang w:val="en-GB"/>
        </w:rPr>
        <w:t>.</w:t>
      </w:r>
    </w:p>
    <w:p w14:paraId="12472C4D" w14:textId="77777777" w:rsidR="00E95CEE" w:rsidRDefault="00E95CEE" w:rsidP="00B7193E">
      <w:pPr>
        <w:jc w:val="both"/>
        <w:rPr>
          <w:rFonts w:ascii="Arial" w:hAnsi="Arial" w:cs="Arial"/>
          <w:color w:val="7B7B7B" w:themeColor="accent3" w:themeShade="BF"/>
          <w:sz w:val="22"/>
          <w:szCs w:val="22"/>
          <w:lang w:val="en-GB"/>
        </w:rPr>
      </w:pPr>
    </w:p>
    <w:p w14:paraId="0D37BBBB" w14:textId="04DDFCA5" w:rsidR="002F75A3" w:rsidRPr="00205B31" w:rsidRDefault="00CE1A6D" w:rsidP="00CE1A6D">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(h)</w:t>
      </w:r>
      <w:r>
        <w:rPr>
          <w:rFonts w:ascii="Arial" w:hAnsi="Arial" w:cs="Arial"/>
          <w:color w:val="7B7B7B" w:themeColor="accent3" w:themeShade="BF"/>
          <w:sz w:val="22"/>
          <w:szCs w:val="22"/>
          <w:lang w:val="en-GB"/>
        </w:rPr>
        <w:tab/>
      </w:r>
      <w:r w:rsidR="00E95CEE">
        <w:rPr>
          <w:rFonts w:ascii="Arial" w:hAnsi="Arial" w:cs="Arial"/>
          <w:color w:val="7B7B7B" w:themeColor="accent3" w:themeShade="BF"/>
          <w:sz w:val="22"/>
          <w:szCs w:val="22"/>
          <w:lang w:val="en-GB"/>
        </w:rPr>
        <w:t>Also</w:t>
      </w:r>
      <w:r w:rsidR="002E0238">
        <w:rPr>
          <w:rFonts w:ascii="Arial" w:hAnsi="Arial" w:cs="Arial"/>
          <w:color w:val="7B7B7B" w:themeColor="accent3" w:themeShade="BF"/>
          <w:sz w:val="22"/>
          <w:szCs w:val="22"/>
          <w:lang w:val="en-GB"/>
        </w:rPr>
        <w:t>,</w:t>
      </w:r>
      <w:r w:rsidR="00E95CEE">
        <w:rPr>
          <w:rFonts w:ascii="Arial" w:hAnsi="Arial" w:cs="Arial"/>
          <w:color w:val="7B7B7B" w:themeColor="accent3" w:themeShade="BF"/>
          <w:sz w:val="22"/>
          <w:szCs w:val="22"/>
          <w:lang w:val="en-GB"/>
        </w:rPr>
        <w:t xml:space="preserve"> while the EIR Recast is still in force, Fern need not commence separate insolvency proceedings and may instead participate in the proceedings that were commenced in the UK</w:t>
      </w:r>
      <w:r w:rsidR="002E0238">
        <w:rPr>
          <w:rFonts w:ascii="Arial" w:hAnsi="Arial" w:cs="Arial"/>
          <w:color w:val="7B7B7B" w:themeColor="accent3" w:themeShade="BF"/>
          <w:sz w:val="22"/>
          <w:szCs w:val="22"/>
          <w:lang w:val="en-GB"/>
        </w:rPr>
        <w:t xml:space="preserve"> by lodging a claim on Rydell. Foreign creditors are permitted to lodge </w:t>
      </w:r>
      <w:proofErr w:type="gramStart"/>
      <w:r w:rsidR="002E0238">
        <w:rPr>
          <w:rFonts w:ascii="Arial" w:hAnsi="Arial" w:cs="Arial"/>
          <w:color w:val="7B7B7B" w:themeColor="accent3" w:themeShade="BF"/>
          <w:sz w:val="22"/>
          <w:szCs w:val="22"/>
          <w:lang w:val="en-GB"/>
        </w:rPr>
        <w:t xml:space="preserve">claims </w:t>
      </w:r>
      <w:r w:rsidR="00E95CEE">
        <w:rPr>
          <w:rFonts w:ascii="Arial" w:hAnsi="Arial" w:cs="Arial"/>
          <w:color w:val="7B7B7B" w:themeColor="accent3" w:themeShade="BF"/>
          <w:sz w:val="22"/>
          <w:szCs w:val="22"/>
          <w:lang w:val="en-GB"/>
        </w:rPr>
        <w:t xml:space="preserve"> </w:t>
      </w:r>
      <w:r w:rsidR="00522426">
        <w:rPr>
          <w:rFonts w:ascii="Arial" w:hAnsi="Arial" w:cs="Arial"/>
          <w:color w:val="7B7B7B" w:themeColor="accent3" w:themeShade="BF"/>
          <w:sz w:val="22"/>
          <w:szCs w:val="22"/>
          <w:lang w:val="en-GB"/>
        </w:rPr>
        <w:t>in</w:t>
      </w:r>
      <w:proofErr w:type="gramEnd"/>
      <w:r w:rsidR="00522426">
        <w:rPr>
          <w:rFonts w:ascii="Arial" w:hAnsi="Arial" w:cs="Arial"/>
          <w:color w:val="7B7B7B" w:themeColor="accent3" w:themeShade="BF"/>
          <w:sz w:val="22"/>
          <w:szCs w:val="22"/>
          <w:lang w:val="en-GB"/>
        </w:rPr>
        <w:t xml:space="preserve"> insolvency proceedings and the UK court or the insolvency practitioner appointed by the court is required to immediately inform all known foreign creditors. </w:t>
      </w:r>
      <w:r w:rsidR="00E95CEE">
        <w:rPr>
          <w:rFonts w:ascii="Arial" w:hAnsi="Arial" w:cs="Arial"/>
          <w:color w:val="7B7B7B" w:themeColor="accent3" w:themeShade="BF"/>
          <w:sz w:val="22"/>
          <w:szCs w:val="22"/>
          <w:lang w:val="en-GB"/>
        </w:rPr>
        <w:t xml:space="preserve">Fern can conduct a search on Rydell in the </w:t>
      </w:r>
      <w:proofErr w:type="gramStart"/>
      <w:r w:rsidR="00E95CEE">
        <w:rPr>
          <w:rFonts w:ascii="Arial" w:hAnsi="Arial" w:cs="Arial"/>
          <w:color w:val="7B7B7B" w:themeColor="accent3" w:themeShade="BF"/>
          <w:sz w:val="22"/>
          <w:szCs w:val="22"/>
          <w:lang w:val="en-GB"/>
        </w:rPr>
        <w:t>UK  to</w:t>
      </w:r>
      <w:proofErr w:type="gramEnd"/>
      <w:r w:rsidR="00E95CEE">
        <w:rPr>
          <w:rFonts w:ascii="Arial" w:hAnsi="Arial" w:cs="Arial"/>
          <w:color w:val="7B7B7B" w:themeColor="accent3" w:themeShade="BF"/>
          <w:sz w:val="22"/>
          <w:szCs w:val="22"/>
          <w:lang w:val="en-GB"/>
        </w:rPr>
        <w:t xml:space="preserve"> ascertain the status of Rydell</w:t>
      </w:r>
      <w:r w:rsidR="002E0238">
        <w:rPr>
          <w:rFonts w:ascii="Arial" w:hAnsi="Arial" w:cs="Arial"/>
          <w:color w:val="7B7B7B" w:themeColor="accent3" w:themeShade="BF"/>
          <w:sz w:val="22"/>
          <w:szCs w:val="22"/>
          <w:lang w:val="en-GB"/>
        </w:rPr>
        <w:t>.</w:t>
      </w:r>
      <w:r w:rsidR="002F75A3" w:rsidRPr="00205B31">
        <w:rPr>
          <w:rFonts w:ascii="Arial" w:hAnsi="Arial" w:cs="Arial"/>
          <w:color w:val="7B7B7B" w:themeColor="accent3" w:themeShade="BF"/>
          <w:sz w:val="22"/>
          <w:szCs w:val="22"/>
          <w:lang w:val="en-GB"/>
        </w:rPr>
        <w:t>]</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00BAEAA2" w14:textId="420C9636" w:rsidR="00164A48" w:rsidRDefault="00C45A03" w:rsidP="00CE1A6D">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CE1A6D">
        <w:rPr>
          <w:rFonts w:ascii="Arial" w:hAnsi="Arial" w:cs="Arial"/>
          <w:color w:val="7B7B7B" w:themeColor="accent3" w:themeShade="BF"/>
          <w:sz w:val="22"/>
          <w:szCs w:val="22"/>
          <w:lang w:val="en-GB"/>
        </w:rPr>
        <w:t>(a)</w:t>
      </w:r>
      <w:r w:rsidR="00CE1A6D">
        <w:rPr>
          <w:rFonts w:ascii="Arial" w:hAnsi="Arial" w:cs="Arial"/>
          <w:color w:val="7B7B7B" w:themeColor="accent3" w:themeShade="BF"/>
          <w:sz w:val="22"/>
          <w:szCs w:val="22"/>
          <w:lang w:val="en-GB"/>
        </w:rPr>
        <w:tab/>
      </w:r>
      <w:r w:rsidR="00E362FB">
        <w:rPr>
          <w:rFonts w:ascii="Arial" w:hAnsi="Arial" w:cs="Arial"/>
          <w:color w:val="7B7B7B" w:themeColor="accent3" w:themeShade="BF"/>
          <w:sz w:val="22"/>
          <w:szCs w:val="22"/>
          <w:lang w:val="en-GB"/>
        </w:rPr>
        <w:t xml:space="preserve">Commencing on and from </w:t>
      </w:r>
      <w:r w:rsidR="00164A48">
        <w:rPr>
          <w:rFonts w:ascii="Arial" w:hAnsi="Arial" w:cs="Arial"/>
          <w:color w:val="7B7B7B" w:themeColor="accent3" w:themeShade="BF"/>
          <w:sz w:val="22"/>
          <w:szCs w:val="22"/>
          <w:lang w:val="en-GB"/>
        </w:rPr>
        <w:t>11 p.m. on 3</w:t>
      </w:r>
      <w:r w:rsidR="00E362FB">
        <w:rPr>
          <w:rFonts w:ascii="Arial" w:hAnsi="Arial" w:cs="Arial"/>
          <w:color w:val="7B7B7B" w:themeColor="accent3" w:themeShade="BF"/>
          <w:sz w:val="22"/>
          <w:szCs w:val="22"/>
          <w:lang w:val="en-GB"/>
        </w:rPr>
        <w:t xml:space="preserve">1 December 2020, the </w:t>
      </w:r>
      <w:r w:rsidR="00164A48">
        <w:rPr>
          <w:rFonts w:ascii="Arial" w:hAnsi="Arial" w:cs="Arial"/>
          <w:color w:val="7B7B7B" w:themeColor="accent3" w:themeShade="BF"/>
          <w:sz w:val="22"/>
          <w:szCs w:val="22"/>
          <w:lang w:val="en-GB"/>
        </w:rPr>
        <w:t xml:space="preserve">EIR Recast </w:t>
      </w:r>
      <w:r w:rsidR="00E362FB">
        <w:rPr>
          <w:rFonts w:ascii="Arial" w:hAnsi="Arial" w:cs="Arial"/>
          <w:color w:val="7B7B7B" w:themeColor="accent3" w:themeShade="BF"/>
          <w:sz w:val="22"/>
          <w:szCs w:val="22"/>
          <w:lang w:val="en-GB"/>
        </w:rPr>
        <w:t>ceased to apply in the UK. This is due to the UK’s exit from the European Union.</w:t>
      </w:r>
    </w:p>
    <w:p w14:paraId="1D78450F" w14:textId="123A9020" w:rsidR="00164A48" w:rsidRDefault="00164A48" w:rsidP="00C45A03">
      <w:pPr>
        <w:jc w:val="both"/>
        <w:rPr>
          <w:rFonts w:ascii="Arial" w:hAnsi="Arial" w:cs="Arial"/>
          <w:color w:val="7B7B7B" w:themeColor="accent3" w:themeShade="BF"/>
          <w:sz w:val="22"/>
          <w:szCs w:val="22"/>
          <w:lang w:val="en-GB"/>
        </w:rPr>
      </w:pPr>
    </w:p>
    <w:p w14:paraId="6BB7D2EB" w14:textId="4A51B522" w:rsidR="00B70C9A" w:rsidRDefault="00CE1A6D" w:rsidP="00CE1A6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A50925">
        <w:rPr>
          <w:rFonts w:ascii="Arial" w:hAnsi="Arial" w:cs="Arial"/>
          <w:color w:val="7B7B7B" w:themeColor="accent3" w:themeShade="BF"/>
          <w:sz w:val="22"/>
          <w:szCs w:val="22"/>
          <w:lang w:val="en-GB"/>
        </w:rPr>
        <w:t>In general</w:t>
      </w:r>
      <w:r w:rsidR="005514E4">
        <w:rPr>
          <w:rFonts w:ascii="Arial" w:hAnsi="Arial" w:cs="Arial"/>
          <w:color w:val="7B7B7B" w:themeColor="accent3" w:themeShade="BF"/>
          <w:sz w:val="22"/>
          <w:szCs w:val="22"/>
          <w:lang w:val="en-GB"/>
        </w:rPr>
        <w:t>,</w:t>
      </w:r>
      <w:r w:rsidR="00A50925">
        <w:rPr>
          <w:rFonts w:ascii="Arial" w:hAnsi="Arial" w:cs="Arial"/>
          <w:color w:val="7B7B7B" w:themeColor="accent3" w:themeShade="BF"/>
          <w:sz w:val="22"/>
          <w:szCs w:val="22"/>
          <w:lang w:val="en-GB"/>
        </w:rPr>
        <w:t xml:space="preserve"> w</w:t>
      </w:r>
      <w:r w:rsidR="00B70C9A">
        <w:rPr>
          <w:rFonts w:ascii="Arial" w:hAnsi="Arial" w:cs="Arial"/>
          <w:color w:val="7B7B7B" w:themeColor="accent3" w:themeShade="BF"/>
          <w:sz w:val="22"/>
          <w:szCs w:val="22"/>
          <w:lang w:val="en-GB"/>
        </w:rPr>
        <w:t xml:space="preserve">ithout the regime provided by the EIR Recast, </w:t>
      </w:r>
      <w:r w:rsidR="00A50925">
        <w:rPr>
          <w:rFonts w:ascii="Arial" w:hAnsi="Arial" w:cs="Arial"/>
          <w:color w:val="7B7B7B" w:themeColor="accent3" w:themeShade="BF"/>
          <w:sz w:val="22"/>
          <w:szCs w:val="22"/>
          <w:lang w:val="en-GB"/>
        </w:rPr>
        <w:t xml:space="preserve">there are a range of other </w:t>
      </w:r>
      <w:r w:rsidR="00B70C9A">
        <w:rPr>
          <w:rFonts w:ascii="Arial" w:hAnsi="Arial" w:cs="Arial"/>
          <w:color w:val="7B7B7B" w:themeColor="accent3" w:themeShade="BF"/>
          <w:sz w:val="22"/>
          <w:szCs w:val="22"/>
          <w:lang w:val="en-GB"/>
        </w:rPr>
        <w:t>legislative options</w:t>
      </w:r>
      <w:r w:rsidR="00462DB5">
        <w:rPr>
          <w:rFonts w:ascii="Arial" w:hAnsi="Arial" w:cs="Arial"/>
          <w:color w:val="7B7B7B" w:themeColor="accent3" w:themeShade="BF"/>
          <w:sz w:val="22"/>
          <w:szCs w:val="22"/>
          <w:lang w:val="en-GB"/>
        </w:rPr>
        <w:t xml:space="preserve"> </w:t>
      </w:r>
      <w:r w:rsidR="00A50925">
        <w:rPr>
          <w:rFonts w:ascii="Arial" w:hAnsi="Arial" w:cs="Arial"/>
          <w:color w:val="7B7B7B" w:themeColor="accent3" w:themeShade="BF"/>
          <w:sz w:val="22"/>
          <w:szCs w:val="22"/>
          <w:lang w:val="en-GB"/>
        </w:rPr>
        <w:t>pertaining to insolvency proceedings that Fern will have to consider and assess based on the applicable facts, which legislative options would be most advantageous for Fern</w:t>
      </w:r>
      <w:r w:rsidR="00522426">
        <w:rPr>
          <w:rFonts w:ascii="Arial" w:hAnsi="Arial" w:cs="Arial"/>
          <w:color w:val="7B7B7B" w:themeColor="accent3" w:themeShade="BF"/>
          <w:sz w:val="22"/>
          <w:szCs w:val="22"/>
          <w:lang w:val="en-GB"/>
        </w:rPr>
        <w:t xml:space="preserve">, such as </w:t>
      </w:r>
    </w:p>
    <w:p w14:paraId="43BC42CC" w14:textId="77777777" w:rsidR="00CE1A6D" w:rsidRDefault="00CE1A6D" w:rsidP="00C45A03">
      <w:pPr>
        <w:jc w:val="both"/>
        <w:rPr>
          <w:rFonts w:ascii="Arial" w:hAnsi="Arial" w:cs="Arial"/>
          <w:color w:val="7B7B7B" w:themeColor="accent3" w:themeShade="BF"/>
          <w:sz w:val="22"/>
          <w:szCs w:val="22"/>
          <w:lang w:val="en-GB"/>
        </w:rPr>
      </w:pPr>
    </w:p>
    <w:p w14:paraId="6D221CF4" w14:textId="1D2F0BAA" w:rsidR="00043AFF" w:rsidRDefault="00CE1A6D" w:rsidP="00CE1A6D">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b/>
      </w:r>
      <w:r w:rsidR="00A97399">
        <w:rPr>
          <w:rFonts w:ascii="Arial" w:hAnsi="Arial" w:cs="Arial"/>
          <w:color w:val="7B7B7B" w:themeColor="accent3" w:themeShade="BF"/>
          <w:sz w:val="22"/>
          <w:szCs w:val="22"/>
          <w:lang w:val="en-GB"/>
        </w:rPr>
        <w:t>t</w:t>
      </w:r>
      <w:r w:rsidR="00043AFF">
        <w:rPr>
          <w:rFonts w:ascii="Arial" w:hAnsi="Arial" w:cs="Arial"/>
          <w:color w:val="7B7B7B" w:themeColor="accent3" w:themeShade="BF"/>
          <w:sz w:val="22"/>
          <w:szCs w:val="22"/>
          <w:lang w:val="en-GB"/>
        </w:rPr>
        <w:t>he application of the UNCITRAL Model Law on cross Border Insolvency – For this to be applicable, it would be necessary to know what which EU member state Fern is from. Not all EU member states adopted the Model Law</w:t>
      </w:r>
      <w:r w:rsidR="00A97399">
        <w:rPr>
          <w:rFonts w:ascii="Arial" w:hAnsi="Arial" w:cs="Arial"/>
          <w:color w:val="7B7B7B" w:themeColor="accent3" w:themeShade="BF"/>
          <w:sz w:val="22"/>
          <w:szCs w:val="22"/>
          <w:lang w:val="en-GB"/>
        </w:rPr>
        <w:t>; or</w:t>
      </w:r>
    </w:p>
    <w:p w14:paraId="6CFBE61E" w14:textId="16B7FF64" w:rsidR="007F440A" w:rsidRDefault="007F440A" w:rsidP="00CE1A6D">
      <w:pPr>
        <w:ind w:left="1440" w:hanging="720"/>
        <w:jc w:val="both"/>
        <w:rPr>
          <w:rFonts w:ascii="Arial" w:hAnsi="Arial" w:cs="Arial"/>
          <w:color w:val="7B7B7B" w:themeColor="accent3" w:themeShade="BF"/>
          <w:sz w:val="22"/>
          <w:szCs w:val="22"/>
          <w:lang w:val="en-GB"/>
        </w:rPr>
      </w:pPr>
    </w:p>
    <w:p w14:paraId="2BCD67C9" w14:textId="7CFE67F9" w:rsidR="007F440A" w:rsidRDefault="00CE1A6D" w:rsidP="00CE1A6D">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ab/>
      </w:r>
      <w:r w:rsidR="00A97399">
        <w:rPr>
          <w:rFonts w:ascii="Arial" w:hAnsi="Arial" w:cs="Arial"/>
          <w:color w:val="7B7B7B" w:themeColor="accent3" w:themeShade="BF"/>
          <w:sz w:val="22"/>
          <w:szCs w:val="22"/>
          <w:lang w:val="en-GB"/>
        </w:rPr>
        <w:t>t</w:t>
      </w:r>
      <w:r w:rsidR="00FF50C6">
        <w:rPr>
          <w:rFonts w:ascii="Arial" w:hAnsi="Arial" w:cs="Arial"/>
          <w:color w:val="7B7B7B" w:themeColor="accent3" w:themeShade="BF"/>
          <w:sz w:val="22"/>
          <w:szCs w:val="22"/>
          <w:lang w:val="en-GB"/>
        </w:rPr>
        <w:t xml:space="preserve">he application of the law of the country that Fern is from - </w:t>
      </w:r>
      <w:r w:rsidR="007F440A">
        <w:rPr>
          <w:rFonts w:ascii="Arial" w:hAnsi="Arial" w:cs="Arial"/>
          <w:color w:val="7B7B7B" w:themeColor="accent3" w:themeShade="BF"/>
          <w:sz w:val="22"/>
          <w:szCs w:val="22"/>
          <w:lang w:val="en-GB"/>
        </w:rPr>
        <w:t xml:space="preserve">If Fern is from a country that did not adopt the Model Law, </w:t>
      </w:r>
      <w:r w:rsidR="005941E6">
        <w:rPr>
          <w:rFonts w:ascii="Arial" w:hAnsi="Arial" w:cs="Arial"/>
          <w:color w:val="7B7B7B" w:themeColor="accent3" w:themeShade="BF"/>
          <w:sz w:val="22"/>
          <w:szCs w:val="22"/>
          <w:lang w:val="en-GB"/>
        </w:rPr>
        <w:t>it would still be necessary to know which country Fern is from. The insolvency laws of that state will have to be studied to ascertain it has any ‘cross-border’ insolvency laws that may be helpful to Fern</w:t>
      </w:r>
      <w:r w:rsidR="00FF50C6">
        <w:rPr>
          <w:rFonts w:ascii="Arial" w:hAnsi="Arial" w:cs="Arial"/>
          <w:color w:val="7B7B7B" w:themeColor="accent3" w:themeShade="BF"/>
          <w:sz w:val="22"/>
          <w:szCs w:val="22"/>
          <w:lang w:val="en-GB"/>
        </w:rPr>
        <w:t xml:space="preserve"> (e.g., recognition provisions, assistance provisions</w:t>
      </w:r>
      <w:r>
        <w:rPr>
          <w:rFonts w:ascii="Arial" w:hAnsi="Arial" w:cs="Arial"/>
          <w:color w:val="7B7B7B" w:themeColor="accent3" w:themeShade="BF"/>
          <w:sz w:val="22"/>
          <w:szCs w:val="22"/>
          <w:lang w:val="en-GB"/>
        </w:rPr>
        <w:t>)</w:t>
      </w:r>
      <w:r w:rsidR="00FF50C6">
        <w:rPr>
          <w:rFonts w:ascii="Arial" w:hAnsi="Arial" w:cs="Arial"/>
          <w:color w:val="7B7B7B" w:themeColor="accent3" w:themeShade="BF"/>
          <w:sz w:val="22"/>
          <w:szCs w:val="22"/>
          <w:lang w:val="en-GB"/>
        </w:rPr>
        <w:t>.</w:t>
      </w:r>
    </w:p>
    <w:p w14:paraId="67EA3749" w14:textId="1F57CA15" w:rsidR="00CE1A6D" w:rsidRDefault="00CE1A6D" w:rsidP="00CE1A6D">
      <w:pPr>
        <w:ind w:left="1440" w:hanging="720"/>
        <w:jc w:val="both"/>
        <w:rPr>
          <w:rFonts w:ascii="Arial" w:hAnsi="Arial" w:cs="Arial"/>
          <w:color w:val="7B7B7B" w:themeColor="accent3" w:themeShade="BF"/>
          <w:sz w:val="22"/>
          <w:szCs w:val="22"/>
          <w:lang w:val="en-GB"/>
        </w:rPr>
      </w:pPr>
    </w:p>
    <w:p w14:paraId="1256E6FF" w14:textId="38DE0292" w:rsidR="00015EE6" w:rsidRPr="00205B31" w:rsidRDefault="00CE1A6D" w:rsidP="008C7480">
      <w:pPr>
        <w:ind w:left="1440" w:hanging="720"/>
        <w:jc w:val="both"/>
        <w:rPr>
          <w:rFonts w:ascii="Arial" w:hAnsi="Arial" w:cs="Arial"/>
          <w:sz w:val="22"/>
          <w:szCs w:val="22"/>
          <w:lang w:val="en-GB"/>
        </w:rPr>
      </w:pPr>
      <w:r>
        <w:rPr>
          <w:rFonts w:ascii="Arial" w:hAnsi="Arial" w:cs="Arial"/>
          <w:color w:val="7B7B7B" w:themeColor="accent3" w:themeShade="BF"/>
          <w:sz w:val="22"/>
          <w:szCs w:val="22"/>
          <w:lang w:val="en-GB"/>
        </w:rPr>
        <w:t>(iii)</w:t>
      </w:r>
      <w:r>
        <w:rPr>
          <w:rFonts w:ascii="Arial" w:hAnsi="Arial" w:cs="Arial"/>
          <w:color w:val="7B7B7B" w:themeColor="accent3" w:themeShade="BF"/>
          <w:sz w:val="22"/>
          <w:szCs w:val="22"/>
          <w:lang w:val="en-GB"/>
        </w:rPr>
        <w:tab/>
      </w:r>
      <w:r w:rsidR="00A97399">
        <w:rPr>
          <w:rFonts w:ascii="Arial" w:hAnsi="Arial" w:cs="Arial"/>
          <w:color w:val="7B7B7B" w:themeColor="accent3" w:themeShade="BF"/>
          <w:sz w:val="22"/>
          <w:szCs w:val="22"/>
          <w:lang w:val="en-GB"/>
        </w:rPr>
        <w:t>t</w:t>
      </w:r>
      <w:r w:rsidRPr="00A97399">
        <w:rPr>
          <w:rFonts w:ascii="Arial" w:hAnsi="Arial" w:cs="Arial"/>
          <w:color w:val="7B7B7B" w:themeColor="accent3" w:themeShade="BF"/>
          <w:sz w:val="22"/>
          <w:szCs w:val="22"/>
          <w:lang w:val="en-GB"/>
        </w:rPr>
        <w:t>he</w:t>
      </w:r>
      <w:r>
        <w:rPr>
          <w:rFonts w:ascii="Arial" w:hAnsi="Arial" w:cs="Arial"/>
          <w:color w:val="7B7B7B" w:themeColor="accent3" w:themeShade="BF"/>
          <w:sz w:val="22"/>
          <w:szCs w:val="22"/>
          <w:lang w:val="en-GB"/>
        </w:rPr>
        <w:t xml:space="preserve"> application of the UK Insolvency Act 1986, section 426 – </w:t>
      </w:r>
      <w:r w:rsidR="00A97399">
        <w:rPr>
          <w:rFonts w:ascii="Arial" w:hAnsi="Arial" w:cs="Arial"/>
          <w:color w:val="7B7B7B" w:themeColor="accent3" w:themeShade="BF"/>
          <w:sz w:val="22"/>
          <w:szCs w:val="22"/>
          <w:lang w:val="en-GB"/>
        </w:rPr>
        <w:t>where proceedings are instituted in Fern’s jurisdiction, it would be helpful to ascertain whether UK courts have authority to recognise and render cooperation to a foreign court in a foreign insolvency proceeding as well as authority to determine which laws would apply to the foreign insolvency proceeding (i.e., UK law or the law representing Fern’s jurisdiction. It would still be relevant to know which country Fern is from because the Insolvency Act 1986 has a list of countries that are recognised by a UK court.</w:t>
      </w:r>
      <w:r w:rsidR="00C45A03" w:rsidRPr="00205B31">
        <w:rPr>
          <w:rFonts w:ascii="Arial" w:hAnsi="Arial" w:cs="Arial"/>
          <w:color w:val="7B7B7B" w:themeColor="accent3" w:themeShade="BF"/>
          <w:sz w:val="22"/>
          <w:szCs w:val="22"/>
          <w:lang w:val="en-GB"/>
        </w:rPr>
        <w:t>]</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2E600DD8" w14:textId="530CD2D0" w:rsidR="009E1698" w:rsidRDefault="00015EE6" w:rsidP="00CA65A1">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CA65A1">
        <w:rPr>
          <w:rFonts w:ascii="Arial" w:hAnsi="Arial" w:cs="Arial"/>
          <w:color w:val="7B7B7B" w:themeColor="accent3" w:themeShade="BF"/>
          <w:sz w:val="22"/>
          <w:szCs w:val="22"/>
          <w:lang w:val="en-GB"/>
        </w:rPr>
        <w:t>(a)</w:t>
      </w:r>
      <w:r w:rsidR="00CA65A1">
        <w:rPr>
          <w:rFonts w:ascii="Arial" w:hAnsi="Arial" w:cs="Arial"/>
          <w:color w:val="7B7B7B" w:themeColor="accent3" w:themeShade="BF"/>
          <w:sz w:val="22"/>
          <w:szCs w:val="22"/>
          <w:lang w:val="en-GB"/>
        </w:rPr>
        <w:tab/>
      </w:r>
      <w:r w:rsidR="00BD4594">
        <w:rPr>
          <w:rFonts w:ascii="Arial" w:hAnsi="Arial" w:cs="Arial"/>
          <w:color w:val="7B7B7B" w:themeColor="accent3" w:themeShade="BF"/>
          <w:sz w:val="22"/>
          <w:szCs w:val="22"/>
          <w:lang w:val="en-GB"/>
        </w:rPr>
        <w:t xml:space="preserve">EU laws ceased to apply to the UK after 11 p.m. on 31 December 2020. </w:t>
      </w:r>
      <w:r w:rsidR="009E1698">
        <w:rPr>
          <w:rFonts w:ascii="Arial" w:hAnsi="Arial" w:cs="Arial"/>
          <w:color w:val="7B7B7B" w:themeColor="accent3" w:themeShade="BF"/>
          <w:sz w:val="22"/>
          <w:szCs w:val="22"/>
          <w:lang w:val="en-GB"/>
        </w:rPr>
        <w:t xml:space="preserve">A UK domestic law that may be relevant to consider would be section 221(5) of the Insolvency Act 1986. </w:t>
      </w:r>
    </w:p>
    <w:p w14:paraId="32E28306" w14:textId="77777777" w:rsidR="009E1698" w:rsidRDefault="009E1698" w:rsidP="00CA65A1">
      <w:pPr>
        <w:ind w:left="720" w:hanging="720"/>
        <w:jc w:val="both"/>
        <w:rPr>
          <w:rFonts w:ascii="Arial" w:hAnsi="Arial" w:cs="Arial"/>
          <w:color w:val="7B7B7B" w:themeColor="accent3" w:themeShade="BF"/>
          <w:sz w:val="22"/>
          <w:szCs w:val="22"/>
          <w:lang w:val="en-GB"/>
        </w:rPr>
      </w:pPr>
    </w:p>
    <w:p w14:paraId="499B62EB" w14:textId="08ABE079" w:rsidR="009E1698" w:rsidRDefault="00A1717C" w:rsidP="00CA65A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9E1698">
        <w:rPr>
          <w:rFonts w:ascii="Arial" w:hAnsi="Arial" w:cs="Arial"/>
          <w:color w:val="7B7B7B" w:themeColor="accent3" w:themeShade="BF"/>
          <w:sz w:val="22"/>
          <w:szCs w:val="22"/>
          <w:lang w:val="en-GB"/>
        </w:rPr>
        <w:t>This assumes that Rydell does not satisfy the requirements under the Companies Act 2006 (Part 34), pertaining to overseas companies.</w:t>
      </w:r>
    </w:p>
    <w:p w14:paraId="3C574037" w14:textId="53D32DD6" w:rsidR="009E1698" w:rsidRDefault="009E1698" w:rsidP="00CA65A1">
      <w:pPr>
        <w:ind w:left="720" w:hanging="720"/>
        <w:jc w:val="both"/>
        <w:rPr>
          <w:rFonts w:ascii="Arial" w:hAnsi="Arial" w:cs="Arial"/>
          <w:color w:val="7B7B7B" w:themeColor="accent3" w:themeShade="BF"/>
          <w:sz w:val="22"/>
          <w:szCs w:val="22"/>
          <w:lang w:val="en-GB"/>
        </w:rPr>
      </w:pPr>
    </w:p>
    <w:p w14:paraId="67923C43" w14:textId="21F21A85" w:rsidR="009E1698" w:rsidRDefault="00A1717C" w:rsidP="00CA65A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9E1698">
        <w:rPr>
          <w:rFonts w:ascii="Arial" w:hAnsi="Arial" w:cs="Arial"/>
          <w:color w:val="7B7B7B" w:themeColor="accent3" w:themeShade="BF"/>
          <w:sz w:val="22"/>
          <w:szCs w:val="22"/>
          <w:lang w:val="en-GB"/>
        </w:rPr>
        <w:t xml:space="preserve">In order to rely on section 221(5) of the Insolvency Act 1986, the minor creditor will have to show that formal insolvency proceedings in the UK is warranted </w:t>
      </w:r>
      <w:proofErr w:type="gramStart"/>
      <w:r w:rsidR="009E1698">
        <w:rPr>
          <w:rFonts w:ascii="Arial" w:hAnsi="Arial" w:cs="Arial"/>
          <w:color w:val="7B7B7B" w:themeColor="accent3" w:themeShade="BF"/>
          <w:sz w:val="22"/>
          <w:szCs w:val="22"/>
          <w:lang w:val="en-GB"/>
        </w:rPr>
        <w:t>on</w:t>
      </w:r>
      <w:r w:rsidR="00A70AF1">
        <w:rPr>
          <w:rFonts w:ascii="Arial" w:hAnsi="Arial" w:cs="Arial"/>
          <w:color w:val="7B7B7B" w:themeColor="accent3" w:themeShade="BF"/>
          <w:sz w:val="22"/>
          <w:szCs w:val="22"/>
          <w:lang w:val="en-GB"/>
        </w:rPr>
        <w:t xml:space="preserve"> the basis of</w:t>
      </w:r>
      <w:proofErr w:type="gramEnd"/>
      <w:r w:rsidR="009E1698">
        <w:rPr>
          <w:rFonts w:ascii="Arial" w:hAnsi="Arial" w:cs="Arial"/>
          <w:color w:val="7B7B7B" w:themeColor="accent3" w:themeShade="BF"/>
          <w:sz w:val="22"/>
          <w:szCs w:val="22"/>
          <w:lang w:val="en-GB"/>
        </w:rPr>
        <w:t xml:space="preserve"> any of the following circumstances:</w:t>
      </w:r>
    </w:p>
    <w:p w14:paraId="249B79D4" w14:textId="7B9D8936" w:rsidR="009E1698" w:rsidRDefault="009E1698" w:rsidP="00CA65A1">
      <w:pPr>
        <w:ind w:left="720" w:hanging="720"/>
        <w:jc w:val="both"/>
        <w:rPr>
          <w:rFonts w:ascii="Arial" w:hAnsi="Arial" w:cs="Arial"/>
          <w:color w:val="7B7B7B" w:themeColor="accent3" w:themeShade="BF"/>
          <w:sz w:val="22"/>
          <w:szCs w:val="22"/>
          <w:lang w:val="en-GB"/>
        </w:rPr>
      </w:pPr>
    </w:p>
    <w:p w14:paraId="65A5DC98" w14:textId="63277449" w:rsidR="009E1698" w:rsidRDefault="009E1698" w:rsidP="009E1698">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b/>
      </w:r>
      <w:r w:rsidR="0036630E">
        <w:rPr>
          <w:rFonts w:ascii="Arial" w:hAnsi="Arial" w:cs="Arial"/>
          <w:color w:val="7B7B7B" w:themeColor="accent3" w:themeShade="BF"/>
          <w:sz w:val="22"/>
          <w:szCs w:val="22"/>
          <w:lang w:val="en-GB"/>
        </w:rPr>
        <w:t>that Rydell is dissolved or has ceased to carry on business or is carrying on business only for the purpose of winding-up its affairs</w:t>
      </w:r>
      <w:r w:rsidR="00A70AF1">
        <w:rPr>
          <w:rFonts w:ascii="Arial" w:hAnsi="Arial" w:cs="Arial"/>
          <w:color w:val="7B7B7B" w:themeColor="accent3" w:themeShade="BF"/>
          <w:sz w:val="22"/>
          <w:szCs w:val="22"/>
          <w:lang w:val="en-GB"/>
        </w:rPr>
        <w:t xml:space="preserve"> (with the established </w:t>
      </w:r>
      <w:r w:rsidR="00A70AF1">
        <w:rPr>
          <w:rFonts w:ascii="Arial" w:hAnsi="Arial" w:cs="Arial"/>
          <w:color w:val="7B7B7B" w:themeColor="accent3" w:themeShade="BF"/>
          <w:sz w:val="22"/>
          <w:szCs w:val="22"/>
          <w:lang w:val="en-GB"/>
        </w:rPr>
        <w:lastRenderedPageBreak/>
        <w:t>precedent that Rydell must have “sufficient connection” with England and Wales)</w:t>
      </w:r>
      <w:r w:rsidR="0036630E">
        <w:rPr>
          <w:rFonts w:ascii="Arial" w:hAnsi="Arial" w:cs="Arial"/>
          <w:color w:val="7B7B7B" w:themeColor="accent3" w:themeShade="BF"/>
          <w:sz w:val="22"/>
          <w:szCs w:val="22"/>
          <w:lang w:val="en-GB"/>
        </w:rPr>
        <w:t>;</w:t>
      </w:r>
      <w:r w:rsidR="00A70AF1">
        <w:rPr>
          <w:rFonts w:ascii="Arial" w:hAnsi="Arial" w:cs="Arial"/>
          <w:color w:val="7B7B7B" w:themeColor="accent3" w:themeShade="BF"/>
          <w:sz w:val="22"/>
          <w:szCs w:val="22"/>
          <w:lang w:val="en-GB"/>
        </w:rPr>
        <w:t xml:space="preserve"> or</w:t>
      </w:r>
    </w:p>
    <w:p w14:paraId="24E160C7" w14:textId="754A66F7" w:rsidR="0036630E" w:rsidRDefault="0036630E" w:rsidP="009E1698">
      <w:pPr>
        <w:ind w:left="1440" w:hanging="720"/>
        <w:jc w:val="both"/>
        <w:rPr>
          <w:rFonts w:ascii="Arial" w:hAnsi="Arial" w:cs="Arial"/>
          <w:color w:val="7B7B7B" w:themeColor="accent3" w:themeShade="BF"/>
          <w:sz w:val="22"/>
          <w:szCs w:val="22"/>
          <w:lang w:val="en-GB"/>
        </w:rPr>
      </w:pPr>
    </w:p>
    <w:p w14:paraId="425D062B" w14:textId="5C06DBB8" w:rsidR="0036630E" w:rsidRDefault="0036630E" w:rsidP="009E1698">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ab/>
        <w:t>that Rydell is unable to pay its debts;</w:t>
      </w:r>
      <w:r w:rsidR="00A70AF1">
        <w:rPr>
          <w:rFonts w:ascii="Arial" w:hAnsi="Arial" w:cs="Arial"/>
          <w:color w:val="7B7B7B" w:themeColor="accent3" w:themeShade="BF"/>
          <w:sz w:val="22"/>
          <w:szCs w:val="22"/>
          <w:lang w:val="en-GB"/>
        </w:rPr>
        <w:t xml:space="preserve"> or</w:t>
      </w:r>
    </w:p>
    <w:p w14:paraId="6BF8C101" w14:textId="4111340E" w:rsidR="0036630E" w:rsidRDefault="0036630E" w:rsidP="009E1698">
      <w:pPr>
        <w:ind w:left="1440" w:hanging="720"/>
        <w:jc w:val="both"/>
        <w:rPr>
          <w:rFonts w:ascii="Arial" w:hAnsi="Arial" w:cs="Arial"/>
          <w:color w:val="7B7B7B" w:themeColor="accent3" w:themeShade="BF"/>
          <w:sz w:val="22"/>
          <w:szCs w:val="22"/>
          <w:lang w:val="en-GB"/>
        </w:rPr>
      </w:pPr>
    </w:p>
    <w:p w14:paraId="4C06DE1E" w14:textId="0F13D74A" w:rsidR="0036630E" w:rsidRDefault="0036630E" w:rsidP="009E1698">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(iii)  </w:t>
      </w:r>
      <w:r>
        <w:rPr>
          <w:rFonts w:ascii="Arial" w:hAnsi="Arial" w:cs="Arial"/>
          <w:color w:val="7B7B7B" w:themeColor="accent3" w:themeShade="BF"/>
          <w:sz w:val="22"/>
          <w:szCs w:val="22"/>
          <w:lang w:val="en-GB"/>
        </w:rPr>
        <w:tab/>
        <w:t>that it would be just and equitable for Rydell to be wound-up (so that the court if it agrees with this position. may exercise its jurisdiction to wind-up Rydell).</w:t>
      </w:r>
    </w:p>
    <w:p w14:paraId="67F17CFF" w14:textId="7BA4F459" w:rsidR="009E1698" w:rsidRDefault="009E1698" w:rsidP="00CA65A1">
      <w:pPr>
        <w:ind w:left="720" w:hanging="720"/>
        <w:jc w:val="both"/>
        <w:rPr>
          <w:rFonts w:ascii="Arial" w:hAnsi="Arial" w:cs="Arial"/>
          <w:color w:val="7B7B7B" w:themeColor="accent3" w:themeShade="BF"/>
          <w:sz w:val="22"/>
          <w:szCs w:val="22"/>
          <w:lang w:val="en-GB"/>
        </w:rPr>
      </w:pPr>
    </w:p>
    <w:p w14:paraId="023F06C0" w14:textId="35CB9FA5" w:rsidR="00A70AF1" w:rsidRDefault="00BD4594" w:rsidP="00CA65A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r>
      <w:r w:rsidR="00A70AF1">
        <w:rPr>
          <w:rFonts w:ascii="Arial" w:hAnsi="Arial" w:cs="Arial"/>
          <w:color w:val="7B7B7B" w:themeColor="accent3" w:themeShade="BF"/>
          <w:sz w:val="22"/>
          <w:szCs w:val="22"/>
          <w:lang w:val="en-GB"/>
        </w:rPr>
        <w:t xml:space="preserve">Regarding the established precedent to show that there must be “sufficient connection” with England and Wales, it </w:t>
      </w:r>
      <w:r w:rsidR="005F2CB3">
        <w:rPr>
          <w:rFonts w:ascii="Arial" w:hAnsi="Arial" w:cs="Arial"/>
          <w:color w:val="7B7B7B" w:themeColor="accent3" w:themeShade="BF"/>
          <w:sz w:val="22"/>
          <w:szCs w:val="22"/>
          <w:lang w:val="en-GB"/>
        </w:rPr>
        <w:t>would be necessary for the minor creditor to demonstrate that the insolvency proceedings in the UK satisfi</w:t>
      </w:r>
      <w:r w:rsidR="00264088">
        <w:rPr>
          <w:rFonts w:ascii="Arial" w:hAnsi="Arial" w:cs="Arial"/>
          <w:color w:val="7B7B7B" w:themeColor="accent3" w:themeShade="BF"/>
          <w:sz w:val="22"/>
          <w:szCs w:val="22"/>
          <w:lang w:val="en-GB"/>
        </w:rPr>
        <w:t>es</w:t>
      </w:r>
      <w:r w:rsidR="005F2CB3">
        <w:rPr>
          <w:rFonts w:ascii="Arial" w:hAnsi="Arial" w:cs="Arial"/>
          <w:color w:val="7B7B7B" w:themeColor="accent3" w:themeShade="BF"/>
          <w:sz w:val="22"/>
          <w:szCs w:val="22"/>
          <w:lang w:val="en-GB"/>
        </w:rPr>
        <w:t xml:space="preserve"> the following requirements:</w:t>
      </w:r>
    </w:p>
    <w:p w14:paraId="286585BD" w14:textId="146CE4D2" w:rsidR="005F2CB3" w:rsidRDefault="005F2CB3" w:rsidP="00CA65A1">
      <w:pPr>
        <w:ind w:left="720" w:hanging="720"/>
        <w:jc w:val="both"/>
        <w:rPr>
          <w:rFonts w:ascii="Arial" w:hAnsi="Arial" w:cs="Arial"/>
          <w:color w:val="7B7B7B" w:themeColor="accent3" w:themeShade="BF"/>
          <w:sz w:val="22"/>
          <w:szCs w:val="22"/>
          <w:lang w:val="en-GB"/>
        </w:rPr>
      </w:pPr>
    </w:p>
    <w:p w14:paraId="260D5E38" w14:textId="5791A5C5" w:rsidR="00E17B14" w:rsidRDefault="00D461C0" w:rsidP="00D461C0">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b/>
      </w:r>
      <w:r w:rsidR="00E17B14">
        <w:rPr>
          <w:rFonts w:ascii="Arial" w:hAnsi="Arial" w:cs="Arial"/>
          <w:color w:val="7B7B7B" w:themeColor="accent3" w:themeShade="BF"/>
          <w:sz w:val="22"/>
          <w:szCs w:val="22"/>
          <w:lang w:val="en-GB"/>
        </w:rPr>
        <w:t>There is sufficient connection with England and Wales, which does not necessarily have to be assets situated in England and Wales</w:t>
      </w:r>
      <w:r w:rsidR="00BD4594">
        <w:rPr>
          <w:rFonts w:ascii="Arial" w:hAnsi="Arial" w:cs="Arial"/>
          <w:color w:val="7B7B7B" w:themeColor="accent3" w:themeShade="BF"/>
          <w:sz w:val="22"/>
          <w:szCs w:val="22"/>
          <w:lang w:val="en-GB"/>
        </w:rPr>
        <w:t xml:space="preserve"> (e.g., the governing law set out in agreements signed by the minor creditor and Fern is the law of England and Wales</w:t>
      </w:r>
      <w:proofErr w:type="gramStart"/>
      <w:r w:rsidR="00BD4594">
        <w:rPr>
          <w:rFonts w:ascii="Arial" w:hAnsi="Arial" w:cs="Arial"/>
          <w:color w:val="7B7B7B" w:themeColor="accent3" w:themeShade="BF"/>
          <w:sz w:val="22"/>
          <w:szCs w:val="22"/>
          <w:lang w:val="en-GB"/>
        </w:rPr>
        <w:t>)</w:t>
      </w:r>
      <w:r w:rsidR="00E17B14">
        <w:rPr>
          <w:rFonts w:ascii="Arial" w:hAnsi="Arial" w:cs="Arial"/>
          <w:color w:val="7B7B7B" w:themeColor="accent3" w:themeShade="BF"/>
          <w:sz w:val="22"/>
          <w:szCs w:val="22"/>
          <w:lang w:val="en-GB"/>
        </w:rPr>
        <w:t>;</w:t>
      </w:r>
      <w:proofErr w:type="gramEnd"/>
    </w:p>
    <w:p w14:paraId="0516CDDA" w14:textId="0FFB8B1E" w:rsidR="005620C6" w:rsidRDefault="005620C6" w:rsidP="00CA65A1">
      <w:pPr>
        <w:ind w:left="720" w:hanging="720"/>
        <w:jc w:val="both"/>
        <w:rPr>
          <w:rFonts w:ascii="Arial" w:hAnsi="Arial" w:cs="Arial"/>
          <w:color w:val="7B7B7B" w:themeColor="accent3" w:themeShade="BF"/>
          <w:sz w:val="22"/>
          <w:szCs w:val="22"/>
          <w:lang w:val="en-GB"/>
        </w:rPr>
      </w:pPr>
    </w:p>
    <w:p w14:paraId="4014A7EF" w14:textId="3B1A4158" w:rsidR="005620C6" w:rsidRDefault="00D461C0" w:rsidP="00D461C0">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ab/>
      </w:r>
      <w:r w:rsidR="005620C6">
        <w:rPr>
          <w:rFonts w:ascii="Arial" w:hAnsi="Arial" w:cs="Arial"/>
          <w:color w:val="7B7B7B" w:themeColor="accent3" w:themeShade="BF"/>
          <w:sz w:val="22"/>
          <w:szCs w:val="22"/>
          <w:lang w:val="en-GB"/>
        </w:rPr>
        <w:t>That there is a reasonable possibility that if a winding-up order is made, it would be of benefit to the minor creditor in its capacity as the applicant in the insolvency proceedings</w:t>
      </w:r>
      <w:r>
        <w:rPr>
          <w:rFonts w:ascii="Arial" w:hAnsi="Arial" w:cs="Arial"/>
          <w:color w:val="7B7B7B" w:themeColor="accent3" w:themeShade="BF"/>
          <w:sz w:val="22"/>
          <w:szCs w:val="22"/>
          <w:lang w:val="en-GB"/>
        </w:rPr>
        <w:t xml:space="preserve"> (which appears to be the case</w:t>
      </w:r>
      <w:proofErr w:type="gramStart"/>
      <w:r>
        <w:rPr>
          <w:rFonts w:ascii="Arial" w:hAnsi="Arial" w:cs="Arial"/>
          <w:color w:val="7B7B7B" w:themeColor="accent3" w:themeShade="BF"/>
          <w:sz w:val="22"/>
          <w:szCs w:val="22"/>
          <w:lang w:val="en-GB"/>
        </w:rPr>
        <w:t>)</w:t>
      </w:r>
      <w:r w:rsidR="005620C6">
        <w:rPr>
          <w:rFonts w:ascii="Arial" w:hAnsi="Arial" w:cs="Arial"/>
          <w:color w:val="7B7B7B" w:themeColor="accent3" w:themeShade="BF"/>
          <w:sz w:val="22"/>
          <w:szCs w:val="22"/>
          <w:lang w:val="en-GB"/>
        </w:rPr>
        <w:t>;</w:t>
      </w:r>
      <w:proofErr w:type="gramEnd"/>
      <w:r w:rsidR="005620C6">
        <w:rPr>
          <w:rFonts w:ascii="Arial" w:hAnsi="Arial" w:cs="Arial"/>
          <w:color w:val="7B7B7B" w:themeColor="accent3" w:themeShade="BF"/>
          <w:sz w:val="22"/>
          <w:szCs w:val="22"/>
          <w:lang w:val="en-GB"/>
        </w:rPr>
        <w:t xml:space="preserve"> </w:t>
      </w:r>
    </w:p>
    <w:p w14:paraId="5089F5F9" w14:textId="1927C059" w:rsidR="005620C6" w:rsidRDefault="005620C6" w:rsidP="00CA65A1">
      <w:pPr>
        <w:ind w:left="720" w:hanging="720"/>
        <w:jc w:val="both"/>
        <w:rPr>
          <w:rFonts w:ascii="Arial" w:hAnsi="Arial" w:cs="Arial"/>
          <w:color w:val="7B7B7B" w:themeColor="accent3" w:themeShade="BF"/>
          <w:sz w:val="22"/>
          <w:szCs w:val="22"/>
          <w:lang w:val="en-GB"/>
        </w:rPr>
      </w:pPr>
    </w:p>
    <w:p w14:paraId="250ACC82" w14:textId="330DDC89" w:rsidR="005620C6" w:rsidRDefault="00D461C0" w:rsidP="00D461C0">
      <w:pPr>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w:t>
      </w:r>
      <w:r>
        <w:rPr>
          <w:rFonts w:ascii="Arial" w:hAnsi="Arial" w:cs="Arial"/>
          <w:color w:val="7B7B7B" w:themeColor="accent3" w:themeShade="BF"/>
          <w:sz w:val="22"/>
          <w:szCs w:val="22"/>
          <w:lang w:val="en-GB"/>
        </w:rPr>
        <w:tab/>
      </w:r>
      <w:r w:rsidR="005620C6">
        <w:rPr>
          <w:rFonts w:ascii="Arial" w:hAnsi="Arial" w:cs="Arial"/>
          <w:color w:val="7B7B7B" w:themeColor="accent3" w:themeShade="BF"/>
          <w:sz w:val="22"/>
          <w:szCs w:val="22"/>
          <w:lang w:val="en-GB"/>
        </w:rPr>
        <w:t>One or more persons interested in the distribution of the assets of Rydell is an entity that the UK court has jurisdiction over</w:t>
      </w:r>
      <w:r>
        <w:rPr>
          <w:rFonts w:ascii="Arial" w:hAnsi="Arial" w:cs="Arial"/>
          <w:color w:val="7B7B7B" w:themeColor="accent3" w:themeShade="BF"/>
          <w:sz w:val="22"/>
          <w:szCs w:val="22"/>
          <w:lang w:val="en-GB"/>
        </w:rPr>
        <w:t xml:space="preserve"> (assumes the minor creditor falls within this condition as well)</w:t>
      </w:r>
      <w:r w:rsidR="005620C6">
        <w:rPr>
          <w:rFonts w:ascii="Arial" w:hAnsi="Arial" w:cs="Arial"/>
          <w:color w:val="7B7B7B" w:themeColor="accent3" w:themeShade="BF"/>
          <w:sz w:val="22"/>
          <w:szCs w:val="22"/>
          <w:lang w:val="en-GB"/>
        </w:rPr>
        <w:t xml:space="preserve">. </w:t>
      </w:r>
    </w:p>
    <w:p w14:paraId="13109534" w14:textId="5CC5DFD1" w:rsidR="00D461C0" w:rsidRDefault="00D461C0" w:rsidP="00CA65A1">
      <w:pPr>
        <w:ind w:left="720" w:hanging="720"/>
        <w:jc w:val="both"/>
        <w:rPr>
          <w:rFonts w:ascii="Arial" w:hAnsi="Arial" w:cs="Arial"/>
          <w:color w:val="7B7B7B" w:themeColor="accent3" w:themeShade="BF"/>
          <w:sz w:val="22"/>
          <w:szCs w:val="22"/>
          <w:lang w:val="en-GB"/>
        </w:rPr>
      </w:pPr>
    </w:p>
    <w:p w14:paraId="3CAE42BE" w14:textId="02D7899C" w:rsidR="00015EE6" w:rsidRPr="00205B31" w:rsidRDefault="004474B1" w:rsidP="009E169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ab/>
        <w:t>It would also be relevant to consider whether the insolvency proceedings commenced by the minor creditor in the UK will be recognised in the EU member state where Rydell is registered or has its COMI. As EU laws ceased to apply to the UK after 11 p.m. on 31 December 2020, an assessment of the availability of recognition, cooperation and coordination mechanisms in a foreign jurisdictions will be determined by whether the EU member state has adopted UNCITRAL Model Law on Cross Border Insolvency (There are not many EU states that have adopted the Model Law) or whether the EU member state has domestic laws that provide recognition, cooperation and coordination mechanisms where the for insolvency proceedings that originate from foreign jurisdictions.</w:t>
      </w:r>
      <w:r w:rsidR="00015EE6" w:rsidRPr="00205B31">
        <w:rPr>
          <w:rFonts w:ascii="Arial" w:hAnsi="Arial" w:cs="Arial"/>
          <w:color w:val="7B7B7B" w:themeColor="accent3" w:themeShade="BF"/>
          <w:sz w:val="22"/>
          <w:szCs w:val="22"/>
          <w:lang w:val="en-GB"/>
        </w:rPr>
        <w:t>]</w:t>
      </w: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6BCD" w14:textId="77777777" w:rsidR="009F42A1" w:rsidRDefault="009F42A1" w:rsidP="00241B44">
      <w:r>
        <w:separator/>
      </w:r>
    </w:p>
  </w:endnote>
  <w:endnote w:type="continuationSeparator" w:id="0">
    <w:p w14:paraId="1BB5C0AB" w14:textId="77777777" w:rsidR="009F42A1" w:rsidRDefault="009F42A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209DA95B" w:rsidR="006E1CB0" w:rsidRPr="0052732A" w:rsidRDefault="00D21768" w:rsidP="0052732A">
    <w:pPr>
      <w:pStyle w:val="Footer"/>
      <w:ind w:right="360"/>
      <w:rPr>
        <w:rFonts w:ascii="Arial" w:hAnsi="Arial" w:cs="Arial"/>
        <w:sz w:val="18"/>
        <w:szCs w:val="18"/>
      </w:rPr>
    </w:pPr>
    <w:r>
      <w:rPr>
        <w:rFonts w:ascii="Arial" w:hAnsi="Arial" w:cs="Arial"/>
        <w:sz w:val="18"/>
        <w:szCs w:val="18"/>
      </w:rPr>
      <w:t>202021IFU-382</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A8ACA" w14:textId="77777777" w:rsidR="009F42A1" w:rsidRDefault="009F42A1" w:rsidP="00241B44">
      <w:r>
        <w:separator/>
      </w:r>
    </w:p>
  </w:footnote>
  <w:footnote w:type="continuationSeparator" w:id="0">
    <w:p w14:paraId="2337F970" w14:textId="77777777" w:rsidR="009F42A1" w:rsidRDefault="009F42A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545"/>
    <w:rsid w:val="000009F5"/>
    <w:rsid w:val="00001BF6"/>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3AFF"/>
    <w:rsid w:val="00044D46"/>
    <w:rsid w:val="00044DBA"/>
    <w:rsid w:val="00045088"/>
    <w:rsid w:val="00045904"/>
    <w:rsid w:val="00045DC7"/>
    <w:rsid w:val="00046789"/>
    <w:rsid w:val="00051138"/>
    <w:rsid w:val="000521C4"/>
    <w:rsid w:val="000522AA"/>
    <w:rsid w:val="00052A5E"/>
    <w:rsid w:val="00054602"/>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5EB5"/>
    <w:rsid w:val="00086BDD"/>
    <w:rsid w:val="00090933"/>
    <w:rsid w:val="00093BE8"/>
    <w:rsid w:val="00093FE2"/>
    <w:rsid w:val="0009471C"/>
    <w:rsid w:val="000A01B9"/>
    <w:rsid w:val="000A0C1B"/>
    <w:rsid w:val="000A68ED"/>
    <w:rsid w:val="000A74CA"/>
    <w:rsid w:val="000B5B93"/>
    <w:rsid w:val="000B5FF1"/>
    <w:rsid w:val="000B609F"/>
    <w:rsid w:val="000C0328"/>
    <w:rsid w:val="000D36F8"/>
    <w:rsid w:val="000D55A8"/>
    <w:rsid w:val="000D57BE"/>
    <w:rsid w:val="000D6876"/>
    <w:rsid w:val="000E0165"/>
    <w:rsid w:val="000E3A82"/>
    <w:rsid w:val="000E3C5A"/>
    <w:rsid w:val="000E4841"/>
    <w:rsid w:val="000E5CB4"/>
    <w:rsid w:val="000E723D"/>
    <w:rsid w:val="000F0DC0"/>
    <w:rsid w:val="000F0FFF"/>
    <w:rsid w:val="000F1677"/>
    <w:rsid w:val="000F3D6C"/>
    <w:rsid w:val="000F58B0"/>
    <w:rsid w:val="00100A77"/>
    <w:rsid w:val="00101707"/>
    <w:rsid w:val="00105CBD"/>
    <w:rsid w:val="001107F2"/>
    <w:rsid w:val="00110E0C"/>
    <w:rsid w:val="001131C6"/>
    <w:rsid w:val="00113AA4"/>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3499"/>
    <w:rsid w:val="0015456D"/>
    <w:rsid w:val="00161F1B"/>
    <w:rsid w:val="001620AF"/>
    <w:rsid w:val="00162829"/>
    <w:rsid w:val="0016472D"/>
    <w:rsid w:val="00164A48"/>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1CB0"/>
    <w:rsid w:val="001B5016"/>
    <w:rsid w:val="001B5678"/>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42F3"/>
    <w:rsid w:val="001F603D"/>
    <w:rsid w:val="001F7412"/>
    <w:rsid w:val="001F7C77"/>
    <w:rsid w:val="00202C2B"/>
    <w:rsid w:val="00204193"/>
    <w:rsid w:val="00205231"/>
    <w:rsid w:val="00205A19"/>
    <w:rsid w:val="00205B31"/>
    <w:rsid w:val="002063B7"/>
    <w:rsid w:val="0020725B"/>
    <w:rsid w:val="00211B46"/>
    <w:rsid w:val="00212B14"/>
    <w:rsid w:val="00215A76"/>
    <w:rsid w:val="00216499"/>
    <w:rsid w:val="002164C0"/>
    <w:rsid w:val="00216CB4"/>
    <w:rsid w:val="002173C5"/>
    <w:rsid w:val="00223780"/>
    <w:rsid w:val="0022719C"/>
    <w:rsid w:val="002362AB"/>
    <w:rsid w:val="002400DB"/>
    <w:rsid w:val="002406A4"/>
    <w:rsid w:val="0024116D"/>
    <w:rsid w:val="00241B44"/>
    <w:rsid w:val="002432B7"/>
    <w:rsid w:val="00245EFB"/>
    <w:rsid w:val="002529D2"/>
    <w:rsid w:val="0025386E"/>
    <w:rsid w:val="002638B0"/>
    <w:rsid w:val="00264088"/>
    <w:rsid w:val="0026510C"/>
    <w:rsid w:val="0026647A"/>
    <w:rsid w:val="002668D3"/>
    <w:rsid w:val="00266F17"/>
    <w:rsid w:val="002672D0"/>
    <w:rsid w:val="0027242B"/>
    <w:rsid w:val="0027299F"/>
    <w:rsid w:val="00275182"/>
    <w:rsid w:val="00275946"/>
    <w:rsid w:val="002823AE"/>
    <w:rsid w:val="00282AEF"/>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0AD"/>
    <w:rsid w:val="002C3547"/>
    <w:rsid w:val="002D0021"/>
    <w:rsid w:val="002D10A3"/>
    <w:rsid w:val="002D295D"/>
    <w:rsid w:val="002D3473"/>
    <w:rsid w:val="002E0238"/>
    <w:rsid w:val="002E37B7"/>
    <w:rsid w:val="002E4A02"/>
    <w:rsid w:val="002E4A1F"/>
    <w:rsid w:val="002E4D35"/>
    <w:rsid w:val="002E66F4"/>
    <w:rsid w:val="002F1956"/>
    <w:rsid w:val="002F2B8D"/>
    <w:rsid w:val="002F3440"/>
    <w:rsid w:val="002F3B17"/>
    <w:rsid w:val="002F5DD8"/>
    <w:rsid w:val="002F75A3"/>
    <w:rsid w:val="002F75CD"/>
    <w:rsid w:val="002F7EB5"/>
    <w:rsid w:val="0030201F"/>
    <w:rsid w:val="00303C2F"/>
    <w:rsid w:val="0030558B"/>
    <w:rsid w:val="0030654F"/>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630E"/>
    <w:rsid w:val="00367162"/>
    <w:rsid w:val="00372CD4"/>
    <w:rsid w:val="0037465A"/>
    <w:rsid w:val="0038255B"/>
    <w:rsid w:val="00382C98"/>
    <w:rsid w:val="0038325E"/>
    <w:rsid w:val="00384604"/>
    <w:rsid w:val="00384E3D"/>
    <w:rsid w:val="00385041"/>
    <w:rsid w:val="0038533C"/>
    <w:rsid w:val="00386E95"/>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165C"/>
    <w:rsid w:val="003D3045"/>
    <w:rsid w:val="003D4300"/>
    <w:rsid w:val="003D6AC4"/>
    <w:rsid w:val="003E064D"/>
    <w:rsid w:val="003E0B16"/>
    <w:rsid w:val="003E2478"/>
    <w:rsid w:val="003E2D1B"/>
    <w:rsid w:val="003E67D1"/>
    <w:rsid w:val="003F3E5A"/>
    <w:rsid w:val="003F655E"/>
    <w:rsid w:val="003F74D9"/>
    <w:rsid w:val="00404EF7"/>
    <w:rsid w:val="00405DC1"/>
    <w:rsid w:val="00414BF9"/>
    <w:rsid w:val="00415DFF"/>
    <w:rsid w:val="00415F1F"/>
    <w:rsid w:val="0042108F"/>
    <w:rsid w:val="004214D4"/>
    <w:rsid w:val="00425001"/>
    <w:rsid w:val="00426969"/>
    <w:rsid w:val="00426B64"/>
    <w:rsid w:val="00427E85"/>
    <w:rsid w:val="00430FED"/>
    <w:rsid w:val="00434A8C"/>
    <w:rsid w:val="00437297"/>
    <w:rsid w:val="00437ABE"/>
    <w:rsid w:val="00440AC5"/>
    <w:rsid w:val="00444284"/>
    <w:rsid w:val="004442F1"/>
    <w:rsid w:val="00445CE6"/>
    <w:rsid w:val="004474B1"/>
    <w:rsid w:val="004534C2"/>
    <w:rsid w:val="00453967"/>
    <w:rsid w:val="0045446F"/>
    <w:rsid w:val="00454C9D"/>
    <w:rsid w:val="0045683E"/>
    <w:rsid w:val="0046142D"/>
    <w:rsid w:val="0046274F"/>
    <w:rsid w:val="0046298C"/>
    <w:rsid w:val="00462DB5"/>
    <w:rsid w:val="00463259"/>
    <w:rsid w:val="004659E0"/>
    <w:rsid w:val="00470A63"/>
    <w:rsid w:val="00470C55"/>
    <w:rsid w:val="004715C1"/>
    <w:rsid w:val="004731F4"/>
    <w:rsid w:val="00481FC8"/>
    <w:rsid w:val="00482A25"/>
    <w:rsid w:val="00482FE3"/>
    <w:rsid w:val="00486065"/>
    <w:rsid w:val="00486776"/>
    <w:rsid w:val="004868BB"/>
    <w:rsid w:val="00491675"/>
    <w:rsid w:val="00493855"/>
    <w:rsid w:val="00497558"/>
    <w:rsid w:val="00497CF9"/>
    <w:rsid w:val="004A2FE6"/>
    <w:rsid w:val="004A57DD"/>
    <w:rsid w:val="004A5EE6"/>
    <w:rsid w:val="004A7B51"/>
    <w:rsid w:val="004A7D71"/>
    <w:rsid w:val="004A7EF3"/>
    <w:rsid w:val="004B0EBE"/>
    <w:rsid w:val="004B10C5"/>
    <w:rsid w:val="004B11FD"/>
    <w:rsid w:val="004B23A2"/>
    <w:rsid w:val="004B25E4"/>
    <w:rsid w:val="004B428D"/>
    <w:rsid w:val="004B607C"/>
    <w:rsid w:val="004C1999"/>
    <w:rsid w:val="004C1DA6"/>
    <w:rsid w:val="004C2602"/>
    <w:rsid w:val="004C51AE"/>
    <w:rsid w:val="004C5E4F"/>
    <w:rsid w:val="004C6A1D"/>
    <w:rsid w:val="004C7030"/>
    <w:rsid w:val="004D1A5A"/>
    <w:rsid w:val="004D2FFF"/>
    <w:rsid w:val="004D3721"/>
    <w:rsid w:val="004D64F9"/>
    <w:rsid w:val="004D687E"/>
    <w:rsid w:val="004E4224"/>
    <w:rsid w:val="004E5A14"/>
    <w:rsid w:val="004E622C"/>
    <w:rsid w:val="004E64DB"/>
    <w:rsid w:val="004F1534"/>
    <w:rsid w:val="004F2DD1"/>
    <w:rsid w:val="004F3375"/>
    <w:rsid w:val="004F3C09"/>
    <w:rsid w:val="004F55F1"/>
    <w:rsid w:val="004F5FDF"/>
    <w:rsid w:val="0050156C"/>
    <w:rsid w:val="005059A4"/>
    <w:rsid w:val="00515756"/>
    <w:rsid w:val="00515F63"/>
    <w:rsid w:val="005177FE"/>
    <w:rsid w:val="00522426"/>
    <w:rsid w:val="0052263B"/>
    <w:rsid w:val="00524728"/>
    <w:rsid w:val="00525459"/>
    <w:rsid w:val="00525C99"/>
    <w:rsid w:val="0052732A"/>
    <w:rsid w:val="00530010"/>
    <w:rsid w:val="00530CA0"/>
    <w:rsid w:val="00532283"/>
    <w:rsid w:val="005323A7"/>
    <w:rsid w:val="005331CA"/>
    <w:rsid w:val="00533A7B"/>
    <w:rsid w:val="0053523A"/>
    <w:rsid w:val="00537970"/>
    <w:rsid w:val="00540E3A"/>
    <w:rsid w:val="00542E08"/>
    <w:rsid w:val="005433D7"/>
    <w:rsid w:val="00543941"/>
    <w:rsid w:val="00544127"/>
    <w:rsid w:val="005508BB"/>
    <w:rsid w:val="005514E4"/>
    <w:rsid w:val="00553EB2"/>
    <w:rsid w:val="00555076"/>
    <w:rsid w:val="00560534"/>
    <w:rsid w:val="005620C6"/>
    <w:rsid w:val="0056391B"/>
    <w:rsid w:val="005650E2"/>
    <w:rsid w:val="00566D80"/>
    <w:rsid w:val="00567608"/>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41E6"/>
    <w:rsid w:val="005953ED"/>
    <w:rsid w:val="00595AB5"/>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5BB"/>
    <w:rsid w:val="005C6778"/>
    <w:rsid w:val="005C6D15"/>
    <w:rsid w:val="005D0511"/>
    <w:rsid w:val="005D27C7"/>
    <w:rsid w:val="005D3437"/>
    <w:rsid w:val="005D43E0"/>
    <w:rsid w:val="005D58A3"/>
    <w:rsid w:val="005E1B79"/>
    <w:rsid w:val="005E1EA8"/>
    <w:rsid w:val="005E20E9"/>
    <w:rsid w:val="005E605E"/>
    <w:rsid w:val="005E645E"/>
    <w:rsid w:val="005F026D"/>
    <w:rsid w:val="005F244F"/>
    <w:rsid w:val="005F2CB3"/>
    <w:rsid w:val="005F2D0B"/>
    <w:rsid w:val="005F453F"/>
    <w:rsid w:val="005F4B31"/>
    <w:rsid w:val="005F5449"/>
    <w:rsid w:val="005F6059"/>
    <w:rsid w:val="0060397D"/>
    <w:rsid w:val="00610388"/>
    <w:rsid w:val="00612092"/>
    <w:rsid w:val="00612CA5"/>
    <w:rsid w:val="00614D99"/>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43C6D"/>
    <w:rsid w:val="00651A93"/>
    <w:rsid w:val="006521CD"/>
    <w:rsid w:val="00652A22"/>
    <w:rsid w:val="00653584"/>
    <w:rsid w:val="00654C2F"/>
    <w:rsid w:val="00655438"/>
    <w:rsid w:val="00657087"/>
    <w:rsid w:val="0065715A"/>
    <w:rsid w:val="006661EF"/>
    <w:rsid w:val="006721EE"/>
    <w:rsid w:val="006725A4"/>
    <w:rsid w:val="006746CB"/>
    <w:rsid w:val="00677AEB"/>
    <w:rsid w:val="00680EF2"/>
    <w:rsid w:val="00682A3E"/>
    <w:rsid w:val="006850AE"/>
    <w:rsid w:val="00686C53"/>
    <w:rsid w:val="00687A1D"/>
    <w:rsid w:val="00697EA1"/>
    <w:rsid w:val="006A2646"/>
    <w:rsid w:val="006A3F73"/>
    <w:rsid w:val="006A6530"/>
    <w:rsid w:val="006A695F"/>
    <w:rsid w:val="006A6D1D"/>
    <w:rsid w:val="006B2893"/>
    <w:rsid w:val="006B435A"/>
    <w:rsid w:val="006B4C64"/>
    <w:rsid w:val="006B5AE8"/>
    <w:rsid w:val="006B7E43"/>
    <w:rsid w:val="006D0529"/>
    <w:rsid w:val="006D1775"/>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07F5"/>
    <w:rsid w:val="00713DA4"/>
    <w:rsid w:val="007142FA"/>
    <w:rsid w:val="00714BF1"/>
    <w:rsid w:val="0071591C"/>
    <w:rsid w:val="00715B26"/>
    <w:rsid w:val="00720DC2"/>
    <w:rsid w:val="00721383"/>
    <w:rsid w:val="007216AD"/>
    <w:rsid w:val="00726E9A"/>
    <w:rsid w:val="00727864"/>
    <w:rsid w:val="007333CC"/>
    <w:rsid w:val="007335D8"/>
    <w:rsid w:val="0073399A"/>
    <w:rsid w:val="007357C7"/>
    <w:rsid w:val="007369C7"/>
    <w:rsid w:val="00743531"/>
    <w:rsid w:val="007462D9"/>
    <w:rsid w:val="00750031"/>
    <w:rsid w:val="00751986"/>
    <w:rsid w:val="0075428A"/>
    <w:rsid w:val="00755B87"/>
    <w:rsid w:val="00756ABD"/>
    <w:rsid w:val="007576A3"/>
    <w:rsid w:val="007603F5"/>
    <w:rsid w:val="00760A70"/>
    <w:rsid w:val="0076181C"/>
    <w:rsid w:val="00764A22"/>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A2C82"/>
    <w:rsid w:val="007A57FF"/>
    <w:rsid w:val="007B1E13"/>
    <w:rsid w:val="007C0111"/>
    <w:rsid w:val="007C0663"/>
    <w:rsid w:val="007C1FCC"/>
    <w:rsid w:val="007C2831"/>
    <w:rsid w:val="007C2AA1"/>
    <w:rsid w:val="007C6201"/>
    <w:rsid w:val="007C6568"/>
    <w:rsid w:val="007D0348"/>
    <w:rsid w:val="007D1E28"/>
    <w:rsid w:val="007D78DF"/>
    <w:rsid w:val="007D7C92"/>
    <w:rsid w:val="007D7E30"/>
    <w:rsid w:val="007E1154"/>
    <w:rsid w:val="007E3AA5"/>
    <w:rsid w:val="007E3ADF"/>
    <w:rsid w:val="007E530F"/>
    <w:rsid w:val="007E6BA4"/>
    <w:rsid w:val="007F19A2"/>
    <w:rsid w:val="007F41F8"/>
    <w:rsid w:val="007F440A"/>
    <w:rsid w:val="00804000"/>
    <w:rsid w:val="0080454E"/>
    <w:rsid w:val="00804C32"/>
    <w:rsid w:val="00806302"/>
    <w:rsid w:val="00807119"/>
    <w:rsid w:val="00811865"/>
    <w:rsid w:val="00814A55"/>
    <w:rsid w:val="0082291F"/>
    <w:rsid w:val="0082483F"/>
    <w:rsid w:val="008279C0"/>
    <w:rsid w:val="008312CC"/>
    <w:rsid w:val="00835237"/>
    <w:rsid w:val="00841E70"/>
    <w:rsid w:val="008440AE"/>
    <w:rsid w:val="008473AA"/>
    <w:rsid w:val="00852883"/>
    <w:rsid w:val="00852F37"/>
    <w:rsid w:val="008539F8"/>
    <w:rsid w:val="00855676"/>
    <w:rsid w:val="0085568F"/>
    <w:rsid w:val="008571F6"/>
    <w:rsid w:val="00861E51"/>
    <w:rsid w:val="00863EFD"/>
    <w:rsid w:val="00870B96"/>
    <w:rsid w:val="008723F3"/>
    <w:rsid w:val="00873246"/>
    <w:rsid w:val="00875E2E"/>
    <w:rsid w:val="00880F99"/>
    <w:rsid w:val="0088115E"/>
    <w:rsid w:val="00881DA8"/>
    <w:rsid w:val="00881DE6"/>
    <w:rsid w:val="008837A6"/>
    <w:rsid w:val="0088500E"/>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C7480"/>
    <w:rsid w:val="008D0122"/>
    <w:rsid w:val="008D03E6"/>
    <w:rsid w:val="008D3E17"/>
    <w:rsid w:val="008D5D34"/>
    <w:rsid w:val="008D7718"/>
    <w:rsid w:val="008E220E"/>
    <w:rsid w:val="008E3339"/>
    <w:rsid w:val="008E64D3"/>
    <w:rsid w:val="008E6F11"/>
    <w:rsid w:val="008F1FED"/>
    <w:rsid w:val="008F20FC"/>
    <w:rsid w:val="008F50C4"/>
    <w:rsid w:val="008F5FFE"/>
    <w:rsid w:val="0090037B"/>
    <w:rsid w:val="00902A31"/>
    <w:rsid w:val="00905A43"/>
    <w:rsid w:val="00905D1F"/>
    <w:rsid w:val="009078CE"/>
    <w:rsid w:val="009108EF"/>
    <w:rsid w:val="00911C23"/>
    <w:rsid w:val="00912C79"/>
    <w:rsid w:val="00913FB9"/>
    <w:rsid w:val="00915010"/>
    <w:rsid w:val="0091528C"/>
    <w:rsid w:val="009173D1"/>
    <w:rsid w:val="00923CCC"/>
    <w:rsid w:val="00926D10"/>
    <w:rsid w:val="009275FE"/>
    <w:rsid w:val="00942123"/>
    <w:rsid w:val="0094263A"/>
    <w:rsid w:val="0094585D"/>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85F68"/>
    <w:rsid w:val="00991272"/>
    <w:rsid w:val="00991428"/>
    <w:rsid w:val="00992676"/>
    <w:rsid w:val="009A5354"/>
    <w:rsid w:val="009A6A10"/>
    <w:rsid w:val="009A7172"/>
    <w:rsid w:val="009B0723"/>
    <w:rsid w:val="009B07AD"/>
    <w:rsid w:val="009B0883"/>
    <w:rsid w:val="009B15E2"/>
    <w:rsid w:val="009C08D1"/>
    <w:rsid w:val="009C0B8E"/>
    <w:rsid w:val="009C1527"/>
    <w:rsid w:val="009C1BC8"/>
    <w:rsid w:val="009C2442"/>
    <w:rsid w:val="009C2628"/>
    <w:rsid w:val="009C27B1"/>
    <w:rsid w:val="009C7108"/>
    <w:rsid w:val="009D0811"/>
    <w:rsid w:val="009D0E12"/>
    <w:rsid w:val="009D0EE1"/>
    <w:rsid w:val="009D43D0"/>
    <w:rsid w:val="009D510C"/>
    <w:rsid w:val="009D5CDB"/>
    <w:rsid w:val="009D6709"/>
    <w:rsid w:val="009E13C1"/>
    <w:rsid w:val="009E1698"/>
    <w:rsid w:val="009E2AEB"/>
    <w:rsid w:val="009E2E27"/>
    <w:rsid w:val="009E44C0"/>
    <w:rsid w:val="009E4DE3"/>
    <w:rsid w:val="009E50C1"/>
    <w:rsid w:val="009F0C29"/>
    <w:rsid w:val="009F42A1"/>
    <w:rsid w:val="00A047EE"/>
    <w:rsid w:val="00A057CA"/>
    <w:rsid w:val="00A063A4"/>
    <w:rsid w:val="00A149B7"/>
    <w:rsid w:val="00A1717C"/>
    <w:rsid w:val="00A177BC"/>
    <w:rsid w:val="00A17930"/>
    <w:rsid w:val="00A2274A"/>
    <w:rsid w:val="00A235B7"/>
    <w:rsid w:val="00A249AC"/>
    <w:rsid w:val="00A27003"/>
    <w:rsid w:val="00A27A7A"/>
    <w:rsid w:val="00A301D1"/>
    <w:rsid w:val="00A31881"/>
    <w:rsid w:val="00A407EF"/>
    <w:rsid w:val="00A411B7"/>
    <w:rsid w:val="00A46B4C"/>
    <w:rsid w:val="00A50925"/>
    <w:rsid w:val="00A5117B"/>
    <w:rsid w:val="00A560B6"/>
    <w:rsid w:val="00A56CF7"/>
    <w:rsid w:val="00A56DBC"/>
    <w:rsid w:val="00A60074"/>
    <w:rsid w:val="00A646E2"/>
    <w:rsid w:val="00A651A9"/>
    <w:rsid w:val="00A6627C"/>
    <w:rsid w:val="00A70AF1"/>
    <w:rsid w:val="00A71019"/>
    <w:rsid w:val="00A81029"/>
    <w:rsid w:val="00A82AFB"/>
    <w:rsid w:val="00A8485D"/>
    <w:rsid w:val="00A869FA"/>
    <w:rsid w:val="00A87622"/>
    <w:rsid w:val="00A96062"/>
    <w:rsid w:val="00A96489"/>
    <w:rsid w:val="00A96BB0"/>
    <w:rsid w:val="00A97399"/>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E42E8"/>
    <w:rsid w:val="00AE4922"/>
    <w:rsid w:val="00AF228E"/>
    <w:rsid w:val="00AF455B"/>
    <w:rsid w:val="00B008EC"/>
    <w:rsid w:val="00B0123F"/>
    <w:rsid w:val="00B014B5"/>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57344"/>
    <w:rsid w:val="00B607DF"/>
    <w:rsid w:val="00B6409C"/>
    <w:rsid w:val="00B66053"/>
    <w:rsid w:val="00B70C9A"/>
    <w:rsid w:val="00B7193E"/>
    <w:rsid w:val="00B72999"/>
    <w:rsid w:val="00B72FD7"/>
    <w:rsid w:val="00B736DF"/>
    <w:rsid w:val="00B74FBD"/>
    <w:rsid w:val="00B82586"/>
    <w:rsid w:val="00B829A3"/>
    <w:rsid w:val="00B86537"/>
    <w:rsid w:val="00B86DB1"/>
    <w:rsid w:val="00B87869"/>
    <w:rsid w:val="00B87A61"/>
    <w:rsid w:val="00B92AB6"/>
    <w:rsid w:val="00B92D5B"/>
    <w:rsid w:val="00B9417E"/>
    <w:rsid w:val="00BA1648"/>
    <w:rsid w:val="00BA2637"/>
    <w:rsid w:val="00BA35FF"/>
    <w:rsid w:val="00BB09FD"/>
    <w:rsid w:val="00BB0F2B"/>
    <w:rsid w:val="00BB2183"/>
    <w:rsid w:val="00BB5A37"/>
    <w:rsid w:val="00BB5F0B"/>
    <w:rsid w:val="00BB6955"/>
    <w:rsid w:val="00BB6F7A"/>
    <w:rsid w:val="00BC2030"/>
    <w:rsid w:val="00BC3346"/>
    <w:rsid w:val="00BC48EB"/>
    <w:rsid w:val="00BC585F"/>
    <w:rsid w:val="00BC5D7D"/>
    <w:rsid w:val="00BD0299"/>
    <w:rsid w:val="00BD23B4"/>
    <w:rsid w:val="00BD3363"/>
    <w:rsid w:val="00BD3F18"/>
    <w:rsid w:val="00BD4594"/>
    <w:rsid w:val="00BD64FB"/>
    <w:rsid w:val="00BD7D49"/>
    <w:rsid w:val="00BE5C64"/>
    <w:rsid w:val="00BF0EA2"/>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2DF1"/>
    <w:rsid w:val="00C33C84"/>
    <w:rsid w:val="00C3453F"/>
    <w:rsid w:val="00C34A50"/>
    <w:rsid w:val="00C35026"/>
    <w:rsid w:val="00C35671"/>
    <w:rsid w:val="00C35B77"/>
    <w:rsid w:val="00C376EB"/>
    <w:rsid w:val="00C4187E"/>
    <w:rsid w:val="00C444EC"/>
    <w:rsid w:val="00C45A03"/>
    <w:rsid w:val="00C468A8"/>
    <w:rsid w:val="00C46EC1"/>
    <w:rsid w:val="00C50F86"/>
    <w:rsid w:val="00C53E2C"/>
    <w:rsid w:val="00C550C8"/>
    <w:rsid w:val="00C56B61"/>
    <w:rsid w:val="00C570AC"/>
    <w:rsid w:val="00C5730D"/>
    <w:rsid w:val="00C60631"/>
    <w:rsid w:val="00C606C3"/>
    <w:rsid w:val="00C620F4"/>
    <w:rsid w:val="00C629CB"/>
    <w:rsid w:val="00C71F4F"/>
    <w:rsid w:val="00C72848"/>
    <w:rsid w:val="00C7316D"/>
    <w:rsid w:val="00C750BA"/>
    <w:rsid w:val="00C76F29"/>
    <w:rsid w:val="00C7736C"/>
    <w:rsid w:val="00C80272"/>
    <w:rsid w:val="00C82D87"/>
    <w:rsid w:val="00C8712A"/>
    <w:rsid w:val="00C92A0D"/>
    <w:rsid w:val="00C963D3"/>
    <w:rsid w:val="00CA1802"/>
    <w:rsid w:val="00CA65A1"/>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1A6D"/>
    <w:rsid w:val="00CE62CA"/>
    <w:rsid w:val="00CF2819"/>
    <w:rsid w:val="00CF4F9D"/>
    <w:rsid w:val="00CF5AD8"/>
    <w:rsid w:val="00CF70DC"/>
    <w:rsid w:val="00CF717B"/>
    <w:rsid w:val="00D05211"/>
    <w:rsid w:val="00D068C5"/>
    <w:rsid w:val="00D07F87"/>
    <w:rsid w:val="00D10707"/>
    <w:rsid w:val="00D148DC"/>
    <w:rsid w:val="00D1688E"/>
    <w:rsid w:val="00D17FDC"/>
    <w:rsid w:val="00D21768"/>
    <w:rsid w:val="00D223E4"/>
    <w:rsid w:val="00D256C6"/>
    <w:rsid w:val="00D25F51"/>
    <w:rsid w:val="00D35229"/>
    <w:rsid w:val="00D35ADE"/>
    <w:rsid w:val="00D35EAE"/>
    <w:rsid w:val="00D4431E"/>
    <w:rsid w:val="00D461C0"/>
    <w:rsid w:val="00D4685B"/>
    <w:rsid w:val="00D57C59"/>
    <w:rsid w:val="00D60215"/>
    <w:rsid w:val="00D60874"/>
    <w:rsid w:val="00D63EFD"/>
    <w:rsid w:val="00D6588F"/>
    <w:rsid w:val="00D66BA1"/>
    <w:rsid w:val="00D676F1"/>
    <w:rsid w:val="00D714E4"/>
    <w:rsid w:val="00D77D9D"/>
    <w:rsid w:val="00D84752"/>
    <w:rsid w:val="00D86A74"/>
    <w:rsid w:val="00D86B3B"/>
    <w:rsid w:val="00D86C54"/>
    <w:rsid w:val="00D8748A"/>
    <w:rsid w:val="00D905E4"/>
    <w:rsid w:val="00D93196"/>
    <w:rsid w:val="00D931A2"/>
    <w:rsid w:val="00DA42EF"/>
    <w:rsid w:val="00DA7D2D"/>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E6FB5"/>
    <w:rsid w:val="00DF056D"/>
    <w:rsid w:val="00DF4D51"/>
    <w:rsid w:val="00DF75F8"/>
    <w:rsid w:val="00DF78F9"/>
    <w:rsid w:val="00DF7A3A"/>
    <w:rsid w:val="00DF7AD4"/>
    <w:rsid w:val="00E009E1"/>
    <w:rsid w:val="00E00C00"/>
    <w:rsid w:val="00E00E54"/>
    <w:rsid w:val="00E041F9"/>
    <w:rsid w:val="00E05837"/>
    <w:rsid w:val="00E07277"/>
    <w:rsid w:val="00E07C5A"/>
    <w:rsid w:val="00E10A73"/>
    <w:rsid w:val="00E12C13"/>
    <w:rsid w:val="00E15BA9"/>
    <w:rsid w:val="00E161D2"/>
    <w:rsid w:val="00E177E2"/>
    <w:rsid w:val="00E17B14"/>
    <w:rsid w:val="00E22DE4"/>
    <w:rsid w:val="00E26E19"/>
    <w:rsid w:val="00E31DF3"/>
    <w:rsid w:val="00E362FB"/>
    <w:rsid w:val="00E37049"/>
    <w:rsid w:val="00E373DA"/>
    <w:rsid w:val="00E374EC"/>
    <w:rsid w:val="00E450A4"/>
    <w:rsid w:val="00E450C0"/>
    <w:rsid w:val="00E506BE"/>
    <w:rsid w:val="00E518B6"/>
    <w:rsid w:val="00E525B9"/>
    <w:rsid w:val="00E54ADD"/>
    <w:rsid w:val="00E55547"/>
    <w:rsid w:val="00E55E9B"/>
    <w:rsid w:val="00E6211B"/>
    <w:rsid w:val="00E6302B"/>
    <w:rsid w:val="00E6452F"/>
    <w:rsid w:val="00E64F45"/>
    <w:rsid w:val="00E65020"/>
    <w:rsid w:val="00E6742D"/>
    <w:rsid w:val="00E71CB0"/>
    <w:rsid w:val="00E75ADB"/>
    <w:rsid w:val="00E7793C"/>
    <w:rsid w:val="00E77C3D"/>
    <w:rsid w:val="00E80299"/>
    <w:rsid w:val="00E8272F"/>
    <w:rsid w:val="00E83E55"/>
    <w:rsid w:val="00E84DA5"/>
    <w:rsid w:val="00E84DD5"/>
    <w:rsid w:val="00E86549"/>
    <w:rsid w:val="00E86D64"/>
    <w:rsid w:val="00E909F0"/>
    <w:rsid w:val="00E90D47"/>
    <w:rsid w:val="00E91BE6"/>
    <w:rsid w:val="00E92DA7"/>
    <w:rsid w:val="00E93993"/>
    <w:rsid w:val="00E950C0"/>
    <w:rsid w:val="00E9597C"/>
    <w:rsid w:val="00E95CEE"/>
    <w:rsid w:val="00EA0879"/>
    <w:rsid w:val="00EA0913"/>
    <w:rsid w:val="00EA4D77"/>
    <w:rsid w:val="00EB02BE"/>
    <w:rsid w:val="00EB146B"/>
    <w:rsid w:val="00EB2845"/>
    <w:rsid w:val="00EB3FED"/>
    <w:rsid w:val="00EB45AC"/>
    <w:rsid w:val="00EB488B"/>
    <w:rsid w:val="00EB6668"/>
    <w:rsid w:val="00EB6A2F"/>
    <w:rsid w:val="00EC3875"/>
    <w:rsid w:val="00EC549E"/>
    <w:rsid w:val="00EC6E55"/>
    <w:rsid w:val="00ED0BC4"/>
    <w:rsid w:val="00ED151E"/>
    <w:rsid w:val="00ED617A"/>
    <w:rsid w:val="00EE0610"/>
    <w:rsid w:val="00EE1A0E"/>
    <w:rsid w:val="00EE4971"/>
    <w:rsid w:val="00EE5A48"/>
    <w:rsid w:val="00EE6390"/>
    <w:rsid w:val="00EE7278"/>
    <w:rsid w:val="00EF090E"/>
    <w:rsid w:val="00EF16B6"/>
    <w:rsid w:val="00EF1B1A"/>
    <w:rsid w:val="00EF2D08"/>
    <w:rsid w:val="00EF4646"/>
    <w:rsid w:val="00EF5705"/>
    <w:rsid w:val="00EF6653"/>
    <w:rsid w:val="00F033DA"/>
    <w:rsid w:val="00F0424E"/>
    <w:rsid w:val="00F05CDF"/>
    <w:rsid w:val="00F106CE"/>
    <w:rsid w:val="00F1096A"/>
    <w:rsid w:val="00F13FB1"/>
    <w:rsid w:val="00F15181"/>
    <w:rsid w:val="00F15DE0"/>
    <w:rsid w:val="00F1640B"/>
    <w:rsid w:val="00F2025D"/>
    <w:rsid w:val="00F27CD8"/>
    <w:rsid w:val="00F30351"/>
    <w:rsid w:val="00F3323E"/>
    <w:rsid w:val="00F341F4"/>
    <w:rsid w:val="00F345D0"/>
    <w:rsid w:val="00F34F9D"/>
    <w:rsid w:val="00F34FAD"/>
    <w:rsid w:val="00F3554C"/>
    <w:rsid w:val="00F35CCE"/>
    <w:rsid w:val="00F35D73"/>
    <w:rsid w:val="00F366E1"/>
    <w:rsid w:val="00F42B4B"/>
    <w:rsid w:val="00F4376C"/>
    <w:rsid w:val="00F45599"/>
    <w:rsid w:val="00F50D48"/>
    <w:rsid w:val="00F52E31"/>
    <w:rsid w:val="00F54776"/>
    <w:rsid w:val="00F5524B"/>
    <w:rsid w:val="00F56092"/>
    <w:rsid w:val="00F5710B"/>
    <w:rsid w:val="00F61DD2"/>
    <w:rsid w:val="00F63720"/>
    <w:rsid w:val="00F65FB6"/>
    <w:rsid w:val="00F66AFF"/>
    <w:rsid w:val="00F675ED"/>
    <w:rsid w:val="00F71433"/>
    <w:rsid w:val="00F71CE8"/>
    <w:rsid w:val="00F738B0"/>
    <w:rsid w:val="00F83231"/>
    <w:rsid w:val="00F85A51"/>
    <w:rsid w:val="00F85DB2"/>
    <w:rsid w:val="00F91FA7"/>
    <w:rsid w:val="00F93ACF"/>
    <w:rsid w:val="00F96AF1"/>
    <w:rsid w:val="00F97AD5"/>
    <w:rsid w:val="00F97C5B"/>
    <w:rsid w:val="00FA29FD"/>
    <w:rsid w:val="00FA2A46"/>
    <w:rsid w:val="00FA3739"/>
    <w:rsid w:val="00FA3D50"/>
    <w:rsid w:val="00FA43E7"/>
    <w:rsid w:val="00FB10B3"/>
    <w:rsid w:val="00FB6703"/>
    <w:rsid w:val="00FB7C8F"/>
    <w:rsid w:val="00FB7D52"/>
    <w:rsid w:val="00FC1BD5"/>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0C6"/>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4700</Words>
  <Characters>26791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Shin Associates</cp:lastModifiedBy>
  <cp:revision>2</cp:revision>
  <cp:lastPrinted>2020-06-12T02:43:00Z</cp:lastPrinted>
  <dcterms:created xsi:type="dcterms:W3CDTF">2021-11-15T19:16:00Z</dcterms:created>
  <dcterms:modified xsi:type="dcterms:W3CDTF">2021-11-15T19:16:00Z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