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ED1A" w14:textId="77777777" w:rsidR="004B23A2" w:rsidRDefault="007F0D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7CD1FB0" wp14:editId="13458B04">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258EDF41" w14:textId="77777777" w:rsidR="00F35D73" w:rsidRDefault="00794876" w:rsidP="00592F82">
      <w:pPr>
        <w:jc w:val="center"/>
        <w:rPr>
          <w:rFonts w:ascii="Arial" w:hAnsi="Arial" w:cs="Arial"/>
          <w:b/>
          <w:sz w:val="22"/>
          <w:szCs w:val="22"/>
          <w:lang w:val="en-GB"/>
        </w:rPr>
      </w:pPr>
    </w:p>
    <w:p w14:paraId="75178E29" w14:textId="77777777" w:rsidR="00F35D73" w:rsidRDefault="00794876" w:rsidP="00592F82">
      <w:pPr>
        <w:jc w:val="center"/>
        <w:rPr>
          <w:rFonts w:ascii="Arial" w:hAnsi="Arial" w:cs="Arial"/>
          <w:b/>
          <w:sz w:val="22"/>
          <w:szCs w:val="22"/>
          <w:lang w:val="en-GB"/>
        </w:rPr>
      </w:pPr>
    </w:p>
    <w:p w14:paraId="23B5BB06" w14:textId="77777777" w:rsidR="00F35D73" w:rsidRDefault="00794876" w:rsidP="00592F82">
      <w:pPr>
        <w:jc w:val="center"/>
        <w:rPr>
          <w:rFonts w:ascii="Arial" w:hAnsi="Arial" w:cs="Arial"/>
          <w:b/>
          <w:sz w:val="22"/>
          <w:szCs w:val="22"/>
          <w:lang w:val="en-GB"/>
        </w:rPr>
      </w:pPr>
    </w:p>
    <w:p w14:paraId="0DD4A009" w14:textId="77777777" w:rsidR="00397D3A" w:rsidRDefault="00794876" w:rsidP="00592F82">
      <w:pPr>
        <w:jc w:val="center"/>
        <w:rPr>
          <w:rFonts w:ascii="Arial" w:hAnsi="Arial" w:cs="Arial"/>
          <w:b/>
          <w:sz w:val="22"/>
          <w:szCs w:val="22"/>
          <w:lang w:val="en-GB"/>
        </w:rPr>
      </w:pPr>
    </w:p>
    <w:p w14:paraId="310C3E5B" w14:textId="77777777" w:rsidR="00E93993" w:rsidRDefault="00794876" w:rsidP="00592F82">
      <w:pPr>
        <w:jc w:val="center"/>
        <w:rPr>
          <w:rFonts w:ascii="Arial" w:hAnsi="Arial" w:cs="Arial"/>
          <w:b/>
          <w:sz w:val="22"/>
          <w:szCs w:val="22"/>
          <w:lang w:val="en-GB"/>
        </w:rPr>
      </w:pPr>
    </w:p>
    <w:p w14:paraId="3DC0EEAB" w14:textId="77777777" w:rsidR="00434A8C" w:rsidRPr="00852883" w:rsidRDefault="00794876"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2D90E625" w14:textId="77777777" w:rsidR="0011473D" w:rsidRPr="00852883" w:rsidRDefault="007F0D7A"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SUMMATIVE (FORMAL) ASSESSMENT: MODULE 1</w:t>
      </w:r>
    </w:p>
    <w:p w14:paraId="2AD9F2FB" w14:textId="77777777" w:rsidR="002638B0" w:rsidRPr="00852883" w:rsidRDefault="00794876"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064B6359" w14:textId="77777777" w:rsidR="002638B0" w:rsidRPr="00852883" w:rsidRDefault="007F0D7A"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(INTRODUCTION TO INTERNATIONAL INSOLVENCY LAW)</w:t>
      </w:r>
    </w:p>
    <w:p w14:paraId="152F10D8" w14:textId="77777777" w:rsidR="00434A8C" w:rsidRPr="00852883" w:rsidRDefault="00794876"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49A5FB32" w14:textId="77777777" w:rsidR="009D0811" w:rsidRDefault="00794876" w:rsidP="00592F82">
      <w:pPr>
        <w:jc w:val="center"/>
        <w:rPr>
          <w:rFonts w:ascii="Arial" w:hAnsi="Arial" w:cs="Arial"/>
          <w:b/>
          <w:sz w:val="22"/>
          <w:szCs w:val="22"/>
          <w:lang w:val="en-GB"/>
        </w:rPr>
      </w:pPr>
    </w:p>
    <w:p w14:paraId="7FA28700" w14:textId="77777777" w:rsidR="00E93993" w:rsidRDefault="00794876" w:rsidP="00592F82">
      <w:pPr>
        <w:jc w:val="center"/>
        <w:rPr>
          <w:rFonts w:ascii="Arial" w:hAnsi="Arial" w:cs="Arial"/>
          <w:b/>
          <w:sz w:val="22"/>
          <w:szCs w:val="22"/>
          <w:lang w:val="en-GB"/>
        </w:rPr>
      </w:pPr>
    </w:p>
    <w:p w14:paraId="1922030A" w14:textId="77777777" w:rsidR="00FA2A46" w:rsidRDefault="00794876" w:rsidP="00592F82">
      <w:pPr>
        <w:jc w:val="center"/>
        <w:rPr>
          <w:rFonts w:ascii="Arial" w:hAnsi="Arial" w:cs="Arial"/>
          <w:b/>
          <w:sz w:val="22"/>
          <w:szCs w:val="22"/>
          <w:lang w:val="en-GB"/>
        </w:rPr>
      </w:pPr>
    </w:p>
    <w:p w14:paraId="48DB49CF" w14:textId="77777777" w:rsidR="00FA2A46" w:rsidRDefault="00794876" w:rsidP="00592F82">
      <w:pPr>
        <w:jc w:val="center"/>
        <w:rPr>
          <w:rFonts w:ascii="Arial" w:hAnsi="Arial" w:cs="Arial"/>
          <w:b/>
          <w:sz w:val="22"/>
          <w:szCs w:val="22"/>
          <w:lang w:val="en-GB"/>
        </w:rPr>
      </w:pPr>
    </w:p>
    <w:p w14:paraId="1FAB665D" w14:textId="77777777" w:rsidR="00FA2A46" w:rsidRDefault="00794876" w:rsidP="00592F82">
      <w:pPr>
        <w:jc w:val="center"/>
        <w:rPr>
          <w:rFonts w:ascii="Arial" w:hAnsi="Arial" w:cs="Arial"/>
          <w:b/>
          <w:sz w:val="22"/>
          <w:szCs w:val="22"/>
          <w:lang w:val="en-GB"/>
        </w:rPr>
      </w:pPr>
    </w:p>
    <w:p w14:paraId="0D82C14D" w14:textId="77777777" w:rsidR="00397D3A" w:rsidRDefault="00794876" w:rsidP="00592F82">
      <w:pPr>
        <w:jc w:val="center"/>
        <w:rPr>
          <w:rFonts w:ascii="Arial" w:hAnsi="Arial" w:cs="Arial"/>
          <w:b/>
          <w:sz w:val="22"/>
          <w:szCs w:val="22"/>
          <w:lang w:val="en-GB"/>
        </w:rPr>
      </w:pPr>
    </w:p>
    <w:p w14:paraId="6C3E4D55" w14:textId="77777777" w:rsidR="00DB56F2" w:rsidRPr="00852883" w:rsidRDefault="00794876"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29B615" w14:textId="77777777" w:rsidR="00873246" w:rsidRPr="00852883" w:rsidRDefault="007F0D7A"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the </w:t>
      </w:r>
      <w:r w:rsidRPr="00852883">
        <w:rPr>
          <w:rFonts w:ascii="Arial" w:hAnsi="Arial" w:cs="Arial"/>
          <w:b/>
          <w:bCs/>
          <w:sz w:val="22"/>
          <w:szCs w:val="22"/>
          <w:lang w:val="en-GB"/>
        </w:rPr>
        <w:t>summative (or formal) assessment</w:t>
      </w:r>
      <w:r w:rsidRPr="00852883">
        <w:rPr>
          <w:rFonts w:ascii="Arial" w:hAnsi="Arial" w:cs="Arial"/>
          <w:bCs/>
          <w:sz w:val="22"/>
          <w:szCs w:val="22"/>
          <w:lang w:val="en-GB"/>
        </w:rPr>
        <w:t xml:space="preserve"> for </w:t>
      </w:r>
      <w:r w:rsidRPr="00852883">
        <w:rPr>
          <w:rFonts w:ascii="Arial" w:hAnsi="Arial" w:cs="Arial"/>
          <w:b/>
          <w:bCs/>
          <w:sz w:val="22"/>
          <w:szCs w:val="22"/>
          <w:lang w:val="en-GB"/>
        </w:rPr>
        <w:t>Module 1</w:t>
      </w:r>
      <w:r w:rsidRPr="00852883">
        <w:rPr>
          <w:rFonts w:ascii="Arial" w:hAnsi="Arial" w:cs="Arial"/>
          <w:bCs/>
          <w:sz w:val="22"/>
          <w:szCs w:val="22"/>
          <w:lang w:val="en-GB"/>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14:paraId="343B1560" w14:textId="77777777" w:rsidR="00DB56F2" w:rsidRPr="00852883" w:rsidRDefault="00794876"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59AFE43B" w14:textId="77777777" w:rsidR="00793173" w:rsidRPr="001E23FD" w:rsidRDefault="00794876" w:rsidP="007C6201">
      <w:pPr>
        <w:jc w:val="both"/>
        <w:rPr>
          <w:rFonts w:ascii="Arial" w:hAnsi="Arial" w:cs="Arial"/>
          <w:b/>
          <w:sz w:val="22"/>
          <w:szCs w:val="22"/>
          <w:lang w:val="en-GB"/>
        </w:rPr>
      </w:pPr>
    </w:p>
    <w:p w14:paraId="4BD39BE7" w14:textId="77777777" w:rsidR="00DB56F2" w:rsidRPr="001E23FD" w:rsidRDefault="00794876" w:rsidP="007C6201">
      <w:pPr>
        <w:jc w:val="both"/>
        <w:rPr>
          <w:rFonts w:ascii="Arial" w:hAnsi="Arial" w:cs="Arial"/>
          <w:b/>
          <w:sz w:val="22"/>
          <w:szCs w:val="22"/>
          <w:lang w:val="en-GB"/>
        </w:rPr>
      </w:pPr>
    </w:p>
    <w:p w14:paraId="1010B90C" w14:textId="77777777" w:rsidR="00397D3A" w:rsidRPr="001E23FD" w:rsidRDefault="00794876" w:rsidP="007C6201">
      <w:pPr>
        <w:jc w:val="both"/>
        <w:rPr>
          <w:rFonts w:ascii="Arial" w:hAnsi="Arial" w:cs="Arial"/>
          <w:b/>
          <w:sz w:val="22"/>
          <w:szCs w:val="22"/>
          <w:lang w:val="en-GB"/>
        </w:rPr>
      </w:pPr>
    </w:p>
    <w:p w14:paraId="6C97C9D0" w14:textId="77777777" w:rsidR="00397D3A" w:rsidRPr="001E23FD" w:rsidRDefault="00794876" w:rsidP="007C6201">
      <w:pPr>
        <w:jc w:val="both"/>
        <w:rPr>
          <w:rFonts w:ascii="Arial" w:hAnsi="Arial" w:cs="Arial"/>
          <w:b/>
          <w:sz w:val="22"/>
          <w:szCs w:val="22"/>
          <w:lang w:val="en-GB"/>
        </w:rPr>
      </w:pPr>
    </w:p>
    <w:p w14:paraId="16262335" w14:textId="77777777" w:rsidR="00397D3A" w:rsidRPr="001E23FD" w:rsidRDefault="00794876" w:rsidP="007C6201">
      <w:pPr>
        <w:jc w:val="both"/>
        <w:rPr>
          <w:rFonts w:ascii="Arial" w:hAnsi="Arial" w:cs="Arial"/>
          <w:b/>
          <w:sz w:val="22"/>
          <w:szCs w:val="22"/>
          <w:lang w:val="en-GB"/>
        </w:rPr>
      </w:pPr>
    </w:p>
    <w:p w14:paraId="5021586F" w14:textId="77777777" w:rsidR="00397D3A" w:rsidRPr="001E23FD" w:rsidRDefault="00794876" w:rsidP="007C6201">
      <w:pPr>
        <w:jc w:val="both"/>
        <w:rPr>
          <w:rFonts w:ascii="Arial" w:hAnsi="Arial" w:cs="Arial"/>
          <w:b/>
          <w:sz w:val="22"/>
          <w:szCs w:val="22"/>
          <w:lang w:val="en-GB"/>
        </w:rPr>
      </w:pPr>
    </w:p>
    <w:p w14:paraId="2A4A6C4C" w14:textId="77777777" w:rsidR="00397D3A" w:rsidRPr="001E23FD" w:rsidRDefault="00794876" w:rsidP="007C6201">
      <w:pPr>
        <w:jc w:val="both"/>
        <w:rPr>
          <w:rFonts w:ascii="Arial" w:hAnsi="Arial" w:cs="Arial"/>
          <w:b/>
          <w:sz w:val="22"/>
          <w:szCs w:val="22"/>
          <w:lang w:val="en-GB"/>
        </w:rPr>
      </w:pPr>
    </w:p>
    <w:p w14:paraId="04296E83" w14:textId="77777777" w:rsidR="00397D3A" w:rsidRPr="001E23FD" w:rsidRDefault="00794876" w:rsidP="007C6201">
      <w:pPr>
        <w:jc w:val="both"/>
        <w:rPr>
          <w:rFonts w:ascii="Arial" w:hAnsi="Arial" w:cs="Arial"/>
          <w:b/>
          <w:sz w:val="22"/>
          <w:szCs w:val="22"/>
          <w:lang w:val="en-GB"/>
        </w:rPr>
      </w:pPr>
    </w:p>
    <w:p w14:paraId="44815555" w14:textId="77777777" w:rsidR="00397D3A" w:rsidRDefault="00794876" w:rsidP="007C6201">
      <w:pPr>
        <w:jc w:val="both"/>
        <w:rPr>
          <w:rFonts w:ascii="Arial" w:hAnsi="Arial" w:cs="Arial"/>
          <w:b/>
          <w:sz w:val="22"/>
          <w:szCs w:val="22"/>
          <w:lang w:val="en-GB"/>
        </w:rPr>
      </w:pPr>
    </w:p>
    <w:p w14:paraId="30B36B22" w14:textId="77777777" w:rsidR="00FA2A46" w:rsidRDefault="00794876" w:rsidP="007C6201">
      <w:pPr>
        <w:jc w:val="both"/>
        <w:rPr>
          <w:rFonts w:ascii="Arial" w:hAnsi="Arial" w:cs="Arial"/>
          <w:b/>
          <w:sz w:val="22"/>
          <w:szCs w:val="22"/>
          <w:lang w:val="en-GB"/>
        </w:rPr>
      </w:pPr>
    </w:p>
    <w:p w14:paraId="6E21B53D" w14:textId="77777777" w:rsidR="00FA2A46" w:rsidRDefault="00794876" w:rsidP="007C6201">
      <w:pPr>
        <w:jc w:val="both"/>
        <w:rPr>
          <w:rFonts w:ascii="Arial" w:hAnsi="Arial" w:cs="Arial"/>
          <w:b/>
          <w:sz w:val="22"/>
          <w:szCs w:val="22"/>
          <w:lang w:val="en-GB"/>
        </w:rPr>
      </w:pPr>
    </w:p>
    <w:p w14:paraId="1E32E6B7" w14:textId="77777777" w:rsidR="00FA2A46" w:rsidRDefault="00794876" w:rsidP="007C6201">
      <w:pPr>
        <w:jc w:val="both"/>
        <w:rPr>
          <w:rFonts w:ascii="Arial" w:hAnsi="Arial" w:cs="Arial"/>
          <w:b/>
          <w:sz w:val="22"/>
          <w:szCs w:val="22"/>
          <w:lang w:val="en-GB"/>
        </w:rPr>
      </w:pPr>
    </w:p>
    <w:p w14:paraId="21C9B035" w14:textId="77777777" w:rsidR="00FA2A46" w:rsidRDefault="00794876" w:rsidP="007C6201">
      <w:pPr>
        <w:jc w:val="both"/>
        <w:rPr>
          <w:rFonts w:ascii="Arial" w:hAnsi="Arial" w:cs="Arial"/>
          <w:b/>
          <w:sz w:val="22"/>
          <w:szCs w:val="22"/>
          <w:lang w:val="en-GB"/>
        </w:rPr>
      </w:pPr>
    </w:p>
    <w:p w14:paraId="51799DCC" w14:textId="77777777" w:rsidR="00FA2A46" w:rsidRPr="001E23FD" w:rsidRDefault="00794876" w:rsidP="007C6201">
      <w:pPr>
        <w:jc w:val="both"/>
        <w:rPr>
          <w:rFonts w:ascii="Arial" w:hAnsi="Arial" w:cs="Arial"/>
          <w:b/>
          <w:sz w:val="22"/>
          <w:szCs w:val="22"/>
          <w:lang w:val="en-GB"/>
        </w:rPr>
      </w:pPr>
    </w:p>
    <w:p w14:paraId="41A76BF5" w14:textId="77777777" w:rsidR="00FB6703" w:rsidRPr="001E23FD" w:rsidRDefault="00794876" w:rsidP="009D0811">
      <w:pPr>
        <w:jc w:val="center"/>
        <w:rPr>
          <w:rFonts w:ascii="Arial" w:hAnsi="Arial" w:cs="Arial"/>
          <w:b/>
          <w:sz w:val="22"/>
          <w:szCs w:val="22"/>
          <w:u w:val="single"/>
          <w:lang w:val="en-GB"/>
        </w:rPr>
      </w:pPr>
    </w:p>
    <w:p w14:paraId="4EE56F78" w14:textId="77777777" w:rsidR="00FB7C8F" w:rsidRPr="001E23FD" w:rsidRDefault="00794876" w:rsidP="009D0811">
      <w:pPr>
        <w:jc w:val="center"/>
        <w:rPr>
          <w:rFonts w:ascii="Arial" w:hAnsi="Arial" w:cs="Arial"/>
          <w:b/>
          <w:sz w:val="22"/>
          <w:szCs w:val="22"/>
          <w:u w:val="single"/>
          <w:lang w:val="en-GB"/>
        </w:rPr>
      </w:pPr>
    </w:p>
    <w:p w14:paraId="52F223C9" w14:textId="77777777" w:rsidR="00FB6703" w:rsidRPr="001E23FD" w:rsidRDefault="00794876" w:rsidP="009D0811">
      <w:pPr>
        <w:jc w:val="center"/>
        <w:rPr>
          <w:rFonts w:ascii="Arial" w:hAnsi="Arial" w:cs="Arial"/>
          <w:b/>
          <w:sz w:val="22"/>
          <w:szCs w:val="22"/>
          <w:u w:val="single"/>
          <w:lang w:val="en-GB"/>
        </w:rPr>
      </w:pPr>
    </w:p>
    <w:p w14:paraId="2E53C404" w14:textId="77777777" w:rsidR="00FB6703" w:rsidRPr="001E23FD" w:rsidRDefault="00794876" w:rsidP="009D0811">
      <w:pPr>
        <w:jc w:val="center"/>
        <w:rPr>
          <w:rFonts w:ascii="Arial" w:hAnsi="Arial" w:cs="Arial"/>
          <w:b/>
          <w:sz w:val="22"/>
          <w:szCs w:val="22"/>
          <w:u w:val="single"/>
          <w:lang w:val="en-GB"/>
        </w:rPr>
      </w:pPr>
    </w:p>
    <w:p w14:paraId="5E9399CE" w14:textId="77777777" w:rsidR="009C1527" w:rsidRPr="001E23FD" w:rsidRDefault="00794876" w:rsidP="009D0811">
      <w:pPr>
        <w:jc w:val="center"/>
        <w:rPr>
          <w:rFonts w:ascii="Arial" w:hAnsi="Arial" w:cs="Arial"/>
          <w:b/>
          <w:sz w:val="22"/>
          <w:szCs w:val="22"/>
          <w:u w:val="single"/>
          <w:lang w:val="en-GB"/>
        </w:rPr>
      </w:pPr>
    </w:p>
    <w:p w14:paraId="5F805132" w14:textId="77777777" w:rsidR="0011473D" w:rsidRPr="00205B31" w:rsidRDefault="007F0D7A" w:rsidP="009D0811">
      <w:pPr>
        <w:jc w:val="center"/>
        <w:rPr>
          <w:rFonts w:ascii="Arial" w:hAnsi="Arial" w:cs="Arial"/>
          <w:b/>
          <w:sz w:val="22"/>
          <w:szCs w:val="22"/>
          <w:u w:val="single"/>
          <w:lang w:val="en-GB"/>
        </w:rPr>
      </w:pPr>
      <w:r w:rsidRPr="00205B31">
        <w:rPr>
          <w:rFonts w:ascii="Arial" w:hAnsi="Arial" w:cs="Arial"/>
          <w:b/>
          <w:sz w:val="22"/>
          <w:szCs w:val="22"/>
          <w:u w:val="single"/>
          <w:lang w:val="en-GB"/>
        </w:rPr>
        <w:t>INSTRUCTIONS FOR COMPLETION AND SUBMISSION OF ASSESSMENT</w:t>
      </w:r>
    </w:p>
    <w:p w14:paraId="58B7D171" w14:textId="77777777" w:rsidR="0011473D" w:rsidRPr="00205B31" w:rsidRDefault="00794876" w:rsidP="00B7193E">
      <w:pPr>
        <w:jc w:val="both"/>
        <w:rPr>
          <w:rFonts w:ascii="Arial" w:hAnsi="Arial" w:cs="Arial"/>
          <w:sz w:val="22"/>
          <w:szCs w:val="22"/>
          <w:lang w:val="en-GB"/>
        </w:rPr>
      </w:pPr>
    </w:p>
    <w:p w14:paraId="1EEAB392" w14:textId="77777777" w:rsidR="00397D3A" w:rsidRPr="00205B31" w:rsidRDefault="00794876" w:rsidP="00B7193E">
      <w:pPr>
        <w:jc w:val="both"/>
        <w:rPr>
          <w:rFonts w:ascii="Arial" w:hAnsi="Arial" w:cs="Arial"/>
          <w:b/>
          <w:sz w:val="22"/>
          <w:szCs w:val="22"/>
          <w:lang w:val="en-GB"/>
        </w:rPr>
      </w:pPr>
    </w:p>
    <w:p w14:paraId="2CF7A183" w14:textId="77777777" w:rsidR="0011473D" w:rsidRPr="00205B31" w:rsidRDefault="007F0D7A" w:rsidP="00B7193E">
      <w:pPr>
        <w:jc w:val="both"/>
        <w:rPr>
          <w:rFonts w:ascii="Arial" w:hAnsi="Arial" w:cs="Arial"/>
          <w:b/>
          <w:sz w:val="22"/>
          <w:szCs w:val="22"/>
          <w:lang w:val="en-GB"/>
        </w:rPr>
      </w:pPr>
      <w:r w:rsidRPr="00205B31">
        <w:rPr>
          <w:rFonts w:ascii="Arial" w:hAnsi="Arial" w:cs="Arial"/>
          <w:b/>
          <w:sz w:val="22"/>
          <w:szCs w:val="22"/>
          <w:lang w:val="en-GB"/>
        </w:rPr>
        <w:t>Please read the following instructions very carefully before submitting / uploading your assessment on the Foundation Certificate web pages.</w:t>
      </w:r>
    </w:p>
    <w:p w14:paraId="32FBDE48" w14:textId="77777777" w:rsidR="00397D3A" w:rsidRPr="00205B31" w:rsidRDefault="00794876" w:rsidP="00B7193E">
      <w:pPr>
        <w:jc w:val="both"/>
        <w:rPr>
          <w:rFonts w:ascii="Arial" w:hAnsi="Arial" w:cs="Arial"/>
          <w:b/>
          <w:sz w:val="22"/>
          <w:szCs w:val="22"/>
          <w:lang w:val="en-GB"/>
        </w:rPr>
      </w:pPr>
    </w:p>
    <w:p w14:paraId="038B32C6" w14:textId="77777777" w:rsidR="0011473D" w:rsidRPr="00205B31" w:rsidRDefault="00794876" w:rsidP="00B7193E">
      <w:pPr>
        <w:jc w:val="both"/>
        <w:rPr>
          <w:rFonts w:ascii="Arial" w:hAnsi="Arial" w:cs="Arial"/>
          <w:sz w:val="22"/>
          <w:szCs w:val="22"/>
          <w:lang w:val="en-GB"/>
        </w:rPr>
      </w:pPr>
    </w:p>
    <w:p w14:paraId="0E277567" w14:textId="77777777" w:rsidR="00F3323E" w:rsidRPr="00205B31" w:rsidRDefault="007F0D7A"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ACFAEFC" w14:textId="77777777" w:rsidR="00F3323E" w:rsidRPr="00205B31" w:rsidRDefault="00794876" w:rsidP="00B7193E">
      <w:pPr>
        <w:ind w:left="720" w:hanging="720"/>
        <w:jc w:val="both"/>
        <w:rPr>
          <w:rFonts w:ascii="Arial" w:hAnsi="Arial" w:cs="Arial"/>
          <w:sz w:val="22"/>
          <w:szCs w:val="22"/>
          <w:lang w:val="en-GB"/>
        </w:rPr>
      </w:pPr>
    </w:p>
    <w:p w14:paraId="2C78C6B9" w14:textId="77777777" w:rsidR="0011473D" w:rsidRPr="00205B31" w:rsidRDefault="007F0D7A"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306C847E" w14:textId="77777777" w:rsidR="00E26E19" w:rsidRPr="00205B31" w:rsidRDefault="00794876" w:rsidP="00B7193E">
      <w:pPr>
        <w:ind w:left="720" w:hanging="720"/>
        <w:jc w:val="both"/>
        <w:rPr>
          <w:rFonts w:ascii="Arial" w:hAnsi="Arial" w:cs="Arial"/>
          <w:sz w:val="22"/>
          <w:szCs w:val="22"/>
          <w:lang w:val="en-GB"/>
        </w:rPr>
      </w:pPr>
    </w:p>
    <w:p w14:paraId="4E23B515" w14:textId="77777777" w:rsidR="00E26E19" w:rsidRPr="00205B31" w:rsidRDefault="007F0D7A"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E6C244" w14:textId="77777777" w:rsidR="0011473D" w:rsidRPr="00205B31" w:rsidRDefault="00794876" w:rsidP="00B7193E">
      <w:pPr>
        <w:ind w:left="720" w:hanging="720"/>
        <w:jc w:val="both"/>
        <w:rPr>
          <w:rFonts w:ascii="Arial" w:hAnsi="Arial" w:cs="Arial"/>
          <w:sz w:val="22"/>
          <w:szCs w:val="22"/>
          <w:lang w:val="en-GB"/>
        </w:rPr>
      </w:pPr>
    </w:p>
    <w:p w14:paraId="11B78A2A" w14:textId="77777777" w:rsidR="00537970" w:rsidRPr="00205B31" w:rsidRDefault="007F0D7A"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Pr="00205B31">
        <w:rPr>
          <w:rFonts w:ascii="Arial" w:hAnsi="Arial" w:cs="Arial"/>
          <w:sz w:val="22"/>
          <w:szCs w:val="22"/>
          <w:lang w:val="en-GB"/>
        </w:rPr>
        <w:tab/>
        <w:t xml:space="preserve">You must save this document using the following format: </w:t>
      </w:r>
      <w:r w:rsidRPr="00205B31">
        <w:rPr>
          <w:rFonts w:ascii="Arial" w:hAnsi="Arial" w:cs="Arial"/>
          <w:b/>
          <w:bCs/>
          <w:sz w:val="22"/>
          <w:szCs w:val="22"/>
          <w:lang w:val="en-GB" w:eastAsia="en-GB"/>
        </w:rPr>
        <w:t>[studentID.assessment1summative]</w:t>
      </w:r>
      <w:r w:rsidRPr="00205B31">
        <w:rPr>
          <w:rFonts w:ascii="Arial" w:hAnsi="Arial" w:cs="Arial"/>
          <w:sz w:val="22"/>
          <w:szCs w:val="22"/>
          <w:lang w:val="en-GB" w:eastAsia="en-GB"/>
        </w:rPr>
        <w:t>. An example would be something along the following lines: 202122-545.assessment1summative</w:t>
      </w:r>
      <w:r w:rsidRPr="00205B31">
        <w:rPr>
          <w:rFonts w:ascii="Arial" w:hAnsi="Arial" w:cs="Arial"/>
          <w:sz w:val="22"/>
          <w:szCs w:val="22"/>
          <w:lang w:val="en-GB"/>
        </w:rPr>
        <w:t xml:space="preserve">. </w:t>
      </w:r>
      <w:r w:rsidRPr="00205B31">
        <w:rPr>
          <w:rFonts w:ascii="Arial" w:hAnsi="Arial" w:cs="Arial"/>
          <w:b/>
          <w:sz w:val="22"/>
          <w:szCs w:val="22"/>
          <w:lang w:val="en-GB"/>
        </w:rPr>
        <w:t>Please also include the filename as a footer to each page of the assessment</w:t>
      </w:r>
      <w:r w:rsidRPr="00205B31">
        <w:rPr>
          <w:rFonts w:ascii="Arial" w:hAnsi="Arial" w:cs="Arial"/>
          <w:bCs/>
          <w:sz w:val="22"/>
          <w:szCs w:val="22"/>
          <w:lang w:val="en-GB"/>
        </w:rPr>
        <w:t xml:space="preserve"> (this has been pre-populated for you, merely replace the words “studentID” with the student ID allocated to you)</w:t>
      </w:r>
      <w:r w:rsidRPr="00205B31">
        <w:rPr>
          <w:rFonts w:ascii="Arial" w:hAnsi="Arial" w:cs="Arial"/>
          <w:sz w:val="22"/>
          <w:szCs w:val="22"/>
          <w:lang w:val="en-GB"/>
        </w:rPr>
        <w:t xml:space="preserve">. Do not include your name or any other identifying words in your file name. </w:t>
      </w:r>
      <w:r w:rsidRPr="00205B31">
        <w:rPr>
          <w:rFonts w:ascii="Arial" w:hAnsi="Arial" w:cs="Arial"/>
          <w:b/>
          <w:bCs/>
          <w:sz w:val="22"/>
          <w:szCs w:val="22"/>
          <w:lang w:val="en-GB"/>
        </w:rPr>
        <w:t>Assessments that do not comply with this instruction will be returned to candidates unmarked</w:t>
      </w:r>
      <w:r w:rsidRPr="00205B31">
        <w:rPr>
          <w:rFonts w:ascii="Arial" w:hAnsi="Arial" w:cs="Arial"/>
          <w:sz w:val="22"/>
          <w:szCs w:val="22"/>
          <w:lang w:val="en-GB"/>
        </w:rPr>
        <w:t>.</w:t>
      </w:r>
    </w:p>
    <w:p w14:paraId="493C3078" w14:textId="77777777" w:rsidR="00537970" w:rsidRPr="00205B31" w:rsidRDefault="00794876" w:rsidP="00B7193E">
      <w:pPr>
        <w:ind w:left="720" w:hanging="720"/>
        <w:jc w:val="both"/>
        <w:rPr>
          <w:rFonts w:ascii="Arial" w:hAnsi="Arial" w:cs="Arial"/>
          <w:sz w:val="22"/>
          <w:szCs w:val="22"/>
          <w:lang w:val="en-GB"/>
        </w:rPr>
      </w:pPr>
    </w:p>
    <w:p w14:paraId="251C42D0" w14:textId="77777777" w:rsidR="00537970" w:rsidRPr="00205B31" w:rsidRDefault="007F0D7A"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Pr="00205B3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05B31">
        <w:rPr>
          <w:rFonts w:ascii="Arial" w:hAnsi="Arial" w:cs="Arial"/>
          <w:b/>
          <w:bCs/>
          <w:sz w:val="22"/>
          <w:szCs w:val="22"/>
          <w:lang w:val="en-GB"/>
        </w:rPr>
        <w:t xml:space="preserve">Please note that copying and pasting from the Guidance Text into your answer is prohibited and constitutes plagiarism. You must write the answers to the questions in </w:t>
      </w:r>
      <w:bookmarkStart w:id="0" w:name="_GoBack"/>
      <w:bookmarkEnd w:id="0"/>
      <w:r w:rsidRPr="00205B31">
        <w:rPr>
          <w:rFonts w:ascii="Arial" w:hAnsi="Arial" w:cs="Arial"/>
          <w:b/>
          <w:bCs/>
          <w:sz w:val="22"/>
          <w:szCs w:val="22"/>
          <w:lang w:val="en-GB"/>
        </w:rPr>
        <w:t>your own words</w:t>
      </w:r>
      <w:r w:rsidRPr="00205B31">
        <w:rPr>
          <w:rFonts w:ascii="Arial" w:hAnsi="Arial" w:cs="Arial"/>
          <w:sz w:val="22"/>
          <w:szCs w:val="22"/>
          <w:lang w:val="en-GB"/>
        </w:rPr>
        <w:t>.</w:t>
      </w:r>
    </w:p>
    <w:p w14:paraId="483BE986" w14:textId="77777777" w:rsidR="00F3323E" w:rsidRPr="00205B31" w:rsidRDefault="00794876" w:rsidP="00B7193E">
      <w:pPr>
        <w:ind w:left="720" w:hanging="720"/>
        <w:jc w:val="both"/>
        <w:rPr>
          <w:rFonts w:ascii="Arial" w:hAnsi="Arial" w:cs="Arial"/>
          <w:sz w:val="22"/>
          <w:szCs w:val="22"/>
          <w:lang w:val="en-GB"/>
        </w:rPr>
      </w:pPr>
    </w:p>
    <w:p w14:paraId="3D7A89DA" w14:textId="77777777" w:rsidR="00F3323E" w:rsidRPr="00205B31" w:rsidRDefault="007F0D7A"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Pr="00205B31">
        <w:rPr>
          <w:rFonts w:ascii="Arial" w:hAnsi="Arial" w:cs="Arial"/>
          <w:b/>
          <w:sz w:val="22"/>
          <w:szCs w:val="22"/>
          <w:lang w:val="en-GB"/>
        </w:rPr>
        <w:tab/>
      </w:r>
      <w:r w:rsidRPr="00205B31">
        <w:rPr>
          <w:rFonts w:ascii="Arial" w:hAnsi="Arial" w:cs="Arial"/>
          <w:sz w:val="22"/>
          <w:szCs w:val="22"/>
          <w:lang w:val="en-GB"/>
        </w:rPr>
        <w:t xml:space="preserve">The final submission date for this assessment is </w:t>
      </w:r>
      <w:r w:rsidRPr="00205B31">
        <w:rPr>
          <w:rFonts w:ascii="Arial" w:hAnsi="Arial" w:cs="Arial"/>
          <w:b/>
          <w:bCs/>
          <w:sz w:val="22"/>
          <w:szCs w:val="22"/>
          <w:lang w:val="en-GB"/>
        </w:rPr>
        <w:t>15 November 2021</w:t>
      </w:r>
      <w:r w:rsidRPr="00205B31">
        <w:rPr>
          <w:rFonts w:ascii="Arial" w:hAnsi="Arial" w:cs="Arial"/>
          <w:sz w:val="22"/>
          <w:szCs w:val="22"/>
          <w:lang w:val="en-GB"/>
        </w:rPr>
        <w:t xml:space="preserve">. The assessment submission portal will close at </w:t>
      </w:r>
      <w:r w:rsidRPr="00205B31">
        <w:rPr>
          <w:rFonts w:ascii="Arial" w:hAnsi="Arial" w:cs="Arial"/>
          <w:b/>
          <w:sz w:val="22"/>
          <w:szCs w:val="22"/>
          <w:lang w:val="en-GB"/>
        </w:rPr>
        <w:t>23:00 (11 pm) GMT on 15 November 2021</w:t>
      </w:r>
      <w:r w:rsidRPr="00205B31">
        <w:rPr>
          <w:rFonts w:ascii="Arial" w:hAnsi="Arial" w:cs="Arial"/>
          <w:sz w:val="22"/>
          <w:szCs w:val="22"/>
          <w:lang w:val="en-GB"/>
        </w:rPr>
        <w:t>. No submissions can be made after the portal has closed and no further uploading of documents will be allowed, no matter the circumstances.</w:t>
      </w:r>
    </w:p>
    <w:p w14:paraId="210757AC" w14:textId="77777777" w:rsidR="0018267A" w:rsidRPr="00205B31" w:rsidRDefault="00794876" w:rsidP="00B7193E">
      <w:pPr>
        <w:ind w:left="720" w:hanging="720"/>
        <w:jc w:val="both"/>
        <w:rPr>
          <w:rFonts w:ascii="Arial" w:hAnsi="Arial" w:cs="Arial"/>
          <w:sz w:val="22"/>
          <w:szCs w:val="22"/>
          <w:lang w:val="en-GB"/>
        </w:rPr>
      </w:pPr>
    </w:p>
    <w:p w14:paraId="31BB3568" w14:textId="77777777" w:rsidR="0018267A" w:rsidRPr="00205B31" w:rsidRDefault="007F0D7A"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Pr="00205B31">
        <w:rPr>
          <w:rFonts w:ascii="Arial" w:hAnsi="Arial" w:cs="Arial"/>
          <w:sz w:val="22"/>
          <w:szCs w:val="22"/>
          <w:lang w:val="en-GB"/>
        </w:rPr>
        <w:tab/>
        <w:t xml:space="preserve">Prior to being populated with your answers, this assessment consists of </w:t>
      </w:r>
      <w:r w:rsidRPr="00205B31">
        <w:rPr>
          <w:rFonts w:ascii="Arial" w:hAnsi="Arial" w:cs="Arial"/>
          <w:b/>
          <w:bCs/>
          <w:sz w:val="22"/>
          <w:szCs w:val="22"/>
          <w:lang w:val="en-GB"/>
        </w:rPr>
        <w:t>9 pages</w:t>
      </w:r>
      <w:r w:rsidRPr="00205B31">
        <w:rPr>
          <w:rFonts w:ascii="Arial" w:hAnsi="Arial" w:cs="Arial"/>
          <w:sz w:val="22"/>
          <w:szCs w:val="22"/>
          <w:lang w:val="en-GB"/>
        </w:rPr>
        <w:t>.</w:t>
      </w:r>
    </w:p>
    <w:p w14:paraId="75FC9B0A" w14:textId="77777777" w:rsidR="00F3323E" w:rsidRPr="00205B31" w:rsidRDefault="00794876" w:rsidP="00B7193E">
      <w:pPr>
        <w:ind w:left="720" w:hanging="720"/>
        <w:jc w:val="both"/>
        <w:rPr>
          <w:rFonts w:ascii="Arial" w:hAnsi="Arial" w:cs="Arial"/>
          <w:sz w:val="22"/>
          <w:szCs w:val="22"/>
          <w:lang w:val="en-GB"/>
        </w:rPr>
      </w:pPr>
    </w:p>
    <w:p w14:paraId="76D4BAAD" w14:textId="77777777" w:rsidR="00F3323E" w:rsidRPr="00205B31" w:rsidRDefault="00794876" w:rsidP="00B7193E">
      <w:pPr>
        <w:ind w:left="720" w:hanging="720"/>
        <w:jc w:val="both"/>
        <w:rPr>
          <w:rFonts w:ascii="Arial" w:hAnsi="Arial" w:cs="Arial"/>
          <w:sz w:val="22"/>
          <w:szCs w:val="22"/>
          <w:lang w:val="en-GB"/>
        </w:rPr>
      </w:pPr>
    </w:p>
    <w:p w14:paraId="5A0A7C5A" w14:textId="77777777" w:rsidR="00A31881" w:rsidRPr="00205B31" w:rsidRDefault="00794876" w:rsidP="00B7193E">
      <w:pPr>
        <w:ind w:left="720" w:hanging="720"/>
        <w:jc w:val="both"/>
        <w:rPr>
          <w:rFonts w:ascii="Arial" w:hAnsi="Arial" w:cs="Arial"/>
          <w:sz w:val="22"/>
          <w:szCs w:val="22"/>
          <w:lang w:val="en-GB"/>
        </w:rPr>
      </w:pPr>
    </w:p>
    <w:p w14:paraId="5F516C20" w14:textId="77777777" w:rsidR="00A31881" w:rsidRPr="00205B31" w:rsidRDefault="00794876" w:rsidP="00B7193E">
      <w:pPr>
        <w:ind w:left="720" w:hanging="720"/>
        <w:jc w:val="both"/>
        <w:rPr>
          <w:rFonts w:ascii="Arial" w:hAnsi="Arial" w:cs="Arial"/>
          <w:sz w:val="22"/>
          <w:szCs w:val="22"/>
          <w:lang w:val="en-GB"/>
        </w:rPr>
      </w:pPr>
    </w:p>
    <w:p w14:paraId="51ADE2E3" w14:textId="77777777" w:rsidR="00A31881" w:rsidRPr="00205B31" w:rsidRDefault="00794876" w:rsidP="00B7193E">
      <w:pPr>
        <w:ind w:left="720" w:hanging="720"/>
        <w:jc w:val="both"/>
        <w:rPr>
          <w:rFonts w:ascii="Arial" w:hAnsi="Arial" w:cs="Arial"/>
          <w:sz w:val="22"/>
          <w:szCs w:val="22"/>
          <w:lang w:val="en-GB"/>
        </w:rPr>
      </w:pPr>
    </w:p>
    <w:p w14:paraId="16E60173" w14:textId="77777777" w:rsidR="00A31881" w:rsidRPr="00205B31" w:rsidRDefault="00794876" w:rsidP="00B7193E">
      <w:pPr>
        <w:ind w:left="720" w:hanging="720"/>
        <w:jc w:val="both"/>
        <w:rPr>
          <w:rFonts w:ascii="Arial" w:hAnsi="Arial" w:cs="Arial"/>
          <w:sz w:val="22"/>
          <w:szCs w:val="22"/>
          <w:lang w:val="en-GB"/>
        </w:rPr>
      </w:pPr>
    </w:p>
    <w:p w14:paraId="10D24A3C" w14:textId="77777777" w:rsidR="003D100A" w:rsidRPr="00205B31" w:rsidRDefault="007F0D7A">
      <w:pPr>
        <w:rPr>
          <w:rFonts w:ascii="Arial" w:hAnsi="Arial" w:cs="Arial"/>
          <w:b/>
          <w:sz w:val="22"/>
          <w:szCs w:val="22"/>
          <w:u w:val="single"/>
          <w:lang w:val="en-GB"/>
        </w:rPr>
      </w:pPr>
      <w:r w:rsidRPr="00205B31">
        <w:rPr>
          <w:rFonts w:ascii="Arial" w:hAnsi="Arial" w:cs="Arial"/>
          <w:b/>
          <w:sz w:val="22"/>
          <w:szCs w:val="22"/>
          <w:u w:val="single"/>
          <w:lang w:val="en-GB"/>
        </w:rPr>
        <w:br w:type="page"/>
      </w:r>
    </w:p>
    <w:p w14:paraId="6E768EC6" w14:textId="77777777" w:rsidR="00F3323E" w:rsidRPr="00205B31" w:rsidRDefault="007F0D7A"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55503DDC" w14:textId="77777777" w:rsidR="00F3323E" w:rsidRPr="00205B31" w:rsidRDefault="00794876" w:rsidP="00B7193E">
      <w:pPr>
        <w:spacing w:line="276" w:lineRule="auto"/>
        <w:ind w:left="720" w:hanging="720"/>
        <w:jc w:val="both"/>
        <w:rPr>
          <w:rFonts w:ascii="Arial" w:hAnsi="Arial" w:cs="Arial"/>
          <w:sz w:val="22"/>
          <w:szCs w:val="22"/>
          <w:lang w:val="en-GB"/>
        </w:rPr>
      </w:pPr>
    </w:p>
    <w:p w14:paraId="02620B8D" w14:textId="77777777" w:rsidR="005D43E0" w:rsidRPr="00205B31" w:rsidRDefault="007F0D7A"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 (multiple-choice questions) [10 marks in total]</w:t>
      </w:r>
    </w:p>
    <w:p w14:paraId="0661BF8C" w14:textId="77777777" w:rsidR="00F3323E" w:rsidRPr="00205B31" w:rsidRDefault="00794876" w:rsidP="00B7193E">
      <w:pPr>
        <w:spacing w:line="276" w:lineRule="auto"/>
        <w:ind w:left="720" w:hanging="720"/>
        <w:jc w:val="both"/>
        <w:rPr>
          <w:rFonts w:ascii="Arial" w:hAnsi="Arial" w:cs="Arial"/>
          <w:sz w:val="22"/>
          <w:szCs w:val="22"/>
          <w:lang w:val="en-GB"/>
        </w:rPr>
      </w:pPr>
    </w:p>
    <w:p w14:paraId="6EFE0E7D" w14:textId="77777777" w:rsidR="005D43E0" w:rsidRPr="00205B31" w:rsidRDefault="007F0D7A"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 xml:space="preserve">mark your selection on the answer sheet by highlighting the relevant paragraph </w:t>
      </w:r>
      <w:r w:rsidRPr="00205B31">
        <w:rPr>
          <w:rFonts w:ascii="Arial" w:hAnsi="Arial" w:cs="Arial"/>
          <w:b/>
          <w:bCs/>
          <w:sz w:val="22"/>
          <w:szCs w:val="22"/>
          <w:highlight w:val="yellow"/>
          <w:lang w:val="en-GB"/>
        </w:rPr>
        <w:t>in yellow</w:t>
      </w:r>
      <w:r w:rsidRPr="00205B31">
        <w:rPr>
          <w:rFonts w:ascii="Arial" w:hAnsi="Arial" w:cs="Arial"/>
          <w:sz w:val="22"/>
          <w:szCs w:val="22"/>
          <w:lang w:val="en-GB"/>
        </w:rPr>
        <w:t xml:space="preserve">. Select only </w:t>
      </w:r>
      <w:r w:rsidRPr="00205B31">
        <w:rPr>
          <w:rFonts w:ascii="Arial" w:hAnsi="Arial" w:cs="Arial"/>
          <w:b/>
          <w:bCs/>
          <w:sz w:val="22"/>
          <w:szCs w:val="22"/>
          <w:lang w:val="en-GB"/>
        </w:rPr>
        <w:t>ONE</w:t>
      </w:r>
      <w:r w:rsidRPr="00205B31">
        <w:rPr>
          <w:rFonts w:ascii="Arial" w:hAnsi="Arial" w:cs="Arial"/>
          <w:sz w:val="22"/>
          <w:szCs w:val="22"/>
          <w:lang w:val="en-GB"/>
        </w:rPr>
        <w:t xml:space="preserve"> answer. Candidates who select more than one answer will receive no mark for that specific question.</w:t>
      </w:r>
    </w:p>
    <w:p w14:paraId="237EBDD3" w14:textId="77777777" w:rsidR="00AF228E" w:rsidRPr="00205B31" w:rsidRDefault="00794876" w:rsidP="00B7193E">
      <w:pPr>
        <w:autoSpaceDE w:val="0"/>
        <w:autoSpaceDN w:val="0"/>
        <w:adjustRightInd w:val="0"/>
        <w:spacing w:line="276" w:lineRule="auto"/>
        <w:jc w:val="both"/>
        <w:rPr>
          <w:rFonts w:ascii="Arial" w:hAnsi="Arial" w:cs="Arial"/>
          <w:sz w:val="22"/>
          <w:szCs w:val="22"/>
          <w:lang w:val="en-GB"/>
        </w:rPr>
      </w:pPr>
    </w:p>
    <w:p w14:paraId="50450BE9" w14:textId="77777777" w:rsidR="00E9597C" w:rsidRPr="00205B31" w:rsidRDefault="007F0D7A"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03E6D5B2" w14:textId="77777777" w:rsidR="00E9597C" w:rsidRPr="00205B31" w:rsidRDefault="00794876" w:rsidP="00B7193E">
      <w:pPr>
        <w:jc w:val="both"/>
        <w:rPr>
          <w:rFonts w:ascii="Arial" w:hAnsi="Arial" w:cs="Arial"/>
          <w:sz w:val="22"/>
          <w:szCs w:val="22"/>
          <w:lang w:val="en-GB"/>
        </w:rPr>
      </w:pPr>
    </w:p>
    <w:p w14:paraId="49A0BE4B" w14:textId="77777777" w:rsidR="00C60631" w:rsidRPr="00205B31" w:rsidRDefault="007F0D7A"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Select the </w:t>
      </w:r>
      <w:r w:rsidRPr="00205B31">
        <w:rPr>
          <w:rFonts w:ascii="Arial" w:hAnsi="Arial" w:cs="Arial"/>
          <w:b/>
          <w:bCs/>
          <w:sz w:val="22"/>
          <w:szCs w:val="22"/>
          <w:u w:val="single"/>
          <w:lang w:val="en-GB"/>
        </w:rPr>
        <w:t>most accurate response</w:t>
      </w:r>
      <w:r w:rsidRPr="00205B31">
        <w:rPr>
          <w:rFonts w:ascii="Arial" w:hAnsi="Arial" w:cs="Arial"/>
          <w:sz w:val="22"/>
          <w:szCs w:val="22"/>
          <w:lang w:val="en-GB"/>
        </w:rPr>
        <w:t xml:space="preserve"> to this statement from (a) – (d) below.</w:t>
      </w:r>
    </w:p>
    <w:p w14:paraId="36B118AA" w14:textId="77777777" w:rsidR="00C60631" w:rsidRPr="00205B31" w:rsidRDefault="00794876" w:rsidP="00F85DB2">
      <w:pPr>
        <w:jc w:val="both"/>
        <w:rPr>
          <w:rFonts w:ascii="Arial" w:hAnsi="Arial" w:cs="Arial"/>
          <w:sz w:val="22"/>
          <w:szCs w:val="22"/>
          <w:lang w:val="en-GB"/>
        </w:rPr>
      </w:pPr>
    </w:p>
    <w:p w14:paraId="430C0E4B" w14:textId="77777777" w:rsidR="00C60631" w:rsidRPr="00205B31" w:rsidRDefault="007F0D7A"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408D3999" w14:textId="77777777" w:rsidR="00C60631" w:rsidRPr="00205B31" w:rsidRDefault="00794876" w:rsidP="009D510C">
      <w:pPr>
        <w:pStyle w:val="ListParagraph"/>
        <w:ind w:left="426"/>
        <w:jc w:val="both"/>
        <w:rPr>
          <w:rFonts w:ascii="Arial" w:hAnsi="Arial" w:cs="Arial"/>
          <w:sz w:val="22"/>
          <w:szCs w:val="22"/>
          <w:lang w:val="en-GB"/>
        </w:rPr>
      </w:pPr>
    </w:p>
    <w:p w14:paraId="04E78112" w14:textId="77777777" w:rsidR="00C60631" w:rsidRPr="00205B31" w:rsidRDefault="007F0D7A"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404F44E3" w14:textId="77777777" w:rsidR="00C60631" w:rsidRPr="00205B31" w:rsidRDefault="00794876" w:rsidP="009D510C">
      <w:pPr>
        <w:pStyle w:val="ListParagraph"/>
        <w:ind w:left="426"/>
        <w:rPr>
          <w:rFonts w:ascii="Arial" w:hAnsi="Arial" w:cs="Arial"/>
          <w:sz w:val="22"/>
          <w:szCs w:val="22"/>
          <w:lang w:val="en-GB"/>
        </w:rPr>
      </w:pPr>
    </w:p>
    <w:p w14:paraId="3C129EE4" w14:textId="77777777" w:rsidR="00C60631" w:rsidRPr="001723CA" w:rsidRDefault="007F0D7A" w:rsidP="009D510C">
      <w:pPr>
        <w:pStyle w:val="ListParagraph"/>
        <w:numPr>
          <w:ilvl w:val="0"/>
          <w:numId w:val="12"/>
        </w:numPr>
        <w:ind w:left="426"/>
        <w:jc w:val="both"/>
        <w:rPr>
          <w:rFonts w:ascii="Arial" w:hAnsi="Arial" w:cs="Arial"/>
          <w:sz w:val="22"/>
          <w:szCs w:val="22"/>
          <w:highlight w:val="yellow"/>
          <w:lang w:val="en-GB"/>
        </w:rPr>
      </w:pPr>
      <w:r w:rsidRPr="001723CA">
        <w:rPr>
          <w:rFonts w:ascii="Arial" w:hAnsi="Arial" w:cs="Arial"/>
          <w:sz w:val="22"/>
          <w:szCs w:val="22"/>
          <w:highlight w:val="yellow"/>
          <w:lang w:val="en-GB"/>
        </w:rPr>
        <w:t>This statement is incorrect since a statutory discharge of debt was only introduced in 1705 in England.</w:t>
      </w:r>
    </w:p>
    <w:p w14:paraId="31667648" w14:textId="77777777" w:rsidR="00E7793C" w:rsidRPr="00205B31" w:rsidRDefault="00794876" w:rsidP="009D510C">
      <w:pPr>
        <w:pStyle w:val="ListParagraph"/>
        <w:ind w:left="426"/>
        <w:rPr>
          <w:rFonts w:ascii="Arial" w:hAnsi="Arial" w:cs="Arial"/>
          <w:sz w:val="22"/>
          <w:szCs w:val="22"/>
          <w:lang w:val="en-GB"/>
        </w:rPr>
      </w:pPr>
    </w:p>
    <w:p w14:paraId="42D47FBF" w14:textId="77777777" w:rsidR="00E7793C" w:rsidRPr="00205B31" w:rsidRDefault="007F0D7A"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6D35A930" w14:textId="77777777" w:rsidR="001D1BF7" w:rsidRPr="00205B31" w:rsidRDefault="00794876" w:rsidP="00B7193E">
      <w:pPr>
        <w:jc w:val="both"/>
        <w:rPr>
          <w:rFonts w:ascii="Arial" w:hAnsi="Arial" w:cs="Arial"/>
          <w:sz w:val="22"/>
          <w:szCs w:val="22"/>
          <w:lang w:val="en-GB"/>
        </w:rPr>
      </w:pPr>
    </w:p>
    <w:p w14:paraId="3EA8785F" w14:textId="77777777" w:rsidR="00E9597C" w:rsidRPr="00205B31" w:rsidRDefault="007F0D7A"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601E9792" w14:textId="77777777" w:rsidR="00E9597C" w:rsidRPr="00205B31" w:rsidRDefault="00794876" w:rsidP="00B7193E">
      <w:pPr>
        <w:jc w:val="both"/>
        <w:rPr>
          <w:rFonts w:ascii="Arial" w:hAnsi="Arial" w:cs="Arial"/>
          <w:b/>
          <w:bCs/>
          <w:sz w:val="22"/>
          <w:szCs w:val="22"/>
          <w:lang w:val="en-GB"/>
        </w:rPr>
      </w:pPr>
    </w:p>
    <w:p w14:paraId="10A9ABAF" w14:textId="77777777" w:rsidR="002400DB" w:rsidRPr="00205B31" w:rsidRDefault="007F0D7A" w:rsidP="00031918">
      <w:pPr>
        <w:ind w:left="66"/>
        <w:jc w:val="both"/>
        <w:rPr>
          <w:rFonts w:ascii="Arial" w:hAnsi="Arial" w:cs="Arial"/>
          <w:sz w:val="22"/>
          <w:szCs w:val="22"/>
          <w:lang w:val="en-GB"/>
        </w:rPr>
      </w:pPr>
      <w:r w:rsidRPr="00205B31">
        <w:rPr>
          <w:rFonts w:ascii="Arial" w:hAnsi="Arial" w:cs="Arial"/>
          <w:sz w:val="22"/>
          <w:szCs w:val="22"/>
          <w:lang w:val="en-GB"/>
        </w:rPr>
        <w:t xml:space="preserve">English insolvency law was not affected by the Covid-19 pandemic to date. Select the </w:t>
      </w:r>
      <w:r w:rsidRPr="00205B31">
        <w:rPr>
          <w:rFonts w:ascii="Arial" w:hAnsi="Arial" w:cs="Arial"/>
          <w:b/>
          <w:bCs/>
          <w:sz w:val="22"/>
          <w:szCs w:val="22"/>
          <w:u w:val="single"/>
          <w:lang w:val="en-GB"/>
        </w:rPr>
        <w:t>most accurate response</w:t>
      </w:r>
      <w:r w:rsidRPr="00205B31">
        <w:rPr>
          <w:rFonts w:ascii="Arial" w:hAnsi="Arial" w:cs="Arial"/>
          <w:sz w:val="22"/>
          <w:szCs w:val="22"/>
          <w:lang w:val="en-GB"/>
        </w:rPr>
        <w:t xml:space="preserve"> to this statement from (a) – (d) below.</w:t>
      </w:r>
    </w:p>
    <w:p w14:paraId="582C24C6" w14:textId="77777777" w:rsidR="00E7793C" w:rsidRPr="00205B31" w:rsidRDefault="00794876" w:rsidP="00031918">
      <w:pPr>
        <w:ind w:left="66"/>
        <w:jc w:val="both"/>
        <w:rPr>
          <w:rFonts w:ascii="Arial" w:hAnsi="Arial" w:cs="Arial"/>
          <w:sz w:val="22"/>
          <w:szCs w:val="22"/>
          <w:lang w:val="en-GB"/>
        </w:rPr>
      </w:pPr>
    </w:p>
    <w:p w14:paraId="308BB5B8" w14:textId="77777777" w:rsidR="00E7793C" w:rsidRPr="00205B31" w:rsidRDefault="007F0D7A"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7AC71BFF" w14:textId="77777777" w:rsidR="00E7793C" w:rsidRPr="00205B31" w:rsidRDefault="00794876" w:rsidP="009D510C">
      <w:pPr>
        <w:pStyle w:val="ListParagraph"/>
        <w:ind w:left="426" w:hanging="360"/>
        <w:jc w:val="both"/>
        <w:rPr>
          <w:rFonts w:ascii="Arial" w:hAnsi="Arial" w:cs="Arial"/>
          <w:sz w:val="22"/>
          <w:szCs w:val="22"/>
          <w:lang w:val="en-GB"/>
        </w:rPr>
      </w:pPr>
    </w:p>
    <w:p w14:paraId="438A02C4" w14:textId="77777777" w:rsidR="00AE027F" w:rsidRPr="00205B31" w:rsidRDefault="007F0D7A"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legislative reform process in the UK is too slow to effect amendments to an elaborate piece of legislation such as its Insolvency Act of 1986.</w:t>
      </w:r>
    </w:p>
    <w:p w14:paraId="2099003B" w14:textId="77777777" w:rsidR="00AE027F" w:rsidRPr="00205B31" w:rsidRDefault="00794876" w:rsidP="009D510C">
      <w:pPr>
        <w:pStyle w:val="ListParagraph"/>
        <w:ind w:left="426" w:hanging="360"/>
        <w:rPr>
          <w:rFonts w:ascii="Arial" w:hAnsi="Arial" w:cs="Arial"/>
          <w:sz w:val="22"/>
          <w:szCs w:val="22"/>
          <w:lang w:val="en-GB"/>
        </w:rPr>
      </w:pPr>
    </w:p>
    <w:p w14:paraId="28AAA7E9" w14:textId="77777777" w:rsidR="00AE027F" w:rsidRPr="00205B31" w:rsidRDefault="007F0D7A"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English insolvency law already provided special rules to deal with extreme socio-economic situations like those brought about by global disasters such as the Covid-19 pandemic. </w:t>
      </w:r>
    </w:p>
    <w:p w14:paraId="35F84C45" w14:textId="77777777" w:rsidR="00AE027F" w:rsidRPr="00205B31" w:rsidRDefault="00794876" w:rsidP="009D510C">
      <w:pPr>
        <w:pStyle w:val="ListParagraph"/>
        <w:ind w:left="426" w:hanging="360"/>
        <w:rPr>
          <w:rFonts w:ascii="Arial" w:hAnsi="Arial" w:cs="Arial"/>
          <w:sz w:val="22"/>
          <w:szCs w:val="22"/>
          <w:lang w:val="en-GB"/>
        </w:rPr>
      </w:pPr>
    </w:p>
    <w:p w14:paraId="1192B681" w14:textId="77777777" w:rsidR="00E7793C" w:rsidRPr="00C8377F" w:rsidRDefault="007F0D7A" w:rsidP="009D510C">
      <w:pPr>
        <w:pStyle w:val="ListParagraph"/>
        <w:numPr>
          <w:ilvl w:val="0"/>
          <w:numId w:val="13"/>
        </w:numPr>
        <w:jc w:val="both"/>
        <w:rPr>
          <w:rFonts w:ascii="Arial" w:hAnsi="Arial" w:cs="Arial"/>
          <w:sz w:val="22"/>
          <w:szCs w:val="22"/>
          <w:highlight w:val="yellow"/>
          <w:lang w:val="en-GB"/>
        </w:rPr>
      </w:pPr>
      <w:r w:rsidRPr="00C8377F">
        <w:rPr>
          <w:rFonts w:ascii="Arial" w:hAnsi="Arial" w:cs="Arial"/>
          <w:sz w:val="22"/>
          <w:szCs w:val="22"/>
          <w:highlight w:val="yellow"/>
          <w:lang w:val="en-GB"/>
        </w:rPr>
        <w:t xml:space="preserve">The statement is incorrect since the UK did review parts of its insolvency rules and amended some, amongst other things, to deal with the negative economic fall out of the pandemic.  </w:t>
      </w:r>
    </w:p>
    <w:p w14:paraId="4470389F" w14:textId="77777777" w:rsidR="002400DB" w:rsidRPr="00205B31" w:rsidRDefault="00794876" w:rsidP="00031918">
      <w:pPr>
        <w:ind w:left="66"/>
        <w:jc w:val="both"/>
        <w:rPr>
          <w:rFonts w:ascii="Arial" w:hAnsi="Arial" w:cs="Arial"/>
          <w:sz w:val="22"/>
          <w:szCs w:val="22"/>
          <w:lang w:val="en-GB"/>
        </w:rPr>
      </w:pPr>
    </w:p>
    <w:p w14:paraId="203909B9" w14:textId="77777777" w:rsidR="002400DB" w:rsidRPr="00205B31" w:rsidRDefault="00794876" w:rsidP="00031918">
      <w:pPr>
        <w:ind w:left="66"/>
        <w:jc w:val="both"/>
        <w:rPr>
          <w:rFonts w:ascii="Arial" w:hAnsi="Arial" w:cs="Arial"/>
          <w:sz w:val="22"/>
          <w:szCs w:val="22"/>
          <w:lang w:val="en-GB"/>
        </w:rPr>
      </w:pPr>
    </w:p>
    <w:p w14:paraId="4736CF81" w14:textId="77777777" w:rsidR="00CC579C" w:rsidRPr="00205B31" w:rsidRDefault="00794876" w:rsidP="00031918">
      <w:pPr>
        <w:ind w:left="66"/>
        <w:jc w:val="both"/>
        <w:rPr>
          <w:rFonts w:ascii="Arial" w:hAnsi="Arial" w:cs="Arial"/>
          <w:sz w:val="22"/>
          <w:szCs w:val="22"/>
          <w:lang w:val="en-GB"/>
        </w:rPr>
      </w:pPr>
    </w:p>
    <w:p w14:paraId="1CC364C7" w14:textId="77777777" w:rsidR="00E9597C" w:rsidRPr="00205B31" w:rsidRDefault="007F0D7A"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0EFDE2C3" w14:textId="77777777" w:rsidR="00AE027F" w:rsidRPr="00205B31" w:rsidRDefault="00794876" w:rsidP="00180B1E">
      <w:pPr>
        <w:rPr>
          <w:rFonts w:ascii="Arial" w:hAnsi="Arial" w:cs="Arial"/>
          <w:sz w:val="22"/>
          <w:szCs w:val="22"/>
          <w:lang w:val="en-GB"/>
        </w:rPr>
      </w:pPr>
    </w:p>
    <w:p w14:paraId="3CF11CB8" w14:textId="77777777" w:rsidR="00AE027F" w:rsidRPr="00205B31" w:rsidRDefault="007F0D7A"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with English or American insolvency / bankruptcy laws, it does not provide for a modern scheme of arrangement that could be used to reorganise or rescue a company in distress. Select the </w:t>
      </w:r>
      <w:r w:rsidRPr="00205B31">
        <w:rPr>
          <w:rFonts w:ascii="Arial" w:hAnsi="Arial" w:cs="Arial"/>
          <w:b/>
          <w:bCs/>
          <w:sz w:val="22"/>
          <w:szCs w:val="22"/>
          <w:u w:val="single"/>
          <w:lang w:val="en-GB"/>
        </w:rPr>
        <w:t>most accurate response</w:t>
      </w:r>
      <w:r w:rsidRPr="00205B31">
        <w:rPr>
          <w:rFonts w:ascii="Arial" w:hAnsi="Arial" w:cs="Arial"/>
          <w:sz w:val="22"/>
          <w:szCs w:val="22"/>
          <w:lang w:val="en-GB"/>
        </w:rPr>
        <w:t xml:space="preserve"> to this statement from (a) – (d) below.</w:t>
      </w:r>
    </w:p>
    <w:p w14:paraId="08E79C6F" w14:textId="77777777" w:rsidR="00AE027F" w:rsidRPr="00205B31" w:rsidRDefault="00794876" w:rsidP="00F85DB2">
      <w:pPr>
        <w:jc w:val="both"/>
        <w:rPr>
          <w:rFonts w:ascii="Arial" w:hAnsi="Arial" w:cs="Arial"/>
          <w:sz w:val="22"/>
          <w:szCs w:val="22"/>
          <w:lang w:val="en-GB"/>
        </w:rPr>
      </w:pPr>
    </w:p>
    <w:p w14:paraId="3868FCC8" w14:textId="77777777" w:rsidR="00B54F90" w:rsidRPr="00205B31" w:rsidRDefault="007F0D7A"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insolvency system does not provide for a discharge of debt and without such a dispensation in place, a scheme of arrangement will not be functional.</w:t>
      </w:r>
    </w:p>
    <w:p w14:paraId="2EB64FD0" w14:textId="77777777" w:rsidR="00AE027F" w:rsidRPr="00205B31" w:rsidRDefault="007F0D7A"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23209929" w14:textId="77777777" w:rsidR="00B54F90" w:rsidRPr="00205B31" w:rsidRDefault="007F0D7A" w:rsidP="009D510C">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 xml:space="preserve">This statement is correct since the Dutch government has not approved such legislation yet. </w:t>
      </w:r>
    </w:p>
    <w:p w14:paraId="34A06F05" w14:textId="77777777" w:rsidR="00B54F90" w:rsidRPr="00205B31" w:rsidRDefault="00794876" w:rsidP="009D510C">
      <w:pPr>
        <w:pStyle w:val="ListParagraph"/>
        <w:ind w:left="426"/>
        <w:rPr>
          <w:rFonts w:ascii="Arial" w:hAnsi="Arial" w:cs="Arial"/>
          <w:sz w:val="22"/>
          <w:szCs w:val="22"/>
          <w:lang w:val="en-GB"/>
        </w:rPr>
      </w:pPr>
    </w:p>
    <w:p w14:paraId="09CFE458" w14:textId="77777777" w:rsidR="00B54F90" w:rsidRPr="00205B31" w:rsidRDefault="007F0D7A"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0777A910" w14:textId="77777777" w:rsidR="00B54F90" w:rsidRPr="00205B31" w:rsidRDefault="00794876" w:rsidP="009D510C">
      <w:pPr>
        <w:pStyle w:val="ListParagraph"/>
        <w:ind w:left="426"/>
        <w:rPr>
          <w:rFonts w:ascii="Arial" w:hAnsi="Arial" w:cs="Arial"/>
          <w:sz w:val="22"/>
          <w:szCs w:val="22"/>
          <w:lang w:val="en-GB"/>
        </w:rPr>
      </w:pPr>
    </w:p>
    <w:p w14:paraId="149D7AEB" w14:textId="77777777" w:rsidR="00B54F90" w:rsidRPr="00C8377F" w:rsidRDefault="007F0D7A" w:rsidP="009D510C">
      <w:pPr>
        <w:pStyle w:val="ListParagraph"/>
        <w:numPr>
          <w:ilvl w:val="0"/>
          <w:numId w:val="14"/>
        </w:numPr>
        <w:ind w:left="426"/>
        <w:jc w:val="both"/>
        <w:rPr>
          <w:rFonts w:ascii="Arial" w:hAnsi="Arial" w:cs="Arial"/>
          <w:sz w:val="22"/>
          <w:szCs w:val="22"/>
          <w:highlight w:val="yellow"/>
          <w:lang w:val="en-GB"/>
        </w:rPr>
      </w:pPr>
      <w:r w:rsidRPr="00C8377F">
        <w:rPr>
          <w:rFonts w:ascii="Arial" w:hAnsi="Arial" w:cs="Arial"/>
          <w:sz w:val="22"/>
          <w:szCs w:val="22"/>
          <w:highlight w:val="yellow"/>
          <w:lang w:val="en-GB"/>
        </w:rPr>
        <w:t>This statement is incorrect since the Dutch quite recently adopted legislation in this regard and it became operational on 1 January 2021.</w:t>
      </w:r>
    </w:p>
    <w:p w14:paraId="7881545F" w14:textId="77777777" w:rsidR="00C34A50" w:rsidRPr="00205B31" w:rsidRDefault="00794876" w:rsidP="00B7193E">
      <w:pPr>
        <w:jc w:val="both"/>
        <w:rPr>
          <w:rFonts w:ascii="Arial" w:hAnsi="Arial" w:cs="Arial"/>
          <w:b/>
          <w:bCs/>
          <w:sz w:val="22"/>
          <w:szCs w:val="22"/>
          <w:lang w:val="en-GB"/>
        </w:rPr>
      </w:pPr>
    </w:p>
    <w:p w14:paraId="148EB9E6" w14:textId="77777777" w:rsidR="00E9597C" w:rsidRPr="00205B31" w:rsidRDefault="007F0D7A"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427E69EC" w14:textId="77777777" w:rsidR="00E9597C" w:rsidRPr="00205B31" w:rsidRDefault="00794876" w:rsidP="00B7193E">
      <w:pPr>
        <w:jc w:val="both"/>
        <w:rPr>
          <w:rFonts w:ascii="Arial" w:hAnsi="Arial" w:cs="Arial"/>
          <w:sz w:val="22"/>
          <w:szCs w:val="22"/>
          <w:lang w:val="en-GB"/>
        </w:rPr>
      </w:pPr>
    </w:p>
    <w:p w14:paraId="06B25383" w14:textId="77777777" w:rsidR="009C2628" w:rsidRPr="00205B31" w:rsidRDefault="007F0D7A"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and since the broad rules of local insolvency legal systems are largely the same. Select the </w:t>
      </w:r>
      <w:r w:rsidRPr="00205B31">
        <w:rPr>
          <w:rFonts w:ascii="Arial" w:hAnsi="Arial" w:cs="Arial"/>
          <w:b/>
          <w:bCs/>
          <w:sz w:val="22"/>
          <w:szCs w:val="22"/>
          <w:u w:val="single"/>
          <w:lang w:val="en-GB"/>
        </w:rPr>
        <w:t>most accurate response</w:t>
      </w:r>
      <w:r w:rsidRPr="00205B31">
        <w:rPr>
          <w:rFonts w:ascii="Arial" w:hAnsi="Arial" w:cs="Arial"/>
          <w:sz w:val="22"/>
          <w:szCs w:val="22"/>
          <w:lang w:val="en-GB"/>
        </w:rPr>
        <w:t xml:space="preserve"> to this statement from (a) – (d) below. </w:t>
      </w:r>
    </w:p>
    <w:p w14:paraId="023A74BA" w14:textId="77777777" w:rsidR="00B54F90" w:rsidRPr="00205B31" w:rsidRDefault="00794876" w:rsidP="00B7193E">
      <w:pPr>
        <w:autoSpaceDE w:val="0"/>
        <w:autoSpaceDN w:val="0"/>
        <w:adjustRightInd w:val="0"/>
        <w:spacing w:line="276" w:lineRule="auto"/>
        <w:jc w:val="both"/>
        <w:rPr>
          <w:rFonts w:ascii="Arial" w:hAnsi="Arial" w:cs="Arial"/>
          <w:sz w:val="22"/>
          <w:szCs w:val="22"/>
          <w:lang w:val="en-GB"/>
        </w:rPr>
      </w:pPr>
    </w:p>
    <w:p w14:paraId="179CB686" w14:textId="77777777" w:rsidR="006E1CB0" w:rsidRPr="00205B31" w:rsidRDefault="007F0D7A"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cooperating across jurisdictional borders are familiar with global insolvency principles.</w:t>
      </w:r>
    </w:p>
    <w:p w14:paraId="7212F9F0" w14:textId="77777777" w:rsidR="006E1CB0" w:rsidRPr="00205B31" w:rsidRDefault="00794876" w:rsidP="009D510C">
      <w:pPr>
        <w:pStyle w:val="ListParagraph"/>
        <w:autoSpaceDE w:val="0"/>
        <w:autoSpaceDN w:val="0"/>
        <w:adjustRightInd w:val="0"/>
        <w:spacing w:line="276" w:lineRule="auto"/>
        <w:ind w:left="426"/>
        <w:jc w:val="both"/>
        <w:rPr>
          <w:rFonts w:ascii="Arial" w:hAnsi="Arial" w:cs="Arial"/>
          <w:sz w:val="22"/>
          <w:szCs w:val="22"/>
          <w:lang w:val="en-GB"/>
        </w:rPr>
      </w:pPr>
    </w:p>
    <w:p w14:paraId="5D0B5310" w14:textId="77777777" w:rsidR="006E1CB0" w:rsidRPr="00205B31" w:rsidRDefault="007F0D7A"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167E75CA" w14:textId="77777777" w:rsidR="006E1CB0" w:rsidRPr="00205B31" w:rsidRDefault="00794876" w:rsidP="009D510C">
      <w:pPr>
        <w:pStyle w:val="ListParagraph"/>
        <w:autoSpaceDE w:val="0"/>
        <w:autoSpaceDN w:val="0"/>
        <w:adjustRightInd w:val="0"/>
        <w:spacing w:line="276" w:lineRule="auto"/>
        <w:ind w:left="426"/>
        <w:jc w:val="both"/>
        <w:rPr>
          <w:rFonts w:ascii="Arial" w:hAnsi="Arial" w:cs="Arial"/>
          <w:sz w:val="22"/>
          <w:szCs w:val="22"/>
          <w:lang w:val="en-GB"/>
        </w:rPr>
      </w:pPr>
    </w:p>
    <w:p w14:paraId="0C798C38" w14:textId="77777777" w:rsidR="006E1CB0" w:rsidRPr="00C8377F" w:rsidRDefault="007F0D7A"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C8377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2E04FEE9" w14:textId="77777777" w:rsidR="006E1CB0" w:rsidRPr="00205B31" w:rsidRDefault="00794876" w:rsidP="009D510C">
      <w:pPr>
        <w:pStyle w:val="ListParagraph"/>
        <w:autoSpaceDE w:val="0"/>
        <w:autoSpaceDN w:val="0"/>
        <w:adjustRightInd w:val="0"/>
        <w:spacing w:line="276" w:lineRule="auto"/>
        <w:ind w:left="426"/>
        <w:jc w:val="both"/>
        <w:rPr>
          <w:rFonts w:ascii="Arial" w:hAnsi="Arial" w:cs="Arial"/>
          <w:sz w:val="22"/>
          <w:szCs w:val="22"/>
          <w:lang w:val="en-GB"/>
        </w:rPr>
      </w:pPr>
    </w:p>
    <w:p w14:paraId="10B3FDD3" w14:textId="77777777" w:rsidR="00B54F90" w:rsidRPr="00205B31" w:rsidRDefault="007F0D7A"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Pr>
          <w:rFonts w:ascii="Arial" w:hAnsi="Arial" w:cs="Arial"/>
          <w:sz w:val="22"/>
          <w:szCs w:val="22"/>
          <w:lang w:val="en-GB"/>
        </w:rPr>
        <w:t xml:space="preserve">This statement is correct since apart from the wide discretion that judges in general have, the UNCITRAL Model Law on Cross-Border Insolvency has been adopted by the majority of UN Member States, hence these rules are well-known to judges across the globe.  </w:t>
      </w:r>
    </w:p>
    <w:p w14:paraId="641D3E93" w14:textId="77777777" w:rsidR="00B54F90" w:rsidRPr="00205B31" w:rsidRDefault="00794876" w:rsidP="00B7193E">
      <w:pPr>
        <w:autoSpaceDE w:val="0"/>
        <w:autoSpaceDN w:val="0"/>
        <w:adjustRightInd w:val="0"/>
        <w:spacing w:line="276" w:lineRule="auto"/>
        <w:jc w:val="both"/>
        <w:rPr>
          <w:rFonts w:ascii="Arial" w:hAnsi="Arial" w:cs="Arial"/>
          <w:sz w:val="22"/>
          <w:szCs w:val="22"/>
          <w:lang w:val="en-GB"/>
        </w:rPr>
      </w:pPr>
    </w:p>
    <w:p w14:paraId="50F66CB6" w14:textId="77777777" w:rsidR="00E9597C" w:rsidRPr="00205B31" w:rsidRDefault="007F0D7A"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18B55DC2" w14:textId="77777777" w:rsidR="00E9597C" w:rsidRPr="00205B31" w:rsidRDefault="00794876" w:rsidP="00B7193E">
      <w:pPr>
        <w:jc w:val="both"/>
        <w:rPr>
          <w:rFonts w:ascii="Arial" w:hAnsi="Arial" w:cs="Arial"/>
          <w:b/>
          <w:bCs/>
          <w:sz w:val="22"/>
          <w:szCs w:val="22"/>
          <w:lang w:val="en-GB"/>
        </w:rPr>
      </w:pPr>
    </w:p>
    <w:p w14:paraId="00DA9493" w14:textId="77777777" w:rsidR="00926D10" w:rsidRPr="00205B31" w:rsidRDefault="007F0D7A"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Select the </w:t>
      </w:r>
      <w:r w:rsidRPr="00205B31">
        <w:rPr>
          <w:rFonts w:ascii="Arial" w:hAnsi="Arial" w:cs="Arial"/>
          <w:b/>
          <w:bCs/>
          <w:sz w:val="22"/>
          <w:szCs w:val="22"/>
          <w:u w:val="single"/>
          <w:lang w:val="en-GB"/>
        </w:rPr>
        <w:t>most accurate response</w:t>
      </w:r>
      <w:r w:rsidRPr="00205B31">
        <w:rPr>
          <w:rFonts w:ascii="Arial" w:hAnsi="Arial" w:cs="Arial"/>
          <w:sz w:val="22"/>
          <w:szCs w:val="22"/>
          <w:lang w:val="en-GB"/>
        </w:rPr>
        <w:t xml:space="preserve"> to this statement from (a) – (d) below. </w:t>
      </w:r>
    </w:p>
    <w:p w14:paraId="5C828E9D" w14:textId="77777777" w:rsidR="00926D10" w:rsidRPr="00205B31" w:rsidRDefault="00794876" w:rsidP="00926D10">
      <w:pPr>
        <w:jc w:val="both"/>
        <w:rPr>
          <w:rFonts w:ascii="Arial" w:hAnsi="Arial" w:cs="Arial"/>
          <w:sz w:val="22"/>
          <w:szCs w:val="22"/>
          <w:lang w:val="en-GB"/>
        </w:rPr>
      </w:pPr>
    </w:p>
    <w:p w14:paraId="17A5F441" w14:textId="77777777" w:rsidR="00926D10" w:rsidRPr="00C8377F" w:rsidRDefault="007F0D7A" w:rsidP="009D510C">
      <w:pPr>
        <w:pStyle w:val="ListParagraph"/>
        <w:numPr>
          <w:ilvl w:val="0"/>
          <w:numId w:val="5"/>
        </w:numPr>
        <w:ind w:left="426"/>
        <w:jc w:val="both"/>
        <w:rPr>
          <w:rFonts w:ascii="Arial" w:hAnsi="Arial" w:cs="Arial"/>
          <w:sz w:val="22"/>
          <w:szCs w:val="22"/>
          <w:highlight w:val="yellow"/>
          <w:lang w:val="en-GB"/>
        </w:rPr>
      </w:pPr>
      <w:r w:rsidRPr="00C8377F">
        <w:rPr>
          <w:rFonts w:ascii="Arial" w:hAnsi="Arial" w:cs="Arial"/>
          <w:sz w:val="22"/>
          <w:szCs w:val="22"/>
          <w:highlight w:val="yellow"/>
          <w:lang w:val="en-GB"/>
        </w:rPr>
        <w:t>The statement is not correct because very few States allow insolvent estate representatives to deal with assets of a foreign debtor situated in their own jurisdiction without some form of a (prior) local procedure to recognise the foreign insolvency proceeding.</w:t>
      </w:r>
    </w:p>
    <w:p w14:paraId="54983109" w14:textId="77777777" w:rsidR="00926D10" w:rsidRPr="00205B31" w:rsidRDefault="007F0D7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The statement is correct because universality has become the norm in the majority of States in cross-border insolvency matters since the introduction of the UNCITRAL Model Law on Cross-Border Insolvency in 1997.</w:t>
      </w:r>
    </w:p>
    <w:p w14:paraId="6D9E14C9" w14:textId="77777777" w:rsidR="002E66F4" w:rsidRPr="00205B31" w:rsidRDefault="00794876" w:rsidP="009D510C">
      <w:pPr>
        <w:ind w:left="426"/>
        <w:jc w:val="both"/>
        <w:rPr>
          <w:rFonts w:ascii="Arial" w:hAnsi="Arial" w:cs="Arial"/>
          <w:sz w:val="22"/>
          <w:szCs w:val="22"/>
          <w:lang w:val="en-GB"/>
        </w:rPr>
      </w:pPr>
    </w:p>
    <w:p w14:paraId="64906026" w14:textId="77777777" w:rsidR="00926D10" w:rsidRPr="00205B31" w:rsidRDefault="007F0D7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because the prevalent approach of modified territoriality amounts to a universal embracement of universalism amongst the majority of States around the globe. </w:t>
      </w:r>
    </w:p>
    <w:p w14:paraId="11C578D6" w14:textId="77777777" w:rsidR="002400DB" w:rsidRPr="00205B31" w:rsidRDefault="00794876" w:rsidP="009D510C">
      <w:pPr>
        <w:ind w:left="426"/>
        <w:jc w:val="both"/>
        <w:rPr>
          <w:rFonts w:ascii="Arial" w:hAnsi="Arial" w:cs="Arial"/>
          <w:sz w:val="22"/>
          <w:szCs w:val="22"/>
          <w:lang w:val="en-GB"/>
        </w:rPr>
      </w:pPr>
    </w:p>
    <w:p w14:paraId="5FB953DA" w14:textId="77777777" w:rsidR="00926D10" w:rsidRPr="00205B31" w:rsidRDefault="007F0D7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because important international policy-making bodies such as the International Monetary Fund (IMF), the World Bank Group and the United Nations still support strong territoriality in cases of cross-border insolvency cases. </w:t>
      </w:r>
    </w:p>
    <w:p w14:paraId="63D2AF2E" w14:textId="77777777" w:rsidR="00926D10" w:rsidRPr="00205B31" w:rsidRDefault="00794876" w:rsidP="00B7193E">
      <w:pPr>
        <w:autoSpaceDE w:val="0"/>
        <w:autoSpaceDN w:val="0"/>
        <w:adjustRightInd w:val="0"/>
        <w:spacing w:line="276" w:lineRule="auto"/>
        <w:jc w:val="both"/>
        <w:rPr>
          <w:rFonts w:ascii="Arial" w:hAnsi="Arial" w:cs="Arial"/>
          <w:sz w:val="22"/>
          <w:szCs w:val="22"/>
          <w:lang w:val="en-GB"/>
        </w:rPr>
      </w:pPr>
    </w:p>
    <w:p w14:paraId="24976183" w14:textId="77777777" w:rsidR="00E9597C" w:rsidRPr="00205B31" w:rsidRDefault="007F0D7A"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5E84A459" w14:textId="77777777" w:rsidR="00E9597C" w:rsidRPr="00205B31" w:rsidRDefault="00794876" w:rsidP="00B7193E">
      <w:pPr>
        <w:autoSpaceDE w:val="0"/>
        <w:autoSpaceDN w:val="0"/>
        <w:adjustRightInd w:val="0"/>
        <w:spacing w:line="276" w:lineRule="auto"/>
        <w:jc w:val="both"/>
        <w:rPr>
          <w:rFonts w:ascii="Arial" w:hAnsi="Arial" w:cs="Arial"/>
          <w:sz w:val="22"/>
          <w:szCs w:val="22"/>
          <w:lang w:val="en-GB"/>
        </w:rPr>
      </w:pPr>
    </w:p>
    <w:p w14:paraId="21A1C84B" w14:textId="77777777" w:rsidR="000329A6" w:rsidRPr="00205B31" w:rsidRDefault="007F0D7A" w:rsidP="00B7193E">
      <w:pPr>
        <w:autoSpaceDE w:val="0"/>
        <w:autoSpaceDN w:val="0"/>
        <w:adjustRightInd w:val="0"/>
        <w:spacing w:line="276" w:lineRule="auto"/>
        <w:jc w:val="both"/>
        <w:rPr>
          <w:rFonts w:ascii="Arial" w:eastAsiaTheme="majorEastAsia" w:hAnsi="Arial" w:cs="Arial"/>
          <w:sz w:val="22"/>
          <w:szCs w:val="22"/>
          <w:lang w:val="en-GB"/>
        </w:rPr>
      </w:pPr>
      <w:r w:rsidRPr="00205B31">
        <w:rPr>
          <w:rFonts w:ascii="Arial" w:hAnsi="Arial" w:cs="Arial"/>
          <w:sz w:val="22"/>
          <w:szCs w:val="22"/>
          <w:lang w:val="en-GB"/>
        </w:rPr>
        <w:t xml:space="preserve">A number of initiatives have been pursued in international insolvency in order to stimulate debate and to develop international best practice standards. Which of the following statements is </w:t>
      </w:r>
      <w:r w:rsidRPr="00205B31">
        <w:rPr>
          <w:rFonts w:ascii="Arial" w:hAnsi="Arial" w:cs="Arial"/>
          <w:b/>
          <w:bCs/>
          <w:sz w:val="22"/>
          <w:szCs w:val="22"/>
          <w:u w:val="single"/>
          <w:lang w:val="en-GB"/>
        </w:rPr>
        <w:t>most accurate</w:t>
      </w:r>
      <w:r w:rsidRPr="00205B31">
        <w:rPr>
          <w:rFonts w:ascii="Arial" w:hAnsi="Arial" w:cs="Arial"/>
          <w:sz w:val="22"/>
          <w:szCs w:val="22"/>
          <w:lang w:val="en-GB"/>
        </w:rPr>
        <w:t xml:space="preserve"> regarding the World Bank’s </w:t>
      </w:r>
      <w:r w:rsidRPr="00205B31">
        <w:rPr>
          <w:rFonts w:ascii="Arial" w:hAnsi="Arial" w:cs="Arial"/>
          <w:i/>
          <w:iCs/>
          <w:sz w:val="22"/>
          <w:szCs w:val="22"/>
          <w:lang w:val="en-GB"/>
        </w:rPr>
        <w:t>Principles for Effective Insolvency and Creditor / Debtor Regimes</w:t>
      </w:r>
      <w:r w:rsidRPr="00205B31">
        <w:rPr>
          <w:rFonts w:ascii="Arial" w:hAnsi="Arial" w:cs="Arial"/>
          <w:sz w:val="22"/>
          <w:szCs w:val="22"/>
          <w:lang w:val="en-GB"/>
        </w:rPr>
        <w:t>?</w:t>
      </w:r>
    </w:p>
    <w:p w14:paraId="568DB68B" w14:textId="77777777" w:rsidR="00E9597C" w:rsidRPr="00205B31" w:rsidRDefault="007F0D7A"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developed in 2000 and are the international best practice standards for insolvency regimes. </w:t>
      </w:r>
    </w:p>
    <w:p w14:paraId="15A0CF69" w14:textId="77777777" w:rsidR="002400DB" w:rsidRPr="00205B31" w:rsidRDefault="00794876" w:rsidP="00C570AC">
      <w:pPr>
        <w:ind w:left="426" w:hanging="360"/>
        <w:jc w:val="both"/>
        <w:rPr>
          <w:rFonts w:ascii="Arial" w:eastAsiaTheme="minorHAnsi" w:hAnsi="Arial" w:cs="Arial"/>
          <w:sz w:val="22"/>
          <w:szCs w:val="22"/>
          <w:lang w:val="en-GB"/>
        </w:rPr>
      </w:pPr>
    </w:p>
    <w:p w14:paraId="5541AB9C" w14:textId="77777777" w:rsidR="002400DB" w:rsidRPr="00C8377F" w:rsidRDefault="007F0D7A" w:rsidP="00C570AC">
      <w:pPr>
        <w:pStyle w:val="ListParagraph"/>
        <w:numPr>
          <w:ilvl w:val="0"/>
          <w:numId w:val="6"/>
        </w:numPr>
        <w:ind w:left="426"/>
        <w:jc w:val="both"/>
        <w:rPr>
          <w:rFonts w:ascii="Arial" w:hAnsi="Arial" w:cs="Arial"/>
          <w:sz w:val="22"/>
          <w:szCs w:val="22"/>
          <w:highlight w:val="yellow"/>
          <w:lang w:val="en-GB"/>
        </w:rPr>
      </w:pPr>
      <w:r w:rsidRPr="00C8377F">
        <w:rPr>
          <w:rFonts w:ascii="Arial" w:eastAsiaTheme="minorHAnsi" w:hAnsi="Arial" w:cs="Arial"/>
          <w:sz w:val="22"/>
          <w:szCs w:val="22"/>
          <w:highlight w:val="yellow"/>
          <w:lang w:val="en-GB"/>
        </w:rPr>
        <w:t xml:space="preserve">They were recently revised in 2021 and, together with the </w:t>
      </w:r>
      <w:r w:rsidRPr="00C8377F">
        <w:rPr>
          <w:rFonts w:ascii="Arial" w:hAnsi="Arial" w:cs="Arial"/>
          <w:sz w:val="22"/>
          <w:szCs w:val="22"/>
          <w:highlight w:val="yellow"/>
          <w:lang w:val="en-GB"/>
        </w:rPr>
        <w:t>UNCITRAL Legislative Guide, form the international best practice standard for insolvency regimes.</w:t>
      </w:r>
    </w:p>
    <w:p w14:paraId="53616FEA" w14:textId="77777777" w:rsidR="00310FC2" w:rsidRPr="00205B31" w:rsidRDefault="00794876" w:rsidP="00C570AC">
      <w:pPr>
        <w:pStyle w:val="ListParagraph"/>
        <w:ind w:left="426" w:hanging="360"/>
        <w:jc w:val="both"/>
        <w:rPr>
          <w:rFonts w:ascii="Arial" w:hAnsi="Arial" w:cs="Arial"/>
          <w:sz w:val="22"/>
          <w:szCs w:val="22"/>
          <w:lang w:val="en-GB"/>
        </w:rPr>
      </w:pPr>
    </w:p>
    <w:p w14:paraId="5C0F4198" w14:textId="77777777" w:rsidR="00E9597C" w:rsidRPr="00205B31" w:rsidRDefault="007F0D7A"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Model Law on Cross- border Insolvency, form the international best practice standard for insolvency regimes.</w:t>
      </w:r>
    </w:p>
    <w:p w14:paraId="50543909" w14:textId="77777777" w:rsidR="00AC126D" w:rsidRPr="00205B31" w:rsidRDefault="00794876" w:rsidP="00C570AC">
      <w:pPr>
        <w:ind w:left="426" w:hanging="360"/>
        <w:jc w:val="both"/>
        <w:rPr>
          <w:rFonts w:ascii="Arial" w:eastAsiaTheme="minorHAnsi" w:hAnsi="Arial" w:cs="Arial"/>
          <w:sz w:val="22"/>
          <w:szCs w:val="22"/>
          <w:lang w:val="en-GB"/>
        </w:rPr>
      </w:pPr>
    </w:p>
    <w:p w14:paraId="4A1CFFC9" w14:textId="77777777" w:rsidR="00811865" w:rsidRPr="00205B31" w:rsidRDefault="007F0D7A"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initially released in 2011 and are the international best practice standards for insolvency regimes. </w:t>
      </w:r>
    </w:p>
    <w:p w14:paraId="558DA2FA" w14:textId="77777777" w:rsidR="00E9597C" w:rsidRPr="00205B31" w:rsidRDefault="00794876" w:rsidP="009C2628">
      <w:pPr>
        <w:pStyle w:val="ListParagraph"/>
        <w:ind w:left="426"/>
        <w:jc w:val="both"/>
        <w:rPr>
          <w:rFonts w:ascii="Arial" w:eastAsiaTheme="minorHAnsi" w:hAnsi="Arial" w:cs="Arial"/>
          <w:sz w:val="22"/>
          <w:szCs w:val="22"/>
          <w:lang w:val="en-GB"/>
        </w:rPr>
      </w:pPr>
    </w:p>
    <w:p w14:paraId="35B22C4F" w14:textId="77777777" w:rsidR="00E9597C" w:rsidRPr="00205B31" w:rsidRDefault="007F0D7A"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0F5AA439" w14:textId="77777777" w:rsidR="00E9597C" w:rsidRPr="00205B31" w:rsidRDefault="00794876" w:rsidP="00B7193E">
      <w:pPr>
        <w:spacing w:line="276" w:lineRule="auto"/>
        <w:jc w:val="both"/>
        <w:rPr>
          <w:rFonts w:ascii="Arial" w:hAnsi="Arial" w:cs="Arial"/>
          <w:sz w:val="22"/>
          <w:szCs w:val="22"/>
          <w:lang w:val="en-GB"/>
        </w:rPr>
      </w:pPr>
    </w:p>
    <w:p w14:paraId="235AEA29" w14:textId="77777777" w:rsidR="00E9597C" w:rsidRPr="00205B31" w:rsidRDefault="007F0D7A"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does not</w:t>
      </w:r>
      <w:r w:rsidRPr="00205B31">
        <w:rPr>
          <w:rFonts w:ascii="Arial" w:hAnsi="Arial" w:cs="Arial"/>
          <w:b/>
          <w:bCs/>
          <w:sz w:val="22"/>
          <w:szCs w:val="22"/>
          <w:lang w:val="en-GB"/>
        </w:rPr>
        <w:t xml:space="preserve"> </w:t>
      </w:r>
      <w:r w:rsidRPr="00205B31">
        <w:rPr>
          <w:rFonts w:ascii="Arial" w:hAnsi="Arial" w:cs="Arial"/>
          <w:sz w:val="22"/>
          <w:szCs w:val="22"/>
          <w:lang w:val="en-GB"/>
        </w:rPr>
        <w:t>focus on communication among States in international insolvencies?</w:t>
      </w:r>
    </w:p>
    <w:p w14:paraId="71D5FD5C" w14:textId="77777777" w:rsidR="00295742" w:rsidRPr="00205B31" w:rsidRDefault="00794876" w:rsidP="00180B1E">
      <w:pPr>
        <w:spacing w:line="276" w:lineRule="auto"/>
        <w:ind w:left="709" w:hanging="425"/>
        <w:jc w:val="both"/>
        <w:rPr>
          <w:rFonts w:ascii="Arial" w:hAnsi="Arial" w:cs="Arial"/>
          <w:sz w:val="22"/>
          <w:szCs w:val="22"/>
          <w:lang w:val="en-GB"/>
        </w:rPr>
      </w:pPr>
    </w:p>
    <w:p w14:paraId="3965A3CA" w14:textId="77777777" w:rsidR="00E9597C" w:rsidRPr="00205B31" w:rsidRDefault="007F0D7A"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p>
    <w:p w14:paraId="0B494F7B" w14:textId="77777777" w:rsidR="00295742" w:rsidRPr="00205B31" w:rsidRDefault="00794876" w:rsidP="00275182">
      <w:pPr>
        <w:ind w:left="426"/>
        <w:jc w:val="both"/>
        <w:rPr>
          <w:rFonts w:ascii="Arial" w:eastAsiaTheme="minorHAnsi" w:hAnsi="Arial" w:cs="Arial"/>
          <w:sz w:val="22"/>
          <w:szCs w:val="22"/>
          <w:lang w:val="en-GB"/>
        </w:rPr>
      </w:pPr>
    </w:p>
    <w:p w14:paraId="167AE605" w14:textId="77777777" w:rsidR="00E9597C" w:rsidRPr="00205B31" w:rsidRDefault="007F0D7A" w:rsidP="00275182">
      <w:pPr>
        <w:pStyle w:val="ListParagraph"/>
        <w:numPr>
          <w:ilvl w:val="0"/>
          <w:numId w:val="16"/>
        </w:numPr>
        <w:ind w:left="426"/>
        <w:jc w:val="both"/>
        <w:rPr>
          <w:rFonts w:ascii="Arial" w:eastAsiaTheme="minorHAnsi" w:hAnsi="Arial" w:cs="Arial"/>
          <w:sz w:val="22"/>
          <w:szCs w:val="22"/>
          <w:shd w:val="clear" w:color="auto" w:fill="FFFFFF"/>
          <w:lang w:val="en-GB"/>
        </w:rPr>
      </w:pPr>
      <w:r w:rsidRPr="00205B31">
        <w:rPr>
          <w:rFonts w:ascii="Arial" w:hAnsi="Arial" w:cs="Arial"/>
          <w:sz w:val="22"/>
          <w:szCs w:val="22"/>
          <w:shd w:val="clear" w:color="auto" w:fill="FFFFFF"/>
          <w:lang w:val="en-GB"/>
        </w:rPr>
        <w:t>The JIN Guidelines.</w:t>
      </w:r>
    </w:p>
    <w:p w14:paraId="03D71A79" w14:textId="77777777" w:rsidR="00295742" w:rsidRPr="00205B31" w:rsidRDefault="00794876" w:rsidP="00275182">
      <w:pPr>
        <w:ind w:left="426"/>
        <w:jc w:val="both"/>
        <w:rPr>
          <w:rFonts w:ascii="Arial" w:eastAsiaTheme="minorHAnsi" w:hAnsi="Arial" w:cs="Arial"/>
          <w:sz w:val="22"/>
          <w:szCs w:val="22"/>
          <w:shd w:val="clear" w:color="auto" w:fill="FFFFFF"/>
          <w:lang w:val="en-GB"/>
        </w:rPr>
      </w:pPr>
    </w:p>
    <w:p w14:paraId="6E1F4076" w14:textId="77777777" w:rsidR="008A30C3" w:rsidRPr="00205B31" w:rsidRDefault="007F0D7A"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p>
    <w:p w14:paraId="3FF8EB06" w14:textId="77777777" w:rsidR="00E9597C" w:rsidRPr="00667740" w:rsidRDefault="007F0D7A" w:rsidP="00275182">
      <w:pPr>
        <w:pStyle w:val="ListParagraph"/>
        <w:numPr>
          <w:ilvl w:val="0"/>
          <w:numId w:val="16"/>
        </w:numPr>
        <w:ind w:left="426"/>
        <w:jc w:val="both"/>
        <w:rPr>
          <w:rFonts w:ascii="Arial" w:eastAsiaTheme="minorHAnsi" w:hAnsi="Arial" w:cs="Arial"/>
          <w:sz w:val="22"/>
          <w:szCs w:val="22"/>
          <w:highlight w:val="yellow"/>
          <w:lang w:val="en-GB"/>
        </w:rPr>
      </w:pPr>
      <w:r w:rsidRPr="00667740">
        <w:rPr>
          <w:rFonts w:ascii="Arial" w:eastAsiaTheme="minorHAnsi" w:hAnsi="Arial" w:cs="Arial"/>
          <w:sz w:val="22"/>
          <w:szCs w:val="22"/>
          <w:highlight w:val="yellow"/>
          <w:lang w:val="en-GB"/>
        </w:rPr>
        <w:t>The Nordic Convention 1933.</w:t>
      </w:r>
      <w:commentRangeStart w:id="1"/>
      <w:commentRangeEnd w:id="1"/>
    </w:p>
    <w:p w14:paraId="4B5D1E45" w14:textId="77777777" w:rsidR="00E9597C" w:rsidRPr="00205B31" w:rsidRDefault="00794876" w:rsidP="00B7193E">
      <w:pPr>
        <w:spacing w:line="276" w:lineRule="auto"/>
        <w:jc w:val="both"/>
        <w:rPr>
          <w:rFonts w:ascii="Arial" w:eastAsiaTheme="minorHAnsi" w:hAnsi="Arial" w:cs="Arial"/>
          <w:sz w:val="22"/>
          <w:szCs w:val="22"/>
          <w:lang w:val="en-GB"/>
        </w:rPr>
      </w:pPr>
    </w:p>
    <w:p w14:paraId="4E5F15C8" w14:textId="77777777" w:rsidR="00E9597C" w:rsidRPr="00205B31" w:rsidRDefault="007F0D7A"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30D375E5" w14:textId="77777777" w:rsidR="00E9597C" w:rsidRPr="00205B31" w:rsidRDefault="00794876" w:rsidP="00B7193E">
      <w:pPr>
        <w:spacing w:line="276" w:lineRule="auto"/>
        <w:jc w:val="both"/>
        <w:rPr>
          <w:rFonts w:ascii="Arial" w:hAnsi="Arial" w:cs="Arial"/>
          <w:sz w:val="22"/>
          <w:szCs w:val="22"/>
          <w:lang w:val="en-GB"/>
        </w:rPr>
      </w:pPr>
    </w:p>
    <w:p w14:paraId="3B5E9CAC" w14:textId="77777777" w:rsidR="00FD0169" w:rsidRPr="00205B31" w:rsidRDefault="007F0D7A"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fundamental legal issues that arise in an international legal problem? </w:t>
      </w:r>
    </w:p>
    <w:p w14:paraId="37AD3B17" w14:textId="77777777" w:rsidR="00E9597C" w:rsidRPr="00205B31" w:rsidRDefault="00794876" w:rsidP="00B7193E">
      <w:pPr>
        <w:spacing w:line="276" w:lineRule="auto"/>
        <w:jc w:val="both"/>
        <w:rPr>
          <w:rFonts w:ascii="Arial" w:hAnsi="Arial" w:cs="Arial"/>
          <w:sz w:val="22"/>
          <w:szCs w:val="22"/>
          <w:lang w:val="en-GB"/>
        </w:rPr>
      </w:pPr>
    </w:p>
    <w:p w14:paraId="0BC0BB93" w14:textId="77777777" w:rsidR="00E9597C" w:rsidRPr="00205B31" w:rsidRDefault="007F0D7A"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7BE89E30" w14:textId="77777777" w:rsidR="00E9597C" w:rsidRPr="00667740" w:rsidRDefault="007F0D7A" w:rsidP="00275182">
      <w:pPr>
        <w:pStyle w:val="ListParagraph"/>
        <w:numPr>
          <w:ilvl w:val="0"/>
          <w:numId w:val="8"/>
        </w:numPr>
        <w:ind w:left="426"/>
        <w:jc w:val="both"/>
        <w:rPr>
          <w:rFonts w:ascii="Arial" w:hAnsi="Arial" w:cs="Arial"/>
          <w:sz w:val="22"/>
          <w:szCs w:val="22"/>
          <w:highlight w:val="yellow"/>
          <w:lang w:val="en-GB"/>
        </w:rPr>
      </w:pPr>
      <w:r w:rsidRPr="00667740">
        <w:rPr>
          <w:rFonts w:ascii="Arial" w:hAnsi="Arial" w:cs="Arial"/>
          <w:sz w:val="22"/>
          <w:szCs w:val="22"/>
          <w:highlight w:val="yellow"/>
          <w:lang w:val="en-GB"/>
        </w:rPr>
        <w:t>Choice of forum, recognition and effect accorded foreign proceedings in the same matter, and choice of law.</w:t>
      </w:r>
    </w:p>
    <w:p w14:paraId="26098296" w14:textId="77777777" w:rsidR="00295742" w:rsidRPr="00205B31" w:rsidRDefault="00794876" w:rsidP="00275182">
      <w:pPr>
        <w:ind w:left="426" w:hanging="360"/>
        <w:jc w:val="both"/>
        <w:rPr>
          <w:rFonts w:ascii="Arial" w:hAnsi="Arial" w:cs="Arial"/>
          <w:sz w:val="22"/>
          <w:szCs w:val="22"/>
          <w:lang w:val="en-GB"/>
        </w:rPr>
      </w:pPr>
    </w:p>
    <w:p w14:paraId="55E384BD" w14:textId="77777777" w:rsidR="00D714E4" w:rsidRPr="00205B31" w:rsidRDefault="007F0D7A" w:rsidP="00275182">
      <w:pPr>
        <w:pStyle w:val="ListParagraph"/>
        <w:numPr>
          <w:ilvl w:val="0"/>
          <w:numId w:val="8"/>
        </w:numPr>
        <w:ind w:left="426"/>
        <w:jc w:val="both"/>
        <w:rPr>
          <w:rFonts w:ascii="Arial" w:eastAsiaTheme="minorHAnsi" w:hAnsi="Arial" w:cs="Arial"/>
          <w:sz w:val="22"/>
          <w:szCs w:val="22"/>
          <w:lang w:val="en-GB"/>
        </w:rPr>
      </w:pPr>
      <w:bookmarkStart w:id="2" w:name="_Hlk75699720"/>
      <w:r w:rsidRPr="00205B31">
        <w:rPr>
          <w:rFonts w:ascii="Arial" w:hAnsi="Arial" w:cs="Arial"/>
          <w:sz w:val="22"/>
          <w:szCs w:val="22"/>
          <w:lang w:val="en-GB"/>
        </w:rPr>
        <w:t>Choice of effect</w:t>
      </w:r>
      <w:bookmarkEnd w:id="2"/>
      <w:r w:rsidRPr="00205B31">
        <w:rPr>
          <w:rFonts w:ascii="Arial" w:hAnsi="Arial" w:cs="Arial"/>
          <w:sz w:val="22"/>
          <w:szCs w:val="22"/>
          <w:lang w:val="en-GB"/>
        </w:rPr>
        <w:t>, choice of recognition, and choice of law.</w:t>
      </w:r>
    </w:p>
    <w:p w14:paraId="1468351C" w14:textId="77777777" w:rsidR="00E9597C" w:rsidRPr="00205B31" w:rsidRDefault="007F0D7A"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7CCA1C9B" w14:textId="77777777" w:rsidR="00D714E4" w:rsidRPr="00205B31" w:rsidRDefault="007F0D7A"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70B8514E" w14:textId="77777777" w:rsidR="00E9597C" w:rsidRPr="00205B31" w:rsidRDefault="00794876" w:rsidP="00B7193E">
      <w:pPr>
        <w:spacing w:line="276" w:lineRule="auto"/>
        <w:jc w:val="both"/>
        <w:rPr>
          <w:rFonts w:ascii="Arial" w:eastAsiaTheme="minorHAnsi" w:hAnsi="Arial" w:cs="Arial"/>
          <w:sz w:val="22"/>
          <w:szCs w:val="22"/>
          <w:lang w:val="en-GB"/>
        </w:rPr>
      </w:pPr>
    </w:p>
    <w:p w14:paraId="6A1405DC" w14:textId="77777777" w:rsidR="00E9597C" w:rsidRPr="00205B31" w:rsidRDefault="007F0D7A"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1D31B1C0" w14:textId="77777777" w:rsidR="00E9597C" w:rsidRPr="00205B31" w:rsidRDefault="00794876" w:rsidP="00B7193E">
      <w:pPr>
        <w:spacing w:line="276" w:lineRule="auto"/>
        <w:jc w:val="both"/>
        <w:rPr>
          <w:rFonts w:ascii="Arial" w:hAnsi="Arial" w:cs="Arial"/>
          <w:sz w:val="22"/>
          <w:szCs w:val="22"/>
          <w:lang w:val="en-GB"/>
        </w:rPr>
      </w:pPr>
    </w:p>
    <w:p w14:paraId="167CCAA6" w14:textId="77777777" w:rsidR="00E86549" w:rsidRPr="00205B31" w:rsidRDefault="007F0D7A"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4C77091D" w14:textId="77777777" w:rsidR="00E9597C" w:rsidRPr="00205B31" w:rsidRDefault="00794876" w:rsidP="00B7193E">
      <w:pPr>
        <w:spacing w:line="276" w:lineRule="auto"/>
        <w:jc w:val="both"/>
        <w:rPr>
          <w:rFonts w:ascii="Arial" w:hAnsi="Arial" w:cs="Arial"/>
          <w:sz w:val="22"/>
          <w:szCs w:val="22"/>
          <w:lang w:val="en-GB"/>
        </w:rPr>
      </w:pPr>
    </w:p>
    <w:p w14:paraId="0DA569F7" w14:textId="77777777" w:rsidR="00E9597C" w:rsidRPr="0018665B" w:rsidRDefault="007F0D7A" w:rsidP="00275182">
      <w:pPr>
        <w:pStyle w:val="ListParagraph"/>
        <w:numPr>
          <w:ilvl w:val="0"/>
          <w:numId w:val="9"/>
        </w:numPr>
        <w:ind w:left="426"/>
        <w:jc w:val="both"/>
        <w:rPr>
          <w:rFonts w:ascii="Arial" w:hAnsi="Arial" w:cs="Arial"/>
          <w:bCs/>
          <w:sz w:val="22"/>
          <w:szCs w:val="22"/>
          <w:highlight w:val="yellow"/>
          <w:lang w:val="en-GB"/>
        </w:rPr>
      </w:pPr>
      <w:r w:rsidRPr="0018665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p>
    <w:p w14:paraId="1DDEE6B3" w14:textId="77777777" w:rsidR="00295742" w:rsidRPr="00205B31" w:rsidRDefault="00794876" w:rsidP="00275182">
      <w:pPr>
        <w:ind w:left="426" w:hanging="360"/>
        <w:jc w:val="both"/>
        <w:rPr>
          <w:rFonts w:ascii="Arial" w:hAnsi="Arial" w:cs="Arial"/>
          <w:bCs/>
          <w:sz w:val="22"/>
          <w:szCs w:val="22"/>
          <w:lang w:val="en-GB"/>
        </w:rPr>
      </w:pPr>
    </w:p>
    <w:p w14:paraId="0B451CD3" w14:textId="77777777" w:rsidR="00E9597C" w:rsidRPr="00205B31" w:rsidRDefault="007F0D7A"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756F7C2D" w14:textId="77777777" w:rsidR="00295742" w:rsidRPr="00205B31" w:rsidRDefault="00794876" w:rsidP="00275182">
      <w:pPr>
        <w:ind w:left="426" w:hanging="360"/>
        <w:jc w:val="both"/>
        <w:rPr>
          <w:rFonts w:ascii="Arial" w:hAnsi="Arial" w:cs="Arial"/>
          <w:sz w:val="22"/>
          <w:szCs w:val="22"/>
          <w:lang w:val="en-GB"/>
        </w:rPr>
      </w:pPr>
    </w:p>
    <w:p w14:paraId="50FBCD06" w14:textId="77777777" w:rsidR="00E9597C" w:rsidRPr="00205B31" w:rsidRDefault="007F0D7A"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judges on practical aspects of recognition and enforcement in cross-border insolvency cases.</w:t>
      </w:r>
    </w:p>
    <w:p w14:paraId="66F530A0" w14:textId="77777777" w:rsidR="00295742" w:rsidRPr="00205B31" w:rsidRDefault="00794876" w:rsidP="00275182">
      <w:pPr>
        <w:ind w:left="426" w:hanging="360"/>
        <w:jc w:val="both"/>
        <w:rPr>
          <w:rFonts w:ascii="Arial" w:hAnsi="Arial" w:cs="Arial"/>
          <w:sz w:val="22"/>
          <w:szCs w:val="22"/>
          <w:lang w:val="en-GB"/>
        </w:rPr>
      </w:pPr>
    </w:p>
    <w:p w14:paraId="675754F8" w14:textId="77777777" w:rsidR="00AF455B" w:rsidRPr="00205B31" w:rsidRDefault="007F0D7A"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prescriptive and provides information for judges on practical aspects of recognition and enforcement in cross-border insolvency cases.</w:t>
      </w:r>
    </w:p>
    <w:p w14:paraId="1C63AF0C" w14:textId="77777777" w:rsidR="00E9597C" w:rsidRPr="00205B31" w:rsidRDefault="00794876" w:rsidP="00180B1E">
      <w:pPr>
        <w:pStyle w:val="ListParagraph"/>
        <w:ind w:left="426"/>
        <w:jc w:val="both"/>
        <w:rPr>
          <w:rFonts w:ascii="Arial" w:eastAsiaTheme="minorHAnsi" w:hAnsi="Arial" w:cs="Arial"/>
          <w:sz w:val="22"/>
          <w:szCs w:val="22"/>
          <w:lang w:val="en-GB"/>
        </w:rPr>
      </w:pPr>
    </w:p>
    <w:p w14:paraId="373F29FD" w14:textId="77777777" w:rsidR="00E9597C" w:rsidRPr="00205B31" w:rsidRDefault="007F0D7A"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Pr="00205B31">
        <w:rPr>
          <w:rFonts w:ascii="Arial" w:hAnsi="Arial" w:cs="Arial"/>
          <w:sz w:val="22"/>
          <w:szCs w:val="22"/>
          <w:lang w:val="en-GB"/>
        </w:rPr>
        <w:t xml:space="preserve"> </w:t>
      </w:r>
    </w:p>
    <w:p w14:paraId="0D3AA575" w14:textId="77777777" w:rsidR="00E9597C" w:rsidRPr="00205B31" w:rsidRDefault="00794876" w:rsidP="00B7193E">
      <w:pPr>
        <w:spacing w:line="276" w:lineRule="auto"/>
        <w:jc w:val="both"/>
        <w:rPr>
          <w:rFonts w:ascii="Arial" w:hAnsi="Arial" w:cs="Arial"/>
          <w:sz w:val="22"/>
          <w:szCs w:val="22"/>
          <w:lang w:val="en-GB"/>
        </w:rPr>
      </w:pPr>
    </w:p>
    <w:p w14:paraId="1DEA251D" w14:textId="77777777" w:rsidR="00E9597C" w:rsidRPr="00205B31" w:rsidRDefault="007F0D7A"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3A9E986F" w14:textId="77777777" w:rsidR="00E9597C" w:rsidRPr="00205B31" w:rsidRDefault="007F0D7A"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714ABE6D" w14:textId="77777777" w:rsidR="006521CD" w:rsidRPr="00205B31" w:rsidRDefault="007F0D7A"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 and ensure an effective outcome.</w:t>
      </w:r>
    </w:p>
    <w:p w14:paraId="5B784F36" w14:textId="77777777" w:rsidR="00DC2FDB" w:rsidRPr="00205B31" w:rsidRDefault="00794876" w:rsidP="00275182">
      <w:pPr>
        <w:ind w:left="426" w:hanging="360"/>
        <w:jc w:val="both"/>
        <w:rPr>
          <w:rFonts w:ascii="Arial" w:hAnsi="Arial" w:cs="Arial"/>
          <w:sz w:val="22"/>
          <w:szCs w:val="22"/>
          <w:lang w:val="en-GB"/>
        </w:rPr>
      </w:pPr>
    </w:p>
    <w:p w14:paraId="3183AEF3" w14:textId="77777777" w:rsidR="00ED0BC4" w:rsidRPr="00205B31" w:rsidRDefault="007F0D7A"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23DB5C12" w14:textId="77777777" w:rsidR="00DC2FDB" w:rsidRPr="00205B31" w:rsidRDefault="00794876" w:rsidP="00275182">
      <w:pPr>
        <w:ind w:left="426" w:hanging="360"/>
        <w:jc w:val="both"/>
        <w:rPr>
          <w:rFonts w:ascii="Arial" w:eastAsiaTheme="minorHAnsi" w:hAnsi="Arial" w:cs="Arial"/>
          <w:sz w:val="22"/>
          <w:szCs w:val="22"/>
          <w:lang w:val="en-GB"/>
        </w:rPr>
      </w:pPr>
    </w:p>
    <w:p w14:paraId="3167F66E" w14:textId="77777777" w:rsidR="00955CE0" w:rsidRPr="0018665B" w:rsidRDefault="007F0D7A" w:rsidP="00275182">
      <w:pPr>
        <w:pStyle w:val="ListParagraph"/>
        <w:numPr>
          <w:ilvl w:val="0"/>
          <w:numId w:val="10"/>
        </w:numPr>
        <w:ind w:left="426"/>
        <w:jc w:val="both"/>
        <w:rPr>
          <w:rFonts w:ascii="Arial" w:hAnsi="Arial" w:cs="Arial"/>
          <w:sz w:val="22"/>
          <w:szCs w:val="22"/>
          <w:highlight w:val="yellow"/>
          <w:lang w:val="en-GB"/>
        </w:rPr>
      </w:pPr>
      <w:r w:rsidRPr="0018665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7C65B645" w14:textId="77777777" w:rsidR="00DC2FDB" w:rsidRPr="00205B31" w:rsidRDefault="00794876" w:rsidP="00275182">
      <w:pPr>
        <w:ind w:left="426" w:hanging="360"/>
        <w:jc w:val="both"/>
        <w:rPr>
          <w:rFonts w:ascii="Arial" w:hAnsi="Arial" w:cs="Arial"/>
          <w:sz w:val="22"/>
          <w:szCs w:val="22"/>
          <w:lang w:val="en-GB"/>
        </w:rPr>
      </w:pPr>
    </w:p>
    <w:p w14:paraId="650E6CE0" w14:textId="77777777" w:rsidR="00054EC2" w:rsidRPr="00205B31" w:rsidRDefault="007F0D7A"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7573B84B" w14:textId="77777777" w:rsidR="00DE03AF" w:rsidRPr="00205B31" w:rsidRDefault="00794876" w:rsidP="00B7193E">
      <w:pPr>
        <w:spacing w:line="276" w:lineRule="auto"/>
        <w:jc w:val="both"/>
        <w:rPr>
          <w:rFonts w:ascii="Arial" w:hAnsi="Arial" w:cs="Arial"/>
          <w:b/>
          <w:sz w:val="22"/>
          <w:szCs w:val="22"/>
          <w:lang w:val="en-GB"/>
        </w:rPr>
      </w:pPr>
    </w:p>
    <w:p w14:paraId="73721D2A" w14:textId="77777777" w:rsidR="00CC579C" w:rsidRPr="00205B31" w:rsidRDefault="00794876" w:rsidP="00B7193E">
      <w:pPr>
        <w:spacing w:line="276" w:lineRule="auto"/>
        <w:jc w:val="both"/>
        <w:rPr>
          <w:rFonts w:ascii="Arial" w:hAnsi="Arial" w:cs="Arial"/>
          <w:b/>
          <w:sz w:val="22"/>
          <w:szCs w:val="22"/>
          <w:lang w:val="en-GB"/>
        </w:rPr>
      </w:pPr>
    </w:p>
    <w:p w14:paraId="7BD5C146" w14:textId="77777777" w:rsidR="00CC579C" w:rsidRPr="00205B31" w:rsidRDefault="00794876" w:rsidP="00B7193E">
      <w:pPr>
        <w:spacing w:line="276" w:lineRule="auto"/>
        <w:jc w:val="both"/>
        <w:rPr>
          <w:rFonts w:ascii="Arial" w:hAnsi="Arial" w:cs="Arial"/>
          <w:b/>
          <w:sz w:val="22"/>
          <w:szCs w:val="22"/>
          <w:lang w:val="en-GB"/>
        </w:rPr>
      </w:pPr>
    </w:p>
    <w:p w14:paraId="5264A5B8" w14:textId="77777777" w:rsidR="00CC579C" w:rsidRPr="00205B31" w:rsidRDefault="00794876" w:rsidP="00B7193E">
      <w:pPr>
        <w:spacing w:line="276" w:lineRule="auto"/>
        <w:jc w:val="both"/>
        <w:rPr>
          <w:rFonts w:ascii="Arial" w:hAnsi="Arial" w:cs="Arial"/>
          <w:b/>
          <w:sz w:val="22"/>
          <w:szCs w:val="22"/>
          <w:lang w:val="en-GB"/>
        </w:rPr>
      </w:pPr>
    </w:p>
    <w:p w14:paraId="7A367774" w14:textId="77777777" w:rsidR="00CC579C" w:rsidRPr="00205B31" w:rsidRDefault="00794876" w:rsidP="00B7193E">
      <w:pPr>
        <w:spacing w:line="276" w:lineRule="auto"/>
        <w:jc w:val="both"/>
        <w:rPr>
          <w:rFonts w:ascii="Arial" w:hAnsi="Arial" w:cs="Arial"/>
          <w:b/>
          <w:sz w:val="22"/>
          <w:szCs w:val="22"/>
          <w:lang w:val="en-GB"/>
        </w:rPr>
      </w:pPr>
    </w:p>
    <w:p w14:paraId="1691A7C3" w14:textId="77777777" w:rsidR="00CC579C" w:rsidRPr="00205B31" w:rsidRDefault="00794876" w:rsidP="00B7193E">
      <w:pPr>
        <w:spacing w:line="276" w:lineRule="auto"/>
        <w:jc w:val="both"/>
        <w:rPr>
          <w:rFonts w:ascii="Arial" w:hAnsi="Arial" w:cs="Arial"/>
          <w:b/>
          <w:sz w:val="22"/>
          <w:szCs w:val="22"/>
          <w:lang w:val="en-GB"/>
        </w:rPr>
      </w:pPr>
    </w:p>
    <w:p w14:paraId="6CDD98D0" w14:textId="77777777" w:rsidR="00DC2FDB" w:rsidRPr="00205B31" w:rsidRDefault="00794876" w:rsidP="00B7193E">
      <w:pPr>
        <w:spacing w:line="276" w:lineRule="auto"/>
        <w:jc w:val="both"/>
        <w:rPr>
          <w:rFonts w:ascii="Arial" w:hAnsi="Arial" w:cs="Arial"/>
          <w:b/>
          <w:sz w:val="22"/>
          <w:szCs w:val="22"/>
          <w:lang w:val="en-GB"/>
        </w:rPr>
      </w:pPr>
    </w:p>
    <w:p w14:paraId="0C3C4D84" w14:textId="77777777" w:rsidR="00962045" w:rsidRPr="00205B31" w:rsidRDefault="007F0D7A" w:rsidP="000C72C4">
      <w:pPr>
        <w:keepNext/>
        <w:jc w:val="both"/>
        <w:rPr>
          <w:rFonts w:ascii="Arial" w:hAnsi="Arial" w:cs="Arial"/>
          <w:b/>
          <w:sz w:val="22"/>
          <w:szCs w:val="22"/>
          <w:lang w:val="en-GB"/>
        </w:rPr>
      </w:pPr>
      <w:r w:rsidRPr="00205B31">
        <w:rPr>
          <w:rFonts w:ascii="Arial" w:hAnsi="Arial" w:cs="Arial"/>
          <w:b/>
          <w:sz w:val="22"/>
          <w:szCs w:val="22"/>
          <w:lang w:val="en-GB"/>
        </w:rPr>
        <w:lastRenderedPageBreak/>
        <w:t xml:space="preserve">QUESTION 2 (direct questions) [10 marks] </w:t>
      </w:r>
    </w:p>
    <w:p w14:paraId="00766E70" w14:textId="77777777" w:rsidR="00962045" w:rsidRPr="00205B31" w:rsidRDefault="00794876" w:rsidP="000C72C4">
      <w:pPr>
        <w:keepNext/>
        <w:ind w:left="720" w:hanging="720"/>
        <w:jc w:val="both"/>
        <w:rPr>
          <w:rFonts w:ascii="Arial" w:hAnsi="Arial" w:cs="Arial"/>
          <w:sz w:val="22"/>
          <w:szCs w:val="22"/>
          <w:lang w:val="en-GB"/>
        </w:rPr>
      </w:pPr>
    </w:p>
    <w:p w14:paraId="5A777BFA" w14:textId="77777777" w:rsidR="002C13C8" w:rsidRPr="00205B31" w:rsidRDefault="007F0D7A" w:rsidP="000C72C4">
      <w:pPr>
        <w:keepNext/>
        <w:ind w:left="720" w:hanging="720"/>
        <w:jc w:val="both"/>
        <w:rPr>
          <w:rFonts w:ascii="Arial" w:hAnsi="Arial" w:cs="Arial"/>
          <w:sz w:val="22"/>
          <w:szCs w:val="22"/>
          <w:lang w:val="en-GB"/>
        </w:rPr>
      </w:pPr>
      <w:r w:rsidRPr="00205B31">
        <w:rPr>
          <w:rFonts w:ascii="Arial" w:hAnsi="Arial" w:cs="Arial"/>
          <w:b/>
          <w:bCs/>
          <w:sz w:val="22"/>
          <w:szCs w:val="22"/>
          <w:lang w:val="en-GB"/>
        </w:rPr>
        <w:t>Question 2.1</w:t>
      </w:r>
      <w:r w:rsidRPr="00205B31">
        <w:rPr>
          <w:rFonts w:ascii="Arial" w:hAnsi="Arial" w:cs="Arial"/>
          <w:b/>
          <w:bCs/>
          <w:sz w:val="22"/>
          <w:szCs w:val="22"/>
          <w:lang w:val="en-GB"/>
        </w:rPr>
        <w:tab/>
        <w:t>[maximum 3 marks</w:t>
      </w:r>
      <w:r w:rsidRPr="00205B31">
        <w:rPr>
          <w:rFonts w:ascii="Arial" w:hAnsi="Arial" w:cs="Arial"/>
          <w:sz w:val="22"/>
          <w:szCs w:val="22"/>
          <w:lang w:val="en-GB"/>
        </w:rPr>
        <w:t xml:space="preserve">] </w:t>
      </w:r>
    </w:p>
    <w:p w14:paraId="34DC15FD" w14:textId="77777777" w:rsidR="002C13C8" w:rsidRPr="00205B31" w:rsidRDefault="00794876" w:rsidP="00B7193E">
      <w:pPr>
        <w:ind w:left="720" w:hanging="720"/>
        <w:jc w:val="both"/>
        <w:rPr>
          <w:rFonts w:ascii="Arial" w:hAnsi="Arial" w:cs="Arial"/>
          <w:sz w:val="22"/>
          <w:szCs w:val="22"/>
          <w:lang w:val="en-GB"/>
        </w:rPr>
      </w:pPr>
    </w:p>
    <w:p w14:paraId="7A446CFD" w14:textId="77777777" w:rsidR="00CC7728" w:rsidRPr="00205B31" w:rsidRDefault="007F0D7A" w:rsidP="00180B1E">
      <w:pPr>
        <w:jc w:val="both"/>
        <w:rPr>
          <w:rFonts w:ascii="Arial" w:hAnsi="Arial" w:cs="Arial"/>
          <w:sz w:val="22"/>
          <w:szCs w:val="22"/>
          <w:lang w:val="en-GB"/>
        </w:rPr>
      </w:pPr>
      <w:r w:rsidRPr="00205B31">
        <w:rPr>
          <w:rFonts w:ascii="Arial" w:hAnsi="Arial" w:cs="Arial"/>
          <w:sz w:val="22"/>
          <w:szCs w:val="22"/>
          <w:lang w:val="en-GB"/>
        </w:rPr>
        <w:t>Briefly indicate three significant (historical) developments regarding debt collection procedures in English law that shaped the way of thinking concerning modern insolvency law.</w:t>
      </w:r>
    </w:p>
    <w:p w14:paraId="2E161D33" w14:textId="77777777" w:rsidR="00CC7728" w:rsidRPr="00205B31" w:rsidRDefault="00794876" w:rsidP="00E84DD5">
      <w:pPr>
        <w:rPr>
          <w:rFonts w:ascii="Arial" w:hAnsi="Arial" w:cs="Arial"/>
          <w:sz w:val="22"/>
          <w:szCs w:val="22"/>
          <w:lang w:val="en-GB"/>
        </w:rPr>
      </w:pPr>
    </w:p>
    <w:p w14:paraId="216AE799" w14:textId="7FAEC481" w:rsidR="009B07AD" w:rsidRDefault="007F0D7A" w:rsidP="00355C5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w:t>
      </w:r>
      <w:r w:rsidR="00355C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1267 the Statute of Malbridge introduced the first instance of imprisonment for the non-payment of debt under English law and was only abolished by Debtors Act of 1869 (section 5).</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p>
    <w:p w14:paraId="1D43A9A8" w14:textId="77777777" w:rsidR="00FE351E" w:rsidRDefault="00794876" w:rsidP="00355C5B">
      <w:pPr>
        <w:ind w:left="720" w:hanging="720"/>
        <w:jc w:val="both"/>
        <w:rPr>
          <w:rFonts w:ascii="Arial" w:hAnsi="Arial" w:cs="Arial"/>
          <w:color w:val="7B7B7B" w:themeColor="accent3" w:themeShade="BF"/>
          <w:sz w:val="22"/>
          <w:szCs w:val="22"/>
          <w:lang w:val="en-GB"/>
        </w:rPr>
      </w:pPr>
    </w:p>
    <w:p w14:paraId="47D05A0A" w14:textId="795C9C13" w:rsidR="00FE351E" w:rsidRDefault="007F0D7A" w:rsidP="00355C5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1542 the first English law bankruptcy stat</w:t>
      </w:r>
      <w:r w:rsidR="00355C5B">
        <w:rPr>
          <w:rFonts w:ascii="Arial" w:hAnsi="Arial" w:cs="Arial"/>
          <w:color w:val="7B7B7B" w:themeColor="accent3" w:themeShade="BF"/>
          <w:sz w:val="22"/>
          <w:szCs w:val="22"/>
          <w:lang w:val="en-GB"/>
        </w:rPr>
        <w:t>ut</w:t>
      </w:r>
      <w:r>
        <w:rPr>
          <w:rFonts w:ascii="Arial" w:hAnsi="Arial" w:cs="Arial"/>
          <w:color w:val="7B7B7B" w:themeColor="accent3" w:themeShade="BF"/>
          <w:sz w:val="22"/>
          <w:szCs w:val="22"/>
          <w:lang w:val="en-GB"/>
        </w:rPr>
        <w:t>e was passed</w:t>
      </w:r>
      <w:r w:rsidR="00355C5B">
        <w:rPr>
          <w:rFonts w:ascii="Arial" w:hAnsi="Arial" w:cs="Arial"/>
          <w:color w:val="7B7B7B" w:themeColor="accent3" w:themeShade="BF"/>
          <w:sz w:val="22"/>
          <w:szCs w:val="22"/>
          <w:lang w:val="en-GB"/>
        </w:rPr>
        <w:t xml:space="preserve">, namely </w:t>
      </w:r>
      <w:r>
        <w:rPr>
          <w:rFonts w:ascii="Arial" w:hAnsi="Arial" w:cs="Arial"/>
          <w:color w:val="7B7B7B" w:themeColor="accent3" w:themeShade="BF"/>
          <w:sz w:val="22"/>
          <w:szCs w:val="22"/>
          <w:lang w:val="en-GB"/>
        </w:rPr>
        <w:t>the Bankruptcy Act of 1542</w:t>
      </w:r>
      <w:r w:rsidR="00355C5B">
        <w:rPr>
          <w:rFonts w:ascii="Arial" w:hAnsi="Arial" w:cs="Arial"/>
          <w:color w:val="7B7B7B" w:themeColor="accent3" w:themeShade="BF"/>
          <w:sz w:val="22"/>
          <w:szCs w:val="22"/>
          <w:lang w:val="en-GB"/>
        </w:rPr>
        <w:t>. This Act appeared to introduce a mechanism akin to</w:t>
      </w:r>
      <w:r>
        <w:rPr>
          <w:rFonts w:ascii="Arial" w:hAnsi="Arial" w:cs="Arial"/>
          <w:color w:val="7B7B7B" w:themeColor="accent3" w:themeShade="BF"/>
          <w:sz w:val="22"/>
          <w:szCs w:val="22"/>
          <w:lang w:val="en-GB"/>
        </w:rPr>
        <w:t xml:space="preserve"> compulsory sequestration where the debtor absconded or was dishonest</w:t>
      </w:r>
      <w:r w:rsidR="00355C5B">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paved the way for the principles on which modern insolvency law </w:t>
      </w:r>
      <w:r w:rsidR="00355C5B">
        <w:rPr>
          <w:rFonts w:ascii="Arial" w:hAnsi="Arial" w:cs="Arial"/>
          <w:color w:val="7B7B7B" w:themeColor="accent3" w:themeShade="BF"/>
          <w:sz w:val="22"/>
          <w:szCs w:val="22"/>
          <w:lang w:val="en-GB"/>
        </w:rPr>
        <w:t>was developed</w:t>
      </w:r>
      <w:r>
        <w:rPr>
          <w:rFonts w:ascii="Arial" w:hAnsi="Arial" w:cs="Arial"/>
          <w:color w:val="7B7B7B" w:themeColor="accent3" w:themeShade="BF"/>
          <w:sz w:val="22"/>
          <w:szCs w:val="22"/>
          <w:lang w:val="en-GB"/>
        </w:rPr>
        <w:t xml:space="preserve">, namely collective participation by creditors and </w:t>
      </w:r>
      <w:r w:rsidRPr="000C72C4">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ranking of creditor</w:t>
      </w:r>
      <w:r w:rsidR="00355C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355C5B">
        <w:rPr>
          <w:rFonts w:ascii="Arial" w:hAnsi="Arial" w:cs="Arial"/>
          <w:color w:val="7B7B7B" w:themeColor="accent3" w:themeShade="BF"/>
          <w:sz w:val="22"/>
          <w:szCs w:val="22"/>
          <w:lang w:val="en-GB"/>
        </w:rPr>
        <w:t xml:space="preserve">at the point of </w:t>
      </w:r>
      <w:r>
        <w:rPr>
          <w:rFonts w:ascii="Arial" w:hAnsi="Arial" w:cs="Arial"/>
          <w:color w:val="7B7B7B" w:themeColor="accent3" w:themeShade="BF"/>
          <w:sz w:val="22"/>
          <w:szCs w:val="22"/>
          <w:lang w:val="en-GB"/>
        </w:rPr>
        <w:t>distribution</w:t>
      </w:r>
      <w:r w:rsidR="00355C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The Act </w:t>
      </w:r>
      <w:r w:rsidR="00355C5B">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made provision for a body of commissioners who </w:t>
      </w:r>
      <w:r w:rsidR="00355C5B">
        <w:rPr>
          <w:rFonts w:ascii="Arial" w:hAnsi="Arial" w:cs="Arial"/>
          <w:color w:val="7B7B7B" w:themeColor="accent3" w:themeShade="BF"/>
          <w:sz w:val="22"/>
          <w:szCs w:val="22"/>
          <w:lang w:val="en-GB"/>
        </w:rPr>
        <w:t xml:space="preserve">were empowered to </w:t>
      </w:r>
      <w:r>
        <w:rPr>
          <w:rFonts w:ascii="Arial" w:hAnsi="Arial" w:cs="Arial"/>
          <w:color w:val="7B7B7B" w:themeColor="accent3" w:themeShade="BF"/>
          <w:sz w:val="22"/>
          <w:szCs w:val="22"/>
          <w:lang w:val="en-GB"/>
        </w:rPr>
        <w:t xml:space="preserve">take action against an absconding or dishonest debtor at the request of a creditor, and more importantly provided for equal distribution of a debtors assets where that debtor had acted fraudulently. </w:t>
      </w:r>
    </w:p>
    <w:p w14:paraId="1F1AFA77" w14:textId="77777777" w:rsidR="006D4097" w:rsidRDefault="00794876" w:rsidP="00355C5B">
      <w:pPr>
        <w:ind w:left="720" w:hanging="720"/>
        <w:jc w:val="both"/>
        <w:rPr>
          <w:rFonts w:ascii="Arial" w:hAnsi="Arial" w:cs="Arial"/>
          <w:color w:val="7B7B7B" w:themeColor="accent3" w:themeShade="BF"/>
          <w:sz w:val="22"/>
          <w:szCs w:val="22"/>
          <w:lang w:val="en-GB"/>
        </w:rPr>
      </w:pPr>
    </w:p>
    <w:p w14:paraId="69076FFC" w14:textId="6DFFCB64" w:rsidR="006D4097" w:rsidRDefault="007F0D7A" w:rsidP="00355C5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1705 the Statute of Ann was passed which was the first piece of legislation under English law to introduce the concept of a statutory discharge </w:t>
      </w:r>
      <w:r w:rsidR="00355C5B">
        <w:rPr>
          <w:rFonts w:ascii="Arial" w:hAnsi="Arial" w:cs="Arial"/>
          <w:color w:val="7B7B7B" w:themeColor="accent3" w:themeShade="BF"/>
          <w:sz w:val="22"/>
          <w:szCs w:val="22"/>
          <w:lang w:val="en-GB"/>
        </w:rPr>
        <w:t xml:space="preserve">and described the </w:t>
      </w:r>
      <w:r>
        <w:rPr>
          <w:rFonts w:ascii="Arial" w:hAnsi="Arial" w:cs="Arial"/>
          <w:color w:val="7B7B7B" w:themeColor="accent3" w:themeShade="BF"/>
          <w:sz w:val="22"/>
          <w:szCs w:val="22"/>
          <w:lang w:val="en-GB"/>
        </w:rPr>
        <w:t xml:space="preserve">the specific instances </w:t>
      </w:r>
      <w:r w:rsidR="00355C5B">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w:t>
      </w:r>
      <w:r w:rsidR="00355C5B">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conditions applicable.</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w:t>
      </w:r>
    </w:p>
    <w:p w14:paraId="5D5FFEB2" w14:textId="77777777" w:rsidR="00DE03AF" w:rsidRPr="00205B31" w:rsidRDefault="00794876" w:rsidP="00B7193E">
      <w:pPr>
        <w:jc w:val="both"/>
        <w:rPr>
          <w:rFonts w:ascii="Arial" w:hAnsi="Arial" w:cs="Arial"/>
          <w:color w:val="7B7B7B"/>
          <w:sz w:val="22"/>
          <w:szCs w:val="22"/>
          <w:lang w:val="en-GB"/>
        </w:rPr>
      </w:pPr>
    </w:p>
    <w:p w14:paraId="46BADEEF" w14:textId="77777777" w:rsidR="00020557" w:rsidRPr="00205B31" w:rsidRDefault="00794876" w:rsidP="00B7193E">
      <w:pPr>
        <w:jc w:val="both"/>
        <w:rPr>
          <w:rFonts w:ascii="Arial" w:hAnsi="Arial" w:cs="Arial"/>
          <w:color w:val="7B7B7B"/>
          <w:sz w:val="22"/>
          <w:szCs w:val="22"/>
          <w:lang w:val="en-GB"/>
        </w:rPr>
      </w:pPr>
    </w:p>
    <w:p w14:paraId="0A0762B9" w14:textId="77777777" w:rsidR="00C72848" w:rsidRPr="00205B31" w:rsidRDefault="007F0D7A" w:rsidP="00B7193E">
      <w:pPr>
        <w:ind w:left="720" w:hanging="720"/>
        <w:jc w:val="both"/>
        <w:rPr>
          <w:rFonts w:ascii="Arial" w:hAnsi="Arial" w:cs="Arial"/>
          <w:sz w:val="22"/>
          <w:szCs w:val="22"/>
          <w:lang w:val="en-GB"/>
        </w:rPr>
      </w:pPr>
      <w:r w:rsidRPr="00205B31">
        <w:rPr>
          <w:rFonts w:ascii="Arial" w:hAnsi="Arial" w:cs="Arial"/>
          <w:b/>
          <w:bCs/>
          <w:sz w:val="22"/>
          <w:szCs w:val="22"/>
          <w:lang w:val="en-GB"/>
        </w:rPr>
        <w:t>Question 2.2</w:t>
      </w:r>
      <w:r w:rsidRPr="00205B31">
        <w:rPr>
          <w:rFonts w:ascii="Arial" w:hAnsi="Arial" w:cs="Arial"/>
          <w:b/>
          <w:bCs/>
          <w:sz w:val="22"/>
          <w:szCs w:val="22"/>
          <w:lang w:val="en-GB"/>
        </w:rPr>
        <w:tab/>
        <w:t>[maximum 3 marks]</w:t>
      </w:r>
      <w:r w:rsidRPr="00205B31">
        <w:rPr>
          <w:rFonts w:ascii="Arial" w:hAnsi="Arial" w:cs="Arial"/>
          <w:sz w:val="22"/>
          <w:szCs w:val="22"/>
          <w:lang w:val="en-GB"/>
        </w:rPr>
        <w:t xml:space="preserve"> </w:t>
      </w:r>
    </w:p>
    <w:p w14:paraId="58631C43" w14:textId="77777777" w:rsidR="00C72848" w:rsidRPr="00205B31" w:rsidRDefault="00794876" w:rsidP="00B7193E">
      <w:pPr>
        <w:ind w:left="720" w:hanging="720"/>
        <w:jc w:val="both"/>
        <w:rPr>
          <w:rFonts w:ascii="Arial" w:hAnsi="Arial" w:cs="Arial"/>
          <w:sz w:val="22"/>
          <w:szCs w:val="22"/>
          <w:lang w:val="en-GB"/>
        </w:rPr>
      </w:pPr>
    </w:p>
    <w:p w14:paraId="6D4013FF" w14:textId="77777777" w:rsidR="00CC7728" w:rsidRPr="00205B31" w:rsidRDefault="007F0D7A" w:rsidP="00CC7728">
      <w:pPr>
        <w:jc w:val="both"/>
        <w:rPr>
          <w:rFonts w:ascii="Arial" w:hAnsi="Arial" w:cs="Arial"/>
          <w:sz w:val="22"/>
          <w:szCs w:val="22"/>
          <w:lang w:val="en-GB"/>
        </w:rPr>
      </w:pPr>
      <w:r>
        <w:rPr>
          <w:rFonts w:ascii="Arial" w:hAnsi="Arial" w:cs="Arial"/>
          <w:sz w:val="22"/>
          <w:szCs w:val="22"/>
          <w:lang w:val="en-GB"/>
        </w:rPr>
        <w:t xml:space="preserve">Following the Covid-19 pandemic, States across the globe had to introduce measures to deal with the negative economic fall out of this pandemic. Briefly indicate three insolvency and insolvency-related measures so introduced in the UK. </w:t>
      </w:r>
    </w:p>
    <w:p w14:paraId="4E4C1FC9" w14:textId="77777777" w:rsidR="00CC7728" w:rsidRPr="00205B31" w:rsidRDefault="00794876" w:rsidP="00B7193E">
      <w:pPr>
        <w:jc w:val="both"/>
        <w:rPr>
          <w:rFonts w:ascii="Arial" w:hAnsi="Arial" w:cs="Arial"/>
          <w:sz w:val="22"/>
          <w:szCs w:val="22"/>
          <w:lang w:val="en-GB"/>
        </w:rPr>
      </w:pPr>
    </w:p>
    <w:p w14:paraId="596C4F7D" w14:textId="3E0EE9A5" w:rsidR="009B07AD" w:rsidRDefault="007F0D7A"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June 2020, </w:t>
      </w:r>
      <w:r w:rsidRPr="00DB3EFD">
        <w:rPr>
          <w:rFonts w:ascii="Arial" w:hAnsi="Arial" w:cs="Arial"/>
          <w:color w:val="7B7B7B" w:themeColor="accent3" w:themeShade="BF"/>
          <w:sz w:val="22"/>
          <w:szCs w:val="22"/>
        </w:rPr>
        <w:t xml:space="preserve">the Corporate Insolvency and Governance Act 2020 was passed. This Act introduced both permanent measures to </w:t>
      </w:r>
      <w:r w:rsidR="00393B92">
        <w:rPr>
          <w:rFonts w:ascii="Arial" w:hAnsi="Arial" w:cs="Arial"/>
          <w:color w:val="7B7B7B" w:themeColor="accent3" w:themeShade="BF"/>
          <w:sz w:val="22"/>
          <w:szCs w:val="22"/>
        </w:rPr>
        <w:t>develop</w:t>
      </w:r>
      <w:r w:rsidR="00393B92" w:rsidRPr="00DB3EFD">
        <w:rPr>
          <w:rFonts w:ascii="Arial" w:hAnsi="Arial" w:cs="Arial"/>
          <w:color w:val="7B7B7B" w:themeColor="accent3" w:themeShade="BF"/>
          <w:sz w:val="22"/>
          <w:szCs w:val="22"/>
        </w:rPr>
        <w:t xml:space="preserve"> </w:t>
      </w:r>
      <w:r w:rsidRPr="00DB3EFD">
        <w:rPr>
          <w:rFonts w:ascii="Arial" w:hAnsi="Arial" w:cs="Arial"/>
          <w:color w:val="7B7B7B" w:themeColor="accent3" w:themeShade="BF"/>
          <w:sz w:val="22"/>
          <w:szCs w:val="22"/>
        </w:rPr>
        <w:t xml:space="preserve">the UK insolvency regime, and temporary measures to help businesses </w:t>
      </w:r>
      <w:r w:rsidR="00393B92">
        <w:rPr>
          <w:rFonts w:ascii="Arial" w:hAnsi="Arial" w:cs="Arial"/>
          <w:color w:val="7B7B7B" w:themeColor="accent3" w:themeShade="BF"/>
          <w:sz w:val="22"/>
          <w:szCs w:val="22"/>
        </w:rPr>
        <w:t>in financial distress</w:t>
      </w:r>
      <w:r>
        <w:rPr>
          <w:rFonts w:ascii="Arial" w:hAnsi="Arial" w:cs="Arial"/>
          <w:color w:val="7B7B7B" w:themeColor="accent3" w:themeShade="BF"/>
          <w:sz w:val="22"/>
          <w:szCs w:val="22"/>
        </w:rPr>
        <w:t>. These temporary measures included:</w:t>
      </w:r>
      <w:r>
        <w:rPr>
          <w:rStyle w:val="FootnoteReference"/>
          <w:rFonts w:ascii="Arial" w:hAnsi="Arial" w:cs="Arial"/>
          <w:color w:val="7B7B7B" w:themeColor="accent3" w:themeShade="BF"/>
          <w:sz w:val="22"/>
          <w:szCs w:val="22"/>
        </w:rPr>
        <w:footnoteReference w:id="4"/>
      </w:r>
    </w:p>
    <w:p w14:paraId="2B3256B6" w14:textId="77777777" w:rsidR="00F65857" w:rsidRDefault="00794876" w:rsidP="00B7193E">
      <w:pPr>
        <w:ind w:left="720" w:hanging="720"/>
        <w:jc w:val="both"/>
        <w:rPr>
          <w:rFonts w:ascii="Arial" w:hAnsi="Arial" w:cs="Arial"/>
          <w:color w:val="7B7B7B" w:themeColor="accent3" w:themeShade="BF"/>
          <w:sz w:val="22"/>
          <w:szCs w:val="22"/>
        </w:rPr>
      </w:pPr>
    </w:p>
    <w:p w14:paraId="453557F6" w14:textId="0BA8D874" w:rsidR="00F65857" w:rsidRDefault="00393B92" w:rsidP="00F6585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suspension of </w:t>
      </w:r>
      <w:r w:rsidR="000C72C4">
        <w:rPr>
          <w:rFonts w:ascii="Arial" w:hAnsi="Arial" w:cs="Arial"/>
          <w:color w:val="7B7B7B" w:themeColor="accent3" w:themeShade="BF"/>
          <w:sz w:val="22"/>
          <w:szCs w:val="22"/>
          <w:lang w:val="en-GB"/>
        </w:rPr>
        <w:t>statutory</w:t>
      </w:r>
      <w:r>
        <w:rPr>
          <w:rFonts w:ascii="Arial" w:hAnsi="Arial" w:cs="Arial"/>
          <w:color w:val="7B7B7B" w:themeColor="accent3" w:themeShade="BF"/>
          <w:sz w:val="22"/>
          <w:szCs w:val="22"/>
          <w:lang w:val="en-GB"/>
        </w:rPr>
        <w:t xml:space="preserve"> demands and there service, such that any served during the period </w:t>
      </w:r>
      <w:r w:rsidR="007F0D7A">
        <w:rPr>
          <w:rFonts w:ascii="Arial" w:hAnsi="Arial" w:cs="Arial"/>
          <w:color w:val="7B7B7B" w:themeColor="accent3" w:themeShade="BF"/>
          <w:sz w:val="22"/>
          <w:szCs w:val="22"/>
          <w:lang w:val="en-GB"/>
        </w:rPr>
        <w:t>1 March 2020 and 30 September 2021 were void (the "relevant period");</w:t>
      </w:r>
    </w:p>
    <w:p w14:paraId="2A7C5C06" w14:textId="77777777" w:rsidR="00F65857" w:rsidRPr="00F65857" w:rsidRDefault="00794876" w:rsidP="00F65857">
      <w:pPr>
        <w:pStyle w:val="ListParagraph"/>
        <w:jc w:val="both"/>
        <w:rPr>
          <w:rFonts w:ascii="Arial" w:hAnsi="Arial" w:cs="Arial"/>
          <w:color w:val="7B7B7B" w:themeColor="accent3" w:themeShade="BF"/>
          <w:sz w:val="22"/>
          <w:szCs w:val="22"/>
          <w:lang w:val="en-GB"/>
        </w:rPr>
      </w:pPr>
    </w:p>
    <w:p w14:paraId="25A182F8" w14:textId="196CB3D8" w:rsidR="00393B92" w:rsidRDefault="007F0D7A" w:rsidP="00F65857">
      <w:pPr>
        <w:pStyle w:val="ListParagraph"/>
        <w:numPr>
          <w:ilvl w:val="0"/>
          <w:numId w:val="17"/>
        </w:numPr>
        <w:jc w:val="both"/>
        <w:rPr>
          <w:rFonts w:ascii="Arial" w:hAnsi="Arial" w:cs="Arial"/>
          <w:color w:val="7B7B7B" w:themeColor="accent3" w:themeShade="BF"/>
          <w:sz w:val="22"/>
          <w:szCs w:val="22"/>
          <w:lang w:val="en-GB"/>
        </w:rPr>
      </w:pPr>
      <w:r w:rsidRPr="00F65857">
        <w:rPr>
          <w:rFonts w:ascii="Arial" w:hAnsi="Arial" w:cs="Arial"/>
          <w:color w:val="7B7B7B" w:themeColor="accent3" w:themeShade="BF"/>
          <w:sz w:val="22"/>
          <w:szCs w:val="22"/>
          <w:lang w:val="en-GB"/>
        </w:rPr>
        <w:t xml:space="preserve">winding-up petitions </w:t>
      </w:r>
      <w:r w:rsidR="00393B92">
        <w:rPr>
          <w:rFonts w:ascii="Arial" w:hAnsi="Arial" w:cs="Arial"/>
          <w:color w:val="7B7B7B" w:themeColor="accent3" w:themeShade="BF"/>
          <w:sz w:val="22"/>
          <w:szCs w:val="22"/>
          <w:lang w:val="en-GB"/>
        </w:rPr>
        <w:t xml:space="preserve">could not be made where the underlying </w:t>
      </w:r>
      <w:r w:rsidRPr="00F65857">
        <w:rPr>
          <w:rFonts w:ascii="Arial" w:hAnsi="Arial" w:cs="Arial"/>
          <w:color w:val="7B7B7B" w:themeColor="accent3" w:themeShade="BF"/>
          <w:sz w:val="22"/>
          <w:szCs w:val="22"/>
          <w:lang w:val="en-GB"/>
        </w:rPr>
        <w:t xml:space="preserve">unpaid debt </w:t>
      </w:r>
      <w:r w:rsidR="00393B92">
        <w:rPr>
          <w:rFonts w:ascii="Arial" w:hAnsi="Arial" w:cs="Arial"/>
          <w:color w:val="7B7B7B" w:themeColor="accent3" w:themeShade="BF"/>
          <w:sz w:val="22"/>
          <w:szCs w:val="22"/>
          <w:lang w:val="en-GB"/>
        </w:rPr>
        <w:t xml:space="preserve">was a direct result of the </w:t>
      </w:r>
      <w:r w:rsidRPr="00F65857">
        <w:rPr>
          <w:rFonts w:ascii="Arial" w:hAnsi="Arial" w:cs="Arial"/>
          <w:color w:val="7B7B7B" w:themeColor="accent3" w:themeShade="BF"/>
          <w:sz w:val="22"/>
          <w:szCs w:val="22"/>
          <w:lang w:val="en-GB"/>
        </w:rPr>
        <w:t xml:space="preserve">Covid-19 pandemic. </w:t>
      </w:r>
      <w:r w:rsidR="00393B92">
        <w:rPr>
          <w:rFonts w:ascii="Arial" w:hAnsi="Arial" w:cs="Arial"/>
          <w:color w:val="7B7B7B" w:themeColor="accent3" w:themeShade="BF"/>
          <w:sz w:val="22"/>
          <w:szCs w:val="22"/>
          <w:lang w:val="en-GB"/>
        </w:rPr>
        <w:t xml:space="preserve">The consequence of this, however was that the </w:t>
      </w:r>
      <w:r w:rsidRPr="00F65857">
        <w:rPr>
          <w:rFonts w:ascii="Arial" w:hAnsi="Arial" w:cs="Arial"/>
          <w:color w:val="7B7B7B" w:themeColor="accent3" w:themeShade="BF"/>
          <w:sz w:val="22"/>
          <w:szCs w:val="22"/>
          <w:lang w:val="en-GB"/>
        </w:rPr>
        <w:t xml:space="preserve">courts were required to review </w:t>
      </w:r>
      <w:r w:rsidR="00393B92">
        <w:rPr>
          <w:rFonts w:ascii="Arial" w:hAnsi="Arial" w:cs="Arial"/>
          <w:color w:val="7B7B7B" w:themeColor="accent3" w:themeShade="BF"/>
          <w:sz w:val="22"/>
          <w:szCs w:val="22"/>
          <w:lang w:val="en-GB"/>
        </w:rPr>
        <w:t>each</w:t>
      </w:r>
      <w:r w:rsidR="00393B92" w:rsidRPr="00F65857">
        <w:rPr>
          <w:rFonts w:ascii="Arial" w:hAnsi="Arial" w:cs="Arial"/>
          <w:color w:val="7B7B7B" w:themeColor="accent3" w:themeShade="BF"/>
          <w:sz w:val="22"/>
          <w:szCs w:val="22"/>
          <w:lang w:val="en-GB"/>
        </w:rPr>
        <w:t xml:space="preserve"> </w:t>
      </w:r>
      <w:r w:rsidRPr="00F65857">
        <w:rPr>
          <w:rFonts w:ascii="Arial" w:hAnsi="Arial" w:cs="Arial"/>
          <w:color w:val="7B7B7B" w:themeColor="accent3" w:themeShade="BF"/>
          <w:sz w:val="22"/>
          <w:szCs w:val="22"/>
          <w:lang w:val="en-GB"/>
        </w:rPr>
        <w:t xml:space="preserve">winding-up petition presented where a company was unable to pay its debts in order to determine whether </w:t>
      </w:r>
      <w:r w:rsidR="00393B92">
        <w:rPr>
          <w:rFonts w:ascii="Arial" w:hAnsi="Arial" w:cs="Arial"/>
          <w:color w:val="7B7B7B" w:themeColor="accent3" w:themeShade="BF"/>
          <w:sz w:val="22"/>
          <w:szCs w:val="22"/>
          <w:lang w:val="en-GB"/>
        </w:rPr>
        <w:t xml:space="preserve">or not </w:t>
      </w:r>
      <w:r w:rsidRPr="00F65857">
        <w:rPr>
          <w:rFonts w:ascii="Arial" w:hAnsi="Arial" w:cs="Arial"/>
          <w:color w:val="7B7B7B" w:themeColor="accent3" w:themeShade="BF"/>
          <w:sz w:val="22"/>
          <w:szCs w:val="22"/>
          <w:lang w:val="en-GB"/>
        </w:rPr>
        <w:t xml:space="preserve">the reason for this inability was </w:t>
      </w:r>
      <w:r w:rsidR="00393B92">
        <w:rPr>
          <w:rFonts w:ascii="Arial" w:hAnsi="Arial" w:cs="Arial"/>
          <w:color w:val="7B7B7B" w:themeColor="accent3" w:themeShade="BF"/>
          <w:sz w:val="22"/>
          <w:szCs w:val="22"/>
          <w:lang w:val="en-GB"/>
        </w:rPr>
        <w:t>a direct result of</w:t>
      </w:r>
      <w:r w:rsidRPr="00F65857">
        <w:rPr>
          <w:rFonts w:ascii="Arial" w:hAnsi="Arial" w:cs="Arial"/>
          <w:color w:val="7B7B7B" w:themeColor="accent3" w:themeShade="BF"/>
          <w:sz w:val="22"/>
          <w:szCs w:val="22"/>
          <w:lang w:val="en-GB"/>
        </w:rPr>
        <w:t xml:space="preserve"> the Covid-19 pandemic (</w:t>
      </w:r>
      <w:r w:rsidR="00393B92" w:rsidRPr="00F65857">
        <w:rPr>
          <w:rFonts w:ascii="Arial" w:hAnsi="Arial" w:cs="Arial"/>
          <w:color w:val="7B7B7B" w:themeColor="accent3" w:themeShade="BF"/>
          <w:sz w:val="22"/>
          <w:szCs w:val="22"/>
          <w:lang w:val="en-GB"/>
        </w:rPr>
        <w:t>i</w:t>
      </w:r>
      <w:r w:rsidR="00393B92">
        <w:rPr>
          <w:rFonts w:ascii="Arial" w:hAnsi="Arial" w:cs="Arial"/>
          <w:color w:val="7B7B7B" w:themeColor="accent3" w:themeShade="BF"/>
          <w:sz w:val="22"/>
          <w:szCs w:val="22"/>
          <w:lang w:val="en-GB"/>
        </w:rPr>
        <w:t>.</w:t>
      </w:r>
      <w:r w:rsidR="00393B92" w:rsidRPr="00F65857">
        <w:rPr>
          <w:rFonts w:ascii="Arial" w:hAnsi="Arial" w:cs="Arial"/>
          <w:color w:val="7B7B7B" w:themeColor="accent3" w:themeShade="BF"/>
          <w:sz w:val="22"/>
          <w:szCs w:val="22"/>
          <w:lang w:val="en-GB"/>
        </w:rPr>
        <w:t>e</w:t>
      </w:r>
      <w:r w:rsidR="00393B92">
        <w:rPr>
          <w:rFonts w:ascii="Arial" w:hAnsi="Arial" w:cs="Arial"/>
          <w:color w:val="7B7B7B" w:themeColor="accent3" w:themeShade="BF"/>
          <w:sz w:val="22"/>
          <w:szCs w:val="22"/>
          <w:lang w:val="en-GB"/>
        </w:rPr>
        <w:t>.,</w:t>
      </w:r>
      <w:r w:rsidRPr="00F65857">
        <w:rPr>
          <w:rFonts w:ascii="Arial" w:hAnsi="Arial" w:cs="Arial"/>
          <w:color w:val="7B7B7B" w:themeColor="accent3" w:themeShade="BF"/>
          <w:sz w:val="22"/>
          <w:szCs w:val="22"/>
          <w:lang w:val="en-GB"/>
        </w:rPr>
        <w:t xml:space="preserve"> they had to establish the cause of </w:t>
      </w:r>
      <w:r w:rsidRPr="00F65857">
        <w:rPr>
          <w:rFonts w:ascii="Arial" w:hAnsi="Arial" w:cs="Arial"/>
          <w:color w:val="7B7B7B" w:themeColor="accent3" w:themeShade="BF"/>
          <w:sz w:val="22"/>
          <w:szCs w:val="22"/>
          <w:lang w:val="en-GB"/>
        </w:rPr>
        <w:lastRenderedPageBreak/>
        <w:t xml:space="preserve">non-payment). If the unpaid debt was due to the Covid-19 pandemic, no winding up order could be made. </w:t>
      </w:r>
    </w:p>
    <w:p w14:paraId="402A1A7E" w14:textId="77777777" w:rsidR="00393B92" w:rsidRPr="000C72C4" w:rsidRDefault="00393B92" w:rsidP="000C72C4">
      <w:pPr>
        <w:pStyle w:val="ListParagraph"/>
        <w:rPr>
          <w:rFonts w:ascii="Arial" w:hAnsi="Arial" w:cs="Arial"/>
          <w:color w:val="7B7B7B" w:themeColor="accent3" w:themeShade="BF"/>
          <w:sz w:val="22"/>
          <w:szCs w:val="22"/>
          <w:lang w:val="en-GB"/>
        </w:rPr>
      </w:pPr>
    </w:p>
    <w:p w14:paraId="7FE31BFB" w14:textId="543A0BF1" w:rsidR="00F65857" w:rsidRDefault="007F0D7A" w:rsidP="00F65857">
      <w:pPr>
        <w:pStyle w:val="ListParagraph"/>
        <w:numPr>
          <w:ilvl w:val="0"/>
          <w:numId w:val="17"/>
        </w:numPr>
        <w:jc w:val="both"/>
        <w:rPr>
          <w:rFonts w:ascii="Arial" w:hAnsi="Arial" w:cs="Arial"/>
          <w:color w:val="7B7B7B" w:themeColor="accent3" w:themeShade="BF"/>
          <w:sz w:val="22"/>
          <w:szCs w:val="22"/>
          <w:lang w:val="en-GB"/>
        </w:rPr>
      </w:pPr>
      <w:r w:rsidRPr="00F65857">
        <w:rPr>
          <w:rFonts w:ascii="Arial" w:hAnsi="Arial" w:cs="Arial"/>
          <w:color w:val="7B7B7B" w:themeColor="accent3" w:themeShade="BF"/>
          <w:sz w:val="22"/>
          <w:szCs w:val="22"/>
          <w:lang w:val="en-GB"/>
        </w:rPr>
        <w:t>Although</w:t>
      </w:r>
      <w:r w:rsidR="00393B92">
        <w:rPr>
          <w:rFonts w:ascii="Arial" w:hAnsi="Arial" w:cs="Arial"/>
          <w:color w:val="7B7B7B" w:themeColor="accent3" w:themeShade="BF"/>
          <w:sz w:val="22"/>
          <w:szCs w:val="22"/>
          <w:lang w:val="en-GB"/>
        </w:rPr>
        <w:t xml:space="preserve"> the aforementioned</w:t>
      </w:r>
      <w:r w:rsidRPr="00F65857">
        <w:rPr>
          <w:rFonts w:ascii="Arial" w:hAnsi="Arial" w:cs="Arial"/>
          <w:color w:val="7B7B7B" w:themeColor="accent3" w:themeShade="BF"/>
          <w:sz w:val="22"/>
          <w:szCs w:val="22"/>
          <w:lang w:val="en-GB"/>
        </w:rPr>
        <w:t xml:space="preserve"> restrictions expired on 30 September 2021, </w:t>
      </w:r>
      <w:r w:rsidR="00393B92">
        <w:rPr>
          <w:rFonts w:ascii="Arial" w:hAnsi="Arial" w:cs="Arial"/>
          <w:color w:val="7B7B7B" w:themeColor="accent3" w:themeShade="BF"/>
          <w:sz w:val="22"/>
          <w:szCs w:val="22"/>
          <w:lang w:val="en-GB"/>
        </w:rPr>
        <w:t xml:space="preserve">further measures (rules) were put in place and applied </w:t>
      </w:r>
      <w:r w:rsidRPr="00F65857">
        <w:rPr>
          <w:rFonts w:ascii="Arial" w:hAnsi="Arial" w:cs="Arial"/>
          <w:color w:val="7B7B7B" w:themeColor="accent3" w:themeShade="BF"/>
          <w:sz w:val="22"/>
          <w:szCs w:val="22"/>
          <w:lang w:val="en-GB"/>
        </w:rPr>
        <w:t>from 1 October until 31 March 2022</w:t>
      </w:r>
      <w:r w:rsidR="00393B92">
        <w:rPr>
          <w:rFonts w:ascii="Arial" w:hAnsi="Arial" w:cs="Arial"/>
          <w:color w:val="7B7B7B" w:themeColor="accent3" w:themeShade="BF"/>
          <w:sz w:val="22"/>
          <w:szCs w:val="22"/>
          <w:lang w:val="en-GB"/>
        </w:rPr>
        <w:t>, namely</w:t>
      </w:r>
      <w:r w:rsidRPr="00F65857">
        <w:rPr>
          <w:rFonts w:ascii="Arial" w:hAnsi="Arial" w:cs="Arial"/>
          <w:color w:val="7B7B7B" w:themeColor="accent3" w:themeShade="BF"/>
          <w:sz w:val="22"/>
          <w:szCs w:val="22"/>
          <w:lang w:val="en-GB"/>
        </w:rPr>
        <w:t xml:space="preserve"> that winding-up petitions </w:t>
      </w:r>
      <w:r w:rsidR="00393B92">
        <w:rPr>
          <w:rFonts w:ascii="Arial" w:hAnsi="Arial" w:cs="Arial"/>
          <w:color w:val="7B7B7B" w:themeColor="accent3" w:themeShade="BF"/>
          <w:sz w:val="22"/>
          <w:szCs w:val="22"/>
          <w:lang w:val="en-GB"/>
        </w:rPr>
        <w:t>could</w:t>
      </w:r>
      <w:r w:rsidR="00393B92" w:rsidRPr="00F65857">
        <w:rPr>
          <w:rFonts w:ascii="Arial" w:hAnsi="Arial" w:cs="Arial"/>
          <w:color w:val="7B7B7B" w:themeColor="accent3" w:themeShade="BF"/>
          <w:sz w:val="22"/>
          <w:szCs w:val="22"/>
          <w:lang w:val="en-GB"/>
        </w:rPr>
        <w:t xml:space="preserve"> </w:t>
      </w:r>
      <w:r w:rsidRPr="00F65857">
        <w:rPr>
          <w:rFonts w:ascii="Arial" w:hAnsi="Arial" w:cs="Arial"/>
          <w:color w:val="7B7B7B" w:themeColor="accent3" w:themeShade="BF"/>
          <w:sz w:val="22"/>
          <w:szCs w:val="22"/>
          <w:lang w:val="en-GB"/>
        </w:rPr>
        <w:t xml:space="preserve">only be presented: (a) in respect of debts of over £10,000; (b) if the debtor has been given 21 days to respond with a proposal for repayment of the debt; and (iii) in respect of commercial rents only - if the debt isn’t related to the Covid-19 pandemic. </w:t>
      </w:r>
    </w:p>
    <w:p w14:paraId="46B5692A" w14:textId="77777777" w:rsidR="005432E1" w:rsidRPr="005432E1" w:rsidRDefault="00794876" w:rsidP="005432E1">
      <w:pPr>
        <w:jc w:val="both"/>
        <w:rPr>
          <w:rFonts w:ascii="Arial" w:hAnsi="Arial" w:cs="Arial"/>
          <w:color w:val="7B7B7B" w:themeColor="accent3" w:themeShade="BF"/>
          <w:sz w:val="22"/>
          <w:szCs w:val="22"/>
          <w:lang w:val="en-GB"/>
        </w:rPr>
      </w:pPr>
    </w:p>
    <w:p w14:paraId="38904933" w14:textId="77777777" w:rsidR="00044F0A" w:rsidRPr="005432E1" w:rsidRDefault="007F0D7A" w:rsidP="005432E1">
      <w:pPr>
        <w:pStyle w:val="ListParagraph"/>
        <w:numPr>
          <w:ilvl w:val="0"/>
          <w:numId w:val="17"/>
        </w:numPr>
        <w:jc w:val="both"/>
        <w:rPr>
          <w:rFonts w:ascii="Arial" w:hAnsi="Arial" w:cs="Arial"/>
          <w:color w:val="7B7B7B" w:themeColor="accent3" w:themeShade="BF"/>
          <w:sz w:val="22"/>
          <w:szCs w:val="22"/>
          <w:lang w:val="en-GB"/>
        </w:rPr>
      </w:pPr>
      <w:r w:rsidRPr="00F65857">
        <w:rPr>
          <w:rFonts w:ascii="Arial" w:hAnsi="Arial" w:cs="Arial"/>
          <w:color w:val="7B7B7B" w:themeColor="accent3" w:themeShade="BF"/>
          <w:sz w:val="22"/>
          <w:szCs w:val="22"/>
          <w:lang w:val="en-GB"/>
        </w:rPr>
        <w:t>the wrongful trading rules being suspended. The Act temporarily removes the threat of personal liability for wrongful trading from directors.</w:t>
      </w:r>
    </w:p>
    <w:p w14:paraId="1254F44F" w14:textId="77777777" w:rsidR="00044F0A" w:rsidRPr="00205B31" w:rsidRDefault="00794876" w:rsidP="00B7193E">
      <w:pPr>
        <w:ind w:left="720" w:hanging="720"/>
        <w:jc w:val="both"/>
        <w:rPr>
          <w:rFonts w:ascii="Arial" w:hAnsi="Arial" w:cs="Arial"/>
          <w:color w:val="7B7B7B"/>
          <w:sz w:val="22"/>
          <w:szCs w:val="22"/>
          <w:lang w:val="en-GB"/>
        </w:rPr>
      </w:pPr>
    </w:p>
    <w:p w14:paraId="602D38D0" w14:textId="77777777" w:rsidR="00C82D87" w:rsidRPr="00205B31" w:rsidRDefault="00794876" w:rsidP="00B7193E">
      <w:pPr>
        <w:ind w:left="720" w:hanging="720"/>
        <w:jc w:val="both"/>
        <w:rPr>
          <w:rFonts w:ascii="Arial" w:hAnsi="Arial" w:cs="Arial"/>
          <w:color w:val="7B7B7B"/>
          <w:sz w:val="22"/>
          <w:szCs w:val="22"/>
          <w:lang w:val="en-GB"/>
        </w:rPr>
      </w:pPr>
    </w:p>
    <w:p w14:paraId="41E973A8" w14:textId="77777777" w:rsidR="00D17FDC" w:rsidRPr="00205B31" w:rsidRDefault="00794876" w:rsidP="00B7193E">
      <w:pPr>
        <w:ind w:left="720" w:hanging="720"/>
        <w:jc w:val="both"/>
        <w:rPr>
          <w:rFonts w:ascii="Arial" w:hAnsi="Arial" w:cs="Arial"/>
          <w:color w:val="7B7B7B"/>
          <w:sz w:val="22"/>
          <w:szCs w:val="22"/>
          <w:lang w:val="en-GB"/>
        </w:rPr>
      </w:pPr>
    </w:p>
    <w:p w14:paraId="3406C3AE" w14:textId="77777777" w:rsidR="00C72848" w:rsidRPr="00205B31" w:rsidRDefault="007F0D7A"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Question 2.3</w:t>
      </w:r>
      <w:r w:rsidRPr="00205B31">
        <w:rPr>
          <w:rFonts w:ascii="Arial" w:hAnsi="Arial" w:cs="Arial"/>
          <w:b/>
          <w:bCs/>
          <w:sz w:val="22"/>
          <w:szCs w:val="22"/>
          <w:lang w:val="en-GB"/>
        </w:rPr>
        <w:tab/>
        <w:t xml:space="preserve">[maximum 4 marks] </w:t>
      </w:r>
    </w:p>
    <w:p w14:paraId="028DC747" w14:textId="77777777" w:rsidR="00C72848" w:rsidRPr="00205B31" w:rsidRDefault="00794876" w:rsidP="00B7193E">
      <w:pPr>
        <w:ind w:left="720" w:hanging="720"/>
        <w:jc w:val="both"/>
        <w:rPr>
          <w:rFonts w:ascii="Arial" w:hAnsi="Arial" w:cs="Arial"/>
          <w:b/>
          <w:bCs/>
          <w:sz w:val="22"/>
          <w:szCs w:val="22"/>
          <w:lang w:val="en-GB"/>
        </w:rPr>
      </w:pPr>
    </w:p>
    <w:p w14:paraId="142292D6" w14:textId="77777777" w:rsidR="00CC7728" w:rsidRPr="00205B31" w:rsidRDefault="007F0D7A"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0D67DD63" w14:textId="77777777" w:rsidR="0030558B" w:rsidRPr="00205B31" w:rsidRDefault="00794876" w:rsidP="00E54ADD">
      <w:pPr>
        <w:jc w:val="both"/>
        <w:rPr>
          <w:rFonts w:ascii="Arial" w:hAnsi="Arial" w:cs="Arial"/>
          <w:sz w:val="22"/>
          <w:szCs w:val="22"/>
          <w:lang w:val="en-GB"/>
        </w:rPr>
      </w:pPr>
    </w:p>
    <w:p w14:paraId="64A4C793" w14:textId="5F8D89AB" w:rsidR="00C72848" w:rsidRDefault="007F0D7A" w:rsidP="007074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public international law instruments which regulate certain matters between States. </w:t>
      </w:r>
      <w:r w:rsidR="00393B92">
        <w:rPr>
          <w:rFonts w:ascii="Arial" w:hAnsi="Arial" w:cs="Arial"/>
          <w:color w:val="7B7B7B" w:themeColor="accent3" w:themeShade="BF"/>
          <w:sz w:val="22"/>
          <w:szCs w:val="22"/>
          <w:lang w:val="en-GB"/>
        </w:rPr>
        <w:t xml:space="preserve">Treaties are an example of </w:t>
      </w:r>
      <w:r>
        <w:rPr>
          <w:rFonts w:ascii="Arial" w:hAnsi="Arial" w:cs="Arial"/>
          <w:color w:val="7B7B7B" w:themeColor="accent3" w:themeShade="BF"/>
          <w:sz w:val="22"/>
          <w:szCs w:val="22"/>
          <w:lang w:val="en-GB"/>
        </w:rPr>
        <w:t xml:space="preserve">"hard law" as they are drafted, passed and intended to be used as law once </w:t>
      </w:r>
      <w:r w:rsidR="00393B92">
        <w:rPr>
          <w:rFonts w:ascii="Arial" w:hAnsi="Arial" w:cs="Arial"/>
          <w:color w:val="7B7B7B" w:themeColor="accent3" w:themeShade="BF"/>
          <w:sz w:val="22"/>
          <w:szCs w:val="22"/>
          <w:lang w:val="en-GB"/>
        </w:rPr>
        <w:t xml:space="preserve">promulgated </w:t>
      </w:r>
      <w:r>
        <w:rPr>
          <w:rFonts w:ascii="Arial" w:hAnsi="Arial" w:cs="Arial"/>
          <w:color w:val="7B7B7B" w:themeColor="accent3" w:themeShade="BF"/>
          <w:sz w:val="22"/>
          <w:szCs w:val="22"/>
          <w:lang w:val="en-GB"/>
        </w:rPr>
        <w:t xml:space="preserve">into the local laws of State. Once a State becomes </w:t>
      </w:r>
      <w:r w:rsidR="00393B92">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signatory to a specific treaty </w:t>
      </w:r>
      <w:r w:rsidR="00393B9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and </w:t>
      </w:r>
      <w:r w:rsidR="00393B92">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adopts the treaties provisions into their domestic laws</w:t>
      </w:r>
      <w:r w:rsidR="00393B9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treaty is considered a "hard law" instrument. Treaties are useful for purposes of international insolvency law as they allow certain laws, provisions and concepts to become applicable across multiple States thus allowing for a more uniform </w:t>
      </w:r>
      <w:r w:rsidR="00393B92">
        <w:rPr>
          <w:rFonts w:ascii="Arial" w:hAnsi="Arial" w:cs="Arial"/>
          <w:color w:val="7B7B7B" w:themeColor="accent3" w:themeShade="BF"/>
          <w:sz w:val="22"/>
          <w:szCs w:val="22"/>
          <w:lang w:val="en-GB"/>
        </w:rPr>
        <w:t xml:space="preserve">approach to insolvency procedures (with a international element) and encourages </w:t>
      </w:r>
      <w:r w:rsidR="00707489">
        <w:rPr>
          <w:rFonts w:ascii="Arial" w:hAnsi="Arial" w:cs="Arial"/>
          <w:color w:val="7B7B7B" w:themeColor="accent3" w:themeShade="BF"/>
          <w:sz w:val="22"/>
          <w:szCs w:val="22"/>
          <w:lang w:val="en-GB"/>
        </w:rPr>
        <w:t xml:space="preserve">an </w:t>
      </w:r>
      <w:r w:rsidR="00393B92">
        <w:rPr>
          <w:rFonts w:ascii="Arial" w:hAnsi="Arial" w:cs="Arial"/>
          <w:color w:val="7B7B7B" w:themeColor="accent3" w:themeShade="BF"/>
          <w:sz w:val="22"/>
          <w:szCs w:val="22"/>
          <w:lang w:val="en-GB"/>
        </w:rPr>
        <w:t xml:space="preserve">harmonious </w:t>
      </w:r>
      <w:r>
        <w:rPr>
          <w:rFonts w:ascii="Arial" w:hAnsi="Arial" w:cs="Arial"/>
          <w:color w:val="7B7B7B" w:themeColor="accent3" w:themeShade="BF"/>
          <w:sz w:val="22"/>
          <w:szCs w:val="22"/>
          <w:lang w:val="en-GB"/>
        </w:rPr>
        <w:t xml:space="preserve">the application of common </w:t>
      </w:r>
      <w:r w:rsidR="00707489">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concepts</w:t>
      </w:r>
      <w:r w:rsidR="00707489">
        <w:rPr>
          <w:rFonts w:ascii="Arial" w:hAnsi="Arial" w:cs="Arial"/>
          <w:color w:val="7B7B7B" w:themeColor="accent3" w:themeShade="BF"/>
          <w:sz w:val="22"/>
          <w:szCs w:val="22"/>
          <w:lang w:val="en-GB"/>
        </w:rPr>
        <w:t>/principles</w:t>
      </w:r>
      <w:r>
        <w:rPr>
          <w:rFonts w:ascii="Arial" w:hAnsi="Arial" w:cs="Arial"/>
          <w:color w:val="7B7B7B" w:themeColor="accent3" w:themeShade="BF"/>
          <w:sz w:val="22"/>
          <w:szCs w:val="22"/>
          <w:lang w:val="en-GB"/>
        </w:rPr>
        <w:t xml:space="preserve"> across States. This would mean that where two States </w:t>
      </w:r>
      <w:r w:rsidR="00707489">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signatories </w:t>
      </w:r>
      <w:r w:rsidR="00707489">
        <w:rPr>
          <w:rFonts w:ascii="Arial" w:hAnsi="Arial" w:cs="Arial"/>
          <w:color w:val="7B7B7B" w:themeColor="accent3" w:themeShade="BF"/>
          <w:sz w:val="22"/>
          <w:szCs w:val="22"/>
          <w:lang w:val="en-GB"/>
        </w:rPr>
        <w:t xml:space="preserve">to a treaty </w:t>
      </w:r>
      <w:r>
        <w:rPr>
          <w:rFonts w:ascii="Arial" w:hAnsi="Arial" w:cs="Arial"/>
          <w:color w:val="7B7B7B" w:themeColor="accent3" w:themeShade="BF"/>
          <w:sz w:val="22"/>
          <w:szCs w:val="22"/>
          <w:lang w:val="en-GB"/>
        </w:rPr>
        <w:t xml:space="preserve">and </w:t>
      </w:r>
      <w:r w:rsidR="00707489">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 xml:space="preserve">adopted </w:t>
      </w:r>
      <w:r w:rsidR="00707489">
        <w:rPr>
          <w:rFonts w:ascii="Arial" w:hAnsi="Arial" w:cs="Arial"/>
          <w:color w:val="7B7B7B" w:themeColor="accent3" w:themeShade="BF"/>
          <w:sz w:val="22"/>
          <w:szCs w:val="22"/>
          <w:lang w:val="en-GB"/>
        </w:rPr>
        <w:t xml:space="preserve">the relevant provisions </w:t>
      </w:r>
      <w:r>
        <w:rPr>
          <w:rFonts w:ascii="Arial" w:hAnsi="Arial" w:cs="Arial"/>
          <w:color w:val="7B7B7B" w:themeColor="accent3" w:themeShade="BF"/>
          <w:sz w:val="22"/>
          <w:szCs w:val="22"/>
          <w:lang w:val="en-GB"/>
        </w:rPr>
        <w:t>a treaty on insolvency law</w:t>
      </w:r>
      <w:r w:rsidR="00707489">
        <w:rPr>
          <w:rFonts w:ascii="Arial" w:hAnsi="Arial" w:cs="Arial"/>
          <w:color w:val="7B7B7B" w:themeColor="accent3" w:themeShade="BF"/>
          <w:sz w:val="22"/>
          <w:szCs w:val="22"/>
          <w:lang w:val="en-GB"/>
        </w:rPr>
        <w:t xml:space="preserve"> into their domestic law</w:t>
      </w:r>
      <w:r>
        <w:rPr>
          <w:rFonts w:ascii="Arial" w:hAnsi="Arial" w:cs="Arial"/>
          <w:color w:val="7B7B7B" w:themeColor="accent3" w:themeShade="BF"/>
          <w:sz w:val="22"/>
          <w:szCs w:val="22"/>
          <w:lang w:val="en-GB"/>
        </w:rPr>
        <w:t xml:space="preserve">, that law can be applied uniformly in both of those States. Treaties on insolvency law </w:t>
      </w:r>
      <w:r w:rsidR="00707489">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facilitate cross border insolvency proceedings and allow for </w:t>
      </w:r>
      <w:r w:rsidR="00707489">
        <w:rPr>
          <w:rFonts w:ascii="Arial" w:hAnsi="Arial" w:cs="Arial"/>
          <w:color w:val="7B7B7B" w:themeColor="accent3" w:themeShade="BF"/>
          <w:sz w:val="22"/>
          <w:szCs w:val="22"/>
          <w:lang w:val="en-GB"/>
        </w:rPr>
        <w:t xml:space="preserve">a more </w:t>
      </w:r>
      <w:r>
        <w:rPr>
          <w:rFonts w:ascii="Arial" w:hAnsi="Arial" w:cs="Arial"/>
          <w:color w:val="7B7B7B" w:themeColor="accent3" w:themeShade="BF"/>
          <w:sz w:val="22"/>
          <w:szCs w:val="22"/>
          <w:lang w:val="en-GB"/>
        </w:rPr>
        <w:t xml:space="preserve">streamlined process of distribution of assets and fairness between creditors. </w:t>
      </w:r>
    </w:p>
    <w:p w14:paraId="7554B5B9" w14:textId="77777777" w:rsidR="00707489" w:rsidRDefault="00707489" w:rsidP="00707489">
      <w:pPr>
        <w:ind w:left="720" w:hanging="720"/>
        <w:jc w:val="both"/>
        <w:rPr>
          <w:rFonts w:ascii="Arial" w:hAnsi="Arial" w:cs="Arial"/>
          <w:color w:val="7B7B7B" w:themeColor="accent3" w:themeShade="BF"/>
          <w:sz w:val="22"/>
          <w:szCs w:val="22"/>
          <w:lang w:val="en-GB"/>
        </w:rPr>
      </w:pPr>
    </w:p>
    <w:p w14:paraId="4C083A73" w14:textId="43774F2D" w:rsidR="00CB6C0E" w:rsidRDefault="0070748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instruments are intended to assist with the regulation of "Hard Law" (i.e. they are not in and of itself law, but are rather instruments </w:t>
      </w:r>
      <w:r w:rsidR="007F0D7A">
        <w:rPr>
          <w:rFonts w:ascii="Arial" w:hAnsi="Arial" w:cs="Arial"/>
          <w:color w:val="7B7B7B" w:themeColor="accent3" w:themeShade="BF"/>
          <w:sz w:val="22"/>
          <w:szCs w:val="22"/>
          <w:lang w:val="en-GB"/>
        </w:rPr>
        <w:t xml:space="preserve">which can be </w:t>
      </w:r>
      <w:r>
        <w:rPr>
          <w:rFonts w:ascii="Arial" w:hAnsi="Arial" w:cs="Arial"/>
          <w:color w:val="7B7B7B" w:themeColor="accent3" w:themeShade="BF"/>
          <w:sz w:val="22"/>
          <w:szCs w:val="22"/>
          <w:lang w:val="en-GB"/>
        </w:rPr>
        <w:t xml:space="preserve">(i) </w:t>
      </w:r>
      <w:r w:rsidR="007F0D7A">
        <w:rPr>
          <w:rFonts w:ascii="Arial" w:hAnsi="Arial" w:cs="Arial"/>
          <w:color w:val="7B7B7B" w:themeColor="accent3" w:themeShade="BF"/>
          <w:sz w:val="22"/>
          <w:szCs w:val="22"/>
          <w:lang w:val="en-GB"/>
        </w:rPr>
        <w:t>used to inform the law</w:t>
      </w:r>
      <w:r>
        <w:rPr>
          <w:rFonts w:ascii="Arial" w:hAnsi="Arial" w:cs="Arial"/>
          <w:color w:val="7B7B7B" w:themeColor="accent3" w:themeShade="BF"/>
          <w:sz w:val="22"/>
          <w:szCs w:val="22"/>
          <w:lang w:val="en-GB"/>
        </w:rPr>
        <w:t xml:space="preserve"> (ii) </w:t>
      </w:r>
      <w:r w:rsidR="007F0D7A">
        <w:rPr>
          <w:rFonts w:ascii="Arial" w:hAnsi="Arial" w:cs="Arial"/>
          <w:color w:val="7B7B7B" w:themeColor="accent3" w:themeShade="BF"/>
          <w:sz w:val="22"/>
          <w:szCs w:val="22"/>
          <w:lang w:val="en-GB"/>
        </w:rPr>
        <w:t xml:space="preserve"> persuasive in understanding and interpreting </w:t>
      </w:r>
      <w:r>
        <w:rPr>
          <w:rFonts w:ascii="Arial" w:hAnsi="Arial" w:cs="Arial"/>
          <w:color w:val="7B7B7B" w:themeColor="accent3" w:themeShade="BF"/>
          <w:sz w:val="22"/>
          <w:szCs w:val="22"/>
          <w:lang w:val="en-GB"/>
        </w:rPr>
        <w:t>a specific provision of a</w:t>
      </w:r>
      <w:r w:rsidR="007F0D7A">
        <w:rPr>
          <w:rFonts w:ascii="Arial" w:hAnsi="Arial" w:cs="Arial"/>
          <w:color w:val="7B7B7B" w:themeColor="accent3" w:themeShade="BF"/>
          <w:sz w:val="22"/>
          <w:szCs w:val="22"/>
          <w:lang w:val="en-GB"/>
        </w:rPr>
        <w:t xml:space="preserve"> law</w:t>
      </w:r>
      <w:r>
        <w:rPr>
          <w:rFonts w:ascii="Arial" w:hAnsi="Arial" w:cs="Arial"/>
          <w:color w:val="7B7B7B" w:themeColor="accent3" w:themeShade="BF"/>
          <w:sz w:val="22"/>
          <w:szCs w:val="22"/>
          <w:lang w:val="en-GB"/>
        </w:rPr>
        <w:t xml:space="preserve">; (iii) provide </w:t>
      </w:r>
      <w:r w:rsidR="000C72C4">
        <w:rPr>
          <w:rFonts w:ascii="Arial" w:hAnsi="Arial" w:cs="Arial"/>
          <w:color w:val="7B7B7B" w:themeColor="accent3" w:themeShade="BF"/>
          <w:sz w:val="22"/>
          <w:szCs w:val="22"/>
          <w:lang w:val="en-GB"/>
        </w:rPr>
        <w:t>insight</w:t>
      </w:r>
      <w:r>
        <w:rPr>
          <w:rFonts w:ascii="Arial" w:hAnsi="Arial" w:cs="Arial"/>
          <w:color w:val="7B7B7B" w:themeColor="accent3" w:themeShade="BF"/>
          <w:sz w:val="22"/>
          <w:szCs w:val="22"/>
          <w:lang w:val="en-GB"/>
        </w:rPr>
        <w:t xml:space="preserve"> into </w:t>
      </w:r>
      <w:r w:rsidR="007F0D7A">
        <w:rPr>
          <w:rFonts w:ascii="Arial" w:hAnsi="Arial" w:cs="Arial"/>
          <w:color w:val="7B7B7B" w:themeColor="accent3" w:themeShade="BF"/>
          <w:sz w:val="22"/>
          <w:szCs w:val="22"/>
          <w:lang w:val="en-GB"/>
        </w:rPr>
        <w:t xml:space="preserve"> how the law should be applied in different circumstances. </w:t>
      </w:r>
      <w:r w:rsidR="00C86540">
        <w:rPr>
          <w:rFonts w:ascii="Arial" w:hAnsi="Arial" w:cs="Arial"/>
          <w:color w:val="7B7B7B" w:themeColor="accent3" w:themeShade="BF"/>
          <w:sz w:val="22"/>
          <w:szCs w:val="22"/>
          <w:lang w:val="en-GB"/>
        </w:rPr>
        <w:t xml:space="preserve">An example of “Soft law” is the UNCITRAL Model Law on Cross-border insolvency. </w:t>
      </w:r>
      <w:r w:rsidR="007F0D7A">
        <w:rPr>
          <w:rFonts w:ascii="Arial" w:hAnsi="Arial" w:cs="Arial"/>
          <w:color w:val="7B7B7B" w:themeColor="accent3" w:themeShade="BF"/>
          <w:sz w:val="22"/>
          <w:szCs w:val="22"/>
          <w:lang w:val="en-GB"/>
        </w:rPr>
        <w:t>Soft law is not intended to be made into law and does not require States to accept it</w:t>
      </w:r>
      <w:r w:rsidR="000C72C4">
        <w:rPr>
          <w:rFonts w:ascii="Arial" w:hAnsi="Arial" w:cs="Arial"/>
          <w:color w:val="7B7B7B" w:themeColor="accent3" w:themeShade="BF"/>
          <w:sz w:val="22"/>
          <w:szCs w:val="22"/>
          <w:lang w:val="en-GB"/>
        </w:rPr>
        <w:t xml:space="preserve"> as part of their domestic laws</w:t>
      </w:r>
      <w:r>
        <w:rPr>
          <w:rFonts w:ascii="Arial" w:hAnsi="Arial" w:cs="Arial"/>
          <w:color w:val="7B7B7B" w:themeColor="accent3" w:themeShade="BF"/>
          <w:sz w:val="22"/>
          <w:szCs w:val="22"/>
          <w:lang w:val="en-GB"/>
        </w:rPr>
        <w:t xml:space="preserve"> before </w:t>
      </w:r>
      <w:r w:rsidR="007F0D7A">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will be</w:t>
      </w:r>
      <w:r w:rsidR="007F0D7A">
        <w:rPr>
          <w:rFonts w:ascii="Arial" w:hAnsi="Arial" w:cs="Arial"/>
          <w:color w:val="7B7B7B" w:themeColor="accent3" w:themeShade="BF"/>
          <w:sz w:val="22"/>
          <w:szCs w:val="22"/>
          <w:lang w:val="en-GB"/>
        </w:rPr>
        <w:t xml:space="preserve"> applicable. "Soft law" instruments in an international insolvency context can be used to interpret and inform the applicable </w:t>
      </w:r>
      <w:r>
        <w:rPr>
          <w:rFonts w:ascii="Arial" w:hAnsi="Arial" w:cs="Arial"/>
          <w:color w:val="7B7B7B" w:themeColor="accent3" w:themeShade="BF"/>
          <w:sz w:val="22"/>
          <w:szCs w:val="22"/>
          <w:lang w:val="en-GB"/>
        </w:rPr>
        <w:t xml:space="preserve">cross-border insolvency provisions contained within the </w:t>
      </w:r>
      <w:r w:rsidR="007F0D7A">
        <w:rPr>
          <w:rFonts w:ascii="Arial" w:hAnsi="Arial" w:cs="Arial"/>
          <w:color w:val="7B7B7B" w:themeColor="accent3" w:themeShade="BF"/>
          <w:sz w:val="22"/>
          <w:szCs w:val="22"/>
          <w:lang w:val="en-GB"/>
        </w:rPr>
        <w:t>"hard law", and more importantly where a State does not provide for a</w:t>
      </w:r>
      <w:r>
        <w:rPr>
          <w:rFonts w:ascii="Arial" w:hAnsi="Arial" w:cs="Arial"/>
          <w:color w:val="7B7B7B" w:themeColor="accent3" w:themeShade="BF"/>
          <w:sz w:val="22"/>
          <w:szCs w:val="22"/>
          <w:lang w:val="en-GB"/>
        </w:rPr>
        <w:t>n</w:t>
      </w:r>
      <w:r w:rsidR="007F0D7A">
        <w:rPr>
          <w:rFonts w:ascii="Arial" w:hAnsi="Arial" w:cs="Arial"/>
          <w:color w:val="7B7B7B" w:themeColor="accent3" w:themeShade="BF"/>
          <w:sz w:val="22"/>
          <w:szCs w:val="22"/>
          <w:lang w:val="en-GB"/>
        </w:rPr>
        <w:t>y cross-border insolvency or international insolvency measures, or w</w:t>
      </w:r>
      <w:r>
        <w:rPr>
          <w:rFonts w:ascii="Arial" w:hAnsi="Arial" w:cs="Arial"/>
          <w:color w:val="7B7B7B" w:themeColor="accent3" w:themeShade="BF"/>
          <w:sz w:val="22"/>
          <w:szCs w:val="22"/>
          <w:lang w:val="en-GB"/>
        </w:rPr>
        <w:t>h</w:t>
      </w:r>
      <w:r w:rsidR="007F0D7A">
        <w:rPr>
          <w:rFonts w:ascii="Arial" w:hAnsi="Arial" w:cs="Arial"/>
          <w:color w:val="7B7B7B" w:themeColor="accent3" w:themeShade="BF"/>
          <w:sz w:val="22"/>
          <w:szCs w:val="22"/>
          <w:lang w:val="en-GB"/>
        </w:rPr>
        <w:t xml:space="preserve">ere these measures are minimal or unclear, </w:t>
      </w:r>
      <w:r>
        <w:rPr>
          <w:rFonts w:ascii="Arial" w:hAnsi="Arial" w:cs="Arial"/>
          <w:color w:val="7B7B7B" w:themeColor="accent3" w:themeShade="BF"/>
          <w:sz w:val="22"/>
          <w:szCs w:val="22"/>
          <w:lang w:val="en-GB"/>
        </w:rPr>
        <w:t xml:space="preserve">guidance can be obtained from </w:t>
      </w:r>
      <w:r w:rsidR="007F0D7A">
        <w:rPr>
          <w:rFonts w:ascii="Arial" w:hAnsi="Arial" w:cs="Arial"/>
          <w:color w:val="7B7B7B" w:themeColor="accent3" w:themeShade="BF"/>
          <w:sz w:val="22"/>
          <w:szCs w:val="22"/>
          <w:lang w:val="en-GB"/>
        </w:rPr>
        <w:t>"soft law" instruments. Referring to "soft law" to assist with cross border insolvency is important as it assists practitioners across different States to work together to find a way of unifying what may be nearly incompatible "hard laws"</w:t>
      </w:r>
      <w:r>
        <w:rPr>
          <w:rFonts w:ascii="Arial" w:hAnsi="Arial" w:cs="Arial"/>
          <w:color w:val="7B7B7B" w:themeColor="accent3" w:themeShade="BF"/>
          <w:sz w:val="22"/>
          <w:szCs w:val="22"/>
          <w:lang w:val="en-GB"/>
        </w:rPr>
        <w:t xml:space="preserve"> (which allows </w:t>
      </w:r>
      <w:r w:rsidR="007F0D7A">
        <w:rPr>
          <w:rFonts w:ascii="Arial" w:hAnsi="Arial" w:cs="Arial"/>
          <w:color w:val="7B7B7B" w:themeColor="accent3" w:themeShade="BF"/>
          <w:sz w:val="22"/>
          <w:szCs w:val="22"/>
          <w:lang w:val="en-GB"/>
        </w:rPr>
        <w:t xml:space="preserve"> practitioners to find commonalities across two </w:t>
      </w:r>
      <w:r>
        <w:rPr>
          <w:rFonts w:ascii="Arial" w:hAnsi="Arial" w:cs="Arial"/>
          <w:color w:val="7B7B7B" w:themeColor="accent3" w:themeShade="BF"/>
          <w:sz w:val="22"/>
          <w:szCs w:val="22"/>
          <w:lang w:val="en-GB"/>
        </w:rPr>
        <w:t xml:space="preserve">differing insolvency regimes </w:t>
      </w:r>
      <w:r w:rsidR="007F0D7A">
        <w:rPr>
          <w:rFonts w:ascii="Arial" w:hAnsi="Arial" w:cs="Arial"/>
          <w:color w:val="7B7B7B" w:themeColor="accent3" w:themeShade="BF"/>
          <w:sz w:val="22"/>
          <w:szCs w:val="22"/>
          <w:lang w:val="en-GB"/>
        </w:rPr>
        <w:t>and to use them to effectively liquidate entities in a fair manner</w:t>
      </w:r>
      <w:r>
        <w:rPr>
          <w:rFonts w:ascii="Arial" w:hAnsi="Arial" w:cs="Arial"/>
          <w:color w:val="7B7B7B" w:themeColor="accent3" w:themeShade="BF"/>
          <w:sz w:val="22"/>
          <w:szCs w:val="22"/>
          <w:lang w:val="en-GB"/>
        </w:rPr>
        <w:t>)</w:t>
      </w:r>
      <w:r w:rsidR="007F0D7A">
        <w:rPr>
          <w:rFonts w:ascii="Arial" w:hAnsi="Arial" w:cs="Arial"/>
          <w:color w:val="7B7B7B" w:themeColor="accent3" w:themeShade="BF"/>
          <w:sz w:val="22"/>
          <w:szCs w:val="22"/>
          <w:lang w:val="en-GB"/>
        </w:rPr>
        <w:t>.</w:t>
      </w:r>
    </w:p>
    <w:p w14:paraId="72B73267" w14:textId="77777777" w:rsidR="00611EBF" w:rsidRDefault="00794876" w:rsidP="002C4592">
      <w:pPr>
        <w:ind w:left="720" w:hanging="720"/>
        <w:jc w:val="both"/>
        <w:rPr>
          <w:rFonts w:ascii="Arial" w:hAnsi="Arial" w:cs="Arial"/>
          <w:color w:val="7B7B7B" w:themeColor="accent3" w:themeShade="BF"/>
          <w:sz w:val="22"/>
          <w:szCs w:val="22"/>
          <w:lang w:val="en-GB"/>
        </w:rPr>
      </w:pPr>
    </w:p>
    <w:p w14:paraId="4C5FDE55" w14:textId="77777777" w:rsidR="0045683E" w:rsidRPr="00205B31" w:rsidRDefault="00794876" w:rsidP="00B7193E">
      <w:pPr>
        <w:jc w:val="both"/>
        <w:rPr>
          <w:rFonts w:ascii="Arial" w:hAnsi="Arial" w:cs="Arial"/>
          <w:b/>
          <w:color w:val="7B7B7B"/>
          <w:sz w:val="22"/>
          <w:szCs w:val="22"/>
          <w:lang w:val="en-GB"/>
        </w:rPr>
      </w:pPr>
    </w:p>
    <w:p w14:paraId="14E14EB4" w14:textId="77777777" w:rsidR="00C550C8" w:rsidRPr="00205B31" w:rsidRDefault="00794876" w:rsidP="00B7193E">
      <w:pPr>
        <w:jc w:val="both"/>
        <w:rPr>
          <w:rFonts w:ascii="Arial" w:hAnsi="Arial" w:cs="Arial"/>
          <w:b/>
          <w:color w:val="7B7B7B"/>
          <w:sz w:val="22"/>
          <w:szCs w:val="22"/>
          <w:lang w:val="en-GB"/>
        </w:rPr>
      </w:pPr>
    </w:p>
    <w:p w14:paraId="2295117B" w14:textId="77777777" w:rsidR="00962045" w:rsidRPr="00205B31" w:rsidRDefault="007F0D7A" w:rsidP="00794876">
      <w:pPr>
        <w:keepNext/>
        <w:jc w:val="both"/>
        <w:rPr>
          <w:rFonts w:ascii="Arial" w:hAnsi="Arial" w:cs="Arial"/>
          <w:b/>
          <w:sz w:val="22"/>
          <w:szCs w:val="22"/>
          <w:lang w:val="en-GB"/>
        </w:rPr>
      </w:pPr>
      <w:r w:rsidRPr="00205B31">
        <w:rPr>
          <w:rFonts w:ascii="Arial" w:hAnsi="Arial" w:cs="Arial"/>
          <w:b/>
          <w:sz w:val="22"/>
          <w:szCs w:val="22"/>
          <w:lang w:val="en-GB"/>
        </w:rPr>
        <w:lastRenderedPageBreak/>
        <w:t xml:space="preserve">QUESTION 3 (essay-type questions) [15 marks in total] </w:t>
      </w:r>
    </w:p>
    <w:p w14:paraId="4BCC571A" w14:textId="77777777" w:rsidR="00962045" w:rsidRPr="00205B31" w:rsidRDefault="00794876" w:rsidP="00794876">
      <w:pPr>
        <w:keepNext/>
        <w:jc w:val="both"/>
        <w:rPr>
          <w:rFonts w:ascii="Arial" w:hAnsi="Arial" w:cs="Arial"/>
          <w:sz w:val="22"/>
          <w:szCs w:val="22"/>
          <w:lang w:val="en-GB"/>
        </w:rPr>
      </w:pPr>
    </w:p>
    <w:p w14:paraId="79365BDB" w14:textId="77777777" w:rsidR="00C550C8" w:rsidRPr="00205B31" w:rsidRDefault="007F0D7A" w:rsidP="00794876">
      <w:pPr>
        <w:keepNext/>
        <w:ind w:left="720" w:hanging="720"/>
        <w:jc w:val="both"/>
        <w:rPr>
          <w:rFonts w:ascii="Arial" w:hAnsi="Arial" w:cs="Arial"/>
          <w:sz w:val="22"/>
          <w:szCs w:val="22"/>
          <w:lang w:val="en-GB"/>
        </w:rPr>
      </w:pPr>
      <w:r w:rsidRPr="00205B31">
        <w:rPr>
          <w:rFonts w:ascii="Arial" w:hAnsi="Arial" w:cs="Arial"/>
          <w:b/>
          <w:bCs/>
          <w:sz w:val="22"/>
          <w:szCs w:val="22"/>
          <w:lang w:val="en-GB"/>
        </w:rPr>
        <w:t>Question 3.1</w:t>
      </w:r>
      <w:r w:rsidRPr="00205B31">
        <w:rPr>
          <w:rFonts w:ascii="Arial" w:hAnsi="Arial" w:cs="Arial"/>
          <w:sz w:val="22"/>
          <w:szCs w:val="22"/>
          <w:lang w:val="en-GB"/>
        </w:rPr>
        <w:t xml:space="preserve"> </w:t>
      </w:r>
      <w:r w:rsidRPr="00205B31">
        <w:rPr>
          <w:rFonts w:ascii="Arial" w:hAnsi="Arial" w:cs="Arial"/>
          <w:b/>
          <w:sz w:val="22"/>
          <w:szCs w:val="22"/>
          <w:lang w:val="en-GB"/>
        </w:rPr>
        <w:t>[maximum 5 marks</w:t>
      </w:r>
      <w:r w:rsidRPr="00205B31">
        <w:rPr>
          <w:rFonts w:ascii="Arial" w:hAnsi="Arial" w:cs="Arial"/>
          <w:sz w:val="22"/>
          <w:szCs w:val="22"/>
          <w:lang w:val="en-GB"/>
        </w:rPr>
        <w:t>]</w:t>
      </w:r>
    </w:p>
    <w:p w14:paraId="356ED17A" w14:textId="77777777" w:rsidR="00C550C8" w:rsidRPr="00205B31" w:rsidRDefault="00794876" w:rsidP="00794876">
      <w:pPr>
        <w:keepNext/>
        <w:ind w:left="720" w:hanging="720"/>
        <w:jc w:val="both"/>
        <w:rPr>
          <w:rFonts w:ascii="Arial" w:hAnsi="Arial" w:cs="Arial"/>
          <w:sz w:val="22"/>
          <w:szCs w:val="22"/>
          <w:lang w:val="en-GB"/>
        </w:rPr>
      </w:pPr>
    </w:p>
    <w:p w14:paraId="776704F7" w14:textId="77777777" w:rsidR="009E50C1" w:rsidRPr="00205B31" w:rsidRDefault="007F0D7A" w:rsidP="009E50C1">
      <w:pPr>
        <w:jc w:val="both"/>
        <w:rPr>
          <w:rFonts w:ascii="Arial" w:hAnsi="Arial" w:cs="Arial"/>
          <w:sz w:val="22"/>
          <w:szCs w:val="22"/>
          <w:lang w:val="en-GB"/>
        </w:rPr>
      </w:pPr>
      <w:r w:rsidRPr="00205B31">
        <w:rPr>
          <w:rFonts w:ascii="Arial" w:hAnsi="Arial" w:cs="Arial"/>
          <w:sz w:val="22"/>
          <w:szCs w:val="22"/>
          <w:lang w:val="en-GB"/>
        </w:rPr>
        <w:t>Briefly discuss the various possible different sources of insolvency laws in any State and how they may interact with each other.</w:t>
      </w:r>
    </w:p>
    <w:p w14:paraId="46367B28" w14:textId="77777777" w:rsidR="00CC7728" w:rsidRPr="00205B31" w:rsidRDefault="00794876" w:rsidP="00643ABE">
      <w:pPr>
        <w:jc w:val="both"/>
        <w:rPr>
          <w:rFonts w:ascii="Arial" w:hAnsi="Arial" w:cs="Arial"/>
          <w:sz w:val="22"/>
          <w:szCs w:val="22"/>
          <w:lang w:val="en-GB"/>
        </w:rPr>
      </w:pPr>
    </w:p>
    <w:p w14:paraId="331F7816" w14:textId="48E3C2E1" w:rsidR="0092541F"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State the main source of insolvency law usually takes the form of insolvency legislation. For example, in England the main source of insolvency law is the Insolvency Act of 1986. It is a unified piece of insolvency legislation. States may also have insolvency </w:t>
      </w:r>
      <w:r w:rsidR="00C86540">
        <w:rPr>
          <w:rFonts w:ascii="Arial" w:hAnsi="Arial" w:cs="Arial"/>
          <w:color w:val="7B7B7B" w:themeColor="accent3" w:themeShade="BF"/>
          <w:sz w:val="22"/>
          <w:szCs w:val="22"/>
          <w:lang w:val="en-GB"/>
        </w:rPr>
        <w:t xml:space="preserve">provisions </w:t>
      </w:r>
      <w:r>
        <w:rPr>
          <w:rFonts w:ascii="Arial" w:hAnsi="Arial" w:cs="Arial"/>
          <w:color w:val="7B7B7B" w:themeColor="accent3" w:themeShade="BF"/>
          <w:sz w:val="22"/>
          <w:szCs w:val="22"/>
          <w:lang w:val="en-GB"/>
        </w:rPr>
        <w:t xml:space="preserve">contained in </w:t>
      </w:r>
      <w:r w:rsidR="00C86540">
        <w:rPr>
          <w:rFonts w:ascii="Arial" w:hAnsi="Arial" w:cs="Arial"/>
          <w:color w:val="7B7B7B" w:themeColor="accent3" w:themeShade="BF"/>
          <w:sz w:val="22"/>
          <w:szCs w:val="22"/>
          <w:lang w:val="en-GB"/>
        </w:rPr>
        <w:t xml:space="preserve">consolidated </w:t>
      </w:r>
      <w:r>
        <w:rPr>
          <w:rFonts w:ascii="Arial" w:hAnsi="Arial" w:cs="Arial"/>
          <w:color w:val="7B7B7B" w:themeColor="accent3" w:themeShade="BF"/>
          <w:sz w:val="22"/>
          <w:szCs w:val="22"/>
          <w:lang w:val="en-GB"/>
        </w:rPr>
        <w:t xml:space="preserve">legislation which </w:t>
      </w:r>
      <w:r w:rsidR="00C86540">
        <w:rPr>
          <w:rFonts w:ascii="Arial" w:hAnsi="Arial" w:cs="Arial"/>
          <w:color w:val="7B7B7B" w:themeColor="accent3" w:themeShade="BF"/>
          <w:sz w:val="22"/>
          <w:szCs w:val="22"/>
          <w:lang w:val="en-GB"/>
        </w:rPr>
        <w:t xml:space="preserve">regulates a variety </w:t>
      </w:r>
      <w:r>
        <w:rPr>
          <w:rFonts w:ascii="Arial" w:hAnsi="Arial" w:cs="Arial"/>
          <w:color w:val="7B7B7B" w:themeColor="accent3" w:themeShade="BF"/>
          <w:sz w:val="22"/>
          <w:szCs w:val="22"/>
          <w:lang w:val="en-GB"/>
        </w:rPr>
        <w:t>concepts</w:t>
      </w:r>
      <w:r w:rsidR="00C86540">
        <w:rPr>
          <w:rFonts w:ascii="Arial" w:hAnsi="Arial" w:cs="Arial"/>
          <w:color w:val="7B7B7B" w:themeColor="accent3" w:themeShade="BF"/>
          <w:sz w:val="22"/>
          <w:szCs w:val="22"/>
          <w:lang w:val="en-GB"/>
        </w:rPr>
        <w:t xml:space="preserve">, structures, process in relation to insolvency, but that also regulates a variety concepts, structures, process in relation to company </w:t>
      </w:r>
      <w:r w:rsidR="000C72C4">
        <w:rPr>
          <w:rFonts w:ascii="Arial" w:hAnsi="Arial" w:cs="Arial"/>
          <w:color w:val="7B7B7B" w:themeColor="accent3" w:themeShade="BF"/>
          <w:sz w:val="22"/>
          <w:szCs w:val="22"/>
          <w:lang w:val="en-GB"/>
        </w:rPr>
        <w:t>structures</w:t>
      </w:r>
      <w:r w:rsidR="00C86540">
        <w:rPr>
          <w:rFonts w:ascii="Arial" w:hAnsi="Arial" w:cs="Arial"/>
          <w:color w:val="7B7B7B" w:themeColor="accent3" w:themeShade="BF"/>
          <w:sz w:val="22"/>
          <w:szCs w:val="22"/>
          <w:lang w:val="en-GB"/>
        </w:rPr>
        <w:t xml:space="preserve">, </w:t>
      </w:r>
      <w:r w:rsidR="000C72C4">
        <w:rPr>
          <w:rFonts w:ascii="Arial" w:hAnsi="Arial" w:cs="Arial"/>
          <w:color w:val="7B7B7B" w:themeColor="accent3" w:themeShade="BF"/>
          <w:sz w:val="22"/>
          <w:szCs w:val="22"/>
          <w:lang w:val="en-GB"/>
        </w:rPr>
        <w:t>incorporation</w:t>
      </w:r>
      <w:r w:rsidR="00C86540">
        <w:rPr>
          <w:rFonts w:ascii="Arial" w:hAnsi="Arial" w:cs="Arial"/>
          <w:color w:val="7B7B7B" w:themeColor="accent3" w:themeShade="BF"/>
          <w:sz w:val="22"/>
          <w:szCs w:val="22"/>
          <w:lang w:val="en-GB"/>
        </w:rPr>
        <w:t xml:space="preserve"> and formation (</w:t>
      </w:r>
      <w:r>
        <w:rPr>
          <w:rFonts w:ascii="Arial" w:hAnsi="Arial" w:cs="Arial"/>
          <w:color w:val="7B7B7B" w:themeColor="accent3" w:themeShade="BF"/>
          <w:sz w:val="22"/>
          <w:szCs w:val="22"/>
          <w:lang w:val="en-GB"/>
        </w:rPr>
        <w:t>for example in Australia, the Australian companies laws sets out the insolvency provisions in relation to corporate entities</w:t>
      </w:r>
      <w:r w:rsidR="00C8654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86540">
        <w:rPr>
          <w:rFonts w:ascii="Arial" w:hAnsi="Arial" w:cs="Arial"/>
          <w:color w:val="7B7B7B" w:themeColor="accent3" w:themeShade="BF"/>
          <w:sz w:val="22"/>
          <w:szCs w:val="22"/>
          <w:lang w:val="en-GB"/>
        </w:rPr>
        <w:t xml:space="preserve">There will also be instances where States will have certain laws which have not formally been enacted to regulate insolvency, but will nonetheless contain provisions which </w:t>
      </w:r>
      <w:r>
        <w:rPr>
          <w:rFonts w:ascii="Arial" w:hAnsi="Arial" w:cs="Arial"/>
          <w:color w:val="7B7B7B" w:themeColor="accent3" w:themeShade="BF"/>
          <w:sz w:val="22"/>
          <w:szCs w:val="22"/>
          <w:lang w:val="en-GB"/>
        </w:rPr>
        <w:t>may have an influence on or affect the application of the States insolvency laws (for example, certain provisions of a States security or companies laws may influence how the insolvency laws are interpreted under certain circumstances.)</w:t>
      </w:r>
    </w:p>
    <w:p w14:paraId="594EB391" w14:textId="77777777" w:rsidR="0092541F" w:rsidRDefault="00794876" w:rsidP="00B7193E">
      <w:pPr>
        <w:jc w:val="both"/>
        <w:rPr>
          <w:rFonts w:ascii="Arial" w:hAnsi="Arial" w:cs="Arial"/>
          <w:color w:val="7B7B7B" w:themeColor="accent3" w:themeShade="BF"/>
          <w:sz w:val="22"/>
          <w:szCs w:val="22"/>
          <w:lang w:val="en-GB"/>
        </w:rPr>
      </w:pPr>
    </w:p>
    <w:p w14:paraId="3B4B97C5" w14:textId="473E658E" w:rsidR="00AE7BD4"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States that have a common law based legal system, </w:t>
      </w:r>
      <w:r w:rsidR="00C86540">
        <w:rPr>
          <w:rFonts w:ascii="Arial" w:hAnsi="Arial" w:cs="Arial"/>
          <w:color w:val="7B7B7B" w:themeColor="accent3" w:themeShade="BF"/>
          <w:sz w:val="22"/>
          <w:szCs w:val="22"/>
          <w:lang w:val="en-GB"/>
        </w:rPr>
        <w:t xml:space="preserve">their source of insolvency law will be </w:t>
      </w:r>
      <w:r>
        <w:rPr>
          <w:rFonts w:ascii="Arial" w:hAnsi="Arial" w:cs="Arial"/>
          <w:color w:val="7B7B7B" w:themeColor="accent3" w:themeShade="BF"/>
          <w:sz w:val="22"/>
          <w:szCs w:val="22"/>
          <w:lang w:val="en-GB"/>
        </w:rPr>
        <w:t>the common law legal concepts</w:t>
      </w:r>
      <w:r w:rsidR="00C86540">
        <w:rPr>
          <w:rFonts w:ascii="Arial" w:hAnsi="Arial" w:cs="Arial"/>
          <w:color w:val="7B7B7B" w:themeColor="accent3" w:themeShade="BF"/>
          <w:sz w:val="22"/>
          <w:szCs w:val="22"/>
          <w:lang w:val="en-GB"/>
        </w:rPr>
        <w:t>, processes and remedies</w:t>
      </w:r>
      <w:r>
        <w:rPr>
          <w:rFonts w:ascii="Arial" w:hAnsi="Arial" w:cs="Arial"/>
          <w:color w:val="7B7B7B" w:themeColor="accent3" w:themeShade="BF"/>
          <w:sz w:val="22"/>
          <w:szCs w:val="22"/>
          <w:lang w:val="en-GB"/>
        </w:rPr>
        <w:t xml:space="preserve"> which have developed over time</w:t>
      </w:r>
      <w:r w:rsidR="00C86540">
        <w:rPr>
          <w:rFonts w:ascii="Arial" w:hAnsi="Arial" w:cs="Arial"/>
          <w:color w:val="7B7B7B" w:themeColor="accent3" w:themeShade="BF"/>
          <w:sz w:val="22"/>
          <w:szCs w:val="22"/>
          <w:lang w:val="en-GB"/>
        </w:rPr>
        <w:t xml:space="preserve"> (for example, as a result of judicial decisions)</w:t>
      </w:r>
      <w:r>
        <w:rPr>
          <w:rFonts w:ascii="Arial" w:hAnsi="Arial" w:cs="Arial"/>
          <w:color w:val="7B7B7B" w:themeColor="accent3" w:themeShade="BF"/>
          <w:sz w:val="22"/>
          <w:szCs w:val="22"/>
          <w:lang w:val="en-GB"/>
        </w:rPr>
        <w:t>. This is an important source of law in instances where the main source of legislation needs further interpretation in certain respects – the common law may be used to clear up any questions on which the legislation itself is silent</w:t>
      </w:r>
      <w:r w:rsidR="00C86540">
        <w:rPr>
          <w:rFonts w:ascii="Arial" w:hAnsi="Arial" w:cs="Arial"/>
          <w:color w:val="7B7B7B" w:themeColor="accent3" w:themeShade="BF"/>
          <w:sz w:val="22"/>
          <w:szCs w:val="22"/>
          <w:lang w:val="en-GB"/>
        </w:rPr>
        <w:t xml:space="preserve"> or provide the generally accepted practice in a jurisdiction</w:t>
      </w:r>
      <w:r>
        <w:rPr>
          <w:rFonts w:ascii="Arial" w:hAnsi="Arial" w:cs="Arial"/>
          <w:color w:val="7B7B7B" w:themeColor="accent3" w:themeShade="BF"/>
          <w:sz w:val="22"/>
          <w:szCs w:val="22"/>
          <w:lang w:val="en-GB"/>
        </w:rPr>
        <w:t xml:space="preserve">. </w:t>
      </w:r>
    </w:p>
    <w:p w14:paraId="5E0A2F17" w14:textId="77777777" w:rsidR="001C150A" w:rsidRDefault="00794876" w:rsidP="00B7193E">
      <w:pPr>
        <w:jc w:val="both"/>
        <w:rPr>
          <w:rFonts w:ascii="Arial" w:hAnsi="Arial" w:cs="Arial"/>
          <w:color w:val="7B7B7B" w:themeColor="accent3" w:themeShade="BF"/>
          <w:sz w:val="22"/>
          <w:szCs w:val="22"/>
          <w:lang w:val="en-GB"/>
        </w:rPr>
      </w:pPr>
    </w:p>
    <w:p w14:paraId="5616F06A" w14:textId="7AE1FD70" w:rsidR="00A23958" w:rsidRDefault="00C8654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c</w:t>
      </w:r>
      <w:r w:rsidR="007F0D7A" w:rsidRPr="00AE7BD4">
        <w:rPr>
          <w:rFonts w:ascii="Arial" w:hAnsi="Arial" w:cs="Arial"/>
          <w:color w:val="7B7B7B" w:themeColor="accent3" w:themeShade="BF"/>
          <w:sz w:val="22"/>
          <w:szCs w:val="22"/>
          <w:lang w:val="en-GB"/>
        </w:rPr>
        <w:t xml:space="preserve">ase law is also an important source of law in that the court will consider a piece of legislation in a practical sense and create ways of interpreting same. Decisions of a court under English law create precedents which create a legal rule in itself which is to be followed when applying the law. Referring to case law and/ or common law principles may </w:t>
      </w:r>
      <w:r w:rsidR="00AA5EC3">
        <w:rPr>
          <w:rFonts w:ascii="Arial" w:hAnsi="Arial" w:cs="Arial"/>
          <w:color w:val="7B7B7B" w:themeColor="accent3" w:themeShade="BF"/>
          <w:sz w:val="22"/>
          <w:szCs w:val="22"/>
          <w:lang w:val="en-GB"/>
        </w:rPr>
        <w:t xml:space="preserve">also </w:t>
      </w:r>
      <w:r w:rsidR="007F0D7A" w:rsidRPr="00AE7BD4">
        <w:rPr>
          <w:rFonts w:ascii="Arial" w:hAnsi="Arial" w:cs="Arial"/>
          <w:color w:val="7B7B7B" w:themeColor="accent3" w:themeShade="BF"/>
          <w:sz w:val="22"/>
          <w:szCs w:val="22"/>
          <w:lang w:val="en-GB"/>
        </w:rPr>
        <w:t xml:space="preserve">be necessary to clear up any </w:t>
      </w:r>
      <w:r w:rsidR="007F0D7A" w:rsidRPr="00AE7BD4">
        <w:rPr>
          <w:rFonts w:ascii="Arial" w:hAnsi="Arial" w:cs="Arial"/>
          <w:i/>
          <w:color w:val="7B7B7B" w:themeColor="accent3" w:themeShade="BF"/>
          <w:sz w:val="22"/>
          <w:szCs w:val="22"/>
          <w:lang w:val="en-GB"/>
        </w:rPr>
        <w:t>lacunae</w:t>
      </w:r>
      <w:r w:rsidR="007F0D7A" w:rsidRPr="00AE7BD4">
        <w:rPr>
          <w:rFonts w:ascii="Arial" w:hAnsi="Arial" w:cs="Arial"/>
          <w:color w:val="7B7B7B" w:themeColor="accent3" w:themeShade="BF"/>
          <w:sz w:val="22"/>
          <w:szCs w:val="22"/>
          <w:lang w:val="en-GB"/>
        </w:rPr>
        <w:t xml:space="preserve"> in the existing legislation.</w:t>
      </w:r>
      <w:r w:rsidR="007F0D7A">
        <w:rPr>
          <w:rFonts w:ascii="Arial" w:hAnsi="Arial" w:cs="Arial"/>
          <w:color w:val="7B7B7B" w:themeColor="accent3" w:themeShade="BF"/>
          <w:sz w:val="22"/>
          <w:szCs w:val="22"/>
          <w:vertAlign w:val="superscript"/>
          <w:lang w:val="en-GB"/>
        </w:rPr>
        <w:footnoteReference w:id="5"/>
      </w:r>
      <w:r w:rsidR="007F0D7A">
        <w:rPr>
          <w:rFonts w:ascii="Arial" w:hAnsi="Arial" w:cs="Arial"/>
          <w:color w:val="7B7B7B" w:themeColor="accent3" w:themeShade="BF"/>
          <w:sz w:val="22"/>
          <w:szCs w:val="22"/>
          <w:lang w:val="en-GB"/>
        </w:rPr>
        <w:t xml:space="preserve"> </w:t>
      </w:r>
    </w:p>
    <w:p w14:paraId="4911E514" w14:textId="77777777" w:rsidR="00A23958" w:rsidRDefault="00794876" w:rsidP="00B7193E">
      <w:pPr>
        <w:jc w:val="both"/>
        <w:rPr>
          <w:rFonts w:ascii="Arial" w:hAnsi="Arial" w:cs="Arial"/>
          <w:color w:val="7B7B7B" w:themeColor="accent3" w:themeShade="BF"/>
          <w:sz w:val="22"/>
          <w:szCs w:val="22"/>
          <w:lang w:val="en-GB"/>
        </w:rPr>
      </w:pPr>
    </w:p>
    <w:p w14:paraId="4E8E108C" w14:textId="1FBA0FA4" w:rsidR="00004CBB" w:rsidRPr="00205B31" w:rsidRDefault="007F0D7A" w:rsidP="00B7193E">
      <w:pPr>
        <w:jc w:val="both"/>
        <w:rPr>
          <w:rFonts w:ascii="Arial" w:hAnsi="Arial" w:cs="Arial"/>
          <w:sz w:val="22"/>
          <w:szCs w:val="22"/>
          <w:lang w:val="en-GB"/>
        </w:rPr>
      </w:pPr>
      <w:r>
        <w:rPr>
          <w:rFonts w:ascii="Arial" w:hAnsi="Arial" w:cs="Arial"/>
          <w:color w:val="7B7B7B" w:themeColor="accent3" w:themeShade="BF"/>
          <w:sz w:val="22"/>
          <w:szCs w:val="22"/>
          <w:lang w:val="en-GB"/>
        </w:rPr>
        <w:t>Further, in some States, the insolvency laws will need to be consistent with the overarching Constitution of the State, if applicable. For example, in South Africa, although the Constitution</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does not specifically deal with the insolvency (in a domestic or an international sense), any laws need to be consistent with it and the Bill of Rights contained therein. In other words, insolvency proceedings in South Africa</w:t>
      </w:r>
      <w:r w:rsidR="00AA5EC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whether they are purely domestic in nature or taking place on a cross border basis, </w:t>
      </w:r>
      <w:r w:rsidR="00AA5EC3">
        <w:rPr>
          <w:rFonts w:ascii="Arial" w:hAnsi="Arial" w:cs="Arial"/>
          <w:color w:val="7B7B7B" w:themeColor="accent3" w:themeShade="BF"/>
          <w:sz w:val="22"/>
          <w:szCs w:val="22"/>
        </w:rPr>
        <w:t>and the</w:t>
      </w:r>
      <w:r w:rsidRPr="00D31C99">
        <w:rPr>
          <w:rFonts w:ascii="Arial" w:hAnsi="Arial" w:cs="Arial"/>
          <w:color w:val="7B7B7B" w:themeColor="accent3" w:themeShade="BF"/>
          <w:sz w:val="22"/>
          <w:szCs w:val="22"/>
        </w:rPr>
        <w:t xml:space="preserve"> legislation applicable to these proceedings will need to be interpreted in light of</w:t>
      </w:r>
      <w:r w:rsidR="00AA5EC3">
        <w:rPr>
          <w:rFonts w:ascii="Arial" w:hAnsi="Arial" w:cs="Arial"/>
          <w:color w:val="7B7B7B" w:themeColor="accent3" w:themeShade="BF"/>
          <w:sz w:val="22"/>
          <w:szCs w:val="22"/>
        </w:rPr>
        <w:t xml:space="preserve"> the applicable constitutional provisions</w:t>
      </w:r>
      <w:r w:rsidRPr="00D31C99">
        <w:rPr>
          <w:rFonts w:ascii="Arial" w:hAnsi="Arial" w:cs="Arial"/>
          <w:color w:val="7B7B7B" w:themeColor="accent3" w:themeShade="BF"/>
          <w:sz w:val="22"/>
          <w:szCs w:val="22"/>
        </w:rPr>
        <w:t xml:space="preserve">, and the </w:t>
      </w:r>
      <w:r w:rsidRPr="00D31C99">
        <w:rPr>
          <w:rFonts w:ascii="Arial" w:hAnsi="Arial" w:cs="Arial"/>
          <w:bCs/>
          <w:color w:val="7B7B7B" w:themeColor="accent3" w:themeShade="BF"/>
          <w:sz w:val="22"/>
          <w:szCs w:val="22"/>
        </w:rPr>
        <w:t>proceeding must be a construction that promotes, the spirit, purport and objects of the Bill of Rights</w:t>
      </w:r>
      <w:r w:rsidRPr="00D31C99">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7"/>
      </w:r>
    </w:p>
    <w:p w14:paraId="3B1DB45C" w14:textId="77777777" w:rsidR="00004CBB" w:rsidRDefault="00794876" w:rsidP="00B7193E">
      <w:pPr>
        <w:ind w:left="720" w:hanging="720"/>
        <w:jc w:val="both"/>
        <w:rPr>
          <w:rFonts w:ascii="Arial" w:hAnsi="Arial" w:cs="Arial"/>
          <w:sz w:val="22"/>
          <w:szCs w:val="22"/>
          <w:lang w:val="en-GB"/>
        </w:rPr>
      </w:pPr>
    </w:p>
    <w:p w14:paraId="7D9CFDAB" w14:textId="77777777" w:rsidR="00004CBB" w:rsidRDefault="00794876" w:rsidP="00B7193E">
      <w:pPr>
        <w:ind w:left="720" w:hanging="720"/>
        <w:jc w:val="both"/>
        <w:rPr>
          <w:rFonts w:ascii="Arial" w:hAnsi="Arial" w:cs="Arial"/>
          <w:sz w:val="22"/>
          <w:szCs w:val="22"/>
          <w:lang w:val="en-GB"/>
        </w:rPr>
      </w:pPr>
    </w:p>
    <w:p w14:paraId="0ABC7792" w14:textId="77777777" w:rsidR="00C550C8" w:rsidRPr="00205B31" w:rsidRDefault="007F0D7A"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Question 3.2 [maximum 5 marks]</w:t>
      </w:r>
    </w:p>
    <w:p w14:paraId="7B43C59F" w14:textId="77777777" w:rsidR="00C550C8" w:rsidRPr="00205B31" w:rsidRDefault="00794876" w:rsidP="00B7193E">
      <w:pPr>
        <w:ind w:left="720" w:hanging="720"/>
        <w:jc w:val="both"/>
        <w:rPr>
          <w:rFonts w:ascii="Arial" w:hAnsi="Arial" w:cs="Arial"/>
          <w:sz w:val="22"/>
          <w:szCs w:val="22"/>
          <w:lang w:val="en-GB"/>
        </w:rPr>
      </w:pPr>
    </w:p>
    <w:p w14:paraId="72015DB1" w14:textId="77777777" w:rsidR="001131C6" w:rsidRPr="00205B31" w:rsidRDefault="007F0D7A"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insolvencies, including as a result of differences in laws between States. Harmonisation of insolvency laws is pursued. In an attempt to bring the “cross-border” aspects and the “insolvency” aspects together, Fletcher asks three very pertinent questions. Discuss these pertinent questions / issues raised by Fletcher.</w:t>
      </w:r>
    </w:p>
    <w:p w14:paraId="39745619" w14:textId="77777777" w:rsidR="001131C6" w:rsidRPr="00205B31" w:rsidRDefault="00794876" w:rsidP="001131C6">
      <w:pPr>
        <w:ind w:left="720"/>
        <w:rPr>
          <w:rFonts w:ascii="Avenir Next" w:hAnsi="Avenir Next" w:cs="Arial"/>
          <w:sz w:val="22"/>
          <w:szCs w:val="22"/>
          <w:lang w:val="en-GB"/>
        </w:rPr>
      </w:pPr>
    </w:p>
    <w:p w14:paraId="3F17CE3B" w14:textId="77777777" w:rsidR="00DF75F8"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Fletcher raises three questions in an attempt to bring the "cross-border" aspects and the "insolvency" aspects together and in doing so rightly identifies the main issues or difficulties faced with the harmonisation or unification of insolvency law across various States. The three questions posed by Fletcher are:</w:t>
      </w:r>
      <w:r>
        <w:rPr>
          <w:rStyle w:val="FootnoteReference"/>
          <w:rFonts w:ascii="Arial" w:hAnsi="Arial" w:cs="Arial"/>
          <w:color w:val="7B7B7B" w:themeColor="accent3" w:themeShade="BF"/>
          <w:sz w:val="22"/>
          <w:szCs w:val="22"/>
          <w:lang w:val="en-GB"/>
        </w:rPr>
        <w:footnoteReference w:id="8"/>
      </w:r>
    </w:p>
    <w:p w14:paraId="0F4F7C69" w14:textId="77777777" w:rsidR="002D3D4A" w:rsidRDefault="00794876" w:rsidP="00B7193E">
      <w:pPr>
        <w:jc w:val="both"/>
        <w:rPr>
          <w:rFonts w:ascii="Arial" w:hAnsi="Arial" w:cs="Arial"/>
          <w:color w:val="7B7B7B" w:themeColor="accent3" w:themeShade="BF"/>
          <w:sz w:val="22"/>
          <w:szCs w:val="22"/>
          <w:lang w:val="en-GB"/>
        </w:rPr>
      </w:pPr>
    </w:p>
    <w:p w14:paraId="77648CDA" w14:textId="77777777" w:rsidR="002D3D4A" w:rsidRDefault="007F0D7A" w:rsidP="0066546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jurisdictions may insolvency proceedings be opened?</w:t>
      </w:r>
    </w:p>
    <w:p w14:paraId="677C76B0" w14:textId="77777777" w:rsidR="00665462" w:rsidRDefault="007F0D7A" w:rsidP="0066546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2CE22291" w14:textId="77777777" w:rsidR="00665462" w:rsidRDefault="007F0D7A" w:rsidP="0066546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7A54EC57" w14:textId="77777777" w:rsidR="00665462" w:rsidRDefault="00794876" w:rsidP="00665462">
      <w:pPr>
        <w:ind w:left="360"/>
        <w:jc w:val="both"/>
        <w:rPr>
          <w:rFonts w:ascii="Arial" w:hAnsi="Arial" w:cs="Arial"/>
          <w:color w:val="7B7B7B" w:themeColor="accent3" w:themeShade="BF"/>
          <w:sz w:val="22"/>
          <w:szCs w:val="22"/>
          <w:lang w:val="en-GB"/>
        </w:rPr>
      </w:pPr>
    </w:p>
    <w:p w14:paraId="26FBB361" w14:textId="282D1D02" w:rsidR="00665462" w:rsidRDefault="00EC0249" w:rsidP="00153C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trying to answer the questions posed, </w:t>
      </w:r>
      <w:r w:rsidR="007F0D7A">
        <w:rPr>
          <w:rFonts w:ascii="Arial" w:hAnsi="Arial" w:cs="Arial"/>
          <w:color w:val="7B7B7B" w:themeColor="accent3" w:themeShade="BF"/>
          <w:sz w:val="22"/>
          <w:szCs w:val="22"/>
          <w:lang w:val="en-GB"/>
        </w:rPr>
        <w:t xml:space="preserve">Boraine </w:t>
      </w:r>
      <w:r w:rsidR="007F0D7A" w:rsidRPr="005B7D8A">
        <w:rPr>
          <w:rFonts w:ascii="Arial" w:hAnsi="Arial" w:cs="Arial"/>
          <w:i/>
          <w:color w:val="7B7B7B" w:themeColor="accent3" w:themeShade="BF"/>
          <w:sz w:val="22"/>
          <w:szCs w:val="22"/>
          <w:lang w:val="en-GB"/>
        </w:rPr>
        <w:t>et al</w:t>
      </w:r>
      <w:r w:rsidR="007F0D7A">
        <w:rPr>
          <w:rStyle w:val="FootnoteReference"/>
          <w:rFonts w:ascii="Arial" w:hAnsi="Arial" w:cs="Arial"/>
          <w:color w:val="7B7B7B" w:themeColor="accent3" w:themeShade="BF"/>
          <w:sz w:val="22"/>
          <w:szCs w:val="22"/>
          <w:lang w:val="en-GB"/>
        </w:rPr>
        <w:footnoteReference w:id="9"/>
      </w:r>
      <w:r w:rsidR="007F0D7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expressed the view that a good arguable case could be made</w:t>
      </w:r>
      <w:r w:rsidR="007F0D7A">
        <w:rPr>
          <w:rFonts w:ascii="Arial" w:hAnsi="Arial" w:cs="Arial"/>
          <w:color w:val="7B7B7B" w:themeColor="accent3" w:themeShade="BF"/>
          <w:sz w:val="22"/>
          <w:szCs w:val="22"/>
          <w:lang w:val="en-GB"/>
        </w:rPr>
        <w:t xml:space="preserve"> that concurrent proceedings should be opened in each State where the insolvency of the entity is applicable</w:t>
      </w:r>
      <w:r>
        <w:rPr>
          <w:rFonts w:ascii="Arial" w:hAnsi="Arial" w:cs="Arial"/>
          <w:color w:val="7B7B7B" w:themeColor="accent3" w:themeShade="BF"/>
          <w:sz w:val="22"/>
          <w:szCs w:val="22"/>
          <w:lang w:val="en-GB"/>
        </w:rPr>
        <w:t>. This allows</w:t>
      </w:r>
      <w:r w:rsidR="007F0D7A">
        <w:rPr>
          <w:rFonts w:ascii="Arial" w:hAnsi="Arial" w:cs="Arial"/>
          <w:color w:val="7B7B7B" w:themeColor="accent3" w:themeShade="BF"/>
          <w:sz w:val="22"/>
          <w:szCs w:val="22"/>
          <w:lang w:val="en-GB"/>
        </w:rPr>
        <w:t xml:space="preserve"> each State </w:t>
      </w:r>
      <w:r>
        <w:rPr>
          <w:rFonts w:ascii="Arial" w:hAnsi="Arial" w:cs="Arial"/>
          <w:color w:val="7B7B7B" w:themeColor="accent3" w:themeShade="BF"/>
          <w:sz w:val="22"/>
          <w:szCs w:val="22"/>
          <w:lang w:val="en-GB"/>
        </w:rPr>
        <w:t xml:space="preserve">to </w:t>
      </w:r>
      <w:r w:rsidR="007F0D7A">
        <w:rPr>
          <w:rFonts w:ascii="Arial" w:hAnsi="Arial" w:cs="Arial"/>
          <w:color w:val="7B7B7B" w:themeColor="accent3" w:themeShade="BF"/>
          <w:sz w:val="22"/>
          <w:szCs w:val="22"/>
          <w:lang w:val="en-GB"/>
        </w:rPr>
        <w:t xml:space="preserve">apply its own insolvency laws and </w:t>
      </w:r>
      <w:r w:rsidR="007F0D7A" w:rsidRPr="00E52555">
        <w:rPr>
          <w:rFonts w:ascii="Arial" w:hAnsi="Arial" w:cs="Arial"/>
          <w:i/>
          <w:color w:val="7B7B7B" w:themeColor="accent3" w:themeShade="BF"/>
          <w:sz w:val="22"/>
          <w:szCs w:val="22"/>
          <w:lang w:val="en-GB"/>
        </w:rPr>
        <w:t>lex fori</w:t>
      </w:r>
      <w:r w:rsidR="007F0D7A">
        <w:rPr>
          <w:rFonts w:ascii="Arial" w:hAnsi="Arial" w:cs="Arial"/>
          <w:color w:val="7B7B7B" w:themeColor="accent3" w:themeShade="BF"/>
          <w:sz w:val="22"/>
          <w:szCs w:val="22"/>
          <w:lang w:val="en-GB"/>
        </w:rPr>
        <w:t xml:space="preserve"> rules. This would in turn have the effect that no or very limited extraterritorial effects would be granted to foreign proceedings. </w:t>
      </w:r>
    </w:p>
    <w:p w14:paraId="211D47C3" w14:textId="77777777" w:rsidR="00153CD7" w:rsidRDefault="00794876" w:rsidP="00153CD7">
      <w:pPr>
        <w:jc w:val="both"/>
        <w:rPr>
          <w:rFonts w:ascii="Arial" w:hAnsi="Arial" w:cs="Arial"/>
          <w:color w:val="7B7B7B" w:themeColor="accent3" w:themeShade="BF"/>
          <w:sz w:val="22"/>
          <w:szCs w:val="22"/>
          <w:lang w:val="en-GB"/>
        </w:rPr>
      </w:pPr>
    </w:p>
    <w:p w14:paraId="7B56CE2A" w14:textId="1770DBEA" w:rsidR="00153CD7" w:rsidRDefault="00EC0249" w:rsidP="00153C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seem to be that the </w:t>
      </w:r>
      <w:r w:rsidR="007F0D7A">
        <w:rPr>
          <w:rFonts w:ascii="Arial" w:hAnsi="Arial" w:cs="Arial"/>
          <w:color w:val="7B7B7B" w:themeColor="accent3" w:themeShade="BF"/>
          <w:sz w:val="22"/>
          <w:szCs w:val="22"/>
          <w:lang w:val="en-GB"/>
        </w:rPr>
        <w:t>questions raised by Fetcher</w:t>
      </w:r>
      <w:r>
        <w:rPr>
          <w:rFonts w:ascii="Arial" w:hAnsi="Arial" w:cs="Arial"/>
          <w:color w:val="7B7B7B" w:themeColor="accent3" w:themeShade="BF"/>
          <w:sz w:val="22"/>
          <w:szCs w:val="22"/>
          <w:lang w:val="en-GB"/>
        </w:rPr>
        <w:t xml:space="preserve">, whilst attempting to </w:t>
      </w:r>
      <w:r w:rsidR="007F0D7A">
        <w:rPr>
          <w:rFonts w:ascii="Arial" w:hAnsi="Arial" w:cs="Arial"/>
          <w:color w:val="7B7B7B" w:themeColor="accent3" w:themeShade="BF"/>
          <w:sz w:val="22"/>
          <w:szCs w:val="22"/>
          <w:lang w:val="en-GB"/>
        </w:rPr>
        <w:t>create a unified system of insolvency law across various States</w:t>
      </w:r>
      <w:r>
        <w:rPr>
          <w:rFonts w:ascii="Arial" w:hAnsi="Arial" w:cs="Arial"/>
          <w:color w:val="7B7B7B" w:themeColor="accent3" w:themeShade="BF"/>
          <w:sz w:val="22"/>
          <w:szCs w:val="22"/>
          <w:lang w:val="en-GB"/>
        </w:rPr>
        <w:t>, also raises certain issues which need to be considered, which include deciding which State comes out on top when deciding where to issue proceedings, especially where each State has its own laws and each state allows for proceedings to be issued. Notwithstanding this, even it was</w:t>
      </w:r>
      <w:r w:rsidR="007F0D7A">
        <w:rPr>
          <w:rFonts w:ascii="Arial" w:hAnsi="Arial" w:cs="Arial"/>
          <w:color w:val="7B7B7B" w:themeColor="accent3" w:themeShade="BF"/>
          <w:sz w:val="22"/>
          <w:szCs w:val="22"/>
          <w:lang w:val="en-GB"/>
        </w:rPr>
        <w:t xml:space="preserve"> decided on where the insolvency proceedings should take place and what law would be applicable, nothing stops proceedings from also taking place in another State where the insolvency proceedings </w:t>
      </w:r>
      <w:r w:rsidR="00E40D7D">
        <w:rPr>
          <w:rFonts w:ascii="Arial" w:hAnsi="Arial" w:cs="Arial"/>
          <w:color w:val="7B7B7B" w:themeColor="accent3" w:themeShade="BF"/>
          <w:sz w:val="22"/>
          <w:szCs w:val="22"/>
          <w:lang w:val="en-GB"/>
        </w:rPr>
        <w:t>m</w:t>
      </w:r>
      <w:r w:rsidR="007F0D7A">
        <w:rPr>
          <w:rFonts w:ascii="Arial" w:hAnsi="Arial" w:cs="Arial"/>
          <w:color w:val="7B7B7B" w:themeColor="accent3" w:themeShade="BF"/>
          <w:sz w:val="22"/>
          <w:szCs w:val="22"/>
          <w:lang w:val="en-GB"/>
        </w:rPr>
        <w:t>ay be relevant (</w:t>
      </w:r>
      <w:r w:rsidR="00E40D7D">
        <w:rPr>
          <w:rFonts w:ascii="Arial" w:hAnsi="Arial" w:cs="Arial"/>
          <w:color w:val="7B7B7B" w:themeColor="accent3" w:themeShade="BF"/>
          <w:sz w:val="22"/>
          <w:szCs w:val="22"/>
          <w:lang w:val="en-GB"/>
        </w:rPr>
        <w:t>i.</w:t>
      </w:r>
      <w:r w:rsidR="007F0D7A">
        <w:rPr>
          <w:rFonts w:ascii="Arial" w:hAnsi="Arial" w:cs="Arial"/>
          <w:color w:val="7B7B7B" w:themeColor="accent3" w:themeShade="BF"/>
          <w:sz w:val="22"/>
          <w:szCs w:val="22"/>
          <w:lang w:val="en-GB"/>
        </w:rPr>
        <w:t>e</w:t>
      </w:r>
      <w:r w:rsidR="00E40D7D">
        <w:rPr>
          <w:rFonts w:ascii="Arial" w:hAnsi="Arial" w:cs="Arial"/>
          <w:color w:val="7B7B7B" w:themeColor="accent3" w:themeShade="BF"/>
          <w:sz w:val="22"/>
          <w:szCs w:val="22"/>
          <w:lang w:val="en-GB"/>
        </w:rPr>
        <w:t>.</w:t>
      </w:r>
      <w:r w:rsidR="007F0D7A">
        <w:rPr>
          <w:rFonts w:ascii="Arial" w:hAnsi="Arial" w:cs="Arial"/>
          <w:color w:val="7B7B7B" w:themeColor="accent3" w:themeShade="BF"/>
          <w:sz w:val="22"/>
          <w:szCs w:val="22"/>
          <w:lang w:val="en-GB"/>
        </w:rPr>
        <w:t xml:space="preserve"> further creditors bring claims for assets situated in that State). </w:t>
      </w:r>
      <w:r w:rsidR="00E40D7D">
        <w:rPr>
          <w:rFonts w:ascii="Arial" w:hAnsi="Arial" w:cs="Arial"/>
          <w:color w:val="7B7B7B" w:themeColor="accent3" w:themeShade="BF"/>
          <w:sz w:val="22"/>
          <w:szCs w:val="22"/>
          <w:lang w:val="en-GB"/>
        </w:rPr>
        <w:t>In this case</w:t>
      </w:r>
      <w:r w:rsidR="007F0D7A">
        <w:rPr>
          <w:rFonts w:ascii="Arial" w:hAnsi="Arial" w:cs="Arial"/>
          <w:color w:val="7B7B7B" w:themeColor="accent3" w:themeShade="BF"/>
          <w:sz w:val="22"/>
          <w:szCs w:val="22"/>
          <w:lang w:val="en-GB"/>
        </w:rPr>
        <w:t xml:space="preserve">, how would one determine the effect that such foreign proceedings </w:t>
      </w:r>
      <w:r w:rsidR="00E40D7D">
        <w:rPr>
          <w:rFonts w:ascii="Arial" w:hAnsi="Arial" w:cs="Arial"/>
          <w:color w:val="7B7B7B" w:themeColor="accent3" w:themeShade="BF"/>
          <w:sz w:val="22"/>
          <w:szCs w:val="22"/>
          <w:lang w:val="en-GB"/>
        </w:rPr>
        <w:t xml:space="preserve">concluded </w:t>
      </w:r>
      <w:r w:rsidR="007F0D7A">
        <w:rPr>
          <w:rFonts w:ascii="Arial" w:hAnsi="Arial" w:cs="Arial"/>
          <w:color w:val="7B7B7B" w:themeColor="accent3" w:themeShade="BF"/>
          <w:sz w:val="22"/>
          <w:szCs w:val="22"/>
          <w:lang w:val="en-GB"/>
        </w:rPr>
        <w:t xml:space="preserve">in </w:t>
      </w:r>
      <w:r w:rsidR="00E40D7D">
        <w:rPr>
          <w:rFonts w:ascii="Arial" w:hAnsi="Arial" w:cs="Arial"/>
          <w:color w:val="7B7B7B" w:themeColor="accent3" w:themeShade="BF"/>
          <w:sz w:val="22"/>
          <w:szCs w:val="22"/>
          <w:lang w:val="en-GB"/>
        </w:rPr>
        <w:t xml:space="preserve">one </w:t>
      </w:r>
      <w:r w:rsidR="007F0D7A">
        <w:rPr>
          <w:rFonts w:ascii="Arial" w:hAnsi="Arial" w:cs="Arial"/>
          <w:color w:val="7B7B7B" w:themeColor="accent3" w:themeShade="BF"/>
          <w:sz w:val="22"/>
          <w:szCs w:val="22"/>
          <w:lang w:val="en-GB"/>
        </w:rPr>
        <w:t>State</w:t>
      </w:r>
      <w:r w:rsidR="00E40D7D">
        <w:rPr>
          <w:rFonts w:ascii="Arial" w:hAnsi="Arial" w:cs="Arial"/>
          <w:color w:val="7B7B7B" w:themeColor="accent3" w:themeShade="BF"/>
          <w:sz w:val="22"/>
          <w:szCs w:val="22"/>
          <w:lang w:val="en-GB"/>
        </w:rPr>
        <w:t xml:space="preserve"> (which have full force and effect)</w:t>
      </w:r>
      <w:r w:rsidR="007F0D7A">
        <w:rPr>
          <w:rFonts w:ascii="Arial" w:hAnsi="Arial" w:cs="Arial"/>
          <w:color w:val="7B7B7B" w:themeColor="accent3" w:themeShade="BF"/>
          <w:sz w:val="22"/>
          <w:szCs w:val="22"/>
          <w:lang w:val="en-GB"/>
        </w:rPr>
        <w:t xml:space="preserve"> would have </w:t>
      </w:r>
      <w:r w:rsidR="00E40D7D">
        <w:rPr>
          <w:rFonts w:ascii="Arial" w:hAnsi="Arial" w:cs="Arial"/>
          <w:color w:val="7B7B7B" w:themeColor="accent3" w:themeShade="BF"/>
          <w:sz w:val="22"/>
          <w:szCs w:val="22"/>
          <w:lang w:val="en-GB"/>
        </w:rPr>
        <w:t xml:space="preserve">on separate proceedings instituted </w:t>
      </w:r>
      <w:r w:rsidR="007F0D7A">
        <w:rPr>
          <w:rFonts w:ascii="Arial" w:hAnsi="Arial" w:cs="Arial"/>
          <w:color w:val="7B7B7B" w:themeColor="accent3" w:themeShade="BF"/>
          <w:sz w:val="22"/>
          <w:szCs w:val="22"/>
          <w:lang w:val="en-GB"/>
        </w:rPr>
        <w:t>in another State</w:t>
      </w:r>
      <w:r w:rsidR="00E40D7D">
        <w:rPr>
          <w:rFonts w:ascii="Arial" w:hAnsi="Arial" w:cs="Arial"/>
          <w:color w:val="7B7B7B" w:themeColor="accent3" w:themeShade="BF"/>
          <w:sz w:val="22"/>
          <w:szCs w:val="22"/>
          <w:lang w:val="en-GB"/>
        </w:rPr>
        <w:t>.</w:t>
      </w:r>
    </w:p>
    <w:p w14:paraId="4C3028A7" w14:textId="77777777" w:rsidR="00153CD7" w:rsidRDefault="00794876" w:rsidP="00153CD7">
      <w:pPr>
        <w:jc w:val="both"/>
        <w:rPr>
          <w:rFonts w:ascii="Arial" w:hAnsi="Arial" w:cs="Arial"/>
          <w:color w:val="7B7B7B" w:themeColor="accent3" w:themeShade="BF"/>
          <w:sz w:val="22"/>
          <w:szCs w:val="22"/>
          <w:lang w:val="en-GB"/>
        </w:rPr>
      </w:pPr>
    </w:p>
    <w:p w14:paraId="6E947132" w14:textId="6E290426" w:rsidR="00E656D6" w:rsidRDefault="00E40D7D" w:rsidP="00153C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Dealing with the specific questions pose, I note that the </w:t>
      </w:r>
      <w:r w:rsidR="007F0D7A" w:rsidRPr="00E656D6">
        <w:rPr>
          <w:rFonts w:ascii="Arial" w:hAnsi="Arial" w:cs="Arial"/>
          <w:color w:val="7B7B7B" w:themeColor="accent3" w:themeShade="BF"/>
          <w:sz w:val="22"/>
          <w:szCs w:val="22"/>
          <w:lang w:val="en-GB"/>
        </w:rPr>
        <w:t xml:space="preserve">first question deals with a situation where insolvency proceedings may </w:t>
      </w:r>
      <w:r>
        <w:rPr>
          <w:rFonts w:ascii="Arial" w:hAnsi="Arial" w:cs="Arial"/>
          <w:color w:val="7B7B7B" w:themeColor="accent3" w:themeShade="BF"/>
          <w:sz w:val="22"/>
          <w:szCs w:val="22"/>
          <w:lang w:val="en-GB"/>
        </w:rPr>
        <w:t>take</w:t>
      </w:r>
      <w:r w:rsidRPr="00E656D6">
        <w:rPr>
          <w:rFonts w:ascii="Arial" w:hAnsi="Arial" w:cs="Arial"/>
          <w:color w:val="7B7B7B" w:themeColor="accent3" w:themeShade="BF"/>
          <w:sz w:val="22"/>
          <w:szCs w:val="22"/>
          <w:lang w:val="en-GB"/>
        </w:rPr>
        <w:t xml:space="preserve"> </w:t>
      </w:r>
      <w:r w:rsidR="007F0D7A" w:rsidRPr="00E656D6">
        <w:rPr>
          <w:rFonts w:ascii="Arial" w:hAnsi="Arial" w:cs="Arial"/>
          <w:color w:val="7B7B7B" w:themeColor="accent3" w:themeShade="BF"/>
          <w:sz w:val="22"/>
          <w:szCs w:val="22"/>
          <w:lang w:val="en-GB"/>
        </w:rPr>
        <w:t xml:space="preserve">place in two different jurisdictions and the </w:t>
      </w:r>
      <w:r>
        <w:rPr>
          <w:rFonts w:ascii="Arial" w:hAnsi="Arial" w:cs="Arial"/>
          <w:color w:val="7B7B7B" w:themeColor="accent3" w:themeShade="BF"/>
          <w:sz w:val="22"/>
          <w:szCs w:val="22"/>
          <w:lang w:val="en-GB"/>
        </w:rPr>
        <w:t xml:space="preserve">question is then in which State will the best results be achieved. </w:t>
      </w:r>
      <w:r w:rsidR="007F0D7A" w:rsidRPr="00E656D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000C72C4">
        <w:rPr>
          <w:rFonts w:ascii="Arial" w:hAnsi="Arial" w:cs="Arial"/>
          <w:color w:val="7B7B7B" w:themeColor="accent3" w:themeShade="BF"/>
          <w:sz w:val="22"/>
          <w:szCs w:val="22"/>
          <w:lang w:val="en-GB"/>
        </w:rPr>
        <w:t>first</w:t>
      </w:r>
      <w:r w:rsidR="007F0D7A" w:rsidRPr="00E656D6">
        <w:rPr>
          <w:rFonts w:ascii="Arial" w:hAnsi="Arial" w:cs="Arial"/>
          <w:color w:val="7B7B7B" w:themeColor="accent3" w:themeShade="BF"/>
          <w:sz w:val="22"/>
          <w:szCs w:val="22"/>
          <w:lang w:val="en-GB"/>
        </w:rPr>
        <w:t xml:space="preserve"> question also gives rise to a</w:t>
      </w:r>
      <w:r>
        <w:rPr>
          <w:rFonts w:ascii="Arial" w:hAnsi="Arial" w:cs="Arial"/>
          <w:color w:val="7B7B7B" w:themeColor="accent3" w:themeShade="BF"/>
          <w:sz w:val="22"/>
          <w:szCs w:val="22"/>
          <w:lang w:val="en-GB"/>
        </w:rPr>
        <w:t>m ancillary</w:t>
      </w:r>
      <w:r w:rsidR="007F0D7A" w:rsidRPr="00E656D6">
        <w:rPr>
          <w:rFonts w:ascii="Arial" w:hAnsi="Arial" w:cs="Arial"/>
          <w:color w:val="7B7B7B" w:themeColor="accent3" w:themeShade="BF"/>
          <w:sz w:val="22"/>
          <w:szCs w:val="22"/>
          <w:lang w:val="en-GB"/>
        </w:rPr>
        <w:t xml:space="preserve"> question</w:t>
      </w:r>
      <w:r>
        <w:rPr>
          <w:rFonts w:ascii="Arial" w:hAnsi="Arial" w:cs="Arial"/>
          <w:color w:val="7B7B7B" w:themeColor="accent3" w:themeShade="BF"/>
          <w:sz w:val="22"/>
          <w:szCs w:val="22"/>
          <w:lang w:val="en-GB"/>
        </w:rPr>
        <w:t>, namely</w:t>
      </w:r>
      <w:r w:rsidR="007F0D7A" w:rsidRPr="00E656D6">
        <w:rPr>
          <w:rFonts w:ascii="Arial" w:hAnsi="Arial" w:cs="Arial"/>
          <w:color w:val="7B7B7B" w:themeColor="accent3" w:themeShade="BF"/>
          <w:sz w:val="22"/>
          <w:szCs w:val="22"/>
          <w:lang w:val="en-GB"/>
        </w:rPr>
        <w:t xml:space="preserve"> whether proceedings may be opened in multiple States.  Often proceedings may be brought in multiple jurisdictions and this brings to the fore a further issue to be considered as part of question one being how does one resolve concurrent proceedings taking place in two different jurisdictions to ensure that creditors are treated equally or </w:t>
      </w:r>
      <w:r w:rsidR="007F0D7A" w:rsidRPr="00E656D6">
        <w:rPr>
          <w:rFonts w:ascii="Arial" w:hAnsi="Arial" w:cs="Arial"/>
          <w:i/>
          <w:color w:val="7B7B7B" w:themeColor="accent3" w:themeShade="BF"/>
          <w:sz w:val="22"/>
          <w:szCs w:val="22"/>
          <w:lang w:val="en-GB"/>
        </w:rPr>
        <w:t>pari passu</w:t>
      </w:r>
      <w:r w:rsidR="007F0D7A" w:rsidRPr="00E656D6">
        <w:rPr>
          <w:rFonts w:ascii="Arial" w:hAnsi="Arial" w:cs="Arial"/>
          <w:color w:val="7B7B7B" w:themeColor="accent3" w:themeShade="BF"/>
          <w:sz w:val="22"/>
          <w:szCs w:val="22"/>
          <w:lang w:val="en-GB"/>
        </w:rPr>
        <w:t xml:space="preserve">. A creditor in one jurisdiction where the majority of the debtor's assets are may succeed in claiming more than a creditor in whose jurisdiction the debtor has no assets, thus making it harder for the second creditor to attach the assets in a foreign country. </w:t>
      </w:r>
      <w:r>
        <w:rPr>
          <w:rFonts w:ascii="Arial" w:hAnsi="Arial" w:cs="Arial"/>
          <w:color w:val="7B7B7B" w:themeColor="accent3" w:themeShade="BF"/>
          <w:sz w:val="22"/>
          <w:szCs w:val="22"/>
          <w:lang w:val="en-GB"/>
        </w:rPr>
        <w:t xml:space="preserve">In trying to answer these questions, the </w:t>
      </w:r>
      <w:r w:rsidR="007F0D7A" w:rsidRPr="00E656D6">
        <w:rPr>
          <w:rFonts w:ascii="Arial" w:hAnsi="Arial" w:cs="Arial"/>
          <w:color w:val="7B7B7B" w:themeColor="accent3" w:themeShade="BF"/>
          <w:sz w:val="22"/>
          <w:szCs w:val="22"/>
          <w:lang w:val="en-GB"/>
        </w:rPr>
        <w:t>second question raised by Fletcher becomes relevant as well. Deciding on what laws are applicable where multiple jurisdictions may be involved poses issues to how creditors are treated. For example, a States domestic laws may not effectively provide for regulation of insolvency where there are cross border aspects. Domestic laws also have an influence on creditor position and preferences affecting how various creditors would be treated based on where the insolvency proceedings are taking place.</w:t>
      </w:r>
      <w:r w:rsidR="007F0D7A">
        <w:rPr>
          <w:rFonts w:ascii="Arial" w:hAnsi="Arial" w:cs="Arial"/>
          <w:color w:val="7B7B7B" w:themeColor="accent3" w:themeShade="BF"/>
          <w:sz w:val="22"/>
          <w:szCs w:val="22"/>
          <w:vertAlign w:val="superscript"/>
          <w:lang w:val="en-GB"/>
        </w:rPr>
        <w:footnoteReference w:id="10"/>
      </w:r>
    </w:p>
    <w:p w14:paraId="34689069" w14:textId="415213A3" w:rsidR="00E656D6" w:rsidRDefault="00794876" w:rsidP="00153CD7">
      <w:pPr>
        <w:jc w:val="both"/>
        <w:rPr>
          <w:rFonts w:ascii="Arial" w:hAnsi="Arial" w:cs="Arial"/>
          <w:color w:val="7B7B7B" w:themeColor="accent3" w:themeShade="BF"/>
          <w:sz w:val="22"/>
          <w:szCs w:val="22"/>
          <w:lang w:val="en-GB"/>
        </w:rPr>
      </w:pPr>
    </w:p>
    <w:p w14:paraId="178D5630" w14:textId="3AAD6443" w:rsidR="00E40D7D" w:rsidRDefault="007F0D7A" w:rsidP="00153CD7">
      <w:pPr>
        <w:jc w:val="both"/>
        <w:rPr>
          <w:rFonts w:ascii="Arial" w:hAnsi="Arial" w:cs="Arial"/>
          <w:color w:val="7B7B7B" w:themeColor="accent3" w:themeShade="BF"/>
          <w:sz w:val="22"/>
          <w:szCs w:val="22"/>
          <w:lang w:val="en-GB"/>
        </w:rPr>
      </w:pPr>
      <w:r w:rsidRPr="00153CD7">
        <w:rPr>
          <w:rFonts w:ascii="Arial" w:hAnsi="Arial" w:cs="Arial"/>
          <w:color w:val="7B7B7B" w:themeColor="accent3" w:themeShade="BF"/>
          <w:sz w:val="22"/>
          <w:szCs w:val="22"/>
          <w:lang w:val="en-GB"/>
        </w:rPr>
        <w:t xml:space="preserve">Where insolvency proceedings are commenced in various jurisdictions and where a unified or cooperative approach isn’t followed, it becomes an issue as to which jurisdictions law should be applied leading to the most common issue of conflict of laws. </w:t>
      </w:r>
      <w:r w:rsidR="00E40D7D">
        <w:rPr>
          <w:rFonts w:ascii="Arial" w:hAnsi="Arial" w:cs="Arial"/>
          <w:color w:val="7B7B7B" w:themeColor="accent3" w:themeShade="BF"/>
          <w:sz w:val="22"/>
          <w:szCs w:val="22"/>
          <w:lang w:val="en-GB"/>
        </w:rPr>
        <w:t xml:space="preserve">The applicable law then becomes front and centre in the proceedings, rather than </w:t>
      </w:r>
      <w:r w:rsidRPr="00153CD7">
        <w:rPr>
          <w:rFonts w:ascii="Arial" w:hAnsi="Arial" w:cs="Arial"/>
          <w:color w:val="7B7B7B" w:themeColor="accent3" w:themeShade="BF"/>
          <w:sz w:val="22"/>
          <w:szCs w:val="22"/>
          <w:lang w:val="en-GB"/>
        </w:rPr>
        <w:t xml:space="preserve">the actual insolvency issues facing the creditors and debtor. </w:t>
      </w:r>
    </w:p>
    <w:p w14:paraId="674AAA92" w14:textId="77777777" w:rsidR="00E40D7D" w:rsidRDefault="00E40D7D" w:rsidP="00153CD7">
      <w:pPr>
        <w:jc w:val="both"/>
        <w:rPr>
          <w:rFonts w:ascii="Arial" w:hAnsi="Arial" w:cs="Arial"/>
          <w:color w:val="7B7B7B" w:themeColor="accent3" w:themeShade="BF"/>
          <w:sz w:val="22"/>
          <w:szCs w:val="22"/>
          <w:lang w:val="en-GB"/>
        </w:rPr>
      </w:pPr>
    </w:p>
    <w:p w14:paraId="18CB1EE9" w14:textId="24302D68" w:rsidR="00153CD7" w:rsidRPr="00153CD7" w:rsidRDefault="007F0D7A" w:rsidP="00153CD7">
      <w:pPr>
        <w:jc w:val="both"/>
        <w:rPr>
          <w:rFonts w:ascii="Arial" w:hAnsi="Arial" w:cs="Arial"/>
          <w:color w:val="7B7B7B" w:themeColor="accent3" w:themeShade="BF"/>
          <w:sz w:val="22"/>
          <w:szCs w:val="22"/>
          <w:lang w:val="en-GB"/>
        </w:rPr>
      </w:pPr>
      <w:r w:rsidRPr="00153CD7">
        <w:rPr>
          <w:rFonts w:ascii="Arial" w:hAnsi="Arial" w:cs="Arial"/>
          <w:color w:val="7B7B7B" w:themeColor="accent3" w:themeShade="BF"/>
          <w:sz w:val="22"/>
          <w:szCs w:val="22"/>
          <w:lang w:val="en-GB"/>
        </w:rPr>
        <w:t>Other questions which follow on from the above are:</w:t>
      </w:r>
    </w:p>
    <w:p w14:paraId="436D9D99" w14:textId="77777777" w:rsidR="00153CD7" w:rsidRPr="00153CD7" w:rsidRDefault="007F0D7A" w:rsidP="00153CD7">
      <w:pPr>
        <w:numPr>
          <w:ilvl w:val="0"/>
          <w:numId w:val="24"/>
        </w:numPr>
        <w:jc w:val="both"/>
        <w:rPr>
          <w:rFonts w:ascii="Arial" w:hAnsi="Arial" w:cs="Arial"/>
          <w:color w:val="7B7B7B" w:themeColor="accent3" w:themeShade="BF"/>
          <w:sz w:val="22"/>
          <w:szCs w:val="22"/>
          <w:lang w:val="en-GB"/>
        </w:rPr>
      </w:pPr>
      <w:r w:rsidRPr="00153CD7">
        <w:rPr>
          <w:rFonts w:ascii="Arial" w:hAnsi="Arial" w:cs="Arial"/>
          <w:color w:val="7B7B7B" w:themeColor="accent3" w:themeShade="BF"/>
          <w:sz w:val="22"/>
          <w:szCs w:val="22"/>
          <w:lang w:val="en-GB"/>
        </w:rPr>
        <w:lastRenderedPageBreak/>
        <w:t xml:space="preserve">Would a foreign judgment have effect in another country – can it be enforced? </w:t>
      </w:r>
    </w:p>
    <w:p w14:paraId="5F43BEF6" w14:textId="77777777" w:rsidR="00153CD7" w:rsidRPr="00153CD7" w:rsidRDefault="007F0D7A" w:rsidP="00153CD7">
      <w:pPr>
        <w:numPr>
          <w:ilvl w:val="0"/>
          <w:numId w:val="23"/>
        </w:numPr>
        <w:jc w:val="both"/>
        <w:rPr>
          <w:rFonts w:ascii="Arial" w:hAnsi="Arial" w:cs="Arial"/>
          <w:color w:val="7B7B7B" w:themeColor="accent3" w:themeShade="BF"/>
          <w:sz w:val="22"/>
          <w:szCs w:val="22"/>
          <w:lang w:val="en-GB"/>
        </w:rPr>
      </w:pPr>
      <w:r w:rsidRPr="00153CD7">
        <w:rPr>
          <w:rFonts w:ascii="Arial" w:hAnsi="Arial" w:cs="Arial"/>
          <w:color w:val="7B7B7B" w:themeColor="accent3" w:themeShade="BF"/>
          <w:sz w:val="22"/>
          <w:szCs w:val="22"/>
          <w:lang w:val="en-GB"/>
        </w:rPr>
        <w:t>If the assets are in different countries how do you attach them for distribution to creditors</w:t>
      </w:r>
    </w:p>
    <w:p w14:paraId="4501CF0A" w14:textId="77777777" w:rsidR="00153CD7" w:rsidRPr="00153CD7" w:rsidRDefault="00794876" w:rsidP="00153CD7">
      <w:pPr>
        <w:jc w:val="both"/>
        <w:rPr>
          <w:rFonts w:ascii="Arial" w:hAnsi="Arial" w:cs="Arial"/>
          <w:color w:val="7B7B7B" w:themeColor="accent3" w:themeShade="BF"/>
          <w:sz w:val="22"/>
          <w:szCs w:val="22"/>
          <w:lang w:val="en-GB"/>
        </w:rPr>
      </w:pPr>
    </w:p>
    <w:p w14:paraId="71708D25" w14:textId="28EC26A6" w:rsidR="00153CD7" w:rsidRPr="00665462" w:rsidRDefault="007F0D7A" w:rsidP="00153CD7">
      <w:pPr>
        <w:jc w:val="both"/>
        <w:rPr>
          <w:rFonts w:ascii="Arial" w:hAnsi="Arial" w:cs="Arial"/>
          <w:color w:val="7B7B7B" w:themeColor="accent3" w:themeShade="BF"/>
          <w:sz w:val="22"/>
          <w:szCs w:val="22"/>
          <w:lang w:val="en-GB"/>
        </w:rPr>
      </w:pPr>
      <w:r w:rsidRPr="00153CD7">
        <w:rPr>
          <w:rFonts w:ascii="Arial" w:hAnsi="Arial" w:cs="Arial"/>
          <w:color w:val="7B7B7B" w:themeColor="accent3" w:themeShade="BF"/>
          <w:sz w:val="22"/>
          <w:szCs w:val="22"/>
          <w:lang w:val="en-GB"/>
        </w:rPr>
        <w:t>Different jurisdictions have different structures for how proceedings are held and how enforcement takes place will also affect insolvency proceedings in particular with regards to enforcement and distribution.</w:t>
      </w:r>
    </w:p>
    <w:p w14:paraId="05E3AE78" w14:textId="77777777" w:rsidR="002D3D4A" w:rsidRDefault="00794876" w:rsidP="00B7193E">
      <w:pPr>
        <w:jc w:val="both"/>
        <w:rPr>
          <w:rFonts w:ascii="Arial" w:hAnsi="Arial" w:cs="Arial"/>
          <w:color w:val="7B7B7B"/>
          <w:sz w:val="22"/>
          <w:szCs w:val="22"/>
          <w:lang w:val="en-GB"/>
        </w:rPr>
      </w:pPr>
    </w:p>
    <w:p w14:paraId="0AA8E5F9" w14:textId="77777777" w:rsidR="002D3D4A" w:rsidRPr="00205B31" w:rsidRDefault="00794876" w:rsidP="00B7193E">
      <w:pPr>
        <w:jc w:val="both"/>
        <w:rPr>
          <w:rFonts w:ascii="Arial" w:hAnsi="Arial" w:cs="Arial"/>
          <w:color w:val="7B7B7B"/>
          <w:sz w:val="22"/>
          <w:szCs w:val="22"/>
          <w:lang w:val="en-GB"/>
        </w:rPr>
      </w:pPr>
    </w:p>
    <w:p w14:paraId="0C8B33AA" w14:textId="77777777" w:rsidR="00275182" w:rsidRPr="00205B31" w:rsidRDefault="00794876" w:rsidP="00275182">
      <w:pPr>
        <w:widowControl w:val="0"/>
        <w:ind w:left="720" w:hanging="720"/>
        <w:jc w:val="both"/>
        <w:rPr>
          <w:rFonts w:ascii="Arial" w:hAnsi="Arial" w:cs="Arial"/>
          <w:color w:val="7B7B7B"/>
          <w:sz w:val="22"/>
          <w:szCs w:val="22"/>
          <w:lang w:val="en-GB"/>
        </w:rPr>
      </w:pPr>
    </w:p>
    <w:p w14:paraId="5349A8B2" w14:textId="77777777" w:rsidR="00275182" w:rsidRPr="00205B31" w:rsidRDefault="00794876" w:rsidP="00275182">
      <w:pPr>
        <w:widowControl w:val="0"/>
        <w:ind w:left="720" w:hanging="720"/>
        <w:jc w:val="both"/>
        <w:rPr>
          <w:rFonts w:ascii="Arial" w:hAnsi="Arial" w:cs="Arial"/>
          <w:color w:val="7B7B7B"/>
          <w:sz w:val="22"/>
          <w:szCs w:val="22"/>
          <w:lang w:val="en-GB"/>
        </w:rPr>
      </w:pPr>
    </w:p>
    <w:p w14:paraId="4BD98762" w14:textId="77777777" w:rsidR="00DF75F8" w:rsidRPr="00205B31" w:rsidRDefault="007F0D7A" w:rsidP="00275182">
      <w:pPr>
        <w:widowControl w:val="0"/>
        <w:ind w:left="720" w:hanging="720"/>
        <w:jc w:val="both"/>
        <w:rPr>
          <w:rFonts w:ascii="Arial" w:hAnsi="Arial" w:cs="Arial"/>
          <w:sz w:val="22"/>
          <w:szCs w:val="22"/>
          <w:lang w:val="en-GB"/>
        </w:rPr>
      </w:pPr>
      <w:r w:rsidRPr="00205B31">
        <w:rPr>
          <w:rFonts w:ascii="Arial" w:hAnsi="Arial" w:cs="Arial"/>
          <w:b/>
          <w:bCs/>
          <w:sz w:val="22"/>
          <w:szCs w:val="22"/>
          <w:shd w:val="clear" w:color="auto" w:fill="FFFFFF"/>
          <w:lang w:val="en-GB"/>
        </w:rPr>
        <w:t xml:space="preserve">Question 3.3 </w:t>
      </w:r>
      <w:r w:rsidRPr="00205B31">
        <w:rPr>
          <w:rFonts w:ascii="Arial" w:hAnsi="Arial" w:cs="Arial"/>
          <w:b/>
          <w:bCs/>
          <w:sz w:val="22"/>
          <w:szCs w:val="22"/>
          <w:lang w:val="en-GB"/>
        </w:rPr>
        <w:t>[maximum 5 marks]</w:t>
      </w:r>
    </w:p>
    <w:p w14:paraId="732BA8D1" w14:textId="77777777" w:rsidR="00DF75F8" w:rsidRPr="00205B31" w:rsidRDefault="00794876" w:rsidP="00275182">
      <w:pPr>
        <w:widowControl w:val="0"/>
        <w:ind w:left="720" w:hanging="720"/>
        <w:jc w:val="both"/>
        <w:rPr>
          <w:rFonts w:ascii="Arial" w:hAnsi="Arial" w:cs="Arial"/>
          <w:sz w:val="22"/>
          <w:szCs w:val="22"/>
          <w:lang w:val="en-GB"/>
        </w:rPr>
      </w:pPr>
    </w:p>
    <w:p w14:paraId="6CF8618B" w14:textId="77777777" w:rsidR="001131C6" w:rsidRPr="00205B31" w:rsidRDefault="007F0D7A" w:rsidP="00275182">
      <w:pPr>
        <w:pStyle w:val="INSOLstyletext"/>
        <w:widowControl w:val="0"/>
        <w:ind w:left="0"/>
        <w:jc w:val="both"/>
      </w:pPr>
      <w:r w:rsidRPr="00205B31">
        <w:t xml:space="preserve">It is said that “co-ordination agreements are sometimes known as Protocols or Cross-border Insolvency Agreements. Their growing acceptance internationally is evident in the work by the ALI-III in their </w:t>
      </w:r>
      <w:r w:rsidRPr="00205B31">
        <w:rPr>
          <w:i/>
          <w:iCs/>
        </w:rPr>
        <w:t>Guidelines Applicable to Court-to-Court Communication in Cross-Border Cases</w:t>
      </w:r>
      <w:r w:rsidRPr="00205B31">
        <w:t xml:space="preserve">; by UNICTRAL in their </w:t>
      </w:r>
      <w:r w:rsidRPr="00205B31">
        <w:rPr>
          <w:i/>
          <w:iCs/>
        </w:rPr>
        <w:t>Practice Guide on Cross-border Insolvency Agreements</w:t>
      </w:r>
      <w:r w:rsidRPr="00205B31">
        <w:t xml:space="preserve">; and by the Judicial Insolvency Network in their </w:t>
      </w:r>
      <w:r w:rsidRPr="00205B31">
        <w:rPr>
          <w:i/>
          <w:iCs/>
        </w:rPr>
        <w:t>Guidelines for Communication and Cooperation between Courts in Cross-Border Insolvency Matters</w:t>
      </w:r>
      <w:r w:rsidRPr="00205B31">
        <w:t xml:space="preserve">…” </w:t>
      </w:r>
    </w:p>
    <w:p w14:paraId="0FC30903" w14:textId="77777777" w:rsidR="001131C6" w:rsidRPr="00205B31" w:rsidRDefault="00794876" w:rsidP="00A8485D">
      <w:pPr>
        <w:pStyle w:val="INSOLstyletext"/>
        <w:jc w:val="both"/>
      </w:pPr>
    </w:p>
    <w:p w14:paraId="483D60C7" w14:textId="77777777" w:rsidR="001131C6" w:rsidRPr="00205B31" w:rsidRDefault="007F0D7A"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“While court approval of such agreements for the purposes of co-ordinating insolvency proceedings is encouraged by the MLCBI, they in fact pre-date the Model Law.” </w:t>
      </w:r>
    </w:p>
    <w:p w14:paraId="75B67DF8" w14:textId="77777777" w:rsidR="001131C6" w:rsidRPr="00205B31" w:rsidRDefault="00794876" w:rsidP="001131C6">
      <w:pPr>
        <w:rPr>
          <w:rFonts w:ascii="Arial" w:hAnsi="Arial" w:cs="Arial"/>
          <w:sz w:val="22"/>
          <w:szCs w:val="22"/>
          <w:lang w:val="en-GB"/>
        </w:rPr>
      </w:pPr>
    </w:p>
    <w:p w14:paraId="750B7E77" w14:textId="77777777" w:rsidR="001131C6" w:rsidRPr="00205B31" w:rsidRDefault="007F0D7A" w:rsidP="001131C6">
      <w:pPr>
        <w:rPr>
          <w:rFonts w:ascii="Arial" w:hAnsi="Arial" w:cs="Arial"/>
          <w:b/>
          <w:sz w:val="22"/>
          <w:szCs w:val="22"/>
          <w:lang w:val="en-GB"/>
        </w:rPr>
      </w:pPr>
      <w:r w:rsidRPr="00205B31">
        <w:rPr>
          <w:rFonts w:ascii="Arial" w:hAnsi="Arial" w:cs="Arial"/>
          <w:b/>
          <w:sz w:val="22"/>
          <w:szCs w:val="22"/>
          <w:lang w:val="en-GB"/>
        </w:rPr>
        <w:t xml:space="preserve">Briefly discuss a prominent case law example for this last quotation. </w:t>
      </w:r>
    </w:p>
    <w:p w14:paraId="54FF804F" w14:textId="77777777" w:rsidR="00DF75F8" w:rsidRPr="00205B31" w:rsidRDefault="00794876" w:rsidP="001131C6">
      <w:pPr>
        <w:jc w:val="both"/>
        <w:rPr>
          <w:rFonts w:ascii="Arial" w:hAnsi="Arial" w:cs="Arial"/>
          <w:sz w:val="22"/>
          <w:szCs w:val="22"/>
          <w:lang w:val="en-GB"/>
        </w:rPr>
      </w:pPr>
    </w:p>
    <w:p w14:paraId="68EA31E3" w14:textId="77777777" w:rsidR="00ED0568"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important case in cross-border insolvency law in relation to Cross-border Insolvency Agreements is the case of </w:t>
      </w:r>
      <w:r w:rsidRPr="00DA5188">
        <w:rPr>
          <w:rFonts w:ascii="Arial" w:hAnsi="Arial" w:cs="Arial"/>
          <w:i/>
          <w:color w:val="7B7B7B" w:themeColor="accent3" w:themeShade="BF"/>
          <w:sz w:val="22"/>
          <w:szCs w:val="22"/>
          <w:lang w:val="en-GB"/>
        </w:rPr>
        <w:t>Maxwell Communications Corporation plc</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which took place before the UNCITRAL Model Law on Cross-border Insolvency ("MLCBI") was published. </w:t>
      </w:r>
    </w:p>
    <w:p w14:paraId="7B88AD79" w14:textId="77777777" w:rsidR="00245145" w:rsidRDefault="00794876" w:rsidP="00B7193E">
      <w:pPr>
        <w:jc w:val="both"/>
        <w:rPr>
          <w:rFonts w:ascii="Arial" w:hAnsi="Arial" w:cs="Arial"/>
          <w:color w:val="7B7B7B" w:themeColor="accent3" w:themeShade="BF"/>
          <w:sz w:val="22"/>
          <w:szCs w:val="22"/>
          <w:lang w:val="en-GB"/>
        </w:rPr>
      </w:pPr>
    </w:p>
    <w:p w14:paraId="4573FD42" w14:textId="414FAC20" w:rsidR="009A4F29"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Most insolvency regimes across the world set out anti-avoidance provisions in the insolvency law structures dealing with circumstances where before insolvency has become an issue, contracting parties do not unfairly or fraudulently contract to avoid all creditors being treated fairly if insolvency should develop at a later stage.</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The </w:t>
      </w:r>
      <w:r w:rsidRPr="000C72C4">
        <w:rPr>
          <w:rFonts w:ascii="Arial" w:hAnsi="Arial" w:cs="Arial"/>
          <w:i/>
          <w:iCs/>
          <w:color w:val="7B7B7B" w:themeColor="accent3" w:themeShade="BF"/>
          <w:sz w:val="22"/>
          <w:szCs w:val="22"/>
          <w:lang w:val="en-GB"/>
        </w:rPr>
        <w:t>Maxwell</w:t>
      </w:r>
      <w:r>
        <w:rPr>
          <w:rFonts w:ascii="Arial" w:hAnsi="Arial" w:cs="Arial"/>
          <w:color w:val="7B7B7B" w:themeColor="accent3" w:themeShade="BF"/>
          <w:sz w:val="22"/>
          <w:szCs w:val="22"/>
          <w:lang w:val="en-GB"/>
        </w:rPr>
        <w:t xml:space="preserve"> case is a good example of how cross-border insolvency proceedings between two States can be completed effectively despite differing legal systems and fora</w:t>
      </w:r>
      <w:r w:rsidR="000C72C4">
        <w:rPr>
          <w:rFonts w:ascii="Arial" w:hAnsi="Arial" w:cs="Arial"/>
          <w:color w:val="7B7B7B" w:themeColor="accent3" w:themeShade="BF"/>
          <w:sz w:val="22"/>
          <w:szCs w:val="22"/>
          <w:lang w:val="en-GB"/>
        </w:rPr>
        <w:t xml:space="preserve"> being</w:t>
      </w:r>
      <w:r>
        <w:rPr>
          <w:rFonts w:ascii="Arial" w:hAnsi="Arial" w:cs="Arial"/>
          <w:color w:val="7B7B7B" w:themeColor="accent3" w:themeShade="BF"/>
          <w:sz w:val="22"/>
          <w:szCs w:val="22"/>
          <w:lang w:val="en-GB"/>
        </w:rPr>
        <w:t xml:space="preserve"> applicable, and how cooperation between different courts and insolvency representatives can assist in ensuring a fair conclusion to a matter where there are multiple insolvency laws at play. The case involved a single debtor opening insolvency proceedings in both the United States and the UK.  The debtor's assets were largely in the form of large companies in the US, whereas it was administered and had a majority of its financial affairs in the UK. The Courts in both jurisdictions proposed that the parties enter into an agreement regulating the exchange of information and resolution of conflicts were they arose. In the agreement reached, the parties set out the parameters as to how the proceedings would be run on a cross border basis and agreeing the terms between the US and UK insolvency practitioners. This ensured that the equality between creditors in both the US and the UK was upheld and that the debtor's interest were dissolved fairly across two jurisdictions. This case shows how effective Cross-border Insolvency Agreements can be in solving two of the fundamental difficulties in cross-border insolvency proceedings, namely the choice of law and choice of form.</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xml:space="preserve"> </w:t>
      </w:r>
    </w:p>
    <w:p w14:paraId="288B2211" w14:textId="77777777" w:rsidR="000C72C4" w:rsidRDefault="000C72C4" w:rsidP="00B7193E">
      <w:pPr>
        <w:jc w:val="both"/>
        <w:rPr>
          <w:rFonts w:ascii="Arial" w:hAnsi="Arial" w:cs="Arial"/>
          <w:color w:val="7B7B7B" w:themeColor="accent3" w:themeShade="BF"/>
          <w:sz w:val="22"/>
          <w:szCs w:val="22"/>
          <w:lang w:val="en-GB"/>
        </w:rPr>
      </w:pPr>
    </w:p>
    <w:p w14:paraId="0DC7A206" w14:textId="06936CA6" w:rsidR="00ED0568"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Although both a plan of reorganization and scheme of arrangement were filed separately, they were mutually dependent and accordingly the courts treated them as single mechanism, </w:t>
      </w:r>
      <w:r>
        <w:rPr>
          <w:rFonts w:ascii="Arial" w:hAnsi="Arial" w:cs="Arial"/>
          <w:color w:val="7B7B7B" w:themeColor="accent3" w:themeShade="BF"/>
          <w:sz w:val="22"/>
          <w:szCs w:val="22"/>
        </w:rPr>
        <w:lastRenderedPageBreak/>
        <w:t>consistent with the laws of both countries, for the reorganisation of the debtor. The Agreement instead of separating the assets for distribution by the two courts to different groups of creditors, pooled the assets together for distribution to all creditors. In accordance with the single distribution mechanism, creditors were then allowed to submit a claim in either jurisdiction.</w:t>
      </w:r>
    </w:p>
    <w:p w14:paraId="3E9F79E0" w14:textId="77777777" w:rsidR="008F7D1A" w:rsidRPr="00A00312" w:rsidRDefault="00794876" w:rsidP="00A00312">
      <w:pPr>
        <w:jc w:val="both"/>
        <w:rPr>
          <w:rFonts w:ascii="Arial" w:hAnsi="Arial" w:cs="Arial"/>
          <w:color w:val="7B7B7B" w:themeColor="accent3" w:themeShade="BF"/>
          <w:sz w:val="22"/>
          <w:szCs w:val="22"/>
          <w:lang w:val="en-GB"/>
        </w:rPr>
      </w:pPr>
    </w:p>
    <w:p w14:paraId="07135AF9" w14:textId="249BB235" w:rsidR="00791C5D" w:rsidRDefault="007F0D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case importantly required the court to </w:t>
      </w:r>
      <w:r w:rsidR="0041767C">
        <w:rPr>
          <w:rFonts w:ascii="Arial" w:hAnsi="Arial" w:cs="Arial"/>
          <w:color w:val="7B7B7B" w:themeColor="accent3" w:themeShade="BF"/>
          <w:sz w:val="22"/>
          <w:szCs w:val="22"/>
          <w:lang w:val="en-GB"/>
        </w:rPr>
        <w:t xml:space="preserve">raise </w:t>
      </w:r>
      <w:r>
        <w:rPr>
          <w:rFonts w:ascii="Arial" w:hAnsi="Arial" w:cs="Arial"/>
          <w:color w:val="7B7B7B" w:themeColor="accent3" w:themeShade="BF"/>
          <w:sz w:val="22"/>
          <w:szCs w:val="22"/>
          <w:lang w:val="en-GB"/>
        </w:rPr>
        <w:t>the question of where is the home of the matter</w:t>
      </w:r>
      <w:r w:rsidR="0041767C">
        <w:rPr>
          <w:rFonts w:ascii="Arial" w:hAnsi="Arial" w:cs="Arial"/>
          <w:color w:val="7B7B7B" w:themeColor="accent3" w:themeShade="BF"/>
          <w:sz w:val="22"/>
          <w:szCs w:val="22"/>
          <w:lang w:val="en-GB"/>
        </w:rPr>
        <w:t xml:space="preserve"> (the insolvency)</w:t>
      </w:r>
      <w:r>
        <w:rPr>
          <w:rFonts w:ascii="Arial" w:hAnsi="Arial" w:cs="Arial"/>
          <w:color w:val="7B7B7B" w:themeColor="accent3" w:themeShade="BF"/>
          <w:sz w:val="22"/>
          <w:szCs w:val="22"/>
          <w:lang w:val="en-GB"/>
        </w:rPr>
        <w:t xml:space="preserve"> in order to </w:t>
      </w:r>
      <w:r w:rsidR="0041767C">
        <w:rPr>
          <w:rFonts w:ascii="Arial" w:hAnsi="Arial" w:cs="Arial"/>
          <w:color w:val="7B7B7B" w:themeColor="accent3" w:themeShade="BF"/>
          <w:sz w:val="22"/>
          <w:szCs w:val="22"/>
          <w:lang w:val="en-GB"/>
        </w:rPr>
        <w:t xml:space="preserve">determine which </w:t>
      </w:r>
      <w:r>
        <w:rPr>
          <w:rFonts w:ascii="Arial" w:hAnsi="Arial" w:cs="Arial"/>
          <w:color w:val="7B7B7B" w:themeColor="accent3" w:themeShade="BF"/>
          <w:sz w:val="22"/>
          <w:szCs w:val="22"/>
          <w:lang w:val="en-GB"/>
        </w:rPr>
        <w:t>law or forum should be applicable to the insolvency proceedings. Instead of attempting to answer this question as one or the other – the courts decided it was best to cooperate and this took the form of an agreement or "protocol" whereby it was agreed that the matter be deferred to English administration</w:t>
      </w:r>
      <w:r w:rsidR="0041767C">
        <w:rPr>
          <w:rFonts w:ascii="Arial" w:hAnsi="Arial" w:cs="Arial"/>
          <w:color w:val="7B7B7B" w:themeColor="accent3" w:themeShade="BF"/>
          <w:sz w:val="22"/>
          <w:szCs w:val="22"/>
          <w:lang w:val="en-GB"/>
        </w:rPr>
        <w:t xml:space="preserve">, however </w:t>
      </w:r>
      <w:r>
        <w:rPr>
          <w:rFonts w:ascii="Arial" w:hAnsi="Arial" w:cs="Arial"/>
          <w:color w:val="7B7B7B" w:themeColor="accent3" w:themeShade="BF"/>
          <w:sz w:val="22"/>
          <w:szCs w:val="22"/>
          <w:lang w:val="en-GB"/>
        </w:rPr>
        <w:t>the US examiner</w:t>
      </w:r>
      <w:r w:rsidR="0041767C">
        <w:rPr>
          <w:rFonts w:ascii="Arial" w:hAnsi="Arial" w:cs="Arial"/>
          <w:color w:val="7B7B7B" w:themeColor="accent3" w:themeShade="BF"/>
          <w:sz w:val="22"/>
          <w:szCs w:val="22"/>
          <w:lang w:val="en-GB"/>
        </w:rPr>
        <w:t>, who w</w:t>
      </w:r>
      <w:r>
        <w:rPr>
          <w:rFonts w:ascii="Arial" w:hAnsi="Arial" w:cs="Arial"/>
          <w:color w:val="7B7B7B" w:themeColor="accent3" w:themeShade="BF"/>
          <w:sz w:val="22"/>
          <w:szCs w:val="22"/>
          <w:lang w:val="en-GB"/>
        </w:rPr>
        <w:t>as appointed by the US courts under US bankruptcy law</w:t>
      </w:r>
      <w:r w:rsidR="0041767C">
        <w:rPr>
          <w:rFonts w:ascii="Arial" w:hAnsi="Arial" w:cs="Arial"/>
          <w:color w:val="7B7B7B" w:themeColor="accent3" w:themeShade="BF"/>
          <w:sz w:val="22"/>
          <w:szCs w:val="22"/>
          <w:lang w:val="en-GB"/>
        </w:rPr>
        <w:t>, retained</w:t>
      </w:r>
      <w:r>
        <w:rPr>
          <w:rFonts w:ascii="Arial" w:hAnsi="Arial" w:cs="Arial"/>
          <w:color w:val="7B7B7B" w:themeColor="accent3" w:themeShade="BF"/>
          <w:sz w:val="22"/>
          <w:szCs w:val="22"/>
          <w:lang w:val="en-GB"/>
        </w:rPr>
        <w:t xml:space="preserve"> the power to consult and object to decisions made</w:t>
      </w:r>
      <w:r w:rsidR="0041767C">
        <w:rPr>
          <w:rFonts w:ascii="Arial" w:hAnsi="Arial" w:cs="Arial"/>
          <w:color w:val="7B7B7B" w:themeColor="accent3" w:themeShade="BF"/>
          <w:sz w:val="22"/>
          <w:szCs w:val="22"/>
          <w:lang w:val="en-GB"/>
        </w:rPr>
        <w:t xml:space="preserve"> by the English administrator</w:t>
      </w:r>
      <w:r>
        <w:rPr>
          <w:rFonts w:ascii="Arial" w:hAnsi="Arial" w:cs="Arial"/>
          <w:color w:val="7B7B7B" w:themeColor="accent3" w:themeShade="BF"/>
          <w:sz w:val="22"/>
          <w:szCs w:val="22"/>
          <w:lang w:val="en-GB"/>
        </w:rPr>
        <w:t>.</w:t>
      </w:r>
    </w:p>
    <w:p w14:paraId="03D9A6A7" w14:textId="4FDB0419" w:rsidR="0041767C" w:rsidRDefault="0041767C" w:rsidP="00B7193E">
      <w:pPr>
        <w:jc w:val="both"/>
        <w:rPr>
          <w:rFonts w:ascii="Arial" w:hAnsi="Arial" w:cs="Arial"/>
          <w:color w:val="7B7B7B" w:themeColor="accent3" w:themeShade="BF"/>
          <w:sz w:val="22"/>
          <w:szCs w:val="22"/>
          <w:lang w:val="en-GB"/>
        </w:rPr>
      </w:pPr>
    </w:p>
    <w:p w14:paraId="2D4118C6" w14:textId="5CB3B06A" w:rsidR="00ED0568" w:rsidRPr="000C72C4" w:rsidRDefault="004176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Westbrook, the cooperation displayed and agreed in the insolvency proceedings was fundamental to preserving the assets underlying the proceedings and which needed to be sold by ensuring that “</w:t>
      </w:r>
      <w:r w:rsidRPr="00791C5D">
        <w:rPr>
          <w:rFonts w:ascii="Arial" w:hAnsi="Arial" w:cs="Arial"/>
          <w:color w:val="7B7B7B" w:themeColor="accent3" w:themeShade="BF"/>
          <w:sz w:val="22"/>
          <w:szCs w:val="22"/>
        </w:rPr>
        <w:t>potentially ruinous cost, and even more ruinous delay, through transnational litigation</w:t>
      </w:r>
      <w:r>
        <w:rPr>
          <w:rFonts w:ascii="Arial" w:hAnsi="Arial" w:cs="Arial"/>
          <w:color w:val="7B7B7B" w:themeColor="accent3" w:themeShade="BF"/>
          <w:sz w:val="22"/>
          <w:szCs w:val="22"/>
        </w:rPr>
        <w:t>” was avoided.</w:t>
      </w:r>
      <w:r w:rsidR="000C72C4">
        <w:rPr>
          <w:rStyle w:val="FootnoteReference"/>
          <w:rFonts w:ascii="Arial" w:hAnsi="Arial" w:cs="Arial"/>
          <w:color w:val="7B7B7B" w:themeColor="accent3" w:themeShade="BF"/>
          <w:sz w:val="22"/>
          <w:szCs w:val="22"/>
        </w:rPr>
        <w:footnoteReference w:id="14"/>
      </w:r>
    </w:p>
    <w:p w14:paraId="35602079" w14:textId="77777777" w:rsidR="007D7C92" w:rsidRPr="00205B31" w:rsidRDefault="00794876" w:rsidP="00B7193E">
      <w:pPr>
        <w:ind w:left="720" w:hanging="720"/>
        <w:jc w:val="both"/>
        <w:rPr>
          <w:rFonts w:ascii="Arial" w:hAnsi="Arial" w:cs="Arial"/>
          <w:color w:val="7B7B7B"/>
          <w:sz w:val="22"/>
          <w:szCs w:val="22"/>
          <w:lang w:val="en-GB"/>
        </w:rPr>
      </w:pPr>
    </w:p>
    <w:p w14:paraId="43CA92CE" w14:textId="77777777" w:rsidR="00275182" w:rsidRPr="00205B31" w:rsidRDefault="00794876" w:rsidP="00B7193E">
      <w:pPr>
        <w:jc w:val="both"/>
        <w:rPr>
          <w:rFonts w:ascii="Arial" w:hAnsi="Arial" w:cs="Arial"/>
          <w:bCs/>
          <w:color w:val="7B7B7B"/>
          <w:sz w:val="22"/>
          <w:szCs w:val="22"/>
          <w:lang w:val="en-GB"/>
        </w:rPr>
      </w:pPr>
    </w:p>
    <w:p w14:paraId="4D6EC24D" w14:textId="77777777" w:rsidR="009B0723" w:rsidRPr="00205B31" w:rsidRDefault="007F0D7A" w:rsidP="00B7193E">
      <w:pPr>
        <w:jc w:val="both"/>
        <w:rPr>
          <w:rFonts w:ascii="Arial" w:hAnsi="Arial" w:cs="Arial"/>
          <w:b/>
          <w:sz w:val="22"/>
          <w:szCs w:val="22"/>
          <w:lang w:val="en-GB"/>
        </w:rPr>
      </w:pPr>
      <w:r w:rsidRPr="00205B31">
        <w:rPr>
          <w:rFonts w:ascii="Arial" w:hAnsi="Arial" w:cs="Arial"/>
          <w:b/>
          <w:sz w:val="22"/>
          <w:szCs w:val="22"/>
          <w:lang w:val="en-GB"/>
        </w:rPr>
        <w:t>QUESTION 4 (fact-based application-type question) [15 marks in total]</w:t>
      </w:r>
    </w:p>
    <w:p w14:paraId="2D20D92B" w14:textId="77777777" w:rsidR="0009471C" w:rsidRPr="00205B31" w:rsidRDefault="00794876" w:rsidP="00B7193E">
      <w:pPr>
        <w:autoSpaceDE w:val="0"/>
        <w:autoSpaceDN w:val="0"/>
        <w:adjustRightInd w:val="0"/>
        <w:jc w:val="both"/>
        <w:rPr>
          <w:rFonts w:ascii="Arial" w:hAnsi="Arial" w:cs="Arial"/>
          <w:sz w:val="22"/>
          <w:szCs w:val="22"/>
          <w:lang w:val="en-GB"/>
        </w:rPr>
      </w:pPr>
    </w:p>
    <w:p w14:paraId="60380E40" w14:textId="77777777" w:rsidR="00486776" w:rsidRPr="00205B31" w:rsidRDefault="007F0D7A"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(Rydell) is an incorporated company with offices in the UK and throughout Europe. Its centre of main interest (COMI) is in the UK. </w:t>
      </w:r>
      <w:r w:rsidRPr="00205B31">
        <w:rPr>
          <w:rFonts w:ascii="Arial" w:hAnsi="Arial" w:cs="Arial"/>
          <w:color w:val="212529"/>
          <w:sz w:val="22"/>
          <w:szCs w:val="22"/>
          <w:shd w:val="clear" w:color="auto" w:fill="FFFFFF"/>
          <w:lang w:val="en-GB"/>
        </w:rPr>
        <w:t xml:space="preserve">Rydell supplies engine parts for large vehicles, including airplanes, and has had a downturn in business due to border closures and travel restrictions throughout the Covid-19 pandemic. </w:t>
      </w:r>
    </w:p>
    <w:p w14:paraId="61879FF7" w14:textId="77777777" w:rsidR="00486776" w:rsidRPr="00205B31" w:rsidRDefault="00794876" w:rsidP="006D564C">
      <w:pPr>
        <w:autoSpaceDE w:val="0"/>
        <w:autoSpaceDN w:val="0"/>
        <w:adjustRightInd w:val="0"/>
        <w:jc w:val="both"/>
        <w:rPr>
          <w:rFonts w:ascii="Arial" w:hAnsi="Arial" w:cs="Arial"/>
          <w:color w:val="212529"/>
          <w:sz w:val="22"/>
          <w:szCs w:val="22"/>
          <w:shd w:val="clear" w:color="auto" w:fill="FFFFFF"/>
          <w:lang w:val="en-GB"/>
        </w:rPr>
      </w:pPr>
    </w:p>
    <w:p w14:paraId="2B10A418" w14:textId="77777777" w:rsidR="0009471C" w:rsidRPr="00205B31" w:rsidRDefault="007F0D7A"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 which is incorporated in a country in Europe that is a member of the EU. Fernz is considering commencing proceedings or pursuing other options with respect to recovering unpaid debts from Rydell.</w:t>
      </w:r>
    </w:p>
    <w:p w14:paraId="3873ECA2" w14:textId="77777777" w:rsidR="00BA1648" w:rsidRPr="00205B31" w:rsidRDefault="00794876" w:rsidP="006D564C">
      <w:pPr>
        <w:autoSpaceDE w:val="0"/>
        <w:autoSpaceDN w:val="0"/>
        <w:adjustRightInd w:val="0"/>
        <w:jc w:val="both"/>
        <w:rPr>
          <w:rFonts w:ascii="Arial" w:hAnsi="Arial" w:cs="Arial"/>
          <w:color w:val="212529"/>
          <w:sz w:val="22"/>
          <w:szCs w:val="22"/>
          <w:shd w:val="clear" w:color="auto" w:fill="FFFFFF"/>
          <w:lang w:val="en-GB"/>
        </w:rPr>
      </w:pPr>
    </w:p>
    <w:p w14:paraId="5249DA5E" w14:textId="77777777" w:rsidR="00BA1648" w:rsidRPr="00205B31" w:rsidRDefault="007F0D7A"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There are a number of other creditors owed money by Rydell, who are located throughout different countries in Europe which are all members of the European Union.</w:t>
      </w:r>
    </w:p>
    <w:p w14:paraId="764B27FB" w14:textId="77777777" w:rsidR="0009471C" w:rsidRPr="00205B31" w:rsidRDefault="00794876" w:rsidP="006D564C">
      <w:pPr>
        <w:jc w:val="both"/>
        <w:rPr>
          <w:rFonts w:ascii="Arial" w:hAnsi="Arial" w:cs="Arial"/>
          <w:color w:val="212529"/>
          <w:sz w:val="22"/>
          <w:szCs w:val="22"/>
          <w:shd w:val="clear" w:color="auto" w:fill="FFFFFF"/>
          <w:lang w:val="en-GB"/>
        </w:rPr>
      </w:pPr>
    </w:p>
    <w:p w14:paraId="3C49AE3D" w14:textId="7788BEAA" w:rsidR="00DF4D51" w:rsidRDefault="007F0D7A"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1AE1CEB" w14:textId="2448E79D" w:rsidR="009B0723" w:rsidRDefault="00794876" w:rsidP="006D564C">
      <w:pPr>
        <w:autoSpaceDE w:val="0"/>
        <w:autoSpaceDN w:val="0"/>
        <w:adjustRightInd w:val="0"/>
        <w:jc w:val="both"/>
        <w:rPr>
          <w:rFonts w:ascii="Arial" w:hAnsi="Arial" w:cs="Arial"/>
          <w:sz w:val="22"/>
          <w:szCs w:val="22"/>
          <w:lang w:val="en-GB"/>
        </w:rPr>
      </w:pPr>
    </w:p>
    <w:p w14:paraId="1BEA3D31" w14:textId="77777777" w:rsidR="0041767C" w:rsidRPr="00205B31" w:rsidRDefault="0041767C" w:rsidP="006D564C">
      <w:pPr>
        <w:autoSpaceDE w:val="0"/>
        <w:autoSpaceDN w:val="0"/>
        <w:adjustRightInd w:val="0"/>
        <w:jc w:val="both"/>
        <w:rPr>
          <w:rFonts w:ascii="Arial" w:hAnsi="Arial" w:cs="Arial"/>
          <w:sz w:val="22"/>
          <w:szCs w:val="22"/>
          <w:lang w:val="en-GB"/>
        </w:rPr>
      </w:pPr>
    </w:p>
    <w:p w14:paraId="3F985D81" w14:textId="77777777" w:rsidR="002F75A3" w:rsidRPr="00205B31" w:rsidRDefault="007F0D7A"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[maximum 7 marks]</w:t>
      </w:r>
      <w:r w:rsidRPr="00205B31">
        <w:rPr>
          <w:rFonts w:ascii="Arial" w:hAnsi="Arial" w:cs="Arial"/>
          <w:sz w:val="22"/>
          <w:szCs w:val="22"/>
          <w:lang w:val="en-GB"/>
        </w:rPr>
        <w:t xml:space="preserve"> </w:t>
      </w:r>
    </w:p>
    <w:p w14:paraId="5347FAB3" w14:textId="77777777" w:rsidR="002F75A3" w:rsidRPr="00205B31" w:rsidRDefault="00794876" w:rsidP="006D564C">
      <w:pPr>
        <w:jc w:val="both"/>
        <w:rPr>
          <w:rFonts w:ascii="Arial" w:hAnsi="Arial" w:cs="Arial"/>
          <w:sz w:val="22"/>
          <w:szCs w:val="22"/>
          <w:lang w:val="en-GB"/>
        </w:rPr>
      </w:pPr>
    </w:p>
    <w:p w14:paraId="0B6980E5" w14:textId="77777777" w:rsidR="00EC549E" w:rsidRPr="00205B31" w:rsidRDefault="007F0D7A" w:rsidP="006D564C">
      <w:pPr>
        <w:jc w:val="both"/>
        <w:rPr>
          <w:rFonts w:ascii="Arial" w:hAnsi="Arial" w:cs="Arial"/>
          <w:sz w:val="22"/>
          <w:szCs w:val="22"/>
          <w:lang w:val="en-GB"/>
        </w:rPr>
      </w:pPr>
      <w:r w:rsidRPr="00205B31">
        <w:rPr>
          <w:rFonts w:ascii="Arial" w:hAnsi="Arial" w:cs="Arial"/>
          <w:sz w:val="22"/>
          <w:szCs w:val="22"/>
          <w:lang w:val="en-GB"/>
        </w:rPr>
        <w:t>An insolvency proceeding against Rydell was opened in the UK by a minor creditor on 18 June 2020. A month later, Fernz was considering also opening proceedings in another country in Europe which was a member of the European Union.</w:t>
      </w:r>
    </w:p>
    <w:p w14:paraId="698278D4" w14:textId="77777777" w:rsidR="00EC549E" w:rsidRPr="00205B31" w:rsidRDefault="00794876" w:rsidP="006D564C">
      <w:pPr>
        <w:jc w:val="both"/>
        <w:rPr>
          <w:rFonts w:ascii="Arial" w:hAnsi="Arial" w:cs="Arial"/>
          <w:sz w:val="22"/>
          <w:szCs w:val="22"/>
          <w:lang w:val="en-GB"/>
        </w:rPr>
      </w:pPr>
    </w:p>
    <w:p w14:paraId="4D623A3A" w14:textId="77777777" w:rsidR="00EC549E" w:rsidRPr="00205B31" w:rsidRDefault="007F0D7A"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 if any, you might require to fully consider this question.</w:t>
      </w:r>
    </w:p>
    <w:p w14:paraId="4C609B69" w14:textId="77777777" w:rsidR="00BA1648" w:rsidRPr="00205B31" w:rsidRDefault="00794876" w:rsidP="006D564C">
      <w:pPr>
        <w:jc w:val="both"/>
        <w:rPr>
          <w:rFonts w:ascii="Arial" w:hAnsi="Arial" w:cs="Arial"/>
          <w:sz w:val="22"/>
          <w:szCs w:val="22"/>
          <w:lang w:val="en-GB"/>
        </w:rPr>
      </w:pPr>
    </w:p>
    <w:p w14:paraId="3136EAE7" w14:textId="34EF3E2C" w:rsidR="00CC7B64" w:rsidRPr="00CC7B64" w:rsidRDefault="007F0D7A" w:rsidP="00CC7B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 first question relevant to this situation is whether the</w:t>
      </w:r>
      <w:r w:rsidRPr="00C33B97">
        <w:rPr>
          <w:rFonts w:ascii="Arial" w:hAnsi="Arial" w:cs="Arial"/>
          <w:color w:val="7B7B7B" w:themeColor="accent3" w:themeShade="BF"/>
          <w:sz w:val="22"/>
          <w:szCs w:val="22"/>
          <w:lang w:val="en-GB"/>
        </w:rPr>
        <w:t xml:space="preserve"> European Insolvency Regulation Recast (the "</w:t>
      </w:r>
      <w:r w:rsidRPr="00C33B97">
        <w:rPr>
          <w:rFonts w:ascii="Arial" w:hAnsi="Arial" w:cs="Arial"/>
          <w:b/>
          <w:color w:val="7B7B7B" w:themeColor="accent3" w:themeShade="BF"/>
          <w:sz w:val="22"/>
          <w:szCs w:val="22"/>
          <w:lang w:val="en-GB"/>
        </w:rPr>
        <w:t>Recast Regulation</w:t>
      </w:r>
      <w:r>
        <w:rPr>
          <w:rFonts w:ascii="Arial" w:hAnsi="Arial" w:cs="Arial"/>
          <w:color w:val="7B7B7B" w:themeColor="accent3" w:themeShade="BF"/>
          <w:sz w:val="22"/>
          <w:szCs w:val="22"/>
          <w:lang w:val="en-GB"/>
        </w:rPr>
        <w:t>") applies.</w:t>
      </w:r>
      <w:r>
        <w:rPr>
          <w:rFonts w:ascii="Arial" w:hAnsi="Arial" w:cs="Arial"/>
          <w:color w:val="7B7B7B" w:themeColor="accent3" w:themeShade="BF"/>
          <w:sz w:val="22"/>
          <w:szCs w:val="22"/>
        </w:rPr>
        <w:t xml:space="preserve"> On 31 December 2020, the UK ceased to be a Member State of the European </w:t>
      </w:r>
      <w:r w:rsidR="0041767C">
        <w:rPr>
          <w:rFonts w:ascii="Arial" w:hAnsi="Arial" w:cs="Arial"/>
          <w:color w:val="7B7B7B" w:themeColor="accent3" w:themeShade="BF"/>
          <w:sz w:val="22"/>
          <w:szCs w:val="22"/>
        </w:rPr>
        <w:t xml:space="preserve">Union </w:t>
      </w:r>
      <w:r>
        <w:rPr>
          <w:rFonts w:ascii="Arial" w:hAnsi="Arial" w:cs="Arial"/>
          <w:color w:val="7B7B7B" w:themeColor="accent3" w:themeShade="BF"/>
          <w:sz w:val="22"/>
          <w:szCs w:val="22"/>
        </w:rPr>
        <w:t xml:space="preserve">and the </w:t>
      </w:r>
      <w:r>
        <w:rPr>
          <w:rFonts w:ascii="Arial" w:hAnsi="Arial" w:cs="Arial"/>
          <w:color w:val="7B7B7B" w:themeColor="accent3" w:themeShade="BF"/>
          <w:sz w:val="22"/>
          <w:szCs w:val="22"/>
          <w:lang w:val="en-GB"/>
        </w:rPr>
        <w:t xml:space="preserve">Recast Regulation ceased to apply in the UK. In the abovementioned case, the main proceedings were begun in June 2020 which was during the transition period for Brexit and during which time </w:t>
      </w:r>
      <w:r>
        <w:rPr>
          <w:rFonts w:ascii="Arial" w:hAnsi="Arial" w:cs="Arial"/>
          <w:color w:val="7B7B7B" w:themeColor="accent3" w:themeShade="BF"/>
          <w:sz w:val="22"/>
          <w:szCs w:val="22"/>
        </w:rPr>
        <w:t xml:space="preserve">the UK was treated for most purposes as if it were still an EU member state, and most EU law continued to apply to the UK </w:t>
      </w:r>
      <w:r>
        <w:rPr>
          <w:rFonts w:ascii="Arial" w:hAnsi="Arial" w:cs="Arial"/>
          <w:color w:val="7B7B7B" w:themeColor="accent3" w:themeShade="BF"/>
          <w:sz w:val="22"/>
          <w:szCs w:val="22"/>
        </w:rPr>
        <w:lastRenderedPageBreak/>
        <w:t>(the "</w:t>
      </w:r>
      <w:r w:rsidRPr="00F46B85">
        <w:rPr>
          <w:rFonts w:ascii="Arial" w:hAnsi="Arial" w:cs="Arial"/>
          <w:b/>
          <w:color w:val="7B7B7B" w:themeColor="accent3" w:themeShade="BF"/>
          <w:sz w:val="22"/>
          <w:szCs w:val="22"/>
        </w:rPr>
        <w:t>Transition Period</w:t>
      </w:r>
      <w:r>
        <w:rPr>
          <w:rFonts w:ascii="Arial" w:hAnsi="Arial" w:cs="Arial"/>
          <w:color w:val="7B7B7B" w:themeColor="accent3" w:themeShade="BF"/>
          <w:sz w:val="22"/>
          <w:szCs w:val="22"/>
        </w:rPr>
        <w:t>").</w:t>
      </w:r>
      <w:r w:rsidRPr="00F46B85">
        <w:rPr>
          <w:rFonts w:ascii="Arial" w:hAnsi="Arial" w:cs="Arial"/>
          <w:color w:val="7B7B7B" w:themeColor="accent3" w:themeShade="BF"/>
          <w:sz w:val="22"/>
          <w:szCs w:val="22"/>
          <w:lang w:val="en-GB"/>
        </w:rPr>
        <w:t xml:space="preserve"> Accordingly, the Recast Regulation was still applicable to insolvency proceedings opened in the UK at the time that the minor creditor opened insolvency proceedings in</w:t>
      </w:r>
      <w:r w:rsidR="0041767C">
        <w:rPr>
          <w:rFonts w:ascii="Arial" w:hAnsi="Arial" w:cs="Arial"/>
          <w:color w:val="7B7B7B" w:themeColor="accent3" w:themeShade="BF"/>
          <w:sz w:val="22"/>
          <w:szCs w:val="22"/>
          <w:lang w:val="en-GB"/>
        </w:rPr>
        <w:t xml:space="preserve"> the</w:t>
      </w:r>
      <w:r w:rsidRPr="00F46B85">
        <w:rPr>
          <w:rFonts w:ascii="Arial" w:hAnsi="Arial" w:cs="Arial"/>
          <w:color w:val="7B7B7B" w:themeColor="accent3" w:themeShade="BF"/>
          <w:sz w:val="22"/>
          <w:szCs w:val="22"/>
          <w:lang w:val="en-GB"/>
        </w:rPr>
        <w:t xml:space="preserve"> UK against Rydell. The Recast Regulation was imported into English law by the European Union Withdrawal Act 2018 at the end of the transition period.</w:t>
      </w:r>
      <w:r>
        <w:rPr>
          <w:rFonts w:ascii="Arial" w:hAnsi="Arial" w:cs="Arial"/>
          <w:color w:val="7B7B7B" w:themeColor="accent3" w:themeShade="BF"/>
          <w:sz w:val="22"/>
          <w:szCs w:val="22"/>
          <w:vertAlign w:val="superscript"/>
          <w:lang w:val="en-GB"/>
        </w:rPr>
        <w:footnoteReference w:id="15"/>
      </w:r>
    </w:p>
    <w:p w14:paraId="22DE7F01" w14:textId="77777777" w:rsidR="00CC7B64" w:rsidRPr="00CC7B64" w:rsidRDefault="00794876" w:rsidP="00CC7B64">
      <w:pPr>
        <w:jc w:val="both"/>
        <w:rPr>
          <w:rFonts w:ascii="Arial" w:hAnsi="Arial" w:cs="Arial"/>
          <w:color w:val="7B7B7B" w:themeColor="accent3" w:themeShade="BF"/>
          <w:sz w:val="22"/>
          <w:szCs w:val="22"/>
          <w:lang w:val="en-GB"/>
        </w:rPr>
      </w:pPr>
    </w:p>
    <w:p w14:paraId="4CBB1018" w14:textId="77777777" w:rsidR="0043733B" w:rsidRDefault="007F0D7A" w:rsidP="00B719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Now that it has been ascertained the Recast Regulation applies, the second question is how it applies and it is relevant to look at the </w:t>
      </w:r>
      <w:r w:rsidRPr="00F33331">
        <w:rPr>
          <w:rFonts w:ascii="Arial" w:hAnsi="Arial" w:cs="Arial"/>
          <w:color w:val="7B7B7B" w:themeColor="accent3" w:themeShade="BF"/>
          <w:sz w:val="22"/>
          <w:szCs w:val="22"/>
          <w:lang w:val="en-GB"/>
        </w:rPr>
        <w:t>company’s centre of main interests is ("</w:t>
      </w:r>
      <w:r w:rsidRPr="00467D26">
        <w:rPr>
          <w:rFonts w:ascii="Arial" w:hAnsi="Arial" w:cs="Arial"/>
          <w:b/>
          <w:color w:val="7B7B7B" w:themeColor="accent3" w:themeShade="BF"/>
          <w:sz w:val="22"/>
          <w:szCs w:val="22"/>
          <w:lang w:val="en-GB"/>
        </w:rPr>
        <w:t>COMI</w:t>
      </w:r>
      <w:r>
        <w:rPr>
          <w:rFonts w:ascii="Arial" w:hAnsi="Arial" w:cs="Arial"/>
          <w:color w:val="7B7B7B" w:themeColor="accent3" w:themeShade="BF"/>
          <w:sz w:val="22"/>
          <w:szCs w:val="22"/>
          <w:lang w:val="en-GB"/>
        </w:rPr>
        <w:t xml:space="preserve">"). The </w:t>
      </w:r>
      <w:r w:rsidRPr="0043733B">
        <w:rPr>
          <w:rFonts w:ascii="Arial" w:hAnsi="Arial" w:cs="Arial"/>
          <w:color w:val="7B7B7B" w:themeColor="accent3" w:themeShade="BF"/>
          <w:sz w:val="22"/>
          <w:szCs w:val="22"/>
        </w:rPr>
        <w:t>Recast Regulation defines COMI as the place where the debtor conducts the administration of his interests on a regular basis and which is ascertainable by third parties. The Recast Regulation contains a presumption that the jurisdiction of a company’s registered office is the jurisdiction of its COMI and that in order to rely on this presumption, the registered office must have been located in the same Member State for at least three months before the opening of proceedings, which should be ascertainable by a third party.</w:t>
      </w:r>
      <w:r>
        <w:rPr>
          <w:rStyle w:val="FootnoteReference"/>
          <w:rFonts w:ascii="Arial" w:hAnsi="Arial" w:cs="Arial"/>
          <w:color w:val="7B7B7B" w:themeColor="accent3" w:themeShade="BF"/>
          <w:sz w:val="22"/>
          <w:szCs w:val="22"/>
        </w:rPr>
        <w:footnoteReference w:id="16"/>
      </w:r>
      <w:r>
        <w:rPr>
          <w:rFonts w:ascii="Arial" w:hAnsi="Arial" w:cs="Arial"/>
          <w:color w:val="7B7B7B" w:themeColor="accent3" w:themeShade="BF"/>
          <w:sz w:val="22"/>
          <w:szCs w:val="22"/>
        </w:rPr>
        <w:t xml:space="preserve"> In this case Rydell's COMI is said to be in the UK, presumably because it's incorporated in the UK and has its main seat of administration at its offices in the UK.</w:t>
      </w:r>
    </w:p>
    <w:p w14:paraId="3F65548A" w14:textId="77777777" w:rsidR="0043733B" w:rsidRDefault="00794876" w:rsidP="00B7193E">
      <w:pPr>
        <w:jc w:val="both"/>
        <w:rPr>
          <w:rFonts w:ascii="Arial" w:hAnsi="Arial" w:cs="Arial"/>
          <w:color w:val="7B7B7B" w:themeColor="accent3" w:themeShade="BF"/>
          <w:sz w:val="22"/>
          <w:szCs w:val="22"/>
        </w:rPr>
      </w:pPr>
    </w:p>
    <w:p w14:paraId="2D691A96" w14:textId="5930FE1E" w:rsidR="00DA49B9" w:rsidRDefault="007F0D7A" w:rsidP="00DA49B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a debtor’s COMI is located in one EU Member State, insolvency proceedings can be opened in another EU Member State, if the debtor has an "</w:t>
      </w:r>
      <w:r w:rsidRPr="00467D26">
        <w:rPr>
          <w:rFonts w:ascii="Arial" w:hAnsi="Arial" w:cs="Arial"/>
          <w:i/>
          <w:iCs/>
          <w:color w:val="7B7B7B" w:themeColor="accent3" w:themeShade="BF"/>
          <w:sz w:val="22"/>
          <w:szCs w:val="22"/>
        </w:rPr>
        <w:t>establishment</w:t>
      </w:r>
      <w:r w:rsidRPr="00467D26">
        <w:rPr>
          <w:rFonts w:ascii="Arial" w:hAnsi="Arial" w:cs="Arial"/>
          <w:color w:val="7B7B7B" w:themeColor="accent3" w:themeShade="BF"/>
          <w:sz w:val="22"/>
          <w:szCs w:val="22"/>
        </w:rPr>
        <w:t>" there.</w:t>
      </w:r>
      <w:r>
        <w:rPr>
          <w:rStyle w:val="FootnoteReference"/>
          <w:rFonts w:ascii="Arial" w:hAnsi="Arial" w:cs="Arial"/>
          <w:color w:val="7B7B7B" w:themeColor="accent3" w:themeShade="BF"/>
          <w:sz w:val="22"/>
          <w:szCs w:val="22"/>
        </w:rPr>
        <w:footnoteReference w:id="17"/>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GB"/>
        </w:rPr>
        <w:t>Establishment is defined as a place of operations where the debtor carries out, or has carried out in the three months before the main insolvency proceedings, "a non-transitory economic activity with human means and assets".</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Following this definition </w:t>
      </w:r>
      <w:r w:rsidRPr="0043733B">
        <w:rPr>
          <w:rFonts w:ascii="Arial" w:hAnsi="Arial" w:cs="Arial"/>
          <w:color w:val="7B7B7B" w:themeColor="accent3" w:themeShade="BF"/>
          <w:sz w:val="22"/>
          <w:szCs w:val="22"/>
        </w:rPr>
        <w:t>under the Recast Regulation, practically, this means that secondary proceedings may be opened in a Member State either where a company has an establishment in that jurisdiction or where a company no longer has an establishment provided that the company had an establishment in that jurisdiction at the time the main proceedings were opened and establishment cannot be created after main proceedings have been opened.</w:t>
      </w:r>
      <w:r>
        <w:rPr>
          <w:rStyle w:val="FootnoteReference"/>
          <w:rFonts w:ascii="Arial" w:hAnsi="Arial" w:cs="Arial"/>
          <w:color w:val="7B7B7B" w:themeColor="accent3" w:themeShade="BF"/>
          <w:sz w:val="22"/>
          <w:szCs w:val="22"/>
        </w:rPr>
        <w:footnoteReference w:id="19"/>
      </w:r>
      <w:r>
        <w:rPr>
          <w:rFonts w:ascii="Arial" w:hAnsi="Arial" w:cs="Arial"/>
          <w:color w:val="7B7B7B" w:themeColor="accent3" w:themeShade="BF"/>
          <w:sz w:val="22"/>
          <w:szCs w:val="22"/>
        </w:rPr>
        <w:t xml:space="preserve"> With this in mind, Fernz will be able to open secondary proceedings against Rydell in another EU Member State so long as it can prove that Rydell has an establishment in that State. To assess whether this is the case, Fernz would have to act quickly as this can only be assessed within 3 months following the institution of the main proceedings in the UK. </w:t>
      </w:r>
      <w:r w:rsidR="007907F8">
        <w:rPr>
          <w:rFonts w:ascii="Arial" w:hAnsi="Arial" w:cs="Arial"/>
          <w:color w:val="7B7B7B" w:themeColor="accent3" w:themeShade="BF"/>
          <w:sz w:val="22"/>
          <w:szCs w:val="22"/>
        </w:rPr>
        <w:t>F</w:t>
      </w:r>
      <w:r>
        <w:rPr>
          <w:rFonts w:ascii="Arial" w:hAnsi="Arial" w:cs="Arial"/>
          <w:color w:val="7B7B7B" w:themeColor="accent3" w:themeShade="BF"/>
          <w:sz w:val="22"/>
          <w:szCs w:val="22"/>
        </w:rPr>
        <w:t>urther information in respect of Rydell's business dealings, the debts owed to the various creditors, and the various factors to determine wh</w:t>
      </w:r>
      <w:r w:rsidR="007907F8">
        <w:rPr>
          <w:rFonts w:ascii="Arial" w:hAnsi="Arial" w:cs="Arial"/>
          <w:color w:val="7B7B7B" w:themeColor="accent3" w:themeShade="BF"/>
          <w:sz w:val="22"/>
          <w:szCs w:val="22"/>
        </w:rPr>
        <w:t>e</w:t>
      </w:r>
      <w:r>
        <w:rPr>
          <w:rFonts w:ascii="Arial" w:hAnsi="Arial" w:cs="Arial"/>
          <w:color w:val="7B7B7B" w:themeColor="accent3" w:themeShade="BF"/>
          <w:sz w:val="22"/>
          <w:szCs w:val="22"/>
        </w:rPr>
        <w:t xml:space="preserve">ther Rydell carried out </w:t>
      </w:r>
      <w:r>
        <w:rPr>
          <w:rFonts w:ascii="Arial" w:hAnsi="Arial" w:cs="Arial"/>
          <w:color w:val="7B7B7B" w:themeColor="accent3" w:themeShade="BF"/>
          <w:sz w:val="22"/>
          <w:szCs w:val="22"/>
          <w:lang w:val="en-GB"/>
        </w:rPr>
        <w:t xml:space="preserve">a non-transitory economic activity with human means and assets in that Member State. Case law would need to be looked at in this regard (e.g. cases such as </w:t>
      </w:r>
      <w:r w:rsidRPr="00F46B85">
        <w:rPr>
          <w:rFonts w:ascii="Arial" w:hAnsi="Arial" w:cs="Arial"/>
          <w:i/>
          <w:color w:val="7B7B7B" w:themeColor="accent3" w:themeShade="BF"/>
          <w:sz w:val="22"/>
          <w:szCs w:val="22"/>
          <w:lang w:val="en-GB"/>
        </w:rPr>
        <w:t>I</w:t>
      </w:r>
      <w:r w:rsidRPr="00F46B85">
        <w:rPr>
          <w:rFonts w:ascii="Arial" w:hAnsi="Arial" w:cs="Arial"/>
          <w:i/>
          <w:color w:val="7B7B7B" w:themeColor="accent3" w:themeShade="BF"/>
          <w:sz w:val="22"/>
          <w:szCs w:val="22"/>
        </w:rPr>
        <w:t>nteredil Srl (in liquidation) v Fallimento Interedil Srl</w:t>
      </w:r>
      <w:r>
        <w:rPr>
          <w:rFonts w:ascii="Arial" w:hAnsi="Arial" w:cs="Arial"/>
          <w:color w:val="7B7B7B" w:themeColor="accent3" w:themeShade="BF"/>
          <w:sz w:val="22"/>
          <w:szCs w:val="22"/>
        </w:rPr>
        <w:t xml:space="preserve"> and </w:t>
      </w:r>
      <w:r>
        <w:rPr>
          <w:rFonts w:ascii="Arial" w:hAnsi="Arial" w:cs="Arial"/>
          <w:i/>
          <w:color w:val="7B7B7B" w:themeColor="accent3" w:themeShade="BF"/>
          <w:sz w:val="22"/>
          <w:szCs w:val="22"/>
        </w:rPr>
        <w:t xml:space="preserve">Trillium (Nelson) Properties Limited v Office Metro Limited </w:t>
      </w:r>
      <w:r>
        <w:rPr>
          <w:rFonts w:ascii="Arial" w:hAnsi="Arial" w:cs="Arial"/>
          <w:color w:val="7B7B7B" w:themeColor="accent3" w:themeShade="BF"/>
          <w:sz w:val="22"/>
          <w:szCs w:val="22"/>
        </w:rPr>
        <w:t xml:space="preserve">may be referred to where this concept was fleshed out). </w:t>
      </w:r>
    </w:p>
    <w:p w14:paraId="342DA7E9" w14:textId="77777777" w:rsidR="00221026" w:rsidRDefault="00794876" w:rsidP="00DA49B9">
      <w:pPr>
        <w:jc w:val="both"/>
        <w:rPr>
          <w:rFonts w:ascii="Arial" w:hAnsi="Arial" w:cs="Arial"/>
          <w:color w:val="7B7B7B" w:themeColor="accent3" w:themeShade="BF"/>
          <w:sz w:val="22"/>
          <w:szCs w:val="22"/>
        </w:rPr>
      </w:pPr>
    </w:p>
    <w:p w14:paraId="568F710E" w14:textId="38C5A75C" w:rsidR="00AA0DAD" w:rsidRDefault="007F0D7A" w:rsidP="00DA49B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From the above it is clear that the Recast Regulation would apply to Rydell</w:t>
      </w:r>
      <w:r w:rsidR="007907F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as Rydell's COMI is in the UK </w:t>
      </w:r>
      <w:r w:rsidR="007907F8">
        <w:rPr>
          <w:rFonts w:ascii="Arial" w:hAnsi="Arial" w:cs="Arial"/>
          <w:color w:val="7B7B7B" w:themeColor="accent3" w:themeShade="BF"/>
          <w:sz w:val="22"/>
          <w:szCs w:val="22"/>
        </w:rPr>
        <w:t xml:space="preserve">which </w:t>
      </w:r>
      <w:r>
        <w:rPr>
          <w:rFonts w:ascii="Arial" w:hAnsi="Arial" w:cs="Arial"/>
          <w:color w:val="7B7B7B" w:themeColor="accent3" w:themeShade="BF"/>
          <w:sz w:val="22"/>
          <w:szCs w:val="22"/>
        </w:rPr>
        <w:t xml:space="preserve">means the main proceedings will be those begun in the UK by the </w:t>
      </w:r>
      <w:r w:rsidR="007907F8">
        <w:rPr>
          <w:rFonts w:ascii="Arial" w:hAnsi="Arial" w:cs="Arial"/>
          <w:color w:val="7B7B7B" w:themeColor="accent3" w:themeShade="BF"/>
          <w:sz w:val="22"/>
          <w:szCs w:val="22"/>
        </w:rPr>
        <w:t>m</w:t>
      </w:r>
      <w:r>
        <w:rPr>
          <w:rFonts w:ascii="Arial" w:hAnsi="Arial" w:cs="Arial"/>
          <w:color w:val="7B7B7B" w:themeColor="accent3" w:themeShade="BF"/>
          <w:sz w:val="22"/>
          <w:szCs w:val="22"/>
        </w:rPr>
        <w:t>inor creditor on 18 June 2020. Practically this means:</w:t>
      </w:r>
    </w:p>
    <w:p w14:paraId="57F11700" w14:textId="77777777" w:rsidR="00AA0DAD" w:rsidRPr="00AA0DAD" w:rsidRDefault="007F0D7A" w:rsidP="00AA0DAD">
      <w:pPr>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proceedings will be recognised as the main proceedings in all other member states and will produce the same effects in all other member states as in the UK where the main proceedings are opened in Rydell's case;</w:t>
      </w:r>
      <w:r>
        <w:rPr>
          <w:rStyle w:val="FootnoteReference"/>
          <w:rFonts w:ascii="Arial" w:hAnsi="Arial" w:cs="Arial"/>
          <w:color w:val="7B7B7B" w:themeColor="accent3" w:themeShade="BF"/>
          <w:sz w:val="22"/>
          <w:szCs w:val="22"/>
          <w:lang w:val="en-GB"/>
        </w:rPr>
        <w:footnoteReference w:id="20"/>
      </w:r>
    </w:p>
    <w:p w14:paraId="570C50F0" w14:textId="77777777" w:rsidR="00AA0DAD" w:rsidRPr="00AA0DAD" w:rsidRDefault="007F0D7A" w:rsidP="00AA0DAD">
      <w:pPr>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that the UK's insolvency laws will apply generally to the conduct of the insolvency in the absence of local proceedings in any particular Member State, where allowed;</w:t>
      </w:r>
      <w:r>
        <w:rPr>
          <w:rStyle w:val="FootnoteReference"/>
          <w:rFonts w:ascii="Arial" w:hAnsi="Arial" w:cs="Arial"/>
          <w:color w:val="7B7B7B" w:themeColor="accent3" w:themeShade="BF"/>
          <w:sz w:val="22"/>
          <w:szCs w:val="22"/>
          <w:lang w:val="en-GB"/>
        </w:rPr>
        <w:footnoteReference w:id="21"/>
      </w:r>
    </w:p>
    <w:p w14:paraId="0E89DD49" w14:textId="3D991A11" w:rsidR="00AA0DAD" w:rsidRPr="00AA0DAD" w:rsidRDefault="007F0D7A" w:rsidP="00AA0DAD">
      <w:pPr>
        <w:numPr>
          <w:ilvl w:val="0"/>
          <w:numId w:val="25"/>
        </w:numPr>
        <w:jc w:val="both"/>
        <w:rPr>
          <w:rFonts w:ascii="Arial" w:hAnsi="Arial" w:cs="Arial"/>
          <w:color w:val="7B7B7B" w:themeColor="accent3" w:themeShade="BF"/>
          <w:sz w:val="22"/>
          <w:szCs w:val="22"/>
          <w:lang w:val="en-GB"/>
        </w:rPr>
      </w:pPr>
      <w:r w:rsidRPr="00AA0DAD">
        <w:rPr>
          <w:rFonts w:ascii="Arial" w:hAnsi="Arial" w:cs="Arial"/>
          <w:color w:val="7B7B7B" w:themeColor="accent3" w:themeShade="BF"/>
          <w:sz w:val="22"/>
          <w:szCs w:val="22"/>
          <w:lang w:val="en-GB"/>
        </w:rPr>
        <w:t>that the secondary proceedings opened later by Fernz in another Member State will be restricted to the assets of Rydell located in that other Member State.</w:t>
      </w:r>
      <w:r w:rsidR="00794876">
        <w:rPr>
          <w:rStyle w:val="FootnoteReference"/>
          <w:rFonts w:ascii="Arial" w:hAnsi="Arial" w:cs="Arial"/>
          <w:color w:val="7B7B7B" w:themeColor="accent3" w:themeShade="BF"/>
          <w:sz w:val="22"/>
          <w:szCs w:val="22"/>
          <w:lang w:val="en-GB"/>
        </w:rPr>
        <w:footnoteReference w:id="22"/>
      </w:r>
      <w:r w:rsidRPr="00AA0DAD">
        <w:rPr>
          <w:rFonts w:ascii="Arial" w:hAnsi="Arial" w:cs="Arial"/>
          <w:color w:val="7B7B7B" w:themeColor="accent3" w:themeShade="BF"/>
          <w:sz w:val="22"/>
          <w:szCs w:val="22"/>
          <w:lang w:val="en-GB"/>
        </w:rPr>
        <w:t xml:space="preserve"> </w:t>
      </w:r>
    </w:p>
    <w:p w14:paraId="59FAE1AE" w14:textId="77777777" w:rsidR="00221026" w:rsidRPr="00F46B85" w:rsidRDefault="007F0D7A" w:rsidP="00DA49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 </w:t>
      </w:r>
    </w:p>
    <w:p w14:paraId="7964C5F6" w14:textId="6ECDA345" w:rsidR="005F453F" w:rsidRPr="00205B31" w:rsidRDefault="00794876" w:rsidP="00B7193E">
      <w:pPr>
        <w:jc w:val="both"/>
        <w:rPr>
          <w:rFonts w:ascii="Arial" w:hAnsi="Arial" w:cs="Arial"/>
          <w:color w:val="7B7B7B"/>
          <w:sz w:val="22"/>
          <w:szCs w:val="22"/>
          <w:lang w:val="en-GB"/>
        </w:rPr>
      </w:pPr>
    </w:p>
    <w:p w14:paraId="2A0B5B3D" w14:textId="77777777" w:rsidR="002F75A3" w:rsidRPr="00205B31" w:rsidRDefault="007F0D7A"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4.2 [maximum 3 marks] </w:t>
      </w:r>
    </w:p>
    <w:p w14:paraId="10B80A28" w14:textId="77777777" w:rsidR="002F75A3" w:rsidRPr="00205B31" w:rsidRDefault="00794876" w:rsidP="00B7193E">
      <w:pPr>
        <w:jc w:val="both"/>
        <w:rPr>
          <w:rFonts w:ascii="Arial" w:hAnsi="Arial" w:cs="Arial"/>
          <w:b/>
          <w:bCs/>
          <w:sz w:val="22"/>
          <w:szCs w:val="22"/>
          <w:lang w:val="en-GB"/>
        </w:rPr>
      </w:pPr>
    </w:p>
    <w:p w14:paraId="7F6A4F95" w14:textId="77777777" w:rsidR="005A2152" w:rsidRPr="00205B31" w:rsidRDefault="007F0D7A" w:rsidP="00C45A03">
      <w:pPr>
        <w:jc w:val="both"/>
        <w:rPr>
          <w:rFonts w:ascii="Arial" w:hAnsi="Arial" w:cs="Arial"/>
          <w:sz w:val="22"/>
          <w:szCs w:val="22"/>
          <w:lang w:val="en-GB"/>
        </w:rPr>
      </w:pPr>
      <w:r w:rsidRPr="00205B31">
        <w:rPr>
          <w:rFonts w:ascii="Arial" w:hAnsi="Arial" w:cs="Arial"/>
          <w:sz w:val="22"/>
          <w:szCs w:val="22"/>
          <w:lang w:val="en-GB"/>
        </w:rPr>
        <w:t>How would your answer to 4.1 differ if the proceedings were opened in the UK on 18 June 2021 instead of 18 June 2020? Also note what further information, if any, might become relevant.</w:t>
      </w:r>
    </w:p>
    <w:p w14:paraId="2C7C0A08" w14:textId="77777777" w:rsidR="00015EE6" w:rsidRDefault="007F0D7A"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w:t>
      </w:r>
      <w:r>
        <w:rPr>
          <w:rFonts w:ascii="Arial" w:hAnsi="Arial" w:cs="Arial"/>
          <w:color w:val="7B7B7B" w:themeColor="accent3" w:themeShade="BF"/>
          <w:sz w:val="22"/>
          <w:szCs w:val="22"/>
        </w:rPr>
        <w:t xml:space="preserve">European Union (Withdrawal Agreement) Act 2020, at the end of the Transition Period (as defined in Question 4.1 above), the Recast Regulation will continue to apply to insolvency proceedings in the UK so long as main proceedings were opened before the end of the Transition Period. In this set of facts however, the main proceedings are opened after the Transition </w:t>
      </w:r>
      <w:r w:rsidRPr="00F46B85">
        <w:rPr>
          <w:rFonts w:ascii="Arial" w:hAnsi="Arial" w:cs="Arial"/>
          <w:color w:val="7B7B7B" w:themeColor="accent3" w:themeShade="BF"/>
          <w:sz w:val="22"/>
          <w:szCs w:val="22"/>
          <w:lang w:val="en-GB"/>
        </w:rPr>
        <w:t>Period</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GB"/>
        </w:rPr>
        <w:t xml:space="preserve">(on 18 June 2021 instead of 18 June 2020). This means that the Recast Regulation will not apply directly as per the answer in question 4.2. The effect of this is that </w:t>
      </w:r>
      <w:r w:rsidRPr="00E7007B">
        <w:rPr>
          <w:rFonts w:ascii="Arial" w:hAnsi="Arial" w:cs="Arial"/>
          <w:color w:val="7B7B7B" w:themeColor="accent3" w:themeShade="BF"/>
          <w:sz w:val="22"/>
          <w:szCs w:val="22"/>
        </w:rPr>
        <w:t>there will be no EU instrument whereby Member States of the EU will be able or even obliged to apply the Recast Regulation's terms to UK insolvency proceedings. The automatic recognition which the Recast Regulation provides for in relation to insolvency proceedings, applicable law and insolvency officeholder status will no longer apply as between the UK and the EU.</w:t>
      </w:r>
      <w:r>
        <w:rPr>
          <w:rStyle w:val="FootnoteReference"/>
          <w:rFonts w:ascii="Arial" w:hAnsi="Arial" w:cs="Arial"/>
          <w:color w:val="7B7B7B" w:themeColor="accent3" w:themeShade="BF"/>
          <w:sz w:val="22"/>
          <w:szCs w:val="22"/>
        </w:rPr>
        <w:footnoteReference w:id="23"/>
      </w:r>
    </w:p>
    <w:p w14:paraId="2D9994F9" w14:textId="77777777" w:rsidR="00E7007B" w:rsidRDefault="00794876" w:rsidP="00C45A03">
      <w:pPr>
        <w:jc w:val="both"/>
        <w:rPr>
          <w:rFonts w:ascii="Arial" w:hAnsi="Arial" w:cs="Arial"/>
          <w:color w:val="7B7B7B" w:themeColor="accent3" w:themeShade="BF"/>
          <w:sz w:val="22"/>
          <w:szCs w:val="22"/>
          <w:lang w:val="en-GB"/>
        </w:rPr>
      </w:pPr>
    </w:p>
    <w:p w14:paraId="77F4D38B" w14:textId="77777777" w:rsidR="00E7007B" w:rsidRDefault="007F0D7A" w:rsidP="00C45A03">
      <w:pPr>
        <w:jc w:val="both"/>
        <w:rPr>
          <w:rFonts w:ascii="Arial" w:hAnsi="Arial" w:cs="Arial"/>
          <w:color w:val="7B7B7B" w:themeColor="accent3" w:themeShade="BF"/>
          <w:sz w:val="22"/>
          <w:szCs w:val="22"/>
          <w:lang w:val="en-GB"/>
        </w:rPr>
      </w:pPr>
      <w:r w:rsidRPr="00E7007B">
        <w:rPr>
          <w:rFonts w:ascii="Arial" w:hAnsi="Arial" w:cs="Arial"/>
          <w:color w:val="7B7B7B" w:themeColor="accent3" w:themeShade="BF"/>
          <w:sz w:val="22"/>
          <w:szCs w:val="22"/>
        </w:rPr>
        <w:t>Due to this lack of mutual recognition between UK and the EU in respect of cross-border insolvencies, the UNCITRAL Model Law on Cross-Border Insolvency (Model Law) (implemented under the Cross-Border Insolvency Regulations 2006 (CBIR) in the UK) appears to be the only solution to facilitate cooperation.</w:t>
      </w:r>
      <w:r>
        <w:rPr>
          <w:rStyle w:val="FootnoteReference"/>
          <w:rFonts w:ascii="Arial" w:hAnsi="Arial" w:cs="Arial"/>
          <w:color w:val="7B7B7B" w:themeColor="accent3" w:themeShade="BF"/>
          <w:sz w:val="22"/>
          <w:szCs w:val="22"/>
        </w:rPr>
        <w:footnoteReference w:id="24"/>
      </w:r>
      <w:r w:rsidRPr="00E7007B">
        <w:rPr>
          <w:rFonts w:ascii="Arial" w:hAnsi="Arial" w:cs="Arial"/>
          <w:color w:val="7B7B7B" w:themeColor="accent3" w:themeShade="BF"/>
          <w:sz w:val="22"/>
          <w:szCs w:val="22"/>
        </w:rPr>
        <w:t xml:space="preserve"> </w:t>
      </w:r>
    </w:p>
    <w:p w14:paraId="579417A7" w14:textId="6EF07412" w:rsidR="00275182" w:rsidRPr="00205B31" w:rsidRDefault="00794876" w:rsidP="00B7193E">
      <w:pPr>
        <w:jc w:val="both"/>
        <w:rPr>
          <w:rFonts w:ascii="Arial" w:hAnsi="Arial" w:cs="Arial"/>
          <w:b/>
          <w:bCs/>
          <w:color w:val="7B7B7B"/>
          <w:sz w:val="22"/>
          <w:szCs w:val="22"/>
          <w:lang w:val="en-GB"/>
        </w:rPr>
      </w:pPr>
    </w:p>
    <w:p w14:paraId="675C4A91" w14:textId="77777777" w:rsidR="00966E44" w:rsidRPr="00205B31" w:rsidRDefault="00794876" w:rsidP="00B7193E">
      <w:pPr>
        <w:jc w:val="both"/>
        <w:rPr>
          <w:rFonts w:ascii="Arial" w:hAnsi="Arial" w:cs="Arial"/>
          <w:b/>
          <w:bCs/>
          <w:color w:val="7B7B7B"/>
          <w:sz w:val="22"/>
          <w:szCs w:val="22"/>
          <w:lang w:val="en-GB"/>
        </w:rPr>
      </w:pPr>
    </w:p>
    <w:p w14:paraId="5AA581E7" w14:textId="77777777" w:rsidR="002D3473" w:rsidRPr="00205B31" w:rsidRDefault="007F0D7A" w:rsidP="00B7193E">
      <w:pPr>
        <w:jc w:val="both"/>
        <w:rPr>
          <w:rFonts w:ascii="Arial" w:hAnsi="Arial" w:cs="Arial"/>
          <w:b/>
          <w:bCs/>
          <w:sz w:val="22"/>
          <w:szCs w:val="22"/>
          <w:lang w:val="en-GB"/>
        </w:rPr>
      </w:pPr>
      <w:r w:rsidRPr="00205B31">
        <w:rPr>
          <w:rFonts w:ascii="Arial" w:hAnsi="Arial" w:cs="Arial"/>
          <w:b/>
          <w:bCs/>
          <w:sz w:val="22"/>
          <w:szCs w:val="22"/>
          <w:lang w:val="en-GB"/>
        </w:rPr>
        <w:t>Question 4.3 [maximum 5 marks]</w:t>
      </w:r>
    </w:p>
    <w:bookmarkEnd w:id="3"/>
    <w:p w14:paraId="1A7563F8" w14:textId="77777777" w:rsidR="00DD4E68" w:rsidRPr="00205B31" w:rsidRDefault="00794876" w:rsidP="00DD4E68">
      <w:pPr>
        <w:jc w:val="both"/>
        <w:rPr>
          <w:rFonts w:ascii="Arial" w:hAnsi="Arial" w:cs="Arial"/>
          <w:sz w:val="22"/>
          <w:szCs w:val="22"/>
          <w:lang w:val="en-GB"/>
        </w:rPr>
      </w:pPr>
    </w:p>
    <w:p w14:paraId="2488EDE6" w14:textId="77777777" w:rsidR="0046142D" w:rsidRDefault="007F0D7A" w:rsidP="0046142D">
      <w:pPr>
        <w:ind w:hanging="11"/>
        <w:jc w:val="both"/>
        <w:rPr>
          <w:rFonts w:ascii="Arial" w:hAnsi="Arial" w:cs="Arial"/>
          <w:sz w:val="22"/>
          <w:szCs w:val="22"/>
          <w:lang w:val="en-GB"/>
        </w:rPr>
      </w:pPr>
      <w:r w:rsidRPr="00205B31">
        <w:rPr>
          <w:rFonts w:ascii="Arial" w:hAnsi="Arial" w:cs="Arial"/>
          <w:sz w:val="22"/>
          <w:szCs w:val="22"/>
          <w:lang w:val="en-GB"/>
        </w:rPr>
        <w:t>Consider an alternative situation now. What if Rydell were unregistered with its COMI in a country in Europe that was a member of the European Union, instead of the UK, and formal insolvency proceedings were opened in the UK on 18 June 2021? What UK domestic laws would be relevant to consider whether the minor creditor could commence those formal insolvency proceedings in the UK?</w:t>
      </w:r>
    </w:p>
    <w:p w14:paraId="341B4B00" w14:textId="77777777" w:rsidR="00463259" w:rsidRPr="00205B31" w:rsidRDefault="00794876" w:rsidP="0046142D">
      <w:pPr>
        <w:ind w:hanging="11"/>
        <w:jc w:val="both"/>
        <w:rPr>
          <w:rFonts w:ascii="Arial" w:hAnsi="Arial" w:cs="Arial"/>
          <w:sz w:val="22"/>
          <w:szCs w:val="22"/>
          <w:lang w:val="en-GB"/>
        </w:rPr>
      </w:pPr>
    </w:p>
    <w:p w14:paraId="01AB1794" w14:textId="77777777" w:rsidR="000C72C4" w:rsidRDefault="000C72C4" w:rsidP="000C72C4">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Pr="004C2F3E">
        <w:rPr>
          <w:rFonts w:ascii="Arial" w:hAnsi="Arial" w:cs="Arial"/>
          <w:color w:val="7B7B7B" w:themeColor="accent3" w:themeShade="BF"/>
          <w:sz w:val="22"/>
          <w:szCs w:val="22"/>
          <w:lang w:val="en-GB"/>
        </w:rPr>
        <w:t xml:space="preserve"> </w:t>
      </w:r>
      <w:r w:rsidRPr="004C2F3E">
        <w:rPr>
          <w:rFonts w:ascii="Arial" w:hAnsi="Arial" w:cs="Arial"/>
          <w:color w:val="7B7B7B" w:themeColor="accent3" w:themeShade="BF"/>
          <w:sz w:val="22"/>
          <w:szCs w:val="22"/>
        </w:rPr>
        <w:t>European Union (Withdrawal Agreement) Act 2020</w:t>
      </w:r>
      <w:r>
        <w:rPr>
          <w:rFonts w:ascii="Arial" w:hAnsi="Arial" w:cs="Arial"/>
          <w:color w:val="7B7B7B" w:themeColor="accent3" w:themeShade="BF"/>
          <w:sz w:val="22"/>
          <w:szCs w:val="22"/>
        </w:rPr>
        <w:t xml:space="preserve"> (the "</w:t>
      </w:r>
      <w:r w:rsidRPr="0089795B">
        <w:rPr>
          <w:rFonts w:ascii="Arial" w:hAnsi="Arial" w:cs="Arial"/>
          <w:b/>
          <w:color w:val="7B7B7B" w:themeColor="accent3" w:themeShade="BF"/>
          <w:sz w:val="22"/>
          <w:szCs w:val="22"/>
        </w:rPr>
        <w:t>Withdrawal Agreement</w:t>
      </w:r>
      <w:r>
        <w:rPr>
          <w:rFonts w:ascii="Arial" w:hAnsi="Arial" w:cs="Arial"/>
          <w:color w:val="7B7B7B" w:themeColor="accent3" w:themeShade="BF"/>
          <w:sz w:val="22"/>
          <w:szCs w:val="22"/>
        </w:rPr>
        <w:t>")</w:t>
      </w:r>
      <w:r w:rsidRPr="004C2F3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provides that</w:t>
      </w:r>
      <w:r w:rsidRPr="008979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Recast Regulation </w:t>
      </w:r>
      <w:r w:rsidRPr="0089795B">
        <w:rPr>
          <w:rFonts w:ascii="Arial" w:hAnsi="Arial" w:cs="Arial"/>
          <w:color w:val="7B7B7B" w:themeColor="accent3" w:themeShade="BF"/>
          <w:sz w:val="22"/>
          <w:szCs w:val="22"/>
        </w:rPr>
        <w:t xml:space="preserve">continued to apply to the UK as if </w:t>
      </w:r>
      <w:r>
        <w:rPr>
          <w:rFonts w:ascii="Arial" w:hAnsi="Arial" w:cs="Arial"/>
          <w:color w:val="7B7B7B" w:themeColor="accent3" w:themeShade="BF"/>
          <w:sz w:val="22"/>
          <w:szCs w:val="22"/>
        </w:rPr>
        <w:t xml:space="preserve">the UK </w:t>
      </w:r>
      <w:r w:rsidRPr="0089795B">
        <w:rPr>
          <w:rFonts w:ascii="Arial" w:hAnsi="Arial" w:cs="Arial"/>
          <w:color w:val="7B7B7B" w:themeColor="accent3" w:themeShade="BF"/>
          <w:sz w:val="22"/>
          <w:szCs w:val="22"/>
        </w:rPr>
        <w:t xml:space="preserve">were still a Member State until the end of </w:t>
      </w:r>
      <w:r>
        <w:rPr>
          <w:rFonts w:ascii="Arial" w:hAnsi="Arial" w:cs="Arial"/>
          <w:color w:val="7B7B7B" w:themeColor="accent3" w:themeShade="BF"/>
          <w:sz w:val="22"/>
          <w:szCs w:val="22"/>
        </w:rPr>
        <w:t xml:space="preserve">the Transition period (31 December 2020). </w:t>
      </w:r>
    </w:p>
    <w:p w14:paraId="1BB440AA" w14:textId="77777777" w:rsidR="000C72C4" w:rsidRDefault="000C72C4" w:rsidP="000C72C4">
      <w:pPr>
        <w:autoSpaceDE w:val="0"/>
        <w:autoSpaceDN w:val="0"/>
        <w:adjustRightInd w:val="0"/>
        <w:spacing w:line="276" w:lineRule="auto"/>
        <w:jc w:val="both"/>
        <w:rPr>
          <w:rFonts w:ascii="Arial" w:hAnsi="Arial" w:cs="Arial"/>
          <w:color w:val="7B7B7B" w:themeColor="accent3" w:themeShade="BF"/>
          <w:sz w:val="22"/>
          <w:szCs w:val="22"/>
          <w:lang w:val="en-GB"/>
        </w:rPr>
      </w:pPr>
    </w:p>
    <w:p w14:paraId="6D218091" w14:textId="77777777" w:rsidR="000C72C4" w:rsidRDefault="000C72C4" w:rsidP="000C72C4">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date of the proceedings are in any event after the end of the Transition Period (defined above), the </w:t>
      </w:r>
      <w:r w:rsidRPr="004C2F3E">
        <w:rPr>
          <w:rFonts w:ascii="Arial" w:hAnsi="Arial" w:cs="Arial"/>
          <w:color w:val="7B7B7B" w:themeColor="accent3" w:themeShade="BF"/>
          <w:sz w:val="22"/>
          <w:szCs w:val="22"/>
          <w:lang w:val="en-GB"/>
        </w:rPr>
        <w:t>Recast Regulation</w:t>
      </w:r>
      <w:r>
        <w:rPr>
          <w:rFonts w:ascii="Arial" w:hAnsi="Arial" w:cs="Arial"/>
          <w:color w:val="7B7B7B" w:themeColor="accent3" w:themeShade="BF"/>
          <w:sz w:val="22"/>
          <w:szCs w:val="22"/>
          <w:lang w:val="en-GB"/>
        </w:rPr>
        <w:t xml:space="preserve"> will not apply to coordinate the proceedings where proceedings have been brought against an EU entity in the UK.  Automatic recognition </w:t>
      </w:r>
      <w:r w:rsidRPr="0089795B">
        <w:rPr>
          <w:rFonts w:ascii="Arial" w:hAnsi="Arial" w:cs="Arial"/>
          <w:color w:val="7B7B7B" w:themeColor="accent3" w:themeShade="BF"/>
          <w:sz w:val="22"/>
          <w:szCs w:val="22"/>
        </w:rPr>
        <w:t xml:space="preserve">in EU Member States under the </w:t>
      </w:r>
      <w:r w:rsidRPr="004C2F3E">
        <w:rPr>
          <w:rFonts w:ascii="Arial" w:hAnsi="Arial" w:cs="Arial"/>
          <w:color w:val="7B7B7B" w:themeColor="accent3" w:themeShade="BF"/>
          <w:sz w:val="22"/>
          <w:szCs w:val="22"/>
          <w:lang w:val="en-GB"/>
        </w:rPr>
        <w:t>Recast Regulation</w:t>
      </w:r>
      <w:r w:rsidRPr="0089795B">
        <w:rPr>
          <w:rFonts w:ascii="Arial" w:hAnsi="Arial" w:cs="Arial"/>
          <w:color w:val="7B7B7B" w:themeColor="accent3" w:themeShade="BF"/>
          <w:sz w:val="22"/>
          <w:szCs w:val="22"/>
        </w:rPr>
        <w:t xml:space="preserve"> will generally only apply where UK insolvency proceedings </w:t>
      </w:r>
      <w:r>
        <w:rPr>
          <w:rFonts w:ascii="Arial" w:hAnsi="Arial" w:cs="Arial"/>
          <w:color w:val="7B7B7B" w:themeColor="accent3" w:themeShade="BF"/>
          <w:sz w:val="22"/>
          <w:szCs w:val="22"/>
        </w:rPr>
        <w:t xml:space="preserve">are </w:t>
      </w:r>
      <w:r w:rsidRPr="0089795B">
        <w:rPr>
          <w:rFonts w:ascii="Arial" w:hAnsi="Arial" w:cs="Arial"/>
          <w:color w:val="7B7B7B" w:themeColor="accent3" w:themeShade="BF"/>
          <w:sz w:val="22"/>
          <w:szCs w:val="22"/>
        </w:rPr>
        <w:t xml:space="preserve">based on an entity's </w:t>
      </w:r>
      <w:r>
        <w:rPr>
          <w:rFonts w:ascii="Arial" w:hAnsi="Arial" w:cs="Arial"/>
          <w:color w:val="7B7B7B" w:themeColor="accent3" w:themeShade="BF"/>
          <w:sz w:val="22"/>
          <w:szCs w:val="22"/>
        </w:rPr>
        <w:t>COMI being</w:t>
      </w:r>
      <w:r w:rsidRPr="0089795B">
        <w:rPr>
          <w:rFonts w:ascii="Arial" w:hAnsi="Arial" w:cs="Arial"/>
          <w:color w:val="7B7B7B" w:themeColor="accent3" w:themeShade="BF"/>
          <w:sz w:val="22"/>
          <w:szCs w:val="22"/>
        </w:rPr>
        <w:t xml:space="preserve"> in the UK </w:t>
      </w:r>
      <w:r>
        <w:rPr>
          <w:rFonts w:ascii="Arial" w:hAnsi="Arial" w:cs="Arial"/>
          <w:color w:val="7B7B7B" w:themeColor="accent3" w:themeShade="BF"/>
          <w:sz w:val="22"/>
          <w:szCs w:val="22"/>
        </w:rPr>
        <w:t>and such proceedings were opened before the end of the Transition P</w:t>
      </w:r>
      <w:r w:rsidRPr="0089795B">
        <w:rPr>
          <w:rFonts w:ascii="Arial" w:hAnsi="Arial" w:cs="Arial"/>
          <w:color w:val="7B7B7B" w:themeColor="accent3" w:themeShade="BF"/>
          <w:sz w:val="22"/>
          <w:szCs w:val="22"/>
        </w:rPr>
        <w:t xml:space="preserve">eriod. </w:t>
      </w:r>
      <w:r>
        <w:rPr>
          <w:rFonts w:ascii="Arial" w:hAnsi="Arial" w:cs="Arial"/>
          <w:color w:val="7B7B7B" w:themeColor="accent3" w:themeShade="BF"/>
          <w:sz w:val="22"/>
          <w:szCs w:val="22"/>
        </w:rPr>
        <w:t>For any new insolvency proceedings opened from</w:t>
      </w:r>
      <w:r w:rsidRPr="0089795B">
        <w:rPr>
          <w:rFonts w:ascii="Arial" w:hAnsi="Arial" w:cs="Arial"/>
          <w:color w:val="7B7B7B" w:themeColor="accent3" w:themeShade="BF"/>
          <w:sz w:val="22"/>
          <w:szCs w:val="22"/>
        </w:rPr>
        <w:t xml:space="preserve"> 1 January 2021, the benefits of automatic recognition contained in the </w:t>
      </w:r>
      <w:r w:rsidRPr="0089795B">
        <w:rPr>
          <w:rFonts w:ascii="Arial" w:hAnsi="Arial" w:cs="Arial"/>
          <w:color w:val="7B7B7B" w:themeColor="accent3" w:themeShade="BF"/>
          <w:sz w:val="22"/>
          <w:szCs w:val="22"/>
          <w:lang w:val="en-GB"/>
        </w:rPr>
        <w:t>Recast Regulation</w:t>
      </w:r>
      <w:r w:rsidRPr="008979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lastRenderedPageBreak/>
        <w:t>will no longer be applicable</w:t>
      </w:r>
      <w:r w:rsidRPr="008979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Should UK insolvency officeholders require assistance</w:t>
      </w:r>
      <w:r w:rsidRPr="0089795B">
        <w:rPr>
          <w:rFonts w:ascii="Arial" w:hAnsi="Arial" w:cs="Arial"/>
          <w:color w:val="7B7B7B" w:themeColor="accent3" w:themeShade="BF"/>
          <w:sz w:val="22"/>
          <w:szCs w:val="22"/>
        </w:rPr>
        <w:t xml:space="preserve"> in EU Member States</w:t>
      </w:r>
      <w:r>
        <w:rPr>
          <w:rFonts w:ascii="Arial" w:hAnsi="Arial" w:cs="Arial"/>
          <w:color w:val="7B7B7B" w:themeColor="accent3" w:themeShade="BF"/>
          <w:sz w:val="22"/>
          <w:szCs w:val="22"/>
        </w:rPr>
        <w:t>,</w:t>
      </w:r>
      <w:r w:rsidRPr="008979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they </w:t>
      </w:r>
      <w:r w:rsidRPr="0089795B">
        <w:rPr>
          <w:rFonts w:ascii="Arial" w:hAnsi="Arial" w:cs="Arial"/>
          <w:color w:val="7B7B7B" w:themeColor="accent3" w:themeShade="BF"/>
          <w:sz w:val="22"/>
          <w:szCs w:val="22"/>
        </w:rPr>
        <w:t xml:space="preserve">will have to rely upon the domestic laws of those Member States. Where recognition is sought in </w:t>
      </w:r>
      <w:r>
        <w:rPr>
          <w:rFonts w:ascii="Arial" w:hAnsi="Arial" w:cs="Arial"/>
          <w:color w:val="7B7B7B" w:themeColor="accent3" w:themeShade="BF"/>
          <w:sz w:val="22"/>
          <w:szCs w:val="22"/>
        </w:rPr>
        <w:t xml:space="preserve">Romania, Slovenia, Greece or </w:t>
      </w:r>
      <w:r w:rsidRPr="0089795B">
        <w:rPr>
          <w:rFonts w:ascii="Arial" w:hAnsi="Arial" w:cs="Arial"/>
          <w:color w:val="7B7B7B" w:themeColor="accent3" w:themeShade="BF"/>
          <w:sz w:val="22"/>
          <w:szCs w:val="22"/>
        </w:rPr>
        <w:t>Poland, the UK insolvency officeholder will be assisted by the adoption of the UNCITRAL Model Law on Cross-Bord</w:t>
      </w:r>
      <w:r>
        <w:rPr>
          <w:rFonts w:ascii="Arial" w:hAnsi="Arial" w:cs="Arial"/>
          <w:color w:val="7B7B7B" w:themeColor="accent3" w:themeShade="BF"/>
          <w:sz w:val="22"/>
          <w:szCs w:val="22"/>
        </w:rPr>
        <w:t>er Insolvency ("</w:t>
      </w:r>
      <w:r w:rsidRPr="00437449">
        <w:rPr>
          <w:rFonts w:ascii="Arial" w:hAnsi="Arial" w:cs="Arial"/>
          <w:b/>
          <w:color w:val="7B7B7B" w:themeColor="accent3" w:themeShade="BF"/>
          <w:sz w:val="22"/>
          <w:szCs w:val="22"/>
        </w:rPr>
        <w:t>MLCBI</w:t>
      </w:r>
      <w:r>
        <w:rPr>
          <w:rFonts w:ascii="Arial" w:hAnsi="Arial" w:cs="Arial"/>
          <w:color w:val="7B7B7B" w:themeColor="accent3" w:themeShade="BF"/>
          <w:sz w:val="22"/>
          <w:szCs w:val="22"/>
        </w:rPr>
        <w:t>") in those countries</w:t>
      </w:r>
      <w:r w:rsidRPr="0089795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GB"/>
        </w:rPr>
        <w:t>If the</w:t>
      </w:r>
      <w:r w:rsidRPr="00437449">
        <w:rPr>
          <w:rFonts w:ascii="Arial" w:hAnsi="Arial" w:cs="Arial"/>
          <w:color w:val="7B7B7B" w:themeColor="accent3" w:themeShade="BF"/>
          <w:sz w:val="22"/>
          <w:szCs w:val="22"/>
          <w:lang w:val="en-GB"/>
        </w:rPr>
        <w:t xml:space="preserve"> insolvency proceedings </w:t>
      </w:r>
      <w:r>
        <w:rPr>
          <w:rFonts w:ascii="Arial" w:hAnsi="Arial" w:cs="Arial"/>
          <w:color w:val="7B7B7B" w:themeColor="accent3" w:themeShade="BF"/>
          <w:sz w:val="22"/>
          <w:szCs w:val="22"/>
          <w:lang w:val="en-GB"/>
        </w:rPr>
        <w:t>originate</w:t>
      </w:r>
      <w:r w:rsidRPr="00437449">
        <w:rPr>
          <w:rFonts w:ascii="Arial" w:hAnsi="Arial" w:cs="Arial"/>
          <w:color w:val="7B7B7B" w:themeColor="accent3" w:themeShade="BF"/>
          <w:sz w:val="22"/>
          <w:szCs w:val="22"/>
          <w:lang w:val="en-GB"/>
        </w:rPr>
        <w:t xml:space="preserve"> in </w:t>
      </w:r>
      <w:r>
        <w:rPr>
          <w:rFonts w:ascii="Arial" w:hAnsi="Arial" w:cs="Arial"/>
          <w:color w:val="7B7B7B" w:themeColor="accent3" w:themeShade="BF"/>
          <w:sz w:val="22"/>
          <w:szCs w:val="22"/>
          <w:lang w:val="en-GB"/>
        </w:rPr>
        <w:t>the Member S</w:t>
      </w:r>
      <w:r w:rsidRPr="00437449">
        <w:rPr>
          <w:rFonts w:ascii="Arial" w:hAnsi="Arial" w:cs="Arial"/>
          <w:color w:val="7B7B7B" w:themeColor="accent3" w:themeShade="BF"/>
          <w:sz w:val="22"/>
          <w:szCs w:val="22"/>
          <w:lang w:val="en-GB"/>
        </w:rPr>
        <w:t xml:space="preserve">tate, </w:t>
      </w:r>
      <w:r>
        <w:rPr>
          <w:rFonts w:ascii="Arial" w:hAnsi="Arial" w:cs="Arial"/>
          <w:color w:val="7B7B7B" w:themeColor="accent3" w:themeShade="BF"/>
          <w:sz w:val="22"/>
          <w:szCs w:val="22"/>
          <w:lang w:val="en-GB"/>
        </w:rPr>
        <w:t xml:space="preserve">the EU insolvency office holder nay apply for </w:t>
      </w:r>
      <w:r w:rsidRPr="00437449">
        <w:rPr>
          <w:rFonts w:ascii="Arial" w:hAnsi="Arial" w:cs="Arial"/>
          <w:color w:val="7B7B7B" w:themeColor="accent3" w:themeShade="BF"/>
          <w:sz w:val="22"/>
          <w:szCs w:val="22"/>
          <w:lang w:val="en-GB"/>
        </w:rPr>
        <w:t xml:space="preserve">recognition in England under the </w:t>
      </w:r>
      <w:r>
        <w:rPr>
          <w:rFonts w:ascii="Arial" w:hAnsi="Arial" w:cs="Arial"/>
          <w:color w:val="7B7B7B" w:themeColor="accent3" w:themeShade="BF"/>
          <w:sz w:val="22"/>
          <w:szCs w:val="22"/>
          <w:lang w:val="en-GB"/>
        </w:rPr>
        <w:t>MLCBI</w:t>
      </w:r>
      <w:r w:rsidRPr="0043744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MLCBI as drafted does not require </w:t>
      </w:r>
      <w:r w:rsidRPr="00437449">
        <w:rPr>
          <w:rFonts w:ascii="Arial" w:hAnsi="Arial" w:cs="Arial"/>
          <w:color w:val="7B7B7B" w:themeColor="accent3" w:themeShade="BF"/>
          <w:sz w:val="22"/>
          <w:szCs w:val="22"/>
          <w:lang w:val="en-GB"/>
        </w:rPr>
        <w:t xml:space="preserve">reciprocity so it does not matter whether </w:t>
      </w:r>
      <w:r>
        <w:rPr>
          <w:rFonts w:ascii="Arial" w:hAnsi="Arial" w:cs="Arial"/>
          <w:color w:val="7B7B7B" w:themeColor="accent3" w:themeShade="BF"/>
          <w:sz w:val="22"/>
          <w:szCs w:val="22"/>
          <w:lang w:val="en-GB"/>
        </w:rPr>
        <w:t>the Member State in question</w:t>
      </w:r>
      <w:r w:rsidRPr="00437449">
        <w:rPr>
          <w:rFonts w:ascii="Arial" w:hAnsi="Arial" w:cs="Arial"/>
          <w:color w:val="7B7B7B" w:themeColor="accent3" w:themeShade="BF"/>
          <w:sz w:val="22"/>
          <w:szCs w:val="22"/>
          <w:lang w:val="en-GB"/>
        </w:rPr>
        <w:t xml:space="preserve"> has adopted</w:t>
      </w:r>
      <w:r>
        <w:rPr>
          <w:rFonts w:ascii="Arial" w:hAnsi="Arial" w:cs="Arial"/>
          <w:color w:val="7B7B7B" w:themeColor="accent3" w:themeShade="BF"/>
          <w:sz w:val="22"/>
          <w:szCs w:val="22"/>
          <w:lang w:val="en-GB"/>
        </w:rPr>
        <w:t xml:space="preserve"> the MLCBI or not, the MCLBI principles may still be used.  </w:t>
      </w:r>
    </w:p>
    <w:p w14:paraId="394E1E1B" w14:textId="77777777" w:rsidR="000C72C4" w:rsidRDefault="000C72C4" w:rsidP="000C72C4">
      <w:pPr>
        <w:autoSpaceDE w:val="0"/>
        <w:autoSpaceDN w:val="0"/>
        <w:adjustRightInd w:val="0"/>
        <w:spacing w:line="276" w:lineRule="auto"/>
        <w:jc w:val="both"/>
        <w:rPr>
          <w:rFonts w:ascii="Arial" w:hAnsi="Arial" w:cs="Arial"/>
          <w:color w:val="7B7B7B" w:themeColor="accent3" w:themeShade="BF"/>
          <w:sz w:val="22"/>
          <w:szCs w:val="22"/>
          <w:lang w:val="en-GB"/>
        </w:rPr>
      </w:pPr>
    </w:p>
    <w:p w14:paraId="21F54606" w14:textId="235CC98B" w:rsidR="000C72C4" w:rsidRPr="00E47E7C" w:rsidRDefault="000C72C4" w:rsidP="000C72C4">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Pr="00E47E7C">
        <w:rPr>
          <w:rFonts w:ascii="Arial" w:hAnsi="Arial" w:cs="Arial"/>
          <w:color w:val="7B7B7B" w:themeColor="accent3" w:themeShade="BF"/>
          <w:sz w:val="22"/>
          <w:szCs w:val="22"/>
          <w:lang w:val="en-GB"/>
        </w:rPr>
        <w:t>rom 31 December 2020</w:t>
      </w:r>
      <w:r>
        <w:rPr>
          <w:rFonts w:ascii="Arial" w:hAnsi="Arial" w:cs="Arial"/>
          <w:color w:val="7B7B7B" w:themeColor="accent3" w:themeShade="BF"/>
          <w:sz w:val="22"/>
          <w:szCs w:val="22"/>
          <w:lang w:val="en-GB"/>
        </w:rPr>
        <w:t>, some extent of the Recast Regulation was retained under English law in the form of the</w:t>
      </w:r>
      <w:r w:rsidRPr="00E47E7C">
        <w:rPr>
          <w:rFonts w:ascii="Arial" w:hAnsi="Arial" w:cs="Arial"/>
          <w:color w:val="7B7B7B" w:themeColor="accent3" w:themeShade="BF"/>
          <w:sz w:val="22"/>
          <w:szCs w:val="22"/>
          <w:lang w:val="en-GB"/>
        </w:rPr>
        <w:t xml:space="preserve"> UK Insolvency (Amendment) (EU Exit) Regulations 2019 (the “</w:t>
      </w:r>
      <w:r>
        <w:rPr>
          <w:rFonts w:ascii="Arial" w:hAnsi="Arial" w:cs="Arial"/>
          <w:b/>
          <w:bCs/>
          <w:color w:val="7B7B7B" w:themeColor="accent3" w:themeShade="BF"/>
          <w:sz w:val="22"/>
          <w:szCs w:val="22"/>
          <w:lang w:val="en-GB"/>
        </w:rPr>
        <w:t>UK Insolvency Regulations</w:t>
      </w:r>
      <w:r w:rsidRPr="00E47E7C">
        <w:rPr>
          <w:rFonts w:ascii="Arial" w:hAnsi="Arial" w:cs="Arial"/>
          <w:color w:val="7B7B7B" w:themeColor="accent3" w:themeShade="BF"/>
          <w:sz w:val="22"/>
          <w:szCs w:val="22"/>
          <w:lang w:val="en-GB"/>
        </w:rPr>
        <w:t xml:space="preserve">”). The </w:t>
      </w:r>
      <w:r w:rsidRPr="000C72C4">
        <w:rPr>
          <w:rFonts w:ascii="Arial" w:hAnsi="Arial" w:cs="Arial"/>
          <w:bCs/>
          <w:color w:val="7B7B7B" w:themeColor="accent3" w:themeShade="BF"/>
          <w:sz w:val="22"/>
          <w:szCs w:val="22"/>
          <w:lang w:val="en-GB"/>
        </w:rPr>
        <w:t>UK Insolvency Regulations</w:t>
      </w:r>
      <w:r w:rsidRPr="000C72C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preserves</w:t>
      </w:r>
      <w:r>
        <w:rPr>
          <w:rFonts w:ascii="Arial" w:hAnsi="Arial" w:cs="Arial"/>
          <w:color w:val="7B7B7B" w:themeColor="accent3" w:themeShade="BF"/>
          <w:sz w:val="22"/>
          <w:szCs w:val="22"/>
          <w:lang w:val="en-GB"/>
        </w:rPr>
        <w:t xml:space="preserve"> certain </w:t>
      </w:r>
      <w:r w:rsidRPr="00E47E7C">
        <w:rPr>
          <w:rFonts w:ascii="Arial" w:hAnsi="Arial" w:cs="Arial"/>
          <w:color w:val="7B7B7B" w:themeColor="accent3" w:themeShade="BF"/>
          <w:sz w:val="22"/>
          <w:szCs w:val="22"/>
          <w:lang w:val="en-GB"/>
        </w:rPr>
        <w:t xml:space="preserve">aspects of the </w:t>
      </w:r>
      <w:r w:rsidRPr="006A3B1C">
        <w:rPr>
          <w:rFonts w:ascii="Arial" w:hAnsi="Arial" w:cs="Arial"/>
          <w:color w:val="7B7B7B" w:themeColor="accent3" w:themeShade="BF"/>
          <w:sz w:val="22"/>
          <w:szCs w:val="22"/>
          <w:lang w:val="en-GB"/>
        </w:rPr>
        <w:t xml:space="preserve">Recast Regulation </w:t>
      </w:r>
      <w:r>
        <w:rPr>
          <w:rFonts w:ascii="Arial" w:hAnsi="Arial" w:cs="Arial"/>
          <w:color w:val="7B7B7B" w:themeColor="accent3" w:themeShade="BF"/>
          <w:sz w:val="22"/>
          <w:szCs w:val="22"/>
          <w:lang w:val="en-GB"/>
        </w:rPr>
        <w:t>such as</w:t>
      </w:r>
      <w:r w:rsidRPr="00E47E7C">
        <w:rPr>
          <w:rFonts w:ascii="Arial" w:hAnsi="Arial" w:cs="Arial"/>
          <w:color w:val="7B7B7B" w:themeColor="accent3" w:themeShade="BF"/>
          <w:sz w:val="22"/>
          <w:szCs w:val="22"/>
          <w:lang w:val="en-GB"/>
        </w:rPr>
        <w:t xml:space="preserve"> the jurisdiction of the English courts to open insolvency proceedings in relation to debtors who have their COMI in England. This means that insolvency proceedings may still be opened in England where the debtor has its COMI in England, although those proceedings will not benefit from any automatic recognition in the EU as the </w:t>
      </w:r>
      <w:r w:rsidRPr="000C72C4">
        <w:rPr>
          <w:rFonts w:ascii="Arial" w:hAnsi="Arial" w:cs="Arial"/>
          <w:bCs/>
          <w:color w:val="7B7B7B" w:themeColor="accent3" w:themeShade="BF"/>
          <w:sz w:val="22"/>
          <w:szCs w:val="22"/>
          <w:lang w:val="en-GB"/>
        </w:rPr>
        <w:t>UK Insolvency Regulations</w:t>
      </w:r>
      <w:r w:rsidRPr="00E47E7C">
        <w:rPr>
          <w:rFonts w:ascii="Arial" w:hAnsi="Arial" w:cs="Arial"/>
          <w:color w:val="7B7B7B" w:themeColor="accent3" w:themeShade="BF"/>
          <w:sz w:val="22"/>
          <w:szCs w:val="22"/>
          <w:lang w:val="en-GB"/>
        </w:rPr>
        <w:t xml:space="preserve"> has no effect in the EU. </w:t>
      </w:r>
      <w:r w:rsidR="0099733D">
        <w:rPr>
          <w:rFonts w:ascii="Arial" w:hAnsi="Arial" w:cs="Arial"/>
          <w:color w:val="7B7B7B" w:themeColor="accent3" w:themeShade="BF"/>
          <w:sz w:val="22"/>
          <w:szCs w:val="22"/>
          <w:lang w:val="en-GB"/>
        </w:rPr>
        <w:t xml:space="preserve">As a consequence of this, </w:t>
      </w:r>
      <w:r w:rsidRPr="00E47E7C">
        <w:rPr>
          <w:rFonts w:ascii="Arial" w:hAnsi="Arial" w:cs="Arial"/>
          <w:color w:val="7B7B7B" w:themeColor="accent3" w:themeShade="BF"/>
          <w:sz w:val="22"/>
          <w:szCs w:val="22"/>
          <w:lang w:val="en-GB"/>
        </w:rPr>
        <w:t>the English law moratorium preventing the commencement of new civil proceedings against a debtor</w:t>
      </w:r>
      <w:r w:rsidR="0099733D">
        <w:rPr>
          <w:rFonts w:ascii="Arial" w:hAnsi="Arial" w:cs="Arial"/>
          <w:color w:val="7B7B7B" w:themeColor="accent3" w:themeShade="BF"/>
          <w:sz w:val="22"/>
          <w:szCs w:val="22"/>
          <w:lang w:val="en-GB"/>
        </w:rPr>
        <w:t>,</w:t>
      </w:r>
      <w:r w:rsidRPr="00E47E7C">
        <w:rPr>
          <w:rFonts w:ascii="Arial" w:hAnsi="Arial" w:cs="Arial"/>
          <w:color w:val="7B7B7B" w:themeColor="accent3" w:themeShade="BF"/>
          <w:sz w:val="22"/>
          <w:szCs w:val="22"/>
          <w:lang w:val="en-GB"/>
        </w:rPr>
        <w:t xml:space="preserve"> </w:t>
      </w:r>
      <w:r w:rsidR="0099733D">
        <w:rPr>
          <w:rFonts w:ascii="Arial" w:hAnsi="Arial" w:cs="Arial"/>
          <w:color w:val="7B7B7B" w:themeColor="accent3" w:themeShade="BF"/>
          <w:sz w:val="22"/>
          <w:szCs w:val="22"/>
          <w:lang w:val="en-GB"/>
        </w:rPr>
        <w:t xml:space="preserve">for example, </w:t>
      </w:r>
      <w:r w:rsidRPr="00E47E7C">
        <w:rPr>
          <w:rFonts w:ascii="Arial" w:hAnsi="Arial" w:cs="Arial"/>
          <w:color w:val="7B7B7B" w:themeColor="accent3" w:themeShade="BF"/>
          <w:sz w:val="22"/>
          <w:szCs w:val="22"/>
          <w:lang w:val="en-GB"/>
        </w:rPr>
        <w:t xml:space="preserve">will no longer be given automatic effect in the EU and creditors in the EU may </w:t>
      </w:r>
      <w:r w:rsidR="0099733D">
        <w:rPr>
          <w:rFonts w:ascii="Arial" w:hAnsi="Arial" w:cs="Arial"/>
          <w:color w:val="7B7B7B" w:themeColor="accent3" w:themeShade="BF"/>
          <w:sz w:val="22"/>
          <w:szCs w:val="22"/>
          <w:lang w:val="en-GB"/>
        </w:rPr>
        <w:t>rush</w:t>
      </w:r>
      <w:r w:rsidRPr="00E47E7C">
        <w:rPr>
          <w:rFonts w:ascii="Arial" w:hAnsi="Arial" w:cs="Arial"/>
          <w:color w:val="7B7B7B" w:themeColor="accent3" w:themeShade="BF"/>
          <w:sz w:val="22"/>
          <w:szCs w:val="22"/>
          <w:lang w:val="en-GB"/>
        </w:rPr>
        <w:t xml:space="preserve"> to enforce against any assets situated in the EU or even open main proceedings in the EU if they can persuade the court of an EU state that the debtor's COMI is in that state.</w:t>
      </w:r>
      <w:r w:rsidR="0099733D">
        <w:rPr>
          <w:rStyle w:val="FootnoteReference"/>
          <w:rFonts w:ascii="Arial" w:hAnsi="Arial" w:cs="Arial"/>
          <w:color w:val="7B7B7B" w:themeColor="accent3" w:themeShade="BF"/>
          <w:sz w:val="22"/>
          <w:szCs w:val="22"/>
          <w:lang w:val="en-GB"/>
        </w:rPr>
        <w:footnoteReference w:id="25"/>
      </w:r>
      <w:r w:rsidR="0099733D">
        <w:rPr>
          <w:rFonts w:ascii="Arial" w:hAnsi="Arial" w:cs="Arial"/>
          <w:color w:val="7B7B7B" w:themeColor="accent3" w:themeShade="BF"/>
          <w:sz w:val="22"/>
          <w:szCs w:val="22"/>
          <w:lang w:val="en-GB"/>
        </w:rPr>
        <w:t xml:space="preserve"> </w:t>
      </w:r>
    </w:p>
    <w:p w14:paraId="07F7DFB1" w14:textId="77777777" w:rsidR="0099733D" w:rsidRDefault="0099733D" w:rsidP="000C72C4">
      <w:pPr>
        <w:autoSpaceDE w:val="0"/>
        <w:autoSpaceDN w:val="0"/>
        <w:adjustRightInd w:val="0"/>
        <w:spacing w:line="276" w:lineRule="auto"/>
        <w:jc w:val="both"/>
        <w:rPr>
          <w:rFonts w:ascii="Arial" w:hAnsi="Arial" w:cs="Arial"/>
          <w:color w:val="7B7B7B" w:themeColor="accent3" w:themeShade="BF"/>
          <w:sz w:val="22"/>
          <w:szCs w:val="22"/>
          <w:lang w:val="en-GB"/>
        </w:rPr>
      </w:pPr>
    </w:p>
    <w:p w14:paraId="598C29F9" w14:textId="71756080" w:rsidR="000C72C4" w:rsidRPr="00E47E7C" w:rsidRDefault="0099733D" w:rsidP="000C72C4">
      <w:pPr>
        <w:autoSpaceDE w:val="0"/>
        <w:autoSpaceDN w:val="0"/>
        <w:adjustRightInd w:val="0"/>
        <w:spacing w:line="276" w:lineRule="auto"/>
        <w:jc w:val="both"/>
        <w:rPr>
          <w:rFonts w:ascii="Arial" w:hAnsi="Arial" w:cs="Arial"/>
          <w:color w:val="7B7B7B" w:themeColor="accent3" w:themeShade="BF"/>
          <w:sz w:val="22"/>
          <w:szCs w:val="22"/>
          <w:lang w:val="en-GB"/>
        </w:rPr>
      </w:pPr>
      <w:r w:rsidRPr="00E47E7C">
        <w:rPr>
          <w:rFonts w:ascii="Arial" w:hAnsi="Arial" w:cs="Arial"/>
          <w:color w:val="7B7B7B" w:themeColor="accent3" w:themeShade="BF"/>
          <w:sz w:val="22"/>
          <w:szCs w:val="22"/>
          <w:lang w:val="en-GB"/>
        </w:rPr>
        <w:t>Features</w:t>
      </w:r>
      <w:r w:rsidR="000C72C4" w:rsidRPr="00E47E7C">
        <w:rPr>
          <w:rFonts w:ascii="Arial" w:hAnsi="Arial" w:cs="Arial"/>
          <w:color w:val="7B7B7B" w:themeColor="accent3" w:themeShade="BF"/>
          <w:sz w:val="22"/>
          <w:szCs w:val="22"/>
          <w:lang w:val="en-GB"/>
        </w:rPr>
        <w:t xml:space="preserve"> of the </w:t>
      </w:r>
      <w:r w:rsidRPr="0099733D">
        <w:rPr>
          <w:rFonts w:ascii="Arial" w:hAnsi="Arial" w:cs="Arial"/>
          <w:bCs/>
          <w:color w:val="7B7B7B" w:themeColor="accent3" w:themeShade="BF"/>
          <w:sz w:val="22"/>
          <w:szCs w:val="22"/>
          <w:lang w:val="en-GB"/>
        </w:rPr>
        <w:t>UK Insolvency Regulations</w:t>
      </w:r>
      <w:r w:rsidRPr="0099733D">
        <w:rPr>
          <w:rFonts w:ascii="Arial" w:hAnsi="Arial" w:cs="Arial"/>
          <w:color w:val="7B7B7B" w:themeColor="accent3" w:themeShade="BF"/>
          <w:sz w:val="22"/>
          <w:szCs w:val="22"/>
          <w:lang w:val="en-GB"/>
        </w:rPr>
        <w:t xml:space="preserve"> </w:t>
      </w:r>
      <w:r w:rsidR="000C72C4" w:rsidRPr="00E47E7C">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originate</w:t>
      </w:r>
      <w:r w:rsidR="000C72C4" w:rsidRPr="00E47E7C">
        <w:rPr>
          <w:rFonts w:ascii="Arial" w:hAnsi="Arial" w:cs="Arial"/>
          <w:color w:val="7B7B7B" w:themeColor="accent3" w:themeShade="BF"/>
          <w:sz w:val="22"/>
          <w:szCs w:val="22"/>
          <w:lang w:val="en-GB"/>
        </w:rPr>
        <w:t xml:space="preserve"> from EU law, such as COMI, will not necessarily be </w:t>
      </w:r>
      <w:r w:rsidRPr="00E47E7C">
        <w:rPr>
          <w:rFonts w:ascii="Arial" w:hAnsi="Arial" w:cs="Arial"/>
          <w:color w:val="7B7B7B" w:themeColor="accent3" w:themeShade="BF"/>
          <w:sz w:val="22"/>
          <w:szCs w:val="22"/>
          <w:lang w:val="en-GB"/>
        </w:rPr>
        <w:t>interpreted</w:t>
      </w:r>
      <w:r w:rsidR="000C72C4" w:rsidRPr="00E47E7C">
        <w:rPr>
          <w:rFonts w:ascii="Arial" w:hAnsi="Arial" w:cs="Arial"/>
          <w:color w:val="7B7B7B" w:themeColor="accent3" w:themeShade="BF"/>
          <w:sz w:val="22"/>
          <w:szCs w:val="22"/>
          <w:lang w:val="en-GB"/>
        </w:rPr>
        <w:t xml:space="preserve"> in the same way as those same aspects are in future </w:t>
      </w:r>
      <w:r w:rsidRPr="00E47E7C">
        <w:rPr>
          <w:rFonts w:ascii="Arial" w:hAnsi="Arial" w:cs="Arial"/>
          <w:color w:val="7B7B7B" w:themeColor="accent3" w:themeShade="BF"/>
          <w:sz w:val="22"/>
          <w:szCs w:val="22"/>
          <w:lang w:val="en-GB"/>
        </w:rPr>
        <w:t>interpreted</w:t>
      </w:r>
      <w:r w:rsidR="000C72C4" w:rsidRPr="00E47E7C">
        <w:rPr>
          <w:rFonts w:ascii="Arial" w:hAnsi="Arial" w:cs="Arial"/>
          <w:color w:val="7B7B7B" w:themeColor="accent3" w:themeShade="BF"/>
          <w:sz w:val="22"/>
          <w:szCs w:val="22"/>
          <w:lang w:val="en-GB"/>
        </w:rPr>
        <w:t xml:space="preserve"> by EU courts. </w:t>
      </w:r>
      <w:r w:rsidRPr="0099733D">
        <w:rPr>
          <w:rFonts w:ascii="Arial" w:hAnsi="Arial" w:cs="Arial"/>
          <w:color w:val="7B7B7B" w:themeColor="accent3" w:themeShade="BF"/>
          <w:sz w:val="22"/>
          <w:szCs w:val="22"/>
          <w:lang w:val="en-GB"/>
        </w:rPr>
        <w:t xml:space="preserve">In relation Rydell's COMI not being within the UK, this technically </w:t>
      </w:r>
      <w:r w:rsidR="00254462">
        <w:rPr>
          <w:rFonts w:ascii="Arial" w:hAnsi="Arial" w:cs="Arial"/>
          <w:color w:val="7B7B7B" w:themeColor="accent3" w:themeShade="BF"/>
          <w:sz w:val="22"/>
          <w:szCs w:val="22"/>
          <w:lang w:val="en-GB"/>
        </w:rPr>
        <w:t xml:space="preserve">isn't an issue </w:t>
      </w:r>
      <w:r w:rsidRPr="0099733D">
        <w:rPr>
          <w:rFonts w:ascii="Arial" w:hAnsi="Arial" w:cs="Arial"/>
          <w:color w:val="7B7B7B" w:themeColor="accent3" w:themeShade="BF"/>
          <w:sz w:val="22"/>
          <w:szCs w:val="22"/>
          <w:lang w:val="en-GB"/>
        </w:rPr>
        <w:t>as the Recast Regulation is what sets out and requires a COMI for the opening of main proceedings and as already mentioned the</w:t>
      </w:r>
      <w:r w:rsidR="00254462">
        <w:rPr>
          <w:rFonts w:ascii="Arial" w:hAnsi="Arial" w:cs="Arial"/>
          <w:color w:val="7B7B7B" w:themeColor="accent3" w:themeShade="BF"/>
          <w:sz w:val="22"/>
          <w:szCs w:val="22"/>
          <w:lang w:val="en-GB"/>
        </w:rPr>
        <w:t>se</w:t>
      </w:r>
      <w:r w:rsidRPr="0099733D">
        <w:rPr>
          <w:rFonts w:ascii="Arial" w:hAnsi="Arial" w:cs="Arial"/>
          <w:color w:val="7B7B7B" w:themeColor="accent3" w:themeShade="BF"/>
          <w:sz w:val="22"/>
          <w:szCs w:val="22"/>
          <w:lang w:val="en-GB"/>
        </w:rPr>
        <w:t xml:space="preserve"> proceedings are brought after the Transition Period</w:t>
      </w:r>
      <w:r w:rsidR="00254462">
        <w:rPr>
          <w:rFonts w:ascii="Arial" w:hAnsi="Arial" w:cs="Arial"/>
          <w:color w:val="7B7B7B" w:themeColor="accent3" w:themeShade="BF"/>
          <w:sz w:val="22"/>
          <w:szCs w:val="22"/>
          <w:lang w:val="en-GB"/>
        </w:rPr>
        <w:t>,</w:t>
      </w:r>
      <w:r w:rsidRPr="0099733D">
        <w:rPr>
          <w:rFonts w:ascii="Arial" w:hAnsi="Arial" w:cs="Arial"/>
          <w:color w:val="7B7B7B" w:themeColor="accent3" w:themeShade="BF"/>
          <w:sz w:val="22"/>
          <w:szCs w:val="22"/>
          <w:lang w:val="en-GB"/>
        </w:rPr>
        <w:t xml:space="preserve"> and accordingly the Recast Regulation does not apply. It may for English law purposes be appropriate to establish a centre of main interests as the concept stands in accordance with the local laws of </w:t>
      </w:r>
      <w:r w:rsidR="00254462">
        <w:rPr>
          <w:rFonts w:ascii="Arial" w:hAnsi="Arial" w:cs="Arial"/>
          <w:color w:val="7B7B7B" w:themeColor="accent3" w:themeShade="BF"/>
          <w:sz w:val="22"/>
          <w:szCs w:val="22"/>
          <w:lang w:val="en-GB"/>
        </w:rPr>
        <w:t>the UK</w:t>
      </w:r>
      <w:r w:rsidRPr="0099733D">
        <w:rPr>
          <w:rFonts w:ascii="Arial" w:hAnsi="Arial" w:cs="Arial"/>
          <w:color w:val="7B7B7B" w:themeColor="accent3" w:themeShade="BF"/>
          <w:sz w:val="22"/>
          <w:szCs w:val="22"/>
          <w:lang w:val="en-GB"/>
        </w:rPr>
        <w:t xml:space="preserve"> and the MLCBI</w:t>
      </w:r>
      <w:r w:rsidR="00254462">
        <w:rPr>
          <w:rFonts w:ascii="Arial" w:hAnsi="Arial" w:cs="Arial"/>
          <w:color w:val="7B7B7B" w:themeColor="accent3" w:themeShade="BF"/>
          <w:sz w:val="22"/>
          <w:szCs w:val="22"/>
          <w:lang w:val="en-GB"/>
        </w:rPr>
        <w:t xml:space="preserve"> and in doing so will be able to institute proceedings in the UK</w:t>
      </w:r>
      <w:r w:rsidRPr="0099733D">
        <w:rPr>
          <w:rFonts w:ascii="Arial" w:hAnsi="Arial" w:cs="Arial"/>
          <w:color w:val="7B7B7B" w:themeColor="accent3" w:themeShade="BF"/>
          <w:sz w:val="22"/>
          <w:szCs w:val="22"/>
          <w:lang w:val="en-GB"/>
        </w:rPr>
        <w:t xml:space="preserve">. </w:t>
      </w:r>
      <w:r w:rsidR="00254462">
        <w:rPr>
          <w:rFonts w:ascii="Arial" w:hAnsi="Arial" w:cs="Arial"/>
          <w:color w:val="7B7B7B" w:themeColor="accent3" w:themeShade="BF"/>
          <w:sz w:val="22"/>
          <w:szCs w:val="22"/>
          <w:lang w:val="en-GB"/>
        </w:rPr>
        <w:t xml:space="preserve">However the issues, such as </w:t>
      </w:r>
      <w:r w:rsidR="00254462" w:rsidRPr="00254462">
        <w:rPr>
          <w:rFonts w:ascii="Arial" w:hAnsi="Arial" w:cs="Arial"/>
          <w:color w:val="7B7B7B" w:themeColor="accent3" w:themeShade="BF"/>
          <w:sz w:val="22"/>
          <w:szCs w:val="22"/>
          <w:lang w:val="en-GB"/>
        </w:rPr>
        <w:t>automatic reco</w:t>
      </w:r>
      <w:r w:rsidR="00254462">
        <w:rPr>
          <w:rFonts w:ascii="Arial" w:hAnsi="Arial" w:cs="Arial"/>
          <w:color w:val="7B7B7B" w:themeColor="accent3" w:themeShade="BF"/>
          <w:sz w:val="22"/>
          <w:szCs w:val="22"/>
          <w:lang w:val="en-GB"/>
        </w:rPr>
        <w:t xml:space="preserve">gnition, set out above which become prevalent as a result of the disapplication of the Recast Regulation will still remain an obstacle for </w:t>
      </w:r>
      <w:r w:rsidR="00254462" w:rsidRPr="00254462">
        <w:rPr>
          <w:rFonts w:ascii="Arial" w:hAnsi="Arial" w:cs="Arial"/>
          <w:color w:val="7B7B7B" w:themeColor="accent3" w:themeShade="BF"/>
          <w:sz w:val="22"/>
          <w:szCs w:val="22"/>
          <w:lang w:val="en-GB"/>
        </w:rPr>
        <w:t xml:space="preserve">minor creditor </w:t>
      </w:r>
      <w:r w:rsidR="00254462">
        <w:rPr>
          <w:rFonts w:ascii="Arial" w:hAnsi="Arial" w:cs="Arial"/>
          <w:color w:val="7B7B7B" w:themeColor="accent3" w:themeShade="BF"/>
          <w:sz w:val="22"/>
          <w:szCs w:val="22"/>
          <w:lang w:val="en-GB"/>
        </w:rPr>
        <w:t>commencing</w:t>
      </w:r>
      <w:r w:rsidR="00254462" w:rsidRPr="00254462">
        <w:rPr>
          <w:rFonts w:ascii="Arial" w:hAnsi="Arial" w:cs="Arial"/>
          <w:color w:val="7B7B7B" w:themeColor="accent3" w:themeShade="BF"/>
          <w:sz w:val="22"/>
          <w:szCs w:val="22"/>
          <w:lang w:val="en-GB"/>
        </w:rPr>
        <w:t xml:space="preserve"> those formal insolvency proceedings in the UK</w:t>
      </w:r>
      <w:r w:rsidR="00254462">
        <w:rPr>
          <w:rFonts w:ascii="Arial" w:hAnsi="Arial" w:cs="Arial"/>
          <w:color w:val="7B7B7B" w:themeColor="accent3" w:themeShade="BF"/>
          <w:sz w:val="22"/>
          <w:szCs w:val="22"/>
          <w:lang w:val="en-GB"/>
        </w:rPr>
        <w:t>.</w:t>
      </w:r>
    </w:p>
    <w:p w14:paraId="16190C8E" w14:textId="77777777" w:rsidR="001E04B8" w:rsidRDefault="00794876"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A0356FC" w14:textId="77777777" w:rsidR="001E04B8" w:rsidRDefault="00794876"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3261EB6" w14:textId="05C13D59" w:rsidR="0077498C" w:rsidRPr="00205B31" w:rsidRDefault="00794876" w:rsidP="00B7193E">
      <w:pPr>
        <w:jc w:val="both"/>
        <w:rPr>
          <w:rFonts w:ascii="Arial" w:hAnsi="Arial" w:cs="Arial"/>
          <w:color w:val="000000" w:themeColor="text1"/>
          <w:sz w:val="22"/>
          <w:szCs w:val="22"/>
          <w:lang w:val="en-GB"/>
        </w:rPr>
      </w:pPr>
    </w:p>
    <w:p w14:paraId="5874FB64" w14:textId="77777777" w:rsidR="0077498C" w:rsidRPr="00205B31" w:rsidRDefault="00794876" w:rsidP="00B7193E">
      <w:pPr>
        <w:jc w:val="both"/>
        <w:rPr>
          <w:rFonts w:ascii="Arial" w:hAnsi="Arial" w:cs="Arial"/>
          <w:color w:val="000000" w:themeColor="text1"/>
          <w:sz w:val="22"/>
          <w:szCs w:val="22"/>
          <w:lang w:val="en-GB"/>
        </w:rPr>
      </w:pPr>
    </w:p>
    <w:p w14:paraId="1ADD0BEA" w14:textId="77777777" w:rsidR="0077498C" w:rsidRPr="00205B31" w:rsidRDefault="007F0D7A" w:rsidP="0077498C">
      <w:pPr>
        <w:jc w:val="center"/>
        <w:rPr>
          <w:rFonts w:ascii="Arial" w:hAnsi="Arial" w:cs="Arial"/>
          <w:b/>
          <w:bCs/>
          <w:sz w:val="22"/>
          <w:szCs w:val="22"/>
          <w:lang w:val="en-GB"/>
        </w:rPr>
      </w:pPr>
      <w:r w:rsidRPr="00205B31">
        <w:rPr>
          <w:rFonts w:ascii="Arial" w:hAnsi="Arial" w:cs="Arial"/>
          <w:b/>
          <w:bCs/>
          <w:sz w:val="22"/>
          <w:szCs w:val="22"/>
          <w:lang w:val="en-GB"/>
        </w:rPr>
        <w:t>* End of Assessment *</w:t>
      </w:r>
    </w:p>
    <w:p w14:paraId="2D1EC8A8" w14:textId="77777777" w:rsidR="009B0723" w:rsidRPr="00205B31" w:rsidRDefault="007F0D7A" w:rsidP="00C606C3">
      <w:pPr>
        <w:rPr>
          <w:rFonts w:ascii="Arial" w:hAnsi="Arial" w:cs="Arial"/>
          <w:sz w:val="22"/>
          <w:szCs w:val="22"/>
          <w:lang w:val="en-GB"/>
        </w:rPr>
      </w:pPr>
      <w:r w:rsidRPr="00205B31">
        <w:rPr>
          <w:rFonts w:ascii="Arial" w:hAnsi="Arial" w:cs="Arial"/>
          <w:sz w:val="22"/>
          <w:szCs w:val="22"/>
          <w:lang w:val="en-GB"/>
        </w:rPr>
        <w:t xml:space="preserve"> </w:t>
      </w:r>
    </w:p>
    <w:sectPr w:rsidR="009B0723" w:rsidRPr="00205B31"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0BA6" w16cex:dateUtc="2021-11-13T08:34:00Z"/>
  <w16cex:commentExtensible w16cex:durableId="253D1511" w16cex:dateUtc="2021-11-15T17:19:00Z"/>
  <w16cex:commentExtensible w16cex:durableId="253D0BA7" w16cex:dateUtc="2021-11-14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2D777" w16cid:durableId="253D0BA6"/>
  <w16cid:commentId w16cid:paraId="1A5AEE17" w16cid:durableId="253D1511"/>
  <w16cid:commentId w16cid:paraId="1840E738" w16cid:durableId="253D0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7FCC" w14:textId="77777777" w:rsidR="007F0D7A" w:rsidRDefault="007F0D7A">
      <w:r>
        <w:separator/>
      </w:r>
    </w:p>
  </w:endnote>
  <w:endnote w:type="continuationSeparator" w:id="0">
    <w:p w14:paraId="5CE094BD" w14:textId="77777777" w:rsidR="007F0D7A" w:rsidRDefault="007F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38BB819C" w14:textId="77777777" w:rsidR="000C77F3" w:rsidRPr="00A31881" w:rsidRDefault="007F0D7A"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0C680E60" w14:textId="77777777" w:rsidR="000C77F3" w:rsidRPr="00A31881" w:rsidRDefault="007F0D7A"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79194311" w14:textId="12EE2F8B" w:rsidR="000C77F3" w:rsidRPr="0052732A" w:rsidRDefault="007F0D7A"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794876">
          <w:rPr>
            <w:rStyle w:val="PageNumber"/>
            <w:rFonts w:ascii="Arial" w:hAnsi="Arial" w:cs="Arial"/>
            <w:b/>
            <w:bCs/>
            <w:noProof/>
            <w:sz w:val="18"/>
            <w:szCs w:val="18"/>
          </w:rPr>
          <w:t>15</w:t>
        </w:r>
        <w:r w:rsidRPr="00C50F86">
          <w:rPr>
            <w:rStyle w:val="PageNumber"/>
            <w:rFonts w:ascii="Arial" w:hAnsi="Arial" w:cs="Arial"/>
            <w:b/>
            <w:bCs/>
            <w:sz w:val="18"/>
            <w:szCs w:val="18"/>
          </w:rPr>
          <w:fldChar w:fldCharType="end"/>
        </w:r>
      </w:p>
    </w:sdtContent>
  </w:sdt>
  <w:p w14:paraId="592ED06C" w14:textId="77777777" w:rsidR="000C77F3" w:rsidRPr="0052732A" w:rsidRDefault="007F0D7A" w:rsidP="0052732A">
    <w:pPr>
      <w:pStyle w:val="Footer"/>
      <w:ind w:right="360"/>
      <w:rPr>
        <w:rFonts w:ascii="Arial" w:hAnsi="Arial" w:cs="Arial"/>
        <w:sz w:val="18"/>
        <w:szCs w:val="18"/>
      </w:rPr>
    </w:pPr>
    <w:r w:rsidRPr="0052732A">
      <w:rPr>
        <w:rFonts w:ascii="Arial" w:hAnsi="Arial" w:cs="Arial"/>
        <w:sz w:val="18"/>
        <w:szCs w:val="18"/>
      </w:rPr>
      <w:t>202122-576.assessment1summative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C377" w14:textId="77777777" w:rsidR="007F0D7A" w:rsidRDefault="007F0D7A" w:rsidP="00241B44">
      <w:r>
        <w:separator/>
      </w:r>
    </w:p>
  </w:footnote>
  <w:footnote w:type="continuationSeparator" w:id="0">
    <w:p w14:paraId="3C6062E5" w14:textId="77777777" w:rsidR="007F0D7A" w:rsidRDefault="007F0D7A" w:rsidP="00241B44">
      <w:r>
        <w:continuationSeparator/>
      </w:r>
    </w:p>
  </w:footnote>
  <w:footnote w:id="1">
    <w:p w14:paraId="44D00520" w14:textId="77777777" w:rsidR="000C77F3" w:rsidRPr="00FE351E" w:rsidRDefault="007F0D7A">
      <w:pPr>
        <w:pStyle w:val="FootnoteText"/>
        <w:rPr>
          <w:lang w:val="en-GB"/>
        </w:rPr>
      </w:pPr>
      <w:r>
        <w:rPr>
          <w:rStyle w:val="FootnoteReference"/>
        </w:rPr>
        <w:footnoteRef/>
      </w:r>
      <w:r w:rsidRPr="00FE351E">
        <w:t xml:space="preserve"> A </w:t>
      </w:r>
      <w:r w:rsidRPr="00FE351E">
        <w:rPr>
          <w:lang w:val="en-GB"/>
        </w:rPr>
        <w:t>Borraine, R Mason and E Streten "Module 1 Guidance text: Introduction to international insolvency law 2021/2022" Foundation Certificate in International Insolvency Law course notes, p 5 (hereinafter the "</w:t>
      </w:r>
      <w:r w:rsidRPr="00FE351E">
        <w:rPr>
          <w:b/>
          <w:lang w:val="en-GB"/>
        </w:rPr>
        <w:t>Module 1 Guidance Text</w:t>
      </w:r>
      <w:r w:rsidRPr="00FE351E">
        <w:rPr>
          <w:lang w:val="en-GB"/>
        </w:rPr>
        <w:t>").</w:t>
      </w:r>
    </w:p>
  </w:footnote>
  <w:footnote w:id="2">
    <w:p w14:paraId="7B617FAD" w14:textId="77777777" w:rsidR="000C77F3" w:rsidRPr="006D4097" w:rsidRDefault="007F0D7A">
      <w:pPr>
        <w:pStyle w:val="FootnoteText"/>
        <w:rPr>
          <w:lang w:val="en-GB"/>
        </w:rPr>
      </w:pPr>
      <w:r>
        <w:rPr>
          <w:rStyle w:val="FootnoteReference"/>
        </w:rPr>
        <w:footnoteRef/>
      </w:r>
      <w:r>
        <w:t xml:space="preserve"> </w:t>
      </w:r>
      <w:r>
        <w:rPr>
          <w:lang w:val="en-GB"/>
        </w:rPr>
        <w:t>Ibid.</w:t>
      </w:r>
    </w:p>
  </w:footnote>
  <w:footnote w:id="3">
    <w:p w14:paraId="666C14FE" w14:textId="77777777" w:rsidR="000C77F3" w:rsidRPr="00F65857" w:rsidRDefault="007F0D7A">
      <w:pPr>
        <w:pStyle w:val="FootnoteText"/>
        <w:rPr>
          <w:lang w:val="en-GB"/>
        </w:rPr>
      </w:pPr>
      <w:r>
        <w:rPr>
          <w:rStyle w:val="FootnoteReference"/>
        </w:rPr>
        <w:footnoteRef/>
      </w:r>
      <w:r>
        <w:t xml:space="preserve"> </w:t>
      </w:r>
      <w:r>
        <w:rPr>
          <w:lang w:val="en-GB"/>
        </w:rPr>
        <w:t>Idem p 6.</w:t>
      </w:r>
    </w:p>
  </w:footnote>
  <w:footnote w:id="4">
    <w:p w14:paraId="5B6E4BEF" w14:textId="77777777" w:rsidR="000C77F3" w:rsidRPr="00F65857" w:rsidRDefault="007F0D7A">
      <w:pPr>
        <w:pStyle w:val="FootnoteText"/>
        <w:rPr>
          <w:lang w:val="en-GB"/>
        </w:rPr>
      </w:pPr>
      <w:r>
        <w:rPr>
          <w:rStyle w:val="FootnoteReference"/>
        </w:rPr>
        <w:footnoteRef/>
      </w:r>
      <w:r w:rsidRPr="00F65857">
        <w:rPr>
          <w:lang w:val="en-GB"/>
        </w:rPr>
        <w:t>New business support measures: Corporate Insolvency and Governance Act 2020</w:t>
      </w:r>
      <w:r>
        <w:t xml:space="preserve"> </w:t>
      </w:r>
      <w:hyperlink r:id="rId1" w:history="1">
        <w:r w:rsidRPr="007164E3">
          <w:rPr>
            <w:rStyle w:val="Hyperlink"/>
          </w:rPr>
          <w:t>https://commonslibrary.parliament.uk/research-briefings/cbp-8971/</w:t>
        </w:r>
      </w:hyperlink>
      <w:r>
        <w:t xml:space="preserve"> published 5 October 2021, accessed on 6 November 2021.</w:t>
      </w:r>
    </w:p>
  </w:footnote>
  <w:footnote w:id="5">
    <w:p w14:paraId="3163ECBD" w14:textId="77777777" w:rsidR="000C77F3" w:rsidRPr="00AE7BD4" w:rsidRDefault="007F0D7A" w:rsidP="00AE7BD4">
      <w:pPr>
        <w:pStyle w:val="FootnoteText"/>
        <w:rPr>
          <w:lang w:val="en-GB"/>
        </w:rPr>
      </w:pPr>
      <w:r>
        <w:rPr>
          <w:rStyle w:val="FootnoteReference"/>
        </w:rPr>
        <w:footnoteRef/>
      </w:r>
      <w:r>
        <w:t xml:space="preserve"> </w:t>
      </w:r>
      <w:r w:rsidRPr="00AE7BD4">
        <w:rPr>
          <w:lang w:val="en-GB"/>
        </w:rPr>
        <w:t>Module 1 Guidance Text supra note 1 at p19.</w:t>
      </w:r>
    </w:p>
  </w:footnote>
  <w:footnote w:id="6">
    <w:p w14:paraId="617DCB20" w14:textId="77777777" w:rsidR="000C77F3" w:rsidRPr="00004CBB" w:rsidRDefault="007F0D7A">
      <w:pPr>
        <w:pStyle w:val="FootnoteText"/>
        <w:rPr>
          <w:lang w:val="en-GB"/>
        </w:rPr>
      </w:pPr>
      <w:r w:rsidRPr="00AE7BD4">
        <w:rPr>
          <w:rStyle w:val="FootnoteReference"/>
        </w:rPr>
        <w:footnoteRef/>
      </w:r>
      <w:r>
        <w:t xml:space="preserve"> The Constitution of the Republic of South Africa, 1996 (hereinafter the "</w:t>
      </w:r>
      <w:r w:rsidRPr="00D31C99">
        <w:rPr>
          <w:b/>
        </w:rPr>
        <w:t>Constitution</w:t>
      </w:r>
      <w:r>
        <w:t>").</w:t>
      </w:r>
    </w:p>
  </w:footnote>
  <w:footnote w:id="7">
    <w:p w14:paraId="31E67ADE" w14:textId="77777777" w:rsidR="000C77F3" w:rsidRPr="00D31C99" w:rsidRDefault="007F0D7A">
      <w:pPr>
        <w:pStyle w:val="FootnoteText"/>
        <w:rPr>
          <w:lang w:val="en-GB"/>
        </w:rPr>
      </w:pPr>
      <w:r>
        <w:rPr>
          <w:rStyle w:val="FootnoteReference"/>
        </w:rPr>
        <w:footnoteRef/>
      </w:r>
      <w:r>
        <w:t xml:space="preserve"> Section 39(2) of the Constitution.</w:t>
      </w:r>
    </w:p>
  </w:footnote>
  <w:footnote w:id="8">
    <w:p w14:paraId="7204743B" w14:textId="6776033D" w:rsidR="000C77F3" w:rsidRPr="002D3D4A" w:rsidRDefault="007F0D7A">
      <w:pPr>
        <w:pStyle w:val="FootnoteText"/>
        <w:rPr>
          <w:lang w:val="en-GB"/>
        </w:rPr>
      </w:pPr>
      <w:r>
        <w:rPr>
          <w:rStyle w:val="FootnoteReference"/>
        </w:rPr>
        <w:footnoteRef/>
      </w:r>
      <w:r>
        <w:t xml:space="preserve"> </w:t>
      </w:r>
      <w:r w:rsidRPr="002D3D4A">
        <w:rPr>
          <w:lang w:val="en-GB"/>
        </w:rPr>
        <w:t xml:space="preserve">Module 1 Guidance Text </w:t>
      </w:r>
      <w:r w:rsidRPr="00343251">
        <w:rPr>
          <w:i/>
          <w:lang w:val="en-GB"/>
        </w:rPr>
        <w:t>supra</w:t>
      </w:r>
      <w:r w:rsidR="000C72C4">
        <w:rPr>
          <w:lang w:val="en-GB"/>
        </w:rPr>
        <w:t xml:space="preserve"> note 1 at p42.</w:t>
      </w:r>
    </w:p>
  </w:footnote>
  <w:footnote w:id="9">
    <w:p w14:paraId="2FEBF69E" w14:textId="77777777" w:rsidR="000C77F3" w:rsidRPr="00E52555" w:rsidRDefault="007F0D7A">
      <w:pPr>
        <w:pStyle w:val="FootnoteText"/>
        <w:rPr>
          <w:lang w:val="en-GB"/>
        </w:rPr>
      </w:pPr>
      <w:r>
        <w:rPr>
          <w:rStyle w:val="FootnoteReference"/>
        </w:rPr>
        <w:footnoteRef/>
      </w:r>
      <w:r>
        <w:t xml:space="preserve"> </w:t>
      </w:r>
      <w:r w:rsidRPr="00343251">
        <w:rPr>
          <w:i/>
          <w:lang w:val="en-GB"/>
        </w:rPr>
        <w:t>Ibid</w:t>
      </w:r>
      <w:r>
        <w:rPr>
          <w:lang w:val="en-GB"/>
        </w:rPr>
        <w:t>.</w:t>
      </w:r>
    </w:p>
  </w:footnote>
  <w:footnote w:id="10">
    <w:p w14:paraId="0A60D68E" w14:textId="77777777" w:rsidR="000C77F3" w:rsidRPr="00381236" w:rsidRDefault="007F0D7A" w:rsidP="00E656D6">
      <w:pPr>
        <w:pStyle w:val="FootnoteText"/>
        <w:rPr>
          <w:lang w:val="en-GB"/>
        </w:rPr>
      </w:pPr>
      <w:r>
        <w:rPr>
          <w:rStyle w:val="FootnoteReference"/>
        </w:rPr>
        <w:footnoteRef/>
      </w:r>
      <w:r>
        <w:t xml:space="preserve"> </w:t>
      </w:r>
      <w:r>
        <w:rPr>
          <w:lang w:val="en-GB"/>
        </w:rPr>
        <w:t xml:space="preserve">Module 1 Guidance Text </w:t>
      </w:r>
      <w:r w:rsidRPr="00F4309C">
        <w:rPr>
          <w:i/>
          <w:lang w:val="en-GB"/>
        </w:rPr>
        <w:t>supra</w:t>
      </w:r>
      <w:r>
        <w:rPr>
          <w:lang w:val="en-GB"/>
        </w:rPr>
        <w:t xml:space="preserve"> note 1 at p41.</w:t>
      </w:r>
    </w:p>
  </w:footnote>
  <w:footnote w:id="11">
    <w:p w14:paraId="4013C02E" w14:textId="77777777" w:rsidR="000C77F3" w:rsidRPr="00DA5188" w:rsidRDefault="007F0D7A">
      <w:pPr>
        <w:pStyle w:val="FootnoteText"/>
        <w:rPr>
          <w:lang w:val="en-GB"/>
        </w:rPr>
      </w:pPr>
      <w:r>
        <w:rPr>
          <w:rStyle w:val="FootnoteReference"/>
        </w:rPr>
        <w:footnoteRef/>
      </w:r>
      <w:r>
        <w:t xml:space="preserve"> As summarised in the UNCITRAL Practice Guide on Cross-border Insolvency Cooperation pp 128-129.</w:t>
      </w:r>
    </w:p>
  </w:footnote>
  <w:footnote w:id="12">
    <w:p w14:paraId="50C08033" w14:textId="77777777" w:rsidR="000C77F3" w:rsidRPr="00245145" w:rsidRDefault="007F0D7A">
      <w:pPr>
        <w:pStyle w:val="FootnoteText"/>
        <w:rPr>
          <w:lang w:val="en-GB"/>
        </w:rPr>
      </w:pPr>
      <w:r>
        <w:rPr>
          <w:rStyle w:val="FootnoteReference"/>
        </w:rPr>
        <w:footnoteRef/>
      </w:r>
      <w:r>
        <w:t xml:space="preserve"> Westbrook JL "The Lessons of Maxwell Communications" (1996) </w:t>
      </w:r>
      <w:r>
        <w:rPr>
          <w:i/>
        </w:rPr>
        <w:t xml:space="preserve">Fordham Law Review </w:t>
      </w:r>
      <w:r>
        <w:t>64 2531.</w:t>
      </w:r>
    </w:p>
  </w:footnote>
  <w:footnote w:id="13">
    <w:p w14:paraId="0402F60E" w14:textId="77777777" w:rsidR="000C77F3" w:rsidRPr="0031453C" w:rsidRDefault="007F0D7A">
      <w:pPr>
        <w:pStyle w:val="FootnoteText"/>
        <w:rPr>
          <w:lang w:val="en-GB"/>
        </w:rPr>
      </w:pPr>
      <w:r>
        <w:rPr>
          <w:rStyle w:val="FootnoteReference"/>
        </w:rPr>
        <w:footnoteRef/>
      </w:r>
      <w:r>
        <w:t xml:space="preserve"> </w:t>
      </w:r>
      <w:r w:rsidRPr="008748D7">
        <w:rPr>
          <w:i/>
          <w:lang w:val="en-GB"/>
        </w:rPr>
        <w:t>Idem</w:t>
      </w:r>
      <w:r>
        <w:rPr>
          <w:lang w:val="en-GB"/>
        </w:rPr>
        <w:t xml:space="preserve"> at 2532.</w:t>
      </w:r>
    </w:p>
  </w:footnote>
  <w:footnote w:id="14">
    <w:p w14:paraId="70833262" w14:textId="6AE5D1B9" w:rsidR="000C72C4" w:rsidRPr="000C72C4" w:rsidRDefault="000C72C4">
      <w:pPr>
        <w:pStyle w:val="FootnoteText"/>
        <w:rPr>
          <w:lang w:val="en-GB"/>
        </w:rPr>
      </w:pPr>
      <w:r>
        <w:rPr>
          <w:rStyle w:val="FootnoteReference"/>
        </w:rPr>
        <w:footnoteRef/>
      </w:r>
      <w:r>
        <w:t xml:space="preserve"> </w:t>
      </w:r>
      <w:r>
        <w:rPr>
          <w:i/>
          <w:lang w:val="en-GB"/>
        </w:rPr>
        <w:t>Ibid.</w:t>
      </w:r>
    </w:p>
  </w:footnote>
  <w:footnote w:id="15">
    <w:p w14:paraId="00A61C2E" w14:textId="77777777" w:rsidR="000C77F3" w:rsidRPr="00CC7B64" w:rsidRDefault="007F0D7A" w:rsidP="00F46B85">
      <w:pPr>
        <w:pStyle w:val="FootnoteText"/>
        <w:rPr>
          <w:lang w:val="en-GB"/>
        </w:rPr>
      </w:pPr>
      <w:r>
        <w:rPr>
          <w:rStyle w:val="FootnoteReference"/>
        </w:rPr>
        <w:footnoteRef/>
      </w:r>
      <w:r>
        <w:t xml:space="preserve"> </w:t>
      </w:r>
      <w:hyperlink r:id="rId2" w:history="1">
        <w:r w:rsidRPr="00B45701">
          <w:rPr>
            <w:rStyle w:val="Hyperlink"/>
            <w:bCs/>
            <w:iCs/>
          </w:rPr>
          <w:t>Practical Law Restructuring and Insolvency</w:t>
        </w:r>
      </w:hyperlink>
      <w:r w:rsidRPr="00B45701">
        <w:t xml:space="preserve"> "</w:t>
      </w:r>
      <w:r w:rsidRPr="00B45701">
        <w:rPr>
          <w:bCs/>
          <w:lang w:val="en-GB"/>
        </w:rPr>
        <w:t xml:space="preserve">The Recast Insolvency Regulation" accessed on 15 November 2021 at </w:t>
      </w:r>
      <w:hyperlink r:id="rId3" w:history="1">
        <w:r w:rsidRPr="0077333F">
          <w:rPr>
            <w:rStyle w:val="Hyperlink"/>
          </w:rPr>
          <w:t>https://uk.practicallaw.thomsonreuters.com/w-007-7841</w:t>
        </w:r>
      </w:hyperlink>
      <w:r>
        <w:t>.</w:t>
      </w:r>
    </w:p>
  </w:footnote>
  <w:footnote w:id="16">
    <w:p w14:paraId="7F93C0D0" w14:textId="77777777" w:rsidR="000C77F3" w:rsidRPr="00404F0B" w:rsidRDefault="007F0D7A">
      <w:pPr>
        <w:pStyle w:val="FootnoteText"/>
        <w:rPr>
          <w:lang w:val="en-GB"/>
        </w:rPr>
      </w:pPr>
      <w:r>
        <w:rPr>
          <w:rStyle w:val="FootnoteReference"/>
        </w:rPr>
        <w:footnoteRef/>
      </w:r>
      <w:r>
        <w:t xml:space="preserve"> </w:t>
      </w:r>
      <w:r w:rsidRPr="00404F0B">
        <w:rPr>
          <w:bCs/>
        </w:rPr>
        <w:t>Kar P and Crawford H, Kirkland &amp; Ellis International LLP "</w:t>
      </w:r>
      <w:r>
        <w:rPr>
          <w:bCs/>
          <w:lang w:val="en-GB"/>
        </w:rPr>
        <w:t xml:space="preserve">Recast Insolvency Regulation: key changes for corporate restructurings" 4 May 2017, accessed on 15 November 2021 at </w:t>
      </w:r>
      <w:hyperlink r:id="rId4" w:history="1">
        <w:r w:rsidRPr="0077333F">
          <w:rPr>
            <w:rStyle w:val="Hyperlink"/>
          </w:rPr>
          <w:t>https://uk.practicallaw.thomsonreuters.com/2-641-0330</w:t>
        </w:r>
      </w:hyperlink>
      <w:r>
        <w:t>.</w:t>
      </w:r>
    </w:p>
  </w:footnote>
  <w:footnote w:id="17">
    <w:p w14:paraId="6258DCEE" w14:textId="77777777" w:rsidR="000C77F3" w:rsidRPr="00467D26" w:rsidRDefault="007F0D7A">
      <w:pPr>
        <w:pStyle w:val="FootnoteText"/>
        <w:rPr>
          <w:lang w:val="en-GB"/>
        </w:rPr>
      </w:pPr>
      <w:r>
        <w:rPr>
          <w:rStyle w:val="FootnoteReference"/>
        </w:rPr>
        <w:footnoteRef/>
      </w:r>
      <w:r>
        <w:t xml:space="preserve"> </w:t>
      </w:r>
      <w:r>
        <w:rPr>
          <w:lang w:val="en-GB"/>
        </w:rPr>
        <w:t xml:space="preserve">Paganuzzi D and Smith L, Kennedys LLP "Brexit and EU cross-border insolvency – what comes next?" 16 December 2020, </w:t>
      </w:r>
      <w:r w:rsidRPr="00467D26">
        <w:rPr>
          <w:bCs/>
          <w:lang w:val="en-GB"/>
        </w:rPr>
        <w:t>accessed on 15 November 2021 at</w:t>
      </w:r>
      <w:r w:rsidRPr="00467D26">
        <w:t xml:space="preserve"> </w:t>
      </w:r>
      <w:hyperlink r:id="rId5" w:history="1">
        <w:r w:rsidRPr="0077333F">
          <w:rPr>
            <w:rStyle w:val="Hyperlink"/>
            <w:bCs/>
            <w:lang w:val="en-GB"/>
          </w:rPr>
          <w:t>https://kennedyslaw.com/thought-leadership/article/brexit-and-eu-cross-border-insolvency-what-comes-next/</w:t>
        </w:r>
      </w:hyperlink>
      <w:r>
        <w:rPr>
          <w:bCs/>
          <w:lang w:val="en-GB"/>
        </w:rPr>
        <w:t>.</w:t>
      </w:r>
    </w:p>
  </w:footnote>
  <w:footnote w:id="18">
    <w:p w14:paraId="06207519" w14:textId="77777777" w:rsidR="000C77F3" w:rsidRPr="00E62BDC" w:rsidRDefault="007F0D7A">
      <w:pPr>
        <w:pStyle w:val="FootnoteText"/>
        <w:rPr>
          <w:lang w:val="en-GB"/>
        </w:rPr>
      </w:pPr>
      <w:r>
        <w:rPr>
          <w:rStyle w:val="FootnoteReference"/>
        </w:rPr>
        <w:footnoteRef/>
      </w:r>
      <w:r>
        <w:t xml:space="preserve"> </w:t>
      </w:r>
      <w:r w:rsidRPr="00E62BDC">
        <w:rPr>
          <w:lang w:val="en-GB"/>
        </w:rPr>
        <w:t xml:space="preserve">Kar, </w:t>
      </w:r>
      <w:r w:rsidRPr="00E62BDC">
        <w:rPr>
          <w:i/>
          <w:lang w:val="en-GB"/>
        </w:rPr>
        <w:t>supra</w:t>
      </w:r>
      <w:r w:rsidRPr="00E62BDC">
        <w:rPr>
          <w:lang w:val="en-GB"/>
        </w:rPr>
        <w:t xml:space="preserve"> note 15.</w:t>
      </w:r>
    </w:p>
  </w:footnote>
  <w:footnote w:id="19">
    <w:p w14:paraId="2639035F" w14:textId="77777777" w:rsidR="000C77F3" w:rsidRPr="00DA49B9" w:rsidRDefault="007F0D7A">
      <w:pPr>
        <w:pStyle w:val="FootnoteText"/>
        <w:rPr>
          <w:lang w:val="en-GB"/>
        </w:rPr>
      </w:pPr>
      <w:r>
        <w:rPr>
          <w:rStyle w:val="FootnoteReference"/>
        </w:rPr>
        <w:footnoteRef/>
      </w:r>
      <w:r>
        <w:t xml:space="preserve"> </w:t>
      </w:r>
      <w:r>
        <w:rPr>
          <w:lang w:val="en-GB"/>
        </w:rPr>
        <w:t xml:space="preserve">Kar, </w:t>
      </w:r>
      <w:r w:rsidRPr="00DA49B9">
        <w:rPr>
          <w:i/>
          <w:lang w:val="en-GB"/>
        </w:rPr>
        <w:t>supra</w:t>
      </w:r>
      <w:r>
        <w:rPr>
          <w:lang w:val="en-GB"/>
        </w:rPr>
        <w:t xml:space="preserve"> note 15.</w:t>
      </w:r>
    </w:p>
  </w:footnote>
  <w:footnote w:id="20">
    <w:p w14:paraId="74430B55" w14:textId="77777777" w:rsidR="00AA0DAD" w:rsidRPr="00AA0DAD" w:rsidRDefault="007F0D7A">
      <w:pPr>
        <w:pStyle w:val="FootnoteText"/>
        <w:rPr>
          <w:lang w:val="en-GB"/>
        </w:rPr>
      </w:pPr>
      <w:r>
        <w:rPr>
          <w:rStyle w:val="FootnoteReference"/>
        </w:rPr>
        <w:footnoteRef/>
      </w:r>
      <w:r>
        <w:t xml:space="preserve"> </w:t>
      </w:r>
      <w:r w:rsidRPr="00AA0DAD">
        <w:rPr>
          <w:lang w:val="en-GB"/>
        </w:rPr>
        <w:t xml:space="preserve">Article 19 of the </w:t>
      </w:r>
      <w:r w:rsidRPr="00AA0DAD">
        <w:t>Regulation (EU) 2015/848 of the European Parliament and of the Council of 20 May 2015 on insolvency proceedings (recast) (hereinafter referred to as the Recast Regulation).</w:t>
      </w:r>
    </w:p>
  </w:footnote>
  <w:footnote w:id="21">
    <w:p w14:paraId="4B16A215" w14:textId="77777777" w:rsidR="00AA0DAD" w:rsidRPr="00AA0DAD" w:rsidRDefault="007F0D7A">
      <w:pPr>
        <w:pStyle w:val="FootnoteText"/>
        <w:rPr>
          <w:lang w:val="en-GB"/>
        </w:rPr>
      </w:pPr>
      <w:r>
        <w:rPr>
          <w:rStyle w:val="FootnoteReference"/>
        </w:rPr>
        <w:footnoteRef/>
      </w:r>
      <w:r>
        <w:t xml:space="preserve"> </w:t>
      </w:r>
      <w:r w:rsidRPr="00AA0DAD">
        <w:rPr>
          <w:i/>
        </w:rPr>
        <w:t>Idem</w:t>
      </w:r>
      <w:r>
        <w:t xml:space="preserve"> at </w:t>
      </w:r>
      <w:r>
        <w:rPr>
          <w:lang w:val="en-GB"/>
        </w:rPr>
        <w:t>Article 20</w:t>
      </w:r>
      <w:r>
        <w:t>.</w:t>
      </w:r>
    </w:p>
  </w:footnote>
  <w:footnote w:id="22">
    <w:p w14:paraId="3589D937" w14:textId="14C3E716" w:rsidR="00794876" w:rsidRPr="00794876" w:rsidRDefault="00794876">
      <w:pPr>
        <w:pStyle w:val="FootnoteText"/>
        <w:rPr>
          <w:lang w:val="en-GB"/>
        </w:rPr>
      </w:pPr>
      <w:r>
        <w:rPr>
          <w:rStyle w:val="FootnoteReference"/>
        </w:rPr>
        <w:footnoteRef/>
      </w:r>
      <w:r>
        <w:t xml:space="preserve"> </w:t>
      </w:r>
      <w:r w:rsidRPr="00794876">
        <w:rPr>
          <w:i/>
        </w:rPr>
        <w:t>Idem</w:t>
      </w:r>
      <w:r w:rsidRPr="00794876">
        <w:t xml:space="preserve"> at </w:t>
      </w:r>
      <w:r w:rsidRPr="00794876">
        <w:rPr>
          <w:iCs/>
          <w:lang w:val="en-GB"/>
        </w:rPr>
        <w:t>Article 3(2)</w:t>
      </w:r>
      <w:r w:rsidRPr="00794876">
        <w:rPr>
          <w:lang w:val="en-GB"/>
        </w:rPr>
        <w:t>.</w:t>
      </w:r>
    </w:p>
  </w:footnote>
  <w:footnote w:id="23">
    <w:p w14:paraId="3E54D02D" w14:textId="77777777" w:rsidR="000C77F3" w:rsidRPr="00CD2B8B" w:rsidRDefault="007F0D7A">
      <w:pPr>
        <w:pStyle w:val="FootnoteText"/>
        <w:rPr>
          <w:lang w:val="en-GB"/>
        </w:rPr>
      </w:pPr>
      <w:r>
        <w:rPr>
          <w:rStyle w:val="FootnoteReference"/>
        </w:rPr>
        <w:footnoteRef/>
      </w:r>
      <w:r>
        <w:t xml:space="preserve"> </w:t>
      </w:r>
      <w:r w:rsidRPr="00CD2B8B">
        <w:rPr>
          <w:lang w:val="en-GB"/>
        </w:rPr>
        <w:t xml:space="preserve">Paganuzzi, </w:t>
      </w:r>
      <w:r w:rsidRPr="00CD2B8B">
        <w:rPr>
          <w:i/>
          <w:lang w:val="en-GB"/>
        </w:rPr>
        <w:t>supra</w:t>
      </w:r>
      <w:r w:rsidRPr="00CD2B8B">
        <w:rPr>
          <w:lang w:val="en-GB"/>
        </w:rPr>
        <w:t xml:space="preserve"> note 16.</w:t>
      </w:r>
    </w:p>
  </w:footnote>
  <w:footnote w:id="24">
    <w:p w14:paraId="56C3324D" w14:textId="77777777" w:rsidR="000C77F3" w:rsidRPr="00CD2B8B" w:rsidRDefault="007F0D7A">
      <w:pPr>
        <w:pStyle w:val="FootnoteText"/>
        <w:rPr>
          <w:lang w:val="en-GB"/>
        </w:rPr>
      </w:pPr>
      <w:r>
        <w:rPr>
          <w:rStyle w:val="FootnoteReference"/>
        </w:rPr>
        <w:footnoteRef/>
      </w:r>
      <w:r>
        <w:t xml:space="preserve"> </w:t>
      </w:r>
      <w:r w:rsidRPr="00CD2B8B">
        <w:rPr>
          <w:lang w:val="en-GB"/>
        </w:rPr>
        <w:t xml:space="preserve">Paganuzzi, </w:t>
      </w:r>
      <w:r w:rsidRPr="00CD2B8B">
        <w:rPr>
          <w:i/>
          <w:lang w:val="en-GB"/>
        </w:rPr>
        <w:t>supra</w:t>
      </w:r>
      <w:r w:rsidRPr="00CD2B8B">
        <w:rPr>
          <w:lang w:val="en-GB"/>
        </w:rPr>
        <w:t xml:space="preserve"> note 16.</w:t>
      </w:r>
    </w:p>
  </w:footnote>
  <w:footnote w:id="25">
    <w:p w14:paraId="7D3B816E" w14:textId="6EC478ED" w:rsidR="0099733D" w:rsidRPr="0099733D" w:rsidRDefault="0099733D">
      <w:pPr>
        <w:pStyle w:val="FootnoteText"/>
        <w:rPr>
          <w:lang w:val="en-GB"/>
        </w:rPr>
      </w:pPr>
      <w:r>
        <w:rPr>
          <w:rStyle w:val="FootnoteReference"/>
        </w:rPr>
        <w:footnoteRef/>
      </w:r>
      <w:r>
        <w:t xml:space="preserve"> Whiteoak J, Pullen K, Chetwood J and Cooke A, Herbert Smith Freehills, "</w:t>
      </w:r>
      <w:r w:rsidRPr="0099733D">
        <w:rPr>
          <w:bCs/>
          <w:lang w:val="en-GB"/>
        </w:rPr>
        <w:t>Cross-Border Insolvencies in the UK and EU – A Post-Brexit Guide</w:t>
      </w:r>
      <w:r>
        <w:rPr>
          <w:bCs/>
          <w:lang w:val="en-GB"/>
        </w:rPr>
        <w:t xml:space="preserve">" 4 February 2021, accessed on </w:t>
      </w:r>
      <w:r w:rsidRPr="0099733D">
        <w:rPr>
          <w:bCs/>
          <w:lang w:val="en-GB"/>
        </w:rPr>
        <w:t>15 November 2021 at</w:t>
      </w:r>
      <w:r>
        <w:rPr>
          <w:bCs/>
          <w:lang w:val="en-GB"/>
        </w:rPr>
        <w:t xml:space="preserve"> </w:t>
      </w:r>
      <w:hyperlink r:id="rId6" w:history="1">
        <w:r w:rsidRPr="0077333F">
          <w:rPr>
            <w:rStyle w:val="Hyperlink"/>
            <w:bCs/>
            <w:lang w:val="en-GB"/>
          </w:rPr>
          <w:t>https://www.herbertsmithfreehills.com/insight/cross-border-insolvencies-in-the-uk-and-eu-%E2%80%93-a-post-brexit-guide</w:t>
        </w:r>
      </w:hyperlink>
      <w:r>
        <w:rPr>
          <w:bCs/>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F4A02832">
      <w:start w:val="1"/>
      <w:numFmt w:val="lowerLetter"/>
      <w:lvlText w:val="(%1)"/>
      <w:lvlJc w:val="left"/>
      <w:pPr>
        <w:ind w:left="1077" w:hanging="360"/>
      </w:pPr>
      <w:rPr>
        <w:rFonts w:hint="default"/>
      </w:rPr>
    </w:lvl>
    <w:lvl w:ilvl="1" w:tplc="54F6FBF4" w:tentative="1">
      <w:start w:val="1"/>
      <w:numFmt w:val="lowerLetter"/>
      <w:lvlText w:val="%2."/>
      <w:lvlJc w:val="left"/>
      <w:pPr>
        <w:ind w:left="1797" w:hanging="360"/>
      </w:pPr>
    </w:lvl>
    <w:lvl w:ilvl="2" w:tplc="543040CE" w:tentative="1">
      <w:start w:val="1"/>
      <w:numFmt w:val="lowerRoman"/>
      <w:lvlText w:val="%3."/>
      <w:lvlJc w:val="right"/>
      <w:pPr>
        <w:ind w:left="2517" w:hanging="180"/>
      </w:pPr>
    </w:lvl>
    <w:lvl w:ilvl="3" w:tplc="85DA7EFA" w:tentative="1">
      <w:start w:val="1"/>
      <w:numFmt w:val="decimal"/>
      <w:lvlText w:val="%4."/>
      <w:lvlJc w:val="left"/>
      <w:pPr>
        <w:ind w:left="3237" w:hanging="360"/>
      </w:pPr>
    </w:lvl>
    <w:lvl w:ilvl="4" w:tplc="C3F295C2" w:tentative="1">
      <w:start w:val="1"/>
      <w:numFmt w:val="lowerLetter"/>
      <w:lvlText w:val="%5."/>
      <w:lvlJc w:val="left"/>
      <w:pPr>
        <w:ind w:left="3957" w:hanging="360"/>
      </w:pPr>
    </w:lvl>
    <w:lvl w:ilvl="5" w:tplc="C1568B2E" w:tentative="1">
      <w:start w:val="1"/>
      <w:numFmt w:val="lowerRoman"/>
      <w:lvlText w:val="%6."/>
      <w:lvlJc w:val="right"/>
      <w:pPr>
        <w:ind w:left="4677" w:hanging="180"/>
      </w:pPr>
    </w:lvl>
    <w:lvl w:ilvl="6" w:tplc="D15AEED4" w:tentative="1">
      <w:start w:val="1"/>
      <w:numFmt w:val="decimal"/>
      <w:lvlText w:val="%7."/>
      <w:lvlJc w:val="left"/>
      <w:pPr>
        <w:ind w:left="5397" w:hanging="360"/>
      </w:pPr>
    </w:lvl>
    <w:lvl w:ilvl="7" w:tplc="EC900650" w:tentative="1">
      <w:start w:val="1"/>
      <w:numFmt w:val="lowerLetter"/>
      <w:lvlText w:val="%8."/>
      <w:lvlJc w:val="left"/>
      <w:pPr>
        <w:ind w:left="6117" w:hanging="360"/>
      </w:pPr>
    </w:lvl>
    <w:lvl w:ilvl="8" w:tplc="A6EAF6E4"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2578C94A">
      <w:start w:val="1"/>
      <w:numFmt w:val="lowerLetter"/>
      <w:lvlText w:val="(%1)"/>
      <w:lvlJc w:val="left"/>
      <w:pPr>
        <w:ind w:left="1077" w:hanging="360"/>
      </w:pPr>
      <w:rPr>
        <w:rFonts w:hint="default"/>
      </w:rPr>
    </w:lvl>
    <w:lvl w:ilvl="1" w:tplc="DA94FF34" w:tentative="1">
      <w:start w:val="1"/>
      <w:numFmt w:val="lowerLetter"/>
      <w:lvlText w:val="%2."/>
      <w:lvlJc w:val="left"/>
      <w:pPr>
        <w:ind w:left="1797" w:hanging="360"/>
      </w:pPr>
    </w:lvl>
    <w:lvl w:ilvl="2" w:tplc="2F5089FE" w:tentative="1">
      <w:start w:val="1"/>
      <w:numFmt w:val="lowerRoman"/>
      <w:lvlText w:val="%3."/>
      <w:lvlJc w:val="right"/>
      <w:pPr>
        <w:ind w:left="2517" w:hanging="180"/>
      </w:pPr>
    </w:lvl>
    <w:lvl w:ilvl="3" w:tplc="516634C0" w:tentative="1">
      <w:start w:val="1"/>
      <w:numFmt w:val="decimal"/>
      <w:lvlText w:val="%4."/>
      <w:lvlJc w:val="left"/>
      <w:pPr>
        <w:ind w:left="3237" w:hanging="360"/>
      </w:pPr>
    </w:lvl>
    <w:lvl w:ilvl="4" w:tplc="06E26B58" w:tentative="1">
      <w:start w:val="1"/>
      <w:numFmt w:val="lowerLetter"/>
      <w:lvlText w:val="%5."/>
      <w:lvlJc w:val="left"/>
      <w:pPr>
        <w:ind w:left="3957" w:hanging="360"/>
      </w:pPr>
    </w:lvl>
    <w:lvl w:ilvl="5" w:tplc="90FEFB24" w:tentative="1">
      <w:start w:val="1"/>
      <w:numFmt w:val="lowerRoman"/>
      <w:lvlText w:val="%6."/>
      <w:lvlJc w:val="right"/>
      <w:pPr>
        <w:ind w:left="4677" w:hanging="180"/>
      </w:pPr>
    </w:lvl>
    <w:lvl w:ilvl="6" w:tplc="29F6376C" w:tentative="1">
      <w:start w:val="1"/>
      <w:numFmt w:val="decimal"/>
      <w:lvlText w:val="%7."/>
      <w:lvlJc w:val="left"/>
      <w:pPr>
        <w:ind w:left="5397" w:hanging="360"/>
      </w:pPr>
    </w:lvl>
    <w:lvl w:ilvl="7" w:tplc="7CA667E2" w:tentative="1">
      <w:start w:val="1"/>
      <w:numFmt w:val="lowerLetter"/>
      <w:lvlText w:val="%8."/>
      <w:lvlJc w:val="left"/>
      <w:pPr>
        <w:ind w:left="6117" w:hanging="360"/>
      </w:pPr>
    </w:lvl>
    <w:lvl w:ilvl="8" w:tplc="B270F06E" w:tentative="1">
      <w:start w:val="1"/>
      <w:numFmt w:val="lowerRoman"/>
      <w:lvlText w:val="%9."/>
      <w:lvlJc w:val="right"/>
      <w:pPr>
        <w:ind w:left="6837" w:hanging="180"/>
      </w:pPr>
    </w:lvl>
  </w:abstractNum>
  <w:abstractNum w:abstractNumId="2" w15:restartNumberingAfterBreak="0">
    <w:nsid w:val="1342022D"/>
    <w:multiLevelType w:val="hybridMultilevel"/>
    <w:tmpl w:val="48DCAEDE"/>
    <w:lvl w:ilvl="0" w:tplc="4748FF24">
      <w:start w:val="1"/>
      <w:numFmt w:val="lowerRoman"/>
      <w:lvlText w:val="%1)"/>
      <w:lvlJc w:val="left"/>
      <w:pPr>
        <w:ind w:left="1080" w:hanging="720"/>
      </w:pPr>
      <w:rPr>
        <w:rFonts w:hint="default"/>
      </w:rPr>
    </w:lvl>
    <w:lvl w:ilvl="1" w:tplc="8CE6EA16" w:tentative="1">
      <w:start w:val="1"/>
      <w:numFmt w:val="lowerLetter"/>
      <w:lvlText w:val="%2."/>
      <w:lvlJc w:val="left"/>
      <w:pPr>
        <w:ind w:left="1440" w:hanging="360"/>
      </w:pPr>
    </w:lvl>
    <w:lvl w:ilvl="2" w:tplc="05BAF8CE" w:tentative="1">
      <w:start w:val="1"/>
      <w:numFmt w:val="lowerRoman"/>
      <w:lvlText w:val="%3."/>
      <w:lvlJc w:val="right"/>
      <w:pPr>
        <w:ind w:left="2160" w:hanging="180"/>
      </w:pPr>
    </w:lvl>
    <w:lvl w:ilvl="3" w:tplc="BDF03B3C" w:tentative="1">
      <w:start w:val="1"/>
      <w:numFmt w:val="decimal"/>
      <w:lvlText w:val="%4."/>
      <w:lvlJc w:val="left"/>
      <w:pPr>
        <w:ind w:left="2880" w:hanging="360"/>
      </w:pPr>
    </w:lvl>
    <w:lvl w:ilvl="4" w:tplc="CFB4C3DE" w:tentative="1">
      <w:start w:val="1"/>
      <w:numFmt w:val="lowerLetter"/>
      <w:lvlText w:val="%5."/>
      <w:lvlJc w:val="left"/>
      <w:pPr>
        <w:ind w:left="3600" w:hanging="360"/>
      </w:pPr>
    </w:lvl>
    <w:lvl w:ilvl="5" w:tplc="D5406F7C" w:tentative="1">
      <w:start w:val="1"/>
      <w:numFmt w:val="lowerRoman"/>
      <w:lvlText w:val="%6."/>
      <w:lvlJc w:val="right"/>
      <w:pPr>
        <w:ind w:left="4320" w:hanging="180"/>
      </w:pPr>
    </w:lvl>
    <w:lvl w:ilvl="6" w:tplc="5D02B188" w:tentative="1">
      <w:start w:val="1"/>
      <w:numFmt w:val="decimal"/>
      <w:lvlText w:val="%7."/>
      <w:lvlJc w:val="left"/>
      <w:pPr>
        <w:ind w:left="5040" w:hanging="360"/>
      </w:pPr>
    </w:lvl>
    <w:lvl w:ilvl="7" w:tplc="4B6E2DB4" w:tentative="1">
      <w:start w:val="1"/>
      <w:numFmt w:val="lowerLetter"/>
      <w:lvlText w:val="%8."/>
      <w:lvlJc w:val="left"/>
      <w:pPr>
        <w:ind w:left="5760" w:hanging="360"/>
      </w:pPr>
    </w:lvl>
    <w:lvl w:ilvl="8" w:tplc="DDBE7FDC" w:tentative="1">
      <w:start w:val="1"/>
      <w:numFmt w:val="lowerRoman"/>
      <w:lvlText w:val="%9."/>
      <w:lvlJc w:val="right"/>
      <w:pPr>
        <w:ind w:left="6480" w:hanging="180"/>
      </w:pPr>
    </w:lvl>
  </w:abstractNum>
  <w:abstractNum w:abstractNumId="3" w15:restartNumberingAfterBreak="0">
    <w:nsid w:val="13CF19C9"/>
    <w:multiLevelType w:val="hybridMultilevel"/>
    <w:tmpl w:val="F2CAF43A"/>
    <w:lvl w:ilvl="0" w:tplc="1D441370">
      <w:start w:val="1"/>
      <w:numFmt w:val="lowerLetter"/>
      <w:lvlText w:val="(%1)"/>
      <w:lvlJc w:val="left"/>
      <w:pPr>
        <w:ind w:left="1077" w:hanging="360"/>
      </w:pPr>
      <w:rPr>
        <w:rFonts w:hint="default"/>
      </w:rPr>
    </w:lvl>
    <w:lvl w:ilvl="1" w:tplc="3146AC42" w:tentative="1">
      <w:start w:val="1"/>
      <w:numFmt w:val="lowerLetter"/>
      <w:lvlText w:val="%2."/>
      <w:lvlJc w:val="left"/>
      <w:pPr>
        <w:ind w:left="1797" w:hanging="360"/>
      </w:pPr>
    </w:lvl>
    <w:lvl w:ilvl="2" w:tplc="FF8C497C" w:tentative="1">
      <w:start w:val="1"/>
      <w:numFmt w:val="lowerRoman"/>
      <w:lvlText w:val="%3."/>
      <w:lvlJc w:val="right"/>
      <w:pPr>
        <w:ind w:left="2517" w:hanging="180"/>
      </w:pPr>
    </w:lvl>
    <w:lvl w:ilvl="3" w:tplc="7DCA22E6" w:tentative="1">
      <w:start w:val="1"/>
      <w:numFmt w:val="decimal"/>
      <w:lvlText w:val="%4."/>
      <w:lvlJc w:val="left"/>
      <w:pPr>
        <w:ind w:left="3237" w:hanging="360"/>
      </w:pPr>
    </w:lvl>
    <w:lvl w:ilvl="4" w:tplc="29BA46FC" w:tentative="1">
      <w:start w:val="1"/>
      <w:numFmt w:val="lowerLetter"/>
      <w:lvlText w:val="%5."/>
      <w:lvlJc w:val="left"/>
      <w:pPr>
        <w:ind w:left="3957" w:hanging="360"/>
      </w:pPr>
    </w:lvl>
    <w:lvl w:ilvl="5" w:tplc="BA8ACAB0" w:tentative="1">
      <w:start w:val="1"/>
      <w:numFmt w:val="lowerRoman"/>
      <w:lvlText w:val="%6."/>
      <w:lvlJc w:val="right"/>
      <w:pPr>
        <w:ind w:left="4677" w:hanging="180"/>
      </w:pPr>
    </w:lvl>
    <w:lvl w:ilvl="6" w:tplc="3D4AA96E" w:tentative="1">
      <w:start w:val="1"/>
      <w:numFmt w:val="decimal"/>
      <w:lvlText w:val="%7."/>
      <w:lvlJc w:val="left"/>
      <w:pPr>
        <w:ind w:left="5397" w:hanging="360"/>
      </w:pPr>
    </w:lvl>
    <w:lvl w:ilvl="7" w:tplc="627A4762" w:tentative="1">
      <w:start w:val="1"/>
      <w:numFmt w:val="lowerLetter"/>
      <w:lvlText w:val="%8."/>
      <w:lvlJc w:val="left"/>
      <w:pPr>
        <w:ind w:left="6117" w:hanging="360"/>
      </w:pPr>
    </w:lvl>
    <w:lvl w:ilvl="8" w:tplc="FF3AD7EC"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FBB4B48E">
      <w:start w:val="1"/>
      <w:numFmt w:val="lowerLetter"/>
      <w:lvlText w:val="(%1)"/>
      <w:lvlJc w:val="left"/>
      <w:pPr>
        <w:ind w:left="1077" w:hanging="360"/>
      </w:pPr>
      <w:rPr>
        <w:rFonts w:hint="default"/>
      </w:rPr>
    </w:lvl>
    <w:lvl w:ilvl="1" w:tplc="4052FCD8" w:tentative="1">
      <w:start w:val="1"/>
      <w:numFmt w:val="lowerLetter"/>
      <w:lvlText w:val="%2."/>
      <w:lvlJc w:val="left"/>
      <w:pPr>
        <w:ind w:left="1797" w:hanging="360"/>
      </w:pPr>
    </w:lvl>
    <w:lvl w:ilvl="2" w:tplc="81423814" w:tentative="1">
      <w:start w:val="1"/>
      <w:numFmt w:val="lowerRoman"/>
      <w:lvlText w:val="%3."/>
      <w:lvlJc w:val="right"/>
      <w:pPr>
        <w:ind w:left="2517" w:hanging="180"/>
      </w:pPr>
    </w:lvl>
    <w:lvl w:ilvl="3" w:tplc="D8C45140" w:tentative="1">
      <w:start w:val="1"/>
      <w:numFmt w:val="decimal"/>
      <w:lvlText w:val="%4."/>
      <w:lvlJc w:val="left"/>
      <w:pPr>
        <w:ind w:left="3237" w:hanging="360"/>
      </w:pPr>
    </w:lvl>
    <w:lvl w:ilvl="4" w:tplc="57641880" w:tentative="1">
      <w:start w:val="1"/>
      <w:numFmt w:val="lowerLetter"/>
      <w:lvlText w:val="%5."/>
      <w:lvlJc w:val="left"/>
      <w:pPr>
        <w:ind w:left="3957" w:hanging="360"/>
      </w:pPr>
    </w:lvl>
    <w:lvl w:ilvl="5" w:tplc="619ADB2C" w:tentative="1">
      <w:start w:val="1"/>
      <w:numFmt w:val="lowerRoman"/>
      <w:lvlText w:val="%6."/>
      <w:lvlJc w:val="right"/>
      <w:pPr>
        <w:ind w:left="4677" w:hanging="180"/>
      </w:pPr>
    </w:lvl>
    <w:lvl w:ilvl="6" w:tplc="A83EEAC8" w:tentative="1">
      <w:start w:val="1"/>
      <w:numFmt w:val="decimal"/>
      <w:lvlText w:val="%7."/>
      <w:lvlJc w:val="left"/>
      <w:pPr>
        <w:ind w:left="5397" w:hanging="360"/>
      </w:pPr>
    </w:lvl>
    <w:lvl w:ilvl="7" w:tplc="96CA65D6" w:tentative="1">
      <w:start w:val="1"/>
      <w:numFmt w:val="lowerLetter"/>
      <w:lvlText w:val="%8."/>
      <w:lvlJc w:val="left"/>
      <w:pPr>
        <w:ind w:left="6117" w:hanging="360"/>
      </w:pPr>
    </w:lvl>
    <w:lvl w:ilvl="8" w:tplc="3662A258" w:tentative="1">
      <w:start w:val="1"/>
      <w:numFmt w:val="lowerRoman"/>
      <w:lvlText w:val="%9."/>
      <w:lvlJc w:val="right"/>
      <w:pPr>
        <w:ind w:left="6837" w:hanging="180"/>
      </w:pPr>
    </w:lvl>
  </w:abstractNum>
  <w:abstractNum w:abstractNumId="5" w15:restartNumberingAfterBreak="0">
    <w:nsid w:val="14DF5231"/>
    <w:multiLevelType w:val="hybridMultilevel"/>
    <w:tmpl w:val="326E285C"/>
    <w:lvl w:ilvl="0" w:tplc="16C03B84">
      <w:start w:val="1"/>
      <w:numFmt w:val="bullet"/>
      <w:lvlText w:val=""/>
      <w:lvlJc w:val="left"/>
      <w:pPr>
        <w:ind w:left="720" w:hanging="360"/>
      </w:pPr>
      <w:rPr>
        <w:rFonts w:ascii="Symbol" w:hAnsi="Symbol" w:hint="default"/>
      </w:rPr>
    </w:lvl>
    <w:lvl w:ilvl="1" w:tplc="93326912" w:tentative="1">
      <w:start w:val="1"/>
      <w:numFmt w:val="bullet"/>
      <w:lvlText w:val="o"/>
      <w:lvlJc w:val="left"/>
      <w:pPr>
        <w:ind w:left="1440" w:hanging="360"/>
      </w:pPr>
      <w:rPr>
        <w:rFonts w:ascii="Courier New" w:hAnsi="Courier New" w:cs="Courier New" w:hint="default"/>
      </w:rPr>
    </w:lvl>
    <w:lvl w:ilvl="2" w:tplc="2E829BF6" w:tentative="1">
      <w:start w:val="1"/>
      <w:numFmt w:val="bullet"/>
      <w:lvlText w:val=""/>
      <w:lvlJc w:val="left"/>
      <w:pPr>
        <w:ind w:left="2160" w:hanging="360"/>
      </w:pPr>
      <w:rPr>
        <w:rFonts w:ascii="Wingdings" w:hAnsi="Wingdings" w:hint="default"/>
      </w:rPr>
    </w:lvl>
    <w:lvl w:ilvl="3" w:tplc="9F3074AE" w:tentative="1">
      <w:start w:val="1"/>
      <w:numFmt w:val="bullet"/>
      <w:lvlText w:val=""/>
      <w:lvlJc w:val="left"/>
      <w:pPr>
        <w:ind w:left="2880" w:hanging="360"/>
      </w:pPr>
      <w:rPr>
        <w:rFonts w:ascii="Symbol" w:hAnsi="Symbol" w:hint="default"/>
      </w:rPr>
    </w:lvl>
    <w:lvl w:ilvl="4" w:tplc="B128C5FC" w:tentative="1">
      <w:start w:val="1"/>
      <w:numFmt w:val="bullet"/>
      <w:lvlText w:val="o"/>
      <w:lvlJc w:val="left"/>
      <w:pPr>
        <w:ind w:left="3600" w:hanging="360"/>
      </w:pPr>
      <w:rPr>
        <w:rFonts w:ascii="Courier New" w:hAnsi="Courier New" w:cs="Courier New" w:hint="default"/>
      </w:rPr>
    </w:lvl>
    <w:lvl w:ilvl="5" w:tplc="09C2A252" w:tentative="1">
      <w:start w:val="1"/>
      <w:numFmt w:val="bullet"/>
      <w:lvlText w:val=""/>
      <w:lvlJc w:val="left"/>
      <w:pPr>
        <w:ind w:left="4320" w:hanging="360"/>
      </w:pPr>
      <w:rPr>
        <w:rFonts w:ascii="Wingdings" w:hAnsi="Wingdings" w:hint="default"/>
      </w:rPr>
    </w:lvl>
    <w:lvl w:ilvl="6" w:tplc="AC8ABF0E" w:tentative="1">
      <w:start w:val="1"/>
      <w:numFmt w:val="bullet"/>
      <w:lvlText w:val=""/>
      <w:lvlJc w:val="left"/>
      <w:pPr>
        <w:ind w:left="5040" w:hanging="360"/>
      </w:pPr>
      <w:rPr>
        <w:rFonts w:ascii="Symbol" w:hAnsi="Symbol" w:hint="default"/>
      </w:rPr>
    </w:lvl>
    <w:lvl w:ilvl="7" w:tplc="EF94AFD0" w:tentative="1">
      <w:start w:val="1"/>
      <w:numFmt w:val="bullet"/>
      <w:lvlText w:val="o"/>
      <w:lvlJc w:val="left"/>
      <w:pPr>
        <w:ind w:left="5760" w:hanging="360"/>
      </w:pPr>
      <w:rPr>
        <w:rFonts w:ascii="Courier New" w:hAnsi="Courier New" w:cs="Courier New" w:hint="default"/>
      </w:rPr>
    </w:lvl>
    <w:lvl w:ilvl="8" w:tplc="5FC0AAA0" w:tentative="1">
      <w:start w:val="1"/>
      <w:numFmt w:val="bullet"/>
      <w:lvlText w:val=""/>
      <w:lvlJc w:val="left"/>
      <w:pPr>
        <w:ind w:left="6480" w:hanging="360"/>
      </w:pPr>
      <w:rPr>
        <w:rFonts w:ascii="Wingdings" w:hAnsi="Wingdings" w:hint="default"/>
      </w:rPr>
    </w:lvl>
  </w:abstractNum>
  <w:abstractNum w:abstractNumId="6" w15:restartNumberingAfterBreak="0">
    <w:nsid w:val="173B55DB"/>
    <w:multiLevelType w:val="multilevel"/>
    <w:tmpl w:val="FDA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776A5"/>
    <w:multiLevelType w:val="hybridMultilevel"/>
    <w:tmpl w:val="BCB03FF8"/>
    <w:lvl w:ilvl="0" w:tplc="B268C83C">
      <w:start w:val="1"/>
      <w:numFmt w:val="lowerLetter"/>
      <w:lvlText w:val="(%1)"/>
      <w:lvlJc w:val="left"/>
      <w:pPr>
        <w:ind w:left="1077" w:hanging="360"/>
      </w:pPr>
      <w:rPr>
        <w:rFonts w:hint="default"/>
      </w:rPr>
    </w:lvl>
    <w:lvl w:ilvl="1" w:tplc="4D263EC6" w:tentative="1">
      <w:start w:val="1"/>
      <w:numFmt w:val="lowerLetter"/>
      <w:lvlText w:val="%2."/>
      <w:lvlJc w:val="left"/>
      <w:pPr>
        <w:ind w:left="1797" w:hanging="360"/>
      </w:pPr>
    </w:lvl>
    <w:lvl w:ilvl="2" w:tplc="8C54D5B0" w:tentative="1">
      <w:start w:val="1"/>
      <w:numFmt w:val="lowerRoman"/>
      <w:lvlText w:val="%3."/>
      <w:lvlJc w:val="right"/>
      <w:pPr>
        <w:ind w:left="2517" w:hanging="180"/>
      </w:pPr>
    </w:lvl>
    <w:lvl w:ilvl="3" w:tplc="607E5F54" w:tentative="1">
      <w:start w:val="1"/>
      <w:numFmt w:val="decimal"/>
      <w:lvlText w:val="%4."/>
      <w:lvlJc w:val="left"/>
      <w:pPr>
        <w:ind w:left="3237" w:hanging="360"/>
      </w:pPr>
    </w:lvl>
    <w:lvl w:ilvl="4" w:tplc="B36EF1A2" w:tentative="1">
      <w:start w:val="1"/>
      <w:numFmt w:val="lowerLetter"/>
      <w:lvlText w:val="%5."/>
      <w:lvlJc w:val="left"/>
      <w:pPr>
        <w:ind w:left="3957" w:hanging="360"/>
      </w:pPr>
    </w:lvl>
    <w:lvl w:ilvl="5" w:tplc="887679D6" w:tentative="1">
      <w:start w:val="1"/>
      <w:numFmt w:val="lowerRoman"/>
      <w:lvlText w:val="%6."/>
      <w:lvlJc w:val="right"/>
      <w:pPr>
        <w:ind w:left="4677" w:hanging="180"/>
      </w:pPr>
    </w:lvl>
    <w:lvl w:ilvl="6" w:tplc="84AC456C" w:tentative="1">
      <w:start w:val="1"/>
      <w:numFmt w:val="decimal"/>
      <w:lvlText w:val="%7."/>
      <w:lvlJc w:val="left"/>
      <w:pPr>
        <w:ind w:left="5397" w:hanging="360"/>
      </w:pPr>
    </w:lvl>
    <w:lvl w:ilvl="7" w:tplc="C53AEB9E" w:tentative="1">
      <w:start w:val="1"/>
      <w:numFmt w:val="lowerLetter"/>
      <w:lvlText w:val="%8."/>
      <w:lvlJc w:val="left"/>
      <w:pPr>
        <w:ind w:left="6117" w:hanging="360"/>
      </w:pPr>
    </w:lvl>
    <w:lvl w:ilvl="8" w:tplc="CBD2DFC2" w:tentative="1">
      <w:start w:val="1"/>
      <w:numFmt w:val="lowerRoman"/>
      <w:lvlText w:val="%9."/>
      <w:lvlJc w:val="right"/>
      <w:pPr>
        <w:ind w:left="6837" w:hanging="180"/>
      </w:pPr>
    </w:lvl>
  </w:abstractNum>
  <w:abstractNum w:abstractNumId="8" w15:restartNumberingAfterBreak="0">
    <w:nsid w:val="2DFA1E19"/>
    <w:multiLevelType w:val="hybridMultilevel"/>
    <w:tmpl w:val="CC7E85FE"/>
    <w:lvl w:ilvl="0" w:tplc="AF5ABBA0">
      <w:start w:val="1"/>
      <w:numFmt w:val="lowerLetter"/>
      <w:lvlText w:val="(%1)"/>
      <w:lvlJc w:val="left"/>
      <w:pPr>
        <w:ind w:left="1077" w:hanging="360"/>
      </w:pPr>
      <w:rPr>
        <w:rFonts w:hint="default"/>
      </w:rPr>
    </w:lvl>
    <w:lvl w:ilvl="1" w:tplc="9F342F34" w:tentative="1">
      <w:start w:val="1"/>
      <w:numFmt w:val="lowerLetter"/>
      <w:lvlText w:val="%2."/>
      <w:lvlJc w:val="left"/>
      <w:pPr>
        <w:ind w:left="1797" w:hanging="360"/>
      </w:pPr>
    </w:lvl>
    <w:lvl w:ilvl="2" w:tplc="5AB43312" w:tentative="1">
      <w:start w:val="1"/>
      <w:numFmt w:val="lowerRoman"/>
      <w:lvlText w:val="%3."/>
      <w:lvlJc w:val="right"/>
      <w:pPr>
        <w:ind w:left="2517" w:hanging="180"/>
      </w:pPr>
    </w:lvl>
    <w:lvl w:ilvl="3" w:tplc="AC8E4846" w:tentative="1">
      <w:start w:val="1"/>
      <w:numFmt w:val="decimal"/>
      <w:lvlText w:val="%4."/>
      <w:lvlJc w:val="left"/>
      <w:pPr>
        <w:ind w:left="3237" w:hanging="360"/>
      </w:pPr>
    </w:lvl>
    <w:lvl w:ilvl="4" w:tplc="28FA581E" w:tentative="1">
      <w:start w:val="1"/>
      <w:numFmt w:val="lowerLetter"/>
      <w:lvlText w:val="%5."/>
      <w:lvlJc w:val="left"/>
      <w:pPr>
        <w:ind w:left="3957" w:hanging="360"/>
      </w:pPr>
    </w:lvl>
    <w:lvl w:ilvl="5" w:tplc="D59EA1B8" w:tentative="1">
      <w:start w:val="1"/>
      <w:numFmt w:val="lowerRoman"/>
      <w:lvlText w:val="%6."/>
      <w:lvlJc w:val="right"/>
      <w:pPr>
        <w:ind w:left="4677" w:hanging="180"/>
      </w:pPr>
    </w:lvl>
    <w:lvl w:ilvl="6" w:tplc="AAE83A3C" w:tentative="1">
      <w:start w:val="1"/>
      <w:numFmt w:val="decimal"/>
      <w:lvlText w:val="%7."/>
      <w:lvlJc w:val="left"/>
      <w:pPr>
        <w:ind w:left="5397" w:hanging="360"/>
      </w:pPr>
    </w:lvl>
    <w:lvl w:ilvl="7" w:tplc="7EFE5106" w:tentative="1">
      <w:start w:val="1"/>
      <w:numFmt w:val="lowerLetter"/>
      <w:lvlText w:val="%8."/>
      <w:lvlJc w:val="left"/>
      <w:pPr>
        <w:ind w:left="6117" w:hanging="360"/>
      </w:pPr>
    </w:lvl>
    <w:lvl w:ilvl="8" w:tplc="E8C451D6" w:tentative="1">
      <w:start w:val="1"/>
      <w:numFmt w:val="lowerRoman"/>
      <w:lvlText w:val="%9."/>
      <w:lvlJc w:val="right"/>
      <w:pPr>
        <w:ind w:left="6837" w:hanging="180"/>
      </w:pPr>
    </w:lvl>
  </w:abstractNum>
  <w:abstractNum w:abstractNumId="9" w15:restartNumberingAfterBreak="0">
    <w:nsid w:val="32D7153C"/>
    <w:multiLevelType w:val="multilevel"/>
    <w:tmpl w:val="9EE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04A04"/>
    <w:multiLevelType w:val="hybridMultilevel"/>
    <w:tmpl w:val="23FA96C6"/>
    <w:lvl w:ilvl="0" w:tplc="C720C256">
      <w:start w:val="1"/>
      <w:numFmt w:val="lowerLetter"/>
      <w:lvlText w:val="(%1)"/>
      <w:lvlJc w:val="left"/>
      <w:pPr>
        <w:ind w:left="720" w:hanging="360"/>
      </w:pPr>
      <w:rPr>
        <w:rFonts w:hint="default"/>
      </w:rPr>
    </w:lvl>
    <w:lvl w:ilvl="1" w:tplc="1410164A" w:tentative="1">
      <w:start w:val="1"/>
      <w:numFmt w:val="lowerLetter"/>
      <w:lvlText w:val="%2."/>
      <w:lvlJc w:val="left"/>
      <w:pPr>
        <w:ind w:left="1440" w:hanging="360"/>
      </w:pPr>
    </w:lvl>
    <w:lvl w:ilvl="2" w:tplc="55C874D4" w:tentative="1">
      <w:start w:val="1"/>
      <w:numFmt w:val="lowerRoman"/>
      <w:lvlText w:val="%3."/>
      <w:lvlJc w:val="right"/>
      <w:pPr>
        <w:ind w:left="2160" w:hanging="180"/>
      </w:pPr>
    </w:lvl>
    <w:lvl w:ilvl="3" w:tplc="6CE06638" w:tentative="1">
      <w:start w:val="1"/>
      <w:numFmt w:val="decimal"/>
      <w:lvlText w:val="%4."/>
      <w:lvlJc w:val="left"/>
      <w:pPr>
        <w:ind w:left="2880" w:hanging="360"/>
      </w:pPr>
    </w:lvl>
    <w:lvl w:ilvl="4" w:tplc="0CF465A4" w:tentative="1">
      <w:start w:val="1"/>
      <w:numFmt w:val="lowerLetter"/>
      <w:lvlText w:val="%5."/>
      <w:lvlJc w:val="left"/>
      <w:pPr>
        <w:ind w:left="3600" w:hanging="360"/>
      </w:pPr>
    </w:lvl>
    <w:lvl w:ilvl="5" w:tplc="AEB4A834" w:tentative="1">
      <w:start w:val="1"/>
      <w:numFmt w:val="lowerRoman"/>
      <w:lvlText w:val="%6."/>
      <w:lvlJc w:val="right"/>
      <w:pPr>
        <w:ind w:left="4320" w:hanging="180"/>
      </w:pPr>
    </w:lvl>
    <w:lvl w:ilvl="6" w:tplc="5296A56C" w:tentative="1">
      <w:start w:val="1"/>
      <w:numFmt w:val="decimal"/>
      <w:lvlText w:val="%7."/>
      <w:lvlJc w:val="left"/>
      <w:pPr>
        <w:ind w:left="5040" w:hanging="360"/>
      </w:pPr>
    </w:lvl>
    <w:lvl w:ilvl="7" w:tplc="91ACF60A" w:tentative="1">
      <w:start w:val="1"/>
      <w:numFmt w:val="lowerLetter"/>
      <w:lvlText w:val="%8."/>
      <w:lvlJc w:val="left"/>
      <w:pPr>
        <w:ind w:left="5760" w:hanging="360"/>
      </w:pPr>
    </w:lvl>
    <w:lvl w:ilvl="8" w:tplc="96CCB564" w:tentative="1">
      <w:start w:val="1"/>
      <w:numFmt w:val="lowerRoman"/>
      <w:lvlText w:val="%9."/>
      <w:lvlJc w:val="right"/>
      <w:pPr>
        <w:ind w:left="6480" w:hanging="180"/>
      </w:pPr>
    </w:lvl>
  </w:abstractNum>
  <w:abstractNum w:abstractNumId="11" w15:restartNumberingAfterBreak="0">
    <w:nsid w:val="432473FB"/>
    <w:multiLevelType w:val="hybridMultilevel"/>
    <w:tmpl w:val="774406FE"/>
    <w:lvl w:ilvl="0" w:tplc="8DF6BF14">
      <w:start w:val="1"/>
      <w:numFmt w:val="lowerLetter"/>
      <w:lvlText w:val="(%1)"/>
      <w:lvlJc w:val="left"/>
      <w:pPr>
        <w:ind w:left="1077" w:hanging="360"/>
      </w:pPr>
      <w:rPr>
        <w:rFonts w:hint="default"/>
      </w:rPr>
    </w:lvl>
    <w:lvl w:ilvl="1" w:tplc="F95CEDB2" w:tentative="1">
      <w:start w:val="1"/>
      <w:numFmt w:val="lowerLetter"/>
      <w:lvlText w:val="%2."/>
      <w:lvlJc w:val="left"/>
      <w:pPr>
        <w:ind w:left="1797" w:hanging="360"/>
      </w:pPr>
    </w:lvl>
    <w:lvl w:ilvl="2" w:tplc="8454EEEC" w:tentative="1">
      <w:start w:val="1"/>
      <w:numFmt w:val="lowerRoman"/>
      <w:lvlText w:val="%3."/>
      <w:lvlJc w:val="right"/>
      <w:pPr>
        <w:ind w:left="2517" w:hanging="180"/>
      </w:pPr>
    </w:lvl>
    <w:lvl w:ilvl="3" w:tplc="9D601A64" w:tentative="1">
      <w:start w:val="1"/>
      <w:numFmt w:val="decimal"/>
      <w:lvlText w:val="%4."/>
      <w:lvlJc w:val="left"/>
      <w:pPr>
        <w:ind w:left="3237" w:hanging="360"/>
      </w:pPr>
    </w:lvl>
    <w:lvl w:ilvl="4" w:tplc="BFDAA2AA" w:tentative="1">
      <w:start w:val="1"/>
      <w:numFmt w:val="lowerLetter"/>
      <w:lvlText w:val="%5."/>
      <w:lvlJc w:val="left"/>
      <w:pPr>
        <w:ind w:left="3957" w:hanging="360"/>
      </w:pPr>
    </w:lvl>
    <w:lvl w:ilvl="5" w:tplc="CCB4C34A" w:tentative="1">
      <w:start w:val="1"/>
      <w:numFmt w:val="lowerRoman"/>
      <w:lvlText w:val="%6."/>
      <w:lvlJc w:val="right"/>
      <w:pPr>
        <w:ind w:left="4677" w:hanging="180"/>
      </w:pPr>
    </w:lvl>
    <w:lvl w:ilvl="6" w:tplc="A4A24ED6" w:tentative="1">
      <w:start w:val="1"/>
      <w:numFmt w:val="decimal"/>
      <w:lvlText w:val="%7."/>
      <w:lvlJc w:val="left"/>
      <w:pPr>
        <w:ind w:left="5397" w:hanging="360"/>
      </w:pPr>
    </w:lvl>
    <w:lvl w:ilvl="7" w:tplc="BB0EB8AE" w:tentative="1">
      <w:start w:val="1"/>
      <w:numFmt w:val="lowerLetter"/>
      <w:lvlText w:val="%8."/>
      <w:lvlJc w:val="left"/>
      <w:pPr>
        <w:ind w:left="6117" w:hanging="360"/>
      </w:pPr>
    </w:lvl>
    <w:lvl w:ilvl="8" w:tplc="801E62FE"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FBC20A54">
      <w:start w:val="1"/>
      <w:numFmt w:val="lowerLetter"/>
      <w:lvlText w:val="(%1)"/>
      <w:lvlJc w:val="left"/>
      <w:pPr>
        <w:ind w:left="1077" w:hanging="360"/>
      </w:pPr>
      <w:rPr>
        <w:rFonts w:hint="default"/>
      </w:rPr>
    </w:lvl>
    <w:lvl w:ilvl="1" w:tplc="96C208DE" w:tentative="1">
      <w:start w:val="1"/>
      <w:numFmt w:val="lowerLetter"/>
      <w:lvlText w:val="%2."/>
      <w:lvlJc w:val="left"/>
      <w:pPr>
        <w:ind w:left="1797" w:hanging="360"/>
      </w:pPr>
    </w:lvl>
    <w:lvl w:ilvl="2" w:tplc="990A8026" w:tentative="1">
      <w:start w:val="1"/>
      <w:numFmt w:val="lowerRoman"/>
      <w:lvlText w:val="%3."/>
      <w:lvlJc w:val="right"/>
      <w:pPr>
        <w:ind w:left="2517" w:hanging="180"/>
      </w:pPr>
    </w:lvl>
    <w:lvl w:ilvl="3" w:tplc="B24CB1BE" w:tentative="1">
      <w:start w:val="1"/>
      <w:numFmt w:val="decimal"/>
      <w:lvlText w:val="%4."/>
      <w:lvlJc w:val="left"/>
      <w:pPr>
        <w:ind w:left="3237" w:hanging="360"/>
      </w:pPr>
    </w:lvl>
    <w:lvl w:ilvl="4" w:tplc="6C2427BA" w:tentative="1">
      <w:start w:val="1"/>
      <w:numFmt w:val="lowerLetter"/>
      <w:lvlText w:val="%5."/>
      <w:lvlJc w:val="left"/>
      <w:pPr>
        <w:ind w:left="3957" w:hanging="360"/>
      </w:pPr>
    </w:lvl>
    <w:lvl w:ilvl="5" w:tplc="6580341C" w:tentative="1">
      <w:start w:val="1"/>
      <w:numFmt w:val="lowerRoman"/>
      <w:lvlText w:val="%6."/>
      <w:lvlJc w:val="right"/>
      <w:pPr>
        <w:ind w:left="4677" w:hanging="180"/>
      </w:pPr>
    </w:lvl>
    <w:lvl w:ilvl="6" w:tplc="65F24998" w:tentative="1">
      <w:start w:val="1"/>
      <w:numFmt w:val="decimal"/>
      <w:lvlText w:val="%7."/>
      <w:lvlJc w:val="left"/>
      <w:pPr>
        <w:ind w:left="5397" w:hanging="360"/>
      </w:pPr>
    </w:lvl>
    <w:lvl w:ilvl="7" w:tplc="C00619F8" w:tentative="1">
      <w:start w:val="1"/>
      <w:numFmt w:val="lowerLetter"/>
      <w:lvlText w:val="%8."/>
      <w:lvlJc w:val="left"/>
      <w:pPr>
        <w:ind w:left="6117" w:hanging="360"/>
      </w:pPr>
    </w:lvl>
    <w:lvl w:ilvl="8" w:tplc="A078A2A6"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C1AC840A">
      <w:start w:val="1"/>
      <w:numFmt w:val="lowerLetter"/>
      <w:lvlText w:val="(%1)"/>
      <w:lvlJc w:val="left"/>
      <w:pPr>
        <w:ind w:left="720" w:hanging="360"/>
      </w:pPr>
      <w:rPr>
        <w:rFonts w:hint="default"/>
      </w:rPr>
    </w:lvl>
    <w:lvl w:ilvl="1" w:tplc="F7FE7972" w:tentative="1">
      <w:start w:val="1"/>
      <w:numFmt w:val="lowerLetter"/>
      <w:lvlText w:val="%2."/>
      <w:lvlJc w:val="left"/>
      <w:pPr>
        <w:ind w:left="1440" w:hanging="360"/>
      </w:pPr>
    </w:lvl>
    <w:lvl w:ilvl="2" w:tplc="830026E0" w:tentative="1">
      <w:start w:val="1"/>
      <w:numFmt w:val="lowerRoman"/>
      <w:lvlText w:val="%3."/>
      <w:lvlJc w:val="right"/>
      <w:pPr>
        <w:ind w:left="2160" w:hanging="180"/>
      </w:pPr>
    </w:lvl>
    <w:lvl w:ilvl="3" w:tplc="B21A2034" w:tentative="1">
      <w:start w:val="1"/>
      <w:numFmt w:val="decimal"/>
      <w:lvlText w:val="%4."/>
      <w:lvlJc w:val="left"/>
      <w:pPr>
        <w:ind w:left="2880" w:hanging="360"/>
      </w:pPr>
    </w:lvl>
    <w:lvl w:ilvl="4" w:tplc="B636BD18" w:tentative="1">
      <w:start w:val="1"/>
      <w:numFmt w:val="lowerLetter"/>
      <w:lvlText w:val="%5."/>
      <w:lvlJc w:val="left"/>
      <w:pPr>
        <w:ind w:left="3600" w:hanging="360"/>
      </w:pPr>
    </w:lvl>
    <w:lvl w:ilvl="5" w:tplc="E946B600" w:tentative="1">
      <w:start w:val="1"/>
      <w:numFmt w:val="lowerRoman"/>
      <w:lvlText w:val="%6."/>
      <w:lvlJc w:val="right"/>
      <w:pPr>
        <w:ind w:left="4320" w:hanging="180"/>
      </w:pPr>
    </w:lvl>
    <w:lvl w:ilvl="6" w:tplc="95C8ABFE" w:tentative="1">
      <w:start w:val="1"/>
      <w:numFmt w:val="decimal"/>
      <w:lvlText w:val="%7."/>
      <w:lvlJc w:val="left"/>
      <w:pPr>
        <w:ind w:left="5040" w:hanging="360"/>
      </w:pPr>
    </w:lvl>
    <w:lvl w:ilvl="7" w:tplc="B96613D2" w:tentative="1">
      <w:start w:val="1"/>
      <w:numFmt w:val="lowerLetter"/>
      <w:lvlText w:val="%8."/>
      <w:lvlJc w:val="left"/>
      <w:pPr>
        <w:ind w:left="5760" w:hanging="360"/>
      </w:pPr>
    </w:lvl>
    <w:lvl w:ilvl="8" w:tplc="9F74A406"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9BBE3528">
      <w:start w:val="1"/>
      <w:numFmt w:val="lowerLetter"/>
      <w:lvlText w:val="(%1)"/>
      <w:lvlJc w:val="left"/>
      <w:pPr>
        <w:ind w:left="1077" w:hanging="360"/>
      </w:pPr>
      <w:rPr>
        <w:rFonts w:hint="default"/>
      </w:rPr>
    </w:lvl>
    <w:lvl w:ilvl="1" w:tplc="CE08A5AA" w:tentative="1">
      <w:start w:val="1"/>
      <w:numFmt w:val="lowerLetter"/>
      <w:lvlText w:val="%2."/>
      <w:lvlJc w:val="left"/>
      <w:pPr>
        <w:ind w:left="1440" w:hanging="360"/>
      </w:pPr>
    </w:lvl>
    <w:lvl w:ilvl="2" w:tplc="0D864DCE" w:tentative="1">
      <w:start w:val="1"/>
      <w:numFmt w:val="lowerRoman"/>
      <w:lvlText w:val="%3."/>
      <w:lvlJc w:val="right"/>
      <w:pPr>
        <w:ind w:left="2160" w:hanging="180"/>
      </w:pPr>
    </w:lvl>
    <w:lvl w:ilvl="3" w:tplc="3A5672F2" w:tentative="1">
      <w:start w:val="1"/>
      <w:numFmt w:val="decimal"/>
      <w:lvlText w:val="%4."/>
      <w:lvlJc w:val="left"/>
      <w:pPr>
        <w:ind w:left="2880" w:hanging="360"/>
      </w:pPr>
    </w:lvl>
    <w:lvl w:ilvl="4" w:tplc="510005FE" w:tentative="1">
      <w:start w:val="1"/>
      <w:numFmt w:val="lowerLetter"/>
      <w:lvlText w:val="%5."/>
      <w:lvlJc w:val="left"/>
      <w:pPr>
        <w:ind w:left="3600" w:hanging="360"/>
      </w:pPr>
    </w:lvl>
    <w:lvl w:ilvl="5" w:tplc="512EEAAC" w:tentative="1">
      <w:start w:val="1"/>
      <w:numFmt w:val="lowerRoman"/>
      <w:lvlText w:val="%6."/>
      <w:lvlJc w:val="right"/>
      <w:pPr>
        <w:ind w:left="4320" w:hanging="180"/>
      </w:pPr>
    </w:lvl>
    <w:lvl w:ilvl="6" w:tplc="71A07662" w:tentative="1">
      <w:start w:val="1"/>
      <w:numFmt w:val="decimal"/>
      <w:lvlText w:val="%7."/>
      <w:lvlJc w:val="left"/>
      <w:pPr>
        <w:ind w:left="5040" w:hanging="360"/>
      </w:pPr>
    </w:lvl>
    <w:lvl w:ilvl="7" w:tplc="1D9649A4" w:tentative="1">
      <w:start w:val="1"/>
      <w:numFmt w:val="lowerLetter"/>
      <w:lvlText w:val="%8."/>
      <w:lvlJc w:val="left"/>
      <w:pPr>
        <w:ind w:left="5760" w:hanging="360"/>
      </w:pPr>
    </w:lvl>
    <w:lvl w:ilvl="8" w:tplc="65C0DEAC" w:tentative="1">
      <w:start w:val="1"/>
      <w:numFmt w:val="lowerRoman"/>
      <w:lvlText w:val="%9."/>
      <w:lvlJc w:val="right"/>
      <w:pPr>
        <w:ind w:left="6480" w:hanging="180"/>
      </w:pPr>
    </w:lvl>
  </w:abstractNum>
  <w:abstractNum w:abstractNumId="15" w15:restartNumberingAfterBreak="0">
    <w:nsid w:val="4DA02935"/>
    <w:multiLevelType w:val="hybridMultilevel"/>
    <w:tmpl w:val="416C42F6"/>
    <w:lvl w:ilvl="0" w:tplc="4A8A1CB2">
      <w:start w:val="1"/>
      <w:numFmt w:val="bullet"/>
      <w:lvlText w:val=""/>
      <w:lvlJc w:val="left"/>
      <w:pPr>
        <w:ind w:left="720" w:hanging="360"/>
      </w:pPr>
      <w:rPr>
        <w:rFonts w:ascii="Symbol" w:hAnsi="Symbol" w:hint="default"/>
      </w:rPr>
    </w:lvl>
    <w:lvl w:ilvl="1" w:tplc="20DABA20" w:tentative="1">
      <w:start w:val="1"/>
      <w:numFmt w:val="bullet"/>
      <w:lvlText w:val="o"/>
      <w:lvlJc w:val="left"/>
      <w:pPr>
        <w:ind w:left="1440" w:hanging="360"/>
      </w:pPr>
      <w:rPr>
        <w:rFonts w:ascii="Courier New" w:hAnsi="Courier New" w:cs="Courier New" w:hint="default"/>
      </w:rPr>
    </w:lvl>
    <w:lvl w:ilvl="2" w:tplc="D92CF288" w:tentative="1">
      <w:start w:val="1"/>
      <w:numFmt w:val="bullet"/>
      <w:lvlText w:val=""/>
      <w:lvlJc w:val="left"/>
      <w:pPr>
        <w:ind w:left="2160" w:hanging="360"/>
      </w:pPr>
      <w:rPr>
        <w:rFonts w:ascii="Wingdings" w:hAnsi="Wingdings" w:hint="default"/>
      </w:rPr>
    </w:lvl>
    <w:lvl w:ilvl="3" w:tplc="F0FEC98A" w:tentative="1">
      <w:start w:val="1"/>
      <w:numFmt w:val="bullet"/>
      <w:lvlText w:val=""/>
      <w:lvlJc w:val="left"/>
      <w:pPr>
        <w:ind w:left="2880" w:hanging="360"/>
      </w:pPr>
      <w:rPr>
        <w:rFonts w:ascii="Symbol" w:hAnsi="Symbol" w:hint="default"/>
      </w:rPr>
    </w:lvl>
    <w:lvl w:ilvl="4" w:tplc="4C20F75A" w:tentative="1">
      <w:start w:val="1"/>
      <w:numFmt w:val="bullet"/>
      <w:lvlText w:val="o"/>
      <w:lvlJc w:val="left"/>
      <w:pPr>
        <w:ind w:left="3600" w:hanging="360"/>
      </w:pPr>
      <w:rPr>
        <w:rFonts w:ascii="Courier New" w:hAnsi="Courier New" w:cs="Courier New" w:hint="default"/>
      </w:rPr>
    </w:lvl>
    <w:lvl w:ilvl="5" w:tplc="DCDEE318" w:tentative="1">
      <w:start w:val="1"/>
      <w:numFmt w:val="bullet"/>
      <w:lvlText w:val=""/>
      <w:lvlJc w:val="left"/>
      <w:pPr>
        <w:ind w:left="4320" w:hanging="360"/>
      </w:pPr>
      <w:rPr>
        <w:rFonts w:ascii="Wingdings" w:hAnsi="Wingdings" w:hint="default"/>
      </w:rPr>
    </w:lvl>
    <w:lvl w:ilvl="6" w:tplc="BFD4DEC4" w:tentative="1">
      <w:start w:val="1"/>
      <w:numFmt w:val="bullet"/>
      <w:lvlText w:val=""/>
      <w:lvlJc w:val="left"/>
      <w:pPr>
        <w:ind w:left="5040" w:hanging="360"/>
      </w:pPr>
      <w:rPr>
        <w:rFonts w:ascii="Symbol" w:hAnsi="Symbol" w:hint="default"/>
      </w:rPr>
    </w:lvl>
    <w:lvl w:ilvl="7" w:tplc="8FB49582" w:tentative="1">
      <w:start w:val="1"/>
      <w:numFmt w:val="bullet"/>
      <w:lvlText w:val="o"/>
      <w:lvlJc w:val="left"/>
      <w:pPr>
        <w:ind w:left="5760" w:hanging="360"/>
      </w:pPr>
      <w:rPr>
        <w:rFonts w:ascii="Courier New" w:hAnsi="Courier New" w:cs="Courier New" w:hint="default"/>
      </w:rPr>
    </w:lvl>
    <w:lvl w:ilvl="8" w:tplc="43569436" w:tentative="1">
      <w:start w:val="1"/>
      <w:numFmt w:val="bullet"/>
      <w:lvlText w:val=""/>
      <w:lvlJc w:val="left"/>
      <w:pPr>
        <w:ind w:left="6480" w:hanging="360"/>
      </w:pPr>
      <w:rPr>
        <w:rFonts w:ascii="Wingdings" w:hAnsi="Wingdings" w:hint="default"/>
      </w:rPr>
    </w:lvl>
  </w:abstractNum>
  <w:abstractNum w:abstractNumId="16" w15:restartNumberingAfterBreak="0">
    <w:nsid w:val="50C61400"/>
    <w:multiLevelType w:val="hybridMultilevel"/>
    <w:tmpl w:val="4D52A062"/>
    <w:lvl w:ilvl="0" w:tplc="77F22318">
      <w:start w:val="1"/>
      <w:numFmt w:val="lowerLetter"/>
      <w:lvlText w:val="(%1)"/>
      <w:lvlJc w:val="left"/>
      <w:pPr>
        <w:ind w:left="426" w:hanging="360"/>
      </w:pPr>
      <w:rPr>
        <w:rFonts w:hint="default"/>
      </w:rPr>
    </w:lvl>
    <w:lvl w:ilvl="1" w:tplc="9942E47E" w:tentative="1">
      <w:start w:val="1"/>
      <w:numFmt w:val="lowerLetter"/>
      <w:lvlText w:val="%2."/>
      <w:lvlJc w:val="left"/>
      <w:pPr>
        <w:ind w:left="1146" w:hanging="360"/>
      </w:pPr>
    </w:lvl>
    <w:lvl w:ilvl="2" w:tplc="561E16E4" w:tentative="1">
      <w:start w:val="1"/>
      <w:numFmt w:val="lowerRoman"/>
      <w:lvlText w:val="%3."/>
      <w:lvlJc w:val="right"/>
      <w:pPr>
        <w:ind w:left="1866" w:hanging="180"/>
      </w:pPr>
    </w:lvl>
    <w:lvl w:ilvl="3" w:tplc="AB4AC5F0" w:tentative="1">
      <w:start w:val="1"/>
      <w:numFmt w:val="decimal"/>
      <w:lvlText w:val="%4."/>
      <w:lvlJc w:val="left"/>
      <w:pPr>
        <w:ind w:left="2586" w:hanging="360"/>
      </w:pPr>
    </w:lvl>
    <w:lvl w:ilvl="4" w:tplc="FE6C0FD6" w:tentative="1">
      <w:start w:val="1"/>
      <w:numFmt w:val="lowerLetter"/>
      <w:lvlText w:val="%5."/>
      <w:lvlJc w:val="left"/>
      <w:pPr>
        <w:ind w:left="3306" w:hanging="360"/>
      </w:pPr>
    </w:lvl>
    <w:lvl w:ilvl="5" w:tplc="E39C8040" w:tentative="1">
      <w:start w:val="1"/>
      <w:numFmt w:val="lowerRoman"/>
      <w:lvlText w:val="%6."/>
      <w:lvlJc w:val="right"/>
      <w:pPr>
        <w:ind w:left="4026" w:hanging="180"/>
      </w:pPr>
    </w:lvl>
    <w:lvl w:ilvl="6" w:tplc="B09E4644" w:tentative="1">
      <w:start w:val="1"/>
      <w:numFmt w:val="decimal"/>
      <w:lvlText w:val="%7."/>
      <w:lvlJc w:val="left"/>
      <w:pPr>
        <w:ind w:left="4746" w:hanging="360"/>
      </w:pPr>
    </w:lvl>
    <w:lvl w:ilvl="7" w:tplc="FDD0B972" w:tentative="1">
      <w:start w:val="1"/>
      <w:numFmt w:val="lowerLetter"/>
      <w:lvlText w:val="%8."/>
      <w:lvlJc w:val="left"/>
      <w:pPr>
        <w:ind w:left="5466" w:hanging="360"/>
      </w:pPr>
    </w:lvl>
    <w:lvl w:ilvl="8" w:tplc="D688C3EA" w:tentative="1">
      <w:start w:val="1"/>
      <w:numFmt w:val="lowerRoman"/>
      <w:lvlText w:val="%9."/>
      <w:lvlJc w:val="right"/>
      <w:pPr>
        <w:ind w:left="6186" w:hanging="180"/>
      </w:pPr>
    </w:lvl>
  </w:abstractNum>
  <w:abstractNum w:abstractNumId="17" w15:restartNumberingAfterBreak="0">
    <w:nsid w:val="5D623D4A"/>
    <w:multiLevelType w:val="hybridMultilevel"/>
    <w:tmpl w:val="06A89D82"/>
    <w:lvl w:ilvl="0" w:tplc="F9B43556">
      <w:start w:val="1"/>
      <w:numFmt w:val="lowerLetter"/>
      <w:lvlText w:val="(%1)"/>
      <w:lvlJc w:val="left"/>
      <w:pPr>
        <w:ind w:left="720" w:hanging="360"/>
      </w:pPr>
      <w:rPr>
        <w:rFonts w:hint="default"/>
      </w:rPr>
    </w:lvl>
    <w:lvl w:ilvl="1" w:tplc="8A6CD072" w:tentative="1">
      <w:start w:val="1"/>
      <w:numFmt w:val="lowerLetter"/>
      <w:lvlText w:val="%2."/>
      <w:lvlJc w:val="left"/>
      <w:pPr>
        <w:ind w:left="1440" w:hanging="360"/>
      </w:pPr>
    </w:lvl>
    <w:lvl w:ilvl="2" w:tplc="5D644478" w:tentative="1">
      <w:start w:val="1"/>
      <w:numFmt w:val="lowerRoman"/>
      <w:lvlText w:val="%3."/>
      <w:lvlJc w:val="right"/>
      <w:pPr>
        <w:ind w:left="2160" w:hanging="180"/>
      </w:pPr>
    </w:lvl>
    <w:lvl w:ilvl="3" w:tplc="FAAE9C9E" w:tentative="1">
      <w:start w:val="1"/>
      <w:numFmt w:val="decimal"/>
      <w:lvlText w:val="%4."/>
      <w:lvlJc w:val="left"/>
      <w:pPr>
        <w:ind w:left="2880" w:hanging="360"/>
      </w:pPr>
    </w:lvl>
    <w:lvl w:ilvl="4" w:tplc="C3B6A8C8" w:tentative="1">
      <w:start w:val="1"/>
      <w:numFmt w:val="lowerLetter"/>
      <w:lvlText w:val="%5."/>
      <w:lvlJc w:val="left"/>
      <w:pPr>
        <w:ind w:left="3600" w:hanging="360"/>
      </w:pPr>
    </w:lvl>
    <w:lvl w:ilvl="5" w:tplc="9F308D56" w:tentative="1">
      <w:start w:val="1"/>
      <w:numFmt w:val="lowerRoman"/>
      <w:lvlText w:val="%6."/>
      <w:lvlJc w:val="right"/>
      <w:pPr>
        <w:ind w:left="4320" w:hanging="180"/>
      </w:pPr>
    </w:lvl>
    <w:lvl w:ilvl="6" w:tplc="B3125922" w:tentative="1">
      <w:start w:val="1"/>
      <w:numFmt w:val="decimal"/>
      <w:lvlText w:val="%7."/>
      <w:lvlJc w:val="left"/>
      <w:pPr>
        <w:ind w:left="5040" w:hanging="360"/>
      </w:pPr>
    </w:lvl>
    <w:lvl w:ilvl="7" w:tplc="D884BD5A" w:tentative="1">
      <w:start w:val="1"/>
      <w:numFmt w:val="lowerLetter"/>
      <w:lvlText w:val="%8."/>
      <w:lvlJc w:val="left"/>
      <w:pPr>
        <w:ind w:left="5760" w:hanging="360"/>
      </w:pPr>
    </w:lvl>
    <w:lvl w:ilvl="8" w:tplc="9912D7DE" w:tentative="1">
      <w:start w:val="1"/>
      <w:numFmt w:val="lowerRoman"/>
      <w:lvlText w:val="%9."/>
      <w:lvlJc w:val="right"/>
      <w:pPr>
        <w:ind w:left="6480" w:hanging="180"/>
      </w:pPr>
    </w:lvl>
  </w:abstractNum>
  <w:abstractNum w:abstractNumId="18" w15:restartNumberingAfterBreak="0">
    <w:nsid w:val="632F588F"/>
    <w:multiLevelType w:val="hybridMultilevel"/>
    <w:tmpl w:val="7A881074"/>
    <w:lvl w:ilvl="0" w:tplc="0D2CB620">
      <w:start w:val="1"/>
      <w:numFmt w:val="bullet"/>
      <w:lvlText w:val=""/>
      <w:lvlJc w:val="left"/>
      <w:pPr>
        <w:ind w:left="720" w:hanging="360"/>
      </w:pPr>
      <w:rPr>
        <w:rFonts w:ascii="Symbol" w:hAnsi="Symbol" w:hint="default"/>
      </w:rPr>
    </w:lvl>
    <w:lvl w:ilvl="1" w:tplc="84703FD8" w:tentative="1">
      <w:start w:val="1"/>
      <w:numFmt w:val="bullet"/>
      <w:lvlText w:val="o"/>
      <w:lvlJc w:val="left"/>
      <w:pPr>
        <w:ind w:left="1440" w:hanging="360"/>
      </w:pPr>
      <w:rPr>
        <w:rFonts w:ascii="Courier New" w:hAnsi="Courier New" w:cs="Courier New" w:hint="default"/>
      </w:rPr>
    </w:lvl>
    <w:lvl w:ilvl="2" w:tplc="C9F2C384" w:tentative="1">
      <w:start w:val="1"/>
      <w:numFmt w:val="bullet"/>
      <w:lvlText w:val=""/>
      <w:lvlJc w:val="left"/>
      <w:pPr>
        <w:ind w:left="2160" w:hanging="360"/>
      </w:pPr>
      <w:rPr>
        <w:rFonts w:ascii="Wingdings" w:hAnsi="Wingdings" w:hint="default"/>
      </w:rPr>
    </w:lvl>
    <w:lvl w:ilvl="3" w:tplc="1C30D590" w:tentative="1">
      <w:start w:val="1"/>
      <w:numFmt w:val="bullet"/>
      <w:lvlText w:val=""/>
      <w:lvlJc w:val="left"/>
      <w:pPr>
        <w:ind w:left="2880" w:hanging="360"/>
      </w:pPr>
      <w:rPr>
        <w:rFonts w:ascii="Symbol" w:hAnsi="Symbol" w:hint="default"/>
      </w:rPr>
    </w:lvl>
    <w:lvl w:ilvl="4" w:tplc="99E68516" w:tentative="1">
      <w:start w:val="1"/>
      <w:numFmt w:val="bullet"/>
      <w:lvlText w:val="o"/>
      <w:lvlJc w:val="left"/>
      <w:pPr>
        <w:ind w:left="3600" w:hanging="360"/>
      </w:pPr>
      <w:rPr>
        <w:rFonts w:ascii="Courier New" w:hAnsi="Courier New" w:cs="Courier New" w:hint="default"/>
      </w:rPr>
    </w:lvl>
    <w:lvl w:ilvl="5" w:tplc="3A1E0C96" w:tentative="1">
      <w:start w:val="1"/>
      <w:numFmt w:val="bullet"/>
      <w:lvlText w:val=""/>
      <w:lvlJc w:val="left"/>
      <w:pPr>
        <w:ind w:left="4320" w:hanging="360"/>
      </w:pPr>
      <w:rPr>
        <w:rFonts w:ascii="Wingdings" w:hAnsi="Wingdings" w:hint="default"/>
      </w:rPr>
    </w:lvl>
    <w:lvl w:ilvl="6" w:tplc="44000ACC" w:tentative="1">
      <w:start w:val="1"/>
      <w:numFmt w:val="bullet"/>
      <w:lvlText w:val=""/>
      <w:lvlJc w:val="left"/>
      <w:pPr>
        <w:ind w:left="5040" w:hanging="360"/>
      </w:pPr>
      <w:rPr>
        <w:rFonts w:ascii="Symbol" w:hAnsi="Symbol" w:hint="default"/>
      </w:rPr>
    </w:lvl>
    <w:lvl w:ilvl="7" w:tplc="7CE4C550" w:tentative="1">
      <w:start w:val="1"/>
      <w:numFmt w:val="bullet"/>
      <w:lvlText w:val="o"/>
      <w:lvlJc w:val="left"/>
      <w:pPr>
        <w:ind w:left="5760" w:hanging="360"/>
      </w:pPr>
      <w:rPr>
        <w:rFonts w:ascii="Courier New" w:hAnsi="Courier New" w:cs="Courier New" w:hint="default"/>
      </w:rPr>
    </w:lvl>
    <w:lvl w:ilvl="8" w:tplc="42588D48" w:tentative="1">
      <w:start w:val="1"/>
      <w:numFmt w:val="bullet"/>
      <w:lvlText w:val=""/>
      <w:lvlJc w:val="left"/>
      <w:pPr>
        <w:ind w:left="6480" w:hanging="360"/>
      </w:pPr>
      <w:rPr>
        <w:rFonts w:ascii="Wingdings" w:hAnsi="Wingdings" w:hint="default"/>
      </w:rPr>
    </w:lvl>
  </w:abstractNum>
  <w:abstractNum w:abstractNumId="19" w15:restartNumberingAfterBreak="0">
    <w:nsid w:val="67E15D4E"/>
    <w:multiLevelType w:val="hybridMultilevel"/>
    <w:tmpl w:val="696010C8"/>
    <w:lvl w:ilvl="0" w:tplc="85C6916E">
      <w:start w:val="1"/>
      <w:numFmt w:val="lowerLetter"/>
      <w:lvlText w:val="(%1)"/>
      <w:lvlJc w:val="left"/>
      <w:pPr>
        <w:ind w:left="1077" w:hanging="360"/>
      </w:pPr>
      <w:rPr>
        <w:rFonts w:hint="default"/>
      </w:rPr>
    </w:lvl>
    <w:lvl w:ilvl="1" w:tplc="C2A4B0B6" w:tentative="1">
      <w:start w:val="1"/>
      <w:numFmt w:val="lowerLetter"/>
      <w:lvlText w:val="%2."/>
      <w:lvlJc w:val="left"/>
      <w:pPr>
        <w:ind w:left="1797" w:hanging="360"/>
      </w:pPr>
    </w:lvl>
    <w:lvl w:ilvl="2" w:tplc="DF3206B8" w:tentative="1">
      <w:start w:val="1"/>
      <w:numFmt w:val="lowerRoman"/>
      <w:lvlText w:val="%3."/>
      <w:lvlJc w:val="right"/>
      <w:pPr>
        <w:ind w:left="2517" w:hanging="180"/>
      </w:pPr>
    </w:lvl>
    <w:lvl w:ilvl="3" w:tplc="41EE94E0" w:tentative="1">
      <w:start w:val="1"/>
      <w:numFmt w:val="decimal"/>
      <w:lvlText w:val="%4."/>
      <w:lvlJc w:val="left"/>
      <w:pPr>
        <w:ind w:left="3237" w:hanging="360"/>
      </w:pPr>
    </w:lvl>
    <w:lvl w:ilvl="4" w:tplc="EA3ECE42" w:tentative="1">
      <w:start w:val="1"/>
      <w:numFmt w:val="lowerLetter"/>
      <w:lvlText w:val="%5."/>
      <w:lvlJc w:val="left"/>
      <w:pPr>
        <w:ind w:left="3957" w:hanging="360"/>
      </w:pPr>
    </w:lvl>
    <w:lvl w:ilvl="5" w:tplc="69EAC354" w:tentative="1">
      <w:start w:val="1"/>
      <w:numFmt w:val="lowerRoman"/>
      <w:lvlText w:val="%6."/>
      <w:lvlJc w:val="right"/>
      <w:pPr>
        <w:ind w:left="4677" w:hanging="180"/>
      </w:pPr>
    </w:lvl>
    <w:lvl w:ilvl="6" w:tplc="03CE5714" w:tentative="1">
      <w:start w:val="1"/>
      <w:numFmt w:val="decimal"/>
      <w:lvlText w:val="%7."/>
      <w:lvlJc w:val="left"/>
      <w:pPr>
        <w:ind w:left="5397" w:hanging="360"/>
      </w:pPr>
    </w:lvl>
    <w:lvl w:ilvl="7" w:tplc="F1F6297A" w:tentative="1">
      <w:start w:val="1"/>
      <w:numFmt w:val="lowerLetter"/>
      <w:lvlText w:val="%8."/>
      <w:lvlJc w:val="left"/>
      <w:pPr>
        <w:ind w:left="6117" w:hanging="360"/>
      </w:pPr>
    </w:lvl>
    <w:lvl w:ilvl="8" w:tplc="A3EAFB56" w:tentative="1">
      <w:start w:val="1"/>
      <w:numFmt w:val="lowerRoman"/>
      <w:lvlText w:val="%9."/>
      <w:lvlJc w:val="right"/>
      <w:pPr>
        <w:ind w:left="6837" w:hanging="180"/>
      </w:pPr>
    </w:lvl>
  </w:abstractNum>
  <w:abstractNum w:abstractNumId="20" w15:restartNumberingAfterBreak="0">
    <w:nsid w:val="6DFC1FD8"/>
    <w:multiLevelType w:val="multilevel"/>
    <w:tmpl w:val="AFD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AD568C"/>
    <w:multiLevelType w:val="multilevel"/>
    <w:tmpl w:val="0DAA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47E43"/>
    <w:multiLevelType w:val="hybridMultilevel"/>
    <w:tmpl w:val="E19A6A1C"/>
    <w:lvl w:ilvl="0" w:tplc="1C7AE63E">
      <w:start w:val="1"/>
      <w:numFmt w:val="lowerRoman"/>
      <w:lvlText w:val="%1)"/>
      <w:lvlJc w:val="left"/>
      <w:pPr>
        <w:ind w:left="1080" w:hanging="720"/>
      </w:pPr>
      <w:rPr>
        <w:rFonts w:hint="default"/>
      </w:rPr>
    </w:lvl>
    <w:lvl w:ilvl="1" w:tplc="541E840E" w:tentative="1">
      <w:start w:val="1"/>
      <w:numFmt w:val="lowerLetter"/>
      <w:lvlText w:val="%2."/>
      <w:lvlJc w:val="left"/>
      <w:pPr>
        <w:ind w:left="1440" w:hanging="360"/>
      </w:pPr>
    </w:lvl>
    <w:lvl w:ilvl="2" w:tplc="9EF6E5BC" w:tentative="1">
      <w:start w:val="1"/>
      <w:numFmt w:val="lowerRoman"/>
      <w:lvlText w:val="%3."/>
      <w:lvlJc w:val="right"/>
      <w:pPr>
        <w:ind w:left="2160" w:hanging="180"/>
      </w:pPr>
    </w:lvl>
    <w:lvl w:ilvl="3" w:tplc="E2D226FC" w:tentative="1">
      <w:start w:val="1"/>
      <w:numFmt w:val="decimal"/>
      <w:lvlText w:val="%4."/>
      <w:lvlJc w:val="left"/>
      <w:pPr>
        <w:ind w:left="2880" w:hanging="360"/>
      </w:pPr>
    </w:lvl>
    <w:lvl w:ilvl="4" w:tplc="0C0A493A" w:tentative="1">
      <w:start w:val="1"/>
      <w:numFmt w:val="lowerLetter"/>
      <w:lvlText w:val="%5."/>
      <w:lvlJc w:val="left"/>
      <w:pPr>
        <w:ind w:left="3600" w:hanging="360"/>
      </w:pPr>
    </w:lvl>
    <w:lvl w:ilvl="5" w:tplc="92A42A30" w:tentative="1">
      <w:start w:val="1"/>
      <w:numFmt w:val="lowerRoman"/>
      <w:lvlText w:val="%6."/>
      <w:lvlJc w:val="right"/>
      <w:pPr>
        <w:ind w:left="4320" w:hanging="180"/>
      </w:pPr>
    </w:lvl>
    <w:lvl w:ilvl="6" w:tplc="FF226D70" w:tentative="1">
      <w:start w:val="1"/>
      <w:numFmt w:val="decimal"/>
      <w:lvlText w:val="%7."/>
      <w:lvlJc w:val="left"/>
      <w:pPr>
        <w:ind w:left="5040" w:hanging="360"/>
      </w:pPr>
    </w:lvl>
    <w:lvl w:ilvl="7" w:tplc="D69E03A6" w:tentative="1">
      <w:start w:val="1"/>
      <w:numFmt w:val="lowerLetter"/>
      <w:lvlText w:val="%8."/>
      <w:lvlJc w:val="left"/>
      <w:pPr>
        <w:ind w:left="5760" w:hanging="360"/>
      </w:pPr>
    </w:lvl>
    <w:lvl w:ilvl="8" w:tplc="4FF87586" w:tentative="1">
      <w:start w:val="1"/>
      <w:numFmt w:val="lowerRoman"/>
      <w:lvlText w:val="%9."/>
      <w:lvlJc w:val="right"/>
      <w:pPr>
        <w:ind w:left="6480" w:hanging="180"/>
      </w:pPr>
    </w:lvl>
  </w:abstractNum>
  <w:abstractNum w:abstractNumId="23" w15:restartNumberingAfterBreak="0">
    <w:nsid w:val="773D416A"/>
    <w:multiLevelType w:val="hybridMultilevel"/>
    <w:tmpl w:val="3A10EEEC"/>
    <w:lvl w:ilvl="0" w:tplc="BB926FD2">
      <w:start w:val="1"/>
      <w:numFmt w:val="lowerLetter"/>
      <w:lvlText w:val="(%1)"/>
      <w:lvlJc w:val="left"/>
      <w:pPr>
        <w:ind w:left="720" w:hanging="360"/>
      </w:pPr>
      <w:rPr>
        <w:rFonts w:hint="default"/>
      </w:rPr>
    </w:lvl>
    <w:lvl w:ilvl="1" w:tplc="6DD88498" w:tentative="1">
      <w:start w:val="1"/>
      <w:numFmt w:val="lowerLetter"/>
      <w:lvlText w:val="%2."/>
      <w:lvlJc w:val="left"/>
      <w:pPr>
        <w:ind w:left="1440" w:hanging="360"/>
      </w:pPr>
    </w:lvl>
    <w:lvl w:ilvl="2" w:tplc="65669AC4" w:tentative="1">
      <w:start w:val="1"/>
      <w:numFmt w:val="lowerRoman"/>
      <w:lvlText w:val="%3."/>
      <w:lvlJc w:val="right"/>
      <w:pPr>
        <w:ind w:left="2160" w:hanging="180"/>
      </w:pPr>
    </w:lvl>
    <w:lvl w:ilvl="3" w:tplc="E7485FFE" w:tentative="1">
      <w:start w:val="1"/>
      <w:numFmt w:val="decimal"/>
      <w:lvlText w:val="%4."/>
      <w:lvlJc w:val="left"/>
      <w:pPr>
        <w:ind w:left="2880" w:hanging="360"/>
      </w:pPr>
    </w:lvl>
    <w:lvl w:ilvl="4" w:tplc="03A2A5A4" w:tentative="1">
      <w:start w:val="1"/>
      <w:numFmt w:val="lowerLetter"/>
      <w:lvlText w:val="%5."/>
      <w:lvlJc w:val="left"/>
      <w:pPr>
        <w:ind w:left="3600" w:hanging="360"/>
      </w:pPr>
    </w:lvl>
    <w:lvl w:ilvl="5" w:tplc="F1BEB68A" w:tentative="1">
      <w:start w:val="1"/>
      <w:numFmt w:val="lowerRoman"/>
      <w:lvlText w:val="%6."/>
      <w:lvlJc w:val="right"/>
      <w:pPr>
        <w:ind w:left="4320" w:hanging="180"/>
      </w:pPr>
    </w:lvl>
    <w:lvl w:ilvl="6" w:tplc="59385214" w:tentative="1">
      <w:start w:val="1"/>
      <w:numFmt w:val="decimal"/>
      <w:lvlText w:val="%7."/>
      <w:lvlJc w:val="left"/>
      <w:pPr>
        <w:ind w:left="5040" w:hanging="360"/>
      </w:pPr>
    </w:lvl>
    <w:lvl w:ilvl="7" w:tplc="4558AE84" w:tentative="1">
      <w:start w:val="1"/>
      <w:numFmt w:val="lowerLetter"/>
      <w:lvlText w:val="%8."/>
      <w:lvlJc w:val="left"/>
      <w:pPr>
        <w:ind w:left="5760" w:hanging="360"/>
      </w:pPr>
    </w:lvl>
    <w:lvl w:ilvl="8" w:tplc="8A64C05A" w:tentative="1">
      <w:start w:val="1"/>
      <w:numFmt w:val="lowerRoman"/>
      <w:lvlText w:val="%9."/>
      <w:lvlJc w:val="right"/>
      <w:pPr>
        <w:ind w:left="6480" w:hanging="180"/>
      </w:pPr>
    </w:lvl>
  </w:abstractNum>
  <w:abstractNum w:abstractNumId="24" w15:restartNumberingAfterBreak="0">
    <w:nsid w:val="7BEA0D09"/>
    <w:multiLevelType w:val="hybridMultilevel"/>
    <w:tmpl w:val="63867D8E"/>
    <w:lvl w:ilvl="0" w:tplc="7CBCA754">
      <w:start w:val="1"/>
      <w:numFmt w:val="lowerLetter"/>
      <w:lvlText w:val="(%1)"/>
      <w:lvlJc w:val="left"/>
      <w:pPr>
        <w:ind w:left="1077" w:hanging="360"/>
      </w:pPr>
      <w:rPr>
        <w:rFonts w:hint="default"/>
      </w:rPr>
    </w:lvl>
    <w:lvl w:ilvl="1" w:tplc="E098ADC0" w:tentative="1">
      <w:start w:val="1"/>
      <w:numFmt w:val="lowerLetter"/>
      <w:lvlText w:val="%2."/>
      <w:lvlJc w:val="left"/>
      <w:pPr>
        <w:ind w:left="1797" w:hanging="360"/>
      </w:pPr>
    </w:lvl>
    <w:lvl w:ilvl="2" w:tplc="1666C18C" w:tentative="1">
      <w:start w:val="1"/>
      <w:numFmt w:val="lowerRoman"/>
      <w:lvlText w:val="%3."/>
      <w:lvlJc w:val="right"/>
      <w:pPr>
        <w:ind w:left="2517" w:hanging="180"/>
      </w:pPr>
    </w:lvl>
    <w:lvl w:ilvl="3" w:tplc="98A6AA0E" w:tentative="1">
      <w:start w:val="1"/>
      <w:numFmt w:val="decimal"/>
      <w:lvlText w:val="%4."/>
      <w:lvlJc w:val="left"/>
      <w:pPr>
        <w:ind w:left="3237" w:hanging="360"/>
      </w:pPr>
    </w:lvl>
    <w:lvl w:ilvl="4" w:tplc="4D7AC2A4" w:tentative="1">
      <w:start w:val="1"/>
      <w:numFmt w:val="lowerLetter"/>
      <w:lvlText w:val="%5."/>
      <w:lvlJc w:val="left"/>
      <w:pPr>
        <w:ind w:left="3957" w:hanging="360"/>
      </w:pPr>
    </w:lvl>
    <w:lvl w:ilvl="5" w:tplc="89DC54EC" w:tentative="1">
      <w:start w:val="1"/>
      <w:numFmt w:val="lowerRoman"/>
      <w:lvlText w:val="%6."/>
      <w:lvlJc w:val="right"/>
      <w:pPr>
        <w:ind w:left="4677" w:hanging="180"/>
      </w:pPr>
    </w:lvl>
    <w:lvl w:ilvl="6" w:tplc="67F82A28" w:tentative="1">
      <w:start w:val="1"/>
      <w:numFmt w:val="decimal"/>
      <w:lvlText w:val="%7."/>
      <w:lvlJc w:val="left"/>
      <w:pPr>
        <w:ind w:left="5397" w:hanging="360"/>
      </w:pPr>
    </w:lvl>
    <w:lvl w:ilvl="7" w:tplc="BEF2D750" w:tentative="1">
      <w:start w:val="1"/>
      <w:numFmt w:val="lowerLetter"/>
      <w:lvlText w:val="%8."/>
      <w:lvlJc w:val="left"/>
      <w:pPr>
        <w:ind w:left="6117" w:hanging="360"/>
      </w:pPr>
    </w:lvl>
    <w:lvl w:ilvl="8" w:tplc="C7DCC416" w:tentative="1">
      <w:start w:val="1"/>
      <w:numFmt w:val="lowerRoman"/>
      <w:lvlText w:val="%9."/>
      <w:lvlJc w:val="right"/>
      <w:pPr>
        <w:ind w:left="6837" w:hanging="180"/>
      </w:pPr>
    </w:lvl>
  </w:abstractNum>
  <w:num w:numId="1">
    <w:abstractNumId w:val="11"/>
  </w:num>
  <w:num w:numId="2">
    <w:abstractNumId w:val="12"/>
  </w:num>
  <w:num w:numId="3">
    <w:abstractNumId w:val="24"/>
  </w:num>
  <w:num w:numId="4">
    <w:abstractNumId w:val="7"/>
  </w:num>
  <w:num w:numId="5">
    <w:abstractNumId w:val="3"/>
  </w:num>
  <w:num w:numId="6">
    <w:abstractNumId w:val="19"/>
  </w:num>
  <w:num w:numId="7">
    <w:abstractNumId w:val="4"/>
  </w:num>
  <w:num w:numId="8">
    <w:abstractNumId w:val="1"/>
  </w:num>
  <w:num w:numId="9">
    <w:abstractNumId w:val="0"/>
  </w:num>
  <w:num w:numId="10">
    <w:abstractNumId w:val="8"/>
  </w:num>
  <w:num w:numId="11">
    <w:abstractNumId w:val="14"/>
  </w:num>
  <w:num w:numId="12">
    <w:abstractNumId w:val="23"/>
  </w:num>
  <w:num w:numId="13">
    <w:abstractNumId w:val="16"/>
  </w:num>
  <w:num w:numId="14">
    <w:abstractNumId w:val="10"/>
  </w:num>
  <w:num w:numId="15">
    <w:abstractNumId w:val="13"/>
  </w:num>
  <w:num w:numId="16">
    <w:abstractNumId w:val="17"/>
  </w:num>
  <w:num w:numId="17">
    <w:abstractNumId w:val="15"/>
  </w:num>
  <w:num w:numId="18">
    <w:abstractNumId w:val="21"/>
  </w:num>
  <w:num w:numId="19">
    <w:abstractNumId w:val="9"/>
  </w:num>
  <w:num w:numId="20">
    <w:abstractNumId w:val="6"/>
  </w:num>
  <w:num w:numId="21">
    <w:abstractNumId w:val="22"/>
  </w:num>
  <w:num w:numId="22">
    <w:abstractNumId w:val="2"/>
  </w:num>
  <w:num w:numId="23">
    <w:abstractNumId w:val="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NotTrackMove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5B"/>
    <w:rsid w:val="000C72C4"/>
    <w:rsid w:val="00254462"/>
    <w:rsid w:val="00355C5B"/>
    <w:rsid w:val="00393B92"/>
    <w:rsid w:val="0041767C"/>
    <w:rsid w:val="00707489"/>
    <w:rsid w:val="007907F8"/>
    <w:rsid w:val="00794876"/>
    <w:rsid w:val="007F0D7A"/>
    <w:rsid w:val="0099733D"/>
    <w:rsid w:val="00AA5EC3"/>
    <w:rsid w:val="00C86540"/>
    <w:rsid w:val="00E40D7D"/>
    <w:rsid w:val="00EC0249"/>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CFEA"/>
  <w15:docId w15:val="{A1F40712-70B0-9E4C-A7A4-21047DFB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k.practicallaw.thomsonreuters.com/w-007-7841" TargetMode="External"/><Relationship Id="rId2" Type="http://schemas.openxmlformats.org/officeDocument/2006/relationships/hyperlink" Target="https://uk.practicallaw.thomsonreuters.com/Browse/Home/About/OurteamRestructuringInsolvency?transitionType=Default&amp;contextData=(sc.Default)" TargetMode="External"/><Relationship Id="rId1" Type="http://schemas.openxmlformats.org/officeDocument/2006/relationships/hyperlink" Target="https://commonslibrary.parliament.uk/research-briefings/cbp-8971/" TargetMode="External"/><Relationship Id="rId6" Type="http://schemas.openxmlformats.org/officeDocument/2006/relationships/hyperlink" Target="https://www.herbertsmithfreehills.com/insight/cross-border-insolvencies-in-the-uk-and-eu-%E2%80%93-a-post-brexit-guide" TargetMode="External"/><Relationship Id="rId5" Type="http://schemas.openxmlformats.org/officeDocument/2006/relationships/hyperlink" Target="https://kennedyslaw.com/thought-leadership/article/brexit-and-eu-cross-border-insolvency-what-comes-next/" TargetMode="External"/><Relationship Id="rId4" Type="http://schemas.openxmlformats.org/officeDocument/2006/relationships/hyperlink" Target="https://uk.practicallaw.thomsonreuters.com/2-641-0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BFEBC450-C52A-4C08-BF39-E05B4410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Proctor</cp:lastModifiedBy>
  <cp:revision>4</cp:revision>
  <dcterms:created xsi:type="dcterms:W3CDTF">2021-11-15T16:39:00Z</dcterms:created>
  <dcterms:modified xsi:type="dcterms:W3CDTF">2021-11-15T19:05:00Z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