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9D3620" w:rsidRDefault="00C60631" w:rsidP="009D510C">
      <w:pPr>
        <w:pStyle w:val="ListParagraph"/>
        <w:numPr>
          <w:ilvl w:val="0"/>
          <w:numId w:val="12"/>
        </w:numPr>
        <w:ind w:left="426"/>
        <w:jc w:val="both"/>
        <w:rPr>
          <w:rFonts w:ascii="Arial" w:hAnsi="Arial" w:cs="Arial"/>
          <w:sz w:val="22"/>
          <w:szCs w:val="22"/>
          <w:highlight w:val="yellow"/>
          <w:lang w:val="en-GB"/>
        </w:rPr>
      </w:pPr>
      <w:r w:rsidRPr="009D3620">
        <w:rPr>
          <w:rFonts w:ascii="Arial" w:hAnsi="Arial" w:cs="Arial"/>
          <w:sz w:val="22"/>
          <w:szCs w:val="22"/>
          <w:highlight w:val="yellow"/>
          <w:lang w:val="en-GB"/>
        </w:rPr>
        <w:t xml:space="preserve">This statement is incorrect since </w:t>
      </w:r>
      <w:r w:rsidR="00E7793C" w:rsidRPr="009D362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9D3620" w:rsidRDefault="00AE027F" w:rsidP="009D510C">
      <w:pPr>
        <w:pStyle w:val="ListParagraph"/>
        <w:numPr>
          <w:ilvl w:val="0"/>
          <w:numId w:val="13"/>
        </w:numPr>
        <w:jc w:val="both"/>
        <w:rPr>
          <w:rFonts w:ascii="Arial" w:hAnsi="Arial" w:cs="Arial"/>
          <w:sz w:val="22"/>
          <w:szCs w:val="22"/>
          <w:highlight w:val="yellow"/>
          <w:lang w:val="en-GB"/>
        </w:rPr>
      </w:pPr>
      <w:r w:rsidRPr="009D3620">
        <w:rPr>
          <w:rFonts w:ascii="Arial" w:hAnsi="Arial" w:cs="Arial"/>
          <w:sz w:val="22"/>
          <w:szCs w:val="22"/>
          <w:highlight w:val="yellow"/>
          <w:lang w:val="en-GB"/>
        </w:rPr>
        <w:t>The statement i</w:t>
      </w:r>
      <w:r w:rsidR="006E77B0" w:rsidRPr="009D3620">
        <w:rPr>
          <w:rFonts w:ascii="Arial" w:hAnsi="Arial" w:cs="Arial"/>
          <w:sz w:val="22"/>
          <w:szCs w:val="22"/>
          <w:highlight w:val="yellow"/>
          <w:lang w:val="en-GB"/>
        </w:rPr>
        <w:t>s incorrect since the UK did re</w:t>
      </w:r>
      <w:r w:rsidRPr="009D3620">
        <w:rPr>
          <w:rFonts w:ascii="Arial" w:hAnsi="Arial" w:cs="Arial"/>
          <w:sz w:val="22"/>
          <w:szCs w:val="22"/>
          <w:highlight w:val="yellow"/>
          <w:lang w:val="en-GB"/>
        </w:rPr>
        <w:t>v</w:t>
      </w:r>
      <w:r w:rsidR="006E77B0" w:rsidRPr="009D3620">
        <w:rPr>
          <w:rFonts w:ascii="Arial" w:hAnsi="Arial" w:cs="Arial"/>
          <w:sz w:val="22"/>
          <w:szCs w:val="22"/>
          <w:highlight w:val="yellow"/>
          <w:lang w:val="en-GB"/>
        </w:rPr>
        <w:t>i</w:t>
      </w:r>
      <w:r w:rsidRPr="009D3620">
        <w:rPr>
          <w:rFonts w:ascii="Arial" w:hAnsi="Arial" w:cs="Arial"/>
          <w:sz w:val="22"/>
          <w:szCs w:val="22"/>
          <w:highlight w:val="yellow"/>
          <w:lang w:val="en-GB"/>
        </w:rPr>
        <w:t>ew parts of its insolvency rules and amended some, among</w:t>
      </w:r>
      <w:r w:rsidR="006E77B0" w:rsidRPr="009D3620">
        <w:rPr>
          <w:rFonts w:ascii="Arial" w:hAnsi="Arial" w:cs="Arial"/>
          <w:sz w:val="22"/>
          <w:szCs w:val="22"/>
          <w:highlight w:val="yellow"/>
          <w:lang w:val="en-GB"/>
        </w:rPr>
        <w:t>s</w:t>
      </w:r>
      <w:r w:rsidRPr="009D3620">
        <w:rPr>
          <w:rFonts w:ascii="Arial" w:hAnsi="Arial" w:cs="Arial"/>
          <w:sz w:val="22"/>
          <w:szCs w:val="22"/>
          <w:highlight w:val="yellow"/>
          <w:lang w:val="en-GB"/>
        </w:rPr>
        <w:t>t other</w:t>
      </w:r>
      <w:r w:rsidR="00F96AF1" w:rsidRPr="009D3620">
        <w:rPr>
          <w:rFonts w:ascii="Arial" w:hAnsi="Arial" w:cs="Arial"/>
          <w:sz w:val="22"/>
          <w:szCs w:val="22"/>
          <w:highlight w:val="yellow"/>
          <w:lang w:val="en-GB"/>
        </w:rPr>
        <w:t xml:space="preserve"> things</w:t>
      </w:r>
      <w:r w:rsidRPr="009D3620">
        <w:rPr>
          <w:rFonts w:ascii="Arial" w:hAnsi="Arial" w:cs="Arial"/>
          <w:sz w:val="22"/>
          <w:szCs w:val="22"/>
          <w:highlight w:val="yellow"/>
          <w:lang w:val="en-GB"/>
        </w:rPr>
        <w:t>, to deal with the negative economic fall out of the pandemic</w:t>
      </w:r>
      <w:proofErr w:type="gramStart"/>
      <w:r w:rsidRPr="009D3620">
        <w:rPr>
          <w:rFonts w:ascii="Arial" w:hAnsi="Arial" w:cs="Arial"/>
          <w:sz w:val="22"/>
          <w:szCs w:val="22"/>
          <w:highlight w:val="yellow"/>
          <w:lang w:val="en-GB"/>
        </w:rPr>
        <w:t>.</w:t>
      </w:r>
      <w:r w:rsidR="00100A77" w:rsidRPr="009D3620">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9D3620" w:rsidRDefault="00B54F90" w:rsidP="009D510C">
      <w:pPr>
        <w:pStyle w:val="ListParagraph"/>
        <w:numPr>
          <w:ilvl w:val="0"/>
          <w:numId w:val="14"/>
        </w:numPr>
        <w:ind w:left="426"/>
        <w:jc w:val="both"/>
        <w:rPr>
          <w:rFonts w:ascii="Arial" w:hAnsi="Arial" w:cs="Arial"/>
          <w:sz w:val="22"/>
          <w:szCs w:val="22"/>
          <w:highlight w:val="yellow"/>
          <w:lang w:val="en-GB"/>
        </w:rPr>
      </w:pPr>
      <w:r w:rsidRPr="009D362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9D3620">
        <w:rPr>
          <w:rFonts w:ascii="Arial" w:hAnsi="Arial" w:cs="Arial"/>
          <w:sz w:val="22"/>
          <w:szCs w:val="22"/>
          <w:highlight w:val="yellow"/>
          <w:lang w:val="en-GB"/>
        </w:rPr>
        <w:t xml:space="preserve">on </w:t>
      </w:r>
      <w:r w:rsidRPr="009D3620">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9D362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9D3620">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ED459A" w:rsidRDefault="00926D10" w:rsidP="009D510C">
      <w:pPr>
        <w:pStyle w:val="ListParagraph"/>
        <w:numPr>
          <w:ilvl w:val="0"/>
          <w:numId w:val="5"/>
        </w:numPr>
        <w:ind w:left="426"/>
        <w:jc w:val="both"/>
        <w:rPr>
          <w:rFonts w:ascii="Arial" w:hAnsi="Arial" w:cs="Arial"/>
          <w:sz w:val="22"/>
          <w:szCs w:val="22"/>
          <w:highlight w:val="yellow"/>
          <w:lang w:val="en-GB"/>
        </w:rPr>
      </w:pPr>
      <w:r w:rsidRPr="00ED459A">
        <w:rPr>
          <w:rFonts w:ascii="Arial" w:hAnsi="Arial" w:cs="Arial"/>
          <w:sz w:val="22"/>
          <w:szCs w:val="22"/>
          <w:highlight w:val="yellow"/>
          <w:lang w:val="en-GB"/>
        </w:rPr>
        <w:t xml:space="preserve">The statement is </w:t>
      </w:r>
      <w:r w:rsidR="006E1CB0" w:rsidRPr="00ED459A">
        <w:rPr>
          <w:rFonts w:ascii="Arial" w:hAnsi="Arial" w:cs="Arial"/>
          <w:sz w:val="22"/>
          <w:szCs w:val="22"/>
          <w:highlight w:val="yellow"/>
          <w:lang w:val="en-GB"/>
        </w:rPr>
        <w:t xml:space="preserve">not </w:t>
      </w:r>
      <w:r w:rsidRPr="00ED459A">
        <w:rPr>
          <w:rFonts w:ascii="Arial" w:hAnsi="Arial" w:cs="Arial"/>
          <w:sz w:val="22"/>
          <w:szCs w:val="22"/>
          <w:highlight w:val="yellow"/>
          <w:lang w:val="en-GB"/>
        </w:rPr>
        <w:t xml:space="preserve">correct </w:t>
      </w:r>
      <w:r w:rsidR="007958F0" w:rsidRPr="00ED459A">
        <w:rPr>
          <w:rFonts w:ascii="Arial" w:hAnsi="Arial" w:cs="Arial"/>
          <w:sz w:val="22"/>
          <w:szCs w:val="22"/>
          <w:highlight w:val="yellow"/>
          <w:lang w:val="en-GB"/>
        </w:rPr>
        <w:t>because</w:t>
      </w:r>
      <w:r w:rsidRPr="00ED459A">
        <w:rPr>
          <w:rFonts w:ascii="Arial" w:hAnsi="Arial" w:cs="Arial"/>
          <w:sz w:val="22"/>
          <w:szCs w:val="22"/>
          <w:highlight w:val="yellow"/>
          <w:lang w:val="en-GB"/>
        </w:rPr>
        <w:t xml:space="preserve"> very few </w:t>
      </w:r>
      <w:r w:rsidR="007958F0" w:rsidRPr="00ED459A">
        <w:rPr>
          <w:rFonts w:ascii="Arial" w:hAnsi="Arial" w:cs="Arial"/>
          <w:sz w:val="22"/>
          <w:szCs w:val="22"/>
          <w:highlight w:val="yellow"/>
          <w:lang w:val="en-GB"/>
        </w:rPr>
        <w:t>States</w:t>
      </w:r>
      <w:r w:rsidRPr="00ED459A">
        <w:rPr>
          <w:rFonts w:ascii="Arial" w:hAnsi="Arial" w:cs="Arial"/>
          <w:sz w:val="22"/>
          <w:szCs w:val="22"/>
          <w:highlight w:val="yellow"/>
          <w:lang w:val="en-GB"/>
        </w:rPr>
        <w:t xml:space="preserve"> allow insolvent estate representatives to deal with assets of a foreign debtor situated in </w:t>
      </w:r>
      <w:r w:rsidR="005936B3" w:rsidRPr="00ED459A">
        <w:rPr>
          <w:rFonts w:ascii="Arial" w:hAnsi="Arial" w:cs="Arial"/>
          <w:sz w:val="22"/>
          <w:szCs w:val="22"/>
          <w:highlight w:val="yellow"/>
          <w:lang w:val="en-GB"/>
        </w:rPr>
        <w:t>their own</w:t>
      </w:r>
      <w:r w:rsidRPr="00ED459A">
        <w:rPr>
          <w:rFonts w:ascii="Arial" w:hAnsi="Arial" w:cs="Arial"/>
          <w:sz w:val="22"/>
          <w:szCs w:val="22"/>
          <w:highlight w:val="yellow"/>
          <w:lang w:val="en-GB"/>
        </w:rPr>
        <w:t xml:space="preserve"> jurisdiction without </w:t>
      </w:r>
      <w:r w:rsidR="006E1CB0" w:rsidRPr="00ED459A">
        <w:rPr>
          <w:rFonts w:ascii="Arial" w:hAnsi="Arial" w:cs="Arial"/>
          <w:sz w:val="22"/>
          <w:szCs w:val="22"/>
          <w:highlight w:val="yellow"/>
          <w:lang w:val="en-GB"/>
        </w:rPr>
        <w:t xml:space="preserve">some form of </w:t>
      </w:r>
      <w:r w:rsidR="0090037B" w:rsidRPr="00ED459A">
        <w:rPr>
          <w:rFonts w:ascii="Arial" w:hAnsi="Arial" w:cs="Arial"/>
          <w:sz w:val="22"/>
          <w:szCs w:val="22"/>
          <w:highlight w:val="yellow"/>
          <w:lang w:val="en-GB"/>
        </w:rPr>
        <w:t xml:space="preserve">a </w:t>
      </w:r>
      <w:r w:rsidR="006E1CB0" w:rsidRPr="00ED459A">
        <w:rPr>
          <w:rFonts w:ascii="Arial" w:hAnsi="Arial" w:cs="Arial"/>
          <w:sz w:val="22"/>
          <w:szCs w:val="22"/>
          <w:highlight w:val="yellow"/>
          <w:lang w:val="en-GB"/>
        </w:rPr>
        <w:t>(</w:t>
      </w:r>
      <w:r w:rsidR="0090037B" w:rsidRPr="00ED459A">
        <w:rPr>
          <w:rFonts w:ascii="Arial" w:hAnsi="Arial" w:cs="Arial"/>
          <w:sz w:val="22"/>
          <w:szCs w:val="22"/>
          <w:highlight w:val="yellow"/>
          <w:lang w:val="en-GB"/>
        </w:rPr>
        <w:t>prior</w:t>
      </w:r>
      <w:r w:rsidR="006E1CB0" w:rsidRPr="00ED459A">
        <w:rPr>
          <w:rFonts w:ascii="Arial" w:hAnsi="Arial" w:cs="Arial"/>
          <w:sz w:val="22"/>
          <w:szCs w:val="22"/>
          <w:highlight w:val="yellow"/>
          <w:lang w:val="en-GB"/>
        </w:rPr>
        <w:t>)</w:t>
      </w:r>
      <w:r w:rsidRPr="00ED459A">
        <w:rPr>
          <w:rFonts w:ascii="Arial" w:hAnsi="Arial" w:cs="Arial"/>
          <w:sz w:val="22"/>
          <w:szCs w:val="22"/>
          <w:highlight w:val="yellow"/>
          <w:lang w:val="en-GB"/>
        </w:rPr>
        <w:t xml:space="preserve"> local procedure </w:t>
      </w:r>
      <w:r w:rsidR="005936B3" w:rsidRPr="00ED459A">
        <w:rPr>
          <w:rFonts w:ascii="Arial" w:hAnsi="Arial" w:cs="Arial"/>
          <w:sz w:val="22"/>
          <w:szCs w:val="22"/>
          <w:highlight w:val="yellow"/>
          <w:lang w:val="en-GB"/>
        </w:rPr>
        <w:t xml:space="preserve">to </w:t>
      </w:r>
      <w:r w:rsidRPr="00ED459A">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5C7C92" w:rsidRDefault="000329A6" w:rsidP="00C570AC">
      <w:pPr>
        <w:pStyle w:val="ListParagraph"/>
        <w:numPr>
          <w:ilvl w:val="0"/>
          <w:numId w:val="6"/>
        </w:numPr>
        <w:ind w:left="426"/>
        <w:jc w:val="both"/>
        <w:rPr>
          <w:rFonts w:ascii="Arial" w:hAnsi="Arial" w:cs="Arial"/>
          <w:sz w:val="22"/>
          <w:szCs w:val="22"/>
          <w:highlight w:val="yellow"/>
          <w:lang w:val="en-GB"/>
        </w:rPr>
      </w:pPr>
      <w:r w:rsidRPr="005C7C92">
        <w:rPr>
          <w:rFonts w:ascii="Arial" w:eastAsiaTheme="minorHAnsi" w:hAnsi="Arial" w:cs="Arial"/>
          <w:sz w:val="22"/>
          <w:szCs w:val="22"/>
          <w:highlight w:val="yellow"/>
          <w:lang w:val="en-GB"/>
        </w:rPr>
        <w:t xml:space="preserve">They were recently revised in 2021 and, together with the </w:t>
      </w:r>
      <w:r w:rsidRPr="005C7C92">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5C7C9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5C7C92">
        <w:rPr>
          <w:rFonts w:ascii="Arial" w:eastAsiaTheme="minorHAnsi" w:hAnsi="Arial" w:cs="Arial"/>
          <w:sz w:val="22"/>
          <w:szCs w:val="22"/>
          <w:highlight w:val="yellow"/>
          <w:lang w:val="en-GB"/>
        </w:rPr>
        <w:t xml:space="preserve">The Nordic Convention </w:t>
      </w:r>
      <w:r w:rsidR="00076483" w:rsidRPr="005C7C92">
        <w:rPr>
          <w:rFonts w:ascii="Arial" w:eastAsiaTheme="minorHAnsi" w:hAnsi="Arial" w:cs="Arial"/>
          <w:sz w:val="22"/>
          <w:szCs w:val="22"/>
          <w:highlight w:val="yellow"/>
          <w:lang w:val="en-GB"/>
        </w:rPr>
        <w:t>1933</w:t>
      </w:r>
      <w:r w:rsidR="00966E44" w:rsidRPr="005C7C9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C7C92" w:rsidRDefault="00124B70" w:rsidP="00275182">
      <w:pPr>
        <w:pStyle w:val="ListParagraph"/>
        <w:numPr>
          <w:ilvl w:val="0"/>
          <w:numId w:val="8"/>
        </w:numPr>
        <w:ind w:left="426"/>
        <w:jc w:val="both"/>
        <w:rPr>
          <w:rFonts w:ascii="Arial" w:hAnsi="Arial" w:cs="Arial"/>
          <w:sz w:val="22"/>
          <w:szCs w:val="22"/>
          <w:highlight w:val="yellow"/>
          <w:lang w:val="en-GB"/>
        </w:rPr>
      </w:pPr>
      <w:r w:rsidRPr="005C7C9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A0E44" w:rsidRDefault="00E86549" w:rsidP="00275182">
      <w:pPr>
        <w:pStyle w:val="ListParagraph"/>
        <w:numPr>
          <w:ilvl w:val="0"/>
          <w:numId w:val="9"/>
        </w:numPr>
        <w:ind w:left="426"/>
        <w:jc w:val="both"/>
        <w:rPr>
          <w:rFonts w:ascii="Arial" w:hAnsi="Arial" w:cs="Arial"/>
          <w:bCs/>
          <w:sz w:val="22"/>
          <w:szCs w:val="22"/>
          <w:highlight w:val="yellow"/>
          <w:lang w:val="en-GB"/>
        </w:rPr>
      </w:pPr>
      <w:r w:rsidRPr="001A0E44">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A0E44">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A0E44" w:rsidRDefault="00911C23" w:rsidP="00275182">
      <w:pPr>
        <w:pStyle w:val="ListParagraph"/>
        <w:numPr>
          <w:ilvl w:val="0"/>
          <w:numId w:val="10"/>
        </w:numPr>
        <w:ind w:left="426"/>
        <w:jc w:val="both"/>
        <w:rPr>
          <w:rFonts w:ascii="Arial" w:hAnsi="Arial" w:cs="Arial"/>
          <w:sz w:val="22"/>
          <w:szCs w:val="22"/>
          <w:highlight w:val="yellow"/>
          <w:lang w:val="en-GB"/>
        </w:rPr>
      </w:pPr>
      <w:r w:rsidRPr="001A0E44">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55B597F3" w:rsidR="00DE03AF" w:rsidRDefault="00F436E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Act of 1542 introduced the principles of collective participation by creditors and a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passu distribution among them of any available assets and the sequestration of a fraudulent or absconding debtor. </w:t>
      </w:r>
    </w:p>
    <w:p w14:paraId="367B8A25" w14:textId="0ACAEC7B" w:rsidR="00F436E9" w:rsidRDefault="00F436E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1570 Act permitted a bankruptcy proceeding to be commenced against a debtor following an ‘act of bankruptcy’ meaning that a creditor could petition The Lord Chancellor to have a debtor adjudged bankrupt.</w:t>
      </w:r>
    </w:p>
    <w:p w14:paraId="25DEEC9F" w14:textId="45F5801D" w:rsidR="00F436E9" w:rsidRPr="00F436E9" w:rsidRDefault="00F436E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 provided for the first time that a debto</w:t>
      </w:r>
      <w:r w:rsidR="00410923">
        <w:rPr>
          <w:rFonts w:ascii="Arial" w:hAnsi="Arial" w:cs="Arial"/>
          <w:color w:val="7B7B7B" w:themeColor="accent3" w:themeShade="BF"/>
          <w:sz w:val="22"/>
          <w:szCs w:val="22"/>
          <w:lang w:val="en-GB"/>
        </w:rPr>
        <w:t>r could be discharged from bankruptcy. Taken together, these 3 pieces of English legislation, while historical and of a different era, laid the foundation for modern insolvency procedures: a collective process; equality amongst a class of creditors and the concept of discharge and ‘a fresh start’.</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6D7FD017" w:rsidR="009B07AD" w:rsidRPr="00205B31" w:rsidRDefault="00410923"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 UK introduced the Corporate Insolvency and Governance Act 2020 in June 2020</w:t>
      </w:r>
      <w:r w:rsidR="00770D15">
        <w:rPr>
          <w:rFonts w:ascii="Arial" w:hAnsi="Arial" w:cs="Arial"/>
          <w:color w:val="7B7B7B" w:themeColor="accent3" w:themeShade="BF"/>
          <w:sz w:val="22"/>
          <w:szCs w:val="22"/>
          <w:lang w:val="en-GB"/>
        </w:rPr>
        <w:t xml:space="preserve">. This Act </w:t>
      </w:r>
      <w:r w:rsidR="00690306">
        <w:rPr>
          <w:rFonts w:ascii="Arial" w:hAnsi="Arial" w:cs="Arial"/>
          <w:color w:val="7B7B7B" w:themeColor="accent3" w:themeShade="BF"/>
          <w:sz w:val="22"/>
          <w:szCs w:val="22"/>
          <w:lang w:val="en-GB"/>
        </w:rPr>
        <w:t>contain</w:t>
      </w:r>
      <w:r w:rsidR="00770D15">
        <w:rPr>
          <w:rFonts w:ascii="Arial" w:hAnsi="Arial" w:cs="Arial"/>
          <w:color w:val="7B7B7B" w:themeColor="accent3" w:themeShade="BF"/>
          <w:sz w:val="22"/>
          <w:szCs w:val="22"/>
          <w:lang w:val="en-GB"/>
        </w:rPr>
        <w:t>s</w:t>
      </w:r>
      <w:r w:rsidR="00690306">
        <w:rPr>
          <w:rFonts w:ascii="Arial" w:hAnsi="Arial" w:cs="Arial"/>
          <w:color w:val="7B7B7B" w:themeColor="accent3" w:themeShade="BF"/>
          <w:sz w:val="22"/>
          <w:szCs w:val="22"/>
          <w:lang w:val="en-GB"/>
        </w:rPr>
        <w:t xml:space="preserve"> the UK’s response to the pandemic from an insolvency related perspective. The Act contains </w:t>
      </w:r>
      <w:proofErr w:type="gramStart"/>
      <w:r w:rsidR="00690306">
        <w:rPr>
          <w:rFonts w:ascii="Arial" w:hAnsi="Arial" w:cs="Arial"/>
          <w:color w:val="7B7B7B" w:themeColor="accent3" w:themeShade="BF"/>
          <w:sz w:val="22"/>
          <w:szCs w:val="22"/>
          <w:lang w:val="en-GB"/>
        </w:rPr>
        <w:t>a number of</w:t>
      </w:r>
      <w:proofErr w:type="gramEnd"/>
      <w:r w:rsidR="00690306">
        <w:rPr>
          <w:rFonts w:ascii="Arial" w:hAnsi="Arial" w:cs="Arial"/>
          <w:color w:val="7B7B7B" w:themeColor="accent3" w:themeShade="BF"/>
          <w:sz w:val="22"/>
          <w:szCs w:val="22"/>
          <w:lang w:val="en-GB"/>
        </w:rPr>
        <w:t xml:space="preserve"> provisions</w:t>
      </w:r>
      <w:r w:rsidR="00770D15">
        <w:rPr>
          <w:rFonts w:ascii="Arial" w:hAnsi="Arial" w:cs="Arial"/>
          <w:color w:val="7B7B7B" w:themeColor="accent3" w:themeShade="BF"/>
          <w:sz w:val="22"/>
          <w:szCs w:val="22"/>
          <w:lang w:val="en-GB"/>
        </w:rPr>
        <w:t>;</w:t>
      </w:r>
      <w:r w:rsidR="00690306">
        <w:rPr>
          <w:rFonts w:ascii="Arial" w:hAnsi="Arial" w:cs="Arial"/>
          <w:color w:val="7B7B7B" w:themeColor="accent3" w:themeShade="BF"/>
          <w:sz w:val="22"/>
          <w:szCs w:val="22"/>
          <w:lang w:val="en-GB"/>
        </w:rPr>
        <w:t xml:space="preserve"> taking </w:t>
      </w:r>
      <w:r w:rsidR="00770D15">
        <w:rPr>
          <w:rFonts w:ascii="Arial" w:hAnsi="Arial" w:cs="Arial"/>
          <w:color w:val="7B7B7B" w:themeColor="accent3" w:themeShade="BF"/>
          <w:sz w:val="22"/>
          <w:szCs w:val="22"/>
          <w:lang w:val="en-GB"/>
        </w:rPr>
        <w:t>3 insolvency related measures</w:t>
      </w:r>
      <w:r w:rsidR="00690306">
        <w:rPr>
          <w:rFonts w:ascii="Arial" w:hAnsi="Arial" w:cs="Arial"/>
          <w:color w:val="7B7B7B" w:themeColor="accent3" w:themeShade="BF"/>
          <w:sz w:val="22"/>
          <w:szCs w:val="22"/>
          <w:lang w:val="en-GB"/>
        </w:rPr>
        <w:t xml:space="preserve">: prevention of statutory demands served between 1 March and 30 September 2020 being used as a basis for issuing a winding up petition against a company. A new moratorium of 20 business days was introduced which prevents creditors </w:t>
      </w:r>
      <w:proofErr w:type="gramStart"/>
      <w:r w:rsidR="00690306">
        <w:rPr>
          <w:rFonts w:ascii="Arial" w:hAnsi="Arial" w:cs="Arial"/>
          <w:color w:val="7B7B7B" w:themeColor="accent3" w:themeShade="BF"/>
          <w:sz w:val="22"/>
          <w:szCs w:val="22"/>
          <w:lang w:val="en-GB"/>
        </w:rPr>
        <w:t>taking action</w:t>
      </w:r>
      <w:proofErr w:type="gramEnd"/>
      <w:r w:rsidR="00690306">
        <w:rPr>
          <w:rFonts w:ascii="Arial" w:hAnsi="Arial" w:cs="Arial"/>
          <w:color w:val="7B7B7B" w:themeColor="accent3" w:themeShade="BF"/>
          <w:sz w:val="22"/>
          <w:szCs w:val="22"/>
          <w:lang w:val="en-GB"/>
        </w:rPr>
        <w:t xml:space="preserve"> against a company within this period which the company is to use to restructure/seek fresh investment. </w:t>
      </w:r>
      <w:r w:rsidR="00770D15">
        <w:rPr>
          <w:rFonts w:ascii="Arial" w:hAnsi="Arial" w:cs="Arial"/>
          <w:color w:val="7B7B7B" w:themeColor="accent3" w:themeShade="BF"/>
          <w:sz w:val="22"/>
          <w:szCs w:val="22"/>
          <w:lang w:val="en-GB"/>
        </w:rPr>
        <w:t>The Act contains a provision to the effect that s</w:t>
      </w:r>
      <w:r w:rsidR="00690306">
        <w:rPr>
          <w:rFonts w:ascii="Arial" w:hAnsi="Arial" w:cs="Arial"/>
          <w:color w:val="7B7B7B" w:themeColor="accent3" w:themeShade="BF"/>
          <w:sz w:val="22"/>
          <w:szCs w:val="22"/>
          <w:lang w:val="en-GB"/>
        </w:rPr>
        <w:t xml:space="preserve">uppliers of goods and services cannot </w:t>
      </w:r>
      <w:r w:rsidR="00770D15">
        <w:rPr>
          <w:rFonts w:ascii="Arial" w:hAnsi="Arial" w:cs="Arial"/>
          <w:color w:val="7B7B7B" w:themeColor="accent3" w:themeShade="BF"/>
          <w:sz w:val="22"/>
          <w:szCs w:val="22"/>
          <w:lang w:val="en-GB"/>
        </w:rPr>
        <w:t>rely on contract terms vary</w:t>
      </w:r>
      <w:r w:rsidR="00EF35FF">
        <w:rPr>
          <w:rFonts w:ascii="Arial" w:hAnsi="Arial" w:cs="Arial"/>
          <w:color w:val="7B7B7B" w:themeColor="accent3" w:themeShade="BF"/>
          <w:sz w:val="22"/>
          <w:szCs w:val="22"/>
          <w:lang w:val="en-GB"/>
        </w:rPr>
        <w:t>ing</w:t>
      </w:r>
      <w:r w:rsidR="00770D15">
        <w:rPr>
          <w:rFonts w:ascii="Arial" w:hAnsi="Arial" w:cs="Arial"/>
          <w:color w:val="7B7B7B" w:themeColor="accent3" w:themeShade="BF"/>
          <w:sz w:val="22"/>
          <w:szCs w:val="22"/>
          <w:lang w:val="en-GB"/>
        </w:rPr>
        <w:t xml:space="preserve"> or </w:t>
      </w:r>
      <w:r w:rsidR="00690306">
        <w:rPr>
          <w:rFonts w:ascii="Arial" w:hAnsi="Arial" w:cs="Arial"/>
          <w:color w:val="7B7B7B" w:themeColor="accent3" w:themeShade="BF"/>
          <w:sz w:val="22"/>
          <w:szCs w:val="22"/>
          <w:lang w:val="en-GB"/>
        </w:rPr>
        <w:t>terminat</w:t>
      </w:r>
      <w:r w:rsidR="00EF35FF">
        <w:rPr>
          <w:rFonts w:ascii="Arial" w:hAnsi="Arial" w:cs="Arial"/>
          <w:color w:val="7B7B7B" w:themeColor="accent3" w:themeShade="BF"/>
          <w:sz w:val="22"/>
          <w:szCs w:val="22"/>
          <w:lang w:val="en-GB"/>
        </w:rPr>
        <w:t>ing</w:t>
      </w:r>
      <w:r w:rsidR="00690306">
        <w:rPr>
          <w:rFonts w:ascii="Arial" w:hAnsi="Arial" w:cs="Arial"/>
          <w:color w:val="7B7B7B" w:themeColor="accent3" w:themeShade="BF"/>
          <w:sz w:val="22"/>
          <w:szCs w:val="22"/>
          <w:lang w:val="en-GB"/>
        </w:rPr>
        <w:t xml:space="preserve"> contracts because the company enters an </w:t>
      </w:r>
      <w:r w:rsidR="00770D15">
        <w:rPr>
          <w:rFonts w:ascii="Arial" w:hAnsi="Arial" w:cs="Arial"/>
          <w:color w:val="7B7B7B" w:themeColor="accent3" w:themeShade="BF"/>
          <w:sz w:val="22"/>
          <w:szCs w:val="22"/>
          <w:lang w:val="en-GB"/>
        </w:rPr>
        <w:t>insolvency process.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94EC671" w:rsidR="00C72848" w:rsidRPr="00205B31" w:rsidRDefault="00F82BC8"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Treaties and conventions to which States become signatories become part of domestic law, enforceable in the courts and as such a part of that States ‘hard law’. An example is the European Insolvency Regulation which applies between EU member states. By contrast, ‘soft law’ seeks to influence the direction of cross-border insolvency rules and provides guidance and suggests best practices. A range of multilateral organisations rather than governments/States are involved in the creation of ‘soft law’. An example of soft law </w:t>
      </w:r>
      <w:r w:rsidR="00A53ED2">
        <w:rPr>
          <w:rFonts w:ascii="Arial" w:hAnsi="Arial" w:cs="Arial"/>
          <w:color w:val="7B7B7B" w:themeColor="accent3" w:themeShade="BF"/>
          <w:sz w:val="22"/>
          <w:szCs w:val="22"/>
          <w:lang w:val="en-GB"/>
        </w:rPr>
        <w:t xml:space="preserve">(and how it may influence the direction of cross border insolvency as opposed to treaties and conventions) </w:t>
      </w:r>
      <w:r>
        <w:rPr>
          <w:rFonts w:ascii="Arial" w:hAnsi="Arial" w:cs="Arial"/>
          <w:color w:val="7B7B7B" w:themeColor="accent3" w:themeShade="BF"/>
          <w:sz w:val="22"/>
          <w:szCs w:val="22"/>
          <w:lang w:val="en-GB"/>
        </w:rPr>
        <w:t xml:space="preserve">is the UNCITRAL Model Law on Cross-border Insolvency. </w:t>
      </w:r>
      <w:r w:rsidR="00A53ED2">
        <w:rPr>
          <w:rFonts w:ascii="Arial" w:hAnsi="Arial" w:cs="Arial"/>
          <w:color w:val="7B7B7B" w:themeColor="accent3" w:themeShade="BF"/>
          <w:sz w:val="22"/>
          <w:szCs w:val="22"/>
          <w:lang w:val="en-GB"/>
        </w:rPr>
        <w:t>Another example is the development of the Asian Principles of Business Restructuring through the collaboration of the Asian Business Law Institute and the International Insolvency Institute.</w:t>
      </w:r>
      <w:r w:rsidR="005C0870">
        <w:rPr>
          <w:rFonts w:ascii="Arial" w:hAnsi="Arial" w:cs="Arial"/>
          <w:color w:val="7B7B7B" w:themeColor="accent3" w:themeShade="BF"/>
          <w:sz w:val="22"/>
          <w:szCs w:val="22"/>
          <w:lang w:val="en-GB"/>
        </w:rPr>
        <w:t xml:space="preserve"> Soft law assists in establishing cross border rules as it can be difficult for States to agree such rules in the form of international treaties and conventions.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7F5A98E5" w:rsidR="00544127" w:rsidRPr="00205B31" w:rsidRDefault="007D0D10" w:rsidP="00B7193E">
      <w:pPr>
        <w:jc w:val="both"/>
        <w:rPr>
          <w:rFonts w:ascii="Arial" w:hAnsi="Arial" w:cs="Arial"/>
          <w:sz w:val="22"/>
          <w:szCs w:val="22"/>
          <w:lang w:val="en-GB"/>
        </w:rPr>
      </w:pPr>
      <w:r>
        <w:rPr>
          <w:rFonts w:ascii="Arial" w:hAnsi="Arial" w:cs="Arial"/>
          <w:color w:val="7B7B7B" w:themeColor="accent3" w:themeShade="BF"/>
          <w:sz w:val="22"/>
          <w:szCs w:val="22"/>
          <w:lang w:val="en-GB"/>
        </w:rPr>
        <w:t>A State’s insolvency law m</w:t>
      </w:r>
      <w:r w:rsidR="00B516FB">
        <w:rPr>
          <w:rFonts w:ascii="Arial" w:hAnsi="Arial" w:cs="Arial"/>
          <w:color w:val="7B7B7B" w:themeColor="accent3" w:themeShade="BF"/>
          <w:sz w:val="22"/>
          <w:szCs w:val="22"/>
          <w:lang w:val="en-GB"/>
        </w:rPr>
        <w:t>ay arise from its own (historical</w:t>
      </w:r>
      <w:r w:rsidR="005C0870">
        <w:rPr>
          <w:rFonts w:ascii="Arial" w:hAnsi="Arial" w:cs="Arial"/>
          <w:color w:val="7B7B7B" w:themeColor="accent3" w:themeShade="BF"/>
          <w:sz w:val="22"/>
          <w:szCs w:val="22"/>
          <w:lang w:val="en-GB"/>
        </w:rPr>
        <w:t xml:space="preserve"> and modern</w:t>
      </w:r>
      <w:r w:rsidR="00B516FB">
        <w:rPr>
          <w:rFonts w:ascii="Arial" w:hAnsi="Arial" w:cs="Arial"/>
          <w:color w:val="7B7B7B" w:themeColor="accent3" w:themeShade="BF"/>
          <w:sz w:val="22"/>
          <w:szCs w:val="22"/>
          <w:lang w:val="en-GB"/>
        </w:rPr>
        <w:t>) statues (for example, the</w:t>
      </w:r>
      <w:r w:rsidR="005C0870">
        <w:rPr>
          <w:rFonts w:ascii="Arial" w:hAnsi="Arial" w:cs="Arial"/>
          <w:color w:val="7B7B7B" w:themeColor="accent3" w:themeShade="BF"/>
          <w:sz w:val="22"/>
          <w:szCs w:val="22"/>
          <w:lang w:val="en-GB"/>
        </w:rPr>
        <w:t xml:space="preserve"> Insolvency Act</w:t>
      </w:r>
      <w:r w:rsidR="00B516FB">
        <w:rPr>
          <w:rFonts w:ascii="Arial" w:hAnsi="Arial" w:cs="Arial"/>
          <w:color w:val="7B7B7B" w:themeColor="accent3" w:themeShade="BF"/>
          <w:sz w:val="22"/>
          <w:szCs w:val="22"/>
          <w:lang w:val="en-GB"/>
        </w:rPr>
        <w:t xml:space="preserve"> in the UK); </w:t>
      </w:r>
      <w:r w:rsidR="005C0870">
        <w:rPr>
          <w:rFonts w:ascii="Arial" w:hAnsi="Arial" w:cs="Arial"/>
          <w:color w:val="7B7B7B" w:themeColor="accent3" w:themeShade="BF"/>
          <w:sz w:val="22"/>
          <w:szCs w:val="22"/>
          <w:lang w:val="en-GB"/>
        </w:rPr>
        <w:t xml:space="preserve">under common law (if the State is governed by a common law legal system); </w:t>
      </w:r>
      <w:r w:rsidR="00B516FB">
        <w:rPr>
          <w:rFonts w:ascii="Arial" w:hAnsi="Arial" w:cs="Arial"/>
          <w:color w:val="7B7B7B" w:themeColor="accent3" w:themeShade="BF"/>
          <w:sz w:val="22"/>
          <w:szCs w:val="22"/>
          <w:lang w:val="en-GB"/>
        </w:rPr>
        <w:t>by becoming a party to international treaties and conventions such as the European Insolvency Regulation</w:t>
      </w:r>
      <w:r w:rsidR="005C0870">
        <w:rPr>
          <w:rFonts w:ascii="Arial" w:hAnsi="Arial" w:cs="Arial"/>
          <w:color w:val="7B7B7B" w:themeColor="accent3" w:themeShade="BF"/>
          <w:sz w:val="22"/>
          <w:szCs w:val="22"/>
          <w:lang w:val="en-GB"/>
        </w:rPr>
        <w:t xml:space="preserve"> (if an EU member state)</w:t>
      </w:r>
      <w:r w:rsidR="00B516FB">
        <w:rPr>
          <w:rFonts w:ascii="Arial" w:hAnsi="Arial" w:cs="Arial"/>
          <w:color w:val="7B7B7B" w:themeColor="accent3" w:themeShade="BF"/>
          <w:sz w:val="22"/>
          <w:szCs w:val="22"/>
          <w:lang w:val="en-GB"/>
        </w:rPr>
        <w:t xml:space="preserve"> whereby these laws are written into domestic law; by adopting so called ‘soft law’ such as the UNCITRAL Model law on cross border insolvency. Hard and soft law combine to </w:t>
      </w:r>
      <w:r w:rsidR="005C0870">
        <w:rPr>
          <w:rFonts w:ascii="Arial" w:hAnsi="Arial" w:cs="Arial"/>
          <w:color w:val="7B7B7B" w:themeColor="accent3" w:themeShade="BF"/>
          <w:sz w:val="22"/>
          <w:szCs w:val="22"/>
          <w:lang w:val="en-GB"/>
        </w:rPr>
        <w:t>enable</w:t>
      </w:r>
      <w:r w:rsidR="00B516FB">
        <w:rPr>
          <w:rFonts w:ascii="Arial" w:hAnsi="Arial" w:cs="Arial"/>
          <w:color w:val="7B7B7B" w:themeColor="accent3" w:themeShade="BF"/>
          <w:sz w:val="22"/>
          <w:szCs w:val="22"/>
          <w:lang w:val="en-GB"/>
        </w:rPr>
        <w:t xml:space="preserve"> the courts of a </w:t>
      </w:r>
      <w:proofErr w:type="gramStart"/>
      <w:r w:rsidR="00B516FB">
        <w:rPr>
          <w:rFonts w:ascii="Arial" w:hAnsi="Arial" w:cs="Arial"/>
          <w:color w:val="7B7B7B" w:themeColor="accent3" w:themeShade="BF"/>
          <w:sz w:val="22"/>
          <w:szCs w:val="22"/>
          <w:lang w:val="en-GB"/>
        </w:rPr>
        <w:t>State</w:t>
      </w:r>
      <w:proofErr w:type="gramEnd"/>
      <w:r w:rsidR="005C0870">
        <w:rPr>
          <w:rFonts w:ascii="Arial" w:hAnsi="Arial" w:cs="Arial"/>
          <w:color w:val="7B7B7B" w:themeColor="accent3" w:themeShade="BF"/>
          <w:sz w:val="22"/>
          <w:szCs w:val="22"/>
          <w:lang w:val="en-GB"/>
        </w:rPr>
        <w:t xml:space="preserve"> </w:t>
      </w:r>
      <w:r w:rsidR="00B516FB">
        <w:rPr>
          <w:rFonts w:ascii="Arial" w:hAnsi="Arial" w:cs="Arial"/>
          <w:color w:val="7B7B7B" w:themeColor="accent3" w:themeShade="BF"/>
          <w:sz w:val="22"/>
          <w:szCs w:val="22"/>
          <w:lang w:val="en-GB"/>
        </w:rPr>
        <w:t xml:space="preserve">deal effectively with cross border issues.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6AD0E1CE" w14:textId="34A00CC4" w:rsidR="00D865B8" w:rsidRDefault="00D865B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3 questions raised by Fletcher are (a) choice of forum, (b) recognition and effect given to foreign proceedings in the same matter and (c) choice of law. </w:t>
      </w:r>
      <w:r w:rsidR="00593A9C">
        <w:rPr>
          <w:rFonts w:ascii="Arial" w:hAnsi="Arial" w:cs="Arial"/>
          <w:color w:val="7B7B7B" w:themeColor="accent3" w:themeShade="BF"/>
          <w:sz w:val="22"/>
          <w:szCs w:val="22"/>
          <w:lang w:val="en-GB"/>
        </w:rPr>
        <w:t xml:space="preserve">All 3 together must be considered when pursuing harmonisation of insolvency laws. </w:t>
      </w:r>
    </w:p>
    <w:p w14:paraId="6B6E4A0B" w14:textId="77777777" w:rsidR="00D865B8" w:rsidRDefault="00D865B8" w:rsidP="00B7193E">
      <w:pPr>
        <w:jc w:val="both"/>
        <w:rPr>
          <w:rFonts w:ascii="Arial" w:hAnsi="Arial" w:cs="Arial"/>
          <w:color w:val="7B7B7B" w:themeColor="accent3" w:themeShade="BF"/>
          <w:sz w:val="22"/>
          <w:szCs w:val="22"/>
          <w:lang w:val="en-GB"/>
        </w:rPr>
      </w:pPr>
    </w:p>
    <w:p w14:paraId="6E6A599E" w14:textId="6E8ECFDC" w:rsidR="00D865B8" w:rsidRDefault="00D865B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Forum choice concerns which court can and will hear and determine the matter and involves an examination of the connection with the jurisdiction of the parties </w:t>
      </w:r>
      <w:r w:rsidR="00593A9C">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the dispute. The court will be assisted in granting or refusing jurisdiction by certain international treaties and (where applicable) common law and soft law</w:t>
      </w:r>
      <w:r w:rsidR="008831AD">
        <w:rPr>
          <w:rFonts w:ascii="Arial" w:hAnsi="Arial" w:cs="Arial"/>
          <w:color w:val="7B7B7B" w:themeColor="accent3" w:themeShade="BF"/>
          <w:sz w:val="22"/>
          <w:szCs w:val="22"/>
          <w:lang w:val="en-GB"/>
        </w:rPr>
        <w:t xml:space="preserve">. </w:t>
      </w:r>
    </w:p>
    <w:p w14:paraId="615B2A76" w14:textId="0178D6A0" w:rsidR="008831AD" w:rsidRDefault="008831AD" w:rsidP="00B7193E">
      <w:pPr>
        <w:jc w:val="both"/>
        <w:rPr>
          <w:rFonts w:ascii="Arial" w:hAnsi="Arial" w:cs="Arial"/>
          <w:color w:val="7B7B7B" w:themeColor="accent3" w:themeShade="BF"/>
          <w:sz w:val="22"/>
          <w:szCs w:val="22"/>
          <w:lang w:val="en-GB"/>
        </w:rPr>
      </w:pPr>
    </w:p>
    <w:p w14:paraId="13CE5EDE" w14:textId="75CF0FBE" w:rsidR="008831AD" w:rsidRDefault="008831A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Recognition and effect given to foreign proceedings in the same matter raises questions on the court that gave the judgment, the type of judgment and its effect, for example an order commencing insolvency proceedings. Standards can vary across jurisdictions and States leading to complications with cross border recognition. Furthermore, the laws of the State in which recognition is sought may not recognise the foreign order or indeed provide a mechanism for which recognition may be sought. </w:t>
      </w:r>
      <w:r w:rsidR="00593A9C">
        <w:rPr>
          <w:rFonts w:ascii="Arial" w:hAnsi="Arial" w:cs="Arial"/>
          <w:color w:val="7B7B7B" w:themeColor="accent3" w:themeShade="BF"/>
          <w:sz w:val="22"/>
          <w:szCs w:val="22"/>
          <w:lang w:val="en-GB"/>
        </w:rPr>
        <w:t>Where a State is not a signatory to treaties, soft law such as the JIN Guidelines and JIN Modalities in the field of judicial co-operation may assist.</w:t>
      </w:r>
      <w:r w:rsidR="00C50BA3">
        <w:rPr>
          <w:rFonts w:ascii="Arial" w:hAnsi="Arial" w:cs="Arial"/>
          <w:color w:val="7B7B7B" w:themeColor="accent3" w:themeShade="BF"/>
          <w:sz w:val="22"/>
          <w:szCs w:val="22"/>
          <w:lang w:val="en-GB"/>
        </w:rPr>
        <w:t xml:space="preserve"> For EU member states, the EIR Recast provides for recognition of insolvency proceedings.</w:t>
      </w:r>
    </w:p>
    <w:p w14:paraId="7CDD4D8B" w14:textId="50F4C47B" w:rsidR="008831AD" w:rsidRDefault="008831AD" w:rsidP="00B7193E">
      <w:pPr>
        <w:jc w:val="both"/>
        <w:rPr>
          <w:rFonts w:ascii="Arial" w:hAnsi="Arial" w:cs="Arial"/>
          <w:color w:val="7B7B7B" w:themeColor="accent3" w:themeShade="BF"/>
          <w:sz w:val="22"/>
          <w:szCs w:val="22"/>
          <w:lang w:val="en-GB"/>
        </w:rPr>
      </w:pPr>
    </w:p>
    <w:p w14:paraId="59228D9B" w14:textId="5F056058" w:rsidR="008831AD" w:rsidRDefault="008831A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of the choice of law for a proceeding can depend on the type of legal system. In common law systems choice of law issues only arise if parties invoke them otherwise the law of the forum applies. In civil law systems, foreign law is presumed to be a question of law to be applied regardless of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it is pleaded.</w:t>
      </w:r>
      <w:r w:rsidR="00593A9C">
        <w:rPr>
          <w:rFonts w:ascii="Arial" w:hAnsi="Arial" w:cs="Arial"/>
          <w:color w:val="7B7B7B" w:themeColor="accent3" w:themeShade="BF"/>
          <w:sz w:val="22"/>
          <w:szCs w:val="22"/>
          <w:lang w:val="en-GB"/>
        </w:rPr>
        <w:t xml:space="preserve"> Harmonisation can be seen to work in the EIR (recast) where, subject to certain provisions, the law of the member State that opened the proceedings applies. </w:t>
      </w:r>
    </w:p>
    <w:p w14:paraId="6ECFEF08" w14:textId="3A120536" w:rsidR="008831AD" w:rsidRDefault="008831AD" w:rsidP="00B7193E">
      <w:pPr>
        <w:jc w:val="both"/>
        <w:rPr>
          <w:rFonts w:ascii="Arial" w:hAnsi="Arial" w:cs="Arial"/>
          <w:color w:val="7B7B7B" w:themeColor="accent3" w:themeShade="BF"/>
          <w:sz w:val="22"/>
          <w:szCs w:val="22"/>
          <w:lang w:val="en-GB"/>
        </w:rPr>
      </w:pPr>
    </w:p>
    <w:p w14:paraId="605EB378" w14:textId="77777777" w:rsidR="008831AD" w:rsidRPr="00D865B8" w:rsidRDefault="008831AD" w:rsidP="00B7193E">
      <w:pPr>
        <w:jc w:val="both"/>
        <w:rPr>
          <w:rFonts w:ascii="Arial" w:hAnsi="Arial" w:cs="Arial"/>
          <w:color w:val="7B7B7B" w:themeColor="accent3" w:themeShade="BF"/>
          <w:sz w:val="22"/>
          <w:szCs w:val="22"/>
          <w:lang w:val="en-GB"/>
        </w:rPr>
      </w:pP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lastRenderedPageBreak/>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24B75520" w:rsidR="00DF75F8" w:rsidRPr="00205B31" w:rsidRDefault="009D6982" w:rsidP="00B7193E">
      <w:pPr>
        <w:jc w:val="both"/>
        <w:rPr>
          <w:rFonts w:ascii="Arial" w:hAnsi="Arial" w:cs="Arial"/>
          <w:sz w:val="22"/>
          <w:szCs w:val="22"/>
          <w:lang w:val="en-GB"/>
        </w:rPr>
      </w:pPr>
      <w:r>
        <w:rPr>
          <w:rFonts w:ascii="Arial" w:hAnsi="Arial" w:cs="Arial"/>
          <w:color w:val="7B7B7B" w:themeColor="accent3" w:themeShade="BF"/>
          <w:sz w:val="22"/>
          <w:szCs w:val="22"/>
          <w:lang w:val="en-GB"/>
        </w:rPr>
        <w:t>Maxwell Communications Corp plc is a leading case from 1991 in which the courts in the US and the courts in England co-ordinated proceedings in both jurisdictions in relation to concurrent</w:t>
      </w:r>
      <w:r w:rsidR="009A7FF0">
        <w:rPr>
          <w:rFonts w:ascii="Arial" w:hAnsi="Arial" w:cs="Arial"/>
          <w:color w:val="7B7B7B" w:themeColor="accent3" w:themeShade="BF"/>
          <w:sz w:val="22"/>
          <w:szCs w:val="22"/>
          <w:lang w:val="en-GB"/>
        </w:rPr>
        <w:t xml:space="preserve"> insolvency</w:t>
      </w:r>
      <w:r>
        <w:rPr>
          <w:rFonts w:ascii="Arial" w:hAnsi="Arial" w:cs="Arial"/>
          <w:color w:val="7B7B7B" w:themeColor="accent3" w:themeShade="BF"/>
          <w:sz w:val="22"/>
          <w:szCs w:val="22"/>
          <w:lang w:val="en-GB"/>
        </w:rPr>
        <w:t xml:space="preserve"> proceedings through an ‘Order and Protocol’. </w:t>
      </w:r>
      <w:r w:rsidR="00C50BA3">
        <w:rPr>
          <w:rFonts w:ascii="Arial" w:hAnsi="Arial" w:cs="Arial"/>
          <w:color w:val="7B7B7B" w:themeColor="accent3" w:themeShade="BF"/>
          <w:sz w:val="22"/>
          <w:szCs w:val="22"/>
          <w:lang w:val="en-GB"/>
        </w:rPr>
        <w:t xml:space="preserve">A </w:t>
      </w:r>
      <w:proofErr w:type="gramStart"/>
      <w:r w:rsidR="009A7FF0">
        <w:rPr>
          <w:rFonts w:ascii="Arial" w:hAnsi="Arial" w:cs="Arial"/>
          <w:color w:val="7B7B7B" w:themeColor="accent3" w:themeShade="BF"/>
          <w:sz w:val="22"/>
          <w:szCs w:val="22"/>
          <w:lang w:val="en-GB"/>
        </w:rPr>
        <w:t>debtor initiated</w:t>
      </w:r>
      <w:proofErr w:type="gramEnd"/>
      <w:r w:rsidR="009A7FF0">
        <w:rPr>
          <w:rFonts w:ascii="Arial" w:hAnsi="Arial" w:cs="Arial"/>
          <w:color w:val="7B7B7B" w:themeColor="accent3" w:themeShade="BF"/>
          <w:sz w:val="22"/>
          <w:szCs w:val="22"/>
          <w:lang w:val="en-GB"/>
        </w:rPr>
        <w:t xml:space="preserve"> proceedings in both jurisdictions appointing two different insolvency practitioners. The judges on both sides of the Atlantic suggested that both practitioners agree an administrative procedure between them in order to minimise conflict and maximise return to creditors. The parties agreed that the US courts would essentially defer to the English court. A specific example is where the English insolvency practitioner agreed not to incur debt without US approval. The parties agreed the mechanisms of co-operation between themselves and obtained court approval.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4CE1760E" w:rsidR="002F75A3" w:rsidRDefault="0031308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applies. The proceedings by the minor creditor were opened during the BREXIT transition period wherein the EIR Recast continued to apply (period ceased 31 December 2020). Rydell’s COMI is in the UK hence UK law applies with the UK insolvency proceeding being the ‘main proceeding’. The UK insolvency proceeding will be recognised under the EIR Recast by the courts of the other EU member states which contain creditors of </w:t>
      </w:r>
      <w:r>
        <w:rPr>
          <w:rFonts w:ascii="Arial" w:hAnsi="Arial" w:cs="Arial"/>
          <w:color w:val="7B7B7B" w:themeColor="accent3" w:themeShade="BF"/>
          <w:sz w:val="22"/>
          <w:szCs w:val="22"/>
          <w:lang w:val="en-GB"/>
        </w:rPr>
        <w:lastRenderedPageBreak/>
        <w:t>Rydell</w:t>
      </w:r>
      <w:r w:rsidR="009671EB">
        <w:rPr>
          <w:rFonts w:ascii="Arial" w:hAnsi="Arial" w:cs="Arial"/>
          <w:color w:val="7B7B7B" w:themeColor="accent3" w:themeShade="BF"/>
          <w:sz w:val="22"/>
          <w:szCs w:val="22"/>
          <w:lang w:val="en-GB"/>
        </w:rPr>
        <w:t xml:space="preserve">. The insolvency of Rydell will not be re-examined by the courts of the other member states. </w:t>
      </w:r>
      <w:proofErr w:type="spellStart"/>
      <w:r w:rsidR="00C50BA3">
        <w:rPr>
          <w:rFonts w:ascii="Arial" w:hAnsi="Arial" w:cs="Arial"/>
          <w:color w:val="7B7B7B" w:themeColor="accent3" w:themeShade="BF"/>
          <w:sz w:val="22"/>
          <w:szCs w:val="22"/>
          <w:lang w:val="en-GB"/>
        </w:rPr>
        <w:t>Fernz</w:t>
      </w:r>
      <w:proofErr w:type="spellEnd"/>
      <w:r w:rsidR="00C50BA3">
        <w:rPr>
          <w:rFonts w:ascii="Arial" w:hAnsi="Arial" w:cs="Arial"/>
          <w:color w:val="7B7B7B" w:themeColor="accent3" w:themeShade="BF"/>
          <w:sz w:val="22"/>
          <w:szCs w:val="22"/>
          <w:lang w:val="en-GB"/>
        </w:rPr>
        <w:t xml:space="preserve"> is bound by the main </w:t>
      </w:r>
      <w:proofErr w:type="gramStart"/>
      <w:r w:rsidR="00C50BA3">
        <w:rPr>
          <w:rFonts w:ascii="Arial" w:hAnsi="Arial" w:cs="Arial"/>
          <w:color w:val="7B7B7B" w:themeColor="accent3" w:themeShade="BF"/>
          <w:sz w:val="22"/>
          <w:szCs w:val="22"/>
          <w:lang w:val="en-GB"/>
        </w:rPr>
        <w:t>proceedings</w:t>
      </w:r>
      <w:proofErr w:type="gramEnd"/>
      <w:r w:rsidR="00C50BA3">
        <w:rPr>
          <w:rFonts w:ascii="Arial" w:hAnsi="Arial" w:cs="Arial"/>
          <w:color w:val="7B7B7B" w:themeColor="accent3" w:themeShade="BF"/>
          <w:sz w:val="22"/>
          <w:szCs w:val="22"/>
          <w:lang w:val="en-GB"/>
        </w:rPr>
        <w:t xml:space="preserve"> and it will not be possible to take action against Rydell in its home country.</w:t>
      </w:r>
    </w:p>
    <w:p w14:paraId="1D62EC67" w14:textId="46D69786" w:rsidR="00313084" w:rsidRPr="00205B31" w:rsidRDefault="00313084"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further information I require is whether Rydell has an ‘establishment’ within another member state sufficient to consider launching secondary proceedings (Art. 34). </w:t>
      </w:r>
      <w:r w:rsidR="009671EB">
        <w:rPr>
          <w:rFonts w:ascii="Arial" w:hAnsi="Arial" w:cs="Arial"/>
          <w:color w:val="7B7B7B" w:themeColor="accent3" w:themeShade="BF"/>
          <w:sz w:val="22"/>
          <w:szCs w:val="22"/>
          <w:lang w:val="en-GB"/>
        </w:rPr>
        <w:t xml:space="preserve">An establishment is defined in the EIR Recast as </w:t>
      </w:r>
      <w:r w:rsidR="009671EB" w:rsidRPr="009671EB">
        <w:rPr>
          <w:rFonts w:ascii="Arial" w:hAnsi="Arial" w:cs="Arial"/>
          <w:color w:val="7B7B7B" w:themeColor="accent3" w:themeShade="BF"/>
          <w:sz w:val="22"/>
          <w:szCs w:val="22"/>
          <w:lang w:val="en-GB"/>
        </w:rPr>
        <w:t>a non-transitory economic activity with human means and assets</w:t>
      </w:r>
      <w:r w:rsidR="009671E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Secondary proceedings are only possible if Rydell has an establishment in the other member state. </w:t>
      </w:r>
      <w:r w:rsidR="009671EB">
        <w:rPr>
          <w:rFonts w:ascii="Arial" w:hAnsi="Arial" w:cs="Arial"/>
          <w:color w:val="7B7B7B" w:themeColor="accent3" w:themeShade="BF"/>
          <w:sz w:val="22"/>
          <w:szCs w:val="22"/>
          <w:lang w:val="en-GB"/>
        </w:rPr>
        <w:t xml:space="preserve">The effect of secondary proceedings is limited to those assets in the member state.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4CD4EF49" w:rsidR="00015EE6" w:rsidRPr="00205B31" w:rsidRDefault="009671EB" w:rsidP="00C45A03">
      <w:pPr>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Yes</w:t>
      </w:r>
      <w:proofErr w:type="gramEnd"/>
      <w:r>
        <w:rPr>
          <w:rFonts w:ascii="Arial" w:hAnsi="Arial" w:cs="Arial"/>
          <w:color w:val="7B7B7B" w:themeColor="accent3" w:themeShade="BF"/>
          <w:sz w:val="22"/>
          <w:szCs w:val="22"/>
          <w:lang w:val="en-GB"/>
        </w:rPr>
        <w:t xml:space="preserve"> my answer would be different. As noted above in 4.1 the BREXIT transition period ceased 31 December 2020 meaning that if the proceedings were commenced 1 year later, the EIR Recast would not be applicable.</w:t>
      </w:r>
      <w:r w:rsidR="002C7AD2">
        <w:rPr>
          <w:rFonts w:ascii="Arial" w:hAnsi="Arial" w:cs="Arial"/>
          <w:color w:val="7B7B7B" w:themeColor="accent3" w:themeShade="BF"/>
          <w:sz w:val="22"/>
          <w:szCs w:val="22"/>
          <w:lang w:val="en-GB"/>
        </w:rPr>
        <w:t xml:space="preserve"> </w:t>
      </w:r>
      <w:proofErr w:type="spellStart"/>
      <w:r w:rsidR="002C7AD2">
        <w:rPr>
          <w:rFonts w:ascii="Arial" w:hAnsi="Arial" w:cs="Arial"/>
          <w:color w:val="7B7B7B" w:themeColor="accent3" w:themeShade="BF"/>
          <w:sz w:val="22"/>
          <w:szCs w:val="22"/>
          <w:lang w:val="en-GB"/>
        </w:rPr>
        <w:t>Fernz</w:t>
      </w:r>
      <w:proofErr w:type="spellEnd"/>
      <w:r w:rsidR="002C7AD2">
        <w:rPr>
          <w:rFonts w:ascii="Arial" w:hAnsi="Arial" w:cs="Arial"/>
          <w:color w:val="7B7B7B" w:themeColor="accent3" w:themeShade="BF"/>
          <w:sz w:val="22"/>
          <w:szCs w:val="22"/>
          <w:lang w:val="en-GB"/>
        </w:rPr>
        <w:t xml:space="preserve"> could consider issuing its own proceedings pursuant to the EIR Recast which may run concurrently to the UK proceedings.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24F93F70" w:rsidR="00015EE6" w:rsidRPr="00205B31" w:rsidRDefault="0039601B"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The minor creditor should investigate whether a court ordered winding up is possible</w:t>
      </w:r>
      <w:r w:rsidR="00916506">
        <w:rPr>
          <w:rFonts w:ascii="Arial" w:hAnsi="Arial" w:cs="Arial"/>
          <w:color w:val="7B7B7B" w:themeColor="accent3" w:themeShade="BF"/>
          <w:sz w:val="22"/>
          <w:szCs w:val="22"/>
          <w:lang w:val="en-GB"/>
        </w:rPr>
        <w:t xml:space="preserve"> pursuant to section 221(5) of the Insolvency Act 1986. The relevant circumstances which appear applicable in the current case are whether Rydell is unable to pay its debts and/or if the court is of the opinion that it would be just and equitable that the company should be wound up. There must be a sufficient connection with England and Wales – proof of assets within the jurisdiction will be helpful; there must be a reasonable possibility if the order is made of benefit to those applying for the winding up order – the court will not make an order in vain; and one or more of the persons interested in the distribution of assets must come within the jurisdiction of the English court.</w:t>
      </w:r>
      <w:r w:rsidR="001A245D">
        <w:rPr>
          <w:rFonts w:ascii="Arial" w:hAnsi="Arial" w:cs="Arial"/>
          <w:color w:val="7B7B7B" w:themeColor="accent3" w:themeShade="BF"/>
          <w:sz w:val="22"/>
          <w:szCs w:val="22"/>
          <w:lang w:val="en-GB"/>
        </w:rPr>
        <w:t xml:space="preserve"> In the event the minor creditor can meet these requirements then it may be possible to launch formal insolvency proceedings in the UK.</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7C16" w14:textId="77777777" w:rsidR="00AC1D1B" w:rsidRDefault="00AC1D1B" w:rsidP="00241B44">
      <w:r>
        <w:separator/>
      </w:r>
    </w:p>
  </w:endnote>
  <w:endnote w:type="continuationSeparator" w:id="0">
    <w:p w14:paraId="061D3C67" w14:textId="77777777" w:rsidR="00AC1D1B" w:rsidRDefault="00AC1D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DF3EEAF" w:rsidR="006E1CB0" w:rsidRPr="0052732A" w:rsidRDefault="009D3620" w:rsidP="0052732A">
    <w:pPr>
      <w:pStyle w:val="Footer"/>
      <w:ind w:right="360"/>
      <w:rPr>
        <w:rFonts w:ascii="Arial" w:hAnsi="Arial" w:cs="Arial"/>
        <w:sz w:val="18"/>
        <w:szCs w:val="18"/>
      </w:rPr>
    </w:pPr>
    <w:r>
      <w:rPr>
        <w:rFonts w:ascii="Arial" w:hAnsi="Arial" w:cs="Arial"/>
        <w:sz w:val="18"/>
        <w:szCs w:val="18"/>
      </w:rPr>
      <w:t>202122-574.assessment1summative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7F43" w14:textId="77777777" w:rsidR="00AC1D1B" w:rsidRDefault="00AC1D1B" w:rsidP="00241B44">
      <w:r>
        <w:separator/>
      </w:r>
    </w:p>
  </w:footnote>
  <w:footnote w:type="continuationSeparator" w:id="0">
    <w:p w14:paraId="49338F26" w14:textId="77777777" w:rsidR="00AC1D1B" w:rsidRDefault="00AC1D1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95F10"/>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7AA4"/>
    <w:rsid w:val="00180548"/>
    <w:rsid w:val="00180AC4"/>
    <w:rsid w:val="00180B1E"/>
    <w:rsid w:val="00180CCE"/>
    <w:rsid w:val="00181438"/>
    <w:rsid w:val="0018267A"/>
    <w:rsid w:val="00182779"/>
    <w:rsid w:val="001830DF"/>
    <w:rsid w:val="001833C2"/>
    <w:rsid w:val="00193AB3"/>
    <w:rsid w:val="001966D9"/>
    <w:rsid w:val="00197963"/>
    <w:rsid w:val="001A0E44"/>
    <w:rsid w:val="001A245D"/>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C7AD2"/>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3084"/>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01B"/>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0923"/>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3A9C"/>
    <w:rsid w:val="005951A4"/>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0870"/>
    <w:rsid w:val="005C2790"/>
    <w:rsid w:val="005C36E9"/>
    <w:rsid w:val="005C3B3A"/>
    <w:rsid w:val="005C6778"/>
    <w:rsid w:val="005C7C92"/>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0306"/>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15"/>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0D10"/>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1AD"/>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B6799"/>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6506"/>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671EB"/>
    <w:rsid w:val="009708BB"/>
    <w:rsid w:val="009727DF"/>
    <w:rsid w:val="009729E8"/>
    <w:rsid w:val="00975640"/>
    <w:rsid w:val="00976DA5"/>
    <w:rsid w:val="009773BA"/>
    <w:rsid w:val="00981608"/>
    <w:rsid w:val="00991272"/>
    <w:rsid w:val="00991428"/>
    <w:rsid w:val="00992676"/>
    <w:rsid w:val="009A5354"/>
    <w:rsid w:val="009A6A10"/>
    <w:rsid w:val="009A7172"/>
    <w:rsid w:val="009A7FF0"/>
    <w:rsid w:val="009B0723"/>
    <w:rsid w:val="009B07AD"/>
    <w:rsid w:val="009B0883"/>
    <w:rsid w:val="009B15E2"/>
    <w:rsid w:val="009C0B8E"/>
    <w:rsid w:val="009C1527"/>
    <w:rsid w:val="009C1BC8"/>
    <w:rsid w:val="009C2442"/>
    <w:rsid w:val="009C2628"/>
    <w:rsid w:val="009C27B1"/>
    <w:rsid w:val="009D0811"/>
    <w:rsid w:val="009D0E12"/>
    <w:rsid w:val="009D0EE1"/>
    <w:rsid w:val="009D3620"/>
    <w:rsid w:val="009D43D0"/>
    <w:rsid w:val="009D510C"/>
    <w:rsid w:val="009D5CDB"/>
    <w:rsid w:val="009D6709"/>
    <w:rsid w:val="009D6982"/>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3ED2"/>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97DE1"/>
    <w:rsid w:val="00AA0E39"/>
    <w:rsid w:val="00AA23CE"/>
    <w:rsid w:val="00AA5A58"/>
    <w:rsid w:val="00AA670C"/>
    <w:rsid w:val="00AB5A37"/>
    <w:rsid w:val="00AB61D6"/>
    <w:rsid w:val="00AB685C"/>
    <w:rsid w:val="00AB6C2D"/>
    <w:rsid w:val="00AC08F7"/>
    <w:rsid w:val="00AC126D"/>
    <w:rsid w:val="00AC1D1B"/>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6FB"/>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BA3"/>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048D"/>
    <w:rsid w:val="00D84752"/>
    <w:rsid w:val="00D865B8"/>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47F43"/>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459A"/>
    <w:rsid w:val="00ED617A"/>
    <w:rsid w:val="00EE1A0E"/>
    <w:rsid w:val="00EE4971"/>
    <w:rsid w:val="00EE5A48"/>
    <w:rsid w:val="00EE6390"/>
    <w:rsid w:val="00EE7278"/>
    <w:rsid w:val="00EF090E"/>
    <w:rsid w:val="00EF16B6"/>
    <w:rsid w:val="00EF1B1A"/>
    <w:rsid w:val="00EF2D08"/>
    <w:rsid w:val="00EF35FF"/>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6E9"/>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2BC8"/>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13</cp:revision>
  <cp:lastPrinted>2020-06-12T02:43:00Z</cp:lastPrinted>
  <dcterms:created xsi:type="dcterms:W3CDTF">2021-11-15T09:34:00Z</dcterms:created>
  <dcterms:modified xsi:type="dcterms:W3CDTF">2021-11-15T16:32:00Z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