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w:t>
      </w:r>
      <w:proofErr w:type="gramStart"/>
      <w:r w:rsidR="0011473D" w:rsidRPr="00205B31">
        <w:rPr>
          <w:rFonts w:ascii="Arial" w:hAnsi="Arial" w:cs="Arial"/>
          <w:sz w:val="22"/>
          <w:szCs w:val="22"/>
          <w:lang w:val="en-GB"/>
        </w:rPr>
        <w:t>a</w:t>
      </w:r>
      <w:proofErr w:type="gramEnd"/>
      <w:r w:rsidR="0011473D" w:rsidRPr="00205B31">
        <w:rPr>
          <w:rFonts w:ascii="Arial" w:hAnsi="Arial" w:cs="Arial"/>
          <w:sz w:val="22"/>
          <w:szCs w:val="22"/>
          <w:lang w:val="en-GB"/>
        </w:rPr>
        <w:t xml:space="preserve">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w:t>
      </w:r>
      <w:proofErr w:type="gramStart"/>
      <w:r w:rsidRPr="00205B31">
        <w:rPr>
          <w:rFonts w:ascii="Arial" w:hAnsi="Arial" w:cs="Arial"/>
          <w:sz w:val="22"/>
          <w:szCs w:val="22"/>
          <w:lang w:val="en-GB"/>
        </w:rPr>
        <w:t>are</w:t>
      </w:r>
      <w:proofErr w:type="gramEnd"/>
      <w:r w:rsidRPr="00205B31">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85426B" w:rsidRDefault="00C60631" w:rsidP="009D510C">
      <w:pPr>
        <w:pStyle w:val="ListParagraph"/>
        <w:numPr>
          <w:ilvl w:val="0"/>
          <w:numId w:val="12"/>
        </w:numPr>
        <w:ind w:left="426"/>
        <w:jc w:val="both"/>
        <w:rPr>
          <w:rFonts w:ascii="Arial" w:hAnsi="Arial" w:cs="Arial"/>
          <w:sz w:val="22"/>
          <w:szCs w:val="22"/>
          <w:highlight w:val="yellow"/>
          <w:lang w:val="en-GB"/>
        </w:rPr>
      </w:pPr>
      <w:r w:rsidRPr="0085426B">
        <w:rPr>
          <w:rFonts w:ascii="Arial" w:hAnsi="Arial" w:cs="Arial"/>
          <w:sz w:val="22"/>
          <w:szCs w:val="22"/>
          <w:highlight w:val="yellow"/>
          <w:lang w:val="en-GB"/>
        </w:rPr>
        <w:t xml:space="preserve">This statement is incorrect since </w:t>
      </w:r>
      <w:r w:rsidR="00E7793C" w:rsidRPr="0085426B">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4D5264" w:rsidRDefault="00AE027F" w:rsidP="009D510C">
      <w:pPr>
        <w:pStyle w:val="ListParagraph"/>
        <w:numPr>
          <w:ilvl w:val="0"/>
          <w:numId w:val="13"/>
        </w:numPr>
        <w:jc w:val="both"/>
        <w:rPr>
          <w:rFonts w:ascii="Arial" w:hAnsi="Arial" w:cs="Arial"/>
          <w:sz w:val="22"/>
          <w:szCs w:val="22"/>
          <w:highlight w:val="yellow"/>
          <w:lang w:val="en-GB"/>
        </w:rPr>
      </w:pPr>
      <w:r w:rsidRPr="004D5264">
        <w:rPr>
          <w:rFonts w:ascii="Arial" w:hAnsi="Arial" w:cs="Arial"/>
          <w:sz w:val="22"/>
          <w:szCs w:val="22"/>
          <w:highlight w:val="yellow"/>
          <w:lang w:val="en-GB"/>
        </w:rPr>
        <w:t>The statement i</w:t>
      </w:r>
      <w:r w:rsidR="006E77B0" w:rsidRPr="004D5264">
        <w:rPr>
          <w:rFonts w:ascii="Arial" w:hAnsi="Arial" w:cs="Arial"/>
          <w:sz w:val="22"/>
          <w:szCs w:val="22"/>
          <w:highlight w:val="yellow"/>
          <w:lang w:val="en-GB"/>
        </w:rPr>
        <w:t>s incorrect since the UK did re</w:t>
      </w:r>
      <w:r w:rsidRPr="004D5264">
        <w:rPr>
          <w:rFonts w:ascii="Arial" w:hAnsi="Arial" w:cs="Arial"/>
          <w:sz w:val="22"/>
          <w:szCs w:val="22"/>
          <w:highlight w:val="yellow"/>
          <w:lang w:val="en-GB"/>
        </w:rPr>
        <w:t>v</w:t>
      </w:r>
      <w:r w:rsidR="006E77B0" w:rsidRPr="004D5264">
        <w:rPr>
          <w:rFonts w:ascii="Arial" w:hAnsi="Arial" w:cs="Arial"/>
          <w:sz w:val="22"/>
          <w:szCs w:val="22"/>
          <w:highlight w:val="yellow"/>
          <w:lang w:val="en-GB"/>
        </w:rPr>
        <w:t>i</w:t>
      </w:r>
      <w:r w:rsidRPr="004D5264">
        <w:rPr>
          <w:rFonts w:ascii="Arial" w:hAnsi="Arial" w:cs="Arial"/>
          <w:sz w:val="22"/>
          <w:szCs w:val="22"/>
          <w:highlight w:val="yellow"/>
          <w:lang w:val="en-GB"/>
        </w:rPr>
        <w:t>ew parts of its insolvency rules and amended some, among</w:t>
      </w:r>
      <w:r w:rsidR="006E77B0" w:rsidRPr="004D5264">
        <w:rPr>
          <w:rFonts w:ascii="Arial" w:hAnsi="Arial" w:cs="Arial"/>
          <w:sz w:val="22"/>
          <w:szCs w:val="22"/>
          <w:highlight w:val="yellow"/>
          <w:lang w:val="en-GB"/>
        </w:rPr>
        <w:t>s</w:t>
      </w:r>
      <w:r w:rsidRPr="004D5264">
        <w:rPr>
          <w:rFonts w:ascii="Arial" w:hAnsi="Arial" w:cs="Arial"/>
          <w:sz w:val="22"/>
          <w:szCs w:val="22"/>
          <w:highlight w:val="yellow"/>
          <w:lang w:val="en-GB"/>
        </w:rPr>
        <w:t>t other</w:t>
      </w:r>
      <w:r w:rsidR="00F96AF1" w:rsidRPr="004D5264">
        <w:rPr>
          <w:rFonts w:ascii="Arial" w:hAnsi="Arial" w:cs="Arial"/>
          <w:sz w:val="22"/>
          <w:szCs w:val="22"/>
          <w:highlight w:val="yellow"/>
          <w:lang w:val="en-GB"/>
        </w:rPr>
        <w:t xml:space="preserve"> things</w:t>
      </w:r>
      <w:r w:rsidRPr="004D5264">
        <w:rPr>
          <w:rFonts w:ascii="Arial" w:hAnsi="Arial" w:cs="Arial"/>
          <w:sz w:val="22"/>
          <w:szCs w:val="22"/>
          <w:highlight w:val="yellow"/>
          <w:lang w:val="en-GB"/>
        </w:rPr>
        <w:t>, to deal with the negative economic fall out of the pandemic.</w:t>
      </w:r>
      <w:r w:rsidR="00100A77" w:rsidRPr="004D5264">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F13DB1" w:rsidRDefault="00B54F90" w:rsidP="009D510C">
      <w:pPr>
        <w:pStyle w:val="ListParagraph"/>
        <w:numPr>
          <w:ilvl w:val="0"/>
          <w:numId w:val="14"/>
        </w:numPr>
        <w:ind w:left="426"/>
        <w:jc w:val="both"/>
        <w:rPr>
          <w:rFonts w:ascii="Arial" w:hAnsi="Arial" w:cs="Arial"/>
          <w:sz w:val="22"/>
          <w:szCs w:val="22"/>
          <w:highlight w:val="yellow"/>
          <w:lang w:val="en-GB"/>
        </w:rPr>
      </w:pPr>
      <w:r w:rsidRPr="00F13DB1">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F13DB1">
        <w:rPr>
          <w:rFonts w:ascii="Arial" w:hAnsi="Arial" w:cs="Arial"/>
          <w:sz w:val="22"/>
          <w:szCs w:val="22"/>
          <w:highlight w:val="yellow"/>
          <w:lang w:val="en-GB"/>
        </w:rPr>
        <w:t xml:space="preserve">on </w:t>
      </w:r>
      <w:r w:rsidRPr="00F13DB1">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F13DB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F13DB1">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F13DB1" w:rsidRDefault="00926D10" w:rsidP="009D510C">
      <w:pPr>
        <w:pStyle w:val="ListParagraph"/>
        <w:numPr>
          <w:ilvl w:val="0"/>
          <w:numId w:val="5"/>
        </w:numPr>
        <w:ind w:left="426"/>
        <w:jc w:val="both"/>
        <w:rPr>
          <w:rFonts w:ascii="Arial" w:hAnsi="Arial" w:cs="Arial"/>
          <w:sz w:val="22"/>
          <w:szCs w:val="22"/>
          <w:highlight w:val="yellow"/>
          <w:lang w:val="en-GB"/>
        </w:rPr>
      </w:pPr>
      <w:r w:rsidRPr="00F13DB1">
        <w:rPr>
          <w:rFonts w:ascii="Arial" w:hAnsi="Arial" w:cs="Arial"/>
          <w:sz w:val="22"/>
          <w:szCs w:val="22"/>
          <w:highlight w:val="yellow"/>
          <w:lang w:val="en-GB"/>
        </w:rPr>
        <w:t xml:space="preserve">The statement is </w:t>
      </w:r>
      <w:r w:rsidR="006E1CB0" w:rsidRPr="00F13DB1">
        <w:rPr>
          <w:rFonts w:ascii="Arial" w:hAnsi="Arial" w:cs="Arial"/>
          <w:sz w:val="22"/>
          <w:szCs w:val="22"/>
          <w:highlight w:val="yellow"/>
          <w:lang w:val="en-GB"/>
        </w:rPr>
        <w:t xml:space="preserve">not </w:t>
      </w:r>
      <w:r w:rsidRPr="00F13DB1">
        <w:rPr>
          <w:rFonts w:ascii="Arial" w:hAnsi="Arial" w:cs="Arial"/>
          <w:sz w:val="22"/>
          <w:szCs w:val="22"/>
          <w:highlight w:val="yellow"/>
          <w:lang w:val="en-GB"/>
        </w:rPr>
        <w:t xml:space="preserve">correct </w:t>
      </w:r>
      <w:r w:rsidR="007958F0" w:rsidRPr="00F13DB1">
        <w:rPr>
          <w:rFonts w:ascii="Arial" w:hAnsi="Arial" w:cs="Arial"/>
          <w:sz w:val="22"/>
          <w:szCs w:val="22"/>
          <w:highlight w:val="yellow"/>
          <w:lang w:val="en-GB"/>
        </w:rPr>
        <w:t>because</w:t>
      </w:r>
      <w:r w:rsidRPr="00F13DB1">
        <w:rPr>
          <w:rFonts w:ascii="Arial" w:hAnsi="Arial" w:cs="Arial"/>
          <w:sz w:val="22"/>
          <w:szCs w:val="22"/>
          <w:highlight w:val="yellow"/>
          <w:lang w:val="en-GB"/>
        </w:rPr>
        <w:t xml:space="preserve"> very few </w:t>
      </w:r>
      <w:r w:rsidR="007958F0" w:rsidRPr="00F13DB1">
        <w:rPr>
          <w:rFonts w:ascii="Arial" w:hAnsi="Arial" w:cs="Arial"/>
          <w:sz w:val="22"/>
          <w:szCs w:val="22"/>
          <w:highlight w:val="yellow"/>
          <w:lang w:val="en-GB"/>
        </w:rPr>
        <w:t>States</w:t>
      </w:r>
      <w:r w:rsidRPr="00F13DB1">
        <w:rPr>
          <w:rFonts w:ascii="Arial" w:hAnsi="Arial" w:cs="Arial"/>
          <w:sz w:val="22"/>
          <w:szCs w:val="22"/>
          <w:highlight w:val="yellow"/>
          <w:lang w:val="en-GB"/>
        </w:rPr>
        <w:t xml:space="preserve"> allow insolvent estate representatives to deal with assets of a foreign debtor situated in </w:t>
      </w:r>
      <w:r w:rsidR="005936B3" w:rsidRPr="00F13DB1">
        <w:rPr>
          <w:rFonts w:ascii="Arial" w:hAnsi="Arial" w:cs="Arial"/>
          <w:sz w:val="22"/>
          <w:szCs w:val="22"/>
          <w:highlight w:val="yellow"/>
          <w:lang w:val="en-GB"/>
        </w:rPr>
        <w:t>their own</w:t>
      </w:r>
      <w:r w:rsidRPr="00F13DB1">
        <w:rPr>
          <w:rFonts w:ascii="Arial" w:hAnsi="Arial" w:cs="Arial"/>
          <w:sz w:val="22"/>
          <w:szCs w:val="22"/>
          <w:highlight w:val="yellow"/>
          <w:lang w:val="en-GB"/>
        </w:rPr>
        <w:t xml:space="preserve"> jurisdiction without </w:t>
      </w:r>
      <w:r w:rsidR="006E1CB0" w:rsidRPr="00F13DB1">
        <w:rPr>
          <w:rFonts w:ascii="Arial" w:hAnsi="Arial" w:cs="Arial"/>
          <w:sz w:val="22"/>
          <w:szCs w:val="22"/>
          <w:highlight w:val="yellow"/>
          <w:lang w:val="en-GB"/>
        </w:rPr>
        <w:t xml:space="preserve">some form of </w:t>
      </w:r>
      <w:r w:rsidR="0090037B" w:rsidRPr="00F13DB1">
        <w:rPr>
          <w:rFonts w:ascii="Arial" w:hAnsi="Arial" w:cs="Arial"/>
          <w:sz w:val="22"/>
          <w:szCs w:val="22"/>
          <w:highlight w:val="yellow"/>
          <w:lang w:val="en-GB"/>
        </w:rPr>
        <w:t xml:space="preserve">a </w:t>
      </w:r>
      <w:r w:rsidR="006E1CB0" w:rsidRPr="00F13DB1">
        <w:rPr>
          <w:rFonts w:ascii="Arial" w:hAnsi="Arial" w:cs="Arial"/>
          <w:sz w:val="22"/>
          <w:szCs w:val="22"/>
          <w:highlight w:val="yellow"/>
          <w:lang w:val="en-GB"/>
        </w:rPr>
        <w:t>(</w:t>
      </w:r>
      <w:r w:rsidR="0090037B" w:rsidRPr="00F13DB1">
        <w:rPr>
          <w:rFonts w:ascii="Arial" w:hAnsi="Arial" w:cs="Arial"/>
          <w:sz w:val="22"/>
          <w:szCs w:val="22"/>
          <w:highlight w:val="yellow"/>
          <w:lang w:val="en-GB"/>
        </w:rPr>
        <w:t>prior</w:t>
      </w:r>
      <w:r w:rsidR="006E1CB0" w:rsidRPr="00F13DB1">
        <w:rPr>
          <w:rFonts w:ascii="Arial" w:hAnsi="Arial" w:cs="Arial"/>
          <w:sz w:val="22"/>
          <w:szCs w:val="22"/>
          <w:highlight w:val="yellow"/>
          <w:lang w:val="en-GB"/>
        </w:rPr>
        <w:t>)</w:t>
      </w:r>
      <w:r w:rsidRPr="00F13DB1">
        <w:rPr>
          <w:rFonts w:ascii="Arial" w:hAnsi="Arial" w:cs="Arial"/>
          <w:sz w:val="22"/>
          <w:szCs w:val="22"/>
          <w:highlight w:val="yellow"/>
          <w:lang w:val="en-GB"/>
        </w:rPr>
        <w:t xml:space="preserve"> local procedure </w:t>
      </w:r>
      <w:r w:rsidR="005936B3" w:rsidRPr="00F13DB1">
        <w:rPr>
          <w:rFonts w:ascii="Arial" w:hAnsi="Arial" w:cs="Arial"/>
          <w:sz w:val="22"/>
          <w:szCs w:val="22"/>
          <w:highlight w:val="yellow"/>
          <w:lang w:val="en-GB"/>
        </w:rPr>
        <w:t xml:space="preserve">to </w:t>
      </w:r>
      <w:r w:rsidRPr="00F13DB1">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F13DB1" w:rsidRDefault="000329A6" w:rsidP="00C570AC">
      <w:pPr>
        <w:pStyle w:val="ListParagraph"/>
        <w:numPr>
          <w:ilvl w:val="0"/>
          <w:numId w:val="6"/>
        </w:numPr>
        <w:ind w:left="426"/>
        <w:jc w:val="both"/>
        <w:rPr>
          <w:rFonts w:ascii="Arial" w:hAnsi="Arial" w:cs="Arial"/>
          <w:sz w:val="22"/>
          <w:szCs w:val="22"/>
          <w:highlight w:val="yellow"/>
          <w:lang w:val="en-GB"/>
        </w:rPr>
      </w:pPr>
      <w:r w:rsidRPr="00F13DB1">
        <w:rPr>
          <w:rFonts w:ascii="Arial" w:eastAsiaTheme="minorHAnsi" w:hAnsi="Arial" w:cs="Arial"/>
          <w:sz w:val="22"/>
          <w:szCs w:val="22"/>
          <w:highlight w:val="yellow"/>
          <w:lang w:val="en-GB"/>
        </w:rPr>
        <w:t xml:space="preserve">They were recently revised in 2021 and, together with the </w:t>
      </w:r>
      <w:r w:rsidRPr="00F13DB1">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727BFA"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727BFA">
        <w:rPr>
          <w:rFonts w:ascii="Arial" w:eastAsiaTheme="minorHAnsi" w:hAnsi="Arial" w:cs="Arial"/>
          <w:sz w:val="22"/>
          <w:szCs w:val="22"/>
          <w:highlight w:val="yellow"/>
          <w:lang w:val="en-GB"/>
        </w:rPr>
        <w:t xml:space="preserve">The Nordic Convention </w:t>
      </w:r>
      <w:r w:rsidR="00076483" w:rsidRPr="00727BFA">
        <w:rPr>
          <w:rFonts w:ascii="Arial" w:eastAsiaTheme="minorHAnsi" w:hAnsi="Arial" w:cs="Arial"/>
          <w:sz w:val="22"/>
          <w:szCs w:val="22"/>
          <w:highlight w:val="yellow"/>
          <w:lang w:val="en-GB"/>
        </w:rPr>
        <w:t>1933</w:t>
      </w:r>
      <w:r w:rsidR="00966E44" w:rsidRPr="00727BFA">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4E1FE0" w:rsidRDefault="00124B70" w:rsidP="00275182">
      <w:pPr>
        <w:pStyle w:val="ListParagraph"/>
        <w:numPr>
          <w:ilvl w:val="0"/>
          <w:numId w:val="8"/>
        </w:numPr>
        <w:ind w:left="426"/>
        <w:jc w:val="both"/>
        <w:rPr>
          <w:rFonts w:ascii="Arial" w:hAnsi="Arial" w:cs="Arial"/>
          <w:sz w:val="22"/>
          <w:szCs w:val="22"/>
          <w:highlight w:val="yellow"/>
          <w:lang w:val="en-GB"/>
        </w:rPr>
      </w:pPr>
      <w:r w:rsidRPr="004E1FE0">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4E1FE0" w:rsidRDefault="00E86549" w:rsidP="00275182">
      <w:pPr>
        <w:pStyle w:val="ListParagraph"/>
        <w:numPr>
          <w:ilvl w:val="0"/>
          <w:numId w:val="9"/>
        </w:numPr>
        <w:ind w:left="426"/>
        <w:jc w:val="both"/>
        <w:rPr>
          <w:rFonts w:ascii="Arial" w:hAnsi="Arial" w:cs="Arial"/>
          <w:bCs/>
          <w:sz w:val="22"/>
          <w:szCs w:val="22"/>
          <w:highlight w:val="yellow"/>
          <w:lang w:val="en-GB"/>
        </w:rPr>
      </w:pPr>
      <w:r w:rsidRPr="004E1FE0">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4E1FE0">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4E1FE0" w:rsidRDefault="00911C23" w:rsidP="00275182">
      <w:pPr>
        <w:pStyle w:val="ListParagraph"/>
        <w:numPr>
          <w:ilvl w:val="0"/>
          <w:numId w:val="10"/>
        </w:numPr>
        <w:ind w:left="426"/>
        <w:jc w:val="both"/>
        <w:rPr>
          <w:rFonts w:ascii="Arial" w:hAnsi="Arial" w:cs="Arial"/>
          <w:sz w:val="22"/>
          <w:szCs w:val="22"/>
          <w:highlight w:val="yellow"/>
          <w:lang w:val="en-GB"/>
        </w:rPr>
      </w:pPr>
      <w:r w:rsidRPr="004E1FE0">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1D8AF97D" w14:textId="5FD16D9D" w:rsidR="00085D92" w:rsidRDefault="00085D92" w:rsidP="00085D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have been a number of </w:t>
      </w:r>
      <w:r w:rsidR="00E870B4">
        <w:rPr>
          <w:rFonts w:ascii="Arial" w:hAnsi="Arial" w:cs="Arial"/>
          <w:color w:val="7B7B7B" w:themeColor="accent3" w:themeShade="BF"/>
          <w:sz w:val="22"/>
          <w:szCs w:val="22"/>
          <w:lang w:val="en-GB"/>
        </w:rPr>
        <w:t>change</w:t>
      </w:r>
      <w:r w:rsidR="009F4712">
        <w:rPr>
          <w:rFonts w:ascii="Arial" w:hAnsi="Arial" w:cs="Arial"/>
          <w:color w:val="7B7B7B" w:themeColor="accent3" w:themeShade="BF"/>
          <w:sz w:val="22"/>
          <w:szCs w:val="22"/>
          <w:lang w:val="en-GB"/>
        </w:rPr>
        <w:t>s in English law</w:t>
      </w:r>
      <w:r>
        <w:rPr>
          <w:rFonts w:ascii="Arial" w:hAnsi="Arial" w:cs="Arial"/>
          <w:color w:val="7B7B7B" w:themeColor="accent3" w:themeShade="BF"/>
          <w:sz w:val="22"/>
          <w:szCs w:val="22"/>
          <w:lang w:val="en-GB"/>
        </w:rPr>
        <w:t xml:space="preserve"> which </w:t>
      </w:r>
      <w:r w:rsidR="009F4712">
        <w:rPr>
          <w:rFonts w:ascii="Arial" w:hAnsi="Arial" w:cs="Arial"/>
          <w:color w:val="7B7B7B" w:themeColor="accent3" w:themeShade="BF"/>
          <w:sz w:val="22"/>
          <w:szCs w:val="22"/>
          <w:lang w:val="en-GB"/>
        </w:rPr>
        <w:t xml:space="preserve">have </w:t>
      </w:r>
      <w:r>
        <w:rPr>
          <w:rFonts w:ascii="Arial" w:hAnsi="Arial" w:cs="Arial"/>
          <w:color w:val="7B7B7B" w:themeColor="accent3" w:themeShade="BF"/>
          <w:sz w:val="22"/>
          <w:szCs w:val="22"/>
          <w:lang w:val="en-GB"/>
        </w:rPr>
        <w:t>shaped English insolvency law, however some key examples are:</w:t>
      </w:r>
    </w:p>
    <w:p w14:paraId="448687AD" w14:textId="2A88159D" w:rsidR="00085D92" w:rsidRPr="00085D92" w:rsidRDefault="00085D92" w:rsidP="00085D9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Pr="00085D92">
        <w:rPr>
          <w:rFonts w:ascii="Arial" w:hAnsi="Arial" w:cs="Arial"/>
          <w:color w:val="7B7B7B" w:themeColor="accent3" w:themeShade="BF"/>
          <w:sz w:val="22"/>
          <w:szCs w:val="22"/>
          <w:lang w:val="en-GB"/>
        </w:rPr>
        <w:t xml:space="preserve"> change from individ</w:t>
      </w:r>
      <w:r w:rsidR="00E870B4" w:rsidRPr="00085D92">
        <w:rPr>
          <w:rFonts w:ascii="Arial" w:hAnsi="Arial" w:cs="Arial"/>
          <w:color w:val="7B7B7B" w:themeColor="accent3" w:themeShade="BF"/>
          <w:sz w:val="22"/>
          <w:szCs w:val="22"/>
          <w:lang w:val="en-GB"/>
        </w:rPr>
        <w:t>ual to collective debt collection procedures</w:t>
      </w:r>
      <w:r w:rsidRPr="00085D92">
        <w:rPr>
          <w:rFonts w:ascii="Arial" w:hAnsi="Arial" w:cs="Arial"/>
          <w:color w:val="7B7B7B" w:themeColor="accent3" w:themeShade="BF"/>
          <w:sz w:val="22"/>
          <w:szCs w:val="22"/>
          <w:lang w:val="en-GB"/>
        </w:rPr>
        <w:t>;</w:t>
      </w:r>
    </w:p>
    <w:p w14:paraId="19F0F877" w14:textId="77777777" w:rsidR="00085D92" w:rsidRPr="00085D92" w:rsidRDefault="00E870B4" w:rsidP="00085D92">
      <w:pPr>
        <w:pStyle w:val="ListParagraph"/>
        <w:numPr>
          <w:ilvl w:val="0"/>
          <w:numId w:val="18"/>
        </w:numPr>
        <w:jc w:val="both"/>
        <w:rPr>
          <w:rFonts w:ascii="Arial" w:hAnsi="Arial" w:cs="Arial"/>
          <w:color w:val="7B7B7B" w:themeColor="accent3" w:themeShade="BF"/>
          <w:sz w:val="22"/>
          <w:szCs w:val="22"/>
          <w:lang w:val="en-GB"/>
        </w:rPr>
      </w:pPr>
      <w:r w:rsidRPr="00085D92">
        <w:rPr>
          <w:rFonts w:ascii="Arial" w:hAnsi="Arial" w:cs="Arial"/>
          <w:color w:val="7B7B7B" w:themeColor="accent3" w:themeShade="BF"/>
          <w:sz w:val="22"/>
          <w:szCs w:val="22"/>
          <w:lang w:val="en-GB"/>
        </w:rPr>
        <w:t xml:space="preserve">the concept of supervision of the estate </w:t>
      </w:r>
      <w:r w:rsidR="00085D92" w:rsidRPr="00085D92">
        <w:rPr>
          <w:rFonts w:ascii="Arial" w:hAnsi="Arial" w:cs="Arial"/>
          <w:color w:val="7B7B7B" w:themeColor="accent3" w:themeShade="BF"/>
          <w:sz w:val="22"/>
          <w:szCs w:val="22"/>
          <w:lang w:val="en-GB"/>
        </w:rPr>
        <w:t>initially by a</w:t>
      </w:r>
      <w:r w:rsidRPr="00085D92">
        <w:rPr>
          <w:rFonts w:ascii="Arial" w:hAnsi="Arial" w:cs="Arial"/>
          <w:color w:val="7B7B7B" w:themeColor="accent3" w:themeShade="BF"/>
          <w:sz w:val="22"/>
          <w:szCs w:val="22"/>
          <w:lang w:val="en-GB"/>
        </w:rPr>
        <w:t xml:space="preserve"> commissioner, </w:t>
      </w:r>
      <w:r w:rsidR="00085D92" w:rsidRPr="00085D92">
        <w:rPr>
          <w:rFonts w:ascii="Arial" w:hAnsi="Arial" w:cs="Arial"/>
          <w:color w:val="7B7B7B" w:themeColor="accent3" w:themeShade="BF"/>
          <w:sz w:val="22"/>
          <w:szCs w:val="22"/>
          <w:lang w:val="en-GB"/>
        </w:rPr>
        <w:t xml:space="preserve">then </w:t>
      </w:r>
      <w:r w:rsidRPr="00085D92">
        <w:rPr>
          <w:rFonts w:ascii="Arial" w:hAnsi="Arial" w:cs="Arial"/>
          <w:color w:val="7B7B7B" w:themeColor="accent3" w:themeShade="BF"/>
          <w:sz w:val="22"/>
          <w:szCs w:val="22"/>
          <w:lang w:val="en-GB"/>
        </w:rPr>
        <w:t xml:space="preserve">to </w:t>
      </w:r>
      <w:r w:rsidR="00085D92" w:rsidRPr="00085D92">
        <w:rPr>
          <w:rFonts w:ascii="Arial" w:hAnsi="Arial" w:cs="Arial"/>
          <w:color w:val="7B7B7B" w:themeColor="accent3" w:themeShade="BF"/>
          <w:sz w:val="22"/>
          <w:szCs w:val="22"/>
          <w:lang w:val="en-GB"/>
        </w:rPr>
        <w:t xml:space="preserve">the </w:t>
      </w:r>
      <w:r w:rsidRPr="00085D92">
        <w:rPr>
          <w:rFonts w:ascii="Arial" w:hAnsi="Arial" w:cs="Arial"/>
          <w:color w:val="7B7B7B" w:themeColor="accent3" w:themeShade="BF"/>
          <w:sz w:val="22"/>
          <w:szCs w:val="22"/>
          <w:lang w:val="en-GB"/>
        </w:rPr>
        <w:t xml:space="preserve">Lord Chancellor to the </w:t>
      </w:r>
      <w:r w:rsidR="00085D92" w:rsidRPr="00085D92">
        <w:rPr>
          <w:rFonts w:ascii="Arial" w:hAnsi="Arial" w:cs="Arial"/>
          <w:color w:val="7B7B7B" w:themeColor="accent3" w:themeShade="BF"/>
          <w:sz w:val="22"/>
          <w:szCs w:val="22"/>
          <w:lang w:val="en-GB"/>
        </w:rPr>
        <w:t xml:space="preserve">present position of supervision by the </w:t>
      </w:r>
      <w:r w:rsidRPr="00085D92">
        <w:rPr>
          <w:rFonts w:ascii="Arial" w:hAnsi="Arial" w:cs="Arial"/>
          <w:color w:val="7B7B7B" w:themeColor="accent3" w:themeShade="BF"/>
          <w:sz w:val="22"/>
          <w:szCs w:val="22"/>
          <w:lang w:val="en-GB"/>
        </w:rPr>
        <w:t>Official Receiver</w:t>
      </w:r>
      <w:r w:rsidR="00085D92" w:rsidRPr="00085D92">
        <w:rPr>
          <w:rFonts w:ascii="Arial" w:hAnsi="Arial" w:cs="Arial"/>
          <w:color w:val="7B7B7B" w:themeColor="accent3" w:themeShade="BF"/>
          <w:sz w:val="22"/>
          <w:szCs w:val="22"/>
          <w:lang w:val="en-GB"/>
        </w:rPr>
        <w:t>; and</w:t>
      </w:r>
    </w:p>
    <w:p w14:paraId="22C610C9" w14:textId="266E3AB2" w:rsidR="00DE03AF" w:rsidRPr="00085D92" w:rsidRDefault="00E870B4" w:rsidP="00B7193E">
      <w:pPr>
        <w:pStyle w:val="ListParagraph"/>
        <w:numPr>
          <w:ilvl w:val="0"/>
          <w:numId w:val="18"/>
        </w:numPr>
        <w:jc w:val="both"/>
        <w:rPr>
          <w:rFonts w:ascii="Arial" w:hAnsi="Arial" w:cs="Arial"/>
          <w:color w:val="7B7B7B" w:themeColor="accent3" w:themeShade="BF"/>
          <w:sz w:val="22"/>
          <w:szCs w:val="22"/>
          <w:lang w:val="en-GB"/>
        </w:rPr>
      </w:pPr>
      <w:proofErr w:type="gramStart"/>
      <w:r w:rsidRPr="00085D92">
        <w:rPr>
          <w:rFonts w:ascii="Arial" w:hAnsi="Arial" w:cs="Arial"/>
          <w:color w:val="7B7B7B" w:themeColor="accent3" w:themeShade="BF"/>
          <w:sz w:val="22"/>
          <w:szCs w:val="22"/>
          <w:lang w:val="en-GB"/>
        </w:rPr>
        <w:t>the</w:t>
      </w:r>
      <w:proofErr w:type="gramEnd"/>
      <w:r w:rsidRPr="00085D92">
        <w:rPr>
          <w:rFonts w:ascii="Arial" w:hAnsi="Arial" w:cs="Arial"/>
          <w:color w:val="7B7B7B" w:themeColor="accent3" w:themeShade="BF"/>
          <w:sz w:val="22"/>
          <w:szCs w:val="22"/>
          <w:lang w:val="en-GB"/>
        </w:rPr>
        <w:t xml:space="preserve"> notion of discharge as introduced by the Statute of Ann of 1705</w:t>
      </w:r>
      <w:r w:rsidR="00085D92">
        <w:rPr>
          <w:rFonts w:ascii="Arial" w:hAnsi="Arial" w:cs="Arial"/>
          <w:color w:val="7B7B7B" w:themeColor="accent3" w:themeShade="BF"/>
          <w:sz w:val="22"/>
          <w:szCs w:val="22"/>
          <w:lang w:val="en-GB"/>
        </w:rPr>
        <w:t xml:space="preserve">, </w:t>
      </w:r>
      <w:r w:rsidR="009F4712">
        <w:rPr>
          <w:rFonts w:ascii="Arial" w:hAnsi="Arial" w:cs="Arial"/>
          <w:color w:val="7B7B7B" w:themeColor="accent3" w:themeShade="BF"/>
          <w:sz w:val="22"/>
          <w:szCs w:val="22"/>
          <w:lang w:val="en-GB"/>
        </w:rPr>
        <w:t>allowing</w:t>
      </w:r>
      <w:r w:rsidR="00085D92">
        <w:rPr>
          <w:rFonts w:ascii="Arial" w:hAnsi="Arial" w:cs="Arial"/>
          <w:color w:val="7B7B7B" w:themeColor="accent3" w:themeShade="BF"/>
          <w:sz w:val="22"/>
          <w:szCs w:val="22"/>
          <w:lang w:val="en-GB"/>
        </w:rPr>
        <w:t xml:space="preserve"> parties (individuals and corporates) to have the benefit of a </w:t>
      </w:r>
      <w:r w:rsidR="009F4712">
        <w:rPr>
          <w:rFonts w:ascii="Arial" w:hAnsi="Arial" w:cs="Arial"/>
          <w:color w:val="7B7B7B" w:themeColor="accent3" w:themeShade="BF"/>
          <w:sz w:val="22"/>
          <w:szCs w:val="22"/>
          <w:lang w:val="en-GB"/>
        </w:rPr>
        <w:t>clean slate (subject to co-operation on the part of bankrupt individuals)</w:t>
      </w:r>
      <w:r w:rsidR="00085D92">
        <w:rPr>
          <w:rFonts w:ascii="Arial" w:hAnsi="Arial" w:cs="Arial"/>
          <w:color w:val="7B7B7B" w:themeColor="accent3" w:themeShade="BF"/>
          <w:sz w:val="22"/>
          <w:szCs w:val="22"/>
          <w:lang w:val="en-GB"/>
        </w:rPr>
        <w:t>.</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7111A13D" w:rsidR="009B07AD" w:rsidRDefault="00085D92" w:rsidP="00E846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E84665">
        <w:rPr>
          <w:rFonts w:ascii="Arial" w:hAnsi="Arial" w:cs="Arial"/>
          <w:color w:val="7B7B7B" w:themeColor="accent3" w:themeShade="BF"/>
          <w:sz w:val="22"/>
          <w:szCs w:val="22"/>
          <w:lang w:val="en-GB"/>
        </w:rPr>
        <w:t xml:space="preserve">incorporation of the </w:t>
      </w:r>
      <w:r w:rsidR="00E870B4">
        <w:rPr>
          <w:rFonts w:ascii="Arial" w:hAnsi="Arial" w:cs="Arial"/>
          <w:color w:val="7B7B7B" w:themeColor="accent3" w:themeShade="BF"/>
          <w:sz w:val="22"/>
          <w:szCs w:val="22"/>
          <w:lang w:val="en-GB"/>
        </w:rPr>
        <w:t>C</w:t>
      </w:r>
      <w:r w:rsidR="00E84665">
        <w:rPr>
          <w:rFonts w:ascii="Arial" w:hAnsi="Arial" w:cs="Arial"/>
          <w:color w:val="7B7B7B" w:themeColor="accent3" w:themeShade="BF"/>
          <w:sz w:val="22"/>
          <w:szCs w:val="22"/>
          <w:lang w:val="en-GB"/>
        </w:rPr>
        <w:t xml:space="preserve">orporate </w:t>
      </w:r>
      <w:r w:rsidR="00E870B4">
        <w:rPr>
          <w:rFonts w:ascii="Arial" w:hAnsi="Arial" w:cs="Arial"/>
          <w:color w:val="7B7B7B" w:themeColor="accent3" w:themeShade="BF"/>
          <w:sz w:val="22"/>
          <w:szCs w:val="22"/>
          <w:lang w:val="en-GB"/>
        </w:rPr>
        <w:t>I</w:t>
      </w:r>
      <w:r w:rsidR="00E84665">
        <w:rPr>
          <w:rFonts w:ascii="Arial" w:hAnsi="Arial" w:cs="Arial"/>
          <w:color w:val="7B7B7B" w:themeColor="accent3" w:themeShade="BF"/>
          <w:sz w:val="22"/>
          <w:szCs w:val="22"/>
          <w:lang w:val="en-GB"/>
        </w:rPr>
        <w:t xml:space="preserve">nsolvency and </w:t>
      </w:r>
      <w:r w:rsidR="00E870B4">
        <w:rPr>
          <w:rFonts w:ascii="Arial" w:hAnsi="Arial" w:cs="Arial"/>
          <w:color w:val="7B7B7B" w:themeColor="accent3" w:themeShade="BF"/>
          <w:sz w:val="22"/>
          <w:szCs w:val="22"/>
          <w:lang w:val="en-GB"/>
        </w:rPr>
        <w:t>G</w:t>
      </w:r>
      <w:r w:rsidR="00E84665">
        <w:rPr>
          <w:rFonts w:ascii="Arial" w:hAnsi="Arial" w:cs="Arial"/>
          <w:color w:val="7B7B7B" w:themeColor="accent3" w:themeShade="BF"/>
          <w:sz w:val="22"/>
          <w:szCs w:val="22"/>
          <w:lang w:val="en-GB"/>
        </w:rPr>
        <w:t xml:space="preserve">overnance </w:t>
      </w:r>
      <w:r w:rsidR="00E870B4">
        <w:rPr>
          <w:rFonts w:ascii="Arial" w:hAnsi="Arial" w:cs="Arial"/>
          <w:color w:val="7B7B7B" w:themeColor="accent3" w:themeShade="BF"/>
          <w:sz w:val="22"/>
          <w:szCs w:val="22"/>
          <w:lang w:val="en-GB"/>
        </w:rPr>
        <w:t>A</w:t>
      </w:r>
      <w:r w:rsidR="00E84665">
        <w:rPr>
          <w:rFonts w:ascii="Arial" w:hAnsi="Arial" w:cs="Arial"/>
          <w:color w:val="7B7B7B" w:themeColor="accent3" w:themeShade="BF"/>
          <w:sz w:val="22"/>
          <w:szCs w:val="22"/>
          <w:lang w:val="en-GB"/>
        </w:rPr>
        <w:t>ct 2020</w:t>
      </w:r>
      <w:r w:rsidR="00370606">
        <w:rPr>
          <w:rFonts w:ascii="Arial" w:hAnsi="Arial" w:cs="Arial"/>
          <w:color w:val="7B7B7B" w:themeColor="accent3" w:themeShade="BF"/>
          <w:sz w:val="22"/>
          <w:szCs w:val="22"/>
          <w:lang w:val="en-GB"/>
        </w:rPr>
        <w:t xml:space="preserve"> ("Act")</w:t>
      </w:r>
      <w:r w:rsidR="009F4712">
        <w:rPr>
          <w:rFonts w:ascii="Arial" w:hAnsi="Arial" w:cs="Arial"/>
          <w:color w:val="7B7B7B" w:themeColor="accent3" w:themeShade="BF"/>
          <w:sz w:val="22"/>
          <w:szCs w:val="22"/>
          <w:lang w:val="en-GB"/>
        </w:rPr>
        <w:t xml:space="preserve">, which came into effect on </w:t>
      </w:r>
      <w:r w:rsidR="002D6F67">
        <w:rPr>
          <w:rFonts w:ascii="Arial" w:hAnsi="Arial" w:cs="Arial"/>
          <w:color w:val="7B7B7B" w:themeColor="accent3" w:themeShade="BF"/>
          <w:sz w:val="22"/>
          <w:szCs w:val="22"/>
          <w:lang w:val="en-GB"/>
        </w:rPr>
        <w:t>25</w:t>
      </w:r>
      <w:r w:rsidR="009F4712">
        <w:rPr>
          <w:rFonts w:ascii="Arial" w:hAnsi="Arial" w:cs="Arial"/>
          <w:color w:val="7B7B7B" w:themeColor="accent3" w:themeShade="BF"/>
          <w:sz w:val="22"/>
          <w:szCs w:val="22"/>
          <w:lang w:val="en-GB"/>
        </w:rPr>
        <w:t xml:space="preserve"> June 2020,</w:t>
      </w:r>
      <w:r w:rsidR="00E84665">
        <w:rPr>
          <w:rFonts w:ascii="Arial" w:hAnsi="Arial" w:cs="Arial"/>
          <w:color w:val="7B7B7B" w:themeColor="accent3" w:themeShade="BF"/>
          <w:sz w:val="22"/>
          <w:szCs w:val="22"/>
          <w:lang w:val="en-GB"/>
        </w:rPr>
        <w:t xml:space="preserve"> brought in a number of changes; some temporary, and some provisions enacting permanent changes.  </w:t>
      </w:r>
      <w:r w:rsidR="00E870B4">
        <w:rPr>
          <w:rFonts w:ascii="Arial" w:hAnsi="Arial" w:cs="Arial"/>
          <w:color w:val="7B7B7B" w:themeColor="accent3" w:themeShade="BF"/>
          <w:sz w:val="22"/>
          <w:szCs w:val="22"/>
          <w:lang w:val="en-GB"/>
        </w:rPr>
        <w:t xml:space="preserve"> </w:t>
      </w:r>
    </w:p>
    <w:p w14:paraId="6BBA520F" w14:textId="34C1C93D" w:rsidR="002D6F67" w:rsidRDefault="002D6F67" w:rsidP="00E84665">
      <w:pPr>
        <w:jc w:val="both"/>
        <w:rPr>
          <w:rFonts w:ascii="Arial" w:hAnsi="Arial" w:cs="Arial"/>
          <w:color w:val="7B7B7B" w:themeColor="accent3" w:themeShade="BF"/>
          <w:sz w:val="22"/>
          <w:szCs w:val="22"/>
          <w:lang w:val="en-GB"/>
        </w:rPr>
      </w:pPr>
    </w:p>
    <w:p w14:paraId="0951E64E" w14:textId="6C464051" w:rsidR="002D6F67" w:rsidRDefault="002D6F67" w:rsidP="00E846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temporary measures in response to the economic fall out of the pandemic were:</w:t>
      </w:r>
    </w:p>
    <w:p w14:paraId="5E1E5DEF" w14:textId="25246EC4" w:rsidR="002D6F67" w:rsidRDefault="002D6F67" w:rsidP="00E84665">
      <w:pPr>
        <w:jc w:val="both"/>
        <w:rPr>
          <w:rFonts w:ascii="Arial" w:hAnsi="Arial" w:cs="Arial"/>
          <w:color w:val="7B7B7B" w:themeColor="accent3" w:themeShade="BF"/>
          <w:sz w:val="22"/>
          <w:szCs w:val="22"/>
          <w:lang w:val="en-GB"/>
        </w:rPr>
      </w:pPr>
    </w:p>
    <w:p w14:paraId="7EFC83DC" w14:textId="27298CAA" w:rsidR="002D6F67" w:rsidRDefault="002D6F67" w:rsidP="002D6F6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Schedule 10 brought in restrictions on the use of winding up petitions. The restrictions prevented petitions relying on statutory demands served between 1 March 2020 and 30 September 2020, and subsequently extended to 30 September 2021. </w:t>
      </w:r>
      <w:r w:rsidR="00CE109B">
        <w:rPr>
          <w:rFonts w:ascii="Arial" w:hAnsi="Arial" w:cs="Arial"/>
          <w:color w:val="7B7B7B" w:themeColor="accent3" w:themeShade="BF"/>
          <w:sz w:val="22"/>
          <w:szCs w:val="22"/>
          <w:lang w:val="en-GB"/>
        </w:rPr>
        <w:t xml:space="preserve">Petitioners also needed to be able to satisfy that the debt was not a </w:t>
      </w:r>
      <w:proofErr w:type="spellStart"/>
      <w:r w:rsidR="00CE109B">
        <w:rPr>
          <w:rFonts w:ascii="Arial" w:hAnsi="Arial" w:cs="Arial"/>
          <w:color w:val="7B7B7B" w:themeColor="accent3" w:themeShade="BF"/>
          <w:sz w:val="22"/>
          <w:szCs w:val="22"/>
          <w:lang w:val="en-GB"/>
        </w:rPr>
        <w:t>covid</w:t>
      </w:r>
      <w:proofErr w:type="spellEnd"/>
      <w:r w:rsidR="00CE109B">
        <w:rPr>
          <w:rFonts w:ascii="Arial" w:hAnsi="Arial" w:cs="Arial"/>
          <w:color w:val="7B7B7B" w:themeColor="accent3" w:themeShade="BF"/>
          <w:sz w:val="22"/>
          <w:szCs w:val="22"/>
          <w:lang w:val="en-GB"/>
        </w:rPr>
        <w:t xml:space="preserve"> related debt. </w:t>
      </w:r>
      <w:r>
        <w:rPr>
          <w:rFonts w:ascii="Arial" w:hAnsi="Arial" w:cs="Arial"/>
          <w:color w:val="7B7B7B" w:themeColor="accent3" w:themeShade="BF"/>
          <w:sz w:val="22"/>
          <w:szCs w:val="22"/>
          <w:lang w:val="en-GB"/>
        </w:rPr>
        <w:t xml:space="preserve">Further temporary measures apply until 31 March 2022. These include: </w:t>
      </w:r>
    </w:p>
    <w:p w14:paraId="11E76301" w14:textId="18463666" w:rsidR="002D6F67" w:rsidRDefault="002D6F67" w:rsidP="002D6F67">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increase of the debt threshold to £10,000;</w:t>
      </w:r>
      <w:r w:rsidR="00B01B2D">
        <w:rPr>
          <w:rFonts w:ascii="Arial" w:hAnsi="Arial" w:cs="Arial"/>
          <w:color w:val="7B7B7B" w:themeColor="accent3" w:themeShade="BF"/>
          <w:sz w:val="22"/>
          <w:szCs w:val="22"/>
          <w:lang w:val="en-GB"/>
        </w:rPr>
        <w:t xml:space="preserve"> and</w:t>
      </w:r>
    </w:p>
    <w:p w14:paraId="01BA27EE" w14:textId="59238667" w:rsidR="002D6F67" w:rsidRDefault="002D6F67" w:rsidP="002D6F67">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requirement to send a notice with prescribed content and inviting debtor proposals for settlement within 21 days before being able to proceed</w:t>
      </w:r>
      <w:r w:rsidR="00B01B2D">
        <w:rPr>
          <w:rFonts w:ascii="Arial" w:hAnsi="Arial" w:cs="Arial"/>
          <w:color w:val="7B7B7B" w:themeColor="accent3" w:themeShade="BF"/>
          <w:sz w:val="22"/>
          <w:szCs w:val="22"/>
          <w:lang w:val="en-GB"/>
        </w:rPr>
        <w:t xml:space="preserve">. </w:t>
      </w:r>
    </w:p>
    <w:p w14:paraId="4527C601" w14:textId="77777777" w:rsidR="00CE109B" w:rsidRDefault="00B01B2D" w:rsidP="00CE109B">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also a new </w:t>
      </w:r>
      <w:r w:rsidR="00CE109B">
        <w:rPr>
          <w:rFonts w:ascii="Arial" w:hAnsi="Arial" w:cs="Arial"/>
          <w:color w:val="7B7B7B" w:themeColor="accent3" w:themeShade="BF"/>
          <w:sz w:val="22"/>
          <w:szCs w:val="22"/>
          <w:lang w:val="en-GB"/>
        </w:rPr>
        <w:t xml:space="preserve">practice code and a bill is before Parliament to introduce a legally binding arbitration process for commercial landlords and tenants unable to reach agreement (Commercial Rent (Coronavirus) Bill).   </w:t>
      </w:r>
    </w:p>
    <w:p w14:paraId="179D1F5C" w14:textId="504A1C3F" w:rsidR="00E870B4" w:rsidRDefault="00CE109B" w:rsidP="00CE109B">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A44428" w:rsidRPr="00CE109B">
        <w:rPr>
          <w:rFonts w:ascii="Arial" w:hAnsi="Arial" w:cs="Arial"/>
          <w:color w:val="7B7B7B" w:themeColor="accent3" w:themeShade="BF"/>
          <w:sz w:val="22"/>
          <w:szCs w:val="22"/>
          <w:lang w:val="en-GB"/>
        </w:rPr>
        <w:t xml:space="preserve"> relaxation of </w:t>
      </w:r>
      <w:r>
        <w:rPr>
          <w:rFonts w:ascii="Arial" w:hAnsi="Arial" w:cs="Arial"/>
          <w:color w:val="7B7B7B" w:themeColor="accent3" w:themeShade="BF"/>
          <w:sz w:val="22"/>
          <w:szCs w:val="22"/>
          <w:lang w:val="en-GB"/>
        </w:rPr>
        <w:t xml:space="preserve">the </w:t>
      </w:r>
      <w:r w:rsidR="00A44428" w:rsidRPr="00CE109B">
        <w:rPr>
          <w:rFonts w:ascii="Arial" w:hAnsi="Arial" w:cs="Arial"/>
          <w:color w:val="7B7B7B" w:themeColor="accent3" w:themeShade="BF"/>
          <w:sz w:val="22"/>
          <w:szCs w:val="22"/>
          <w:lang w:val="en-GB"/>
        </w:rPr>
        <w:t>wrongful trading provisions (albeit not changing the misfeasance provisions)</w:t>
      </w:r>
      <w:r>
        <w:rPr>
          <w:rFonts w:ascii="Arial" w:hAnsi="Arial" w:cs="Arial"/>
          <w:color w:val="7B7B7B" w:themeColor="accent3" w:themeShade="BF"/>
          <w:sz w:val="22"/>
          <w:szCs w:val="22"/>
          <w:lang w:val="en-GB"/>
        </w:rPr>
        <w:t xml:space="preserve"> such that the director would not be held personally liable for any worsening of the financial position of the company or its creditors during the period 1 March to 30 September 2020 and in the period 26 November 2020 to 30 June 2021. </w:t>
      </w:r>
    </w:p>
    <w:p w14:paraId="462A72FB" w14:textId="19BFA6E1" w:rsidR="00370606" w:rsidRDefault="00370606" w:rsidP="00370606">
      <w:pPr>
        <w:jc w:val="both"/>
        <w:rPr>
          <w:rFonts w:ascii="Arial" w:hAnsi="Arial" w:cs="Arial"/>
          <w:color w:val="7B7B7B" w:themeColor="accent3" w:themeShade="BF"/>
          <w:sz w:val="22"/>
          <w:szCs w:val="22"/>
          <w:lang w:val="en-GB"/>
        </w:rPr>
      </w:pPr>
    </w:p>
    <w:p w14:paraId="039E27B5" w14:textId="0630B285" w:rsidR="00C82D87" w:rsidRPr="00205B31" w:rsidRDefault="00370606" w:rsidP="001267C9">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Act introduced a </w:t>
      </w:r>
      <w:proofErr w:type="spellStart"/>
      <w:r>
        <w:rPr>
          <w:rFonts w:ascii="Arial" w:hAnsi="Arial" w:cs="Arial"/>
          <w:color w:val="7B7B7B" w:themeColor="accent3" w:themeShade="BF"/>
          <w:sz w:val="22"/>
          <w:szCs w:val="22"/>
          <w:lang w:val="en-GB"/>
        </w:rPr>
        <w:t>stand alone</w:t>
      </w:r>
      <w:proofErr w:type="spellEnd"/>
      <w:r>
        <w:rPr>
          <w:rFonts w:ascii="Arial" w:hAnsi="Arial" w:cs="Arial"/>
          <w:color w:val="7B7B7B" w:themeColor="accent3" w:themeShade="BF"/>
          <w:sz w:val="22"/>
          <w:szCs w:val="22"/>
          <w:lang w:val="en-GB"/>
        </w:rPr>
        <w:t xml:space="preserve"> moratorium process and the restructuring plan (Part 26A Companies Act 2006) and also the restriction on suppliers from terminating contracts by reason of an insolvency (now inserted into the Insolvency Act 1986 at section 223B) and prohibits termination but also stops a supplier doing "any other thing"</w:t>
      </w:r>
      <w:r w:rsidR="001267C9">
        <w:rPr>
          <w:rFonts w:ascii="Arial" w:hAnsi="Arial" w:cs="Arial"/>
          <w:color w:val="7B7B7B" w:themeColor="accent3" w:themeShade="BF"/>
          <w:sz w:val="22"/>
          <w:szCs w:val="22"/>
          <w:lang w:val="en-GB"/>
        </w:rPr>
        <w:t xml:space="preserve">, i.e. varying terms such as increasing pricing. The provision provided for an exemption in circumstances of the officeholders consent or permission of the court where it was satisfied the continuation of the contract would cause hardship on the supplier. There were temporary exclusions for small suppliers. </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572227E7" w14:textId="3BABE6C3" w:rsidR="0045683E" w:rsidRDefault="007544EA" w:rsidP="00B7193E">
      <w:pPr>
        <w:jc w:val="both"/>
        <w:rPr>
          <w:rFonts w:ascii="Arial" w:hAnsi="Arial" w:cs="Arial"/>
          <w:color w:val="7B7B7B" w:themeColor="accent3" w:themeShade="BF"/>
          <w:sz w:val="22"/>
          <w:szCs w:val="22"/>
          <w:lang w:val="en-GB"/>
        </w:rPr>
      </w:pPr>
      <w:r w:rsidRPr="007544EA">
        <w:rPr>
          <w:rFonts w:ascii="Arial" w:hAnsi="Arial" w:cs="Arial"/>
          <w:color w:val="7B7B7B" w:themeColor="accent3" w:themeShade="BF"/>
          <w:sz w:val="22"/>
          <w:szCs w:val="22"/>
          <w:lang w:val="en-GB"/>
        </w:rPr>
        <w:t>The term soft law is used to denote agreements, principles and declarations that are not legally binding. Soft law instruments are predominantly found in the international sphere. UN General Assembly resolutions are an example of soft law. Hard law refers generally to legal obligations that are binding on the parties involved and which can be legally enforced before a court.</w:t>
      </w:r>
      <w:r>
        <w:rPr>
          <w:rStyle w:val="FootnoteReference"/>
          <w:rFonts w:ascii="Arial" w:hAnsi="Arial" w:cs="Arial"/>
          <w:color w:val="7B7B7B" w:themeColor="accent3" w:themeShade="BF"/>
          <w:sz w:val="22"/>
          <w:szCs w:val="22"/>
          <w:lang w:val="en-GB"/>
        </w:rPr>
        <w:footnoteReference w:id="1"/>
      </w:r>
    </w:p>
    <w:p w14:paraId="4CC091C5" w14:textId="6C17519B" w:rsidR="00F734CA" w:rsidRDefault="00F734CA" w:rsidP="00B7193E">
      <w:pPr>
        <w:jc w:val="both"/>
        <w:rPr>
          <w:rFonts w:ascii="Arial" w:hAnsi="Arial" w:cs="Arial"/>
          <w:color w:val="7B7B7B" w:themeColor="accent3" w:themeShade="BF"/>
          <w:sz w:val="22"/>
          <w:szCs w:val="22"/>
          <w:lang w:val="en-GB"/>
        </w:rPr>
      </w:pPr>
    </w:p>
    <w:p w14:paraId="55A2971A" w14:textId="61CD7A17" w:rsidR="00F734CA" w:rsidRPr="00570E79" w:rsidRDefault="00570E79" w:rsidP="00B7193E">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Irit</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Mevorach</w:t>
      </w:r>
      <w:proofErr w:type="spellEnd"/>
      <w:r>
        <w:rPr>
          <w:rFonts w:ascii="Arial" w:hAnsi="Arial" w:cs="Arial"/>
          <w:color w:val="7B7B7B" w:themeColor="accent3" w:themeShade="BF"/>
          <w:sz w:val="22"/>
          <w:szCs w:val="22"/>
          <w:lang w:val="en-GB"/>
        </w:rPr>
        <w:t xml:space="preserve">, a </w:t>
      </w:r>
      <w:r w:rsidRPr="00570E79">
        <w:rPr>
          <w:rFonts w:ascii="Arial" w:hAnsi="Arial" w:cs="Arial"/>
          <w:color w:val="7B7B7B" w:themeColor="accent3" w:themeShade="BF"/>
          <w:sz w:val="22"/>
          <w:szCs w:val="22"/>
          <w:lang w:val="en-GB"/>
        </w:rPr>
        <w:t>Professor of International Commercial Law at the School of Law of the University of Nottingham and the co-Director of the University of Nottingham Commercial Law Centre</w:t>
      </w:r>
      <w:r>
        <w:rPr>
          <w:rFonts w:ascii="Arial" w:hAnsi="Arial" w:cs="Arial"/>
          <w:color w:val="7B7B7B" w:themeColor="accent3" w:themeShade="BF"/>
          <w:sz w:val="22"/>
          <w:szCs w:val="22"/>
          <w:lang w:val="en-GB"/>
        </w:rPr>
        <w:t xml:space="preserve"> comments that "</w:t>
      </w:r>
      <w:r w:rsidRPr="00570E79">
        <w:rPr>
          <w:rFonts w:ascii="Arial" w:hAnsi="Arial" w:cs="Arial"/>
          <w:i/>
          <w:color w:val="7B7B7B" w:themeColor="accent3" w:themeShade="BF"/>
          <w:sz w:val="22"/>
          <w:szCs w:val="22"/>
          <w:lang w:val="en-GB"/>
        </w:rPr>
        <w:t xml:space="preserve">The general view in the field of cross-border insolvency has been that a global treaty is the ultimate ideal, reflecting the aspiration to eventually reach a purely </w:t>
      </w:r>
      <w:proofErr w:type="gramStart"/>
      <w:r w:rsidRPr="00570E79">
        <w:rPr>
          <w:rFonts w:ascii="Arial" w:hAnsi="Arial" w:cs="Arial"/>
          <w:i/>
          <w:color w:val="7B7B7B" w:themeColor="accent3" w:themeShade="BF"/>
          <w:sz w:val="22"/>
          <w:szCs w:val="22"/>
          <w:lang w:val="en-GB"/>
        </w:rPr>
        <w:t>universalist</w:t>
      </w:r>
      <w:proofErr w:type="gramEnd"/>
      <w:r w:rsidRPr="00570E79">
        <w:rPr>
          <w:rFonts w:ascii="Arial" w:hAnsi="Arial" w:cs="Arial"/>
          <w:i/>
          <w:color w:val="7B7B7B" w:themeColor="accent3" w:themeShade="BF"/>
          <w:sz w:val="22"/>
          <w:szCs w:val="22"/>
          <w:lang w:val="en-GB"/>
        </w:rPr>
        <w:t xml:space="preserve"> system. Other ‘softer’ instruments, including the UNCITRAL Model Law on Cross-Border Insolvency, are therefore generally viewed as interim measures. A broader analysis of instrument choice, informed by international law theory and practice, shows, however, that the assumption that treaties represent hard, binding, law, while non-treaty instruments are non-binding soft laws, requires a reconsideration. Furthermore, economic analysis of international law, reinforced by behavioural perspectives, highlights the disadvantages of treaties, especially where they attempt to regulate complex problems among multiple participants. The so-called soft law instruments that are utilized in various international law subsystems may in fact be ‘harder’ than a treaty. Specifically, a model law approach can possess the characteristics of hard law, while retaining flexible features that induce participation.</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2"/>
      </w:r>
    </w:p>
    <w:p w14:paraId="738C561F" w14:textId="111209A5" w:rsidR="00B964B0" w:rsidRDefault="00B964B0" w:rsidP="00B7193E">
      <w:pPr>
        <w:jc w:val="both"/>
        <w:rPr>
          <w:rFonts w:ascii="Arial" w:hAnsi="Arial" w:cs="Arial"/>
          <w:color w:val="7B7B7B" w:themeColor="accent3" w:themeShade="BF"/>
          <w:sz w:val="22"/>
          <w:szCs w:val="22"/>
          <w:lang w:val="en-GB"/>
        </w:rPr>
      </w:pPr>
    </w:p>
    <w:p w14:paraId="383B5930" w14:textId="3840B032" w:rsidR="00C550C8" w:rsidRDefault="00254F7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Insolvency Regulation 2000 was a successful and influential piece of hard law </w:t>
      </w:r>
      <w:r w:rsidR="002C344F">
        <w:rPr>
          <w:rFonts w:ascii="Arial" w:hAnsi="Arial" w:cs="Arial"/>
          <w:color w:val="7B7B7B" w:themeColor="accent3" w:themeShade="BF"/>
          <w:sz w:val="22"/>
          <w:szCs w:val="22"/>
          <w:lang w:val="en-GB"/>
        </w:rPr>
        <w:t xml:space="preserve">and was amended to create the current multilateral instrument under the Recast regulations. </w:t>
      </w:r>
      <w:r w:rsidR="00B964B0">
        <w:rPr>
          <w:rFonts w:ascii="Arial" w:hAnsi="Arial" w:cs="Arial"/>
          <w:color w:val="7B7B7B" w:themeColor="accent3" w:themeShade="BF"/>
          <w:sz w:val="22"/>
          <w:szCs w:val="22"/>
          <w:lang w:val="en-GB"/>
        </w:rPr>
        <w:t>UNCITRAL is an example of a highly successful "soft law"</w:t>
      </w:r>
      <w:r>
        <w:rPr>
          <w:rFonts w:ascii="Arial" w:hAnsi="Arial" w:cs="Arial"/>
          <w:color w:val="7B7B7B" w:themeColor="accent3" w:themeShade="BF"/>
          <w:sz w:val="22"/>
          <w:szCs w:val="22"/>
          <w:lang w:val="en-GB"/>
        </w:rPr>
        <w:t xml:space="preserve"> and the draft insolvency legislation provides a uniform starting point for developing countries. </w:t>
      </w:r>
      <w:r w:rsidR="002C344F">
        <w:rPr>
          <w:rFonts w:ascii="Arial" w:hAnsi="Arial" w:cs="Arial"/>
          <w:color w:val="7B7B7B" w:themeColor="accent3" w:themeShade="BF"/>
          <w:sz w:val="22"/>
          <w:szCs w:val="22"/>
          <w:lang w:val="en-GB"/>
        </w:rPr>
        <w:t xml:space="preserve">With increasing numbers of states adopting the MLBCI is influencing international insolvency law and allowing a greater universalism approach by creating unified approaches by those states adopting it. </w:t>
      </w:r>
      <w:r>
        <w:rPr>
          <w:rFonts w:ascii="Arial" w:hAnsi="Arial" w:cs="Arial"/>
          <w:color w:val="7B7B7B" w:themeColor="accent3" w:themeShade="BF"/>
          <w:sz w:val="22"/>
          <w:szCs w:val="22"/>
          <w:lang w:val="en-GB"/>
        </w:rPr>
        <w:t xml:space="preserve"> </w:t>
      </w:r>
      <w:r w:rsidR="00B964B0">
        <w:rPr>
          <w:rFonts w:ascii="Arial" w:hAnsi="Arial" w:cs="Arial"/>
          <w:color w:val="7B7B7B" w:themeColor="accent3" w:themeShade="BF"/>
          <w:sz w:val="22"/>
          <w:szCs w:val="22"/>
          <w:lang w:val="en-GB"/>
        </w:rPr>
        <w:t xml:space="preserve"> </w:t>
      </w:r>
    </w:p>
    <w:p w14:paraId="23C3FAD6" w14:textId="77777777" w:rsidR="00570E79" w:rsidRPr="00205B31" w:rsidRDefault="00570E79"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44AAF8B8" w:rsidR="00544127" w:rsidRPr="00205B31" w:rsidRDefault="002C344F" w:rsidP="00B7193E">
      <w:pPr>
        <w:jc w:val="both"/>
        <w:rPr>
          <w:rFonts w:ascii="Arial" w:hAnsi="Arial" w:cs="Arial"/>
          <w:sz w:val="22"/>
          <w:szCs w:val="22"/>
          <w:lang w:val="en-GB"/>
        </w:rPr>
      </w:pPr>
      <w:r>
        <w:rPr>
          <w:rFonts w:ascii="Arial" w:hAnsi="Arial" w:cs="Arial"/>
          <w:color w:val="7B7B7B" w:themeColor="accent3" w:themeShade="BF"/>
          <w:sz w:val="22"/>
          <w:szCs w:val="22"/>
          <w:lang w:val="en-GB"/>
        </w:rPr>
        <w:t>Whilst it will depend to a certain extent on the system of law in each state, the usual</w:t>
      </w:r>
      <w:r w:rsidR="00AD68FA">
        <w:rPr>
          <w:rFonts w:ascii="Arial" w:hAnsi="Arial" w:cs="Arial"/>
          <w:color w:val="7B7B7B" w:themeColor="accent3" w:themeShade="BF"/>
          <w:sz w:val="22"/>
          <w:szCs w:val="22"/>
          <w:lang w:val="en-GB"/>
        </w:rPr>
        <w:t xml:space="preserve"> starting point is domestic laws incorporated into a state's legislative framework. Common law countries will also have the benefit of case law, providing judicial commentary on the interpretation of the legislation. This in turn assists in the development of the application in an international context.  </w:t>
      </w:r>
      <w:r w:rsidR="005E2A64">
        <w:rPr>
          <w:rFonts w:ascii="Arial" w:hAnsi="Arial" w:cs="Arial"/>
          <w:color w:val="7B7B7B" w:themeColor="accent3" w:themeShade="BF"/>
          <w:sz w:val="22"/>
          <w:szCs w:val="22"/>
          <w:lang w:val="en-GB"/>
        </w:rPr>
        <w:t xml:space="preserve">Some states have amended their domestic insolvency laws to address international considerations, i.e. the reference to an "overseas company" in the Companies Act 2006 and the provisions in the Insolvency Act 1986 to wind up a company formed under foreign law. A number of states also provide for recognition and co-operation with foreign insolvency proceedings. </w:t>
      </w:r>
      <w:r w:rsidR="00F27AB0">
        <w:rPr>
          <w:rFonts w:ascii="Arial" w:hAnsi="Arial" w:cs="Arial"/>
          <w:color w:val="7B7B7B" w:themeColor="accent3" w:themeShade="BF"/>
          <w:sz w:val="22"/>
          <w:szCs w:val="22"/>
          <w:lang w:val="en-GB"/>
        </w:rPr>
        <w:t>Australia and New Zealand have also made provisions (section 580-581 Corporations Act 2001 (</w:t>
      </w:r>
      <w:proofErr w:type="spellStart"/>
      <w:r w:rsidR="00F27AB0">
        <w:rPr>
          <w:rFonts w:ascii="Arial" w:hAnsi="Arial" w:cs="Arial"/>
          <w:color w:val="7B7B7B" w:themeColor="accent3" w:themeShade="BF"/>
          <w:sz w:val="22"/>
          <w:szCs w:val="22"/>
          <w:lang w:val="en-GB"/>
        </w:rPr>
        <w:t>Cth</w:t>
      </w:r>
      <w:proofErr w:type="spellEnd"/>
      <w:proofErr w:type="gramStart"/>
      <w:r w:rsidR="00F27AB0">
        <w:rPr>
          <w:rFonts w:ascii="Arial" w:hAnsi="Arial" w:cs="Arial"/>
          <w:color w:val="7B7B7B" w:themeColor="accent3" w:themeShade="BF"/>
          <w:sz w:val="22"/>
          <w:szCs w:val="22"/>
          <w:lang w:val="en-GB"/>
        </w:rPr>
        <w:t>)(</w:t>
      </w:r>
      <w:proofErr w:type="gramEnd"/>
      <w:r w:rsidR="00F27AB0">
        <w:rPr>
          <w:rFonts w:ascii="Arial" w:hAnsi="Arial" w:cs="Arial"/>
          <w:color w:val="7B7B7B" w:themeColor="accent3" w:themeShade="BF"/>
          <w:sz w:val="22"/>
          <w:szCs w:val="22"/>
          <w:lang w:val="en-GB"/>
        </w:rPr>
        <w:t>Australia) and section 8 of the Insolvency (Cross Border) Act 2006 (NZ)). Outside of domestic law, International Instruments may have been enacted. Firstly, multilateral bodies by way of regula</w:t>
      </w:r>
      <w:r w:rsidR="00BD0F4A">
        <w:rPr>
          <w:rFonts w:ascii="Arial" w:hAnsi="Arial" w:cs="Arial"/>
          <w:color w:val="7B7B7B" w:themeColor="accent3" w:themeShade="BF"/>
          <w:sz w:val="22"/>
          <w:szCs w:val="22"/>
          <w:lang w:val="en-GB"/>
        </w:rPr>
        <w:t xml:space="preserve">tions and treaties but secondly, commercial and professional bodies may also provide proposals or lobby on a range of issues, i.e. R3 in </w:t>
      </w:r>
      <w:r w:rsidR="00BD0F4A">
        <w:rPr>
          <w:rFonts w:ascii="Arial" w:hAnsi="Arial" w:cs="Arial"/>
          <w:color w:val="7B7B7B" w:themeColor="accent3" w:themeShade="BF"/>
          <w:sz w:val="22"/>
          <w:szCs w:val="22"/>
          <w:lang w:val="en-GB"/>
        </w:rPr>
        <w:lastRenderedPageBreak/>
        <w:t xml:space="preserve">England and Wales, routinely provides technical support but also lobbies the government on important policies/issues in Insolvency and represents a wide range of professionals including but not limited to solicitors, barristers, lenders, investors, insolvency practitioners and receivers. </w:t>
      </w:r>
      <w:r w:rsidR="00F27AB0">
        <w:rPr>
          <w:rFonts w:ascii="Arial" w:hAnsi="Arial" w:cs="Arial"/>
          <w:color w:val="7B7B7B" w:themeColor="accent3" w:themeShade="BF"/>
          <w:sz w:val="22"/>
          <w:szCs w:val="22"/>
          <w:lang w:val="en-GB"/>
        </w:rPr>
        <w:t xml:space="preserve">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6BC545F4" w14:textId="6002EE8E" w:rsidR="008D5A06" w:rsidRDefault="00AB283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FORUM/JURISDICTION </w:t>
      </w:r>
    </w:p>
    <w:p w14:paraId="5E611226" w14:textId="77B8B1A1" w:rsidR="00AB2839" w:rsidRDefault="00AB2839" w:rsidP="00AB2839">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a court can hear a matter will require the examination of the connection of the issue, dispute, assets and/or parties with the jurisdiction. </w:t>
      </w:r>
    </w:p>
    <w:p w14:paraId="6B86ABA7" w14:textId="3322DC12" w:rsidR="00AB2839" w:rsidRDefault="00591D73" w:rsidP="00591D73">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it will depend on the issue at hand, this usually requires a subjective examination. In a contractual dispute, this may be a simple exercise if the parties have signed up to an exclusive jurisdiction (and/or choice of law) provision. In a liquidation, similarly, it would usually be that the Court commencing the proceedings also deal with other issues. However, in other matters, it may require a more in depth analysis of what a creditor may believe is the company's COMI, i.e. where it traded, where its offices and officers were located, the location of its bank and the tax authority to which it was registered.  Parties may look to take advantage of jurisdictional disputes where one states </w:t>
      </w:r>
      <w:r w:rsidR="00340801">
        <w:rPr>
          <w:rFonts w:ascii="Arial" w:hAnsi="Arial" w:cs="Arial"/>
          <w:color w:val="7B7B7B" w:themeColor="accent3" w:themeShade="BF"/>
          <w:sz w:val="22"/>
          <w:szCs w:val="22"/>
          <w:lang w:val="en-GB"/>
        </w:rPr>
        <w:t>Courts</w:t>
      </w:r>
      <w:r>
        <w:rPr>
          <w:rFonts w:ascii="Arial" w:hAnsi="Arial" w:cs="Arial"/>
          <w:color w:val="7B7B7B" w:themeColor="accent3" w:themeShade="BF"/>
          <w:sz w:val="22"/>
          <w:szCs w:val="22"/>
          <w:lang w:val="en-GB"/>
        </w:rPr>
        <w:t xml:space="preserve"> are more favourable to it and seek t</w:t>
      </w:r>
      <w:r w:rsidR="00340801">
        <w:rPr>
          <w:rFonts w:ascii="Arial" w:hAnsi="Arial" w:cs="Arial"/>
          <w:color w:val="7B7B7B" w:themeColor="accent3" w:themeShade="BF"/>
          <w:sz w:val="22"/>
          <w:szCs w:val="22"/>
          <w:lang w:val="en-GB"/>
        </w:rPr>
        <w:t>o make arguments accordingly, i.e. costs orders</w:t>
      </w:r>
    </w:p>
    <w:p w14:paraId="35ED756E" w14:textId="1FD245E0" w:rsidR="00AB2839" w:rsidRDefault="00AB2839" w:rsidP="00B7193E">
      <w:pPr>
        <w:jc w:val="both"/>
        <w:rPr>
          <w:rFonts w:ascii="Arial" w:hAnsi="Arial" w:cs="Arial"/>
          <w:color w:val="7B7B7B" w:themeColor="accent3" w:themeShade="BF"/>
          <w:sz w:val="22"/>
          <w:szCs w:val="22"/>
          <w:lang w:val="en-GB"/>
        </w:rPr>
      </w:pPr>
    </w:p>
    <w:p w14:paraId="60CF673C" w14:textId="4667264F" w:rsidR="00AB2839" w:rsidRDefault="00AB283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CHOICE OF LAW </w:t>
      </w:r>
    </w:p>
    <w:p w14:paraId="7E35856E" w14:textId="1D9C3BB2" w:rsidR="00F93D84" w:rsidRPr="00F93D84" w:rsidRDefault="00F93D84" w:rsidP="00F93D8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where a local court has determined it has jurisdiction to hear a matter, it may be that it is not the local law that should apply, but a different state's law.  For instance it may be an English liquidation but the dispute relates to a contract involving an </w:t>
      </w:r>
      <w:r w:rsidR="00627F18">
        <w:rPr>
          <w:rFonts w:ascii="Arial" w:hAnsi="Arial" w:cs="Arial"/>
          <w:color w:val="7B7B7B" w:themeColor="accent3" w:themeShade="BF"/>
          <w:sz w:val="22"/>
          <w:szCs w:val="22"/>
          <w:lang w:val="en-GB"/>
        </w:rPr>
        <w:t xml:space="preserve">overseas party who argues that the contract related to business undertaken in that state and as such local law should apply. Different systems of law adopt different approaches and under English law, it is an argument for parties to invoke, which they will invariably do to the extent that a particular domestic law is more favourable. </w:t>
      </w:r>
    </w:p>
    <w:p w14:paraId="24886F64" w14:textId="0672EEBF" w:rsidR="00AB2839" w:rsidRDefault="00AB2839" w:rsidP="00B7193E">
      <w:pPr>
        <w:jc w:val="both"/>
        <w:rPr>
          <w:rFonts w:ascii="Arial" w:hAnsi="Arial" w:cs="Arial"/>
          <w:color w:val="7B7B7B" w:themeColor="accent3" w:themeShade="BF"/>
          <w:sz w:val="22"/>
          <w:szCs w:val="22"/>
          <w:lang w:val="en-GB"/>
        </w:rPr>
      </w:pPr>
    </w:p>
    <w:p w14:paraId="023DC439" w14:textId="2F9F41A6" w:rsidR="00AB2839" w:rsidRDefault="00AB283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INTERNATIONAL EFFECTS ACCORDED TO PROCEEDINGS </w:t>
      </w:r>
    </w:p>
    <w:p w14:paraId="0BA641F1" w14:textId="5DCACBFC" w:rsidR="00340801" w:rsidRPr="00627F18" w:rsidRDefault="00627F18" w:rsidP="00627F18">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Recognition of foreign processes and judgments can be a significant issue and to the extent recognition cannot be achieved, it might be that multiple insolvency processes,   and proceedings may be necessary to achieve the desired outcome. </w:t>
      </w:r>
      <w:r w:rsidR="00933626">
        <w:rPr>
          <w:rFonts w:ascii="Arial" w:hAnsi="Arial" w:cs="Arial"/>
          <w:color w:val="7B7B7B" w:themeColor="accent3" w:themeShade="BF"/>
          <w:sz w:val="22"/>
          <w:szCs w:val="22"/>
          <w:lang w:val="en-GB"/>
        </w:rPr>
        <w:t xml:space="preserve">It is in such circumstances that multilateral treaties can assist and/or other such soft law instruments, such as UNCIRAL Model Law on Recognition and Enforcement of Insolvency Related Judgments and/or </w:t>
      </w:r>
    </w:p>
    <w:p w14:paraId="0F338FB2" w14:textId="77777777" w:rsidR="00AB2839" w:rsidRDefault="00AB2839" w:rsidP="00B7193E">
      <w:pPr>
        <w:jc w:val="both"/>
        <w:rPr>
          <w:rFonts w:ascii="Arial" w:hAnsi="Arial" w:cs="Arial"/>
          <w:color w:val="7B7B7B" w:themeColor="accent3" w:themeShade="BF"/>
          <w:sz w:val="22"/>
          <w:szCs w:val="22"/>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lastRenderedPageBreak/>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2C72B041" w:rsidR="00DF75F8" w:rsidRPr="00FA6632" w:rsidRDefault="009A76C4" w:rsidP="00B7193E">
      <w:pPr>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lang w:val="en-GB"/>
        </w:rPr>
        <w:t xml:space="preserve">The 1991 </w:t>
      </w:r>
      <w:r w:rsidR="00863397" w:rsidRPr="00627419">
        <w:rPr>
          <w:rFonts w:ascii="Arial" w:hAnsi="Arial" w:cs="Arial"/>
          <w:i/>
          <w:color w:val="7B7B7B" w:themeColor="accent3" w:themeShade="BF"/>
          <w:sz w:val="22"/>
          <w:szCs w:val="22"/>
          <w:lang w:val="en-GB"/>
        </w:rPr>
        <w:t>Maxwell Communications Corporation Plc</w:t>
      </w:r>
      <w:r w:rsidR="00627419">
        <w:rPr>
          <w:rFonts w:ascii="Arial" w:hAnsi="Arial" w:cs="Arial"/>
          <w:i/>
          <w:color w:val="7B7B7B" w:themeColor="accent3" w:themeShade="BF"/>
          <w:sz w:val="22"/>
          <w:szCs w:val="22"/>
          <w:lang w:val="en-GB"/>
        </w:rPr>
        <w:t xml:space="preserve"> </w:t>
      </w:r>
      <w:r w:rsidR="00627419">
        <w:rPr>
          <w:rFonts w:ascii="Arial" w:hAnsi="Arial" w:cs="Arial"/>
          <w:color w:val="7B7B7B" w:themeColor="accent3" w:themeShade="BF"/>
          <w:sz w:val="22"/>
          <w:szCs w:val="22"/>
          <w:lang w:val="en-GB"/>
        </w:rPr>
        <w:t>case is an example of concurrent primary Chapter 11 proceedings in the United States and an English administration co-ordinated through an "Order and Protocol" approved by the courts in the respective states</w:t>
      </w:r>
      <w:r w:rsidR="00863397">
        <w:rPr>
          <w:rFonts w:ascii="Arial" w:hAnsi="Arial" w:cs="Arial"/>
          <w:color w:val="7B7B7B" w:themeColor="accent3" w:themeShade="BF"/>
          <w:sz w:val="22"/>
          <w:szCs w:val="22"/>
          <w:lang w:val="en-GB"/>
        </w:rPr>
        <w:t>.</w:t>
      </w:r>
      <w:r w:rsidR="00627419">
        <w:rPr>
          <w:rStyle w:val="FootnoteReference"/>
          <w:rFonts w:ascii="Arial" w:hAnsi="Arial" w:cs="Arial"/>
          <w:color w:val="7B7B7B" w:themeColor="accent3" w:themeShade="BF"/>
          <w:sz w:val="22"/>
          <w:szCs w:val="22"/>
          <w:lang w:val="en-GB"/>
        </w:rPr>
        <w:footnoteReference w:id="3"/>
      </w:r>
      <w:r w:rsidR="00627419">
        <w:rPr>
          <w:rFonts w:ascii="Arial" w:hAnsi="Arial" w:cs="Arial"/>
          <w:color w:val="7B7B7B" w:themeColor="accent3" w:themeShade="BF"/>
          <w:sz w:val="22"/>
          <w:szCs w:val="22"/>
          <w:lang w:val="en-GB"/>
        </w:rPr>
        <w:t xml:space="preserve"> The proceedings were initiated by the same debtor in two states. On the initiation of the judges </w:t>
      </w:r>
      <w:r w:rsidR="00FA6632">
        <w:rPr>
          <w:rFonts w:ascii="Arial" w:hAnsi="Arial" w:cs="Arial"/>
          <w:color w:val="7B7B7B" w:themeColor="accent3" w:themeShade="BF"/>
          <w:sz w:val="22"/>
          <w:szCs w:val="22"/>
          <w:lang w:val="en-GB"/>
        </w:rPr>
        <w:t xml:space="preserve">two </w:t>
      </w:r>
      <w:r w:rsidR="00FA6632" w:rsidRPr="00FA6632">
        <w:rPr>
          <w:rFonts w:ascii="Arial" w:hAnsi="Arial" w:cs="Arial"/>
          <w:color w:val="808080" w:themeColor="background1" w:themeShade="80"/>
          <w:sz w:val="22"/>
          <w:szCs w:val="22"/>
          <w:lang w:val="en-GB"/>
        </w:rPr>
        <w:t xml:space="preserve">goals were set: </w:t>
      </w:r>
    </w:p>
    <w:p w14:paraId="46E0807C" w14:textId="1F3DE544" w:rsidR="00FA6632" w:rsidRPr="00FA6632" w:rsidRDefault="00FA6632" w:rsidP="00FA6632">
      <w:pPr>
        <w:pStyle w:val="ListParagraph"/>
        <w:numPr>
          <w:ilvl w:val="0"/>
          <w:numId w:val="22"/>
        </w:numPr>
        <w:jc w:val="both"/>
        <w:rPr>
          <w:rFonts w:ascii="Arial" w:hAnsi="Arial" w:cs="Arial"/>
          <w:color w:val="808080" w:themeColor="background1" w:themeShade="80"/>
          <w:sz w:val="22"/>
          <w:szCs w:val="22"/>
          <w:lang w:val="en-GB"/>
        </w:rPr>
      </w:pPr>
      <w:r w:rsidRPr="00FA6632">
        <w:rPr>
          <w:rFonts w:ascii="Arial" w:hAnsi="Arial" w:cs="Arial"/>
          <w:color w:val="808080" w:themeColor="background1" w:themeShade="80"/>
          <w:sz w:val="22"/>
          <w:szCs w:val="22"/>
          <w:lang w:val="en-GB"/>
        </w:rPr>
        <w:t xml:space="preserve">Maximising the value of the estate </w:t>
      </w:r>
    </w:p>
    <w:p w14:paraId="24912644" w14:textId="0BAAA53E" w:rsidR="00FA6632" w:rsidRPr="00FA6632" w:rsidRDefault="00FA6632" w:rsidP="00FA6632">
      <w:pPr>
        <w:pStyle w:val="ListParagraph"/>
        <w:numPr>
          <w:ilvl w:val="0"/>
          <w:numId w:val="22"/>
        </w:numPr>
        <w:jc w:val="both"/>
        <w:rPr>
          <w:rFonts w:ascii="Arial" w:hAnsi="Arial" w:cs="Arial"/>
          <w:color w:val="808080" w:themeColor="background1" w:themeShade="80"/>
          <w:sz w:val="22"/>
          <w:szCs w:val="22"/>
          <w:lang w:val="en-GB"/>
        </w:rPr>
      </w:pPr>
      <w:r w:rsidRPr="00FA6632">
        <w:rPr>
          <w:rFonts w:ascii="Arial" w:hAnsi="Arial" w:cs="Arial"/>
          <w:color w:val="808080" w:themeColor="background1" w:themeShade="80"/>
          <w:sz w:val="22"/>
          <w:szCs w:val="22"/>
          <w:lang w:val="en-GB"/>
        </w:rPr>
        <w:t xml:space="preserve">Harmonising the proceedings to minimise expense, waste and judicial conflict. </w:t>
      </w:r>
    </w:p>
    <w:p w14:paraId="4AE7EA78" w14:textId="65F98E3F" w:rsidR="007D7C92" w:rsidRPr="00FA6632" w:rsidRDefault="00FA6632" w:rsidP="00FA663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was agreed the US Court would defer to the English proceedings once it was determined certain criteria were fulfilled, such as retaining some existing management to maintain going concern value but on the basis the English IP could appoint new and independent directors. Further restrictions were placed on the English IP, such as prior notice to be given before entering into any major transactions and not to incur debt without the consent of the US counterpart. </w:t>
      </w:r>
      <w:r w:rsidR="00677855">
        <w:rPr>
          <w:rFonts w:ascii="Arial" w:hAnsi="Arial" w:cs="Arial"/>
          <w:color w:val="808080" w:themeColor="background1" w:themeShade="80"/>
          <w:sz w:val="22"/>
          <w:szCs w:val="22"/>
          <w:lang w:val="en-GB"/>
        </w:rPr>
        <w:t xml:space="preserve">The protocol purposely didn't prescribe certain matters in order to retain flexibility and officeholder discretion/autonomy.  </w:t>
      </w: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w:t>
      </w:r>
      <w:proofErr w:type="gramStart"/>
      <w:r w:rsidRPr="00205B31">
        <w:rPr>
          <w:rFonts w:ascii="Arial" w:hAnsi="Arial" w:cs="Arial"/>
          <w:color w:val="212529"/>
          <w:sz w:val="22"/>
          <w:szCs w:val="22"/>
          <w:shd w:val="clear" w:color="auto" w:fill="FFFFFF"/>
          <w:lang w:val="en-GB"/>
        </w:rPr>
        <w:t>creditors</w:t>
      </w:r>
      <w:proofErr w:type="gramEnd"/>
      <w:r w:rsidRPr="00205B31">
        <w:rPr>
          <w:rFonts w:ascii="Arial" w:hAnsi="Arial" w:cs="Arial"/>
          <w:color w:val="212529"/>
          <w:sz w:val="22"/>
          <w:szCs w:val="22"/>
          <w:shd w:val="clear" w:color="auto" w:fill="FFFFFF"/>
          <w:lang w:val="en-GB"/>
        </w:rPr>
        <w:t xml:space="preserve">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901D65A" w14:textId="369088F2" w:rsidR="00193557" w:rsidRDefault="00C4075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the UK left the EU on 31 January 2020, during the transition period, the European </w:t>
      </w:r>
      <w:r w:rsidR="00193557">
        <w:rPr>
          <w:rFonts w:ascii="Arial" w:hAnsi="Arial" w:cs="Arial"/>
          <w:color w:val="7B7B7B" w:themeColor="accent3" w:themeShade="BF"/>
          <w:sz w:val="22"/>
          <w:szCs w:val="22"/>
          <w:lang w:val="en-GB"/>
        </w:rPr>
        <w:t xml:space="preserve">Insolvency Regulation Recast continued to be applied and the UK was treated for the most part as if it were still an EU member state with most EU law continuing to apply. </w:t>
      </w:r>
    </w:p>
    <w:p w14:paraId="61E26CCD" w14:textId="0D755E39" w:rsidR="00193557" w:rsidRDefault="00193557" w:rsidP="00B7193E">
      <w:pPr>
        <w:jc w:val="both"/>
        <w:rPr>
          <w:rFonts w:ascii="Arial" w:hAnsi="Arial" w:cs="Arial"/>
          <w:color w:val="7B7B7B" w:themeColor="accent3" w:themeShade="BF"/>
          <w:sz w:val="22"/>
          <w:szCs w:val="22"/>
          <w:lang w:val="en-GB"/>
        </w:rPr>
      </w:pPr>
    </w:p>
    <w:p w14:paraId="504CAD7D" w14:textId="0AEB24F0" w:rsidR="00193557" w:rsidRPr="00193557" w:rsidRDefault="00193557" w:rsidP="0019355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w:t>
      </w:r>
      <w:r w:rsidRPr="00193557">
        <w:rPr>
          <w:rFonts w:ascii="Arial" w:hAnsi="Arial" w:cs="Arial"/>
          <w:color w:val="7B7B7B" w:themeColor="accent3" w:themeShade="BF"/>
          <w:sz w:val="22"/>
          <w:szCs w:val="22"/>
          <w:lang w:val="en-GB"/>
        </w:rPr>
        <w:t>Recast Insolvency Regulation was imported into English law by the European Union Withdrawal Act 2018 (EUWA) at the end of the transition period</w:t>
      </w:r>
      <w:r>
        <w:rPr>
          <w:rFonts w:ascii="Arial" w:hAnsi="Arial" w:cs="Arial"/>
          <w:color w:val="7B7B7B" w:themeColor="accent3" w:themeShade="BF"/>
          <w:sz w:val="22"/>
          <w:szCs w:val="22"/>
          <w:lang w:val="en-GB"/>
        </w:rPr>
        <w:t xml:space="preserve"> </w:t>
      </w:r>
      <w:r w:rsidRPr="00193557">
        <w:rPr>
          <w:rFonts w:ascii="Arial" w:hAnsi="Arial" w:cs="Arial"/>
          <w:color w:val="7B7B7B" w:themeColor="accent3" w:themeShade="BF"/>
          <w:sz w:val="22"/>
          <w:szCs w:val="22"/>
          <w:lang w:val="en-GB"/>
        </w:rPr>
        <w:t>UK RIR (</w:t>
      </w:r>
      <w:proofErr w:type="spellStart"/>
      <w:r w:rsidRPr="00193557">
        <w:rPr>
          <w:rFonts w:ascii="Arial" w:hAnsi="Arial" w:cs="Arial"/>
          <w:color w:val="7B7B7B" w:themeColor="accent3" w:themeShade="BF"/>
          <w:sz w:val="22"/>
          <w:szCs w:val="22"/>
          <w:lang w:val="en-GB"/>
        </w:rPr>
        <w:t>unamended</w:t>
      </w:r>
      <w:proofErr w:type="spellEnd"/>
      <w:r w:rsidRPr="00193557">
        <w:rPr>
          <w:rFonts w:ascii="Arial" w:hAnsi="Arial" w:cs="Arial"/>
          <w:color w:val="7B7B7B" w:themeColor="accent3" w:themeShade="BF"/>
          <w:sz w:val="22"/>
          <w:szCs w:val="22"/>
          <w:lang w:val="en-GB"/>
        </w:rPr>
        <w:t>) will continue to apply, in the UK, to:</w:t>
      </w:r>
    </w:p>
    <w:p w14:paraId="28A882C9" w14:textId="77777777" w:rsidR="00193557" w:rsidRPr="00193557" w:rsidRDefault="00193557" w:rsidP="00193557">
      <w:pPr>
        <w:pStyle w:val="ListParagraph"/>
        <w:numPr>
          <w:ilvl w:val="0"/>
          <w:numId w:val="21"/>
        </w:numPr>
        <w:jc w:val="both"/>
        <w:rPr>
          <w:rFonts w:ascii="Arial" w:hAnsi="Arial" w:cs="Arial"/>
          <w:color w:val="7B7B7B" w:themeColor="accent3" w:themeShade="BF"/>
          <w:sz w:val="22"/>
          <w:szCs w:val="22"/>
          <w:lang w:val="en-GB"/>
        </w:rPr>
      </w:pPr>
      <w:r w:rsidRPr="00193557">
        <w:rPr>
          <w:rFonts w:ascii="Arial" w:hAnsi="Arial" w:cs="Arial"/>
          <w:color w:val="7B7B7B" w:themeColor="accent3" w:themeShade="BF"/>
          <w:sz w:val="22"/>
          <w:szCs w:val="22"/>
          <w:lang w:val="en-GB"/>
        </w:rPr>
        <w:t>Main insolvency proceedings opened under it before the end of the transition period.</w:t>
      </w:r>
    </w:p>
    <w:p w14:paraId="63AE127D" w14:textId="77777777" w:rsidR="00193557" w:rsidRPr="00193557" w:rsidRDefault="00193557" w:rsidP="00193557">
      <w:pPr>
        <w:pStyle w:val="ListParagraph"/>
        <w:numPr>
          <w:ilvl w:val="0"/>
          <w:numId w:val="21"/>
        </w:numPr>
        <w:jc w:val="both"/>
        <w:rPr>
          <w:rFonts w:ascii="Arial" w:hAnsi="Arial" w:cs="Arial"/>
          <w:color w:val="7B7B7B" w:themeColor="accent3" w:themeShade="BF"/>
          <w:sz w:val="22"/>
          <w:szCs w:val="22"/>
          <w:lang w:val="en-GB"/>
        </w:rPr>
      </w:pPr>
      <w:r w:rsidRPr="00193557">
        <w:rPr>
          <w:rFonts w:ascii="Arial" w:hAnsi="Arial" w:cs="Arial"/>
          <w:color w:val="7B7B7B" w:themeColor="accent3" w:themeShade="BF"/>
          <w:sz w:val="22"/>
          <w:szCs w:val="22"/>
          <w:lang w:val="en-GB"/>
        </w:rPr>
        <w:t>Secondary proceedings in respect of the same debtor opened after the end of the transition period where the main proceedings were opened before the end of the transition period.</w:t>
      </w:r>
    </w:p>
    <w:p w14:paraId="6AAC721E" w14:textId="42737C32" w:rsidR="00193557" w:rsidRPr="00193557" w:rsidRDefault="00193557" w:rsidP="00193557">
      <w:pPr>
        <w:pStyle w:val="ListParagraph"/>
        <w:numPr>
          <w:ilvl w:val="0"/>
          <w:numId w:val="21"/>
        </w:numPr>
        <w:jc w:val="both"/>
        <w:rPr>
          <w:rFonts w:ascii="Arial" w:hAnsi="Arial" w:cs="Arial"/>
          <w:color w:val="7B7B7B" w:themeColor="accent3" w:themeShade="BF"/>
          <w:sz w:val="22"/>
          <w:szCs w:val="22"/>
          <w:lang w:val="en-GB"/>
        </w:rPr>
      </w:pPr>
      <w:r w:rsidRPr="00193557">
        <w:rPr>
          <w:rFonts w:ascii="Arial" w:hAnsi="Arial" w:cs="Arial"/>
          <w:color w:val="7B7B7B" w:themeColor="accent3" w:themeShade="BF"/>
          <w:sz w:val="22"/>
          <w:szCs w:val="22"/>
          <w:lang w:val="en-GB"/>
        </w:rPr>
        <w:t>Proceedings under Article 6 (actions deriving directly from the insolvency proceedings and closely linked with them) where the main proceedings were opened before the end of the transition period.</w:t>
      </w:r>
      <w:r>
        <w:rPr>
          <w:rStyle w:val="FootnoteReference"/>
          <w:rFonts w:ascii="Arial" w:hAnsi="Arial" w:cs="Arial"/>
          <w:color w:val="7B7B7B" w:themeColor="accent3" w:themeShade="BF"/>
          <w:sz w:val="22"/>
          <w:szCs w:val="22"/>
          <w:lang w:val="en-GB"/>
        </w:rPr>
        <w:footnoteReference w:id="4"/>
      </w:r>
    </w:p>
    <w:p w14:paraId="0C79C245" w14:textId="77777777" w:rsidR="00193557" w:rsidRDefault="00193557" w:rsidP="00B7193E">
      <w:pPr>
        <w:jc w:val="both"/>
        <w:rPr>
          <w:rFonts w:ascii="Arial" w:hAnsi="Arial" w:cs="Arial"/>
          <w:color w:val="7B7B7B" w:themeColor="accent3" w:themeShade="BF"/>
          <w:sz w:val="22"/>
          <w:szCs w:val="22"/>
          <w:lang w:val="en-GB"/>
        </w:rPr>
      </w:pPr>
    </w:p>
    <w:p w14:paraId="0D37BBBB" w14:textId="514B3BD2" w:rsidR="002F75A3" w:rsidRDefault="00F915E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proceedings against </w:t>
      </w:r>
      <w:proofErr w:type="spellStart"/>
      <w:r>
        <w:rPr>
          <w:rFonts w:ascii="Arial" w:hAnsi="Arial" w:cs="Arial"/>
          <w:color w:val="7B7B7B" w:themeColor="accent3" w:themeShade="BF"/>
          <w:sz w:val="22"/>
          <w:szCs w:val="22"/>
          <w:lang w:val="en-GB"/>
        </w:rPr>
        <w:t>Rydell</w:t>
      </w:r>
      <w:proofErr w:type="spellEnd"/>
      <w:r>
        <w:rPr>
          <w:rFonts w:ascii="Arial" w:hAnsi="Arial" w:cs="Arial"/>
          <w:color w:val="7B7B7B" w:themeColor="accent3" w:themeShade="BF"/>
          <w:sz w:val="22"/>
          <w:szCs w:val="22"/>
          <w:lang w:val="en-GB"/>
        </w:rPr>
        <w:t xml:space="preserve"> were opened in the UK prior to the European Regulation on Insolvency Proceedings </w:t>
      </w:r>
      <w:r w:rsidR="00C40757">
        <w:rPr>
          <w:rFonts w:ascii="Arial" w:hAnsi="Arial" w:cs="Arial"/>
          <w:color w:val="7B7B7B" w:themeColor="accent3" w:themeShade="BF"/>
          <w:sz w:val="22"/>
          <w:szCs w:val="22"/>
          <w:lang w:val="en-GB"/>
        </w:rPr>
        <w:t xml:space="preserve">("EIR") </w:t>
      </w:r>
      <w:r>
        <w:rPr>
          <w:rFonts w:ascii="Arial" w:hAnsi="Arial" w:cs="Arial"/>
          <w:color w:val="7B7B7B" w:themeColor="accent3" w:themeShade="BF"/>
          <w:sz w:val="22"/>
          <w:szCs w:val="22"/>
          <w:lang w:val="en-GB"/>
        </w:rPr>
        <w:t xml:space="preserve">ceasing to apply in the </w:t>
      </w:r>
      <w:r w:rsidR="00C40757">
        <w:rPr>
          <w:rFonts w:ascii="Arial" w:hAnsi="Arial" w:cs="Arial"/>
          <w:color w:val="7B7B7B" w:themeColor="accent3" w:themeShade="BF"/>
          <w:sz w:val="22"/>
          <w:szCs w:val="22"/>
          <w:lang w:val="en-GB"/>
        </w:rPr>
        <w:t xml:space="preserve">UK, the proceedings would be automatically recognised throughout the EU. The EIR only ceased to apply to English insolvency proceedings opened after 31 December 2020. </w:t>
      </w:r>
    </w:p>
    <w:p w14:paraId="4E42D283" w14:textId="2238A6DB" w:rsidR="00193557" w:rsidRDefault="00193557" w:rsidP="00B7193E">
      <w:pPr>
        <w:jc w:val="both"/>
        <w:rPr>
          <w:rFonts w:ascii="Arial" w:hAnsi="Arial" w:cs="Arial"/>
          <w:color w:val="7B7B7B" w:themeColor="accent3" w:themeShade="BF"/>
          <w:sz w:val="22"/>
          <w:szCs w:val="22"/>
          <w:lang w:val="en-GB"/>
        </w:rPr>
      </w:pPr>
    </w:p>
    <w:p w14:paraId="7265EE88" w14:textId="420E58D1" w:rsidR="00193557" w:rsidRPr="00205B31" w:rsidRDefault="00193557"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We have no information as to </w:t>
      </w:r>
      <w:r w:rsidR="00D85B6A">
        <w:rPr>
          <w:rFonts w:ascii="Arial" w:hAnsi="Arial" w:cs="Arial"/>
          <w:color w:val="7B7B7B" w:themeColor="accent3" w:themeShade="BF"/>
          <w:sz w:val="22"/>
          <w:szCs w:val="22"/>
          <w:lang w:val="en-GB"/>
        </w:rPr>
        <w:t xml:space="preserve">whether the </w:t>
      </w:r>
      <w:proofErr w:type="spellStart"/>
      <w:r w:rsidR="00D85B6A">
        <w:rPr>
          <w:rFonts w:ascii="Arial" w:hAnsi="Arial" w:cs="Arial"/>
          <w:color w:val="7B7B7B" w:themeColor="accent3" w:themeShade="BF"/>
          <w:sz w:val="22"/>
          <w:szCs w:val="22"/>
          <w:lang w:val="en-GB"/>
        </w:rPr>
        <w:t>Rydell</w:t>
      </w:r>
      <w:proofErr w:type="spellEnd"/>
      <w:r w:rsidR="00D85B6A">
        <w:rPr>
          <w:rFonts w:ascii="Arial" w:hAnsi="Arial" w:cs="Arial"/>
          <w:color w:val="7B7B7B" w:themeColor="accent3" w:themeShade="BF"/>
          <w:sz w:val="22"/>
          <w:szCs w:val="22"/>
          <w:lang w:val="en-GB"/>
        </w:rPr>
        <w:t xml:space="preserve"> and </w:t>
      </w:r>
      <w:proofErr w:type="spellStart"/>
      <w:r w:rsidR="00D85B6A">
        <w:rPr>
          <w:rFonts w:ascii="Arial" w:hAnsi="Arial" w:cs="Arial"/>
          <w:color w:val="7B7B7B" w:themeColor="accent3" w:themeShade="BF"/>
          <w:sz w:val="22"/>
          <w:szCs w:val="22"/>
          <w:lang w:val="en-GB"/>
        </w:rPr>
        <w:t>F</w:t>
      </w:r>
      <w:r w:rsidR="00B565A7">
        <w:rPr>
          <w:rFonts w:ascii="Arial" w:hAnsi="Arial" w:cs="Arial"/>
          <w:color w:val="7B7B7B" w:themeColor="accent3" w:themeShade="BF"/>
          <w:sz w:val="22"/>
          <w:szCs w:val="22"/>
          <w:lang w:val="en-GB"/>
        </w:rPr>
        <w:t>er</w:t>
      </w:r>
      <w:r w:rsidR="00D85B6A">
        <w:rPr>
          <w:rFonts w:ascii="Arial" w:hAnsi="Arial" w:cs="Arial"/>
          <w:color w:val="7B7B7B" w:themeColor="accent3" w:themeShade="BF"/>
          <w:sz w:val="22"/>
          <w:szCs w:val="22"/>
          <w:lang w:val="en-GB"/>
        </w:rPr>
        <w:t>nz</w:t>
      </w:r>
      <w:proofErr w:type="spellEnd"/>
      <w:r w:rsidR="00D85B6A">
        <w:rPr>
          <w:rFonts w:ascii="Arial" w:hAnsi="Arial" w:cs="Arial"/>
          <w:color w:val="7B7B7B" w:themeColor="accent3" w:themeShade="BF"/>
          <w:sz w:val="22"/>
          <w:szCs w:val="22"/>
          <w:lang w:val="en-GB"/>
        </w:rPr>
        <w:t xml:space="preserve"> business was conducted under a contract with jurisdiction and choice of law provisions to determine the suitability of whether secondary proceedings would be of any benefit. Further, </w:t>
      </w:r>
      <w:r w:rsidR="00B565A7">
        <w:rPr>
          <w:rFonts w:ascii="Arial" w:hAnsi="Arial" w:cs="Arial"/>
          <w:color w:val="7B7B7B" w:themeColor="accent3" w:themeShade="BF"/>
          <w:sz w:val="22"/>
          <w:szCs w:val="22"/>
          <w:lang w:val="en-GB"/>
        </w:rPr>
        <w:t xml:space="preserve">if </w:t>
      </w:r>
      <w:proofErr w:type="spellStart"/>
      <w:r w:rsidR="00B565A7">
        <w:rPr>
          <w:rFonts w:ascii="Arial" w:hAnsi="Arial" w:cs="Arial"/>
          <w:color w:val="7B7B7B" w:themeColor="accent3" w:themeShade="BF"/>
          <w:sz w:val="22"/>
          <w:szCs w:val="22"/>
          <w:lang w:val="en-GB"/>
        </w:rPr>
        <w:t>Fernz</w:t>
      </w:r>
      <w:proofErr w:type="spellEnd"/>
      <w:r w:rsidR="00B565A7">
        <w:rPr>
          <w:rFonts w:ascii="Arial" w:hAnsi="Arial" w:cs="Arial"/>
          <w:color w:val="7B7B7B" w:themeColor="accent3" w:themeShade="BF"/>
          <w:sz w:val="22"/>
          <w:szCs w:val="22"/>
          <w:lang w:val="en-GB"/>
        </w:rPr>
        <w:t xml:space="preserve"> has security, and/or </w:t>
      </w:r>
      <w:r w:rsidR="00D85B6A">
        <w:rPr>
          <w:rFonts w:ascii="Arial" w:hAnsi="Arial" w:cs="Arial"/>
          <w:color w:val="7B7B7B" w:themeColor="accent3" w:themeShade="BF"/>
          <w:sz w:val="22"/>
          <w:szCs w:val="22"/>
          <w:lang w:val="en-GB"/>
        </w:rPr>
        <w:t xml:space="preserve">whether the agreement provides for any executory lien, i.e. if </w:t>
      </w:r>
      <w:proofErr w:type="spellStart"/>
      <w:r w:rsidR="00D85B6A">
        <w:rPr>
          <w:rFonts w:ascii="Arial" w:hAnsi="Arial" w:cs="Arial"/>
          <w:color w:val="7B7B7B" w:themeColor="accent3" w:themeShade="BF"/>
          <w:sz w:val="22"/>
          <w:szCs w:val="22"/>
          <w:lang w:val="en-GB"/>
        </w:rPr>
        <w:t>F</w:t>
      </w:r>
      <w:r w:rsidR="00B565A7">
        <w:rPr>
          <w:rFonts w:ascii="Arial" w:hAnsi="Arial" w:cs="Arial"/>
          <w:color w:val="7B7B7B" w:themeColor="accent3" w:themeShade="BF"/>
          <w:sz w:val="22"/>
          <w:szCs w:val="22"/>
          <w:lang w:val="en-GB"/>
        </w:rPr>
        <w:t>er</w:t>
      </w:r>
      <w:r w:rsidR="00D85B6A">
        <w:rPr>
          <w:rFonts w:ascii="Arial" w:hAnsi="Arial" w:cs="Arial"/>
          <w:color w:val="7B7B7B" w:themeColor="accent3" w:themeShade="BF"/>
          <w:sz w:val="22"/>
          <w:szCs w:val="22"/>
          <w:lang w:val="en-GB"/>
        </w:rPr>
        <w:t>nz</w:t>
      </w:r>
      <w:proofErr w:type="spellEnd"/>
      <w:r w:rsidR="00D85B6A">
        <w:rPr>
          <w:rFonts w:ascii="Arial" w:hAnsi="Arial" w:cs="Arial"/>
          <w:color w:val="7B7B7B" w:themeColor="accent3" w:themeShade="BF"/>
          <w:sz w:val="22"/>
          <w:szCs w:val="22"/>
          <w:lang w:val="en-GB"/>
        </w:rPr>
        <w:t xml:space="preserve"> ha</w:t>
      </w:r>
      <w:bookmarkStart w:id="3" w:name="_GoBack"/>
      <w:bookmarkEnd w:id="3"/>
      <w:r w:rsidR="00D85B6A">
        <w:rPr>
          <w:rFonts w:ascii="Arial" w:hAnsi="Arial" w:cs="Arial"/>
          <w:color w:val="7B7B7B" w:themeColor="accent3" w:themeShade="BF"/>
          <w:sz w:val="22"/>
          <w:szCs w:val="22"/>
          <w:lang w:val="en-GB"/>
        </w:rPr>
        <w:t xml:space="preserve">s paid for parts but they have not been delivered and they are identifiable stock. It is not clear what insolvency process has been commenced in England; this may affect the approach taken by </w:t>
      </w:r>
      <w:proofErr w:type="spellStart"/>
      <w:r w:rsidR="00D85B6A">
        <w:rPr>
          <w:rFonts w:ascii="Arial" w:hAnsi="Arial" w:cs="Arial"/>
          <w:color w:val="7B7B7B" w:themeColor="accent3" w:themeShade="BF"/>
          <w:sz w:val="22"/>
          <w:szCs w:val="22"/>
          <w:lang w:val="en-GB"/>
        </w:rPr>
        <w:t>F</w:t>
      </w:r>
      <w:r w:rsidR="00B565A7">
        <w:rPr>
          <w:rFonts w:ascii="Arial" w:hAnsi="Arial" w:cs="Arial"/>
          <w:color w:val="7B7B7B" w:themeColor="accent3" w:themeShade="BF"/>
          <w:sz w:val="22"/>
          <w:szCs w:val="22"/>
          <w:lang w:val="en-GB"/>
        </w:rPr>
        <w:t>er</w:t>
      </w:r>
      <w:r w:rsidR="00D85B6A">
        <w:rPr>
          <w:rFonts w:ascii="Arial" w:hAnsi="Arial" w:cs="Arial"/>
          <w:color w:val="7B7B7B" w:themeColor="accent3" w:themeShade="BF"/>
          <w:sz w:val="22"/>
          <w:szCs w:val="22"/>
          <w:lang w:val="en-GB"/>
        </w:rPr>
        <w:t>nz</w:t>
      </w:r>
      <w:proofErr w:type="spellEnd"/>
      <w:r w:rsidR="00D85B6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1256E6FF" w14:textId="1F27CD05" w:rsidR="00015EE6" w:rsidRDefault="00D85B6A"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transitional provisions ceased to have effect on 31 December 2020, EIR would not apply if the proceedings were opened in the UK in June 202. Accordingly, recognition of the English insolvency proceedings in the EU would depend on the local law of each member state. </w:t>
      </w:r>
      <w:r w:rsidR="00B565A7">
        <w:rPr>
          <w:rFonts w:ascii="Arial" w:hAnsi="Arial" w:cs="Arial"/>
          <w:color w:val="7B7B7B" w:themeColor="accent3" w:themeShade="BF"/>
          <w:sz w:val="22"/>
          <w:szCs w:val="22"/>
          <w:lang w:val="en-GB"/>
        </w:rPr>
        <w:t xml:space="preserve">As only four member states have adopted UNCITRAL Model law, permitting cross-border recognition upon application, recognition would not be automatic. </w:t>
      </w:r>
    </w:p>
    <w:p w14:paraId="54F10026" w14:textId="6F094DB0" w:rsidR="00B565A7" w:rsidRDefault="00B565A7" w:rsidP="00C45A03">
      <w:pPr>
        <w:jc w:val="both"/>
        <w:rPr>
          <w:rFonts w:ascii="Arial" w:hAnsi="Arial" w:cs="Arial"/>
          <w:color w:val="7B7B7B" w:themeColor="accent3" w:themeShade="BF"/>
          <w:sz w:val="22"/>
          <w:szCs w:val="22"/>
          <w:lang w:val="en-GB"/>
        </w:rPr>
      </w:pPr>
    </w:p>
    <w:p w14:paraId="52F639F8" w14:textId="7D4DCDB6" w:rsidR="00B565A7" w:rsidRPr="00205B31" w:rsidRDefault="00B565A7"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It would be useful to know which state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is located in, which member state it is considering bringing proceedings (to consider if the Model law would apply and/or the domestic law's approach to recognition) and any contractual obligation setting out choice of law/jurisdiction.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2"/>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3CAE42BE" w14:textId="242BAB39" w:rsidR="00015EE6" w:rsidRDefault="00D40368"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Act 1986 provides the English Court with jurisdiction to wind up a foreign company which is incorporated under the law of a country other than the UK</w:t>
      </w:r>
      <w:r w:rsidR="0011512C">
        <w:rPr>
          <w:rFonts w:ascii="Arial" w:hAnsi="Arial" w:cs="Arial"/>
          <w:color w:val="7B7B7B" w:themeColor="accent3" w:themeShade="BF"/>
          <w:sz w:val="22"/>
          <w:szCs w:val="22"/>
          <w:lang w:val="en-GB"/>
        </w:rPr>
        <w:t xml:space="preserve">, and jurisdiction </w:t>
      </w:r>
      <w:r w:rsidR="0011512C">
        <w:rPr>
          <w:rFonts w:ascii="Arial" w:hAnsi="Arial" w:cs="Arial"/>
          <w:color w:val="7B7B7B" w:themeColor="accent3" w:themeShade="BF"/>
          <w:sz w:val="22"/>
          <w:szCs w:val="22"/>
          <w:lang w:val="en-GB"/>
        </w:rPr>
        <w:lastRenderedPageBreak/>
        <w:t xml:space="preserve">may also be established to wind up an "unregistered company", in the following circumstances: </w:t>
      </w:r>
    </w:p>
    <w:p w14:paraId="3A54632D" w14:textId="075CF17C" w:rsidR="0011512C" w:rsidRDefault="0011512C" w:rsidP="00015EE6">
      <w:pPr>
        <w:autoSpaceDE w:val="0"/>
        <w:autoSpaceDN w:val="0"/>
        <w:adjustRightInd w:val="0"/>
        <w:spacing w:line="276" w:lineRule="auto"/>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w:t>
      </w:r>
      <w:proofErr w:type="gramEnd"/>
      <w:r>
        <w:rPr>
          <w:rFonts w:ascii="Arial" w:hAnsi="Arial" w:cs="Arial"/>
          <w:color w:val="7B7B7B" w:themeColor="accent3" w:themeShade="BF"/>
          <w:sz w:val="22"/>
          <w:szCs w:val="22"/>
          <w:lang w:val="en-GB"/>
        </w:rPr>
        <w:t xml:space="preserve">) if the company is dissolved, or has ceased to carry on business, or is carrying on business only for the purpose of winding up its affairs: </w:t>
      </w:r>
    </w:p>
    <w:p w14:paraId="5D06F090" w14:textId="4A6FE850" w:rsidR="0011512C" w:rsidRDefault="0011512C"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w:t>
      </w:r>
      <w:proofErr w:type="gramStart"/>
      <w:r>
        <w:rPr>
          <w:rFonts w:ascii="Arial" w:hAnsi="Arial" w:cs="Arial"/>
          <w:color w:val="7B7B7B" w:themeColor="accent3" w:themeShade="BF"/>
          <w:sz w:val="22"/>
          <w:szCs w:val="22"/>
          <w:lang w:val="en-GB"/>
        </w:rPr>
        <w:t>if</w:t>
      </w:r>
      <w:proofErr w:type="gramEnd"/>
      <w:r>
        <w:rPr>
          <w:rFonts w:ascii="Arial" w:hAnsi="Arial" w:cs="Arial"/>
          <w:color w:val="7B7B7B" w:themeColor="accent3" w:themeShade="BF"/>
          <w:sz w:val="22"/>
          <w:szCs w:val="22"/>
          <w:lang w:val="en-GB"/>
        </w:rPr>
        <w:t xml:space="preserve"> the company is unable to pay its debts; and </w:t>
      </w:r>
    </w:p>
    <w:p w14:paraId="609C70D8" w14:textId="1FB9F419" w:rsidR="0011512C" w:rsidRDefault="0011512C"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 </w:t>
      </w:r>
      <w:proofErr w:type="gramStart"/>
      <w:r>
        <w:rPr>
          <w:rFonts w:ascii="Arial" w:hAnsi="Arial" w:cs="Arial"/>
          <w:color w:val="7B7B7B" w:themeColor="accent3" w:themeShade="BF"/>
          <w:sz w:val="22"/>
          <w:szCs w:val="22"/>
          <w:lang w:val="en-GB"/>
        </w:rPr>
        <w:t>if</w:t>
      </w:r>
      <w:proofErr w:type="gramEnd"/>
      <w:r>
        <w:rPr>
          <w:rFonts w:ascii="Arial" w:hAnsi="Arial" w:cs="Arial"/>
          <w:color w:val="7B7B7B" w:themeColor="accent3" w:themeShade="BF"/>
          <w:sz w:val="22"/>
          <w:szCs w:val="22"/>
          <w:lang w:val="en-GB"/>
        </w:rPr>
        <w:t xml:space="preserve"> the court is of the opinion that it is just and equitable for the company to be wound up.  </w:t>
      </w:r>
    </w:p>
    <w:p w14:paraId="3BD63009" w14:textId="291545B3" w:rsidR="0011512C" w:rsidRDefault="0011512C"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632A34AF" w14:textId="77777777" w:rsidR="0011512C" w:rsidRDefault="0011512C"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must be satisfied that there is "</w:t>
      </w:r>
      <w:r w:rsidRPr="0011512C">
        <w:rPr>
          <w:rFonts w:ascii="Arial" w:hAnsi="Arial" w:cs="Arial"/>
          <w:i/>
          <w:color w:val="7B7B7B" w:themeColor="accent3" w:themeShade="BF"/>
          <w:sz w:val="22"/>
          <w:szCs w:val="22"/>
          <w:lang w:val="en-GB"/>
        </w:rPr>
        <w:t>sufficient connection</w:t>
      </w:r>
      <w:r>
        <w:rPr>
          <w:rFonts w:ascii="Arial" w:hAnsi="Arial" w:cs="Arial"/>
          <w:color w:val="7B7B7B" w:themeColor="accent3" w:themeShade="BF"/>
          <w:sz w:val="22"/>
          <w:szCs w:val="22"/>
          <w:lang w:val="en-GB"/>
        </w:rPr>
        <w:t>" with England and Wales</w:t>
      </w:r>
      <w:r>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taking into account three core requirements:</w:t>
      </w:r>
    </w:p>
    <w:p w14:paraId="37D5CFA5" w14:textId="77777777" w:rsidR="0011512C" w:rsidRDefault="0011512C"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9FF77AA" w14:textId="410A8C88" w:rsidR="0011512C" w:rsidRDefault="0011512C"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There must be a sufficient connection with England and Wales which may, but does not</w:t>
      </w:r>
      <w:r w:rsidR="00120353">
        <w:rPr>
          <w:rFonts w:ascii="Arial" w:hAnsi="Arial" w:cs="Arial"/>
          <w:color w:val="7B7B7B" w:themeColor="accent3" w:themeShade="BF"/>
          <w:sz w:val="22"/>
          <w:szCs w:val="22"/>
          <w:lang w:val="en-GB"/>
        </w:rPr>
        <w:t xml:space="preserve"> necessarily </w:t>
      </w:r>
      <w:r>
        <w:rPr>
          <w:rFonts w:ascii="Arial" w:hAnsi="Arial" w:cs="Arial"/>
          <w:color w:val="7B7B7B" w:themeColor="accent3" w:themeShade="BF"/>
          <w:sz w:val="22"/>
          <w:szCs w:val="22"/>
          <w:lang w:val="en-GB"/>
        </w:rPr>
        <w:t>have to</w:t>
      </w:r>
      <w:r w:rsidR="00120353">
        <w:rPr>
          <w:rFonts w:ascii="Arial" w:hAnsi="Arial" w:cs="Arial"/>
          <w:color w:val="7B7B7B" w:themeColor="accent3" w:themeShade="BF"/>
          <w:sz w:val="22"/>
          <w:szCs w:val="22"/>
          <w:lang w:val="en-GB"/>
        </w:rPr>
        <w:t>, consist of assets</w:t>
      </w:r>
      <w:r>
        <w:rPr>
          <w:rFonts w:ascii="Arial" w:hAnsi="Arial" w:cs="Arial"/>
          <w:color w:val="7B7B7B" w:themeColor="accent3" w:themeShade="BF"/>
          <w:sz w:val="22"/>
          <w:szCs w:val="22"/>
          <w:lang w:val="en-GB"/>
        </w:rPr>
        <w:t xml:space="preserve"> within the jurisdiction;</w:t>
      </w:r>
    </w:p>
    <w:p w14:paraId="1C23150A" w14:textId="747840F7" w:rsidR="00120353" w:rsidRDefault="0011512C"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120353">
        <w:rPr>
          <w:rFonts w:ascii="Arial" w:hAnsi="Arial" w:cs="Arial"/>
          <w:color w:val="7B7B7B" w:themeColor="accent3" w:themeShade="BF"/>
          <w:sz w:val="22"/>
          <w:szCs w:val="22"/>
          <w:lang w:val="en-GB"/>
        </w:rPr>
        <w:t>There must be a reasonable possibility, if a winding-up order is made, of benefit to those applying for a winding-up order.</w:t>
      </w:r>
    </w:p>
    <w:p w14:paraId="44614894" w14:textId="5D9839C0" w:rsidR="00120353" w:rsidRDefault="00120353"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One or more persons interested in the distribution of assets of the company must be persons over whom the court can exercise jurisdiction."</w:t>
      </w:r>
      <w:r>
        <w:rPr>
          <w:rStyle w:val="FootnoteReference"/>
          <w:rFonts w:ascii="Arial" w:hAnsi="Arial" w:cs="Arial"/>
          <w:color w:val="7B7B7B" w:themeColor="accent3" w:themeShade="BF"/>
          <w:sz w:val="22"/>
          <w:szCs w:val="22"/>
          <w:lang w:val="en-GB"/>
        </w:rPr>
        <w:footnoteReference w:id="6"/>
      </w:r>
    </w:p>
    <w:p w14:paraId="33EC64D9" w14:textId="25374B1C" w:rsidR="00120353" w:rsidRDefault="00120353"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769811DA" w14:textId="77777777" w:rsidR="002647B9" w:rsidRDefault="00120353"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Accordingly, you would need further information to be able to consider if there was a "sufficient connection" with England and W</w:t>
      </w:r>
      <w:r w:rsidR="002647B9">
        <w:rPr>
          <w:rFonts w:ascii="Arial" w:hAnsi="Arial" w:cs="Arial"/>
          <w:color w:val="7B7B7B" w:themeColor="accent3" w:themeShade="BF"/>
          <w:sz w:val="22"/>
          <w:szCs w:val="22"/>
          <w:lang w:val="en-GB"/>
        </w:rPr>
        <w:t xml:space="preserve">ales. </w:t>
      </w:r>
    </w:p>
    <w:p w14:paraId="5AF13CD8" w14:textId="77777777" w:rsidR="002647B9" w:rsidRDefault="002647B9"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5492984" w14:textId="327A9F99" w:rsidR="00120353" w:rsidRPr="002647B9" w:rsidRDefault="002647B9"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120353">
        <w:rPr>
          <w:rFonts w:ascii="Arial" w:hAnsi="Arial" w:cs="Arial"/>
          <w:color w:val="7B7B7B" w:themeColor="accent3" w:themeShade="BF"/>
          <w:sz w:val="22"/>
          <w:szCs w:val="22"/>
          <w:lang w:val="en-GB"/>
        </w:rPr>
        <w:t xml:space="preserve">n any event the Corporate Insolvency and Governance Act 2020 and the temporary restrictions on winding up would appear to prevent the creditor seeking to wind up the Company as the facts set out that the </w:t>
      </w:r>
      <w:proofErr w:type="spellStart"/>
      <w:r w:rsidR="00120353">
        <w:rPr>
          <w:rFonts w:ascii="Arial" w:hAnsi="Arial" w:cs="Arial"/>
          <w:color w:val="7B7B7B" w:themeColor="accent3" w:themeShade="BF"/>
          <w:sz w:val="22"/>
          <w:szCs w:val="22"/>
          <w:lang w:val="en-GB"/>
        </w:rPr>
        <w:t>Rydell</w:t>
      </w:r>
      <w:proofErr w:type="spellEnd"/>
      <w:r w:rsidR="00120353">
        <w:rPr>
          <w:rFonts w:ascii="Arial" w:hAnsi="Arial" w:cs="Arial"/>
          <w:color w:val="7B7B7B" w:themeColor="accent3" w:themeShade="BF"/>
          <w:sz w:val="22"/>
          <w:szCs w:val="22"/>
          <w:lang w:val="en-GB"/>
        </w:rPr>
        <w:t xml:space="preserve"> "</w:t>
      </w:r>
      <w:r w:rsidR="00120353" w:rsidRPr="00120353">
        <w:rPr>
          <w:rFonts w:ascii="Arial" w:hAnsi="Arial" w:cs="Arial"/>
          <w:i/>
          <w:color w:val="7B7B7B" w:themeColor="accent3" w:themeShade="BF"/>
          <w:sz w:val="22"/>
          <w:szCs w:val="22"/>
          <w:lang w:val="en-GB"/>
        </w:rPr>
        <w:t>has had a downturn in business due to border closures and travel restrictions throughout the Covid-19 pandemic</w:t>
      </w:r>
      <w:r w:rsidR="0012035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accordingly, it seems unlikely that the minor creditor would be able to satisfy the </w:t>
      </w:r>
      <w:proofErr w:type="spellStart"/>
      <w:r>
        <w:rPr>
          <w:rFonts w:ascii="Arial" w:hAnsi="Arial" w:cs="Arial"/>
          <w:color w:val="7B7B7B" w:themeColor="accent3" w:themeShade="BF"/>
          <w:sz w:val="22"/>
          <w:szCs w:val="22"/>
          <w:lang w:val="en-GB"/>
        </w:rPr>
        <w:t>Covid</w:t>
      </w:r>
      <w:proofErr w:type="spellEnd"/>
      <w:r>
        <w:rPr>
          <w:rFonts w:ascii="Arial" w:hAnsi="Arial" w:cs="Arial"/>
          <w:color w:val="7B7B7B" w:themeColor="accent3" w:themeShade="BF"/>
          <w:sz w:val="22"/>
          <w:szCs w:val="22"/>
          <w:lang w:val="en-GB"/>
        </w:rPr>
        <w:t xml:space="preserve"> test to be able to proceed with a winding up petition.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FC56" w14:textId="77777777" w:rsidR="00FA6632" w:rsidRDefault="00FA6632" w:rsidP="00241B44">
      <w:r>
        <w:separator/>
      </w:r>
    </w:p>
  </w:endnote>
  <w:endnote w:type="continuationSeparator" w:id="0">
    <w:p w14:paraId="1569510E" w14:textId="77777777" w:rsidR="00FA6632" w:rsidRDefault="00FA663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FA6632" w:rsidRPr="00A31881" w:rsidRDefault="00FA6632"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FA6632" w:rsidRPr="00A31881" w:rsidRDefault="00FA6632"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41931A48" w:rsidR="00FA6632" w:rsidRPr="0052732A" w:rsidRDefault="00FA6632"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B146FF">
          <w:rPr>
            <w:rStyle w:val="PageNumber"/>
            <w:rFonts w:ascii="Arial" w:hAnsi="Arial" w:cs="Arial"/>
            <w:b/>
            <w:bCs/>
            <w:noProof/>
            <w:sz w:val="18"/>
            <w:szCs w:val="18"/>
          </w:rPr>
          <w:t>12</w:t>
        </w:r>
        <w:r w:rsidRPr="00C50F86">
          <w:rPr>
            <w:rStyle w:val="PageNumber"/>
            <w:rFonts w:ascii="Arial" w:hAnsi="Arial" w:cs="Arial"/>
            <w:b/>
            <w:bCs/>
            <w:sz w:val="18"/>
            <w:szCs w:val="18"/>
          </w:rPr>
          <w:fldChar w:fldCharType="end"/>
        </w:r>
      </w:p>
    </w:sdtContent>
  </w:sdt>
  <w:p w14:paraId="12ABA5E1" w14:textId="564F2CE6" w:rsidR="00FA6632" w:rsidRPr="0052732A" w:rsidRDefault="00FA6632" w:rsidP="0052732A">
    <w:pPr>
      <w:pStyle w:val="Footer"/>
      <w:ind w:right="360"/>
      <w:rPr>
        <w:rFonts w:ascii="Arial" w:hAnsi="Arial" w:cs="Arial"/>
        <w:sz w:val="18"/>
        <w:szCs w:val="18"/>
      </w:rPr>
    </w:pPr>
    <w:r>
      <w:rPr>
        <w:rFonts w:ascii="Arial" w:hAnsi="Arial" w:cs="Arial"/>
        <w:sz w:val="18"/>
        <w:szCs w:val="18"/>
      </w:rPr>
      <w:t>202122-444</w:t>
    </w:r>
    <w:r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15D8" w14:textId="77777777" w:rsidR="00FA6632" w:rsidRDefault="00FA6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2433" w14:textId="77777777" w:rsidR="00FA6632" w:rsidRDefault="00FA6632" w:rsidP="00241B44">
      <w:r>
        <w:separator/>
      </w:r>
    </w:p>
  </w:footnote>
  <w:footnote w:type="continuationSeparator" w:id="0">
    <w:p w14:paraId="1B0F45A1" w14:textId="77777777" w:rsidR="00FA6632" w:rsidRDefault="00FA6632" w:rsidP="00241B44">
      <w:r>
        <w:continuationSeparator/>
      </w:r>
    </w:p>
  </w:footnote>
  <w:footnote w:id="1">
    <w:p w14:paraId="49134741" w14:textId="79539B3C" w:rsidR="00FA6632" w:rsidRPr="007544EA" w:rsidRDefault="00FA6632">
      <w:pPr>
        <w:pStyle w:val="FootnoteText"/>
        <w:rPr>
          <w:lang w:val="en-GB"/>
        </w:rPr>
      </w:pPr>
      <w:r>
        <w:rPr>
          <w:rStyle w:val="FootnoteReference"/>
        </w:rPr>
        <w:footnoteRef/>
      </w:r>
      <w:r>
        <w:t xml:space="preserve"> </w:t>
      </w:r>
      <w:hyperlink r:id="rId1" w:history="1">
        <w:r w:rsidRPr="00DC20A6">
          <w:rPr>
            <w:rStyle w:val="Hyperlink"/>
          </w:rPr>
          <w:t>https://www.ecchr.eu/en/glossary/hard-law-soft-law/</w:t>
        </w:r>
      </w:hyperlink>
      <w:r>
        <w:t xml:space="preserve"> </w:t>
      </w:r>
    </w:p>
  </w:footnote>
  <w:footnote w:id="2">
    <w:p w14:paraId="7DE4E4BE" w14:textId="75384392" w:rsidR="00FA6632" w:rsidRPr="00570E79" w:rsidRDefault="00FA6632">
      <w:pPr>
        <w:pStyle w:val="FootnoteText"/>
        <w:rPr>
          <w:lang w:val="en-GB"/>
        </w:rPr>
      </w:pPr>
      <w:r>
        <w:rPr>
          <w:rStyle w:val="FootnoteReference"/>
        </w:rPr>
        <w:footnoteRef/>
      </w:r>
      <w:r>
        <w:t xml:space="preserve"> </w:t>
      </w:r>
      <w:hyperlink r:id="rId2" w:history="1">
        <w:r w:rsidRPr="00911AD4">
          <w:rPr>
            <w:rStyle w:val="Hyperlink"/>
          </w:rPr>
          <w:t>https://www.law.ox.ac.uk/business-law-blog/blog/2018/04/future-cross-border-insolvency-overcoming-biases-and-closing-gaps</w:t>
        </w:r>
      </w:hyperlink>
      <w:r>
        <w:t xml:space="preserve"> </w:t>
      </w:r>
    </w:p>
  </w:footnote>
  <w:footnote w:id="3">
    <w:p w14:paraId="6844EFDD" w14:textId="62DE5A35" w:rsidR="00FA6632" w:rsidRPr="00627419" w:rsidRDefault="00FA6632">
      <w:pPr>
        <w:pStyle w:val="FootnoteText"/>
        <w:rPr>
          <w:lang w:val="en-GB"/>
        </w:rPr>
      </w:pPr>
      <w:r>
        <w:rPr>
          <w:rStyle w:val="FootnoteReference"/>
        </w:rPr>
        <w:footnoteRef/>
      </w:r>
      <w:r>
        <w:t xml:space="preserve"> </w:t>
      </w:r>
      <w:r>
        <w:rPr>
          <w:lang w:val="en-GB"/>
        </w:rPr>
        <w:t xml:space="preserve">WG 16 FCIIL Guidance Text Mod 1 Introduction to International Insolvency Law 2021 and UNICTRAL Practice Guide on Cross-Border Insolvency Cooperation 2009, pp, 128-129. </w:t>
      </w:r>
    </w:p>
  </w:footnote>
  <w:footnote w:id="4">
    <w:p w14:paraId="63706FC4" w14:textId="070542FE" w:rsidR="00193557" w:rsidRPr="00193557" w:rsidRDefault="00193557">
      <w:pPr>
        <w:pStyle w:val="FootnoteText"/>
        <w:rPr>
          <w:lang w:val="en-GB"/>
        </w:rPr>
      </w:pPr>
      <w:r>
        <w:rPr>
          <w:rStyle w:val="FootnoteReference"/>
        </w:rPr>
        <w:footnoteRef/>
      </w:r>
      <w:r>
        <w:t xml:space="preserve"> </w:t>
      </w:r>
      <w:r>
        <w:rPr>
          <w:lang w:val="en-GB"/>
        </w:rPr>
        <w:t>Thomas Reuters Practical Law – The Recast Insolvency Regulation</w:t>
      </w:r>
    </w:p>
  </w:footnote>
  <w:footnote w:id="5">
    <w:p w14:paraId="7A3E9458" w14:textId="65F135CE" w:rsidR="0011512C" w:rsidRPr="0011512C" w:rsidRDefault="0011512C">
      <w:pPr>
        <w:pStyle w:val="FootnoteText"/>
        <w:rPr>
          <w:lang w:val="en-GB"/>
        </w:rPr>
      </w:pPr>
      <w:r>
        <w:rPr>
          <w:rStyle w:val="FootnoteReference"/>
        </w:rPr>
        <w:footnoteRef/>
      </w:r>
      <w:r>
        <w:t xml:space="preserve"> </w:t>
      </w:r>
      <w:r>
        <w:rPr>
          <w:i/>
          <w:lang w:val="en-GB"/>
        </w:rPr>
        <w:t xml:space="preserve">Re </w:t>
      </w:r>
      <w:proofErr w:type="spellStart"/>
      <w:r>
        <w:rPr>
          <w:i/>
          <w:lang w:val="en-GB"/>
        </w:rPr>
        <w:t>Latreefers</w:t>
      </w:r>
      <w:proofErr w:type="spellEnd"/>
      <w:r>
        <w:rPr>
          <w:i/>
          <w:lang w:val="en-GB"/>
        </w:rPr>
        <w:t xml:space="preserve"> In </w:t>
      </w:r>
      <w:r>
        <w:rPr>
          <w:lang w:val="en-GB"/>
        </w:rPr>
        <w:t>[2001] BCC 174 (CA)</w:t>
      </w:r>
    </w:p>
  </w:footnote>
  <w:footnote w:id="6">
    <w:p w14:paraId="0BDA3480" w14:textId="01121F51" w:rsidR="00120353" w:rsidRPr="00120353" w:rsidRDefault="00120353">
      <w:pPr>
        <w:pStyle w:val="FootnoteText"/>
        <w:rPr>
          <w:i/>
          <w:lang w:val="en-GB"/>
        </w:rPr>
      </w:pPr>
      <w:r>
        <w:rPr>
          <w:rStyle w:val="FootnoteReference"/>
        </w:rPr>
        <w:footnoteRef/>
      </w:r>
      <w:r>
        <w:t xml:space="preserve"> </w:t>
      </w:r>
      <w:r>
        <w:rPr>
          <w:lang w:val="en-GB"/>
        </w:rPr>
        <w:t xml:space="preserve">Fletch, </w:t>
      </w:r>
      <w:r>
        <w:rPr>
          <w:i/>
          <w:lang w:val="en-GB"/>
        </w:rPr>
        <w:t xml:space="preserve">supra note 4, [30-017], referring to </w:t>
      </w:r>
      <w:r>
        <w:rPr>
          <w:lang w:val="en-GB"/>
        </w:rPr>
        <w:t xml:space="preserve">Re Real Estate Development Co </w:t>
      </w:r>
      <w:r>
        <w:rPr>
          <w:i/>
          <w:lang w:val="en-GB"/>
        </w:rPr>
        <w:t>[1991 BCLC 210 (</w:t>
      </w:r>
      <w:proofErr w:type="spellStart"/>
      <w:r>
        <w:rPr>
          <w:i/>
          <w:lang w:val="en-GB"/>
        </w:rPr>
        <w:t>Ch</w:t>
      </w:r>
      <w:proofErr w:type="spellEnd"/>
      <w:r>
        <w:rPr>
          <w:i/>
          <w:lang w:val="en-GB"/>
        </w:rPr>
        <w:t xml:space="preserve"> D), per Knox 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D68C" w14:textId="77777777" w:rsidR="00FA6632" w:rsidRDefault="00FA6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3040" w14:textId="77777777" w:rsidR="00FA6632" w:rsidRDefault="00FA6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2EAB" w14:textId="77777777" w:rsidR="00FA6632" w:rsidRDefault="00FA6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F30"/>
    <w:multiLevelType w:val="hybridMultilevel"/>
    <w:tmpl w:val="BEF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12B41"/>
    <w:multiLevelType w:val="hybridMultilevel"/>
    <w:tmpl w:val="55C8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0A55C0A"/>
    <w:multiLevelType w:val="hybridMultilevel"/>
    <w:tmpl w:val="63FC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FE32B73"/>
    <w:multiLevelType w:val="hybridMultilevel"/>
    <w:tmpl w:val="F4E6E43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5586624"/>
    <w:multiLevelType w:val="hybridMultilevel"/>
    <w:tmpl w:val="6A3A9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6BA2728C"/>
    <w:multiLevelType w:val="hybridMultilevel"/>
    <w:tmpl w:val="70F8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1"/>
  </w:num>
  <w:num w:numId="2">
    <w:abstractNumId w:val="12"/>
  </w:num>
  <w:num w:numId="3">
    <w:abstractNumId w:val="21"/>
  </w:num>
  <w:num w:numId="4">
    <w:abstractNumId w:val="6"/>
  </w:num>
  <w:num w:numId="5">
    <w:abstractNumId w:val="4"/>
  </w:num>
  <w:num w:numId="6">
    <w:abstractNumId w:val="18"/>
  </w:num>
  <w:num w:numId="7">
    <w:abstractNumId w:val="5"/>
  </w:num>
  <w:num w:numId="8">
    <w:abstractNumId w:val="3"/>
  </w:num>
  <w:num w:numId="9">
    <w:abstractNumId w:val="2"/>
  </w:num>
  <w:num w:numId="10">
    <w:abstractNumId w:val="7"/>
  </w:num>
  <w:num w:numId="11">
    <w:abstractNumId w:val="14"/>
  </w:num>
  <w:num w:numId="12">
    <w:abstractNumId w:val="20"/>
  </w:num>
  <w:num w:numId="13">
    <w:abstractNumId w:val="15"/>
  </w:num>
  <w:num w:numId="14">
    <w:abstractNumId w:val="9"/>
  </w:num>
  <w:num w:numId="15">
    <w:abstractNumId w:val="13"/>
  </w:num>
  <w:num w:numId="16">
    <w:abstractNumId w:val="17"/>
  </w:num>
  <w:num w:numId="17">
    <w:abstractNumId w:val="10"/>
  </w:num>
  <w:num w:numId="18">
    <w:abstractNumId w:val="19"/>
  </w:num>
  <w:num w:numId="19">
    <w:abstractNumId w:val="16"/>
  </w:num>
  <w:num w:numId="20">
    <w:abstractNumId w:val="0"/>
  </w:num>
  <w:num w:numId="21">
    <w:abstractNumId w:val="8"/>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SAuthor1stName" w:val="Carly"/>
    <w:docVar w:name="FSAuthorEmail" w:val="Carly.Schiff@fieldfisher.com"/>
    <w:docVar w:name="FSAuthorExt" w:val="+44 330 460 6596"/>
    <w:docVar w:name="FSAuthorFax" w:val="+44 207 488 0084"/>
    <w:docVar w:name="FSAuthorLogon" w:val="CS17"/>
    <w:docVar w:name="FSAuthorMobile" w:val="+44 7741729801"/>
    <w:docVar w:name="FSAuthorName" w:val="Carly Schiff"/>
    <w:docVar w:name="FSAuthorOffice" w:val="London"/>
    <w:docVar w:name="FSAuthorSurname" w:val="Schiff"/>
    <w:docVar w:name="FSAuthorTitle" w:val="Director"/>
    <w:docVar w:name="FSClientName" w:val="Non-Client"/>
    <w:docVar w:name="FSClientNumber" w:val="NON-CLIENT"/>
    <w:docVar w:name="FSDocNumber" w:val="99929857"/>
    <w:docVar w:name="FSDocVersion" w:val="1"/>
    <w:docVar w:name="FSMatterDesc" w:val="Commercial Litigation"/>
    <w:docVar w:name="FSMatterNumber" w:val="DML"/>
    <w:docVar w:name="FSTypist" w:val="CS17"/>
    <w:docVar w:name="FSTypistExt" w:val="+44 330 460 6596"/>
    <w:docVar w:name="FSTypistLogon" w:val="CS17"/>
    <w:docVar w:name="FSTypistName" w:val="Carly Schiff"/>
    <w:docVar w:name="zTimeOpened" w:val="03-Nov-2021 17:02:42"/>
  </w:docVars>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5D92"/>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12C"/>
    <w:rsid w:val="00115C85"/>
    <w:rsid w:val="00120353"/>
    <w:rsid w:val="0012303D"/>
    <w:rsid w:val="00123855"/>
    <w:rsid w:val="00124B70"/>
    <w:rsid w:val="00125A7C"/>
    <w:rsid w:val="001267C9"/>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557"/>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54F79"/>
    <w:rsid w:val="002638B0"/>
    <w:rsid w:val="002647B9"/>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44F"/>
    <w:rsid w:val="002C3547"/>
    <w:rsid w:val="002D0021"/>
    <w:rsid w:val="002D10A3"/>
    <w:rsid w:val="002D295D"/>
    <w:rsid w:val="002D3473"/>
    <w:rsid w:val="002D6F67"/>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0801"/>
    <w:rsid w:val="00341A65"/>
    <w:rsid w:val="00341AA6"/>
    <w:rsid w:val="00342E57"/>
    <w:rsid w:val="00355B57"/>
    <w:rsid w:val="00361A0A"/>
    <w:rsid w:val="00361DF9"/>
    <w:rsid w:val="0036565C"/>
    <w:rsid w:val="0036625E"/>
    <w:rsid w:val="00367162"/>
    <w:rsid w:val="00370606"/>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4F0B"/>
    <w:rsid w:val="004C5E4F"/>
    <w:rsid w:val="004C7030"/>
    <w:rsid w:val="004D1A5A"/>
    <w:rsid w:val="004D2FFF"/>
    <w:rsid w:val="004D3721"/>
    <w:rsid w:val="004D5264"/>
    <w:rsid w:val="004D64F9"/>
    <w:rsid w:val="004D687E"/>
    <w:rsid w:val="004E1FE0"/>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0E79"/>
    <w:rsid w:val="005716C3"/>
    <w:rsid w:val="00573594"/>
    <w:rsid w:val="00575B2D"/>
    <w:rsid w:val="005800D0"/>
    <w:rsid w:val="005833D0"/>
    <w:rsid w:val="005846F3"/>
    <w:rsid w:val="0058622F"/>
    <w:rsid w:val="005865D6"/>
    <w:rsid w:val="00590880"/>
    <w:rsid w:val="00590FE6"/>
    <w:rsid w:val="00591631"/>
    <w:rsid w:val="00591D73"/>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2A64"/>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419"/>
    <w:rsid w:val="00627CC9"/>
    <w:rsid w:val="00627E7B"/>
    <w:rsid w:val="00627F18"/>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855"/>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27BFA"/>
    <w:rsid w:val="007333CC"/>
    <w:rsid w:val="007335D8"/>
    <w:rsid w:val="0073399A"/>
    <w:rsid w:val="007369C7"/>
    <w:rsid w:val="00743531"/>
    <w:rsid w:val="007462D9"/>
    <w:rsid w:val="00751986"/>
    <w:rsid w:val="0075428A"/>
    <w:rsid w:val="007544E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426B"/>
    <w:rsid w:val="008571F6"/>
    <w:rsid w:val="00861E51"/>
    <w:rsid w:val="00863397"/>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A06"/>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33626"/>
    <w:rsid w:val="00942123"/>
    <w:rsid w:val="0094263A"/>
    <w:rsid w:val="00946EE0"/>
    <w:rsid w:val="0095029B"/>
    <w:rsid w:val="0095207B"/>
    <w:rsid w:val="009533CB"/>
    <w:rsid w:val="00953B5C"/>
    <w:rsid w:val="0095526F"/>
    <w:rsid w:val="00955CE0"/>
    <w:rsid w:val="009609CA"/>
    <w:rsid w:val="00962045"/>
    <w:rsid w:val="00966C5E"/>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A76C4"/>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9F4712"/>
    <w:rsid w:val="00A047EE"/>
    <w:rsid w:val="00A057CA"/>
    <w:rsid w:val="00A149B7"/>
    <w:rsid w:val="00A177BC"/>
    <w:rsid w:val="00A17930"/>
    <w:rsid w:val="00A2274A"/>
    <w:rsid w:val="00A235B7"/>
    <w:rsid w:val="00A249AC"/>
    <w:rsid w:val="00A27A7A"/>
    <w:rsid w:val="00A301D1"/>
    <w:rsid w:val="00A31881"/>
    <w:rsid w:val="00A407EF"/>
    <w:rsid w:val="00A411B7"/>
    <w:rsid w:val="00A44428"/>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2839"/>
    <w:rsid w:val="00AB5A37"/>
    <w:rsid w:val="00AB61D6"/>
    <w:rsid w:val="00AB685C"/>
    <w:rsid w:val="00AB6C2D"/>
    <w:rsid w:val="00AC08F7"/>
    <w:rsid w:val="00AC126D"/>
    <w:rsid w:val="00AC3839"/>
    <w:rsid w:val="00AC7082"/>
    <w:rsid w:val="00AD0662"/>
    <w:rsid w:val="00AD1B6B"/>
    <w:rsid w:val="00AD68FA"/>
    <w:rsid w:val="00AD74AD"/>
    <w:rsid w:val="00AE027F"/>
    <w:rsid w:val="00AF228E"/>
    <w:rsid w:val="00AF455B"/>
    <w:rsid w:val="00B0123F"/>
    <w:rsid w:val="00B01B2D"/>
    <w:rsid w:val="00B04004"/>
    <w:rsid w:val="00B146FF"/>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5A7"/>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964B0"/>
    <w:rsid w:val="00BA1648"/>
    <w:rsid w:val="00BA2637"/>
    <w:rsid w:val="00BA35FF"/>
    <w:rsid w:val="00BB09FD"/>
    <w:rsid w:val="00BB0F2B"/>
    <w:rsid w:val="00BB5A37"/>
    <w:rsid w:val="00BB6955"/>
    <w:rsid w:val="00BB6F7A"/>
    <w:rsid w:val="00BC48EB"/>
    <w:rsid w:val="00BC585F"/>
    <w:rsid w:val="00BC5D7D"/>
    <w:rsid w:val="00BD0299"/>
    <w:rsid w:val="00BD0F4A"/>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0757"/>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109B"/>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0368"/>
    <w:rsid w:val="00D4685B"/>
    <w:rsid w:val="00D57C59"/>
    <w:rsid w:val="00D60215"/>
    <w:rsid w:val="00D60874"/>
    <w:rsid w:val="00D63EFD"/>
    <w:rsid w:val="00D6588F"/>
    <w:rsid w:val="00D676F1"/>
    <w:rsid w:val="00D714E4"/>
    <w:rsid w:val="00D84752"/>
    <w:rsid w:val="00D85B6A"/>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665"/>
    <w:rsid w:val="00E84DA5"/>
    <w:rsid w:val="00E84DD5"/>
    <w:rsid w:val="00E86549"/>
    <w:rsid w:val="00E86D64"/>
    <w:rsid w:val="00E870B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DB1"/>
    <w:rsid w:val="00F13FB1"/>
    <w:rsid w:val="00F15181"/>
    <w:rsid w:val="00F1640B"/>
    <w:rsid w:val="00F2025D"/>
    <w:rsid w:val="00F27AB0"/>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4CA"/>
    <w:rsid w:val="00F738B0"/>
    <w:rsid w:val="00F83231"/>
    <w:rsid w:val="00F85A51"/>
    <w:rsid w:val="00F85DB2"/>
    <w:rsid w:val="00F915E0"/>
    <w:rsid w:val="00F91FA7"/>
    <w:rsid w:val="00F93D84"/>
    <w:rsid w:val="00F96AF1"/>
    <w:rsid w:val="00F97C5B"/>
    <w:rsid w:val="00FA29FD"/>
    <w:rsid w:val="00FA2A46"/>
    <w:rsid w:val="00FA3739"/>
    <w:rsid w:val="00FA3D50"/>
    <w:rsid w:val="00FA43E7"/>
    <w:rsid w:val="00FA6632"/>
    <w:rsid w:val="00FB6703"/>
    <w:rsid w:val="00FB7C8F"/>
    <w:rsid w:val="00FB7D52"/>
    <w:rsid w:val="00FC337F"/>
    <w:rsid w:val="00FC374A"/>
    <w:rsid w:val="00FC4F43"/>
    <w:rsid w:val="00FC5D26"/>
    <w:rsid w:val="00FC7B47"/>
    <w:rsid w:val="00FD0169"/>
    <w:rsid w:val="00FD035C"/>
    <w:rsid w:val="00FD1240"/>
    <w:rsid w:val="00FD1A35"/>
    <w:rsid w:val="00FD36C5"/>
    <w:rsid w:val="00FD48F1"/>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law.ox.ac.uk/business-law-blog/blog/2018/04/future-cross-border-insolvency-overcoming-biases-and-closing-gaps" TargetMode="External"/><Relationship Id="rId1" Type="http://schemas.openxmlformats.org/officeDocument/2006/relationships/hyperlink" Target="https://www.ecchr.eu/en/glossary/hard-law-sof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openxmlformats.org/package/2006/metadata/core-properties"/>
    <ds:schemaRef ds:uri="d0ad2d52-4869-465d-a93a-001fa21a593d"/>
    <ds:schemaRef ds:uri="a21de7b9-cad9-43f2-8459-9b1b4f9894e2"/>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2B16A-ECAB-404B-9483-8931F10C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4484</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Carly Schiff</cp:lastModifiedBy>
  <cp:revision>3</cp:revision>
  <cp:lastPrinted>2020-06-12T02:43:00Z</cp:lastPrinted>
  <dcterms:created xsi:type="dcterms:W3CDTF">2021-11-15T15:19:00Z</dcterms:created>
  <dcterms:modified xsi:type="dcterms:W3CDTF">2021-11-15T15:20:00Z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