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 xml:space="preserve">In order to pass this </w:t>
      </w:r>
      <w:proofErr w:type="gramStart"/>
      <w:r w:rsidR="00180AC4" w:rsidRPr="00852883">
        <w:rPr>
          <w:rFonts w:ascii="Arial" w:hAnsi="Arial" w:cs="Arial"/>
          <w:bCs/>
          <w:sz w:val="22"/>
          <w:szCs w:val="22"/>
          <w:lang w:val="en-GB"/>
        </w:rPr>
        <w:t>module</w:t>
      </w:r>
      <w:proofErr w:type="gramEnd"/>
      <w:r w:rsidR="00180AC4" w:rsidRPr="00852883">
        <w:rPr>
          <w:rFonts w:ascii="Arial" w:hAnsi="Arial" w:cs="Arial"/>
          <w:bCs/>
          <w:sz w:val="22"/>
          <w:szCs w:val="22"/>
          <w:lang w:val="en-GB"/>
        </w:rPr>
        <w:t xml:space="preserv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w:t>
      </w:r>
      <w:proofErr w:type="gramStart"/>
      <w:r w:rsidR="004534C2" w:rsidRPr="00205B31">
        <w:rPr>
          <w:rFonts w:ascii="Arial" w:hAnsi="Arial" w:cs="Arial"/>
          <w:sz w:val="22"/>
          <w:szCs w:val="22"/>
          <w:lang w:val="en-GB"/>
        </w:rPr>
        <w:t xml:space="preserve">More often </w:t>
      </w:r>
      <w:r w:rsidR="000851CC" w:rsidRPr="00205B31">
        <w:rPr>
          <w:rFonts w:ascii="Arial" w:hAnsi="Arial" w:cs="Arial"/>
          <w:sz w:val="22"/>
          <w:szCs w:val="22"/>
          <w:lang w:val="en-GB"/>
        </w:rPr>
        <w:t>than not</w:t>
      </w:r>
      <w:proofErr w:type="gramEnd"/>
      <w:r w:rsidR="000851CC" w:rsidRPr="00205B31">
        <w:rPr>
          <w:rFonts w:ascii="Arial" w:hAnsi="Arial" w:cs="Arial"/>
          <w:sz w:val="22"/>
          <w:szCs w:val="22"/>
          <w:lang w:val="en-GB"/>
        </w:rPr>
        <w: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w:t>
      </w:r>
      <w:proofErr w:type="spellStart"/>
      <w:r w:rsidR="004A57DD" w:rsidRPr="00205B31">
        <w:rPr>
          <w:rFonts w:ascii="Arial" w:hAnsi="Arial" w:cs="Arial"/>
          <w:bCs/>
          <w:sz w:val="22"/>
          <w:szCs w:val="22"/>
          <w:lang w:val="en-GB"/>
        </w:rPr>
        <w:t>student</w:t>
      </w:r>
      <w:r w:rsidR="003D6AC4" w:rsidRPr="00205B31">
        <w:rPr>
          <w:rFonts w:ascii="Arial" w:hAnsi="Arial" w:cs="Arial"/>
          <w:bCs/>
          <w:sz w:val="22"/>
          <w:szCs w:val="22"/>
          <w:lang w:val="en-GB"/>
        </w:rPr>
        <w:t>ID</w:t>
      </w:r>
      <w:proofErr w:type="spellEnd"/>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w:t>
      </w:r>
      <w:proofErr w:type="gramStart"/>
      <w:r w:rsidRPr="00205B31">
        <w:rPr>
          <w:rFonts w:ascii="Arial" w:hAnsi="Arial" w:cs="Arial"/>
          <w:sz w:val="22"/>
          <w:szCs w:val="22"/>
          <w:lang w:val="en-GB"/>
        </w:rPr>
        <w:t>answer</w:t>
      </w:r>
      <w:proofErr w:type="gramEnd"/>
      <w:r w:rsidRPr="00205B31">
        <w:rPr>
          <w:rFonts w:ascii="Arial" w:hAnsi="Arial" w:cs="Arial"/>
          <w:sz w:val="22"/>
          <w:szCs w:val="22"/>
          <w:lang w:val="en-GB"/>
        </w:rPr>
        <w:t xml:space="preserve">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E03D2B" w:rsidRDefault="00C60631" w:rsidP="009D510C">
      <w:pPr>
        <w:pStyle w:val="ListParagraph"/>
        <w:numPr>
          <w:ilvl w:val="0"/>
          <w:numId w:val="12"/>
        </w:numPr>
        <w:ind w:left="426"/>
        <w:jc w:val="both"/>
        <w:rPr>
          <w:rFonts w:ascii="Arial" w:hAnsi="Arial" w:cs="Arial"/>
          <w:sz w:val="22"/>
          <w:szCs w:val="22"/>
          <w:highlight w:val="yellow"/>
          <w:lang w:val="en-GB"/>
        </w:rPr>
      </w:pPr>
      <w:r w:rsidRPr="00E03D2B">
        <w:rPr>
          <w:rFonts w:ascii="Arial" w:hAnsi="Arial" w:cs="Arial"/>
          <w:sz w:val="22"/>
          <w:szCs w:val="22"/>
          <w:highlight w:val="yellow"/>
          <w:lang w:val="en-GB"/>
        </w:rPr>
        <w:t xml:space="preserve">This statement is incorrect since </w:t>
      </w:r>
      <w:r w:rsidR="00E7793C" w:rsidRPr="00E03D2B">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E03D2B" w:rsidRDefault="00AE027F" w:rsidP="009D510C">
      <w:pPr>
        <w:pStyle w:val="ListParagraph"/>
        <w:numPr>
          <w:ilvl w:val="0"/>
          <w:numId w:val="13"/>
        </w:numPr>
        <w:jc w:val="both"/>
        <w:rPr>
          <w:rFonts w:ascii="Arial" w:hAnsi="Arial" w:cs="Arial"/>
          <w:sz w:val="22"/>
          <w:szCs w:val="22"/>
          <w:highlight w:val="yellow"/>
          <w:lang w:val="en-GB"/>
        </w:rPr>
      </w:pPr>
      <w:r w:rsidRPr="00E03D2B">
        <w:rPr>
          <w:rFonts w:ascii="Arial" w:hAnsi="Arial" w:cs="Arial"/>
          <w:sz w:val="22"/>
          <w:szCs w:val="22"/>
          <w:highlight w:val="yellow"/>
          <w:lang w:val="en-GB"/>
        </w:rPr>
        <w:t>The statement i</w:t>
      </w:r>
      <w:r w:rsidR="006E77B0" w:rsidRPr="00E03D2B">
        <w:rPr>
          <w:rFonts w:ascii="Arial" w:hAnsi="Arial" w:cs="Arial"/>
          <w:sz w:val="22"/>
          <w:szCs w:val="22"/>
          <w:highlight w:val="yellow"/>
          <w:lang w:val="en-GB"/>
        </w:rPr>
        <w:t>s incorrect since the UK did re</w:t>
      </w:r>
      <w:r w:rsidRPr="00E03D2B">
        <w:rPr>
          <w:rFonts w:ascii="Arial" w:hAnsi="Arial" w:cs="Arial"/>
          <w:sz w:val="22"/>
          <w:szCs w:val="22"/>
          <w:highlight w:val="yellow"/>
          <w:lang w:val="en-GB"/>
        </w:rPr>
        <w:t>v</w:t>
      </w:r>
      <w:r w:rsidR="006E77B0" w:rsidRPr="00E03D2B">
        <w:rPr>
          <w:rFonts w:ascii="Arial" w:hAnsi="Arial" w:cs="Arial"/>
          <w:sz w:val="22"/>
          <w:szCs w:val="22"/>
          <w:highlight w:val="yellow"/>
          <w:lang w:val="en-GB"/>
        </w:rPr>
        <w:t>i</w:t>
      </w:r>
      <w:r w:rsidRPr="00E03D2B">
        <w:rPr>
          <w:rFonts w:ascii="Arial" w:hAnsi="Arial" w:cs="Arial"/>
          <w:sz w:val="22"/>
          <w:szCs w:val="22"/>
          <w:highlight w:val="yellow"/>
          <w:lang w:val="en-GB"/>
        </w:rPr>
        <w:t>ew parts of its insolvency rules and amended some, among</w:t>
      </w:r>
      <w:r w:rsidR="006E77B0" w:rsidRPr="00E03D2B">
        <w:rPr>
          <w:rFonts w:ascii="Arial" w:hAnsi="Arial" w:cs="Arial"/>
          <w:sz w:val="22"/>
          <w:szCs w:val="22"/>
          <w:highlight w:val="yellow"/>
          <w:lang w:val="en-GB"/>
        </w:rPr>
        <w:t>s</w:t>
      </w:r>
      <w:r w:rsidRPr="00E03D2B">
        <w:rPr>
          <w:rFonts w:ascii="Arial" w:hAnsi="Arial" w:cs="Arial"/>
          <w:sz w:val="22"/>
          <w:szCs w:val="22"/>
          <w:highlight w:val="yellow"/>
          <w:lang w:val="en-GB"/>
        </w:rPr>
        <w:t>t other</w:t>
      </w:r>
      <w:r w:rsidR="00F96AF1" w:rsidRPr="00E03D2B">
        <w:rPr>
          <w:rFonts w:ascii="Arial" w:hAnsi="Arial" w:cs="Arial"/>
          <w:sz w:val="22"/>
          <w:szCs w:val="22"/>
          <w:highlight w:val="yellow"/>
          <w:lang w:val="en-GB"/>
        </w:rPr>
        <w:t xml:space="preserve"> things</w:t>
      </w:r>
      <w:r w:rsidRPr="00E03D2B">
        <w:rPr>
          <w:rFonts w:ascii="Arial" w:hAnsi="Arial" w:cs="Arial"/>
          <w:sz w:val="22"/>
          <w:szCs w:val="22"/>
          <w:highlight w:val="yellow"/>
          <w:lang w:val="en-GB"/>
        </w:rPr>
        <w:t>, to deal with the negative economic fall out of the pandemic.</w:t>
      </w:r>
      <w:r w:rsidR="00100A77" w:rsidRPr="00E03D2B">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E03D2B" w:rsidRDefault="00B54F90" w:rsidP="009D510C">
      <w:pPr>
        <w:pStyle w:val="ListParagraph"/>
        <w:numPr>
          <w:ilvl w:val="0"/>
          <w:numId w:val="14"/>
        </w:numPr>
        <w:ind w:left="426"/>
        <w:jc w:val="both"/>
        <w:rPr>
          <w:rFonts w:ascii="Arial" w:hAnsi="Arial" w:cs="Arial"/>
          <w:sz w:val="22"/>
          <w:szCs w:val="22"/>
          <w:highlight w:val="yellow"/>
          <w:lang w:val="en-GB"/>
        </w:rPr>
      </w:pPr>
      <w:r w:rsidRPr="00E03D2B">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E03D2B">
        <w:rPr>
          <w:rFonts w:ascii="Arial" w:hAnsi="Arial" w:cs="Arial"/>
          <w:sz w:val="22"/>
          <w:szCs w:val="22"/>
          <w:highlight w:val="yellow"/>
          <w:lang w:val="en-GB"/>
        </w:rPr>
        <w:t xml:space="preserve">on </w:t>
      </w:r>
      <w:r w:rsidRPr="00E03D2B">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E03D2B"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E03D2B">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apart from the wide discretion that judges in general have, the UNCITRAL Model Law on Cross-Border Insolvency has been adopted by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4C2870" w:rsidRDefault="00926D10" w:rsidP="009D510C">
      <w:pPr>
        <w:pStyle w:val="ListParagraph"/>
        <w:numPr>
          <w:ilvl w:val="0"/>
          <w:numId w:val="5"/>
        </w:numPr>
        <w:ind w:left="426"/>
        <w:jc w:val="both"/>
        <w:rPr>
          <w:rFonts w:ascii="Arial" w:hAnsi="Arial" w:cs="Arial"/>
          <w:sz w:val="22"/>
          <w:szCs w:val="22"/>
          <w:highlight w:val="yellow"/>
          <w:lang w:val="en-GB"/>
        </w:rPr>
      </w:pPr>
      <w:r w:rsidRPr="004C2870">
        <w:rPr>
          <w:rFonts w:ascii="Arial" w:hAnsi="Arial" w:cs="Arial"/>
          <w:sz w:val="22"/>
          <w:szCs w:val="22"/>
          <w:highlight w:val="yellow"/>
          <w:lang w:val="en-GB"/>
        </w:rPr>
        <w:t xml:space="preserve">The statement is </w:t>
      </w:r>
      <w:r w:rsidR="006E1CB0" w:rsidRPr="004C2870">
        <w:rPr>
          <w:rFonts w:ascii="Arial" w:hAnsi="Arial" w:cs="Arial"/>
          <w:sz w:val="22"/>
          <w:szCs w:val="22"/>
          <w:highlight w:val="yellow"/>
          <w:lang w:val="en-GB"/>
        </w:rPr>
        <w:t xml:space="preserve">not </w:t>
      </w:r>
      <w:r w:rsidRPr="004C2870">
        <w:rPr>
          <w:rFonts w:ascii="Arial" w:hAnsi="Arial" w:cs="Arial"/>
          <w:sz w:val="22"/>
          <w:szCs w:val="22"/>
          <w:highlight w:val="yellow"/>
          <w:lang w:val="en-GB"/>
        </w:rPr>
        <w:t xml:space="preserve">correct </w:t>
      </w:r>
      <w:r w:rsidR="007958F0" w:rsidRPr="004C2870">
        <w:rPr>
          <w:rFonts w:ascii="Arial" w:hAnsi="Arial" w:cs="Arial"/>
          <w:sz w:val="22"/>
          <w:szCs w:val="22"/>
          <w:highlight w:val="yellow"/>
          <w:lang w:val="en-GB"/>
        </w:rPr>
        <w:t>because</w:t>
      </w:r>
      <w:r w:rsidRPr="004C2870">
        <w:rPr>
          <w:rFonts w:ascii="Arial" w:hAnsi="Arial" w:cs="Arial"/>
          <w:sz w:val="22"/>
          <w:szCs w:val="22"/>
          <w:highlight w:val="yellow"/>
          <w:lang w:val="en-GB"/>
        </w:rPr>
        <w:t xml:space="preserve"> very few </w:t>
      </w:r>
      <w:r w:rsidR="007958F0" w:rsidRPr="004C2870">
        <w:rPr>
          <w:rFonts w:ascii="Arial" w:hAnsi="Arial" w:cs="Arial"/>
          <w:sz w:val="22"/>
          <w:szCs w:val="22"/>
          <w:highlight w:val="yellow"/>
          <w:lang w:val="en-GB"/>
        </w:rPr>
        <w:t>States</w:t>
      </w:r>
      <w:r w:rsidRPr="004C2870">
        <w:rPr>
          <w:rFonts w:ascii="Arial" w:hAnsi="Arial" w:cs="Arial"/>
          <w:sz w:val="22"/>
          <w:szCs w:val="22"/>
          <w:highlight w:val="yellow"/>
          <w:lang w:val="en-GB"/>
        </w:rPr>
        <w:t xml:space="preserve"> allow insolvent estate representatives to deal with assets of a foreign debtor situated in </w:t>
      </w:r>
      <w:r w:rsidR="005936B3" w:rsidRPr="004C2870">
        <w:rPr>
          <w:rFonts w:ascii="Arial" w:hAnsi="Arial" w:cs="Arial"/>
          <w:sz w:val="22"/>
          <w:szCs w:val="22"/>
          <w:highlight w:val="yellow"/>
          <w:lang w:val="en-GB"/>
        </w:rPr>
        <w:t>their own</w:t>
      </w:r>
      <w:r w:rsidRPr="004C2870">
        <w:rPr>
          <w:rFonts w:ascii="Arial" w:hAnsi="Arial" w:cs="Arial"/>
          <w:sz w:val="22"/>
          <w:szCs w:val="22"/>
          <w:highlight w:val="yellow"/>
          <w:lang w:val="en-GB"/>
        </w:rPr>
        <w:t xml:space="preserve"> jurisdiction without </w:t>
      </w:r>
      <w:r w:rsidR="006E1CB0" w:rsidRPr="004C2870">
        <w:rPr>
          <w:rFonts w:ascii="Arial" w:hAnsi="Arial" w:cs="Arial"/>
          <w:sz w:val="22"/>
          <w:szCs w:val="22"/>
          <w:highlight w:val="yellow"/>
          <w:lang w:val="en-GB"/>
        </w:rPr>
        <w:t xml:space="preserve">some form of </w:t>
      </w:r>
      <w:r w:rsidR="0090037B" w:rsidRPr="004C2870">
        <w:rPr>
          <w:rFonts w:ascii="Arial" w:hAnsi="Arial" w:cs="Arial"/>
          <w:sz w:val="22"/>
          <w:szCs w:val="22"/>
          <w:highlight w:val="yellow"/>
          <w:lang w:val="en-GB"/>
        </w:rPr>
        <w:t xml:space="preserve">a </w:t>
      </w:r>
      <w:r w:rsidR="006E1CB0" w:rsidRPr="004C2870">
        <w:rPr>
          <w:rFonts w:ascii="Arial" w:hAnsi="Arial" w:cs="Arial"/>
          <w:sz w:val="22"/>
          <w:szCs w:val="22"/>
          <w:highlight w:val="yellow"/>
          <w:lang w:val="en-GB"/>
        </w:rPr>
        <w:t>(</w:t>
      </w:r>
      <w:r w:rsidR="0090037B" w:rsidRPr="004C2870">
        <w:rPr>
          <w:rFonts w:ascii="Arial" w:hAnsi="Arial" w:cs="Arial"/>
          <w:sz w:val="22"/>
          <w:szCs w:val="22"/>
          <w:highlight w:val="yellow"/>
          <w:lang w:val="en-GB"/>
        </w:rPr>
        <w:t>prior</w:t>
      </w:r>
      <w:r w:rsidR="006E1CB0" w:rsidRPr="004C2870">
        <w:rPr>
          <w:rFonts w:ascii="Arial" w:hAnsi="Arial" w:cs="Arial"/>
          <w:sz w:val="22"/>
          <w:szCs w:val="22"/>
          <w:highlight w:val="yellow"/>
          <w:lang w:val="en-GB"/>
        </w:rPr>
        <w:t>)</w:t>
      </w:r>
      <w:r w:rsidRPr="004C2870">
        <w:rPr>
          <w:rFonts w:ascii="Arial" w:hAnsi="Arial" w:cs="Arial"/>
          <w:sz w:val="22"/>
          <w:szCs w:val="22"/>
          <w:highlight w:val="yellow"/>
          <w:lang w:val="en-GB"/>
        </w:rPr>
        <w:t xml:space="preserve"> local procedure </w:t>
      </w:r>
      <w:r w:rsidR="005936B3" w:rsidRPr="004C2870">
        <w:rPr>
          <w:rFonts w:ascii="Arial" w:hAnsi="Arial" w:cs="Arial"/>
          <w:sz w:val="22"/>
          <w:szCs w:val="22"/>
          <w:highlight w:val="yellow"/>
          <w:lang w:val="en-GB"/>
        </w:rPr>
        <w:t xml:space="preserve">to </w:t>
      </w:r>
      <w:r w:rsidRPr="004C2870">
        <w:rPr>
          <w:rFonts w:ascii="Arial" w:hAnsi="Arial" w:cs="Arial"/>
          <w:sz w:val="22"/>
          <w:szCs w:val="22"/>
          <w:highlight w:val="yellow"/>
          <w:lang w:val="en-GB"/>
        </w:rPr>
        <w:t>recognise the foreign insolvency proceeding.</w:t>
      </w:r>
    </w:p>
    <w:p w14:paraId="2F21E5E8" w14:textId="6FA1397D" w:rsidR="00926D10" w:rsidRPr="004C2870" w:rsidRDefault="00926D10" w:rsidP="009D510C">
      <w:pPr>
        <w:pStyle w:val="ListParagraph"/>
        <w:numPr>
          <w:ilvl w:val="0"/>
          <w:numId w:val="5"/>
        </w:numPr>
        <w:ind w:left="426"/>
        <w:jc w:val="both"/>
        <w:rPr>
          <w:rFonts w:ascii="Arial" w:hAnsi="Arial" w:cs="Arial"/>
          <w:sz w:val="22"/>
          <w:szCs w:val="22"/>
          <w:lang w:val="en-GB"/>
        </w:rPr>
      </w:pPr>
      <w:r w:rsidRPr="004C2870">
        <w:rPr>
          <w:rFonts w:ascii="Arial" w:hAnsi="Arial" w:cs="Arial"/>
          <w:sz w:val="22"/>
          <w:szCs w:val="22"/>
          <w:lang w:val="en-GB"/>
        </w:rPr>
        <w:lastRenderedPageBreak/>
        <w:t xml:space="preserve">The statement is correct </w:t>
      </w:r>
      <w:r w:rsidR="0090037B" w:rsidRPr="004C2870">
        <w:rPr>
          <w:rFonts w:ascii="Arial" w:hAnsi="Arial" w:cs="Arial"/>
          <w:sz w:val="22"/>
          <w:szCs w:val="22"/>
          <w:lang w:val="en-GB"/>
        </w:rPr>
        <w:t>because</w:t>
      </w:r>
      <w:r w:rsidRPr="004C2870">
        <w:rPr>
          <w:rFonts w:ascii="Arial" w:hAnsi="Arial" w:cs="Arial"/>
          <w:sz w:val="22"/>
          <w:szCs w:val="22"/>
          <w:lang w:val="en-GB"/>
        </w:rPr>
        <w:t xml:space="preserve"> universality </w:t>
      </w:r>
      <w:r w:rsidR="00CB7283" w:rsidRPr="004C2870">
        <w:rPr>
          <w:rFonts w:ascii="Arial" w:hAnsi="Arial" w:cs="Arial"/>
          <w:sz w:val="22"/>
          <w:szCs w:val="22"/>
          <w:lang w:val="en-GB"/>
        </w:rPr>
        <w:t>has become</w:t>
      </w:r>
      <w:r w:rsidRPr="004C2870">
        <w:rPr>
          <w:rFonts w:ascii="Arial" w:hAnsi="Arial" w:cs="Arial"/>
          <w:sz w:val="22"/>
          <w:szCs w:val="22"/>
          <w:lang w:val="en-GB"/>
        </w:rPr>
        <w:t xml:space="preserve"> the norm in </w:t>
      </w:r>
      <w:proofErr w:type="gramStart"/>
      <w:r w:rsidRPr="004C2870">
        <w:rPr>
          <w:rFonts w:ascii="Arial" w:hAnsi="Arial" w:cs="Arial"/>
          <w:sz w:val="22"/>
          <w:szCs w:val="22"/>
          <w:lang w:val="en-GB"/>
        </w:rPr>
        <w:t>the majority of</w:t>
      </w:r>
      <w:proofErr w:type="gramEnd"/>
      <w:r w:rsidRPr="004C2870">
        <w:rPr>
          <w:rFonts w:ascii="Arial" w:hAnsi="Arial" w:cs="Arial"/>
          <w:sz w:val="22"/>
          <w:szCs w:val="22"/>
          <w:lang w:val="en-GB"/>
        </w:rPr>
        <w:t xml:space="preserve"> </w:t>
      </w:r>
      <w:r w:rsidR="00426B64" w:rsidRPr="004C2870">
        <w:rPr>
          <w:rFonts w:ascii="Arial" w:hAnsi="Arial" w:cs="Arial"/>
          <w:sz w:val="22"/>
          <w:szCs w:val="22"/>
          <w:lang w:val="en-GB"/>
        </w:rPr>
        <w:t>States</w:t>
      </w:r>
      <w:r w:rsidRPr="004C2870">
        <w:rPr>
          <w:rFonts w:ascii="Arial" w:hAnsi="Arial" w:cs="Arial"/>
          <w:sz w:val="22"/>
          <w:szCs w:val="22"/>
          <w:lang w:val="en-GB"/>
        </w:rPr>
        <w:t xml:space="preserve"> in cross-border insolvency matters</w:t>
      </w:r>
      <w:r w:rsidR="00CB7283" w:rsidRPr="004C2870">
        <w:rPr>
          <w:rFonts w:ascii="Arial" w:hAnsi="Arial" w:cs="Arial"/>
          <w:sz w:val="22"/>
          <w:szCs w:val="22"/>
          <w:lang w:val="en-GB"/>
        </w:rPr>
        <w:t xml:space="preserve"> since the introduction of the UNCITRAL Model Law on Cross-Border Insolvency in 1997</w:t>
      </w:r>
      <w:r w:rsidRPr="004C2870">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w:t>
      </w:r>
      <w:proofErr w:type="gramStart"/>
      <w:r w:rsidR="00CB7283" w:rsidRPr="00205B31">
        <w:rPr>
          <w:rFonts w:ascii="Arial" w:hAnsi="Arial" w:cs="Arial"/>
          <w:sz w:val="22"/>
          <w:szCs w:val="22"/>
          <w:lang w:val="en-GB"/>
        </w:rPr>
        <w:t>the majority of</w:t>
      </w:r>
      <w:proofErr w:type="gramEnd"/>
      <w:r w:rsidR="00CB7283" w:rsidRPr="00205B31">
        <w:rPr>
          <w:rFonts w:ascii="Arial" w:hAnsi="Arial" w:cs="Arial"/>
          <w:sz w:val="22"/>
          <w:szCs w:val="22"/>
          <w:lang w:val="en-GB"/>
        </w:rPr>
        <w:t xml:space="preserve">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4C2870" w:rsidRDefault="000329A6" w:rsidP="00C570AC">
      <w:pPr>
        <w:pStyle w:val="ListParagraph"/>
        <w:numPr>
          <w:ilvl w:val="0"/>
          <w:numId w:val="6"/>
        </w:numPr>
        <w:ind w:left="426"/>
        <w:jc w:val="both"/>
        <w:rPr>
          <w:rFonts w:ascii="Arial" w:hAnsi="Arial" w:cs="Arial"/>
          <w:sz w:val="22"/>
          <w:szCs w:val="22"/>
          <w:highlight w:val="yellow"/>
          <w:lang w:val="en-GB"/>
        </w:rPr>
      </w:pPr>
      <w:r w:rsidRPr="004C2870">
        <w:rPr>
          <w:rFonts w:ascii="Arial" w:eastAsiaTheme="minorHAnsi" w:hAnsi="Arial" w:cs="Arial"/>
          <w:sz w:val="22"/>
          <w:szCs w:val="22"/>
          <w:highlight w:val="yellow"/>
          <w:lang w:val="en-GB"/>
        </w:rPr>
        <w:t xml:space="preserve">They were recently revised in 2021 and, together with the </w:t>
      </w:r>
      <w:r w:rsidRPr="004C2870">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4C2870"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4C2870">
        <w:rPr>
          <w:rFonts w:ascii="Arial" w:eastAsiaTheme="minorHAnsi" w:hAnsi="Arial" w:cs="Arial"/>
          <w:sz w:val="22"/>
          <w:szCs w:val="22"/>
          <w:highlight w:val="yellow"/>
          <w:lang w:val="en-GB"/>
        </w:rPr>
        <w:t xml:space="preserve">The Nordic Convention </w:t>
      </w:r>
      <w:r w:rsidR="00076483" w:rsidRPr="004C2870">
        <w:rPr>
          <w:rFonts w:ascii="Arial" w:eastAsiaTheme="minorHAnsi" w:hAnsi="Arial" w:cs="Arial"/>
          <w:sz w:val="22"/>
          <w:szCs w:val="22"/>
          <w:highlight w:val="yellow"/>
          <w:lang w:val="en-GB"/>
        </w:rPr>
        <w:t>1933</w:t>
      </w:r>
      <w:r w:rsidR="00966E44" w:rsidRPr="004C2870">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4C2870" w:rsidRDefault="00124B70" w:rsidP="00275182">
      <w:pPr>
        <w:pStyle w:val="ListParagraph"/>
        <w:numPr>
          <w:ilvl w:val="0"/>
          <w:numId w:val="8"/>
        </w:numPr>
        <w:ind w:left="426"/>
        <w:jc w:val="both"/>
        <w:rPr>
          <w:rFonts w:ascii="Arial" w:hAnsi="Arial" w:cs="Arial"/>
          <w:sz w:val="22"/>
          <w:szCs w:val="22"/>
          <w:highlight w:val="yellow"/>
          <w:lang w:val="en-GB"/>
        </w:rPr>
      </w:pPr>
      <w:r w:rsidRPr="004C2870">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711E6C" w:rsidRDefault="00E86549" w:rsidP="00275182">
      <w:pPr>
        <w:pStyle w:val="ListParagraph"/>
        <w:numPr>
          <w:ilvl w:val="0"/>
          <w:numId w:val="9"/>
        </w:numPr>
        <w:ind w:left="426"/>
        <w:jc w:val="both"/>
        <w:rPr>
          <w:rFonts w:ascii="Arial" w:hAnsi="Arial" w:cs="Arial"/>
          <w:bCs/>
          <w:sz w:val="22"/>
          <w:szCs w:val="22"/>
          <w:highlight w:val="yellow"/>
          <w:lang w:val="en-GB"/>
        </w:rPr>
      </w:pPr>
      <w:r w:rsidRPr="00711E6C">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711E6C">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 xml:space="preserve">In urgent situations only, to interfere with the independent exercise of jurisdiction by the relevant States’ courts </w:t>
      </w:r>
      <w:proofErr w:type="gramStart"/>
      <w:r w:rsidRPr="00205B31">
        <w:rPr>
          <w:rFonts w:ascii="Arial" w:hAnsi="Arial" w:cs="Arial"/>
          <w:sz w:val="22"/>
          <w:szCs w:val="22"/>
          <w:lang w:val="en-GB"/>
        </w:rPr>
        <w:t>in order to</w:t>
      </w:r>
      <w:proofErr w:type="gramEnd"/>
      <w:r w:rsidRPr="00205B31">
        <w:rPr>
          <w:rFonts w:ascii="Arial" w:hAnsi="Arial" w:cs="Arial"/>
          <w:sz w:val="22"/>
          <w:szCs w:val="22"/>
          <w:lang w:val="en-GB"/>
        </w:rPr>
        <w:t xml:space="preserve">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711E6C" w:rsidRDefault="00911C23" w:rsidP="00275182">
      <w:pPr>
        <w:pStyle w:val="ListParagraph"/>
        <w:numPr>
          <w:ilvl w:val="0"/>
          <w:numId w:val="10"/>
        </w:numPr>
        <w:ind w:left="426"/>
        <w:jc w:val="both"/>
        <w:rPr>
          <w:rFonts w:ascii="Arial" w:hAnsi="Arial" w:cs="Arial"/>
          <w:sz w:val="22"/>
          <w:szCs w:val="22"/>
          <w:highlight w:val="yellow"/>
          <w:lang w:val="en-GB"/>
        </w:rPr>
      </w:pPr>
      <w:r w:rsidRPr="00711E6C">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6B474A53" w14:textId="477C57C8" w:rsidR="00352194" w:rsidRPr="00352194" w:rsidRDefault="00352194"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1542 English Bankruptcy Act – early bankruptcy legislation which had a focus more on fraudulence and dishonesty of debtors, and wherein debtors (“offenders”) were akin to criminals.  There was no statutory discharge as we are used to in today, although it did include the fundamental principle of </w:t>
      </w:r>
      <w:proofErr w:type="spellStart"/>
      <w:r>
        <w:rPr>
          <w:rFonts w:ascii="Arial" w:hAnsi="Arial" w:cs="Arial"/>
          <w:i/>
          <w:iCs/>
          <w:color w:val="7B7B7B" w:themeColor="accent3" w:themeShade="BF"/>
          <w:sz w:val="22"/>
          <w:szCs w:val="22"/>
          <w:lang w:val="en-GB"/>
        </w:rPr>
        <w:t>pari</w:t>
      </w:r>
      <w:proofErr w:type="spellEnd"/>
      <w:r>
        <w:rPr>
          <w:rFonts w:ascii="Arial" w:hAnsi="Arial" w:cs="Arial"/>
          <w:i/>
          <w:iCs/>
          <w:color w:val="7B7B7B" w:themeColor="accent3" w:themeShade="BF"/>
          <w:sz w:val="22"/>
          <w:szCs w:val="22"/>
          <w:lang w:val="en-GB"/>
        </w:rPr>
        <w:t>-passu</w:t>
      </w:r>
      <w:r>
        <w:rPr>
          <w:rFonts w:ascii="Arial" w:hAnsi="Arial" w:cs="Arial"/>
          <w:color w:val="7B7B7B" w:themeColor="accent3" w:themeShade="BF"/>
          <w:sz w:val="22"/>
          <w:szCs w:val="22"/>
          <w:lang w:val="en-GB"/>
        </w:rPr>
        <w:t xml:space="preserve"> ranking of creditors who would participate collectively in the </w:t>
      </w:r>
      <w:r w:rsidR="00965A36">
        <w:rPr>
          <w:rFonts w:ascii="Arial" w:hAnsi="Arial" w:cs="Arial"/>
          <w:color w:val="7B7B7B" w:themeColor="accent3" w:themeShade="BF"/>
          <w:sz w:val="22"/>
          <w:szCs w:val="22"/>
          <w:lang w:val="en-GB"/>
        </w:rPr>
        <w:t>debtors’</w:t>
      </w:r>
      <w:r>
        <w:rPr>
          <w:rFonts w:ascii="Arial" w:hAnsi="Arial" w:cs="Arial"/>
          <w:color w:val="7B7B7B" w:themeColor="accent3" w:themeShade="BF"/>
          <w:sz w:val="22"/>
          <w:szCs w:val="22"/>
          <w:lang w:val="en-GB"/>
        </w:rPr>
        <w:t xml:space="preserve"> bankruptcy.</w:t>
      </w:r>
    </w:p>
    <w:p w14:paraId="45DB8B41" w14:textId="39D93D30" w:rsidR="008F466F" w:rsidRPr="00205B31" w:rsidRDefault="00965A36" w:rsidP="00B7193E">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2</w:t>
      </w:r>
      <w:r w:rsidR="008F466F">
        <w:rPr>
          <w:rFonts w:ascii="Arial" w:hAnsi="Arial" w:cs="Arial"/>
          <w:color w:val="7B7B7B" w:themeColor="accent3" w:themeShade="BF"/>
          <w:sz w:val="22"/>
          <w:szCs w:val="22"/>
          <w:lang w:val="en-GB"/>
        </w:rPr>
        <w:t xml:space="preserve">. 1570 act of Elizabeth – </w:t>
      </w:r>
      <w:r>
        <w:rPr>
          <w:rFonts w:ascii="Arial" w:hAnsi="Arial" w:cs="Arial"/>
          <w:color w:val="7B7B7B" w:themeColor="accent3" w:themeShade="BF"/>
          <w:sz w:val="22"/>
          <w:szCs w:val="22"/>
          <w:lang w:val="en-GB"/>
        </w:rPr>
        <w:t>introduced two important notions which remain in place today –</w:t>
      </w:r>
      <w:r w:rsidR="008F466F">
        <w:rPr>
          <w:rFonts w:ascii="Arial" w:hAnsi="Arial" w:cs="Arial"/>
          <w:color w:val="7B7B7B" w:themeColor="accent3" w:themeShade="BF"/>
          <w:sz w:val="22"/>
          <w:szCs w:val="22"/>
          <w:lang w:val="en-GB"/>
        </w:rPr>
        <w:t>fraudulent conveyance</w:t>
      </w:r>
      <w:r>
        <w:rPr>
          <w:rFonts w:ascii="Arial" w:hAnsi="Arial" w:cs="Arial"/>
          <w:color w:val="7B7B7B" w:themeColor="accent3" w:themeShade="BF"/>
          <w:sz w:val="22"/>
          <w:szCs w:val="22"/>
          <w:lang w:val="en-GB"/>
        </w:rPr>
        <w:t xml:space="preserve"> and the ability of creditors, via an appointed commissioner, to recover fraudulently transferred property; and the commencement of bankruptcy when a debtor commits an “</w:t>
      </w:r>
      <w:r w:rsidR="008F466F">
        <w:rPr>
          <w:rFonts w:ascii="Arial" w:hAnsi="Arial" w:cs="Arial"/>
          <w:color w:val="7B7B7B" w:themeColor="accent3" w:themeShade="BF"/>
          <w:sz w:val="22"/>
          <w:szCs w:val="22"/>
          <w:lang w:val="en-GB"/>
        </w:rPr>
        <w:t>act of bankruptcy</w:t>
      </w:r>
      <w:r>
        <w:rPr>
          <w:rFonts w:ascii="Arial" w:hAnsi="Arial" w:cs="Arial"/>
          <w:color w:val="7B7B7B" w:themeColor="accent3" w:themeShade="BF"/>
          <w:sz w:val="22"/>
          <w:szCs w:val="22"/>
          <w:lang w:val="en-GB"/>
        </w:rPr>
        <w:t>”.</w:t>
      </w:r>
    </w:p>
    <w:p w14:paraId="09C1A5C1" w14:textId="6407E7E2" w:rsidR="00965A36" w:rsidRDefault="00965A36" w:rsidP="00965A36">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3. Statute of Ann 1705 – introduce the notion of statutory discharge – </w:t>
      </w:r>
      <w:proofErr w:type="gramStart"/>
      <w:r>
        <w:rPr>
          <w:rFonts w:ascii="Arial" w:hAnsi="Arial" w:cs="Arial"/>
          <w:color w:val="7B7B7B" w:themeColor="accent3" w:themeShade="BF"/>
          <w:sz w:val="22"/>
          <w:szCs w:val="22"/>
          <w:lang w:val="en-GB"/>
        </w:rPr>
        <w:t>i.e.</w:t>
      </w:r>
      <w:proofErr w:type="gramEnd"/>
      <w:r>
        <w:rPr>
          <w:rFonts w:ascii="Arial" w:hAnsi="Arial" w:cs="Arial"/>
          <w:color w:val="7B7B7B" w:themeColor="accent3" w:themeShade="BF"/>
          <w:sz w:val="22"/>
          <w:szCs w:val="22"/>
          <w:lang w:val="en-GB"/>
        </w:rPr>
        <w:t xml:space="preserve"> that a debtor can be ‘released’ from bankruptcy and be free from their creditors afterwards – which was not present in earlier English Law and which remains fundamental to personal insolvency (in jurisdictions based on English Law) today</w:t>
      </w:r>
    </w:p>
    <w:p w14:paraId="22C610C9" w14:textId="16EF6256" w:rsidR="00DE03AF" w:rsidRPr="00205B31" w:rsidRDefault="00DE03AF" w:rsidP="00B7193E">
      <w:pPr>
        <w:jc w:val="both"/>
        <w:rPr>
          <w:rFonts w:ascii="Arial" w:hAnsi="Arial" w:cs="Arial"/>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2F57801B" w14:textId="06230787" w:rsidR="009B07AD" w:rsidRDefault="00A73EC3"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 Limit</w:t>
      </w:r>
      <w:r w:rsidR="00340892">
        <w:rPr>
          <w:rFonts w:ascii="Arial" w:hAnsi="Arial" w:cs="Arial"/>
          <w:color w:val="7B7B7B" w:themeColor="accent3" w:themeShade="BF"/>
          <w:sz w:val="22"/>
          <w:szCs w:val="22"/>
          <w:lang w:val="en-GB"/>
        </w:rPr>
        <w:t xml:space="preserve">s on </w:t>
      </w:r>
      <w:r>
        <w:rPr>
          <w:rFonts w:ascii="Arial" w:hAnsi="Arial" w:cs="Arial"/>
          <w:color w:val="7B7B7B" w:themeColor="accent3" w:themeShade="BF"/>
          <w:sz w:val="22"/>
          <w:szCs w:val="22"/>
          <w:lang w:val="en-GB"/>
        </w:rPr>
        <w:t xml:space="preserve">enforcement, </w:t>
      </w:r>
      <w:proofErr w:type="gramStart"/>
      <w:r>
        <w:rPr>
          <w:rFonts w:ascii="Arial" w:hAnsi="Arial" w:cs="Arial"/>
          <w:color w:val="7B7B7B" w:themeColor="accent3" w:themeShade="BF"/>
          <w:sz w:val="22"/>
          <w:szCs w:val="22"/>
          <w:lang w:val="en-GB"/>
        </w:rPr>
        <w:t>i.e.</w:t>
      </w:r>
      <w:proofErr w:type="gramEnd"/>
      <w:r>
        <w:rPr>
          <w:rFonts w:ascii="Arial" w:hAnsi="Arial" w:cs="Arial"/>
          <w:color w:val="7B7B7B" w:themeColor="accent3" w:themeShade="BF"/>
          <w:sz w:val="22"/>
          <w:szCs w:val="22"/>
          <w:lang w:val="en-GB"/>
        </w:rPr>
        <w:t xml:space="preserve"> increase in </w:t>
      </w:r>
      <w:r w:rsidR="00965A36">
        <w:rPr>
          <w:rFonts w:ascii="Arial" w:hAnsi="Arial" w:cs="Arial"/>
          <w:color w:val="7B7B7B" w:themeColor="accent3" w:themeShade="BF"/>
          <w:sz w:val="22"/>
          <w:szCs w:val="22"/>
          <w:lang w:val="en-GB"/>
        </w:rPr>
        <w:t>threshold debt to wind up a company</w:t>
      </w:r>
      <w:r>
        <w:rPr>
          <w:rFonts w:ascii="Arial" w:hAnsi="Arial" w:cs="Arial"/>
          <w:color w:val="7B7B7B" w:themeColor="accent3" w:themeShade="BF"/>
          <w:sz w:val="22"/>
          <w:szCs w:val="22"/>
          <w:lang w:val="en-GB"/>
        </w:rPr>
        <w:t>, increase in stat demand time</w:t>
      </w:r>
    </w:p>
    <w:p w14:paraId="29B1EB26" w14:textId="0737470A" w:rsidR="00A73EC3" w:rsidRDefault="00A73EC3"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2. </w:t>
      </w:r>
      <w:r w:rsidR="00340892">
        <w:rPr>
          <w:rFonts w:ascii="Arial" w:hAnsi="Arial" w:cs="Arial"/>
          <w:color w:val="7B7B7B" w:themeColor="accent3" w:themeShade="BF"/>
          <w:sz w:val="22"/>
          <w:szCs w:val="22"/>
          <w:lang w:val="en-GB"/>
        </w:rPr>
        <w:t>Suspension of provision relating to wrongful trading</w:t>
      </w:r>
      <w:r w:rsidR="00965A36">
        <w:rPr>
          <w:rFonts w:ascii="Arial" w:hAnsi="Arial" w:cs="Arial"/>
          <w:color w:val="7B7B7B" w:themeColor="accent3" w:themeShade="BF"/>
          <w:sz w:val="22"/>
          <w:szCs w:val="22"/>
          <w:lang w:val="en-GB"/>
        </w:rPr>
        <w:t>, which was intended to prevent a mass influx of insolvency appointments by directors seeking to avoid wrongful trading liability.</w:t>
      </w:r>
    </w:p>
    <w:p w14:paraId="04C162E2" w14:textId="3133E656" w:rsidR="00340892" w:rsidRPr="00205B31" w:rsidRDefault="00340892" w:rsidP="00B7193E">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3. Prohibition (except small companies) on </w:t>
      </w:r>
      <w:r w:rsidR="00965A36">
        <w:rPr>
          <w:rFonts w:ascii="Arial" w:hAnsi="Arial" w:cs="Arial"/>
          <w:color w:val="7B7B7B" w:themeColor="accent3" w:themeShade="BF"/>
          <w:sz w:val="22"/>
          <w:szCs w:val="22"/>
          <w:lang w:val="en-GB"/>
        </w:rPr>
        <w:t xml:space="preserve">enforcement of </w:t>
      </w:r>
      <w:r>
        <w:rPr>
          <w:rFonts w:ascii="Arial" w:hAnsi="Arial" w:cs="Arial"/>
          <w:color w:val="7B7B7B" w:themeColor="accent3" w:themeShade="BF"/>
          <w:sz w:val="22"/>
          <w:szCs w:val="22"/>
          <w:lang w:val="en-GB"/>
        </w:rPr>
        <w:t>termination clause</w:t>
      </w:r>
      <w:r w:rsidR="00965A36">
        <w:rPr>
          <w:rFonts w:ascii="Arial" w:hAnsi="Arial" w:cs="Arial"/>
          <w:color w:val="7B7B7B" w:themeColor="accent3" w:themeShade="BF"/>
          <w:sz w:val="22"/>
          <w:szCs w:val="22"/>
          <w:lang w:val="en-GB"/>
        </w:rPr>
        <w:t xml:space="preserve"> (</w:t>
      </w:r>
      <w:proofErr w:type="gramStart"/>
      <w:r w:rsidR="00965A36">
        <w:rPr>
          <w:rFonts w:ascii="Arial" w:hAnsi="Arial" w:cs="Arial"/>
          <w:color w:val="7B7B7B" w:themeColor="accent3" w:themeShade="BF"/>
          <w:sz w:val="22"/>
          <w:szCs w:val="22"/>
          <w:lang w:val="en-GB"/>
        </w:rPr>
        <w:t>e.g.</w:t>
      </w:r>
      <w:proofErr w:type="gramEnd"/>
      <w:r w:rsidR="00965A36">
        <w:rPr>
          <w:rFonts w:ascii="Arial" w:hAnsi="Arial" w:cs="Arial"/>
          <w:color w:val="7B7B7B" w:themeColor="accent3" w:themeShade="BF"/>
          <w:sz w:val="22"/>
          <w:szCs w:val="22"/>
          <w:lang w:val="en-GB"/>
        </w:rPr>
        <w:t xml:space="preserve"> </w:t>
      </w:r>
      <w:r w:rsidR="00965A36">
        <w:rPr>
          <w:rFonts w:ascii="Arial" w:hAnsi="Arial" w:cs="Arial"/>
          <w:i/>
          <w:iCs/>
          <w:color w:val="7B7B7B" w:themeColor="accent3" w:themeShade="BF"/>
          <w:sz w:val="22"/>
          <w:szCs w:val="22"/>
          <w:lang w:val="en-GB"/>
        </w:rPr>
        <w:t>ipso-facto clauses</w:t>
      </w:r>
      <w:r w:rsidR="00965A36" w:rsidRPr="00965A36">
        <w:rPr>
          <w:rFonts w:ascii="Arial" w:hAnsi="Arial" w:cs="Arial"/>
          <w:color w:val="7B7B7B" w:themeColor="accent3" w:themeShade="BF"/>
          <w:sz w:val="22"/>
          <w:szCs w:val="22"/>
          <w:lang w:val="en-GB"/>
        </w:rPr>
        <w:t>)</w:t>
      </w:r>
      <w:r w:rsidR="00965A36">
        <w:rPr>
          <w:rFonts w:ascii="Arial" w:hAnsi="Arial" w:cs="Arial"/>
          <w:color w:val="7B7B7B" w:themeColor="accent3" w:themeShade="BF"/>
          <w:sz w:val="22"/>
          <w:szCs w:val="22"/>
          <w:lang w:val="en-GB"/>
        </w:rPr>
        <w:t>, such that suppliers could not suddenly terminate contracts to avoid credit risk (i.e. with the overarching intention that the credit risk would be shared through the economy)</w:t>
      </w:r>
    </w:p>
    <w:p w14:paraId="039E27B5" w14:textId="43F06D19" w:rsidR="00C82D87" w:rsidRPr="00205B31" w:rsidRDefault="00C82D87" w:rsidP="00B7193E">
      <w:pPr>
        <w:ind w:left="720" w:hanging="720"/>
        <w:jc w:val="both"/>
        <w:rPr>
          <w:rFonts w:ascii="Arial" w:hAnsi="Arial" w:cs="Arial"/>
          <w:sz w:val="22"/>
          <w:szCs w:val="22"/>
          <w:lang w:val="en-GB"/>
        </w:rPr>
      </w:pP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6EBAEC6E" w14:textId="0CEE5587" w:rsidR="00965A36" w:rsidRDefault="00965A36"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Treaties are</w:t>
      </w:r>
      <w:r w:rsidR="00291379">
        <w:rPr>
          <w:rFonts w:ascii="Arial" w:hAnsi="Arial" w:cs="Arial"/>
          <w:color w:val="7B7B7B" w:themeColor="accent3" w:themeShade="BF"/>
          <w:sz w:val="22"/>
          <w:szCs w:val="22"/>
          <w:lang w:val="en-GB"/>
        </w:rPr>
        <w:t>, generally,</w:t>
      </w:r>
      <w:r>
        <w:rPr>
          <w:rFonts w:ascii="Arial" w:hAnsi="Arial" w:cs="Arial"/>
          <w:color w:val="7B7B7B" w:themeColor="accent3" w:themeShade="BF"/>
          <w:sz w:val="22"/>
          <w:szCs w:val="22"/>
          <w:lang w:val="en-GB"/>
        </w:rPr>
        <w:t xml:space="preserve"> </w:t>
      </w:r>
      <w:r w:rsidR="00291379">
        <w:rPr>
          <w:rFonts w:ascii="Arial" w:hAnsi="Arial" w:cs="Arial"/>
          <w:color w:val="7B7B7B" w:themeColor="accent3" w:themeShade="BF"/>
          <w:sz w:val="22"/>
          <w:szCs w:val="22"/>
          <w:lang w:val="en-GB"/>
        </w:rPr>
        <w:t xml:space="preserve">domestically </w:t>
      </w:r>
      <w:r>
        <w:rPr>
          <w:rFonts w:ascii="Arial" w:hAnsi="Arial" w:cs="Arial"/>
          <w:color w:val="7B7B7B" w:themeColor="accent3" w:themeShade="BF"/>
          <w:sz w:val="22"/>
          <w:szCs w:val="22"/>
          <w:lang w:val="en-GB"/>
        </w:rPr>
        <w:t xml:space="preserve">legally binding agreements between nations which are intended to bring some form of uniformity between the agreeing nations in respect of the </w:t>
      </w:r>
      <w:proofErr w:type="gramStart"/>
      <w:r>
        <w:rPr>
          <w:rFonts w:ascii="Arial" w:hAnsi="Arial" w:cs="Arial"/>
          <w:color w:val="7B7B7B" w:themeColor="accent3" w:themeShade="BF"/>
          <w:sz w:val="22"/>
          <w:szCs w:val="22"/>
          <w:lang w:val="en-GB"/>
        </w:rPr>
        <w:t>particular legal</w:t>
      </w:r>
      <w:proofErr w:type="gramEnd"/>
      <w:r>
        <w:rPr>
          <w:rFonts w:ascii="Arial" w:hAnsi="Arial" w:cs="Arial"/>
          <w:color w:val="7B7B7B" w:themeColor="accent3" w:themeShade="BF"/>
          <w:sz w:val="22"/>
          <w:szCs w:val="22"/>
          <w:lang w:val="en-GB"/>
        </w:rPr>
        <w:t xml:space="preserve"> matter. IN the case of insolvency law, treaties are used to ensure that the different domestic laws of the interacting nations will </w:t>
      </w:r>
      <w:r w:rsidR="00291379">
        <w:rPr>
          <w:rFonts w:ascii="Arial" w:hAnsi="Arial" w:cs="Arial"/>
          <w:color w:val="7B7B7B" w:themeColor="accent3" w:themeShade="BF"/>
          <w:sz w:val="22"/>
          <w:szCs w:val="22"/>
          <w:lang w:val="en-GB"/>
        </w:rPr>
        <w:t xml:space="preserve">be congruent with each other (or not </w:t>
      </w:r>
      <w:proofErr w:type="gramStart"/>
      <w:r w:rsidR="00291379">
        <w:rPr>
          <w:rFonts w:ascii="Arial" w:hAnsi="Arial" w:cs="Arial"/>
          <w:color w:val="7B7B7B" w:themeColor="accent3" w:themeShade="BF"/>
          <w:sz w:val="22"/>
          <w:szCs w:val="22"/>
          <w:lang w:val="en-GB"/>
        </w:rPr>
        <w:t>partially not</w:t>
      </w:r>
      <w:proofErr w:type="gramEnd"/>
      <w:r w:rsidR="00291379">
        <w:rPr>
          <w:rFonts w:ascii="Arial" w:hAnsi="Arial" w:cs="Arial"/>
          <w:color w:val="7B7B7B" w:themeColor="accent3" w:themeShade="BF"/>
          <w:sz w:val="22"/>
          <w:szCs w:val="22"/>
          <w:lang w:val="en-GB"/>
        </w:rPr>
        <w:t xml:space="preserve"> apply to the particular matter, as the case may be) in an insolvency matter involving those particular countries.  Treaties can be difficult to agree, given they’re legally binding and inevitably states will need to make </w:t>
      </w:r>
      <w:proofErr w:type="gramStart"/>
      <w:r w:rsidR="00291379">
        <w:rPr>
          <w:rFonts w:ascii="Arial" w:hAnsi="Arial" w:cs="Arial"/>
          <w:color w:val="7B7B7B" w:themeColor="accent3" w:themeShade="BF"/>
          <w:sz w:val="22"/>
          <w:szCs w:val="22"/>
          <w:lang w:val="en-GB"/>
        </w:rPr>
        <w:t>significant  concessions</w:t>
      </w:r>
      <w:proofErr w:type="gramEnd"/>
      <w:r w:rsidR="00291379">
        <w:rPr>
          <w:rFonts w:ascii="Arial" w:hAnsi="Arial" w:cs="Arial"/>
          <w:color w:val="7B7B7B" w:themeColor="accent3" w:themeShade="BF"/>
          <w:sz w:val="22"/>
          <w:szCs w:val="22"/>
          <w:lang w:val="en-GB"/>
        </w:rPr>
        <w:t xml:space="preserve"> about particular matters in their respective interests.  A (relatively early) successful European treaty was the Nordic Convention in 1933, between </w:t>
      </w:r>
      <w:proofErr w:type="gramStart"/>
      <w:r w:rsidR="00291379">
        <w:rPr>
          <w:rFonts w:ascii="Arial" w:hAnsi="Arial" w:cs="Arial"/>
          <w:color w:val="7B7B7B" w:themeColor="accent3" w:themeShade="BF"/>
          <w:sz w:val="22"/>
          <w:szCs w:val="22"/>
          <w:lang w:val="en-GB"/>
        </w:rPr>
        <w:t>a number of</w:t>
      </w:r>
      <w:proofErr w:type="gramEnd"/>
      <w:r w:rsidR="00291379">
        <w:rPr>
          <w:rFonts w:ascii="Arial" w:hAnsi="Arial" w:cs="Arial"/>
          <w:color w:val="7B7B7B" w:themeColor="accent3" w:themeShade="BF"/>
          <w:sz w:val="22"/>
          <w:szCs w:val="22"/>
          <w:lang w:val="en-GB"/>
        </w:rPr>
        <w:t xml:space="preserve"> Scandinavian nations, in which the insolvency law of an insolvent entities “home </w:t>
      </w:r>
      <w:r w:rsidR="00291379">
        <w:rPr>
          <w:rFonts w:ascii="Arial" w:hAnsi="Arial" w:cs="Arial"/>
          <w:color w:val="7B7B7B" w:themeColor="accent3" w:themeShade="BF"/>
          <w:sz w:val="22"/>
          <w:szCs w:val="22"/>
          <w:lang w:val="en-GB"/>
        </w:rPr>
        <w:lastRenderedPageBreak/>
        <w:t>country” would apply in the insolvent estate’s dealings in any of the participating countries.</w:t>
      </w:r>
    </w:p>
    <w:p w14:paraId="581F8CCD" w14:textId="77777777" w:rsidR="00965A36" w:rsidRDefault="00965A36" w:rsidP="00B7193E">
      <w:pPr>
        <w:ind w:left="720" w:hanging="720"/>
        <w:jc w:val="both"/>
        <w:rPr>
          <w:rFonts w:ascii="Arial" w:hAnsi="Arial" w:cs="Arial"/>
          <w:color w:val="7B7B7B" w:themeColor="accent3" w:themeShade="BF"/>
          <w:sz w:val="22"/>
          <w:szCs w:val="22"/>
          <w:lang w:val="en-GB"/>
        </w:rPr>
      </w:pPr>
    </w:p>
    <w:p w14:paraId="78DB9FD8" w14:textId="750F2189" w:rsidR="00C72848" w:rsidRPr="00205B31" w:rsidRDefault="00291379" w:rsidP="00B7193E">
      <w:pPr>
        <w:ind w:left="720" w:hanging="720"/>
        <w:jc w:val="both"/>
        <w:rPr>
          <w:rFonts w:ascii="Arial" w:hAnsi="Arial" w:cs="Arial"/>
          <w:sz w:val="22"/>
          <w:szCs w:val="22"/>
          <w:lang w:val="en-GB"/>
        </w:rPr>
      </w:pPr>
      <w:proofErr w:type="gramStart"/>
      <w:r>
        <w:rPr>
          <w:rFonts w:ascii="Arial" w:hAnsi="Arial" w:cs="Arial"/>
          <w:color w:val="7B7B7B" w:themeColor="accent3" w:themeShade="BF"/>
          <w:sz w:val="22"/>
          <w:szCs w:val="22"/>
          <w:lang w:val="en-GB"/>
        </w:rPr>
        <w:t>Soft-law</w:t>
      </w:r>
      <w:proofErr w:type="gramEnd"/>
      <w:r>
        <w:rPr>
          <w:rFonts w:ascii="Arial" w:hAnsi="Arial" w:cs="Arial"/>
          <w:color w:val="7B7B7B" w:themeColor="accent3" w:themeShade="BF"/>
          <w:sz w:val="22"/>
          <w:szCs w:val="22"/>
          <w:lang w:val="en-GB"/>
        </w:rPr>
        <w:t xml:space="preserve"> </w:t>
      </w:r>
      <w:r w:rsidR="00965A36">
        <w:rPr>
          <w:rFonts w:ascii="Arial" w:hAnsi="Arial" w:cs="Arial"/>
          <w:color w:val="7B7B7B" w:themeColor="accent3" w:themeShade="BF"/>
          <w:sz w:val="22"/>
          <w:szCs w:val="22"/>
          <w:lang w:val="en-GB"/>
        </w:rPr>
        <w:t>(e.g. codes of conduct</w:t>
      </w:r>
      <w:r>
        <w:rPr>
          <w:rFonts w:ascii="Arial" w:hAnsi="Arial" w:cs="Arial"/>
          <w:color w:val="7B7B7B" w:themeColor="accent3" w:themeShade="BF"/>
          <w:sz w:val="22"/>
          <w:szCs w:val="22"/>
          <w:lang w:val="en-GB"/>
        </w:rPr>
        <w:t>, model laws</w:t>
      </w:r>
      <w:r w:rsidR="00965A36">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are often formed by inter-governmental bodies (e.g. the UN, through UNCITRAL), but can also be formed directly between nations, and can take the form of either non-binding agreements </w:t>
      </w:r>
      <w:r w:rsidR="00340892">
        <w:rPr>
          <w:rFonts w:ascii="Arial" w:hAnsi="Arial" w:cs="Arial"/>
          <w:color w:val="7B7B7B" w:themeColor="accent3" w:themeShade="BF"/>
          <w:sz w:val="22"/>
          <w:szCs w:val="22"/>
          <w:lang w:val="en-GB"/>
        </w:rPr>
        <w:t>between nations</w:t>
      </w:r>
      <w:r w:rsidR="00965A36">
        <w:rPr>
          <w:rFonts w:ascii="Arial" w:hAnsi="Arial" w:cs="Arial"/>
          <w:color w:val="7B7B7B" w:themeColor="accent3" w:themeShade="BF"/>
          <w:sz w:val="22"/>
          <w:szCs w:val="22"/>
          <w:lang w:val="en-GB"/>
        </w:rPr>
        <w:t xml:space="preserve"> </w:t>
      </w:r>
      <w:r w:rsidR="00340892">
        <w:rPr>
          <w:rFonts w:ascii="Arial" w:hAnsi="Arial" w:cs="Arial"/>
          <w:color w:val="7B7B7B" w:themeColor="accent3" w:themeShade="BF"/>
          <w:sz w:val="22"/>
          <w:szCs w:val="22"/>
          <w:lang w:val="en-GB"/>
        </w:rPr>
        <w:t>as part</w:t>
      </w:r>
      <w:r w:rsidR="00965A36">
        <w:rPr>
          <w:rFonts w:ascii="Arial" w:hAnsi="Arial" w:cs="Arial"/>
          <w:color w:val="7B7B7B" w:themeColor="accent3" w:themeShade="BF"/>
          <w:sz w:val="22"/>
          <w:szCs w:val="22"/>
          <w:lang w:val="en-GB"/>
        </w:rPr>
        <w:t xml:space="preserve"> (or </w:t>
      </w:r>
      <w:r w:rsidR="00340892">
        <w:rPr>
          <w:rFonts w:ascii="Arial" w:hAnsi="Arial" w:cs="Arial"/>
          <w:color w:val="7B7B7B" w:themeColor="accent3" w:themeShade="BF"/>
          <w:sz w:val="22"/>
          <w:szCs w:val="22"/>
          <w:lang w:val="en-GB"/>
        </w:rPr>
        <w:t>in support</w:t>
      </w:r>
      <w:r w:rsidR="00965A36">
        <w:rPr>
          <w:rFonts w:ascii="Arial" w:hAnsi="Arial" w:cs="Arial"/>
          <w:color w:val="7B7B7B" w:themeColor="accent3" w:themeShade="BF"/>
          <w:sz w:val="22"/>
          <w:szCs w:val="22"/>
          <w:lang w:val="en-GB"/>
        </w:rPr>
        <w:t xml:space="preserve">) </w:t>
      </w:r>
      <w:r w:rsidR="00340892">
        <w:rPr>
          <w:rFonts w:ascii="Arial" w:hAnsi="Arial" w:cs="Arial"/>
          <w:color w:val="7B7B7B" w:themeColor="accent3" w:themeShade="BF"/>
          <w:sz w:val="22"/>
          <w:szCs w:val="22"/>
          <w:lang w:val="en-GB"/>
        </w:rPr>
        <w:t>of broader diplomatic relations between the agreeing nations</w:t>
      </w:r>
      <w:r>
        <w:rPr>
          <w:rFonts w:ascii="Arial" w:hAnsi="Arial" w:cs="Arial"/>
          <w:color w:val="7B7B7B" w:themeColor="accent3" w:themeShade="BF"/>
          <w:sz w:val="22"/>
          <w:szCs w:val="22"/>
          <w:lang w:val="en-GB"/>
        </w:rPr>
        <w:t xml:space="preserve"> (e.g. a code of conduct), or a model law which nation states are encouraged to adopt.  UNCITRAL has formed </w:t>
      </w:r>
      <w:proofErr w:type="gramStart"/>
      <w:r>
        <w:rPr>
          <w:rFonts w:ascii="Arial" w:hAnsi="Arial" w:cs="Arial"/>
          <w:color w:val="7B7B7B" w:themeColor="accent3" w:themeShade="BF"/>
          <w:sz w:val="22"/>
          <w:szCs w:val="22"/>
          <w:lang w:val="en-GB"/>
        </w:rPr>
        <w:t>a number of</w:t>
      </w:r>
      <w:proofErr w:type="gramEnd"/>
      <w:r>
        <w:rPr>
          <w:rFonts w:ascii="Arial" w:hAnsi="Arial" w:cs="Arial"/>
          <w:color w:val="7B7B7B" w:themeColor="accent3" w:themeShade="BF"/>
          <w:sz w:val="22"/>
          <w:szCs w:val="22"/>
          <w:lang w:val="en-GB"/>
        </w:rPr>
        <w:t xml:space="preserve"> model laws which continue to be incorporated into domestic legislation freely by various countries at their discretion.  Recently (in 2021), Brazil adopted the UNCITRAL Model Law on Cross-Border Insolvency which was originally drafted in 1997.</w:t>
      </w:r>
    </w:p>
    <w:p w14:paraId="572227E7" w14:textId="10041403" w:rsidR="0045683E" w:rsidRPr="00205B31" w:rsidRDefault="0045683E" w:rsidP="00B7193E">
      <w:pPr>
        <w:jc w:val="both"/>
        <w:rPr>
          <w:rFonts w:ascii="Arial" w:hAnsi="Arial" w:cs="Arial"/>
          <w:b/>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4024A332" w14:textId="272A6CF6" w:rsidR="00544127" w:rsidRDefault="001E375F"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sources of insolvency law in a state depend significantly (but not entirely) on that state’s legal system.  For example, ‘common law’ jurisdictions, most of which are based on English law, including Australia, New Zealand, BVI, UK etc. draw their law from both the legislation enacted by parliament as well as historical common law principles from both that jurisdiction and from English common law.  Many relevant principles date to historical judgments handed down in England hundreds of years ago.  Additionally, common law principles are generally adopted into and form an integral part of the relevant legislation enacted by parliament, with common law principles being used where the Court in a matter feels the legislation does not entirely or sufficiently apply to the matter at hand.</w:t>
      </w:r>
    </w:p>
    <w:p w14:paraId="070D53A7" w14:textId="254EE677" w:rsidR="001E375F" w:rsidRDefault="001E375F" w:rsidP="00B7193E">
      <w:pPr>
        <w:jc w:val="both"/>
        <w:rPr>
          <w:rFonts w:ascii="Arial" w:hAnsi="Arial" w:cs="Arial"/>
          <w:color w:val="7B7B7B" w:themeColor="accent3" w:themeShade="BF"/>
          <w:sz w:val="22"/>
          <w:szCs w:val="22"/>
          <w:lang w:val="en-GB"/>
        </w:rPr>
      </w:pPr>
    </w:p>
    <w:p w14:paraId="5EEC30EE" w14:textId="5E83E147" w:rsidR="001E375F" w:rsidRDefault="001E375F"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‘civil law’ jurisdictions (for example most European and African nations), the law is contained only in the relevant legislation.</w:t>
      </w:r>
    </w:p>
    <w:p w14:paraId="47D53140" w14:textId="58CF2DAE" w:rsidR="001E375F" w:rsidRDefault="001E375F" w:rsidP="00B7193E">
      <w:pPr>
        <w:jc w:val="both"/>
        <w:rPr>
          <w:rFonts w:ascii="Arial" w:hAnsi="Arial" w:cs="Arial"/>
          <w:color w:val="7B7B7B" w:themeColor="accent3" w:themeShade="BF"/>
          <w:sz w:val="22"/>
          <w:szCs w:val="22"/>
          <w:lang w:val="en-GB"/>
        </w:rPr>
      </w:pPr>
    </w:p>
    <w:p w14:paraId="1F18465A" w14:textId="465C3F0C" w:rsidR="001E375F" w:rsidRDefault="001E375F"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source of law also depends on the nature of the insolvency, and its varying aspects. For example, personal bankruptcy and corporate insolvency may be contained either in a single piece of legislation (</w:t>
      </w:r>
      <w:proofErr w:type="gramStart"/>
      <w:r>
        <w:rPr>
          <w:rFonts w:ascii="Arial" w:hAnsi="Arial" w:cs="Arial"/>
          <w:color w:val="7B7B7B" w:themeColor="accent3" w:themeShade="BF"/>
          <w:sz w:val="22"/>
          <w:szCs w:val="22"/>
          <w:lang w:val="en-GB"/>
        </w:rPr>
        <w:t>e.g.</w:t>
      </w:r>
      <w:proofErr w:type="gramEnd"/>
      <w:r>
        <w:rPr>
          <w:rFonts w:ascii="Arial" w:hAnsi="Arial" w:cs="Arial"/>
          <w:color w:val="7B7B7B" w:themeColor="accent3" w:themeShade="BF"/>
          <w:sz w:val="22"/>
          <w:szCs w:val="22"/>
          <w:lang w:val="en-GB"/>
        </w:rPr>
        <w:t xml:space="preserve"> BVI Insolvency Act 2003) or in different pieces of legislation (e.g. in Australia </w:t>
      </w:r>
      <w:r w:rsidRPr="001E375F">
        <w:rPr>
          <w:rFonts w:ascii="Arial" w:hAnsi="Arial" w:cs="Arial"/>
          <w:i/>
          <w:iCs/>
          <w:color w:val="7B7B7B" w:themeColor="accent3" w:themeShade="BF"/>
          <w:sz w:val="22"/>
          <w:szCs w:val="22"/>
          <w:lang w:val="en-GB"/>
        </w:rPr>
        <w:t>the Corporations Act 2001</w:t>
      </w:r>
      <w:r>
        <w:rPr>
          <w:rFonts w:ascii="Arial" w:hAnsi="Arial" w:cs="Arial"/>
          <w:color w:val="7B7B7B" w:themeColor="accent3" w:themeShade="BF"/>
          <w:sz w:val="22"/>
          <w:szCs w:val="22"/>
          <w:lang w:val="en-GB"/>
        </w:rPr>
        <w:t xml:space="preserve"> and </w:t>
      </w:r>
      <w:r w:rsidRPr="001E375F">
        <w:rPr>
          <w:rFonts w:ascii="Arial" w:hAnsi="Arial" w:cs="Arial"/>
          <w:i/>
          <w:iCs/>
          <w:color w:val="7B7B7B" w:themeColor="accent3" w:themeShade="BF"/>
          <w:sz w:val="22"/>
          <w:szCs w:val="22"/>
          <w:lang w:val="en-GB"/>
        </w:rPr>
        <w:t>the Bankruptcy Act 1997</w:t>
      </w:r>
      <w:r>
        <w:rPr>
          <w:rFonts w:ascii="Arial" w:hAnsi="Arial" w:cs="Arial"/>
          <w:color w:val="7B7B7B" w:themeColor="accent3" w:themeShade="BF"/>
          <w:sz w:val="22"/>
          <w:szCs w:val="22"/>
          <w:lang w:val="en-GB"/>
        </w:rPr>
        <w:t xml:space="preserve">).  Insolvency law may not necessarily be in a stand-alone piece of legislation, </w:t>
      </w:r>
      <w:proofErr w:type="gramStart"/>
      <w:r>
        <w:rPr>
          <w:rFonts w:ascii="Arial" w:hAnsi="Arial" w:cs="Arial"/>
          <w:color w:val="7B7B7B" w:themeColor="accent3" w:themeShade="BF"/>
          <w:sz w:val="22"/>
          <w:szCs w:val="22"/>
          <w:lang w:val="en-GB"/>
        </w:rPr>
        <w:t>e.g.</w:t>
      </w:r>
      <w:proofErr w:type="gramEnd"/>
      <w:r>
        <w:rPr>
          <w:rFonts w:ascii="Arial" w:hAnsi="Arial" w:cs="Arial"/>
          <w:color w:val="7B7B7B" w:themeColor="accent3" w:themeShade="BF"/>
          <w:sz w:val="22"/>
          <w:szCs w:val="22"/>
          <w:lang w:val="en-GB"/>
        </w:rPr>
        <w:t xml:space="preserve"> the Australian Corporations Act covers almost all other aspects of corporations law, not just the insolvency and winding up of companies.</w:t>
      </w:r>
    </w:p>
    <w:p w14:paraId="5BEB84DA" w14:textId="755482B2" w:rsidR="001E375F" w:rsidRDefault="001E375F" w:rsidP="00B7193E">
      <w:pPr>
        <w:jc w:val="both"/>
        <w:rPr>
          <w:rFonts w:ascii="Arial" w:hAnsi="Arial" w:cs="Arial"/>
          <w:color w:val="7B7B7B" w:themeColor="accent3" w:themeShade="BF"/>
          <w:sz w:val="22"/>
          <w:szCs w:val="22"/>
          <w:lang w:val="en-GB"/>
        </w:rPr>
      </w:pPr>
    </w:p>
    <w:p w14:paraId="4626EF42" w14:textId="77F0F8EE" w:rsidR="001E375F" w:rsidRPr="00205B31" w:rsidRDefault="001E375F" w:rsidP="00B7193E">
      <w:pPr>
        <w:jc w:val="both"/>
        <w:rPr>
          <w:rFonts w:ascii="Arial" w:hAnsi="Arial" w:cs="Arial"/>
          <w:sz w:val="22"/>
          <w:szCs w:val="22"/>
          <w:lang w:val="en-GB"/>
        </w:rPr>
      </w:pPr>
      <w:r>
        <w:rPr>
          <w:rFonts w:ascii="Arial" w:hAnsi="Arial" w:cs="Arial"/>
          <w:color w:val="7B7B7B" w:themeColor="accent3" w:themeShade="BF"/>
          <w:sz w:val="22"/>
          <w:szCs w:val="22"/>
          <w:lang w:val="en-GB"/>
        </w:rPr>
        <w:t xml:space="preserve">Further, the insolvency law in a matter may come from multiple different pieces of legislation, even for related issues in a single jurisdiction.  For example, the Australian </w:t>
      </w:r>
      <w:r w:rsidRPr="001E375F">
        <w:rPr>
          <w:rFonts w:ascii="Arial" w:hAnsi="Arial" w:cs="Arial"/>
          <w:i/>
          <w:iCs/>
          <w:color w:val="7B7B7B" w:themeColor="accent3" w:themeShade="BF"/>
          <w:sz w:val="22"/>
          <w:szCs w:val="22"/>
          <w:lang w:val="en-GB"/>
        </w:rPr>
        <w:t>Personal Property Securities Act</w:t>
      </w:r>
      <w:r>
        <w:rPr>
          <w:rFonts w:ascii="Arial" w:hAnsi="Arial" w:cs="Arial"/>
          <w:color w:val="7B7B7B" w:themeColor="accent3" w:themeShade="BF"/>
          <w:sz w:val="22"/>
          <w:szCs w:val="22"/>
          <w:lang w:val="en-GB"/>
        </w:rPr>
        <w:t xml:space="preserve"> 2009, which relates generally to the granting of security interests in personal property, contains provisions </w:t>
      </w:r>
      <w:r w:rsidR="006023DE">
        <w:rPr>
          <w:rFonts w:ascii="Arial" w:hAnsi="Arial" w:cs="Arial"/>
          <w:color w:val="7B7B7B" w:themeColor="accent3" w:themeShade="BF"/>
          <w:sz w:val="22"/>
          <w:szCs w:val="22"/>
          <w:lang w:val="en-GB"/>
        </w:rPr>
        <w:t xml:space="preserve">specifically related to the </w:t>
      </w:r>
      <w:r>
        <w:rPr>
          <w:rFonts w:ascii="Arial" w:hAnsi="Arial" w:cs="Arial"/>
          <w:color w:val="7B7B7B" w:themeColor="accent3" w:themeShade="BF"/>
          <w:sz w:val="22"/>
          <w:szCs w:val="22"/>
          <w:lang w:val="en-GB"/>
        </w:rPr>
        <w:t xml:space="preserve">vesting of security interests </w:t>
      </w:r>
      <w:r w:rsidR="006023DE">
        <w:rPr>
          <w:rFonts w:ascii="Arial" w:hAnsi="Arial" w:cs="Arial"/>
          <w:color w:val="7B7B7B" w:themeColor="accent3" w:themeShade="BF"/>
          <w:sz w:val="22"/>
          <w:szCs w:val="22"/>
          <w:lang w:val="en-GB"/>
        </w:rPr>
        <w:t>in the liquidator upon a company’s winding up in certain situations</w:t>
      </w:r>
      <w:r>
        <w:rPr>
          <w:rFonts w:ascii="Arial" w:hAnsi="Arial" w:cs="Arial"/>
          <w:color w:val="7B7B7B" w:themeColor="accent3" w:themeShade="BF"/>
          <w:sz w:val="22"/>
          <w:szCs w:val="22"/>
          <w:lang w:val="en-GB"/>
        </w:rPr>
        <w:t xml:space="preserve">, notwithstanding that the </w:t>
      </w:r>
      <w:r w:rsidR="006023DE">
        <w:rPr>
          <w:rFonts w:ascii="Arial" w:hAnsi="Arial" w:cs="Arial"/>
          <w:color w:val="7B7B7B" w:themeColor="accent3" w:themeShade="BF"/>
          <w:sz w:val="22"/>
          <w:szCs w:val="22"/>
          <w:lang w:val="en-GB"/>
        </w:rPr>
        <w:t>Corporations Act is the main piece of legislation for corporate insolvency law in Australia and itself contains provisions relating to the vesting of security interests.</w:t>
      </w:r>
    </w:p>
    <w:p w14:paraId="4A637290" w14:textId="4A0282A0" w:rsidR="00544127" w:rsidRPr="00205B31" w:rsidRDefault="00544127" w:rsidP="00B7193E">
      <w:pPr>
        <w:ind w:left="720" w:hanging="720"/>
        <w:jc w:val="both"/>
        <w:rPr>
          <w:rFonts w:ascii="Arial" w:hAnsi="Arial" w:cs="Arial"/>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 xml:space="preserve">armonisation of insolvency laws is pursued. </w:t>
      </w:r>
      <w:proofErr w:type="gramStart"/>
      <w:r w:rsidRPr="00205B31">
        <w:rPr>
          <w:rFonts w:ascii="Arial" w:hAnsi="Arial" w:cs="Arial"/>
          <w:sz w:val="22"/>
          <w:szCs w:val="22"/>
          <w:lang w:val="en-GB"/>
        </w:rPr>
        <w:t>In an attempt to</w:t>
      </w:r>
      <w:proofErr w:type="gramEnd"/>
      <w:r w:rsidRPr="00205B31">
        <w:rPr>
          <w:rFonts w:ascii="Arial" w:hAnsi="Arial" w:cs="Arial"/>
          <w:sz w:val="22"/>
          <w:szCs w:val="22"/>
          <w:lang w:val="en-GB"/>
        </w:rPr>
        <w:t xml:space="preserve"> bring </w:t>
      </w:r>
      <w:r w:rsidRPr="00205B31">
        <w:rPr>
          <w:rFonts w:ascii="Arial" w:hAnsi="Arial" w:cs="Arial"/>
          <w:sz w:val="22"/>
          <w:szCs w:val="22"/>
          <w:lang w:val="en-GB"/>
        </w:rPr>
        <w:lastRenderedPageBreak/>
        <w:t>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7940D274" w14:textId="1C7EF23D" w:rsidR="00DF75F8" w:rsidRDefault="006023DE"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Jurisdiction in which to be opened </w:t>
      </w:r>
      <w:proofErr w:type="gramStart"/>
      <w:r>
        <w:rPr>
          <w:rFonts w:ascii="Arial" w:hAnsi="Arial" w:cs="Arial"/>
          <w:color w:val="7B7B7B" w:themeColor="accent3" w:themeShade="BF"/>
          <w:sz w:val="22"/>
          <w:szCs w:val="22"/>
          <w:lang w:val="en-GB"/>
        </w:rPr>
        <w:t xml:space="preserve">– </w:t>
      </w:r>
      <w:r w:rsidR="00A54BCB">
        <w:rPr>
          <w:rFonts w:ascii="Arial" w:hAnsi="Arial" w:cs="Arial"/>
          <w:color w:val="7B7B7B" w:themeColor="accent3" w:themeShade="BF"/>
          <w:sz w:val="22"/>
          <w:szCs w:val="22"/>
          <w:lang w:val="en-GB"/>
        </w:rPr>
        <w:t xml:space="preserve"> the</w:t>
      </w:r>
      <w:proofErr w:type="gramEnd"/>
      <w:r w:rsidR="00A54BCB">
        <w:rPr>
          <w:rFonts w:ascii="Arial" w:hAnsi="Arial" w:cs="Arial"/>
          <w:color w:val="7B7B7B" w:themeColor="accent3" w:themeShade="BF"/>
          <w:sz w:val="22"/>
          <w:szCs w:val="22"/>
          <w:lang w:val="en-GB"/>
        </w:rPr>
        <w:t xml:space="preserve"> main issue is whether the a Court actually has jurisdiction, and will act on that jurisdiction, to hear the matter.  The preferred jurisdiction (for creditors in involuntary insolvency or the debtor in voluntary insolvency) may not have sufficient connection to the entity in question for the Court to hear the matter.  In addition, even if the Court does have jurisdiction, other factors (including in certain countries, political factors0 may be at play which may affect the Court’s desire to hear the </w:t>
      </w:r>
      <w:proofErr w:type="gramStart"/>
      <w:r w:rsidR="00A54BCB">
        <w:rPr>
          <w:rFonts w:ascii="Arial" w:hAnsi="Arial" w:cs="Arial"/>
          <w:color w:val="7B7B7B" w:themeColor="accent3" w:themeShade="BF"/>
          <w:sz w:val="22"/>
          <w:szCs w:val="22"/>
          <w:lang w:val="en-GB"/>
        </w:rPr>
        <w:t>matter.</w:t>
      </w:r>
      <w:r>
        <w:rPr>
          <w:rFonts w:ascii="Arial" w:hAnsi="Arial" w:cs="Arial"/>
          <w:color w:val="7B7B7B" w:themeColor="accent3" w:themeShade="BF"/>
          <w:sz w:val="22"/>
          <w:szCs w:val="22"/>
          <w:lang w:val="en-GB"/>
        </w:rPr>
        <w:t>.</w:t>
      </w:r>
      <w:proofErr w:type="gramEnd"/>
      <w:r>
        <w:rPr>
          <w:rFonts w:ascii="Arial" w:hAnsi="Arial" w:cs="Arial"/>
          <w:color w:val="7B7B7B" w:themeColor="accent3" w:themeShade="BF"/>
          <w:sz w:val="22"/>
          <w:szCs w:val="22"/>
          <w:lang w:val="en-GB"/>
        </w:rPr>
        <w:t xml:space="preserve">  </w:t>
      </w:r>
      <w:r w:rsidR="00A54BCB">
        <w:rPr>
          <w:rFonts w:ascii="Arial" w:hAnsi="Arial" w:cs="Arial"/>
          <w:color w:val="7B7B7B" w:themeColor="accent3" w:themeShade="BF"/>
          <w:sz w:val="22"/>
          <w:szCs w:val="22"/>
          <w:lang w:val="en-GB"/>
        </w:rPr>
        <w:t xml:space="preserve">Further, and separately, </w:t>
      </w:r>
      <w:r>
        <w:rPr>
          <w:rFonts w:ascii="Arial" w:hAnsi="Arial" w:cs="Arial"/>
          <w:color w:val="7B7B7B" w:themeColor="accent3" w:themeShade="BF"/>
          <w:sz w:val="22"/>
          <w:szCs w:val="22"/>
          <w:lang w:val="en-GB"/>
        </w:rPr>
        <w:t xml:space="preserve">there are practical </w:t>
      </w:r>
      <w:r w:rsidR="00A54BCB">
        <w:rPr>
          <w:rFonts w:ascii="Arial" w:hAnsi="Arial" w:cs="Arial"/>
          <w:color w:val="7B7B7B" w:themeColor="accent3" w:themeShade="BF"/>
          <w:sz w:val="22"/>
          <w:szCs w:val="22"/>
          <w:lang w:val="en-GB"/>
        </w:rPr>
        <w:t xml:space="preserve">(i.e. non-legal) </w:t>
      </w:r>
      <w:r>
        <w:rPr>
          <w:rFonts w:ascii="Arial" w:hAnsi="Arial" w:cs="Arial"/>
          <w:color w:val="7B7B7B" w:themeColor="accent3" w:themeShade="BF"/>
          <w:sz w:val="22"/>
          <w:szCs w:val="22"/>
          <w:lang w:val="en-GB"/>
        </w:rPr>
        <w:t xml:space="preserve">issues to opening an insolvency in one jurisdiction vs another – e.g. if it is opened in the jurisdiction where the company is registered but undertakes little operations, the effected creditors/stakeholders, other than those seeking to enforce against the debtor (if an involuntary proceeding) are less likely to </w:t>
      </w:r>
      <w:r w:rsidR="00A54BCB">
        <w:rPr>
          <w:rFonts w:ascii="Arial" w:hAnsi="Arial" w:cs="Arial"/>
          <w:color w:val="7B7B7B" w:themeColor="accent3" w:themeShade="BF"/>
          <w:sz w:val="22"/>
          <w:szCs w:val="22"/>
          <w:lang w:val="en-GB"/>
        </w:rPr>
        <w:t xml:space="preserve">quickly be notified </w:t>
      </w:r>
      <w:r>
        <w:rPr>
          <w:rFonts w:ascii="Arial" w:hAnsi="Arial" w:cs="Arial"/>
          <w:color w:val="7B7B7B" w:themeColor="accent3" w:themeShade="BF"/>
          <w:sz w:val="22"/>
          <w:szCs w:val="22"/>
          <w:lang w:val="en-GB"/>
        </w:rPr>
        <w:t>of the insolvency than if the insolvency were opened in the jurisdiction of principal operation.</w:t>
      </w:r>
    </w:p>
    <w:p w14:paraId="31242583" w14:textId="77777777" w:rsidR="0010675D" w:rsidRDefault="0010675D" w:rsidP="00B7193E">
      <w:pPr>
        <w:jc w:val="both"/>
        <w:rPr>
          <w:rFonts w:ascii="Arial" w:hAnsi="Arial" w:cs="Arial"/>
          <w:color w:val="7B7B7B" w:themeColor="accent3" w:themeShade="BF"/>
          <w:sz w:val="22"/>
          <w:szCs w:val="22"/>
          <w:lang w:val="en-GB"/>
        </w:rPr>
      </w:pPr>
    </w:p>
    <w:p w14:paraId="0134AF18" w14:textId="5FFA3F86" w:rsidR="006023DE" w:rsidRDefault="006023DE"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2. What country’s law </w:t>
      </w:r>
      <w:r w:rsidR="00A54BCB">
        <w:rPr>
          <w:rFonts w:ascii="Arial" w:hAnsi="Arial" w:cs="Arial"/>
          <w:color w:val="7B7B7B" w:themeColor="accent3" w:themeShade="BF"/>
          <w:sz w:val="22"/>
          <w:szCs w:val="22"/>
          <w:lang w:val="en-GB"/>
        </w:rPr>
        <w:t>should apply for</w:t>
      </w:r>
      <w:r>
        <w:rPr>
          <w:rFonts w:ascii="Arial" w:hAnsi="Arial" w:cs="Arial"/>
          <w:color w:val="7B7B7B" w:themeColor="accent3" w:themeShade="BF"/>
          <w:sz w:val="22"/>
          <w:szCs w:val="22"/>
          <w:lang w:val="en-GB"/>
        </w:rPr>
        <w:t xml:space="preserve"> respect of different aspects – </w:t>
      </w:r>
      <w:r w:rsidR="00A54BCB">
        <w:rPr>
          <w:rFonts w:ascii="Arial" w:hAnsi="Arial" w:cs="Arial"/>
          <w:color w:val="7B7B7B" w:themeColor="accent3" w:themeShade="BF"/>
          <w:sz w:val="22"/>
          <w:szCs w:val="22"/>
          <w:lang w:val="en-GB"/>
        </w:rPr>
        <w:t>Assuming th</w:t>
      </w:r>
      <w:r w:rsidR="004E1A3F">
        <w:rPr>
          <w:rFonts w:ascii="Arial" w:hAnsi="Arial" w:cs="Arial"/>
          <w:color w:val="7B7B7B" w:themeColor="accent3" w:themeShade="BF"/>
          <w:sz w:val="22"/>
          <w:szCs w:val="22"/>
          <w:lang w:val="en-GB"/>
        </w:rPr>
        <w:t>e Court will hear the matter, the issue is then to what extent it adopts foreign law into its process (</w:t>
      </w:r>
      <w:proofErr w:type="gramStart"/>
      <w:r w:rsidR="004E1A3F">
        <w:rPr>
          <w:rFonts w:ascii="Arial" w:hAnsi="Arial" w:cs="Arial"/>
          <w:color w:val="7B7B7B" w:themeColor="accent3" w:themeShade="BF"/>
          <w:sz w:val="22"/>
          <w:szCs w:val="22"/>
          <w:lang w:val="en-GB"/>
        </w:rPr>
        <w:t>e.g.</w:t>
      </w:r>
      <w:proofErr w:type="gramEnd"/>
      <w:r w:rsidR="004E1A3F">
        <w:rPr>
          <w:rFonts w:ascii="Arial" w:hAnsi="Arial" w:cs="Arial"/>
          <w:color w:val="7B7B7B" w:themeColor="accent3" w:themeShade="BF"/>
          <w:sz w:val="22"/>
          <w:szCs w:val="22"/>
          <w:lang w:val="en-GB"/>
        </w:rPr>
        <w:t xml:space="preserve"> with experts from that foreign jurisdiction, the Court could not actually ‘adopt’ the foreign law in the true sense).  The way this is deal with also differs between common and civil law jurisdictions – in </w:t>
      </w:r>
      <w:r w:rsidR="000A7996">
        <w:rPr>
          <w:rFonts w:ascii="Arial" w:hAnsi="Arial" w:cs="Arial"/>
          <w:color w:val="7B7B7B" w:themeColor="accent3" w:themeShade="BF"/>
          <w:sz w:val="22"/>
          <w:szCs w:val="22"/>
          <w:lang w:val="en-GB"/>
        </w:rPr>
        <w:t>common law jurisdictions, questions of foreign law are considered as a matter of fact, whilst in civil law it is considered, irrespective of the parties’ pleadings, as a matter of law.</w:t>
      </w:r>
    </w:p>
    <w:p w14:paraId="65AAB12E" w14:textId="77777777" w:rsidR="0010675D" w:rsidRDefault="0010675D" w:rsidP="00B7193E">
      <w:pPr>
        <w:jc w:val="both"/>
        <w:rPr>
          <w:rFonts w:ascii="Arial" w:hAnsi="Arial" w:cs="Arial"/>
          <w:color w:val="7B7B7B" w:themeColor="accent3" w:themeShade="BF"/>
          <w:sz w:val="22"/>
          <w:szCs w:val="22"/>
          <w:lang w:val="en-GB"/>
        </w:rPr>
      </w:pPr>
    </w:p>
    <w:p w14:paraId="36C714D6" w14:textId="1CB87776" w:rsidR="006023DE" w:rsidRPr="00205B31" w:rsidRDefault="006023DE" w:rsidP="00B7193E">
      <w:pPr>
        <w:jc w:val="both"/>
        <w:rPr>
          <w:rFonts w:ascii="Arial" w:hAnsi="Arial" w:cs="Arial"/>
          <w:sz w:val="22"/>
          <w:szCs w:val="22"/>
          <w:lang w:val="en-GB"/>
        </w:rPr>
      </w:pPr>
      <w:r>
        <w:rPr>
          <w:rFonts w:ascii="Arial" w:hAnsi="Arial" w:cs="Arial"/>
          <w:color w:val="7B7B7B" w:themeColor="accent3" w:themeShade="BF"/>
          <w:sz w:val="22"/>
          <w:szCs w:val="22"/>
          <w:lang w:val="en-GB"/>
        </w:rPr>
        <w:t>3. What international effects accorded</w:t>
      </w:r>
      <w:r w:rsidR="0010675D">
        <w:rPr>
          <w:rFonts w:ascii="Arial" w:hAnsi="Arial" w:cs="Arial"/>
          <w:color w:val="7B7B7B" w:themeColor="accent3" w:themeShade="BF"/>
          <w:sz w:val="22"/>
          <w:szCs w:val="22"/>
          <w:lang w:val="en-GB"/>
        </w:rPr>
        <w:t xml:space="preserve"> – </w:t>
      </w:r>
      <w:r w:rsidR="000A7996">
        <w:rPr>
          <w:rFonts w:ascii="Arial" w:hAnsi="Arial" w:cs="Arial"/>
          <w:color w:val="7B7B7B" w:themeColor="accent3" w:themeShade="BF"/>
          <w:sz w:val="22"/>
          <w:szCs w:val="22"/>
          <w:lang w:val="en-GB"/>
        </w:rPr>
        <w:t>the main considerations relate to recognition of the proceeding generally by the foreign court, the ability of the estate and of creditors to pursue enforcement action, and the effect of the judgments.  The type of judgment/order will likely determine the approach of the foreign court significantly.  For example, orders commencing an insolvency proceeding (such as an order appointing a receiver or liquidator) may have greater effect or be more readily recognised than an order obtained by the liquidator/receiver against a third party for the payment of monies (i.e. practically this may mean that a liquidator/receiver may have to obtain a separate enforcement judgment in the foreign jurisdiction, after having their appointment recognised, rather than being able to give effect to a judgment obtained in the local jurisdiction automatically following recognition of the appointment).</w:t>
      </w:r>
    </w:p>
    <w:p w14:paraId="4135BFDA" w14:textId="1560B2D4"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4E83D7AF" w14:textId="7D418099" w:rsidR="00DF75F8" w:rsidRDefault="000A7996" w:rsidP="00B7193E">
      <w:pPr>
        <w:jc w:val="both"/>
        <w:rPr>
          <w:rFonts w:ascii="Arial" w:hAnsi="Arial" w:cs="Arial"/>
          <w:color w:val="7B7B7B" w:themeColor="accent3" w:themeShade="BF"/>
          <w:sz w:val="22"/>
          <w:szCs w:val="22"/>
          <w:lang w:val="en-GB"/>
        </w:rPr>
      </w:pPr>
      <w:r w:rsidRPr="000A7996">
        <w:rPr>
          <w:rFonts w:ascii="Arial" w:hAnsi="Arial" w:cs="Arial"/>
          <w:i/>
          <w:iCs/>
          <w:color w:val="7B7B7B" w:themeColor="accent3" w:themeShade="BF"/>
          <w:sz w:val="22"/>
          <w:szCs w:val="22"/>
          <w:lang w:val="en-GB"/>
        </w:rPr>
        <w:t>Maxwell Communications Corporation plc</w:t>
      </w:r>
      <w:r>
        <w:rPr>
          <w:rFonts w:ascii="Arial" w:hAnsi="Arial" w:cs="Arial"/>
          <w:color w:val="7B7B7B" w:themeColor="accent3" w:themeShade="BF"/>
          <w:sz w:val="22"/>
          <w:szCs w:val="22"/>
          <w:lang w:val="en-GB"/>
        </w:rPr>
        <w:t xml:space="preserve"> was a 1991 United States case which dealt with two insolvency proceedings – one in the USA and one in England – </w:t>
      </w:r>
      <w:r w:rsidR="008D5284">
        <w:rPr>
          <w:rFonts w:ascii="Arial" w:hAnsi="Arial" w:cs="Arial"/>
          <w:color w:val="7B7B7B" w:themeColor="accent3" w:themeShade="BF"/>
          <w:sz w:val="22"/>
          <w:szCs w:val="22"/>
          <w:lang w:val="en-GB"/>
        </w:rPr>
        <w:t>of the same debtor</w:t>
      </w:r>
      <w:r>
        <w:rPr>
          <w:rFonts w:ascii="Arial" w:hAnsi="Arial" w:cs="Arial"/>
          <w:color w:val="7B7B7B" w:themeColor="accent3" w:themeShade="BF"/>
          <w:sz w:val="22"/>
          <w:szCs w:val="22"/>
          <w:lang w:val="en-GB"/>
        </w:rPr>
        <w:t xml:space="preserve">.  </w:t>
      </w:r>
      <w:r w:rsidR="008D5284">
        <w:rPr>
          <w:rFonts w:ascii="Arial" w:hAnsi="Arial" w:cs="Arial"/>
          <w:color w:val="7B7B7B" w:themeColor="accent3" w:themeShade="BF"/>
          <w:sz w:val="22"/>
          <w:szCs w:val="22"/>
          <w:lang w:val="en-GB"/>
        </w:rPr>
        <w:t>The United States and England courts both brought to the attention of Counsel the cross-border issues and the possibility of a coordination agreement between the US and England proceedings, to facilitate the exchange of information and improve the efficiency of the administration of the debtor.  The agreement, which was successful between the Courts, pre-</w:t>
      </w:r>
      <w:r w:rsidR="008D5284">
        <w:rPr>
          <w:rFonts w:ascii="Arial" w:hAnsi="Arial" w:cs="Arial"/>
          <w:color w:val="7B7B7B" w:themeColor="accent3" w:themeShade="BF"/>
          <w:sz w:val="22"/>
          <w:szCs w:val="22"/>
          <w:lang w:val="en-GB"/>
        </w:rPr>
        <w:lastRenderedPageBreak/>
        <w:t>dates the UNCITRAL Model Law or Cross-Border Insolvency and the Practice Guide on Cross-Border Insolvency Agreements.</w:t>
      </w:r>
    </w:p>
    <w:p w14:paraId="54EF66BD" w14:textId="7F4555EB" w:rsidR="008D5284" w:rsidRDefault="008D5284" w:rsidP="00B7193E">
      <w:pPr>
        <w:jc w:val="both"/>
        <w:rPr>
          <w:rFonts w:ascii="Arial" w:hAnsi="Arial" w:cs="Arial"/>
          <w:color w:val="7B7B7B" w:themeColor="accent3" w:themeShade="BF"/>
          <w:sz w:val="22"/>
          <w:szCs w:val="22"/>
          <w:lang w:val="en-GB"/>
        </w:rPr>
      </w:pPr>
    </w:p>
    <w:p w14:paraId="21FE22D7" w14:textId="6DC49D5A" w:rsidR="008D5284" w:rsidRPr="000A7996" w:rsidRDefault="008D5284" w:rsidP="00B7193E">
      <w:pPr>
        <w:jc w:val="both"/>
        <w:rPr>
          <w:rFonts w:ascii="Arial" w:hAnsi="Arial" w:cs="Arial"/>
          <w:sz w:val="22"/>
          <w:szCs w:val="22"/>
          <w:lang w:val="en-GB"/>
        </w:rPr>
      </w:pPr>
      <w:r>
        <w:rPr>
          <w:rFonts w:ascii="Arial" w:hAnsi="Arial" w:cs="Arial"/>
          <w:color w:val="7B7B7B" w:themeColor="accent3" w:themeShade="BF"/>
          <w:sz w:val="22"/>
          <w:szCs w:val="22"/>
          <w:lang w:val="en-GB"/>
        </w:rPr>
        <w:t>The effect of the agreement, in essence, was that the US Courts (upon certain conditions) would defer to English proceedings to the maximum extent possible.  Other matters agreed were in relation to the management of the insolvency generally, including who would be allowed to appoint directors etc.</w:t>
      </w:r>
    </w:p>
    <w:p w14:paraId="4AE7EA78" w14:textId="24C76947" w:rsidR="007D7C92" w:rsidRPr="00205B31" w:rsidRDefault="007D7C92" w:rsidP="00B7193E">
      <w:pPr>
        <w:ind w:left="720" w:hanging="720"/>
        <w:jc w:val="both"/>
        <w:rPr>
          <w:rFonts w:ascii="Arial" w:hAnsi="Arial" w:cs="Arial"/>
          <w:sz w:val="22"/>
          <w:szCs w:val="22"/>
          <w:lang w:val="en-GB"/>
        </w:rPr>
      </w:pP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w:t>
      </w:r>
      <w:proofErr w:type="gramStart"/>
      <w:r w:rsidRPr="00205B31">
        <w:rPr>
          <w:rFonts w:ascii="Arial" w:hAnsi="Arial" w:cs="Arial"/>
          <w:color w:val="212529"/>
          <w:sz w:val="22"/>
          <w:szCs w:val="22"/>
          <w:shd w:val="clear" w:color="auto" w:fill="FFFFFF"/>
          <w:lang w:val="en-GB"/>
        </w:rPr>
        <w:t>a number of</w:t>
      </w:r>
      <w:proofErr w:type="gramEnd"/>
      <w:r w:rsidRPr="00205B31">
        <w:rPr>
          <w:rFonts w:ascii="Arial" w:hAnsi="Arial" w:cs="Arial"/>
          <w:color w:val="212529"/>
          <w:sz w:val="22"/>
          <w:szCs w:val="22"/>
          <w:shd w:val="clear" w:color="auto" w:fill="FFFFFF"/>
          <w:lang w:val="en-GB"/>
        </w:rPr>
        <w:t xml:space="preserve">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proofErr w:type="spellStart"/>
      <w:r w:rsidR="0050156C" w:rsidRPr="00205B31">
        <w:rPr>
          <w:rFonts w:ascii="Arial" w:hAnsi="Arial" w:cs="Arial"/>
          <w:sz w:val="22"/>
          <w:szCs w:val="22"/>
          <w:lang w:val="en-GB"/>
        </w:rPr>
        <w:t>Fernz</w:t>
      </w:r>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4380CB0E" w14:textId="1E0327F1" w:rsidR="00E643A8" w:rsidRDefault="001375E6"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 the face of it, given that the proceeding was opened prior to the UK’s exit from the European Union (more precisely, prior to 11pm on 31 December 2020), </w:t>
      </w:r>
      <w:r w:rsidR="00E643A8">
        <w:rPr>
          <w:rFonts w:ascii="Arial" w:hAnsi="Arial" w:cs="Arial"/>
          <w:color w:val="7B7B7B" w:themeColor="accent3" w:themeShade="BF"/>
          <w:sz w:val="22"/>
          <w:szCs w:val="22"/>
          <w:lang w:val="en-GB"/>
        </w:rPr>
        <w:t xml:space="preserve">the debtor’s COMI is in the UK and the creditor’s place of registration is in Europe, the </w:t>
      </w:r>
      <w:r>
        <w:rPr>
          <w:rFonts w:ascii="Arial" w:hAnsi="Arial" w:cs="Arial"/>
          <w:color w:val="7B7B7B" w:themeColor="accent3" w:themeShade="BF"/>
          <w:sz w:val="22"/>
          <w:szCs w:val="22"/>
          <w:lang w:val="en-GB"/>
        </w:rPr>
        <w:t xml:space="preserve">EIRR </w:t>
      </w:r>
      <w:r w:rsidR="00E643A8">
        <w:rPr>
          <w:rFonts w:ascii="Arial" w:hAnsi="Arial" w:cs="Arial"/>
          <w:color w:val="7B7B7B" w:themeColor="accent3" w:themeShade="BF"/>
          <w:sz w:val="22"/>
          <w:szCs w:val="22"/>
          <w:lang w:val="en-GB"/>
        </w:rPr>
        <w:t xml:space="preserve">would appear likely to </w:t>
      </w:r>
      <w:r>
        <w:rPr>
          <w:rFonts w:ascii="Arial" w:hAnsi="Arial" w:cs="Arial"/>
          <w:color w:val="7B7B7B" w:themeColor="accent3" w:themeShade="BF"/>
          <w:sz w:val="22"/>
          <w:szCs w:val="22"/>
          <w:lang w:val="en-GB"/>
        </w:rPr>
        <w:t>appl</w:t>
      </w:r>
      <w:r w:rsidR="00E643A8">
        <w:rPr>
          <w:rFonts w:ascii="Arial" w:hAnsi="Arial" w:cs="Arial"/>
          <w:color w:val="7B7B7B" w:themeColor="accent3" w:themeShade="BF"/>
          <w:sz w:val="22"/>
          <w:szCs w:val="22"/>
          <w:lang w:val="en-GB"/>
        </w:rPr>
        <w:t xml:space="preserve">y. </w:t>
      </w:r>
    </w:p>
    <w:p w14:paraId="6F3B94FC" w14:textId="27B148CC" w:rsidR="00E643A8" w:rsidRDefault="00E643A8" w:rsidP="00B7193E">
      <w:pPr>
        <w:jc w:val="both"/>
        <w:rPr>
          <w:rFonts w:ascii="Arial" w:hAnsi="Arial" w:cs="Arial"/>
          <w:color w:val="7B7B7B" w:themeColor="accent3" w:themeShade="BF"/>
          <w:sz w:val="22"/>
          <w:szCs w:val="22"/>
          <w:lang w:val="en-GB"/>
        </w:rPr>
      </w:pPr>
    </w:p>
    <w:p w14:paraId="57428CFB" w14:textId="1D65DD88" w:rsidR="00C7614B" w:rsidRPr="00C7614B" w:rsidRDefault="00C7614B" w:rsidP="00C7614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Important assumptions necessary for this, however, including that t</w:t>
      </w:r>
      <w:r w:rsidRPr="00C7614B">
        <w:rPr>
          <w:rFonts w:ascii="Arial" w:hAnsi="Arial" w:cs="Arial"/>
          <w:color w:val="7B7B7B" w:themeColor="accent3" w:themeShade="BF"/>
          <w:sz w:val="22"/>
          <w:szCs w:val="22"/>
          <w:lang w:val="en-GB"/>
        </w:rPr>
        <w:t xml:space="preserve">he first </w:t>
      </w:r>
      <w:r>
        <w:rPr>
          <w:rFonts w:ascii="Arial" w:hAnsi="Arial" w:cs="Arial"/>
          <w:color w:val="7B7B7B" w:themeColor="accent3" w:themeShade="BF"/>
          <w:sz w:val="22"/>
          <w:szCs w:val="22"/>
          <w:lang w:val="en-GB"/>
        </w:rPr>
        <w:t>proceedings commenced by the minor creditor were in fact commenced within the EU.  The question is not clear on this – it is possible that Ryder’s operations extend to non-EU European countries and that the minor creditor also has business (or possible its COMI, it is not clear what “located” means in the facts) in that same jurisdiction such that those first proceedings might have been commenced in a non-EU country.</w:t>
      </w:r>
    </w:p>
    <w:p w14:paraId="120DA5D7" w14:textId="77777777" w:rsidR="00C7614B" w:rsidRDefault="00C7614B" w:rsidP="00B7193E">
      <w:pPr>
        <w:jc w:val="both"/>
        <w:rPr>
          <w:rFonts w:ascii="Arial" w:hAnsi="Arial" w:cs="Arial"/>
          <w:color w:val="7B7B7B" w:themeColor="accent3" w:themeShade="BF"/>
          <w:sz w:val="22"/>
          <w:szCs w:val="22"/>
          <w:lang w:val="en-GB"/>
        </w:rPr>
      </w:pPr>
    </w:p>
    <w:p w14:paraId="40C622E2" w14:textId="6E95C2BE" w:rsidR="00E643A8" w:rsidRDefault="00C7614B"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addition</w:t>
      </w:r>
      <w:r w:rsidR="00E643A8">
        <w:rPr>
          <w:rFonts w:ascii="Arial" w:hAnsi="Arial" w:cs="Arial"/>
          <w:color w:val="7B7B7B" w:themeColor="accent3" w:themeShade="BF"/>
          <w:sz w:val="22"/>
          <w:szCs w:val="22"/>
          <w:lang w:val="en-GB"/>
        </w:rPr>
        <w:t xml:space="preserve">, there is various </w:t>
      </w:r>
      <w:r>
        <w:rPr>
          <w:rFonts w:ascii="Arial" w:hAnsi="Arial" w:cs="Arial"/>
          <w:color w:val="7B7B7B" w:themeColor="accent3" w:themeShade="BF"/>
          <w:sz w:val="22"/>
          <w:szCs w:val="22"/>
          <w:lang w:val="en-GB"/>
        </w:rPr>
        <w:t xml:space="preserve">other </w:t>
      </w:r>
      <w:r w:rsidR="00E643A8">
        <w:rPr>
          <w:rFonts w:ascii="Arial" w:hAnsi="Arial" w:cs="Arial"/>
          <w:color w:val="7B7B7B" w:themeColor="accent3" w:themeShade="BF"/>
          <w:sz w:val="22"/>
          <w:szCs w:val="22"/>
          <w:lang w:val="en-GB"/>
        </w:rPr>
        <w:t>information not available in the facts which is required to say for certain whether the EIRR will apply, in particular:</w:t>
      </w:r>
    </w:p>
    <w:p w14:paraId="4498362C" w14:textId="1E62FED1" w:rsidR="00E643A8" w:rsidRDefault="00E643A8" w:rsidP="00B7193E">
      <w:pPr>
        <w:jc w:val="both"/>
        <w:rPr>
          <w:rFonts w:ascii="Arial" w:hAnsi="Arial" w:cs="Arial"/>
          <w:color w:val="7B7B7B" w:themeColor="accent3" w:themeShade="BF"/>
          <w:sz w:val="22"/>
          <w:szCs w:val="22"/>
          <w:lang w:val="en-GB"/>
        </w:rPr>
      </w:pPr>
    </w:p>
    <w:p w14:paraId="0609A4F2" w14:textId="7615C0D4" w:rsidR="00E643A8" w:rsidRDefault="00E643A8" w:rsidP="00E643A8">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When will </w:t>
      </w:r>
      <w:proofErr w:type="spellStart"/>
      <w:r>
        <w:rPr>
          <w:rFonts w:ascii="Arial" w:hAnsi="Arial" w:cs="Arial"/>
          <w:color w:val="7B7B7B" w:themeColor="accent3" w:themeShade="BF"/>
          <w:sz w:val="22"/>
          <w:szCs w:val="22"/>
          <w:lang w:val="en-GB"/>
        </w:rPr>
        <w:t>Fernz</w:t>
      </w:r>
      <w:proofErr w:type="spellEnd"/>
      <w:r>
        <w:rPr>
          <w:rFonts w:ascii="Arial" w:hAnsi="Arial" w:cs="Arial"/>
          <w:color w:val="7B7B7B" w:themeColor="accent3" w:themeShade="BF"/>
          <w:sz w:val="22"/>
          <w:szCs w:val="22"/>
          <w:lang w:val="en-GB"/>
        </w:rPr>
        <w:t xml:space="preserve">’ proceeding be opened, </w:t>
      </w:r>
      <w:proofErr w:type="gramStart"/>
      <w:r>
        <w:rPr>
          <w:rFonts w:ascii="Arial" w:hAnsi="Arial" w:cs="Arial"/>
          <w:color w:val="7B7B7B" w:themeColor="accent3" w:themeShade="BF"/>
          <w:sz w:val="22"/>
          <w:szCs w:val="22"/>
          <w:lang w:val="en-GB"/>
        </w:rPr>
        <w:t>i.e.</w:t>
      </w:r>
      <w:proofErr w:type="gramEnd"/>
      <w:r>
        <w:rPr>
          <w:rFonts w:ascii="Arial" w:hAnsi="Arial" w:cs="Arial"/>
          <w:color w:val="7B7B7B" w:themeColor="accent3" w:themeShade="BF"/>
          <w:sz w:val="22"/>
          <w:szCs w:val="22"/>
          <w:lang w:val="en-GB"/>
        </w:rPr>
        <w:t xml:space="preserve"> before 11pm on 31 December 2020?</w:t>
      </w:r>
    </w:p>
    <w:p w14:paraId="6F527770" w14:textId="5605FA28" w:rsidR="00E643A8" w:rsidRDefault="00E643A8" w:rsidP="00E643A8">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What is meant by “located” in the facts – </w:t>
      </w:r>
      <w:proofErr w:type="gramStart"/>
      <w:r>
        <w:rPr>
          <w:rFonts w:ascii="Arial" w:hAnsi="Arial" w:cs="Arial"/>
          <w:color w:val="7B7B7B" w:themeColor="accent3" w:themeShade="BF"/>
          <w:sz w:val="22"/>
          <w:szCs w:val="22"/>
          <w:lang w:val="en-GB"/>
        </w:rPr>
        <w:t>i.e.</w:t>
      </w:r>
      <w:proofErr w:type="gramEnd"/>
      <w:r>
        <w:rPr>
          <w:rFonts w:ascii="Arial" w:hAnsi="Arial" w:cs="Arial"/>
          <w:color w:val="7B7B7B" w:themeColor="accent3" w:themeShade="BF"/>
          <w:sz w:val="22"/>
          <w:szCs w:val="22"/>
          <w:lang w:val="en-GB"/>
        </w:rPr>
        <w:t xml:space="preserve"> whilst all creditors may be registered in European Union member states, their COMI’s may be in different countries outside of the EU</w:t>
      </w:r>
    </w:p>
    <w:p w14:paraId="22A0F04E" w14:textId="3E607B59" w:rsidR="00C7614B" w:rsidRPr="00C7614B" w:rsidRDefault="00E643A8" w:rsidP="00C7614B">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Importantly, </w:t>
      </w:r>
      <w:r w:rsidR="00C7614B">
        <w:rPr>
          <w:rFonts w:ascii="Arial" w:hAnsi="Arial" w:cs="Arial"/>
          <w:color w:val="7B7B7B" w:themeColor="accent3" w:themeShade="BF"/>
          <w:sz w:val="22"/>
          <w:szCs w:val="22"/>
          <w:lang w:val="en-GB"/>
        </w:rPr>
        <w:t xml:space="preserve">the extent of </w:t>
      </w:r>
      <w:r>
        <w:rPr>
          <w:rFonts w:ascii="Arial" w:hAnsi="Arial" w:cs="Arial"/>
          <w:color w:val="7B7B7B" w:themeColor="accent3" w:themeShade="BF"/>
          <w:sz w:val="22"/>
          <w:szCs w:val="22"/>
          <w:lang w:val="en-GB"/>
        </w:rPr>
        <w:t>Rydell</w:t>
      </w:r>
      <w:r w:rsidR="00C7614B">
        <w:rPr>
          <w:rFonts w:ascii="Arial" w:hAnsi="Arial" w:cs="Arial"/>
          <w:color w:val="7B7B7B" w:themeColor="accent3" w:themeShade="BF"/>
          <w:sz w:val="22"/>
          <w:szCs w:val="22"/>
          <w:lang w:val="en-GB"/>
        </w:rPr>
        <w:t xml:space="preserve">’s </w:t>
      </w:r>
      <w:r>
        <w:rPr>
          <w:rFonts w:ascii="Arial" w:hAnsi="Arial" w:cs="Arial"/>
          <w:color w:val="7B7B7B" w:themeColor="accent3" w:themeShade="BF"/>
          <w:sz w:val="22"/>
          <w:szCs w:val="22"/>
          <w:lang w:val="en-GB"/>
        </w:rPr>
        <w:t>has economic activity outside of the UK</w:t>
      </w:r>
      <w:r w:rsidR="00C7614B">
        <w:rPr>
          <w:rFonts w:ascii="Arial" w:hAnsi="Arial" w:cs="Arial"/>
          <w:color w:val="7B7B7B" w:themeColor="accent3" w:themeShade="BF"/>
          <w:sz w:val="22"/>
          <w:szCs w:val="22"/>
          <w:lang w:val="en-GB"/>
        </w:rPr>
        <w:t xml:space="preserve"> is not entirely clear, and it is also unclear whether Rydell has any economic activity in the whichever jurisdiction </w:t>
      </w:r>
      <w:proofErr w:type="spellStart"/>
      <w:r w:rsidR="00C7614B">
        <w:rPr>
          <w:rFonts w:ascii="Arial" w:hAnsi="Arial" w:cs="Arial"/>
          <w:color w:val="7B7B7B" w:themeColor="accent3" w:themeShade="BF"/>
          <w:sz w:val="22"/>
          <w:szCs w:val="22"/>
          <w:lang w:val="en-GB"/>
        </w:rPr>
        <w:t>Fernz</w:t>
      </w:r>
      <w:proofErr w:type="spellEnd"/>
      <w:r w:rsidR="00C7614B">
        <w:rPr>
          <w:rFonts w:ascii="Arial" w:hAnsi="Arial" w:cs="Arial"/>
          <w:color w:val="7B7B7B" w:themeColor="accent3" w:themeShade="BF"/>
          <w:sz w:val="22"/>
          <w:szCs w:val="22"/>
          <w:lang w:val="en-GB"/>
        </w:rPr>
        <w:t xml:space="preserve"> intends to commence insolvency proceedings.  If Rydell does have sufficient economic activity (</w:t>
      </w:r>
      <w:proofErr w:type="gramStart"/>
      <w:r w:rsidR="00C7614B">
        <w:rPr>
          <w:rFonts w:ascii="Arial" w:hAnsi="Arial" w:cs="Arial"/>
          <w:color w:val="7B7B7B" w:themeColor="accent3" w:themeShade="BF"/>
          <w:sz w:val="22"/>
          <w:szCs w:val="22"/>
          <w:lang w:val="en-GB"/>
        </w:rPr>
        <w:t>i.e.</w:t>
      </w:r>
      <w:proofErr w:type="gramEnd"/>
      <w:r w:rsidR="00C7614B">
        <w:rPr>
          <w:rFonts w:ascii="Arial" w:hAnsi="Arial" w:cs="Arial"/>
          <w:color w:val="7B7B7B" w:themeColor="accent3" w:themeShade="BF"/>
          <w:sz w:val="22"/>
          <w:szCs w:val="22"/>
          <w:lang w:val="en-GB"/>
        </w:rPr>
        <w:t xml:space="preserve"> an “establishment” under the EIRR) in that jurisdiction, then </w:t>
      </w:r>
      <w:proofErr w:type="spellStart"/>
      <w:r w:rsidR="00C7614B">
        <w:rPr>
          <w:rFonts w:ascii="Arial" w:hAnsi="Arial" w:cs="Arial"/>
          <w:color w:val="7B7B7B" w:themeColor="accent3" w:themeShade="BF"/>
          <w:sz w:val="22"/>
          <w:szCs w:val="22"/>
          <w:lang w:val="en-GB"/>
        </w:rPr>
        <w:t>Fernz</w:t>
      </w:r>
      <w:proofErr w:type="spellEnd"/>
      <w:r w:rsidR="00C7614B">
        <w:rPr>
          <w:rFonts w:ascii="Arial" w:hAnsi="Arial" w:cs="Arial"/>
          <w:color w:val="7B7B7B" w:themeColor="accent3" w:themeShade="BF"/>
          <w:sz w:val="22"/>
          <w:szCs w:val="22"/>
          <w:lang w:val="en-GB"/>
        </w:rPr>
        <w:t xml:space="preserve"> will be able to commence secondary proceedings (assuming the first proceeding is an “EIRR” proceeding – if not then </w:t>
      </w:r>
      <w:proofErr w:type="spellStart"/>
      <w:r w:rsidR="00C7614B">
        <w:rPr>
          <w:rFonts w:ascii="Arial" w:hAnsi="Arial" w:cs="Arial"/>
          <w:color w:val="7B7B7B" w:themeColor="accent3" w:themeShade="BF"/>
          <w:sz w:val="22"/>
          <w:szCs w:val="22"/>
          <w:lang w:val="en-GB"/>
        </w:rPr>
        <w:t>Fernz</w:t>
      </w:r>
      <w:proofErr w:type="spellEnd"/>
      <w:r w:rsidR="00C7614B">
        <w:rPr>
          <w:rFonts w:ascii="Arial" w:hAnsi="Arial" w:cs="Arial"/>
          <w:color w:val="7B7B7B" w:themeColor="accent3" w:themeShade="BF"/>
          <w:sz w:val="22"/>
          <w:szCs w:val="22"/>
          <w:lang w:val="en-GB"/>
        </w:rPr>
        <w:t>’ proceeding will be the main proceeding in this case), given they would be commenced after the proceedings already commenced by the minor creditor.</w:t>
      </w:r>
    </w:p>
    <w:p w14:paraId="3104943B" w14:textId="77777777" w:rsidR="00E643A8" w:rsidRDefault="00E643A8" w:rsidP="00B7193E">
      <w:pPr>
        <w:jc w:val="both"/>
        <w:rPr>
          <w:rFonts w:ascii="Arial" w:hAnsi="Arial" w:cs="Arial"/>
          <w:color w:val="7B7B7B" w:themeColor="accent3" w:themeShade="BF"/>
          <w:sz w:val="22"/>
          <w:szCs w:val="22"/>
          <w:lang w:val="en-GB"/>
        </w:rPr>
      </w:pPr>
    </w:p>
    <w:p w14:paraId="317DD6E7" w14:textId="5EC97BE0" w:rsidR="00126A4D" w:rsidRPr="00205B31" w:rsidRDefault="00126A4D" w:rsidP="00B7193E">
      <w:pPr>
        <w:jc w:val="both"/>
        <w:rPr>
          <w:rFonts w:ascii="Arial" w:hAnsi="Arial" w:cs="Arial"/>
          <w:sz w:val="22"/>
          <w:szCs w:val="22"/>
          <w:lang w:val="en-GB"/>
        </w:rPr>
      </w:pP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4699A792" w14:textId="0668AC58" w:rsidR="006973EC" w:rsidRDefault="006973EC" w:rsidP="00C45A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EIRR would not apply.</w:t>
      </w:r>
    </w:p>
    <w:p w14:paraId="147FCF9F" w14:textId="77777777" w:rsidR="006973EC" w:rsidRDefault="006973EC" w:rsidP="00C45A03">
      <w:pPr>
        <w:jc w:val="both"/>
        <w:rPr>
          <w:rFonts w:ascii="Arial" w:hAnsi="Arial" w:cs="Arial"/>
          <w:color w:val="7B7B7B" w:themeColor="accent3" w:themeShade="BF"/>
          <w:sz w:val="22"/>
          <w:szCs w:val="22"/>
          <w:lang w:val="en-GB"/>
        </w:rPr>
      </w:pPr>
    </w:p>
    <w:p w14:paraId="7C5E5F3E" w14:textId="1848206E" w:rsidR="00275182" w:rsidRPr="00F16B0B" w:rsidRDefault="006973EC"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“sunset date” for the EIRR’s applicability in the UK, given the UK’s exit from the EU, was 11pm on 31 December 2020.  Accordingly, Rydell’s </w:t>
      </w:r>
      <w:r w:rsidR="00F16B0B">
        <w:rPr>
          <w:rFonts w:ascii="Arial" w:hAnsi="Arial" w:cs="Arial"/>
          <w:color w:val="7B7B7B" w:themeColor="accent3" w:themeShade="BF"/>
          <w:sz w:val="22"/>
          <w:szCs w:val="22"/>
          <w:lang w:val="en-GB"/>
        </w:rPr>
        <w:t>centre of economic interest</w:t>
      </w:r>
      <w:r>
        <w:rPr>
          <w:rFonts w:ascii="Arial" w:hAnsi="Arial" w:cs="Arial"/>
          <w:color w:val="7B7B7B" w:themeColor="accent3" w:themeShade="BF"/>
          <w:sz w:val="22"/>
          <w:szCs w:val="22"/>
          <w:lang w:val="en-GB"/>
        </w:rPr>
        <w:t xml:space="preserve">, after that date, will no longer be within </w:t>
      </w:r>
      <w:r w:rsidR="0035620D">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he jurisdiction of the EIRR and it cannot apply.</w:t>
      </w: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3CAE42BE" w14:textId="4BF4CCC0" w:rsidR="00015EE6" w:rsidRDefault="0035620D"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Rydell were unregistered with its COMI outside of Europe and formal proceedings were opened in the UK in June ’21, after the UK’s exit from the EU, then EIRR would still not apply to those proceedings although it would apply to Rydell generally if proceedings were opened within the EU (and that proceeding would be the main proceeding).</w:t>
      </w:r>
    </w:p>
    <w:p w14:paraId="1BC30AFE" w14:textId="248972B7" w:rsidR="0035620D" w:rsidRDefault="0035620D"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4802920C" w14:textId="4CF52668" w:rsidR="0035620D" w:rsidRDefault="0035620D"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UK domestic laws allow for the winding up of unregistered companies, including companies registered overseas but not in the UK. The laws applicable in this case, </w:t>
      </w:r>
      <w:proofErr w:type="gramStart"/>
      <w:r>
        <w:rPr>
          <w:rFonts w:ascii="Arial" w:hAnsi="Arial" w:cs="Arial"/>
          <w:color w:val="7B7B7B" w:themeColor="accent3" w:themeShade="BF"/>
          <w:sz w:val="22"/>
          <w:szCs w:val="22"/>
          <w:lang w:val="en-GB"/>
        </w:rPr>
        <w:t>i.e.</w:t>
      </w:r>
      <w:proofErr w:type="gramEnd"/>
      <w:r>
        <w:rPr>
          <w:rFonts w:ascii="Arial" w:hAnsi="Arial" w:cs="Arial"/>
          <w:color w:val="7B7B7B" w:themeColor="accent3" w:themeShade="BF"/>
          <w:sz w:val="22"/>
          <w:szCs w:val="22"/>
          <w:lang w:val="en-GB"/>
        </w:rPr>
        <w:t xml:space="preserve"> to whether a minor creditor could commence proceedings in the UK against Rydell, which is unregistered and does not have its centre of economic interest in the UK, include:</w:t>
      </w:r>
    </w:p>
    <w:p w14:paraId="73CF36F3" w14:textId="6F7BF9F1" w:rsidR="0035620D" w:rsidRDefault="0035620D"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626DA064" w14:textId="42F92777" w:rsidR="0035620D" w:rsidRDefault="0035620D" w:rsidP="0035620D">
      <w:pPr>
        <w:pStyle w:val="ListParagraph"/>
        <w:numPr>
          <w:ilvl w:val="0"/>
          <w:numId w:val="20"/>
        </w:num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S221(5) of the Insolvency Act 1986, which is broad in providing three circumstances in which unregistered companies can be wound up in the UK (being the usual 1- if it is dissolved/not carrying on business/only carrying on business for purpose of winding up; 2- unable to pay its debts; 3- on just and equitable grounds)</w:t>
      </w:r>
    </w:p>
    <w:p w14:paraId="554490D0" w14:textId="77777777" w:rsidR="002B1BDF" w:rsidRDefault="002B1BDF" w:rsidP="0035620D">
      <w:pPr>
        <w:pStyle w:val="ListParagraph"/>
        <w:numPr>
          <w:ilvl w:val="0"/>
          <w:numId w:val="20"/>
        </w:num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w:t>
      </w:r>
      <w:r w:rsidR="0035620D">
        <w:rPr>
          <w:rFonts w:ascii="Arial" w:hAnsi="Arial" w:cs="Arial"/>
          <w:color w:val="7B7B7B" w:themeColor="accent3" w:themeShade="BF"/>
          <w:sz w:val="22"/>
          <w:szCs w:val="22"/>
          <w:lang w:val="en-GB"/>
        </w:rPr>
        <w:t>ommon law principle</w:t>
      </w:r>
      <w:r>
        <w:rPr>
          <w:rFonts w:ascii="Arial" w:hAnsi="Arial" w:cs="Arial"/>
          <w:color w:val="7B7B7B" w:themeColor="accent3" w:themeShade="BF"/>
          <w:sz w:val="22"/>
          <w:szCs w:val="22"/>
          <w:lang w:val="en-GB"/>
        </w:rPr>
        <w:t>s</w:t>
      </w:r>
      <w:r w:rsidR="0035620D">
        <w:rPr>
          <w:rFonts w:ascii="Arial" w:hAnsi="Arial" w:cs="Arial"/>
          <w:color w:val="7B7B7B" w:themeColor="accent3" w:themeShade="BF"/>
          <w:sz w:val="22"/>
          <w:szCs w:val="22"/>
          <w:lang w:val="en-GB"/>
        </w:rPr>
        <w:t xml:space="preserve"> applied by the Courts such that the company must have</w:t>
      </w:r>
      <w:r>
        <w:rPr>
          <w:rFonts w:ascii="Arial" w:hAnsi="Arial" w:cs="Arial"/>
          <w:color w:val="7B7B7B" w:themeColor="accent3" w:themeShade="BF"/>
          <w:sz w:val="22"/>
          <w:szCs w:val="22"/>
          <w:lang w:val="en-GB"/>
        </w:rPr>
        <w:t>:</w:t>
      </w:r>
    </w:p>
    <w:p w14:paraId="3B4319F8" w14:textId="13BC6E02" w:rsidR="0035620D" w:rsidRDefault="0035620D" w:rsidP="002B1BDF">
      <w:pPr>
        <w:pStyle w:val="ListParagraph"/>
        <w:numPr>
          <w:ilvl w:val="1"/>
          <w:numId w:val="20"/>
        </w:num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proofErr w:type="gramStart"/>
      <w:r>
        <w:rPr>
          <w:rFonts w:ascii="Arial" w:hAnsi="Arial" w:cs="Arial"/>
          <w:color w:val="7B7B7B" w:themeColor="accent3" w:themeShade="BF"/>
          <w:sz w:val="22"/>
          <w:szCs w:val="22"/>
          <w:lang w:val="en-GB"/>
        </w:rPr>
        <w:t>sufficient</w:t>
      </w:r>
      <w:proofErr w:type="gramEnd"/>
      <w:r>
        <w:rPr>
          <w:rFonts w:ascii="Arial" w:hAnsi="Arial" w:cs="Arial"/>
          <w:color w:val="7B7B7B" w:themeColor="accent3" w:themeShade="BF"/>
          <w:sz w:val="22"/>
          <w:szCs w:val="22"/>
          <w:lang w:val="en-GB"/>
        </w:rPr>
        <w:t xml:space="preserve"> connection” to the</w:t>
      </w:r>
      <w:r w:rsidR="002B1BDF">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UK</w:t>
      </w:r>
      <w:r w:rsidR="002B1BDF">
        <w:rPr>
          <w:rFonts w:ascii="Arial" w:hAnsi="Arial" w:cs="Arial"/>
          <w:color w:val="7B7B7B" w:themeColor="accent3" w:themeShade="BF"/>
          <w:sz w:val="22"/>
          <w:szCs w:val="22"/>
          <w:lang w:val="en-GB"/>
        </w:rPr>
        <w:t>, including for example (but without exclusion) having assets within the jurisdiction;</w:t>
      </w:r>
    </w:p>
    <w:p w14:paraId="3ED4F78D" w14:textId="4E0EC222" w:rsidR="002B1BDF" w:rsidRDefault="002B1BDF" w:rsidP="002B1BDF">
      <w:pPr>
        <w:pStyle w:val="ListParagraph"/>
        <w:numPr>
          <w:ilvl w:val="1"/>
          <w:numId w:val="20"/>
        </w:num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reasonable possibility of providing benefit, through the winding up process, to those applying for the winding up order, if a winding up order is made</w:t>
      </w:r>
    </w:p>
    <w:p w14:paraId="273A6C58" w14:textId="59CC177C" w:rsidR="002B1BDF" w:rsidRDefault="002B1BDF" w:rsidP="002B1BDF">
      <w:pPr>
        <w:pStyle w:val="ListParagraph"/>
        <w:numPr>
          <w:ilvl w:val="1"/>
          <w:numId w:val="20"/>
        </w:num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At least one person within the jurisdiction of the Court who’s interested in the distribution of the assets of the company.</w:t>
      </w: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headerReference w:type="default" r:id="rId12"/>
      <w:footerReference w:type="even" r:id="rId13"/>
      <w:footerReference w:type="default" r:id="rId14"/>
      <w:head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72A0A" w14:textId="77777777" w:rsidR="00756656" w:rsidRDefault="00756656" w:rsidP="00241B44">
      <w:r>
        <w:separator/>
      </w:r>
    </w:p>
  </w:endnote>
  <w:endnote w:type="continuationSeparator" w:id="0">
    <w:p w14:paraId="0FD4355F" w14:textId="77777777" w:rsidR="00756656" w:rsidRDefault="0075665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1D7EF2">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4868A728" w:rsidR="006E1CB0" w:rsidRPr="0052732A" w:rsidRDefault="00F6157E" w:rsidP="0052732A">
    <w:pPr>
      <w:pStyle w:val="Footer"/>
      <w:ind w:right="360"/>
      <w:rPr>
        <w:rFonts w:ascii="Arial" w:hAnsi="Arial" w:cs="Arial"/>
        <w:sz w:val="18"/>
        <w:szCs w:val="18"/>
      </w:rPr>
    </w:pPr>
    <w:r w:rsidRPr="00F6157E">
      <w:rPr>
        <w:rFonts w:ascii="Arial" w:hAnsi="Arial" w:cs="Arial"/>
        <w:sz w:val="18"/>
        <w:szCs w:val="18"/>
      </w:rPr>
      <w:t>202122-612</w:t>
    </w:r>
    <w:r w:rsidR="006E1CB0"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41551" w14:textId="77777777" w:rsidR="00756656" w:rsidRDefault="00756656" w:rsidP="00241B44">
      <w:r>
        <w:separator/>
      </w:r>
    </w:p>
  </w:footnote>
  <w:footnote w:type="continuationSeparator" w:id="0">
    <w:p w14:paraId="43D619A2" w14:textId="77777777" w:rsidR="00756656" w:rsidRDefault="00756656"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0DAA2" w14:textId="087E7F36" w:rsidR="00F6157E" w:rsidRDefault="00F6157E">
    <w:pPr>
      <w:pStyle w:val="Header"/>
    </w:pPr>
    <w:r>
      <w:rPr>
        <w:noProof/>
      </w:rPr>
      <mc:AlternateContent>
        <mc:Choice Requires="wps">
          <w:drawing>
            <wp:anchor distT="0" distB="0" distL="114300" distR="114300" simplePos="0" relativeHeight="251661312" behindDoc="0" locked="0" layoutInCell="0" allowOverlap="1" wp14:anchorId="77E30099" wp14:editId="26CECC7B">
              <wp:simplePos x="0" y="0"/>
              <wp:positionH relativeFrom="page">
                <wp:posOffset>0</wp:posOffset>
              </wp:positionH>
              <wp:positionV relativeFrom="page">
                <wp:posOffset>190500</wp:posOffset>
              </wp:positionV>
              <wp:extent cx="7560310" cy="252095"/>
              <wp:effectExtent l="0" t="0" r="0" b="14605"/>
              <wp:wrapNone/>
              <wp:docPr id="1" name="MSIPCM781f45c29e5b8623773e4797" descr="{&quot;HashCode&quot;:117260170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DA8E54" w14:textId="1BE56D28" w:rsidR="00F6157E" w:rsidRPr="00E03D2B" w:rsidRDefault="00E03D2B" w:rsidP="00E03D2B">
                          <w:pPr>
                            <w:jc w:val="right"/>
                            <w:rPr>
                              <w:rFonts w:ascii="Arial" w:hAnsi="Arial" w:cs="Arial"/>
                              <w:color w:val="000000"/>
                              <w:sz w:val="16"/>
                            </w:rPr>
                          </w:pPr>
                          <w:r w:rsidRPr="00E03D2B">
                            <w:rPr>
                              <w:rFonts w:ascii="Arial" w:hAnsi="Arial" w:cs="Arial"/>
                              <w:color w:val="000000"/>
                              <w:sz w:val="16"/>
                            </w:rPr>
                            <w:t>Personal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7E30099" id="_x0000_t202" coordsize="21600,21600" o:spt="202" path="m,l,21600r21600,l21600,xe">
              <v:stroke joinstyle="miter"/>
              <v:path gradientshapeok="t" o:connecttype="rect"/>
            </v:shapetype>
            <v:shape id="MSIPCM781f45c29e5b8623773e4797" o:spid="_x0000_s1026" type="#_x0000_t202" alt="{&quot;HashCode&quot;:1172601709,&quot;Height&quot;:841.0,&quot;Width&quot;:595.0,&quot;Placement&quot;:&quot;Header&quot;,&quot;Index&quot;:&quot;Primary&quot;,&quot;Section&quot;:1,&quot;Top&quot;:0.0,&quot;Left&quot;:0.0}" style="position:absolute;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" o:allowincell="f" filled="f" stroked="f" strokeweight=".5pt">
              <v:textbox inset=",0,20pt,0">
                <w:txbxContent>
                  <w:p w14:paraId="30DA8E54" w14:textId="1BE56D28" w:rsidR="00F6157E" w:rsidRPr="00E03D2B" w:rsidRDefault="00E03D2B" w:rsidP="00E03D2B">
                    <w:pPr>
                      <w:jc w:val="right"/>
                      <w:rPr>
                        <w:rFonts w:ascii="Arial" w:hAnsi="Arial" w:cs="Arial"/>
                        <w:color w:val="000000"/>
                        <w:sz w:val="16"/>
                      </w:rPr>
                    </w:pPr>
                    <w:r w:rsidRPr="00E03D2B">
                      <w:rPr>
                        <w:rFonts w:ascii="Arial" w:hAnsi="Arial" w:cs="Arial"/>
                        <w:color w:val="000000"/>
                        <w:sz w:val="16"/>
                      </w:rPr>
                      <w:t>Personal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FB94" w14:textId="436F96CF" w:rsidR="00F6157E" w:rsidRDefault="00F6157E">
    <w:pPr>
      <w:pStyle w:val="Header"/>
    </w:pPr>
    <w:r>
      <w:rPr>
        <w:noProof/>
      </w:rPr>
      <mc:AlternateContent>
        <mc:Choice Requires="wps">
          <w:drawing>
            <wp:anchor distT="0" distB="0" distL="114300" distR="114300" simplePos="0" relativeHeight="251662336" behindDoc="0" locked="0" layoutInCell="0" allowOverlap="1" wp14:anchorId="2AF94DC1" wp14:editId="2B4B22BB">
              <wp:simplePos x="0" y="0"/>
              <wp:positionH relativeFrom="page">
                <wp:posOffset>0</wp:posOffset>
              </wp:positionH>
              <wp:positionV relativeFrom="page">
                <wp:posOffset>190500</wp:posOffset>
              </wp:positionV>
              <wp:extent cx="7560310" cy="252095"/>
              <wp:effectExtent l="0" t="0" r="0" b="14605"/>
              <wp:wrapNone/>
              <wp:docPr id="2" name="MSIPCM9636404990a469c8b08641dc" descr="{&quot;HashCode&quot;:117260170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29F36F" w14:textId="30FF27FF" w:rsidR="00F6157E" w:rsidRPr="00E03D2B" w:rsidRDefault="00E03D2B" w:rsidP="00E03D2B">
                          <w:pPr>
                            <w:jc w:val="right"/>
                            <w:rPr>
                              <w:rFonts w:ascii="Arial" w:hAnsi="Arial" w:cs="Arial"/>
                              <w:color w:val="000000"/>
                              <w:sz w:val="16"/>
                            </w:rPr>
                          </w:pPr>
                          <w:r w:rsidRPr="00E03D2B">
                            <w:rPr>
                              <w:rFonts w:ascii="Arial" w:hAnsi="Arial" w:cs="Arial"/>
                              <w:color w:val="000000"/>
                              <w:sz w:val="16"/>
                            </w:rPr>
                            <w:t>Personal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AF94DC1" id="_x0000_t202" coordsize="21600,21600" o:spt="202" path="m,l,21600r21600,l21600,xe">
              <v:stroke joinstyle="miter"/>
              <v:path gradientshapeok="t" o:connecttype="rect"/>
            </v:shapetype>
            <v:shape id="MSIPCM9636404990a469c8b08641dc" o:spid="_x0000_s1027" type="#_x0000_t202" alt="{&quot;HashCode&quot;:1172601709,&quot;Height&quot;:841.0,&quot;Width&quot;:595.0,&quot;Placement&quot;:&quot;Header&quot;,&quot;Index&quot;:&quot;FirstPage&quot;,&quot;Section&quot;:1,&quot;Top&quot;:0.0,&quot;Left&quot;:0.0}" style="position:absolute;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" o:allowincell="f" filled="f" stroked="f" strokeweight=".5pt">
              <v:textbox inset=",0,20pt,0">
                <w:txbxContent>
                  <w:p w14:paraId="0429F36F" w14:textId="30FF27FF" w:rsidR="00F6157E" w:rsidRPr="00E03D2B" w:rsidRDefault="00E03D2B" w:rsidP="00E03D2B">
                    <w:pPr>
                      <w:jc w:val="right"/>
                      <w:rPr>
                        <w:rFonts w:ascii="Arial" w:hAnsi="Arial" w:cs="Arial"/>
                        <w:color w:val="000000"/>
                        <w:sz w:val="16"/>
                      </w:rPr>
                    </w:pPr>
                    <w:r w:rsidRPr="00E03D2B">
                      <w:rPr>
                        <w:rFonts w:ascii="Arial" w:hAnsi="Arial" w:cs="Arial"/>
                        <w:color w:val="000000"/>
                        <w:sz w:val="16"/>
                      </w:rPr>
                      <w:t>Personal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19E51A0E"/>
    <w:multiLevelType w:val="hybridMultilevel"/>
    <w:tmpl w:val="991EA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7E47CDC"/>
    <w:multiLevelType w:val="hybridMultilevel"/>
    <w:tmpl w:val="CA6AC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4" w15:restartNumberingAfterBreak="0">
    <w:nsid w:val="53593E01"/>
    <w:multiLevelType w:val="hybridMultilevel"/>
    <w:tmpl w:val="C1B86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94654B6"/>
    <w:multiLevelType w:val="hybridMultilevel"/>
    <w:tmpl w:val="2BA4C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9"/>
  </w:num>
  <w:num w:numId="2">
    <w:abstractNumId w:val="10"/>
  </w:num>
  <w:num w:numId="3">
    <w:abstractNumId w:val="19"/>
  </w:num>
  <w:num w:numId="4">
    <w:abstractNumId w:val="5"/>
  </w:num>
  <w:num w:numId="5">
    <w:abstractNumId w:val="2"/>
  </w:num>
  <w:num w:numId="6">
    <w:abstractNumId w:val="16"/>
  </w:num>
  <w:num w:numId="7">
    <w:abstractNumId w:val="3"/>
  </w:num>
  <w:num w:numId="8">
    <w:abstractNumId w:val="1"/>
  </w:num>
  <w:num w:numId="9">
    <w:abstractNumId w:val="0"/>
  </w:num>
  <w:num w:numId="10">
    <w:abstractNumId w:val="7"/>
  </w:num>
  <w:num w:numId="11">
    <w:abstractNumId w:val="12"/>
  </w:num>
  <w:num w:numId="12">
    <w:abstractNumId w:val="17"/>
  </w:num>
  <w:num w:numId="13">
    <w:abstractNumId w:val="13"/>
  </w:num>
  <w:num w:numId="14">
    <w:abstractNumId w:val="8"/>
  </w:num>
  <w:num w:numId="15">
    <w:abstractNumId w:val="11"/>
  </w:num>
  <w:num w:numId="16">
    <w:abstractNumId w:val="15"/>
  </w:num>
  <w:num w:numId="17">
    <w:abstractNumId w:val="18"/>
  </w:num>
  <w:num w:numId="18">
    <w:abstractNumId w:val="14"/>
  </w:num>
  <w:num w:numId="19">
    <w:abstractNumId w:val="6"/>
  </w:num>
  <w:num w:numId="20">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4EC2"/>
    <w:rsid w:val="00055EB9"/>
    <w:rsid w:val="0006130F"/>
    <w:rsid w:val="00062D42"/>
    <w:rsid w:val="00062E85"/>
    <w:rsid w:val="000649D1"/>
    <w:rsid w:val="00064C44"/>
    <w:rsid w:val="00065166"/>
    <w:rsid w:val="0007091D"/>
    <w:rsid w:val="00076483"/>
    <w:rsid w:val="0008155B"/>
    <w:rsid w:val="00081A63"/>
    <w:rsid w:val="00082609"/>
    <w:rsid w:val="000851CC"/>
    <w:rsid w:val="00085349"/>
    <w:rsid w:val="00085D4B"/>
    <w:rsid w:val="00086BDD"/>
    <w:rsid w:val="00090170"/>
    <w:rsid w:val="00090933"/>
    <w:rsid w:val="00093BE8"/>
    <w:rsid w:val="00093FE2"/>
    <w:rsid w:val="0009471C"/>
    <w:rsid w:val="000A01B9"/>
    <w:rsid w:val="000A0C1B"/>
    <w:rsid w:val="000A68ED"/>
    <w:rsid w:val="000A74CA"/>
    <w:rsid w:val="000A7996"/>
    <w:rsid w:val="000B5B93"/>
    <w:rsid w:val="000B5FF1"/>
    <w:rsid w:val="000B609F"/>
    <w:rsid w:val="000D55A8"/>
    <w:rsid w:val="000D57BE"/>
    <w:rsid w:val="000D6876"/>
    <w:rsid w:val="000E0165"/>
    <w:rsid w:val="000E3A82"/>
    <w:rsid w:val="000E3C5A"/>
    <w:rsid w:val="000E4841"/>
    <w:rsid w:val="000E5CB4"/>
    <w:rsid w:val="000F0DC0"/>
    <w:rsid w:val="000F0FFF"/>
    <w:rsid w:val="000F1677"/>
    <w:rsid w:val="000F3D6C"/>
    <w:rsid w:val="000F58B0"/>
    <w:rsid w:val="00100A77"/>
    <w:rsid w:val="00101707"/>
    <w:rsid w:val="00105CBD"/>
    <w:rsid w:val="0010675D"/>
    <w:rsid w:val="001107F2"/>
    <w:rsid w:val="00110E0C"/>
    <w:rsid w:val="001131C6"/>
    <w:rsid w:val="0011473D"/>
    <w:rsid w:val="00115C85"/>
    <w:rsid w:val="0012303D"/>
    <w:rsid w:val="00123855"/>
    <w:rsid w:val="00124B70"/>
    <w:rsid w:val="00125A7C"/>
    <w:rsid w:val="00126A4D"/>
    <w:rsid w:val="00131D42"/>
    <w:rsid w:val="0013278B"/>
    <w:rsid w:val="00135FFC"/>
    <w:rsid w:val="001375E6"/>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779"/>
    <w:rsid w:val="001830DF"/>
    <w:rsid w:val="001833C2"/>
    <w:rsid w:val="00193AB3"/>
    <w:rsid w:val="001966D9"/>
    <w:rsid w:val="00197963"/>
    <w:rsid w:val="001A620B"/>
    <w:rsid w:val="001A7E9A"/>
    <w:rsid w:val="001B0F70"/>
    <w:rsid w:val="001B5016"/>
    <w:rsid w:val="001B6CEE"/>
    <w:rsid w:val="001C45FC"/>
    <w:rsid w:val="001C594A"/>
    <w:rsid w:val="001D1BF7"/>
    <w:rsid w:val="001D4862"/>
    <w:rsid w:val="001D7EF2"/>
    <w:rsid w:val="001E1FB4"/>
    <w:rsid w:val="001E23FD"/>
    <w:rsid w:val="001E25B9"/>
    <w:rsid w:val="001E375F"/>
    <w:rsid w:val="001E392F"/>
    <w:rsid w:val="001E49E0"/>
    <w:rsid w:val="001E7B5A"/>
    <w:rsid w:val="001F1478"/>
    <w:rsid w:val="001F2AF5"/>
    <w:rsid w:val="001F603D"/>
    <w:rsid w:val="001F7412"/>
    <w:rsid w:val="001F7C77"/>
    <w:rsid w:val="00202C2B"/>
    <w:rsid w:val="00205B31"/>
    <w:rsid w:val="0020725B"/>
    <w:rsid w:val="00212B14"/>
    <w:rsid w:val="00216499"/>
    <w:rsid w:val="002164C0"/>
    <w:rsid w:val="00216CB4"/>
    <w:rsid w:val="002173C5"/>
    <w:rsid w:val="00223780"/>
    <w:rsid w:val="0022719C"/>
    <w:rsid w:val="002362AB"/>
    <w:rsid w:val="002400DB"/>
    <w:rsid w:val="002406A4"/>
    <w:rsid w:val="0024116D"/>
    <w:rsid w:val="00241B44"/>
    <w:rsid w:val="00245EFB"/>
    <w:rsid w:val="002529D2"/>
    <w:rsid w:val="0025386E"/>
    <w:rsid w:val="002638B0"/>
    <w:rsid w:val="0026510C"/>
    <w:rsid w:val="0026647A"/>
    <w:rsid w:val="002668D3"/>
    <w:rsid w:val="00266F17"/>
    <w:rsid w:val="002672D0"/>
    <w:rsid w:val="0027242B"/>
    <w:rsid w:val="0027299F"/>
    <w:rsid w:val="00275182"/>
    <w:rsid w:val="00275946"/>
    <w:rsid w:val="00284EBE"/>
    <w:rsid w:val="00286720"/>
    <w:rsid w:val="002872E1"/>
    <w:rsid w:val="00287B2E"/>
    <w:rsid w:val="00287D4D"/>
    <w:rsid w:val="00290116"/>
    <w:rsid w:val="00291379"/>
    <w:rsid w:val="0029433F"/>
    <w:rsid w:val="00294829"/>
    <w:rsid w:val="00295742"/>
    <w:rsid w:val="0029690F"/>
    <w:rsid w:val="002A2A60"/>
    <w:rsid w:val="002A3815"/>
    <w:rsid w:val="002A6646"/>
    <w:rsid w:val="002B1BDF"/>
    <w:rsid w:val="002B1C45"/>
    <w:rsid w:val="002B1ED7"/>
    <w:rsid w:val="002B2970"/>
    <w:rsid w:val="002C1227"/>
    <w:rsid w:val="002C13C8"/>
    <w:rsid w:val="002C259C"/>
    <w:rsid w:val="002C3547"/>
    <w:rsid w:val="002D0021"/>
    <w:rsid w:val="002D10A3"/>
    <w:rsid w:val="002D295D"/>
    <w:rsid w:val="002D3473"/>
    <w:rsid w:val="002E37B7"/>
    <w:rsid w:val="002E4A02"/>
    <w:rsid w:val="002E4A1F"/>
    <w:rsid w:val="002E66F4"/>
    <w:rsid w:val="002F1956"/>
    <w:rsid w:val="002F2B8D"/>
    <w:rsid w:val="002F3440"/>
    <w:rsid w:val="002F3B17"/>
    <w:rsid w:val="002F5DD8"/>
    <w:rsid w:val="002F75A3"/>
    <w:rsid w:val="002F75CD"/>
    <w:rsid w:val="002F7EB5"/>
    <w:rsid w:val="0030201F"/>
    <w:rsid w:val="00303C2F"/>
    <w:rsid w:val="0030558B"/>
    <w:rsid w:val="00306E87"/>
    <w:rsid w:val="00310FC2"/>
    <w:rsid w:val="003144EF"/>
    <w:rsid w:val="00326292"/>
    <w:rsid w:val="00326415"/>
    <w:rsid w:val="00330937"/>
    <w:rsid w:val="00330F31"/>
    <w:rsid w:val="003326F0"/>
    <w:rsid w:val="00334648"/>
    <w:rsid w:val="00336CA6"/>
    <w:rsid w:val="0033768C"/>
    <w:rsid w:val="00337938"/>
    <w:rsid w:val="00340769"/>
    <w:rsid w:val="00340892"/>
    <w:rsid w:val="00341A65"/>
    <w:rsid w:val="00341AA6"/>
    <w:rsid w:val="00342E57"/>
    <w:rsid w:val="00352194"/>
    <w:rsid w:val="00355B57"/>
    <w:rsid w:val="0035620D"/>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4471"/>
    <w:rsid w:val="003D0A6D"/>
    <w:rsid w:val="003D100A"/>
    <w:rsid w:val="003D3045"/>
    <w:rsid w:val="003D4300"/>
    <w:rsid w:val="003D6AC4"/>
    <w:rsid w:val="003E064D"/>
    <w:rsid w:val="003E0B16"/>
    <w:rsid w:val="003E2D1B"/>
    <w:rsid w:val="003E67D1"/>
    <w:rsid w:val="003F655E"/>
    <w:rsid w:val="003F74D9"/>
    <w:rsid w:val="00404EF7"/>
    <w:rsid w:val="00405DC1"/>
    <w:rsid w:val="00414BF9"/>
    <w:rsid w:val="00415DFF"/>
    <w:rsid w:val="00415F1F"/>
    <w:rsid w:val="0042108F"/>
    <w:rsid w:val="004214D4"/>
    <w:rsid w:val="00426969"/>
    <w:rsid w:val="00426B64"/>
    <w:rsid w:val="00430FED"/>
    <w:rsid w:val="00434A8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59E0"/>
    <w:rsid w:val="00470A63"/>
    <w:rsid w:val="00470C55"/>
    <w:rsid w:val="004715C1"/>
    <w:rsid w:val="004731F4"/>
    <w:rsid w:val="00481FC8"/>
    <w:rsid w:val="00482FE3"/>
    <w:rsid w:val="00483EDE"/>
    <w:rsid w:val="00486065"/>
    <w:rsid w:val="00486776"/>
    <w:rsid w:val="004868BB"/>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C1DA6"/>
    <w:rsid w:val="004C2870"/>
    <w:rsid w:val="004C5E4F"/>
    <w:rsid w:val="004C7030"/>
    <w:rsid w:val="004D1A5A"/>
    <w:rsid w:val="004D2FFF"/>
    <w:rsid w:val="004D3721"/>
    <w:rsid w:val="004D64F9"/>
    <w:rsid w:val="004D687E"/>
    <w:rsid w:val="004E1A3F"/>
    <w:rsid w:val="004E4224"/>
    <w:rsid w:val="004E5A14"/>
    <w:rsid w:val="004E622C"/>
    <w:rsid w:val="004E64DB"/>
    <w:rsid w:val="004F1534"/>
    <w:rsid w:val="004F2DD1"/>
    <w:rsid w:val="004F3375"/>
    <w:rsid w:val="004F55F1"/>
    <w:rsid w:val="004F5FDF"/>
    <w:rsid w:val="0050156C"/>
    <w:rsid w:val="005059A4"/>
    <w:rsid w:val="00515756"/>
    <w:rsid w:val="00515F63"/>
    <w:rsid w:val="005177FE"/>
    <w:rsid w:val="0052263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3EB2"/>
    <w:rsid w:val="00560534"/>
    <w:rsid w:val="0056391B"/>
    <w:rsid w:val="005650E2"/>
    <w:rsid w:val="00566D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5ACB"/>
    <w:rsid w:val="005A726D"/>
    <w:rsid w:val="005B2AA0"/>
    <w:rsid w:val="005B503A"/>
    <w:rsid w:val="005B67AC"/>
    <w:rsid w:val="005C01B0"/>
    <w:rsid w:val="005C2790"/>
    <w:rsid w:val="005C36E9"/>
    <w:rsid w:val="005C3B3A"/>
    <w:rsid w:val="005C6778"/>
    <w:rsid w:val="005D0511"/>
    <w:rsid w:val="005D3437"/>
    <w:rsid w:val="005D43E0"/>
    <w:rsid w:val="005D58A3"/>
    <w:rsid w:val="005E1B79"/>
    <w:rsid w:val="005E1EA8"/>
    <w:rsid w:val="005E605E"/>
    <w:rsid w:val="005E645E"/>
    <w:rsid w:val="005F026D"/>
    <w:rsid w:val="005F244F"/>
    <w:rsid w:val="005F2D0B"/>
    <w:rsid w:val="005F453F"/>
    <w:rsid w:val="005F4B31"/>
    <w:rsid w:val="005F5449"/>
    <w:rsid w:val="005F6059"/>
    <w:rsid w:val="006023DE"/>
    <w:rsid w:val="0060397D"/>
    <w:rsid w:val="00610388"/>
    <w:rsid w:val="00612092"/>
    <w:rsid w:val="00612CA5"/>
    <w:rsid w:val="006153EC"/>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A22"/>
    <w:rsid w:val="00653584"/>
    <w:rsid w:val="00654C2F"/>
    <w:rsid w:val="00655438"/>
    <w:rsid w:val="00657087"/>
    <w:rsid w:val="0065715A"/>
    <w:rsid w:val="006661EF"/>
    <w:rsid w:val="006746CB"/>
    <w:rsid w:val="00677AEB"/>
    <w:rsid w:val="00680EF2"/>
    <w:rsid w:val="00682A3E"/>
    <w:rsid w:val="006850AE"/>
    <w:rsid w:val="00686C53"/>
    <w:rsid w:val="00687A1D"/>
    <w:rsid w:val="006973EC"/>
    <w:rsid w:val="00697EA1"/>
    <w:rsid w:val="006A2646"/>
    <w:rsid w:val="006A6530"/>
    <w:rsid w:val="006A695F"/>
    <w:rsid w:val="006A6D1D"/>
    <w:rsid w:val="006B2893"/>
    <w:rsid w:val="006B435A"/>
    <w:rsid w:val="006B4C64"/>
    <w:rsid w:val="006B5AE8"/>
    <w:rsid w:val="006D0529"/>
    <w:rsid w:val="006D564C"/>
    <w:rsid w:val="006D6BD5"/>
    <w:rsid w:val="006E1CB0"/>
    <w:rsid w:val="006E254C"/>
    <w:rsid w:val="006E481A"/>
    <w:rsid w:val="006E5298"/>
    <w:rsid w:val="006E6A1F"/>
    <w:rsid w:val="006E6A6A"/>
    <w:rsid w:val="006E77B0"/>
    <w:rsid w:val="006F6B2E"/>
    <w:rsid w:val="006F734A"/>
    <w:rsid w:val="00700D83"/>
    <w:rsid w:val="00704852"/>
    <w:rsid w:val="00704C24"/>
    <w:rsid w:val="007074E9"/>
    <w:rsid w:val="00707954"/>
    <w:rsid w:val="00707BC5"/>
    <w:rsid w:val="00711E6C"/>
    <w:rsid w:val="00713DA4"/>
    <w:rsid w:val="007142FA"/>
    <w:rsid w:val="00714BF1"/>
    <w:rsid w:val="00721383"/>
    <w:rsid w:val="007216AD"/>
    <w:rsid w:val="00726E9A"/>
    <w:rsid w:val="00727864"/>
    <w:rsid w:val="007333CC"/>
    <w:rsid w:val="007335D8"/>
    <w:rsid w:val="0073399A"/>
    <w:rsid w:val="007369C7"/>
    <w:rsid w:val="00743531"/>
    <w:rsid w:val="007462D9"/>
    <w:rsid w:val="00751986"/>
    <w:rsid w:val="0075428A"/>
    <w:rsid w:val="00756656"/>
    <w:rsid w:val="00756ABD"/>
    <w:rsid w:val="007576A3"/>
    <w:rsid w:val="007603F5"/>
    <w:rsid w:val="00760A70"/>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B7821"/>
    <w:rsid w:val="007C0111"/>
    <w:rsid w:val="007C0663"/>
    <w:rsid w:val="007C1FCC"/>
    <w:rsid w:val="007C2831"/>
    <w:rsid w:val="007C2AA1"/>
    <w:rsid w:val="007C6201"/>
    <w:rsid w:val="007D0348"/>
    <w:rsid w:val="007D1E28"/>
    <w:rsid w:val="007D7C92"/>
    <w:rsid w:val="007D7E30"/>
    <w:rsid w:val="007E1154"/>
    <w:rsid w:val="007E3AA5"/>
    <w:rsid w:val="007E3ADF"/>
    <w:rsid w:val="007E530F"/>
    <w:rsid w:val="007E6BA4"/>
    <w:rsid w:val="007F19A2"/>
    <w:rsid w:val="007F41F8"/>
    <w:rsid w:val="00804000"/>
    <w:rsid w:val="0080454E"/>
    <w:rsid w:val="00804C32"/>
    <w:rsid w:val="00806302"/>
    <w:rsid w:val="00807119"/>
    <w:rsid w:val="00811865"/>
    <w:rsid w:val="00814A55"/>
    <w:rsid w:val="0082483F"/>
    <w:rsid w:val="008279C0"/>
    <w:rsid w:val="00841E70"/>
    <w:rsid w:val="008473AA"/>
    <w:rsid w:val="00852883"/>
    <w:rsid w:val="00852F37"/>
    <w:rsid w:val="008571F6"/>
    <w:rsid w:val="00861E51"/>
    <w:rsid w:val="0086211C"/>
    <w:rsid w:val="00870B96"/>
    <w:rsid w:val="008723F3"/>
    <w:rsid w:val="00873246"/>
    <w:rsid w:val="00875E2E"/>
    <w:rsid w:val="00880F99"/>
    <w:rsid w:val="00881DA8"/>
    <w:rsid w:val="00881DE6"/>
    <w:rsid w:val="008837A6"/>
    <w:rsid w:val="0089145D"/>
    <w:rsid w:val="00896FD7"/>
    <w:rsid w:val="00897428"/>
    <w:rsid w:val="008A30C3"/>
    <w:rsid w:val="008A30EE"/>
    <w:rsid w:val="008A4DF2"/>
    <w:rsid w:val="008A6841"/>
    <w:rsid w:val="008A6CFE"/>
    <w:rsid w:val="008B40E7"/>
    <w:rsid w:val="008B4681"/>
    <w:rsid w:val="008B4B58"/>
    <w:rsid w:val="008B5333"/>
    <w:rsid w:val="008B6223"/>
    <w:rsid w:val="008C4066"/>
    <w:rsid w:val="008C66E0"/>
    <w:rsid w:val="008D0122"/>
    <w:rsid w:val="008D3E17"/>
    <w:rsid w:val="008D5284"/>
    <w:rsid w:val="008D5D34"/>
    <w:rsid w:val="008D7718"/>
    <w:rsid w:val="008E220E"/>
    <w:rsid w:val="008E3339"/>
    <w:rsid w:val="008E64D3"/>
    <w:rsid w:val="008E6F11"/>
    <w:rsid w:val="008F20FC"/>
    <w:rsid w:val="008F466F"/>
    <w:rsid w:val="008F50C4"/>
    <w:rsid w:val="008F5FFE"/>
    <w:rsid w:val="0090037B"/>
    <w:rsid w:val="00905A43"/>
    <w:rsid w:val="009078CE"/>
    <w:rsid w:val="009108EF"/>
    <w:rsid w:val="00911C23"/>
    <w:rsid w:val="00912C79"/>
    <w:rsid w:val="00913FB9"/>
    <w:rsid w:val="00915010"/>
    <w:rsid w:val="0091528C"/>
    <w:rsid w:val="009173D1"/>
    <w:rsid w:val="00923CCC"/>
    <w:rsid w:val="00926D10"/>
    <w:rsid w:val="009275FE"/>
    <w:rsid w:val="00942123"/>
    <w:rsid w:val="0094263A"/>
    <w:rsid w:val="00946EE0"/>
    <w:rsid w:val="0095029B"/>
    <w:rsid w:val="0095207B"/>
    <w:rsid w:val="009533CB"/>
    <w:rsid w:val="00953B5C"/>
    <w:rsid w:val="0095526F"/>
    <w:rsid w:val="00955CE0"/>
    <w:rsid w:val="009609CA"/>
    <w:rsid w:val="00962045"/>
    <w:rsid w:val="00965A36"/>
    <w:rsid w:val="00966E44"/>
    <w:rsid w:val="009708BB"/>
    <w:rsid w:val="009727DF"/>
    <w:rsid w:val="009729E8"/>
    <w:rsid w:val="00975640"/>
    <w:rsid w:val="00976DA5"/>
    <w:rsid w:val="009773BA"/>
    <w:rsid w:val="00981608"/>
    <w:rsid w:val="0098635D"/>
    <w:rsid w:val="00991272"/>
    <w:rsid w:val="00991428"/>
    <w:rsid w:val="00992676"/>
    <w:rsid w:val="009A5354"/>
    <w:rsid w:val="009A6A10"/>
    <w:rsid w:val="009A7172"/>
    <w:rsid w:val="009B0723"/>
    <w:rsid w:val="009B07AD"/>
    <w:rsid w:val="009B0883"/>
    <w:rsid w:val="009B15E2"/>
    <w:rsid w:val="009C0B8E"/>
    <w:rsid w:val="009C1527"/>
    <w:rsid w:val="009C1BC8"/>
    <w:rsid w:val="009C2442"/>
    <w:rsid w:val="009C2628"/>
    <w:rsid w:val="009C27B1"/>
    <w:rsid w:val="009D0811"/>
    <w:rsid w:val="009D0E12"/>
    <w:rsid w:val="009D0EE1"/>
    <w:rsid w:val="009D43D0"/>
    <w:rsid w:val="009D510C"/>
    <w:rsid w:val="009D5CDB"/>
    <w:rsid w:val="009D6709"/>
    <w:rsid w:val="009E13C1"/>
    <w:rsid w:val="009E2AEB"/>
    <w:rsid w:val="009E2E27"/>
    <w:rsid w:val="009E44C0"/>
    <w:rsid w:val="009E4DE3"/>
    <w:rsid w:val="009E50C1"/>
    <w:rsid w:val="009F0C29"/>
    <w:rsid w:val="00A047EE"/>
    <w:rsid w:val="00A057CA"/>
    <w:rsid w:val="00A149B7"/>
    <w:rsid w:val="00A177BC"/>
    <w:rsid w:val="00A17930"/>
    <w:rsid w:val="00A2274A"/>
    <w:rsid w:val="00A235B7"/>
    <w:rsid w:val="00A249AC"/>
    <w:rsid w:val="00A27A7A"/>
    <w:rsid w:val="00A301D1"/>
    <w:rsid w:val="00A31881"/>
    <w:rsid w:val="00A407EF"/>
    <w:rsid w:val="00A411B7"/>
    <w:rsid w:val="00A46B4C"/>
    <w:rsid w:val="00A5117B"/>
    <w:rsid w:val="00A54BCB"/>
    <w:rsid w:val="00A560B6"/>
    <w:rsid w:val="00A56CF7"/>
    <w:rsid w:val="00A56DBC"/>
    <w:rsid w:val="00A60074"/>
    <w:rsid w:val="00A646E2"/>
    <w:rsid w:val="00A651A9"/>
    <w:rsid w:val="00A6627C"/>
    <w:rsid w:val="00A71019"/>
    <w:rsid w:val="00A73EC3"/>
    <w:rsid w:val="00A81029"/>
    <w:rsid w:val="00A82AFB"/>
    <w:rsid w:val="00A8485D"/>
    <w:rsid w:val="00A96062"/>
    <w:rsid w:val="00A96489"/>
    <w:rsid w:val="00A96BB0"/>
    <w:rsid w:val="00A97D88"/>
    <w:rsid w:val="00AA0E39"/>
    <w:rsid w:val="00AA23CE"/>
    <w:rsid w:val="00AA5A58"/>
    <w:rsid w:val="00AA670C"/>
    <w:rsid w:val="00AB5A37"/>
    <w:rsid w:val="00AB61D6"/>
    <w:rsid w:val="00AB685C"/>
    <w:rsid w:val="00AB6C2D"/>
    <w:rsid w:val="00AC08F7"/>
    <w:rsid w:val="00AC126D"/>
    <w:rsid w:val="00AC3839"/>
    <w:rsid w:val="00AC7082"/>
    <w:rsid w:val="00AD0662"/>
    <w:rsid w:val="00AD1B6B"/>
    <w:rsid w:val="00AD42FA"/>
    <w:rsid w:val="00AD74AD"/>
    <w:rsid w:val="00AE027F"/>
    <w:rsid w:val="00AF228E"/>
    <w:rsid w:val="00AF455B"/>
    <w:rsid w:val="00B0123F"/>
    <w:rsid w:val="00B04004"/>
    <w:rsid w:val="00B14819"/>
    <w:rsid w:val="00B17AA9"/>
    <w:rsid w:val="00B221FF"/>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6053"/>
    <w:rsid w:val="00B7193E"/>
    <w:rsid w:val="00B72999"/>
    <w:rsid w:val="00B72FD7"/>
    <w:rsid w:val="00B736DF"/>
    <w:rsid w:val="00B74FBD"/>
    <w:rsid w:val="00B82586"/>
    <w:rsid w:val="00B829A3"/>
    <w:rsid w:val="00B86537"/>
    <w:rsid w:val="00B86DB1"/>
    <w:rsid w:val="00B87869"/>
    <w:rsid w:val="00B87A61"/>
    <w:rsid w:val="00B92D5B"/>
    <w:rsid w:val="00B9417E"/>
    <w:rsid w:val="00BA1648"/>
    <w:rsid w:val="00BA2637"/>
    <w:rsid w:val="00BA35FF"/>
    <w:rsid w:val="00BB09FD"/>
    <w:rsid w:val="00BB0F2B"/>
    <w:rsid w:val="00BB5A37"/>
    <w:rsid w:val="00BB6955"/>
    <w:rsid w:val="00BB6F7A"/>
    <w:rsid w:val="00BC48EB"/>
    <w:rsid w:val="00BC585F"/>
    <w:rsid w:val="00BC5D7D"/>
    <w:rsid w:val="00BD0299"/>
    <w:rsid w:val="00BD23B4"/>
    <w:rsid w:val="00BD3363"/>
    <w:rsid w:val="00BD3F18"/>
    <w:rsid w:val="00BD64FB"/>
    <w:rsid w:val="00BD7D49"/>
    <w:rsid w:val="00BF2B49"/>
    <w:rsid w:val="00BF2E7A"/>
    <w:rsid w:val="00BF3D02"/>
    <w:rsid w:val="00BF40B9"/>
    <w:rsid w:val="00BF50F7"/>
    <w:rsid w:val="00BF5D90"/>
    <w:rsid w:val="00C00231"/>
    <w:rsid w:val="00C01017"/>
    <w:rsid w:val="00C02F29"/>
    <w:rsid w:val="00C15A16"/>
    <w:rsid w:val="00C1724E"/>
    <w:rsid w:val="00C20AFE"/>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71F4F"/>
    <w:rsid w:val="00C72848"/>
    <w:rsid w:val="00C750BA"/>
    <w:rsid w:val="00C7614B"/>
    <w:rsid w:val="00C7736C"/>
    <w:rsid w:val="00C80272"/>
    <w:rsid w:val="00C82D87"/>
    <w:rsid w:val="00C8712A"/>
    <w:rsid w:val="00C92A0D"/>
    <w:rsid w:val="00C963D3"/>
    <w:rsid w:val="00CA1802"/>
    <w:rsid w:val="00CB262C"/>
    <w:rsid w:val="00CB2CBB"/>
    <w:rsid w:val="00CB7283"/>
    <w:rsid w:val="00CB7CAC"/>
    <w:rsid w:val="00CC467D"/>
    <w:rsid w:val="00CC5335"/>
    <w:rsid w:val="00CC579C"/>
    <w:rsid w:val="00CC5BA4"/>
    <w:rsid w:val="00CC7728"/>
    <w:rsid w:val="00CD0FFE"/>
    <w:rsid w:val="00CD34DB"/>
    <w:rsid w:val="00CD377A"/>
    <w:rsid w:val="00CD4998"/>
    <w:rsid w:val="00CE1035"/>
    <w:rsid w:val="00CE62CA"/>
    <w:rsid w:val="00CF2819"/>
    <w:rsid w:val="00CF4F9D"/>
    <w:rsid w:val="00CF5AD8"/>
    <w:rsid w:val="00CF70DC"/>
    <w:rsid w:val="00CF717B"/>
    <w:rsid w:val="00D068C5"/>
    <w:rsid w:val="00D07F87"/>
    <w:rsid w:val="00D148DC"/>
    <w:rsid w:val="00D16371"/>
    <w:rsid w:val="00D1688E"/>
    <w:rsid w:val="00D17FDC"/>
    <w:rsid w:val="00D223E4"/>
    <w:rsid w:val="00D256C6"/>
    <w:rsid w:val="00D25F51"/>
    <w:rsid w:val="00D35229"/>
    <w:rsid w:val="00D35ADE"/>
    <w:rsid w:val="00D35EAE"/>
    <w:rsid w:val="00D4685B"/>
    <w:rsid w:val="00D57C59"/>
    <w:rsid w:val="00D60215"/>
    <w:rsid w:val="00D60874"/>
    <w:rsid w:val="00D63EFD"/>
    <w:rsid w:val="00D6588F"/>
    <w:rsid w:val="00D676F1"/>
    <w:rsid w:val="00D714E4"/>
    <w:rsid w:val="00D84752"/>
    <w:rsid w:val="00D86A74"/>
    <w:rsid w:val="00D86B3B"/>
    <w:rsid w:val="00D8748A"/>
    <w:rsid w:val="00D905E4"/>
    <w:rsid w:val="00D93196"/>
    <w:rsid w:val="00D931A2"/>
    <w:rsid w:val="00DA42EF"/>
    <w:rsid w:val="00DB243C"/>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4D51"/>
    <w:rsid w:val="00DF75F8"/>
    <w:rsid w:val="00DF7A3A"/>
    <w:rsid w:val="00DF7AD4"/>
    <w:rsid w:val="00E009E1"/>
    <w:rsid w:val="00E00C00"/>
    <w:rsid w:val="00E00E54"/>
    <w:rsid w:val="00E03D2B"/>
    <w:rsid w:val="00E041F9"/>
    <w:rsid w:val="00E05837"/>
    <w:rsid w:val="00E07C5A"/>
    <w:rsid w:val="00E10A73"/>
    <w:rsid w:val="00E12C13"/>
    <w:rsid w:val="00E15BA9"/>
    <w:rsid w:val="00E161D2"/>
    <w:rsid w:val="00E177E2"/>
    <w:rsid w:val="00E22DE4"/>
    <w:rsid w:val="00E26E19"/>
    <w:rsid w:val="00E31DF3"/>
    <w:rsid w:val="00E37049"/>
    <w:rsid w:val="00E44823"/>
    <w:rsid w:val="00E450A4"/>
    <w:rsid w:val="00E506BE"/>
    <w:rsid w:val="00E518B6"/>
    <w:rsid w:val="00E525B9"/>
    <w:rsid w:val="00E529C3"/>
    <w:rsid w:val="00E54ADD"/>
    <w:rsid w:val="00E55547"/>
    <w:rsid w:val="00E55E9B"/>
    <w:rsid w:val="00E6211B"/>
    <w:rsid w:val="00E6302B"/>
    <w:rsid w:val="00E643A8"/>
    <w:rsid w:val="00E6452F"/>
    <w:rsid w:val="00E64F45"/>
    <w:rsid w:val="00E6742D"/>
    <w:rsid w:val="00E71CB0"/>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B02BE"/>
    <w:rsid w:val="00EB146B"/>
    <w:rsid w:val="00EB2845"/>
    <w:rsid w:val="00EB45AC"/>
    <w:rsid w:val="00EB488B"/>
    <w:rsid w:val="00EB6668"/>
    <w:rsid w:val="00EB6A2F"/>
    <w:rsid w:val="00EC3875"/>
    <w:rsid w:val="00EC549E"/>
    <w:rsid w:val="00EC6E55"/>
    <w:rsid w:val="00ED0BC4"/>
    <w:rsid w:val="00ED151E"/>
    <w:rsid w:val="00ED617A"/>
    <w:rsid w:val="00EE1A0E"/>
    <w:rsid w:val="00EE4971"/>
    <w:rsid w:val="00EE5A48"/>
    <w:rsid w:val="00EE6390"/>
    <w:rsid w:val="00EE7278"/>
    <w:rsid w:val="00EF090E"/>
    <w:rsid w:val="00EF16B6"/>
    <w:rsid w:val="00EF1B1A"/>
    <w:rsid w:val="00EF2D08"/>
    <w:rsid w:val="00EF5705"/>
    <w:rsid w:val="00EF6653"/>
    <w:rsid w:val="00F033DA"/>
    <w:rsid w:val="00F0424E"/>
    <w:rsid w:val="00F106CE"/>
    <w:rsid w:val="00F1096A"/>
    <w:rsid w:val="00F13FB1"/>
    <w:rsid w:val="00F15181"/>
    <w:rsid w:val="00F1640B"/>
    <w:rsid w:val="00F16B0B"/>
    <w:rsid w:val="00F2025D"/>
    <w:rsid w:val="00F27CD8"/>
    <w:rsid w:val="00F30351"/>
    <w:rsid w:val="00F3323E"/>
    <w:rsid w:val="00F341F4"/>
    <w:rsid w:val="00F34F9D"/>
    <w:rsid w:val="00F34FAD"/>
    <w:rsid w:val="00F3554C"/>
    <w:rsid w:val="00F35CCE"/>
    <w:rsid w:val="00F35D73"/>
    <w:rsid w:val="00F366E1"/>
    <w:rsid w:val="00F42B4B"/>
    <w:rsid w:val="00F4376C"/>
    <w:rsid w:val="00F45599"/>
    <w:rsid w:val="00F50D48"/>
    <w:rsid w:val="00F52E31"/>
    <w:rsid w:val="00F54776"/>
    <w:rsid w:val="00F5524B"/>
    <w:rsid w:val="00F5710B"/>
    <w:rsid w:val="00F6157E"/>
    <w:rsid w:val="00F61DD2"/>
    <w:rsid w:val="00F63720"/>
    <w:rsid w:val="00F65FB6"/>
    <w:rsid w:val="00F66AFF"/>
    <w:rsid w:val="00F71433"/>
    <w:rsid w:val="00F71CE8"/>
    <w:rsid w:val="00F738B0"/>
    <w:rsid w:val="00F83231"/>
    <w:rsid w:val="00F85A51"/>
    <w:rsid w:val="00F85DB2"/>
    <w:rsid w:val="00F91FA7"/>
    <w:rsid w:val="00F96AF1"/>
    <w:rsid w:val="00F97C5B"/>
    <w:rsid w:val="00FA29FD"/>
    <w:rsid w:val="00FA2A46"/>
    <w:rsid w:val="00FA3739"/>
    <w:rsid w:val="00FA3D50"/>
    <w:rsid w:val="00FA43E7"/>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12</Pages>
  <Words>4506</Words>
  <Characters>24293</Characters>
  <Application>Microsoft Office Word</Application>
  <DocSecurity>0</DocSecurity>
  <Lines>578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Jacob Versteegh</cp:lastModifiedBy>
  <cp:revision>24</cp:revision>
  <cp:lastPrinted>2020-06-12T02:43:00Z</cp:lastPrinted>
  <dcterms:created xsi:type="dcterms:W3CDTF">2021-08-03T16:38:00Z</dcterms:created>
  <dcterms:modified xsi:type="dcterms:W3CDTF">2021-11-15T12:36:00Z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y fmtid="{D5CDD505-2E9C-101B-9397-08002B2CF9AE}" pid="3" name="MSIP_Label_5c2dd18a-56f8-420d-b94d-d53656b45a55_Enabled">
    <vt:lpwstr>true</vt:lpwstr>
  </property>
  <property fmtid="{D5CDD505-2E9C-101B-9397-08002B2CF9AE}" pid="4" name="MSIP_Label_5c2dd18a-56f8-420d-b94d-d53656b45a55_SetDate">
    <vt:lpwstr>2021-11-13T16:23:21Z</vt:lpwstr>
  </property>
  <property fmtid="{D5CDD505-2E9C-101B-9397-08002B2CF9AE}" pid="5" name="MSIP_Label_5c2dd18a-56f8-420d-b94d-d53656b45a55_Method">
    <vt:lpwstr>Privileged</vt:lpwstr>
  </property>
  <property fmtid="{D5CDD505-2E9C-101B-9397-08002B2CF9AE}" pid="6" name="MSIP_Label_5c2dd18a-56f8-420d-b94d-d53656b45a55_Name">
    <vt:lpwstr>5c2dd18a-56f8-420d-b94d-d53656b45a55</vt:lpwstr>
  </property>
  <property fmtid="{D5CDD505-2E9C-101B-9397-08002B2CF9AE}" pid="7" name="MSIP_Label_5c2dd18a-56f8-420d-b94d-d53656b45a55_SiteId">
    <vt:lpwstr>b723253f-7281-4adc-bc1c-fc9ef3674d78</vt:lpwstr>
  </property>
  <property fmtid="{D5CDD505-2E9C-101B-9397-08002B2CF9AE}" pid="8" name="MSIP_Label_5c2dd18a-56f8-420d-b94d-d53656b45a55_ActionId">
    <vt:lpwstr>5bd6c6fa-75c3-433b-83ab-9df5f7824762</vt:lpwstr>
  </property>
  <property fmtid="{D5CDD505-2E9C-101B-9397-08002B2CF9AE}" pid="9" name="MSIP_Label_5c2dd18a-56f8-420d-b94d-d53656b45a55_ContentBits">
    <vt:lpwstr>1</vt:lpwstr>
  </property>
</Properties>
</file>