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523053A6" w:rsidR="004B23A2" w:rsidRDefault="00367162" w:rsidP="006B4473">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7C498E"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a3"/>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a3"/>
        <w:ind w:left="426"/>
        <w:jc w:val="both"/>
        <w:rPr>
          <w:rFonts w:ascii="Arial" w:hAnsi="Arial" w:cs="Arial"/>
          <w:sz w:val="22"/>
          <w:szCs w:val="22"/>
          <w:lang w:val="en-GB"/>
        </w:rPr>
      </w:pPr>
    </w:p>
    <w:p w14:paraId="3A5379A8" w14:textId="640837BF" w:rsidR="00C60631" w:rsidRPr="00205B31" w:rsidRDefault="00C60631" w:rsidP="009D510C">
      <w:pPr>
        <w:pStyle w:val="a3"/>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a3"/>
        <w:ind w:left="426"/>
        <w:rPr>
          <w:rFonts w:ascii="Arial" w:hAnsi="Arial" w:cs="Arial"/>
          <w:sz w:val="22"/>
          <w:szCs w:val="22"/>
          <w:lang w:val="en-GB"/>
        </w:rPr>
      </w:pPr>
    </w:p>
    <w:p w14:paraId="0C8A950B" w14:textId="2BF27228" w:rsidR="00C60631" w:rsidRPr="004956C7" w:rsidRDefault="00C60631" w:rsidP="009D510C">
      <w:pPr>
        <w:pStyle w:val="a3"/>
        <w:numPr>
          <w:ilvl w:val="0"/>
          <w:numId w:val="12"/>
        </w:numPr>
        <w:ind w:left="426"/>
        <w:jc w:val="both"/>
        <w:rPr>
          <w:rFonts w:ascii="Arial" w:hAnsi="Arial" w:cs="Arial"/>
          <w:sz w:val="22"/>
          <w:szCs w:val="22"/>
          <w:highlight w:val="yellow"/>
          <w:lang w:val="en-GB"/>
        </w:rPr>
      </w:pPr>
      <w:r w:rsidRPr="004956C7">
        <w:rPr>
          <w:rFonts w:ascii="Arial" w:hAnsi="Arial" w:cs="Arial"/>
          <w:sz w:val="22"/>
          <w:szCs w:val="22"/>
          <w:highlight w:val="yellow"/>
          <w:lang w:val="en-GB"/>
        </w:rPr>
        <w:t xml:space="preserve">This statement is incorrect since </w:t>
      </w:r>
      <w:r w:rsidR="00E7793C" w:rsidRPr="004956C7">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a3"/>
        <w:ind w:left="426"/>
        <w:rPr>
          <w:rFonts w:ascii="Arial" w:hAnsi="Arial" w:cs="Arial"/>
          <w:sz w:val="22"/>
          <w:szCs w:val="22"/>
          <w:lang w:val="en-GB"/>
        </w:rPr>
      </w:pPr>
    </w:p>
    <w:p w14:paraId="0DCFE971" w14:textId="0AB341B1" w:rsidR="00E7793C" w:rsidRPr="00205B31" w:rsidRDefault="00E7793C" w:rsidP="009D510C">
      <w:pPr>
        <w:pStyle w:val="a3"/>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a3"/>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a3"/>
        <w:ind w:left="426" w:hanging="360"/>
        <w:jc w:val="both"/>
        <w:rPr>
          <w:rFonts w:ascii="Arial" w:hAnsi="Arial" w:cs="Arial"/>
          <w:sz w:val="22"/>
          <w:szCs w:val="22"/>
          <w:lang w:val="en-GB"/>
        </w:rPr>
      </w:pPr>
    </w:p>
    <w:p w14:paraId="62B41459" w14:textId="77777777" w:rsidR="00AE027F" w:rsidRPr="00205B31" w:rsidRDefault="00E7793C" w:rsidP="009D510C">
      <w:pPr>
        <w:pStyle w:val="a3"/>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a3"/>
        <w:ind w:left="426" w:hanging="360"/>
        <w:rPr>
          <w:rFonts w:ascii="Arial" w:hAnsi="Arial" w:cs="Arial"/>
          <w:sz w:val="22"/>
          <w:szCs w:val="22"/>
          <w:lang w:val="en-GB"/>
        </w:rPr>
      </w:pPr>
    </w:p>
    <w:p w14:paraId="60F45659" w14:textId="42DF7EA5" w:rsidR="00AE027F" w:rsidRPr="00205B31" w:rsidRDefault="00AE027F" w:rsidP="009D510C">
      <w:pPr>
        <w:pStyle w:val="a3"/>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a3"/>
        <w:ind w:left="426" w:hanging="360"/>
        <w:rPr>
          <w:rFonts w:ascii="Arial" w:hAnsi="Arial" w:cs="Arial"/>
          <w:sz w:val="22"/>
          <w:szCs w:val="22"/>
          <w:lang w:val="en-GB"/>
        </w:rPr>
      </w:pPr>
    </w:p>
    <w:p w14:paraId="095097C0" w14:textId="5CFDC719" w:rsidR="00E7793C" w:rsidRPr="004956C7" w:rsidRDefault="00AE027F" w:rsidP="009D510C">
      <w:pPr>
        <w:pStyle w:val="a3"/>
        <w:numPr>
          <w:ilvl w:val="0"/>
          <w:numId w:val="13"/>
        </w:numPr>
        <w:jc w:val="both"/>
        <w:rPr>
          <w:rFonts w:ascii="Arial" w:hAnsi="Arial" w:cs="Arial"/>
          <w:sz w:val="22"/>
          <w:szCs w:val="22"/>
          <w:highlight w:val="yellow"/>
          <w:lang w:val="en-GB"/>
        </w:rPr>
      </w:pPr>
      <w:r w:rsidRPr="004956C7">
        <w:rPr>
          <w:rFonts w:ascii="Arial" w:hAnsi="Arial" w:cs="Arial"/>
          <w:sz w:val="22"/>
          <w:szCs w:val="22"/>
          <w:highlight w:val="yellow"/>
          <w:lang w:val="en-GB"/>
        </w:rPr>
        <w:t>The statement i</w:t>
      </w:r>
      <w:r w:rsidR="006E77B0" w:rsidRPr="004956C7">
        <w:rPr>
          <w:rFonts w:ascii="Arial" w:hAnsi="Arial" w:cs="Arial"/>
          <w:sz w:val="22"/>
          <w:szCs w:val="22"/>
          <w:highlight w:val="yellow"/>
          <w:lang w:val="en-GB"/>
        </w:rPr>
        <w:t>s incorrect since the UK did re</w:t>
      </w:r>
      <w:r w:rsidRPr="004956C7">
        <w:rPr>
          <w:rFonts w:ascii="Arial" w:hAnsi="Arial" w:cs="Arial"/>
          <w:sz w:val="22"/>
          <w:szCs w:val="22"/>
          <w:highlight w:val="yellow"/>
          <w:lang w:val="en-GB"/>
        </w:rPr>
        <w:t>v</w:t>
      </w:r>
      <w:r w:rsidR="006E77B0" w:rsidRPr="004956C7">
        <w:rPr>
          <w:rFonts w:ascii="Arial" w:hAnsi="Arial" w:cs="Arial"/>
          <w:sz w:val="22"/>
          <w:szCs w:val="22"/>
          <w:highlight w:val="yellow"/>
          <w:lang w:val="en-GB"/>
        </w:rPr>
        <w:t>i</w:t>
      </w:r>
      <w:r w:rsidRPr="004956C7">
        <w:rPr>
          <w:rFonts w:ascii="Arial" w:hAnsi="Arial" w:cs="Arial"/>
          <w:sz w:val="22"/>
          <w:szCs w:val="22"/>
          <w:highlight w:val="yellow"/>
          <w:lang w:val="en-GB"/>
        </w:rPr>
        <w:t>ew parts of its insolvency rules and amended some, among</w:t>
      </w:r>
      <w:r w:rsidR="006E77B0" w:rsidRPr="004956C7">
        <w:rPr>
          <w:rFonts w:ascii="Arial" w:hAnsi="Arial" w:cs="Arial"/>
          <w:sz w:val="22"/>
          <w:szCs w:val="22"/>
          <w:highlight w:val="yellow"/>
          <w:lang w:val="en-GB"/>
        </w:rPr>
        <w:t>s</w:t>
      </w:r>
      <w:r w:rsidRPr="004956C7">
        <w:rPr>
          <w:rFonts w:ascii="Arial" w:hAnsi="Arial" w:cs="Arial"/>
          <w:sz w:val="22"/>
          <w:szCs w:val="22"/>
          <w:highlight w:val="yellow"/>
          <w:lang w:val="en-GB"/>
        </w:rPr>
        <w:t>t other</w:t>
      </w:r>
      <w:r w:rsidR="00F96AF1" w:rsidRPr="004956C7">
        <w:rPr>
          <w:rFonts w:ascii="Arial" w:hAnsi="Arial" w:cs="Arial"/>
          <w:sz w:val="22"/>
          <w:szCs w:val="22"/>
          <w:highlight w:val="yellow"/>
          <w:lang w:val="en-GB"/>
        </w:rPr>
        <w:t xml:space="preserve"> things</w:t>
      </w:r>
      <w:r w:rsidRPr="004956C7">
        <w:rPr>
          <w:rFonts w:ascii="Arial" w:hAnsi="Arial" w:cs="Arial"/>
          <w:sz w:val="22"/>
          <w:szCs w:val="22"/>
          <w:highlight w:val="yellow"/>
          <w:lang w:val="en-GB"/>
        </w:rPr>
        <w:t>, to deal with the negative economic fall out of the pandemic.</w:t>
      </w:r>
      <w:r w:rsidR="00100A77" w:rsidRPr="004956C7">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a3"/>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a3"/>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a3"/>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a3"/>
        <w:ind w:left="426"/>
        <w:rPr>
          <w:rFonts w:ascii="Arial" w:hAnsi="Arial" w:cs="Arial"/>
          <w:sz w:val="22"/>
          <w:szCs w:val="22"/>
          <w:lang w:val="en-GB"/>
        </w:rPr>
      </w:pPr>
    </w:p>
    <w:p w14:paraId="633F6419" w14:textId="77777777" w:rsidR="00B54F90" w:rsidRPr="00205B31" w:rsidRDefault="00B54F90" w:rsidP="009D510C">
      <w:pPr>
        <w:pStyle w:val="a3"/>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a3"/>
        <w:ind w:left="426"/>
        <w:rPr>
          <w:rFonts w:ascii="Arial" w:hAnsi="Arial" w:cs="Arial"/>
          <w:sz w:val="22"/>
          <w:szCs w:val="22"/>
          <w:lang w:val="en-GB"/>
        </w:rPr>
      </w:pPr>
    </w:p>
    <w:p w14:paraId="77ADD601" w14:textId="2D159736" w:rsidR="00B54F90" w:rsidRPr="00253BDE" w:rsidRDefault="00B54F90" w:rsidP="009D510C">
      <w:pPr>
        <w:pStyle w:val="a3"/>
        <w:numPr>
          <w:ilvl w:val="0"/>
          <w:numId w:val="14"/>
        </w:numPr>
        <w:ind w:left="426"/>
        <w:jc w:val="both"/>
        <w:rPr>
          <w:rFonts w:ascii="Arial" w:hAnsi="Arial" w:cs="Arial"/>
          <w:sz w:val="22"/>
          <w:szCs w:val="22"/>
          <w:highlight w:val="yellow"/>
          <w:lang w:val="en-GB"/>
        </w:rPr>
      </w:pPr>
      <w:r w:rsidRPr="00253BDE">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253BDE">
        <w:rPr>
          <w:rFonts w:ascii="Arial" w:hAnsi="Arial" w:cs="Arial"/>
          <w:sz w:val="22"/>
          <w:szCs w:val="22"/>
          <w:highlight w:val="yellow"/>
          <w:lang w:val="en-GB"/>
        </w:rPr>
        <w:t xml:space="preserve">on </w:t>
      </w:r>
      <w:r w:rsidRPr="00253BDE">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a3"/>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a3"/>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a3"/>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a3"/>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53BDE" w:rsidRDefault="006E1CB0" w:rsidP="009D510C">
      <w:pPr>
        <w:pStyle w:val="a3"/>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253BDE">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a3"/>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a3"/>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53BDE" w:rsidRDefault="00926D10" w:rsidP="009D510C">
      <w:pPr>
        <w:pStyle w:val="a3"/>
        <w:numPr>
          <w:ilvl w:val="0"/>
          <w:numId w:val="5"/>
        </w:numPr>
        <w:ind w:left="426"/>
        <w:jc w:val="both"/>
        <w:rPr>
          <w:rFonts w:ascii="Arial" w:hAnsi="Arial" w:cs="Arial"/>
          <w:sz w:val="22"/>
          <w:szCs w:val="22"/>
          <w:highlight w:val="yellow"/>
          <w:lang w:val="en-GB"/>
        </w:rPr>
      </w:pPr>
      <w:r w:rsidRPr="00253BDE">
        <w:rPr>
          <w:rFonts w:ascii="Arial" w:hAnsi="Arial" w:cs="Arial"/>
          <w:sz w:val="22"/>
          <w:szCs w:val="22"/>
          <w:highlight w:val="yellow"/>
          <w:lang w:val="en-GB"/>
        </w:rPr>
        <w:t xml:space="preserve">The statement is </w:t>
      </w:r>
      <w:r w:rsidR="006E1CB0" w:rsidRPr="00253BDE">
        <w:rPr>
          <w:rFonts w:ascii="Arial" w:hAnsi="Arial" w:cs="Arial"/>
          <w:sz w:val="22"/>
          <w:szCs w:val="22"/>
          <w:highlight w:val="yellow"/>
          <w:lang w:val="en-GB"/>
        </w:rPr>
        <w:t xml:space="preserve">not </w:t>
      </w:r>
      <w:r w:rsidRPr="00253BDE">
        <w:rPr>
          <w:rFonts w:ascii="Arial" w:hAnsi="Arial" w:cs="Arial"/>
          <w:sz w:val="22"/>
          <w:szCs w:val="22"/>
          <w:highlight w:val="yellow"/>
          <w:lang w:val="en-GB"/>
        </w:rPr>
        <w:t xml:space="preserve">correct </w:t>
      </w:r>
      <w:r w:rsidR="007958F0" w:rsidRPr="00253BDE">
        <w:rPr>
          <w:rFonts w:ascii="Arial" w:hAnsi="Arial" w:cs="Arial"/>
          <w:sz w:val="22"/>
          <w:szCs w:val="22"/>
          <w:highlight w:val="yellow"/>
          <w:lang w:val="en-GB"/>
        </w:rPr>
        <w:t>because</w:t>
      </w:r>
      <w:r w:rsidRPr="00253BDE">
        <w:rPr>
          <w:rFonts w:ascii="Arial" w:hAnsi="Arial" w:cs="Arial"/>
          <w:sz w:val="22"/>
          <w:szCs w:val="22"/>
          <w:highlight w:val="yellow"/>
          <w:lang w:val="en-GB"/>
        </w:rPr>
        <w:t xml:space="preserve"> very few </w:t>
      </w:r>
      <w:r w:rsidR="007958F0" w:rsidRPr="00253BDE">
        <w:rPr>
          <w:rFonts w:ascii="Arial" w:hAnsi="Arial" w:cs="Arial"/>
          <w:sz w:val="22"/>
          <w:szCs w:val="22"/>
          <w:highlight w:val="yellow"/>
          <w:lang w:val="en-GB"/>
        </w:rPr>
        <w:t>States</w:t>
      </w:r>
      <w:r w:rsidRPr="00253BDE">
        <w:rPr>
          <w:rFonts w:ascii="Arial" w:hAnsi="Arial" w:cs="Arial"/>
          <w:sz w:val="22"/>
          <w:szCs w:val="22"/>
          <w:highlight w:val="yellow"/>
          <w:lang w:val="en-GB"/>
        </w:rPr>
        <w:t xml:space="preserve"> allow insolvent estate representatives to deal with assets of a foreign debtor situated in </w:t>
      </w:r>
      <w:r w:rsidR="005936B3" w:rsidRPr="00253BDE">
        <w:rPr>
          <w:rFonts w:ascii="Arial" w:hAnsi="Arial" w:cs="Arial"/>
          <w:sz w:val="22"/>
          <w:szCs w:val="22"/>
          <w:highlight w:val="yellow"/>
          <w:lang w:val="en-GB"/>
        </w:rPr>
        <w:t>their own</w:t>
      </w:r>
      <w:r w:rsidRPr="00253BDE">
        <w:rPr>
          <w:rFonts w:ascii="Arial" w:hAnsi="Arial" w:cs="Arial"/>
          <w:sz w:val="22"/>
          <w:szCs w:val="22"/>
          <w:highlight w:val="yellow"/>
          <w:lang w:val="en-GB"/>
        </w:rPr>
        <w:t xml:space="preserve"> jurisdiction without </w:t>
      </w:r>
      <w:r w:rsidR="006E1CB0" w:rsidRPr="00253BDE">
        <w:rPr>
          <w:rFonts w:ascii="Arial" w:hAnsi="Arial" w:cs="Arial"/>
          <w:sz w:val="22"/>
          <w:szCs w:val="22"/>
          <w:highlight w:val="yellow"/>
          <w:lang w:val="en-GB"/>
        </w:rPr>
        <w:t xml:space="preserve">some form of </w:t>
      </w:r>
      <w:r w:rsidR="0090037B" w:rsidRPr="00253BDE">
        <w:rPr>
          <w:rFonts w:ascii="Arial" w:hAnsi="Arial" w:cs="Arial"/>
          <w:sz w:val="22"/>
          <w:szCs w:val="22"/>
          <w:highlight w:val="yellow"/>
          <w:lang w:val="en-GB"/>
        </w:rPr>
        <w:t xml:space="preserve">a </w:t>
      </w:r>
      <w:r w:rsidR="006E1CB0" w:rsidRPr="00253BDE">
        <w:rPr>
          <w:rFonts w:ascii="Arial" w:hAnsi="Arial" w:cs="Arial"/>
          <w:sz w:val="22"/>
          <w:szCs w:val="22"/>
          <w:highlight w:val="yellow"/>
          <w:lang w:val="en-GB"/>
        </w:rPr>
        <w:t>(</w:t>
      </w:r>
      <w:r w:rsidR="0090037B" w:rsidRPr="00253BDE">
        <w:rPr>
          <w:rFonts w:ascii="Arial" w:hAnsi="Arial" w:cs="Arial"/>
          <w:sz w:val="22"/>
          <w:szCs w:val="22"/>
          <w:highlight w:val="yellow"/>
          <w:lang w:val="en-GB"/>
        </w:rPr>
        <w:t>prior</w:t>
      </w:r>
      <w:r w:rsidR="006E1CB0" w:rsidRPr="00253BDE">
        <w:rPr>
          <w:rFonts w:ascii="Arial" w:hAnsi="Arial" w:cs="Arial"/>
          <w:sz w:val="22"/>
          <w:szCs w:val="22"/>
          <w:highlight w:val="yellow"/>
          <w:lang w:val="en-GB"/>
        </w:rPr>
        <w:t>)</w:t>
      </w:r>
      <w:r w:rsidRPr="00253BDE">
        <w:rPr>
          <w:rFonts w:ascii="Arial" w:hAnsi="Arial" w:cs="Arial"/>
          <w:sz w:val="22"/>
          <w:szCs w:val="22"/>
          <w:highlight w:val="yellow"/>
          <w:lang w:val="en-GB"/>
        </w:rPr>
        <w:t xml:space="preserve"> local procedure </w:t>
      </w:r>
      <w:r w:rsidR="005936B3" w:rsidRPr="00253BDE">
        <w:rPr>
          <w:rFonts w:ascii="Arial" w:hAnsi="Arial" w:cs="Arial"/>
          <w:sz w:val="22"/>
          <w:szCs w:val="22"/>
          <w:highlight w:val="yellow"/>
          <w:lang w:val="en-GB"/>
        </w:rPr>
        <w:t xml:space="preserve">to </w:t>
      </w:r>
      <w:r w:rsidRPr="00253BDE">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a3"/>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a3"/>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a3"/>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a3"/>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F73C44" w:rsidRDefault="000329A6" w:rsidP="00C570AC">
      <w:pPr>
        <w:pStyle w:val="a3"/>
        <w:numPr>
          <w:ilvl w:val="0"/>
          <w:numId w:val="6"/>
        </w:numPr>
        <w:ind w:left="426"/>
        <w:jc w:val="both"/>
        <w:rPr>
          <w:rFonts w:ascii="Arial" w:hAnsi="Arial" w:cs="Arial"/>
          <w:sz w:val="22"/>
          <w:szCs w:val="22"/>
          <w:highlight w:val="yellow"/>
          <w:lang w:val="en-GB"/>
        </w:rPr>
      </w:pPr>
      <w:r w:rsidRPr="00F73C44">
        <w:rPr>
          <w:rFonts w:ascii="Arial" w:eastAsiaTheme="minorHAnsi" w:hAnsi="Arial" w:cs="Arial"/>
          <w:sz w:val="22"/>
          <w:szCs w:val="22"/>
          <w:highlight w:val="yellow"/>
          <w:lang w:val="en-GB"/>
        </w:rPr>
        <w:t xml:space="preserve">They were recently revised in 2021 and, together with the </w:t>
      </w:r>
      <w:r w:rsidRPr="00F73C44">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a3"/>
        <w:ind w:left="426" w:hanging="360"/>
        <w:jc w:val="both"/>
        <w:rPr>
          <w:rFonts w:ascii="Arial" w:hAnsi="Arial" w:cs="Arial"/>
          <w:sz w:val="22"/>
          <w:szCs w:val="22"/>
          <w:lang w:val="en-GB"/>
        </w:rPr>
      </w:pPr>
    </w:p>
    <w:p w14:paraId="191AFD3F" w14:textId="2D782C6E" w:rsidR="00E9597C" w:rsidRPr="00205B31" w:rsidRDefault="00AC126D" w:rsidP="00C570AC">
      <w:pPr>
        <w:pStyle w:val="a3"/>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a3"/>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a3"/>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a3"/>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F73C44" w:rsidRDefault="00197963" w:rsidP="00275182">
      <w:pPr>
        <w:pStyle w:val="a3"/>
        <w:numPr>
          <w:ilvl w:val="0"/>
          <w:numId w:val="16"/>
        </w:numPr>
        <w:ind w:left="426"/>
        <w:jc w:val="both"/>
        <w:rPr>
          <w:rFonts w:ascii="Arial" w:eastAsiaTheme="minorHAnsi" w:hAnsi="Arial" w:cs="Arial"/>
          <w:sz w:val="22"/>
          <w:szCs w:val="22"/>
          <w:highlight w:val="yellow"/>
          <w:lang w:val="en-GB"/>
        </w:rPr>
      </w:pPr>
      <w:r w:rsidRPr="00F73C44">
        <w:rPr>
          <w:rFonts w:ascii="Arial" w:hAnsi="Arial" w:cs="Arial"/>
          <w:sz w:val="22"/>
          <w:szCs w:val="22"/>
          <w:highlight w:val="yellow"/>
          <w:shd w:val="clear" w:color="auto" w:fill="FFFFFF"/>
          <w:lang w:val="en-GB"/>
        </w:rPr>
        <w:t>The JIN Guidelines</w:t>
      </w:r>
      <w:r w:rsidR="00966E44" w:rsidRPr="00F73C44">
        <w:rPr>
          <w:rFonts w:ascii="Arial" w:hAnsi="Arial" w:cs="Arial"/>
          <w:sz w:val="22"/>
          <w:szCs w:val="22"/>
          <w:highlight w:val="yellow"/>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a3"/>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a3"/>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Nordic Convention </w:t>
      </w:r>
      <w:r w:rsidR="00076483" w:rsidRPr="00205B31">
        <w:rPr>
          <w:rFonts w:ascii="Arial" w:eastAsiaTheme="minorHAnsi" w:hAnsi="Arial" w:cs="Arial"/>
          <w:sz w:val="22"/>
          <w:szCs w:val="22"/>
          <w:lang w:val="en-GB"/>
        </w:rPr>
        <w:t>1933</w:t>
      </w:r>
      <w:r w:rsidR="00966E44" w:rsidRPr="00205B31">
        <w:rPr>
          <w:rFonts w:ascii="Arial" w:eastAsiaTheme="minorHAnsi" w:hAnsi="Arial" w:cs="Arial"/>
          <w:sz w:val="22"/>
          <w:szCs w:val="22"/>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F73C44" w:rsidRDefault="00124B70" w:rsidP="00275182">
      <w:pPr>
        <w:pStyle w:val="a3"/>
        <w:numPr>
          <w:ilvl w:val="0"/>
          <w:numId w:val="8"/>
        </w:numPr>
        <w:ind w:left="426"/>
        <w:jc w:val="both"/>
        <w:rPr>
          <w:rFonts w:ascii="Arial" w:hAnsi="Arial" w:cs="Arial"/>
          <w:sz w:val="22"/>
          <w:szCs w:val="22"/>
          <w:highlight w:val="yellow"/>
          <w:lang w:val="en-GB"/>
        </w:rPr>
      </w:pPr>
      <w:r w:rsidRPr="00F73C44">
        <w:rPr>
          <w:rFonts w:ascii="Arial" w:hAnsi="Arial" w:cs="Arial"/>
          <w:sz w:val="22"/>
          <w:szCs w:val="22"/>
          <w:highlight w:val="yellow"/>
          <w:lang w:val="en-GB"/>
        </w:rPr>
        <w:t>Choice of forum, choice of law, and choice of jurisdiction.</w:t>
      </w:r>
    </w:p>
    <w:p w14:paraId="5F13747C" w14:textId="785742EA" w:rsidR="00E9597C" w:rsidRPr="00205B31" w:rsidRDefault="00124B70" w:rsidP="00275182">
      <w:pPr>
        <w:pStyle w:val="a3"/>
        <w:numPr>
          <w:ilvl w:val="0"/>
          <w:numId w:val="8"/>
        </w:numPr>
        <w:ind w:left="426"/>
        <w:jc w:val="both"/>
        <w:rPr>
          <w:rFonts w:ascii="Arial" w:hAnsi="Arial" w:cs="Arial"/>
          <w:sz w:val="22"/>
          <w:szCs w:val="22"/>
          <w:lang w:val="en-GB"/>
        </w:rPr>
      </w:pPr>
      <w:r w:rsidRPr="00205B31">
        <w:rPr>
          <w:rFonts w:ascii="Arial" w:hAnsi="Arial" w:cs="Arial"/>
          <w:sz w:val="22"/>
          <w:szCs w:val="22"/>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a3"/>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a3"/>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a3"/>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F73C44" w:rsidRDefault="00E86549" w:rsidP="00275182">
      <w:pPr>
        <w:pStyle w:val="a3"/>
        <w:numPr>
          <w:ilvl w:val="0"/>
          <w:numId w:val="9"/>
        </w:numPr>
        <w:ind w:left="426"/>
        <w:jc w:val="both"/>
        <w:rPr>
          <w:rFonts w:ascii="Arial" w:hAnsi="Arial" w:cs="Arial"/>
          <w:bCs/>
          <w:sz w:val="22"/>
          <w:szCs w:val="22"/>
          <w:highlight w:val="yellow"/>
          <w:lang w:val="en-GB"/>
        </w:rPr>
      </w:pPr>
      <w:r w:rsidRPr="00F73C44">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F73C44">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a3"/>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a3"/>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a3"/>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a3"/>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a3"/>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a3"/>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a3"/>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F73C44" w:rsidRDefault="00911C23" w:rsidP="00275182">
      <w:pPr>
        <w:pStyle w:val="a3"/>
        <w:numPr>
          <w:ilvl w:val="0"/>
          <w:numId w:val="10"/>
        </w:numPr>
        <w:ind w:left="426"/>
        <w:jc w:val="both"/>
        <w:rPr>
          <w:rFonts w:ascii="Arial" w:hAnsi="Arial" w:cs="Arial"/>
          <w:sz w:val="22"/>
          <w:szCs w:val="22"/>
          <w:highlight w:val="yellow"/>
          <w:lang w:val="en-GB"/>
        </w:rPr>
      </w:pPr>
      <w:r w:rsidRPr="00F73C44">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a3"/>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5E133F48" w:rsidR="009B07AD" w:rsidRDefault="009A420B"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236F8EB7" w14:textId="09C2C8FE" w:rsidR="009A420B" w:rsidRDefault="009A420B" w:rsidP="00B7193E">
      <w:pPr>
        <w:ind w:left="720" w:hanging="720"/>
        <w:jc w:val="both"/>
        <w:rPr>
          <w:rFonts w:ascii="Arial" w:hAnsi="Arial" w:cs="Arial"/>
          <w:sz w:val="22"/>
          <w:szCs w:val="22"/>
          <w:lang w:val="en-GB"/>
        </w:rPr>
      </w:pPr>
    </w:p>
    <w:p w14:paraId="10A568D5" w14:textId="535A599B" w:rsidR="009A420B" w:rsidRDefault="009A420B" w:rsidP="00E46001">
      <w:pPr>
        <w:jc w:val="both"/>
        <w:rPr>
          <w:rFonts w:ascii="Arial" w:hAnsi="Arial" w:cs="Arial"/>
          <w:sz w:val="22"/>
          <w:szCs w:val="22"/>
          <w:lang w:val="en-GB"/>
        </w:rPr>
      </w:pPr>
      <w:r>
        <w:rPr>
          <w:rFonts w:ascii="Arial" w:hAnsi="Arial" w:cs="Arial" w:hint="eastAsia"/>
          <w:sz w:val="22"/>
          <w:szCs w:val="22"/>
          <w:lang w:val="en-GB"/>
        </w:rPr>
        <w:t>T</w:t>
      </w:r>
      <w:r>
        <w:rPr>
          <w:rFonts w:ascii="Arial" w:hAnsi="Arial" w:cs="Arial"/>
          <w:sz w:val="22"/>
          <w:szCs w:val="22"/>
          <w:lang w:val="en-GB"/>
        </w:rPr>
        <w:t xml:space="preserve">he 1542 Act provided for an appointment </w:t>
      </w:r>
      <w:r w:rsidR="00E46001">
        <w:rPr>
          <w:rFonts w:ascii="Arial" w:hAnsi="Arial" w:cs="Arial"/>
          <w:sz w:val="22"/>
          <w:szCs w:val="22"/>
          <w:lang w:val="en-GB"/>
        </w:rPr>
        <w:t xml:space="preserve">of a commissioners who could proceed against a trading debtor who fled from the country; barricaded himself in his house; neglected to pay his debts; or defrauded his creditors.  The fundamental principle of this Act was a compulsory administration and distribution on the basis of equality amongst all creditors.  And these developed the concept of collective participation by creditors and a </w:t>
      </w:r>
      <w:proofErr w:type="spellStart"/>
      <w:r w:rsidR="00E46001">
        <w:rPr>
          <w:rFonts w:ascii="Arial" w:hAnsi="Arial" w:cs="Arial"/>
          <w:sz w:val="22"/>
          <w:szCs w:val="22"/>
          <w:lang w:val="en-GB"/>
        </w:rPr>
        <w:t>pari</w:t>
      </w:r>
      <w:proofErr w:type="spellEnd"/>
      <w:r w:rsidR="00E46001">
        <w:rPr>
          <w:rFonts w:ascii="Arial" w:hAnsi="Arial" w:cs="Arial"/>
          <w:sz w:val="22"/>
          <w:szCs w:val="22"/>
          <w:lang w:val="en-GB"/>
        </w:rPr>
        <w:t xml:space="preserve"> </w:t>
      </w:r>
      <w:proofErr w:type="spellStart"/>
      <w:r w:rsidR="00E46001">
        <w:rPr>
          <w:rFonts w:ascii="Arial" w:hAnsi="Arial" w:cs="Arial"/>
          <w:sz w:val="22"/>
          <w:szCs w:val="22"/>
          <w:lang w:val="en-GB"/>
        </w:rPr>
        <w:t>passu</w:t>
      </w:r>
      <w:proofErr w:type="spellEnd"/>
      <w:r w:rsidR="00E46001">
        <w:rPr>
          <w:rFonts w:ascii="Arial" w:hAnsi="Arial" w:cs="Arial"/>
          <w:sz w:val="22"/>
          <w:szCs w:val="22"/>
          <w:lang w:val="en-GB"/>
        </w:rPr>
        <w:t xml:space="preserve"> distribution among creditors under the modern insolvency law.</w:t>
      </w:r>
    </w:p>
    <w:p w14:paraId="4C2C6061" w14:textId="5D7A579B" w:rsidR="00E46001" w:rsidRDefault="00E46001" w:rsidP="00E46001">
      <w:pPr>
        <w:jc w:val="both"/>
        <w:rPr>
          <w:rFonts w:ascii="Arial" w:hAnsi="Arial" w:cs="Arial"/>
          <w:sz w:val="22"/>
          <w:szCs w:val="22"/>
          <w:lang w:val="en-GB"/>
        </w:rPr>
      </w:pPr>
    </w:p>
    <w:p w14:paraId="397FC481" w14:textId="18B92E8B" w:rsidR="00E46001" w:rsidRPr="00205B31" w:rsidRDefault="00E46001" w:rsidP="00E46001">
      <w:pPr>
        <w:jc w:val="both"/>
        <w:rPr>
          <w:rFonts w:ascii="Arial" w:hAnsi="Arial" w:cs="Arial"/>
          <w:sz w:val="22"/>
          <w:szCs w:val="22"/>
          <w:lang w:val="en-GB"/>
        </w:rPr>
      </w:pPr>
      <w:r>
        <w:rPr>
          <w:rFonts w:ascii="Arial" w:hAnsi="Arial" w:cs="Arial" w:hint="eastAsia"/>
          <w:sz w:val="22"/>
          <w:szCs w:val="22"/>
          <w:lang w:val="en-GB"/>
        </w:rPr>
        <w:t>T</w:t>
      </w:r>
      <w:r>
        <w:rPr>
          <w:rFonts w:ascii="Arial" w:hAnsi="Arial" w:cs="Arial"/>
          <w:sz w:val="22"/>
          <w:szCs w:val="22"/>
          <w:lang w:val="en-GB"/>
        </w:rPr>
        <w:t>he Statute of Ann of 1705 introduced the notion of a statutory discharge.  The principles of which have remained part of the modern bankruptcy law.</w:t>
      </w:r>
    </w:p>
    <w:p w14:paraId="22C610C9" w14:textId="16EF6256" w:rsidR="00DE03AF" w:rsidRPr="00E46001" w:rsidRDefault="00DE03AF" w:rsidP="00B7193E">
      <w:pPr>
        <w:jc w:val="both"/>
        <w:rPr>
          <w:rFonts w:ascii="Arial" w:hAnsi="Arial" w:cs="Arial"/>
          <w:sz w:val="22"/>
          <w:szCs w:val="22"/>
          <w:lang w:val="en-GB"/>
        </w:rPr>
      </w:pPr>
    </w:p>
    <w:p w14:paraId="789C3223" w14:textId="0E12B67D" w:rsidR="00020557" w:rsidRDefault="00E46001" w:rsidP="00B7193E">
      <w:pPr>
        <w:jc w:val="both"/>
        <w:rPr>
          <w:rFonts w:ascii="Arial" w:hAnsi="Arial" w:cs="Arial"/>
          <w:sz w:val="22"/>
          <w:szCs w:val="22"/>
          <w:lang w:val="en-GB"/>
        </w:rPr>
      </w:pPr>
      <w:r>
        <w:rPr>
          <w:rFonts w:ascii="Arial" w:hAnsi="Arial" w:cs="Arial" w:hint="eastAsia"/>
          <w:sz w:val="22"/>
          <w:szCs w:val="22"/>
          <w:lang w:val="en-GB"/>
        </w:rPr>
        <w:t>T</w:t>
      </w:r>
      <w:r>
        <w:rPr>
          <w:rFonts w:ascii="Arial" w:hAnsi="Arial" w:cs="Arial"/>
          <w:sz w:val="22"/>
          <w:szCs w:val="22"/>
          <w:lang w:val="en-GB"/>
        </w:rPr>
        <w:t>he law of 183</w:t>
      </w:r>
      <w:r w:rsidR="00C76EE5">
        <w:rPr>
          <w:rFonts w:ascii="Arial" w:hAnsi="Arial" w:cs="Arial"/>
          <w:sz w:val="22"/>
          <w:szCs w:val="22"/>
          <w:lang w:val="en-GB"/>
        </w:rPr>
        <w:t>3 is said to be the foundation of the present English bankruptcy law system.  It set three principles essential to a good bankruptcy law and remains in force in the modern bankruptcy law, namely a fair procedure with adequate supervision and means to discourage dishonesty.</w:t>
      </w:r>
    </w:p>
    <w:p w14:paraId="674E96E1" w14:textId="4CFF2635" w:rsidR="00E46001" w:rsidRDefault="00E46001" w:rsidP="00B7193E">
      <w:pPr>
        <w:jc w:val="both"/>
        <w:rPr>
          <w:rFonts w:ascii="Arial" w:hAnsi="Arial" w:cs="Arial"/>
          <w:sz w:val="22"/>
          <w:szCs w:val="22"/>
          <w:lang w:val="en-GB"/>
        </w:rPr>
      </w:pPr>
    </w:p>
    <w:p w14:paraId="73698B61" w14:textId="77777777" w:rsidR="00E46001" w:rsidRPr="00205B31" w:rsidRDefault="00E46001"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43198B35" w14:textId="77777777" w:rsidR="00ED6213" w:rsidRDefault="00ED6213"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2F57801B" w14:textId="323AA391" w:rsidR="009B07AD" w:rsidRPr="00205B31" w:rsidRDefault="009B07AD" w:rsidP="00B7193E">
      <w:pPr>
        <w:ind w:left="720" w:hanging="720"/>
        <w:jc w:val="both"/>
        <w:rPr>
          <w:rFonts w:ascii="Arial" w:hAnsi="Arial" w:cs="Arial"/>
          <w:sz w:val="22"/>
          <w:szCs w:val="22"/>
          <w:lang w:val="en-GB"/>
        </w:rPr>
      </w:pPr>
    </w:p>
    <w:p w14:paraId="039E27B5" w14:textId="75272AC3" w:rsidR="00C82D87" w:rsidRDefault="001865C6" w:rsidP="001865C6">
      <w:pPr>
        <w:jc w:val="both"/>
        <w:rPr>
          <w:rFonts w:ascii="Arial" w:hAnsi="Arial" w:cs="Arial"/>
          <w:sz w:val="22"/>
          <w:szCs w:val="22"/>
          <w:lang w:val="en-GB"/>
        </w:rPr>
      </w:pPr>
      <w:r>
        <w:rPr>
          <w:rFonts w:ascii="Arial" w:hAnsi="Arial" w:cs="Arial"/>
          <w:sz w:val="22"/>
          <w:szCs w:val="22"/>
          <w:lang w:val="en-GB"/>
        </w:rPr>
        <w:t xml:space="preserve">Following Covid-19 pandemic, </w:t>
      </w:r>
      <w:r w:rsidRPr="001865C6">
        <w:rPr>
          <w:rFonts w:ascii="Arial" w:hAnsi="Arial" w:cs="Arial"/>
          <w:sz w:val="22"/>
          <w:szCs w:val="22"/>
          <w:lang w:val="en-GB"/>
        </w:rPr>
        <w:t>Corporate Insolvency and</w:t>
      </w:r>
      <w:r>
        <w:rPr>
          <w:rFonts w:ascii="Arial" w:hAnsi="Arial" w:cs="Arial"/>
          <w:sz w:val="22"/>
          <w:szCs w:val="22"/>
          <w:lang w:val="en-GB"/>
        </w:rPr>
        <w:t xml:space="preserve"> </w:t>
      </w:r>
      <w:r w:rsidRPr="001865C6">
        <w:rPr>
          <w:rFonts w:ascii="Arial" w:hAnsi="Arial" w:cs="Arial"/>
          <w:sz w:val="22"/>
          <w:szCs w:val="22"/>
          <w:lang w:val="en-GB"/>
        </w:rPr>
        <w:t xml:space="preserve">Governance </w:t>
      </w:r>
      <w:r>
        <w:rPr>
          <w:rFonts w:ascii="Arial" w:hAnsi="Arial" w:cs="Arial"/>
          <w:sz w:val="22"/>
          <w:szCs w:val="22"/>
          <w:lang w:val="en-GB"/>
        </w:rPr>
        <w:t xml:space="preserve">Act 2020 was introduced in the UK.  The proposed changes </w:t>
      </w:r>
      <w:proofErr w:type="gramStart"/>
      <w:r>
        <w:rPr>
          <w:rFonts w:ascii="Arial" w:hAnsi="Arial" w:cs="Arial"/>
          <w:sz w:val="22"/>
          <w:szCs w:val="22"/>
          <w:lang w:val="en-GB"/>
        </w:rPr>
        <w:t>include</w:t>
      </w:r>
      <w:r w:rsidR="009A420B">
        <w:rPr>
          <w:rFonts w:ascii="Arial" w:hAnsi="Arial" w:cs="Arial"/>
          <w:sz w:val="22"/>
          <w:szCs w:val="22"/>
          <w:lang w:val="en-GB"/>
        </w:rPr>
        <w:t>d</w:t>
      </w:r>
      <w:r>
        <w:rPr>
          <w:rFonts w:ascii="Arial" w:hAnsi="Arial" w:cs="Arial"/>
          <w:sz w:val="22"/>
          <w:szCs w:val="22"/>
          <w:lang w:val="en-GB"/>
        </w:rPr>
        <w:t>:-</w:t>
      </w:r>
      <w:proofErr w:type="gramEnd"/>
    </w:p>
    <w:p w14:paraId="308DEFE1" w14:textId="79E5036E" w:rsidR="001865C6" w:rsidRPr="001865C6" w:rsidRDefault="001865C6" w:rsidP="001865C6">
      <w:pPr>
        <w:pStyle w:val="a3"/>
        <w:numPr>
          <w:ilvl w:val="0"/>
          <w:numId w:val="17"/>
        </w:numPr>
        <w:jc w:val="both"/>
        <w:rPr>
          <w:rFonts w:ascii="Arial" w:hAnsi="Arial" w:cs="Arial"/>
          <w:sz w:val="22"/>
          <w:szCs w:val="22"/>
          <w:lang w:val="en-GB"/>
        </w:rPr>
      </w:pPr>
      <w:r w:rsidRPr="001865C6">
        <w:rPr>
          <w:rFonts w:ascii="Arial" w:hAnsi="Arial" w:cs="Arial"/>
          <w:sz w:val="22"/>
          <w:szCs w:val="22"/>
          <w:lang w:val="en-GB"/>
        </w:rPr>
        <w:t>a temporary suspension of the wrongful trading provisions to allow directors to continue trading through financial difficulties without the threat of this type of personal liability and other measures to protect companies from aggressive creditor action;</w:t>
      </w:r>
    </w:p>
    <w:p w14:paraId="50384D20" w14:textId="4922E7C1" w:rsidR="001865C6" w:rsidRPr="001865C6" w:rsidRDefault="001865C6" w:rsidP="001865C6">
      <w:pPr>
        <w:pStyle w:val="a3"/>
        <w:numPr>
          <w:ilvl w:val="0"/>
          <w:numId w:val="17"/>
        </w:numPr>
        <w:jc w:val="both"/>
        <w:rPr>
          <w:rFonts w:ascii="Arial" w:hAnsi="Arial" w:cs="Arial"/>
          <w:sz w:val="22"/>
          <w:szCs w:val="22"/>
          <w:lang w:val="en-GB"/>
        </w:rPr>
      </w:pPr>
      <w:r w:rsidRPr="001865C6">
        <w:rPr>
          <w:rFonts w:ascii="Arial" w:hAnsi="Arial" w:cs="Arial"/>
          <w:sz w:val="22"/>
          <w:szCs w:val="22"/>
          <w:lang w:val="en-GB"/>
        </w:rPr>
        <w:t>a free-standing moratorium for companies in financial distress to give such companies time to explore options for a rescue or restructure; and</w:t>
      </w:r>
    </w:p>
    <w:p w14:paraId="1E127BD6" w14:textId="329A7CEC" w:rsidR="001865C6" w:rsidRPr="001865C6" w:rsidRDefault="001865C6" w:rsidP="001865C6">
      <w:pPr>
        <w:pStyle w:val="a3"/>
        <w:numPr>
          <w:ilvl w:val="0"/>
          <w:numId w:val="17"/>
        </w:numPr>
        <w:jc w:val="both"/>
        <w:rPr>
          <w:rFonts w:ascii="Arial" w:hAnsi="Arial" w:cs="Arial"/>
          <w:sz w:val="22"/>
          <w:szCs w:val="22"/>
          <w:lang w:val="en-GB"/>
        </w:rPr>
      </w:pPr>
      <w:r w:rsidRPr="001865C6">
        <w:rPr>
          <w:rFonts w:ascii="Arial" w:hAnsi="Arial" w:cs="Arial"/>
          <w:sz w:val="22"/>
          <w:szCs w:val="22"/>
          <w:lang w:val="en-GB"/>
        </w:rPr>
        <w:t>a new restructuring plan</w:t>
      </w:r>
      <w:r w:rsidR="009A420B">
        <w:rPr>
          <w:rFonts w:ascii="Arial" w:hAnsi="Arial" w:cs="Arial"/>
          <w:sz w:val="22"/>
          <w:szCs w:val="22"/>
          <w:lang w:val="en-GB"/>
        </w:rPr>
        <w:t xml:space="preserve"> to</w:t>
      </w:r>
      <w:r w:rsidRPr="001865C6">
        <w:rPr>
          <w:rFonts w:ascii="Arial" w:hAnsi="Arial" w:cs="Arial"/>
          <w:sz w:val="22"/>
          <w:szCs w:val="22"/>
          <w:lang w:val="en-GB"/>
        </w:rPr>
        <w:t xml:space="preserve"> bind all creditors to that plan even if they vote against it (a “cross-class cram-down”), including safeguards for creditors and suppliers to ensure they are paid while a solution is sought.</w:t>
      </w:r>
    </w:p>
    <w:p w14:paraId="79961E83" w14:textId="7EEF8E4E" w:rsidR="00D17FDC" w:rsidRDefault="00D17FDC" w:rsidP="00B7193E">
      <w:pPr>
        <w:ind w:left="720" w:hanging="720"/>
        <w:jc w:val="both"/>
        <w:rPr>
          <w:rFonts w:ascii="Arial" w:hAnsi="Arial" w:cs="Arial"/>
          <w:sz w:val="22"/>
          <w:szCs w:val="22"/>
          <w:lang w:val="en-GB"/>
        </w:rPr>
      </w:pPr>
    </w:p>
    <w:p w14:paraId="47334FAE" w14:textId="77777777" w:rsidR="00C76EE5" w:rsidRPr="00205B31" w:rsidRDefault="00C76EE5"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2626C174" w:rsidR="00C72848" w:rsidRDefault="00C76EE5"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37D8426D" w14:textId="47A6D7E3" w:rsidR="00C76EE5" w:rsidRDefault="00C76EE5" w:rsidP="00B7193E">
      <w:pPr>
        <w:ind w:left="720" w:hanging="720"/>
        <w:jc w:val="both"/>
        <w:rPr>
          <w:rFonts w:ascii="Arial" w:hAnsi="Arial" w:cs="Arial"/>
          <w:sz w:val="22"/>
          <w:szCs w:val="22"/>
          <w:lang w:val="en-GB"/>
        </w:rPr>
      </w:pPr>
    </w:p>
    <w:p w14:paraId="66B505D1" w14:textId="4372256E" w:rsidR="007C498E" w:rsidRDefault="007C498E" w:rsidP="007C498E">
      <w:pPr>
        <w:jc w:val="both"/>
        <w:rPr>
          <w:rFonts w:ascii="Arial" w:hAnsi="Arial" w:cs="Arial"/>
          <w:sz w:val="22"/>
          <w:szCs w:val="22"/>
          <w:lang w:val="en-GB"/>
        </w:rPr>
      </w:pPr>
      <w:r>
        <w:rPr>
          <w:rFonts w:ascii="Arial" w:hAnsi="Arial" w:cs="Arial"/>
          <w:sz w:val="22"/>
          <w:szCs w:val="22"/>
          <w:lang w:val="en-GB"/>
        </w:rPr>
        <w:t xml:space="preserve">Treaties are international instrument to which </w:t>
      </w:r>
      <w:r w:rsidR="00225630">
        <w:rPr>
          <w:rFonts w:ascii="Arial" w:hAnsi="Arial" w:cs="Arial"/>
          <w:sz w:val="22"/>
          <w:szCs w:val="22"/>
          <w:lang w:val="en-GB"/>
        </w:rPr>
        <w:t>s</w:t>
      </w:r>
      <w:r>
        <w:rPr>
          <w:rFonts w:ascii="Arial" w:hAnsi="Arial" w:cs="Arial"/>
          <w:sz w:val="22"/>
          <w:szCs w:val="22"/>
          <w:lang w:val="en-GB"/>
        </w:rPr>
        <w:t>tatutes become signatories and as such bind themselves and affect their domestic law, making such become enforceable in the courts</w:t>
      </w:r>
      <w:r w:rsidR="00225630">
        <w:rPr>
          <w:rFonts w:ascii="Arial" w:hAnsi="Arial" w:cs="Arial"/>
          <w:sz w:val="22"/>
          <w:szCs w:val="22"/>
          <w:lang w:val="en-GB"/>
        </w:rPr>
        <w:t xml:space="preserve">.  </w:t>
      </w:r>
      <w:r w:rsidR="00225630">
        <w:rPr>
          <w:rFonts w:ascii="Arial" w:hAnsi="Arial" w:cs="Arial"/>
          <w:sz w:val="22"/>
          <w:szCs w:val="22"/>
          <w:lang w:val="en-GB"/>
        </w:rPr>
        <w:lastRenderedPageBreak/>
        <w:t>Ultimately, such cross-border insolvency content may form part of the State’s “hard law” on insolvency.</w:t>
      </w:r>
    </w:p>
    <w:p w14:paraId="16C92513" w14:textId="77777777" w:rsidR="007C498E" w:rsidRPr="007C498E" w:rsidRDefault="007C498E" w:rsidP="007C498E">
      <w:pPr>
        <w:jc w:val="both"/>
        <w:rPr>
          <w:rFonts w:ascii="Arial" w:hAnsi="Arial" w:cs="Arial"/>
          <w:sz w:val="22"/>
          <w:szCs w:val="22"/>
          <w:lang w:val="en-GB"/>
        </w:rPr>
      </w:pPr>
    </w:p>
    <w:p w14:paraId="09DE37DD" w14:textId="5DB2CAE8" w:rsidR="00C76EE5" w:rsidRPr="00876384" w:rsidRDefault="00C76EE5" w:rsidP="00914063">
      <w:pPr>
        <w:jc w:val="both"/>
        <w:rPr>
          <w:rFonts w:ascii="Arial" w:eastAsiaTheme="minorEastAsia" w:hAnsi="Arial" w:cs="Arial"/>
          <w:sz w:val="22"/>
          <w:szCs w:val="22"/>
          <w:lang w:val="en-GB" w:eastAsia="zh-TW"/>
        </w:rPr>
      </w:pPr>
      <w:r>
        <w:rPr>
          <w:rFonts w:ascii="Arial" w:hAnsi="Arial" w:cs="Arial"/>
          <w:sz w:val="22"/>
          <w:szCs w:val="22"/>
          <w:lang w:val="en-GB"/>
        </w:rPr>
        <w:t xml:space="preserve">“Soft law” </w:t>
      </w:r>
      <w:r w:rsidR="007C498E">
        <w:rPr>
          <w:rFonts w:ascii="Arial" w:hAnsi="Arial" w:cs="Arial"/>
          <w:sz w:val="22"/>
          <w:szCs w:val="22"/>
          <w:lang w:val="en-GB"/>
        </w:rPr>
        <w:t xml:space="preserve">is a </w:t>
      </w:r>
      <w:r w:rsidR="00914063">
        <w:rPr>
          <w:rFonts w:ascii="Arial" w:hAnsi="Arial" w:cs="Arial"/>
          <w:sz w:val="22"/>
          <w:szCs w:val="22"/>
          <w:lang w:val="en-GB"/>
        </w:rPr>
        <w:t xml:space="preserve">quasi-legal obligation that is not legally </w:t>
      </w:r>
      <w:r w:rsidR="007C498E">
        <w:rPr>
          <w:rFonts w:ascii="Arial" w:hAnsi="Arial" w:cs="Arial"/>
          <w:sz w:val="22"/>
          <w:szCs w:val="22"/>
          <w:lang w:val="en-GB"/>
        </w:rPr>
        <w:t>bind</w:t>
      </w:r>
      <w:r w:rsidR="00914063">
        <w:rPr>
          <w:rFonts w:ascii="Arial" w:hAnsi="Arial" w:cs="Arial"/>
          <w:sz w:val="22"/>
          <w:szCs w:val="22"/>
          <w:lang w:val="en-GB"/>
        </w:rPr>
        <w:t xml:space="preserve">ing to the </w:t>
      </w:r>
      <w:r w:rsidR="00225630">
        <w:rPr>
          <w:rFonts w:ascii="Arial" w:hAnsi="Arial" w:cs="Arial"/>
          <w:sz w:val="22"/>
          <w:szCs w:val="22"/>
          <w:lang w:val="en-GB"/>
        </w:rPr>
        <w:t>domestic law</w:t>
      </w:r>
      <w:r w:rsidR="007C498E">
        <w:rPr>
          <w:rFonts w:ascii="Arial" w:hAnsi="Arial" w:cs="Arial"/>
          <w:sz w:val="22"/>
          <w:szCs w:val="22"/>
          <w:lang w:val="en-GB"/>
        </w:rPr>
        <w:t xml:space="preserve">.  </w:t>
      </w:r>
      <w:r w:rsidR="00914063">
        <w:rPr>
          <w:rFonts w:ascii="Arial" w:hAnsi="Arial" w:cs="Arial"/>
          <w:sz w:val="22"/>
          <w:szCs w:val="22"/>
          <w:lang w:val="en-GB"/>
        </w:rPr>
        <w:t xml:space="preserve">It just likes a reference to the </w:t>
      </w:r>
      <w:r w:rsidR="00225630">
        <w:rPr>
          <w:rFonts w:ascii="Arial" w:hAnsi="Arial" w:cs="Arial"/>
          <w:sz w:val="22"/>
          <w:szCs w:val="22"/>
          <w:lang w:val="en-GB"/>
        </w:rPr>
        <w:t>states</w:t>
      </w:r>
      <w:r w:rsidR="00914063">
        <w:rPr>
          <w:rFonts w:ascii="Arial" w:hAnsi="Arial" w:cs="Arial"/>
          <w:sz w:val="22"/>
          <w:szCs w:val="22"/>
          <w:lang w:val="en-GB"/>
        </w:rPr>
        <w:t xml:space="preserve"> who choose to follow</w:t>
      </w:r>
      <w:r w:rsidR="00225630">
        <w:rPr>
          <w:rFonts w:ascii="Arial" w:hAnsi="Arial" w:cs="Arial"/>
          <w:sz w:val="22"/>
          <w:szCs w:val="22"/>
          <w:lang w:val="en-GB"/>
        </w:rPr>
        <w:t xml:space="preserve">.  For example, the Model Law on Cross-border Insolvency </w:t>
      </w:r>
      <w:r w:rsidR="002F47E4">
        <w:rPr>
          <w:rFonts w:ascii="Arial" w:hAnsi="Arial" w:cs="Arial"/>
          <w:sz w:val="22"/>
          <w:szCs w:val="22"/>
          <w:lang w:val="en-GB"/>
        </w:rPr>
        <w:t>provided a draft legislation to the member states to adopt.  By more and more states to adopt, it becomes a well known and influential rules on cross-border insolvency that a state may refer to.</w:t>
      </w:r>
      <w:r w:rsidR="00225630">
        <w:rPr>
          <w:rFonts w:ascii="Arial" w:hAnsi="Arial" w:cs="Arial"/>
          <w:sz w:val="22"/>
          <w:szCs w:val="22"/>
          <w:lang w:val="en-GB"/>
        </w:rPr>
        <w:t xml:space="preserve">  </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74ED100A" w:rsidR="00544127" w:rsidRDefault="0086021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458D55AE" w14:textId="5A1CCC66" w:rsidR="00860210" w:rsidRDefault="00860210" w:rsidP="00B7193E">
      <w:pPr>
        <w:jc w:val="both"/>
        <w:rPr>
          <w:rFonts w:ascii="Arial" w:hAnsi="Arial" w:cs="Arial"/>
          <w:sz w:val="22"/>
          <w:szCs w:val="22"/>
          <w:lang w:val="en-GB"/>
        </w:rPr>
      </w:pPr>
    </w:p>
    <w:p w14:paraId="1DDA5D3E" w14:textId="00B35769" w:rsidR="00860210" w:rsidRDefault="00693F6E" w:rsidP="00B7193E">
      <w:pPr>
        <w:jc w:val="both"/>
        <w:rPr>
          <w:rFonts w:ascii="Arial" w:hAnsi="Arial" w:cs="Arial"/>
          <w:sz w:val="22"/>
          <w:szCs w:val="22"/>
        </w:rPr>
      </w:pPr>
      <w:r>
        <w:rPr>
          <w:rFonts w:ascii="Arial" w:hAnsi="Arial" w:cs="Arial"/>
          <w:sz w:val="22"/>
          <w:szCs w:val="22"/>
        </w:rPr>
        <w:t>Regardless of a common law system or civil law system, s</w:t>
      </w:r>
      <w:r w:rsidR="00541AC6">
        <w:rPr>
          <w:rFonts w:ascii="Arial" w:hAnsi="Arial" w:cs="Arial"/>
          <w:sz w:val="22"/>
          <w:szCs w:val="22"/>
        </w:rPr>
        <w:t xml:space="preserve">ome </w:t>
      </w:r>
      <w:r>
        <w:rPr>
          <w:rFonts w:ascii="Arial" w:hAnsi="Arial" w:cs="Arial"/>
          <w:sz w:val="22"/>
          <w:szCs w:val="22"/>
        </w:rPr>
        <w:t>States have a single, unified piece of bankruptcy legislation.  In some States like the USA, a federal legislation and multiple legislation may co-exist and co-related.  We have to study in conjunction so as to understand the system in full.  While some common law principles may still be relied on to fill any possible gaps in that legislation.</w:t>
      </w:r>
    </w:p>
    <w:p w14:paraId="6F7C08CD" w14:textId="046A8C84" w:rsidR="00693F6E" w:rsidRDefault="00693F6E" w:rsidP="00B7193E">
      <w:pPr>
        <w:jc w:val="both"/>
        <w:rPr>
          <w:rFonts w:ascii="Arial" w:hAnsi="Arial" w:cs="Arial"/>
          <w:sz w:val="22"/>
          <w:szCs w:val="22"/>
        </w:rPr>
      </w:pPr>
    </w:p>
    <w:p w14:paraId="4A637290" w14:textId="1353BAA9" w:rsidR="00544127" w:rsidRPr="00693F6E" w:rsidRDefault="00693F6E" w:rsidP="00693F6E">
      <w:pPr>
        <w:jc w:val="both"/>
        <w:rPr>
          <w:rFonts w:ascii="Arial" w:hAnsi="Arial" w:cs="Arial"/>
          <w:sz w:val="22"/>
          <w:szCs w:val="22"/>
        </w:rPr>
      </w:pPr>
      <w:r>
        <w:rPr>
          <w:rFonts w:ascii="Arial" w:hAnsi="Arial" w:cs="Arial" w:hint="eastAsia"/>
          <w:sz w:val="22"/>
          <w:szCs w:val="22"/>
        </w:rPr>
        <w:t>A</w:t>
      </w:r>
      <w:r>
        <w:rPr>
          <w:rFonts w:ascii="Arial" w:hAnsi="Arial" w:cs="Arial"/>
          <w:sz w:val="22"/>
          <w:szCs w:val="22"/>
        </w:rPr>
        <w:t>lthough some States do not have a single legislation but their general law regulating ownership, rights or real security may cover a content on insolvency.</w:t>
      </w:r>
    </w:p>
    <w:p w14:paraId="624E69FB" w14:textId="0E2C9221" w:rsidR="00726E9A" w:rsidRDefault="00726E9A" w:rsidP="00B7193E">
      <w:pPr>
        <w:ind w:left="720" w:hanging="720"/>
        <w:jc w:val="both"/>
        <w:rPr>
          <w:rFonts w:ascii="Arial" w:hAnsi="Arial" w:cs="Arial"/>
          <w:sz w:val="22"/>
          <w:szCs w:val="22"/>
          <w:lang w:val="en-GB"/>
        </w:rPr>
      </w:pPr>
    </w:p>
    <w:p w14:paraId="5EEEC052" w14:textId="77777777" w:rsidR="00693F6E" w:rsidRPr="00205B31" w:rsidRDefault="00693F6E" w:rsidP="00B7193E">
      <w:pPr>
        <w:ind w:left="720" w:hanging="720"/>
        <w:jc w:val="both"/>
        <w:rPr>
          <w:rFonts w:ascii="Arial" w:hAnsi="Arial" w:cs="Arial"/>
          <w:sz w:val="22"/>
          <w:szCs w:val="22"/>
          <w:lang w:val="en-GB"/>
        </w:rPr>
      </w:pPr>
      <w:bookmarkStart w:id="2" w:name="_GoBack"/>
      <w:bookmarkEnd w:id="2"/>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68FA59A8" w:rsidR="00DF75F8" w:rsidRDefault="002F47E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674E61F0" w14:textId="45102135" w:rsidR="002F47E4" w:rsidRDefault="002F47E4" w:rsidP="00B7193E">
      <w:pPr>
        <w:jc w:val="both"/>
        <w:rPr>
          <w:rFonts w:ascii="Arial" w:hAnsi="Arial" w:cs="Arial"/>
          <w:sz w:val="22"/>
          <w:szCs w:val="22"/>
          <w:lang w:val="en-GB"/>
        </w:rPr>
      </w:pPr>
    </w:p>
    <w:p w14:paraId="16D6D31C" w14:textId="66447BA0" w:rsidR="002F47E4" w:rsidRDefault="002F47E4" w:rsidP="00B7193E">
      <w:pPr>
        <w:jc w:val="both"/>
        <w:rPr>
          <w:rFonts w:ascii="Arial" w:hAnsi="Arial" w:cs="Arial"/>
          <w:sz w:val="22"/>
          <w:szCs w:val="22"/>
          <w:lang w:val="en-GB"/>
        </w:rPr>
      </w:pPr>
      <w:r>
        <w:rPr>
          <w:rFonts w:ascii="Arial" w:hAnsi="Arial" w:cs="Arial" w:hint="eastAsia"/>
          <w:sz w:val="22"/>
          <w:szCs w:val="22"/>
          <w:lang w:val="en-GB"/>
        </w:rPr>
        <w:t>F</w:t>
      </w:r>
      <w:r>
        <w:rPr>
          <w:rFonts w:ascii="Arial" w:hAnsi="Arial" w:cs="Arial"/>
          <w:sz w:val="22"/>
          <w:szCs w:val="22"/>
          <w:lang w:val="en-GB"/>
        </w:rPr>
        <w:t>letcher asked three very pertinent questions which are:</w:t>
      </w:r>
    </w:p>
    <w:p w14:paraId="6C47A25B" w14:textId="5E157687" w:rsidR="002F47E4" w:rsidRDefault="002F47E4" w:rsidP="002F47E4">
      <w:pPr>
        <w:pStyle w:val="a3"/>
        <w:numPr>
          <w:ilvl w:val="0"/>
          <w:numId w:val="18"/>
        </w:numPr>
        <w:jc w:val="both"/>
        <w:rPr>
          <w:rFonts w:ascii="Arial" w:hAnsi="Arial" w:cs="Arial"/>
          <w:sz w:val="22"/>
          <w:szCs w:val="22"/>
          <w:lang w:val="en-GB"/>
        </w:rPr>
      </w:pPr>
      <w:r>
        <w:rPr>
          <w:rFonts w:ascii="Arial" w:hAnsi="Arial" w:cs="Arial" w:hint="eastAsia"/>
          <w:sz w:val="22"/>
          <w:szCs w:val="22"/>
          <w:lang w:val="en-GB"/>
        </w:rPr>
        <w:t>i</w:t>
      </w:r>
      <w:r>
        <w:rPr>
          <w:rFonts w:ascii="Arial" w:hAnsi="Arial" w:cs="Arial"/>
          <w:sz w:val="22"/>
          <w:szCs w:val="22"/>
          <w:lang w:val="en-GB"/>
        </w:rPr>
        <w:t>n which jurisdictions may insolvency proceedings be opened?</w:t>
      </w:r>
    </w:p>
    <w:p w14:paraId="194DF0A4" w14:textId="61169D2C" w:rsidR="002F47E4" w:rsidRDefault="002F47E4" w:rsidP="002F47E4">
      <w:pPr>
        <w:pStyle w:val="a3"/>
        <w:numPr>
          <w:ilvl w:val="0"/>
          <w:numId w:val="18"/>
        </w:numPr>
        <w:jc w:val="both"/>
        <w:rPr>
          <w:rFonts w:ascii="Arial" w:hAnsi="Arial" w:cs="Arial"/>
          <w:sz w:val="22"/>
          <w:szCs w:val="22"/>
          <w:lang w:val="en-GB"/>
        </w:rPr>
      </w:pPr>
      <w:r>
        <w:rPr>
          <w:rFonts w:ascii="Arial" w:hAnsi="Arial" w:cs="Arial"/>
          <w:sz w:val="22"/>
          <w:szCs w:val="22"/>
          <w:lang w:val="en-GB"/>
        </w:rPr>
        <w:t>what country’s law should be applied in respect of different aspects of the case?</w:t>
      </w:r>
    </w:p>
    <w:p w14:paraId="3B9888E9" w14:textId="029C7312" w:rsidR="002F47E4" w:rsidRDefault="002F47E4" w:rsidP="002F47E4">
      <w:pPr>
        <w:pStyle w:val="a3"/>
        <w:numPr>
          <w:ilvl w:val="0"/>
          <w:numId w:val="18"/>
        </w:numPr>
        <w:jc w:val="both"/>
        <w:rPr>
          <w:rFonts w:ascii="Arial" w:hAnsi="Arial" w:cs="Arial"/>
          <w:sz w:val="22"/>
          <w:szCs w:val="22"/>
          <w:lang w:val="en-GB"/>
        </w:rPr>
      </w:pPr>
      <w:r>
        <w:rPr>
          <w:rFonts w:ascii="Arial" w:hAnsi="Arial" w:cs="Arial"/>
          <w:sz w:val="22"/>
          <w:szCs w:val="22"/>
          <w:lang w:val="en-GB"/>
        </w:rPr>
        <w:t>what international effects will be accorded to proceedings conducted at a particular forum (including issues of enforcement)?</w:t>
      </w:r>
    </w:p>
    <w:p w14:paraId="46F71CFB" w14:textId="112752DE" w:rsidR="002F47E4" w:rsidRDefault="002F47E4" w:rsidP="002F47E4">
      <w:pPr>
        <w:jc w:val="both"/>
        <w:rPr>
          <w:rFonts w:ascii="Arial" w:hAnsi="Arial" w:cs="Arial"/>
          <w:sz w:val="22"/>
          <w:szCs w:val="22"/>
          <w:lang w:val="en-GB"/>
        </w:rPr>
      </w:pPr>
    </w:p>
    <w:p w14:paraId="3CC09E2A" w14:textId="77777777" w:rsidR="003F5C10" w:rsidRDefault="003F5C10" w:rsidP="002F47E4">
      <w:pPr>
        <w:jc w:val="both"/>
        <w:rPr>
          <w:rFonts w:ascii="Arial" w:hAnsi="Arial" w:cs="Arial"/>
          <w:sz w:val="22"/>
          <w:szCs w:val="22"/>
          <w:lang w:val="en-GB"/>
        </w:rPr>
      </w:pPr>
      <w:r>
        <w:rPr>
          <w:rFonts w:ascii="Arial" w:hAnsi="Arial" w:cs="Arial" w:hint="eastAsia"/>
          <w:sz w:val="22"/>
          <w:szCs w:val="22"/>
          <w:lang w:val="en-GB"/>
        </w:rPr>
        <w:t>I</w:t>
      </w:r>
      <w:r>
        <w:rPr>
          <w:rFonts w:ascii="Arial" w:hAnsi="Arial" w:cs="Arial"/>
          <w:sz w:val="22"/>
          <w:szCs w:val="22"/>
          <w:lang w:val="en-GB"/>
        </w:rPr>
        <w:t>n the choice of forum to exercise jurisdiction, it requires an examination of the connection with the jurisdiction of the parties or the dispute.  The local court may inevitably to determine and affect the treatment of a foreign proceedings or foreign assets.</w:t>
      </w:r>
    </w:p>
    <w:p w14:paraId="0FE12CBA" w14:textId="77777777" w:rsidR="003F5C10" w:rsidRDefault="003F5C10" w:rsidP="002F47E4">
      <w:pPr>
        <w:jc w:val="both"/>
        <w:rPr>
          <w:rFonts w:ascii="Arial" w:hAnsi="Arial" w:cs="Arial"/>
          <w:sz w:val="22"/>
          <w:szCs w:val="22"/>
          <w:lang w:val="en-GB"/>
        </w:rPr>
      </w:pPr>
    </w:p>
    <w:p w14:paraId="22184BF2" w14:textId="77777777" w:rsidR="006B4473" w:rsidRDefault="006B4473" w:rsidP="006B4473">
      <w:pPr>
        <w:jc w:val="both"/>
        <w:rPr>
          <w:rFonts w:ascii="Arial" w:hAnsi="Arial" w:cs="Arial"/>
          <w:sz w:val="22"/>
          <w:szCs w:val="22"/>
          <w:lang w:val="en-GB"/>
        </w:rPr>
      </w:pPr>
      <w:r>
        <w:rPr>
          <w:rFonts w:ascii="Arial" w:hAnsi="Arial" w:cs="Arial"/>
          <w:sz w:val="22"/>
          <w:szCs w:val="22"/>
          <w:lang w:val="en-GB"/>
        </w:rPr>
        <w:t>In the choice of law, different law systems will have different treatments or approaches towards to the choice of law.  Under a common law system will, it is usually the law of the forum to be applied unless the parties invoke them.  Under the civil law system, foreign law is presumed to be a question of law to be applied.</w:t>
      </w:r>
    </w:p>
    <w:p w14:paraId="6F42AF79" w14:textId="77777777" w:rsidR="006B4473" w:rsidRDefault="006B4473" w:rsidP="006B4473">
      <w:pPr>
        <w:jc w:val="both"/>
        <w:rPr>
          <w:rFonts w:ascii="Arial" w:hAnsi="Arial" w:cs="Arial"/>
          <w:sz w:val="22"/>
          <w:szCs w:val="22"/>
          <w:lang w:val="en-GB"/>
        </w:rPr>
      </w:pPr>
    </w:p>
    <w:p w14:paraId="4135BFDA" w14:textId="248D5312" w:rsidR="00275182" w:rsidRDefault="006B4473" w:rsidP="006B4473">
      <w:pPr>
        <w:jc w:val="both"/>
        <w:rPr>
          <w:rFonts w:ascii="Arial" w:hAnsi="Arial" w:cs="Arial"/>
          <w:sz w:val="22"/>
          <w:szCs w:val="22"/>
          <w:shd w:val="clear" w:color="auto" w:fill="FFFFFF"/>
          <w:lang w:val="en-GB"/>
        </w:rPr>
      </w:pPr>
      <w:r>
        <w:rPr>
          <w:rFonts w:ascii="Arial" w:hAnsi="Arial" w:cs="Arial" w:hint="eastAsia"/>
          <w:sz w:val="22"/>
          <w:szCs w:val="22"/>
          <w:shd w:val="clear" w:color="auto" w:fill="FFFFFF"/>
          <w:lang w:val="en-GB"/>
        </w:rPr>
        <w:t>I</w:t>
      </w:r>
      <w:r>
        <w:rPr>
          <w:rFonts w:ascii="Arial" w:hAnsi="Arial" w:cs="Arial"/>
          <w:sz w:val="22"/>
          <w:szCs w:val="22"/>
          <w:shd w:val="clear" w:color="auto" w:fill="FFFFFF"/>
          <w:lang w:val="en-GB"/>
        </w:rPr>
        <w:t xml:space="preserve">n </w:t>
      </w:r>
      <w:r w:rsidR="00750366">
        <w:rPr>
          <w:rFonts w:ascii="Arial" w:hAnsi="Arial" w:cs="Arial"/>
          <w:sz w:val="22"/>
          <w:szCs w:val="22"/>
          <w:shd w:val="clear" w:color="auto" w:fill="FFFFFF"/>
          <w:lang w:val="en-GB"/>
        </w:rPr>
        <w:t xml:space="preserve">what international effects will be accorded, recognition, enforcement and execution become a question.  Foreign judgments raise questions concerning the court that issued judgment, the </w:t>
      </w:r>
      <w:r w:rsidR="00750366">
        <w:rPr>
          <w:rFonts w:ascii="Arial" w:hAnsi="Arial" w:cs="Arial"/>
          <w:sz w:val="22"/>
          <w:szCs w:val="22"/>
          <w:shd w:val="clear" w:color="auto" w:fill="FFFFFF"/>
          <w:lang w:val="en-GB"/>
        </w:rPr>
        <w:lastRenderedPageBreak/>
        <w:t>type of judgment and the effect of the judgment.  For example</w:t>
      </w:r>
      <w:r w:rsidR="00860210">
        <w:rPr>
          <w:rFonts w:ascii="Arial" w:hAnsi="Arial" w:cs="Arial"/>
          <w:sz w:val="22"/>
          <w:szCs w:val="22"/>
          <w:shd w:val="clear" w:color="auto" w:fill="FFFFFF"/>
          <w:lang w:val="en-GB"/>
        </w:rPr>
        <w:t>s</w:t>
      </w:r>
      <w:r w:rsidR="00750366">
        <w:rPr>
          <w:rFonts w:ascii="Arial" w:hAnsi="Arial" w:cs="Arial"/>
          <w:sz w:val="22"/>
          <w:szCs w:val="22"/>
          <w:shd w:val="clear" w:color="auto" w:fill="FFFFFF"/>
          <w:lang w:val="en-GB"/>
        </w:rPr>
        <w:t>, one may allow restructuring but one may not; the effect of voidable disposition may also vary.</w:t>
      </w:r>
    </w:p>
    <w:p w14:paraId="04F58AFA" w14:textId="77777777" w:rsidR="006B4473" w:rsidRPr="00205B31" w:rsidRDefault="006B4473" w:rsidP="006B4473">
      <w:pPr>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6E587F08" w:rsidR="00DF75F8" w:rsidRDefault="0086021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540E4553" w14:textId="42865EE3" w:rsidR="00860210" w:rsidRDefault="00860210" w:rsidP="00B7193E">
      <w:pPr>
        <w:jc w:val="both"/>
        <w:rPr>
          <w:rFonts w:ascii="Arial" w:hAnsi="Arial" w:cs="Arial"/>
          <w:sz w:val="22"/>
          <w:szCs w:val="22"/>
          <w:lang w:val="en-GB"/>
        </w:rPr>
      </w:pPr>
    </w:p>
    <w:p w14:paraId="23FB714B" w14:textId="77777777" w:rsidR="00B322FA" w:rsidRDefault="00860210" w:rsidP="00B7193E">
      <w:pPr>
        <w:jc w:val="both"/>
        <w:rPr>
          <w:rFonts w:ascii="Arial" w:hAnsi="Arial" w:cs="Arial"/>
          <w:sz w:val="22"/>
          <w:szCs w:val="22"/>
          <w:lang w:val="en-GB"/>
        </w:rPr>
      </w:pPr>
      <w:r>
        <w:rPr>
          <w:rFonts w:ascii="Arial" w:hAnsi="Arial" w:cs="Arial" w:hint="eastAsia"/>
          <w:sz w:val="22"/>
          <w:szCs w:val="22"/>
          <w:lang w:val="en-GB"/>
        </w:rPr>
        <w:t>A</w:t>
      </w:r>
      <w:r>
        <w:rPr>
          <w:rFonts w:ascii="Arial" w:hAnsi="Arial" w:cs="Arial"/>
          <w:sz w:val="22"/>
          <w:szCs w:val="22"/>
          <w:lang w:val="en-GB"/>
        </w:rPr>
        <w:t xml:space="preserve"> prominent example is the Maxwell Communications Corporation plc cross border insolvency case in 1991</w:t>
      </w:r>
      <w:r w:rsidR="00B322FA">
        <w:rPr>
          <w:rFonts w:ascii="Arial" w:hAnsi="Arial" w:cs="Arial"/>
          <w:sz w:val="22"/>
          <w:szCs w:val="22"/>
          <w:lang w:val="en-GB"/>
        </w:rPr>
        <w:t xml:space="preserve">.  In that case, concurrent principal insolvency proceedings in the United States and English were co-ordinated through an “Order and Protocol” approved by the courts in the respective States.  The insolvency representatives in the two States, each charged with a similar responsibility.  </w:t>
      </w:r>
    </w:p>
    <w:p w14:paraId="32A3F042" w14:textId="77777777" w:rsidR="00B322FA" w:rsidRDefault="00B322FA" w:rsidP="00B7193E">
      <w:pPr>
        <w:jc w:val="both"/>
        <w:rPr>
          <w:rFonts w:ascii="Arial" w:hAnsi="Arial" w:cs="Arial"/>
          <w:sz w:val="22"/>
          <w:szCs w:val="22"/>
          <w:lang w:val="en-GB"/>
        </w:rPr>
      </w:pPr>
    </w:p>
    <w:p w14:paraId="37F30D39" w14:textId="10C344F8" w:rsidR="00860210" w:rsidRDefault="00B322FA" w:rsidP="00B7193E">
      <w:pPr>
        <w:jc w:val="both"/>
        <w:rPr>
          <w:rFonts w:ascii="Arial" w:hAnsi="Arial" w:cs="Arial"/>
          <w:sz w:val="22"/>
          <w:szCs w:val="22"/>
          <w:lang w:val="en-GB"/>
        </w:rPr>
      </w:pPr>
      <w:r>
        <w:rPr>
          <w:rFonts w:ascii="Arial" w:hAnsi="Arial" w:cs="Arial"/>
          <w:sz w:val="22"/>
          <w:szCs w:val="22"/>
          <w:lang w:val="en-GB"/>
        </w:rPr>
        <w:t>Under the agreement, two goals were set to guide the insolvency representatives, which were to maximising the value of the estate and to harmonise the proceedings to minimise expense, waste and jurisdictional conflict.</w:t>
      </w:r>
    </w:p>
    <w:p w14:paraId="2E3997CA" w14:textId="7280F4F9" w:rsidR="00B322FA" w:rsidRDefault="00B322FA" w:rsidP="00B7193E">
      <w:pPr>
        <w:jc w:val="both"/>
        <w:rPr>
          <w:rFonts w:ascii="Arial" w:hAnsi="Arial" w:cs="Arial"/>
          <w:sz w:val="22"/>
          <w:szCs w:val="22"/>
          <w:lang w:val="en-GB"/>
        </w:rPr>
      </w:pPr>
    </w:p>
    <w:p w14:paraId="5842F76E" w14:textId="14D259C8" w:rsidR="00B322FA" w:rsidRPr="00205B31" w:rsidRDefault="00B322FA" w:rsidP="00B7193E">
      <w:pPr>
        <w:jc w:val="both"/>
        <w:rPr>
          <w:rFonts w:ascii="Arial" w:hAnsi="Arial" w:cs="Arial"/>
          <w:sz w:val="22"/>
          <w:szCs w:val="22"/>
          <w:lang w:val="en-GB"/>
        </w:rPr>
      </w:pPr>
      <w:r>
        <w:rPr>
          <w:rFonts w:ascii="Arial" w:hAnsi="Arial" w:cs="Arial" w:hint="eastAsia"/>
          <w:sz w:val="22"/>
          <w:szCs w:val="22"/>
          <w:lang w:val="en-GB"/>
        </w:rPr>
        <w:t>A</w:t>
      </w:r>
      <w:r>
        <w:rPr>
          <w:rFonts w:ascii="Arial" w:hAnsi="Arial" w:cs="Arial"/>
          <w:sz w:val="22"/>
          <w:szCs w:val="22"/>
          <w:lang w:val="en-GB"/>
        </w:rPr>
        <w:t>ll major actions such as incurrence of debts, transactions on behalf of the debtor, appointment of directors, distribution matters were mutually agreed by one another by obtaining consent of the respective courts.</w:t>
      </w:r>
    </w:p>
    <w:p w14:paraId="4AE7EA78" w14:textId="24C76947" w:rsidR="007D7C92" w:rsidRPr="00B322FA"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3"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lastRenderedPageBreak/>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705277BA" w:rsidR="002F75A3" w:rsidRDefault="00012A0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26C812FB" w14:textId="648CFD20" w:rsidR="00012A0C" w:rsidRDefault="00012A0C" w:rsidP="00B7193E">
      <w:pPr>
        <w:jc w:val="both"/>
        <w:rPr>
          <w:rFonts w:ascii="Arial" w:hAnsi="Arial" w:cs="Arial"/>
          <w:sz w:val="22"/>
          <w:szCs w:val="22"/>
          <w:lang w:val="en-GB"/>
        </w:rPr>
      </w:pPr>
    </w:p>
    <w:p w14:paraId="0FD79B94" w14:textId="0010BAE0" w:rsidR="00012A0C" w:rsidRDefault="00012A0C" w:rsidP="00B7193E">
      <w:pPr>
        <w:jc w:val="both"/>
        <w:rPr>
          <w:rFonts w:ascii="Arial" w:hAnsi="Arial" w:cs="Arial"/>
          <w:sz w:val="22"/>
          <w:szCs w:val="22"/>
          <w:lang w:val="en-GB"/>
        </w:rPr>
      </w:pPr>
      <w:r>
        <w:rPr>
          <w:rFonts w:ascii="Arial" w:hAnsi="Arial" w:cs="Arial" w:hint="eastAsia"/>
          <w:sz w:val="22"/>
          <w:szCs w:val="22"/>
          <w:lang w:val="en-GB"/>
        </w:rPr>
        <w:t>U</w:t>
      </w:r>
      <w:r>
        <w:rPr>
          <w:rFonts w:ascii="Arial" w:hAnsi="Arial" w:cs="Arial"/>
          <w:sz w:val="22"/>
          <w:szCs w:val="22"/>
          <w:lang w:val="en-GB"/>
        </w:rPr>
        <w:t xml:space="preserve">pon the UK’s departure from the EU, EIR </w:t>
      </w:r>
      <w:r w:rsidR="00E44933">
        <w:rPr>
          <w:rFonts w:ascii="Arial" w:hAnsi="Arial" w:cs="Arial"/>
          <w:sz w:val="22"/>
          <w:szCs w:val="22"/>
          <w:lang w:val="en-GB"/>
        </w:rPr>
        <w:t xml:space="preserve">Recast no longer applies to post-11pm 31 December 2020 proceedings in the UK.  That says, the EIR Recast remains to be applied in this case since it was opened on 18 June 2020.  </w:t>
      </w:r>
    </w:p>
    <w:p w14:paraId="1CDDDCC6" w14:textId="066B50A8" w:rsidR="00E44933" w:rsidRDefault="00E44933" w:rsidP="00B7193E">
      <w:pPr>
        <w:jc w:val="both"/>
        <w:rPr>
          <w:rFonts w:ascii="Arial" w:hAnsi="Arial" w:cs="Arial"/>
          <w:sz w:val="22"/>
          <w:szCs w:val="22"/>
          <w:lang w:val="en-GB"/>
        </w:rPr>
      </w:pPr>
    </w:p>
    <w:p w14:paraId="130D61C4" w14:textId="4A14DFB5" w:rsidR="005C41FD" w:rsidRDefault="00E44933" w:rsidP="00B7193E">
      <w:pPr>
        <w:jc w:val="both"/>
        <w:rPr>
          <w:rFonts w:ascii="Arial" w:hAnsi="Arial" w:cs="Arial"/>
          <w:sz w:val="22"/>
          <w:szCs w:val="22"/>
          <w:lang w:val="en-GB"/>
        </w:rPr>
      </w:pPr>
      <w:r>
        <w:rPr>
          <w:rFonts w:ascii="Arial" w:hAnsi="Arial" w:cs="Arial" w:hint="eastAsia"/>
          <w:sz w:val="22"/>
          <w:szCs w:val="22"/>
          <w:lang w:val="en-GB"/>
        </w:rPr>
        <w:t>T</w:t>
      </w:r>
      <w:r>
        <w:rPr>
          <w:rFonts w:ascii="Arial" w:hAnsi="Arial" w:cs="Arial"/>
          <w:sz w:val="22"/>
          <w:szCs w:val="22"/>
          <w:lang w:val="en-GB"/>
        </w:rPr>
        <w:t>he EIR allocates jurisdictional competence to the courts of the UK which is the COMI of Rydell, but it also allows subsidiary territorial proceedings to be opened in the other EU</w:t>
      </w:r>
      <w:r w:rsidR="00A9072D">
        <w:rPr>
          <w:rFonts w:ascii="Arial" w:hAnsi="Arial" w:cs="Arial"/>
          <w:sz w:val="22"/>
          <w:szCs w:val="22"/>
          <w:lang w:val="en-GB"/>
        </w:rPr>
        <w:t xml:space="preserve"> member</w:t>
      </w:r>
      <w:r>
        <w:rPr>
          <w:rFonts w:ascii="Arial" w:hAnsi="Arial" w:cs="Arial"/>
          <w:sz w:val="22"/>
          <w:szCs w:val="22"/>
          <w:lang w:val="en-GB"/>
        </w:rPr>
        <w:t xml:space="preserve"> States given that there is an “establishment” of debtor.  </w:t>
      </w:r>
    </w:p>
    <w:p w14:paraId="700DF74A" w14:textId="77777777" w:rsidR="005C41FD" w:rsidRDefault="005C41FD" w:rsidP="00B7193E">
      <w:pPr>
        <w:jc w:val="both"/>
        <w:rPr>
          <w:rFonts w:ascii="Arial" w:hAnsi="Arial" w:cs="Arial"/>
          <w:sz w:val="22"/>
          <w:szCs w:val="22"/>
          <w:lang w:val="en-GB"/>
        </w:rPr>
      </w:pPr>
    </w:p>
    <w:p w14:paraId="5E01EB09" w14:textId="2C7B8151" w:rsidR="00E44933" w:rsidRPr="00205B31" w:rsidRDefault="00E44933" w:rsidP="00B7193E">
      <w:pPr>
        <w:jc w:val="both"/>
        <w:rPr>
          <w:rFonts w:ascii="Arial" w:hAnsi="Arial" w:cs="Arial"/>
          <w:sz w:val="22"/>
          <w:szCs w:val="22"/>
          <w:lang w:val="en-GB"/>
        </w:rPr>
      </w:pPr>
      <w:proofErr w:type="spellStart"/>
      <w:r>
        <w:rPr>
          <w:rFonts w:ascii="Arial" w:hAnsi="Arial" w:cs="Arial"/>
          <w:sz w:val="22"/>
          <w:szCs w:val="22"/>
          <w:lang w:val="en-GB"/>
        </w:rPr>
        <w:t>Fernz</w:t>
      </w:r>
      <w:proofErr w:type="spellEnd"/>
      <w:r>
        <w:rPr>
          <w:rFonts w:ascii="Arial" w:hAnsi="Arial" w:cs="Arial"/>
          <w:sz w:val="22"/>
          <w:szCs w:val="22"/>
          <w:lang w:val="en-GB"/>
        </w:rPr>
        <w:t xml:space="preserve"> may open a </w:t>
      </w:r>
      <w:proofErr w:type="gramStart"/>
      <w:r>
        <w:rPr>
          <w:rFonts w:ascii="Arial" w:hAnsi="Arial" w:cs="Arial"/>
          <w:sz w:val="22"/>
          <w:szCs w:val="22"/>
          <w:lang w:val="en-GB"/>
        </w:rPr>
        <w:t>secondary proceedings</w:t>
      </w:r>
      <w:proofErr w:type="gramEnd"/>
      <w:r>
        <w:rPr>
          <w:rFonts w:ascii="Arial" w:hAnsi="Arial" w:cs="Arial"/>
          <w:sz w:val="22"/>
          <w:szCs w:val="22"/>
          <w:lang w:val="en-GB"/>
        </w:rPr>
        <w:t xml:space="preserve"> in another EU </w:t>
      </w:r>
      <w:r w:rsidR="00A9072D">
        <w:rPr>
          <w:rFonts w:ascii="Arial" w:hAnsi="Arial" w:cs="Arial"/>
          <w:sz w:val="22"/>
          <w:szCs w:val="22"/>
          <w:lang w:val="en-GB"/>
        </w:rPr>
        <w:t>member</w:t>
      </w:r>
      <w:r w:rsidR="00A9072D">
        <w:rPr>
          <w:rFonts w:ascii="Arial" w:hAnsi="Arial" w:cs="Arial"/>
          <w:sz w:val="22"/>
          <w:szCs w:val="22"/>
          <w:lang w:val="en-GB"/>
        </w:rPr>
        <w:t xml:space="preserve"> </w:t>
      </w:r>
      <w:r>
        <w:rPr>
          <w:rFonts w:ascii="Arial" w:hAnsi="Arial" w:cs="Arial"/>
          <w:sz w:val="22"/>
          <w:szCs w:val="22"/>
          <w:lang w:val="en-GB"/>
        </w:rPr>
        <w:t xml:space="preserve">State </w:t>
      </w:r>
      <w:r w:rsidR="005C41FD">
        <w:rPr>
          <w:rFonts w:ascii="Arial" w:hAnsi="Arial" w:cs="Arial"/>
          <w:sz w:val="22"/>
          <w:szCs w:val="22"/>
          <w:lang w:val="en-GB"/>
        </w:rPr>
        <w:t>where Rydell has an operation in that State, carrying out a non-transitory economic activity with human means and assets.</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A9072D"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4"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4"/>
    <w:p w14:paraId="06CA1A12" w14:textId="77777777" w:rsidR="00015EE6" w:rsidRPr="00205B31" w:rsidRDefault="00015EE6" w:rsidP="00C45A03">
      <w:pPr>
        <w:jc w:val="both"/>
        <w:rPr>
          <w:rFonts w:ascii="Arial" w:hAnsi="Arial" w:cs="Arial"/>
          <w:sz w:val="22"/>
          <w:szCs w:val="22"/>
          <w:lang w:val="en-GB"/>
        </w:rPr>
      </w:pPr>
    </w:p>
    <w:p w14:paraId="1256E6FF" w14:textId="269D6DAE" w:rsidR="00015EE6" w:rsidRDefault="005C41FD"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00856A41" w14:textId="194A0261" w:rsidR="005C41FD" w:rsidRDefault="005C41FD" w:rsidP="00C45A03">
      <w:pPr>
        <w:jc w:val="both"/>
        <w:rPr>
          <w:rFonts w:ascii="Arial" w:hAnsi="Arial" w:cs="Arial"/>
          <w:sz w:val="22"/>
          <w:szCs w:val="22"/>
          <w:lang w:val="en-GB"/>
        </w:rPr>
      </w:pPr>
    </w:p>
    <w:p w14:paraId="4749F0A5" w14:textId="4B49542F" w:rsidR="005C41FD" w:rsidRDefault="005C41FD" w:rsidP="00C45A03">
      <w:pPr>
        <w:jc w:val="both"/>
        <w:rPr>
          <w:rFonts w:ascii="Arial" w:hAnsi="Arial" w:cs="Arial"/>
          <w:sz w:val="22"/>
          <w:szCs w:val="22"/>
          <w:lang w:val="en-GB"/>
        </w:rPr>
      </w:pPr>
      <w:r>
        <w:rPr>
          <w:rFonts w:ascii="Arial" w:hAnsi="Arial" w:cs="Arial" w:hint="eastAsia"/>
          <w:sz w:val="22"/>
          <w:szCs w:val="22"/>
          <w:lang w:val="en-GB"/>
        </w:rPr>
        <w:t>S</w:t>
      </w:r>
      <w:r>
        <w:rPr>
          <w:rFonts w:ascii="Arial" w:hAnsi="Arial" w:cs="Arial"/>
          <w:sz w:val="22"/>
          <w:szCs w:val="22"/>
          <w:lang w:val="en-GB"/>
        </w:rPr>
        <w:t>ince the</w:t>
      </w:r>
      <w:r>
        <w:rPr>
          <w:rFonts w:ascii="Arial" w:hAnsi="Arial" w:cs="Arial"/>
          <w:sz w:val="22"/>
          <w:szCs w:val="22"/>
          <w:lang w:val="en-GB"/>
        </w:rPr>
        <w:t xml:space="preserve"> UK’s departure from the EU, EIR Recast no longer applies to post-11pm 31 December 2020 proceedings in the UK</w:t>
      </w:r>
      <w:r>
        <w:rPr>
          <w:rFonts w:ascii="Arial" w:hAnsi="Arial" w:cs="Arial"/>
          <w:sz w:val="22"/>
          <w:szCs w:val="22"/>
          <w:lang w:val="en-GB"/>
        </w:rPr>
        <w:t>.  The EIR Recast does not apply in this case since it was opened on 18 June 2021, after the UK’s departure from the EU.</w:t>
      </w:r>
    </w:p>
    <w:p w14:paraId="572F5F19" w14:textId="4F601B9F" w:rsidR="005C41FD" w:rsidRDefault="005C41FD" w:rsidP="00C45A03">
      <w:pPr>
        <w:jc w:val="both"/>
        <w:rPr>
          <w:rFonts w:ascii="Arial" w:hAnsi="Arial" w:cs="Arial"/>
          <w:sz w:val="22"/>
          <w:szCs w:val="22"/>
          <w:lang w:val="en-GB"/>
        </w:rPr>
      </w:pPr>
    </w:p>
    <w:p w14:paraId="35107EED" w14:textId="020DFE77" w:rsidR="005C41FD" w:rsidRPr="00205B31" w:rsidRDefault="005C41FD" w:rsidP="00C45A03">
      <w:pPr>
        <w:jc w:val="both"/>
        <w:rPr>
          <w:rFonts w:ascii="Arial" w:hAnsi="Arial" w:cs="Arial"/>
          <w:sz w:val="22"/>
          <w:szCs w:val="22"/>
          <w:lang w:val="en-GB"/>
        </w:rPr>
      </w:pPr>
      <w:r>
        <w:rPr>
          <w:rFonts w:ascii="Arial" w:hAnsi="Arial" w:cs="Arial" w:hint="eastAsia"/>
          <w:sz w:val="22"/>
          <w:szCs w:val="22"/>
          <w:lang w:val="en-GB"/>
        </w:rPr>
        <w:t>H</w:t>
      </w:r>
      <w:r>
        <w:rPr>
          <w:rFonts w:ascii="Arial" w:hAnsi="Arial" w:cs="Arial"/>
          <w:sz w:val="22"/>
          <w:szCs w:val="22"/>
          <w:lang w:val="en-GB"/>
        </w:rPr>
        <w:t xml:space="preserve">owever, </w:t>
      </w:r>
      <w:proofErr w:type="spellStart"/>
      <w:r>
        <w:rPr>
          <w:rFonts w:ascii="Arial" w:hAnsi="Arial" w:cs="Arial"/>
          <w:sz w:val="22"/>
          <w:szCs w:val="22"/>
          <w:lang w:val="en-GB"/>
        </w:rPr>
        <w:t>Fernz</w:t>
      </w:r>
      <w:proofErr w:type="spellEnd"/>
      <w:r>
        <w:rPr>
          <w:rFonts w:ascii="Arial" w:hAnsi="Arial" w:cs="Arial"/>
          <w:sz w:val="22"/>
          <w:szCs w:val="22"/>
          <w:lang w:val="en-GB"/>
        </w:rPr>
        <w:t xml:space="preserve"> may apply for a recognition of </w:t>
      </w:r>
      <w:r w:rsidR="0064634F">
        <w:rPr>
          <w:rFonts w:ascii="Arial" w:hAnsi="Arial" w:cs="Arial"/>
          <w:sz w:val="22"/>
          <w:szCs w:val="22"/>
          <w:lang w:val="en-GB"/>
        </w:rPr>
        <w:t xml:space="preserve">the UK’s </w:t>
      </w:r>
      <w:r>
        <w:rPr>
          <w:rFonts w:ascii="Arial" w:hAnsi="Arial" w:cs="Arial"/>
          <w:sz w:val="22"/>
          <w:szCs w:val="22"/>
          <w:lang w:val="en-GB"/>
        </w:rPr>
        <w:t>insolvency proceedings</w:t>
      </w:r>
      <w:r w:rsidR="0064634F">
        <w:rPr>
          <w:rFonts w:ascii="Arial" w:hAnsi="Arial" w:cs="Arial"/>
          <w:sz w:val="22"/>
          <w:szCs w:val="22"/>
          <w:lang w:val="en-GB"/>
        </w:rPr>
        <w:t xml:space="preserve"> in the</w:t>
      </w:r>
      <w:r w:rsidR="0064634F">
        <w:rPr>
          <w:rFonts w:ascii="Arial" w:hAnsi="Arial" w:cs="Arial"/>
          <w:sz w:val="22"/>
          <w:szCs w:val="22"/>
          <w:lang w:val="en-GB"/>
        </w:rPr>
        <w:t xml:space="preserve"> EU </w:t>
      </w:r>
      <w:r w:rsidR="00A9072D">
        <w:rPr>
          <w:rFonts w:ascii="Arial" w:hAnsi="Arial" w:cs="Arial"/>
          <w:sz w:val="22"/>
          <w:szCs w:val="22"/>
          <w:lang w:val="en-GB"/>
        </w:rPr>
        <w:t>member</w:t>
      </w:r>
      <w:r w:rsidR="00A9072D">
        <w:rPr>
          <w:rFonts w:ascii="Arial" w:hAnsi="Arial" w:cs="Arial"/>
          <w:sz w:val="22"/>
          <w:szCs w:val="22"/>
          <w:lang w:val="en-GB"/>
        </w:rPr>
        <w:t xml:space="preserve"> </w:t>
      </w:r>
      <w:r w:rsidR="0064634F">
        <w:rPr>
          <w:rFonts w:ascii="Arial" w:hAnsi="Arial" w:cs="Arial"/>
          <w:sz w:val="22"/>
          <w:szCs w:val="22"/>
          <w:lang w:val="en-GB"/>
        </w:rPr>
        <w:t>State where Rydell has an operation in that State</w:t>
      </w:r>
      <w:r w:rsidR="0064634F">
        <w:rPr>
          <w:rFonts w:ascii="Arial" w:hAnsi="Arial" w:cs="Arial"/>
          <w:sz w:val="22"/>
          <w:szCs w:val="22"/>
          <w:lang w:val="en-GB"/>
        </w:rPr>
        <w:t>, for the purpose of co-ordinating the UK’s insolvency proceedings.</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5" w:name="_Hlk75414344"/>
      <w:bookmarkEnd w:id="3"/>
    </w:p>
    <w:p w14:paraId="6625C320" w14:textId="383FB04A" w:rsidR="0046142D" w:rsidRDefault="0046142D" w:rsidP="0046142D">
      <w:pPr>
        <w:ind w:hanging="11"/>
        <w:jc w:val="both"/>
        <w:rPr>
          <w:rFonts w:ascii="Arial" w:hAnsi="Arial" w:cs="Arial"/>
          <w:sz w:val="22"/>
          <w:szCs w:val="22"/>
          <w:lang w:val="en-GB"/>
        </w:rPr>
      </w:pPr>
      <w:bookmarkStart w:id="6"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5"/>
    <w:bookmarkEnd w:id="6"/>
    <w:p w14:paraId="3CAE42BE" w14:textId="2143DEFB" w:rsidR="00015EE6" w:rsidRDefault="00A9072D"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04434D04" w14:textId="46C17B4E" w:rsidR="00015EE6" w:rsidRDefault="00015EE6" w:rsidP="00015EE6">
      <w:pPr>
        <w:autoSpaceDE w:val="0"/>
        <w:autoSpaceDN w:val="0"/>
        <w:adjustRightInd w:val="0"/>
        <w:spacing w:line="276" w:lineRule="auto"/>
        <w:jc w:val="both"/>
        <w:rPr>
          <w:rFonts w:ascii="Arial" w:hAnsi="Arial" w:cs="Arial"/>
          <w:sz w:val="22"/>
          <w:szCs w:val="22"/>
          <w:lang w:val="en-GB"/>
        </w:rPr>
      </w:pPr>
    </w:p>
    <w:p w14:paraId="538D613C" w14:textId="1DADE4CE" w:rsidR="006B6747" w:rsidRDefault="00617D82" w:rsidP="00015EE6">
      <w:pPr>
        <w:autoSpaceDE w:val="0"/>
        <w:autoSpaceDN w:val="0"/>
        <w:adjustRightInd w:val="0"/>
        <w:spacing w:line="276" w:lineRule="auto"/>
        <w:jc w:val="both"/>
        <w:rPr>
          <w:rFonts w:ascii="Arial" w:hAnsi="Arial" w:cs="Arial"/>
          <w:sz w:val="22"/>
          <w:szCs w:val="22"/>
          <w:lang w:val="en-GB"/>
        </w:rPr>
      </w:pPr>
      <w:r>
        <w:rPr>
          <w:rFonts w:ascii="Arial" w:hAnsi="Arial" w:cs="Arial" w:hint="eastAsia"/>
          <w:sz w:val="22"/>
          <w:szCs w:val="22"/>
          <w:lang w:val="en-GB"/>
        </w:rPr>
        <w:t>T</w:t>
      </w:r>
      <w:r>
        <w:rPr>
          <w:rFonts w:ascii="Arial" w:hAnsi="Arial" w:cs="Arial"/>
          <w:sz w:val="22"/>
          <w:szCs w:val="22"/>
          <w:lang w:val="en-GB"/>
        </w:rPr>
        <w:t xml:space="preserve">o the UK domestic laws, Rydell is an unregistered company formed under foreign law.  </w:t>
      </w:r>
      <w:r>
        <w:rPr>
          <w:rFonts w:ascii="Arial" w:hAnsi="Arial" w:cs="Arial" w:hint="eastAsia"/>
          <w:sz w:val="22"/>
          <w:szCs w:val="22"/>
          <w:lang w:val="en-GB"/>
        </w:rPr>
        <w:t>T</w:t>
      </w:r>
      <w:r>
        <w:rPr>
          <w:rFonts w:ascii="Arial" w:hAnsi="Arial" w:cs="Arial"/>
          <w:sz w:val="22"/>
          <w:szCs w:val="22"/>
          <w:lang w:val="en-GB"/>
        </w:rPr>
        <w:t xml:space="preserve">o consider whether UK is a relevant jurisdiction to wind up Rydell, </w:t>
      </w:r>
      <w:r w:rsidR="006B6747">
        <w:rPr>
          <w:rFonts w:ascii="Arial" w:hAnsi="Arial" w:cs="Arial"/>
          <w:sz w:val="22"/>
          <w:szCs w:val="22"/>
          <w:lang w:val="en-GB"/>
        </w:rPr>
        <w:t xml:space="preserve">there should be a sufficient connection between Rydell and the UK.  To hold a sufficient connection, Rydell must consist of assets within UK, or there is a reasonable possibility that the petitioner </w:t>
      </w:r>
      <w:r w:rsidR="00B15D52">
        <w:rPr>
          <w:rFonts w:ascii="Arial" w:hAnsi="Arial" w:cs="Arial"/>
          <w:sz w:val="22"/>
          <w:szCs w:val="22"/>
          <w:lang w:val="en-GB"/>
        </w:rPr>
        <w:t xml:space="preserve">(i.e. the minor creditor) </w:t>
      </w:r>
      <w:r w:rsidR="006B6747">
        <w:rPr>
          <w:rFonts w:ascii="Arial" w:hAnsi="Arial" w:cs="Arial"/>
          <w:sz w:val="22"/>
          <w:szCs w:val="22"/>
          <w:lang w:val="en-GB"/>
        </w:rPr>
        <w:t xml:space="preserve">will be benefited from obtaining a winding-up order, or that the UK court can exercise </w:t>
      </w:r>
      <w:r w:rsidR="006B6747">
        <w:rPr>
          <w:rFonts w:ascii="Arial" w:hAnsi="Arial" w:cs="Arial"/>
          <w:sz w:val="22"/>
          <w:szCs w:val="22"/>
          <w:lang w:val="en-GB"/>
        </w:rPr>
        <w:lastRenderedPageBreak/>
        <w:t xml:space="preserve">jurisdiction against one or more persons </w:t>
      </w:r>
      <w:r w:rsidR="00B15D52">
        <w:rPr>
          <w:rFonts w:ascii="Arial" w:hAnsi="Arial" w:cs="Arial"/>
          <w:sz w:val="22"/>
          <w:szCs w:val="22"/>
          <w:lang w:val="en-GB"/>
        </w:rPr>
        <w:t>(i.e. the minor creditor)</w:t>
      </w:r>
      <w:r w:rsidR="00B15D52">
        <w:rPr>
          <w:rFonts w:ascii="Arial" w:hAnsi="Arial" w:cs="Arial"/>
          <w:sz w:val="22"/>
          <w:szCs w:val="22"/>
          <w:lang w:val="en-GB"/>
        </w:rPr>
        <w:t xml:space="preserve"> </w:t>
      </w:r>
      <w:r w:rsidR="006B6747">
        <w:rPr>
          <w:rFonts w:ascii="Arial" w:hAnsi="Arial" w:cs="Arial"/>
          <w:sz w:val="22"/>
          <w:szCs w:val="22"/>
          <w:lang w:val="en-GB"/>
        </w:rPr>
        <w:t>interested in the distribution of assets of Rydell.</w:t>
      </w:r>
    </w:p>
    <w:p w14:paraId="08F2EA85" w14:textId="77777777" w:rsidR="006B6747" w:rsidRDefault="006B6747" w:rsidP="00015EE6">
      <w:pPr>
        <w:autoSpaceDE w:val="0"/>
        <w:autoSpaceDN w:val="0"/>
        <w:adjustRightInd w:val="0"/>
        <w:spacing w:line="276" w:lineRule="auto"/>
        <w:jc w:val="both"/>
        <w:rPr>
          <w:rFonts w:ascii="Arial" w:hAnsi="Arial" w:cs="Arial"/>
          <w:sz w:val="22"/>
          <w:szCs w:val="22"/>
          <w:lang w:val="en-GB"/>
        </w:rPr>
      </w:pPr>
    </w:p>
    <w:p w14:paraId="671216C4" w14:textId="332F834F" w:rsidR="00617D82" w:rsidRDefault="006B6747" w:rsidP="00015EE6">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Under section 221(5) of Insolvency Act 1986, i</w:t>
      </w:r>
      <w:r w:rsidR="00617D82">
        <w:rPr>
          <w:rFonts w:ascii="Arial" w:hAnsi="Arial" w:cs="Arial"/>
          <w:sz w:val="22"/>
          <w:szCs w:val="22"/>
          <w:lang w:val="en-GB"/>
        </w:rPr>
        <w:t>t</w:t>
      </w:r>
      <w:r>
        <w:rPr>
          <w:rFonts w:ascii="Arial" w:hAnsi="Arial" w:cs="Arial"/>
          <w:sz w:val="22"/>
          <w:szCs w:val="22"/>
          <w:lang w:val="en-GB"/>
        </w:rPr>
        <w:t xml:space="preserve"> also needs to </w:t>
      </w:r>
      <w:r w:rsidR="00617D82">
        <w:rPr>
          <w:rFonts w:ascii="Arial" w:hAnsi="Arial" w:cs="Arial"/>
          <w:sz w:val="22"/>
          <w:szCs w:val="22"/>
          <w:lang w:val="en-GB"/>
        </w:rPr>
        <w:t>consider that</w:t>
      </w:r>
      <w:r>
        <w:rPr>
          <w:rFonts w:ascii="Arial" w:hAnsi="Arial" w:cs="Arial"/>
          <w:sz w:val="22"/>
          <w:szCs w:val="22"/>
          <w:lang w:val="en-GB"/>
        </w:rPr>
        <w:t xml:space="preserve"> </w:t>
      </w:r>
      <w:r w:rsidR="00617D82">
        <w:rPr>
          <w:rFonts w:ascii="Arial" w:hAnsi="Arial" w:cs="Arial"/>
          <w:sz w:val="22"/>
          <w:szCs w:val="22"/>
          <w:lang w:val="en-GB"/>
        </w:rPr>
        <w:t xml:space="preserve">1. </w:t>
      </w:r>
      <w:r>
        <w:rPr>
          <w:rFonts w:ascii="Arial" w:hAnsi="Arial" w:cs="Arial"/>
          <w:sz w:val="22"/>
          <w:szCs w:val="22"/>
          <w:lang w:val="en-GB"/>
        </w:rPr>
        <w:t>if Rydell is carrying on business only for the purpose of winding up its affairs</w:t>
      </w:r>
      <w:r w:rsidR="00617D82">
        <w:rPr>
          <w:rFonts w:ascii="Arial" w:hAnsi="Arial" w:cs="Arial"/>
          <w:sz w:val="22"/>
          <w:szCs w:val="22"/>
          <w:lang w:val="en-GB"/>
        </w:rPr>
        <w:t>,</w:t>
      </w:r>
      <w:r>
        <w:rPr>
          <w:rFonts w:ascii="Arial" w:hAnsi="Arial" w:cs="Arial"/>
          <w:sz w:val="22"/>
          <w:szCs w:val="22"/>
          <w:lang w:val="en-GB"/>
        </w:rPr>
        <w:t xml:space="preserve"> 2. if </w:t>
      </w:r>
      <w:r>
        <w:rPr>
          <w:rFonts w:ascii="Arial" w:hAnsi="Arial" w:cs="Arial"/>
          <w:sz w:val="22"/>
          <w:szCs w:val="22"/>
          <w:lang w:val="en-GB"/>
        </w:rPr>
        <w:t>Rydell</w:t>
      </w:r>
      <w:r>
        <w:rPr>
          <w:rFonts w:ascii="Arial" w:hAnsi="Arial" w:cs="Arial"/>
          <w:sz w:val="22"/>
          <w:szCs w:val="22"/>
          <w:lang w:val="en-GB"/>
        </w:rPr>
        <w:t xml:space="preserve"> is unable to pay its debts; and 3. if the UK court is of opinion that it is just and equitable that </w:t>
      </w:r>
      <w:r>
        <w:rPr>
          <w:rFonts w:ascii="Arial" w:hAnsi="Arial" w:cs="Arial"/>
          <w:sz w:val="22"/>
          <w:szCs w:val="22"/>
          <w:lang w:val="en-GB"/>
        </w:rPr>
        <w:t>Rydell</w:t>
      </w:r>
      <w:r>
        <w:rPr>
          <w:rFonts w:ascii="Arial" w:hAnsi="Arial" w:cs="Arial"/>
          <w:sz w:val="22"/>
          <w:szCs w:val="22"/>
          <w:lang w:val="en-GB"/>
        </w:rPr>
        <w:t xml:space="preserve"> should be wound up.</w:t>
      </w:r>
    </w:p>
    <w:p w14:paraId="40CD4AAF" w14:textId="1EB70560" w:rsidR="00B15D52" w:rsidRDefault="00B15D52" w:rsidP="00015EE6">
      <w:pPr>
        <w:autoSpaceDE w:val="0"/>
        <w:autoSpaceDN w:val="0"/>
        <w:adjustRightInd w:val="0"/>
        <w:spacing w:line="276" w:lineRule="auto"/>
        <w:jc w:val="both"/>
        <w:rPr>
          <w:rFonts w:ascii="Arial" w:hAnsi="Arial" w:cs="Arial"/>
          <w:sz w:val="22"/>
          <w:szCs w:val="22"/>
          <w:lang w:val="en-GB"/>
        </w:rPr>
      </w:pPr>
    </w:p>
    <w:p w14:paraId="70BDD202" w14:textId="22849ACD" w:rsidR="00617D82" w:rsidRPr="00617D82" w:rsidRDefault="00B15D52" w:rsidP="00015EE6">
      <w:pPr>
        <w:autoSpaceDE w:val="0"/>
        <w:autoSpaceDN w:val="0"/>
        <w:adjustRightInd w:val="0"/>
        <w:spacing w:line="276" w:lineRule="auto"/>
        <w:jc w:val="both"/>
        <w:rPr>
          <w:rFonts w:ascii="Arial" w:hAnsi="Arial" w:cs="Arial" w:hint="eastAsia"/>
          <w:sz w:val="22"/>
          <w:szCs w:val="22"/>
          <w:lang w:val="en-GB"/>
        </w:rPr>
      </w:pPr>
      <w:r>
        <w:rPr>
          <w:rFonts w:ascii="Arial" w:hAnsi="Arial" w:cs="Arial" w:hint="eastAsia"/>
          <w:sz w:val="22"/>
          <w:szCs w:val="22"/>
          <w:lang w:val="en-GB"/>
        </w:rPr>
        <w:t>I</w:t>
      </w:r>
      <w:r>
        <w:rPr>
          <w:rFonts w:ascii="Arial" w:hAnsi="Arial" w:cs="Arial"/>
          <w:sz w:val="22"/>
          <w:szCs w:val="22"/>
          <w:lang w:val="en-GB"/>
        </w:rPr>
        <w:t>f the UK court satisfies the above, they would make a winding up order against Rydell.  Its liquidator has a duty to take into custody and control of all tangible and intangible assets of Rydell.  A recognition of UK’s winding-up order may be required when the liquidator handles assets in foreign States.</w:t>
      </w: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62484652" w:rsidR="009B0723" w:rsidRPr="00205B31" w:rsidRDefault="009B0723" w:rsidP="00C606C3">
      <w:pPr>
        <w:rPr>
          <w:rFonts w:ascii="Arial" w:hAnsi="Arial" w:cs="Arial"/>
          <w:sz w:val="22"/>
          <w:szCs w:val="22"/>
          <w:lang w:val="en-GB"/>
        </w:rPr>
      </w:pP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F6EBC" w14:textId="77777777" w:rsidR="00521CA3" w:rsidRDefault="00521CA3" w:rsidP="00241B44">
      <w:r>
        <w:separator/>
      </w:r>
    </w:p>
  </w:endnote>
  <w:endnote w:type="continuationSeparator" w:id="0">
    <w:p w14:paraId="2865FF1C" w14:textId="77777777" w:rsidR="00521CA3" w:rsidRDefault="00521CA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Fonts w:ascii="Arial" w:hAnsi="Arial" w:cs="Arial"/>
        <w:bCs/>
        <w:sz w:val="18"/>
        <w:szCs w:val="18"/>
      </w:rPr>
      <w:id w:val="-758512077"/>
      <w:docPartObj>
        <w:docPartGallery w:val="Page Numbers (Bottom of Page)"/>
        <w:docPartUnique/>
      </w:docPartObj>
    </w:sdtPr>
    <w:sdtEndPr>
      <w:rPr>
        <w:rStyle w:val="af1"/>
      </w:rPr>
    </w:sdtEndPr>
    <w:sdtContent>
      <w:p w14:paraId="0AAD6B61" w14:textId="77777777" w:rsidR="006E1CB0" w:rsidRPr="00A31881" w:rsidRDefault="006E1CB0" w:rsidP="0052732A">
        <w:pPr>
          <w:pStyle w:val="af"/>
          <w:framePr w:wrap="none" w:vAnchor="text" w:hAnchor="margin" w:xAlign="right" w:y="1"/>
          <w:rPr>
            <w:rStyle w:val="af1"/>
            <w:rFonts w:ascii="Arial" w:hAnsi="Arial" w:cs="Arial"/>
            <w:bCs/>
            <w:sz w:val="18"/>
            <w:szCs w:val="18"/>
          </w:rPr>
        </w:pPr>
        <w:r w:rsidRPr="00A31881">
          <w:rPr>
            <w:rStyle w:val="af1"/>
            <w:rFonts w:ascii="Arial" w:hAnsi="Arial" w:cs="Arial"/>
            <w:bCs/>
            <w:sz w:val="18"/>
            <w:szCs w:val="18"/>
          </w:rPr>
          <w:t xml:space="preserve">Page </w:t>
        </w:r>
        <w:r w:rsidRPr="00A31881">
          <w:rPr>
            <w:rStyle w:val="af1"/>
            <w:rFonts w:ascii="Arial" w:hAnsi="Arial" w:cs="Arial"/>
            <w:bCs/>
            <w:sz w:val="18"/>
            <w:szCs w:val="18"/>
          </w:rPr>
          <w:fldChar w:fldCharType="begin"/>
        </w:r>
        <w:r w:rsidRPr="00A31881">
          <w:rPr>
            <w:rStyle w:val="af1"/>
            <w:rFonts w:ascii="Arial" w:hAnsi="Arial" w:cs="Arial"/>
            <w:bCs/>
            <w:sz w:val="18"/>
            <w:szCs w:val="18"/>
          </w:rPr>
          <w:instrText xml:space="preserve"> PAGE </w:instrText>
        </w:r>
        <w:r w:rsidRPr="00A31881">
          <w:rPr>
            <w:rStyle w:val="af1"/>
            <w:rFonts w:ascii="Arial" w:hAnsi="Arial" w:cs="Arial"/>
            <w:bCs/>
            <w:sz w:val="18"/>
            <w:szCs w:val="18"/>
          </w:rPr>
          <w:fldChar w:fldCharType="separate"/>
        </w:r>
        <w:r w:rsidRPr="00A31881">
          <w:rPr>
            <w:rStyle w:val="af1"/>
            <w:rFonts w:ascii="Arial" w:hAnsi="Arial" w:cs="Arial"/>
            <w:bCs/>
            <w:noProof/>
            <w:sz w:val="18"/>
            <w:szCs w:val="18"/>
          </w:rPr>
          <w:t>10</w:t>
        </w:r>
        <w:r w:rsidRPr="00A31881">
          <w:rPr>
            <w:rStyle w:val="af1"/>
            <w:rFonts w:ascii="Arial" w:hAnsi="Arial" w:cs="Arial"/>
            <w:bCs/>
            <w:sz w:val="18"/>
            <w:szCs w:val="18"/>
          </w:rPr>
          <w:fldChar w:fldCharType="end"/>
        </w:r>
      </w:p>
    </w:sdtContent>
  </w:sdt>
  <w:p w14:paraId="39FD1B0B" w14:textId="131F514A" w:rsidR="006E1CB0" w:rsidRPr="00A31881" w:rsidRDefault="006E1CB0" w:rsidP="00FC7B47">
    <w:pPr>
      <w:pStyle w:val="af"/>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Fonts w:ascii="Arial" w:hAnsi="Arial" w:cs="Arial"/>
        <w:b/>
        <w:bCs/>
        <w:sz w:val="18"/>
        <w:szCs w:val="18"/>
      </w:rPr>
      <w:id w:val="-2016673495"/>
      <w:docPartObj>
        <w:docPartGallery w:val="Page Numbers (Bottom of Page)"/>
        <w:docPartUnique/>
      </w:docPartObj>
    </w:sdtPr>
    <w:sdtEndPr>
      <w:rPr>
        <w:rStyle w:val="af1"/>
        <w:b w:val="0"/>
        <w:bCs w:val="0"/>
      </w:rPr>
    </w:sdtEndPr>
    <w:sdtContent>
      <w:p w14:paraId="532C33C7" w14:textId="3184068D" w:rsidR="006E1CB0" w:rsidRPr="0052732A" w:rsidRDefault="006E1CB0" w:rsidP="006E1CB0">
        <w:pPr>
          <w:pStyle w:val="af"/>
          <w:framePr w:wrap="none" w:vAnchor="text" w:hAnchor="margin" w:xAlign="right" w:y="1"/>
          <w:rPr>
            <w:rStyle w:val="af1"/>
            <w:rFonts w:ascii="Arial" w:hAnsi="Arial" w:cs="Arial"/>
            <w:sz w:val="18"/>
            <w:szCs w:val="18"/>
          </w:rPr>
        </w:pPr>
        <w:r w:rsidRPr="00C50F86">
          <w:rPr>
            <w:rStyle w:val="af1"/>
            <w:rFonts w:ascii="Arial" w:hAnsi="Arial" w:cs="Arial"/>
            <w:b/>
            <w:bCs/>
            <w:sz w:val="18"/>
            <w:szCs w:val="18"/>
          </w:rPr>
          <w:t xml:space="preserve">Page </w:t>
        </w:r>
        <w:r w:rsidRPr="00C50F86">
          <w:rPr>
            <w:rStyle w:val="af1"/>
            <w:rFonts w:ascii="Arial" w:hAnsi="Arial" w:cs="Arial"/>
            <w:b/>
            <w:bCs/>
            <w:sz w:val="18"/>
            <w:szCs w:val="18"/>
          </w:rPr>
          <w:fldChar w:fldCharType="begin"/>
        </w:r>
        <w:r w:rsidRPr="00C50F86">
          <w:rPr>
            <w:rStyle w:val="af1"/>
            <w:rFonts w:ascii="Arial" w:hAnsi="Arial" w:cs="Arial"/>
            <w:b/>
            <w:bCs/>
            <w:sz w:val="18"/>
            <w:szCs w:val="18"/>
          </w:rPr>
          <w:instrText xml:space="preserve"> PAGE </w:instrText>
        </w:r>
        <w:r w:rsidRPr="00C50F86">
          <w:rPr>
            <w:rStyle w:val="af1"/>
            <w:rFonts w:ascii="Arial" w:hAnsi="Arial" w:cs="Arial"/>
            <w:b/>
            <w:bCs/>
            <w:sz w:val="18"/>
            <w:szCs w:val="18"/>
          </w:rPr>
          <w:fldChar w:fldCharType="separate"/>
        </w:r>
        <w:r w:rsidR="001D7EF2">
          <w:rPr>
            <w:rStyle w:val="af1"/>
            <w:rFonts w:ascii="Arial" w:hAnsi="Arial" w:cs="Arial"/>
            <w:b/>
            <w:bCs/>
            <w:noProof/>
            <w:sz w:val="18"/>
            <w:szCs w:val="18"/>
          </w:rPr>
          <w:t>10</w:t>
        </w:r>
        <w:r w:rsidRPr="00C50F86">
          <w:rPr>
            <w:rStyle w:val="af1"/>
            <w:rFonts w:ascii="Arial" w:hAnsi="Arial" w:cs="Arial"/>
            <w:b/>
            <w:bCs/>
            <w:sz w:val="18"/>
            <w:szCs w:val="18"/>
          </w:rPr>
          <w:fldChar w:fldCharType="end"/>
        </w:r>
      </w:p>
    </w:sdtContent>
  </w:sdt>
  <w:p w14:paraId="12ABA5E1" w14:textId="01C65ED9" w:rsidR="006E1CB0" w:rsidRPr="0052732A" w:rsidRDefault="006815E3" w:rsidP="0052732A">
    <w:pPr>
      <w:pStyle w:val="af"/>
      <w:ind w:right="360"/>
      <w:rPr>
        <w:rFonts w:ascii="Arial" w:hAnsi="Arial" w:cs="Arial"/>
        <w:sz w:val="18"/>
        <w:szCs w:val="18"/>
      </w:rPr>
    </w:pPr>
    <w:r w:rsidRPr="006815E3">
      <w:rPr>
        <w:rFonts w:ascii="Arial" w:hAnsi="Arial" w:cs="Arial"/>
        <w:sz w:val="18"/>
        <w:szCs w:val="18"/>
      </w:rPr>
      <w:t>202122-355</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D4162" w14:textId="77777777" w:rsidR="00521CA3" w:rsidRDefault="00521CA3" w:rsidP="00241B44">
      <w:r>
        <w:separator/>
      </w:r>
    </w:p>
  </w:footnote>
  <w:footnote w:type="continuationSeparator" w:id="0">
    <w:p w14:paraId="5241B1F4" w14:textId="77777777" w:rsidR="00521CA3" w:rsidRDefault="00521CA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7920D72"/>
    <w:multiLevelType w:val="hybridMultilevel"/>
    <w:tmpl w:val="693A6C08"/>
    <w:lvl w:ilvl="0" w:tplc="D682D7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3" w15:restartNumberingAfterBreak="0">
    <w:nsid w:val="5D4A3121"/>
    <w:multiLevelType w:val="hybridMultilevel"/>
    <w:tmpl w:val="0DBC5172"/>
    <w:lvl w:ilvl="0" w:tplc="AEEE7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8"/>
  </w:num>
  <w:num w:numId="2">
    <w:abstractNumId w:val="9"/>
  </w:num>
  <w:num w:numId="3">
    <w:abstractNumId w:val="17"/>
  </w:num>
  <w:num w:numId="4">
    <w:abstractNumId w:val="5"/>
  </w:num>
  <w:num w:numId="5">
    <w:abstractNumId w:val="3"/>
  </w:num>
  <w:num w:numId="6">
    <w:abstractNumId w:val="15"/>
  </w:num>
  <w:num w:numId="7">
    <w:abstractNumId w:val="4"/>
  </w:num>
  <w:num w:numId="8">
    <w:abstractNumId w:val="2"/>
  </w:num>
  <w:num w:numId="9">
    <w:abstractNumId w:val="0"/>
  </w:num>
  <w:num w:numId="10">
    <w:abstractNumId w:val="6"/>
  </w:num>
  <w:num w:numId="11">
    <w:abstractNumId w:val="11"/>
  </w:num>
  <w:num w:numId="12">
    <w:abstractNumId w:val="16"/>
  </w:num>
  <w:num w:numId="13">
    <w:abstractNumId w:val="12"/>
  </w:num>
  <w:num w:numId="14">
    <w:abstractNumId w:val="7"/>
  </w:num>
  <w:num w:numId="15">
    <w:abstractNumId w:val="10"/>
  </w:num>
  <w:num w:numId="16">
    <w:abstractNumId w:val="14"/>
  </w:num>
  <w:num w:numId="17">
    <w:abstractNumId w:val="1"/>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Header/>
  <w:bordersDoNotSurroundFooter/>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2A0C"/>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865C6"/>
    <w:rsid w:val="00192D6D"/>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5630"/>
    <w:rsid w:val="0022719C"/>
    <w:rsid w:val="002362AB"/>
    <w:rsid w:val="002400DB"/>
    <w:rsid w:val="002406A4"/>
    <w:rsid w:val="0024116D"/>
    <w:rsid w:val="00241B44"/>
    <w:rsid w:val="00245EFB"/>
    <w:rsid w:val="002529D2"/>
    <w:rsid w:val="0025386E"/>
    <w:rsid w:val="00253BD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47E4"/>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0330"/>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5C10"/>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56C7"/>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1CA3"/>
    <w:rsid w:val="0052263B"/>
    <w:rsid w:val="00524728"/>
    <w:rsid w:val="00525459"/>
    <w:rsid w:val="00525C99"/>
    <w:rsid w:val="0052732A"/>
    <w:rsid w:val="00530010"/>
    <w:rsid w:val="00530CA0"/>
    <w:rsid w:val="00532283"/>
    <w:rsid w:val="005323A7"/>
    <w:rsid w:val="005331CA"/>
    <w:rsid w:val="0053523A"/>
    <w:rsid w:val="00537970"/>
    <w:rsid w:val="00540E3A"/>
    <w:rsid w:val="00541AC6"/>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41FD"/>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17D82"/>
    <w:rsid w:val="00621A17"/>
    <w:rsid w:val="00627CC9"/>
    <w:rsid w:val="00627E7B"/>
    <w:rsid w:val="00630542"/>
    <w:rsid w:val="00630727"/>
    <w:rsid w:val="00631E7B"/>
    <w:rsid w:val="00632E44"/>
    <w:rsid w:val="0063316D"/>
    <w:rsid w:val="00633DC9"/>
    <w:rsid w:val="00634622"/>
    <w:rsid w:val="00636808"/>
    <w:rsid w:val="00637707"/>
    <w:rsid w:val="0064043F"/>
    <w:rsid w:val="00641515"/>
    <w:rsid w:val="00643ABE"/>
    <w:rsid w:val="0064634F"/>
    <w:rsid w:val="006521CD"/>
    <w:rsid w:val="00652A22"/>
    <w:rsid w:val="00653584"/>
    <w:rsid w:val="00654C2F"/>
    <w:rsid w:val="00655438"/>
    <w:rsid w:val="00657087"/>
    <w:rsid w:val="0065715A"/>
    <w:rsid w:val="006661EF"/>
    <w:rsid w:val="006746CB"/>
    <w:rsid w:val="00677AEB"/>
    <w:rsid w:val="00680EF2"/>
    <w:rsid w:val="006815E3"/>
    <w:rsid w:val="00682A3E"/>
    <w:rsid w:val="006850AE"/>
    <w:rsid w:val="00686C53"/>
    <w:rsid w:val="00687A1D"/>
    <w:rsid w:val="00693F6E"/>
    <w:rsid w:val="00697EA1"/>
    <w:rsid w:val="006A2646"/>
    <w:rsid w:val="006A6530"/>
    <w:rsid w:val="006A695F"/>
    <w:rsid w:val="006A6D1D"/>
    <w:rsid w:val="006B2893"/>
    <w:rsid w:val="006B435A"/>
    <w:rsid w:val="006B4473"/>
    <w:rsid w:val="006B4C64"/>
    <w:rsid w:val="006B5AE8"/>
    <w:rsid w:val="006B6747"/>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4C56"/>
    <w:rsid w:val="007462D9"/>
    <w:rsid w:val="00750366"/>
    <w:rsid w:val="00751986"/>
    <w:rsid w:val="00753F15"/>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498E"/>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0210"/>
    <w:rsid w:val="00861E51"/>
    <w:rsid w:val="00870B96"/>
    <w:rsid w:val="008723F3"/>
    <w:rsid w:val="00873246"/>
    <w:rsid w:val="00875E2E"/>
    <w:rsid w:val="00876384"/>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4063"/>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93A39"/>
    <w:rsid w:val="009A420B"/>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072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D76E8"/>
    <w:rsid w:val="00AE027F"/>
    <w:rsid w:val="00AF228E"/>
    <w:rsid w:val="00AF455B"/>
    <w:rsid w:val="00B0123F"/>
    <w:rsid w:val="00B04004"/>
    <w:rsid w:val="00B14819"/>
    <w:rsid w:val="00B15D52"/>
    <w:rsid w:val="00B17AA9"/>
    <w:rsid w:val="00B221FF"/>
    <w:rsid w:val="00B26B31"/>
    <w:rsid w:val="00B30A70"/>
    <w:rsid w:val="00B322FA"/>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6EE5"/>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4933"/>
    <w:rsid w:val="00E450A4"/>
    <w:rsid w:val="00E46001"/>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A6F25"/>
    <w:rsid w:val="00EB02BE"/>
    <w:rsid w:val="00EB146B"/>
    <w:rsid w:val="00EB2845"/>
    <w:rsid w:val="00EB45AC"/>
    <w:rsid w:val="00EB488B"/>
    <w:rsid w:val="00EB6668"/>
    <w:rsid w:val="00EB6A2F"/>
    <w:rsid w:val="00EC3875"/>
    <w:rsid w:val="00EC549E"/>
    <w:rsid w:val="00EC6E55"/>
    <w:rsid w:val="00ED0BC4"/>
    <w:rsid w:val="00ED151E"/>
    <w:rsid w:val="00ED617A"/>
    <w:rsid w:val="00ED6213"/>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73C44"/>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unhideWhenUsed/>
    <w:rsid w:val="008B5333"/>
    <w:rPr>
      <w:szCs w:val="20"/>
    </w:rPr>
  </w:style>
  <w:style w:type="character" w:customStyle="1" w:styleId="aa">
    <w:name w:val="註解文字 字元"/>
    <w:basedOn w:val="a0"/>
    <w:link w:val="a9"/>
    <w:uiPriority w:val="99"/>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a"/>
    <w:next w:val="a"/>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a"/>
    <w:next w:val="a"/>
    <w:qFormat/>
    <w:rsid w:val="001131C6"/>
    <w:pPr>
      <w:ind w:left="708"/>
    </w:pPr>
    <w:rPr>
      <w:rFonts w:ascii="Arial" w:eastAsiaTheme="minorEastAsia" w:hAnsi="Arial" w:cs="Arial"/>
      <w:sz w:val="22"/>
      <w:szCs w:val="22"/>
      <w:u w:color="FF0000"/>
      <w:lang w:val="en-GB"/>
    </w:rPr>
  </w:style>
  <w:style w:type="paragraph" w:styleId="af6">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851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200748-E8E6-43E6-A664-9F9BEB11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11</Pages>
  <Words>3540</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WONG WING SAN VINCENT</cp:lastModifiedBy>
  <cp:revision>14</cp:revision>
  <cp:lastPrinted>2020-06-12T02:43:00Z</cp:lastPrinted>
  <dcterms:created xsi:type="dcterms:W3CDTF">2021-11-08T09:56:00Z</dcterms:created>
  <dcterms:modified xsi:type="dcterms:W3CDTF">2021-11-15T09:34:00Z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