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MY" w:eastAsia="en-MY"/>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lastRenderedPageBreak/>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w:t>
      </w:r>
      <w:proofErr w:type="gramStart"/>
      <w:r w:rsidR="0011473D" w:rsidRPr="00205B31">
        <w:rPr>
          <w:rFonts w:ascii="Arial" w:hAnsi="Arial" w:cs="Arial"/>
          <w:sz w:val="22"/>
          <w:szCs w:val="22"/>
          <w:lang w:val="en-GB"/>
        </w:rPr>
        <w:t>a</w:t>
      </w:r>
      <w:proofErr w:type="gramEnd"/>
      <w:r w:rsidR="0011473D" w:rsidRPr="00205B31">
        <w:rPr>
          <w:rFonts w:ascii="Arial" w:hAnsi="Arial" w:cs="Arial"/>
          <w:sz w:val="22"/>
          <w:szCs w:val="22"/>
          <w:lang w:val="en-GB"/>
        </w:rPr>
        <w:t xml:space="preserve">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are</w:t>
      </w:r>
      <w:proofErr w:type="gramEnd"/>
      <w:r w:rsidRPr="00205B3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52099" w:rsidRDefault="00C60631" w:rsidP="009D510C">
      <w:pPr>
        <w:pStyle w:val="ListParagraph"/>
        <w:numPr>
          <w:ilvl w:val="0"/>
          <w:numId w:val="12"/>
        </w:numPr>
        <w:ind w:left="426"/>
        <w:jc w:val="both"/>
        <w:rPr>
          <w:rFonts w:ascii="Arial" w:hAnsi="Arial" w:cs="Arial"/>
          <w:sz w:val="22"/>
          <w:szCs w:val="22"/>
          <w:highlight w:val="yellow"/>
          <w:lang w:val="en-GB"/>
        </w:rPr>
      </w:pPr>
      <w:r w:rsidRPr="00852099">
        <w:rPr>
          <w:rFonts w:ascii="Arial" w:hAnsi="Arial" w:cs="Arial"/>
          <w:sz w:val="22"/>
          <w:szCs w:val="22"/>
          <w:highlight w:val="yellow"/>
          <w:lang w:val="en-GB"/>
        </w:rPr>
        <w:t xml:space="preserve">This statement is incorrect since </w:t>
      </w:r>
      <w:r w:rsidR="00E7793C" w:rsidRPr="00852099">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852099" w:rsidRDefault="00AE027F" w:rsidP="009D510C">
      <w:pPr>
        <w:pStyle w:val="ListParagraph"/>
        <w:numPr>
          <w:ilvl w:val="0"/>
          <w:numId w:val="13"/>
        </w:numPr>
        <w:jc w:val="both"/>
        <w:rPr>
          <w:rFonts w:ascii="Arial" w:hAnsi="Arial" w:cs="Arial"/>
          <w:sz w:val="22"/>
          <w:szCs w:val="22"/>
          <w:highlight w:val="yellow"/>
          <w:lang w:val="en-GB"/>
        </w:rPr>
      </w:pPr>
      <w:r w:rsidRPr="00852099">
        <w:rPr>
          <w:rFonts w:ascii="Arial" w:hAnsi="Arial" w:cs="Arial"/>
          <w:sz w:val="22"/>
          <w:szCs w:val="22"/>
          <w:highlight w:val="yellow"/>
          <w:lang w:val="en-GB"/>
        </w:rPr>
        <w:t>The statement i</w:t>
      </w:r>
      <w:r w:rsidR="006E77B0" w:rsidRPr="00852099">
        <w:rPr>
          <w:rFonts w:ascii="Arial" w:hAnsi="Arial" w:cs="Arial"/>
          <w:sz w:val="22"/>
          <w:szCs w:val="22"/>
          <w:highlight w:val="yellow"/>
          <w:lang w:val="en-GB"/>
        </w:rPr>
        <w:t>s incorrect since the UK did re</w:t>
      </w:r>
      <w:r w:rsidRPr="00852099">
        <w:rPr>
          <w:rFonts w:ascii="Arial" w:hAnsi="Arial" w:cs="Arial"/>
          <w:sz w:val="22"/>
          <w:szCs w:val="22"/>
          <w:highlight w:val="yellow"/>
          <w:lang w:val="en-GB"/>
        </w:rPr>
        <w:t>v</w:t>
      </w:r>
      <w:r w:rsidR="006E77B0" w:rsidRPr="00852099">
        <w:rPr>
          <w:rFonts w:ascii="Arial" w:hAnsi="Arial" w:cs="Arial"/>
          <w:sz w:val="22"/>
          <w:szCs w:val="22"/>
          <w:highlight w:val="yellow"/>
          <w:lang w:val="en-GB"/>
        </w:rPr>
        <w:t>i</w:t>
      </w:r>
      <w:r w:rsidRPr="00852099">
        <w:rPr>
          <w:rFonts w:ascii="Arial" w:hAnsi="Arial" w:cs="Arial"/>
          <w:sz w:val="22"/>
          <w:szCs w:val="22"/>
          <w:highlight w:val="yellow"/>
          <w:lang w:val="en-GB"/>
        </w:rPr>
        <w:t>ew parts of its insolvency rules and amended some, among</w:t>
      </w:r>
      <w:r w:rsidR="006E77B0" w:rsidRPr="00852099">
        <w:rPr>
          <w:rFonts w:ascii="Arial" w:hAnsi="Arial" w:cs="Arial"/>
          <w:sz w:val="22"/>
          <w:szCs w:val="22"/>
          <w:highlight w:val="yellow"/>
          <w:lang w:val="en-GB"/>
        </w:rPr>
        <w:t>s</w:t>
      </w:r>
      <w:r w:rsidRPr="00852099">
        <w:rPr>
          <w:rFonts w:ascii="Arial" w:hAnsi="Arial" w:cs="Arial"/>
          <w:sz w:val="22"/>
          <w:szCs w:val="22"/>
          <w:highlight w:val="yellow"/>
          <w:lang w:val="en-GB"/>
        </w:rPr>
        <w:t>t other</w:t>
      </w:r>
      <w:r w:rsidR="00F96AF1" w:rsidRPr="00852099">
        <w:rPr>
          <w:rFonts w:ascii="Arial" w:hAnsi="Arial" w:cs="Arial"/>
          <w:sz w:val="22"/>
          <w:szCs w:val="22"/>
          <w:highlight w:val="yellow"/>
          <w:lang w:val="en-GB"/>
        </w:rPr>
        <w:t xml:space="preserve"> things</w:t>
      </w:r>
      <w:r w:rsidRPr="00852099">
        <w:rPr>
          <w:rFonts w:ascii="Arial" w:hAnsi="Arial" w:cs="Arial"/>
          <w:sz w:val="22"/>
          <w:szCs w:val="22"/>
          <w:highlight w:val="yellow"/>
          <w:lang w:val="en-GB"/>
        </w:rPr>
        <w:t>, to deal with the negative economic fall out of the pandemic.</w:t>
      </w:r>
      <w:r w:rsidR="00100A77" w:rsidRPr="0085209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AF34D9" w:rsidRDefault="00B54F90" w:rsidP="009D510C">
      <w:pPr>
        <w:pStyle w:val="ListParagraph"/>
        <w:numPr>
          <w:ilvl w:val="0"/>
          <w:numId w:val="14"/>
        </w:numPr>
        <w:ind w:left="426"/>
        <w:jc w:val="both"/>
        <w:rPr>
          <w:rFonts w:ascii="Arial" w:hAnsi="Arial" w:cs="Arial"/>
          <w:sz w:val="22"/>
          <w:szCs w:val="22"/>
          <w:highlight w:val="yellow"/>
          <w:lang w:val="en-GB"/>
        </w:rPr>
      </w:pPr>
      <w:r w:rsidRPr="00AF34D9">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AF34D9">
        <w:rPr>
          <w:rFonts w:ascii="Arial" w:hAnsi="Arial" w:cs="Arial"/>
          <w:sz w:val="22"/>
          <w:szCs w:val="22"/>
          <w:highlight w:val="yellow"/>
          <w:lang w:val="en-GB"/>
        </w:rPr>
        <w:t xml:space="preserve">on </w:t>
      </w:r>
      <w:r w:rsidRPr="00AF34D9">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DC509B"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DC509B">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AC10BB" w:rsidRDefault="00926D10" w:rsidP="009D510C">
      <w:pPr>
        <w:pStyle w:val="ListParagraph"/>
        <w:numPr>
          <w:ilvl w:val="0"/>
          <w:numId w:val="5"/>
        </w:numPr>
        <w:ind w:left="426"/>
        <w:jc w:val="both"/>
        <w:rPr>
          <w:rFonts w:ascii="Arial" w:hAnsi="Arial" w:cs="Arial"/>
          <w:sz w:val="22"/>
          <w:szCs w:val="22"/>
          <w:highlight w:val="yellow"/>
          <w:lang w:val="en-GB"/>
        </w:rPr>
      </w:pPr>
      <w:r w:rsidRPr="00AC10BB">
        <w:rPr>
          <w:rFonts w:ascii="Arial" w:hAnsi="Arial" w:cs="Arial"/>
          <w:sz w:val="22"/>
          <w:szCs w:val="22"/>
          <w:highlight w:val="yellow"/>
          <w:lang w:val="en-GB"/>
        </w:rPr>
        <w:t xml:space="preserve">The statement is </w:t>
      </w:r>
      <w:r w:rsidR="006E1CB0" w:rsidRPr="00AC10BB">
        <w:rPr>
          <w:rFonts w:ascii="Arial" w:hAnsi="Arial" w:cs="Arial"/>
          <w:sz w:val="22"/>
          <w:szCs w:val="22"/>
          <w:highlight w:val="yellow"/>
          <w:lang w:val="en-GB"/>
        </w:rPr>
        <w:t xml:space="preserve">not </w:t>
      </w:r>
      <w:r w:rsidRPr="00AC10BB">
        <w:rPr>
          <w:rFonts w:ascii="Arial" w:hAnsi="Arial" w:cs="Arial"/>
          <w:sz w:val="22"/>
          <w:szCs w:val="22"/>
          <w:highlight w:val="yellow"/>
          <w:lang w:val="en-GB"/>
        </w:rPr>
        <w:t xml:space="preserve">correct </w:t>
      </w:r>
      <w:r w:rsidR="007958F0" w:rsidRPr="00AC10BB">
        <w:rPr>
          <w:rFonts w:ascii="Arial" w:hAnsi="Arial" w:cs="Arial"/>
          <w:sz w:val="22"/>
          <w:szCs w:val="22"/>
          <w:highlight w:val="yellow"/>
          <w:lang w:val="en-GB"/>
        </w:rPr>
        <w:t>because</w:t>
      </w:r>
      <w:r w:rsidRPr="00AC10BB">
        <w:rPr>
          <w:rFonts w:ascii="Arial" w:hAnsi="Arial" w:cs="Arial"/>
          <w:sz w:val="22"/>
          <w:szCs w:val="22"/>
          <w:highlight w:val="yellow"/>
          <w:lang w:val="en-GB"/>
        </w:rPr>
        <w:t xml:space="preserve"> very few </w:t>
      </w:r>
      <w:r w:rsidR="007958F0" w:rsidRPr="00AC10BB">
        <w:rPr>
          <w:rFonts w:ascii="Arial" w:hAnsi="Arial" w:cs="Arial"/>
          <w:sz w:val="22"/>
          <w:szCs w:val="22"/>
          <w:highlight w:val="yellow"/>
          <w:lang w:val="en-GB"/>
        </w:rPr>
        <w:t>States</w:t>
      </w:r>
      <w:r w:rsidRPr="00AC10BB">
        <w:rPr>
          <w:rFonts w:ascii="Arial" w:hAnsi="Arial" w:cs="Arial"/>
          <w:sz w:val="22"/>
          <w:szCs w:val="22"/>
          <w:highlight w:val="yellow"/>
          <w:lang w:val="en-GB"/>
        </w:rPr>
        <w:t xml:space="preserve"> allow insolvent estate representatives to deal with assets of a foreign debtor situated in </w:t>
      </w:r>
      <w:r w:rsidR="005936B3" w:rsidRPr="00AC10BB">
        <w:rPr>
          <w:rFonts w:ascii="Arial" w:hAnsi="Arial" w:cs="Arial"/>
          <w:sz w:val="22"/>
          <w:szCs w:val="22"/>
          <w:highlight w:val="yellow"/>
          <w:lang w:val="en-GB"/>
        </w:rPr>
        <w:t>their own</w:t>
      </w:r>
      <w:r w:rsidRPr="00AC10BB">
        <w:rPr>
          <w:rFonts w:ascii="Arial" w:hAnsi="Arial" w:cs="Arial"/>
          <w:sz w:val="22"/>
          <w:szCs w:val="22"/>
          <w:highlight w:val="yellow"/>
          <w:lang w:val="en-GB"/>
        </w:rPr>
        <w:t xml:space="preserve"> jurisdiction without </w:t>
      </w:r>
      <w:r w:rsidR="006E1CB0" w:rsidRPr="00AC10BB">
        <w:rPr>
          <w:rFonts w:ascii="Arial" w:hAnsi="Arial" w:cs="Arial"/>
          <w:sz w:val="22"/>
          <w:szCs w:val="22"/>
          <w:highlight w:val="yellow"/>
          <w:lang w:val="en-GB"/>
        </w:rPr>
        <w:t xml:space="preserve">some form of </w:t>
      </w:r>
      <w:r w:rsidR="0090037B" w:rsidRPr="00AC10BB">
        <w:rPr>
          <w:rFonts w:ascii="Arial" w:hAnsi="Arial" w:cs="Arial"/>
          <w:sz w:val="22"/>
          <w:szCs w:val="22"/>
          <w:highlight w:val="yellow"/>
          <w:lang w:val="en-GB"/>
        </w:rPr>
        <w:t xml:space="preserve">a </w:t>
      </w:r>
      <w:r w:rsidR="006E1CB0" w:rsidRPr="00AC10BB">
        <w:rPr>
          <w:rFonts w:ascii="Arial" w:hAnsi="Arial" w:cs="Arial"/>
          <w:sz w:val="22"/>
          <w:szCs w:val="22"/>
          <w:highlight w:val="yellow"/>
          <w:lang w:val="en-GB"/>
        </w:rPr>
        <w:t>(</w:t>
      </w:r>
      <w:r w:rsidR="0090037B" w:rsidRPr="00AC10BB">
        <w:rPr>
          <w:rFonts w:ascii="Arial" w:hAnsi="Arial" w:cs="Arial"/>
          <w:sz w:val="22"/>
          <w:szCs w:val="22"/>
          <w:highlight w:val="yellow"/>
          <w:lang w:val="en-GB"/>
        </w:rPr>
        <w:t>prior</w:t>
      </w:r>
      <w:r w:rsidR="006E1CB0" w:rsidRPr="00AC10BB">
        <w:rPr>
          <w:rFonts w:ascii="Arial" w:hAnsi="Arial" w:cs="Arial"/>
          <w:sz w:val="22"/>
          <w:szCs w:val="22"/>
          <w:highlight w:val="yellow"/>
          <w:lang w:val="en-GB"/>
        </w:rPr>
        <w:t>)</w:t>
      </w:r>
      <w:r w:rsidRPr="00AC10BB">
        <w:rPr>
          <w:rFonts w:ascii="Arial" w:hAnsi="Arial" w:cs="Arial"/>
          <w:sz w:val="22"/>
          <w:szCs w:val="22"/>
          <w:highlight w:val="yellow"/>
          <w:lang w:val="en-GB"/>
        </w:rPr>
        <w:t xml:space="preserve"> local procedure </w:t>
      </w:r>
      <w:r w:rsidR="005936B3" w:rsidRPr="00AC10BB">
        <w:rPr>
          <w:rFonts w:ascii="Arial" w:hAnsi="Arial" w:cs="Arial"/>
          <w:sz w:val="22"/>
          <w:szCs w:val="22"/>
          <w:highlight w:val="yellow"/>
          <w:lang w:val="en-GB"/>
        </w:rPr>
        <w:t xml:space="preserve">to </w:t>
      </w:r>
      <w:r w:rsidRPr="00AC10BB">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56705" w:rsidRDefault="000329A6" w:rsidP="00C570AC">
      <w:pPr>
        <w:pStyle w:val="ListParagraph"/>
        <w:numPr>
          <w:ilvl w:val="0"/>
          <w:numId w:val="6"/>
        </w:numPr>
        <w:ind w:left="426"/>
        <w:jc w:val="both"/>
        <w:rPr>
          <w:rFonts w:ascii="Arial" w:hAnsi="Arial" w:cs="Arial"/>
          <w:sz w:val="22"/>
          <w:szCs w:val="22"/>
          <w:highlight w:val="yellow"/>
          <w:lang w:val="en-GB"/>
        </w:rPr>
      </w:pPr>
      <w:r w:rsidRPr="00E56705">
        <w:rPr>
          <w:rFonts w:ascii="Arial" w:eastAsiaTheme="minorHAnsi" w:hAnsi="Arial" w:cs="Arial"/>
          <w:sz w:val="22"/>
          <w:szCs w:val="22"/>
          <w:highlight w:val="yellow"/>
          <w:lang w:val="en-GB"/>
        </w:rPr>
        <w:t xml:space="preserve">They were recently revised in 2021 and, together with the </w:t>
      </w:r>
      <w:r w:rsidRPr="00E56705">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E5670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E56705">
        <w:rPr>
          <w:rFonts w:ascii="Arial" w:eastAsiaTheme="minorHAnsi" w:hAnsi="Arial" w:cs="Arial"/>
          <w:sz w:val="22"/>
          <w:szCs w:val="22"/>
          <w:highlight w:val="yellow"/>
          <w:lang w:val="en-GB"/>
        </w:rPr>
        <w:t xml:space="preserve">The Nordic Convention </w:t>
      </w:r>
      <w:r w:rsidR="00076483" w:rsidRPr="00E56705">
        <w:rPr>
          <w:rFonts w:ascii="Arial" w:eastAsiaTheme="minorHAnsi" w:hAnsi="Arial" w:cs="Arial"/>
          <w:sz w:val="22"/>
          <w:szCs w:val="22"/>
          <w:highlight w:val="yellow"/>
          <w:lang w:val="en-GB"/>
        </w:rPr>
        <w:t>1933</w:t>
      </w:r>
      <w:r w:rsidR="00966E44" w:rsidRPr="00E5670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E56705" w:rsidRDefault="00124B70" w:rsidP="00275182">
      <w:pPr>
        <w:pStyle w:val="ListParagraph"/>
        <w:numPr>
          <w:ilvl w:val="0"/>
          <w:numId w:val="8"/>
        </w:numPr>
        <w:ind w:left="426"/>
        <w:jc w:val="both"/>
        <w:rPr>
          <w:rFonts w:ascii="Arial" w:hAnsi="Arial" w:cs="Arial"/>
          <w:sz w:val="22"/>
          <w:szCs w:val="22"/>
          <w:highlight w:val="yellow"/>
          <w:lang w:val="en-GB"/>
        </w:rPr>
      </w:pPr>
      <w:r w:rsidRPr="00E56705">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4908EC" w:rsidRDefault="00E86549" w:rsidP="00275182">
      <w:pPr>
        <w:pStyle w:val="ListParagraph"/>
        <w:numPr>
          <w:ilvl w:val="0"/>
          <w:numId w:val="9"/>
        </w:numPr>
        <w:ind w:left="426"/>
        <w:jc w:val="both"/>
        <w:rPr>
          <w:rFonts w:ascii="Arial" w:hAnsi="Arial" w:cs="Arial"/>
          <w:bCs/>
          <w:sz w:val="22"/>
          <w:szCs w:val="22"/>
          <w:highlight w:val="yellow"/>
          <w:lang w:val="en-GB"/>
        </w:rPr>
      </w:pPr>
      <w:r w:rsidRPr="004908EC">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4908EC">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A865EB" w:rsidRDefault="00911C23" w:rsidP="00275182">
      <w:pPr>
        <w:pStyle w:val="ListParagraph"/>
        <w:numPr>
          <w:ilvl w:val="0"/>
          <w:numId w:val="10"/>
        </w:numPr>
        <w:ind w:left="426"/>
        <w:jc w:val="both"/>
        <w:rPr>
          <w:rFonts w:ascii="Arial" w:hAnsi="Arial" w:cs="Arial"/>
          <w:sz w:val="22"/>
          <w:szCs w:val="22"/>
          <w:highlight w:val="yellow"/>
          <w:lang w:val="en-GB"/>
        </w:rPr>
      </w:pPr>
      <w:r w:rsidRPr="00A865EB">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6807BC23" w14:textId="3CE274FB" w:rsidR="00CD42F9" w:rsidRDefault="00CD42F9" w:rsidP="00CD42F9">
      <w:pPr>
        <w:pStyle w:val="BodyTextIndent"/>
      </w:pPr>
      <w:r>
        <w:t>Significant historical</w:t>
      </w:r>
      <w:r w:rsidRPr="00CD42F9">
        <w:t xml:space="preserve"> developments regarding debt collection procedures in English law that shaped the way of thinking concerning modern insolvency law</w:t>
      </w:r>
      <w:r>
        <w:t xml:space="preserve"> include:</w:t>
      </w:r>
    </w:p>
    <w:p w14:paraId="56AE8EBC" w14:textId="77777777" w:rsidR="00CD42F9" w:rsidRDefault="00CD42F9" w:rsidP="00CD42F9">
      <w:pPr>
        <w:pStyle w:val="BodyTextIndent"/>
      </w:pPr>
    </w:p>
    <w:p w14:paraId="01A69C11" w14:textId="28C2F97C" w:rsidR="00CD42F9" w:rsidRDefault="00CD42F9" w:rsidP="00CD42F9">
      <w:pPr>
        <w:pStyle w:val="BodyTextIndent"/>
        <w:numPr>
          <w:ilvl w:val="0"/>
          <w:numId w:val="18"/>
        </w:numPr>
        <w:ind w:left="567" w:hanging="578"/>
      </w:pPr>
      <w:r>
        <w:t xml:space="preserve">The English Bankruptcy Act of 1542 where a compulsory sequestration is applied to dishonest and absconding debtor who is treated as quasi-criminals / offenders. Under the Act, creditors are able to apply to appoint a body of commissioner who </w:t>
      </w:r>
      <w:r w:rsidR="0008761E">
        <w:t xml:space="preserve">could proceed against trading debtors who fled the country, barricaded himself in his house or who neglected to pay his debts or otherwise defrauded his debtors. The Act imposes a compulsory administration and equal distribution amongst all the creditors i.e. the </w:t>
      </w:r>
      <w:proofErr w:type="spellStart"/>
      <w:r w:rsidR="0008761E">
        <w:t>pari</w:t>
      </w:r>
      <w:proofErr w:type="spellEnd"/>
      <w:r w:rsidR="0008761E">
        <w:t xml:space="preserve"> </w:t>
      </w:r>
      <w:proofErr w:type="spellStart"/>
      <w:r w:rsidR="0008761E">
        <w:t>passu</w:t>
      </w:r>
      <w:proofErr w:type="spellEnd"/>
      <w:r w:rsidR="0008761E">
        <w:t xml:space="preserve"> distribution principle. </w:t>
      </w:r>
    </w:p>
    <w:p w14:paraId="5AE9D520" w14:textId="77777777" w:rsidR="0008761E" w:rsidRDefault="0008761E" w:rsidP="0008761E">
      <w:pPr>
        <w:pStyle w:val="BodyTextIndent"/>
        <w:ind w:left="567" w:firstLine="0"/>
      </w:pPr>
    </w:p>
    <w:p w14:paraId="2ABC0E45" w14:textId="4ED8F567" w:rsidR="006E13B6" w:rsidRDefault="0008761E" w:rsidP="00CD42F9">
      <w:pPr>
        <w:pStyle w:val="BodyTextIndent"/>
        <w:numPr>
          <w:ilvl w:val="0"/>
          <w:numId w:val="18"/>
        </w:numPr>
        <w:ind w:left="567" w:hanging="578"/>
      </w:pPr>
      <w:r>
        <w:t>Under the 1570 Act of Elizabeth, the supervision of the estate previously within the jurisdiction of a commissioner is transferred to the Lord Chancellor</w:t>
      </w:r>
      <w:r w:rsidR="006E13B6">
        <w:t xml:space="preserve">, whose jurisdiction include amongst others convening bankruptcy meeting, examine debtor’s transaction, summon persons for questioning and commit people to prison. </w:t>
      </w:r>
    </w:p>
    <w:p w14:paraId="39460920" w14:textId="77777777" w:rsidR="006E13B6" w:rsidRDefault="006E13B6" w:rsidP="006E13B6">
      <w:pPr>
        <w:pStyle w:val="ListParagraph"/>
      </w:pPr>
    </w:p>
    <w:p w14:paraId="22C610C9" w14:textId="20FC2C01" w:rsidR="00DE03AF" w:rsidRPr="006E13B6" w:rsidRDefault="006E13B6" w:rsidP="000373B4">
      <w:pPr>
        <w:pStyle w:val="BodyTextIndent"/>
        <w:numPr>
          <w:ilvl w:val="0"/>
          <w:numId w:val="18"/>
        </w:numPr>
        <w:ind w:left="567" w:hanging="578"/>
      </w:pPr>
      <w:r>
        <w:t xml:space="preserve">The Statute of Ann of 1705 introduced the concept of statutory discharge, where the Lord Chancellor could grant discharge once it is confirmed that the debtor had conformed and co-operated during the bankruptcy proceedings. </w:t>
      </w:r>
    </w:p>
    <w:p w14:paraId="789C3223" w14:textId="12982B5C" w:rsidR="00020557" w:rsidRDefault="00020557" w:rsidP="00B7193E">
      <w:pPr>
        <w:jc w:val="both"/>
        <w:rPr>
          <w:rFonts w:ascii="Arial" w:hAnsi="Arial" w:cs="Arial"/>
          <w:sz w:val="22"/>
          <w:szCs w:val="22"/>
          <w:lang w:val="en-GB"/>
        </w:rPr>
      </w:pPr>
    </w:p>
    <w:p w14:paraId="70E4BDA3" w14:textId="77777777" w:rsidR="00A750C9" w:rsidRPr="00205B31" w:rsidRDefault="00A750C9"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188755D0" w14:textId="1CB38E69" w:rsidR="00C678CF" w:rsidRDefault="006E13B6" w:rsidP="00C678CF">
      <w:pPr>
        <w:jc w:val="both"/>
        <w:rPr>
          <w:rFonts w:ascii="Arial" w:hAnsi="Arial" w:cs="Arial"/>
          <w:color w:val="7B7B7B" w:themeColor="accent3" w:themeShade="BF"/>
          <w:sz w:val="22"/>
          <w:szCs w:val="22"/>
          <w:lang w:val="en-GB"/>
        </w:rPr>
      </w:pPr>
      <w:r w:rsidRPr="00C678CF">
        <w:rPr>
          <w:rFonts w:ascii="Arial" w:hAnsi="Arial" w:cs="Arial"/>
          <w:color w:val="7B7B7B" w:themeColor="accent3" w:themeShade="BF"/>
          <w:sz w:val="22"/>
          <w:szCs w:val="22"/>
          <w:lang w:val="en-GB"/>
        </w:rPr>
        <w:t xml:space="preserve">Measures introduced in the UK following </w:t>
      </w:r>
      <w:r w:rsidR="00424B5B">
        <w:rPr>
          <w:rFonts w:ascii="Arial" w:hAnsi="Arial" w:cs="Arial"/>
          <w:color w:val="7B7B7B" w:themeColor="accent3" w:themeShade="BF"/>
          <w:sz w:val="22"/>
          <w:szCs w:val="22"/>
          <w:lang w:val="en-GB"/>
        </w:rPr>
        <w:t>the Covid-19 pandemic include</w:t>
      </w:r>
      <w:r w:rsidR="00C678CF" w:rsidRPr="00C678CF">
        <w:rPr>
          <w:rFonts w:ascii="Arial" w:hAnsi="Arial" w:cs="Arial"/>
          <w:color w:val="7B7B7B" w:themeColor="accent3" w:themeShade="BF"/>
          <w:sz w:val="22"/>
          <w:szCs w:val="22"/>
          <w:lang w:val="en-GB"/>
        </w:rPr>
        <w:t xml:space="preserve"> t</w:t>
      </w:r>
      <w:r w:rsidRPr="00C678CF">
        <w:rPr>
          <w:rFonts w:ascii="Arial" w:hAnsi="Arial" w:cs="Arial"/>
          <w:color w:val="7B7B7B" w:themeColor="accent3" w:themeShade="BF"/>
          <w:sz w:val="22"/>
          <w:szCs w:val="22"/>
          <w:lang w:val="en-GB"/>
        </w:rPr>
        <w:t xml:space="preserve">he passing of the Corporate Insolvency and Governance Act 2020 </w:t>
      </w:r>
      <w:r w:rsidR="00C678CF">
        <w:rPr>
          <w:rFonts w:ascii="Arial" w:hAnsi="Arial" w:cs="Arial"/>
          <w:color w:val="7B7B7B" w:themeColor="accent3" w:themeShade="BF"/>
          <w:sz w:val="22"/>
          <w:szCs w:val="22"/>
          <w:lang w:val="en-GB"/>
        </w:rPr>
        <w:t xml:space="preserve">which entered into force on 26 June 2020. The said Act </w:t>
      </w:r>
      <w:r w:rsidRPr="00C678CF">
        <w:rPr>
          <w:rFonts w:ascii="Arial" w:hAnsi="Arial" w:cs="Arial"/>
          <w:color w:val="7B7B7B" w:themeColor="accent3" w:themeShade="BF"/>
          <w:sz w:val="22"/>
          <w:szCs w:val="22"/>
          <w:lang w:val="en-GB"/>
        </w:rPr>
        <w:t>intr</w:t>
      </w:r>
      <w:r w:rsidR="00C678CF">
        <w:rPr>
          <w:rFonts w:ascii="Arial" w:hAnsi="Arial" w:cs="Arial"/>
          <w:color w:val="7B7B7B" w:themeColor="accent3" w:themeShade="BF"/>
          <w:sz w:val="22"/>
          <w:szCs w:val="22"/>
          <w:lang w:val="en-GB"/>
        </w:rPr>
        <w:t xml:space="preserve">oduced a new pre-insolvency rescue and restructuring plan, new moratorium rules and a ban on the operation of termination provisions (i.e. </w:t>
      </w:r>
      <w:r w:rsidR="00C678CF">
        <w:rPr>
          <w:rFonts w:ascii="Arial" w:hAnsi="Arial" w:cs="Arial"/>
          <w:i/>
          <w:color w:val="7B7B7B" w:themeColor="accent3" w:themeShade="BF"/>
          <w:sz w:val="22"/>
          <w:szCs w:val="22"/>
          <w:lang w:val="en-GB"/>
        </w:rPr>
        <w:t>ipso facto clauses</w:t>
      </w:r>
      <w:r w:rsidR="00C678CF">
        <w:rPr>
          <w:rFonts w:ascii="Arial" w:hAnsi="Arial" w:cs="Arial"/>
          <w:color w:val="7B7B7B" w:themeColor="accent3" w:themeShade="BF"/>
          <w:sz w:val="22"/>
          <w:szCs w:val="22"/>
          <w:lang w:val="en-GB"/>
        </w:rPr>
        <w:t>). These changes are permanent changes.</w:t>
      </w:r>
    </w:p>
    <w:p w14:paraId="141B114F" w14:textId="77777777" w:rsidR="00C678CF" w:rsidRDefault="00C678CF" w:rsidP="00C678CF">
      <w:pPr>
        <w:jc w:val="both"/>
        <w:rPr>
          <w:rFonts w:ascii="Arial" w:hAnsi="Arial" w:cs="Arial"/>
          <w:color w:val="7B7B7B" w:themeColor="accent3" w:themeShade="BF"/>
          <w:sz w:val="22"/>
          <w:szCs w:val="22"/>
          <w:lang w:val="en-GB"/>
        </w:rPr>
      </w:pPr>
    </w:p>
    <w:p w14:paraId="3290B8AC" w14:textId="2F6B1AC0" w:rsidR="006E13B6" w:rsidRPr="00C678CF" w:rsidRDefault="00C678CF" w:rsidP="00C678C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temporary measure</w:t>
      </w:r>
      <w:r w:rsidR="00424B5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introduced by the said A</w:t>
      </w:r>
      <w:r w:rsidR="00424B5B">
        <w:rPr>
          <w:rFonts w:ascii="Arial" w:hAnsi="Arial" w:cs="Arial"/>
          <w:color w:val="7B7B7B" w:themeColor="accent3" w:themeShade="BF"/>
          <w:sz w:val="22"/>
          <w:szCs w:val="22"/>
          <w:lang w:val="en-GB"/>
        </w:rPr>
        <w:t>ct include</w:t>
      </w:r>
      <w:r>
        <w:rPr>
          <w:rFonts w:ascii="Arial" w:hAnsi="Arial" w:cs="Arial"/>
          <w:color w:val="7B7B7B" w:themeColor="accent3" w:themeShade="BF"/>
          <w:sz w:val="22"/>
          <w:szCs w:val="22"/>
          <w:lang w:val="en-GB"/>
        </w:rPr>
        <w:t xml:space="preserve"> </w:t>
      </w:r>
      <w:r w:rsidR="006E13B6" w:rsidRPr="00C678CF">
        <w:rPr>
          <w:rFonts w:ascii="Arial" w:hAnsi="Arial" w:cs="Arial"/>
          <w:color w:val="7B7B7B" w:themeColor="accent3" w:themeShade="BF"/>
          <w:sz w:val="22"/>
          <w:szCs w:val="22"/>
          <w:lang w:val="en-GB"/>
        </w:rPr>
        <w:t xml:space="preserve">the relaxation of wrongful trading liability and the suspension of winding-up petitions and statutory demands. </w:t>
      </w:r>
    </w:p>
    <w:p w14:paraId="79961E83" w14:textId="77777777" w:rsidR="00D17FDC" w:rsidRDefault="00D17FDC" w:rsidP="00B7193E">
      <w:pPr>
        <w:ind w:left="720" w:hanging="720"/>
        <w:jc w:val="both"/>
        <w:rPr>
          <w:rFonts w:ascii="Arial" w:hAnsi="Arial" w:cs="Arial"/>
          <w:sz w:val="22"/>
          <w:szCs w:val="22"/>
          <w:lang w:val="en-GB"/>
        </w:rPr>
      </w:pPr>
    </w:p>
    <w:p w14:paraId="355AA124" w14:textId="77777777" w:rsidR="00A750C9" w:rsidRPr="00205B31" w:rsidRDefault="00A750C9"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0631E72E" w14:textId="3F5A5BFD" w:rsidR="00B20D72" w:rsidRDefault="00B20D72" w:rsidP="00C27132">
      <w:pPr>
        <w:pStyle w:val="BodyText"/>
      </w:pPr>
      <w:r>
        <w:t xml:space="preserve">Treaties are classic public international instruments </w:t>
      </w:r>
      <w:r w:rsidR="00CF46ED">
        <w:t xml:space="preserve">which </w:t>
      </w:r>
      <w:r>
        <w:t>bind S</w:t>
      </w:r>
      <w:r w:rsidR="00CF46ED">
        <w:t>tates whom</w:t>
      </w:r>
      <w:r>
        <w:t xml:space="preserve"> </w:t>
      </w:r>
      <w:r w:rsidR="00CF46ED">
        <w:t>choose to be signatories, thereby influencing / affecting the</w:t>
      </w:r>
      <w:r>
        <w:t xml:space="preserve"> States domestic law</w:t>
      </w:r>
      <w:r w:rsidR="00CF46ED">
        <w:t>.</w:t>
      </w:r>
      <w:r>
        <w:t xml:space="preserve"> Such domestic laws being enforceable in the Courts would consequentially result to certain treaty forming part of State’s “hard law” on insolvency as the domestic laws. </w:t>
      </w:r>
    </w:p>
    <w:p w14:paraId="3FC0E16C" w14:textId="77777777" w:rsidR="00C27132" w:rsidRDefault="00C27132" w:rsidP="00C27132">
      <w:pPr>
        <w:pStyle w:val="BodyText"/>
      </w:pPr>
    </w:p>
    <w:p w14:paraId="572227E7" w14:textId="18DEFCBF" w:rsidR="0045683E" w:rsidRDefault="00C27132" w:rsidP="000373B4">
      <w:pPr>
        <w:pStyle w:val="BodyText"/>
      </w:pPr>
      <w:r>
        <w:lastRenderedPageBreak/>
        <w:t xml:space="preserve">Soft law </w:t>
      </w:r>
      <w:r w:rsidR="00CF46ED">
        <w:t xml:space="preserve">which </w:t>
      </w:r>
      <w:r>
        <w:t xml:space="preserve">differs from </w:t>
      </w:r>
      <w:r w:rsidR="00CF46ED">
        <w:t xml:space="preserve">treaty is a mechanism which seeks to influence (rather than bind) the domestic laws of different States with the intention to </w:t>
      </w:r>
      <w:r w:rsidR="00FB0A2C">
        <w:t xml:space="preserve">regulate international insolvency. As an example, the UNCITRAL developed a Model Law on Cross-border Insolvency </w:t>
      </w:r>
      <w:r w:rsidR="000373B4">
        <w:t xml:space="preserve">– a draft legislation recommended to member States to adopt, with or without modification. Therefore, the Model Law assists in developing more consistent cross-border insolvency regime / regulation / law among member states and as more States adopt the Model Law, it is hoped that cross-border insolvency could be dealt with more efficiently. </w:t>
      </w:r>
    </w:p>
    <w:p w14:paraId="383B5930" w14:textId="24E126B6" w:rsidR="00C550C8" w:rsidRDefault="00C550C8" w:rsidP="00B7193E">
      <w:pPr>
        <w:jc w:val="both"/>
        <w:rPr>
          <w:rFonts w:ascii="Arial" w:hAnsi="Arial" w:cs="Arial"/>
          <w:b/>
          <w:sz w:val="22"/>
          <w:szCs w:val="22"/>
          <w:lang w:val="en-GB"/>
        </w:rPr>
      </w:pPr>
    </w:p>
    <w:p w14:paraId="14CA70EB" w14:textId="77777777" w:rsidR="00A750C9" w:rsidRPr="00205B31" w:rsidRDefault="00A750C9"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3EA2D5E4" w14:textId="39922396" w:rsidR="00714ED7" w:rsidRDefault="00A421A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most states, sources of insolvency laws are in the form of legislations. However, common law states may also rely on common law principles should there be any gaps in the existing legislation. Thereafter, if deem necessary and suitable, these common law principles may be legislated. </w:t>
      </w:r>
    </w:p>
    <w:p w14:paraId="762D0E7F" w14:textId="77777777" w:rsidR="00A421A0" w:rsidRDefault="00A421A0" w:rsidP="00B7193E">
      <w:pPr>
        <w:jc w:val="both"/>
        <w:rPr>
          <w:rFonts w:ascii="Arial" w:hAnsi="Arial" w:cs="Arial"/>
          <w:color w:val="7B7B7B" w:themeColor="accent3" w:themeShade="BF"/>
          <w:sz w:val="22"/>
          <w:szCs w:val="22"/>
          <w:lang w:val="en-GB"/>
        </w:rPr>
      </w:pPr>
    </w:p>
    <w:p w14:paraId="366BF84D" w14:textId="2358E656" w:rsidR="00A421A0" w:rsidRDefault="00A421A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countries such as the USA, the Bankruptcy Code 1978 is a single, unified piece of bankruptcy legislation which covers all aspects of bankruptcy and is applicable if the whole country as it is a federal legislation. </w:t>
      </w:r>
    </w:p>
    <w:p w14:paraId="1ED48690" w14:textId="77777777" w:rsidR="00A421A0" w:rsidRDefault="00A421A0" w:rsidP="00B7193E">
      <w:pPr>
        <w:jc w:val="both"/>
        <w:rPr>
          <w:rFonts w:ascii="Arial" w:hAnsi="Arial" w:cs="Arial"/>
          <w:color w:val="7B7B7B" w:themeColor="accent3" w:themeShade="BF"/>
          <w:sz w:val="22"/>
          <w:szCs w:val="22"/>
          <w:lang w:val="en-GB"/>
        </w:rPr>
      </w:pPr>
    </w:p>
    <w:p w14:paraId="5A3AF57D" w14:textId="71F4B76B" w:rsidR="00A421A0" w:rsidRDefault="00A421A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also other states where their insolvency laws can be more fragmented where multiple legislations are in play governing the insolvency laws of the country. For example, in Malaysia, individual bankruptcy is governed under the Insolvency Act </w:t>
      </w:r>
      <w:r w:rsidR="001171AF">
        <w:rPr>
          <w:rFonts w:ascii="Arial" w:hAnsi="Arial" w:cs="Arial"/>
          <w:color w:val="7B7B7B" w:themeColor="accent3" w:themeShade="BF"/>
          <w:sz w:val="22"/>
          <w:szCs w:val="22"/>
          <w:lang w:val="en-GB"/>
        </w:rPr>
        <w:t>1967 while the winding up of companies is governed under the Companies Act 2016 and Compani</w:t>
      </w:r>
      <w:r w:rsidR="00952BD2">
        <w:rPr>
          <w:rFonts w:ascii="Arial" w:hAnsi="Arial" w:cs="Arial"/>
          <w:color w:val="7B7B7B" w:themeColor="accent3" w:themeShade="BF"/>
          <w:sz w:val="22"/>
          <w:szCs w:val="22"/>
          <w:lang w:val="en-GB"/>
        </w:rPr>
        <w:t>es (Winding-up R</w:t>
      </w:r>
      <w:r w:rsidR="001171AF">
        <w:rPr>
          <w:rFonts w:ascii="Arial" w:hAnsi="Arial" w:cs="Arial"/>
          <w:color w:val="7B7B7B" w:themeColor="accent3" w:themeShade="BF"/>
          <w:sz w:val="22"/>
          <w:szCs w:val="22"/>
          <w:lang w:val="en-GB"/>
        </w:rPr>
        <w:t xml:space="preserve">ules 1972. </w:t>
      </w:r>
    </w:p>
    <w:p w14:paraId="07F46BE4" w14:textId="77777777" w:rsidR="00714ED7" w:rsidRDefault="00714ED7" w:rsidP="00B7193E">
      <w:pPr>
        <w:jc w:val="both"/>
        <w:rPr>
          <w:rFonts w:ascii="Arial" w:hAnsi="Arial" w:cs="Arial"/>
          <w:color w:val="7B7B7B" w:themeColor="accent3" w:themeShade="BF"/>
          <w:sz w:val="22"/>
          <w:szCs w:val="22"/>
          <w:lang w:val="en-GB"/>
        </w:rPr>
      </w:pPr>
    </w:p>
    <w:p w14:paraId="4024A332" w14:textId="56B74D23" w:rsidR="00544127" w:rsidRDefault="000A1B0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w:t>
      </w:r>
      <w:r w:rsidR="00714ED7">
        <w:rPr>
          <w:rFonts w:ascii="Arial" w:hAnsi="Arial" w:cs="Arial"/>
          <w:color w:val="7B7B7B" w:themeColor="accent3" w:themeShade="BF"/>
          <w:sz w:val="22"/>
          <w:szCs w:val="22"/>
          <w:lang w:val="en-GB"/>
        </w:rPr>
        <w:t xml:space="preserve"> UK</w:t>
      </w:r>
      <w:r>
        <w:rPr>
          <w:rFonts w:ascii="Arial" w:hAnsi="Arial" w:cs="Arial"/>
          <w:color w:val="7B7B7B" w:themeColor="accent3" w:themeShade="BF"/>
          <w:sz w:val="22"/>
          <w:szCs w:val="22"/>
          <w:lang w:val="en-GB"/>
        </w:rPr>
        <w:t xml:space="preserve">, the law on insolvency is primarily found in </w:t>
      </w:r>
      <w:r w:rsidR="00714ED7">
        <w:rPr>
          <w:rFonts w:ascii="Arial" w:hAnsi="Arial" w:cs="Arial"/>
          <w:color w:val="7B7B7B" w:themeColor="accent3" w:themeShade="BF"/>
          <w:sz w:val="22"/>
          <w:szCs w:val="22"/>
          <w:lang w:val="en-GB"/>
        </w:rPr>
        <w:t>the Insolvency Act of 1986</w:t>
      </w:r>
      <w:r>
        <w:rPr>
          <w:rFonts w:ascii="Arial" w:hAnsi="Arial" w:cs="Arial"/>
          <w:color w:val="7B7B7B" w:themeColor="accent3" w:themeShade="BF"/>
          <w:sz w:val="22"/>
          <w:szCs w:val="22"/>
          <w:lang w:val="en-GB"/>
        </w:rPr>
        <w:t xml:space="preserve"> and Insolvency Rules 2016</w:t>
      </w:r>
      <w:r w:rsidR="00714ED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recent introduction of the </w:t>
      </w:r>
      <w:r w:rsidRPr="00C678CF">
        <w:rPr>
          <w:rFonts w:ascii="Arial" w:hAnsi="Arial" w:cs="Arial"/>
          <w:color w:val="7B7B7B" w:themeColor="accent3" w:themeShade="BF"/>
          <w:sz w:val="22"/>
          <w:szCs w:val="22"/>
          <w:lang w:val="en-GB"/>
        </w:rPr>
        <w:t>Corporate Insolvency and Governance Act 2020</w:t>
      </w:r>
      <w:r>
        <w:rPr>
          <w:rFonts w:ascii="Arial" w:hAnsi="Arial" w:cs="Arial"/>
          <w:color w:val="7B7B7B" w:themeColor="accent3" w:themeShade="BF"/>
          <w:sz w:val="22"/>
          <w:szCs w:val="22"/>
          <w:lang w:val="en-GB"/>
        </w:rPr>
        <w:t xml:space="preserve"> also contributes to and widens the sources of insolvency law in the UK. </w:t>
      </w:r>
    </w:p>
    <w:p w14:paraId="692F474A" w14:textId="77777777" w:rsidR="000A1B04" w:rsidRDefault="000A1B04" w:rsidP="00B7193E">
      <w:pPr>
        <w:jc w:val="both"/>
        <w:rPr>
          <w:rFonts w:ascii="Arial" w:hAnsi="Arial" w:cs="Arial"/>
          <w:color w:val="7B7B7B" w:themeColor="accent3" w:themeShade="BF"/>
          <w:sz w:val="22"/>
          <w:szCs w:val="22"/>
          <w:lang w:val="en-GB"/>
        </w:rPr>
      </w:pPr>
    </w:p>
    <w:p w14:paraId="7B5CE7D4" w14:textId="668170BC" w:rsidR="000A1B04" w:rsidRDefault="000A1B04" w:rsidP="00B7193E">
      <w:pPr>
        <w:jc w:val="both"/>
        <w:rPr>
          <w:rFonts w:ascii="Arial" w:hAnsi="Arial" w:cs="Arial"/>
          <w:color w:val="7B7B7B" w:themeColor="accent3" w:themeShade="BF"/>
          <w:sz w:val="22"/>
          <w:szCs w:val="22"/>
          <w:lang w:val="en-GB"/>
        </w:rPr>
      </w:pPr>
      <w:r w:rsidRPr="00D54EDD">
        <w:rPr>
          <w:rFonts w:ascii="Arial" w:hAnsi="Arial" w:cs="Arial"/>
          <w:color w:val="7B7B7B" w:themeColor="accent3" w:themeShade="BF"/>
          <w:sz w:val="22"/>
          <w:szCs w:val="22"/>
          <w:lang w:val="en-GB"/>
        </w:rPr>
        <w:t>Apart from insolvency specific legislation, other non-insolvency legislations will also have an impact on the insolvency laws of a State. For example, tax-related legislation will inevitably affect the insolvency laws of a State.</w:t>
      </w:r>
    </w:p>
    <w:p w14:paraId="392909C6" w14:textId="77777777" w:rsidR="00D54EDD" w:rsidRDefault="00D54EDD" w:rsidP="00B7193E">
      <w:pPr>
        <w:jc w:val="both"/>
        <w:rPr>
          <w:rFonts w:ascii="Arial" w:hAnsi="Arial" w:cs="Arial"/>
          <w:color w:val="7B7B7B" w:themeColor="accent3" w:themeShade="BF"/>
          <w:sz w:val="22"/>
          <w:szCs w:val="22"/>
          <w:lang w:val="en-GB"/>
        </w:rPr>
      </w:pPr>
    </w:p>
    <w:p w14:paraId="7668D5A1" w14:textId="58AB3B6C" w:rsidR="00D54EDD" w:rsidRPr="001171AF" w:rsidRDefault="00D54ED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Beyond domestic law, a State could also look to international law for guidance (subject to whether the State has adopted the sources). </w:t>
      </w:r>
      <w:r w:rsidRPr="00952BD2">
        <w:rPr>
          <w:rFonts w:ascii="Arial" w:hAnsi="Arial" w:cs="Arial"/>
          <w:color w:val="7B7B7B" w:themeColor="accent3" w:themeShade="BF"/>
          <w:sz w:val="22"/>
          <w:szCs w:val="22"/>
          <w:lang w:val="en-GB"/>
        </w:rPr>
        <w:t>Example of the same includes, treaties, conventions, UNCITRAL</w:t>
      </w:r>
      <w:r w:rsidRPr="00952BD2">
        <w:t xml:space="preserve"> </w:t>
      </w:r>
      <w:r w:rsidRPr="00952BD2">
        <w:rPr>
          <w:rFonts w:ascii="Arial" w:hAnsi="Arial" w:cs="Arial"/>
          <w:color w:val="7B7B7B" w:themeColor="accent3" w:themeShade="BF"/>
          <w:sz w:val="22"/>
          <w:szCs w:val="22"/>
          <w:lang w:val="en-GB"/>
        </w:rPr>
        <w:t>Model Law on Cross-border Insolvency and UNCITRAL</w:t>
      </w:r>
      <w:r w:rsidRPr="00952BD2">
        <w:t xml:space="preserve"> </w:t>
      </w:r>
      <w:r w:rsidRPr="00952BD2">
        <w:rPr>
          <w:rFonts w:ascii="Arial" w:hAnsi="Arial" w:cs="Arial"/>
          <w:color w:val="7B7B7B" w:themeColor="accent3" w:themeShade="BF"/>
          <w:sz w:val="22"/>
          <w:szCs w:val="22"/>
          <w:lang w:val="en-GB"/>
        </w:rPr>
        <w:t>Model Law on Recognition and Enforcement of Insolvency Related Judgments.</w:t>
      </w:r>
    </w:p>
    <w:p w14:paraId="624E69FB" w14:textId="77777777" w:rsidR="00726E9A" w:rsidRDefault="00726E9A" w:rsidP="00B7193E">
      <w:pPr>
        <w:ind w:left="720" w:hanging="720"/>
        <w:jc w:val="both"/>
        <w:rPr>
          <w:rFonts w:ascii="Arial" w:hAnsi="Arial" w:cs="Arial"/>
          <w:sz w:val="22"/>
          <w:szCs w:val="22"/>
          <w:lang w:val="en-GB"/>
        </w:rPr>
      </w:pPr>
    </w:p>
    <w:p w14:paraId="212EA05A" w14:textId="77777777" w:rsidR="00A750C9" w:rsidRPr="00205B31" w:rsidRDefault="00A750C9"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5ACA96A7" w14:textId="7AA2E519" w:rsidR="00641925" w:rsidRDefault="00641925" w:rsidP="006419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questions raised by Fletcher are: </w:t>
      </w:r>
    </w:p>
    <w:p w14:paraId="563BF1B5" w14:textId="36FAE19D" w:rsidR="00641925" w:rsidRDefault="00641925" w:rsidP="00641925">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which jurisdiction may insolvency proceedings be opened? </w:t>
      </w:r>
    </w:p>
    <w:p w14:paraId="1058BA97" w14:textId="2C3CD7D4" w:rsidR="00641925" w:rsidRDefault="00641925" w:rsidP="00641925">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country’s law should be applied in respect of different aspects of the case? </w:t>
      </w:r>
    </w:p>
    <w:p w14:paraId="4EDF2985" w14:textId="10A154D0" w:rsidR="00641925" w:rsidRDefault="00641925" w:rsidP="00641925">
      <w:pPr>
        <w:pStyle w:val="ListParagraph"/>
        <w:numPr>
          <w:ilvl w:val="0"/>
          <w:numId w:val="22"/>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What international effects will be accorded to proceedings conducted at a particular forum (including issues of enforcement)?</w:t>
      </w:r>
    </w:p>
    <w:p w14:paraId="520990D7" w14:textId="77777777" w:rsidR="00641925" w:rsidRDefault="00641925" w:rsidP="00641925">
      <w:pPr>
        <w:jc w:val="both"/>
        <w:rPr>
          <w:rFonts w:ascii="Arial" w:hAnsi="Arial" w:cs="Arial"/>
          <w:color w:val="7B7B7B" w:themeColor="accent3" w:themeShade="BF"/>
          <w:sz w:val="22"/>
          <w:szCs w:val="22"/>
          <w:lang w:val="en-GB"/>
        </w:rPr>
      </w:pPr>
    </w:p>
    <w:p w14:paraId="1967BEFE" w14:textId="563879A7" w:rsidR="00B8186B" w:rsidRDefault="00641925" w:rsidP="006419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determining jurisdiction, one</w:t>
      </w:r>
      <w:r w:rsidR="00AA5E70">
        <w:rPr>
          <w:rFonts w:ascii="Arial" w:hAnsi="Arial" w:cs="Arial"/>
          <w:color w:val="7B7B7B" w:themeColor="accent3" w:themeShade="BF"/>
          <w:sz w:val="22"/>
          <w:szCs w:val="22"/>
          <w:lang w:val="en-GB"/>
        </w:rPr>
        <w:t xml:space="preserve"> has to assess whether the court can and will hear and decide on the matter by looking at the connection between the parties and / or disputes with the jurisdiction in question. </w:t>
      </w:r>
      <w:r w:rsidR="00525D86">
        <w:rPr>
          <w:rFonts w:ascii="Arial" w:hAnsi="Arial" w:cs="Arial"/>
          <w:color w:val="7B7B7B" w:themeColor="accent3" w:themeShade="BF"/>
          <w:sz w:val="22"/>
          <w:szCs w:val="22"/>
          <w:lang w:val="en-GB"/>
        </w:rPr>
        <w:t xml:space="preserve">For example, </w:t>
      </w:r>
      <w:r w:rsidR="00B8186B">
        <w:rPr>
          <w:rFonts w:ascii="Arial" w:hAnsi="Arial" w:cs="Arial"/>
          <w:color w:val="7B7B7B" w:themeColor="accent3" w:themeShade="BF"/>
          <w:sz w:val="22"/>
          <w:szCs w:val="22"/>
          <w:lang w:val="en-GB"/>
        </w:rPr>
        <w:t>when decidin</w:t>
      </w:r>
      <w:r w:rsidR="00413E7D">
        <w:rPr>
          <w:rFonts w:ascii="Arial" w:hAnsi="Arial" w:cs="Arial"/>
          <w:color w:val="7B7B7B" w:themeColor="accent3" w:themeShade="BF"/>
          <w:sz w:val="22"/>
          <w:szCs w:val="22"/>
          <w:lang w:val="en-GB"/>
        </w:rPr>
        <w:t>g on a winding up petition of a C</w:t>
      </w:r>
      <w:r w:rsidR="00B8186B">
        <w:rPr>
          <w:rFonts w:ascii="Arial" w:hAnsi="Arial" w:cs="Arial"/>
          <w:color w:val="7B7B7B" w:themeColor="accent3" w:themeShade="BF"/>
          <w:sz w:val="22"/>
          <w:szCs w:val="22"/>
          <w:lang w:val="en-GB"/>
        </w:rPr>
        <w:t>ompany</w:t>
      </w:r>
      <w:r w:rsidR="00413E7D">
        <w:rPr>
          <w:rFonts w:ascii="Arial" w:hAnsi="Arial" w:cs="Arial"/>
          <w:color w:val="7B7B7B" w:themeColor="accent3" w:themeShade="BF"/>
          <w:sz w:val="22"/>
          <w:szCs w:val="22"/>
          <w:lang w:val="en-GB"/>
        </w:rPr>
        <w:t xml:space="preserve"> A</w:t>
      </w:r>
      <w:r w:rsidR="00B8186B">
        <w:rPr>
          <w:rFonts w:ascii="Arial" w:hAnsi="Arial" w:cs="Arial"/>
          <w:color w:val="7B7B7B" w:themeColor="accent3" w:themeShade="BF"/>
          <w:sz w:val="22"/>
          <w:szCs w:val="22"/>
          <w:lang w:val="en-GB"/>
        </w:rPr>
        <w:t xml:space="preserve"> in State X, the Court of State X wi</w:t>
      </w:r>
      <w:r w:rsidR="00413E7D">
        <w:rPr>
          <w:rFonts w:ascii="Arial" w:hAnsi="Arial" w:cs="Arial"/>
          <w:color w:val="7B7B7B" w:themeColor="accent3" w:themeShade="BF"/>
          <w:sz w:val="22"/>
          <w:szCs w:val="22"/>
          <w:lang w:val="en-GB"/>
        </w:rPr>
        <w:t>ll assess the connection of C</w:t>
      </w:r>
      <w:r w:rsidR="00B8186B">
        <w:rPr>
          <w:rFonts w:ascii="Arial" w:hAnsi="Arial" w:cs="Arial"/>
          <w:color w:val="7B7B7B" w:themeColor="accent3" w:themeShade="BF"/>
          <w:sz w:val="22"/>
          <w:szCs w:val="22"/>
          <w:lang w:val="en-GB"/>
        </w:rPr>
        <w:t xml:space="preserve">ompany </w:t>
      </w:r>
      <w:r w:rsidR="00413E7D">
        <w:rPr>
          <w:rFonts w:ascii="Arial" w:hAnsi="Arial" w:cs="Arial"/>
          <w:color w:val="7B7B7B" w:themeColor="accent3" w:themeShade="BF"/>
          <w:sz w:val="22"/>
          <w:szCs w:val="22"/>
          <w:lang w:val="en-GB"/>
        </w:rPr>
        <w:t xml:space="preserve">A </w:t>
      </w:r>
      <w:r w:rsidR="00B8186B">
        <w:rPr>
          <w:rFonts w:ascii="Arial" w:hAnsi="Arial" w:cs="Arial"/>
          <w:color w:val="7B7B7B" w:themeColor="accent3" w:themeShade="BF"/>
          <w:sz w:val="22"/>
          <w:szCs w:val="22"/>
          <w:lang w:val="en-GB"/>
        </w:rPr>
        <w:t xml:space="preserve">with the jurisdiction i.e. is the company a registered company of State X, if it is not a registered company then is there sufficient connection between the company with State X. </w:t>
      </w:r>
    </w:p>
    <w:p w14:paraId="6D48EEE5" w14:textId="77777777" w:rsidR="00B8186B" w:rsidRDefault="00B8186B" w:rsidP="00641925">
      <w:pPr>
        <w:jc w:val="both"/>
        <w:rPr>
          <w:rFonts w:ascii="Arial" w:hAnsi="Arial" w:cs="Arial"/>
          <w:color w:val="7B7B7B" w:themeColor="accent3" w:themeShade="BF"/>
          <w:sz w:val="22"/>
          <w:szCs w:val="22"/>
          <w:lang w:val="en-GB"/>
        </w:rPr>
      </w:pPr>
    </w:p>
    <w:p w14:paraId="61B41C91" w14:textId="520651BD" w:rsidR="00413E7D" w:rsidRDefault="00413E7D" w:rsidP="006419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winding up, the court may need to determine the applicable domestic law in respect of different aspects of the winding up which may arise. For example, after Company A is wound up and winding up order has been issued and a liquidator has been appointed, one of the liquidator’s duty is to assess the proof of debts filed by creditors. A foreign creditor may file a proof of debt against Company A and should there be a dispute regarding the claim, the court would need to decide what is the relevant domestic law applicable to decide on the claim which gave rise to the proof of debt and make reference to it where necessary.  </w:t>
      </w:r>
    </w:p>
    <w:p w14:paraId="3876D477" w14:textId="77777777" w:rsidR="008875E2" w:rsidRDefault="008875E2" w:rsidP="00641925">
      <w:pPr>
        <w:jc w:val="both"/>
        <w:rPr>
          <w:rFonts w:ascii="Arial" w:hAnsi="Arial" w:cs="Arial"/>
          <w:color w:val="7B7B7B" w:themeColor="accent3" w:themeShade="BF"/>
          <w:sz w:val="22"/>
          <w:szCs w:val="22"/>
          <w:lang w:val="en-GB"/>
        </w:rPr>
      </w:pPr>
    </w:p>
    <w:p w14:paraId="2BA8CE4E" w14:textId="49575E41" w:rsidR="00641925" w:rsidRPr="00641925" w:rsidRDefault="008875E2" w:rsidP="0064192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Next, there is a need to determine what is the international effect of an insolvency proceeding in other foreign states. For example, Company A which has been wound up, may have foreign assets thereby requiring the liquidator to administer / deal with such foreign assets before the local court of the other States. T</w:t>
      </w:r>
      <w:r w:rsidR="00413E7D">
        <w:rPr>
          <w:rFonts w:ascii="Arial" w:hAnsi="Arial" w:cs="Arial"/>
          <w:color w:val="7B7B7B" w:themeColor="accent3" w:themeShade="BF"/>
          <w:sz w:val="22"/>
          <w:szCs w:val="22"/>
          <w:lang w:val="en-GB"/>
        </w:rPr>
        <w:t>he liquidator has a duty to manage all tangible and intangible property to which the company is entitled to and of which it remains the legal owner.</w:t>
      </w:r>
      <w:r>
        <w:rPr>
          <w:rFonts w:ascii="Arial" w:hAnsi="Arial" w:cs="Arial"/>
          <w:color w:val="7B7B7B" w:themeColor="accent3" w:themeShade="BF"/>
          <w:sz w:val="22"/>
          <w:szCs w:val="22"/>
          <w:lang w:val="en-GB"/>
        </w:rPr>
        <w:t xml:space="preserve"> </w:t>
      </w:r>
      <w:r w:rsidR="00B8186B">
        <w:rPr>
          <w:rFonts w:ascii="Arial" w:hAnsi="Arial" w:cs="Arial"/>
          <w:color w:val="7B7B7B" w:themeColor="accent3" w:themeShade="BF"/>
          <w:sz w:val="22"/>
          <w:szCs w:val="22"/>
          <w:lang w:val="en-GB"/>
        </w:rPr>
        <w:t>The ability of the liquidator to do so will be dependent on whether the winding up order and appointment of liquidator is recognised in the foreign court(s)</w:t>
      </w:r>
      <w:r>
        <w:rPr>
          <w:rFonts w:ascii="Arial" w:hAnsi="Arial" w:cs="Arial"/>
          <w:color w:val="7B7B7B" w:themeColor="accent3" w:themeShade="BF"/>
          <w:sz w:val="22"/>
          <w:szCs w:val="22"/>
          <w:lang w:val="en-GB"/>
        </w:rPr>
        <w:t xml:space="preserve"> i.e. whether the orders could be enforced</w:t>
      </w:r>
      <w:r w:rsidR="00B8186B">
        <w:rPr>
          <w:rFonts w:ascii="Arial" w:hAnsi="Arial" w:cs="Arial"/>
          <w:color w:val="7B7B7B" w:themeColor="accent3" w:themeShade="BF"/>
          <w:sz w:val="22"/>
          <w:szCs w:val="22"/>
          <w:lang w:val="en-GB"/>
        </w:rPr>
        <w:t xml:space="preserve">. </w:t>
      </w:r>
    </w:p>
    <w:p w14:paraId="39B93AC5" w14:textId="1210638C" w:rsidR="00275182" w:rsidRDefault="00275182" w:rsidP="00275182">
      <w:pPr>
        <w:widowControl w:val="0"/>
        <w:ind w:left="720" w:hanging="720"/>
        <w:jc w:val="both"/>
        <w:rPr>
          <w:rFonts w:ascii="Arial" w:hAnsi="Arial" w:cs="Arial"/>
          <w:sz w:val="22"/>
          <w:szCs w:val="22"/>
          <w:shd w:val="clear" w:color="auto" w:fill="FFFFFF"/>
          <w:lang w:val="en-GB"/>
        </w:rPr>
      </w:pPr>
    </w:p>
    <w:p w14:paraId="2467121D" w14:textId="77777777" w:rsidR="00A750C9" w:rsidRPr="00205B31" w:rsidRDefault="00A750C9"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1020B343" w14:textId="45261006" w:rsidR="001003F3" w:rsidRDefault="00F1566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which depicts communication and cooperation in a cross-border insolvency proceeding is the 1991 / 1992 case of </w:t>
      </w:r>
      <w:r>
        <w:rPr>
          <w:rFonts w:ascii="Arial" w:hAnsi="Arial" w:cs="Arial"/>
          <w:i/>
          <w:color w:val="7B7B7B" w:themeColor="accent3" w:themeShade="BF"/>
          <w:sz w:val="22"/>
          <w:szCs w:val="22"/>
          <w:lang w:val="en-GB"/>
        </w:rPr>
        <w:t xml:space="preserve">Maxwell Communication Corporation plc. </w:t>
      </w:r>
      <w:r>
        <w:rPr>
          <w:rFonts w:ascii="Arial" w:hAnsi="Arial" w:cs="Arial"/>
          <w:color w:val="7B7B7B" w:themeColor="accent3" w:themeShade="BF"/>
          <w:sz w:val="22"/>
          <w:szCs w:val="22"/>
          <w:lang w:val="en-GB"/>
        </w:rPr>
        <w:t xml:space="preserve">The case involved 2 primary insolvency proceedings initiated by a debtor – one in the US and one in the UK and the appointment of 2 separate insolvency representatives / liquidators in each state. The judges in both the US and English Courts independently raised the idea of </w:t>
      </w:r>
      <w:r w:rsidR="001003F3">
        <w:rPr>
          <w:rFonts w:ascii="Arial" w:hAnsi="Arial" w:cs="Arial"/>
          <w:color w:val="7B7B7B" w:themeColor="accent3" w:themeShade="BF"/>
          <w:sz w:val="22"/>
          <w:szCs w:val="22"/>
          <w:lang w:val="en-GB"/>
        </w:rPr>
        <w:t xml:space="preserve">an insolvency agreement between the two administrations in order to resolve disputes and exchange of information. Thus, an “Order and Protocol” was approved by courts in both US and UK. </w:t>
      </w:r>
    </w:p>
    <w:p w14:paraId="2BAF8A5A" w14:textId="77777777" w:rsidR="001003F3" w:rsidRDefault="001003F3" w:rsidP="00B7193E">
      <w:pPr>
        <w:jc w:val="both"/>
        <w:rPr>
          <w:rFonts w:ascii="Arial" w:hAnsi="Arial" w:cs="Arial"/>
          <w:color w:val="7B7B7B" w:themeColor="accent3" w:themeShade="BF"/>
          <w:sz w:val="22"/>
          <w:szCs w:val="22"/>
          <w:lang w:val="en-GB"/>
        </w:rPr>
      </w:pPr>
    </w:p>
    <w:p w14:paraId="4E83D7AF" w14:textId="790A11BF" w:rsidR="00DF75F8" w:rsidRDefault="001003F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objectives of the insolvency agreement are to maximise the value of the estate and harmonise the proceedings to minimise expenses, waste and jurisdictional conflict. In essence, parties agreed that the US Court would defer to the English proceedings, once it was determined that certain criteria were present. Some of the specificities included that the English insolvency representatives should only incur debt or file a reorganisation plan with the consent of the US insolvency representative of the US C</w:t>
      </w:r>
      <w:r w:rsidR="00947218">
        <w:rPr>
          <w:rFonts w:ascii="Arial" w:hAnsi="Arial" w:cs="Arial"/>
          <w:color w:val="7B7B7B" w:themeColor="accent3" w:themeShade="BF"/>
          <w:sz w:val="22"/>
          <w:szCs w:val="22"/>
          <w:lang w:val="en-GB"/>
        </w:rPr>
        <w:t xml:space="preserve">ourt, and prior notice is to be given if </w:t>
      </w:r>
      <w:r w:rsidR="00947218">
        <w:rPr>
          <w:rFonts w:ascii="Arial" w:hAnsi="Arial" w:cs="Arial"/>
          <w:color w:val="7B7B7B" w:themeColor="accent3" w:themeShade="BF"/>
          <w:sz w:val="22"/>
          <w:szCs w:val="22"/>
          <w:lang w:val="en-GB"/>
        </w:rPr>
        <w:lastRenderedPageBreak/>
        <w:t xml:space="preserve">the English insolvency representatives decide to undertake any major transaction on behalf of the debtor. </w:t>
      </w:r>
    </w:p>
    <w:p w14:paraId="1257BDD5" w14:textId="77777777" w:rsidR="00947218" w:rsidRDefault="00947218" w:rsidP="00B7193E">
      <w:pPr>
        <w:jc w:val="both"/>
        <w:rPr>
          <w:rFonts w:ascii="Arial" w:hAnsi="Arial" w:cs="Arial"/>
          <w:color w:val="7B7B7B" w:themeColor="accent3" w:themeShade="BF"/>
          <w:sz w:val="22"/>
          <w:szCs w:val="22"/>
          <w:lang w:val="en-GB"/>
        </w:rPr>
      </w:pPr>
    </w:p>
    <w:p w14:paraId="4B1A4827" w14:textId="13B83EB7" w:rsidR="00947218" w:rsidRDefault="0094721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Many issues were purposely left out of the agreement to be resolved during the course of the proceedings while some issues such as distribution were later included as an extension to the said agreement. </w:t>
      </w:r>
    </w:p>
    <w:p w14:paraId="4830D06A" w14:textId="77777777" w:rsidR="00947218" w:rsidRDefault="00947218" w:rsidP="00B7193E">
      <w:pPr>
        <w:jc w:val="both"/>
        <w:rPr>
          <w:rFonts w:ascii="Arial" w:hAnsi="Arial" w:cs="Arial"/>
          <w:color w:val="7B7B7B" w:themeColor="accent3" w:themeShade="BF"/>
          <w:sz w:val="22"/>
          <w:szCs w:val="22"/>
          <w:lang w:val="en-GB"/>
        </w:rPr>
      </w:pPr>
    </w:p>
    <w:p w14:paraId="1E4A9B8B" w14:textId="37A6E0D2" w:rsidR="00947218" w:rsidRDefault="0094721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interesting to see that as early as 1991, Courts of different States (in particular courts of first world countries such as the US and UK, which sets precedents especially in the context of common law) have recognised the necessity of communication and cooperation in a case of cross-border insolvency. This goes to show that insolvency cases are multi-dimensional and in order to manage and dispose </w:t>
      </w:r>
      <w:proofErr w:type="spellStart"/>
      <w:r w:rsidR="00424B5B">
        <w:rPr>
          <w:rFonts w:ascii="Arial" w:hAnsi="Arial" w:cs="Arial"/>
          <w:color w:val="7B7B7B" w:themeColor="accent3" w:themeShade="BF"/>
          <w:sz w:val="22"/>
          <w:szCs w:val="22"/>
          <w:lang w:val="en-GB"/>
        </w:rPr>
        <w:t>of</w:t>
      </w:r>
      <w:r w:rsidR="00C51E83">
        <w:rPr>
          <w:rFonts w:ascii="Arial" w:hAnsi="Arial" w:cs="Arial"/>
          <w:color w:val="7B7B7B" w:themeColor="accent3" w:themeShade="BF"/>
          <w:sz w:val="22"/>
          <w:szCs w:val="22"/>
          <w:lang w:val="en-GB"/>
        </w:rPr>
        <w:t>f</w:t>
      </w:r>
      <w:proofErr w:type="spellEnd"/>
      <w:r>
        <w:rPr>
          <w:rFonts w:ascii="Arial" w:hAnsi="Arial" w:cs="Arial"/>
          <w:color w:val="7B7B7B" w:themeColor="accent3" w:themeShade="BF"/>
          <w:sz w:val="22"/>
          <w:szCs w:val="22"/>
          <w:lang w:val="en-GB"/>
        </w:rPr>
        <w:t xml:space="preserve"> a cross-border insolvency efficiently and effectively, there needs to be communication and cooperation between</w:t>
      </w:r>
      <w:r w:rsidR="00C51E83">
        <w:rPr>
          <w:rFonts w:ascii="Arial" w:hAnsi="Arial" w:cs="Arial"/>
          <w:color w:val="7B7B7B" w:themeColor="accent3" w:themeShade="BF"/>
          <w:sz w:val="22"/>
          <w:szCs w:val="22"/>
          <w:lang w:val="en-GB"/>
        </w:rPr>
        <w:t xml:space="preserve"> the Courts of different States. </w:t>
      </w:r>
    </w:p>
    <w:p w14:paraId="743335F3" w14:textId="77777777" w:rsidR="00947218" w:rsidRDefault="00947218" w:rsidP="00B7193E">
      <w:pPr>
        <w:jc w:val="both"/>
        <w:rPr>
          <w:rFonts w:ascii="Arial" w:hAnsi="Arial" w:cs="Arial"/>
          <w:color w:val="7B7B7B" w:themeColor="accent3" w:themeShade="BF"/>
          <w:sz w:val="22"/>
          <w:szCs w:val="22"/>
          <w:lang w:val="en-GB"/>
        </w:rPr>
      </w:pPr>
    </w:p>
    <w:p w14:paraId="4E0DF6CF" w14:textId="49AA8124" w:rsidR="002802AF" w:rsidRDefault="0094721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flexibility afforded in the agreement in the </w:t>
      </w:r>
      <w:r>
        <w:rPr>
          <w:rFonts w:ascii="Arial" w:hAnsi="Arial" w:cs="Arial"/>
          <w:i/>
          <w:color w:val="7B7B7B" w:themeColor="accent3" w:themeShade="BF"/>
          <w:sz w:val="22"/>
          <w:szCs w:val="22"/>
          <w:lang w:val="en-GB"/>
        </w:rPr>
        <w:t xml:space="preserve">Maxwell </w:t>
      </w:r>
      <w:r>
        <w:rPr>
          <w:rFonts w:ascii="Arial" w:hAnsi="Arial" w:cs="Arial"/>
          <w:color w:val="7B7B7B" w:themeColor="accent3" w:themeShade="BF"/>
          <w:sz w:val="22"/>
          <w:szCs w:val="22"/>
          <w:lang w:val="en-GB"/>
        </w:rPr>
        <w:t>case is also desirable where parties are allowed to expand on the agreement as the circumstances require. However, in the context of modern times, such flexibility to a cros</w:t>
      </w:r>
      <w:r w:rsidR="00C51E83">
        <w:rPr>
          <w:rFonts w:ascii="Arial" w:hAnsi="Arial" w:cs="Arial"/>
          <w:color w:val="7B7B7B" w:themeColor="accent3" w:themeShade="BF"/>
          <w:sz w:val="22"/>
          <w:szCs w:val="22"/>
          <w:lang w:val="en-GB"/>
        </w:rPr>
        <w:t>s-border insolvency agreement in</w:t>
      </w:r>
      <w:r>
        <w:rPr>
          <w:rFonts w:ascii="Arial" w:hAnsi="Arial" w:cs="Arial"/>
          <w:color w:val="7B7B7B" w:themeColor="accent3" w:themeShade="BF"/>
          <w:sz w:val="22"/>
          <w:szCs w:val="22"/>
          <w:lang w:val="en-GB"/>
        </w:rPr>
        <w:t xml:space="preserve"> such nature may be dee</w:t>
      </w:r>
      <w:r w:rsidR="002802AF">
        <w:rPr>
          <w:rFonts w:ascii="Arial" w:hAnsi="Arial" w:cs="Arial"/>
          <w:color w:val="7B7B7B" w:themeColor="accent3" w:themeShade="BF"/>
          <w:sz w:val="22"/>
          <w:szCs w:val="22"/>
          <w:lang w:val="en-GB"/>
        </w:rPr>
        <w:t xml:space="preserve">med to be lacking certainties – for example, there may be possibility that one side of the insolvency representatives involved may utilised such flexibility as a tactical manoeuvre to delay the administration of the estate. Therefore, should there be such cross-border insolvency agreement in the present times, I am of the view more precise terms ought to be detailed. </w:t>
      </w:r>
    </w:p>
    <w:p w14:paraId="1EC37946" w14:textId="77777777" w:rsidR="002802AF" w:rsidRDefault="002802AF" w:rsidP="00B7193E">
      <w:pPr>
        <w:jc w:val="both"/>
        <w:rPr>
          <w:rFonts w:ascii="Arial" w:hAnsi="Arial" w:cs="Arial"/>
          <w:color w:val="7B7B7B" w:themeColor="accent3" w:themeShade="BF"/>
          <w:sz w:val="22"/>
          <w:szCs w:val="22"/>
          <w:lang w:val="en-GB"/>
        </w:rPr>
      </w:pPr>
    </w:p>
    <w:p w14:paraId="4AE7EA78" w14:textId="570655D9" w:rsidR="007D7C92" w:rsidRPr="00205B31" w:rsidRDefault="002802AF" w:rsidP="002802AF">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the upshot, cases such as </w:t>
      </w:r>
      <w:r>
        <w:rPr>
          <w:rFonts w:ascii="Arial" w:hAnsi="Arial" w:cs="Arial"/>
          <w:i/>
          <w:color w:val="7B7B7B" w:themeColor="accent3" w:themeShade="BF"/>
          <w:sz w:val="22"/>
          <w:szCs w:val="22"/>
          <w:lang w:val="en-GB"/>
        </w:rPr>
        <w:t xml:space="preserve">Maxwell Communication Corporation plc </w:t>
      </w:r>
      <w:r>
        <w:rPr>
          <w:rFonts w:ascii="Arial" w:hAnsi="Arial" w:cs="Arial"/>
          <w:color w:val="7B7B7B" w:themeColor="accent3" w:themeShade="BF"/>
          <w:sz w:val="22"/>
          <w:szCs w:val="22"/>
          <w:lang w:val="en-GB"/>
        </w:rPr>
        <w:t>has set a very pragmatic precedent which are to form the basis of the development of cross-border insolvency for other countries including but not limited to the commonwealth country. Countries ought to refer to these cases as basis in order to escalate the progress in their insolvency laws to also cater</w:t>
      </w:r>
      <w:r w:rsidR="00C1146A">
        <w:rPr>
          <w:rFonts w:ascii="Arial" w:hAnsi="Arial" w:cs="Arial"/>
          <w:color w:val="7B7B7B" w:themeColor="accent3" w:themeShade="BF"/>
          <w:sz w:val="22"/>
          <w:szCs w:val="22"/>
          <w:lang w:val="en-GB"/>
        </w:rPr>
        <w:t xml:space="preserve"> for cross-border insolvencies. This can be achieved by amongst others, referring to the UNCITRAL Practice Guide on Cross-Border Insolvency Cooperation, which sets out practical aspects of communication and cooperation in</w:t>
      </w:r>
      <w:r w:rsidR="00EB5931">
        <w:rPr>
          <w:rFonts w:ascii="Arial" w:hAnsi="Arial" w:cs="Arial"/>
          <w:color w:val="7B7B7B" w:themeColor="accent3" w:themeShade="BF"/>
          <w:sz w:val="22"/>
          <w:szCs w:val="22"/>
          <w:lang w:val="en-GB"/>
        </w:rPr>
        <w:t xml:space="preserve"> a cross-border insolvency case</w:t>
      </w:r>
      <w:r w:rsidR="00C1146A">
        <w:rPr>
          <w:rFonts w:ascii="Arial" w:hAnsi="Arial" w:cs="Arial"/>
          <w:color w:val="7B7B7B" w:themeColor="accent3" w:themeShade="BF"/>
          <w:sz w:val="22"/>
          <w:szCs w:val="22"/>
          <w:lang w:val="en-GB"/>
        </w:rPr>
        <w:t xml:space="preserve">. </w:t>
      </w:r>
    </w:p>
    <w:p w14:paraId="62816FF1" w14:textId="77777777" w:rsidR="00275182" w:rsidRDefault="00275182" w:rsidP="00B7193E">
      <w:pPr>
        <w:jc w:val="both"/>
        <w:rPr>
          <w:rFonts w:ascii="Arial" w:hAnsi="Arial" w:cs="Arial"/>
          <w:bCs/>
          <w:sz w:val="22"/>
          <w:szCs w:val="22"/>
          <w:lang w:val="en-GB"/>
        </w:rPr>
      </w:pPr>
    </w:p>
    <w:p w14:paraId="1707E19D" w14:textId="77777777" w:rsidR="00A750C9" w:rsidRPr="00205B31" w:rsidRDefault="00A750C9"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w:t>
      </w:r>
      <w:proofErr w:type="gramStart"/>
      <w:r w:rsidRPr="00205B31">
        <w:rPr>
          <w:rFonts w:ascii="Arial" w:hAnsi="Arial" w:cs="Arial"/>
          <w:color w:val="212529"/>
          <w:sz w:val="22"/>
          <w:szCs w:val="22"/>
          <w:shd w:val="clear" w:color="auto" w:fill="FFFFFF"/>
          <w:lang w:val="en-GB"/>
        </w:rPr>
        <w:t>creditors</w:t>
      </w:r>
      <w:proofErr w:type="gramEnd"/>
      <w:r w:rsidRPr="00205B31">
        <w:rPr>
          <w:rFonts w:ascii="Arial" w:hAnsi="Arial" w:cs="Arial"/>
          <w:color w:val="212529"/>
          <w:sz w:val="22"/>
          <w:szCs w:val="22"/>
          <w:shd w:val="clear" w:color="auto" w:fill="FFFFFF"/>
          <w:lang w:val="en-GB"/>
        </w:rPr>
        <w:t xml:space="preserve">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16C73F04" w14:textId="77777777" w:rsidR="005E05D5" w:rsidRDefault="005E05D5" w:rsidP="005E05D5">
      <w:pPr>
        <w:jc w:val="both"/>
        <w:rPr>
          <w:rFonts w:ascii="Arial" w:hAnsi="Arial" w:cs="Arial"/>
          <w:color w:val="7B7B7B" w:themeColor="accent3" w:themeShade="BF"/>
          <w:sz w:val="22"/>
          <w:szCs w:val="22"/>
          <w:lang w:val="en-GB"/>
        </w:rPr>
      </w:pPr>
    </w:p>
    <w:p w14:paraId="55040882" w14:textId="5A5EF099" w:rsidR="005E05D5" w:rsidRDefault="005E05D5" w:rsidP="005E05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answer seeks to answer the question by applying Fletcher’s 3 pertinent questions. </w:t>
      </w:r>
    </w:p>
    <w:p w14:paraId="5BE4EE36" w14:textId="77777777" w:rsidR="005E05D5" w:rsidRPr="00205B31" w:rsidRDefault="005E05D5" w:rsidP="006D564C">
      <w:pPr>
        <w:jc w:val="both"/>
        <w:rPr>
          <w:rFonts w:ascii="Arial" w:hAnsi="Arial" w:cs="Arial"/>
          <w:sz w:val="22"/>
          <w:szCs w:val="22"/>
          <w:lang w:val="en-GB"/>
        </w:rPr>
      </w:pPr>
    </w:p>
    <w:p w14:paraId="2706FD9A" w14:textId="77777777" w:rsidR="00EB5931" w:rsidRDefault="00EB5931" w:rsidP="005E05D5">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which jurisdiction may insolvency proceedings be opened? </w:t>
      </w:r>
    </w:p>
    <w:p w14:paraId="523BC3FA" w14:textId="77777777" w:rsidR="00EB5931" w:rsidRDefault="00EB5931" w:rsidP="005E05D5">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country’s law should be applied in respect of different aspects of the case? </w:t>
      </w:r>
    </w:p>
    <w:p w14:paraId="39C668AE" w14:textId="28C33B10" w:rsidR="005E05D5" w:rsidRPr="005E05D5" w:rsidRDefault="00EB5931" w:rsidP="00755223">
      <w:pPr>
        <w:pStyle w:val="ListParagraph"/>
        <w:numPr>
          <w:ilvl w:val="0"/>
          <w:numId w:val="23"/>
        </w:numPr>
        <w:ind w:left="567" w:hanging="567"/>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508295C7" w14:textId="77777777" w:rsidR="00B427A2" w:rsidRDefault="00B427A2" w:rsidP="00755223">
      <w:pPr>
        <w:jc w:val="both"/>
        <w:rPr>
          <w:rFonts w:ascii="Arial" w:hAnsi="Arial" w:cs="Arial"/>
          <w:color w:val="7B7B7B" w:themeColor="accent3" w:themeShade="BF"/>
          <w:sz w:val="22"/>
          <w:szCs w:val="22"/>
          <w:lang w:val="en-GB"/>
        </w:rPr>
      </w:pPr>
    </w:p>
    <w:p w14:paraId="7645A69F" w14:textId="09D33101" w:rsidR="00B427A2" w:rsidRPr="00180B36" w:rsidRDefault="00B427A2" w:rsidP="00755223">
      <w:pPr>
        <w:pStyle w:val="Heading1"/>
        <w:rPr>
          <w:u w:val="single"/>
        </w:rPr>
      </w:pPr>
      <w:r w:rsidRPr="00180B36">
        <w:rPr>
          <w:u w:val="single"/>
        </w:rPr>
        <w:t>Jurisdiction where the insolvency proceeding is to be opened</w:t>
      </w:r>
    </w:p>
    <w:p w14:paraId="70911B5A" w14:textId="07E810CC" w:rsidR="00B427A2" w:rsidRDefault="00B427A2" w:rsidP="007552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facts,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is considering to </w:t>
      </w:r>
      <w:r w:rsidR="004564DF">
        <w:rPr>
          <w:rFonts w:ascii="Arial" w:hAnsi="Arial" w:cs="Arial"/>
          <w:color w:val="7B7B7B" w:themeColor="accent3" w:themeShade="BF"/>
          <w:sz w:val="22"/>
          <w:szCs w:val="22"/>
          <w:lang w:val="en-GB"/>
        </w:rPr>
        <w:t>open</w:t>
      </w:r>
      <w:r>
        <w:rPr>
          <w:rFonts w:ascii="Arial" w:hAnsi="Arial" w:cs="Arial"/>
          <w:color w:val="7B7B7B" w:themeColor="accent3" w:themeShade="BF"/>
          <w:sz w:val="22"/>
          <w:szCs w:val="22"/>
          <w:lang w:val="en-GB"/>
        </w:rPr>
        <w:t xml:space="preserve"> insolvency proceedings on or about 18 July 2020 at an EU member state therefore, the EIR Recast will be applicable </w:t>
      </w:r>
      <w:r w:rsidR="00DB4184">
        <w:rPr>
          <w:rFonts w:ascii="Arial" w:hAnsi="Arial" w:cs="Arial"/>
          <w:color w:val="7B7B7B" w:themeColor="accent3" w:themeShade="BF"/>
          <w:sz w:val="22"/>
          <w:szCs w:val="22"/>
          <w:lang w:val="en-GB"/>
        </w:rPr>
        <w:t>at the said EU member state.</w:t>
      </w:r>
    </w:p>
    <w:p w14:paraId="0741073C" w14:textId="77777777" w:rsidR="00755223" w:rsidRDefault="00755223" w:rsidP="00755223">
      <w:pPr>
        <w:jc w:val="both"/>
        <w:rPr>
          <w:rFonts w:ascii="Arial" w:hAnsi="Arial" w:cs="Arial"/>
          <w:color w:val="7B7B7B" w:themeColor="accent3" w:themeShade="BF"/>
          <w:sz w:val="22"/>
          <w:szCs w:val="22"/>
          <w:lang w:val="en-GB"/>
        </w:rPr>
      </w:pPr>
    </w:p>
    <w:p w14:paraId="6921D18A" w14:textId="0D848C37" w:rsidR="00DB4184" w:rsidRDefault="00755223" w:rsidP="007552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an existing insolvency proceeding against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is before the UK Court (opened on 18 June 2021), the EIR Recast will be applicable in the UK</w:t>
      </w:r>
      <w:r w:rsidR="00DB4184">
        <w:rPr>
          <w:rFonts w:ascii="Arial" w:hAnsi="Arial" w:cs="Arial"/>
          <w:color w:val="7B7B7B" w:themeColor="accent3" w:themeShade="BF"/>
          <w:sz w:val="22"/>
          <w:szCs w:val="22"/>
          <w:lang w:val="en-GB"/>
        </w:rPr>
        <w:t xml:space="preserve"> as well. Under the EIR Recast, since UK is the </w:t>
      </w:r>
      <w:r>
        <w:rPr>
          <w:rFonts w:ascii="Arial" w:hAnsi="Arial" w:cs="Arial"/>
          <w:color w:val="7B7B7B" w:themeColor="accent3" w:themeShade="BF"/>
          <w:sz w:val="22"/>
          <w:szCs w:val="22"/>
          <w:lang w:val="en-GB"/>
        </w:rPr>
        <w:t xml:space="preserve">centre of main interest (COMI) </w:t>
      </w:r>
      <w:r w:rsidR="00DB4184">
        <w:rPr>
          <w:rFonts w:ascii="Arial" w:hAnsi="Arial" w:cs="Arial"/>
          <w:color w:val="7B7B7B" w:themeColor="accent3" w:themeShade="BF"/>
          <w:sz w:val="22"/>
          <w:szCs w:val="22"/>
          <w:lang w:val="en-GB"/>
        </w:rPr>
        <w:t xml:space="preserve">of </w:t>
      </w:r>
      <w:proofErr w:type="spellStart"/>
      <w:r w:rsidR="00DB4184">
        <w:rPr>
          <w:rFonts w:ascii="Arial" w:hAnsi="Arial" w:cs="Arial"/>
          <w:color w:val="7B7B7B" w:themeColor="accent3" w:themeShade="BF"/>
          <w:sz w:val="22"/>
          <w:szCs w:val="22"/>
          <w:lang w:val="en-GB"/>
        </w:rPr>
        <w:t>Rydell</w:t>
      </w:r>
      <w:proofErr w:type="spellEnd"/>
      <w:r w:rsidR="00DB4184">
        <w:rPr>
          <w:rFonts w:ascii="Arial" w:hAnsi="Arial" w:cs="Arial"/>
          <w:color w:val="7B7B7B" w:themeColor="accent3" w:themeShade="BF"/>
          <w:sz w:val="22"/>
          <w:szCs w:val="22"/>
          <w:lang w:val="en-GB"/>
        </w:rPr>
        <w:t xml:space="preserve">, the English Court is allocated primary jurisdiction over the insolvency of </w:t>
      </w:r>
      <w:proofErr w:type="spellStart"/>
      <w:r w:rsidR="00DB4184">
        <w:rPr>
          <w:rFonts w:ascii="Arial" w:hAnsi="Arial" w:cs="Arial"/>
          <w:color w:val="7B7B7B" w:themeColor="accent3" w:themeShade="BF"/>
          <w:sz w:val="22"/>
          <w:szCs w:val="22"/>
          <w:lang w:val="en-GB"/>
        </w:rPr>
        <w:t>R</w:t>
      </w:r>
      <w:r w:rsidR="00180B36">
        <w:rPr>
          <w:rFonts w:ascii="Arial" w:hAnsi="Arial" w:cs="Arial"/>
          <w:color w:val="7B7B7B" w:themeColor="accent3" w:themeShade="BF"/>
          <w:sz w:val="22"/>
          <w:szCs w:val="22"/>
          <w:lang w:val="en-GB"/>
        </w:rPr>
        <w:t>ydell</w:t>
      </w:r>
      <w:proofErr w:type="spellEnd"/>
      <w:r w:rsidR="00180B36">
        <w:rPr>
          <w:rFonts w:ascii="Arial" w:hAnsi="Arial" w:cs="Arial"/>
          <w:color w:val="7B7B7B" w:themeColor="accent3" w:themeShade="BF"/>
          <w:sz w:val="22"/>
          <w:szCs w:val="22"/>
          <w:lang w:val="en-GB"/>
        </w:rPr>
        <w:t xml:space="preserve">. </w:t>
      </w:r>
    </w:p>
    <w:p w14:paraId="173111FD" w14:textId="77777777" w:rsidR="00DB4184" w:rsidRDefault="00DB4184" w:rsidP="00755223">
      <w:pPr>
        <w:jc w:val="both"/>
        <w:rPr>
          <w:rFonts w:ascii="Arial" w:hAnsi="Arial" w:cs="Arial"/>
          <w:color w:val="7B7B7B" w:themeColor="accent3" w:themeShade="BF"/>
          <w:sz w:val="22"/>
          <w:szCs w:val="22"/>
          <w:lang w:val="en-GB"/>
        </w:rPr>
      </w:pPr>
    </w:p>
    <w:p w14:paraId="1FAEE052" w14:textId="68C42085" w:rsidR="00DB4184" w:rsidRPr="00DB4184" w:rsidRDefault="00DB4184" w:rsidP="0075522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EIR Recast, it is possible for a subsidiary territorial proceedings to be opened in other EU member states. Accordingly, the insolvency proceeding opened by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against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at an EU member states (if opened) will be regarded as “secondary proceedings”.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will have to show / prove before the EU member state court that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has an “establishment” at the said member state whereby it is one of </w:t>
      </w:r>
      <w:proofErr w:type="spellStart"/>
      <w:r>
        <w:rPr>
          <w:rFonts w:ascii="Arial" w:hAnsi="Arial" w:cs="Arial"/>
          <w:color w:val="7B7B7B" w:themeColor="accent3" w:themeShade="BF"/>
          <w:sz w:val="22"/>
          <w:szCs w:val="22"/>
          <w:lang w:val="en-GB"/>
        </w:rPr>
        <w:t>Rydell’s</w:t>
      </w:r>
      <w:proofErr w:type="spellEnd"/>
      <w:r>
        <w:rPr>
          <w:rFonts w:ascii="Arial" w:hAnsi="Arial" w:cs="Arial"/>
          <w:color w:val="7B7B7B" w:themeColor="accent3" w:themeShade="BF"/>
          <w:sz w:val="22"/>
          <w:szCs w:val="22"/>
          <w:lang w:val="en-GB"/>
        </w:rPr>
        <w:t xml:space="preserve"> “place of operations…where the debtor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carries out a non-transitory economic activity with human means and assets”</w:t>
      </w:r>
      <w:r w:rsidR="00617391">
        <w:rPr>
          <w:rFonts w:ascii="Arial" w:hAnsi="Arial" w:cs="Arial"/>
          <w:color w:val="7B7B7B" w:themeColor="accent3" w:themeShade="BF"/>
          <w:sz w:val="22"/>
          <w:szCs w:val="22"/>
          <w:lang w:val="en-GB"/>
        </w:rPr>
        <w:t>.</w:t>
      </w:r>
      <w:r w:rsidR="00967E0A">
        <w:rPr>
          <w:rFonts w:ascii="Arial" w:hAnsi="Arial" w:cs="Arial"/>
          <w:color w:val="7B7B7B" w:themeColor="accent3" w:themeShade="BF"/>
          <w:sz w:val="22"/>
          <w:szCs w:val="22"/>
          <w:lang w:val="en-GB"/>
        </w:rPr>
        <w:t xml:space="preserve"> </w:t>
      </w:r>
      <w:r w:rsidR="00180B36">
        <w:rPr>
          <w:rFonts w:ascii="Arial" w:hAnsi="Arial" w:cs="Arial"/>
          <w:color w:val="7B7B7B" w:themeColor="accent3" w:themeShade="BF"/>
          <w:sz w:val="22"/>
          <w:szCs w:val="22"/>
          <w:lang w:val="en-GB"/>
        </w:rPr>
        <w:t xml:space="preserve">In determining if the EU member state is an “establishment”, the Court would assess </w:t>
      </w:r>
      <w:r w:rsidR="006605B5">
        <w:rPr>
          <w:rFonts w:ascii="Arial" w:hAnsi="Arial" w:cs="Arial"/>
          <w:color w:val="7B7B7B" w:themeColor="accent3" w:themeShade="BF"/>
          <w:sz w:val="22"/>
          <w:szCs w:val="22"/>
          <w:lang w:val="en-GB"/>
        </w:rPr>
        <w:t xml:space="preserve">whether an establishment exited within the period of 3 month preceding the opening of the proceedings. </w:t>
      </w:r>
    </w:p>
    <w:p w14:paraId="4BA4181E" w14:textId="77777777" w:rsidR="00B427A2" w:rsidRPr="00B427A2" w:rsidRDefault="00B427A2" w:rsidP="00B427A2">
      <w:pPr>
        <w:rPr>
          <w:b/>
          <w:i/>
          <w:lang w:val="en-GB"/>
        </w:rPr>
      </w:pPr>
    </w:p>
    <w:p w14:paraId="4451B393" w14:textId="645CA393" w:rsidR="00EB5931" w:rsidRPr="00180B36" w:rsidRDefault="00617391" w:rsidP="00617391">
      <w:pPr>
        <w:pStyle w:val="Heading1"/>
        <w:rPr>
          <w:u w:val="single"/>
        </w:rPr>
      </w:pPr>
      <w:r w:rsidRPr="00180B36">
        <w:rPr>
          <w:u w:val="single"/>
        </w:rPr>
        <w:t>Domestic law applicable</w:t>
      </w:r>
    </w:p>
    <w:p w14:paraId="123C0972" w14:textId="51A83457" w:rsidR="00180B36" w:rsidRDefault="00617391" w:rsidP="006173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the insolvency proceeding is opened before the Court of the EU member state (EU Foreign Court), the EU Foreign Court hearing the application would need to decide what is the relevant domestic law applicable to the </w:t>
      </w:r>
      <w:proofErr w:type="spellStart"/>
      <w:r>
        <w:rPr>
          <w:rFonts w:ascii="Arial" w:hAnsi="Arial" w:cs="Arial"/>
          <w:color w:val="7B7B7B" w:themeColor="accent3" w:themeShade="BF"/>
          <w:sz w:val="22"/>
          <w:szCs w:val="22"/>
          <w:lang w:val="en-GB"/>
        </w:rPr>
        <w:t>Fernz’</w:t>
      </w:r>
      <w:r w:rsidR="00BA0919">
        <w:rPr>
          <w:rFonts w:ascii="Arial" w:hAnsi="Arial" w:cs="Arial"/>
          <w:color w:val="7B7B7B" w:themeColor="accent3" w:themeShade="BF"/>
          <w:sz w:val="22"/>
          <w:szCs w:val="22"/>
          <w:lang w:val="en-GB"/>
        </w:rPr>
        <w:t>s</w:t>
      </w:r>
      <w:proofErr w:type="spellEnd"/>
      <w:r w:rsidR="00BA0919">
        <w:rPr>
          <w:rFonts w:ascii="Arial" w:hAnsi="Arial" w:cs="Arial"/>
          <w:color w:val="7B7B7B" w:themeColor="accent3" w:themeShade="BF"/>
          <w:sz w:val="22"/>
          <w:szCs w:val="22"/>
          <w:lang w:val="en-GB"/>
        </w:rPr>
        <w:t xml:space="preserve"> proceeding. </w:t>
      </w:r>
      <w:r w:rsidR="00180B36">
        <w:rPr>
          <w:rFonts w:ascii="Arial" w:hAnsi="Arial" w:cs="Arial"/>
          <w:color w:val="7B7B7B" w:themeColor="accent3" w:themeShade="BF"/>
          <w:sz w:val="22"/>
          <w:szCs w:val="22"/>
          <w:lang w:val="en-GB"/>
        </w:rPr>
        <w:t xml:space="preserve">Under the EIR Recast, the law applicable to the proceeding will be </w:t>
      </w:r>
      <w:r w:rsidR="004564DF">
        <w:rPr>
          <w:rFonts w:ascii="Arial" w:hAnsi="Arial" w:cs="Arial"/>
          <w:color w:val="7B7B7B" w:themeColor="accent3" w:themeShade="BF"/>
          <w:sz w:val="22"/>
          <w:szCs w:val="22"/>
          <w:lang w:val="en-GB"/>
        </w:rPr>
        <w:t>law of the primary proceeding which is opened at the COMI. Therefore, the English insolvency law will be the law applicable at the secondary proceedings (with some exceptions involving rights of secured creditors and employees).</w:t>
      </w:r>
    </w:p>
    <w:p w14:paraId="51A0B8F4" w14:textId="77777777" w:rsidR="00BA0919" w:rsidRDefault="00BA0919" w:rsidP="00617391">
      <w:pPr>
        <w:jc w:val="both"/>
        <w:rPr>
          <w:rFonts w:ascii="Arial" w:hAnsi="Arial" w:cs="Arial"/>
          <w:color w:val="7B7B7B" w:themeColor="accent3" w:themeShade="BF"/>
          <w:sz w:val="22"/>
          <w:szCs w:val="22"/>
          <w:lang w:val="en-GB"/>
        </w:rPr>
      </w:pPr>
    </w:p>
    <w:p w14:paraId="1FFFD7EC" w14:textId="669E98CD" w:rsidR="00180B36" w:rsidRPr="00180B36" w:rsidRDefault="00180B36" w:rsidP="00180B36">
      <w:pPr>
        <w:pStyle w:val="Heading2"/>
      </w:pPr>
      <w:r w:rsidRPr="00180B36">
        <w:t>International effect / Coordination and Cooperation</w:t>
      </w:r>
    </w:p>
    <w:p w14:paraId="2E2C578D" w14:textId="1EC2E822" w:rsidR="00180B36" w:rsidRDefault="006605B5" w:rsidP="006173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the EIR Recast being applicable in both the UK and EU member state, both the EU Foreign Court and the English Court would have to cooperate and communicate to ensure that the primary and secondary insolvency proceedings are dealt with efficiently and effectively. The insolvency practitioners involved in the primary and secondary insolvency proceedings are also required to cooperate with each other.  </w:t>
      </w:r>
      <w:r w:rsidR="004564DF">
        <w:rPr>
          <w:rFonts w:ascii="Arial" w:hAnsi="Arial" w:cs="Arial"/>
          <w:color w:val="7B7B7B" w:themeColor="accent3" w:themeShade="BF"/>
          <w:sz w:val="22"/>
          <w:szCs w:val="22"/>
          <w:lang w:val="en-GB"/>
        </w:rPr>
        <w:t xml:space="preserve">The EU Foreign Court will automatically recognise the procedure and the officeholder will be able to exercise all his powers over assets situated in other member states. </w:t>
      </w:r>
    </w:p>
    <w:p w14:paraId="6ED29736" w14:textId="77777777" w:rsidR="00180B36" w:rsidRDefault="00180B36" w:rsidP="00617391">
      <w:pPr>
        <w:jc w:val="both"/>
        <w:rPr>
          <w:rFonts w:ascii="Arial" w:hAnsi="Arial" w:cs="Arial"/>
          <w:color w:val="7B7B7B" w:themeColor="accent3" w:themeShade="BF"/>
          <w:sz w:val="22"/>
          <w:szCs w:val="22"/>
          <w:lang w:val="en-GB"/>
        </w:rPr>
      </w:pPr>
    </w:p>
    <w:p w14:paraId="762793BC" w14:textId="401C5CE7" w:rsidR="00180B36" w:rsidRPr="00180B36" w:rsidRDefault="00180B36" w:rsidP="00180B36">
      <w:pPr>
        <w:pStyle w:val="Heading1"/>
        <w:rPr>
          <w:u w:val="single"/>
        </w:rPr>
      </w:pPr>
      <w:r w:rsidRPr="00180B36">
        <w:rPr>
          <w:u w:val="single"/>
        </w:rPr>
        <w:t>Other information</w:t>
      </w:r>
    </w:p>
    <w:p w14:paraId="4F37E80C" w14:textId="0057AB8A" w:rsidR="006605B5" w:rsidRDefault="00BA0919" w:rsidP="006173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regard, other relevant information required </w:t>
      </w:r>
      <w:r w:rsidR="006605B5">
        <w:rPr>
          <w:rFonts w:ascii="Arial" w:hAnsi="Arial" w:cs="Arial"/>
          <w:color w:val="7B7B7B" w:themeColor="accent3" w:themeShade="BF"/>
          <w:sz w:val="22"/>
          <w:szCs w:val="22"/>
          <w:lang w:val="en-GB"/>
        </w:rPr>
        <w:t xml:space="preserve">includes at what stage is the primary insolvency proceedings at the COMI. For example, if a winding up order has been issued by the English Court, under the EIR Recast, the English winding up order is automatically recognised in other member states. </w:t>
      </w:r>
      <w:proofErr w:type="spellStart"/>
      <w:r w:rsidR="004564DF">
        <w:rPr>
          <w:rFonts w:ascii="Arial" w:hAnsi="Arial" w:cs="Arial"/>
          <w:color w:val="7B7B7B" w:themeColor="accent3" w:themeShade="BF"/>
          <w:sz w:val="22"/>
          <w:szCs w:val="22"/>
          <w:lang w:val="en-GB"/>
        </w:rPr>
        <w:t>Fernz</w:t>
      </w:r>
      <w:proofErr w:type="spellEnd"/>
      <w:r w:rsidR="004564DF">
        <w:rPr>
          <w:rFonts w:ascii="Arial" w:hAnsi="Arial" w:cs="Arial"/>
          <w:color w:val="7B7B7B" w:themeColor="accent3" w:themeShade="BF"/>
          <w:sz w:val="22"/>
          <w:szCs w:val="22"/>
          <w:lang w:val="en-GB"/>
        </w:rPr>
        <w:t xml:space="preserve"> could consider filing proof of debt before the English insolvency representative as under EIR Recast, the English proceedings and insolvency representative will be afforded automatic recognition before the EU Foreign Court.</w:t>
      </w:r>
    </w:p>
    <w:p w14:paraId="1A5CA964" w14:textId="77777777" w:rsidR="00374859" w:rsidRDefault="00374859" w:rsidP="00617391">
      <w:pPr>
        <w:jc w:val="both"/>
        <w:rPr>
          <w:rFonts w:ascii="Arial" w:hAnsi="Arial" w:cs="Arial"/>
          <w:color w:val="7B7B7B" w:themeColor="accent3" w:themeShade="BF"/>
          <w:sz w:val="22"/>
          <w:szCs w:val="22"/>
          <w:lang w:val="en-GB"/>
        </w:rPr>
      </w:pPr>
    </w:p>
    <w:p w14:paraId="6FDB28BB" w14:textId="55E8EE8E" w:rsidR="00374859" w:rsidRDefault="00374859" w:rsidP="006173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Other information includes whether there</w:t>
      </w:r>
      <w:r w:rsidR="00DE04B0">
        <w:rPr>
          <w:rFonts w:ascii="Arial" w:hAnsi="Arial" w:cs="Arial"/>
          <w:color w:val="7B7B7B" w:themeColor="accent3" w:themeShade="BF"/>
          <w:sz w:val="22"/>
          <w:szCs w:val="22"/>
          <w:lang w:val="en-GB"/>
        </w:rPr>
        <w:t xml:space="preserve"> are any creditors who intends to open / have opened other insolvency proceedings at any other EU member state. This will determine the course of action in which </w:t>
      </w:r>
      <w:proofErr w:type="spellStart"/>
      <w:r w:rsidR="00DE04B0">
        <w:rPr>
          <w:rFonts w:ascii="Arial" w:hAnsi="Arial" w:cs="Arial"/>
          <w:color w:val="7B7B7B" w:themeColor="accent3" w:themeShade="BF"/>
          <w:sz w:val="22"/>
          <w:szCs w:val="22"/>
          <w:lang w:val="en-GB"/>
        </w:rPr>
        <w:t>Fernz</w:t>
      </w:r>
      <w:proofErr w:type="spellEnd"/>
      <w:r w:rsidR="00DE04B0">
        <w:rPr>
          <w:rFonts w:ascii="Arial" w:hAnsi="Arial" w:cs="Arial"/>
          <w:color w:val="7B7B7B" w:themeColor="accent3" w:themeShade="BF"/>
          <w:sz w:val="22"/>
          <w:szCs w:val="22"/>
          <w:lang w:val="en-GB"/>
        </w:rPr>
        <w:t xml:space="preserve"> may opt for. For example, if </w:t>
      </w:r>
      <w:proofErr w:type="spellStart"/>
      <w:r w:rsidR="00DE04B0">
        <w:rPr>
          <w:rFonts w:ascii="Arial" w:hAnsi="Arial" w:cs="Arial"/>
          <w:color w:val="7B7B7B" w:themeColor="accent3" w:themeShade="BF"/>
          <w:sz w:val="22"/>
          <w:szCs w:val="22"/>
          <w:lang w:val="en-GB"/>
        </w:rPr>
        <w:t>Rydell</w:t>
      </w:r>
      <w:proofErr w:type="spellEnd"/>
      <w:r w:rsidR="00DE04B0">
        <w:rPr>
          <w:rFonts w:ascii="Arial" w:hAnsi="Arial" w:cs="Arial"/>
          <w:color w:val="7B7B7B" w:themeColor="accent3" w:themeShade="BF"/>
          <w:sz w:val="22"/>
          <w:szCs w:val="22"/>
          <w:lang w:val="en-GB"/>
        </w:rPr>
        <w:t xml:space="preserve"> has been wound up in another EU member state then the EU Foreign Court is obligated to give recognition to the same. </w:t>
      </w:r>
    </w:p>
    <w:p w14:paraId="38BBF3CA" w14:textId="77777777" w:rsidR="005F453F"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E035090" w14:textId="37FFFFF4" w:rsidR="00EB5931" w:rsidRDefault="00EB5931" w:rsidP="00EB59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EB5931">
        <w:rPr>
          <w:rFonts w:ascii="Arial" w:hAnsi="Arial" w:cs="Arial"/>
          <w:color w:val="7B7B7B" w:themeColor="accent3" w:themeShade="BF"/>
          <w:sz w:val="22"/>
          <w:szCs w:val="22"/>
          <w:lang w:val="en-GB"/>
        </w:rPr>
        <w:t>European Insolvency Regulation</w:t>
      </w:r>
      <w:r>
        <w:rPr>
          <w:rFonts w:ascii="Arial" w:hAnsi="Arial" w:cs="Arial"/>
          <w:color w:val="7B7B7B" w:themeColor="accent3" w:themeShade="BF"/>
          <w:sz w:val="22"/>
          <w:szCs w:val="22"/>
          <w:lang w:val="en-GB"/>
        </w:rPr>
        <w:t xml:space="preserve"> Recast ceased to apply in the UK from 11 pm on 31 December 2020 following Brexit. Therefore, since the main insolvency proceedings were opened in the UK on 18 June 2021, the EIR Recast will not be applicable. </w:t>
      </w:r>
    </w:p>
    <w:p w14:paraId="69768501" w14:textId="77777777" w:rsidR="00956141" w:rsidRDefault="00956141" w:rsidP="00EB5931">
      <w:pPr>
        <w:jc w:val="both"/>
        <w:rPr>
          <w:rFonts w:ascii="Arial" w:hAnsi="Arial" w:cs="Arial"/>
          <w:color w:val="7B7B7B" w:themeColor="accent3" w:themeShade="BF"/>
          <w:sz w:val="22"/>
          <w:szCs w:val="22"/>
          <w:lang w:val="en-GB"/>
        </w:rPr>
      </w:pPr>
    </w:p>
    <w:p w14:paraId="7489BA7C" w14:textId="7C2C8AF0" w:rsidR="00374859" w:rsidRDefault="00956141" w:rsidP="00EB59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absence of the EIR Recast, the insolvency proceedings opened at the EU member state will not be regarded as secondary insolvency proceeding and it is possible to open a parallel insolvency proceeding at the EU member state in spite of the existing proceeding opened at the UK and </w:t>
      </w:r>
      <w:r w:rsidR="008C6E31">
        <w:rPr>
          <w:rFonts w:ascii="Arial" w:hAnsi="Arial" w:cs="Arial"/>
          <w:color w:val="7B7B7B" w:themeColor="accent3" w:themeShade="BF"/>
          <w:sz w:val="22"/>
          <w:szCs w:val="22"/>
          <w:lang w:val="en-GB"/>
        </w:rPr>
        <w:t>regardless</w:t>
      </w:r>
      <w:r>
        <w:rPr>
          <w:rFonts w:ascii="Arial" w:hAnsi="Arial" w:cs="Arial"/>
          <w:color w:val="7B7B7B" w:themeColor="accent3" w:themeShade="BF"/>
          <w:sz w:val="22"/>
          <w:szCs w:val="22"/>
          <w:lang w:val="en-GB"/>
        </w:rPr>
        <w:t xml:space="preserve"> of UK being the COMI of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w:t>
      </w:r>
      <w:r w:rsidR="00396070">
        <w:rPr>
          <w:rFonts w:ascii="Arial" w:hAnsi="Arial" w:cs="Arial"/>
          <w:color w:val="7B7B7B" w:themeColor="accent3" w:themeShade="BF"/>
          <w:sz w:val="22"/>
          <w:szCs w:val="22"/>
          <w:lang w:val="en-GB"/>
        </w:rPr>
        <w:t xml:space="preserve">It is no longer mandatory for all other member state to apply the English insolvency law when insolvency proceedings are opened against </w:t>
      </w:r>
      <w:proofErr w:type="spellStart"/>
      <w:r w:rsidR="00396070">
        <w:rPr>
          <w:rFonts w:ascii="Arial" w:hAnsi="Arial" w:cs="Arial"/>
          <w:color w:val="7B7B7B" w:themeColor="accent3" w:themeShade="BF"/>
          <w:sz w:val="22"/>
          <w:szCs w:val="22"/>
          <w:lang w:val="en-GB"/>
        </w:rPr>
        <w:t>Rydell</w:t>
      </w:r>
      <w:proofErr w:type="spellEnd"/>
      <w:r w:rsidR="00396070">
        <w:rPr>
          <w:rFonts w:ascii="Arial" w:hAnsi="Arial" w:cs="Arial"/>
          <w:color w:val="7B7B7B" w:themeColor="accent3" w:themeShade="BF"/>
          <w:sz w:val="22"/>
          <w:szCs w:val="22"/>
          <w:lang w:val="en-GB"/>
        </w:rPr>
        <w:t xml:space="preserve"> in an EU member state. The relevant insolvency law will the domestic law where the insolvency proceeding is opened. </w:t>
      </w:r>
    </w:p>
    <w:p w14:paraId="1AFFE9F7" w14:textId="77777777" w:rsidR="00374859" w:rsidRDefault="00374859" w:rsidP="00EB5931">
      <w:pPr>
        <w:jc w:val="both"/>
        <w:rPr>
          <w:rFonts w:ascii="Arial" w:hAnsi="Arial" w:cs="Arial"/>
          <w:color w:val="7B7B7B" w:themeColor="accent3" w:themeShade="BF"/>
          <w:sz w:val="22"/>
          <w:szCs w:val="22"/>
          <w:lang w:val="en-GB"/>
        </w:rPr>
      </w:pPr>
    </w:p>
    <w:p w14:paraId="02D9540E" w14:textId="6876ED55" w:rsidR="00956141" w:rsidRDefault="00374859" w:rsidP="00EB59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recognition, i</w:t>
      </w:r>
      <w:r w:rsidR="00956141">
        <w:rPr>
          <w:rFonts w:ascii="Arial" w:hAnsi="Arial" w:cs="Arial"/>
          <w:color w:val="7B7B7B" w:themeColor="accent3" w:themeShade="BF"/>
          <w:sz w:val="22"/>
          <w:szCs w:val="22"/>
          <w:lang w:val="en-GB"/>
        </w:rPr>
        <w:t xml:space="preserve">t is also no longer </w:t>
      </w:r>
      <w:r w:rsidR="00396070">
        <w:rPr>
          <w:rFonts w:ascii="Arial" w:hAnsi="Arial" w:cs="Arial"/>
          <w:color w:val="7B7B7B" w:themeColor="accent3" w:themeShade="BF"/>
          <w:sz w:val="22"/>
          <w:szCs w:val="22"/>
          <w:lang w:val="en-GB"/>
        </w:rPr>
        <w:t xml:space="preserve">automatic </w:t>
      </w:r>
      <w:r w:rsidR="00956141">
        <w:rPr>
          <w:rFonts w:ascii="Arial" w:hAnsi="Arial" w:cs="Arial"/>
          <w:color w:val="7B7B7B" w:themeColor="accent3" w:themeShade="BF"/>
          <w:sz w:val="22"/>
          <w:szCs w:val="22"/>
          <w:lang w:val="en-GB"/>
        </w:rPr>
        <w:t>for the EU member state to recognise and / or enforce any insolvenc</w:t>
      </w:r>
      <w:r w:rsidR="00396070">
        <w:rPr>
          <w:rFonts w:ascii="Arial" w:hAnsi="Arial" w:cs="Arial"/>
          <w:color w:val="7B7B7B" w:themeColor="accent3" w:themeShade="BF"/>
          <w:sz w:val="22"/>
          <w:szCs w:val="22"/>
          <w:lang w:val="en-GB"/>
        </w:rPr>
        <w:t xml:space="preserve">y proceedings opened at the UK and vice versa. When an insolvency order is obtained in </w:t>
      </w:r>
      <w:proofErr w:type="gramStart"/>
      <w:r w:rsidR="00396070">
        <w:rPr>
          <w:rFonts w:ascii="Arial" w:hAnsi="Arial" w:cs="Arial"/>
          <w:color w:val="7B7B7B" w:themeColor="accent3" w:themeShade="BF"/>
          <w:sz w:val="22"/>
          <w:szCs w:val="22"/>
          <w:lang w:val="en-GB"/>
        </w:rPr>
        <w:t>a</w:t>
      </w:r>
      <w:proofErr w:type="gramEnd"/>
      <w:r w:rsidR="00396070">
        <w:rPr>
          <w:rFonts w:ascii="Arial" w:hAnsi="Arial" w:cs="Arial"/>
          <w:color w:val="7B7B7B" w:themeColor="accent3" w:themeShade="BF"/>
          <w:sz w:val="22"/>
          <w:szCs w:val="22"/>
          <w:lang w:val="en-GB"/>
        </w:rPr>
        <w:t xml:space="preserve"> EU member state / when an EU insolvency representative is appointed, if the representative seeks to manage the assets of </w:t>
      </w:r>
      <w:proofErr w:type="spellStart"/>
      <w:r w:rsidR="00396070">
        <w:rPr>
          <w:rFonts w:ascii="Arial" w:hAnsi="Arial" w:cs="Arial"/>
          <w:color w:val="7B7B7B" w:themeColor="accent3" w:themeShade="BF"/>
          <w:sz w:val="22"/>
          <w:szCs w:val="22"/>
          <w:lang w:val="en-GB"/>
        </w:rPr>
        <w:t>Rydell</w:t>
      </w:r>
      <w:proofErr w:type="spellEnd"/>
      <w:r w:rsidR="00396070">
        <w:rPr>
          <w:rFonts w:ascii="Arial" w:hAnsi="Arial" w:cs="Arial"/>
          <w:color w:val="7B7B7B" w:themeColor="accent3" w:themeShade="BF"/>
          <w:sz w:val="22"/>
          <w:szCs w:val="22"/>
          <w:lang w:val="en-GB"/>
        </w:rPr>
        <w:t xml:space="preserve"> in the UK, the representative will need to apply in the U</w:t>
      </w:r>
      <w:r w:rsidR="00F5069F">
        <w:rPr>
          <w:rFonts w:ascii="Arial" w:hAnsi="Arial" w:cs="Arial"/>
          <w:color w:val="7B7B7B" w:themeColor="accent3" w:themeShade="BF"/>
          <w:sz w:val="22"/>
          <w:szCs w:val="22"/>
          <w:lang w:val="en-GB"/>
        </w:rPr>
        <w:t>K</w:t>
      </w:r>
      <w:bookmarkStart w:id="4" w:name="_GoBack"/>
      <w:bookmarkEnd w:id="4"/>
      <w:r w:rsidR="00396070">
        <w:rPr>
          <w:rFonts w:ascii="Arial" w:hAnsi="Arial" w:cs="Arial"/>
          <w:color w:val="7B7B7B" w:themeColor="accent3" w:themeShade="BF"/>
          <w:sz w:val="22"/>
          <w:szCs w:val="22"/>
          <w:lang w:val="en-GB"/>
        </w:rPr>
        <w:t xml:space="preserve"> Court to recognise the foreign insolvency order / appointment. Inevitably, there will be additional delay in time and expenses as compared to when the EIR Recast is still in play.</w:t>
      </w:r>
    </w:p>
    <w:p w14:paraId="10ACEBD1" w14:textId="77777777" w:rsidR="00966E44" w:rsidRDefault="00966E44" w:rsidP="00B7193E">
      <w:pPr>
        <w:jc w:val="both"/>
        <w:rPr>
          <w:rFonts w:ascii="Arial" w:hAnsi="Arial" w:cs="Arial"/>
          <w:b/>
          <w:bCs/>
          <w:sz w:val="22"/>
          <w:szCs w:val="22"/>
          <w:lang w:val="en-GB"/>
        </w:rPr>
      </w:pPr>
    </w:p>
    <w:p w14:paraId="78CC2E68" w14:textId="77777777" w:rsidR="00A750C9" w:rsidRPr="00205B31" w:rsidRDefault="00A750C9"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2"/>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15B7704D" w14:textId="22716CE6" w:rsidR="00396070" w:rsidRDefault="008C6E31"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will not </w:t>
      </w:r>
      <w:r w:rsidR="00C33437">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 xml:space="preserve">applicable when the minor creditor seeks to open insolvency proceedings against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 xml:space="preserve"> in the UK Court on 18 June 2021 as EIR Recast </w:t>
      </w:r>
      <w:r>
        <w:rPr>
          <w:rFonts w:ascii="Arial" w:hAnsi="Arial" w:cs="Arial"/>
          <w:color w:val="7B7B7B" w:themeColor="accent3" w:themeShade="BF"/>
          <w:sz w:val="22"/>
          <w:szCs w:val="22"/>
          <w:lang w:val="en-GB"/>
        </w:rPr>
        <w:t>ceased to apply in the UK from 11 pm on 31 December 2020 following Brexit.</w:t>
      </w:r>
      <w:r>
        <w:rPr>
          <w:rFonts w:ascii="Arial" w:hAnsi="Arial" w:cs="Arial"/>
          <w:color w:val="7B7B7B" w:themeColor="accent3" w:themeShade="BF"/>
          <w:sz w:val="22"/>
          <w:szCs w:val="22"/>
          <w:lang w:val="en-GB"/>
        </w:rPr>
        <w:t xml:space="preserve"> Therefore, preliminary consideration will not be on where the COMI is situated and if there is any existing foreign insolvency proceedings. In theory, in the absence of EIR Recast, it is possible for the minor creditor to open parallel insolvency proceeding in the UK Court (if there is existing foreign insolvency proceeding), and regardless of where the COMI is situated. </w:t>
      </w:r>
    </w:p>
    <w:p w14:paraId="25207CD6" w14:textId="77777777" w:rsidR="008C6E31" w:rsidRDefault="008C6E3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46B6F1F" w14:textId="0AE196F9" w:rsidR="00396070" w:rsidRDefault="0042612E"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Insolvency Act 1986 (section 220 – 221), t</w:t>
      </w:r>
      <w:r w:rsidR="00C33437">
        <w:rPr>
          <w:rFonts w:ascii="Arial" w:hAnsi="Arial" w:cs="Arial"/>
          <w:color w:val="7B7B7B" w:themeColor="accent3" w:themeShade="BF"/>
          <w:sz w:val="22"/>
          <w:szCs w:val="22"/>
          <w:lang w:val="en-GB"/>
        </w:rPr>
        <w:t xml:space="preserve">he English court has jurisdiction to wind up </w:t>
      </w:r>
      <w:proofErr w:type="spellStart"/>
      <w:r w:rsidR="00C33437">
        <w:rPr>
          <w:rFonts w:ascii="Arial" w:hAnsi="Arial" w:cs="Arial"/>
          <w:color w:val="7B7B7B" w:themeColor="accent3" w:themeShade="BF"/>
          <w:sz w:val="22"/>
          <w:szCs w:val="22"/>
          <w:lang w:val="en-GB"/>
        </w:rPr>
        <w:t>Rydell</w:t>
      </w:r>
      <w:proofErr w:type="spellEnd"/>
      <w:r w:rsidR="00C33437">
        <w:rPr>
          <w:rFonts w:ascii="Arial" w:hAnsi="Arial" w:cs="Arial"/>
          <w:color w:val="7B7B7B" w:themeColor="accent3" w:themeShade="BF"/>
          <w:sz w:val="22"/>
          <w:szCs w:val="22"/>
          <w:lang w:val="en-GB"/>
        </w:rPr>
        <w:t xml:space="preserve"> which is formed in another country</w:t>
      </w:r>
      <w:r>
        <w:rPr>
          <w:rFonts w:ascii="Arial" w:hAnsi="Arial" w:cs="Arial"/>
          <w:color w:val="7B7B7B" w:themeColor="accent3" w:themeShade="BF"/>
          <w:sz w:val="22"/>
          <w:szCs w:val="22"/>
          <w:lang w:val="en-GB"/>
        </w:rPr>
        <w:t xml:space="preserve"> and has carried on business in the UK. The English insolvency law will apply in respect of procedure and substance of the insolvency proceedings opened by the minor creditor in the UK Court. </w:t>
      </w:r>
      <w:r w:rsidR="00396070">
        <w:rPr>
          <w:rFonts w:ascii="Arial" w:hAnsi="Arial" w:cs="Arial"/>
          <w:color w:val="7B7B7B" w:themeColor="accent3" w:themeShade="BF"/>
          <w:sz w:val="22"/>
          <w:szCs w:val="22"/>
          <w:lang w:val="en-GB"/>
        </w:rPr>
        <w:t>Under section 221(5) of the Insolvency Act 1986, a court may order winding up of an unregistered company if (</w:t>
      </w:r>
      <w:proofErr w:type="spellStart"/>
      <w:r w:rsidR="00396070">
        <w:rPr>
          <w:rFonts w:ascii="Arial" w:hAnsi="Arial" w:cs="Arial"/>
          <w:color w:val="7B7B7B" w:themeColor="accent3" w:themeShade="BF"/>
          <w:sz w:val="22"/>
          <w:szCs w:val="22"/>
          <w:lang w:val="en-GB"/>
        </w:rPr>
        <w:t>i</w:t>
      </w:r>
      <w:proofErr w:type="spellEnd"/>
      <w:r w:rsidR="00396070">
        <w:rPr>
          <w:rFonts w:ascii="Arial" w:hAnsi="Arial" w:cs="Arial"/>
          <w:color w:val="7B7B7B" w:themeColor="accent3" w:themeShade="BF"/>
          <w:sz w:val="22"/>
          <w:szCs w:val="22"/>
          <w:lang w:val="en-GB"/>
        </w:rPr>
        <w:t xml:space="preserve">) the </w:t>
      </w:r>
      <w:r w:rsidR="00396070">
        <w:rPr>
          <w:rFonts w:ascii="Arial" w:hAnsi="Arial" w:cs="Arial"/>
          <w:color w:val="7B7B7B" w:themeColor="accent3" w:themeShade="BF"/>
          <w:sz w:val="22"/>
          <w:szCs w:val="22"/>
          <w:lang w:val="en-GB"/>
        </w:rPr>
        <w:lastRenderedPageBreak/>
        <w:t xml:space="preserve">company is dissolved, or has ceased to carry on business only for the purpose of winding up its affairs; (ii) if the company is unable to pay its debts; (iii) if the court is of the opinion that it is just and equitable for the company to be wound up. Based on English precedent, the Court will assess </w:t>
      </w:r>
      <w:proofErr w:type="spellStart"/>
      <w:r w:rsidR="00396070">
        <w:rPr>
          <w:rFonts w:ascii="Arial" w:hAnsi="Arial" w:cs="Arial"/>
          <w:color w:val="7B7B7B" w:themeColor="accent3" w:themeShade="BF"/>
          <w:sz w:val="22"/>
          <w:szCs w:val="22"/>
          <w:lang w:val="en-GB"/>
        </w:rPr>
        <w:t>whethere</w:t>
      </w:r>
      <w:proofErr w:type="spellEnd"/>
      <w:r w:rsidR="00396070">
        <w:rPr>
          <w:rFonts w:ascii="Arial" w:hAnsi="Arial" w:cs="Arial"/>
          <w:color w:val="7B7B7B" w:themeColor="accent3" w:themeShade="BF"/>
          <w:sz w:val="22"/>
          <w:szCs w:val="22"/>
          <w:lang w:val="en-GB"/>
        </w:rPr>
        <w:t xml:space="preserve"> there is sufficient connection between </w:t>
      </w:r>
      <w:proofErr w:type="spellStart"/>
      <w:r w:rsidR="00396070">
        <w:rPr>
          <w:rFonts w:ascii="Arial" w:hAnsi="Arial" w:cs="Arial"/>
          <w:color w:val="7B7B7B" w:themeColor="accent3" w:themeShade="BF"/>
          <w:sz w:val="22"/>
          <w:szCs w:val="22"/>
          <w:lang w:val="en-GB"/>
        </w:rPr>
        <w:t>Rydell</w:t>
      </w:r>
      <w:proofErr w:type="spellEnd"/>
      <w:r w:rsidR="00396070">
        <w:rPr>
          <w:rFonts w:ascii="Arial" w:hAnsi="Arial" w:cs="Arial"/>
          <w:color w:val="7B7B7B" w:themeColor="accent3" w:themeShade="BF"/>
          <w:sz w:val="22"/>
          <w:szCs w:val="22"/>
          <w:lang w:val="en-GB"/>
        </w:rPr>
        <w:t xml:space="preserve"> with the UK</w:t>
      </w:r>
      <w:r w:rsidR="00F5069F">
        <w:rPr>
          <w:rFonts w:ascii="Arial" w:hAnsi="Arial" w:cs="Arial"/>
          <w:color w:val="7B7B7B" w:themeColor="accent3" w:themeShade="BF"/>
          <w:sz w:val="22"/>
          <w:szCs w:val="22"/>
          <w:lang w:val="en-GB"/>
        </w:rPr>
        <w:t xml:space="preserve"> – which includes whether there are assets within the UK; one or more person interested in the distribution of assets of </w:t>
      </w:r>
      <w:proofErr w:type="spellStart"/>
      <w:r w:rsidR="00F5069F">
        <w:rPr>
          <w:rFonts w:ascii="Arial" w:hAnsi="Arial" w:cs="Arial"/>
          <w:color w:val="7B7B7B" w:themeColor="accent3" w:themeShade="BF"/>
          <w:sz w:val="22"/>
          <w:szCs w:val="22"/>
          <w:lang w:val="en-GB"/>
        </w:rPr>
        <w:t>Rydell</w:t>
      </w:r>
      <w:proofErr w:type="spellEnd"/>
      <w:r w:rsidR="00F5069F">
        <w:rPr>
          <w:rFonts w:ascii="Arial" w:hAnsi="Arial" w:cs="Arial"/>
          <w:color w:val="7B7B7B" w:themeColor="accent3" w:themeShade="BF"/>
          <w:sz w:val="22"/>
          <w:szCs w:val="22"/>
          <w:lang w:val="en-GB"/>
        </w:rPr>
        <w:t xml:space="preserve"> must be person over whom the UK Court can exercise jurisdiction. Therefore, we need to identify if there are other creditors within the UK jurisdiction. </w:t>
      </w:r>
    </w:p>
    <w:p w14:paraId="05EF5084" w14:textId="77777777" w:rsidR="00396070" w:rsidRDefault="00396070"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642EA3C" w14:textId="5171F1FE" w:rsidR="0042612E" w:rsidRDefault="00396070"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t>
      </w:r>
      <w:r w:rsidR="0042612E">
        <w:rPr>
          <w:rFonts w:ascii="Arial" w:hAnsi="Arial" w:cs="Arial"/>
          <w:color w:val="7B7B7B" w:themeColor="accent3" w:themeShade="BF"/>
          <w:sz w:val="22"/>
          <w:szCs w:val="22"/>
          <w:lang w:val="en-GB"/>
        </w:rPr>
        <w:t xml:space="preserve">may </w:t>
      </w:r>
      <w:r>
        <w:rPr>
          <w:rFonts w:ascii="Arial" w:hAnsi="Arial" w:cs="Arial"/>
          <w:color w:val="7B7B7B" w:themeColor="accent3" w:themeShade="BF"/>
          <w:sz w:val="22"/>
          <w:szCs w:val="22"/>
          <w:lang w:val="en-GB"/>
        </w:rPr>
        <w:t xml:space="preserve">also </w:t>
      </w:r>
      <w:r w:rsidR="0042612E">
        <w:rPr>
          <w:rFonts w:ascii="Arial" w:hAnsi="Arial" w:cs="Arial"/>
          <w:color w:val="7B7B7B" w:themeColor="accent3" w:themeShade="BF"/>
          <w:sz w:val="22"/>
          <w:szCs w:val="22"/>
          <w:lang w:val="en-GB"/>
        </w:rPr>
        <w:t xml:space="preserve">be other relevant foreign law which the UK Court may need to consideration in relation to the administration of the winding up. </w:t>
      </w:r>
    </w:p>
    <w:p w14:paraId="390207C2" w14:textId="77777777" w:rsidR="0042612E" w:rsidRDefault="0042612E" w:rsidP="0042612E">
      <w:pPr>
        <w:autoSpaceDE w:val="0"/>
        <w:autoSpaceDN w:val="0"/>
        <w:adjustRightInd w:val="0"/>
        <w:spacing w:line="276" w:lineRule="auto"/>
        <w:jc w:val="both"/>
        <w:rPr>
          <w:rFonts w:ascii="Arial" w:hAnsi="Arial" w:cs="Arial"/>
          <w:color w:val="7B7B7B" w:themeColor="accent3" w:themeShade="BF"/>
          <w:sz w:val="22"/>
          <w:szCs w:val="22"/>
          <w:lang w:val="en-GB"/>
        </w:rPr>
      </w:pPr>
    </w:p>
    <w:p w14:paraId="59C6C1B4" w14:textId="77777777" w:rsidR="0042612E" w:rsidRDefault="0042612E" w:rsidP="0042612E">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important to note that the EU member states will not be obliged to recognise the English insolvency proceedings and similarly, the UK will not be obliged to recognise other EU member states insolvency proceedings, contrary to the mandatory automatic recognition across EU afforded under the EIR Recast.</w:t>
      </w:r>
    </w:p>
    <w:p w14:paraId="6020D24B" w14:textId="77777777" w:rsidR="0042612E" w:rsidRDefault="0042612E"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9A522FC" w14:textId="73B9DB57" w:rsidR="00C33437" w:rsidRDefault="00C33437"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English law, S426 of the Insolvency Act 1986 authorises the English Court to apply, in relation to any matters specified in the request, the insolvency law which is applicable by either court in relation to comparable matters falling within its jurisdiction.</w:t>
      </w:r>
      <w:r w:rsidR="0042612E">
        <w:rPr>
          <w:rFonts w:ascii="Arial" w:hAnsi="Arial" w:cs="Arial"/>
          <w:color w:val="7B7B7B" w:themeColor="accent3" w:themeShade="BF"/>
          <w:sz w:val="22"/>
          <w:szCs w:val="22"/>
          <w:lang w:val="en-GB"/>
        </w:rPr>
        <w:t xml:space="preserve"> In other words, the UK court may recognise a foreign insolvency proceeding opened against </w:t>
      </w:r>
      <w:proofErr w:type="spellStart"/>
      <w:r w:rsidR="0042612E">
        <w:rPr>
          <w:rFonts w:ascii="Arial" w:hAnsi="Arial" w:cs="Arial"/>
          <w:color w:val="7B7B7B" w:themeColor="accent3" w:themeShade="BF"/>
          <w:sz w:val="22"/>
          <w:szCs w:val="22"/>
          <w:lang w:val="en-GB"/>
        </w:rPr>
        <w:t>Rydell</w:t>
      </w:r>
      <w:proofErr w:type="spellEnd"/>
      <w:r w:rsidR="0042612E">
        <w:rPr>
          <w:rFonts w:ascii="Arial" w:hAnsi="Arial" w:cs="Arial"/>
          <w:color w:val="7B7B7B" w:themeColor="accent3" w:themeShade="BF"/>
          <w:sz w:val="22"/>
          <w:szCs w:val="22"/>
          <w:lang w:val="en-GB"/>
        </w:rPr>
        <w:t xml:space="preserve"> </w:t>
      </w:r>
      <w:r w:rsidR="00D82560">
        <w:rPr>
          <w:rFonts w:ascii="Arial" w:hAnsi="Arial" w:cs="Arial"/>
          <w:color w:val="7B7B7B" w:themeColor="accent3" w:themeShade="BF"/>
          <w:sz w:val="22"/>
          <w:szCs w:val="22"/>
          <w:lang w:val="en-GB"/>
        </w:rPr>
        <w:t xml:space="preserve">in other member states if the situation so requires. </w:t>
      </w:r>
    </w:p>
    <w:p w14:paraId="328876D1" w14:textId="77777777" w:rsidR="008C6E31" w:rsidRDefault="008C6E3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8430412" w14:textId="47AD44E0" w:rsidR="008C6E31" w:rsidRDefault="008C6E31"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an insolvency order is given in the UK Court, the process of assets recoveries (if necessary) will also be less efficient as there is no longer an automatic mandatory obligation to</w:t>
      </w:r>
      <w:r w:rsidR="00D82560">
        <w:rPr>
          <w:rFonts w:ascii="Arial" w:hAnsi="Arial" w:cs="Arial"/>
          <w:color w:val="7B7B7B" w:themeColor="accent3" w:themeShade="BF"/>
          <w:sz w:val="22"/>
          <w:szCs w:val="22"/>
          <w:lang w:val="en-GB"/>
        </w:rPr>
        <w:t xml:space="preserve"> communicate and cooperate</w:t>
      </w:r>
      <w:r w:rsidR="00C33437">
        <w:rPr>
          <w:rFonts w:ascii="Arial" w:hAnsi="Arial" w:cs="Arial"/>
          <w:color w:val="7B7B7B" w:themeColor="accent3" w:themeShade="BF"/>
          <w:sz w:val="22"/>
          <w:szCs w:val="22"/>
          <w:lang w:val="en-GB"/>
        </w:rPr>
        <w:t xml:space="preserve">. The creditor would have to rely on the domestic law of the individual member states in order to determine if cooperation and communication will be afforded to the English court / insolvency representative. </w:t>
      </w:r>
    </w:p>
    <w:p w14:paraId="6FEE774B" w14:textId="77777777" w:rsidR="00C33437" w:rsidRDefault="00C33437"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A637DC5" w14:textId="00170A05" w:rsidR="00C33437" w:rsidRPr="00205B31" w:rsidRDefault="00C33437"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The English Court may also rely on the assistance of the UNCITRAL Model Law (which has been adopted in a few EU member states namely Greece, Romania, Slovenia and Poland) in respect of seeking recognition and assistance from courts in the said member states. </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FC56" w14:textId="77777777" w:rsidR="00DE04B0" w:rsidRDefault="00DE04B0" w:rsidP="00241B44">
      <w:r>
        <w:separator/>
      </w:r>
    </w:p>
  </w:endnote>
  <w:endnote w:type="continuationSeparator" w:id="0">
    <w:p w14:paraId="1569510E" w14:textId="77777777" w:rsidR="00DE04B0" w:rsidRDefault="00DE04B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DE04B0" w:rsidRPr="00A31881" w:rsidRDefault="00DE04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DE04B0" w:rsidRPr="00A31881" w:rsidRDefault="00DE04B0"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DE04B0" w:rsidRPr="0052732A" w:rsidRDefault="00DE04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F5069F">
          <w:rPr>
            <w:rStyle w:val="PageNumber"/>
            <w:rFonts w:ascii="Arial" w:hAnsi="Arial" w:cs="Arial"/>
            <w:b/>
            <w:bCs/>
            <w:noProof/>
            <w:sz w:val="18"/>
            <w:szCs w:val="18"/>
          </w:rPr>
          <w:t>13</w:t>
        </w:r>
        <w:r w:rsidRPr="00C50F86">
          <w:rPr>
            <w:rStyle w:val="PageNumber"/>
            <w:rFonts w:ascii="Arial" w:hAnsi="Arial" w:cs="Arial"/>
            <w:b/>
            <w:bCs/>
            <w:sz w:val="18"/>
            <w:szCs w:val="18"/>
          </w:rPr>
          <w:fldChar w:fldCharType="end"/>
        </w:r>
      </w:p>
    </w:sdtContent>
  </w:sdt>
  <w:p w14:paraId="12ABA5E1" w14:textId="0144C4D3" w:rsidR="00DE04B0" w:rsidRPr="0052732A" w:rsidRDefault="00DE04B0" w:rsidP="0052732A">
    <w:pPr>
      <w:pStyle w:val="Footer"/>
      <w:ind w:right="360"/>
      <w:rPr>
        <w:rFonts w:ascii="Arial" w:hAnsi="Arial" w:cs="Arial"/>
        <w:sz w:val="18"/>
        <w:szCs w:val="18"/>
      </w:rPr>
    </w:pPr>
    <w:r w:rsidRPr="00E22BDD">
      <w:rPr>
        <w:rFonts w:ascii="Arial" w:hAnsi="Arial" w:cs="Arial"/>
        <w:sz w:val="18"/>
        <w:szCs w:val="18"/>
      </w:rPr>
      <w:t>202122-530</w:t>
    </w:r>
    <w:r w:rsidRPr="0052732A">
      <w:rPr>
        <w:rFonts w:ascii="Arial" w:hAnsi="Arial" w:cs="Arial"/>
        <w:sz w:val="18"/>
        <w:szCs w:val="18"/>
      </w:rPr>
      <w:t>.assessment1summative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D2433" w14:textId="77777777" w:rsidR="00DE04B0" w:rsidRDefault="00DE04B0" w:rsidP="00241B44">
      <w:r>
        <w:separator/>
      </w:r>
    </w:p>
  </w:footnote>
  <w:footnote w:type="continuationSeparator" w:id="0">
    <w:p w14:paraId="1B0F45A1" w14:textId="77777777" w:rsidR="00DE04B0" w:rsidRDefault="00DE04B0"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9D4"/>
    <w:multiLevelType w:val="hybridMultilevel"/>
    <w:tmpl w:val="1346C7FC"/>
    <w:lvl w:ilvl="0" w:tplc="67DA8F4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2670A98"/>
    <w:multiLevelType w:val="hybridMultilevel"/>
    <w:tmpl w:val="8326B06E"/>
    <w:lvl w:ilvl="0" w:tplc="6EAC5878">
      <w:start w:val="1"/>
      <w:numFmt w:val="decimal"/>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6F644FB"/>
    <w:multiLevelType w:val="hybridMultilevel"/>
    <w:tmpl w:val="1E66731E"/>
    <w:lvl w:ilvl="0" w:tplc="D460FB7A">
      <w:start w:val="1"/>
      <w:numFmt w:val="lowerLetter"/>
      <w:lvlText w:val="(%1)"/>
      <w:lvlJc w:val="left"/>
      <w:pPr>
        <w:ind w:left="349" w:hanging="360"/>
      </w:pPr>
      <w:rPr>
        <w:rFonts w:hint="default"/>
      </w:rPr>
    </w:lvl>
    <w:lvl w:ilvl="1" w:tplc="44090019" w:tentative="1">
      <w:start w:val="1"/>
      <w:numFmt w:val="lowerLetter"/>
      <w:lvlText w:val="%2."/>
      <w:lvlJc w:val="left"/>
      <w:pPr>
        <w:ind w:left="1069" w:hanging="360"/>
      </w:pPr>
    </w:lvl>
    <w:lvl w:ilvl="2" w:tplc="4409001B" w:tentative="1">
      <w:start w:val="1"/>
      <w:numFmt w:val="lowerRoman"/>
      <w:lvlText w:val="%3."/>
      <w:lvlJc w:val="right"/>
      <w:pPr>
        <w:ind w:left="1789" w:hanging="180"/>
      </w:pPr>
    </w:lvl>
    <w:lvl w:ilvl="3" w:tplc="4409000F" w:tentative="1">
      <w:start w:val="1"/>
      <w:numFmt w:val="decimal"/>
      <w:lvlText w:val="%4."/>
      <w:lvlJc w:val="left"/>
      <w:pPr>
        <w:ind w:left="2509" w:hanging="360"/>
      </w:pPr>
    </w:lvl>
    <w:lvl w:ilvl="4" w:tplc="44090019" w:tentative="1">
      <w:start w:val="1"/>
      <w:numFmt w:val="lowerLetter"/>
      <w:lvlText w:val="%5."/>
      <w:lvlJc w:val="left"/>
      <w:pPr>
        <w:ind w:left="3229" w:hanging="360"/>
      </w:pPr>
    </w:lvl>
    <w:lvl w:ilvl="5" w:tplc="4409001B" w:tentative="1">
      <w:start w:val="1"/>
      <w:numFmt w:val="lowerRoman"/>
      <w:lvlText w:val="%6."/>
      <w:lvlJc w:val="right"/>
      <w:pPr>
        <w:ind w:left="3949" w:hanging="180"/>
      </w:pPr>
    </w:lvl>
    <w:lvl w:ilvl="6" w:tplc="4409000F" w:tentative="1">
      <w:start w:val="1"/>
      <w:numFmt w:val="decimal"/>
      <w:lvlText w:val="%7."/>
      <w:lvlJc w:val="left"/>
      <w:pPr>
        <w:ind w:left="4669" w:hanging="360"/>
      </w:pPr>
    </w:lvl>
    <w:lvl w:ilvl="7" w:tplc="44090019" w:tentative="1">
      <w:start w:val="1"/>
      <w:numFmt w:val="lowerLetter"/>
      <w:lvlText w:val="%8."/>
      <w:lvlJc w:val="left"/>
      <w:pPr>
        <w:ind w:left="5389" w:hanging="360"/>
      </w:pPr>
    </w:lvl>
    <w:lvl w:ilvl="8" w:tplc="4409001B" w:tentative="1">
      <w:start w:val="1"/>
      <w:numFmt w:val="lowerRoman"/>
      <w:lvlText w:val="%9."/>
      <w:lvlJc w:val="right"/>
      <w:pPr>
        <w:ind w:left="6109"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900195"/>
    <w:multiLevelType w:val="hybridMultilevel"/>
    <w:tmpl w:val="CFCE9D94"/>
    <w:lvl w:ilvl="0" w:tplc="53C4209E">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69967D5F"/>
    <w:multiLevelType w:val="hybridMultilevel"/>
    <w:tmpl w:val="34C8311E"/>
    <w:lvl w:ilvl="0" w:tplc="0E24BC9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4C8682D"/>
    <w:multiLevelType w:val="hybridMultilevel"/>
    <w:tmpl w:val="1346C7FC"/>
    <w:lvl w:ilvl="0" w:tplc="67DA8F4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E055B0"/>
    <w:multiLevelType w:val="hybridMultilevel"/>
    <w:tmpl w:val="FE442F54"/>
    <w:lvl w:ilvl="0" w:tplc="63D432CA">
      <w:start w:val="1"/>
      <w:numFmt w:val="lowerLetter"/>
      <w:lvlText w:val="(%1)"/>
      <w:lvlJc w:val="left"/>
      <w:pPr>
        <w:ind w:left="349" w:hanging="360"/>
      </w:pPr>
      <w:rPr>
        <w:rFonts w:hint="default"/>
      </w:rPr>
    </w:lvl>
    <w:lvl w:ilvl="1" w:tplc="44090019" w:tentative="1">
      <w:start w:val="1"/>
      <w:numFmt w:val="lowerLetter"/>
      <w:lvlText w:val="%2."/>
      <w:lvlJc w:val="left"/>
      <w:pPr>
        <w:ind w:left="1069" w:hanging="360"/>
      </w:pPr>
    </w:lvl>
    <w:lvl w:ilvl="2" w:tplc="4409001B" w:tentative="1">
      <w:start w:val="1"/>
      <w:numFmt w:val="lowerRoman"/>
      <w:lvlText w:val="%3."/>
      <w:lvlJc w:val="right"/>
      <w:pPr>
        <w:ind w:left="1789" w:hanging="180"/>
      </w:pPr>
    </w:lvl>
    <w:lvl w:ilvl="3" w:tplc="4409000F" w:tentative="1">
      <w:start w:val="1"/>
      <w:numFmt w:val="decimal"/>
      <w:lvlText w:val="%4."/>
      <w:lvlJc w:val="left"/>
      <w:pPr>
        <w:ind w:left="2509" w:hanging="360"/>
      </w:pPr>
    </w:lvl>
    <w:lvl w:ilvl="4" w:tplc="44090019" w:tentative="1">
      <w:start w:val="1"/>
      <w:numFmt w:val="lowerLetter"/>
      <w:lvlText w:val="%5."/>
      <w:lvlJc w:val="left"/>
      <w:pPr>
        <w:ind w:left="3229" w:hanging="360"/>
      </w:pPr>
    </w:lvl>
    <w:lvl w:ilvl="5" w:tplc="4409001B" w:tentative="1">
      <w:start w:val="1"/>
      <w:numFmt w:val="lowerRoman"/>
      <w:lvlText w:val="%6."/>
      <w:lvlJc w:val="right"/>
      <w:pPr>
        <w:ind w:left="3949" w:hanging="180"/>
      </w:pPr>
    </w:lvl>
    <w:lvl w:ilvl="6" w:tplc="4409000F" w:tentative="1">
      <w:start w:val="1"/>
      <w:numFmt w:val="decimal"/>
      <w:lvlText w:val="%7."/>
      <w:lvlJc w:val="left"/>
      <w:pPr>
        <w:ind w:left="4669" w:hanging="360"/>
      </w:pPr>
    </w:lvl>
    <w:lvl w:ilvl="7" w:tplc="44090019" w:tentative="1">
      <w:start w:val="1"/>
      <w:numFmt w:val="lowerLetter"/>
      <w:lvlText w:val="%8."/>
      <w:lvlJc w:val="left"/>
      <w:pPr>
        <w:ind w:left="5389" w:hanging="360"/>
      </w:pPr>
    </w:lvl>
    <w:lvl w:ilvl="8" w:tplc="4409001B" w:tentative="1">
      <w:start w:val="1"/>
      <w:numFmt w:val="lowerRoman"/>
      <w:lvlText w:val="%9."/>
      <w:lvlJc w:val="right"/>
      <w:pPr>
        <w:ind w:left="6109" w:hanging="180"/>
      </w:pPr>
    </w:lvl>
  </w:abstractNum>
  <w:abstractNum w:abstractNumId="22"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2"/>
  </w:num>
  <w:num w:numId="4">
    <w:abstractNumId w:val="5"/>
  </w:num>
  <w:num w:numId="5">
    <w:abstractNumId w:val="3"/>
  </w:num>
  <w:num w:numId="6">
    <w:abstractNumId w:val="17"/>
  </w:num>
  <w:num w:numId="7">
    <w:abstractNumId w:val="4"/>
  </w:num>
  <w:num w:numId="8">
    <w:abstractNumId w:val="2"/>
  </w:num>
  <w:num w:numId="9">
    <w:abstractNumId w:val="1"/>
  </w:num>
  <w:num w:numId="10">
    <w:abstractNumId w:val="7"/>
  </w:num>
  <w:num w:numId="11">
    <w:abstractNumId w:val="13"/>
  </w:num>
  <w:num w:numId="12">
    <w:abstractNumId w:val="20"/>
  </w:num>
  <w:num w:numId="13">
    <w:abstractNumId w:val="15"/>
  </w:num>
  <w:num w:numId="14">
    <w:abstractNumId w:val="8"/>
  </w:num>
  <w:num w:numId="15">
    <w:abstractNumId w:val="12"/>
  </w:num>
  <w:num w:numId="16">
    <w:abstractNumId w:val="16"/>
  </w:num>
  <w:num w:numId="17">
    <w:abstractNumId w:val="21"/>
  </w:num>
  <w:num w:numId="18">
    <w:abstractNumId w:val="9"/>
  </w:num>
  <w:num w:numId="19">
    <w:abstractNumId w:val="14"/>
  </w:num>
  <w:num w:numId="20">
    <w:abstractNumId w:val="6"/>
  </w:num>
  <w:num w:numId="21">
    <w:abstractNumId w:val="18"/>
  </w:num>
  <w:num w:numId="22">
    <w:abstractNumId w:val="0"/>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446"/>
    <w:rsid w:val="00031918"/>
    <w:rsid w:val="000329A6"/>
    <w:rsid w:val="00034C0C"/>
    <w:rsid w:val="000373B4"/>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8761E"/>
    <w:rsid w:val="00090933"/>
    <w:rsid w:val="00093BE8"/>
    <w:rsid w:val="00093FE2"/>
    <w:rsid w:val="0009471C"/>
    <w:rsid w:val="000A01B9"/>
    <w:rsid w:val="000A0C1B"/>
    <w:rsid w:val="000A1B04"/>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3F3"/>
    <w:rsid w:val="00100A77"/>
    <w:rsid w:val="00101707"/>
    <w:rsid w:val="00105CBD"/>
    <w:rsid w:val="001107F2"/>
    <w:rsid w:val="00110E0C"/>
    <w:rsid w:val="001131C6"/>
    <w:rsid w:val="0011473D"/>
    <w:rsid w:val="00115C85"/>
    <w:rsid w:val="001171AF"/>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B36"/>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02AF"/>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74859"/>
    <w:rsid w:val="00375DF7"/>
    <w:rsid w:val="0038255B"/>
    <w:rsid w:val="00382C98"/>
    <w:rsid w:val="0038325E"/>
    <w:rsid w:val="00384604"/>
    <w:rsid w:val="00384E3D"/>
    <w:rsid w:val="00385041"/>
    <w:rsid w:val="0038533C"/>
    <w:rsid w:val="003937B9"/>
    <w:rsid w:val="003948D5"/>
    <w:rsid w:val="003957FD"/>
    <w:rsid w:val="00396070"/>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4588"/>
    <w:rsid w:val="003F655E"/>
    <w:rsid w:val="003F74D9"/>
    <w:rsid w:val="00404EF7"/>
    <w:rsid w:val="00405DC1"/>
    <w:rsid w:val="00413E7D"/>
    <w:rsid w:val="00414BF9"/>
    <w:rsid w:val="00415DFF"/>
    <w:rsid w:val="00415F1F"/>
    <w:rsid w:val="0042108F"/>
    <w:rsid w:val="004214D4"/>
    <w:rsid w:val="00424B5B"/>
    <w:rsid w:val="0042612E"/>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4DF"/>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08EC"/>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5D86"/>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4C19"/>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05D5"/>
    <w:rsid w:val="005E1B79"/>
    <w:rsid w:val="005E1EA8"/>
    <w:rsid w:val="005E605E"/>
    <w:rsid w:val="005E645E"/>
    <w:rsid w:val="005F026D"/>
    <w:rsid w:val="005F244F"/>
    <w:rsid w:val="005F2D0B"/>
    <w:rsid w:val="005F453F"/>
    <w:rsid w:val="005F4B31"/>
    <w:rsid w:val="005F53FD"/>
    <w:rsid w:val="005F5449"/>
    <w:rsid w:val="005F6059"/>
    <w:rsid w:val="0060397D"/>
    <w:rsid w:val="00610388"/>
    <w:rsid w:val="00612092"/>
    <w:rsid w:val="00612CA5"/>
    <w:rsid w:val="006153EC"/>
    <w:rsid w:val="00617391"/>
    <w:rsid w:val="00621A17"/>
    <w:rsid w:val="00627CC9"/>
    <w:rsid w:val="00627E7B"/>
    <w:rsid w:val="00630542"/>
    <w:rsid w:val="00630727"/>
    <w:rsid w:val="00631E7B"/>
    <w:rsid w:val="00632E44"/>
    <w:rsid w:val="0063316D"/>
    <w:rsid w:val="00633DC9"/>
    <w:rsid w:val="00634622"/>
    <w:rsid w:val="00636808"/>
    <w:rsid w:val="0064043F"/>
    <w:rsid w:val="00641515"/>
    <w:rsid w:val="00641925"/>
    <w:rsid w:val="00643ABE"/>
    <w:rsid w:val="006521CD"/>
    <w:rsid w:val="00652A22"/>
    <w:rsid w:val="00653584"/>
    <w:rsid w:val="00654C2F"/>
    <w:rsid w:val="00655438"/>
    <w:rsid w:val="00657087"/>
    <w:rsid w:val="0065715A"/>
    <w:rsid w:val="006605B5"/>
    <w:rsid w:val="006661EF"/>
    <w:rsid w:val="006746CB"/>
    <w:rsid w:val="00677AEB"/>
    <w:rsid w:val="00680EF2"/>
    <w:rsid w:val="00682A3E"/>
    <w:rsid w:val="006850AE"/>
    <w:rsid w:val="00686C53"/>
    <w:rsid w:val="00687A1D"/>
    <w:rsid w:val="00697EA1"/>
    <w:rsid w:val="006A2646"/>
    <w:rsid w:val="006A3675"/>
    <w:rsid w:val="006A6530"/>
    <w:rsid w:val="006A695F"/>
    <w:rsid w:val="006A6D1D"/>
    <w:rsid w:val="006B2893"/>
    <w:rsid w:val="006B435A"/>
    <w:rsid w:val="006B4C64"/>
    <w:rsid w:val="006B5AE8"/>
    <w:rsid w:val="006D0529"/>
    <w:rsid w:val="006D564C"/>
    <w:rsid w:val="006D6BD5"/>
    <w:rsid w:val="006E13B6"/>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14ED7"/>
    <w:rsid w:val="00721383"/>
    <w:rsid w:val="007216AD"/>
    <w:rsid w:val="00726E9A"/>
    <w:rsid w:val="00727864"/>
    <w:rsid w:val="007333CC"/>
    <w:rsid w:val="007335D8"/>
    <w:rsid w:val="0073399A"/>
    <w:rsid w:val="007369C7"/>
    <w:rsid w:val="00743531"/>
    <w:rsid w:val="007462D9"/>
    <w:rsid w:val="00751986"/>
    <w:rsid w:val="0075428A"/>
    <w:rsid w:val="00755223"/>
    <w:rsid w:val="00756ABD"/>
    <w:rsid w:val="007576A3"/>
    <w:rsid w:val="00757739"/>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099"/>
    <w:rsid w:val="00852883"/>
    <w:rsid w:val="00852F37"/>
    <w:rsid w:val="008571F6"/>
    <w:rsid w:val="00861E51"/>
    <w:rsid w:val="00870B96"/>
    <w:rsid w:val="008723F3"/>
    <w:rsid w:val="00873246"/>
    <w:rsid w:val="00875E2E"/>
    <w:rsid w:val="00880F99"/>
    <w:rsid w:val="00881DA8"/>
    <w:rsid w:val="00881DE6"/>
    <w:rsid w:val="008837A6"/>
    <w:rsid w:val="008875E2"/>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47C7"/>
    <w:rsid w:val="008C66E0"/>
    <w:rsid w:val="008C6E31"/>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47218"/>
    <w:rsid w:val="0095029B"/>
    <w:rsid w:val="0095207B"/>
    <w:rsid w:val="00952BD2"/>
    <w:rsid w:val="009533CB"/>
    <w:rsid w:val="00953B5C"/>
    <w:rsid w:val="0095526F"/>
    <w:rsid w:val="00955CE0"/>
    <w:rsid w:val="00956141"/>
    <w:rsid w:val="009609CA"/>
    <w:rsid w:val="00962045"/>
    <w:rsid w:val="00966E44"/>
    <w:rsid w:val="00967E0A"/>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21A0"/>
    <w:rsid w:val="00A46B4C"/>
    <w:rsid w:val="00A5117B"/>
    <w:rsid w:val="00A560B6"/>
    <w:rsid w:val="00A56CF7"/>
    <w:rsid w:val="00A56DBC"/>
    <w:rsid w:val="00A60074"/>
    <w:rsid w:val="00A646E2"/>
    <w:rsid w:val="00A651A9"/>
    <w:rsid w:val="00A6627C"/>
    <w:rsid w:val="00A71019"/>
    <w:rsid w:val="00A750C9"/>
    <w:rsid w:val="00A81029"/>
    <w:rsid w:val="00A82AFB"/>
    <w:rsid w:val="00A8485D"/>
    <w:rsid w:val="00A865EB"/>
    <w:rsid w:val="00A96062"/>
    <w:rsid w:val="00A96489"/>
    <w:rsid w:val="00A96BB0"/>
    <w:rsid w:val="00A97D88"/>
    <w:rsid w:val="00AA0E39"/>
    <w:rsid w:val="00AA23CE"/>
    <w:rsid w:val="00AA5A58"/>
    <w:rsid w:val="00AA5E70"/>
    <w:rsid w:val="00AA670C"/>
    <w:rsid w:val="00AB5A37"/>
    <w:rsid w:val="00AB61D6"/>
    <w:rsid w:val="00AB685C"/>
    <w:rsid w:val="00AB6C2D"/>
    <w:rsid w:val="00AC08F7"/>
    <w:rsid w:val="00AC10BB"/>
    <w:rsid w:val="00AC126D"/>
    <w:rsid w:val="00AC3839"/>
    <w:rsid w:val="00AC7082"/>
    <w:rsid w:val="00AD0662"/>
    <w:rsid w:val="00AD1B6B"/>
    <w:rsid w:val="00AD74AD"/>
    <w:rsid w:val="00AE027F"/>
    <w:rsid w:val="00AF228E"/>
    <w:rsid w:val="00AF34D9"/>
    <w:rsid w:val="00AF455B"/>
    <w:rsid w:val="00B0123F"/>
    <w:rsid w:val="00B04004"/>
    <w:rsid w:val="00B14819"/>
    <w:rsid w:val="00B17AA9"/>
    <w:rsid w:val="00B20D72"/>
    <w:rsid w:val="00B221FF"/>
    <w:rsid w:val="00B26B31"/>
    <w:rsid w:val="00B30A70"/>
    <w:rsid w:val="00B32674"/>
    <w:rsid w:val="00B333FE"/>
    <w:rsid w:val="00B3503B"/>
    <w:rsid w:val="00B378FA"/>
    <w:rsid w:val="00B42352"/>
    <w:rsid w:val="00B427A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186B"/>
    <w:rsid w:val="00B82586"/>
    <w:rsid w:val="00B829A3"/>
    <w:rsid w:val="00B86537"/>
    <w:rsid w:val="00B86DB1"/>
    <w:rsid w:val="00B87869"/>
    <w:rsid w:val="00B87A61"/>
    <w:rsid w:val="00B92D5B"/>
    <w:rsid w:val="00B9417E"/>
    <w:rsid w:val="00BA0919"/>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146A"/>
    <w:rsid w:val="00C15A16"/>
    <w:rsid w:val="00C1724E"/>
    <w:rsid w:val="00C20AFE"/>
    <w:rsid w:val="00C22A25"/>
    <w:rsid w:val="00C26E4B"/>
    <w:rsid w:val="00C27132"/>
    <w:rsid w:val="00C31102"/>
    <w:rsid w:val="00C324B4"/>
    <w:rsid w:val="00C33437"/>
    <w:rsid w:val="00C33C84"/>
    <w:rsid w:val="00C3453F"/>
    <w:rsid w:val="00C34A50"/>
    <w:rsid w:val="00C35026"/>
    <w:rsid w:val="00C35671"/>
    <w:rsid w:val="00C35B77"/>
    <w:rsid w:val="00C376EB"/>
    <w:rsid w:val="00C4187E"/>
    <w:rsid w:val="00C444EC"/>
    <w:rsid w:val="00C45A03"/>
    <w:rsid w:val="00C46EC1"/>
    <w:rsid w:val="00C50F86"/>
    <w:rsid w:val="00C51E83"/>
    <w:rsid w:val="00C53E2C"/>
    <w:rsid w:val="00C550C8"/>
    <w:rsid w:val="00C56B61"/>
    <w:rsid w:val="00C570AC"/>
    <w:rsid w:val="00C5730D"/>
    <w:rsid w:val="00C60631"/>
    <w:rsid w:val="00C606C3"/>
    <w:rsid w:val="00C620F4"/>
    <w:rsid w:val="00C629CB"/>
    <w:rsid w:val="00C678CF"/>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2F9"/>
    <w:rsid w:val="00CD4998"/>
    <w:rsid w:val="00CE1035"/>
    <w:rsid w:val="00CE62CA"/>
    <w:rsid w:val="00CF2819"/>
    <w:rsid w:val="00CF294B"/>
    <w:rsid w:val="00CF46ED"/>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4EDD"/>
    <w:rsid w:val="00D57C59"/>
    <w:rsid w:val="00D60215"/>
    <w:rsid w:val="00D60874"/>
    <w:rsid w:val="00D63EFD"/>
    <w:rsid w:val="00D6588F"/>
    <w:rsid w:val="00D676F1"/>
    <w:rsid w:val="00D714E4"/>
    <w:rsid w:val="00D82560"/>
    <w:rsid w:val="00D84752"/>
    <w:rsid w:val="00D86A74"/>
    <w:rsid w:val="00D86B3B"/>
    <w:rsid w:val="00D8748A"/>
    <w:rsid w:val="00D905E4"/>
    <w:rsid w:val="00D93196"/>
    <w:rsid w:val="00D931A2"/>
    <w:rsid w:val="00DA42EF"/>
    <w:rsid w:val="00DB243C"/>
    <w:rsid w:val="00DB4184"/>
    <w:rsid w:val="00DB482A"/>
    <w:rsid w:val="00DB56F2"/>
    <w:rsid w:val="00DB5D9B"/>
    <w:rsid w:val="00DB6EF5"/>
    <w:rsid w:val="00DC2A3F"/>
    <w:rsid w:val="00DC2BEC"/>
    <w:rsid w:val="00DC2FDB"/>
    <w:rsid w:val="00DC3089"/>
    <w:rsid w:val="00DC4420"/>
    <w:rsid w:val="00DC509B"/>
    <w:rsid w:val="00DC6681"/>
    <w:rsid w:val="00DD01DA"/>
    <w:rsid w:val="00DD0802"/>
    <w:rsid w:val="00DD19C6"/>
    <w:rsid w:val="00DD2E11"/>
    <w:rsid w:val="00DD4E68"/>
    <w:rsid w:val="00DD59B5"/>
    <w:rsid w:val="00DD6923"/>
    <w:rsid w:val="00DD7AD7"/>
    <w:rsid w:val="00DE03AF"/>
    <w:rsid w:val="00DE04B0"/>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56705"/>
    <w:rsid w:val="00E6211B"/>
    <w:rsid w:val="00E6302B"/>
    <w:rsid w:val="00E6452F"/>
    <w:rsid w:val="00E64F45"/>
    <w:rsid w:val="00E6742D"/>
    <w:rsid w:val="00E71CB0"/>
    <w:rsid w:val="00E7370D"/>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5931"/>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5660"/>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69F"/>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0A2C"/>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B427A2"/>
    <w:pPr>
      <w:keepNext/>
      <w:jc w:val="both"/>
      <w:outlineLvl w:val="0"/>
    </w:pPr>
    <w:rPr>
      <w:rFonts w:ascii="Arial" w:hAnsi="Arial" w:cs="Arial"/>
      <w:b/>
      <w:i/>
      <w:color w:val="7B7B7B" w:themeColor="accent3" w:themeShade="BF"/>
      <w:sz w:val="22"/>
      <w:szCs w:val="22"/>
      <w:lang w:val="en-GB"/>
    </w:rPr>
  </w:style>
  <w:style w:type="paragraph" w:styleId="Heading2">
    <w:name w:val="heading 2"/>
    <w:basedOn w:val="Normal"/>
    <w:next w:val="Normal"/>
    <w:link w:val="Heading2Char"/>
    <w:uiPriority w:val="9"/>
    <w:unhideWhenUsed/>
    <w:qFormat/>
    <w:rsid w:val="00180B36"/>
    <w:pPr>
      <w:keepNext/>
      <w:jc w:val="both"/>
      <w:outlineLvl w:val="1"/>
    </w:pPr>
    <w:rPr>
      <w:rFonts w:ascii="Arial" w:hAnsi="Arial" w:cs="Arial"/>
      <w:b/>
      <w:i/>
      <w:color w:val="7B7B7B" w:themeColor="accent3" w:themeShade="BF"/>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styleId="BodyTextIndent">
    <w:name w:val="Body Text Indent"/>
    <w:basedOn w:val="Normal"/>
    <w:link w:val="BodyTextIndentChar"/>
    <w:uiPriority w:val="99"/>
    <w:unhideWhenUsed/>
    <w:rsid w:val="00CD42F9"/>
    <w:pPr>
      <w:ind w:hanging="11"/>
      <w:jc w:val="both"/>
    </w:pPr>
    <w:rPr>
      <w:rFonts w:ascii="Arial" w:hAnsi="Arial" w:cs="Arial"/>
      <w:color w:val="7B7B7B" w:themeColor="accent3" w:themeShade="BF"/>
      <w:sz w:val="22"/>
      <w:szCs w:val="22"/>
      <w:lang w:val="en-GB"/>
    </w:rPr>
  </w:style>
  <w:style w:type="character" w:customStyle="1" w:styleId="BodyTextIndentChar">
    <w:name w:val="Body Text Indent Char"/>
    <w:basedOn w:val="DefaultParagraphFont"/>
    <w:link w:val="BodyTextIndent"/>
    <w:uiPriority w:val="99"/>
    <w:rsid w:val="00CD42F9"/>
    <w:rPr>
      <w:rFonts w:ascii="Arial" w:eastAsia="Times New Roman" w:hAnsi="Arial" w:cs="Arial"/>
      <w:color w:val="7B7B7B" w:themeColor="accent3" w:themeShade="BF"/>
      <w:sz w:val="22"/>
      <w:szCs w:val="22"/>
      <w:lang w:val="en-GB"/>
    </w:rPr>
  </w:style>
  <w:style w:type="paragraph" w:styleId="BodyText">
    <w:name w:val="Body Text"/>
    <w:basedOn w:val="Normal"/>
    <w:link w:val="BodyTextChar"/>
    <w:uiPriority w:val="99"/>
    <w:unhideWhenUsed/>
    <w:rsid w:val="00B20D72"/>
    <w:pPr>
      <w:jc w:val="both"/>
    </w:pPr>
    <w:rPr>
      <w:rFonts w:ascii="Arial" w:hAnsi="Arial" w:cs="Arial"/>
      <w:color w:val="7B7B7B" w:themeColor="accent3" w:themeShade="BF"/>
      <w:sz w:val="22"/>
      <w:szCs w:val="22"/>
      <w:lang w:val="en-GB"/>
    </w:rPr>
  </w:style>
  <w:style w:type="character" w:customStyle="1" w:styleId="BodyTextChar">
    <w:name w:val="Body Text Char"/>
    <w:basedOn w:val="DefaultParagraphFont"/>
    <w:link w:val="BodyText"/>
    <w:uiPriority w:val="99"/>
    <w:rsid w:val="00B20D72"/>
    <w:rPr>
      <w:rFonts w:ascii="Arial" w:eastAsia="Times New Roman" w:hAnsi="Arial" w:cs="Arial"/>
      <w:color w:val="7B7B7B" w:themeColor="accent3" w:themeShade="BF"/>
      <w:sz w:val="22"/>
      <w:szCs w:val="22"/>
      <w:lang w:val="en-GB"/>
    </w:rPr>
  </w:style>
  <w:style w:type="character" w:customStyle="1" w:styleId="Heading1Char">
    <w:name w:val="Heading 1 Char"/>
    <w:basedOn w:val="DefaultParagraphFont"/>
    <w:link w:val="Heading1"/>
    <w:uiPriority w:val="9"/>
    <w:rsid w:val="00B427A2"/>
    <w:rPr>
      <w:rFonts w:ascii="Arial" w:eastAsia="Times New Roman" w:hAnsi="Arial" w:cs="Arial"/>
      <w:b/>
      <w:i/>
      <w:color w:val="7B7B7B" w:themeColor="accent3" w:themeShade="BF"/>
      <w:sz w:val="22"/>
      <w:szCs w:val="22"/>
      <w:lang w:val="en-GB"/>
    </w:rPr>
  </w:style>
  <w:style w:type="character" w:customStyle="1" w:styleId="Heading2Char">
    <w:name w:val="Heading 2 Char"/>
    <w:basedOn w:val="DefaultParagraphFont"/>
    <w:link w:val="Heading2"/>
    <w:uiPriority w:val="9"/>
    <w:rsid w:val="00180B36"/>
    <w:rPr>
      <w:rFonts w:ascii="Arial" w:eastAsia="Times New Roman" w:hAnsi="Arial" w:cs="Arial"/>
      <w:b/>
      <w:i/>
      <w:color w:val="7B7B7B" w:themeColor="accent3" w:themeShade="BF"/>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5097316-57EC-482F-AC30-A915F960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6694</TotalTime>
  <Pages>13</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Lay Kei Een</cp:lastModifiedBy>
  <cp:revision>58</cp:revision>
  <cp:lastPrinted>2020-06-12T02:43:00Z</cp:lastPrinted>
  <dcterms:created xsi:type="dcterms:W3CDTF">2021-08-03T16:38:00Z</dcterms:created>
  <dcterms:modified xsi:type="dcterms:W3CDTF">2021-11-15T08:07:00Z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