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0D0C16" w:rsidRDefault="00C60631" w:rsidP="009D510C">
      <w:pPr>
        <w:pStyle w:val="ListParagraph"/>
        <w:numPr>
          <w:ilvl w:val="0"/>
          <w:numId w:val="12"/>
        </w:numPr>
        <w:ind w:left="426"/>
        <w:jc w:val="both"/>
        <w:rPr>
          <w:rFonts w:ascii="Arial" w:hAnsi="Arial" w:cs="Arial"/>
          <w:sz w:val="22"/>
          <w:szCs w:val="22"/>
          <w:highlight w:val="yellow"/>
          <w:lang w:val="en-GB"/>
        </w:rPr>
      </w:pPr>
      <w:r w:rsidRPr="000D0C16">
        <w:rPr>
          <w:rFonts w:ascii="Arial" w:hAnsi="Arial" w:cs="Arial"/>
          <w:sz w:val="22"/>
          <w:szCs w:val="22"/>
          <w:highlight w:val="yellow"/>
          <w:lang w:val="en-GB"/>
        </w:rPr>
        <w:t xml:space="preserve">This statement is incorrect since </w:t>
      </w:r>
      <w:r w:rsidR="00E7793C" w:rsidRPr="000D0C16">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9B64C9" w:rsidRDefault="00AE027F" w:rsidP="009D510C">
      <w:pPr>
        <w:pStyle w:val="ListParagraph"/>
        <w:numPr>
          <w:ilvl w:val="0"/>
          <w:numId w:val="13"/>
        </w:numPr>
        <w:jc w:val="both"/>
        <w:rPr>
          <w:rFonts w:ascii="Arial" w:hAnsi="Arial" w:cs="Arial"/>
          <w:sz w:val="22"/>
          <w:szCs w:val="22"/>
          <w:highlight w:val="yellow"/>
          <w:lang w:val="en-GB"/>
        </w:rPr>
      </w:pPr>
      <w:r w:rsidRPr="009B64C9">
        <w:rPr>
          <w:rFonts w:ascii="Arial" w:hAnsi="Arial" w:cs="Arial"/>
          <w:sz w:val="22"/>
          <w:szCs w:val="22"/>
          <w:highlight w:val="yellow"/>
          <w:lang w:val="en-GB"/>
        </w:rPr>
        <w:t>The statement i</w:t>
      </w:r>
      <w:r w:rsidR="006E77B0" w:rsidRPr="009B64C9">
        <w:rPr>
          <w:rFonts w:ascii="Arial" w:hAnsi="Arial" w:cs="Arial"/>
          <w:sz w:val="22"/>
          <w:szCs w:val="22"/>
          <w:highlight w:val="yellow"/>
          <w:lang w:val="en-GB"/>
        </w:rPr>
        <w:t>s incorrect since the UK did re</w:t>
      </w:r>
      <w:r w:rsidRPr="009B64C9">
        <w:rPr>
          <w:rFonts w:ascii="Arial" w:hAnsi="Arial" w:cs="Arial"/>
          <w:sz w:val="22"/>
          <w:szCs w:val="22"/>
          <w:highlight w:val="yellow"/>
          <w:lang w:val="en-GB"/>
        </w:rPr>
        <w:t>v</w:t>
      </w:r>
      <w:r w:rsidR="006E77B0" w:rsidRPr="009B64C9">
        <w:rPr>
          <w:rFonts w:ascii="Arial" w:hAnsi="Arial" w:cs="Arial"/>
          <w:sz w:val="22"/>
          <w:szCs w:val="22"/>
          <w:highlight w:val="yellow"/>
          <w:lang w:val="en-GB"/>
        </w:rPr>
        <w:t>i</w:t>
      </w:r>
      <w:r w:rsidRPr="009B64C9">
        <w:rPr>
          <w:rFonts w:ascii="Arial" w:hAnsi="Arial" w:cs="Arial"/>
          <w:sz w:val="22"/>
          <w:szCs w:val="22"/>
          <w:highlight w:val="yellow"/>
          <w:lang w:val="en-GB"/>
        </w:rPr>
        <w:t>ew parts of its insolvency rules and amended some, among</w:t>
      </w:r>
      <w:r w:rsidR="006E77B0" w:rsidRPr="009B64C9">
        <w:rPr>
          <w:rFonts w:ascii="Arial" w:hAnsi="Arial" w:cs="Arial"/>
          <w:sz w:val="22"/>
          <w:szCs w:val="22"/>
          <w:highlight w:val="yellow"/>
          <w:lang w:val="en-GB"/>
        </w:rPr>
        <w:t>s</w:t>
      </w:r>
      <w:r w:rsidRPr="009B64C9">
        <w:rPr>
          <w:rFonts w:ascii="Arial" w:hAnsi="Arial" w:cs="Arial"/>
          <w:sz w:val="22"/>
          <w:szCs w:val="22"/>
          <w:highlight w:val="yellow"/>
          <w:lang w:val="en-GB"/>
        </w:rPr>
        <w:t>t other</w:t>
      </w:r>
      <w:r w:rsidR="00F96AF1" w:rsidRPr="009B64C9">
        <w:rPr>
          <w:rFonts w:ascii="Arial" w:hAnsi="Arial" w:cs="Arial"/>
          <w:sz w:val="22"/>
          <w:szCs w:val="22"/>
          <w:highlight w:val="yellow"/>
          <w:lang w:val="en-GB"/>
        </w:rPr>
        <w:t xml:space="preserve"> things</w:t>
      </w:r>
      <w:r w:rsidRPr="009B64C9">
        <w:rPr>
          <w:rFonts w:ascii="Arial" w:hAnsi="Arial" w:cs="Arial"/>
          <w:sz w:val="22"/>
          <w:szCs w:val="22"/>
          <w:highlight w:val="yellow"/>
          <w:lang w:val="en-GB"/>
        </w:rPr>
        <w:t>, to deal with the negative economic fall out of the pandemic.</w:t>
      </w:r>
      <w:r w:rsidR="00100A77" w:rsidRPr="009B64C9">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9B64C9" w:rsidRDefault="00B54F90" w:rsidP="009D510C">
      <w:pPr>
        <w:pStyle w:val="ListParagraph"/>
        <w:numPr>
          <w:ilvl w:val="0"/>
          <w:numId w:val="14"/>
        </w:numPr>
        <w:ind w:left="426"/>
        <w:jc w:val="both"/>
        <w:rPr>
          <w:rFonts w:ascii="Arial" w:hAnsi="Arial" w:cs="Arial"/>
          <w:sz w:val="22"/>
          <w:szCs w:val="22"/>
          <w:highlight w:val="yellow"/>
          <w:lang w:val="en-GB"/>
        </w:rPr>
      </w:pPr>
      <w:r w:rsidRPr="009B64C9">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9B64C9">
        <w:rPr>
          <w:rFonts w:ascii="Arial" w:hAnsi="Arial" w:cs="Arial"/>
          <w:sz w:val="22"/>
          <w:szCs w:val="22"/>
          <w:highlight w:val="yellow"/>
          <w:lang w:val="en-GB"/>
        </w:rPr>
        <w:t xml:space="preserve">on </w:t>
      </w:r>
      <w:r w:rsidRPr="009B64C9">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9B64C9"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9B64C9">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0D0C16" w:rsidRDefault="00926D10" w:rsidP="009D510C">
      <w:pPr>
        <w:pStyle w:val="ListParagraph"/>
        <w:numPr>
          <w:ilvl w:val="0"/>
          <w:numId w:val="5"/>
        </w:numPr>
        <w:ind w:left="426"/>
        <w:jc w:val="both"/>
        <w:rPr>
          <w:rFonts w:ascii="Arial" w:hAnsi="Arial" w:cs="Arial"/>
          <w:sz w:val="22"/>
          <w:szCs w:val="22"/>
          <w:highlight w:val="yellow"/>
          <w:lang w:val="en-GB"/>
        </w:rPr>
      </w:pPr>
      <w:r w:rsidRPr="000D0C16">
        <w:rPr>
          <w:rFonts w:ascii="Arial" w:hAnsi="Arial" w:cs="Arial"/>
          <w:sz w:val="22"/>
          <w:szCs w:val="22"/>
          <w:highlight w:val="yellow"/>
          <w:lang w:val="en-GB"/>
        </w:rPr>
        <w:t xml:space="preserve">The statement is </w:t>
      </w:r>
      <w:r w:rsidR="006E1CB0" w:rsidRPr="000D0C16">
        <w:rPr>
          <w:rFonts w:ascii="Arial" w:hAnsi="Arial" w:cs="Arial"/>
          <w:sz w:val="22"/>
          <w:szCs w:val="22"/>
          <w:highlight w:val="yellow"/>
          <w:lang w:val="en-GB"/>
        </w:rPr>
        <w:t xml:space="preserve">not </w:t>
      </w:r>
      <w:r w:rsidRPr="000D0C16">
        <w:rPr>
          <w:rFonts w:ascii="Arial" w:hAnsi="Arial" w:cs="Arial"/>
          <w:sz w:val="22"/>
          <w:szCs w:val="22"/>
          <w:highlight w:val="yellow"/>
          <w:lang w:val="en-GB"/>
        </w:rPr>
        <w:t xml:space="preserve">correct </w:t>
      </w:r>
      <w:r w:rsidR="007958F0" w:rsidRPr="000D0C16">
        <w:rPr>
          <w:rFonts w:ascii="Arial" w:hAnsi="Arial" w:cs="Arial"/>
          <w:sz w:val="22"/>
          <w:szCs w:val="22"/>
          <w:highlight w:val="yellow"/>
          <w:lang w:val="en-GB"/>
        </w:rPr>
        <w:t>because</w:t>
      </w:r>
      <w:r w:rsidRPr="000D0C16">
        <w:rPr>
          <w:rFonts w:ascii="Arial" w:hAnsi="Arial" w:cs="Arial"/>
          <w:sz w:val="22"/>
          <w:szCs w:val="22"/>
          <w:highlight w:val="yellow"/>
          <w:lang w:val="en-GB"/>
        </w:rPr>
        <w:t xml:space="preserve"> very few </w:t>
      </w:r>
      <w:r w:rsidR="007958F0" w:rsidRPr="000D0C16">
        <w:rPr>
          <w:rFonts w:ascii="Arial" w:hAnsi="Arial" w:cs="Arial"/>
          <w:sz w:val="22"/>
          <w:szCs w:val="22"/>
          <w:highlight w:val="yellow"/>
          <w:lang w:val="en-GB"/>
        </w:rPr>
        <w:t>States</w:t>
      </w:r>
      <w:r w:rsidRPr="000D0C16">
        <w:rPr>
          <w:rFonts w:ascii="Arial" w:hAnsi="Arial" w:cs="Arial"/>
          <w:sz w:val="22"/>
          <w:szCs w:val="22"/>
          <w:highlight w:val="yellow"/>
          <w:lang w:val="en-GB"/>
        </w:rPr>
        <w:t xml:space="preserve"> allow insolvent estate representatives to deal with assets of a foreign debtor situated in </w:t>
      </w:r>
      <w:r w:rsidR="005936B3" w:rsidRPr="000D0C16">
        <w:rPr>
          <w:rFonts w:ascii="Arial" w:hAnsi="Arial" w:cs="Arial"/>
          <w:sz w:val="22"/>
          <w:szCs w:val="22"/>
          <w:highlight w:val="yellow"/>
          <w:lang w:val="en-GB"/>
        </w:rPr>
        <w:t>their own</w:t>
      </w:r>
      <w:r w:rsidRPr="000D0C16">
        <w:rPr>
          <w:rFonts w:ascii="Arial" w:hAnsi="Arial" w:cs="Arial"/>
          <w:sz w:val="22"/>
          <w:szCs w:val="22"/>
          <w:highlight w:val="yellow"/>
          <w:lang w:val="en-GB"/>
        </w:rPr>
        <w:t xml:space="preserve"> jurisdiction without </w:t>
      </w:r>
      <w:r w:rsidR="006E1CB0" w:rsidRPr="000D0C16">
        <w:rPr>
          <w:rFonts w:ascii="Arial" w:hAnsi="Arial" w:cs="Arial"/>
          <w:sz w:val="22"/>
          <w:szCs w:val="22"/>
          <w:highlight w:val="yellow"/>
          <w:lang w:val="en-GB"/>
        </w:rPr>
        <w:t xml:space="preserve">some form of </w:t>
      </w:r>
      <w:r w:rsidR="0090037B" w:rsidRPr="000D0C16">
        <w:rPr>
          <w:rFonts w:ascii="Arial" w:hAnsi="Arial" w:cs="Arial"/>
          <w:sz w:val="22"/>
          <w:szCs w:val="22"/>
          <w:highlight w:val="yellow"/>
          <w:lang w:val="en-GB"/>
        </w:rPr>
        <w:t xml:space="preserve">a </w:t>
      </w:r>
      <w:r w:rsidR="006E1CB0" w:rsidRPr="000D0C16">
        <w:rPr>
          <w:rFonts w:ascii="Arial" w:hAnsi="Arial" w:cs="Arial"/>
          <w:sz w:val="22"/>
          <w:szCs w:val="22"/>
          <w:highlight w:val="yellow"/>
          <w:lang w:val="en-GB"/>
        </w:rPr>
        <w:t>(</w:t>
      </w:r>
      <w:r w:rsidR="0090037B" w:rsidRPr="000D0C16">
        <w:rPr>
          <w:rFonts w:ascii="Arial" w:hAnsi="Arial" w:cs="Arial"/>
          <w:sz w:val="22"/>
          <w:szCs w:val="22"/>
          <w:highlight w:val="yellow"/>
          <w:lang w:val="en-GB"/>
        </w:rPr>
        <w:t>prior</w:t>
      </w:r>
      <w:r w:rsidR="006E1CB0" w:rsidRPr="000D0C16">
        <w:rPr>
          <w:rFonts w:ascii="Arial" w:hAnsi="Arial" w:cs="Arial"/>
          <w:sz w:val="22"/>
          <w:szCs w:val="22"/>
          <w:highlight w:val="yellow"/>
          <w:lang w:val="en-GB"/>
        </w:rPr>
        <w:t>)</w:t>
      </w:r>
      <w:r w:rsidRPr="000D0C16">
        <w:rPr>
          <w:rFonts w:ascii="Arial" w:hAnsi="Arial" w:cs="Arial"/>
          <w:sz w:val="22"/>
          <w:szCs w:val="22"/>
          <w:highlight w:val="yellow"/>
          <w:lang w:val="en-GB"/>
        </w:rPr>
        <w:t xml:space="preserve"> local procedure </w:t>
      </w:r>
      <w:r w:rsidR="005936B3" w:rsidRPr="000D0C16">
        <w:rPr>
          <w:rFonts w:ascii="Arial" w:hAnsi="Arial" w:cs="Arial"/>
          <w:sz w:val="22"/>
          <w:szCs w:val="22"/>
          <w:highlight w:val="yellow"/>
          <w:lang w:val="en-GB"/>
        </w:rPr>
        <w:t xml:space="preserve">to </w:t>
      </w:r>
      <w:r w:rsidRPr="000D0C16">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9B64C9" w:rsidRDefault="000329A6" w:rsidP="00C570AC">
      <w:pPr>
        <w:pStyle w:val="ListParagraph"/>
        <w:numPr>
          <w:ilvl w:val="0"/>
          <w:numId w:val="6"/>
        </w:numPr>
        <w:ind w:left="426"/>
        <w:jc w:val="both"/>
        <w:rPr>
          <w:rFonts w:ascii="Arial" w:hAnsi="Arial" w:cs="Arial"/>
          <w:sz w:val="22"/>
          <w:szCs w:val="22"/>
          <w:highlight w:val="yellow"/>
          <w:lang w:val="en-GB"/>
        </w:rPr>
      </w:pPr>
      <w:r w:rsidRPr="009B64C9">
        <w:rPr>
          <w:rFonts w:ascii="Arial" w:eastAsiaTheme="minorHAnsi" w:hAnsi="Arial" w:cs="Arial"/>
          <w:sz w:val="22"/>
          <w:szCs w:val="22"/>
          <w:highlight w:val="yellow"/>
          <w:lang w:val="en-GB"/>
        </w:rPr>
        <w:t xml:space="preserve">They were recently revised in 2021 and, together with the </w:t>
      </w:r>
      <w:r w:rsidRPr="009B64C9">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9B64C9"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9B64C9">
        <w:rPr>
          <w:rFonts w:ascii="Arial" w:eastAsiaTheme="minorHAnsi" w:hAnsi="Arial" w:cs="Arial"/>
          <w:sz w:val="22"/>
          <w:szCs w:val="22"/>
          <w:highlight w:val="yellow"/>
          <w:lang w:val="en-GB"/>
        </w:rPr>
        <w:t xml:space="preserve">The Nordic Convention </w:t>
      </w:r>
      <w:r w:rsidR="00076483" w:rsidRPr="009B64C9">
        <w:rPr>
          <w:rFonts w:ascii="Arial" w:eastAsiaTheme="minorHAnsi" w:hAnsi="Arial" w:cs="Arial"/>
          <w:sz w:val="22"/>
          <w:szCs w:val="22"/>
          <w:highlight w:val="yellow"/>
          <w:lang w:val="en-GB"/>
        </w:rPr>
        <w:t>1933</w:t>
      </w:r>
      <w:r w:rsidR="00966E44" w:rsidRPr="009B64C9">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9B64C9" w:rsidRDefault="00124B70" w:rsidP="00275182">
      <w:pPr>
        <w:pStyle w:val="ListParagraph"/>
        <w:numPr>
          <w:ilvl w:val="0"/>
          <w:numId w:val="8"/>
        </w:numPr>
        <w:ind w:left="426"/>
        <w:jc w:val="both"/>
        <w:rPr>
          <w:rFonts w:ascii="Arial" w:hAnsi="Arial" w:cs="Arial"/>
          <w:sz w:val="22"/>
          <w:szCs w:val="22"/>
          <w:highlight w:val="yellow"/>
          <w:lang w:val="en-GB"/>
        </w:rPr>
      </w:pPr>
      <w:r w:rsidRPr="009B64C9">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9B64C9" w:rsidRDefault="00E86549" w:rsidP="00275182">
      <w:pPr>
        <w:pStyle w:val="ListParagraph"/>
        <w:numPr>
          <w:ilvl w:val="0"/>
          <w:numId w:val="9"/>
        </w:numPr>
        <w:ind w:left="426"/>
        <w:jc w:val="both"/>
        <w:rPr>
          <w:rFonts w:ascii="Arial" w:hAnsi="Arial" w:cs="Arial"/>
          <w:bCs/>
          <w:sz w:val="22"/>
          <w:szCs w:val="22"/>
          <w:highlight w:val="yellow"/>
          <w:lang w:val="en-GB"/>
        </w:rPr>
      </w:pPr>
      <w:r w:rsidRPr="009B64C9">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9B64C9">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9B64C9" w:rsidRDefault="00911C23" w:rsidP="00275182">
      <w:pPr>
        <w:pStyle w:val="ListParagraph"/>
        <w:numPr>
          <w:ilvl w:val="0"/>
          <w:numId w:val="10"/>
        </w:numPr>
        <w:ind w:left="426"/>
        <w:jc w:val="both"/>
        <w:rPr>
          <w:rFonts w:ascii="Arial" w:hAnsi="Arial" w:cs="Arial"/>
          <w:sz w:val="22"/>
          <w:szCs w:val="22"/>
          <w:highlight w:val="yellow"/>
          <w:lang w:val="en-GB"/>
        </w:rPr>
      </w:pPr>
      <w:r w:rsidRPr="009B64C9">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55C974C2"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r w:rsidR="000D0C16">
        <w:rPr>
          <w:rFonts w:ascii="Arial" w:hAnsi="Arial" w:cs="Arial"/>
          <w:sz w:val="22"/>
          <w:szCs w:val="22"/>
          <w:lang w:val="en-GB"/>
        </w:rPr>
        <w:t xml:space="preserve"> </w:t>
      </w:r>
    </w:p>
    <w:p w14:paraId="304C2FB2" w14:textId="77777777" w:rsidR="00CC7728" w:rsidRPr="00205B31" w:rsidRDefault="00CC7728" w:rsidP="00E84DD5">
      <w:pPr>
        <w:rPr>
          <w:rFonts w:ascii="Arial" w:hAnsi="Arial" w:cs="Arial"/>
          <w:sz w:val="22"/>
          <w:szCs w:val="22"/>
          <w:lang w:val="en-GB"/>
        </w:rPr>
      </w:pPr>
    </w:p>
    <w:p w14:paraId="7AC01A80" w14:textId="4080B47B" w:rsidR="0042213A" w:rsidRDefault="0042213A" w:rsidP="0042213A">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English Bankruptcy Act of 1542 – contained two fundamental principles on which modern insolvency laws are based i) collective participation by creditors and ii) </w:t>
      </w:r>
      <w:r w:rsidRPr="0042213A">
        <w:rPr>
          <w:rFonts w:ascii="Arial" w:hAnsi="Arial" w:cs="Arial"/>
          <w:i/>
          <w:iCs/>
          <w:color w:val="7B7B7B" w:themeColor="accent3" w:themeShade="BF"/>
          <w:sz w:val="22"/>
          <w:szCs w:val="22"/>
          <w:lang w:val="en-GB"/>
        </w:rPr>
        <w:t>parri passu</w:t>
      </w:r>
      <w:r>
        <w:rPr>
          <w:rFonts w:ascii="Arial" w:hAnsi="Arial" w:cs="Arial"/>
          <w:color w:val="7B7B7B" w:themeColor="accent3" w:themeShade="BF"/>
          <w:sz w:val="22"/>
          <w:szCs w:val="22"/>
          <w:lang w:val="en-GB"/>
        </w:rPr>
        <w:t xml:space="preserve"> distribution to creditors. </w:t>
      </w:r>
    </w:p>
    <w:p w14:paraId="6DB1035B" w14:textId="77777777" w:rsidR="0042213A" w:rsidRPr="0042213A" w:rsidRDefault="0042213A" w:rsidP="0042213A">
      <w:pPr>
        <w:jc w:val="both"/>
        <w:rPr>
          <w:rFonts w:ascii="Arial" w:hAnsi="Arial" w:cs="Arial"/>
          <w:color w:val="7B7B7B" w:themeColor="accent3" w:themeShade="BF"/>
          <w:sz w:val="22"/>
          <w:szCs w:val="22"/>
          <w:lang w:val="en-GB"/>
        </w:rPr>
      </w:pPr>
    </w:p>
    <w:p w14:paraId="520D5DA2" w14:textId="33953905" w:rsidR="0042213A" w:rsidRDefault="0042213A" w:rsidP="0042213A">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Statute of Ann of 1705 – this Act introduced the notion of a statutory discharge.</w:t>
      </w:r>
    </w:p>
    <w:p w14:paraId="24C3A373" w14:textId="77777777" w:rsidR="00E30609" w:rsidRPr="00E30609" w:rsidRDefault="00E30609" w:rsidP="00E30609">
      <w:pPr>
        <w:pStyle w:val="ListParagraph"/>
        <w:rPr>
          <w:rFonts w:ascii="Arial" w:hAnsi="Arial" w:cs="Arial"/>
          <w:color w:val="7B7B7B" w:themeColor="accent3" w:themeShade="BF"/>
          <w:sz w:val="22"/>
          <w:szCs w:val="22"/>
          <w:lang w:val="en-GB"/>
        </w:rPr>
      </w:pPr>
    </w:p>
    <w:p w14:paraId="7EB9461C" w14:textId="4497351A" w:rsidR="00E30609" w:rsidRDefault="00E30609" w:rsidP="0042213A">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Act of 1883 – the aim of the Act was fair procedure with adequate supervision and means to discourage dishonesty, the machinery for dealing with bankruptcy matters created by the Act remain in force in present-day insolvency law. </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68EE56DD" w:rsidR="009B07AD" w:rsidRDefault="009B64C9"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Corporate Insolvency and Governance Act 2020 was passed in the UK. The act included insolvency related reform measures such as: </w:t>
      </w:r>
    </w:p>
    <w:p w14:paraId="1A875632" w14:textId="32CB7E41" w:rsidR="009B64C9" w:rsidRPr="009B64C9" w:rsidRDefault="009B64C9" w:rsidP="009B64C9">
      <w:pPr>
        <w:pStyle w:val="ListParagraph"/>
        <w:numPr>
          <w:ilvl w:val="0"/>
          <w:numId w:val="17"/>
        </w:numPr>
        <w:jc w:val="both"/>
        <w:rPr>
          <w:rFonts w:ascii="Arial" w:hAnsi="Arial" w:cs="Arial"/>
          <w:color w:val="7B7B7B" w:themeColor="accent3" w:themeShade="BF"/>
          <w:sz w:val="22"/>
          <w:szCs w:val="22"/>
          <w:lang w:val="en-GB"/>
        </w:rPr>
      </w:pPr>
      <w:r w:rsidRPr="009B64C9">
        <w:rPr>
          <w:rFonts w:ascii="Arial" w:hAnsi="Arial" w:cs="Arial"/>
          <w:color w:val="7B7B7B" w:themeColor="accent3" w:themeShade="BF"/>
          <w:sz w:val="22"/>
          <w:szCs w:val="22"/>
          <w:lang w:val="en-GB"/>
        </w:rPr>
        <w:t>New moratorium rules</w:t>
      </w:r>
    </w:p>
    <w:p w14:paraId="2E1EBEC5" w14:textId="19C5AECF" w:rsidR="009B64C9" w:rsidRPr="009B64C9" w:rsidRDefault="005C13D7" w:rsidP="009B64C9">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Relaxation of wrongful trading liability </w:t>
      </w:r>
    </w:p>
    <w:p w14:paraId="54FEB111" w14:textId="4FD00BBF" w:rsidR="009B64C9" w:rsidRPr="009B64C9" w:rsidRDefault="009B64C9" w:rsidP="009B64C9">
      <w:pPr>
        <w:pStyle w:val="ListParagraph"/>
        <w:numPr>
          <w:ilvl w:val="0"/>
          <w:numId w:val="17"/>
        </w:numPr>
        <w:jc w:val="both"/>
        <w:rPr>
          <w:rFonts w:ascii="Arial" w:hAnsi="Arial" w:cs="Arial"/>
          <w:color w:val="7B7B7B" w:themeColor="accent3" w:themeShade="BF"/>
          <w:sz w:val="22"/>
          <w:szCs w:val="22"/>
          <w:lang w:val="en-GB"/>
        </w:rPr>
      </w:pPr>
      <w:r w:rsidRPr="009B64C9">
        <w:rPr>
          <w:rFonts w:ascii="Arial" w:hAnsi="Arial" w:cs="Arial"/>
          <w:color w:val="7B7B7B" w:themeColor="accent3" w:themeShade="BF"/>
          <w:sz w:val="22"/>
          <w:szCs w:val="22"/>
          <w:lang w:val="en-GB"/>
        </w:rPr>
        <w:t>Suspension of winding up petitions and statutory demands</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39FBB9AF" w:rsidR="00C72848" w:rsidRDefault="00420931" w:rsidP="00E70C7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Treaties </w:t>
      </w:r>
      <w:r w:rsidR="00F315B4">
        <w:rPr>
          <w:rFonts w:ascii="Arial" w:hAnsi="Arial" w:cs="Arial"/>
          <w:color w:val="7B7B7B" w:themeColor="accent3" w:themeShade="BF"/>
          <w:sz w:val="22"/>
          <w:szCs w:val="22"/>
          <w:lang w:val="en-GB"/>
        </w:rPr>
        <w:t>are</w:t>
      </w:r>
      <w:r w:rsidR="0034205B">
        <w:rPr>
          <w:rFonts w:ascii="Arial" w:hAnsi="Arial" w:cs="Arial"/>
          <w:color w:val="7B7B7B" w:themeColor="accent3" w:themeShade="BF"/>
          <w:sz w:val="22"/>
          <w:szCs w:val="22"/>
          <w:lang w:val="en-GB"/>
        </w:rPr>
        <w:t xml:space="preserve"> binding</w:t>
      </w:r>
      <w:r w:rsidR="00F315B4">
        <w:rPr>
          <w:rFonts w:ascii="Arial" w:hAnsi="Arial" w:cs="Arial"/>
          <w:color w:val="7B7B7B" w:themeColor="accent3" w:themeShade="BF"/>
          <w:sz w:val="22"/>
          <w:szCs w:val="22"/>
          <w:lang w:val="en-GB"/>
        </w:rPr>
        <w:t xml:space="preserve"> </w:t>
      </w:r>
      <w:r w:rsidR="00E70C75">
        <w:rPr>
          <w:rFonts w:ascii="Arial" w:hAnsi="Arial" w:cs="Arial"/>
          <w:color w:val="7B7B7B" w:themeColor="accent3" w:themeShade="BF"/>
          <w:sz w:val="22"/>
          <w:szCs w:val="22"/>
          <w:lang w:val="en-GB"/>
        </w:rPr>
        <w:t xml:space="preserve">‘hard law’ </w:t>
      </w:r>
      <w:r w:rsidR="00F315B4">
        <w:rPr>
          <w:rFonts w:ascii="Arial" w:hAnsi="Arial" w:cs="Arial"/>
          <w:color w:val="7B7B7B" w:themeColor="accent3" w:themeShade="BF"/>
          <w:sz w:val="22"/>
          <w:szCs w:val="22"/>
          <w:lang w:val="en-GB"/>
        </w:rPr>
        <w:t>int</w:t>
      </w:r>
      <w:r>
        <w:rPr>
          <w:rFonts w:ascii="Arial" w:hAnsi="Arial" w:cs="Arial"/>
          <w:color w:val="7B7B7B" w:themeColor="accent3" w:themeShade="BF"/>
          <w:sz w:val="22"/>
          <w:szCs w:val="22"/>
          <w:lang w:val="en-GB"/>
        </w:rPr>
        <w:t>ernational instrument</w:t>
      </w:r>
      <w:r w:rsidR="00F315B4">
        <w:rPr>
          <w:rFonts w:ascii="Arial" w:hAnsi="Arial" w:cs="Arial"/>
          <w:color w:val="7B7B7B" w:themeColor="accent3" w:themeShade="BF"/>
          <w:sz w:val="22"/>
          <w:szCs w:val="22"/>
          <w:lang w:val="en-GB"/>
        </w:rPr>
        <w:t xml:space="preserve">s whereby </w:t>
      </w:r>
      <w:r>
        <w:rPr>
          <w:rFonts w:ascii="Arial" w:hAnsi="Arial" w:cs="Arial"/>
          <w:color w:val="7B7B7B" w:themeColor="accent3" w:themeShade="BF"/>
          <w:sz w:val="22"/>
          <w:szCs w:val="22"/>
          <w:lang w:val="en-GB"/>
        </w:rPr>
        <w:t xml:space="preserve">States are </w:t>
      </w:r>
      <w:r w:rsidR="00F315B4">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signatories</w:t>
      </w:r>
      <w:r w:rsidR="00F315B4">
        <w:rPr>
          <w:rFonts w:ascii="Arial" w:hAnsi="Arial" w:cs="Arial"/>
          <w:color w:val="7B7B7B" w:themeColor="accent3" w:themeShade="BF"/>
          <w:sz w:val="22"/>
          <w:szCs w:val="22"/>
          <w:lang w:val="en-GB"/>
        </w:rPr>
        <w:t xml:space="preserve"> for these</w:t>
      </w:r>
      <w:r w:rsidR="0034205B">
        <w:rPr>
          <w:rFonts w:ascii="Arial" w:hAnsi="Arial" w:cs="Arial"/>
          <w:color w:val="7B7B7B" w:themeColor="accent3" w:themeShade="BF"/>
          <w:sz w:val="22"/>
          <w:szCs w:val="22"/>
          <w:lang w:val="en-GB"/>
        </w:rPr>
        <w:t xml:space="preserve"> instruments</w:t>
      </w:r>
      <w:r w:rsidR="007E1A2A">
        <w:rPr>
          <w:rFonts w:ascii="Arial" w:hAnsi="Arial" w:cs="Arial"/>
          <w:color w:val="7B7B7B" w:themeColor="accent3" w:themeShade="BF"/>
          <w:sz w:val="22"/>
          <w:szCs w:val="22"/>
          <w:lang w:val="en-GB"/>
        </w:rPr>
        <w:t>. R</w:t>
      </w:r>
      <w:r w:rsidR="00E70C75">
        <w:rPr>
          <w:rFonts w:ascii="Arial" w:hAnsi="Arial" w:cs="Arial"/>
          <w:color w:val="7B7B7B" w:themeColor="accent3" w:themeShade="BF"/>
          <w:sz w:val="22"/>
          <w:szCs w:val="22"/>
          <w:lang w:val="en-GB"/>
        </w:rPr>
        <w:t>atification</w:t>
      </w:r>
      <w:r>
        <w:rPr>
          <w:rFonts w:ascii="Arial" w:hAnsi="Arial" w:cs="Arial"/>
          <w:color w:val="7B7B7B" w:themeColor="accent3" w:themeShade="BF"/>
          <w:sz w:val="22"/>
          <w:szCs w:val="22"/>
          <w:lang w:val="en-GB"/>
        </w:rPr>
        <w:t xml:space="preserve"> of the same can affect the States domestic laws</w:t>
      </w:r>
      <w:r w:rsidR="00F315B4">
        <w:rPr>
          <w:rFonts w:ascii="Arial" w:hAnsi="Arial" w:cs="Arial"/>
          <w:color w:val="7B7B7B" w:themeColor="accent3" w:themeShade="BF"/>
          <w:sz w:val="22"/>
          <w:szCs w:val="22"/>
          <w:lang w:val="en-GB"/>
        </w:rPr>
        <w:t>.</w:t>
      </w:r>
      <w:r w:rsidR="0034205B">
        <w:rPr>
          <w:rFonts w:ascii="Arial" w:hAnsi="Arial" w:cs="Arial"/>
          <w:color w:val="7B7B7B" w:themeColor="accent3" w:themeShade="BF"/>
          <w:sz w:val="22"/>
          <w:szCs w:val="22"/>
          <w:lang w:val="en-GB"/>
        </w:rPr>
        <w:t xml:space="preserve"> </w:t>
      </w:r>
      <w:r w:rsidR="007E1A2A">
        <w:rPr>
          <w:rFonts w:ascii="Arial" w:hAnsi="Arial" w:cs="Arial"/>
          <w:color w:val="7B7B7B" w:themeColor="accent3" w:themeShade="BF"/>
          <w:sz w:val="22"/>
          <w:szCs w:val="22"/>
          <w:lang w:val="en-GB"/>
        </w:rPr>
        <w:t>An</w:t>
      </w:r>
      <w:r w:rsidR="00F315B4">
        <w:rPr>
          <w:rFonts w:ascii="Arial" w:hAnsi="Arial" w:cs="Arial"/>
          <w:color w:val="7B7B7B" w:themeColor="accent3" w:themeShade="BF"/>
          <w:sz w:val="22"/>
          <w:szCs w:val="22"/>
          <w:lang w:val="en-GB"/>
        </w:rPr>
        <w:t xml:space="preserve"> </w:t>
      </w:r>
      <w:r w:rsidR="007E1A2A">
        <w:rPr>
          <w:rFonts w:ascii="Arial" w:hAnsi="Arial" w:cs="Arial"/>
          <w:color w:val="7B7B7B" w:themeColor="accent3" w:themeShade="BF"/>
          <w:sz w:val="22"/>
          <w:szCs w:val="22"/>
          <w:lang w:val="en-GB"/>
        </w:rPr>
        <w:t>e</w:t>
      </w:r>
      <w:r w:rsidR="00F315B4">
        <w:rPr>
          <w:rFonts w:ascii="Arial" w:hAnsi="Arial" w:cs="Arial"/>
          <w:color w:val="7B7B7B" w:themeColor="accent3" w:themeShade="BF"/>
          <w:sz w:val="22"/>
          <w:szCs w:val="22"/>
          <w:lang w:val="en-GB"/>
        </w:rPr>
        <w:t>xample of treaties include</w:t>
      </w:r>
      <w:r w:rsidR="0034205B">
        <w:rPr>
          <w:rFonts w:ascii="Arial" w:hAnsi="Arial" w:cs="Arial"/>
          <w:color w:val="7B7B7B" w:themeColor="accent3" w:themeShade="BF"/>
          <w:sz w:val="22"/>
          <w:szCs w:val="22"/>
          <w:lang w:val="en-GB"/>
        </w:rPr>
        <w:t>s</w:t>
      </w:r>
      <w:r w:rsidR="00F315B4">
        <w:rPr>
          <w:rFonts w:ascii="Arial" w:hAnsi="Arial" w:cs="Arial"/>
          <w:color w:val="7B7B7B" w:themeColor="accent3" w:themeShade="BF"/>
          <w:sz w:val="22"/>
          <w:szCs w:val="22"/>
          <w:lang w:val="en-GB"/>
        </w:rPr>
        <w:t xml:space="preserve"> the Montevideo Treaties (1889) and (1940) </w:t>
      </w:r>
      <w:r w:rsidR="007E1A2A">
        <w:rPr>
          <w:rFonts w:ascii="Arial" w:hAnsi="Arial" w:cs="Arial"/>
          <w:color w:val="7B7B7B" w:themeColor="accent3" w:themeShade="BF"/>
          <w:sz w:val="22"/>
          <w:szCs w:val="22"/>
          <w:lang w:val="en-GB"/>
        </w:rPr>
        <w:t xml:space="preserve">which have a clear set rules to establish jurisdiction and provides for concurrent insolvency proceedings in more than State among the countries who have ratified the treaties. </w:t>
      </w:r>
    </w:p>
    <w:p w14:paraId="0D90C764" w14:textId="063DEC92" w:rsidR="00420931" w:rsidRDefault="00420931" w:rsidP="00E70C75">
      <w:pPr>
        <w:jc w:val="both"/>
        <w:rPr>
          <w:rFonts w:ascii="Arial" w:hAnsi="Arial" w:cs="Arial"/>
          <w:color w:val="7B7B7B" w:themeColor="accent3" w:themeShade="BF"/>
          <w:sz w:val="22"/>
          <w:szCs w:val="22"/>
          <w:lang w:val="en-GB"/>
        </w:rPr>
      </w:pPr>
    </w:p>
    <w:p w14:paraId="10A95B15" w14:textId="3FAACDDF" w:rsidR="00420931" w:rsidRPr="00E70C75" w:rsidRDefault="00E70C75" w:rsidP="00E70C7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concept of ‘s</w:t>
      </w:r>
      <w:r w:rsidR="00420931">
        <w:rPr>
          <w:rFonts w:ascii="Arial" w:hAnsi="Arial" w:cs="Arial"/>
          <w:color w:val="7B7B7B" w:themeColor="accent3" w:themeShade="BF"/>
          <w:sz w:val="22"/>
          <w:szCs w:val="22"/>
          <w:lang w:val="en-GB"/>
        </w:rPr>
        <w:t>oft law</w:t>
      </w:r>
      <w:r>
        <w:rPr>
          <w:rFonts w:ascii="Arial" w:hAnsi="Arial" w:cs="Arial"/>
          <w:color w:val="7B7B7B" w:themeColor="accent3" w:themeShade="BF"/>
          <w:sz w:val="22"/>
          <w:szCs w:val="22"/>
          <w:lang w:val="en-GB"/>
        </w:rPr>
        <w:t xml:space="preserve">’ refers to non-binding instruments and initiatives such as development of principles and guides that when adopted form best practices for international insolvency proceedings </w:t>
      </w:r>
      <w:r w:rsidR="00420931">
        <w:rPr>
          <w:rFonts w:ascii="Arial" w:hAnsi="Arial" w:cs="Arial"/>
          <w:color w:val="7B7B7B" w:themeColor="accent3" w:themeShade="BF"/>
          <w:sz w:val="22"/>
          <w:szCs w:val="22"/>
          <w:lang w:val="en-GB"/>
        </w:rPr>
        <w:t>i.e. UNCITR</w:t>
      </w:r>
      <w:r w:rsidR="007E1A2A">
        <w:rPr>
          <w:rFonts w:ascii="Arial" w:hAnsi="Arial" w:cs="Arial"/>
          <w:color w:val="7B7B7B" w:themeColor="accent3" w:themeShade="BF"/>
          <w:sz w:val="22"/>
          <w:szCs w:val="22"/>
          <w:lang w:val="en-GB"/>
        </w:rPr>
        <w:t>AL</w:t>
      </w:r>
      <w:r w:rsidR="00420931">
        <w:rPr>
          <w:rFonts w:ascii="Arial" w:hAnsi="Arial" w:cs="Arial"/>
          <w:color w:val="7B7B7B" w:themeColor="accent3" w:themeShade="BF"/>
          <w:sz w:val="22"/>
          <w:szCs w:val="22"/>
          <w:lang w:val="en-GB"/>
        </w:rPr>
        <w:t xml:space="preserve"> Model Law which can be adopted by countries with or without modification</w:t>
      </w:r>
      <w:r>
        <w:rPr>
          <w:rFonts w:ascii="Arial" w:hAnsi="Arial" w:cs="Arial"/>
          <w:color w:val="7B7B7B" w:themeColor="accent3" w:themeShade="BF"/>
          <w:sz w:val="22"/>
          <w:szCs w:val="22"/>
          <w:lang w:val="en-GB"/>
        </w:rPr>
        <w:t>. S</w:t>
      </w:r>
      <w:r w:rsidRPr="00E70C75">
        <w:rPr>
          <w:rFonts w:ascii="Arial" w:hAnsi="Arial" w:cs="Arial"/>
          <w:color w:val="7B7B7B" w:themeColor="accent3" w:themeShade="BF"/>
          <w:sz w:val="22"/>
          <w:szCs w:val="22"/>
          <w:lang w:val="en-GB"/>
        </w:rPr>
        <w:t>uch initiatives aid with co-operation and communication</w:t>
      </w:r>
      <w:r w:rsidR="007E1A2A">
        <w:rPr>
          <w:rFonts w:ascii="Arial" w:hAnsi="Arial" w:cs="Arial"/>
          <w:color w:val="7B7B7B" w:themeColor="accent3" w:themeShade="BF"/>
          <w:sz w:val="22"/>
          <w:szCs w:val="22"/>
          <w:lang w:val="en-GB"/>
        </w:rPr>
        <w:t xml:space="preserve"> and establish clear guidance</w:t>
      </w:r>
      <w:r w:rsidRPr="00E70C75">
        <w:rPr>
          <w:rFonts w:ascii="Arial" w:hAnsi="Arial" w:cs="Arial"/>
          <w:color w:val="7B7B7B" w:themeColor="accent3" w:themeShade="BF"/>
          <w:sz w:val="22"/>
          <w:szCs w:val="22"/>
          <w:lang w:val="en-GB"/>
        </w:rPr>
        <w:t xml:space="preserve"> in cross-border insolvency cases.</w:t>
      </w:r>
    </w:p>
    <w:p w14:paraId="572227E7" w14:textId="10041403" w:rsidR="0045683E" w:rsidRPr="00205B31" w:rsidRDefault="0045683E" w:rsidP="00B7193E">
      <w:pPr>
        <w:jc w:val="both"/>
        <w:rPr>
          <w:rFonts w:ascii="Arial" w:hAnsi="Arial" w:cs="Arial"/>
          <w:b/>
          <w:sz w:val="22"/>
          <w:szCs w:val="22"/>
          <w:lang w:val="en-GB"/>
        </w:rPr>
      </w:pPr>
    </w:p>
    <w:p w14:paraId="383B5930" w14:textId="3E55B085" w:rsidR="00C550C8" w:rsidRDefault="00C550C8" w:rsidP="00B7193E">
      <w:pPr>
        <w:jc w:val="both"/>
        <w:rPr>
          <w:rFonts w:ascii="Arial" w:hAnsi="Arial" w:cs="Arial"/>
          <w:b/>
          <w:sz w:val="22"/>
          <w:szCs w:val="22"/>
          <w:lang w:val="en-GB"/>
        </w:rPr>
      </w:pPr>
    </w:p>
    <w:p w14:paraId="7861B023" w14:textId="56AF160A" w:rsidR="00771381" w:rsidRDefault="00771381" w:rsidP="00B7193E">
      <w:pPr>
        <w:jc w:val="both"/>
        <w:rPr>
          <w:rFonts w:ascii="Arial" w:hAnsi="Arial" w:cs="Arial"/>
          <w:b/>
          <w:sz w:val="22"/>
          <w:szCs w:val="22"/>
          <w:lang w:val="en-GB"/>
        </w:rPr>
      </w:pPr>
    </w:p>
    <w:p w14:paraId="15ED6A0F" w14:textId="500A6E8E" w:rsidR="00771381" w:rsidRDefault="00771381" w:rsidP="00B7193E">
      <w:pPr>
        <w:jc w:val="both"/>
        <w:rPr>
          <w:rFonts w:ascii="Arial" w:hAnsi="Arial" w:cs="Arial"/>
          <w:b/>
          <w:sz w:val="22"/>
          <w:szCs w:val="22"/>
          <w:lang w:val="en-GB"/>
        </w:rPr>
      </w:pPr>
    </w:p>
    <w:p w14:paraId="3B4024C3" w14:textId="26CF2B40" w:rsidR="00771381" w:rsidRDefault="00771381" w:rsidP="00B7193E">
      <w:pPr>
        <w:jc w:val="both"/>
        <w:rPr>
          <w:rFonts w:ascii="Arial" w:hAnsi="Arial" w:cs="Arial"/>
          <w:b/>
          <w:sz w:val="22"/>
          <w:szCs w:val="22"/>
          <w:lang w:val="en-GB"/>
        </w:rPr>
      </w:pPr>
    </w:p>
    <w:p w14:paraId="74BB0AFE" w14:textId="77777777" w:rsidR="00771381" w:rsidRDefault="00771381" w:rsidP="00B7193E">
      <w:pPr>
        <w:jc w:val="both"/>
        <w:rPr>
          <w:rFonts w:ascii="Arial" w:hAnsi="Arial" w:cs="Arial"/>
          <w:b/>
          <w:sz w:val="22"/>
          <w:szCs w:val="22"/>
          <w:lang w:val="en-GB"/>
        </w:rPr>
      </w:pPr>
    </w:p>
    <w:p w14:paraId="295104FB" w14:textId="2438DEE3" w:rsidR="008B6764" w:rsidRDefault="008B6764" w:rsidP="00B7193E">
      <w:pPr>
        <w:jc w:val="both"/>
        <w:rPr>
          <w:rFonts w:ascii="Arial" w:hAnsi="Arial" w:cs="Arial"/>
          <w:b/>
          <w:sz w:val="22"/>
          <w:szCs w:val="22"/>
          <w:lang w:val="en-GB"/>
        </w:rPr>
      </w:pPr>
    </w:p>
    <w:p w14:paraId="34CB6BCE" w14:textId="77777777" w:rsidR="008B6764" w:rsidRPr="00205B31" w:rsidRDefault="008B6764"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8596E8" w14:textId="054B8C65" w:rsidR="00E30609" w:rsidRDefault="00771381"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w:t>
      </w:r>
      <w:r w:rsidR="00E30609">
        <w:rPr>
          <w:rFonts w:ascii="Arial" w:hAnsi="Arial" w:cs="Arial"/>
          <w:color w:val="7B7B7B" w:themeColor="accent3" w:themeShade="BF"/>
          <w:sz w:val="22"/>
          <w:szCs w:val="22"/>
          <w:lang w:val="en-GB"/>
        </w:rPr>
        <w:t xml:space="preserve">ossible sources of insolvency laws in any State include: </w:t>
      </w:r>
    </w:p>
    <w:p w14:paraId="3EFFA81B" w14:textId="77777777" w:rsidR="00E30609" w:rsidRDefault="00E30609" w:rsidP="00B7193E">
      <w:pPr>
        <w:jc w:val="both"/>
        <w:rPr>
          <w:rFonts w:ascii="Arial" w:hAnsi="Arial" w:cs="Arial"/>
          <w:color w:val="7B7B7B" w:themeColor="accent3" w:themeShade="BF"/>
          <w:sz w:val="22"/>
          <w:szCs w:val="22"/>
          <w:lang w:val="en-GB"/>
        </w:rPr>
      </w:pPr>
    </w:p>
    <w:p w14:paraId="34DA3562" w14:textId="77777777" w:rsidR="000F7D56" w:rsidRDefault="00E30609" w:rsidP="00E71673">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Pr="00E30609">
        <w:rPr>
          <w:rFonts w:ascii="Arial" w:hAnsi="Arial" w:cs="Arial"/>
          <w:color w:val="7B7B7B" w:themeColor="accent3" w:themeShade="BF"/>
          <w:sz w:val="22"/>
          <w:szCs w:val="22"/>
          <w:lang w:val="en-GB"/>
        </w:rPr>
        <w:t>nsolvency legislation</w:t>
      </w:r>
      <w:r>
        <w:rPr>
          <w:rFonts w:ascii="Arial" w:hAnsi="Arial" w:cs="Arial"/>
          <w:color w:val="7B7B7B" w:themeColor="accent3" w:themeShade="BF"/>
          <w:sz w:val="22"/>
          <w:szCs w:val="22"/>
          <w:lang w:val="en-GB"/>
        </w:rPr>
        <w:t xml:space="preserve"> – </w:t>
      </w:r>
      <w:r w:rsidR="009F09A3">
        <w:rPr>
          <w:rFonts w:ascii="Arial" w:hAnsi="Arial" w:cs="Arial"/>
          <w:color w:val="7B7B7B" w:themeColor="accent3" w:themeShade="BF"/>
          <w:sz w:val="22"/>
          <w:szCs w:val="22"/>
          <w:lang w:val="en-GB"/>
        </w:rPr>
        <w:t>this can be</w:t>
      </w:r>
      <w:r w:rsidR="000F7D56">
        <w:rPr>
          <w:rFonts w:ascii="Arial" w:hAnsi="Arial" w:cs="Arial"/>
          <w:color w:val="7B7B7B" w:themeColor="accent3" w:themeShade="BF"/>
          <w:sz w:val="22"/>
          <w:szCs w:val="22"/>
          <w:lang w:val="en-GB"/>
        </w:rPr>
        <w:t xml:space="preserve"> either:</w:t>
      </w:r>
    </w:p>
    <w:p w14:paraId="6D6C0D3C" w14:textId="4F989D7A" w:rsidR="000F7D56" w:rsidRDefault="000F7D56" w:rsidP="000F7D56">
      <w:pPr>
        <w:pStyle w:val="ListParagraph"/>
        <w:numPr>
          <w:ilvl w:val="1"/>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9F09A3">
        <w:rPr>
          <w:rFonts w:ascii="Arial" w:hAnsi="Arial" w:cs="Arial"/>
          <w:color w:val="7B7B7B" w:themeColor="accent3" w:themeShade="BF"/>
          <w:sz w:val="22"/>
          <w:szCs w:val="22"/>
          <w:lang w:val="en-GB"/>
        </w:rPr>
        <w:t xml:space="preserve"> single </w:t>
      </w:r>
      <w:r>
        <w:rPr>
          <w:rFonts w:ascii="Arial" w:hAnsi="Arial" w:cs="Arial"/>
          <w:color w:val="7B7B7B" w:themeColor="accent3" w:themeShade="BF"/>
          <w:sz w:val="22"/>
          <w:szCs w:val="22"/>
          <w:lang w:val="en-GB"/>
        </w:rPr>
        <w:t xml:space="preserve">Act, Code, </w:t>
      </w:r>
      <w:r w:rsidR="00E30609">
        <w:rPr>
          <w:rFonts w:ascii="Arial" w:hAnsi="Arial" w:cs="Arial"/>
          <w:color w:val="7B7B7B" w:themeColor="accent3" w:themeShade="BF"/>
          <w:sz w:val="22"/>
          <w:szCs w:val="22"/>
          <w:lang w:val="en-GB"/>
        </w:rPr>
        <w:t xml:space="preserve">piece of bankruptcy legislation covering all aspects of </w:t>
      </w:r>
      <w:r w:rsidR="00E71673">
        <w:rPr>
          <w:rFonts w:ascii="Arial" w:hAnsi="Arial" w:cs="Arial"/>
          <w:color w:val="7B7B7B" w:themeColor="accent3" w:themeShade="BF"/>
          <w:sz w:val="22"/>
          <w:szCs w:val="22"/>
          <w:lang w:val="en-GB"/>
        </w:rPr>
        <w:t xml:space="preserve">bankruptcy i.e. the USA has the Bankruptcy Code </w:t>
      </w:r>
      <w:r w:rsidR="008B6764">
        <w:rPr>
          <w:rFonts w:ascii="Arial" w:hAnsi="Arial" w:cs="Arial"/>
          <w:color w:val="7B7B7B" w:themeColor="accent3" w:themeShade="BF"/>
          <w:sz w:val="22"/>
          <w:szCs w:val="22"/>
          <w:lang w:val="en-GB"/>
        </w:rPr>
        <w:t xml:space="preserve">1978 </w:t>
      </w:r>
      <w:r w:rsidR="009F09A3">
        <w:rPr>
          <w:rFonts w:ascii="Arial" w:hAnsi="Arial" w:cs="Arial"/>
          <w:color w:val="7B7B7B" w:themeColor="accent3" w:themeShade="BF"/>
          <w:sz w:val="22"/>
          <w:szCs w:val="22"/>
          <w:lang w:val="en-GB"/>
        </w:rPr>
        <w:t>which is</w:t>
      </w:r>
      <w:r w:rsidR="00E71673">
        <w:rPr>
          <w:rFonts w:ascii="Arial" w:hAnsi="Arial" w:cs="Arial"/>
          <w:color w:val="7B7B7B" w:themeColor="accent3" w:themeShade="BF"/>
          <w:sz w:val="22"/>
          <w:szCs w:val="22"/>
          <w:lang w:val="en-GB"/>
        </w:rPr>
        <w:t xml:space="preserve"> federal </w:t>
      </w:r>
      <w:r>
        <w:rPr>
          <w:rFonts w:ascii="Arial" w:hAnsi="Arial" w:cs="Arial"/>
          <w:color w:val="7B7B7B" w:themeColor="accent3" w:themeShade="BF"/>
          <w:sz w:val="22"/>
          <w:szCs w:val="22"/>
          <w:lang w:val="en-GB"/>
        </w:rPr>
        <w:t>legislation</w:t>
      </w:r>
      <w:r w:rsidR="008B6764">
        <w:rPr>
          <w:rFonts w:ascii="Arial" w:hAnsi="Arial" w:cs="Arial"/>
          <w:color w:val="7B7B7B" w:themeColor="accent3" w:themeShade="BF"/>
          <w:sz w:val="22"/>
          <w:szCs w:val="22"/>
          <w:lang w:val="en-GB"/>
        </w:rPr>
        <w:t xml:space="preserve"> and the UK has the Insolvency Act 1986</w:t>
      </w:r>
      <w:r>
        <w:rPr>
          <w:rFonts w:ascii="Arial" w:hAnsi="Arial" w:cs="Arial"/>
          <w:color w:val="7B7B7B" w:themeColor="accent3" w:themeShade="BF"/>
          <w:sz w:val="22"/>
          <w:szCs w:val="22"/>
          <w:lang w:val="en-GB"/>
        </w:rPr>
        <w:t>; or</w:t>
      </w:r>
      <w:r w:rsidR="009F09A3">
        <w:rPr>
          <w:rFonts w:ascii="Arial" w:hAnsi="Arial" w:cs="Arial"/>
          <w:color w:val="7B7B7B" w:themeColor="accent3" w:themeShade="BF"/>
          <w:sz w:val="22"/>
          <w:szCs w:val="22"/>
          <w:lang w:val="en-GB"/>
        </w:rPr>
        <w:t xml:space="preserve"> </w:t>
      </w:r>
    </w:p>
    <w:p w14:paraId="5D303EBD" w14:textId="16A8C413" w:rsidR="00E71673" w:rsidRDefault="000F7D56" w:rsidP="000F7D56">
      <w:pPr>
        <w:pStyle w:val="ListParagraph"/>
        <w:numPr>
          <w:ilvl w:val="1"/>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w:t>
      </w:r>
      <w:r w:rsidR="00E71673">
        <w:rPr>
          <w:rFonts w:ascii="Arial" w:hAnsi="Arial" w:cs="Arial"/>
          <w:color w:val="7B7B7B" w:themeColor="accent3" w:themeShade="BF"/>
          <w:sz w:val="22"/>
          <w:szCs w:val="22"/>
          <w:lang w:val="en-GB"/>
        </w:rPr>
        <w:t>ultiple pieces of legislation</w:t>
      </w:r>
      <w:r w:rsidR="009F09A3">
        <w:rPr>
          <w:rFonts w:ascii="Arial" w:hAnsi="Arial" w:cs="Arial"/>
          <w:color w:val="7B7B7B" w:themeColor="accent3" w:themeShade="BF"/>
          <w:sz w:val="22"/>
          <w:szCs w:val="22"/>
          <w:lang w:val="en-GB"/>
        </w:rPr>
        <w:t>,</w:t>
      </w:r>
      <w:r w:rsidR="00E71673">
        <w:rPr>
          <w:rFonts w:ascii="Arial" w:hAnsi="Arial" w:cs="Arial"/>
          <w:color w:val="7B7B7B" w:themeColor="accent3" w:themeShade="BF"/>
          <w:sz w:val="22"/>
          <w:szCs w:val="22"/>
          <w:lang w:val="en-GB"/>
        </w:rPr>
        <w:t xml:space="preserve"> for example a piece of legislation relating to individual</w:t>
      </w:r>
      <w:r w:rsidR="007E1A2A">
        <w:rPr>
          <w:rFonts w:ascii="Arial" w:hAnsi="Arial" w:cs="Arial"/>
          <w:color w:val="7B7B7B" w:themeColor="accent3" w:themeShade="BF"/>
          <w:sz w:val="22"/>
          <w:szCs w:val="22"/>
          <w:lang w:val="en-GB"/>
        </w:rPr>
        <w:t>s</w:t>
      </w:r>
      <w:r w:rsidR="00E71673">
        <w:rPr>
          <w:rFonts w:ascii="Arial" w:hAnsi="Arial" w:cs="Arial"/>
          <w:color w:val="7B7B7B" w:themeColor="accent3" w:themeShade="BF"/>
          <w:sz w:val="22"/>
          <w:szCs w:val="22"/>
          <w:lang w:val="en-GB"/>
        </w:rPr>
        <w:t xml:space="preserve"> and another relating to </w:t>
      </w:r>
      <w:r>
        <w:rPr>
          <w:rFonts w:ascii="Arial" w:hAnsi="Arial" w:cs="Arial"/>
          <w:color w:val="7B7B7B" w:themeColor="accent3" w:themeShade="BF"/>
          <w:sz w:val="22"/>
          <w:szCs w:val="22"/>
          <w:lang w:val="en-GB"/>
        </w:rPr>
        <w:t>companies</w:t>
      </w:r>
      <w:r w:rsidR="00E71673">
        <w:rPr>
          <w:rFonts w:ascii="Arial" w:hAnsi="Arial" w:cs="Arial"/>
          <w:color w:val="7B7B7B" w:themeColor="accent3" w:themeShade="BF"/>
          <w:sz w:val="22"/>
          <w:szCs w:val="22"/>
          <w:lang w:val="en-GB"/>
        </w:rPr>
        <w:t xml:space="preserve">. </w:t>
      </w:r>
    </w:p>
    <w:p w14:paraId="52C9F65F" w14:textId="77777777" w:rsidR="00E71673" w:rsidRPr="00E71673" w:rsidRDefault="00E71673" w:rsidP="00E71673">
      <w:pPr>
        <w:pStyle w:val="ListParagraph"/>
        <w:ind w:left="1080"/>
        <w:jc w:val="both"/>
        <w:rPr>
          <w:rFonts w:ascii="Arial" w:hAnsi="Arial" w:cs="Arial"/>
          <w:color w:val="7B7B7B" w:themeColor="accent3" w:themeShade="BF"/>
          <w:sz w:val="22"/>
          <w:szCs w:val="22"/>
          <w:lang w:val="en-GB"/>
        </w:rPr>
      </w:pPr>
    </w:p>
    <w:p w14:paraId="4024A332" w14:textId="704DF315" w:rsidR="00544127" w:rsidRDefault="000F7D56" w:rsidP="00E30609">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w:t>
      </w:r>
      <w:r w:rsidR="00E30609" w:rsidRPr="00E30609">
        <w:rPr>
          <w:rFonts w:ascii="Arial" w:hAnsi="Arial" w:cs="Arial"/>
          <w:color w:val="7B7B7B" w:themeColor="accent3" w:themeShade="BF"/>
          <w:sz w:val="22"/>
          <w:szCs w:val="22"/>
          <w:lang w:val="en-GB"/>
        </w:rPr>
        <w:t xml:space="preserve">eneral </w:t>
      </w:r>
      <w:r w:rsidR="00890F45">
        <w:rPr>
          <w:rFonts w:ascii="Arial" w:hAnsi="Arial" w:cs="Arial"/>
          <w:color w:val="7B7B7B" w:themeColor="accent3" w:themeShade="BF"/>
          <w:sz w:val="22"/>
          <w:szCs w:val="22"/>
          <w:lang w:val="en-GB"/>
        </w:rPr>
        <w:t xml:space="preserve">or common </w:t>
      </w:r>
      <w:r w:rsidR="00E30609" w:rsidRPr="00E30609">
        <w:rPr>
          <w:rFonts w:ascii="Arial" w:hAnsi="Arial" w:cs="Arial"/>
          <w:color w:val="7B7B7B" w:themeColor="accent3" w:themeShade="BF"/>
          <w:sz w:val="22"/>
          <w:szCs w:val="22"/>
          <w:lang w:val="en-GB"/>
        </w:rPr>
        <w:t>law</w:t>
      </w:r>
      <w:r>
        <w:rPr>
          <w:rFonts w:ascii="Arial" w:hAnsi="Arial" w:cs="Arial"/>
          <w:color w:val="7B7B7B" w:themeColor="accent3" w:themeShade="BF"/>
          <w:sz w:val="22"/>
          <w:szCs w:val="22"/>
          <w:lang w:val="en-GB"/>
        </w:rPr>
        <w:t xml:space="preserve"> – meaning non-bankruptcy legislation</w:t>
      </w:r>
      <w:r w:rsidR="009D0C6B">
        <w:rPr>
          <w:rFonts w:ascii="Arial" w:hAnsi="Arial" w:cs="Arial"/>
          <w:color w:val="7B7B7B" w:themeColor="accent3" w:themeShade="BF"/>
          <w:sz w:val="22"/>
          <w:szCs w:val="22"/>
          <w:lang w:val="en-GB"/>
        </w:rPr>
        <w:t>.</w:t>
      </w:r>
    </w:p>
    <w:p w14:paraId="79735EE4" w14:textId="02C6C72A" w:rsidR="009D0C6B" w:rsidRDefault="009D0C6B" w:rsidP="009D0C6B">
      <w:pPr>
        <w:jc w:val="both"/>
        <w:rPr>
          <w:rFonts w:ascii="Arial" w:hAnsi="Arial" w:cs="Arial"/>
          <w:color w:val="7B7B7B" w:themeColor="accent3" w:themeShade="BF"/>
          <w:sz w:val="22"/>
          <w:szCs w:val="22"/>
          <w:lang w:val="en-GB"/>
        </w:rPr>
      </w:pPr>
    </w:p>
    <w:p w14:paraId="1ED34B89" w14:textId="7EFEF0EB" w:rsidR="003E36AB" w:rsidRDefault="003E36AB" w:rsidP="009D0C6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Insolvency legislation and general laws of a State may interact with each as there may be some instances where the rules included in general laws can impact insolvency proceedings. </w:t>
      </w:r>
    </w:p>
    <w:p w14:paraId="156D5D50" w14:textId="1FA175F2" w:rsidR="00CD3129" w:rsidRDefault="00CD3129" w:rsidP="009D0C6B">
      <w:pPr>
        <w:jc w:val="both"/>
        <w:rPr>
          <w:rFonts w:ascii="Arial" w:hAnsi="Arial" w:cs="Arial"/>
          <w:color w:val="7B7B7B" w:themeColor="accent3" w:themeShade="BF"/>
          <w:sz w:val="22"/>
          <w:szCs w:val="22"/>
          <w:lang w:val="en-GB"/>
        </w:rPr>
      </w:pPr>
    </w:p>
    <w:p w14:paraId="10367B04" w14:textId="2802F7F5" w:rsidR="00CD3129" w:rsidRDefault="00CD3129" w:rsidP="009D0C6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Cayman Islands Part V of the Companies Act includes the rules with respect to the Winding up of Companies and Associations, there is also a separate piece of legislation, the Companies Winding Up Rules which details the procedures for insolvency proceedings. Both need to be considered when bringing insolvency proceedings. </w:t>
      </w: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46D8372E" w:rsidR="00DF75F8" w:rsidRDefault="00C858F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three pertinent questions asked by Fletcher</w:t>
      </w:r>
      <w:r w:rsidR="009F09A3">
        <w:rPr>
          <w:rStyle w:val="FootnoteReference"/>
          <w:rFonts w:ascii="Arial" w:hAnsi="Arial" w:cs="Arial"/>
          <w:color w:val="7B7B7B" w:themeColor="accent3" w:themeShade="BF"/>
          <w:sz w:val="22"/>
          <w:szCs w:val="22"/>
          <w:lang w:val="en-GB"/>
        </w:rPr>
        <w:footnoteReference w:id="1"/>
      </w:r>
      <w:r>
        <w:rPr>
          <w:rFonts w:ascii="Arial" w:hAnsi="Arial" w:cs="Arial"/>
          <w:color w:val="7B7B7B" w:themeColor="accent3" w:themeShade="BF"/>
          <w:sz w:val="22"/>
          <w:szCs w:val="22"/>
          <w:lang w:val="en-GB"/>
        </w:rPr>
        <w:t xml:space="preserve"> were: </w:t>
      </w:r>
    </w:p>
    <w:p w14:paraId="6FC9B893" w14:textId="77777777" w:rsidR="008B6764" w:rsidRDefault="008B6764" w:rsidP="00B7193E">
      <w:pPr>
        <w:jc w:val="both"/>
        <w:rPr>
          <w:rFonts w:ascii="Arial" w:hAnsi="Arial" w:cs="Arial"/>
          <w:color w:val="7B7B7B" w:themeColor="accent3" w:themeShade="BF"/>
          <w:sz w:val="22"/>
          <w:szCs w:val="22"/>
          <w:lang w:val="en-GB"/>
        </w:rPr>
      </w:pPr>
    </w:p>
    <w:p w14:paraId="5DE1ED2A" w14:textId="11D9C81C" w:rsidR="00C858FC" w:rsidRDefault="00C858FC" w:rsidP="00C858FC">
      <w:pPr>
        <w:pStyle w:val="ListParagraph"/>
        <w:numPr>
          <w:ilvl w:val="0"/>
          <w:numId w:val="18"/>
        </w:numPr>
        <w:jc w:val="both"/>
        <w:rPr>
          <w:rFonts w:ascii="Arial" w:hAnsi="Arial" w:cs="Arial"/>
          <w:color w:val="7B7B7B" w:themeColor="accent3" w:themeShade="BF"/>
          <w:sz w:val="22"/>
          <w:szCs w:val="22"/>
          <w:lang w:val="en-GB"/>
        </w:rPr>
      </w:pPr>
      <w:r w:rsidRPr="00C858FC">
        <w:rPr>
          <w:rFonts w:ascii="Arial" w:hAnsi="Arial" w:cs="Arial"/>
          <w:color w:val="7B7B7B" w:themeColor="accent3" w:themeShade="BF"/>
          <w:sz w:val="22"/>
          <w:szCs w:val="22"/>
          <w:lang w:val="en-GB"/>
        </w:rPr>
        <w:t xml:space="preserve">In which jurisdiction may insolvency proceedings be opened? </w:t>
      </w:r>
    </w:p>
    <w:p w14:paraId="6ADE8BD9" w14:textId="547FB8B0" w:rsidR="004E5AF7" w:rsidRDefault="004E5AF7" w:rsidP="004E5AF7">
      <w:pPr>
        <w:jc w:val="both"/>
        <w:rPr>
          <w:rFonts w:ascii="Arial" w:hAnsi="Arial" w:cs="Arial"/>
          <w:color w:val="7B7B7B" w:themeColor="accent3" w:themeShade="BF"/>
          <w:sz w:val="22"/>
          <w:szCs w:val="22"/>
          <w:lang w:val="en-GB"/>
        </w:rPr>
      </w:pPr>
    </w:p>
    <w:p w14:paraId="42DD2D0D" w14:textId="773031D6" w:rsidR="004E5AF7" w:rsidRPr="00A122D3" w:rsidRDefault="00A122D3" w:rsidP="004E5AF7">
      <w:pPr>
        <w:ind w:left="720"/>
        <w:jc w:val="both"/>
        <w:rPr>
          <w:rFonts w:ascii="Arial" w:hAnsi="Arial" w:cs="Arial"/>
          <w:color w:val="7B7B7B" w:themeColor="accent3" w:themeShade="BF"/>
          <w:sz w:val="22"/>
          <w:szCs w:val="22"/>
          <w:lang w:val="en-GB"/>
        </w:rPr>
      </w:pPr>
      <w:r w:rsidRPr="00A122D3">
        <w:rPr>
          <w:rFonts w:ascii="Arial" w:hAnsi="Arial" w:cs="Arial"/>
          <w:color w:val="7B7B7B" w:themeColor="accent3" w:themeShade="BF"/>
          <w:sz w:val="22"/>
          <w:szCs w:val="22"/>
          <w:lang w:val="en-GB"/>
        </w:rPr>
        <w:t xml:space="preserve">Here </w:t>
      </w:r>
      <w:r w:rsidR="00DE2836">
        <w:rPr>
          <w:rFonts w:ascii="Arial" w:hAnsi="Arial" w:cs="Arial"/>
          <w:color w:val="7B7B7B" w:themeColor="accent3" w:themeShade="BF"/>
          <w:sz w:val="22"/>
          <w:szCs w:val="22"/>
          <w:lang w:val="en-GB"/>
        </w:rPr>
        <w:t>it must</w:t>
      </w:r>
      <w:r w:rsidRPr="00A122D3">
        <w:rPr>
          <w:rFonts w:ascii="Arial" w:hAnsi="Arial" w:cs="Arial"/>
          <w:color w:val="7B7B7B" w:themeColor="accent3" w:themeShade="BF"/>
          <w:sz w:val="22"/>
          <w:szCs w:val="22"/>
          <w:lang w:val="en-GB"/>
        </w:rPr>
        <w:t xml:space="preserve"> be considered if a court has jurisdiction to open insolvency proceedings with respect to the debtor’s estate, for example does the debtor have a link to the jurisdiction in which insolvency proceedings are being brought. </w:t>
      </w:r>
    </w:p>
    <w:p w14:paraId="330F95C6" w14:textId="77777777" w:rsidR="004E5AF7" w:rsidRPr="004E5AF7" w:rsidRDefault="004E5AF7" w:rsidP="004E5AF7">
      <w:pPr>
        <w:ind w:left="720"/>
        <w:jc w:val="both"/>
        <w:rPr>
          <w:rFonts w:ascii="Arial" w:hAnsi="Arial" w:cs="Arial"/>
          <w:color w:val="7B7B7B" w:themeColor="accent3" w:themeShade="BF"/>
          <w:sz w:val="22"/>
          <w:szCs w:val="22"/>
          <w:lang w:val="en-GB"/>
        </w:rPr>
      </w:pPr>
    </w:p>
    <w:p w14:paraId="54684FE2" w14:textId="77F1A903" w:rsidR="00C858FC" w:rsidRDefault="00C858FC" w:rsidP="00C858FC">
      <w:pPr>
        <w:pStyle w:val="ListParagraph"/>
        <w:numPr>
          <w:ilvl w:val="0"/>
          <w:numId w:val="18"/>
        </w:numPr>
        <w:jc w:val="both"/>
        <w:rPr>
          <w:rFonts w:ascii="Arial" w:hAnsi="Arial" w:cs="Arial"/>
          <w:color w:val="7B7B7B" w:themeColor="accent3" w:themeShade="BF"/>
          <w:sz w:val="22"/>
          <w:szCs w:val="22"/>
          <w:lang w:val="en-GB"/>
        </w:rPr>
      </w:pPr>
      <w:r w:rsidRPr="00C858FC">
        <w:rPr>
          <w:rFonts w:ascii="Arial" w:hAnsi="Arial" w:cs="Arial"/>
          <w:color w:val="7B7B7B" w:themeColor="accent3" w:themeShade="BF"/>
          <w:sz w:val="22"/>
          <w:szCs w:val="22"/>
          <w:lang w:val="en-GB"/>
        </w:rPr>
        <w:t xml:space="preserve">What country’s law should be applied in respect of different aspects of the case? </w:t>
      </w:r>
    </w:p>
    <w:p w14:paraId="0CEDE15D" w14:textId="7E8FEA41" w:rsidR="004E5AF7" w:rsidRDefault="004E5AF7" w:rsidP="004E5AF7">
      <w:pPr>
        <w:jc w:val="both"/>
        <w:rPr>
          <w:rFonts w:ascii="Arial" w:hAnsi="Arial" w:cs="Arial"/>
          <w:color w:val="7B7B7B" w:themeColor="accent3" w:themeShade="BF"/>
          <w:sz w:val="22"/>
          <w:szCs w:val="22"/>
          <w:lang w:val="en-GB"/>
        </w:rPr>
      </w:pPr>
    </w:p>
    <w:p w14:paraId="721ACC40" w14:textId="647BDDF5" w:rsidR="004E5AF7" w:rsidRPr="00DE2836" w:rsidRDefault="00DE2836" w:rsidP="004E5AF7">
      <w:pPr>
        <w:ind w:left="720"/>
        <w:jc w:val="both"/>
        <w:rPr>
          <w:rFonts w:ascii="Arial" w:hAnsi="Arial" w:cs="Arial"/>
          <w:color w:val="7B7B7B" w:themeColor="accent3" w:themeShade="BF"/>
          <w:sz w:val="22"/>
          <w:szCs w:val="22"/>
          <w:lang w:val="en-GB"/>
        </w:rPr>
      </w:pPr>
      <w:r w:rsidRPr="00DE2836">
        <w:rPr>
          <w:rFonts w:ascii="Arial" w:hAnsi="Arial" w:cs="Arial"/>
          <w:color w:val="7B7B7B" w:themeColor="accent3" w:themeShade="BF"/>
          <w:sz w:val="22"/>
          <w:szCs w:val="22"/>
          <w:lang w:val="en-GB"/>
        </w:rPr>
        <w:t>The laws in the jurisdiction in which the insolvency proceedings have been opened will be the governing law over the case however during the course of the proceedings consideration may also need to be giv</w:t>
      </w:r>
      <w:r w:rsidR="00CD3129">
        <w:rPr>
          <w:rFonts w:ascii="Arial" w:hAnsi="Arial" w:cs="Arial"/>
          <w:color w:val="7B7B7B" w:themeColor="accent3" w:themeShade="BF"/>
          <w:sz w:val="22"/>
          <w:szCs w:val="22"/>
          <w:lang w:val="en-GB"/>
        </w:rPr>
        <w:t>en</w:t>
      </w:r>
      <w:r w:rsidRPr="00DE2836">
        <w:rPr>
          <w:rFonts w:ascii="Arial" w:hAnsi="Arial" w:cs="Arial"/>
          <w:color w:val="7B7B7B" w:themeColor="accent3" w:themeShade="BF"/>
          <w:sz w:val="22"/>
          <w:szCs w:val="22"/>
          <w:lang w:val="en-GB"/>
        </w:rPr>
        <w:t xml:space="preserve"> to foreign law,  for example if there was a contract in place with a foreign creditor, the foreign governing law of the contract may need to be considered when determining what law should be applied this aspect of the case. </w:t>
      </w:r>
    </w:p>
    <w:p w14:paraId="5B5B515C" w14:textId="77777777" w:rsidR="004E5AF7" w:rsidRPr="004E5AF7" w:rsidRDefault="004E5AF7" w:rsidP="004E5AF7">
      <w:pPr>
        <w:ind w:left="720"/>
        <w:jc w:val="both"/>
        <w:rPr>
          <w:rFonts w:ascii="Arial" w:hAnsi="Arial" w:cs="Arial"/>
          <w:color w:val="7B7B7B" w:themeColor="accent3" w:themeShade="BF"/>
          <w:sz w:val="22"/>
          <w:szCs w:val="22"/>
          <w:lang w:val="en-GB"/>
        </w:rPr>
      </w:pPr>
    </w:p>
    <w:p w14:paraId="630130D0" w14:textId="594D1667" w:rsidR="00C858FC" w:rsidRDefault="00C858FC" w:rsidP="00C858FC">
      <w:pPr>
        <w:pStyle w:val="ListParagraph"/>
        <w:numPr>
          <w:ilvl w:val="0"/>
          <w:numId w:val="18"/>
        </w:numPr>
        <w:jc w:val="both"/>
        <w:rPr>
          <w:rFonts w:ascii="Arial" w:hAnsi="Arial" w:cs="Arial"/>
          <w:color w:val="7B7B7B" w:themeColor="accent3" w:themeShade="BF"/>
          <w:sz w:val="22"/>
          <w:szCs w:val="22"/>
          <w:lang w:val="en-GB"/>
        </w:rPr>
      </w:pPr>
      <w:r w:rsidRPr="00C858FC">
        <w:rPr>
          <w:rFonts w:ascii="Arial" w:hAnsi="Arial" w:cs="Arial"/>
          <w:color w:val="7B7B7B" w:themeColor="accent3" w:themeShade="BF"/>
          <w:sz w:val="22"/>
          <w:szCs w:val="22"/>
          <w:lang w:val="en-GB"/>
        </w:rPr>
        <w:t>What international effects will be accorded to proceedings conducted at a particular forum (including issues of enforcement)?</w:t>
      </w:r>
    </w:p>
    <w:p w14:paraId="7D616167" w14:textId="636D6AF7" w:rsidR="004E5AF7" w:rsidRDefault="004E5AF7" w:rsidP="004E5AF7">
      <w:pPr>
        <w:jc w:val="both"/>
        <w:rPr>
          <w:rFonts w:ascii="Arial" w:hAnsi="Arial" w:cs="Arial"/>
          <w:color w:val="7B7B7B" w:themeColor="accent3" w:themeShade="BF"/>
          <w:sz w:val="22"/>
          <w:szCs w:val="22"/>
          <w:lang w:val="en-GB"/>
        </w:rPr>
      </w:pPr>
    </w:p>
    <w:p w14:paraId="77AD64E3" w14:textId="18A283E4" w:rsidR="004E5AF7" w:rsidRDefault="002B3E30" w:rsidP="004E5AF7">
      <w:pPr>
        <w:ind w:left="720"/>
        <w:jc w:val="both"/>
        <w:rPr>
          <w:rFonts w:ascii="Arial" w:hAnsi="Arial" w:cs="Arial"/>
          <w:color w:val="7B7B7B" w:themeColor="accent3" w:themeShade="BF"/>
          <w:sz w:val="22"/>
          <w:szCs w:val="22"/>
          <w:lang w:val="en-GB"/>
        </w:rPr>
      </w:pPr>
      <w:r w:rsidRPr="00D14682">
        <w:rPr>
          <w:rFonts w:ascii="Arial" w:hAnsi="Arial" w:cs="Arial"/>
          <w:color w:val="7B7B7B" w:themeColor="accent3" w:themeShade="BF"/>
          <w:sz w:val="22"/>
          <w:szCs w:val="22"/>
          <w:lang w:val="en-GB"/>
        </w:rPr>
        <w:lastRenderedPageBreak/>
        <w:t>The issue here is whether a State will</w:t>
      </w:r>
      <w:r w:rsidR="0034205B" w:rsidRPr="00D14682">
        <w:rPr>
          <w:rFonts w:ascii="Arial" w:hAnsi="Arial" w:cs="Arial"/>
          <w:color w:val="7B7B7B" w:themeColor="accent3" w:themeShade="BF"/>
          <w:sz w:val="22"/>
          <w:szCs w:val="22"/>
          <w:lang w:val="en-GB"/>
        </w:rPr>
        <w:t xml:space="preserve"> recognise or cooperate with foreign insolvency proceedings in the local court and grant access to the foreign insolvency representative to the assets held in th</w:t>
      </w:r>
      <w:r w:rsidR="00D14682" w:rsidRPr="00D14682">
        <w:rPr>
          <w:rFonts w:ascii="Arial" w:hAnsi="Arial" w:cs="Arial"/>
          <w:color w:val="7B7B7B" w:themeColor="accent3" w:themeShade="BF"/>
          <w:sz w:val="22"/>
          <w:szCs w:val="22"/>
          <w:lang w:val="en-GB"/>
        </w:rPr>
        <w:t>at</w:t>
      </w:r>
      <w:r w:rsidR="0034205B" w:rsidRPr="00D14682">
        <w:rPr>
          <w:rFonts w:ascii="Arial" w:hAnsi="Arial" w:cs="Arial"/>
          <w:color w:val="7B7B7B" w:themeColor="accent3" w:themeShade="BF"/>
          <w:sz w:val="22"/>
          <w:szCs w:val="22"/>
          <w:lang w:val="en-GB"/>
        </w:rPr>
        <w:t xml:space="preserve"> State. </w:t>
      </w:r>
    </w:p>
    <w:p w14:paraId="2DAA9334" w14:textId="77777777" w:rsidR="003E36AB" w:rsidRPr="00D14682" w:rsidRDefault="003E36AB" w:rsidP="004E5AF7">
      <w:pPr>
        <w:ind w:left="720"/>
        <w:jc w:val="both"/>
        <w:rPr>
          <w:rFonts w:ascii="Arial" w:hAnsi="Arial" w:cs="Arial"/>
          <w:color w:val="7B7B7B" w:themeColor="accent3" w:themeShade="BF"/>
          <w:sz w:val="22"/>
          <w:szCs w:val="22"/>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17FEDBF3" w14:textId="5A49AAFE" w:rsidR="00C858FC" w:rsidRDefault="00C858F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prominent case law example with respect to the last quotation is the 1991 Maxwell Communications Corporation plc cross-border case. In this case there were concurrent </w:t>
      </w:r>
      <w:r w:rsidR="00F315B4">
        <w:rPr>
          <w:rFonts w:ascii="Arial" w:hAnsi="Arial" w:cs="Arial"/>
          <w:color w:val="7B7B7B" w:themeColor="accent3" w:themeShade="BF"/>
          <w:sz w:val="22"/>
          <w:szCs w:val="22"/>
          <w:lang w:val="en-GB"/>
        </w:rPr>
        <w:t xml:space="preserve">primary </w:t>
      </w:r>
      <w:r>
        <w:rPr>
          <w:rFonts w:ascii="Arial" w:hAnsi="Arial" w:cs="Arial"/>
          <w:color w:val="7B7B7B" w:themeColor="accent3" w:themeShade="BF"/>
          <w:sz w:val="22"/>
          <w:szCs w:val="22"/>
          <w:lang w:val="en-GB"/>
        </w:rPr>
        <w:t xml:space="preserve">insolvency proceedings in the United States and </w:t>
      </w:r>
      <w:r w:rsidR="001F1FE7">
        <w:rPr>
          <w:rFonts w:ascii="Arial" w:hAnsi="Arial" w:cs="Arial"/>
          <w:color w:val="7B7B7B" w:themeColor="accent3" w:themeShade="BF"/>
          <w:sz w:val="22"/>
          <w:szCs w:val="22"/>
          <w:lang w:val="en-GB"/>
        </w:rPr>
        <w:t>United Kingdom</w:t>
      </w:r>
      <w:r w:rsidR="009F09A3">
        <w:rPr>
          <w:rFonts w:ascii="Arial" w:hAnsi="Arial" w:cs="Arial"/>
          <w:color w:val="7B7B7B" w:themeColor="accent3" w:themeShade="BF"/>
          <w:sz w:val="22"/>
          <w:szCs w:val="22"/>
          <w:lang w:val="en-GB"/>
        </w:rPr>
        <w:t>, Chapter 11 proceedings and administration proceedings, respectively</w:t>
      </w:r>
      <w:r w:rsidR="00573538">
        <w:rPr>
          <w:rFonts w:ascii="Arial" w:hAnsi="Arial" w:cs="Arial"/>
          <w:color w:val="7B7B7B" w:themeColor="accent3" w:themeShade="BF"/>
          <w:sz w:val="22"/>
          <w:szCs w:val="22"/>
          <w:lang w:val="en-GB"/>
        </w:rPr>
        <w:t>, with separate insolvency representatives in each jurisdiction</w:t>
      </w:r>
      <w:r>
        <w:rPr>
          <w:rFonts w:ascii="Arial" w:hAnsi="Arial" w:cs="Arial"/>
          <w:color w:val="7B7B7B" w:themeColor="accent3" w:themeShade="BF"/>
          <w:sz w:val="22"/>
          <w:szCs w:val="22"/>
          <w:lang w:val="en-GB"/>
        </w:rPr>
        <w:t xml:space="preserve">. These concurrent proceedings were coordinated through an </w:t>
      </w:r>
      <w:r w:rsidR="00573538">
        <w:rPr>
          <w:rFonts w:ascii="Arial" w:hAnsi="Arial" w:cs="Arial"/>
          <w:color w:val="7B7B7B" w:themeColor="accent3" w:themeShade="BF"/>
          <w:sz w:val="22"/>
          <w:szCs w:val="22"/>
          <w:lang w:val="en-GB"/>
        </w:rPr>
        <w:t>insolvency agreement</w:t>
      </w:r>
      <w:r>
        <w:rPr>
          <w:rFonts w:ascii="Arial" w:hAnsi="Arial" w:cs="Arial"/>
          <w:color w:val="7B7B7B" w:themeColor="accent3" w:themeShade="BF"/>
          <w:sz w:val="22"/>
          <w:szCs w:val="22"/>
          <w:lang w:val="en-GB"/>
        </w:rPr>
        <w:t xml:space="preserve"> approved by the courts in the US and UK</w:t>
      </w:r>
      <w:r w:rsidR="00573538">
        <w:rPr>
          <w:rFonts w:ascii="Arial" w:hAnsi="Arial" w:cs="Arial"/>
          <w:color w:val="7B7B7B" w:themeColor="accent3" w:themeShade="BF"/>
          <w:sz w:val="22"/>
          <w:szCs w:val="22"/>
          <w:lang w:val="en-GB"/>
        </w:rPr>
        <w:t xml:space="preserve">, with </w:t>
      </w:r>
      <w:r w:rsidR="009F6E34">
        <w:rPr>
          <w:rFonts w:ascii="Arial" w:hAnsi="Arial" w:cs="Arial"/>
          <w:color w:val="7B7B7B" w:themeColor="accent3" w:themeShade="BF"/>
          <w:sz w:val="22"/>
          <w:szCs w:val="22"/>
          <w:lang w:val="en-GB"/>
        </w:rPr>
        <w:t>the UK court/English law governing the proceedings</w:t>
      </w:r>
      <w:r w:rsidR="001F1FE7">
        <w:rPr>
          <w:rFonts w:ascii="Arial" w:hAnsi="Arial" w:cs="Arial"/>
          <w:color w:val="7B7B7B" w:themeColor="accent3" w:themeShade="BF"/>
          <w:sz w:val="22"/>
          <w:szCs w:val="22"/>
          <w:lang w:val="en-GB"/>
        </w:rPr>
        <w:t xml:space="preserve"> and the US court deferring to the UK proceedings. </w:t>
      </w:r>
    </w:p>
    <w:p w14:paraId="1EC1C08A" w14:textId="0A043997" w:rsidR="00573538" w:rsidRDefault="00573538" w:rsidP="00B7193E">
      <w:pPr>
        <w:jc w:val="both"/>
        <w:rPr>
          <w:rFonts w:ascii="Arial" w:hAnsi="Arial" w:cs="Arial"/>
          <w:color w:val="7B7B7B" w:themeColor="accent3" w:themeShade="BF"/>
          <w:sz w:val="22"/>
          <w:szCs w:val="22"/>
          <w:lang w:val="en-GB"/>
        </w:rPr>
      </w:pPr>
    </w:p>
    <w:p w14:paraId="22C10BA9" w14:textId="612169DE" w:rsidR="00573538" w:rsidRDefault="00573538" w:rsidP="0057353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Pr="00573538">
        <w:rPr>
          <w:rFonts w:ascii="Arial" w:hAnsi="Arial" w:cs="Arial"/>
          <w:color w:val="7B7B7B" w:themeColor="accent3" w:themeShade="BF"/>
          <w:sz w:val="22"/>
          <w:szCs w:val="22"/>
          <w:lang w:val="en-GB"/>
        </w:rPr>
        <w:t>Under the agreement, two goals were set to guide the insolvency representatives: maximising the value of the stated and harmonizing the proceedings to minimize expense, waste and jurisdictional conflict.</w:t>
      </w:r>
      <w:r>
        <w:rPr>
          <w:rFonts w:ascii="Arial" w:hAnsi="Arial" w:cs="Arial"/>
          <w:color w:val="7B7B7B" w:themeColor="accent3" w:themeShade="BF"/>
          <w:sz w:val="22"/>
          <w:szCs w:val="22"/>
          <w:lang w:val="en-GB"/>
        </w:rPr>
        <w:t>”</w:t>
      </w:r>
      <w:r>
        <w:rPr>
          <w:rStyle w:val="FootnoteReference"/>
          <w:rFonts w:ascii="Arial" w:hAnsi="Arial" w:cs="Arial"/>
          <w:color w:val="7B7B7B" w:themeColor="accent3" w:themeShade="BF"/>
          <w:sz w:val="22"/>
          <w:szCs w:val="22"/>
          <w:lang w:val="en-GB"/>
        </w:rPr>
        <w:footnoteReference w:id="2"/>
      </w:r>
    </w:p>
    <w:p w14:paraId="59E764FB" w14:textId="252E2C4D" w:rsidR="00573538" w:rsidRDefault="00573538" w:rsidP="00573538">
      <w:pPr>
        <w:jc w:val="both"/>
        <w:rPr>
          <w:rFonts w:ascii="Arial" w:hAnsi="Arial" w:cs="Arial"/>
          <w:color w:val="7B7B7B" w:themeColor="accent3" w:themeShade="BF"/>
          <w:sz w:val="22"/>
          <w:szCs w:val="22"/>
          <w:lang w:val="en-GB"/>
        </w:rPr>
      </w:pPr>
    </w:p>
    <w:p w14:paraId="6D26B5F4" w14:textId="77777777" w:rsidR="007521BA" w:rsidRDefault="007F23F2" w:rsidP="0057353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initial agreement addressed a number of issues and </w:t>
      </w:r>
      <w:r w:rsidR="007521BA">
        <w:rPr>
          <w:rFonts w:ascii="Arial" w:hAnsi="Arial" w:cs="Arial"/>
          <w:color w:val="7B7B7B" w:themeColor="accent3" w:themeShade="BF"/>
          <w:sz w:val="22"/>
          <w:szCs w:val="22"/>
          <w:lang w:val="en-GB"/>
        </w:rPr>
        <w:t xml:space="preserve">determined how each court should act with respect to the same. This ensured cooperation between the courts and the insolvency representatives. This also allowed the insolvency representatives to take action without delay as the issues had been resolved through the agreement in place. </w:t>
      </w:r>
    </w:p>
    <w:p w14:paraId="278874C1" w14:textId="77777777" w:rsidR="007521BA" w:rsidRDefault="007521BA" w:rsidP="00573538">
      <w:pPr>
        <w:jc w:val="both"/>
        <w:rPr>
          <w:rFonts w:ascii="Arial" w:hAnsi="Arial" w:cs="Arial"/>
          <w:color w:val="7B7B7B" w:themeColor="accent3" w:themeShade="BF"/>
          <w:sz w:val="22"/>
          <w:szCs w:val="22"/>
          <w:lang w:val="en-GB"/>
        </w:rPr>
      </w:pPr>
    </w:p>
    <w:p w14:paraId="77663F11" w14:textId="7E518717" w:rsidR="00573538" w:rsidRDefault="007521BA" w:rsidP="0057353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other issues that arose during the course of the proceedings were addressed in extensions to the agreement. </w:t>
      </w:r>
    </w:p>
    <w:p w14:paraId="11938FC7" w14:textId="77777777" w:rsidR="007521BA" w:rsidRDefault="007521BA" w:rsidP="00573538">
      <w:pPr>
        <w:jc w:val="both"/>
        <w:rPr>
          <w:rFonts w:ascii="Arial" w:hAnsi="Arial" w:cs="Arial"/>
          <w:color w:val="7B7B7B" w:themeColor="accent3" w:themeShade="BF"/>
          <w:sz w:val="22"/>
          <w:szCs w:val="22"/>
          <w:lang w:val="en-GB"/>
        </w:rPr>
      </w:pPr>
    </w:p>
    <w:p w14:paraId="1E21A255" w14:textId="39E76B9E" w:rsidR="007521BA" w:rsidRPr="00573538" w:rsidRDefault="007521BA" w:rsidP="0057353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Reference to the proceedings in this case is made throughout the </w:t>
      </w:r>
      <w:r w:rsidRPr="007521BA">
        <w:rPr>
          <w:rFonts w:ascii="Arial" w:hAnsi="Arial" w:cs="Arial"/>
          <w:color w:val="7B7B7B" w:themeColor="accent3" w:themeShade="BF"/>
          <w:sz w:val="22"/>
          <w:szCs w:val="22"/>
          <w:lang w:val="en-GB"/>
        </w:rPr>
        <w:t xml:space="preserve">UNCITRAL Practice Guide on Cross-Border Insolvency Cooperation </w:t>
      </w:r>
      <w:r>
        <w:rPr>
          <w:rFonts w:ascii="Arial" w:hAnsi="Arial" w:cs="Arial"/>
          <w:color w:val="7B7B7B" w:themeColor="accent3" w:themeShade="BF"/>
          <w:sz w:val="22"/>
          <w:szCs w:val="22"/>
          <w:lang w:val="en-GB"/>
        </w:rPr>
        <w:t>(</w:t>
      </w:r>
      <w:r w:rsidRPr="007521BA">
        <w:rPr>
          <w:rFonts w:ascii="Arial" w:hAnsi="Arial" w:cs="Arial"/>
          <w:color w:val="7B7B7B" w:themeColor="accent3" w:themeShade="BF"/>
          <w:sz w:val="22"/>
          <w:szCs w:val="22"/>
          <w:lang w:val="en-GB"/>
        </w:rPr>
        <w:t>2009</w:t>
      </w:r>
      <w:r>
        <w:rPr>
          <w:rFonts w:ascii="Arial" w:hAnsi="Arial" w:cs="Arial"/>
          <w:color w:val="7B7B7B" w:themeColor="accent3" w:themeShade="BF"/>
          <w:sz w:val="22"/>
          <w:szCs w:val="22"/>
          <w:lang w:val="en-GB"/>
        </w:rPr>
        <w:t xml:space="preserve">). </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1A9E686C" w14:textId="05C80287" w:rsidR="00597B43" w:rsidRDefault="00597B4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Despite the UK leaving the European Union on 31 January 2020 at 11pm, there was a transitional period where</w:t>
      </w:r>
      <w:r w:rsidR="001E447E">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when main proceedings were opened prior to expiration of this period, the European Insolvency Regulation Recast (“EIR Recast”) would apply to such proceedings. As the proceedings against Rydell were open on 18 June 2020,</w:t>
      </w:r>
      <w:r w:rsidR="004E5AF7">
        <w:rPr>
          <w:rFonts w:ascii="Arial" w:hAnsi="Arial" w:cs="Arial"/>
          <w:color w:val="7B7B7B" w:themeColor="accent3" w:themeShade="BF"/>
          <w:sz w:val="22"/>
          <w:szCs w:val="22"/>
          <w:lang w:val="en-GB"/>
        </w:rPr>
        <w:t xml:space="preserve"> i.e.</w:t>
      </w:r>
      <w:r>
        <w:rPr>
          <w:rFonts w:ascii="Arial" w:hAnsi="Arial" w:cs="Arial"/>
          <w:color w:val="7B7B7B" w:themeColor="accent3" w:themeShade="BF"/>
          <w:sz w:val="22"/>
          <w:szCs w:val="22"/>
          <w:lang w:val="en-GB"/>
        </w:rPr>
        <w:t xml:space="preserve"> within the transitional period, EIR Recast would apply to these proceedings. </w:t>
      </w:r>
    </w:p>
    <w:p w14:paraId="17237D9B" w14:textId="77777777" w:rsidR="00597B43" w:rsidRDefault="00597B43" w:rsidP="00B7193E">
      <w:pPr>
        <w:jc w:val="both"/>
        <w:rPr>
          <w:rFonts w:ascii="Arial" w:hAnsi="Arial" w:cs="Arial"/>
          <w:color w:val="7B7B7B" w:themeColor="accent3" w:themeShade="BF"/>
          <w:sz w:val="22"/>
          <w:szCs w:val="22"/>
          <w:lang w:val="en-GB"/>
        </w:rPr>
      </w:pPr>
    </w:p>
    <w:p w14:paraId="509950B4" w14:textId="4BE46FAD" w:rsidR="00597B43" w:rsidRDefault="00E1596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597B43">
        <w:rPr>
          <w:rFonts w:ascii="Arial" w:hAnsi="Arial" w:cs="Arial"/>
          <w:color w:val="7B7B7B" w:themeColor="accent3" w:themeShade="BF"/>
          <w:sz w:val="22"/>
          <w:szCs w:val="22"/>
          <w:lang w:val="en-GB"/>
        </w:rPr>
        <w:t xml:space="preserve"> EIR Recast considers a company’s COMI, when determining the jurisdiction where primary proceedings are allocated.  In this case, under the EIR Recast, the jurisdiction of the primary proceedings would be the UK. The EIR Recast does also allow for secondary proceedings to be opened in other member States where the debtor has an establishment. </w:t>
      </w:r>
    </w:p>
    <w:p w14:paraId="0B3420E0" w14:textId="69DDD5DD" w:rsidR="001D1732" w:rsidRDefault="001D1732" w:rsidP="00B7193E">
      <w:pPr>
        <w:jc w:val="both"/>
        <w:rPr>
          <w:rFonts w:ascii="Arial" w:hAnsi="Arial" w:cs="Arial"/>
          <w:color w:val="7B7B7B" w:themeColor="accent3" w:themeShade="BF"/>
          <w:sz w:val="22"/>
          <w:szCs w:val="22"/>
          <w:lang w:val="en-GB"/>
        </w:rPr>
      </w:pPr>
    </w:p>
    <w:p w14:paraId="76F2A1AA" w14:textId="1E31A71D" w:rsidR="001D1732" w:rsidRPr="001D1732" w:rsidRDefault="001D1732" w:rsidP="001D1732">
      <w:pPr>
        <w:jc w:val="both"/>
        <w:rPr>
          <w:rFonts w:ascii="Arial" w:hAnsi="Arial" w:cs="Arial"/>
          <w:sz w:val="22"/>
          <w:szCs w:val="22"/>
          <w:lang w:val="en-GB"/>
        </w:rPr>
      </w:pPr>
      <w:r>
        <w:rPr>
          <w:rFonts w:ascii="Arial" w:hAnsi="Arial" w:cs="Arial"/>
          <w:color w:val="7B7B7B" w:themeColor="accent3" w:themeShade="BF"/>
          <w:sz w:val="22"/>
          <w:szCs w:val="22"/>
          <w:lang w:val="en-GB"/>
        </w:rPr>
        <w:t xml:space="preserve">To fully consider if the EIR Recast would apply to these secondary proceedings further information would need to be provided in relation to the country where Fernz is considering opening the secondary proceedings and whether </w:t>
      </w:r>
      <w:r w:rsidRPr="001D1732">
        <w:rPr>
          <w:rFonts w:ascii="Arial" w:hAnsi="Arial" w:cs="Arial"/>
          <w:color w:val="7B7B7B" w:themeColor="accent3" w:themeShade="BF"/>
          <w:sz w:val="22"/>
          <w:szCs w:val="22"/>
          <w:lang w:val="en-GB"/>
        </w:rPr>
        <w:t>Rydell has an ‘establishment’ in th</w:t>
      </w:r>
      <w:r>
        <w:rPr>
          <w:rFonts w:ascii="Arial" w:hAnsi="Arial" w:cs="Arial"/>
          <w:color w:val="7B7B7B" w:themeColor="accent3" w:themeShade="BF"/>
          <w:sz w:val="22"/>
          <w:szCs w:val="22"/>
          <w:lang w:val="en-GB"/>
        </w:rPr>
        <w:t>is</w:t>
      </w:r>
      <w:r w:rsidRPr="001D1732">
        <w:rPr>
          <w:rFonts w:ascii="Arial" w:hAnsi="Arial" w:cs="Arial"/>
          <w:color w:val="7B7B7B" w:themeColor="accent3" w:themeShade="BF"/>
          <w:sz w:val="22"/>
          <w:szCs w:val="22"/>
          <w:lang w:val="en-GB"/>
        </w:rPr>
        <w:t xml:space="preserve"> country – under the EIR Recast ‘establishment’ is defined as ”</w:t>
      </w:r>
      <w:r w:rsidRPr="001D1732">
        <w:rPr>
          <w:rFonts w:ascii="Arial" w:hAnsi="Arial" w:cs="Arial"/>
          <w:i/>
          <w:iCs/>
          <w:color w:val="7B7B7B" w:themeColor="accent3" w:themeShade="BF"/>
          <w:sz w:val="22"/>
          <w:szCs w:val="22"/>
          <w:lang w:val="en-GB"/>
        </w:rPr>
        <w:t>any place of operations where a debtor carries out or has carried out in the 3-month period prior to the request to open main insolvency proceedings a non-transitory economic activity with human means and assets</w:t>
      </w:r>
      <w:r w:rsidRPr="001D1732">
        <w:rPr>
          <w:rFonts w:ascii="Arial" w:hAnsi="Arial" w:cs="Arial"/>
          <w:color w:val="7B7B7B" w:themeColor="accent3" w:themeShade="BF"/>
          <w:sz w:val="22"/>
          <w:szCs w:val="22"/>
          <w:lang w:val="en-GB"/>
        </w:rPr>
        <w:t>”.</w:t>
      </w:r>
    </w:p>
    <w:p w14:paraId="74FEB1C9" w14:textId="77777777" w:rsidR="001D1732" w:rsidRPr="001D1732" w:rsidRDefault="001D1732" w:rsidP="001D1732">
      <w:pPr>
        <w:pStyle w:val="ListParagraph"/>
        <w:numPr>
          <w:ilvl w:val="0"/>
          <w:numId w:val="19"/>
        </w:numPr>
        <w:jc w:val="both"/>
        <w:rPr>
          <w:rFonts w:ascii="Arial" w:hAnsi="Arial" w:cs="Arial"/>
          <w:vanish/>
          <w:sz w:val="22"/>
          <w:szCs w:val="22"/>
          <w:lang w:val="en-KY"/>
        </w:rPr>
      </w:pPr>
    </w:p>
    <w:p w14:paraId="379B7081" w14:textId="77777777" w:rsidR="001D1732" w:rsidRPr="001D1732" w:rsidRDefault="001D1732" w:rsidP="001D1732">
      <w:pPr>
        <w:rPr>
          <w:rFonts w:ascii="Times New Roman" w:hAnsi="Times New Roman" w:cs="Times New Roman"/>
          <w:vanish/>
          <w:sz w:val="24"/>
          <w:lang w:val="en-KY" w:eastAsia="en-GB"/>
        </w:rPr>
      </w:pPr>
    </w:p>
    <w:p w14:paraId="40672C3D" w14:textId="725A4FD0" w:rsidR="001D1732" w:rsidRPr="001D1732" w:rsidRDefault="001D1732" w:rsidP="001D1732">
      <w:pPr>
        <w:pStyle w:val="ListParagraph"/>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5D3FC3AE" w:rsidR="00015EE6" w:rsidRDefault="00C858FC"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proceedings were opened in the UK on 18 June 2021 instead of 18 June 2020, the European Insolvency Regulation Recast </w:t>
      </w:r>
      <w:r w:rsidR="001D1732">
        <w:rPr>
          <w:rFonts w:ascii="Arial" w:hAnsi="Arial" w:cs="Arial"/>
          <w:color w:val="7B7B7B" w:themeColor="accent3" w:themeShade="BF"/>
          <w:sz w:val="22"/>
          <w:szCs w:val="22"/>
          <w:lang w:val="en-GB"/>
        </w:rPr>
        <w:t xml:space="preserve">(“EIR Recast”) </w:t>
      </w:r>
      <w:r>
        <w:rPr>
          <w:rFonts w:ascii="Arial" w:hAnsi="Arial" w:cs="Arial"/>
          <w:color w:val="7B7B7B" w:themeColor="accent3" w:themeShade="BF"/>
          <w:sz w:val="22"/>
          <w:szCs w:val="22"/>
          <w:lang w:val="en-GB"/>
        </w:rPr>
        <w:t xml:space="preserve">would not apply. Following the UK leaving the European Union on 31 January 2020 (11pm), the EIR Recast ceased to apply from 11 pm on 31 December 2020, i.e., expiry of the transitional period. Where main proceedings were opened prior </w:t>
      </w:r>
      <w:r w:rsidR="007521BA">
        <w:rPr>
          <w:rFonts w:ascii="Arial" w:hAnsi="Arial" w:cs="Arial"/>
          <w:color w:val="7B7B7B" w:themeColor="accent3" w:themeShade="BF"/>
          <w:sz w:val="22"/>
          <w:szCs w:val="22"/>
          <w:lang w:val="en-GB"/>
        </w:rPr>
        <w:t xml:space="preserve">to </w:t>
      </w:r>
      <w:r>
        <w:rPr>
          <w:rFonts w:ascii="Arial" w:hAnsi="Arial" w:cs="Arial"/>
          <w:color w:val="7B7B7B" w:themeColor="accent3" w:themeShade="BF"/>
          <w:sz w:val="22"/>
          <w:szCs w:val="22"/>
          <w:lang w:val="en-GB"/>
        </w:rPr>
        <w:t>exp</w:t>
      </w:r>
      <w:r w:rsidR="000F3F73">
        <w:rPr>
          <w:rFonts w:ascii="Arial" w:hAnsi="Arial" w:cs="Arial"/>
          <w:color w:val="7B7B7B" w:themeColor="accent3" w:themeShade="BF"/>
          <w:sz w:val="22"/>
          <w:szCs w:val="22"/>
          <w:lang w:val="en-GB"/>
        </w:rPr>
        <w:t>iration</w:t>
      </w:r>
      <w:r>
        <w:rPr>
          <w:rFonts w:ascii="Arial" w:hAnsi="Arial" w:cs="Arial"/>
          <w:color w:val="7B7B7B" w:themeColor="accent3" w:themeShade="BF"/>
          <w:sz w:val="22"/>
          <w:szCs w:val="22"/>
          <w:lang w:val="en-GB"/>
        </w:rPr>
        <w:t xml:space="preserve"> of the transitional period</w:t>
      </w:r>
      <w:r w:rsidR="000F3F7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w:t>
      </w:r>
      <w:r w:rsidR="001D1732">
        <w:rPr>
          <w:rFonts w:ascii="Arial" w:hAnsi="Arial" w:cs="Arial"/>
          <w:color w:val="7B7B7B" w:themeColor="accent3" w:themeShade="BF"/>
          <w:sz w:val="22"/>
          <w:szCs w:val="22"/>
          <w:lang w:val="en-GB"/>
        </w:rPr>
        <w:t>EIR Recast</w:t>
      </w:r>
      <w:r>
        <w:rPr>
          <w:rFonts w:ascii="Arial" w:hAnsi="Arial" w:cs="Arial"/>
          <w:color w:val="7B7B7B" w:themeColor="accent3" w:themeShade="BF"/>
          <w:sz w:val="22"/>
          <w:szCs w:val="22"/>
          <w:lang w:val="en-GB"/>
        </w:rPr>
        <w:t xml:space="preserve"> applied.  </w:t>
      </w:r>
    </w:p>
    <w:p w14:paraId="7242C65F" w14:textId="06C11464" w:rsidR="001E447E" w:rsidRDefault="001E447E" w:rsidP="00C45A03">
      <w:pPr>
        <w:jc w:val="both"/>
        <w:rPr>
          <w:rFonts w:ascii="Arial" w:hAnsi="Arial" w:cs="Arial"/>
          <w:color w:val="7B7B7B" w:themeColor="accent3" w:themeShade="BF"/>
          <w:sz w:val="22"/>
          <w:szCs w:val="22"/>
          <w:lang w:val="en-GB"/>
        </w:rPr>
      </w:pPr>
    </w:p>
    <w:p w14:paraId="3837E6C4" w14:textId="4513608D" w:rsidR="001E447E" w:rsidRDefault="001E447E"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the EIR Recast would not apply as at this date, we would </w:t>
      </w:r>
      <w:r w:rsidR="00A53744">
        <w:rPr>
          <w:rFonts w:ascii="Arial" w:hAnsi="Arial" w:cs="Arial"/>
          <w:color w:val="7B7B7B" w:themeColor="accent3" w:themeShade="BF"/>
          <w:sz w:val="22"/>
          <w:szCs w:val="22"/>
          <w:lang w:val="en-GB"/>
        </w:rPr>
        <w:t xml:space="preserve">require further information </w:t>
      </w:r>
      <w:r w:rsidR="004E5AF7">
        <w:rPr>
          <w:rFonts w:ascii="Arial" w:hAnsi="Arial" w:cs="Arial"/>
          <w:color w:val="7B7B7B" w:themeColor="accent3" w:themeShade="BF"/>
          <w:sz w:val="22"/>
          <w:szCs w:val="22"/>
          <w:lang w:val="en-GB"/>
        </w:rPr>
        <w:t>on the</w:t>
      </w:r>
      <w:r>
        <w:rPr>
          <w:rFonts w:ascii="Arial" w:hAnsi="Arial" w:cs="Arial"/>
          <w:color w:val="7B7B7B" w:themeColor="accent3" w:themeShade="BF"/>
          <w:sz w:val="22"/>
          <w:szCs w:val="22"/>
          <w:lang w:val="en-GB"/>
        </w:rPr>
        <w:t xml:space="preserve"> country where Fernz is located</w:t>
      </w:r>
      <w:r w:rsidR="00A5374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to determine if secondary procedures may be opened.  </w:t>
      </w:r>
    </w:p>
    <w:p w14:paraId="10ACEBD1" w14:textId="77777777" w:rsidR="00966E44" w:rsidRPr="00205B31" w:rsidRDefault="00966E44" w:rsidP="00B7193E">
      <w:pPr>
        <w:jc w:val="both"/>
        <w:rPr>
          <w:rFonts w:ascii="Arial" w:hAnsi="Arial" w:cs="Arial"/>
          <w:b/>
          <w:bCs/>
          <w:sz w:val="22"/>
          <w:szCs w:val="22"/>
          <w:lang w:val="en-GB"/>
        </w:rPr>
      </w:pPr>
    </w:p>
    <w:p w14:paraId="37B6D7C0" w14:textId="77777777" w:rsidR="00CD3129" w:rsidRDefault="00CD3129" w:rsidP="00B7193E">
      <w:pPr>
        <w:jc w:val="both"/>
        <w:rPr>
          <w:rFonts w:ascii="Arial" w:hAnsi="Arial" w:cs="Arial"/>
          <w:b/>
          <w:bCs/>
          <w:sz w:val="22"/>
          <w:szCs w:val="22"/>
          <w:lang w:val="en-GB"/>
        </w:rPr>
      </w:pPr>
    </w:p>
    <w:p w14:paraId="49881726" w14:textId="77777777" w:rsidR="00CD3129" w:rsidRDefault="00CD3129" w:rsidP="00B7193E">
      <w:pPr>
        <w:jc w:val="both"/>
        <w:rPr>
          <w:rFonts w:ascii="Arial" w:hAnsi="Arial" w:cs="Arial"/>
          <w:b/>
          <w:bCs/>
          <w:sz w:val="22"/>
          <w:szCs w:val="22"/>
          <w:lang w:val="en-GB"/>
        </w:rPr>
      </w:pPr>
    </w:p>
    <w:p w14:paraId="11FF7B18" w14:textId="77777777" w:rsidR="00CD3129" w:rsidRDefault="00CD3129" w:rsidP="00B7193E">
      <w:pPr>
        <w:jc w:val="both"/>
        <w:rPr>
          <w:rFonts w:ascii="Arial" w:hAnsi="Arial" w:cs="Arial"/>
          <w:b/>
          <w:bCs/>
          <w:sz w:val="22"/>
          <w:szCs w:val="22"/>
          <w:lang w:val="en-GB"/>
        </w:rPr>
      </w:pPr>
    </w:p>
    <w:p w14:paraId="635794AD" w14:textId="77777777" w:rsidR="00CD3129" w:rsidRDefault="00CD3129" w:rsidP="00B7193E">
      <w:pPr>
        <w:jc w:val="both"/>
        <w:rPr>
          <w:rFonts w:ascii="Arial" w:hAnsi="Arial" w:cs="Arial"/>
          <w:b/>
          <w:bCs/>
          <w:sz w:val="22"/>
          <w:szCs w:val="22"/>
          <w:lang w:val="en-GB"/>
        </w:rPr>
      </w:pPr>
    </w:p>
    <w:p w14:paraId="4D7A55AE" w14:textId="77777777" w:rsidR="00CD3129" w:rsidRDefault="00CD3129" w:rsidP="00B7193E">
      <w:pPr>
        <w:jc w:val="both"/>
        <w:rPr>
          <w:rFonts w:ascii="Arial" w:hAnsi="Arial" w:cs="Arial"/>
          <w:b/>
          <w:bCs/>
          <w:sz w:val="22"/>
          <w:szCs w:val="22"/>
          <w:lang w:val="en-GB"/>
        </w:rPr>
      </w:pPr>
    </w:p>
    <w:p w14:paraId="033C67A4" w14:textId="6935C2CF"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1E311692"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13BDBDDE" w14:textId="6D410648" w:rsidR="00123171" w:rsidRDefault="00123171"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UK domestic laws that would be relevant when considering the winding up of an unregistered company in the UK would be the Insolvency Act 1986</w:t>
      </w:r>
      <w:r w:rsidR="005C13D7">
        <w:rPr>
          <w:rFonts w:ascii="Arial" w:hAnsi="Arial" w:cs="Arial"/>
          <w:color w:val="7B7B7B" w:themeColor="accent3" w:themeShade="BF"/>
          <w:sz w:val="22"/>
          <w:szCs w:val="22"/>
          <w:lang w:val="en-GB"/>
        </w:rPr>
        <w:t xml:space="preserve"> and the Corporate Insolvency and Governance Act 2020</w:t>
      </w:r>
      <w:r w:rsidR="004E5AF7">
        <w:rPr>
          <w:rFonts w:ascii="Arial" w:hAnsi="Arial" w:cs="Arial"/>
          <w:color w:val="7B7B7B" w:themeColor="accent3" w:themeShade="BF"/>
          <w:sz w:val="22"/>
          <w:szCs w:val="22"/>
          <w:lang w:val="en-GB"/>
        </w:rPr>
        <w:t xml:space="preserve"> (“CIGA 2020”)</w:t>
      </w:r>
      <w:r>
        <w:rPr>
          <w:rFonts w:ascii="Arial" w:hAnsi="Arial" w:cs="Arial"/>
          <w:color w:val="7B7B7B" w:themeColor="accent3" w:themeShade="BF"/>
          <w:sz w:val="22"/>
          <w:szCs w:val="22"/>
          <w:lang w:val="en-GB"/>
        </w:rPr>
        <w:t xml:space="preserve">. </w:t>
      </w:r>
    </w:p>
    <w:p w14:paraId="64EEDC1B" w14:textId="77777777" w:rsidR="00123171" w:rsidRDefault="00123171"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3CAE42BE" w14:textId="331E1AB9" w:rsidR="00015EE6" w:rsidRDefault="00123171"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w:t>
      </w:r>
      <w:r w:rsidR="000F3F73">
        <w:rPr>
          <w:rFonts w:ascii="Arial" w:hAnsi="Arial" w:cs="Arial"/>
          <w:color w:val="7B7B7B" w:themeColor="accent3" w:themeShade="BF"/>
          <w:sz w:val="22"/>
          <w:szCs w:val="22"/>
          <w:lang w:val="en-GB"/>
        </w:rPr>
        <w:t>Section 221</w:t>
      </w:r>
      <w:r>
        <w:rPr>
          <w:rFonts w:ascii="Arial" w:hAnsi="Arial" w:cs="Arial"/>
          <w:color w:val="7B7B7B" w:themeColor="accent3" w:themeShade="BF"/>
          <w:sz w:val="22"/>
          <w:szCs w:val="22"/>
          <w:lang w:val="en-GB"/>
        </w:rPr>
        <w:t xml:space="preserve">(5) </w:t>
      </w:r>
      <w:r w:rsidR="000F3F73">
        <w:rPr>
          <w:rFonts w:ascii="Arial" w:hAnsi="Arial" w:cs="Arial"/>
          <w:color w:val="7B7B7B" w:themeColor="accent3" w:themeShade="BF"/>
          <w:sz w:val="22"/>
          <w:szCs w:val="22"/>
          <w:lang w:val="en-GB"/>
        </w:rPr>
        <w:t>of the Insolvency Act 1986</w:t>
      </w:r>
      <w:r>
        <w:rPr>
          <w:rFonts w:ascii="Arial" w:hAnsi="Arial" w:cs="Arial"/>
          <w:color w:val="7B7B7B" w:themeColor="accent3" w:themeShade="BF"/>
          <w:sz w:val="22"/>
          <w:szCs w:val="22"/>
          <w:lang w:val="en-GB"/>
        </w:rPr>
        <w:t xml:space="preserve"> it is possible to wind up an unregistered company in the UK under the following circumstances: </w:t>
      </w:r>
    </w:p>
    <w:p w14:paraId="1ADA58D1" w14:textId="77777777" w:rsidR="00123171" w:rsidRPr="005C13D7" w:rsidRDefault="00123171" w:rsidP="00123171">
      <w:pPr>
        <w:pStyle w:val="ListParagraph"/>
        <w:numPr>
          <w:ilvl w:val="0"/>
          <w:numId w:val="24"/>
        </w:numPr>
        <w:autoSpaceDE w:val="0"/>
        <w:autoSpaceDN w:val="0"/>
        <w:adjustRightInd w:val="0"/>
        <w:spacing w:line="276" w:lineRule="auto"/>
        <w:jc w:val="both"/>
        <w:rPr>
          <w:rFonts w:ascii="Arial" w:hAnsi="Arial" w:cs="Arial"/>
          <w:color w:val="7B7B7B" w:themeColor="accent3" w:themeShade="BF"/>
          <w:sz w:val="22"/>
          <w:szCs w:val="22"/>
          <w:lang w:val="en-GB"/>
        </w:rPr>
      </w:pPr>
      <w:r w:rsidRPr="005C13D7">
        <w:rPr>
          <w:rFonts w:ascii="Arial" w:hAnsi="Arial" w:cs="Arial"/>
          <w:color w:val="7B7B7B" w:themeColor="accent3" w:themeShade="BF"/>
          <w:sz w:val="22"/>
          <w:szCs w:val="22"/>
          <w:lang w:val="en-GB"/>
        </w:rPr>
        <w:t>if the company is dissolved, or has ceased to carry on business, or is carrying on business only for the purpose of winding up its affairs;</w:t>
      </w:r>
    </w:p>
    <w:p w14:paraId="458E1275" w14:textId="5926C737" w:rsidR="00123171" w:rsidRPr="005C13D7" w:rsidRDefault="00123171" w:rsidP="00123171">
      <w:pPr>
        <w:pStyle w:val="ListParagraph"/>
        <w:numPr>
          <w:ilvl w:val="0"/>
          <w:numId w:val="24"/>
        </w:numPr>
        <w:autoSpaceDE w:val="0"/>
        <w:autoSpaceDN w:val="0"/>
        <w:adjustRightInd w:val="0"/>
        <w:spacing w:line="276" w:lineRule="auto"/>
        <w:jc w:val="both"/>
        <w:rPr>
          <w:rFonts w:ascii="Arial" w:hAnsi="Arial" w:cs="Arial"/>
          <w:color w:val="7B7B7B" w:themeColor="accent3" w:themeShade="BF"/>
          <w:sz w:val="22"/>
          <w:szCs w:val="22"/>
          <w:lang w:val="en-GB"/>
        </w:rPr>
      </w:pPr>
      <w:r w:rsidRPr="005C13D7">
        <w:rPr>
          <w:rFonts w:ascii="Arial" w:hAnsi="Arial" w:cs="Arial"/>
          <w:color w:val="7B7B7B" w:themeColor="accent3" w:themeShade="BF"/>
          <w:sz w:val="22"/>
          <w:szCs w:val="22"/>
          <w:lang w:val="en-GB"/>
        </w:rPr>
        <w:t>if the company is unable to pay its debts;</w:t>
      </w:r>
    </w:p>
    <w:p w14:paraId="24F40918" w14:textId="7084142F" w:rsidR="00123171" w:rsidRPr="005C13D7" w:rsidRDefault="00123171" w:rsidP="00123171">
      <w:pPr>
        <w:pStyle w:val="ListParagraph"/>
        <w:numPr>
          <w:ilvl w:val="0"/>
          <w:numId w:val="24"/>
        </w:numPr>
        <w:autoSpaceDE w:val="0"/>
        <w:autoSpaceDN w:val="0"/>
        <w:adjustRightInd w:val="0"/>
        <w:spacing w:line="276" w:lineRule="auto"/>
        <w:jc w:val="both"/>
        <w:rPr>
          <w:rFonts w:ascii="Arial" w:hAnsi="Arial" w:cs="Arial"/>
          <w:color w:val="7B7B7B" w:themeColor="accent3" w:themeShade="BF"/>
          <w:sz w:val="22"/>
          <w:szCs w:val="22"/>
          <w:lang w:val="en-GB"/>
        </w:rPr>
      </w:pPr>
      <w:r w:rsidRPr="005C13D7">
        <w:rPr>
          <w:rFonts w:ascii="Arial" w:hAnsi="Arial" w:cs="Arial"/>
          <w:color w:val="7B7B7B" w:themeColor="accent3" w:themeShade="BF"/>
          <w:sz w:val="22"/>
          <w:szCs w:val="22"/>
          <w:lang w:val="en-GB"/>
        </w:rPr>
        <w:t>if the court is of opinion that it is just and equitable that the company should be wound up.</w:t>
      </w:r>
      <w:r w:rsidR="00E1596A">
        <w:rPr>
          <w:rStyle w:val="FootnoteReference"/>
          <w:rFonts w:ascii="Arial" w:hAnsi="Arial" w:cs="Arial"/>
          <w:color w:val="7B7B7B" w:themeColor="accent3" w:themeShade="BF"/>
          <w:sz w:val="22"/>
          <w:szCs w:val="22"/>
          <w:lang w:val="en-GB"/>
        </w:rPr>
        <w:footnoteReference w:id="3"/>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3EAD3A3" w14:textId="153279BB" w:rsidR="004E5AF7" w:rsidRPr="00205B31" w:rsidRDefault="004E5AF7" w:rsidP="004E5AF7">
      <w:pPr>
        <w:jc w:val="both"/>
        <w:rPr>
          <w:rFonts w:ascii="Arial" w:hAnsi="Arial" w:cs="Arial"/>
          <w:sz w:val="22"/>
          <w:szCs w:val="22"/>
          <w:lang w:val="en-GB"/>
        </w:rPr>
      </w:pPr>
      <w:r>
        <w:rPr>
          <w:rFonts w:ascii="Arial" w:hAnsi="Arial" w:cs="Arial"/>
          <w:color w:val="7B7B7B" w:themeColor="accent3" w:themeShade="BF"/>
          <w:sz w:val="22"/>
          <w:szCs w:val="22"/>
          <w:lang w:val="en-GB"/>
        </w:rPr>
        <w:t xml:space="preserve">In addition, with respect to bringing the insolvency proceedings against Rydell in the UK, we would also need to consider the CIGA 2020. Under the CIGA 2020, a creditor cannot present a winding up petition, unless it has reasonable grounds for believing that a) </w:t>
      </w:r>
      <w:r w:rsidRPr="00E1596A">
        <w:rPr>
          <w:rFonts w:ascii="Arial" w:hAnsi="Arial" w:cs="Arial"/>
          <w:color w:val="7B7B7B" w:themeColor="accent3" w:themeShade="BF"/>
          <w:sz w:val="22"/>
          <w:szCs w:val="22"/>
          <w:lang w:val="en-GB"/>
        </w:rPr>
        <w:t>coronavirus has not had a financial effect on the company, or</w:t>
      </w:r>
      <w:r>
        <w:rPr>
          <w:rFonts w:ascii="Arial" w:hAnsi="Arial" w:cs="Arial"/>
          <w:color w:val="7B7B7B" w:themeColor="accent3" w:themeShade="BF"/>
          <w:sz w:val="22"/>
          <w:szCs w:val="22"/>
          <w:lang w:val="en-GB"/>
        </w:rPr>
        <w:t xml:space="preserve"> b) </w:t>
      </w:r>
      <w:r w:rsidRPr="00E1596A">
        <w:rPr>
          <w:rFonts w:ascii="Arial" w:hAnsi="Arial" w:cs="Arial"/>
          <w:color w:val="7B7B7B" w:themeColor="accent3" w:themeShade="BF"/>
          <w:sz w:val="22"/>
          <w:szCs w:val="22"/>
          <w:lang w:val="en-GB"/>
        </w:rPr>
        <w:t>the facts by reference to which the relevant ground applies would have arisen even if coronavirus had not had a financial effect on the company.</w:t>
      </w:r>
      <w:r>
        <w:rPr>
          <w:rStyle w:val="FootnoteReference"/>
          <w:rFonts w:ascii="Arial" w:hAnsi="Arial" w:cs="Arial"/>
          <w:color w:val="7B7B7B" w:themeColor="accent3" w:themeShade="BF"/>
          <w:sz w:val="22"/>
          <w:szCs w:val="22"/>
          <w:lang w:val="en-GB"/>
        </w:rPr>
        <w:footnoteReference w:id="4"/>
      </w:r>
      <w:r>
        <w:rPr>
          <w:rFonts w:ascii="Arial" w:hAnsi="Arial" w:cs="Arial"/>
          <w:color w:val="7B7B7B" w:themeColor="accent3" w:themeShade="BF"/>
          <w:sz w:val="22"/>
          <w:szCs w:val="22"/>
          <w:lang w:val="en-GB"/>
        </w:rPr>
        <w:t xml:space="preserve"> This was in effect from 27 April 2020 until 30 September 2021 therefore a conclusion would need to be made with respect to points a) and b) before a winding up petition could be presented. From the information provided it seems that Rydell had suffered financial effect from coronavirus but we would need further information to determine if coronavirus was the only factor. </w:t>
      </w: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D64E7" w14:textId="77777777" w:rsidR="00192486" w:rsidRDefault="00192486" w:rsidP="00241B44">
      <w:r>
        <w:separator/>
      </w:r>
    </w:p>
  </w:endnote>
  <w:endnote w:type="continuationSeparator" w:id="0">
    <w:p w14:paraId="481E3E9F" w14:textId="77777777" w:rsidR="00192486" w:rsidRDefault="0019248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1EF62DA4" w:rsidR="006E1CB0" w:rsidRPr="0052732A" w:rsidRDefault="00DE2836" w:rsidP="0052732A">
    <w:pPr>
      <w:pStyle w:val="Footer"/>
      <w:ind w:right="360"/>
      <w:rPr>
        <w:rFonts w:ascii="Arial" w:hAnsi="Arial" w:cs="Arial"/>
        <w:sz w:val="18"/>
        <w:szCs w:val="18"/>
      </w:rPr>
    </w:pPr>
    <w:r>
      <w:rPr>
        <w:rFonts w:ascii="Arial" w:hAnsi="Arial" w:cs="Arial"/>
        <w:sz w:val="18"/>
        <w:szCs w:val="18"/>
      </w:rPr>
      <w:t>2021-458</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EFD33" w14:textId="77777777" w:rsidR="00192486" w:rsidRDefault="00192486" w:rsidP="00241B44">
      <w:r>
        <w:separator/>
      </w:r>
    </w:p>
  </w:footnote>
  <w:footnote w:type="continuationSeparator" w:id="0">
    <w:p w14:paraId="7799AB31" w14:textId="77777777" w:rsidR="00192486" w:rsidRDefault="00192486" w:rsidP="00241B44">
      <w:r>
        <w:continuationSeparator/>
      </w:r>
    </w:p>
  </w:footnote>
  <w:footnote w:id="1">
    <w:p w14:paraId="679A4335" w14:textId="757114E6" w:rsidR="009F09A3" w:rsidRPr="009F09A3" w:rsidRDefault="009F09A3">
      <w:pPr>
        <w:pStyle w:val="FootnoteText"/>
      </w:pPr>
      <w:r>
        <w:rPr>
          <w:rStyle w:val="FootnoteReference"/>
        </w:rPr>
        <w:footnoteRef/>
      </w:r>
      <w:r>
        <w:t xml:space="preserve"> See Fletcher, </w:t>
      </w:r>
      <w:r>
        <w:rPr>
          <w:i/>
          <w:iCs/>
        </w:rPr>
        <w:t xml:space="preserve">supra </w:t>
      </w:r>
      <w:r>
        <w:t xml:space="preserve">note 56, pp 3 to 5 </w:t>
      </w:r>
    </w:p>
  </w:footnote>
  <w:footnote w:id="2">
    <w:p w14:paraId="02621647" w14:textId="781C6137" w:rsidR="00573538" w:rsidRPr="00573538" w:rsidRDefault="00573538">
      <w:pPr>
        <w:pStyle w:val="FootnoteText"/>
      </w:pPr>
      <w:r>
        <w:rPr>
          <w:rStyle w:val="FootnoteReference"/>
        </w:rPr>
        <w:footnoteRef/>
      </w:r>
      <w:r>
        <w:t xml:space="preserve"> </w:t>
      </w:r>
      <w:r>
        <w:rPr>
          <w:i/>
          <w:iCs/>
        </w:rPr>
        <w:t>UNCITRAL Practice Guide on Cross-Border Insolvency Cooperation</w:t>
      </w:r>
      <w:r w:rsidR="007521BA">
        <w:rPr>
          <w:i/>
          <w:iCs/>
        </w:rPr>
        <w:t>,</w:t>
      </w:r>
      <w:r>
        <w:rPr>
          <w:i/>
          <w:iCs/>
        </w:rPr>
        <w:t xml:space="preserve"> </w:t>
      </w:r>
      <w:r>
        <w:t>2009, pp 128-129.</w:t>
      </w:r>
    </w:p>
  </w:footnote>
  <w:footnote w:id="3">
    <w:p w14:paraId="160751AD" w14:textId="6ACB104F" w:rsidR="00E1596A" w:rsidRDefault="00E1596A">
      <w:pPr>
        <w:pStyle w:val="FootnoteText"/>
      </w:pPr>
      <w:r>
        <w:rPr>
          <w:rStyle w:val="FootnoteReference"/>
        </w:rPr>
        <w:footnoteRef/>
      </w:r>
      <w:r>
        <w:t xml:space="preserve"> Section 221(5) of the Insolvency Act 1986</w:t>
      </w:r>
    </w:p>
  </w:footnote>
  <w:footnote w:id="4">
    <w:p w14:paraId="72C5F70B" w14:textId="77777777" w:rsidR="004E5AF7" w:rsidRDefault="004E5AF7" w:rsidP="004E5AF7">
      <w:pPr>
        <w:pStyle w:val="FootnoteText"/>
      </w:pPr>
      <w:r>
        <w:rPr>
          <w:rStyle w:val="FootnoteReference"/>
        </w:rPr>
        <w:footnoteRef/>
      </w:r>
      <w:r>
        <w:t xml:space="preserve"> Schedule 10, Part 2(2) of the </w:t>
      </w:r>
      <w:r w:rsidRPr="00E1596A">
        <w:t>Corporate Insolvency and Governance Act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000452"/>
    <w:multiLevelType w:val="hybridMultilevel"/>
    <w:tmpl w:val="FB383408"/>
    <w:lvl w:ilvl="0" w:tplc="D23E46A8">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0706F57"/>
    <w:multiLevelType w:val="hybridMultilevel"/>
    <w:tmpl w:val="786648B8"/>
    <w:lvl w:ilvl="0" w:tplc="04090017">
      <w:start w:val="1"/>
      <w:numFmt w:val="lowerLetter"/>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EDA0D10E">
      <w:start w:val="1"/>
      <w:numFmt w:val="lowerLetter"/>
      <w:lvlText w:val="%3)"/>
      <w:lvlJc w:val="left"/>
      <w:pPr>
        <w:ind w:left="2340" w:hanging="360"/>
      </w:pPr>
      <w:rPr>
        <w:rFonts w:hint="default"/>
        <w:color w:val="7B7B7B" w:themeColor="accent3" w:themeShade="BF"/>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90A28"/>
    <w:multiLevelType w:val="hybridMultilevel"/>
    <w:tmpl w:val="0D6662BA"/>
    <w:lvl w:ilvl="0" w:tplc="7520D530">
      <w:start w:val="1"/>
      <w:numFmt w:val="low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EDA0D10E">
      <w:start w:val="1"/>
      <w:numFmt w:val="lowerLetter"/>
      <w:lvlText w:val="%3)"/>
      <w:lvlJc w:val="left"/>
      <w:pPr>
        <w:ind w:left="2340" w:hanging="360"/>
      </w:pPr>
      <w:rPr>
        <w:rFonts w:hint="default"/>
        <w:color w:val="7B7B7B" w:themeColor="accent3" w:themeShade="BF"/>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12856C3"/>
    <w:multiLevelType w:val="hybridMultilevel"/>
    <w:tmpl w:val="19901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3D62433"/>
    <w:multiLevelType w:val="hybridMultilevel"/>
    <w:tmpl w:val="8CA889F8"/>
    <w:lvl w:ilvl="0" w:tplc="894460A8">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375011"/>
    <w:multiLevelType w:val="hybridMultilevel"/>
    <w:tmpl w:val="42807A80"/>
    <w:lvl w:ilvl="0" w:tplc="7520D53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8"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A26535"/>
    <w:multiLevelType w:val="hybridMultilevel"/>
    <w:tmpl w:val="44328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73E44AC0"/>
    <w:multiLevelType w:val="hybridMultilevel"/>
    <w:tmpl w:val="F2AC7A40"/>
    <w:lvl w:ilvl="0" w:tplc="7BE8E60C">
      <w:start w:val="1"/>
      <w:numFmt w:val="decimal"/>
      <w:lvlText w:val="%1."/>
      <w:lvlJc w:val="left"/>
      <w:pPr>
        <w:ind w:left="720" w:hanging="360"/>
      </w:pPr>
      <w:rPr>
        <w:rFonts w:hint="default"/>
        <w:color w:val="A5A5A5"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1"/>
  </w:num>
  <w:num w:numId="2">
    <w:abstractNumId w:val="13"/>
  </w:num>
  <w:num w:numId="3">
    <w:abstractNumId w:val="23"/>
  </w:num>
  <w:num w:numId="4">
    <w:abstractNumId w:val="4"/>
  </w:num>
  <w:num w:numId="5">
    <w:abstractNumId w:val="2"/>
  </w:num>
  <w:num w:numId="6">
    <w:abstractNumId w:val="20"/>
  </w:num>
  <w:num w:numId="7">
    <w:abstractNumId w:val="3"/>
  </w:num>
  <w:num w:numId="8">
    <w:abstractNumId w:val="1"/>
  </w:num>
  <w:num w:numId="9">
    <w:abstractNumId w:val="0"/>
  </w:num>
  <w:num w:numId="10">
    <w:abstractNumId w:val="6"/>
  </w:num>
  <w:num w:numId="11">
    <w:abstractNumId w:val="15"/>
  </w:num>
  <w:num w:numId="12">
    <w:abstractNumId w:val="22"/>
  </w:num>
  <w:num w:numId="13">
    <w:abstractNumId w:val="17"/>
  </w:num>
  <w:num w:numId="14">
    <w:abstractNumId w:val="9"/>
  </w:num>
  <w:num w:numId="15">
    <w:abstractNumId w:val="14"/>
  </w:num>
  <w:num w:numId="16">
    <w:abstractNumId w:val="18"/>
  </w:num>
  <w:num w:numId="17">
    <w:abstractNumId w:val="5"/>
  </w:num>
  <w:num w:numId="18">
    <w:abstractNumId w:val="12"/>
  </w:num>
  <w:num w:numId="19">
    <w:abstractNumId w:val="21"/>
  </w:num>
  <w:num w:numId="20">
    <w:abstractNumId w:val="19"/>
  </w:num>
  <w:num w:numId="21">
    <w:abstractNumId w:val="16"/>
  </w:num>
  <w:num w:numId="22">
    <w:abstractNumId w:val="8"/>
  </w:num>
  <w:num w:numId="23">
    <w:abstractNumId w:val="10"/>
  </w:num>
  <w:num w:numId="2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0C16"/>
    <w:rsid w:val="000D55A8"/>
    <w:rsid w:val="000D57BE"/>
    <w:rsid w:val="000D6876"/>
    <w:rsid w:val="000E0165"/>
    <w:rsid w:val="000E3A82"/>
    <w:rsid w:val="000E3C5A"/>
    <w:rsid w:val="000E4841"/>
    <w:rsid w:val="000E5CB4"/>
    <w:rsid w:val="000F0DC0"/>
    <w:rsid w:val="000F0FFF"/>
    <w:rsid w:val="000F1677"/>
    <w:rsid w:val="000F3D6C"/>
    <w:rsid w:val="000F3F73"/>
    <w:rsid w:val="000F58B0"/>
    <w:rsid w:val="000F7D56"/>
    <w:rsid w:val="00100A77"/>
    <w:rsid w:val="00101707"/>
    <w:rsid w:val="00105CBD"/>
    <w:rsid w:val="001107F2"/>
    <w:rsid w:val="00110E0C"/>
    <w:rsid w:val="001131C6"/>
    <w:rsid w:val="0011473D"/>
    <w:rsid w:val="00115C85"/>
    <w:rsid w:val="0012303D"/>
    <w:rsid w:val="00123171"/>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2486"/>
    <w:rsid w:val="00193AB3"/>
    <w:rsid w:val="001966D9"/>
    <w:rsid w:val="00197963"/>
    <w:rsid w:val="001A620B"/>
    <w:rsid w:val="001A7E9A"/>
    <w:rsid w:val="001B0F70"/>
    <w:rsid w:val="001B5016"/>
    <w:rsid w:val="001B6CEE"/>
    <w:rsid w:val="001C45FC"/>
    <w:rsid w:val="001C594A"/>
    <w:rsid w:val="001D1732"/>
    <w:rsid w:val="001D1BF7"/>
    <w:rsid w:val="001D4862"/>
    <w:rsid w:val="001D7EF2"/>
    <w:rsid w:val="001E1FB4"/>
    <w:rsid w:val="001E23FD"/>
    <w:rsid w:val="001E25B9"/>
    <w:rsid w:val="001E392F"/>
    <w:rsid w:val="001E447E"/>
    <w:rsid w:val="001E49E0"/>
    <w:rsid w:val="001E7B5A"/>
    <w:rsid w:val="001F1478"/>
    <w:rsid w:val="001F1FE7"/>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B3E3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05B"/>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36AB"/>
    <w:rsid w:val="003E67D1"/>
    <w:rsid w:val="003F655E"/>
    <w:rsid w:val="003F74D9"/>
    <w:rsid w:val="00404EF7"/>
    <w:rsid w:val="00405DC1"/>
    <w:rsid w:val="00414BF9"/>
    <w:rsid w:val="00415DFF"/>
    <w:rsid w:val="00415F1F"/>
    <w:rsid w:val="00420931"/>
    <w:rsid w:val="0042108F"/>
    <w:rsid w:val="004214D4"/>
    <w:rsid w:val="0042213A"/>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068B"/>
    <w:rsid w:val="004D1A5A"/>
    <w:rsid w:val="004D2FFF"/>
    <w:rsid w:val="004D3721"/>
    <w:rsid w:val="004D64F9"/>
    <w:rsid w:val="004D687E"/>
    <w:rsid w:val="004E4224"/>
    <w:rsid w:val="004E5A14"/>
    <w:rsid w:val="004E5AF7"/>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38"/>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97B43"/>
    <w:rsid w:val="005A0CCA"/>
    <w:rsid w:val="005A2152"/>
    <w:rsid w:val="005A2194"/>
    <w:rsid w:val="005A2628"/>
    <w:rsid w:val="005A383D"/>
    <w:rsid w:val="005A5ACB"/>
    <w:rsid w:val="005A726D"/>
    <w:rsid w:val="005B2AA0"/>
    <w:rsid w:val="005B503A"/>
    <w:rsid w:val="005B67AC"/>
    <w:rsid w:val="005C01B0"/>
    <w:rsid w:val="005C13D7"/>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21BA"/>
    <w:rsid w:val="0075428A"/>
    <w:rsid w:val="00756ABD"/>
    <w:rsid w:val="007576A3"/>
    <w:rsid w:val="007603F5"/>
    <w:rsid w:val="00760A70"/>
    <w:rsid w:val="0076181C"/>
    <w:rsid w:val="00764DB0"/>
    <w:rsid w:val="007671EB"/>
    <w:rsid w:val="0076764D"/>
    <w:rsid w:val="0076766F"/>
    <w:rsid w:val="00770DF5"/>
    <w:rsid w:val="00771381"/>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1A2A"/>
    <w:rsid w:val="007E3AA5"/>
    <w:rsid w:val="007E3ADF"/>
    <w:rsid w:val="007E530F"/>
    <w:rsid w:val="007E6BA4"/>
    <w:rsid w:val="007F19A2"/>
    <w:rsid w:val="007F23F2"/>
    <w:rsid w:val="007F41F8"/>
    <w:rsid w:val="00804000"/>
    <w:rsid w:val="0080454E"/>
    <w:rsid w:val="00804C32"/>
    <w:rsid w:val="00806302"/>
    <w:rsid w:val="00807119"/>
    <w:rsid w:val="00811865"/>
    <w:rsid w:val="00814A55"/>
    <w:rsid w:val="0082483F"/>
    <w:rsid w:val="008279C0"/>
    <w:rsid w:val="00841E70"/>
    <w:rsid w:val="008473AA"/>
    <w:rsid w:val="00852883"/>
    <w:rsid w:val="00852F37"/>
    <w:rsid w:val="008571F6"/>
    <w:rsid w:val="00861E51"/>
    <w:rsid w:val="00870B96"/>
    <w:rsid w:val="008723F3"/>
    <w:rsid w:val="00872BE6"/>
    <w:rsid w:val="00873246"/>
    <w:rsid w:val="00875E2E"/>
    <w:rsid w:val="00880F99"/>
    <w:rsid w:val="00881DA8"/>
    <w:rsid w:val="00881DE6"/>
    <w:rsid w:val="008837A6"/>
    <w:rsid w:val="00890F45"/>
    <w:rsid w:val="0089145D"/>
    <w:rsid w:val="00896FD7"/>
    <w:rsid w:val="00897428"/>
    <w:rsid w:val="008A30C3"/>
    <w:rsid w:val="008A30EE"/>
    <w:rsid w:val="008A4DF2"/>
    <w:rsid w:val="008A6841"/>
    <w:rsid w:val="008A6CFE"/>
    <w:rsid w:val="008B40E7"/>
    <w:rsid w:val="008B4681"/>
    <w:rsid w:val="008B4B58"/>
    <w:rsid w:val="008B5333"/>
    <w:rsid w:val="008B6223"/>
    <w:rsid w:val="008B6764"/>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B64C9"/>
    <w:rsid w:val="009C0B8E"/>
    <w:rsid w:val="009C1527"/>
    <w:rsid w:val="009C1BC8"/>
    <w:rsid w:val="009C2442"/>
    <w:rsid w:val="009C2628"/>
    <w:rsid w:val="009C27B1"/>
    <w:rsid w:val="009D0811"/>
    <w:rsid w:val="009D0C6B"/>
    <w:rsid w:val="009D0E12"/>
    <w:rsid w:val="009D0EE1"/>
    <w:rsid w:val="009D43D0"/>
    <w:rsid w:val="009D510C"/>
    <w:rsid w:val="009D5CDB"/>
    <w:rsid w:val="009D6709"/>
    <w:rsid w:val="009E13C1"/>
    <w:rsid w:val="009E2AEB"/>
    <w:rsid w:val="009E2E27"/>
    <w:rsid w:val="009E44C0"/>
    <w:rsid w:val="009E4DE3"/>
    <w:rsid w:val="009E50C1"/>
    <w:rsid w:val="009F0491"/>
    <w:rsid w:val="009F09A3"/>
    <w:rsid w:val="009F0C29"/>
    <w:rsid w:val="009F6E34"/>
    <w:rsid w:val="00A047EE"/>
    <w:rsid w:val="00A057CA"/>
    <w:rsid w:val="00A122D3"/>
    <w:rsid w:val="00A149B7"/>
    <w:rsid w:val="00A177BC"/>
    <w:rsid w:val="00A17930"/>
    <w:rsid w:val="00A2274A"/>
    <w:rsid w:val="00A235B7"/>
    <w:rsid w:val="00A249AC"/>
    <w:rsid w:val="00A27A7A"/>
    <w:rsid w:val="00A301D1"/>
    <w:rsid w:val="00A31881"/>
    <w:rsid w:val="00A407EF"/>
    <w:rsid w:val="00A411B7"/>
    <w:rsid w:val="00A46B4C"/>
    <w:rsid w:val="00A5117B"/>
    <w:rsid w:val="00A53744"/>
    <w:rsid w:val="00A560B6"/>
    <w:rsid w:val="00A56CF7"/>
    <w:rsid w:val="00A56DBC"/>
    <w:rsid w:val="00A60074"/>
    <w:rsid w:val="00A646E2"/>
    <w:rsid w:val="00A651A9"/>
    <w:rsid w:val="00A6627C"/>
    <w:rsid w:val="00A71019"/>
    <w:rsid w:val="00A81029"/>
    <w:rsid w:val="00A82AFB"/>
    <w:rsid w:val="00A8485D"/>
    <w:rsid w:val="00A90D72"/>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87DEA"/>
    <w:rsid w:val="00B92D5B"/>
    <w:rsid w:val="00B9417E"/>
    <w:rsid w:val="00BA1648"/>
    <w:rsid w:val="00BA2637"/>
    <w:rsid w:val="00BA35FF"/>
    <w:rsid w:val="00BB09FD"/>
    <w:rsid w:val="00BB0F2B"/>
    <w:rsid w:val="00BB5A37"/>
    <w:rsid w:val="00BB6955"/>
    <w:rsid w:val="00BB6F7A"/>
    <w:rsid w:val="00BC48EB"/>
    <w:rsid w:val="00BC585F"/>
    <w:rsid w:val="00BC5D7D"/>
    <w:rsid w:val="00BC64C8"/>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58FC"/>
    <w:rsid w:val="00C8712A"/>
    <w:rsid w:val="00C92A0D"/>
    <w:rsid w:val="00C963D3"/>
    <w:rsid w:val="00CA1802"/>
    <w:rsid w:val="00CB262C"/>
    <w:rsid w:val="00CB2CBB"/>
    <w:rsid w:val="00CB7283"/>
    <w:rsid w:val="00CB7CAC"/>
    <w:rsid w:val="00CC2985"/>
    <w:rsid w:val="00CC467D"/>
    <w:rsid w:val="00CC5335"/>
    <w:rsid w:val="00CC579C"/>
    <w:rsid w:val="00CC5BA4"/>
    <w:rsid w:val="00CC7728"/>
    <w:rsid w:val="00CD0FFE"/>
    <w:rsid w:val="00CD3129"/>
    <w:rsid w:val="00CD34DB"/>
    <w:rsid w:val="00CD377A"/>
    <w:rsid w:val="00CD4998"/>
    <w:rsid w:val="00CE1035"/>
    <w:rsid w:val="00CE62CA"/>
    <w:rsid w:val="00CF2819"/>
    <w:rsid w:val="00CF4F9D"/>
    <w:rsid w:val="00CF5AD8"/>
    <w:rsid w:val="00CF70DC"/>
    <w:rsid w:val="00CF717B"/>
    <w:rsid w:val="00D068C5"/>
    <w:rsid w:val="00D07F87"/>
    <w:rsid w:val="00D14682"/>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2836"/>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96A"/>
    <w:rsid w:val="00E15BA9"/>
    <w:rsid w:val="00E161D2"/>
    <w:rsid w:val="00E177E2"/>
    <w:rsid w:val="00E22DE4"/>
    <w:rsid w:val="00E26E19"/>
    <w:rsid w:val="00E30609"/>
    <w:rsid w:val="00E31DF3"/>
    <w:rsid w:val="00E37049"/>
    <w:rsid w:val="00E405F2"/>
    <w:rsid w:val="00E450A4"/>
    <w:rsid w:val="00E506BE"/>
    <w:rsid w:val="00E518B6"/>
    <w:rsid w:val="00E525B9"/>
    <w:rsid w:val="00E54ADD"/>
    <w:rsid w:val="00E55547"/>
    <w:rsid w:val="00E55E9B"/>
    <w:rsid w:val="00E6211B"/>
    <w:rsid w:val="00E6302B"/>
    <w:rsid w:val="00E6452F"/>
    <w:rsid w:val="00E64F45"/>
    <w:rsid w:val="00E6742D"/>
    <w:rsid w:val="00E70C75"/>
    <w:rsid w:val="00E71673"/>
    <w:rsid w:val="00E71CB0"/>
    <w:rsid w:val="00E7793C"/>
    <w:rsid w:val="00E77C3D"/>
    <w:rsid w:val="00E80299"/>
    <w:rsid w:val="00E81FED"/>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15B4"/>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Normal1">
    <w:name w:val="Normal1"/>
    <w:basedOn w:val="Normal"/>
    <w:rsid w:val="001D1732"/>
    <w:pPr>
      <w:spacing w:before="100" w:beforeAutospacing="1" w:after="100" w:afterAutospacing="1"/>
    </w:pPr>
    <w:rPr>
      <w:rFonts w:ascii="Times New Roman" w:hAnsi="Times New Roman" w:cs="Times New Roman"/>
      <w:sz w:val="24"/>
      <w:lang w:val="en-KY"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8153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13940986">
      <w:bodyDiv w:val="1"/>
      <w:marLeft w:val="0"/>
      <w:marRight w:val="0"/>
      <w:marTop w:val="0"/>
      <w:marBottom w:val="0"/>
      <w:divBdr>
        <w:top w:val="none" w:sz="0" w:space="0" w:color="auto"/>
        <w:left w:val="none" w:sz="0" w:space="0" w:color="auto"/>
        <w:bottom w:val="none" w:sz="0" w:space="0" w:color="auto"/>
        <w:right w:val="none" w:sz="0" w:space="0" w:color="auto"/>
      </w:divBdr>
    </w:div>
    <w:div w:id="1229994745">
      <w:bodyDiv w:val="1"/>
      <w:marLeft w:val="0"/>
      <w:marRight w:val="0"/>
      <w:marTop w:val="0"/>
      <w:marBottom w:val="0"/>
      <w:divBdr>
        <w:top w:val="none" w:sz="0" w:space="0" w:color="auto"/>
        <w:left w:val="none" w:sz="0" w:space="0" w:color="auto"/>
        <w:bottom w:val="none" w:sz="0" w:space="0" w:color="auto"/>
        <w:right w:val="none" w:sz="0" w:space="0" w:color="auto"/>
      </w:divBdr>
    </w:div>
    <w:div w:id="17114158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3728</Words>
  <Characters>21253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Walmsley, Kirsten</cp:lastModifiedBy>
  <cp:revision>5</cp:revision>
  <cp:lastPrinted>2020-06-12T02:43:00Z</cp:lastPrinted>
  <dcterms:created xsi:type="dcterms:W3CDTF">2021-11-14T01:30:00Z</dcterms:created>
  <dcterms:modified xsi:type="dcterms:W3CDTF">2021-11-14T14:41:00Z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