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a3"/>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a3"/>
        <w:ind w:left="426"/>
        <w:jc w:val="both"/>
        <w:rPr>
          <w:rFonts w:ascii="Arial" w:hAnsi="Arial" w:cs="Arial"/>
          <w:sz w:val="22"/>
          <w:szCs w:val="22"/>
          <w:lang w:val="en-GB"/>
        </w:rPr>
      </w:pPr>
    </w:p>
    <w:p w14:paraId="3A5379A8" w14:textId="640837BF" w:rsidR="00C60631" w:rsidRPr="00205B31" w:rsidRDefault="00C60631" w:rsidP="009D510C">
      <w:pPr>
        <w:pStyle w:val="a3"/>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a3"/>
        <w:ind w:left="426"/>
        <w:rPr>
          <w:rFonts w:ascii="Arial" w:hAnsi="Arial" w:cs="Arial"/>
          <w:sz w:val="22"/>
          <w:szCs w:val="22"/>
          <w:lang w:val="en-GB"/>
        </w:rPr>
      </w:pPr>
    </w:p>
    <w:p w14:paraId="0C8A950B" w14:textId="2BF27228" w:rsidR="00C60631" w:rsidRPr="00FB3E64" w:rsidRDefault="00C60631" w:rsidP="009D510C">
      <w:pPr>
        <w:pStyle w:val="a3"/>
        <w:numPr>
          <w:ilvl w:val="0"/>
          <w:numId w:val="12"/>
        </w:numPr>
        <w:ind w:left="426"/>
        <w:jc w:val="both"/>
        <w:rPr>
          <w:rFonts w:ascii="Arial" w:hAnsi="Arial" w:cs="Arial"/>
          <w:sz w:val="22"/>
          <w:szCs w:val="22"/>
          <w:highlight w:val="yellow"/>
          <w:lang w:val="en-GB"/>
        </w:rPr>
      </w:pPr>
      <w:r w:rsidRPr="00FB3E64">
        <w:rPr>
          <w:rFonts w:ascii="Arial" w:hAnsi="Arial" w:cs="Arial"/>
          <w:sz w:val="22"/>
          <w:szCs w:val="22"/>
          <w:highlight w:val="yellow"/>
          <w:lang w:val="en-GB"/>
        </w:rPr>
        <w:t xml:space="preserve">This statement is incorrect since </w:t>
      </w:r>
      <w:r w:rsidR="00E7793C" w:rsidRPr="00FB3E64">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a3"/>
        <w:ind w:left="426"/>
        <w:rPr>
          <w:rFonts w:ascii="Arial" w:hAnsi="Arial" w:cs="Arial"/>
          <w:sz w:val="22"/>
          <w:szCs w:val="22"/>
          <w:lang w:val="en-GB"/>
        </w:rPr>
      </w:pPr>
    </w:p>
    <w:p w14:paraId="0DCFE971" w14:textId="0AB341B1" w:rsidR="00E7793C" w:rsidRPr="00205B31" w:rsidRDefault="00E7793C" w:rsidP="009D510C">
      <w:pPr>
        <w:pStyle w:val="a3"/>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a3"/>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a3"/>
        <w:ind w:left="426" w:hanging="360"/>
        <w:jc w:val="both"/>
        <w:rPr>
          <w:rFonts w:ascii="Arial" w:hAnsi="Arial" w:cs="Arial"/>
          <w:sz w:val="22"/>
          <w:szCs w:val="22"/>
          <w:lang w:val="en-GB"/>
        </w:rPr>
      </w:pPr>
    </w:p>
    <w:p w14:paraId="62B41459" w14:textId="77777777" w:rsidR="00AE027F" w:rsidRPr="00205B31" w:rsidRDefault="00E7793C" w:rsidP="009D510C">
      <w:pPr>
        <w:pStyle w:val="a3"/>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a3"/>
        <w:ind w:left="426" w:hanging="360"/>
        <w:rPr>
          <w:rFonts w:ascii="Arial" w:hAnsi="Arial" w:cs="Arial"/>
          <w:sz w:val="22"/>
          <w:szCs w:val="22"/>
          <w:lang w:val="en-GB"/>
        </w:rPr>
      </w:pPr>
    </w:p>
    <w:p w14:paraId="60F45659" w14:textId="42DF7EA5" w:rsidR="00AE027F" w:rsidRPr="004E450D" w:rsidRDefault="00AE027F" w:rsidP="009D510C">
      <w:pPr>
        <w:pStyle w:val="a3"/>
        <w:numPr>
          <w:ilvl w:val="0"/>
          <w:numId w:val="13"/>
        </w:numPr>
        <w:jc w:val="both"/>
        <w:rPr>
          <w:rFonts w:ascii="Arial" w:hAnsi="Arial" w:cs="Arial"/>
          <w:sz w:val="22"/>
          <w:szCs w:val="22"/>
          <w:highlight w:val="yellow"/>
          <w:lang w:val="en-GB"/>
        </w:rPr>
      </w:pPr>
      <w:r w:rsidRPr="004E450D">
        <w:rPr>
          <w:rFonts w:ascii="Arial" w:hAnsi="Arial" w:cs="Arial"/>
          <w:sz w:val="22"/>
          <w:szCs w:val="22"/>
          <w:highlight w:val="yellow"/>
          <w:lang w:val="en-GB"/>
        </w:rPr>
        <w:t>This statement is correct since the English insolvency law already provided special rules to deal with extreme socio-economic situations like those brought about by global disasters such as the Covid</w:t>
      </w:r>
      <w:r w:rsidR="002A3815" w:rsidRPr="004E450D">
        <w:rPr>
          <w:rFonts w:ascii="Arial" w:hAnsi="Arial" w:cs="Arial"/>
          <w:sz w:val="22"/>
          <w:szCs w:val="22"/>
          <w:highlight w:val="yellow"/>
          <w:lang w:val="en-GB"/>
        </w:rPr>
        <w:t>-19</w:t>
      </w:r>
      <w:r w:rsidRPr="004E450D">
        <w:rPr>
          <w:rFonts w:ascii="Arial" w:hAnsi="Arial" w:cs="Arial"/>
          <w:sz w:val="22"/>
          <w:szCs w:val="22"/>
          <w:highlight w:val="yellow"/>
          <w:lang w:val="en-GB"/>
        </w:rPr>
        <w:t xml:space="preserve"> pandemic. </w:t>
      </w:r>
    </w:p>
    <w:p w14:paraId="5485A427" w14:textId="77777777" w:rsidR="00AE027F" w:rsidRPr="00205B31" w:rsidRDefault="00AE027F" w:rsidP="009D510C">
      <w:pPr>
        <w:pStyle w:val="a3"/>
        <w:ind w:left="426" w:hanging="360"/>
        <w:rPr>
          <w:rFonts w:ascii="Arial" w:hAnsi="Arial" w:cs="Arial"/>
          <w:sz w:val="22"/>
          <w:szCs w:val="22"/>
          <w:lang w:val="en-GB"/>
        </w:rPr>
      </w:pPr>
    </w:p>
    <w:p w14:paraId="095097C0" w14:textId="5CFDC719" w:rsidR="00E7793C" w:rsidRPr="00205B31" w:rsidRDefault="00AE027F" w:rsidP="009D510C">
      <w:pPr>
        <w:pStyle w:val="a3"/>
        <w:numPr>
          <w:ilvl w:val="0"/>
          <w:numId w:val="13"/>
        </w:numPr>
        <w:jc w:val="both"/>
        <w:rPr>
          <w:rFonts w:ascii="Arial" w:hAnsi="Arial" w:cs="Arial"/>
          <w:sz w:val="22"/>
          <w:szCs w:val="22"/>
          <w:lang w:val="en-GB"/>
        </w:rPr>
      </w:pPr>
      <w:r w:rsidRPr="00205B31">
        <w:rPr>
          <w:rFonts w:ascii="Arial" w:hAnsi="Arial" w:cs="Arial"/>
          <w:sz w:val="22"/>
          <w:szCs w:val="22"/>
          <w:lang w:val="en-GB"/>
        </w:rPr>
        <w:t>The statement i</w:t>
      </w:r>
      <w:r w:rsidR="006E77B0" w:rsidRPr="00205B31">
        <w:rPr>
          <w:rFonts w:ascii="Arial" w:hAnsi="Arial" w:cs="Arial"/>
          <w:sz w:val="22"/>
          <w:szCs w:val="22"/>
          <w:lang w:val="en-GB"/>
        </w:rPr>
        <w:t>s incorrect since the UK did re</w:t>
      </w:r>
      <w:r w:rsidRPr="00205B31">
        <w:rPr>
          <w:rFonts w:ascii="Arial" w:hAnsi="Arial" w:cs="Arial"/>
          <w:sz w:val="22"/>
          <w:szCs w:val="22"/>
          <w:lang w:val="en-GB"/>
        </w:rPr>
        <w:t>v</w:t>
      </w:r>
      <w:r w:rsidR="006E77B0" w:rsidRPr="00205B31">
        <w:rPr>
          <w:rFonts w:ascii="Arial" w:hAnsi="Arial" w:cs="Arial"/>
          <w:sz w:val="22"/>
          <w:szCs w:val="22"/>
          <w:lang w:val="en-GB"/>
        </w:rPr>
        <w:t>i</w:t>
      </w:r>
      <w:r w:rsidRPr="00205B31">
        <w:rPr>
          <w:rFonts w:ascii="Arial" w:hAnsi="Arial" w:cs="Arial"/>
          <w:sz w:val="22"/>
          <w:szCs w:val="22"/>
          <w:lang w:val="en-GB"/>
        </w:rPr>
        <w:t>ew parts of its insolvency rules and amended some, among</w:t>
      </w:r>
      <w:r w:rsidR="006E77B0" w:rsidRPr="00205B31">
        <w:rPr>
          <w:rFonts w:ascii="Arial" w:hAnsi="Arial" w:cs="Arial"/>
          <w:sz w:val="22"/>
          <w:szCs w:val="22"/>
          <w:lang w:val="en-GB"/>
        </w:rPr>
        <w:t>s</w:t>
      </w:r>
      <w:r w:rsidRPr="00205B31">
        <w:rPr>
          <w:rFonts w:ascii="Arial" w:hAnsi="Arial" w:cs="Arial"/>
          <w:sz w:val="22"/>
          <w:szCs w:val="22"/>
          <w:lang w:val="en-GB"/>
        </w:rPr>
        <w:t>t other</w:t>
      </w:r>
      <w:r w:rsidR="00F96AF1">
        <w:rPr>
          <w:rFonts w:ascii="Arial" w:hAnsi="Arial" w:cs="Arial"/>
          <w:sz w:val="22"/>
          <w:szCs w:val="22"/>
          <w:lang w:val="en-GB"/>
        </w:rPr>
        <w:t xml:space="preserve"> things</w:t>
      </w:r>
      <w:r w:rsidRPr="00205B31">
        <w:rPr>
          <w:rFonts w:ascii="Arial" w:hAnsi="Arial" w:cs="Arial"/>
          <w:sz w:val="22"/>
          <w:szCs w:val="22"/>
          <w:lang w:val="en-GB"/>
        </w:rPr>
        <w:t>, to deal with the negative economic fall out of the pandemic.</w:t>
      </w:r>
      <w:r w:rsidR="00100A77">
        <w:rPr>
          <w:rFonts w:ascii="Arial" w:hAnsi="Arial" w:cs="Arial"/>
          <w:sz w:val="22"/>
          <w:szCs w:val="22"/>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a3"/>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a3"/>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a3"/>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a3"/>
        <w:ind w:left="426"/>
        <w:rPr>
          <w:rFonts w:ascii="Arial" w:hAnsi="Arial" w:cs="Arial"/>
          <w:sz w:val="22"/>
          <w:szCs w:val="22"/>
          <w:lang w:val="en-GB"/>
        </w:rPr>
      </w:pPr>
    </w:p>
    <w:p w14:paraId="633F6419" w14:textId="77777777" w:rsidR="00B54F90" w:rsidRPr="00205B31" w:rsidRDefault="00B54F90" w:rsidP="009D510C">
      <w:pPr>
        <w:pStyle w:val="a3"/>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a3"/>
        <w:ind w:left="426"/>
        <w:rPr>
          <w:rFonts w:ascii="Arial" w:hAnsi="Arial" w:cs="Arial"/>
          <w:sz w:val="22"/>
          <w:szCs w:val="22"/>
          <w:lang w:val="en-GB"/>
        </w:rPr>
      </w:pPr>
    </w:p>
    <w:p w14:paraId="77ADD601" w14:textId="2D159736" w:rsidR="00B54F90" w:rsidRPr="001C72A3" w:rsidRDefault="00B54F90" w:rsidP="009D510C">
      <w:pPr>
        <w:pStyle w:val="a3"/>
        <w:numPr>
          <w:ilvl w:val="0"/>
          <w:numId w:val="14"/>
        </w:numPr>
        <w:ind w:left="426"/>
        <w:jc w:val="both"/>
        <w:rPr>
          <w:rFonts w:ascii="Arial" w:hAnsi="Arial" w:cs="Arial"/>
          <w:sz w:val="22"/>
          <w:szCs w:val="22"/>
          <w:highlight w:val="yellow"/>
          <w:lang w:val="en-GB"/>
        </w:rPr>
      </w:pPr>
      <w:r w:rsidRPr="001C72A3">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1C72A3">
        <w:rPr>
          <w:rFonts w:ascii="Arial" w:hAnsi="Arial" w:cs="Arial"/>
          <w:sz w:val="22"/>
          <w:szCs w:val="22"/>
          <w:highlight w:val="yellow"/>
          <w:lang w:val="en-GB"/>
        </w:rPr>
        <w:t xml:space="preserve">on </w:t>
      </w:r>
      <w:r w:rsidRPr="001C72A3">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a3"/>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a3"/>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a3"/>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a3"/>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205B31" w:rsidRDefault="006E1CB0" w:rsidP="009D510C">
      <w:pPr>
        <w:pStyle w:val="a3"/>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a3"/>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1C72A3" w:rsidRDefault="006E1CB0" w:rsidP="009D510C">
      <w:pPr>
        <w:pStyle w:val="a3"/>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1C72A3">
        <w:rPr>
          <w:rFonts w:ascii="Arial" w:hAnsi="Arial" w:cs="Arial"/>
          <w:sz w:val="22"/>
          <w:szCs w:val="22"/>
          <w:highlight w:val="yellow"/>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1C72A3">
        <w:rPr>
          <w:rFonts w:ascii="Arial" w:hAnsi="Arial" w:cs="Arial"/>
          <w:sz w:val="22"/>
          <w:szCs w:val="22"/>
          <w:highlight w:val="yellow"/>
          <w:lang w:val="en-GB"/>
        </w:rPr>
        <w:t>ud</w:t>
      </w:r>
      <w:r w:rsidRPr="001C72A3">
        <w:rPr>
          <w:rFonts w:ascii="Arial" w:hAnsi="Arial" w:cs="Arial"/>
          <w:sz w:val="22"/>
          <w:szCs w:val="22"/>
          <w:highlight w:val="yellow"/>
          <w:lang w:val="en-GB"/>
        </w:rPr>
        <w:t>ges across the globe.</w:t>
      </w:r>
      <w:r w:rsidR="00100A77" w:rsidRPr="001C72A3">
        <w:rPr>
          <w:rFonts w:ascii="Arial" w:hAnsi="Arial" w:cs="Arial"/>
          <w:sz w:val="22"/>
          <w:szCs w:val="22"/>
          <w:highlight w:val="yellow"/>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205B31" w:rsidRDefault="00926D10" w:rsidP="009D510C">
      <w:pPr>
        <w:pStyle w:val="a3"/>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6E1CB0" w:rsidRPr="00205B31">
        <w:rPr>
          <w:rFonts w:ascii="Arial" w:hAnsi="Arial" w:cs="Arial"/>
          <w:sz w:val="22"/>
          <w:szCs w:val="22"/>
          <w:lang w:val="en-GB"/>
        </w:rPr>
        <w:t xml:space="preserve">not </w:t>
      </w:r>
      <w:r w:rsidRPr="00205B31">
        <w:rPr>
          <w:rFonts w:ascii="Arial" w:hAnsi="Arial" w:cs="Arial"/>
          <w:sz w:val="22"/>
          <w:szCs w:val="22"/>
          <w:lang w:val="en-GB"/>
        </w:rPr>
        <w:t xml:space="preserve">correct </w:t>
      </w:r>
      <w:r w:rsidR="007958F0" w:rsidRPr="00205B31">
        <w:rPr>
          <w:rFonts w:ascii="Arial" w:hAnsi="Arial" w:cs="Arial"/>
          <w:sz w:val="22"/>
          <w:szCs w:val="22"/>
          <w:lang w:val="en-GB"/>
        </w:rPr>
        <w:t>because</w:t>
      </w:r>
      <w:r w:rsidRPr="00205B31">
        <w:rPr>
          <w:rFonts w:ascii="Arial" w:hAnsi="Arial" w:cs="Arial"/>
          <w:sz w:val="22"/>
          <w:szCs w:val="22"/>
          <w:lang w:val="en-GB"/>
        </w:rPr>
        <w:t xml:space="preserve"> very few </w:t>
      </w:r>
      <w:r w:rsidR="007958F0" w:rsidRPr="00205B31">
        <w:rPr>
          <w:rFonts w:ascii="Arial" w:hAnsi="Arial" w:cs="Arial"/>
          <w:sz w:val="22"/>
          <w:szCs w:val="22"/>
          <w:lang w:val="en-GB"/>
        </w:rPr>
        <w:t>States</w:t>
      </w:r>
      <w:r w:rsidRPr="00205B31">
        <w:rPr>
          <w:rFonts w:ascii="Arial" w:hAnsi="Arial" w:cs="Arial"/>
          <w:sz w:val="22"/>
          <w:szCs w:val="22"/>
          <w:lang w:val="en-GB"/>
        </w:rPr>
        <w:t xml:space="preserve"> allow insolvent estate representatives to deal with assets of a foreign debtor situated in </w:t>
      </w:r>
      <w:r w:rsidR="005936B3" w:rsidRPr="00205B31">
        <w:rPr>
          <w:rFonts w:ascii="Arial" w:hAnsi="Arial" w:cs="Arial"/>
          <w:sz w:val="22"/>
          <w:szCs w:val="22"/>
          <w:lang w:val="en-GB"/>
        </w:rPr>
        <w:t>their own</w:t>
      </w:r>
      <w:r w:rsidRPr="00205B31">
        <w:rPr>
          <w:rFonts w:ascii="Arial" w:hAnsi="Arial" w:cs="Arial"/>
          <w:sz w:val="22"/>
          <w:szCs w:val="22"/>
          <w:lang w:val="en-GB"/>
        </w:rPr>
        <w:t xml:space="preserve"> jurisdiction without </w:t>
      </w:r>
      <w:r w:rsidR="006E1CB0" w:rsidRPr="00205B31">
        <w:rPr>
          <w:rFonts w:ascii="Arial" w:hAnsi="Arial" w:cs="Arial"/>
          <w:sz w:val="22"/>
          <w:szCs w:val="22"/>
          <w:lang w:val="en-GB"/>
        </w:rPr>
        <w:t xml:space="preserve">some form of </w:t>
      </w:r>
      <w:r w:rsidR="0090037B" w:rsidRPr="00205B31">
        <w:rPr>
          <w:rFonts w:ascii="Arial" w:hAnsi="Arial" w:cs="Arial"/>
          <w:sz w:val="22"/>
          <w:szCs w:val="22"/>
          <w:lang w:val="en-GB"/>
        </w:rPr>
        <w:t xml:space="preserve">a </w:t>
      </w:r>
      <w:r w:rsidR="006E1CB0" w:rsidRPr="00205B31">
        <w:rPr>
          <w:rFonts w:ascii="Arial" w:hAnsi="Arial" w:cs="Arial"/>
          <w:sz w:val="22"/>
          <w:szCs w:val="22"/>
          <w:lang w:val="en-GB"/>
        </w:rPr>
        <w:t>(</w:t>
      </w:r>
      <w:r w:rsidR="0090037B" w:rsidRPr="00205B31">
        <w:rPr>
          <w:rFonts w:ascii="Arial" w:hAnsi="Arial" w:cs="Arial"/>
          <w:sz w:val="22"/>
          <w:szCs w:val="22"/>
          <w:lang w:val="en-GB"/>
        </w:rPr>
        <w:t>prior</w:t>
      </w:r>
      <w:r w:rsidR="006E1CB0" w:rsidRPr="00205B31">
        <w:rPr>
          <w:rFonts w:ascii="Arial" w:hAnsi="Arial" w:cs="Arial"/>
          <w:sz w:val="22"/>
          <w:szCs w:val="22"/>
          <w:lang w:val="en-GB"/>
        </w:rPr>
        <w:t>)</w:t>
      </w:r>
      <w:r w:rsidRPr="00205B31">
        <w:rPr>
          <w:rFonts w:ascii="Arial" w:hAnsi="Arial" w:cs="Arial"/>
          <w:sz w:val="22"/>
          <w:szCs w:val="22"/>
          <w:lang w:val="en-GB"/>
        </w:rPr>
        <w:t xml:space="preserve"> local procedure </w:t>
      </w:r>
      <w:r w:rsidR="005936B3" w:rsidRPr="00205B31">
        <w:rPr>
          <w:rFonts w:ascii="Arial" w:hAnsi="Arial" w:cs="Arial"/>
          <w:sz w:val="22"/>
          <w:szCs w:val="22"/>
          <w:lang w:val="en-GB"/>
        </w:rPr>
        <w:t xml:space="preserve">to </w:t>
      </w:r>
      <w:r w:rsidRPr="00205B31">
        <w:rPr>
          <w:rFonts w:ascii="Arial" w:hAnsi="Arial" w:cs="Arial"/>
          <w:sz w:val="22"/>
          <w:szCs w:val="22"/>
          <w:lang w:val="en-GB"/>
        </w:rPr>
        <w:t>recognise the foreign insolvency proceeding.</w:t>
      </w:r>
    </w:p>
    <w:p w14:paraId="2F21E5E8" w14:textId="6FA1397D" w:rsidR="00926D10" w:rsidRPr="00681717" w:rsidRDefault="00926D10" w:rsidP="009D510C">
      <w:pPr>
        <w:pStyle w:val="a3"/>
        <w:numPr>
          <w:ilvl w:val="0"/>
          <w:numId w:val="5"/>
        </w:numPr>
        <w:ind w:left="426"/>
        <w:jc w:val="both"/>
        <w:rPr>
          <w:rFonts w:ascii="Arial" w:hAnsi="Arial" w:cs="Arial"/>
          <w:sz w:val="22"/>
          <w:szCs w:val="22"/>
          <w:highlight w:val="yellow"/>
          <w:lang w:val="en-GB"/>
        </w:rPr>
      </w:pPr>
      <w:r w:rsidRPr="00681717">
        <w:rPr>
          <w:rFonts w:ascii="Arial" w:hAnsi="Arial" w:cs="Arial"/>
          <w:sz w:val="22"/>
          <w:szCs w:val="22"/>
          <w:highlight w:val="yellow"/>
          <w:lang w:val="en-GB"/>
        </w:rPr>
        <w:lastRenderedPageBreak/>
        <w:t xml:space="preserve">The statement is correct </w:t>
      </w:r>
      <w:r w:rsidR="0090037B" w:rsidRPr="00681717">
        <w:rPr>
          <w:rFonts w:ascii="Arial" w:hAnsi="Arial" w:cs="Arial"/>
          <w:sz w:val="22"/>
          <w:szCs w:val="22"/>
          <w:highlight w:val="yellow"/>
          <w:lang w:val="en-GB"/>
        </w:rPr>
        <w:t>because</w:t>
      </w:r>
      <w:r w:rsidRPr="00681717">
        <w:rPr>
          <w:rFonts w:ascii="Arial" w:hAnsi="Arial" w:cs="Arial"/>
          <w:sz w:val="22"/>
          <w:szCs w:val="22"/>
          <w:highlight w:val="yellow"/>
          <w:lang w:val="en-GB"/>
        </w:rPr>
        <w:t xml:space="preserve"> universality </w:t>
      </w:r>
      <w:r w:rsidR="00CB7283" w:rsidRPr="00681717">
        <w:rPr>
          <w:rFonts w:ascii="Arial" w:hAnsi="Arial" w:cs="Arial"/>
          <w:sz w:val="22"/>
          <w:szCs w:val="22"/>
          <w:highlight w:val="yellow"/>
          <w:lang w:val="en-GB"/>
        </w:rPr>
        <w:t>has become</w:t>
      </w:r>
      <w:r w:rsidRPr="00681717">
        <w:rPr>
          <w:rFonts w:ascii="Arial" w:hAnsi="Arial" w:cs="Arial"/>
          <w:sz w:val="22"/>
          <w:szCs w:val="22"/>
          <w:highlight w:val="yellow"/>
          <w:lang w:val="en-GB"/>
        </w:rPr>
        <w:t xml:space="preserve"> the norm in the majority of </w:t>
      </w:r>
      <w:r w:rsidR="00426B64" w:rsidRPr="00681717">
        <w:rPr>
          <w:rFonts w:ascii="Arial" w:hAnsi="Arial" w:cs="Arial"/>
          <w:sz w:val="22"/>
          <w:szCs w:val="22"/>
          <w:highlight w:val="yellow"/>
          <w:lang w:val="en-GB"/>
        </w:rPr>
        <w:t>States</w:t>
      </w:r>
      <w:r w:rsidRPr="00681717">
        <w:rPr>
          <w:rFonts w:ascii="Arial" w:hAnsi="Arial" w:cs="Arial"/>
          <w:sz w:val="22"/>
          <w:szCs w:val="22"/>
          <w:highlight w:val="yellow"/>
          <w:lang w:val="en-GB"/>
        </w:rPr>
        <w:t xml:space="preserve"> in cross-border insolvency matters</w:t>
      </w:r>
      <w:r w:rsidR="00CB7283" w:rsidRPr="00681717">
        <w:rPr>
          <w:rFonts w:ascii="Arial" w:hAnsi="Arial" w:cs="Arial"/>
          <w:sz w:val="22"/>
          <w:szCs w:val="22"/>
          <w:highlight w:val="yellow"/>
          <w:lang w:val="en-GB"/>
        </w:rPr>
        <w:t xml:space="preserve"> since the introduction of the UNCITRAL Model Law on Cross-Border Insolvency in 1997</w:t>
      </w:r>
      <w:r w:rsidRPr="00681717">
        <w:rPr>
          <w:rFonts w:ascii="Arial" w:hAnsi="Arial" w:cs="Arial"/>
          <w:sz w:val="22"/>
          <w:szCs w:val="22"/>
          <w:highlight w:val="yellow"/>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a3"/>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a3"/>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a3"/>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681717" w:rsidRDefault="000329A6" w:rsidP="00C570AC">
      <w:pPr>
        <w:pStyle w:val="a3"/>
        <w:numPr>
          <w:ilvl w:val="0"/>
          <w:numId w:val="6"/>
        </w:numPr>
        <w:ind w:left="426"/>
        <w:jc w:val="both"/>
        <w:rPr>
          <w:rFonts w:ascii="Arial" w:hAnsi="Arial" w:cs="Arial"/>
          <w:sz w:val="22"/>
          <w:szCs w:val="22"/>
          <w:highlight w:val="yellow"/>
          <w:lang w:val="en-GB"/>
        </w:rPr>
      </w:pPr>
      <w:r w:rsidRPr="00681717">
        <w:rPr>
          <w:rFonts w:ascii="Arial" w:eastAsiaTheme="minorHAnsi" w:hAnsi="Arial" w:cs="Arial"/>
          <w:sz w:val="22"/>
          <w:szCs w:val="22"/>
          <w:highlight w:val="yellow"/>
          <w:lang w:val="en-GB"/>
        </w:rPr>
        <w:t xml:space="preserve">They were recently revised in 2021 and, together with the </w:t>
      </w:r>
      <w:r w:rsidRPr="00681717">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a3"/>
        <w:ind w:left="426" w:hanging="360"/>
        <w:jc w:val="both"/>
        <w:rPr>
          <w:rFonts w:ascii="Arial" w:hAnsi="Arial" w:cs="Arial"/>
          <w:sz w:val="22"/>
          <w:szCs w:val="22"/>
          <w:lang w:val="en-GB"/>
        </w:rPr>
      </w:pPr>
    </w:p>
    <w:p w14:paraId="191AFD3F" w14:textId="2D782C6E" w:rsidR="00E9597C" w:rsidRPr="00205B31" w:rsidRDefault="00AC126D" w:rsidP="00C570AC">
      <w:pPr>
        <w:pStyle w:val="a3"/>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a3"/>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a3"/>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a3"/>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a3"/>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a3"/>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324289" w:rsidRDefault="00470C55" w:rsidP="00275182">
      <w:pPr>
        <w:pStyle w:val="a3"/>
        <w:numPr>
          <w:ilvl w:val="0"/>
          <w:numId w:val="16"/>
        </w:numPr>
        <w:ind w:left="426"/>
        <w:jc w:val="both"/>
        <w:rPr>
          <w:rFonts w:ascii="Arial" w:eastAsiaTheme="minorHAnsi" w:hAnsi="Arial" w:cs="Arial"/>
          <w:sz w:val="22"/>
          <w:szCs w:val="22"/>
          <w:highlight w:val="yellow"/>
          <w:lang w:val="en-GB"/>
        </w:rPr>
      </w:pPr>
      <w:r w:rsidRPr="00324289">
        <w:rPr>
          <w:rFonts w:ascii="Arial" w:eastAsiaTheme="minorHAnsi" w:hAnsi="Arial" w:cs="Arial"/>
          <w:sz w:val="22"/>
          <w:szCs w:val="22"/>
          <w:highlight w:val="yellow"/>
          <w:lang w:val="en-GB"/>
        </w:rPr>
        <w:t xml:space="preserve">The Nordic Convention </w:t>
      </w:r>
      <w:r w:rsidR="00076483" w:rsidRPr="00324289">
        <w:rPr>
          <w:rFonts w:ascii="Arial" w:eastAsiaTheme="minorHAnsi" w:hAnsi="Arial" w:cs="Arial"/>
          <w:sz w:val="22"/>
          <w:szCs w:val="22"/>
          <w:highlight w:val="yellow"/>
          <w:lang w:val="en-GB"/>
        </w:rPr>
        <w:t>1933</w:t>
      </w:r>
      <w:r w:rsidR="00966E44" w:rsidRPr="00324289">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a3"/>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324289" w:rsidRDefault="00124B70" w:rsidP="00275182">
      <w:pPr>
        <w:pStyle w:val="a3"/>
        <w:numPr>
          <w:ilvl w:val="0"/>
          <w:numId w:val="8"/>
        </w:numPr>
        <w:ind w:left="426"/>
        <w:jc w:val="both"/>
        <w:rPr>
          <w:rFonts w:ascii="Arial" w:hAnsi="Arial" w:cs="Arial"/>
          <w:sz w:val="22"/>
          <w:szCs w:val="22"/>
          <w:highlight w:val="yellow"/>
          <w:lang w:val="en-GB"/>
        </w:rPr>
      </w:pPr>
      <w:r w:rsidRPr="00324289">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a3"/>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a3"/>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a3"/>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9E375E" w:rsidRDefault="00E86549" w:rsidP="00275182">
      <w:pPr>
        <w:pStyle w:val="a3"/>
        <w:numPr>
          <w:ilvl w:val="0"/>
          <w:numId w:val="9"/>
        </w:numPr>
        <w:ind w:left="426"/>
        <w:jc w:val="both"/>
        <w:rPr>
          <w:rFonts w:ascii="Arial" w:hAnsi="Arial" w:cs="Arial"/>
          <w:bCs/>
          <w:sz w:val="22"/>
          <w:szCs w:val="22"/>
          <w:highlight w:val="yellow"/>
          <w:lang w:val="en-GB"/>
        </w:rPr>
      </w:pPr>
      <w:r w:rsidRPr="009E375E">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9E375E">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a3"/>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a3"/>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a3"/>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a3"/>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a3"/>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a3"/>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a3"/>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E84A0C" w:rsidRDefault="00911C23" w:rsidP="00275182">
      <w:pPr>
        <w:pStyle w:val="a3"/>
        <w:numPr>
          <w:ilvl w:val="0"/>
          <w:numId w:val="10"/>
        </w:numPr>
        <w:ind w:left="426"/>
        <w:jc w:val="both"/>
        <w:rPr>
          <w:rFonts w:ascii="Arial" w:hAnsi="Arial" w:cs="Arial"/>
          <w:sz w:val="22"/>
          <w:szCs w:val="22"/>
          <w:highlight w:val="yellow"/>
          <w:lang w:val="en-GB"/>
        </w:rPr>
      </w:pPr>
      <w:r w:rsidRPr="00E84A0C">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a3"/>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57BCFC30" w14:textId="55A36FB3" w:rsidR="009B07AD" w:rsidRPr="009A2199" w:rsidRDefault="00AC7566" w:rsidP="009A2199">
      <w:pPr>
        <w:pStyle w:val="a3"/>
        <w:numPr>
          <w:ilvl w:val="0"/>
          <w:numId w:val="17"/>
        </w:numPr>
        <w:jc w:val="both"/>
        <w:rPr>
          <w:rFonts w:ascii="Arial" w:hAnsi="Arial" w:cs="Arial"/>
          <w:sz w:val="22"/>
          <w:szCs w:val="22"/>
          <w:lang w:val="en-GB"/>
        </w:rPr>
      </w:pPr>
      <w:r w:rsidRPr="009A2199">
        <w:rPr>
          <w:rFonts w:ascii="Arial" w:hAnsi="Arial" w:cs="Arial"/>
          <w:sz w:val="22"/>
          <w:szCs w:val="22"/>
          <w:lang w:val="en-GB"/>
        </w:rPr>
        <w:t>The English Bankruptcy Act of 1542 promoted the appointment of a body of commissioners who could proceed against a defrauding debtor who had absconded or neglected to pay his debts on a creditor’s application. It allowed compulsory administration and distribution of the debtor’s assets on the basis of equality amongst all the creditors.</w:t>
      </w:r>
    </w:p>
    <w:p w14:paraId="7A011BA9" w14:textId="3F02FED2" w:rsidR="00DD0A7C" w:rsidRPr="009A2199" w:rsidRDefault="00DD0A7C" w:rsidP="009A2199">
      <w:pPr>
        <w:pStyle w:val="a3"/>
        <w:numPr>
          <w:ilvl w:val="0"/>
          <w:numId w:val="17"/>
        </w:numPr>
        <w:jc w:val="both"/>
        <w:rPr>
          <w:rFonts w:ascii="Arial" w:eastAsiaTheme="minorEastAsia" w:hAnsi="Arial" w:cs="Arial"/>
          <w:sz w:val="22"/>
          <w:szCs w:val="22"/>
          <w:lang w:val="en-GB" w:eastAsia="zh-TW"/>
        </w:rPr>
      </w:pPr>
      <w:r w:rsidRPr="009A2199">
        <w:rPr>
          <w:rFonts w:ascii="Arial" w:eastAsiaTheme="minorEastAsia" w:hAnsi="Arial" w:cs="Arial" w:hint="eastAsia"/>
          <w:sz w:val="22"/>
          <w:szCs w:val="22"/>
          <w:lang w:val="en-GB" w:eastAsia="zh-TW"/>
        </w:rPr>
        <w:t>T</w:t>
      </w:r>
      <w:r w:rsidRPr="009A2199">
        <w:rPr>
          <w:rFonts w:ascii="Arial" w:eastAsiaTheme="minorEastAsia" w:hAnsi="Arial" w:cs="Arial"/>
          <w:sz w:val="22"/>
          <w:szCs w:val="22"/>
          <w:lang w:val="en-GB" w:eastAsia="zh-TW"/>
        </w:rPr>
        <w:t>he Statue of Ann of 1705 first introduced the idea of a statutory discharge. Unlike modern times, it was not an automatic entitlement and the commissioners had to be satisfied that the debtor had conformed an co-operated during the proceedings.</w:t>
      </w:r>
    </w:p>
    <w:p w14:paraId="70F6A5C3" w14:textId="0F22F4E4" w:rsidR="00DD0A7C" w:rsidRPr="009A2199" w:rsidRDefault="00DD0A7C" w:rsidP="009A2199">
      <w:pPr>
        <w:pStyle w:val="a3"/>
        <w:numPr>
          <w:ilvl w:val="0"/>
          <w:numId w:val="17"/>
        </w:numPr>
        <w:jc w:val="both"/>
        <w:rPr>
          <w:rFonts w:ascii="Arial" w:eastAsiaTheme="minorEastAsia" w:hAnsi="Arial" w:cs="Arial"/>
          <w:sz w:val="22"/>
          <w:szCs w:val="22"/>
          <w:lang w:val="en-GB" w:eastAsia="zh-TW"/>
        </w:rPr>
      </w:pPr>
      <w:r w:rsidRPr="009A2199">
        <w:rPr>
          <w:rFonts w:ascii="Arial" w:eastAsiaTheme="minorEastAsia" w:hAnsi="Arial" w:cs="Arial" w:hint="eastAsia"/>
          <w:sz w:val="22"/>
          <w:szCs w:val="22"/>
          <w:lang w:val="en-GB" w:eastAsia="zh-TW"/>
        </w:rPr>
        <w:t>T</w:t>
      </w:r>
      <w:r w:rsidRPr="009A2199">
        <w:rPr>
          <w:rFonts w:ascii="Arial" w:eastAsiaTheme="minorEastAsia" w:hAnsi="Arial" w:cs="Arial"/>
          <w:sz w:val="22"/>
          <w:szCs w:val="22"/>
          <w:lang w:val="en-GB" w:eastAsia="zh-TW"/>
        </w:rPr>
        <w:t xml:space="preserve">he English Bankruptcy Act 1883 introduced the role of Official Receiver, who was responsible for administrating debtor’s estate even before the commencement of bankruptcy procedure. </w:t>
      </w:r>
      <w:r w:rsidR="009A2199" w:rsidRPr="009A2199">
        <w:rPr>
          <w:rFonts w:ascii="Arial" w:eastAsiaTheme="minorEastAsia" w:hAnsi="Arial" w:cs="Arial"/>
          <w:sz w:val="22"/>
          <w:szCs w:val="22"/>
          <w:lang w:val="en-GB" w:eastAsia="zh-TW"/>
        </w:rPr>
        <w:t>His role was later extended to winding up proceedings instead of personal bankruptcy at the time of introduction.</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3FC379A9" w:rsidR="00CC7728" w:rsidRDefault="00CC7728" w:rsidP="00B7193E">
      <w:pPr>
        <w:jc w:val="both"/>
        <w:rPr>
          <w:rFonts w:ascii="Arial" w:hAnsi="Arial" w:cs="Arial"/>
          <w:sz w:val="22"/>
          <w:szCs w:val="22"/>
          <w:lang w:val="en-GB"/>
        </w:rPr>
      </w:pPr>
    </w:p>
    <w:p w14:paraId="491F132C" w14:textId="6B81D939" w:rsidR="00D71FAF" w:rsidRPr="00D71FAF" w:rsidRDefault="00D71FAF" w:rsidP="00B7193E">
      <w:pPr>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T</w:t>
      </w:r>
      <w:r>
        <w:rPr>
          <w:rFonts w:ascii="Arial" w:eastAsiaTheme="minorEastAsia" w:hAnsi="Arial" w:cs="Arial"/>
          <w:sz w:val="22"/>
          <w:szCs w:val="22"/>
          <w:lang w:val="en-GB" w:eastAsia="zh-TW"/>
        </w:rPr>
        <w:t>he C</w:t>
      </w:r>
      <w:r w:rsidRPr="00D71FAF">
        <w:rPr>
          <w:rFonts w:ascii="Arial" w:eastAsiaTheme="minorEastAsia" w:hAnsi="Arial" w:cs="Arial"/>
          <w:sz w:val="22"/>
          <w:szCs w:val="22"/>
          <w:lang w:val="en-GB" w:eastAsia="zh-TW"/>
        </w:rPr>
        <w:t xml:space="preserve">orporate </w:t>
      </w:r>
      <w:r>
        <w:rPr>
          <w:rFonts w:ascii="Arial" w:eastAsiaTheme="minorEastAsia" w:hAnsi="Arial" w:cs="Arial"/>
          <w:sz w:val="22"/>
          <w:szCs w:val="22"/>
          <w:lang w:val="en-GB" w:eastAsia="zh-TW"/>
        </w:rPr>
        <w:t>I</w:t>
      </w:r>
      <w:r w:rsidRPr="00D71FAF">
        <w:rPr>
          <w:rFonts w:ascii="Arial" w:eastAsiaTheme="minorEastAsia" w:hAnsi="Arial" w:cs="Arial"/>
          <w:sz w:val="22"/>
          <w:szCs w:val="22"/>
          <w:lang w:val="en-GB" w:eastAsia="zh-TW"/>
        </w:rPr>
        <w:t xml:space="preserve">nsolvency and </w:t>
      </w:r>
      <w:r>
        <w:rPr>
          <w:rFonts w:ascii="Arial" w:eastAsiaTheme="minorEastAsia" w:hAnsi="Arial" w:cs="Arial"/>
          <w:sz w:val="22"/>
          <w:szCs w:val="22"/>
          <w:lang w:val="en-GB" w:eastAsia="zh-TW"/>
        </w:rPr>
        <w:t>G</w:t>
      </w:r>
      <w:r w:rsidRPr="00D71FAF">
        <w:rPr>
          <w:rFonts w:ascii="Arial" w:eastAsiaTheme="minorEastAsia" w:hAnsi="Arial" w:cs="Arial"/>
          <w:sz w:val="22"/>
          <w:szCs w:val="22"/>
          <w:lang w:val="en-GB" w:eastAsia="zh-TW"/>
        </w:rPr>
        <w:t xml:space="preserve">overnance </w:t>
      </w:r>
      <w:r>
        <w:rPr>
          <w:rFonts w:ascii="Arial" w:eastAsiaTheme="minorEastAsia" w:hAnsi="Arial" w:cs="Arial"/>
          <w:sz w:val="22"/>
          <w:szCs w:val="22"/>
          <w:lang w:val="en-GB" w:eastAsia="zh-TW"/>
        </w:rPr>
        <w:t>A</w:t>
      </w:r>
      <w:r w:rsidRPr="00D71FAF">
        <w:rPr>
          <w:rFonts w:ascii="Arial" w:eastAsiaTheme="minorEastAsia" w:hAnsi="Arial" w:cs="Arial"/>
          <w:sz w:val="22"/>
          <w:szCs w:val="22"/>
          <w:lang w:val="en-GB" w:eastAsia="zh-TW"/>
        </w:rPr>
        <w:t>ct 2020</w:t>
      </w:r>
      <w:r>
        <w:rPr>
          <w:rFonts w:ascii="Arial" w:eastAsiaTheme="minorEastAsia" w:hAnsi="Arial" w:cs="Arial"/>
          <w:sz w:val="22"/>
          <w:szCs w:val="22"/>
          <w:lang w:val="en-GB" w:eastAsia="zh-TW"/>
        </w:rPr>
        <w:t xml:space="preserve"> was passed and examples of new measures (some are permanent and while some are temporary) are as follows :</w:t>
      </w:r>
    </w:p>
    <w:p w14:paraId="5D0795F5" w14:textId="77777777" w:rsidR="00D71FAF" w:rsidRPr="00D71FAF" w:rsidRDefault="00D71FAF" w:rsidP="00D71FAF">
      <w:pPr>
        <w:jc w:val="both"/>
        <w:rPr>
          <w:rFonts w:ascii="Arial" w:hAnsi="Arial" w:cs="Arial"/>
          <w:sz w:val="22"/>
          <w:szCs w:val="22"/>
          <w:lang w:val="en-GB"/>
        </w:rPr>
      </w:pPr>
    </w:p>
    <w:p w14:paraId="45278BF9" w14:textId="73F5D1CD" w:rsidR="00D71FAF" w:rsidRPr="00D71FAF" w:rsidRDefault="00D71FAF" w:rsidP="00D71FAF">
      <w:pPr>
        <w:numPr>
          <w:ilvl w:val="0"/>
          <w:numId w:val="18"/>
        </w:numPr>
        <w:shd w:val="clear" w:color="auto" w:fill="FFFFFF"/>
        <w:tabs>
          <w:tab w:val="clear" w:pos="720"/>
        </w:tabs>
        <w:ind w:left="426" w:hanging="426"/>
        <w:jc w:val="both"/>
        <w:rPr>
          <w:rFonts w:ascii="Arial" w:hAnsi="Arial" w:cs="Arial"/>
          <w:color w:val="393939"/>
          <w:sz w:val="22"/>
          <w:szCs w:val="22"/>
          <w:lang w:eastAsia="zh-TW"/>
        </w:rPr>
      </w:pPr>
      <w:r w:rsidRPr="00D71FAF">
        <w:rPr>
          <w:rFonts w:ascii="Arial" w:hAnsi="Arial" w:cs="Arial"/>
          <w:color w:val="393939"/>
          <w:sz w:val="22"/>
          <w:szCs w:val="22"/>
          <w:lang w:eastAsia="zh-TW"/>
        </w:rPr>
        <w:t>A new restructuring plan</w:t>
      </w:r>
      <w:r w:rsidRPr="00855F8E">
        <w:rPr>
          <w:rFonts w:ascii="Arial" w:hAnsi="Arial" w:cs="Arial"/>
          <w:color w:val="393939"/>
          <w:sz w:val="22"/>
          <w:szCs w:val="22"/>
          <w:lang w:eastAsia="zh-TW"/>
        </w:rPr>
        <w:t xml:space="preserve"> was introduced</w:t>
      </w:r>
      <w:r w:rsidRPr="00D71FAF">
        <w:rPr>
          <w:rFonts w:ascii="Arial" w:hAnsi="Arial" w:cs="Arial"/>
          <w:color w:val="393939"/>
          <w:sz w:val="22"/>
          <w:szCs w:val="22"/>
          <w:lang w:eastAsia="zh-TW"/>
        </w:rPr>
        <w:t xml:space="preserve"> to help viable companies struggling with debt obligations</w:t>
      </w:r>
      <w:r w:rsidRPr="00855F8E">
        <w:rPr>
          <w:rFonts w:ascii="Arial" w:hAnsi="Arial" w:cs="Arial"/>
          <w:color w:val="393939"/>
          <w:sz w:val="22"/>
          <w:szCs w:val="22"/>
          <w:lang w:eastAsia="zh-TW"/>
        </w:rPr>
        <w:t xml:space="preserve"> as C</w:t>
      </w:r>
      <w:r w:rsidRPr="00D71FAF">
        <w:rPr>
          <w:rFonts w:ascii="Arial" w:hAnsi="Arial" w:cs="Arial"/>
          <w:color w:val="393939"/>
          <w:sz w:val="22"/>
          <w:szCs w:val="22"/>
          <w:lang w:eastAsia="zh-TW"/>
        </w:rPr>
        <w:t>ourts can sanction a plan if it is fair and equitable</w:t>
      </w:r>
      <w:r w:rsidRPr="00855F8E">
        <w:rPr>
          <w:rFonts w:ascii="Arial" w:hAnsi="Arial" w:cs="Arial"/>
          <w:color w:val="393939"/>
          <w:sz w:val="22"/>
          <w:szCs w:val="22"/>
          <w:lang w:eastAsia="zh-TW"/>
        </w:rPr>
        <w:t>. The Plan would bind on all creditors, even for those who vote against it.</w:t>
      </w:r>
    </w:p>
    <w:p w14:paraId="2F5E177A" w14:textId="617F5759" w:rsidR="00D71FAF" w:rsidRPr="00D71FAF" w:rsidRDefault="00D71FAF" w:rsidP="00D71FAF">
      <w:pPr>
        <w:numPr>
          <w:ilvl w:val="0"/>
          <w:numId w:val="18"/>
        </w:numPr>
        <w:shd w:val="clear" w:color="auto" w:fill="FFFFFF"/>
        <w:tabs>
          <w:tab w:val="clear" w:pos="720"/>
        </w:tabs>
        <w:ind w:left="426" w:hanging="426"/>
        <w:jc w:val="both"/>
        <w:rPr>
          <w:rFonts w:ascii="Arial" w:hAnsi="Arial" w:cs="Arial"/>
          <w:color w:val="393939"/>
          <w:sz w:val="22"/>
          <w:szCs w:val="22"/>
          <w:lang w:eastAsia="zh-TW"/>
        </w:rPr>
      </w:pPr>
      <w:r w:rsidRPr="00855F8E">
        <w:rPr>
          <w:rFonts w:ascii="Arial" w:hAnsi="Arial" w:cs="Arial"/>
          <w:color w:val="393939"/>
          <w:sz w:val="22"/>
          <w:szCs w:val="22"/>
          <w:lang w:eastAsia="zh-TW"/>
        </w:rPr>
        <w:t xml:space="preserve">Service of </w:t>
      </w:r>
      <w:r w:rsidRPr="00D71FAF">
        <w:rPr>
          <w:rFonts w:ascii="Arial" w:hAnsi="Arial" w:cs="Arial"/>
          <w:color w:val="393939"/>
          <w:sz w:val="22"/>
          <w:szCs w:val="22"/>
          <w:lang w:eastAsia="zh-TW"/>
        </w:rPr>
        <w:t>statutory demands</w:t>
      </w:r>
      <w:r w:rsidRPr="00855F8E">
        <w:rPr>
          <w:rFonts w:ascii="Arial" w:hAnsi="Arial" w:cs="Arial"/>
          <w:color w:val="393939"/>
          <w:sz w:val="22"/>
          <w:szCs w:val="22"/>
          <w:lang w:eastAsia="zh-TW"/>
        </w:rPr>
        <w:t xml:space="preserve"> </w:t>
      </w:r>
      <w:r w:rsidR="00D161D9" w:rsidRPr="00855F8E">
        <w:rPr>
          <w:rFonts w:ascii="Arial" w:hAnsi="Arial" w:cs="Arial"/>
          <w:color w:val="393939"/>
          <w:sz w:val="22"/>
          <w:szCs w:val="22"/>
          <w:lang w:eastAsia="zh-TW"/>
        </w:rPr>
        <w:t xml:space="preserve">would be void if it was served on a company during the “relevant period”, i.e. </w:t>
      </w:r>
      <w:r w:rsidRPr="00D71FAF">
        <w:rPr>
          <w:rFonts w:ascii="Arial" w:hAnsi="Arial" w:cs="Arial"/>
          <w:color w:val="393939"/>
          <w:sz w:val="22"/>
          <w:szCs w:val="22"/>
          <w:lang w:eastAsia="zh-TW"/>
        </w:rPr>
        <w:t>between 1 March 2020 and 30 September 2021.</w:t>
      </w:r>
    </w:p>
    <w:p w14:paraId="549EC0E1" w14:textId="1736CA16" w:rsidR="00855F8E" w:rsidRPr="00855F8E" w:rsidRDefault="00855F8E" w:rsidP="00D71FAF">
      <w:pPr>
        <w:numPr>
          <w:ilvl w:val="0"/>
          <w:numId w:val="18"/>
        </w:numPr>
        <w:shd w:val="clear" w:color="auto" w:fill="FFFFFF"/>
        <w:tabs>
          <w:tab w:val="clear" w:pos="720"/>
        </w:tabs>
        <w:ind w:left="426" w:hanging="426"/>
        <w:jc w:val="both"/>
        <w:rPr>
          <w:rFonts w:ascii="Arial" w:hAnsi="Arial" w:cs="Arial"/>
          <w:color w:val="393939"/>
          <w:sz w:val="22"/>
          <w:szCs w:val="22"/>
          <w:lang w:eastAsia="zh-TW"/>
        </w:rPr>
      </w:pPr>
      <w:r>
        <w:rPr>
          <w:rFonts w:ascii="Arial" w:eastAsia="新細明體" w:hAnsi="Arial" w:cs="Arial"/>
          <w:color w:val="393939"/>
          <w:sz w:val="22"/>
          <w:szCs w:val="22"/>
          <w:lang w:eastAsia="zh-TW"/>
        </w:rPr>
        <w:t>Restrictions were imposed on winding-up petition where the unpaid debt is due to the pandemic. The Court would review winding-up petitions to determine the cause of non-payment and no order would be made in such cases.</w:t>
      </w:r>
    </w:p>
    <w:p w14:paraId="039E27B5" w14:textId="43F06D19" w:rsidR="00C82D87" w:rsidRPr="00D71FAF" w:rsidRDefault="00C82D87" w:rsidP="00D71FAF">
      <w:pPr>
        <w:ind w:left="720" w:hanging="720"/>
        <w:jc w:val="both"/>
        <w:rPr>
          <w:rFonts w:ascii="Arial" w:hAnsi="Arial" w:cs="Arial"/>
          <w:sz w:val="22"/>
          <w:szCs w:val="22"/>
          <w:lang w:val="en-GB"/>
        </w:rPr>
      </w:pPr>
    </w:p>
    <w:p w14:paraId="79961E83" w14:textId="77777777" w:rsidR="00D17FDC" w:rsidRPr="00205B31" w:rsidRDefault="00D17FDC" w:rsidP="00D71FAF">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0B6B75" w:rsidRDefault="0030558B" w:rsidP="00E54ADD">
      <w:pPr>
        <w:jc w:val="both"/>
        <w:rPr>
          <w:rFonts w:ascii="Arial" w:hAnsi="Arial" w:cs="Arial"/>
          <w:sz w:val="22"/>
          <w:szCs w:val="22"/>
          <w:lang w:val="en-GB"/>
        </w:rPr>
      </w:pPr>
    </w:p>
    <w:p w14:paraId="78DB9FD8" w14:textId="5DF825C0" w:rsidR="00C72848" w:rsidRPr="00D673D4" w:rsidRDefault="000B6B75" w:rsidP="00D673D4">
      <w:pPr>
        <w:pStyle w:val="a3"/>
        <w:numPr>
          <w:ilvl w:val="0"/>
          <w:numId w:val="21"/>
        </w:numPr>
        <w:tabs>
          <w:tab w:val="clear" w:pos="720"/>
        </w:tabs>
        <w:ind w:left="426" w:hanging="426"/>
        <w:jc w:val="both"/>
        <w:rPr>
          <w:rFonts w:ascii="Arial" w:hAnsi="Arial" w:cs="Arial"/>
          <w:sz w:val="22"/>
          <w:szCs w:val="22"/>
          <w:lang w:val="en-GB"/>
        </w:rPr>
      </w:pPr>
      <w:r w:rsidRPr="00D673D4">
        <w:rPr>
          <w:rFonts w:ascii="Arial" w:hAnsi="Arial" w:cs="Arial"/>
          <w:sz w:val="22"/>
          <w:szCs w:val="22"/>
          <w:lang w:val="en-GB"/>
        </w:rPr>
        <w:t xml:space="preserve">Treaties are public international instruments or written agreements between two or more countries which are formally approved and signed by their leaders. The States would be bound and their domestic law would be affected such that their domestic law should not be contradicted with the principles </w:t>
      </w:r>
      <w:r w:rsidR="00D673D4">
        <w:rPr>
          <w:rFonts w:ascii="Arial" w:hAnsi="Arial" w:cs="Arial"/>
          <w:sz w:val="22"/>
          <w:szCs w:val="22"/>
          <w:lang w:val="en-GB"/>
        </w:rPr>
        <w:t>laid down in the</w:t>
      </w:r>
      <w:r w:rsidRPr="00D673D4">
        <w:rPr>
          <w:rFonts w:ascii="Arial" w:hAnsi="Arial" w:cs="Arial"/>
          <w:sz w:val="22"/>
          <w:szCs w:val="22"/>
          <w:lang w:val="en-GB"/>
        </w:rPr>
        <w:t xml:space="preserve"> treaties. However, it had not been very successful in Europe in using treaties to establish cross-border insolvency rules.</w:t>
      </w:r>
    </w:p>
    <w:p w14:paraId="089FBE5D" w14:textId="5EB0338F" w:rsidR="00D673D4" w:rsidRPr="00D673D4" w:rsidRDefault="00D673D4" w:rsidP="00D673D4">
      <w:pPr>
        <w:pStyle w:val="a3"/>
        <w:numPr>
          <w:ilvl w:val="0"/>
          <w:numId w:val="21"/>
        </w:numPr>
        <w:tabs>
          <w:tab w:val="clear" w:pos="720"/>
        </w:tabs>
        <w:ind w:left="426" w:hanging="426"/>
        <w:jc w:val="both"/>
        <w:rPr>
          <w:rFonts w:ascii="Arial" w:eastAsiaTheme="minorEastAsia" w:hAnsi="Arial" w:cs="Arial"/>
          <w:sz w:val="22"/>
          <w:szCs w:val="22"/>
          <w:lang w:val="en-GB" w:eastAsia="zh-TW"/>
        </w:rPr>
      </w:pPr>
      <w:r w:rsidRPr="00D673D4">
        <w:rPr>
          <w:rFonts w:ascii="Arial" w:eastAsiaTheme="minorEastAsia" w:hAnsi="Arial" w:cs="Arial" w:hint="eastAsia"/>
          <w:sz w:val="22"/>
          <w:szCs w:val="22"/>
          <w:lang w:val="en-GB" w:eastAsia="zh-TW"/>
        </w:rPr>
        <w:t>I</w:t>
      </w:r>
      <w:r w:rsidRPr="00D673D4">
        <w:rPr>
          <w:rFonts w:ascii="Arial" w:eastAsiaTheme="minorEastAsia" w:hAnsi="Arial" w:cs="Arial"/>
          <w:sz w:val="22"/>
          <w:szCs w:val="22"/>
          <w:lang w:val="en-GB" w:eastAsia="zh-TW"/>
        </w:rPr>
        <w:t xml:space="preserve">n contrary to hard law, soft law refers to quasi-legal instruments which do not have binding force legally or weaker binding force than traditional law. One of the most successful examples of soft law used to establish cross-border insolvency rules in States </w:t>
      </w:r>
      <w:r w:rsidR="002D134C">
        <w:rPr>
          <w:rFonts w:ascii="Arial" w:eastAsiaTheme="minorEastAsia" w:hAnsi="Arial" w:cs="Arial"/>
          <w:sz w:val="22"/>
          <w:szCs w:val="22"/>
          <w:lang w:val="en-GB" w:eastAsia="zh-TW"/>
        </w:rPr>
        <w:t>is</w:t>
      </w:r>
      <w:r w:rsidRPr="00D673D4">
        <w:rPr>
          <w:rFonts w:ascii="Arial" w:eastAsiaTheme="minorEastAsia" w:hAnsi="Arial" w:cs="Arial"/>
          <w:sz w:val="22"/>
          <w:szCs w:val="22"/>
          <w:lang w:val="en-GB" w:eastAsia="zh-TW"/>
        </w:rPr>
        <w:t xml:space="preserve"> the Model Law on Cross-border Insolvency</w:t>
      </w:r>
      <w:r w:rsidR="002D134C">
        <w:rPr>
          <w:rFonts w:ascii="Arial" w:eastAsiaTheme="minorEastAsia" w:hAnsi="Arial" w:cs="Arial"/>
          <w:sz w:val="22"/>
          <w:szCs w:val="22"/>
          <w:lang w:val="en-GB" w:eastAsia="zh-TW"/>
        </w:rPr>
        <w:t xml:space="preserve"> (MLCBI)</w:t>
      </w:r>
      <w:r w:rsidRPr="00D673D4">
        <w:rPr>
          <w:rFonts w:ascii="Arial" w:eastAsiaTheme="minorEastAsia" w:hAnsi="Arial" w:cs="Arial"/>
          <w:sz w:val="22"/>
          <w:szCs w:val="22"/>
          <w:lang w:val="en-GB" w:eastAsia="zh-TW"/>
        </w:rPr>
        <w:t xml:space="preserve">. It is a model law and draft </w:t>
      </w:r>
      <w:r w:rsidRPr="00D673D4">
        <w:rPr>
          <w:rFonts w:ascii="Arial" w:eastAsiaTheme="minorEastAsia" w:hAnsi="Arial" w:cs="Arial"/>
          <w:sz w:val="22"/>
          <w:szCs w:val="22"/>
          <w:lang w:val="en-GB" w:eastAsia="zh-TW"/>
        </w:rPr>
        <w:lastRenderedPageBreak/>
        <w:t>legislation that the States are recommended by UNCITRAL to adopt the same with or without modification.</w:t>
      </w:r>
    </w:p>
    <w:p w14:paraId="572227E7" w14:textId="5503A81A" w:rsidR="0045683E" w:rsidRPr="0032621A" w:rsidRDefault="0032621A" w:rsidP="000B6B75">
      <w:pPr>
        <w:rPr>
          <w:rFonts w:ascii="Arial" w:eastAsiaTheme="minorEastAsia" w:hAnsi="Arial" w:cs="Arial"/>
          <w:b/>
          <w:sz w:val="22"/>
          <w:szCs w:val="22"/>
          <w:lang w:val="en-GB" w:eastAsia="zh-TW"/>
        </w:rPr>
      </w:pPr>
      <w:r>
        <w:rPr>
          <w:rFonts w:ascii="Arial" w:eastAsiaTheme="minorEastAsia" w:hAnsi="Arial" w:cs="Arial" w:hint="eastAsia"/>
          <w:b/>
          <w:sz w:val="22"/>
          <w:szCs w:val="22"/>
          <w:lang w:val="en-GB" w:eastAsia="zh-TW"/>
        </w:rPr>
        <w:t xml:space="preserve"> </w:t>
      </w:r>
    </w:p>
    <w:p w14:paraId="383B5930" w14:textId="24E126B6" w:rsidR="00C550C8" w:rsidRPr="000B6B75" w:rsidRDefault="00C550C8" w:rsidP="000B6B75">
      <w:pPr>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C6533F" w:rsidRDefault="009E50C1" w:rsidP="009E50C1">
      <w:pPr>
        <w:jc w:val="both"/>
        <w:rPr>
          <w:rFonts w:ascii="Arial" w:hAnsi="Arial" w:cs="Arial"/>
          <w:sz w:val="22"/>
          <w:szCs w:val="22"/>
          <w:lang w:val="en-GB"/>
        </w:rPr>
      </w:pPr>
      <w:r w:rsidRPr="00C6533F">
        <w:rPr>
          <w:rFonts w:ascii="Arial" w:hAnsi="Arial" w:cs="Arial"/>
          <w:sz w:val="22"/>
          <w:szCs w:val="22"/>
          <w:lang w:val="en-GB"/>
        </w:rPr>
        <w:t xml:space="preserve">Briefly discuss the </w:t>
      </w:r>
      <w:r w:rsidR="00B56B95" w:rsidRPr="00C6533F">
        <w:rPr>
          <w:rFonts w:ascii="Arial" w:hAnsi="Arial" w:cs="Arial"/>
          <w:sz w:val="22"/>
          <w:szCs w:val="22"/>
          <w:lang w:val="en-GB"/>
        </w:rPr>
        <w:t xml:space="preserve">various </w:t>
      </w:r>
      <w:r w:rsidRPr="00C6533F">
        <w:rPr>
          <w:rFonts w:ascii="Arial" w:hAnsi="Arial" w:cs="Arial"/>
          <w:sz w:val="22"/>
          <w:szCs w:val="22"/>
          <w:lang w:val="en-GB"/>
        </w:rPr>
        <w:t>possible different sources of insolvency laws in any State and how they may interact with each other.</w:t>
      </w:r>
    </w:p>
    <w:p w14:paraId="17215273" w14:textId="77777777" w:rsidR="00CC7728" w:rsidRPr="00BC24D2" w:rsidRDefault="00CC7728" w:rsidP="00BC24D2">
      <w:pPr>
        <w:jc w:val="both"/>
        <w:rPr>
          <w:rFonts w:ascii="Arial" w:hAnsi="Arial" w:cs="Arial"/>
          <w:sz w:val="22"/>
          <w:szCs w:val="22"/>
          <w:lang w:val="en-GB"/>
        </w:rPr>
      </w:pPr>
    </w:p>
    <w:p w14:paraId="4024A332" w14:textId="29D02BE1" w:rsidR="00544127" w:rsidRPr="00BC24D2" w:rsidRDefault="00BC24D2" w:rsidP="00BC24D2">
      <w:pPr>
        <w:jc w:val="both"/>
        <w:rPr>
          <w:rFonts w:ascii="Arial" w:hAnsi="Arial" w:cs="Arial"/>
          <w:sz w:val="22"/>
          <w:szCs w:val="22"/>
          <w:lang w:val="en-GB"/>
        </w:rPr>
      </w:pPr>
      <w:r w:rsidRPr="00BC24D2">
        <w:rPr>
          <w:rFonts w:ascii="Arial" w:hAnsi="Arial" w:cs="Arial"/>
          <w:sz w:val="22"/>
          <w:szCs w:val="22"/>
          <w:lang w:val="en-GB"/>
        </w:rPr>
        <w:t>Hong Kong</w:t>
      </w:r>
      <w:r w:rsidR="00813C3D" w:rsidRPr="00BC24D2">
        <w:rPr>
          <w:rFonts w:ascii="Arial" w:hAnsi="Arial" w:cs="Arial"/>
          <w:sz w:val="22"/>
          <w:szCs w:val="22"/>
          <w:lang w:val="en-GB"/>
        </w:rPr>
        <w:t xml:space="preserve"> is taken as an example in </w:t>
      </w:r>
      <w:r w:rsidRPr="00BC24D2">
        <w:rPr>
          <w:rFonts w:ascii="Arial" w:hAnsi="Arial" w:cs="Arial"/>
          <w:sz w:val="22"/>
          <w:szCs w:val="22"/>
          <w:lang w:val="en-GB"/>
        </w:rPr>
        <w:t>this answer</w:t>
      </w:r>
      <w:r w:rsidR="00813C3D" w:rsidRPr="00BC24D2">
        <w:rPr>
          <w:rFonts w:ascii="Arial" w:hAnsi="Arial" w:cs="Arial"/>
          <w:sz w:val="22"/>
          <w:szCs w:val="22"/>
          <w:lang w:val="en-GB"/>
        </w:rPr>
        <w:t>.</w:t>
      </w:r>
      <w:r w:rsidRPr="00BC24D2">
        <w:rPr>
          <w:rFonts w:ascii="Arial" w:hAnsi="Arial" w:cs="Arial"/>
          <w:sz w:val="22"/>
          <w:szCs w:val="22"/>
          <w:lang w:val="en-GB"/>
        </w:rPr>
        <w:t xml:space="preserve"> Although it may not be a “State” being a part of the PRC, Hong Kong is having her own independent legal system and legislation.</w:t>
      </w:r>
    </w:p>
    <w:p w14:paraId="13EC6E8B" w14:textId="6F4B50EE" w:rsidR="00813C3D" w:rsidRPr="00EC08FF" w:rsidRDefault="00813C3D" w:rsidP="00BC24D2">
      <w:pPr>
        <w:jc w:val="both"/>
        <w:rPr>
          <w:rFonts w:ascii="Arial" w:hAnsi="Arial" w:cs="Arial"/>
          <w:sz w:val="22"/>
          <w:szCs w:val="22"/>
          <w:lang w:val="en-GB"/>
        </w:rPr>
      </w:pPr>
    </w:p>
    <w:p w14:paraId="0AEF3D71" w14:textId="7708F67F" w:rsidR="000B6273" w:rsidRPr="00EC08FF" w:rsidRDefault="00BC24D2" w:rsidP="00BC24D2">
      <w:pPr>
        <w:shd w:val="clear" w:color="auto" w:fill="FFFFFF"/>
        <w:jc w:val="both"/>
        <w:textAlignment w:val="baseline"/>
        <w:rPr>
          <w:rFonts w:ascii="Arial" w:eastAsiaTheme="minorEastAsia" w:hAnsi="Arial" w:cs="Arial"/>
          <w:color w:val="333333"/>
          <w:sz w:val="22"/>
          <w:szCs w:val="22"/>
          <w:lang w:eastAsia="zh-TW"/>
        </w:rPr>
      </w:pPr>
      <w:r w:rsidRPr="00BC24D2">
        <w:rPr>
          <w:rFonts w:ascii="Arial" w:hAnsi="Arial" w:cs="Arial"/>
          <w:color w:val="333333"/>
          <w:sz w:val="22"/>
          <w:szCs w:val="22"/>
          <w:lang w:eastAsia="zh-TW"/>
        </w:rPr>
        <w:t>The principal legislation in Hong Kong relating to corporate insolvencies is the Companies Ordinance (Cap</w:t>
      </w:r>
      <w:r w:rsidR="00EC08FF" w:rsidRPr="00EC08FF">
        <w:rPr>
          <w:rFonts w:ascii="Arial" w:hAnsi="Arial" w:cs="Arial"/>
          <w:color w:val="333333"/>
          <w:sz w:val="22"/>
          <w:szCs w:val="22"/>
          <w:lang w:eastAsia="zh-TW"/>
        </w:rPr>
        <w:t>.</w:t>
      </w:r>
      <w:r w:rsidRPr="00BC24D2">
        <w:rPr>
          <w:rFonts w:ascii="Arial" w:hAnsi="Arial" w:cs="Arial"/>
          <w:color w:val="333333"/>
          <w:sz w:val="22"/>
          <w:szCs w:val="22"/>
          <w:lang w:eastAsia="zh-TW"/>
        </w:rPr>
        <w:t xml:space="preserve"> 32)</w:t>
      </w:r>
      <w:r w:rsidR="000B6273" w:rsidRPr="00EC08FF">
        <w:rPr>
          <w:rFonts w:ascii="Arial" w:hAnsi="Arial" w:cs="Arial"/>
          <w:color w:val="333333"/>
          <w:sz w:val="22"/>
          <w:szCs w:val="22"/>
          <w:lang w:eastAsia="zh-TW"/>
        </w:rPr>
        <w:t xml:space="preserve"> and</w:t>
      </w:r>
      <w:r w:rsidRPr="00BC24D2">
        <w:rPr>
          <w:rFonts w:ascii="Arial" w:hAnsi="Arial" w:cs="Arial"/>
          <w:color w:val="333333"/>
          <w:sz w:val="22"/>
          <w:szCs w:val="22"/>
          <w:lang w:eastAsia="zh-TW"/>
        </w:rPr>
        <w:t xml:space="preserve"> supplemented by the Companies (Winding Up) Rules (Cap</w:t>
      </w:r>
      <w:r w:rsidR="000B6273" w:rsidRPr="00EC08FF">
        <w:rPr>
          <w:rFonts w:ascii="Arial" w:hAnsi="Arial" w:cs="Arial"/>
          <w:color w:val="333333"/>
          <w:sz w:val="22"/>
          <w:szCs w:val="22"/>
          <w:lang w:eastAsia="zh-TW"/>
        </w:rPr>
        <w:t>.</w:t>
      </w:r>
      <w:r w:rsidRPr="00BC24D2">
        <w:rPr>
          <w:rFonts w:ascii="Arial" w:hAnsi="Arial" w:cs="Arial"/>
          <w:color w:val="333333"/>
          <w:sz w:val="22"/>
          <w:szCs w:val="22"/>
          <w:lang w:eastAsia="zh-TW"/>
        </w:rPr>
        <w:t xml:space="preserve"> 32H).</w:t>
      </w:r>
      <w:r w:rsidR="000B6273" w:rsidRPr="00EC08FF">
        <w:rPr>
          <w:rFonts w:ascii="Arial" w:hAnsi="Arial" w:cs="Arial"/>
          <w:color w:val="333333"/>
          <w:sz w:val="22"/>
          <w:szCs w:val="22"/>
          <w:lang w:eastAsia="zh-TW"/>
        </w:rPr>
        <w:t xml:space="preserve"> </w:t>
      </w:r>
      <w:r w:rsidR="000B6273" w:rsidRPr="00EC08FF">
        <w:rPr>
          <w:rFonts w:ascii="Arial" w:eastAsiaTheme="minorEastAsia" w:hAnsi="Arial" w:cs="Arial"/>
          <w:color w:val="333333"/>
          <w:sz w:val="22"/>
          <w:szCs w:val="22"/>
          <w:lang w:eastAsia="zh-TW"/>
        </w:rPr>
        <w:t>The Bankruptcy Ordinance (Cap. 6) is related mainly to personal bankruptcy while also applies to corporate insolvencies in certain provisions.</w:t>
      </w:r>
      <w:r w:rsidR="00EC08FF" w:rsidRPr="00EC08FF">
        <w:rPr>
          <w:rFonts w:ascii="Arial" w:eastAsiaTheme="minorEastAsia" w:hAnsi="Arial" w:cs="Arial"/>
          <w:color w:val="333333"/>
          <w:sz w:val="22"/>
          <w:szCs w:val="22"/>
          <w:lang w:eastAsia="zh-TW"/>
        </w:rPr>
        <w:t xml:space="preserve"> Other legislations like </w:t>
      </w:r>
      <w:r w:rsidR="00EC08FF" w:rsidRPr="00EC08FF">
        <w:rPr>
          <w:rFonts w:ascii="Arial" w:hAnsi="Arial" w:cs="Arial"/>
          <w:color w:val="000000"/>
          <w:sz w:val="22"/>
          <w:szCs w:val="22"/>
          <w:shd w:val="clear" w:color="auto" w:fill="FFFFFF"/>
        </w:rPr>
        <w:t>Conveyancing and Property Ordinance</w:t>
      </w:r>
      <w:r w:rsidR="00EC08FF">
        <w:rPr>
          <w:rFonts w:ascii="Arial" w:hAnsi="Arial" w:cs="Arial"/>
          <w:color w:val="000000"/>
          <w:sz w:val="22"/>
          <w:szCs w:val="22"/>
          <w:shd w:val="clear" w:color="auto" w:fill="FFFFFF"/>
        </w:rPr>
        <w:t xml:space="preserve"> (Cap. 219)</w:t>
      </w:r>
      <w:r w:rsidR="00EC08FF" w:rsidRPr="00EC08FF">
        <w:rPr>
          <w:rFonts w:ascii="Arial" w:hAnsi="Arial" w:cs="Arial"/>
          <w:color w:val="000000"/>
          <w:sz w:val="22"/>
          <w:szCs w:val="22"/>
          <w:shd w:val="clear" w:color="auto" w:fill="FFFFFF"/>
        </w:rPr>
        <w:t xml:space="preserve">, Protection of Wages on Insolvency Ordinance </w:t>
      </w:r>
      <w:r w:rsidR="00EC08FF">
        <w:rPr>
          <w:rFonts w:ascii="Arial" w:hAnsi="Arial" w:cs="Arial"/>
          <w:color w:val="000000"/>
          <w:sz w:val="22"/>
          <w:szCs w:val="22"/>
          <w:shd w:val="clear" w:color="auto" w:fill="FFFFFF"/>
        </w:rPr>
        <w:t xml:space="preserve">(Cap. 380) </w:t>
      </w:r>
      <w:r w:rsidR="00EC08FF" w:rsidRPr="00EC08FF">
        <w:rPr>
          <w:rFonts w:ascii="Arial" w:hAnsi="Arial" w:cs="Arial"/>
          <w:color w:val="000000"/>
          <w:sz w:val="22"/>
          <w:szCs w:val="22"/>
          <w:shd w:val="clear" w:color="auto" w:fill="FFFFFF"/>
        </w:rPr>
        <w:t>and Transfer of Businesses (Protection of Creditors) Ordinance</w:t>
      </w:r>
      <w:r w:rsidR="00EC08FF">
        <w:rPr>
          <w:rFonts w:ascii="Arial" w:hAnsi="Arial" w:cs="Arial"/>
          <w:color w:val="000000"/>
          <w:sz w:val="22"/>
          <w:szCs w:val="22"/>
          <w:shd w:val="clear" w:color="auto" w:fill="FFFFFF"/>
        </w:rPr>
        <w:t xml:space="preserve"> (Cap. 49), etc. are also relevant in considering specific aspects in insolvency cases.</w:t>
      </w:r>
    </w:p>
    <w:p w14:paraId="37DA3831" w14:textId="421E20E4" w:rsidR="00BC24D2" w:rsidRPr="00BC24D2" w:rsidRDefault="00BC24D2" w:rsidP="00BC24D2">
      <w:pPr>
        <w:shd w:val="clear" w:color="auto" w:fill="FFFFFF"/>
        <w:jc w:val="both"/>
        <w:textAlignment w:val="baseline"/>
        <w:rPr>
          <w:rFonts w:ascii="Arial" w:hAnsi="Arial" w:cs="Arial"/>
          <w:color w:val="333333"/>
          <w:sz w:val="22"/>
          <w:szCs w:val="22"/>
          <w:lang w:eastAsia="zh-TW"/>
        </w:rPr>
      </w:pPr>
    </w:p>
    <w:p w14:paraId="4A637290" w14:textId="6F946758" w:rsidR="00544127" w:rsidRPr="00602E85" w:rsidRDefault="000B6273" w:rsidP="00602E85">
      <w:pPr>
        <w:jc w:val="both"/>
        <w:rPr>
          <w:rFonts w:ascii="Arial" w:eastAsiaTheme="minorEastAsia" w:hAnsi="Arial" w:cs="Arial"/>
          <w:color w:val="000000"/>
          <w:sz w:val="22"/>
          <w:szCs w:val="22"/>
          <w:lang w:eastAsia="zh-TW"/>
        </w:rPr>
      </w:pPr>
      <w:r w:rsidRPr="00602E85">
        <w:rPr>
          <w:rFonts w:ascii="Arial" w:eastAsiaTheme="minorEastAsia" w:hAnsi="Arial" w:cs="Arial"/>
          <w:color w:val="000000"/>
          <w:sz w:val="22"/>
          <w:szCs w:val="22"/>
          <w:lang w:eastAsia="zh-TW"/>
        </w:rPr>
        <w:t>Following the governance of the UK, Hong Kong is also adopting the common law approach. As an international financial center, insolvency issues are often considered in the Courts thus provided a wealth of case laws which laid down the principles to be followed.</w:t>
      </w:r>
      <w:r w:rsidR="007D24EE">
        <w:rPr>
          <w:rFonts w:ascii="Arial" w:eastAsiaTheme="minorEastAsia" w:hAnsi="Arial" w:cs="Arial"/>
          <w:color w:val="000000"/>
          <w:sz w:val="22"/>
          <w:szCs w:val="22"/>
          <w:lang w:eastAsia="zh-TW"/>
        </w:rPr>
        <w:t xml:space="preserve"> The principles in the abovementioned legislations are often referred and relied on in Courts’ judgments.</w:t>
      </w:r>
    </w:p>
    <w:p w14:paraId="63CA8175" w14:textId="6D9318D0" w:rsidR="000B6273" w:rsidRPr="00602E85" w:rsidRDefault="000B6273" w:rsidP="00602E85">
      <w:pPr>
        <w:jc w:val="both"/>
        <w:rPr>
          <w:rFonts w:ascii="Arial" w:eastAsiaTheme="minorEastAsia" w:hAnsi="Arial" w:cs="Arial"/>
          <w:color w:val="000000"/>
          <w:sz w:val="22"/>
          <w:szCs w:val="22"/>
          <w:lang w:eastAsia="zh-TW"/>
        </w:rPr>
      </w:pPr>
    </w:p>
    <w:p w14:paraId="3F2BE5A3" w14:textId="542E92B8" w:rsidR="00602E85" w:rsidRPr="00602E85" w:rsidRDefault="00602E85" w:rsidP="00602E85">
      <w:pPr>
        <w:jc w:val="both"/>
        <w:rPr>
          <w:rFonts w:ascii="Arial" w:eastAsiaTheme="minorEastAsia" w:hAnsi="Arial" w:cs="Arial"/>
          <w:color w:val="000000"/>
          <w:sz w:val="22"/>
          <w:szCs w:val="22"/>
          <w:lang w:eastAsia="zh-TW"/>
        </w:rPr>
      </w:pPr>
      <w:r>
        <w:rPr>
          <w:rFonts w:ascii="Arial" w:eastAsiaTheme="minorEastAsia" w:hAnsi="Arial" w:cs="Arial" w:hint="eastAsia"/>
          <w:color w:val="000000"/>
          <w:sz w:val="22"/>
          <w:szCs w:val="22"/>
          <w:lang w:eastAsia="zh-TW"/>
        </w:rPr>
        <w:t>H</w:t>
      </w:r>
      <w:r>
        <w:rPr>
          <w:rFonts w:ascii="Arial" w:eastAsiaTheme="minorEastAsia" w:hAnsi="Arial" w:cs="Arial"/>
          <w:color w:val="000000"/>
          <w:sz w:val="22"/>
          <w:szCs w:val="22"/>
          <w:lang w:eastAsia="zh-TW"/>
        </w:rPr>
        <w:t>owever, the UNCITRAL Model Law on cross-border insolvency is not recognized in Hong Kong for the time being. In handling cross-border insolvency issues, the Courts would take pragmatic approach and recognize foreign decisions in considering steps to be taken in Hong Kong</w:t>
      </w:r>
      <w:r w:rsidR="00EC08FF">
        <w:rPr>
          <w:rFonts w:ascii="Arial" w:eastAsiaTheme="minorEastAsia" w:hAnsi="Arial" w:cs="Arial"/>
          <w:color w:val="000000"/>
          <w:sz w:val="22"/>
          <w:szCs w:val="22"/>
          <w:lang w:eastAsia="zh-TW"/>
        </w:rPr>
        <w:t>.</w:t>
      </w:r>
    </w:p>
    <w:p w14:paraId="4EBB2F38" w14:textId="77777777" w:rsidR="00C6533F" w:rsidRPr="00602E85" w:rsidRDefault="00C6533F" w:rsidP="00EC08FF">
      <w:pPr>
        <w:jc w:val="both"/>
        <w:rPr>
          <w:rFonts w:ascii="Arial" w:hAnsi="Arial" w:cs="Arial"/>
          <w:sz w:val="22"/>
          <w:szCs w:val="22"/>
          <w:lang w:val="en-GB"/>
        </w:rPr>
      </w:pPr>
    </w:p>
    <w:p w14:paraId="624E69FB" w14:textId="77777777" w:rsidR="00726E9A" w:rsidRPr="00BC24D2" w:rsidRDefault="00726E9A" w:rsidP="00BC24D2">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182B48" w:rsidRDefault="001131C6" w:rsidP="001131C6">
      <w:pPr>
        <w:ind w:left="720"/>
        <w:rPr>
          <w:rFonts w:ascii="Arial" w:hAnsi="Arial" w:cs="Arial"/>
          <w:sz w:val="22"/>
          <w:szCs w:val="22"/>
          <w:lang w:val="en-GB"/>
        </w:rPr>
      </w:pPr>
    </w:p>
    <w:p w14:paraId="7940D274" w14:textId="46492F4E" w:rsidR="00DF75F8" w:rsidRDefault="00182B48" w:rsidP="00B7193E">
      <w:pPr>
        <w:jc w:val="both"/>
        <w:rPr>
          <w:rFonts w:ascii="Arial" w:eastAsia="新細明體" w:hAnsi="Arial" w:cs="Arial"/>
          <w:sz w:val="22"/>
          <w:szCs w:val="22"/>
          <w:lang w:val="en-GB" w:eastAsia="zh-TW"/>
        </w:rPr>
      </w:pPr>
      <w:r w:rsidRPr="00182B48">
        <w:rPr>
          <w:rFonts w:ascii="Arial" w:hAnsi="Arial" w:cs="Arial"/>
          <w:sz w:val="22"/>
          <w:szCs w:val="22"/>
          <w:lang w:val="en-GB"/>
        </w:rPr>
        <w:t>T</w:t>
      </w:r>
      <w:r w:rsidRPr="00182B48">
        <w:rPr>
          <w:rFonts w:ascii="Arial" w:eastAsia="新細明體" w:hAnsi="Arial" w:cs="Arial"/>
          <w:sz w:val="22"/>
          <w:szCs w:val="22"/>
          <w:lang w:val="en-GB" w:eastAsia="zh-TW"/>
        </w:rPr>
        <w:t>he three</w:t>
      </w:r>
      <w:r>
        <w:rPr>
          <w:rFonts w:ascii="Arial" w:eastAsia="新細明體" w:hAnsi="Arial" w:cs="Arial"/>
          <w:sz w:val="22"/>
          <w:szCs w:val="22"/>
          <w:lang w:val="en-GB" w:eastAsia="zh-TW"/>
        </w:rPr>
        <w:t xml:space="preserve"> pertinent questions/issues raised by Fletcher were :</w:t>
      </w:r>
    </w:p>
    <w:p w14:paraId="00A89982" w14:textId="5F15BF5B" w:rsidR="00182B48" w:rsidRDefault="00182B48" w:rsidP="00B7193E">
      <w:pPr>
        <w:jc w:val="both"/>
        <w:rPr>
          <w:rFonts w:ascii="Arial" w:eastAsia="新細明體" w:hAnsi="Arial" w:cs="Arial"/>
          <w:sz w:val="22"/>
          <w:szCs w:val="22"/>
          <w:lang w:val="en-GB" w:eastAsia="zh-TW"/>
        </w:rPr>
      </w:pPr>
    </w:p>
    <w:p w14:paraId="605AE990" w14:textId="72E782EF" w:rsidR="00182B48" w:rsidRDefault="00182B48" w:rsidP="00F9420C">
      <w:pPr>
        <w:pStyle w:val="a3"/>
        <w:numPr>
          <w:ilvl w:val="0"/>
          <w:numId w:val="22"/>
        </w:numPr>
        <w:ind w:left="426" w:hanging="426"/>
        <w:jc w:val="both"/>
        <w:rPr>
          <w:rFonts w:ascii="Arial" w:eastAsia="新細明體" w:hAnsi="Arial" w:cs="Arial"/>
          <w:sz w:val="22"/>
          <w:szCs w:val="22"/>
          <w:lang w:val="en-GB" w:eastAsia="zh-TW"/>
        </w:rPr>
      </w:pPr>
      <w:r w:rsidRPr="00182B48">
        <w:rPr>
          <w:rFonts w:ascii="Arial" w:eastAsia="新細明體" w:hAnsi="Arial" w:cs="Arial"/>
          <w:sz w:val="22"/>
          <w:szCs w:val="22"/>
          <w:lang w:val="en-GB" w:eastAsia="zh-TW"/>
        </w:rPr>
        <w:t>In which jurisdictions may insolvency proceedings be opened?</w:t>
      </w:r>
    </w:p>
    <w:p w14:paraId="369700FD" w14:textId="5FEBD214" w:rsidR="00097FF3" w:rsidRDefault="00097FF3" w:rsidP="00F9420C">
      <w:pPr>
        <w:pStyle w:val="a3"/>
        <w:numPr>
          <w:ilvl w:val="0"/>
          <w:numId w:val="23"/>
        </w:numPr>
        <w:jc w:val="both"/>
        <w:rPr>
          <w:rFonts w:ascii="Arial" w:eastAsia="新細明體" w:hAnsi="Arial" w:cs="Arial"/>
          <w:sz w:val="22"/>
          <w:szCs w:val="22"/>
          <w:lang w:val="en-GB" w:eastAsia="zh-TW"/>
        </w:rPr>
      </w:pPr>
      <w:r>
        <w:rPr>
          <w:rFonts w:ascii="Arial" w:eastAsia="新細明體" w:hAnsi="Arial" w:cs="Arial"/>
          <w:sz w:val="22"/>
          <w:szCs w:val="22"/>
          <w:lang w:val="en-GB" w:eastAsia="zh-TW"/>
        </w:rPr>
        <w:t>Insolvency proceedings could be opened concurrently in more than one State, depending on which approach is adopted (universalism vs territorialism)</w:t>
      </w:r>
      <w:r w:rsidR="00F9420C">
        <w:rPr>
          <w:rFonts w:ascii="Arial" w:eastAsia="新細明體" w:hAnsi="Arial" w:cs="Arial"/>
          <w:sz w:val="22"/>
          <w:szCs w:val="22"/>
          <w:lang w:val="en-GB" w:eastAsia="zh-TW"/>
        </w:rPr>
        <w:t>. Should universalism be adopted, there could be problem of whether certain judgment made in one State can be enforced in another. Should territorialism be adopted, there could be problem of multiple proceedings dealing with one single aspect of the case.</w:t>
      </w:r>
    </w:p>
    <w:p w14:paraId="3CC56132" w14:textId="77777777" w:rsidR="00097FF3" w:rsidRPr="00097FF3" w:rsidRDefault="00097FF3" w:rsidP="00F9420C">
      <w:pPr>
        <w:ind w:left="426"/>
        <w:jc w:val="both"/>
        <w:rPr>
          <w:rFonts w:ascii="Arial" w:eastAsia="新細明體" w:hAnsi="Arial" w:cs="Arial"/>
          <w:sz w:val="22"/>
          <w:szCs w:val="22"/>
          <w:lang w:val="en-GB" w:eastAsia="zh-TW"/>
        </w:rPr>
      </w:pPr>
    </w:p>
    <w:p w14:paraId="53F1E705" w14:textId="5A0DAE9E" w:rsidR="00182B48" w:rsidRDefault="00182B48" w:rsidP="00F9420C">
      <w:pPr>
        <w:pStyle w:val="a3"/>
        <w:numPr>
          <w:ilvl w:val="0"/>
          <w:numId w:val="22"/>
        </w:numPr>
        <w:ind w:left="426" w:hanging="426"/>
        <w:jc w:val="both"/>
        <w:rPr>
          <w:rFonts w:ascii="Arial" w:eastAsia="新細明體" w:hAnsi="Arial" w:cs="Arial"/>
          <w:sz w:val="22"/>
          <w:szCs w:val="22"/>
          <w:lang w:val="en-GB" w:eastAsia="zh-TW"/>
        </w:rPr>
      </w:pPr>
      <w:r w:rsidRPr="00182B48">
        <w:rPr>
          <w:rFonts w:ascii="Arial" w:eastAsia="新細明體" w:hAnsi="Arial" w:cs="Arial"/>
          <w:sz w:val="22"/>
          <w:szCs w:val="22"/>
          <w:lang w:val="en-GB" w:eastAsia="zh-TW"/>
        </w:rPr>
        <w:t>What country’s law should be applied in respect of different aspects of the case?</w:t>
      </w:r>
    </w:p>
    <w:p w14:paraId="06D75976" w14:textId="154D1E8A" w:rsidR="00097FF3" w:rsidRDefault="00F9420C" w:rsidP="00F9420C">
      <w:pPr>
        <w:pStyle w:val="a3"/>
        <w:numPr>
          <w:ilvl w:val="0"/>
          <w:numId w:val="23"/>
        </w:numPr>
        <w:jc w:val="both"/>
        <w:rPr>
          <w:rFonts w:ascii="Arial" w:eastAsia="新細明體" w:hAnsi="Arial" w:cs="Arial"/>
          <w:sz w:val="22"/>
          <w:szCs w:val="22"/>
          <w:lang w:val="en-GB" w:eastAsia="zh-TW"/>
        </w:rPr>
      </w:pPr>
      <w:r>
        <w:rPr>
          <w:rFonts w:ascii="Arial" w:eastAsia="新細明體" w:hAnsi="Arial" w:cs="Arial"/>
          <w:sz w:val="22"/>
          <w:szCs w:val="22"/>
          <w:lang w:val="en-GB" w:eastAsia="zh-TW"/>
        </w:rPr>
        <w:t>In the proceedings commenced in one State, the laws of that State should be applied and applied with its own choice-of-law rules. With the introduction of</w:t>
      </w:r>
      <w:r w:rsidR="008722D7">
        <w:rPr>
          <w:rFonts w:ascii="Arial" w:eastAsia="新細明體" w:hAnsi="Arial" w:cs="Arial"/>
          <w:sz w:val="22"/>
          <w:szCs w:val="22"/>
          <w:lang w:val="en-GB" w:eastAsia="zh-TW"/>
        </w:rPr>
        <w:t xml:space="preserve"> model laws (such as UNCITRAL Model Law on Cross-Border Insolvency), insolvency proceedings are being dealt with a more unified manner and the Court’s decision would be more recognized in other State.</w:t>
      </w:r>
    </w:p>
    <w:p w14:paraId="765A0AD0" w14:textId="77777777" w:rsidR="00097FF3" w:rsidRPr="00097FF3" w:rsidRDefault="00097FF3" w:rsidP="00F9420C">
      <w:pPr>
        <w:ind w:left="426"/>
        <w:jc w:val="both"/>
        <w:rPr>
          <w:rFonts w:ascii="Arial" w:eastAsia="新細明體" w:hAnsi="Arial" w:cs="Arial"/>
          <w:sz w:val="22"/>
          <w:szCs w:val="22"/>
          <w:lang w:val="en-GB" w:eastAsia="zh-TW"/>
        </w:rPr>
      </w:pPr>
    </w:p>
    <w:p w14:paraId="36E5EEDC" w14:textId="72ABC8BE" w:rsidR="00182B48" w:rsidRPr="00182B48" w:rsidRDefault="00182B48" w:rsidP="00F9420C">
      <w:pPr>
        <w:pStyle w:val="a3"/>
        <w:numPr>
          <w:ilvl w:val="0"/>
          <w:numId w:val="22"/>
        </w:numPr>
        <w:ind w:left="426" w:hanging="426"/>
        <w:jc w:val="both"/>
        <w:rPr>
          <w:rFonts w:ascii="Arial" w:eastAsia="新細明體" w:hAnsi="Arial" w:cs="Arial"/>
          <w:sz w:val="22"/>
          <w:szCs w:val="22"/>
          <w:lang w:val="en-GB" w:eastAsia="zh-TW"/>
        </w:rPr>
      </w:pPr>
      <w:r w:rsidRPr="00182B48">
        <w:rPr>
          <w:rFonts w:ascii="Arial" w:eastAsia="新細明體" w:hAnsi="Arial" w:cs="Arial"/>
          <w:sz w:val="22"/>
          <w:szCs w:val="22"/>
          <w:lang w:val="en-GB" w:eastAsia="zh-TW"/>
        </w:rPr>
        <w:t>What international effects will be accorded to proceedings conducted at a particular forum (including issues of enforcement)?</w:t>
      </w:r>
    </w:p>
    <w:p w14:paraId="01380F18" w14:textId="40CAEF6F" w:rsidR="008869F5" w:rsidRPr="00097FF3" w:rsidRDefault="008869F5" w:rsidP="008869F5">
      <w:pPr>
        <w:pStyle w:val="a3"/>
        <w:numPr>
          <w:ilvl w:val="0"/>
          <w:numId w:val="23"/>
        </w:numPr>
        <w:jc w:val="both"/>
        <w:rPr>
          <w:rFonts w:ascii="Arial" w:eastAsia="新細明體" w:hAnsi="Arial" w:cs="Arial"/>
          <w:sz w:val="22"/>
          <w:szCs w:val="22"/>
          <w:lang w:val="en-GB" w:eastAsia="zh-TW"/>
        </w:rPr>
      </w:pPr>
      <w:r>
        <w:rPr>
          <w:rFonts w:ascii="Arial" w:eastAsia="新細明體" w:hAnsi="Arial" w:cs="Arial" w:hint="eastAsia"/>
          <w:sz w:val="22"/>
          <w:szCs w:val="22"/>
          <w:lang w:val="en-GB" w:eastAsia="zh-TW"/>
        </w:rPr>
        <w:t>U</w:t>
      </w:r>
      <w:r>
        <w:rPr>
          <w:rFonts w:ascii="Arial" w:eastAsia="新細明體" w:hAnsi="Arial" w:cs="Arial"/>
          <w:sz w:val="22"/>
          <w:szCs w:val="22"/>
          <w:lang w:val="en-GB" w:eastAsia="zh-TW"/>
        </w:rPr>
        <w:t>sually, very limited extraterritorial effects would be granted to foreign proceedings. However, with the help of solutions like the UNCITRAL Model Law, when a foreign proceedings should be accorded recognition could be determined.</w:t>
      </w:r>
    </w:p>
    <w:p w14:paraId="3D93EEE8" w14:textId="77777777" w:rsidR="00182B48" w:rsidRPr="00182B48" w:rsidRDefault="00182B48" w:rsidP="00B7193E">
      <w:pPr>
        <w:jc w:val="both"/>
        <w:rPr>
          <w:rFonts w:ascii="Arial" w:hAnsi="Arial" w:cs="Arial"/>
          <w:sz w:val="22"/>
          <w:szCs w:val="22"/>
          <w:lang w:val="en-GB" w:eastAsia="zh-TW"/>
        </w:rPr>
      </w:pPr>
    </w:p>
    <w:p w14:paraId="39B93AC5" w14:textId="1210638C" w:rsidR="00275182" w:rsidRPr="00182B48"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4E83D7AF" w14:textId="7022A563" w:rsidR="00DF75F8" w:rsidRDefault="00E748AB" w:rsidP="00B7193E">
      <w:pPr>
        <w:jc w:val="both"/>
        <w:rPr>
          <w:rFonts w:ascii="Arial" w:hAnsi="Arial" w:cs="Arial"/>
          <w:sz w:val="22"/>
          <w:szCs w:val="22"/>
          <w:lang w:val="en-GB"/>
        </w:rPr>
      </w:pPr>
      <w:r>
        <w:rPr>
          <w:rFonts w:ascii="Arial" w:hAnsi="Arial" w:cs="Arial"/>
          <w:sz w:val="22"/>
          <w:szCs w:val="22"/>
          <w:lang w:val="en-GB"/>
        </w:rPr>
        <w:t>A prominent case law example is the Maxwell Communications Corporation plc cross-border insolvency case in 1991.</w:t>
      </w:r>
    </w:p>
    <w:p w14:paraId="7C2FB58E" w14:textId="4D550CAF" w:rsidR="00CE0DDC" w:rsidRDefault="00CE0DDC" w:rsidP="00B7193E">
      <w:pPr>
        <w:jc w:val="both"/>
        <w:rPr>
          <w:rFonts w:ascii="Arial" w:hAnsi="Arial" w:cs="Arial"/>
          <w:sz w:val="22"/>
          <w:szCs w:val="22"/>
          <w:lang w:val="en-GB"/>
        </w:rPr>
      </w:pPr>
    </w:p>
    <w:p w14:paraId="1C4144DF" w14:textId="1C974752" w:rsidR="00CE0DDC" w:rsidRDefault="00CE0DDC" w:rsidP="00B7193E">
      <w:pPr>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A</w:t>
      </w:r>
      <w:r>
        <w:rPr>
          <w:rFonts w:ascii="Arial" w:eastAsiaTheme="minorEastAsia" w:hAnsi="Arial" w:cs="Arial"/>
          <w:sz w:val="22"/>
          <w:szCs w:val="22"/>
          <w:lang w:val="en-GB" w:eastAsia="zh-TW"/>
        </w:rPr>
        <w:t>s the UNCITRAL Practical Guide pointed out, in the absence of formal treaties or national legislation to address the problems arising from international insolvencies has encouraged insolvency practitioners to develop strategies and techniques for resolving conflicts arising when the Courts of different States attempt to apply different laws and enforce different requirements on the same set of parties.</w:t>
      </w:r>
    </w:p>
    <w:p w14:paraId="7297D9DF" w14:textId="468E377C" w:rsidR="00CE0DDC" w:rsidRPr="00CE0DDC" w:rsidRDefault="00CE0DDC" w:rsidP="00B7193E">
      <w:pPr>
        <w:jc w:val="both"/>
        <w:rPr>
          <w:rFonts w:ascii="Arial" w:eastAsiaTheme="minorEastAsia" w:hAnsi="Arial" w:cs="Arial"/>
          <w:sz w:val="22"/>
          <w:szCs w:val="22"/>
          <w:lang w:val="en-GB" w:eastAsia="zh-TW"/>
        </w:rPr>
      </w:pPr>
    </w:p>
    <w:p w14:paraId="58F36ED4" w14:textId="747B77B7" w:rsidR="00CE0DDC" w:rsidRDefault="00CE0DDC" w:rsidP="00B7193E">
      <w:pPr>
        <w:jc w:val="both"/>
        <w:rPr>
          <w:rFonts w:ascii="Arial" w:hAnsi="Arial" w:cs="Arial"/>
          <w:sz w:val="22"/>
          <w:szCs w:val="22"/>
        </w:rPr>
      </w:pPr>
      <w:r w:rsidRPr="00CE0DDC">
        <w:rPr>
          <w:rFonts w:ascii="Arial" w:eastAsiaTheme="minorEastAsia" w:hAnsi="Arial" w:cs="Arial"/>
          <w:sz w:val="22"/>
          <w:szCs w:val="22"/>
          <w:lang w:val="en-GB" w:eastAsia="zh-TW"/>
        </w:rPr>
        <w:t xml:space="preserve">In the Maxwell </w:t>
      </w:r>
      <w:r w:rsidRPr="00CE0DDC">
        <w:rPr>
          <w:rFonts w:ascii="Arial" w:hAnsi="Arial" w:cs="Arial"/>
          <w:sz w:val="22"/>
          <w:szCs w:val="22"/>
          <w:lang w:val="en-GB"/>
        </w:rPr>
        <w:t xml:space="preserve">case, </w:t>
      </w:r>
      <w:r w:rsidRPr="00CE0DDC">
        <w:rPr>
          <w:rFonts w:ascii="Arial" w:hAnsi="Arial" w:cs="Arial"/>
          <w:sz w:val="22"/>
          <w:szCs w:val="22"/>
        </w:rPr>
        <w:t xml:space="preserve">the </w:t>
      </w:r>
      <w:r>
        <w:rPr>
          <w:rFonts w:ascii="Arial" w:hAnsi="Arial" w:cs="Arial"/>
          <w:sz w:val="22"/>
          <w:szCs w:val="22"/>
        </w:rPr>
        <w:t>company</w:t>
      </w:r>
      <w:r w:rsidRPr="00CE0DDC">
        <w:rPr>
          <w:rFonts w:ascii="Arial" w:hAnsi="Arial" w:cs="Arial"/>
          <w:sz w:val="22"/>
          <w:szCs w:val="22"/>
        </w:rPr>
        <w:t xml:space="preserve"> was placed into administration in England and contemporaneously into Chapter 11 proceedings in New York, with administrators and an examiner appointed respectively.</w:t>
      </w:r>
    </w:p>
    <w:p w14:paraId="28CFF9E0" w14:textId="4DB1DA25" w:rsidR="004C2019" w:rsidRDefault="004C2019" w:rsidP="00B7193E">
      <w:pPr>
        <w:jc w:val="both"/>
        <w:rPr>
          <w:rFonts w:ascii="Arial" w:hAnsi="Arial" w:cs="Arial"/>
          <w:sz w:val="22"/>
          <w:szCs w:val="22"/>
        </w:rPr>
      </w:pPr>
    </w:p>
    <w:p w14:paraId="3B0A9A21" w14:textId="2A095C73" w:rsidR="004C2019" w:rsidRDefault="004C2019" w:rsidP="00B7193E">
      <w:pPr>
        <w:jc w:val="both"/>
        <w:rPr>
          <w:rFonts w:ascii="Arial" w:eastAsiaTheme="minorEastAsia" w:hAnsi="Arial" w:cs="Arial"/>
          <w:sz w:val="22"/>
          <w:szCs w:val="22"/>
          <w:lang w:eastAsia="zh-TW"/>
        </w:rPr>
      </w:pPr>
      <w:r>
        <w:rPr>
          <w:rFonts w:ascii="Arial" w:eastAsiaTheme="minorEastAsia" w:hAnsi="Arial" w:cs="Arial"/>
          <w:sz w:val="22"/>
          <w:szCs w:val="22"/>
          <w:lang w:eastAsia="zh-TW"/>
        </w:rPr>
        <w:t>In view of the two separate proceedings against a single corporation, the judges in the two jurisdictions suggested that an insolvency agreement between the two administrations would help to resolve conflicts and facilitate the exchange of information.</w:t>
      </w:r>
    </w:p>
    <w:p w14:paraId="442C830A" w14:textId="7AABF99C" w:rsidR="004C2019" w:rsidRDefault="004C2019" w:rsidP="00B7193E">
      <w:pPr>
        <w:jc w:val="both"/>
        <w:rPr>
          <w:rFonts w:ascii="Arial" w:eastAsiaTheme="minorEastAsia" w:hAnsi="Arial" w:cs="Arial"/>
          <w:sz w:val="22"/>
          <w:szCs w:val="22"/>
          <w:lang w:eastAsia="zh-TW"/>
        </w:rPr>
      </w:pPr>
    </w:p>
    <w:p w14:paraId="3293D3DA" w14:textId="56DA8542" w:rsidR="004C2019" w:rsidRDefault="004C2019" w:rsidP="00B7193E">
      <w:pPr>
        <w:jc w:val="both"/>
        <w:rPr>
          <w:rFonts w:ascii="Arial" w:eastAsiaTheme="minorEastAsia" w:hAnsi="Arial" w:cs="Arial"/>
          <w:sz w:val="22"/>
          <w:szCs w:val="22"/>
          <w:lang w:eastAsia="zh-TW"/>
        </w:rPr>
      </w:pPr>
      <w:r>
        <w:rPr>
          <w:rFonts w:ascii="Arial" w:eastAsiaTheme="minorEastAsia" w:hAnsi="Arial" w:cs="Arial"/>
          <w:sz w:val="22"/>
          <w:szCs w:val="22"/>
          <w:lang w:eastAsia="zh-TW"/>
        </w:rPr>
        <w:t xml:space="preserve">There are two main goals set under the agreement, i.e. maximizing the value of the estate and harmonizing the proceedings to minimize expense, waste and jurisdictional conflict. </w:t>
      </w:r>
      <w:r w:rsidR="00D8222A">
        <w:rPr>
          <w:rFonts w:ascii="Arial" w:eastAsiaTheme="minorEastAsia" w:hAnsi="Arial" w:cs="Arial"/>
          <w:sz w:val="22"/>
          <w:szCs w:val="22"/>
          <w:lang w:eastAsia="zh-TW"/>
        </w:rPr>
        <w:t xml:space="preserve">Indeed, both goals would be for </w:t>
      </w:r>
      <w:r>
        <w:rPr>
          <w:rFonts w:ascii="Arial" w:eastAsiaTheme="minorEastAsia" w:hAnsi="Arial" w:cs="Arial"/>
          <w:sz w:val="22"/>
          <w:szCs w:val="22"/>
          <w:lang w:eastAsia="zh-TW"/>
        </w:rPr>
        <w:t>the best interest of the creditors, irrespective of their origins, as they</w:t>
      </w:r>
      <w:r w:rsidR="00D8222A">
        <w:rPr>
          <w:rFonts w:ascii="Arial" w:eastAsiaTheme="minorEastAsia" w:hAnsi="Arial" w:cs="Arial"/>
          <w:sz w:val="22"/>
          <w:szCs w:val="22"/>
          <w:lang w:eastAsia="zh-TW"/>
        </w:rPr>
        <w:t xml:space="preserve"> could</w:t>
      </w:r>
      <w:r>
        <w:rPr>
          <w:rFonts w:ascii="Arial" w:eastAsiaTheme="minorEastAsia" w:hAnsi="Arial" w:cs="Arial"/>
          <w:sz w:val="22"/>
          <w:szCs w:val="22"/>
          <w:lang w:eastAsia="zh-TW"/>
        </w:rPr>
        <w:t xml:space="preserve"> get the biggest possible return from the proceedings.</w:t>
      </w:r>
    </w:p>
    <w:p w14:paraId="18372765" w14:textId="16EF0F2E" w:rsidR="00D8222A" w:rsidRPr="00464490" w:rsidRDefault="00D8222A" w:rsidP="00B7193E">
      <w:pPr>
        <w:jc w:val="both"/>
        <w:rPr>
          <w:rFonts w:ascii="Arial" w:eastAsiaTheme="minorEastAsia" w:hAnsi="Arial" w:cs="Arial"/>
          <w:sz w:val="22"/>
          <w:szCs w:val="22"/>
          <w:lang w:eastAsia="zh-TW"/>
        </w:rPr>
      </w:pPr>
    </w:p>
    <w:p w14:paraId="52D47867" w14:textId="53F0C9BE" w:rsidR="00CE0DDC" w:rsidRDefault="00D8222A" w:rsidP="00B7193E">
      <w:pPr>
        <w:jc w:val="both"/>
        <w:rPr>
          <w:rFonts w:ascii="Arial" w:hAnsi="Arial" w:cs="Arial"/>
          <w:sz w:val="22"/>
          <w:szCs w:val="22"/>
        </w:rPr>
      </w:pPr>
      <w:r w:rsidRPr="00464490">
        <w:rPr>
          <w:rFonts w:ascii="Arial" w:eastAsiaTheme="minorEastAsia" w:hAnsi="Arial" w:cs="Arial"/>
          <w:sz w:val="22"/>
          <w:szCs w:val="22"/>
          <w:lang w:eastAsia="zh-TW"/>
        </w:rPr>
        <w:t xml:space="preserve">In determining the most appropriate forum, one court would have to be deferring to another. </w:t>
      </w:r>
      <w:r w:rsidRPr="00464490">
        <w:rPr>
          <w:rFonts w:ascii="Arial" w:hAnsi="Arial" w:cs="Arial"/>
          <w:sz w:val="22"/>
          <w:szCs w:val="22"/>
        </w:rPr>
        <w:t xml:space="preserve">In the Maxwell case, the United States </w:t>
      </w:r>
      <w:r w:rsidR="00464490">
        <w:rPr>
          <w:rFonts w:ascii="Arial" w:hAnsi="Arial" w:cs="Arial"/>
          <w:sz w:val="22"/>
          <w:szCs w:val="22"/>
        </w:rPr>
        <w:t>C</w:t>
      </w:r>
      <w:r w:rsidRPr="00464490">
        <w:rPr>
          <w:rFonts w:ascii="Arial" w:hAnsi="Arial" w:cs="Arial"/>
          <w:sz w:val="22"/>
          <w:szCs w:val="22"/>
        </w:rPr>
        <w:t>ourt concluded that the law of the jurisdiction having the greatest interest in the outcome of the controversy, i</w:t>
      </w:r>
      <w:r w:rsidR="00464490">
        <w:rPr>
          <w:rFonts w:ascii="Arial" w:hAnsi="Arial" w:cs="Arial"/>
          <w:sz w:val="22"/>
          <w:szCs w:val="22"/>
        </w:rPr>
        <w:t>.e. the</w:t>
      </w:r>
      <w:r w:rsidRPr="00464490">
        <w:rPr>
          <w:rFonts w:ascii="Arial" w:hAnsi="Arial" w:cs="Arial"/>
          <w:sz w:val="22"/>
          <w:szCs w:val="22"/>
        </w:rPr>
        <w:t xml:space="preserve"> English law, should govern.</w:t>
      </w:r>
    </w:p>
    <w:p w14:paraId="5778698B" w14:textId="4175EC70" w:rsidR="00464490" w:rsidRDefault="00464490" w:rsidP="00B7193E">
      <w:pPr>
        <w:jc w:val="both"/>
        <w:rPr>
          <w:rFonts w:ascii="Arial" w:hAnsi="Arial" w:cs="Arial"/>
          <w:sz w:val="22"/>
          <w:szCs w:val="22"/>
        </w:rPr>
      </w:pPr>
    </w:p>
    <w:p w14:paraId="63FC5097" w14:textId="5A82CF60" w:rsidR="00464490" w:rsidRDefault="00464490" w:rsidP="00B7193E">
      <w:pPr>
        <w:jc w:val="both"/>
        <w:rPr>
          <w:rFonts w:ascii="Arial" w:eastAsiaTheme="minorEastAsia" w:hAnsi="Arial" w:cs="Arial"/>
          <w:sz w:val="22"/>
          <w:szCs w:val="22"/>
          <w:lang w:eastAsia="zh-TW"/>
        </w:rPr>
      </w:pPr>
      <w:r>
        <w:rPr>
          <w:rFonts w:ascii="Arial" w:eastAsiaTheme="minorEastAsia" w:hAnsi="Arial" w:cs="Arial"/>
          <w:sz w:val="22"/>
          <w:szCs w:val="22"/>
          <w:lang w:eastAsia="zh-TW"/>
        </w:rPr>
        <w:t>Some examples of co-ordination between the parties in the Maxwell’s agreement are :</w:t>
      </w:r>
    </w:p>
    <w:p w14:paraId="675A8238" w14:textId="16429136" w:rsidR="00464490" w:rsidRDefault="00464490" w:rsidP="00B7193E">
      <w:pPr>
        <w:jc w:val="both"/>
        <w:rPr>
          <w:rFonts w:ascii="Arial" w:eastAsiaTheme="minorEastAsia" w:hAnsi="Arial" w:cs="Arial"/>
          <w:sz w:val="22"/>
          <w:szCs w:val="22"/>
          <w:lang w:eastAsia="zh-TW"/>
        </w:rPr>
      </w:pPr>
    </w:p>
    <w:p w14:paraId="12C9898E" w14:textId="202386E0" w:rsidR="00464490" w:rsidRPr="00B102C7" w:rsidRDefault="00B102C7" w:rsidP="00B102C7">
      <w:pPr>
        <w:pStyle w:val="a3"/>
        <w:numPr>
          <w:ilvl w:val="0"/>
          <w:numId w:val="24"/>
        </w:numPr>
        <w:ind w:left="426" w:hanging="426"/>
        <w:jc w:val="both"/>
        <w:rPr>
          <w:rFonts w:ascii="Arial" w:eastAsiaTheme="minorEastAsia" w:hAnsi="Arial" w:cs="Arial"/>
          <w:sz w:val="22"/>
          <w:szCs w:val="22"/>
          <w:lang w:eastAsia="zh-TW"/>
        </w:rPr>
      </w:pPr>
      <w:r w:rsidRPr="00B102C7">
        <w:rPr>
          <w:rFonts w:ascii="Arial" w:eastAsiaTheme="minorEastAsia" w:hAnsi="Arial" w:cs="Arial"/>
          <w:sz w:val="22"/>
          <w:szCs w:val="22"/>
          <w:lang w:eastAsia="zh-TW"/>
        </w:rPr>
        <w:t>The English insolvency representatives would only be allowed to select new and independent directors for Maxwell with the consent of the US counterpart;</w:t>
      </w:r>
    </w:p>
    <w:p w14:paraId="0DFA0F1A" w14:textId="285AD371" w:rsidR="00B102C7" w:rsidRPr="00B102C7" w:rsidRDefault="00B102C7" w:rsidP="00B102C7">
      <w:pPr>
        <w:pStyle w:val="a3"/>
        <w:numPr>
          <w:ilvl w:val="0"/>
          <w:numId w:val="24"/>
        </w:numPr>
        <w:ind w:left="426" w:hanging="426"/>
        <w:jc w:val="both"/>
        <w:rPr>
          <w:rFonts w:ascii="Arial" w:eastAsiaTheme="minorEastAsia" w:hAnsi="Arial" w:cs="Arial"/>
          <w:sz w:val="22"/>
          <w:szCs w:val="22"/>
          <w:lang w:eastAsia="zh-TW"/>
        </w:rPr>
      </w:pPr>
      <w:r w:rsidRPr="00B102C7">
        <w:rPr>
          <w:rFonts w:ascii="Arial" w:eastAsiaTheme="minorEastAsia" w:hAnsi="Arial" w:cs="Arial"/>
          <w:sz w:val="22"/>
          <w:szCs w:val="22"/>
          <w:lang w:eastAsia="zh-TW"/>
        </w:rPr>
        <w:t>The English insolvency representatives should only incur debt of file a reorganization plan with the consent of the US counterpart or the US court; and</w:t>
      </w:r>
    </w:p>
    <w:p w14:paraId="3645C5B1" w14:textId="51C68278" w:rsidR="00B102C7" w:rsidRPr="00B102C7" w:rsidRDefault="00B102C7" w:rsidP="00B102C7">
      <w:pPr>
        <w:pStyle w:val="a3"/>
        <w:numPr>
          <w:ilvl w:val="0"/>
          <w:numId w:val="24"/>
        </w:numPr>
        <w:ind w:left="426" w:hanging="426"/>
        <w:jc w:val="both"/>
        <w:rPr>
          <w:rFonts w:ascii="Arial" w:eastAsiaTheme="minorEastAsia" w:hAnsi="Arial" w:cs="Arial"/>
          <w:sz w:val="22"/>
          <w:szCs w:val="22"/>
          <w:lang w:val="en-GB" w:eastAsia="zh-TW"/>
        </w:rPr>
      </w:pPr>
      <w:r w:rsidRPr="00B102C7">
        <w:rPr>
          <w:rFonts w:ascii="Arial" w:eastAsiaTheme="minorEastAsia" w:hAnsi="Arial" w:cs="Arial"/>
          <w:sz w:val="22"/>
          <w:szCs w:val="22"/>
          <w:lang w:eastAsia="zh-TW"/>
        </w:rPr>
        <w:lastRenderedPageBreak/>
        <w:t>The English insolvency representatives should give prior notice to the US counterpart before undertaking any major transaction on behalf of Maxwell.</w:t>
      </w:r>
    </w:p>
    <w:p w14:paraId="4AE7EA78" w14:textId="28A01819" w:rsidR="007D7C92" w:rsidRPr="00CA1600" w:rsidRDefault="007D7C92" w:rsidP="00CA1600">
      <w:pPr>
        <w:jc w:val="both"/>
        <w:rPr>
          <w:rFonts w:ascii="Arial" w:hAnsi="Arial" w:cs="Arial"/>
          <w:sz w:val="22"/>
          <w:szCs w:val="22"/>
          <w:lang w:val="en-GB"/>
        </w:rPr>
      </w:pPr>
    </w:p>
    <w:p w14:paraId="20C94576" w14:textId="431EFFA6" w:rsidR="00B102C7" w:rsidRPr="00CA1600" w:rsidRDefault="00CA1600" w:rsidP="00CA1600">
      <w:pPr>
        <w:jc w:val="both"/>
        <w:rPr>
          <w:rFonts w:ascii="Arial" w:eastAsiaTheme="minorEastAsia" w:hAnsi="Arial" w:cs="Arial"/>
          <w:sz w:val="22"/>
          <w:szCs w:val="22"/>
          <w:lang w:val="en-GB" w:eastAsia="zh-TW"/>
        </w:rPr>
      </w:pPr>
      <w:r w:rsidRPr="00CA1600">
        <w:rPr>
          <w:rFonts w:ascii="Arial" w:eastAsiaTheme="minorEastAsia" w:hAnsi="Arial" w:cs="Arial"/>
          <w:sz w:val="22"/>
          <w:szCs w:val="22"/>
          <w:lang w:val="en-GB" w:eastAsia="zh-TW"/>
        </w:rPr>
        <w:t xml:space="preserve">As the MLCBI was adopted on 30 May 1997, the Maxwell case had shown that court approval for </w:t>
      </w:r>
      <w:r w:rsidRPr="00CA1600">
        <w:rPr>
          <w:rFonts w:ascii="Arial" w:hAnsi="Arial" w:cs="Arial"/>
          <w:sz w:val="22"/>
          <w:szCs w:val="22"/>
        </w:rPr>
        <w:t>co-ordination agreements</w:t>
      </w:r>
      <w:r>
        <w:rPr>
          <w:rFonts w:ascii="Arial" w:hAnsi="Arial" w:cs="Arial"/>
          <w:sz w:val="22"/>
          <w:szCs w:val="22"/>
        </w:rPr>
        <w:t xml:space="preserve"> indeed</w:t>
      </w:r>
      <w:r w:rsidRPr="00CA1600">
        <w:rPr>
          <w:rFonts w:ascii="Arial" w:hAnsi="Arial" w:cs="Arial"/>
          <w:sz w:val="22"/>
          <w:szCs w:val="22"/>
          <w:lang w:val="en-GB"/>
        </w:rPr>
        <w:t xml:space="preserve"> </w:t>
      </w:r>
      <w:r w:rsidRPr="00205B31">
        <w:rPr>
          <w:rFonts w:ascii="Arial" w:hAnsi="Arial" w:cs="Arial"/>
          <w:sz w:val="22"/>
          <w:szCs w:val="22"/>
          <w:lang w:val="en-GB"/>
        </w:rPr>
        <w:t>pre-date the Model Law</w:t>
      </w:r>
      <w:r w:rsidR="00A238F1">
        <w:rPr>
          <w:rFonts w:ascii="Arial" w:hAnsi="Arial" w:cs="Arial"/>
          <w:sz w:val="22"/>
          <w:szCs w:val="22"/>
          <w:lang w:val="en-GB"/>
        </w:rPr>
        <w:t xml:space="preserve"> as</w:t>
      </w:r>
      <w:r>
        <w:rPr>
          <w:rFonts w:ascii="Arial" w:hAnsi="Arial" w:cs="Arial"/>
          <w:sz w:val="22"/>
          <w:szCs w:val="22"/>
          <w:lang w:val="en-GB"/>
        </w:rPr>
        <w:t xml:space="preserve"> the English and US Courts had </w:t>
      </w:r>
      <w:r w:rsidR="00A238F1">
        <w:rPr>
          <w:rFonts w:ascii="Arial" w:hAnsi="Arial" w:cs="Arial"/>
          <w:sz w:val="22"/>
          <w:szCs w:val="22"/>
          <w:lang w:val="en-GB"/>
        </w:rPr>
        <w:t xml:space="preserve">endorsed the agreement having </w:t>
      </w:r>
      <w:r>
        <w:rPr>
          <w:rFonts w:ascii="Arial" w:hAnsi="Arial" w:cs="Arial"/>
          <w:sz w:val="22"/>
          <w:szCs w:val="22"/>
          <w:lang w:val="en-GB"/>
        </w:rPr>
        <w:t>considered</w:t>
      </w:r>
      <w:r w:rsidR="00A238F1">
        <w:rPr>
          <w:rFonts w:ascii="Arial" w:hAnsi="Arial" w:cs="Arial"/>
          <w:sz w:val="22"/>
          <w:szCs w:val="22"/>
          <w:lang w:val="en-GB"/>
        </w:rPr>
        <w:t xml:space="preserve"> numerous issues and </w:t>
      </w:r>
      <w:r w:rsidR="008C32AC">
        <w:rPr>
          <w:rFonts w:ascii="Arial" w:hAnsi="Arial" w:cs="Arial"/>
          <w:sz w:val="22"/>
          <w:szCs w:val="22"/>
          <w:lang w:val="en-GB"/>
        </w:rPr>
        <w:t>set out certain conditions.</w:t>
      </w:r>
    </w:p>
    <w:p w14:paraId="48A208E6" w14:textId="77777777" w:rsidR="00B102C7" w:rsidRPr="00CA1600" w:rsidRDefault="00B102C7" w:rsidP="00CA1600">
      <w:pPr>
        <w:jc w:val="both"/>
        <w:rPr>
          <w:rFonts w:ascii="Arial" w:hAnsi="Arial" w:cs="Arial"/>
          <w:sz w:val="22"/>
          <w:szCs w:val="22"/>
          <w:lang w:val="en-GB"/>
        </w:rPr>
      </w:pPr>
    </w:p>
    <w:p w14:paraId="62816FF1" w14:textId="77777777" w:rsidR="00275182" w:rsidRPr="00464490"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Rydell’s main creditor is Fernz Co Ltd (Fernz)</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r w:rsidR="00DF4D51" w:rsidRPr="00205B31">
        <w:rPr>
          <w:rFonts w:ascii="Arial" w:hAnsi="Arial" w:cs="Arial"/>
          <w:color w:val="212529"/>
          <w:sz w:val="22"/>
          <w:szCs w:val="22"/>
          <w:shd w:val="clear" w:color="auto" w:fill="FFFFFF"/>
          <w:lang w:val="en-GB"/>
        </w:rPr>
        <w:t xml:space="preserve">Fernz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r w:rsidR="0050156C" w:rsidRPr="00205B31">
        <w:rPr>
          <w:rFonts w:ascii="Arial" w:hAnsi="Arial" w:cs="Arial"/>
          <w:sz w:val="22"/>
          <w:szCs w:val="22"/>
          <w:lang w:val="en-GB"/>
        </w:rPr>
        <w:t xml:space="preserve">Fernz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A323C2" w:rsidRDefault="00BA1648" w:rsidP="00A323C2">
      <w:pPr>
        <w:jc w:val="both"/>
        <w:rPr>
          <w:rFonts w:ascii="Arial" w:hAnsi="Arial" w:cs="Arial"/>
          <w:sz w:val="22"/>
          <w:szCs w:val="22"/>
          <w:lang w:val="en-GB"/>
        </w:rPr>
      </w:pPr>
    </w:p>
    <w:p w14:paraId="22C96CDD" w14:textId="21D7AADA" w:rsidR="00A323C2" w:rsidRDefault="00A323C2" w:rsidP="00A323C2">
      <w:pPr>
        <w:shd w:val="clear" w:color="auto" w:fill="FFFFFF"/>
        <w:jc w:val="both"/>
        <w:textAlignment w:val="baseline"/>
        <w:rPr>
          <w:rFonts w:ascii="Arial" w:hAnsi="Arial" w:cs="Arial"/>
          <w:sz w:val="22"/>
          <w:szCs w:val="22"/>
        </w:rPr>
      </w:pPr>
      <w:r w:rsidRPr="00205B31">
        <w:rPr>
          <w:rFonts w:ascii="Arial" w:hAnsi="Arial" w:cs="Arial"/>
          <w:sz w:val="22"/>
          <w:szCs w:val="22"/>
          <w:lang w:val="en-GB"/>
        </w:rPr>
        <w:t>European Insolvency Regulation Recast</w:t>
      </w:r>
      <w:r w:rsidRPr="00A323C2">
        <w:rPr>
          <w:rFonts w:ascii="Arial" w:hAnsi="Arial" w:cs="Arial"/>
          <w:sz w:val="22"/>
          <w:szCs w:val="22"/>
        </w:rPr>
        <w:t xml:space="preserve"> applies to insolvenc</w:t>
      </w:r>
      <w:r>
        <w:rPr>
          <w:rFonts w:ascii="Arial" w:hAnsi="Arial" w:cs="Arial"/>
          <w:sz w:val="22"/>
          <w:szCs w:val="22"/>
        </w:rPr>
        <w:t>ies</w:t>
      </w:r>
      <w:r w:rsidRPr="00A323C2">
        <w:rPr>
          <w:rFonts w:ascii="Arial" w:hAnsi="Arial" w:cs="Arial"/>
          <w:sz w:val="22"/>
          <w:szCs w:val="22"/>
        </w:rPr>
        <w:t xml:space="preserve"> beginning on or after 26 June 2017</w:t>
      </w:r>
      <w:r>
        <w:rPr>
          <w:rFonts w:ascii="Arial" w:hAnsi="Arial" w:cs="Arial"/>
          <w:sz w:val="22"/>
          <w:szCs w:val="22"/>
        </w:rPr>
        <w:t xml:space="preserve"> and </w:t>
      </w:r>
      <w:r w:rsidRPr="00A323C2">
        <w:rPr>
          <w:rFonts w:ascii="Arial" w:hAnsi="Arial" w:cs="Arial"/>
          <w:sz w:val="22"/>
          <w:szCs w:val="22"/>
        </w:rPr>
        <w:t>replace</w:t>
      </w:r>
      <w:r>
        <w:rPr>
          <w:rFonts w:ascii="Arial" w:hAnsi="Arial" w:cs="Arial"/>
          <w:sz w:val="22"/>
          <w:szCs w:val="22"/>
        </w:rPr>
        <w:t>d</w:t>
      </w:r>
      <w:r w:rsidRPr="00A323C2">
        <w:rPr>
          <w:rFonts w:ascii="Arial" w:hAnsi="Arial" w:cs="Arial"/>
          <w:sz w:val="22"/>
          <w:szCs w:val="22"/>
        </w:rPr>
        <w:t xml:space="preserve"> and supersede</w:t>
      </w:r>
      <w:r>
        <w:rPr>
          <w:rFonts w:ascii="Arial" w:hAnsi="Arial" w:cs="Arial"/>
          <w:sz w:val="22"/>
          <w:szCs w:val="22"/>
        </w:rPr>
        <w:t>d</w:t>
      </w:r>
      <w:r w:rsidRPr="00A323C2">
        <w:rPr>
          <w:rFonts w:ascii="Arial" w:hAnsi="Arial" w:cs="Arial"/>
          <w:sz w:val="22"/>
          <w:szCs w:val="22"/>
        </w:rPr>
        <w:t> </w:t>
      </w:r>
      <w:r>
        <w:rPr>
          <w:rStyle w:val="af7"/>
          <w:rFonts w:ascii="Arial" w:hAnsi="Arial" w:cs="Arial"/>
          <w:i w:val="0"/>
          <w:iCs w:val="0"/>
          <w:sz w:val="22"/>
          <w:szCs w:val="22"/>
          <w:bdr w:val="none" w:sz="0" w:space="0" w:color="auto" w:frame="1"/>
        </w:rPr>
        <w:t xml:space="preserve"> the European </w:t>
      </w:r>
      <w:hyperlink r:id="rId12" w:history="1">
        <w:r w:rsidRPr="00A323C2">
          <w:rPr>
            <w:rStyle w:val="a7"/>
            <w:rFonts w:ascii="Arial" w:hAnsi="Arial" w:cs="Arial"/>
            <w:color w:val="auto"/>
            <w:sz w:val="22"/>
            <w:szCs w:val="22"/>
            <w:u w:val="none"/>
            <w:bdr w:val="none" w:sz="0" w:space="0" w:color="auto" w:frame="1"/>
          </w:rPr>
          <w:t>Insolvency Regulation 2000</w:t>
        </w:r>
      </w:hyperlink>
      <w:r w:rsidRPr="00A323C2">
        <w:rPr>
          <w:rFonts w:ascii="Arial" w:hAnsi="Arial" w:cs="Arial"/>
          <w:sz w:val="22"/>
          <w:szCs w:val="22"/>
        </w:rPr>
        <w:t>.</w:t>
      </w:r>
      <w:r>
        <w:rPr>
          <w:rFonts w:ascii="Arial" w:hAnsi="Arial" w:cs="Arial"/>
          <w:sz w:val="22"/>
          <w:szCs w:val="22"/>
        </w:rPr>
        <w:t xml:space="preserve"> It</w:t>
      </w:r>
      <w:r w:rsidRPr="00A323C2">
        <w:rPr>
          <w:rFonts w:ascii="Arial" w:hAnsi="Arial" w:cs="Arial"/>
          <w:sz w:val="22"/>
          <w:szCs w:val="22"/>
        </w:rPr>
        <w:t xml:space="preserve"> sets out conflicts of law rules for insolvency proceedings concerning debtors based in the </w:t>
      </w:r>
      <w:hyperlink r:id="rId13" w:history="1">
        <w:r w:rsidRPr="00A323C2">
          <w:rPr>
            <w:rStyle w:val="a7"/>
            <w:rFonts w:ascii="Arial" w:hAnsi="Arial" w:cs="Arial"/>
            <w:color w:val="auto"/>
            <w:sz w:val="22"/>
            <w:szCs w:val="22"/>
            <w:u w:val="none"/>
            <w:bdr w:val="none" w:sz="0" w:space="0" w:color="auto" w:frame="1"/>
          </w:rPr>
          <w:t>EU</w:t>
        </w:r>
      </w:hyperlink>
      <w:r w:rsidRPr="00A323C2">
        <w:rPr>
          <w:rFonts w:ascii="Arial" w:hAnsi="Arial" w:cs="Arial"/>
          <w:sz w:val="22"/>
          <w:szCs w:val="22"/>
        </w:rPr>
        <w:t> with operations in more than one member state</w:t>
      </w:r>
      <w:r>
        <w:rPr>
          <w:rFonts w:ascii="Arial" w:hAnsi="Arial" w:cs="Arial"/>
          <w:sz w:val="22"/>
          <w:szCs w:val="22"/>
        </w:rPr>
        <w:t xml:space="preserve"> (like Rydell)</w:t>
      </w:r>
      <w:r w:rsidRPr="00A323C2">
        <w:rPr>
          <w:rFonts w:ascii="Arial" w:hAnsi="Arial" w:cs="Arial"/>
          <w:sz w:val="22"/>
          <w:szCs w:val="22"/>
        </w:rPr>
        <w:t>, giving particular prominence to insolvency proceedings begun in the member state in which a debtor has its </w:t>
      </w:r>
      <w:hyperlink r:id="rId14" w:history="1">
        <w:r w:rsidRPr="00A323C2">
          <w:rPr>
            <w:rStyle w:val="a7"/>
            <w:rFonts w:ascii="Arial" w:hAnsi="Arial" w:cs="Arial"/>
            <w:color w:val="auto"/>
            <w:sz w:val="22"/>
            <w:szCs w:val="22"/>
            <w:u w:val="none"/>
            <w:bdr w:val="none" w:sz="0" w:space="0" w:color="auto" w:frame="1"/>
          </w:rPr>
          <w:t>centre of main interests</w:t>
        </w:r>
      </w:hyperlink>
      <w:r w:rsidRPr="00A323C2">
        <w:rPr>
          <w:rFonts w:ascii="Arial" w:hAnsi="Arial" w:cs="Arial"/>
          <w:sz w:val="22"/>
          <w:szCs w:val="22"/>
        </w:rPr>
        <w:t>.</w:t>
      </w:r>
    </w:p>
    <w:p w14:paraId="69C22C82" w14:textId="593263B9" w:rsidR="00A323C2" w:rsidRDefault="00A323C2" w:rsidP="00A323C2">
      <w:pPr>
        <w:shd w:val="clear" w:color="auto" w:fill="FFFFFF"/>
        <w:jc w:val="both"/>
        <w:textAlignment w:val="baseline"/>
        <w:rPr>
          <w:rFonts w:ascii="Arial" w:hAnsi="Arial" w:cs="Arial"/>
          <w:sz w:val="22"/>
          <w:szCs w:val="22"/>
        </w:rPr>
      </w:pPr>
    </w:p>
    <w:p w14:paraId="0D37BBBB" w14:textId="722C934A" w:rsidR="002F75A3" w:rsidRDefault="00A323C2" w:rsidP="00A323C2">
      <w:pPr>
        <w:shd w:val="clear" w:color="auto" w:fill="FFFFFF"/>
        <w:jc w:val="both"/>
        <w:textAlignment w:val="baseline"/>
        <w:rPr>
          <w:rFonts w:ascii="Arial" w:hAnsi="Arial" w:cs="Arial"/>
          <w:sz w:val="22"/>
          <w:szCs w:val="22"/>
          <w:lang w:val="en-GB"/>
        </w:rPr>
      </w:pPr>
      <w:r>
        <w:rPr>
          <w:rFonts w:ascii="Arial" w:eastAsiaTheme="minorEastAsia" w:hAnsi="Arial" w:cs="Arial" w:hint="eastAsia"/>
          <w:sz w:val="22"/>
          <w:szCs w:val="22"/>
          <w:lang w:eastAsia="zh-TW"/>
        </w:rPr>
        <w:t>U</w:t>
      </w:r>
      <w:r>
        <w:rPr>
          <w:rFonts w:ascii="Arial" w:eastAsiaTheme="minorEastAsia" w:hAnsi="Arial" w:cs="Arial"/>
          <w:sz w:val="22"/>
          <w:szCs w:val="22"/>
          <w:lang w:eastAsia="zh-TW"/>
        </w:rPr>
        <w:t xml:space="preserve">K ceased to be a member of the EU at 11pm on 31 January 2020. However, the </w:t>
      </w:r>
      <w:r w:rsidRPr="00205B31">
        <w:rPr>
          <w:rFonts w:ascii="Arial" w:hAnsi="Arial" w:cs="Arial"/>
          <w:sz w:val="22"/>
          <w:szCs w:val="22"/>
          <w:lang w:val="en-GB"/>
        </w:rPr>
        <w:t>European Insolvency Regulation Recast</w:t>
      </w:r>
      <w:r>
        <w:rPr>
          <w:rFonts w:ascii="Arial" w:hAnsi="Arial" w:cs="Arial"/>
          <w:sz w:val="22"/>
          <w:szCs w:val="22"/>
          <w:lang w:val="en-GB"/>
        </w:rPr>
        <w:t xml:space="preserve"> applies to insolvencies where the main proceedings were opened prior to the expiry of the transitional period, i.e. 11pm on 31 December 2020).</w:t>
      </w:r>
    </w:p>
    <w:p w14:paraId="331B7E3C" w14:textId="40C6A37B" w:rsidR="000D7B6E" w:rsidRDefault="000D7B6E" w:rsidP="00A323C2">
      <w:pPr>
        <w:shd w:val="clear" w:color="auto" w:fill="FFFFFF"/>
        <w:jc w:val="both"/>
        <w:textAlignment w:val="baseline"/>
        <w:rPr>
          <w:rFonts w:ascii="Arial" w:hAnsi="Arial" w:cs="Arial"/>
          <w:sz w:val="22"/>
          <w:szCs w:val="22"/>
          <w:lang w:val="en-GB"/>
        </w:rPr>
      </w:pPr>
    </w:p>
    <w:p w14:paraId="1F7A7DCD" w14:textId="44AFA544" w:rsidR="000D7B6E" w:rsidRDefault="000D7B6E" w:rsidP="00A323C2">
      <w:pPr>
        <w:shd w:val="clear" w:color="auto" w:fill="FFFFFF"/>
        <w:jc w:val="both"/>
        <w:textAlignment w:val="baseline"/>
        <w:rPr>
          <w:rFonts w:ascii="Arial" w:hAnsi="Arial" w:cs="Arial"/>
          <w:sz w:val="22"/>
          <w:szCs w:val="22"/>
          <w:lang w:val="en-GB"/>
        </w:rPr>
      </w:pPr>
      <w:r>
        <w:rPr>
          <w:rFonts w:ascii="Arial" w:eastAsiaTheme="minorEastAsia" w:hAnsi="Arial" w:cs="Arial" w:hint="eastAsia"/>
          <w:sz w:val="22"/>
          <w:szCs w:val="22"/>
          <w:lang w:val="en-GB" w:eastAsia="zh-TW"/>
        </w:rPr>
        <w:t>A</w:t>
      </w:r>
      <w:r>
        <w:rPr>
          <w:rFonts w:ascii="Arial" w:eastAsiaTheme="minorEastAsia" w:hAnsi="Arial" w:cs="Arial"/>
          <w:sz w:val="22"/>
          <w:szCs w:val="22"/>
          <w:lang w:val="en-GB" w:eastAsia="zh-TW"/>
        </w:rPr>
        <w:t xml:space="preserve">s Rydell was having its COMI in the UK, </w:t>
      </w:r>
      <w:r w:rsidR="00D05BF8">
        <w:rPr>
          <w:rFonts w:ascii="Arial" w:eastAsiaTheme="minorEastAsia" w:hAnsi="Arial" w:cs="Arial"/>
          <w:sz w:val="22"/>
          <w:szCs w:val="22"/>
          <w:lang w:val="en-GB" w:eastAsia="zh-TW"/>
        </w:rPr>
        <w:t xml:space="preserve">the </w:t>
      </w:r>
      <w:r w:rsidR="00D05BF8" w:rsidRPr="00205B31">
        <w:rPr>
          <w:rFonts w:ascii="Arial" w:hAnsi="Arial" w:cs="Arial"/>
          <w:sz w:val="22"/>
          <w:szCs w:val="22"/>
          <w:lang w:val="en-GB"/>
        </w:rPr>
        <w:t>European Insolvency Regulation Recast</w:t>
      </w:r>
      <w:r w:rsidR="00D05BF8">
        <w:rPr>
          <w:rFonts w:ascii="Arial" w:hAnsi="Arial" w:cs="Arial"/>
          <w:sz w:val="22"/>
          <w:szCs w:val="22"/>
          <w:lang w:val="en-GB"/>
        </w:rPr>
        <w:t xml:space="preserve"> allocates jurisdictional competence to the courts of a member state (as UK then was), therefore the insolvency proceedings commenced by the minor creditor would be given particular prominence as it was opened before the expiry of the transitional period.</w:t>
      </w:r>
    </w:p>
    <w:p w14:paraId="2163FC4B" w14:textId="13D293E1" w:rsidR="005C5CB5" w:rsidRDefault="005C5CB5" w:rsidP="00A323C2">
      <w:pPr>
        <w:shd w:val="clear" w:color="auto" w:fill="FFFFFF"/>
        <w:jc w:val="both"/>
        <w:textAlignment w:val="baseline"/>
        <w:rPr>
          <w:rFonts w:ascii="Arial" w:hAnsi="Arial" w:cs="Arial"/>
          <w:sz w:val="22"/>
          <w:szCs w:val="22"/>
          <w:lang w:val="en-GB"/>
        </w:rPr>
      </w:pPr>
    </w:p>
    <w:p w14:paraId="107FCEEC" w14:textId="4D96E660" w:rsidR="005C5CB5" w:rsidRPr="005C5CB5" w:rsidRDefault="005C5CB5" w:rsidP="00A323C2">
      <w:pPr>
        <w:shd w:val="clear" w:color="auto" w:fill="FFFFFF"/>
        <w:jc w:val="both"/>
        <w:textAlignment w:val="baseline"/>
        <w:rPr>
          <w:rFonts w:ascii="Arial" w:eastAsiaTheme="minorEastAsia" w:hAnsi="Arial" w:cs="Arial" w:hint="eastAsia"/>
          <w:sz w:val="22"/>
          <w:szCs w:val="22"/>
          <w:lang w:val="en-GB" w:eastAsia="zh-TW"/>
        </w:rPr>
      </w:pPr>
      <w:r>
        <w:rPr>
          <w:rFonts w:ascii="Arial" w:eastAsiaTheme="minorEastAsia" w:hAnsi="Arial" w:cs="Arial"/>
          <w:sz w:val="22"/>
          <w:szCs w:val="22"/>
          <w:lang w:val="en-GB" w:eastAsia="zh-TW"/>
        </w:rPr>
        <w:t xml:space="preserve">However, </w:t>
      </w:r>
      <w:r>
        <w:rPr>
          <w:rFonts w:ascii="Arial" w:eastAsiaTheme="minorEastAsia" w:hAnsi="Arial" w:cs="Arial"/>
          <w:sz w:val="22"/>
          <w:szCs w:val="22"/>
          <w:lang w:val="en-GB" w:eastAsia="zh-TW"/>
        </w:rPr>
        <w:t xml:space="preserve">the </w:t>
      </w:r>
      <w:r w:rsidRPr="00205B31">
        <w:rPr>
          <w:rFonts w:ascii="Arial" w:hAnsi="Arial" w:cs="Arial"/>
          <w:sz w:val="22"/>
          <w:szCs w:val="22"/>
          <w:lang w:val="en-GB"/>
        </w:rPr>
        <w:t>European Insolvency Regulation Recast</w:t>
      </w:r>
      <w:r>
        <w:rPr>
          <w:rFonts w:ascii="Arial" w:hAnsi="Arial" w:cs="Arial"/>
          <w:sz w:val="22"/>
          <w:szCs w:val="22"/>
          <w:lang w:val="en-GB"/>
        </w:rPr>
        <w:t xml:space="preserve"> also allows for the possibility of subsidiary territorial proceedings in other member state (given Fernz is not commencing its proceedings in Denmark). This is possible as Rydell is also having its office throughout Europe, i.e. it has “establishment” being “any place of operations…where the debtor carries out a non-</w:t>
      </w:r>
      <w:r>
        <w:rPr>
          <w:rFonts w:ascii="Arial" w:hAnsi="Arial" w:cs="Arial"/>
          <w:sz w:val="22"/>
          <w:szCs w:val="22"/>
          <w:lang w:val="en-GB"/>
        </w:rPr>
        <w:lastRenderedPageBreak/>
        <w:t>transitory economic activity with human means and assets” as defined in the</w:t>
      </w:r>
      <w:r>
        <w:rPr>
          <w:rFonts w:ascii="Arial" w:eastAsiaTheme="minorEastAsia" w:hAnsi="Arial" w:cs="Arial"/>
          <w:sz w:val="22"/>
          <w:szCs w:val="22"/>
          <w:lang w:val="en-GB" w:eastAsia="zh-TW"/>
        </w:rPr>
        <w:t xml:space="preserve"> </w:t>
      </w:r>
      <w:r w:rsidRPr="00205B31">
        <w:rPr>
          <w:rFonts w:ascii="Arial" w:hAnsi="Arial" w:cs="Arial"/>
          <w:sz w:val="22"/>
          <w:szCs w:val="22"/>
          <w:lang w:val="en-GB"/>
        </w:rPr>
        <w:t>European Insolvency Regulation Recast</w:t>
      </w:r>
      <w:r>
        <w:rPr>
          <w:rFonts w:ascii="Arial" w:hAnsi="Arial" w:cs="Arial"/>
          <w:sz w:val="22"/>
          <w:szCs w:val="22"/>
          <w:lang w:val="en-GB"/>
        </w:rPr>
        <w:t>.</w:t>
      </w:r>
    </w:p>
    <w:p w14:paraId="317DD6E7" w14:textId="5EC97BE0" w:rsidR="00126A4D" w:rsidRPr="00A323C2" w:rsidRDefault="00126A4D" w:rsidP="00A323C2">
      <w:pPr>
        <w:jc w:val="both"/>
        <w:rPr>
          <w:rFonts w:ascii="Arial" w:hAnsi="Arial" w:cs="Arial"/>
          <w:sz w:val="22"/>
          <w:szCs w:val="22"/>
          <w:lang w:val="en-GB"/>
        </w:rPr>
      </w:pPr>
    </w:p>
    <w:p w14:paraId="38BBF3CA" w14:textId="77777777" w:rsidR="005F453F" w:rsidRPr="00A323C2" w:rsidRDefault="005F453F" w:rsidP="00A323C2">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4F3D2DAF" w14:textId="52AB083C" w:rsidR="00321F78" w:rsidRDefault="00896DDD" w:rsidP="00F302E4">
      <w:pPr>
        <w:jc w:val="both"/>
        <w:rPr>
          <w:rFonts w:ascii="Arial" w:hAnsi="Arial" w:cs="Arial"/>
          <w:sz w:val="22"/>
          <w:szCs w:val="22"/>
          <w:lang w:val="en-GB"/>
        </w:rPr>
      </w:pPr>
      <w:r w:rsidRPr="00321F78">
        <w:rPr>
          <w:rFonts w:ascii="Arial" w:hAnsi="Arial" w:cs="Arial"/>
          <w:sz w:val="22"/>
          <w:szCs w:val="22"/>
          <w:lang w:val="en-GB"/>
        </w:rPr>
        <w:t xml:space="preserve">As the proceedings were opened in the UK after expiry of the transitional period, </w:t>
      </w:r>
      <w:r w:rsidRPr="00321F78">
        <w:rPr>
          <w:rFonts w:ascii="Arial" w:eastAsiaTheme="minorEastAsia" w:hAnsi="Arial" w:cs="Arial"/>
          <w:sz w:val="22"/>
          <w:szCs w:val="22"/>
          <w:lang w:val="en-GB" w:eastAsia="zh-TW"/>
        </w:rPr>
        <w:t xml:space="preserve">the </w:t>
      </w:r>
      <w:r w:rsidRPr="00321F78">
        <w:rPr>
          <w:rFonts w:ascii="Arial" w:hAnsi="Arial" w:cs="Arial"/>
          <w:sz w:val="22"/>
          <w:szCs w:val="22"/>
          <w:lang w:val="en-GB"/>
        </w:rPr>
        <w:t>European Insolvency Regulation Recast</w:t>
      </w:r>
      <w:r w:rsidRPr="00321F78">
        <w:rPr>
          <w:rFonts w:ascii="Arial" w:hAnsi="Arial" w:cs="Arial"/>
          <w:sz w:val="22"/>
          <w:szCs w:val="22"/>
          <w:lang w:val="en-GB"/>
        </w:rPr>
        <w:t xml:space="preserve"> would no longer be directly applicable</w:t>
      </w:r>
      <w:r w:rsidR="00F302E4">
        <w:rPr>
          <w:rFonts w:ascii="Arial" w:hAnsi="Arial" w:cs="Arial"/>
          <w:sz w:val="22"/>
          <w:szCs w:val="22"/>
          <w:lang w:val="en-GB"/>
        </w:rPr>
        <w:t xml:space="preserve"> and the situation is still currently unclear</w:t>
      </w:r>
      <w:r w:rsidRPr="00321F78">
        <w:rPr>
          <w:rFonts w:ascii="Arial" w:hAnsi="Arial" w:cs="Arial"/>
          <w:sz w:val="22"/>
          <w:szCs w:val="22"/>
          <w:lang w:val="en-GB"/>
        </w:rPr>
        <w:t>.</w:t>
      </w:r>
      <w:r w:rsidR="00F302E4">
        <w:rPr>
          <w:rFonts w:ascii="Arial" w:hAnsi="Arial" w:cs="Arial"/>
          <w:color w:val="333333"/>
          <w:sz w:val="22"/>
          <w:szCs w:val="22"/>
          <w:lang w:eastAsia="zh-TW"/>
        </w:rPr>
        <w:t xml:space="preserve"> Without a formal adoption of </w:t>
      </w:r>
      <w:r w:rsidR="00F302E4" w:rsidRPr="00321F78">
        <w:rPr>
          <w:rFonts w:ascii="Arial" w:eastAsiaTheme="minorEastAsia" w:hAnsi="Arial" w:cs="Arial"/>
          <w:sz w:val="22"/>
          <w:szCs w:val="22"/>
          <w:lang w:val="en-GB" w:eastAsia="zh-TW"/>
        </w:rPr>
        <w:t xml:space="preserve">the </w:t>
      </w:r>
      <w:r w:rsidR="00F302E4" w:rsidRPr="00321F78">
        <w:rPr>
          <w:rFonts w:ascii="Arial" w:hAnsi="Arial" w:cs="Arial"/>
          <w:sz w:val="22"/>
          <w:szCs w:val="22"/>
          <w:lang w:val="en-GB"/>
        </w:rPr>
        <w:t>European Insolvency Regulation Recast</w:t>
      </w:r>
      <w:r w:rsidR="00321F78" w:rsidRPr="00321F78">
        <w:rPr>
          <w:rFonts w:ascii="Arial" w:hAnsi="Arial" w:cs="Arial"/>
          <w:color w:val="333333"/>
          <w:sz w:val="22"/>
          <w:szCs w:val="22"/>
          <w:lang w:eastAsia="zh-TW"/>
        </w:rPr>
        <w:t xml:space="preserve"> to the UK, insolvency proceedings in </w:t>
      </w:r>
      <w:r w:rsidR="00F302E4">
        <w:rPr>
          <w:rFonts w:ascii="Arial" w:hAnsi="Arial" w:cs="Arial"/>
          <w:color w:val="333333"/>
          <w:sz w:val="22"/>
          <w:szCs w:val="22"/>
          <w:lang w:eastAsia="zh-TW"/>
        </w:rPr>
        <w:t xml:space="preserve">EU </w:t>
      </w:r>
      <w:r w:rsidR="00321F78" w:rsidRPr="00321F78">
        <w:rPr>
          <w:rFonts w:ascii="Arial" w:hAnsi="Arial" w:cs="Arial"/>
          <w:color w:val="333333"/>
          <w:sz w:val="22"/>
          <w:szCs w:val="22"/>
          <w:lang w:eastAsia="zh-TW"/>
        </w:rPr>
        <w:t xml:space="preserve">member states will no longer be automatically </w:t>
      </w:r>
      <w:r w:rsidR="00F302E4" w:rsidRPr="00321F78">
        <w:rPr>
          <w:rFonts w:ascii="Arial" w:hAnsi="Arial" w:cs="Arial"/>
          <w:color w:val="333333"/>
          <w:sz w:val="22"/>
          <w:szCs w:val="22"/>
          <w:lang w:eastAsia="zh-TW"/>
        </w:rPr>
        <w:t>recogn</w:t>
      </w:r>
      <w:r w:rsidR="00F302E4">
        <w:rPr>
          <w:rFonts w:ascii="Arial" w:hAnsi="Arial" w:cs="Arial"/>
          <w:color w:val="333333"/>
          <w:sz w:val="22"/>
          <w:szCs w:val="22"/>
          <w:lang w:eastAsia="zh-TW"/>
        </w:rPr>
        <w:t>i</w:t>
      </w:r>
      <w:r w:rsidR="00F302E4" w:rsidRPr="00321F78">
        <w:rPr>
          <w:rFonts w:ascii="Arial" w:hAnsi="Arial" w:cs="Arial"/>
          <w:color w:val="333333"/>
          <w:sz w:val="22"/>
          <w:szCs w:val="22"/>
          <w:lang w:eastAsia="zh-TW"/>
        </w:rPr>
        <w:t>zed</w:t>
      </w:r>
      <w:r w:rsidR="00321F78" w:rsidRPr="00321F78">
        <w:rPr>
          <w:rFonts w:ascii="Arial" w:hAnsi="Arial" w:cs="Arial"/>
          <w:color w:val="333333"/>
          <w:sz w:val="22"/>
          <w:szCs w:val="22"/>
          <w:lang w:eastAsia="zh-TW"/>
        </w:rPr>
        <w:t xml:space="preserve"> in the UK and vice versa. </w:t>
      </w:r>
      <w:r w:rsidR="00F302E4">
        <w:rPr>
          <w:rFonts w:ascii="Arial" w:hAnsi="Arial" w:cs="Arial"/>
          <w:color w:val="333333"/>
          <w:sz w:val="22"/>
          <w:szCs w:val="22"/>
          <w:lang w:eastAsia="zh-TW"/>
        </w:rPr>
        <w:t>Although foreign insolvency practitioners</w:t>
      </w:r>
      <w:r w:rsidR="00321F78" w:rsidRPr="00321F78">
        <w:rPr>
          <w:rFonts w:ascii="Arial" w:hAnsi="Arial" w:cs="Arial"/>
          <w:color w:val="333333"/>
          <w:sz w:val="22"/>
          <w:szCs w:val="22"/>
          <w:lang w:eastAsia="zh-TW"/>
        </w:rPr>
        <w:t xml:space="preserve"> will be able to apply for recognition under UNCITRAL Model Law in the UK, the reverse does not apply.</w:t>
      </w:r>
    </w:p>
    <w:p w14:paraId="05F4C08D" w14:textId="198B83EB" w:rsidR="00321F78" w:rsidRDefault="00321F78" w:rsidP="00321F78">
      <w:pPr>
        <w:jc w:val="both"/>
        <w:rPr>
          <w:rFonts w:ascii="Arial" w:hAnsi="Arial" w:cs="Arial"/>
          <w:sz w:val="22"/>
          <w:szCs w:val="22"/>
          <w:lang w:val="en-GB"/>
        </w:rPr>
      </w:pPr>
    </w:p>
    <w:p w14:paraId="185085AC" w14:textId="5726B77E" w:rsidR="00321F78" w:rsidRDefault="00321F78" w:rsidP="00321F78">
      <w:pPr>
        <w:jc w:val="both"/>
        <w:rPr>
          <w:rFonts w:ascii="Arial" w:hAnsi="Arial" w:cs="Arial"/>
          <w:color w:val="333333"/>
          <w:sz w:val="22"/>
          <w:szCs w:val="22"/>
          <w:lang w:eastAsia="zh-TW"/>
        </w:rPr>
      </w:pPr>
      <w:r w:rsidRPr="00321F78">
        <w:rPr>
          <w:rFonts w:ascii="Arial" w:hAnsi="Arial" w:cs="Arial"/>
          <w:color w:val="333333"/>
          <w:sz w:val="22"/>
          <w:szCs w:val="22"/>
          <w:lang w:eastAsia="zh-TW"/>
        </w:rPr>
        <w:t xml:space="preserve">Only </w:t>
      </w:r>
      <w:r w:rsidR="00F302E4">
        <w:rPr>
          <w:rFonts w:ascii="Arial" w:hAnsi="Arial" w:cs="Arial"/>
          <w:color w:val="333333"/>
          <w:sz w:val="22"/>
          <w:szCs w:val="22"/>
          <w:lang w:eastAsia="zh-TW"/>
        </w:rPr>
        <w:t>a limited number of</w:t>
      </w:r>
      <w:r w:rsidRPr="00321F78">
        <w:rPr>
          <w:rFonts w:ascii="Arial" w:hAnsi="Arial" w:cs="Arial"/>
          <w:color w:val="333333"/>
          <w:sz w:val="22"/>
          <w:szCs w:val="22"/>
          <w:lang w:eastAsia="zh-TW"/>
        </w:rPr>
        <w:t xml:space="preserve"> EU member states (</w:t>
      </w:r>
      <w:r w:rsidR="00F302E4">
        <w:rPr>
          <w:rFonts w:ascii="Arial" w:hAnsi="Arial" w:cs="Arial"/>
          <w:color w:val="333333"/>
          <w:sz w:val="22"/>
          <w:szCs w:val="22"/>
          <w:lang w:eastAsia="zh-TW"/>
        </w:rPr>
        <w:t xml:space="preserve">e.g. </w:t>
      </w:r>
      <w:r w:rsidR="004A7C27">
        <w:rPr>
          <w:rFonts w:ascii="Arial" w:hAnsi="Arial" w:cs="Arial"/>
          <w:color w:val="333333"/>
          <w:sz w:val="22"/>
          <w:szCs w:val="22"/>
          <w:lang w:eastAsia="zh-TW"/>
        </w:rPr>
        <w:t>Greece, Poland and Romania</w:t>
      </w:r>
      <w:r w:rsidRPr="00321F78">
        <w:rPr>
          <w:rFonts w:ascii="Arial" w:hAnsi="Arial" w:cs="Arial"/>
          <w:color w:val="333333"/>
          <w:sz w:val="22"/>
          <w:szCs w:val="22"/>
          <w:lang w:eastAsia="zh-TW"/>
        </w:rPr>
        <w:t xml:space="preserve">) have implemented UNCITRAL Model Law, which means </w:t>
      </w:r>
      <w:r w:rsidR="004A7C27">
        <w:rPr>
          <w:rFonts w:ascii="Arial" w:hAnsi="Arial" w:cs="Arial"/>
          <w:color w:val="333333"/>
          <w:sz w:val="22"/>
          <w:szCs w:val="22"/>
          <w:lang w:eastAsia="zh-TW"/>
        </w:rPr>
        <w:t xml:space="preserve">insolvency practitioners </w:t>
      </w:r>
      <w:r w:rsidRPr="00321F78">
        <w:rPr>
          <w:rFonts w:ascii="Arial" w:hAnsi="Arial" w:cs="Arial"/>
          <w:color w:val="333333"/>
          <w:sz w:val="22"/>
          <w:szCs w:val="22"/>
          <w:lang w:eastAsia="zh-TW"/>
        </w:rPr>
        <w:t xml:space="preserve">from the UK could face significant obstacles in obtaining recognition in EU countries after </w:t>
      </w:r>
      <w:r w:rsidR="004A7C27">
        <w:rPr>
          <w:rFonts w:ascii="Arial" w:hAnsi="Arial" w:cs="Arial"/>
          <w:color w:val="333333"/>
          <w:sz w:val="22"/>
          <w:szCs w:val="22"/>
          <w:lang w:eastAsia="zh-TW"/>
        </w:rPr>
        <w:t>Brexit</w:t>
      </w:r>
      <w:r w:rsidRPr="00321F78">
        <w:rPr>
          <w:rFonts w:ascii="Arial" w:hAnsi="Arial" w:cs="Arial"/>
          <w:color w:val="333333"/>
          <w:sz w:val="22"/>
          <w:szCs w:val="22"/>
          <w:lang w:eastAsia="zh-TW"/>
        </w:rPr>
        <w:t>.</w:t>
      </w:r>
    </w:p>
    <w:p w14:paraId="461FBB00" w14:textId="43110375" w:rsidR="00321F78" w:rsidRDefault="00321F78" w:rsidP="00321F78">
      <w:pPr>
        <w:jc w:val="both"/>
        <w:rPr>
          <w:rFonts w:ascii="Arial" w:eastAsiaTheme="minorEastAsia" w:hAnsi="Arial" w:cs="Arial"/>
          <w:color w:val="333333"/>
          <w:sz w:val="22"/>
          <w:szCs w:val="22"/>
          <w:lang w:eastAsia="zh-TW"/>
        </w:rPr>
      </w:pPr>
    </w:p>
    <w:p w14:paraId="7EBE828E" w14:textId="6DA386BB" w:rsidR="00321F78" w:rsidRDefault="00321F78" w:rsidP="00321F78">
      <w:pPr>
        <w:jc w:val="both"/>
        <w:rPr>
          <w:rFonts w:ascii="Arial" w:eastAsiaTheme="minorEastAsia" w:hAnsi="Arial" w:cs="Arial" w:hint="eastAsia"/>
          <w:color w:val="333333"/>
          <w:sz w:val="22"/>
          <w:szCs w:val="22"/>
          <w:lang w:eastAsia="zh-TW"/>
        </w:rPr>
      </w:pPr>
      <w:r w:rsidRPr="00321F78">
        <w:rPr>
          <w:rFonts w:ascii="Arial" w:hAnsi="Arial" w:cs="Arial"/>
          <w:color w:val="333333"/>
          <w:sz w:val="22"/>
          <w:szCs w:val="22"/>
          <w:lang w:eastAsia="zh-TW"/>
        </w:rPr>
        <w:t>It is therefore vital that we obtain a reciprocal agreement with the EU for the continued recognition of insolvency proceedings after Brexit, or ideally to maintain the application of EIR to the UK, or IPs could be forced to navigate the complexities of local laws to obtain recognition in EU member states.</w:t>
      </w:r>
    </w:p>
    <w:p w14:paraId="55888E7D" w14:textId="035A3904" w:rsidR="00321F78" w:rsidRDefault="00321F78" w:rsidP="00321F78">
      <w:pPr>
        <w:jc w:val="both"/>
        <w:rPr>
          <w:rFonts w:ascii="Arial" w:eastAsiaTheme="minorEastAsia" w:hAnsi="Arial" w:cs="Arial"/>
          <w:sz w:val="22"/>
          <w:szCs w:val="22"/>
          <w:lang w:val="en-GB"/>
        </w:rPr>
      </w:pPr>
    </w:p>
    <w:p w14:paraId="3749F292" w14:textId="77777777" w:rsidR="004A7C27" w:rsidRPr="00321F78" w:rsidRDefault="004A7C27" w:rsidP="00321F78">
      <w:pPr>
        <w:jc w:val="both"/>
        <w:rPr>
          <w:rFonts w:ascii="Arial" w:eastAsiaTheme="minorEastAsia" w:hAnsi="Arial" w:cs="Arial" w:hint="eastAsia"/>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F644E4" w:rsidRDefault="00463259" w:rsidP="00F644E4">
      <w:pPr>
        <w:ind w:hanging="11"/>
        <w:jc w:val="both"/>
        <w:rPr>
          <w:rFonts w:ascii="Arial" w:hAnsi="Arial" w:cs="Arial"/>
          <w:sz w:val="22"/>
          <w:szCs w:val="22"/>
          <w:lang w:val="en-GB"/>
        </w:rPr>
      </w:pPr>
    </w:p>
    <w:bookmarkEnd w:id="4"/>
    <w:bookmarkEnd w:id="5"/>
    <w:p w14:paraId="0CE4B9E4" w14:textId="2D83459E" w:rsidR="00F644E4" w:rsidRDefault="00F644E4" w:rsidP="00F644E4">
      <w:pPr>
        <w:pStyle w:v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In view of the economic downturn caused by COVID-19 pandemic, t</w:t>
      </w:r>
      <w:r w:rsidRPr="00F644E4">
        <w:rPr>
          <w:rFonts w:ascii="Arial" w:hAnsi="Arial" w:cs="Arial"/>
          <w:sz w:val="22"/>
          <w:szCs w:val="22"/>
        </w:rPr>
        <w:t>he </w:t>
      </w:r>
      <w:hyperlink r:id="rId15" w:history="1">
        <w:r w:rsidRPr="00F644E4">
          <w:rPr>
            <w:rStyle w:val="a7"/>
            <w:rFonts w:ascii="Arial" w:hAnsi="Arial" w:cs="Arial"/>
            <w:color w:val="auto"/>
            <w:sz w:val="22"/>
            <w:szCs w:val="22"/>
            <w:u w:val="none"/>
            <w:bdr w:val="none" w:sz="0" w:space="0" w:color="auto" w:frame="1"/>
          </w:rPr>
          <w:t>Corporate Insolvency and Governance Act 2020</w:t>
        </w:r>
      </w:hyperlink>
      <w:r w:rsidRPr="00F644E4">
        <w:rPr>
          <w:rFonts w:ascii="Arial" w:hAnsi="Arial" w:cs="Arial"/>
          <w:sz w:val="22"/>
          <w:szCs w:val="22"/>
        </w:rPr>
        <w:t> </w:t>
      </w:r>
      <w:r>
        <w:rPr>
          <w:rFonts w:ascii="Arial" w:hAnsi="Arial" w:cs="Arial"/>
          <w:sz w:val="22"/>
          <w:szCs w:val="22"/>
        </w:rPr>
        <w:t>came in force on</w:t>
      </w:r>
      <w:r w:rsidRPr="00F644E4">
        <w:rPr>
          <w:rFonts w:ascii="Arial" w:hAnsi="Arial" w:cs="Arial"/>
          <w:sz w:val="22"/>
          <w:szCs w:val="22"/>
        </w:rPr>
        <w:t xml:space="preserve"> 25 June 2020. </w:t>
      </w:r>
      <w:r>
        <w:rPr>
          <w:rFonts w:ascii="Arial" w:hAnsi="Arial" w:cs="Arial"/>
          <w:sz w:val="22"/>
          <w:szCs w:val="22"/>
        </w:rPr>
        <w:t xml:space="preserve">It consists of </w:t>
      </w:r>
      <w:r w:rsidRPr="00F644E4">
        <w:rPr>
          <w:rFonts w:ascii="Arial" w:hAnsi="Arial" w:cs="Arial"/>
          <w:sz w:val="22"/>
          <w:szCs w:val="22"/>
        </w:rPr>
        <w:t>permanent measures to update the UK insolvency regime and temporary measures to insolvency law and corporate governance to assist businesses during the pandemic</w:t>
      </w:r>
      <w:r>
        <w:rPr>
          <w:rFonts w:ascii="Arial" w:hAnsi="Arial" w:cs="Arial"/>
          <w:sz w:val="22"/>
          <w:szCs w:val="22"/>
        </w:rPr>
        <w:t>.</w:t>
      </w:r>
    </w:p>
    <w:p w14:paraId="51D19E10" w14:textId="77777777" w:rsidR="00F644E4" w:rsidRPr="00F644E4" w:rsidRDefault="00F644E4" w:rsidP="00E754E1">
      <w:pPr>
        <w:pStyle w:val="Web"/>
        <w:shd w:val="clear" w:color="auto" w:fill="FFFFFF"/>
        <w:spacing w:before="0" w:beforeAutospacing="0" w:after="0" w:afterAutospacing="0"/>
        <w:jc w:val="both"/>
        <w:rPr>
          <w:rFonts w:ascii="Arial" w:hAnsi="Arial" w:cs="Arial"/>
          <w:sz w:val="22"/>
          <w:szCs w:val="22"/>
        </w:rPr>
      </w:pPr>
    </w:p>
    <w:p w14:paraId="3DBC0A8A" w14:textId="652B5CB7" w:rsidR="00F644E4" w:rsidRPr="00F644E4" w:rsidRDefault="00F644E4" w:rsidP="00E754E1">
      <w:pPr>
        <w:pStyle w:v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Despite almost</w:t>
      </w:r>
      <w:r w:rsidRPr="00F644E4">
        <w:rPr>
          <w:rFonts w:ascii="Arial" w:hAnsi="Arial" w:cs="Arial"/>
          <w:sz w:val="22"/>
          <w:szCs w:val="22"/>
        </w:rPr>
        <w:t xml:space="preserve"> all</w:t>
      </w:r>
      <w:r>
        <w:rPr>
          <w:rFonts w:ascii="Arial" w:hAnsi="Arial" w:cs="Arial"/>
          <w:sz w:val="22"/>
          <w:szCs w:val="22"/>
        </w:rPr>
        <w:t xml:space="preserve"> of</w:t>
      </w:r>
      <w:r w:rsidRPr="00F644E4">
        <w:rPr>
          <w:rFonts w:ascii="Arial" w:hAnsi="Arial" w:cs="Arial"/>
          <w:sz w:val="22"/>
          <w:szCs w:val="22"/>
        </w:rPr>
        <w:t xml:space="preserve"> its provisions commenced on 26 June 2020, most of its temporary business protection measures have retrospective effect from 1 March 2020</w:t>
      </w:r>
      <w:r w:rsidR="00F43A65">
        <w:rPr>
          <w:rFonts w:ascii="Arial" w:hAnsi="Arial" w:cs="Arial"/>
          <w:sz w:val="22"/>
          <w:szCs w:val="22"/>
        </w:rPr>
        <w:t>.</w:t>
      </w:r>
    </w:p>
    <w:p w14:paraId="6DBB3BA0" w14:textId="63C5122A" w:rsidR="00E754E1" w:rsidRDefault="00E754E1" w:rsidP="00E754E1">
      <w:pPr>
        <w:autoSpaceDE w:val="0"/>
        <w:autoSpaceDN w:val="0"/>
        <w:adjustRightInd w:val="0"/>
        <w:jc w:val="both"/>
        <w:rPr>
          <w:rFonts w:ascii="Arial" w:hAnsi="Arial" w:cs="Arial"/>
          <w:sz w:val="22"/>
          <w:szCs w:val="22"/>
          <w:lang w:val="en-GB"/>
        </w:rPr>
      </w:pPr>
    </w:p>
    <w:p w14:paraId="1A56B8EB" w14:textId="448E389D" w:rsidR="00E754E1" w:rsidRPr="00E754E1" w:rsidRDefault="00E754E1" w:rsidP="00E754E1">
      <w:pPr>
        <w:autoSpaceDE w:val="0"/>
        <w:autoSpaceDN w:val="0"/>
        <w:adjustRightInd w:val="0"/>
        <w:jc w:val="both"/>
        <w:rPr>
          <w:rFonts w:ascii="Arial" w:eastAsiaTheme="minorEastAsia" w:hAnsi="Arial" w:cs="Arial" w:hint="eastAsia"/>
          <w:sz w:val="22"/>
          <w:szCs w:val="22"/>
          <w:lang w:val="en-GB" w:eastAsia="zh-TW"/>
        </w:rPr>
      </w:pPr>
      <w:r>
        <w:rPr>
          <w:rFonts w:ascii="Arial" w:eastAsiaTheme="minorEastAsia" w:hAnsi="Arial" w:cs="Arial"/>
          <w:sz w:val="22"/>
          <w:szCs w:val="22"/>
          <w:lang w:val="en-GB" w:eastAsia="zh-TW"/>
        </w:rPr>
        <w:t xml:space="preserve">Under those temporary business protection measures, restrictions were imposed on winding-up petition where unpaid debt is due to COVID-19. As in the case of Rydell (being a supplier of engine parts for large vehicles including airplanes), they were unable to pay its debt due to </w:t>
      </w:r>
      <w:r w:rsidR="00F43A65">
        <w:rPr>
          <w:rFonts w:ascii="Arial" w:eastAsiaTheme="minorEastAsia" w:hAnsi="Arial" w:cs="Arial"/>
          <w:sz w:val="22"/>
          <w:szCs w:val="22"/>
          <w:lang w:val="en-GB" w:eastAsia="zh-TW"/>
        </w:rPr>
        <w:t>border closures and travel restrictions during the pandemic.</w:t>
      </w:r>
    </w:p>
    <w:p w14:paraId="5B45F7EC" w14:textId="76D86FDE" w:rsidR="00E754E1" w:rsidRDefault="00E754E1" w:rsidP="00E754E1">
      <w:pPr>
        <w:autoSpaceDE w:val="0"/>
        <w:autoSpaceDN w:val="0"/>
        <w:adjustRightInd w:val="0"/>
        <w:jc w:val="both"/>
        <w:rPr>
          <w:rFonts w:ascii="Arial" w:hAnsi="Arial" w:cs="Arial"/>
          <w:sz w:val="22"/>
          <w:szCs w:val="22"/>
          <w:lang w:val="en-GB"/>
        </w:rPr>
      </w:pPr>
    </w:p>
    <w:p w14:paraId="68487C5A" w14:textId="50C77BDC" w:rsidR="00F43A65" w:rsidRDefault="00F43A65" w:rsidP="00E754E1">
      <w:pPr>
        <w:autoSpaceDE w:val="0"/>
        <w:autoSpaceDN w:val="0"/>
        <w:adjustRightInd w:val="0"/>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T</w:t>
      </w:r>
      <w:r>
        <w:rPr>
          <w:rFonts w:ascii="Arial" w:eastAsiaTheme="minorEastAsia" w:hAnsi="Arial" w:cs="Arial"/>
          <w:sz w:val="22"/>
          <w:szCs w:val="22"/>
          <w:lang w:val="en-GB" w:eastAsia="zh-TW"/>
        </w:rPr>
        <w:t xml:space="preserve">he UK Court would review and determine the cause of non-payment. Should it </w:t>
      </w:r>
      <w:r w:rsidR="001B6172">
        <w:rPr>
          <w:rFonts w:ascii="Arial" w:eastAsiaTheme="minorEastAsia" w:hAnsi="Arial" w:cs="Arial"/>
          <w:sz w:val="22"/>
          <w:szCs w:val="22"/>
          <w:lang w:val="en-GB" w:eastAsia="zh-TW"/>
        </w:rPr>
        <w:t>be</w:t>
      </w:r>
      <w:r>
        <w:rPr>
          <w:rFonts w:ascii="Arial" w:eastAsiaTheme="minorEastAsia" w:hAnsi="Arial" w:cs="Arial"/>
          <w:sz w:val="22"/>
          <w:szCs w:val="22"/>
          <w:lang w:val="en-GB" w:eastAsia="zh-TW"/>
        </w:rPr>
        <w:t xml:space="preserve"> found that the debt was due to COVID-19, no winding-up order could be made if the petition was presented during the “relevant period” (which expires on 20 September 2021).</w:t>
      </w:r>
    </w:p>
    <w:p w14:paraId="15CA2210" w14:textId="06897ED5" w:rsidR="00F43A65" w:rsidRDefault="00F43A65" w:rsidP="00E754E1">
      <w:pPr>
        <w:autoSpaceDE w:val="0"/>
        <w:autoSpaceDN w:val="0"/>
        <w:adjustRightInd w:val="0"/>
        <w:jc w:val="both"/>
        <w:rPr>
          <w:rFonts w:ascii="Arial" w:eastAsiaTheme="minorEastAsia" w:hAnsi="Arial" w:cs="Arial"/>
          <w:sz w:val="22"/>
          <w:szCs w:val="22"/>
          <w:lang w:val="en-GB" w:eastAsia="zh-TW"/>
        </w:rPr>
      </w:pPr>
    </w:p>
    <w:p w14:paraId="63D35BA3" w14:textId="68436910" w:rsidR="00F43A65" w:rsidRPr="00F43A65" w:rsidRDefault="00F43A65" w:rsidP="00E754E1">
      <w:pPr>
        <w:autoSpaceDE w:val="0"/>
        <w:autoSpaceDN w:val="0"/>
        <w:adjustRightInd w:val="0"/>
        <w:jc w:val="both"/>
        <w:rPr>
          <w:rFonts w:ascii="Arial" w:eastAsiaTheme="minorEastAsia" w:hAnsi="Arial" w:cs="Arial" w:hint="eastAsia"/>
          <w:sz w:val="22"/>
          <w:szCs w:val="22"/>
          <w:lang w:val="en-GB" w:eastAsia="zh-TW"/>
        </w:rPr>
      </w:pPr>
      <w:r>
        <w:rPr>
          <w:rFonts w:ascii="Arial" w:eastAsiaTheme="minorEastAsia" w:hAnsi="Arial" w:cs="Arial" w:hint="eastAsia"/>
          <w:sz w:val="22"/>
          <w:szCs w:val="22"/>
          <w:lang w:val="en-GB" w:eastAsia="zh-TW"/>
        </w:rPr>
        <w:t>M</w:t>
      </w:r>
      <w:r>
        <w:rPr>
          <w:rFonts w:ascii="Arial" w:eastAsiaTheme="minorEastAsia" w:hAnsi="Arial" w:cs="Arial"/>
          <w:sz w:val="22"/>
          <w:szCs w:val="22"/>
          <w:lang w:val="en-GB" w:eastAsia="zh-TW"/>
        </w:rPr>
        <w:t xml:space="preserve">odified rules were also applicable during extended period between 1 October 2021 to 31 March 2022. Winding-up petitions may only be presented for debt over </w:t>
      </w:r>
      <w:r w:rsidRPr="00E754E1">
        <w:rPr>
          <w:rFonts w:ascii="Arial" w:hAnsi="Arial" w:cs="Arial"/>
          <w:color w:val="393939"/>
          <w:sz w:val="22"/>
          <w:szCs w:val="22"/>
          <w:lang w:eastAsia="zh-TW"/>
        </w:rPr>
        <w:t>£10,000</w:t>
      </w:r>
      <w:r>
        <w:rPr>
          <w:rFonts w:ascii="Arial" w:hAnsi="Arial" w:cs="Arial"/>
          <w:color w:val="393939"/>
          <w:sz w:val="22"/>
          <w:szCs w:val="22"/>
          <w:lang w:eastAsia="zh-TW"/>
        </w:rPr>
        <w:t xml:space="preserve">, debtor has been given 21 days to respond with a repayment proposal and </w:t>
      </w:r>
      <w:r w:rsidR="00687757">
        <w:rPr>
          <w:rFonts w:ascii="Arial" w:hAnsi="Arial" w:cs="Arial"/>
          <w:color w:val="393939"/>
          <w:sz w:val="22"/>
          <w:szCs w:val="22"/>
          <w:lang w:eastAsia="zh-TW"/>
        </w:rPr>
        <w:t>the debt is not related to COVID-19 (for commercial rents only).</w:t>
      </w:r>
    </w:p>
    <w:p w14:paraId="45A3EB2A" w14:textId="77777777" w:rsidR="00F43A65" w:rsidRPr="00687757" w:rsidRDefault="00F43A65" w:rsidP="00E754E1">
      <w:pPr>
        <w:autoSpaceDE w:val="0"/>
        <w:autoSpaceDN w:val="0"/>
        <w:adjustRightInd w:val="0"/>
        <w:jc w:val="both"/>
        <w:rPr>
          <w:rFonts w:ascii="Arial" w:hAnsi="Arial" w:cs="Arial"/>
          <w:sz w:val="22"/>
          <w:szCs w:val="22"/>
          <w:lang w:val="en-GB"/>
        </w:rPr>
      </w:pPr>
    </w:p>
    <w:p w14:paraId="5F059774" w14:textId="77777777" w:rsidR="0077498C" w:rsidRPr="00F644E4" w:rsidRDefault="0077498C" w:rsidP="00E754E1">
      <w:pPr>
        <w:jc w:val="both"/>
        <w:rPr>
          <w:rFonts w:ascii="Arial" w:hAnsi="Arial" w:cs="Arial"/>
          <w:sz w:val="22"/>
          <w:szCs w:val="22"/>
          <w:lang w:val="en-GB"/>
        </w:rPr>
      </w:pPr>
    </w:p>
    <w:p w14:paraId="0B1643A6" w14:textId="77777777" w:rsidR="0077498C" w:rsidRPr="00205B31" w:rsidRDefault="0077498C" w:rsidP="00E754E1">
      <w:pPr>
        <w:jc w:val="both"/>
        <w:rPr>
          <w:rFonts w:ascii="Arial" w:hAnsi="Arial" w:cs="Arial"/>
          <w:color w:val="000000" w:themeColor="text1"/>
          <w:sz w:val="22"/>
          <w:szCs w:val="22"/>
          <w:lang w:val="en-GB"/>
        </w:rPr>
      </w:pPr>
    </w:p>
    <w:p w14:paraId="0412FBE7" w14:textId="141FBE9B" w:rsidR="001E23FD" w:rsidRPr="00090966" w:rsidRDefault="00C606C3" w:rsidP="00090966">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sectPr w:rsidR="001E23FD" w:rsidRPr="00090966" w:rsidSect="0052732A">
      <w:footerReference w:type="even" r:id="rId16"/>
      <w:footerReference w:type="defaul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4FC56" w14:textId="77777777" w:rsidR="00C26E4B" w:rsidRDefault="00C26E4B" w:rsidP="00241B44">
      <w:r>
        <w:separator/>
      </w:r>
    </w:p>
  </w:endnote>
  <w:endnote w:type="continuationSeparator" w:id="0">
    <w:p w14:paraId="1569510E" w14:textId="77777777" w:rsidR="00C26E4B" w:rsidRDefault="00C26E4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Cs/>
        <w:sz w:val="18"/>
        <w:szCs w:val="18"/>
      </w:rPr>
      <w:id w:val="-758512077"/>
      <w:docPartObj>
        <w:docPartGallery w:val="Page Numbers (Bottom of Page)"/>
        <w:docPartUnique/>
      </w:docPartObj>
    </w:sdtPr>
    <w:sdtEndPr>
      <w:rPr>
        <w:rStyle w:val="af1"/>
      </w:rPr>
    </w:sdtEndPr>
    <w:sdtContent>
      <w:p w14:paraId="0AAD6B61" w14:textId="77777777" w:rsidR="006E1CB0" w:rsidRPr="00A31881" w:rsidRDefault="006E1CB0" w:rsidP="0052732A">
        <w:pPr>
          <w:pStyle w:val="af"/>
          <w:framePr w:wrap="none" w:vAnchor="text" w:hAnchor="margin" w:xAlign="right" w:y="1"/>
          <w:rPr>
            <w:rStyle w:val="af1"/>
            <w:rFonts w:ascii="Arial" w:hAnsi="Arial" w:cs="Arial"/>
            <w:bCs/>
            <w:sz w:val="18"/>
            <w:szCs w:val="18"/>
          </w:rPr>
        </w:pPr>
        <w:r w:rsidRPr="00A31881">
          <w:rPr>
            <w:rStyle w:val="af1"/>
            <w:rFonts w:ascii="Arial" w:hAnsi="Arial" w:cs="Arial"/>
            <w:bCs/>
            <w:sz w:val="18"/>
            <w:szCs w:val="18"/>
          </w:rPr>
          <w:t xml:space="preserve">Page </w:t>
        </w:r>
        <w:r w:rsidRPr="00A31881">
          <w:rPr>
            <w:rStyle w:val="af1"/>
            <w:rFonts w:ascii="Arial" w:hAnsi="Arial" w:cs="Arial"/>
            <w:bCs/>
            <w:sz w:val="18"/>
            <w:szCs w:val="18"/>
          </w:rPr>
          <w:fldChar w:fldCharType="begin"/>
        </w:r>
        <w:r w:rsidRPr="00A31881">
          <w:rPr>
            <w:rStyle w:val="af1"/>
            <w:rFonts w:ascii="Arial" w:hAnsi="Arial" w:cs="Arial"/>
            <w:bCs/>
            <w:sz w:val="18"/>
            <w:szCs w:val="18"/>
          </w:rPr>
          <w:instrText xml:space="preserve"> PAGE </w:instrText>
        </w:r>
        <w:r w:rsidRPr="00A31881">
          <w:rPr>
            <w:rStyle w:val="af1"/>
            <w:rFonts w:ascii="Arial" w:hAnsi="Arial" w:cs="Arial"/>
            <w:bCs/>
            <w:sz w:val="18"/>
            <w:szCs w:val="18"/>
          </w:rPr>
          <w:fldChar w:fldCharType="separate"/>
        </w:r>
        <w:r w:rsidRPr="00A31881">
          <w:rPr>
            <w:rStyle w:val="af1"/>
            <w:rFonts w:ascii="Arial" w:hAnsi="Arial" w:cs="Arial"/>
            <w:bCs/>
            <w:noProof/>
            <w:sz w:val="18"/>
            <w:szCs w:val="18"/>
          </w:rPr>
          <w:t>10</w:t>
        </w:r>
        <w:r w:rsidRPr="00A31881">
          <w:rPr>
            <w:rStyle w:val="af1"/>
            <w:rFonts w:ascii="Arial" w:hAnsi="Arial" w:cs="Arial"/>
            <w:bCs/>
            <w:sz w:val="18"/>
            <w:szCs w:val="18"/>
          </w:rPr>
          <w:fldChar w:fldCharType="end"/>
        </w:r>
      </w:p>
    </w:sdtContent>
  </w:sdt>
  <w:p w14:paraId="39FD1B0B" w14:textId="131F514A" w:rsidR="006E1CB0" w:rsidRPr="00A31881" w:rsidRDefault="006E1CB0" w:rsidP="00FC7B47">
    <w:pPr>
      <w:pStyle w:val="af"/>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bCs/>
        <w:sz w:val="18"/>
        <w:szCs w:val="18"/>
      </w:rPr>
      <w:id w:val="-2016673495"/>
      <w:docPartObj>
        <w:docPartGallery w:val="Page Numbers (Bottom of Page)"/>
        <w:docPartUnique/>
      </w:docPartObj>
    </w:sdtPr>
    <w:sdtEndPr>
      <w:rPr>
        <w:rStyle w:val="af1"/>
        <w:b w:val="0"/>
        <w:bCs w:val="0"/>
      </w:rPr>
    </w:sdtEndPr>
    <w:sdtContent>
      <w:p w14:paraId="532C33C7" w14:textId="3184068D" w:rsidR="006E1CB0" w:rsidRPr="0052732A" w:rsidRDefault="006E1CB0" w:rsidP="006E1CB0">
        <w:pPr>
          <w:pStyle w:val="af"/>
          <w:framePr w:wrap="none" w:vAnchor="text" w:hAnchor="margin" w:xAlign="right" w:y="1"/>
          <w:rPr>
            <w:rStyle w:val="af1"/>
            <w:rFonts w:ascii="Arial" w:hAnsi="Arial" w:cs="Arial"/>
            <w:sz w:val="18"/>
            <w:szCs w:val="18"/>
          </w:rPr>
        </w:pPr>
        <w:r w:rsidRPr="00C50F86">
          <w:rPr>
            <w:rStyle w:val="af1"/>
            <w:rFonts w:ascii="Arial" w:hAnsi="Arial" w:cs="Arial"/>
            <w:b/>
            <w:bCs/>
            <w:sz w:val="18"/>
            <w:szCs w:val="18"/>
          </w:rPr>
          <w:t xml:space="preserve">Page </w:t>
        </w:r>
        <w:r w:rsidRPr="00C50F86">
          <w:rPr>
            <w:rStyle w:val="af1"/>
            <w:rFonts w:ascii="Arial" w:hAnsi="Arial" w:cs="Arial"/>
            <w:b/>
            <w:bCs/>
            <w:sz w:val="18"/>
            <w:szCs w:val="18"/>
          </w:rPr>
          <w:fldChar w:fldCharType="begin"/>
        </w:r>
        <w:r w:rsidRPr="00C50F86">
          <w:rPr>
            <w:rStyle w:val="af1"/>
            <w:rFonts w:ascii="Arial" w:hAnsi="Arial" w:cs="Arial"/>
            <w:b/>
            <w:bCs/>
            <w:sz w:val="18"/>
            <w:szCs w:val="18"/>
          </w:rPr>
          <w:instrText xml:space="preserve"> PAGE </w:instrText>
        </w:r>
        <w:r w:rsidRPr="00C50F86">
          <w:rPr>
            <w:rStyle w:val="af1"/>
            <w:rFonts w:ascii="Arial" w:hAnsi="Arial" w:cs="Arial"/>
            <w:b/>
            <w:bCs/>
            <w:sz w:val="18"/>
            <w:szCs w:val="18"/>
          </w:rPr>
          <w:fldChar w:fldCharType="separate"/>
        </w:r>
        <w:r w:rsidR="001D7EF2">
          <w:rPr>
            <w:rStyle w:val="af1"/>
            <w:rFonts w:ascii="Arial" w:hAnsi="Arial" w:cs="Arial"/>
            <w:b/>
            <w:bCs/>
            <w:noProof/>
            <w:sz w:val="18"/>
            <w:szCs w:val="18"/>
          </w:rPr>
          <w:t>10</w:t>
        </w:r>
        <w:r w:rsidRPr="00C50F86">
          <w:rPr>
            <w:rStyle w:val="af1"/>
            <w:rFonts w:ascii="Arial" w:hAnsi="Arial" w:cs="Arial"/>
            <w:b/>
            <w:bCs/>
            <w:sz w:val="18"/>
            <w:szCs w:val="18"/>
          </w:rPr>
          <w:fldChar w:fldCharType="end"/>
        </w:r>
      </w:p>
    </w:sdtContent>
  </w:sdt>
  <w:p w14:paraId="12ABA5E1" w14:textId="3A425289" w:rsidR="006E1CB0" w:rsidRPr="0052732A" w:rsidRDefault="00102577" w:rsidP="0052732A">
    <w:pPr>
      <w:pStyle w:val="af"/>
      <w:ind w:right="360"/>
      <w:rPr>
        <w:rFonts w:ascii="Arial" w:hAnsi="Arial" w:cs="Arial"/>
        <w:sz w:val="18"/>
        <w:szCs w:val="18"/>
      </w:rPr>
    </w:pPr>
    <w:r>
      <w:rPr>
        <w:rFonts w:ascii="Arial" w:hAnsi="Arial" w:cs="Arial"/>
        <w:sz w:val="18"/>
        <w:szCs w:val="18"/>
      </w:rPr>
      <w:t>202122-346</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D2433" w14:textId="77777777" w:rsidR="00C26E4B" w:rsidRDefault="00C26E4B" w:rsidP="00241B44">
      <w:r>
        <w:separator/>
      </w:r>
    </w:p>
  </w:footnote>
  <w:footnote w:type="continuationSeparator" w:id="0">
    <w:p w14:paraId="1B0F45A1" w14:textId="77777777" w:rsidR="00C26E4B" w:rsidRDefault="00C26E4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D0D"/>
    <w:multiLevelType w:val="multilevel"/>
    <w:tmpl w:val="C3DC45C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848736D"/>
    <w:multiLevelType w:val="hybridMultilevel"/>
    <w:tmpl w:val="DE948454"/>
    <w:lvl w:ilvl="0" w:tplc="0409000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14067009"/>
    <w:multiLevelType w:val="multilevel"/>
    <w:tmpl w:val="A4B4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1AA550B7"/>
    <w:multiLevelType w:val="multilevel"/>
    <w:tmpl w:val="7FFA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33F91F35"/>
    <w:multiLevelType w:val="multilevel"/>
    <w:tmpl w:val="C3DC45C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C832FE"/>
    <w:multiLevelType w:val="multilevel"/>
    <w:tmpl w:val="F8AE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182ECD"/>
    <w:multiLevelType w:val="hybridMultilevel"/>
    <w:tmpl w:val="4D947F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9" w15:restartNumberingAfterBreak="0">
    <w:nsid w:val="59EB5445"/>
    <w:multiLevelType w:val="hybridMultilevel"/>
    <w:tmpl w:val="58A4156A"/>
    <w:lvl w:ilvl="0" w:tplc="AA307796">
      <w:numFmt w:val="bullet"/>
      <w:lvlText w:val="-"/>
      <w:lvlJc w:val="left"/>
      <w:pPr>
        <w:ind w:left="786" w:hanging="360"/>
      </w:pPr>
      <w:rPr>
        <w:rFonts w:ascii="Arial" w:eastAsia="新細明體" w:hAnsi="Arial" w:cs="Arial"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20"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2" w15:restartNumberingAfterBreak="0">
    <w:nsid w:val="6F402D20"/>
    <w:multiLevelType w:val="hybridMultilevel"/>
    <w:tmpl w:val="7EDA14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2"/>
  </w:num>
  <w:num w:numId="2">
    <w:abstractNumId w:val="13"/>
  </w:num>
  <w:num w:numId="3">
    <w:abstractNumId w:val="24"/>
  </w:num>
  <w:num w:numId="4">
    <w:abstractNumId w:val="8"/>
  </w:num>
  <w:num w:numId="5">
    <w:abstractNumId w:val="4"/>
  </w:num>
  <w:num w:numId="6">
    <w:abstractNumId w:val="21"/>
  </w:num>
  <w:num w:numId="7">
    <w:abstractNumId w:val="6"/>
  </w:num>
  <w:num w:numId="8">
    <w:abstractNumId w:val="3"/>
  </w:num>
  <w:num w:numId="9">
    <w:abstractNumId w:val="1"/>
  </w:num>
  <w:num w:numId="10">
    <w:abstractNumId w:val="9"/>
  </w:num>
  <w:num w:numId="11">
    <w:abstractNumId w:val="15"/>
  </w:num>
  <w:num w:numId="12">
    <w:abstractNumId w:val="23"/>
  </w:num>
  <w:num w:numId="13">
    <w:abstractNumId w:val="18"/>
  </w:num>
  <w:num w:numId="14">
    <w:abstractNumId w:val="11"/>
  </w:num>
  <w:num w:numId="15">
    <w:abstractNumId w:val="14"/>
  </w:num>
  <w:num w:numId="16">
    <w:abstractNumId w:val="20"/>
  </w:num>
  <w:num w:numId="17">
    <w:abstractNumId w:val="17"/>
  </w:num>
  <w:num w:numId="18">
    <w:abstractNumId w:val="10"/>
  </w:num>
  <w:num w:numId="19">
    <w:abstractNumId w:val="16"/>
  </w:num>
  <w:num w:numId="20">
    <w:abstractNumId w:val="7"/>
  </w:num>
  <w:num w:numId="21">
    <w:abstractNumId w:val="0"/>
  </w:num>
  <w:num w:numId="22">
    <w:abstractNumId w:val="22"/>
  </w:num>
  <w:num w:numId="23">
    <w:abstractNumId w:val="19"/>
  </w:num>
  <w:num w:numId="24">
    <w:abstractNumId w:val="2"/>
  </w:num>
  <w:num w:numId="2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bordersDoNotSurroundHeader/>
  <w:bordersDoNotSurroundFooter/>
  <w:activeWritingStyle w:appName="MSWord" w:lang="en-GB" w:vendorID="64" w:dllVersion="4096" w:nlCheck="1" w:checkStyle="0"/>
  <w:activeWritingStyle w:appName="MSWord" w:lang="en-US" w:vendorID="64" w:dllVersion="4096" w:nlCheck="1" w:checkStyle="0"/>
  <w:defaultTabStop w:val="720"/>
  <w:drawingGridHorizontalSpacing w:val="100"/>
  <w:displayHorizontalDrawingGridEvery w:val="0"/>
  <w:displayVerticalDrawingGridEvery w:val="2"/>
  <w:doNotShadeFormData/>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0966"/>
    <w:rsid w:val="00093BE8"/>
    <w:rsid w:val="00093FE2"/>
    <w:rsid w:val="0009471C"/>
    <w:rsid w:val="00097FF3"/>
    <w:rsid w:val="000A01B9"/>
    <w:rsid w:val="000A0C1B"/>
    <w:rsid w:val="000A68ED"/>
    <w:rsid w:val="000A74CA"/>
    <w:rsid w:val="000B5B93"/>
    <w:rsid w:val="000B5FF1"/>
    <w:rsid w:val="000B609F"/>
    <w:rsid w:val="000B6273"/>
    <w:rsid w:val="000B6B75"/>
    <w:rsid w:val="000D55A8"/>
    <w:rsid w:val="000D57BE"/>
    <w:rsid w:val="000D6876"/>
    <w:rsid w:val="000D7B6E"/>
    <w:rsid w:val="000E0165"/>
    <w:rsid w:val="000E3A82"/>
    <w:rsid w:val="000E3C5A"/>
    <w:rsid w:val="000E4841"/>
    <w:rsid w:val="000E5CB4"/>
    <w:rsid w:val="000F0DC0"/>
    <w:rsid w:val="000F0FFF"/>
    <w:rsid w:val="000F1677"/>
    <w:rsid w:val="000F3D6C"/>
    <w:rsid w:val="000F58B0"/>
    <w:rsid w:val="00100A77"/>
    <w:rsid w:val="00101707"/>
    <w:rsid w:val="00102577"/>
    <w:rsid w:val="00105CBD"/>
    <w:rsid w:val="001107F2"/>
    <w:rsid w:val="00110E0C"/>
    <w:rsid w:val="001131C6"/>
    <w:rsid w:val="0011473D"/>
    <w:rsid w:val="00115C85"/>
    <w:rsid w:val="0012303D"/>
    <w:rsid w:val="00123855"/>
    <w:rsid w:val="00124B70"/>
    <w:rsid w:val="00125A7C"/>
    <w:rsid w:val="00126A4D"/>
    <w:rsid w:val="00131D42"/>
    <w:rsid w:val="0013278B"/>
    <w:rsid w:val="00135FFC"/>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2B48"/>
    <w:rsid w:val="001830DF"/>
    <w:rsid w:val="001833C2"/>
    <w:rsid w:val="00193AB3"/>
    <w:rsid w:val="001966D9"/>
    <w:rsid w:val="00197963"/>
    <w:rsid w:val="001A620B"/>
    <w:rsid w:val="001A7E9A"/>
    <w:rsid w:val="001B0F70"/>
    <w:rsid w:val="001B5016"/>
    <w:rsid w:val="001B6172"/>
    <w:rsid w:val="001B6CEE"/>
    <w:rsid w:val="001C45FC"/>
    <w:rsid w:val="001C594A"/>
    <w:rsid w:val="001C72A3"/>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6499"/>
    <w:rsid w:val="002164C0"/>
    <w:rsid w:val="00216CB4"/>
    <w:rsid w:val="002173C5"/>
    <w:rsid w:val="00223780"/>
    <w:rsid w:val="0022719C"/>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547"/>
    <w:rsid w:val="002D0021"/>
    <w:rsid w:val="002D10A3"/>
    <w:rsid w:val="002D134C"/>
    <w:rsid w:val="002D295D"/>
    <w:rsid w:val="002D3473"/>
    <w:rsid w:val="002D7E7E"/>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44EF"/>
    <w:rsid w:val="00321F78"/>
    <w:rsid w:val="00324289"/>
    <w:rsid w:val="0032621A"/>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B58C5"/>
    <w:rsid w:val="003C1451"/>
    <w:rsid w:val="003C2017"/>
    <w:rsid w:val="003C4471"/>
    <w:rsid w:val="003D0A6D"/>
    <w:rsid w:val="003D100A"/>
    <w:rsid w:val="003D3045"/>
    <w:rsid w:val="003D4300"/>
    <w:rsid w:val="003D6AC4"/>
    <w:rsid w:val="003E064D"/>
    <w:rsid w:val="003E0B16"/>
    <w:rsid w:val="003E2D1B"/>
    <w:rsid w:val="003E67D1"/>
    <w:rsid w:val="003F655E"/>
    <w:rsid w:val="003F74D9"/>
    <w:rsid w:val="00404EF7"/>
    <w:rsid w:val="00405DC1"/>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4490"/>
    <w:rsid w:val="004659E0"/>
    <w:rsid w:val="00470A63"/>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C27"/>
    <w:rsid w:val="004A7D71"/>
    <w:rsid w:val="004A7EF3"/>
    <w:rsid w:val="004B0EBE"/>
    <w:rsid w:val="004B10C5"/>
    <w:rsid w:val="004B11FD"/>
    <w:rsid w:val="004B23A2"/>
    <w:rsid w:val="004B25E4"/>
    <w:rsid w:val="004B428D"/>
    <w:rsid w:val="004B607C"/>
    <w:rsid w:val="004C1DA6"/>
    <w:rsid w:val="004C2019"/>
    <w:rsid w:val="004C5E4F"/>
    <w:rsid w:val="004C7030"/>
    <w:rsid w:val="004D1A5A"/>
    <w:rsid w:val="004D2FFF"/>
    <w:rsid w:val="004D3721"/>
    <w:rsid w:val="004D64F9"/>
    <w:rsid w:val="004D687E"/>
    <w:rsid w:val="004E4224"/>
    <w:rsid w:val="004E450D"/>
    <w:rsid w:val="004E5A14"/>
    <w:rsid w:val="004E622C"/>
    <w:rsid w:val="004E64DB"/>
    <w:rsid w:val="004F1534"/>
    <w:rsid w:val="004F2DD1"/>
    <w:rsid w:val="004F3375"/>
    <w:rsid w:val="004F55F1"/>
    <w:rsid w:val="004F5FDF"/>
    <w:rsid w:val="0050156C"/>
    <w:rsid w:val="005059A4"/>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5CB5"/>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2E85"/>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61EF"/>
    <w:rsid w:val="006746CB"/>
    <w:rsid w:val="00677AEB"/>
    <w:rsid w:val="00680EF2"/>
    <w:rsid w:val="00681717"/>
    <w:rsid w:val="00682A3E"/>
    <w:rsid w:val="006850AE"/>
    <w:rsid w:val="00686C53"/>
    <w:rsid w:val="00687757"/>
    <w:rsid w:val="00687A1D"/>
    <w:rsid w:val="00697EA1"/>
    <w:rsid w:val="006A2646"/>
    <w:rsid w:val="006A6530"/>
    <w:rsid w:val="006A695F"/>
    <w:rsid w:val="006A6D1D"/>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69C7"/>
    <w:rsid w:val="00743531"/>
    <w:rsid w:val="007462D9"/>
    <w:rsid w:val="00751986"/>
    <w:rsid w:val="0075428A"/>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C0111"/>
    <w:rsid w:val="007C0663"/>
    <w:rsid w:val="007C1FCC"/>
    <w:rsid w:val="007C2831"/>
    <w:rsid w:val="007C2AA1"/>
    <w:rsid w:val="007C6201"/>
    <w:rsid w:val="007D0348"/>
    <w:rsid w:val="007D1E28"/>
    <w:rsid w:val="007D24EE"/>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3C3D"/>
    <w:rsid w:val="00814A55"/>
    <w:rsid w:val="0082483F"/>
    <w:rsid w:val="008279C0"/>
    <w:rsid w:val="00841E70"/>
    <w:rsid w:val="008473AA"/>
    <w:rsid w:val="00852883"/>
    <w:rsid w:val="00852F37"/>
    <w:rsid w:val="00855F8E"/>
    <w:rsid w:val="008571F6"/>
    <w:rsid w:val="00861E51"/>
    <w:rsid w:val="00870B96"/>
    <w:rsid w:val="008722D7"/>
    <w:rsid w:val="008723F3"/>
    <w:rsid w:val="00873246"/>
    <w:rsid w:val="00875E2E"/>
    <w:rsid w:val="00880F99"/>
    <w:rsid w:val="00881DA8"/>
    <w:rsid w:val="00881DE6"/>
    <w:rsid w:val="008837A6"/>
    <w:rsid w:val="008869F5"/>
    <w:rsid w:val="0089145D"/>
    <w:rsid w:val="00896DDD"/>
    <w:rsid w:val="00896FD7"/>
    <w:rsid w:val="00897428"/>
    <w:rsid w:val="008A30C3"/>
    <w:rsid w:val="008A30EE"/>
    <w:rsid w:val="008A4DF2"/>
    <w:rsid w:val="008A6841"/>
    <w:rsid w:val="008A6CFE"/>
    <w:rsid w:val="008B40E7"/>
    <w:rsid w:val="008B4681"/>
    <w:rsid w:val="008B4B58"/>
    <w:rsid w:val="008B5333"/>
    <w:rsid w:val="008B6223"/>
    <w:rsid w:val="008C32AC"/>
    <w:rsid w:val="008C4066"/>
    <w:rsid w:val="008C66E0"/>
    <w:rsid w:val="008D0122"/>
    <w:rsid w:val="008D3E17"/>
    <w:rsid w:val="008D5D34"/>
    <w:rsid w:val="008D7718"/>
    <w:rsid w:val="008E220E"/>
    <w:rsid w:val="008E3339"/>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73D1"/>
    <w:rsid w:val="00923CCC"/>
    <w:rsid w:val="00926D10"/>
    <w:rsid w:val="009275FE"/>
    <w:rsid w:val="00942123"/>
    <w:rsid w:val="0094263A"/>
    <w:rsid w:val="00946EE0"/>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91272"/>
    <w:rsid w:val="00991428"/>
    <w:rsid w:val="00992676"/>
    <w:rsid w:val="009A2199"/>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375E"/>
    <w:rsid w:val="009E44C0"/>
    <w:rsid w:val="009E4DE3"/>
    <w:rsid w:val="009E50C1"/>
    <w:rsid w:val="009F0C29"/>
    <w:rsid w:val="00A047EE"/>
    <w:rsid w:val="00A057CA"/>
    <w:rsid w:val="00A149B7"/>
    <w:rsid w:val="00A177BC"/>
    <w:rsid w:val="00A17930"/>
    <w:rsid w:val="00A2274A"/>
    <w:rsid w:val="00A235B7"/>
    <w:rsid w:val="00A238F1"/>
    <w:rsid w:val="00A249AC"/>
    <w:rsid w:val="00A27A7A"/>
    <w:rsid w:val="00A301D1"/>
    <w:rsid w:val="00A31881"/>
    <w:rsid w:val="00A323C2"/>
    <w:rsid w:val="00A407EF"/>
    <w:rsid w:val="00A411B7"/>
    <w:rsid w:val="00A46B4C"/>
    <w:rsid w:val="00A5117B"/>
    <w:rsid w:val="00A560B6"/>
    <w:rsid w:val="00A56CF7"/>
    <w:rsid w:val="00A56DBC"/>
    <w:rsid w:val="00A60074"/>
    <w:rsid w:val="00A646E2"/>
    <w:rsid w:val="00A651A9"/>
    <w:rsid w:val="00A6627C"/>
    <w:rsid w:val="00A71019"/>
    <w:rsid w:val="00A81029"/>
    <w:rsid w:val="00A82AFB"/>
    <w:rsid w:val="00A8485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C7566"/>
    <w:rsid w:val="00AD0662"/>
    <w:rsid w:val="00AD1B6B"/>
    <w:rsid w:val="00AD74AD"/>
    <w:rsid w:val="00AE027F"/>
    <w:rsid w:val="00AF228E"/>
    <w:rsid w:val="00AF455B"/>
    <w:rsid w:val="00B0123F"/>
    <w:rsid w:val="00B04004"/>
    <w:rsid w:val="00B102C7"/>
    <w:rsid w:val="00B14819"/>
    <w:rsid w:val="00B17AA9"/>
    <w:rsid w:val="00B221FF"/>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24D2"/>
    <w:rsid w:val="00BC48EB"/>
    <w:rsid w:val="00BC585F"/>
    <w:rsid w:val="00BC5D7D"/>
    <w:rsid w:val="00BD0299"/>
    <w:rsid w:val="00BD23B4"/>
    <w:rsid w:val="00BD3363"/>
    <w:rsid w:val="00BD3F18"/>
    <w:rsid w:val="00BD64FB"/>
    <w:rsid w:val="00BD7D49"/>
    <w:rsid w:val="00BF2B49"/>
    <w:rsid w:val="00BF2E7A"/>
    <w:rsid w:val="00BF3D02"/>
    <w:rsid w:val="00BF40B9"/>
    <w:rsid w:val="00BF50F7"/>
    <w:rsid w:val="00BF5D90"/>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6533F"/>
    <w:rsid w:val="00C71F4F"/>
    <w:rsid w:val="00C72848"/>
    <w:rsid w:val="00C750BA"/>
    <w:rsid w:val="00C7736C"/>
    <w:rsid w:val="00C80272"/>
    <w:rsid w:val="00C82D87"/>
    <w:rsid w:val="00C8712A"/>
    <w:rsid w:val="00C92A0D"/>
    <w:rsid w:val="00C963D3"/>
    <w:rsid w:val="00CA1600"/>
    <w:rsid w:val="00CA1802"/>
    <w:rsid w:val="00CB262C"/>
    <w:rsid w:val="00CB2CBB"/>
    <w:rsid w:val="00CB7283"/>
    <w:rsid w:val="00CB7CAC"/>
    <w:rsid w:val="00CC467D"/>
    <w:rsid w:val="00CC5335"/>
    <w:rsid w:val="00CC579C"/>
    <w:rsid w:val="00CC5BA4"/>
    <w:rsid w:val="00CC7728"/>
    <w:rsid w:val="00CD0FFE"/>
    <w:rsid w:val="00CD34DB"/>
    <w:rsid w:val="00CD377A"/>
    <w:rsid w:val="00CD4998"/>
    <w:rsid w:val="00CE0DDC"/>
    <w:rsid w:val="00CE1035"/>
    <w:rsid w:val="00CE62CA"/>
    <w:rsid w:val="00CF2819"/>
    <w:rsid w:val="00CF4F9D"/>
    <w:rsid w:val="00CF5AD8"/>
    <w:rsid w:val="00CF70DC"/>
    <w:rsid w:val="00CF717B"/>
    <w:rsid w:val="00D05BF8"/>
    <w:rsid w:val="00D068C5"/>
    <w:rsid w:val="00D07F87"/>
    <w:rsid w:val="00D148DC"/>
    <w:rsid w:val="00D161D9"/>
    <w:rsid w:val="00D1688E"/>
    <w:rsid w:val="00D17FDC"/>
    <w:rsid w:val="00D223E4"/>
    <w:rsid w:val="00D256C6"/>
    <w:rsid w:val="00D25F51"/>
    <w:rsid w:val="00D35229"/>
    <w:rsid w:val="00D35ADE"/>
    <w:rsid w:val="00D35EAE"/>
    <w:rsid w:val="00D4685B"/>
    <w:rsid w:val="00D57C59"/>
    <w:rsid w:val="00D60215"/>
    <w:rsid w:val="00D60874"/>
    <w:rsid w:val="00D63EFD"/>
    <w:rsid w:val="00D6588F"/>
    <w:rsid w:val="00D673D4"/>
    <w:rsid w:val="00D676F1"/>
    <w:rsid w:val="00D714E4"/>
    <w:rsid w:val="00D71FAF"/>
    <w:rsid w:val="00D81974"/>
    <w:rsid w:val="00D8222A"/>
    <w:rsid w:val="00D84752"/>
    <w:rsid w:val="00D86A74"/>
    <w:rsid w:val="00D86B3B"/>
    <w:rsid w:val="00D8748A"/>
    <w:rsid w:val="00D905E4"/>
    <w:rsid w:val="00D93196"/>
    <w:rsid w:val="00D931A2"/>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0A7C"/>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7049"/>
    <w:rsid w:val="00E450A4"/>
    <w:rsid w:val="00E506BE"/>
    <w:rsid w:val="00E518B6"/>
    <w:rsid w:val="00E525B9"/>
    <w:rsid w:val="00E54ADD"/>
    <w:rsid w:val="00E55547"/>
    <w:rsid w:val="00E55E9B"/>
    <w:rsid w:val="00E6211B"/>
    <w:rsid w:val="00E6302B"/>
    <w:rsid w:val="00E6452F"/>
    <w:rsid w:val="00E64F45"/>
    <w:rsid w:val="00E6742D"/>
    <w:rsid w:val="00E71CB0"/>
    <w:rsid w:val="00E748AB"/>
    <w:rsid w:val="00E754E1"/>
    <w:rsid w:val="00E7793C"/>
    <w:rsid w:val="00E77C3D"/>
    <w:rsid w:val="00E80299"/>
    <w:rsid w:val="00E8272F"/>
    <w:rsid w:val="00E84A0C"/>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08FF"/>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FB1"/>
    <w:rsid w:val="00F15181"/>
    <w:rsid w:val="00F1640B"/>
    <w:rsid w:val="00F2025D"/>
    <w:rsid w:val="00F27CD8"/>
    <w:rsid w:val="00F302E4"/>
    <w:rsid w:val="00F30351"/>
    <w:rsid w:val="00F3323E"/>
    <w:rsid w:val="00F341F4"/>
    <w:rsid w:val="00F34F9D"/>
    <w:rsid w:val="00F34FAD"/>
    <w:rsid w:val="00F3554C"/>
    <w:rsid w:val="00F35CCE"/>
    <w:rsid w:val="00F35D73"/>
    <w:rsid w:val="00F366E1"/>
    <w:rsid w:val="00F42B4B"/>
    <w:rsid w:val="00F4376C"/>
    <w:rsid w:val="00F43A65"/>
    <w:rsid w:val="00F45599"/>
    <w:rsid w:val="00F50D48"/>
    <w:rsid w:val="00F52E31"/>
    <w:rsid w:val="00F54776"/>
    <w:rsid w:val="00F5524B"/>
    <w:rsid w:val="00F5710B"/>
    <w:rsid w:val="00F61DD2"/>
    <w:rsid w:val="00F63720"/>
    <w:rsid w:val="00F644E4"/>
    <w:rsid w:val="00F65FB6"/>
    <w:rsid w:val="00F66AFF"/>
    <w:rsid w:val="00F71433"/>
    <w:rsid w:val="00F71CE8"/>
    <w:rsid w:val="00F738B0"/>
    <w:rsid w:val="00F83231"/>
    <w:rsid w:val="00F85A51"/>
    <w:rsid w:val="00F85DB2"/>
    <w:rsid w:val="00F91FA7"/>
    <w:rsid w:val="00F9420C"/>
    <w:rsid w:val="00F96AF1"/>
    <w:rsid w:val="00F97C5B"/>
    <w:rsid w:val="00FA29FD"/>
    <w:rsid w:val="00FA2A46"/>
    <w:rsid w:val="00FA3739"/>
    <w:rsid w:val="00FA3D50"/>
    <w:rsid w:val="00FA43E7"/>
    <w:rsid w:val="00FB3E64"/>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nhideWhenUsed/>
    <w:rsid w:val="00241B44"/>
    <w:rPr>
      <w:szCs w:val="20"/>
    </w:rPr>
  </w:style>
  <w:style w:type="character" w:customStyle="1" w:styleId="a5">
    <w:name w:val="註腳文字 字元"/>
    <w:aliases w:val="fn 字元,Fußnotentext Char Char Char Char 字元,Fußnotentext Char Char Char Char Char Char 字元,Fußnotentext Char Char Char Char Char Char Char Char 字元,Fußnotentextf 字元,footnotes 字元,Footnote Text Char2 Char 字元,Footnote Text Char Char1 Char 字元,ft 字元"/>
    <w:basedOn w:val="a0"/>
    <w:link w:val="a4"/>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unhideWhenUsed/>
    <w:rsid w:val="008B5333"/>
    <w:rPr>
      <w:szCs w:val="20"/>
    </w:rPr>
  </w:style>
  <w:style w:type="character" w:customStyle="1" w:styleId="aa">
    <w:name w:val="註解文字 字元"/>
    <w:basedOn w:val="a0"/>
    <w:link w:val="a9"/>
    <w:uiPriority w:val="99"/>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註解主旨 字元"/>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註解方塊文字 字元"/>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頁尾 字元"/>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頁首 字元"/>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a"/>
    <w:next w:val="a"/>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a"/>
    <w:next w:val="a"/>
    <w:qFormat/>
    <w:rsid w:val="001131C6"/>
    <w:pPr>
      <w:ind w:left="708"/>
    </w:pPr>
    <w:rPr>
      <w:rFonts w:ascii="Arial" w:eastAsiaTheme="minorEastAsia" w:hAnsi="Arial" w:cs="Arial"/>
      <w:sz w:val="22"/>
      <w:szCs w:val="22"/>
      <w:u w:color="FF0000"/>
      <w:lang w:val="en-GB"/>
    </w:rPr>
  </w:style>
  <w:style w:type="paragraph" w:styleId="af6">
    <w:name w:val="Revision"/>
    <w:hidden/>
    <w:uiPriority w:val="99"/>
    <w:semiHidden/>
    <w:rsid w:val="002173C5"/>
    <w:rPr>
      <w:rFonts w:eastAsia="Times New Roman"/>
      <w:sz w:val="20"/>
    </w:rPr>
  </w:style>
  <w:style w:type="character" w:styleId="af7">
    <w:name w:val="Emphasis"/>
    <w:basedOn w:val="a0"/>
    <w:uiPriority w:val="20"/>
    <w:qFormat/>
    <w:rsid w:val="00A323C2"/>
    <w:rPr>
      <w:i/>
      <w:iCs/>
    </w:rPr>
  </w:style>
  <w:style w:type="character" w:customStyle="1" w:styleId="coglossaryterm">
    <w:name w:val="co_glossaryterm"/>
    <w:basedOn w:val="a0"/>
    <w:rsid w:val="00A32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0968">
      <w:bodyDiv w:val="1"/>
      <w:marLeft w:val="0"/>
      <w:marRight w:val="0"/>
      <w:marTop w:val="0"/>
      <w:marBottom w:val="0"/>
      <w:divBdr>
        <w:top w:val="none" w:sz="0" w:space="0" w:color="auto"/>
        <w:left w:val="none" w:sz="0" w:space="0" w:color="auto"/>
        <w:bottom w:val="none" w:sz="0" w:space="0" w:color="auto"/>
        <w:right w:val="none" w:sz="0" w:space="0" w:color="auto"/>
      </w:divBdr>
    </w:div>
    <w:div w:id="432281532">
      <w:bodyDiv w:val="1"/>
      <w:marLeft w:val="0"/>
      <w:marRight w:val="0"/>
      <w:marTop w:val="0"/>
      <w:marBottom w:val="0"/>
      <w:divBdr>
        <w:top w:val="none" w:sz="0" w:space="0" w:color="auto"/>
        <w:left w:val="none" w:sz="0" w:space="0" w:color="auto"/>
        <w:bottom w:val="none" w:sz="0" w:space="0" w:color="auto"/>
        <w:right w:val="none" w:sz="0" w:space="0" w:color="auto"/>
      </w:divBdr>
    </w:div>
    <w:div w:id="493884061">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22235513">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63971591">
      <w:bodyDiv w:val="1"/>
      <w:marLeft w:val="0"/>
      <w:marRight w:val="0"/>
      <w:marTop w:val="0"/>
      <w:marBottom w:val="0"/>
      <w:divBdr>
        <w:top w:val="none" w:sz="0" w:space="0" w:color="auto"/>
        <w:left w:val="none" w:sz="0" w:space="0" w:color="auto"/>
        <w:bottom w:val="none" w:sz="0" w:space="0" w:color="auto"/>
        <w:right w:val="none" w:sz="0" w:space="0" w:color="auto"/>
      </w:divBdr>
    </w:div>
    <w:div w:id="1381320617">
      <w:bodyDiv w:val="1"/>
      <w:marLeft w:val="0"/>
      <w:marRight w:val="0"/>
      <w:marTop w:val="0"/>
      <w:marBottom w:val="0"/>
      <w:divBdr>
        <w:top w:val="none" w:sz="0" w:space="0" w:color="auto"/>
        <w:left w:val="none" w:sz="0" w:space="0" w:color="auto"/>
        <w:bottom w:val="none" w:sz="0" w:space="0" w:color="auto"/>
        <w:right w:val="none" w:sz="0" w:space="0" w:color="auto"/>
      </w:divBdr>
    </w:div>
    <w:div w:id="1412694918">
      <w:bodyDiv w:val="1"/>
      <w:marLeft w:val="0"/>
      <w:marRight w:val="0"/>
      <w:marTop w:val="0"/>
      <w:marBottom w:val="0"/>
      <w:divBdr>
        <w:top w:val="none" w:sz="0" w:space="0" w:color="auto"/>
        <w:left w:val="none" w:sz="0" w:space="0" w:color="auto"/>
        <w:bottom w:val="none" w:sz="0" w:space="0" w:color="auto"/>
        <w:right w:val="none" w:sz="0" w:space="0" w:color="auto"/>
      </w:divBdr>
    </w:div>
    <w:div w:id="1662613428">
      <w:bodyDiv w:val="1"/>
      <w:marLeft w:val="0"/>
      <w:marRight w:val="0"/>
      <w:marTop w:val="0"/>
      <w:marBottom w:val="0"/>
      <w:divBdr>
        <w:top w:val="none" w:sz="0" w:space="0" w:color="auto"/>
        <w:left w:val="none" w:sz="0" w:space="0" w:color="auto"/>
        <w:bottom w:val="none" w:sz="0" w:space="0" w:color="auto"/>
        <w:right w:val="none" w:sz="0" w:space="0" w:color="auto"/>
      </w:divBdr>
      <w:divsChild>
        <w:div w:id="742415400">
          <w:marLeft w:val="0"/>
          <w:marRight w:val="0"/>
          <w:marTop w:val="0"/>
          <w:marBottom w:val="0"/>
          <w:divBdr>
            <w:top w:val="none" w:sz="0" w:space="0" w:color="auto"/>
            <w:left w:val="none" w:sz="0" w:space="0" w:color="auto"/>
            <w:bottom w:val="none" w:sz="0" w:space="0" w:color="auto"/>
            <w:right w:val="none" w:sz="0" w:space="0" w:color="auto"/>
          </w:divBdr>
          <w:divsChild>
            <w:div w:id="208690240">
              <w:marLeft w:val="0"/>
              <w:marRight w:val="0"/>
              <w:marTop w:val="0"/>
              <w:marBottom w:val="0"/>
              <w:divBdr>
                <w:top w:val="none" w:sz="0" w:space="0" w:color="auto"/>
                <w:left w:val="none" w:sz="0" w:space="0" w:color="auto"/>
                <w:bottom w:val="none" w:sz="0" w:space="0" w:color="auto"/>
                <w:right w:val="none" w:sz="0" w:space="0" w:color="auto"/>
              </w:divBdr>
            </w:div>
          </w:divsChild>
        </w:div>
        <w:div w:id="1653175443">
          <w:marLeft w:val="0"/>
          <w:marRight w:val="0"/>
          <w:marTop w:val="0"/>
          <w:marBottom w:val="0"/>
          <w:divBdr>
            <w:top w:val="none" w:sz="0" w:space="0" w:color="auto"/>
            <w:left w:val="none" w:sz="0" w:space="0" w:color="auto"/>
            <w:bottom w:val="none" w:sz="0" w:space="0" w:color="auto"/>
            <w:right w:val="none" w:sz="0" w:space="0" w:color="auto"/>
          </w:divBdr>
          <w:divsChild>
            <w:div w:id="264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6737">
      <w:bodyDiv w:val="1"/>
      <w:marLeft w:val="0"/>
      <w:marRight w:val="0"/>
      <w:marTop w:val="0"/>
      <w:marBottom w:val="0"/>
      <w:divBdr>
        <w:top w:val="none" w:sz="0" w:space="0" w:color="auto"/>
        <w:left w:val="none" w:sz="0" w:space="0" w:color="auto"/>
        <w:bottom w:val="none" w:sz="0" w:space="0" w:color="auto"/>
        <w:right w:val="none" w:sz="0" w:space="0" w:color="auto"/>
      </w:divBdr>
    </w:div>
    <w:div w:id="1719863376">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k.practicallaw.thomsonreuters.com/6-107-6562?originationContext=document&amp;transitionType=DocumentItem&amp;contextData=(sc.Default)&amp;ppcid=76c753313e764c9ab46ba1e4347ea1f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k.practicallaw.thomsonreuters.com/0-502-7023?originationContext=document&amp;transitionType=DocumentItem&amp;contextData=(sc.Default)&amp;ppcid=76c753313e764c9ab46ba1e4347ea1f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egislation.gov.uk/ukpga/2020/12/contents/enacted"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k.practicallaw.thomsonreuters.com/6-503-3605?originationContext=document&amp;transitionType=DocumentItem&amp;contextData=(sc.Default)&amp;ppcid=76c753313e764c9ab46ba1e4347ea1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12</Pages>
  <Words>4275</Words>
  <Characters>24373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Aaron Yuen</cp:lastModifiedBy>
  <cp:revision>23</cp:revision>
  <cp:lastPrinted>2020-06-12T02:43:00Z</cp:lastPrinted>
  <dcterms:created xsi:type="dcterms:W3CDTF">2021-11-13T08:37:00Z</dcterms:created>
  <dcterms:modified xsi:type="dcterms:W3CDTF">2021-11-14T09:42:00Z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