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E34856" w:rsidRDefault="00C60631" w:rsidP="009D510C">
      <w:pPr>
        <w:pStyle w:val="ListParagraph"/>
        <w:numPr>
          <w:ilvl w:val="0"/>
          <w:numId w:val="12"/>
        </w:numPr>
        <w:ind w:left="426"/>
        <w:jc w:val="both"/>
        <w:rPr>
          <w:rFonts w:ascii="Arial" w:hAnsi="Arial" w:cs="Arial"/>
          <w:sz w:val="22"/>
          <w:szCs w:val="22"/>
          <w:highlight w:val="yellow"/>
          <w:lang w:val="en-GB"/>
        </w:rPr>
      </w:pPr>
      <w:r w:rsidRPr="00E34856">
        <w:rPr>
          <w:rFonts w:ascii="Arial" w:hAnsi="Arial" w:cs="Arial"/>
          <w:sz w:val="22"/>
          <w:szCs w:val="22"/>
          <w:highlight w:val="yellow"/>
          <w:lang w:val="en-GB"/>
        </w:rPr>
        <w:t xml:space="preserve">This statement is incorrect since </w:t>
      </w:r>
      <w:r w:rsidR="00E7793C" w:rsidRPr="00E34856">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1A09C1" w:rsidRDefault="00AE027F" w:rsidP="009D510C">
      <w:pPr>
        <w:pStyle w:val="ListParagraph"/>
        <w:numPr>
          <w:ilvl w:val="0"/>
          <w:numId w:val="13"/>
        </w:numPr>
        <w:jc w:val="both"/>
        <w:rPr>
          <w:rFonts w:ascii="Arial" w:hAnsi="Arial" w:cs="Arial"/>
          <w:sz w:val="22"/>
          <w:szCs w:val="22"/>
          <w:highlight w:val="yellow"/>
          <w:lang w:val="en-GB"/>
        </w:rPr>
      </w:pPr>
      <w:r w:rsidRPr="001A09C1">
        <w:rPr>
          <w:rFonts w:ascii="Arial" w:hAnsi="Arial" w:cs="Arial"/>
          <w:sz w:val="22"/>
          <w:szCs w:val="22"/>
          <w:highlight w:val="yellow"/>
          <w:lang w:val="en-GB"/>
        </w:rPr>
        <w:t>The statement i</w:t>
      </w:r>
      <w:r w:rsidR="006E77B0" w:rsidRPr="001A09C1">
        <w:rPr>
          <w:rFonts w:ascii="Arial" w:hAnsi="Arial" w:cs="Arial"/>
          <w:sz w:val="22"/>
          <w:szCs w:val="22"/>
          <w:highlight w:val="yellow"/>
          <w:lang w:val="en-GB"/>
        </w:rPr>
        <w:t>s incorrect since the UK did re</w:t>
      </w:r>
      <w:r w:rsidRPr="001A09C1">
        <w:rPr>
          <w:rFonts w:ascii="Arial" w:hAnsi="Arial" w:cs="Arial"/>
          <w:sz w:val="22"/>
          <w:szCs w:val="22"/>
          <w:highlight w:val="yellow"/>
          <w:lang w:val="en-GB"/>
        </w:rPr>
        <w:t>v</w:t>
      </w:r>
      <w:r w:rsidR="006E77B0" w:rsidRPr="001A09C1">
        <w:rPr>
          <w:rFonts w:ascii="Arial" w:hAnsi="Arial" w:cs="Arial"/>
          <w:sz w:val="22"/>
          <w:szCs w:val="22"/>
          <w:highlight w:val="yellow"/>
          <w:lang w:val="en-GB"/>
        </w:rPr>
        <w:t>i</w:t>
      </w:r>
      <w:r w:rsidRPr="001A09C1">
        <w:rPr>
          <w:rFonts w:ascii="Arial" w:hAnsi="Arial" w:cs="Arial"/>
          <w:sz w:val="22"/>
          <w:szCs w:val="22"/>
          <w:highlight w:val="yellow"/>
          <w:lang w:val="en-GB"/>
        </w:rPr>
        <w:t>ew parts of its insolvency rules and amended some, among</w:t>
      </w:r>
      <w:r w:rsidR="006E77B0" w:rsidRPr="001A09C1">
        <w:rPr>
          <w:rFonts w:ascii="Arial" w:hAnsi="Arial" w:cs="Arial"/>
          <w:sz w:val="22"/>
          <w:szCs w:val="22"/>
          <w:highlight w:val="yellow"/>
          <w:lang w:val="en-GB"/>
        </w:rPr>
        <w:t>s</w:t>
      </w:r>
      <w:r w:rsidRPr="001A09C1">
        <w:rPr>
          <w:rFonts w:ascii="Arial" w:hAnsi="Arial" w:cs="Arial"/>
          <w:sz w:val="22"/>
          <w:szCs w:val="22"/>
          <w:highlight w:val="yellow"/>
          <w:lang w:val="en-GB"/>
        </w:rPr>
        <w:t>t other</w:t>
      </w:r>
      <w:r w:rsidR="00F96AF1" w:rsidRPr="001A09C1">
        <w:rPr>
          <w:rFonts w:ascii="Arial" w:hAnsi="Arial" w:cs="Arial"/>
          <w:sz w:val="22"/>
          <w:szCs w:val="22"/>
          <w:highlight w:val="yellow"/>
          <w:lang w:val="en-GB"/>
        </w:rPr>
        <w:t xml:space="preserve"> things</w:t>
      </w:r>
      <w:r w:rsidRPr="001A09C1">
        <w:rPr>
          <w:rFonts w:ascii="Arial" w:hAnsi="Arial" w:cs="Arial"/>
          <w:sz w:val="22"/>
          <w:szCs w:val="22"/>
          <w:highlight w:val="yellow"/>
          <w:lang w:val="en-GB"/>
        </w:rPr>
        <w:t>, to deal with the negative economic fall out of the pandemic.</w:t>
      </w:r>
      <w:r w:rsidR="00100A77" w:rsidRPr="001A09C1">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9002AC" w:rsidRDefault="00B54F90" w:rsidP="009D510C">
      <w:pPr>
        <w:pStyle w:val="ListParagraph"/>
        <w:numPr>
          <w:ilvl w:val="0"/>
          <w:numId w:val="14"/>
        </w:numPr>
        <w:ind w:left="426"/>
        <w:jc w:val="both"/>
        <w:rPr>
          <w:rFonts w:ascii="Arial" w:hAnsi="Arial" w:cs="Arial"/>
          <w:sz w:val="22"/>
          <w:szCs w:val="22"/>
          <w:highlight w:val="yellow"/>
          <w:lang w:val="en-GB"/>
        </w:rPr>
      </w:pPr>
      <w:r w:rsidRPr="009002AC">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9002AC">
        <w:rPr>
          <w:rFonts w:ascii="Arial" w:hAnsi="Arial" w:cs="Arial"/>
          <w:sz w:val="22"/>
          <w:szCs w:val="22"/>
          <w:highlight w:val="yellow"/>
          <w:lang w:val="en-GB"/>
        </w:rPr>
        <w:t xml:space="preserve">on </w:t>
      </w:r>
      <w:r w:rsidRPr="009002AC">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5C94A692" w:rsidR="006E1CB0" w:rsidRPr="009002AC" w:rsidRDefault="006E1CB0" w:rsidP="009002A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9002AC">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5F4A52" w:rsidRDefault="00926D10" w:rsidP="009D510C">
      <w:pPr>
        <w:pStyle w:val="ListParagraph"/>
        <w:numPr>
          <w:ilvl w:val="0"/>
          <w:numId w:val="5"/>
        </w:numPr>
        <w:ind w:left="426"/>
        <w:jc w:val="both"/>
        <w:rPr>
          <w:rFonts w:ascii="Arial" w:hAnsi="Arial" w:cs="Arial"/>
          <w:sz w:val="22"/>
          <w:szCs w:val="22"/>
          <w:highlight w:val="yellow"/>
          <w:lang w:val="en-GB"/>
        </w:rPr>
      </w:pPr>
      <w:r w:rsidRPr="005F4A52">
        <w:rPr>
          <w:rFonts w:ascii="Arial" w:hAnsi="Arial" w:cs="Arial"/>
          <w:sz w:val="22"/>
          <w:szCs w:val="22"/>
          <w:highlight w:val="yellow"/>
          <w:lang w:val="en-GB"/>
        </w:rPr>
        <w:t xml:space="preserve">The statement is </w:t>
      </w:r>
      <w:r w:rsidR="006E1CB0" w:rsidRPr="005F4A52">
        <w:rPr>
          <w:rFonts w:ascii="Arial" w:hAnsi="Arial" w:cs="Arial"/>
          <w:sz w:val="22"/>
          <w:szCs w:val="22"/>
          <w:highlight w:val="yellow"/>
          <w:lang w:val="en-GB"/>
        </w:rPr>
        <w:t xml:space="preserve">not </w:t>
      </w:r>
      <w:r w:rsidRPr="005F4A52">
        <w:rPr>
          <w:rFonts w:ascii="Arial" w:hAnsi="Arial" w:cs="Arial"/>
          <w:sz w:val="22"/>
          <w:szCs w:val="22"/>
          <w:highlight w:val="yellow"/>
          <w:lang w:val="en-GB"/>
        </w:rPr>
        <w:t xml:space="preserve">correct </w:t>
      </w:r>
      <w:r w:rsidR="007958F0" w:rsidRPr="005F4A52">
        <w:rPr>
          <w:rFonts w:ascii="Arial" w:hAnsi="Arial" w:cs="Arial"/>
          <w:sz w:val="22"/>
          <w:szCs w:val="22"/>
          <w:highlight w:val="yellow"/>
          <w:lang w:val="en-GB"/>
        </w:rPr>
        <w:t>because</w:t>
      </w:r>
      <w:r w:rsidRPr="005F4A52">
        <w:rPr>
          <w:rFonts w:ascii="Arial" w:hAnsi="Arial" w:cs="Arial"/>
          <w:sz w:val="22"/>
          <w:szCs w:val="22"/>
          <w:highlight w:val="yellow"/>
          <w:lang w:val="en-GB"/>
        </w:rPr>
        <w:t xml:space="preserve"> very few </w:t>
      </w:r>
      <w:r w:rsidR="007958F0" w:rsidRPr="005F4A52">
        <w:rPr>
          <w:rFonts w:ascii="Arial" w:hAnsi="Arial" w:cs="Arial"/>
          <w:sz w:val="22"/>
          <w:szCs w:val="22"/>
          <w:highlight w:val="yellow"/>
          <w:lang w:val="en-GB"/>
        </w:rPr>
        <w:t>States</w:t>
      </w:r>
      <w:r w:rsidRPr="005F4A52">
        <w:rPr>
          <w:rFonts w:ascii="Arial" w:hAnsi="Arial" w:cs="Arial"/>
          <w:sz w:val="22"/>
          <w:szCs w:val="22"/>
          <w:highlight w:val="yellow"/>
          <w:lang w:val="en-GB"/>
        </w:rPr>
        <w:t xml:space="preserve"> allow insolvent estate representatives to deal with assets of a foreign debtor situated in </w:t>
      </w:r>
      <w:r w:rsidR="005936B3" w:rsidRPr="005F4A52">
        <w:rPr>
          <w:rFonts w:ascii="Arial" w:hAnsi="Arial" w:cs="Arial"/>
          <w:sz w:val="22"/>
          <w:szCs w:val="22"/>
          <w:highlight w:val="yellow"/>
          <w:lang w:val="en-GB"/>
        </w:rPr>
        <w:t>their own</w:t>
      </w:r>
      <w:r w:rsidRPr="005F4A52">
        <w:rPr>
          <w:rFonts w:ascii="Arial" w:hAnsi="Arial" w:cs="Arial"/>
          <w:sz w:val="22"/>
          <w:szCs w:val="22"/>
          <w:highlight w:val="yellow"/>
          <w:lang w:val="en-GB"/>
        </w:rPr>
        <w:t xml:space="preserve"> jurisdiction without </w:t>
      </w:r>
      <w:r w:rsidR="006E1CB0" w:rsidRPr="005F4A52">
        <w:rPr>
          <w:rFonts w:ascii="Arial" w:hAnsi="Arial" w:cs="Arial"/>
          <w:sz w:val="22"/>
          <w:szCs w:val="22"/>
          <w:highlight w:val="yellow"/>
          <w:lang w:val="en-GB"/>
        </w:rPr>
        <w:t xml:space="preserve">some form of </w:t>
      </w:r>
      <w:r w:rsidR="0090037B" w:rsidRPr="005F4A52">
        <w:rPr>
          <w:rFonts w:ascii="Arial" w:hAnsi="Arial" w:cs="Arial"/>
          <w:sz w:val="22"/>
          <w:szCs w:val="22"/>
          <w:highlight w:val="yellow"/>
          <w:lang w:val="en-GB"/>
        </w:rPr>
        <w:t xml:space="preserve">a </w:t>
      </w:r>
      <w:r w:rsidR="006E1CB0" w:rsidRPr="005F4A52">
        <w:rPr>
          <w:rFonts w:ascii="Arial" w:hAnsi="Arial" w:cs="Arial"/>
          <w:sz w:val="22"/>
          <w:szCs w:val="22"/>
          <w:highlight w:val="yellow"/>
          <w:lang w:val="en-GB"/>
        </w:rPr>
        <w:t>(</w:t>
      </w:r>
      <w:r w:rsidR="0090037B" w:rsidRPr="005F4A52">
        <w:rPr>
          <w:rFonts w:ascii="Arial" w:hAnsi="Arial" w:cs="Arial"/>
          <w:sz w:val="22"/>
          <w:szCs w:val="22"/>
          <w:highlight w:val="yellow"/>
          <w:lang w:val="en-GB"/>
        </w:rPr>
        <w:t>prior</w:t>
      </w:r>
      <w:r w:rsidR="006E1CB0" w:rsidRPr="005F4A52">
        <w:rPr>
          <w:rFonts w:ascii="Arial" w:hAnsi="Arial" w:cs="Arial"/>
          <w:sz w:val="22"/>
          <w:szCs w:val="22"/>
          <w:highlight w:val="yellow"/>
          <w:lang w:val="en-GB"/>
        </w:rPr>
        <w:t>)</w:t>
      </w:r>
      <w:r w:rsidRPr="005F4A52">
        <w:rPr>
          <w:rFonts w:ascii="Arial" w:hAnsi="Arial" w:cs="Arial"/>
          <w:sz w:val="22"/>
          <w:szCs w:val="22"/>
          <w:highlight w:val="yellow"/>
          <w:lang w:val="en-GB"/>
        </w:rPr>
        <w:t xml:space="preserve"> local procedure </w:t>
      </w:r>
      <w:r w:rsidR="005936B3" w:rsidRPr="005F4A52">
        <w:rPr>
          <w:rFonts w:ascii="Arial" w:hAnsi="Arial" w:cs="Arial"/>
          <w:sz w:val="22"/>
          <w:szCs w:val="22"/>
          <w:highlight w:val="yellow"/>
          <w:lang w:val="en-GB"/>
        </w:rPr>
        <w:t xml:space="preserve">to </w:t>
      </w:r>
      <w:r w:rsidRPr="005F4A52">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9C5532" w:rsidRDefault="000329A6" w:rsidP="00C570AC">
      <w:pPr>
        <w:pStyle w:val="ListParagraph"/>
        <w:numPr>
          <w:ilvl w:val="0"/>
          <w:numId w:val="6"/>
        </w:numPr>
        <w:ind w:left="426"/>
        <w:jc w:val="both"/>
        <w:rPr>
          <w:rFonts w:ascii="Arial" w:hAnsi="Arial" w:cs="Arial"/>
          <w:sz w:val="22"/>
          <w:szCs w:val="22"/>
          <w:highlight w:val="yellow"/>
          <w:lang w:val="en-GB"/>
        </w:rPr>
      </w:pPr>
      <w:r w:rsidRPr="009C5532">
        <w:rPr>
          <w:rFonts w:ascii="Arial" w:eastAsiaTheme="minorHAnsi" w:hAnsi="Arial" w:cs="Arial"/>
          <w:sz w:val="22"/>
          <w:szCs w:val="22"/>
          <w:highlight w:val="yellow"/>
          <w:lang w:val="en-GB"/>
        </w:rPr>
        <w:t xml:space="preserve">They were recently revised in 2021 and, together with the </w:t>
      </w:r>
      <w:r w:rsidRPr="009C5532">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9C5532"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9C5532">
        <w:rPr>
          <w:rFonts w:ascii="Arial" w:eastAsiaTheme="minorHAnsi" w:hAnsi="Arial" w:cs="Arial"/>
          <w:sz w:val="22"/>
          <w:szCs w:val="22"/>
          <w:highlight w:val="yellow"/>
          <w:lang w:val="en-GB"/>
        </w:rPr>
        <w:t xml:space="preserve">The Nordic Convention </w:t>
      </w:r>
      <w:r w:rsidR="00076483" w:rsidRPr="009C5532">
        <w:rPr>
          <w:rFonts w:ascii="Arial" w:eastAsiaTheme="minorHAnsi" w:hAnsi="Arial" w:cs="Arial"/>
          <w:sz w:val="22"/>
          <w:szCs w:val="22"/>
          <w:highlight w:val="yellow"/>
          <w:lang w:val="en-GB"/>
        </w:rPr>
        <w:t>1933</w:t>
      </w:r>
      <w:r w:rsidR="00966E44" w:rsidRPr="009C5532">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0D295A" w:rsidRDefault="00124B70" w:rsidP="00275182">
      <w:pPr>
        <w:pStyle w:val="ListParagraph"/>
        <w:numPr>
          <w:ilvl w:val="0"/>
          <w:numId w:val="8"/>
        </w:numPr>
        <w:ind w:left="426"/>
        <w:jc w:val="both"/>
        <w:rPr>
          <w:rFonts w:ascii="Arial" w:hAnsi="Arial" w:cs="Arial"/>
          <w:sz w:val="22"/>
          <w:szCs w:val="22"/>
          <w:highlight w:val="yellow"/>
          <w:lang w:val="en-GB"/>
        </w:rPr>
      </w:pPr>
      <w:r w:rsidRPr="000D295A">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9046DA" w:rsidRDefault="00E86549" w:rsidP="00275182">
      <w:pPr>
        <w:pStyle w:val="ListParagraph"/>
        <w:numPr>
          <w:ilvl w:val="0"/>
          <w:numId w:val="9"/>
        </w:numPr>
        <w:ind w:left="426"/>
        <w:jc w:val="both"/>
        <w:rPr>
          <w:rFonts w:ascii="Arial" w:hAnsi="Arial" w:cs="Arial"/>
          <w:bCs/>
          <w:sz w:val="22"/>
          <w:szCs w:val="22"/>
          <w:highlight w:val="yellow"/>
          <w:lang w:val="en-GB"/>
        </w:rPr>
      </w:pPr>
      <w:r w:rsidRPr="009046DA">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9046DA">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9046DA" w:rsidRDefault="00911C23" w:rsidP="00275182">
      <w:pPr>
        <w:pStyle w:val="ListParagraph"/>
        <w:numPr>
          <w:ilvl w:val="0"/>
          <w:numId w:val="10"/>
        </w:numPr>
        <w:ind w:left="426"/>
        <w:jc w:val="both"/>
        <w:rPr>
          <w:rFonts w:ascii="Arial" w:hAnsi="Arial" w:cs="Arial"/>
          <w:sz w:val="22"/>
          <w:szCs w:val="22"/>
          <w:highlight w:val="yellow"/>
          <w:lang w:val="en-GB"/>
        </w:rPr>
      </w:pPr>
      <w:r w:rsidRPr="009046DA">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481388A9" w14:textId="7E92915E" w:rsidR="0055633F" w:rsidRDefault="00DD53D1" w:rsidP="00CB396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Bankruptcy Act 1542 </w:t>
      </w:r>
      <w:r w:rsidR="002B48DB">
        <w:rPr>
          <w:rFonts w:ascii="Arial" w:hAnsi="Arial" w:cs="Arial"/>
          <w:color w:val="7B7B7B" w:themeColor="accent3" w:themeShade="BF"/>
          <w:sz w:val="22"/>
          <w:szCs w:val="22"/>
          <w:lang w:val="en-GB"/>
        </w:rPr>
        <w:t xml:space="preserve">applied to dishonest and absconding trading debtors. It </w:t>
      </w:r>
      <w:r w:rsidR="00105CA6">
        <w:rPr>
          <w:rFonts w:ascii="Arial" w:hAnsi="Arial" w:cs="Arial"/>
          <w:color w:val="7B7B7B" w:themeColor="accent3" w:themeShade="BF"/>
          <w:sz w:val="22"/>
          <w:szCs w:val="22"/>
          <w:lang w:val="en-GB"/>
        </w:rPr>
        <w:t xml:space="preserve">provided </w:t>
      </w:r>
      <w:r w:rsidR="002B48DB">
        <w:rPr>
          <w:rFonts w:ascii="Arial" w:hAnsi="Arial" w:cs="Arial"/>
          <w:color w:val="7B7B7B" w:themeColor="accent3" w:themeShade="BF"/>
          <w:sz w:val="22"/>
          <w:szCs w:val="22"/>
          <w:lang w:val="en-GB"/>
        </w:rPr>
        <w:t>that</w:t>
      </w:r>
      <w:r w:rsidR="00CB3968">
        <w:rPr>
          <w:rFonts w:ascii="Arial" w:hAnsi="Arial" w:cs="Arial"/>
          <w:color w:val="7B7B7B" w:themeColor="accent3" w:themeShade="BF"/>
          <w:sz w:val="22"/>
          <w:szCs w:val="22"/>
          <w:lang w:val="en-GB"/>
        </w:rPr>
        <w:t xml:space="preserve"> a </w:t>
      </w:r>
      <w:r w:rsidR="002B48DB">
        <w:rPr>
          <w:rFonts w:ascii="Arial" w:hAnsi="Arial" w:cs="Arial"/>
          <w:color w:val="7B7B7B" w:themeColor="accent3" w:themeShade="BF"/>
          <w:sz w:val="22"/>
          <w:szCs w:val="22"/>
          <w:lang w:val="en-GB"/>
        </w:rPr>
        <w:t xml:space="preserve">body of commissioners, upon application of creditors, could </w:t>
      </w:r>
      <w:r w:rsidR="00CB3968">
        <w:rPr>
          <w:rFonts w:ascii="Arial" w:hAnsi="Arial" w:cs="Arial"/>
          <w:color w:val="7B7B7B" w:themeColor="accent3" w:themeShade="BF"/>
          <w:sz w:val="22"/>
          <w:szCs w:val="22"/>
          <w:lang w:val="en-GB"/>
        </w:rPr>
        <w:t>sequest</w:t>
      </w:r>
      <w:r w:rsidR="0055633F">
        <w:rPr>
          <w:rFonts w:ascii="Arial" w:hAnsi="Arial" w:cs="Arial"/>
          <w:color w:val="7B7B7B" w:themeColor="accent3" w:themeShade="BF"/>
          <w:sz w:val="22"/>
          <w:szCs w:val="22"/>
          <w:lang w:val="en-GB"/>
        </w:rPr>
        <w:t>rate</w:t>
      </w:r>
      <w:r w:rsidR="00CB3968">
        <w:rPr>
          <w:rFonts w:ascii="Arial" w:hAnsi="Arial" w:cs="Arial"/>
          <w:color w:val="7B7B7B" w:themeColor="accent3" w:themeShade="BF"/>
          <w:sz w:val="22"/>
          <w:szCs w:val="22"/>
          <w:lang w:val="en-GB"/>
        </w:rPr>
        <w:t xml:space="preserve"> or take legal possession of such debtors’ property</w:t>
      </w:r>
      <w:r w:rsidR="002B48DB">
        <w:rPr>
          <w:rFonts w:ascii="Arial" w:hAnsi="Arial" w:cs="Arial"/>
          <w:color w:val="7B7B7B" w:themeColor="accent3" w:themeShade="BF"/>
          <w:sz w:val="22"/>
          <w:szCs w:val="22"/>
          <w:lang w:val="en-GB"/>
        </w:rPr>
        <w:t xml:space="preserve">, including personal and real property, and sell the </w:t>
      </w:r>
      <w:r w:rsidR="00CB3968">
        <w:rPr>
          <w:rFonts w:ascii="Arial" w:hAnsi="Arial" w:cs="Arial"/>
          <w:color w:val="7B7B7B" w:themeColor="accent3" w:themeShade="BF"/>
          <w:sz w:val="22"/>
          <w:szCs w:val="22"/>
          <w:lang w:val="en-GB"/>
        </w:rPr>
        <w:t xml:space="preserve">same </w:t>
      </w:r>
      <w:r w:rsidR="00782D73">
        <w:rPr>
          <w:rFonts w:ascii="Arial" w:hAnsi="Arial" w:cs="Arial"/>
          <w:color w:val="7B7B7B" w:themeColor="accent3" w:themeShade="BF"/>
          <w:sz w:val="22"/>
          <w:szCs w:val="22"/>
          <w:lang w:val="en-GB"/>
        </w:rPr>
        <w:t xml:space="preserve">to distribute the proceeds to </w:t>
      </w:r>
      <w:r w:rsidR="0055633F">
        <w:rPr>
          <w:rFonts w:ascii="Arial" w:hAnsi="Arial" w:cs="Arial"/>
          <w:color w:val="7B7B7B" w:themeColor="accent3" w:themeShade="BF"/>
          <w:sz w:val="22"/>
          <w:szCs w:val="22"/>
          <w:lang w:val="en-GB"/>
        </w:rPr>
        <w:t xml:space="preserve">the creditors </w:t>
      </w:r>
      <w:r w:rsidR="00782D73">
        <w:rPr>
          <w:rFonts w:ascii="Arial" w:hAnsi="Arial" w:cs="Arial"/>
          <w:color w:val="7B7B7B" w:themeColor="accent3" w:themeShade="BF"/>
          <w:sz w:val="22"/>
          <w:szCs w:val="22"/>
          <w:lang w:val="en-GB"/>
        </w:rPr>
        <w:t>in proportion to the</w:t>
      </w:r>
      <w:r w:rsidR="00323DA3">
        <w:rPr>
          <w:rFonts w:ascii="Arial" w:hAnsi="Arial" w:cs="Arial"/>
          <w:color w:val="7B7B7B" w:themeColor="accent3" w:themeShade="BF"/>
          <w:sz w:val="22"/>
          <w:szCs w:val="22"/>
          <w:lang w:val="en-GB"/>
        </w:rPr>
        <w:t>ir</w:t>
      </w:r>
      <w:r w:rsidR="00782D73">
        <w:rPr>
          <w:rFonts w:ascii="Arial" w:hAnsi="Arial" w:cs="Arial"/>
          <w:color w:val="7B7B7B" w:themeColor="accent3" w:themeShade="BF"/>
          <w:sz w:val="22"/>
          <w:szCs w:val="22"/>
          <w:lang w:val="en-GB"/>
        </w:rPr>
        <w:t xml:space="preserve"> respective</w:t>
      </w:r>
      <w:r w:rsidR="00323DA3">
        <w:rPr>
          <w:rFonts w:ascii="Arial" w:hAnsi="Arial" w:cs="Arial"/>
          <w:color w:val="7B7B7B" w:themeColor="accent3" w:themeShade="BF"/>
          <w:sz w:val="22"/>
          <w:szCs w:val="22"/>
          <w:lang w:val="en-GB"/>
        </w:rPr>
        <w:t xml:space="preserve"> claims</w:t>
      </w:r>
      <w:r w:rsidR="0055633F">
        <w:rPr>
          <w:rFonts w:ascii="Arial" w:hAnsi="Arial" w:cs="Arial"/>
          <w:color w:val="7B7B7B" w:themeColor="accent3" w:themeShade="BF"/>
          <w:sz w:val="22"/>
          <w:szCs w:val="22"/>
          <w:lang w:val="en-GB"/>
        </w:rPr>
        <w:t xml:space="preserve">. This </w:t>
      </w:r>
      <w:r w:rsidR="00AA650E">
        <w:rPr>
          <w:rFonts w:ascii="Arial" w:hAnsi="Arial" w:cs="Arial"/>
          <w:color w:val="7B7B7B" w:themeColor="accent3" w:themeShade="BF"/>
          <w:sz w:val="22"/>
          <w:szCs w:val="22"/>
          <w:lang w:val="en-GB"/>
        </w:rPr>
        <w:t>would be</w:t>
      </w:r>
      <w:r w:rsidR="0055633F">
        <w:rPr>
          <w:rFonts w:ascii="Arial" w:hAnsi="Arial" w:cs="Arial"/>
          <w:color w:val="7B7B7B" w:themeColor="accent3" w:themeShade="BF"/>
          <w:sz w:val="22"/>
          <w:szCs w:val="22"/>
          <w:lang w:val="en-GB"/>
        </w:rPr>
        <w:t xml:space="preserve"> the basis for </w:t>
      </w:r>
      <w:r w:rsidR="00782D73">
        <w:rPr>
          <w:rFonts w:ascii="Arial" w:hAnsi="Arial" w:cs="Arial"/>
          <w:color w:val="7B7B7B" w:themeColor="accent3" w:themeShade="BF"/>
          <w:sz w:val="22"/>
          <w:szCs w:val="22"/>
          <w:lang w:val="en-GB"/>
        </w:rPr>
        <w:t>collective participation</w:t>
      </w:r>
      <w:r w:rsidR="0055633F">
        <w:rPr>
          <w:rFonts w:ascii="Arial" w:hAnsi="Arial" w:cs="Arial"/>
          <w:color w:val="7B7B7B" w:themeColor="accent3" w:themeShade="BF"/>
          <w:sz w:val="22"/>
          <w:szCs w:val="22"/>
          <w:lang w:val="en-GB"/>
        </w:rPr>
        <w:t xml:space="preserve"> by creditors and distribution of assets on </w:t>
      </w:r>
      <w:proofErr w:type="spellStart"/>
      <w:r w:rsidR="0055633F">
        <w:rPr>
          <w:rFonts w:ascii="Arial" w:hAnsi="Arial" w:cs="Arial"/>
          <w:color w:val="7B7B7B" w:themeColor="accent3" w:themeShade="BF"/>
          <w:sz w:val="22"/>
          <w:szCs w:val="22"/>
          <w:lang w:val="en-GB"/>
        </w:rPr>
        <w:t>pari</w:t>
      </w:r>
      <w:proofErr w:type="spellEnd"/>
      <w:r w:rsidR="0055633F">
        <w:rPr>
          <w:rFonts w:ascii="Arial" w:hAnsi="Arial" w:cs="Arial"/>
          <w:color w:val="7B7B7B" w:themeColor="accent3" w:themeShade="BF"/>
          <w:sz w:val="22"/>
          <w:szCs w:val="22"/>
          <w:lang w:val="en-GB"/>
        </w:rPr>
        <w:t xml:space="preserve"> </w:t>
      </w:r>
      <w:proofErr w:type="spellStart"/>
      <w:r w:rsidR="0055633F">
        <w:rPr>
          <w:rFonts w:ascii="Arial" w:hAnsi="Arial" w:cs="Arial"/>
          <w:color w:val="7B7B7B" w:themeColor="accent3" w:themeShade="BF"/>
          <w:sz w:val="22"/>
          <w:szCs w:val="22"/>
          <w:lang w:val="en-GB"/>
        </w:rPr>
        <w:t>passu</w:t>
      </w:r>
      <w:proofErr w:type="spellEnd"/>
      <w:r w:rsidR="0055633F">
        <w:rPr>
          <w:rFonts w:ascii="Arial" w:hAnsi="Arial" w:cs="Arial"/>
          <w:color w:val="7B7B7B" w:themeColor="accent3" w:themeShade="BF"/>
          <w:sz w:val="22"/>
          <w:szCs w:val="22"/>
          <w:lang w:val="en-GB"/>
        </w:rPr>
        <w:t xml:space="preserve"> basis in modern insolvency law.</w:t>
      </w:r>
      <w:r w:rsidR="00104690">
        <w:rPr>
          <w:rStyle w:val="FootnoteReference"/>
          <w:rFonts w:ascii="Arial" w:hAnsi="Arial" w:cs="Arial"/>
          <w:color w:val="7B7B7B" w:themeColor="accent3" w:themeShade="BF"/>
          <w:sz w:val="22"/>
          <w:szCs w:val="22"/>
          <w:lang w:val="en-GB"/>
        </w:rPr>
        <w:footnoteReference w:id="1"/>
      </w:r>
    </w:p>
    <w:p w14:paraId="57F6524C" w14:textId="1FC00354" w:rsidR="00782D73" w:rsidRDefault="00782D73" w:rsidP="00CB3968">
      <w:pPr>
        <w:jc w:val="both"/>
        <w:rPr>
          <w:rFonts w:ascii="Arial" w:hAnsi="Arial" w:cs="Arial"/>
          <w:color w:val="7B7B7B" w:themeColor="accent3" w:themeShade="BF"/>
          <w:sz w:val="22"/>
          <w:szCs w:val="22"/>
          <w:lang w:val="en-GB"/>
        </w:rPr>
      </w:pPr>
    </w:p>
    <w:p w14:paraId="5B170CFD" w14:textId="4CAE4B61" w:rsidR="00307125" w:rsidRDefault="00782D73" w:rsidP="00CB396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of Elizabeth in 1570 provided </w:t>
      </w:r>
      <w:r w:rsidR="00D33303">
        <w:rPr>
          <w:rFonts w:ascii="Arial" w:hAnsi="Arial" w:cs="Arial"/>
          <w:color w:val="7B7B7B" w:themeColor="accent3" w:themeShade="BF"/>
          <w:sz w:val="22"/>
          <w:szCs w:val="22"/>
          <w:lang w:val="en-GB"/>
        </w:rPr>
        <w:t xml:space="preserve">for additional acts of bankruptcy and that bankruptcy proceedings could be opened by creditors upon </w:t>
      </w:r>
      <w:r w:rsidR="00307125">
        <w:rPr>
          <w:rFonts w:ascii="Arial" w:hAnsi="Arial" w:cs="Arial"/>
          <w:color w:val="7B7B7B" w:themeColor="accent3" w:themeShade="BF"/>
          <w:sz w:val="22"/>
          <w:szCs w:val="22"/>
          <w:lang w:val="en-GB"/>
        </w:rPr>
        <w:t>such an</w:t>
      </w:r>
      <w:r w:rsidR="00D33303">
        <w:rPr>
          <w:rFonts w:ascii="Arial" w:hAnsi="Arial" w:cs="Arial"/>
          <w:color w:val="7B7B7B" w:themeColor="accent3" w:themeShade="BF"/>
          <w:sz w:val="22"/>
          <w:szCs w:val="22"/>
          <w:lang w:val="en-GB"/>
        </w:rPr>
        <w:t xml:space="preserve"> ‘act of bankruptcy’ by the debtor. </w:t>
      </w:r>
      <w:r w:rsidR="002626CC">
        <w:rPr>
          <w:rFonts w:ascii="Arial" w:hAnsi="Arial" w:cs="Arial"/>
          <w:color w:val="7B7B7B" w:themeColor="accent3" w:themeShade="BF"/>
          <w:sz w:val="22"/>
          <w:szCs w:val="22"/>
          <w:lang w:val="en-GB"/>
        </w:rPr>
        <w:t xml:space="preserve">This </w:t>
      </w:r>
      <w:r w:rsidR="003C628E">
        <w:rPr>
          <w:rFonts w:ascii="Arial" w:hAnsi="Arial" w:cs="Arial"/>
          <w:color w:val="7B7B7B" w:themeColor="accent3" w:themeShade="BF"/>
          <w:sz w:val="22"/>
          <w:szCs w:val="22"/>
          <w:lang w:val="en-GB"/>
        </w:rPr>
        <w:t xml:space="preserve">has effect on modern insolvency law in terms of the doctrine of relation back of the bankruptcy </w:t>
      </w:r>
      <w:r w:rsidR="00E01F85">
        <w:rPr>
          <w:rFonts w:ascii="Arial" w:hAnsi="Arial" w:cs="Arial"/>
          <w:color w:val="7B7B7B" w:themeColor="accent3" w:themeShade="BF"/>
          <w:sz w:val="22"/>
          <w:szCs w:val="22"/>
          <w:lang w:val="en-GB"/>
        </w:rPr>
        <w:t xml:space="preserve">of the debtor </w:t>
      </w:r>
      <w:r w:rsidR="003C628E">
        <w:rPr>
          <w:rFonts w:ascii="Arial" w:hAnsi="Arial" w:cs="Arial"/>
          <w:color w:val="7B7B7B" w:themeColor="accent3" w:themeShade="BF"/>
          <w:sz w:val="22"/>
          <w:szCs w:val="22"/>
          <w:lang w:val="en-GB"/>
        </w:rPr>
        <w:t xml:space="preserve">to the act of bankruptcy, and the validity of dealings </w:t>
      </w:r>
      <w:r w:rsidR="00E01F85">
        <w:rPr>
          <w:rFonts w:ascii="Arial" w:hAnsi="Arial" w:cs="Arial"/>
          <w:color w:val="7B7B7B" w:themeColor="accent3" w:themeShade="BF"/>
          <w:sz w:val="22"/>
          <w:szCs w:val="22"/>
          <w:lang w:val="en-GB"/>
        </w:rPr>
        <w:t>by the debtor after the act of bankruptcy has occurred</w:t>
      </w:r>
      <w:r w:rsidR="003C628E">
        <w:rPr>
          <w:rFonts w:ascii="Arial" w:hAnsi="Arial" w:cs="Arial"/>
          <w:color w:val="7B7B7B" w:themeColor="accent3" w:themeShade="BF"/>
          <w:sz w:val="22"/>
          <w:szCs w:val="22"/>
          <w:lang w:val="en-GB"/>
        </w:rPr>
        <w:t>.</w:t>
      </w:r>
    </w:p>
    <w:p w14:paraId="244C7F90" w14:textId="558EA779" w:rsidR="00782D73" w:rsidRDefault="00AA650E" w:rsidP="00CB396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w:t>
      </w:r>
      <w:r w:rsidR="003C628E">
        <w:rPr>
          <w:rFonts w:ascii="Arial" w:hAnsi="Arial" w:cs="Arial"/>
          <w:color w:val="7B7B7B" w:themeColor="accent3" w:themeShade="BF"/>
          <w:sz w:val="22"/>
          <w:szCs w:val="22"/>
          <w:lang w:val="en-GB"/>
        </w:rPr>
        <w:t xml:space="preserve">of Elizabeth also </w:t>
      </w:r>
      <w:r>
        <w:rPr>
          <w:rFonts w:ascii="Arial" w:hAnsi="Arial" w:cs="Arial"/>
          <w:color w:val="7B7B7B" w:themeColor="accent3" w:themeShade="BF"/>
          <w:sz w:val="22"/>
          <w:szCs w:val="22"/>
          <w:lang w:val="en-GB"/>
        </w:rPr>
        <w:t>provided for the Lord Chancellor</w:t>
      </w:r>
      <w:r w:rsidR="008509FD">
        <w:rPr>
          <w:rFonts w:ascii="Arial" w:hAnsi="Arial" w:cs="Arial"/>
          <w:color w:val="7B7B7B" w:themeColor="accent3" w:themeShade="BF"/>
          <w:sz w:val="22"/>
          <w:szCs w:val="22"/>
          <w:lang w:val="en-GB"/>
        </w:rPr>
        <w:t xml:space="preserve">, upon petition by creditors, to appoint bankruptcy commissioners to manage the </w:t>
      </w:r>
      <w:r w:rsidR="007124EC">
        <w:rPr>
          <w:rFonts w:ascii="Arial" w:hAnsi="Arial" w:cs="Arial"/>
          <w:color w:val="7B7B7B" w:themeColor="accent3" w:themeShade="BF"/>
          <w:sz w:val="22"/>
          <w:szCs w:val="22"/>
          <w:lang w:val="en-GB"/>
        </w:rPr>
        <w:t>debtor’s</w:t>
      </w:r>
      <w:r w:rsidR="008509FD">
        <w:rPr>
          <w:rFonts w:ascii="Arial" w:hAnsi="Arial" w:cs="Arial"/>
          <w:color w:val="7B7B7B" w:themeColor="accent3" w:themeShade="BF"/>
          <w:sz w:val="22"/>
          <w:szCs w:val="22"/>
          <w:lang w:val="en-GB"/>
        </w:rPr>
        <w:t xml:space="preserve"> property and affairs. The bankruptcy commissioner</w:t>
      </w:r>
      <w:r w:rsidR="00E01F85">
        <w:rPr>
          <w:rFonts w:ascii="Arial" w:hAnsi="Arial" w:cs="Arial"/>
          <w:color w:val="7B7B7B" w:themeColor="accent3" w:themeShade="BF"/>
          <w:sz w:val="22"/>
          <w:szCs w:val="22"/>
          <w:lang w:val="en-GB"/>
        </w:rPr>
        <w:t>s</w:t>
      </w:r>
      <w:r w:rsidR="008509FD">
        <w:rPr>
          <w:rFonts w:ascii="Arial" w:hAnsi="Arial" w:cs="Arial"/>
          <w:color w:val="7B7B7B" w:themeColor="accent3" w:themeShade="BF"/>
          <w:sz w:val="22"/>
          <w:szCs w:val="22"/>
          <w:lang w:val="en-GB"/>
        </w:rPr>
        <w:t xml:space="preserve"> were empowered to </w:t>
      </w:r>
      <w:r w:rsidR="007124EC">
        <w:rPr>
          <w:rFonts w:ascii="Arial" w:hAnsi="Arial" w:cs="Arial"/>
          <w:color w:val="7B7B7B" w:themeColor="accent3" w:themeShade="BF"/>
          <w:sz w:val="22"/>
          <w:szCs w:val="22"/>
          <w:lang w:val="en-GB"/>
        </w:rPr>
        <w:t xml:space="preserve">receive the debtor’s property and to deal with the same to settle creditors’ claims. Towards this end, the commissioners could examine the debtor’s property and affairs and summon people for questioning. The Lord Chancellor had jurisdiction for supervision over the debtor’s estate. </w:t>
      </w:r>
      <w:r>
        <w:rPr>
          <w:rFonts w:ascii="Arial" w:hAnsi="Arial" w:cs="Arial"/>
          <w:color w:val="7B7B7B" w:themeColor="accent3" w:themeShade="BF"/>
          <w:sz w:val="22"/>
          <w:szCs w:val="22"/>
          <w:lang w:val="en-GB"/>
        </w:rPr>
        <w:t xml:space="preserve"> </w:t>
      </w:r>
    </w:p>
    <w:p w14:paraId="0B5C9168" w14:textId="7942F68E" w:rsidR="00782D73" w:rsidRDefault="00782D73" w:rsidP="00CB3968">
      <w:pPr>
        <w:jc w:val="both"/>
        <w:rPr>
          <w:rFonts w:ascii="Arial" w:hAnsi="Arial" w:cs="Arial"/>
          <w:color w:val="7B7B7B" w:themeColor="accent3" w:themeShade="BF"/>
          <w:sz w:val="22"/>
          <w:szCs w:val="22"/>
          <w:lang w:val="en-GB"/>
        </w:rPr>
      </w:pPr>
    </w:p>
    <w:p w14:paraId="57BCFC30" w14:textId="73174BA3" w:rsidR="009B07AD" w:rsidRPr="00AA650E" w:rsidRDefault="00782D73" w:rsidP="000F04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Statute of Ann of 1705 introduced the notion of a statutory discharge</w:t>
      </w:r>
      <w:r w:rsidR="00323DA3">
        <w:rPr>
          <w:rFonts w:ascii="Arial" w:hAnsi="Arial" w:cs="Arial"/>
          <w:color w:val="7B7B7B" w:themeColor="accent3" w:themeShade="BF"/>
          <w:sz w:val="22"/>
          <w:szCs w:val="22"/>
          <w:lang w:val="en-GB"/>
        </w:rPr>
        <w:t xml:space="preserve">, which </w:t>
      </w:r>
      <w:r w:rsidR="007124EC">
        <w:rPr>
          <w:rFonts w:ascii="Arial" w:hAnsi="Arial" w:cs="Arial"/>
          <w:color w:val="7B7B7B" w:themeColor="accent3" w:themeShade="BF"/>
          <w:sz w:val="22"/>
          <w:szCs w:val="22"/>
          <w:lang w:val="en-GB"/>
        </w:rPr>
        <w:t>remains</w:t>
      </w:r>
      <w:r w:rsidR="00323DA3">
        <w:rPr>
          <w:rFonts w:ascii="Arial" w:hAnsi="Arial" w:cs="Arial"/>
          <w:color w:val="7B7B7B" w:themeColor="accent3" w:themeShade="BF"/>
          <w:sz w:val="22"/>
          <w:szCs w:val="22"/>
          <w:lang w:val="en-GB"/>
        </w:rPr>
        <w:t xml:space="preserve"> a</w:t>
      </w:r>
      <w:r w:rsidR="007124EC">
        <w:rPr>
          <w:rFonts w:ascii="Arial" w:hAnsi="Arial" w:cs="Arial"/>
          <w:color w:val="7B7B7B" w:themeColor="accent3" w:themeShade="BF"/>
          <w:sz w:val="22"/>
          <w:szCs w:val="22"/>
          <w:lang w:val="en-GB"/>
        </w:rPr>
        <w:t xml:space="preserve">n important part </w:t>
      </w:r>
      <w:r w:rsidR="00323DA3">
        <w:rPr>
          <w:rFonts w:ascii="Arial" w:hAnsi="Arial" w:cs="Arial"/>
          <w:color w:val="7B7B7B" w:themeColor="accent3" w:themeShade="BF"/>
          <w:sz w:val="22"/>
          <w:szCs w:val="22"/>
          <w:lang w:val="en-GB"/>
        </w:rPr>
        <w:t>of modern insolvency law</w:t>
      </w:r>
      <w:r>
        <w:rPr>
          <w:rFonts w:ascii="Arial" w:hAnsi="Arial" w:cs="Arial"/>
          <w:color w:val="7B7B7B" w:themeColor="accent3" w:themeShade="BF"/>
          <w:sz w:val="22"/>
          <w:szCs w:val="22"/>
          <w:lang w:val="en-GB"/>
        </w:rPr>
        <w:t>.</w:t>
      </w:r>
      <w:r w:rsidR="00E01F85">
        <w:rPr>
          <w:rFonts w:ascii="Arial" w:hAnsi="Arial" w:cs="Arial"/>
          <w:color w:val="7B7B7B" w:themeColor="accent3" w:themeShade="BF"/>
          <w:sz w:val="22"/>
          <w:szCs w:val="22"/>
          <w:lang w:val="en-GB"/>
        </w:rPr>
        <w:t xml:space="preserve"> This releases the debtor from its bankruptcy debts, usually upon fulfilling certain conditions, and allowed the debtor “a fresh start”. </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36EE6083" w:rsidR="009B07AD" w:rsidRPr="00AE161F" w:rsidRDefault="009A1FE5" w:rsidP="009A1FE5">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The Corporate Insolvency and Governance Act 2020 (“CIGA”)</w:t>
      </w:r>
      <w:r w:rsidR="00AE161F">
        <w:rPr>
          <w:rFonts w:ascii="Arial" w:hAnsi="Arial" w:cs="Arial"/>
          <w:color w:val="7B7B7B" w:themeColor="accent3" w:themeShade="BF"/>
          <w:sz w:val="22"/>
          <w:szCs w:val="22"/>
          <w:lang w:val="en-GB"/>
        </w:rPr>
        <w:t xml:space="preserve"> </w:t>
      </w:r>
      <w:r w:rsidR="00E01F85">
        <w:rPr>
          <w:rFonts w:ascii="Arial" w:hAnsi="Arial" w:cs="Arial"/>
          <w:color w:val="7B7B7B" w:themeColor="accent3" w:themeShade="BF"/>
          <w:sz w:val="22"/>
          <w:szCs w:val="22"/>
          <w:lang w:val="en-GB"/>
        </w:rPr>
        <w:t>came into force</w:t>
      </w:r>
      <w:r>
        <w:rPr>
          <w:rFonts w:ascii="Arial" w:hAnsi="Arial" w:cs="Arial"/>
          <w:color w:val="7B7B7B" w:themeColor="accent3" w:themeShade="BF"/>
          <w:sz w:val="22"/>
          <w:szCs w:val="22"/>
          <w:lang w:val="en-GB"/>
        </w:rPr>
        <w:t xml:space="preserve"> on 26 June 2020, </w:t>
      </w:r>
      <w:r w:rsidR="00AE161F">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 xml:space="preserve">provided for temporary and permanent changes to insolvency law aimed at helping companies in financial distress </w:t>
      </w:r>
      <w:r w:rsidR="00AE161F">
        <w:rPr>
          <w:rFonts w:ascii="Arial" w:hAnsi="Arial" w:cs="Arial"/>
          <w:color w:val="7B7B7B" w:themeColor="accent3" w:themeShade="BF"/>
          <w:sz w:val="22"/>
          <w:szCs w:val="22"/>
          <w:lang w:val="en-GB"/>
        </w:rPr>
        <w:t>due to the economic implications</w:t>
      </w:r>
      <w:r>
        <w:rPr>
          <w:rFonts w:ascii="Arial" w:hAnsi="Arial" w:cs="Arial"/>
          <w:color w:val="7B7B7B" w:themeColor="accent3" w:themeShade="BF"/>
          <w:sz w:val="22"/>
          <w:szCs w:val="22"/>
          <w:lang w:val="en-GB"/>
        </w:rPr>
        <w:t xml:space="preserve"> </w:t>
      </w:r>
      <w:r w:rsidR="00D1350D">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COVID-19</w:t>
      </w:r>
      <w:r w:rsidR="00D1350D">
        <w:rPr>
          <w:rFonts w:ascii="Arial" w:hAnsi="Arial" w:cs="Arial"/>
          <w:color w:val="7B7B7B" w:themeColor="accent3" w:themeShade="BF"/>
          <w:sz w:val="22"/>
          <w:szCs w:val="22"/>
          <w:lang w:val="en-GB"/>
        </w:rPr>
        <w:t xml:space="preserve"> pandemic in the UK</w:t>
      </w:r>
      <w:r>
        <w:rPr>
          <w:rFonts w:ascii="Arial" w:hAnsi="Arial" w:cs="Arial"/>
          <w:color w:val="7B7B7B" w:themeColor="accent3" w:themeShade="BF"/>
          <w:sz w:val="22"/>
          <w:szCs w:val="22"/>
          <w:lang w:val="en-GB"/>
        </w:rPr>
        <w:t>.</w:t>
      </w:r>
      <w:r w:rsidR="00AE161F">
        <w:rPr>
          <w:rFonts w:ascii="Arial" w:hAnsi="Arial" w:cs="Arial"/>
          <w:color w:val="7B7B7B" w:themeColor="accent3" w:themeShade="BF"/>
          <w:sz w:val="22"/>
          <w:szCs w:val="22"/>
          <w:lang w:val="en-GB"/>
        </w:rPr>
        <w:t xml:space="preserve"> Three of the measures provided for in CIGA are as </w:t>
      </w:r>
      <w:r w:rsidR="00AE161F" w:rsidRPr="00AE161F">
        <w:rPr>
          <w:rFonts w:ascii="Arial" w:hAnsi="Arial" w:cs="Arial"/>
          <w:color w:val="808080" w:themeColor="background1" w:themeShade="80"/>
          <w:sz w:val="22"/>
          <w:szCs w:val="22"/>
          <w:lang w:val="en-GB"/>
        </w:rPr>
        <w:t>follows:</w:t>
      </w:r>
      <w:r w:rsidR="00645441">
        <w:rPr>
          <w:rStyle w:val="FootnoteReference"/>
          <w:rFonts w:ascii="Arial" w:hAnsi="Arial" w:cs="Arial"/>
          <w:color w:val="808080" w:themeColor="background1" w:themeShade="80"/>
          <w:sz w:val="22"/>
          <w:szCs w:val="22"/>
          <w:lang w:val="en-GB"/>
        </w:rPr>
        <w:footnoteReference w:id="2"/>
      </w:r>
    </w:p>
    <w:p w14:paraId="4A556500" w14:textId="491089A4" w:rsidR="00AE161F" w:rsidRPr="00AE161F" w:rsidRDefault="00AE161F" w:rsidP="009A1FE5">
      <w:pPr>
        <w:jc w:val="both"/>
        <w:rPr>
          <w:rFonts w:ascii="Arial" w:hAnsi="Arial" w:cs="Arial"/>
          <w:color w:val="808080" w:themeColor="background1" w:themeShade="80"/>
          <w:sz w:val="22"/>
          <w:szCs w:val="22"/>
          <w:lang w:val="en-GB"/>
        </w:rPr>
      </w:pPr>
    </w:p>
    <w:p w14:paraId="1A7D2DD9" w14:textId="565066AD" w:rsidR="00AE161F" w:rsidRDefault="00AE161F" w:rsidP="00AE161F">
      <w:pPr>
        <w:pStyle w:val="ListParagraph"/>
        <w:numPr>
          <w:ilvl w:val="0"/>
          <w:numId w:val="17"/>
        </w:numPr>
        <w:jc w:val="both"/>
        <w:rPr>
          <w:rFonts w:ascii="Arial" w:hAnsi="Arial" w:cs="Arial"/>
          <w:color w:val="808080" w:themeColor="background1" w:themeShade="80"/>
          <w:sz w:val="22"/>
          <w:szCs w:val="22"/>
          <w:lang w:val="en-GB"/>
        </w:rPr>
      </w:pPr>
      <w:r w:rsidRPr="00AE161F">
        <w:rPr>
          <w:rFonts w:ascii="Arial" w:hAnsi="Arial" w:cs="Arial"/>
          <w:color w:val="808080" w:themeColor="background1" w:themeShade="80"/>
          <w:sz w:val="22"/>
          <w:szCs w:val="22"/>
          <w:lang w:val="en-GB"/>
        </w:rPr>
        <w:t>CIGA introduce</w:t>
      </w:r>
      <w:r>
        <w:rPr>
          <w:rFonts w:ascii="Arial" w:hAnsi="Arial" w:cs="Arial"/>
          <w:color w:val="808080" w:themeColor="background1" w:themeShade="80"/>
          <w:sz w:val="22"/>
          <w:szCs w:val="22"/>
          <w:lang w:val="en-GB"/>
        </w:rPr>
        <w:t>d</w:t>
      </w:r>
      <w:r w:rsidRPr="00AE161F">
        <w:rPr>
          <w:rFonts w:ascii="Arial" w:hAnsi="Arial" w:cs="Arial"/>
          <w:color w:val="808080" w:themeColor="background1" w:themeShade="80"/>
          <w:sz w:val="22"/>
          <w:szCs w:val="22"/>
          <w:lang w:val="en-GB"/>
        </w:rPr>
        <w:t xml:space="preserve"> a new moratorium period </w:t>
      </w:r>
      <w:r w:rsidR="00B04CBB">
        <w:rPr>
          <w:rFonts w:ascii="Arial" w:hAnsi="Arial" w:cs="Arial"/>
          <w:color w:val="808080" w:themeColor="background1" w:themeShade="80"/>
          <w:sz w:val="22"/>
          <w:szCs w:val="22"/>
          <w:lang w:val="en-GB"/>
        </w:rPr>
        <w:t xml:space="preserve">where a company can have a “payment holiday” for most of its pre-moratorium debts (there are some exceptions </w:t>
      </w:r>
      <w:r w:rsidR="00CC641E">
        <w:rPr>
          <w:rFonts w:ascii="Arial" w:hAnsi="Arial" w:cs="Arial"/>
          <w:color w:val="808080" w:themeColor="background1" w:themeShade="80"/>
          <w:sz w:val="22"/>
          <w:szCs w:val="22"/>
          <w:lang w:val="en-GB"/>
        </w:rPr>
        <w:t>e.g.</w:t>
      </w:r>
      <w:r w:rsidR="00B04CBB">
        <w:rPr>
          <w:rFonts w:ascii="Arial" w:hAnsi="Arial" w:cs="Arial"/>
          <w:color w:val="808080" w:themeColor="background1" w:themeShade="80"/>
          <w:sz w:val="22"/>
          <w:szCs w:val="22"/>
          <w:lang w:val="en-GB"/>
        </w:rPr>
        <w:t xml:space="preserve"> </w:t>
      </w:r>
      <w:r w:rsidR="00CC641E">
        <w:rPr>
          <w:rFonts w:ascii="Arial" w:hAnsi="Arial" w:cs="Arial"/>
          <w:color w:val="808080" w:themeColor="background1" w:themeShade="80"/>
          <w:sz w:val="22"/>
          <w:szCs w:val="22"/>
          <w:lang w:val="en-GB"/>
        </w:rPr>
        <w:t xml:space="preserve">debts involving financial services, </w:t>
      </w:r>
      <w:r w:rsidR="00B04CBB">
        <w:rPr>
          <w:rFonts w:ascii="Arial" w:hAnsi="Arial" w:cs="Arial"/>
          <w:color w:val="808080" w:themeColor="background1" w:themeShade="80"/>
          <w:sz w:val="22"/>
          <w:szCs w:val="22"/>
          <w:lang w:val="en-GB"/>
        </w:rPr>
        <w:t>wages/salary</w:t>
      </w:r>
      <w:r w:rsidR="00CC641E">
        <w:rPr>
          <w:rFonts w:ascii="Arial" w:hAnsi="Arial" w:cs="Arial"/>
          <w:color w:val="808080" w:themeColor="background1" w:themeShade="80"/>
          <w:sz w:val="22"/>
          <w:szCs w:val="22"/>
          <w:lang w:val="en-GB"/>
        </w:rPr>
        <w:t xml:space="preserve"> under contract of employment</w:t>
      </w:r>
      <w:r w:rsidR="00B04CBB">
        <w:rPr>
          <w:rFonts w:ascii="Arial" w:hAnsi="Arial" w:cs="Arial"/>
          <w:color w:val="808080" w:themeColor="background1" w:themeShade="80"/>
          <w:sz w:val="22"/>
          <w:szCs w:val="22"/>
          <w:lang w:val="en-GB"/>
        </w:rPr>
        <w:t xml:space="preserve">, goods or services supplied during the moratorium etc.) and be protected from creditor action, while the company </w:t>
      </w:r>
      <w:r w:rsidR="00CC641E">
        <w:rPr>
          <w:rFonts w:ascii="Arial" w:hAnsi="Arial" w:cs="Arial"/>
          <w:color w:val="808080" w:themeColor="background1" w:themeShade="80"/>
          <w:sz w:val="22"/>
          <w:szCs w:val="22"/>
          <w:lang w:val="en-GB"/>
        </w:rPr>
        <w:t>seeks to implement a rescue or restructuring.</w:t>
      </w:r>
      <w:r w:rsidR="00D1350D">
        <w:rPr>
          <w:rFonts w:ascii="Arial" w:hAnsi="Arial" w:cs="Arial"/>
          <w:color w:val="808080" w:themeColor="background1" w:themeShade="80"/>
          <w:sz w:val="22"/>
          <w:szCs w:val="22"/>
          <w:lang w:val="en-GB"/>
        </w:rPr>
        <w:t xml:space="preserve"> This new moratorium applies for rescue or restructuring including under scheme of arrangement, corporate voluntary arrangement (CVA), administration or the new restructuring plan introduced also by CIGA.</w:t>
      </w:r>
      <w:r w:rsidR="00CC641E">
        <w:rPr>
          <w:rFonts w:ascii="Arial" w:hAnsi="Arial" w:cs="Arial"/>
          <w:color w:val="808080" w:themeColor="background1" w:themeShade="80"/>
          <w:sz w:val="22"/>
          <w:szCs w:val="22"/>
          <w:lang w:val="en-GB"/>
        </w:rPr>
        <w:t xml:space="preserve"> During the moratorium period, the directors remain in charge but a </w:t>
      </w:r>
      <w:r w:rsidR="00CC641E">
        <w:rPr>
          <w:rFonts w:ascii="Arial" w:hAnsi="Arial" w:cs="Arial"/>
          <w:color w:val="808080" w:themeColor="background1" w:themeShade="80"/>
          <w:sz w:val="22"/>
          <w:szCs w:val="22"/>
          <w:lang w:val="en-GB"/>
        </w:rPr>
        <w:lastRenderedPageBreak/>
        <w:t>licensed insolvency practitioner is appointed as a monitor to, among others, review whether the rescue of the company as a going concern appears likely.</w:t>
      </w:r>
    </w:p>
    <w:p w14:paraId="14E3BA6B" w14:textId="77777777" w:rsidR="00CC641E" w:rsidRDefault="00CC641E" w:rsidP="00CC641E">
      <w:pPr>
        <w:pStyle w:val="ListParagraph"/>
        <w:jc w:val="both"/>
        <w:rPr>
          <w:rFonts w:ascii="Arial" w:hAnsi="Arial" w:cs="Arial"/>
          <w:color w:val="808080" w:themeColor="background1" w:themeShade="80"/>
          <w:sz w:val="22"/>
          <w:szCs w:val="22"/>
          <w:lang w:val="en-GB"/>
        </w:rPr>
      </w:pPr>
    </w:p>
    <w:p w14:paraId="21D5ADD8" w14:textId="585D9BE3" w:rsidR="00CC641E" w:rsidRDefault="00CC641E" w:rsidP="00AE161F">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addition to the</w:t>
      </w:r>
      <w:r w:rsidR="0013321D">
        <w:rPr>
          <w:rFonts w:ascii="Arial" w:hAnsi="Arial" w:cs="Arial"/>
          <w:color w:val="808080" w:themeColor="background1" w:themeShade="80"/>
          <w:sz w:val="22"/>
          <w:szCs w:val="22"/>
          <w:lang w:val="en-GB"/>
        </w:rPr>
        <w:t xml:space="preserve"> existing</w:t>
      </w:r>
      <w:r>
        <w:rPr>
          <w:rFonts w:ascii="Arial" w:hAnsi="Arial" w:cs="Arial"/>
          <w:color w:val="808080" w:themeColor="background1" w:themeShade="80"/>
          <w:sz w:val="22"/>
          <w:szCs w:val="22"/>
          <w:lang w:val="en-GB"/>
        </w:rPr>
        <w:t xml:space="preserve"> </w:t>
      </w:r>
      <w:r w:rsidR="00D1350D">
        <w:rPr>
          <w:rFonts w:ascii="Arial" w:hAnsi="Arial" w:cs="Arial"/>
          <w:color w:val="808080" w:themeColor="background1" w:themeShade="80"/>
          <w:sz w:val="22"/>
          <w:szCs w:val="22"/>
          <w:lang w:val="en-GB"/>
        </w:rPr>
        <w:t>CVA</w:t>
      </w:r>
      <w:r>
        <w:rPr>
          <w:rFonts w:ascii="Arial" w:hAnsi="Arial" w:cs="Arial"/>
          <w:color w:val="808080" w:themeColor="background1" w:themeShade="80"/>
          <w:sz w:val="22"/>
          <w:szCs w:val="22"/>
          <w:lang w:val="en-GB"/>
        </w:rPr>
        <w:t xml:space="preserve"> or scheme of arrangemen</w:t>
      </w:r>
      <w:r w:rsidR="0013321D">
        <w:rPr>
          <w:rFonts w:ascii="Arial" w:hAnsi="Arial" w:cs="Arial"/>
          <w:color w:val="808080" w:themeColor="background1" w:themeShade="80"/>
          <w:sz w:val="22"/>
          <w:szCs w:val="22"/>
          <w:lang w:val="en-GB"/>
        </w:rPr>
        <w:t xml:space="preserve">t, CIGA introduced a new restructuring </w:t>
      </w:r>
      <w:r w:rsidR="00645441">
        <w:rPr>
          <w:rFonts w:ascii="Arial" w:hAnsi="Arial" w:cs="Arial"/>
          <w:color w:val="808080" w:themeColor="background1" w:themeShade="80"/>
          <w:sz w:val="22"/>
          <w:szCs w:val="22"/>
          <w:lang w:val="en-GB"/>
        </w:rPr>
        <w:t>plan</w:t>
      </w:r>
      <w:r w:rsidR="0013321D">
        <w:rPr>
          <w:rFonts w:ascii="Arial" w:hAnsi="Arial" w:cs="Arial"/>
          <w:color w:val="808080" w:themeColor="background1" w:themeShade="80"/>
          <w:sz w:val="22"/>
          <w:szCs w:val="22"/>
          <w:lang w:val="en-GB"/>
        </w:rPr>
        <w:t xml:space="preserve"> which enables </w:t>
      </w:r>
      <w:r w:rsidR="007C3083">
        <w:rPr>
          <w:rFonts w:ascii="Arial" w:hAnsi="Arial" w:cs="Arial"/>
          <w:color w:val="808080" w:themeColor="background1" w:themeShade="80"/>
          <w:sz w:val="22"/>
          <w:szCs w:val="22"/>
          <w:lang w:val="en-GB"/>
        </w:rPr>
        <w:t>companies in financial difficulties</w:t>
      </w:r>
      <w:r w:rsidR="0013321D">
        <w:rPr>
          <w:rFonts w:ascii="Arial" w:hAnsi="Arial" w:cs="Arial"/>
          <w:color w:val="808080" w:themeColor="background1" w:themeShade="80"/>
          <w:sz w:val="22"/>
          <w:szCs w:val="22"/>
          <w:lang w:val="en-GB"/>
        </w:rPr>
        <w:t xml:space="preserve"> to propose </w:t>
      </w:r>
      <w:r w:rsidR="00EE36B6">
        <w:rPr>
          <w:rFonts w:ascii="Arial" w:hAnsi="Arial" w:cs="Arial"/>
          <w:color w:val="808080" w:themeColor="background1" w:themeShade="80"/>
          <w:sz w:val="22"/>
          <w:szCs w:val="22"/>
          <w:lang w:val="en-GB"/>
        </w:rPr>
        <w:t>a compromise or arrangement</w:t>
      </w:r>
      <w:r w:rsidR="007C3083">
        <w:rPr>
          <w:rFonts w:ascii="Arial" w:hAnsi="Arial" w:cs="Arial"/>
          <w:color w:val="808080" w:themeColor="background1" w:themeShade="80"/>
          <w:sz w:val="22"/>
          <w:szCs w:val="22"/>
          <w:lang w:val="en-GB"/>
        </w:rPr>
        <w:t xml:space="preserve"> with</w:t>
      </w:r>
      <w:r w:rsidR="00EE36B6">
        <w:rPr>
          <w:rFonts w:ascii="Arial" w:hAnsi="Arial" w:cs="Arial"/>
          <w:color w:val="808080" w:themeColor="background1" w:themeShade="80"/>
          <w:sz w:val="22"/>
          <w:szCs w:val="22"/>
          <w:lang w:val="en-GB"/>
        </w:rPr>
        <w:t xml:space="preserve"> </w:t>
      </w:r>
      <w:r w:rsidR="007C3083">
        <w:rPr>
          <w:rFonts w:ascii="Arial" w:hAnsi="Arial" w:cs="Arial"/>
          <w:color w:val="808080" w:themeColor="background1" w:themeShade="80"/>
          <w:sz w:val="22"/>
          <w:szCs w:val="22"/>
          <w:lang w:val="en-GB"/>
        </w:rPr>
        <w:t>its creditors and/or members</w:t>
      </w:r>
      <w:r w:rsidR="00EE36B6">
        <w:rPr>
          <w:rFonts w:ascii="Arial" w:hAnsi="Arial" w:cs="Arial"/>
          <w:color w:val="808080" w:themeColor="background1" w:themeShade="80"/>
          <w:sz w:val="22"/>
          <w:szCs w:val="22"/>
          <w:lang w:val="en-GB"/>
        </w:rPr>
        <w:t xml:space="preserve"> for the purpose of addressing the company’s financial difficulties</w:t>
      </w:r>
      <w:r w:rsidR="007C3083">
        <w:rPr>
          <w:rFonts w:ascii="Arial" w:hAnsi="Arial" w:cs="Arial"/>
          <w:color w:val="808080" w:themeColor="background1" w:themeShade="80"/>
          <w:sz w:val="22"/>
          <w:szCs w:val="22"/>
          <w:lang w:val="en-GB"/>
        </w:rPr>
        <w:t xml:space="preserve">. This new restructuring </w:t>
      </w:r>
      <w:r w:rsidR="00645441">
        <w:rPr>
          <w:rFonts w:ascii="Arial" w:hAnsi="Arial" w:cs="Arial"/>
          <w:color w:val="808080" w:themeColor="background1" w:themeShade="80"/>
          <w:sz w:val="22"/>
          <w:szCs w:val="22"/>
          <w:lang w:val="en-GB"/>
        </w:rPr>
        <w:t>plan</w:t>
      </w:r>
      <w:r w:rsidR="0013321D">
        <w:rPr>
          <w:rFonts w:ascii="Arial" w:hAnsi="Arial" w:cs="Arial"/>
          <w:color w:val="808080" w:themeColor="background1" w:themeShade="80"/>
          <w:sz w:val="22"/>
          <w:szCs w:val="22"/>
          <w:lang w:val="en-GB"/>
        </w:rPr>
        <w:t xml:space="preserve"> will be Part 26A of the Companies Act 2006. </w:t>
      </w:r>
    </w:p>
    <w:p w14:paraId="63B4D13D" w14:textId="44048561" w:rsidR="00645441" w:rsidRDefault="00645441" w:rsidP="00645441">
      <w:pPr>
        <w:pStyle w:val="ListParagraph"/>
        <w:rPr>
          <w:rFonts w:ascii="Arial" w:hAnsi="Arial" w:cs="Arial"/>
          <w:color w:val="808080" w:themeColor="background1" w:themeShade="80"/>
          <w:sz w:val="22"/>
          <w:szCs w:val="22"/>
          <w:lang w:val="en-GB"/>
        </w:rPr>
      </w:pPr>
    </w:p>
    <w:p w14:paraId="2E19FBA3" w14:textId="7361D1D9" w:rsidR="00EE36B6" w:rsidRDefault="00645441" w:rsidP="00EE36B6">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key element of the restructuring plan is that the Court can sanction the </w:t>
      </w:r>
      <w:r w:rsidR="00EE36B6">
        <w:rPr>
          <w:rFonts w:ascii="Arial" w:hAnsi="Arial" w:cs="Arial"/>
          <w:color w:val="808080" w:themeColor="background1" w:themeShade="80"/>
          <w:sz w:val="22"/>
          <w:szCs w:val="22"/>
          <w:lang w:val="en-GB"/>
        </w:rPr>
        <w:t xml:space="preserve">restructuring plan and bound </w:t>
      </w:r>
      <w:r>
        <w:rPr>
          <w:rFonts w:ascii="Arial" w:hAnsi="Arial" w:cs="Arial"/>
          <w:color w:val="808080" w:themeColor="background1" w:themeShade="80"/>
          <w:sz w:val="22"/>
          <w:szCs w:val="22"/>
          <w:lang w:val="en-GB"/>
        </w:rPr>
        <w:t>dissenting classes of creditors or members to the plan</w:t>
      </w:r>
      <w:r w:rsidR="00EE36B6">
        <w:rPr>
          <w:rFonts w:ascii="Arial" w:hAnsi="Arial" w:cs="Arial"/>
          <w:color w:val="808080" w:themeColor="background1" w:themeShade="80"/>
          <w:sz w:val="22"/>
          <w:szCs w:val="22"/>
          <w:lang w:val="en-GB"/>
        </w:rPr>
        <w:t xml:space="preserve"> (“cross-class cram down”)</w:t>
      </w:r>
      <w:r>
        <w:rPr>
          <w:rFonts w:ascii="Arial" w:hAnsi="Arial" w:cs="Arial"/>
          <w:color w:val="808080" w:themeColor="background1" w:themeShade="80"/>
          <w:sz w:val="22"/>
          <w:szCs w:val="22"/>
          <w:lang w:val="en-GB"/>
        </w:rPr>
        <w:t>, provided</w:t>
      </w:r>
      <w:r w:rsidR="00EE36B6">
        <w:rPr>
          <w:rFonts w:ascii="Arial" w:hAnsi="Arial" w:cs="Arial"/>
          <w:color w:val="808080" w:themeColor="background1" w:themeShade="80"/>
          <w:sz w:val="22"/>
          <w:szCs w:val="22"/>
          <w:lang w:val="en-GB"/>
        </w:rPr>
        <w:t>:</w:t>
      </w:r>
    </w:p>
    <w:p w14:paraId="2420FC8C" w14:textId="77777777" w:rsidR="00EE36B6" w:rsidRDefault="00EE36B6" w:rsidP="00EE36B6">
      <w:pPr>
        <w:pStyle w:val="ListParagraph"/>
        <w:jc w:val="both"/>
        <w:rPr>
          <w:rFonts w:ascii="Arial" w:hAnsi="Arial" w:cs="Arial"/>
          <w:color w:val="808080" w:themeColor="background1" w:themeShade="80"/>
          <w:sz w:val="22"/>
          <w:szCs w:val="22"/>
          <w:lang w:val="en-GB"/>
        </w:rPr>
      </w:pPr>
    </w:p>
    <w:p w14:paraId="4D011D97" w14:textId="14CA1A65" w:rsidR="00EE36B6" w:rsidRDefault="00645441" w:rsidP="00EE36B6">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they are no worse off than in </w:t>
      </w:r>
      <w:r w:rsidR="00EE36B6">
        <w:rPr>
          <w:rFonts w:ascii="Arial" w:hAnsi="Arial" w:cs="Arial"/>
          <w:color w:val="808080" w:themeColor="background1" w:themeShade="80"/>
          <w:sz w:val="22"/>
          <w:szCs w:val="22"/>
          <w:lang w:val="en-GB"/>
        </w:rPr>
        <w:t>the “relevant alternative”, which is defined as what the court considers will be most likely to occur if the plan is not sanctioned;</w:t>
      </w:r>
    </w:p>
    <w:p w14:paraId="7C7DAD08" w14:textId="34C5086E" w:rsidR="00645441" w:rsidRDefault="00EE36B6" w:rsidP="00EE36B6">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plan has been approved by 75% in value of a</w:t>
      </w:r>
      <w:r w:rsidR="002A5E3E">
        <w:rPr>
          <w:rFonts w:ascii="Arial" w:hAnsi="Arial" w:cs="Arial"/>
          <w:color w:val="808080" w:themeColor="background1" w:themeShade="80"/>
          <w:sz w:val="22"/>
          <w:szCs w:val="22"/>
          <w:lang w:val="en-GB"/>
        </w:rPr>
        <w:t>t least one</w:t>
      </w:r>
      <w:r>
        <w:rPr>
          <w:rFonts w:ascii="Arial" w:hAnsi="Arial" w:cs="Arial"/>
          <w:color w:val="808080" w:themeColor="background1" w:themeShade="80"/>
          <w:sz w:val="22"/>
          <w:szCs w:val="22"/>
          <w:lang w:val="en-GB"/>
        </w:rPr>
        <w:t xml:space="preserve"> class of creditors or members</w:t>
      </w:r>
      <w:r w:rsidR="002A5E3E">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who would receive a payment or have a genuine economic interest in the company in the event of the </w:t>
      </w:r>
      <w:r w:rsidR="002A5E3E">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relevant alternative</w:t>
      </w:r>
      <w:r w:rsidR="002A5E3E">
        <w:rPr>
          <w:rFonts w:ascii="Arial" w:hAnsi="Arial" w:cs="Arial"/>
          <w:color w:val="808080" w:themeColor="background1" w:themeShade="80"/>
          <w:sz w:val="22"/>
          <w:szCs w:val="22"/>
          <w:lang w:val="en-GB"/>
        </w:rPr>
        <w:t>”</w:t>
      </w:r>
    </w:p>
    <w:p w14:paraId="4AC710F6" w14:textId="34EE4B21" w:rsidR="002A5E3E" w:rsidRDefault="002A5E3E" w:rsidP="00EE36B6">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just and equitable to do so.</w:t>
      </w:r>
    </w:p>
    <w:p w14:paraId="72B27A23" w14:textId="61742A28" w:rsidR="00645441" w:rsidRPr="002A5E3E" w:rsidRDefault="00645441" w:rsidP="002A5E3E">
      <w:pPr>
        <w:rPr>
          <w:rFonts w:ascii="Arial" w:hAnsi="Arial" w:cs="Arial"/>
          <w:color w:val="808080" w:themeColor="background1" w:themeShade="80"/>
          <w:sz w:val="22"/>
          <w:szCs w:val="22"/>
          <w:lang w:val="en-GB"/>
        </w:rPr>
      </w:pPr>
    </w:p>
    <w:p w14:paraId="73DA2AF6" w14:textId="3E53F6F2" w:rsidR="00604B65" w:rsidRPr="006A5646" w:rsidRDefault="002A5E3E" w:rsidP="006A5646">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CIGA also provides for temporary measures such as the restriction on the presentation of winding-up petitions and statutory demands forming the basis for a winding-up petition from 1 March 2020 until 30 June 2020. The temporary restriction was thereafter extended</w:t>
      </w:r>
      <w:r w:rsidR="00604B65">
        <w:rPr>
          <w:rFonts w:ascii="Arial" w:hAnsi="Arial" w:cs="Arial"/>
          <w:color w:val="808080" w:themeColor="background1" w:themeShade="80"/>
          <w:sz w:val="22"/>
          <w:szCs w:val="22"/>
          <w:lang w:val="en-GB"/>
        </w:rPr>
        <w:t xml:space="preserve"> from time to time</w:t>
      </w:r>
      <w:r>
        <w:rPr>
          <w:rFonts w:ascii="Arial" w:hAnsi="Arial" w:cs="Arial"/>
          <w:color w:val="808080" w:themeColor="background1" w:themeShade="80"/>
          <w:sz w:val="22"/>
          <w:szCs w:val="22"/>
          <w:lang w:val="en-GB"/>
        </w:rPr>
        <w:t xml:space="preserve"> to 30 September 202</w:t>
      </w:r>
      <w:r w:rsidR="00461318">
        <w:rPr>
          <w:rFonts w:ascii="Arial" w:hAnsi="Arial" w:cs="Arial"/>
          <w:color w:val="808080" w:themeColor="background1" w:themeShade="80"/>
          <w:sz w:val="22"/>
          <w:szCs w:val="22"/>
          <w:lang w:val="en-GB"/>
        </w:rPr>
        <w:t xml:space="preserve">1. Creditors may still present a winding-up petition where </w:t>
      </w:r>
      <w:r w:rsidR="00604B65">
        <w:rPr>
          <w:rFonts w:ascii="Arial" w:hAnsi="Arial" w:cs="Arial"/>
          <w:color w:val="808080" w:themeColor="background1" w:themeShade="80"/>
          <w:sz w:val="22"/>
          <w:szCs w:val="22"/>
          <w:lang w:val="en-GB"/>
        </w:rPr>
        <w:t>they have</w:t>
      </w:r>
      <w:r w:rsidR="00461318">
        <w:rPr>
          <w:rFonts w:ascii="Arial" w:hAnsi="Arial" w:cs="Arial"/>
          <w:color w:val="808080" w:themeColor="background1" w:themeShade="80"/>
          <w:sz w:val="22"/>
          <w:szCs w:val="22"/>
          <w:lang w:val="en-GB"/>
        </w:rPr>
        <w:t xml:space="preserve"> reasonable grounds for believing that COVID-19 has not had a financial effect on the company or that the company would not have been able to pay its debts even if COVID-19 had not had a financial effect on the company.</w:t>
      </w:r>
      <w:r>
        <w:rPr>
          <w:rFonts w:ascii="Arial" w:hAnsi="Arial" w:cs="Arial"/>
          <w:color w:val="808080" w:themeColor="background1" w:themeShade="80"/>
          <w:sz w:val="22"/>
          <w:szCs w:val="22"/>
          <w:lang w:val="en-GB"/>
        </w:rPr>
        <w:t xml:space="preserve"> </w:t>
      </w:r>
      <w:r w:rsidR="00604B65">
        <w:rPr>
          <w:rFonts w:ascii="Arial" w:hAnsi="Arial" w:cs="Arial"/>
          <w:color w:val="808080" w:themeColor="background1" w:themeShade="80"/>
          <w:sz w:val="22"/>
          <w:szCs w:val="22"/>
          <w:lang w:val="en-GB"/>
        </w:rPr>
        <w:t>The restrictions expired on 30 September 2021 and have been replaced with modified rules between 1 October 2021 until 31 March 2022 to promote a gradual return to the normal regime.</w:t>
      </w:r>
      <w:r w:rsidR="00604B65">
        <w:rPr>
          <w:rStyle w:val="FootnoteReference"/>
          <w:rFonts w:ascii="Arial" w:hAnsi="Arial" w:cs="Arial"/>
          <w:color w:val="808080" w:themeColor="background1" w:themeShade="80"/>
          <w:sz w:val="22"/>
          <w:szCs w:val="22"/>
          <w:lang w:val="en-GB"/>
        </w:rPr>
        <w:footnoteReference w:id="3"/>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B5BDF7D" w14:textId="0A10A762" w:rsidR="00EF32ED" w:rsidRPr="00B3361E" w:rsidRDefault="0038313F" w:rsidP="00266913">
      <w:pPr>
        <w:jc w:val="both"/>
        <w:rPr>
          <w:rFonts w:ascii="Arial" w:hAnsi="Arial" w:cs="Arial"/>
          <w:color w:val="7B7B7B" w:themeColor="accent3" w:themeShade="BF"/>
          <w:sz w:val="22"/>
          <w:szCs w:val="22"/>
          <w:lang w:val="en-GB"/>
        </w:rPr>
      </w:pPr>
      <w:r w:rsidRPr="00B3361E">
        <w:rPr>
          <w:rFonts w:ascii="Arial" w:hAnsi="Arial" w:cs="Arial"/>
          <w:color w:val="7B7B7B" w:themeColor="accent3" w:themeShade="BF"/>
          <w:sz w:val="22"/>
          <w:szCs w:val="22"/>
          <w:lang w:val="en-GB"/>
        </w:rPr>
        <w:t xml:space="preserve">Treaties are </w:t>
      </w:r>
      <w:r w:rsidR="00266913" w:rsidRPr="00B3361E">
        <w:rPr>
          <w:rFonts w:ascii="Arial" w:hAnsi="Arial" w:cs="Arial"/>
          <w:color w:val="7B7B7B" w:themeColor="accent3" w:themeShade="BF"/>
          <w:sz w:val="22"/>
          <w:szCs w:val="22"/>
          <w:lang w:val="en-GB"/>
        </w:rPr>
        <w:t xml:space="preserve">formal agreements between </w:t>
      </w:r>
      <w:r w:rsidR="00F421C6">
        <w:rPr>
          <w:rFonts w:ascii="Arial" w:hAnsi="Arial" w:cs="Arial"/>
          <w:color w:val="7B7B7B" w:themeColor="accent3" w:themeShade="BF"/>
          <w:sz w:val="22"/>
          <w:szCs w:val="22"/>
          <w:lang w:val="en-GB"/>
        </w:rPr>
        <w:t>States</w:t>
      </w:r>
      <w:r w:rsidR="00266913" w:rsidRPr="00B3361E">
        <w:rPr>
          <w:rFonts w:ascii="Arial" w:hAnsi="Arial" w:cs="Arial"/>
          <w:color w:val="7B7B7B" w:themeColor="accent3" w:themeShade="BF"/>
          <w:sz w:val="22"/>
          <w:szCs w:val="22"/>
          <w:lang w:val="en-GB"/>
        </w:rPr>
        <w:t xml:space="preserve"> which </w:t>
      </w:r>
      <w:r w:rsidR="000E4CB2" w:rsidRPr="00B3361E">
        <w:rPr>
          <w:rFonts w:ascii="Arial" w:hAnsi="Arial" w:cs="Arial"/>
          <w:color w:val="7B7B7B" w:themeColor="accent3" w:themeShade="BF"/>
          <w:sz w:val="22"/>
          <w:szCs w:val="22"/>
          <w:lang w:val="en-GB"/>
        </w:rPr>
        <w:t>are bindin</w:t>
      </w:r>
      <w:r w:rsidR="005C45C3" w:rsidRPr="00B3361E">
        <w:rPr>
          <w:rFonts w:ascii="Arial" w:hAnsi="Arial" w:cs="Arial"/>
          <w:color w:val="7B7B7B" w:themeColor="accent3" w:themeShade="BF"/>
          <w:sz w:val="22"/>
          <w:szCs w:val="22"/>
          <w:lang w:val="en-GB"/>
        </w:rPr>
        <w:t>g,</w:t>
      </w:r>
      <w:r w:rsidR="00266913" w:rsidRPr="00B3361E">
        <w:rPr>
          <w:rFonts w:ascii="Arial" w:hAnsi="Arial" w:cs="Arial"/>
          <w:color w:val="7B7B7B" w:themeColor="accent3" w:themeShade="BF"/>
          <w:sz w:val="22"/>
          <w:szCs w:val="22"/>
          <w:lang w:val="en-GB"/>
        </w:rPr>
        <w:t xml:space="preserve"> and </w:t>
      </w:r>
      <w:r w:rsidR="000D51BE" w:rsidRPr="00B3361E">
        <w:rPr>
          <w:rFonts w:ascii="Arial" w:hAnsi="Arial" w:cs="Arial"/>
          <w:color w:val="7B7B7B" w:themeColor="accent3" w:themeShade="BF"/>
          <w:sz w:val="22"/>
          <w:szCs w:val="22"/>
          <w:lang w:val="en-GB"/>
        </w:rPr>
        <w:t>may be imported</w:t>
      </w:r>
      <w:r w:rsidR="005C45C3" w:rsidRPr="00B3361E">
        <w:rPr>
          <w:rFonts w:ascii="Arial" w:hAnsi="Arial" w:cs="Arial"/>
          <w:color w:val="7B7B7B" w:themeColor="accent3" w:themeShade="BF"/>
          <w:sz w:val="22"/>
          <w:szCs w:val="22"/>
          <w:lang w:val="en-GB"/>
        </w:rPr>
        <w:t xml:space="preserve"> </w:t>
      </w:r>
      <w:r w:rsidR="00F421C6">
        <w:rPr>
          <w:rFonts w:ascii="Arial" w:hAnsi="Arial" w:cs="Arial"/>
          <w:color w:val="7B7B7B" w:themeColor="accent3" w:themeShade="BF"/>
          <w:sz w:val="22"/>
          <w:szCs w:val="22"/>
          <w:lang w:val="en-GB"/>
        </w:rPr>
        <w:t xml:space="preserve">by the States </w:t>
      </w:r>
      <w:r w:rsidR="000D51BE" w:rsidRPr="00B3361E">
        <w:rPr>
          <w:rFonts w:ascii="Arial" w:hAnsi="Arial" w:cs="Arial"/>
          <w:color w:val="7B7B7B" w:themeColor="accent3" w:themeShade="BF"/>
          <w:sz w:val="22"/>
          <w:szCs w:val="22"/>
          <w:lang w:val="en-GB"/>
        </w:rPr>
        <w:t>to form part of the</w:t>
      </w:r>
      <w:r w:rsidR="00F421C6">
        <w:rPr>
          <w:rFonts w:ascii="Arial" w:hAnsi="Arial" w:cs="Arial"/>
          <w:color w:val="7B7B7B" w:themeColor="accent3" w:themeShade="BF"/>
          <w:sz w:val="22"/>
          <w:szCs w:val="22"/>
          <w:lang w:val="en-GB"/>
        </w:rPr>
        <w:t>ir</w:t>
      </w:r>
      <w:r w:rsidR="000D51BE" w:rsidRPr="00B3361E">
        <w:rPr>
          <w:rFonts w:ascii="Arial" w:hAnsi="Arial" w:cs="Arial"/>
          <w:color w:val="7B7B7B" w:themeColor="accent3" w:themeShade="BF"/>
          <w:sz w:val="22"/>
          <w:szCs w:val="22"/>
          <w:lang w:val="en-GB"/>
        </w:rPr>
        <w:t xml:space="preserve"> domestic law </w:t>
      </w:r>
      <w:r w:rsidR="005C45C3" w:rsidRPr="00B3361E">
        <w:rPr>
          <w:rFonts w:ascii="Arial" w:hAnsi="Arial" w:cs="Arial"/>
          <w:color w:val="7B7B7B" w:themeColor="accent3" w:themeShade="BF"/>
          <w:sz w:val="22"/>
          <w:szCs w:val="22"/>
          <w:lang w:val="en-GB"/>
        </w:rPr>
        <w:t>enforceable in court</w:t>
      </w:r>
      <w:r w:rsidR="000D51BE" w:rsidRPr="00B3361E">
        <w:rPr>
          <w:rFonts w:ascii="Arial" w:hAnsi="Arial" w:cs="Arial"/>
          <w:color w:val="7B7B7B" w:themeColor="accent3" w:themeShade="BF"/>
          <w:sz w:val="22"/>
          <w:szCs w:val="22"/>
          <w:lang w:val="en-GB"/>
        </w:rPr>
        <w:t>.</w:t>
      </w:r>
      <w:r w:rsidR="005C45C3" w:rsidRPr="00B3361E">
        <w:rPr>
          <w:rFonts w:ascii="Arial" w:hAnsi="Arial" w:cs="Arial"/>
          <w:color w:val="7B7B7B" w:themeColor="accent3" w:themeShade="BF"/>
          <w:sz w:val="22"/>
          <w:szCs w:val="22"/>
          <w:lang w:val="en-GB"/>
        </w:rPr>
        <w:t xml:space="preserve"> International insolvency treaties will accordingly </w:t>
      </w:r>
      <w:r w:rsidR="006C316D">
        <w:rPr>
          <w:rFonts w:ascii="Arial" w:hAnsi="Arial" w:cs="Arial"/>
          <w:color w:val="7B7B7B" w:themeColor="accent3" w:themeShade="BF"/>
          <w:sz w:val="22"/>
          <w:szCs w:val="22"/>
          <w:lang w:val="en-GB"/>
        </w:rPr>
        <w:t>form</w:t>
      </w:r>
      <w:r w:rsidR="005C45C3" w:rsidRPr="00B3361E">
        <w:rPr>
          <w:rFonts w:ascii="Arial" w:hAnsi="Arial" w:cs="Arial"/>
          <w:color w:val="7B7B7B" w:themeColor="accent3" w:themeShade="BF"/>
          <w:sz w:val="22"/>
          <w:szCs w:val="22"/>
          <w:lang w:val="en-GB"/>
        </w:rPr>
        <w:t xml:space="preserve"> part of the cross-border insolvency rules of States which have ratified such treaties. </w:t>
      </w:r>
      <w:r w:rsidR="00A836A8" w:rsidRPr="00B3361E">
        <w:rPr>
          <w:rFonts w:ascii="Arial" w:hAnsi="Arial" w:cs="Arial"/>
          <w:color w:val="7B7B7B" w:themeColor="accent3" w:themeShade="BF"/>
          <w:sz w:val="22"/>
          <w:szCs w:val="22"/>
          <w:lang w:val="en-GB"/>
        </w:rPr>
        <w:t xml:space="preserve">Treaties can therefore be used to provide a universal approach for the signatories to deal with a cross-border issue (e.g. </w:t>
      </w:r>
      <w:r w:rsidR="006C316D">
        <w:rPr>
          <w:rFonts w:ascii="Arial" w:hAnsi="Arial" w:cs="Arial"/>
          <w:color w:val="7B7B7B" w:themeColor="accent3" w:themeShade="BF"/>
          <w:sz w:val="22"/>
          <w:szCs w:val="22"/>
          <w:lang w:val="en-GB"/>
        </w:rPr>
        <w:t>choice of forum</w:t>
      </w:r>
      <w:r w:rsidR="00A836A8" w:rsidRPr="00B3361E">
        <w:rPr>
          <w:rFonts w:ascii="Arial" w:hAnsi="Arial" w:cs="Arial"/>
          <w:color w:val="7B7B7B" w:themeColor="accent3" w:themeShade="BF"/>
          <w:sz w:val="22"/>
          <w:szCs w:val="22"/>
          <w:lang w:val="en-GB"/>
        </w:rPr>
        <w:t>, choice of law etc.), which otherwise would have to be addressed using national laws and likely lead to multiple proceedings in different States and differing laws applied to different aspects of the insolvency.</w:t>
      </w:r>
    </w:p>
    <w:p w14:paraId="1697D3BC" w14:textId="77777777" w:rsidR="00EF32ED" w:rsidRPr="00B3361E" w:rsidRDefault="00EF32ED" w:rsidP="00266913">
      <w:pPr>
        <w:jc w:val="both"/>
        <w:rPr>
          <w:rFonts w:ascii="Arial" w:hAnsi="Arial" w:cs="Arial"/>
          <w:color w:val="7B7B7B" w:themeColor="accent3" w:themeShade="BF"/>
          <w:sz w:val="22"/>
          <w:szCs w:val="22"/>
          <w:lang w:val="en-GB"/>
        </w:rPr>
      </w:pPr>
    </w:p>
    <w:p w14:paraId="56CB47AF" w14:textId="0540BB2C" w:rsidR="00CC53E7" w:rsidRPr="00B3361E" w:rsidRDefault="005C45C3" w:rsidP="00266913">
      <w:pPr>
        <w:jc w:val="both"/>
        <w:rPr>
          <w:rFonts w:ascii="Arial" w:hAnsi="Arial" w:cs="Arial"/>
          <w:color w:val="7B7B7B" w:themeColor="accent3" w:themeShade="BF"/>
          <w:sz w:val="22"/>
          <w:szCs w:val="22"/>
          <w:lang w:val="en-GB"/>
        </w:rPr>
      </w:pPr>
      <w:r w:rsidRPr="00B3361E">
        <w:rPr>
          <w:rFonts w:ascii="Arial" w:hAnsi="Arial" w:cs="Arial"/>
          <w:color w:val="7B7B7B" w:themeColor="accent3" w:themeShade="BF"/>
          <w:sz w:val="22"/>
          <w:szCs w:val="22"/>
          <w:lang w:val="en-GB"/>
        </w:rPr>
        <w:t xml:space="preserve">An example of </w:t>
      </w:r>
      <w:r w:rsidR="002E7DA7" w:rsidRPr="00B3361E">
        <w:rPr>
          <w:rFonts w:ascii="Arial" w:hAnsi="Arial" w:cs="Arial"/>
          <w:color w:val="7B7B7B" w:themeColor="accent3" w:themeShade="BF"/>
          <w:sz w:val="22"/>
          <w:szCs w:val="22"/>
          <w:lang w:val="en-GB"/>
        </w:rPr>
        <w:t>a treaty on international insolvency is the Nordic Bankruptcy Convention (1933) between Denmark, Finland, Iceland, Norway and Sweden</w:t>
      </w:r>
      <w:r w:rsidR="00EA1A7F" w:rsidRPr="00B3361E">
        <w:rPr>
          <w:rFonts w:ascii="Arial" w:hAnsi="Arial" w:cs="Arial"/>
          <w:color w:val="7B7B7B" w:themeColor="accent3" w:themeShade="BF"/>
          <w:sz w:val="22"/>
          <w:szCs w:val="22"/>
          <w:lang w:val="en-GB"/>
        </w:rPr>
        <w:t>. The Nordic Convention</w:t>
      </w:r>
      <w:r w:rsidR="002E7DA7" w:rsidRPr="00B3361E">
        <w:rPr>
          <w:rFonts w:ascii="Arial" w:hAnsi="Arial" w:cs="Arial"/>
          <w:color w:val="7B7B7B" w:themeColor="accent3" w:themeShade="BF"/>
          <w:sz w:val="22"/>
          <w:szCs w:val="22"/>
          <w:lang w:val="en-GB"/>
        </w:rPr>
        <w:t xml:space="preserve"> provides that a bankruptcy open</w:t>
      </w:r>
      <w:r w:rsidR="00EF32ED" w:rsidRPr="00B3361E">
        <w:rPr>
          <w:rFonts w:ascii="Arial" w:hAnsi="Arial" w:cs="Arial"/>
          <w:color w:val="7B7B7B" w:themeColor="accent3" w:themeShade="BF"/>
          <w:sz w:val="22"/>
          <w:szCs w:val="22"/>
          <w:lang w:val="en-GB"/>
        </w:rPr>
        <w:t>ed</w:t>
      </w:r>
      <w:r w:rsidR="002E7DA7" w:rsidRPr="00B3361E">
        <w:rPr>
          <w:rFonts w:ascii="Arial" w:hAnsi="Arial" w:cs="Arial"/>
          <w:color w:val="7B7B7B" w:themeColor="accent3" w:themeShade="BF"/>
          <w:sz w:val="22"/>
          <w:szCs w:val="22"/>
          <w:lang w:val="en-GB"/>
        </w:rPr>
        <w:t xml:space="preserve"> in </w:t>
      </w:r>
      <w:proofErr w:type="gramStart"/>
      <w:r w:rsidR="002E7DA7" w:rsidRPr="00B3361E">
        <w:rPr>
          <w:rFonts w:ascii="Arial" w:hAnsi="Arial" w:cs="Arial"/>
          <w:color w:val="7B7B7B" w:themeColor="accent3" w:themeShade="BF"/>
          <w:sz w:val="22"/>
          <w:szCs w:val="22"/>
          <w:lang w:val="en-GB"/>
        </w:rPr>
        <w:t xml:space="preserve">one </w:t>
      </w:r>
      <w:r w:rsidR="00F421C6">
        <w:rPr>
          <w:rFonts w:ascii="Arial" w:hAnsi="Arial" w:cs="Arial"/>
          <w:color w:val="7B7B7B" w:themeColor="accent3" w:themeShade="BF"/>
          <w:sz w:val="22"/>
          <w:szCs w:val="22"/>
          <w:lang w:val="en-GB"/>
        </w:rPr>
        <w:t>member</w:t>
      </w:r>
      <w:proofErr w:type="gramEnd"/>
      <w:r w:rsidR="002E7DA7" w:rsidRPr="00B3361E">
        <w:rPr>
          <w:rFonts w:ascii="Arial" w:hAnsi="Arial" w:cs="Arial"/>
          <w:color w:val="7B7B7B" w:themeColor="accent3" w:themeShade="BF"/>
          <w:sz w:val="22"/>
          <w:szCs w:val="22"/>
          <w:lang w:val="en-GB"/>
        </w:rPr>
        <w:t xml:space="preserve"> </w:t>
      </w:r>
      <w:r w:rsidR="00F421C6">
        <w:rPr>
          <w:rFonts w:ascii="Arial" w:hAnsi="Arial" w:cs="Arial"/>
          <w:color w:val="7B7B7B" w:themeColor="accent3" w:themeShade="BF"/>
          <w:sz w:val="22"/>
          <w:szCs w:val="22"/>
          <w:lang w:val="en-GB"/>
        </w:rPr>
        <w:t>State</w:t>
      </w:r>
      <w:r w:rsidR="002E7DA7" w:rsidRPr="00B3361E">
        <w:rPr>
          <w:rFonts w:ascii="Arial" w:hAnsi="Arial" w:cs="Arial"/>
          <w:color w:val="7B7B7B" w:themeColor="accent3" w:themeShade="BF"/>
          <w:sz w:val="22"/>
          <w:szCs w:val="22"/>
          <w:lang w:val="en-GB"/>
        </w:rPr>
        <w:t xml:space="preserve"> will </w:t>
      </w:r>
      <w:r w:rsidR="00EF32ED" w:rsidRPr="00B3361E">
        <w:rPr>
          <w:rFonts w:ascii="Arial" w:hAnsi="Arial" w:cs="Arial"/>
          <w:color w:val="7B7B7B" w:themeColor="accent3" w:themeShade="BF"/>
          <w:sz w:val="22"/>
          <w:szCs w:val="22"/>
          <w:lang w:val="en-GB"/>
        </w:rPr>
        <w:t>encompass</w:t>
      </w:r>
      <w:r w:rsidR="002E7DA7" w:rsidRPr="00B3361E">
        <w:rPr>
          <w:rFonts w:ascii="Arial" w:hAnsi="Arial" w:cs="Arial"/>
          <w:color w:val="7B7B7B" w:themeColor="accent3" w:themeShade="BF"/>
          <w:sz w:val="22"/>
          <w:szCs w:val="22"/>
          <w:lang w:val="en-GB"/>
        </w:rPr>
        <w:t xml:space="preserve"> all assets and liabilities of the debtor in all other </w:t>
      </w:r>
      <w:r w:rsidR="00F421C6">
        <w:rPr>
          <w:rFonts w:ascii="Arial" w:hAnsi="Arial" w:cs="Arial"/>
          <w:color w:val="7B7B7B" w:themeColor="accent3" w:themeShade="BF"/>
          <w:sz w:val="22"/>
          <w:szCs w:val="22"/>
          <w:lang w:val="en-GB"/>
        </w:rPr>
        <w:t>member States</w:t>
      </w:r>
      <w:r w:rsidR="00764D4C" w:rsidRPr="00B3361E">
        <w:rPr>
          <w:rFonts w:ascii="Arial" w:hAnsi="Arial" w:cs="Arial"/>
          <w:color w:val="7B7B7B" w:themeColor="accent3" w:themeShade="BF"/>
          <w:sz w:val="22"/>
          <w:szCs w:val="22"/>
          <w:lang w:val="en-GB"/>
        </w:rPr>
        <w:t>,</w:t>
      </w:r>
      <w:r w:rsidR="002E7DA7" w:rsidRPr="00B3361E">
        <w:rPr>
          <w:rFonts w:ascii="Arial" w:hAnsi="Arial" w:cs="Arial"/>
          <w:color w:val="7B7B7B" w:themeColor="accent3" w:themeShade="BF"/>
          <w:sz w:val="22"/>
          <w:szCs w:val="22"/>
          <w:lang w:val="en-GB"/>
        </w:rPr>
        <w:t xml:space="preserve"> and </w:t>
      </w:r>
      <w:r w:rsidR="00EF32ED" w:rsidRPr="00B3361E">
        <w:rPr>
          <w:rFonts w:ascii="Arial" w:hAnsi="Arial" w:cs="Arial"/>
          <w:color w:val="7B7B7B" w:themeColor="accent3" w:themeShade="BF"/>
          <w:sz w:val="22"/>
          <w:szCs w:val="22"/>
          <w:lang w:val="en-GB"/>
        </w:rPr>
        <w:t xml:space="preserve">that </w:t>
      </w:r>
      <w:r w:rsidR="002E7DA7" w:rsidRPr="00B3361E">
        <w:rPr>
          <w:rFonts w:ascii="Arial" w:hAnsi="Arial" w:cs="Arial"/>
          <w:color w:val="7B7B7B" w:themeColor="accent3" w:themeShade="BF"/>
          <w:sz w:val="22"/>
          <w:szCs w:val="22"/>
          <w:lang w:val="en-GB"/>
        </w:rPr>
        <w:t xml:space="preserve">the law of the country in which the insolvency proceedings are opened </w:t>
      </w:r>
      <w:r w:rsidR="00764D4C" w:rsidRPr="00B3361E">
        <w:rPr>
          <w:rFonts w:ascii="Arial" w:hAnsi="Arial" w:cs="Arial"/>
          <w:color w:val="7B7B7B" w:themeColor="accent3" w:themeShade="BF"/>
          <w:sz w:val="22"/>
          <w:szCs w:val="22"/>
          <w:lang w:val="en-GB"/>
        </w:rPr>
        <w:t xml:space="preserve">(“Home State”) </w:t>
      </w:r>
      <w:r w:rsidR="00EF32ED" w:rsidRPr="00B3361E">
        <w:rPr>
          <w:rFonts w:ascii="Arial" w:hAnsi="Arial" w:cs="Arial"/>
          <w:color w:val="7B7B7B" w:themeColor="accent3" w:themeShade="BF"/>
          <w:sz w:val="22"/>
          <w:szCs w:val="22"/>
          <w:lang w:val="en-GB"/>
        </w:rPr>
        <w:t>is applicable (save for specific exceptions stated in the Convention) to determine the effects of the order in all the</w:t>
      </w:r>
      <w:r w:rsidR="00F421C6">
        <w:rPr>
          <w:rFonts w:ascii="Arial" w:hAnsi="Arial" w:cs="Arial"/>
          <w:color w:val="7B7B7B" w:themeColor="accent3" w:themeShade="BF"/>
          <w:sz w:val="22"/>
          <w:szCs w:val="22"/>
          <w:lang w:val="en-GB"/>
        </w:rPr>
        <w:t xml:space="preserve"> member</w:t>
      </w:r>
      <w:r w:rsidR="00EF32ED" w:rsidRPr="00B3361E">
        <w:rPr>
          <w:rFonts w:ascii="Arial" w:hAnsi="Arial" w:cs="Arial"/>
          <w:color w:val="7B7B7B" w:themeColor="accent3" w:themeShade="BF"/>
          <w:sz w:val="22"/>
          <w:szCs w:val="22"/>
          <w:lang w:val="en-GB"/>
        </w:rPr>
        <w:t xml:space="preserve"> States without further formalities.</w:t>
      </w:r>
      <w:r w:rsidR="00764D4C" w:rsidRPr="00B3361E">
        <w:rPr>
          <w:rFonts w:ascii="Arial" w:hAnsi="Arial" w:cs="Arial"/>
          <w:color w:val="7B7B7B" w:themeColor="accent3" w:themeShade="BF"/>
          <w:sz w:val="22"/>
          <w:szCs w:val="22"/>
          <w:lang w:val="en-GB"/>
        </w:rPr>
        <w:t xml:space="preserve"> </w:t>
      </w:r>
      <w:r w:rsidR="006C316D">
        <w:rPr>
          <w:rFonts w:ascii="Arial" w:hAnsi="Arial" w:cs="Arial"/>
          <w:color w:val="7B7B7B" w:themeColor="accent3" w:themeShade="BF"/>
          <w:sz w:val="22"/>
          <w:szCs w:val="22"/>
          <w:lang w:val="en-GB"/>
        </w:rPr>
        <w:t>T</w:t>
      </w:r>
      <w:r w:rsidR="00764D4C" w:rsidRPr="00B3361E">
        <w:rPr>
          <w:rFonts w:ascii="Arial" w:hAnsi="Arial" w:cs="Arial"/>
          <w:color w:val="7B7B7B" w:themeColor="accent3" w:themeShade="BF"/>
          <w:sz w:val="22"/>
          <w:szCs w:val="22"/>
          <w:lang w:val="en-GB"/>
        </w:rPr>
        <w:t xml:space="preserve">he </w:t>
      </w:r>
      <w:r w:rsidR="001E4963">
        <w:rPr>
          <w:rFonts w:ascii="Arial" w:hAnsi="Arial" w:cs="Arial"/>
          <w:color w:val="7B7B7B" w:themeColor="accent3" w:themeShade="BF"/>
          <w:sz w:val="22"/>
          <w:szCs w:val="22"/>
          <w:lang w:val="en-GB"/>
        </w:rPr>
        <w:t xml:space="preserve">principles of the Nordic Convention are </w:t>
      </w:r>
      <w:r w:rsidR="006C316D">
        <w:rPr>
          <w:rFonts w:ascii="Arial" w:hAnsi="Arial" w:cs="Arial"/>
          <w:color w:val="7B7B7B" w:themeColor="accent3" w:themeShade="BF"/>
          <w:sz w:val="22"/>
          <w:szCs w:val="22"/>
          <w:lang w:val="en-GB"/>
        </w:rPr>
        <w:t xml:space="preserve">thus </w:t>
      </w:r>
      <w:r w:rsidR="001E4963">
        <w:rPr>
          <w:rFonts w:ascii="Arial" w:hAnsi="Arial" w:cs="Arial"/>
          <w:color w:val="7B7B7B" w:themeColor="accent3" w:themeShade="BF"/>
          <w:sz w:val="22"/>
          <w:szCs w:val="22"/>
          <w:lang w:val="en-GB"/>
        </w:rPr>
        <w:t xml:space="preserve">part of the insolvency rules of </w:t>
      </w:r>
      <w:r w:rsidR="001E4963">
        <w:rPr>
          <w:rFonts w:ascii="Arial" w:hAnsi="Arial" w:cs="Arial"/>
          <w:color w:val="7B7B7B" w:themeColor="accent3" w:themeShade="BF"/>
          <w:sz w:val="22"/>
          <w:szCs w:val="22"/>
          <w:lang w:val="en-GB"/>
        </w:rPr>
        <w:lastRenderedPageBreak/>
        <w:t>these Nordic countries</w:t>
      </w:r>
      <w:r w:rsidR="006C316D">
        <w:rPr>
          <w:rFonts w:ascii="Arial" w:hAnsi="Arial" w:cs="Arial"/>
          <w:color w:val="7B7B7B" w:themeColor="accent3" w:themeShade="BF"/>
          <w:sz w:val="22"/>
          <w:szCs w:val="22"/>
          <w:lang w:val="en-GB"/>
        </w:rPr>
        <w:t xml:space="preserve"> and are applicable to insolvency proceedings involving </w:t>
      </w:r>
      <w:proofErr w:type="gramStart"/>
      <w:r w:rsidR="006C316D">
        <w:rPr>
          <w:rFonts w:ascii="Arial" w:hAnsi="Arial" w:cs="Arial"/>
          <w:color w:val="7B7B7B" w:themeColor="accent3" w:themeShade="BF"/>
          <w:sz w:val="22"/>
          <w:szCs w:val="22"/>
          <w:lang w:val="en-GB"/>
        </w:rPr>
        <w:t xml:space="preserve">two or more </w:t>
      </w:r>
      <w:r w:rsidR="00F421C6">
        <w:rPr>
          <w:rFonts w:ascii="Arial" w:hAnsi="Arial" w:cs="Arial"/>
          <w:color w:val="7B7B7B" w:themeColor="accent3" w:themeShade="BF"/>
          <w:sz w:val="22"/>
          <w:szCs w:val="22"/>
          <w:lang w:val="en-GB"/>
        </w:rPr>
        <w:t>member</w:t>
      </w:r>
      <w:proofErr w:type="gramEnd"/>
      <w:r w:rsidR="00F421C6">
        <w:rPr>
          <w:rFonts w:ascii="Arial" w:hAnsi="Arial" w:cs="Arial"/>
          <w:color w:val="7B7B7B" w:themeColor="accent3" w:themeShade="BF"/>
          <w:sz w:val="22"/>
          <w:szCs w:val="22"/>
          <w:lang w:val="en-GB"/>
        </w:rPr>
        <w:t xml:space="preserve"> States</w:t>
      </w:r>
      <w:r w:rsidR="001E4963">
        <w:rPr>
          <w:rFonts w:ascii="Arial" w:hAnsi="Arial" w:cs="Arial"/>
          <w:color w:val="7B7B7B" w:themeColor="accent3" w:themeShade="BF"/>
          <w:sz w:val="22"/>
          <w:szCs w:val="22"/>
          <w:lang w:val="en-GB"/>
        </w:rPr>
        <w:t xml:space="preserve">. </w:t>
      </w:r>
      <w:r w:rsidR="00764D4C" w:rsidRPr="00B3361E">
        <w:rPr>
          <w:rFonts w:ascii="Arial" w:hAnsi="Arial" w:cs="Arial"/>
          <w:color w:val="7B7B7B" w:themeColor="accent3" w:themeShade="BF"/>
          <w:sz w:val="22"/>
          <w:szCs w:val="22"/>
          <w:lang w:val="en-GB"/>
        </w:rPr>
        <w:t xml:space="preserve">Otherwise, for the proceedings which the Nordic Convention does </w:t>
      </w:r>
      <w:r w:rsidR="00764D4C" w:rsidRPr="00B3361E">
        <w:rPr>
          <w:rFonts w:ascii="Arial" w:hAnsi="Arial" w:cs="Arial"/>
          <w:color w:val="7B7B7B" w:themeColor="accent3" w:themeShade="BF"/>
          <w:sz w:val="22"/>
          <w:szCs w:val="22"/>
          <w:u w:val="single"/>
          <w:lang w:val="en-GB"/>
        </w:rPr>
        <w:t>not</w:t>
      </w:r>
      <w:r w:rsidR="00764D4C" w:rsidRPr="00B3361E">
        <w:rPr>
          <w:rFonts w:ascii="Arial" w:hAnsi="Arial" w:cs="Arial"/>
          <w:color w:val="7B7B7B" w:themeColor="accent3" w:themeShade="BF"/>
          <w:sz w:val="22"/>
          <w:szCs w:val="22"/>
          <w:lang w:val="en-GB"/>
        </w:rPr>
        <w:t xml:space="preserve"> apply, the national laws of the States will apply to determine any international aspects of the insolvency.</w:t>
      </w:r>
    </w:p>
    <w:p w14:paraId="7998FDFC" w14:textId="77777777" w:rsidR="00CC53E7" w:rsidRPr="00B3361E" w:rsidRDefault="00CC53E7" w:rsidP="00266913">
      <w:pPr>
        <w:jc w:val="both"/>
        <w:rPr>
          <w:rFonts w:ascii="Arial" w:hAnsi="Arial" w:cs="Arial"/>
          <w:color w:val="7B7B7B" w:themeColor="accent3" w:themeShade="BF"/>
          <w:sz w:val="22"/>
          <w:szCs w:val="22"/>
          <w:lang w:val="en-GB"/>
        </w:rPr>
      </w:pPr>
    </w:p>
    <w:p w14:paraId="6B76F64B" w14:textId="69B23D85" w:rsidR="00CC53E7" w:rsidRPr="00B3361E" w:rsidRDefault="00CC53E7" w:rsidP="00266913">
      <w:pPr>
        <w:jc w:val="both"/>
        <w:rPr>
          <w:rFonts w:ascii="Arial" w:hAnsi="Arial" w:cs="Arial"/>
          <w:color w:val="7B7B7B" w:themeColor="accent3" w:themeShade="BF"/>
          <w:sz w:val="22"/>
          <w:szCs w:val="22"/>
          <w:lang w:val="en-GB"/>
        </w:rPr>
      </w:pPr>
      <w:r w:rsidRPr="00B3361E">
        <w:rPr>
          <w:rFonts w:ascii="Arial" w:hAnsi="Arial" w:cs="Arial"/>
          <w:color w:val="7B7B7B" w:themeColor="accent3" w:themeShade="BF"/>
          <w:sz w:val="22"/>
          <w:szCs w:val="22"/>
          <w:lang w:val="en-GB"/>
        </w:rPr>
        <w:t xml:space="preserve">On the other hand, soft law generally </w:t>
      </w:r>
      <w:proofErr w:type="gramStart"/>
      <w:r w:rsidRPr="00B3361E">
        <w:rPr>
          <w:rFonts w:ascii="Arial" w:hAnsi="Arial" w:cs="Arial"/>
          <w:color w:val="7B7B7B" w:themeColor="accent3" w:themeShade="BF"/>
          <w:sz w:val="22"/>
          <w:szCs w:val="22"/>
          <w:lang w:val="en-GB"/>
        </w:rPr>
        <w:t>refer</w:t>
      </w:r>
      <w:proofErr w:type="gramEnd"/>
      <w:r w:rsidRPr="00B3361E">
        <w:rPr>
          <w:rFonts w:ascii="Arial" w:hAnsi="Arial" w:cs="Arial"/>
          <w:color w:val="7B7B7B" w:themeColor="accent3" w:themeShade="BF"/>
          <w:sz w:val="22"/>
          <w:szCs w:val="22"/>
          <w:lang w:val="en-GB"/>
        </w:rPr>
        <w:t xml:space="preserve"> to non-binding instruments, meant to be persuasive</w:t>
      </w:r>
      <w:r w:rsidR="006C316D">
        <w:rPr>
          <w:rFonts w:ascii="Arial" w:hAnsi="Arial" w:cs="Arial"/>
          <w:color w:val="7B7B7B" w:themeColor="accent3" w:themeShade="BF"/>
          <w:sz w:val="22"/>
          <w:szCs w:val="22"/>
          <w:lang w:val="en-GB"/>
        </w:rPr>
        <w:t>. One way in which soft law can be used to establish cross-border insolvency rules in States is to</w:t>
      </w:r>
      <w:r w:rsidRPr="00B3361E">
        <w:rPr>
          <w:rFonts w:ascii="Arial" w:hAnsi="Arial" w:cs="Arial"/>
          <w:color w:val="7B7B7B" w:themeColor="accent3" w:themeShade="BF"/>
          <w:sz w:val="22"/>
          <w:szCs w:val="22"/>
          <w:lang w:val="en-GB"/>
        </w:rPr>
        <w:t xml:space="preserve"> influence </w:t>
      </w:r>
      <w:r w:rsidR="00CD66CA">
        <w:rPr>
          <w:rFonts w:ascii="Arial" w:hAnsi="Arial" w:cs="Arial"/>
          <w:color w:val="7B7B7B" w:themeColor="accent3" w:themeShade="BF"/>
          <w:sz w:val="22"/>
          <w:szCs w:val="22"/>
          <w:lang w:val="en-GB"/>
        </w:rPr>
        <w:t xml:space="preserve">and provide reference for </w:t>
      </w:r>
      <w:r w:rsidRPr="00B3361E">
        <w:rPr>
          <w:rFonts w:ascii="Arial" w:hAnsi="Arial" w:cs="Arial"/>
          <w:color w:val="7B7B7B" w:themeColor="accent3" w:themeShade="BF"/>
          <w:sz w:val="22"/>
          <w:szCs w:val="22"/>
          <w:lang w:val="en-GB"/>
        </w:rPr>
        <w:t xml:space="preserve">the development of </w:t>
      </w:r>
      <w:r w:rsidR="00CD66CA">
        <w:rPr>
          <w:rFonts w:ascii="Arial" w:hAnsi="Arial" w:cs="Arial"/>
          <w:color w:val="7B7B7B" w:themeColor="accent3" w:themeShade="BF"/>
          <w:sz w:val="22"/>
          <w:szCs w:val="22"/>
          <w:lang w:val="en-GB"/>
        </w:rPr>
        <w:t xml:space="preserve">domestic insolvency </w:t>
      </w:r>
      <w:r w:rsidRPr="00B3361E">
        <w:rPr>
          <w:rFonts w:ascii="Arial" w:hAnsi="Arial" w:cs="Arial"/>
          <w:color w:val="7B7B7B" w:themeColor="accent3" w:themeShade="BF"/>
          <w:sz w:val="22"/>
          <w:szCs w:val="22"/>
          <w:lang w:val="en-GB"/>
        </w:rPr>
        <w:t xml:space="preserve">laws. </w:t>
      </w:r>
    </w:p>
    <w:p w14:paraId="48DFE975" w14:textId="77777777" w:rsidR="00CC53E7" w:rsidRPr="00B3361E" w:rsidRDefault="00CC53E7" w:rsidP="00266913">
      <w:pPr>
        <w:jc w:val="both"/>
        <w:rPr>
          <w:rFonts w:ascii="Arial" w:hAnsi="Arial" w:cs="Arial"/>
          <w:color w:val="7B7B7B" w:themeColor="accent3" w:themeShade="BF"/>
          <w:sz w:val="22"/>
          <w:szCs w:val="22"/>
          <w:lang w:val="en-GB"/>
        </w:rPr>
      </w:pPr>
    </w:p>
    <w:p w14:paraId="59DE55B5" w14:textId="13D24B27" w:rsidR="00A836A8" w:rsidRPr="00B3361E" w:rsidRDefault="00CC53E7" w:rsidP="00266913">
      <w:pPr>
        <w:jc w:val="both"/>
        <w:rPr>
          <w:rFonts w:ascii="Arial" w:hAnsi="Arial" w:cs="Arial"/>
          <w:color w:val="7B7B7B" w:themeColor="accent3" w:themeShade="BF"/>
          <w:sz w:val="22"/>
          <w:szCs w:val="22"/>
          <w:lang w:val="en-GB"/>
        </w:rPr>
      </w:pPr>
      <w:r w:rsidRPr="00B3361E">
        <w:rPr>
          <w:rFonts w:ascii="Arial" w:hAnsi="Arial" w:cs="Arial"/>
          <w:color w:val="7B7B7B" w:themeColor="accent3" w:themeShade="BF"/>
          <w:sz w:val="22"/>
          <w:szCs w:val="22"/>
          <w:lang w:val="en-GB"/>
        </w:rPr>
        <w:t>One significant example i</w:t>
      </w:r>
      <w:r w:rsidR="00F2718D" w:rsidRPr="00B3361E">
        <w:rPr>
          <w:rFonts w:ascii="Arial" w:hAnsi="Arial" w:cs="Arial"/>
          <w:color w:val="7B7B7B" w:themeColor="accent3" w:themeShade="BF"/>
          <w:sz w:val="22"/>
          <w:szCs w:val="22"/>
          <w:lang w:val="en-GB"/>
        </w:rPr>
        <w:t>s</w:t>
      </w:r>
      <w:r w:rsidRPr="00B3361E">
        <w:rPr>
          <w:rFonts w:ascii="Arial" w:hAnsi="Arial" w:cs="Arial"/>
          <w:color w:val="7B7B7B" w:themeColor="accent3" w:themeShade="BF"/>
          <w:sz w:val="22"/>
          <w:szCs w:val="22"/>
          <w:lang w:val="en-GB"/>
        </w:rPr>
        <w:t xml:space="preserve"> the </w:t>
      </w:r>
      <w:r w:rsidR="00F91118" w:rsidRPr="00B3361E">
        <w:rPr>
          <w:rFonts w:ascii="Arial" w:hAnsi="Arial" w:cs="Arial"/>
          <w:color w:val="7B7B7B" w:themeColor="accent3" w:themeShade="BF"/>
          <w:sz w:val="22"/>
          <w:szCs w:val="22"/>
          <w:lang w:val="en-GB"/>
        </w:rPr>
        <w:t>United Nations Committee on International Trade Law (</w:t>
      </w:r>
      <w:r w:rsidRPr="00B3361E">
        <w:rPr>
          <w:rFonts w:ascii="Arial" w:hAnsi="Arial" w:cs="Arial"/>
          <w:color w:val="7B7B7B" w:themeColor="accent3" w:themeShade="BF"/>
          <w:sz w:val="22"/>
          <w:szCs w:val="22"/>
          <w:lang w:val="en-GB"/>
        </w:rPr>
        <w:t>UNCITRAL</w:t>
      </w:r>
      <w:r w:rsidR="00F91118" w:rsidRPr="00B3361E">
        <w:rPr>
          <w:rFonts w:ascii="Arial" w:hAnsi="Arial" w:cs="Arial"/>
          <w:color w:val="7B7B7B" w:themeColor="accent3" w:themeShade="BF"/>
          <w:sz w:val="22"/>
          <w:szCs w:val="22"/>
          <w:lang w:val="en-GB"/>
        </w:rPr>
        <w:t>)</w:t>
      </w:r>
      <w:r w:rsidRPr="00B3361E">
        <w:rPr>
          <w:rFonts w:ascii="Arial" w:hAnsi="Arial" w:cs="Arial"/>
          <w:color w:val="7B7B7B" w:themeColor="accent3" w:themeShade="BF"/>
          <w:sz w:val="22"/>
          <w:szCs w:val="22"/>
          <w:lang w:val="en-GB"/>
        </w:rPr>
        <w:t xml:space="preserve"> Model Law on Cross-Border Insolvency</w:t>
      </w:r>
      <w:r w:rsidR="00764D4C" w:rsidRPr="00B3361E">
        <w:rPr>
          <w:rFonts w:ascii="Arial" w:hAnsi="Arial" w:cs="Arial"/>
          <w:color w:val="7B7B7B" w:themeColor="accent3" w:themeShade="BF"/>
          <w:sz w:val="22"/>
          <w:szCs w:val="22"/>
          <w:lang w:val="en-GB"/>
        </w:rPr>
        <w:t xml:space="preserve"> </w:t>
      </w:r>
      <w:r w:rsidR="00F2718D" w:rsidRPr="00B3361E">
        <w:rPr>
          <w:rFonts w:ascii="Arial" w:hAnsi="Arial" w:cs="Arial"/>
          <w:color w:val="7B7B7B" w:themeColor="accent3" w:themeShade="BF"/>
          <w:sz w:val="22"/>
          <w:szCs w:val="22"/>
          <w:lang w:val="en-GB"/>
        </w:rPr>
        <w:t>(1997) (“</w:t>
      </w:r>
      <w:r w:rsidR="009164E3" w:rsidRPr="00B3361E">
        <w:rPr>
          <w:rFonts w:ascii="Arial" w:hAnsi="Arial" w:cs="Arial"/>
          <w:color w:val="7B7B7B" w:themeColor="accent3" w:themeShade="BF"/>
          <w:sz w:val="22"/>
          <w:szCs w:val="22"/>
          <w:lang w:val="en-GB"/>
        </w:rPr>
        <w:t xml:space="preserve">UNCITRAL </w:t>
      </w:r>
      <w:r w:rsidR="00F2718D" w:rsidRPr="00B3361E">
        <w:rPr>
          <w:rFonts w:ascii="Arial" w:hAnsi="Arial" w:cs="Arial"/>
          <w:color w:val="7B7B7B" w:themeColor="accent3" w:themeShade="BF"/>
          <w:sz w:val="22"/>
          <w:szCs w:val="22"/>
          <w:lang w:val="en-GB"/>
        </w:rPr>
        <w:t xml:space="preserve">Model Law”). The </w:t>
      </w:r>
      <w:r w:rsidR="009164E3" w:rsidRPr="00B3361E">
        <w:rPr>
          <w:rFonts w:ascii="Arial" w:hAnsi="Arial" w:cs="Arial"/>
          <w:color w:val="7B7B7B" w:themeColor="accent3" w:themeShade="BF"/>
          <w:sz w:val="22"/>
          <w:szCs w:val="22"/>
          <w:lang w:val="en-GB"/>
        </w:rPr>
        <w:t xml:space="preserve">UNCITRAL </w:t>
      </w:r>
      <w:r w:rsidR="00F2718D" w:rsidRPr="00B3361E">
        <w:rPr>
          <w:rFonts w:ascii="Arial" w:hAnsi="Arial" w:cs="Arial"/>
          <w:color w:val="7B7B7B" w:themeColor="accent3" w:themeShade="BF"/>
          <w:sz w:val="22"/>
          <w:szCs w:val="22"/>
          <w:lang w:val="en-GB"/>
        </w:rPr>
        <w:t xml:space="preserve">Model Law is </w:t>
      </w:r>
      <w:r w:rsidR="00A836A8" w:rsidRPr="00B3361E">
        <w:rPr>
          <w:rFonts w:ascii="Arial" w:hAnsi="Arial" w:cs="Arial"/>
          <w:color w:val="7B7B7B" w:themeColor="accent3" w:themeShade="BF"/>
          <w:sz w:val="22"/>
          <w:szCs w:val="22"/>
          <w:lang w:val="en-GB"/>
        </w:rPr>
        <w:t xml:space="preserve">a non-binding draft legislation </w:t>
      </w:r>
      <w:r w:rsidR="00F2718D" w:rsidRPr="00B3361E">
        <w:rPr>
          <w:rFonts w:ascii="Arial" w:hAnsi="Arial" w:cs="Arial"/>
          <w:color w:val="7B7B7B" w:themeColor="accent3" w:themeShade="BF"/>
          <w:sz w:val="22"/>
          <w:szCs w:val="22"/>
          <w:lang w:val="en-GB"/>
        </w:rPr>
        <w:t xml:space="preserve">intended to assist States to </w:t>
      </w:r>
      <w:r w:rsidR="00992EEE" w:rsidRPr="00B3361E">
        <w:rPr>
          <w:rFonts w:ascii="Arial" w:hAnsi="Arial" w:cs="Arial"/>
          <w:color w:val="7B7B7B" w:themeColor="accent3" w:themeShade="BF"/>
          <w:sz w:val="22"/>
          <w:szCs w:val="22"/>
          <w:lang w:val="en-GB"/>
        </w:rPr>
        <w:t>equip</w:t>
      </w:r>
      <w:r w:rsidR="00F2718D" w:rsidRPr="00B3361E">
        <w:rPr>
          <w:rFonts w:ascii="Arial" w:hAnsi="Arial" w:cs="Arial"/>
          <w:color w:val="7B7B7B" w:themeColor="accent3" w:themeShade="BF"/>
          <w:sz w:val="22"/>
          <w:szCs w:val="22"/>
          <w:lang w:val="en-GB"/>
        </w:rPr>
        <w:t xml:space="preserve"> national insolvency laws with a harmonised and fair framework to deal with cross-border insolvency cases.</w:t>
      </w:r>
      <w:r w:rsidR="00F2718D" w:rsidRPr="00B3361E">
        <w:rPr>
          <w:rStyle w:val="FootnoteReference"/>
          <w:rFonts w:ascii="Arial" w:hAnsi="Arial" w:cs="Arial"/>
          <w:color w:val="7B7B7B" w:themeColor="accent3" w:themeShade="BF"/>
          <w:sz w:val="22"/>
          <w:szCs w:val="22"/>
          <w:lang w:val="en-GB"/>
        </w:rPr>
        <w:footnoteReference w:id="4"/>
      </w:r>
      <w:r w:rsidR="00764D4C" w:rsidRPr="00B3361E">
        <w:rPr>
          <w:rFonts w:ascii="Arial" w:hAnsi="Arial" w:cs="Arial"/>
          <w:color w:val="7B7B7B" w:themeColor="accent3" w:themeShade="BF"/>
          <w:sz w:val="22"/>
          <w:szCs w:val="22"/>
          <w:lang w:val="en-GB"/>
        </w:rPr>
        <w:t xml:space="preserve"> </w:t>
      </w:r>
      <w:r w:rsidR="00F91118" w:rsidRPr="00B3361E">
        <w:rPr>
          <w:rFonts w:ascii="Arial" w:hAnsi="Arial" w:cs="Arial"/>
          <w:color w:val="7B7B7B" w:themeColor="accent3" w:themeShade="BF"/>
          <w:sz w:val="22"/>
          <w:szCs w:val="22"/>
          <w:lang w:val="en-GB"/>
        </w:rPr>
        <w:t>Countries are not bound or</w:t>
      </w:r>
      <w:r w:rsidR="00992EEE" w:rsidRPr="00B3361E">
        <w:rPr>
          <w:rFonts w:ascii="Arial" w:hAnsi="Arial" w:cs="Arial"/>
          <w:color w:val="7B7B7B" w:themeColor="accent3" w:themeShade="BF"/>
          <w:sz w:val="22"/>
          <w:szCs w:val="22"/>
          <w:lang w:val="en-GB"/>
        </w:rPr>
        <w:t xml:space="preserve"> compelled to adopt the UNCITRAL Model Law </w:t>
      </w:r>
      <w:r w:rsidR="000B28FF" w:rsidRPr="00B3361E">
        <w:rPr>
          <w:rFonts w:ascii="Arial" w:hAnsi="Arial" w:cs="Arial"/>
          <w:color w:val="7B7B7B" w:themeColor="accent3" w:themeShade="BF"/>
          <w:sz w:val="22"/>
          <w:szCs w:val="22"/>
          <w:lang w:val="en-GB"/>
        </w:rPr>
        <w:t>but</w:t>
      </w:r>
      <w:r w:rsidR="00992EEE" w:rsidRPr="00B3361E">
        <w:rPr>
          <w:rFonts w:ascii="Arial" w:hAnsi="Arial" w:cs="Arial"/>
          <w:color w:val="7B7B7B" w:themeColor="accent3" w:themeShade="BF"/>
          <w:sz w:val="22"/>
          <w:szCs w:val="22"/>
          <w:lang w:val="en-GB"/>
        </w:rPr>
        <w:t xml:space="preserve"> may </w:t>
      </w:r>
      <w:r w:rsidR="000B28FF" w:rsidRPr="00B3361E">
        <w:rPr>
          <w:rFonts w:ascii="Arial" w:hAnsi="Arial" w:cs="Arial"/>
          <w:color w:val="7B7B7B" w:themeColor="accent3" w:themeShade="BF"/>
          <w:sz w:val="22"/>
          <w:szCs w:val="22"/>
          <w:lang w:val="en-GB"/>
        </w:rPr>
        <w:t>do so</w:t>
      </w:r>
      <w:r w:rsidR="00992EEE" w:rsidRPr="00B3361E">
        <w:rPr>
          <w:rFonts w:ascii="Arial" w:hAnsi="Arial" w:cs="Arial"/>
          <w:color w:val="7B7B7B" w:themeColor="accent3" w:themeShade="BF"/>
          <w:sz w:val="22"/>
          <w:szCs w:val="22"/>
          <w:lang w:val="en-GB"/>
        </w:rPr>
        <w:t xml:space="preserve"> with or without modifications.</w:t>
      </w:r>
      <w:r w:rsidR="000B28FF" w:rsidRPr="00B3361E">
        <w:rPr>
          <w:rFonts w:ascii="Arial" w:hAnsi="Arial" w:cs="Arial"/>
          <w:color w:val="7B7B7B" w:themeColor="accent3" w:themeShade="BF"/>
          <w:sz w:val="22"/>
          <w:szCs w:val="22"/>
          <w:lang w:val="en-GB"/>
        </w:rPr>
        <w:t xml:space="preserve"> Once adopted, the parts of the UNCITRAL Model Law so adopted would form part of the insolvency rules of that State.</w:t>
      </w:r>
      <w:r w:rsidR="00992EEE" w:rsidRPr="00B3361E">
        <w:rPr>
          <w:rFonts w:ascii="Arial" w:hAnsi="Arial" w:cs="Arial"/>
          <w:color w:val="7B7B7B" w:themeColor="accent3" w:themeShade="BF"/>
          <w:sz w:val="22"/>
          <w:szCs w:val="22"/>
          <w:lang w:val="en-GB"/>
        </w:rPr>
        <w:t xml:space="preserve"> </w:t>
      </w:r>
      <w:r w:rsidR="009164E3" w:rsidRPr="00B3361E">
        <w:rPr>
          <w:rFonts w:ascii="Arial" w:hAnsi="Arial" w:cs="Arial"/>
          <w:color w:val="7B7B7B" w:themeColor="accent3" w:themeShade="BF"/>
          <w:sz w:val="22"/>
          <w:szCs w:val="22"/>
          <w:lang w:val="en-GB"/>
        </w:rPr>
        <w:t xml:space="preserve">For example, the United Kingdom </w:t>
      </w:r>
      <w:r w:rsidR="00992EEE" w:rsidRPr="00B3361E">
        <w:rPr>
          <w:rFonts w:ascii="Arial" w:hAnsi="Arial" w:cs="Arial"/>
          <w:color w:val="7B7B7B" w:themeColor="accent3" w:themeShade="BF"/>
          <w:sz w:val="22"/>
          <w:szCs w:val="22"/>
          <w:lang w:val="en-GB"/>
        </w:rPr>
        <w:t>enacted</w:t>
      </w:r>
      <w:r w:rsidR="009164E3" w:rsidRPr="00B3361E">
        <w:rPr>
          <w:rFonts w:ascii="Arial" w:hAnsi="Arial" w:cs="Arial"/>
          <w:color w:val="7B7B7B" w:themeColor="accent3" w:themeShade="BF"/>
          <w:sz w:val="22"/>
          <w:szCs w:val="22"/>
          <w:lang w:val="en-GB"/>
        </w:rPr>
        <w:t xml:space="preserve"> the UNCITRAL Model Law</w:t>
      </w:r>
      <w:r w:rsidR="00992EEE" w:rsidRPr="00B3361E">
        <w:rPr>
          <w:rFonts w:ascii="Arial" w:hAnsi="Arial" w:cs="Arial"/>
          <w:color w:val="7B7B7B" w:themeColor="accent3" w:themeShade="BF"/>
          <w:sz w:val="22"/>
          <w:szCs w:val="22"/>
          <w:lang w:val="en-GB"/>
        </w:rPr>
        <w:t xml:space="preserve"> to the extent possible</w:t>
      </w:r>
      <w:r w:rsidR="009164E3" w:rsidRPr="00B3361E">
        <w:rPr>
          <w:rFonts w:ascii="Arial" w:hAnsi="Arial" w:cs="Arial"/>
          <w:color w:val="7B7B7B" w:themeColor="accent3" w:themeShade="BF"/>
          <w:sz w:val="22"/>
          <w:szCs w:val="22"/>
          <w:lang w:val="en-GB"/>
        </w:rPr>
        <w:t xml:space="preserve"> through the Cross-Border Insolvency Regulations 2006 (“CBIR”)</w:t>
      </w:r>
      <w:r w:rsidR="00992EEE" w:rsidRPr="00B3361E">
        <w:rPr>
          <w:rFonts w:ascii="Arial" w:hAnsi="Arial" w:cs="Arial"/>
          <w:color w:val="7B7B7B" w:themeColor="accent3" w:themeShade="BF"/>
          <w:sz w:val="22"/>
          <w:szCs w:val="22"/>
          <w:lang w:val="en-GB"/>
        </w:rPr>
        <w:t xml:space="preserve">, </w:t>
      </w:r>
      <w:r w:rsidR="00A836A8" w:rsidRPr="00B3361E">
        <w:rPr>
          <w:rFonts w:ascii="Arial" w:hAnsi="Arial" w:cs="Arial"/>
          <w:color w:val="7B7B7B" w:themeColor="accent3" w:themeShade="BF"/>
          <w:sz w:val="22"/>
          <w:szCs w:val="22"/>
          <w:lang w:val="en-GB"/>
        </w:rPr>
        <w:t xml:space="preserve">and </w:t>
      </w:r>
      <w:r w:rsidR="000B28FF" w:rsidRPr="00B3361E">
        <w:rPr>
          <w:rFonts w:ascii="Arial" w:hAnsi="Arial" w:cs="Arial"/>
          <w:color w:val="7B7B7B" w:themeColor="accent3" w:themeShade="BF"/>
          <w:sz w:val="22"/>
          <w:szCs w:val="22"/>
          <w:lang w:val="en-GB"/>
        </w:rPr>
        <w:t>thus is now part of the UK insolvency rules</w:t>
      </w:r>
      <w:r w:rsidR="009164E3" w:rsidRPr="00B3361E">
        <w:rPr>
          <w:rFonts w:ascii="Arial" w:hAnsi="Arial" w:cs="Arial"/>
          <w:color w:val="7B7B7B" w:themeColor="accent3" w:themeShade="BF"/>
          <w:sz w:val="22"/>
          <w:szCs w:val="22"/>
          <w:lang w:val="en-GB"/>
        </w:rPr>
        <w:t>.</w:t>
      </w:r>
    </w:p>
    <w:p w14:paraId="21ECACBA" w14:textId="0FAB32A4" w:rsidR="00A836A8" w:rsidRPr="00B3361E" w:rsidRDefault="00A836A8" w:rsidP="00266913">
      <w:pPr>
        <w:jc w:val="both"/>
        <w:rPr>
          <w:rFonts w:ascii="Arial" w:hAnsi="Arial" w:cs="Arial"/>
          <w:color w:val="7B7B7B" w:themeColor="accent3" w:themeShade="BF"/>
          <w:sz w:val="22"/>
          <w:szCs w:val="22"/>
          <w:lang w:val="en-GB"/>
        </w:rPr>
      </w:pPr>
    </w:p>
    <w:p w14:paraId="1409F27F" w14:textId="28A162F8" w:rsidR="003B6780" w:rsidRPr="00B3361E" w:rsidRDefault="003B6780" w:rsidP="003B6780">
      <w:pPr>
        <w:jc w:val="both"/>
        <w:rPr>
          <w:rFonts w:ascii="Arial" w:hAnsi="Arial" w:cs="Arial"/>
          <w:color w:val="7B7B7B" w:themeColor="accent3" w:themeShade="BF"/>
          <w:sz w:val="22"/>
          <w:szCs w:val="22"/>
          <w:lang w:val="en-GB"/>
        </w:rPr>
      </w:pPr>
      <w:r w:rsidRPr="00B3361E">
        <w:rPr>
          <w:rFonts w:ascii="Arial" w:hAnsi="Arial" w:cs="Arial"/>
          <w:color w:val="7B7B7B" w:themeColor="accent3" w:themeShade="BF"/>
          <w:sz w:val="22"/>
          <w:szCs w:val="22"/>
          <w:lang w:val="en-GB"/>
        </w:rPr>
        <w:t>Besides assisting States to develop national insolvency laws, soft law can also</w:t>
      </w:r>
      <w:r w:rsidR="00CD66CA">
        <w:rPr>
          <w:rFonts w:ascii="Arial" w:hAnsi="Arial" w:cs="Arial"/>
          <w:color w:val="7B7B7B" w:themeColor="accent3" w:themeShade="BF"/>
          <w:sz w:val="22"/>
          <w:szCs w:val="22"/>
          <w:lang w:val="en-GB"/>
        </w:rPr>
        <w:t xml:space="preserve"> supplement insolvency legislation of the States. One such way is soft law that</w:t>
      </w:r>
      <w:r w:rsidRPr="00B3361E">
        <w:rPr>
          <w:rFonts w:ascii="Arial" w:hAnsi="Arial" w:cs="Arial"/>
          <w:color w:val="7B7B7B" w:themeColor="accent3" w:themeShade="BF"/>
          <w:sz w:val="22"/>
          <w:szCs w:val="22"/>
          <w:lang w:val="en-GB"/>
        </w:rPr>
        <w:t xml:space="preserve"> provide guidance to the Courts and insolvency practitioners to cooperate and communicate in cross-border insolvency cases. Initiatives in this regard include the UNCITRAL Practice Guide on Cross-Border Insolvency Cooperation (2009), the ALI-III Global Guidelines Applicable to Court-to-Court Communications in Cross-Border Cases (2012), and the Judicial Insolvency Network Guidelines for Communication and Cooperation between Courts in Cross-Border Insolvency Matters (2016).</w:t>
      </w:r>
      <w:r w:rsidR="00F91118" w:rsidRPr="00B3361E">
        <w:rPr>
          <w:rFonts w:ascii="Arial" w:hAnsi="Arial" w:cs="Arial"/>
          <w:color w:val="7B7B7B" w:themeColor="accent3" w:themeShade="BF"/>
          <w:sz w:val="22"/>
          <w:szCs w:val="22"/>
          <w:lang w:val="en-GB"/>
        </w:rPr>
        <w:t xml:space="preserve"> Courts and insolvency practitioners can use </w:t>
      </w:r>
      <w:proofErr w:type="gramStart"/>
      <w:r w:rsidR="00F91118" w:rsidRPr="00B3361E">
        <w:rPr>
          <w:rFonts w:ascii="Arial" w:hAnsi="Arial" w:cs="Arial"/>
          <w:color w:val="7B7B7B" w:themeColor="accent3" w:themeShade="BF"/>
          <w:sz w:val="22"/>
          <w:szCs w:val="22"/>
          <w:lang w:val="en-GB"/>
        </w:rPr>
        <w:t>these guidance</w:t>
      </w:r>
      <w:proofErr w:type="gramEnd"/>
      <w:r w:rsidR="00F91118" w:rsidRPr="00B3361E">
        <w:rPr>
          <w:rFonts w:ascii="Arial" w:hAnsi="Arial" w:cs="Arial"/>
          <w:color w:val="7B7B7B" w:themeColor="accent3" w:themeShade="BF"/>
          <w:sz w:val="22"/>
          <w:szCs w:val="22"/>
          <w:lang w:val="en-GB"/>
        </w:rPr>
        <w:t xml:space="preserve"> to agree to cross-border agreements or protocols that will govern the cross-border insolvency proceedings </w:t>
      </w:r>
      <w:r w:rsidR="00CD66CA">
        <w:rPr>
          <w:rFonts w:ascii="Arial" w:hAnsi="Arial" w:cs="Arial"/>
          <w:color w:val="7B7B7B" w:themeColor="accent3" w:themeShade="BF"/>
          <w:sz w:val="22"/>
          <w:szCs w:val="22"/>
          <w:lang w:val="en-GB"/>
        </w:rPr>
        <w:t>on</w:t>
      </w:r>
      <w:r w:rsidR="00F91118" w:rsidRPr="00B3361E">
        <w:rPr>
          <w:rFonts w:ascii="Arial" w:hAnsi="Arial" w:cs="Arial"/>
          <w:color w:val="7B7B7B" w:themeColor="accent3" w:themeShade="BF"/>
          <w:sz w:val="22"/>
          <w:szCs w:val="22"/>
          <w:lang w:val="en-GB"/>
        </w:rPr>
        <w:t xml:space="preserve"> a case-by-case basis.</w:t>
      </w:r>
      <w:r w:rsidR="00F421C6">
        <w:rPr>
          <w:rFonts w:ascii="Arial" w:hAnsi="Arial" w:cs="Arial"/>
          <w:color w:val="7B7B7B" w:themeColor="accent3" w:themeShade="BF"/>
          <w:sz w:val="22"/>
          <w:szCs w:val="22"/>
          <w:lang w:val="en-GB"/>
        </w:rPr>
        <w:t xml:space="preserve"> Nevertheless, such soft law instruments are not binding and their use will depend on the discretion and willingness of the courts and insolvency practitioners.</w:t>
      </w:r>
    </w:p>
    <w:p w14:paraId="3D8FB69A" w14:textId="4D5D09D6" w:rsidR="00F91118" w:rsidRPr="00B3361E" w:rsidRDefault="00F91118" w:rsidP="003B6780">
      <w:pPr>
        <w:jc w:val="both"/>
        <w:rPr>
          <w:rFonts w:ascii="Arial" w:hAnsi="Arial" w:cs="Arial"/>
          <w:color w:val="7B7B7B" w:themeColor="accent3" w:themeShade="BF"/>
          <w:sz w:val="22"/>
          <w:szCs w:val="22"/>
          <w:lang w:val="en-GB"/>
        </w:rPr>
      </w:pPr>
    </w:p>
    <w:p w14:paraId="572227E7" w14:textId="3908F442" w:rsidR="0045683E" w:rsidRPr="00B3361E" w:rsidRDefault="00F91118" w:rsidP="00B7193E">
      <w:pPr>
        <w:jc w:val="both"/>
        <w:rPr>
          <w:rFonts w:ascii="Arial" w:hAnsi="Arial" w:cs="Arial"/>
          <w:color w:val="7B7B7B" w:themeColor="accent3" w:themeShade="BF"/>
          <w:sz w:val="22"/>
          <w:szCs w:val="22"/>
          <w:lang w:val="en-GB"/>
        </w:rPr>
      </w:pPr>
      <w:r w:rsidRPr="00B3361E">
        <w:rPr>
          <w:rFonts w:ascii="Arial" w:hAnsi="Arial" w:cs="Arial"/>
          <w:color w:val="7B7B7B" w:themeColor="accent3" w:themeShade="BF"/>
          <w:sz w:val="22"/>
          <w:szCs w:val="22"/>
          <w:lang w:val="en-GB"/>
        </w:rPr>
        <w:t xml:space="preserve">Soft law </w:t>
      </w:r>
      <w:r w:rsidR="000B28FF" w:rsidRPr="00B3361E">
        <w:rPr>
          <w:rFonts w:ascii="Arial" w:hAnsi="Arial" w:cs="Arial"/>
          <w:color w:val="7B7B7B" w:themeColor="accent3" w:themeShade="BF"/>
          <w:sz w:val="22"/>
          <w:szCs w:val="22"/>
          <w:lang w:val="en-GB"/>
        </w:rPr>
        <w:t>can also extend the established insolvency rules of the State</w:t>
      </w:r>
      <w:r w:rsidR="00DA2FA5">
        <w:rPr>
          <w:rFonts w:ascii="Arial" w:hAnsi="Arial" w:cs="Arial"/>
          <w:color w:val="7B7B7B" w:themeColor="accent3" w:themeShade="BF"/>
          <w:sz w:val="22"/>
          <w:szCs w:val="22"/>
          <w:lang w:val="en-GB"/>
        </w:rPr>
        <w:t xml:space="preserve"> (i.e. the ‘hard law’)</w:t>
      </w:r>
      <w:r w:rsidR="000B28FF" w:rsidRPr="00B3361E">
        <w:rPr>
          <w:rFonts w:ascii="Arial" w:hAnsi="Arial" w:cs="Arial"/>
          <w:color w:val="7B7B7B" w:themeColor="accent3" w:themeShade="BF"/>
          <w:sz w:val="22"/>
          <w:szCs w:val="22"/>
          <w:lang w:val="en-GB"/>
        </w:rPr>
        <w:t>.</w:t>
      </w:r>
      <w:r w:rsidR="000B28FF" w:rsidRPr="00B3361E">
        <w:rPr>
          <w:rStyle w:val="FootnoteReference"/>
          <w:rFonts w:ascii="Arial" w:hAnsi="Arial" w:cs="Arial"/>
          <w:color w:val="7B7B7B" w:themeColor="accent3" w:themeShade="BF"/>
          <w:sz w:val="22"/>
          <w:szCs w:val="22"/>
          <w:lang w:val="en-GB"/>
        </w:rPr>
        <w:footnoteReference w:id="5"/>
      </w:r>
      <w:r w:rsidR="000B28FF" w:rsidRPr="00B3361E">
        <w:rPr>
          <w:rFonts w:ascii="Arial" w:hAnsi="Arial" w:cs="Arial"/>
          <w:color w:val="7B7B7B" w:themeColor="accent3" w:themeShade="BF"/>
          <w:sz w:val="22"/>
          <w:szCs w:val="22"/>
          <w:lang w:val="en-GB"/>
        </w:rPr>
        <w:t xml:space="preserve"> The European Insolvency Regulation</w:t>
      </w:r>
      <w:r w:rsidR="00CD66CA">
        <w:rPr>
          <w:rFonts w:ascii="Arial" w:hAnsi="Arial" w:cs="Arial"/>
          <w:color w:val="7B7B7B" w:themeColor="accent3" w:themeShade="BF"/>
          <w:sz w:val="22"/>
          <w:szCs w:val="22"/>
          <w:lang w:val="en-GB"/>
        </w:rPr>
        <w:t xml:space="preserve"> (Recast)</w:t>
      </w:r>
      <w:r w:rsidR="000B28FF" w:rsidRPr="00B3361E">
        <w:rPr>
          <w:rFonts w:ascii="Arial" w:hAnsi="Arial" w:cs="Arial"/>
          <w:color w:val="7B7B7B" w:themeColor="accent3" w:themeShade="BF"/>
          <w:sz w:val="22"/>
          <w:szCs w:val="22"/>
          <w:lang w:val="en-GB"/>
        </w:rPr>
        <w:t xml:space="preserve"> 2015</w:t>
      </w:r>
      <w:r w:rsidR="00CD66CA">
        <w:rPr>
          <w:rFonts w:ascii="Arial" w:hAnsi="Arial" w:cs="Arial"/>
          <w:color w:val="7B7B7B" w:themeColor="accent3" w:themeShade="BF"/>
          <w:sz w:val="22"/>
          <w:szCs w:val="22"/>
          <w:lang w:val="en-GB"/>
        </w:rPr>
        <w:t xml:space="preserve"> (“EIR”)</w:t>
      </w:r>
      <w:r w:rsidR="000B28FF" w:rsidRPr="00B3361E">
        <w:rPr>
          <w:rFonts w:ascii="Arial" w:hAnsi="Arial" w:cs="Arial"/>
          <w:color w:val="7B7B7B" w:themeColor="accent3" w:themeShade="BF"/>
          <w:sz w:val="22"/>
          <w:szCs w:val="22"/>
          <w:lang w:val="en-GB"/>
        </w:rPr>
        <w:t xml:space="preserve"> provides that </w:t>
      </w:r>
      <w:r w:rsidR="000B28FF" w:rsidRPr="00B3361E">
        <w:rPr>
          <w:rFonts w:ascii="Arial" w:hAnsi="Arial" w:cs="Arial"/>
          <w:i/>
          <w:color w:val="7B7B7B" w:themeColor="accent3" w:themeShade="BF"/>
          <w:sz w:val="22"/>
          <w:szCs w:val="22"/>
          <w:lang w:val="en-GB"/>
        </w:rPr>
        <w:t>“When cooperating, insolvency practitioners and courts should take into account best practices for cooperation in cross-border insolvency cases, as set out in principles and guidelines on communication and cooperation adopted by European and international organisations active in the area of insolvency law and in particular the relevant guidelines prepared by the United Nations Commission on International Trade Law (</w:t>
      </w:r>
      <w:proofErr w:type="spellStart"/>
      <w:r w:rsidR="000B28FF" w:rsidRPr="00B3361E">
        <w:rPr>
          <w:rFonts w:ascii="Arial" w:hAnsi="Arial" w:cs="Arial"/>
          <w:i/>
          <w:color w:val="7B7B7B" w:themeColor="accent3" w:themeShade="BF"/>
          <w:sz w:val="22"/>
          <w:szCs w:val="22"/>
          <w:lang w:val="en-GB"/>
        </w:rPr>
        <w:t>Uncitral</w:t>
      </w:r>
      <w:proofErr w:type="spellEnd"/>
      <w:r w:rsidR="000B28FF" w:rsidRPr="00B3361E">
        <w:rPr>
          <w:rFonts w:ascii="Arial" w:hAnsi="Arial" w:cs="Arial"/>
          <w:i/>
          <w:color w:val="7B7B7B" w:themeColor="accent3" w:themeShade="BF"/>
          <w:sz w:val="22"/>
          <w:szCs w:val="22"/>
          <w:lang w:val="en-GB"/>
        </w:rPr>
        <w:t>).</w:t>
      </w:r>
      <w:r w:rsidR="000B28FF" w:rsidRPr="00B3361E">
        <w:rPr>
          <w:rFonts w:ascii="Arial" w:hAnsi="Arial" w:cs="Arial"/>
          <w:color w:val="7B7B7B" w:themeColor="accent3" w:themeShade="BF"/>
          <w:sz w:val="22"/>
          <w:szCs w:val="22"/>
          <w:lang w:val="en-GB"/>
        </w:rPr>
        <w:t>”</w:t>
      </w:r>
      <w:r w:rsidR="000B28FF" w:rsidRPr="00B3361E">
        <w:rPr>
          <w:rStyle w:val="FootnoteReference"/>
          <w:rFonts w:ascii="Arial" w:hAnsi="Arial" w:cs="Arial"/>
          <w:color w:val="7B7B7B" w:themeColor="accent3" w:themeShade="BF"/>
          <w:sz w:val="22"/>
          <w:szCs w:val="22"/>
          <w:lang w:val="en-GB"/>
        </w:rPr>
        <w:footnoteReference w:id="6"/>
      </w:r>
      <w:r w:rsidR="000B28FF" w:rsidRPr="00B3361E">
        <w:rPr>
          <w:rFonts w:ascii="Arial" w:hAnsi="Arial" w:cs="Arial"/>
          <w:color w:val="7B7B7B" w:themeColor="accent3" w:themeShade="BF"/>
          <w:sz w:val="22"/>
          <w:szCs w:val="22"/>
          <w:lang w:val="en-GB"/>
        </w:rPr>
        <w:t xml:space="preserve"> This essentially compels the courts and insolvency practitioners to consider</w:t>
      </w:r>
      <w:r w:rsidR="00AC6FE2" w:rsidRPr="00B3361E">
        <w:rPr>
          <w:rFonts w:ascii="Arial" w:hAnsi="Arial" w:cs="Arial"/>
          <w:color w:val="7B7B7B" w:themeColor="accent3" w:themeShade="BF"/>
          <w:sz w:val="22"/>
          <w:szCs w:val="22"/>
          <w:lang w:val="en-GB"/>
        </w:rPr>
        <w:t xml:space="preserve"> </w:t>
      </w:r>
      <w:r w:rsidR="00DA2FA5">
        <w:rPr>
          <w:rFonts w:ascii="Arial" w:hAnsi="Arial" w:cs="Arial"/>
          <w:color w:val="7B7B7B" w:themeColor="accent3" w:themeShade="BF"/>
          <w:sz w:val="22"/>
          <w:szCs w:val="22"/>
          <w:lang w:val="en-GB"/>
        </w:rPr>
        <w:t xml:space="preserve">certain </w:t>
      </w:r>
      <w:r w:rsidR="000B28FF" w:rsidRPr="00B3361E">
        <w:rPr>
          <w:rFonts w:ascii="Arial" w:hAnsi="Arial" w:cs="Arial"/>
          <w:color w:val="7B7B7B" w:themeColor="accent3" w:themeShade="BF"/>
          <w:sz w:val="22"/>
          <w:szCs w:val="22"/>
          <w:lang w:val="en-GB"/>
        </w:rPr>
        <w:t xml:space="preserve">soft law </w:t>
      </w:r>
      <w:r w:rsidR="00AC6FE2" w:rsidRPr="00B3361E">
        <w:rPr>
          <w:rFonts w:ascii="Arial" w:hAnsi="Arial" w:cs="Arial"/>
          <w:color w:val="7B7B7B" w:themeColor="accent3" w:themeShade="BF"/>
          <w:sz w:val="22"/>
          <w:szCs w:val="22"/>
          <w:lang w:val="en-GB"/>
        </w:rPr>
        <w:t xml:space="preserve">instruments </w:t>
      </w:r>
      <w:r w:rsidR="000B28FF" w:rsidRPr="00B3361E">
        <w:rPr>
          <w:rFonts w:ascii="Arial" w:hAnsi="Arial" w:cs="Arial"/>
          <w:color w:val="7B7B7B" w:themeColor="accent3" w:themeShade="BF"/>
          <w:sz w:val="22"/>
          <w:szCs w:val="22"/>
          <w:lang w:val="en-GB"/>
        </w:rPr>
        <w:t>when dealing with cross-border insolvency cases.</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278F6ACF" w:rsidR="00544127" w:rsidRPr="00B3361E" w:rsidRDefault="00AC6FE2" w:rsidP="00B7193E">
      <w:pPr>
        <w:jc w:val="both"/>
        <w:rPr>
          <w:rFonts w:ascii="Arial" w:hAnsi="Arial" w:cs="Arial"/>
          <w:color w:val="7B7B7B" w:themeColor="accent3" w:themeShade="BF"/>
          <w:sz w:val="22"/>
          <w:szCs w:val="22"/>
          <w:lang w:val="en-GB"/>
        </w:rPr>
      </w:pPr>
      <w:r w:rsidRPr="00B3361E">
        <w:rPr>
          <w:rFonts w:ascii="Arial" w:hAnsi="Arial" w:cs="Arial"/>
          <w:color w:val="7B7B7B" w:themeColor="accent3" w:themeShade="BF"/>
          <w:sz w:val="22"/>
          <w:szCs w:val="22"/>
          <w:lang w:val="en-GB"/>
        </w:rPr>
        <w:lastRenderedPageBreak/>
        <w:t xml:space="preserve">The main source of insolvency laws in any State is legislation. In some countries, insolvency legislation </w:t>
      </w:r>
      <w:r w:rsidR="002077AF" w:rsidRPr="00B3361E">
        <w:rPr>
          <w:rFonts w:ascii="Arial" w:hAnsi="Arial" w:cs="Arial"/>
          <w:color w:val="7B7B7B" w:themeColor="accent3" w:themeShade="BF"/>
          <w:sz w:val="22"/>
          <w:szCs w:val="22"/>
          <w:lang w:val="en-GB"/>
        </w:rPr>
        <w:t xml:space="preserve">for individuals and corporate insolvency </w:t>
      </w:r>
      <w:r w:rsidRPr="00B3361E">
        <w:rPr>
          <w:rFonts w:ascii="Arial" w:hAnsi="Arial" w:cs="Arial"/>
          <w:color w:val="7B7B7B" w:themeColor="accent3" w:themeShade="BF"/>
          <w:sz w:val="22"/>
          <w:szCs w:val="22"/>
          <w:lang w:val="en-GB"/>
        </w:rPr>
        <w:t>may be in a single statute such as the Insolvency Act 1986 for the United Kingdom</w:t>
      </w:r>
      <w:r w:rsidR="00117026" w:rsidRPr="00B3361E">
        <w:rPr>
          <w:rFonts w:ascii="Arial" w:hAnsi="Arial" w:cs="Arial"/>
          <w:color w:val="7B7B7B" w:themeColor="accent3" w:themeShade="BF"/>
          <w:sz w:val="22"/>
          <w:szCs w:val="22"/>
          <w:lang w:val="en-GB"/>
        </w:rPr>
        <w:t xml:space="preserve"> or the unified Bankruptcy Code of 1978 for the United States of America (US)</w:t>
      </w:r>
      <w:r w:rsidRPr="00B3361E">
        <w:rPr>
          <w:rFonts w:ascii="Arial" w:hAnsi="Arial" w:cs="Arial"/>
          <w:color w:val="7B7B7B" w:themeColor="accent3" w:themeShade="BF"/>
          <w:sz w:val="22"/>
          <w:szCs w:val="22"/>
          <w:lang w:val="en-GB"/>
        </w:rPr>
        <w:t xml:space="preserve">. For other countries, the insolvency legislation may be fragmented such as </w:t>
      </w:r>
      <w:r w:rsidR="00E81D48" w:rsidRPr="00B3361E">
        <w:rPr>
          <w:rFonts w:ascii="Arial" w:hAnsi="Arial" w:cs="Arial"/>
          <w:color w:val="7B7B7B" w:themeColor="accent3" w:themeShade="BF"/>
          <w:sz w:val="22"/>
          <w:szCs w:val="22"/>
          <w:lang w:val="en-GB"/>
        </w:rPr>
        <w:t>in Australia where the legislation for bankruptcy of individuals is in one statute while the legislation for winding-up of companies is in another statute.</w:t>
      </w:r>
    </w:p>
    <w:p w14:paraId="68174EA5" w14:textId="77777777" w:rsidR="008F7F10" w:rsidRPr="00B3361E" w:rsidRDefault="008F7F10" w:rsidP="00B7193E">
      <w:pPr>
        <w:jc w:val="both"/>
        <w:rPr>
          <w:rFonts w:ascii="Arial" w:hAnsi="Arial" w:cs="Arial"/>
          <w:color w:val="7B7B7B" w:themeColor="accent3" w:themeShade="BF"/>
          <w:sz w:val="22"/>
          <w:szCs w:val="22"/>
          <w:lang w:val="en-GB"/>
        </w:rPr>
      </w:pPr>
    </w:p>
    <w:p w14:paraId="741D5C65" w14:textId="43DD56F6" w:rsidR="002077AF" w:rsidRPr="00B3361E" w:rsidRDefault="007D684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8F7F10" w:rsidRPr="00B3361E">
        <w:rPr>
          <w:rFonts w:ascii="Arial" w:hAnsi="Arial" w:cs="Arial"/>
          <w:color w:val="7B7B7B" w:themeColor="accent3" w:themeShade="BF"/>
          <w:sz w:val="22"/>
          <w:szCs w:val="22"/>
          <w:lang w:val="en-GB"/>
        </w:rPr>
        <w:t>nother source of insolvency law would be international public law instruments like treaties or conventions which the State</w:t>
      </w:r>
      <w:r w:rsidR="00802CED" w:rsidRPr="00B3361E">
        <w:rPr>
          <w:rFonts w:ascii="Arial" w:hAnsi="Arial" w:cs="Arial"/>
          <w:color w:val="7B7B7B" w:themeColor="accent3" w:themeShade="BF"/>
          <w:sz w:val="22"/>
          <w:szCs w:val="22"/>
          <w:lang w:val="en-GB"/>
        </w:rPr>
        <w:t xml:space="preserve"> are members of or</w:t>
      </w:r>
      <w:r w:rsidR="008F7F10" w:rsidRPr="00B3361E">
        <w:rPr>
          <w:rFonts w:ascii="Arial" w:hAnsi="Arial" w:cs="Arial"/>
          <w:color w:val="7B7B7B" w:themeColor="accent3" w:themeShade="BF"/>
          <w:sz w:val="22"/>
          <w:szCs w:val="22"/>
          <w:lang w:val="en-GB"/>
        </w:rPr>
        <w:t xml:space="preserve"> has ratified or acceded. </w:t>
      </w:r>
      <w:r>
        <w:rPr>
          <w:rFonts w:ascii="Arial" w:hAnsi="Arial" w:cs="Arial"/>
          <w:color w:val="7B7B7B" w:themeColor="accent3" w:themeShade="BF"/>
          <w:sz w:val="22"/>
          <w:szCs w:val="22"/>
          <w:lang w:val="en-GB"/>
        </w:rPr>
        <w:t xml:space="preserve">Once ratified, the treaties or conventions will be binding and becomes part of the law of the State, although some States </w:t>
      </w:r>
      <w:r w:rsidR="00802CED" w:rsidRPr="00B3361E">
        <w:rPr>
          <w:rFonts w:ascii="Arial" w:hAnsi="Arial" w:cs="Arial"/>
          <w:color w:val="7B7B7B" w:themeColor="accent3" w:themeShade="BF"/>
          <w:sz w:val="22"/>
          <w:szCs w:val="22"/>
          <w:lang w:val="en-GB"/>
        </w:rPr>
        <w:t>require</w:t>
      </w:r>
      <w:r>
        <w:rPr>
          <w:rFonts w:ascii="Arial" w:hAnsi="Arial" w:cs="Arial"/>
          <w:color w:val="7B7B7B" w:themeColor="accent3" w:themeShade="BF"/>
          <w:sz w:val="22"/>
          <w:szCs w:val="22"/>
          <w:lang w:val="en-GB"/>
        </w:rPr>
        <w:t xml:space="preserve"> the</w:t>
      </w:r>
      <w:r w:rsidR="00802CED" w:rsidRPr="00B3361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treaties or conventions to also be incorporated </w:t>
      </w:r>
      <w:r w:rsidR="00802CED" w:rsidRPr="00B3361E">
        <w:rPr>
          <w:rFonts w:ascii="Arial" w:hAnsi="Arial" w:cs="Arial"/>
          <w:color w:val="7B7B7B" w:themeColor="accent3" w:themeShade="BF"/>
          <w:sz w:val="22"/>
          <w:szCs w:val="22"/>
          <w:lang w:val="en-GB"/>
        </w:rPr>
        <w:t xml:space="preserve">with national law to be binding. </w:t>
      </w:r>
    </w:p>
    <w:p w14:paraId="787F9996" w14:textId="52340B20" w:rsidR="00E81D48" w:rsidRPr="00B3361E" w:rsidRDefault="00E81D48" w:rsidP="00B7193E">
      <w:pPr>
        <w:jc w:val="both"/>
        <w:rPr>
          <w:rFonts w:ascii="Arial" w:hAnsi="Arial" w:cs="Arial"/>
          <w:color w:val="7B7B7B" w:themeColor="accent3" w:themeShade="BF"/>
          <w:sz w:val="22"/>
          <w:szCs w:val="22"/>
          <w:lang w:val="en-GB"/>
        </w:rPr>
      </w:pPr>
    </w:p>
    <w:p w14:paraId="319B9960" w14:textId="3D093297" w:rsidR="00E81D48" w:rsidRPr="00B3361E" w:rsidRDefault="00E81D48" w:rsidP="00B7193E">
      <w:pPr>
        <w:jc w:val="both"/>
        <w:rPr>
          <w:rFonts w:ascii="Arial" w:hAnsi="Arial" w:cs="Arial"/>
          <w:color w:val="7B7B7B" w:themeColor="accent3" w:themeShade="BF"/>
          <w:sz w:val="22"/>
          <w:szCs w:val="22"/>
          <w:lang w:val="en-GB"/>
        </w:rPr>
      </w:pPr>
      <w:r w:rsidRPr="00B3361E">
        <w:rPr>
          <w:rFonts w:ascii="Arial" w:hAnsi="Arial" w:cs="Arial"/>
          <w:color w:val="7B7B7B" w:themeColor="accent3" w:themeShade="BF"/>
          <w:sz w:val="22"/>
          <w:szCs w:val="22"/>
          <w:lang w:val="en-GB"/>
        </w:rPr>
        <w:t xml:space="preserve">For common law systems, where there is a </w:t>
      </w:r>
      <w:proofErr w:type="gramStart"/>
      <w:r w:rsidRPr="00B3361E">
        <w:rPr>
          <w:rFonts w:ascii="Arial" w:hAnsi="Arial" w:cs="Arial"/>
          <w:color w:val="7B7B7B" w:themeColor="accent3" w:themeShade="BF"/>
          <w:sz w:val="22"/>
          <w:szCs w:val="22"/>
          <w:lang w:val="en-GB"/>
        </w:rPr>
        <w:t>lacunae</w:t>
      </w:r>
      <w:proofErr w:type="gramEnd"/>
      <w:r w:rsidRPr="00B3361E">
        <w:rPr>
          <w:rFonts w:ascii="Arial" w:hAnsi="Arial" w:cs="Arial"/>
          <w:color w:val="7B7B7B" w:themeColor="accent3" w:themeShade="BF"/>
          <w:sz w:val="22"/>
          <w:szCs w:val="22"/>
          <w:lang w:val="en-GB"/>
        </w:rPr>
        <w:t xml:space="preserve"> in the legislation, the law can be supplemented by common law principles</w:t>
      </w:r>
      <w:r w:rsidR="00187A3E" w:rsidRPr="00B3361E">
        <w:rPr>
          <w:rFonts w:ascii="Arial" w:hAnsi="Arial" w:cs="Arial"/>
          <w:color w:val="7B7B7B" w:themeColor="accent3" w:themeShade="BF"/>
          <w:sz w:val="22"/>
          <w:szCs w:val="22"/>
          <w:lang w:val="en-GB"/>
        </w:rPr>
        <w:t xml:space="preserve">. An example </w:t>
      </w:r>
      <w:r w:rsidR="00B76824" w:rsidRPr="00B3361E">
        <w:rPr>
          <w:rFonts w:ascii="Arial" w:hAnsi="Arial" w:cs="Arial"/>
          <w:color w:val="7B7B7B" w:themeColor="accent3" w:themeShade="BF"/>
          <w:sz w:val="22"/>
          <w:szCs w:val="22"/>
          <w:lang w:val="en-GB"/>
        </w:rPr>
        <w:t xml:space="preserve">of an English common law insolvency rule </w:t>
      </w:r>
      <w:r w:rsidR="00187A3E" w:rsidRPr="00B3361E">
        <w:rPr>
          <w:rFonts w:ascii="Arial" w:hAnsi="Arial" w:cs="Arial"/>
          <w:color w:val="7B7B7B" w:themeColor="accent3" w:themeShade="BF"/>
          <w:sz w:val="22"/>
          <w:szCs w:val="22"/>
          <w:lang w:val="en-GB"/>
        </w:rPr>
        <w:t xml:space="preserve">is the </w:t>
      </w:r>
      <w:r w:rsidR="00187A3E" w:rsidRPr="00B3361E">
        <w:rPr>
          <w:rFonts w:ascii="Arial" w:hAnsi="Arial" w:cs="Arial"/>
          <w:i/>
          <w:color w:val="7B7B7B" w:themeColor="accent3" w:themeShade="BF"/>
          <w:sz w:val="22"/>
          <w:szCs w:val="22"/>
          <w:lang w:val="en-GB"/>
        </w:rPr>
        <w:t>Gibbs</w:t>
      </w:r>
      <w:r w:rsidR="00B76824" w:rsidRPr="00B3361E">
        <w:rPr>
          <w:rStyle w:val="FootnoteReference"/>
          <w:rFonts w:ascii="Arial" w:hAnsi="Arial" w:cs="Arial"/>
          <w:i/>
          <w:color w:val="7B7B7B" w:themeColor="accent3" w:themeShade="BF"/>
          <w:sz w:val="22"/>
          <w:szCs w:val="22"/>
          <w:lang w:val="en-GB"/>
        </w:rPr>
        <w:footnoteReference w:id="7"/>
      </w:r>
      <w:r w:rsidR="00187A3E" w:rsidRPr="00B3361E">
        <w:rPr>
          <w:rFonts w:ascii="Arial" w:hAnsi="Arial" w:cs="Arial"/>
          <w:color w:val="7B7B7B" w:themeColor="accent3" w:themeShade="BF"/>
          <w:sz w:val="22"/>
          <w:szCs w:val="22"/>
          <w:lang w:val="en-GB"/>
        </w:rPr>
        <w:t xml:space="preserve"> rule</w:t>
      </w:r>
      <w:r w:rsidR="00B76824" w:rsidRPr="00B3361E">
        <w:rPr>
          <w:rFonts w:ascii="Arial" w:hAnsi="Arial" w:cs="Arial"/>
          <w:color w:val="7B7B7B" w:themeColor="accent3" w:themeShade="BF"/>
          <w:sz w:val="22"/>
          <w:szCs w:val="22"/>
          <w:lang w:val="en-GB"/>
        </w:rPr>
        <w:t xml:space="preserve"> that debt obligations governed by English law cannot be discharged or compromised by a foreign insolvency proceeding.</w:t>
      </w:r>
      <w:r w:rsidR="00B76824" w:rsidRPr="00B3361E">
        <w:rPr>
          <w:rStyle w:val="FootnoteReference"/>
          <w:rFonts w:ascii="Arial" w:hAnsi="Arial" w:cs="Arial"/>
          <w:color w:val="7B7B7B" w:themeColor="accent3" w:themeShade="BF"/>
          <w:sz w:val="22"/>
          <w:szCs w:val="22"/>
          <w:lang w:val="en-GB"/>
        </w:rPr>
        <w:footnoteReference w:id="8"/>
      </w:r>
      <w:r w:rsidR="007D684F">
        <w:rPr>
          <w:rFonts w:ascii="Arial" w:hAnsi="Arial" w:cs="Arial"/>
          <w:color w:val="7B7B7B" w:themeColor="accent3" w:themeShade="BF"/>
          <w:sz w:val="22"/>
          <w:szCs w:val="22"/>
          <w:lang w:val="en-GB"/>
        </w:rPr>
        <w:t xml:space="preserve"> Common law principles will be superseded if legislation is made to address that lacunae</w:t>
      </w:r>
      <w:r w:rsidR="004A7434">
        <w:rPr>
          <w:rFonts w:ascii="Arial" w:hAnsi="Arial" w:cs="Arial"/>
          <w:color w:val="7B7B7B" w:themeColor="accent3" w:themeShade="BF"/>
          <w:sz w:val="22"/>
          <w:szCs w:val="22"/>
          <w:lang w:val="en-GB"/>
        </w:rPr>
        <w:t>.</w:t>
      </w:r>
    </w:p>
    <w:p w14:paraId="58AE8FFB" w14:textId="3BD67078" w:rsidR="00B76824" w:rsidRPr="00B3361E" w:rsidRDefault="00B76824" w:rsidP="00B7193E">
      <w:pPr>
        <w:jc w:val="both"/>
        <w:rPr>
          <w:rFonts w:ascii="Arial" w:hAnsi="Arial" w:cs="Arial"/>
          <w:color w:val="7B7B7B" w:themeColor="accent3" w:themeShade="BF"/>
          <w:sz w:val="22"/>
          <w:szCs w:val="22"/>
          <w:lang w:val="en-GB"/>
        </w:rPr>
      </w:pPr>
    </w:p>
    <w:p w14:paraId="7CA1A8BC" w14:textId="6EFADD1E" w:rsidR="00117026" w:rsidRPr="00B3361E" w:rsidRDefault="000A67B9" w:rsidP="00B7193E">
      <w:pPr>
        <w:jc w:val="both"/>
        <w:rPr>
          <w:rFonts w:ascii="Arial" w:hAnsi="Arial" w:cs="Arial"/>
          <w:color w:val="7B7B7B" w:themeColor="accent3" w:themeShade="BF"/>
          <w:sz w:val="22"/>
          <w:szCs w:val="22"/>
          <w:lang w:val="en-GB"/>
        </w:rPr>
      </w:pPr>
      <w:r w:rsidRPr="00B3361E">
        <w:rPr>
          <w:rFonts w:ascii="Arial" w:hAnsi="Arial" w:cs="Arial"/>
          <w:color w:val="7B7B7B" w:themeColor="accent3" w:themeShade="BF"/>
          <w:sz w:val="22"/>
          <w:szCs w:val="22"/>
          <w:lang w:val="en-GB"/>
        </w:rPr>
        <w:t>Aside from insolvency legislation, legal principles in general law (i.e. non-insolvency law) will also impact insolvency including laws on real security rights, netting and set-off rights and voidable transactions.</w:t>
      </w:r>
      <w:r w:rsidR="00117026" w:rsidRPr="00B3361E">
        <w:rPr>
          <w:rFonts w:ascii="Arial" w:hAnsi="Arial" w:cs="Arial"/>
          <w:color w:val="7B7B7B" w:themeColor="accent3" w:themeShade="BF"/>
          <w:sz w:val="22"/>
          <w:szCs w:val="22"/>
          <w:lang w:val="en-GB"/>
        </w:rPr>
        <w:t xml:space="preserve"> For example, real security rights may impact the validity or priority of a creditor claim and the enforceability of security over the debtor’s property.</w:t>
      </w:r>
      <w:r w:rsidRPr="00B3361E">
        <w:rPr>
          <w:rFonts w:ascii="Arial" w:hAnsi="Arial" w:cs="Arial"/>
          <w:color w:val="7B7B7B" w:themeColor="accent3" w:themeShade="BF"/>
          <w:sz w:val="22"/>
          <w:szCs w:val="22"/>
          <w:lang w:val="en-GB"/>
        </w:rPr>
        <w:t xml:space="preserve"> These laws will generally be contained in other</w:t>
      </w:r>
      <w:r w:rsidR="004A7434">
        <w:rPr>
          <w:rFonts w:ascii="Arial" w:hAnsi="Arial" w:cs="Arial"/>
          <w:color w:val="7B7B7B" w:themeColor="accent3" w:themeShade="BF"/>
          <w:sz w:val="22"/>
          <w:szCs w:val="22"/>
          <w:lang w:val="en-GB"/>
        </w:rPr>
        <w:t xml:space="preserve"> non-insolvency</w:t>
      </w:r>
      <w:r w:rsidR="00117026" w:rsidRPr="00B3361E">
        <w:rPr>
          <w:rFonts w:ascii="Arial" w:hAnsi="Arial" w:cs="Arial"/>
          <w:color w:val="7B7B7B" w:themeColor="accent3" w:themeShade="BF"/>
          <w:sz w:val="22"/>
          <w:szCs w:val="22"/>
          <w:lang w:val="en-GB"/>
        </w:rPr>
        <w:t xml:space="preserve"> </w:t>
      </w:r>
      <w:r w:rsidRPr="00B3361E">
        <w:rPr>
          <w:rFonts w:ascii="Arial" w:hAnsi="Arial" w:cs="Arial"/>
          <w:color w:val="7B7B7B" w:themeColor="accent3" w:themeShade="BF"/>
          <w:sz w:val="22"/>
          <w:szCs w:val="22"/>
          <w:lang w:val="en-GB"/>
        </w:rPr>
        <w:t>statutes (as supplemented by common law in common law systems)</w:t>
      </w:r>
      <w:r w:rsidR="00117026" w:rsidRPr="00B3361E">
        <w:rPr>
          <w:rFonts w:ascii="Arial" w:hAnsi="Arial" w:cs="Arial"/>
          <w:color w:val="7B7B7B" w:themeColor="accent3" w:themeShade="BF"/>
          <w:sz w:val="22"/>
          <w:szCs w:val="22"/>
          <w:lang w:val="en-GB"/>
        </w:rPr>
        <w:t>, and not the insolvency legislation</w:t>
      </w:r>
      <w:r w:rsidRPr="00B3361E">
        <w:rPr>
          <w:rFonts w:ascii="Arial" w:hAnsi="Arial" w:cs="Arial"/>
          <w:color w:val="7B7B7B" w:themeColor="accent3" w:themeShade="BF"/>
          <w:sz w:val="22"/>
          <w:szCs w:val="22"/>
          <w:lang w:val="en-GB"/>
        </w:rPr>
        <w:t>.</w:t>
      </w:r>
    </w:p>
    <w:p w14:paraId="197F511D" w14:textId="68F904E9" w:rsidR="00117026" w:rsidRPr="00B3361E" w:rsidRDefault="00117026" w:rsidP="00B7193E">
      <w:pPr>
        <w:jc w:val="both"/>
        <w:rPr>
          <w:rFonts w:ascii="Arial" w:hAnsi="Arial" w:cs="Arial"/>
          <w:color w:val="7B7B7B" w:themeColor="accent3" w:themeShade="BF"/>
          <w:sz w:val="22"/>
          <w:szCs w:val="22"/>
          <w:lang w:val="en-GB"/>
        </w:rPr>
      </w:pPr>
    </w:p>
    <w:p w14:paraId="7119291E" w14:textId="19B53DFB" w:rsidR="00095DE2" w:rsidRPr="00B3361E" w:rsidRDefault="00095DE2" w:rsidP="00095DE2">
      <w:pPr>
        <w:jc w:val="both"/>
        <w:rPr>
          <w:rFonts w:ascii="Arial" w:hAnsi="Arial" w:cs="Arial"/>
          <w:color w:val="7B7B7B" w:themeColor="accent3" w:themeShade="BF"/>
          <w:sz w:val="22"/>
          <w:szCs w:val="22"/>
          <w:lang w:val="en-GB"/>
        </w:rPr>
      </w:pPr>
      <w:r w:rsidRPr="00B3361E">
        <w:rPr>
          <w:rFonts w:ascii="Arial" w:hAnsi="Arial" w:cs="Arial"/>
          <w:color w:val="7B7B7B" w:themeColor="accent3" w:themeShade="BF"/>
          <w:sz w:val="22"/>
          <w:szCs w:val="22"/>
          <w:lang w:val="en-GB"/>
        </w:rPr>
        <w:t xml:space="preserve">Further, soft law instruments may also be a source of insolvency laws of a State. Soft law instruments may be applied by the courts and insolvency practitioners where agreed upon on case-by-case basis, or even incorporated by binding legislation. For example, the European Insolvency Regulation (Recast) 2015 provides that </w:t>
      </w:r>
      <w:r w:rsidRPr="00B3361E">
        <w:rPr>
          <w:rFonts w:ascii="Arial" w:hAnsi="Arial" w:cs="Arial"/>
          <w:i/>
          <w:color w:val="7B7B7B" w:themeColor="accent3" w:themeShade="BF"/>
          <w:sz w:val="22"/>
          <w:szCs w:val="22"/>
          <w:lang w:val="en-GB"/>
        </w:rPr>
        <w:t>“When cooperating, insolvency practitioners and courts should take into account best practices for cooperation in cross-border insolvency cases, as set out in principles and guidelines on communication and cooperation adopted by European and international organisations active in the area of insolvency law and in particular the relevant guidelines prepared by the United Nations Commission on International Trade Law (</w:t>
      </w:r>
      <w:proofErr w:type="spellStart"/>
      <w:r w:rsidRPr="00B3361E">
        <w:rPr>
          <w:rFonts w:ascii="Arial" w:hAnsi="Arial" w:cs="Arial"/>
          <w:i/>
          <w:color w:val="7B7B7B" w:themeColor="accent3" w:themeShade="BF"/>
          <w:sz w:val="22"/>
          <w:szCs w:val="22"/>
          <w:lang w:val="en-GB"/>
        </w:rPr>
        <w:t>Uncitral</w:t>
      </w:r>
      <w:proofErr w:type="spellEnd"/>
      <w:r w:rsidRPr="00B3361E">
        <w:rPr>
          <w:rFonts w:ascii="Arial" w:hAnsi="Arial" w:cs="Arial"/>
          <w:i/>
          <w:color w:val="7B7B7B" w:themeColor="accent3" w:themeShade="BF"/>
          <w:sz w:val="22"/>
          <w:szCs w:val="22"/>
          <w:lang w:val="en-GB"/>
        </w:rPr>
        <w:t>).</w:t>
      </w:r>
      <w:r w:rsidRPr="00B3361E">
        <w:rPr>
          <w:rFonts w:ascii="Arial" w:hAnsi="Arial" w:cs="Arial"/>
          <w:color w:val="7B7B7B" w:themeColor="accent3" w:themeShade="BF"/>
          <w:sz w:val="22"/>
          <w:szCs w:val="22"/>
          <w:lang w:val="en-GB"/>
        </w:rPr>
        <w:t>”</w:t>
      </w:r>
      <w:r w:rsidRPr="00B3361E">
        <w:rPr>
          <w:rStyle w:val="FootnoteReference"/>
          <w:rFonts w:ascii="Arial" w:hAnsi="Arial" w:cs="Arial"/>
          <w:color w:val="7B7B7B" w:themeColor="accent3" w:themeShade="BF"/>
          <w:sz w:val="22"/>
          <w:szCs w:val="22"/>
          <w:lang w:val="en-GB"/>
        </w:rPr>
        <w:footnoteReference w:id="9"/>
      </w:r>
      <w:r w:rsidRPr="00B3361E">
        <w:rPr>
          <w:rFonts w:ascii="Arial" w:hAnsi="Arial" w:cs="Arial"/>
          <w:color w:val="7B7B7B" w:themeColor="accent3" w:themeShade="BF"/>
          <w:sz w:val="22"/>
          <w:szCs w:val="22"/>
          <w:lang w:val="en-GB"/>
        </w:rPr>
        <w:t xml:space="preserve"> </w:t>
      </w:r>
      <w:r w:rsidR="00C100F0" w:rsidRPr="00B3361E">
        <w:rPr>
          <w:rFonts w:ascii="Arial" w:hAnsi="Arial" w:cs="Arial"/>
          <w:color w:val="7B7B7B" w:themeColor="accent3" w:themeShade="BF"/>
          <w:sz w:val="22"/>
          <w:szCs w:val="22"/>
          <w:lang w:val="en-GB"/>
        </w:rPr>
        <w:t xml:space="preserve">This </w:t>
      </w:r>
      <w:r w:rsidR="004A7434">
        <w:rPr>
          <w:rFonts w:ascii="Arial" w:hAnsi="Arial" w:cs="Arial"/>
          <w:color w:val="7B7B7B" w:themeColor="accent3" w:themeShade="BF"/>
          <w:sz w:val="22"/>
          <w:szCs w:val="22"/>
          <w:lang w:val="en-GB"/>
        </w:rPr>
        <w:t>c</w:t>
      </w:r>
      <w:r w:rsidR="00C100F0" w:rsidRPr="00B3361E">
        <w:rPr>
          <w:rFonts w:ascii="Arial" w:hAnsi="Arial" w:cs="Arial"/>
          <w:color w:val="7B7B7B" w:themeColor="accent3" w:themeShade="BF"/>
          <w:sz w:val="22"/>
          <w:szCs w:val="22"/>
          <w:lang w:val="en-GB"/>
        </w:rPr>
        <w:t>ould indirectly incorporate UNCITRAL</w:t>
      </w:r>
      <w:r w:rsidR="008F7F10" w:rsidRPr="00B3361E">
        <w:rPr>
          <w:rFonts w:ascii="Arial" w:hAnsi="Arial" w:cs="Arial"/>
          <w:color w:val="7B7B7B" w:themeColor="accent3" w:themeShade="BF"/>
          <w:sz w:val="22"/>
          <w:szCs w:val="22"/>
          <w:lang w:val="en-GB"/>
        </w:rPr>
        <w:t xml:space="preserve"> guidelines such as the</w:t>
      </w:r>
      <w:r w:rsidR="00C100F0" w:rsidRPr="00B3361E">
        <w:rPr>
          <w:rFonts w:ascii="Arial" w:hAnsi="Arial" w:cs="Arial"/>
          <w:color w:val="7B7B7B" w:themeColor="accent3" w:themeShade="BF"/>
          <w:sz w:val="22"/>
          <w:szCs w:val="22"/>
          <w:lang w:val="en-GB"/>
        </w:rPr>
        <w:t xml:space="preserve"> </w:t>
      </w:r>
      <w:r w:rsidR="008F7F10" w:rsidRPr="00B3361E">
        <w:rPr>
          <w:rFonts w:ascii="Arial" w:hAnsi="Arial" w:cs="Arial"/>
          <w:color w:val="7B7B7B" w:themeColor="accent3" w:themeShade="BF"/>
          <w:sz w:val="22"/>
          <w:szCs w:val="22"/>
          <w:lang w:val="en-GB"/>
        </w:rPr>
        <w:t xml:space="preserve">UNCITRAL </w:t>
      </w:r>
      <w:r w:rsidR="00C100F0" w:rsidRPr="00B3361E">
        <w:rPr>
          <w:rFonts w:ascii="Arial" w:hAnsi="Arial" w:cs="Arial"/>
          <w:color w:val="7B7B7B" w:themeColor="accent3" w:themeShade="BF"/>
          <w:sz w:val="22"/>
          <w:szCs w:val="22"/>
          <w:lang w:val="en-GB"/>
        </w:rPr>
        <w:t>Practice Guide on Cross-Border Insolvency Cooperation (2009) into the considerations of the EU member States when dealing with cross-border insolvency cases.</w:t>
      </w:r>
      <w:r w:rsidR="004A7434">
        <w:rPr>
          <w:rFonts w:ascii="Arial" w:hAnsi="Arial" w:cs="Arial"/>
          <w:color w:val="7B7B7B" w:themeColor="accent3" w:themeShade="BF"/>
          <w:sz w:val="22"/>
          <w:szCs w:val="22"/>
          <w:lang w:val="en-GB"/>
        </w:rPr>
        <w:t xml:space="preserve"> However, generally soft law is merely persuasive and provides guidance to supplement the insolvency laws of a State if there is leeway to do so, but will not override such laws.</w:t>
      </w:r>
    </w:p>
    <w:p w14:paraId="624E69FB" w14:textId="77777777" w:rsidR="00726E9A" w:rsidRPr="00205B31" w:rsidRDefault="00726E9A" w:rsidP="00095DE2">
      <w:pPr>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135BFDA" w14:textId="797D2A50" w:rsidR="00275182" w:rsidRDefault="00060ABB" w:rsidP="00275182">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w:t>
      </w:r>
      <w:r w:rsidR="00B3361E">
        <w:rPr>
          <w:rFonts w:ascii="Arial" w:hAnsi="Arial" w:cs="Arial"/>
          <w:color w:val="7B7B7B" w:themeColor="accent3" w:themeShade="BF"/>
          <w:sz w:val="22"/>
          <w:szCs w:val="22"/>
          <w:lang w:val="en-GB"/>
        </w:rPr>
        <w:t>three pertinent questions raised by Fletcher are:</w:t>
      </w:r>
      <w:r w:rsidR="00B3361E">
        <w:rPr>
          <w:rStyle w:val="FootnoteReference"/>
          <w:rFonts w:ascii="Arial" w:hAnsi="Arial" w:cs="Arial"/>
          <w:color w:val="7B7B7B" w:themeColor="accent3" w:themeShade="BF"/>
          <w:sz w:val="22"/>
          <w:szCs w:val="22"/>
          <w:lang w:val="en-GB"/>
        </w:rPr>
        <w:footnoteReference w:id="10"/>
      </w:r>
    </w:p>
    <w:p w14:paraId="71902E88" w14:textId="43560FD2" w:rsidR="00B3361E" w:rsidRDefault="00B3361E" w:rsidP="00275182">
      <w:pPr>
        <w:widowControl w:val="0"/>
        <w:ind w:left="720" w:hanging="720"/>
        <w:jc w:val="both"/>
        <w:rPr>
          <w:rFonts w:ascii="Arial" w:hAnsi="Arial" w:cs="Arial"/>
          <w:sz w:val="22"/>
          <w:szCs w:val="22"/>
          <w:shd w:val="clear" w:color="auto" w:fill="FFFFFF"/>
          <w:lang w:val="en-GB"/>
        </w:rPr>
      </w:pPr>
    </w:p>
    <w:p w14:paraId="57A9B1CC" w14:textId="189EA322" w:rsidR="00B3361E" w:rsidRPr="00B3361E" w:rsidRDefault="00B3361E" w:rsidP="00B3361E">
      <w:pPr>
        <w:pStyle w:val="ListParagraph"/>
        <w:widowControl w:val="0"/>
        <w:numPr>
          <w:ilvl w:val="0"/>
          <w:numId w:val="25"/>
        </w:numPr>
        <w:jc w:val="both"/>
        <w:rPr>
          <w:rFonts w:ascii="Arial" w:hAnsi="Arial" w:cs="Arial"/>
          <w:color w:val="7B7B7B" w:themeColor="accent3" w:themeShade="BF"/>
          <w:sz w:val="22"/>
          <w:szCs w:val="22"/>
          <w:shd w:val="clear" w:color="auto" w:fill="FFFFFF"/>
          <w:lang w:val="en-GB"/>
        </w:rPr>
      </w:pPr>
      <w:r w:rsidRPr="00B3361E">
        <w:rPr>
          <w:rFonts w:ascii="Arial" w:hAnsi="Arial" w:cs="Arial"/>
          <w:color w:val="7B7B7B" w:themeColor="accent3" w:themeShade="BF"/>
          <w:sz w:val="22"/>
          <w:szCs w:val="22"/>
          <w:shd w:val="clear" w:color="auto" w:fill="FFFFFF"/>
          <w:lang w:val="en-GB"/>
        </w:rPr>
        <w:t>In which jurisdiction may insolvency proceedings be opened?</w:t>
      </w:r>
    </w:p>
    <w:p w14:paraId="700B496F" w14:textId="0FE7D748" w:rsidR="00B3361E" w:rsidRPr="00B3361E" w:rsidRDefault="00B3361E" w:rsidP="00B3361E">
      <w:pPr>
        <w:pStyle w:val="ListParagraph"/>
        <w:widowControl w:val="0"/>
        <w:numPr>
          <w:ilvl w:val="0"/>
          <w:numId w:val="25"/>
        </w:numPr>
        <w:jc w:val="both"/>
        <w:rPr>
          <w:rFonts w:ascii="Arial" w:hAnsi="Arial" w:cs="Arial"/>
          <w:color w:val="7B7B7B" w:themeColor="accent3" w:themeShade="BF"/>
          <w:sz w:val="22"/>
          <w:szCs w:val="22"/>
          <w:shd w:val="clear" w:color="auto" w:fill="FFFFFF"/>
          <w:lang w:val="en-GB"/>
        </w:rPr>
      </w:pPr>
      <w:r w:rsidRPr="00B3361E">
        <w:rPr>
          <w:rFonts w:ascii="Arial" w:hAnsi="Arial" w:cs="Arial"/>
          <w:color w:val="7B7B7B" w:themeColor="accent3" w:themeShade="BF"/>
          <w:sz w:val="22"/>
          <w:szCs w:val="22"/>
          <w:shd w:val="clear" w:color="auto" w:fill="FFFFFF"/>
          <w:lang w:val="en-GB"/>
        </w:rPr>
        <w:t>What country’s law should be applied in respect of different aspects of the case?</w:t>
      </w:r>
    </w:p>
    <w:p w14:paraId="4C3A9988" w14:textId="6B250F3D" w:rsidR="00B3361E" w:rsidRDefault="00B3361E" w:rsidP="00B3361E">
      <w:pPr>
        <w:pStyle w:val="ListParagraph"/>
        <w:widowControl w:val="0"/>
        <w:numPr>
          <w:ilvl w:val="0"/>
          <w:numId w:val="25"/>
        </w:numPr>
        <w:jc w:val="both"/>
        <w:rPr>
          <w:rFonts w:ascii="Arial" w:hAnsi="Arial" w:cs="Arial"/>
          <w:color w:val="7B7B7B" w:themeColor="accent3" w:themeShade="BF"/>
          <w:sz w:val="22"/>
          <w:szCs w:val="22"/>
          <w:shd w:val="clear" w:color="auto" w:fill="FFFFFF"/>
          <w:lang w:val="en-GB"/>
        </w:rPr>
      </w:pPr>
      <w:r w:rsidRPr="00B3361E">
        <w:rPr>
          <w:rFonts w:ascii="Arial" w:hAnsi="Arial" w:cs="Arial"/>
          <w:color w:val="7B7B7B" w:themeColor="accent3" w:themeShade="BF"/>
          <w:sz w:val="22"/>
          <w:szCs w:val="22"/>
          <w:shd w:val="clear" w:color="auto" w:fill="FFFFFF"/>
          <w:lang w:val="en-GB"/>
        </w:rPr>
        <w:t>What international effects will be accorded to proceedings conducted at a particular forum</w:t>
      </w:r>
      <w:r w:rsidR="00770E6F">
        <w:rPr>
          <w:rFonts w:ascii="Arial" w:hAnsi="Arial" w:cs="Arial"/>
          <w:color w:val="7B7B7B" w:themeColor="accent3" w:themeShade="BF"/>
          <w:sz w:val="22"/>
          <w:szCs w:val="22"/>
          <w:shd w:val="clear" w:color="auto" w:fill="FFFFFF"/>
          <w:lang w:val="en-GB"/>
        </w:rPr>
        <w:t>?</w:t>
      </w:r>
    </w:p>
    <w:p w14:paraId="07C67CFE" w14:textId="21EC6C33" w:rsidR="00770E6F" w:rsidRDefault="00770E6F" w:rsidP="00770E6F">
      <w:pPr>
        <w:widowControl w:val="0"/>
        <w:jc w:val="both"/>
        <w:rPr>
          <w:rFonts w:ascii="Arial" w:hAnsi="Arial" w:cs="Arial"/>
          <w:color w:val="7B7B7B" w:themeColor="accent3" w:themeShade="BF"/>
          <w:sz w:val="22"/>
          <w:szCs w:val="22"/>
          <w:shd w:val="clear" w:color="auto" w:fill="FFFFFF"/>
          <w:lang w:val="en-GB"/>
        </w:rPr>
      </w:pPr>
    </w:p>
    <w:p w14:paraId="5CC60B19" w14:textId="77777777" w:rsidR="00900E8E" w:rsidRDefault="00770E6F" w:rsidP="00770E6F">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In respect of the first question on jurisdiction, this relates to the choice of forum in which insolvency proceedings can or should be heard when the debtor has operations, creditors and assets in multiple jurisdictions</w:t>
      </w:r>
      <w:r w:rsidR="00900E8E">
        <w:rPr>
          <w:rFonts w:ascii="Arial" w:hAnsi="Arial" w:cs="Arial"/>
          <w:color w:val="7B7B7B" w:themeColor="accent3" w:themeShade="BF"/>
          <w:sz w:val="22"/>
          <w:szCs w:val="22"/>
          <w:shd w:val="clear" w:color="auto" w:fill="FFFFFF"/>
          <w:lang w:val="en-GB"/>
        </w:rPr>
        <w:t>. In such a case,</w:t>
      </w:r>
      <w:r>
        <w:rPr>
          <w:rFonts w:ascii="Arial" w:hAnsi="Arial" w:cs="Arial"/>
          <w:color w:val="7B7B7B" w:themeColor="accent3" w:themeShade="BF"/>
          <w:sz w:val="22"/>
          <w:szCs w:val="22"/>
          <w:shd w:val="clear" w:color="auto" w:fill="FFFFFF"/>
          <w:lang w:val="en-GB"/>
        </w:rPr>
        <w:t xml:space="preserve"> insolvency proceedings may be opened concurrently in </w:t>
      </w:r>
      <w:r w:rsidR="00900E8E">
        <w:rPr>
          <w:rFonts w:ascii="Arial" w:hAnsi="Arial" w:cs="Arial"/>
          <w:color w:val="7B7B7B" w:themeColor="accent3" w:themeShade="BF"/>
          <w:sz w:val="22"/>
          <w:szCs w:val="22"/>
          <w:shd w:val="clear" w:color="auto" w:fill="FFFFFF"/>
          <w:lang w:val="en-GB"/>
        </w:rPr>
        <w:t>various</w:t>
      </w:r>
      <w:r>
        <w:rPr>
          <w:rFonts w:ascii="Arial" w:hAnsi="Arial" w:cs="Arial"/>
          <w:color w:val="7B7B7B" w:themeColor="accent3" w:themeShade="BF"/>
          <w:sz w:val="22"/>
          <w:szCs w:val="22"/>
          <w:shd w:val="clear" w:color="auto" w:fill="FFFFFF"/>
          <w:lang w:val="en-GB"/>
        </w:rPr>
        <w:t xml:space="preserve"> jurisdictions.</w:t>
      </w:r>
      <w:r w:rsidR="00900E8E">
        <w:rPr>
          <w:rFonts w:ascii="Arial" w:hAnsi="Arial" w:cs="Arial"/>
          <w:color w:val="7B7B7B" w:themeColor="accent3" w:themeShade="BF"/>
          <w:sz w:val="22"/>
          <w:szCs w:val="22"/>
          <w:shd w:val="clear" w:color="auto" w:fill="FFFFFF"/>
          <w:lang w:val="en-GB"/>
        </w:rPr>
        <w:t xml:space="preserve"> </w:t>
      </w:r>
    </w:p>
    <w:p w14:paraId="2C19CB3D" w14:textId="77777777" w:rsidR="00900E8E" w:rsidRDefault="00900E8E" w:rsidP="00770E6F">
      <w:pPr>
        <w:widowControl w:val="0"/>
        <w:jc w:val="both"/>
        <w:rPr>
          <w:rFonts w:ascii="Arial" w:hAnsi="Arial" w:cs="Arial"/>
          <w:color w:val="7B7B7B" w:themeColor="accent3" w:themeShade="BF"/>
          <w:sz w:val="22"/>
          <w:szCs w:val="22"/>
          <w:shd w:val="clear" w:color="auto" w:fill="FFFFFF"/>
          <w:lang w:val="en-GB"/>
        </w:rPr>
      </w:pPr>
    </w:p>
    <w:p w14:paraId="45116C98" w14:textId="1340701A" w:rsidR="00AF5692" w:rsidRDefault="00900E8E" w:rsidP="00770E6F">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 xml:space="preserve">Generally, a State will have jurisdiction over insolvency proceedings of a debtor which is incorporated in that State. </w:t>
      </w:r>
      <w:r w:rsidR="00AF5692">
        <w:rPr>
          <w:rFonts w:ascii="Arial" w:hAnsi="Arial" w:cs="Arial"/>
          <w:color w:val="7B7B7B" w:themeColor="accent3" w:themeShade="BF"/>
          <w:sz w:val="22"/>
          <w:szCs w:val="22"/>
          <w:shd w:val="clear" w:color="auto" w:fill="FFFFFF"/>
          <w:lang w:val="en-GB"/>
        </w:rPr>
        <w:t>A State</w:t>
      </w:r>
      <w:r>
        <w:rPr>
          <w:rFonts w:ascii="Arial" w:hAnsi="Arial" w:cs="Arial"/>
          <w:color w:val="7B7B7B" w:themeColor="accent3" w:themeShade="BF"/>
          <w:sz w:val="22"/>
          <w:szCs w:val="22"/>
          <w:shd w:val="clear" w:color="auto" w:fill="FFFFFF"/>
          <w:lang w:val="en-GB"/>
        </w:rPr>
        <w:t xml:space="preserve"> </w:t>
      </w:r>
      <w:r w:rsidR="00AF5692">
        <w:rPr>
          <w:rFonts w:ascii="Arial" w:hAnsi="Arial" w:cs="Arial"/>
          <w:color w:val="7B7B7B" w:themeColor="accent3" w:themeShade="BF"/>
          <w:sz w:val="22"/>
          <w:szCs w:val="22"/>
          <w:shd w:val="clear" w:color="auto" w:fill="FFFFFF"/>
          <w:lang w:val="en-GB"/>
        </w:rPr>
        <w:t>may</w:t>
      </w:r>
      <w:r>
        <w:rPr>
          <w:rFonts w:ascii="Arial" w:hAnsi="Arial" w:cs="Arial"/>
          <w:color w:val="7B7B7B" w:themeColor="accent3" w:themeShade="BF"/>
          <w:sz w:val="22"/>
          <w:szCs w:val="22"/>
          <w:shd w:val="clear" w:color="auto" w:fill="FFFFFF"/>
          <w:lang w:val="en-GB"/>
        </w:rPr>
        <w:t xml:space="preserve"> also have jurisdiction to open insolvency proceedings of a foreign debtor incorporated in another State but having business or interests in </w:t>
      </w:r>
      <w:r w:rsidR="00AF5692">
        <w:rPr>
          <w:rFonts w:ascii="Arial" w:hAnsi="Arial" w:cs="Arial"/>
          <w:color w:val="7B7B7B" w:themeColor="accent3" w:themeShade="BF"/>
          <w:sz w:val="22"/>
          <w:szCs w:val="22"/>
          <w:shd w:val="clear" w:color="auto" w:fill="FFFFFF"/>
          <w:lang w:val="en-GB"/>
        </w:rPr>
        <w:t>the first State.</w:t>
      </w:r>
      <w:r>
        <w:rPr>
          <w:rFonts w:ascii="Arial" w:hAnsi="Arial" w:cs="Arial"/>
          <w:color w:val="7B7B7B" w:themeColor="accent3" w:themeShade="BF"/>
          <w:sz w:val="22"/>
          <w:szCs w:val="22"/>
          <w:shd w:val="clear" w:color="auto" w:fill="FFFFFF"/>
          <w:lang w:val="en-GB"/>
        </w:rPr>
        <w:t xml:space="preserve"> </w:t>
      </w:r>
      <w:r w:rsidR="00AF5692">
        <w:rPr>
          <w:rFonts w:ascii="Arial" w:hAnsi="Arial" w:cs="Arial"/>
          <w:color w:val="7B7B7B" w:themeColor="accent3" w:themeShade="BF"/>
          <w:sz w:val="22"/>
          <w:szCs w:val="22"/>
          <w:shd w:val="clear" w:color="auto" w:fill="FFFFFF"/>
          <w:lang w:val="en-GB"/>
        </w:rPr>
        <w:t>F</w:t>
      </w:r>
      <w:r>
        <w:rPr>
          <w:rFonts w:ascii="Arial" w:hAnsi="Arial" w:cs="Arial"/>
          <w:color w:val="7B7B7B" w:themeColor="accent3" w:themeShade="BF"/>
          <w:sz w:val="22"/>
          <w:szCs w:val="22"/>
          <w:shd w:val="clear" w:color="auto" w:fill="FFFFFF"/>
          <w:lang w:val="en-GB"/>
        </w:rPr>
        <w:t>or example, s.221 of the Insolvency Act 1986 empowers the English courts to wind-up a foreign company unregistered in England</w:t>
      </w:r>
      <w:r w:rsidR="00770E6F">
        <w:rPr>
          <w:rFonts w:ascii="Arial" w:hAnsi="Arial" w:cs="Arial"/>
          <w:color w:val="7B7B7B" w:themeColor="accent3" w:themeShade="BF"/>
          <w:sz w:val="22"/>
          <w:szCs w:val="22"/>
          <w:shd w:val="clear" w:color="auto" w:fill="FFFFFF"/>
          <w:lang w:val="en-GB"/>
        </w:rPr>
        <w:t xml:space="preserve"> </w:t>
      </w:r>
      <w:r w:rsidR="00AF5692">
        <w:rPr>
          <w:rFonts w:ascii="Arial" w:hAnsi="Arial" w:cs="Arial"/>
          <w:color w:val="7B7B7B" w:themeColor="accent3" w:themeShade="BF"/>
          <w:sz w:val="22"/>
          <w:szCs w:val="22"/>
          <w:shd w:val="clear" w:color="auto" w:fill="FFFFFF"/>
          <w:lang w:val="en-GB"/>
        </w:rPr>
        <w:t>but having a principal place of business in England. The issue of choice of forum therefore arises as multiple States have jurisdiction over insolvency proceedings of the same debtor and how to coordinate these concurrent proceedings.</w:t>
      </w:r>
    </w:p>
    <w:p w14:paraId="680A253C" w14:textId="684363C2" w:rsidR="00AF5692" w:rsidRDefault="00AF5692" w:rsidP="00770E6F">
      <w:pPr>
        <w:widowControl w:val="0"/>
        <w:jc w:val="both"/>
        <w:rPr>
          <w:rFonts w:ascii="Arial" w:hAnsi="Arial" w:cs="Arial"/>
          <w:color w:val="7B7B7B" w:themeColor="accent3" w:themeShade="BF"/>
          <w:sz w:val="22"/>
          <w:szCs w:val="22"/>
          <w:shd w:val="clear" w:color="auto" w:fill="FFFFFF"/>
          <w:lang w:val="en-GB"/>
        </w:rPr>
      </w:pPr>
    </w:p>
    <w:p w14:paraId="2CBCBF54" w14:textId="35B16E30" w:rsidR="00FE1AFE" w:rsidRDefault="00AF5692" w:rsidP="00770E6F">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 xml:space="preserve">The second question relates to the choice of law to be applied </w:t>
      </w:r>
      <w:r w:rsidR="002F1CE4">
        <w:rPr>
          <w:rFonts w:ascii="Arial" w:hAnsi="Arial" w:cs="Arial"/>
          <w:color w:val="7B7B7B" w:themeColor="accent3" w:themeShade="BF"/>
          <w:sz w:val="22"/>
          <w:szCs w:val="22"/>
          <w:shd w:val="clear" w:color="auto" w:fill="FFFFFF"/>
          <w:lang w:val="en-GB"/>
        </w:rPr>
        <w:t xml:space="preserve">by the Court </w:t>
      </w:r>
      <w:r>
        <w:rPr>
          <w:rFonts w:ascii="Arial" w:hAnsi="Arial" w:cs="Arial"/>
          <w:color w:val="7B7B7B" w:themeColor="accent3" w:themeShade="BF"/>
          <w:sz w:val="22"/>
          <w:szCs w:val="22"/>
          <w:shd w:val="clear" w:color="auto" w:fill="FFFFFF"/>
          <w:lang w:val="en-GB"/>
        </w:rPr>
        <w:t>to</w:t>
      </w:r>
      <w:r w:rsidR="002F1CE4">
        <w:rPr>
          <w:rFonts w:ascii="Arial" w:hAnsi="Arial" w:cs="Arial"/>
          <w:color w:val="7B7B7B" w:themeColor="accent3" w:themeShade="BF"/>
          <w:sz w:val="22"/>
          <w:szCs w:val="22"/>
          <w:shd w:val="clear" w:color="auto" w:fill="FFFFFF"/>
          <w:lang w:val="en-GB"/>
        </w:rPr>
        <w:t xml:space="preserve"> the various aspects of</w:t>
      </w:r>
      <w:r>
        <w:rPr>
          <w:rFonts w:ascii="Arial" w:hAnsi="Arial" w:cs="Arial"/>
          <w:color w:val="7B7B7B" w:themeColor="accent3" w:themeShade="BF"/>
          <w:sz w:val="22"/>
          <w:szCs w:val="22"/>
          <w:shd w:val="clear" w:color="auto" w:fill="FFFFFF"/>
          <w:lang w:val="en-GB"/>
        </w:rPr>
        <w:t xml:space="preserve"> insolvency proceedings</w:t>
      </w:r>
      <w:r w:rsidR="002F1CE4">
        <w:rPr>
          <w:rFonts w:ascii="Arial" w:hAnsi="Arial" w:cs="Arial"/>
          <w:color w:val="7B7B7B" w:themeColor="accent3" w:themeShade="BF"/>
          <w:sz w:val="22"/>
          <w:szCs w:val="22"/>
          <w:shd w:val="clear" w:color="auto" w:fill="FFFFFF"/>
          <w:lang w:val="en-GB"/>
        </w:rPr>
        <w:t xml:space="preserve">. </w:t>
      </w:r>
      <w:r w:rsidR="00C61F1E">
        <w:rPr>
          <w:rFonts w:ascii="Arial" w:hAnsi="Arial" w:cs="Arial"/>
          <w:color w:val="7B7B7B" w:themeColor="accent3" w:themeShade="BF"/>
          <w:sz w:val="22"/>
          <w:szCs w:val="22"/>
          <w:shd w:val="clear" w:color="auto" w:fill="FFFFFF"/>
          <w:lang w:val="en-GB"/>
        </w:rPr>
        <w:t>The law applicable is important as it will affect the treatment of creditors and their claims as well as transactions and assets of the debtor</w:t>
      </w:r>
      <w:r w:rsidR="00A12835">
        <w:rPr>
          <w:rFonts w:ascii="Arial" w:hAnsi="Arial" w:cs="Arial"/>
          <w:color w:val="7B7B7B" w:themeColor="accent3" w:themeShade="BF"/>
          <w:sz w:val="22"/>
          <w:szCs w:val="22"/>
          <w:shd w:val="clear" w:color="auto" w:fill="FFFFFF"/>
          <w:lang w:val="en-GB"/>
        </w:rPr>
        <w:t>, including</w:t>
      </w:r>
      <w:r w:rsidR="00AA1A8E">
        <w:rPr>
          <w:rFonts w:ascii="Arial" w:hAnsi="Arial" w:cs="Arial"/>
          <w:color w:val="7B7B7B" w:themeColor="accent3" w:themeShade="BF"/>
          <w:sz w:val="22"/>
          <w:szCs w:val="22"/>
          <w:shd w:val="clear" w:color="auto" w:fill="FFFFFF"/>
          <w:lang w:val="en-GB"/>
        </w:rPr>
        <w:t xml:space="preserve"> determination on</w:t>
      </w:r>
      <w:r w:rsidR="00A12835">
        <w:rPr>
          <w:rFonts w:ascii="Arial" w:hAnsi="Arial" w:cs="Arial"/>
          <w:color w:val="7B7B7B" w:themeColor="accent3" w:themeShade="BF"/>
          <w:sz w:val="22"/>
          <w:szCs w:val="22"/>
          <w:shd w:val="clear" w:color="auto" w:fill="FFFFFF"/>
          <w:lang w:val="en-GB"/>
        </w:rPr>
        <w:t xml:space="preserve"> security interests, set-off and avoidanc</w:t>
      </w:r>
      <w:r w:rsidR="00AA1A8E">
        <w:rPr>
          <w:rFonts w:ascii="Arial" w:hAnsi="Arial" w:cs="Arial"/>
          <w:color w:val="7B7B7B" w:themeColor="accent3" w:themeShade="BF"/>
          <w:sz w:val="22"/>
          <w:szCs w:val="22"/>
          <w:shd w:val="clear" w:color="auto" w:fill="FFFFFF"/>
          <w:lang w:val="en-GB"/>
        </w:rPr>
        <w:t>e provisions</w:t>
      </w:r>
      <w:r w:rsidR="00C61F1E">
        <w:rPr>
          <w:rFonts w:ascii="Arial" w:hAnsi="Arial" w:cs="Arial"/>
          <w:color w:val="7B7B7B" w:themeColor="accent3" w:themeShade="BF"/>
          <w:sz w:val="22"/>
          <w:szCs w:val="22"/>
          <w:shd w:val="clear" w:color="auto" w:fill="FFFFFF"/>
          <w:lang w:val="en-GB"/>
        </w:rPr>
        <w:t xml:space="preserve">. </w:t>
      </w:r>
      <w:r w:rsidR="00FE1AFE">
        <w:rPr>
          <w:rFonts w:ascii="Arial" w:hAnsi="Arial" w:cs="Arial"/>
          <w:color w:val="7B7B7B" w:themeColor="accent3" w:themeShade="BF"/>
          <w:sz w:val="22"/>
          <w:szCs w:val="22"/>
          <w:shd w:val="clear" w:color="auto" w:fill="FFFFFF"/>
          <w:lang w:val="en-GB"/>
        </w:rPr>
        <w:t xml:space="preserve">The regimes in some jurisdictions </w:t>
      </w:r>
      <w:r w:rsidR="0029602F">
        <w:rPr>
          <w:rFonts w:ascii="Arial" w:hAnsi="Arial" w:cs="Arial"/>
          <w:color w:val="7B7B7B" w:themeColor="accent3" w:themeShade="BF"/>
          <w:sz w:val="22"/>
          <w:szCs w:val="22"/>
          <w:shd w:val="clear" w:color="auto" w:fill="FFFFFF"/>
          <w:lang w:val="en-GB"/>
        </w:rPr>
        <w:t>may be</w:t>
      </w:r>
      <w:r w:rsidR="00FE1AFE">
        <w:rPr>
          <w:rFonts w:ascii="Arial" w:hAnsi="Arial" w:cs="Arial"/>
          <w:color w:val="7B7B7B" w:themeColor="accent3" w:themeShade="BF"/>
          <w:sz w:val="22"/>
          <w:szCs w:val="22"/>
          <w:shd w:val="clear" w:color="auto" w:fill="FFFFFF"/>
          <w:lang w:val="en-GB"/>
        </w:rPr>
        <w:t xml:space="preserve"> more debtor-friendly or creditor-friendly than others, and parties to a transaction would want certainty as to which law would apply in insolvency.</w:t>
      </w:r>
    </w:p>
    <w:p w14:paraId="34C854BF" w14:textId="77777777" w:rsidR="00FE1AFE" w:rsidRDefault="00FE1AFE" w:rsidP="00770E6F">
      <w:pPr>
        <w:widowControl w:val="0"/>
        <w:jc w:val="both"/>
        <w:rPr>
          <w:rFonts w:ascii="Arial" w:hAnsi="Arial" w:cs="Arial"/>
          <w:color w:val="7B7B7B" w:themeColor="accent3" w:themeShade="BF"/>
          <w:sz w:val="22"/>
          <w:szCs w:val="22"/>
          <w:shd w:val="clear" w:color="auto" w:fill="FFFFFF"/>
          <w:lang w:val="en-GB"/>
        </w:rPr>
      </w:pPr>
    </w:p>
    <w:p w14:paraId="7C56F811" w14:textId="795D5CF7" w:rsidR="00AF5692" w:rsidRDefault="002F1CE4" w:rsidP="00770E6F">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For example, the European Insolvency Regulation (Recast) 2015 provides that the law applicable to an insolvency proceeding in an EU member State is the national law of that State</w:t>
      </w:r>
      <w:r w:rsidR="008A1735">
        <w:rPr>
          <w:rFonts w:ascii="Arial" w:hAnsi="Arial" w:cs="Arial"/>
          <w:color w:val="7B7B7B" w:themeColor="accent3" w:themeShade="BF"/>
          <w:sz w:val="22"/>
          <w:szCs w:val="22"/>
          <w:shd w:val="clear" w:color="auto" w:fill="FFFFFF"/>
          <w:lang w:val="en-GB"/>
        </w:rPr>
        <w:t xml:space="preserve"> and determines the conditions for the opening, conduct and closure of the proceedings</w:t>
      </w:r>
      <w:r w:rsidR="00C61F1E">
        <w:rPr>
          <w:rFonts w:ascii="Arial" w:hAnsi="Arial" w:cs="Arial"/>
          <w:color w:val="7B7B7B" w:themeColor="accent3" w:themeShade="BF"/>
          <w:sz w:val="22"/>
          <w:szCs w:val="22"/>
          <w:shd w:val="clear" w:color="auto" w:fill="FFFFFF"/>
          <w:lang w:val="en-GB"/>
        </w:rPr>
        <w:t>.</w:t>
      </w:r>
      <w:r w:rsidR="008A1735">
        <w:rPr>
          <w:rStyle w:val="FootnoteReference"/>
          <w:rFonts w:ascii="Arial" w:hAnsi="Arial" w:cs="Arial"/>
          <w:color w:val="7B7B7B" w:themeColor="accent3" w:themeShade="BF"/>
          <w:sz w:val="22"/>
          <w:szCs w:val="22"/>
          <w:shd w:val="clear" w:color="auto" w:fill="FFFFFF"/>
          <w:lang w:val="en-GB"/>
        </w:rPr>
        <w:footnoteReference w:id="11"/>
      </w:r>
      <w:r w:rsidR="00C61F1E">
        <w:rPr>
          <w:rFonts w:ascii="Arial" w:hAnsi="Arial" w:cs="Arial"/>
          <w:color w:val="7B7B7B" w:themeColor="accent3" w:themeShade="BF"/>
          <w:sz w:val="22"/>
          <w:szCs w:val="22"/>
          <w:shd w:val="clear" w:color="auto" w:fill="FFFFFF"/>
          <w:lang w:val="en-GB"/>
        </w:rPr>
        <w:t xml:space="preserve"> However, beneficiar</w:t>
      </w:r>
      <w:r w:rsidR="008A1735">
        <w:rPr>
          <w:rFonts w:ascii="Arial" w:hAnsi="Arial" w:cs="Arial"/>
          <w:color w:val="7B7B7B" w:themeColor="accent3" w:themeShade="BF"/>
          <w:sz w:val="22"/>
          <w:szCs w:val="22"/>
          <w:shd w:val="clear" w:color="auto" w:fill="FFFFFF"/>
          <w:lang w:val="en-GB"/>
        </w:rPr>
        <w:t>ies</w:t>
      </w:r>
      <w:r w:rsidR="00C61F1E">
        <w:rPr>
          <w:rFonts w:ascii="Arial" w:hAnsi="Arial" w:cs="Arial"/>
          <w:color w:val="7B7B7B" w:themeColor="accent3" w:themeShade="BF"/>
          <w:sz w:val="22"/>
          <w:szCs w:val="22"/>
          <w:shd w:val="clear" w:color="auto" w:fill="FFFFFF"/>
          <w:lang w:val="en-GB"/>
        </w:rPr>
        <w:t xml:space="preserve"> of a</w:t>
      </w:r>
      <w:r w:rsidR="00FE1AFE">
        <w:rPr>
          <w:rFonts w:ascii="Arial" w:hAnsi="Arial" w:cs="Arial"/>
          <w:color w:val="7B7B7B" w:themeColor="accent3" w:themeShade="BF"/>
          <w:sz w:val="22"/>
          <w:szCs w:val="22"/>
          <w:shd w:val="clear" w:color="auto" w:fill="FFFFFF"/>
          <w:lang w:val="en-GB"/>
        </w:rPr>
        <w:t>n act or</w:t>
      </w:r>
      <w:r w:rsidR="00C61F1E">
        <w:rPr>
          <w:rFonts w:ascii="Arial" w:hAnsi="Arial" w:cs="Arial"/>
          <w:color w:val="7B7B7B" w:themeColor="accent3" w:themeShade="BF"/>
          <w:sz w:val="22"/>
          <w:szCs w:val="22"/>
          <w:shd w:val="clear" w:color="auto" w:fill="FFFFFF"/>
          <w:lang w:val="en-GB"/>
        </w:rPr>
        <w:t xml:space="preserve"> transaction can argue that the </w:t>
      </w:r>
      <w:r w:rsidR="0029602F">
        <w:rPr>
          <w:rFonts w:ascii="Arial" w:hAnsi="Arial" w:cs="Arial"/>
          <w:color w:val="7B7B7B" w:themeColor="accent3" w:themeShade="BF"/>
          <w:sz w:val="22"/>
          <w:szCs w:val="22"/>
          <w:shd w:val="clear" w:color="auto" w:fill="FFFFFF"/>
          <w:lang w:val="en-GB"/>
        </w:rPr>
        <w:t xml:space="preserve">particular </w:t>
      </w:r>
      <w:r w:rsidR="00FE1AFE">
        <w:rPr>
          <w:rFonts w:ascii="Arial" w:hAnsi="Arial" w:cs="Arial"/>
          <w:color w:val="7B7B7B" w:themeColor="accent3" w:themeShade="BF"/>
          <w:sz w:val="22"/>
          <w:szCs w:val="22"/>
          <w:shd w:val="clear" w:color="auto" w:fill="FFFFFF"/>
          <w:lang w:val="en-GB"/>
        </w:rPr>
        <w:t>act or</w:t>
      </w:r>
      <w:r w:rsidR="00C61F1E">
        <w:rPr>
          <w:rFonts w:ascii="Arial" w:hAnsi="Arial" w:cs="Arial"/>
          <w:color w:val="7B7B7B" w:themeColor="accent3" w:themeShade="BF"/>
          <w:sz w:val="22"/>
          <w:szCs w:val="22"/>
          <w:shd w:val="clear" w:color="auto" w:fill="FFFFFF"/>
          <w:lang w:val="en-GB"/>
        </w:rPr>
        <w:t xml:space="preserve"> transaction is subject </w:t>
      </w:r>
      <w:r w:rsidR="0029602F">
        <w:rPr>
          <w:rFonts w:ascii="Arial" w:hAnsi="Arial" w:cs="Arial"/>
          <w:color w:val="7B7B7B" w:themeColor="accent3" w:themeShade="BF"/>
          <w:sz w:val="22"/>
          <w:szCs w:val="22"/>
          <w:shd w:val="clear" w:color="auto" w:fill="FFFFFF"/>
          <w:lang w:val="en-GB"/>
        </w:rPr>
        <w:t xml:space="preserve">instead </w:t>
      </w:r>
      <w:r w:rsidR="00C61F1E">
        <w:rPr>
          <w:rFonts w:ascii="Arial" w:hAnsi="Arial" w:cs="Arial"/>
          <w:color w:val="7B7B7B" w:themeColor="accent3" w:themeShade="BF"/>
          <w:sz w:val="22"/>
          <w:szCs w:val="22"/>
          <w:shd w:val="clear" w:color="auto" w:fill="FFFFFF"/>
          <w:lang w:val="en-GB"/>
        </w:rPr>
        <w:t xml:space="preserve">to the law of another EU member State </w:t>
      </w:r>
      <w:r w:rsidR="0029602F">
        <w:rPr>
          <w:rFonts w:ascii="Arial" w:hAnsi="Arial" w:cs="Arial"/>
          <w:color w:val="7B7B7B" w:themeColor="accent3" w:themeShade="BF"/>
          <w:sz w:val="22"/>
          <w:szCs w:val="22"/>
          <w:shd w:val="clear" w:color="auto" w:fill="FFFFFF"/>
          <w:lang w:val="en-GB"/>
        </w:rPr>
        <w:t>which</w:t>
      </w:r>
      <w:r w:rsidR="00C61F1E">
        <w:rPr>
          <w:rFonts w:ascii="Arial" w:hAnsi="Arial" w:cs="Arial"/>
          <w:color w:val="7B7B7B" w:themeColor="accent3" w:themeShade="BF"/>
          <w:sz w:val="22"/>
          <w:szCs w:val="22"/>
          <w:shd w:val="clear" w:color="auto" w:fill="FFFFFF"/>
          <w:lang w:val="en-GB"/>
        </w:rPr>
        <w:t xml:space="preserve"> does not allow the transaction to be challenged</w:t>
      </w:r>
      <w:r w:rsidR="00FE1AFE">
        <w:rPr>
          <w:rFonts w:ascii="Arial" w:hAnsi="Arial" w:cs="Arial"/>
          <w:color w:val="7B7B7B" w:themeColor="accent3" w:themeShade="BF"/>
          <w:sz w:val="22"/>
          <w:szCs w:val="22"/>
          <w:shd w:val="clear" w:color="auto" w:fill="FFFFFF"/>
          <w:lang w:val="en-GB"/>
        </w:rPr>
        <w:t>.</w:t>
      </w:r>
      <w:r w:rsidR="00FE1AFE">
        <w:rPr>
          <w:rStyle w:val="FootnoteReference"/>
          <w:rFonts w:ascii="Arial" w:hAnsi="Arial" w:cs="Arial"/>
          <w:color w:val="7B7B7B" w:themeColor="accent3" w:themeShade="BF"/>
          <w:sz w:val="22"/>
          <w:szCs w:val="22"/>
          <w:shd w:val="clear" w:color="auto" w:fill="FFFFFF"/>
          <w:lang w:val="en-GB"/>
        </w:rPr>
        <w:footnoteReference w:id="12"/>
      </w:r>
      <w:r w:rsidR="00FE1AFE">
        <w:rPr>
          <w:rFonts w:ascii="Arial" w:hAnsi="Arial" w:cs="Arial"/>
          <w:color w:val="7B7B7B" w:themeColor="accent3" w:themeShade="BF"/>
          <w:sz w:val="22"/>
          <w:szCs w:val="22"/>
          <w:shd w:val="clear" w:color="auto" w:fill="FFFFFF"/>
          <w:lang w:val="en-GB"/>
        </w:rPr>
        <w:t xml:space="preserve"> The law applicable </w:t>
      </w:r>
      <w:r w:rsidR="0029602F">
        <w:rPr>
          <w:rFonts w:ascii="Arial" w:hAnsi="Arial" w:cs="Arial"/>
          <w:color w:val="7B7B7B" w:themeColor="accent3" w:themeShade="BF"/>
          <w:sz w:val="22"/>
          <w:szCs w:val="22"/>
          <w:shd w:val="clear" w:color="auto" w:fill="FFFFFF"/>
          <w:lang w:val="en-GB"/>
        </w:rPr>
        <w:t>can</w:t>
      </w:r>
      <w:r w:rsidR="00FE1AFE">
        <w:rPr>
          <w:rFonts w:ascii="Arial" w:hAnsi="Arial" w:cs="Arial"/>
          <w:color w:val="7B7B7B" w:themeColor="accent3" w:themeShade="BF"/>
          <w:sz w:val="22"/>
          <w:szCs w:val="22"/>
          <w:shd w:val="clear" w:color="auto" w:fill="FFFFFF"/>
          <w:lang w:val="en-GB"/>
        </w:rPr>
        <w:t xml:space="preserve"> impact the validity and enforceability of a particular act or transaction.</w:t>
      </w:r>
    </w:p>
    <w:p w14:paraId="507CD4CD" w14:textId="5FFC8FCB" w:rsidR="008A1735" w:rsidRDefault="008A1735" w:rsidP="00770E6F">
      <w:pPr>
        <w:widowControl w:val="0"/>
        <w:jc w:val="both"/>
        <w:rPr>
          <w:rFonts w:ascii="Arial" w:hAnsi="Arial" w:cs="Arial"/>
          <w:color w:val="7B7B7B" w:themeColor="accent3" w:themeShade="BF"/>
          <w:sz w:val="22"/>
          <w:szCs w:val="22"/>
          <w:shd w:val="clear" w:color="auto" w:fill="FFFFFF"/>
          <w:lang w:val="en-GB"/>
        </w:rPr>
      </w:pPr>
    </w:p>
    <w:p w14:paraId="172B551D" w14:textId="10019C93" w:rsidR="00163A57" w:rsidRDefault="00FE1AFE" w:rsidP="00770E6F">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The third question relates to the recognition and enforceability of foreign insolvency proceedings</w:t>
      </w:r>
      <w:r w:rsidR="00163A57">
        <w:rPr>
          <w:rFonts w:ascii="Arial" w:hAnsi="Arial" w:cs="Arial"/>
          <w:color w:val="7B7B7B" w:themeColor="accent3" w:themeShade="BF"/>
          <w:sz w:val="22"/>
          <w:szCs w:val="22"/>
          <w:shd w:val="clear" w:color="auto" w:fill="FFFFFF"/>
          <w:lang w:val="en-GB"/>
        </w:rPr>
        <w:t xml:space="preserve"> or foreign judgments</w:t>
      </w:r>
      <w:r>
        <w:rPr>
          <w:rFonts w:ascii="Arial" w:hAnsi="Arial" w:cs="Arial"/>
          <w:color w:val="7B7B7B" w:themeColor="accent3" w:themeShade="BF"/>
          <w:sz w:val="22"/>
          <w:szCs w:val="22"/>
          <w:shd w:val="clear" w:color="auto" w:fill="FFFFFF"/>
          <w:lang w:val="en-GB"/>
        </w:rPr>
        <w:t>.</w:t>
      </w:r>
      <w:r w:rsidR="00163A57">
        <w:rPr>
          <w:rFonts w:ascii="Arial" w:hAnsi="Arial" w:cs="Arial"/>
          <w:color w:val="7B7B7B" w:themeColor="accent3" w:themeShade="BF"/>
          <w:sz w:val="22"/>
          <w:szCs w:val="22"/>
          <w:shd w:val="clear" w:color="auto" w:fill="FFFFFF"/>
          <w:lang w:val="en-GB"/>
        </w:rPr>
        <w:t xml:space="preserve"> This will impact how insolvency proceedings over a debtor can be conducted and coordinated when there are creditors and assets in various jurisdictions, including issues such as whether foreign creditors can participate and the priority of their claims or whether the officeholder appointed may be able to holistically deal with the debtor’s assets in another jurisdiction. The challenge </w:t>
      </w:r>
      <w:r w:rsidR="0029602F">
        <w:rPr>
          <w:rFonts w:ascii="Arial" w:hAnsi="Arial" w:cs="Arial"/>
          <w:color w:val="7B7B7B" w:themeColor="accent3" w:themeShade="BF"/>
          <w:sz w:val="22"/>
          <w:szCs w:val="22"/>
          <w:shd w:val="clear" w:color="auto" w:fill="FFFFFF"/>
          <w:lang w:val="en-GB"/>
        </w:rPr>
        <w:t xml:space="preserve">for a State and the courts </w:t>
      </w:r>
      <w:r w:rsidR="00163A57">
        <w:rPr>
          <w:rFonts w:ascii="Arial" w:hAnsi="Arial" w:cs="Arial"/>
          <w:color w:val="7B7B7B" w:themeColor="accent3" w:themeShade="BF"/>
          <w:sz w:val="22"/>
          <w:szCs w:val="22"/>
          <w:shd w:val="clear" w:color="auto" w:fill="FFFFFF"/>
          <w:lang w:val="en-GB"/>
        </w:rPr>
        <w:t xml:space="preserve">is that there are competing interests between </w:t>
      </w:r>
      <w:r w:rsidR="00AA1A8E">
        <w:rPr>
          <w:rFonts w:ascii="Arial" w:hAnsi="Arial" w:cs="Arial"/>
          <w:color w:val="7B7B7B" w:themeColor="accent3" w:themeShade="BF"/>
          <w:sz w:val="22"/>
          <w:szCs w:val="22"/>
          <w:shd w:val="clear" w:color="auto" w:fill="FFFFFF"/>
          <w:lang w:val="en-GB"/>
        </w:rPr>
        <w:t xml:space="preserve">territoriality in </w:t>
      </w:r>
      <w:r w:rsidR="00163A57">
        <w:rPr>
          <w:rFonts w:ascii="Arial" w:hAnsi="Arial" w:cs="Arial"/>
          <w:color w:val="7B7B7B" w:themeColor="accent3" w:themeShade="BF"/>
          <w:sz w:val="22"/>
          <w:szCs w:val="22"/>
          <w:shd w:val="clear" w:color="auto" w:fill="FFFFFF"/>
          <w:lang w:val="en-GB"/>
        </w:rPr>
        <w:t xml:space="preserve">protecting national interests and </w:t>
      </w:r>
      <w:r w:rsidR="00AA1A8E">
        <w:rPr>
          <w:rFonts w:ascii="Arial" w:hAnsi="Arial" w:cs="Arial"/>
          <w:color w:val="7B7B7B" w:themeColor="accent3" w:themeShade="BF"/>
          <w:sz w:val="22"/>
          <w:szCs w:val="22"/>
          <w:shd w:val="clear" w:color="auto" w:fill="FFFFFF"/>
          <w:lang w:val="en-GB"/>
        </w:rPr>
        <w:t xml:space="preserve">universality in </w:t>
      </w:r>
      <w:r w:rsidR="00163A57">
        <w:rPr>
          <w:rFonts w:ascii="Arial" w:hAnsi="Arial" w:cs="Arial"/>
          <w:color w:val="7B7B7B" w:themeColor="accent3" w:themeShade="BF"/>
          <w:sz w:val="22"/>
          <w:szCs w:val="22"/>
          <w:shd w:val="clear" w:color="auto" w:fill="FFFFFF"/>
          <w:lang w:val="en-GB"/>
        </w:rPr>
        <w:t>assisting the foreign insolvency proceedings or insolvency practitioner.</w:t>
      </w:r>
    </w:p>
    <w:p w14:paraId="078BA6F2" w14:textId="13904731" w:rsidR="00163A57" w:rsidRDefault="00163A57" w:rsidP="00770E6F">
      <w:pPr>
        <w:widowControl w:val="0"/>
        <w:jc w:val="both"/>
        <w:rPr>
          <w:rFonts w:ascii="Arial" w:hAnsi="Arial" w:cs="Arial"/>
          <w:color w:val="7B7B7B" w:themeColor="accent3" w:themeShade="BF"/>
          <w:sz w:val="22"/>
          <w:szCs w:val="22"/>
          <w:shd w:val="clear" w:color="auto" w:fill="FFFFFF"/>
          <w:lang w:val="en-GB"/>
        </w:rPr>
      </w:pPr>
    </w:p>
    <w:p w14:paraId="2107DBE6" w14:textId="4FF6A835" w:rsidR="00163A57" w:rsidRDefault="00163A57" w:rsidP="00770E6F">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 xml:space="preserve">For example, the English courts can give recognition and </w:t>
      </w:r>
      <w:proofErr w:type="gramStart"/>
      <w:r>
        <w:rPr>
          <w:rFonts w:ascii="Arial" w:hAnsi="Arial" w:cs="Arial"/>
          <w:color w:val="7B7B7B" w:themeColor="accent3" w:themeShade="BF"/>
          <w:sz w:val="22"/>
          <w:szCs w:val="22"/>
          <w:shd w:val="clear" w:color="auto" w:fill="FFFFFF"/>
          <w:lang w:val="en-GB"/>
        </w:rPr>
        <w:t>provide assistance to</w:t>
      </w:r>
      <w:proofErr w:type="gramEnd"/>
      <w:r>
        <w:rPr>
          <w:rFonts w:ascii="Arial" w:hAnsi="Arial" w:cs="Arial"/>
          <w:color w:val="7B7B7B" w:themeColor="accent3" w:themeShade="BF"/>
          <w:sz w:val="22"/>
          <w:szCs w:val="22"/>
          <w:shd w:val="clear" w:color="auto" w:fill="FFFFFF"/>
          <w:lang w:val="en-GB"/>
        </w:rPr>
        <w:t xml:space="preserve"> foreign insolvency proceedings and foreign insolvency practitioners to deal with assets in England (section 426 of the Insolvency Act 1986 as well as the CBIR 2006). However, the assistance </w:t>
      </w:r>
      <w:r w:rsidR="00EB0BC5">
        <w:rPr>
          <w:rFonts w:ascii="Arial" w:hAnsi="Arial" w:cs="Arial"/>
          <w:color w:val="7B7B7B" w:themeColor="accent3" w:themeShade="BF"/>
          <w:sz w:val="22"/>
          <w:szCs w:val="22"/>
          <w:shd w:val="clear" w:color="auto" w:fill="FFFFFF"/>
          <w:lang w:val="en-GB"/>
        </w:rPr>
        <w:t xml:space="preserve">and reliefs </w:t>
      </w:r>
      <w:r>
        <w:rPr>
          <w:rFonts w:ascii="Arial" w:hAnsi="Arial" w:cs="Arial"/>
          <w:color w:val="7B7B7B" w:themeColor="accent3" w:themeShade="BF"/>
          <w:sz w:val="22"/>
          <w:szCs w:val="22"/>
          <w:shd w:val="clear" w:color="auto" w:fill="FFFFFF"/>
          <w:lang w:val="en-GB"/>
        </w:rPr>
        <w:t xml:space="preserve">provided </w:t>
      </w:r>
      <w:r w:rsidR="00EB0BC5">
        <w:rPr>
          <w:rFonts w:ascii="Arial" w:hAnsi="Arial" w:cs="Arial"/>
          <w:color w:val="7B7B7B" w:themeColor="accent3" w:themeShade="BF"/>
          <w:sz w:val="22"/>
          <w:szCs w:val="22"/>
          <w:shd w:val="clear" w:color="auto" w:fill="FFFFFF"/>
          <w:lang w:val="en-GB"/>
        </w:rPr>
        <w:t xml:space="preserve">will depend on whether the foreign insolvency proceedings are main or non-main proceedings, and also whether the insolvency proceedings have commenced in </w:t>
      </w:r>
      <w:r w:rsidR="00EB0BC5">
        <w:rPr>
          <w:rFonts w:ascii="Arial" w:hAnsi="Arial" w:cs="Arial"/>
          <w:color w:val="7B7B7B" w:themeColor="accent3" w:themeShade="BF"/>
          <w:sz w:val="22"/>
          <w:szCs w:val="22"/>
          <w:shd w:val="clear" w:color="auto" w:fill="FFFFFF"/>
          <w:lang w:val="en-GB"/>
        </w:rPr>
        <w:lastRenderedPageBreak/>
        <w:t>England prior to recognition of the foreign insolvency proceedings.</w:t>
      </w:r>
    </w:p>
    <w:p w14:paraId="449FD57E" w14:textId="42CE0D41" w:rsidR="00EB0BC5" w:rsidRDefault="00EB0BC5" w:rsidP="00770E6F">
      <w:pPr>
        <w:widowControl w:val="0"/>
        <w:jc w:val="both"/>
        <w:rPr>
          <w:rFonts w:ascii="Arial" w:hAnsi="Arial" w:cs="Arial"/>
          <w:color w:val="7B7B7B" w:themeColor="accent3" w:themeShade="BF"/>
          <w:sz w:val="22"/>
          <w:szCs w:val="22"/>
          <w:shd w:val="clear" w:color="auto" w:fill="FFFFFF"/>
          <w:lang w:val="en-GB"/>
        </w:rPr>
      </w:pPr>
    </w:p>
    <w:p w14:paraId="39B93AC5" w14:textId="6121B2B7" w:rsidR="00275182" w:rsidRDefault="00EB0BC5" w:rsidP="00EB0BC5">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 xml:space="preserve">Certainty and predictability on all three fundamental issues raised by Fletcher is important for countries’ economic growth when it comes to encouraging cross-border trading and foreign investments. </w:t>
      </w:r>
    </w:p>
    <w:p w14:paraId="64D20094" w14:textId="77777777" w:rsidR="00AA1A8E" w:rsidRPr="00EB0BC5" w:rsidRDefault="00AA1A8E" w:rsidP="00EB0BC5">
      <w:pPr>
        <w:widowControl w:val="0"/>
        <w:jc w:val="both"/>
        <w:rPr>
          <w:rFonts w:ascii="Arial" w:hAnsi="Arial" w:cs="Arial"/>
          <w:color w:val="7B7B7B" w:themeColor="accent3" w:themeShade="BF"/>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12A2AE28" w:rsidR="00DF75F8" w:rsidRDefault="00AA1A8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example of a prominent case law in this respect is the case of </w:t>
      </w:r>
      <w:r w:rsidR="00423041" w:rsidRPr="00423041">
        <w:rPr>
          <w:rFonts w:ascii="Arial" w:hAnsi="Arial" w:cs="Arial"/>
          <w:i/>
          <w:color w:val="7B7B7B" w:themeColor="accent3" w:themeShade="BF"/>
          <w:sz w:val="22"/>
          <w:szCs w:val="22"/>
          <w:lang w:val="en-GB"/>
        </w:rPr>
        <w:t>Re</w:t>
      </w:r>
      <w:r w:rsidR="00423041">
        <w:rPr>
          <w:rFonts w:ascii="Arial" w:hAnsi="Arial" w:cs="Arial"/>
          <w:color w:val="7B7B7B" w:themeColor="accent3" w:themeShade="BF"/>
          <w:sz w:val="22"/>
          <w:szCs w:val="22"/>
          <w:lang w:val="en-GB"/>
        </w:rPr>
        <w:t xml:space="preserve"> </w:t>
      </w:r>
      <w:r w:rsidR="004B5D6D" w:rsidRPr="00AA1A8E">
        <w:rPr>
          <w:rFonts w:ascii="Arial" w:hAnsi="Arial" w:cs="Arial"/>
          <w:i/>
          <w:color w:val="7B7B7B" w:themeColor="accent3" w:themeShade="BF"/>
          <w:sz w:val="22"/>
          <w:szCs w:val="22"/>
          <w:lang w:val="en-GB"/>
        </w:rPr>
        <w:t xml:space="preserve">Maxwell Communications Corporation </w:t>
      </w:r>
      <w:r w:rsidRPr="00AA1A8E">
        <w:rPr>
          <w:rFonts w:ascii="Arial" w:hAnsi="Arial" w:cs="Arial"/>
          <w:i/>
          <w:color w:val="7B7B7B" w:themeColor="accent3" w:themeShade="BF"/>
          <w:sz w:val="22"/>
          <w:szCs w:val="22"/>
          <w:lang w:val="en-GB"/>
        </w:rPr>
        <w:t>plc</w:t>
      </w:r>
      <w:r w:rsidR="0029602F">
        <w:rPr>
          <w:rFonts w:ascii="Arial" w:hAnsi="Arial" w:cs="Arial"/>
          <w:i/>
          <w:color w:val="7B7B7B" w:themeColor="accent3" w:themeShade="BF"/>
          <w:sz w:val="22"/>
          <w:szCs w:val="22"/>
          <w:lang w:val="en-GB"/>
        </w:rPr>
        <w:t xml:space="preserve"> </w:t>
      </w:r>
      <w:r w:rsidR="0029602F">
        <w:rPr>
          <w:rFonts w:ascii="Arial" w:hAnsi="Arial" w:cs="Arial"/>
          <w:color w:val="7B7B7B" w:themeColor="accent3" w:themeShade="BF"/>
          <w:sz w:val="22"/>
          <w:szCs w:val="22"/>
          <w:lang w:val="en-GB"/>
        </w:rPr>
        <w:t>as early as in 1991</w:t>
      </w:r>
      <w:r w:rsidR="00263FED">
        <w:rPr>
          <w:rFonts w:ascii="Arial" w:hAnsi="Arial" w:cs="Arial"/>
          <w:i/>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263FED">
        <w:rPr>
          <w:rFonts w:ascii="Arial" w:hAnsi="Arial" w:cs="Arial"/>
          <w:color w:val="7B7B7B" w:themeColor="accent3" w:themeShade="BF"/>
          <w:sz w:val="22"/>
          <w:szCs w:val="22"/>
          <w:lang w:val="en-GB"/>
        </w:rPr>
        <w:t xml:space="preserve">In </w:t>
      </w:r>
      <w:r w:rsidR="00263FED" w:rsidRPr="00263FED">
        <w:rPr>
          <w:rFonts w:ascii="Arial" w:hAnsi="Arial" w:cs="Arial"/>
          <w:i/>
          <w:color w:val="7B7B7B" w:themeColor="accent3" w:themeShade="BF"/>
          <w:sz w:val="22"/>
          <w:szCs w:val="22"/>
          <w:lang w:val="en-GB"/>
        </w:rPr>
        <w:t>Maxwell</w:t>
      </w:r>
      <w:r w:rsidR="00263FED">
        <w:rPr>
          <w:rFonts w:ascii="Arial" w:hAnsi="Arial" w:cs="Arial"/>
          <w:color w:val="7B7B7B" w:themeColor="accent3" w:themeShade="BF"/>
          <w:sz w:val="22"/>
          <w:szCs w:val="22"/>
          <w:lang w:val="en-GB"/>
        </w:rPr>
        <w:t>, there were two primary insolvency proceedings involving the same debtor opened in two different jurisdictions</w:t>
      </w:r>
      <w:r w:rsidR="00423041">
        <w:rPr>
          <w:rFonts w:ascii="Arial" w:hAnsi="Arial" w:cs="Arial"/>
          <w:color w:val="7B7B7B" w:themeColor="accent3" w:themeShade="BF"/>
          <w:sz w:val="22"/>
          <w:szCs w:val="22"/>
          <w:lang w:val="en-GB"/>
        </w:rPr>
        <w:t xml:space="preserve"> i.e.</w:t>
      </w:r>
      <w:r w:rsidR="00263FED">
        <w:rPr>
          <w:rFonts w:ascii="Arial" w:hAnsi="Arial" w:cs="Arial"/>
          <w:color w:val="7B7B7B" w:themeColor="accent3" w:themeShade="BF"/>
          <w:sz w:val="22"/>
          <w:szCs w:val="22"/>
          <w:lang w:val="en-GB"/>
        </w:rPr>
        <w:t xml:space="preserve"> administration in England and Chapter 11 bankruptcy in the United States of America</w:t>
      </w:r>
      <w:r w:rsidR="00787F2B">
        <w:rPr>
          <w:rFonts w:ascii="Arial" w:hAnsi="Arial" w:cs="Arial"/>
          <w:color w:val="7B7B7B" w:themeColor="accent3" w:themeShade="BF"/>
          <w:sz w:val="22"/>
          <w:szCs w:val="22"/>
          <w:lang w:val="en-GB"/>
        </w:rPr>
        <w:t xml:space="preserve"> (US)</w:t>
      </w:r>
      <w:r w:rsidR="00423041">
        <w:rPr>
          <w:rFonts w:ascii="Arial" w:hAnsi="Arial" w:cs="Arial"/>
          <w:color w:val="7B7B7B" w:themeColor="accent3" w:themeShade="BF"/>
          <w:sz w:val="22"/>
          <w:szCs w:val="22"/>
          <w:lang w:val="en-GB"/>
        </w:rPr>
        <w:t>, with insolvency representatives appointed under the two separate proceedings respectively</w:t>
      </w:r>
      <w:r w:rsidR="00263FED">
        <w:rPr>
          <w:rFonts w:ascii="Arial" w:hAnsi="Arial" w:cs="Arial"/>
          <w:color w:val="7B7B7B" w:themeColor="accent3" w:themeShade="BF"/>
          <w:sz w:val="22"/>
          <w:szCs w:val="22"/>
          <w:lang w:val="en-GB"/>
        </w:rPr>
        <w:t>. The key points of the case are summarised in the UNICTRAL Practice Guide on Cross-Border Insolvency Cooperation (2009) and are reproduced below</w:t>
      </w:r>
      <w:r w:rsidR="00423041">
        <w:rPr>
          <w:rFonts w:ascii="Arial" w:hAnsi="Arial" w:cs="Arial"/>
          <w:color w:val="7B7B7B" w:themeColor="accent3" w:themeShade="BF"/>
          <w:sz w:val="22"/>
          <w:szCs w:val="22"/>
          <w:lang w:val="en-GB"/>
        </w:rPr>
        <w:t xml:space="preserve"> for ease of reference:</w:t>
      </w:r>
    </w:p>
    <w:p w14:paraId="20FEEED8" w14:textId="6F1D9D39" w:rsidR="00423041" w:rsidRDefault="00423041" w:rsidP="00B7193E">
      <w:pPr>
        <w:jc w:val="both"/>
        <w:rPr>
          <w:rFonts w:ascii="Arial" w:hAnsi="Arial" w:cs="Arial"/>
          <w:sz w:val="22"/>
          <w:szCs w:val="22"/>
          <w:lang w:val="en-MY"/>
        </w:rPr>
      </w:pPr>
    </w:p>
    <w:p w14:paraId="24836E4D" w14:textId="77777777" w:rsidR="00423041" w:rsidRPr="00423041" w:rsidRDefault="00423041" w:rsidP="00423041">
      <w:pPr>
        <w:ind w:left="720"/>
        <w:jc w:val="both"/>
        <w:rPr>
          <w:rFonts w:ascii="Arial" w:hAnsi="Arial" w:cs="Arial"/>
          <w:i/>
          <w:color w:val="7B7B7B" w:themeColor="accent3" w:themeShade="BF"/>
          <w:sz w:val="22"/>
          <w:szCs w:val="22"/>
        </w:rPr>
      </w:pPr>
      <w:r w:rsidRPr="00423041">
        <w:rPr>
          <w:rFonts w:ascii="Arial" w:hAnsi="Arial" w:cs="Arial"/>
          <w:i/>
          <w:color w:val="7B7B7B" w:themeColor="accent3" w:themeShade="BF"/>
          <w:sz w:val="22"/>
          <w:szCs w:val="22"/>
        </w:rPr>
        <w:t xml:space="preserve">“The case of Maxwell Communication Corporation plc. involved two primary insolvency proceedings initiated by a single debtor, one in the United States and the other in the United Kingdom, and the appointment of two different and separate insolvency representatives in the two States, each charged with a similar responsibility. The United States and English judges independently raised with their respective counsel the idea that an insolvency agreement between the two administrations could resolve conflicts and facilitate the exchange of information. </w:t>
      </w:r>
    </w:p>
    <w:p w14:paraId="5530089B" w14:textId="77777777" w:rsidR="00423041" w:rsidRPr="00423041" w:rsidRDefault="00423041" w:rsidP="00423041">
      <w:pPr>
        <w:ind w:left="720"/>
        <w:jc w:val="both"/>
        <w:rPr>
          <w:rFonts w:ascii="Arial" w:hAnsi="Arial" w:cs="Arial"/>
          <w:i/>
          <w:color w:val="7B7B7B" w:themeColor="accent3" w:themeShade="BF"/>
          <w:sz w:val="22"/>
          <w:szCs w:val="22"/>
        </w:rPr>
      </w:pPr>
    </w:p>
    <w:p w14:paraId="5E257BDB" w14:textId="0D29C6AD" w:rsidR="00423041" w:rsidRPr="00423041" w:rsidRDefault="00423041" w:rsidP="00423041">
      <w:pPr>
        <w:ind w:left="720"/>
        <w:jc w:val="both"/>
        <w:rPr>
          <w:rFonts w:ascii="Arial" w:hAnsi="Arial" w:cs="Arial"/>
          <w:i/>
          <w:sz w:val="22"/>
          <w:szCs w:val="22"/>
          <w:lang w:val="en-MY"/>
        </w:rPr>
      </w:pPr>
      <w:r w:rsidRPr="00423041">
        <w:rPr>
          <w:rFonts w:ascii="Arial" w:hAnsi="Arial" w:cs="Arial"/>
          <w:i/>
          <w:color w:val="7B7B7B" w:themeColor="accent3" w:themeShade="BF"/>
          <w:sz w:val="22"/>
          <w:szCs w:val="22"/>
        </w:rPr>
        <w:t>Under the agreement, two goals were set to guide the insolvency representatives: maximizing the value of the estate and harmonizing the proceedings to minimize expense, waste and jurisdictional conflict. The parties agreed essentially that the United States court would defer to the English proceedings, once it was determined that certain criteria were present. Specificities included that some existing management would be retained in the interests of maintaining the debtor’s going concern value, but the English insolvency representatives would be allowed, with the consent of their United States counterpart, to select new and independent directors; the English insolvency representatives should only incur debt or file a reorganization plan with the consent of the United States insolvency representative or the United States court; and the English insolvency representatives should give prior notice to the United States insolvency representative before undertaking any major transaction on behalf of the debtor, but were pre-authorized to undertake “lesser” transactions. Many issues were purposely left out of the agreement to be resolved during the course of proceedings. Some of those issues, such as distribution matters, were later included in an extension of the agreement.”</w:t>
      </w:r>
    </w:p>
    <w:p w14:paraId="4AE7EA78" w14:textId="568AE1AA" w:rsidR="007D7C92" w:rsidRDefault="007D7C92" w:rsidP="00B7193E">
      <w:pPr>
        <w:ind w:left="720" w:hanging="720"/>
        <w:jc w:val="both"/>
        <w:rPr>
          <w:rFonts w:ascii="Arial" w:hAnsi="Arial" w:cs="Arial"/>
          <w:sz w:val="22"/>
          <w:szCs w:val="22"/>
          <w:lang w:val="en-GB"/>
        </w:rPr>
      </w:pPr>
    </w:p>
    <w:p w14:paraId="5C1839F4" w14:textId="46702BFD" w:rsidR="00B66520" w:rsidRDefault="00132F93" w:rsidP="00132F93">
      <w:pPr>
        <w:jc w:val="both"/>
        <w:rPr>
          <w:rFonts w:ascii="Arial" w:hAnsi="Arial" w:cs="Arial"/>
          <w:color w:val="7B7B7B" w:themeColor="accent3" w:themeShade="BF"/>
          <w:sz w:val="22"/>
          <w:szCs w:val="22"/>
          <w:lang w:val="en-GB"/>
        </w:rPr>
      </w:pPr>
      <w:r w:rsidRPr="00132F93">
        <w:rPr>
          <w:rFonts w:ascii="Arial" w:hAnsi="Arial" w:cs="Arial"/>
          <w:color w:val="7B7B7B" w:themeColor="accent3" w:themeShade="BF"/>
          <w:sz w:val="22"/>
          <w:szCs w:val="22"/>
          <w:lang w:val="en-GB"/>
        </w:rPr>
        <w:t xml:space="preserve">The case of Maxwell </w:t>
      </w:r>
      <w:r>
        <w:rPr>
          <w:rFonts w:ascii="Arial" w:hAnsi="Arial" w:cs="Arial"/>
          <w:color w:val="7B7B7B" w:themeColor="accent3" w:themeShade="BF"/>
          <w:sz w:val="22"/>
          <w:szCs w:val="22"/>
          <w:lang w:val="en-GB"/>
        </w:rPr>
        <w:t xml:space="preserve">shows how a cross-border agreement or protocol can be used to coordinate concurrent insolvency proceedings in two different jurisdictions. </w:t>
      </w:r>
      <w:r w:rsidR="00310E0D">
        <w:rPr>
          <w:rFonts w:ascii="Arial" w:hAnsi="Arial" w:cs="Arial"/>
          <w:color w:val="7B7B7B" w:themeColor="accent3" w:themeShade="BF"/>
          <w:sz w:val="22"/>
          <w:szCs w:val="22"/>
          <w:lang w:val="en-GB"/>
        </w:rPr>
        <w:t xml:space="preserve">The cross-border </w:t>
      </w:r>
      <w:r w:rsidR="00310E0D">
        <w:rPr>
          <w:rFonts w:ascii="Arial" w:hAnsi="Arial" w:cs="Arial"/>
          <w:color w:val="7B7B7B" w:themeColor="accent3" w:themeShade="BF"/>
          <w:sz w:val="22"/>
          <w:szCs w:val="22"/>
          <w:lang w:val="en-GB"/>
        </w:rPr>
        <w:lastRenderedPageBreak/>
        <w:t>agreement was approved by both the English and the US courts and allocated functions between the courts and provided for cooperative administration</w:t>
      </w:r>
      <w:r w:rsidR="0029602F">
        <w:rPr>
          <w:rFonts w:ascii="Arial" w:hAnsi="Arial" w:cs="Arial"/>
          <w:color w:val="7B7B7B" w:themeColor="accent3" w:themeShade="BF"/>
          <w:sz w:val="22"/>
          <w:szCs w:val="22"/>
          <w:lang w:val="en-GB"/>
        </w:rPr>
        <w:t xml:space="preserve"> of the company</w:t>
      </w:r>
      <w:r w:rsidR="00310E0D">
        <w:rPr>
          <w:rFonts w:ascii="Arial" w:hAnsi="Arial" w:cs="Arial"/>
          <w:color w:val="7B7B7B" w:themeColor="accent3" w:themeShade="BF"/>
          <w:sz w:val="22"/>
          <w:szCs w:val="22"/>
          <w:lang w:val="en-GB"/>
        </w:rPr>
        <w:t>.</w:t>
      </w:r>
      <w:r w:rsidR="00310E0D">
        <w:rPr>
          <w:rStyle w:val="FootnoteReference"/>
          <w:rFonts w:ascii="Arial" w:hAnsi="Arial" w:cs="Arial"/>
          <w:color w:val="7B7B7B" w:themeColor="accent3" w:themeShade="BF"/>
          <w:sz w:val="22"/>
          <w:szCs w:val="22"/>
          <w:lang w:val="en-GB"/>
        </w:rPr>
        <w:footnoteReference w:id="13"/>
      </w:r>
      <w:r w:rsidR="00310E0D">
        <w:rPr>
          <w:rFonts w:ascii="Arial" w:hAnsi="Arial" w:cs="Arial"/>
          <w:color w:val="7B7B7B" w:themeColor="accent3" w:themeShade="BF"/>
          <w:sz w:val="22"/>
          <w:szCs w:val="22"/>
          <w:lang w:val="en-GB"/>
        </w:rPr>
        <w:t xml:space="preserve"> </w:t>
      </w:r>
      <w:r w:rsidR="00B66520">
        <w:rPr>
          <w:rFonts w:ascii="Arial" w:hAnsi="Arial" w:cs="Arial"/>
          <w:color w:val="7B7B7B" w:themeColor="accent3" w:themeShade="BF"/>
          <w:sz w:val="22"/>
          <w:szCs w:val="22"/>
          <w:lang w:val="en-GB"/>
        </w:rPr>
        <w:t>The agreement/protocol was used to assist in preventing jurisdictional conflict as the agreement enabled the insolvency representatives to carry out their functions in a way that no conflict requiring judicial resolution arose.</w:t>
      </w:r>
      <w:r w:rsidR="00B66520">
        <w:rPr>
          <w:rStyle w:val="FootnoteReference"/>
          <w:rFonts w:ascii="Arial" w:hAnsi="Arial" w:cs="Arial"/>
          <w:color w:val="7B7B7B" w:themeColor="accent3" w:themeShade="BF"/>
          <w:sz w:val="22"/>
          <w:szCs w:val="22"/>
          <w:lang w:val="en-GB"/>
        </w:rPr>
        <w:footnoteReference w:id="14"/>
      </w:r>
    </w:p>
    <w:p w14:paraId="62E6F850" w14:textId="77777777" w:rsidR="00B66520" w:rsidRDefault="00B66520" w:rsidP="00132F93">
      <w:pPr>
        <w:jc w:val="both"/>
        <w:rPr>
          <w:rFonts w:ascii="Arial" w:hAnsi="Arial" w:cs="Arial"/>
          <w:color w:val="7B7B7B" w:themeColor="accent3" w:themeShade="BF"/>
          <w:sz w:val="22"/>
          <w:szCs w:val="22"/>
          <w:lang w:val="en-GB"/>
        </w:rPr>
      </w:pPr>
    </w:p>
    <w:p w14:paraId="29002940" w14:textId="2C0A5FA4" w:rsidR="00132F93" w:rsidRDefault="00310E0D" w:rsidP="00132F9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w:t>
      </w:r>
      <w:r w:rsidR="0029602F">
        <w:rPr>
          <w:rFonts w:ascii="Arial" w:hAnsi="Arial" w:cs="Arial"/>
          <w:color w:val="7B7B7B" w:themeColor="accent3" w:themeShade="BF"/>
          <w:sz w:val="22"/>
          <w:szCs w:val="22"/>
          <w:lang w:val="en-GB"/>
        </w:rPr>
        <w:t>evident</w:t>
      </w:r>
      <w:r>
        <w:rPr>
          <w:rFonts w:ascii="Arial" w:hAnsi="Arial" w:cs="Arial"/>
          <w:color w:val="7B7B7B" w:themeColor="accent3" w:themeShade="BF"/>
          <w:sz w:val="22"/>
          <w:szCs w:val="22"/>
          <w:lang w:val="en-GB"/>
        </w:rPr>
        <w:t xml:space="preserve"> from </w:t>
      </w:r>
      <w:r w:rsidR="00B66520">
        <w:rPr>
          <w:rFonts w:ascii="Arial" w:hAnsi="Arial" w:cs="Arial"/>
          <w:color w:val="7B7B7B" w:themeColor="accent3" w:themeShade="BF"/>
          <w:sz w:val="22"/>
          <w:szCs w:val="22"/>
          <w:lang w:val="en-GB"/>
        </w:rPr>
        <w:t xml:space="preserve">the agreement </w:t>
      </w:r>
      <w:r>
        <w:rPr>
          <w:rFonts w:ascii="Arial" w:hAnsi="Arial" w:cs="Arial"/>
          <w:color w:val="7B7B7B" w:themeColor="accent3" w:themeShade="BF"/>
          <w:sz w:val="22"/>
          <w:szCs w:val="22"/>
          <w:lang w:val="en-GB"/>
        </w:rPr>
        <w:t xml:space="preserve">determining </w:t>
      </w:r>
      <w:r w:rsidR="00B66520">
        <w:rPr>
          <w:rFonts w:ascii="Arial" w:hAnsi="Arial" w:cs="Arial"/>
          <w:color w:val="7B7B7B" w:themeColor="accent3" w:themeShade="BF"/>
          <w:sz w:val="22"/>
          <w:szCs w:val="22"/>
          <w:lang w:val="en-GB"/>
        </w:rPr>
        <w:t xml:space="preserve">upfront </w:t>
      </w:r>
      <w:r>
        <w:rPr>
          <w:rFonts w:ascii="Arial" w:hAnsi="Arial" w:cs="Arial"/>
          <w:color w:val="7B7B7B" w:themeColor="accent3" w:themeShade="BF"/>
          <w:sz w:val="22"/>
          <w:szCs w:val="22"/>
          <w:lang w:val="en-GB"/>
        </w:rPr>
        <w:t xml:space="preserve">that the English insolvency representative </w:t>
      </w:r>
      <w:r w:rsidR="00DA35E2">
        <w:rPr>
          <w:rFonts w:ascii="Arial" w:hAnsi="Arial" w:cs="Arial"/>
          <w:color w:val="7B7B7B" w:themeColor="accent3" w:themeShade="BF"/>
          <w:sz w:val="22"/>
          <w:szCs w:val="22"/>
          <w:lang w:val="en-GB"/>
        </w:rPr>
        <w:t>w</w:t>
      </w:r>
      <w:r>
        <w:rPr>
          <w:rFonts w:ascii="Arial" w:hAnsi="Arial" w:cs="Arial"/>
          <w:color w:val="7B7B7B" w:themeColor="accent3" w:themeShade="BF"/>
          <w:sz w:val="22"/>
          <w:szCs w:val="22"/>
          <w:lang w:val="en-GB"/>
        </w:rPr>
        <w:t>ould administer the company in</w:t>
      </w:r>
      <w:r w:rsidR="00DA35E2">
        <w:rPr>
          <w:rFonts w:ascii="Arial" w:hAnsi="Arial" w:cs="Arial"/>
          <w:color w:val="7B7B7B" w:themeColor="accent3" w:themeShade="BF"/>
          <w:sz w:val="22"/>
          <w:szCs w:val="22"/>
          <w:lang w:val="en-GB"/>
        </w:rPr>
        <w:t>cluding</w:t>
      </w:r>
      <w:r>
        <w:rPr>
          <w:rFonts w:ascii="Arial" w:hAnsi="Arial" w:cs="Arial"/>
          <w:color w:val="7B7B7B" w:themeColor="accent3" w:themeShade="BF"/>
          <w:sz w:val="22"/>
          <w:szCs w:val="22"/>
          <w:lang w:val="en-GB"/>
        </w:rPr>
        <w:t xml:space="preserve"> appointing new directors,</w:t>
      </w:r>
      <w:r w:rsidR="00DA35E2">
        <w:rPr>
          <w:rFonts w:ascii="Arial" w:hAnsi="Arial" w:cs="Arial"/>
          <w:color w:val="7B7B7B" w:themeColor="accent3" w:themeShade="BF"/>
          <w:sz w:val="22"/>
          <w:szCs w:val="22"/>
          <w:lang w:val="en-GB"/>
        </w:rPr>
        <w:t xml:space="preserve"> incurring debt and undertaking transactions, but requiring the consent of the US insolvency representative to do so. Such coordination </w:t>
      </w:r>
      <w:r w:rsidR="00CC4D05">
        <w:rPr>
          <w:rFonts w:ascii="Arial" w:hAnsi="Arial" w:cs="Arial"/>
          <w:color w:val="7B7B7B" w:themeColor="accent3" w:themeShade="BF"/>
          <w:sz w:val="22"/>
          <w:szCs w:val="22"/>
          <w:lang w:val="en-GB"/>
        </w:rPr>
        <w:t xml:space="preserve">also </w:t>
      </w:r>
      <w:r w:rsidR="00DA35E2">
        <w:rPr>
          <w:rFonts w:ascii="Arial" w:hAnsi="Arial" w:cs="Arial"/>
          <w:color w:val="7B7B7B" w:themeColor="accent3" w:themeShade="BF"/>
          <w:sz w:val="22"/>
          <w:szCs w:val="22"/>
          <w:lang w:val="en-GB"/>
        </w:rPr>
        <w:t xml:space="preserve">allowed the insolvency representatives in both jurisdictions to file separate reorganisation plans respectively to reorganise the company through sale of assets as going concern, and which are mutually dependent and effectively constituted a single mechanism consistent with the laws of both countries. </w:t>
      </w:r>
      <w:r w:rsidR="00B66520">
        <w:rPr>
          <w:rFonts w:ascii="Arial" w:hAnsi="Arial" w:cs="Arial"/>
          <w:color w:val="7B7B7B" w:themeColor="accent3" w:themeShade="BF"/>
          <w:sz w:val="22"/>
          <w:szCs w:val="22"/>
          <w:lang w:val="en-GB"/>
        </w:rPr>
        <w:t>Creditors’ participation in either jurisdiction amounted to participation in both plans and t</w:t>
      </w:r>
      <w:r w:rsidR="00DA35E2">
        <w:rPr>
          <w:rFonts w:ascii="Arial" w:hAnsi="Arial" w:cs="Arial"/>
          <w:color w:val="7B7B7B" w:themeColor="accent3" w:themeShade="BF"/>
          <w:sz w:val="22"/>
          <w:szCs w:val="22"/>
          <w:lang w:val="en-GB"/>
        </w:rPr>
        <w:t xml:space="preserve">he assets were distributed from a single “pot” to all </w:t>
      </w:r>
      <w:r w:rsidR="00B66520">
        <w:rPr>
          <w:rFonts w:ascii="Arial" w:hAnsi="Arial" w:cs="Arial"/>
          <w:color w:val="7B7B7B" w:themeColor="accent3" w:themeShade="BF"/>
          <w:sz w:val="22"/>
          <w:szCs w:val="22"/>
          <w:lang w:val="en-GB"/>
        </w:rPr>
        <w:t>creditors.</w:t>
      </w:r>
      <w:r w:rsidR="00DA35E2">
        <w:rPr>
          <w:rStyle w:val="FootnoteReference"/>
          <w:rFonts w:ascii="Arial" w:hAnsi="Arial" w:cs="Arial"/>
          <w:color w:val="7B7B7B" w:themeColor="accent3" w:themeShade="BF"/>
          <w:sz w:val="22"/>
          <w:szCs w:val="22"/>
          <w:lang w:val="en-GB"/>
        </w:rPr>
        <w:footnoteReference w:id="15"/>
      </w:r>
      <w:r w:rsidR="00DA35E2">
        <w:rPr>
          <w:rFonts w:ascii="Arial" w:hAnsi="Arial" w:cs="Arial"/>
          <w:color w:val="7B7B7B" w:themeColor="accent3" w:themeShade="BF"/>
          <w:sz w:val="22"/>
          <w:szCs w:val="22"/>
          <w:lang w:val="en-GB"/>
        </w:rPr>
        <w:t xml:space="preserve"> </w:t>
      </w:r>
    </w:p>
    <w:p w14:paraId="3012116D" w14:textId="403360B5" w:rsidR="00B66520" w:rsidRDefault="00B66520" w:rsidP="00132F93">
      <w:pPr>
        <w:jc w:val="both"/>
        <w:rPr>
          <w:rFonts w:ascii="Arial" w:hAnsi="Arial" w:cs="Arial"/>
          <w:color w:val="7B7B7B" w:themeColor="accent3" w:themeShade="BF"/>
          <w:sz w:val="22"/>
          <w:szCs w:val="22"/>
          <w:lang w:val="en-GB"/>
        </w:rPr>
      </w:pPr>
    </w:p>
    <w:p w14:paraId="7BB3EE6C" w14:textId="082ABF16" w:rsidR="00B66520" w:rsidRDefault="00B66520" w:rsidP="00132F9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important to note that most of the agreements in </w:t>
      </w:r>
      <w:r w:rsidRPr="00FE163F">
        <w:rPr>
          <w:rFonts w:ascii="Arial" w:hAnsi="Arial" w:cs="Arial"/>
          <w:i/>
          <w:color w:val="7B7B7B" w:themeColor="accent3" w:themeShade="BF"/>
          <w:sz w:val="22"/>
          <w:szCs w:val="22"/>
          <w:lang w:val="en-GB"/>
        </w:rPr>
        <w:t>Maxwell</w:t>
      </w:r>
      <w:r>
        <w:rPr>
          <w:rFonts w:ascii="Arial" w:hAnsi="Arial" w:cs="Arial"/>
          <w:color w:val="7B7B7B" w:themeColor="accent3" w:themeShade="BF"/>
          <w:sz w:val="22"/>
          <w:szCs w:val="22"/>
          <w:lang w:val="en-GB"/>
        </w:rPr>
        <w:t xml:space="preserve"> were negotiated upfront prior to the commencement of proceedings.</w:t>
      </w:r>
      <w:r w:rsidR="00FE163F">
        <w:rPr>
          <w:rStyle w:val="FootnoteReference"/>
          <w:rFonts w:ascii="Arial" w:hAnsi="Arial" w:cs="Arial"/>
          <w:color w:val="7B7B7B" w:themeColor="accent3" w:themeShade="BF"/>
          <w:sz w:val="22"/>
          <w:szCs w:val="22"/>
          <w:lang w:val="en-GB"/>
        </w:rPr>
        <w:footnoteReference w:id="16"/>
      </w:r>
      <w:r>
        <w:rPr>
          <w:rFonts w:ascii="Arial" w:hAnsi="Arial" w:cs="Arial"/>
          <w:color w:val="7B7B7B" w:themeColor="accent3" w:themeShade="BF"/>
          <w:sz w:val="22"/>
          <w:szCs w:val="22"/>
          <w:lang w:val="en-GB"/>
        </w:rPr>
        <w:t xml:space="preserve"> This is important to avoid disputes </w:t>
      </w:r>
      <w:r w:rsidR="00CC4D05">
        <w:rPr>
          <w:rFonts w:ascii="Arial" w:hAnsi="Arial" w:cs="Arial"/>
          <w:color w:val="7B7B7B" w:themeColor="accent3" w:themeShade="BF"/>
          <w:sz w:val="22"/>
          <w:szCs w:val="22"/>
          <w:lang w:val="en-GB"/>
        </w:rPr>
        <w:t xml:space="preserve">arising mid-way </w:t>
      </w:r>
      <w:r>
        <w:rPr>
          <w:rFonts w:ascii="Arial" w:hAnsi="Arial" w:cs="Arial"/>
          <w:color w:val="7B7B7B" w:themeColor="accent3" w:themeShade="BF"/>
          <w:sz w:val="22"/>
          <w:szCs w:val="22"/>
          <w:lang w:val="en-GB"/>
        </w:rPr>
        <w:t xml:space="preserve">which may derail the coordination </w:t>
      </w:r>
      <w:r w:rsidR="00CC4D05">
        <w:rPr>
          <w:rFonts w:ascii="Arial" w:hAnsi="Arial" w:cs="Arial"/>
          <w:color w:val="7B7B7B" w:themeColor="accent3" w:themeShade="BF"/>
          <w:sz w:val="22"/>
          <w:szCs w:val="22"/>
          <w:lang w:val="en-GB"/>
        </w:rPr>
        <w:t xml:space="preserve">and implementation of the plans </w:t>
      </w:r>
      <w:r>
        <w:rPr>
          <w:rFonts w:ascii="Arial" w:hAnsi="Arial" w:cs="Arial"/>
          <w:color w:val="7B7B7B" w:themeColor="accent3" w:themeShade="BF"/>
          <w:sz w:val="22"/>
          <w:szCs w:val="22"/>
          <w:lang w:val="en-GB"/>
        </w:rPr>
        <w:t>between</w:t>
      </w:r>
      <w:r w:rsidR="00CC4D05">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insolvency representatives.</w:t>
      </w:r>
    </w:p>
    <w:p w14:paraId="64C7E020" w14:textId="62EE236F" w:rsidR="00FE163F" w:rsidRDefault="00FE163F" w:rsidP="00132F93">
      <w:pPr>
        <w:jc w:val="both"/>
        <w:rPr>
          <w:rFonts w:ascii="Arial" w:hAnsi="Arial" w:cs="Arial"/>
          <w:color w:val="7B7B7B" w:themeColor="accent3" w:themeShade="BF"/>
          <w:sz w:val="22"/>
          <w:szCs w:val="22"/>
          <w:lang w:val="en-GB"/>
        </w:rPr>
      </w:pPr>
    </w:p>
    <w:p w14:paraId="5A5D3ACF" w14:textId="1CAE20E9" w:rsidR="009626C6" w:rsidRPr="009626C6" w:rsidRDefault="00FE163F" w:rsidP="00CC4D0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Nevertheless, it must be noted that coordination and communication was successful in</w:t>
      </w:r>
      <w:r w:rsidR="00CC4D05">
        <w:rPr>
          <w:rFonts w:ascii="Arial" w:hAnsi="Arial" w:cs="Arial"/>
          <w:color w:val="7B7B7B" w:themeColor="accent3" w:themeShade="BF"/>
          <w:sz w:val="22"/>
          <w:szCs w:val="22"/>
          <w:lang w:val="en-GB"/>
        </w:rPr>
        <w:t xml:space="preserve"> the case of</w:t>
      </w:r>
      <w:r>
        <w:rPr>
          <w:rFonts w:ascii="Arial" w:hAnsi="Arial" w:cs="Arial"/>
          <w:color w:val="7B7B7B" w:themeColor="accent3" w:themeShade="BF"/>
          <w:sz w:val="22"/>
          <w:szCs w:val="22"/>
          <w:lang w:val="en-GB"/>
        </w:rPr>
        <w:t xml:space="preserve"> </w:t>
      </w:r>
      <w:r w:rsidRPr="00FE163F">
        <w:rPr>
          <w:rFonts w:ascii="Arial" w:hAnsi="Arial" w:cs="Arial"/>
          <w:i/>
          <w:color w:val="7B7B7B" w:themeColor="accent3" w:themeShade="BF"/>
          <w:sz w:val="22"/>
          <w:szCs w:val="22"/>
          <w:lang w:val="en-GB"/>
        </w:rPr>
        <w:t>Maxwell</w:t>
      </w:r>
      <w:r>
        <w:rPr>
          <w:rFonts w:ascii="Arial" w:hAnsi="Arial" w:cs="Arial"/>
          <w:color w:val="7B7B7B" w:themeColor="accent3" w:themeShade="BF"/>
          <w:sz w:val="22"/>
          <w:szCs w:val="22"/>
          <w:lang w:val="en-GB"/>
        </w:rPr>
        <w:t xml:space="preserve"> as both the US and English courts had raised the idea of the cross-border agreement and were amenable to compromise in order to resolve any conflict. In the absence of any binding provisions, </w:t>
      </w:r>
      <w:r w:rsidR="009626C6">
        <w:rPr>
          <w:rFonts w:ascii="Arial" w:hAnsi="Arial" w:cs="Arial"/>
          <w:color w:val="7B7B7B" w:themeColor="accent3" w:themeShade="BF"/>
          <w:sz w:val="22"/>
          <w:szCs w:val="22"/>
          <w:lang w:val="en-GB"/>
        </w:rPr>
        <w:t>the</w:t>
      </w:r>
      <w:r w:rsidR="009626C6" w:rsidRPr="009626C6">
        <w:rPr>
          <w:rFonts w:ascii="Arial" w:hAnsi="Arial" w:cs="Arial"/>
          <w:color w:val="7B7B7B" w:themeColor="accent3" w:themeShade="BF"/>
          <w:sz w:val="22"/>
          <w:szCs w:val="22"/>
          <w:lang w:val="en-GB"/>
        </w:rPr>
        <w:t xml:space="preserve"> use </w:t>
      </w:r>
      <w:r w:rsidR="009626C6">
        <w:rPr>
          <w:rFonts w:ascii="Arial" w:hAnsi="Arial" w:cs="Arial"/>
          <w:color w:val="7B7B7B" w:themeColor="accent3" w:themeShade="BF"/>
          <w:sz w:val="22"/>
          <w:szCs w:val="22"/>
          <w:lang w:val="en-GB"/>
        </w:rPr>
        <w:t xml:space="preserve">of cross-border agreements </w:t>
      </w:r>
      <w:r w:rsidR="009626C6" w:rsidRPr="009626C6">
        <w:rPr>
          <w:rFonts w:ascii="Arial" w:hAnsi="Arial" w:cs="Arial"/>
          <w:color w:val="7B7B7B" w:themeColor="accent3" w:themeShade="BF"/>
          <w:sz w:val="22"/>
          <w:szCs w:val="22"/>
          <w:lang w:val="en-GB"/>
        </w:rPr>
        <w:t>would therefore depend on the buy-in of the jurisdiction or the discretion of the specific court/judge</w:t>
      </w:r>
      <w:r w:rsidR="00CC4D05">
        <w:rPr>
          <w:rFonts w:ascii="Arial" w:hAnsi="Arial" w:cs="Arial"/>
          <w:color w:val="7B7B7B" w:themeColor="accent3" w:themeShade="BF"/>
          <w:sz w:val="22"/>
          <w:szCs w:val="22"/>
          <w:lang w:val="en-GB"/>
        </w:rPr>
        <w:t>, which may be influenced by</w:t>
      </w:r>
      <w:r w:rsidR="009626C6" w:rsidRPr="009626C6">
        <w:rPr>
          <w:rFonts w:ascii="Arial" w:hAnsi="Arial" w:cs="Arial"/>
          <w:color w:val="7B7B7B" w:themeColor="accent3" w:themeShade="BF"/>
          <w:sz w:val="22"/>
          <w:szCs w:val="22"/>
          <w:lang w:val="en-GB"/>
        </w:rPr>
        <w:t xml:space="preserve"> national interests. Further, there may be inconsistent application of these instruments in different jurisdictions and it may be difficult to interpret their provisions, as precedents are difficult to access and keep track.</w:t>
      </w:r>
      <w:r w:rsidR="009626C6" w:rsidRPr="009626C6">
        <w:rPr>
          <w:rStyle w:val="FootnoteReference"/>
          <w:rFonts w:ascii="Arial" w:hAnsi="Arial" w:cs="Arial"/>
          <w:color w:val="7B7B7B" w:themeColor="accent3" w:themeShade="BF"/>
          <w:sz w:val="22"/>
          <w:szCs w:val="22"/>
          <w:lang w:val="en-GB"/>
        </w:rPr>
        <w:footnoteReference w:id="17"/>
      </w:r>
      <w:r w:rsidR="009626C6" w:rsidRPr="009626C6">
        <w:rPr>
          <w:rFonts w:ascii="Arial" w:hAnsi="Arial" w:cs="Arial"/>
          <w:color w:val="7B7B7B" w:themeColor="accent3" w:themeShade="BF"/>
          <w:sz w:val="22"/>
          <w:szCs w:val="22"/>
          <w:lang w:val="en-GB"/>
        </w:rPr>
        <w:t xml:space="preserve"> This may discourage the use of </w:t>
      </w:r>
      <w:r w:rsidR="00CC4D05">
        <w:rPr>
          <w:rFonts w:ascii="Arial" w:hAnsi="Arial" w:cs="Arial"/>
          <w:color w:val="7B7B7B" w:themeColor="accent3" w:themeShade="BF"/>
          <w:sz w:val="22"/>
          <w:szCs w:val="22"/>
          <w:lang w:val="en-GB"/>
        </w:rPr>
        <w:t>such</w:t>
      </w:r>
      <w:r w:rsidR="009626C6" w:rsidRPr="009626C6">
        <w:rPr>
          <w:rFonts w:ascii="Arial" w:hAnsi="Arial" w:cs="Arial"/>
          <w:color w:val="7B7B7B" w:themeColor="accent3" w:themeShade="BF"/>
          <w:sz w:val="22"/>
          <w:szCs w:val="22"/>
          <w:lang w:val="en-GB"/>
        </w:rPr>
        <w:t xml:space="preserve"> instruments.     </w:t>
      </w:r>
    </w:p>
    <w:p w14:paraId="161A34E7" w14:textId="77777777" w:rsidR="009626C6" w:rsidRDefault="009626C6" w:rsidP="00FE163F">
      <w:pPr>
        <w:jc w:val="both"/>
        <w:rPr>
          <w:rFonts w:ascii="Arial" w:hAnsi="Arial" w:cs="Arial"/>
          <w:color w:val="7B7B7B" w:themeColor="accent3" w:themeShade="BF"/>
          <w:sz w:val="22"/>
          <w:szCs w:val="22"/>
          <w:lang w:val="en-GB"/>
        </w:rPr>
      </w:pPr>
    </w:p>
    <w:p w14:paraId="2AC7A008" w14:textId="72285F7E" w:rsidR="00132F93" w:rsidRPr="00FE163F" w:rsidRDefault="009626C6" w:rsidP="00FE16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the inclusion of cross-border agreements in the UNCITRAL Model Law, and upon adoption of the same by States, the use of cross-border agreements to coordinate cross-border insolvency proceedings would strengthen.</w:t>
      </w:r>
      <w:r w:rsidR="00FE163F">
        <w:rPr>
          <w:rFonts w:ascii="Arial" w:hAnsi="Arial" w:cs="Arial"/>
          <w:color w:val="7B7B7B" w:themeColor="accent3" w:themeShade="BF"/>
          <w:sz w:val="22"/>
          <w:szCs w:val="22"/>
          <w:lang w:val="en-GB"/>
        </w:rPr>
        <w:t xml:space="preserve"> </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317DD6E7" w14:textId="6DD6A409" w:rsidR="00126A4D" w:rsidRDefault="00522AF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outset, </w:t>
      </w:r>
      <w:r w:rsidR="00B05AC2">
        <w:rPr>
          <w:rFonts w:ascii="Arial" w:hAnsi="Arial" w:cs="Arial"/>
          <w:color w:val="7B7B7B" w:themeColor="accent3" w:themeShade="BF"/>
          <w:sz w:val="22"/>
          <w:szCs w:val="22"/>
          <w:lang w:val="en-GB"/>
        </w:rPr>
        <w:t xml:space="preserve">pursuant to the Corporate Insolvency and Governance Act 2020 (“CIGA”), </w:t>
      </w:r>
      <w:r>
        <w:rPr>
          <w:rFonts w:ascii="Arial" w:hAnsi="Arial" w:cs="Arial"/>
          <w:color w:val="7B7B7B" w:themeColor="accent3" w:themeShade="BF"/>
          <w:sz w:val="22"/>
          <w:szCs w:val="22"/>
          <w:lang w:val="en-GB"/>
        </w:rPr>
        <w:t>it is noted that the insolvency proceeding against Rydell was opened in the UK</w:t>
      </w:r>
      <w:r w:rsidR="0057312E">
        <w:rPr>
          <w:rFonts w:ascii="Arial" w:hAnsi="Arial" w:cs="Arial"/>
          <w:color w:val="7B7B7B" w:themeColor="accent3" w:themeShade="BF"/>
          <w:sz w:val="22"/>
          <w:szCs w:val="22"/>
          <w:lang w:val="en-GB"/>
        </w:rPr>
        <w:t xml:space="preserve"> on 18 June 2020</w:t>
      </w:r>
      <w:r>
        <w:rPr>
          <w:rFonts w:ascii="Arial" w:hAnsi="Arial" w:cs="Arial"/>
          <w:color w:val="7B7B7B" w:themeColor="accent3" w:themeShade="BF"/>
          <w:sz w:val="22"/>
          <w:szCs w:val="22"/>
          <w:lang w:val="en-GB"/>
        </w:rPr>
        <w:t xml:space="preserve"> despite the temporary </w:t>
      </w:r>
      <w:r w:rsidR="00B05AC2">
        <w:rPr>
          <w:rFonts w:ascii="Arial" w:hAnsi="Arial" w:cs="Arial"/>
          <w:color w:val="7B7B7B" w:themeColor="accent3" w:themeShade="BF"/>
          <w:sz w:val="22"/>
          <w:szCs w:val="22"/>
          <w:lang w:val="en-GB"/>
        </w:rPr>
        <w:t>restrictions</w:t>
      </w:r>
      <w:r w:rsidR="0057312E">
        <w:rPr>
          <w:rFonts w:ascii="Arial" w:hAnsi="Arial" w:cs="Arial"/>
          <w:color w:val="7B7B7B" w:themeColor="accent3" w:themeShade="BF"/>
          <w:sz w:val="22"/>
          <w:szCs w:val="22"/>
          <w:lang w:val="en-GB"/>
        </w:rPr>
        <w:t xml:space="preserve"> on winding-up petitions</w:t>
      </w:r>
      <w:r w:rsidR="00B05AC2">
        <w:rPr>
          <w:rFonts w:ascii="Arial" w:hAnsi="Arial" w:cs="Arial"/>
          <w:color w:val="7B7B7B" w:themeColor="accent3" w:themeShade="BF"/>
          <w:sz w:val="22"/>
          <w:szCs w:val="22"/>
          <w:lang w:val="en-GB"/>
        </w:rPr>
        <w:t xml:space="preserve"> from 1 March 2020 to 30 September 2021</w:t>
      </w:r>
      <w:r w:rsidR="0057312E">
        <w:rPr>
          <w:rFonts w:ascii="Arial" w:hAnsi="Arial" w:cs="Arial"/>
          <w:color w:val="7B7B7B" w:themeColor="accent3" w:themeShade="BF"/>
          <w:sz w:val="22"/>
          <w:szCs w:val="22"/>
          <w:lang w:val="en-GB"/>
        </w:rPr>
        <w:t xml:space="preserve"> </w:t>
      </w:r>
      <w:r w:rsidR="00A83F38">
        <w:rPr>
          <w:rFonts w:ascii="Arial" w:hAnsi="Arial" w:cs="Arial"/>
          <w:color w:val="7B7B7B" w:themeColor="accent3" w:themeShade="BF"/>
          <w:sz w:val="22"/>
          <w:szCs w:val="22"/>
          <w:lang w:val="en-GB"/>
        </w:rPr>
        <w:t>unless creditors ha</w:t>
      </w:r>
      <w:r w:rsidR="00B05AC2">
        <w:rPr>
          <w:rFonts w:ascii="Arial" w:hAnsi="Arial" w:cs="Arial"/>
          <w:color w:val="7B7B7B" w:themeColor="accent3" w:themeShade="BF"/>
          <w:sz w:val="22"/>
          <w:szCs w:val="22"/>
          <w:lang w:val="en-GB"/>
        </w:rPr>
        <w:t>ve</w:t>
      </w:r>
      <w:r w:rsidR="00A83F38">
        <w:rPr>
          <w:rFonts w:ascii="Arial" w:hAnsi="Arial" w:cs="Arial"/>
          <w:color w:val="7B7B7B" w:themeColor="accent3" w:themeShade="BF"/>
          <w:sz w:val="22"/>
          <w:szCs w:val="22"/>
          <w:lang w:val="en-GB"/>
        </w:rPr>
        <w:t xml:space="preserve"> reasonable grounds to believe Covid-19 has not had a financial effect on the company or the company would still be insolvent notwithstanding the financial impact of Covid-19</w:t>
      </w:r>
      <w:r w:rsidR="00B064E0">
        <w:rPr>
          <w:rFonts w:ascii="Arial" w:hAnsi="Arial" w:cs="Arial"/>
          <w:color w:val="7B7B7B" w:themeColor="accent3" w:themeShade="BF"/>
          <w:sz w:val="22"/>
          <w:szCs w:val="22"/>
          <w:lang w:val="en-GB"/>
        </w:rPr>
        <w:t xml:space="preserve"> (“Conditions”)</w:t>
      </w:r>
      <w:r w:rsidR="00A83F38">
        <w:rPr>
          <w:rFonts w:ascii="Arial" w:hAnsi="Arial" w:cs="Arial"/>
          <w:color w:val="7B7B7B" w:themeColor="accent3" w:themeShade="BF"/>
          <w:sz w:val="22"/>
          <w:szCs w:val="22"/>
          <w:lang w:val="en-GB"/>
        </w:rPr>
        <w:t>.</w:t>
      </w:r>
      <w:r w:rsidR="00B05AC2">
        <w:rPr>
          <w:rFonts w:ascii="Arial" w:hAnsi="Arial" w:cs="Arial"/>
          <w:color w:val="7B7B7B" w:themeColor="accent3" w:themeShade="BF"/>
          <w:sz w:val="22"/>
          <w:szCs w:val="22"/>
          <w:lang w:val="en-GB"/>
        </w:rPr>
        <w:t xml:space="preserve"> Winding-up orders made on or before 27 April 2020 but before commencement of CIGA on 26 June 2020 are regarded as void if the aforesaid </w:t>
      </w:r>
      <w:r w:rsidR="00B064E0">
        <w:rPr>
          <w:rFonts w:ascii="Arial" w:hAnsi="Arial" w:cs="Arial"/>
          <w:color w:val="7B7B7B" w:themeColor="accent3" w:themeShade="BF"/>
          <w:sz w:val="22"/>
          <w:szCs w:val="22"/>
          <w:lang w:val="en-GB"/>
        </w:rPr>
        <w:t>C</w:t>
      </w:r>
      <w:r w:rsidR="00B05AC2">
        <w:rPr>
          <w:rFonts w:ascii="Arial" w:hAnsi="Arial" w:cs="Arial"/>
          <w:color w:val="7B7B7B" w:themeColor="accent3" w:themeShade="BF"/>
          <w:sz w:val="22"/>
          <w:szCs w:val="22"/>
          <w:lang w:val="en-GB"/>
        </w:rPr>
        <w:t>onditions are not met.</w:t>
      </w:r>
      <w:r w:rsidR="00A83F38">
        <w:rPr>
          <w:rStyle w:val="FootnoteReference"/>
          <w:rFonts w:ascii="Arial" w:hAnsi="Arial" w:cs="Arial"/>
          <w:color w:val="7B7B7B" w:themeColor="accent3" w:themeShade="BF"/>
          <w:sz w:val="22"/>
          <w:szCs w:val="22"/>
          <w:lang w:val="en-GB"/>
        </w:rPr>
        <w:footnoteReference w:id="18"/>
      </w:r>
      <w:r w:rsidR="00B05AC2">
        <w:rPr>
          <w:rFonts w:ascii="Arial" w:hAnsi="Arial" w:cs="Arial"/>
          <w:color w:val="7B7B7B" w:themeColor="accent3" w:themeShade="BF"/>
          <w:sz w:val="22"/>
          <w:szCs w:val="22"/>
          <w:lang w:val="en-GB"/>
        </w:rPr>
        <w:t xml:space="preserve"> </w:t>
      </w:r>
      <w:r w:rsidR="00626CF5">
        <w:rPr>
          <w:rFonts w:ascii="Arial" w:hAnsi="Arial" w:cs="Arial"/>
          <w:color w:val="7B7B7B" w:themeColor="accent3" w:themeShade="BF"/>
          <w:sz w:val="22"/>
          <w:szCs w:val="22"/>
          <w:lang w:val="en-GB"/>
        </w:rPr>
        <w:t>In this case, further information will be required to see if the Conditions are met for the insolvency proceedings to be opened against Rydell during this period. Nevertheless</w:t>
      </w:r>
      <w:r w:rsidR="00B064E0">
        <w:rPr>
          <w:rFonts w:ascii="Arial" w:hAnsi="Arial" w:cs="Arial"/>
          <w:color w:val="7B7B7B" w:themeColor="accent3" w:themeShade="BF"/>
          <w:sz w:val="22"/>
          <w:szCs w:val="22"/>
          <w:lang w:val="en-GB"/>
        </w:rPr>
        <w:t>, the following discussion is premised on the assumption that the insolvency proceeding</w:t>
      </w:r>
      <w:r w:rsidR="00FD4D00">
        <w:rPr>
          <w:rFonts w:ascii="Arial" w:hAnsi="Arial" w:cs="Arial"/>
          <w:color w:val="7B7B7B" w:themeColor="accent3" w:themeShade="BF"/>
          <w:sz w:val="22"/>
          <w:szCs w:val="22"/>
          <w:lang w:val="en-GB"/>
        </w:rPr>
        <w:t xml:space="preserve"> opened</w:t>
      </w:r>
      <w:r w:rsidR="00B064E0">
        <w:rPr>
          <w:rFonts w:ascii="Arial" w:hAnsi="Arial" w:cs="Arial"/>
          <w:color w:val="7B7B7B" w:themeColor="accent3" w:themeShade="BF"/>
          <w:sz w:val="22"/>
          <w:szCs w:val="22"/>
          <w:lang w:val="en-GB"/>
        </w:rPr>
        <w:t xml:space="preserve"> against Rydell </w:t>
      </w:r>
      <w:r w:rsidR="005733D8">
        <w:rPr>
          <w:rFonts w:ascii="Arial" w:hAnsi="Arial" w:cs="Arial"/>
          <w:color w:val="7B7B7B" w:themeColor="accent3" w:themeShade="BF"/>
          <w:sz w:val="22"/>
          <w:szCs w:val="22"/>
          <w:lang w:val="en-GB"/>
        </w:rPr>
        <w:t xml:space="preserve">in the UK </w:t>
      </w:r>
      <w:r w:rsidR="00B064E0">
        <w:rPr>
          <w:rFonts w:ascii="Arial" w:hAnsi="Arial" w:cs="Arial"/>
          <w:color w:val="7B7B7B" w:themeColor="accent3" w:themeShade="BF"/>
          <w:sz w:val="22"/>
          <w:szCs w:val="22"/>
          <w:lang w:val="en-GB"/>
        </w:rPr>
        <w:t>is valid and proper.</w:t>
      </w:r>
    </w:p>
    <w:p w14:paraId="6262C83F" w14:textId="02A8F1AE" w:rsidR="00B064E0" w:rsidRDefault="00B064E0" w:rsidP="00B7193E">
      <w:pPr>
        <w:jc w:val="both"/>
        <w:rPr>
          <w:rFonts w:ascii="Arial" w:hAnsi="Arial" w:cs="Arial"/>
          <w:color w:val="7B7B7B" w:themeColor="accent3" w:themeShade="BF"/>
          <w:sz w:val="22"/>
          <w:szCs w:val="22"/>
          <w:lang w:val="en-GB"/>
        </w:rPr>
      </w:pPr>
    </w:p>
    <w:p w14:paraId="264C5D0E" w14:textId="35B67A91" w:rsidR="00B064E0" w:rsidRDefault="00B064E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European</w:t>
      </w:r>
      <w:r w:rsidR="006572F4">
        <w:rPr>
          <w:rFonts w:ascii="Arial" w:hAnsi="Arial" w:cs="Arial"/>
          <w:color w:val="7B7B7B" w:themeColor="accent3" w:themeShade="BF"/>
          <w:sz w:val="22"/>
          <w:szCs w:val="22"/>
          <w:lang w:val="en-GB"/>
        </w:rPr>
        <w:t xml:space="preserve"> Union</w:t>
      </w:r>
      <w:r>
        <w:rPr>
          <w:rFonts w:ascii="Arial" w:hAnsi="Arial" w:cs="Arial"/>
          <w:color w:val="7B7B7B" w:themeColor="accent3" w:themeShade="BF"/>
          <w:sz w:val="22"/>
          <w:szCs w:val="22"/>
          <w:lang w:val="en-GB"/>
        </w:rPr>
        <w:t xml:space="preserve"> (Withdrawal Agreement) Act 2020, the European Insolvency Regulation Recast </w:t>
      </w:r>
      <w:r w:rsidR="004A7434">
        <w:rPr>
          <w:rFonts w:ascii="Arial" w:hAnsi="Arial" w:cs="Arial"/>
          <w:color w:val="7B7B7B" w:themeColor="accent3" w:themeShade="BF"/>
          <w:sz w:val="22"/>
          <w:szCs w:val="22"/>
          <w:lang w:val="en-GB"/>
        </w:rPr>
        <w:t xml:space="preserve">2015 </w:t>
      </w:r>
      <w:r>
        <w:rPr>
          <w:rFonts w:ascii="Arial" w:hAnsi="Arial" w:cs="Arial"/>
          <w:color w:val="7B7B7B" w:themeColor="accent3" w:themeShade="BF"/>
          <w:sz w:val="22"/>
          <w:szCs w:val="22"/>
          <w:lang w:val="en-GB"/>
        </w:rPr>
        <w:t>(“EIR”) will continue to apply to</w:t>
      </w:r>
      <w:r w:rsidR="005733D8">
        <w:rPr>
          <w:rFonts w:ascii="Arial" w:hAnsi="Arial" w:cs="Arial"/>
          <w:color w:val="7B7B7B" w:themeColor="accent3" w:themeShade="BF"/>
          <w:sz w:val="22"/>
          <w:szCs w:val="22"/>
          <w:lang w:val="en-GB"/>
        </w:rPr>
        <w:t xml:space="preserve"> main</w:t>
      </w:r>
      <w:r>
        <w:rPr>
          <w:rFonts w:ascii="Arial" w:hAnsi="Arial" w:cs="Arial"/>
          <w:color w:val="7B7B7B" w:themeColor="accent3" w:themeShade="BF"/>
          <w:sz w:val="22"/>
          <w:szCs w:val="22"/>
          <w:lang w:val="en-GB"/>
        </w:rPr>
        <w:t xml:space="preserve"> insolvency proceedings opened in the UK before 31 December 2020.</w:t>
      </w:r>
      <w:r>
        <w:rPr>
          <w:rStyle w:val="FootnoteReference"/>
          <w:rFonts w:ascii="Arial" w:hAnsi="Arial" w:cs="Arial"/>
          <w:color w:val="7B7B7B" w:themeColor="accent3" w:themeShade="BF"/>
          <w:sz w:val="22"/>
          <w:szCs w:val="22"/>
          <w:lang w:val="en-GB"/>
        </w:rPr>
        <w:footnoteReference w:id="19"/>
      </w:r>
      <w:r>
        <w:rPr>
          <w:rFonts w:ascii="Arial" w:hAnsi="Arial" w:cs="Arial"/>
          <w:color w:val="7B7B7B" w:themeColor="accent3" w:themeShade="BF"/>
          <w:sz w:val="22"/>
          <w:szCs w:val="22"/>
          <w:lang w:val="en-GB"/>
        </w:rPr>
        <w:t xml:space="preserve"> As such, the EIR will apply to the insolvency proceedings opened against Rydell on 18 June 2020</w:t>
      </w:r>
      <w:r w:rsidR="004A7434">
        <w:rPr>
          <w:rFonts w:ascii="Arial" w:hAnsi="Arial" w:cs="Arial"/>
          <w:color w:val="7B7B7B" w:themeColor="accent3" w:themeShade="BF"/>
          <w:sz w:val="22"/>
          <w:szCs w:val="22"/>
          <w:lang w:val="en-GB"/>
        </w:rPr>
        <w:t>, given that Rydell’s centre of main interests (“COMI”) is in UK and its creditors are all located in countries which are members of the European Union (EU)</w:t>
      </w:r>
      <w:r>
        <w:rPr>
          <w:rFonts w:ascii="Arial" w:hAnsi="Arial" w:cs="Arial"/>
          <w:color w:val="7B7B7B" w:themeColor="accent3" w:themeShade="BF"/>
          <w:sz w:val="22"/>
          <w:szCs w:val="22"/>
          <w:lang w:val="en-GB"/>
        </w:rPr>
        <w:t>.</w:t>
      </w:r>
    </w:p>
    <w:p w14:paraId="16E33AB2" w14:textId="264F8C84" w:rsidR="00B064E0" w:rsidRDefault="00B064E0" w:rsidP="00B7193E">
      <w:pPr>
        <w:jc w:val="both"/>
        <w:rPr>
          <w:rFonts w:ascii="Arial" w:hAnsi="Arial" w:cs="Arial"/>
          <w:color w:val="7B7B7B" w:themeColor="accent3" w:themeShade="BF"/>
          <w:sz w:val="22"/>
          <w:szCs w:val="22"/>
          <w:lang w:val="en-GB"/>
        </w:rPr>
      </w:pPr>
    </w:p>
    <w:p w14:paraId="143A484F" w14:textId="40FAD370" w:rsidR="00167FD1" w:rsidRDefault="005733D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EIR, the appropriate forum for main insolvency proceedings of a debtor is the EU member State where the debtor’s </w:t>
      </w:r>
      <w:r w:rsidR="004A7434">
        <w:rPr>
          <w:rFonts w:ascii="Arial" w:hAnsi="Arial" w:cs="Arial"/>
          <w:color w:val="7B7B7B" w:themeColor="accent3" w:themeShade="BF"/>
          <w:sz w:val="22"/>
          <w:szCs w:val="22"/>
          <w:lang w:val="en-GB"/>
        </w:rPr>
        <w:t>COMI</w:t>
      </w:r>
      <w:r>
        <w:rPr>
          <w:rFonts w:ascii="Arial" w:hAnsi="Arial" w:cs="Arial"/>
          <w:color w:val="7B7B7B" w:themeColor="accent3" w:themeShade="BF"/>
          <w:sz w:val="22"/>
          <w:szCs w:val="22"/>
          <w:lang w:val="en-GB"/>
        </w:rPr>
        <w:t xml:space="preserve"> is situated (Article 3(1) of EIR).</w:t>
      </w:r>
      <w:r w:rsidR="00167FD1">
        <w:rPr>
          <w:rFonts w:ascii="Arial" w:hAnsi="Arial" w:cs="Arial"/>
          <w:color w:val="7B7B7B" w:themeColor="accent3" w:themeShade="BF"/>
          <w:sz w:val="22"/>
          <w:szCs w:val="22"/>
          <w:lang w:val="en-GB"/>
        </w:rPr>
        <w:t xml:space="preserve"> Under the EIR, COMI is presumed to be the place of the registered office of a company unless there is proof to the contrary. In this matter, the COMI of Rydell is stated to be the UK and there is no proof to the contrary. As such, </w:t>
      </w:r>
      <w:r w:rsidR="00626CF5">
        <w:rPr>
          <w:rFonts w:ascii="Arial" w:hAnsi="Arial" w:cs="Arial"/>
          <w:color w:val="7B7B7B" w:themeColor="accent3" w:themeShade="BF"/>
          <w:sz w:val="22"/>
          <w:szCs w:val="22"/>
          <w:lang w:val="en-GB"/>
        </w:rPr>
        <w:t xml:space="preserve">the EIR applies and </w:t>
      </w:r>
      <w:r w:rsidR="00167FD1">
        <w:rPr>
          <w:rFonts w:ascii="Arial" w:hAnsi="Arial" w:cs="Arial"/>
          <w:color w:val="7B7B7B" w:themeColor="accent3" w:themeShade="BF"/>
          <w:sz w:val="22"/>
          <w:szCs w:val="22"/>
          <w:lang w:val="en-GB"/>
        </w:rPr>
        <w:t xml:space="preserve">the UK is the appropriate forum to open the main insolvency proceedings </w:t>
      </w:r>
      <w:r w:rsidR="00626CF5">
        <w:rPr>
          <w:rFonts w:ascii="Arial" w:hAnsi="Arial" w:cs="Arial"/>
          <w:color w:val="7B7B7B" w:themeColor="accent3" w:themeShade="BF"/>
          <w:sz w:val="22"/>
          <w:szCs w:val="22"/>
          <w:lang w:val="en-GB"/>
        </w:rPr>
        <w:t>against</w:t>
      </w:r>
      <w:r w:rsidR="00167FD1">
        <w:rPr>
          <w:rFonts w:ascii="Arial" w:hAnsi="Arial" w:cs="Arial"/>
          <w:color w:val="7B7B7B" w:themeColor="accent3" w:themeShade="BF"/>
          <w:sz w:val="22"/>
          <w:szCs w:val="22"/>
          <w:lang w:val="en-GB"/>
        </w:rPr>
        <w:t xml:space="preserve"> Rydell.</w:t>
      </w:r>
      <w:r w:rsidR="00237EE1">
        <w:rPr>
          <w:rFonts w:ascii="Arial" w:hAnsi="Arial" w:cs="Arial"/>
          <w:color w:val="7B7B7B" w:themeColor="accent3" w:themeShade="BF"/>
          <w:sz w:val="22"/>
          <w:szCs w:val="22"/>
          <w:lang w:val="en-GB"/>
        </w:rPr>
        <w:t xml:space="preserve"> The applicable law will accordingly be English law, as the applicable law to insolvency proceedings opened in UK (Article 7 of EIR).</w:t>
      </w:r>
    </w:p>
    <w:p w14:paraId="407075D9" w14:textId="3565DC00" w:rsidR="00237EE1" w:rsidRDefault="00237EE1" w:rsidP="00B7193E">
      <w:pPr>
        <w:jc w:val="both"/>
        <w:rPr>
          <w:rFonts w:ascii="Arial" w:hAnsi="Arial" w:cs="Arial"/>
          <w:color w:val="7B7B7B" w:themeColor="accent3" w:themeShade="BF"/>
          <w:sz w:val="22"/>
          <w:szCs w:val="22"/>
          <w:lang w:val="en-GB"/>
        </w:rPr>
      </w:pPr>
    </w:p>
    <w:p w14:paraId="65923EA6" w14:textId="5C8F4219" w:rsidR="001C4CC3" w:rsidRDefault="00237EE1" w:rsidP="001C4C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w:t>
      </w:r>
      <w:r w:rsidR="00F251F2">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insolvency proceedings are opened </w:t>
      </w:r>
      <w:r w:rsidR="00F251F2">
        <w:rPr>
          <w:rFonts w:ascii="Arial" w:hAnsi="Arial" w:cs="Arial"/>
          <w:color w:val="7B7B7B" w:themeColor="accent3" w:themeShade="BF"/>
          <w:sz w:val="22"/>
          <w:szCs w:val="22"/>
          <w:lang w:val="en-GB"/>
        </w:rPr>
        <w:t>against Rydell in the UK,</w:t>
      </w:r>
      <w:r>
        <w:rPr>
          <w:rFonts w:ascii="Arial" w:hAnsi="Arial" w:cs="Arial"/>
          <w:color w:val="7B7B7B" w:themeColor="accent3" w:themeShade="BF"/>
          <w:sz w:val="22"/>
          <w:szCs w:val="22"/>
          <w:lang w:val="en-GB"/>
        </w:rPr>
        <w:t xml:space="preserve"> the EIR provides for automatic recognition </w:t>
      </w:r>
      <w:r w:rsidR="001C4CC3">
        <w:rPr>
          <w:rFonts w:ascii="Arial" w:hAnsi="Arial" w:cs="Arial"/>
          <w:color w:val="7B7B7B" w:themeColor="accent3" w:themeShade="BF"/>
          <w:sz w:val="22"/>
          <w:szCs w:val="22"/>
          <w:lang w:val="en-GB"/>
        </w:rPr>
        <w:t xml:space="preserve">and effect </w:t>
      </w:r>
      <w:r>
        <w:rPr>
          <w:rFonts w:ascii="Arial" w:hAnsi="Arial" w:cs="Arial"/>
          <w:color w:val="7B7B7B" w:themeColor="accent3" w:themeShade="BF"/>
          <w:sz w:val="22"/>
          <w:szCs w:val="22"/>
          <w:lang w:val="en-GB"/>
        </w:rPr>
        <w:t>of the proceedings by other EU member States</w:t>
      </w:r>
      <w:r w:rsidR="00F251F2">
        <w:rPr>
          <w:rFonts w:ascii="Arial" w:hAnsi="Arial" w:cs="Arial"/>
          <w:color w:val="7B7B7B" w:themeColor="accent3" w:themeShade="BF"/>
          <w:sz w:val="22"/>
          <w:szCs w:val="22"/>
          <w:lang w:val="en-GB"/>
        </w:rPr>
        <w:t xml:space="preserve"> (Article</w:t>
      </w:r>
      <w:r w:rsidR="001C4CC3">
        <w:rPr>
          <w:rFonts w:ascii="Arial" w:hAnsi="Arial" w:cs="Arial"/>
          <w:color w:val="7B7B7B" w:themeColor="accent3" w:themeShade="BF"/>
          <w:sz w:val="22"/>
          <w:szCs w:val="22"/>
          <w:lang w:val="en-GB"/>
        </w:rPr>
        <w:t>s</w:t>
      </w:r>
      <w:r w:rsidR="00F251F2">
        <w:rPr>
          <w:rFonts w:ascii="Arial" w:hAnsi="Arial" w:cs="Arial"/>
          <w:color w:val="7B7B7B" w:themeColor="accent3" w:themeShade="BF"/>
          <w:sz w:val="22"/>
          <w:szCs w:val="22"/>
          <w:lang w:val="en-GB"/>
        </w:rPr>
        <w:t xml:space="preserve"> 19</w:t>
      </w:r>
      <w:r w:rsidR="001C4CC3">
        <w:rPr>
          <w:rFonts w:ascii="Arial" w:hAnsi="Arial" w:cs="Arial"/>
          <w:color w:val="7B7B7B" w:themeColor="accent3" w:themeShade="BF"/>
          <w:sz w:val="22"/>
          <w:szCs w:val="22"/>
          <w:lang w:val="en-GB"/>
        </w:rPr>
        <w:t xml:space="preserve"> and 20</w:t>
      </w:r>
      <w:r w:rsidR="00F251F2">
        <w:rPr>
          <w:rFonts w:ascii="Arial" w:hAnsi="Arial" w:cs="Arial"/>
          <w:color w:val="7B7B7B" w:themeColor="accent3" w:themeShade="BF"/>
          <w:sz w:val="22"/>
          <w:szCs w:val="22"/>
          <w:lang w:val="en-GB"/>
        </w:rPr>
        <w:t xml:space="preserve"> of EIR). </w:t>
      </w:r>
      <w:r w:rsidR="004163D1">
        <w:rPr>
          <w:rFonts w:ascii="Arial" w:hAnsi="Arial" w:cs="Arial"/>
          <w:color w:val="7B7B7B" w:themeColor="accent3" w:themeShade="BF"/>
          <w:sz w:val="22"/>
          <w:szCs w:val="22"/>
          <w:lang w:val="en-GB"/>
        </w:rPr>
        <w:t xml:space="preserve">This legitimises the status of the </w:t>
      </w:r>
      <w:r w:rsidR="00626CF5">
        <w:rPr>
          <w:rFonts w:ascii="Arial" w:hAnsi="Arial" w:cs="Arial"/>
          <w:color w:val="7B7B7B" w:themeColor="accent3" w:themeShade="BF"/>
          <w:sz w:val="22"/>
          <w:szCs w:val="22"/>
          <w:lang w:val="en-GB"/>
        </w:rPr>
        <w:t xml:space="preserve">UK </w:t>
      </w:r>
      <w:r w:rsidR="004163D1">
        <w:rPr>
          <w:rFonts w:ascii="Arial" w:hAnsi="Arial" w:cs="Arial"/>
          <w:color w:val="7B7B7B" w:themeColor="accent3" w:themeShade="BF"/>
          <w:sz w:val="22"/>
          <w:szCs w:val="22"/>
          <w:lang w:val="en-GB"/>
        </w:rPr>
        <w:t>main insolvency proceedings</w:t>
      </w:r>
      <w:r w:rsidR="00626CF5">
        <w:rPr>
          <w:rFonts w:ascii="Arial" w:hAnsi="Arial" w:cs="Arial"/>
          <w:color w:val="7B7B7B" w:themeColor="accent3" w:themeShade="BF"/>
          <w:sz w:val="22"/>
          <w:szCs w:val="22"/>
          <w:lang w:val="en-GB"/>
        </w:rPr>
        <w:t xml:space="preserve"> against Rydell</w:t>
      </w:r>
      <w:r w:rsidR="004163D1">
        <w:rPr>
          <w:rFonts w:ascii="Arial" w:hAnsi="Arial" w:cs="Arial"/>
          <w:color w:val="7B7B7B" w:themeColor="accent3" w:themeShade="BF"/>
          <w:sz w:val="22"/>
          <w:szCs w:val="22"/>
          <w:lang w:val="en-GB"/>
        </w:rPr>
        <w:t xml:space="preserve"> in each of the EU member States</w:t>
      </w:r>
      <w:r w:rsidR="00722A67">
        <w:rPr>
          <w:rFonts w:ascii="Arial" w:hAnsi="Arial" w:cs="Arial"/>
          <w:color w:val="7B7B7B" w:themeColor="accent3" w:themeShade="BF"/>
          <w:sz w:val="22"/>
          <w:szCs w:val="22"/>
          <w:lang w:val="en-GB"/>
        </w:rPr>
        <w:t>,</w:t>
      </w:r>
      <w:r w:rsidR="004163D1">
        <w:rPr>
          <w:rFonts w:ascii="Arial" w:hAnsi="Arial" w:cs="Arial"/>
          <w:color w:val="7B7B7B" w:themeColor="accent3" w:themeShade="BF"/>
          <w:sz w:val="22"/>
          <w:szCs w:val="22"/>
          <w:lang w:val="en-GB"/>
        </w:rPr>
        <w:t xml:space="preserve"> and allows the insolvency practitioner </w:t>
      </w:r>
      <w:r w:rsidR="00626CF5">
        <w:rPr>
          <w:rFonts w:ascii="Arial" w:hAnsi="Arial" w:cs="Arial"/>
          <w:color w:val="7B7B7B" w:themeColor="accent3" w:themeShade="BF"/>
          <w:sz w:val="22"/>
          <w:szCs w:val="22"/>
          <w:lang w:val="en-GB"/>
        </w:rPr>
        <w:t xml:space="preserve">appointed in the UK </w:t>
      </w:r>
      <w:r w:rsidR="004163D1">
        <w:rPr>
          <w:rFonts w:ascii="Arial" w:hAnsi="Arial" w:cs="Arial"/>
          <w:color w:val="7B7B7B" w:themeColor="accent3" w:themeShade="BF"/>
          <w:sz w:val="22"/>
          <w:szCs w:val="22"/>
          <w:lang w:val="en-GB"/>
        </w:rPr>
        <w:t xml:space="preserve">to deal with Rydell’s assets and affairs </w:t>
      </w:r>
      <w:r w:rsidR="00166195">
        <w:rPr>
          <w:rFonts w:ascii="Arial" w:hAnsi="Arial" w:cs="Arial"/>
          <w:color w:val="7B7B7B" w:themeColor="accent3" w:themeShade="BF"/>
          <w:sz w:val="22"/>
          <w:szCs w:val="22"/>
          <w:lang w:val="en-GB"/>
        </w:rPr>
        <w:t>throughout</w:t>
      </w:r>
      <w:r w:rsidR="001C4CC3">
        <w:rPr>
          <w:rFonts w:ascii="Arial" w:hAnsi="Arial" w:cs="Arial"/>
          <w:color w:val="7B7B7B" w:themeColor="accent3" w:themeShade="BF"/>
          <w:sz w:val="22"/>
          <w:szCs w:val="22"/>
          <w:lang w:val="en-GB"/>
        </w:rPr>
        <w:t xml:space="preserve"> the other EU member States, although it must still comply with the relevant EU member State’s laws in </w:t>
      </w:r>
      <w:proofErr w:type="gramStart"/>
      <w:r w:rsidR="001C4CC3">
        <w:rPr>
          <w:rFonts w:ascii="Arial" w:hAnsi="Arial" w:cs="Arial"/>
          <w:color w:val="7B7B7B" w:themeColor="accent3" w:themeShade="BF"/>
          <w:sz w:val="22"/>
          <w:szCs w:val="22"/>
          <w:lang w:val="en-GB"/>
        </w:rPr>
        <w:t>taking action</w:t>
      </w:r>
      <w:proofErr w:type="gramEnd"/>
      <w:r w:rsidR="001C4CC3">
        <w:rPr>
          <w:rFonts w:ascii="Arial" w:hAnsi="Arial" w:cs="Arial"/>
          <w:color w:val="7B7B7B" w:themeColor="accent3" w:themeShade="BF"/>
          <w:sz w:val="22"/>
          <w:szCs w:val="22"/>
          <w:lang w:val="en-GB"/>
        </w:rPr>
        <w:t xml:space="preserve"> such as undertaking realisation of assets (Article 21 of EIR).</w:t>
      </w:r>
    </w:p>
    <w:p w14:paraId="0DA412A5" w14:textId="367A53ED" w:rsidR="001C4CC3" w:rsidRDefault="001C4CC3" w:rsidP="001C4C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089310E" w14:textId="163EB1F9" w:rsidR="00F251F2" w:rsidRDefault="00F251F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Any creditor may submit its claim in the main insolvency proceedings</w:t>
      </w:r>
      <w:r w:rsidR="001C4CC3">
        <w:rPr>
          <w:rFonts w:ascii="Arial" w:hAnsi="Arial" w:cs="Arial"/>
          <w:color w:val="7B7B7B" w:themeColor="accent3" w:themeShade="BF"/>
          <w:sz w:val="22"/>
          <w:szCs w:val="22"/>
          <w:lang w:val="en-GB"/>
        </w:rPr>
        <w:t xml:space="preserve"> (Article 45 of EIR). </w:t>
      </w:r>
      <w:proofErr w:type="spellStart"/>
      <w:r w:rsidR="001C4CC3">
        <w:rPr>
          <w:rFonts w:ascii="Arial" w:hAnsi="Arial" w:cs="Arial"/>
          <w:color w:val="7B7B7B" w:themeColor="accent3" w:themeShade="BF"/>
          <w:sz w:val="22"/>
          <w:szCs w:val="22"/>
          <w:lang w:val="en-GB"/>
        </w:rPr>
        <w:t>Fernz</w:t>
      </w:r>
      <w:proofErr w:type="spellEnd"/>
      <w:r w:rsidR="001C4CC3">
        <w:rPr>
          <w:rFonts w:ascii="Arial" w:hAnsi="Arial" w:cs="Arial"/>
          <w:color w:val="7B7B7B" w:themeColor="accent3" w:themeShade="BF"/>
          <w:sz w:val="22"/>
          <w:szCs w:val="22"/>
          <w:lang w:val="en-GB"/>
        </w:rPr>
        <w:t xml:space="preserve"> (as well as the other creditors of Rydell in various </w:t>
      </w:r>
      <w:r w:rsidR="00626CF5">
        <w:rPr>
          <w:rFonts w:ascii="Arial" w:hAnsi="Arial" w:cs="Arial"/>
          <w:color w:val="7B7B7B" w:themeColor="accent3" w:themeShade="BF"/>
          <w:sz w:val="22"/>
          <w:szCs w:val="22"/>
          <w:lang w:val="en-GB"/>
        </w:rPr>
        <w:t>EU member States</w:t>
      </w:r>
      <w:r w:rsidR="001C4CC3">
        <w:rPr>
          <w:rFonts w:ascii="Arial" w:hAnsi="Arial" w:cs="Arial"/>
          <w:color w:val="7B7B7B" w:themeColor="accent3" w:themeShade="BF"/>
          <w:sz w:val="22"/>
          <w:szCs w:val="22"/>
          <w:lang w:val="en-GB"/>
        </w:rPr>
        <w:t>) thus do not have to open fresh insolvency proceedings and can submit their claims in the main insolvency proceedings</w:t>
      </w:r>
      <w:r w:rsidR="00626CF5">
        <w:rPr>
          <w:rFonts w:ascii="Arial" w:hAnsi="Arial" w:cs="Arial"/>
          <w:color w:val="7B7B7B" w:themeColor="accent3" w:themeShade="BF"/>
          <w:sz w:val="22"/>
          <w:szCs w:val="22"/>
          <w:lang w:val="en-GB"/>
        </w:rPr>
        <w:t xml:space="preserve"> </w:t>
      </w:r>
      <w:r w:rsidR="001C4CC3">
        <w:rPr>
          <w:rFonts w:ascii="Arial" w:hAnsi="Arial" w:cs="Arial"/>
          <w:color w:val="7B7B7B" w:themeColor="accent3" w:themeShade="BF"/>
          <w:sz w:val="22"/>
          <w:szCs w:val="22"/>
          <w:lang w:val="en-GB"/>
        </w:rPr>
        <w:t xml:space="preserve">opened </w:t>
      </w:r>
      <w:r w:rsidR="00626CF5">
        <w:rPr>
          <w:rFonts w:ascii="Arial" w:hAnsi="Arial" w:cs="Arial"/>
          <w:color w:val="7B7B7B" w:themeColor="accent3" w:themeShade="BF"/>
          <w:sz w:val="22"/>
          <w:szCs w:val="22"/>
          <w:lang w:val="en-GB"/>
        </w:rPr>
        <w:t xml:space="preserve">against Rydell </w:t>
      </w:r>
      <w:r w:rsidR="001C4CC3">
        <w:rPr>
          <w:rFonts w:ascii="Arial" w:hAnsi="Arial" w:cs="Arial"/>
          <w:color w:val="7B7B7B" w:themeColor="accent3" w:themeShade="BF"/>
          <w:sz w:val="22"/>
          <w:szCs w:val="22"/>
          <w:lang w:val="en-GB"/>
        </w:rPr>
        <w:t>in the UK.</w:t>
      </w:r>
    </w:p>
    <w:p w14:paraId="3BE231CD" w14:textId="77777777" w:rsidR="00167FD1" w:rsidRDefault="00167FD1" w:rsidP="00B7193E">
      <w:pPr>
        <w:jc w:val="both"/>
        <w:rPr>
          <w:rFonts w:ascii="Arial" w:hAnsi="Arial" w:cs="Arial"/>
          <w:color w:val="7B7B7B" w:themeColor="accent3" w:themeShade="BF"/>
          <w:sz w:val="22"/>
          <w:szCs w:val="22"/>
          <w:lang w:val="en-GB"/>
        </w:rPr>
      </w:pPr>
    </w:p>
    <w:p w14:paraId="2E3AFF80" w14:textId="77777777" w:rsidR="00FB396A" w:rsidRDefault="00FD4D0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Nevertheless, the EIR allows secondary insolvency proceedings to be opened in another EU member State</w:t>
      </w:r>
      <w:r w:rsidR="00B94098">
        <w:rPr>
          <w:rFonts w:ascii="Arial" w:hAnsi="Arial" w:cs="Arial"/>
          <w:color w:val="7B7B7B" w:themeColor="accent3" w:themeShade="BF"/>
          <w:sz w:val="22"/>
          <w:szCs w:val="22"/>
          <w:lang w:val="en-GB"/>
        </w:rPr>
        <w:t xml:space="preserve"> where the debtor has an establishment in the other State</w:t>
      </w:r>
      <w:r w:rsidR="00167FD1">
        <w:rPr>
          <w:rFonts w:ascii="Arial" w:hAnsi="Arial" w:cs="Arial"/>
          <w:color w:val="7B7B7B" w:themeColor="accent3" w:themeShade="BF"/>
          <w:sz w:val="22"/>
          <w:szCs w:val="22"/>
          <w:lang w:val="en-GB"/>
        </w:rPr>
        <w:t xml:space="preserve"> </w:t>
      </w:r>
      <w:r w:rsidR="00B94098">
        <w:rPr>
          <w:rFonts w:ascii="Arial" w:hAnsi="Arial" w:cs="Arial"/>
          <w:color w:val="7B7B7B" w:themeColor="accent3" w:themeShade="BF"/>
          <w:sz w:val="22"/>
          <w:szCs w:val="22"/>
          <w:lang w:val="en-GB"/>
        </w:rPr>
        <w:t>and such proceedings can only relate to the assets in that secondary member State (Article 3(2) of EIR). In this regard, establishment means any place of operations where the debtor carries out or has carried out non-transitory economic activity.</w:t>
      </w:r>
      <w:r w:rsidR="00167FD1">
        <w:rPr>
          <w:rFonts w:ascii="Arial" w:hAnsi="Arial" w:cs="Arial"/>
          <w:color w:val="7B7B7B" w:themeColor="accent3" w:themeShade="BF"/>
          <w:sz w:val="22"/>
          <w:szCs w:val="22"/>
          <w:lang w:val="en-GB"/>
        </w:rPr>
        <w:t xml:space="preserve"> </w:t>
      </w:r>
      <w:r w:rsidR="00FB396A">
        <w:rPr>
          <w:rFonts w:ascii="Arial" w:hAnsi="Arial" w:cs="Arial"/>
          <w:color w:val="7B7B7B" w:themeColor="accent3" w:themeShade="BF"/>
          <w:sz w:val="22"/>
          <w:szCs w:val="22"/>
          <w:lang w:val="en-GB"/>
        </w:rPr>
        <w:t xml:space="preserve">In considering whether to open proceedings in another EU member State, </w:t>
      </w:r>
      <w:proofErr w:type="spellStart"/>
      <w:r w:rsidR="00B94098">
        <w:rPr>
          <w:rFonts w:ascii="Arial" w:hAnsi="Arial" w:cs="Arial"/>
          <w:color w:val="7B7B7B" w:themeColor="accent3" w:themeShade="BF"/>
          <w:sz w:val="22"/>
          <w:szCs w:val="22"/>
          <w:lang w:val="en-GB"/>
        </w:rPr>
        <w:t>Fernz</w:t>
      </w:r>
      <w:proofErr w:type="spellEnd"/>
      <w:r w:rsidR="00B94098">
        <w:rPr>
          <w:rFonts w:ascii="Arial" w:hAnsi="Arial" w:cs="Arial"/>
          <w:color w:val="7B7B7B" w:themeColor="accent3" w:themeShade="BF"/>
          <w:sz w:val="22"/>
          <w:szCs w:val="22"/>
          <w:lang w:val="en-GB"/>
        </w:rPr>
        <w:t xml:space="preserve"> has to consider whether </w:t>
      </w:r>
      <w:r w:rsidR="00FB396A">
        <w:rPr>
          <w:rFonts w:ascii="Arial" w:hAnsi="Arial" w:cs="Arial"/>
          <w:color w:val="7B7B7B" w:themeColor="accent3" w:themeShade="BF"/>
          <w:sz w:val="22"/>
          <w:szCs w:val="22"/>
          <w:lang w:val="en-GB"/>
        </w:rPr>
        <w:t>Rydell has an establishment in that other State and whether the proceedings intended to be taken relate only to the assets there. Further information would be required to make this assessment.</w:t>
      </w:r>
    </w:p>
    <w:p w14:paraId="53091433" w14:textId="77777777" w:rsidR="00FB396A" w:rsidRDefault="00FB396A" w:rsidP="00B7193E">
      <w:pPr>
        <w:jc w:val="both"/>
        <w:rPr>
          <w:rFonts w:ascii="Arial" w:hAnsi="Arial" w:cs="Arial"/>
          <w:color w:val="7B7B7B" w:themeColor="accent3" w:themeShade="BF"/>
          <w:sz w:val="22"/>
          <w:szCs w:val="22"/>
          <w:lang w:val="en-GB"/>
        </w:rPr>
      </w:pPr>
    </w:p>
    <w:p w14:paraId="1A04F3EA" w14:textId="0C32E845" w:rsidR="004D51BC" w:rsidRDefault="00FB396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meets the conditions</w:t>
      </w:r>
      <w:r w:rsidR="004D51BC">
        <w:rPr>
          <w:rFonts w:ascii="Arial" w:hAnsi="Arial" w:cs="Arial"/>
          <w:color w:val="7B7B7B" w:themeColor="accent3" w:themeShade="BF"/>
          <w:sz w:val="22"/>
          <w:szCs w:val="22"/>
          <w:lang w:val="en-GB"/>
        </w:rPr>
        <w:t xml:space="preserve"> and decides</w:t>
      </w:r>
      <w:r>
        <w:rPr>
          <w:rFonts w:ascii="Arial" w:hAnsi="Arial" w:cs="Arial"/>
          <w:color w:val="7B7B7B" w:themeColor="accent3" w:themeShade="BF"/>
          <w:sz w:val="22"/>
          <w:szCs w:val="22"/>
          <w:lang w:val="en-GB"/>
        </w:rPr>
        <w:t xml:space="preserve"> to open secondary insolvency proceedings against Rydell in another EU member State, then the effect of the </w:t>
      </w:r>
      <w:r w:rsidR="00626CF5">
        <w:rPr>
          <w:rFonts w:ascii="Arial" w:hAnsi="Arial" w:cs="Arial"/>
          <w:color w:val="7B7B7B" w:themeColor="accent3" w:themeShade="BF"/>
          <w:sz w:val="22"/>
          <w:szCs w:val="22"/>
          <w:lang w:val="en-GB"/>
        </w:rPr>
        <w:t xml:space="preserve">UK </w:t>
      </w:r>
      <w:r>
        <w:rPr>
          <w:rFonts w:ascii="Arial" w:hAnsi="Arial" w:cs="Arial"/>
          <w:color w:val="7B7B7B" w:themeColor="accent3" w:themeShade="BF"/>
          <w:sz w:val="22"/>
          <w:szCs w:val="22"/>
          <w:lang w:val="en-GB"/>
        </w:rPr>
        <w:t>main insolvency proceeding</w:t>
      </w:r>
      <w:r w:rsidR="00626CF5">
        <w:rPr>
          <w:rFonts w:ascii="Arial" w:hAnsi="Arial" w:cs="Arial"/>
          <w:color w:val="7B7B7B" w:themeColor="accent3" w:themeShade="BF"/>
          <w:sz w:val="22"/>
          <w:szCs w:val="22"/>
          <w:lang w:val="en-GB"/>
        </w:rPr>
        <w:t>s against Rydell</w:t>
      </w:r>
      <w:r>
        <w:rPr>
          <w:rFonts w:ascii="Arial" w:hAnsi="Arial" w:cs="Arial"/>
          <w:color w:val="7B7B7B" w:themeColor="accent3" w:themeShade="BF"/>
          <w:sz w:val="22"/>
          <w:szCs w:val="22"/>
          <w:lang w:val="en-GB"/>
        </w:rPr>
        <w:t xml:space="preserve"> and actions taken by the </w:t>
      </w:r>
      <w:r w:rsidR="00626CF5">
        <w:rPr>
          <w:rFonts w:ascii="Arial" w:hAnsi="Arial" w:cs="Arial"/>
          <w:color w:val="7B7B7B" w:themeColor="accent3" w:themeShade="BF"/>
          <w:sz w:val="22"/>
          <w:szCs w:val="22"/>
          <w:lang w:val="en-GB"/>
        </w:rPr>
        <w:t xml:space="preserve">UK </w:t>
      </w:r>
      <w:r>
        <w:rPr>
          <w:rFonts w:ascii="Arial" w:hAnsi="Arial" w:cs="Arial"/>
          <w:color w:val="7B7B7B" w:themeColor="accent3" w:themeShade="BF"/>
          <w:sz w:val="22"/>
          <w:szCs w:val="22"/>
          <w:lang w:val="en-GB"/>
        </w:rPr>
        <w:t xml:space="preserve">insolvency practitioner will have to </w:t>
      </w:r>
      <w:proofErr w:type="gramStart"/>
      <w:r>
        <w:rPr>
          <w:rFonts w:ascii="Arial" w:hAnsi="Arial" w:cs="Arial"/>
          <w:color w:val="7B7B7B" w:themeColor="accent3" w:themeShade="BF"/>
          <w:sz w:val="22"/>
          <w:szCs w:val="22"/>
          <w:lang w:val="en-GB"/>
        </w:rPr>
        <w:t>take into</w:t>
      </w:r>
      <w:r w:rsidR="00626CF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account</w:t>
      </w:r>
      <w:proofErr w:type="gramEnd"/>
      <w:r>
        <w:rPr>
          <w:rFonts w:ascii="Arial" w:hAnsi="Arial" w:cs="Arial"/>
          <w:color w:val="7B7B7B" w:themeColor="accent3" w:themeShade="BF"/>
          <w:sz w:val="22"/>
          <w:szCs w:val="22"/>
          <w:lang w:val="en-GB"/>
        </w:rPr>
        <w:t xml:space="preserve"> the secondary proceedings</w:t>
      </w:r>
      <w:r w:rsidR="004D51BC">
        <w:rPr>
          <w:rFonts w:ascii="Arial" w:hAnsi="Arial" w:cs="Arial"/>
          <w:color w:val="7B7B7B" w:themeColor="accent3" w:themeShade="BF"/>
          <w:sz w:val="22"/>
          <w:szCs w:val="22"/>
          <w:lang w:val="en-GB"/>
        </w:rPr>
        <w:t>. For example, Rydell’s assets in the jurisdiction of the secondary proceedings are generally subject to the jurisdiction and national law of that other EU member State</w:t>
      </w:r>
      <w:r w:rsidR="00626CF5">
        <w:rPr>
          <w:rFonts w:ascii="Arial" w:hAnsi="Arial" w:cs="Arial"/>
          <w:color w:val="7B7B7B" w:themeColor="accent3" w:themeShade="BF"/>
          <w:sz w:val="22"/>
          <w:szCs w:val="22"/>
          <w:lang w:val="en-GB"/>
        </w:rPr>
        <w:t xml:space="preserve"> in which the secondary proceedings are opened</w:t>
      </w:r>
      <w:r>
        <w:rPr>
          <w:rFonts w:ascii="Arial" w:hAnsi="Arial" w:cs="Arial"/>
          <w:color w:val="7B7B7B" w:themeColor="accent3" w:themeShade="BF"/>
          <w:sz w:val="22"/>
          <w:szCs w:val="22"/>
          <w:lang w:val="en-GB"/>
        </w:rPr>
        <w:t xml:space="preserve">. </w:t>
      </w:r>
      <w:r w:rsidR="004D51BC">
        <w:rPr>
          <w:rFonts w:ascii="Arial" w:hAnsi="Arial" w:cs="Arial"/>
          <w:color w:val="7B7B7B" w:themeColor="accent3" w:themeShade="BF"/>
          <w:sz w:val="22"/>
          <w:szCs w:val="22"/>
          <w:lang w:val="en-GB"/>
        </w:rPr>
        <w:t>The courts in the main insolvency proceeding in UK and in any other secondary proceedings in other EU member States will have to cooperate to the extent that such cooperation is not incompatible with the rules of each proceedings respectively (Article 42 of EIR). These include coordination on approval of protocols where necessary, administration of Rydell’s assets and affair, exchange of information etc.</w:t>
      </w:r>
    </w:p>
    <w:p w14:paraId="269C1024" w14:textId="77777777" w:rsidR="00166195" w:rsidRDefault="00166195" w:rsidP="00B7193E">
      <w:pPr>
        <w:jc w:val="both"/>
        <w:rPr>
          <w:rFonts w:ascii="Arial" w:hAnsi="Arial" w:cs="Arial"/>
          <w:color w:val="7B7B7B" w:themeColor="accent3" w:themeShade="BF"/>
          <w:sz w:val="22"/>
          <w:szCs w:val="22"/>
          <w:lang w:val="en-GB"/>
        </w:rPr>
      </w:pPr>
    </w:p>
    <w:p w14:paraId="06973C1C" w14:textId="5A1FAE21" w:rsidR="00166195" w:rsidRDefault="0016619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4D51BC">
        <w:rPr>
          <w:rFonts w:ascii="Arial" w:hAnsi="Arial" w:cs="Arial"/>
          <w:color w:val="7B7B7B" w:themeColor="accent3" w:themeShade="BF"/>
          <w:sz w:val="22"/>
          <w:szCs w:val="22"/>
          <w:lang w:val="en-GB"/>
        </w:rPr>
        <w:t>econdary proceedings may cause disputes and hinder the administration of the debtor’s assets and affairs</w:t>
      </w:r>
      <w:r>
        <w:rPr>
          <w:rFonts w:ascii="Arial" w:hAnsi="Arial" w:cs="Arial"/>
          <w:color w:val="7B7B7B" w:themeColor="accent3" w:themeShade="BF"/>
          <w:sz w:val="22"/>
          <w:szCs w:val="22"/>
          <w:lang w:val="en-GB"/>
        </w:rPr>
        <w:t>.</w:t>
      </w:r>
      <w:r w:rsidR="004D51B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To</w:t>
      </w:r>
      <w:r w:rsidR="004D51BC">
        <w:rPr>
          <w:rFonts w:ascii="Arial" w:hAnsi="Arial" w:cs="Arial"/>
          <w:color w:val="7B7B7B" w:themeColor="accent3" w:themeShade="BF"/>
          <w:sz w:val="22"/>
          <w:szCs w:val="22"/>
          <w:lang w:val="en-GB"/>
        </w:rPr>
        <w:t xml:space="preserve"> avoid such secondary proceedings, the EIR allows the insolvency practitioner </w:t>
      </w:r>
      <w:r w:rsidR="00626CF5">
        <w:rPr>
          <w:rFonts w:ascii="Arial" w:hAnsi="Arial" w:cs="Arial"/>
          <w:color w:val="7B7B7B" w:themeColor="accent3" w:themeShade="BF"/>
          <w:sz w:val="22"/>
          <w:szCs w:val="22"/>
          <w:lang w:val="en-GB"/>
        </w:rPr>
        <w:t xml:space="preserve">in the main insolvency proceeding </w:t>
      </w:r>
      <w:r w:rsidR="004D51BC">
        <w:rPr>
          <w:rFonts w:ascii="Arial" w:hAnsi="Arial" w:cs="Arial"/>
          <w:color w:val="7B7B7B" w:themeColor="accent3" w:themeShade="BF"/>
          <w:sz w:val="22"/>
          <w:szCs w:val="22"/>
          <w:lang w:val="en-GB"/>
        </w:rPr>
        <w:t>to instead give a unilateral undertaking to distribute assets located in the EU member State in which secondary proceedings could be opened</w:t>
      </w:r>
      <w:r>
        <w:rPr>
          <w:rFonts w:ascii="Arial" w:hAnsi="Arial" w:cs="Arial"/>
          <w:color w:val="7B7B7B" w:themeColor="accent3" w:themeShade="BF"/>
          <w:sz w:val="22"/>
          <w:szCs w:val="22"/>
          <w:lang w:val="en-GB"/>
        </w:rPr>
        <w:t xml:space="preserve">, in according to the distribution and priority rights under the national law of the that State (Article 36 of EIR). This is another option that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t>
      </w:r>
      <w:r w:rsidR="001D31BB">
        <w:rPr>
          <w:rFonts w:ascii="Arial" w:hAnsi="Arial" w:cs="Arial"/>
          <w:color w:val="7B7B7B" w:themeColor="accent3" w:themeShade="BF"/>
          <w:sz w:val="22"/>
          <w:szCs w:val="22"/>
          <w:lang w:val="en-GB"/>
        </w:rPr>
        <w:t xml:space="preserve">and the </w:t>
      </w:r>
      <w:r w:rsidR="00626CF5">
        <w:rPr>
          <w:rFonts w:ascii="Arial" w:hAnsi="Arial" w:cs="Arial"/>
          <w:color w:val="7B7B7B" w:themeColor="accent3" w:themeShade="BF"/>
          <w:sz w:val="22"/>
          <w:szCs w:val="22"/>
          <w:lang w:val="en-GB"/>
        </w:rPr>
        <w:t xml:space="preserve">UK </w:t>
      </w:r>
      <w:r w:rsidR="001D31BB">
        <w:rPr>
          <w:rFonts w:ascii="Arial" w:hAnsi="Arial" w:cs="Arial"/>
          <w:color w:val="7B7B7B" w:themeColor="accent3" w:themeShade="BF"/>
          <w:sz w:val="22"/>
          <w:szCs w:val="22"/>
          <w:lang w:val="en-GB"/>
        </w:rPr>
        <w:t xml:space="preserve">liquidator </w:t>
      </w:r>
      <w:r>
        <w:rPr>
          <w:rFonts w:ascii="Arial" w:hAnsi="Arial" w:cs="Arial"/>
          <w:color w:val="7B7B7B" w:themeColor="accent3" w:themeShade="BF"/>
          <w:sz w:val="22"/>
          <w:szCs w:val="22"/>
          <w:lang w:val="en-GB"/>
        </w:rPr>
        <w:t>may consider</w:t>
      </w:r>
      <w:r w:rsidR="00626CF5">
        <w:rPr>
          <w:rFonts w:ascii="Arial" w:hAnsi="Arial" w:cs="Arial"/>
          <w:color w:val="7B7B7B" w:themeColor="accent3" w:themeShade="BF"/>
          <w:sz w:val="22"/>
          <w:szCs w:val="22"/>
          <w:lang w:val="en-GB"/>
        </w:rPr>
        <w:t>, instead of commencing secondary insolvency proceedings</w:t>
      </w:r>
      <w:r>
        <w:rPr>
          <w:rFonts w:ascii="Arial" w:hAnsi="Arial" w:cs="Arial"/>
          <w:color w:val="7B7B7B" w:themeColor="accent3" w:themeShade="BF"/>
          <w:sz w:val="22"/>
          <w:szCs w:val="22"/>
          <w:lang w:val="en-GB"/>
        </w:rPr>
        <w:t>.</w:t>
      </w:r>
    </w:p>
    <w:p w14:paraId="0B289548" w14:textId="77777777" w:rsidR="00166195" w:rsidRDefault="00166195" w:rsidP="00B7193E">
      <w:pPr>
        <w:jc w:val="both"/>
        <w:rPr>
          <w:rFonts w:ascii="Arial" w:hAnsi="Arial" w:cs="Arial"/>
          <w:color w:val="7B7B7B" w:themeColor="accent3" w:themeShade="BF"/>
          <w:sz w:val="22"/>
          <w:szCs w:val="22"/>
          <w:lang w:val="en-GB"/>
        </w:rPr>
      </w:pPr>
    </w:p>
    <w:p w14:paraId="28F0674C" w14:textId="0320EC43" w:rsidR="0057312E" w:rsidRPr="004163D1" w:rsidRDefault="0016619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the potential issue as to the insolvency proceedings opened against Rydell in UK due to the temporary prohibitions under CIGA, </w:t>
      </w:r>
      <w:r w:rsidR="004163D1">
        <w:rPr>
          <w:rFonts w:ascii="Arial" w:hAnsi="Arial" w:cs="Arial"/>
          <w:color w:val="7B7B7B" w:themeColor="accent3" w:themeShade="BF"/>
          <w:sz w:val="22"/>
          <w:szCs w:val="22"/>
          <w:lang w:val="en-GB"/>
        </w:rPr>
        <w:t xml:space="preserve">where the main proceedings cannot be opened due to the law of UK, </w:t>
      </w:r>
      <w:r>
        <w:rPr>
          <w:rFonts w:ascii="Arial" w:hAnsi="Arial" w:cs="Arial"/>
          <w:color w:val="7B7B7B" w:themeColor="accent3" w:themeShade="BF"/>
          <w:sz w:val="22"/>
          <w:szCs w:val="22"/>
          <w:lang w:val="en-GB"/>
        </w:rPr>
        <w:t>territorial insolvency proceedings can be opened</w:t>
      </w:r>
      <w:r w:rsidR="004163D1">
        <w:rPr>
          <w:rFonts w:ascii="Arial" w:hAnsi="Arial" w:cs="Arial"/>
          <w:color w:val="7B7B7B" w:themeColor="accent3" w:themeShade="BF"/>
          <w:sz w:val="22"/>
          <w:szCs w:val="22"/>
          <w:lang w:val="en-GB"/>
        </w:rPr>
        <w:t xml:space="preserve"> first</w:t>
      </w:r>
      <w:r>
        <w:rPr>
          <w:rFonts w:ascii="Arial" w:hAnsi="Arial" w:cs="Arial"/>
          <w:color w:val="7B7B7B" w:themeColor="accent3" w:themeShade="BF"/>
          <w:sz w:val="22"/>
          <w:szCs w:val="22"/>
          <w:lang w:val="en-GB"/>
        </w:rPr>
        <w:t xml:space="preserve"> in an</w:t>
      </w:r>
      <w:r w:rsidR="004163D1">
        <w:rPr>
          <w:rFonts w:ascii="Arial" w:hAnsi="Arial" w:cs="Arial"/>
          <w:color w:val="7B7B7B" w:themeColor="accent3" w:themeShade="BF"/>
          <w:sz w:val="22"/>
          <w:szCs w:val="22"/>
          <w:lang w:val="en-GB"/>
        </w:rPr>
        <w:t>other</w:t>
      </w:r>
      <w:r>
        <w:rPr>
          <w:rFonts w:ascii="Arial" w:hAnsi="Arial" w:cs="Arial"/>
          <w:color w:val="7B7B7B" w:themeColor="accent3" w:themeShade="BF"/>
          <w:sz w:val="22"/>
          <w:szCs w:val="22"/>
          <w:lang w:val="en-GB"/>
        </w:rPr>
        <w:t xml:space="preserve"> EU member State where Rydell has an establishment</w:t>
      </w:r>
      <w:r w:rsidR="004163D1">
        <w:rPr>
          <w:rFonts w:ascii="Arial" w:hAnsi="Arial" w:cs="Arial"/>
          <w:color w:val="7B7B7B" w:themeColor="accent3" w:themeShade="BF"/>
          <w:sz w:val="22"/>
          <w:szCs w:val="22"/>
          <w:lang w:val="en-GB"/>
        </w:rPr>
        <w:t xml:space="preserve"> (Article 3(4) of EIR). When main insolvency proceedings are opened thereafter, the territorial insolvency proceedings will then become secondary proceedings. </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5501C5BF" w:rsidR="00275182" w:rsidRDefault="004163D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insolvency proceedings were opened in the UK against Rydell on 18 June 2021, the EIR will no longer be applicable to the UK.</w:t>
      </w:r>
      <w:r w:rsidR="006572F4">
        <w:rPr>
          <w:rStyle w:val="FootnoteReference"/>
          <w:rFonts w:ascii="Arial" w:hAnsi="Arial" w:cs="Arial"/>
          <w:color w:val="7B7B7B" w:themeColor="accent3" w:themeShade="BF"/>
          <w:sz w:val="22"/>
          <w:szCs w:val="22"/>
          <w:lang w:val="en-GB"/>
        </w:rPr>
        <w:footnoteReference w:id="20"/>
      </w:r>
      <w:r>
        <w:rPr>
          <w:rFonts w:ascii="Arial" w:hAnsi="Arial" w:cs="Arial"/>
          <w:color w:val="7B7B7B" w:themeColor="accent3" w:themeShade="BF"/>
          <w:sz w:val="22"/>
          <w:szCs w:val="22"/>
          <w:lang w:val="en-GB"/>
        </w:rPr>
        <w:t xml:space="preserve"> </w:t>
      </w:r>
      <w:r w:rsidR="00722A67">
        <w:rPr>
          <w:rFonts w:ascii="Arial" w:hAnsi="Arial" w:cs="Arial"/>
          <w:color w:val="7B7B7B" w:themeColor="accent3" w:themeShade="BF"/>
          <w:sz w:val="22"/>
          <w:szCs w:val="22"/>
          <w:lang w:val="en-GB"/>
        </w:rPr>
        <w:t>After 31 December 2020, the law of the UK and the relevant domestic laws of each individual EU member States will apply instead.</w:t>
      </w:r>
      <w:r w:rsidR="00365F93">
        <w:rPr>
          <w:rFonts w:ascii="Arial" w:hAnsi="Arial" w:cs="Arial"/>
          <w:color w:val="7B7B7B" w:themeColor="accent3" w:themeShade="BF"/>
          <w:sz w:val="22"/>
          <w:szCs w:val="22"/>
          <w:lang w:val="en-GB"/>
        </w:rPr>
        <w:t xml:space="preserve"> This means that the recognition and enforceability of the UK insolvency proceedings</w:t>
      </w:r>
      <w:r w:rsidR="006572F4">
        <w:rPr>
          <w:rFonts w:ascii="Arial" w:hAnsi="Arial" w:cs="Arial"/>
          <w:color w:val="7B7B7B" w:themeColor="accent3" w:themeShade="BF"/>
          <w:sz w:val="22"/>
          <w:szCs w:val="22"/>
          <w:lang w:val="en-GB"/>
        </w:rPr>
        <w:t xml:space="preserve"> against Rydell</w:t>
      </w:r>
      <w:r w:rsidR="00365F93">
        <w:rPr>
          <w:rFonts w:ascii="Arial" w:hAnsi="Arial" w:cs="Arial"/>
          <w:color w:val="7B7B7B" w:themeColor="accent3" w:themeShade="BF"/>
          <w:sz w:val="22"/>
          <w:szCs w:val="22"/>
          <w:lang w:val="en-GB"/>
        </w:rPr>
        <w:t xml:space="preserve"> and </w:t>
      </w:r>
      <w:r w:rsidR="006572F4">
        <w:rPr>
          <w:rFonts w:ascii="Arial" w:hAnsi="Arial" w:cs="Arial"/>
          <w:color w:val="7B7B7B" w:themeColor="accent3" w:themeShade="BF"/>
          <w:sz w:val="22"/>
          <w:szCs w:val="22"/>
          <w:lang w:val="en-GB"/>
        </w:rPr>
        <w:t xml:space="preserve">the UK </w:t>
      </w:r>
      <w:r w:rsidR="00365F93">
        <w:rPr>
          <w:rFonts w:ascii="Arial" w:hAnsi="Arial" w:cs="Arial"/>
          <w:color w:val="7B7B7B" w:themeColor="accent3" w:themeShade="BF"/>
          <w:sz w:val="22"/>
          <w:szCs w:val="22"/>
          <w:lang w:val="en-GB"/>
        </w:rPr>
        <w:t xml:space="preserve">insolvency practitioner is not automatic and would depend on the domestic laws of the relevant EU member States. </w:t>
      </w:r>
    </w:p>
    <w:p w14:paraId="5667E6E9" w14:textId="6B126810" w:rsidR="00365F93" w:rsidRDefault="00365F93" w:rsidP="00B7193E">
      <w:pPr>
        <w:jc w:val="both"/>
        <w:rPr>
          <w:rFonts w:ascii="Arial" w:hAnsi="Arial" w:cs="Arial"/>
          <w:color w:val="7B7B7B" w:themeColor="accent3" w:themeShade="BF"/>
          <w:sz w:val="22"/>
          <w:szCs w:val="22"/>
          <w:lang w:val="en-GB"/>
        </w:rPr>
      </w:pPr>
    </w:p>
    <w:p w14:paraId="3C2F0B79" w14:textId="7299DCBC" w:rsidR="00365F93" w:rsidRDefault="00365F9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EU member States that have adopted the UNCITRAL Model Law (i.e. Greece, Poland, Romania and Slovenia), there will at least be a uniform set of rules for the recognition and enforcement of foreign insolvency proceedings</w:t>
      </w:r>
      <w:r w:rsidR="00453FC5">
        <w:rPr>
          <w:rFonts w:ascii="Arial" w:hAnsi="Arial" w:cs="Arial"/>
          <w:color w:val="7B7B7B" w:themeColor="accent3" w:themeShade="BF"/>
          <w:sz w:val="22"/>
          <w:szCs w:val="22"/>
          <w:lang w:val="en-GB"/>
        </w:rPr>
        <w:t xml:space="preserve"> (the UK insolvency proceedings</w:t>
      </w:r>
      <w:r w:rsidR="001D31BB">
        <w:rPr>
          <w:rFonts w:ascii="Arial" w:hAnsi="Arial" w:cs="Arial"/>
          <w:color w:val="7B7B7B" w:themeColor="accent3" w:themeShade="BF"/>
          <w:sz w:val="22"/>
          <w:szCs w:val="22"/>
          <w:lang w:val="en-GB"/>
        </w:rPr>
        <w:t xml:space="preserve"> against Rydell</w:t>
      </w:r>
      <w:r w:rsidR="00453FC5">
        <w:rPr>
          <w:rFonts w:ascii="Arial" w:hAnsi="Arial" w:cs="Arial"/>
          <w:color w:val="7B7B7B" w:themeColor="accent3" w:themeShade="BF"/>
          <w:sz w:val="22"/>
          <w:szCs w:val="22"/>
          <w:lang w:val="en-GB"/>
        </w:rPr>
        <w:t xml:space="preserve"> in this case)</w:t>
      </w:r>
      <w:r>
        <w:rPr>
          <w:rFonts w:ascii="Arial" w:hAnsi="Arial" w:cs="Arial"/>
          <w:color w:val="7B7B7B" w:themeColor="accent3" w:themeShade="BF"/>
          <w:sz w:val="22"/>
          <w:szCs w:val="22"/>
          <w:lang w:val="en-GB"/>
        </w:rPr>
        <w:t xml:space="preserve"> which the UK insolvency practitioner can rely upon to seek assistance</w:t>
      </w:r>
      <w:r w:rsidR="001D31BB">
        <w:rPr>
          <w:rFonts w:ascii="Arial" w:hAnsi="Arial" w:cs="Arial"/>
          <w:color w:val="7B7B7B" w:themeColor="accent3" w:themeShade="BF"/>
          <w:sz w:val="22"/>
          <w:szCs w:val="22"/>
          <w:lang w:val="en-GB"/>
        </w:rPr>
        <w:t xml:space="preserve"> from the courts of the other countries</w:t>
      </w:r>
      <w:r w:rsidR="006572F4">
        <w:rPr>
          <w:rFonts w:ascii="Arial" w:hAnsi="Arial" w:cs="Arial"/>
          <w:color w:val="7B7B7B" w:themeColor="accent3" w:themeShade="BF"/>
          <w:sz w:val="22"/>
          <w:szCs w:val="22"/>
          <w:lang w:val="en-GB"/>
        </w:rPr>
        <w:t xml:space="preserve"> that have adopted the Model Law</w:t>
      </w:r>
      <w:r>
        <w:rPr>
          <w:rFonts w:ascii="Arial" w:hAnsi="Arial" w:cs="Arial"/>
          <w:color w:val="7B7B7B" w:themeColor="accent3" w:themeShade="BF"/>
          <w:sz w:val="22"/>
          <w:szCs w:val="22"/>
          <w:lang w:val="en-GB"/>
        </w:rPr>
        <w:t xml:space="preserve">. </w:t>
      </w:r>
      <w:r w:rsidR="00453FC5">
        <w:rPr>
          <w:rFonts w:ascii="Arial" w:hAnsi="Arial" w:cs="Arial"/>
          <w:color w:val="7B7B7B" w:themeColor="accent3" w:themeShade="BF"/>
          <w:sz w:val="22"/>
          <w:szCs w:val="22"/>
          <w:lang w:val="en-GB"/>
        </w:rPr>
        <w:t>An application must be made to the court in the relevant jurisdiction and the reliefs and assistance that can be provided will depend on whether the proceeding is a main proceeding or non-main proceeding</w:t>
      </w:r>
      <w:r w:rsidR="006572F4">
        <w:rPr>
          <w:rFonts w:ascii="Arial" w:hAnsi="Arial" w:cs="Arial"/>
          <w:color w:val="7B7B7B" w:themeColor="accent3" w:themeShade="BF"/>
          <w:sz w:val="22"/>
          <w:szCs w:val="22"/>
          <w:lang w:val="en-GB"/>
        </w:rPr>
        <w:t>.</w:t>
      </w:r>
    </w:p>
    <w:p w14:paraId="13B61D39" w14:textId="4C8BD02C" w:rsidR="006572F4" w:rsidRDefault="006572F4" w:rsidP="00B7193E">
      <w:pPr>
        <w:jc w:val="both"/>
        <w:rPr>
          <w:rFonts w:ascii="Arial" w:hAnsi="Arial" w:cs="Arial"/>
          <w:color w:val="7B7B7B" w:themeColor="accent3" w:themeShade="BF"/>
          <w:sz w:val="22"/>
          <w:szCs w:val="22"/>
          <w:lang w:val="en-GB"/>
        </w:rPr>
      </w:pPr>
    </w:p>
    <w:p w14:paraId="2ABE183B" w14:textId="06DA366B" w:rsidR="006572F4" w:rsidRDefault="006572F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regard, further information would be </w:t>
      </w:r>
      <w:r w:rsidR="0056227D">
        <w:rPr>
          <w:rFonts w:ascii="Arial" w:hAnsi="Arial" w:cs="Arial"/>
          <w:color w:val="7B7B7B" w:themeColor="accent3" w:themeShade="BF"/>
          <w:sz w:val="22"/>
          <w:szCs w:val="22"/>
          <w:lang w:val="en-GB"/>
        </w:rPr>
        <w:t>needed</w:t>
      </w:r>
      <w:r>
        <w:rPr>
          <w:rFonts w:ascii="Arial" w:hAnsi="Arial" w:cs="Arial"/>
          <w:color w:val="7B7B7B" w:themeColor="accent3" w:themeShade="BF"/>
          <w:sz w:val="22"/>
          <w:szCs w:val="22"/>
          <w:lang w:val="en-GB"/>
        </w:rPr>
        <w:t xml:space="preserve"> </w:t>
      </w:r>
      <w:r w:rsidR="0056227D">
        <w:rPr>
          <w:rFonts w:ascii="Arial" w:hAnsi="Arial" w:cs="Arial"/>
          <w:color w:val="7B7B7B" w:themeColor="accent3" w:themeShade="BF"/>
          <w:sz w:val="22"/>
          <w:szCs w:val="22"/>
          <w:lang w:val="en-GB"/>
        </w:rPr>
        <w:t>as to</w:t>
      </w:r>
      <w:r>
        <w:rPr>
          <w:rFonts w:ascii="Arial" w:hAnsi="Arial" w:cs="Arial"/>
          <w:color w:val="7B7B7B" w:themeColor="accent3" w:themeShade="BF"/>
          <w:sz w:val="22"/>
          <w:szCs w:val="22"/>
          <w:lang w:val="en-GB"/>
        </w:rPr>
        <w:t xml:space="preserve"> what EU countries are the creditors</w:t>
      </w:r>
      <w:r w:rsidR="0056227D">
        <w:rPr>
          <w:rFonts w:ascii="Arial" w:hAnsi="Arial" w:cs="Arial"/>
          <w:color w:val="7B7B7B" w:themeColor="accent3" w:themeShade="BF"/>
          <w:sz w:val="22"/>
          <w:szCs w:val="22"/>
          <w:lang w:val="en-GB"/>
        </w:rPr>
        <w:t xml:space="preserve"> and assets </w:t>
      </w:r>
      <w:r>
        <w:rPr>
          <w:rFonts w:ascii="Arial" w:hAnsi="Arial" w:cs="Arial"/>
          <w:color w:val="7B7B7B" w:themeColor="accent3" w:themeShade="BF"/>
          <w:sz w:val="22"/>
          <w:szCs w:val="22"/>
          <w:lang w:val="en-GB"/>
        </w:rPr>
        <w:t>of Rydell located</w:t>
      </w:r>
      <w:r w:rsidR="0056227D">
        <w:rPr>
          <w:rFonts w:ascii="Arial" w:hAnsi="Arial" w:cs="Arial"/>
          <w:color w:val="7B7B7B" w:themeColor="accent3" w:themeShade="BF"/>
          <w:sz w:val="22"/>
          <w:szCs w:val="22"/>
          <w:lang w:val="en-GB"/>
        </w:rPr>
        <w:t xml:space="preserve"> in, and the relevant laws on recognition and enforcement of foreign insolvency proceedings in such countries.  </w:t>
      </w:r>
    </w:p>
    <w:p w14:paraId="1F9349C0" w14:textId="2057756A" w:rsidR="00365F93" w:rsidRDefault="00365F93" w:rsidP="00B7193E">
      <w:pPr>
        <w:jc w:val="both"/>
        <w:rPr>
          <w:rFonts w:ascii="Arial" w:hAnsi="Arial" w:cs="Arial"/>
          <w:color w:val="7B7B7B" w:themeColor="accent3" w:themeShade="BF"/>
          <w:sz w:val="22"/>
          <w:szCs w:val="22"/>
          <w:lang w:val="en-GB"/>
        </w:rPr>
      </w:pPr>
    </w:p>
    <w:p w14:paraId="56401C14" w14:textId="7C664969" w:rsidR="00C25CEC" w:rsidRPr="00C669FE" w:rsidRDefault="00C25CEC" w:rsidP="00B7193E">
      <w:pPr>
        <w:jc w:val="both"/>
        <w:rPr>
          <w:rFonts w:ascii="Arial" w:hAnsi="Arial" w:cs="Arial"/>
          <w:color w:val="7B7B7B" w:themeColor="accent3" w:themeShade="BF"/>
          <w:sz w:val="22"/>
          <w:szCs w:val="22"/>
          <w:lang w:val="en-GB"/>
        </w:rPr>
      </w:pPr>
      <w:r w:rsidRPr="00C25CE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s such, there may be difficulties for the UK insolvency practitioner to deal with the assets and affairs of Rydell located in the EU member states (or any other countries outside UK). </w:t>
      </w:r>
    </w:p>
    <w:p w14:paraId="67AF1F6B" w14:textId="589EBB2A" w:rsidR="00722A67" w:rsidRDefault="00C25CEC" w:rsidP="00722A67">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As for </w:t>
      </w:r>
      <w:proofErr w:type="spellStart"/>
      <w:r>
        <w:rPr>
          <w:rFonts w:ascii="Arial" w:hAnsi="Arial" w:cs="Arial"/>
          <w:color w:val="767171" w:themeColor="background2" w:themeShade="80"/>
          <w:sz w:val="22"/>
          <w:szCs w:val="22"/>
          <w:lang w:val="en-GB"/>
        </w:rPr>
        <w:t>Fernz</w:t>
      </w:r>
      <w:proofErr w:type="spellEnd"/>
      <w:r>
        <w:rPr>
          <w:rFonts w:ascii="Arial" w:hAnsi="Arial" w:cs="Arial"/>
          <w:color w:val="767171" w:themeColor="background2" w:themeShade="80"/>
          <w:sz w:val="22"/>
          <w:szCs w:val="22"/>
          <w:lang w:val="en-GB"/>
        </w:rPr>
        <w:t xml:space="preserve"> considering to open insolvency proceedings against Rydell in another EU member State</w:t>
      </w:r>
      <w:r w:rsidR="003B554F">
        <w:rPr>
          <w:rFonts w:ascii="Arial" w:hAnsi="Arial" w:cs="Arial"/>
          <w:color w:val="767171" w:themeColor="background2" w:themeShade="80"/>
          <w:sz w:val="22"/>
          <w:szCs w:val="22"/>
          <w:lang w:val="en-GB"/>
        </w:rPr>
        <w:t xml:space="preserve">, the EIR </w:t>
      </w:r>
      <w:r w:rsidR="0087527F">
        <w:rPr>
          <w:rFonts w:ascii="Arial" w:hAnsi="Arial" w:cs="Arial"/>
          <w:color w:val="767171" w:themeColor="background2" w:themeShade="80"/>
          <w:sz w:val="22"/>
          <w:szCs w:val="22"/>
          <w:lang w:val="en-GB"/>
        </w:rPr>
        <w:t>only applies to proceedings in respect of a debtor whose COMI is located in the EU.</w:t>
      </w:r>
      <w:r w:rsidR="00845D71">
        <w:rPr>
          <w:rStyle w:val="FootnoteReference"/>
          <w:rFonts w:ascii="Arial" w:hAnsi="Arial" w:cs="Arial"/>
          <w:color w:val="767171" w:themeColor="background2" w:themeShade="80"/>
          <w:sz w:val="22"/>
          <w:szCs w:val="22"/>
          <w:lang w:val="en-GB"/>
        </w:rPr>
        <w:footnoteReference w:id="21"/>
      </w:r>
      <w:r w:rsidR="00845D71">
        <w:rPr>
          <w:rFonts w:ascii="Arial" w:hAnsi="Arial" w:cs="Arial"/>
          <w:color w:val="767171" w:themeColor="background2" w:themeShade="80"/>
          <w:sz w:val="22"/>
          <w:szCs w:val="22"/>
          <w:lang w:val="en-GB"/>
        </w:rPr>
        <w:t xml:space="preserve"> Based on the given facts that the COMI of Rydell is situated in the UK</w:t>
      </w:r>
      <w:r w:rsidR="0056227D">
        <w:rPr>
          <w:rFonts w:ascii="Arial" w:hAnsi="Arial" w:cs="Arial"/>
          <w:color w:val="767171" w:themeColor="background2" w:themeShade="80"/>
          <w:sz w:val="22"/>
          <w:szCs w:val="22"/>
          <w:lang w:val="en-GB"/>
        </w:rPr>
        <w:t xml:space="preserve"> and subject to any further information to the contrary</w:t>
      </w:r>
      <w:r w:rsidR="00845D71">
        <w:rPr>
          <w:rFonts w:ascii="Arial" w:hAnsi="Arial" w:cs="Arial"/>
          <w:color w:val="767171" w:themeColor="background2" w:themeShade="80"/>
          <w:sz w:val="22"/>
          <w:szCs w:val="22"/>
          <w:lang w:val="en-GB"/>
        </w:rPr>
        <w:t xml:space="preserve">, </w:t>
      </w:r>
      <w:r w:rsidR="0056227D">
        <w:rPr>
          <w:rFonts w:ascii="Arial" w:hAnsi="Arial" w:cs="Arial"/>
          <w:color w:val="767171" w:themeColor="background2" w:themeShade="80"/>
          <w:sz w:val="22"/>
          <w:szCs w:val="22"/>
          <w:lang w:val="en-GB"/>
        </w:rPr>
        <w:t xml:space="preserve">the </w:t>
      </w:r>
      <w:r w:rsidR="00845D71">
        <w:rPr>
          <w:rFonts w:ascii="Arial" w:hAnsi="Arial" w:cs="Arial"/>
          <w:color w:val="767171" w:themeColor="background2" w:themeShade="80"/>
          <w:sz w:val="22"/>
          <w:szCs w:val="22"/>
          <w:lang w:val="en-GB"/>
        </w:rPr>
        <w:t>EIR will not apply to insolvency proceedings opened in respect of Rydell</w:t>
      </w:r>
      <w:r w:rsidR="0056227D">
        <w:rPr>
          <w:rFonts w:ascii="Arial" w:hAnsi="Arial" w:cs="Arial"/>
          <w:color w:val="767171" w:themeColor="background2" w:themeShade="80"/>
          <w:sz w:val="22"/>
          <w:szCs w:val="22"/>
          <w:lang w:val="en-GB"/>
        </w:rPr>
        <w:t xml:space="preserve"> in </w:t>
      </w:r>
      <w:proofErr w:type="gramStart"/>
      <w:r w:rsidR="0056227D">
        <w:rPr>
          <w:rFonts w:ascii="Arial" w:hAnsi="Arial" w:cs="Arial"/>
          <w:color w:val="767171" w:themeColor="background2" w:themeShade="80"/>
          <w:sz w:val="22"/>
          <w:szCs w:val="22"/>
          <w:lang w:val="en-GB"/>
        </w:rPr>
        <w:t>a</w:t>
      </w:r>
      <w:proofErr w:type="gramEnd"/>
      <w:r w:rsidR="0056227D">
        <w:rPr>
          <w:rFonts w:ascii="Arial" w:hAnsi="Arial" w:cs="Arial"/>
          <w:color w:val="767171" w:themeColor="background2" w:themeShade="80"/>
          <w:sz w:val="22"/>
          <w:szCs w:val="22"/>
          <w:lang w:val="en-GB"/>
        </w:rPr>
        <w:t xml:space="preserve"> EU member State</w:t>
      </w:r>
      <w:r w:rsidR="00845D71">
        <w:rPr>
          <w:rFonts w:ascii="Arial" w:hAnsi="Arial" w:cs="Arial"/>
          <w:color w:val="767171" w:themeColor="background2" w:themeShade="80"/>
          <w:sz w:val="22"/>
          <w:szCs w:val="22"/>
          <w:lang w:val="en-GB"/>
        </w:rPr>
        <w:t xml:space="preserve">. As such, </w:t>
      </w:r>
      <w:r>
        <w:rPr>
          <w:rFonts w:ascii="Arial" w:hAnsi="Arial" w:cs="Arial"/>
          <w:color w:val="767171" w:themeColor="background2" w:themeShade="80"/>
          <w:sz w:val="22"/>
          <w:szCs w:val="22"/>
          <w:lang w:val="en-GB"/>
        </w:rPr>
        <w:t xml:space="preserve">any insolvency proceedings opened by </w:t>
      </w:r>
      <w:proofErr w:type="spellStart"/>
      <w:r>
        <w:rPr>
          <w:rFonts w:ascii="Arial" w:hAnsi="Arial" w:cs="Arial"/>
          <w:color w:val="767171" w:themeColor="background2" w:themeShade="80"/>
          <w:sz w:val="22"/>
          <w:szCs w:val="22"/>
          <w:lang w:val="en-GB"/>
        </w:rPr>
        <w:t>Fernz</w:t>
      </w:r>
      <w:proofErr w:type="spellEnd"/>
      <w:r>
        <w:rPr>
          <w:rFonts w:ascii="Arial" w:hAnsi="Arial" w:cs="Arial"/>
          <w:color w:val="767171" w:themeColor="background2" w:themeShade="80"/>
          <w:sz w:val="22"/>
          <w:szCs w:val="22"/>
          <w:lang w:val="en-GB"/>
        </w:rPr>
        <w:t xml:space="preserve"> in </w:t>
      </w:r>
      <w:proofErr w:type="gramStart"/>
      <w:r>
        <w:rPr>
          <w:rFonts w:ascii="Arial" w:hAnsi="Arial" w:cs="Arial"/>
          <w:color w:val="767171" w:themeColor="background2" w:themeShade="80"/>
          <w:sz w:val="22"/>
          <w:szCs w:val="22"/>
          <w:lang w:val="en-GB"/>
        </w:rPr>
        <w:t>a</w:t>
      </w:r>
      <w:proofErr w:type="gramEnd"/>
      <w:r>
        <w:rPr>
          <w:rFonts w:ascii="Arial" w:hAnsi="Arial" w:cs="Arial"/>
          <w:color w:val="767171" w:themeColor="background2" w:themeShade="80"/>
          <w:sz w:val="22"/>
          <w:szCs w:val="22"/>
          <w:lang w:val="en-GB"/>
        </w:rPr>
        <w:t xml:space="preserve"> EU member State will be addressed by the national laws of that country.</w:t>
      </w:r>
    </w:p>
    <w:p w14:paraId="7033DB7E" w14:textId="1078710E" w:rsidR="00C25CEC" w:rsidRDefault="00C25CEC" w:rsidP="00722A67">
      <w:pPr>
        <w:jc w:val="both"/>
        <w:rPr>
          <w:rFonts w:ascii="Arial" w:hAnsi="Arial" w:cs="Arial"/>
          <w:color w:val="767171" w:themeColor="background2" w:themeShade="80"/>
          <w:sz w:val="22"/>
          <w:szCs w:val="22"/>
          <w:lang w:val="en-GB"/>
        </w:rPr>
      </w:pPr>
    </w:p>
    <w:p w14:paraId="44553BE4" w14:textId="661C167E" w:rsidR="00722A67" w:rsidRDefault="00C25CEC" w:rsidP="00722A67">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If there are concurrent insolvency proceedings opened against Rydell in other countries, it is noted that the UK has </w:t>
      </w:r>
      <w:r w:rsidR="00722A67">
        <w:rPr>
          <w:rFonts w:ascii="Arial" w:hAnsi="Arial" w:cs="Arial"/>
          <w:color w:val="767171" w:themeColor="background2" w:themeShade="80"/>
          <w:sz w:val="22"/>
          <w:szCs w:val="22"/>
          <w:lang w:val="en-GB"/>
        </w:rPr>
        <w:t xml:space="preserve">enacted the UNCITRAL Model Law through the Cross-Border Insolvency Regulations 2006 (“CBIR”). Therefore, insolvency representatives of foreign proceedings have access to the English courts to apply for recognition and relief, and the CBIR also sets out provisions of coordination between courts and insolvency representatives in concurrent proceedings. </w:t>
      </w:r>
    </w:p>
    <w:p w14:paraId="5E97DDBA" w14:textId="03220F60" w:rsidR="00C25CEC" w:rsidRDefault="00C25CEC" w:rsidP="00722A67">
      <w:pPr>
        <w:jc w:val="both"/>
        <w:rPr>
          <w:rFonts w:ascii="Arial" w:hAnsi="Arial" w:cs="Arial"/>
          <w:color w:val="767171" w:themeColor="background2" w:themeShade="80"/>
          <w:sz w:val="22"/>
          <w:szCs w:val="22"/>
          <w:lang w:val="en-GB"/>
        </w:rPr>
      </w:pPr>
    </w:p>
    <w:p w14:paraId="25208413" w14:textId="6828875D" w:rsidR="00722A67" w:rsidRPr="00C669FE" w:rsidRDefault="00C669FE" w:rsidP="00C669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Nevertheless, whether or not there are foreign insolvency proceedings, the creditors of Rydell in the EU countries (including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can participate in the Rydell insolvency proceedings in the UK as </w:t>
      </w:r>
      <w:r w:rsidRPr="00C25CEC">
        <w:rPr>
          <w:rFonts w:ascii="Arial" w:hAnsi="Arial" w:cs="Arial"/>
          <w:color w:val="7B7B7B" w:themeColor="accent3" w:themeShade="BF"/>
          <w:sz w:val="22"/>
          <w:szCs w:val="22"/>
          <w:lang w:val="en-GB"/>
        </w:rPr>
        <w:t>foreign creditors have the same rights to participate in the English insolvency proceedings as local creditors (see Schedule 1, Article 13(1)</w:t>
      </w:r>
      <w:r>
        <w:rPr>
          <w:rFonts w:ascii="Arial" w:hAnsi="Arial" w:cs="Arial"/>
          <w:color w:val="7B7B7B" w:themeColor="accent3" w:themeShade="BF"/>
          <w:sz w:val="22"/>
          <w:szCs w:val="22"/>
          <w:lang w:val="en-GB"/>
        </w:rPr>
        <w:t xml:space="preserve"> of the CBIR</w:t>
      </w:r>
      <w:r w:rsidRPr="00C25CEC">
        <w:rPr>
          <w:rFonts w:ascii="Arial" w:hAnsi="Arial" w:cs="Arial"/>
          <w:color w:val="7B7B7B" w:themeColor="accent3" w:themeShade="BF"/>
          <w:sz w:val="22"/>
          <w:szCs w:val="22"/>
          <w:lang w:val="en-GB"/>
        </w:rPr>
        <w:t>). The English insolvency representative can accept proofs lodged by foreign creditors for debts incurred outside the UK or under foreign law.</w:t>
      </w:r>
      <w:r w:rsidRPr="00C25CEC">
        <w:rPr>
          <w:rStyle w:val="FootnoteReference"/>
          <w:rFonts w:ascii="Arial" w:hAnsi="Arial" w:cs="Arial"/>
          <w:color w:val="7B7B7B" w:themeColor="accent3" w:themeShade="BF"/>
          <w:sz w:val="22"/>
          <w:szCs w:val="22"/>
          <w:lang w:val="en-GB"/>
        </w:rPr>
        <w:footnoteReference w:id="22"/>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6D51ECBE" w14:textId="295892A6" w:rsidR="000155C9" w:rsidRDefault="00AC58CB" w:rsidP="007A38E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221 of the Insolvency Act 1986</w:t>
      </w:r>
      <w:r w:rsidR="00935F8D">
        <w:rPr>
          <w:rFonts w:ascii="Arial" w:hAnsi="Arial" w:cs="Arial"/>
          <w:color w:val="7B7B7B" w:themeColor="accent3" w:themeShade="BF"/>
          <w:sz w:val="22"/>
          <w:szCs w:val="22"/>
          <w:lang w:val="en-GB"/>
        </w:rPr>
        <w:t xml:space="preserve"> (“IA”)</w:t>
      </w:r>
      <w:r>
        <w:rPr>
          <w:rFonts w:ascii="Arial" w:hAnsi="Arial" w:cs="Arial"/>
          <w:color w:val="7B7B7B" w:themeColor="accent3" w:themeShade="BF"/>
          <w:sz w:val="22"/>
          <w:szCs w:val="22"/>
          <w:lang w:val="en-GB"/>
        </w:rPr>
        <w:t xml:space="preserve">, the English courts have jurisdiction to wind-up a company incorporated in another country </w:t>
      </w:r>
      <w:r w:rsidR="00935F8D">
        <w:rPr>
          <w:rFonts w:ascii="Arial" w:hAnsi="Arial" w:cs="Arial"/>
          <w:color w:val="7B7B7B" w:themeColor="accent3" w:themeShade="BF"/>
          <w:sz w:val="22"/>
          <w:szCs w:val="22"/>
          <w:lang w:val="en-GB"/>
        </w:rPr>
        <w:t xml:space="preserve">that is carrying on business in the UK but which has not been registered in the UK. Therefore, the English court can </w:t>
      </w:r>
      <w:r w:rsidR="0056227D">
        <w:rPr>
          <w:rFonts w:ascii="Arial" w:hAnsi="Arial" w:cs="Arial"/>
          <w:color w:val="7B7B7B" w:themeColor="accent3" w:themeShade="BF"/>
          <w:sz w:val="22"/>
          <w:szCs w:val="22"/>
          <w:lang w:val="en-GB"/>
        </w:rPr>
        <w:t>open</w:t>
      </w:r>
      <w:r w:rsidR="00935F8D">
        <w:rPr>
          <w:rFonts w:ascii="Arial" w:hAnsi="Arial" w:cs="Arial"/>
          <w:color w:val="7B7B7B" w:themeColor="accent3" w:themeShade="BF"/>
          <w:sz w:val="22"/>
          <w:szCs w:val="22"/>
          <w:lang w:val="en-GB"/>
        </w:rPr>
        <w:t xml:space="preserve"> insolvency proceedings against Rydell in the UK by virtue of section 221 IA. The circumstances in which Rydell can be wound up in this case is if Rydell has ceased carrying on business, it is unable to pay its debts or if the court is of the opinion that it is just and equitable for Rydell to be wound up.</w:t>
      </w:r>
    </w:p>
    <w:p w14:paraId="2C841A79" w14:textId="18BF2462" w:rsidR="004711B8" w:rsidRDefault="004711B8" w:rsidP="00013F1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Since Rydell has its COMI in a member State of the EU, </w:t>
      </w:r>
      <w:r w:rsidR="00013F1B">
        <w:rPr>
          <w:rFonts w:ascii="Arial" w:hAnsi="Arial" w:cs="Arial"/>
          <w:color w:val="7B7B7B" w:themeColor="accent3" w:themeShade="BF"/>
          <w:sz w:val="22"/>
          <w:szCs w:val="22"/>
          <w:lang w:val="en-GB"/>
        </w:rPr>
        <w:t xml:space="preserve">it would be advisable for </w:t>
      </w:r>
      <w:r>
        <w:rPr>
          <w:rFonts w:ascii="Arial" w:hAnsi="Arial" w:cs="Arial"/>
          <w:color w:val="7B7B7B" w:themeColor="accent3" w:themeShade="BF"/>
          <w:sz w:val="22"/>
          <w:szCs w:val="22"/>
          <w:lang w:val="en-GB"/>
        </w:rPr>
        <w:t xml:space="preserve">Rydell’s creditors situated throughout </w:t>
      </w:r>
      <w:r w:rsidR="00013F1B">
        <w:rPr>
          <w:rFonts w:ascii="Arial" w:hAnsi="Arial" w:cs="Arial"/>
          <w:color w:val="7B7B7B" w:themeColor="accent3" w:themeShade="BF"/>
          <w:sz w:val="22"/>
          <w:szCs w:val="22"/>
          <w:lang w:val="en-GB"/>
        </w:rPr>
        <w:t xml:space="preserve">other EU member States (including </w:t>
      </w:r>
      <w:proofErr w:type="spellStart"/>
      <w:r w:rsidR="00013F1B">
        <w:rPr>
          <w:rFonts w:ascii="Arial" w:hAnsi="Arial" w:cs="Arial"/>
          <w:color w:val="7B7B7B" w:themeColor="accent3" w:themeShade="BF"/>
          <w:sz w:val="22"/>
          <w:szCs w:val="22"/>
          <w:lang w:val="en-GB"/>
        </w:rPr>
        <w:t>Fernz</w:t>
      </w:r>
      <w:proofErr w:type="spellEnd"/>
      <w:r w:rsidR="00013F1B">
        <w:rPr>
          <w:rFonts w:ascii="Arial" w:hAnsi="Arial" w:cs="Arial"/>
          <w:color w:val="7B7B7B" w:themeColor="accent3" w:themeShade="BF"/>
          <w:sz w:val="22"/>
          <w:szCs w:val="22"/>
          <w:lang w:val="en-GB"/>
        </w:rPr>
        <w:t xml:space="preserve">) to commence insolvency proceedings against Rydell in the </w:t>
      </w:r>
      <w:r w:rsidR="0056227D">
        <w:rPr>
          <w:rFonts w:ascii="Arial" w:hAnsi="Arial" w:cs="Arial"/>
          <w:color w:val="7B7B7B" w:themeColor="accent3" w:themeShade="BF"/>
          <w:sz w:val="22"/>
          <w:szCs w:val="22"/>
          <w:lang w:val="en-GB"/>
        </w:rPr>
        <w:t xml:space="preserve">EU </w:t>
      </w:r>
      <w:r w:rsidR="00013F1B">
        <w:rPr>
          <w:rFonts w:ascii="Arial" w:hAnsi="Arial" w:cs="Arial"/>
          <w:color w:val="7B7B7B" w:themeColor="accent3" w:themeShade="BF"/>
          <w:sz w:val="22"/>
          <w:szCs w:val="22"/>
          <w:lang w:val="en-GB"/>
        </w:rPr>
        <w:t xml:space="preserve">country in which </w:t>
      </w:r>
      <w:r w:rsidR="00CF29DF">
        <w:rPr>
          <w:rFonts w:ascii="Arial" w:hAnsi="Arial" w:cs="Arial"/>
          <w:color w:val="7B7B7B" w:themeColor="accent3" w:themeShade="BF"/>
          <w:sz w:val="22"/>
          <w:szCs w:val="22"/>
          <w:lang w:val="en-GB"/>
        </w:rPr>
        <w:t>Rydell’s</w:t>
      </w:r>
      <w:r w:rsidR="00013F1B">
        <w:rPr>
          <w:rFonts w:ascii="Arial" w:hAnsi="Arial" w:cs="Arial"/>
          <w:color w:val="7B7B7B" w:themeColor="accent3" w:themeShade="BF"/>
          <w:sz w:val="22"/>
          <w:szCs w:val="22"/>
          <w:lang w:val="en-GB"/>
        </w:rPr>
        <w:t xml:space="preserve"> COMI is situated (“Rydell main insolvency proceedings”). The EIR will apply so that the Rydell main insolvency proceedings will have recognition throughout the other EU member States.</w:t>
      </w:r>
    </w:p>
    <w:p w14:paraId="15901982" w14:textId="542F5FCD" w:rsidR="00013F1B" w:rsidRDefault="00013F1B" w:rsidP="00013F1B">
      <w:pPr>
        <w:autoSpaceDE w:val="0"/>
        <w:autoSpaceDN w:val="0"/>
        <w:adjustRightInd w:val="0"/>
        <w:jc w:val="both"/>
        <w:rPr>
          <w:rFonts w:ascii="Arial" w:hAnsi="Arial" w:cs="Arial"/>
          <w:color w:val="7B7B7B" w:themeColor="accent3" w:themeShade="BF"/>
          <w:sz w:val="22"/>
          <w:szCs w:val="22"/>
          <w:lang w:val="en-GB"/>
        </w:rPr>
      </w:pPr>
    </w:p>
    <w:p w14:paraId="387B1191" w14:textId="1C11AF1C" w:rsidR="00013F1B" w:rsidRDefault="00013F1B" w:rsidP="00013F1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 xml:space="preserve">UK has enacted the UNCITRAL Model Law through the Cross-Border Insolvency Regulations 2006 (“CBIR”). </w:t>
      </w:r>
      <w:r>
        <w:rPr>
          <w:rFonts w:ascii="Arial" w:hAnsi="Arial" w:cs="Arial"/>
          <w:color w:val="7B7B7B" w:themeColor="accent3" w:themeShade="BF"/>
          <w:sz w:val="22"/>
          <w:szCs w:val="22"/>
          <w:lang w:val="en-GB"/>
        </w:rPr>
        <w:t xml:space="preserve">The </w:t>
      </w:r>
      <w:r w:rsidR="0056227D">
        <w:rPr>
          <w:rFonts w:ascii="Arial" w:hAnsi="Arial" w:cs="Arial"/>
          <w:color w:val="7B7B7B" w:themeColor="accent3" w:themeShade="BF"/>
          <w:sz w:val="22"/>
          <w:szCs w:val="22"/>
          <w:lang w:val="en-GB"/>
        </w:rPr>
        <w:t xml:space="preserve">EU </w:t>
      </w:r>
      <w:r>
        <w:rPr>
          <w:rFonts w:ascii="Arial" w:hAnsi="Arial" w:cs="Arial"/>
          <w:color w:val="7B7B7B" w:themeColor="accent3" w:themeShade="BF"/>
          <w:sz w:val="22"/>
          <w:szCs w:val="22"/>
          <w:lang w:val="en-GB"/>
        </w:rPr>
        <w:t xml:space="preserve">insolvency representative in the Rydell main insolvency proceedings therefore may apply to the English courts for recognition of the Rydell main insolvency proceedings. It does not matter whether the country in which the Rydell main insolvency proceedings are opened have reciprocal laws on recognition of foreign proceedings. </w:t>
      </w:r>
    </w:p>
    <w:p w14:paraId="2BB03282" w14:textId="77777777" w:rsidR="00013F1B" w:rsidRPr="00B146CA" w:rsidRDefault="00013F1B" w:rsidP="00013F1B">
      <w:pPr>
        <w:jc w:val="both"/>
        <w:rPr>
          <w:rFonts w:ascii="Arial" w:hAnsi="Arial" w:cs="Arial"/>
          <w:color w:val="767171" w:themeColor="background2" w:themeShade="80"/>
          <w:sz w:val="22"/>
          <w:szCs w:val="22"/>
          <w:lang w:val="en-GB"/>
        </w:rPr>
      </w:pPr>
    </w:p>
    <w:p w14:paraId="16D6B236" w14:textId="195ADC83" w:rsidR="00551530" w:rsidRDefault="00013F1B" w:rsidP="00013F1B">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The reliefs that can be sought b</w:t>
      </w:r>
      <w:r>
        <w:rPr>
          <w:rFonts w:ascii="Arial" w:hAnsi="Arial" w:cs="Arial"/>
          <w:color w:val="767171" w:themeColor="background2" w:themeShade="80"/>
          <w:sz w:val="22"/>
          <w:szCs w:val="22"/>
          <w:lang w:val="en-GB"/>
        </w:rPr>
        <w:t>y</w:t>
      </w:r>
      <w:r w:rsidRPr="00B146CA">
        <w:rPr>
          <w:rFonts w:ascii="Arial" w:hAnsi="Arial" w:cs="Arial"/>
          <w:color w:val="767171" w:themeColor="background2" w:themeShade="80"/>
          <w:sz w:val="22"/>
          <w:szCs w:val="22"/>
          <w:lang w:val="en-GB"/>
        </w:rPr>
        <w:t xml:space="preserve"> the </w:t>
      </w:r>
      <w:r w:rsidR="0056227D">
        <w:rPr>
          <w:rFonts w:ascii="Arial" w:hAnsi="Arial" w:cs="Arial"/>
          <w:color w:val="767171" w:themeColor="background2" w:themeShade="80"/>
          <w:sz w:val="22"/>
          <w:szCs w:val="22"/>
          <w:lang w:val="en-GB"/>
        </w:rPr>
        <w:t xml:space="preserve">EU </w:t>
      </w:r>
      <w:r w:rsidR="00551530">
        <w:rPr>
          <w:rFonts w:ascii="Arial" w:hAnsi="Arial" w:cs="Arial"/>
          <w:color w:val="767171" w:themeColor="background2" w:themeShade="80"/>
          <w:sz w:val="22"/>
          <w:szCs w:val="22"/>
          <w:lang w:val="en-GB"/>
        </w:rPr>
        <w:t>insolvency representative in the Rydell main insolvency proceedings</w:t>
      </w:r>
      <w:r w:rsidRPr="00B146CA">
        <w:rPr>
          <w:rFonts w:ascii="Arial" w:hAnsi="Arial" w:cs="Arial"/>
          <w:color w:val="767171" w:themeColor="background2" w:themeShade="80"/>
          <w:sz w:val="22"/>
          <w:szCs w:val="22"/>
          <w:lang w:val="en-GB"/>
        </w:rPr>
        <w:t xml:space="preserve"> would depend on whether the </w:t>
      </w:r>
      <w:r w:rsidR="00551530">
        <w:rPr>
          <w:rFonts w:ascii="Arial" w:hAnsi="Arial" w:cs="Arial"/>
          <w:color w:val="767171" w:themeColor="background2" w:themeShade="80"/>
          <w:sz w:val="22"/>
          <w:szCs w:val="22"/>
          <w:lang w:val="en-GB"/>
        </w:rPr>
        <w:t>English</w:t>
      </w:r>
      <w:r w:rsidRPr="00B146CA">
        <w:rPr>
          <w:rFonts w:ascii="Arial" w:hAnsi="Arial" w:cs="Arial"/>
          <w:color w:val="767171" w:themeColor="background2" w:themeShade="80"/>
          <w:sz w:val="22"/>
          <w:szCs w:val="22"/>
          <w:lang w:val="en-GB"/>
        </w:rPr>
        <w:t xml:space="preserve"> court grants recognition of the proceedings as a foreign main proceeding or a foreign non-main proceeding.</w:t>
      </w:r>
      <w:r w:rsidR="00551530">
        <w:rPr>
          <w:rFonts w:ascii="Arial" w:hAnsi="Arial" w:cs="Arial"/>
          <w:color w:val="767171" w:themeColor="background2" w:themeShade="80"/>
          <w:sz w:val="22"/>
          <w:szCs w:val="22"/>
          <w:lang w:val="en-GB"/>
        </w:rPr>
        <w:t xml:space="preserve"> On the given facts, the Rydell main insolvency proceedings will likely be recognised as foreign main proceeding as Rydell’s COMI is in the country where the proceedings commenced.</w:t>
      </w:r>
      <w:r w:rsidRPr="00B146CA">
        <w:rPr>
          <w:rFonts w:ascii="Arial" w:hAnsi="Arial" w:cs="Arial"/>
          <w:color w:val="767171" w:themeColor="background2" w:themeShade="80"/>
          <w:sz w:val="22"/>
          <w:szCs w:val="22"/>
          <w:lang w:val="en-GB"/>
        </w:rPr>
        <w:t xml:space="preserve"> If it is a foreign main proceeding, the recognition by the </w:t>
      </w:r>
      <w:r w:rsidR="00551530">
        <w:rPr>
          <w:rFonts w:ascii="Arial" w:hAnsi="Arial" w:cs="Arial"/>
          <w:color w:val="767171" w:themeColor="background2" w:themeShade="80"/>
          <w:sz w:val="22"/>
          <w:szCs w:val="22"/>
          <w:lang w:val="en-GB"/>
        </w:rPr>
        <w:t>English</w:t>
      </w:r>
      <w:r w:rsidRPr="00B146CA">
        <w:rPr>
          <w:rFonts w:ascii="Arial" w:hAnsi="Arial" w:cs="Arial"/>
          <w:color w:val="767171" w:themeColor="background2" w:themeShade="80"/>
          <w:sz w:val="22"/>
          <w:szCs w:val="22"/>
          <w:lang w:val="en-GB"/>
        </w:rPr>
        <w:t xml:space="preserve"> court will trigger an automatic stay of creditor actions and an automatic freeze of </w:t>
      </w:r>
      <w:r w:rsidR="00551530">
        <w:rPr>
          <w:rFonts w:ascii="Arial" w:hAnsi="Arial" w:cs="Arial"/>
          <w:color w:val="767171" w:themeColor="background2" w:themeShade="80"/>
          <w:sz w:val="22"/>
          <w:szCs w:val="22"/>
          <w:lang w:val="en-GB"/>
        </w:rPr>
        <w:t>Rydell’s</w:t>
      </w:r>
      <w:r w:rsidRPr="00B146CA">
        <w:rPr>
          <w:rFonts w:ascii="Arial" w:hAnsi="Arial" w:cs="Arial"/>
          <w:color w:val="767171" w:themeColor="background2" w:themeShade="80"/>
          <w:sz w:val="22"/>
          <w:szCs w:val="22"/>
          <w:lang w:val="en-GB"/>
        </w:rPr>
        <w:t xml:space="preserve"> assets</w:t>
      </w:r>
      <w:r w:rsidR="00551530">
        <w:rPr>
          <w:rFonts w:ascii="Arial" w:hAnsi="Arial" w:cs="Arial"/>
          <w:color w:val="767171" w:themeColor="background2" w:themeShade="80"/>
          <w:sz w:val="22"/>
          <w:szCs w:val="22"/>
          <w:lang w:val="en-GB"/>
        </w:rPr>
        <w:t xml:space="preserve"> in the UK</w:t>
      </w:r>
      <w:r w:rsidR="0056227D">
        <w:rPr>
          <w:rFonts w:ascii="Arial" w:hAnsi="Arial" w:cs="Arial"/>
          <w:color w:val="767171" w:themeColor="background2" w:themeShade="80"/>
          <w:sz w:val="22"/>
          <w:szCs w:val="22"/>
          <w:lang w:val="en-GB"/>
        </w:rPr>
        <w:t xml:space="preserve"> (Article 20 of Schedule 1, CBIR)</w:t>
      </w:r>
      <w:r w:rsidRPr="00B146CA">
        <w:rPr>
          <w:rFonts w:ascii="Arial" w:hAnsi="Arial" w:cs="Arial"/>
          <w:color w:val="767171" w:themeColor="background2" w:themeShade="80"/>
          <w:sz w:val="22"/>
          <w:szCs w:val="22"/>
          <w:lang w:val="en-GB"/>
        </w:rPr>
        <w:t xml:space="preserve">. </w:t>
      </w:r>
    </w:p>
    <w:p w14:paraId="4485795C" w14:textId="77777777" w:rsidR="00551530" w:rsidRDefault="00551530" w:rsidP="00013F1B">
      <w:pPr>
        <w:jc w:val="both"/>
        <w:rPr>
          <w:rFonts w:ascii="Arial" w:hAnsi="Arial" w:cs="Arial"/>
          <w:color w:val="767171" w:themeColor="background2" w:themeShade="80"/>
          <w:sz w:val="22"/>
          <w:szCs w:val="22"/>
          <w:lang w:val="en-GB"/>
        </w:rPr>
      </w:pPr>
    </w:p>
    <w:p w14:paraId="03BB6F2D" w14:textId="7087EB3E" w:rsidR="00551530" w:rsidRDefault="00551530" w:rsidP="00013F1B">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However, on the assumption that the UK insolvency proceedings </w:t>
      </w:r>
      <w:r w:rsidR="0056227D">
        <w:rPr>
          <w:rFonts w:ascii="Arial" w:hAnsi="Arial" w:cs="Arial"/>
          <w:color w:val="767171" w:themeColor="background2" w:themeShade="80"/>
          <w:sz w:val="22"/>
          <w:szCs w:val="22"/>
          <w:lang w:val="en-GB"/>
        </w:rPr>
        <w:t xml:space="preserve">against Rydell </w:t>
      </w:r>
      <w:r>
        <w:rPr>
          <w:rFonts w:ascii="Arial" w:hAnsi="Arial" w:cs="Arial"/>
          <w:color w:val="767171" w:themeColor="background2" w:themeShade="80"/>
          <w:sz w:val="22"/>
          <w:szCs w:val="22"/>
          <w:lang w:val="en-GB"/>
        </w:rPr>
        <w:t xml:space="preserve">have already been opened on 18 June 2021 </w:t>
      </w:r>
      <w:r w:rsidRPr="0056227D">
        <w:rPr>
          <w:rFonts w:ascii="Arial" w:hAnsi="Arial" w:cs="Arial"/>
          <w:color w:val="767171" w:themeColor="background2" w:themeShade="80"/>
          <w:sz w:val="22"/>
          <w:szCs w:val="22"/>
          <w:u w:val="single"/>
          <w:lang w:val="en-GB"/>
        </w:rPr>
        <w:t>prior</w:t>
      </w:r>
      <w:r>
        <w:rPr>
          <w:rFonts w:ascii="Arial" w:hAnsi="Arial" w:cs="Arial"/>
          <w:color w:val="767171" w:themeColor="background2" w:themeShade="80"/>
          <w:sz w:val="22"/>
          <w:szCs w:val="22"/>
          <w:lang w:val="en-GB"/>
        </w:rPr>
        <w:t xml:space="preserve"> to the commencement of the Rydell main insolvency proceedings</w:t>
      </w:r>
      <w:r w:rsidR="0056227D">
        <w:rPr>
          <w:rFonts w:ascii="Arial" w:hAnsi="Arial" w:cs="Arial"/>
          <w:color w:val="767171" w:themeColor="background2" w:themeShade="80"/>
          <w:sz w:val="22"/>
          <w:szCs w:val="22"/>
          <w:lang w:val="en-GB"/>
        </w:rPr>
        <w:t xml:space="preserve"> in the EU</w:t>
      </w:r>
      <w:r>
        <w:rPr>
          <w:rFonts w:ascii="Arial" w:hAnsi="Arial" w:cs="Arial"/>
          <w:color w:val="767171" w:themeColor="background2" w:themeShade="80"/>
          <w:sz w:val="22"/>
          <w:szCs w:val="22"/>
          <w:lang w:val="en-GB"/>
        </w:rPr>
        <w:t>, any relief (including various stays, entrusting Rydell</w:t>
      </w:r>
      <w:r w:rsidR="0056227D">
        <w:rPr>
          <w:rFonts w:ascii="Arial" w:hAnsi="Arial" w:cs="Arial"/>
          <w:color w:val="767171" w:themeColor="background2" w:themeShade="80"/>
          <w:sz w:val="22"/>
          <w:szCs w:val="22"/>
          <w:lang w:val="en-GB"/>
        </w:rPr>
        <w:t>’s</w:t>
      </w:r>
      <w:r>
        <w:rPr>
          <w:rFonts w:ascii="Arial" w:hAnsi="Arial" w:cs="Arial"/>
          <w:color w:val="767171" w:themeColor="background2" w:themeShade="80"/>
          <w:sz w:val="22"/>
          <w:szCs w:val="22"/>
          <w:lang w:val="en-GB"/>
        </w:rPr>
        <w:t xml:space="preserve"> assets in UK to the </w:t>
      </w:r>
      <w:r w:rsidR="0056227D">
        <w:rPr>
          <w:rFonts w:ascii="Arial" w:hAnsi="Arial" w:cs="Arial"/>
          <w:color w:val="767171" w:themeColor="background2" w:themeShade="80"/>
          <w:sz w:val="22"/>
          <w:szCs w:val="22"/>
          <w:lang w:val="en-GB"/>
        </w:rPr>
        <w:t>EU</w:t>
      </w:r>
      <w:r>
        <w:rPr>
          <w:rFonts w:ascii="Arial" w:hAnsi="Arial" w:cs="Arial"/>
          <w:color w:val="767171" w:themeColor="background2" w:themeShade="80"/>
          <w:sz w:val="22"/>
          <w:szCs w:val="22"/>
          <w:lang w:val="en-GB"/>
        </w:rPr>
        <w:t xml:space="preserve"> insolvency representative etc. under Article 19 and 21 of Schedule 1, CBIR) </w:t>
      </w:r>
      <w:r w:rsidR="0056227D">
        <w:rPr>
          <w:rFonts w:ascii="Arial" w:hAnsi="Arial" w:cs="Arial"/>
          <w:color w:val="767171" w:themeColor="background2" w:themeShade="80"/>
          <w:sz w:val="22"/>
          <w:szCs w:val="22"/>
          <w:lang w:val="en-GB"/>
        </w:rPr>
        <w:t xml:space="preserve">that may be </w:t>
      </w:r>
      <w:r>
        <w:rPr>
          <w:rFonts w:ascii="Arial" w:hAnsi="Arial" w:cs="Arial"/>
          <w:color w:val="767171" w:themeColor="background2" w:themeShade="80"/>
          <w:sz w:val="22"/>
          <w:szCs w:val="22"/>
          <w:lang w:val="en-GB"/>
        </w:rPr>
        <w:t>granted by the English court must be consistent with the UK insolvency proceedings. This is so even if the Rydell main insolvency proceedings are recognised as foreign main proceedings by the English court. In this case, the automatic relief</w:t>
      </w:r>
      <w:r w:rsidR="0056227D">
        <w:rPr>
          <w:rFonts w:ascii="Arial" w:hAnsi="Arial" w:cs="Arial"/>
          <w:color w:val="767171" w:themeColor="background2" w:themeShade="80"/>
          <w:sz w:val="22"/>
          <w:szCs w:val="22"/>
          <w:lang w:val="en-GB"/>
        </w:rPr>
        <w:t>s</w:t>
      </w:r>
      <w:r>
        <w:rPr>
          <w:rFonts w:ascii="Arial" w:hAnsi="Arial" w:cs="Arial"/>
          <w:color w:val="767171" w:themeColor="background2" w:themeShade="80"/>
          <w:sz w:val="22"/>
          <w:szCs w:val="22"/>
          <w:lang w:val="en-GB"/>
        </w:rPr>
        <w:t xml:space="preserve"> (including automatic stay) afforded under Article 20 of Schedule 1, CBIR </w:t>
      </w:r>
      <w:r w:rsidR="007A38ED">
        <w:rPr>
          <w:rFonts w:ascii="Arial" w:hAnsi="Arial" w:cs="Arial"/>
          <w:color w:val="767171" w:themeColor="background2" w:themeShade="80"/>
          <w:sz w:val="22"/>
          <w:szCs w:val="22"/>
          <w:lang w:val="en-GB"/>
        </w:rPr>
        <w:t xml:space="preserve">upon recognition of foreign main proceedings, </w:t>
      </w:r>
      <w:r>
        <w:rPr>
          <w:rFonts w:ascii="Arial" w:hAnsi="Arial" w:cs="Arial"/>
          <w:color w:val="767171" w:themeColor="background2" w:themeShade="80"/>
          <w:sz w:val="22"/>
          <w:szCs w:val="22"/>
          <w:lang w:val="en-GB"/>
        </w:rPr>
        <w:t>will not apply.</w:t>
      </w:r>
    </w:p>
    <w:p w14:paraId="38F0FFCB" w14:textId="1091E717" w:rsidR="007C2913" w:rsidRDefault="007C2913" w:rsidP="00013F1B">
      <w:pPr>
        <w:jc w:val="both"/>
        <w:rPr>
          <w:rFonts w:ascii="Arial" w:hAnsi="Arial" w:cs="Arial"/>
          <w:color w:val="767171" w:themeColor="background2" w:themeShade="80"/>
          <w:sz w:val="22"/>
          <w:szCs w:val="22"/>
          <w:lang w:val="en-GB"/>
        </w:rPr>
      </w:pPr>
    </w:p>
    <w:p w14:paraId="485B16C0" w14:textId="35F9BC5D" w:rsidR="007C2913" w:rsidRDefault="007C2913" w:rsidP="00013F1B">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The CBIR also sets out provisions of coordination between courts and insolvency representatives in concurrent proceedings (set out in Articles 25, 26 and 27 of Schedule 1, CBIR). Under the CBIR, the English insolvency representative has a duty to cooperate with foreign courts and representatives in the Rydell main insolvency proceedings and is entitled to communicate directly with them. </w:t>
      </w:r>
    </w:p>
    <w:p w14:paraId="48BC0657" w14:textId="704C072D" w:rsidR="007C2913" w:rsidRDefault="007C2913" w:rsidP="00013F1B">
      <w:pPr>
        <w:jc w:val="both"/>
        <w:rPr>
          <w:rFonts w:ascii="Arial" w:hAnsi="Arial" w:cs="Arial"/>
          <w:color w:val="767171" w:themeColor="background2" w:themeShade="80"/>
          <w:sz w:val="22"/>
          <w:szCs w:val="22"/>
          <w:lang w:val="en-GB"/>
        </w:rPr>
      </w:pPr>
    </w:p>
    <w:p w14:paraId="103A56CB" w14:textId="431A0663" w:rsidR="007C2913" w:rsidRDefault="007C2913" w:rsidP="00013F1B">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Section 426 of the IA is another avenue for the English Courts to assist foreign insolvency proceedings. If a request under section 426 IA is approved by the English court, section 426 will provide flexibility to choose whether </w:t>
      </w:r>
      <w:r w:rsidR="00E33202">
        <w:rPr>
          <w:rFonts w:ascii="Arial" w:hAnsi="Arial" w:cs="Arial"/>
          <w:color w:val="767171" w:themeColor="background2" w:themeShade="80"/>
          <w:sz w:val="22"/>
          <w:szCs w:val="22"/>
          <w:lang w:val="en-GB"/>
        </w:rPr>
        <w:t xml:space="preserve">English insolvency law or the insolvency law of the requesting state will apply. This means a foreign insolvency representative may access powers which are available under English law that they do not have in their home State or to exercise powers they have in their home State in </w:t>
      </w:r>
      <w:r w:rsidR="007A38ED">
        <w:rPr>
          <w:rFonts w:ascii="Arial" w:hAnsi="Arial" w:cs="Arial"/>
          <w:color w:val="767171" w:themeColor="background2" w:themeShade="80"/>
          <w:sz w:val="22"/>
          <w:szCs w:val="22"/>
          <w:lang w:val="en-GB"/>
        </w:rPr>
        <w:t xml:space="preserve">the </w:t>
      </w:r>
      <w:bookmarkStart w:id="6" w:name="_GoBack"/>
      <w:bookmarkEnd w:id="6"/>
      <w:r w:rsidR="00E33202">
        <w:rPr>
          <w:rFonts w:ascii="Arial" w:hAnsi="Arial" w:cs="Arial"/>
          <w:color w:val="767171" w:themeColor="background2" w:themeShade="80"/>
          <w:sz w:val="22"/>
          <w:szCs w:val="22"/>
          <w:lang w:val="en-GB"/>
        </w:rPr>
        <w:t>UK. However, section 426 IA only applies to limited number of countries, of which Republic of Ireland is the only EU member State.</w:t>
      </w:r>
      <w:r w:rsidR="00E33202">
        <w:rPr>
          <w:rStyle w:val="FootnoteReference"/>
          <w:rFonts w:ascii="Arial" w:hAnsi="Arial" w:cs="Arial"/>
          <w:color w:val="767171" w:themeColor="background2" w:themeShade="80"/>
          <w:sz w:val="22"/>
          <w:szCs w:val="22"/>
          <w:lang w:val="en-GB"/>
        </w:rPr>
        <w:footnoteReference w:id="23"/>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0412FBE7" w14:textId="45FEBE26" w:rsidR="001E23FD" w:rsidRPr="001E23FD" w:rsidRDefault="009B0723">
      <w:pPr>
        <w:rPr>
          <w:rFonts w:ascii="Arial" w:hAnsi="Arial" w:cs="Arial"/>
          <w:sz w:val="22"/>
          <w:szCs w:val="22"/>
          <w:lang w:val="en-GB"/>
        </w:rPr>
      </w:pPr>
      <w:r w:rsidRPr="00205B31">
        <w:rPr>
          <w:rFonts w:ascii="Arial" w:hAnsi="Arial" w:cs="Arial"/>
          <w:sz w:val="22"/>
          <w:szCs w:val="22"/>
          <w:lang w:val="en-GB"/>
        </w:rPr>
        <w:t xml:space="preserve"> </w:t>
      </w:r>
    </w:p>
    <w:sectPr w:rsidR="001E23FD" w:rsidRPr="001E23FD" w:rsidSect="0052732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C2E6" w14:textId="77777777" w:rsidR="00AE1DCA" w:rsidRDefault="00AE1DCA" w:rsidP="00241B44">
      <w:r>
        <w:separator/>
      </w:r>
    </w:p>
  </w:endnote>
  <w:endnote w:type="continuationSeparator" w:id="0">
    <w:p w14:paraId="15D3795F" w14:textId="77777777" w:rsidR="00AE1DCA" w:rsidRDefault="00AE1D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56227D" w:rsidRPr="00A31881" w:rsidRDefault="0056227D"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46516A44" w:rsidR="0056227D" w:rsidRDefault="0056227D"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56227D" w:rsidRPr="0052732A" w:rsidRDefault="0056227D"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A500089" w:rsidR="0056227D" w:rsidRDefault="0056227D" w:rsidP="0052732A">
    <w:pPr>
      <w:pStyle w:val="Footer"/>
      <w:ind w:right="360"/>
      <w:rPr>
        <w:rFonts w:ascii="Arial" w:hAnsi="Arial" w:cs="Arial"/>
        <w:sz w:val="18"/>
        <w:szCs w:val="18"/>
      </w:rPr>
    </w:pPr>
    <w:r>
      <w:rPr>
        <w:rFonts w:ascii="Arial" w:hAnsi="Arial" w:cs="Arial"/>
        <w:sz w:val="18"/>
        <w:szCs w:val="18"/>
      </w:rPr>
      <w:t>202122-527</w:t>
    </w:r>
    <w:r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3AC9" w14:textId="77777777" w:rsidR="0056227D" w:rsidRDefault="00562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F009" w14:textId="77777777" w:rsidR="00AE1DCA" w:rsidRDefault="00AE1DCA" w:rsidP="00241B44">
      <w:r>
        <w:separator/>
      </w:r>
    </w:p>
  </w:footnote>
  <w:footnote w:type="continuationSeparator" w:id="0">
    <w:p w14:paraId="579CC942" w14:textId="77777777" w:rsidR="00AE1DCA" w:rsidRDefault="00AE1DCA" w:rsidP="00241B44">
      <w:r>
        <w:continuationSeparator/>
      </w:r>
    </w:p>
  </w:footnote>
  <w:footnote w:id="1">
    <w:p w14:paraId="57DFC9F1" w14:textId="7BA2E8A0" w:rsidR="0056227D" w:rsidRPr="00104690" w:rsidRDefault="0056227D">
      <w:pPr>
        <w:pStyle w:val="FootnoteText"/>
        <w:rPr>
          <w:lang w:val="en-GB"/>
        </w:rPr>
      </w:pPr>
      <w:r>
        <w:rPr>
          <w:rStyle w:val="FootnoteReference"/>
        </w:rPr>
        <w:footnoteRef/>
      </w:r>
      <w:r>
        <w:t xml:space="preserve"> </w:t>
      </w:r>
      <w:r>
        <w:rPr>
          <w:lang w:val="en-GB"/>
        </w:rPr>
        <w:t>Module 1, Guidance Text on Introduction to International Insolvency Law, page 5</w:t>
      </w:r>
    </w:p>
  </w:footnote>
  <w:footnote w:id="2">
    <w:p w14:paraId="28F6DA0D" w14:textId="170B90B0" w:rsidR="0056227D" w:rsidRPr="00645441" w:rsidRDefault="0056227D">
      <w:pPr>
        <w:pStyle w:val="FootnoteText"/>
        <w:rPr>
          <w:lang w:val="en-MY"/>
        </w:rPr>
      </w:pPr>
      <w:r>
        <w:rPr>
          <w:rStyle w:val="FootnoteReference"/>
        </w:rPr>
        <w:footnoteRef/>
      </w:r>
      <w:r>
        <w:t xml:space="preserve"> </w:t>
      </w:r>
      <w:r>
        <w:rPr>
          <w:lang w:val="en-MY"/>
        </w:rPr>
        <w:t xml:space="preserve">See the updated INSOL International – World Bank Group Global Guide at: </w:t>
      </w:r>
      <w:hyperlink r:id="rId1" w:history="1">
        <w:r w:rsidRPr="00BC161A">
          <w:rPr>
            <w:rStyle w:val="Hyperlink"/>
            <w:lang w:val="en-MY"/>
          </w:rPr>
          <w:t>https://insol.azureedge.net/cmsstorage/insol/media/documents_files/covidguide/30%20april%20updates/uk-12-may2021-final.pdf</w:t>
        </w:r>
      </w:hyperlink>
      <w:r>
        <w:rPr>
          <w:lang w:val="en-MY"/>
        </w:rPr>
        <w:t xml:space="preserve">. </w:t>
      </w:r>
    </w:p>
  </w:footnote>
  <w:footnote w:id="3">
    <w:p w14:paraId="40F44966" w14:textId="33481F1B" w:rsidR="0056227D" w:rsidRPr="00604B65" w:rsidRDefault="0056227D">
      <w:pPr>
        <w:pStyle w:val="FootnoteText"/>
        <w:rPr>
          <w:lang w:val="en-MY"/>
        </w:rPr>
      </w:pPr>
      <w:r>
        <w:rPr>
          <w:rStyle w:val="FootnoteReference"/>
        </w:rPr>
        <w:footnoteRef/>
      </w:r>
      <w:r>
        <w:t xml:space="preserve"> Research briefing on New business support measures: Corporate Insolvency and Governance Act 2020 at </w:t>
      </w:r>
      <w:hyperlink r:id="rId2" w:history="1">
        <w:r w:rsidRPr="00BC161A">
          <w:rPr>
            <w:rStyle w:val="Hyperlink"/>
          </w:rPr>
          <w:t>https://commonslibrary.parliament.uk/research-briefings/cbp-8971/</w:t>
        </w:r>
      </w:hyperlink>
    </w:p>
  </w:footnote>
  <w:footnote w:id="4">
    <w:p w14:paraId="22BC65FE" w14:textId="6A7A51B7" w:rsidR="0056227D" w:rsidRPr="00F2718D" w:rsidRDefault="0056227D">
      <w:pPr>
        <w:pStyle w:val="FootnoteText"/>
        <w:rPr>
          <w:lang w:val="en-GB"/>
        </w:rPr>
      </w:pPr>
      <w:r>
        <w:rPr>
          <w:rStyle w:val="FootnoteReference"/>
        </w:rPr>
        <w:footnoteRef/>
      </w:r>
      <w:r>
        <w:t xml:space="preserve"> </w:t>
      </w:r>
      <w:r>
        <w:rPr>
          <w:lang w:val="en-GB"/>
        </w:rPr>
        <w:t xml:space="preserve">Soft law instruments in restructuring and insolvency law: exploring its rise and impact, 2019, Bob Wessels &amp; Gert-Jan Boon at </w:t>
      </w:r>
      <w:hyperlink r:id="rId3" w:history="1">
        <w:r w:rsidRPr="00AF58C1">
          <w:rPr>
            <w:rStyle w:val="Hyperlink"/>
            <w:lang w:val="en-GB"/>
          </w:rPr>
          <w:t>https://ssrn.com/abstract=3397874</w:t>
        </w:r>
      </w:hyperlink>
      <w:r>
        <w:rPr>
          <w:lang w:val="en-GB"/>
        </w:rPr>
        <w:t xml:space="preserve"> </w:t>
      </w:r>
    </w:p>
  </w:footnote>
  <w:footnote w:id="5">
    <w:p w14:paraId="178B19EC" w14:textId="161A5A8B" w:rsidR="0056227D" w:rsidRPr="000B28FF" w:rsidRDefault="0056227D">
      <w:pPr>
        <w:pStyle w:val="FootnoteText"/>
        <w:rPr>
          <w:lang w:val="en-MY"/>
        </w:rPr>
      </w:pPr>
      <w:r>
        <w:rPr>
          <w:rStyle w:val="FootnoteReference"/>
        </w:rPr>
        <w:footnoteRef/>
      </w:r>
      <w:r>
        <w:t xml:space="preserve"> </w:t>
      </w:r>
      <w:r>
        <w:rPr>
          <w:lang w:val="en-MY"/>
        </w:rPr>
        <w:t>Ibid, page 17.</w:t>
      </w:r>
    </w:p>
  </w:footnote>
  <w:footnote w:id="6">
    <w:p w14:paraId="06323553" w14:textId="77777777" w:rsidR="0056227D" w:rsidRPr="00AA792F" w:rsidRDefault="0056227D" w:rsidP="000B28FF">
      <w:pPr>
        <w:pStyle w:val="FootnoteText"/>
        <w:jc w:val="both"/>
        <w:rPr>
          <w:lang w:val="en-MY"/>
        </w:rPr>
      </w:pPr>
      <w:r>
        <w:rPr>
          <w:rStyle w:val="FootnoteReference"/>
        </w:rPr>
        <w:footnoteRef/>
      </w:r>
      <w:r>
        <w:t xml:space="preserve"> Recital 48 of the European Insolvency Regulations (2015) at </w:t>
      </w:r>
      <w:hyperlink r:id="rId4" w:history="1">
        <w:r w:rsidRPr="00AD1145">
          <w:rPr>
            <w:rStyle w:val="Hyperlink"/>
          </w:rPr>
          <w:t>https://eur-lex.europa.eu/legal-content/EN/TXT/PDF/?uri=CELEX:32015R0848&amp;from=ES</w:t>
        </w:r>
      </w:hyperlink>
      <w:r>
        <w:t xml:space="preserve"> </w:t>
      </w:r>
    </w:p>
  </w:footnote>
  <w:footnote w:id="7">
    <w:p w14:paraId="38B3CA9E" w14:textId="46EC7CC8" w:rsidR="0056227D" w:rsidRPr="00B76824" w:rsidRDefault="0056227D">
      <w:pPr>
        <w:pStyle w:val="FootnoteText"/>
        <w:rPr>
          <w:lang w:val="en-MY"/>
        </w:rPr>
      </w:pPr>
      <w:r>
        <w:rPr>
          <w:rStyle w:val="FootnoteReference"/>
        </w:rPr>
        <w:footnoteRef/>
      </w:r>
      <w:r>
        <w:t xml:space="preserve"> </w:t>
      </w:r>
      <w:r>
        <w:rPr>
          <w:lang w:val="en-MY"/>
        </w:rPr>
        <w:t xml:space="preserve">Anthony Gibbs &amp; Sons v La </w:t>
      </w:r>
      <w:proofErr w:type="spellStart"/>
      <w:r>
        <w:rPr>
          <w:lang w:val="en-MY"/>
        </w:rPr>
        <w:t>Societe</w:t>
      </w:r>
      <w:proofErr w:type="spellEnd"/>
      <w:r>
        <w:rPr>
          <w:lang w:val="en-MY"/>
        </w:rPr>
        <w:t xml:space="preserve"> </w:t>
      </w:r>
      <w:proofErr w:type="spellStart"/>
      <w:r>
        <w:rPr>
          <w:lang w:val="en-MY"/>
        </w:rPr>
        <w:t>Industrielle</w:t>
      </w:r>
      <w:proofErr w:type="spellEnd"/>
      <w:r>
        <w:rPr>
          <w:lang w:val="en-MY"/>
        </w:rPr>
        <w:t xml:space="preserve"> et Commerciale des </w:t>
      </w:r>
      <w:proofErr w:type="spellStart"/>
      <w:r>
        <w:rPr>
          <w:lang w:val="en-MY"/>
        </w:rPr>
        <w:t>Metaux</w:t>
      </w:r>
      <w:proofErr w:type="spellEnd"/>
      <w:r>
        <w:rPr>
          <w:lang w:val="en-MY"/>
        </w:rPr>
        <w:t xml:space="preserve"> [1890] 25 QBD 399</w:t>
      </w:r>
    </w:p>
  </w:footnote>
  <w:footnote w:id="8">
    <w:p w14:paraId="1C23AD37" w14:textId="41853DD3" w:rsidR="0056227D" w:rsidRPr="00B76824" w:rsidRDefault="0056227D">
      <w:pPr>
        <w:pStyle w:val="FootnoteText"/>
        <w:rPr>
          <w:lang w:val="en-MY"/>
        </w:rPr>
      </w:pPr>
      <w:r>
        <w:rPr>
          <w:rStyle w:val="FootnoteReference"/>
        </w:rPr>
        <w:footnoteRef/>
      </w:r>
      <w:r>
        <w:t xml:space="preserve"> Stephan </w:t>
      </w:r>
      <w:proofErr w:type="spellStart"/>
      <w:r>
        <w:t>Madaus</w:t>
      </w:r>
      <w:proofErr w:type="spellEnd"/>
      <w:r>
        <w:t xml:space="preserve">, </w:t>
      </w:r>
      <w:r>
        <w:rPr>
          <w:lang w:val="en-MY"/>
        </w:rPr>
        <w:t xml:space="preserve">The Rule in Gibbs, or how to protect local debt from a foreign discharge, 19 December 2018, Oxford Business Law Blog at </w:t>
      </w:r>
      <w:hyperlink r:id="rId5" w:history="1">
        <w:r w:rsidRPr="00AF58C1">
          <w:rPr>
            <w:rStyle w:val="Hyperlink"/>
            <w:lang w:val="en-MY"/>
          </w:rPr>
          <w:t>https://www.law.ox.ac.uk/business-law-blog/blog/2018/12/rule-gibbs-or-how-protect-local-debt-foreign-discharge</w:t>
        </w:r>
      </w:hyperlink>
      <w:r>
        <w:rPr>
          <w:lang w:val="en-MY"/>
        </w:rPr>
        <w:t xml:space="preserve"> </w:t>
      </w:r>
    </w:p>
  </w:footnote>
  <w:footnote w:id="9">
    <w:p w14:paraId="6D4B600D" w14:textId="77777777" w:rsidR="0056227D" w:rsidRPr="00AA792F" w:rsidRDefault="0056227D" w:rsidP="00095DE2">
      <w:pPr>
        <w:pStyle w:val="FootnoteText"/>
        <w:jc w:val="both"/>
        <w:rPr>
          <w:lang w:val="en-MY"/>
        </w:rPr>
      </w:pPr>
      <w:r>
        <w:rPr>
          <w:rStyle w:val="FootnoteReference"/>
        </w:rPr>
        <w:footnoteRef/>
      </w:r>
      <w:r>
        <w:t xml:space="preserve"> Recital 48 of the European Insolvency Regulations (2015) at </w:t>
      </w:r>
      <w:hyperlink r:id="rId6" w:history="1">
        <w:r w:rsidRPr="00AD1145">
          <w:rPr>
            <w:rStyle w:val="Hyperlink"/>
          </w:rPr>
          <w:t>https://eur-lex.europa.eu/legal-content/EN/TXT/PDF/?uri=CELEX:32015R0848&amp;from=ES</w:t>
        </w:r>
      </w:hyperlink>
      <w:r>
        <w:t xml:space="preserve"> </w:t>
      </w:r>
    </w:p>
  </w:footnote>
  <w:footnote w:id="10">
    <w:p w14:paraId="51CD4243" w14:textId="474C674F" w:rsidR="0056227D" w:rsidRPr="00B3361E" w:rsidRDefault="0056227D">
      <w:pPr>
        <w:pStyle w:val="FootnoteText"/>
        <w:rPr>
          <w:lang w:val="en-MY"/>
        </w:rPr>
      </w:pPr>
      <w:r>
        <w:rPr>
          <w:rStyle w:val="FootnoteReference"/>
        </w:rPr>
        <w:footnoteRef/>
      </w:r>
      <w:r>
        <w:t xml:space="preserve"> </w:t>
      </w:r>
      <w:r>
        <w:rPr>
          <w:lang w:val="en-MY"/>
        </w:rPr>
        <w:t>See I F Fletcher, Insolvency in Private International Law – National and International Approaches (Oxford: Oxford University Press, 2</w:t>
      </w:r>
      <w:r w:rsidRPr="00B3361E">
        <w:rPr>
          <w:vertAlign w:val="superscript"/>
          <w:lang w:val="en-MY"/>
        </w:rPr>
        <w:t>nd</w:t>
      </w:r>
      <w:r>
        <w:rPr>
          <w:lang w:val="en-MY"/>
        </w:rPr>
        <w:t xml:space="preserve"> Ed, 2005), pp 3-5</w:t>
      </w:r>
    </w:p>
  </w:footnote>
  <w:footnote w:id="11">
    <w:p w14:paraId="108B69AD" w14:textId="17C5C7E3" w:rsidR="0056227D" w:rsidRPr="008A1735" w:rsidRDefault="0056227D">
      <w:pPr>
        <w:pStyle w:val="FootnoteText"/>
        <w:rPr>
          <w:lang w:val="en-GB"/>
        </w:rPr>
      </w:pPr>
      <w:r>
        <w:rPr>
          <w:rStyle w:val="FootnoteReference"/>
        </w:rPr>
        <w:footnoteRef/>
      </w:r>
      <w:r>
        <w:t xml:space="preserve"> </w:t>
      </w:r>
      <w:r>
        <w:rPr>
          <w:lang w:val="en-GB"/>
        </w:rPr>
        <w:t>Article 7 of EIR (Recast) 2015</w:t>
      </w:r>
    </w:p>
  </w:footnote>
  <w:footnote w:id="12">
    <w:p w14:paraId="6BB29C2F" w14:textId="13E79ED5" w:rsidR="0056227D" w:rsidRPr="00FE1AFE" w:rsidRDefault="0056227D">
      <w:pPr>
        <w:pStyle w:val="FootnoteText"/>
        <w:rPr>
          <w:lang w:val="en-GB"/>
        </w:rPr>
      </w:pPr>
      <w:r>
        <w:rPr>
          <w:rStyle w:val="FootnoteReference"/>
        </w:rPr>
        <w:footnoteRef/>
      </w:r>
      <w:r>
        <w:t xml:space="preserve"> </w:t>
      </w:r>
      <w:r>
        <w:rPr>
          <w:lang w:val="en-GB"/>
        </w:rPr>
        <w:t>Article 16 of EIR (Recast) 2015</w:t>
      </w:r>
    </w:p>
  </w:footnote>
  <w:footnote w:id="13">
    <w:p w14:paraId="2CAB35B7" w14:textId="0A13D342" w:rsidR="0056227D" w:rsidRPr="00310E0D" w:rsidRDefault="0056227D">
      <w:pPr>
        <w:pStyle w:val="FootnoteText"/>
        <w:rPr>
          <w:lang w:val="en-MY"/>
        </w:rPr>
      </w:pPr>
      <w:r>
        <w:rPr>
          <w:rStyle w:val="FootnoteReference"/>
        </w:rPr>
        <w:footnoteRef/>
      </w:r>
      <w:r>
        <w:t xml:space="preserve"> </w:t>
      </w:r>
      <w:r>
        <w:rPr>
          <w:lang w:val="en-MY"/>
        </w:rPr>
        <w:t>UNCITRAL Practice Guide on Cross-Border Insolvency Cooperation (2009), page 52</w:t>
      </w:r>
    </w:p>
  </w:footnote>
  <w:footnote w:id="14">
    <w:p w14:paraId="5C914A3A" w14:textId="4623D01E" w:rsidR="0056227D" w:rsidRPr="00B66520" w:rsidRDefault="0056227D">
      <w:pPr>
        <w:pStyle w:val="FootnoteText"/>
        <w:rPr>
          <w:lang w:val="en-MY"/>
        </w:rPr>
      </w:pPr>
      <w:r>
        <w:rPr>
          <w:rStyle w:val="FootnoteReference"/>
        </w:rPr>
        <w:footnoteRef/>
      </w:r>
      <w:r>
        <w:t xml:space="preserve"> </w:t>
      </w:r>
      <w:r>
        <w:rPr>
          <w:lang w:val="en-MY"/>
        </w:rPr>
        <w:t>Ibid, page 29.</w:t>
      </w:r>
    </w:p>
  </w:footnote>
  <w:footnote w:id="15">
    <w:p w14:paraId="1AC997CE" w14:textId="028F1DFE" w:rsidR="0056227D" w:rsidRPr="00DA35E2" w:rsidRDefault="0056227D">
      <w:pPr>
        <w:pStyle w:val="FootnoteText"/>
        <w:rPr>
          <w:lang w:val="en-MY"/>
        </w:rPr>
      </w:pPr>
      <w:r>
        <w:rPr>
          <w:rStyle w:val="FootnoteReference"/>
        </w:rPr>
        <w:footnoteRef/>
      </w:r>
      <w:r>
        <w:t xml:space="preserve"> </w:t>
      </w:r>
      <w:r>
        <w:rPr>
          <w:lang w:val="en-MY"/>
        </w:rPr>
        <w:t xml:space="preserve">Jay Lawrence Westbrook, </w:t>
      </w:r>
      <w:r w:rsidRPr="00DA35E2">
        <w:rPr>
          <w:i/>
          <w:lang w:val="en-MY"/>
        </w:rPr>
        <w:t>The Lessons of Maxwell Communication</w:t>
      </w:r>
      <w:r>
        <w:rPr>
          <w:lang w:val="en-MY"/>
        </w:rPr>
        <w:t xml:space="preserve">, 64 Fordham L. Rev. 2531 (1996) at </w:t>
      </w:r>
      <w:hyperlink r:id="rId7" w:history="1">
        <w:r w:rsidRPr="00F30D42">
          <w:rPr>
            <w:rStyle w:val="Hyperlink"/>
            <w:lang w:val="en-MY"/>
          </w:rPr>
          <w:t>https://ir.lawnet.fordham.edu/flr/vol64/iss6/3</w:t>
        </w:r>
      </w:hyperlink>
      <w:r>
        <w:rPr>
          <w:lang w:val="en-MY"/>
        </w:rPr>
        <w:t>, at page 2535.</w:t>
      </w:r>
    </w:p>
  </w:footnote>
  <w:footnote w:id="16">
    <w:p w14:paraId="1457271A" w14:textId="5DB17B1E" w:rsidR="0056227D" w:rsidRPr="00FE163F" w:rsidRDefault="0056227D">
      <w:pPr>
        <w:pStyle w:val="FootnoteText"/>
        <w:rPr>
          <w:lang w:val="en-MY"/>
        </w:rPr>
      </w:pPr>
      <w:r>
        <w:rPr>
          <w:rStyle w:val="FootnoteReference"/>
        </w:rPr>
        <w:footnoteRef/>
      </w:r>
      <w:r>
        <w:t xml:space="preserve"> </w:t>
      </w:r>
      <w:r>
        <w:rPr>
          <w:lang w:val="en-MY"/>
        </w:rPr>
        <w:t>Supra note 12, page 36.</w:t>
      </w:r>
    </w:p>
  </w:footnote>
  <w:footnote w:id="17">
    <w:p w14:paraId="45A5FDED" w14:textId="77777777" w:rsidR="0056227D" w:rsidRPr="00FE6FCB" w:rsidRDefault="0056227D" w:rsidP="009626C6">
      <w:pPr>
        <w:pStyle w:val="FootnoteText"/>
        <w:rPr>
          <w:lang w:val="en-MY"/>
        </w:rPr>
      </w:pPr>
      <w:r>
        <w:rPr>
          <w:rStyle w:val="FootnoteReference"/>
        </w:rPr>
        <w:footnoteRef/>
      </w:r>
      <w:r>
        <w:t xml:space="preserve"> </w:t>
      </w:r>
      <w:r>
        <w:rPr>
          <w:lang w:val="en-MY"/>
        </w:rPr>
        <w:t xml:space="preserve">See also </w:t>
      </w:r>
      <w:hyperlink r:id="rId8" w:history="1">
        <w:r w:rsidRPr="00AD1145">
          <w:rPr>
            <w:rStyle w:val="Hyperlink"/>
            <w:lang w:val="en-MY"/>
          </w:rPr>
          <w:t>https://www.law.ox.ac.uk/business-law-blog/blog/2019/07/soft-law-instruments-restructuring-and-insolvency-law-why-they-matter</w:t>
        </w:r>
      </w:hyperlink>
      <w:r>
        <w:rPr>
          <w:lang w:val="en-MY"/>
        </w:rPr>
        <w:t xml:space="preserve"> </w:t>
      </w:r>
    </w:p>
  </w:footnote>
  <w:footnote w:id="18">
    <w:p w14:paraId="0856466F" w14:textId="5A70228B" w:rsidR="0056227D" w:rsidRPr="00A83F38" w:rsidRDefault="0056227D">
      <w:pPr>
        <w:pStyle w:val="FootnoteText"/>
        <w:rPr>
          <w:lang w:val="en-MY"/>
        </w:rPr>
      </w:pPr>
      <w:r>
        <w:rPr>
          <w:rStyle w:val="FootnoteReference"/>
        </w:rPr>
        <w:footnoteRef/>
      </w:r>
      <w:r>
        <w:t xml:space="preserve"> </w:t>
      </w:r>
      <w:r>
        <w:rPr>
          <w:lang w:val="en-MY"/>
        </w:rPr>
        <w:t>Schedule 10 Corporate Insolvency and Governance Act 2020.</w:t>
      </w:r>
    </w:p>
  </w:footnote>
  <w:footnote w:id="19">
    <w:p w14:paraId="7380DDAD" w14:textId="0EFDE6C5" w:rsidR="0056227D" w:rsidRPr="00B064E0" w:rsidRDefault="0056227D" w:rsidP="005733D8">
      <w:pPr>
        <w:pStyle w:val="FootnoteText"/>
        <w:jc w:val="both"/>
        <w:rPr>
          <w:lang w:val="en-MY"/>
        </w:rPr>
      </w:pPr>
      <w:r>
        <w:rPr>
          <w:rStyle w:val="FootnoteReference"/>
        </w:rPr>
        <w:footnoteRef/>
      </w:r>
      <w:r>
        <w:t xml:space="preserve"> The Insolvency Service, </w:t>
      </w:r>
      <w:r w:rsidRPr="005733D8">
        <w:rPr>
          <w:i/>
          <w:lang w:val="en-MY"/>
        </w:rPr>
        <w:t>Guidance on Cross-border Insolvencies: Recognition and Enforcement in EU Member States</w:t>
      </w:r>
      <w:r>
        <w:rPr>
          <w:lang w:val="en-MY"/>
        </w:rPr>
        <w:t xml:space="preserve">, 24 March 2021 at </w:t>
      </w:r>
      <w:hyperlink r:id="rId9" w:history="1">
        <w:r w:rsidRPr="00F30D42">
          <w:rPr>
            <w:rStyle w:val="Hyperlink"/>
            <w:lang w:val="en-MY"/>
          </w:rPr>
          <w:t>https://www.gov.uk/government/publications/cross-border-insolvencies-recognition-and-enforcement-in-eu-member-states/cross-border-insolvencies-recognition-and-enforcement-in-eu-member-states</w:t>
        </w:r>
      </w:hyperlink>
      <w:r>
        <w:rPr>
          <w:lang w:val="en-MY"/>
        </w:rPr>
        <w:t xml:space="preserve"> </w:t>
      </w:r>
    </w:p>
  </w:footnote>
  <w:footnote w:id="20">
    <w:p w14:paraId="4FE8612E" w14:textId="03F5FE94" w:rsidR="0056227D" w:rsidRPr="006572F4" w:rsidRDefault="0056227D">
      <w:pPr>
        <w:pStyle w:val="FootnoteText"/>
        <w:rPr>
          <w:lang w:val="en-MY"/>
        </w:rPr>
      </w:pPr>
      <w:r>
        <w:rPr>
          <w:rStyle w:val="FootnoteReference"/>
        </w:rPr>
        <w:footnoteRef/>
      </w:r>
      <w:r>
        <w:t xml:space="preserve"> </w:t>
      </w:r>
      <w:r w:rsidRPr="006572F4">
        <w:rPr>
          <w:rFonts w:cstheme="minorHAnsi"/>
          <w:lang w:val="en-GB"/>
        </w:rPr>
        <w:t xml:space="preserve">European </w:t>
      </w:r>
      <w:r>
        <w:rPr>
          <w:rFonts w:cstheme="minorHAnsi"/>
          <w:lang w:val="en-GB"/>
        </w:rPr>
        <w:t xml:space="preserve">Union </w:t>
      </w:r>
      <w:r w:rsidRPr="006572F4">
        <w:rPr>
          <w:rFonts w:cstheme="minorHAnsi"/>
          <w:lang w:val="en-GB"/>
        </w:rPr>
        <w:t>(Withdrawal Agreement) Act 2020</w:t>
      </w:r>
    </w:p>
  </w:footnote>
  <w:footnote w:id="21">
    <w:p w14:paraId="7F48BBD2" w14:textId="393AD6F1" w:rsidR="0056227D" w:rsidRPr="00845D71" w:rsidRDefault="0056227D">
      <w:pPr>
        <w:pStyle w:val="FootnoteText"/>
        <w:rPr>
          <w:lang w:val="en-GB"/>
        </w:rPr>
      </w:pPr>
      <w:r>
        <w:rPr>
          <w:rStyle w:val="FootnoteReference"/>
        </w:rPr>
        <w:footnoteRef/>
      </w:r>
      <w:r>
        <w:t xml:space="preserve"> </w:t>
      </w:r>
      <w:r>
        <w:rPr>
          <w:lang w:val="en-GB"/>
        </w:rPr>
        <w:t>Preamble 25 of EIR</w:t>
      </w:r>
    </w:p>
  </w:footnote>
  <w:footnote w:id="22">
    <w:p w14:paraId="609408C6" w14:textId="77777777" w:rsidR="0056227D" w:rsidRPr="00354D8F" w:rsidRDefault="0056227D" w:rsidP="00C669FE">
      <w:pPr>
        <w:pStyle w:val="FootnoteText"/>
        <w:rPr>
          <w:lang w:val="en-GB"/>
        </w:rPr>
      </w:pPr>
      <w:r>
        <w:rPr>
          <w:rStyle w:val="FootnoteReference"/>
        </w:rPr>
        <w:footnoteRef/>
      </w:r>
      <w:r>
        <w:t xml:space="preserve"> I F </w:t>
      </w:r>
      <w:r>
        <w:rPr>
          <w:lang w:val="en-GB"/>
        </w:rPr>
        <w:t xml:space="preserve">Fletcher, </w:t>
      </w:r>
      <w:r w:rsidRPr="00354D8F">
        <w:rPr>
          <w:i/>
          <w:lang w:val="en-GB"/>
        </w:rPr>
        <w:t>The Law of Insolvency</w:t>
      </w:r>
      <w:r>
        <w:rPr>
          <w:lang w:val="en-GB"/>
        </w:rPr>
        <w:t>, London (Sweet and Maxwell, 5</w:t>
      </w:r>
      <w:r w:rsidRPr="00354D8F">
        <w:rPr>
          <w:vertAlign w:val="superscript"/>
          <w:lang w:val="en-GB"/>
        </w:rPr>
        <w:t>th</w:t>
      </w:r>
      <w:r>
        <w:rPr>
          <w:lang w:val="en-GB"/>
        </w:rPr>
        <w:t xml:space="preserve"> ed, 2017), [30-041] </w:t>
      </w:r>
    </w:p>
  </w:footnote>
  <w:footnote w:id="23">
    <w:p w14:paraId="284972AB" w14:textId="031ECDDF" w:rsidR="0056227D" w:rsidRPr="00E33202" w:rsidRDefault="0056227D" w:rsidP="00E33202">
      <w:pPr>
        <w:pStyle w:val="FootnoteText"/>
        <w:jc w:val="both"/>
        <w:rPr>
          <w:lang w:val="en-MY"/>
        </w:rPr>
      </w:pPr>
      <w:r>
        <w:rPr>
          <w:rStyle w:val="FootnoteReference"/>
        </w:rPr>
        <w:footnoteRef/>
      </w:r>
      <w:r>
        <w:t xml:space="preserve"> The Co-operation of Insolvency Courts (Designation of Relevant Countries and Territories) Order 1986 lists Anguilla, Australia, The Bahamas, Bermuda, Botswana, Canada, Cayman Islands, Falkland Islands, Gibraltar, Hong Kong, Republic of Ireland, Montserrat, New Zealand, St. Helena, Turks &amp; Caicos Islands, Tuvalu and the British Virgin Islands. The Co-operation of Insolvency Courts (Designation of Relevant Countries) Order 1996 designates Malaysia and South Africa with effect on 1 March 1996. A similarly titled order added Brunei to the list effective 11 December 1998. Subsection 426(11) of the IA includes Channel Islands or the Isle of 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029A" w14:textId="77777777" w:rsidR="0056227D" w:rsidRDefault="00562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4BDB" w14:textId="77777777" w:rsidR="0056227D" w:rsidRDefault="00562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612F" w14:textId="77777777" w:rsidR="0056227D" w:rsidRDefault="00562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9C759D1"/>
    <w:multiLevelType w:val="hybridMultilevel"/>
    <w:tmpl w:val="866A3852"/>
    <w:lvl w:ilvl="0" w:tplc="D8F028BE">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AF2101A"/>
    <w:multiLevelType w:val="hybridMultilevel"/>
    <w:tmpl w:val="34B08B7C"/>
    <w:lvl w:ilvl="0" w:tplc="D33C41D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085348B"/>
    <w:multiLevelType w:val="hybridMultilevel"/>
    <w:tmpl w:val="D0B2EDD6"/>
    <w:lvl w:ilvl="0" w:tplc="44090001">
      <w:start w:val="1"/>
      <w:numFmt w:val="bullet"/>
      <w:lvlText w:val=""/>
      <w:lvlJc w:val="left"/>
      <w:pPr>
        <w:ind w:left="1500" w:hanging="360"/>
      </w:pPr>
      <w:rPr>
        <w:rFonts w:ascii="Symbol" w:hAnsi="Symbol" w:hint="default"/>
      </w:rPr>
    </w:lvl>
    <w:lvl w:ilvl="1" w:tplc="44090003" w:tentative="1">
      <w:start w:val="1"/>
      <w:numFmt w:val="bullet"/>
      <w:lvlText w:val="o"/>
      <w:lvlJc w:val="left"/>
      <w:pPr>
        <w:ind w:left="2220" w:hanging="360"/>
      </w:pPr>
      <w:rPr>
        <w:rFonts w:ascii="Courier New" w:hAnsi="Courier New" w:cs="Courier New" w:hint="default"/>
      </w:rPr>
    </w:lvl>
    <w:lvl w:ilvl="2" w:tplc="44090005" w:tentative="1">
      <w:start w:val="1"/>
      <w:numFmt w:val="bullet"/>
      <w:lvlText w:val=""/>
      <w:lvlJc w:val="left"/>
      <w:pPr>
        <w:ind w:left="2940" w:hanging="360"/>
      </w:pPr>
      <w:rPr>
        <w:rFonts w:ascii="Wingdings" w:hAnsi="Wingdings" w:hint="default"/>
      </w:rPr>
    </w:lvl>
    <w:lvl w:ilvl="3" w:tplc="44090001" w:tentative="1">
      <w:start w:val="1"/>
      <w:numFmt w:val="bullet"/>
      <w:lvlText w:val=""/>
      <w:lvlJc w:val="left"/>
      <w:pPr>
        <w:ind w:left="3660" w:hanging="360"/>
      </w:pPr>
      <w:rPr>
        <w:rFonts w:ascii="Symbol" w:hAnsi="Symbol" w:hint="default"/>
      </w:rPr>
    </w:lvl>
    <w:lvl w:ilvl="4" w:tplc="44090003" w:tentative="1">
      <w:start w:val="1"/>
      <w:numFmt w:val="bullet"/>
      <w:lvlText w:val="o"/>
      <w:lvlJc w:val="left"/>
      <w:pPr>
        <w:ind w:left="4380" w:hanging="360"/>
      </w:pPr>
      <w:rPr>
        <w:rFonts w:ascii="Courier New" w:hAnsi="Courier New" w:cs="Courier New" w:hint="default"/>
      </w:rPr>
    </w:lvl>
    <w:lvl w:ilvl="5" w:tplc="44090005" w:tentative="1">
      <w:start w:val="1"/>
      <w:numFmt w:val="bullet"/>
      <w:lvlText w:val=""/>
      <w:lvlJc w:val="left"/>
      <w:pPr>
        <w:ind w:left="5100" w:hanging="360"/>
      </w:pPr>
      <w:rPr>
        <w:rFonts w:ascii="Wingdings" w:hAnsi="Wingdings" w:hint="default"/>
      </w:rPr>
    </w:lvl>
    <w:lvl w:ilvl="6" w:tplc="44090001" w:tentative="1">
      <w:start w:val="1"/>
      <w:numFmt w:val="bullet"/>
      <w:lvlText w:val=""/>
      <w:lvlJc w:val="left"/>
      <w:pPr>
        <w:ind w:left="5820" w:hanging="360"/>
      </w:pPr>
      <w:rPr>
        <w:rFonts w:ascii="Symbol" w:hAnsi="Symbol" w:hint="default"/>
      </w:rPr>
    </w:lvl>
    <w:lvl w:ilvl="7" w:tplc="44090003" w:tentative="1">
      <w:start w:val="1"/>
      <w:numFmt w:val="bullet"/>
      <w:lvlText w:val="o"/>
      <w:lvlJc w:val="left"/>
      <w:pPr>
        <w:ind w:left="6540" w:hanging="360"/>
      </w:pPr>
      <w:rPr>
        <w:rFonts w:ascii="Courier New" w:hAnsi="Courier New" w:cs="Courier New" w:hint="default"/>
      </w:rPr>
    </w:lvl>
    <w:lvl w:ilvl="8" w:tplc="44090005" w:tentative="1">
      <w:start w:val="1"/>
      <w:numFmt w:val="bullet"/>
      <w:lvlText w:val=""/>
      <w:lvlJc w:val="left"/>
      <w:pPr>
        <w:ind w:left="7260" w:hanging="360"/>
      </w:pPr>
      <w:rPr>
        <w:rFonts w:ascii="Wingdings" w:hAnsi="Wingdings" w:hint="default"/>
      </w:rPr>
    </w:lvl>
  </w:abstractNum>
  <w:abstractNum w:abstractNumId="7"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4D12118"/>
    <w:multiLevelType w:val="multilevel"/>
    <w:tmpl w:val="7FD2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60637"/>
    <w:multiLevelType w:val="hybridMultilevel"/>
    <w:tmpl w:val="55C87580"/>
    <w:lvl w:ilvl="0" w:tplc="8C948B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220184"/>
    <w:multiLevelType w:val="hybridMultilevel"/>
    <w:tmpl w:val="FF3A034C"/>
    <w:lvl w:ilvl="0" w:tplc="C47444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B470A8"/>
    <w:multiLevelType w:val="hybridMultilevel"/>
    <w:tmpl w:val="672213C0"/>
    <w:lvl w:ilvl="0" w:tplc="ABFC743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9" w15:restartNumberingAfterBreak="0">
    <w:nsid w:val="56CC2265"/>
    <w:multiLevelType w:val="hybridMultilevel"/>
    <w:tmpl w:val="804447F0"/>
    <w:lvl w:ilvl="0" w:tplc="30768FF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6A5B6F15"/>
    <w:multiLevelType w:val="multilevel"/>
    <w:tmpl w:val="8EB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DE70AC"/>
    <w:multiLevelType w:val="multilevel"/>
    <w:tmpl w:val="956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3"/>
  </w:num>
  <w:num w:numId="2">
    <w:abstractNumId w:val="14"/>
  </w:num>
  <w:num w:numId="3">
    <w:abstractNumId w:val="25"/>
  </w:num>
  <w:num w:numId="4">
    <w:abstractNumId w:val="7"/>
  </w:num>
  <w:num w:numId="5">
    <w:abstractNumId w:val="4"/>
  </w:num>
  <w:num w:numId="6">
    <w:abstractNumId w:val="21"/>
  </w:num>
  <w:num w:numId="7">
    <w:abstractNumId w:val="5"/>
  </w:num>
  <w:num w:numId="8">
    <w:abstractNumId w:val="3"/>
  </w:num>
  <w:num w:numId="9">
    <w:abstractNumId w:val="0"/>
  </w:num>
  <w:num w:numId="10">
    <w:abstractNumId w:val="10"/>
  </w:num>
  <w:num w:numId="11">
    <w:abstractNumId w:val="16"/>
  </w:num>
  <w:num w:numId="12">
    <w:abstractNumId w:val="24"/>
  </w:num>
  <w:num w:numId="13">
    <w:abstractNumId w:val="18"/>
  </w:num>
  <w:num w:numId="14">
    <w:abstractNumId w:val="11"/>
  </w:num>
  <w:num w:numId="15">
    <w:abstractNumId w:val="15"/>
  </w:num>
  <w:num w:numId="16">
    <w:abstractNumId w:val="20"/>
  </w:num>
  <w:num w:numId="17">
    <w:abstractNumId w:val="2"/>
  </w:num>
  <w:num w:numId="18">
    <w:abstractNumId w:val="6"/>
  </w:num>
  <w:num w:numId="19">
    <w:abstractNumId w:val="23"/>
  </w:num>
  <w:num w:numId="20">
    <w:abstractNumId w:val="22"/>
  </w:num>
  <w:num w:numId="21">
    <w:abstractNumId w:val="8"/>
  </w:num>
  <w:num w:numId="22">
    <w:abstractNumId w:val="1"/>
  </w:num>
  <w:num w:numId="23">
    <w:abstractNumId w:val="17"/>
  </w:num>
  <w:num w:numId="24">
    <w:abstractNumId w:val="12"/>
  </w:num>
  <w:num w:numId="25">
    <w:abstractNumId w:val="19"/>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US" w:vendorID="64" w:dllVersion="4096" w:nlCheck="1" w:checkStyle="0"/>
  <w:activeWritingStyle w:appName="MSWord" w:lang="en-MY"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6592"/>
    <w:rsid w:val="00010BA0"/>
    <w:rsid w:val="00013F1B"/>
    <w:rsid w:val="000155C9"/>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0ABB"/>
    <w:rsid w:val="0006130F"/>
    <w:rsid w:val="00062D42"/>
    <w:rsid w:val="00062E85"/>
    <w:rsid w:val="000649D1"/>
    <w:rsid w:val="00064C44"/>
    <w:rsid w:val="00065166"/>
    <w:rsid w:val="0007091D"/>
    <w:rsid w:val="00076483"/>
    <w:rsid w:val="0008155B"/>
    <w:rsid w:val="00081A63"/>
    <w:rsid w:val="00082609"/>
    <w:rsid w:val="0008461D"/>
    <w:rsid w:val="000851CC"/>
    <w:rsid w:val="00085349"/>
    <w:rsid w:val="00085D4B"/>
    <w:rsid w:val="00086BDD"/>
    <w:rsid w:val="00090933"/>
    <w:rsid w:val="00093BE8"/>
    <w:rsid w:val="00093FE2"/>
    <w:rsid w:val="0009471C"/>
    <w:rsid w:val="00095DE2"/>
    <w:rsid w:val="000A01B9"/>
    <w:rsid w:val="000A0C1B"/>
    <w:rsid w:val="000A67B9"/>
    <w:rsid w:val="000A68ED"/>
    <w:rsid w:val="000A74CA"/>
    <w:rsid w:val="000B28FF"/>
    <w:rsid w:val="000B5B93"/>
    <w:rsid w:val="000B5E5E"/>
    <w:rsid w:val="000B5FF1"/>
    <w:rsid w:val="000B609F"/>
    <w:rsid w:val="000D295A"/>
    <w:rsid w:val="000D51BE"/>
    <w:rsid w:val="000D55A8"/>
    <w:rsid w:val="000D57BE"/>
    <w:rsid w:val="000D6876"/>
    <w:rsid w:val="000E0165"/>
    <w:rsid w:val="000E2937"/>
    <w:rsid w:val="000E3A82"/>
    <w:rsid w:val="000E3C5A"/>
    <w:rsid w:val="000E4841"/>
    <w:rsid w:val="000E4CB2"/>
    <w:rsid w:val="000E5CB4"/>
    <w:rsid w:val="000F04E9"/>
    <w:rsid w:val="000F0DC0"/>
    <w:rsid w:val="000F0FFF"/>
    <w:rsid w:val="000F1677"/>
    <w:rsid w:val="000F3D6C"/>
    <w:rsid w:val="000F58B0"/>
    <w:rsid w:val="00100A77"/>
    <w:rsid w:val="00101707"/>
    <w:rsid w:val="00104690"/>
    <w:rsid w:val="00105CA6"/>
    <w:rsid w:val="00105CBD"/>
    <w:rsid w:val="001107F2"/>
    <w:rsid w:val="00110E0C"/>
    <w:rsid w:val="001131C6"/>
    <w:rsid w:val="0011473D"/>
    <w:rsid w:val="00115C85"/>
    <w:rsid w:val="00117026"/>
    <w:rsid w:val="0012303D"/>
    <w:rsid w:val="00123855"/>
    <w:rsid w:val="00124B70"/>
    <w:rsid w:val="00125A7C"/>
    <w:rsid w:val="00126A4D"/>
    <w:rsid w:val="00131D42"/>
    <w:rsid w:val="0013278B"/>
    <w:rsid w:val="00132F93"/>
    <w:rsid w:val="0013321D"/>
    <w:rsid w:val="00135FFC"/>
    <w:rsid w:val="0014171F"/>
    <w:rsid w:val="00145E25"/>
    <w:rsid w:val="0014622C"/>
    <w:rsid w:val="00150F6C"/>
    <w:rsid w:val="00152348"/>
    <w:rsid w:val="0015328F"/>
    <w:rsid w:val="0015456D"/>
    <w:rsid w:val="00161F1B"/>
    <w:rsid w:val="001620AF"/>
    <w:rsid w:val="00162829"/>
    <w:rsid w:val="00163A57"/>
    <w:rsid w:val="0016472D"/>
    <w:rsid w:val="00164B28"/>
    <w:rsid w:val="00166195"/>
    <w:rsid w:val="001677CC"/>
    <w:rsid w:val="00167FD1"/>
    <w:rsid w:val="00173647"/>
    <w:rsid w:val="00180548"/>
    <w:rsid w:val="00180AC4"/>
    <w:rsid w:val="00180B1E"/>
    <w:rsid w:val="00180CCE"/>
    <w:rsid w:val="00181438"/>
    <w:rsid w:val="0018267A"/>
    <w:rsid w:val="00182779"/>
    <w:rsid w:val="001830DF"/>
    <w:rsid w:val="001833C2"/>
    <w:rsid w:val="00187A3E"/>
    <w:rsid w:val="00193AB3"/>
    <w:rsid w:val="001966D9"/>
    <w:rsid w:val="00197963"/>
    <w:rsid w:val="001A09C1"/>
    <w:rsid w:val="001A620B"/>
    <w:rsid w:val="001A7E9A"/>
    <w:rsid w:val="001B0F70"/>
    <w:rsid w:val="001B34C6"/>
    <w:rsid w:val="001B5016"/>
    <w:rsid w:val="001B6CEE"/>
    <w:rsid w:val="001C45FC"/>
    <w:rsid w:val="001C4CC3"/>
    <w:rsid w:val="001C594A"/>
    <w:rsid w:val="001D1BF7"/>
    <w:rsid w:val="001D31BB"/>
    <w:rsid w:val="001D4862"/>
    <w:rsid w:val="001D7EF2"/>
    <w:rsid w:val="001E1FB4"/>
    <w:rsid w:val="001E23FD"/>
    <w:rsid w:val="001E25B9"/>
    <w:rsid w:val="001E392F"/>
    <w:rsid w:val="001E4963"/>
    <w:rsid w:val="001E49E0"/>
    <w:rsid w:val="001E7B5A"/>
    <w:rsid w:val="001F1478"/>
    <w:rsid w:val="001F2AF5"/>
    <w:rsid w:val="001F603D"/>
    <w:rsid w:val="001F7412"/>
    <w:rsid w:val="001F7C77"/>
    <w:rsid w:val="00202C2B"/>
    <w:rsid w:val="00205B31"/>
    <w:rsid w:val="0020725B"/>
    <w:rsid w:val="002077AF"/>
    <w:rsid w:val="00212B14"/>
    <w:rsid w:val="00216499"/>
    <w:rsid w:val="002164C0"/>
    <w:rsid w:val="00216CB4"/>
    <w:rsid w:val="002173C5"/>
    <w:rsid w:val="00220F88"/>
    <w:rsid w:val="00223780"/>
    <w:rsid w:val="0022719C"/>
    <w:rsid w:val="002362AB"/>
    <w:rsid w:val="00237EE1"/>
    <w:rsid w:val="002400DB"/>
    <w:rsid w:val="002406A4"/>
    <w:rsid w:val="0024116D"/>
    <w:rsid w:val="00241B44"/>
    <w:rsid w:val="00245EFB"/>
    <w:rsid w:val="002529D2"/>
    <w:rsid w:val="0025386E"/>
    <w:rsid w:val="002626CC"/>
    <w:rsid w:val="002638B0"/>
    <w:rsid w:val="00263FED"/>
    <w:rsid w:val="0026510C"/>
    <w:rsid w:val="0026647A"/>
    <w:rsid w:val="002668D3"/>
    <w:rsid w:val="0026691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02F"/>
    <w:rsid w:val="0029690F"/>
    <w:rsid w:val="002A2A60"/>
    <w:rsid w:val="002A3815"/>
    <w:rsid w:val="002A5E3E"/>
    <w:rsid w:val="002A6646"/>
    <w:rsid w:val="002B1C45"/>
    <w:rsid w:val="002B2970"/>
    <w:rsid w:val="002B48DB"/>
    <w:rsid w:val="002C1227"/>
    <w:rsid w:val="002C13C8"/>
    <w:rsid w:val="002C259C"/>
    <w:rsid w:val="002C3547"/>
    <w:rsid w:val="002D0021"/>
    <w:rsid w:val="002D10A3"/>
    <w:rsid w:val="002D295D"/>
    <w:rsid w:val="002D3473"/>
    <w:rsid w:val="002E37B7"/>
    <w:rsid w:val="002E4A02"/>
    <w:rsid w:val="002E4A1F"/>
    <w:rsid w:val="002E66F4"/>
    <w:rsid w:val="002E7DA7"/>
    <w:rsid w:val="002F1956"/>
    <w:rsid w:val="002F1CE4"/>
    <w:rsid w:val="002F2B8D"/>
    <w:rsid w:val="002F3440"/>
    <w:rsid w:val="002F3B17"/>
    <w:rsid w:val="002F5DD8"/>
    <w:rsid w:val="002F75A3"/>
    <w:rsid w:val="002F75CD"/>
    <w:rsid w:val="002F7EB5"/>
    <w:rsid w:val="0030201F"/>
    <w:rsid w:val="00303C2F"/>
    <w:rsid w:val="0030558B"/>
    <w:rsid w:val="00306E87"/>
    <w:rsid w:val="00307125"/>
    <w:rsid w:val="00310E0D"/>
    <w:rsid w:val="00310FC2"/>
    <w:rsid w:val="003144EF"/>
    <w:rsid w:val="00323DA3"/>
    <w:rsid w:val="00326292"/>
    <w:rsid w:val="00326415"/>
    <w:rsid w:val="00330937"/>
    <w:rsid w:val="00330F31"/>
    <w:rsid w:val="003326F0"/>
    <w:rsid w:val="00334648"/>
    <w:rsid w:val="00336CA6"/>
    <w:rsid w:val="0033768C"/>
    <w:rsid w:val="00337938"/>
    <w:rsid w:val="00340769"/>
    <w:rsid w:val="00341A65"/>
    <w:rsid w:val="00341AA6"/>
    <w:rsid w:val="00342E57"/>
    <w:rsid w:val="003440C7"/>
    <w:rsid w:val="00355B57"/>
    <w:rsid w:val="00361A0A"/>
    <w:rsid w:val="00361DF9"/>
    <w:rsid w:val="0036565C"/>
    <w:rsid w:val="00365F93"/>
    <w:rsid w:val="0036625E"/>
    <w:rsid w:val="00367162"/>
    <w:rsid w:val="00372CD4"/>
    <w:rsid w:val="0037465A"/>
    <w:rsid w:val="0038255B"/>
    <w:rsid w:val="00382C98"/>
    <w:rsid w:val="0038313F"/>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B554F"/>
    <w:rsid w:val="003B6780"/>
    <w:rsid w:val="003C1451"/>
    <w:rsid w:val="003C2017"/>
    <w:rsid w:val="003C4471"/>
    <w:rsid w:val="003C628E"/>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163D1"/>
    <w:rsid w:val="0042108F"/>
    <w:rsid w:val="004214D4"/>
    <w:rsid w:val="00423041"/>
    <w:rsid w:val="00426969"/>
    <w:rsid w:val="00426B64"/>
    <w:rsid w:val="00430FED"/>
    <w:rsid w:val="00434A8C"/>
    <w:rsid w:val="00437297"/>
    <w:rsid w:val="00437ABE"/>
    <w:rsid w:val="00440AC5"/>
    <w:rsid w:val="00444284"/>
    <w:rsid w:val="004442F1"/>
    <w:rsid w:val="00445CE6"/>
    <w:rsid w:val="004465E1"/>
    <w:rsid w:val="004534C2"/>
    <w:rsid w:val="00453967"/>
    <w:rsid w:val="00453FC5"/>
    <w:rsid w:val="0045446F"/>
    <w:rsid w:val="00454C9D"/>
    <w:rsid w:val="0045683E"/>
    <w:rsid w:val="00461318"/>
    <w:rsid w:val="0046142D"/>
    <w:rsid w:val="0046274F"/>
    <w:rsid w:val="0046298C"/>
    <w:rsid w:val="00463259"/>
    <w:rsid w:val="004659E0"/>
    <w:rsid w:val="00470A63"/>
    <w:rsid w:val="00470C55"/>
    <w:rsid w:val="004711B8"/>
    <w:rsid w:val="004715C1"/>
    <w:rsid w:val="004731F4"/>
    <w:rsid w:val="00481FC8"/>
    <w:rsid w:val="00482FE3"/>
    <w:rsid w:val="00486065"/>
    <w:rsid w:val="00486776"/>
    <w:rsid w:val="004868BB"/>
    <w:rsid w:val="00491675"/>
    <w:rsid w:val="00493855"/>
    <w:rsid w:val="00497558"/>
    <w:rsid w:val="00497CF9"/>
    <w:rsid w:val="004A57DD"/>
    <w:rsid w:val="004A7434"/>
    <w:rsid w:val="004A7B51"/>
    <w:rsid w:val="004A7D71"/>
    <w:rsid w:val="004A7EF3"/>
    <w:rsid w:val="004B0EBE"/>
    <w:rsid w:val="004B10C5"/>
    <w:rsid w:val="004B11FD"/>
    <w:rsid w:val="004B23A2"/>
    <w:rsid w:val="004B25E4"/>
    <w:rsid w:val="004B428D"/>
    <w:rsid w:val="004B5D6D"/>
    <w:rsid w:val="004B607C"/>
    <w:rsid w:val="004C1DA6"/>
    <w:rsid w:val="004C5E4F"/>
    <w:rsid w:val="004C7030"/>
    <w:rsid w:val="004D1A5A"/>
    <w:rsid w:val="004D2FFF"/>
    <w:rsid w:val="004D3721"/>
    <w:rsid w:val="004D51BC"/>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2AF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1530"/>
    <w:rsid w:val="00553EB2"/>
    <w:rsid w:val="0055633F"/>
    <w:rsid w:val="00560534"/>
    <w:rsid w:val="0056227D"/>
    <w:rsid w:val="0056391B"/>
    <w:rsid w:val="005650E2"/>
    <w:rsid w:val="00566D80"/>
    <w:rsid w:val="00567AD7"/>
    <w:rsid w:val="005716C3"/>
    <w:rsid w:val="0057312E"/>
    <w:rsid w:val="005733D8"/>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977CE"/>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45C3"/>
    <w:rsid w:val="005C48E8"/>
    <w:rsid w:val="005C6778"/>
    <w:rsid w:val="005D0511"/>
    <w:rsid w:val="005D3437"/>
    <w:rsid w:val="005D43E0"/>
    <w:rsid w:val="005D58A3"/>
    <w:rsid w:val="005E1B79"/>
    <w:rsid w:val="005E1EA8"/>
    <w:rsid w:val="005E605E"/>
    <w:rsid w:val="005E645E"/>
    <w:rsid w:val="005F026D"/>
    <w:rsid w:val="005F060A"/>
    <w:rsid w:val="005F244F"/>
    <w:rsid w:val="005F2D0B"/>
    <w:rsid w:val="005F453F"/>
    <w:rsid w:val="005F4A52"/>
    <w:rsid w:val="005F4B31"/>
    <w:rsid w:val="005F5449"/>
    <w:rsid w:val="005F6059"/>
    <w:rsid w:val="0060397D"/>
    <w:rsid w:val="00604B65"/>
    <w:rsid w:val="00610388"/>
    <w:rsid w:val="00612092"/>
    <w:rsid w:val="00612CA5"/>
    <w:rsid w:val="006153EC"/>
    <w:rsid w:val="00621A17"/>
    <w:rsid w:val="00623473"/>
    <w:rsid w:val="00626CF5"/>
    <w:rsid w:val="00627CC9"/>
    <w:rsid w:val="00627E7B"/>
    <w:rsid w:val="00630542"/>
    <w:rsid w:val="00630727"/>
    <w:rsid w:val="00631E7B"/>
    <w:rsid w:val="00632E44"/>
    <w:rsid w:val="0063316D"/>
    <w:rsid w:val="00633DC9"/>
    <w:rsid w:val="00634622"/>
    <w:rsid w:val="00636808"/>
    <w:rsid w:val="0064043F"/>
    <w:rsid w:val="00641515"/>
    <w:rsid w:val="00643ABE"/>
    <w:rsid w:val="00645441"/>
    <w:rsid w:val="006521CD"/>
    <w:rsid w:val="00652A22"/>
    <w:rsid w:val="00653584"/>
    <w:rsid w:val="00654C2F"/>
    <w:rsid w:val="00655438"/>
    <w:rsid w:val="00657087"/>
    <w:rsid w:val="0065715A"/>
    <w:rsid w:val="006572F4"/>
    <w:rsid w:val="006661EF"/>
    <w:rsid w:val="006746CB"/>
    <w:rsid w:val="00677AEB"/>
    <w:rsid w:val="00680EF2"/>
    <w:rsid w:val="00682A3E"/>
    <w:rsid w:val="006850AE"/>
    <w:rsid w:val="00686C53"/>
    <w:rsid w:val="00687A1D"/>
    <w:rsid w:val="00697EA1"/>
    <w:rsid w:val="006A2646"/>
    <w:rsid w:val="006A5646"/>
    <w:rsid w:val="006A6530"/>
    <w:rsid w:val="006A695F"/>
    <w:rsid w:val="006A6D1D"/>
    <w:rsid w:val="006B2893"/>
    <w:rsid w:val="006B435A"/>
    <w:rsid w:val="006B4C64"/>
    <w:rsid w:val="006B5AE8"/>
    <w:rsid w:val="006C316D"/>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24EC"/>
    <w:rsid w:val="00713DA4"/>
    <w:rsid w:val="007142FA"/>
    <w:rsid w:val="00714BF1"/>
    <w:rsid w:val="00721383"/>
    <w:rsid w:val="007216AD"/>
    <w:rsid w:val="00722A67"/>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4C"/>
    <w:rsid w:val="00764DB0"/>
    <w:rsid w:val="007671EB"/>
    <w:rsid w:val="0076764D"/>
    <w:rsid w:val="0076766F"/>
    <w:rsid w:val="00770DF5"/>
    <w:rsid w:val="00770E6F"/>
    <w:rsid w:val="007716EB"/>
    <w:rsid w:val="0077498C"/>
    <w:rsid w:val="00777070"/>
    <w:rsid w:val="00782B3F"/>
    <w:rsid w:val="00782D73"/>
    <w:rsid w:val="00784128"/>
    <w:rsid w:val="0078662F"/>
    <w:rsid w:val="00787F2B"/>
    <w:rsid w:val="00790B4C"/>
    <w:rsid w:val="0079206E"/>
    <w:rsid w:val="00793173"/>
    <w:rsid w:val="007958F0"/>
    <w:rsid w:val="00797E1B"/>
    <w:rsid w:val="007A12A4"/>
    <w:rsid w:val="007A38ED"/>
    <w:rsid w:val="007B1E13"/>
    <w:rsid w:val="007C0111"/>
    <w:rsid w:val="007C0663"/>
    <w:rsid w:val="007C1FCC"/>
    <w:rsid w:val="007C2831"/>
    <w:rsid w:val="007C2913"/>
    <w:rsid w:val="007C2AA1"/>
    <w:rsid w:val="007C3083"/>
    <w:rsid w:val="007C6201"/>
    <w:rsid w:val="007D0348"/>
    <w:rsid w:val="007D1E28"/>
    <w:rsid w:val="007D684F"/>
    <w:rsid w:val="007D7C92"/>
    <w:rsid w:val="007D7E30"/>
    <w:rsid w:val="007E1154"/>
    <w:rsid w:val="007E3AA5"/>
    <w:rsid w:val="007E3ADF"/>
    <w:rsid w:val="007E530F"/>
    <w:rsid w:val="007E6BA4"/>
    <w:rsid w:val="007F19A2"/>
    <w:rsid w:val="007F3D0E"/>
    <w:rsid w:val="007F41F8"/>
    <w:rsid w:val="00802CED"/>
    <w:rsid w:val="00804000"/>
    <w:rsid w:val="0080454E"/>
    <w:rsid w:val="00804C32"/>
    <w:rsid w:val="00806302"/>
    <w:rsid w:val="00807119"/>
    <w:rsid w:val="00811865"/>
    <w:rsid w:val="00811A74"/>
    <w:rsid w:val="00814A55"/>
    <w:rsid w:val="0082483F"/>
    <w:rsid w:val="008279C0"/>
    <w:rsid w:val="00841E70"/>
    <w:rsid w:val="00845D71"/>
    <w:rsid w:val="008473AA"/>
    <w:rsid w:val="008509FD"/>
    <w:rsid w:val="00852883"/>
    <w:rsid w:val="00852F37"/>
    <w:rsid w:val="008571F6"/>
    <w:rsid w:val="00861E51"/>
    <w:rsid w:val="00870B96"/>
    <w:rsid w:val="008723F3"/>
    <w:rsid w:val="00873246"/>
    <w:rsid w:val="0087527F"/>
    <w:rsid w:val="00875E2E"/>
    <w:rsid w:val="00880F99"/>
    <w:rsid w:val="00881DA8"/>
    <w:rsid w:val="00881DE6"/>
    <w:rsid w:val="008837A6"/>
    <w:rsid w:val="0089145D"/>
    <w:rsid w:val="00896FD7"/>
    <w:rsid w:val="00897428"/>
    <w:rsid w:val="008A1735"/>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8F7F10"/>
    <w:rsid w:val="009002AC"/>
    <w:rsid w:val="0090037B"/>
    <w:rsid w:val="00900E8E"/>
    <w:rsid w:val="009046DA"/>
    <w:rsid w:val="00905A43"/>
    <w:rsid w:val="009078CE"/>
    <w:rsid w:val="009108EF"/>
    <w:rsid w:val="00911C23"/>
    <w:rsid w:val="00912C79"/>
    <w:rsid w:val="00913FB9"/>
    <w:rsid w:val="00915010"/>
    <w:rsid w:val="0091528C"/>
    <w:rsid w:val="009164E3"/>
    <w:rsid w:val="009173D1"/>
    <w:rsid w:val="00923CCC"/>
    <w:rsid w:val="00926D10"/>
    <w:rsid w:val="009275FE"/>
    <w:rsid w:val="00935F8D"/>
    <w:rsid w:val="00942123"/>
    <w:rsid w:val="0094263A"/>
    <w:rsid w:val="00946EE0"/>
    <w:rsid w:val="0095029B"/>
    <w:rsid w:val="0095207B"/>
    <w:rsid w:val="009533CB"/>
    <w:rsid w:val="00953B5C"/>
    <w:rsid w:val="0095526F"/>
    <w:rsid w:val="00955CE0"/>
    <w:rsid w:val="009609CA"/>
    <w:rsid w:val="00962045"/>
    <w:rsid w:val="009626C6"/>
    <w:rsid w:val="00966E44"/>
    <w:rsid w:val="009708BB"/>
    <w:rsid w:val="009727DF"/>
    <w:rsid w:val="009729E8"/>
    <w:rsid w:val="00975640"/>
    <w:rsid w:val="00976DA5"/>
    <w:rsid w:val="009773BA"/>
    <w:rsid w:val="00981608"/>
    <w:rsid w:val="00991272"/>
    <w:rsid w:val="00991428"/>
    <w:rsid w:val="00992676"/>
    <w:rsid w:val="00992EEE"/>
    <w:rsid w:val="009A1FE5"/>
    <w:rsid w:val="009A5354"/>
    <w:rsid w:val="009A5E5F"/>
    <w:rsid w:val="009A6A10"/>
    <w:rsid w:val="009A7172"/>
    <w:rsid w:val="009B0723"/>
    <w:rsid w:val="009B07AD"/>
    <w:rsid w:val="009B0883"/>
    <w:rsid w:val="009B0E70"/>
    <w:rsid w:val="009B15E2"/>
    <w:rsid w:val="009C0B8E"/>
    <w:rsid w:val="009C1527"/>
    <w:rsid w:val="009C1BC8"/>
    <w:rsid w:val="009C2442"/>
    <w:rsid w:val="009C2628"/>
    <w:rsid w:val="009C27B1"/>
    <w:rsid w:val="009C5532"/>
    <w:rsid w:val="009D0811"/>
    <w:rsid w:val="009D0E12"/>
    <w:rsid w:val="009D0EE1"/>
    <w:rsid w:val="009D43D0"/>
    <w:rsid w:val="009D510C"/>
    <w:rsid w:val="009D5CDB"/>
    <w:rsid w:val="009D6709"/>
    <w:rsid w:val="009E13C1"/>
    <w:rsid w:val="009E2AEB"/>
    <w:rsid w:val="009E2E27"/>
    <w:rsid w:val="009E44C0"/>
    <w:rsid w:val="009E4DE3"/>
    <w:rsid w:val="009E50C1"/>
    <w:rsid w:val="009E6A23"/>
    <w:rsid w:val="009F0C29"/>
    <w:rsid w:val="00A047EE"/>
    <w:rsid w:val="00A057CA"/>
    <w:rsid w:val="00A12835"/>
    <w:rsid w:val="00A149B7"/>
    <w:rsid w:val="00A177BC"/>
    <w:rsid w:val="00A17930"/>
    <w:rsid w:val="00A2274A"/>
    <w:rsid w:val="00A235B7"/>
    <w:rsid w:val="00A249AC"/>
    <w:rsid w:val="00A27A7A"/>
    <w:rsid w:val="00A301D1"/>
    <w:rsid w:val="00A31881"/>
    <w:rsid w:val="00A33B48"/>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36A8"/>
    <w:rsid w:val="00A83F38"/>
    <w:rsid w:val="00A8485D"/>
    <w:rsid w:val="00A96062"/>
    <w:rsid w:val="00A96489"/>
    <w:rsid w:val="00A96BB0"/>
    <w:rsid w:val="00A97D88"/>
    <w:rsid w:val="00AA0E39"/>
    <w:rsid w:val="00AA1A8E"/>
    <w:rsid w:val="00AA23CE"/>
    <w:rsid w:val="00AA5A58"/>
    <w:rsid w:val="00AA650E"/>
    <w:rsid w:val="00AA670C"/>
    <w:rsid w:val="00AB5A37"/>
    <w:rsid w:val="00AB61D6"/>
    <w:rsid w:val="00AB685C"/>
    <w:rsid w:val="00AB6C2D"/>
    <w:rsid w:val="00AC08F7"/>
    <w:rsid w:val="00AC126D"/>
    <w:rsid w:val="00AC3839"/>
    <w:rsid w:val="00AC58CB"/>
    <w:rsid w:val="00AC6FE2"/>
    <w:rsid w:val="00AC7082"/>
    <w:rsid w:val="00AD0662"/>
    <w:rsid w:val="00AD1B6B"/>
    <w:rsid w:val="00AD74AD"/>
    <w:rsid w:val="00AE027F"/>
    <w:rsid w:val="00AE161F"/>
    <w:rsid w:val="00AE1DCA"/>
    <w:rsid w:val="00AE7015"/>
    <w:rsid w:val="00AF228E"/>
    <w:rsid w:val="00AF28AA"/>
    <w:rsid w:val="00AF455B"/>
    <w:rsid w:val="00AF5692"/>
    <w:rsid w:val="00B0123F"/>
    <w:rsid w:val="00B04004"/>
    <w:rsid w:val="00B04CBB"/>
    <w:rsid w:val="00B05AC2"/>
    <w:rsid w:val="00B064E0"/>
    <w:rsid w:val="00B14819"/>
    <w:rsid w:val="00B17AA9"/>
    <w:rsid w:val="00B221FF"/>
    <w:rsid w:val="00B26B31"/>
    <w:rsid w:val="00B30A70"/>
    <w:rsid w:val="00B32674"/>
    <w:rsid w:val="00B333FE"/>
    <w:rsid w:val="00B3361E"/>
    <w:rsid w:val="00B3503B"/>
    <w:rsid w:val="00B378FA"/>
    <w:rsid w:val="00B42352"/>
    <w:rsid w:val="00B51227"/>
    <w:rsid w:val="00B51975"/>
    <w:rsid w:val="00B52E4D"/>
    <w:rsid w:val="00B54F90"/>
    <w:rsid w:val="00B55C9E"/>
    <w:rsid w:val="00B56B95"/>
    <w:rsid w:val="00B607DF"/>
    <w:rsid w:val="00B6409C"/>
    <w:rsid w:val="00B66053"/>
    <w:rsid w:val="00B66520"/>
    <w:rsid w:val="00B7193E"/>
    <w:rsid w:val="00B72999"/>
    <w:rsid w:val="00B72FD7"/>
    <w:rsid w:val="00B736DF"/>
    <w:rsid w:val="00B74FBD"/>
    <w:rsid w:val="00B76555"/>
    <w:rsid w:val="00B76824"/>
    <w:rsid w:val="00B82586"/>
    <w:rsid w:val="00B829A3"/>
    <w:rsid w:val="00B86537"/>
    <w:rsid w:val="00B86DB1"/>
    <w:rsid w:val="00B87869"/>
    <w:rsid w:val="00B87A61"/>
    <w:rsid w:val="00B92D5B"/>
    <w:rsid w:val="00B94098"/>
    <w:rsid w:val="00B9417E"/>
    <w:rsid w:val="00BA1648"/>
    <w:rsid w:val="00BA2637"/>
    <w:rsid w:val="00BA35FF"/>
    <w:rsid w:val="00BB09FD"/>
    <w:rsid w:val="00BB0F2B"/>
    <w:rsid w:val="00BB5A37"/>
    <w:rsid w:val="00BB6955"/>
    <w:rsid w:val="00BB6F7A"/>
    <w:rsid w:val="00BC48EB"/>
    <w:rsid w:val="00BC585F"/>
    <w:rsid w:val="00BC5D7D"/>
    <w:rsid w:val="00BC71A4"/>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03793"/>
    <w:rsid w:val="00C100F0"/>
    <w:rsid w:val="00C15A16"/>
    <w:rsid w:val="00C1724E"/>
    <w:rsid w:val="00C20AFE"/>
    <w:rsid w:val="00C22A25"/>
    <w:rsid w:val="00C25CEC"/>
    <w:rsid w:val="00C26E4B"/>
    <w:rsid w:val="00C31102"/>
    <w:rsid w:val="00C33C84"/>
    <w:rsid w:val="00C3453F"/>
    <w:rsid w:val="00C34A50"/>
    <w:rsid w:val="00C35026"/>
    <w:rsid w:val="00C35671"/>
    <w:rsid w:val="00C35B77"/>
    <w:rsid w:val="00C376EB"/>
    <w:rsid w:val="00C4187E"/>
    <w:rsid w:val="00C444EC"/>
    <w:rsid w:val="00C45A03"/>
    <w:rsid w:val="00C46EC1"/>
    <w:rsid w:val="00C501B7"/>
    <w:rsid w:val="00C50F86"/>
    <w:rsid w:val="00C53E2C"/>
    <w:rsid w:val="00C550C8"/>
    <w:rsid w:val="00C56B61"/>
    <w:rsid w:val="00C570AC"/>
    <w:rsid w:val="00C5730D"/>
    <w:rsid w:val="00C60631"/>
    <w:rsid w:val="00C606C3"/>
    <w:rsid w:val="00C61F1E"/>
    <w:rsid w:val="00C620F4"/>
    <w:rsid w:val="00C629CB"/>
    <w:rsid w:val="00C669FE"/>
    <w:rsid w:val="00C71F4F"/>
    <w:rsid w:val="00C72848"/>
    <w:rsid w:val="00C750BA"/>
    <w:rsid w:val="00C7736C"/>
    <w:rsid w:val="00C80272"/>
    <w:rsid w:val="00C82D87"/>
    <w:rsid w:val="00C8712A"/>
    <w:rsid w:val="00C92A0D"/>
    <w:rsid w:val="00C92C09"/>
    <w:rsid w:val="00C963D3"/>
    <w:rsid w:val="00CA1802"/>
    <w:rsid w:val="00CB262C"/>
    <w:rsid w:val="00CB2CBB"/>
    <w:rsid w:val="00CB3968"/>
    <w:rsid w:val="00CB7283"/>
    <w:rsid w:val="00CB7CAC"/>
    <w:rsid w:val="00CC467D"/>
    <w:rsid w:val="00CC4D05"/>
    <w:rsid w:val="00CC5335"/>
    <w:rsid w:val="00CC53E7"/>
    <w:rsid w:val="00CC579C"/>
    <w:rsid w:val="00CC5BA4"/>
    <w:rsid w:val="00CC641E"/>
    <w:rsid w:val="00CC7728"/>
    <w:rsid w:val="00CD0FFE"/>
    <w:rsid w:val="00CD34DB"/>
    <w:rsid w:val="00CD377A"/>
    <w:rsid w:val="00CD4998"/>
    <w:rsid w:val="00CD66CA"/>
    <w:rsid w:val="00CE1035"/>
    <w:rsid w:val="00CE62CA"/>
    <w:rsid w:val="00CF2819"/>
    <w:rsid w:val="00CF29DF"/>
    <w:rsid w:val="00CF4F9D"/>
    <w:rsid w:val="00CF5AD8"/>
    <w:rsid w:val="00CF70DC"/>
    <w:rsid w:val="00CF717B"/>
    <w:rsid w:val="00D068C5"/>
    <w:rsid w:val="00D07F87"/>
    <w:rsid w:val="00D1350D"/>
    <w:rsid w:val="00D148DC"/>
    <w:rsid w:val="00D1688E"/>
    <w:rsid w:val="00D17FDC"/>
    <w:rsid w:val="00D223E4"/>
    <w:rsid w:val="00D256C6"/>
    <w:rsid w:val="00D25F51"/>
    <w:rsid w:val="00D276FB"/>
    <w:rsid w:val="00D33303"/>
    <w:rsid w:val="00D35229"/>
    <w:rsid w:val="00D35ADE"/>
    <w:rsid w:val="00D35EAE"/>
    <w:rsid w:val="00D4685B"/>
    <w:rsid w:val="00D53356"/>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2FA5"/>
    <w:rsid w:val="00DA35E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3D1"/>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1F85"/>
    <w:rsid w:val="00E041F9"/>
    <w:rsid w:val="00E05837"/>
    <w:rsid w:val="00E07C5A"/>
    <w:rsid w:val="00E10A73"/>
    <w:rsid w:val="00E12C13"/>
    <w:rsid w:val="00E15BA9"/>
    <w:rsid w:val="00E161D2"/>
    <w:rsid w:val="00E177E2"/>
    <w:rsid w:val="00E22DE4"/>
    <w:rsid w:val="00E26E19"/>
    <w:rsid w:val="00E31DF3"/>
    <w:rsid w:val="00E33202"/>
    <w:rsid w:val="00E34856"/>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1D48"/>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1A7F"/>
    <w:rsid w:val="00EA4D77"/>
    <w:rsid w:val="00EB02BE"/>
    <w:rsid w:val="00EB0BC5"/>
    <w:rsid w:val="00EB146B"/>
    <w:rsid w:val="00EB2845"/>
    <w:rsid w:val="00EB45AC"/>
    <w:rsid w:val="00EB488B"/>
    <w:rsid w:val="00EB6668"/>
    <w:rsid w:val="00EB6A2F"/>
    <w:rsid w:val="00EC3875"/>
    <w:rsid w:val="00EC549E"/>
    <w:rsid w:val="00EC6E55"/>
    <w:rsid w:val="00EC7DC2"/>
    <w:rsid w:val="00ED0BC4"/>
    <w:rsid w:val="00ED151E"/>
    <w:rsid w:val="00ED617A"/>
    <w:rsid w:val="00EE1A0E"/>
    <w:rsid w:val="00EE36B6"/>
    <w:rsid w:val="00EE4971"/>
    <w:rsid w:val="00EE5A48"/>
    <w:rsid w:val="00EE6390"/>
    <w:rsid w:val="00EE7278"/>
    <w:rsid w:val="00EF090E"/>
    <w:rsid w:val="00EF16B6"/>
    <w:rsid w:val="00EF1B1A"/>
    <w:rsid w:val="00EF2D08"/>
    <w:rsid w:val="00EF32ED"/>
    <w:rsid w:val="00EF5705"/>
    <w:rsid w:val="00EF6653"/>
    <w:rsid w:val="00EF6A74"/>
    <w:rsid w:val="00F033DA"/>
    <w:rsid w:val="00F0424E"/>
    <w:rsid w:val="00F106CE"/>
    <w:rsid w:val="00F1096A"/>
    <w:rsid w:val="00F10F20"/>
    <w:rsid w:val="00F13FB1"/>
    <w:rsid w:val="00F15181"/>
    <w:rsid w:val="00F1640B"/>
    <w:rsid w:val="00F2025D"/>
    <w:rsid w:val="00F251F2"/>
    <w:rsid w:val="00F2718D"/>
    <w:rsid w:val="00F27CD8"/>
    <w:rsid w:val="00F30351"/>
    <w:rsid w:val="00F3323E"/>
    <w:rsid w:val="00F341F4"/>
    <w:rsid w:val="00F34F9D"/>
    <w:rsid w:val="00F34FAD"/>
    <w:rsid w:val="00F3554C"/>
    <w:rsid w:val="00F35CCE"/>
    <w:rsid w:val="00F35D73"/>
    <w:rsid w:val="00F366E1"/>
    <w:rsid w:val="00F421C6"/>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118"/>
    <w:rsid w:val="00F91FA7"/>
    <w:rsid w:val="00F96AF1"/>
    <w:rsid w:val="00F97C5B"/>
    <w:rsid w:val="00FA29FD"/>
    <w:rsid w:val="00FA2A46"/>
    <w:rsid w:val="00FA3739"/>
    <w:rsid w:val="00FA3D50"/>
    <w:rsid w:val="00FA43E7"/>
    <w:rsid w:val="00FB396A"/>
    <w:rsid w:val="00FB6703"/>
    <w:rsid w:val="00FB7C8F"/>
    <w:rsid w:val="00FB7D52"/>
    <w:rsid w:val="00FC337F"/>
    <w:rsid w:val="00FC374A"/>
    <w:rsid w:val="00FC4F43"/>
    <w:rsid w:val="00FC5D26"/>
    <w:rsid w:val="00FC7B47"/>
    <w:rsid w:val="00FD0169"/>
    <w:rsid w:val="00FD035C"/>
    <w:rsid w:val="00FD1240"/>
    <w:rsid w:val="00FD1A35"/>
    <w:rsid w:val="00FD36C5"/>
    <w:rsid w:val="00FD4D00"/>
    <w:rsid w:val="00FD5B6F"/>
    <w:rsid w:val="00FD6126"/>
    <w:rsid w:val="00FD6310"/>
    <w:rsid w:val="00FD7C7B"/>
    <w:rsid w:val="00FE163F"/>
    <w:rsid w:val="00FE1AFE"/>
    <w:rsid w:val="00FE1D12"/>
    <w:rsid w:val="00FE2122"/>
    <w:rsid w:val="00FE2A86"/>
    <w:rsid w:val="00FE4F2B"/>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645441"/>
    <w:rPr>
      <w:color w:val="605E5C"/>
      <w:shd w:val="clear" w:color="auto" w:fill="E1DFDD"/>
    </w:rPr>
  </w:style>
  <w:style w:type="character" w:customStyle="1" w:styleId="legsubstitution">
    <w:name w:val="legsubstitution"/>
    <w:basedOn w:val="DefaultParagraphFont"/>
    <w:rsid w:val="0093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4570844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175545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law.ox.ac.uk/business-law-blog/blog/2019/07/soft-law-instruments-restructuring-and-insolvency-law-why-they-matter" TargetMode="External"/><Relationship Id="rId3" Type="http://schemas.openxmlformats.org/officeDocument/2006/relationships/hyperlink" Target="https://ssrn.com/abstract=3397874" TargetMode="External"/><Relationship Id="rId7" Type="http://schemas.openxmlformats.org/officeDocument/2006/relationships/hyperlink" Target="https://ir.lawnet.fordham.edu/flr/vol64/iss6/3" TargetMode="External"/><Relationship Id="rId2" Type="http://schemas.openxmlformats.org/officeDocument/2006/relationships/hyperlink" Target="https://commonslibrary.parliament.uk/research-briefings/cbp-8971/" TargetMode="External"/><Relationship Id="rId1" Type="http://schemas.openxmlformats.org/officeDocument/2006/relationships/hyperlink" Target="https://insol.azureedge.net/cmsstorage/insol/media/documents_files/covidguide/30%20april%20updates/uk-12-may2021-final.pdf" TargetMode="External"/><Relationship Id="rId6" Type="http://schemas.openxmlformats.org/officeDocument/2006/relationships/hyperlink" Target="https://eur-lex.europa.eu/legal-content/EN/TXT/PDF/?uri=CELEX:32015R0848&amp;from=ES" TargetMode="External"/><Relationship Id="rId5" Type="http://schemas.openxmlformats.org/officeDocument/2006/relationships/hyperlink" Target="https://www.law.ox.ac.uk/business-law-blog/blog/2018/12/rule-gibbs-or-how-protect-local-debt-foreign-discharge" TargetMode="External"/><Relationship Id="rId4" Type="http://schemas.openxmlformats.org/officeDocument/2006/relationships/hyperlink" Target="https://eur-lex.europa.eu/legal-content/EN/TXT/PDF/?uri=CELEX:32015R0848&amp;from=ES" TargetMode="External"/><Relationship Id="rId9" Type="http://schemas.openxmlformats.org/officeDocument/2006/relationships/hyperlink" Target="https://www.gov.uk/government/publications/cross-border-insolvencies-recognition-and-enforcement-in-eu-member-states/cross-border-insolvencies-recognition-and-enforcement-in-eu-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44EAF8F1-88B9-4C0F-9AB1-12629969E23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28A7FDA-F1D7-4FF5-A1B4-3428B435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17</Pages>
  <Words>7428</Words>
  <Characters>42344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Kong Chia Yee</cp:lastModifiedBy>
  <cp:revision>6</cp:revision>
  <cp:lastPrinted>2020-06-12T02:43:00Z</cp:lastPrinted>
  <dcterms:created xsi:type="dcterms:W3CDTF">2021-11-11T04:01:00Z</dcterms:created>
  <dcterms:modified xsi:type="dcterms:W3CDTF">2021-11-14T08:04:00Z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docIndexRef">
    <vt:lpwstr>e6039436-a3b5-42ac-887c-30d0a54b3f1d</vt:lpwstr>
  </property>
  <property fmtid="{D5CDD505-2E9C-101B-9397-08002B2CF9AE}" pid="4" name="bjSaver">
    <vt:lpwstr>bPYtoja+fdUaftfDsgW25U8k69Bzsisy</vt:lpwstr>
  </property>
  <property fmtid="{D5CDD505-2E9C-101B-9397-08002B2CF9AE}" pid="5"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6" name="bjDocumentLabelXML-0">
    <vt:lpwstr>ames.com/2008/01/sie/internal/label"&gt;&lt;element uid="0396dc7d-9d2f-459d-9e03-6e8dc85fa202" value="" /&gt;&lt;element uid="bc9373da-fcfa-4469-a78f-e552654443e3" value="" /&gt;&lt;/sisl&gt;</vt:lpwstr>
  </property>
  <property fmtid="{D5CDD505-2E9C-101B-9397-08002B2CF9AE}" pid="7" name="bjDocumentSecurityLabel">
    <vt:lpwstr>Personal</vt:lpwstr>
  </property>
  <property fmtid="{D5CDD505-2E9C-101B-9397-08002B2CF9AE}" pid="8" name="bjFooterBothDocProperty">
    <vt:lpwstr>This information/document has been classified: Personal</vt:lpwstr>
  </property>
  <property fmtid="{D5CDD505-2E9C-101B-9397-08002B2CF9AE}" pid="9" name="bjFooterFirstPageDocProperty">
    <vt:lpwstr>This information/document has been classified: Personal</vt:lpwstr>
  </property>
  <property fmtid="{D5CDD505-2E9C-101B-9397-08002B2CF9AE}" pid="10" name="bjFooterEvenPageDocProperty">
    <vt:lpwstr>This information/document has been classified: Personal</vt:lpwstr>
  </property>
  <property fmtid="{D5CDD505-2E9C-101B-9397-08002B2CF9AE}" pid="11" name="DLP">
    <vt:lpwstr>{[*Others Personal*]}</vt:lpwstr>
  </property>
  <property fmtid="{D5CDD505-2E9C-101B-9397-08002B2CF9AE}" pid="12" name="bjClsUserRVM">
    <vt:lpwstr>[{"VisualMarkingType":2,"ShapeName":"","ApplyMarking":false}]</vt:lpwstr>
  </property>
</Properties>
</file>