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05B31" w:rsidRDefault="00C60631" w:rsidP="009D510C">
      <w:pPr>
        <w:pStyle w:val="ListParagraph"/>
        <w:numPr>
          <w:ilvl w:val="0"/>
          <w:numId w:val="12"/>
        </w:numPr>
        <w:ind w:left="426"/>
        <w:jc w:val="both"/>
        <w:rPr>
          <w:rFonts w:ascii="Arial" w:hAnsi="Arial" w:cs="Arial"/>
          <w:sz w:val="22"/>
          <w:szCs w:val="22"/>
          <w:lang w:val="en-GB"/>
        </w:rPr>
      </w:pPr>
      <w:r w:rsidRPr="00C64C05">
        <w:rPr>
          <w:rFonts w:ascii="Arial" w:hAnsi="Arial" w:cs="Arial"/>
          <w:sz w:val="22"/>
          <w:szCs w:val="22"/>
          <w:highlight w:val="yellow"/>
          <w:lang w:val="en-GB"/>
        </w:rPr>
        <w:t xml:space="preserve">This statement is incorrect since </w:t>
      </w:r>
      <w:r w:rsidR="00E7793C" w:rsidRPr="00C64C05">
        <w:rPr>
          <w:rFonts w:ascii="Arial" w:hAnsi="Arial" w:cs="Arial"/>
          <w:sz w:val="22"/>
          <w:szCs w:val="22"/>
          <w:highlight w:val="yellow"/>
          <w:lang w:val="en-GB"/>
        </w:rPr>
        <w:t>a statutory discharge of debt was only introduced in 1705 in England</w:t>
      </w:r>
      <w:r w:rsidR="00E7793C" w:rsidRPr="00205B31">
        <w:rPr>
          <w:rFonts w:ascii="Arial" w:hAnsi="Arial" w:cs="Arial"/>
          <w:sz w:val="22"/>
          <w:szCs w:val="22"/>
          <w:lang w:val="en-GB"/>
        </w:rPr>
        <w:t>.</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C64C05">
        <w:rPr>
          <w:rFonts w:ascii="Arial" w:hAnsi="Arial" w:cs="Arial"/>
          <w:sz w:val="22"/>
          <w:szCs w:val="22"/>
          <w:highlight w:val="yellow"/>
          <w:lang w:val="en-GB"/>
        </w:rPr>
        <w:t>The statement i</w:t>
      </w:r>
      <w:r w:rsidR="006E77B0" w:rsidRPr="00C64C05">
        <w:rPr>
          <w:rFonts w:ascii="Arial" w:hAnsi="Arial" w:cs="Arial"/>
          <w:sz w:val="22"/>
          <w:szCs w:val="22"/>
          <w:highlight w:val="yellow"/>
          <w:lang w:val="en-GB"/>
        </w:rPr>
        <w:t>s incorrect since the UK did re</w:t>
      </w:r>
      <w:r w:rsidRPr="00C64C05">
        <w:rPr>
          <w:rFonts w:ascii="Arial" w:hAnsi="Arial" w:cs="Arial"/>
          <w:sz w:val="22"/>
          <w:szCs w:val="22"/>
          <w:highlight w:val="yellow"/>
          <w:lang w:val="en-GB"/>
        </w:rPr>
        <w:t>v</w:t>
      </w:r>
      <w:r w:rsidR="006E77B0" w:rsidRPr="00C64C05">
        <w:rPr>
          <w:rFonts w:ascii="Arial" w:hAnsi="Arial" w:cs="Arial"/>
          <w:sz w:val="22"/>
          <w:szCs w:val="22"/>
          <w:highlight w:val="yellow"/>
          <w:lang w:val="en-GB"/>
        </w:rPr>
        <w:t>i</w:t>
      </w:r>
      <w:r w:rsidRPr="00C64C05">
        <w:rPr>
          <w:rFonts w:ascii="Arial" w:hAnsi="Arial" w:cs="Arial"/>
          <w:sz w:val="22"/>
          <w:szCs w:val="22"/>
          <w:highlight w:val="yellow"/>
          <w:lang w:val="en-GB"/>
        </w:rPr>
        <w:t>ew parts of its insolvency rules and amended some, among</w:t>
      </w:r>
      <w:r w:rsidR="006E77B0" w:rsidRPr="00C64C05">
        <w:rPr>
          <w:rFonts w:ascii="Arial" w:hAnsi="Arial" w:cs="Arial"/>
          <w:sz w:val="22"/>
          <w:szCs w:val="22"/>
          <w:highlight w:val="yellow"/>
          <w:lang w:val="en-GB"/>
        </w:rPr>
        <w:t>s</w:t>
      </w:r>
      <w:r w:rsidRPr="00C64C05">
        <w:rPr>
          <w:rFonts w:ascii="Arial" w:hAnsi="Arial" w:cs="Arial"/>
          <w:sz w:val="22"/>
          <w:szCs w:val="22"/>
          <w:highlight w:val="yellow"/>
          <w:lang w:val="en-GB"/>
        </w:rPr>
        <w:t>t other</w:t>
      </w:r>
      <w:r w:rsidR="00F96AF1" w:rsidRPr="00C64C05">
        <w:rPr>
          <w:rFonts w:ascii="Arial" w:hAnsi="Arial" w:cs="Arial"/>
          <w:sz w:val="22"/>
          <w:szCs w:val="22"/>
          <w:highlight w:val="yellow"/>
          <w:lang w:val="en-GB"/>
        </w:rPr>
        <w:t xml:space="preserve"> things</w:t>
      </w:r>
      <w:r w:rsidRPr="00C64C05">
        <w:rPr>
          <w:rFonts w:ascii="Arial" w:hAnsi="Arial" w:cs="Arial"/>
          <w:sz w:val="22"/>
          <w:szCs w:val="22"/>
          <w:highlight w:val="yellow"/>
          <w:lang w:val="en-GB"/>
        </w:rPr>
        <w:t>, to deal with the negative economic fall out of the pandemic</w:t>
      </w:r>
      <w:r w:rsidRPr="00205B31">
        <w:rPr>
          <w:rFonts w:ascii="Arial" w:hAnsi="Arial" w:cs="Arial"/>
          <w:sz w:val="22"/>
          <w:szCs w:val="22"/>
          <w:lang w:val="en-GB"/>
        </w:rPr>
        <w:t>.</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05B31" w:rsidRDefault="00B54F90" w:rsidP="009D510C">
      <w:pPr>
        <w:pStyle w:val="ListParagraph"/>
        <w:numPr>
          <w:ilvl w:val="0"/>
          <w:numId w:val="14"/>
        </w:numPr>
        <w:ind w:left="426"/>
        <w:jc w:val="both"/>
        <w:rPr>
          <w:rFonts w:ascii="Arial" w:hAnsi="Arial" w:cs="Arial"/>
          <w:sz w:val="22"/>
          <w:szCs w:val="22"/>
          <w:lang w:val="en-GB"/>
        </w:rPr>
      </w:pPr>
      <w:r w:rsidRPr="00C64C0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64C05">
        <w:rPr>
          <w:rFonts w:ascii="Arial" w:hAnsi="Arial" w:cs="Arial"/>
          <w:sz w:val="22"/>
          <w:szCs w:val="22"/>
          <w:highlight w:val="yellow"/>
          <w:lang w:val="en-GB"/>
        </w:rPr>
        <w:t xml:space="preserve">on </w:t>
      </w:r>
      <w:r w:rsidRPr="00C64C05">
        <w:rPr>
          <w:rFonts w:ascii="Arial" w:hAnsi="Arial" w:cs="Arial"/>
          <w:sz w:val="22"/>
          <w:szCs w:val="22"/>
          <w:highlight w:val="yellow"/>
          <w:lang w:val="en-GB"/>
        </w:rPr>
        <w:t>1 January 2021</w:t>
      </w:r>
      <w:r w:rsidRPr="00205B31">
        <w:rPr>
          <w:rFonts w:ascii="Arial" w:hAnsi="Arial" w:cs="Arial"/>
          <w:sz w:val="22"/>
          <w:szCs w:val="22"/>
          <w:lang w:val="en-GB"/>
        </w:rPr>
        <w:t>.</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C64C05">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C64C05">
        <w:rPr>
          <w:rFonts w:ascii="Arial" w:hAnsi="Arial" w:cs="Arial"/>
          <w:sz w:val="22"/>
          <w:szCs w:val="22"/>
          <w:highlight w:val="yellow"/>
          <w:lang w:val="en-GB"/>
        </w:rPr>
        <w:t xml:space="preserve">The statement is </w:t>
      </w:r>
      <w:r w:rsidR="006E1CB0" w:rsidRPr="00C64C05">
        <w:rPr>
          <w:rFonts w:ascii="Arial" w:hAnsi="Arial" w:cs="Arial"/>
          <w:sz w:val="22"/>
          <w:szCs w:val="22"/>
          <w:highlight w:val="yellow"/>
          <w:lang w:val="en-GB"/>
        </w:rPr>
        <w:t xml:space="preserve">not </w:t>
      </w:r>
      <w:r w:rsidRPr="00C64C05">
        <w:rPr>
          <w:rFonts w:ascii="Arial" w:hAnsi="Arial" w:cs="Arial"/>
          <w:sz w:val="22"/>
          <w:szCs w:val="22"/>
          <w:highlight w:val="yellow"/>
          <w:lang w:val="en-GB"/>
        </w:rPr>
        <w:t xml:space="preserve">correct </w:t>
      </w:r>
      <w:r w:rsidR="007958F0" w:rsidRPr="00C64C05">
        <w:rPr>
          <w:rFonts w:ascii="Arial" w:hAnsi="Arial" w:cs="Arial"/>
          <w:sz w:val="22"/>
          <w:szCs w:val="22"/>
          <w:highlight w:val="yellow"/>
          <w:lang w:val="en-GB"/>
        </w:rPr>
        <w:t>because</w:t>
      </w:r>
      <w:r w:rsidRPr="00C64C05">
        <w:rPr>
          <w:rFonts w:ascii="Arial" w:hAnsi="Arial" w:cs="Arial"/>
          <w:sz w:val="22"/>
          <w:szCs w:val="22"/>
          <w:highlight w:val="yellow"/>
          <w:lang w:val="en-GB"/>
        </w:rPr>
        <w:t xml:space="preserve"> very few </w:t>
      </w:r>
      <w:r w:rsidR="007958F0" w:rsidRPr="00C64C05">
        <w:rPr>
          <w:rFonts w:ascii="Arial" w:hAnsi="Arial" w:cs="Arial"/>
          <w:sz w:val="22"/>
          <w:szCs w:val="22"/>
          <w:highlight w:val="yellow"/>
          <w:lang w:val="en-GB"/>
        </w:rPr>
        <w:t>States</w:t>
      </w:r>
      <w:r w:rsidRPr="00C64C05">
        <w:rPr>
          <w:rFonts w:ascii="Arial" w:hAnsi="Arial" w:cs="Arial"/>
          <w:sz w:val="22"/>
          <w:szCs w:val="22"/>
          <w:highlight w:val="yellow"/>
          <w:lang w:val="en-GB"/>
        </w:rPr>
        <w:t xml:space="preserve"> allow insolvent estate representatives to deal with assets of a foreign debtor situated in </w:t>
      </w:r>
      <w:r w:rsidR="005936B3" w:rsidRPr="00C64C05">
        <w:rPr>
          <w:rFonts w:ascii="Arial" w:hAnsi="Arial" w:cs="Arial"/>
          <w:sz w:val="22"/>
          <w:szCs w:val="22"/>
          <w:highlight w:val="yellow"/>
          <w:lang w:val="en-GB"/>
        </w:rPr>
        <w:t>their own</w:t>
      </w:r>
      <w:r w:rsidRPr="00C64C05">
        <w:rPr>
          <w:rFonts w:ascii="Arial" w:hAnsi="Arial" w:cs="Arial"/>
          <w:sz w:val="22"/>
          <w:szCs w:val="22"/>
          <w:highlight w:val="yellow"/>
          <w:lang w:val="en-GB"/>
        </w:rPr>
        <w:t xml:space="preserve"> jurisdiction without </w:t>
      </w:r>
      <w:r w:rsidR="006E1CB0" w:rsidRPr="00C64C05">
        <w:rPr>
          <w:rFonts w:ascii="Arial" w:hAnsi="Arial" w:cs="Arial"/>
          <w:sz w:val="22"/>
          <w:szCs w:val="22"/>
          <w:highlight w:val="yellow"/>
          <w:lang w:val="en-GB"/>
        </w:rPr>
        <w:t xml:space="preserve">some form of </w:t>
      </w:r>
      <w:r w:rsidR="0090037B" w:rsidRPr="00C64C05">
        <w:rPr>
          <w:rFonts w:ascii="Arial" w:hAnsi="Arial" w:cs="Arial"/>
          <w:sz w:val="22"/>
          <w:szCs w:val="22"/>
          <w:highlight w:val="yellow"/>
          <w:lang w:val="en-GB"/>
        </w:rPr>
        <w:t xml:space="preserve">a </w:t>
      </w:r>
      <w:r w:rsidR="006E1CB0" w:rsidRPr="00C64C05">
        <w:rPr>
          <w:rFonts w:ascii="Arial" w:hAnsi="Arial" w:cs="Arial"/>
          <w:sz w:val="22"/>
          <w:szCs w:val="22"/>
          <w:highlight w:val="yellow"/>
          <w:lang w:val="en-GB"/>
        </w:rPr>
        <w:t>(</w:t>
      </w:r>
      <w:r w:rsidR="0090037B" w:rsidRPr="00C64C05">
        <w:rPr>
          <w:rFonts w:ascii="Arial" w:hAnsi="Arial" w:cs="Arial"/>
          <w:sz w:val="22"/>
          <w:szCs w:val="22"/>
          <w:highlight w:val="yellow"/>
          <w:lang w:val="en-GB"/>
        </w:rPr>
        <w:t>prior</w:t>
      </w:r>
      <w:r w:rsidR="006E1CB0" w:rsidRPr="00C64C05">
        <w:rPr>
          <w:rFonts w:ascii="Arial" w:hAnsi="Arial" w:cs="Arial"/>
          <w:sz w:val="22"/>
          <w:szCs w:val="22"/>
          <w:highlight w:val="yellow"/>
          <w:lang w:val="en-GB"/>
        </w:rPr>
        <w:t>)</w:t>
      </w:r>
      <w:r w:rsidRPr="00C64C05">
        <w:rPr>
          <w:rFonts w:ascii="Arial" w:hAnsi="Arial" w:cs="Arial"/>
          <w:sz w:val="22"/>
          <w:szCs w:val="22"/>
          <w:highlight w:val="yellow"/>
          <w:lang w:val="en-GB"/>
        </w:rPr>
        <w:t xml:space="preserve"> local procedure </w:t>
      </w:r>
      <w:r w:rsidR="005936B3" w:rsidRPr="00C64C05">
        <w:rPr>
          <w:rFonts w:ascii="Arial" w:hAnsi="Arial" w:cs="Arial"/>
          <w:sz w:val="22"/>
          <w:szCs w:val="22"/>
          <w:highlight w:val="yellow"/>
          <w:lang w:val="en-GB"/>
        </w:rPr>
        <w:t xml:space="preserve">to </w:t>
      </w:r>
      <w:r w:rsidRPr="00C64C05">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C64C05">
        <w:rPr>
          <w:rFonts w:ascii="Arial" w:eastAsiaTheme="minorHAnsi" w:hAnsi="Arial" w:cs="Arial"/>
          <w:sz w:val="22"/>
          <w:szCs w:val="22"/>
          <w:highlight w:val="yellow"/>
          <w:lang w:val="en-GB"/>
        </w:rPr>
        <w:t xml:space="preserve">They were recently revised in 2021 and, together with the </w:t>
      </w:r>
      <w:r w:rsidRPr="00C64C05">
        <w:rPr>
          <w:rFonts w:ascii="Arial" w:hAnsi="Arial" w:cs="Arial"/>
          <w:sz w:val="22"/>
          <w:szCs w:val="22"/>
          <w:highlight w:val="yellow"/>
          <w:lang w:val="en-GB"/>
        </w:rPr>
        <w:t>UNCITRAL Legislative Guide, form the international best practice standard for insolvency regimes</w:t>
      </w:r>
      <w:r w:rsidRPr="00205B31">
        <w:rPr>
          <w:rFonts w:ascii="Arial" w:hAnsi="Arial" w:cs="Arial"/>
          <w:sz w:val="22"/>
          <w:szCs w:val="22"/>
          <w:lang w:val="en-GB"/>
        </w:rPr>
        <w:t>.</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C64C05">
        <w:rPr>
          <w:rFonts w:ascii="Arial" w:eastAsiaTheme="minorHAnsi" w:hAnsi="Arial" w:cs="Arial"/>
          <w:sz w:val="22"/>
          <w:szCs w:val="22"/>
          <w:highlight w:val="yellow"/>
          <w:lang w:val="en-GB"/>
        </w:rPr>
        <w:t xml:space="preserve">The Nordic Convention </w:t>
      </w:r>
      <w:r w:rsidR="00076483" w:rsidRPr="00C64C05">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C64C05">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C64C05">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C64C05">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3E6CD64"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r w:rsidR="00281737">
        <w:rPr>
          <w:rFonts w:ascii="Arial" w:hAnsi="Arial" w:cs="Arial"/>
          <w:sz w:val="22"/>
          <w:szCs w:val="22"/>
          <w:lang w:val="en-GB"/>
        </w:rPr>
        <w:t xml:space="preserve"> </w:t>
      </w:r>
    </w:p>
    <w:p w14:paraId="304C2FB2" w14:textId="77777777" w:rsidR="00CC7728" w:rsidRPr="00205B31" w:rsidRDefault="00CC7728" w:rsidP="00E84DD5">
      <w:pPr>
        <w:rPr>
          <w:rFonts w:ascii="Arial" w:hAnsi="Arial" w:cs="Arial"/>
          <w:sz w:val="22"/>
          <w:szCs w:val="22"/>
          <w:lang w:val="en-GB"/>
        </w:rPr>
      </w:pPr>
    </w:p>
    <w:p w14:paraId="57BCFC30" w14:textId="780F8C2C" w:rsidR="009B07AD" w:rsidRDefault="003E4932" w:rsidP="007A2C3A">
      <w:pPr>
        <w:jc w:val="both"/>
        <w:rPr>
          <w:rFonts w:ascii="Arial" w:hAnsi="Arial" w:cs="Arial"/>
          <w:sz w:val="22"/>
          <w:szCs w:val="22"/>
          <w:lang w:val="en-GB"/>
        </w:rPr>
      </w:pPr>
      <w:r>
        <w:rPr>
          <w:rFonts w:ascii="Arial" w:hAnsi="Arial" w:cs="Arial"/>
          <w:sz w:val="22"/>
          <w:szCs w:val="22"/>
          <w:lang w:val="en-GB"/>
        </w:rPr>
        <w:t xml:space="preserve">The first English Bankruptcy Act of 1542 </w:t>
      </w:r>
      <w:r w:rsidR="00C64C05">
        <w:rPr>
          <w:rFonts w:ascii="Arial" w:hAnsi="Arial" w:cs="Arial"/>
          <w:sz w:val="22"/>
          <w:szCs w:val="22"/>
          <w:lang w:val="en-GB"/>
        </w:rPr>
        <w:t>initially introduced the concepts of</w:t>
      </w:r>
      <w:r>
        <w:rPr>
          <w:rFonts w:ascii="Arial" w:hAnsi="Arial" w:cs="Arial"/>
          <w:sz w:val="22"/>
          <w:szCs w:val="22"/>
          <w:lang w:val="en-GB"/>
        </w:rPr>
        <w:t xml:space="preserve"> collective participation by creditors in a compulsory admini</w:t>
      </w:r>
      <w:r w:rsidR="00C64C05">
        <w:rPr>
          <w:rFonts w:ascii="Arial" w:hAnsi="Arial" w:cs="Arial"/>
          <w:sz w:val="22"/>
          <w:szCs w:val="22"/>
          <w:lang w:val="en-GB"/>
        </w:rPr>
        <w:t xml:space="preserve">stration of the debtors assets and </w:t>
      </w:r>
      <w:r w:rsidRPr="00281737">
        <w:rPr>
          <w:rFonts w:ascii="Arial" w:hAnsi="Arial" w:cs="Arial"/>
          <w:i/>
          <w:sz w:val="22"/>
          <w:szCs w:val="22"/>
          <w:lang w:val="en-GB"/>
        </w:rPr>
        <w:t>pari passu</w:t>
      </w:r>
      <w:r>
        <w:rPr>
          <w:rFonts w:ascii="Arial" w:hAnsi="Arial" w:cs="Arial"/>
          <w:sz w:val="22"/>
          <w:szCs w:val="22"/>
          <w:lang w:val="en-GB"/>
        </w:rPr>
        <w:t xml:space="preserve"> distribution of the available assets among the participating creditors.</w:t>
      </w:r>
      <w:r w:rsidR="00C64C05">
        <w:rPr>
          <w:rFonts w:ascii="Arial" w:hAnsi="Arial" w:cs="Arial"/>
          <w:sz w:val="22"/>
          <w:szCs w:val="22"/>
          <w:lang w:val="en-GB"/>
        </w:rPr>
        <w:t xml:space="preserve"> The introduction of these two fundamental principles initiated the thinking concerning modern insolvency law</w:t>
      </w:r>
      <w:r w:rsidR="00183240">
        <w:rPr>
          <w:rStyle w:val="FootnoteReference"/>
          <w:rFonts w:ascii="Arial" w:hAnsi="Arial" w:cs="Arial"/>
          <w:sz w:val="22"/>
          <w:szCs w:val="22"/>
          <w:lang w:val="en-GB"/>
        </w:rPr>
        <w:footnoteReference w:id="1"/>
      </w:r>
      <w:r w:rsidR="00C64C05">
        <w:rPr>
          <w:rFonts w:ascii="Arial" w:hAnsi="Arial" w:cs="Arial"/>
          <w:sz w:val="22"/>
          <w:szCs w:val="22"/>
          <w:lang w:val="en-GB"/>
        </w:rPr>
        <w:t>.</w:t>
      </w:r>
    </w:p>
    <w:p w14:paraId="198B24CE" w14:textId="3144FCD1" w:rsidR="003E4932" w:rsidRDefault="003E4932" w:rsidP="007A2C3A">
      <w:pPr>
        <w:jc w:val="both"/>
        <w:rPr>
          <w:rFonts w:ascii="Arial" w:hAnsi="Arial" w:cs="Arial"/>
          <w:sz w:val="22"/>
          <w:szCs w:val="22"/>
          <w:lang w:val="en-GB"/>
        </w:rPr>
      </w:pPr>
    </w:p>
    <w:p w14:paraId="3EA3B79E" w14:textId="55C3C4A2" w:rsidR="003E4932" w:rsidRDefault="00C64C05" w:rsidP="007A2C3A">
      <w:pPr>
        <w:jc w:val="both"/>
        <w:rPr>
          <w:rFonts w:ascii="Arial" w:hAnsi="Arial" w:cs="Arial"/>
          <w:sz w:val="22"/>
          <w:szCs w:val="22"/>
          <w:lang w:val="en-GB"/>
        </w:rPr>
      </w:pPr>
      <w:r>
        <w:rPr>
          <w:rFonts w:ascii="Arial" w:hAnsi="Arial" w:cs="Arial"/>
          <w:sz w:val="22"/>
          <w:szCs w:val="22"/>
          <w:lang w:val="en-GB"/>
        </w:rPr>
        <w:t>A further development of the debt collection procedure was the enactment of the</w:t>
      </w:r>
      <w:r w:rsidR="003E4932">
        <w:rPr>
          <w:rFonts w:ascii="Arial" w:hAnsi="Arial" w:cs="Arial"/>
          <w:sz w:val="22"/>
          <w:szCs w:val="22"/>
          <w:lang w:val="en-GB"/>
        </w:rPr>
        <w:t xml:space="preserve"> </w:t>
      </w:r>
      <w:r w:rsidR="00654E75">
        <w:rPr>
          <w:rFonts w:ascii="Arial" w:hAnsi="Arial" w:cs="Arial"/>
          <w:sz w:val="22"/>
          <w:szCs w:val="22"/>
          <w:lang w:val="en-GB"/>
        </w:rPr>
        <w:t xml:space="preserve">'Act of Elizabeth' </w:t>
      </w:r>
      <w:r>
        <w:rPr>
          <w:rFonts w:ascii="Arial" w:hAnsi="Arial" w:cs="Arial"/>
          <w:sz w:val="22"/>
          <w:szCs w:val="22"/>
          <w:lang w:val="en-GB"/>
        </w:rPr>
        <w:t xml:space="preserve">in 1570 which </w:t>
      </w:r>
      <w:r w:rsidR="00654E75">
        <w:rPr>
          <w:rFonts w:ascii="Arial" w:hAnsi="Arial" w:cs="Arial"/>
          <w:sz w:val="22"/>
          <w:szCs w:val="22"/>
          <w:lang w:val="en-GB"/>
        </w:rPr>
        <w:t xml:space="preserve">provided </w:t>
      </w:r>
      <w:r>
        <w:rPr>
          <w:rFonts w:ascii="Arial" w:hAnsi="Arial" w:cs="Arial"/>
          <w:sz w:val="22"/>
          <w:szCs w:val="22"/>
          <w:lang w:val="en-GB"/>
        </w:rPr>
        <w:t xml:space="preserve">for </w:t>
      </w:r>
      <w:r w:rsidR="00654E75">
        <w:rPr>
          <w:rFonts w:ascii="Arial" w:hAnsi="Arial" w:cs="Arial"/>
          <w:sz w:val="22"/>
          <w:szCs w:val="22"/>
          <w:lang w:val="en-GB"/>
        </w:rPr>
        <w:t>additional acts of bankruptcy upon which a creditor could petition for the convening of a bankruptcy meeting and transferred jurisdiction of the supervision of the estate from the commissioners (as was the case under the 1542 Act) to the Lord Chancellor who could then also appoint bankruptcy commissioners to supervise the process by examining the debtors transactions and property. The debtor was obligated to transfer his or her property to the commissioners and could be summoned to appear from questioning and be committed to prison</w:t>
      </w:r>
      <w:r w:rsidR="004C030C">
        <w:rPr>
          <w:rStyle w:val="FootnoteReference"/>
          <w:rFonts w:ascii="Arial" w:hAnsi="Arial" w:cs="Arial"/>
          <w:sz w:val="22"/>
          <w:szCs w:val="22"/>
          <w:lang w:val="en-GB"/>
        </w:rPr>
        <w:footnoteReference w:id="2"/>
      </w:r>
      <w:r w:rsidR="00654E75">
        <w:rPr>
          <w:rFonts w:ascii="Arial" w:hAnsi="Arial" w:cs="Arial"/>
          <w:sz w:val="22"/>
          <w:szCs w:val="22"/>
          <w:lang w:val="en-GB"/>
        </w:rPr>
        <w:t xml:space="preserve">. </w:t>
      </w:r>
    </w:p>
    <w:p w14:paraId="687BCC51" w14:textId="1B56E029" w:rsidR="003E4932" w:rsidRDefault="003E4932" w:rsidP="007A2C3A">
      <w:pPr>
        <w:jc w:val="both"/>
        <w:rPr>
          <w:rFonts w:ascii="Arial" w:hAnsi="Arial" w:cs="Arial"/>
          <w:sz w:val="22"/>
          <w:szCs w:val="22"/>
          <w:lang w:val="en-GB"/>
        </w:rPr>
      </w:pPr>
    </w:p>
    <w:p w14:paraId="6EE24E52" w14:textId="388FD28F" w:rsidR="003E4932" w:rsidRPr="007A2C3A" w:rsidRDefault="00A111AE" w:rsidP="007A2C3A">
      <w:pPr>
        <w:jc w:val="both"/>
        <w:rPr>
          <w:rFonts w:ascii="Arial" w:hAnsi="Arial" w:cs="Arial"/>
          <w:sz w:val="22"/>
          <w:szCs w:val="22"/>
          <w:lang w:val="en-GB"/>
        </w:rPr>
      </w:pPr>
      <w:r>
        <w:rPr>
          <w:rFonts w:ascii="Arial" w:hAnsi="Arial" w:cs="Arial"/>
          <w:sz w:val="22"/>
          <w:szCs w:val="22"/>
          <w:lang w:val="en-GB"/>
        </w:rPr>
        <w:t xml:space="preserve">A later development </w:t>
      </w:r>
      <w:r w:rsidR="003C13F6">
        <w:rPr>
          <w:rFonts w:ascii="Arial" w:hAnsi="Arial" w:cs="Arial"/>
          <w:sz w:val="22"/>
          <w:szCs w:val="22"/>
          <w:lang w:val="en-GB"/>
        </w:rPr>
        <w:t xml:space="preserve">which shaped the thinking of modern insolvency law was </w:t>
      </w:r>
      <w:r w:rsidR="00654E75">
        <w:rPr>
          <w:rFonts w:ascii="Arial" w:hAnsi="Arial" w:cs="Arial"/>
          <w:sz w:val="22"/>
          <w:szCs w:val="22"/>
          <w:lang w:val="en-GB"/>
        </w:rPr>
        <w:t xml:space="preserve">the </w:t>
      </w:r>
      <w:r w:rsidR="003C13F6">
        <w:rPr>
          <w:rFonts w:ascii="Arial" w:hAnsi="Arial" w:cs="Arial"/>
          <w:sz w:val="22"/>
          <w:szCs w:val="22"/>
          <w:lang w:val="en-GB"/>
        </w:rPr>
        <w:t>introduction of</w:t>
      </w:r>
      <w:r w:rsidR="00654E75">
        <w:rPr>
          <w:rFonts w:ascii="Arial" w:hAnsi="Arial" w:cs="Arial"/>
          <w:sz w:val="22"/>
          <w:szCs w:val="22"/>
          <w:lang w:val="en-GB"/>
        </w:rPr>
        <w:t xml:space="preserve"> a statutory discharge </w:t>
      </w:r>
      <w:r w:rsidR="003C13F6">
        <w:rPr>
          <w:rFonts w:ascii="Arial" w:hAnsi="Arial" w:cs="Arial"/>
          <w:sz w:val="22"/>
          <w:szCs w:val="22"/>
          <w:lang w:val="en-GB"/>
        </w:rPr>
        <w:t>(enacted by the 'Statute of Ann' in 1705) subject to the</w:t>
      </w:r>
      <w:r w:rsidR="00654E75">
        <w:rPr>
          <w:rFonts w:ascii="Arial" w:hAnsi="Arial" w:cs="Arial"/>
          <w:sz w:val="22"/>
          <w:szCs w:val="22"/>
          <w:lang w:val="en-GB"/>
        </w:rPr>
        <w:t xml:space="preserve"> debtor </w:t>
      </w:r>
      <w:r w:rsidR="003C13F6">
        <w:rPr>
          <w:rFonts w:ascii="Arial" w:hAnsi="Arial" w:cs="Arial"/>
          <w:sz w:val="22"/>
          <w:szCs w:val="22"/>
          <w:lang w:val="en-GB"/>
        </w:rPr>
        <w:t>establishing it had conformed</w:t>
      </w:r>
      <w:r w:rsidR="00654E75">
        <w:rPr>
          <w:rFonts w:ascii="Arial" w:hAnsi="Arial" w:cs="Arial"/>
          <w:sz w:val="22"/>
          <w:szCs w:val="22"/>
          <w:lang w:val="en-GB"/>
        </w:rPr>
        <w:t xml:space="preserve"> and cooperated in the proceedings</w:t>
      </w:r>
      <w:r w:rsidR="003C13F6">
        <w:rPr>
          <w:rFonts w:ascii="Arial" w:hAnsi="Arial" w:cs="Arial"/>
          <w:sz w:val="22"/>
          <w:szCs w:val="22"/>
          <w:lang w:val="en-GB"/>
        </w:rPr>
        <w:t xml:space="preserve">. However, it is the </w:t>
      </w:r>
      <w:r w:rsidR="00654E75">
        <w:rPr>
          <w:rFonts w:ascii="Arial" w:hAnsi="Arial" w:cs="Arial"/>
          <w:sz w:val="22"/>
          <w:szCs w:val="22"/>
          <w:lang w:val="en-GB"/>
        </w:rPr>
        <w:t>legislative reform</w:t>
      </w:r>
      <w:r w:rsidR="003C13F6">
        <w:rPr>
          <w:rFonts w:ascii="Arial" w:hAnsi="Arial" w:cs="Arial"/>
          <w:sz w:val="22"/>
          <w:szCs w:val="22"/>
          <w:lang w:val="en-GB"/>
        </w:rPr>
        <w:t>s</w:t>
      </w:r>
      <w:r w:rsidR="00654E75">
        <w:rPr>
          <w:rFonts w:ascii="Arial" w:hAnsi="Arial" w:cs="Arial"/>
          <w:sz w:val="22"/>
          <w:szCs w:val="22"/>
          <w:lang w:val="en-GB"/>
        </w:rPr>
        <w:t xml:space="preserve"> </w:t>
      </w:r>
      <w:r w:rsidR="00654E75" w:rsidRPr="003C13F6">
        <w:rPr>
          <w:rFonts w:ascii="Arial" w:hAnsi="Arial" w:cs="Arial"/>
          <w:sz w:val="22"/>
          <w:szCs w:val="22"/>
          <w:lang w:val="en-GB"/>
        </w:rPr>
        <w:t>in 1883</w:t>
      </w:r>
      <w:r w:rsidR="00654E75">
        <w:rPr>
          <w:rFonts w:ascii="Arial" w:hAnsi="Arial" w:cs="Arial"/>
          <w:sz w:val="22"/>
          <w:szCs w:val="22"/>
          <w:lang w:val="en-GB"/>
        </w:rPr>
        <w:t xml:space="preserve"> </w:t>
      </w:r>
      <w:r w:rsidR="00281737">
        <w:rPr>
          <w:rFonts w:ascii="Arial" w:hAnsi="Arial" w:cs="Arial"/>
          <w:sz w:val="22"/>
          <w:szCs w:val="22"/>
          <w:lang w:val="en-GB"/>
        </w:rPr>
        <w:t xml:space="preserve">upon which </w:t>
      </w:r>
      <w:r w:rsidR="003C13F6">
        <w:rPr>
          <w:rFonts w:ascii="Arial" w:hAnsi="Arial" w:cs="Arial"/>
          <w:sz w:val="22"/>
          <w:szCs w:val="22"/>
          <w:lang w:val="en-GB"/>
        </w:rPr>
        <w:t xml:space="preserve">many writers consider that the foundation of the present system </w:t>
      </w:r>
      <w:r w:rsidR="00281737">
        <w:rPr>
          <w:rFonts w:ascii="Arial" w:hAnsi="Arial" w:cs="Arial"/>
          <w:sz w:val="22"/>
          <w:szCs w:val="22"/>
          <w:lang w:val="en-GB"/>
        </w:rPr>
        <w:t xml:space="preserve">is based. These reforms included the introduction of </w:t>
      </w:r>
      <w:r w:rsidR="00654E75">
        <w:rPr>
          <w:rFonts w:ascii="Arial" w:hAnsi="Arial" w:cs="Arial"/>
          <w:sz w:val="22"/>
          <w:szCs w:val="22"/>
          <w:lang w:val="en-GB"/>
        </w:rPr>
        <w:t>the office of the Official Receiver</w:t>
      </w:r>
      <w:r w:rsidR="00281737">
        <w:rPr>
          <w:rFonts w:ascii="Arial" w:hAnsi="Arial" w:cs="Arial"/>
          <w:sz w:val="22"/>
          <w:szCs w:val="22"/>
          <w:lang w:val="en-GB"/>
        </w:rPr>
        <w:t xml:space="preserve"> to administer the debtor's es</w:t>
      </w:r>
      <w:r w:rsidR="00943449">
        <w:rPr>
          <w:rFonts w:ascii="Arial" w:hAnsi="Arial" w:cs="Arial"/>
          <w:sz w:val="22"/>
          <w:szCs w:val="22"/>
          <w:lang w:val="en-GB"/>
        </w:rPr>
        <w:t>tate before the commencement of</w:t>
      </w:r>
      <w:r w:rsidR="00281737">
        <w:rPr>
          <w:rFonts w:ascii="Arial" w:hAnsi="Arial" w:cs="Arial"/>
          <w:sz w:val="22"/>
          <w:szCs w:val="22"/>
          <w:lang w:val="en-GB"/>
        </w:rPr>
        <w:t xml:space="preserve"> a bankruptcy procedure or friendly agreement with creditors</w:t>
      </w:r>
      <w:r w:rsidR="00281737">
        <w:rPr>
          <w:rStyle w:val="FootnoteReference"/>
          <w:rFonts w:ascii="Arial" w:hAnsi="Arial" w:cs="Arial"/>
          <w:sz w:val="22"/>
          <w:szCs w:val="22"/>
          <w:lang w:val="en-GB"/>
        </w:rPr>
        <w:footnoteReference w:id="3"/>
      </w:r>
      <w:r w:rsidR="00281737">
        <w:rPr>
          <w:rFonts w:ascii="Arial" w:hAnsi="Arial" w:cs="Arial"/>
          <w:sz w:val="22"/>
          <w:szCs w:val="22"/>
          <w:lang w:val="en-GB"/>
        </w:rPr>
        <w:t xml:space="preserve">. These reforms furthered the overall </w:t>
      </w:r>
      <w:r w:rsidR="00654E75">
        <w:rPr>
          <w:rFonts w:ascii="Arial" w:hAnsi="Arial" w:cs="Arial"/>
          <w:sz w:val="22"/>
          <w:szCs w:val="22"/>
          <w:lang w:val="en-GB"/>
        </w:rPr>
        <w:t xml:space="preserve">aim </w:t>
      </w:r>
      <w:r w:rsidR="00281737">
        <w:rPr>
          <w:rFonts w:ascii="Arial" w:hAnsi="Arial" w:cs="Arial"/>
          <w:sz w:val="22"/>
          <w:szCs w:val="22"/>
          <w:lang w:val="en-GB"/>
        </w:rPr>
        <w:t xml:space="preserve">of there being </w:t>
      </w:r>
      <w:r w:rsidR="00654E75">
        <w:rPr>
          <w:rFonts w:ascii="Arial" w:hAnsi="Arial" w:cs="Arial"/>
          <w:sz w:val="22"/>
          <w:szCs w:val="22"/>
          <w:lang w:val="en-GB"/>
        </w:rPr>
        <w:t>fair procedure</w:t>
      </w:r>
      <w:r w:rsidR="00281737">
        <w:rPr>
          <w:rFonts w:ascii="Arial" w:hAnsi="Arial" w:cs="Arial"/>
          <w:sz w:val="22"/>
          <w:szCs w:val="22"/>
          <w:lang w:val="en-GB"/>
        </w:rPr>
        <w:t>s in place</w:t>
      </w:r>
      <w:r w:rsidR="00654E75">
        <w:rPr>
          <w:rFonts w:ascii="Arial" w:hAnsi="Arial" w:cs="Arial"/>
          <w:sz w:val="22"/>
          <w:szCs w:val="22"/>
          <w:lang w:val="en-GB"/>
        </w:rPr>
        <w:t xml:space="preserve"> with adequate supervision and means to discourage dishonest</w:t>
      </w:r>
      <w:r w:rsidR="00943449">
        <w:rPr>
          <w:rFonts w:ascii="Arial" w:hAnsi="Arial" w:cs="Arial"/>
          <w:sz w:val="22"/>
          <w:szCs w:val="22"/>
          <w:lang w:val="en-GB"/>
        </w:rPr>
        <w:t>y (examination of debtor's conduct leading to insolvency)</w:t>
      </w:r>
      <w:r w:rsidR="00943449">
        <w:rPr>
          <w:rStyle w:val="FootnoteReference"/>
          <w:rFonts w:ascii="Arial" w:hAnsi="Arial" w:cs="Arial"/>
          <w:sz w:val="22"/>
          <w:szCs w:val="22"/>
          <w:lang w:val="en-GB"/>
        </w:rPr>
        <w:footnoteReference w:id="4"/>
      </w:r>
      <w:r w:rsidR="00943449">
        <w:rPr>
          <w:rFonts w:ascii="Arial" w:hAnsi="Arial" w:cs="Arial"/>
          <w:sz w:val="22"/>
          <w:szCs w:val="22"/>
          <w:lang w:val="en-GB"/>
        </w:rPr>
        <w:t xml:space="preserve">. </w:t>
      </w:r>
      <w:r w:rsidR="00B65E25">
        <w:rPr>
          <w:rFonts w:ascii="Arial" w:hAnsi="Arial" w:cs="Arial"/>
          <w:sz w:val="22"/>
          <w:szCs w:val="22"/>
          <w:lang w:val="en-GB"/>
        </w:rPr>
        <w:t xml:space="preserve">The </w:t>
      </w:r>
      <w:r w:rsidR="005E416A">
        <w:rPr>
          <w:rFonts w:ascii="Arial" w:hAnsi="Arial" w:cs="Arial"/>
          <w:sz w:val="22"/>
          <w:szCs w:val="22"/>
          <w:lang w:val="en-GB"/>
        </w:rPr>
        <w:t xml:space="preserve">mechanics for addressing bankruptcy matters created by the </w:t>
      </w:r>
      <w:r w:rsidR="00B65E25">
        <w:rPr>
          <w:rFonts w:ascii="Arial" w:hAnsi="Arial" w:cs="Arial"/>
          <w:sz w:val="22"/>
          <w:szCs w:val="22"/>
          <w:lang w:val="en-GB"/>
        </w:rPr>
        <w:t>1883 Act formed the foundation of bankruptcy law in force today and remained the basic approach of English insolvency law for most of the 20</w:t>
      </w:r>
      <w:r w:rsidR="00B65E25" w:rsidRPr="00B65E25">
        <w:rPr>
          <w:rFonts w:ascii="Arial" w:hAnsi="Arial" w:cs="Arial"/>
          <w:sz w:val="22"/>
          <w:szCs w:val="22"/>
          <w:vertAlign w:val="superscript"/>
          <w:lang w:val="en-GB"/>
        </w:rPr>
        <w:t>th</w:t>
      </w:r>
      <w:r w:rsidR="00B65E25">
        <w:rPr>
          <w:rFonts w:ascii="Arial" w:hAnsi="Arial" w:cs="Arial"/>
          <w:sz w:val="22"/>
          <w:szCs w:val="22"/>
          <w:lang w:val="en-GB"/>
        </w:rPr>
        <w:t xml:space="preserve"> century until the comprehensive review led by the Cork Committee in 1977 resulting in the Cork Report which ultimately led to the Insolvency Act 1986</w:t>
      </w:r>
      <w:r w:rsidR="00B65E25">
        <w:rPr>
          <w:rStyle w:val="FootnoteReference"/>
          <w:rFonts w:ascii="Arial" w:hAnsi="Arial" w:cs="Arial"/>
          <w:sz w:val="22"/>
          <w:szCs w:val="22"/>
          <w:lang w:val="en-GB"/>
        </w:rPr>
        <w:footnoteReference w:id="5"/>
      </w:r>
      <w:r w:rsidR="00B65E25">
        <w:rPr>
          <w:rFonts w:ascii="Arial" w:hAnsi="Arial" w:cs="Arial"/>
          <w:sz w:val="22"/>
          <w:szCs w:val="22"/>
          <w:lang w:val="en-GB"/>
        </w:rPr>
        <w:t xml:space="preserv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5E3DEE4" w:rsidR="00CC7728" w:rsidRDefault="00CC7728" w:rsidP="00B7193E">
      <w:pPr>
        <w:jc w:val="both"/>
        <w:rPr>
          <w:rFonts w:ascii="Arial" w:hAnsi="Arial" w:cs="Arial"/>
          <w:sz w:val="22"/>
          <w:szCs w:val="22"/>
          <w:lang w:val="en-GB"/>
        </w:rPr>
      </w:pPr>
    </w:p>
    <w:p w14:paraId="747C570F" w14:textId="5B5A4F32" w:rsidR="00D476B4" w:rsidRDefault="00281737" w:rsidP="00D476B4">
      <w:pPr>
        <w:jc w:val="both"/>
        <w:rPr>
          <w:rFonts w:ascii="Arial" w:hAnsi="Arial" w:cs="Arial"/>
          <w:sz w:val="22"/>
          <w:szCs w:val="22"/>
          <w:lang w:val="en-GB"/>
        </w:rPr>
      </w:pPr>
      <w:r>
        <w:rPr>
          <w:rFonts w:ascii="Arial" w:hAnsi="Arial" w:cs="Arial"/>
          <w:sz w:val="22"/>
          <w:szCs w:val="22"/>
          <w:lang w:val="en-GB"/>
        </w:rPr>
        <w:t xml:space="preserve">On 26 June 2020, the Corporate Insolvency and Governance Act 2020 was enacted in the UK to help address the negative economic fall out of the COVID-19 pandemic. This </w:t>
      </w:r>
      <w:r w:rsidR="00D476B4">
        <w:rPr>
          <w:rFonts w:ascii="Arial" w:hAnsi="Arial" w:cs="Arial"/>
          <w:sz w:val="22"/>
          <w:szCs w:val="22"/>
          <w:lang w:val="en-GB"/>
        </w:rPr>
        <w:t>A</w:t>
      </w:r>
      <w:r>
        <w:rPr>
          <w:rFonts w:ascii="Arial" w:hAnsi="Arial" w:cs="Arial"/>
          <w:sz w:val="22"/>
          <w:szCs w:val="22"/>
          <w:lang w:val="en-GB"/>
        </w:rPr>
        <w:t>ct introduce</w:t>
      </w:r>
      <w:r w:rsidR="00D476B4">
        <w:rPr>
          <w:rFonts w:ascii="Arial" w:hAnsi="Arial" w:cs="Arial"/>
          <w:sz w:val="22"/>
          <w:szCs w:val="22"/>
          <w:lang w:val="en-GB"/>
        </w:rPr>
        <w:t>s</w:t>
      </w:r>
      <w:r>
        <w:rPr>
          <w:rFonts w:ascii="Arial" w:hAnsi="Arial" w:cs="Arial"/>
          <w:sz w:val="22"/>
          <w:szCs w:val="22"/>
          <w:lang w:val="en-GB"/>
        </w:rPr>
        <w:t xml:space="preserve"> a </w:t>
      </w:r>
      <w:r w:rsidR="00D476B4">
        <w:rPr>
          <w:rFonts w:ascii="Arial" w:hAnsi="Arial" w:cs="Arial"/>
          <w:sz w:val="22"/>
          <w:szCs w:val="22"/>
          <w:lang w:val="en-GB"/>
        </w:rPr>
        <w:t xml:space="preserve">moratorium period which a company (solvent or otherwise) can use for a payment holiday from most of its non-finance pre-moratorium debts and protection from creditor action (including enforcement action) while it seeks a rescue or restructuring (including a CVA, a scheme of arrangement, restructuring plan (discussed further below) or administration). </w:t>
      </w:r>
      <w:r w:rsidR="00ED73B9">
        <w:rPr>
          <w:rFonts w:ascii="Arial" w:hAnsi="Arial" w:cs="Arial"/>
          <w:sz w:val="22"/>
          <w:szCs w:val="22"/>
          <w:lang w:val="en-GB"/>
        </w:rPr>
        <w:t xml:space="preserve">Once </w:t>
      </w:r>
      <w:r w:rsidR="00ED73B9">
        <w:rPr>
          <w:rFonts w:ascii="Arial" w:hAnsi="Arial" w:cs="Arial"/>
          <w:sz w:val="22"/>
          <w:szCs w:val="22"/>
          <w:lang w:val="en-GB"/>
        </w:rPr>
        <w:lastRenderedPageBreak/>
        <w:t>this procedure is successfully engaged, d</w:t>
      </w:r>
      <w:r w:rsidR="00D476B4">
        <w:rPr>
          <w:rFonts w:ascii="Arial" w:hAnsi="Arial" w:cs="Arial"/>
          <w:sz w:val="22"/>
          <w:szCs w:val="22"/>
          <w:lang w:val="en-GB"/>
        </w:rPr>
        <w:t>uring the moratorium</w:t>
      </w:r>
      <w:r w:rsidR="00ED73B9">
        <w:rPr>
          <w:rFonts w:ascii="Arial" w:hAnsi="Arial" w:cs="Arial"/>
          <w:sz w:val="22"/>
          <w:szCs w:val="22"/>
          <w:lang w:val="en-GB"/>
        </w:rPr>
        <w:t xml:space="preserve"> period</w:t>
      </w:r>
      <w:r w:rsidR="00D476B4">
        <w:rPr>
          <w:rFonts w:ascii="Arial" w:hAnsi="Arial" w:cs="Arial"/>
          <w:sz w:val="22"/>
          <w:szCs w:val="22"/>
          <w:lang w:val="en-GB"/>
        </w:rPr>
        <w:t xml:space="preserve">, directors will retain most of their management powers but  a licensed insolvency practitioner will represent creditors interests and </w:t>
      </w:r>
      <w:r w:rsidR="00ED73B9">
        <w:rPr>
          <w:rFonts w:ascii="Arial" w:hAnsi="Arial" w:cs="Arial"/>
          <w:sz w:val="22"/>
          <w:szCs w:val="22"/>
          <w:lang w:val="en-GB"/>
        </w:rPr>
        <w:t xml:space="preserve">will </w:t>
      </w:r>
      <w:r w:rsidR="00D476B4">
        <w:rPr>
          <w:rFonts w:ascii="Arial" w:hAnsi="Arial" w:cs="Arial"/>
          <w:sz w:val="22"/>
          <w:szCs w:val="22"/>
          <w:lang w:val="en-GB"/>
        </w:rPr>
        <w:t>monit</w:t>
      </w:r>
      <w:r w:rsidR="00ED73B9">
        <w:rPr>
          <w:rFonts w:ascii="Arial" w:hAnsi="Arial" w:cs="Arial"/>
          <w:sz w:val="22"/>
          <w:szCs w:val="22"/>
          <w:lang w:val="en-GB"/>
        </w:rPr>
        <w:t xml:space="preserve">or / supervise the actions of the directors in order to verify that a rescue of the company as a going concern appears likely, approve sales of assets outside the ordinary course and approve the grant of new security over assets. The appointed insolvency practitioner can also challenge the actions of directors. </w:t>
      </w:r>
      <w:r w:rsidR="00D476B4">
        <w:rPr>
          <w:rFonts w:ascii="Arial" w:hAnsi="Arial" w:cs="Arial"/>
          <w:sz w:val="22"/>
          <w:szCs w:val="22"/>
          <w:lang w:val="en-GB"/>
        </w:rPr>
        <w:t xml:space="preserve"> However, </w:t>
      </w:r>
      <w:r w:rsidR="00ED73B9">
        <w:rPr>
          <w:rFonts w:ascii="Arial" w:hAnsi="Arial" w:cs="Arial"/>
          <w:sz w:val="22"/>
          <w:szCs w:val="22"/>
          <w:lang w:val="en-GB"/>
        </w:rPr>
        <w:t xml:space="preserve">it is noted that </w:t>
      </w:r>
      <w:r w:rsidR="00D476B4">
        <w:rPr>
          <w:rFonts w:ascii="Arial" w:hAnsi="Arial" w:cs="Arial"/>
          <w:sz w:val="22"/>
          <w:szCs w:val="22"/>
          <w:lang w:val="en-GB"/>
        </w:rPr>
        <w:t>financial indebtedness such as that of insurers, banks, investment firms, parties to capital markets arrangements and other financial services related entities, is not capable of being availed by the new moratorium rules</w:t>
      </w:r>
      <w:r w:rsidR="00D476B4">
        <w:rPr>
          <w:rStyle w:val="FootnoteReference"/>
          <w:rFonts w:ascii="Arial" w:hAnsi="Arial" w:cs="Arial"/>
          <w:sz w:val="22"/>
          <w:szCs w:val="22"/>
          <w:lang w:val="en-GB"/>
        </w:rPr>
        <w:footnoteReference w:id="6"/>
      </w:r>
      <w:r w:rsidR="00D476B4">
        <w:rPr>
          <w:rFonts w:ascii="Arial" w:hAnsi="Arial" w:cs="Arial"/>
          <w:sz w:val="22"/>
          <w:szCs w:val="22"/>
          <w:lang w:val="en-GB"/>
        </w:rPr>
        <w:t xml:space="preserve">. </w:t>
      </w:r>
    </w:p>
    <w:p w14:paraId="3BF55026" w14:textId="4E97ED70" w:rsidR="00D476B4" w:rsidRDefault="00D476B4" w:rsidP="00D476B4">
      <w:pPr>
        <w:jc w:val="both"/>
        <w:rPr>
          <w:rFonts w:ascii="Arial" w:hAnsi="Arial" w:cs="Arial"/>
          <w:sz w:val="22"/>
          <w:szCs w:val="22"/>
          <w:lang w:val="en-GB"/>
        </w:rPr>
      </w:pPr>
    </w:p>
    <w:p w14:paraId="357CC2A5" w14:textId="294233B5" w:rsidR="00ED73B9" w:rsidRDefault="00ED73B9" w:rsidP="00D476B4">
      <w:pPr>
        <w:jc w:val="both"/>
        <w:rPr>
          <w:rFonts w:ascii="Arial" w:hAnsi="Arial" w:cs="Arial"/>
          <w:sz w:val="22"/>
          <w:szCs w:val="22"/>
          <w:lang w:val="en-GB"/>
        </w:rPr>
      </w:pPr>
      <w:r>
        <w:rPr>
          <w:rFonts w:ascii="Arial" w:hAnsi="Arial" w:cs="Arial"/>
          <w:sz w:val="22"/>
          <w:szCs w:val="22"/>
          <w:lang w:val="en-GB"/>
        </w:rPr>
        <w:t>The Act also introduces a new restructuring plan (in addition to CVAs and schemes of arrangement) that companies encountering financial difficulties can use to manage creditors as long as the purpose of the compromise or arrangement proposed addresses those financial difficulties. Akin to the scheme of arrangement process, creditors are required to vote in classes according to the same test but the plan also includes a "cross-class creditor cram down" (similar to the US Chapter 11 process) meaning that the court can force creditors (secured or unsecured) from any class to agree if satisfied that (i) none of the dissenting class would be any worse off than in the event of the 'relevant alternative'; (ii) the compromise or arrangement has been approved by 75% in value of a class of creditors / members, who would receive payment or have a genuine economic interest, in the event of the 'relevant alternative'; and (iii) it is just and equitable to do so</w:t>
      </w:r>
      <w:r w:rsidR="009F0501">
        <w:rPr>
          <w:rStyle w:val="FootnoteReference"/>
          <w:rFonts w:ascii="Arial" w:hAnsi="Arial" w:cs="Arial"/>
          <w:sz w:val="22"/>
          <w:szCs w:val="22"/>
          <w:lang w:val="en-GB"/>
        </w:rPr>
        <w:footnoteReference w:id="7"/>
      </w:r>
      <w:r>
        <w:rPr>
          <w:rFonts w:ascii="Arial" w:hAnsi="Arial" w:cs="Arial"/>
          <w:sz w:val="22"/>
          <w:szCs w:val="22"/>
          <w:lang w:val="en-GB"/>
        </w:rPr>
        <w:t xml:space="preserve">. </w:t>
      </w:r>
    </w:p>
    <w:p w14:paraId="48AFA609" w14:textId="038CC0F5" w:rsidR="009F0501" w:rsidRDefault="009F0501" w:rsidP="00D476B4">
      <w:pPr>
        <w:jc w:val="both"/>
        <w:rPr>
          <w:rFonts w:ascii="Arial" w:hAnsi="Arial" w:cs="Arial"/>
          <w:sz w:val="22"/>
          <w:szCs w:val="22"/>
          <w:lang w:val="en-GB"/>
        </w:rPr>
      </w:pPr>
    </w:p>
    <w:p w14:paraId="49D33B7D" w14:textId="73D8027C" w:rsidR="009F0501" w:rsidRDefault="009F0501" w:rsidP="00D476B4">
      <w:pPr>
        <w:jc w:val="both"/>
        <w:rPr>
          <w:rFonts w:ascii="Arial" w:hAnsi="Arial" w:cs="Arial"/>
          <w:sz w:val="22"/>
          <w:szCs w:val="22"/>
          <w:lang w:val="en-GB"/>
        </w:rPr>
      </w:pPr>
      <w:r>
        <w:rPr>
          <w:rFonts w:ascii="Arial" w:hAnsi="Arial" w:cs="Arial"/>
          <w:sz w:val="22"/>
          <w:szCs w:val="22"/>
          <w:lang w:val="en-GB"/>
        </w:rPr>
        <w:t xml:space="preserve">A third insolvency related measure introduced by the Act was a temporary ban on filing winding-up petitions and statutory demands forming the basis for a winding up petition from 1 March to 30 June 2020 (later extended to 31 March 2021) where the pandemic has had a "financial effect" on the debtor. However, a creditor can still file a petition or statutory demand if they have reasonable grounds to </w:t>
      </w:r>
      <w:r w:rsidR="00694765">
        <w:rPr>
          <w:rFonts w:ascii="Arial" w:hAnsi="Arial" w:cs="Arial"/>
          <w:sz w:val="22"/>
          <w:szCs w:val="22"/>
          <w:lang w:val="en-GB"/>
        </w:rPr>
        <w:t>believe</w:t>
      </w:r>
      <w:r>
        <w:rPr>
          <w:rFonts w:ascii="Arial" w:hAnsi="Arial" w:cs="Arial"/>
          <w:sz w:val="22"/>
          <w:szCs w:val="22"/>
          <w:lang w:val="en-GB"/>
        </w:rPr>
        <w:t xml:space="preserve"> that (i) the pandemic has not had a financial effect on the debtor, or (ii) the debtor would have been unable to pay its debts even without this financial effect</w:t>
      </w:r>
      <w:r>
        <w:rPr>
          <w:rStyle w:val="FootnoteReference"/>
          <w:rFonts w:ascii="Arial" w:hAnsi="Arial" w:cs="Arial"/>
          <w:sz w:val="22"/>
          <w:szCs w:val="22"/>
          <w:lang w:val="en-GB"/>
        </w:rPr>
        <w:footnoteReference w:id="8"/>
      </w:r>
      <w:r>
        <w:rPr>
          <w:rFonts w:ascii="Arial" w:hAnsi="Arial" w:cs="Arial"/>
          <w:sz w:val="22"/>
          <w:szCs w:val="22"/>
          <w:lang w:val="en-GB"/>
        </w:rPr>
        <w:t xml:space="preserve">. </w:t>
      </w:r>
    </w:p>
    <w:p w14:paraId="67960BF1" w14:textId="1D7FE3C1" w:rsidR="009F0501" w:rsidRDefault="009F0501" w:rsidP="00D476B4">
      <w:pPr>
        <w:jc w:val="both"/>
        <w:rPr>
          <w:rFonts w:ascii="Arial" w:hAnsi="Arial" w:cs="Arial"/>
          <w:sz w:val="22"/>
          <w:szCs w:val="22"/>
          <w:lang w:val="en-GB"/>
        </w:rPr>
      </w:pPr>
    </w:p>
    <w:p w14:paraId="4E5121C1" w14:textId="3470B645" w:rsidR="009F0501" w:rsidRDefault="009F0501" w:rsidP="00D476B4">
      <w:pPr>
        <w:jc w:val="both"/>
        <w:rPr>
          <w:rFonts w:ascii="Arial" w:hAnsi="Arial" w:cs="Arial"/>
          <w:sz w:val="22"/>
          <w:szCs w:val="22"/>
          <w:lang w:val="en-GB"/>
        </w:rPr>
      </w:pPr>
      <w:r>
        <w:rPr>
          <w:rFonts w:ascii="Arial" w:hAnsi="Arial" w:cs="Arial"/>
          <w:sz w:val="22"/>
          <w:szCs w:val="22"/>
          <w:lang w:val="en-GB"/>
        </w:rPr>
        <w:t>These measures enable businesses to attempt to reach a fair agreement with creditors</w:t>
      </w:r>
      <w:r w:rsidR="005A5862">
        <w:rPr>
          <w:rFonts w:ascii="Arial" w:hAnsi="Arial" w:cs="Arial"/>
          <w:sz w:val="22"/>
          <w:szCs w:val="22"/>
          <w:lang w:val="en-GB"/>
        </w:rPr>
        <w:t xml:space="preserve"> in the wake of</w:t>
      </w:r>
      <w:r>
        <w:rPr>
          <w:rFonts w:ascii="Arial" w:hAnsi="Arial" w:cs="Arial"/>
          <w:sz w:val="22"/>
          <w:szCs w:val="22"/>
          <w:lang w:val="en-GB"/>
        </w:rPr>
        <w:t xml:space="preserve"> negative economic impact caused by the pandemic.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0451699" w14:textId="29020FCC" w:rsidR="005A5862" w:rsidRDefault="00732DDC" w:rsidP="005A5862">
      <w:pPr>
        <w:jc w:val="both"/>
        <w:rPr>
          <w:rFonts w:ascii="Arial" w:hAnsi="Arial" w:cs="Arial"/>
          <w:sz w:val="22"/>
          <w:szCs w:val="22"/>
          <w:lang w:val="en-GB"/>
        </w:rPr>
      </w:pPr>
      <w:r>
        <w:rPr>
          <w:rFonts w:ascii="Arial" w:hAnsi="Arial" w:cs="Arial"/>
          <w:sz w:val="22"/>
          <w:szCs w:val="22"/>
          <w:lang w:val="en-GB"/>
        </w:rPr>
        <w:t>Treaties</w:t>
      </w:r>
      <w:r w:rsidR="005A5862">
        <w:rPr>
          <w:rFonts w:ascii="Arial" w:hAnsi="Arial" w:cs="Arial"/>
          <w:sz w:val="22"/>
          <w:szCs w:val="22"/>
          <w:lang w:val="en-GB"/>
        </w:rPr>
        <w:t xml:space="preserve"> are international </w:t>
      </w:r>
      <w:r w:rsidR="00694765">
        <w:rPr>
          <w:rFonts w:ascii="Arial" w:hAnsi="Arial" w:cs="Arial"/>
          <w:sz w:val="22"/>
          <w:szCs w:val="22"/>
          <w:lang w:val="en-GB"/>
        </w:rPr>
        <w:t xml:space="preserve">instruments </w:t>
      </w:r>
      <w:r w:rsidR="005A5862">
        <w:rPr>
          <w:rFonts w:ascii="Arial" w:hAnsi="Arial" w:cs="Arial"/>
          <w:sz w:val="22"/>
          <w:szCs w:val="22"/>
          <w:lang w:val="en-GB"/>
        </w:rPr>
        <w:t xml:space="preserve">which are binding on those States that have ratified or become signatories to, such </w:t>
      </w:r>
      <w:r w:rsidR="00694765">
        <w:rPr>
          <w:rFonts w:ascii="Arial" w:hAnsi="Arial" w:cs="Arial"/>
          <w:sz w:val="22"/>
          <w:szCs w:val="22"/>
          <w:lang w:val="en-GB"/>
        </w:rPr>
        <w:t>instruments</w:t>
      </w:r>
      <w:r w:rsidR="005A5862">
        <w:rPr>
          <w:rFonts w:ascii="Arial" w:hAnsi="Arial" w:cs="Arial"/>
          <w:sz w:val="22"/>
          <w:szCs w:val="22"/>
          <w:lang w:val="en-GB"/>
        </w:rPr>
        <w:t>.</w:t>
      </w:r>
      <w:r w:rsidR="00694765">
        <w:rPr>
          <w:rFonts w:ascii="Arial" w:hAnsi="Arial" w:cs="Arial"/>
          <w:sz w:val="22"/>
          <w:szCs w:val="22"/>
          <w:lang w:val="en-GB"/>
        </w:rPr>
        <w:t xml:space="preserve"> "S</w:t>
      </w:r>
      <w:r w:rsidR="005A5862">
        <w:rPr>
          <w:rFonts w:ascii="Arial" w:hAnsi="Arial" w:cs="Arial"/>
          <w:sz w:val="22"/>
          <w:szCs w:val="22"/>
          <w:lang w:val="en-GB"/>
        </w:rPr>
        <w:t>oft laws</w:t>
      </w:r>
      <w:r w:rsidR="00694765">
        <w:rPr>
          <w:rFonts w:ascii="Arial" w:hAnsi="Arial" w:cs="Arial"/>
          <w:sz w:val="22"/>
          <w:szCs w:val="22"/>
          <w:lang w:val="en-GB"/>
        </w:rPr>
        <w:t>"</w:t>
      </w:r>
      <w:r w:rsidR="005A5862">
        <w:rPr>
          <w:rFonts w:ascii="Arial" w:hAnsi="Arial" w:cs="Arial"/>
          <w:sz w:val="22"/>
          <w:szCs w:val="22"/>
          <w:lang w:val="en-GB"/>
        </w:rPr>
        <w:t xml:space="preserve"> are</w:t>
      </w:r>
      <w:r w:rsidR="00A111AE">
        <w:rPr>
          <w:rFonts w:ascii="Arial" w:hAnsi="Arial" w:cs="Arial"/>
          <w:sz w:val="22"/>
          <w:szCs w:val="22"/>
          <w:lang w:val="en-GB"/>
        </w:rPr>
        <w:t xml:space="preserve"> not binding</w:t>
      </w:r>
      <w:r w:rsidR="005A5862">
        <w:rPr>
          <w:rFonts w:ascii="Arial" w:hAnsi="Arial" w:cs="Arial"/>
          <w:sz w:val="22"/>
          <w:szCs w:val="22"/>
          <w:lang w:val="en-GB"/>
        </w:rPr>
        <w:t xml:space="preserve"> </w:t>
      </w:r>
      <w:r w:rsidR="00694765">
        <w:rPr>
          <w:rFonts w:ascii="Arial" w:hAnsi="Arial" w:cs="Arial"/>
          <w:sz w:val="22"/>
          <w:szCs w:val="22"/>
          <w:lang w:val="en-GB"/>
        </w:rPr>
        <w:t xml:space="preserve">in the </w:t>
      </w:r>
      <w:r w:rsidR="00F5348E">
        <w:rPr>
          <w:rFonts w:ascii="Arial" w:hAnsi="Arial" w:cs="Arial"/>
          <w:sz w:val="22"/>
          <w:szCs w:val="22"/>
          <w:lang w:val="en-GB"/>
        </w:rPr>
        <w:t xml:space="preserve">traditional </w:t>
      </w:r>
      <w:r w:rsidR="00694765">
        <w:rPr>
          <w:rFonts w:ascii="Arial" w:hAnsi="Arial" w:cs="Arial"/>
          <w:sz w:val="22"/>
          <w:szCs w:val="22"/>
          <w:lang w:val="en-GB"/>
        </w:rPr>
        <w:t xml:space="preserve">sense </w:t>
      </w:r>
      <w:r w:rsidR="005A5862">
        <w:rPr>
          <w:rFonts w:ascii="Arial" w:hAnsi="Arial" w:cs="Arial"/>
          <w:sz w:val="22"/>
          <w:szCs w:val="22"/>
          <w:lang w:val="en-GB"/>
        </w:rPr>
        <w:t>on States but serve to influence</w:t>
      </w:r>
      <w:r w:rsidR="00694765">
        <w:rPr>
          <w:rFonts w:ascii="Arial" w:hAnsi="Arial" w:cs="Arial"/>
          <w:sz w:val="22"/>
          <w:szCs w:val="22"/>
          <w:lang w:val="en-GB"/>
        </w:rPr>
        <w:t xml:space="preserve"> and regulate the approach to </w:t>
      </w:r>
      <w:r w:rsidR="005A5862">
        <w:rPr>
          <w:rFonts w:ascii="Arial" w:hAnsi="Arial" w:cs="Arial"/>
          <w:sz w:val="22"/>
          <w:szCs w:val="22"/>
          <w:lang w:val="en-GB"/>
        </w:rPr>
        <w:t xml:space="preserve">cross-border insolvencies by providing </w:t>
      </w:r>
      <w:r w:rsidR="00A111AE">
        <w:rPr>
          <w:rFonts w:ascii="Arial" w:hAnsi="Arial" w:cs="Arial"/>
          <w:sz w:val="22"/>
          <w:szCs w:val="22"/>
          <w:lang w:val="en-GB"/>
        </w:rPr>
        <w:t xml:space="preserve">best practice guidance for the cooperation </w:t>
      </w:r>
      <w:r w:rsidR="00855355">
        <w:rPr>
          <w:rFonts w:ascii="Arial" w:hAnsi="Arial" w:cs="Arial"/>
          <w:sz w:val="22"/>
          <w:szCs w:val="22"/>
          <w:lang w:val="en-GB"/>
        </w:rPr>
        <w:t xml:space="preserve">between States </w:t>
      </w:r>
      <w:r w:rsidR="00A111AE">
        <w:rPr>
          <w:rFonts w:ascii="Arial" w:hAnsi="Arial" w:cs="Arial"/>
          <w:sz w:val="22"/>
          <w:szCs w:val="22"/>
          <w:lang w:val="en-GB"/>
        </w:rPr>
        <w:t>and coordinat</w:t>
      </w:r>
      <w:r w:rsidR="005A5862">
        <w:rPr>
          <w:rFonts w:ascii="Arial" w:hAnsi="Arial" w:cs="Arial"/>
          <w:sz w:val="22"/>
          <w:szCs w:val="22"/>
          <w:lang w:val="en-GB"/>
        </w:rPr>
        <w:t>ion of insolvency proceedings</w:t>
      </w:r>
      <w:r w:rsidR="00855355">
        <w:rPr>
          <w:rFonts w:ascii="Arial" w:hAnsi="Arial" w:cs="Arial"/>
          <w:sz w:val="22"/>
          <w:szCs w:val="22"/>
          <w:lang w:val="en-GB"/>
        </w:rPr>
        <w:t xml:space="preserve"> which involve </w:t>
      </w:r>
      <w:r w:rsidR="005A5862">
        <w:rPr>
          <w:rFonts w:ascii="Arial" w:hAnsi="Arial" w:cs="Arial"/>
          <w:sz w:val="22"/>
          <w:szCs w:val="22"/>
          <w:lang w:val="en-GB"/>
        </w:rPr>
        <w:t>cross-border dimensions</w:t>
      </w:r>
      <w:r w:rsidR="005A5862">
        <w:rPr>
          <w:rStyle w:val="FootnoteReference"/>
          <w:rFonts w:ascii="Arial" w:hAnsi="Arial" w:cs="Arial"/>
          <w:sz w:val="22"/>
          <w:szCs w:val="22"/>
          <w:lang w:val="en-GB"/>
        </w:rPr>
        <w:footnoteReference w:id="9"/>
      </w:r>
      <w:r w:rsidR="00A111AE">
        <w:rPr>
          <w:rFonts w:ascii="Arial" w:hAnsi="Arial" w:cs="Arial"/>
          <w:sz w:val="22"/>
          <w:szCs w:val="22"/>
          <w:lang w:val="en-GB"/>
        </w:rPr>
        <w:t xml:space="preserve">. </w:t>
      </w:r>
    </w:p>
    <w:p w14:paraId="44CED625" w14:textId="0B22C417" w:rsidR="00855355" w:rsidRDefault="00855355" w:rsidP="005A5862">
      <w:pPr>
        <w:jc w:val="both"/>
        <w:rPr>
          <w:rFonts w:ascii="Arial" w:hAnsi="Arial" w:cs="Arial"/>
          <w:sz w:val="22"/>
          <w:szCs w:val="22"/>
          <w:lang w:val="en-GB"/>
        </w:rPr>
      </w:pPr>
    </w:p>
    <w:p w14:paraId="1BC460B9" w14:textId="56816721" w:rsidR="00855355" w:rsidRDefault="00855355" w:rsidP="005A5862">
      <w:pPr>
        <w:jc w:val="both"/>
        <w:rPr>
          <w:rFonts w:ascii="Arial" w:hAnsi="Arial" w:cs="Arial"/>
          <w:sz w:val="22"/>
          <w:szCs w:val="22"/>
          <w:lang w:val="en-GB"/>
        </w:rPr>
      </w:pPr>
      <w:r>
        <w:rPr>
          <w:rFonts w:ascii="Arial" w:hAnsi="Arial" w:cs="Arial"/>
          <w:sz w:val="22"/>
          <w:szCs w:val="22"/>
          <w:lang w:val="en-GB"/>
        </w:rPr>
        <w:t>International treaties</w:t>
      </w:r>
      <w:r w:rsidR="00CA60AC">
        <w:rPr>
          <w:rFonts w:ascii="Arial" w:hAnsi="Arial" w:cs="Arial"/>
          <w:sz w:val="22"/>
          <w:szCs w:val="22"/>
          <w:lang w:val="en-GB"/>
        </w:rPr>
        <w:t xml:space="preserve"> also known as public international laws</w:t>
      </w:r>
      <w:r>
        <w:rPr>
          <w:rFonts w:ascii="Arial" w:hAnsi="Arial" w:cs="Arial"/>
          <w:sz w:val="22"/>
          <w:szCs w:val="22"/>
          <w:lang w:val="en-GB"/>
        </w:rPr>
        <w:t>, such as the European I</w:t>
      </w:r>
      <w:r w:rsidR="008A792E">
        <w:rPr>
          <w:rFonts w:ascii="Arial" w:hAnsi="Arial" w:cs="Arial"/>
          <w:sz w:val="22"/>
          <w:szCs w:val="22"/>
          <w:lang w:val="en-GB"/>
        </w:rPr>
        <w:t xml:space="preserve">nsolvency Regulation </w:t>
      </w:r>
      <w:r w:rsidR="00F5348E">
        <w:rPr>
          <w:rFonts w:ascii="Arial" w:hAnsi="Arial" w:cs="Arial"/>
          <w:sz w:val="22"/>
          <w:szCs w:val="22"/>
          <w:lang w:val="en-GB"/>
        </w:rPr>
        <w:t xml:space="preserve">Recast (2015) </w:t>
      </w:r>
      <w:r w:rsidR="00F5348E" w:rsidRPr="00F5348E">
        <w:rPr>
          <w:rFonts w:ascii="Arial" w:hAnsi="Arial" w:cs="Arial"/>
          <w:sz w:val="22"/>
          <w:szCs w:val="22"/>
          <w:lang w:val="en-GB"/>
        </w:rPr>
        <w:t>("</w:t>
      </w:r>
      <w:r w:rsidR="00F5348E" w:rsidRPr="00F5348E">
        <w:rPr>
          <w:rFonts w:ascii="Arial" w:hAnsi="Arial" w:cs="Arial"/>
          <w:b/>
          <w:sz w:val="22"/>
          <w:szCs w:val="22"/>
          <w:lang w:val="en-GB"/>
        </w:rPr>
        <w:t>EIR Recast</w:t>
      </w:r>
      <w:r w:rsidR="00F5348E" w:rsidRPr="00F5348E">
        <w:rPr>
          <w:rFonts w:ascii="Arial" w:hAnsi="Arial" w:cs="Arial"/>
          <w:sz w:val="22"/>
          <w:szCs w:val="22"/>
          <w:lang w:val="en-GB"/>
        </w:rPr>
        <w:t>"</w:t>
      </w:r>
      <w:r w:rsidR="00F5348E">
        <w:rPr>
          <w:rFonts w:ascii="Arial" w:hAnsi="Arial" w:cs="Arial"/>
          <w:sz w:val="22"/>
          <w:szCs w:val="22"/>
          <w:lang w:val="en-GB"/>
        </w:rPr>
        <w:t xml:space="preserve">) </w:t>
      </w:r>
      <w:r w:rsidR="00CA60AC">
        <w:rPr>
          <w:rFonts w:ascii="Arial" w:hAnsi="Arial" w:cs="Arial"/>
          <w:sz w:val="22"/>
          <w:szCs w:val="22"/>
          <w:lang w:val="en-GB"/>
        </w:rPr>
        <w:t xml:space="preserve">are </w:t>
      </w:r>
      <w:r>
        <w:rPr>
          <w:rFonts w:ascii="Arial" w:hAnsi="Arial" w:cs="Arial"/>
          <w:sz w:val="22"/>
          <w:szCs w:val="22"/>
          <w:lang w:val="en-GB"/>
        </w:rPr>
        <w:t xml:space="preserve">binding on the States that have ratified or acceded </w:t>
      </w:r>
      <w:r w:rsidR="00CA60AC">
        <w:rPr>
          <w:rFonts w:ascii="Arial" w:hAnsi="Arial" w:cs="Arial"/>
          <w:sz w:val="22"/>
          <w:szCs w:val="22"/>
          <w:lang w:val="en-GB"/>
        </w:rPr>
        <w:t xml:space="preserve">to it, by its </w:t>
      </w:r>
      <w:r w:rsidR="00175EAC">
        <w:rPr>
          <w:rFonts w:ascii="Arial" w:hAnsi="Arial" w:cs="Arial"/>
          <w:sz w:val="22"/>
          <w:szCs w:val="22"/>
          <w:lang w:val="en-GB"/>
        </w:rPr>
        <w:t>importation</w:t>
      </w:r>
      <w:r>
        <w:rPr>
          <w:rFonts w:ascii="Arial" w:hAnsi="Arial" w:cs="Arial"/>
          <w:sz w:val="22"/>
          <w:szCs w:val="22"/>
          <w:lang w:val="en-GB"/>
        </w:rPr>
        <w:t xml:space="preserve"> into </w:t>
      </w:r>
      <w:r w:rsidR="00CA60AC">
        <w:rPr>
          <w:rFonts w:ascii="Arial" w:hAnsi="Arial" w:cs="Arial"/>
          <w:sz w:val="22"/>
          <w:szCs w:val="22"/>
          <w:lang w:val="en-GB"/>
        </w:rPr>
        <w:t>the signatory M</w:t>
      </w:r>
      <w:r>
        <w:rPr>
          <w:rFonts w:ascii="Arial" w:hAnsi="Arial" w:cs="Arial"/>
          <w:sz w:val="22"/>
          <w:szCs w:val="22"/>
          <w:lang w:val="en-GB"/>
        </w:rPr>
        <w:t xml:space="preserve">ember States' domestic laws. </w:t>
      </w:r>
      <w:r w:rsidR="00CA60AC">
        <w:rPr>
          <w:rFonts w:ascii="Arial" w:hAnsi="Arial" w:cs="Arial"/>
          <w:sz w:val="22"/>
          <w:szCs w:val="22"/>
          <w:lang w:val="en-GB"/>
        </w:rPr>
        <w:t xml:space="preserve">Since 2000, </w:t>
      </w:r>
      <w:r w:rsidR="00CA60AC">
        <w:rPr>
          <w:rFonts w:ascii="Arial" w:hAnsi="Arial" w:cs="Arial"/>
          <w:sz w:val="22"/>
          <w:szCs w:val="22"/>
          <w:lang w:val="en-GB"/>
        </w:rPr>
        <w:lastRenderedPageBreak/>
        <w:t>b</w:t>
      </w:r>
      <w:r>
        <w:rPr>
          <w:rFonts w:ascii="Arial" w:hAnsi="Arial" w:cs="Arial"/>
          <w:sz w:val="22"/>
          <w:szCs w:val="22"/>
          <w:lang w:val="en-GB"/>
        </w:rPr>
        <w:t>roader multilateral developments</w:t>
      </w:r>
      <w:r w:rsidR="00CA60AC">
        <w:rPr>
          <w:rFonts w:ascii="Arial" w:hAnsi="Arial" w:cs="Arial"/>
          <w:sz w:val="22"/>
          <w:szCs w:val="22"/>
          <w:lang w:val="en-GB"/>
        </w:rPr>
        <w:t xml:space="preserve"> in international insolvency law</w:t>
      </w:r>
      <w:r>
        <w:rPr>
          <w:rFonts w:ascii="Arial" w:hAnsi="Arial" w:cs="Arial"/>
          <w:sz w:val="22"/>
          <w:szCs w:val="22"/>
          <w:lang w:val="en-GB"/>
        </w:rPr>
        <w:t xml:space="preserve"> have been influenced by the EIR Recast</w:t>
      </w:r>
      <w:r>
        <w:rPr>
          <w:rStyle w:val="FootnoteReference"/>
          <w:rFonts w:ascii="Arial" w:hAnsi="Arial" w:cs="Arial"/>
          <w:sz w:val="22"/>
          <w:szCs w:val="22"/>
          <w:lang w:val="en-GB"/>
        </w:rPr>
        <w:footnoteReference w:id="10"/>
      </w:r>
      <w:r>
        <w:rPr>
          <w:rFonts w:ascii="Arial" w:hAnsi="Arial" w:cs="Arial"/>
          <w:sz w:val="22"/>
          <w:szCs w:val="22"/>
          <w:lang w:val="en-GB"/>
        </w:rPr>
        <w:t xml:space="preserve"> . </w:t>
      </w:r>
      <w:r w:rsidR="00CA60AC">
        <w:rPr>
          <w:rFonts w:ascii="Arial" w:hAnsi="Arial" w:cs="Arial"/>
          <w:sz w:val="22"/>
          <w:szCs w:val="22"/>
          <w:lang w:val="en-GB"/>
        </w:rPr>
        <w:t xml:space="preserve">These </w:t>
      </w:r>
      <w:r w:rsidR="00F5348E">
        <w:rPr>
          <w:rFonts w:ascii="Arial" w:hAnsi="Arial" w:cs="Arial"/>
          <w:sz w:val="22"/>
          <w:szCs w:val="22"/>
          <w:lang w:val="en-GB"/>
        </w:rPr>
        <w:t xml:space="preserve">instruments regularise the approach of the courts in each State when dealing with a cross-border insolvency. </w:t>
      </w:r>
      <w:r w:rsidR="00CA60AC">
        <w:rPr>
          <w:rFonts w:ascii="Arial" w:hAnsi="Arial" w:cs="Arial"/>
          <w:sz w:val="22"/>
          <w:szCs w:val="22"/>
          <w:lang w:val="en-GB"/>
        </w:rPr>
        <w:t xml:space="preserve"> </w:t>
      </w:r>
    </w:p>
    <w:p w14:paraId="07BF3897" w14:textId="77777777" w:rsidR="00F5348E" w:rsidRDefault="00F5348E" w:rsidP="005A5862">
      <w:pPr>
        <w:jc w:val="both"/>
        <w:rPr>
          <w:rFonts w:ascii="Arial" w:hAnsi="Arial" w:cs="Arial"/>
          <w:sz w:val="22"/>
          <w:szCs w:val="22"/>
          <w:lang w:val="en-GB"/>
        </w:rPr>
      </w:pPr>
    </w:p>
    <w:p w14:paraId="572227E7" w14:textId="1FC84605" w:rsidR="0045683E" w:rsidRPr="00205B31" w:rsidRDefault="00274D79" w:rsidP="00B7193E">
      <w:pPr>
        <w:jc w:val="both"/>
        <w:rPr>
          <w:rFonts w:ascii="Arial" w:hAnsi="Arial" w:cs="Arial"/>
          <w:b/>
          <w:sz w:val="22"/>
          <w:szCs w:val="22"/>
          <w:lang w:val="en-GB"/>
        </w:rPr>
      </w:pPr>
      <w:r>
        <w:rPr>
          <w:rFonts w:ascii="Arial" w:hAnsi="Arial" w:cs="Arial"/>
          <w:sz w:val="22"/>
          <w:szCs w:val="22"/>
          <w:lang w:val="en-GB"/>
        </w:rPr>
        <w:t>An example</w:t>
      </w:r>
      <w:r w:rsidR="00CA60AC">
        <w:rPr>
          <w:rFonts w:ascii="Arial" w:hAnsi="Arial" w:cs="Arial"/>
          <w:sz w:val="22"/>
          <w:szCs w:val="22"/>
          <w:lang w:val="en-GB"/>
        </w:rPr>
        <w:t xml:space="preserve"> of a "</w:t>
      </w:r>
      <w:r w:rsidR="00A111AE">
        <w:rPr>
          <w:rFonts w:ascii="Arial" w:hAnsi="Arial" w:cs="Arial"/>
          <w:sz w:val="22"/>
          <w:szCs w:val="22"/>
          <w:lang w:val="en-GB"/>
        </w:rPr>
        <w:t>soft law</w:t>
      </w:r>
      <w:r>
        <w:rPr>
          <w:rFonts w:ascii="Arial" w:hAnsi="Arial" w:cs="Arial"/>
          <w:sz w:val="22"/>
          <w:szCs w:val="22"/>
          <w:lang w:val="en-GB"/>
        </w:rPr>
        <w:t>" which has</w:t>
      </w:r>
      <w:r w:rsidR="00CA60AC">
        <w:rPr>
          <w:rFonts w:ascii="Arial" w:hAnsi="Arial" w:cs="Arial"/>
          <w:sz w:val="22"/>
          <w:szCs w:val="22"/>
          <w:lang w:val="en-GB"/>
        </w:rPr>
        <w:t xml:space="preserve"> been used to establish cross-border insolvency rules</w:t>
      </w:r>
      <w:r w:rsidR="00A111AE">
        <w:rPr>
          <w:rFonts w:ascii="Arial" w:hAnsi="Arial" w:cs="Arial"/>
          <w:sz w:val="22"/>
          <w:szCs w:val="22"/>
          <w:lang w:val="en-GB"/>
        </w:rPr>
        <w:t xml:space="preserve"> include </w:t>
      </w:r>
      <w:r w:rsidR="00CA60AC">
        <w:rPr>
          <w:rFonts w:ascii="Arial" w:hAnsi="Arial" w:cs="Arial"/>
          <w:sz w:val="22"/>
          <w:szCs w:val="22"/>
          <w:lang w:val="en-GB"/>
        </w:rPr>
        <w:t xml:space="preserve">the </w:t>
      </w:r>
      <w:r w:rsidR="00A111AE">
        <w:rPr>
          <w:rFonts w:ascii="Arial" w:hAnsi="Arial" w:cs="Arial"/>
          <w:sz w:val="22"/>
          <w:szCs w:val="22"/>
          <w:lang w:val="en-GB"/>
        </w:rPr>
        <w:t xml:space="preserve">UNCITRAL </w:t>
      </w:r>
      <w:r w:rsidR="00CA60AC">
        <w:rPr>
          <w:rFonts w:ascii="Arial" w:hAnsi="Arial" w:cs="Arial"/>
          <w:sz w:val="22"/>
          <w:szCs w:val="22"/>
          <w:lang w:val="en-GB"/>
        </w:rPr>
        <w:t>Model Law on Cross-border Insolvency ("</w:t>
      </w:r>
      <w:r w:rsidR="00CA60AC" w:rsidRPr="00CA60AC">
        <w:rPr>
          <w:rFonts w:ascii="Arial" w:hAnsi="Arial" w:cs="Arial"/>
          <w:b/>
          <w:sz w:val="22"/>
          <w:szCs w:val="22"/>
          <w:lang w:val="en-GB"/>
        </w:rPr>
        <w:t>MLCBI</w:t>
      </w:r>
      <w:r w:rsidR="00CA60AC">
        <w:rPr>
          <w:rFonts w:ascii="Arial" w:hAnsi="Arial" w:cs="Arial"/>
          <w:sz w:val="22"/>
          <w:szCs w:val="22"/>
          <w:lang w:val="en-GB"/>
        </w:rPr>
        <w:t xml:space="preserve">") </w:t>
      </w:r>
      <w:r>
        <w:rPr>
          <w:rFonts w:ascii="Arial" w:hAnsi="Arial" w:cs="Arial"/>
          <w:sz w:val="22"/>
          <w:szCs w:val="22"/>
          <w:lang w:val="en-GB"/>
        </w:rPr>
        <w:t>initiated by the United Nations Commission on International Trade Law ("</w:t>
      </w:r>
      <w:r w:rsidRPr="00F5348E">
        <w:rPr>
          <w:rFonts w:ascii="Arial" w:hAnsi="Arial" w:cs="Arial"/>
          <w:b/>
          <w:sz w:val="22"/>
          <w:szCs w:val="22"/>
          <w:lang w:val="en-GB"/>
        </w:rPr>
        <w:t>UNCITRAL</w:t>
      </w:r>
      <w:r>
        <w:rPr>
          <w:rFonts w:ascii="Arial" w:hAnsi="Arial" w:cs="Arial"/>
          <w:sz w:val="22"/>
          <w:szCs w:val="22"/>
          <w:lang w:val="en-GB"/>
        </w:rPr>
        <w:t xml:space="preserve">") </w:t>
      </w:r>
      <w:r w:rsidR="009028E0">
        <w:rPr>
          <w:rFonts w:ascii="Arial" w:hAnsi="Arial" w:cs="Arial"/>
          <w:sz w:val="22"/>
          <w:szCs w:val="22"/>
          <w:lang w:val="en-GB"/>
        </w:rPr>
        <w:t xml:space="preserve"> </w:t>
      </w:r>
      <w:r>
        <w:rPr>
          <w:rFonts w:ascii="Arial" w:hAnsi="Arial" w:cs="Arial"/>
          <w:sz w:val="22"/>
          <w:szCs w:val="22"/>
          <w:lang w:val="en-GB"/>
        </w:rPr>
        <w:t>The work of UNICITRAL is said by Mevorach to be the most successful "soft law" approach and the MLCBI together with the UNCITRAL Legislative Guide on Insolvency Law (2004)</w:t>
      </w:r>
      <w:r w:rsidR="009028E0">
        <w:rPr>
          <w:rFonts w:ascii="Arial" w:hAnsi="Arial" w:cs="Arial"/>
          <w:sz w:val="22"/>
          <w:szCs w:val="22"/>
          <w:lang w:val="en-GB"/>
        </w:rPr>
        <w:t xml:space="preserve"> recommended to be adopted</w:t>
      </w:r>
      <w:r>
        <w:rPr>
          <w:rFonts w:ascii="Arial" w:hAnsi="Arial" w:cs="Arial"/>
          <w:sz w:val="22"/>
          <w:szCs w:val="22"/>
          <w:lang w:val="en-GB"/>
        </w:rPr>
        <w:t xml:space="preserve"> and followed</w:t>
      </w:r>
      <w:r w:rsidR="009028E0">
        <w:rPr>
          <w:rFonts w:ascii="Arial" w:hAnsi="Arial" w:cs="Arial"/>
          <w:sz w:val="22"/>
          <w:szCs w:val="22"/>
          <w:lang w:val="en-GB"/>
        </w:rPr>
        <w:t xml:space="preserve"> by States with or without modification</w:t>
      </w:r>
      <w:r>
        <w:rPr>
          <w:rFonts w:ascii="Arial" w:hAnsi="Arial" w:cs="Arial"/>
          <w:sz w:val="22"/>
          <w:szCs w:val="22"/>
          <w:lang w:val="en-GB"/>
        </w:rPr>
        <w:t xml:space="preserve">. </w:t>
      </w:r>
      <w:r w:rsidR="009028E0">
        <w:rPr>
          <w:rFonts w:ascii="Arial" w:hAnsi="Arial" w:cs="Arial"/>
          <w:sz w:val="22"/>
          <w:szCs w:val="22"/>
          <w:lang w:val="en-GB"/>
        </w:rPr>
        <w:t xml:space="preserve"> </w:t>
      </w:r>
      <w:r>
        <w:rPr>
          <w:rFonts w:ascii="Arial" w:hAnsi="Arial" w:cs="Arial"/>
          <w:sz w:val="22"/>
          <w:szCs w:val="22"/>
          <w:lang w:val="en-GB"/>
        </w:rPr>
        <w:t xml:space="preserve">This is reflected by the growing number of States which have adopted these </w:t>
      </w:r>
      <w:r w:rsidR="009028E0">
        <w:rPr>
          <w:rFonts w:ascii="Arial" w:hAnsi="Arial" w:cs="Arial"/>
          <w:sz w:val="22"/>
          <w:szCs w:val="22"/>
          <w:lang w:val="en-GB"/>
        </w:rPr>
        <w:t>soft laws in order to address international insolvency issues</w:t>
      </w:r>
      <w:r>
        <w:rPr>
          <w:rFonts w:ascii="Arial" w:hAnsi="Arial" w:cs="Arial"/>
          <w:sz w:val="22"/>
          <w:szCs w:val="22"/>
          <w:lang w:val="en-GB"/>
        </w:rPr>
        <w:t>, thereby seeing them gather momentum in recent years and greater consistency in approach to cross-border insolvencies</w:t>
      </w:r>
      <w:r>
        <w:rPr>
          <w:rStyle w:val="FootnoteReference"/>
          <w:rFonts w:ascii="Arial" w:hAnsi="Arial" w:cs="Arial"/>
          <w:sz w:val="22"/>
          <w:szCs w:val="22"/>
          <w:lang w:val="en-GB"/>
        </w:rPr>
        <w:footnoteReference w:id="11"/>
      </w:r>
      <w:r>
        <w:rPr>
          <w:rFonts w:ascii="Arial" w:hAnsi="Arial" w:cs="Arial"/>
          <w:sz w:val="22"/>
          <w:szCs w:val="22"/>
          <w:lang w:val="en-GB"/>
        </w:rPr>
        <w:t xml:space="preserv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 xml:space="preserve">possible different sources of insolvency laws in any State </w:t>
      </w:r>
      <w:r w:rsidRPr="00732DDC">
        <w:rPr>
          <w:rFonts w:ascii="Arial" w:hAnsi="Arial" w:cs="Arial"/>
          <w:sz w:val="22"/>
          <w:szCs w:val="22"/>
          <w:lang w:val="en-GB"/>
        </w:rPr>
        <w:t>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1EBED672" w14:textId="570B5A43" w:rsidR="00FA4DF7" w:rsidRDefault="00175EAC" w:rsidP="00B7193E">
      <w:pPr>
        <w:jc w:val="both"/>
        <w:rPr>
          <w:rFonts w:ascii="Arial" w:hAnsi="Arial" w:cs="Arial"/>
          <w:sz w:val="22"/>
          <w:szCs w:val="22"/>
          <w:lang w:val="en-GB"/>
        </w:rPr>
      </w:pPr>
      <w:r>
        <w:rPr>
          <w:rFonts w:ascii="Arial" w:hAnsi="Arial" w:cs="Arial"/>
          <w:sz w:val="22"/>
          <w:szCs w:val="22"/>
          <w:lang w:val="en-GB"/>
        </w:rPr>
        <w:t xml:space="preserve">The number and nature of sources of insolvency laws may differ from State to State. Typically, a State </w:t>
      </w:r>
      <w:r w:rsidR="00FA6C03">
        <w:rPr>
          <w:rFonts w:ascii="Arial" w:hAnsi="Arial" w:cs="Arial"/>
          <w:sz w:val="22"/>
          <w:szCs w:val="22"/>
          <w:lang w:val="en-GB"/>
        </w:rPr>
        <w:t>will have</w:t>
      </w:r>
      <w:r>
        <w:rPr>
          <w:rFonts w:ascii="Arial" w:hAnsi="Arial" w:cs="Arial"/>
          <w:sz w:val="22"/>
          <w:szCs w:val="22"/>
          <w:lang w:val="en-GB"/>
        </w:rPr>
        <w:t xml:space="preserve"> d</w:t>
      </w:r>
      <w:r w:rsidR="00FA6C03">
        <w:rPr>
          <w:rFonts w:ascii="Arial" w:hAnsi="Arial" w:cs="Arial"/>
          <w:sz w:val="22"/>
          <w:szCs w:val="22"/>
          <w:lang w:val="en-GB"/>
        </w:rPr>
        <w:t xml:space="preserve">omestic legislation </w:t>
      </w:r>
      <w:r>
        <w:rPr>
          <w:rFonts w:ascii="Arial" w:hAnsi="Arial" w:cs="Arial"/>
          <w:sz w:val="22"/>
          <w:szCs w:val="22"/>
          <w:lang w:val="en-GB"/>
        </w:rPr>
        <w:t xml:space="preserve">which </w:t>
      </w:r>
      <w:r w:rsidR="003479F2">
        <w:rPr>
          <w:rFonts w:ascii="Arial" w:hAnsi="Arial" w:cs="Arial"/>
          <w:sz w:val="22"/>
          <w:szCs w:val="22"/>
          <w:lang w:val="en-GB"/>
        </w:rPr>
        <w:t xml:space="preserve">addresses bankruptcy </w:t>
      </w:r>
      <w:r>
        <w:rPr>
          <w:rFonts w:ascii="Arial" w:hAnsi="Arial" w:cs="Arial"/>
          <w:sz w:val="22"/>
          <w:szCs w:val="22"/>
          <w:lang w:val="en-GB"/>
        </w:rPr>
        <w:t>of a</w:t>
      </w:r>
      <w:r w:rsidR="003479F2">
        <w:rPr>
          <w:rFonts w:ascii="Arial" w:hAnsi="Arial" w:cs="Arial"/>
          <w:sz w:val="22"/>
          <w:szCs w:val="22"/>
          <w:lang w:val="en-GB"/>
        </w:rPr>
        <w:t>n individual and insolvency of a corporate entity</w:t>
      </w:r>
      <w:r>
        <w:rPr>
          <w:rFonts w:ascii="Arial" w:hAnsi="Arial" w:cs="Arial"/>
          <w:sz w:val="22"/>
          <w:szCs w:val="22"/>
          <w:lang w:val="en-GB"/>
        </w:rPr>
        <w:t xml:space="preserve"> incorporated in</w:t>
      </w:r>
      <w:r w:rsidR="003479F2">
        <w:rPr>
          <w:rFonts w:ascii="Arial" w:hAnsi="Arial" w:cs="Arial"/>
          <w:sz w:val="22"/>
          <w:szCs w:val="22"/>
          <w:lang w:val="en-GB"/>
        </w:rPr>
        <w:t xml:space="preserve"> that State. The legislation in relation to the lat</w:t>
      </w:r>
      <w:r w:rsidR="00247B86">
        <w:rPr>
          <w:rFonts w:ascii="Arial" w:hAnsi="Arial" w:cs="Arial"/>
          <w:sz w:val="22"/>
          <w:szCs w:val="22"/>
          <w:lang w:val="en-GB"/>
        </w:rPr>
        <w:t>t</w:t>
      </w:r>
      <w:r w:rsidR="003479F2">
        <w:rPr>
          <w:rFonts w:ascii="Arial" w:hAnsi="Arial" w:cs="Arial"/>
          <w:sz w:val="22"/>
          <w:szCs w:val="22"/>
          <w:lang w:val="en-GB"/>
        </w:rPr>
        <w:t xml:space="preserve">er </w:t>
      </w:r>
      <w:r>
        <w:rPr>
          <w:rFonts w:ascii="Arial" w:hAnsi="Arial" w:cs="Arial"/>
          <w:sz w:val="22"/>
          <w:szCs w:val="22"/>
          <w:lang w:val="en-GB"/>
        </w:rPr>
        <w:t xml:space="preserve">may also include provisions for dealing with the insolvency of a foreign company which is incorporated in a different State but that has a connection with that State. </w:t>
      </w:r>
      <w:r w:rsidRPr="00274D79">
        <w:rPr>
          <w:rFonts w:ascii="Arial" w:hAnsi="Arial" w:cs="Arial"/>
          <w:sz w:val="22"/>
          <w:szCs w:val="22"/>
          <w:lang w:val="en-GB"/>
        </w:rPr>
        <w:t>An example of this is</w:t>
      </w:r>
      <w:r w:rsidR="00274D79" w:rsidRPr="00274D79">
        <w:rPr>
          <w:rFonts w:ascii="Arial" w:hAnsi="Arial" w:cs="Arial"/>
          <w:sz w:val="22"/>
          <w:szCs w:val="22"/>
          <w:lang w:val="en-GB"/>
        </w:rPr>
        <w:t xml:space="preserve"> section 221</w:t>
      </w:r>
      <w:r w:rsidR="00247B86" w:rsidRPr="00274D79">
        <w:rPr>
          <w:rFonts w:ascii="Arial" w:hAnsi="Arial" w:cs="Arial"/>
          <w:sz w:val="22"/>
          <w:szCs w:val="22"/>
          <w:lang w:val="en-GB"/>
        </w:rPr>
        <w:t xml:space="preserve"> of</w:t>
      </w:r>
      <w:r w:rsidRPr="00274D79">
        <w:rPr>
          <w:rFonts w:ascii="Arial" w:hAnsi="Arial" w:cs="Arial"/>
          <w:sz w:val="22"/>
          <w:szCs w:val="22"/>
          <w:lang w:val="en-GB"/>
        </w:rPr>
        <w:t xml:space="preserve"> the English</w:t>
      </w:r>
      <w:r w:rsidR="009B78E2" w:rsidRPr="00274D79">
        <w:rPr>
          <w:rFonts w:ascii="Arial" w:hAnsi="Arial" w:cs="Arial"/>
          <w:sz w:val="22"/>
          <w:szCs w:val="22"/>
          <w:lang w:val="en-GB"/>
        </w:rPr>
        <w:t xml:space="preserve"> Insolvenc</w:t>
      </w:r>
      <w:r w:rsidR="00247B86" w:rsidRPr="00274D79">
        <w:rPr>
          <w:rFonts w:ascii="Arial" w:hAnsi="Arial" w:cs="Arial"/>
          <w:sz w:val="22"/>
          <w:szCs w:val="22"/>
          <w:lang w:val="en-GB"/>
        </w:rPr>
        <w:t xml:space="preserve">y Act 1986 which </w:t>
      </w:r>
      <w:r w:rsidRPr="00274D79">
        <w:rPr>
          <w:rFonts w:ascii="Arial" w:hAnsi="Arial" w:cs="Arial"/>
          <w:sz w:val="22"/>
          <w:szCs w:val="22"/>
          <w:lang w:val="en-GB"/>
        </w:rPr>
        <w:t xml:space="preserve">deals with foreign </w:t>
      </w:r>
      <w:r w:rsidR="00274D79" w:rsidRPr="00274D79">
        <w:rPr>
          <w:rFonts w:ascii="Arial" w:hAnsi="Arial" w:cs="Arial"/>
          <w:sz w:val="22"/>
          <w:szCs w:val="22"/>
          <w:lang w:val="en-GB"/>
        </w:rPr>
        <w:t>unregistered companies.</w:t>
      </w:r>
      <w:r w:rsidR="00274D79">
        <w:rPr>
          <w:rFonts w:ascii="Arial" w:hAnsi="Arial" w:cs="Arial"/>
          <w:sz w:val="22"/>
          <w:szCs w:val="22"/>
          <w:lang w:val="en-GB"/>
        </w:rPr>
        <w:t xml:space="preserve"> </w:t>
      </w:r>
    </w:p>
    <w:p w14:paraId="3855109C" w14:textId="33718831" w:rsidR="00175EAC" w:rsidRDefault="00175EAC" w:rsidP="00B7193E">
      <w:pPr>
        <w:jc w:val="both"/>
        <w:rPr>
          <w:rFonts w:ascii="Arial" w:hAnsi="Arial" w:cs="Arial"/>
          <w:sz w:val="22"/>
          <w:szCs w:val="22"/>
          <w:lang w:val="en-GB"/>
        </w:rPr>
      </w:pPr>
    </w:p>
    <w:p w14:paraId="6A51EE07" w14:textId="340A2928" w:rsidR="00534EDF" w:rsidRDefault="003479F2" w:rsidP="00B7193E">
      <w:pPr>
        <w:jc w:val="both"/>
        <w:rPr>
          <w:rFonts w:ascii="Arial" w:hAnsi="Arial" w:cs="Arial"/>
          <w:sz w:val="22"/>
          <w:szCs w:val="22"/>
          <w:lang w:val="en-GB"/>
        </w:rPr>
      </w:pPr>
      <w:r>
        <w:rPr>
          <w:rFonts w:ascii="Arial" w:hAnsi="Arial" w:cs="Arial"/>
          <w:sz w:val="22"/>
          <w:szCs w:val="22"/>
          <w:lang w:val="en-GB"/>
        </w:rPr>
        <w:t xml:space="preserve">A State </w:t>
      </w:r>
      <w:r w:rsidR="00175EAC">
        <w:rPr>
          <w:rFonts w:ascii="Arial" w:hAnsi="Arial" w:cs="Arial"/>
          <w:sz w:val="22"/>
          <w:szCs w:val="22"/>
          <w:lang w:val="en-GB"/>
        </w:rPr>
        <w:t xml:space="preserve">may also have other </w:t>
      </w:r>
      <w:r w:rsidR="00247B86">
        <w:rPr>
          <w:rFonts w:ascii="Arial" w:hAnsi="Arial" w:cs="Arial"/>
          <w:sz w:val="22"/>
          <w:szCs w:val="22"/>
          <w:lang w:val="en-GB"/>
        </w:rPr>
        <w:t xml:space="preserve">domestic statutory instruments </w:t>
      </w:r>
      <w:r>
        <w:rPr>
          <w:rFonts w:ascii="Arial" w:hAnsi="Arial" w:cs="Arial"/>
          <w:sz w:val="22"/>
          <w:szCs w:val="22"/>
          <w:lang w:val="en-GB"/>
        </w:rPr>
        <w:t>or specific provisions in its insolvency legislation</w:t>
      </w:r>
      <w:r w:rsidR="00175EAC">
        <w:rPr>
          <w:rFonts w:ascii="Arial" w:hAnsi="Arial" w:cs="Arial"/>
          <w:sz w:val="22"/>
          <w:szCs w:val="22"/>
          <w:lang w:val="en-GB"/>
        </w:rPr>
        <w:t xml:space="preserve"> which govern how that State will recognise and give effect to foreign insolvency proceedings and / or judgments</w:t>
      </w:r>
      <w:r w:rsidR="00274D79">
        <w:rPr>
          <w:rFonts w:ascii="Arial" w:hAnsi="Arial" w:cs="Arial"/>
          <w:sz w:val="22"/>
          <w:szCs w:val="22"/>
          <w:lang w:val="en-GB"/>
        </w:rPr>
        <w:t>, such as section 426 of the English Insolvency Act 1986</w:t>
      </w:r>
      <w:r w:rsidR="00175EAC">
        <w:rPr>
          <w:rFonts w:ascii="Arial" w:hAnsi="Arial" w:cs="Arial"/>
          <w:sz w:val="22"/>
          <w:szCs w:val="22"/>
          <w:lang w:val="en-GB"/>
        </w:rPr>
        <w:t>.</w:t>
      </w:r>
      <w:r w:rsidR="00534EDF">
        <w:rPr>
          <w:rFonts w:ascii="Arial" w:hAnsi="Arial" w:cs="Arial"/>
          <w:sz w:val="22"/>
          <w:szCs w:val="22"/>
          <w:lang w:val="en-GB"/>
        </w:rPr>
        <w:t xml:space="preserve"> This provision has been held to apply where the MLCBI does not apply, i.e., where recognition and enforcement is sought in relation to a foreign judgment against third parties</w:t>
      </w:r>
      <w:r w:rsidR="00534EDF">
        <w:rPr>
          <w:rStyle w:val="FootnoteReference"/>
          <w:rFonts w:ascii="Arial" w:hAnsi="Arial" w:cs="Arial"/>
          <w:sz w:val="22"/>
          <w:szCs w:val="22"/>
          <w:lang w:val="en-GB"/>
        </w:rPr>
        <w:footnoteReference w:id="12"/>
      </w:r>
      <w:r w:rsidR="00534EDF">
        <w:rPr>
          <w:rFonts w:ascii="Arial" w:hAnsi="Arial" w:cs="Arial"/>
          <w:sz w:val="22"/>
          <w:szCs w:val="22"/>
          <w:lang w:val="en-GB"/>
        </w:rPr>
        <w:t xml:space="preserve">. </w:t>
      </w:r>
    </w:p>
    <w:p w14:paraId="22302B58" w14:textId="77777777" w:rsidR="00534EDF" w:rsidRDefault="00534EDF" w:rsidP="00B7193E">
      <w:pPr>
        <w:jc w:val="both"/>
        <w:rPr>
          <w:rFonts w:ascii="Arial" w:hAnsi="Arial" w:cs="Arial"/>
          <w:sz w:val="22"/>
          <w:szCs w:val="22"/>
          <w:lang w:val="en-GB"/>
        </w:rPr>
      </w:pPr>
    </w:p>
    <w:p w14:paraId="381985CD" w14:textId="60354B21" w:rsidR="00042ED4" w:rsidRDefault="00FA6C03" w:rsidP="00B7193E">
      <w:pPr>
        <w:jc w:val="both"/>
        <w:rPr>
          <w:rFonts w:ascii="Arial" w:hAnsi="Arial" w:cs="Arial"/>
          <w:sz w:val="22"/>
          <w:szCs w:val="22"/>
          <w:lang w:val="en-GB"/>
        </w:rPr>
      </w:pPr>
      <w:r>
        <w:rPr>
          <w:rFonts w:ascii="Arial" w:hAnsi="Arial" w:cs="Arial"/>
          <w:sz w:val="22"/>
          <w:szCs w:val="22"/>
          <w:lang w:val="en-GB"/>
        </w:rPr>
        <w:t xml:space="preserve">In addition to legislation there may be other </w:t>
      </w:r>
      <w:r w:rsidR="00247B86">
        <w:rPr>
          <w:rFonts w:ascii="Arial" w:hAnsi="Arial" w:cs="Arial"/>
          <w:sz w:val="22"/>
          <w:szCs w:val="22"/>
          <w:lang w:val="en-GB"/>
        </w:rPr>
        <w:t xml:space="preserve">principles arising from </w:t>
      </w:r>
      <w:r>
        <w:rPr>
          <w:rFonts w:ascii="Arial" w:hAnsi="Arial" w:cs="Arial"/>
          <w:sz w:val="22"/>
          <w:szCs w:val="22"/>
          <w:lang w:val="en-GB"/>
        </w:rPr>
        <w:t xml:space="preserve">domestic law </w:t>
      </w:r>
      <w:r w:rsidR="00247B86">
        <w:rPr>
          <w:rFonts w:ascii="Arial" w:hAnsi="Arial" w:cs="Arial"/>
          <w:sz w:val="22"/>
          <w:szCs w:val="22"/>
          <w:lang w:val="en-GB"/>
        </w:rPr>
        <w:t xml:space="preserve">(i.e. in </w:t>
      </w:r>
      <w:r>
        <w:rPr>
          <w:rFonts w:ascii="Arial" w:hAnsi="Arial" w:cs="Arial"/>
          <w:sz w:val="22"/>
          <w:szCs w:val="22"/>
          <w:lang w:val="en-GB"/>
        </w:rPr>
        <w:t>common law</w:t>
      </w:r>
      <w:r w:rsidR="00247B86">
        <w:rPr>
          <w:rFonts w:ascii="Arial" w:hAnsi="Arial" w:cs="Arial"/>
          <w:sz w:val="22"/>
          <w:szCs w:val="22"/>
          <w:lang w:val="en-GB"/>
        </w:rPr>
        <w:t xml:space="preserve"> States such as England)</w:t>
      </w:r>
      <w:r>
        <w:rPr>
          <w:rFonts w:ascii="Arial" w:hAnsi="Arial" w:cs="Arial"/>
          <w:sz w:val="22"/>
          <w:szCs w:val="22"/>
          <w:lang w:val="en-GB"/>
        </w:rPr>
        <w:t xml:space="preserve"> which may determine how the courts interpret and adjudicate upon issues which arise</w:t>
      </w:r>
      <w:r w:rsidR="00247B86">
        <w:rPr>
          <w:rFonts w:ascii="Arial" w:hAnsi="Arial" w:cs="Arial"/>
          <w:sz w:val="22"/>
          <w:szCs w:val="22"/>
          <w:lang w:val="en-GB"/>
        </w:rPr>
        <w:t xml:space="preserve"> in a</w:t>
      </w:r>
      <w:r>
        <w:rPr>
          <w:rFonts w:ascii="Arial" w:hAnsi="Arial" w:cs="Arial"/>
          <w:sz w:val="22"/>
          <w:szCs w:val="22"/>
          <w:lang w:val="en-GB"/>
        </w:rPr>
        <w:t xml:space="preserve"> cross-border ins</w:t>
      </w:r>
      <w:r w:rsidR="00247B86">
        <w:rPr>
          <w:rFonts w:ascii="Arial" w:hAnsi="Arial" w:cs="Arial"/>
          <w:sz w:val="22"/>
          <w:szCs w:val="22"/>
          <w:lang w:val="en-GB"/>
        </w:rPr>
        <w:t>olvency.  T</w:t>
      </w:r>
      <w:r w:rsidR="00534EDF">
        <w:rPr>
          <w:rFonts w:ascii="Arial" w:hAnsi="Arial" w:cs="Arial"/>
          <w:sz w:val="22"/>
          <w:szCs w:val="22"/>
          <w:lang w:val="en-GB"/>
        </w:rPr>
        <w:t>he</w:t>
      </w:r>
      <w:r w:rsidR="00247B86">
        <w:rPr>
          <w:rFonts w:ascii="Arial" w:hAnsi="Arial" w:cs="Arial"/>
          <w:sz w:val="22"/>
          <w:szCs w:val="22"/>
          <w:lang w:val="en-GB"/>
        </w:rPr>
        <w:t xml:space="preserve"> law</w:t>
      </w:r>
      <w:r>
        <w:rPr>
          <w:rFonts w:ascii="Arial" w:hAnsi="Arial" w:cs="Arial"/>
          <w:sz w:val="22"/>
          <w:szCs w:val="22"/>
          <w:lang w:val="en-GB"/>
        </w:rPr>
        <w:t xml:space="preserve"> of a different State</w:t>
      </w:r>
      <w:r w:rsidR="00534EDF">
        <w:rPr>
          <w:rFonts w:ascii="Arial" w:hAnsi="Arial" w:cs="Arial"/>
          <w:sz w:val="22"/>
          <w:szCs w:val="22"/>
          <w:lang w:val="en-GB"/>
        </w:rPr>
        <w:t xml:space="preserve"> (foreign law)</w:t>
      </w:r>
      <w:r>
        <w:rPr>
          <w:rFonts w:ascii="Arial" w:hAnsi="Arial" w:cs="Arial"/>
          <w:sz w:val="22"/>
          <w:szCs w:val="22"/>
          <w:lang w:val="en-GB"/>
        </w:rPr>
        <w:t xml:space="preserve"> may</w:t>
      </w:r>
      <w:r w:rsidR="00247B86">
        <w:rPr>
          <w:rFonts w:ascii="Arial" w:hAnsi="Arial" w:cs="Arial"/>
          <w:sz w:val="22"/>
          <w:szCs w:val="22"/>
          <w:lang w:val="en-GB"/>
        </w:rPr>
        <w:t xml:space="preserve"> </w:t>
      </w:r>
      <w:r w:rsidR="00534EDF">
        <w:rPr>
          <w:rFonts w:ascii="Arial" w:hAnsi="Arial" w:cs="Arial"/>
          <w:sz w:val="22"/>
          <w:szCs w:val="22"/>
          <w:lang w:val="en-GB"/>
        </w:rPr>
        <w:t xml:space="preserve">interact with a </w:t>
      </w:r>
      <w:r w:rsidR="00247B86">
        <w:rPr>
          <w:rFonts w:ascii="Arial" w:hAnsi="Arial" w:cs="Arial"/>
          <w:sz w:val="22"/>
          <w:szCs w:val="22"/>
          <w:lang w:val="en-GB"/>
        </w:rPr>
        <w:t xml:space="preserve">domestic court's adjudication of issues </w:t>
      </w:r>
      <w:r>
        <w:rPr>
          <w:rFonts w:ascii="Arial" w:hAnsi="Arial" w:cs="Arial"/>
          <w:sz w:val="22"/>
          <w:szCs w:val="22"/>
          <w:lang w:val="en-GB"/>
        </w:rPr>
        <w:t xml:space="preserve">for example where there are choice or conflict of law </w:t>
      </w:r>
      <w:r w:rsidR="003479F2">
        <w:rPr>
          <w:rFonts w:ascii="Arial" w:hAnsi="Arial" w:cs="Arial"/>
          <w:sz w:val="22"/>
          <w:szCs w:val="22"/>
          <w:lang w:val="en-GB"/>
        </w:rPr>
        <w:t xml:space="preserve">(private international law) </w:t>
      </w:r>
      <w:r w:rsidR="00534EDF">
        <w:rPr>
          <w:rFonts w:ascii="Arial" w:hAnsi="Arial" w:cs="Arial"/>
          <w:sz w:val="22"/>
          <w:szCs w:val="22"/>
          <w:lang w:val="en-GB"/>
        </w:rPr>
        <w:t>issues or where reference needs to be made to a foreign law to establish the validity of the actual claim where that claim is for a debt governed by the foreign law</w:t>
      </w:r>
      <w:r w:rsidR="00534EDF">
        <w:rPr>
          <w:rStyle w:val="FootnoteReference"/>
          <w:rFonts w:ascii="Arial" w:hAnsi="Arial" w:cs="Arial"/>
          <w:sz w:val="22"/>
          <w:szCs w:val="22"/>
          <w:lang w:val="en-GB"/>
        </w:rPr>
        <w:footnoteReference w:id="13"/>
      </w:r>
      <w:r w:rsidR="00534EDF">
        <w:rPr>
          <w:rFonts w:ascii="Arial" w:hAnsi="Arial" w:cs="Arial"/>
          <w:sz w:val="22"/>
          <w:szCs w:val="22"/>
          <w:lang w:val="en-GB"/>
        </w:rPr>
        <w:t>.</w:t>
      </w:r>
    </w:p>
    <w:p w14:paraId="17A43B5E" w14:textId="250B3442" w:rsidR="00175EAC" w:rsidRDefault="00175EAC" w:rsidP="00B7193E">
      <w:pPr>
        <w:jc w:val="both"/>
        <w:rPr>
          <w:rFonts w:ascii="Arial" w:hAnsi="Arial" w:cs="Arial"/>
          <w:sz w:val="22"/>
          <w:szCs w:val="22"/>
          <w:lang w:val="en-GB"/>
        </w:rPr>
      </w:pPr>
    </w:p>
    <w:p w14:paraId="39E09321" w14:textId="2B0D38FC" w:rsidR="00175EAC" w:rsidRDefault="00247B86" w:rsidP="00B7193E">
      <w:pPr>
        <w:jc w:val="both"/>
        <w:rPr>
          <w:rFonts w:ascii="Arial" w:hAnsi="Arial" w:cs="Arial"/>
          <w:sz w:val="22"/>
          <w:szCs w:val="22"/>
          <w:lang w:val="en-GB"/>
        </w:rPr>
      </w:pPr>
      <w:r>
        <w:rPr>
          <w:rFonts w:ascii="Arial" w:hAnsi="Arial" w:cs="Arial"/>
          <w:sz w:val="22"/>
          <w:szCs w:val="22"/>
          <w:lang w:val="en-GB"/>
        </w:rPr>
        <w:t>A State may also be a member of or s</w:t>
      </w:r>
      <w:r w:rsidR="00175EAC">
        <w:rPr>
          <w:rFonts w:ascii="Arial" w:hAnsi="Arial" w:cs="Arial"/>
          <w:sz w:val="22"/>
          <w:szCs w:val="22"/>
          <w:lang w:val="en-GB"/>
        </w:rPr>
        <w:t xml:space="preserve">ignatory to a treaty or </w:t>
      </w:r>
      <w:r>
        <w:rPr>
          <w:rFonts w:ascii="Arial" w:hAnsi="Arial" w:cs="Arial"/>
          <w:sz w:val="22"/>
          <w:szCs w:val="22"/>
          <w:lang w:val="en-GB"/>
        </w:rPr>
        <w:t xml:space="preserve">international </w:t>
      </w:r>
      <w:r w:rsidR="00175EAC">
        <w:rPr>
          <w:rFonts w:ascii="Arial" w:hAnsi="Arial" w:cs="Arial"/>
          <w:sz w:val="22"/>
          <w:szCs w:val="22"/>
          <w:lang w:val="en-GB"/>
        </w:rPr>
        <w:t>agreement with another State or several States</w:t>
      </w:r>
      <w:r>
        <w:rPr>
          <w:rFonts w:ascii="Arial" w:hAnsi="Arial" w:cs="Arial"/>
          <w:sz w:val="22"/>
          <w:szCs w:val="22"/>
          <w:lang w:val="en-GB"/>
        </w:rPr>
        <w:t>. O</w:t>
      </w:r>
      <w:r w:rsidR="00175EAC">
        <w:rPr>
          <w:rFonts w:ascii="Arial" w:hAnsi="Arial" w:cs="Arial"/>
          <w:sz w:val="22"/>
          <w:szCs w:val="22"/>
          <w:lang w:val="en-GB"/>
        </w:rPr>
        <w:t xml:space="preserve">nce ratified, </w:t>
      </w:r>
      <w:r>
        <w:rPr>
          <w:rFonts w:ascii="Arial" w:hAnsi="Arial" w:cs="Arial"/>
          <w:sz w:val="22"/>
          <w:szCs w:val="22"/>
          <w:lang w:val="en-GB"/>
        </w:rPr>
        <w:t>such an instrument is</w:t>
      </w:r>
      <w:r w:rsidR="00175EAC">
        <w:rPr>
          <w:rFonts w:ascii="Arial" w:hAnsi="Arial" w:cs="Arial"/>
          <w:sz w:val="22"/>
          <w:szCs w:val="22"/>
          <w:lang w:val="en-GB"/>
        </w:rPr>
        <w:t xml:space="preserve"> imported</w:t>
      </w:r>
      <w:r>
        <w:rPr>
          <w:rFonts w:ascii="Arial" w:hAnsi="Arial" w:cs="Arial"/>
          <w:sz w:val="22"/>
          <w:szCs w:val="22"/>
          <w:lang w:val="en-GB"/>
        </w:rPr>
        <w:t xml:space="preserve"> into that State's domestic law and its interaction with any original domestic law is such that is deemed </w:t>
      </w:r>
      <w:r w:rsidR="00042ED4">
        <w:rPr>
          <w:rFonts w:ascii="Arial" w:hAnsi="Arial" w:cs="Arial"/>
          <w:sz w:val="22"/>
          <w:szCs w:val="22"/>
          <w:lang w:val="en-GB"/>
        </w:rPr>
        <w:t xml:space="preserve">to be consistent with and given deference over </w:t>
      </w:r>
      <w:r>
        <w:rPr>
          <w:rFonts w:ascii="Arial" w:hAnsi="Arial" w:cs="Arial"/>
          <w:sz w:val="22"/>
          <w:szCs w:val="22"/>
          <w:lang w:val="en-GB"/>
        </w:rPr>
        <w:t xml:space="preserve">any non-binding sources of law. Treaties such as </w:t>
      </w:r>
      <w:r w:rsidR="00175EAC">
        <w:rPr>
          <w:rFonts w:ascii="Arial" w:hAnsi="Arial" w:cs="Arial"/>
          <w:sz w:val="22"/>
          <w:szCs w:val="22"/>
          <w:lang w:val="en-GB"/>
        </w:rPr>
        <w:t xml:space="preserve">the </w:t>
      </w:r>
      <w:r w:rsidR="00042ED4">
        <w:rPr>
          <w:rFonts w:ascii="Arial" w:hAnsi="Arial" w:cs="Arial"/>
          <w:sz w:val="22"/>
          <w:szCs w:val="22"/>
          <w:lang w:val="en-GB"/>
        </w:rPr>
        <w:t xml:space="preserve">EIR and EIR Recast </w:t>
      </w:r>
      <w:r w:rsidR="00175EAC">
        <w:rPr>
          <w:rFonts w:ascii="Arial" w:hAnsi="Arial" w:cs="Arial"/>
          <w:sz w:val="22"/>
          <w:szCs w:val="22"/>
          <w:lang w:val="en-GB"/>
        </w:rPr>
        <w:t xml:space="preserve">are considered public international </w:t>
      </w:r>
      <w:r w:rsidR="00042ED4">
        <w:rPr>
          <w:rFonts w:ascii="Arial" w:hAnsi="Arial" w:cs="Arial"/>
          <w:sz w:val="22"/>
          <w:szCs w:val="22"/>
          <w:lang w:val="en-GB"/>
        </w:rPr>
        <w:t>law and will be binding on the M</w:t>
      </w:r>
      <w:r w:rsidR="00175EAC">
        <w:rPr>
          <w:rFonts w:ascii="Arial" w:hAnsi="Arial" w:cs="Arial"/>
          <w:sz w:val="22"/>
          <w:szCs w:val="22"/>
          <w:lang w:val="en-GB"/>
        </w:rPr>
        <w:t>ember States</w:t>
      </w:r>
      <w:r>
        <w:rPr>
          <w:rFonts w:ascii="Arial" w:hAnsi="Arial" w:cs="Arial"/>
          <w:sz w:val="22"/>
          <w:szCs w:val="22"/>
          <w:lang w:val="en-GB"/>
        </w:rPr>
        <w:t xml:space="preserve"> </w:t>
      </w:r>
      <w:r w:rsidR="00042ED4">
        <w:rPr>
          <w:rFonts w:ascii="Arial" w:hAnsi="Arial" w:cs="Arial"/>
          <w:sz w:val="22"/>
          <w:szCs w:val="22"/>
          <w:lang w:val="en-GB"/>
        </w:rPr>
        <w:t xml:space="preserve">that are </w:t>
      </w:r>
      <w:r>
        <w:rPr>
          <w:rFonts w:ascii="Arial" w:hAnsi="Arial" w:cs="Arial"/>
          <w:sz w:val="22"/>
          <w:szCs w:val="22"/>
          <w:lang w:val="en-GB"/>
        </w:rPr>
        <w:t xml:space="preserve">signatories to it. </w:t>
      </w:r>
    </w:p>
    <w:p w14:paraId="64EA07D0" w14:textId="003FB616" w:rsidR="00FA4DF7" w:rsidRDefault="00FA4DF7" w:rsidP="00B7193E">
      <w:pPr>
        <w:jc w:val="both"/>
        <w:rPr>
          <w:rFonts w:ascii="Arial" w:hAnsi="Arial" w:cs="Arial"/>
          <w:sz w:val="22"/>
          <w:szCs w:val="22"/>
          <w:lang w:val="en-GB"/>
        </w:rPr>
      </w:pPr>
    </w:p>
    <w:p w14:paraId="1F97C402" w14:textId="3FDFC6DD" w:rsidR="00FA4DF7" w:rsidRDefault="00FA6C03" w:rsidP="00B7193E">
      <w:pPr>
        <w:jc w:val="both"/>
        <w:rPr>
          <w:rFonts w:ascii="Arial" w:hAnsi="Arial" w:cs="Arial"/>
          <w:sz w:val="22"/>
          <w:szCs w:val="22"/>
          <w:lang w:val="en-GB"/>
        </w:rPr>
      </w:pPr>
      <w:r>
        <w:rPr>
          <w:rFonts w:ascii="Arial" w:hAnsi="Arial" w:cs="Arial"/>
          <w:sz w:val="22"/>
          <w:szCs w:val="22"/>
          <w:lang w:val="en-GB"/>
        </w:rPr>
        <w:t xml:space="preserve">Finally, if a State has chosen to implement </w:t>
      </w:r>
      <w:r w:rsidR="00D5111F">
        <w:rPr>
          <w:rFonts w:ascii="Arial" w:hAnsi="Arial" w:cs="Arial"/>
          <w:sz w:val="22"/>
          <w:szCs w:val="22"/>
          <w:lang w:val="en-GB"/>
        </w:rPr>
        <w:t>or adopt guidance from a multilateral</w:t>
      </w:r>
      <w:r>
        <w:rPr>
          <w:rFonts w:ascii="Arial" w:hAnsi="Arial" w:cs="Arial"/>
          <w:sz w:val="22"/>
          <w:szCs w:val="22"/>
          <w:lang w:val="en-GB"/>
        </w:rPr>
        <w:t xml:space="preserve"> institution </w:t>
      </w:r>
      <w:r w:rsidR="00D5111F">
        <w:rPr>
          <w:rFonts w:ascii="Arial" w:hAnsi="Arial" w:cs="Arial"/>
          <w:sz w:val="22"/>
          <w:szCs w:val="22"/>
          <w:lang w:val="en-GB"/>
        </w:rPr>
        <w:t xml:space="preserve">or organisation, such as UNICITRAL, sources of "soft law" may also interact with that State's domestic law and any public international laws which have been imported into domestic law by ratification. </w:t>
      </w:r>
      <w:r w:rsidR="00732DDC">
        <w:rPr>
          <w:rFonts w:ascii="Arial" w:hAnsi="Arial" w:cs="Arial"/>
          <w:sz w:val="22"/>
          <w:szCs w:val="22"/>
          <w:lang w:val="en-GB"/>
        </w:rPr>
        <w:t xml:space="preserve">Soft laws can improve consistency of approach to cross-border insolvencies as between those States who have adopted them and aim to </w:t>
      </w:r>
      <w:r w:rsidR="00534EDF">
        <w:rPr>
          <w:rFonts w:ascii="Arial" w:hAnsi="Arial" w:cs="Arial"/>
          <w:sz w:val="22"/>
          <w:szCs w:val="22"/>
          <w:lang w:val="en-GB"/>
        </w:rPr>
        <w:t>increase the degree of cooperation and coordination with proceedings  being conducted by insolvency pract</w:t>
      </w:r>
      <w:r w:rsidR="00732DDC">
        <w:rPr>
          <w:rFonts w:ascii="Arial" w:hAnsi="Arial" w:cs="Arial"/>
          <w:sz w:val="22"/>
          <w:szCs w:val="22"/>
          <w:lang w:val="en-GB"/>
        </w:rPr>
        <w:t>itioners and the courts in the various</w:t>
      </w:r>
      <w:r w:rsidR="00534EDF">
        <w:rPr>
          <w:rFonts w:ascii="Arial" w:hAnsi="Arial" w:cs="Arial"/>
          <w:sz w:val="22"/>
          <w:szCs w:val="22"/>
          <w:lang w:val="en-GB"/>
        </w:rPr>
        <w:t xml:space="preserve"> States.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 xml:space="preserve">A number of </w:t>
      </w:r>
      <w:r w:rsidRPr="00681209">
        <w:rPr>
          <w:rFonts w:ascii="Arial" w:hAnsi="Arial" w:cs="Arial"/>
          <w:sz w:val="22"/>
          <w:szCs w:val="22"/>
          <w:lang w:val="en-GB"/>
        </w:rPr>
        <w:t>difficulties arise in cross-border insolvencie</w:t>
      </w:r>
      <w:r w:rsidR="004B25E4" w:rsidRPr="00681209">
        <w:rPr>
          <w:rFonts w:ascii="Arial" w:hAnsi="Arial" w:cs="Arial"/>
          <w:sz w:val="22"/>
          <w:szCs w:val="22"/>
          <w:lang w:val="en-GB"/>
        </w:rPr>
        <w:t>s, including</w:t>
      </w:r>
      <w:r w:rsidR="00414BF9" w:rsidRPr="00681209">
        <w:rPr>
          <w:rFonts w:ascii="Arial" w:hAnsi="Arial" w:cs="Arial"/>
          <w:sz w:val="22"/>
          <w:szCs w:val="22"/>
          <w:lang w:val="en-GB"/>
        </w:rPr>
        <w:t xml:space="preserve"> </w:t>
      </w:r>
      <w:r w:rsidR="00FF22DC" w:rsidRPr="00681209">
        <w:rPr>
          <w:rFonts w:ascii="Arial" w:hAnsi="Arial" w:cs="Arial"/>
          <w:sz w:val="22"/>
          <w:szCs w:val="22"/>
          <w:lang w:val="en-GB"/>
        </w:rPr>
        <w:t>as a result of</w:t>
      </w:r>
      <w:r w:rsidR="004B25E4" w:rsidRPr="00681209">
        <w:rPr>
          <w:rFonts w:ascii="Arial" w:hAnsi="Arial" w:cs="Arial"/>
          <w:sz w:val="22"/>
          <w:szCs w:val="22"/>
          <w:lang w:val="en-GB"/>
        </w:rPr>
        <w:t xml:space="preserve"> differences in law</w:t>
      </w:r>
      <w:r w:rsidR="00FF22DC" w:rsidRPr="00681209">
        <w:rPr>
          <w:rFonts w:ascii="Arial" w:hAnsi="Arial" w:cs="Arial"/>
          <w:sz w:val="22"/>
          <w:szCs w:val="22"/>
          <w:lang w:val="en-GB"/>
        </w:rPr>
        <w:t>s</w:t>
      </w:r>
      <w:r w:rsidR="004B25E4" w:rsidRPr="00681209">
        <w:rPr>
          <w:rFonts w:ascii="Arial" w:hAnsi="Arial" w:cs="Arial"/>
          <w:sz w:val="22"/>
          <w:szCs w:val="22"/>
          <w:lang w:val="en-GB"/>
        </w:rPr>
        <w:t xml:space="preserve"> between States.</w:t>
      </w:r>
      <w:r w:rsidRPr="00681209">
        <w:rPr>
          <w:rFonts w:ascii="Arial" w:hAnsi="Arial" w:cs="Arial"/>
          <w:sz w:val="22"/>
          <w:szCs w:val="22"/>
          <w:lang w:val="en-GB"/>
        </w:rPr>
        <w:t xml:space="preserve"> </w:t>
      </w:r>
      <w:r w:rsidR="004B25E4" w:rsidRPr="00681209">
        <w:rPr>
          <w:rFonts w:ascii="Arial" w:hAnsi="Arial" w:cs="Arial"/>
          <w:sz w:val="22"/>
          <w:szCs w:val="22"/>
          <w:lang w:val="en-GB"/>
        </w:rPr>
        <w:t>H</w:t>
      </w:r>
      <w:r w:rsidRPr="00681209">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681209">
        <w:rPr>
          <w:rFonts w:ascii="Arial" w:hAnsi="Arial" w:cs="Arial"/>
          <w:sz w:val="22"/>
          <w:szCs w:val="22"/>
          <w:lang w:val="en-GB"/>
        </w:rPr>
        <w:t>.</w:t>
      </w:r>
      <w:r w:rsidRPr="00681209">
        <w:rPr>
          <w:rFonts w:ascii="Arial" w:hAnsi="Arial" w:cs="Arial"/>
          <w:sz w:val="22"/>
          <w:szCs w:val="22"/>
          <w:lang w:val="en-GB"/>
        </w:rPr>
        <w:t xml:space="preserve"> </w:t>
      </w:r>
      <w:r w:rsidR="001131C6" w:rsidRPr="00681209">
        <w:rPr>
          <w:rFonts w:ascii="Arial" w:hAnsi="Arial" w:cs="Arial"/>
          <w:sz w:val="22"/>
          <w:szCs w:val="22"/>
          <w:lang w:val="en-GB"/>
        </w:rPr>
        <w:t>Discuss the</w:t>
      </w:r>
      <w:r w:rsidRPr="00681209">
        <w:rPr>
          <w:rFonts w:ascii="Arial" w:hAnsi="Arial" w:cs="Arial"/>
          <w:sz w:val="22"/>
          <w:szCs w:val="22"/>
          <w:lang w:val="en-GB"/>
        </w:rPr>
        <w:t>se</w:t>
      </w:r>
      <w:r w:rsidR="001131C6" w:rsidRPr="00681209">
        <w:rPr>
          <w:rFonts w:ascii="Arial" w:hAnsi="Arial" w:cs="Arial"/>
          <w:sz w:val="22"/>
          <w:szCs w:val="22"/>
          <w:lang w:val="en-GB"/>
        </w:rPr>
        <w:t xml:space="preserve"> pertinent questions</w:t>
      </w:r>
      <w:r w:rsidR="00414BF9" w:rsidRPr="00681209">
        <w:rPr>
          <w:rFonts w:ascii="Arial" w:hAnsi="Arial" w:cs="Arial"/>
          <w:sz w:val="22"/>
          <w:szCs w:val="22"/>
          <w:lang w:val="en-GB"/>
        </w:rPr>
        <w:t xml:space="preserve"> </w:t>
      </w:r>
      <w:r w:rsidR="001131C6" w:rsidRPr="00681209">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BCD6A8F" w14:textId="77777777" w:rsidR="00A81740" w:rsidRDefault="00A81740" w:rsidP="00A81740">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three pertinent questions / issues raised by Fletcher are:</w:t>
      </w:r>
    </w:p>
    <w:p w14:paraId="7AB4D5A6" w14:textId="77777777" w:rsidR="00A81740" w:rsidRDefault="00A81740" w:rsidP="00A81740">
      <w:pPr>
        <w:widowControl w:val="0"/>
        <w:jc w:val="both"/>
        <w:rPr>
          <w:rFonts w:ascii="Arial" w:hAnsi="Arial" w:cs="Arial"/>
          <w:sz w:val="22"/>
          <w:szCs w:val="22"/>
          <w:shd w:val="clear" w:color="auto" w:fill="FFFFFF"/>
          <w:lang w:val="en-GB"/>
        </w:rPr>
      </w:pPr>
    </w:p>
    <w:p w14:paraId="59958662" w14:textId="77777777" w:rsidR="00A81740" w:rsidRDefault="00A81740" w:rsidP="00A81740">
      <w:pPr>
        <w:pStyle w:val="ListParagraph"/>
        <w:widowControl w:val="0"/>
        <w:numPr>
          <w:ilvl w:val="0"/>
          <w:numId w:val="18"/>
        </w:numPr>
        <w:jc w:val="both"/>
        <w:rPr>
          <w:rFonts w:ascii="Arial" w:hAnsi="Arial" w:cs="Arial"/>
          <w:sz w:val="22"/>
          <w:szCs w:val="22"/>
          <w:shd w:val="clear" w:color="auto" w:fill="FFFFFF"/>
          <w:lang w:val="en-GB"/>
        </w:rPr>
      </w:pPr>
      <w:r w:rsidRPr="00A81740">
        <w:rPr>
          <w:rFonts w:ascii="Arial" w:hAnsi="Arial" w:cs="Arial"/>
          <w:sz w:val="22"/>
          <w:szCs w:val="22"/>
          <w:shd w:val="clear" w:color="auto" w:fill="FFFFFF"/>
          <w:lang w:val="en-GB"/>
        </w:rPr>
        <w:t>In what jurisdictions may insolvency proceedings be opened;</w:t>
      </w:r>
    </w:p>
    <w:p w14:paraId="3E1AE508" w14:textId="77777777" w:rsidR="00A81740" w:rsidRDefault="00A81740" w:rsidP="00A81740">
      <w:pPr>
        <w:pStyle w:val="ListParagraph"/>
        <w:widowControl w:val="0"/>
        <w:numPr>
          <w:ilvl w:val="0"/>
          <w:numId w:val="18"/>
        </w:numPr>
        <w:jc w:val="both"/>
        <w:rPr>
          <w:rFonts w:ascii="Arial" w:hAnsi="Arial" w:cs="Arial"/>
          <w:sz w:val="22"/>
          <w:szCs w:val="22"/>
          <w:shd w:val="clear" w:color="auto" w:fill="FFFFFF"/>
          <w:lang w:val="en-GB"/>
        </w:rPr>
      </w:pPr>
      <w:r w:rsidRPr="00A81740">
        <w:rPr>
          <w:rFonts w:ascii="Arial" w:hAnsi="Arial" w:cs="Arial"/>
          <w:sz w:val="22"/>
          <w:szCs w:val="22"/>
          <w:shd w:val="clear" w:color="auto" w:fill="FFFFFF"/>
          <w:lang w:val="en-GB"/>
        </w:rPr>
        <w:t>What country's law should be applied in respect of different aspects of the case</w:t>
      </w:r>
      <w:r>
        <w:rPr>
          <w:rFonts w:ascii="Arial" w:hAnsi="Arial" w:cs="Arial"/>
          <w:sz w:val="22"/>
          <w:szCs w:val="22"/>
          <w:shd w:val="clear" w:color="auto" w:fill="FFFFFF"/>
          <w:lang w:val="en-GB"/>
        </w:rPr>
        <w:t>; and</w:t>
      </w:r>
    </w:p>
    <w:p w14:paraId="50CCCADB" w14:textId="43DF2857" w:rsidR="00A81740" w:rsidRDefault="00A81740" w:rsidP="00A81740">
      <w:pPr>
        <w:pStyle w:val="ListParagraph"/>
        <w:widowControl w:val="0"/>
        <w:numPr>
          <w:ilvl w:val="0"/>
          <w:numId w:val="18"/>
        </w:num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W</w:t>
      </w:r>
      <w:r w:rsidRPr="00A81740">
        <w:rPr>
          <w:rFonts w:ascii="Arial" w:hAnsi="Arial" w:cs="Arial"/>
          <w:sz w:val="22"/>
          <w:szCs w:val="22"/>
          <w:shd w:val="clear" w:color="auto" w:fill="FFFFFF"/>
          <w:lang w:val="en-GB"/>
        </w:rPr>
        <w:t>hat international effects will be accorded to proceedings conducted at a particular forum (including issues of enforcement)?</w:t>
      </w:r>
      <w:r>
        <w:rPr>
          <w:rStyle w:val="FootnoteReference"/>
          <w:rFonts w:ascii="Arial" w:hAnsi="Arial" w:cs="Arial"/>
          <w:sz w:val="22"/>
          <w:szCs w:val="22"/>
          <w:shd w:val="clear" w:color="auto" w:fill="FFFFFF"/>
          <w:lang w:val="en-GB"/>
        </w:rPr>
        <w:footnoteReference w:id="14"/>
      </w:r>
    </w:p>
    <w:p w14:paraId="631B71BD" w14:textId="5F6E3E46" w:rsidR="00DA6710" w:rsidRDefault="00DA6710" w:rsidP="00DA6710">
      <w:pPr>
        <w:widowControl w:val="0"/>
        <w:jc w:val="both"/>
        <w:rPr>
          <w:rFonts w:ascii="Arial" w:hAnsi="Arial" w:cs="Arial"/>
          <w:sz w:val="22"/>
          <w:szCs w:val="22"/>
          <w:shd w:val="clear" w:color="auto" w:fill="FFFFFF"/>
          <w:lang w:val="en-GB"/>
        </w:rPr>
      </w:pPr>
    </w:p>
    <w:p w14:paraId="2357E55D" w14:textId="7E308185" w:rsidR="00DA6710" w:rsidRDefault="00DA6710" w:rsidP="00DA6710">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These questions are posed in an attempt to bring the cross-border aspects and the insolvency aspects</w:t>
      </w:r>
      <w:r w:rsidR="005D5D6D">
        <w:rPr>
          <w:rFonts w:ascii="Arial" w:hAnsi="Arial" w:cs="Arial"/>
          <w:sz w:val="22"/>
          <w:szCs w:val="22"/>
          <w:shd w:val="clear" w:color="auto" w:fill="FFFFFF"/>
          <w:lang w:val="en-GB"/>
        </w:rPr>
        <w:t xml:space="preserve"> in any given corporate insolvency</w:t>
      </w:r>
      <w:r>
        <w:rPr>
          <w:rFonts w:ascii="Arial" w:hAnsi="Arial" w:cs="Arial"/>
          <w:sz w:val="22"/>
          <w:szCs w:val="22"/>
          <w:shd w:val="clear" w:color="auto" w:fill="FFFFFF"/>
          <w:lang w:val="en-GB"/>
        </w:rPr>
        <w:t xml:space="preserve"> together, but in doing so, highlight the difficulties which</w:t>
      </w:r>
      <w:r w:rsidR="005D5D6D">
        <w:rPr>
          <w:rFonts w:ascii="Arial" w:hAnsi="Arial" w:cs="Arial"/>
          <w:sz w:val="22"/>
          <w:szCs w:val="22"/>
          <w:shd w:val="clear" w:color="auto" w:fill="FFFFFF"/>
          <w:lang w:val="en-GB"/>
        </w:rPr>
        <w:t xml:space="preserve"> can arise</w:t>
      </w:r>
      <w:r>
        <w:rPr>
          <w:rFonts w:ascii="Arial" w:hAnsi="Arial" w:cs="Arial"/>
          <w:sz w:val="22"/>
          <w:szCs w:val="22"/>
          <w:shd w:val="clear" w:color="auto" w:fill="FFFFFF"/>
          <w:lang w:val="en-GB"/>
        </w:rPr>
        <w:t>, including</w:t>
      </w:r>
      <w:r w:rsidR="005D5D6D">
        <w:rPr>
          <w:rFonts w:ascii="Arial" w:hAnsi="Arial" w:cs="Arial"/>
          <w:sz w:val="22"/>
          <w:szCs w:val="22"/>
          <w:shd w:val="clear" w:color="auto" w:fill="FFFFFF"/>
          <w:lang w:val="en-GB"/>
        </w:rPr>
        <w:t>,</w:t>
      </w:r>
      <w:r>
        <w:rPr>
          <w:rFonts w:ascii="Arial" w:hAnsi="Arial" w:cs="Arial"/>
          <w:sz w:val="22"/>
          <w:szCs w:val="22"/>
          <w:shd w:val="clear" w:color="auto" w:fill="FFFFFF"/>
          <w:lang w:val="en-GB"/>
        </w:rPr>
        <w:t xml:space="preserve"> as a result of differences in laws between States, which </w:t>
      </w:r>
      <w:r w:rsidR="005D5D6D">
        <w:rPr>
          <w:rFonts w:ascii="Arial" w:hAnsi="Arial" w:cs="Arial"/>
          <w:sz w:val="22"/>
          <w:szCs w:val="22"/>
          <w:shd w:val="clear" w:color="auto" w:fill="FFFFFF"/>
          <w:lang w:val="en-GB"/>
        </w:rPr>
        <w:t xml:space="preserve">arguably </w:t>
      </w:r>
      <w:r>
        <w:rPr>
          <w:rFonts w:ascii="Arial" w:hAnsi="Arial" w:cs="Arial"/>
          <w:sz w:val="22"/>
          <w:szCs w:val="22"/>
          <w:shd w:val="clear" w:color="auto" w:fill="FFFFFF"/>
          <w:lang w:val="en-GB"/>
        </w:rPr>
        <w:t xml:space="preserve">supports the </w:t>
      </w:r>
      <w:r w:rsidR="005D5D6D">
        <w:rPr>
          <w:rFonts w:ascii="Arial" w:hAnsi="Arial" w:cs="Arial"/>
          <w:sz w:val="22"/>
          <w:szCs w:val="22"/>
          <w:shd w:val="clear" w:color="auto" w:fill="FFFFFF"/>
          <w:lang w:val="en-GB"/>
        </w:rPr>
        <w:t>pursuit of</w:t>
      </w:r>
      <w:r>
        <w:rPr>
          <w:rFonts w:ascii="Arial" w:hAnsi="Arial" w:cs="Arial"/>
          <w:sz w:val="22"/>
          <w:szCs w:val="22"/>
          <w:shd w:val="clear" w:color="auto" w:fill="FFFFFF"/>
          <w:lang w:val="en-GB"/>
        </w:rPr>
        <w:t xml:space="preserve"> harmonisation of insolvency laws</w:t>
      </w:r>
      <w:r w:rsidR="006156C2">
        <w:rPr>
          <w:rStyle w:val="FootnoteReference"/>
          <w:rFonts w:ascii="Arial" w:hAnsi="Arial" w:cs="Arial"/>
          <w:sz w:val="22"/>
          <w:szCs w:val="22"/>
          <w:shd w:val="clear" w:color="auto" w:fill="FFFFFF"/>
          <w:lang w:val="en-GB"/>
        </w:rPr>
        <w:footnoteReference w:id="15"/>
      </w:r>
      <w:r>
        <w:rPr>
          <w:rFonts w:ascii="Arial" w:hAnsi="Arial" w:cs="Arial"/>
          <w:sz w:val="22"/>
          <w:szCs w:val="22"/>
          <w:shd w:val="clear" w:color="auto" w:fill="FFFFFF"/>
          <w:lang w:val="en-GB"/>
        </w:rPr>
        <w:t xml:space="preserve">. </w:t>
      </w:r>
    </w:p>
    <w:p w14:paraId="747B8DC1" w14:textId="51576DE4" w:rsidR="00DA6710" w:rsidRDefault="00DA6710" w:rsidP="00DA6710">
      <w:pPr>
        <w:widowControl w:val="0"/>
        <w:jc w:val="both"/>
        <w:rPr>
          <w:rFonts w:ascii="Arial" w:hAnsi="Arial" w:cs="Arial"/>
          <w:sz w:val="22"/>
          <w:szCs w:val="22"/>
          <w:shd w:val="clear" w:color="auto" w:fill="FFFFFF"/>
          <w:lang w:val="en-GB"/>
        </w:rPr>
      </w:pPr>
    </w:p>
    <w:p w14:paraId="221FA516" w14:textId="39A2AAC7" w:rsidR="00DA6710" w:rsidRDefault="00DA6710" w:rsidP="00DA6710">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 looking at the first question, the potential for concurrency of proceedings in multiple jurisdictions generates the </w:t>
      </w:r>
      <w:r w:rsidR="006156C2">
        <w:rPr>
          <w:rFonts w:ascii="Arial" w:hAnsi="Arial" w:cs="Arial"/>
          <w:sz w:val="22"/>
          <w:szCs w:val="22"/>
          <w:shd w:val="clear" w:color="auto" w:fill="FFFFFF"/>
          <w:lang w:val="en-GB"/>
        </w:rPr>
        <w:t xml:space="preserve">risk that there will be </w:t>
      </w:r>
      <w:r>
        <w:rPr>
          <w:rFonts w:ascii="Arial" w:hAnsi="Arial" w:cs="Arial"/>
          <w:sz w:val="22"/>
          <w:szCs w:val="22"/>
          <w:shd w:val="clear" w:color="auto" w:fill="FFFFFF"/>
          <w:lang w:val="en-GB"/>
        </w:rPr>
        <w:t xml:space="preserve">inconsistency in </w:t>
      </w:r>
      <w:r w:rsidR="006156C2">
        <w:rPr>
          <w:rFonts w:ascii="Arial" w:hAnsi="Arial" w:cs="Arial"/>
          <w:sz w:val="22"/>
          <w:szCs w:val="22"/>
          <w:shd w:val="clear" w:color="auto" w:fill="FFFFFF"/>
          <w:lang w:val="en-GB"/>
        </w:rPr>
        <w:t>the approach taken to</w:t>
      </w:r>
      <w:r>
        <w:rPr>
          <w:rFonts w:ascii="Arial" w:hAnsi="Arial" w:cs="Arial"/>
          <w:sz w:val="22"/>
          <w:szCs w:val="22"/>
          <w:shd w:val="clear" w:color="auto" w:fill="FFFFFF"/>
          <w:lang w:val="en-GB"/>
        </w:rPr>
        <w:t xml:space="preserve"> dealing with the assets of a debtor and treatment of creditors. </w:t>
      </w:r>
      <w:r w:rsidR="00114050">
        <w:rPr>
          <w:rFonts w:ascii="Arial" w:hAnsi="Arial" w:cs="Arial"/>
          <w:sz w:val="22"/>
          <w:szCs w:val="22"/>
          <w:shd w:val="clear" w:color="auto" w:fill="FFFFFF"/>
          <w:lang w:val="en-GB"/>
        </w:rPr>
        <w:t xml:space="preserve">It also results in the depletion of the debtors assets to meet the costs of the multiple proceedings taking place. </w:t>
      </w:r>
    </w:p>
    <w:p w14:paraId="3BE0ABD5" w14:textId="5C6BA3C5" w:rsidR="00DA6710" w:rsidRDefault="00DA6710" w:rsidP="00DA6710">
      <w:pPr>
        <w:widowControl w:val="0"/>
        <w:jc w:val="both"/>
        <w:rPr>
          <w:rFonts w:ascii="Arial" w:hAnsi="Arial" w:cs="Arial"/>
          <w:sz w:val="22"/>
          <w:szCs w:val="22"/>
          <w:shd w:val="clear" w:color="auto" w:fill="FFFFFF"/>
          <w:lang w:val="en-GB"/>
        </w:rPr>
      </w:pPr>
    </w:p>
    <w:p w14:paraId="28769642" w14:textId="71F4B8F5" w:rsidR="00DA6710" w:rsidRDefault="00DA6710" w:rsidP="00DA6710">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second question raises conflict of law issues where each State in which a proceeding is commenced will seek to apply its own laws (including choice of law rules)</w:t>
      </w:r>
      <w:r w:rsidR="006156C2">
        <w:rPr>
          <w:rFonts w:ascii="Arial" w:hAnsi="Arial" w:cs="Arial"/>
          <w:sz w:val="22"/>
          <w:szCs w:val="22"/>
          <w:shd w:val="clear" w:color="auto" w:fill="FFFFFF"/>
          <w:lang w:val="en-GB"/>
        </w:rPr>
        <w:t>. There may be a need for a court to apply the law of a differen</w:t>
      </w:r>
      <w:r w:rsidR="005D5D6D">
        <w:rPr>
          <w:rFonts w:ascii="Arial" w:hAnsi="Arial" w:cs="Arial"/>
          <w:sz w:val="22"/>
          <w:szCs w:val="22"/>
          <w:shd w:val="clear" w:color="auto" w:fill="FFFFFF"/>
          <w:lang w:val="en-GB"/>
        </w:rPr>
        <w:t xml:space="preserve">t State. However, the rules governing questions concerning choice of law </w:t>
      </w:r>
      <w:r w:rsidR="006156C2">
        <w:rPr>
          <w:rFonts w:ascii="Arial" w:hAnsi="Arial" w:cs="Arial"/>
          <w:sz w:val="22"/>
          <w:szCs w:val="22"/>
          <w:shd w:val="clear" w:color="auto" w:fill="FFFFFF"/>
          <w:lang w:val="en-GB"/>
        </w:rPr>
        <w:t>also var</w:t>
      </w:r>
      <w:r w:rsidR="005D5D6D">
        <w:rPr>
          <w:rFonts w:ascii="Arial" w:hAnsi="Arial" w:cs="Arial"/>
          <w:sz w:val="22"/>
          <w:szCs w:val="22"/>
          <w:shd w:val="clear" w:color="auto" w:fill="FFFFFF"/>
          <w:lang w:val="en-GB"/>
        </w:rPr>
        <w:t>y from State to State and in particular,</w:t>
      </w:r>
      <w:r w:rsidR="006156C2">
        <w:rPr>
          <w:rFonts w:ascii="Arial" w:hAnsi="Arial" w:cs="Arial"/>
          <w:sz w:val="22"/>
          <w:szCs w:val="22"/>
          <w:shd w:val="clear" w:color="auto" w:fill="FFFFFF"/>
          <w:lang w:val="en-GB"/>
        </w:rPr>
        <w:t xml:space="preserve"> depending on whether the State is a civil or common law based jurisdiction. </w:t>
      </w:r>
      <w:r w:rsidR="005D5D6D">
        <w:rPr>
          <w:rFonts w:ascii="Arial" w:hAnsi="Arial" w:cs="Arial"/>
          <w:sz w:val="22"/>
          <w:szCs w:val="22"/>
          <w:shd w:val="clear" w:color="auto" w:fill="FFFFFF"/>
          <w:lang w:val="en-GB"/>
        </w:rPr>
        <w:t>This problem can arise when the debtor faces creditors pressing their claims in more than one State. As Omar notes "</w:t>
      </w:r>
      <w:r w:rsidR="005D5D6D" w:rsidRPr="007F4C1E">
        <w:rPr>
          <w:rFonts w:ascii="Arial" w:hAnsi="Arial" w:cs="Arial"/>
          <w:i/>
          <w:sz w:val="22"/>
          <w:szCs w:val="22"/>
          <w:shd w:val="clear" w:color="auto" w:fill="FFFFFF"/>
          <w:lang w:val="en-GB"/>
        </w:rPr>
        <w:t>The conflict may itself be made more complex by the presence of qualifications, including the presence of security, set-off and netting arrangements, retention of title clauses and other means of protecting title available to creditors in national laws</w:t>
      </w:r>
      <w:r w:rsidR="005D5D6D">
        <w:rPr>
          <w:rFonts w:ascii="Arial" w:hAnsi="Arial" w:cs="Arial"/>
          <w:sz w:val="22"/>
          <w:szCs w:val="22"/>
          <w:shd w:val="clear" w:color="auto" w:fill="FFFFFF"/>
          <w:lang w:val="en-GB"/>
        </w:rPr>
        <w:t>"</w:t>
      </w:r>
      <w:r w:rsidR="005D5D6D">
        <w:rPr>
          <w:rStyle w:val="FootnoteReference"/>
          <w:rFonts w:ascii="Arial" w:hAnsi="Arial" w:cs="Arial"/>
          <w:sz w:val="22"/>
          <w:szCs w:val="22"/>
          <w:shd w:val="clear" w:color="auto" w:fill="FFFFFF"/>
          <w:lang w:val="en-GB"/>
        </w:rPr>
        <w:footnoteReference w:id="16"/>
      </w:r>
      <w:r w:rsidR="005D5D6D">
        <w:rPr>
          <w:rFonts w:ascii="Arial" w:hAnsi="Arial" w:cs="Arial"/>
          <w:sz w:val="22"/>
          <w:szCs w:val="22"/>
          <w:shd w:val="clear" w:color="auto" w:fill="FFFFFF"/>
          <w:lang w:val="en-GB"/>
        </w:rPr>
        <w:t xml:space="preserve">. </w:t>
      </w:r>
      <w:r w:rsidR="00114050">
        <w:rPr>
          <w:rFonts w:ascii="Arial" w:hAnsi="Arial" w:cs="Arial"/>
          <w:sz w:val="22"/>
          <w:szCs w:val="22"/>
          <w:shd w:val="clear" w:color="auto" w:fill="FFFFFF"/>
          <w:lang w:val="en-GB"/>
        </w:rPr>
        <w:t>This can result in stakeholders being treated differently</w:t>
      </w:r>
      <w:r w:rsidR="00681209">
        <w:rPr>
          <w:rFonts w:ascii="Arial" w:hAnsi="Arial" w:cs="Arial"/>
          <w:sz w:val="22"/>
          <w:szCs w:val="22"/>
          <w:shd w:val="clear" w:color="auto" w:fill="FFFFFF"/>
          <w:lang w:val="en-GB"/>
        </w:rPr>
        <w:t xml:space="preserve"> and inconsistently from State to State and could incentivise stakeholders to forum shop for the jurisdiction most likely to adjudicate favourable to their interests. </w:t>
      </w:r>
    </w:p>
    <w:p w14:paraId="758DDC4C" w14:textId="4A138434" w:rsidR="00DA6710" w:rsidRDefault="00DA6710" w:rsidP="00DA6710">
      <w:pPr>
        <w:widowControl w:val="0"/>
        <w:jc w:val="both"/>
        <w:rPr>
          <w:rFonts w:ascii="Arial" w:hAnsi="Arial" w:cs="Arial"/>
          <w:sz w:val="22"/>
          <w:szCs w:val="22"/>
          <w:shd w:val="clear" w:color="auto" w:fill="FFFFFF"/>
          <w:lang w:val="en-GB"/>
        </w:rPr>
      </w:pPr>
    </w:p>
    <w:p w14:paraId="69C38F49" w14:textId="32CB36C9" w:rsidR="00DA6710" w:rsidRDefault="00DA6710" w:rsidP="00DA6710">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Thirdly, </w:t>
      </w:r>
      <w:r w:rsidR="006156C2">
        <w:rPr>
          <w:rFonts w:ascii="Arial" w:hAnsi="Arial" w:cs="Arial"/>
          <w:sz w:val="22"/>
          <w:szCs w:val="22"/>
          <w:shd w:val="clear" w:color="auto" w:fill="FFFFFF"/>
          <w:lang w:val="en-GB"/>
        </w:rPr>
        <w:t xml:space="preserve">little or no extraterritorial effects may be granted to foreign proceedings meaning that assets in other jurisdictions may be placed beyond the reach of insolvency practitioners appointed in one jurisdiction which </w:t>
      </w:r>
      <w:r w:rsidR="00681209">
        <w:rPr>
          <w:rFonts w:ascii="Arial" w:hAnsi="Arial" w:cs="Arial"/>
          <w:sz w:val="22"/>
          <w:szCs w:val="22"/>
          <w:shd w:val="clear" w:color="auto" w:fill="FFFFFF"/>
          <w:lang w:val="en-GB"/>
        </w:rPr>
        <w:t>could</w:t>
      </w:r>
      <w:r w:rsidR="00114050">
        <w:rPr>
          <w:rFonts w:ascii="Arial" w:hAnsi="Arial" w:cs="Arial"/>
          <w:sz w:val="22"/>
          <w:szCs w:val="22"/>
          <w:shd w:val="clear" w:color="auto" w:fill="FFFFFF"/>
          <w:lang w:val="en-GB"/>
        </w:rPr>
        <w:t xml:space="preserve"> be </w:t>
      </w:r>
      <w:r w:rsidR="006156C2">
        <w:rPr>
          <w:rFonts w:ascii="Arial" w:hAnsi="Arial" w:cs="Arial"/>
          <w:sz w:val="22"/>
          <w:szCs w:val="22"/>
          <w:shd w:val="clear" w:color="auto" w:fill="FFFFFF"/>
          <w:lang w:val="en-GB"/>
        </w:rPr>
        <w:t xml:space="preserve">the jurisdiction in which most of the debt is </w:t>
      </w:r>
      <w:r w:rsidR="006156C2">
        <w:rPr>
          <w:rFonts w:ascii="Arial" w:hAnsi="Arial" w:cs="Arial"/>
          <w:sz w:val="22"/>
          <w:szCs w:val="22"/>
          <w:shd w:val="clear" w:color="auto" w:fill="FFFFFF"/>
          <w:lang w:val="en-GB"/>
        </w:rPr>
        <w:lastRenderedPageBreak/>
        <w:t>situated.</w:t>
      </w:r>
      <w:r w:rsidR="007F4C1E">
        <w:rPr>
          <w:rFonts w:ascii="Arial" w:hAnsi="Arial" w:cs="Arial"/>
          <w:sz w:val="22"/>
          <w:szCs w:val="22"/>
          <w:shd w:val="clear" w:color="auto" w:fill="FFFFFF"/>
          <w:lang w:val="en-GB"/>
        </w:rPr>
        <w:t xml:space="preserve"> </w:t>
      </w:r>
      <w:r w:rsidR="00681209">
        <w:rPr>
          <w:rFonts w:ascii="Arial" w:hAnsi="Arial" w:cs="Arial"/>
          <w:sz w:val="22"/>
          <w:szCs w:val="22"/>
          <w:shd w:val="clear" w:color="auto" w:fill="FFFFFF"/>
          <w:lang w:val="en-GB"/>
        </w:rPr>
        <w:t xml:space="preserve">States have taken steps to amend domestic laws to address international insolvency issues through provisions for the recognition and enforcement or the effects of a foreign insolvency proceeding. Some States have also provided for cooperation </w:t>
      </w:r>
      <w:r w:rsidR="00AF23C7">
        <w:rPr>
          <w:rFonts w:ascii="Arial" w:hAnsi="Arial" w:cs="Arial"/>
          <w:sz w:val="22"/>
          <w:szCs w:val="22"/>
          <w:shd w:val="clear" w:color="auto" w:fill="FFFFFF"/>
          <w:lang w:val="en-GB"/>
        </w:rPr>
        <w:t>and coordinate</w:t>
      </w:r>
      <w:r w:rsidR="00681209">
        <w:rPr>
          <w:rFonts w:ascii="Arial" w:hAnsi="Arial" w:cs="Arial"/>
          <w:sz w:val="22"/>
          <w:szCs w:val="22"/>
          <w:shd w:val="clear" w:color="auto" w:fill="FFFFFF"/>
          <w:lang w:val="en-GB"/>
        </w:rPr>
        <w:t xml:space="preserve"> where there are concurrent proceedings</w:t>
      </w:r>
      <w:r w:rsidR="00AF23C7">
        <w:rPr>
          <w:rFonts w:ascii="Arial" w:hAnsi="Arial" w:cs="Arial"/>
          <w:sz w:val="22"/>
          <w:szCs w:val="22"/>
          <w:shd w:val="clear" w:color="auto" w:fill="FFFFFF"/>
          <w:lang w:val="en-GB"/>
        </w:rPr>
        <w:t>, such as the through the adoption</w:t>
      </w:r>
      <w:r w:rsidR="00681209">
        <w:rPr>
          <w:rFonts w:ascii="Arial" w:hAnsi="Arial" w:cs="Arial"/>
          <w:sz w:val="22"/>
          <w:szCs w:val="22"/>
          <w:shd w:val="clear" w:color="auto" w:fill="FFFFFF"/>
          <w:lang w:val="en-GB"/>
        </w:rPr>
        <w:t xml:space="preserve"> of</w:t>
      </w:r>
      <w:r w:rsidR="00AF23C7">
        <w:rPr>
          <w:rFonts w:ascii="Arial" w:hAnsi="Arial" w:cs="Arial"/>
          <w:sz w:val="22"/>
          <w:szCs w:val="22"/>
          <w:shd w:val="clear" w:color="auto" w:fill="FFFFFF"/>
          <w:lang w:val="en-GB"/>
        </w:rPr>
        <w:t xml:space="preserve"> soft laws such as MLCBI. These steps are conducive to addressing the difficulties arising from different laws and serve to better harmonise the international approach towards cross-border insolvencies. </w:t>
      </w:r>
    </w:p>
    <w:p w14:paraId="67E33CB5" w14:textId="6392EF26" w:rsidR="00DA6710" w:rsidRDefault="00DA6710" w:rsidP="00DA6710">
      <w:pPr>
        <w:widowControl w:val="0"/>
        <w:jc w:val="both"/>
        <w:rPr>
          <w:rFonts w:ascii="Arial" w:hAnsi="Arial" w:cs="Arial"/>
          <w:sz w:val="22"/>
          <w:szCs w:val="22"/>
          <w:shd w:val="clear" w:color="auto" w:fill="FFFFFF"/>
          <w:lang w:val="en-GB"/>
        </w:rPr>
      </w:pPr>
    </w:p>
    <w:p w14:paraId="16ED6E15" w14:textId="7F119647" w:rsidR="00DA6710" w:rsidRPr="00DA6710" w:rsidRDefault="00DA6710" w:rsidP="00DA6710">
      <w:pPr>
        <w:widowControl w:val="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30D002FC" w14:textId="468EF0EE" w:rsidR="00553B4A" w:rsidRDefault="00DC020B" w:rsidP="00B7193E">
      <w:pPr>
        <w:jc w:val="both"/>
        <w:rPr>
          <w:rFonts w:ascii="Arial" w:hAnsi="Arial" w:cs="Arial"/>
          <w:sz w:val="22"/>
          <w:szCs w:val="22"/>
          <w:lang w:val="en-GB"/>
        </w:rPr>
      </w:pPr>
      <w:r w:rsidRPr="00DC020B">
        <w:rPr>
          <w:rFonts w:ascii="Arial" w:hAnsi="Arial" w:cs="Arial"/>
          <w:i/>
          <w:sz w:val="22"/>
          <w:szCs w:val="22"/>
          <w:lang w:val="en-GB"/>
        </w:rPr>
        <w:t xml:space="preserve">Maxwell Communications Corporation plc </w:t>
      </w:r>
      <w:r>
        <w:rPr>
          <w:rFonts w:ascii="Arial" w:hAnsi="Arial" w:cs="Arial"/>
          <w:sz w:val="22"/>
          <w:szCs w:val="22"/>
          <w:lang w:val="en-GB"/>
        </w:rPr>
        <w:t>was a cross-border insolvency case in 1991</w:t>
      </w:r>
      <w:r w:rsidR="003A186B">
        <w:rPr>
          <w:rFonts w:ascii="Arial" w:hAnsi="Arial" w:cs="Arial"/>
          <w:sz w:val="22"/>
          <w:szCs w:val="22"/>
          <w:lang w:val="en-GB"/>
        </w:rPr>
        <w:t xml:space="preserve">, involving </w:t>
      </w:r>
      <w:r w:rsidR="0022691B">
        <w:rPr>
          <w:rFonts w:ascii="Arial" w:hAnsi="Arial" w:cs="Arial"/>
          <w:sz w:val="22"/>
          <w:szCs w:val="22"/>
          <w:lang w:val="en-GB"/>
        </w:rPr>
        <w:t xml:space="preserve">primary </w:t>
      </w:r>
      <w:r w:rsidR="003A186B">
        <w:rPr>
          <w:rFonts w:ascii="Arial" w:hAnsi="Arial" w:cs="Arial"/>
          <w:sz w:val="22"/>
          <w:szCs w:val="22"/>
          <w:lang w:val="en-GB"/>
        </w:rPr>
        <w:t>proceedings in t</w:t>
      </w:r>
      <w:r w:rsidR="0022691B">
        <w:rPr>
          <w:rFonts w:ascii="Arial" w:hAnsi="Arial" w:cs="Arial"/>
          <w:sz w:val="22"/>
          <w:szCs w:val="22"/>
          <w:lang w:val="en-GB"/>
        </w:rPr>
        <w:t xml:space="preserve">he United States and in England, instigated by a single debtor, </w:t>
      </w:r>
      <w:r>
        <w:rPr>
          <w:rFonts w:ascii="Arial" w:hAnsi="Arial" w:cs="Arial"/>
          <w:sz w:val="22"/>
          <w:szCs w:val="22"/>
          <w:lang w:val="en-GB"/>
        </w:rPr>
        <w:t xml:space="preserve">which were co-ordinated through an "Order and Protocol" approved by the courts in the United States (seized of Chapter 11 proceedings) and England (seized of administration proceedings). </w:t>
      </w:r>
    </w:p>
    <w:p w14:paraId="108A1D27" w14:textId="56F90380" w:rsidR="00F53EBD" w:rsidRDefault="00F53EBD" w:rsidP="00B7193E">
      <w:pPr>
        <w:jc w:val="both"/>
        <w:rPr>
          <w:rFonts w:ascii="Arial" w:hAnsi="Arial" w:cs="Arial"/>
          <w:sz w:val="22"/>
          <w:szCs w:val="22"/>
          <w:lang w:val="en-GB"/>
        </w:rPr>
      </w:pPr>
    </w:p>
    <w:p w14:paraId="2A082BDB" w14:textId="619EDB2A" w:rsidR="00F53EBD" w:rsidRDefault="005A3DFA" w:rsidP="00B7193E">
      <w:pPr>
        <w:jc w:val="both"/>
        <w:rPr>
          <w:rFonts w:ascii="Arial" w:hAnsi="Arial" w:cs="Arial"/>
          <w:sz w:val="22"/>
          <w:szCs w:val="22"/>
          <w:lang w:val="en-GB"/>
        </w:rPr>
      </w:pPr>
      <w:r>
        <w:rPr>
          <w:rFonts w:ascii="Arial" w:hAnsi="Arial" w:cs="Arial"/>
          <w:sz w:val="22"/>
          <w:szCs w:val="22"/>
          <w:lang w:val="en-GB"/>
        </w:rPr>
        <w:t xml:space="preserve">The following key features of the agreement adopted in the </w:t>
      </w:r>
      <w:r w:rsidRPr="00132A5F">
        <w:rPr>
          <w:rFonts w:ascii="Arial" w:hAnsi="Arial" w:cs="Arial"/>
          <w:i/>
          <w:sz w:val="22"/>
          <w:szCs w:val="22"/>
          <w:lang w:val="en-GB"/>
        </w:rPr>
        <w:t>Maxwell</w:t>
      </w:r>
      <w:r>
        <w:rPr>
          <w:rFonts w:ascii="Arial" w:hAnsi="Arial" w:cs="Arial"/>
          <w:sz w:val="22"/>
          <w:szCs w:val="22"/>
          <w:lang w:val="en-GB"/>
        </w:rPr>
        <w:t xml:space="preserve"> case have been summarised in the UNCITRAL Practice Guide</w:t>
      </w:r>
      <w:r>
        <w:rPr>
          <w:rStyle w:val="FootnoteReference"/>
          <w:rFonts w:ascii="Arial" w:hAnsi="Arial" w:cs="Arial"/>
          <w:sz w:val="22"/>
          <w:szCs w:val="22"/>
          <w:lang w:val="en-GB"/>
        </w:rPr>
        <w:footnoteReference w:id="17"/>
      </w:r>
      <w:r>
        <w:rPr>
          <w:rFonts w:ascii="Arial" w:hAnsi="Arial" w:cs="Arial"/>
          <w:sz w:val="22"/>
          <w:szCs w:val="22"/>
          <w:lang w:val="en-GB"/>
        </w:rPr>
        <w:t xml:space="preserve"> wherein it is noted that there </w:t>
      </w:r>
      <w:r w:rsidR="00F53EBD">
        <w:rPr>
          <w:rFonts w:ascii="Arial" w:hAnsi="Arial" w:cs="Arial"/>
          <w:sz w:val="22"/>
          <w:szCs w:val="22"/>
          <w:lang w:val="en-GB"/>
        </w:rPr>
        <w:t xml:space="preserve">were essentially two goals </w:t>
      </w:r>
      <w:r w:rsidR="00A24E90">
        <w:rPr>
          <w:rFonts w:ascii="Arial" w:hAnsi="Arial" w:cs="Arial"/>
          <w:sz w:val="22"/>
          <w:szCs w:val="22"/>
          <w:lang w:val="en-GB"/>
        </w:rPr>
        <w:t>which were intended to guid</w:t>
      </w:r>
      <w:r w:rsidR="0022691B">
        <w:rPr>
          <w:rFonts w:ascii="Arial" w:hAnsi="Arial" w:cs="Arial"/>
          <w:sz w:val="22"/>
          <w:szCs w:val="22"/>
          <w:lang w:val="en-GB"/>
        </w:rPr>
        <w:t>e the insolvency representatives</w:t>
      </w:r>
      <w:r w:rsidR="00A24E90">
        <w:rPr>
          <w:rFonts w:ascii="Arial" w:hAnsi="Arial" w:cs="Arial"/>
          <w:sz w:val="22"/>
          <w:szCs w:val="22"/>
          <w:lang w:val="en-GB"/>
        </w:rPr>
        <w:t xml:space="preserve"> appointed in each </w:t>
      </w:r>
      <w:r w:rsidR="0022691B">
        <w:rPr>
          <w:rFonts w:ascii="Arial" w:hAnsi="Arial" w:cs="Arial"/>
          <w:sz w:val="22"/>
          <w:szCs w:val="22"/>
          <w:lang w:val="en-GB"/>
        </w:rPr>
        <w:t xml:space="preserve">of the </w:t>
      </w:r>
      <w:r>
        <w:rPr>
          <w:rFonts w:ascii="Arial" w:hAnsi="Arial" w:cs="Arial"/>
          <w:sz w:val="22"/>
          <w:szCs w:val="22"/>
          <w:lang w:val="en-GB"/>
        </w:rPr>
        <w:t xml:space="preserve">Maxwell insolvency </w:t>
      </w:r>
      <w:r w:rsidR="00A24E90">
        <w:rPr>
          <w:rFonts w:ascii="Arial" w:hAnsi="Arial" w:cs="Arial"/>
          <w:sz w:val="22"/>
          <w:szCs w:val="22"/>
          <w:lang w:val="en-GB"/>
        </w:rPr>
        <w:t>proceeding</w:t>
      </w:r>
      <w:r w:rsidR="0022691B">
        <w:rPr>
          <w:rFonts w:ascii="Arial" w:hAnsi="Arial" w:cs="Arial"/>
          <w:sz w:val="22"/>
          <w:szCs w:val="22"/>
          <w:lang w:val="en-GB"/>
        </w:rPr>
        <w:t xml:space="preserve">s. The first goal being </w:t>
      </w:r>
      <w:r w:rsidR="00A24E90">
        <w:rPr>
          <w:rFonts w:ascii="Arial" w:hAnsi="Arial" w:cs="Arial"/>
          <w:sz w:val="22"/>
          <w:szCs w:val="22"/>
          <w:lang w:val="en-GB"/>
        </w:rPr>
        <w:t xml:space="preserve">to maximise the value of the estate and harmonise the proceedings to minimise expense, waste and jurisdictional conflict. Secondly, </w:t>
      </w:r>
      <w:r w:rsidR="0022691B">
        <w:rPr>
          <w:rFonts w:ascii="Arial" w:hAnsi="Arial" w:cs="Arial"/>
          <w:sz w:val="22"/>
          <w:szCs w:val="22"/>
          <w:lang w:val="en-GB"/>
        </w:rPr>
        <w:t xml:space="preserve">there was </w:t>
      </w:r>
      <w:r w:rsidR="00A24E90">
        <w:rPr>
          <w:rFonts w:ascii="Arial" w:hAnsi="Arial" w:cs="Arial"/>
          <w:sz w:val="22"/>
          <w:szCs w:val="22"/>
          <w:lang w:val="en-GB"/>
        </w:rPr>
        <w:t>an agreement that the United States court would defer to the English proceedings once it was determined that certain criteria were present.</w:t>
      </w:r>
      <w:r w:rsidR="0022691B">
        <w:rPr>
          <w:rFonts w:ascii="Arial" w:hAnsi="Arial" w:cs="Arial"/>
          <w:sz w:val="22"/>
          <w:szCs w:val="22"/>
          <w:lang w:val="en-GB"/>
        </w:rPr>
        <w:t xml:space="preserve"> </w:t>
      </w:r>
      <w:r w:rsidR="00132A5F">
        <w:rPr>
          <w:rFonts w:ascii="Arial" w:hAnsi="Arial" w:cs="Arial"/>
          <w:sz w:val="22"/>
          <w:szCs w:val="22"/>
          <w:lang w:val="en-GB"/>
        </w:rPr>
        <w:t>As the summary goes on to illustrate, in order t</w:t>
      </w:r>
      <w:r w:rsidR="0022691B">
        <w:rPr>
          <w:rFonts w:ascii="Arial" w:hAnsi="Arial" w:cs="Arial"/>
          <w:sz w:val="22"/>
          <w:szCs w:val="22"/>
          <w:lang w:val="en-GB"/>
        </w:rPr>
        <w:t>o facilitate these goals being achieved there was an element of give and take on both sides</w:t>
      </w:r>
      <w:r w:rsidR="00712AD8">
        <w:rPr>
          <w:rFonts w:ascii="Arial" w:hAnsi="Arial" w:cs="Arial"/>
          <w:sz w:val="22"/>
          <w:szCs w:val="22"/>
          <w:lang w:val="en-GB"/>
        </w:rPr>
        <w:t>. For example, while the English insolvency representative was allowed, with consent of its US counterpart to select new and independent directors, the English representative agreed to only incur debt or file a reorganisation plan with the consent of the US representative or the US court. The English representative also agreed to giving prior notice t</w:t>
      </w:r>
      <w:r>
        <w:rPr>
          <w:rFonts w:ascii="Arial" w:hAnsi="Arial" w:cs="Arial"/>
          <w:sz w:val="22"/>
          <w:szCs w:val="22"/>
          <w:lang w:val="en-GB"/>
        </w:rPr>
        <w:t xml:space="preserve">o the US insolvency representatives before undertaking any major transaction on behalf of the debtor, but were able to undertake less significant transactions without giving notice. </w:t>
      </w:r>
      <w:r w:rsidR="00132A5F">
        <w:rPr>
          <w:rFonts w:ascii="Arial" w:hAnsi="Arial" w:cs="Arial"/>
          <w:sz w:val="22"/>
          <w:szCs w:val="22"/>
          <w:lang w:val="en-GB"/>
        </w:rPr>
        <w:t xml:space="preserve">These points of agreement and cooperation </w:t>
      </w:r>
      <w:r w:rsidR="00C31C16">
        <w:rPr>
          <w:rFonts w:ascii="Arial" w:hAnsi="Arial" w:cs="Arial"/>
          <w:sz w:val="22"/>
          <w:szCs w:val="22"/>
          <w:lang w:val="en-GB"/>
        </w:rPr>
        <w:t>were important in order for the proceedings to be coordinated in an orderly fashion and arguably provided flexibility for the</w:t>
      </w:r>
      <w:r w:rsidR="00E96829">
        <w:rPr>
          <w:rFonts w:ascii="Arial" w:hAnsi="Arial" w:cs="Arial"/>
          <w:sz w:val="22"/>
          <w:szCs w:val="22"/>
          <w:lang w:val="en-GB"/>
        </w:rPr>
        <w:t xml:space="preserve"> insolvency practitioners in both jurisdictions to</w:t>
      </w:r>
      <w:r w:rsidR="00C31C16">
        <w:rPr>
          <w:rFonts w:ascii="Arial" w:hAnsi="Arial" w:cs="Arial"/>
          <w:sz w:val="22"/>
          <w:szCs w:val="22"/>
          <w:lang w:val="en-GB"/>
        </w:rPr>
        <w:t xml:space="preserve"> effective</w:t>
      </w:r>
      <w:r w:rsidR="00E96829">
        <w:rPr>
          <w:rFonts w:ascii="Arial" w:hAnsi="Arial" w:cs="Arial"/>
          <w:sz w:val="22"/>
          <w:szCs w:val="22"/>
          <w:lang w:val="en-GB"/>
        </w:rPr>
        <w:t>ly manage</w:t>
      </w:r>
      <w:r w:rsidR="00C31C16">
        <w:rPr>
          <w:rFonts w:ascii="Arial" w:hAnsi="Arial" w:cs="Arial"/>
          <w:sz w:val="22"/>
          <w:szCs w:val="22"/>
          <w:lang w:val="en-GB"/>
        </w:rPr>
        <w:t xml:space="preserve"> the debtors </w:t>
      </w:r>
      <w:r w:rsidR="00E96829">
        <w:rPr>
          <w:rFonts w:ascii="Arial" w:hAnsi="Arial" w:cs="Arial"/>
          <w:sz w:val="22"/>
          <w:szCs w:val="22"/>
          <w:lang w:val="en-GB"/>
        </w:rPr>
        <w:t xml:space="preserve">assets and liabilities for the benefit of the entire creditor base. </w:t>
      </w:r>
    </w:p>
    <w:p w14:paraId="637E07FC" w14:textId="77777777" w:rsidR="00553B4A" w:rsidRDefault="00553B4A" w:rsidP="00B7193E">
      <w:pPr>
        <w:jc w:val="both"/>
        <w:rPr>
          <w:rFonts w:ascii="Arial" w:hAnsi="Arial" w:cs="Arial"/>
          <w:sz w:val="22"/>
          <w:szCs w:val="22"/>
          <w:lang w:val="en-GB"/>
        </w:rPr>
      </w:pPr>
    </w:p>
    <w:p w14:paraId="234AD128" w14:textId="13EC1900" w:rsidR="00F53EBD" w:rsidRDefault="00712AD8" w:rsidP="00B7193E">
      <w:pPr>
        <w:jc w:val="both"/>
        <w:rPr>
          <w:rFonts w:ascii="Arial" w:hAnsi="Arial" w:cs="Arial"/>
          <w:sz w:val="22"/>
          <w:szCs w:val="22"/>
          <w:lang w:val="en-GB"/>
        </w:rPr>
      </w:pPr>
      <w:r>
        <w:rPr>
          <w:rFonts w:ascii="Arial" w:hAnsi="Arial" w:cs="Arial"/>
          <w:sz w:val="22"/>
          <w:szCs w:val="22"/>
          <w:lang w:val="en-GB"/>
        </w:rPr>
        <w:t xml:space="preserve">Therefore, </w:t>
      </w:r>
      <w:r w:rsidR="00E96829">
        <w:rPr>
          <w:rFonts w:ascii="Arial" w:hAnsi="Arial" w:cs="Arial"/>
          <w:sz w:val="22"/>
          <w:szCs w:val="22"/>
          <w:lang w:val="en-GB"/>
        </w:rPr>
        <w:t xml:space="preserve">as evidenced by the </w:t>
      </w:r>
      <w:r w:rsidR="00E96829" w:rsidRPr="00712AD8">
        <w:rPr>
          <w:rFonts w:ascii="Arial" w:hAnsi="Arial" w:cs="Arial"/>
          <w:i/>
          <w:sz w:val="22"/>
          <w:szCs w:val="22"/>
          <w:lang w:val="en-GB"/>
        </w:rPr>
        <w:t>Maxwell</w:t>
      </w:r>
      <w:r w:rsidR="00E96829">
        <w:rPr>
          <w:rFonts w:ascii="Arial" w:hAnsi="Arial" w:cs="Arial"/>
          <w:sz w:val="22"/>
          <w:szCs w:val="22"/>
          <w:lang w:val="en-GB"/>
        </w:rPr>
        <w:t xml:space="preserve"> case, </w:t>
      </w:r>
      <w:r>
        <w:rPr>
          <w:rFonts w:ascii="Arial" w:hAnsi="Arial" w:cs="Arial"/>
          <w:sz w:val="22"/>
          <w:szCs w:val="22"/>
          <w:lang w:val="en-GB"/>
        </w:rPr>
        <w:t>a</w:t>
      </w:r>
      <w:r w:rsidR="003A186B">
        <w:rPr>
          <w:rFonts w:ascii="Arial" w:hAnsi="Arial" w:cs="Arial"/>
          <w:sz w:val="22"/>
          <w:szCs w:val="22"/>
          <w:lang w:val="en-GB"/>
        </w:rPr>
        <w:t>lthough Art</w:t>
      </w:r>
      <w:r w:rsidR="008A792E">
        <w:rPr>
          <w:rFonts w:ascii="Arial" w:hAnsi="Arial" w:cs="Arial"/>
          <w:sz w:val="22"/>
          <w:szCs w:val="22"/>
          <w:lang w:val="en-GB"/>
        </w:rPr>
        <w:t>icles 25 and 26 of the MLCBI</w:t>
      </w:r>
      <w:r w:rsidR="003A186B">
        <w:rPr>
          <w:rFonts w:ascii="Arial" w:hAnsi="Arial" w:cs="Arial"/>
          <w:sz w:val="22"/>
          <w:szCs w:val="22"/>
          <w:lang w:val="en-GB"/>
        </w:rPr>
        <w:t xml:space="preserve"> authorises (and where adopted as drafted, mandates) co-operation and co-ordination of concurrent proceedings, and approval of agreements concerning coordination of proceedings </w:t>
      </w:r>
      <w:r w:rsidR="00553B4A">
        <w:rPr>
          <w:rFonts w:ascii="Arial" w:hAnsi="Arial" w:cs="Arial"/>
          <w:sz w:val="22"/>
          <w:szCs w:val="22"/>
          <w:lang w:val="en-GB"/>
        </w:rPr>
        <w:lastRenderedPageBreak/>
        <w:t xml:space="preserve">by the courts </w:t>
      </w:r>
      <w:r w:rsidR="003A186B">
        <w:rPr>
          <w:rFonts w:ascii="Arial" w:hAnsi="Arial" w:cs="Arial"/>
          <w:sz w:val="22"/>
          <w:szCs w:val="22"/>
          <w:lang w:val="en-GB"/>
        </w:rPr>
        <w:t>is provided for</w:t>
      </w:r>
      <w:r w:rsidR="003A186B">
        <w:rPr>
          <w:rStyle w:val="FootnoteReference"/>
          <w:rFonts w:ascii="Arial" w:hAnsi="Arial" w:cs="Arial"/>
          <w:sz w:val="22"/>
          <w:szCs w:val="22"/>
          <w:lang w:val="en-GB"/>
        </w:rPr>
        <w:footnoteReference w:id="18"/>
      </w:r>
      <w:r w:rsidR="003A186B">
        <w:rPr>
          <w:rFonts w:ascii="Arial" w:hAnsi="Arial" w:cs="Arial"/>
          <w:sz w:val="22"/>
          <w:szCs w:val="22"/>
          <w:lang w:val="en-GB"/>
        </w:rPr>
        <w:t xml:space="preserve">, </w:t>
      </w:r>
      <w:r>
        <w:rPr>
          <w:rFonts w:ascii="Arial" w:hAnsi="Arial" w:cs="Arial"/>
          <w:sz w:val="22"/>
          <w:szCs w:val="22"/>
          <w:lang w:val="en-GB"/>
        </w:rPr>
        <w:t xml:space="preserve">the existence of agreements and protocols for coordination and cooperation with court approval </w:t>
      </w:r>
      <w:r w:rsidR="008A792E">
        <w:rPr>
          <w:rFonts w:ascii="Arial" w:hAnsi="Arial" w:cs="Arial"/>
          <w:sz w:val="22"/>
          <w:szCs w:val="22"/>
          <w:lang w:val="en-GB"/>
        </w:rPr>
        <w:t>pre-dates the MLCBI</w:t>
      </w:r>
      <w:r w:rsidR="00BB6118">
        <w:rPr>
          <w:rFonts w:ascii="Arial" w:hAnsi="Arial" w:cs="Arial"/>
          <w:sz w:val="22"/>
          <w:szCs w:val="22"/>
          <w:lang w:val="en-GB"/>
        </w:rPr>
        <w:t xml:space="preserve"> which was completed in 1997</w:t>
      </w:r>
      <w:r w:rsidR="00BB6118">
        <w:rPr>
          <w:rStyle w:val="FootnoteReference"/>
          <w:rFonts w:ascii="Arial" w:hAnsi="Arial" w:cs="Arial"/>
          <w:sz w:val="22"/>
          <w:szCs w:val="22"/>
          <w:lang w:val="en-GB"/>
        </w:rPr>
        <w:footnoteReference w:id="19"/>
      </w:r>
      <w:r w:rsidR="002D6626">
        <w:rPr>
          <w:rFonts w:ascii="Arial" w:hAnsi="Arial" w:cs="Arial"/>
          <w:sz w:val="22"/>
          <w:szCs w:val="22"/>
          <w:lang w:val="en-GB"/>
        </w:rPr>
        <w:t xml:space="preserve">. </w:t>
      </w:r>
      <w:r w:rsidR="00553B4A">
        <w:rPr>
          <w:rFonts w:ascii="Arial" w:hAnsi="Arial" w:cs="Arial"/>
          <w:sz w:val="22"/>
          <w:szCs w:val="22"/>
          <w:lang w:val="en-GB"/>
        </w:rPr>
        <w:t xml:space="preserve"> </w:t>
      </w:r>
    </w:p>
    <w:p w14:paraId="1CAC1978" w14:textId="77777777" w:rsidR="00F53EBD" w:rsidRDefault="00F53EBD" w:rsidP="00B7193E">
      <w:pPr>
        <w:jc w:val="both"/>
        <w:rPr>
          <w:rFonts w:ascii="Arial" w:hAnsi="Arial" w:cs="Arial"/>
          <w:sz w:val="22"/>
          <w:szCs w:val="22"/>
          <w:lang w:val="en-GB"/>
        </w:rPr>
      </w:pPr>
    </w:p>
    <w:p w14:paraId="1964C07C" w14:textId="77777777" w:rsidR="00AF23C7" w:rsidRDefault="00553B4A" w:rsidP="00B7193E">
      <w:pPr>
        <w:jc w:val="both"/>
        <w:rPr>
          <w:rFonts w:ascii="Arial" w:hAnsi="Arial" w:cs="Arial"/>
          <w:sz w:val="22"/>
          <w:szCs w:val="22"/>
          <w:lang w:val="en-GB"/>
        </w:rPr>
      </w:pPr>
      <w:r>
        <w:rPr>
          <w:rFonts w:ascii="Arial" w:hAnsi="Arial" w:cs="Arial"/>
          <w:sz w:val="22"/>
          <w:szCs w:val="22"/>
          <w:lang w:val="en-GB"/>
        </w:rPr>
        <w:t xml:space="preserve">However, </w:t>
      </w:r>
      <w:r w:rsidR="00D81792">
        <w:rPr>
          <w:rFonts w:ascii="Arial" w:hAnsi="Arial" w:cs="Arial"/>
          <w:sz w:val="22"/>
          <w:szCs w:val="22"/>
          <w:lang w:val="en-GB"/>
        </w:rPr>
        <w:t xml:space="preserve">since </w:t>
      </w:r>
      <w:r w:rsidR="00D81792" w:rsidRPr="00712AD8">
        <w:rPr>
          <w:rFonts w:ascii="Arial" w:hAnsi="Arial" w:cs="Arial"/>
          <w:i/>
          <w:sz w:val="22"/>
          <w:szCs w:val="22"/>
          <w:lang w:val="en-GB"/>
        </w:rPr>
        <w:t>Maxwell</w:t>
      </w:r>
      <w:r w:rsidR="00D81792">
        <w:rPr>
          <w:rFonts w:ascii="Arial" w:hAnsi="Arial" w:cs="Arial"/>
          <w:sz w:val="22"/>
          <w:szCs w:val="22"/>
          <w:lang w:val="en-GB"/>
        </w:rPr>
        <w:t xml:space="preserve">, there has been a greater shift towards the </w:t>
      </w:r>
      <w:r>
        <w:rPr>
          <w:rFonts w:ascii="Arial" w:hAnsi="Arial" w:cs="Arial"/>
          <w:sz w:val="22"/>
          <w:szCs w:val="22"/>
          <w:lang w:val="en-GB"/>
        </w:rPr>
        <w:t xml:space="preserve">use </w:t>
      </w:r>
      <w:r w:rsidR="00D81792">
        <w:rPr>
          <w:rFonts w:ascii="Arial" w:hAnsi="Arial" w:cs="Arial"/>
          <w:sz w:val="22"/>
          <w:szCs w:val="22"/>
          <w:lang w:val="en-GB"/>
        </w:rPr>
        <w:t>of protocols and agreements as a means to coordinate cross-border insolvency proceedings and encourage cooperation</w:t>
      </w:r>
      <w:r w:rsidR="0079712D">
        <w:rPr>
          <w:rFonts w:ascii="Arial" w:hAnsi="Arial" w:cs="Arial"/>
          <w:sz w:val="22"/>
          <w:szCs w:val="22"/>
          <w:lang w:val="en-GB"/>
        </w:rPr>
        <w:t xml:space="preserve">, more </w:t>
      </w:r>
      <w:r w:rsidR="00FF585D">
        <w:rPr>
          <w:rFonts w:ascii="Arial" w:hAnsi="Arial" w:cs="Arial"/>
          <w:sz w:val="22"/>
          <w:szCs w:val="22"/>
          <w:lang w:val="en-GB"/>
        </w:rPr>
        <w:t>generally</w:t>
      </w:r>
      <w:r w:rsidR="00D81792">
        <w:rPr>
          <w:rFonts w:ascii="Arial" w:hAnsi="Arial" w:cs="Arial"/>
          <w:sz w:val="22"/>
          <w:szCs w:val="22"/>
          <w:lang w:val="en-GB"/>
        </w:rPr>
        <w:t xml:space="preserve">. </w:t>
      </w:r>
    </w:p>
    <w:p w14:paraId="1F4B4ACD" w14:textId="77777777" w:rsidR="00AF23C7" w:rsidRDefault="00AF23C7" w:rsidP="00B7193E">
      <w:pPr>
        <w:jc w:val="both"/>
        <w:rPr>
          <w:rFonts w:ascii="Arial" w:hAnsi="Arial" w:cs="Arial"/>
          <w:sz w:val="22"/>
          <w:szCs w:val="22"/>
          <w:lang w:val="en-GB"/>
        </w:rPr>
      </w:pPr>
    </w:p>
    <w:p w14:paraId="3AC2AA66" w14:textId="56D4037C" w:rsidR="00D81792" w:rsidRDefault="00D81792" w:rsidP="00B7193E">
      <w:pPr>
        <w:jc w:val="both"/>
        <w:rPr>
          <w:rFonts w:ascii="Arial" w:hAnsi="Arial" w:cs="Arial"/>
          <w:sz w:val="22"/>
          <w:szCs w:val="22"/>
          <w:lang w:val="en-GB"/>
        </w:rPr>
      </w:pPr>
      <w:r>
        <w:rPr>
          <w:rFonts w:ascii="Arial" w:hAnsi="Arial" w:cs="Arial"/>
          <w:sz w:val="22"/>
          <w:szCs w:val="22"/>
          <w:lang w:val="en-GB"/>
        </w:rPr>
        <w:t xml:space="preserve">Firstly, the </w:t>
      </w:r>
      <w:r w:rsidR="00E507B3">
        <w:rPr>
          <w:rFonts w:ascii="Arial" w:hAnsi="Arial" w:cs="Arial"/>
          <w:sz w:val="22"/>
          <w:szCs w:val="22"/>
          <w:lang w:val="en-GB"/>
        </w:rPr>
        <w:t xml:space="preserve">UNCITRAL Practice Guide on Cross-Border Insolvency Cooperation was adopted by the Commission on 1 July 2009. </w:t>
      </w:r>
      <w:r w:rsidR="00553B4A">
        <w:rPr>
          <w:rFonts w:ascii="Arial" w:hAnsi="Arial" w:cs="Arial"/>
          <w:sz w:val="22"/>
          <w:szCs w:val="22"/>
          <w:lang w:val="en-GB"/>
        </w:rPr>
        <w:t xml:space="preserve"> </w:t>
      </w:r>
      <w:r w:rsidR="00E507B3">
        <w:rPr>
          <w:rFonts w:ascii="Arial" w:hAnsi="Arial" w:cs="Arial"/>
          <w:sz w:val="22"/>
          <w:szCs w:val="22"/>
          <w:lang w:val="en-GB"/>
        </w:rPr>
        <w:t>This Guide provides information for insolvency practitioners and judges on practical aspects of cooperation and communications by its focus on the use of cross-border agreements and negotiations between office holders. Although not in</w:t>
      </w:r>
      <w:r w:rsidR="00F53EBD">
        <w:rPr>
          <w:rFonts w:ascii="Arial" w:hAnsi="Arial" w:cs="Arial"/>
          <w:sz w:val="22"/>
          <w:szCs w:val="22"/>
          <w:lang w:val="en-GB"/>
        </w:rPr>
        <w:t>tended to be prescriptive, this guide includes a number of sample clauses (not model provisions) to give examples of how issues have or might be addressed and summaries of cases involving cross-border agreements that form the basis of the Practice Guide analysis (e.g. Lehman Brothers case).</w:t>
      </w:r>
      <w:r w:rsidR="00F53EBD">
        <w:rPr>
          <w:rStyle w:val="FootnoteReference"/>
          <w:rFonts w:ascii="Arial" w:hAnsi="Arial" w:cs="Arial"/>
          <w:sz w:val="22"/>
          <w:szCs w:val="22"/>
          <w:lang w:val="en-GB"/>
        </w:rPr>
        <w:footnoteReference w:id="20"/>
      </w:r>
      <w:r w:rsidR="00F53EBD">
        <w:rPr>
          <w:rFonts w:ascii="Arial" w:hAnsi="Arial" w:cs="Arial"/>
          <w:sz w:val="22"/>
          <w:szCs w:val="22"/>
          <w:lang w:val="en-GB"/>
        </w:rPr>
        <w:t xml:space="preserve"> </w:t>
      </w:r>
      <w:r>
        <w:rPr>
          <w:rFonts w:ascii="Arial" w:hAnsi="Arial" w:cs="Arial"/>
          <w:sz w:val="22"/>
          <w:szCs w:val="22"/>
          <w:lang w:val="en-GB"/>
        </w:rPr>
        <w:t xml:space="preserve">Secondly, further guidance to assist insolvency practitioners has been provided by way of the UNCITRAL Practice Guide on Cross-Border Insolvency Agreements (2009), as a potential framework for </w:t>
      </w:r>
      <w:r w:rsidR="008A792E">
        <w:rPr>
          <w:rFonts w:ascii="Arial" w:hAnsi="Arial" w:cs="Arial"/>
          <w:sz w:val="22"/>
          <w:szCs w:val="22"/>
          <w:lang w:val="en-GB"/>
        </w:rPr>
        <w:t>co-operation under the MLCBI</w:t>
      </w:r>
      <w:r>
        <w:rPr>
          <w:rFonts w:ascii="Arial" w:hAnsi="Arial" w:cs="Arial"/>
          <w:sz w:val="22"/>
          <w:szCs w:val="22"/>
          <w:lang w:val="en-GB"/>
        </w:rPr>
        <w:t xml:space="preserve">. </w:t>
      </w:r>
    </w:p>
    <w:p w14:paraId="4AE7EA78" w14:textId="5AC546AA" w:rsidR="007D7C92" w:rsidRPr="00205B31" w:rsidRDefault="007D7C92" w:rsidP="00AF23C7">
      <w:pPr>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DB8F363" w14:textId="1F174DA2" w:rsidR="006C5254" w:rsidRDefault="00347183" w:rsidP="00B7193E">
      <w:pPr>
        <w:jc w:val="both"/>
        <w:rPr>
          <w:rFonts w:ascii="Arial" w:hAnsi="Arial" w:cs="Arial"/>
          <w:sz w:val="22"/>
          <w:szCs w:val="22"/>
          <w:lang w:val="en-GB"/>
        </w:rPr>
      </w:pPr>
      <w:r>
        <w:rPr>
          <w:rFonts w:ascii="Arial" w:hAnsi="Arial" w:cs="Arial"/>
          <w:sz w:val="22"/>
          <w:szCs w:val="22"/>
          <w:lang w:val="en-GB"/>
        </w:rPr>
        <w:t>The European Insolvency Regulation Recast ("</w:t>
      </w:r>
      <w:r w:rsidR="004F0A65" w:rsidRPr="004F0A65">
        <w:rPr>
          <w:rFonts w:ascii="Arial" w:hAnsi="Arial" w:cs="Arial"/>
          <w:b/>
          <w:sz w:val="22"/>
          <w:szCs w:val="22"/>
          <w:lang w:val="en-GB"/>
        </w:rPr>
        <w:t xml:space="preserve">EIR </w:t>
      </w:r>
      <w:r w:rsidRPr="00347183">
        <w:rPr>
          <w:rFonts w:ascii="Arial" w:hAnsi="Arial" w:cs="Arial"/>
          <w:b/>
          <w:sz w:val="22"/>
          <w:szCs w:val="22"/>
          <w:lang w:val="en-GB"/>
        </w:rPr>
        <w:t>Recast</w:t>
      </w:r>
      <w:r>
        <w:rPr>
          <w:rFonts w:ascii="Arial" w:hAnsi="Arial" w:cs="Arial"/>
          <w:sz w:val="22"/>
          <w:szCs w:val="22"/>
          <w:lang w:val="en-GB"/>
        </w:rPr>
        <w:t>") will apply to insolvency p</w:t>
      </w:r>
      <w:r w:rsidR="00BB6118">
        <w:rPr>
          <w:rFonts w:ascii="Arial" w:hAnsi="Arial" w:cs="Arial"/>
          <w:sz w:val="22"/>
          <w:szCs w:val="22"/>
          <w:lang w:val="en-GB"/>
        </w:rPr>
        <w:t>roceedings commenced</w:t>
      </w:r>
      <w:r>
        <w:rPr>
          <w:rFonts w:ascii="Arial" w:hAnsi="Arial" w:cs="Arial"/>
          <w:sz w:val="22"/>
          <w:szCs w:val="22"/>
          <w:lang w:val="en-GB"/>
        </w:rPr>
        <w:t xml:space="preserve"> against Rydell</w:t>
      </w:r>
      <w:r w:rsidR="006C5254">
        <w:rPr>
          <w:rFonts w:ascii="Arial" w:hAnsi="Arial" w:cs="Arial"/>
          <w:sz w:val="22"/>
          <w:szCs w:val="22"/>
          <w:lang w:val="en-GB"/>
        </w:rPr>
        <w:t xml:space="preserve"> in the UK</w:t>
      </w:r>
      <w:r w:rsidR="00BB6118">
        <w:rPr>
          <w:rFonts w:ascii="Arial" w:hAnsi="Arial" w:cs="Arial"/>
          <w:sz w:val="22"/>
          <w:szCs w:val="22"/>
          <w:lang w:val="en-GB"/>
        </w:rPr>
        <w:t xml:space="preserve"> prior to the expiry of the transitional period (being 11pm on </w:t>
      </w:r>
      <w:r>
        <w:rPr>
          <w:rFonts w:ascii="Arial" w:hAnsi="Arial" w:cs="Arial"/>
          <w:sz w:val="22"/>
          <w:szCs w:val="22"/>
          <w:lang w:val="en-GB"/>
        </w:rPr>
        <w:t>31 December 2020)</w:t>
      </w:r>
      <w:r>
        <w:rPr>
          <w:rStyle w:val="FootnoteReference"/>
          <w:rFonts w:ascii="Arial" w:hAnsi="Arial" w:cs="Arial"/>
          <w:sz w:val="22"/>
          <w:szCs w:val="22"/>
          <w:lang w:val="en-GB"/>
        </w:rPr>
        <w:footnoteReference w:id="21"/>
      </w:r>
      <w:r>
        <w:rPr>
          <w:rFonts w:ascii="Arial" w:hAnsi="Arial" w:cs="Arial"/>
          <w:sz w:val="22"/>
          <w:szCs w:val="22"/>
          <w:lang w:val="en-GB"/>
        </w:rPr>
        <w:t xml:space="preserve">. </w:t>
      </w:r>
    </w:p>
    <w:p w14:paraId="134D5079" w14:textId="77777777" w:rsidR="006C5254" w:rsidRDefault="006C5254" w:rsidP="00B7193E">
      <w:pPr>
        <w:jc w:val="both"/>
        <w:rPr>
          <w:rFonts w:ascii="Arial" w:hAnsi="Arial" w:cs="Arial"/>
          <w:sz w:val="22"/>
          <w:szCs w:val="22"/>
          <w:lang w:val="en-GB"/>
        </w:rPr>
      </w:pPr>
    </w:p>
    <w:p w14:paraId="26090BBD" w14:textId="05341025" w:rsidR="00732DDC" w:rsidRDefault="002536FD" w:rsidP="00B7193E">
      <w:pPr>
        <w:jc w:val="both"/>
        <w:rPr>
          <w:rFonts w:ascii="Arial" w:hAnsi="Arial" w:cs="Arial"/>
          <w:sz w:val="22"/>
          <w:szCs w:val="22"/>
          <w:lang w:val="en-GB"/>
        </w:rPr>
      </w:pPr>
      <w:r>
        <w:rPr>
          <w:rFonts w:ascii="Arial" w:hAnsi="Arial" w:cs="Arial"/>
          <w:sz w:val="22"/>
          <w:szCs w:val="22"/>
          <w:lang w:val="en-GB"/>
        </w:rPr>
        <w:t>As Rydell's COMI is England</w:t>
      </w:r>
      <w:r w:rsidR="006C5254">
        <w:rPr>
          <w:rFonts w:ascii="Arial" w:hAnsi="Arial" w:cs="Arial"/>
          <w:sz w:val="22"/>
          <w:szCs w:val="22"/>
          <w:lang w:val="en-GB"/>
        </w:rPr>
        <w:t xml:space="preserve">, under the </w:t>
      </w:r>
      <w:r>
        <w:rPr>
          <w:rFonts w:ascii="Arial" w:hAnsi="Arial" w:cs="Arial"/>
          <w:sz w:val="22"/>
          <w:szCs w:val="22"/>
          <w:lang w:val="en-GB"/>
        </w:rPr>
        <w:t>EIR Recast</w:t>
      </w:r>
      <w:r w:rsidR="004F0A65">
        <w:rPr>
          <w:rFonts w:ascii="Arial" w:hAnsi="Arial" w:cs="Arial"/>
          <w:sz w:val="22"/>
          <w:szCs w:val="22"/>
          <w:lang w:val="en-GB"/>
        </w:rPr>
        <w:t>,</w:t>
      </w:r>
      <w:r w:rsidR="006C5254">
        <w:rPr>
          <w:rFonts w:ascii="Arial" w:hAnsi="Arial" w:cs="Arial"/>
          <w:sz w:val="22"/>
          <w:szCs w:val="22"/>
          <w:lang w:val="en-GB"/>
        </w:rPr>
        <w:t xml:space="preserve"> </w:t>
      </w:r>
      <w:r w:rsidR="003A06E3">
        <w:rPr>
          <w:rFonts w:ascii="Arial" w:hAnsi="Arial" w:cs="Arial"/>
          <w:sz w:val="22"/>
          <w:szCs w:val="22"/>
          <w:lang w:val="en-GB"/>
        </w:rPr>
        <w:t xml:space="preserve">the UK court would be allocated jurisdictional competence. </w:t>
      </w:r>
      <w:r w:rsidR="00BF0D94">
        <w:rPr>
          <w:rFonts w:ascii="Arial" w:hAnsi="Arial" w:cs="Arial"/>
          <w:sz w:val="22"/>
          <w:szCs w:val="22"/>
          <w:lang w:val="en-GB"/>
        </w:rPr>
        <w:t xml:space="preserve">Article 3(1) of the EIR Recast provides that proceedings opened in the courts of the member State where the debtor's COMI is would be the "main proceedings".  </w:t>
      </w:r>
      <w:r w:rsidR="003A06E3">
        <w:rPr>
          <w:rFonts w:ascii="Arial" w:hAnsi="Arial" w:cs="Arial"/>
          <w:sz w:val="22"/>
          <w:szCs w:val="22"/>
          <w:lang w:val="en-GB"/>
        </w:rPr>
        <w:t xml:space="preserve">However, the EIR </w:t>
      </w:r>
      <w:r w:rsidR="008D79FB">
        <w:rPr>
          <w:rFonts w:ascii="Arial" w:hAnsi="Arial" w:cs="Arial"/>
          <w:sz w:val="22"/>
          <w:szCs w:val="22"/>
          <w:lang w:val="en-GB"/>
        </w:rPr>
        <w:t xml:space="preserve">and Recast </w:t>
      </w:r>
      <w:r w:rsidR="00BF0D94">
        <w:rPr>
          <w:rFonts w:ascii="Arial" w:hAnsi="Arial" w:cs="Arial"/>
          <w:sz w:val="22"/>
          <w:szCs w:val="22"/>
          <w:lang w:val="en-GB"/>
        </w:rPr>
        <w:t xml:space="preserve">also permits </w:t>
      </w:r>
      <w:r w:rsidR="003A06E3">
        <w:rPr>
          <w:rFonts w:ascii="Arial" w:hAnsi="Arial" w:cs="Arial"/>
          <w:sz w:val="22"/>
          <w:szCs w:val="22"/>
          <w:lang w:val="en-GB"/>
        </w:rPr>
        <w:t>subsidiary territorial proceeding</w:t>
      </w:r>
      <w:r w:rsidR="008D79FB">
        <w:rPr>
          <w:rFonts w:ascii="Arial" w:hAnsi="Arial" w:cs="Arial"/>
          <w:sz w:val="22"/>
          <w:szCs w:val="22"/>
          <w:lang w:val="en-GB"/>
        </w:rPr>
        <w:t xml:space="preserve">s. </w:t>
      </w:r>
    </w:p>
    <w:p w14:paraId="0D2A8711" w14:textId="77777777" w:rsidR="00732DDC" w:rsidRDefault="00732DDC" w:rsidP="00B7193E">
      <w:pPr>
        <w:jc w:val="both"/>
        <w:rPr>
          <w:rFonts w:ascii="Arial" w:hAnsi="Arial" w:cs="Arial"/>
          <w:sz w:val="22"/>
          <w:szCs w:val="22"/>
          <w:lang w:val="en-GB"/>
        </w:rPr>
      </w:pPr>
    </w:p>
    <w:p w14:paraId="283F50F7" w14:textId="77777777" w:rsidR="002536FD" w:rsidRDefault="00732DDC" w:rsidP="00B7193E">
      <w:pPr>
        <w:jc w:val="both"/>
        <w:rPr>
          <w:rFonts w:ascii="Arial" w:hAnsi="Arial" w:cs="Arial"/>
          <w:sz w:val="22"/>
          <w:szCs w:val="22"/>
          <w:lang w:val="en-GB"/>
        </w:rPr>
      </w:pPr>
      <w:r>
        <w:rPr>
          <w:rFonts w:ascii="Arial" w:hAnsi="Arial" w:cs="Arial"/>
          <w:sz w:val="22"/>
          <w:szCs w:val="22"/>
          <w:lang w:val="en-GB"/>
        </w:rPr>
        <w:t xml:space="preserve">Insolvency proceedings could be </w:t>
      </w:r>
      <w:r w:rsidR="003A06E3">
        <w:rPr>
          <w:rFonts w:ascii="Arial" w:hAnsi="Arial" w:cs="Arial"/>
          <w:sz w:val="22"/>
          <w:szCs w:val="22"/>
          <w:lang w:val="en-GB"/>
        </w:rPr>
        <w:t>commenced by F</w:t>
      </w:r>
      <w:r>
        <w:rPr>
          <w:rFonts w:ascii="Arial" w:hAnsi="Arial" w:cs="Arial"/>
          <w:sz w:val="22"/>
          <w:szCs w:val="22"/>
          <w:lang w:val="en-GB"/>
        </w:rPr>
        <w:t xml:space="preserve">ernz in another EU member state </w:t>
      </w:r>
      <w:r w:rsidR="003A06E3">
        <w:rPr>
          <w:rFonts w:ascii="Arial" w:hAnsi="Arial" w:cs="Arial"/>
          <w:sz w:val="22"/>
          <w:szCs w:val="22"/>
          <w:lang w:val="en-GB"/>
        </w:rPr>
        <w:t xml:space="preserve">if </w:t>
      </w:r>
      <w:r>
        <w:rPr>
          <w:rFonts w:ascii="Arial" w:hAnsi="Arial" w:cs="Arial"/>
          <w:sz w:val="22"/>
          <w:szCs w:val="22"/>
          <w:lang w:val="en-GB"/>
        </w:rPr>
        <w:t>that S</w:t>
      </w:r>
      <w:r w:rsidR="003A06E3">
        <w:rPr>
          <w:rFonts w:ascii="Arial" w:hAnsi="Arial" w:cs="Arial"/>
          <w:sz w:val="22"/>
          <w:szCs w:val="22"/>
          <w:lang w:val="en-GB"/>
        </w:rPr>
        <w:t xml:space="preserve">tate </w:t>
      </w:r>
      <w:r w:rsidR="008D79FB">
        <w:rPr>
          <w:rFonts w:ascii="Arial" w:hAnsi="Arial" w:cs="Arial"/>
          <w:sz w:val="22"/>
          <w:szCs w:val="22"/>
          <w:lang w:val="en-GB"/>
        </w:rPr>
        <w:t>is one i</w:t>
      </w:r>
      <w:r w:rsidR="003A06E3">
        <w:rPr>
          <w:rFonts w:ascii="Arial" w:hAnsi="Arial" w:cs="Arial"/>
          <w:sz w:val="22"/>
          <w:szCs w:val="22"/>
          <w:lang w:val="en-GB"/>
        </w:rPr>
        <w:t>n which Rydell has an "establishment"</w:t>
      </w:r>
      <w:r w:rsidR="008D79FB">
        <w:rPr>
          <w:rFonts w:ascii="Arial" w:hAnsi="Arial" w:cs="Arial"/>
          <w:sz w:val="22"/>
          <w:szCs w:val="22"/>
          <w:lang w:val="en-GB"/>
        </w:rPr>
        <w:t>. T</w:t>
      </w:r>
      <w:r w:rsidR="003A06E3">
        <w:rPr>
          <w:rFonts w:ascii="Arial" w:hAnsi="Arial" w:cs="Arial"/>
          <w:sz w:val="22"/>
          <w:szCs w:val="22"/>
          <w:lang w:val="en-GB"/>
        </w:rPr>
        <w:t>he definition</w:t>
      </w:r>
      <w:r w:rsidR="008D79FB">
        <w:rPr>
          <w:rFonts w:ascii="Arial" w:hAnsi="Arial" w:cs="Arial"/>
          <w:sz w:val="22"/>
          <w:szCs w:val="22"/>
          <w:lang w:val="en-GB"/>
        </w:rPr>
        <w:t xml:space="preserve"> of "establishment"</w:t>
      </w:r>
      <w:r w:rsidR="003A06E3">
        <w:rPr>
          <w:rFonts w:ascii="Arial" w:hAnsi="Arial" w:cs="Arial"/>
          <w:sz w:val="22"/>
          <w:szCs w:val="22"/>
          <w:lang w:val="en-GB"/>
        </w:rPr>
        <w:t xml:space="preserve"> having been slightly amended </w:t>
      </w:r>
      <w:r w:rsidR="008D79FB">
        <w:rPr>
          <w:rFonts w:ascii="Arial" w:hAnsi="Arial" w:cs="Arial"/>
          <w:sz w:val="22"/>
          <w:szCs w:val="22"/>
          <w:lang w:val="en-GB"/>
        </w:rPr>
        <w:t xml:space="preserve">by the </w:t>
      </w:r>
      <w:r w:rsidR="004F0A65">
        <w:rPr>
          <w:rFonts w:ascii="Arial" w:hAnsi="Arial" w:cs="Arial"/>
          <w:sz w:val="22"/>
          <w:szCs w:val="22"/>
          <w:lang w:val="en-GB"/>
        </w:rPr>
        <w:t xml:space="preserve">EIR </w:t>
      </w:r>
      <w:r w:rsidR="008D79FB">
        <w:rPr>
          <w:rFonts w:ascii="Arial" w:hAnsi="Arial" w:cs="Arial"/>
          <w:sz w:val="22"/>
          <w:szCs w:val="22"/>
          <w:lang w:val="en-GB"/>
        </w:rPr>
        <w:t xml:space="preserve">Recast is deemed to </w:t>
      </w:r>
      <w:r w:rsidR="003A06E3">
        <w:rPr>
          <w:rFonts w:ascii="Arial" w:hAnsi="Arial" w:cs="Arial"/>
          <w:sz w:val="22"/>
          <w:szCs w:val="22"/>
          <w:lang w:val="en-GB"/>
        </w:rPr>
        <w:t xml:space="preserve"> mean "</w:t>
      </w:r>
      <w:r w:rsidR="003A06E3" w:rsidRPr="008D79FB">
        <w:rPr>
          <w:rFonts w:ascii="Arial" w:hAnsi="Arial" w:cs="Arial"/>
          <w:i/>
          <w:sz w:val="22"/>
          <w:szCs w:val="22"/>
          <w:lang w:val="en-GB"/>
        </w:rPr>
        <w:t>any place of operations where a debtor carries out or has carried out in the 3-month period prior to the request to open main insolvency proceedings a non-transitory economic activity with human means and assets</w:t>
      </w:r>
      <w:r w:rsidR="003A06E3">
        <w:rPr>
          <w:rFonts w:ascii="Arial" w:hAnsi="Arial" w:cs="Arial"/>
          <w:sz w:val="22"/>
          <w:szCs w:val="22"/>
          <w:lang w:val="en-GB"/>
        </w:rPr>
        <w:t>"</w:t>
      </w:r>
      <w:r w:rsidR="003A06E3">
        <w:rPr>
          <w:rStyle w:val="FootnoteReference"/>
          <w:rFonts w:ascii="Arial" w:hAnsi="Arial" w:cs="Arial"/>
          <w:sz w:val="22"/>
          <w:szCs w:val="22"/>
          <w:lang w:val="en-GB"/>
        </w:rPr>
        <w:footnoteReference w:id="22"/>
      </w:r>
      <w:r w:rsidR="003A06E3">
        <w:rPr>
          <w:rFonts w:ascii="Arial" w:hAnsi="Arial" w:cs="Arial"/>
          <w:sz w:val="22"/>
          <w:szCs w:val="22"/>
          <w:lang w:val="en-GB"/>
        </w:rPr>
        <w:t>.</w:t>
      </w:r>
    </w:p>
    <w:p w14:paraId="028BFF3C" w14:textId="77777777" w:rsidR="002536FD" w:rsidRDefault="002536FD" w:rsidP="00B7193E">
      <w:pPr>
        <w:jc w:val="both"/>
        <w:rPr>
          <w:rFonts w:ascii="Arial" w:hAnsi="Arial" w:cs="Arial"/>
          <w:sz w:val="22"/>
          <w:szCs w:val="22"/>
          <w:lang w:val="en-GB"/>
        </w:rPr>
      </w:pPr>
    </w:p>
    <w:p w14:paraId="4C38374F" w14:textId="244C3425" w:rsidR="00347183" w:rsidRDefault="00732DDC" w:rsidP="00B7193E">
      <w:pPr>
        <w:jc w:val="both"/>
        <w:rPr>
          <w:rFonts w:ascii="Arial" w:hAnsi="Arial" w:cs="Arial"/>
          <w:sz w:val="22"/>
          <w:szCs w:val="22"/>
          <w:lang w:val="en-GB"/>
        </w:rPr>
      </w:pPr>
      <w:r>
        <w:rPr>
          <w:rFonts w:ascii="Arial" w:hAnsi="Arial" w:cs="Arial"/>
          <w:sz w:val="22"/>
          <w:szCs w:val="22"/>
          <w:lang w:val="en-GB"/>
        </w:rPr>
        <w:t xml:space="preserve">It is not clear whether the State in which Fernz is considering commencing proceedings is one in which Rydell has an "establishment", but </w:t>
      </w:r>
      <w:r w:rsidR="00BF0D94">
        <w:rPr>
          <w:rFonts w:ascii="Arial" w:hAnsi="Arial" w:cs="Arial"/>
          <w:sz w:val="22"/>
          <w:szCs w:val="22"/>
          <w:lang w:val="en-GB"/>
        </w:rPr>
        <w:t xml:space="preserve">assuming </w:t>
      </w:r>
      <w:r>
        <w:rPr>
          <w:rFonts w:ascii="Arial" w:hAnsi="Arial" w:cs="Arial"/>
          <w:sz w:val="22"/>
          <w:szCs w:val="22"/>
          <w:lang w:val="en-GB"/>
        </w:rPr>
        <w:t>t</w:t>
      </w:r>
      <w:r w:rsidR="002536FD">
        <w:rPr>
          <w:rFonts w:ascii="Arial" w:hAnsi="Arial" w:cs="Arial"/>
          <w:sz w:val="22"/>
          <w:szCs w:val="22"/>
          <w:lang w:val="en-GB"/>
        </w:rPr>
        <w:t xml:space="preserve">hat it does, </w:t>
      </w:r>
      <w:r w:rsidR="002536FD">
        <w:rPr>
          <w:rFonts w:ascii="Arial" w:hAnsi="Arial" w:cs="Arial"/>
          <w:sz w:val="22"/>
          <w:szCs w:val="22"/>
          <w:lang w:val="en-GB"/>
        </w:rPr>
        <w:t>any proceedings if commenced by Fernz, would be considered "secondary proceedings"</w:t>
      </w:r>
      <w:r w:rsidR="00BF0D94">
        <w:rPr>
          <w:rStyle w:val="FootnoteReference"/>
          <w:rFonts w:ascii="Arial" w:hAnsi="Arial" w:cs="Arial"/>
          <w:sz w:val="22"/>
          <w:szCs w:val="22"/>
          <w:lang w:val="en-GB"/>
        </w:rPr>
        <w:footnoteReference w:id="23"/>
      </w:r>
      <w:r w:rsidR="002536FD">
        <w:rPr>
          <w:rFonts w:ascii="Arial" w:hAnsi="Arial" w:cs="Arial"/>
          <w:sz w:val="22"/>
          <w:szCs w:val="22"/>
          <w:lang w:val="en-GB"/>
        </w:rPr>
        <w:t xml:space="preserve">, having been opened subsequent to the proceedings </w:t>
      </w:r>
      <w:r w:rsidR="002536FD">
        <w:rPr>
          <w:rFonts w:ascii="Arial" w:hAnsi="Arial" w:cs="Arial"/>
          <w:sz w:val="22"/>
          <w:szCs w:val="22"/>
          <w:lang w:val="en-GB"/>
        </w:rPr>
        <w:t>already afoot in the England</w:t>
      </w:r>
      <w:r w:rsidR="002536FD">
        <w:rPr>
          <w:rFonts w:ascii="Arial" w:hAnsi="Arial" w:cs="Arial"/>
          <w:sz w:val="22"/>
          <w:szCs w:val="22"/>
          <w:lang w:val="en-GB"/>
        </w:rPr>
        <w:t xml:space="preserve"> where Rydell has its COMI</w:t>
      </w:r>
      <w:r w:rsidR="00BF0D94">
        <w:rPr>
          <w:rFonts w:ascii="Arial" w:hAnsi="Arial" w:cs="Arial"/>
          <w:sz w:val="22"/>
          <w:szCs w:val="22"/>
          <w:lang w:val="en-GB"/>
        </w:rPr>
        <w:t xml:space="preserve">. Article 3(3) of the EIR Recast restricts the </w:t>
      </w:r>
      <w:r w:rsidR="006C0950">
        <w:rPr>
          <w:rFonts w:ascii="Arial" w:hAnsi="Arial" w:cs="Arial"/>
          <w:sz w:val="22"/>
          <w:szCs w:val="22"/>
          <w:lang w:val="en-GB"/>
        </w:rPr>
        <w:t xml:space="preserve">effects of the </w:t>
      </w:r>
      <w:r w:rsidR="00BF0D94">
        <w:rPr>
          <w:rFonts w:ascii="Arial" w:hAnsi="Arial" w:cs="Arial"/>
          <w:sz w:val="22"/>
          <w:szCs w:val="22"/>
          <w:lang w:val="en-GB"/>
        </w:rPr>
        <w:t xml:space="preserve">secondary </w:t>
      </w:r>
      <w:r w:rsidR="006C0950">
        <w:rPr>
          <w:rFonts w:ascii="Arial" w:hAnsi="Arial" w:cs="Arial"/>
          <w:sz w:val="22"/>
          <w:szCs w:val="22"/>
          <w:lang w:val="en-GB"/>
        </w:rPr>
        <w:t xml:space="preserve">insolvency </w:t>
      </w:r>
      <w:r w:rsidR="00BF0D94">
        <w:rPr>
          <w:rFonts w:ascii="Arial" w:hAnsi="Arial" w:cs="Arial"/>
          <w:sz w:val="22"/>
          <w:szCs w:val="22"/>
          <w:lang w:val="en-GB"/>
        </w:rPr>
        <w:t xml:space="preserve">proceedings to </w:t>
      </w:r>
      <w:r w:rsidR="006C0950">
        <w:rPr>
          <w:rFonts w:ascii="Arial" w:hAnsi="Arial" w:cs="Arial"/>
          <w:sz w:val="22"/>
          <w:szCs w:val="22"/>
          <w:lang w:val="en-GB"/>
        </w:rPr>
        <w:t xml:space="preserve">the assets of the debtor situated in the State which is the forum of the secondary insolvency proceedings. </w:t>
      </w:r>
    </w:p>
    <w:p w14:paraId="1A793C65" w14:textId="062779DA" w:rsidR="006C0950" w:rsidRDefault="006C0950" w:rsidP="00B7193E">
      <w:pPr>
        <w:jc w:val="both"/>
        <w:rPr>
          <w:rFonts w:ascii="Arial" w:hAnsi="Arial" w:cs="Arial"/>
          <w:sz w:val="22"/>
          <w:szCs w:val="22"/>
          <w:lang w:val="en-GB"/>
        </w:rPr>
      </w:pPr>
    </w:p>
    <w:p w14:paraId="337A42D0" w14:textId="6485AFF1" w:rsidR="006C0950" w:rsidRDefault="006C0950" w:rsidP="00B7193E">
      <w:pPr>
        <w:jc w:val="both"/>
        <w:rPr>
          <w:rFonts w:ascii="Arial" w:hAnsi="Arial" w:cs="Arial"/>
          <w:sz w:val="22"/>
          <w:szCs w:val="22"/>
          <w:lang w:val="en-GB"/>
        </w:rPr>
      </w:pPr>
      <w:r>
        <w:rPr>
          <w:rFonts w:ascii="Arial" w:hAnsi="Arial" w:cs="Arial"/>
          <w:sz w:val="22"/>
          <w:szCs w:val="22"/>
          <w:lang w:val="en-GB"/>
        </w:rPr>
        <w:t>The law which would apply to the main insolvency proceedings in England would be English law and the law which apply to the secondary insolvency proceedings would be that of the State in which Fernz has been able to commence those proceedings under Article 3(2)</w:t>
      </w:r>
      <w:r>
        <w:rPr>
          <w:rStyle w:val="FootnoteReference"/>
          <w:rFonts w:ascii="Arial" w:hAnsi="Arial" w:cs="Arial"/>
          <w:sz w:val="22"/>
          <w:szCs w:val="22"/>
          <w:lang w:val="en-GB"/>
        </w:rPr>
        <w:footnoteReference w:id="24"/>
      </w:r>
    </w:p>
    <w:p w14:paraId="645279E6" w14:textId="4F4B8850" w:rsidR="008D79FB" w:rsidRDefault="008D79FB" w:rsidP="00B7193E">
      <w:pPr>
        <w:jc w:val="both"/>
        <w:rPr>
          <w:rFonts w:ascii="Arial" w:hAnsi="Arial" w:cs="Arial"/>
          <w:sz w:val="22"/>
          <w:szCs w:val="22"/>
          <w:lang w:val="en-GB"/>
        </w:rPr>
      </w:pPr>
    </w:p>
    <w:p w14:paraId="0AA5DFAE" w14:textId="77777777" w:rsidR="00347183" w:rsidRDefault="00347183" w:rsidP="00B7193E">
      <w:pPr>
        <w:jc w:val="both"/>
        <w:rPr>
          <w:rFonts w:ascii="Arial" w:hAnsi="Arial" w:cs="Arial"/>
          <w:sz w:val="22"/>
          <w:szCs w:val="22"/>
          <w:lang w:val="en-GB"/>
        </w:rPr>
      </w:pPr>
    </w:p>
    <w:p w14:paraId="38BBF3CA" w14:textId="77777777" w:rsidR="005F453F" w:rsidRPr="00205B31" w:rsidRDefault="005F453F" w:rsidP="00E320B7">
      <w:pPr>
        <w:tabs>
          <w:tab w:val="left" w:pos="7371"/>
        </w:tabs>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08462E1E"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r w:rsidR="00FA4DF7">
        <w:rPr>
          <w:rFonts w:ascii="Arial" w:hAnsi="Arial" w:cs="Arial"/>
          <w:sz w:val="22"/>
          <w:szCs w:val="22"/>
          <w:lang w:val="en-GB"/>
        </w:rPr>
        <w:t xml:space="preserve"> </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14F8271F" w:rsidR="00015EE6" w:rsidRDefault="00345996" w:rsidP="00C45A03">
      <w:pPr>
        <w:jc w:val="both"/>
        <w:rPr>
          <w:rFonts w:ascii="Arial" w:hAnsi="Arial" w:cs="Arial"/>
          <w:sz w:val="22"/>
          <w:szCs w:val="22"/>
          <w:lang w:val="en-GB"/>
        </w:rPr>
      </w:pPr>
      <w:r>
        <w:rPr>
          <w:rFonts w:ascii="Arial" w:hAnsi="Arial" w:cs="Arial"/>
          <w:sz w:val="22"/>
          <w:szCs w:val="22"/>
          <w:lang w:val="en-GB"/>
        </w:rPr>
        <w:t xml:space="preserve">The </w:t>
      </w:r>
      <w:r w:rsidR="004F0A65">
        <w:rPr>
          <w:rFonts w:ascii="Arial" w:hAnsi="Arial" w:cs="Arial"/>
          <w:sz w:val="22"/>
          <w:szCs w:val="22"/>
          <w:lang w:val="en-GB"/>
        </w:rPr>
        <w:t xml:space="preserve">EIR </w:t>
      </w:r>
      <w:r>
        <w:rPr>
          <w:rFonts w:ascii="Arial" w:hAnsi="Arial" w:cs="Arial"/>
          <w:sz w:val="22"/>
          <w:szCs w:val="22"/>
          <w:lang w:val="en-GB"/>
        </w:rPr>
        <w:t xml:space="preserve">Recast would not apply to proceedings </w:t>
      </w:r>
      <w:r w:rsidR="006C5254">
        <w:rPr>
          <w:rFonts w:ascii="Arial" w:hAnsi="Arial" w:cs="Arial"/>
          <w:sz w:val="22"/>
          <w:szCs w:val="22"/>
          <w:lang w:val="en-GB"/>
        </w:rPr>
        <w:t xml:space="preserve">commenced in the UK on 18 June 2021 as this is after the expiry of the transitional period which ended 31 December 2021. </w:t>
      </w:r>
      <w:r w:rsidR="008D79FB">
        <w:rPr>
          <w:rFonts w:ascii="Arial" w:hAnsi="Arial" w:cs="Arial"/>
          <w:sz w:val="22"/>
          <w:szCs w:val="22"/>
          <w:lang w:val="en-GB"/>
        </w:rPr>
        <w:t>In these circumstances</w:t>
      </w:r>
      <w:r w:rsidR="004F0A65">
        <w:rPr>
          <w:rFonts w:ascii="Arial" w:hAnsi="Arial" w:cs="Arial"/>
          <w:sz w:val="22"/>
          <w:szCs w:val="22"/>
          <w:lang w:val="en-GB"/>
        </w:rPr>
        <w:t xml:space="preserve">, the Insolvency Act 1986 would apply. However, where there are international elements, such as in this case, foreign creditors or assets, the liquidators appointed by the English court may need to seek recognition in States where assets are based. </w:t>
      </w:r>
    </w:p>
    <w:p w14:paraId="52061C88" w14:textId="1EC1044A" w:rsidR="00FF585D" w:rsidRDefault="00FF585D" w:rsidP="00C45A03">
      <w:pPr>
        <w:jc w:val="both"/>
        <w:rPr>
          <w:rFonts w:ascii="Arial" w:hAnsi="Arial" w:cs="Arial"/>
          <w:sz w:val="22"/>
          <w:szCs w:val="22"/>
          <w:lang w:val="en-GB"/>
        </w:rPr>
      </w:pPr>
    </w:p>
    <w:p w14:paraId="6DCE52BD" w14:textId="40C53742" w:rsidR="00FF585D" w:rsidRPr="00345996" w:rsidRDefault="00FF585D" w:rsidP="00C45A03">
      <w:pPr>
        <w:jc w:val="both"/>
        <w:rPr>
          <w:rFonts w:ascii="Arial" w:hAnsi="Arial" w:cs="Arial"/>
          <w:sz w:val="22"/>
          <w:szCs w:val="22"/>
          <w:lang w:val="en-GB"/>
        </w:rPr>
      </w:pPr>
      <w:r>
        <w:rPr>
          <w:rFonts w:ascii="Arial" w:hAnsi="Arial" w:cs="Arial"/>
          <w:sz w:val="22"/>
          <w:szCs w:val="22"/>
          <w:lang w:val="en-GB"/>
        </w:rPr>
        <w:t>It must also be noted that the Corporate Insolvency and Governance Act 2020 was also enacted on 26 June 2020 which imposes a suspension on winding up petitions</w:t>
      </w:r>
      <w:r w:rsidR="004F0A65">
        <w:rPr>
          <w:rFonts w:ascii="Arial" w:hAnsi="Arial" w:cs="Arial"/>
          <w:sz w:val="22"/>
          <w:szCs w:val="22"/>
          <w:lang w:val="en-GB"/>
        </w:rPr>
        <w:t xml:space="preserve">. This may be relevant to the extent </w:t>
      </w:r>
      <w:r w:rsidR="008A792E">
        <w:rPr>
          <w:rFonts w:ascii="Arial" w:hAnsi="Arial" w:cs="Arial"/>
          <w:sz w:val="22"/>
          <w:szCs w:val="22"/>
          <w:lang w:val="en-GB"/>
        </w:rPr>
        <w:t xml:space="preserve">that the </w:t>
      </w:r>
      <w:r w:rsidR="004F0A65">
        <w:rPr>
          <w:rFonts w:ascii="Arial" w:hAnsi="Arial" w:cs="Arial"/>
          <w:sz w:val="22"/>
          <w:szCs w:val="22"/>
          <w:lang w:val="en-GB"/>
        </w:rPr>
        <w:t xml:space="preserve">petitioning creditor </w:t>
      </w:r>
      <w:r w:rsidR="008A792E">
        <w:rPr>
          <w:rFonts w:ascii="Arial" w:hAnsi="Arial" w:cs="Arial"/>
          <w:sz w:val="22"/>
          <w:szCs w:val="22"/>
          <w:lang w:val="en-GB"/>
        </w:rPr>
        <w:t xml:space="preserve">is not able establish </w:t>
      </w:r>
      <w:r w:rsidR="004F0A65">
        <w:rPr>
          <w:rFonts w:ascii="Arial" w:hAnsi="Arial" w:cs="Arial"/>
          <w:sz w:val="22"/>
          <w:szCs w:val="22"/>
          <w:lang w:val="en-GB"/>
        </w:rPr>
        <w:t>that Rydell would have been unable to pay its debts in the absence of any COVID-19 pandemic-related economic downturn</w:t>
      </w:r>
      <w:r w:rsidR="004F0A65">
        <w:rPr>
          <w:rStyle w:val="FootnoteReference"/>
          <w:rFonts w:ascii="Arial" w:hAnsi="Arial" w:cs="Arial"/>
          <w:sz w:val="22"/>
          <w:szCs w:val="22"/>
          <w:lang w:val="en-GB"/>
        </w:rPr>
        <w:footnoteReference w:id="25"/>
      </w:r>
      <w:r w:rsidR="004F0A65">
        <w:rPr>
          <w:rFonts w:ascii="Arial" w:hAnsi="Arial" w:cs="Arial"/>
          <w:sz w:val="22"/>
          <w:szCs w:val="22"/>
          <w:lang w:val="en-GB"/>
        </w:rPr>
        <w:t xml:space="preserve">.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w:t>
      </w:r>
      <w:r w:rsidRPr="00205B31">
        <w:rPr>
          <w:rFonts w:ascii="Arial" w:hAnsi="Arial" w:cs="Arial"/>
          <w:sz w:val="22"/>
          <w:szCs w:val="22"/>
          <w:lang w:val="en-GB"/>
        </w:rPr>
        <w:lastRenderedPageBreak/>
        <w:t xml:space="preserve">insolvency proceedings were opened in the UK on 18 June 2021? What </w:t>
      </w:r>
      <w:r w:rsidRPr="005F1575">
        <w:rPr>
          <w:rFonts w:ascii="Arial" w:hAnsi="Arial" w:cs="Arial"/>
          <w:sz w:val="22"/>
          <w:szCs w:val="22"/>
          <w:lang w:val="en-GB"/>
        </w:rPr>
        <w:t>UK domestic laws would be relevant to consider whether the minor creditor could commence those formal insolvency proceedings in the UK?</w:t>
      </w:r>
    </w:p>
    <w:bookmarkEnd w:id="4"/>
    <w:bookmarkEnd w:id="5"/>
    <w:p w14:paraId="04434D04" w14:textId="08504FA9" w:rsidR="00015EE6"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E856AEB" w14:textId="74A77F74" w:rsidR="00501D33" w:rsidRDefault="00FF585D"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In this situation, </w:t>
      </w:r>
      <w:r w:rsidR="003901F8">
        <w:rPr>
          <w:rFonts w:ascii="Arial" w:hAnsi="Arial" w:cs="Arial"/>
          <w:sz w:val="22"/>
          <w:szCs w:val="22"/>
          <w:lang w:val="en-GB"/>
        </w:rPr>
        <w:t xml:space="preserve">on the basis that Rydell's COMI is in another </w:t>
      </w:r>
      <w:r w:rsidR="008A792E">
        <w:rPr>
          <w:rFonts w:ascii="Arial" w:hAnsi="Arial" w:cs="Arial"/>
          <w:sz w:val="22"/>
          <w:szCs w:val="22"/>
          <w:lang w:val="en-GB"/>
        </w:rPr>
        <w:t>Sta</w:t>
      </w:r>
      <w:bookmarkStart w:id="6" w:name="_GoBack"/>
      <w:bookmarkEnd w:id="6"/>
      <w:r w:rsidR="008A792E">
        <w:rPr>
          <w:rFonts w:ascii="Arial" w:hAnsi="Arial" w:cs="Arial"/>
          <w:sz w:val="22"/>
          <w:szCs w:val="22"/>
          <w:lang w:val="en-GB"/>
        </w:rPr>
        <w:t xml:space="preserve">te </w:t>
      </w:r>
      <w:r w:rsidR="003901F8">
        <w:rPr>
          <w:rFonts w:ascii="Arial" w:hAnsi="Arial" w:cs="Arial"/>
          <w:sz w:val="22"/>
          <w:szCs w:val="22"/>
          <w:lang w:val="en-GB"/>
        </w:rPr>
        <w:t xml:space="preserve">and it is unregistered, </w:t>
      </w:r>
      <w:r>
        <w:rPr>
          <w:rFonts w:ascii="Arial" w:hAnsi="Arial" w:cs="Arial"/>
          <w:sz w:val="22"/>
          <w:szCs w:val="22"/>
          <w:lang w:val="en-GB"/>
        </w:rPr>
        <w:t xml:space="preserve">the matter would fall outside the scope of the EIR Recast notwithstanding the proceedings were commenced before the expiration of the transitional period following the UK's exit from the EU. </w:t>
      </w:r>
      <w:r w:rsidR="003901F8">
        <w:rPr>
          <w:rFonts w:ascii="Arial" w:hAnsi="Arial" w:cs="Arial"/>
          <w:sz w:val="22"/>
          <w:szCs w:val="22"/>
          <w:lang w:val="en-GB"/>
        </w:rPr>
        <w:t xml:space="preserve">However, </w:t>
      </w:r>
      <w:r w:rsidR="008A792E">
        <w:rPr>
          <w:rFonts w:ascii="Arial" w:hAnsi="Arial" w:cs="Arial"/>
          <w:sz w:val="22"/>
          <w:szCs w:val="22"/>
          <w:lang w:val="en-GB"/>
        </w:rPr>
        <w:t>the UK court could</w:t>
      </w:r>
      <w:r>
        <w:rPr>
          <w:rFonts w:ascii="Arial" w:hAnsi="Arial" w:cs="Arial"/>
          <w:sz w:val="22"/>
          <w:szCs w:val="22"/>
          <w:lang w:val="en-GB"/>
        </w:rPr>
        <w:t xml:space="preserve"> still have jurisdiction to wind up Rydell pursuant to </w:t>
      </w:r>
      <w:r w:rsidR="00424CC1">
        <w:rPr>
          <w:rFonts w:ascii="Arial" w:hAnsi="Arial" w:cs="Arial"/>
          <w:sz w:val="22"/>
          <w:szCs w:val="22"/>
          <w:lang w:val="en-GB"/>
        </w:rPr>
        <w:t xml:space="preserve"> section 221</w:t>
      </w:r>
      <w:r>
        <w:rPr>
          <w:rFonts w:ascii="Arial" w:hAnsi="Arial" w:cs="Arial"/>
          <w:sz w:val="22"/>
          <w:szCs w:val="22"/>
          <w:lang w:val="en-GB"/>
        </w:rPr>
        <w:t xml:space="preserve"> </w:t>
      </w:r>
      <w:r w:rsidR="003901F8">
        <w:rPr>
          <w:rFonts w:ascii="Arial" w:hAnsi="Arial" w:cs="Arial"/>
          <w:sz w:val="22"/>
          <w:szCs w:val="22"/>
          <w:lang w:val="en-GB"/>
        </w:rPr>
        <w:t xml:space="preserve">of the Insolvency Act 1986 which provides for a court-ordered winding up </w:t>
      </w:r>
      <w:r w:rsidR="00501D33">
        <w:rPr>
          <w:rFonts w:ascii="Arial" w:hAnsi="Arial" w:cs="Arial"/>
          <w:sz w:val="22"/>
          <w:szCs w:val="22"/>
          <w:lang w:val="en-GB"/>
        </w:rPr>
        <w:t>of unregistered companies if the company has a principal place of business in England and Wales or Scotland, and for the purposes of the winding up, this place of business is deemed to the registered office of the company</w:t>
      </w:r>
      <w:r w:rsidR="00501D33">
        <w:rPr>
          <w:rStyle w:val="FootnoteReference"/>
          <w:rFonts w:ascii="Arial" w:hAnsi="Arial" w:cs="Arial"/>
          <w:sz w:val="22"/>
          <w:szCs w:val="22"/>
          <w:lang w:val="en-GB"/>
        </w:rPr>
        <w:footnoteReference w:id="26"/>
      </w:r>
      <w:r w:rsidR="00501D33">
        <w:rPr>
          <w:rFonts w:ascii="Arial" w:hAnsi="Arial" w:cs="Arial"/>
          <w:sz w:val="22"/>
          <w:szCs w:val="22"/>
          <w:lang w:val="en-GB"/>
        </w:rPr>
        <w:t xml:space="preserve">. </w:t>
      </w:r>
    </w:p>
    <w:p w14:paraId="0E0C85BA" w14:textId="77777777" w:rsidR="00424CC1" w:rsidRDefault="00424CC1" w:rsidP="00015EE6">
      <w:pPr>
        <w:autoSpaceDE w:val="0"/>
        <w:autoSpaceDN w:val="0"/>
        <w:adjustRightInd w:val="0"/>
        <w:spacing w:line="276" w:lineRule="auto"/>
        <w:jc w:val="both"/>
        <w:rPr>
          <w:rFonts w:ascii="Arial" w:hAnsi="Arial" w:cs="Arial"/>
          <w:sz w:val="22"/>
          <w:szCs w:val="22"/>
          <w:lang w:val="en-GB"/>
        </w:rPr>
      </w:pPr>
    </w:p>
    <w:p w14:paraId="0C0CB8D3" w14:textId="056D1E0D" w:rsidR="008D79FB" w:rsidRDefault="008E4251"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A winding up of an unregistered company is permitted in</w:t>
      </w:r>
      <w:r w:rsidR="003901F8">
        <w:rPr>
          <w:rFonts w:ascii="Arial" w:hAnsi="Arial" w:cs="Arial"/>
          <w:sz w:val="22"/>
          <w:szCs w:val="22"/>
          <w:lang w:val="en-GB"/>
        </w:rPr>
        <w:t xml:space="preserve"> the following circumstances</w:t>
      </w:r>
      <w:r w:rsidR="00E02BA8">
        <w:rPr>
          <w:rFonts w:ascii="Arial" w:hAnsi="Arial" w:cs="Arial"/>
          <w:sz w:val="22"/>
          <w:szCs w:val="22"/>
          <w:lang w:val="en-GB"/>
        </w:rPr>
        <w:t xml:space="preserve"> under section 221(5)</w:t>
      </w:r>
      <w:r w:rsidR="003901F8">
        <w:rPr>
          <w:rFonts w:ascii="Arial" w:hAnsi="Arial" w:cs="Arial"/>
          <w:sz w:val="22"/>
          <w:szCs w:val="22"/>
          <w:lang w:val="en-GB"/>
        </w:rPr>
        <w:t>:</w:t>
      </w:r>
    </w:p>
    <w:p w14:paraId="0C3E3B66" w14:textId="4A91233A" w:rsidR="003901F8" w:rsidRDefault="003901F8" w:rsidP="00015EE6">
      <w:pPr>
        <w:autoSpaceDE w:val="0"/>
        <w:autoSpaceDN w:val="0"/>
        <w:adjustRightInd w:val="0"/>
        <w:spacing w:line="276" w:lineRule="auto"/>
        <w:jc w:val="both"/>
        <w:rPr>
          <w:rFonts w:ascii="Arial" w:hAnsi="Arial" w:cs="Arial"/>
          <w:sz w:val="22"/>
          <w:szCs w:val="22"/>
          <w:lang w:val="en-GB"/>
        </w:rPr>
      </w:pPr>
    </w:p>
    <w:p w14:paraId="3D015684" w14:textId="51F0421E" w:rsidR="003901F8" w:rsidRDefault="003901F8" w:rsidP="003901F8">
      <w:pPr>
        <w:pStyle w:val="ListParagraph"/>
        <w:numPr>
          <w:ilvl w:val="0"/>
          <w:numId w:val="19"/>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if the company is dissolved, or has ceased to carry on business, or is carrying on business only for the purpose of winding up its affairs;</w:t>
      </w:r>
    </w:p>
    <w:p w14:paraId="74E7EB44" w14:textId="73236501" w:rsidR="003901F8" w:rsidRDefault="003901F8" w:rsidP="003901F8">
      <w:pPr>
        <w:pStyle w:val="ListParagraph"/>
        <w:numPr>
          <w:ilvl w:val="0"/>
          <w:numId w:val="19"/>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if the company is unable to pay its debts; </w:t>
      </w:r>
    </w:p>
    <w:p w14:paraId="2FE6DF36" w14:textId="6F14753C" w:rsidR="003901F8" w:rsidRDefault="003901F8" w:rsidP="003901F8">
      <w:pPr>
        <w:pStyle w:val="ListParagraph"/>
        <w:numPr>
          <w:ilvl w:val="0"/>
          <w:numId w:val="19"/>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if the court is of the opinion that it is just and equitable that the company should be wound up. </w:t>
      </w:r>
    </w:p>
    <w:p w14:paraId="7EE27BB3" w14:textId="246B03DB" w:rsidR="003901F8" w:rsidRDefault="003901F8" w:rsidP="003901F8">
      <w:pPr>
        <w:autoSpaceDE w:val="0"/>
        <w:autoSpaceDN w:val="0"/>
        <w:adjustRightInd w:val="0"/>
        <w:spacing w:line="276" w:lineRule="auto"/>
        <w:jc w:val="both"/>
        <w:rPr>
          <w:rFonts w:ascii="Arial" w:hAnsi="Arial" w:cs="Arial"/>
          <w:sz w:val="22"/>
          <w:szCs w:val="22"/>
          <w:lang w:val="en-GB"/>
        </w:rPr>
      </w:pPr>
    </w:p>
    <w:p w14:paraId="5F059774" w14:textId="2D1922D4" w:rsidR="0077498C" w:rsidRPr="00205B31" w:rsidRDefault="008E4251" w:rsidP="005F1575">
      <w:pPr>
        <w:autoSpaceDE w:val="0"/>
        <w:autoSpaceDN w:val="0"/>
        <w:adjustRightInd w:val="0"/>
        <w:spacing w:line="276" w:lineRule="auto"/>
        <w:jc w:val="both"/>
        <w:rPr>
          <w:rFonts w:ascii="Arial" w:hAnsi="Arial" w:cs="Arial"/>
          <w:color w:val="000000" w:themeColor="text1"/>
          <w:sz w:val="22"/>
          <w:szCs w:val="22"/>
          <w:lang w:val="en-GB"/>
        </w:rPr>
      </w:pPr>
      <w:r>
        <w:rPr>
          <w:rFonts w:ascii="Arial" w:hAnsi="Arial" w:cs="Arial"/>
          <w:sz w:val="22"/>
          <w:szCs w:val="22"/>
          <w:lang w:val="en-GB"/>
        </w:rPr>
        <w:t>Rydell is said to owe money to several parties, therefore it may well be deemed unable to pay its debts. Although it is not clear whether the company has ceased to carry on business or is carrying on business only for the purpose of windin</w:t>
      </w:r>
      <w:r w:rsidR="00E02BA8">
        <w:rPr>
          <w:rFonts w:ascii="Arial" w:hAnsi="Arial" w:cs="Arial"/>
          <w:sz w:val="22"/>
          <w:szCs w:val="22"/>
          <w:lang w:val="en-GB"/>
        </w:rPr>
        <w:t>g</w:t>
      </w:r>
      <w:r w:rsidR="004F0A65">
        <w:rPr>
          <w:rFonts w:ascii="Arial" w:hAnsi="Arial" w:cs="Arial"/>
          <w:sz w:val="22"/>
          <w:szCs w:val="22"/>
          <w:lang w:val="en-GB"/>
        </w:rPr>
        <w:t xml:space="preserve"> up its affairs, section 221 </w:t>
      </w:r>
      <w:r w:rsidR="00E02BA8">
        <w:rPr>
          <w:rFonts w:ascii="Arial" w:hAnsi="Arial" w:cs="Arial"/>
          <w:sz w:val="22"/>
          <w:szCs w:val="22"/>
          <w:lang w:val="en-GB"/>
        </w:rPr>
        <w:t xml:space="preserve">has been applied by the English court in circumstances where the court is satisfied that there is a </w:t>
      </w:r>
      <w:r w:rsidR="004F0A65">
        <w:rPr>
          <w:rFonts w:ascii="Arial" w:hAnsi="Arial" w:cs="Arial"/>
          <w:sz w:val="22"/>
          <w:szCs w:val="22"/>
          <w:lang w:val="en-GB"/>
        </w:rPr>
        <w:t>"</w:t>
      </w:r>
      <w:r w:rsidR="00E02BA8">
        <w:rPr>
          <w:rFonts w:ascii="Arial" w:hAnsi="Arial" w:cs="Arial"/>
          <w:sz w:val="22"/>
          <w:szCs w:val="22"/>
          <w:lang w:val="en-GB"/>
        </w:rPr>
        <w:t>sufficient connection</w:t>
      </w:r>
      <w:r w:rsidR="004F0A65">
        <w:rPr>
          <w:rFonts w:ascii="Arial" w:hAnsi="Arial" w:cs="Arial"/>
          <w:sz w:val="22"/>
          <w:szCs w:val="22"/>
          <w:lang w:val="en-GB"/>
        </w:rPr>
        <w:t>"</w:t>
      </w:r>
      <w:r w:rsidR="00E02BA8">
        <w:rPr>
          <w:rFonts w:ascii="Arial" w:hAnsi="Arial" w:cs="Arial"/>
          <w:sz w:val="22"/>
          <w:szCs w:val="22"/>
          <w:lang w:val="en-GB"/>
        </w:rPr>
        <w:t xml:space="preserve"> with England and Wales</w:t>
      </w:r>
      <w:r w:rsidR="00E02BA8">
        <w:rPr>
          <w:rStyle w:val="FootnoteReference"/>
          <w:rFonts w:ascii="Arial" w:hAnsi="Arial" w:cs="Arial"/>
          <w:sz w:val="22"/>
          <w:szCs w:val="22"/>
          <w:lang w:val="en-GB"/>
        </w:rPr>
        <w:footnoteReference w:id="27"/>
      </w:r>
      <w:r w:rsidR="005F1575">
        <w:rPr>
          <w:rFonts w:ascii="Arial" w:hAnsi="Arial" w:cs="Arial"/>
          <w:sz w:val="22"/>
          <w:szCs w:val="22"/>
          <w:lang w:val="en-GB"/>
        </w:rPr>
        <w:t xml:space="preserve">. </w:t>
      </w:r>
      <w:r w:rsidR="005F1575">
        <w:rPr>
          <w:rFonts w:ascii="Arial" w:hAnsi="Arial" w:cs="Arial"/>
          <w:color w:val="000000" w:themeColor="text1"/>
          <w:sz w:val="22"/>
          <w:szCs w:val="22"/>
          <w:lang w:val="en-GB"/>
        </w:rPr>
        <w:t xml:space="preserve">Underpinning this approach, three requirements must be met in order for the English court to make a winding-up order against Rydell. Firstly, </w:t>
      </w:r>
      <w:r w:rsidR="004F0A65">
        <w:rPr>
          <w:rFonts w:ascii="Arial" w:hAnsi="Arial" w:cs="Arial"/>
          <w:color w:val="000000" w:themeColor="text1"/>
          <w:sz w:val="22"/>
          <w:szCs w:val="22"/>
          <w:lang w:val="en-GB"/>
        </w:rPr>
        <w:t>the</w:t>
      </w:r>
      <w:r w:rsidR="005F1575">
        <w:rPr>
          <w:rFonts w:ascii="Arial" w:hAnsi="Arial" w:cs="Arial"/>
          <w:color w:val="000000" w:themeColor="text1"/>
          <w:sz w:val="22"/>
          <w:szCs w:val="22"/>
          <w:lang w:val="en-GB"/>
        </w:rPr>
        <w:t xml:space="preserve"> minor creditor must show a sufficient connection between Rydell and England and Wales, such as a place of business. It does not necessarily have to consist of assets within the jurisdiction. </w:t>
      </w:r>
      <w:r w:rsidR="004F0A65">
        <w:rPr>
          <w:rFonts w:ascii="Arial" w:hAnsi="Arial" w:cs="Arial"/>
          <w:color w:val="000000" w:themeColor="text1"/>
          <w:sz w:val="22"/>
          <w:szCs w:val="22"/>
          <w:lang w:val="en-GB"/>
        </w:rPr>
        <w:t>Secondly, the minor</w:t>
      </w:r>
      <w:r w:rsidR="005F1575">
        <w:rPr>
          <w:rFonts w:ascii="Arial" w:hAnsi="Arial" w:cs="Arial"/>
          <w:color w:val="000000" w:themeColor="text1"/>
          <w:sz w:val="22"/>
          <w:szCs w:val="22"/>
          <w:lang w:val="en-GB"/>
        </w:rPr>
        <w:t xml:space="preserve"> creditor must also be able to show that there is a reasonable possibility, if a winding up order is made, of deriving benefit. Thirdly, one or more persons interested in the distribution of assets of the company must be persons over whom the court can exercise jurisdiction</w:t>
      </w:r>
      <w:r w:rsidR="005F1575">
        <w:rPr>
          <w:rStyle w:val="FootnoteReference"/>
          <w:rFonts w:ascii="Arial" w:hAnsi="Arial" w:cs="Arial"/>
          <w:color w:val="000000" w:themeColor="text1"/>
          <w:sz w:val="22"/>
          <w:szCs w:val="22"/>
          <w:lang w:val="en-GB"/>
        </w:rPr>
        <w:footnoteReference w:id="28"/>
      </w:r>
      <w:r w:rsidR="005F1575">
        <w:rPr>
          <w:rFonts w:ascii="Arial" w:hAnsi="Arial" w:cs="Arial"/>
          <w:color w:val="000000" w:themeColor="text1"/>
          <w:sz w:val="22"/>
          <w:szCs w:val="22"/>
          <w:lang w:val="en-GB"/>
        </w:rPr>
        <w:t xml:space="preserve">. </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FC56" w14:textId="77777777" w:rsidR="00A81740" w:rsidRDefault="00A81740" w:rsidP="00241B44">
      <w:r>
        <w:separator/>
      </w:r>
    </w:p>
  </w:endnote>
  <w:endnote w:type="continuationSeparator" w:id="0">
    <w:p w14:paraId="1569510E" w14:textId="77777777" w:rsidR="00A81740" w:rsidRDefault="00A817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A81740" w:rsidRPr="00A31881" w:rsidRDefault="00A8174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A81740" w:rsidRPr="00A31881" w:rsidRDefault="00A8174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2E159EC8" w:rsidR="00A81740" w:rsidRPr="0052732A" w:rsidRDefault="00A8174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2C44EB">
          <w:rPr>
            <w:rStyle w:val="PageNumber"/>
            <w:rFonts w:ascii="Arial" w:hAnsi="Arial" w:cs="Arial"/>
            <w:b/>
            <w:bCs/>
            <w:noProof/>
            <w:sz w:val="18"/>
            <w:szCs w:val="18"/>
          </w:rPr>
          <w:t>14</w:t>
        </w:r>
        <w:r w:rsidRPr="00C50F86">
          <w:rPr>
            <w:rStyle w:val="PageNumber"/>
            <w:rFonts w:ascii="Arial" w:hAnsi="Arial" w:cs="Arial"/>
            <w:b/>
            <w:bCs/>
            <w:sz w:val="18"/>
            <w:szCs w:val="18"/>
          </w:rPr>
          <w:fldChar w:fldCharType="end"/>
        </w:r>
      </w:p>
    </w:sdtContent>
  </w:sdt>
  <w:p w14:paraId="12ABA5E1" w14:textId="568EA471" w:rsidR="00A81740" w:rsidRPr="0052732A" w:rsidRDefault="008A792E" w:rsidP="0052732A">
    <w:pPr>
      <w:pStyle w:val="Footer"/>
      <w:ind w:right="360"/>
      <w:rPr>
        <w:rFonts w:ascii="Arial" w:hAnsi="Arial" w:cs="Arial"/>
        <w:sz w:val="18"/>
        <w:szCs w:val="18"/>
      </w:rPr>
    </w:pPr>
    <w:r>
      <w:rPr>
        <w:rFonts w:ascii="Arial" w:hAnsi="Arial" w:cs="Arial"/>
        <w:sz w:val="18"/>
        <w:szCs w:val="18"/>
      </w:rPr>
      <w:t>202122-563</w:t>
    </w:r>
    <w:r w:rsidR="00A8174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2433" w14:textId="77777777" w:rsidR="00A81740" w:rsidRDefault="00A81740" w:rsidP="00241B44">
      <w:r>
        <w:separator/>
      </w:r>
    </w:p>
  </w:footnote>
  <w:footnote w:type="continuationSeparator" w:id="0">
    <w:p w14:paraId="1B0F45A1" w14:textId="77777777" w:rsidR="00A81740" w:rsidRDefault="00A81740" w:rsidP="00241B44">
      <w:r>
        <w:continuationSeparator/>
      </w:r>
    </w:p>
  </w:footnote>
  <w:footnote w:id="1">
    <w:p w14:paraId="07815971" w14:textId="24E127F3" w:rsidR="00183240" w:rsidRPr="008A792E" w:rsidRDefault="00183240">
      <w:pPr>
        <w:pStyle w:val="FootnoteText"/>
        <w:rPr>
          <w:rFonts w:ascii="Arial" w:hAnsi="Arial" w:cs="Arial"/>
          <w:sz w:val="16"/>
          <w:szCs w:val="16"/>
        </w:rPr>
      </w:pPr>
      <w:r w:rsidRPr="008A792E">
        <w:rPr>
          <w:rStyle w:val="FootnoteReference"/>
          <w:rFonts w:ascii="Arial" w:hAnsi="Arial" w:cs="Arial"/>
          <w:sz w:val="16"/>
          <w:szCs w:val="16"/>
        </w:rPr>
        <w:footnoteRef/>
      </w:r>
      <w:r w:rsidRPr="008A792E">
        <w:rPr>
          <w:rFonts w:ascii="Arial" w:hAnsi="Arial" w:cs="Arial"/>
          <w:sz w:val="16"/>
          <w:szCs w:val="16"/>
        </w:rPr>
        <w:t xml:space="preserve"> I F Fletcher, </w:t>
      </w:r>
      <w:r w:rsidRPr="008A792E">
        <w:rPr>
          <w:rFonts w:ascii="Arial" w:hAnsi="Arial" w:cs="Arial"/>
          <w:i/>
          <w:sz w:val="16"/>
          <w:szCs w:val="16"/>
        </w:rPr>
        <w:t>Insolvency in Private International Law – National and International Approaches</w:t>
      </w:r>
      <w:r w:rsidRPr="008A792E">
        <w:rPr>
          <w:rFonts w:ascii="Arial" w:hAnsi="Arial" w:cs="Arial"/>
          <w:sz w:val="16"/>
          <w:szCs w:val="16"/>
        </w:rPr>
        <w:t xml:space="preserve"> (Oxford: Oxford University Press, 2</w:t>
      </w:r>
      <w:r w:rsidRPr="008A792E">
        <w:rPr>
          <w:rFonts w:ascii="Arial" w:hAnsi="Arial" w:cs="Arial"/>
          <w:sz w:val="16"/>
          <w:szCs w:val="16"/>
          <w:vertAlign w:val="superscript"/>
        </w:rPr>
        <w:t>nd</w:t>
      </w:r>
      <w:r w:rsidR="004C030C" w:rsidRPr="008A792E">
        <w:rPr>
          <w:rFonts w:ascii="Arial" w:hAnsi="Arial" w:cs="Arial"/>
          <w:sz w:val="16"/>
          <w:szCs w:val="16"/>
        </w:rPr>
        <w:t xml:space="preserve"> ed, 2005) Ch 1; </w:t>
      </w:r>
      <w:r w:rsidRPr="008A792E">
        <w:rPr>
          <w:rFonts w:ascii="Arial" w:hAnsi="Arial" w:cs="Arial"/>
          <w:sz w:val="16"/>
          <w:szCs w:val="16"/>
        </w:rPr>
        <w:t>L E Levinthal, "The Early History of Bankruptcy Law", (1918) 66 Uni of Pennsylvania Law Review and American Law Register</w:t>
      </w:r>
      <w:r w:rsidR="004C030C" w:rsidRPr="008A792E">
        <w:rPr>
          <w:rFonts w:ascii="Arial" w:hAnsi="Arial" w:cs="Arial"/>
          <w:sz w:val="16"/>
          <w:szCs w:val="16"/>
        </w:rPr>
        <w:t>.</w:t>
      </w:r>
    </w:p>
  </w:footnote>
  <w:footnote w:id="2">
    <w:p w14:paraId="525B5F54" w14:textId="35A54777" w:rsidR="004C030C" w:rsidRPr="008A792E" w:rsidRDefault="004C030C">
      <w:pPr>
        <w:pStyle w:val="FootnoteText"/>
        <w:rPr>
          <w:rFonts w:ascii="Arial" w:hAnsi="Arial" w:cs="Arial"/>
          <w:sz w:val="16"/>
          <w:szCs w:val="16"/>
        </w:rPr>
      </w:pPr>
      <w:r w:rsidRPr="008A792E">
        <w:rPr>
          <w:rStyle w:val="FootnoteReference"/>
          <w:rFonts w:ascii="Arial" w:hAnsi="Arial" w:cs="Arial"/>
          <w:sz w:val="16"/>
          <w:szCs w:val="16"/>
        </w:rPr>
        <w:footnoteRef/>
      </w:r>
      <w:r w:rsidRPr="008A792E">
        <w:rPr>
          <w:rFonts w:ascii="Arial" w:hAnsi="Arial" w:cs="Arial"/>
          <w:sz w:val="16"/>
          <w:szCs w:val="16"/>
        </w:rPr>
        <w:t xml:space="preserve"> Ibid</w:t>
      </w:r>
    </w:p>
  </w:footnote>
  <w:footnote w:id="3">
    <w:p w14:paraId="2AD95680" w14:textId="23282354" w:rsidR="00A81740" w:rsidRPr="008A792E" w:rsidRDefault="00A81740">
      <w:pPr>
        <w:pStyle w:val="FootnoteText"/>
        <w:rPr>
          <w:rFonts w:ascii="Arial" w:hAnsi="Arial" w:cs="Arial"/>
          <w:sz w:val="16"/>
          <w:szCs w:val="16"/>
        </w:rPr>
      </w:pPr>
      <w:r w:rsidRPr="008A792E">
        <w:rPr>
          <w:rStyle w:val="FootnoteReference"/>
          <w:rFonts w:ascii="Arial" w:hAnsi="Arial" w:cs="Arial"/>
          <w:sz w:val="16"/>
          <w:szCs w:val="16"/>
        </w:rPr>
        <w:footnoteRef/>
      </w:r>
      <w:r w:rsidR="004C030C" w:rsidRPr="008A792E">
        <w:rPr>
          <w:rFonts w:ascii="Arial" w:hAnsi="Arial" w:cs="Arial"/>
          <w:sz w:val="16"/>
          <w:szCs w:val="16"/>
        </w:rPr>
        <w:t xml:space="preserve"> Idem, p9</w:t>
      </w:r>
    </w:p>
  </w:footnote>
  <w:footnote w:id="4">
    <w:p w14:paraId="5CDF818F" w14:textId="7D92B6A4" w:rsidR="00943449" w:rsidRPr="008A792E" w:rsidRDefault="00943449">
      <w:pPr>
        <w:pStyle w:val="FootnoteText"/>
        <w:rPr>
          <w:rFonts w:ascii="Arial" w:hAnsi="Arial" w:cs="Arial"/>
          <w:sz w:val="16"/>
          <w:szCs w:val="16"/>
        </w:rPr>
      </w:pPr>
      <w:r w:rsidRPr="008A792E">
        <w:rPr>
          <w:rStyle w:val="FootnoteReference"/>
          <w:rFonts w:ascii="Arial" w:hAnsi="Arial" w:cs="Arial"/>
          <w:sz w:val="16"/>
          <w:szCs w:val="16"/>
        </w:rPr>
        <w:footnoteRef/>
      </w:r>
      <w:r w:rsidRPr="008A792E">
        <w:rPr>
          <w:rFonts w:ascii="Arial" w:hAnsi="Arial" w:cs="Arial"/>
          <w:sz w:val="16"/>
          <w:szCs w:val="16"/>
        </w:rPr>
        <w:t xml:space="preserve"> See Idem, pp 17-18 which notes these features as three principles set out by Chamberlain which are essential to a good bankruptcy. </w:t>
      </w:r>
    </w:p>
  </w:footnote>
  <w:footnote w:id="5">
    <w:p w14:paraId="008D813C" w14:textId="78856C39" w:rsidR="00B65E25" w:rsidRDefault="00B65E25">
      <w:pPr>
        <w:pStyle w:val="FootnoteText"/>
      </w:pPr>
      <w:r w:rsidRPr="008A792E">
        <w:rPr>
          <w:rStyle w:val="FootnoteReference"/>
          <w:rFonts w:ascii="Arial" w:hAnsi="Arial" w:cs="Arial"/>
          <w:sz w:val="16"/>
          <w:szCs w:val="16"/>
        </w:rPr>
        <w:footnoteRef/>
      </w:r>
      <w:r w:rsidRPr="008A792E">
        <w:rPr>
          <w:rFonts w:ascii="Arial" w:hAnsi="Arial" w:cs="Arial"/>
          <w:sz w:val="16"/>
          <w:szCs w:val="16"/>
        </w:rPr>
        <w:t xml:space="preserve"> Idem  pp 15-17.</w:t>
      </w:r>
    </w:p>
  </w:footnote>
  <w:footnote w:id="6">
    <w:p w14:paraId="6CEFFA28" w14:textId="49D929C2" w:rsidR="00A81740" w:rsidRPr="00855355" w:rsidRDefault="00A81740">
      <w:pPr>
        <w:pStyle w:val="FootnoteText"/>
        <w:rPr>
          <w:rFonts w:ascii="Arial" w:hAnsi="Arial" w:cs="Arial"/>
          <w:sz w:val="16"/>
          <w:szCs w:val="16"/>
        </w:rPr>
      </w:pPr>
      <w:r>
        <w:rPr>
          <w:rStyle w:val="FootnoteReference"/>
        </w:rPr>
        <w:footnoteRef/>
      </w:r>
      <w:hyperlink r:id="rId1" w:history="1">
        <w:r w:rsidRPr="00855355">
          <w:rPr>
            <w:rStyle w:val="Hyperlink"/>
            <w:rFonts w:ascii="Arial" w:hAnsi="Arial" w:cs="Arial"/>
            <w:sz w:val="16"/>
            <w:szCs w:val="16"/>
          </w:rPr>
          <w:t>https://insol.azureedge.net/cmsstorage/insol/media/documents_files/covidguide/30%20april%20updates/uk-12-may2021-final.pdf</w:t>
        </w:r>
      </w:hyperlink>
      <w:r w:rsidRPr="00855355">
        <w:rPr>
          <w:rFonts w:ascii="Arial" w:hAnsi="Arial" w:cs="Arial"/>
          <w:sz w:val="16"/>
          <w:szCs w:val="16"/>
        </w:rPr>
        <w:t xml:space="preserve"> pages 3 to 4</w:t>
      </w:r>
    </w:p>
  </w:footnote>
  <w:footnote w:id="7">
    <w:p w14:paraId="6BC6798C" w14:textId="505A74AC" w:rsidR="00A81740" w:rsidRPr="00855355" w:rsidRDefault="00A81740">
      <w:pPr>
        <w:pStyle w:val="FootnoteText"/>
        <w:rPr>
          <w:rFonts w:ascii="Arial" w:hAnsi="Arial" w:cs="Arial"/>
          <w:sz w:val="16"/>
          <w:szCs w:val="16"/>
        </w:rPr>
      </w:pPr>
      <w:r w:rsidRPr="00855355">
        <w:rPr>
          <w:rStyle w:val="FootnoteReference"/>
          <w:rFonts w:ascii="Arial" w:hAnsi="Arial" w:cs="Arial"/>
          <w:sz w:val="16"/>
          <w:szCs w:val="16"/>
        </w:rPr>
        <w:footnoteRef/>
      </w:r>
      <w:r w:rsidRPr="00855355">
        <w:rPr>
          <w:rFonts w:ascii="Arial" w:hAnsi="Arial" w:cs="Arial"/>
          <w:sz w:val="16"/>
          <w:szCs w:val="16"/>
        </w:rPr>
        <w:t xml:space="preserve"> Ibid at page 4</w:t>
      </w:r>
    </w:p>
  </w:footnote>
  <w:footnote w:id="8">
    <w:p w14:paraId="0051BC82" w14:textId="4C673D03" w:rsidR="00A81740" w:rsidRPr="00855355" w:rsidRDefault="00A81740">
      <w:pPr>
        <w:pStyle w:val="FootnoteText"/>
        <w:rPr>
          <w:rFonts w:ascii="Arial" w:hAnsi="Arial" w:cs="Arial"/>
          <w:sz w:val="16"/>
          <w:szCs w:val="16"/>
        </w:rPr>
      </w:pPr>
      <w:r w:rsidRPr="00855355">
        <w:rPr>
          <w:rStyle w:val="FootnoteReference"/>
          <w:rFonts w:ascii="Arial" w:hAnsi="Arial" w:cs="Arial"/>
          <w:sz w:val="16"/>
          <w:szCs w:val="16"/>
        </w:rPr>
        <w:footnoteRef/>
      </w:r>
      <w:r w:rsidRPr="00855355">
        <w:rPr>
          <w:rFonts w:ascii="Arial" w:hAnsi="Arial" w:cs="Arial"/>
          <w:sz w:val="16"/>
          <w:szCs w:val="16"/>
        </w:rPr>
        <w:t xml:space="preserve"> Ibid </w:t>
      </w:r>
    </w:p>
  </w:footnote>
  <w:footnote w:id="9">
    <w:p w14:paraId="4F6CD185" w14:textId="06E9C7AD" w:rsidR="00A81740" w:rsidRPr="00855355" w:rsidRDefault="00A81740">
      <w:pPr>
        <w:pStyle w:val="FootnoteText"/>
        <w:rPr>
          <w:rFonts w:ascii="Arial" w:hAnsi="Arial" w:cs="Arial"/>
          <w:i/>
          <w:sz w:val="16"/>
          <w:szCs w:val="16"/>
        </w:rPr>
      </w:pPr>
      <w:r w:rsidRPr="00855355">
        <w:rPr>
          <w:rStyle w:val="FootnoteReference"/>
          <w:rFonts w:ascii="Arial" w:hAnsi="Arial" w:cs="Arial"/>
          <w:sz w:val="16"/>
          <w:szCs w:val="16"/>
        </w:rPr>
        <w:footnoteRef/>
      </w:r>
      <w:r w:rsidRPr="00855355">
        <w:rPr>
          <w:rFonts w:ascii="Arial" w:hAnsi="Arial" w:cs="Arial"/>
          <w:sz w:val="16"/>
          <w:szCs w:val="16"/>
        </w:rPr>
        <w:t xml:space="preserve"> However, note the commentary of I Mevorach in </w:t>
      </w:r>
      <w:r w:rsidRPr="00855355">
        <w:rPr>
          <w:rFonts w:ascii="Arial" w:hAnsi="Arial" w:cs="Arial"/>
          <w:i/>
          <w:sz w:val="16"/>
          <w:szCs w:val="16"/>
        </w:rPr>
        <w:t xml:space="preserve">The Future of Cross-border Insolvency: Overcoming Biases and Closing Gaps </w:t>
      </w:r>
      <w:r w:rsidRPr="00855355">
        <w:rPr>
          <w:rFonts w:ascii="Arial" w:hAnsi="Arial" w:cs="Arial"/>
          <w:sz w:val="16"/>
          <w:szCs w:val="16"/>
        </w:rPr>
        <w:t>(Oxford University Press, 2018) which (at 150) abandons the "</w:t>
      </w:r>
      <w:r w:rsidRPr="00855355">
        <w:rPr>
          <w:rFonts w:ascii="Arial" w:hAnsi="Arial" w:cs="Arial"/>
          <w:i/>
          <w:sz w:val="16"/>
          <w:szCs w:val="16"/>
        </w:rPr>
        <w:t>notion that treaties are hard and binding and non-treaty instrument are soft and non-binding</w:t>
      </w:r>
      <w:r w:rsidRPr="00855355">
        <w:rPr>
          <w:rFonts w:ascii="Arial" w:hAnsi="Arial" w:cs="Arial"/>
          <w:sz w:val="16"/>
          <w:szCs w:val="16"/>
        </w:rPr>
        <w:t xml:space="preserve">". </w:t>
      </w:r>
    </w:p>
  </w:footnote>
  <w:footnote w:id="10">
    <w:p w14:paraId="744F3440" w14:textId="04090116" w:rsidR="00A81740" w:rsidRPr="00855355" w:rsidRDefault="00A81740" w:rsidP="00855355">
      <w:pPr>
        <w:pStyle w:val="FootnoteText"/>
        <w:rPr>
          <w:rFonts w:ascii="Arial" w:hAnsi="Arial" w:cs="Arial"/>
          <w:sz w:val="18"/>
          <w:szCs w:val="18"/>
        </w:rPr>
      </w:pPr>
      <w:r w:rsidRPr="00855355">
        <w:rPr>
          <w:rStyle w:val="FootnoteReference"/>
          <w:rFonts w:ascii="Arial" w:hAnsi="Arial" w:cs="Arial"/>
          <w:sz w:val="16"/>
          <w:szCs w:val="16"/>
        </w:rPr>
        <w:footnoteRef/>
      </w:r>
      <w:r w:rsidRPr="00855355">
        <w:rPr>
          <w:rFonts w:ascii="Arial" w:hAnsi="Arial" w:cs="Arial"/>
          <w:sz w:val="16"/>
          <w:szCs w:val="16"/>
        </w:rPr>
        <w:t xml:space="preserve"> </w:t>
      </w:r>
      <w:r w:rsidRPr="00855355">
        <w:rPr>
          <w:rFonts w:ascii="Arial" w:hAnsi="Arial" w:cs="Arial"/>
          <w:sz w:val="16"/>
          <w:szCs w:val="16"/>
          <w:lang w:val="en-GB"/>
        </w:rPr>
        <w:t>Regulation (EU) 2015/848 of the European Parliament and of the Council of 20 May 2015 on Insolvency Proceedings (</w:t>
      </w:r>
      <w:r w:rsidR="008A792E">
        <w:rPr>
          <w:rFonts w:ascii="Arial" w:hAnsi="Arial" w:cs="Arial"/>
          <w:sz w:val="16"/>
          <w:szCs w:val="16"/>
          <w:lang w:val="en-GB"/>
        </w:rPr>
        <w:t xml:space="preserve">"EIR </w:t>
      </w:r>
      <w:r w:rsidRPr="00855355">
        <w:rPr>
          <w:rFonts w:ascii="Arial" w:hAnsi="Arial" w:cs="Arial"/>
          <w:sz w:val="16"/>
          <w:szCs w:val="16"/>
          <w:lang w:val="en-GB"/>
        </w:rPr>
        <w:t>Recast</w:t>
      </w:r>
      <w:r w:rsidR="008A792E">
        <w:rPr>
          <w:rFonts w:ascii="Arial" w:hAnsi="Arial" w:cs="Arial"/>
          <w:sz w:val="16"/>
          <w:szCs w:val="16"/>
          <w:lang w:val="en-GB"/>
        </w:rPr>
        <w:t>"</w:t>
      </w:r>
      <w:r w:rsidRPr="00855355">
        <w:rPr>
          <w:rFonts w:ascii="Arial" w:hAnsi="Arial" w:cs="Arial"/>
          <w:sz w:val="16"/>
          <w:szCs w:val="16"/>
          <w:lang w:val="en-GB"/>
        </w:rPr>
        <w:t>)</w:t>
      </w:r>
      <w:r w:rsidRPr="00855355">
        <w:rPr>
          <w:rFonts w:ascii="Arial" w:hAnsi="Arial" w:cs="Arial"/>
          <w:sz w:val="18"/>
          <w:szCs w:val="18"/>
          <w:lang w:val="en-GB"/>
        </w:rPr>
        <w:t xml:space="preserve"> </w:t>
      </w:r>
    </w:p>
  </w:footnote>
  <w:footnote w:id="11">
    <w:p w14:paraId="613301E2" w14:textId="5EF282EF" w:rsidR="00274D79" w:rsidRDefault="00274D79">
      <w:pPr>
        <w:pStyle w:val="FootnoteText"/>
      </w:pPr>
      <w:r>
        <w:rPr>
          <w:rStyle w:val="FootnoteReference"/>
        </w:rPr>
        <w:footnoteRef/>
      </w:r>
      <w:r>
        <w:t xml:space="preserve"> </w:t>
      </w:r>
      <w:r w:rsidRPr="00855355">
        <w:rPr>
          <w:rFonts w:ascii="Arial" w:hAnsi="Arial" w:cs="Arial"/>
          <w:sz w:val="16"/>
          <w:szCs w:val="16"/>
        </w:rPr>
        <w:t xml:space="preserve">I Mevorach in </w:t>
      </w:r>
      <w:r w:rsidRPr="00855355">
        <w:rPr>
          <w:rFonts w:ascii="Arial" w:hAnsi="Arial" w:cs="Arial"/>
          <w:i/>
          <w:sz w:val="16"/>
          <w:szCs w:val="16"/>
        </w:rPr>
        <w:t xml:space="preserve">The Future of Cross-border Insolvency: Overcoming Biases and Closing Gaps </w:t>
      </w:r>
      <w:r w:rsidRPr="00855355">
        <w:rPr>
          <w:rFonts w:ascii="Arial" w:hAnsi="Arial" w:cs="Arial"/>
          <w:sz w:val="16"/>
          <w:szCs w:val="16"/>
        </w:rPr>
        <w:t>(Oxford University Press, 2018)</w:t>
      </w:r>
    </w:p>
  </w:footnote>
  <w:footnote w:id="12">
    <w:p w14:paraId="04D9B488" w14:textId="23643C63" w:rsidR="00534EDF" w:rsidRDefault="00534EDF">
      <w:pPr>
        <w:pStyle w:val="FootnoteText"/>
      </w:pPr>
      <w:r>
        <w:rPr>
          <w:rStyle w:val="FootnoteReference"/>
        </w:rPr>
        <w:footnoteRef/>
      </w:r>
      <w:r>
        <w:t xml:space="preserve"> </w:t>
      </w:r>
      <w:r w:rsidRPr="00534EDF">
        <w:rPr>
          <w:i/>
        </w:rPr>
        <w:t>Rubin v Eurofinance SA; New Cap Reinsurance Corp (in liq) v Grant</w:t>
      </w:r>
      <w:r>
        <w:t xml:space="preserve">  [2012] UKSC 46 at [143]</w:t>
      </w:r>
    </w:p>
  </w:footnote>
  <w:footnote w:id="13">
    <w:p w14:paraId="26538DD0" w14:textId="1B0D0CCE" w:rsidR="00534EDF" w:rsidRDefault="00534EDF">
      <w:pPr>
        <w:pStyle w:val="FootnoteText"/>
      </w:pPr>
      <w:r>
        <w:rPr>
          <w:rStyle w:val="FootnoteReference"/>
        </w:rPr>
        <w:footnoteRef/>
      </w:r>
      <w:r>
        <w:t xml:space="preserve"> </w:t>
      </w:r>
      <w:r w:rsidRPr="00534EDF">
        <w:rPr>
          <w:i/>
        </w:rPr>
        <w:t>Gibbs &amp; Sons v La Societe Industrielle et Commerciale des Metaux</w:t>
      </w:r>
      <w:r>
        <w:t xml:space="preserve"> (1890) 25 QBD 399. </w:t>
      </w:r>
    </w:p>
  </w:footnote>
  <w:footnote w:id="14">
    <w:p w14:paraId="6E6AF669" w14:textId="15851954" w:rsidR="00A81740" w:rsidRDefault="00A81740">
      <w:pPr>
        <w:pStyle w:val="FootnoteText"/>
      </w:pPr>
      <w:r>
        <w:rPr>
          <w:rStyle w:val="FootnoteReference"/>
        </w:rPr>
        <w:footnoteRef/>
      </w:r>
      <w:r>
        <w:t xml:space="preserve"> I F Fletcher, </w:t>
      </w:r>
      <w:r w:rsidRPr="00A81740">
        <w:rPr>
          <w:i/>
        </w:rPr>
        <w:t>Insolvency in Private International Law – National and International Approaches</w:t>
      </w:r>
      <w:r>
        <w:t xml:space="preserve"> (Oxford: Oxford University Press, 2</w:t>
      </w:r>
      <w:r w:rsidRPr="00A81740">
        <w:rPr>
          <w:vertAlign w:val="superscript"/>
        </w:rPr>
        <w:t>nd</w:t>
      </w:r>
      <w:r>
        <w:t xml:space="preserve"> ed, 2005) pp 3 to 5</w:t>
      </w:r>
    </w:p>
  </w:footnote>
  <w:footnote w:id="15">
    <w:p w14:paraId="11AC9C8D" w14:textId="36F7743F" w:rsidR="006156C2" w:rsidRDefault="006156C2">
      <w:pPr>
        <w:pStyle w:val="FootnoteText"/>
      </w:pPr>
      <w:r>
        <w:rPr>
          <w:rStyle w:val="FootnoteReference"/>
        </w:rPr>
        <w:footnoteRef/>
      </w:r>
      <w:r>
        <w:t xml:space="preserve"> D McKenzie, "</w:t>
      </w:r>
      <w:r w:rsidRPr="006156C2">
        <w:rPr>
          <w:i/>
        </w:rPr>
        <w:t>International Solutions to International Insolvency: An Insoluble Problem?</w:t>
      </w:r>
      <w:r>
        <w:t xml:space="preserve">", (1997) 26(3), University of Baltimore Law Review 15, pp 15 to 29. </w:t>
      </w:r>
    </w:p>
  </w:footnote>
  <w:footnote w:id="16">
    <w:p w14:paraId="40220437" w14:textId="4D7DA2D4" w:rsidR="005D5D6D" w:rsidRDefault="005D5D6D">
      <w:pPr>
        <w:pStyle w:val="FootnoteText"/>
      </w:pPr>
      <w:r>
        <w:rPr>
          <w:rStyle w:val="FootnoteReference"/>
        </w:rPr>
        <w:footnoteRef/>
      </w:r>
      <w:r>
        <w:t xml:space="preserve"> </w:t>
      </w:r>
      <w:r w:rsidR="007F4C1E">
        <w:t xml:space="preserve">P J Omar, "The Landscape of International Insolvency", (2002) 11, </w:t>
      </w:r>
      <w:r w:rsidR="007F4C1E" w:rsidRPr="007F4C1E">
        <w:rPr>
          <w:i/>
        </w:rPr>
        <w:t>IIR</w:t>
      </w:r>
      <w:r w:rsidR="007F4C1E">
        <w:t xml:space="preserve"> 173, </w:t>
      </w:r>
      <w:r>
        <w:t>p 175</w:t>
      </w:r>
    </w:p>
  </w:footnote>
  <w:footnote w:id="17">
    <w:p w14:paraId="0451839B" w14:textId="3899A657" w:rsidR="005A3DFA" w:rsidRDefault="005A3DFA">
      <w:pPr>
        <w:pStyle w:val="FootnoteText"/>
      </w:pPr>
      <w:r>
        <w:rPr>
          <w:rStyle w:val="FootnoteReference"/>
        </w:rPr>
        <w:footnoteRef/>
      </w:r>
      <w:r>
        <w:t xml:space="preserve"> </w:t>
      </w:r>
      <w:r w:rsidR="0079712D">
        <w:t>UNCITRAL Practice Guide on Cross-Border Insolvency Cooperation 2009, pp 128-129</w:t>
      </w:r>
    </w:p>
  </w:footnote>
  <w:footnote w:id="18">
    <w:p w14:paraId="1612F6F1" w14:textId="370091E9" w:rsidR="003A186B" w:rsidRDefault="003A186B">
      <w:pPr>
        <w:pStyle w:val="FootnoteText"/>
      </w:pPr>
      <w:r>
        <w:rPr>
          <w:rStyle w:val="FootnoteReference"/>
        </w:rPr>
        <w:footnoteRef/>
      </w:r>
      <w:r>
        <w:t xml:space="preserve"> Article 27(d) of the Model Law. </w:t>
      </w:r>
    </w:p>
  </w:footnote>
  <w:footnote w:id="19">
    <w:p w14:paraId="07AE6386" w14:textId="40C2AEC6" w:rsidR="00BB6118" w:rsidRDefault="00BB6118">
      <w:pPr>
        <w:pStyle w:val="FootnoteText"/>
      </w:pPr>
      <w:r>
        <w:rPr>
          <w:rStyle w:val="FootnoteReference"/>
        </w:rPr>
        <w:footnoteRef/>
      </w:r>
      <w:r>
        <w:t xml:space="preserve"> </w:t>
      </w:r>
      <w:hyperlink r:id="rId2" w:history="1">
        <w:r w:rsidRPr="00055A86">
          <w:rPr>
            <w:rStyle w:val="Hyperlink"/>
          </w:rPr>
          <w:t>https://uncitral.un.org/en/texts/insolvency/modellaw/cross-borderinsolvency</w:t>
        </w:r>
      </w:hyperlink>
      <w:r>
        <w:t>.</w:t>
      </w:r>
    </w:p>
    <w:p w14:paraId="0ECF3264" w14:textId="77777777" w:rsidR="00BB6118" w:rsidRDefault="00BB6118">
      <w:pPr>
        <w:pStyle w:val="FootnoteText"/>
      </w:pPr>
    </w:p>
  </w:footnote>
  <w:footnote w:id="20">
    <w:p w14:paraId="43287387" w14:textId="60CF38A4" w:rsidR="00F53EBD" w:rsidRDefault="00F53EBD">
      <w:pPr>
        <w:pStyle w:val="FootnoteText"/>
      </w:pPr>
      <w:r>
        <w:rPr>
          <w:rStyle w:val="FootnoteReference"/>
        </w:rPr>
        <w:footnoteRef/>
      </w:r>
      <w:r>
        <w:t xml:space="preserve"> UNCITRAL Practice Guide on Cross-Border Insolvency Cooperation 2009, pp 123-124</w:t>
      </w:r>
    </w:p>
  </w:footnote>
  <w:footnote w:id="21">
    <w:p w14:paraId="0B81A82C" w14:textId="1023E4E3" w:rsidR="00347183" w:rsidRDefault="00347183">
      <w:pPr>
        <w:pStyle w:val="FootnoteText"/>
      </w:pPr>
      <w:r>
        <w:rPr>
          <w:rStyle w:val="FootnoteReference"/>
        </w:rPr>
        <w:footnoteRef/>
      </w:r>
      <w:r>
        <w:t xml:space="preserve"> </w:t>
      </w:r>
      <w:hyperlink r:id="rId3" w:history="1">
        <w:r w:rsidR="003A06E3" w:rsidRPr="00055A86">
          <w:rPr>
            <w:rStyle w:val="Hyperlink"/>
          </w:rPr>
          <w:t>https://www.thegazette.co.uk/insolvency/content/103914</w:t>
        </w:r>
      </w:hyperlink>
    </w:p>
    <w:p w14:paraId="1CE7DB12" w14:textId="77777777" w:rsidR="003A06E3" w:rsidRDefault="003A06E3">
      <w:pPr>
        <w:pStyle w:val="FootnoteText"/>
      </w:pPr>
    </w:p>
  </w:footnote>
  <w:footnote w:id="22">
    <w:p w14:paraId="7ABA5D1F" w14:textId="36944D01" w:rsidR="003A06E3" w:rsidRDefault="003A06E3">
      <w:pPr>
        <w:pStyle w:val="FootnoteText"/>
      </w:pPr>
      <w:r>
        <w:rPr>
          <w:rStyle w:val="FootnoteReference"/>
        </w:rPr>
        <w:footnoteRef/>
      </w:r>
      <w:r>
        <w:t xml:space="preserve"> </w:t>
      </w:r>
      <w:r w:rsidR="00BF0D94">
        <w:t xml:space="preserve">EIR </w:t>
      </w:r>
      <w:r>
        <w:t>Recast, Article 2 Definitions [10]</w:t>
      </w:r>
    </w:p>
  </w:footnote>
  <w:footnote w:id="23">
    <w:p w14:paraId="0CE62A74" w14:textId="3DAD6AB9" w:rsidR="00BF0D94" w:rsidRDefault="00BF0D94">
      <w:pPr>
        <w:pStyle w:val="FootnoteText"/>
      </w:pPr>
      <w:r>
        <w:rPr>
          <w:rStyle w:val="FootnoteReference"/>
        </w:rPr>
        <w:footnoteRef/>
      </w:r>
      <w:r>
        <w:t xml:space="preserve"> EIR Recast, Article 3(2).</w:t>
      </w:r>
    </w:p>
  </w:footnote>
  <w:footnote w:id="24">
    <w:p w14:paraId="77BB8EBC" w14:textId="116940F6" w:rsidR="006C0950" w:rsidRDefault="006C0950">
      <w:pPr>
        <w:pStyle w:val="FootnoteText"/>
      </w:pPr>
      <w:r>
        <w:rPr>
          <w:rStyle w:val="FootnoteReference"/>
        </w:rPr>
        <w:footnoteRef/>
      </w:r>
      <w:r>
        <w:t xml:space="preserve"> EIR Recast, Article 7(1)</w:t>
      </w:r>
    </w:p>
  </w:footnote>
  <w:footnote w:id="25">
    <w:p w14:paraId="6D83E26A" w14:textId="4D249B33" w:rsidR="004F0A65" w:rsidRDefault="004F0A65">
      <w:pPr>
        <w:pStyle w:val="FootnoteText"/>
      </w:pPr>
      <w:r>
        <w:rPr>
          <w:rStyle w:val="FootnoteReference"/>
        </w:rPr>
        <w:footnoteRef/>
      </w:r>
      <w:r>
        <w:t xml:space="preserve"> </w:t>
      </w:r>
      <w:hyperlink r:id="rId4" w:history="1">
        <w:r w:rsidR="008A792E" w:rsidRPr="00855355">
          <w:rPr>
            <w:rStyle w:val="Hyperlink"/>
            <w:rFonts w:ascii="Arial" w:hAnsi="Arial" w:cs="Arial"/>
            <w:sz w:val="16"/>
            <w:szCs w:val="16"/>
          </w:rPr>
          <w:t>https://insol.azureedge.net/cmsstorage/insol/media/documents_files/covidguide/30%20april%20updates/uk-12-may2021-final.pdf</w:t>
        </w:r>
      </w:hyperlink>
      <w:r w:rsidR="008A792E" w:rsidRPr="00855355">
        <w:rPr>
          <w:rFonts w:ascii="Arial" w:hAnsi="Arial" w:cs="Arial"/>
          <w:sz w:val="16"/>
          <w:szCs w:val="16"/>
        </w:rPr>
        <w:t xml:space="preserve"> pages 3 to 4</w:t>
      </w:r>
    </w:p>
  </w:footnote>
  <w:footnote w:id="26">
    <w:p w14:paraId="0813B644" w14:textId="2C2C81CB" w:rsidR="00501D33" w:rsidRDefault="00501D33">
      <w:pPr>
        <w:pStyle w:val="FootnoteText"/>
      </w:pPr>
      <w:r>
        <w:rPr>
          <w:rStyle w:val="FootnoteReference"/>
        </w:rPr>
        <w:footnoteRef/>
      </w:r>
      <w:r>
        <w:t xml:space="preserve"> Sections 221(2) and (3) of the Insolvency Act 1986</w:t>
      </w:r>
    </w:p>
  </w:footnote>
  <w:footnote w:id="27">
    <w:p w14:paraId="555C9F8C" w14:textId="740DC223" w:rsidR="00E02BA8" w:rsidRDefault="00E02BA8">
      <w:pPr>
        <w:pStyle w:val="FootnoteText"/>
      </w:pPr>
      <w:r>
        <w:rPr>
          <w:rStyle w:val="FootnoteReference"/>
        </w:rPr>
        <w:footnoteRef/>
      </w:r>
      <w:r>
        <w:t xml:space="preserve"> Re Latreefers Inc [2001] BCC 174 (CA)</w:t>
      </w:r>
    </w:p>
  </w:footnote>
  <w:footnote w:id="28">
    <w:p w14:paraId="3B195B7C" w14:textId="7B9ECE73" w:rsidR="005F1575" w:rsidRPr="005F1575" w:rsidRDefault="005F1575">
      <w:pPr>
        <w:pStyle w:val="FootnoteText"/>
        <w:rPr>
          <w:rFonts w:ascii="Arial" w:hAnsi="Arial" w:cs="Arial"/>
          <w:sz w:val="16"/>
          <w:szCs w:val="16"/>
        </w:rPr>
      </w:pPr>
      <w:r>
        <w:rPr>
          <w:rStyle w:val="FootnoteReference"/>
        </w:rPr>
        <w:footnoteRef/>
      </w:r>
      <w:r>
        <w:t xml:space="preserve"> </w:t>
      </w:r>
      <w:r w:rsidRPr="005F1575">
        <w:rPr>
          <w:rFonts w:ascii="Arial" w:hAnsi="Arial" w:cs="Arial"/>
          <w:sz w:val="16"/>
          <w:szCs w:val="16"/>
        </w:rPr>
        <w:t xml:space="preserve">I F </w:t>
      </w:r>
      <w:r w:rsidRPr="005F1575">
        <w:rPr>
          <w:rFonts w:ascii="Arial" w:hAnsi="Arial" w:cs="Arial"/>
          <w:sz w:val="16"/>
          <w:szCs w:val="16"/>
          <w:lang w:val="en-GB"/>
        </w:rPr>
        <w:t xml:space="preserve">Fletcher, </w:t>
      </w:r>
      <w:r w:rsidRPr="005F1575">
        <w:rPr>
          <w:rFonts w:ascii="Arial" w:hAnsi="Arial" w:cs="Arial"/>
          <w:i/>
          <w:sz w:val="16"/>
          <w:szCs w:val="16"/>
          <w:lang w:val="en-GB"/>
        </w:rPr>
        <w:t>The Law of Insolvency</w:t>
      </w:r>
      <w:r w:rsidRPr="005F1575">
        <w:rPr>
          <w:rFonts w:ascii="Arial" w:hAnsi="Arial" w:cs="Arial"/>
          <w:sz w:val="16"/>
          <w:szCs w:val="16"/>
          <w:lang w:val="en-GB"/>
        </w:rPr>
        <w:t>, London (Sweet and Maxwell, 5</w:t>
      </w:r>
      <w:r w:rsidRPr="005F1575">
        <w:rPr>
          <w:rFonts w:ascii="Arial" w:hAnsi="Arial" w:cs="Arial"/>
          <w:sz w:val="16"/>
          <w:szCs w:val="16"/>
          <w:vertAlign w:val="superscript"/>
          <w:lang w:val="en-GB"/>
        </w:rPr>
        <w:t>th</w:t>
      </w:r>
      <w:r w:rsidRPr="005F1575">
        <w:rPr>
          <w:rFonts w:ascii="Arial" w:hAnsi="Arial" w:cs="Arial"/>
          <w:sz w:val="16"/>
          <w:szCs w:val="16"/>
          <w:lang w:val="en-GB"/>
        </w:rPr>
        <w:t xml:space="preserve"> ed, 2017) [30-017] referring to </w:t>
      </w:r>
      <w:r w:rsidRPr="005F1575">
        <w:rPr>
          <w:rFonts w:ascii="Arial" w:hAnsi="Arial" w:cs="Arial"/>
          <w:i/>
          <w:sz w:val="16"/>
          <w:szCs w:val="16"/>
          <w:lang w:val="en-GB"/>
        </w:rPr>
        <w:t>Re Real Estate Development Co</w:t>
      </w:r>
      <w:r w:rsidRPr="005F1575">
        <w:rPr>
          <w:rFonts w:ascii="Arial" w:hAnsi="Arial" w:cs="Arial"/>
          <w:sz w:val="16"/>
          <w:szCs w:val="16"/>
          <w:lang w:val="en-GB"/>
        </w:rPr>
        <w:t xml:space="preserve"> [1991] BCLC 210 (Ch D), p</w:t>
      </w:r>
      <w:r>
        <w:rPr>
          <w:rFonts w:ascii="Arial" w:hAnsi="Arial" w:cs="Arial"/>
          <w:sz w:val="16"/>
          <w:szCs w:val="16"/>
          <w:lang w:val="en-GB"/>
        </w:rPr>
        <w:t xml:space="preserve">er Knox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98346C"/>
    <w:multiLevelType w:val="hybridMultilevel"/>
    <w:tmpl w:val="157468F4"/>
    <w:lvl w:ilvl="0" w:tplc="7C2AEE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3B46F83"/>
    <w:multiLevelType w:val="hybridMultilevel"/>
    <w:tmpl w:val="203E65B0"/>
    <w:lvl w:ilvl="0" w:tplc="A3E40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E3ED9"/>
    <w:multiLevelType w:val="hybridMultilevel"/>
    <w:tmpl w:val="B998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8"/>
  </w:num>
  <w:num w:numId="4">
    <w:abstractNumId w:val="4"/>
  </w:num>
  <w:num w:numId="5">
    <w:abstractNumId w:val="2"/>
  </w:num>
  <w:num w:numId="6">
    <w:abstractNumId w:val="16"/>
  </w:num>
  <w:num w:numId="7">
    <w:abstractNumId w:val="3"/>
  </w:num>
  <w:num w:numId="8">
    <w:abstractNumId w:val="1"/>
  </w:num>
  <w:num w:numId="9">
    <w:abstractNumId w:val="0"/>
  </w:num>
  <w:num w:numId="10">
    <w:abstractNumId w:val="5"/>
  </w:num>
  <w:num w:numId="11">
    <w:abstractNumId w:val="10"/>
  </w:num>
  <w:num w:numId="12">
    <w:abstractNumId w:val="17"/>
  </w:num>
  <w:num w:numId="13">
    <w:abstractNumId w:val="12"/>
  </w:num>
  <w:num w:numId="14">
    <w:abstractNumId w:val="6"/>
  </w:num>
  <w:num w:numId="15">
    <w:abstractNumId w:val="9"/>
  </w:num>
  <w:num w:numId="16">
    <w:abstractNumId w:val="15"/>
  </w:num>
  <w:num w:numId="17">
    <w:abstractNumId w:val="14"/>
  </w:num>
  <w:num w:numId="18">
    <w:abstractNumId w:val="1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GB"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2E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050"/>
    <w:rsid w:val="0011473D"/>
    <w:rsid w:val="00115C85"/>
    <w:rsid w:val="0012303D"/>
    <w:rsid w:val="00123855"/>
    <w:rsid w:val="00124B70"/>
    <w:rsid w:val="00125A7C"/>
    <w:rsid w:val="00126A4D"/>
    <w:rsid w:val="00131D42"/>
    <w:rsid w:val="0013278B"/>
    <w:rsid w:val="00132A5F"/>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5EAC"/>
    <w:rsid w:val="00180548"/>
    <w:rsid w:val="00180AC4"/>
    <w:rsid w:val="00180B1E"/>
    <w:rsid w:val="00180CCE"/>
    <w:rsid w:val="00181438"/>
    <w:rsid w:val="0018267A"/>
    <w:rsid w:val="00182779"/>
    <w:rsid w:val="001830DF"/>
    <w:rsid w:val="00183240"/>
    <w:rsid w:val="001833C2"/>
    <w:rsid w:val="00193AB3"/>
    <w:rsid w:val="001966D9"/>
    <w:rsid w:val="00197963"/>
    <w:rsid w:val="001A563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691B"/>
    <w:rsid w:val="0022719C"/>
    <w:rsid w:val="002362AB"/>
    <w:rsid w:val="002400DB"/>
    <w:rsid w:val="002406A4"/>
    <w:rsid w:val="0024116D"/>
    <w:rsid w:val="00241B44"/>
    <w:rsid w:val="00245EFB"/>
    <w:rsid w:val="00247B86"/>
    <w:rsid w:val="002529D2"/>
    <w:rsid w:val="002536FD"/>
    <w:rsid w:val="0025386E"/>
    <w:rsid w:val="002638B0"/>
    <w:rsid w:val="0026510C"/>
    <w:rsid w:val="0026647A"/>
    <w:rsid w:val="002668D3"/>
    <w:rsid w:val="00266F17"/>
    <w:rsid w:val="002672D0"/>
    <w:rsid w:val="0027242B"/>
    <w:rsid w:val="0027299F"/>
    <w:rsid w:val="00274D79"/>
    <w:rsid w:val="00275182"/>
    <w:rsid w:val="00275946"/>
    <w:rsid w:val="00281737"/>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44EB"/>
    <w:rsid w:val="002D0021"/>
    <w:rsid w:val="002D10A3"/>
    <w:rsid w:val="002D295D"/>
    <w:rsid w:val="002D3473"/>
    <w:rsid w:val="002D6626"/>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45996"/>
    <w:rsid w:val="00347183"/>
    <w:rsid w:val="003479F2"/>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01F8"/>
    <w:rsid w:val="003937B9"/>
    <w:rsid w:val="003948D5"/>
    <w:rsid w:val="003957FD"/>
    <w:rsid w:val="00396821"/>
    <w:rsid w:val="00396CE5"/>
    <w:rsid w:val="003979A3"/>
    <w:rsid w:val="00397D3A"/>
    <w:rsid w:val="003A051E"/>
    <w:rsid w:val="003A06E3"/>
    <w:rsid w:val="003A0BBE"/>
    <w:rsid w:val="003A186B"/>
    <w:rsid w:val="003A2448"/>
    <w:rsid w:val="003A3128"/>
    <w:rsid w:val="003A60FF"/>
    <w:rsid w:val="003A696A"/>
    <w:rsid w:val="003B170F"/>
    <w:rsid w:val="003B3C5F"/>
    <w:rsid w:val="003C13F6"/>
    <w:rsid w:val="003C1451"/>
    <w:rsid w:val="003C2017"/>
    <w:rsid w:val="003C4471"/>
    <w:rsid w:val="003D0A6D"/>
    <w:rsid w:val="003D100A"/>
    <w:rsid w:val="003D3045"/>
    <w:rsid w:val="003D4300"/>
    <w:rsid w:val="003D6AC4"/>
    <w:rsid w:val="003E064D"/>
    <w:rsid w:val="003E0B16"/>
    <w:rsid w:val="003E2D1B"/>
    <w:rsid w:val="003E4932"/>
    <w:rsid w:val="003E67D1"/>
    <w:rsid w:val="003F655E"/>
    <w:rsid w:val="003F74D9"/>
    <w:rsid w:val="00404EF7"/>
    <w:rsid w:val="00405DC1"/>
    <w:rsid w:val="00414BF9"/>
    <w:rsid w:val="00415DFF"/>
    <w:rsid w:val="00415F1F"/>
    <w:rsid w:val="0042108F"/>
    <w:rsid w:val="004214D4"/>
    <w:rsid w:val="00424CC1"/>
    <w:rsid w:val="00426969"/>
    <w:rsid w:val="00426B64"/>
    <w:rsid w:val="00430FED"/>
    <w:rsid w:val="00434A8C"/>
    <w:rsid w:val="00437297"/>
    <w:rsid w:val="00437ABE"/>
    <w:rsid w:val="00440AC5"/>
    <w:rsid w:val="00444284"/>
    <w:rsid w:val="004442F1"/>
    <w:rsid w:val="0044548D"/>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030C"/>
    <w:rsid w:val="004C1DA6"/>
    <w:rsid w:val="004C5E4F"/>
    <w:rsid w:val="004C7030"/>
    <w:rsid w:val="004D1A5A"/>
    <w:rsid w:val="004D2FFF"/>
    <w:rsid w:val="004D3721"/>
    <w:rsid w:val="004D64F9"/>
    <w:rsid w:val="004D687E"/>
    <w:rsid w:val="004E4224"/>
    <w:rsid w:val="004E5A14"/>
    <w:rsid w:val="004E622C"/>
    <w:rsid w:val="004E64DB"/>
    <w:rsid w:val="004F0A65"/>
    <w:rsid w:val="004F1534"/>
    <w:rsid w:val="004F2DD1"/>
    <w:rsid w:val="004F3375"/>
    <w:rsid w:val="004F55F1"/>
    <w:rsid w:val="004F5FDF"/>
    <w:rsid w:val="0050156C"/>
    <w:rsid w:val="00501D33"/>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4EDF"/>
    <w:rsid w:val="0053523A"/>
    <w:rsid w:val="00537970"/>
    <w:rsid w:val="00540E3A"/>
    <w:rsid w:val="00542E08"/>
    <w:rsid w:val="005433D7"/>
    <w:rsid w:val="00543941"/>
    <w:rsid w:val="00544127"/>
    <w:rsid w:val="005508BB"/>
    <w:rsid w:val="00553B4A"/>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DFA"/>
    <w:rsid w:val="005A5862"/>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D5D6D"/>
    <w:rsid w:val="005E1B79"/>
    <w:rsid w:val="005E1EA8"/>
    <w:rsid w:val="005E416A"/>
    <w:rsid w:val="005E605E"/>
    <w:rsid w:val="005E645E"/>
    <w:rsid w:val="005F026D"/>
    <w:rsid w:val="005F1575"/>
    <w:rsid w:val="005F244F"/>
    <w:rsid w:val="005F2D0B"/>
    <w:rsid w:val="005F453F"/>
    <w:rsid w:val="005F4B31"/>
    <w:rsid w:val="005F5449"/>
    <w:rsid w:val="005F6059"/>
    <w:rsid w:val="0060397D"/>
    <w:rsid w:val="00610388"/>
    <w:rsid w:val="00612092"/>
    <w:rsid w:val="00612CA5"/>
    <w:rsid w:val="006153EC"/>
    <w:rsid w:val="006156C2"/>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4E75"/>
    <w:rsid w:val="00655438"/>
    <w:rsid w:val="00657087"/>
    <w:rsid w:val="0065715A"/>
    <w:rsid w:val="006661EF"/>
    <w:rsid w:val="006746CB"/>
    <w:rsid w:val="00677AEB"/>
    <w:rsid w:val="00680EF2"/>
    <w:rsid w:val="00681209"/>
    <w:rsid w:val="00682A3E"/>
    <w:rsid w:val="006850AE"/>
    <w:rsid w:val="00686C53"/>
    <w:rsid w:val="00687A1D"/>
    <w:rsid w:val="00694765"/>
    <w:rsid w:val="00697EA1"/>
    <w:rsid w:val="006A2646"/>
    <w:rsid w:val="006A6530"/>
    <w:rsid w:val="006A695F"/>
    <w:rsid w:val="006A6D1D"/>
    <w:rsid w:val="006B2893"/>
    <w:rsid w:val="006B435A"/>
    <w:rsid w:val="006B4C64"/>
    <w:rsid w:val="006B5AE8"/>
    <w:rsid w:val="006C0950"/>
    <w:rsid w:val="006C5254"/>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2AD8"/>
    <w:rsid w:val="00713DA4"/>
    <w:rsid w:val="007142FA"/>
    <w:rsid w:val="00714BF1"/>
    <w:rsid w:val="00721383"/>
    <w:rsid w:val="007216AD"/>
    <w:rsid w:val="00726E9A"/>
    <w:rsid w:val="00727864"/>
    <w:rsid w:val="00732DDC"/>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12D"/>
    <w:rsid w:val="00797E1B"/>
    <w:rsid w:val="007A12A4"/>
    <w:rsid w:val="007A2C3A"/>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7F4C1E"/>
    <w:rsid w:val="00804000"/>
    <w:rsid w:val="0080454E"/>
    <w:rsid w:val="00804C32"/>
    <w:rsid w:val="00806302"/>
    <w:rsid w:val="00807119"/>
    <w:rsid w:val="00811865"/>
    <w:rsid w:val="00814A55"/>
    <w:rsid w:val="0082483F"/>
    <w:rsid w:val="008279C0"/>
    <w:rsid w:val="00841E70"/>
    <w:rsid w:val="008473AA"/>
    <w:rsid w:val="00852883"/>
    <w:rsid w:val="00852F37"/>
    <w:rsid w:val="00855355"/>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A792E"/>
    <w:rsid w:val="008B40E7"/>
    <w:rsid w:val="008B4681"/>
    <w:rsid w:val="008B4B58"/>
    <w:rsid w:val="008B5333"/>
    <w:rsid w:val="008B6223"/>
    <w:rsid w:val="008C4066"/>
    <w:rsid w:val="008C66E0"/>
    <w:rsid w:val="008D0122"/>
    <w:rsid w:val="008D3E17"/>
    <w:rsid w:val="008D5D34"/>
    <w:rsid w:val="008D7718"/>
    <w:rsid w:val="008D79FB"/>
    <w:rsid w:val="008E220E"/>
    <w:rsid w:val="008E3339"/>
    <w:rsid w:val="008E4251"/>
    <w:rsid w:val="008E64D3"/>
    <w:rsid w:val="008E6F11"/>
    <w:rsid w:val="008F20FC"/>
    <w:rsid w:val="008F50C4"/>
    <w:rsid w:val="008F5FFE"/>
    <w:rsid w:val="0090037B"/>
    <w:rsid w:val="009028E0"/>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3449"/>
    <w:rsid w:val="00946EE0"/>
    <w:rsid w:val="0095029B"/>
    <w:rsid w:val="0095207B"/>
    <w:rsid w:val="009533CB"/>
    <w:rsid w:val="00953B5C"/>
    <w:rsid w:val="0095526F"/>
    <w:rsid w:val="00955CE0"/>
    <w:rsid w:val="009609CA"/>
    <w:rsid w:val="00962045"/>
    <w:rsid w:val="00962917"/>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78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501"/>
    <w:rsid w:val="009F0C29"/>
    <w:rsid w:val="00A047EE"/>
    <w:rsid w:val="00A057CA"/>
    <w:rsid w:val="00A111AE"/>
    <w:rsid w:val="00A149B7"/>
    <w:rsid w:val="00A177BC"/>
    <w:rsid w:val="00A17930"/>
    <w:rsid w:val="00A2274A"/>
    <w:rsid w:val="00A235B7"/>
    <w:rsid w:val="00A249AC"/>
    <w:rsid w:val="00A24E90"/>
    <w:rsid w:val="00A27A7A"/>
    <w:rsid w:val="00A301D1"/>
    <w:rsid w:val="00A31881"/>
    <w:rsid w:val="00A407EF"/>
    <w:rsid w:val="00A411B7"/>
    <w:rsid w:val="00A46B4C"/>
    <w:rsid w:val="00A47E0B"/>
    <w:rsid w:val="00A5117B"/>
    <w:rsid w:val="00A560B6"/>
    <w:rsid w:val="00A56CF7"/>
    <w:rsid w:val="00A56DBC"/>
    <w:rsid w:val="00A60074"/>
    <w:rsid w:val="00A646E2"/>
    <w:rsid w:val="00A651A9"/>
    <w:rsid w:val="00A6627C"/>
    <w:rsid w:val="00A71019"/>
    <w:rsid w:val="00A81029"/>
    <w:rsid w:val="00A81740"/>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23C7"/>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5E25"/>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118"/>
    <w:rsid w:val="00BB6955"/>
    <w:rsid w:val="00BB6F7A"/>
    <w:rsid w:val="00BC48EB"/>
    <w:rsid w:val="00BC585F"/>
    <w:rsid w:val="00BC5D7D"/>
    <w:rsid w:val="00BD0299"/>
    <w:rsid w:val="00BD23B4"/>
    <w:rsid w:val="00BD3363"/>
    <w:rsid w:val="00BD3F18"/>
    <w:rsid w:val="00BD64FB"/>
    <w:rsid w:val="00BD7D49"/>
    <w:rsid w:val="00BF0D94"/>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1C16"/>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4C05"/>
    <w:rsid w:val="00C71F4F"/>
    <w:rsid w:val="00C72848"/>
    <w:rsid w:val="00C750BA"/>
    <w:rsid w:val="00C7736C"/>
    <w:rsid w:val="00C80272"/>
    <w:rsid w:val="00C82D87"/>
    <w:rsid w:val="00C8712A"/>
    <w:rsid w:val="00C92A0D"/>
    <w:rsid w:val="00C963D3"/>
    <w:rsid w:val="00CA1802"/>
    <w:rsid w:val="00CA60AC"/>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476B4"/>
    <w:rsid w:val="00D5111F"/>
    <w:rsid w:val="00D57C59"/>
    <w:rsid w:val="00D60215"/>
    <w:rsid w:val="00D60874"/>
    <w:rsid w:val="00D63EFD"/>
    <w:rsid w:val="00D6588F"/>
    <w:rsid w:val="00D675AE"/>
    <w:rsid w:val="00D676F1"/>
    <w:rsid w:val="00D714E4"/>
    <w:rsid w:val="00D81792"/>
    <w:rsid w:val="00D84752"/>
    <w:rsid w:val="00D86A74"/>
    <w:rsid w:val="00D86B3B"/>
    <w:rsid w:val="00D8748A"/>
    <w:rsid w:val="00D905E4"/>
    <w:rsid w:val="00D93196"/>
    <w:rsid w:val="00D931A2"/>
    <w:rsid w:val="00DA42EF"/>
    <w:rsid w:val="00DA6710"/>
    <w:rsid w:val="00DB243C"/>
    <w:rsid w:val="00DB482A"/>
    <w:rsid w:val="00DB56F2"/>
    <w:rsid w:val="00DB5D9B"/>
    <w:rsid w:val="00DB6EF5"/>
    <w:rsid w:val="00DC020B"/>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2BA8"/>
    <w:rsid w:val="00E041F9"/>
    <w:rsid w:val="00E05837"/>
    <w:rsid w:val="00E07C5A"/>
    <w:rsid w:val="00E10A73"/>
    <w:rsid w:val="00E12C13"/>
    <w:rsid w:val="00E15BA9"/>
    <w:rsid w:val="00E161D2"/>
    <w:rsid w:val="00E177E2"/>
    <w:rsid w:val="00E22DE4"/>
    <w:rsid w:val="00E26E19"/>
    <w:rsid w:val="00E31DF3"/>
    <w:rsid w:val="00E320B7"/>
    <w:rsid w:val="00E37049"/>
    <w:rsid w:val="00E450A4"/>
    <w:rsid w:val="00E506BE"/>
    <w:rsid w:val="00E507B3"/>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96829"/>
    <w:rsid w:val="00EA0879"/>
    <w:rsid w:val="00EA0913"/>
    <w:rsid w:val="00EA4D77"/>
    <w:rsid w:val="00EB02BE"/>
    <w:rsid w:val="00EB146B"/>
    <w:rsid w:val="00EB2845"/>
    <w:rsid w:val="00EB45AC"/>
    <w:rsid w:val="00EB488B"/>
    <w:rsid w:val="00EB6668"/>
    <w:rsid w:val="00EB6A2F"/>
    <w:rsid w:val="00EB79D2"/>
    <w:rsid w:val="00EC3875"/>
    <w:rsid w:val="00EC549E"/>
    <w:rsid w:val="00EC6E55"/>
    <w:rsid w:val="00ED0BC4"/>
    <w:rsid w:val="00ED151E"/>
    <w:rsid w:val="00ED617A"/>
    <w:rsid w:val="00ED73B9"/>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348E"/>
    <w:rsid w:val="00F53EBD"/>
    <w:rsid w:val="00F54776"/>
    <w:rsid w:val="00F5524B"/>
    <w:rsid w:val="00F5710B"/>
    <w:rsid w:val="00F61DD2"/>
    <w:rsid w:val="00F63720"/>
    <w:rsid w:val="00F65FB6"/>
    <w:rsid w:val="00F66AFF"/>
    <w:rsid w:val="00F70F03"/>
    <w:rsid w:val="00F71433"/>
    <w:rsid w:val="00F71CE8"/>
    <w:rsid w:val="00F738B0"/>
    <w:rsid w:val="00F83231"/>
    <w:rsid w:val="00F85A51"/>
    <w:rsid w:val="00F85DB2"/>
    <w:rsid w:val="00F91FA7"/>
    <w:rsid w:val="00F960D4"/>
    <w:rsid w:val="00F96AF1"/>
    <w:rsid w:val="00F97C5B"/>
    <w:rsid w:val="00FA1CC3"/>
    <w:rsid w:val="00FA29FD"/>
    <w:rsid w:val="00FA2A46"/>
    <w:rsid w:val="00FA3739"/>
    <w:rsid w:val="00FA3D50"/>
    <w:rsid w:val="00FA43E7"/>
    <w:rsid w:val="00FA4DF7"/>
    <w:rsid w:val="00FA6C03"/>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85D"/>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azette.co.uk/insolvency/content/103914" TargetMode="External"/><Relationship Id="rId2" Type="http://schemas.openxmlformats.org/officeDocument/2006/relationships/hyperlink" Target="https://uncitral.un.org/en/texts/insolvency/modellaw/cross-borderinsolvency" TargetMode="External"/><Relationship Id="rId1" Type="http://schemas.openxmlformats.org/officeDocument/2006/relationships/hyperlink" Target="https://insol.azureedge.net/cmsstorage/insol/media/documents_files/covidguide/30%20april%20updates/uk-12-may2021-final.pdf" TargetMode="External"/><Relationship Id="rId4" Type="http://schemas.openxmlformats.org/officeDocument/2006/relationships/hyperlink" Target="https://insol.azureedge.net/cmsstorage/insol/media/documents_files/covidguide/30%20april%20updates/uk-12-may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purl.org/dc/elements/1.1/"/>
    <ds:schemaRef ds:uri="http://schemas.microsoft.com/office/2006/documentManagement/types"/>
    <ds:schemaRef ds:uri="http://purl.org/dc/terms/"/>
    <ds:schemaRef ds:uri="a21de7b9-cad9-43f2-8459-9b1b4f9894e2"/>
    <ds:schemaRef ds:uri="http://schemas.microsoft.com/office/infopath/2007/PartnerControls"/>
    <ds:schemaRef ds:uri="http://purl.org/dc/dcmitype/"/>
    <ds:schemaRef ds:uri="http://schemas.openxmlformats.org/package/2006/metadata/core-properties"/>
    <ds:schemaRef ds:uri="d0ad2d52-4869-465d-a93a-001fa21a59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2B3AFA-02AB-4EC2-AFE9-E5DC50FE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5715</Words>
  <Characters>31324</Characters>
  <Application>Microsoft Office Word</Application>
  <DocSecurity>0</DocSecurity>
  <Lines>591</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Sbaiti</cp:lastModifiedBy>
  <cp:revision>2</cp:revision>
  <cp:lastPrinted>2020-06-12T02:43:00Z</cp:lastPrinted>
  <dcterms:created xsi:type="dcterms:W3CDTF">2021-11-13T22:25:00Z</dcterms:created>
  <dcterms:modified xsi:type="dcterms:W3CDTF">2021-11-13T22:25:00Z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