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de-CH" w:eastAsia="de-CH"/>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w:t>
      </w:r>
      <w:proofErr w:type="gramStart"/>
      <w:r w:rsidR="0011473D" w:rsidRPr="00205B31">
        <w:rPr>
          <w:rFonts w:ascii="Arial" w:hAnsi="Arial" w:cs="Arial"/>
          <w:sz w:val="22"/>
          <w:szCs w:val="22"/>
          <w:lang w:val="en-GB"/>
        </w:rPr>
        <w:t>a</w:t>
      </w:r>
      <w:proofErr w:type="gramEnd"/>
      <w:r w:rsidR="0011473D" w:rsidRPr="00205B31">
        <w:rPr>
          <w:rFonts w:ascii="Arial" w:hAnsi="Arial" w:cs="Arial"/>
          <w:sz w:val="22"/>
          <w:szCs w:val="22"/>
          <w:lang w:val="en-GB"/>
        </w:rPr>
        <w:t xml:space="preserve">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w:t>
      </w:r>
      <w:proofErr w:type="gramStart"/>
      <w:r w:rsidRPr="00205B31">
        <w:rPr>
          <w:rFonts w:ascii="Arial" w:hAnsi="Arial" w:cs="Arial"/>
          <w:sz w:val="22"/>
          <w:szCs w:val="22"/>
          <w:lang w:val="en-GB"/>
        </w:rPr>
        <w:t>are</w:t>
      </w:r>
      <w:proofErr w:type="gramEnd"/>
      <w:r w:rsidRPr="00205B31">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417513" w:rsidRDefault="00C60631" w:rsidP="009D510C">
      <w:pPr>
        <w:pStyle w:val="ListParagraph"/>
        <w:numPr>
          <w:ilvl w:val="0"/>
          <w:numId w:val="12"/>
        </w:numPr>
        <w:ind w:left="426"/>
        <w:jc w:val="both"/>
        <w:rPr>
          <w:rFonts w:ascii="Arial" w:hAnsi="Arial" w:cs="Arial"/>
          <w:sz w:val="22"/>
          <w:szCs w:val="22"/>
          <w:highlight w:val="yellow"/>
          <w:lang w:val="en-GB"/>
        </w:rPr>
      </w:pPr>
      <w:r w:rsidRPr="00417513">
        <w:rPr>
          <w:rFonts w:ascii="Arial" w:hAnsi="Arial" w:cs="Arial"/>
          <w:sz w:val="22"/>
          <w:szCs w:val="22"/>
          <w:highlight w:val="yellow"/>
          <w:lang w:val="en-GB"/>
        </w:rPr>
        <w:t xml:space="preserve">This statement is incorrect since </w:t>
      </w:r>
      <w:r w:rsidR="00E7793C" w:rsidRPr="00417513">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05B31" w:rsidRDefault="00AE027F" w:rsidP="009D510C">
      <w:pPr>
        <w:pStyle w:val="ListParagraph"/>
        <w:numPr>
          <w:ilvl w:val="0"/>
          <w:numId w:val="13"/>
        </w:numPr>
        <w:jc w:val="both"/>
        <w:rPr>
          <w:rFonts w:ascii="Arial" w:hAnsi="Arial" w:cs="Arial"/>
          <w:sz w:val="22"/>
          <w:szCs w:val="22"/>
          <w:lang w:val="en-GB"/>
        </w:rPr>
      </w:pPr>
      <w:r w:rsidRPr="00591295">
        <w:rPr>
          <w:rFonts w:ascii="Arial" w:hAnsi="Arial" w:cs="Arial"/>
          <w:sz w:val="22"/>
          <w:szCs w:val="22"/>
          <w:highlight w:val="yellow"/>
          <w:lang w:val="en-GB"/>
        </w:rPr>
        <w:t>The statement i</w:t>
      </w:r>
      <w:r w:rsidR="006E77B0" w:rsidRPr="00591295">
        <w:rPr>
          <w:rFonts w:ascii="Arial" w:hAnsi="Arial" w:cs="Arial"/>
          <w:sz w:val="22"/>
          <w:szCs w:val="22"/>
          <w:highlight w:val="yellow"/>
          <w:lang w:val="en-GB"/>
        </w:rPr>
        <w:t>s incorrect since the UK did re</w:t>
      </w:r>
      <w:r w:rsidRPr="00591295">
        <w:rPr>
          <w:rFonts w:ascii="Arial" w:hAnsi="Arial" w:cs="Arial"/>
          <w:sz w:val="22"/>
          <w:szCs w:val="22"/>
          <w:highlight w:val="yellow"/>
          <w:lang w:val="en-GB"/>
        </w:rPr>
        <w:t>v</w:t>
      </w:r>
      <w:r w:rsidR="006E77B0" w:rsidRPr="00591295">
        <w:rPr>
          <w:rFonts w:ascii="Arial" w:hAnsi="Arial" w:cs="Arial"/>
          <w:sz w:val="22"/>
          <w:szCs w:val="22"/>
          <w:highlight w:val="yellow"/>
          <w:lang w:val="en-GB"/>
        </w:rPr>
        <w:t>i</w:t>
      </w:r>
      <w:r w:rsidRPr="00591295">
        <w:rPr>
          <w:rFonts w:ascii="Arial" w:hAnsi="Arial" w:cs="Arial"/>
          <w:sz w:val="22"/>
          <w:szCs w:val="22"/>
          <w:highlight w:val="yellow"/>
          <w:lang w:val="en-GB"/>
        </w:rPr>
        <w:t>ew parts of its insolvency rules and amended some, among</w:t>
      </w:r>
      <w:r w:rsidR="006E77B0" w:rsidRPr="00591295">
        <w:rPr>
          <w:rFonts w:ascii="Arial" w:hAnsi="Arial" w:cs="Arial"/>
          <w:sz w:val="22"/>
          <w:szCs w:val="22"/>
          <w:highlight w:val="yellow"/>
          <w:lang w:val="en-GB"/>
        </w:rPr>
        <w:t>s</w:t>
      </w:r>
      <w:r w:rsidRPr="00591295">
        <w:rPr>
          <w:rFonts w:ascii="Arial" w:hAnsi="Arial" w:cs="Arial"/>
          <w:sz w:val="22"/>
          <w:szCs w:val="22"/>
          <w:highlight w:val="yellow"/>
          <w:lang w:val="en-GB"/>
        </w:rPr>
        <w:t>t other</w:t>
      </w:r>
      <w:r w:rsidR="00F96AF1" w:rsidRPr="00591295">
        <w:rPr>
          <w:rFonts w:ascii="Arial" w:hAnsi="Arial" w:cs="Arial"/>
          <w:sz w:val="22"/>
          <w:szCs w:val="22"/>
          <w:highlight w:val="yellow"/>
          <w:lang w:val="en-GB"/>
        </w:rPr>
        <w:t xml:space="preserve"> things</w:t>
      </w:r>
      <w:r w:rsidRPr="00591295">
        <w:rPr>
          <w:rFonts w:ascii="Arial" w:hAnsi="Arial" w:cs="Arial"/>
          <w:sz w:val="22"/>
          <w:szCs w:val="22"/>
          <w:highlight w:val="yellow"/>
          <w:lang w:val="en-GB"/>
        </w:rPr>
        <w:t>, to deal with the negative economic fall out of the pandemic</w:t>
      </w:r>
      <w:r w:rsidRPr="00205B31">
        <w:rPr>
          <w:rFonts w:ascii="Arial" w:hAnsi="Arial" w:cs="Arial"/>
          <w:sz w:val="22"/>
          <w:szCs w:val="22"/>
          <w:lang w:val="en-GB"/>
        </w:rPr>
        <w:t>.</w:t>
      </w:r>
      <w:r w:rsidR="00100A77">
        <w:rPr>
          <w:rFonts w:ascii="Arial" w:hAnsi="Arial" w:cs="Arial"/>
          <w:sz w:val="22"/>
          <w:szCs w:val="22"/>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591295" w:rsidRDefault="00B54F90" w:rsidP="009D510C">
      <w:pPr>
        <w:pStyle w:val="ListParagraph"/>
        <w:numPr>
          <w:ilvl w:val="0"/>
          <w:numId w:val="14"/>
        </w:numPr>
        <w:ind w:left="426"/>
        <w:jc w:val="both"/>
        <w:rPr>
          <w:rFonts w:ascii="Arial" w:hAnsi="Arial" w:cs="Arial"/>
          <w:sz w:val="22"/>
          <w:szCs w:val="22"/>
          <w:highlight w:val="yellow"/>
          <w:lang w:val="en-GB"/>
        </w:rPr>
      </w:pPr>
      <w:r w:rsidRPr="00591295">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591295">
        <w:rPr>
          <w:rFonts w:ascii="Arial" w:hAnsi="Arial" w:cs="Arial"/>
          <w:sz w:val="22"/>
          <w:szCs w:val="22"/>
          <w:highlight w:val="yellow"/>
          <w:lang w:val="en-GB"/>
        </w:rPr>
        <w:t xml:space="preserve">on </w:t>
      </w:r>
      <w:r w:rsidRPr="00591295">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C84662">
        <w:rPr>
          <w:rFonts w:ascii="Arial" w:hAnsi="Arial" w:cs="Arial"/>
          <w:sz w:val="22"/>
          <w:szCs w:val="22"/>
          <w:highlight w:val="yellow"/>
          <w:lang w:val="en-GB"/>
        </w:rPr>
        <w:t>The statement is not correct since both local insolvency systems as well as cross-border insolvency rules differ quite significantly in many respects</w:t>
      </w:r>
      <w:r w:rsidRPr="00205B31">
        <w:rPr>
          <w:rFonts w:ascii="Arial" w:hAnsi="Arial" w:cs="Arial"/>
          <w:sz w:val="22"/>
          <w:szCs w:val="22"/>
          <w:lang w:val="en-GB"/>
        </w:rPr>
        <w:t>.</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C84662">
        <w:rPr>
          <w:rFonts w:ascii="Arial" w:hAnsi="Arial" w:cs="Arial"/>
          <w:sz w:val="22"/>
          <w:szCs w:val="22"/>
          <w:highlight w:val="yellow"/>
          <w:lang w:val="en-GB"/>
        </w:rPr>
        <w:t xml:space="preserve">The statement is </w:t>
      </w:r>
      <w:r w:rsidR="006E1CB0" w:rsidRPr="00C84662">
        <w:rPr>
          <w:rFonts w:ascii="Arial" w:hAnsi="Arial" w:cs="Arial"/>
          <w:sz w:val="22"/>
          <w:szCs w:val="22"/>
          <w:highlight w:val="yellow"/>
          <w:lang w:val="en-GB"/>
        </w:rPr>
        <w:t xml:space="preserve">not </w:t>
      </w:r>
      <w:r w:rsidRPr="00C84662">
        <w:rPr>
          <w:rFonts w:ascii="Arial" w:hAnsi="Arial" w:cs="Arial"/>
          <w:sz w:val="22"/>
          <w:szCs w:val="22"/>
          <w:highlight w:val="yellow"/>
          <w:lang w:val="en-GB"/>
        </w:rPr>
        <w:t xml:space="preserve">correct </w:t>
      </w:r>
      <w:r w:rsidR="007958F0" w:rsidRPr="00C84662">
        <w:rPr>
          <w:rFonts w:ascii="Arial" w:hAnsi="Arial" w:cs="Arial"/>
          <w:sz w:val="22"/>
          <w:szCs w:val="22"/>
          <w:highlight w:val="yellow"/>
          <w:lang w:val="en-GB"/>
        </w:rPr>
        <w:t>because</w:t>
      </w:r>
      <w:r w:rsidRPr="00C84662">
        <w:rPr>
          <w:rFonts w:ascii="Arial" w:hAnsi="Arial" w:cs="Arial"/>
          <w:sz w:val="22"/>
          <w:szCs w:val="22"/>
          <w:highlight w:val="yellow"/>
          <w:lang w:val="en-GB"/>
        </w:rPr>
        <w:t xml:space="preserve"> very few </w:t>
      </w:r>
      <w:r w:rsidR="007958F0" w:rsidRPr="00C84662">
        <w:rPr>
          <w:rFonts w:ascii="Arial" w:hAnsi="Arial" w:cs="Arial"/>
          <w:sz w:val="22"/>
          <w:szCs w:val="22"/>
          <w:highlight w:val="yellow"/>
          <w:lang w:val="en-GB"/>
        </w:rPr>
        <w:t>States</w:t>
      </w:r>
      <w:r w:rsidRPr="00C84662">
        <w:rPr>
          <w:rFonts w:ascii="Arial" w:hAnsi="Arial" w:cs="Arial"/>
          <w:sz w:val="22"/>
          <w:szCs w:val="22"/>
          <w:highlight w:val="yellow"/>
          <w:lang w:val="en-GB"/>
        </w:rPr>
        <w:t xml:space="preserve"> allow insolvent estate representatives to deal with assets of a foreign debtor situated in </w:t>
      </w:r>
      <w:r w:rsidR="005936B3" w:rsidRPr="00C84662">
        <w:rPr>
          <w:rFonts w:ascii="Arial" w:hAnsi="Arial" w:cs="Arial"/>
          <w:sz w:val="22"/>
          <w:szCs w:val="22"/>
          <w:highlight w:val="yellow"/>
          <w:lang w:val="en-GB"/>
        </w:rPr>
        <w:t>their own</w:t>
      </w:r>
      <w:r w:rsidRPr="00C84662">
        <w:rPr>
          <w:rFonts w:ascii="Arial" w:hAnsi="Arial" w:cs="Arial"/>
          <w:sz w:val="22"/>
          <w:szCs w:val="22"/>
          <w:highlight w:val="yellow"/>
          <w:lang w:val="en-GB"/>
        </w:rPr>
        <w:t xml:space="preserve"> jurisdiction without </w:t>
      </w:r>
      <w:r w:rsidR="006E1CB0" w:rsidRPr="00C84662">
        <w:rPr>
          <w:rFonts w:ascii="Arial" w:hAnsi="Arial" w:cs="Arial"/>
          <w:sz w:val="22"/>
          <w:szCs w:val="22"/>
          <w:highlight w:val="yellow"/>
          <w:lang w:val="en-GB"/>
        </w:rPr>
        <w:t xml:space="preserve">some form of </w:t>
      </w:r>
      <w:r w:rsidR="0090037B" w:rsidRPr="00C84662">
        <w:rPr>
          <w:rFonts w:ascii="Arial" w:hAnsi="Arial" w:cs="Arial"/>
          <w:sz w:val="22"/>
          <w:szCs w:val="22"/>
          <w:highlight w:val="yellow"/>
          <w:lang w:val="en-GB"/>
        </w:rPr>
        <w:t xml:space="preserve">a </w:t>
      </w:r>
      <w:r w:rsidR="006E1CB0" w:rsidRPr="00C84662">
        <w:rPr>
          <w:rFonts w:ascii="Arial" w:hAnsi="Arial" w:cs="Arial"/>
          <w:sz w:val="22"/>
          <w:szCs w:val="22"/>
          <w:highlight w:val="yellow"/>
          <w:lang w:val="en-GB"/>
        </w:rPr>
        <w:t>(</w:t>
      </w:r>
      <w:r w:rsidR="0090037B" w:rsidRPr="00C84662">
        <w:rPr>
          <w:rFonts w:ascii="Arial" w:hAnsi="Arial" w:cs="Arial"/>
          <w:sz w:val="22"/>
          <w:szCs w:val="22"/>
          <w:highlight w:val="yellow"/>
          <w:lang w:val="en-GB"/>
        </w:rPr>
        <w:t>prior</w:t>
      </w:r>
      <w:r w:rsidR="006E1CB0" w:rsidRPr="00C84662">
        <w:rPr>
          <w:rFonts w:ascii="Arial" w:hAnsi="Arial" w:cs="Arial"/>
          <w:sz w:val="22"/>
          <w:szCs w:val="22"/>
          <w:highlight w:val="yellow"/>
          <w:lang w:val="en-GB"/>
        </w:rPr>
        <w:t>)</w:t>
      </w:r>
      <w:r w:rsidRPr="00C84662">
        <w:rPr>
          <w:rFonts w:ascii="Arial" w:hAnsi="Arial" w:cs="Arial"/>
          <w:sz w:val="22"/>
          <w:szCs w:val="22"/>
          <w:highlight w:val="yellow"/>
          <w:lang w:val="en-GB"/>
        </w:rPr>
        <w:t xml:space="preserve"> local procedure </w:t>
      </w:r>
      <w:r w:rsidR="005936B3" w:rsidRPr="00C84662">
        <w:rPr>
          <w:rFonts w:ascii="Arial" w:hAnsi="Arial" w:cs="Arial"/>
          <w:sz w:val="22"/>
          <w:szCs w:val="22"/>
          <w:highlight w:val="yellow"/>
          <w:lang w:val="en-GB"/>
        </w:rPr>
        <w:t xml:space="preserve">to </w:t>
      </w:r>
      <w:r w:rsidRPr="00C84662">
        <w:rPr>
          <w:rFonts w:ascii="Arial" w:hAnsi="Arial" w:cs="Arial"/>
          <w:sz w:val="22"/>
          <w:szCs w:val="22"/>
          <w:highlight w:val="yellow"/>
          <w:lang w:val="en-GB"/>
        </w:rPr>
        <w:t>recognise the foreign insolvency proceeding</w:t>
      </w:r>
      <w:r w:rsidRPr="00205B31">
        <w:rPr>
          <w:rFonts w:ascii="Arial" w:hAnsi="Arial" w:cs="Arial"/>
          <w:sz w:val="22"/>
          <w:szCs w:val="22"/>
          <w:lang w:val="en-GB"/>
        </w:rPr>
        <w:t>.</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205B31" w:rsidRDefault="000329A6" w:rsidP="00C570AC">
      <w:pPr>
        <w:pStyle w:val="ListParagraph"/>
        <w:numPr>
          <w:ilvl w:val="0"/>
          <w:numId w:val="6"/>
        </w:numPr>
        <w:ind w:left="426"/>
        <w:jc w:val="both"/>
        <w:rPr>
          <w:rFonts w:ascii="Arial" w:hAnsi="Arial" w:cs="Arial"/>
          <w:sz w:val="22"/>
          <w:szCs w:val="22"/>
          <w:lang w:val="en-GB"/>
        </w:rPr>
      </w:pPr>
      <w:r w:rsidRPr="00C84662">
        <w:rPr>
          <w:rFonts w:ascii="Arial" w:eastAsiaTheme="minorHAnsi" w:hAnsi="Arial" w:cs="Arial"/>
          <w:sz w:val="22"/>
          <w:szCs w:val="22"/>
          <w:highlight w:val="yellow"/>
          <w:lang w:val="en-GB"/>
        </w:rPr>
        <w:t xml:space="preserve">They were recently revised in 2021 and, together with the </w:t>
      </w:r>
      <w:r w:rsidRPr="00C84662">
        <w:rPr>
          <w:rFonts w:ascii="Arial" w:hAnsi="Arial" w:cs="Arial"/>
          <w:sz w:val="22"/>
          <w:szCs w:val="22"/>
          <w:highlight w:val="yellow"/>
          <w:lang w:val="en-GB"/>
        </w:rPr>
        <w:t>UNCITRAL Legislative Guide, form the international best practice standard for insolvency regimes</w:t>
      </w:r>
      <w:r w:rsidRPr="00205B31">
        <w:rPr>
          <w:rFonts w:ascii="Arial" w:hAnsi="Arial" w:cs="Arial"/>
          <w:sz w:val="22"/>
          <w:szCs w:val="22"/>
          <w:lang w:val="en-GB"/>
        </w:rPr>
        <w:t>.</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B11808">
        <w:rPr>
          <w:rFonts w:ascii="Arial" w:eastAsiaTheme="minorHAnsi" w:hAnsi="Arial" w:cs="Arial"/>
          <w:sz w:val="22"/>
          <w:szCs w:val="22"/>
          <w:highlight w:val="yellow"/>
          <w:lang w:val="en-GB"/>
        </w:rPr>
        <w:t xml:space="preserve">The Nordic Convention </w:t>
      </w:r>
      <w:r w:rsidR="00076483" w:rsidRPr="00B11808">
        <w:rPr>
          <w:rFonts w:ascii="Arial" w:eastAsiaTheme="minorHAnsi" w:hAnsi="Arial" w:cs="Arial"/>
          <w:sz w:val="22"/>
          <w:szCs w:val="22"/>
          <w:highlight w:val="yellow"/>
          <w:lang w:val="en-GB"/>
        </w:rPr>
        <w:t>1933</w:t>
      </w:r>
      <w:r w:rsidR="00966E44" w:rsidRPr="00205B31">
        <w:rPr>
          <w:rFonts w:ascii="Arial" w:eastAsiaTheme="minorHAnsi" w:hAnsi="Arial" w:cs="Arial"/>
          <w:sz w:val="22"/>
          <w:szCs w:val="22"/>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05B31" w:rsidRDefault="00124B70" w:rsidP="00275182">
      <w:pPr>
        <w:pStyle w:val="ListParagraph"/>
        <w:numPr>
          <w:ilvl w:val="0"/>
          <w:numId w:val="8"/>
        </w:numPr>
        <w:ind w:left="426"/>
        <w:jc w:val="both"/>
        <w:rPr>
          <w:rFonts w:ascii="Arial" w:hAnsi="Arial" w:cs="Arial"/>
          <w:sz w:val="22"/>
          <w:szCs w:val="22"/>
          <w:lang w:val="en-GB"/>
        </w:rPr>
      </w:pPr>
      <w:r w:rsidRPr="00B11808">
        <w:rPr>
          <w:rFonts w:ascii="Arial" w:hAnsi="Arial" w:cs="Arial"/>
          <w:sz w:val="22"/>
          <w:szCs w:val="22"/>
          <w:highlight w:val="yellow"/>
          <w:lang w:val="en-GB"/>
        </w:rPr>
        <w:lastRenderedPageBreak/>
        <w:t>Choice of forum, recognition and effect accorded foreign proceedings in the same matter, and choice of law</w:t>
      </w:r>
      <w:r w:rsidRPr="00205B31">
        <w:rPr>
          <w:rFonts w:ascii="Arial" w:hAnsi="Arial" w:cs="Arial"/>
          <w:sz w:val="22"/>
          <w:szCs w:val="22"/>
          <w:lang w:val="en-GB"/>
        </w:rPr>
        <w:t>.</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871B42" w:rsidRDefault="00E86549" w:rsidP="00275182">
      <w:pPr>
        <w:pStyle w:val="ListParagraph"/>
        <w:numPr>
          <w:ilvl w:val="0"/>
          <w:numId w:val="9"/>
        </w:numPr>
        <w:ind w:left="426"/>
        <w:jc w:val="both"/>
        <w:rPr>
          <w:rFonts w:ascii="Arial" w:hAnsi="Arial" w:cs="Arial"/>
          <w:bCs/>
          <w:sz w:val="22"/>
          <w:szCs w:val="22"/>
          <w:highlight w:val="yellow"/>
          <w:lang w:val="en-GB"/>
        </w:rPr>
      </w:pPr>
      <w:r w:rsidRPr="00871B42">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871B42">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05B31" w:rsidRDefault="00911C23" w:rsidP="00275182">
      <w:pPr>
        <w:pStyle w:val="ListParagraph"/>
        <w:numPr>
          <w:ilvl w:val="0"/>
          <w:numId w:val="10"/>
        </w:numPr>
        <w:ind w:left="426"/>
        <w:jc w:val="both"/>
        <w:rPr>
          <w:rFonts w:ascii="Arial" w:hAnsi="Arial" w:cs="Arial"/>
          <w:sz w:val="22"/>
          <w:szCs w:val="22"/>
          <w:lang w:val="en-GB"/>
        </w:rPr>
      </w:pPr>
      <w:r w:rsidRPr="00AE5790">
        <w:rPr>
          <w:rFonts w:ascii="Arial" w:hAnsi="Arial" w:cs="Arial"/>
          <w:sz w:val="22"/>
          <w:szCs w:val="22"/>
          <w:highlight w:val="yellow"/>
          <w:lang w:val="en-GB"/>
        </w:rPr>
        <w:t>To enhance co-ordination and harmonisation of insolvency proceedings that involve more than one State through communications among the States involved</w:t>
      </w:r>
      <w:r w:rsidRPr="00205B31">
        <w:rPr>
          <w:rFonts w:ascii="Arial" w:hAnsi="Arial" w:cs="Arial"/>
          <w:sz w:val="22"/>
          <w:szCs w:val="22"/>
          <w:lang w:val="en-GB"/>
        </w:rPr>
        <w:t>.</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196C515F" w14:textId="3F489BF0" w:rsidR="005E71FE" w:rsidRDefault="005E71FE" w:rsidP="00447254">
      <w:pPr>
        <w:pStyle w:val="ListParagraph"/>
        <w:numPr>
          <w:ilvl w:val="0"/>
          <w:numId w:val="17"/>
        </w:numPr>
        <w:jc w:val="both"/>
        <w:rPr>
          <w:rFonts w:ascii="Arial" w:hAnsi="Arial" w:cs="Arial"/>
          <w:sz w:val="22"/>
          <w:szCs w:val="22"/>
          <w:lang w:val="en-GB"/>
        </w:rPr>
      </w:pPr>
      <w:r>
        <w:rPr>
          <w:rFonts w:ascii="Arial" w:hAnsi="Arial" w:cs="Arial"/>
          <w:sz w:val="22"/>
          <w:szCs w:val="22"/>
          <w:lang w:val="en-GB"/>
        </w:rPr>
        <w:t>In 1542, the first English Bankruptcy Act was introduced. The fundamental principle of this Act was that in the case of a fraudulent debtor, there should be a compulsory administration and distribution on the basis of equality amongst all the creditors.</w:t>
      </w:r>
    </w:p>
    <w:p w14:paraId="57BCFC30" w14:textId="6D75B9BE" w:rsidR="009B07AD" w:rsidRDefault="00447254" w:rsidP="00447254">
      <w:pPr>
        <w:pStyle w:val="ListParagraph"/>
        <w:numPr>
          <w:ilvl w:val="0"/>
          <w:numId w:val="17"/>
        </w:numPr>
        <w:jc w:val="both"/>
        <w:rPr>
          <w:rFonts w:ascii="Arial" w:hAnsi="Arial" w:cs="Arial"/>
          <w:sz w:val="22"/>
          <w:szCs w:val="22"/>
          <w:lang w:val="en-GB"/>
        </w:rPr>
      </w:pPr>
      <w:r>
        <w:rPr>
          <w:rFonts w:ascii="Arial" w:hAnsi="Arial" w:cs="Arial"/>
          <w:sz w:val="22"/>
          <w:szCs w:val="22"/>
          <w:lang w:val="en-GB"/>
        </w:rPr>
        <w:t>The Statue of Ann of 1705 introduced the notion of a statutory discharge. A discharge of the debts of the debtor was granted under the condition that the debtor had “conformed” and had co-operated during the proceedings.</w:t>
      </w:r>
    </w:p>
    <w:p w14:paraId="6DA4FC73" w14:textId="3B35EEB4" w:rsidR="00447254" w:rsidRDefault="00447254" w:rsidP="00447254">
      <w:pPr>
        <w:pStyle w:val="ListParagraph"/>
        <w:numPr>
          <w:ilvl w:val="0"/>
          <w:numId w:val="17"/>
        </w:numPr>
        <w:jc w:val="both"/>
        <w:rPr>
          <w:rFonts w:ascii="Arial" w:hAnsi="Arial" w:cs="Arial"/>
          <w:sz w:val="22"/>
          <w:szCs w:val="22"/>
          <w:lang w:val="en-GB"/>
        </w:rPr>
      </w:pPr>
      <w:r>
        <w:rPr>
          <w:rFonts w:ascii="Arial" w:hAnsi="Arial" w:cs="Arial"/>
          <w:sz w:val="22"/>
          <w:szCs w:val="22"/>
          <w:lang w:val="en-GB"/>
        </w:rPr>
        <w:t xml:space="preserve">In 1883, the office of the Official Receiver was introduced. </w:t>
      </w:r>
      <w:r w:rsidR="005E71FE">
        <w:rPr>
          <w:rFonts w:ascii="Arial" w:hAnsi="Arial" w:cs="Arial"/>
          <w:sz w:val="22"/>
          <w:szCs w:val="22"/>
          <w:lang w:val="en-GB"/>
        </w:rPr>
        <w:t>The office of the Official Receiver had the responsibility of administrating the debtor’s estate before the commencement of bankruptcy procedure or of the friendly agreement with creditors.</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6C999134" w:rsidR="009B07AD" w:rsidRDefault="000B29F5"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UK passed the Corporate Insolvency and Governance Act 2020 following the Covid-19 pandemic. The reforms introduced with this act include:</w:t>
      </w:r>
    </w:p>
    <w:p w14:paraId="473C3A68" w14:textId="07618A0E" w:rsidR="000B29F5" w:rsidRDefault="000B29F5" w:rsidP="000B29F5">
      <w:pPr>
        <w:pStyle w:val="ListParagraph"/>
        <w:numPr>
          <w:ilvl w:val="0"/>
          <w:numId w:val="18"/>
        </w:numPr>
        <w:jc w:val="both"/>
        <w:rPr>
          <w:rFonts w:ascii="Arial" w:hAnsi="Arial" w:cs="Arial"/>
          <w:sz w:val="22"/>
          <w:szCs w:val="22"/>
          <w:lang w:val="en-GB"/>
        </w:rPr>
      </w:pPr>
      <w:r>
        <w:rPr>
          <w:rFonts w:ascii="Arial" w:hAnsi="Arial" w:cs="Arial"/>
          <w:sz w:val="22"/>
          <w:szCs w:val="22"/>
          <w:lang w:val="en-GB"/>
        </w:rPr>
        <w:t>a new restructuring plan,</w:t>
      </w:r>
    </w:p>
    <w:p w14:paraId="29DC66D4" w14:textId="65C4D19C" w:rsidR="000B29F5" w:rsidRDefault="000B29F5" w:rsidP="000B29F5">
      <w:pPr>
        <w:pStyle w:val="ListParagraph"/>
        <w:numPr>
          <w:ilvl w:val="0"/>
          <w:numId w:val="18"/>
        </w:numPr>
        <w:jc w:val="both"/>
        <w:rPr>
          <w:rFonts w:ascii="Arial" w:hAnsi="Arial" w:cs="Arial"/>
          <w:sz w:val="22"/>
          <w:szCs w:val="22"/>
          <w:lang w:val="en-GB"/>
        </w:rPr>
      </w:pPr>
      <w:r>
        <w:rPr>
          <w:rFonts w:ascii="Arial" w:hAnsi="Arial" w:cs="Arial"/>
          <w:sz w:val="22"/>
          <w:szCs w:val="22"/>
          <w:lang w:val="en-GB"/>
        </w:rPr>
        <w:t>new moratorium rules,</w:t>
      </w:r>
    </w:p>
    <w:p w14:paraId="43F9EB4D" w14:textId="7AC63DF7" w:rsidR="000B29F5" w:rsidRDefault="000B29F5" w:rsidP="000B29F5">
      <w:pPr>
        <w:pStyle w:val="ListParagraph"/>
        <w:numPr>
          <w:ilvl w:val="0"/>
          <w:numId w:val="18"/>
        </w:numPr>
        <w:jc w:val="both"/>
        <w:rPr>
          <w:rFonts w:ascii="Arial" w:hAnsi="Arial" w:cs="Arial"/>
          <w:sz w:val="22"/>
          <w:szCs w:val="22"/>
          <w:lang w:val="en-GB"/>
        </w:rPr>
      </w:pPr>
      <w:r>
        <w:rPr>
          <w:rFonts w:ascii="Arial" w:hAnsi="Arial" w:cs="Arial"/>
          <w:sz w:val="22"/>
          <w:szCs w:val="22"/>
          <w:lang w:val="en-GB"/>
        </w:rPr>
        <w:t>the relaxation of wrongful trading liability,</w:t>
      </w:r>
      <w:r w:rsidR="0064057B">
        <w:rPr>
          <w:rFonts w:ascii="Arial" w:hAnsi="Arial" w:cs="Arial"/>
          <w:sz w:val="22"/>
          <w:szCs w:val="22"/>
          <w:lang w:val="en-GB"/>
        </w:rPr>
        <w:t xml:space="preserve"> and</w:t>
      </w:r>
    </w:p>
    <w:p w14:paraId="09186E85" w14:textId="106524EC" w:rsidR="000B29F5" w:rsidRPr="000B29F5" w:rsidRDefault="000B29F5" w:rsidP="000B29F5">
      <w:pPr>
        <w:pStyle w:val="ListParagraph"/>
        <w:numPr>
          <w:ilvl w:val="0"/>
          <w:numId w:val="18"/>
        </w:numPr>
        <w:jc w:val="both"/>
        <w:rPr>
          <w:rFonts w:ascii="Arial" w:hAnsi="Arial" w:cs="Arial"/>
          <w:sz w:val="22"/>
          <w:szCs w:val="22"/>
          <w:lang w:val="en-GB"/>
        </w:rPr>
      </w:pPr>
      <w:proofErr w:type="gramStart"/>
      <w:r>
        <w:rPr>
          <w:rFonts w:ascii="Arial" w:hAnsi="Arial" w:cs="Arial"/>
          <w:sz w:val="22"/>
          <w:szCs w:val="22"/>
          <w:lang w:val="en-GB"/>
        </w:rPr>
        <w:t>the</w:t>
      </w:r>
      <w:proofErr w:type="gramEnd"/>
      <w:r>
        <w:rPr>
          <w:rFonts w:ascii="Arial" w:hAnsi="Arial" w:cs="Arial"/>
          <w:sz w:val="22"/>
          <w:szCs w:val="22"/>
          <w:lang w:val="en-GB"/>
        </w:rPr>
        <w:t xml:space="preserve"> suspension of winding-up petitions and statutory demands.</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3A9465C8" w:rsidR="00C72848" w:rsidRDefault="0064057B"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treaty is convention to which States can become signatories. If a State becomes a signatory of a treaty that State has to bind itself to the rules stipulated in the treaty and affect its domestic law accordingly. By doing so, the treaty becomes part of domestic law of the signatory State and is enforceable in its courts. Therefore, </w:t>
      </w:r>
      <w:r w:rsidR="009C69B6">
        <w:rPr>
          <w:rFonts w:ascii="Arial" w:hAnsi="Arial" w:cs="Arial"/>
          <w:color w:val="7B7B7B" w:themeColor="accent3" w:themeShade="BF"/>
          <w:sz w:val="22"/>
          <w:szCs w:val="22"/>
          <w:lang w:val="en-GB"/>
        </w:rPr>
        <w:t>the rules in a treaty</w:t>
      </w:r>
      <w:r>
        <w:rPr>
          <w:rFonts w:ascii="Arial" w:hAnsi="Arial" w:cs="Arial"/>
          <w:color w:val="7B7B7B" w:themeColor="accent3" w:themeShade="BF"/>
          <w:sz w:val="22"/>
          <w:szCs w:val="22"/>
          <w:lang w:val="en-GB"/>
        </w:rPr>
        <w:t xml:space="preserve"> may be labelled as part of the “hard law” of the signatory State (I </w:t>
      </w:r>
      <w:proofErr w:type="spellStart"/>
      <w:r>
        <w:rPr>
          <w:rFonts w:ascii="Arial" w:hAnsi="Arial" w:cs="Arial"/>
          <w:color w:val="7B7B7B" w:themeColor="accent3" w:themeShade="BF"/>
          <w:sz w:val="22"/>
          <w:szCs w:val="22"/>
          <w:lang w:val="en-GB"/>
        </w:rPr>
        <w:t>Mevorach</w:t>
      </w:r>
      <w:proofErr w:type="spellEnd"/>
      <w:r w:rsidR="009C69B6">
        <w:rPr>
          <w:rFonts w:ascii="Arial" w:hAnsi="Arial" w:cs="Arial"/>
          <w:color w:val="7B7B7B" w:themeColor="accent3" w:themeShade="BF"/>
          <w:sz w:val="22"/>
          <w:szCs w:val="22"/>
          <w:lang w:val="en-GB"/>
        </w:rPr>
        <w:t xml:space="preserve"> in The Future of Cross-border Insolvency: Overcoming Biases and Closing Gaps (Oxford University Press, 2018)</w:t>
      </w:r>
      <w:r>
        <w:rPr>
          <w:rFonts w:ascii="Arial" w:hAnsi="Arial" w:cs="Arial"/>
          <w:color w:val="7B7B7B" w:themeColor="accent3" w:themeShade="BF"/>
          <w:sz w:val="22"/>
          <w:szCs w:val="22"/>
          <w:lang w:val="en-GB"/>
        </w:rPr>
        <w:t xml:space="preserve"> did, however, </w:t>
      </w:r>
      <w:r w:rsidR="009C69B6">
        <w:rPr>
          <w:rFonts w:ascii="Arial" w:hAnsi="Arial" w:cs="Arial"/>
          <w:color w:val="7B7B7B" w:themeColor="accent3" w:themeShade="BF"/>
          <w:sz w:val="22"/>
          <w:szCs w:val="22"/>
          <w:lang w:val="en-GB"/>
        </w:rPr>
        <w:t>abandon the notion that treaties are hard</w:t>
      </w:r>
      <w:r>
        <w:rPr>
          <w:rFonts w:ascii="Arial" w:hAnsi="Arial" w:cs="Arial"/>
          <w:color w:val="7B7B7B" w:themeColor="accent3" w:themeShade="BF"/>
          <w:sz w:val="22"/>
          <w:szCs w:val="22"/>
          <w:lang w:val="en-GB"/>
        </w:rPr>
        <w:t xml:space="preserve"> </w:t>
      </w:r>
      <w:r w:rsidR="009C69B6">
        <w:rPr>
          <w:rFonts w:ascii="Arial" w:hAnsi="Arial" w:cs="Arial"/>
          <w:color w:val="7B7B7B" w:themeColor="accent3" w:themeShade="BF"/>
          <w:sz w:val="22"/>
          <w:szCs w:val="22"/>
          <w:lang w:val="en-GB"/>
        </w:rPr>
        <w:t>and binding and non-treaty instruments are soft and non-binding.). Hence, if a State signs a treaty about cross-border insolvency rules these insolvency rules become enforceable in the signatory State either directly, if the treaty is self-executing, or by passing new legislation, if the treaty is not self-executing.</w:t>
      </w:r>
    </w:p>
    <w:p w14:paraId="2D0F2F40" w14:textId="4679B0F6" w:rsidR="009C69B6" w:rsidRPr="00205B31" w:rsidRDefault="00957240" w:rsidP="00B7193E">
      <w:pPr>
        <w:ind w:left="720" w:hanging="720"/>
        <w:jc w:val="both"/>
        <w:rPr>
          <w:rFonts w:ascii="Arial" w:hAnsi="Arial" w:cs="Arial"/>
          <w:sz w:val="22"/>
          <w:szCs w:val="22"/>
          <w:lang w:val="en-GB"/>
        </w:rPr>
      </w:pPr>
      <w:r>
        <w:rPr>
          <w:rFonts w:ascii="Arial" w:hAnsi="Arial" w:cs="Arial"/>
          <w:sz w:val="22"/>
          <w:szCs w:val="22"/>
          <w:lang w:val="en-GB"/>
        </w:rPr>
        <w:t xml:space="preserve">Soft law refers to quasi-legal instruments which do not have any legally binding force. An example of soft law is a Model Law which contains rules which are recommended to be enacted. There is, however, no obligation to do so. Hence, soft law may be used to establish cross-border insolvency rules in States by suggesting the enactment of certain rules in order to solve the issues of cross-border insolvencies. </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7163E639" w:rsidR="00544127" w:rsidRDefault="0072013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main source of insolvency laws is usually legislation or codes. In common law systems, an additional source may also be common law principles to plug any possible gaps in the legislation.</w:t>
      </w:r>
      <w:r w:rsidR="002E167D">
        <w:rPr>
          <w:rFonts w:ascii="Arial" w:hAnsi="Arial" w:cs="Arial"/>
          <w:color w:val="7B7B7B" w:themeColor="accent3" w:themeShade="BF"/>
          <w:sz w:val="22"/>
          <w:szCs w:val="22"/>
          <w:lang w:val="en-GB"/>
        </w:rPr>
        <w:t xml:space="preserve"> </w:t>
      </w:r>
    </w:p>
    <w:p w14:paraId="6A9BADB5" w14:textId="4798C4AB" w:rsidR="002E167D" w:rsidRDefault="002E167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 States have a single, unified piece of bankruptcy legislation covering all aspects of bankruptcy while other States have a multiplicity of legislations covering different aspects of bankruptcy. The bankruptcy laws for individuals can, for example, be in one piece of legislation and the bankruptcy laws for companies in another.</w:t>
      </w:r>
    </w:p>
    <w:p w14:paraId="79839284" w14:textId="7149A9DA" w:rsidR="002E167D" w:rsidRPr="00205B31" w:rsidRDefault="002E167D" w:rsidP="00B7193E">
      <w:pPr>
        <w:jc w:val="both"/>
        <w:rPr>
          <w:rFonts w:ascii="Arial" w:hAnsi="Arial" w:cs="Arial"/>
          <w:sz w:val="22"/>
          <w:szCs w:val="22"/>
          <w:lang w:val="en-GB"/>
        </w:rPr>
      </w:pPr>
      <w:r>
        <w:rPr>
          <w:rFonts w:ascii="Arial" w:hAnsi="Arial" w:cs="Arial"/>
          <w:color w:val="7B7B7B" w:themeColor="accent3" w:themeShade="BF"/>
          <w:sz w:val="22"/>
          <w:szCs w:val="22"/>
          <w:lang w:val="en-GB"/>
        </w:rPr>
        <w:t>Additionally, legal principles of the general law of a State have an effect in insolvency as well. These legal principles, like ownership and rights of real security, are usually not part of the bankruptcy laws but have an important impact on insolvency law. For example, rights of real security</w:t>
      </w:r>
      <w:r w:rsidR="007B5EE9">
        <w:rPr>
          <w:rFonts w:ascii="Arial" w:hAnsi="Arial" w:cs="Arial"/>
          <w:color w:val="7B7B7B" w:themeColor="accent3" w:themeShade="BF"/>
          <w:sz w:val="22"/>
          <w:szCs w:val="22"/>
          <w:lang w:val="en-GB"/>
        </w:rPr>
        <w:t xml:space="preserve"> on a specific asset</w:t>
      </w:r>
      <w:r>
        <w:rPr>
          <w:rFonts w:ascii="Arial" w:hAnsi="Arial" w:cs="Arial"/>
          <w:color w:val="7B7B7B" w:themeColor="accent3" w:themeShade="BF"/>
          <w:sz w:val="22"/>
          <w:szCs w:val="22"/>
          <w:lang w:val="en-GB"/>
        </w:rPr>
        <w:t xml:space="preserve"> may give the creditor of such a right </w:t>
      </w:r>
      <w:r w:rsidR="007B5EE9">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priority right on the sales proceed </w:t>
      </w:r>
      <w:r w:rsidR="007B5EE9">
        <w:rPr>
          <w:rFonts w:ascii="Arial" w:hAnsi="Arial" w:cs="Arial"/>
          <w:color w:val="7B7B7B" w:themeColor="accent3" w:themeShade="BF"/>
          <w:sz w:val="22"/>
          <w:szCs w:val="22"/>
          <w:lang w:val="en-GB"/>
        </w:rPr>
        <w:t>this specific asset.</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6F4FB5AD" w:rsidR="00DF75F8" w:rsidRDefault="002111E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questions asked by Fletcher are the following:</w:t>
      </w:r>
    </w:p>
    <w:p w14:paraId="051E1D1E" w14:textId="2BC183C3" w:rsidR="002111E0" w:rsidRDefault="002111E0" w:rsidP="002111E0">
      <w:pPr>
        <w:pStyle w:val="ListParagraph"/>
        <w:numPr>
          <w:ilvl w:val="0"/>
          <w:numId w:val="19"/>
        </w:numPr>
        <w:jc w:val="both"/>
        <w:rPr>
          <w:rFonts w:ascii="Arial" w:hAnsi="Arial" w:cs="Arial"/>
          <w:sz w:val="22"/>
          <w:szCs w:val="22"/>
          <w:lang w:val="en-GB"/>
        </w:rPr>
      </w:pPr>
      <w:r>
        <w:rPr>
          <w:rFonts w:ascii="Arial" w:hAnsi="Arial" w:cs="Arial"/>
          <w:sz w:val="22"/>
          <w:szCs w:val="22"/>
          <w:lang w:val="en-GB"/>
        </w:rPr>
        <w:t>In which jurisdiction may insolvency proceedings be opened?</w:t>
      </w:r>
    </w:p>
    <w:p w14:paraId="652A8873" w14:textId="27E2B69C" w:rsidR="002111E0" w:rsidRDefault="002111E0" w:rsidP="002111E0">
      <w:pPr>
        <w:pStyle w:val="ListParagraph"/>
        <w:numPr>
          <w:ilvl w:val="0"/>
          <w:numId w:val="19"/>
        </w:numPr>
        <w:jc w:val="both"/>
        <w:rPr>
          <w:rFonts w:ascii="Arial" w:hAnsi="Arial" w:cs="Arial"/>
          <w:sz w:val="22"/>
          <w:szCs w:val="22"/>
          <w:lang w:val="en-GB"/>
        </w:rPr>
      </w:pPr>
      <w:r>
        <w:rPr>
          <w:rFonts w:ascii="Arial" w:hAnsi="Arial" w:cs="Arial"/>
          <w:sz w:val="22"/>
          <w:szCs w:val="22"/>
          <w:lang w:val="en-GB"/>
        </w:rPr>
        <w:t>What country’s law should be applied in respect of different aspects of the case?</w:t>
      </w:r>
    </w:p>
    <w:p w14:paraId="251B6AF3" w14:textId="34DFF9CF" w:rsidR="002111E0" w:rsidRDefault="002111E0" w:rsidP="002111E0">
      <w:pPr>
        <w:pStyle w:val="ListParagraph"/>
        <w:numPr>
          <w:ilvl w:val="0"/>
          <w:numId w:val="19"/>
        </w:numPr>
        <w:jc w:val="both"/>
        <w:rPr>
          <w:rFonts w:ascii="Arial" w:hAnsi="Arial" w:cs="Arial"/>
          <w:sz w:val="22"/>
          <w:szCs w:val="22"/>
          <w:lang w:val="en-GB"/>
        </w:rPr>
      </w:pPr>
      <w:r>
        <w:rPr>
          <w:rFonts w:ascii="Arial" w:hAnsi="Arial" w:cs="Arial"/>
          <w:sz w:val="22"/>
          <w:szCs w:val="22"/>
          <w:lang w:val="en-GB"/>
        </w:rPr>
        <w:t>What international effects will be accorded to proceedings conducted at a particular forum (including issues of enforcement)?</w:t>
      </w:r>
    </w:p>
    <w:p w14:paraId="5067B036" w14:textId="77777777" w:rsidR="002111E0" w:rsidRDefault="002111E0" w:rsidP="002111E0">
      <w:pPr>
        <w:jc w:val="both"/>
        <w:rPr>
          <w:rFonts w:ascii="Arial" w:hAnsi="Arial" w:cs="Arial"/>
          <w:sz w:val="22"/>
          <w:szCs w:val="22"/>
          <w:lang w:val="en-GB"/>
        </w:rPr>
      </w:pPr>
    </w:p>
    <w:p w14:paraId="0F31D12F" w14:textId="06C910EC" w:rsidR="00692900" w:rsidRDefault="00692900" w:rsidP="002111E0">
      <w:pPr>
        <w:jc w:val="both"/>
        <w:rPr>
          <w:rFonts w:ascii="Arial" w:hAnsi="Arial" w:cs="Arial"/>
          <w:sz w:val="22"/>
          <w:szCs w:val="22"/>
          <w:lang w:val="en-GB"/>
        </w:rPr>
      </w:pPr>
      <w:r>
        <w:rPr>
          <w:rFonts w:ascii="Arial" w:hAnsi="Arial" w:cs="Arial"/>
          <w:sz w:val="22"/>
          <w:szCs w:val="22"/>
          <w:lang w:val="en-GB"/>
        </w:rPr>
        <w:t>Discussion of these three questions:</w:t>
      </w:r>
    </w:p>
    <w:p w14:paraId="6F1C20F2" w14:textId="77777777" w:rsidR="00BA3B88" w:rsidRDefault="00692900" w:rsidP="00692900">
      <w:pPr>
        <w:pStyle w:val="ListParagraph"/>
        <w:numPr>
          <w:ilvl w:val="0"/>
          <w:numId w:val="20"/>
        </w:numPr>
        <w:jc w:val="both"/>
        <w:rPr>
          <w:rFonts w:ascii="Arial" w:hAnsi="Arial" w:cs="Arial"/>
          <w:sz w:val="22"/>
          <w:szCs w:val="22"/>
          <w:lang w:val="en-GB"/>
        </w:rPr>
      </w:pPr>
      <w:r>
        <w:rPr>
          <w:rFonts w:ascii="Arial" w:hAnsi="Arial" w:cs="Arial"/>
          <w:sz w:val="22"/>
          <w:szCs w:val="22"/>
          <w:lang w:val="en-GB"/>
        </w:rPr>
        <w:t>Each State may decide on its own under what circumstances insolvency proceedings may be opened in its jurisdiction. In general, there needs to be an interest to open an insolvency proceeding in a specific jurisdiction. An interest to open an insolvency proceeding usually exists at the centre of main interest of a company, the seat of a company or the domicile of a natural person. Additionally, an interest to open an insolvency proceeding could also exist in the jurisdiction</w:t>
      </w:r>
      <w:r w:rsidR="00BA3B88">
        <w:rPr>
          <w:rFonts w:ascii="Arial" w:hAnsi="Arial" w:cs="Arial"/>
          <w:sz w:val="22"/>
          <w:szCs w:val="22"/>
          <w:lang w:val="en-GB"/>
        </w:rPr>
        <w:t>s</w:t>
      </w:r>
      <w:r>
        <w:rPr>
          <w:rFonts w:ascii="Arial" w:hAnsi="Arial" w:cs="Arial"/>
          <w:sz w:val="22"/>
          <w:szCs w:val="22"/>
          <w:lang w:val="en-GB"/>
        </w:rPr>
        <w:t xml:space="preserve"> where assets of the debtor in insolvency are located.</w:t>
      </w:r>
      <w:r w:rsidR="00BA3B88">
        <w:rPr>
          <w:rFonts w:ascii="Arial" w:hAnsi="Arial" w:cs="Arial"/>
          <w:sz w:val="22"/>
          <w:szCs w:val="22"/>
          <w:lang w:val="en-GB"/>
        </w:rPr>
        <w:t xml:space="preserve"> Therefore, it is possible that several jurisdictions open separate insolvency proceedings regarding the same debtor. The separate insolvency proceedings could, however, get in conflict with each other. In order to resolve such conflicts, coordination and cooperation is necessary.</w:t>
      </w:r>
    </w:p>
    <w:p w14:paraId="7C78E72A" w14:textId="61176454" w:rsidR="00D3641B" w:rsidRDefault="00BA3B88" w:rsidP="00692900">
      <w:pPr>
        <w:pStyle w:val="ListParagraph"/>
        <w:numPr>
          <w:ilvl w:val="0"/>
          <w:numId w:val="20"/>
        </w:numPr>
        <w:jc w:val="both"/>
        <w:rPr>
          <w:rFonts w:ascii="Arial" w:hAnsi="Arial" w:cs="Arial"/>
          <w:sz w:val="22"/>
          <w:szCs w:val="22"/>
          <w:lang w:val="en-GB"/>
        </w:rPr>
      </w:pPr>
      <w:r>
        <w:rPr>
          <w:rFonts w:ascii="Arial" w:hAnsi="Arial" w:cs="Arial"/>
          <w:sz w:val="22"/>
          <w:szCs w:val="22"/>
          <w:lang w:val="en-GB"/>
        </w:rPr>
        <w:t xml:space="preserve">Again, each State may decide on its own which law it applies in respect of different aspects of </w:t>
      </w:r>
      <w:r w:rsidR="00FA6D36">
        <w:rPr>
          <w:rFonts w:ascii="Arial" w:hAnsi="Arial" w:cs="Arial"/>
          <w:sz w:val="22"/>
          <w:szCs w:val="22"/>
          <w:lang w:val="en-GB"/>
        </w:rPr>
        <w:t>an insolvency case</w:t>
      </w:r>
      <w:r>
        <w:rPr>
          <w:rFonts w:ascii="Arial" w:hAnsi="Arial" w:cs="Arial"/>
          <w:sz w:val="22"/>
          <w:szCs w:val="22"/>
          <w:lang w:val="en-GB"/>
        </w:rPr>
        <w:t xml:space="preserve">. </w:t>
      </w:r>
      <w:r w:rsidR="00FA6D36">
        <w:rPr>
          <w:rFonts w:ascii="Arial" w:hAnsi="Arial" w:cs="Arial"/>
          <w:sz w:val="22"/>
          <w:szCs w:val="22"/>
          <w:lang w:val="en-GB"/>
        </w:rPr>
        <w:t>Regarding the procedural laws which govern the insolvency proceedings, States, usually, decide to apply their own law.</w:t>
      </w:r>
      <w:r w:rsidR="00D3641B">
        <w:rPr>
          <w:rFonts w:ascii="Arial" w:hAnsi="Arial" w:cs="Arial"/>
          <w:sz w:val="22"/>
          <w:szCs w:val="22"/>
          <w:lang w:val="en-GB"/>
        </w:rPr>
        <w:t xml:space="preserve"> It would be too difficult for the judged to apply foreign procedural law of which they do not have indebt knowledge. </w:t>
      </w:r>
      <w:r w:rsidR="00FA6D36">
        <w:rPr>
          <w:rFonts w:ascii="Arial" w:hAnsi="Arial" w:cs="Arial"/>
          <w:sz w:val="22"/>
          <w:szCs w:val="22"/>
          <w:lang w:val="en-GB"/>
        </w:rPr>
        <w:t>However, foreign law may apply to claims of the creditors against the debtor in insolvency. Therefore, when deciding if a claim is to be admitted and to what extent</w:t>
      </w:r>
      <w:r w:rsidR="00D3641B">
        <w:rPr>
          <w:rFonts w:ascii="Arial" w:hAnsi="Arial" w:cs="Arial"/>
          <w:sz w:val="22"/>
          <w:szCs w:val="22"/>
          <w:lang w:val="en-GB"/>
        </w:rPr>
        <w:t>,</w:t>
      </w:r>
      <w:r w:rsidR="00FA6D36">
        <w:rPr>
          <w:rFonts w:ascii="Arial" w:hAnsi="Arial" w:cs="Arial"/>
          <w:sz w:val="22"/>
          <w:szCs w:val="22"/>
          <w:lang w:val="en-GB"/>
        </w:rPr>
        <w:t xml:space="preserve"> foreign law may need to be applied. </w:t>
      </w:r>
      <w:r w:rsidR="00D3641B">
        <w:rPr>
          <w:rFonts w:ascii="Arial" w:hAnsi="Arial" w:cs="Arial"/>
          <w:sz w:val="22"/>
          <w:szCs w:val="22"/>
          <w:lang w:val="en-GB"/>
        </w:rPr>
        <w:t xml:space="preserve">The opening of insolvency proceedings can be a condition for responsibility claims against the directors of the bankrupt company or claims against </w:t>
      </w:r>
      <w:r w:rsidR="001D1936">
        <w:rPr>
          <w:rFonts w:ascii="Arial" w:hAnsi="Arial" w:cs="Arial"/>
          <w:sz w:val="22"/>
          <w:szCs w:val="22"/>
          <w:lang w:val="en-GB"/>
        </w:rPr>
        <w:t xml:space="preserve">persons and companies which benefited of a preferential disposition of the debtor. Responsibility claims should be decided based on the </w:t>
      </w:r>
      <w:r w:rsidR="001D1936">
        <w:rPr>
          <w:rFonts w:ascii="Arial" w:hAnsi="Arial" w:cs="Arial"/>
          <w:sz w:val="22"/>
          <w:szCs w:val="22"/>
          <w:lang w:val="en-GB"/>
        </w:rPr>
        <w:lastRenderedPageBreak/>
        <w:t xml:space="preserve">company laws of the State in which the company was incorporated. Only then the directors can know which laws they have to observe in their function as directors. Claims against individuals and companies which benefited of a preferential disposition of the debtor should be decided based on the laws of the jurisdiction where the insolvency proceeding was opened in order to guarantee equality. The problem there is, however, that court decisions regarding such claims are not recognised in all States </w:t>
      </w:r>
      <w:r w:rsidR="007045D8">
        <w:rPr>
          <w:rFonts w:ascii="Arial" w:hAnsi="Arial" w:cs="Arial"/>
          <w:sz w:val="22"/>
          <w:szCs w:val="22"/>
          <w:lang w:val="en-GB"/>
        </w:rPr>
        <w:t>and can, therefore, not always be enforced against individuals domiciled in foreign jurisdictions.</w:t>
      </w:r>
    </w:p>
    <w:p w14:paraId="3730AADB" w14:textId="390D7E8A" w:rsidR="007045D8" w:rsidRDefault="007045D8" w:rsidP="00692900">
      <w:pPr>
        <w:pStyle w:val="ListParagraph"/>
        <w:numPr>
          <w:ilvl w:val="0"/>
          <w:numId w:val="20"/>
        </w:numPr>
        <w:jc w:val="both"/>
        <w:rPr>
          <w:rFonts w:ascii="Arial" w:hAnsi="Arial" w:cs="Arial"/>
          <w:sz w:val="22"/>
          <w:szCs w:val="22"/>
          <w:lang w:val="en-GB"/>
        </w:rPr>
      </w:pPr>
      <w:r>
        <w:rPr>
          <w:rFonts w:ascii="Arial" w:hAnsi="Arial" w:cs="Arial"/>
          <w:sz w:val="22"/>
          <w:szCs w:val="22"/>
          <w:lang w:val="en-GB"/>
        </w:rPr>
        <w:t xml:space="preserve">States may decide to automatically recognise all or certain effects of (certain) foreign insolvency proceedings without the need for any recognition proceedings. Or they may decide all or certain effects of (certain) foreign insolvency proceedings may only be recognised based on a decision of a local court or other authority (recognition proceeding). Finally, States may decide to not recognise any effects at all of foreign insolvency proceedings. If all effects of foreign insolvency proceedings are recognised there is, usually, no need to open separate (local) insolvency proceedings. If </w:t>
      </w:r>
      <w:r w:rsidR="003515BF">
        <w:rPr>
          <w:rFonts w:ascii="Arial" w:hAnsi="Arial" w:cs="Arial"/>
          <w:sz w:val="22"/>
          <w:szCs w:val="22"/>
          <w:lang w:val="en-GB"/>
        </w:rPr>
        <w:t>no or only certain effects of foreign insolvency proceedings are recognised it may be necessary to open separate (ancillary) insolvency proceedings in order to deal with assets of the debtor in insolvency located in the local jurisdiction.</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018D0173" w:rsidR="00DF75F8" w:rsidRDefault="00263FB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prominent case law example for this quotation is the case of Maxwell Communication Corporation plc. In the UNCITRAL Practice Guide on Cross-Border Insolvency Cooperation (2009) this case is summarised as follows:</w:t>
      </w:r>
    </w:p>
    <w:p w14:paraId="768C5B07" w14:textId="23385383" w:rsidR="00263FB6" w:rsidRDefault="00263FB6" w:rsidP="00263FB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263FB6">
        <w:rPr>
          <w:rFonts w:ascii="Arial" w:hAnsi="Arial" w:cs="Arial"/>
          <w:i/>
          <w:color w:val="7B7B7B" w:themeColor="accent3" w:themeShade="BF"/>
          <w:sz w:val="22"/>
          <w:szCs w:val="22"/>
          <w:lang w:val="en-GB"/>
        </w:rPr>
        <w:t xml:space="preserve">The case of Maxwell Communication Corporation plc. </w:t>
      </w:r>
      <w:proofErr w:type="gramStart"/>
      <w:r w:rsidRPr="00263FB6">
        <w:rPr>
          <w:rFonts w:ascii="Arial" w:hAnsi="Arial" w:cs="Arial"/>
          <w:i/>
          <w:color w:val="7B7B7B" w:themeColor="accent3" w:themeShade="BF"/>
          <w:sz w:val="22"/>
          <w:szCs w:val="22"/>
          <w:lang w:val="en-GB"/>
        </w:rPr>
        <w:t>involved</w:t>
      </w:r>
      <w:proofErr w:type="gramEnd"/>
      <w:r w:rsidRPr="00263FB6">
        <w:rPr>
          <w:rFonts w:ascii="Arial" w:hAnsi="Arial" w:cs="Arial"/>
          <w:i/>
          <w:color w:val="7B7B7B" w:themeColor="accent3" w:themeShade="BF"/>
          <w:sz w:val="22"/>
          <w:szCs w:val="22"/>
          <w:lang w:val="en-GB"/>
        </w:rPr>
        <w:t xml:space="preserve"> two primary</w:t>
      </w:r>
      <w:r w:rsidRPr="00263FB6">
        <w:rPr>
          <w:rFonts w:ascii="Arial" w:hAnsi="Arial" w:cs="Arial"/>
          <w:i/>
          <w:color w:val="7B7B7B" w:themeColor="accent3" w:themeShade="BF"/>
          <w:sz w:val="22"/>
          <w:szCs w:val="22"/>
          <w:lang w:val="en-GB"/>
        </w:rPr>
        <w:t xml:space="preserve"> </w:t>
      </w:r>
      <w:r w:rsidRPr="00263FB6">
        <w:rPr>
          <w:rFonts w:ascii="Arial" w:hAnsi="Arial" w:cs="Arial"/>
          <w:i/>
          <w:color w:val="7B7B7B" w:themeColor="accent3" w:themeShade="BF"/>
          <w:sz w:val="22"/>
          <w:szCs w:val="22"/>
          <w:lang w:val="en-GB"/>
        </w:rPr>
        <w:t>insolvency proceedings initiated by a single debtor, one in the United States</w:t>
      </w:r>
      <w:r w:rsidRPr="00263FB6">
        <w:rPr>
          <w:rFonts w:ascii="Arial" w:hAnsi="Arial" w:cs="Arial"/>
          <w:i/>
          <w:color w:val="7B7B7B" w:themeColor="accent3" w:themeShade="BF"/>
          <w:sz w:val="22"/>
          <w:szCs w:val="22"/>
          <w:lang w:val="en-GB"/>
        </w:rPr>
        <w:t xml:space="preserve"> </w:t>
      </w:r>
      <w:r w:rsidRPr="00263FB6">
        <w:rPr>
          <w:rFonts w:ascii="Arial" w:hAnsi="Arial" w:cs="Arial"/>
          <w:i/>
          <w:color w:val="7B7B7B" w:themeColor="accent3" w:themeShade="BF"/>
          <w:sz w:val="22"/>
          <w:szCs w:val="22"/>
          <w:lang w:val="en-GB"/>
        </w:rPr>
        <w:t>and the other in the United Kingdom, and the appointment of two different</w:t>
      </w:r>
      <w:r w:rsidRPr="00263FB6">
        <w:rPr>
          <w:rFonts w:ascii="Arial" w:hAnsi="Arial" w:cs="Arial"/>
          <w:i/>
          <w:color w:val="7B7B7B" w:themeColor="accent3" w:themeShade="BF"/>
          <w:sz w:val="22"/>
          <w:szCs w:val="22"/>
          <w:lang w:val="en-GB"/>
        </w:rPr>
        <w:t xml:space="preserve"> </w:t>
      </w:r>
      <w:r w:rsidRPr="00263FB6">
        <w:rPr>
          <w:rFonts w:ascii="Arial" w:hAnsi="Arial" w:cs="Arial"/>
          <w:i/>
          <w:color w:val="7B7B7B" w:themeColor="accent3" w:themeShade="BF"/>
          <w:sz w:val="22"/>
          <w:szCs w:val="22"/>
          <w:lang w:val="en-GB"/>
        </w:rPr>
        <w:t>and separate insolvency representatives in the two States, each charged with</w:t>
      </w:r>
      <w:r w:rsidRPr="00263FB6">
        <w:rPr>
          <w:rFonts w:ascii="Arial" w:hAnsi="Arial" w:cs="Arial"/>
          <w:i/>
          <w:color w:val="7B7B7B" w:themeColor="accent3" w:themeShade="BF"/>
          <w:sz w:val="22"/>
          <w:szCs w:val="22"/>
          <w:lang w:val="en-GB"/>
        </w:rPr>
        <w:t xml:space="preserve"> </w:t>
      </w:r>
      <w:r w:rsidRPr="00263FB6">
        <w:rPr>
          <w:rFonts w:ascii="Arial" w:hAnsi="Arial" w:cs="Arial"/>
          <w:i/>
          <w:color w:val="7B7B7B" w:themeColor="accent3" w:themeShade="BF"/>
          <w:sz w:val="22"/>
          <w:szCs w:val="22"/>
          <w:lang w:val="en-GB"/>
        </w:rPr>
        <w:t>a similar responsibility. The United States and English judges independently</w:t>
      </w:r>
      <w:r w:rsidRPr="00263FB6">
        <w:rPr>
          <w:rFonts w:ascii="Arial" w:hAnsi="Arial" w:cs="Arial"/>
          <w:i/>
          <w:color w:val="7B7B7B" w:themeColor="accent3" w:themeShade="BF"/>
          <w:sz w:val="22"/>
          <w:szCs w:val="22"/>
          <w:lang w:val="en-GB"/>
        </w:rPr>
        <w:t xml:space="preserve"> </w:t>
      </w:r>
      <w:r w:rsidRPr="00263FB6">
        <w:rPr>
          <w:rFonts w:ascii="Arial" w:hAnsi="Arial" w:cs="Arial"/>
          <w:i/>
          <w:color w:val="7B7B7B" w:themeColor="accent3" w:themeShade="BF"/>
          <w:sz w:val="22"/>
          <w:szCs w:val="22"/>
          <w:lang w:val="en-GB"/>
        </w:rPr>
        <w:t>raised with their respective counsel the idea that an insolvency agreement</w:t>
      </w:r>
      <w:r w:rsidRPr="00263FB6">
        <w:rPr>
          <w:rFonts w:ascii="Arial" w:hAnsi="Arial" w:cs="Arial"/>
          <w:i/>
          <w:color w:val="7B7B7B" w:themeColor="accent3" w:themeShade="BF"/>
          <w:sz w:val="22"/>
          <w:szCs w:val="22"/>
          <w:lang w:val="en-GB"/>
        </w:rPr>
        <w:t xml:space="preserve"> </w:t>
      </w:r>
      <w:r w:rsidRPr="00263FB6">
        <w:rPr>
          <w:rFonts w:ascii="Arial" w:hAnsi="Arial" w:cs="Arial"/>
          <w:i/>
          <w:color w:val="7B7B7B" w:themeColor="accent3" w:themeShade="BF"/>
          <w:sz w:val="22"/>
          <w:szCs w:val="22"/>
          <w:lang w:val="en-GB"/>
        </w:rPr>
        <w:t>between the two administrations could resolve conf</w:t>
      </w:r>
      <w:r w:rsidRPr="00263FB6">
        <w:rPr>
          <w:rFonts w:ascii="Arial" w:hAnsi="Arial" w:cs="Arial"/>
          <w:i/>
          <w:color w:val="7B7B7B" w:themeColor="accent3" w:themeShade="BF"/>
          <w:sz w:val="22"/>
          <w:szCs w:val="22"/>
          <w:lang w:val="en-GB"/>
        </w:rPr>
        <w:t>l</w:t>
      </w:r>
      <w:r w:rsidRPr="00263FB6">
        <w:rPr>
          <w:rFonts w:ascii="Arial" w:hAnsi="Arial" w:cs="Arial"/>
          <w:i/>
          <w:color w:val="7B7B7B" w:themeColor="accent3" w:themeShade="BF"/>
          <w:sz w:val="22"/>
          <w:szCs w:val="22"/>
          <w:lang w:val="en-GB"/>
        </w:rPr>
        <w:t>icts and facilitate the</w:t>
      </w:r>
      <w:r w:rsidRPr="00263FB6">
        <w:rPr>
          <w:rFonts w:ascii="Arial" w:hAnsi="Arial" w:cs="Arial"/>
          <w:i/>
          <w:color w:val="7B7B7B" w:themeColor="accent3" w:themeShade="BF"/>
          <w:sz w:val="22"/>
          <w:szCs w:val="22"/>
          <w:lang w:val="en-GB"/>
        </w:rPr>
        <w:t xml:space="preserve"> </w:t>
      </w:r>
      <w:r w:rsidRPr="00263FB6">
        <w:rPr>
          <w:rFonts w:ascii="Arial" w:hAnsi="Arial" w:cs="Arial"/>
          <w:i/>
          <w:color w:val="7B7B7B" w:themeColor="accent3" w:themeShade="BF"/>
          <w:sz w:val="22"/>
          <w:szCs w:val="22"/>
          <w:lang w:val="en-GB"/>
        </w:rPr>
        <w:t>exchange of information. Under the agreement, two goals were set to guide</w:t>
      </w:r>
      <w:r w:rsidRPr="00263FB6">
        <w:rPr>
          <w:rFonts w:ascii="Arial" w:hAnsi="Arial" w:cs="Arial"/>
          <w:i/>
          <w:color w:val="7B7B7B" w:themeColor="accent3" w:themeShade="BF"/>
          <w:sz w:val="22"/>
          <w:szCs w:val="22"/>
          <w:lang w:val="en-GB"/>
        </w:rPr>
        <w:t xml:space="preserve"> </w:t>
      </w:r>
      <w:r w:rsidRPr="00263FB6">
        <w:rPr>
          <w:rFonts w:ascii="Arial" w:hAnsi="Arial" w:cs="Arial"/>
          <w:i/>
          <w:color w:val="7B7B7B" w:themeColor="accent3" w:themeShade="BF"/>
          <w:sz w:val="22"/>
          <w:szCs w:val="22"/>
          <w:lang w:val="en-GB"/>
        </w:rPr>
        <w:t>the insolvency representatives: maximizing the value of the e</w:t>
      </w:r>
      <w:r w:rsidRPr="00263FB6">
        <w:rPr>
          <w:rFonts w:ascii="Arial" w:hAnsi="Arial" w:cs="Arial"/>
          <w:i/>
          <w:color w:val="7B7B7B" w:themeColor="accent3" w:themeShade="BF"/>
          <w:sz w:val="22"/>
          <w:szCs w:val="22"/>
          <w:lang w:val="en-GB"/>
        </w:rPr>
        <w:t>state and har</w:t>
      </w:r>
      <w:r w:rsidRPr="00263FB6">
        <w:rPr>
          <w:rFonts w:ascii="Arial" w:hAnsi="Arial" w:cs="Arial"/>
          <w:i/>
          <w:color w:val="7B7B7B" w:themeColor="accent3" w:themeShade="BF"/>
          <w:sz w:val="22"/>
          <w:szCs w:val="22"/>
          <w:lang w:val="en-GB"/>
        </w:rPr>
        <w:t>monizing the proceedings to minimize expense, waste and jurisdictional</w:t>
      </w:r>
      <w:r w:rsidRPr="00263FB6">
        <w:rPr>
          <w:rFonts w:ascii="Arial" w:hAnsi="Arial" w:cs="Arial"/>
          <w:i/>
          <w:color w:val="7B7B7B" w:themeColor="accent3" w:themeShade="BF"/>
          <w:sz w:val="22"/>
          <w:szCs w:val="22"/>
          <w:lang w:val="en-GB"/>
        </w:rPr>
        <w:t xml:space="preserve"> </w:t>
      </w:r>
      <w:r w:rsidRPr="00263FB6">
        <w:rPr>
          <w:rFonts w:ascii="Arial" w:hAnsi="Arial" w:cs="Arial"/>
          <w:i/>
          <w:color w:val="7B7B7B" w:themeColor="accent3" w:themeShade="BF"/>
          <w:sz w:val="22"/>
          <w:szCs w:val="22"/>
          <w:lang w:val="en-GB"/>
        </w:rPr>
        <w:t>conf</w:t>
      </w:r>
      <w:r w:rsidRPr="00263FB6">
        <w:rPr>
          <w:rFonts w:ascii="Arial" w:hAnsi="Arial" w:cs="Arial"/>
          <w:i/>
          <w:color w:val="7B7B7B" w:themeColor="accent3" w:themeShade="BF"/>
          <w:sz w:val="22"/>
          <w:szCs w:val="22"/>
          <w:lang w:val="en-GB"/>
        </w:rPr>
        <w:t>l</w:t>
      </w:r>
      <w:r w:rsidRPr="00263FB6">
        <w:rPr>
          <w:rFonts w:ascii="Arial" w:hAnsi="Arial" w:cs="Arial"/>
          <w:i/>
          <w:color w:val="7B7B7B" w:themeColor="accent3" w:themeShade="BF"/>
          <w:sz w:val="22"/>
          <w:szCs w:val="22"/>
          <w:lang w:val="en-GB"/>
        </w:rPr>
        <w:t>ict. The parties agreed essentially that the United States court would</w:t>
      </w:r>
      <w:r w:rsidRPr="00263FB6">
        <w:rPr>
          <w:rFonts w:ascii="Arial" w:hAnsi="Arial" w:cs="Arial"/>
          <w:i/>
          <w:color w:val="7B7B7B" w:themeColor="accent3" w:themeShade="BF"/>
          <w:sz w:val="22"/>
          <w:szCs w:val="22"/>
          <w:lang w:val="en-GB"/>
        </w:rPr>
        <w:t xml:space="preserve"> </w:t>
      </w:r>
      <w:r w:rsidRPr="00263FB6">
        <w:rPr>
          <w:rFonts w:ascii="Arial" w:hAnsi="Arial" w:cs="Arial"/>
          <w:i/>
          <w:color w:val="7B7B7B" w:themeColor="accent3" w:themeShade="BF"/>
          <w:sz w:val="22"/>
          <w:szCs w:val="22"/>
          <w:lang w:val="en-GB"/>
        </w:rPr>
        <w:t>defer to the English proceedings, once it was determined that certain criteria</w:t>
      </w:r>
      <w:r w:rsidRPr="00263FB6">
        <w:rPr>
          <w:rFonts w:ascii="Arial" w:hAnsi="Arial" w:cs="Arial"/>
          <w:i/>
          <w:color w:val="7B7B7B" w:themeColor="accent3" w:themeShade="BF"/>
          <w:sz w:val="22"/>
          <w:szCs w:val="22"/>
          <w:lang w:val="en-GB"/>
        </w:rPr>
        <w:t xml:space="preserve"> </w:t>
      </w:r>
      <w:r w:rsidRPr="00263FB6">
        <w:rPr>
          <w:rFonts w:ascii="Arial" w:hAnsi="Arial" w:cs="Arial"/>
          <w:i/>
          <w:color w:val="7B7B7B" w:themeColor="accent3" w:themeShade="BF"/>
          <w:sz w:val="22"/>
          <w:szCs w:val="22"/>
          <w:lang w:val="en-GB"/>
        </w:rPr>
        <w:t>were present. Specif</w:t>
      </w:r>
      <w:r w:rsidRPr="00263FB6">
        <w:rPr>
          <w:rFonts w:ascii="Arial" w:hAnsi="Arial" w:cs="Arial"/>
          <w:i/>
          <w:color w:val="7B7B7B" w:themeColor="accent3" w:themeShade="BF"/>
          <w:sz w:val="22"/>
          <w:szCs w:val="22"/>
          <w:lang w:val="en-GB"/>
        </w:rPr>
        <w:t>i</w:t>
      </w:r>
      <w:r w:rsidRPr="00263FB6">
        <w:rPr>
          <w:rFonts w:ascii="Arial" w:hAnsi="Arial" w:cs="Arial"/>
          <w:i/>
          <w:color w:val="7B7B7B" w:themeColor="accent3" w:themeShade="BF"/>
          <w:sz w:val="22"/>
          <w:szCs w:val="22"/>
          <w:lang w:val="en-GB"/>
        </w:rPr>
        <w:t>cities included that some existing management would</w:t>
      </w:r>
      <w:r w:rsidRPr="00263FB6">
        <w:rPr>
          <w:rFonts w:ascii="Arial" w:hAnsi="Arial" w:cs="Arial"/>
          <w:i/>
          <w:color w:val="7B7B7B" w:themeColor="accent3" w:themeShade="BF"/>
          <w:sz w:val="22"/>
          <w:szCs w:val="22"/>
          <w:lang w:val="en-GB"/>
        </w:rPr>
        <w:t xml:space="preserve"> </w:t>
      </w:r>
      <w:r w:rsidRPr="00263FB6">
        <w:rPr>
          <w:rFonts w:ascii="Arial" w:hAnsi="Arial" w:cs="Arial"/>
          <w:i/>
          <w:color w:val="7B7B7B" w:themeColor="accent3" w:themeShade="BF"/>
          <w:sz w:val="22"/>
          <w:szCs w:val="22"/>
          <w:lang w:val="en-GB"/>
        </w:rPr>
        <w:t>be retained in the interests of maintaining the debtor’s going concern value,</w:t>
      </w:r>
      <w:r w:rsidRPr="00263FB6">
        <w:rPr>
          <w:rFonts w:ascii="Arial" w:hAnsi="Arial" w:cs="Arial"/>
          <w:i/>
          <w:color w:val="7B7B7B" w:themeColor="accent3" w:themeShade="BF"/>
          <w:sz w:val="22"/>
          <w:szCs w:val="22"/>
          <w:lang w:val="en-GB"/>
        </w:rPr>
        <w:t xml:space="preserve"> </w:t>
      </w:r>
      <w:r w:rsidRPr="00263FB6">
        <w:rPr>
          <w:rFonts w:ascii="Arial" w:hAnsi="Arial" w:cs="Arial"/>
          <w:i/>
          <w:color w:val="7B7B7B" w:themeColor="accent3" w:themeShade="BF"/>
          <w:sz w:val="22"/>
          <w:szCs w:val="22"/>
          <w:lang w:val="en-GB"/>
        </w:rPr>
        <w:t>but the English insolvency representatives</w:t>
      </w:r>
      <w:r w:rsidRPr="00263FB6">
        <w:rPr>
          <w:rFonts w:ascii="Arial" w:hAnsi="Arial" w:cs="Arial"/>
          <w:i/>
          <w:color w:val="7B7B7B" w:themeColor="accent3" w:themeShade="BF"/>
          <w:sz w:val="22"/>
          <w:szCs w:val="22"/>
          <w:lang w:val="en-GB"/>
        </w:rPr>
        <w:t xml:space="preserve"> would be allowed, with the con</w:t>
      </w:r>
      <w:r w:rsidRPr="00263FB6">
        <w:rPr>
          <w:rFonts w:ascii="Arial" w:hAnsi="Arial" w:cs="Arial"/>
          <w:i/>
          <w:color w:val="7B7B7B" w:themeColor="accent3" w:themeShade="BF"/>
          <w:sz w:val="22"/>
          <w:szCs w:val="22"/>
          <w:lang w:val="en-GB"/>
        </w:rPr>
        <w:t>sent of their United States counterpart, to sele</w:t>
      </w:r>
      <w:r w:rsidRPr="00263FB6">
        <w:rPr>
          <w:rFonts w:ascii="Arial" w:hAnsi="Arial" w:cs="Arial"/>
          <w:i/>
          <w:color w:val="7B7B7B" w:themeColor="accent3" w:themeShade="BF"/>
          <w:sz w:val="22"/>
          <w:szCs w:val="22"/>
          <w:lang w:val="en-GB"/>
        </w:rPr>
        <w:t>ct new and independent direc</w:t>
      </w:r>
      <w:r w:rsidRPr="00263FB6">
        <w:rPr>
          <w:rFonts w:ascii="Arial" w:hAnsi="Arial" w:cs="Arial"/>
          <w:i/>
          <w:color w:val="7B7B7B" w:themeColor="accent3" w:themeShade="BF"/>
          <w:sz w:val="22"/>
          <w:szCs w:val="22"/>
          <w:lang w:val="en-GB"/>
        </w:rPr>
        <w:t>tors; the English insolvency representatives should only incur debt or f</w:t>
      </w:r>
      <w:r w:rsidRPr="00263FB6">
        <w:rPr>
          <w:rFonts w:ascii="Arial" w:hAnsi="Arial" w:cs="Arial"/>
          <w:i/>
          <w:color w:val="7B7B7B" w:themeColor="accent3" w:themeShade="BF"/>
          <w:sz w:val="22"/>
          <w:szCs w:val="22"/>
          <w:lang w:val="en-GB"/>
        </w:rPr>
        <w:t>i</w:t>
      </w:r>
      <w:r w:rsidRPr="00263FB6">
        <w:rPr>
          <w:rFonts w:ascii="Arial" w:hAnsi="Arial" w:cs="Arial"/>
          <w:i/>
          <w:color w:val="7B7B7B" w:themeColor="accent3" w:themeShade="BF"/>
          <w:sz w:val="22"/>
          <w:szCs w:val="22"/>
          <w:lang w:val="en-GB"/>
        </w:rPr>
        <w:t>le a</w:t>
      </w:r>
      <w:r w:rsidRPr="00263FB6">
        <w:rPr>
          <w:rFonts w:ascii="Arial" w:hAnsi="Arial" w:cs="Arial"/>
          <w:i/>
          <w:color w:val="7B7B7B" w:themeColor="accent3" w:themeShade="BF"/>
          <w:sz w:val="22"/>
          <w:szCs w:val="22"/>
          <w:lang w:val="en-GB"/>
        </w:rPr>
        <w:t xml:space="preserve"> </w:t>
      </w:r>
      <w:r w:rsidRPr="00263FB6">
        <w:rPr>
          <w:rFonts w:ascii="Arial" w:hAnsi="Arial" w:cs="Arial"/>
          <w:i/>
          <w:color w:val="7B7B7B" w:themeColor="accent3" w:themeShade="BF"/>
          <w:sz w:val="22"/>
          <w:szCs w:val="22"/>
          <w:lang w:val="en-GB"/>
        </w:rPr>
        <w:t>reorganization plan with the consent of the</w:t>
      </w:r>
      <w:r w:rsidRPr="00263FB6">
        <w:rPr>
          <w:rFonts w:ascii="Arial" w:hAnsi="Arial" w:cs="Arial"/>
          <w:i/>
          <w:color w:val="7B7B7B" w:themeColor="accent3" w:themeShade="BF"/>
          <w:sz w:val="22"/>
          <w:szCs w:val="22"/>
          <w:lang w:val="en-GB"/>
        </w:rPr>
        <w:t xml:space="preserve"> United States insolvency repre</w:t>
      </w:r>
      <w:r w:rsidRPr="00263FB6">
        <w:rPr>
          <w:rFonts w:ascii="Arial" w:hAnsi="Arial" w:cs="Arial"/>
          <w:i/>
          <w:color w:val="7B7B7B" w:themeColor="accent3" w:themeShade="BF"/>
          <w:sz w:val="22"/>
          <w:szCs w:val="22"/>
          <w:lang w:val="en-GB"/>
        </w:rPr>
        <w:t>sentative or the United States court; and the English insolvency represen</w:t>
      </w:r>
      <w:r w:rsidRPr="00263FB6">
        <w:rPr>
          <w:rFonts w:ascii="Arial" w:hAnsi="Arial" w:cs="Arial"/>
          <w:i/>
          <w:color w:val="7B7B7B" w:themeColor="accent3" w:themeShade="BF"/>
          <w:sz w:val="22"/>
          <w:szCs w:val="22"/>
          <w:lang w:val="en-GB"/>
        </w:rPr>
        <w:t>ta</w:t>
      </w:r>
      <w:r w:rsidRPr="00263FB6">
        <w:rPr>
          <w:rFonts w:ascii="Arial" w:hAnsi="Arial" w:cs="Arial"/>
          <w:i/>
          <w:color w:val="7B7B7B" w:themeColor="accent3" w:themeShade="BF"/>
          <w:sz w:val="22"/>
          <w:szCs w:val="22"/>
          <w:lang w:val="en-GB"/>
        </w:rPr>
        <w:t>tives should give prior notice to the United States insolvency representative</w:t>
      </w:r>
      <w:r w:rsidRPr="00263FB6">
        <w:rPr>
          <w:rFonts w:ascii="Arial" w:hAnsi="Arial" w:cs="Arial"/>
          <w:i/>
          <w:color w:val="7B7B7B" w:themeColor="accent3" w:themeShade="BF"/>
          <w:sz w:val="22"/>
          <w:szCs w:val="22"/>
          <w:lang w:val="en-GB"/>
        </w:rPr>
        <w:t xml:space="preserve"> </w:t>
      </w:r>
      <w:r w:rsidRPr="00263FB6">
        <w:rPr>
          <w:rFonts w:ascii="Arial" w:hAnsi="Arial" w:cs="Arial"/>
          <w:i/>
          <w:color w:val="7B7B7B" w:themeColor="accent3" w:themeShade="BF"/>
          <w:sz w:val="22"/>
          <w:szCs w:val="22"/>
          <w:lang w:val="en-GB"/>
        </w:rPr>
        <w:t>before undertaking any major transaction on behalf of the debtor, but were</w:t>
      </w:r>
      <w:r w:rsidRPr="00263FB6">
        <w:rPr>
          <w:rFonts w:ascii="Arial" w:hAnsi="Arial" w:cs="Arial"/>
          <w:i/>
          <w:color w:val="7B7B7B" w:themeColor="accent3" w:themeShade="BF"/>
          <w:sz w:val="22"/>
          <w:szCs w:val="22"/>
          <w:lang w:val="en-GB"/>
        </w:rPr>
        <w:t xml:space="preserve"> </w:t>
      </w:r>
      <w:r w:rsidRPr="00263FB6">
        <w:rPr>
          <w:rFonts w:ascii="Arial" w:hAnsi="Arial" w:cs="Arial"/>
          <w:i/>
          <w:color w:val="7B7B7B" w:themeColor="accent3" w:themeShade="BF"/>
          <w:sz w:val="22"/>
          <w:szCs w:val="22"/>
          <w:lang w:val="en-GB"/>
        </w:rPr>
        <w:t>pre-authorized to undertake “lesser” tra</w:t>
      </w:r>
      <w:r w:rsidRPr="00263FB6">
        <w:rPr>
          <w:rFonts w:ascii="Arial" w:hAnsi="Arial" w:cs="Arial"/>
          <w:i/>
          <w:color w:val="7B7B7B" w:themeColor="accent3" w:themeShade="BF"/>
          <w:sz w:val="22"/>
          <w:szCs w:val="22"/>
          <w:lang w:val="en-GB"/>
        </w:rPr>
        <w:t xml:space="preserve">nsactions. Many issues </w:t>
      </w:r>
      <w:r w:rsidRPr="00263FB6">
        <w:rPr>
          <w:rFonts w:ascii="Arial" w:hAnsi="Arial" w:cs="Arial"/>
          <w:i/>
          <w:color w:val="7B7B7B" w:themeColor="accent3" w:themeShade="BF"/>
          <w:sz w:val="22"/>
          <w:szCs w:val="22"/>
          <w:lang w:val="en-GB"/>
        </w:rPr>
        <w:lastRenderedPageBreak/>
        <w:t>were pur</w:t>
      </w:r>
      <w:r w:rsidRPr="00263FB6">
        <w:rPr>
          <w:rFonts w:ascii="Arial" w:hAnsi="Arial" w:cs="Arial"/>
          <w:i/>
          <w:color w:val="7B7B7B" w:themeColor="accent3" w:themeShade="BF"/>
          <w:sz w:val="22"/>
          <w:szCs w:val="22"/>
          <w:lang w:val="en-GB"/>
        </w:rPr>
        <w:t>posely left out of the agreement to be resolv</w:t>
      </w:r>
      <w:r w:rsidRPr="00263FB6">
        <w:rPr>
          <w:rFonts w:ascii="Arial" w:hAnsi="Arial" w:cs="Arial"/>
          <w:i/>
          <w:color w:val="7B7B7B" w:themeColor="accent3" w:themeShade="BF"/>
          <w:sz w:val="22"/>
          <w:szCs w:val="22"/>
          <w:lang w:val="en-GB"/>
        </w:rPr>
        <w:t>ed during the course of proceed</w:t>
      </w:r>
      <w:r w:rsidRPr="00263FB6">
        <w:rPr>
          <w:rFonts w:ascii="Arial" w:hAnsi="Arial" w:cs="Arial"/>
          <w:i/>
          <w:color w:val="7B7B7B" w:themeColor="accent3" w:themeShade="BF"/>
          <w:sz w:val="22"/>
          <w:szCs w:val="22"/>
          <w:lang w:val="en-GB"/>
        </w:rPr>
        <w:t>ings. Some of those issues, such as distribution matters, were later included</w:t>
      </w:r>
      <w:r w:rsidRPr="00263FB6">
        <w:rPr>
          <w:rFonts w:ascii="Arial" w:hAnsi="Arial" w:cs="Arial"/>
          <w:i/>
          <w:color w:val="7B7B7B" w:themeColor="accent3" w:themeShade="BF"/>
          <w:sz w:val="22"/>
          <w:szCs w:val="22"/>
          <w:lang w:val="en-GB"/>
        </w:rPr>
        <w:t xml:space="preserve"> </w:t>
      </w:r>
      <w:r w:rsidRPr="00263FB6">
        <w:rPr>
          <w:rFonts w:ascii="Arial" w:hAnsi="Arial" w:cs="Arial"/>
          <w:i/>
          <w:color w:val="7B7B7B" w:themeColor="accent3" w:themeShade="BF"/>
          <w:sz w:val="22"/>
          <w:szCs w:val="22"/>
          <w:lang w:val="en-GB"/>
        </w:rPr>
        <w:t>in an extension of the agreement</w:t>
      </w:r>
      <w:r w:rsidRPr="00263FB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3C588C89" w14:textId="77777777" w:rsidR="00263FB6" w:rsidRDefault="00263FB6" w:rsidP="00263FB6">
      <w:pPr>
        <w:jc w:val="both"/>
        <w:rPr>
          <w:rFonts w:ascii="Arial" w:hAnsi="Arial" w:cs="Arial"/>
          <w:color w:val="7B7B7B" w:themeColor="accent3" w:themeShade="BF"/>
          <w:sz w:val="22"/>
          <w:szCs w:val="22"/>
          <w:lang w:val="en-GB"/>
        </w:rPr>
      </w:pPr>
    </w:p>
    <w:p w14:paraId="2C142D93" w14:textId="587D4441" w:rsidR="00263FB6" w:rsidRDefault="00263FB6" w:rsidP="00263FB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case a good example that conflicts between separate insolvency proceedings can only be solved with cooperation and coordination.</w:t>
      </w:r>
    </w:p>
    <w:p w14:paraId="6BC9EB66" w14:textId="77777777" w:rsidR="00263FB6" w:rsidRPr="00205B31" w:rsidRDefault="00263FB6" w:rsidP="00263FB6">
      <w:pPr>
        <w:jc w:val="both"/>
        <w:rPr>
          <w:rFonts w:ascii="Arial" w:hAnsi="Arial" w:cs="Arial"/>
          <w:sz w:val="22"/>
          <w:szCs w:val="22"/>
          <w:lang w:val="en-GB"/>
        </w:rPr>
      </w:pP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proofErr w:type="spellStart"/>
      <w:r w:rsidRPr="00205B31">
        <w:rPr>
          <w:rFonts w:ascii="Arial" w:hAnsi="Arial" w:cs="Arial"/>
          <w:sz w:val="22"/>
          <w:szCs w:val="22"/>
          <w:lang w:val="en-GB"/>
        </w:rPr>
        <w:t>Rydell</w:t>
      </w:r>
      <w:proofErr w:type="spellEnd"/>
      <w:r w:rsidRPr="00205B31">
        <w:rPr>
          <w:rFonts w:ascii="Arial" w:hAnsi="Arial" w:cs="Arial"/>
          <w:sz w:val="22"/>
          <w:szCs w:val="22"/>
          <w:lang w:val="en-GB"/>
        </w:rPr>
        <w:t xml:space="preserve"> Co Ltd </w:t>
      </w:r>
      <w:r w:rsidR="00BF2B49" w:rsidRPr="00205B31">
        <w:rPr>
          <w:rFonts w:ascii="Arial" w:hAnsi="Arial" w:cs="Arial"/>
          <w:sz w:val="22"/>
          <w:szCs w:val="22"/>
          <w:lang w:val="en-GB"/>
        </w:rPr>
        <w:t>(</w:t>
      </w:r>
      <w:proofErr w:type="spellStart"/>
      <w:r w:rsidR="00BF2B49" w:rsidRPr="00205B31">
        <w:rPr>
          <w:rFonts w:ascii="Arial" w:hAnsi="Arial" w:cs="Arial"/>
          <w:sz w:val="22"/>
          <w:szCs w:val="22"/>
          <w:lang w:val="en-GB"/>
        </w:rPr>
        <w:t>Rydell</w:t>
      </w:r>
      <w:proofErr w:type="spellEnd"/>
      <w:r w:rsidR="00BF2B49" w:rsidRPr="00205B31">
        <w:rPr>
          <w:rFonts w:ascii="Arial" w:hAnsi="Arial" w:cs="Arial"/>
          <w:sz w:val="22"/>
          <w:szCs w:val="22"/>
          <w:lang w:val="en-GB"/>
        </w:rPr>
        <w:t xml:space="preserve">)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proofErr w:type="spellStart"/>
      <w:r w:rsidR="00486776" w:rsidRPr="00205B31">
        <w:rPr>
          <w:rFonts w:ascii="Arial" w:hAnsi="Arial" w:cs="Arial"/>
          <w:color w:val="212529"/>
          <w:sz w:val="22"/>
          <w:szCs w:val="22"/>
          <w:shd w:val="clear" w:color="auto" w:fill="FFFFFF"/>
          <w:lang w:val="en-GB"/>
        </w:rPr>
        <w:t>Rydell</w:t>
      </w:r>
      <w:proofErr w:type="spellEnd"/>
      <w:r w:rsidR="00486776" w:rsidRPr="00205B31">
        <w:rPr>
          <w:rFonts w:ascii="Arial" w:hAnsi="Arial" w:cs="Arial"/>
          <w:color w:val="212529"/>
          <w:sz w:val="22"/>
          <w:szCs w:val="22"/>
          <w:shd w:val="clear" w:color="auto" w:fill="FFFFFF"/>
          <w:lang w:val="en-GB"/>
        </w:rPr>
        <w:t xml:space="preserve">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proofErr w:type="spellStart"/>
      <w:r w:rsidRPr="00205B31">
        <w:rPr>
          <w:rFonts w:ascii="Arial" w:hAnsi="Arial" w:cs="Arial"/>
          <w:color w:val="212529"/>
          <w:sz w:val="22"/>
          <w:szCs w:val="22"/>
          <w:shd w:val="clear" w:color="auto" w:fill="FFFFFF"/>
          <w:lang w:val="en-GB"/>
        </w:rPr>
        <w:t>Rydell’s</w:t>
      </w:r>
      <w:proofErr w:type="spellEnd"/>
      <w:r w:rsidRPr="00205B31">
        <w:rPr>
          <w:rFonts w:ascii="Arial" w:hAnsi="Arial" w:cs="Arial"/>
          <w:color w:val="212529"/>
          <w:sz w:val="22"/>
          <w:szCs w:val="22"/>
          <w:shd w:val="clear" w:color="auto" w:fill="FFFFFF"/>
          <w:lang w:val="en-GB"/>
        </w:rPr>
        <w:t xml:space="preserve">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proofErr w:type="spellStart"/>
      <w:r w:rsidR="00A56DBC" w:rsidRPr="00205B31">
        <w:rPr>
          <w:rFonts w:ascii="Arial" w:hAnsi="Arial" w:cs="Arial"/>
          <w:color w:val="212529"/>
          <w:sz w:val="22"/>
          <w:szCs w:val="22"/>
          <w:shd w:val="clear" w:color="auto" w:fill="FFFFFF"/>
          <w:lang w:val="en-GB"/>
        </w:rPr>
        <w:t>Rydell</w:t>
      </w:r>
      <w:proofErr w:type="spellEnd"/>
      <w:r w:rsidR="00A56DBC" w:rsidRPr="00205B31">
        <w:rPr>
          <w:rFonts w:ascii="Arial" w:hAnsi="Arial" w:cs="Arial"/>
          <w:color w:val="212529"/>
          <w:sz w:val="22"/>
          <w:szCs w:val="22"/>
          <w:shd w:val="clear" w:color="auto" w:fill="FFFFFF"/>
          <w:lang w:val="en-GB"/>
        </w:rPr>
        <w:t>.</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w:t>
      </w:r>
      <w:proofErr w:type="gramStart"/>
      <w:r w:rsidRPr="00205B31">
        <w:rPr>
          <w:rFonts w:ascii="Arial" w:hAnsi="Arial" w:cs="Arial"/>
          <w:color w:val="212529"/>
          <w:sz w:val="22"/>
          <w:szCs w:val="22"/>
          <w:shd w:val="clear" w:color="auto" w:fill="FFFFFF"/>
          <w:lang w:val="en-GB"/>
        </w:rPr>
        <w:t>creditors</w:t>
      </w:r>
      <w:proofErr w:type="gramEnd"/>
      <w:r w:rsidRPr="00205B31">
        <w:rPr>
          <w:rFonts w:ascii="Arial" w:hAnsi="Arial" w:cs="Arial"/>
          <w:color w:val="212529"/>
          <w:sz w:val="22"/>
          <w:szCs w:val="22"/>
          <w:shd w:val="clear" w:color="auto" w:fill="FFFFFF"/>
          <w:lang w:val="en-GB"/>
        </w:rPr>
        <w:t xml:space="preserve"> owed money by </w:t>
      </w:r>
      <w:proofErr w:type="spellStart"/>
      <w:r w:rsidRPr="00205B31">
        <w:rPr>
          <w:rFonts w:ascii="Arial" w:hAnsi="Arial" w:cs="Arial"/>
          <w:color w:val="212529"/>
          <w:sz w:val="22"/>
          <w:szCs w:val="22"/>
          <w:shd w:val="clear" w:color="auto" w:fill="FFFFFF"/>
          <w:lang w:val="en-GB"/>
        </w:rPr>
        <w:t>Rydell</w:t>
      </w:r>
      <w:proofErr w:type="spellEnd"/>
      <w:r w:rsidRPr="00205B31">
        <w:rPr>
          <w:rFonts w:ascii="Arial" w:hAnsi="Arial" w:cs="Arial"/>
          <w:color w:val="212529"/>
          <w:sz w:val="22"/>
          <w:szCs w:val="22"/>
          <w:shd w:val="clear" w:color="auto" w:fill="FFFFFF"/>
          <w:lang w:val="en-GB"/>
        </w:rPr>
        <w:t xml:space="preserve">,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w:t>
      </w:r>
      <w:proofErr w:type="spellStart"/>
      <w:r w:rsidRPr="00205B31">
        <w:rPr>
          <w:rFonts w:ascii="Arial" w:hAnsi="Arial" w:cs="Arial"/>
          <w:sz w:val="22"/>
          <w:szCs w:val="22"/>
          <w:lang w:val="en-GB"/>
        </w:rPr>
        <w:t>Rydell</w:t>
      </w:r>
      <w:proofErr w:type="spellEnd"/>
      <w:r w:rsidRPr="00205B31">
        <w:rPr>
          <w:rFonts w:ascii="Arial" w:hAnsi="Arial" w:cs="Arial"/>
          <w:sz w:val="22"/>
          <w:szCs w:val="22"/>
          <w:lang w:val="en-GB"/>
        </w:rPr>
        <w:t xml:space="preserve">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05B33737" w:rsidR="002F75A3" w:rsidRDefault="00B778C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June and July 2020, the UK was still a member of the EU. On 31</w:t>
      </w:r>
      <w:r w:rsidRPr="00B778CC">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December 2020, the UK left the EU. Hence, the European Insolvency Regulation Recast still applied to the UK at the relevant time.</w:t>
      </w:r>
    </w:p>
    <w:p w14:paraId="4759E87C" w14:textId="277D80B2" w:rsidR="00B778CC" w:rsidRDefault="00B778C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Given, that this case concern</w:t>
      </w:r>
      <w:r w:rsidR="00DC1A24">
        <w:rPr>
          <w:rFonts w:ascii="Arial" w:hAnsi="Arial" w:cs="Arial"/>
          <w:color w:val="7B7B7B" w:themeColor="accent3" w:themeShade="BF"/>
          <w:sz w:val="22"/>
          <w:szCs w:val="22"/>
          <w:lang w:val="en-GB"/>
        </w:rPr>
        <w:t xml:space="preserve">s the international jurisdiction between different members of the EU, the </w:t>
      </w:r>
      <w:r w:rsidR="00DC1A24">
        <w:rPr>
          <w:rFonts w:ascii="Arial" w:hAnsi="Arial" w:cs="Arial"/>
          <w:color w:val="7B7B7B" w:themeColor="accent3" w:themeShade="BF"/>
          <w:sz w:val="22"/>
          <w:szCs w:val="22"/>
          <w:lang w:val="en-GB"/>
        </w:rPr>
        <w:t>European Insolvency Regulation Recast</w:t>
      </w:r>
      <w:r w:rsidR="00DC1A24">
        <w:rPr>
          <w:rFonts w:ascii="Arial" w:hAnsi="Arial" w:cs="Arial"/>
          <w:color w:val="7B7B7B" w:themeColor="accent3" w:themeShade="BF"/>
          <w:sz w:val="22"/>
          <w:szCs w:val="22"/>
          <w:lang w:val="en-GB"/>
        </w:rPr>
        <w:t xml:space="preserve"> is applicable here.</w:t>
      </w:r>
    </w:p>
    <w:p w14:paraId="7AFF1960" w14:textId="55D93099" w:rsidR="00DC1A24" w:rsidRDefault="00DC1A2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art. 3(1) of the </w:t>
      </w:r>
      <w:r>
        <w:rPr>
          <w:rFonts w:ascii="Arial" w:hAnsi="Arial" w:cs="Arial"/>
          <w:color w:val="7B7B7B" w:themeColor="accent3" w:themeShade="BF"/>
          <w:sz w:val="22"/>
          <w:szCs w:val="22"/>
          <w:lang w:val="en-GB"/>
        </w:rPr>
        <w:t>European Insolvency Regulation Recast</w:t>
      </w:r>
      <w:r>
        <w:rPr>
          <w:rFonts w:ascii="Arial" w:hAnsi="Arial" w:cs="Arial"/>
          <w:color w:val="7B7B7B" w:themeColor="accent3" w:themeShade="BF"/>
          <w:sz w:val="22"/>
          <w:szCs w:val="22"/>
          <w:lang w:val="en-GB"/>
        </w:rPr>
        <w:t xml:space="preserve">, the courts of the Member State within the territory of which the centre of the debtor’s main interest is situated shall have jurisdiction to open main insolvency proceedings. In this case, </w:t>
      </w:r>
      <w:proofErr w:type="spellStart"/>
      <w:r>
        <w:rPr>
          <w:rFonts w:ascii="Arial" w:hAnsi="Arial" w:cs="Arial"/>
          <w:color w:val="7B7B7B" w:themeColor="accent3" w:themeShade="BF"/>
          <w:sz w:val="22"/>
          <w:szCs w:val="22"/>
          <w:lang w:val="en-GB"/>
        </w:rPr>
        <w:t>Rydell’s</w:t>
      </w:r>
      <w:proofErr w:type="spellEnd"/>
      <w:r>
        <w:rPr>
          <w:rFonts w:ascii="Arial" w:hAnsi="Arial" w:cs="Arial"/>
          <w:color w:val="7B7B7B" w:themeColor="accent3" w:themeShade="BF"/>
          <w:sz w:val="22"/>
          <w:szCs w:val="22"/>
          <w:lang w:val="en-GB"/>
        </w:rPr>
        <w:t xml:space="preserve"> centre of main interest is situated in the UK which is why main insolvency proceedings may only be opened in the UK.</w:t>
      </w:r>
    </w:p>
    <w:p w14:paraId="474C5156" w14:textId="6774B8FD" w:rsidR="00DC1A24" w:rsidRDefault="00DC1A2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art. 3(2) of the </w:t>
      </w:r>
      <w:r>
        <w:rPr>
          <w:rFonts w:ascii="Arial" w:hAnsi="Arial" w:cs="Arial"/>
          <w:color w:val="7B7B7B" w:themeColor="accent3" w:themeShade="BF"/>
          <w:sz w:val="22"/>
          <w:szCs w:val="22"/>
          <w:lang w:val="en-GB"/>
        </w:rPr>
        <w:t>European Insolvency Regulation Recast</w:t>
      </w:r>
      <w:r>
        <w:rPr>
          <w:rFonts w:ascii="Arial" w:hAnsi="Arial" w:cs="Arial"/>
          <w:color w:val="7B7B7B" w:themeColor="accent3" w:themeShade="BF"/>
          <w:sz w:val="22"/>
          <w:szCs w:val="22"/>
          <w:lang w:val="en-GB"/>
        </w:rPr>
        <w:t>, where the centre of the debtor’s main interests is situated within the territory of a Member State, the courts of another Member State shall have jurisdiction to open insolvency proceedings against that debtor only if it possesses an establishment within the territory of that other Member State. The effects of those proceedings shall be restricted to the assets of the debtor situated in the territory of the latter Member State.</w:t>
      </w:r>
    </w:p>
    <w:p w14:paraId="1CB85A81" w14:textId="23EA6FF8" w:rsidR="00DC1A24" w:rsidRDefault="00DC1A2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art. 2(10) of the </w:t>
      </w:r>
      <w:r>
        <w:rPr>
          <w:rFonts w:ascii="Arial" w:hAnsi="Arial" w:cs="Arial"/>
          <w:color w:val="7B7B7B" w:themeColor="accent3" w:themeShade="BF"/>
          <w:sz w:val="22"/>
          <w:szCs w:val="22"/>
          <w:lang w:val="en-GB"/>
        </w:rPr>
        <w:t>European Insolvency Regulation Recast</w:t>
      </w:r>
      <w:r>
        <w:rPr>
          <w:rFonts w:ascii="Arial" w:hAnsi="Arial" w:cs="Arial"/>
          <w:color w:val="7B7B7B" w:themeColor="accent3" w:themeShade="BF"/>
          <w:sz w:val="22"/>
          <w:szCs w:val="22"/>
          <w:lang w:val="en-GB"/>
        </w:rPr>
        <w:t>, “establishment” means any place of operations where a debtor carries out or has carried out in the 3-month period prior to the request to open main insolvency proceedings a non-transitory economic activity with human means and assets.</w:t>
      </w:r>
    </w:p>
    <w:p w14:paraId="33B112F4" w14:textId="413FE56F" w:rsidR="00B22979" w:rsidRDefault="00B2297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Hence, secondary insolvency proceedings may be only opened in other countries of the EU based on art. 3(2) of the </w:t>
      </w:r>
      <w:r>
        <w:rPr>
          <w:rFonts w:ascii="Arial" w:hAnsi="Arial" w:cs="Arial"/>
          <w:color w:val="7B7B7B" w:themeColor="accent3" w:themeShade="BF"/>
          <w:sz w:val="22"/>
          <w:szCs w:val="22"/>
          <w:lang w:val="en-GB"/>
        </w:rPr>
        <w:t>European Insolvency Regulation Recast</w:t>
      </w:r>
      <w:r>
        <w:rPr>
          <w:rFonts w:ascii="Arial" w:hAnsi="Arial" w:cs="Arial"/>
          <w:color w:val="7B7B7B" w:themeColor="accent3" w:themeShade="BF"/>
          <w:sz w:val="22"/>
          <w:szCs w:val="22"/>
          <w:lang w:val="en-GB"/>
        </w:rPr>
        <w:t xml:space="preserve"> by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where </w:t>
      </w:r>
      <w:proofErr w:type="spellStart"/>
      <w:r>
        <w:rPr>
          <w:rFonts w:ascii="Arial" w:hAnsi="Arial" w:cs="Arial"/>
          <w:color w:val="7B7B7B" w:themeColor="accent3" w:themeShade="BF"/>
          <w:sz w:val="22"/>
          <w:szCs w:val="22"/>
          <w:lang w:val="en-GB"/>
        </w:rPr>
        <w:t>Rydell</w:t>
      </w:r>
      <w:proofErr w:type="spellEnd"/>
      <w:r>
        <w:rPr>
          <w:rFonts w:ascii="Arial" w:hAnsi="Arial" w:cs="Arial"/>
          <w:color w:val="7B7B7B" w:themeColor="accent3" w:themeShade="BF"/>
          <w:sz w:val="22"/>
          <w:szCs w:val="22"/>
          <w:lang w:val="en-GB"/>
        </w:rPr>
        <w:t xml:space="preserve"> possessed an establishment. To advice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in this regard, I would need to know where </w:t>
      </w:r>
      <w:proofErr w:type="spellStart"/>
      <w:r>
        <w:rPr>
          <w:rFonts w:ascii="Arial" w:hAnsi="Arial" w:cs="Arial"/>
          <w:color w:val="7B7B7B" w:themeColor="accent3" w:themeShade="BF"/>
          <w:sz w:val="22"/>
          <w:szCs w:val="22"/>
          <w:lang w:val="en-GB"/>
        </w:rPr>
        <w:t>Rydell</w:t>
      </w:r>
      <w:proofErr w:type="spellEnd"/>
      <w:r>
        <w:rPr>
          <w:rFonts w:ascii="Arial" w:hAnsi="Arial" w:cs="Arial"/>
          <w:color w:val="7B7B7B" w:themeColor="accent3" w:themeShade="BF"/>
          <w:sz w:val="22"/>
          <w:szCs w:val="22"/>
          <w:lang w:val="en-GB"/>
        </w:rPr>
        <w:t xml:space="preserve"> possessed establishments in the meaning of art. 2(10) of the </w:t>
      </w:r>
      <w:r>
        <w:rPr>
          <w:rFonts w:ascii="Arial" w:hAnsi="Arial" w:cs="Arial"/>
          <w:color w:val="7B7B7B" w:themeColor="accent3" w:themeShade="BF"/>
          <w:sz w:val="22"/>
          <w:szCs w:val="22"/>
          <w:lang w:val="en-GB"/>
        </w:rPr>
        <w:t>European Insolvency Regulation Recast</w:t>
      </w:r>
      <w:r>
        <w:rPr>
          <w:rFonts w:ascii="Arial" w:hAnsi="Arial" w:cs="Arial"/>
          <w:color w:val="7B7B7B" w:themeColor="accent3" w:themeShade="BF"/>
          <w:sz w:val="22"/>
          <w:szCs w:val="22"/>
          <w:lang w:val="en-GB"/>
        </w:rPr>
        <w:t>.</w:t>
      </w:r>
    </w:p>
    <w:p w14:paraId="6E0B8F75" w14:textId="77777777" w:rsidR="00B778CC" w:rsidRPr="00205B31" w:rsidRDefault="00B778CC" w:rsidP="00B7193E">
      <w:pPr>
        <w:jc w:val="both"/>
        <w:rPr>
          <w:rFonts w:ascii="Arial" w:hAnsi="Arial" w:cs="Arial"/>
          <w:sz w:val="22"/>
          <w:szCs w:val="22"/>
          <w:lang w:val="en-GB"/>
        </w:rPr>
      </w:pP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2F738B15" w:rsidR="00015EE6" w:rsidRDefault="00BD038E"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June 2021, the UK was not a member of the EU anymore and the </w:t>
      </w:r>
      <w:r>
        <w:rPr>
          <w:rFonts w:ascii="Arial" w:hAnsi="Arial" w:cs="Arial"/>
          <w:color w:val="7B7B7B" w:themeColor="accent3" w:themeShade="BF"/>
          <w:sz w:val="22"/>
          <w:szCs w:val="22"/>
          <w:lang w:val="en-GB"/>
        </w:rPr>
        <w:t>European Insolvency Regulation Recast</w:t>
      </w:r>
      <w:r>
        <w:rPr>
          <w:rFonts w:ascii="Arial" w:hAnsi="Arial" w:cs="Arial"/>
          <w:color w:val="7B7B7B" w:themeColor="accent3" w:themeShade="BF"/>
          <w:sz w:val="22"/>
          <w:szCs w:val="22"/>
          <w:lang w:val="en-GB"/>
        </w:rPr>
        <w:t xml:space="preserve"> was not applicable in the UK anymore.</w:t>
      </w:r>
    </w:p>
    <w:p w14:paraId="6B3A40D6" w14:textId="2874F0D9" w:rsidR="001D2573" w:rsidRDefault="001D2573"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the question if insolvency proceedings may be opened in another EU Member-State is governed by the international insolvency laws of each individual EU Member-State. A decisive question in this context would be if the proceedings in the UK can be recognised in the individual EU Member-States.</w:t>
      </w:r>
    </w:p>
    <w:p w14:paraId="4B87AFE4" w14:textId="77777777" w:rsidR="00BD038E" w:rsidRPr="00205B31" w:rsidRDefault="00BD038E" w:rsidP="00C45A03">
      <w:pPr>
        <w:jc w:val="both"/>
        <w:rPr>
          <w:rFonts w:ascii="Arial" w:hAnsi="Arial" w:cs="Arial"/>
          <w:sz w:val="22"/>
          <w:szCs w:val="22"/>
          <w:lang w:val="en-GB"/>
        </w:rPr>
      </w:pP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w:t>
      </w:r>
      <w:proofErr w:type="spellStart"/>
      <w:r w:rsidRPr="00205B31">
        <w:rPr>
          <w:rFonts w:ascii="Arial" w:hAnsi="Arial" w:cs="Arial"/>
          <w:sz w:val="22"/>
          <w:szCs w:val="22"/>
          <w:lang w:val="en-GB"/>
        </w:rPr>
        <w:t>Rydell</w:t>
      </w:r>
      <w:proofErr w:type="spellEnd"/>
      <w:r w:rsidRPr="00205B31">
        <w:rPr>
          <w:rFonts w:ascii="Arial" w:hAnsi="Arial" w:cs="Arial"/>
          <w:sz w:val="22"/>
          <w:szCs w:val="22"/>
          <w:lang w:val="en-GB"/>
        </w:rPr>
        <w:t xml:space="preserve">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0923014B" w:rsidR="00015EE6" w:rsidRDefault="00222D12" w:rsidP="00015EE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The winding-up of unregistered companies in the UK is governed by section 221 Insolvency Act 1986. According to section 221(5) of the </w:t>
      </w:r>
      <w:r>
        <w:rPr>
          <w:rFonts w:ascii="Arial" w:hAnsi="Arial" w:cs="Arial"/>
          <w:sz w:val="22"/>
          <w:szCs w:val="22"/>
          <w:lang w:val="en-GB"/>
        </w:rPr>
        <w:t>Insolvency Act 1986</w:t>
      </w:r>
      <w:r>
        <w:rPr>
          <w:rFonts w:ascii="Arial" w:hAnsi="Arial" w:cs="Arial"/>
          <w:sz w:val="22"/>
          <w:szCs w:val="22"/>
          <w:lang w:val="en-GB"/>
        </w:rPr>
        <w:t>, an unregistered company may be wound in the UK under the following circumstances:</w:t>
      </w:r>
    </w:p>
    <w:p w14:paraId="395C6C5A" w14:textId="77777777" w:rsidR="00222D12" w:rsidRDefault="00222D12" w:rsidP="00015EE6">
      <w:pPr>
        <w:autoSpaceDE w:val="0"/>
        <w:autoSpaceDN w:val="0"/>
        <w:adjustRightInd w:val="0"/>
        <w:spacing w:line="276" w:lineRule="auto"/>
        <w:jc w:val="both"/>
        <w:rPr>
          <w:rFonts w:ascii="Arial" w:hAnsi="Arial" w:cs="Arial"/>
          <w:sz w:val="22"/>
          <w:szCs w:val="22"/>
          <w:lang w:val="en-GB"/>
        </w:rPr>
      </w:pPr>
    </w:p>
    <w:p w14:paraId="64A414A6" w14:textId="3194EEA8" w:rsidR="00222D12" w:rsidRPr="00222D12" w:rsidRDefault="00222D12" w:rsidP="00222D12">
      <w:pPr>
        <w:pStyle w:val="ListParagraph"/>
        <w:numPr>
          <w:ilvl w:val="0"/>
          <w:numId w:val="21"/>
        </w:numPr>
        <w:autoSpaceDE w:val="0"/>
        <w:autoSpaceDN w:val="0"/>
        <w:adjustRightInd w:val="0"/>
        <w:spacing w:line="276" w:lineRule="auto"/>
        <w:jc w:val="both"/>
        <w:rPr>
          <w:rFonts w:ascii="Arial" w:hAnsi="Arial" w:cs="Arial"/>
          <w:sz w:val="22"/>
          <w:szCs w:val="22"/>
          <w:lang w:val="en-GB"/>
        </w:rPr>
      </w:pPr>
      <w:r w:rsidRPr="00222D12">
        <w:rPr>
          <w:rFonts w:ascii="Arial" w:hAnsi="Arial" w:cs="Arial"/>
          <w:sz w:val="22"/>
          <w:szCs w:val="22"/>
          <w:lang w:val="en-GB"/>
        </w:rPr>
        <w:t>if the company is dissolved, or has ceased to carry on business, or is carrying on business only for the purpose of winding up its affairs;</w:t>
      </w:r>
    </w:p>
    <w:p w14:paraId="2A9DA231" w14:textId="10F03F49" w:rsidR="00222D12" w:rsidRPr="00222D12" w:rsidRDefault="00222D12" w:rsidP="00222D12">
      <w:pPr>
        <w:pStyle w:val="ListParagraph"/>
        <w:numPr>
          <w:ilvl w:val="0"/>
          <w:numId w:val="21"/>
        </w:numPr>
        <w:autoSpaceDE w:val="0"/>
        <w:autoSpaceDN w:val="0"/>
        <w:adjustRightInd w:val="0"/>
        <w:spacing w:line="276" w:lineRule="auto"/>
        <w:jc w:val="both"/>
        <w:rPr>
          <w:rFonts w:ascii="Arial" w:hAnsi="Arial" w:cs="Arial"/>
          <w:sz w:val="22"/>
          <w:szCs w:val="22"/>
          <w:lang w:val="en-GB"/>
        </w:rPr>
      </w:pPr>
      <w:r w:rsidRPr="00222D12">
        <w:rPr>
          <w:rFonts w:ascii="Arial" w:hAnsi="Arial" w:cs="Arial"/>
          <w:sz w:val="22"/>
          <w:szCs w:val="22"/>
          <w:lang w:val="en-GB"/>
        </w:rPr>
        <w:t>if the company is unable to pay its debts;</w:t>
      </w:r>
    </w:p>
    <w:p w14:paraId="3544E922" w14:textId="1EF4A8D5" w:rsidR="00222D12" w:rsidRDefault="00222D12" w:rsidP="00222D12">
      <w:pPr>
        <w:pStyle w:val="ListParagraph"/>
        <w:numPr>
          <w:ilvl w:val="0"/>
          <w:numId w:val="21"/>
        </w:numPr>
        <w:autoSpaceDE w:val="0"/>
        <w:autoSpaceDN w:val="0"/>
        <w:adjustRightInd w:val="0"/>
        <w:spacing w:line="276" w:lineRule="auto"/>
        <w:jc w:val="both"/>
        <w:rPr>
          <w:rFonts w:ascii="Arial" w:hAnsi="Arial" w:cs="Arial"/>
          <w:sz w:val="22"/>
          <w:szCs w:val="22"/>
          <w:lang w:val="en-GB"/>
        </w:rPr>
      </w:pPr>
      <w:proofErr w:type="gramStart"/>
      <w:r w:rsidRPr="00222D12">
        <w:rPr>
          <w:rFonts w:ascii="Arial" w:hAnsi="Arial" w:cs="Arial"/>
          <w:sz w:val="22"/>
          <w:szCs w:val="22"/>
          <w:lang w:val="en-GB"/>
        </w:rPr>
        <w:t>if</w:t>
      </w:r>
      <w:proofErr w:type="gramEnd"/>
      <w:r w:rsidRPr="00222D12">
        <w:rPr>
          <w:rFonts w:ascii="Arial" w:hAnsi="Arial" w:cs="Arial"/>
          <w:sz w:val="22"/>
          <w:szCs w:val="22"/>
          <w:lang w:val="en-GB"/>
        </w:rPr>
        <w:t xml:space="preserve"> the court is of opinion that it is just and equitable that the company should be wound up.</w:t>
      </w:r>
    </w:p>
    <w:p w14:paraId="6BB89ED2" w14:textId="77777777" w:rsidR="00222D12" w:rsidRDefault="00222D12" w:rsidP="00222D12">
      <w:pPr>
        <w:autoSpaceDE w:val="0"/>
        <w:autoSpaceDN w:val="0"/>
        <w:adjustRightInd w:val="0"/>
        <w:spacing w:line="276" w:lineRule="auto"/>
        <w:jc w:val="both"/>
        <w:rPr>
          <w:rFonts w:ascii="Arial" w:hAnsi="Arial" w:cs="Arial"/>
          <w:sz w:val="22"/>
          <w:szCs w:val="22"/>
          <w:lang w:val="en-GB"/>
        </w:rPr>
      </w:pPr>
    </w:p>
    <w:p w14:paraId="58CBF822" w14:textId="779E0158" w:rsidR="00222D12" w:rsidRDefault="00222D12" w:rsidP="00222D12">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Additionally, the English courts </w:t>
      </w:r>
      <w:r w:rsidR="00E44DAC">
        <w:rPr>
          <w:rFonts w:ascii="Arial" w:hAnsi="Arial" w:cs="Arial"/>
          <w:sz w:val="22"/>
          <w:szCs w:val="22"/>
          <w:lang w:val="en-GB"/>
        </w:rPr>
        <w:t xml:space="preserve">consider </w:t>
      </w:r>
      <w:r>
        <w:rPr>
          <w:rFonts w:ascii="Arial" w:hAnsi="Arial" w:cs="Arial"/>
          <w:sz w:val="22"/>
          <w:szCs w:val="22"/>
          <w:lang w:val="en-GB"/>
        </w:rPr>
        <w:t xml:space="preserve">the following three core requirements </w:t>
      </w:r>
      <w:r w:rsidR="00E44DAC">
        <w:rPr>
          <w:rFonts w:ascii="Arial" w:hAnsi="Arial" w:cs="Arial"/>
          <w:sz w:val="22"/>
          <w:szCs w:val="22"/>
          <w:lang w:val="en-GB"/>
        </w:rPr>
        <w:t>for the winding-up of an unregistered company</w:t>
      </w:r>
      <w:r>
        <w:rPr>
          <w:rFonts w:ascii="Arial" w:hAnsi="Arial" w:cs="Arial"/>
          <w:sz w:val="22"/>
          <w:szCs w:val="22"/>
          <w:lang w:val="en-GB"/>
        </w:rPr>
        <w:t>:</w:t>
      </w:r>
    </w:p>
    <w:p w14:paraId="353638EC" w14:textId="77777777" w:rsidR="00222D12" w:rsidRDefault="00222D12" w:rsidP="00222D12">
      <w:pPr>
        <w:autoSpaceDE w:val="0"/>
        <w:autoSpaceDN w:val="0"/>
        <w:adjustRightInd w:val="0"/>
        <w:spacing w:line="276" w:lineRule="auto"/>
        <w:jc w:val="both"/>
        <w:rPr>
          <w:rFonts w:ascii="Arial" w:hAnsi="Arial" w:cs="Arial"/>
          <w:sz w:val="22"/>
          <w:szCs w:val="22"/>
          <w:lang w:val="en-GB"/>
        </w:rPr>
      </w:pPr>
    </w:p>
    <w:p w14:paraId="38E92107" w14:textId="0303B4F7" w:rsidR="00222D12" w:rsidRDefault="00E44DAC" w:rsidP="00222D12">
      <w:pPr>
        <w:pStyle w:val="ListParagraph"/>
        <w:numPr>
          <w:ilvl w:val="0"/>
          <w:numId w:val="22"/>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There must be as sufficient connection with England and Wales which may, but does not necessarily have to, consist of assets within the jurisdiction;</w:t>
      </w:r>
    </w:p>
    <w:p w14:paraId="1C853594" w14:textId="430C3293" w:rsidR="00E44DAC" w:rsidRDefault="00E44DAC" w:rsidP="00222D12">
      <w:pPr>
        <w:pStyle w:val="ListParagraph"/>
        <w:numPr>
          <w:ilvl w:val="0"/>
          <w:numId w:val="22"/>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There must be a reasonable possibility, if a winding-up order is made, of benefit to those applying for a winding-up order;</w:t>
      </w:r>
    </w:p>
    <w:p w14:paraId="5F059774" w14:textId="36BD2A44" w:rsidR="0077498C" w:rsidRPr="00E44DAC" w:rsidRDefault="00E44DAC" w:rsidP="00B7193E">
      <w:pPr>
        <w:pStyle w:val="ListParagraph"/>
        <w:numPr>
          <w:ilvl w:val="0"/>
          <w:numId w:val="22"/>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One or more persons interested in the distribution of assets of the company must be persons over whom the court can exercise jurisdiction.</w:t>
      </w:r>
    </w:p>
    <w:p w14:paraId="0B1643A6" w14:textId="77777777" w:rsidR="0077498C" w:rsidRPr="00205B31" w:rsidRDefault="0077498C" w:rsidP="00B7193E">
      <w:pPr>
        <w:jc w:val="both"/>
        <w:rPr>
          <w:rFonts w:ascii="Arial" w:hAnsi="Arial" w:cs="Arial"/>
          <w:color w:val="000000" w:themeColor="text1"/>
          <w:sz w:val="22"/>
          <w:szCs w:val="22"/>
          <w:lang w:val="en-GB"/>
        </w:rPr>
      </w:pPr>
    </w:p>
    <w:p w14:paraId="0412FBE7" w14:textId="2EB90D24" w:rsidR="001E23FD" w:rsidRPr="00E44DAC" w:rsidRDefault="00C606C3" w:rsidP="00E44DA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bookmarkStart w:id="6" w:name="_GoBack"/>
      <w:bookmarkEnd w:id="6"/>
    </w:p>
    <w:sectPr w:rsidR="001E23FD" w:rsidRPr="00E44DAC"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FF97C" w14:textId="77777777" w:rsidR="00641B2E" w:rsidRDefault="00641B2E" w:rsidP="00241B44">
      <w:r>
        <w:separator/>
      </w:r>
    </w:p>
  </w:endnote>
  <w:endnote w:type="continuationSeparator" w:id="0">
    <w:p w14:paraId="66124E5B" w14:textId="77777777" w:rsidR="00641B2E" w:rsidRDefault="00641B2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E44DAC">
          <w:rPr>
            <w:rStyle w:val="PageNumber"/>
            <w:rFonts w:ascii="Arial" w:hAnsi="Arial" w:cs="Arial"/>
            <w:b/>
            <w:bCs/>
            <w:noProof/>
            <w:sz w:val="18"/>
            <w:szCs w:val="18"/>
          </w:rPr>
          <w:t>11</w:t>
        </w:r>
        <w:r w:rsidRPr="00C50F86">
          <w:rPr>
            <w:rStyle w:val="PageNumber"/>
            <w:rFonts w:ascii="Arial" w:hAnsi="Arial" w:cs="Arial"/>
            <w:b/>
            <w:bCs/>
            <w:sz w:val="18"/>
            <w:szCs w:val="18"/>
          </w:rPr>
          <w:fldChar w:fldCharType="end"/>
        </w:r>
      </w:p>
    </w:sdtContent>
  </w:sdt>
  <w:p w14:paraId="12ABA5E1" w14:textId="520174BA" w:rsidR="006E1CB0" w:rsidRPr="0052732A" w:rsidRDefault="00417513" w:rsidP="0052732A">
    <w:pPr>
      <w:pStyle w:val="Footer"/>
      <w:ind w:right="360"/>
      <w:rPr>
        <w:rFonts w:ascii="Arial" w:hAnsi="Arial" w:cs="Arial"/>
        <w:sz w:val="18"/>
        <w:szCs w:val="18"/>
      </w:rPr>
    </w:pPr>
    <w:r>
      <w:rPr>
        <w:rFonts w:ascii="Arial" w:hAnsi="Arial" w:cs="Arial"/>
        <w:sz w:val="18"/>
        <w:szCs w:val="18"/>
      </w:rPr>
      <w:t>202122-368</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FBED9" w14:textId="77777777" w:rsidR="00641B2E" w:rsidRDefault="00641B2E" w:rsidP="00241B44">
      <w:r>
        <w:separator/>
      </w:r>
    </w:p>
  </w:footnote>
  <w:footnote w:type="continuationSeparator" w:id="0">
    <w:p w14:paraId="643FCD53" w14:textId="77777777" w:rsidR="00641B2E" w:rsidRDefault="00641B2E"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A1DF8"/>
    <w:multiLevelType w:val="hybridMultilevel"/>
    <w:tmpl w:val="EA127D32"/>
    <w:lvl w:ilvl="0" w:tplc="B2726646">
      <w:start w:val="1"/>
      <w:numFmt w:val="decimal"/>
      <w:lvlText w:val="%1."/>
      <w:lvlJc w:val="left"/>
      <w:pPr>
        <w:ind w:left="720" w:hanging="360"/>
      </w:pPr>
      <w:rPr>
        <w:rFonts w:hint="default"/>
        <w:color w:val="7B7B7B" w:themeColor="accent3" w:themeShade="BF"/>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F5F471A"/>
    <w:multiLevelType w:val="hybridMultilevel"/>
    <w:tmpl w:val="CF9AEE9A"/>
    <w:lvl w:ilvl="0" w:tplc="450C2A80">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F7711CE"/>
    <w:multiLevelType w:val="hybridMultilevel"/>
    <w:tmpl w:val="FE96770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29C159C"/>
    <w:multiLevelType w:val="hybridMultilevel"/>
    <w:tmpl w:val="8A964362"/>
    <w:lvl w:ilvl="0" w:tplc="DCE2687A">
      <w:start w:val="1"/>
      <w:numFmt w:val="decimal"/>
      <w:lvlText w:val="%1)"/>
      <w:lvlJc w:val="left"/>
      <w:pPr>
        <w:ind w:left="720" w:hanging="360"/>
      </w:pPr>
      <w:rPr>
        <w:rFonts w:hint="default"/>
        <w:color w:val="7B7B7B" w:themeColor="accent3" w:themeShade="BF"/>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0E67F2"/>
    <w:multiLevelType w:val="hybridMultilevel"/>
    <w:tmpl w:val="DE68E6F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7" w15:restartNumberingAfterBreak="0">
    <w:nsid w:val="5A843769"/>
    <w:multiLevelType w:val="hybridMultilevel"/>
    <w:tmpl w:val="6232959C"/>
    <w:lvl w:ilvl="0" w:tplc="EB1EA5C0">
      <w:start w:val="1"/>
      <w:numFmt w:val="decimal"/>
      <w:lvlText w:val="%1."/>
      <w:lvlJc w:val="left"/>
      <w:pPr>
        <w:ind w:left="720" w:hanging="360"/>
      </w:pPr>
      <w:rPr>
        <w:rFonts w:hint="default"/>
        <w:color w:val="7B7B7B" w:themeColor="accent3" w:themeShade="BF"/>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1"/>
  </w:num>
  <w:num w:numId="2">
    <w:abstractNumId w:val="12"/>
  </w:num>
  <w:num w:numId="3">
    <w:abstractNumId w:val="21"/>
  </w:num>
  <w:num w:numId="4">
    <w:abstractNumId w:val="6"/>
  </w:num>
  <w:num w:numId="5">
    <w:abstractNumId w:val="2"/>
  </w:num>
  <w:num w:numId="6">
    <w:abstractNumId w:val="19"/>
  </w:num>
  <w:num w:numId="7">
    <w:abstractNumId w:val="4"/>
  </w:num>
  <w:num w:numId="8">
    <w:abstractNumId w:val="1"/>
  </w:num>
  <w:num w:numId="9">
    <w:abstractNumId w:val="0"/>
  </w:num>
  <w:num w:numId="10">
    <w:abstractNumId w:val="7"/>
  </w:num>
  <w:num w:numId="11">
    <w:abstractNumId w:val="14"/>
  </w:num>
  <w:num w:numId="12">
    <w:abstractNumId w:val="20"/>
  </w:num>
  <w:num w:numId="13">
    <w:abstractNumId w:val="16"/>
  </w:num>
  <w:num w:numId="14">
    <w:abstractNumId w:val="9"/>
  </w:num>
  <w:num w:numId="15">
    <w:abstractNumId w:val="13"/>
  </w:num>
  <w:num w:numId="16">
    <w:abstractNumId w:val="18"/>
  </w:num>
  <w:num w:numId="17">
    <w:abstractNumId w:val="3"/>
  </w:num>
  <w:num w:numId="18">
    <w:abstractNumId w:val="17"/>
  </w:num>
  <w:num w:numId="19">
    <w:abstractNumId w:val="10"/>
  </w:num>
  <w:num w:numId="20">
    <w:abstractNumId w:val="15"/>
  </w:num>
  <w:num w:numId="21">
    <w:abstractNumId w:val="5"/>
  </w:num>
  <w:num w:numId="2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29F5"/>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936"/>
    <w:rsid w:val="001D1BF7"/>
    <w:rsid w:val="001D2573"/>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11E0"/>
    <w:rsid w:val="00212B14"/>
    <w:rsid w:val="00216499"/>
    <w:rsid w:val="002164C0"/>
    <w:rsid w:val="00216CB4"/>
    <w:rsid w:val="002173C5"/>
    <w:rsid w:val="002178EA"/>
    <w:rsid w:val="00222D12"/>
    <w:rsid w:val="00223780"/>
    <w:rsid w:val="0022719C"/>
    <w:rsid w:val="002362AB"/>
    <w:rsid w:val="002400DB"/>
    <w:rsid w:val="002406A4"/>
    <w:rsid w:val="0024116D"/>
    <w:rsid w:val="00241B44"/>
    <w:rsid w:val="00245EFB"/>
    <w:rsid w:val="002529D2"/>
    <w:rsid w:val="0025386E"/>
    <w:rsid w:val="002638B0"/>
    <w:rsid w:val="00263FB6"/>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167D"/>
    <w:rsid w:val="002E37B7"/>
    <w:rsid w:val="002E4A02"/>
    <w:rsid w:val="002E4A1F"/>
    <w:rsid w:val="002E66F4"/>
    <w:rsid w:val="002F1956"/>
    <w:rsid w:val="002F2B8D"/>
    <w:rsid w:val="002F3440"/>
    <w:rsid w:val="002F3B17"/>
    <w:rsid w:val="002F5DD8"/>
    <w:rsid w:val="002F601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15BF"/>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2955"/>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17513"/>
    <w:rsid w:val="0042108F"/>
    <w:rsid w:val="004214D4"/>
    <w:rsid w:val="00426969"/>
    <w:rsid w:val="00426B64"/>
    <w:rsid w:val="00430FED"/>
    <w:rsid w:val="00434A8C"/>
    <w:rsid w:val="00437297"/>
    <w:rsid w:val="00437ABE"/>
    <w:rsid w:val="00440AC5"/>
    <w:rsid w:val="00444284"/>
    <w:rsid w:val="004442F1"/>
    <w:rsid w:val="00445CE6"/>
    <w:rsid w:val="00447254"/>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69D"/>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295"/>
    <w:rsid w:val="00591631"/>
    <w:rsid w:val="00592E7F"/>
    <w:rsid w:val="00592F82"/>
    <w:rsid w:val="005936B3"/>
    <w:rsid w:val="005953ED"/>
    <w:rsid w:val="00595B58"/>
    <w:rsid w:val="005966E3"/>
    <w:rsid w:val="005A0CCA"/>
    <w:rsid w:val="005A2152"/>
    <w:rsid w:val="005A2194"/>
    <w:rsid w:val="005A2628"/>
    <w:rsid w:val="005A383D"/>
    <w:rsid w:val="005A5ACB"/>
    <w:rsid w:val="005A69E8"/>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E71F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057B"/>
    <w:rsid w:val="00641515"/>
    <w:rsid w:val="00641B2E"/>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2900"/>
    <w:rsid w:val="00697EA1"/>
    <w:rsid w:val="006A178F"/>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5D8"/>
    <w:rsid w:val="00704852"/>
    <w:rsid w:val="00704C24"/>
    <w:rsid w:val="007074E9"/>
    <w:rsid w:val="00707954"/>
    <w:rsid w:val="00707BC5"/>
    <w:rsid w:val="00713DA4"/>
    <w:rsid w:val="007142FA"/>
    <w:rsid w:val="00714BF1"/>
    <w:rsid w:val="0072013E"/>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5EE9"/>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1B42"/>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5C1A"/>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5724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C69B6"/>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E5790"/>
    <w:rsid w:val="00AF228E"/>
    <w:rsid w:val="00AF455B"/>
    <w:rsid w:val="00B0123F"/>
    <w:rsid w:val="00B04004"/>
    <w:rsid w:val="00B11808"/>
    <w:rsid w:val="00B14819"/>
    <w:rsid w:val="00B17AA9"/>
    <w:rsid w:val="00B221FF"/>
    <w:rsid w:val="00B22979"/>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778CC"/>
    <w:rsid w:val="00B82586"/>
    <w:rsid w:val="00B829A3"/>
    <w:rsid w:val="00B86537"/>
    <w:rsid w:val="00B86DB1"/>
    <w:rsid w:val="00B87869"/>
    <w:rsid w:val="00B87A61"/>
    <w:rsid w:val="00B92D5B"/>
    <w:rsid w:val="00B9417E"/>
    <w:rsid w:val="00BA1648"/>
    <w:rsid w:val="00BA2637"/>
    <w:rsid w:val="00BA35FF"/>
    <w:rsid w:val="00BA3B88"/>
    <w:rsid w:val="00BB09FD"/>
    <w:rsid w:val="00BB0F2B"/>
    <w:rsid w:val="00BB5A37"/>
    <w:rsid w:val="00BB6955"/>
    <w:rsid w:val="00BB6F7A"/>
    <w:rsid w:val="00BC48EB"/>
    <w:rsid w:val="00BC585F"/>
    <w:rsid w:val="00BC5D7D"/>
    <w:rsid w:val="00BD0299"/>
    <w:rsid w:val="00BD038E"/>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4D29"/>
    <w:rsid w:val="00C750BA"/>
    <w:rsid w:val="00C7736C"/>
    <w:rsid w:val="00C80272"/>
    <w:rsid w:val="00C82D87"/>
    <w:rsid w:val="00C84662"/>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0F19"/>
    <w:rsid w:val="00D068C5"/>
    <w:rsid w:val="00D07F87"/>
    <w:rsid w:val="00D148DC"/>
    <w:rsid w:val="00D1688E"/>
    <w:rsid w:val="00D17FDC"/>
    <w:rsid w:val="00D223E4"/>
    <w:rsid w:val="00D256C6"/>
    <w:rsid w:val="00D25F51"/>
    <w:rsid w:val="00D35229"/>
    <w:rsid w:val="00D35ADE"/>
    <w:rsid w:val="00D35EAE"/>
    <w:rsid w:val="00D3641B"/>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1A24"/>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4DAC"/>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757"/>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A6D36"/>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40D7"/>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AB3C3B-78BE-425C-96D5-807D8C19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3926</Words>
  <Characters>24734</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Christian Rigert</cp:lastModifiedBy>
  <cp:revision>21</cp:revision>
  <cp:lastPrinted>2020-06-12T02:43:00Z</cp:lastPrinted>
  <dcterms:created xsi:type="dcterms:W3CDTF">2021-10-31T08:54:00Z</dcterms:created>
  <dcterms:modified xsi:type="dcterms:W3CDTF">2021-11-13T15:15:00Z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