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523053A6" w:rsidR="004B23A2" w:rsidRDefault="00367162"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tr-TR" w:eastAsia="tr-TR"/>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w:t>
      </w:r>
      <w:proofErr w:type="gramStart"/>
      <w:r w:rsidR="0011473D" w:rsidRPr="00205B31">
        <w:rPr>
          <w:rFonts w:ascii="Arial" w:hAnsi="Arial" w:cs="Arial"/>
          <w:sz w:val="22"/>
          <w:szCs w:val="22"/>
          <w:lang w:val="en-GB"/>
        </w:rPr>
        <w:t>a</w:t>
      </w:r>
      <w:proofErr w:type="gramEnd"/>
      <w:r w:rsidR="0011473D" w:rsidRPr="00205B31">
        <w:rPr>
          <w:rFonts w:ascii="Arial" w:hAnsi="Arial" w:cs="Arial"/>
          <w:sz w:val="22"/>
          <w:szCs w:val="22"/>
          <w:lang w:val="en-GB"/>
        </w:rPr>
        <w:t xml:space="preserve">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submit</w:t>
      </w:r>
      <w:proofErr w:type="gramEnd"/>
      <w:r w:rsidRPr="00205B31">
        <w:rPr>
          <w:rFonts w:ascii="Arial" w:hAnsi="Arial" w:cs="Arial"/>
          <w:sz w:val="22"/>
          <w:szCs w:val="22"/>
          <w:lang w:val="en-GB"/>
        </w:rPr>
        <w:t xml:space="preserve">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 xml:space="preserve">Please also include the filename as </w:t>
      </w:r>
      <w:proofErr w:type="gramStart"/>
      <w:r w:rsidR="00697EA1" w:rsidRPr="00205B31">
        <w:rPr>
          <w:rFonts w:ascii="Arial" w:hAnsi="Arial" w:cs="Arial"/>
          <w:b/>
          <w:sz w:val="22"/>
          <w:szCs w:val="22"/>
          <w:lang w:val="en-GB"/>
        </w:rPr>
        <w:t>a footer</w:t>
      </w:r>
      <w:proofErr w:type="gramEnd"/>
      <w:r w:rsidR="00697EA1" w:rsidRPr="00205B31">
        <w:rPr>
          <w:rFonts w:ascii="Arial" w:hAnsi="Arial" w:cs="Arial"/>
          <w:b/>
          <w:sz w:val="22"/>
          <w:szCs w:val="22"/>
          <w:lang w:val="en-GB"/>
        </w:rPr>
        <w:t xml:space="preserve">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lastRenderedPageBreak/>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proofErr w:type="gramStart"/>
      <w:r w:rsidRPr="00205B31">
        <w:rPr>
          <w:rFonts w:ascii="Arial" w:hAnsi="Arial" w:cs="Arial"/>
          <w:sz w:val="22"/>
          <w:szCs w:val="22"/>
          <w:lang w:val="en-GB"/>
        </w:rPr>
        <w:t>Questions 1.1.</w:t>
      </w:r>
      <w:proofErr w:type="gramEnd"/>
      <w:r w:rsidRPr="00205B31">
        <w:rPr>
          <w:rFonts w:ascii="Arial" w:hAnsi="Arial" w:cs="Arial"/>
          <w:sz w:val="22"/>
          <w:szCs w:val="22"/>
          <w:lang w:val="en-GB"/>
        </w:rPr>
        <w:t xml:space="preserve"> – 1.10</w:t>
      </w:r>
      <w:r w:rsidR="00341AA6" w:rsidRPr="00205B31">
        <w:rPr>
          <w:rFonts w:ascii="Arial" w:hAnsi="Arial" w:cs="Arial"/>
          <w:sz w:val="22"/>
          <w:szCs w:val="22"/>
          <w:lang w:val="en-GB"/>
        </w:rPr>
        <w:t>.</w:t>
      </w:r>
      <w:r w:rsidRPr="00205B31">
        <w:rPr>
          <w:rFonts w:ascii="Arial" w:hAnsi="Arial" w:cs="Arial"/>
          <w:sz w:val="22"/>
          <w:szCs w:val="22"/>
          <w:lang w:val="en-GB"/>
        </w:rPr>
        <w:t xml:space="preserve"> </w:t>
      </w:r>
      <w:proofErr w:type="gramStart"/>
      <w:r w:rsidRPr="00205B31">
        <w:rPr>
          <w:rFonts w:ascii="Arial" w:hAnsi="Arial" w:cs="Arial"/>
          <w:sz w:val="22"/>
          <w:szCs w:val="22"/>
          <w:lang w:val="en-GB"/>
        </w:rPr>
        <w:t>are</w:t>
      </w:r>
      <w:proofErr w:type="gramEnd"/>
      <w:r w:rsidRPr="00205B31">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eParagraf"/>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eParagraf"/>
        <w:ind w:left="426"/>
        <w:jc w:val="both"/>
        <w:rPr>
          <w:rFonts w:ascii="Arial" w:hAnsi="Arial" w:cs="Arial"/>
          <w:sz w:val="22"/>
          <w:szCs w:val="22"/>
          <w:lang w:val="en-GB"/>
        </w:rPr>
      </w:pPr>
    </w:p>
    <w:p w14:paraId="3A5379A8" w14:textId="640837BF" w:rsidR="00C60631" w:rsidRPr="00205B31" w:rsidRDefault="00C60631" w:rsidP="009D510C">
      <w:pPr>
        <w:pStyle w:val="ListeParagraf"/>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eParagraf"/>
        <w:ind w:left="426"/>
        <w:rPr>
          <w:rFonts w:ascii="Arial" w:hAnsi="Arial" w:cs="Arial"/>
          <w:sz w:val="22"/>
          <w:szCs w:val="22"/>
          <w:lang w:val="en-GB"/>
        </w:rPr>
      </w:pPr>
    </w:p>
    <w:p w14:paraId="0C8A950B" w14:textId="2BF27228" w:rsidR="00C60631" w:rsidRPr="00C17B02" w:rsidRDefault="00C60631" w:rsidP="009D510C">
      <w:pPr>
        <w:pStyle w:val="ListeParagraf"/>
        <w:numPr>
          <w:ilvl w:val="0"/>
          <w:numId w:val="12"/>
        </w:numPr>
        <w:ind w:left="426"/>
        <w:jc w:val="both"/>
        <w:rPr>
          <w:rFonts w:ascii="Arial" w:hAnsi="Arial" w:cs="Arial"/>
          <w:sz w:val="22"/>
          <w:szCs w:val="22"/>
          <w:highlight w:val="yellow"/>
          <w:lang w:val="en-GB"/>
        </w:rPr>
      </w:pPr>
      <w:r w:rsidRPr="00C17B02">
        <w:rPr>
          <w:rFonts w:ascii="Arial" w:hAnsi="Arial" w:cs="Arial"/>
          <w:sz w:val="22"/>
          <w:szCs w:val="22"/>
          <w:highlight w:val="yellow"/>
          <w:lang w:val="en-GB"/>
        </w:rPr>
        <w:t xml:space="preserve">This statement is incorrect since </w:t>
      </w:r>
      <w:r w:rsidR="00E7793C" w:rsidRPr="00C17B0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eParagraf"/>
        <w:ind w:left="426"/>
        <w:rPr>
          <w:rFonts w:ascii="Arial" w:hAnsi="Arial" w:cs="Arial"/>
          <w:sz w:val="22"/>
          <w:szCs w:val="22"/>
          <w:lang w:val="en-GB"/>
        </w:rPr>
      </w:pPr>
    </w:p>
    <w:p w14:paraId="0DCFE971" w14:textId="0AB341B1" w:rsidR="00E7793C" w:rsidRPr="00205B31" w:rsidRDefault="00E7793C" w:rsidP="009D510C">
      <w:pPr>
        <w:pStyle w:val="ListeParagraf"/>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eParagraf"/>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eParagraf"/>
        <w:ind w:left="426" w:hanging="360"/>
        <w:jc w:val="both"/>
        <w:rPr>
          <w:rFonts w:ascii="Arial" w:hAnsi="Arial" w:cs="Arial"/>
          <w:sz w:val="22"/>
          <w:szCs w:val="22"/>
          <w:lang w:val="en-GB"/>
        </w:rPr>
      </w:pPr>
    </w:p>
    <w:p w14:paraId="62B41459" w14:textId="77777777" w:rsidR="00AE027F" w:rsidRPr="00205B31" w:rsidRDefault="00E7793C" w:rsidP="009D510C">
      <w:pPr>
        <w:pStyle w:val="ListeParagraf"/>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eParagraf"/>
        <w:ind w:left="426" w:hanging="360"/>
        <w:rPr>
          <w:rFonts w:ascii="Arial" w:hAnsi="Arial" w:cs="Arial"/>
          <w:sz w:val="22"/>
          <w:szCs w:val="22"/>
          <w:lang w:val="en-GB"/>
        </w:rPr>
      </w:pPr>
    </w:p>
    <w:p w14:paraId="60F45659" w14:textId="42DF7EA5" w:rsidR="00AE027F" w:rsidRPr="00205B31" w:rsidRDefault="00AE027F" w:rsidP="009D510C">
      <w:pPr>
        <w:pStyle w:val="ListeParagraf"/>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eParagraf"/>
        <w:ind w:left="426" w:hanging="360"/>
        <w:rPr>
          <w:rFonts w:ascii="Arial" w:hAnsi="Arial" w:cs="Arial"/>
          <w:sz w:val="22"/>
          <w:szCs w:val="22"/>
          <w:lang w:val="en-GB"/>
        </w:rPr>
      </w:pPr>
    </w:p>
    <w:p w14:paraId="095097C0" w14:textId="5CFDC719" w:rsidR="00E7793C" w:rsidRPr="005B0BB9" w:rsidRDefault="00AE027F" w:rsidP="009D510C">
      <w:pPr>
        <w:pStyle w:val="ListeParagraf"/>
        <w:numPr>
          <w:ilvl w:val="0"/>
          <w:numId w:val="13"/>
        </w:numPr>
        <w:jc w:val="both"/>
        <w:rPr>
          <w:rFonts w:ascii="Arial" w:hAnsi="Arial" w:cs="Arial"/>
          <w:sz w:val="22"/>
          <w:szCs w:val="22"/>
          <w:highlight w:val="yellow"/>
          <w:lang w:val="en-GB"/>
        </w:rPr>
      </w:pPr>
      <w:r w:rsidRPr="005B0BB9">
        <w:rPr>
          <w:rFonts w:ascii="Arial" w:hAnsi="Arial" w:cs="Arial"/>
          <w:sz w:val="22"/>
          <w:szCs w:val="22"/>
          <w:highlight w:val="yellow"/>
          <w:lang w:val="en-GB"/>
        </w:rPr>
        <w:t>The statement i</w:t>
      </w:r>
      <w:r w:rsidR="006E77B0" w:rsidRPr="005B0BB9">
        <w:rPr>
          <w:rFonts w:ascii="Arial" w:hAnsi="Arial" w:cs="Arial"/>
          <w:sz w:val="22"/>
          <w:szCs w:val="22"/>
          <w:highlight w:val="yellow"/>
          <w:lang w:val="en-GB"/>
        </w:rPr>
        <w:t>s incorrect since the UK did re</w:t>
      </w:r>
      <w:r w:rsidRPr="005B0BB9">
        <w:rPr>
          <w:rFonts w:ascii="Arial" w:hAnsi="Arial" w:cs="Arial"/>
          <w:sz w:val="22"/>
          <w:szCs w:val="22"/>
          <w:highlight w:val="yellow"/>
          <w:lang w:val="en-GB"/>
        </w:rPr>
        <w:t>v</w:t>
      </w:r>
      <w:r w:rsidR="006E77B0" w:rsidRPr="005B0BB9">
        <w:rPr>
          <w:rFonts w:ascii="Arial" w:hAnsi="Arial" w:cs="Arial"/>
          <w:sz w:val="22"/>
          <w:szCs w:val="22"/>
          <w:highlight w:val="yellow"/>
          <w:lang w:val="en-GB"/>
        </w:rPr>
        <w:t>i</w:t>
      </w:r>
      <w:r w:rsidRPr="005B0BB9">
        <w:rPr>
          <w:rFonts w:ascii="Arial" w:hAnsi="Arial" w:cs="Arial"/>
          <w:sz w:val="22"/>
          <w:szCs w:val="22"/>
          <w:highlight w:val="yellow"/>
          <w:lang w:val="en-GB"/>
        </w:rPr>
        <w:t>ew parts of its insolvency rules and amended some, among</w:t>
      </w:r>
      <w:r w:rsidR="006E77B0" w:rsidRPr="005B0BB9">
        <w:rPr>
          <w:rFonts w:ascii="Arial" w:hAnsi="Arial" w:cs="Arial"/>
          <w:sz w:val="22"/>
          <w:szCs w:val="22"/>
          <w:highlight w:val="yellow"/>
          <w:lang w:val="en-GB"/>
        </w:rPr>
        <w:t>s</w:t>
      </w:r>
      <w:r w:rsidRPr="005B0BB9">
        <w:rPr>
          <w:rFonts w:ascii="Arial" w:hAnsi="Arial" w:cs="Arial"/>
          <w:sz w:val="22"/>
          <w:szCs w:val="22"/>
          <w:highlight w:val="yellow"/>
          <w:lang w:val="en-GB"/>
        </w:rPr>
        <w:t>t other</w:t>
      </w:r>
      <w:r w:rsidR="00F96AF1" w:rsidRPr="005B0BB9">
        <w:rPr>
          <w:rFonts w:ascii="Arial" w:hAnsi="Arial" w:cs="Arial"/>
          <w:sz w:val="22"/>
          <w:szCs w:val="22"/>
          <w:highlight w:val="yellow"/>
          <w:lang w:val="en-GB"/>
        </w:rPr>
        <w:t xml:space="preserve"> things</w:t>
      </w:r>
      <w:r w:rsidRPr="005B0BB9">
        <w:rPr>
          <w:rFonts w:ascii="Arial" w:hAnsi="Arial" w:cs="Arial"/>
          <w:sz w:val="22"/>
          <w:szCs w:val="22"/>
          <w:highlight w:val="yellow"/>
          <w:lang w:val="en-GB"/>
        </w:rPr>
        <w:t>, to deal with the negative economic fall out of the pandemic.</w:t>
      </w:r>
      <w:r w:rsidR="00100A77" w:rsidRPr="005B0BB9">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eParagraf"/>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eParagraf"/>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eParagraf"/>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eParagraf"/>
        <w:ind w:left="426"/>
        <w:rPr>
          <w:rFonts w:ascii="Arial" w:hAnsi="Arial" w:cs="Arial"/>
          <w:sz w:val="22"/>
          <w:szCs w:val="22"/>
          <w:lang w:val="en-GB"/>
        </w:rPr>
      </w:pPr>
    </w:p>
    <w:p w14:paraId="633F6419" w14:textId="77777777" w:rsidR="00B54F90" w:rsidRPr="00205B31" w:rsidRDefault="00B54F90" w:rsidP="009D510C">
      <w:pPr>
        <w:pStyle w:val="ListeParagraf"/>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eParagraf"/>
        <w:ind w:left="426"/>
        <w:rPr>
          <w:rFonts w:ascii="Arial" w:hAnsi="Arial" w:cs="Arial"/>
          <w:sz w:val="22"/>
          <w:szCs w:val="22"/>
          <w:lang w:val="en-GB"/>
        </w:rPr>
      </w:pPr>
    </w:p>
    <w:p w14:paraId="77ADD601" w14:textId="2D159736" w:rsidR="00B54F90" w:rsidRPr="004544C3" w:rsidRDefault="00B54F90" w:rsidP="009D510C">
      <w:pPr>
        <w:pStyle w:val="ListeParagraf"/>
        <w:numPr>
          <w:ilvl w:val="0"/>
          <w:numId w:val="14"/>
        </w:numPr>
        <w:ind w:left="426"/>
        <w:jc w:val="both"/>
        <w:rPr>
          <w:rFonts w:ascii="Arial" w:hAnsi="Arial" w:cs="Arial"/>
          <w:sz w:val="22"/>
          <w:szCs w:val="22"/>
          <w:highlight w:val="yellow"/>
          <w:lang w:val="en-GB"/>
        </w:rPr>
      </w:pPr>
      <w:r w:rsidRPr="004544C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544C3">
        <w:rPr>
          <w:rFonts w:ascii="Arial" w:hAnsi="Arial" w:cs="Arial"/>
          <w:sz w:val="22"/>
          <w:szCs w:val="22"/>
          <w:highlight w:val="yellow"/>
          <w:lang w:val="en-GB"/>
        </w:rPr>
        <w:t xml:space="preserve">on </w:t>
      </w:r>
      <w:r w:rsidRPr="004544C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eParagraf"/>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eParagraf"/>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eParagraf"/>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eParagraf"/>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4544C3" w:rsidRDefault="006E1CB0" w:rsidP="009D510C">
      <w:pPr>
        <w:pStyle w:val="ListeParagraf"/>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4544C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eParagraf"/>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eParagraf"/>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4E6365" w:rsidRDefault="00926D10" w:rsidP="009D510C">
      <w:pPr>
        <w:pStyle w:val="ListeParagraf"/>
        <w:numPr>
          <w:ilvl w:val="0"/>
          <w:numId w:val="5"/>
        </w:numPr>
        <w:ind w:left="426"/>
        <w:jc w:val="both"/>
        <w:rPr>
          <w:rFonts w:ascii="Arial" w:hAnsi="Arial" w:cs="Arial"/>
          <w:sz w:val="22"/>
          <w:szCs w:val="22"/>
          <w:highlight w:val="yellow"/>
          <w:lang w:val="en-GB"/>
        </w:rPr>
      </w:pPr>
      <w:r w:rsidRPr="004E6365">
        <w:rPr>
          <w:rFonts w:ascii="Arial" w:hAnsi="Arial" w:cs="Arial"/>
          <w:sz w:val="22"/>
          <w:szCs w:val="22"/>
          <w:highlight w:val="yellow"/>
          <w:lang w:val="en-GB"/>
        </w:rPr>
        <w:t xml:space="preserve">The statement is </w:t>
      </w:r>
      <w:r w:rsidR="006E1CB0" w:rsidRPr="004E6365">
        <w:rPr>
          <w:rFonts w:ascii="Arial" w:hAnsi="Arial" w:cs="Arial"/>
          <w:sz w:val="22"/>
          <w:szCs w:val="22"/>
          <w:highlight w:val="yellow"/>
          <w:lang w:val="en-GB"/>
        </w:rPr>
        <w:t xml:space="preserve">not </w:t>
      </w:r>
      <w:r w:rsidRPr="004E6365">
        <w:rPr>
          <w:rFonts w:ascii="Arial" w:hAnsi="Arial" w:cs="Arial"/>
          <w:sz w:val="22"/>
          <w:szCs w:val="22"/>
          <w:highlight w:val="yellow"/>
          <w:lang w:val="en-GB"/>
        </w:rPr>
        <w:t xml:space="preserve">correct </w:t>
      </w:r>
      <w:r w:rsidR="007958F0" w:rsidRPr="004E6365">
        <w:rPr>
          <w:rFonts w:ascii="Arial" w:hAnsi="Arial" w:cs="Arial"/>
          <w:sz w:val="22"/>
          <w:szCs w:val="22"/>
          <w:highlight w:val="yellow"/>
          <w:lang w:val="en-GB"/>
        </w:rPr>
        <w:t>because</w:t>
      </w:r>
      <w:r w:rsidRPr="004E6365">
        <w:rPr>
          <w:rFonts w:ascii="Arial" w:hAnsi="Arial" w:cs="Arial"/>
          <w:sz w:val="22"/>
          <w:szCs w:val="22"/>
          <w:highlight w:val="yellow"/>
          <w:lang w:val="en-GB"/>
        </w:rPr>
        <w:t xml:space="preserve"> very few </w:t>
      </w:r>
      <w:r w:rsidR="007958F0" w:rsidRPr="004E6365">
        <w:rPr>
          <w:rFonts w:ascii="Arial" w:hAnsi="Arial" w:cs="Arial"/>
          <w:sz w:val="22"/>
          <w:szCs w:val="22"/>
          <w:highlight w:val="yellow"/>
          <w:lang w:val="en-GB"/>
        </w:rPr>
        <w:t>States</w:t>
      </w:r>
      <w:r w:rsidRPr="004E6365">
        <w:rPr>
          <w:rFonts w:ascii="Arial" w:hAnsi="Arial" w:cs="Arial"/>
          <w:sz w:val="22"/>
          <w:szCs w:val="22"/>
          <w:highlight w:val="yellow"/>
          <w:lang w:val="en-GB"/>
        </w:rPr>
        <w:t xml:space="preserve"> allow insolvent estate representatives to deal with assets of a foreign debtor situated in </w:t>
      </w:r>
      <w:r w:rsidR="005936B3" w:rsidRPr="004E6365">
        <w:rPr>
          <w:rFonts w:ascii="Arial" w:hAnsi="Arial" w:cs="Arial"/>
          <w:sz w:val="22"/>
          <w:szCs w:val="22"/>
          <w:highlight w:val="yellow"/>
          <w:lang w:val="en-GB"/>
        </w:rPr>
        <w:t>their own</w:t>
      </w:r>
      <w:r w:rsidRPr="004E6365">
        <w:rPr>
          <w:rFonts w:ascii="Arial" w:hAnsi="Arial" w:cs="Arial"/>
          <w:sz w:val="22"/>
          <w:szCs w:val="22"/>
          <w:highlight w:val="yellow"/>
          <w:lang w:val="en-GB"/>
        </w:rPr>
        <w:t xml:space="preserve"> jurisdiction </w:t>
      </w:r>
      <w:r w:rsidRPr="004E6365">
        <w:rPr>
          <w:rFonts w:ascii="Arial" w:hAnsi="Arial" w:cs="Arial"/>
          <w:sz w:val="22"/>
          <w:szCs w:val="22"/>
          <w:highlight w:val="yellow"/>
          <w:lang w:val="en-GB"/>
        </w:rPr>
        <w:lastRenderedPageBreak/>
        <w:t xml:space="preserve">without </w:t>
      </w:r>
      <w:r w:rsidR="006E1CB0" w:rsidRPr="004E6365">
        <w:rPr>
          <w:rFonts w:ascii="Arial" w:hAnsi="Arial" w:cs="Arial"/>
          <w:sz w:val="22"/>
          <w:szCs w:val="22"/>
          <w:highlight w:val="yellow"/>
          <w:lang w:val="en-GB"/>
        </w:rPr>
        <w:t xml:space="preserve">some form of </w:t>
      </w:r>
      <w:r w:rsidR="0090037B" w:rsidRPr="004E6365">
        <w:rPr>
          <w:rFonts w:ascii="Arial" w:hAnsi="Arial" w:cs="Arial"/>
          <w:sz w:val="22"/>
          <w:szCs w:val="22"/>
          <w:highlight w:val="yellow"/>
          <w:lang w:val="en-GB"/>
        </w:rPr>
        <w:t xml:space="preserve">a </w:t>
      </w:r>
      <w:r w:rsidR="006E1CB0" w:rsidRPr="004E6365">
        <w:rPr>
          <w:rFonts w:ascii="Arial" w:hAnsi="Arial" w:cs="Arial"/>
          <w:sz w:val="22"/>
          <w:szCs w:val="22"/>
          <w:highlight w:val="yellow"/>
          <w:lang w:val="en-GB"/>
        </w:rPr>
        <w:t>(</w:t>
      </w:r>
      <w:r w:rsidR="0090037B" w:rsidRPr="004E6365">
        <w:rPr>
          <w:rFonts w:ascii="Arial" w:hAnsi="Arial" w:cs="Arial"/>
          <w:sz w:val="22"/>
          <w:szCs w:val="22"/>
          <w:highlight w:val="yellow"/>
          <w:lang w:val="en-GB"/>
        </w:rPr>
        <w:t>prior</w:t>
      </w:r>
      <w:r w:rsidR="006E1CB0" w:rsidRPr="004E6365">
        <w:rPr>
          <w:rFonts w:ascii="Arial" w:hAnsi="Arial" w:cs="Arial"/>
          <w:sz w:val="22"/>
          <w:szCs w:val="22"/>
          <w:highlight w:val="yellow"/>
          <w:lang w:val="en-GB"/>
        </w:rPr>
        <w:t>)</w:t>
      </w:r>
      <w:r w:rsidRPr="004E6365">
        <w:rPr>
          <w:rFonts w:ascii="Arial" w:hAnsi="Arial" w:cs="Arial"/>
          <w:sz w:val="22"/>
          <w:szCs w:val="22"/>
          <w:highlight w:val="yellow"/>
          <w:lang w:val="en-GB"/>
        </w:rPr>
        <w:t xml:space="preserve"> local procedure </w:t>
      </w:r>
      <w:r w:rsidR="005936B3" w:rsidRPr="004E6365">
        <w:rPr>
          <w:rFonts w:ascii="Arial" w:hAnsi="Arial" w:cs="Arial"/>
          <w:sz w:val="22"/>
          <w:szCs w:val="22"/>
          <w:highlight w:val="yellow"/>
          <w:lang w:val="en-GB"/>
        </w:rPr>
        <w:t xml:space="preserve">to </w:t>
      </w:r>
      <w:r w:rsidRPr="004E6365">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eParagraf"/>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eParagraf"/>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eParagraf"/>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1"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1"/>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eParagraf"/>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4E6365" w:rsidRDefault="000329A6" w:rsidP="00C570AC">
      <w:pPr>
        <w:pStyle w:val="ListeParagraf"/>
        <w:numPr>
          <w:ilvl w:val="0"/>
          <w:numId w:val="6"/>
        </w:numPr>
        <w:ind w:left="426"/>
        <w:jc w:val="both"/>
        <w:rPr>
          <w:rFonts w:ascii="Arial" w:hAnsi="Arial" w:cs="Arial"/>
          <w:sz w:val="22"/>
          <w:szCs w:val="22"/>
          <w:highlight w:val="yellow"/>
          <w:lang w:val="en-GB"/>
        </w:rPr>
      </w:pPr>
      <w:r w:rsidRPr="004E6365">
        <w:rPr>
          <w:rFonts w:ascii="Arial" w:eastAsiaTheme="minorHAnsi" w:hAnsi="Arial" w:cs="Arial"/>
          <w:sz w:val="22"/>
          <w:szCs w:val="22"/>
          <w:highlight w:val="yellow"/>
          <w:lang w:val="en-GB"/>
        </w:rPr>
        <w:t xml:space="preserve">They were recently revised in 2021 and, together with the </w:t>
      </w:r>
      <w:r w:rsidRPr="004E6365">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eParagraf"/>
        <w:ind w:left="426" w:hanging="360"/>
        <w:jc w:val="both"/>
        <w:rPr>
          <w:rFonts w:ascii="Arial" w:hAnsi="Arial" w:cs="Arial"/>
          <w:sz w:val="22"/>
          <w:szCs w:val="22"/>
          <w:lang w:val="en-GB"/>
        </w:rPr>
      </w:pPr>
    </w:p>
    <w:p w14:paraId="191AFD3F" w14:textId="2D782C6E" w:rsidR="00E9597C" w:rsidRPr="00205B31" w:rsidRDefault="00AC126D" w:rsidP="00C570AC">
      <w:pPr>
        <w:pStyle w:val="ListeParagraf"/>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eParagraf"/>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eParagraf"/>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eParagraf"/>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eParagraf"/>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eParagraf"/>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BD72C7" w:rsidRDefault="00470C55" w:rsidP="00275182">
      <w:pPr>
        <w:pStyle w:val="ListeParagraf"/>
        <w:numPr>
          <w:ilvl w:val="0"/>
          <w:numId w:val="16"/>
        </w:numPr>
        <w:ind w:left="426"/>
        <w:jc w:val="both"/>
        <w:rPr>
          <w:rFonts w:ascii="Arial" w:eastAsiaTheme="minorHAnsi" w:hAnsi="Arial" w:cs="Arial"/>
          <w:sz w:val="22"/>
          <w:szCs w:val="22"/>
          <w:highlight w:val="yellow"/>
          <w:lang w:val="en-GB"/>
        </w:rPr>
      </w:pPr>
      <w:r w:rsidRPr="00BD72C7">
        <w:rPr>
          <w:rFonts w:ascii="Arial" w:eastAsiaTheme="minorHAnsi" w:hAnsi="Arial" w:cs="Arial"/>
          <w:sz w:val="22"/>
          <w:szCs w:val="22"/>
          <w:highlight w:val="yellow"/>
          <w:lang w:val="en-GB"/>
        </w:rPr>
        <w:t xml:space="preserve">The Nordic Convention </w:t>
      </w:r>
      <w:r w:rsidR="00076483" w:rsidRPr="00BD72C7">
        <w:rPr>
          <w:rFonts w:ascii="Arial" w:eastAsiaTheme="minorHAnsi" w:hAnsi="Arial" w:cs="Arial"/>
          <w:sz w:val="22"/>
          <w:szCs w:val="22"/>
          <w:highlight w:val="yellow"/>
          <w:lang w:val="en-GB"/>
        </w:rPr>
        <w:t>1933</w:t>
      </w:r>
      <w:r w:rsidR="00966E44" w:rsidRPr="00BD72C7">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eParagraf"/>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C13E05" w:rsidRDefault="00124B70" w:rsidP="00275182">
      <w:pPr>
        <w:pStyle w:val="ListeParagraf"/>
        <w:numPr>
          <w:ilvl w:val="0"/>
          <w:numId w:val="8"/>
        </w:numPr>
        <w:ind w:left="426"/>
        <w:jc w:val="both"/>
        <w:rPr>
          <w:rFonts w:ascii="Arial" w:hAnsi="Arial" w:cs="Arial"/>
          <w:sz w:val="22"/>
          <w:szCs w:val="22"/>
          <w:highlight w:val="yellow"/>
          <w:lang w:val="en-GB"/>
        </w:rPr>
      </w:pPr>
      <w:r w:rsidRPr="00C13E05">
        <w:rPr>
          <w:rFonts w:ascii="Arial" w:hAnsi="Arial" w:cs="Arial"/>
          <w:sz w:val="22"/>
          <w:szCs w:val="22"/>
          <w:highlight w:val="yellow"/>
          <w:lang w:val="en-GB"/>
        </w:rPr>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eParagraf"/>
        <w:numPr>
          <w:ilvl w:val="0"/>
          <w:numId w:val="8"/>
        </w:numPr>
        <w:ind w:left="426"/>
        <w:jc w:val="both"/>
        <w:rPr>
          <w:rFonts w:ascii="Arial" w:eastAsiaTheme="minorHAnsi" w:hAnsi="Arial" w:cs="Arial"/>
          <w:sz w:val="22"/>
          <w:szCs w:val="22"/>
          <w:lang w:val="en-GB"/>
        </w:rPr>
      </w:pPr>
      <w:bookmarkStart w:id="2"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2"/>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eParagraf"/>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eParagraf"/>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B30F6F" w:rsidRDefault="00E86549" w:rsidP="00275182">
      <w:pPr>
        <w:pStyle w:val="ListeParagraf"/>
        <w:numPr>
          <w:ilvl w:val="0"/>
          <w:numId w:val="9"/>
        </w:numPr>
        <w:ind w:left="426"/>
        <w:jc w:val="both"/>
        <w:rPr>
          <w:rFonts w:ascii="Arial" w:hAnsi="Arial" w:cs="Arial"/>
          <w:bCs/>
          <w:sz w:val="22"/>
          <w:szCs w:val="22"/>
          <w:highlight w:val="yellow"/>
          <w:lang w:val="en-GB"/>
        </w:rPr>
      </w:pPr>
      <w:r w:rsidRPr="00B30F6F">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B30F6F">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eParagraf"/>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eParagraf"/>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eParagraf"/>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eParagraf"/>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eParagraf"/>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eParagraf"/>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eParagraf"/>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E6EFD" w:rsidRDefault="00911C23" w:rsidP="00275182">
      <w:pPr>
        <w:pStyle w:val="ListeParagraf"/>
        <w:numPr>
          <w:ilvl w:val="0"/>
          <w:numId w:val="10"/>
        </w:numPr>
        <w:ind w:left="426"/>
        <w:jc w:val="both"/>
        <w:rPr>
          <w:rFonts w:ascii="Arial" w:hAnsi="Arial" w:cs="Arial"/>
          <w:sz w:val="22"/>
          <w:szCs w:val="22"/>
          <w:highlight w:val="yellow"/>
          <w:lang w:val="en-GB"/>
        </w:rPr>
      </w:pPr>
      <w:r w:rsidRPr="00AE6EF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eParagraf"/>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18BCF57F" w:rsidR="009B07AD" w:rsidRDefault="00E97569" w:rsidP="00E97569">
      <w:pPr>
        <w:jc w:val="both"/>
        <w:rPr>
          <w:rFonts w:ascii="Arial" w:hAnsi="Arial" w:cs="Arial"/>
          <w:color w:val="7B7B7B" w:themeColor="accent3" w:themeShade="BF"/>
          <w:sz w:val="22"/>
          <w:szCs w:val="22"/>
          <w:lang w:val="en-GB"/>
        </w:rPr>
      </w:pPr>
      <w:r w:rsidRPr="00E97569">
        <w:rPr>
          <w:rFonts w:ascii="Arial" w:hAnsi="Arial" w:cs="Arial"/>
          <w:color w:val="7B7B7B" w:themeColor="accent3" w:themeShade="BF"/>
          <w:sz w:val="22"/>
          <w:szCs w:val="22"/>
          <w:lang w:val="en-GB"/>
        </w:rPr>
        <w:t xml:space="preserve">The first of the developments in English law that shaped modern insolvency law was the practice of imprisonment for debt, which was abolished by the Debtors Act of 1869. </w:t>
      </w:r>
      <w:r>
        <w:rPr>
          <w:rFonts w:ascii="Arial" w:hAnsi="Arial" w:cs="Arial"/>
          <w:color w:val="7B7B7B" w:themeColor="accent3" w:themeShade="BF"/>
          <w:sz w:val="22"/>
          <w:szCs w:val="22"/>
          <w:lang w:val="en-GB"/>
        </w:rPr>
        <w:t>The imprisonment for debt</w:t>
      </w:r>
      <w:r w:rsidRPr="00E97569">
        <w:rPr>
          <w:rFonts w:ascii="Arial" w:hAnsi="Arial" w:cs="Arial"/>
          <w:color w:val="7B7B7B" w:themeColor="accent3" w:themeShade="BF"/>
          <w:sz w:val="22"/>
          <w:szCs w:val="22"/>
          <w:lang w:val="en-GB"/>
        </w:rPr>
        <w:t xml:space="preserve"> was introduced with the Statute of </w:t>
      </w:r>
      <w:proofErr w:type="spellStart"/>
      <w:r w:rsidRPr="00E97569">
        <w:rPr>
          <w:rFonts w:ascii="Arial" w:hAnsi="Arial" w:cs="Arial"/>
          <w:color w:val="7B7B7B" w:themeColor="accent3" w:themeShade="BF"/>
          <w:sz w:val="22"/>
          <w:szCs w:val="22"/>
          <w:lang w:val="en-GB"/>
        </w:rPr>
        <w:t>Marlbridge</w:t>
      </w:r>
      <w:proofErr w:type="spellEnd"/>
      <w:r w:rsidRPr="00E97569">
        <w:rPr>
          <w:rFonts w:ascii="Arial" w:hAnsi="Arial" w:cs="Arial"/>
          <w:color w:val="7B7B7B" w:themeColor="accent3" w:themeShade="BF"/>
          <w:sz w:val="22"/>
          <w:szCs w:val="22"/>
          <w:lang w:val="en-GB"/>
        </w:rPr>
        <w:t xml:space="preserve"> dated 1267.</w:t>
      </w:r>
    </w:p>
    <w:p w14:paraId="2422D916" w14:textId="77777777" w:rsidR="00E97569" w:rsidRDefault="00E97569" w:rsidP="00E97569">
      <w:pPr>
        <w:jc w:val="both"/>
        <w:rPr>
          <w:rFonts w:ascii="Arial" w:hAnsi="Arial" w:cs="Arial"/>
          <w:color w:val="7B7B7B" w:themeColor="accent3" w:themeShade="BF"/>
          <w:sz w:val="22"/>
          <w:szCs w:val="22"/>
          <w:lang w:val="en-GB"/>
        </w:rPr>
      </w:pPr>
    </w:p>
    <w:p w14:paraId="67EEF390" w14:textId="176B4A83" w:rsidR="00E97569" w:rsidRDefault="00E97569" w:rsidP="00E97569">
      <w:pPr>
        <w:jc w:val="both"/>
        <w:rPr>
          <w:rFonts w:ascii="Arial" w:hAnsi="Arial" w:cs="Arial"/>
          <w:color w:val="7B7B7B" w:themeColor="accent3" w:themeShade="BF"/>
          <w:sz w:val="22"/>
          <w:szCs w:val="22"/>
          <w:lang w:val="en-GB"/>
        </w:rPr>
      </w:pPr>
      <w:r w:rsidRPr="00E97569">
        <w:rPr>
          <w:rFonts w:ascii="Arial" w:hAnsi="Arial" w:cs="Arial"/>
          <w:color w:val="7B7B7B" w:themeColor="accent3" w:themeShade="BF"/>
          <w:sz w:val="22"/>
          <w:szCs w:val="22"/>
          <w:lang w:val="en-GB"/>
        </w:rPr>
        <w:t>The second development in this regard was experienced</w:t>
      </w:r>
      <w:r>
        <w:rPr>
          <w:rFonts w:ascii="Arial" w:hAnsi="Arial" w:cs="Arial"/>
          <w:color w:val="7B7B7B" w:themeColor="accent3" w:themeShade="BF"/>
          <w:sz w:val="22"/>
          <w:szCs w:val="22"/>
          <w:lang w:val="en-GB"/>
        </w:rPr>
        <w:t xml:space="preserve"> with the English Bankruptcy Act</w:t>
      </w:r>
      <w:r w:rsidRPr="00E97569">
        <w:rPr>
          <w:rFonts w:ascii="Arial" w:hAnsi="Arial" w:cs="Arial"/>
          <w:color w:val="7B7B7B" w:themeColor="accent3" w:themeShade="BF"/>
          <w:sz w:val="22"/>
          <w:szCs w:val="22"/>
          <w:lang w:val="en-GB"/>
        </w:rPr>
        <w:t xml:space="preserve"> of 1542.</w:t>
      </w:r>
      <w:r w:rsidR="00D50610" w:rsidRPr="00D50610">
        <w:t xml:space="preserve"> </w:t>
      </w:r>
      <w:r w:rsidR="00D50610" w:rsidRPr="00D50610">
        <w:rPr>
          <w:rFonts w:ascii="Arial" w:hAnsi="Arial" w:cs="Arial"/>
          <w:color w:val="7B7B7B" w:themeColor="accent3" w:themeShade="BF"/>
          <w:sz w:val="22"/>
          <w:szCs w:val="22"/>
          <w:lang w:val="en-GB"/>
        </w:rPr>
        <w:t>Among other things, two elements of this law that shape the modern insolvency law come to the fore.</w:t>
      </w:r>
      <w:r w:rsidR="00D50610">
        <w:rPr>
          <w:rFonts w:ascii="Arial" w:hAnsi="Arial" w:cs="Arial"/>
          <w:color w:val="7B7B7B" w:themeColor="accent3" w:themeShade="BF"/>
          <w:sz w:val="22"/>
          <w:szCs w:val="22"/>
          <w:lang w:val="en-GB"/>
        </w:rPr>
        <w:t xml:space="preserve"> Firstly this Act allows the creditors to participate the proceeding in a collective manner. Secondly it contains a provision for distribution of the </w:t>
      </w:r>
      <w:proofErr w:type="gramStart"/>
      <w:r w:rsidR="00D50610">
        <w:rPr>
          <w:rFonts w:ascii="Arial" w:hAnsi="Arial" w:cs="Arial"/>
          <w:color w:val="7B7B7B" w:themeColor="accent3" w:themeShade="BF"/>
          <w:sz w:val="22"/>
          <w:szCs w:val="22"/>
          <w:lang w:val="en-GB"/>
        </w:rPr>
        <w:t>debtors</w:t>
      </w:r>
      <w:proofErr w:type="gramEnd"/>
      <w:r w:rsidR="00D50610">
        <w:rPr>
          <w:rFonts w:ascii="Arial" w:hAnsi="Arial" w:cs="Arial"/>
          <w:color w:val="7B7B7B" w:themeColor="accent3" w:themeShade="BF"/>
          <w:sz w:val="22"/>
          <w:szCs w:val="22"/>
          <w:lang w:val="en-GB"/>
        </w:rPr>
        <w:t xml:space="preserve"> available assets at an equal rate. </w:t>
      </w:r>
      <w:proofErr w:type="gramStart"/>
      <w:r w:rsidR="00D50610">
        <w:rPr>
          <w:rFonts w:ascii="Arial" w:hAnsi="Arial" w:cs="Arial"/>
          <w:color w:val="7B7B7B" w:themeColor="accent3" w:themeShade="BF"/>
          <w:sz w:val="22"/>
          <w:szCs w:val="22"/>
          <w:lang w:val="en-GB"/>
        </w:rPr>
        <w:t xml:space="preserve">Which is known as </w:t>
      </w:r>
      <w:proofErr w:type="spellStart"/>
      <w:r w:rsidR="00D50610">
        <w:rPr>
          <w:rFonts w:ascii="Arial" w:hAnsi="Arial" w:cs="Arial"/>
          <w:i/>
          <w:color w:val="7B7B7B" w:themeColor="accent3" w:themeShade="BF"/>
          <w:sz w:val="22"/>
          <w:szCs w:val="22"/>
          <w:lang w:val="en-GB"/>
        </w:rPr>
        <w:t>pari</w:t>
      </w:r>
      <w:proofErr w:type="spellEnd"/>
      <w:r w:rsidR="00D50610">
        <w:rPr>
          <w:rFonts w:ascii="Arial" w:hAnsi="Arial" w:cs="Arial"/>
          <w:i/>
          <w:color w:val="7B7B7B" w:themeColor="accent3" w:themeShade="BF"/>
          <w:sz w:val="22"/>
          <w:szCs w:val="22"/>
          <w:lang w:val="en-GB"/>
        </w:rPr>
        <w:t xml:space="preserve"> </w:t>
      </w:r>
      <w:proofErr w:type="spellStart"/>
      <w:r w:rsidR="00D50610">
        <w:rPr>
          <w:rFonts w:ascii="Arial" w:hAnsi="Arial" w:cs="Arial"/>
          <w:i/>
          <w:color w:val="7B7B7B" w:themeColor="accent3" w:themeShade="BF"/>
          <w:sz w:val="22"/>
          <w:szCs w:val="22"/>
          <w:lang w:val="en-GB"/>
        </w:rPr>
        <w:t>passu</w:t>
      </w:r>
      <w:proofErr w:type="spellEnd"/>
      <w:r w:rsidR="00D50610">
        <w:rPr>
          <w:rFonts w:ascii="Arial" w:hAnsi="Arial" w:cs="Arial"/>
          <w:i/>
          <w:color w:val="7B7B7B" w:themeColor="accent3" w:themeShade="BF"/>
          <w:sz w:val="22"/>
          <w:szCs w:val="22"/>
          <w:lang w:val="en-GB"/>
        </w:rPr>
        <w:t xml:space="preserve"> </w:t>
      </w:r>
      <w:r w:rsidR="00D50610">
        <w:rPr>
          <w:rFonts w:ascii="Arial" w:hAnsi="Arial" w:cs="Arial"/>
          <w:color w:val="7B7B7B" w:themeColor="accent3" w:themeShade="BF"/>
          <w:sz w:val="22"/>
          <w:szCs w:val="22"/>
          <w:lang w:val="en-GB"/>
        </w:rPr>
        <w:t>principle.</w:t>
      </w:r>
      <w:proofErr w:type="gramEnd"/>
    </w:p>
    <w:p w14:paraId="2F1017BC" w14:textId="77777777" w:rsidR="00D50610" w:rsidRDefault="00D50610" w:rsidP="00E97569">
      <w:pPr>
        <w:jc w:val="both"/>
        <w:rPr>
          <w:rFonts w:ascii="Arial" w:hAnsi="Arial" w:cs="Arial"/>
          <w:color w:val="7B7B7B" w:themeColor="accent3" w:themeShade="BF"/>
          <w:sz w:val="22"/>
          <w:szCs w:val="22"/>
          <w:lang w:val="en-GB"/>
        </w:rPr>
      </w:pPr>
    </w:p>
    <w:p w14:paraId="0A163472" w14:textId="67C8D9EC" w:rsidR="00D50610" w:rsidRPr="00D50610" w:rsidRDefault="00D50610" w:rsidP="00E97569">
      <w:pPr>
        <w:jc w:val="both"/>
        <w:rPr>
          <w:rFonts w:ascii="Arial" w:hAnsi="Arial" w:cs="Arial"/>
          <w:color w:val="7B7B7B" w:themeColor="accent3" w:themeShade="BF"/>
          <w:sz w:val="22"/>
          <w:szCs w:val="22"/>
          <w:lang w:val="en-GB"/>
        </w:rPr>
      </w:pPr>
      <w:r w:rsidRPr="00D50610">
        <w:rPr>
          <w:rFonts w:ascii="Arial" w:hAnsi="Arial" w:cs="Arial"/>
          <w:color w:val="7B7B7B" w:themeColor="accent3" w:themeShade="BF"/>
          <w:sz w:val="22"/>
          <w:szCs w:val="22"/>
          <w:lang w:val="en-GB"/>
        </w:rPr>
        <w:t xml:space="preserve">The third and final development is </w:t>
      </w:r>
      <w:r w:rsidR="00331758">
        <w:rPr>
          <w:rFonts w:ascii="Arial" w:hAnsi="Arial" w:cs="Arial"/>
          <w:color w:val="7B7B7B" w:themeColor="accent3" w:themeShade="BF"/>
          <w:sz w:val="22"/>
          <w:szCs w:val="22"/>
          <w:lang w:val="en-GB"/>
        </w:rPr>
        <w:t xml:space="preserve">the Statute of </w:t>
      </w:r>
      <w:r w:rsidRPr="00D50610">
        <w:rPr>
          <w:rFonts w:ascii="Arial" w:hAnsi="Arial" w:cs="Arial"/>
          <w:color w:val="7B7B7B" w:themeColor="accent3" w:themeShade="BF"/>
          <w:sz w:val="22"/>
          <w:szCs w:val="22"/>
          <w:lang w:val="en-GB"/>
        </w:rPr>
        <w:t>Ann of 1705, which allows the debtor to get rid of the remaining de</w:t>
      </w:r>
      <w:r w:rsidR="00662098">
        <w:rPr>
          <w:rFonts w:ascii="Arial" w:hAnsi="Arial" w:cs="Arial"/>
          <w:color w:val="7B7B7B" w:themeColor="accent3" w:themeShade="BF"/>
          <w:sz w:val="22"/>
          <w:szCs w:val="22"/>
          <w:lang w:val="en-GB"/>
        </w:rPr>
        <w:t xml:space="preserve">bt in certain conditions. </w:t>
      </w:r>
      <w:proofErr w:type="gramStart"/>
      <w:r w:rsidR="00662098">
        <w:rPr>
          <w:rFonts w:ascii="Arial" w:hAnsi="Arial" w:cs="Arial"/>
          <w:color w:val="7B7B7B" w:themeColor="accent3" w:themeShade="BF"/>
          <w:sz w:val="22"/>
          <w:szCs w:val="22"/>
          <w:lang w:val="en-GB"/>
        </w:rPr>
        <w:t>Which is known as statutory discharge.</w:t>
      </w:r>
      <w:proofErr w:type="gramEnd"/>
      <w:r w:rsidR="00662098">
        <w:rPr>
          <w:rFonts w:ascii="Arial" w:hAnsi="Arial" w:cs="Arial"/>
          <w:color w:val="7B7B7B" w:themeColor="accent3" w:themeShade="BF"/>
          <w:sz w:val="22"/>
          <w:szCs w:val="22"/>
          <w:lang w:val="en-GB"/>
        </w:rPr>
        <w:t xml:space="preserve"> </w:t>
      </w:r>
    </w:p>
    <w:p w14:paraId="22C610C9" w14:textId="16EF6256" w:rsidR="00DE03AF" w:rsidRPr="00E97569" w:rsidRDefault="00DE03AF" w:rsidP="00B7193E">
      <w:pPr>
        <w:jc w:val="both"/>
        <w:rPr>
          <w:rFonts w:ascii="Arial" w:hAnsi="Arial" w:cs="Arial"/>
          <w:color w:val="7B7B7B" w:themeColor="accent3" w:themeShade="BF"/>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039E27B5" w14:textId="5D688DC9" w:rsidR="00C82D87" w:rsidRPr="00205B31" w:rsidRDefault="005F369E" w:rsidP="00367A25">
      <w:pPr>
        <w:jc w:val="both"/>
        <w:rPr>
          <w:rFonts w:ascii="Arial" w:hAnsi="Arial" w:cs="Arial"/>
          <w:sz w:val="22"/>
          <w:szCs w:val="22"/>
          <w:lang w:val="en-GB"/>
        </w:rPr>
      </w:pPr>
      <w:r w:rsidRPr="005F369E">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Insolvency </w:t>
      </w:r>
      <w:r w:rsidRPr="005F369E">
        <w:rPr>
          <w:rFonts w:ascii="Arial" w:hAnsi="Arial" w:cs="Arial"/>
          <w:color w:val="7B7B7B" w:themeColor="accent3" w:themeShade="BF"/>
          <w:sz w:val="22"/>
          <w:szCs w:val="22"/>
          <w:lang w:val="en-GB"/>
        </w:rPr>
        <w:t>law changes, which have been discussed for a long time in the United Kingdom, were quickly adopted and entered into force with the effect of the Covid-19 pandemic.</w:t>
      </w:r>
      <w:r w:rsidRPr="005F369E">
        <w:t xml:space="preserve"> </w:t>
      </w:r>
      <w:r w:rsidRPr="005F369E">
        <w:rPr>
          <w:rFonts w:ascii="Arial" w:hAnsi="Arial" w:cs="Arial"/>
          <w:color w:val="7B7B7B" w:themeColor="accent3" w:themeShade="BF"/>
          <w:sz w:val="22"/>
          <w:szCs w:val="22"/>
          <w:lang w:val="en-GB"/>
        </w:rPr>
        <w:t>The law in question is referred to as the Corporate Insolvency and Governance Act (CIG Act).</w:t>
      </w:r>
      <w:r w:rsidRPr="005F369E">
        <w:t xml:space="preserve"> </w:t>
      </w:r>
      <w:r w:rsidRPr="005F369E">
        <w:rPr>
          <w:rFonts w:ascii="Arial" w:hAnsi="Arial" w:cs="Arial"/>
          <w:color w:val="7B7B7B" w:themeColor="accent3" w:themeShade="BF"/>
          <w:sz w:val="22"/>
          <w:szCs w:val="22"/>
          <w:lang w:val="en-GB"/>
        </w:rPr>
        <w:t xml:space="preserve">The changes made with this law are generally evaluated under two </w:t>
      </w:r>
      <w:r w:rsidR="00C73302">
        <w:rPr>
          <w:rFonts w:ascii="Arial" w:hAnsi="Arial" w:cs="Arial"/>
          <w:color w:val="7B7B7B" w:themeColor="accent3" w:themeShade="BF"/>
          <w:sz w:val="22"/>
          <w:szCs w:val="22"/>
          <w:lang w:val="en-GB"/>
        </w:rPr>
        <w:t>parts</w:t>
      </w:r>
      <w:r w:rsidRPr="005F369E">
        <w:rPr>
          <w:rFonts w:ascii="Arial" w:hAnsi="Arial" w:cs="Arial"/>
          <w:color w:val="7B7B7B" w:themeColor="accent3" w:themeShade="BF"/>
          <w:sz w:val="22"/>
          <w:szCs w:val="22"/>
          <w:lang w:val="en-GB"/>
        </w:rPr>
        <w:t>.</w:t>
      </w:r>
      <w:r w:rsidR="00C73302">
        <w:rPr>
          <w:rFonts w:ascii="Arial" w:hAnsi="Arial" w:cs="Arial"/>
          <w:color w:val="7B7B7B" w:themeColor="accent3" w:themeShade="BF"/>
          <w:sz w:val="22"/>
          <w:szCs w:val="22"/>
          <w:lang w:val="en-GB"/>
        </w:rPr>
        <w:t xml:space="preserve"> The first </w:t>
      </w:r>
      <w:proofErr w:type="gramStart"/>
      <w:r w:rsidR="00C73302">
        <w:rPr>
          <w:rFonts w:ascii="Arial" w:hAnsi="Arial" w:cs="Arial"/>
          <w:color w:val="7B7B7B" w:themeColor="accent3" w:themeShade="BF"/>
          <w:sz w:val="22"/>
          <w:szCs w:val="22"/>
          <w:lang w:val="en-GB"/>
        </w:rPr>
        <w:t>part of the changes are</w:t>
      </w:r>
      <w:proofErr w:type="gramEnd"/>
      <w:r w:rsidR="00C73302">
        <w:rPr>
          <w:rFonts w:ascii="Arial" w:hAnsi="Arial" w:cs="Arial"/>
          <w:color w:val="7B7B7B" w:themeColor="accent3" w:themeShade="BF"/>
          <w:sz w:val="22"/>
          <w:szCs w:val="22"/>
          <w:lang w:val="en-GB"/>
        </w:rPr>
        <w:t xml:space="preserve"> permanent ones which are considered not related to the pandemic. The second </w:t>
      </w:r>
      <w:proofErr w:type="gramStart"/>
      <w:r w:rsidR="00C73302">
        <w:rPr>
          <w:rFonts w:ascii="Arial" w:hAnsi="Arial" w:cs="Arial"/>
          <w:color w:val="7B7B7B" w:themeColor="accent3" w:themeShade="BF"/>
          <w:sz w:val="22"/>
          <w:szCs w:val="22"/>
          <w:lang w:val="en-GB"/>
        </w:rPr>
        <w:t>part of the changes are</w:t>
      </w:r>
      <w:proofErr w:type="gramEnd"/>
      <w:r w:rsidR="00C73302">
        <w:rPr>
          <w:rFonts w:ascii="Arial" w:hAnsi="Arial" w:cs="Arial"/>
          <w:color w:val="7B7B7B" w:themeColor="accent3" w:themeShade="BF"/>
          <w:sz w:val="22"/>
          <w:szCs w:val="22"/>
          <w:lang w:val="en-GB"/>
        </w:rPr>
        <w:t xml:space="preserve"> temporary and aimed to reduce negative effects of pandemic. </w:t>
      </w:r>
      <w:r w:rsidR="005A11C5" w:rsidRPr="005A11C5">
        <w:rPr>
          <w:rFonts w:ascii="Arial" w:hAnsi="Arial" w:cs="Arial"/>
          <w:color w:val="7B7B7B" w:themeColor="accent3" w:themeShade="BF"/>
          <w:sz w:val="22"/>
          <w:szCs w:val="22"/>
          <w:lang w:val="en-GB"/>
        </w:rPr>
        <w:t xml:space="preserve">The first of the changes related to the pandemic is softening the terms of liability arising from the </w:t>
      </w:r>
      <w:r w:rsidR="005A11C5">
        <w:rPr>
          <w:rFonts w:ascii="Arial" w:hAnsi="Arial" w:cs="Arial"/>
          <w:color w:val="7B7B7B" w:themeColor="accent3" w:themeShade="BF"/>
          <w:sz w:val="22"/>
          <w:szCs w:val="22"/>
          <w:lang w:val="en-GB"/>
        </w:rPr>
        <w:t>wrongful trading</w:t>
      </w:r>
      <w:r w:rsidR="005A11C5" w:rsidRPr="005A11C5">
        <w:rPr>
          <w:rFonts w:ascii="Arial" w:hAnsi="Arial" w:cs="Arial"/>
          <w:color w:val="7B7B7B" w:themeColor="accent3" w:themeShade="BF"/>
          <w:sz w:val="22"/>
          <w:szCs w:val="22"/>
          <w:lang w:val="en-GB"/>
        </w:rPr>
        <w:t xml:space="preserve"> of company managers during the pandemic.</w:t>
      </w:r>
      <w:r w:rsidR="005A11C5" w:rsidRPr="005A11C5">
        <w:t xml:space="preserve"> </w:t>
      </w:r>
      <w:r w:rsidR="005A11C5" w:rsidRPr="005A11C5">
        <w:rPr>
          <w:rFonts w:ascii="Arial" w:hAnsi="Arial" w:cs="Arial"/>
          <w:color w:val="7B7B7B" w:themeColor="accent3" w:themeShade="BF"/>
          <w:sz w:val="22"/>
          <w:szCs w:val="22"/>
          <w:lang w:val="en-GB"/>
        </w:rPr>
        <w:t xml:space="preserve">The second </w:t>
      </w:r>
      <w:r w:rsidR="00D608F5">
        <w:rPr>
          <w:rFonts w:ascii="Arial" w:hAnsi="Arial" w:cs="Arial"/>
          <w:color w:val="7B7B7B" w:themeColor="accent3" w:themeShade="BF"/>
          <w:sz w:val="22"/>
          <w:szCs w:val="22"/>
          <w:lang w:val="en-GB"/>
        </w:rPr>
        <w:t>measure introduced</w:t>
      </w:r>
      <w:r w:rsidR="005A11C5" w:rsidRPr="005A11C5">
        <w:rPr>
          <w:rFonts w:ascii="Arial" w:hAnsi="Arial" w:cs="Arial"/>
          <w:color w:val="7B7B7B" w:themeColor="accent3" w:themeShade="BF"/>
          <w:sz w:val="22"/>
          <w:szCs w:val="22"/>
          <w:lang w:val="en-GB"/>
        </w:rPr>
        <w:t xml:space="preserve"> in this context concerns when and how the creditors can initiate the </w:t>
      </w:r>
      <w:r w:rsidR="00D608F5">
        <w:rPr>
          <w:rFonts w:ascii="Arial" w:hAnsi="Arial" w:cs="Arial"/>
          <w:color w:val="7B7B7B" w:themeColor="accent3" w:themeShade="BF"/>
          <w:sz w:val="22"/>
          <w:szCs w:val="22"/>
          <w:lang w:val="en-GB"/>
        </w:rPr>
        <w:t>winding-up proceeding</w:t>
      </w:r>
      <w:r w:rsidR="005A11C5" w:rsidRPr="005A11C5">
        <w:rPr>
          <w:rFonts w:ascii="Arial" w:hAnsi="Arial" w:cs="Arial"/>
          <w:color w:val="7B7B7B" w:themeColor="accent3" w:themeShade="BF"/>
          <w:sz w:val="22"/>
          <w:szCs w:val="22"/>
          <w:lang w:val="en-GB"/>
        </w:rPr>
        <w:t xml:space="preserve"> and make statutory demands on the debtor.</w:t>
      </w:r>
      <w:r w:rsidR="008863E8" w:rsidRPr="008863E8">
        <w:t xml:space="preserve"> </w:t>
      </w:r>
      <w:r w:rsidR="008863E8" w:rsidRPr="008863E8">
        <w:rPr>
          <w:rFonts w:ascii="Arial" w:hAnsi="Arial" w:cs="Arial"/>
          <w:color w:val="7B7B7B" w:themeColor="accent3" w:themeShade="BF"/>
          <w:sz w:val="22"/>
          <w:szCs w:val="22"/>
          <w:lang w:val="en-GB"/>
        </w:rPr>
        <w:t>The last and third change is the flexibility brought about holding the shareholders' meeting.</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3D488B00" w14:textId="4A4EF086" w:rsidR="00551103" w:rsidRPr="00551103" w:rsidRDefault="00551103" w:rsidP="00551103">
      <w:pPr>
        <w:jc w:val="both"/>
        <w:rPr>
          <w:rFonts w:ascii="Arial" w:hAnsi="Arial" w:cs="Arial"/>
          <w:color w:val="7B7B7B" w:themeColor="accent3" w:themeShade="BF"/>
          <w:sz w:val="22"/>
          <w:szCs w:val="22"/>
          <w:lang w:val="en-GB"/>
        </w:rPr>
      </w:pPr>
      <w:r w:rsidRPr="00551103">
        <w:rPr>
          <w:rFonts w:ascii="Arial" w:hAnsi="Arial" w:cs="Arial"/>
          <w:color w:val="7B7B7B" w:themeColor="accent3" w:themeShade="BF"/>
          <w:sz w:val="22"/>
          <w:szCs w:val="22"/>
          <w:lang w:val="en-GB"/>
        </w:rPr>
        <w:t>T</w:t>
      </w:r>
      <w:r w:rsidR="00A66010">
        <w:rPr>
          <w:rFonts w:ascii="Arial" w:hAnsi="Arial" w:cs="Arial"/>
          <w:color w:val="7B7B7B" w:themeColor="accent3" w:themeShade="BF"/>
          <w:sz w:val="22"/>
          <w:szCs w:val="22"/>
          <w:lang w:val="en-GB"/>
        </w:rPr>
        <w:t xml:space="preserve">reaties and soft law are both </w:t>
      </w:r>
      <w:r w:rsidRPr="00551103">
        <w:rPr>
          <w:rFonts w:ascii="Arial" w:hAnsi="Arial" w:cs="Arial"/>
          <w:color w:val="7B7B7B" w:themeColor="accent3" w:themeShade="BF"/>
          <w:sz w:val="22"/>
          <w:szCs w:val="22"/>
          <w:lang w:val="en-GB"/>
        </w:rPr>
        <w:t xml:space="preserve">sources of international law. </w:t>
      </w:r>
      <w:r w:rsidR="008A02FB" w:rsidRPr="008A02FB">
        <w:rPr>
          <w:rFonts w:ascii="Arial" w:hAnsi="Arial" w:cs="Arial"/>
          <w:color w:val="7B7B7B" w:themeColor="accent3" w:themeShade="BF"/>
          <w:sz w:val="22"/>
          <w:szCs w:val="22"/>
          <w:lang w:val="en-GB"/>
        </w:rPr>
        <w:t xml:space="preserve">Treaties are written agreements that become binding on the State upon their signing and </w:t>
      </w:r>
      <w:r w:rsidR="008A02FB">
        <w:rPr>
          <w:rFonts w:ascii="Arial" w:hAnsi="Arial" w:cs="Arial"/>
          <w:color w:val="7B7B7B" w:themeColor="accent3" w:themeShade="BF"/>
          <w:sz w:val="22"/>
          <w:szCs w:val="22"/>
          <w:lang w:val="en-GB"/>
        </w:rPr>
        <w:t>ratification</w:t>
      </w:r>
      <w:r w:rsidR="008A02FB">
        <w:rPr>
          <w:rStyle w:val="DipnotBavurusu"/>
          <w:rFonts w:ascii="Arial" w:hAnsi="Arial" w:cs="Arial"/>
          <w:color w:val="7B7B7B" w:themeColor="accent3" w:themeShade="BF"/>
          <w:sz w:val="22"/>
          <w:szCs w:val="22"/>
          <w:lang w:val="en-GB"/>
        </w:rPr>
        <w:footnoteReference w:id="1"/>
      </w:r>
      <w:r w:rsidR="008A02FB" w:rsidRPr="008A02FB">
        <w:rPr>
          <w:rFonts w:ascii="Arial" w:hAnsi="Arial" w:cs="Arial"/>
          <w:color w:val="7B7B7B" w:themeColor="accent3" w:themeShade="BF"/>
          <w:sz w:val="22"/>
          <w:szCs w:val="22"/>
          <w:lang w:val="en-GB"/>
        </w:rPr>
        <w:t>.</w:t>
      </w:r>
      <w:r w:rsidR="008A02FB">
        <w:rPr>
          <w:rFonts w:ascii="Arial" w:hAnsi="Arial" w:cs="Arial"/>
          <w:color w:val="7B7B7B" w:themeColor="accent3" w:themeShade="BF"/>
          <w:sz w:val="22"/>
          <w:szCs w:val="22"/>
          <w:lang w:val="en-GB"/>
        </w:rPr>
        <w:t xml:space="preserve"> </w:t>
      </w:r>
      <w:r w:rsidRPr="00551103">
        <w:rPr>
          <w:rFonts w:ascii="Arial" w:hAnsi="Arial" w:cs="Arial"/>
          <w:color w:val="7B7B7B" w:themeColor="accent3" w:themeShade="BF"/>
          <w:sz w:val="22"/>
          <w:szCs w:val="22"/>
          <w:lang w:val="en-GB"/>
        </w:rPr>
        <w:t xml:space="preserve">The controversial nature of "soft law" makes it difficult to define or agree on a definition. </w:t>
      </w:r>
      <w:r w:rsidR="00DC4E0D">
        <w:rPr>
          <w:rFonts w:ascii="Arial" w:hAnsi="Arial" w:cs="Arial"/>
          <w:color w:val="7B7B7B" w:themeColor="accent3" w:themeShade="BF"/>
          <w:sz w:val="22"/>
          <w:szCs w:val="22"/>
          <w:lang w:val="en-GB"/>
        </w:rPr>
        <w:t>Generally “soft law” refers to a non-binding instrument as a</w:t>
      </w:r>
      <w:r w:rsidR="00A66010">
        <w:rPr>
          <w:rFonts w:ascii="Arial" w:hAnsi="Arial" w:cs="Arial"/>
          <w:color w:val="7B7B7B" w:themeColor="accent3" w:themeShade="BF"/>
          <w:sz w:val="22"/>
          <w:szCs w:val="22"/>
          <w:lang w:val="en-GB"/>
        </w:rPr>
        <w:t xml:space="preserve"> </w:t>
      </w:r>
      <w:r w:rsidR="00797CF4">
        <w:rPr>
          <w:rFonts w:ascii="Arial" w:hAnsi="Arial" w:cs="Arial"/>
          <w:color w:val="7B7B7B" w:themeColor="accent3" w:themeShade="BF"/>
          <w:sz w:val="22"/>
          <w:szCs w:val="22"/>
          <w:lang w:val="en-GB"/>
        </w:rPr>
        <w:t xml:space="preserve">source of international law which appears in different </w:t>
      </w:r>
      <w:r w:rsidR="00797CF4">
        <w:rPr>
          <w:rFonts w:ascii="Arial" w:hAnsi="Arial" w:cs="Arial"/>
          <w:color w:val="7B7B7B" w:themeColor="accent3" w:themeShade="BF"/>
          <w:sz w:val="22"/>
          <w:szCs w:val="22"/>
          <w:lang w:val="en-GB"/>
        </w:rPr>
        <w:lastRenderedPageBreak/>
        <w:t>forms</w:t>
      </w:r>
      <w:r w:rsidR="00EC7C42">
        <w:rPr>
          <w:rFonts w:ascii="Arial" w:hAnsi="Arial" w:cs="Arial"/>
          <w:color w:val="7B7B7B" w:themeColor="accent3" w:themeShade="BF"/>
          <w:sz w:val="22"/>
          <w:szCs w:val="22"/>
          <w:lang w:val="en-GB"/>
        </w:rPr>
        <w:t xml:space="preserve"> such as principles, guidelines, recommendations, </w:t>
      </w:r>
      <w:proofErr w:type="gramStart"/>
      <w:r w:rsidR="00EC7C42">
        <w:rPr>
          <w:rFonts w:ascii="Arial" w:hAnsi="Arial" w:cs="Arial"/>
          <w:color w:val="7B7B7B" w:themeColor="accent3" w:themeShade="BF"/>
          <w:sz w:val="22"/>
          <w:szCs w:val="22"/>
          <w:lang w:val="en-GB"/>
        </w:rPr>
        <w:t>key</w:t>
      </w:r>
      <w:proofErr w:type="gramEnd"/>
      <w:r w:rsidR="00EC7C42">
        <w:rPr>
          <w:rFonts w:ascii="Arial" w:hAnsi="Arial" w:cs="Arial"/>
          <w:color w:val="7B7B7B" w:themeColor="accent3" w:themeShade="BF"/>
          <w:sz w:val="22"/>
          <w:szCs w:val="22"/>
          <w:lang w:val="en-GB"/>
        </w:rPr>
        <w:t xml:space="preserve"> attributes, codes of conducts or model laws</w:t>
      </w:r>
      <w:r w:rsidR="00EC7C42">
        <w:rPr>
          <w:rStyle w:val="DipnotBavurusu"/>
          <w:rFonts w:ascii="Arial" w:hAnsi="Arial" w:cs="Arial"/>
          <w:color w:val="7B7B7B" w:themeColor="accent3" w:themeShade="BF"/>
          <w:sz w:val="22"/>
          <w:szCs w:val="22"/>
          <w:lang w:val="en-GB"/>
        </w:rPr>
        <w:footnoteReference w:id="2"/>
      </w:r>
      <w:r w:rsidR="00EC7C42">
        <w:rPr>
          <w:rFonts w:ascii="Arial" w:hAnsi="Arial" w:cs="Arial"/>
          <w:color w:val="7B7B7B" w:themeColor="accent3" w:themeShade="BF"/>
          <w:sz w:val="22"/>
          <w:szCs w:val="22"/>
          <w:lang w:val="en-GB"/>
        </w:rPr>
        <w:t>.</w:t>
      </w:r>
    </w:p>
    <w:p w14:paraId="572227E7" w14:textId="10041403" w:rsidR="0045683E" w:rsidRDefault="0045683E" w:rsidP="00B7193E">
      <w:pPr>
        <w:jc w:val="both"/>
        <w:rPr>
          <w:rFonts w:ascii="Arial" w:hAnsi="Arial" w:cs="Arial"/>
          <w:color w:val="7B7B7B" w:themeColor="accent3" w:themeShade="BF"/>
          <w:sz w:val="22"/>
          <w:szCs w:val="22"/>
          <w:lang w:val="en-GB"/>
        </w:rPr>
      </w:pPr>
    </w:p>
    <w:p w14:paraId="71BCB7B4" w14:textId="7E391480" w:rsidR="00EA5E96" w:rsidRDefault="00EA5E96" w:rsidP="00EA5E96">
      <w:pPr>
        <w:jc w:val="both"/>
        <w:rPr>
          <w:rFonts w:ascii="Arial" w:hAnsi="Arial" w:cs="Arial"/>
          <w:color w:val="7B7B7B" w:themeColor="accent3" w:themeShade="BF"/>
          <w:sz w:val="22"/>
          <w:szCs w:val="22"/>
          <w:lang w:val="en-GB"/>
        </w:rPr>
      </w:pPr>
      <w:r w:rsidRPr="00EA5E96">
        <w:rPr>
          <w:rFonts w:ascii="Arial" w:hAnsi="Arial" w:cs="Arial"/>
          <w:color w:val="7B7B7B" w:themeColor="accent3" w:themeShade="BF"/>
          <w:sz w:val="22"/>
          <w:szCs w:val="22"/>
          <w:lang w:val="en-GB"/>
        </w:rPr>
        <w:t xml:space="preserve">Both sources can be used as tools to solve various problems of </w:t>
      </w:r>
      <w:r w:rsidR="00A66010">
        <w:rPr>
          <w:rFonts w:ascii="Arial" w:hAnsi="Arial" w:cs="Arial"/>
          <w:color w:val="7B7B7B" w:themeColor="accent3" w:themeShade="BF"/>
          <w:sz w:val="22"/>
          <w:szCs w:val="22"/>
          <w:lang w:val="en-GB"/>
        </w:rPr>
        <w:t xml:space="preserve">international </w:t>
      </w:r>
      <w:r w:rsidRPr="00EA5E96">
        <w:rPr>
          <w:rFonts w:ascii="Arial" w:hAnsi="Arial" w:cs="Arial"/>
          <w:color w:val="7B7B7B" w:themeColor="accent3" w:themeShade="BF"/>
          <w:sz w:val="22"/>
          <w:szCs w:val="22"/>
          <w:lang w:val="en-GB"/>
        </w:rPr>
        <w:t xml:space="preserve">insolvency law. </w:t>
      </w:r>
      <w:r w:rsidR="00A66010">
        <w:rPr>
          <w:rFonts w:ascii="Arial" w:hAnsi="Arial" w:cs="Arial"/>
          <w:color w:val="7B7B7B" w:themeColor="accent3" w:themeShade="BF"/>
          <w:sz w:val="22"/>
          <w:szCs w:val="22"/>
          <w:lang w:val="en-GB"/>
        </w:rPr>
        <w:t>Treaties</w:t>
      </w:r>
      <w:r w:rsidRPr="00EA5E96">
        <w:rPr>
          <w:rFonts w:ascii="Arial" w:hAnsi="Arial" w:cs="Arial"/>
          <w:color w:val="7B7B7B" w:themeColor="accent3" w:themeShade="BF"/>
          <w:sz w:val="22"/>
          <w:szCs w:val="22"/>
          <w:lang w:val="en-GB"/>
        </w:rPr>
        <w:t xml:space="preserve"> appear as the most ideal tool/resource with a definitive, binding and uniform arrangement. </w:t>
      </w:r>
      <w:r w:rsidR="00A66010">
        <w:rPr>
          <w:rFonts w:ascii="Arial" w:hAnsi="Arial" w:cs="Arial"/>
          <w:color w:val="7B7B7B" w:themeColor="accent3" w:themeShade="BF"/>
          <w:sz w:val="22"/>
          <w:szCs w:val="22"/>
          <w:lang w:val="en-GB"/>
        </w:rPr>
        <w:t>A Treaty</w:t>
      </w:r>
      <w:r w:rsidRPr="00EA5E96">
        <w:rPr>
          <w:rFonts w:ascii="Arial" w:hAnsi="Arial" w:cs="Arial"/>
          <w:color w:val="7B7B7B" w:themeColor="accent3" w:themeShade="BF"/>
          <w:sz w:val="22"/>
          <w:szCs w:val="22"/>
          <w:lang w:val="en-GB"/>
        </w:rPr>
        <w:t xml:space="preserve"> accepted and put into effect by states has the potential to provide great convenience to all participants in practice. However, the adoption of an agreement of this nature with the desired level of participation has not been achieved, especially in the field of insolvency law. It is stated that it is unlikely that such an agreement in the field of insolvency will enter into force with a wide participation in the future</w:t>
      </w:r>
      <w:r w:rsidR="00817C11">
        <w:rPr>
          <w:rStyle w:val="DipnotBavurusu"/>
          <w:rFonts w:ascii="Arial" w:hAnsi="Arial" w:cs="Arial"/>
          <w:color w:val="7B7B7B" w:themeColor="accent3" w:themeShade="BF"/>
          <w:sz w:val="22"/>
          <w:szCs w:val="22"/>
          <w:lang w:val="en-GB"/>
        </w:rPr>
        <w:footnoteReference w:id="3"/>
      </w:r>
      <w:r w:rsidRPr="00EA5E96">
        <w:rPr>
          <w:rFonts w:ascii="Arial" w:hAnsi="Arial" w:cs="Arial"/>
          <w:color w:val="7B7B7B" w:themeColor="accent3" w:themeShade="BF"/>
          <w:sz w:val="22"/>
          <w:szCs w:val="22"/>
          <w:lang w:val="en-GB"/>
        </w:rPr>
        <w:t>.</w:t>
      </w:r>
    </w:p>
    <w:p w14:paraId="0D0609A9" w14:textId="77777777" w:rsidR="00EA5E96" w:rsidRPr="00EA5E96" w:rsidRDefault="00EA5E96" w:rsidP="00EA5E96">
      <w:pPr>
        <w:jc w:val="both"/>
        <w:rPr>
          <w:rFonts w:ascii="Arial" w:hAnsi="Arial" w:cs="Arial"/>
          <w:color w:val="7B7B7B" w:themeColor="accent3" w:themeShade="BF"/>
          <w:sz w:val="22"/>
          <w:szCs w:val="22"/>
          <w:lang w:val="en-GB"/>
        </w:rPr>
      </w:pPr>
    </w:p>
    <w:p w14:paraId="5BFAC6FD" w14:textId="2AE8026A" w:rsidR="00EA5E96" w:rsidRPr="00551103" w:rsidRDefault="00EA5E96" w:rsidP="00EA5E96">
      <w:pPr>
        <w:jc w:val="both"/>
        <w:rPr>
          <w:rFonts w:ascii="Arial" w:hAnsi="Arial" w:cs="Arial"/>
          <w:color w:val="7B7B7B" w:themeColor="accent3" w:themeShade="BF"/>
          <w:sz w:val="22"/>
          <w:szCs w:val="22"/>
          <w:lang w:val="en-GB"/>
        </w:rPr>
      </w:pPr>
      <w:r w:rsidRPr="00EA5E96">
        <w:rPr>
          <w:rFonts w:ascii="Arial" w:hAnsi="Arial" w:cs="Arial"/>
          <w:color w:val="7B7B7B" w:themeColor="accent3" w:themeShade="BF"/>
          <w:sz w:val="22"/>
          <w:szCs w:val="22"/>
          <w:lang w:val="en-GB"/>
        </w:rPr>
        <w:t xml:space="preserve">Contrary to </w:t>
      </w:r>
      <w:r w:rsidR="00A66010">
        <w:rPr>
          <w:rFonts w:ascii="Arial" w:hAnsi="Arial" w:cs="Arial"/>
          <w:color w:val="7B7B7B" w:themeColor="accent3" w:themeShade="BF"/>
          <w:sz w:val="22"/>
          <w:szCs w:val="22"/>
          <w:lang w:val="en-GB"/>
        </w:rPr>
        <w:t>treaties</w:t>
      </w:r>
      <w:r w:rsidRPr="00EA5E96">
        <w:rPr>
          <w:rFonts w:ascii="Arial" w:hAnsi="Arial" w:cs="Arial"/>
          <w:color w:val="7B7B7B" w:themeColor="accent3" w:themeShade="BF"/>
          <w:sz w:val="22"/>
          <w:szCs w:val="22"/>
          <w:lang w:val="en-GB"/>
        </w:rPr>
        <w:t xml:space="preserve">, "Soft Law" does not seek the acceptance of states with a definitive and binding text. Instead, it is in a form that includes general </w:t>
      </w:r>
      <w:r w:rsidR="00A66010">
        <w:rPr>
          <w:rFonts w:ascii="Arial" w:hAnsi="Arial" w:cs="Arial"/>
          <w:color w:val="7B7B7B" w:themeColor="accent3" w:themeShade="BF"/>
          <w:sz w:val="22"/>
          <w:szCs w:val="22"/>
          <w:lang w:val="en-GB"/>
        </w:rPr>
        <w:t>rules</w:t>
      </w:r>
      <w:r w:rsidRPr="00EA5E96">
        <w:rPr>
          <w:rFonts w:ascii="Arial" w:hAnsi="Arial" w:cs="Arial"/>
          <w:color w:val="7B7B7B" w:themeColor="accent3" w:themeShade="BF"/>
          <w:sz w:val="22"/>
          <w:szCs w:val="22"/>
          <w:lang w:val="en-GB"/>
        </w:rPr>
        <w:t xml:space="preserve"> </w:t>
      </w:r>
      <w:r w:rsidR="00A66010">
        <w:rPr>
          <w:rFonts w:ascii="Arial" w:hAnsi="Arial" w:cs="Arial"/>
          <w:color w:val="7B7B7B" w:themeColor="accent3" w:themeShade="BF"/>
          <w:sz w:val="22"/>
          <w:szCs w:val="22"/>
          <w:lang w:val="en-GB"/>
        </w:rPr>
        <w:t>and basic principles, allowing S</w:t>
      </w:r>
      <w:r w:rsidRPr="00EA5E96">
        <w:rPr>
          <w:rFonts w:ascii="Arial" w:hAnsi="Arial" w:cs="Arial"/>
          <w:color w:val="7B7B7B" w:themeColor="accent3" w:themeShade="BF"/>
          <w:sz w:val="22"/>
          <w:szCs w:val="22"/>
          <w:lang w:val="en-GB"/>
        </w:rPr>
        <w:t xml:space="preserve">tates to preserve their </w:t>
      </w:r>
      <w:r w:rsidR="00A66010">
        <w:rPr>
          <w:rFonts w:ascii="Arial" w:hAnsi="Arial" w:cs="Arial"/>
          <w:color w:val="7B7B7B" w:themeColor="accent3" w:themeShade="BF"/>
          <w:sz w:val="22"/>
          <w:szCs w:val="22"/>
          <w:lang w:val="en-GB"/>
        </w:rPr>
        <w:t>local</w:t>
      </w:r>
      <w:r w:rsidRPr="00EA5E96">
        <w:rPr>
          <w:rFonts w:ascii="Arial" w:hAnsi="Arial" w:cs="Arial"/>
          <w:color w:val="7B7B7B" w:themeColor="accent3" w:themeShade="BF"/>
          <w:sz w:val="22"/>
          <w:szCs w:val="22"/>
          <w:lang w:val="en-GB"/>
        </w:rPr>
        <w:t xml:space="preserve"> laws to a certain extent. Thus, instead of breaking the resistances related to </w:t>
      </w:r>
      <w:r w:rsidR="00A66010">
        <w:rPr>
          <w:rFonts w:ascii="Arial" w:hAnsi="Arial" w:cs="Arial"/>
          <w:color w:val="7B7B7B" w:themeColor="accent3" w:themeShade="BF"/>
          <w:sz w:val="22"/>
          <w:szCs w:val="22"/>
          <w:lang w:val="en-GB"/>
        </w:rPr>
        <w:t>local</w:t>
      </w:r>
      <w:r w:rsidRPr="00EA5E96">
        <w:rPr>
          <w:rFonts w:ascii="Arial" w:hAnsi="Arial" w:cs="Arial"/>
          <w:color w:val="7B7B7B" w:themeColor="accent3" w:themeShade="BF"/>
          <w:sz w:val="22"/>
          <w:szCs w:val="22"/>
          <w:lang w:val="en-GB"/>
        </w:rPr>
        <w:t xml:space="preserve"> law, it serves to establish a common understanding and practice in the field of insolvency law with them.</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17F0CF1E" w14:textId="4CC5CE44" w:rsidR="00713839" w:rsidRPr="00713839" w:rsidRDefault="00713839" w:rsidP="00713839">
      <w:pPr>
        <w:jc w:val="both"/>
        <w:rPr>
          <w:rFonts w:ascii="Arial" w:hAnsi="Arial" w:cs="Arial"/>
          <w:color w:val="7B7B7B" w:themeColor="accent3" w:themeShade="BF"/>
          <w:sz w:val="22"/>
          <w:szCs w:val="22"/>
          <w:lang w:val="en-GB"/>
        </w:rPr>
      </w:pPr>
      <w:r w:rsidRPr="00713839">
        <w:rPr>
          <w:rFonts w:ascii="Arial" w:hAnsi="Arial" w:cs="Arial"/>
          <w:color w:val="7B7B7B" w:themeColor="accent3" w:themeShade="BF"/>
          <w:sz w:val="22"/>
          <w:szCs w:val="22"/>
          <w:lang w:val="en-GB"/>
        </w:rPr>
        <w:t xml:space="preserve">The sources of a </w:t>
      </w:r>
      <w:r>
        <w:rPr>
          <w:rFonts w:ascii="Arial" w:hAnsi="Arial" w:cs="Arial"/>
          <w:color w:val="7B7B7B" w:themeColor="accent3" w:themeShade="BF"/>
          <w:sz w:val="22"/>
          <w:szCs w:val="22"/>
          <w:lang w:val="en-GB"/>
        </w:rPr>
        <w:t>State</w:t>
      </w:r>
      <w:r w:rsidRPr="00713839">
        <w:rPr>
          <w:rFonts w:ascii="Arial" w:hAnsi="Arial" w:cs="Arial"/>
          <w:color w:val="7B7B7B" w:themeColor="accent3" w:themeShade="BF"/>
          <w:sz w:val="22"/>
          <w:szCs w:val="22"/>
          <w:lang w:val="en-GB"/>
        </w:rPr>
        <w:t xml:space="preserve">'s insolvency law appear in different forms. In connection with the legal system of the </w:t>
      </w:r>
      <w:r>
        <w:rPr>
          <w:rFonts w:ascii="Arial" w:hAnsi="Arial" w:cs="Arial"/>
          <w:color w:val="7B7B7B" w:themeColor="accent3" w:themeShade="BF"/>
          <w:sz w:val="22"/>
          <w:szCs w:val="22"/>
          <w:lang w:val="en-GB"/>
        </w:rPr>
        <w:t>State</w:t>
      </w:r>
      <w:r w:rsidRPr="0071383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codes</w:t>
      </w:r>
      <w:r w:rsidRPr="00713839">
        <w:rPr>
          <w:rFonts w:ascii="Arial" w:hAnsi="Arial" w:cs="Arial"/>
          <w:color w:val="7B7B7B" w:themeColor="accent3" w:themeShade="BF"/>
          <w:sz w:val="22"/>
          <w:szCs w:val="22"/>
          <w:lang w:val="en-GB"/>
        </w:rPr>
        <w:t xml:space="preserve"> and case law can constitute the two main sources on this subject. In </w:t>
      </w:r>
      <w:r>
        <w:rPr>
          <w:rFonts w:ascii="Arial" w:hAnsi="Arial" w:cs="Arial"/>
          <w:color w:val="7B7B7B" w:themeColor="accent3" w:themeShade="BF"/>
          <w:sz w:val="22"/>
          <w:szCs w:val="22"/>
          <w:lang w:val="en-GB"/>
        </w:rPr>
        <w:t>States that have adopted the C</w:t>
      </w:r>
      <w:r w:rsidRPr="00713839">
        <w:rPr>
          <w:rFonts w:ascii="Arial" w:hAnsi="Arial" w:cs="Arial"/>
          <w:color w:val="7B7B7B" w:themeColor="accent3" w:themeShade="BF"/>
          <w:sz w:val="22"/>
          <w:szCs w:val="22"/>
          <w:lang w:val="en-GB"/>
        </w:rPr>
        <w:t xml:space="preserve">ommon law system, binding case law </w:t>
      </w:r>
      <w:r>
        <w:rPr>
          <w:rFonts w:ascii="Arial" w:hAnsi="Arial" w:cs="Arial"/>
          <w:color w:val="7B7B7B" w:themeColor="accent3" w:themeShade="BF"/>
          <w:sz w:val="22"/>
          <w:szCs w:val="22"/>
          <w:lang w:val="en-GB"/>
        </w:rPr>
        <w:t>must</w:t>
      </w:r>
      <w:r w:rsidRPr="00713839">
        <w:rPr>
          <w:rFonts w:ascii="Arial" w:hAnsi="Arial" w:cs="Arial"/>
          <w:color w:val="7B7B7B" w:themeColor="accent3" w:themeShade="BF"/>
          <w:sz w:val="22"/>
          <w:szCs w:val="22"/>
          <w:lang w:val="en-GB"/>
        </w:rPr>
        <w:t xml:space="preserve"> be evaluated together as well as the relevant legislation. In </w:t>
      </w:r>
      <w:r>
        <w:rPr>
          <w:rFonts w:ascii="Arial" w:hAnsi="Arial" w:cs="Arial"/>
          <w:color w:val="7B7B7B" w:themeColor="accent3" w:themeShade="BF"/>
          <w:sz w:val="22"/>
          <w:szCs w:val="22"/>
          <w:lang w:val="en-GB"/>
        </w:rPr>
        <w:t>States</w:t>
      </w:r>
      <w:r w:rsidRPr="00713839">
        <w:rPr>
          <w:rFonts w:ascii="Arial" w:hAnsi="Arial" w:cs="Arial"/>
          <w:color w:val="7B7B7B" w:themeColor="accent3" w:themeShade="BF"/>
          <w:sz w:val="22"/>
          <w:szCs w:val="22"/>
          <w:lang w:val="en-GB"/>
        </w:rPr>
        <w:t xml:space="preserve"> that have adopted the </w:t>
      </w:r>
      <w:r>
        <w:rPr>
          <w:rFonts w:ascii="Arial" w:hAnsi="Arial" w:cs="Arial"/>
          <w:color w:val="7B7B7B" w:themeColor="accent3" w:themeShade="BF"/>
          <w:sz w:val="22"/>
          <w:szCs w:val="22"/>
          <w:lang w:val="en-GB"/>
        </w:rPr>
        <w:t>Civil law</w:t>
      </w:r>
      <w:r w:rsidRPr="00713839">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codes</w:t>
      </w:r>
      <w:r w:rsidRPr="00713839">
        <w:rPr>
          <w:rFonts w:ascii="Arial" w:hAnsi="Arial" w:cs="Arial"/>
          <w:color w:val="7B7B7B" w:themeColor="accent3" w:themeShade="BF"/>
          <w:sz w:val="22"/>
          <w:szCs w:val="22"/>
          <w:lang w:val="en-GB"/>
        </w:rPr>
        <w:t xml:space="preserve"> related to the law of insolvency are the main sources. In both systems, the regulations related to the law of insolvency may be gathered in a single </w:t>
      </w:r>
      <w:r>
        <w:rPr>
          <w:rFonts w:ascii="Arial" w:hAnsi="Arial" w:cs="Arial"/>
          <w:color w:val="7B7B7B" w:themeColor="accent3" w:themeShade="BF"/>
          <w:sz w:val="22"/>
          <w:szCs w:val="22"/>
          <w:lang w:val="en-GB"/>
        </w:rPr>
        <w:t>code</w:t>
      </w:r>
      <w:r w:rsidRPr="00713839">
        <w:rPr>
          <w:rFonts w:ascii="Arial" w:hAnsi="Arial" w:cs="Arial"/>
          <w:color w:val="7B7B7B" w:themeColor="accent3" w:themeShade="BF"/>
          <w:sz w:val="22"/>
          <w:szCs w:val="22"/>
          <w:lang w:val="en-GB"/>
        </w:rPr>
        <w:t xml:space="preserve">, or it is possible to come across different </w:t>
      </w:r>
      <w:r>
        <w:rPr>
          <w:rFonts w:ascii="Arial" w:hAnsi="Arial" w:cs="Arial"/>
          <w:color w:val="7B7B7B" w:themeColor="accent3" w:themeShade="BF"/>
          <w:sz w:val="22"/>
          <w:szCs w:val="22"/>
          <w:lang w:val="en-GB"/>
        </w:rPr>
        <w:t>codes</w:t>
      </w:r>
      <w:r w:rsidRPr="00713839">
        <w:rPr>
          <w:rFonts w:ascii="Arial" w:hAnsi="Arial" w:cs="Arial"/>
          <w:color w:val="7B7B7B" w:themeColor="accent3" w:themeShade="BF"/>
          <w:sz w:val="22"/>
          <w:szCs w:val="22"/>
          <w:lang w:val="en-GB"/>
        </w:rPr>
        <w:t xml:space="preserve"> on different subjects.</w:t>
      </w:r>
      <w:r>
        <w:rPr>
          <w:rFonts w:ascii="Arial" w:hAnsi="Arial" w:cs="Arial"/>
          <w:color w:val="7B7B7B" w:themeColor="accent3" w:themeShade="BF"/>
          <w:sz w:val="22"/>
          <w:szCs w:val="22"/>
          <w:lang w:val="en-GB"/>
        </w:rPr>
        <w:t xml:space="preserve"> Such as insolvency for consumers or individuals in a separate code and insolvency for companies in a different code.</w:t>
      </w:r>
    </w:p>
    <w:p w14:paraId="0C46788F" w14:textId="77777777" w:rsidR="00713839" w:rsidRPr="00713839" w:rsidRDefault="00713839" w:rsidP="00713839">
      <w:pPr>
        <w:jc w:val="both"/>
        <w:rPr>
          <w:rFonts w:ascii="Arial" w:hAnsi="Arial" w:cs="Arial"/>
          <w:color w:val="7B7B7B" w:themeColor="accent3" w:themeShade="BF"/>
          <w:sz w:val="22"/>
          <w:szCs w:val="22"/>
          <w:lang w:val="en-GB"/>
        </w:rPr>
      </w:pPr>
    </w:p>
    <w:p w14:paraId="4024A332" w14:textId="68BD30CE" w:rsidR="00544127" w:rsidRPr="00713839" w:rsidRDefault="00713839" w:rsidP="00713839">
      <w:pPr>
        <w:jc w:val="both"/>
        <w:rPr>
          <w:rFonts w:ascii="Arial" w:hAnsi="Arial" w:cs="Arial"/>
          <w:color w:val="7B7B7B" w:themeColor="accent3" w:themeShade="BF"/>
          <w:sz w:val="22"/>
          <w:szCs w:val="22"/>
          <w:lang w:val="en-GB"/>
        </w:rPr>
      </w:pPr>
      <w:r w:rsidRPr="00713839">
        <w:rPr>
          <w:rFonts w:ascii="Arial" w:hAnsi="Arial" w:cs="Arial"/>
          <w:color w:val="7B7B7B" w:themeColor="accent3" w:themeShade="BF"/>
          <w:sz w:val="22"/>
          <w:szCs w:val="22"/>
          <w:lang w:val="en-GB"/>
        </w:rPr>
        <w:t xml:space="preserve">The sources of insolvency law are not limited to the </w:t>
      </w:r>
      <w:r w:rsidR="00A22B7F">
        <w:rPr>
          <w:rFonts w:ascii="Arial" w:hAnsi="Arial" w:cs="Arial"/>
          <w:color w:val="7B7B7B" w:themeColor="accent3" w:themeShade="BF"/>
          <w:sz w:val="22"/>
          <w:szCs w:val="22"/>
          <w:lang w:val="en-GB"/>
        </w:rPr>
        <w:t>codes</w:t>
      </w:r>
      <w:r w:rsidRPr="00713839">
        <w:rPr>
          <w:rFonts w:ascii="Arial" w:hAnsi="Arial" w:cs="Arial"/>
          <w:color w:val="7B7B7B" w:themeColor="accent3" w:themeShade="BF"/>
          <w:sz w:val="22"/>
          <w:szCs w:val="22"/>
          <w:lang w:val="en-GB"/>
        </w:rPr>
        <w:t xml:space="preserve"> pertaining to these procedures. In addition, </w:t>
      </w:r>
      <w:r w:rsidR="00A22B7F">
        <w:rPr>
          <w:rFonts w:ascii="Arial" w:hAnsi="Arial" w:cs="Arial"/>
          <w:color w:val="7B7B7B" w:themeColor="accent3" w:themeShade="BF"/>
          <w:sz w:val="22"/>
          <w:szCs w:val="22"/>
          <w:lang w:val="en-GB"/>
        </w:rPr>
        <w:t>codes</w:t>
      </w:r>
      <w:r w:rsidRPr="00713839">
        <w:rPr>
          <w:rFonts w:ascii="Arial" w:hAnsi="Arial" w:cs="Arial"/>
          <w:color w:val="7B7B7B" w:themeColor="accent3" w:themeShade="BF"/>
          <w:sz w:val="22"/>
          <w:szCs w:val="22"/>
          <w:lang w:val="en-GB"/>
        </w:rPr>
        <w:t xml:space="preserve"> related to substantive law may also contain regulations that affect the law of insolvency. For example, regulations related to company law or </w:t>
      </w:r>
      <w:r w:rsidR="00A22B7F">
        <w:rPr>
          <w:rFonts w:ascii="Arial" w:hAnsi="Arial" w:cs="Arial"/>
          <w:color w:val="7B7B7B" w:themeColor="accent3" w:themeShade="BF"/>
          <w:sz w:val="22"/>
          <w:szCs w:val="22"/>
          <w:lang w:val="en-GB"/>
        </w:rPr>
        <w:t>securities</w:t>
      </w:r>
      <w:r w:rsidRPr="00713839">
        <w:rPr>
          <w:rFonts w:ascii="Arial" w:hAnsi="Arial" w:cs="Arial"/>
          <w:color w:val="7B7B7B" w:themeColor="accent3" w:themeShade="BF"/>
          <w:sz w:val="22"/>
          <w:szCs w:val="22"/>
          <w:lang w:val="en-GB"/>
        </w:rPr>
        <w:t xml:space="preserve"> have a wide application area in the insolvency procedure and have significant effects on the process.</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4EE57504" w:rsidR="00DF75F8" w:rsidRPr="00205B31" w:rsidRDefault="00DF75F8" w:rsidP="00B7193E">
      <w:pPr>
        <w:jc w:val="both"/>
        <w:rPr>
          <w:rFonts w:ascii="Arial" w:hAnsi="Arial" w:cs="Arial"/>
          <w:sz w:val="22"/>
          <w:szCs w:val="22"/>
          <w:lang w:val="en-GB"/>
        </w:rPr>
      </w:pPr>
    </w:p>
    <w:p w14:paraId="57E85710" w14:textId="1E82AE7F" w:rsidR="00067821" w:rsidRPr="00067821" w:rsidRDefault="00067821" w:rsidP="00067821">
      <w:pPr>
        <w:widowControl w:val="0"/>
        <w:jc w:val="both"/>
        <w:rPr>
          <w:rFonts w:ascii="Arial" w:hAnsi="Arial" w:cs="Arial"/>
          <w:color w:val="7B7B7B" w:themeColor="accent3" w:themeShade="BF"/>
          <w:sz w:val="22"/>
          <w:szCs w:val="22"/>
          <w:lang w:val="en-GB"/>
        </w:rPr>
      </w:pPr>
      <w:r w:rsidRPr="00067821">
        <w:rPr>
          <w:rFonts w:ascii="Arial" w:hAnsi="Arial" w:cs="Arial"/>
          <w:color w:val="7B7B7B" w:themeColor="accent3" w:themeShade="BF"/>
          <w:sz w:val="22"/>
          <w:szCs w:val="22"/>
          <w:lang w:val="en-GB"/>
        </w:rPr>
        <w:t xml:space="preserve">The first question asked by Fletcher concerns the determination in which </w:t>
      </w:r>
      <w:r>
        <w:rPr>
          <w:rFonts w:ascii="Arial" w:hAnsi="Arial" w:cs="Arial"/>
          <w:color w:val="7B7B7B" w:themeColor="accent3" w:themeShade="BF"/>
          <w:sz w:val="22"/>
          <w:szCs w:val="22"/>
          <w:lang w:val="en-GB"/>
        </w:rPr>
        <w:t>State’s</w:t>
      </w:r>
      <w:r w:rsidRPr="00067821">
        <w:rPr>
          <w:rFonts w:ascii="Arial" w:hAnsi="Arial" w:cs="Arial"/>
          <w:color w:val="7B7B7B" w:themeColor="accent3" w:themeShade="BF"/>
          <w:sz w:val="22"/>
          <w:szCs w:val="22"/>
          <w:lang w:val="en-GB"/>
        </w:rPr>
        <w:t xml:space="preserve"> court the </w:t>
      </w:r>
      <w:r>
        <w:rPr>
          <w:rFonts w:ascii="Arial" w:hAnsi="Arial" w:cs="Arial"/>
          <w:color w:val="7B7B7B" w:themeColor="accent3" w:themeShade="BF"/>
          <w:sz w:val="22"/>
          <w:szCs w:val="22"/>
          <w:lang w:val="en-GB"/>
        </w:rPr>
        <w:t>insolvency proceeding</w:t>
      </w:r>
      <w:r w:rsidRPr="00067821">
        <w:rPr>
          <w:rFonts w:ascii="Arial" w:hAnsi="Arial" w:cs="Arial"/>
          <w:color w:val="7B7B7B" w:themeColor="accent3" w:themeShade="BF"/>
          <w:sz w:val="22"/>
          <w:szCs w:val="22"/>
          <w:lang w:val="en-GB"/>
        </w:rPr>
        <w:t xml:space="preserve"> will be initiated in cases where the </w:t>
      </w:r>
      <w:r>
        <w:rPr>
          <w:rFonts w:ascii="Arial" w:hAnsi="Arial" w:cs="Arial"/>
          <w:color w:val="7B7B7B" w:themeColor="accent3" w:themeShade="BF"/>
          <w:sz w:val="22"/>
          <w:szCs w:val="22"/>
          <w:lang w:val="en-GB"/>
        </w:rPr>
        <w:t>insolvency</w:t>
      </w:r>
      <w:r w:rsidRPr="00067821">
        <w:rPr>
          <w:rFonts w:ascii="Arial" w:hAnsi="Arial" w:cs="Arial"/>
          <w:color w:val="7B7B7B" w:themeColor="accent3" w:themeShade="BF"/>
          <w:sz w:val="22"/>
          <w:szCs w:val="22"/>
          <w:lang w:val="en-GB"/>
        </w:rPr>
        <w:t xml:space="preserve"> crosses a border. The </w:t>
      </w:r>
      <w:r w:rsidRPr="00067821">
        <w:rPr>
          <w:rFonts w:ascii="Arial" w:hAnsi="Arial" w:cs="Arial"/>
          <w:color w:val="7B7B7B" w:themeColor="accent3" w:themeShade="BF"/>
          <w:sz w:val="22"/>
          <w:szCs w:val="22"/>
          <w:lang w:val="en-GB"/>
        </w:rPr>
        <w:lastRenderedPageBreak/>
        <w:t xml:space="preserve">first thing to be determined when </w:t>
      </w:r>
      <w:proofErr w:type="gramStart"/>
      <w:r w:rsidRPr="00067821">
        <w:rPr>
          <w:rFonts w:ascii="Arial" w:hAnsi="Arial" w:cs="Arial"/>
          <w:color w:val="7B7B7B" w:themeColor="accent3" w:themeShade="BF"/>
          <w:sz w:val="22"/>
          <w:szCs w:val="22"/>
          <w:lang w:val="en-GB"/>
        </w:rPr>
        <w:t>a</w:t>
      </w:r>
      <w:proofErr w:type="gramEnd"/>
      <w:r w:rsidRPr="00067821">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insolvency proceeding</w:t>
      </w:r>
      <w:r w:rsidRPr="00067821">
        <w:rPr>
          <w:rFonts w:ascii="Arial" w:hAnsi="Arial" w:cs="Arial"/>
          <w:color w:val="7B7B7B" w:themeColor="accent3" w:themeShade="BF"/>
          <w:sz w:val="22"/>
          <w:szCs w:val="22"/>
          <w:lang w:val="en-GB"/>
        </w:rPr>
        <w:t xml:space="preserve"> is to be initiated, whether initiated by the debtor or the creditor, will be the jurisdiction of the court. The person who will apply for </w:t>
      </w:r>
      <w:r>
        <w:rPr>
          <w:rFonts w:ascii="Arial" w:hAnsi="Arial" w:cs="Arial"/>
          <w:color w:val="7B7B7B" w:themeColor="accent3" w:themeShade="BF"/>
          <w:sz w:val="22"/>
          <w:szCs w:val="22"/>
          <w:lang w:val="en-GB"/>
        </w:rPr>
        <w:t>insolvency</w:t>
      </w:r>
      <w:r w:rsidRPr="00067821">
        <w:rPr>
          <w:rFonts w:ascii="Arial" w:hAnsi="Arial" w:cs="Arial"/>
          <w:color w:val="7B7B7B" w:themeColor="accent3" w:themeShade="BF"/>
          <w:sz w:val="22"/>
          <w:szCs w:val="22"/>
          <w:lang w:val="en-GB"/>
        </w:rPr>
        <w:t xml:space="preserve"> will want to file for </w:t>
      </w:r>
      <w:r>
        <w:rPr>
          <w:rFonts w:ascii="Arial" w:hAnsi="Arial" w:cs="Arial"/>
          <w:color w:val="7B7B7B" w:themeColor="accent3" w:themeShade="BF"/>
          <w:sz w:val="22"/>
          <w:szCs w:val="22"/>
          <w:lang w:val="en-GB"/>
        </w:rPr>
        <w:t>proceeding</w:t>
      </w:r>
      <w:r w:rsidRPr="00067821">
        <w:rPr>
          <w:rFonts w:ascii="Arial" w:hAnsi="Arial" w:cs="Arial"/>
          <w:color w:val="7B7B7B" w:themeColor="accent3" w:themeShade="BF"/>
          <w:sz w:val="22"/>
          <w:szCs w:val="22"/>
          <w:lang w:val="en-GB"/>
        </w:rPr>
        <w:t xml:space="preserve"> in the most suitable place for his/her own benefit. On the other hand, other interested parties will object to the </w:t>
      </w:r>
      <w:r>
        <w:rPr>
          <w:rFonts w:ascii="Arial" w:hAnsi="Arial" w:cs="Arial"/>
          <w:color w:val="7B7B7B" w:themeColor="accent3" w:themeShade="BF"/>
          <w:sz w:val="22"/>
          <w:szCs w:val="22"/>
          <w:lang w:val="en-GB"/>
        </w:rPr>
        <w:t>jurisdiction</w:t>
      </w:r>
      <w:r w:rsidRPr="00067821">
        <w:rPr>
          <w:rFonts w:ascii="Arial" w:hAnsi="Arial" w:cs="Arial"/>
          <w:color w:val="7B7B7B" w:themeColor="accent3" w:themeShade="BF"/>
          <w:sz w:val="22"/>
          <w:szCs w:val="22"/>
          <w:lang w:val="en-GB"/>
        </w:rPr>
        <w:t xml:space="preserve"> of the </w:t>
      </w:r>
      <w:r>
        <w:rPr>
          <w:rFonts w:ascii="Arial" w:hAnsi="Arial" w:cs="Arial"/>
          <w:color w:val="7B7B7B" w:themeColor="accent3" w:themeShade="BF"/>
          <w:sz w:val="22"/>
          <w:szCs w:val="22"/>
          <w:lang w:val="en-GB"/>
        </w:rPr>
        <w:t>court</w:t>
      </w:r>
      <w:r w:rsidRPr="00067821">
        <w:rPr>
          <w:rFonts w:ascii="Arial" w:hAnsi="Arial" w:cs="Arial"/>
          <w:color w:val="7B7B7B" w:themeColor="accent3" w:themeShade="BF"/>
          <w:sz w:val="22"/>
          <w:szCs w:val="22"/>
          <w:lang w:val="en-GB"/>
        </w:rPr>
        <w:t xml:space="preserve"> where the proce</w:t>
      </w:r>
      <w:r>
        <w:rPr>
          <w:rFonts w:ascii="Arial" w:hAnsi="Arial" w:cs="Arial"/>
          <w:color w:val="7B7B7B" w:themeColor="accent3" w:themeShade="BF"/>
          <w:sz w:val="22"/>
          <w:szCs w:val="22"/>
          <w:lang w:val="en-GB"/>
        </w:rPr>
        <w:t>eding</w:t>
      </w:r>
      <w:r w:rsidRPr="00067821">
        <w:rPr>
          <w:rFonts w:ascii="Arial" w:hAnsi="Arial" w:cs="Arial"/>
          <w:color w:val="7B7B7B" w:themeColor="accent3" w:themeShade="BF"/>
          <w:sz w:val="22"/>
          <w:szCs w:val="22"/>
          <w:lang w:val="en-GB"/>
        </w:rPr>
        <w:t xml:space="preserve"> was started and claim that it should be started in another </w:t>
      </w:r>
      <w:r>
        <w:rPr>
          <w:rFonts w:ascii="Arial" w:hAnsi="Arial" w:cs="Arial"/>
          <w:color w:val="7B7B7B" w:themeColor="accent3" w:themeShade="BF"/>
          <w:sz w:val="22"/>
          <w:szCs w:val="22"/>
          <w:lang w:val="en-GB"/>
        </w:rPr>
        <w:t>State</w:t>
      </w:r>
      <w:r w:rsidRPr="00067821">
        <w:rPr>
          <w:rFonts w:ascii="Arial" w:hAnsi="Arial" w:cs="Arial"/>
          <w:color w:val="7B7B7B" w:themeColor="accent3" w:themeShade="BF"/>
          <w:sz w:val="22"/>
          <w:szCs w:val="22"/>
          <w:lang w:val="en-GB"/>
        </w:rPr>
        <w:t xml:space="preserve"> that suits their interests. The problem of </w:t>
      </w:r>
      <w:r>
        <w:rPr>
          <w:rFonts w:ascii="Arial" w:hAnsi="Arial" w:cs="Arial"/>
          <w:color w:val="7B7B7B" w:themeColor="accent3" w:themeShade="BF"/>
          <w:sz w:val="22"/>
          <w:szCs w:val="22"/>
          <w:lang w:val="en-GB"/>
        </w:rPr>
        <w:t>jurisdiction</w:t>
      </w:r>
      <w:r w:rsidRPr="00067821">
        <w:rPr>
          <w:rFonts w:ascii="Arial" w:hAnsi="Arial" w:cs="Arial"/>
          <w:color w:val="7B7B7B" w:themeColor="accent3" w:themeShade="BF"/>
          <w:sz w:val="22"/>
          <w:szCs w:val="22"/>
          <w:lang w:val="en-GB"/>
        </w:rPr>
        <w:t xml:space="preserve"> is a problem that can affect the progress of the process in cross-border </w:t>
      </w:r>
      <w:r>
        <w:rPr>
          <w:rFonts w:ascii="Arial" w:hAnsi="Arial" w:cs="Arial"/>
          <w:color w:val="7B7B7B" w:themeColor="accent3" w:themeShade="BF"/>
          <w:sz w:val="22"/>
          <w:szCs w:val="22"/>
          <w:lang w:val="en-GB"/>
        </w:rPr>
        <w:t>insolvency proceedings</w:t>
      </w:r>
      <w:r w:rsidRPr="00067821">
        <w:rPr>
          <w:rFonts w:ascii="Arial" w:hAnsi="Arial" w:cs="Arial"/>
          <w:color w:val="7B7B7B" w:themeColor="accent3" w:themeShade="BF"/>
          <w:sz w:val="22"/>
          <w:szCs w:val="22"/>
          <w:lang w:val="en-GB"/>
        </w:rPr>
        <w:t>.</w:t>
      </w:r>
    </w:p>
    <w:p w14:paraId="0760F627" w14:textId="77777777" w:rsidR="00067821" w:rsidRPr="00067821" w:rsidRDefault="00067821" w:rsidP="00067821">
      <w:pPr>
        <w:widowControl w:val="0"/>
        <w:ind w:left="720" w:hanging="720"/>
        <w:jc w:val="both"/>
        <w:rPr>
          <w:rFonts w:ascii="Arial" w:hAnsi="Arial" w:cs="Arial"/>
          <w:color w:val="7B7B7B" w:themeColor="accent3" w:themeShade="BF"/>
          <w:sz w:val="22"/>
          <w:szCs w:val="22"/>
          <w:lang w:val="en-GB"/>
        </w:rPr>
      </w:pPr>
    </w:p>
    <w:p w14:paraId="2DCFFAE1" w14:textId="0897D1C1" w:rsidR="00067821" w:rsidRPr="00067821" w:rsidRDefault="00067821" w:rsidP="00067821">
      <w:pPr>
        <w:widowControl w:val="0"/>
        <w:jc w:val="both"/>
        <w:rPr>
          <w:rFonts w:ascii="Arial" w:hAnsi="Arial" w:cs="Arial"/>
          <w:color w:val="7B7B7B" w:themeColor="accent3" w:themeShade="BF"/>
          <w:sz w:val="22"/>
          <w:szCs w:val="22"/>
          <w:lang w:val="en-GB"/>
        </w:rPr>
      </w:pPr>
      <w:r w:rsidRPr="00067821">
        <w:rPr>
          <w:rFonts w:ascii="Arial" w:hAnsi="Arial" w:cs="Arial"/>
          <w:color w:val="7B7B7B" w:themeColor="accent3" w:themeShade="BF"/>
          <w:sz w:val="22"/>
          <w:szCs w:val="22"/>
          <w:lang w:val="en-GB"/>
        </w:rPr>
        <w:t xml:space="preserve">The second important question is about which </w:t>
      </w:r>
      <w:r>
        <w:rPr>
          <w:rFonts w:ascii="Arial" w:hAnsi="Arial" w:cs="Arial"/>
          <w:color w:val="7B7B7B" w:themeColor="accent3" w:themeShade="BF"/>
          <w:sz w:val="22"/>
          <w:szCs w:val="22"/>
          <w:lang w:val="en-GB"/>
        </w:rPr>
        <w:t>country</w:t>
      </w:r>
      <w:r w:rsidRPr="00067821">
        <w:rPr>
          <w:rFonts w:ascii="Arial" w:hAnsi="Arial" w:cs="Arial"/>
          <w:color w:val="7B7B7B" w:themeColor="accent3" w:themeShade="BF"/>
          <w:sz w:val="22"/>
          <w:szCs w:val="22"/>
          <w:lang w:val="en-GB"/>
        </w:rPr>
        <w:t>'s law will be applied to the</w:t>
      </w:r>
      <w:r>
        <w:rPr>
          <w:rFonts w:ascii="Arial" w:hAnsi="Arial" w:cs="Arial"/>
          <w:color w:val="7B7B7B" w:themeColor="accent3" w:themeShade="BF"/>
          <w:sz w:val="22"/>
          <w:szCs w:val="22"/>
          <w:lang w:val="en-GB"/>
        </w:rPr>
        <w:t xml:space="preserve"> different issues of the proceeding</w:t>
      </w:r>
      <w:r w:rsidRPr="00067821">
        <w:rPr>
          <w:rFonts w:ascii="Arial" w:hAnsi="Arial" w:cs="Arial"/>
          <w:color w:val="7B7B7B" w:themeColor="accent3" w:themeShade="BF"/>
          <w:sz w:val="22"/>
          <w:szCs w:val="22"/>
          <w:lang w:val="en-GB"/>
        </w:rPr>
        <w:t>. The determination of the law to be applied will vary according to the legal problem that is being tried to be resolved. In this sense, in an insolvency proce</w:t>
      </w:r>
      <w:r>
        <w:rPr>
          <w:rFonts w:ascii="Arial" w:hAnsi="Arial" w:cs="Arial"/>
          <w:color w:val="7B7B7B" w:themeColor="accent3" w:themeShade="BF"/>
          <w:sz w:val="22"/>
          <w:szCs w:val="22"/>
          <w:lang w:val="en-GB"/>
        </w:rPr>
        <w:t>eding</w:t>
      </w:r>
      <w:r w:rsidRPr="00067821">
        <w:rPr>
          <w:rFonts w:ascii="Arial" w:hAnsi="Arial" w:cs="Arial"/>
          <w:color w:val="7B7B7B" w:themeColor="accent3" w:themeShade="BF"/>
          <w:sz w:val="22"/>
          <w:szCs w:val="22"/>
          <w:lang w:val="en-GB"/>
        </w:rPr>
        <w:t>, the same court applies the laws of different countries to different legal problems.</w:t>
      </w:r>
    </w:p>
    <w:p w14:paraId="1ED852DF" w14:textId="77777777" w:rsidR="00067821" w:rsidRPr="00067821" w:rsidRDefault="00067821" w:rsidP="00067821">
      <w:pPr>
        <w:widowControl w:val="0"/>
        <w:ind w:left="720" w:hanging="720"/>
        <w:jc w:val="both"/>
        <w:rPr>
          <w:rFonts w:ascii="Arial" w:hAnsi="Arial" w:cs="Arial"/>
          <w:color w:val="7B7B7B" w:themeColor="accent3" w:themeShade="BF"/>
          <w:sz w:val="22"/>
          <w:szCs w:val="22"/>
          <w:lang w:val="en-GB"/>
        </w:rPr>
      </w:pPr>
    </w:p>
    <w:p w14:paraId="4135BFDA" w14:textId="6132B374" w:rsidR="00275182" w:rsidRPr="00067821" w:rsidRDefault="00067821" w:rsidP="00067821">
      <w:pPr>
        <w:widowControl w:val="0"/>
        <w:jc w:val="both"/>
        <w:rPr>
          <w:rFonts w:ascii="Arial" w:hAnsi="Arial" w:cs="Arial"/>
          <w:color w:val="7B7B7B" w:themeColor="accent3" w:themeShade="BF"/>
          <w:sz w:val="22"/>
          <w:szCs w:val="22"/>
          <w:lang w:val="en-GB"/>
        </w:rPr>
      </w:pPr>
      <w:r w:rsidRPr="00067821">
        <w:rPr>
          <w:rFonts w:ascii="Arial" w:hAnsi="Arial" w:cs="Arial"/>
          <w:color w:val="7B7B7B" w:themeColor="accent3" w:themeShade="BF"/>
          <w:sz w:val="22"/>
          <w:szCs w:val="22"/>
          <w:lang w:val="en-GB"/>
        </w:rPr>
        <w:t>The last important question Fletcher asks is about what effects the insolvency proce</w:t>
      </w:r>
      <w:r>
        <w:rPr>
          <w:rFonts w:ascii="Arial" w:hAnsi="Arial" w:cs="Arial"/>
          <w:color w:val="7B7B7B" w:themeColor="accent3" w:themeShade="BF"/>
          <w:sz w:val="22"/>
          <w:szCs w:val="22"/>
          <w:lang w:val="en-GB"/>
        </w:rPr>
        <w:t>eding</w:t>
      </w:r>
      <w:r w:rsidRPr="00067821">
        <w:rPr>
          <w:rFonts w:ascii="Arial" w:hAnsi="Arial" w:cs="Arial"/>
          <w:color w:val="7B7B7B" w:themeColor="accent3" w:themeShade="BF"/>
          <w:sz w:val="22"/>
          <w:szCs w:val="22"/>
          <w:lang w:val="en-GB"/>
        </w:rPr>
        <w:t xml:space="preserve"> seen in one place might have in the international arena. Are the actions and decisions taken by a court of a certain place, which considers itself authorized, are </w:t>
      </w:r>
      <w:r>
        <w:rPr>
          <w:rFonts w:ascii="Arial" w:hAnsi="Arial" w:cs="Arial"/>
          <w:color w:val="7B7B7B" w:themeColor="accent3" w:themeShade="BF"/>
          <w:sz w:val="22"/>
          <w:szCs w:val="22"/>
          <w:lang w:val="en-GB"/>
        </w:rPr>
        <w:t>recognisable</w:t>
      </w:r>
      <w:r w:rsidRPr="00067821">
        <w:rPr>
          <w:rFonts w:ascii="Arial" w:hAnsi="Arial" w:cs="Arial"/>
          <w:color w:val="7B7B7B" w:themeColor="accent3" w:themeShade="BF"/>
          <w:sz w:val="22"/>
          <w:szCs w:val="22"/>
          <w:lang w:val="en-GB"/>
        </w:rPr>
        <w:t xml:space="preserve"> and enforceable in another country? This problem is tried to be solved through multilateral agreements and other instruments of private international law.</w:t>
      </w: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1FCFB77D" w14:textId="77777777" w:rsidR="00EC09E3" w:rsidRDefault="00EC09E3" w:rsidP="00B7193E">
      <w:pPr>
        <w:jc w:val="both"/>
        <w:rPr>
          <w:rFonts w:ascii="Arial" w:hAnsi="Arial" w:cs="Arial"/>
          <w:color w:val="7B7B7B" w:themeColor="accent3" w:themeShade="BF"/>
          <w:sz w:val="22"/>
          <w:szCs w:val="22"/>
          <w:lang w:val="en-GB"/>
        </w:rPr>
      </w:pPr>
      <w:r w:rsidRPr="00EC09E3">
        <w:rPr>
          <w:rFonts w:ascii="Arial" w:hAnsi="Arial" w:cs="Arial"/>
          <w:color w:val="7B7B7B" w:themeColor="accent3" w:themeShade="BF"/>
          <w:sz w:val="22"/>
          <w:szCs w:val="22"/>
          <w:lang w:val="en-GB"/>
        </w:rPr>
        <w:t xml:space="preserve">Cross-border Insolvency Agreements can be used for different purposes in various ways in cross-border insolvency procedures. </w:t>
      </w:r>
      <w:r>
        <w:rPr>
          <w:rFonts w:ascii="Arial" w:hAnsi="Arial" w:cs="Arial"/>
          <w:color w:val="7B7B7B" w:themeColor="accent3" w:themeShade="BF"/>
          <w:sz w:val="22"/>
          <w:szCs w:val="22"/>
          <w:lang w:val="en-GB"/>
        </w:rPr>
        <w:t>I</w:t>
      </w:r>
      <w:r w:rsidRPr="00EC09E3">
        <w:rPr>
          <w:rFonts w:ascii="Arial" w:hAnsi="Arial" w:cs="Arial"/>
          <w:color w:val="7B7B7B" w:themeColor="accent3" w:themeShade="BF"/>
          <w:sz w:val="22"/>
          <w:szCs w:val="22"/>
          <w:lang w:val="en-GB"/>
        </w:rPr>
        <w:t xml:space="preserve">t serves many purposes including but not limited to the administration and </w:t>
      </w:r>
      <w:r>
        <w:rPr>
          <w:rFonts w:ascii="Arial" w:hAnsi="Arial" w:cs="Arial"/>
          <w:color w:val="7B7B7B" w:themeColor="accent3" w:themeShade="BF"/>
          <w:sz w:val="22"/>
          <w:szCs w:val="22"/>
          <w:lang w:val="en-GB"/>
        </w:rPr>
        <w:t>liquidation of the</w:t>
      </w:r>
      <w:r w:rsidRPr="00EC09E3">
        <w:rPr>
          <w:rFonts w:ascii="Arial" w:hAnsi="Arial" w:cs="Arial"/>
          <w:color w:val="7B7B7B" w:themeColor="accent3" w:themeShade="BF"/>
          <w:sz w:val="22"/>
          <w:szCs w:val="22"/>
          <w:lang w:val="en-GB"/>
        </w:rPr>
        <w:t xml:space="preserve"> asset</w:t>
      </w:r>
      <w:r>
        <w:rPr>
          <w:rFonts w:ascii="Arial" w:hAnsi="Arial" w:cs="Arial"/>
          <w:color w:val="7B7B7B" w:themeColor="accent3" w:themeShade="BF"/>
          <w:sz w:val="22"/>
          <w:szCs w:val="22"/>
          <w:lang w:val="en-GB"/>
        </w:rPr>
        <w:t>s</w:t>
      </w:r>
      <w:r w:rsidRPr="00EC09E3">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participation</w:t>
      </w:r>
      <w:r w:rsidRPr="00EC09E3">
        <w:rPr>
          <w:rFonts w:ascii="Arial" w:hAnsi="Arial" w:cs="Arial"/>
          <w:color w:val="7B7B7B" w:themeColor="accent3" w:themeShade="BF"/>
          <w:sz w:val="22"/>
          <w:szCs w:val="22"/>
          <w:lang w:val="en-GB"/>
        </w:rPr>
        <w:t xml:space="preserve"> of creditors in different countries, the prevention of increase in expenses in parallel procedures. </w:t>
      </w:r>
    </w:p>
    <w:p w14:paraId="7D8136BC" w14:textId="77777777" w:rsidR="00EC09E3" w:rsidRDefault="00EC09E3" w:rsidP="00B7193E">
      <w:pPr>
        <w:jc w:val="both"/>
        <w:rPr>
          <w:rFonts w:ascii="Arial" w:hAnsi="Arial" w:cs="Arial"/>
          <w:color w:val="7B7B7B" w:themeColor="accent3" w:themeShade="BF"/>
          <w:sz w:val="22"/>
          <w:szCs w:val="22"/>
          <w:lang w:val="en-GB"/>
        </w:rPr>
      </w:pPr>
    </w:p>
    <w:p w14:paraId="7778D470" w14:textId="1C42B41F" w:rsidR="00EC09E3" w:rsidRDefault="00EC09E3" w:rsidP="00B7193E">
      <w:pPr>
        <w:jc w:val="both"/>
        <w:rPr>
          <w:rFonts w:ascii="Arial" w:hAnsi="Arial" w:cs="Arial"/>
          <w:color w:val="7B7B7B" w:themeColor="accent3" w:themeShade="BF"/>
          <w:sz w:val="22"/>
          <w:szCs w:val="22"/>
          <w:lang w:val="en-GB"/>
        </w:rPr>
      </w:pPr>
      <w:r w:rsidRPr="00EC09E3">
        <w:rPr>
          <w:rFonts w:ascii="Arial" w:hAnsi="Arial" w:cs="Arial"/>
          <w:color w:val="7B7B7B" w:themeColor="accent3" w:themeShade="BF"/>
          <w:sz w:val="22"/>
          <w:szCs w:val="22"/>
          <w:lang w:val="en-GB"/>
        </w:rPr>
        <w:t xml:space="preserve">In Article 27 of the MLCBI, the forms of cooperation that will take place between the courts and representatives are counted as exemplary. As stated in the </w:t>
      </w:r>
      <w:r>
        <w:rPr>
          <w:rFonts w:ascii="Arial" w:hAnsi="Arial" w:cs="Arial"/>
          <w:color w:val="7B7B7B" w:themeColor="accent3" w:themeShade="BF"/>
          <w:sz w:val="22"/>
          <w:szCs w:val="22"/>
          <w:lang w:val="en-GB"/>
        </w:rPr>
        <w:t>quotation</w:t>
      </w:r>
      <w:r w:rsidRPr="00EC09E3">
        <w:rPr>
          <w:rFonts w:ascii="Arial" w:hAnsi="Arial" w:cs="Arial"/>
          <w:color w:val="7B7B7B" w:themeColor="accent3" w:themeShade="BF"/>
          <w:sz w:val="22"/>
          <w:szCs w:val="22"/>
          <w:lang w:val="en-GB"/>
        </w:rPr>
        <w:t>, this cooperation was known and practiced before the Model Law. Precedent cases on this issue are summarized in Annex 1 of UNCITRAL's "Practice Guide on Cross-Border Insolvency Coope</w:t>
      </w:r>
      <w:r>
        <w:rPr>
          <w:rFonts w:ascii="Arial" w:hAnsi="Arial" w:cs="Arial"/>
          <w:color w:val="7B7B7B" w:themeColor="accent3" w:themeShade="BF"/>
          <w:sz w:val="22"/>
          <w:szCs w:val="22"/>
          <w:lang w:val="en-GB"/>
        </w:rPr>
        <w:t>ration"</w:t>
      </w:r>
      <w:r>
        <w:rPr>
          <w:rStyle w:val="DipnotBavurusu"/>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Of the 44 cases in that</w:t>
      </w:r>
      <w:r w:rsidRPr="00EC09E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annex</w:t>
      </w:r>
      <w:r w:rsidRPr="00EC09E3">
        <w:rPr>
          <w:rFonts w:ascii="Arial" w:hAnsi="Arial" w:cs="Arial"/>
          <w:color w:val="7B7B7B" w:themeColor="accent3" w:themeShade="BF"/>
          <w:sz w:val="22"/>
          <w:szCs w:val="22"/>
          <w:lang w:val="en-GB"/>
        </w:rPr>
        <w:t xml:space="preserve">, 6 are prior to 1997, when the Model Law was adopted. </w:t>
      </w:r>
    </w:p>
    <w:p w14:paraId="0CC5D32A" w14:textId="77777777" w:rsidR="00EC09E3" w:rsidRDefault="00EC09E3" w:rsidP="00B7193E">
      <w:pPr>
        <w:jc w:val="both"/>
        <w:rPr>
          <w:rFonts w:ascii="Arial" w:hAnsi="Arial" w:cs="Arial"/>
          <w:color w:val="7B7B7B" w:themeColor="accent3" w:themeShade="BF"/>
          <w:sz w:val="22"/>
          <w:szCs w:val="22"/>
          <w:lang w:val="en-GB"/>
        </w:rPr>
      </w:pPr>
    </w:p>
    <w:p w14:paraId="4E83D7AF" w14:textId="709A41B4" w:rsidR="00DF75F8" w:rsidRPr="00205B31" w:rsidRDefault="00EC09E3" w:rsidP="00B7193E">
      <w:pPr>
        <w:jc w:val="both"/>
        <w:rPr>
          <w:rFonts w:ascii="Arial" w:hAnsi="Arial" w:cs="Arial"/>
          <w:sz w:val="22"/>
          <w:szCs w:val="22"/>
          <w:lang w:val="en-GB"/>
        </w:rPr>
      </w:pPr>
      <w:r w:rsidRPr="00EC09E3">
        <w:rPr>
          <w:rFonts w:ascii="Arial" w:hAnsi="Arial" w:cs="Arial"/>
          <w:color w:val="7B7B7B" w:themeColor="accent3" w:themeShade="BF"/>
          <w:sz w:val="22"/>
          <w:szCs w:val="22"/>
          <w:lang w:val="en-GB"/>
        </w:rPr>
        <w:t xml:space="preserve">Prominent among these is the one dated </w:t>
      </w:r>
      <w:r w:rsidR="00407B9D" w:rsidRPr="00EC09E3">
        <w:rPr>
          <w:rFonts w:ascii="Arial" w:hAnsi="Arial" w:cs="Arial"/>
          <w:color w:val="7B7B7B" w:themeColor="accent3" w:themeShade="BF"/>
          <w:sz w:val="22"/>
          <w:szCs w:val="22"/>
          <w:lang w:val="en-GB"/>
        </w:rPr>
        <w:t>1991/1992</w:t>
      </w:r>
      <w:r w:rsidR="00407B9D">
        <w:rPr>
          <w:rFonts w:ascii="Arial" w:hAnsi="Arial" w:cs="Arial"/>
          <w:color w:val="7B7B7B" w:themeColor="accent3" w:themeShade="BF"/>
          <w:sz w:val="22"/>
          <w:szCs w:val="22"/>
          <w:lang w:val="en-GB"/>
        </w:rPr>
        <w:t xml:space="preserve"> case called “</w:t>
      </w:r>
      <w:r w:rsidRPr="00EC09E3">
        <w:rPr>
          <w:rFonts w:ascii="Arial" w:hAnsi="Arial" w:cs="Arial"/>
          <w:color w:val="7B7B7B" w:themeColor="accent3" w:themeShade="BF"/>
          <w:sz w:val="22"/>
          <w:szCs w:val="22"/>
          <w:lang w:val="en-GB"/>
        </w:rPr>
        <w:t>Maxwell</w:t>
      </w:r>
      <w:r w:rsidR="00407B9D">
        <w:rPr>
          <w:rFonts w:ascii="Arial" w:hAnsi="Arial" w:cs="Arial"/>
          <w:color w:val="7B7B7B" w:themeColor="accent3" w:themeShade="BF"/>
          <w:sz w:val="22"/>
          <w:szCs w:val="22"/>
          <w:lang w:val="en-GB"/>
        </w:rPr>
        <w:t>”</w:t>
      </w:r>
      <w:r w:rsidRPr="00EC09E3">
        <w:rPr>
          <w:rFonts w:ascii="Arial" w:hAnsi="Arial" w:cs="Arial"/>
          <w:color w:val="7B7B7B" w:themeColor="accent3" w:themeShade="BF"/>
          <w:sz w:val="22"/>
          <w:szCs w:val="22"/>
          <w:lang w:val="en-GB"/>
        </w:rPr>
        <w:t xml:space="preserve">. Insolvency proceedings have been initiated against the debtor Maxwell in both the United Kingdom and the United States. In these two </w:t>
      </w:r>
      <w:r w:rsidR="00407B9D">
        <w:rPr>
          <w:rFonts w:ascii="Arial" w:hAnsi="Arial" w:cs="Arial"/>
          <w:color w:val="7B7B7B" w:themeColor="accent3" w:themeShade="BF"/>
          <w:sz w:val="22"/>
          <w:szCs w:val="22"/>
          <w:lang w:val="en-GB"/>
        </w:rPr>
        <w:t>concurrent</w:t>
      </w:r>
      <w:r w:rsidRPr="00EC09E3">
        <w:rPr>
          <w:rFonts w:ascii="Arial" w:hAnsi="Arial" w:cs="Arial"/>
          <w:color w:val="7B7B7B" w:themeColor="accent3" w:themeShade="BF"/>
          <w:sz w:val="22"/>
          <w:szCs w:val="22"/>
          <w:lang w:val="en-GB"/>
        </w:rPr>
        <w:t xml:space="preserve"> procedures, the examiner from the USA and the joint administrators from the UK carried out an unprecedented cooperation in accordance with the signed "protocol". In this context, the assets of the debtor were evaluated jointly in terms of both procedures, the </w:t>
      </w:r>
      <w:r w:rsidR="00407B9D">
        <w:rPr>
          <w:rFonts w:ascii="Arial" w:hAnsi="Arial" w:cs="Arial"/>
          <w:color w:val="7B7B7B" w:themeColor="accent3" w:themeShade="BF"/>
          <w:sz w:val="22"/>
          <w:szCs w:val="22"/>
          <w:lang w:val="en-GB"/>
        </w:rPr>
        <w:t>submitting of claims</w:t>
      </w:r>
      <w:r w:rsidRPr="00EC09E3">
        <w:rPr>
          <w:rFonts w:ascii="Arial" w:hAnsi="Arial" w:cs="Arial"/>
          <w:color w:val="7B7B7B" w:themeColor="accent3" w:themeShade="BF"/>
          <w:sz w:val="22"/>
          <w:szCs w:val="22"/>
          <w:lang w:val="en-GB"/>
        </w:rPr>
        <w:t xml:space="preserve"> was carried out in connection in both countries, and unity was achieved in the voting of the </w:t>
      </w:r>
      <w:r w:rsidR="00407B9D">
        <w:rPr>
          <w:rFonts w:ascii="Arial" w:hAnsi="Arial" w:cs="Arial"/>
          <w:color w:val="7B7B7B" w:themeColor="accent3" w:themeShade="BF"/>
          <w:sz w:val="22"/>
          <w:szCs w:val="22"/>
          <w:lang w:val="en-GB"/>
        </w:rPr>
        <w:t>plan and scheme</w:t>
      </w:r>
      <w:r w:rsidRPr="00EC09E3">
        <w:rPr>
          <w:rFonts w:ascii="Arial" w:hAnsi="Arial" w:cs="Arial"/>
          <w:color w:val="7B7B7B" w:themeColor="accent3" w:themeShade="BF"/>
          <w:sz w:val="22"/>
          <w:szCs w:val="22"/>
          <w:lang w:val="en-GB"/>
        </w:rPr>
        <w:t>.</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proofErr w:type="spellStart"/>
      <w:r w:rsidRPr="00205B31">
        <w:rPr>
          <w:rFonts w:ascii="Arial" w:hAnsi="Arial" w:cs="Arial"/>
          <w:sz w:val="22"/>
          <w:szCs w:val="22"/>
          <w:lang w:val="en-GB"/>
        </w:rPr>
        <w:t>Rydell</w:t>
      </w:r>
      <w:proofErr w:type="spellEnd"/>
      <w:r w:rsidRPr="00205B31">
        <w:rPr>
          <w:rFonts w:ascii="Arial" w:hAnsi="Arial" w:cs="Arial"/>
          <w:sz w:val="22"/>
          <w:szCs w:val="22"/>
          <w:lang w:val="en-GB"/>
        </w:rPr>
        <w:t xml:space="preserve"> Co Ltd </w:t>
      </w:r>
      <w:r w:rsidR="00BF2B49" w:rsidRPr="00205B31">
        <w:rPr>
          <w:rFonts w:ascii="Arial" w:hAnsi="Arial" w:cs="Arial"/>
          <w:sz w:val="22"/>
          <w:szCs w:val="22"/>
          <w:lang w:val="en-GB"/>
        </w:rPr>
        <w:t>(</w:t>
      </w:r>
      <w:proofErr w:type="spellStart"/>
      <w:r w:rsidR="00BF2B49" w:rsidRPr="00205B31">
        <w:rPr>
          <w:rFonts w:ascii="Arial" w:hAnsi="Arial" w:cs="Arial"/>
          <w:sz w:val="22"/>
          <w:szCs w:val="22"/>
          <w:lang w:val="en-GB"/>
        </w:rPr>
        <w:t>Rydell</w:t>
      </w:r>
      <w:proofErr w:type="spellEnd"/>
      <w:r w:rsidR="00BF2B49" w:rsidRPr="00205B31">
        <w:rPr>
          <w:rFonts w:ascii="Arial" w:hAnsi="Arial" w:cs="Arial"/>
          <w:sz w:val="22"/>
          <w:szCs w:val="22"/>
          <w:lang w:val="en-GB"/>
        </w:rPr>
        <w:t xml:space="preserve">)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proofErr w:type="spellStart"/>
      <w:r w:rsidR="00486776" w:rsidRPr="00205B31">
        <w:rPr>
          <w:rFonts w:ascii="Arial" w:hAnsi="Arial" w:cs="Arial"/>
          <w:color w:val="212529"/>
          <w:sz w:val="22"/>
          <w:szCs w:val="22"/>
          <w:shd w:val="clear" w:color="auto" w:fill="FFFFFF"/>
          <w:lang w:val="en-GB"/>
        </w:rPr>
        <w:t>Rydell</w:t>
      </w:r>
      <w:proofErr w:type="spellEnd"/>
      <w:r w:rsidR="00486776" w:rsidRPr="00205B31">
        <w:rPr>
          <w:rFonts w:ascii="Arial" w:hAnsi="Arial" w:cs="Arial"/>
          <w:color w:val="212529"/>
          <w:sz w:val="22"/>
          <w:szCs w:val="22"/>
          <w:shd w:val="clear" w:color="auto" w:fill="FFFFFF"/>
          <w:lang w:val="en-GB"/>
        </w:rPr>
        <w:t xml:space="preserve">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proofErr w:type="spellStart"/>
      <w:r w:rsidRPr="00205B31">
        <w:rPr>
          <w:rFonts w:ascii="Arial" w:hAnsi="Arial" w:cs="Arial"/>
          <w:color w:val="212529"/>
          <w:sz w:val="22"/>
          <w:szCs w:val="22"/>
          <w:shd w:val="clear" w:color="auto" w:fill="FFFFFF"/>
          <w:lang w:val="en-GB"/>
        </w:rPr>
        <w:t>Rydell’s</w:t>
      </w:r>
      <w:proofErr w:type="spellEnd"/>
      <w:r w:rsidRPr="00205B31">
        <w:rPr>
          <w:rFonts w:ascii="Arial" w:hAnsi="Arial" w:cs="Arial"/>
          <w:color w:val="212529"/>
          <w:sz w:val="22"/>
          <w:szCs w:val="22"/>
          <w:shd w:val="clear" w:color="auto" w:fill="FFFFFF"/>
          <w:lang w:val="en-GB"/>
        </w:rPr>
        <w:t xml:space="preserve">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proofErr w:type="spellStart"/>
      <w:r w:rsidR="00A56DBC" w:rsidRPr="00205B31">
        <w:rPr>
          <w:rFonts w:ascii="Arial" w:hAnsi="Arial" w:cs="Arial"/>
          <w:color w:val="212529"/>
          <w:sz w:val="22"/>
          <w:szCs w:val="22"/>
          <w:shd w:val="clear" w:color="auto" w:fill="FFFFFF"/>
          <w:lang w:val="en-GB"/>
        </w:rPr>
        <w:t>Rydell</w:t>
      </w:r>
      <w:proofErr w:type="spellEnd"/>
      <w:r w:rsidR="00A56DBC" w:rsidRPr="00205B31">
        <w:rPr>
          <w:rFonts w:ascii="Arial" w:hAnsi="Arial" w:cs="Arial"/>
          <w:color w:val="212529"/>
          <w:sz w:val="22"/>
          <w:szCs w:val="22"/>
          <w:shd w:val="clear" w:color="auto" w:fill="FFFFFF"/>
          <w:lang w:val="en-GB"/>
        </w:rPr>
        <w:t>.</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w:t>
      </w:r>
      <w:proofErr w:type="gramStart"/>
      <w:r w:rsidRPr="00205B31">
        <w:rPr>
          <w:rFonts w:ascii="Arial" w:hAnsi="Arial" w:cs="Arial"/>
          <w:color w:val="212529"/>
          <w:sz w:val="22"/>
          <w:szCs w:val="22"/>
          <w:shd w:val="clear" w:color="auto" w:fill="FFFFFF"/>
          <w:lang w:val="en-GB"/>
        </w:rPr>
        <w:t>are</w:t>
      </w:r>
      <w:proofErr w:type="gramEnd"/>
      <w:r w:rsidRPr="00205B31">
        <w:rPr>
          <w:rFonts w:ascii="Arial" w:hAnsi="Arial" w:cs="Arial"/>
          <w:color w:val="212529"/>
          <w:sz w:val="22"/>
          <w:szCs w:val="22"/>
          <w:shd w:val="clear" w:color="auto" w:fill="FFFFFF"/>
          <w:lang w:val="en-GB"/>
        </w:rPr>
        <w:t xml:space="preserve"> a number of other creditors owed money by </w:t>
      </w:r>
      <w:proofErr w:type="spellStart"/>
      <w:r w:rsidRPr="00205B31">
        <w:rPr>
          <w:rFonts w:ascii="Arial" w:hAnsi="Arial" w:cs="Arial"/>
          <w:color w:val="212529"/>
          <w:sz w:val="22"/>
          <w:szCs w:val="22"/>
          <w:shd w:val="clear" w:color="auto" w:fill="FFFFFF"/>
          <w:lang w:val="en-GB"/>
        </w:rPr>
        <w:t>Rydell</w:t>
      </w:r>
      <w:proofErr w:type="spellEnd"/>
      <w:r w:rsidRPr="00205B31">
        <w:rPr>
          <w:rFonts w:ascii="Arial" w:hAnsi="Arial" w:cs="Arial"/>
          <w:color w:val="212529"/>
          <w:sz w:val="22"/>
          <w:szCs w:val="22"/>
          <w:shd w:val="clear" w:color="auto" w:fill="FFFFFF"/>
          <w:lang w:val="en-GB"/>
        </w:rPr>
        <w:t xml:space="preserve">,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w:t>
      </w:r>
      <w:proofErr w:type="spellStart"/>
      <w:r w:rsidRPr="00205B31">
        <w:rPr>
          <w:rFonts w:ascii="Arial" w:hAnsi="Arial" w:cs="Arial"/>
          <w:sz w:val="22"/>
          <w:szCs w:val="22"/>
          <w:lang w:val="en-GB"/>
        </w:rPr>
        <w:t>Rydell</w:t>
      </w:r>
      <w:proofErr w:type="spellEnd"/>
      <w:r w:rsidRPr="00205B31">
        <w:rPr>
          <w:rFonts w:ascii="Arial" w:hAnsi="Arial" w:cs="Arial"/>
          <w:sz w:val="22"/>
          <w:szCs w:val="22"/>
          <w:lang w:val="en-GB"/>
        </w:rPr>
        <w:t xml:space="preserve">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B6B2524" w14:textId="628E7BCF" w:rsidR="00350F4C" w:rsidRPr="00350F4C" w:rsidRDefault="00350F4C" w:rsidP="00350F4C">
      <w:pPr>
        <w:jc w:val="both"/>
        <w:rPr>
          <w:rFonts w:ascii="Arial" w:hAnsi="Arial" w:cs="Arial"/>
          <w:color w:val="7B7B7B" w:themeColor="accent3" w:themeShade="BF"/>
          <w:sz w:val="22"/>
          <w:szCs w:val="22"/>
          <w:lang w:val="en-GB"/>
        </w:rPr>
      </w:pPr>
      <w:r w:rsidRPr="00350F4C">
        <w:rPr>
          <w:rFonts w:ascii="Arial" w:hAnsi="Arial" w:cs="Arial"/>
          <w:color w:val="7B7B7B" w:themeColor="accent3" w:themeShade="BF"/>
          <w:sz w:val="22"/>
          <w:szCs w:val="22"/>
          <w:lang w:val="en-GB"/>
        </w:rPr>
        <w:t xml:space="preserve">To determine whether to </w:t>
      </w:r>
      <w:r w:rsidR="007867AD">
        <w:rPr>
          <w:rFonts w:ascii="Arial" w:hAnsi="Arial" w:cs="Arial"/>
          <w:color w:val="7B7B7B" w:themeColor="accent3" w:themeShade="BF"/>
          <w:sz w:val="22"/>
          <w:szCs w:val="22"/>
          <w:lang w:val="en-GB"/>
        </w:rPr>
        <w:t>apply</w:t>
      </w:r>
      <w:r w:rsidRPr="00350F4C">
        <w:rPr>
          <w:rFonts w:ascii="Arial" w:hAnsi="Arial" w:cs="Arial"/>
          <w:color w:val="7B7B7B" w:themeColor="accent3" w:themeShade="BF"/>
          <w:sz w:val="22"/>
          <w:szCs w:val="22"/>
          <w:lang w:val="en-GB"/>
        </w:rPr>
        <w:t xml:space="preserve"> the EIR Recast, it is necessary to evaluate the scope of the </w:t>
      </w:r>
      <w:r>
        <w:rPr>
          <w:rFonts w:ascii="Arial" w:hAnsi="Arial" w:cs="Arial"/>
          <w:color w:val="7B7B7B" w:themeColor="accent3" w:themeShade="BF"/>
          <w:sz w:val="22"/>
          <w:szCs w:val="22"/>
          <w:lang w:val="en-GB"/>
        </w:rPr>
        <w:t>Regulation</w:t>
      </w:r>
      <w:r w:rsidRPr="00350F4C">
        <w:rPr>
          <w:rFonts w:ascii="Arial" w:hAnsi="Arial" w:cs="Arial"/>
          <w:color w:val="7B7B7B" w:themeColor="accent3" w:themeShade="BF"/>
          <w:sz w:val="22"/>
          <w:szCs w:val="22"/>
          <w:lang w:val="en-GB"/>
        </w:rPr>
        <w:t>. EIR Recast has four aspects in scope.</w:t>
      </w:r>
    </w:p>
    <w:p w14:paraId="287C7DA4" w14:textId="77777777" w:rsidR="00350F4C" w:rsidRPr="00350F4C" w:rsidRDefault="00350F4C" w:rsidP="00350F4C">
      <w:pPr>
        <w:jc w:val="both"/>
        <w:rPr>
          <w:rFonts w:ascii="Arial" w:hAnsi="Arial" w:cs="Arial"/>
          <w:color w:val="7B7B7B" w:themeColor="accent3" w:themeShade="BF"/>
          <w:sz w:val="22"/>
          <w:szCs w:val="22"/>
          <w:lang w:val="en-GB"/>
        </w:rPr>
      </w:pPr>
    </w:p>
    <w:p w14:paraId="4AECD2D2" w14:textId="50318747" w:rsidR="00350F4C" w:rsidRPr="00350F4C" w:rsidRDefault="00350F4C" w:rsidP="00350F4C">
      <w:pPr>
        <w:jc w:val="both"/>
        <w:rPr>
          <w:rFonts w:ascii="Arial" w:hAnsi="Arial" w:cs="Arial"/>
          <w:color w:val="7B7B7B" w:themeColor="accent3" w:themeShade="BF"/>
          <w:sz w:val="22"/>
          <w:szCs w:val="22"/>
          <w:lang w:val="en-GB"/>
        </w:rPr>
      </w:pPr>
      <w:r w:rsidRPr="00350F4C">
        <w:rPr>
          <w:rFonts w:ascii="Arial" w:hAnsi="Arial" w:cs="Arial"/>
          <w:color w:val="7B7B7B" w:themeColor="accent3" w:themeShade="BF"/>
          <w:sz w:val="22"/>
          <w:szCs w:val="22"/>
          <w:lang w:val="en-GB"/>
        </w:rPr>
        <w:t>1- The first of these issues is related to the scope of the Regulation in terms of subject</w:t>
      </w:r>
      <w:r>
        <w:rPr>
          <w:rFonts w:ascii="Arial" w:hAnsi="Arial" w:cs="Arial"/>
          <w:color w:val="7B7B7B" w:themeColor="accent3" w:themeShade="BF"/>
          <w:sz w:val="22"/>
          <w:szCs w:val="22"/>
          <w:lang w:val="en-GB"/>
        </w:rPr>
        <w:t xml:space="preserve"> (Material Scope)</w:t>
      </w:r>
      <w:r w:rsidRPr="00350F4C">
        <w:rPr>
          <w:rFonts w:ascii="Arial" w:hAnsi="Arial" w:cs="Arial"/>
          <w:color w:val="7B7B7B" w:themeColor="accent3" w:themeShade="BF"/>
          <w:sz w:val="22"/>
          <w:szCs w:val="22"/>
          <w:lang w:val="en-GB"/>
        </w:rPr>
        <w:t xml:space="preserve">. For the provisions of the </w:t>
      </w:r>
      <w:r>
        <w:rPr>
          <w:rFonts w:ascii="Arial" w:hAnsi="Arial" w:cs="Arial"/>
          <w:color w:val="7B7B7B" w:themeColor="accent3" w:themeShade="BF"/>
          <w:sz w:val="22"/>
          <w:szCs w:val="22"/>
          <w:lang w:val="en-GB"/>
        </w:rPr>
        <w:t>Regulation to apply to a proceeding, that proceeding</w:t>
      </w:r>
      <w:r w:rsidRPr="00350F4C">
        <w:rPr>
          <w:rFonts w:ascii="Arial" w:hAnsi="Arial" w:cs="Arial"/>
          <w:color w:val="7B7B7B" w:themeColor="accent3" w:themeShade="BF"/>
          <w:sz w:val="22"/>
          <w:szCs w:val="22"/>
          <w:lang w:val="en-GB"/>
        </w:rPr>
        <w:t xml:space="preserve"> must be public collective proceeding. In the question, it was stated that the proceedings initiated by the minor creditor in the UK were insolvency proce</w:t>
      </w:r>
      <w:r>
        <w:rPr>
          <w:rFonts w:ascii="Arial" w:hAnsi="Arial" w:cs="Arial"/>
          <w:color w:val="7B7B7B" w:themeColor="accent3" w:themeShade="BF"/>
          <w:sz w:val="22"/>
          <w:szCs w:val="22"/>
          <w:lang w:val="en-GB"/>
        </w:rPr>
        <w:t>eding</w:t>
      </w:r>
      <w:r w:rsidRPr="00350F4C">
        <w:rPr>
          <w:rFonts w:ascii="Arial" w:hAnsi="Arial" w:cs="Arial"/>
          <w:color w:val="7B7B7B" w:themeColor="accent3" w:themeShade="BF"/>
          <w:sz w:val="22"/>
          <w:szCs w:val="22"/>
          <w:lang w:val="en-GB"/>
        </w:rPr>
        <w:t>. Therefore, the nature of the proce</w:t>
      </w:r>
      <w:r>
        <w:rPr>
          <w:rFonts w:ascii="Arial" w:hAnsi="Arial" w:cs="Arial"/>
          <w:color w:val="7B7B7B" w:themeColor="accent3" w:themeShade="BF"/>
          <w:sz w:val="22"/>
          <w:szCs w:val="22"/>
          <w:lang w:val="en-GB"/>
        </w:rPr>
        <w:t>eding</w:t>
      </w:r>
      <w:r w:rsidRPr="00350F4C">
        <w:rPr>
          <w:rFonts w:ascii="Arial" w:hAnsi="Arial" w:cs="Arial"/>
          <w:color w:val="7B7B7B" w:themeColor="accent3" w:themeShade="BF"/>
          <w:sz w:val="22"/>
          <w:szCs w:val="22"/>
          <w:lang w:val="en-GB"/>
        </w:rPr>
        <w:t xml:space="preserve"> initiated is within the scope of the regulation. However, proceedings not listed in Annex A are not covered by the </w:t>
      </w:r>
      <w:r>
        <w:rPr>
          <w:rFonts w:ascii="Arial" w:hAnsi="Arial" w:cs="Arial"/>
          <w:color w:val="7B7B7B" w:themeColor="accent3" w:themeShade="BF"/>
          <w:sz w:val="22"/>
          <w:szCs w:val="22"/>
          <w:lang w:val="en-GB"/>
        </w:rPr>
        <w:t>Regulation</w:t>
      </w:r>
      <w:r w:rsidRPr="00350F4C">
        <w:rPr>
          <w:rFonts w:ascii="Arial" w:hAnsi="Arial" w:cs="Arial"/>
          <w:color w:val="7B7B7B" w:themeColor="accent3" w:themeShade="BF"/>
          <w:sz w:val="22"/>
          <w:szCs w:val="22"/>
          <w:lang w:val="en-GB"/>
        </w:rPr>
        <w:t xml:space="preserve">. The proceedings initiated in the UK against </w:t>
      </w:r>
      <w:proofErr w:type="spellStart"/>
      <w:r w:rsidRPr="00350F4C">
        <w:rPr>
          <w:rFonts w:ascii="Arial" w:hAnsi="Arial" w:cs="Arial"/>
          <w:color w:val="7B7B7B" w:themeColor="accent3" w:themeShade="BF"/>
          <w:sz w:val="22"/>
          <w:szCs w:val="22"/>
          <w:lang w:val="en-GB"/>
        </w:rPr>
        <w:t>Rydell</w:t>
      </w:r>
      <w:proofErr w:type="spellEnd"/>
      <w:r w:rsidRPr="00350F4C">
        <w:rPr>
          <w:rFonts w:ascii="Arial" w:hAnsi="Arial" w:cs="Arial"/>
          <w:color w:val="7B7B7B" w:themeColor="accent3" w:themeShade="BF"/>
          <w:sz w:val="22"/>
          <w:szCs w:val="22"/>
          <w:lang w:val="en-GB"/>
        </w:rPr>
        <w:t xml:space="preserve"> are not specified in the question. If this proceeding is </w:t>
      </w:r>
      <w:r>
        <w:rPr>
          <w:rFonts w:ascii="Arial" w:hAnsi="Arial" w:cs="Arial"/>
          <w:color w:val="7B7B7B" w:themeColor="accent3" w:themeShade="BF"/>
          <w:sz w:val="22"/>
          <w:szCs w:val="22"/>
          <w:lang w:val="en-GB"/>
        </w:rPr>
        <w:t>one</w:t>
      </w:r>
      <w:r w:rsidRPr="00350F4C">
        <w:rPr>
          <w:rFonts w:ascii="Arial" w:hAnsi="Arial" w:cs="Arial"/>
          <w:color w:val="7B7B7B" w:themeColor="accent3" w:themeShade="BF"/>
          <w:sz w:val="22"/>
          <w:szCs w:val="22"/>
          <w:lang w:val="en-GB"/>
        </w:rPr>
        <w:t xml:space="preserve"> that is not counted in Annex </w:t>
      </w:r>
      <w:proofErr w:type="gramStart"/>
      <w:r w:rsidRPr="00350F4C">
        <w:rPr>
          <w:rFonts w:ascii="Arial" w:hAnsi="Arial" w:cs="Arial"/>
          <w:color w:val="7B7B7B" w:themeColor="accent3" w:themeShade="BF"/>
          <w:sz w:val="22"/>
          <w:szCs w:val="22"/>
          <w:lang w:val="en-GB"/>
        </w:rPr>
        <w:t>A</w:t>
      </w:r>
      <w:proofErr w:type="gramEnd"/>
      <w:r w:rsidRPr="00350F4C">
        <w:rPr>
          <w:rFonts w:ascii="Arial" w:hAnsi="Arial" w:cs="Arial"/>
          <w:color w:val="7B7B7B" w:themeColor="accent3" w:themeShade="BF"/>
          <w:sz w:val="22"/>
          <w:szCs w:val="22"/>
          <w:lang w:val="en-GB"/>
        </w:rPr>
        <w:t xml:space="preserve"> like Scheme of Arrangement, the provisions of the </w:t>
      </w:r>
      <w:r>
        <w:rPr>
          <w:rFonts w:ascii="Arial" w:hAnsi="Arial" w:cs="Arial"/>
          <w:color w:val="7B7B7B" w:themeColor="accent3" w:themeShade="BF"/>
          <w:sz w:val="22"/>
          <w:szCs w:val="22"/>
          <w:lang w:val="en-GB"/>
        </w:rPr>
        <w:t>Regulation</w:t>
      </w:r>
      <w:r w:rsidRPr="00350F4C">
        <w:rPr>
          <w:rFonts w:ascii="Arial" w:hAnsi="Arial" w:cs="Arial"/>
          <w:color w:val="7B7B7B" w:themeColor="accent3" w:themeShade="BF"/>
          <w:sz w:val="22"/>
          <w:szCs w:val="22"/>
          <w:lang w:val="en-GB"/>
        </w:rPr>
        <w:t xml:space="preserve"> will not apply.</w:t>
      </w:r>
    </w:p>
    <w:p w14:paraId="7A609EBF" w14:textId="77777777" w:rsidR="00350F4C" w:rsidRPr="00350F4C" w:rsidRDefault="00350F4C" w:rsidP="00350F4C">
      <w:pPr>
        <w:jc w:val="both"/>
        <w:rPr>
          <w:rFonts w:ascii="Arial" w:hAnsi="Arial" w:cs="Arial"/>
          <w:color w:val="7B7B7B" w:themeColor="accent3" w:themeShade="BF"/>
          <w:sz w:val="22"/>
          <w:szCs w:val="22"/>
          <w:lang w:val="en-GB"/>
        </w:rPr>
      </w:pPr>
    </w:p>
    <w:p w14:paraId="67B70B22" w14:textId="2EE368B6" w:rsidR="00350F4C" w:rsidRPr="00350F4C" w:rsidRDefault="00350F4C" w:rsidP="00350F4C">
      <w:pPr>
        <w:jc w:val="both"/>
        <w:rPr>
          <w:rFonts w:ascii="Arial" w:hAnsi="Arial" w:cs="Arial"/>
          <w:color w:val="7B7B7B" w:themeColor="accent3" w:themeShade="BF"/>
          <w:sz w:val="22"/>
          <w:szCs w:val="22"/>
          <w:lang w:val="en-GB"/>
        </w:rPr>
      </w:pPr>
      <w:r w:rsidRPr="00350F4C">
        <w:rPr>
          <w:rFonts w:ascii="Arial" w:hAnsi="Arial" w:cs="Arial"/>
          <w:color w:val="7B7B7B" w:themeColor="accent3" w:themeShade="BF"/>
          <w:sz w:val="22"/>
          <w:szCs w:val="22"/>
          <w:lang w:val="en-GB"/>
        </w:rPr>
        <w:t xml:space="preserve">2- The second issue to be considered in determining whether the regulation will be implemented or not is the </w:t>
      </w:r>
      <w:r>
        <w:rPr>
          <w:rFonts w:ascii="Arial" w:hAnsi="Arial" w:cs="Arial"/>
          <w:color w:val="7B7B7B" w:themeColor="accent3" w:themeShade="BF"/>
          <w:sz w:val="22"/>
          <w:szCs w:val="22"/>
          <w:lang w:val="en-GB"/>
        </w:rPr>
        <w:t>temporal scope</w:t>
      </w:r>
      <w:r w:rsidRPr="00350F4C">
        <w:rPr>
          <w:rFonts w:ascii="Arial" w:hAnsi="Arial" w:cs="Arial"/>
          <w:color w:val="7B7B7B" w:themeColor="accent3" w:themeShade="BF"/>
          <w:sz w:val="22"/>
          <w:szCs w:val="22"/>
          <w:lang w:val="en-GB"/>
        </w:rPr>
        <w:t>. EIR Recast has repealed its predecessor, EIR 2000. EIR Recast provisions will be applied to proce</w:t>
      </w:r>
      <w:r>
        <w:rPr>
          <w:rFonts w:ascii="Arial" w:hAnsi="Arial" w:cs="Arial"/>
          <w:color w:val="7B7B7B" w:themeColor="accent3" w:themeShade="BF"/>
          <w:sz w:val="22"/>
          <w:szCs w:val="22"/>
          <w:lang w:val="en-GB"/>
        </w:rPr>
        <w:t>edings</w:t>
      </w:r>
      <w:r w:rsidRPr="00350F4C">
        <w:rPr>
          <w:rFonts w:ascii="Arial" w:hAnsi="Arial" w:cs="Arial"/>
          <w:color w:val="7B7B7B" w:themeColor="accent3" w:themeShade="BF"/>
          <w:sz w:val="22"/>
          <w:szCs w:val="22"/>
          <w:lang w:val="en-GB"/>
        </w:rPr>
        <w:t xml:space="preserve"> to be started after 26.06.2017. In the question, the small credi</w:t>
      </w:r>
      <w:r>
        <w:rPr>
          <w:rFonts w:ascii="Arial" w:hAnsi="Arial" w:cs="Arial"/>
          <w:color w:val="7B7B7B" w:themeColor="accent3" w:themeShade="BF"/>
          <w:sz w:val="22"/>
          <w:szCs w:val="22"/>
          <w:lang w:val="en-GB"/>
        </w:rPr>
        <w:t>tor started the proceeding</w:t>
      </w:r>
      <w:r w:rsidRPr="00350F4C">
        <w:rPr>
          <w:rFonts w:ascii="Arial" w:hAnsi="Arial" w:cs="Arial"/>
          <w:color w:val="7B7B7B" w:themeColor="accent3" w:themeShade="BF"/>
          <w:sz w:val="22"/>
          <w:szCs w:val="22"/>
          <w:lang w:val="en-GB"/>
        </w:rPr>
        <w:t xml:space="preserve"> on 18.6.2020, and </w:t>
      </w:r>
      <w:proofErr w:type="spellStart"/>
      <w:r w:rsidRPr="00350F4C">
        <w:rPr>
          <w:rFonts w:ascii="Arial" w:hAnsi="Arial" w:cs="Arial"/>
          <w:color w:val="7B7B7B" w:themeColor="accent3" w:themeShade="BF"/>
          <w:sz w:val="22"/>
          <w:szCs w:val="22"/>
          <w:lang w:val="en-GB"/>
        </w:rPr>
        <w:t>Fernz</w:t>
      </w:r>
      <w:proofErr w:type="spellEnd"/>
      <w:r w:rsidRPr="00350F4C">
        <w:rPr>
          <w:rFonts w:ascii="Arial" w:hAnsi="Arial" w:cs="Arial"/>
          <w:color w:val="7B7B7B" w:themeColor="accent3" w:themeShade="BF"/>
          <w:sz w:val="22"/>
          <w:szCs w:val="22"/>
          <w:lang w:val="en-GB"/>
        </w:rPr>
        <w:t xml:space="preserve"> wants to start it one month later, on 18.7.2020. Both dates are in scope in terms of</w:t>
      </w:r>
      <w:r>
        <w:rPr>
          <w:rFonts w:ascii="Arial" w:hAnsi="Arial" w:cs="Arial"/>
          <w:color w:val="7B7B7B" w:themeColor="accent3" w:themeShade="BF"/>
          <w:sz w:val="22"/>
          <w:szCs w:val="22"/>
          <w:lang w:val="en-GB"/>
        </w:rPr>
        <w:t xml:space="preserve"> time as they are after the Regulation</w:t>
      </w:r>
      <w:r w:rsidRPr="00350F4C">
        <w:rPr>
          <w:rFonts w:ascii="Arial" w:hAnsi="Arial" w:cs="Arial"/>
          <w:color w:val="7B7B7B" w:themeColor="accent3" w:themeShade="BF"/>
          <w:sz w:val="22"/>
          <w:szCs w:val="22"/>
          <w:lang w:val="en-GB"/>
        </w:rPr>
        <w:t>'s entry into force.</w:t>
      </w:r>
    </w:p>
    <w:p w14:paraId="7432FA07" w14:textId="77777777" w:rsidR="00350F4C" w:rsidRPr="00350F4C" w:rsidRDefault="00350F4C" w:rsidP="00350F4C">
      <w:pPr>
        <w:jc w:val="both"/>
        <w:rPr>
          <w:rFonts w:ascii="Arial" w:hAnsi="Arial" w:cs="Arial"/>
          <w:color w:val="7B7B7B" w:themeColor="accent3" w:themeShade="BF"/>
          <w:sz w:val="22"/>
          <w:szCs w:val="22"/>
          <w:lang w:val="en-GB"/>
        </w:rPr>
      </w:pPr>
    </w:p>
    <w:p w14:paraId="62AEE736" w14:textId="572E4554" w:rsidR="00350F4C" w:rsidRPr="00350F4C" w:rsidRDefault="00350F4C" w:rsidP="00350F4C">
      <w:pPr>
        <w:jc w:val="both"/>
        <w:rPr>
          <w:rFonts w:ascii="Arial" w:hAnsi="Arial" w:cs="Arial"/>
          <w:color w:val="7B7B7B" w:themeColor="accent3" w:themeShade="BF"/>
          <w:sz w:val="22"/>
          <w:szCs w:val="22"/>
          <w:lang w:val="en-GB"/>
        </w:rPr>
      </w:pPr>
      <w:r w:rsidRPr="00350F4C">
        <w:rPr>
          <w:rFonts w:ascii="Arial" w:hAnsi="Arial" w:cs="Arial"/>
          <w:color w:val="7B7B7B" w:themeColor="accent3" w:themeShade="BF"/>
          <w:sz w:val="22"/>
          <w:szCs w:val="22"/>
          <w:lang w:val="en-GB"/>
        </w:rPr>
        <w:t xml:space="preserve">3- The third issue is the </w:t>
      </w:r>
      <w:r>
        <w:rPr>
          <w:rFonts w:ascii="Arial" w:hAnsi="Arial" w:cs="Arial"/>
          <w:color w:val="7B7B7B" w:themeColor="accent3" w:themeShade="BF"/>
          <w:sz w:val="22"/>
          <w:szCs w:val="22"/>
          <w:lang w:val="en-GB"/>
        </w:rPr>
        <w:t>personal scope. The Regulation</w:t>
      </w:r>
      <w:r w:rsidRPr="00350F4C">
        <w:rPr>
          <w:rFonts w:ascii="Arial" w:hAnsi="Arial" w:cs="Arial"/>
          <w:color w:val="7B7B7B" w:themeColor="accent3" w:themeShade="BF"/>
          <w:sz w:val="22"/>
          <w:szCs w:val="22"/>
          <w:lang w:val="en-GB"/>
        </w:rPr>
        <w:t xml:space="preserve"> applies to everyone, regardless of whether the debtor is a natural or legal person, merchant or consumer. However, certain </w:t>
      </w:r>
      <w:r>
        <w:rPr>
          <w:rFonts w:ascii="Arial" w:hAnsi="Arial" w:cs="Arial"/>
          <w:color w:val="7B7B7B" w:themeColor="accent3" w:themeShade="BF"/>
          <w:sz w:val="22"/>
          <w:szCs w:val="22"/>
          <w:lang w:val="en-GB"/>
        </w:rPr>
        <w:t>entities</w:t>
      </w:r>
      <w:r w:rsidRPr="00350F4C">
        <w:rPr>
          <w:rFonts w:ascii="Arial" w:hAnsi="Arial" w:cs="Arial"/>
          <w:color w:val="7B7B7B" w:themeColor="accent3" w:themeShade="BF"/>
          <w:sz w:val="22"/>
          <w:szCs w:val="22"/>
          <w:lang w:val="en-GB"/>
        </w:rPr>
        <w:t xml:space="preserve"> are exclude</w:t>
      </w:r>
      <w:r>
        <w:rPr>
          <w:rFonts w:ascii="Arial" w:hAnsi="Arial" w:cs="Arial"/>
          <w:color w:val="7B7B7B" w:themeColor="accent3" w:themeShade="BF"/>
          <w:sz w:val="22"/>
          <w:szCs w:val="22"/>
          <w:lang w:val="en-GB"/>
        </w:rPr>
        <w:t>d from the scope of the second point</w:t>
      </w:r>
      <w:r w:rsidRPr="00350F4C">
        <w:rPr>
          <w:rFonts w:ascii="Arial" w:hAnsi="Arial" w:cs="Arial"/>
          <w:color w:val="7B7B7B" w:themeColor="accent3" w:themeShade="BF"/>
          <w:sz w:val="22"/>
          <w:szCs w:val="22"/>
          <w:lang w:val="en-GB"/>
        </w:rPr>
        <w:t xml:space="preserve"> of Article 1. </w:t>
      </w:r>
      <w:r>
        <w:rPr>
          <w:rFonts w:ascii="Arial" w:hAnsi="Arial" w:cs="Arial"/>
          <w:color w:val="7B7B7B" w:themeColor="accent3" w:themeShade="BF"/>
          <w:sz w:val="22"/>
          <w:szCs w:val="22"/>
          <w:lang w:val="en-GB"/>
        </w:rPr>
        <w:t>Regulation</w:t>
      </w:r>
      <w:r w:rsidRPr="00350F4C">
        <w:rPr>
          <w:rFonts w:ascii="Arial" w:hAnsi="Arial" w:cs="Arial"/>
          <w:color w:val="7B7B7B" w:themeColor="accent3" w:themeShade="BF"/>
          <w:sz w:val="22"/>
          <w:szCs w:val="22"/>
          <w:lang w:val="en-GB"/>
        </w:rPr>
        <w:t xml:space="preserve"> shall not be applied to the </w:t>
      </w:r>
      <w:r>
        <w:rPr>
          <w:rFonts w:ascii="Arial" w:hAnsi="Arial" w:cs="Arial"/>
          <w:color w:val="7B7B7B" w:themeColor="accent3" w:themeShade="BF"/>
          <w:sz w:val="22"/>
          <w:szCs w:val="22"/>
          <w:lang w:val="en-GB"/>
        </w:rPr>
        <w:t>insolvency proceedings</w:t>
      </w:r>
      <w:r w:rsidRPr="00350F4C">
        <w:rPr>
          <w:rFonts w:ascii="Arial" w:hAnsi="Arial" w:cs="Arial"/>
          <w:color w:val="7B7B7B" w:themeColor="accent3" w:themeShade="BF"/>
          <w:sz w:val="22"/>
          <w:szCs w:val="22"/>
          <w:lang w:val="en-GB"/>
        </w:rPr>
        <w:t xml:space="preserve"> of the organizations listed in this paragraph. As </w:t>
      </w:r>
      <w:proofErr w:type="spellStart"/>
      <w:r w:rsidRPr="00350F4C">
        <w:rPr>
          <w:rFonts w:ascii="Arial" w:hAnsi="Arial" w:cs="Arial"/>
          <w:color w:val="7B7B7B" w:themeColor="accent3" w:themeShade="BF"/>
          <w:sz w:val="22"/>
          <w:szCs w:val="22"/>
          <w:lang w:val="en-GB"/>
        </w:rPr>
        <w:t>Rydell</w:t>
      </w:r>
      <w:proofErr w:type="spellEnd"/>
      <w:r w:rsidRPr="00350F4C">
        <w:rPr>
          <w:rFonts w:ascii="Arial" w:hAnsi="Arial" w:cs="Arial"/>
          <w:color w:val="7B7B7B" w:themeColor="accent3" w:themeShade="BF"/>
          <w:sz w:val="22"/>
          <w:szCs w:val="22"/>
          <w:lang w:val="en-GB"/>
        </w:rPr>
        <w:t xml:space="preserve"> is not one of the entities listed in this paragraph, the provisions of the </w:t>
      </w:r>
      <w:r>
        <w:rPr>
          <w:rFonts w:ascii="Arial" w:hAnsi="Arial" w:cs="Arial"/>
          <w:color w:val="7B7B7B" w:themeColor="accent3" w:themeShade="BF"/>
          <w:sz w:val="22"/>
          <w:szCs w:val="22"/>
          <w:lang w:val="en-GB"/>
        </w:rPr>
        <w:t>Regulation</w:t>
      </w:r>
      <w:r w:rsidRPr="00350F4C">
        <w:rPr>
          <w:rFonts w:ascii="Arial" w:hAnsi="Arial" w:cs="Arial"/>
          <w:color w:val="7B7B7B" w:themeColor="accent3" w:themeShade="BF"/>
          <w:sz w:val="22"/>
          <w:szCs w:val="22"/>
          <w:lang w:val="en-GB"/>
        </w:rPr>
        <w:t xml:space="preserve"> will appl</w:t>
      </w:r>
      <w:r>
        <w:rPr>
          <w:rFonts w:ascii="Arial" w:hAnsi="Arial" w:cs="Arial"/>
          <w:color w:val="7B7B7B" w:themeColor="accent3" w:themeShade="BF"/>
          <w:sz w:val="22"/>
          <w:szCs w:val="22"/>
          <w:lang w:val="en-GB"/>
        </w:rPr>
        <w:t xml:space="preserve">y to the proceedings about </w:t>
      </w:r>
      <w:proofErr w:type="spellStart"/>
      <w:r>
        <w:rPr>
          <w:rFonts w:ascii="Arial" w:hAnsi="Arial" w:cs="Arial"/>
          <w:color w:val="7B7B7B" w:themeColor="accent3" w:themeShade="BF"/>
          <w:sz w:val="22"/>
          <w:szCs w:val="22"/>
          <w:lang w:val="en-GB"/>
        </w:rPr>
        <w:t>Rydell</w:t>
      </w:r>
      <w:proofErr w:type="spellEnd"/>
      <w:r>
        <w:rPr>
          <w:rFonts w:ascii="Arial" w:hAnsi="Arial" w:cs="Arial"/>
          <w:color w:val="7B7B7B" w:themeColor="accent3" w:themeShade="BF"/>
          <w:sz w:val="22"/>
          <w:szCs w:val="22"/>
          <w:lang w:val="en-GB"/>
        </w:rPr>
        <w:t>.</w:t>
      </w:r>
    </w:p>
    <w:p w14:paraId="6AE8E871" w14:textId="77777777" w:rsidR="00350F4C" w:rsidRPr="00350F4C" w:rsidRDefault="00350F4C" w:rsidP="00350F4C">
      <w:pPr>
        <w:jc w:val="both"/>
        <w:rPr>
          <w:rFonts w:ascii="Arial" w:hAnsi="Arial" w:cs="Arial"/>
          <w:color w:val="7B7B7B" w:themeColor="accent3" w:themeShade="BF"/>
          <w:sz w:val="22"/>
          <w:szCs w:val="22"/>
          <w:lang w:val="en-GB"/>
        </w:rPr>
      </w:pPr>
    </w:p>
    <w:p w14:paraId="317DD6E7" w14:textId="729C495C" w:rsidR="00126A4D" w:rsidRPr="00205B31" w:rsidRDefault="00350F4C" w:rsidP="00350F4C">
      <w:pPr>
        <w:jc w:val="both"/>
        <w:rPr>
          <w:rFonts w:ascii="Arial" w:hAnsi="Arial" w:cs="Arial"/>
          <w:sz w:val="22"/>
          <w:szCs w:val="22"/>
          <w:lang w:val="en-GB"/>
        </w:rPr>
      </w:pPr>
      <w:r w:rsidRPr="00350F4C">
        <w:rPr>
          <w:rFonts w:ascii="Arial" w:hAnsi="Arial" w:cs="Arial"/>
          <w:color w:val="7B7B7B" w:themeColor="accent3" w:themeShade="BF"/>
          <w:sz w:val="22"/>
          <w:szCs w:val="22"/>
          <w:lang w:val="en-GB"/>
        </w:rPr>
        <w:lastRenderedPageBreak/>
        <w:t xml:space="preserve">4- Finally, the </w:t>
      </w:r>
      <w:r w:rsidR="003029D4">
        <w:rPr>
          <w:rFonts w:ascii="Arial" w:hAnsi="Arial" w:cs="Arial"/>
          <w:color w:val="7B7B7B" w:themeColor="accent3" w:themeShade="BF"/>
          <w:sz w:val="22"/>
          <w:szCs w:val="22"/>
          <w:lang w:val="en-GB"/>
        </w:rPr>
        <w:t>territorial scope of the R</w:t>
      </w:r>
      <w:r w:rsidRPr="00350F4C">
        <w:rPr>
          <w:rFonts w:ascii="Arial" w:hAnsi="Arial" w:cs="Arial"/>
          <w:color w:val="7B7B7B" w:themeColor="accent3" w:themeShade="BF"/>
          <w:sz w:val="22"/>
          <w:szCs w:val="22"/>
          <w:lang w:val="en-GB"/>
        </w:rPr>
        <w:t xml:space="preserve">egulation should be examined. The Regulation shall apply in all </w:t>
      </w:r>
      <w:r w:rsidR="003029D4">
        <w:rPr>
          <w:rFonts w:ascii="Arial" w:hAnsi="Arial" w:cs="Arial"/>
          <w:color w:val="7B7B7B" w:themeColor="accent3" w:themeShade="BF"/>
          <w:sz w:val="22"/>
          <w:szCs w:val="22"/>
          <w:lang w:val="en-GB"/>
        </w:rPr>
        <w:t>EU</w:t>
      </w:r>
      <w:r w:rsidRPr="00350F4C">
        <w:rPr>
          <w:rFonts w:ascii="Arial" w:hAnsi="Arial" w:cs="Arial"/>
          <w:color w:val="7B7B7B" w:themeColor="accent3" w:themeShade="BF"/>
          <w:sz w:val="22"/>
          <w:szCs w:val="22"/>
          <w:lang w:val="en-GB"/>
        </w:rPr>
        <w:t xml:space="preserve"> </w:t>
      </w:r>
      <w:r w:rsidR="003029D4">
        <w:rPr>
          <w:rFonts w:ascii="Arial" w:hAnsi="Arial" w:cs="Arial"/>
          <w:color w:val="7B7B7B" w:themeColor="accent3" w:themeShade="BF"/>
          <w:sz w:val="22"/>
          <w:szCs w:val="22"/>
          <w:lang w:val="en-GB"/>
        </w:rPr>
        <w:t>States</w:t>
      </w:r>
      <w:r w:rsidRPr="00350F4C">
        <w:rPr>
          <w:rFonts w:ascii="Arial" w:hAnsi="Arial" w:cs="Arial"/>
          <w:color w:val="7B7B7B" w:themeColor="accent3" w:themeShade="BF"/>
          <w:sz w:val="22"/>
          <w:szCs w:val="22"/>
          <w:lang w:val="en-GB"/>
        </w:rPr>
        <w:t xml:space="preserve"> except Denmark. For the provisions of the Regulation to be applicable to an insolvency procedure, the debtor's COMI must be within the EU and the COMI must not be Denmark. In the question, there is no information on whether the proceedings to </w:t>
      </w:r>
      <w:r w:rsidR="00AA0F18">
        <w:rPr>
          <w:rFonts w:ascii="Arial" w:hAnsi="Arial" w:cs="Arial"/>
          <w:color w:val="7B7B7B" w:themeColor="accent3" w:themeShade="BF"/>
          <w:sz w:val="22"/>
          <w:szCs w:val="22"/>
          <w:lang w:val="en-GB"/>
        </w:rPr>
        <w:t xml:space="preserve">be initiated by </w:t>
      </w:r>
      <w:proofErr w:type="spellStart"/>
      <w:r w:rsidR="00AA0F18">
        <w:rPr>
          <w:rFonts w:ascii="Arial" w:hAnsi="Arial" w:cs="Arial"/>
          <w:color w:val="7B7B7B" w:themeColor="accent3" w:themeShade="BF"/>
          <w:sz w:val="22"/>
          <w:szCs w:val="22"/>
          <w:lang w:val="en-GB"/>
        </w:rPr>
        <w:t>Fernz</w:t>
      </w:r>
      <w:proofErr w:type="spellEnd"/>
      <w:r w:rsidR="00AA0F18">
        <w:rPr>
          <w:rFonts w:ascii="Arial" w:hAnsi="Arial" w:cs="Arial"/>
          <w:color w:val="7B7B7B" w:themeColor="accent3" w:themeShade="BF"/>
          <w:sz w:val="22"/>
          <w:szCs w:val="22"/>
          <w:lang w:val="en-GB"/>
        </w:rPr>
        <w:t xml:space="preserve"> are in</w:t>
      </w:r>
      <w:r w:rsidRPr="00350F4C">
        <w:rPr>
          <w:rFonts w:ascii="Arial" w:hAnsi="Arial" w:cs="Arial"/>
          <w:color w:val="7B7B7B" w:themeColor="accent3" w:themeShade="BF"/>
          <w:sz w:val="22"/>
          <w:szCs w:val="22"/>
          <w:lang w:val="en-GB"/>
        </w:rPr>
        <w:t xml:space="preserve"> Denmark. If these proceedings are initiated in an EU country other than Denmark, they are covered and the provisions of the Regulation</w:t>
      </w:r>
      <w:r w:rsidR="00AA0F18">
        <w:rPr>
          <w:rFonts w:ascii="Arial" w:hAnsi="Arial" w:cs="Arial"/>
          <w:color w:val="7B7B7B" w:themeColor="accent3" w:themeShade="BF"/>
          <w:sz w:val="22"/>
          <w:szCs w:val="22"/>
          <w:lang w:val="en-GB"/>
        </w:rPr>
        <w:t xml:space="preserve"> will be applied</w:t>
      </w:r>
      <w:r w:rsidRPr="00350F4C">
        <w:rPr>
          <w:rFonts w:ascii="Arial" w:hAnsi="Arial" w:cs="Arial"/>
          <w:color w:val="7B7B7B" w:themeColor="accent3" w:themeShade="BF"/>
          <w:sz w:val="22"/>
          <w:szCs w:val="22"/>
          <w:lang w:val="en-GB"/>
        </w:rPr>
        <w:t>.</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1256E6FF" w14:textId="6B31F0F9" w:rsidR="00015EE6" w:rsidRPr="00CA1F25" w:rsidRDefault="00CA1F25" w:rsidP="00C45A03">
      <w:pPr>
        <w:jc w:val="both"/>
        <w:rPr>
          <w:rFonts w:ascii="Arial" w:hAnsi="Arial" w:cs="Arial"/>
          <w:color w:val="7B7B7B" w:themeColor="accent3" w:themeShade="BF"/>
          <w:sz w:val="22"/>
          <w:szCs w:val="22"/>
          <w:lang w:val="en-GB"/>
        </w:rPr>
      </w:pPr>
      <w:r w:rsidRPr="00CA1F25">
        <w:rPr>
          <w:rFonts w:ascii="Arial" w:hAnsi="Arial" w:cs="Arial"/>
          <w:color w:val="7B7B7B" w:themeColor="accent3" w:themeShade="BF"/>
          <w:sz w:val="22"/>
          <w:szCs w:val="22"/>
          <w:lang w:val="en-GB"/>
        </w:rPr>
        <w:t xml:space="preserve">Due to Brexit, the EIR Recast provisions will not apply to insolvency proceedings initiated on or after January 1, 2021. The provisions of the </w:t>
      </w:r>
      <w:r>
        <w:rPr>
          <w:rFonts w:ascii="Arial" w:hAnsi="Arial" w:cs="Arial"/>
          <w:color w:val="7B7B7B" w:themeColor="accent3" w:themeShade="BF"/>
          <w:sz w:val="22"/>
          <w:szCs w:val="22"/>
          <w:lang w:val="en-GB"/>
        </w:rPr>
        <w:t>EIR Recast</w:t>
      </w:r>
      <w:r w:rsidRPr="00CA1F25">
        <w:rPr>
          <w:rFonts w:ascii="Arial" w:hAnsi="Arial" w:cs="Arial"/>
          <w:color w:val="7B7B7B" w:themeColor="accent3" w:themeShade="BF"/>
          <w:sz w:val="22"/>
          <w:szCs w:val="22"/>
          <w:lang w:val="en-GB"/>
        </w:rPr>
        <w:t xml:space="preserve"> do not apply to the insolvency procedure initiated in the UK on 18 June 2021 as stated in t</w:t>
      </w:r>
      <w:r>
        <w:rPr>
          <w:rFonts w:ascii="Arial" w:hAnsi="Arial" w:cs="Arial"/>
          <w:color w:val="7B7B7B" w:themeColor="accent3" w:themeShade="BF"/>
          <w:sz w:val="22"/>
          <w:szCs w:val="22"/>
          <w:lang w:val="en-GB"/>
        </w:rPr>
        <w:t>he question. However, UNCITRAL Model L</w:t>
      </w:r>
      <w:r w:rsidRPr="00CA1F25">
        <w:rPr>
          <w:rFonts w:ascii="Arial" w:hAnsi="Arial" w:cs="Arial"/>
          <w:color w:val="7B7B7B" w:themeColor="accent3" w:themeShade="BF"/>
          <w:sz w:val="22"/>
          <w:szCs w:val="22"/>
          <w:lang w:val="en-GB"/>
        </w:rPr>
        <w:t>aw provisions can be applied to this international insolvency procedure. As it is known, the UK is among the countries that accept the Model Law. However, the Model Law lacks the conveniences provided by the Regulation. In this context, there will be differences in terms of recognition of foreign proceeding and foreign representative. In this case, English domestic law provisions will come into play.</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w:t>
      </w:r>
      <w:proofErr w:type="spellStart"/>
      <w:r w:rsidRPr="00205B31">
        <w:rPr>
          <w:rFonts w:ascii="Arial" w:hAnsi="Arial" w:cs="Arial"/>
          <w:sz w:val="22"/>
          <w:szCs w:val="22"/>
          <w:lang w:val="en-GB"/>
        </w:rPr>
        <w:t>Rydell</w:t>
      </w:r>
      <w:proofErr w:type="spellEnd"/>
      <w:r w:rsidRPr="00205B31">
        <w:rPr>
          <w:rFonts w:ascii="Arial" w:hAnsi="Arial" w:cs="Arial"/>
          <w:sz w:val="22"/>
          <w:szCs w:val="22"/>
          <w:lang w:val="en-GB"/>
        </w:rPr>
        <w:t xml:space="preserve">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04434D04" w14:textId="024E42CA" w:rsidR="00015EE6" w:rsidRDefault="004C5634"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4C5634">
        <w:rPr>
          <w:rFonts w:ascii="Arial" w:hAnsi="Arial" w:cs="Arial"/>
          <w:color w:val="7B7B7B" w:themeColor="accent3" w:themeShade="BF"/>
          <w:sz w:val="22"/>
          <w:szCs w:val="22"/>
          <w:lang w:val="en-GB"/>
        </w:rPr>
        <w:t xml:space="preserve">In UK law it is possible, under certain conditions, to seek the </w:t>
      </w:r>
      <w:r>
        <w:rPr>
          <w:rFonts w:ascii="Arial" w:hAnsi="Arial" w:cs="Arial"/>
          <w:color w:val="7B7B7B" w:themeColor="accent3" w:themeShade="BF"/>
          <w:sz w:val="22"/>
          <w:szCs w:val="22"/>
          <w:lang w:val="en-GB"/>
        </w:rPr>
        <w:t>winding-up</w:t>
      </w:r>
      <w:r w:rsidRPr="004C5634">
        <w:rPr>
          <w:rFonts w:ascii="Arial" w:hAnsi="Arial" w:cs="Arial"/>
          <w:color w:val="7B7B7B" w:themeColor="accent3" w:themeShade="BF"/>
          <w:sz w:val="22"/>
          <w:szCs w:val="22"/>
          <w:lang w:val="en-GB"/>
        </w:rPr>
        <w:t xml:space="preserve"> of a company that is not registered in the UK. Section 221(5) of the 1986 Insolvency Act is the provision to be applied here. Accordingly, in the following three </w:t>
      </w:r>
      <w:r>
        <w:rPr>
          <w:rFonts w:ascii="Arial" w:hAnsi="Arial" w:cs="Arial"/>
          <w:color w:val="7B7B7B" w:themeColor="accent3" w:themeShade="BF"/>
          <w:sz w:val="22"/>
          <w:szCs w:val="22"/>
          <w:lang w:val="en-GB"/>
        </w:rPr>
        <w:t>circumstances</w:t>
      </w:r>
      <w:r w:rsidRPr="004C5634">
        <w:rPr>
          <w:rFonts w:ascii="Arial" w:hAnsi="Arial" w:cs="Arial"/>
          <w:color w:val="7B7B7B" w:themeColor="accent3" w:themeShade="BF"/>
          <w:sz w:val="22"/>
          <w:szCs w:val="22"/>
          <w:lang w:val="en-GB"/>
        </w:rPr>
        <w:t>, an English court can order the windin</w:t>
      </w:r>
      <w:r>
        <w:rPr>
          <w:rFonts w:ascii="Arial" w:hAnsi="Arial" w:cs="Arial"/>
          <w:color w:val="7B7B7B" w:themeColor="accent3" w:themeShade="BF"/>
          <w:sz w:val="22"/>
          <w:szCs w:val="22"/>
          <w:lang w:val="en-GB"/>
        </w:rPr>
        <w:t xml:space="preserve">g-up of an unregistered company: </w:t>
      </w:r>
    </w:p>
    <w:p w14:paraId="0F64F2F0" w14:textId="77777777" w:rsidR="004C5634" w:rsidRDefault="004C5634"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7513EAE2" w14:textId="2D0EC6DC" w:rsidR="004C5634" w:rsidRPr="004C5634" w:rsidRDefault="004C5634" w:rsidP="00015EE6">
      <w:pPr>
        <w:autoSpaceDE w:val="0"/>
        <w:autoSpaceDN w:val="0"/>
        <w:adjustRightInd w:val="0"/>
        <w:spacing w:line="276" w:lineRule="auto"/>
        <w:jc w:val="both"/>
        <w:rPr>
          <w:rFonts w:ascii="Arial" w:hAnsi="Arial" w:cs="Arial"/>
          <w:i/>
          <w:color w:val="7B7B7B" w:themeColor="accent3" w:themeShade="BF"/>
          <w:sz w:val="22"/>
          <w:szCs w:val="22"/>
          <w:lang w:val="en-GB"/>
        </w:rPr>
      </w:pPr>
      <w:r w:rsidRPr="004C5634">
        <w:rPr>
          <w:rFonts w:ascii="Arial" w:hAnsi="Arial" w:cs="Arial"/>
          <w:i/>
          <w:color w:val="7B7B7B" w:themeColor="accent3" w:themeShade="BF"/>
          <w:sz w:val="22"/>
          <w:szCs w:val="22"/>
          <w:lang w:val="en-GB"/>
        </w:rPr>
        <w:t>“(</w:t>
      </w:r>
      <w:proofErr w:type="gramStart"/>
      <w:r w:rsidRPr="004C5634">
        <w:rPr>
          <w:rFonts w:ascii="Arial" w:hAnsi="Arial" w:cs="Arial"/>
          <w:i/>
          <w:color w:val="7B7B7B" w:themeColor="accent3" w:themeShade="BF"/>
          <w:sz w:val="22"/>
          <w:szCs w:val="22"/>
          <w:lang w:val="en-GB"/>
        </w:rPr>
        <w:t>a</w:t>
      </w:r>
      <w:proofErr w:type="gramEnd"/>
      <w:r w:rsidRPr="004C5634">
        <w:rPr>
          <w:rFonts w:ascii="Arial" w:hAnsi="Arial" w:cs="Arial"/>
          <w:i/>
          <w:color w:val="7B7B7B" w:themeColor="accent3" w:themeShade="BF"/>
          <w:sz w:val="22"/>
          <w:szCs w:val="22"/>
          <w:lang w:val="en-GB"/>
        </w:rPr>
        <w:t>) if the company is dissolved, or has ceased to carry on business, or is carrying on business only for the purpose of winding up its affairs;</w:t>
      </w:r>
    </w:p>
    <w:p w14:paraId="4C2E736C" w14:textId="476C123D" w:rsidR="004C5634" w:rsidRPr="004C5634" w:rsidRDefault="004C5634" w:rsidP="00015EE6">
      <w:pPr>
        <w:autoSpaceDE w:val="0"/>
        <w:autoSpaceDN w:val="0"/>
        <w:adjustRightInd w:val="0"/>
        <w:spacing w:line="276" w:lineRule="auto"/>
        <w:jc w:val="both"/>
        <w:rPr>
          <w:rFonts w:ascii="Arial" w:hAnsi="Arial" w:cs="Arial"/>
          <w:i/>
          <w:color w:val="7B7B7B" w:themeColor="accent3" w:themeShade="BF"/>
          <w:sz w:val="22"/>
          <w:szCs w:val="22"/>
          <w:lang w:val="en-GB"/>
        </w:rPr>
      </w:pPr>
      <w:r w:rsidRPr="004C5634">
        <w:rPr>
          <w:rFonts w:ascii="Arial" w:hAnsi="Arial" w:cs="Arial"/>
          <w:i/>
          <w:color w:val="7B7B7B" w:themeColor="accent3" w:themeShade="BF"/>
          <w:sz w:val="22"/>
          <w:szCs w:val="22"/>
          <w:lang w:val="en-GB"/>
        </w:rPr>
        <w:t xml:space="preserve">(b) </w:t>
      </w:r>
      <w:proofErr w:type="gramStart"/>
      <w:r w:rsidRPr="004C5634">
        <w:rPr>
          <w:rFonts w:ascii="Arial" w:hAnsi="Arial" w:cs="Arial"/>
          <w:i/>
          <w:color w:val="7B7B7B" w:themeColor="accent3" w:themeShade="BF"/>
          <w:sz w:val="22"/>
          <w:szCs w:val="22"/>
          <w:lang w:val="en-GB"/>
        </w:rPr>
        <w:t>if</w:t>
      </w:r>
      <w:proofErr w:type="gramEnd"/>
      <w:r w:rsidRPr="004C5634">
        <w:rPr>
          <w:rFonts w:ascii="Arial" w:hAnsi="Arial" w:cs="Arial"/>
          <w:i/>
          <w:color w:val="7B7B7B" w:themeColor="accent3" w:themeShade="BF"/>
          <w:sz w:val="22"/>
          <w:szCs w:val="22"/>
          <w:lang w:val="en-GB"/>
        </w:rPr>
        <w:t xml:space="preserve"> the company is unable to pay its debts;</w:t>
      </w:r>
    </w:p>
    <w:p w14:paraId="2AEFAA7C" w14:textId="4FB003C8" w:rsidR="004C5634" w:rsidRDefault="004C5634" w:rsidP="00015EE6">
      <w:pPr>
        <w:autoSpaceDE w:val="0"/>
        <w:autoSpaceDN w:val="0"/>
        <w:adjustRightInd w:val="0"/>
        <w:spacing w:line="276" w:lineRule="auto"/>
        <w:jc w:val="both"/>
        <w:rPr>
          <w:rFonts w:ascii="Arial" w:hAnsi="Arial" w:cs="Arial"/>
          <w:i/>
          <w:color w:val="7B7B7B" w:themeColor="accent3" w:themeShade="BF"/>
          <w:sz w:val="22"/>
          <w:szCs w:val="22"/>
          <w:lang w:val="en-GB"/>
        </w:rPr>
      </w:pPr>
      <w:r w:rsidRPr="004C5634">
        <w:rPr>
          <w:rFonts w:ascii="Arial" w:hAnsi="Arial" w:cs="Arial"/>
          <w:i/>
          <w:color w:val="7B7B7B" w:themeColor="accent3" w:themeShade="BF"/>
          <w:sz w:val="22"/>
          <w:szCs w:val="22"/>
          <w:lang w:val="en-GB"/>
        </w:rPr>
        <w:t xml:space="preserve">(c) </w:t>
      </w:r>
      <w:proofErr w:type="gramStart"/>
      <w:r w:rsidRPr="004C5634">
        <w:rPr>
          <w:rFonts w:ascii="Arial" w:hAnsi="Arial" w:cs="Arial"/>
          <w:i/>
          <w:color w:val="7B7B7B" w:themeColor="accent3" w:themeShade="BF"/>
          <w:sz w:val="22"/>
          <w:szCs w:val="22"/>
          <w:lang w:val="en-GB"/>
        </w:rPr>
        <w:t>if</w:t>
      </w:r>
      <w:proofErr w:type="gramEnd"/>
      <w:r w:rsidRPr="004C5634">
        <w:rPr>
          <w:rFonts w:ascii="Arial" w:hAnsi="Arial" w:cs="Arial"/>
          <w:i/>
          <w:color w:val="7B7B7B" w:themeColor="accent3" w:themeShade="BF"/>
          <w:sz w:val="22"/>
          <w:szCs w:val="22"/>
          <w:lang w:val="en-GB"/>
        </w:rPr>
        <w:t xml:space="preserve"> the court is of opinion that it is just and equitable that the company should be wound up”</w:t>
      </w:r>
    </w:p>
    <w:p w14:paraId="2E8DFB2E" w14:textId="77777777" w:rsidR="004C5634" w:rsidRPr="004C5634" w:rsidRDefault="004C5634" w:rsidP="00015EE6">
      <w:pPr>
        <w:autoSpaceDE w:val="0"/>
        <w:autoSpaceDN w:val="0"/>
        <w:adjustRightInd w:val="0"/>
        <w:spacing w:line="276" w:lineRule="auto"/>
        <w:jc w:val="both"/>
        <w:rPr>
          <w:rFonts w:ascii="Arial" w:hAnsi="Arial" w:cs="Arial"/>
          <w:sz w:val="22"/>
          <w:szCs w:val="22"/>
          <w:lang w:val="en-GB"/>
        </w:rPr>
      </w:pPr>
    </w:p>
    <w:p w14:paraId="5F059774" w14:textId="778EF78B" w:rsidR="0077498C" w:rsidRPr="00C0414D" w:rsidRDefault="00C0414D" w:rsidP="00B7193E">
      <w:pPr>
        <w:jc w:val="both"/>
        <w:rPr>
          <w:rFonts w:ascii="Arial" w:hAnsi="Arial" w:cs="Arial"/>
          <w:color w:val="7B7B7B" w:themeColor="accent3" w:themeShade="BF"/>
          <w:sz w:val="22"/>
          <w:szCs w:val="22"/>
          <w:lang w:val="en-GB"/>
        </w:rPr>
      </w:pPr>
      <w:r w:rsidRPr="00C0414D">
        <w:rPr>
          <w:rFonts w:ascii="Arial" w:hAnsi="Arial" w:cs="Arial"/>
          <w:color w:val="7B7B7B" w:themeColor="accent3" w:themeShade="BF"/>
          <w:sz w:val="22"/>
          <w:szCs w:val="22"/>
          <w:lang w:val="en-GB"/>
        </w:rPr>
        <w:t xml:space="preserve">If the said minor creditor can convince the court that </w:t>
      </w:r>
      <w:r>
        <w:rPr>
          <w:rFonts w:ascii="Arial" w:hAnsi="Arial" w:cs="Arial"/>
          <w:color w:val="7B7B7B" w:themeColor="accent3" w:themeShade="BF"/>
          <w:sz w:val="22"/>
          <w:szCs w:val="22"/>
          <w:lang w:val="en-GB"/>
        </w:rPr>
        <w:t>his/</w:t>
      </w:r>
      <w:r w:rsidRPr="00C0414D">
        <w:rPr>
          <w:rFonts w:ascii="Arial" w:hAnsi="Arial" w:cs="Arial"/>
          <w:color w:val="7B7B7B" w:themeColor="accent3" w:themeShade="BF"/>
          <w:sz w:val="22"/>
          <w:szCs w:val="22"/>
          <w:lang w:val="en-GB"/>
        </w:rPr>
        <w:t xml:space="preserve">her claim has sufficient connection with England and Wales, </w:t>
      </w:r>
      <w:r>
        <w:rPr>
          <w:rFonts w:ascii="Arial" w:hAnsi="Arial" w:cs="Arial"/>
          <w:color w:val="7B7B7B" w:themeColor="accent3" w:themeShade="BF"/>
          <w:sz w:val="22"/>
          <w:szCs w:val="22"/>
          <w:lang w:val="en-GB"/>
        </w:rPr>
        <w:t>he/</w:t>
      </w:r>
      <w:r w:rsidRPr="00C0414D">
        <w:rPr>
          <w:rFonts w:ascii="Arial" w:hAnsi="Arial" w:cs="Arial"/>
          <w:color w:val="7B7B7B" w:themeColor="accent3" w:themeShade="BF"/>
          <w:sz w:val="22"/>
          <w:szCs w:val="22"/>
          <w:lang w:val="en-GB"/>
        </w:rPr>
        <w:t>she can initiate such formal insolvency proceedings in the UK.</w:t>
      </w: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821F" w14:textId="77777777" w:rsidR="00420C79" w:rsidRDefault="00420C79" w:rsidP="00241B44">
      <w:r>
        <w:separator/>
      </w:r>
    </w:p>
  </w:endnote>
  <w:endnote w:type="continuationSeparator" w:id="0">
    <w:p w14:paraId="3521F448" w14:textId="77777777" w:rsidR="00420C79" w:rsidRDefault="00420C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Fonts w:ascii="Arial" w:hAnsi="Arial" w:cs="Arial"/>
        <w:bCs/>
        <w:sz w:val="18"/>
        <w:szCs w:val="18"/>
      </w:rPr>
      <w:id w:val="-758512077"/>
      <w:docPartObj>
        <w:docPartGallery w:val="Page Numbers (Bottom of Page)"/>
        <w:docPartUnique/>
      </w:docPartObj>
    </w:sdtPr>
    <w:sdtEndPr>
      <w:rPr>
        <w:rStyle w:val="SayfaNumaras"/>
      </w:rPr>
    </w:sdtEndPr>
    <w:sdtContent>
      <w:p w14:paraId="0AAD6B61" w14:textId="77777777" w:rsidR="006E1CB0" w:rsidRPr="00A31881" w:rsidRDefault="006E1CB0" w:rsidP="0052732A">
        <w:pPr>
          <w:pStyle w:val="Altbilgi"/>
          <w:framePr w:wrap="none" w:vAnchor="text" w:hAnchor="margin" w:xAlign="right" w:y="1"/>
          <w:rPr>
            <w:rStyle w:val="SayfaNumaras"/>
            <w:rFonts w:ascii="Arial" w:hAnsi="Arial" w:cs="Arial"/>
            <w:bCs/>
            <w:sz w:val="18"/>
            <w:szCs w:val="18"/>
          </w:rPr>
        </w:pPr>
        <w:r w:rsidRPr="00A31881">
          <w:rPr>
            <w:rStyle w:val="SayfaNumaras"/>
            <w:rFonts w:ascii="Arial" w:hAnsi="Arial" w:cs="Arial"/>
            <w:bCs/>
            <w:sz w:val="18"/>
            <w:szCs w:val="18"/>
          </w:rPr>
          <w:t xml:space="preserve">Page </w:t>
        </w:r>
        <w:r w:rsidRPr="00A31881">
          <w:rPr>
            <w:rStyle w:val="SayfaNumaras"/>
            <w:rFonts w:ascii="Arial" w:hAnsi="Arial" w:cs="Arial"/>
            <w:bCs/>
            <w:sz w:val="18"/>
            <w:szCs w:val="18"/>
          </w:rPr>
          <w:fldChar w:fldCharType="begin"/>
        </w:r>
        <w:r w:rsidRPr="00A31881">
          <w:rPr>
            <w:rStyle w:val="SayfaNumaras"/>
            <w:rFonts w:ascii="Arial" w:hAnsi="Arial" w:cs="Arial"/>
            <w:bCs/>
            <w:sz w:val="18"/>
            <w:szCs w:val="18"/>
          </w:rPr>
          <w:instrText xml:space="preserve"> PAGE </w:instrText>
        </w:r>
        <w:r w:rsidRPr="00A31881">
          <w:rPr>
            <w:rStyle w:val="SayfaNumaras"/>
            <w:rFonts w:ascii="Arial" w:hAnsi="Arial" w:cs="Arial"/>
            <w:bCs/>
            <w:sz w:val="18"/>
            <w:szCs w:val="18"/>
          </w:rPr>
          <w:fldChar w:fldCharType="separate"/>
        </w:r>
        <w:r w:rsidRPr="00A31881">
          <w:rPr>
            <w:rStyle w:val="SayfaNumaras"/>
            <w:rFonts w:ascii="Arial" w:hAnsi="Arial" w:cs="Arial"/>
            <w:bCs/>
            <w:noProof/>
            <w:sz w:val="18"/>
            <w:szCs w:val="18"/>
          </w:rPr>
          <w:t>10</w:t>
        </w:r>
        <w:r w:rsidRPr="00A31881">
          <w:rPr>
            <w:rStyle w:val="SayfaNumaras"/>
            <w:rFonts w:ascii="Arial" w:hAnsi="Arial" w:cs="Arial"/>
            <w:bCs/>
            <w:sz w:val="18"/>
            <w:szCs w:val="18"/>
          </w:rPr>
          <w:fldChar w:fldCharType="end"/>
        </w:r>
      </w:p>
    </w:sdtContent>
  </w:sdt>
  <w:p w14:paraId="39FD1B0B" w14:textId="131F514A" w:rsidR="006E1CB0" w:rsidRPr="00A31881" w:rsidRDefault="006E1CB0" w:rsidP="00FC7B47">
    <w:pPr>
      <w:pStyle w:val="Altbilgi"/>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Fonts w:ascii="Arial" w:hAnsi="Arial" w:cs="Arial"/>
        <w:b/>
        <w:bCs/>
        <w:sz w:val="18"/>
        <w:szCs w:val="18"/>
      </w:rPr>
      <w:id w:val="-2016673495"/>
      <w:docPartObj>
        <w:docPartGallery w:val="Page Numbers (Bottom of Page)"/>
        <w:docPartUnique/>
      </w:docPartObj>
    </w:sdtPr>
    <w:sdtEndPr>
      <w:rPr>
        <w:rStyle w:val="SayfaNumaras"/>
        <w:b w:val="0"/>
        <w:bCs w:val="0"/>
      </w:rPr>
    </w:sdtEndPr>
    <w:sdtContent>
      <w:p w14:paraId="532C33C7" w14:textId="3184068D" w:rsidR="006E1CB0" w:rsidRPr="0052732A" w:rsidRDefault="006E1CB0" w:rsidP="006E1CB0">
        <w:pPr>
          <w:pStyle w:val="Altbilgi"/>
          <w:framePr w:wrap="none" w:vAnchor="text" w:hAnchor="margin" w:xAlign="right" w:y="1"/>
          <w:rPr>
            <w:rStyle w:val="SayfaNumaras"/>
            <w:rFonts w:ascii="Arial" w:hAnsi="Arial" w:cs="Arial"/>
            <w:sz w:val="18"/>
            <w:szCs w:val="18"/>
          </w:rPr>
        </w:pPr>
        <w:r w:rsidRPr="00C50F86">
          <w:rPr>
            <w:rStyle w:val="SayfaNumaras"/>
            <w:rFonts w:ascii="Arial" w:hAnsi="Arial" w:cs="Arial"/>
            <w:b/>
            <w:bCs/>
            <w:sz w:val="18"/>
            <w:szCs w:val="18"/>
          </w:rPr>
          <w:t xml:space="preserve">Page </w:t>
        </w:r>
        <w:r w:rsidRPr="00C50F86">
          <w:rPr>
            <w:rStyle w:val="SayfaNumaras"/>
            <w:rFonts w:ascii="Arial" w:hAnsi="Arial" w:cs="Arial"/>
            <w:b/>
            <w:bCs/>
            <w:sz w:val="18"/>
            <w:szCs w:val="18"/>
          </w:rPr>
          <w:fldChar w:fldCharType="begin"/>
        </w:r>
        <w:r w:rsidRPr="00C50F86">
          <w:rPr>
            <w:rStyle w:val="SayfaNumaras"/>
            <w:rFonts w:ascii="Arial" w:hAnsi="Arial" w:cs="Arial"/>
            <w:b/>
            <w:bCs/>
            <w:sz w:val="18"/>
            <w:szCs w:val="18"/>
          </w:rPr>
          <w:instrText xml:space="preserve"> PAGE </w:instrText>
        </w:r>
        <w:r w:rsidRPr="00C50F86">
          <w:rPr>
            <w:rStyle w:val="SayfaNumaras"/>
            <w:rFonts w:ascii="Arial" w:hAnsi="Arial" w:cs="Arial"/>
            <w:b/>
            <w:bCs/>
            <w:sz w:val="18"/>
            <w:szCs w:val="18"/>
          </w:rPr>
          <w:fldChar w:fldCharType="separate"/>
        </w:r>
        <w:r w:rsidR="008648D0">
          <w:rPr>
            <w:rStyle w:val="SayfaNumaras"/>
            <w:rFonts w:ascii="Arial" w:hAnsi="Arial" w:cs="Arial"/>
            <w:b/>
            <w:bCs/>
            <w:noProof/>
            <w:sz w:val="18"/>
            <w:szCs w:val="18"/>
          </w:rPr>
          <w:t>12</w:t>
        </w:r>
        <w:r w:rsidRPr="00C50F86">
          <w:rPr>
            <w:rStyle w:val="SayfaNumaras"/>
            <w:rFonts w:ascii="Arial" w:hAnsi="Arial" w:cs="Arial"/>
            <w:b/>
            <w:bCs/>
            <w:sz w:val="18"/>
            <w:szCs w:val="18"/>
          </w:rPr>
          <w:fldChar w:fldCharType="end"/>
        </w:r>
      </w:p>
    </w:sdtContent>
  </w:sdt>
  <w:p w14:paraId="12ABA5E1" w14:textId="65093982" w:rsidR="006E1CB0" w:rsidRPr="0052732A" w:rsidRDefault="004E6C72" w:rsidP="0052732A">
    <w:pPr>
      <w:pStyle w:val="Altbilgi"/>
      <w:ind w:right="360"/>
      <w:rPr>
        <w:rFonts w:ascii="Arial" w:hAnsi="Arial" w:cs="Arial"/>
        <w:sz w:val="18"/>
        <w:szCs w:val="18"/>
      </w:rPr>
    </w:pPr>
    <w:r w:rsidRPr="004E6C72">
      <w:rPr>
        <w:rFonts w:ascii="Arial" w:hAnsi="Arial" w:cs="Arial"/>
        <w:sz w:val="18"/>
        <w:szCs w:val="18"/>
      </w:rPr>
      <w:t>202122-487</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1975D" w14:textId="77777777" w:rsidR="00420C79" w:rsidRDefault="00420C79" w:rsidP="00241B44">
      <w:r>
        <w:separator/>
      </w:r>
    </w:p>
  </w:footnote>
  <w:footnote w:type="continuationSeparator" w:id="0">
    <w:p w14:paraId="20E7C030" w14:textId="77777777" w:rsidR="00420C79" w:rsidRDefault="00420C79" w:rsidP="00241B44">
      <w:r>
        <w:continuationSeparator/>
      </w:r>
    </w:p>
  </w:footnote>
  <w:footnote w:id="1">
    <w:p w14:paraId="2B8B5255" w14:textId="2BA0543F" w:rsidR="008A02FB" w:rsidRPr="008A02FB" w:rsidRDefault="008A02FB">
      <w:pPr>
        <w:pStyle w:val="DipnotMetni"/>
        <w:rPr>
          <w:lang w:val="tr-TR"/>
        </w:rPr>
      </w:pPr>
      <w:r>
        <w:rPr>
          <w:rStyle w:val="DipnotBavurusu"/>
        </w:rPr>
        <w:footnoteRef/>
      </w:r>
      <w:r>
        <w:t xml:space="preserve"> Shaw, Malcolm N, International Law, Cambridge University Press, Cambridge (2003), p 88.</w:t>
      </w:r>
    </w:p>
  </w:footnote>
  <w:footnote w:id="2">
    <w:p w14:paraId="08A0EE57" w14:textId="06A4CF19" w:rsidR="00EC7C42" w:rsidRPr="00115574" w:rsidRDefault="00EC7C42" w:rsidP="00156CC2">
      <w:pPr>
        <w:pStyle w:val="DipnotMetni"/>
        <w:jc w:val="both"/>
        <w:rPr>
          <w:lang w:val="tr-TR"/>
        </w:rPr>
      </w:pPr>
      <w:r>
        <w:rPr>
          <w:rStyle w:val="DipnotBavurusu"/>
        </w:rPr>
        <w:footnoteRef/>
      </w:r>
      <w:r>
        <w:t xml:space="preserve"> </w:t>
      </w:r>
      <w:proofErr w:type="spellStart"/>
      <w:r>
        <w:rPr>
          <w:lang w:val="tr-TR"/>
        </w:rPr>
        <w:t>Thirlway</w:t>
      </w:r>
      <w:proofErr w:type="spellEnd"/>
      <w:r>
        <w:rPr>
          <w:lang w:val="tr-TR"/>
        </w:rPr>
        <w:t xml:space="preserve">, </w:t>
      </w:r>
      <w:proofErr w:type="spellStart"/>
      <w:r>
        <w:rPr>
          <w:lang w:val="tr-TR"/>
        </w:rPr>
        <w:t>Hugh</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Sources</w:t>
      </w:r>
      <w:proofErr w:type="spellEnd"/>
      <w:r>
        <w:rPr>
          <w:lang w:val="tr-TR"/>
        </w:rPr>
        <w:t xml:space="preserve"> of International </w:t>
      </w:r>
      <w:proofErr w:type="spellStart"/>
      <w:r>
        <w:rPr>
          <w:lang w:val="tr-TR"/>
        </w:rPr>
        <w:t>Law</w:t>
      </w:r>
      <w:proofErr w:type="spellEnd"/>
      <w:r>
        <w:rPr>
          <w:lang w:val="tr-TR"/>
        </w:rPr>
        <w:t xml:space="preserve">, Oxford </w:t>
      </w:r>
      <w:proofErr w:type="spellStart"/>
      <w:r>
        <w:rPr>
          <w:lang w:val="tr-TR"/>
        </w:rPr>
        <w:t>University</w:t>
      </w:r>
      <w:proofErr w:type="spellEnd"/>
      <w:r>
        <w:rPr>
          <w:lang w:val="tr-TR"/>
        </w:rPr>
        <w:t xml:space="preserve"> </w:t>
      </w:r>
      <w:proofErr w:type="spellStart"/>
      <w:r>
        <w:rPr>
          <w:lang w:val="tr-TR"/>
        </w:rPr>
        <w:t>Press</w:t>
      </w:r>
      <w:proofErr w:type="spellEnd"/>
      <w:r>
        <w:rPr>
          <w:lang w:val="tr-TR"/>
        </w:rPr>
        <w:t xml:space="preserve">, Oxford (2019), p 188-189; </w:t>
      </w:r>
      <w:proofErr w:type="spellStart"/>
      <w:r>
        <w:rPr>
          <w:lang w:val="tr-TR"/>
        </w:rPr>
        <w:t>Mevorach</w:t>
      </w:r>
      <w:proofErr w:type="spellEnd"/>
      <w:r>
        <w:rPr>
          <w:lang w:val="tr-TR"/>
        </w:rPr>
        <w:t xml:space="preserve">, </w:t>
      </w:r>
      <w:proofErr w:type="spellStart"/>
      <w:r>
        <w:rPr>
          <w:lang w:val="tr-TR"/>
        </w:rPr>
        <w:t>Irit</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Future</w:t>
      </w:r>
      <w:proofErr w:type="spellEnd"/>
      <w:r>
        <w:rPr>
          <w:lang w:val="tr-TR"/>
        </w:rPr>
        <w:t xml:space="preserve"> of Cross-</w:t>
      </w:r>
      <w:proofErr w:type="spellStart"/>
      <w:r>
        <w:rPr>
          <w:lang w:val="tr-TR"/>
        </w:rPr>
        <w:t>Border</w:t>
      </w:r>
      <w:proofErr w:type="spellEnd"/>
      <w:r>
        <w:rPr>
          <w:lang w:val="tr-TR"/>
        </w:rPr>
        <w:t xml:space="preserve"> </w:t>
      </w:r>
      <w:proofErr w:type="spellStart"/>
      <w:r>
        <w:rPr>
          <w:lang w:val="tr-TR"/>
        </w:rPr>
        <w:t>Insolvency</w:t>
      </w:r>
      <w:proofErr w:type="spellEnd"/>
      <w:r>
        <w:rPr>
          <w:lang w:val="tr-TR"/>
        </w:rPr>
        <w:t xml:space="preserve">: </w:t>
      </w:r>
      <w:proofErr w:type="spellStart"/>
      <w:r>
        <w:rPr>
          <w:lang w:val="tr-TR"/>
        </w:rPr>
        <w:t>Overcoming</w:t>
      </w:r>
      <w:proofErr w:type="spellEnd"/>
      <w:r>
        <w:rPr>
          <w:lang w:val="tr-TR"/>
        </w:rPr>
        <w:t xml:space="preserve"> </w:t>
      </w:r>
      <w:proofErr w:type="spellStart"/>
      <w:r>
        <w:rPr>
          <w:lang w:val="tr-TR"/>
        </w:rPr>
        <w:t>Biases</w:t>
      </w:r>
      <w:proofErr w:type="spellEnd"/>
      <w:r>
        <w:rPr>
          <w:lang w:val="tr-TR"/>
        </w:rPr>
        <w:t xml:space="preserve"> </w:t>
      </w:r>
      <w:proofErr w:type="spellStart"/>
      <w:r>
        <w:rPr>
          <w:lang w:val="tr-TR"/>
        </w:rPr>
        <w:t>and</w:t>
      </w:r>
      <w:proofErr w:type="spellEnd"/>
      <w:r>
        <w:rPr>
          <w:lang w:val="tr-TR"/>
        </w:rPr>
        <w:t xml:space="preserve"> </w:t>
      </w:r>
      <w:proofErr w:type="spellStart"/>
      <w:r>
        <w:rPr>
          <w:lang w:val="tr-TR"/>
        </w:rPr>
        <w:t>Closing</w:t>
      </w:r>
      <w:proofErr w:type="spellEnd"/>
      <w:r>
        <w:rPr>
          <w:lang w:val="tr-TR"/>
        </w:rPr>
        <w:t xml:space="preserve"> </w:t>
      </w:r>
      <w:proofErr w:type="spellStart"/>
      <w:r>
        <w:rPr>
          <w:lang w:val="tr-TR"/>
        </w:rPr>
        <w:t>Gaps</w:t>
      </w:r>
      <w:proofErr w:type="spellEnd"/>
      <w:r>
        <w:rPr>
          <w:lang w:val="tr-TR"/>
        </w:rPr>
        <w:t xml:space="preserve">, Oxford </w:t>
      </w:r>
      <w:proofErr w:type="spellStart"/>
      <w:r>
        <w:rPr>
          <w:lang w:val="tr-TR"/>
        </w:rPr>
        <w:t>University</w:t>
      </w:r>
      <w:proofErr w:type="spellEnd"/>
      <w:r>
        <w:rPr>
          <w:lang w:val="tr-TR"/>
        </w:rPr>
        <w:t xml:space="preserve"> </w:t>
      </w:r>
      <w:proofErr w:type="spellStart"/>
      <w:r>
        <w:rPr>
          <w:lang w:val="tr-TR"/>
        </w:rPr>
        <w:t>Press</w:t>
      </w:r>
      <w:proofErr w:type="spellEnd"/>
      <w:r>
        <w:rPr>
          <w:lang w:val="tr-TR"/>
        </w:rPr>
        <w:t>, Oxford (2018), p 151.</w:t>
      </w:r>
    </w:p>
  </w:footnote>
  <w:footnote w:id="3">
    <w:p w14:paraId="6ED47732" w14:textId="2DC8C14F" w:rsidR="00817C11" w:rsidRPr="00817C11" w:rsidRDefault="00817C11" w:rsidP="00156CC2">
      <w:pPr>
        <w:pStyle w:val="DipnotMetni"/>
        <w:jc w:val="both"/>
        <w:rPr>
          <w:lang w:val="tr-TR"/>
        </w:rPr>
      </w:pPr>
      <w:r>
        <w:rPr>
          <w:rStyle w:val="DipnotBavurusu"/>
        </w:rPr>
        <w:footnoteRef/>
      </w:r>
      <w:r>
        <w:t xml:space="preserve"> </w:t>
      </w:r>
      <w:proofErr w:type="spellStart"/>
      <w:r>
        <w:rPr>
          <w:lang w:val="tr-TR"/>
        </w:rPr>
        <w:t>Mevorach</w:t>
      </w:r>
      <w:proofErr w:type="spellEnd"/>
      <w:r>
        <w:rPr>
          <w:lang w:val="tr-TR"/>
        </w:rPr>
        <w:t xml:space="preserve">, </w:t>
      </w:r>
      <w:proofErr w:type="spellStart"/>
      <w:r>
        <w:rPr>
          <w:lang w:val="tr-TR"/>
        </w:rPr>
        <w:t>Irit</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Future</w:t>
      </w:r>
      <w:proofErr w:type="spellEnd"/>
      <w:r>
        <w:rPr>
          <w:lang w:val="tr-TR"/>
        </w:rPr>
        <w:t xml:space="preserve"> of Cross-</w:t>
      </w:r>
      <w:proofErr w:type="spellStart"/>
      <w:r>
        <w:rPr>
          <w:lang w:val="tr-TR"/>
        </w:rPr>
        <w:t>Border</w:t>
      </w:r>
      <w:proofErr w:type="spellEnd"/>
      <w:r>
        <w:rPr>
          <w:lang w:val="tr-TR"/>
        </w:rPr>
        <w:t xml:space="preserve"> </w:t>
      </w:r>
      <w:proofErr w:type="spellStart"/>
      <w:r>
        <w:rPr>
          <w:lang w:val="tr-TR"/>
        </w:rPr>
        <w:t>Insolvency</w:t>
      </w:r>
      <w:proofErr w:type="spellEnd"/>
      <w:r>
        <w:rPr>
          <w:lang w:val="tr-TR"/>
        </w:rPr>
        <w:t xml:space="preserve">: </w:t>
      </w:r>
      <w:proofErr w:type="spellStart"/>
      <w:r>
        <w:rPr>
          <w:lang w:val="tr-TR"/>
        </w:rPr>
        <w:t>Overcoming</w:t>
      </w:r>
      <w:proofErr w:type="spellEnd"/>
      <w:r>
        <w:rPr>
          <w:lang w:val="tr-TR"/>
        </w:rPr>
        <w:t xml:space="preserve"> </w:t>
      </w:r>
      <w:proofErr w:type="spellStart"/>
      <w:r>
        <w:rPr>
          <w:lang w:val="tr-TR"/>
        </w:rPr>
        <w:t>Biases</w:t>
      </w:r>
      <w:proofErr w:type="spellEnd"/>
      <w:r>
        <w:rPr>
          <w:lang w:val="tr-TR"/>
        </w:rPr>
        <w:t xml:space="preserve"> </w:t>
      </w:r>
      <w:proofErr w:type="spellStart"/>
      <w:r>
        <w:rPr>
          <w:lang w:val="tr-TR"/>
        </w:rPr>
        <w:t>and</w:t>
      </w:r>
      <w:proofErr w:type="spellEnd"/>
      <w:r>
        <w:rPr>
          <w:lang w:val="tr-TR"/>
        </w:rPr>
        <w:t xml:space="preserve"> </w:t>
      </w:r>
      <w:proofErr w:type="spellStart"/>
      <w:r>
        <w:rPr>
          <w:lang w:val="tr-TR"/>
        </w:rPr>
        <w:t>Closing</w:t>
      </w:r>
      <w:proofErr w:type="spellEnd"/>
      <w:r>
        <w:rPr>
          <w:lang w:val="tr-TR"/>
        </w:rPr>
        <w:t xml:space="preserve"> </w:t>
      </w:r>
      <w:proofErr w:type="spellStart"/>
      <w:r>
        <w:rPr>
          <w:lang w:val="tr-TR"/>
        </w:rPr>
        <w:t>Gaps</w:t>
      </w:r>
      <w:proofErr w:type="spellEnd"/>
      <w:r>
        <w:rPr>
          <w:lang w:val="tr-TR"/>
        </w:rPr>
        <w:t xml:space="preserve">, Oxford </w:t>
      </w:r>
      <w:proofErr w:type="spellStart"/>
      <w:r>
        <w:rPr>
          <w:lang w:val="tr-TR"/>
        </w:rPr>
        <w:t>University</w:t>
      </w:r>
      <w:proofErr w:type="spellEnd"/>
      <w:r>
        <w:rPr>
          <w:lang w:val="tr-TR"/>
        </w:rPr>
        <w:t xml:space="preserve"> </w:t>
      </w:r>
      <w:proofErr w:type="spellStart"/>
      <w:r>
        <w:rPr>
          <w:lang w:val="tr-TR"/>
        </w:rPr>
        <w:t>Press</w:t>
      </w:r>
      <w:proofErr w:type="spellEnd"/>
      <w:r>
        <w:rPr>
          <w:lang w:val="tr-TR"/>
        </w:rPr>
        <w:t>, Oxford (2018), p 134.</w:t>
      </w:r>
    </w:p>
  </w:footnote>
  <w:footnote w:id="4">
    <w:p w14:paraId="4604D623" w14:textId="2B6570BD" w:rsidR="00EC09E3" w:rsidRPr="00EC09E3" w:rsidRDefault="00EC09E3">
      <w:pPr>
        <w:pStyle w:val="DipnotMetni"/>
        <w:rPr>
          <w:lang w:val="tr-TR"/>
        </w:rPr>
      </w:pPr>
      <w:r>
        <w:rPr>
          <w:rStyle w:val="DipnotBavurusu"/>
        </w:rPr>
        <w:footnoteRef/>
      </w:r>
      <w:r>
        <w:t xml:space="preserve"> </w:t>
      </w:r>
      <w:r>
        <w:rPr>
          <w:lang w:val="tr-TR"/>
        </w:rPr>
        <w:t xml:space="preserve">UNCITRAL, </w:t>
      </w:r>
      <w:proofErr w:type="spellStart"/>
      <w:r>
        <w:rPr>
          <w:lang w:val="tr-TR"/>
        </w:rPr>
        <w:t>Practice</w:t>
      </w:r>
      <w:proofErr w:type="spellEnd"/>
      <w:r>
        <w:rPr>
          <w:lang w:val="tr-TR"/>
        </w:rPr>
        <w:t xml:space="preserve"> Guide on Cross- </w:t>
      </w:r>
      <w:proofErr w:type="spellStart"/>
      <w:r>
        <w:rPr>
          <w:lang w:val="tr-TR"/>
        </w:rPr>
        <w:t>Border</w:t>
      </w:r>
      <w:proofErr w:type="spellEnd"/>
      <w:r>
        <w:rPr>
          <w:lang w:val="tr-TR"/>
        </w:rPr>
        <w:t xml:space="preserve"> </w:t>
      </w:r>
      <w:proofErr w:type="spellStart"/>
      <w:r>
        <w:rPr>
          <w:lang w:val="tr-TR"/>
        </w:rPr>
        <w:t>Insolvency</w:t>
      </w:r>
      <w:proofErr w:type="spellEnd"/>
      <w:r>
        <w:rPr>
          <w:lang w:val="tr-TR"/>
        </w:rPr>
        <w:t xml:space="preserve"> </w:t>
      </w:r>
      <w:proofErr w:type="spellStart"/>
      <w:r>
        <w:rPr>
          <w:lang w:val="tr-TR"/>
        </w:rPr>
        <w:t>Cooperation</w:t>
      </w:r>
      <w:proofErr w:type="spellEnd"/>
      <w:r>
        <w:rPr>
          <w:lang w:val="tr-TR"/>
        </w:rPr>
        <w:t xml:space="preserve">, p 115-140.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3A1"/>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67821"/>
    <w:rsid w:val="0007091D"/>
    <w:rsid w:val="00076483"/>
    <w:rsid w:val="0008155B"/>
    <w:rsid w:val="00081A63"/>
    <w:rsid w:val="00082609"/>
    <w:rsid w:val="000851CC"/>
    <w:rsid w:val="00085349"/>
    <w:rsid w:val="00085D4B"/>
    <w:rsid w:val="00086BDD"/>
    <w:rsid w:val="00090933"/>
    <w:rsid w:val="000927FE"/>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0F7A6E"/>
    <w:rsid w:val="00100A77"/>
    <w:rsid w:val="00101707"/>
    <w:rsid w:val="00105CBD"/>
    <w:rsid w:val="001107F2"/>
    <w:rsid w:val="00110E0C"/>
    <w:rsid w:val="001131C6"/>
    <w:rsid w:val="0011473D"/>
    <w:rsid w:val="00115574"/>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56CC2"/>
    <w:rsid w:val="00161F1B"/>
    <w:rsid w:val="001620AF"/>
    <w:rsid w:val="00162829"/>
    <w:rsid w:val="0016472D"/>
    <w:rsid w:val="00164B28"/>
    <w:rsid w:val="001677CC"/>
    <w:rsid w:val="00173647"/>
    <w:rsid w:val="00176F9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2D2"/>
    <w:rsid w:val="002F75A3"/>
    <w:rsid w:val="002F75CD"/>
    <w:rsid w:val="002F7EB5"/>
    <w:rsid w:val="0030201F"/>
    <w:rsid w:val="003029D4"/>
    <w:rsid w:val="00303C2F"/>
    <w:rsid w:val="0030558B"/>
    <w:rsid w:val="00306E87"/>
    <w:rsid w:val="00310FC2"/>
    <w:rsid w:val="003144EF"/>
    <w:rsid w:val="00326292"/>
    <w:rsid w:val="00326415"/>
    <w:rsid w:val="00330937"/>
    <w:rsid w:val="00330F31"/>
    <w:rsid w:val="00331758"/>
    <w:rsid w:val="003326F0"/>
    <w:rsid w:val="00334648"/>
    <w:rsid w:val="00336CA6"/>
    <w:rsid w:val="0033768C"/>
    <w:rsid w:val="00337938"/>
    <w:rsid w:val="00340769"/>
    <w:rsid w:val="00341A65"/>
    <w:rsid w:val="00341AA6"/>
    <w:rsid w:val="00342E57"/>
    <w:rsid w:val="00350F4C"/>
    <w:rsid w:val="00355B57"/>
    <w:rsid w:val="00361A0A"/>
    <w:rsid w:val="00361DF9"/>
    <w:rsid w:val="0036565C"/>
    <w:rsid w:val="0036625E"/>
    <w:rsid w:val="00367162"/>
    <w:rsid w:val="00367A25"/>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07B9D"/>
    <w:rsid w:val="00414BF9"/>
    <w:rsid w:val="00415DFF"/>
    <w:rsid w:val="00415F1F"/>
    <w:rsid w:val="00420C79"/>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4C3"/>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634"/>
    <w:rsid w:val="004C5E4F"/>
    <w:rsid w:val="004C7030"/>
    <w:rsid w:val="004D1A5A"/>
    <w:rsid w:val="004D2FFF"/>
    <w:rsid w:val="004D3721"/>
    <w:rsid w:val="004D64F9"/>
    <w:rsid w:val="004D687E"/>
    <w:rsid w:val="004E4224"/>
    <w:rsid w:val="004E5A14"/>
    <w:rsid w:val="004E622C"/>
    <w:rsid w:val="004E6365"/>
    <w:rsid w:val="004E64DB"/>
    <w:rsid w:val="004E6C72"/>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1103"/>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11C5"/>
    <w:rsid w:val="005A2152"/>
    <w:rsid w:val="005A2194"/>
    <w:rsid w:val="005A2628"/>
    <w:rsid w:val="005A383D"/>
    <w:rsid w:val="005A5ACB"/>
    <w:rsid w:val="005A726D"/>
    <w:rsid w:val="005B0BB9"/>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369E"/>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2098"/>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839"/>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867AD"/>
    <w:rsid w:val="00790B4C"/>
    <w:rsid w:val="0079206E"/>
    <w:rsid w:val="00793173"/>
    <w:rsid w:val="007958F0"/>
    <w:rsid w:val="00797CF4"/>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7C11"/>
    <w:rsid w:val="0082483F"/>
    <w:rsid w:val="008279C0"/>
    <w:rsid w:val="00841E70"/>
    <w:rsid w:val="008473AA"/>
    <w:rsid w:val="00852883"/>
    <w:rsid w:val="00852F37"/>
    <w:rsid w:val="008571F6"/>
    <w:rsid w:val="00861E51"/>
    <w:rsid w:val="008648D0"/>
    <w:rsid w:val="00870B96"/>
    <w:rsid w:val="008723F3"/>
    <w:rsid w:val="00873246"/>
    <w:rsid w:val="00875E2E"/>
    <w:rsid w:val="00880F99"/>
    <w:rsid w:val="00881DA8"/>
    <w:rsid w:val="00881DE6"/>
    <w:rsid w:val="008837A6"/>
    <w:rsid w:val="008863E8"/>
    <w:rsid w:val="0089145D"/>
    <w:rsid w:val="00896FD7"/>
    <w:rsid w:val="00897428"/>
    <w:rsid w:val="008A02FB"/>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17BF2"/>
    <w:rsid w:val="00A2274A"/>
    <w:rsid w:val="00A22B7F"/>
    <w:rsid w:val="00A235B7"/>
    <w:rsid w:val="00A249AC"/>
    <w:rsid w:val="00A27A7A"/>
    <w:rsid w:val="00A301D1"/>
    <w:rsid w:val="00A3129D"/>
    <w:rsid w:val="00A31881"/>
    <w:rsid w:val="00A407EF"/>
    <w:rsid w:val="00A411B7"/>
    <w:rsid w:val="00A46B4C"/>
    <w:rsid w:val="00A5117B"/>
    <w:rsid w:val="00A552AA"/>
    <w:rsid w:val="00A560B6"/>
    <w:rsid w:val="00A56CF7"/>
    <w:rsid w:val="00A56DBC"/>
    <w:rsid w:val="00A60074"/>
    <w:rsid w:val="00A646E2"/>
    <w:rsid w:val="00A651A9"/>
    <w:rsid w:val="00A66010"/>
    <w:rsid w:val="00A6627C"/>
    <w:rsid w:val="00A71019"/>
    <w:rsid w:val="00A81029"/>
    <w:rsid w:val="00A82AFB"/>
    <w:rsid w:val="00A8485D"/>
    <w:rsid w:val="00A96062"/>
    <w:rsid w:val="00A96489"/>
    <w:rsid w:val="00A96BB0"/>
    <w:rsid w:val="00A97D88"/>
    <w:rsid w:val="00AA0E39"/>
    <w:rsid w:val="00AA0F18"/>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E6EFD"/>
    <w:rsid w:val="00AF228E"/>
    <w:rsid w:val="00AF455B"/>
    <w:rsid w:val="00B0123F"/>
    <w:rsid w:val="00B04004"/>
    <w:rsid w:val="00B14819"/>
    <w:rsid w:val="00B17AA9"/>
    <w:rsid w:val="00B221FF"/>
    <w:rsid w:val="00B26B31"/>
    <w:rsid w:val="00B30A70"/>
    <w:rsid w:val="00B30F6F"/>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2C7"/>
    <w:rsid w:val="00BD7D49"/>
    <w:rsid w:val="00BF2B49"/>
    <w:rsid w:val="00BF2E7A"/>
    <w:rsid w:val="00BF3D02"/>
    <w:rsid w:val="00BF40B9"/>
    <w:rsid w:val="00BF50F7"/>
    <w:rsid w:val="00BF5D90"/>
    <w:rsid w:val="00C00231"/>
    <w:rsid w:val="00C01017"/>
    <w:rsid w:val="00C028D7"/>
    <w:rsid w:val="00C02F29"/>
    <w:rsid w:val="00C0414D"/>
    <w:rsid w:val="00C13E05"/>
    <w:rsid w:val="00C15A16"/>
    <w:rsid w:val="00C1724E"/>
    <w:rsid w:val="00C17B02"/>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3302"/>
    <w:rsid w:val="00C750BA"/>
    <w:rsid w:val="00C7736C"/>
    <w:rsid w:val="00C80272"/>
    <w:rsid w:val="00C82D87"/>
    <w:rsid w:val="00C8712A"/>
    <w:rsid w:val="00C92A0D"/>
    <w:rsid w:val="00C963D3"/>
    <w:rsid w:val="00CA1802"/>
    <w:rsid w:val="00CA1F25"/>
    <w:rsid w:val="00CB262C"/>
    <w:rsid w:val="00CB2CBB"/>
    <w:rsid w:val="00CB7283"/>
    <w:rsid w:val="00CB7CAC"/>
    <w:rsid w:val="00CC467D"/>
    <w:rsid w:val="00CC5335"/>
    <w:rsid w:val="00CC579C"/>
    <w:rsid w:val="00CC5BA4"/>
    <w:rsid w:val="00CC7728"/>
    <w:rsid w:val="00CD0FFE"/>
    <w:rsid w:val="00CD34DB"/>
    <w:rsid w:val="00CD377A"/>
    <w:rsid w:val="00CD4998"/>
    <w:rsid w:val="00CE059F"/>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0610"/>
    <w:rsid w:val="00D57C59"/>
    <w:rsid w:val="00D60215"/>
    <w:rsid w:val="00D60874"/>
    <w:rsid w:val="00D608F5"/>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4E0D"/>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3B59"/>
    <w:rsid w:val="00E84DA5"/>
    <w:rsid w:val="00E84DD5"/>
    <w:rsid w:val="00E86549"/>
    <w:rsid w:val="00E86D64"/>
    <w:rsid w:val="00E909F0"/>
    <w:rsid w:val="00E90D47"/>
    <w:rsid w:val="00E91BE6"/>
    <w:rsid w:val="00E92DA7"/>
    <w:rsid w:val="00E93993"/>
    <w:rsid w:val="00E950C0"/>
    <w:rsid w:val="00E9597C"/>
    <w:rsid w:val="00E97569"/>
    <w:rsid w:val="00EA0879"/>
    <w:rsid w:val="00EA0913"/>
    <w:rsid w:val="00EA4D77"/>
    <w:rsid w:val="00EA5E96"/>
    <w:rsid w:val="00EB02BE"/>
    <w:rsid w:val="00EB146B"/>
    <w:rsid w:val="00EB2845"/>
    <w:rsid w:val="00EB45AC"/>
    <w:rsid w:val="00EB488B"/>
    <w:rsid w:val="00EB6668"/>
    <w:rsid w:val="00EB6A2F"/>
    <w:rsid w:val="00EC09E3"/>
    <w:rsid w:val="00EC3875"/>
    <w:rsid w:val="00EC549E"/>
    <w:rsid w:val="00EC6E55"/>
    <w:rsid w:val="00EC7C42"/>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4E4A"/>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06AD"/>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2F9E"/>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0542"/>
  </w:style>
  <w:style w:type="paragraph" w:styleId="ListeParagraf">
    <w:name w:val="List Paragraph"/>
    <w:basedOn w:val="Normal"/>
    <w:uiPriority w:val="34"/>
    <w:qFormat/>
    <w:rsid w:val="00430FED"/>
    <w:pPr>
      <w:ind w:left="720"/>
      <w:contextualSpacing/>
    </w:pPr>
  </w:style>
  <w:style w:type="paragraph" w:styleId="DipnotMetni">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DipnotMetniChar"/>
    <w:unhideWhenUsed/>
    <w:rsid w:val="00241B44"/>
    <w:rPr>
      <w:szCs w:val="20"/>
    </w:rPr>
  </w:style>
  <w:style w:type="character" w:customStyle="1" w:styleId="DipnotMetniChar">
    <w:name w:val="Dipnot Metni Char"/>
    <w:aliases w:val="fn Char,Fußnotentext Char Char Char Char Char,Fußnotentext Char Char Char Char Char Char Char,Fußnotentext Char Char Char Char Char Char Char Char Char,Fußnotentextf Char,footnotes Char,Footnote Text Char2 Char Char,Footnote Char"/>
    <w:basedOn w:val="VarsaylanParagrafYazTipi"/>
    <w:link w:val="DipnotMetni"/>
    <w:rsid w:val="00241B44"/>
    <w:rPr>
      <w:sz w:val="20"/>
      <w:szCs w:val="20"/>
    </w:rPr>
  </w:style>
  <w:style w:type="character" w:styleId="DipnotBavurusu">
    <w:name w:val="footnote reference"/>
    <w:aliases w:val="fr,Footnote Refernece,BVI fnr,callout,16 Point,Superscript 6 Point,Footnote Reference Superscript,Ref,de nota al pie,-E Fußnotenzeichen,number,SUPERS,EN Footnote Reference,-E Fuﬂnotenzeichen,-E Fuûnotenzeichen,Footnote numbe, BVI fnr"/>
    <w:basedOn w:val="VarsaylanParagrafYazTipi"/>
    <w:unhideWhenUsed/>
    <w:qFormat/>
    <w:rsid w:val="00241B44"/>
    <w:rPr>
      <w:vertAlign w:val="superscript"/>
    </w:rPr>
  </w:style>
  <w:style w:type="character" w:styleId="Kpr">
    <w:name w:val="Hyperlink"/>
    <w:basedOn w:val="VarsaylanParagrafYazTipi"/>
    <w:uiPriority w:val="99"/>
    <w:unhideWhenUsed/>
    <w:rsid w:val="00A047EE"/>
    <w:rPr>
      <w:color w:val="0563C1" w:themeColor="hyperlink"/>
      <w:u w:val="single"/>
    </w:rPr>
  </w:style>
  <w:style w:type="character" w:customStyle="1" w:styleId="UnresolvedMention1">
    <w:name w:val="Unresolved Mention1"/>
    <w:basedOn w:val="VarsaylanParagrafYazTipi"/>
    <w:uiPriority w:val="99"/>
    <w:rsid w:val="00A047EE"/>
    <w:rPr>
      <w:color w:val="605E5C"/>
      <w:shd w:val="clear" w:color="auto" w:fill="E1DFDD"/>
    </w:rPr>
  </w:style>
  <w:style w:type="character" w:styleId="AklamaBavurusu">
    <w:name w:val="annotation reference"/>
    <w:basedOn w:val="VarsaylanParagrafYazTipi"/>
    <w:uiPriority w:val="99"/>
    <w:semiHidden/>
    <w:unhideWhenUsed/>
    <w:rsid w:val="008B5333"/>
    <w:rPr>
      <w:sz w:val="16"/>
      <w:szCs w:val="16"/>
    </w:rPr>
  </w:style>
  <w:style w:type="paragraph" w:styleId="AklamaMetni">
    <w:name w:val="annotation text"/>
    <w:basedOn w:val="Normal"/>
    <w:link w:val="AklamaMetniChar"/>
    <w:uiPriority w:val="99"/>
    <w:unhideWhenUsed/>
    <w:rsid w:val="008B5333"/>
    <w:rPr>
      <w:szCs w:val="20"/>
    </w:rPr>
  </w:style>
  <w:style w:type="character" w:customStyle="1" w:styleId="AklamaMetniChar">
    <w:name w:val="Açıklama Metni Char"/>
    <w:basedOn w:val="VarsaylanParagrafYazTipi"/>
    <w:link w:val="AklamaMetni"/>
    <w:uiPriority w:val="99"/>
    <w:rsid w:val="008B5333"/>
    <w:rPr>
      <w:rFonts w:eastAsia="Times New Roman"/>
      <w:sz w:val="20"/>
      <w:szCs w:val="20"/>
    </w:rPr>
  </w:style>
  <w:style w:type="paragraph" w:styleId="AklamaKonusu">
    <w:name w:val="annotation subject"/>
    <w:basedOn w:val="AklamaMetni"/>
    <w:next w:val="AklamaMetni"/>
    <w:link w:val="AklamaKonusuChar"/>
    <w:uiPriority w:val="99"/>
    <w:semiHidden/>
    <w:unhideWhenUsed/>
    <w:rsid w:val="008B5333"/>
    <w:rPr>
      <w:b/>
      <w:bCs/>
    </w:rPr>
  </w:style>
  <w:style w:type="character" w:customStyle="1" w:styleId="AklamaKonusuChar">
    <w:name w:val="Açıklama Konusu Char"/>
    <w:basedOn w:val="AklamaMetniChar"/>
    <w:link w:val="AklamaKonusu"/>
    <w:uiPriority w:val="99"/>
    <w:semiHidden/>
    <w:rsid w:val="008B5333"/>
    <w:rPr>
      <w:rFonts w:eastAsia="Times New Roman"/>
      <w:b/>
      <w:bCs/>
      <w:sz w:val="20"/>
      <w:szCs w:val="20"/>
    </w:rPr>
  </w:style>
  <w:style w:type="paragraph" w:styleId="BalonMetni">
    <w:name w:val="Balloon Text"/>
    <w:basedOn w:val="Normal"/>
    <w:link w:val="BalonMetniChar"/>
    <w:uiPriority w:val="99"/>
    <w:semiHidden/>
    <w:unhideWhenUsed/>
    <w:rsid w:val="008B5333"/>
    <w:rPr>
      <w:rFonts w:ascii="Tahoma" w:hAnsi="Tahoma" w:cs="Tahoma"/>
      <w:sz w:val="16"/>
      <w:szCs w:val="16"/>
    </w:rPr>
  </w:style>
  <w:style w:type="character" w:customStyle="1" w:styleId="BalonMetniChar">
    <w:name w:val="Balon Metni Char"/>
    <w:basedOn w:val="VarsaylanParagrafYazTipi"/>
    <w:link w:val="BalonMetni"/>
    <w:uiPriority w:val="99"/>
    <w:semiHidden/>
    <w:rsid w:val="008B5333"/>
    <w:rPr>
      <w:rFonts w:ascii="Tahoma" w:eastAsia="Times New Roman" w:hAnsi="Tahoma" w:cs="Tahoma"/>
      <w:sz w:val="16"/>
      <w:szCs w:val="16"/>
    </w:rPr>
  </w:style>
  <w:style w:type="paragraph" w:styleId="Altbilgi">
    <w:name w:val="footer"/>
    <w:basedOn w:val="Normal"/>
    <w:link w:val="AltbilgiChar"/>
    <w:uiPriority w:val="99"/>
    <w:unhideWhenUsed/>
    <w:rsid w:val="00FC7B47"/>
    <w:pPr>
      <w:tabs>
        <w:tab w:val="center" w:pos="4513"/>
        <w:tab w:val="right" w:pos="9026"/>
      </w:tabs>
    </w:pPr>
  </w:style>
  <w:style w:type="character" w:customStyle="1" w:styleId="AltbilgiChar">
    <w:name w:val="Altbilgi Char"/>
    <w:basedOn w:val="VarsaylanParagrafYazTipi"/>
    <w:link w:val="Altbilgi"/>
    <w:uiPriority w:val="99"/>
    <w:rsid w:val="00FC7B47"/>
    <w:rPr>
      <w:rFonts w:eastAsia="Times New Roman"/>
      <w:sz w:val="20"/>
    </w:rPr>
  </w:style>
  <w:style w:type="character" w:styleId="SayfaNumaras">
    <w:name w:val="page number"/>
    <w:basedOn w:val="VarsaylanParagrafYazTipi"/>
    <w:uiPriority w:val="99"/>
    <w:semiHidden/>
    <w:unhideWhenUsed/>
    <w:rsid w:val="00FC7B47"/>
  </w:style>
  <w:style w:type="paragraph" w:styleId="stbilgi">
    <w:name w:val="header"/>
    <w:basedOn w:val="Normal"/>
    <w:link w:val="stbilgiChar"/>
    <w:uiPriority w:val="99"/>
    <w:unhideWhenUsed/>
    <w:rsid w:val="00FC7B47"/>
    <w:pPr>
      <w:tabs>
        <w:tab w:val="center" w:pos="4513"/>
        <w:tab w:val="right" w:pos="9026"/>
      </w:tabs>
    </w:pPr>
  </w:style>
  <w:style w:type="character" w:customStyle="1" w:styleId="stbilgiChar">
    <w:name w:val="Üstbilgi Char"/>
    <w:basedOn w:val="VarsaylanParagrafYazTipi"/>
    <w:link w:val="stbilgi"/>
    <w:uiPriority w:val="99"/>
    <w:rsid w:val="00FC7B47"/>
    <w:rPr>
      <w:rFonts w:eastAsia="Times New Roman"/>
      <w:sz w:val="20"/>
    </w:rPr>
  </w:style>
  <w:style w:type="character" w:customStyle="1" w:styleId="UnresolvedMention2">
    <w:name w:val="Unresolved Mention2"/>
    <w:basedOn w:val="VarsaylanParagrafYazTipi"/>
    <w:uiPriority w:val="99"/>
    <w:semiHidden/>
    <w:unhideWhenUsed/>
    <w:rsid w:val="007333CC"/>
    <w:rPr>
      <w:color w:val="605E5C"/>
      <w:shd w:val="clear" w:color="auto" w:fill="E1DFDD"/>
    </w:rPr>
  </w:style>
  <w:style w:type="character" w:styleId="zlenenKpr">
    <w:name w:val="FollowedHyperlink"/>
    <w:basedOn w:val="VarsaylanParagrafYazTipi"/>
    <w:uiPriority w:val="99"/>
    <w:semiHidden/>
    <w:unhideWhenUsed/>
    <w:rsid w:val="00E6452F"/>
    <w:rPr>
      <w:color w:val="954F72" w:themeColor="followedHyperlink"/>
      <w:u w:val="single"/>
    </w:rPr>
  </w:style>
  <w:style w:type="character" w:styleId="Gl">
    <w:name w:val="Strong"/>
    <w:basedOn w:val="VarsaylanParagrafYazTipi"/>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Dzeltme">
    <w:name w:val="Revision"/>
    <w:hidden/>
    <w:uiPriority w:val="99"/>
    <w:semiHidden/>
    <w:rsid w:val="002173C5"/>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0542"/>
  </w:style>
  <w:style w:type="paragraph" w:styleId="ListeParagraf">
    <w:name w:val="List Paragraph"/>
    <w:basedOn w:val="Normal"/>
    <w:uiPriority w:val="34"/>
    <w:qFormat/>
    <w:rsid w:val="00430FED"/>
    <w:pPr>
      <w:ind w:left="720"/>
      <w:contextualSpacing/>
    </w:pPr>
  </w:style>
  <w:style w:type="paragraph" w:styleId="DipnotMetni">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DipnotMetniChar"/>
    <w:unhideWhenUsed/>
    <w:rsid w:val="00241B44"/>
    <w:rPr>
      <w:szCs w:val="20"/>
    </w:rPr>
  </w:style>
  <w:style w:type="character" w:customStyle="1" w:styleId="DipnotMetniChar">
    <w:name w:val="Dipnot Metni Char"/>
    <w:aliases w:val="fn Char,Fußnotentext Char Char Char Char Char,Fußnotentext Char Char Char Char Char Char Char,Fußnotentext Char Char Char Char Char Char Char Char Char,Fußnotentextf Char,footnotes Char,Footnote Text Char2 Char Char,Footnote Char"/>
    <w:basedOn w:val="VarsaylanParagrafYazTipi"/>
    <w:link w:val="DipnotMetni"/>
    <w:rsid w:val="00241B44"/>
    <w:rPr>
      <w:sz w:val="20"/>
      <w:szCs w:val="20"/>
    </w:rPr>
  </w:style>
  <w:style w:type="character" w:styleId="DipnotBavurusu">
    <w:name w:val="footnote reference"/>
    <w:aliases w:val="fr,Footnote Refernece,BVI fnr,callout,16 Point,Superscript 6 Point,Footnote Reference Superscript,Ref,de nota al pie,-E Fußnotenzeichen,number,SUPERS,EN Footnote Reference,-E Fuﬂnotenzeichen,-E Fuûnotenzeichen,Footnote numbe, BVI fnr"/>
    <w:basedOn w:val="VarsaylanParagrafYazTipi"/>
    <w:unhideWhenUsed/>
    <w:qFormat/>
    <w:rsid w:val="00241B44"/>
    <w:rPr>
      <w:vertAlign w:val="superscript"/>
    </w:rPr>
  </w:style>
  <w:style w:type="character" w:styleId="Kpr">
    <w:name w:val="Hyperlink"/>
    <w:basedOn w:val="VarsaylanParagrafYazTipi"/>
    <w:uiPriority w:val="99"/>
    <w:unhideWhenUsed/>
    <w:rsid w:val="00A047EE"/>
    <w:rPr>
      <w:color w:val="0563C1" w:themeColor="hyperlink"/>
      <w:u w:val="single"/>
    </w:rPr>
  </w:style>
  <w:style w:type="character" w:customStyle="1" w:styleId="UnresolvedMention1">
    <w:name w:val="Unresolved Mention1"/>
    <w:basedOn w:val="VarsaylanParagrafYazTipi"/>
    <w:uiPriority w:val="99"/>
    <w:rsid w:val="00A047EE"/>
    <w:rPr>
      <w:color w:val="605E5C"/>
      <w:shd w:val="clear" w:color="auto" w:fill="E1DFDD"/>
    </w:rPr>
  </w:style>
  <w:style w:type="character" w:styleId="AklamaBavurusu">
    <w:name w:val="annotation reference"/>
    <w:basedOn w:val="VarsaylanParagrafYazTipi"/>
    <w:uiPriority w:val="99"/>
    <w:semiHidden/>
    <w:unhideWhenUsed/>
    <w:rsid w:val="008B5333"/>
    <w:rPr>
      <w:sz w:val="16"/>
      <w:szCs w:val="16"/>
    </w:rPr>
  </w:style>
  <w:style w:type="paragraph" w:styleId="AklamaMetni">
    <w:name w:val="annotation text"/>
    <w:basedOn w:val="Normal"/>
    <w:link w:val="AklamaMetniChar"/>
    <w:uiPriority w:val="99"/>
    <w:unhideWhenUsed/>
    <w:rsid w:val="008B5333"/>
    <w:rPr>
      <w:szCs w:val="20"/>
    </w:rPr>
  </w:style>
  <w:style w:type="character" w:customStyle="1" w:styleId="AklamaMetniChar">
    <w:name w:val="Açıklama Metni Char"/>
    <w:basedOn w:val="VarsaylanParagrafYazTipi"/>
    <w:link w:val="AklamaMetni"/>
    <w:uiPriority w:val="99"/>
    <w:rsid w:val="008B5333"/>
    <w:rPr>
      <w:rFonts w:eastAsia="Times New Roman"/>
      <w:sz w:val="20"/>
      <w:szCs w:val="20"/>
    </w:rPr>
  </w:style>
  <w:style w:type="paragraph" w:styleId="AklamaKonusu">
    <w:name w:val="annotation subject"/>
    <w:basedOn w:val="AklamaMetni"/>
    <w:next w:val="AklamaMetni"/>
    <w:link w:val="AklamaKonusuChar"/>
    <w:uiPriority w:val="99"/>
    <w:semiHidden/>
    <w:unhideWhenUsed/>
    <w:rsid w:val="008B5333"/>
    <w:rPr>
      <w:b/>
      <w:bCs/>
    </w:rPr>
  </w:style>
  <w:style w:type="character" w:customStyle="1" w:styleId="AklamaKonusuChar">
    <w:name w:val="Açıklama Konusu Char"/>
    <w:basedOn w:val="AklamaMetniChar"/>
    <w:link w:val="AklamaKonusu"/>
    <w:uiPriority w:val="99"/>
    <w:semiHidden/>
    <w:rsid w:val="008B5333"/>
    <w:rPr>
      <w:rFonts w:eastAsia="Times New Roman"/>
      <w:b/>
      <w:bCs/>
      <w:sz w:val="20"/>
      <w:szCs w:val="20"/>
    </w:rPr>
  </w:style>
  <w:style w:type="paragraph" w:styleId="BalonMetni">
    <w:name w:val="Balloon Text"/>
    <w:basedOn w:val="Normal"/>
    <w:link w:val="BalonMetniChar"/>
    <w:uiPriority w:val="99"/>
    <w:semiHidden/>
    <w:unhideWhenUsed/>
    <w:rsid w:val="008B5333"/>
    <w:rPr>
      <w:rFonts w:ascii="Tahoma" w:hAnsi="Tahoma" w:cs="Tahoma"/>
      <w:sz w:val="16"/>
      <w:szCs w:val="16"/>
    </w:rPr>
  </w:style>
  <w:style w:type="character" w:customStyle="1" w:styleId="BalonMetniChar">
    <w:name w:val="Balon Metni Char"/>
    <w:basedOn w:val="VarsaylanParagrafYazTipi"/>
    <w:link w:val="BalonMetni"/>
    <w:uiPriority w:val="99"/>
    <w:semiHidden/>
    <w:rsid w:val="008B5333"/>
    <w:rPr>
      <w:rFonts w:ascii="Tahoma" w:eastAsia="Times New Roman" w:hAnsi="Tahoma" w:cs="Tahoma"/>
      <w:sz w:val="16"/>
      <w:szCs w:val="16"/>
    </w:rPr>
  </w:style>
  <w:style w:type="paragraph" w:styleId="Altbilgi">
    <w:name w:val="footer"/>
    <w:basedOn w:val="Normal"/>
    <w:link w:val="AltbilgiChar"/>
    <w:uiPriority w:val="99"/>
    <w:unhideWhenUsed/>
    <w:rsid w:val="00FC7B47"/>
    <w:pPr>
      <w:tabs>
        <w:tab w:val="center" w:pos="4513"/>
        <w:tab w:val="right" w:pos="9026"/>
      </w:tabs>
    </w:pPr>
  </w:style>
  <w:style w:type="character" w:customStyle="1" w:styleId="AltbilgiChar">
    <w:name w:val="Altbilgi Char"/>
    <w:basedOn w:val="VarsaylanParagrafYazTipi"/>
    <w:link w:val="Altbilgi"/>
    <w:uiPriority w:val="99"/>
    <w:rsid w:val="00FC7B47"/>
    <w:rPr>
      <w:rFonts w:eastAsia="Times New Roman"/>
      <w:sz w:val="20"/>
    </w:rPr>
  </w:style>
  <w:style w:type="character" w:styleId="SayfaNumaras">
    <w:name w:val="page number"/>
    <w:basedOn w:val="VarsaylanParagrafYazTipi"/>
    <w:uiPriority w:val="99"/>
    <w:semiHidden/>
    <w:unhideWhenUsed/>
    <w:rsid w:val="00FC7B47"/>
  </w:style>
  <w:style w:type="paragraph" w:styleId="stbilgi">
    <w:name w:val="header"/>
    <w:basedOn w:val="Normal"/>
    <w:link w:val="stbilgiChar"/>
    <w:uiPriority w:val="99"/>
    <w:unhideWhenUsed/>
    <w:rsid w:val="00FC7B47"/>
    <w:pPr>
      <w:tabs>
        <w:tab w:val="center" w:pos="4513"/>
        <w:tab w:val="right" w:pos="9026"/>
      </w:tabs>
    </w:pPr>
  </w:style>
  <w:style w:type="character" w:customStyle="1" w:styleId="stbilgiChar">
    <w:name w:val="Üstbilgi Char"/>
    <w:basedOn w:val="VarsaylanParagrafYazTipi"/>
    <w:link w:val="stbilgi"/>
    <w:uiPriority w:val="99"/>
    <w:rsid w:val="00FC7B47"/>
    <w:rPr>
      <w:rFonts w:eastAsia="Times New Roman"/>
      <w:sz w:val="20"/>
    </w:rPr>
  </w:style>
  <w:style w:type="character" w:customStyle="1" w:styleId="UnresolvedMention2">
    <w:name w:val="Unresolved Mention2"/>
    <w:basedOn w:val="VarsaylanParagrafYazTipi"/>
    <w:uiPriority w:val="99"/>
    <w:semiHidden/>
    <w:unhideWhenUsed/>
    <w:rsid w:val="007333CC"/>
    <w:rPr>
      <w:color w:val="605E5C"/>
      <w:shd w:val="clear" w:color="auto" w:fill="E1DFDD"/>
    </w:rPr>
  </w:style>
  <w:style w:type="character" w:styleId="zlenenKpr">
    <w:name w:val="FollowedHyperlink"/>
    <w:basedOn w:val="VarsaylanParagrafYazTipi"/>
    <w:uiPriority w:val="99"/>
    <w:semiHidden/>
    <w:unhideWhenUsed/>
    <w:rsid w:val="00E6452F"/>
    <w:rPr>
      <w:color w:val="954F72" w:themeColor="followedHyperlink"/>
      <w:u w:val="single"/>
    </w:rPr>
  </w:style>
  <w:style w:type="character" w:styleId="Gl">
    <w:name w:val="Strong"/>
    <w:basedOn w:val="VarsaylanParagrafYazTipi"/>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Dzeltme">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4143">
      <w:bodyDiv w:val="1"/>
      <w:marLeft w:val="0"/>
      <w:marRight w:val="0"/>
      <w:marTop w:val="0"/>
      <w:marBottom w:val="0"/>
      <w:divBdr>
        <w:top w:val="none" w:sz="0" w:space="0" w:color="auto"/>
        <w:left w:val="none" w:sz="0" w:space="0" w:color="auto"/>
        <w:bottom w:val="none" w:sz="0" w:space="0" w:color="auto"/>
        <w:right w:val="none" w:sz="0" w:space="0" w:color="auto"/>
      </w:divBdr>
      <w:divsChild>
        <w:div w:id="621155577">
          <w:marLeft w:val="0"/>
          <w:marRight w:val="0"/>
          <w:marTop w:val="0"/>
          <w:marBottom w:val="0"/>
          <w:divBdr>
            <w:top w:val="none" w:sz="0" w:space="0" w:color="auto"/>
            <w:left w:val="none" w:sz="0" w:space="0" w:color="auto"/>
            <w:bottom w:val="none" w:sz="0" w:space="0" w:color="auto"/>
            <w:right w:val="none" w:sz="0" w:space="0" w:color="auto"/>
          </w:divBdr>
        </w:div>
      </w:divsChild>
    </w:div>
    <w:div w:id="459156800">
      <w:bodyDiv w:val="1"/>
      <w:marLeft w:val="0"/>
      <w:marRight w:val="0"/>
      <w:marTop w:val="0"/>
      <w:marBottom w:val="0"/>
      <w:divBdr>
        <w:top w:val="none" w:sz="0" w:space="0" w:color="auto"/>
        <w:left w:val="none" w:sz="0" w:space="0" w:color="auto"/>
        <w:bottom w:val="none" w:sz="0" w:space="0" w:color="auto"/>
        <w:right w:val="none" w:sz="0" w:space="0" w:color="auto"/>
      </w:divBdr>
      <w:divsChild>
        <w:div w:id="1292637613">
          <w:marLeft w:val="0"/>
          <w:marRight w:val="0"/>
          <w:marTop w:val="0"/>
          <w:marBottom w:val="0"/>
          <w:divBdr>
            <w:top w:val="none" w:sz="0" w:space="0" w:color="auto"/>
            <w:left w:val="none" w:sz="0" w:space="0" w:color="auto"/>
            <w:bottom w:val="none" w:sz="0" w:space="0" w:color="auto"/>
            <w:right w:val="none" w:sz="0" w:space="0" w:color="auto"/>
          </w:divBdr>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20054967">
      <w:bodyDiv w:val="1"/>
      <w:marLeft w:val="0"/>
      <w:marRight w:val="0"/>
      <w:marTop w:val="0"/>
      <w:marBottom w:val="0"/>
      <w:divBdr>
        <w:top w:val="none" w:sz="0" w:space="0" w:color="auto"/>
        <w:left w:val="none" w:sz="0" w:space="0" w:color="auto"/>
        <w:bottom w:val="none" w:sz="0" w:space="0" w:color="auto"/>
        <w:right w:val="none" w:sz="0" w:space="0" w:color="auto"/>
      </w:divBdr>
      <w:divsChild>
        <w:div w:id="898250827">
          <w:marLeft w:val="0"/>
          <w:marRight w:val="0"/>
          <w:marTop w:val="0"/>
          <w:marBottom w:val="0"/>
          <w:divBdr>
            <w:top w:val="none" w:sz="0" w:space="0" w:color="auto"/>
            <w:left w:val="none" w:sz="0" w:space="0" w:color="auto"/>
            <w:bottom w:val="none" w:sz="0" w:space="0" w:color="auto"/>
            <w:right w:val="none" w:sz="0" w:space="0" w:color="auto"/>
          </w:divBdr>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5773585">
      <w:bodyDiv w:val="1"/>
      <w:marLeft w:val="0"/>
      <w:marRight w:val="0"/>
      <w:marTop w:val="0"/>
      <w:marBottom w:val="0"/>
      <w:divBdr>
        <w:top w:val="none" w:sz="0" w:space="0" w:color="auto"/>
        <w:left w:val="none" w:sz="0" w:space="0" w:color="auto"/>
        <w:bottom w:val="none" w:sz="0" w:space="0" w:color="auto"/>
        <w:right w:val="none" w:sz="0" w:space="0" w:color="auto"/>
      </w:divBdr>
      <w:divsChild>
        <w:div w:id="1519198546">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010D6-38A7-4625-9B3B-204C015C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23488</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Abdulkadir Haşhaş</cp:lastModifiedBy>
  <cp:revision>3</cp:revision>
  <cp:lastPrinted>2020-06-12T02:43:00Z</cp:lastPrinted>
  <dcterms:created xsi:type="dcterms:W3CDTF">2021-11-08T10:51:00Z</dcterms:created>
  <dcterms:modified xsi:type="dcterms:W3CDTF">2021-11-08T10:52:00Z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