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CC2277" w:rsidRDefault="00C60631" w:rsidP="009D510C">
      <w:pPr>
        <w:pStyle w:val="ListParagraph"/>
        <w:numPr>
          <w:ilvl w:val="0"/>
          <w:numId w:val="12"/>
        </w:numPr>
        <w:ind w:left="426"/>
        <w:jc w:val="both"/>
        <w:rPr>
          <w:rFonts w:ascii="Arial" w:hAnsi="Arial" w:cs="Arial"/>
          <w:sz w:val="22"/>
          <w:szCs w:val="22"/>
          <w:highlight w:val="yellow"/>
          <w:lang w:val="en-GB"/>
        </w:rPr>
      </w:pPr>
      <w:r w:rsidRPr="00CC2277">
        <w:rPr>
          <w:rFonts w:ascii="Arial" w:hAnsi="Arial" w:cs="Arial"/>
          <w:sz w:val="22"/>
          <w:szCs w:val="22"/>
          <w:highlight w:val="yellow"/>
          <w:lang w:val="en-GB"/>
        </w:rPr>
        <w:t xml:space="preserve">This statement is incorrect since </w:t>
      </w:r>
      <w:r w:rsidR="00E7793C" w:rsidRPr="00CC227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683FB9" w:rsidRDefault="00AE027F" w:rsidP="009D510C">
      <w:pPr>
        <w:pStyle w:val="ListParagraph"/>
        <w:numPr>
          <w:ilvl w:val="0"/>
          <w:numId w:val="13"/>
        </w:numPr>
        <w:jc w:val="both"/>
        <w:rPr>
          <w:rFonts w:ascii="Arial" w:hAnsi="Arial" w:cs="Arial"/>
          <w:sz w:val="22"/>
          <w:szCs w:val="22"/>
          <w:highlight w:val="yellow"/>
          <w:lang w:val="en-GB"/>
        </w:rPr>
      </w:pPr>
      <w:r w:rsidRPr="00683FB9">
        <w:rPr>
          <w:rFonts w:ascii="Arial" w:hAnsi="Arial" w:cs="Arial"/>
          <w:sz w:val="22"/>
          <w:szCs w:val="22"/>
          <w:highlight w:val="yellow"/>
          <w:lang w:val="en-GB"/>
        </w:rPr>
        <w:t>The statement i</w:t>
      </w:r>
      <w:r w:rsidR="006E77B0" w:rsidRPr="00683FB9">
        <w:rPr>
          <w:rFonts w:ascii="Arial" w:hAnsi="Arial" w:cs="Arial"/>
          <w:sz w:val="22"/>
          <w:szCs w:val="22"/>
          <w:highlight w:val="yellow"/>
          <w:lang w:val="en-GB"/>
        </w:rPr>
        <w:t>s incorrect since the UK did re</w:t>
      </w:r>
      <w:r w:rsidRPr="00683FB9">
        <w:rPr>
          <w:rFonts w:ascii="Arial" w:hAnsi="Arial" w:cs="Arial"/>
          <w:sz w:val="22"/>
          <w:szCs w:val="22"/>
          <w:highlight w:val="yellow"/>
          <w:lang w:val="en-GB"/>
        </w:rPr>
        <w:t>v</w:t>
      </w:r>
      <w:r w:rsidR="006E77B0" w:rsidRPr="00683FB9">
        <w:rPr>
          <w:rFonts w:ascii="Arial" w:hAnsi="Arial" w:cs="Arial"/>
          <w:sz w:val="22"/>
          <w:szCs w:val="22"/>
          <w:highlight w:val="yellow"/>
          <w:lang w:val="en-GB"/>
        </w:rPr>
        <w:t>i</w:t>
      </w:r>
      <w:r w:rsidRPr="00683FB9">
        <w:rPr>
          <w:rFonts w:ascii="Arial" w:hAnsi="Arial" w:cs="Arial"/>
          <w:sz w:val="22"/>
          <w:szCs w:val="22"/>
          <w:highlight w:val="yellow"/>
          <w:lang w:val="en-GB"/>
        </w:rPr>
        <w:t>ew parts of its insolvency rules and amended some, among</w:t>
      </w:r>
      <w:r w:rsidR="006E77B0" w:rsidRPr="00683FB9">
        <w:rPr>
          <w:rFonts w:ascii="Arial" w:hAnsi="Arial" w:cs="Arial"/>
          <w:sz w:val="22"/>
          <w:szCs w:val="22"/>
          <w:highlight w:val="yellow"/>
          <w:lang w:val="en-GB"/>
        </w:rPr>
        <w:t>s</w:t>
      </w:r>
      <w:r w:rsidRPr="00683FB9">
        <w:rPr>
          <w:rFonts w:ascii="Arial" w:hAnsi="Arial" w:cs="Arial"/>
          <w:sz w:val="22"/>
          <w:szCs w:val="22"/>
          <w:highlight w:val="yellow"/>
          <w:lang w:val="en-GB"/>
        </w:rPr>
        <w:t>t other</w:t>
      </w:r>
      <w:r w:rsidR="00F96AF1" w:rsidRPr="00683FB9">
        <w:rPr>
          <w:rFonts w:ascii="Arial" w:hAnsi="Arial" w:cs="Arial"/>
          <w:sz w:val="22"/>
          <w:szCs w:val="22"/>
          <w:highlight w:val="yellow"/>
          <w:lang w:val="en-GB"/>
        </w:rPr>
        <w:t xml:space="preserve"> things</w:t>
      </w:r>
      <w:r w:rsidRPr="00683FB9">
        <w:rPr>
          <w:rFonts w:ascii="Arial" w:hAnsi="Arial" w:cs="Arial"/>
          <w:sz w:val="22"/>
          <w:szCs w:val="22"/>
          <w:highlight w:val="yellow"/>
          <w:lang w:val="en-GB"/>
        </w:rPr>
        <w:t>, to deal with the negative economic fall out of the pandemic.</w:t>
      </w:r>
      <w:r w:rsidR="00100A77" w:rsidRPr="00683FB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3043F" w:rsidRDefault="00B54F90" w:rsidP="009D510C">
      <w:pPr>
        <w:pStyle w:val="ListParagraph"/>
        <w:numPr>
          <w:ilvl w:val="0"/>
          <w:numId w:val="14"/>
        </w:numPr>
        <w:ind w:left="426"/>
        <w:jc w:val="both"/>
        <w:rPr>
          <w:rFonts w:ascii="Arial" w:hAnsi="Arial" w:cs="Arial"/>
          <w:sz w:val="22"/>
          <w:szCs w:val="22"/>
          <w:highlight w:val="yellow"/>
          <w:lang w:val="en-GB"/>
        </w:rPr>
      </w:pPr>
      <w:r w:rsidRPr="0073043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3043F">
        <w:rPr>
          <w:rFonts w:ascii="Arial" w:hAnsi="Arial" w:cs="Arial"/>
          <w:sz w:val="22"/>
          <w:szCs w:val="22"/>
          <w:highlight w:val="yellow"/>
          <w:lang w:val="en-GB"/>
        </w:rPr>
        <w:t xml:space="preserve">on </w:t>
      </w:r>
      <w:r w:rsidRPr="0073043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3043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3043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92117" w:rsidRDefault="00926D10" w:rsidP="009D510C">
      <w:pPr>
        <w:pStyle w:val="ListParagraph"/>
        <w:numPr>
          <w:ilvl w:val="0"/>
          <w:numId w:val="5"/>
        </w:numPr>
        <w:ind w:left="426"/>
        <w:jc w:val="both"/>
        <w:rPr>
          <w:rFonts w:ascii="Arial" w:hAnsi="Arial" w:cs="Arial"/>
          <w:sz w:val="22"/>
          <w:szCs w:val="22"/>
          <w:highlight w:val="yellow"/>
          <w:lang w:val="en-GB"/>
        </w:rPr>
      </w:pPr>
      <w:r w:rsidRPr="00892117">
        <w:rPr>
          <w:rFonts w:ascii="Arial" w:hAnsi="Arial" w:cs="Arial"/>
          <w:sz w:val="22"/>
          <w:szCs w:val="22"/>
          <w:highlight w:val="yellow"/>
          <w:lang w:val="en-GB"/>
        </w:rPr>
        <w:t xml:space="preserve">The statement is </w:t>
      </w:r>
      <w:r w:rsidR="006E1CB0" w:rsidRPr="00892117">
        <w:rPr>
          <w:rFonts w:ascii="Arial" w:hAnsi="Arial" w:cs="Arial"/>
          <w:sz w:val="22"/>
          <w:szCs w:val="22"/>
          <w:highlight w:val="yellow"/>
          <w:lang w:val="en-GB"/>
        </w:rPr>
        <w:t xml:space="preserve">not </w:t>
      </w:r>
      <w:r w:rsidRPr="00892117">
        <w:rPr>
          <w:rFonts w:ascii="Arial" w:hAnsi="Arial" w:cs="Arial"/>
          <w:sz w:val="22"/>
          <w:szCs w:val="22"/>
          <w:highlight w:val="yellow"/>
          <w:lang w:val="en-GB"/>
        </w:rPr>
        <w:t xml:space="preserve">correct </w:t>
      </w:r>
      <w:r w:rsidR="007958F0" w:rsidRPr="00892117">
        <w:rPr>
          <w:rFonts w:ascii="Arial" w:hAnsi="Arial" w:cs="Arial"/>
          <w:sz w:val="22"/>
          <w:szCs w:val="22"/>
          <w:highlight w:val="yellow"/>
          <w:lang w:val="en-GB"/>
        </w:rPr>
        <w:t>because</w:t>
      </w:r>
      <w:r w:rsidRPr="00892117">
        <w:rPr>
          <w:rFonts w:ascii="Arial" w:hAnsi="Arial" w:cs="Arial"/>
          <w:sz w:val="22"/>
          <w:szCs w:val="22"/>
          <w:highlight w:val="yellow"/>
          <w:lang w:val="en-GB"/>
        </w:rPr>
        <w:t xml:space="preserve"> very few </w:t>
      </w:r>
      <w:r w:rsidR="007958F0" w:rsidRPr="00892117">
        <w:rPr>
          <w:rFonts w:ascii="Arial" w:hAnsi="Arial" w:cs="Arial"/>
          <w:sz w:val="22"/>
          <w:szCs w:val="22"/>
          <w:highlight w:val="yellow"/>
          <w:lang w:val="en-GB"/>
        </w:rPr>
        <w:t>States</w:t>
      </w:r>
      <w:r w:rsidRPr="00892117">
        <w:rPr>
          <w:rFonts w:ascii="Arial" w:hAnsi="Arial" w:cs="Arial"/>
          <w:sz w:val="22"/>
          <w:szCs w:val="22"/>
          <w:highlight w:val="yellow"/>
          <w:lang w:val="en-GB"/>
        </w:rPr>
        <w:t xml:space="preserve"> allow insolvent estate representatives to deal with assets of a foreign debtor situated in </w:t>
      </w:r>
      <w:r w:rsidR="005936B3" w:rsidRPr="00892117">
        <w:rPr>
          <w:rFonts w:ascii="Arial" w:hAnsi="Arial" w:cs="Arial"/>
          <w:sz w:val="22"/>
          <w:szCs w:val="22"/>
          <w:highlight w:val="yellow"/>
          <w:lang w:val="en-GB"/>
        </w:rPr>
        <w:t>their own</w:t>
      </w:r>
      <w:r w:rsidRPr="00892117">
        <w:rPr>
          <w:rFonts w:ascii="Arial" w:hAnsi="Arial" w:cs="Arial"/>
          <w:sz w:val="22"/>
          <w:szCs w:val="22"/>
          <w:highlight w:val="yellow"/>
          <w:lang w:val="en-GB"/>
        </w:rPr>
        <w:t xml:space="preserve"> jurisdiction without </w:t>
      </w:r>
      <w:r w:rsidR="006E1CB0" w:rsidRPr="00892117">
        <w:rPr>
          <w:rFonts w:ascii="Arial" w:hAnsi="Arial" w:cs="Arial"/>
          <w:sz w:val="22"/>
          <w:szCs w:val="22"/>
          <w:highlight w:val="yellow"/>
          <w:lang w:val="en-GB"/>
        </w:rPr>
        <w:t xml:space="preserve">some form of </w:t>
      </w:r>
      <w:r w:rsidR="0090037B" w:rsidRPr="00892117">
        <w:rPr>
          <w:rFonts w:ascii="Arial" w:hAnsi="Arial" w:cs="Arial"/>
          <w:sz w:val="22"/>
          <w:szCs w:val="22"/>
          <w:highlight w:val="yellow"/>
          <w:lang w:val="en-GB"/>
        </w:rPr>
        <w:t xml:space="preserve">a </w:t>
      </w:r>
      <w:r w:rsidR="006E1CB0" w:rsidRPr="00892117">
        <w:rPr>
          <w:rFonts w:ascii="Arial" w:hAnsi="Arial" w:cs="Arial"/>
          <w:sz w:val="22"/>
          <w:szCs w:val="22"/>
          <w:highlight w:val="yellow"/>
          <w:lang w:val="en-GB"/>
        </w:rPr>
        <w:t>(</w:t>
      </w:r>
      <w:r w:rsidR="0090037B" w:rsidRPr="00892117">
        <w:rPr>
          <w:rFonts w:ascii="Arial" w:hAnsi="Arial" w:cs="Arial"/>
          <w:sz w:val="22"/>
          <w:szCs w:val="22"/>
          <w:highlight w:val="yellow"/>
          <w:lang w:val="en-GB"/>
        </w:rPr>
        <w:t>prior</w:t>
      </w:r>
      <w:r w:rsidR="006E1CB0" w:rsidRPr="00892117">
        <w:rPr>
          <w:rFonts w:ascii="Arial" w:hAnsi="Arial" w:cs="Arial"/>
          <w:sz w:val="22"/>
          <w:szCs w:val="22"/>
          <w:highlight w:val="yellow"/>
          <w:lang w:val="en-GB"/>
        </w:rPr>
        <w:t>)</w:t>
      </w:r>
      <w:r w:rsidRPr="00892117">
        <w:rPr>
          <w:rFonts w:ascii="Arial" w:hAnsi="Arial" w:cs="Arial"/>
          <w:sz w:val="22"/>
          <w:szCs w:val="22"/>
          <w:highlight w:val="yellow"/>
          <w:lang w:val="en-GB"/>
        </w:rPr>
        <w:t xml:space="preserve"> local procedure </w:t>
      </w:r>
      <w:r w:rsidR="005936B3" w:rsidRPr="00892117">
        <w:rPr>
          <w:rFonts w:ascii="Arial" w:hAnsi="Arial" w:cs="Arial"/>
          <w:sz w:val="22"/>
          <w:szCs w:val="22"/>
          <w:highlight w:val="yellow"/>
          <w:lang w:val="en-GB"/>
        </w:rPr>
        <w:t xml:space="preserve">to </w:t>
      </w:r>
      <w:r w:rsidRPr="00892117">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56164" w:rsidRDefault="000329A6" w:rsidP="00C570AC">
      <w:pPr>
        <w:pStyle w:val="ListParagraph"/>
        <w:numPr>
          <w:ilvl w:val="0"/>
          <w:numId w:val="6"/>
        </w:numPr>
        <w:ind w:left="426"/>
        <w:jc w:val="both"/>
        <w:rPr>
          <w:rFonts w:ascii="Arial" w:hAnsi="Arial" w:cs="Arial"/>
          <w:sz w:val="22"/>
          <w:szCs w:val="22"/>
          <w:highlight w:val="yellow"/>
          <w:lang w:val="en-GB"/>
        </w:rPr>
      </w:pPr>
      <w:r w:rsidRPr="00456164">
        <w:rPr>
          <w:rFonts w:ascii="Arial" w:eastAsiaTheme="minorHAnsi" w:hAnsi="Arial" w:cs="Arial"/>
          <w:sz w:val="22"/>
          <w:szCs w:val="22"/>
          <w:highlight w:val="yellow"/>
          <w:lang w:val="en-GB"/>
        </w:rPr>
        <w:t xml:space="preserve">They were recently revised in 2021 and, together with the </w:t>
      </w:r>
      <w:r w:rsidRPr="00456164">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2270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722701">
        <w:rPr>
          <w:rFonts w:ascii="Arial" w:eastAsiaTheme="minorHAnsi" w:hAnsi="Arial" w:cs="Arial"/>
          <w:sz w:val="22"/>
          <w:szCs w:val="22"/>
          <w:highlight w:val="yellow"/>
          <w:lang w:val="en-GB"/>
        </w:rPr>
        <w:t xml:space="preserve">The Nordic Convention </w:t>
      </w:r>
      <w:r w:rsidR="00076483" w:rsidRPr="00722701">
        <w:rPr>
          <w:rFonts w:ascii="Arial" w:eastAsiaTheme="minorHAnsi" w:hAnsi="Arial" w:cs="Arial"/>
          <w:sz w:val="22"/>
          <w:szCs w:val="22"/>
          <w:highlight w:val="yellow"/>
          <w:lang w:val="en-GB"/>
        </w:rPr>
        <w:t>1933</w:t>
      </w:r>
      <w:r w:rsidR="00966E44" w:rsidRPr="0072270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F15CB" w:rsidRDefault="00124B70" w:rsidP="00275182">
      <w:pPr>
        <w:pStyle w:val="ListParagraph"/>
        <w:numPr>
          <w:ilvl w:val="0"/>
          <w:numId w:val="8"/>
        </w:numPr>
        <w:ind w:left="426"/>
        <w:jc w:val="both"/>
        <w:rPr>
          <w:rFonts w:ascii="Arial" w:hAnsi="Arial" w:cs="Arial"/>
          <w:sz w:val="22"/>
          <w:szCs w:val="22"/>
          <w:highlight w:val="yellow"/>
          <w:lang w:val="en-GB"/>
        </w:rPr>
      </w:pPr>
      <w:r w:rsidRPr="006F15CB">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B6183D" w:rsidRDefault="00E86549" w:rsidP="00275182">
      <w:pPr>
        <w:pStyle w:val="ListParagraph"/>
        <w:numPr>
          <w:ilvl w:val="0"/>
          <w:numId w:val="9"/>
        </w:numPr>
        <w:ind w:left="426"/>
        <w:jc w:val="both"/>
        <w:rPr>
          <w:rFonts w:ascii="Arial" w:hAnsi="Arial" w:cs="Arial"/>
          <w:bCs/>
          <w:sz w:val="22"/>
          <w:szCs w:val="22"/>
          <w:highlight w:val="yellow"/>
          <w:lang w:val="en-GB"/>
        </w:rPr>
      </w:pPr>
      <w:r w:rsidRPr="00B6183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B6183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13856" w:rsidRDefault="00911C23" w:rsidP="00275182">
      <w:pPr>
        <w:pStyle w:val="ListParagraph"/>
        <w:numPr>
          <w:ilvl w:val="0"/>
          <w:numId w:val="10"/>
        </w:numPr>
        <w:ind w:left="426"/>
        <w:jc w:val="both"/>
        <w:rPr>
          <w:rFonts w:ascii="Arial" w:hAnsi="Arial" w:cs="Arial"/>
          <w:sz w:val="22"/>
          <w:szCs w:val="22"/>
          <w:highlight w:val="yellow"/>
          <w:lang w:val="en-GB"/>
        </w:rPr>
      </w:pPr>
      <w:r w:rsidRPr="00F13856">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0BE20135" w14:textId="7DB05AD6" w:rsidR="006654FA" w:rsidRDefault="006654FA" w:rsidP="006654F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14FBE">
        <w:rPr>
          <w:rFonts w:ascii="Arial" w:hAnsi="Arial" w:cs="Arial"/>
          <w:color w:val="7B7B7B" w:themeColor="accent3" w:themeShade="BF"/>
          <w:sz w:val="22"/>
          <w:szCs w:val="22"/>
          <w:lang w:val="en-GB"/>
        </w:rPr>
        <w:t xml:space="preserve">first </w:t>
      </w:r>
      <w:r>
        <w:rPr>
          <w:rFonts w:ascii="Arial" w:hAnsi="Arial" w:cs="Arial"/>
          <w:color w:val="7B7B7B" w:themeColor="accent3" w:themeShade="BF"/>
          <w:sz w:val="22"/>
          <w:szCs w:val="22"/>
          <w:lang w:val="en-GB"/>
        </w:rPr>
        <w:t xml:space="preserve">English Bankruptcy Act of 1542 </w:t>
      </w:r>
      <w:r w:rsidR="00DF72F7">
        <w:rPr>
          <w:rFonts w:ascii="Arial" w:hAnsi="Arial" w:cs="Arial"/>
          <w:color w:val="7B7B7B" w:themeColor="accent3" w:themeShade="BF"/>
          <w:sz w:val="22"/>
          <w:szCs w:val="22"/>
          <w:lang w:val="en-GB"/>
        </w:rPr>
        <w:t>(</w:t>
      </w:r>
      <w:r w:rsidR="00DF72F7">
        <w:rPr>
          <w:rFonts w:ascii="Arial" w:hAnsi="Arial" w:cs="Arial"/>
          <w:b/>
          <w:bCs/>
          <w:color w:val="7B7B7B" w:themeColor="accent3" w:themeShade="BF"/>
          <w:sz w:val="22"/>
          <w:szCs w:val="22"/>
          <w:lang w:val="en-GB"/>
        </w:rPr>
        <w:t xml:space="preserve">1542 </w:t>
      </w:r>
      <w:r w:rsidR="00DF72F7" w:rsidRPr="00DF72F7">
        <w:rPr>
          <w:rFonts w:ascii="Arial" w:hAnsi="Arial" w:cs="Arial"/>
          <w:b/>
          <w:bCs/>
          <w:color w:val="7B7B7B" w:themeColor="accent3" w:themeShade="BF"/>
          <w:sz w:val="22"/>
          <w:szCs w:val="22"/>
          <w:lang w:val="en-GB"/>
        </w:rPr>
        <w:t>Act</w:t>
      </w:r>
      <w:r w:rsidR="00DF72F7">
        <w:rPr>
          <w:rFonts w:ascii="Arial" w:hAnsi="Arial" w:cs="Arial"/>
          <w:color w:val="7B7B7B" w:themeColor="accent3" w:themeShade="BF"/>
          <w:sz w:val="22"/>
          <w:szCs w:val="22"/>
          <w:lang w:val="en-GB"/>
        </w:rPr>
        <w:t xml:space="preserve">) </w:t>
      </w:r>
      <w:r w:rsidR="00814FBE" w:rsidRPr="00DF72F7">
        <w:rPr>
          <w:rFonts w:ascii="Arial" w:hAnsi="Arial" w:cs="Arial"/>
          <w:color w:val="7B7B7B" w:themeColor="accent3" w:themeShade="BF"/>
          <w:sz w:val="22"/>
          <w:szCs w:val="22"/>
          <w:lang w:val="en-GB"/>
        </w:rPr>
        <w:t>introduced</w:t>
      </w:r>
      <w:r w:rsidR="00814FBE">
        <w:rPr>
          <w:rFonts w:ascii="Arial" w:hAnsi="Arial" w:cs="Arial"/>
          <w:color w:val="7B7B7B" w:themeColor="accent3" w:themeShade="BF"/>
          <w:sz w:val="22"/>
          <w:szCs w:val="22"/>
          <w:lang w:val="en-GB"/>
        </w:rPr>
        <w:t xml:space="preserve"> </w:t>
      </w:r>
      <w:r w:rsidR="00972C0F">
        <w:rPr>
          <w:rFonts w:ascii="Arial" w:hAnsi="Arial" w:cs="Arial"/>
          <w:color w:val="7B7B7B" w:themeColor="accent3" w:themeShade="BF"/>
          <w:sz w:val="22"/>
          <w:szCs w:val="22"/>
          <w:lang w:val="en-GB"/>
        </w:rPr>
        <w:t xml:space="preserve">the principle of collective participation by creditors as well as the principle of </w:t>
      </w:r>
      <w:r w:rsidR="00972C0F">
        <w:rPr>
          <w:rFonts w:ascii="Arial" w:hAnsi="Arial" w:cs="Arial"/>
          <w:i/>
          <w:iCs/>
          <w:color w:val="7B7B7B" w:themeColor="accent3" w:themeShade="BF"/>
          <w:sz w:val="22"/>
          <w:szCs w:val="22"/>
          <w:lang w:val="en-GB"/>
        </w:rPr>
        <w:t xml:space="preserve">pari passu </w:t>
      </w:r>
      <w:r w:rsidR="00972C0F">
        <w:rPr>
          <w:rFonts w:ascii="Arial" w:hAnsi="Arial" w:cs="Arial"/>
          <w:color w:val="7B7B7B" w:themeColor="accent3" w:themeShade="BF"/>
          <w:sz w:val="22"/>
          <w:szCs w:val="22"/>
          <w:lang w:val="en-GB"/>
        </w:rPr>
        <w:t>distribution among creditors of the assets available.</w:t>
      </w:r>
    </w:p>
    <w:p w14:paraId="4A4A3388" w14:textId="5E4C43A3" w:rsidR="00972C0F" w:rsidRDefault="00020E63" w:rsidP="006654F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1570 Act provided additional acts of bankruptcy and was designed as a bankruptcy statu</w:t>
      </w:r>
      <w:r w:rsidR="00DF72F7">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e, rather than a fraud-prevention law as with the 1542 Act.  That is, the 1570 Act </w:t>
      </w:r>
      <w:r w:rsidR="004A2FAD">
        <w:rPr>
          <w:rFonts w:ascii="Arial" w:hAnsi="Arial" w:cs="Arial"/>
          <w:color w:val="7B7B7B" w:themeColor="accent3" w:themeShade="BF"/>
          <w:sz w:val="22"/>
          <w:szCs w:val="22"/>
          <w:lang w:val="en-GB"/>
        </w:rPr>
        <w:t>was designed to be used against a debtor following an “act of bankruptcy” whereas the 1542 Act was designed to be used against a dishonest or absconding debtor</w:t>
      </w:r>
      <w:r w:rsidR="003501CF">
        <w:rPr>
          <w:rFonts w:ascii="Arial" w:hAnsi="Arial" w:cs="Arial"/>
          <w:color w:val="7B7B7B" w:themeColor="accent3" w:themeShade="BF"/>
          <w:sz w:val="22"/>
          <w:szCs w:val="22"/>
          <w:lang w:val="en-GB"/>
        </w:rPr>
        <w:t>.</w:t>
      </w:r>
      <w:r w:rsidR="00B56D16">
        <w:rPr>
          <w:rFonts w:ascii="Arial" w:hAnsi="Arial" w:cs="Arial"/>
          <w:color w:val="7B7B7B" w:themeColor="accent3" w:themeShade="BF"/>
          <w:sz w:val="22"/>
          <w:szCs w:val="22"/>
          <w:lang w:val="en-GB"/>
        </w:rPr>
        <w:t xml:space="preserve">  The 1570 Act also introduced the principle of regulation of insolvency law where the current role of the Official Receiver was essentially played by the Lord Chancellor.</w:t>
      </w:r>
      <w:r w:rsidR="00B56D16">
        <w:rPr>
          <w:rStyle w:val="FootnoteReference"/>
          <w:rFonts w:ascii="Arial" w:hAnsi="Arial" w:cs="Arial"/>
          <w:color w:val="7B7B7B" w:themeColor="accent3" w:themeShade="BF"/>
          <w:sz w:val="22"/>
          <w:szCs w:val="22"/>
          <w:lang w:val="en-GB"/>
        </w:rPr>
        <w:footnoteReference w:id="1"/>
      </w:r>
    </w:p>
    <w:p w14:paraId="1CA8E2D5" w14:textId="4995ABCD" w:rsidR="00972C0F" w:rsidRPr="006654FA" w:rsidRDefault="00972C0F" w:rsidP="006654F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introduced statutory discharge providing that the debtor had “conformed” and had co-operated during the proceedings.</w:t>
      </w:r>
    </w:p>
    <w:p w14:paraId="6EFCA271" w14:textId="77777777" w:rsidR="006654FA" w:rsidRDefault="006654FA" w:rsidP="00B7193E">
      <w:pPr>
        <w:ind w:left="720" w:hanging="720"/>
        <w:jc w:val="both"/>
        <w:rPr>
          <w:rFonts w:ascii="Arial" w:hAnsi="Arial" w:cs="Arial"/>
          <w:color w:val="7B7B7B" w:themeColor="accent3" w:themeShade="BF"/>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456052F5" w:rsidR="009B07AD" w:rsidRDefault="008E513D" w:rsidP="00DF72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introduced various insolvency and insolvency-related measures in the UK including</w:t>
      </w:r>
      <w:r w:rsidR="00B56D16">
        <w:rPr>
          <w:rFonts w:ascii="Arial" w:hAnsi="Arial" w:cs="Arial"/>
          <w:color w:val="7B7B7B" w:themeColor="accent3" w:themeShade="BF"/>
          <w:sz w:val="22"/>
          <w:szCs w:val="22"/>
          <w:lang w:val="en-GB"/>
        </w:rPr>
        <w:t>:</w:t>
      </w:r>
      <w:r w:rsidR="00E14367">
        <w:rPr>
          <w:rStyle w:val="FootnoteReference"/>
          <w:rFonts w:ascii="Arial" w:hAnsi="Arial" w:cs="Arial"/>
          <w:color w:val="7B7B7B" w:themeColor="accent3" w:themeShade="BF"/>
          <w:sz w:val="22"/>
          <w:szCs w:val="22"/>
          <w:lang w:val="en-GB"/>
        </w:rPr>
        <w:footnoteReference w:id="2"/>
      </w:r>
    </w:p>
    <w:p w14:paraId="0D7B8413" w14:textId="56867656" w:rsidR="008E513D" w:rsidRDefault="008E513D" w:rsidP="00B7193E">
      <w:pPr>
        <w:ind w:left="720" w:hanging="720"/>
        <w:jc w:val="both"/>
        <w:rPr>
          <w:rFonts w:ascii="Arial" w:hAnsi="Arial" w:cs="Arial"/>
          <w:color w:val="7B7B7B" w:themeColor="accent3" w:themeShade="BF"/>
          <w:sz w:val="22"/>
          <w:szCs w:val="22"/>
          <w:lang w:val="en-GB"/>
        </w:rPr>
      </w:pPr>
    </w:p>
    <w:p w14:paraId="147D8C43" w14:textId="58583582" w:rsidR="008452C1" w:rsidRPr="001834BF" w:rsidRDefault="008E513D" w:rsidP="008E513D">
      <w:pPr>
        <w:pStyle w:val="ListParagraph"/>
        <w:numPr>
          <w:ilvl w:val="0"/>
          <w:numId w:val="19"/>
        </w:num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 xml:space="preserve">A moratorium as it relates to the enforcement of wrongful trading claims against the director(s) of a company.  This provides the </w:t>
      </w:r>
      <w:r w:rsidR="008452C1" w:rsidRPr="001834BF">
        <w:rPr>
          <w:rFonts w:ascii="Arial" w:hAnsi="Arial" w:cs="Arial"/>
          <w:color w:val="7B7B7B" w:themeColor="accent3" w:themeShade="BF"/>
          <w:sz w:val="22"/>
          <w:szCs w:val="22"/>
          <w:lang w:val="en-GB"/>
        </w:rPr>
        <w:t>protection necessary</w:t>
      </w:r>
      <w:r w:rsidRPr="001834BF">
        <w:rPr>
          <w:rFonts w:ascii="Arial" w:hAnsi="Arial" w:cs="Arial"/>
          <w:color w:val="7B7B7B" w:themeColor="accent3" w:themeShade="BF"/>
          <w:sz w:val="22"/>
          <w:szCs w:val="22"/>
          <w:lang w:val="en-GB"/>
        </w:rPr>
        <w:t xml:space="preserve"> for the director(s) to continue running the business with the goal of saving it as a going concern.  </w:t>
      </w:r>
      <w:r w:rsidR="00565D2D" w:rsidRPr="001834BF">
        <w:rPr>
          <w:rFonts w:ascii="Arial" w:hAnsi="Arial" w:cs="Arial"/>
          <w:color w:val="7B7B7B" w:themeColor="accent3" w:themeShade="BF"/>
          <w:sz w:val="22"/>
          <w:szCs w:val="22"/>
          <w:lang w:val="en-GB"/>
        </w:rPr>
        <w:t>That is, s</w:t>
      </w:r>
      <w:r w:rsidRPr="001834BF">
        <w:rPr>
          <w:rFonts w:ascii="Arial" w:hAnsi="Arial" w:cs="Arial"/>
          <w:color w:val="7B7B7B" w:themeColor="accent3" w:themeShade="BF"/>
          <w:sz w:val="22"/>
          <w:szCs w:val="22"/>
          <w:lang w:val="en-GB"/>
        </w:rPr>
        <w:t>ubject to certain exception</w:t>
      </w:r>
      <w:r w:rsidR="00565D2D" w:rsidRPr="001834BF">
        <w:rPr>
          <w:rFonts w:ascii="Arial" w:hAnsi="Arial" w:cs="Arial"/>
          <w:color w:val="7B7B7B" w:themeColor="accent3" w:themeShade="BF"/>
          <w:sz w:val="22"/>
          <w:szCs w:val="22"/>
          <w:lang w:val="en-GB"/>
        </w:rPr>
        <w:t>s</w:t>
      </w:r>
      <w:r w:rsidRPr="001834BF">
        <w:rPr>
          <w:rFonts w:ascii="Arial" w:hAnsi="Arial" w:cs="Arial"/>
          <w:color w:val="7B7B7B" w:themeColor="accent3" w:themeShade="BF"/>
          <w:sz w:val="22"/>
          <w:szCs w:val="22"/>
          <w:lang w:val="en-GB"/>
        </w:rPr>
        <w:t>, creditors are not able to pu</w:t>
      </w:r>
      <w:r w:rsidR="00565D2D" w:rsidRPr="001834BF">
        <w:rPr>
          <w:rFonts w:ascii="Arial" w:hAnsi="Arial" w:cs="Arial"/>
          <w:color w:val="7B7B7B" w:themeColor="accent3" w:themeShade="BF"/>
          <w:sz w:val="22"/>
          <w:szCs w:val="22"/>
          <w:lang w:val="en-GB"/>
        </w:rPr>
        <w:t>rsue payment, for example, while the director(s) formulates a rescue and/or restructuring plan.</w:t>
      </w:r>
    </w:p>
    <w:p w14:paraId="50B24D3C" w14:textId="7FD38C66" w:rsidR="004F73F7" w:rsidRPr="001834BF" w:rsidRDefault="008452C1" w:rsidP="008E513D">
      <w:pPr>
        <w:pStyle w:val="ListParagraph"/>
        <w:numPr>
          <w:ilvl w:val="0"/>
          <w:numId w:val="19"/>
        </w:num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A new restructuring procedure</w:t>
      </w:r>
      <w:r w:rsidR="008E513D" w:rsidRPr="001834BF">
        <w:rPr>
          <w:rFonts w:ascii="Arial" w:hAnsi="Arial" w:cs="Arial"/>
          <w:color w:val="7B7B7B" w:themeColor="accent3" w:themeShade="BF"/>
          <w:sz w:val="22"/>
          <w:szCs w:val="22"/>
          <w:lang w:val="en-GB"/>
        </w:rPr>
        <w:t xml:space="preserve"> </w:t>
      </w:r>
      <w:r w:rsidR="007A2ADC" w:rsidRPr="001834BF">
        <w:rPr>
          <w:rFonts w:ascii="Arial" w:hAnsi="Arial" w:cs="Arial"/>
          <w:color w:val="7B7B7B" w:themeColor="accent3" w:themeShade="BF"/>
          <w:sz w:val="22"/>
          <w:szCs w:val="22"/>
          <w:lang w:val="en-GB"/>
        </w:rPr>
        <w:t xml:space="preserve">to support a company’s ability to continue as a going concern that is encountering financial difficulties.  While similar </w:t>
      </w:r>
      <w:r w:rsidR="004F73F7" w:rsidRPr="001834BF">
        <w:rPr>
          <w:rFonts w:ascii="Arial" w:hAnsi="Arial" w:cs="Arial"/>
          <w:color w:val="7B7B7B" w:themeColor="accent3" w:themeShade="BF"/>
          <w:sz w:val="22"/>
          <w:szCs w:val="22"/>
          <w:lang w:val="en-GB"/>
        </w:rPr>
        <w:t>to the existing schemes of arrange, differences include the following:</w:t>
      </w:r>
    </w:p>
    <w:p w14:paraId="153645C3" w14:textId="7E31C5A6" w:rsidR="008E513D" w:rsidRPr="001834BF" w:rsidRDefault="004F73F7" w:rsidP="004F73F7">
      <w:pPr>
        <w:pStyle w:val="ListParagraph"/>
        <w:numPr>
          <w:ilvl w:val="1"/>
          <w:numId w:val="19"/>
        </w:num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The new restructuring procedure is only available to insolvent companies or companies of doubtful solvency.</w:t>
      </w:r>
    </w:p>
    <w:p w14:paraId="56786990" w14:textId="4150CB7D" w:rsidR="004F73F7" w:rsidRPr="001834BF" w:rsidRDefault="004F73F7" w:rsidP="004F73F7">
      <w:pPr>
        <w:pStyle w:val="ListParagraph"/>
        <w:numPr>
          <w:ilvl w:val="1"/>
          <w:numId w:val="19"/>
        </w:num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The new restructuring procedure only requires a vote in favour of the plan by 75% by value of the relevant creditors whereas schemes of arrangement also require a vote in favour by a majority in number of creditors within each class.</w:t>
      </w:r>
    </w:p>
    <w:p w14:paraId="539B4078" w14:textId="5B3116EF" w:rsidR="004F73F7" w:rsidRPr="001834BF" w:rsidRDefault="00174E91" w:rsidP="004F73F7">
      <w:pPr>
        <w:pStyle w:val="ListParagraph"/>
        <w:numPr>
          <w:ilvl w:val="1"/>
          <w:numId w:val="19"/>
        </w:num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A restructuring plan cannot be blocked by a class where less than 75% by value of that particular class of creditors voted against the plan.  In these situations, the court can approve the restructuring plan if certain conditions are met.</w:t>
      </w:r>
    </w:p>
    <w:p w14:paraId="0549BAF3" w14:textId="077C4D04" w:rsidR="00174E91" w:rsidRDefault="00174E91" w:rsidP="00174E91">
      <w:pPr>
        <w:pStyle w:val="ListParagraph"/>
        <w:numPr>
          <w:ilvl w:val="0"/>
          <w:numId w:val="19"/>
        </w:numPr>
        <w:jc w:val="both"/>
        <w:rPr>
          <w:rFonts w:ascii="Arial" w:hAnsi="Arial" w:cs="Arial"/>
          <w:sz w:val="22"/>
          <w:szCs w:val="22"/>
          <w:lang w:val="en-GB"/>
        </w:rPr>
      </w:pPr>
      <w:r w:rsidRPr="001834BF">
        <w:rPr>
          <w:rFonts w:ascii="Arial" w:hAnsi="Arial" w:cs="Arial"/>
          <w:color w:val="7B7B7B" w:themeColor="accent3" w:themeShade="BF"/>
          <w:sz w:val="22"/>
          <w:szCs w:val="22"/>
          <w:lang w:val="en-GB"/>
        </w:rPr>
        <w:t>The introduction of provisions restricting the ability of suppliers to enforce termination clauses in supply contracts based solely on the fact that a company is experiencing</w:t>
      </w:r>
      <w:r>
        <w:rPr>
          <w:rFonts w:ascii="Arial" w:hAnsi="Arial" w:cs="Arial"/>
          <w:sz w:val="22"/>
          <w:szCs w:val="22"/>
          <w:lang w:val="en-GB"/>
        </w:rPr>
        <w:t xml:space="preserve"> </w:t>
      </w:r>
      <w:r w:rsidRPr="001834BF">
        <w:rPr>
          <w:rFonts w:ascii="Arial" w:hAnsi="Arial" w:cs="Arial"/>
          <w:color w:val="7B7B7B" w:themeColor="accent3" w:themeShade="BF"/>
          <w:sz w:val="22"/>
          <w:szCs w:val="22"/>
          <w:lang w:val="en-GB"/>
        </w:rPr>
        <w:lastRenderedPageBreak/>
        <w:t xml:space="preserve">financial difficulties and/or enters formal insolvency </w:t>
      </w:r>
      <w:r w:rsidR="00E14367" w:rsidRPr="001834BF">
        <w:rPr>
          <w:rFonts w:ascii="Arial" w:hAnsi="Arial" w:cs="Arial"/>
          <w:color w:val="7B7B7B" w:themeColor="accent3" w:themeShade="BF"/>
          <w:sz w:val="22"/>
          <w:szCs w:val="22"/>
          <w:lang w:val="en-GB"/>
        </w:rPr>
        <w:t>or restructuring proceedings (i.e. the statutory moratorium and restructuring plan).</w:t>
      </w:r>
      <w:r w:rsidR="00E14367">
        <w:rPr>
          <w:rFonts w:ascii="Arial" w:hAnsi="Arial" w:cs="Arial"/>
          <w:sz w:val="22"/>
          <w:szCs w:val="22"/>
          <w:lang w:val="en-GB"/>
        </w:rPr>
        <w:t xml:space="preserve">      </w:t>
      </w:r>
    </w:p>
    <w:p w14:paraId="4AA126B0" w14:textId="77777777" w:rsidR="009651BA" w:rsidRDefault="009651BA" w:rsidP="00B7193E">
      <w:pPr>
        <w:ind w:left="720" w:hanging="720"/>
        <w:jc w:val="both"/>
        <w:rPr>
          <w:rFonts w:ascii="Arial" w:hAnsi="Arial" w:cs="Arial"/>
          <w:b/>
          <w:bCs/>
          <w:sz w:val="22"/>
          <w:szCs w:val="22"/>
          <w:lang w:val="en-GB"/>
        </w:rPr>
      </w:pPr>
    </w:p>
    <w:p w14:paraId="34516371" w14:textId="6F4BD116"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9AC1C36" w:rsidR="00C72848" w:rsidRDefault="008926C9" w:rsidP="00DF72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w:t>
      </w:r>
      <w:r w:rsidR="00A963BD">
        <w:rPr>
          <w:rFonts w:ascii="Arial" w:hAnsi="Arial" w:cs="Arial"/>
          <w:color w:val="7B7B7B" w:themeColor="accent3" w:themeShade="BF"/>
          <w:sz w:val="22"/>
          <w:szCs w:val="22"/>
          <w:lang w:val="en-GB"/>
        </w:rPr>
        <w:t>are international instruments that bind signatory States / governments to the obligations</w:t>
      </w:r>
      <w:r w:rsidR="00664771">
        <w:rPr>
          <w:rFonts w:ascii="Arial" w:hAnsi="Arial" w:cs="Arial"/>
          <w:color w:val="7B7B7B" w:themeColor="accent3" w:themeShade="BF"/>
          <w:sz w:val="22"/>
          <w:szCs w:val="22"/>
          <w:lang w:val="en-GB"/>
        </w:rPr>
        <w:t xml:space="preserve"> and provisions</w:t>
      </w:r>
      <w:r w:rsidR="00A963BD">
        <w:rPr>
          <w:rFonts w:ascii="Arial" w:hAnsi="Arial" w:cs="Arial"/>
          <w:color w:val="7B7B7B" w:themeColor="accent3" w:themeShade="BF"/>
          <w:sz w:val="22"/>
          <w:szCs w:val="22"/>
          <w:lang w:val="en-GB"/>
        </w:rPr>
        <w:t xml:space="preserve"> contained within such instruments.  As such, signatory States / governments of treaties </w:t>
      </w:r>
      <w:r w:rsidR="006E081A">
        <w:rPr>
          <w:rFonts w:ascii="Arial" w:hAnsi="Arial" w:cs="Arial"/>
          <w:color w:val="7B7B7B" w:themeColor="accent3" w:themeShade="BF"/>
          <w:sz w:val="22"/>
          <w:szCs w:val="22"/>
          <w:lang w:val="en-GB"/>
        </w:rPr>
        <w:t xml:space="preserve">are mandated to </w:t>
      </w:r>
      <w:r w:rsidR="00A963BD">
        <w:rPr>
          <w:rFonts w:ascii="Arial" w:hAnsi="Arial" w:cs="Arial"/>
          <w:color w:val="7B7B7B" w:themeColor="accent3" w:themeShade="BF"/>
          <w:sz w:val="22"/>
          <w:szCs w:val="22"/>
          <w:lang w:val="en-GB"/>
        </w:rPr>
        <w:t>amend their domestic law as necessary to be in line with the treaties.</w:t>
      </w:r>
    </w:p>
    <w:p w14:paraId="26E2ED53" w14:textId="6AB742FF" w:rsidR="00A963BD" w:rsidRDefault="00A963BD" w:rsidP="00B7193E">
      <w:pPr>
        <w:ind w:left="720" w:hanging="720"/>
        <w:jc w:val="both"/>
        <w:rPr>
          <w:rFonts w:ascii="Arial" w:hAnsi="Arial" w:cs="Arial"/>
          <w:color w:val="7B7B7B" w:themeColor="accent3" w:themeShade="BF"/>
          <w:sz w:val="22"/>
          <w:szCs w:val="22"/>
          <w:lang w:val="en-GB"/>
        </w:rPr>
      </w:pPr>
    </w:p>
    <w:p w14:paraId="1392132C" w14:textId="02DC0AE2" w:rsidR="00A963BD" w:rsidRDefault="00A963BD" w:rsidP="00DF72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on the other hand </w:t>
      </w:r>
      <w:r w:rsidR="00664771">
        <w:rPr>
          <w:rFonts w:ascii="Arial" w:hAnsi="Arial" w:cs="Arial"/>
          <w:color w:val="7B7B7B" w:themeColor="accent3" w:themeShade="BF"/>
          <w:sz w:val="22"/>
          <w:szCs w:val="22"/>
          <w:lang w:val="en-GB"/>
        </w:rPr>
        <w:t xml:space="preserve">represents non-binding principles and recommendations that influences a State’s / government’s regulation of its affairs.  For example, “soft law” could be draft legislation that is recommended </w:t>
      </w:r>
      <w:r w:rsidR="006E081A">
        <w:rPr>
          <w:rFonts w:ascii="Arial" w:hAnsi="Arial" w:cs="Arial"/>
          <w:color w:val="7B7B7B" w:themeColor="accent3" w:themeShade="BF"/>
          <w:sz w:val="22"/>
          <w:szCs w:val="22"/>
          <w:lang w:val="en-GB"/>
        </w:rPr>
        <w:t xml:space="preserve">by an organisation </w:t>
      </w:r>
      <w:r w:rsidR="00664771">
        <w:rPr>
          <w:rFonts w:ascii="Arial" w:hAnsi="Arial" w:cs="Arial"/>
          <w:color w:val="7B7B7B" w:themeColor="accent3" w:themeShade="BF"/>
          <w:sz w:val="22"/>
          <w:szCs w:val="22"/>
          <w:lang w:val="en-GB"/>
        </w:rPr>
        <w:t xml:space="preserve">to be adopted, with or without modification, by a State / government. </w:t>
      </w:r>
    </w:p>
    <w:p w14:paraId="00AC2A62" w14:textId="67E2B0B0" w:rsidR="000A53C3" w:rsidRDefault="000A53C3" w:rsidP="00DF72F7">
      <w:pPr>
        <w:jc w:val="both"/>
        <w:rPr>
          <w:rFonts w:ascii="Arial" w:hAnsi="Arial" w:cs="Arial"/>
          <w:color w:val="7B7B7B" w:themeColor="accent3" w:themeShade="BF"/>
          <w:sz w:val="22"/>
          <w:szCs w:val="22"/>
          <w:lang w:val="en-GB"/>
        </w:rPr>
      </w:pPr>
    </w:p>
    <w:p w14:paraId="7EA14DE4" w14:textId="301E4FAE" w:rsidR="000A53C3" w:rsidRDefault="000A53C3" w:rsidP="00DF72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may be used to facilitate the choice of law as it relates to an insolvency proceeding between two or more States.  An example of such a treaty is the Nordic Convention on Bankruptcy between Norway, Denmark, Finland, Iceland, and Sweden which came into force in 1933</w:t>
      </w:r>
      <w:r w:rsidR="006E081A">
        <w:rPr>
          <w:rFonts w:ascii="Arial" w:hAnsi="Arial" w:cs="Arial"/>
          <w:color w:val="7B7B7B" w:themeColor="accent3" w:themeShade="BF"/>
          <w:sz w:val="22"/>
          <w:szCs w:val="22"/>
          <w:lang w:val="en-GB"/>
        </w:rPr>
        <w:t xml:space="preserve"> (</w:t>
      </w:r>
      <w:r w:rsidR="006E081A">
        <w:rPr>
          <w:rFonts w:ascii="Arial" w:hAnsi="Arial" w:cs="Arial"/>
          <w:b/>
          <w:bCs/>
          <w:color w:val="7B7B7B" w:themeColor="accent3" w:themeShade="BF"/>
          <w:sz w:val="22"/>
          <w:szCs w:val="22"/>
          <w:lang w:val="en-GB"/>
        </w:rPr>
        <w:t>Nordic Convention</w:t>
      </w:r>
      <w:r w:rsidR="006E081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cases of insolvency involving more than one of the signatory States of the Nordic Convention, the Nordic Convention </w:t>
      </w:r>
      <w:r w:rsidR="005C4CF7">
        <w:rPr>
          <w:rFonts w:ascii="Arial" w:hAnsi="Arial" w:cs="Arial"/>
          <w:color w:val="7B7B7B" w:themeColor="accent3" w:themeShade="BF"/>
          <w:sz w:val="22"/>
          <w:szCs w:val="22"/>
          <w:lang w:val="en-GB"/>
        </w:rPr>
        <w:t>determines which State’s law must be followed during the insolvency proceeding to deal with / resolve the various matters encountered.</w:t>
      </w:r>
    </w:p>
    <w:p w14:paraId="3DC76DB3" w14:textId="26C848E7" w:rsidR="005C4CF7" w:rsidRDefault="005C4CF7" w:rsidP="00B7193E">
      <w:pPr>
        <w:ind w:left="720" w:hanging="720"/>
        <w:jc w:val="both"/>
        <w:rPr>
          <w:rFonts w:ascii="Arial" w:hAnsi="Arial" w:cs="Arial"/>
          <w:color w:val="7B7B7B" w:themeColor="accent3" w:themeShade="BF"/>
          <w:sz w:val="22"/>
          <w:szCs w:val="22"/>
          <w:lang w:val="en-GB"/>
        </w:rPr>
      </w:pPr>
    </w:p>
    <w:p w14:paraId="572227E7" w14:textId="7CF8E553" w:rsidR="0045683E" w:rsidRPr="001834BF" w:rsidRDefault="005C4CF7" w:rsidP="00DF72F7">
      <w:p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In respect of solutions to cross-border insolvency law however, “soft law” options have proven to be more successful.  A great example of this is that produced by the United Nations Commission on International Trade Law (</w:t>
      </w:r>
      <w:r w:rsidRPr="00DF72F7">
        <w:rPr>
          <w:rFonts w:ascii="Arial" w:hAnsi="Arial" w:cs="Arial"/>
          <w:b/>
          <w:bCs/>
          <w:color w:val="7B7B7B" w:themeColor="accent3" w:themeShade="BF"/>
          <w:sz w:val="22"/>
          <w:szCs w:val="22"/>
          <w:lang w:val="en-GB"/>
        </w:rPr>
        <w:t>UNCITRAL</w:t>
      </w:r>
      <w:r w:rsidRPr="001834BF">
        <w:rPr>
          <w:rFonts w:ascii="Arial" w:hAnsi="Arial" w:cs="Arial"/>
          <w:color w:val="7B7B7B" w:themeColor="accent3" w:themeShade="BF"/>
          <w:sz w:val="22"/>
          <w:szCs w:val="22"/>
          <w:lang w:val="en-GB"/>
        </w:rPr>
        <w:t>).  UNCITRAL developed a Model Law on Cross-border Insolvency (</w:t>
      </w:r>
      <w:r w:rsidRPr="00DF72F7">
        <w:rPr>
          <w:rFonts w:ascii="Arial" w:hAnsi="Arial" w:cs="Arial"/>
          <w:b/>
          <w:bCs/>
          <w:color w:val="7B7B7B" w:themeColor="accent3" w:themeShade="BF"/>
          <w:sz w:val="22"/>
          <w:szCs w:val="22"/>
          <w:lang w:val="en-GB"/>
        </w:rPr>
        <w:t>MLCBI</w:t>
      </w:r>
      <w:r w:rsidRPr="001834BF">
        <w:rPr>
          <w:rFonts w:ascii="Arial" w:hAnsi="Arial" w:cs="Arial"/>
          <w:color w:val="7B7B7B" w:themeColor="accent3" w:themeShade="BF"/>
          <w:sz w:val="22"/>
          <w:szCs w:val="22"/>
          <w:lang w:val="en-GB"/>
        </w:rPr>
        <w:t>) which was simply draft legislation that it recommended be adopted, with or without modification, by a State / government.</w:t>
      </w:r>
      <w:r w:rsidR="006E081A" w:rsidRPr="001834BF">
        <w:rPr>
          <w:rFonts w:ascii="Arial" w:hAnsi="Arial" w:cs="Arial"/>
          <w:color w:val="7B7B7B" w:themeColor="accent3" w:themeShade="BF"/>
          <w:sz w:val="22"/>
          <w:szCs w:val="22"/>
          <w:lang w:val="en-GB"/>
        </w:rPr>
        <w:t xml:space="preserve">  With the adoption and/or integration of the MLCBI into the </w:t>
      </w:r>
      <w:r w:rsidR="00DF72F7">
        <w:rPr>
          <w:rFonts w:ascii="Arial" w:hAnsi="Arial" w:cs="Arial"/>
          <w:color w:val="7B7B7B" w:themeColor="accent3" w:themeShade="BF"/>
          <w:sz w:val="22"/>
          <w:szCs w:val="22"/>
          <w:lang w:val="en-GB"/>
        </w:rPr>
        <w:t xml:space="preserve">existing </w:t>
      </w:r>
      <w:r w:rsidR="006E081A" w:rsidRPr="001834BF">
        <w:rPr>
          <w:rFonts w:ascii="Arial" w:hAnsi="Arial" w:cs="Arial"/>
          <w:color w:val="7B7B7B" w:themeColor="accent3" w:themeShade="BF"/>
          <w:sz w:val="22"/>
          <w:szCs w:val="22"/>
          <w:lang w:val="en-GB"/>
        </w:rPr>
        <w:t>legislation of the member States, co-operation and co-ordination – two of the primary principles required in successful cross-border insolvencies – became more achievable between and across those member States.</w:t>
      </w:r>
    </w:p>
    <w:p w14:paraId="383B5930" w14:textId="24E126B6" w:rsidR="00C550C8" w:rsidRPr="001834BF" w:rsidRDefault="00C550C8" w:rsidP="00B7193E">
      <w:pPr>
        <w:jc w:val="both"/>
        <w:rPr>
          <w:rFonts w:ascii="Arial" w:hAnsi="Arial" w:cs="Arial"/>
          <w:color w:val="7B7B7B" w:themeColor="accent3" w:themeShade="BF"/>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280D94C" w14:textId="4B427991" w:rsidR="001834BF" w:rsidRDefault="001834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common source of insolvency laws in a State is its legislation or codes.</w:t>
      </w:r>
      <w:r w:rsidR="00502E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However, in situations where the legislation and/or codes in place in a particular common law State has gaps, common law principles are used to fill such gaps.</w:t>
      </w:r>
    </w:p>
    <w:p w14:paraId="74F7DC8C" w14:textId="63D4DB39" w:rsidR="001834BF" w:rsidRDefault="001834BF" w:rsidP="00B7193E">
      <w:pPr>
        <w:jc w:val="both"/>
        <w:rPr>
          <w:rFonts w:ascii="Arial" w:hAnsi="Arial" w:cs="Arial"/>
          <w:color w:val="7B7B7B" w:themeColor="accent3" w:themeShade="BF"/>
          <w:sz w:val="22"/>
          <w:szCs w:val="22"/>
          <w:lang w:val="en-GB"/>
        </w:rPr>
      </w:pPr>
    </w:p>
    <w:p w14:paraId="1BDAC245" w14:textId="28C5AC35" w:rsidR="006669E3" w:rsidRDefault="001834BF" w:rsidP="00B7193E">
      <w:pPr>
        <w:jc w:val="both"/>
        <w:rPr>
          <w:rFonts w:ascii="Arial" w:hAnsi="Arial" w:cs="Arial"/>
          <w:color w:val="7B7B7B" w:themeColor="accent3" w:themeShade="BF"/>
          <w:sz w:val="22"/>
          <w:szCs w:val="22"/>
          <w:lang w:val="en-GB"/>
        </w:rPr>
      </w:pPr>
      <w:r w:rsidRPr="001834BF">
        <w:rPr>
          <w:rFonts w:ascii="Arial" w:hAnsi="Arial" w:cs="Arial"/>
          <w:color w:val="7B7B7B" w:themeColor="accent3" w:themeShade="BF"/>
          <w:sz w:val="22"/>
          <w:szCs w:val="22"/>
          <w:lang w:val="en-GB"/>
        </w:rPr>
        <w:t>In respect of legislation or codes, a State may have a single piece of legislation covering all aspects of insolvenc</w:t>
      </w:r>
      <w:r>
        <w:rPr>
          <w:rFonts w:ascii="Arial" w:hAnsi="Arial" w:cs="Arial"/>
          <w:color w:val="7B7B7B" w:themeColor="accent3" w:themeShade="BF"/>
          <w:sz w:val="22"/>
          <w:szCs w:val="22"/>
          <w:lang w:val="en-GB"/>
        </w:rPr>
        <w:t>y.  For example, in the USA the Bankruptcy Code 1978 is</w:t>
      </w:r>
      <w:r w:rsidR="00516F4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used to address insolvency related matters throughout the country.  </w:t>
      </w:r>
    </w:p>
    <w:p w14:paraId="7DDB8470" w14:textId="77777777" w:rsidR="006669E3" w:rsidRDefault="006669E3" w:rsidP="00B7193E">
      <w:pPr>
        <w:jc w:val="both"/>
        <w:rPr>
          <w:rFonts w:ascii="Arial" w:hAnsi="Arial" w:cs="Arial"/>
          <w:color w:val="7B7B7B" w:themeColor="accent3" w:themeShade="BF"/>
          <w:sz w:val="22"/>
          <w:szCs w:val="22"/>
          <w:lang w:val="en-GB"/>
        </w:rPr>
      </w:pPr>
    </w:p>
    <w:p w14:paraId="77EAF6FD" w14:textId="4A000782" w:rsidR="001834BF" w:rsidRDefault="001834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w:t>
      </w:r>
      <w:r w:rsidRPr="001834BF">
        <w:rPr>
          <w:rFonts w:ascii="Arial" w:hAnsi="Arial" w:cs="Arial"/>
          <w:color w:val="7B7B7B" w:themeColor="accent3" w:themeShade="BF"/>
          <w:sz w:val="22"/>
          <w:szCs w:val="22"/>
          <w:lang w:val="en-GB"/>
        </w:rPr>
        <w:t xml:space="preserve">another State may have multiple pieces of legislation addressing separate </w:t>
      </w:r>
      <w:r w:rsidR="00516F46">
        <w:rPr>
          <w:rFonts w:ascii="Arial" w:hAnsi="Arial" w:cs="Arial"/>
          <w:color w:val="7B7B7B" w:themeColor="accent3" w:themeShade="BF"/>
          <w:sz w:val="22"/>
          <w:szCs w:val="22"/>
          <w:lang w:val="en-GB"/>
        </w:rPr>
        <w:t xml:space="preserve">aspects of </w:t>
      </w:r>
      <w:r w:rsidRPr="001834BF">
        <w:rPr>
          <w:rFonts w:ascii="Arial" w:hAnsi="Arial" w:cs="Arial"/>
          <w:color w:val="7B7B7B" w:themeColor="accent3" w:themeShade="BF"/>
          <w:sz w:val="22"/>
          <w:szCs w:val="22"/>
          <w:lang w:val="en-GB"/>
        </w:rPr>
        <w:t>insolvency.</w:t>
      </w:r>
      <w:r w:rsidR="006669E3">
        <w:rPr>
          <w:rFonts w:ascii="Arial" w:hAnsi="Arial" w:cs="Arial"/>
          <w:color w:val="7B7B7B" w:themeColor="accent3" w:themeShade="BF"/>
          <w:sz w:val="22"/>
          <w:szCs w:val="22"/>
          <w:lang w:val="en-GB"/>
        </w:rPr>
        <w:t xml:space="preserve">  For example, Australia has separate pieces of legislation dealing with corporate insolvency and personal insolvency.  In such States, all pieces of insolvency related legislation </w:t>
      </w:r>
      <w:r w:rsidR="00502EFD">
        <w:rPr>
          <w:rFonts w:ascii="Arial" w:hAnsi="Arial" w:cs="Arial"/>
          <w:color w:val="7B7B7B" w:themeColor="accent3" w:themeShade="BF"/>
          <w:sz w:val="22"/>
          <w:szCs w:val="22"/>
          <w:lang w:val="en-GB"/>
        </w:rPr>
        <w:t xml:space="preserve">must </w:t>
      </w:r>
      <w:r w:rsidR="006669E3">
        <w:rPr>
          <w:rFonts w:ascii="Arial" w:hAnsi="Arial" w:cs="Arial"/>
          <w:color w:val="7B7B7B" w:themeColor="accent3" w:themeShade="BF"/>
          <w:sz w:val="22"/>
          <w:szCs w:val="22"/>
          <w:lang w:val="en-GB"/>
        </w:rPr>
        <w:t>be read and consulted with jointly to gain a full understanding of the insolvency system.</w:t>
      </w:r>
    </w:p>
    <w:p w14:paraId="6CF9112A" w14:textId="2A147265" w:rsidR="00502EFD" w:rsidRDefault="00502EFD" w:rsidP="00B7193E">
      <w:pPr>
        <w:jc w:val="both"/>
        <w:rPr>
          <w:rFonts w:ascii="Arial" w:hAnsi="Arial" w:cs="Arial"/>
          <w:color w:val="7B7B7B" w:themeColor="accent3" w:themeShade="BF"/>
          <w:sz w:val="22"/>
          <w:szCs w:val="22"/>
          <w:lang w:val="en-GB"/>
        </w:rPr>
      </w:pPr>
    </w:p>
    <w:p w14:paraId="4A637290" w14:textId="1F2FCC22" w:rsidR="00544127" w:rsidRPr="001834BF" w:rsidRDefault="00502EFD" w:rsidP="00502E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it should be noted that there may be instances during an insolvency matter that non-insolvency pieces of legislation must be consulted.  For example, the rights of secured creditors may be found in a non-insolvency piece of legislation yet play a vital role in determining the secured creditors’ rights to the assets available in a liquidation estate</w:t>
      </w:r>
      <w:r w:rsidR="00516F46">
        <w:rPr>
          <w:rFonts w:ascii="Arial" w:hAnsi="Arial" w:cs="Arial"/>
          <w:color w:val="7B7B7B" w:themeColor="accent3" w:themeShade="BF"/>
          <w:sz w:val="22"/>
          <w:szCs w:val="22"/>
          <w:lang w:val="en-GB"/>
        </w:rPr>
        <w:t xml:space="preserve"> during an insolvency proceeding</w:t>
      </w:r>
      <w:r>
        <w:rPr>
          <w:rFonts w:ascii="Arial" w:hAnsi="Arial" w:cs="Arial"/>
          <w:color w:val="7B7B7B" w:themeColor="accent3" w:themeShade="BF"/>
          <w:sz w:val="22"/>
          <w:szCs w:val="22"/>
          <w:lang w:val="en-GB"/>
        </w:rPr>
        <w:t>.</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73671A2" w:rsidR="00DF75F8" w:rsidRDefault="0068113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questions asked by Fletcher are as follows:</w:t>
      </w:r>
      <w:r w:rsidR="007D694D">
        <w:rPr>
          <w:rStyle w:val="FootnoteReference"/>
          <w:rFonts w:ascii="Arial" w:hAnsi="Arial" w:cs="Arial"/>
          <w:color w:val="7B7B7B" w:themeColor="accent3" w:themeShade="BF"/>
          <w:sz w:val="22"/>
          <w:szCs w:val="22"/>
          <w:lang w:val="en-GB"/>
        </w:rPr>
        <w:footnoteReference w:id="3"/>
      </w:r>
    </w:p>
    <w:p w14:paraId="09CBDD9E" w14:textId="77777777" w:rsidR="00981421" w:rsidRDefault="00981421" w:rsidP="00981421">
      <w:pPr>
        <w:pStyle w:val="ListParagraph"/>
        <w:jc w:val="both"/>
        <w:rPr>
          <w:rFonts w:ascii="Arial" w:hAnsi="Arial" w:cs="Arial"/>
          <w:color w:val="7B7B7B" w:themeColor="accent3" w:themeShade="BF"/>
          <w:sz w:val="22"/>
          <w:szCs w:val="22"/>
          <w:lang w:val="en-GB"/>
        </w:rPr>
      </w:pPr>
    </w:p>
    <w:p w14:paraId="620F4CCE" w14:textId="0F626E8D" w:rsidR="00681138" w:rsidRPr="007A25B6" w:rsidRDefault="007A25B6" w:rsidP="00681138">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jurisdictions may insolvency proceedings be opened?</w:t>
      </w:r>
    </w:p>
    <w:p w14:paraId="17F12D06" w14:textId="77777777" w:rsidR="007A25B6" w:rsidRPr="007A25B6" w:rsidRDefault="007A25B6" w:rsidP="007A25B6">
      <w:pPr>
        <w:pStyle w:val="ListParagraph"/>
        <w:jc w:val="both"/>
        <w:rPr>
          <w:rFonts w:ascii="Arial" w:hAnsi="Arial" w:cs="Arial"/>
          <w:sz w:val="22"/>
          <w:szCs w:val="22"/>
          <w:lang w:val="en-GB"/>
        </w:rPr>
      </w:pPr>
    </w:p>
    <w:p w14:paraId="4E37D8A2" w14:textId="233A8AF2" w:rsidR="007A25B6" w:rsidRPr="007A25B6" w:rsidRDefault="007A25B6" w:rsidP="00681138">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What country’s rules of law should be applied with respect to those aspects of the case in which elements of diversity are present?</w:t>
      </w:r>
    </w:p>
    <w:p w14:paraId="51401A37" w14:textId="77777777" w:rsidR="007A25B6" w:rsidRPr="007A25B6" w:rsidRDefault="007A25B6" w:rsidP="007A25B6">
      <w:pPr>
        <w:pStyle w:val="ListParagraph"/>
        <w:jc w:val="both"/>
        <w:rPr>
          <w:rFonts w:ascii="Arial" w:hAnsi="Arial" w:cs="Arial"/>
          <w:sz w:val="22"/>
          <w:szCs w:val="22"/>
          <w:lang w:val="en-GB"/>
        </w:rPr>
      </w:pPr>
    </w:p>
    <w:p w14:paraId="7E82BA21" w14:textId="2A13F2A3" w:rsidR="007A25B6" w:rsidRPr="00981421" w:rsidRDefault="007A25B6" w:rsidP="00681138">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What international effects will be accorded to proceedings conducted at a particular </w:t>
      </w:r>
      <w:r>
        <w:rPr>
          <w:rFonts w:ascii="Arial" w:hAnsi="Arial" w:cs="Arial"/>
          <w:i/>
          <w:iCs/>
          <w:color w:val="7B7B7B" w:themeColor="accent3" w:themeShade="BF"/>
          <w:sz w:val="22"/>
          <w:szCs w:val="22"/>
          <w:lang w:val="en-GB"/>
        </w:rPr>
        <w:t xml:space="preserve">forum </w:t>
      </w:r>
      <w:r>
        <w:rPr>
          <w:rFonts w:ascii="Arial" w:hAnsi="Arial" w:cs="Arial"/>
          <w:color w:val="7B7B7B" w:themeColor="accent3" w:themeShade="BF"/>
          <w:sz w:val="22"/>
          <w:szCs w:val="22"/>
          <w:lang w:val="en-GB"/>
        </w:rPr>
        <w:t>(including where necessary the granting of enforcement to any judgment or order affecting persons or property involved in the proceeds)?</w:t>
      </w:r>
    </w:p>
    <w:p w14:paraId="10B347FA" w14:textId="77777777" w:rsidR="007D694D" w:rsidRPr="007D694D" w:rsidRDefault="007D694D" w:rsidP="007D694D">
      <w:pPr>
        <w:rPr>
          <w:rFonts w:ascii="Arial" w:hAnsi="Arial" w:cs="Arial"/>
          <w:sz w:val="22"/>
          <w:szCs w:val="22"/>
          <w:lang w:val="en-GB"/>
        </w:rPr>
      </w:pPr>
    </w:p>
    <w:p w14:paraId="2D74FE46" w14:textId="396A2BED" w:rsidR="00981421" w:rsidRDefault="00981421" w:rsidP="00981421">
      <w:pPr>
        <w:jc w:val="both"/>
        <w:rPr>
          <w:rFonts w:ascii="Arial" w:hAnsi="Arial" w:cs="Arial"/>
          <w:color w:val="7B7B7B" w:themeColor="accent3" w:themeShade="BF"/>
          <w:sz w:val="22"/>
          <w:szCs w:val="22"/>
          <w:lang w:val="en-GB"/>
        </w:rPr>
      </w:pPr>
      <w:r w:rsidRPr="00981421">
        <w:rPr>
          <w:rFonts w:ascii="Arial" w:hAnsi="Arial" w:cs="Arial"/>
          <w:color w:val="7B7B7B" w:themeColor="accent3" w:themeShade="BF"/>
          <w:sz w:val="22"/>
          <w:szCs w:val="22"/>
          <w:lang w:val="en-GB"/>
        </w:rPr>
        <w:t xml:space="preserve">In respect of Question 1, </w:t>
      </w:r>
      <w:r w:rsidR="005D01D8">
        <w:rPr>
          <w:rFonts w:ascii="Arial" w:hAnsi="Arial" w:cs="Arial"/>
          <w:color w:val="7B7B7B" w:themeColor="accent3" w:themeShade="BF"/>
          <w:sz w:val="22"/>
          <w:szCs w:val="22"/>
          <w:lang w:val="en-GB"/>
        </w:rPr>
        <w:t xml:space="preserve">the primary issue to be considered is whether a court is able and willing to hear and decide upon a matter.  </w:t>
      </w:r>
      <w:r w:rsidR="0051484F">
        <w:rPr>
          <w:rFonts w:ascii="Arial" w:hAnsi="Arial" w:cs="Arial"/>
          <w:color w:val="7B7B7B" w:themeColor="accent3" w:themeShade="BF"/>
          <w:sz w:val="22"/>
          <w:szCs w:val="22"/>
          <w:lang w:val="en-GB"/>
        </w:rPr>
        <w:t>The court must be satisfied that the petitioner has sufficient standing in that</w:t>
      </w:r>
      <w:r w:rsidR="00B62B18">
        <w:rPr>
          <w:rFonts w:ascii="Arial" w:hAnsi="Arial" w:cs="Arial"/>
          <w:color w:val="7B7B7B" w:themeColor="accent3" w:themeShade="BF"/>
          <w:sz w:val="22"/>
          <w:szCs w:val="22"/>
          <w:lang w:val="en-GB"/>
        </w:rPr>
        <w:t xml:space="preserve"> </w:t>
      </w:r>
      <w:r w:rsidR="0051484F">
        <w:rPr>
          <w:rFonts w:ascii="Arial" w:hAnsi="Arial" w:cs="Arial"/>
          <w:color w:val="7B7B7B" w:themeColor="accent3" w:themeShade="BF"/>
          <w:sz w:val="22"/>
          <w:szCs w:val="22"/>
          <w:lang w:val="en-GB"/>
        </w:rPr>
        <w:t>particular jurisdiction to commence proceedings against a particular debtor.  A simple example is a petitioner applying to a local court for a winding up order of a locally incorporated company; the local court is likely to determine that it is able and willing to hear and decide upon the application.  However, if during the course of that insolvency matter foreign assets of the locally incorporated company are identified, the liquidator(s) must determine what foreign jurisdiction(s) / court(s) is able and willing to recognise the local liquidation to facilitate the asset recovery efforts in that foreign jurisdiction.  Equally, the opposite holds true in that there may be instances where a local court has to decide whether it is able and willing to hear and decide upon a foreign insolvency proceeding.</w:t>
      </w:r>
    </w:p>
    <w:p w14:paraId="7C343085" w14:textId="79365466" w:rsidR="00981421" w:rsidRDefault="00981421" w:rsidP="00981421">
      <w:pPr>
        <w:jc w:val="both"/>
        <w:rPr>
          <w:rFonts w:ascii="Arial" w:hAnsi="Arial" w:cs="Arial"/>
          <w:color w:val="7B7B7B" w:themeColor="accent3" w:themeShade="BF"/>
          <w:sz w:val="22"/>
          <w:szCs w:val="22"/>
          <w:lang w:val="en-GB"/>
        </w:rPr>
      </w:pPr>
    </w:p>
    <w:p w14:paraId="3450D773" w14:textId="766024FC" w:rsidR="00981421" w:rsidRDefault="00981421" w:rsidP="009814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Question 2, </w:t>
      </w:r>
      <w:r w:rsidR="005559E4">
        <w:rPr>
          <w:rFonts w:ascii="Arial" w:hAnsi="Arial" w:cs="Arial"/>
          <w:color w:val="7B7B7B" w:themeColor="accent3" w:themeShade="BF"/>
          <w:sz w:val="22"/>
          <w:szCs w:val="22"/>
          <w:lang w:val="en-GB"/>
        </w:rPr>
        <w:t xml:space="preserve">once the question of jurisdiction has been answered, the court(s) that has determined it is able and willing to hear and decide upon a matter must now determine what law applies to such hearing.  In common law States, common practice is for </w:t>
      </w:r>
      <w:r w:rsidR="00050F56">
        <w:rPr>
          <w:rFonts w:ascii="Arial" w:hAnsi="Arial" w:cs="Arial"/>
          <w:color w:val="7B7B7B" w:themeColor="accent3" w:themeShade="BF"/>
          <w:sz w:val="22"/>
          <w:szCs w:val="22"/>
          <w:lang w:val="en-GB"/>
        </w:rPr>
        <w:t>the court to apply its local law unless otherwise requested by the parties to a matter.  For example, where a foreign law may be of benefit to a party to a matter, that party may apply to the court to enforce that foreign law during the hearing of the matter.</w:t>
      </w:r>
    </w:p>
    <w:p w14:paraId="1D2AF3C1" w14:textId="13D5FB0C" w:rsidR="00981421" w:rsidRDefault="00981421" w:rsidP="00981421">
      <w:pPr>
        <w:jc w:val="both"/>
        <w:rPr>
          <w:rFonts w:ascii="Arial" w:hAnsi="Arial" w:cs="Arial"/>
          <w:color w:val="7B7B7B" w:themeColor="accent3" w:themeShade="BF"/>
          <w:sz w:val="22"/>
          <w:szCs w:val="22"/>
          <w:lang w:val="en-GB"/>
        </w:rPr>
      </w:pPr>
    </w:p>
    <w:p w14:paraId="4135BFDA" w14:textId="6F1BDBBA" w:rsidR="00275182" w:rsidRPr="00981421" w:rsidRDefault="00981421" w:rsidP="0077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Question 3, </w:t>
      </w:r>
      <w:r w:rsidR="00050F56">
        <w:rPr>
          <w:rFonts w:ascii="Arial" w:hAnsi="Arial" w:cs="Arial"/>
          <w:color w:val="7B7B7B" w:themeColor="accent3" w:themeShade="BF"/>
          <w:sz w:val="22"/>
          <w:szCs w:val="22"/>
          <w:lang w:val="en-GB"/>
        </w:rPr>
        <w:t xml:space="preserve">a local court may </w:t>
      </w:r>
      <w:r w:rsidR="00777287">
        <w:rPr>
          <w:rFonts w:ascii="Arial" w:hAnsi="Arial" w:cs="Arial"/>
          <w:color w:val="7B7B7B" w:themeColor="accent3" w:themeShade="BF"/>
          <w:sz w:val="22"/>
          <w:szCs w:val="22"/>
          <w:lang w:val="en-GB"/>
        </w:rPr>
        <w:t xml:space="preserve">become aware of foreign judgments made in respect of </w:t>
      </w:r>
      <w:r w:rsidR="00B62B18">
        <w:rPr>
          <w:rFonts w:ascii="Arial" w:hAnsi="Arial" w:cs="Arial"/>
          <w:color w:val="7B7B7B" w:themeColor="accent3" w:themeShade="BF"/>
          <w:sz w:val="22"/>
          <w:szCs w:val="22"/>
          <w:lang w:val="en-GB"/>
        </w:rPr>
        <w:t>parallel proceedings</w:t>
      </w:r>
      <w:r w:rsidR="008450D2">
        <w:rPr>
          <w:rFonts w:ascii="Arial" w:hAnsi="Arial" w:cs="Arial"/>
          <w:color w:val="7B7B7B" w:themeColor="accent3" w:themeShade="BF"/>
          <w:sz w:val="22"/>
          <w:szCs w:val="22"/>
          <w:lang w:val="en-GB"/>
        </w:rPr>
        <w:t xml:space="preserve"> being heard</w:t>
      </w:r>
      <w:r w:rsidR="00777287">
        <w:rPr>
          <w:rFonts w:ascii="Arial" w:hAnsi="Arial" w:cs="Arial"/>
          <w:color w:val="7B7B7B" w:themeColor="accent3" w:themeShade="BF"/>
          <w:sz w:val="22"/>
          <w:szCs w:val="22"/>
          <w:lang w:val="en-GB"/>
        </w:rPr>
        <w:t xml:space="preserve"> and have to decide whether such foreign judgments can be recogni</w:t>
      </w:r>
      <w:r w:rsidR="008450D2">
        <w:rPr>
          <w:rFonts w:ascii="Arial" w:hAnsi="Arial" w:cs="Arial"/>
          <w:color w:val="7B7B7B" w:themeColor="accent3" w:themeShade="BF"/>
          <w:sz w:val="22"/>
          <w:szCs w:val="22"/>
          <w:lang w:val="en-GB"/>
        </w:rPr>
        <w:t>s</w:t>
      </w:r>
      <w:r w:rsidR="00777287">
        <w:rPr>
          <w:rFonts w:ascii="Arial" w:hAnsi="Arial" w:cs="Arial"/>
          <w:color w:val="7B7B7B" w:themeColor="accent3" w:themeShade="BF"/>
          <w:sz w:val="22"/>
          <w:szCs w:val="22"/>
          <w:lang w:val="en-GB"/>
        </w:rPr>
        <w:t>ed and take effect locally.  For example, in the case of Chapter 15 recognition in the US, the US Bankruptcy Court will have to determine</w:t>
      </w:r>
      <w:r w:rsidR="008450D2">
        <w:rPr>
          <w:rFonts w:ascii="Arial" w:hAnsi="Arial" w:cs="Arial"/>
          <w:color w:val="7B7B7B" w:themeColor="accent3" w:themeShade="BF"/>
          <w:sz w:val="22"/>
          <w:szCs w:val="22"/>
          <w:lang w:val="en-GB"/>
        </w:rPr>
        <w:t>, amongst other things,</w:t>
      </w:r>
      <w:r w:rsidR="00777287">
        <w:rPr>
          <w:rFonts w:ascii="Arial" w:hAnsi="Arial" w:cs="Arial"/>
          <w:color w:val="7B7B7B" w:themeColor="accent3" w:themeShade="BF"/>
          <w:sz w:val="22"/>
          <w:szCs w:val="22"/>
          <w:lang w:val="en-GB"/>
        </w:rPr>
        <w:t xml:space="preserve"> whether </w:t>
      </w:r>
      <w:r w:rsidR="00B62B18">
        <w:rPr>
          <w:rFonts w:ascii="Arial" w:hAnsi="Arial" w:cs="Arial"/>
          <w:color w:val="7B7B7B" w:themeColor="accent3" w:themeShade="BF"/>
          <w:sz w:val="22"/>
          <w:szCs w:val="22"/>
          <w:lang w:val="en-GB"/>
        </w:rPr>
        <w:t xml:space="preserve">the </w:t>
      </w:r>
      <w:r w:rsidR="00777287">
        <w:rPr>
          <w:rFonts w:ascii="Arial" w:hAnsi="Arial" w:cs="Arial"/>
          <w:color w:val="7B7B7B" w:themeColor="accent3" w:themeShade="BF"/>
          <w:sz w:val="22"/>
          <w:szCs w:val="22"/>
          <w:lang w:val="en-GB"/>
        </w:rPr>
        <w:t>applicant was validly appointed over the entity in question and whether the liquidation order is sufficient to grant the applicant such recognition.</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79636A34" w14:textId="77777777" w:rsidR="007A25B6" w:rsidRDefault="007A25B6" w:rsidP="00275182">
      <w:pPr>
        <w:widowControl w:val="0"/>
        <w:ind w:left="720" w:hanging="720"/>
        <w:jc w:val="both"/>
        <w:rPr>
          <w:rFonts w:ascii="Arial" w:hAnsi="Arial" w:cs="Arial"/>
          <w:b/>
          <w:bCs/>
          <w:sz w:val="22"/>
          <w:szCs w:val="22"/>
          <w:shd w:val="clear" w:color="auto" w:fill="FFFFFF"/>
          <w:lang w:val="en-GB"/>
        </w:rPr>
      </w:pPr>
    </w:p>
    <w:p w14:paraId="4B3595C7" w14:textId="4B363386"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lastRenderedPageBreak/>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0D38E6B" w:rsidR="00DF75F8" w:rsidRDefault="004D2F7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prominent case law example in respect of Cross-border Insolvency Agreements that pre-dates the Model Law on Cross-Border Insolvency is</w:t>
      </w:r>
      <w:r w:rsidR="00134B01">
        <w:rPr>
          <w:rFonts w:ascii="Arial" w:hAnsi="Arial" w:cs="Arial"/>
          <w:color w:val="7B7B7B" w:themeColor="accent3" w:themeShade="BF"/>
          <w:sz w:val="22"/>
          <w:szCs w:val="22"/>
          <w:lang w:val="en-GB"/>
        </w:rPr>
        <w:t xml:space="preserve"> the case of</w:t>
      </w:r>
      <w:r>
        <w:rPr>
          <w:rFonts w:ascii="Arial" w:hAnsi="Arial" w:cs="Arial"/>
          <w:color w:val="7B7B7B" w:themeColor="accent3" w:themeShade="BF"/>
          <w:sz w:val="22"/>
          <w:szCs w:val="22"/>
          <w:lang w:val="en-GB"/>
        </w:rPr>
        <w:t xml:space="preserve"> </w:t>
      </w:r>
      <w:r>
        <w:rPr>
          <w:rFonts w:ascii="Arial" w:hAnsi="Arial" w:cs="Arial"/>
          <w:i/>
          <w:iCs/>
          <w:color w:val="7B7B7B" w:themeColor="accent3" w:themeShade="BF"/>
          <w:sz w:val="22"/>
          <w:szCs w:val="22"/>
          <w:lang w:val="en-GB"/>
        </w:rPr>
        <w:t xml:space="preserve">Maxwell Communications Corporation plc </w:t>
      </w:r>
      <w:r>
        <w:rPr>
          <w:rFonts w:ascii="Arial" w:hAnsi="Arial" w:cs="Arial"/>
          <w:color w:val="7B7B7B" w:themeColor="accent3" w:themeShade="BF"/>
          <w:sz w:val="22"/>
          <w:szCs w:val="22"/>
          <w:lang w:val="en-GB"/>
        </w:rPr>
        <w:t xml:space="preserve">case in 1991.  </w:t>
      </w:r>
      <w:r w:rsidR="00DB4ABF">
        <w:rPr>
          <w:rFonts w:ascii="Arial" w:hAnsi="Arial" w:cs="Arial"/>
          <w:color w:val="7B7B7B" w:themeColor="accent3" w:themeShade="BF"/>
          <w:sz w:val="22"/>
          <w:szCs w:val="22"/>
          <w:lang w:val="en-GB"/>
        </w:rPr>
        <w:t xml:space="preserve">In this case, </w:t>
      </w:r>
      <w:r w:rsidR="00134B01">
        <w:rPr>
          <w:rFonts w:ascii="Arial" w:hAnsi="Arial" w:cs="Arial"/>
          <w:color w:val="7B7B7B" w:themeColor="accent3" w:themeShade="BF"/>
          <w:sz w:val="22"/>
          <w:szCs w:val="22"/>
          <w:lang w:val="en-GB"/>
        </w:rPr>
        <w:t>two primary</w:t>
      </w:r>
      <w:r w:rsidR="00DB4ABF">
        <w:rPr>
          <w:rFonts w:ascii="Arial" w:hAnsi="Arial" w:cs="Arial"/>
          <w:color w:val="7B7B7B" w:themeColor="accent3" w:themeShade="BF"/>
          <w:sz w:val="22"/>
          <w:szCs w:val="22"/>
          <w:lang w:val="en-GB"/>
        </w:rPr>
        <w:t xml:space="preserve"> proceedings were </w:t>
      </w:r>
      <w:r w:rsidR="00134B01">
        <w:rPr>
          <w:rFonts w:ascii="Arial" w:hAnsi="Arial" w:cs="Arial"/>
          <w:color w:val="7B7B7B" w:themeColor="accent3" w:themeShade="BF"/>
          <w:sz w:val="22"/>
          <w:szCs w:val="22"/>
          <w:lang w:val="en-GB"/>
        </w:rPr>
        <w:t>commenced in the U</w:t>
      </w:r>
      <w:r w:rsidR="00B62B18">
        <w:rPr>
          <w:rFonts w:ascii="Arial" w:hAnsi="Arial" w:cs="Arial"/>
          <w:color w:val="7B7B7B" w:themeColor="accent3" w:themeShade="BF"/>
          <w:sz w:val="22"/>
          <w:szCs w:val="22"/>
          <w:lang w:val="en-GB"/>
        </w:rPr>
        <w:t>S</w:t>
      </w:r>
      <w:r w:rsidR="00134B01">
        <w:rPr>
          <w:rFonts w:ascii="Arial" w:hAnsi="Arial" w:cs="Arial"/>
          <w:color w:val="7B7B7B" w:themeColor="accent3" w:themeShade="BF"/>
          <w:sz w:val="22"/>
          <w:szCs w:val="22"/>
          <w:lang w:val="en-GB"/>
        </w:rPr>
        <w:t xml:space="preserve"> and England with each State appointing separate insolvency </w:t>
      </w:r>
      <w:r w:rsidR="006467CC">
        <w:rPr>
          <w:rFonts w:ascii="Arial" w:hAnsi="Arial" w:cs="Arial"/>
          <w:color w:val="7B7B7B" w:themeColor="accent3" w:themeShade="BF"/>
          <w:sz w:val="22"/>
          <w:szCs w:val="22"/>
          <w:lang w:val="en-GB"/>
        </w:rPr>
        <w:t>representatives</w:t>
      </w:r>
      <w:r w:rsidR="00DB4ABF">
        <w:rPr>
          <w:rFonts w:ascii="Arial" w:hAnsi="Arial" w:cs="Arial"/>
          <w:color w:val="7B7B7B" w:themeColor="accent3" w:themeShade="BF"/>
          <w:sz w:val="22"/>
          <w:szCs w:val="22"/>
          <w:lang w:val="en-GB"/>
        </w:rPr>
        <w:t>.</w:t>
      </w:r>
      <w:r w:rsidR="00134B01">
        <w:rPr>
          <w:rStyle w:val="FootnoteReference"/>
          <w:rFonts w:ascii="Arial" w:hAnsi="Arial" w:cs="Arial"/>
          <w:color w:val="7B7B7B" w:themeColor="accent3" w:themeShade="BF"/>
          <w:sz w:val="22"/>
          <w:szCs w:val="22"/>
          <w:lang w:val="en-GB"/>
        </w:rPr>
        <w:footnoteReference w:id="4"/>
      </w:r>
    </w:p>
    <w:p w14:paraId="7ED328C3" w14:textId="2C5DB80A" w:rsidR="00DB4ABF" w:rsidRDefault="00DB4ABF" w:rsidP="00B7193E">
      <w:pPr>
        <w:jc w:val="both"/>
        <w:rPr>
          <w:rFonts w:ascii="Arial" w:hAnsi="Arial" w:cs="Arial"/>
          <w:color w:val="7B7B7B" w:themeColor="accent3" w:themeShade="BF"/>
          <w:sz w:val="22"/>
          <w:szCs w:val="22"/>
          <w:lang w:val="en-GB"/>
        </w:rPr>
      </w:pPr>
    </w:p>
    <w:p w14:paraId="226A342C" w14:textId="1B9D2B88" w:rsidR="00DB0529" w:rsidRDefault="00DB0529" w:rsidP="00B7193E">
      <w:pPr>
        <w:jc w:val="both"/>
        <w:rPr>
          <w:rFonts w:ascii="Arial" w:hAnsi="Arial" w:cs="Arial"/>
          <w:color w:val="7B7B7B" w:themeColor="accent3" w:themeShade="BF"/>
          <w:sz w:val="22"/>
          <w:szCs w:val="22"/>
          <w:lang w:val="en-GB"/>
        </w:rPr>
      </w:pPr>
      <w:r w:rsidRPr="00DB0529">
        <w:rPr>
          <w:rFonts w:ascii="Arial" w:hAnsi="Arial" w:cs="Arial"/>
          <w:color w:val="7B7B7B" w:themeColor="accent3" w:themeShade="BF"/>
          <w:sz w:val="22"/>
          <w:szCs w:val="22"/>
          <w:lang w:val="en-GB"/>
        </w:rPr>
        <w:t>The presiding judges in the U</w:t>
      </w:r>
      <w:r w:rsidR="00B62B18">
        <w:rPr>
          <w:rFonts w:ascii="Arial" w:hAnsi="Arial" w:cs="Arial"/>
          <w:color w:val="7B7B7B" w:themeColor="accent3" w:themeShade="BF"/>
          <w:sz w:val="22"/>
          <w:szCs w:val="22"/>
          <w:lang w:val="en-GB"/>
        </w:rPr>
        <w:t xml:space="preserve">S </w:t>
      </w:r>
      <w:r w:rsidRPr="00DB0529">
        <w:rPr>
          <w:rFonts w:ascii="Arial" w:hAnsi="Arial" w:cs="Arial"/>
          <w:color w:val="7B7B7B" w:themeColor="accent3" w:themeShade="BF"/>
          <w:sz w:val="22"/>
          <w:szCs w:val="22"/>
          <w:lang w:val="en-GB"/>
        </w:rPr>
        <w:t>and England independently considered, in conjunction with legal counsel, the idea of a Cross-border Insolvency Agreement (</w:t>
      </w:r>
      <w:r w:rsidRPr="00DB0529">
        <w:rPr>
          <w:rFonts w:ascii="Arial" w:hAnsi="Arial" w:cs="Arial"/>
          <w:b/>
          <w:bCs/>
          <w:color w:val="7B7B7B" w:themeColor="accent3" w:themeShade="BF"/>
          <w:sz w:val="22"/>
          <w:szCs w:val="22"/>
          <w:lang w:val="en-GB"/>
        </w:rPr>
        <w:t>Agreement</w:t>
      </w:r>
      <w:r w:rsidRPr="00DB0529">
        <w:rPr>
          <w:rFonts w:ascii="Arial" w:hAnsi="Arial" w:cs="Arial"/>
          <w:color w:val="7B7B7B" w:themeColor="accent3" w:themeShade="BF"/>
          <w:sz w:val="22"/>
          <w:szCs w:val="22"/>
          <w:lang w:val="en-GB"/>
        </w:rPr>
        <w:t>) between the two insolvency</w:t>
      </w:r>
      <w:r w:rsidR="006467CC">
        <w:rPr>
          <w:rFonts w:ascii="Arial" w:hAnsi="Arial" w:cs="Arial"/>
          <w:color w:val="7B7B7B" w:themeColor="accent3" w:themeShade="BF"/>
          <w:sz w:val="22"/>
          <w:szCs w:val="22"/>
          <w:lang w:val="en-GB"/>
        </w:rPr>
        <w:t xml:space="preserve"> proceedings</w:t>
      </w:r>
      <w:r w:rsidRPr="00DB0529">
        <w:rPr>
          <w:rFonts w:ascii="Arial" w:hAnsi="Arial" w:cs="Arial"/>
          <w:color w:val="7B7B7B" w:themeColor="accent3" w:themeShade="BF"/>
          <w:sz w:val="22"/>
          <w:szCs w:val="22"/>
          <w:lang w:val="en-GB"/>
        </w:rPr>
        <w:t xml:space="preserve"> to “resolve conflicts and facilitate the exchange of information.”</w:t>
      </w:r>
      <w:r>
        <w:rPr>
          <w:rFonts w:ascii="Arial" w:hAnsi="Arial" w:cs="Arial"/>
          <w:color w:val="7B7B7B" w:themeColor="accent3" w:themeShade="BF"/>
          <w:sz w:val="22"/>
          <w:szCs w:val="22"/>
          <w:lang w:val="en-GB"/>
        </w:rPr>
        <w:t xml:space="preserve">  </w:t>
      </w:r>
      <w:r w:rsidRPr="00DB0529">
        <w:rPr>
          <w:rFonts w:ascii="Arial" w:hAnsi="Arial" w:cs="Arial"/>
          <w:color w:val="7B7B7B" w:themeColor="accent3" w:themeShade="BF"/>
          <w:sz w:val="22"/>
          <w:szCs w:val="22"/>
          <w:lang w:val="en-GB"/>
        </w:rPr>
        <w:t>The Agreement provided for two main goals: “maximizing the value of the estate and harmonizing the proceedings to minimize expense, waste and jurisdictional conflict.”</w:t>
      </w:r>
      <w:r>
        <w:rPr>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5"/>
      </w:r>
    </w:p>
    <w:p w14:paraId="09E99DF2" w14:textId="77777777" w:rsidR="00DB0529" w:rsidRDefault="00DB0529" w:rsidP="00B7193E">
      <w:pPr>
        <w:jc w:val="both"/>
        <w:rPr>
          <w:rFonts w:ascii="Arial" w:hAnsi="Arial" w:cs="Arial"/>
          <w:color w:val="7B7B7B" w:themeColor="accent3" w:themeShade="BF"/>
          <w:sz w:val="22"/>
          <w:szCs w:val="22"/>
          <w:lang w:val="en-GB"/>
        </w:rPr>
      </w:pPr>
    </w:p>
    <w:p w14:paraId="4B012800" w14:textId="732B82CC" w:rsidR="00DB4ABF" w:rsidRDefault="00DB4AB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the UNCITRAL Practice Guide on Cross-Border Insolvency Cooperation</w:t>
      </w:r>
      <w:r w:rsidR="00DB0529">
        <w:rPr>
          <w:rFonts w:ascii="Arial" w:hAnsi="Arial" w:cs="Arial"/>
          <w:color w:val="7B7B7B" w:themeColor="accent3" w:themeShade="BF"/>
          <w:sz w:val="22"/>
          <w:szCs w:val="22"/>
          <w:lang w:val="en-GB"/>
        </w:rPr>
        <w:t>, the Agreement included the following provisions</w:t>
      </w:r>
      <w:r>
        <w:rPr>
          <w:rFonts w:ascii="Arial" w:hAnsi="Arial" w:cs="Arial"/>
          <w:color w:val="7B7B7B" w:themeColor="accent3" w:themeShade="BF"/>
          <w:sz w:val="22"/>
          <w:szCs w:val="22"/>
          <w:lang w:val="en-GB"/>
        </w:rPr>
        <w:t>:</w:t>
      </w:r>
      <w:r w:rsidR="00134B01">
        <w:rPr>
          <w:rStyle w:val="FootnoteReference"/>
          <w:rFonts w:ascii="Arial" w:hAnsi="Arial" w:cs="Arial"/>
          <w:color w:val="7B7B7B" w:themeColor="accent3" w:themeShade="BF"/>
          <w:sz w:val="22"/>
          <w:szCs w:val="22"/>
          <w:lang w:val="en-GB"/>
        </w:rPr>
        <w:footnoteReference w:id="6"/>
      </w:r>
    </w:p>
    <w:p w14:paraId="7F982450" w14:textId="77777777" w:rsidR="00134B01" w:rsidRDefault="00134B01" w:rsidP="00B7193E">
      <w:pPr>
        <w:jc w:val="both"/>
        <w:rPr>
          <w:rFonts w:ascii="Arial" w:hAnsi="Arial" w:cs="Arial"/>
          <w:color w:val="7B7B7B" w:themeColor="accent3" w:themeShade="BF"/>
          <w:sz w:val="22"/>
          <w:szCs w:val="22"/>
          <w:lang w:val="en-GB"/>
        </w:rPr>
      </w:pPr>
    </w:p>
    <w:p w14:paraId="5FD9A5B2" w14:textId="0DF76AD2" w:rsidR="00DB0529" w:rsidRDefault="00DB0529" w:rsidP="00134B0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existing management would be retained in the interests of maintaining the debtor’s going concern value;</w:t>
      </w:r>
    </w:p>
    <w:p w14:paraId="4E618DE2" w14:textId="77777777" w:rsidR="007A25B6" w:rsidRDefault="007A25B6" w:rsidP="007A25B6">
      <w:pPr>
        <w:pStyle w:val="ListParagraph"/>
        <w:jc w:val="both"/>
        <w:rPr>
          <w:rFonts w:ascii="Arial" w:hAnsi="Arial" w:cs="Arial"/>
          <w:color w:val="7B7B7B" w:themeColor="accent3" w:themeShade="BF"/>
          <w:sz w:val="22"/>
          <w:szCs w:val="22"/>
          <w:lang w:val="en-GB"/>
        </w:rPr>
      </w:pPr>
    </w:p>
    <w:p w14:paraId="06169F33" w14:textId="75EE3483" w:rsidR="00DB0529" w:rsidRDefault="00DB0529" w:rsidP="00134B0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insolvency representatives should only incur debt or file a reorganization plan with the consent of the U</w:t>
      </w:r>
      <w:r w:rsidR="00B62B1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insolvency representative or the </w:t>
      </w:r>
      <w:r w:rsidR="00B62B18">
        <w:rPr>
          <w:rFonts w:ascii="Arial" w:hAnsi="Arial" w:cs="Arial"/>
          <w:color w:val="7B7B7B" w:themeColor="accent3" w:themeShade="BF"/>
          <w:sz w:val="22"/>
          <w:szCs w:val="22"/>
          <w:lang w:val="en-GB"/>
        </w:rPr>
        <w:t>US</w:t>
      </w:r>
      <w:r>
        <w:rPr>
          <w:rFonts w:ascii="Arial" w:hAnsi="Arial" w:cs="Arial"/>
          <w:color w:val="7B7B7B" w:themeColor="accent3" w:themeShade="BF"/>
          <w:sz w:val="22"/>
          <w:szCs w:val="22"/>
          <w:lang w:val="en-GB"/>
        </w:rPr>
        <w:t xml:space="preserve"> Court; and,</w:t>
      </w:r>
    </w:p>
    <w:p w14:paraId="2F5A0453" w14:textId="77777777" w:rsidR="007A25B6" w:rsidRDefault="007A25B6" w:rsidP="007A25B6">
      <w:pPr>
        <w:pStyle w:val="ListParagraph"/>
        <w:jc w:val="both"/>
        <w:rPr>
          <w:rFonts w:ascii="Arial" w:hAnsi="Arial" w:cs="Arial"/>
          <w:color w:val="7B7B7B" w:themeColor="accent3" w:themeShade="BF"/>
          <w:sz w:val="22"/>
          <w:szCs w:val="22"/>
          <w:lang w:val="en-GB"/>
        </w:rPr>
      </w:pPr>
    </w:p>
    <w:p w14:paraId="78656061" w14:textId="0F8D0087" w:rsidR="00DB0529" w:rsidRDefault="00DB0529" w:rsidP="00134B0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insolvency representatives should give prior notice to the </w:t>
      </w:r>
      <w:r w:rsidR="00B62B18">
        <w:rPr>
          <w:rFonts w:ascii="Arial" w:hAnsi="Arial" w:cs="Arial"/>
          <w:color w:val="7B7B7B" w:themeColor="accent3" w:themeShade="BF"/>
          <w:sz w:val="22"/>
          <w:szCs w:val="22"/>
          <w:lang w:val="en-GB"/>
        </w:rPr>
        <w:t>US</w:t>
      </w:r>
      <w:r>
        <w:rPr>
          <w:rFonts w:ascii="Arial" w:hAnsi="Arial" w:cs="Arial"/>
          <w:color w:val="7B7B7B" w:themeColor="accent3" w:themeShade="BF"/>
          <w:sz w:val="22"/>
          <w:szCs w:val="22"/>
          <w:lang w:val="en-GB"/>
        </w:rPr>
        <w:t xml:space="preserve"> insolvency representative before undertaking any major transactions on behalf of the debtor.</w:t>
      </w:r>
    </w:p>
    <w:p w14:paraId="5408388F" w14:textId="6B235C06" w:rsidR="00DB0529" w:rsidRDefault="00DB0529" w:rsidP="00DB0529">
      <w:pPr>
        <w:jc w:val="both"/>
        <w:rPr>
          <w:rFonts w:ascii="Arial" w:hAnsi="Arial" w:cs="Arial"/>
          <w:color w:val="7B7B7B" w:themeColor="accent3" w:themeShade="BF"/>
          <w:sz w:val="22"/>
          <w:szCs w:val="22"/>
          <w:lang w:val="en-GB"/>
        </w:rPr>
      </w:pPr>
    </w:p>
    <w:p w14:paraId="468E4592" w14:textId="2DE7ADFA" w:rsidR="00D458C5" w:rsidRPr="00D458C5" w:rsidRDefault="00DB0529" w:rsidP="00D458C5">
      <w:pPr>
        <w:jc w:val="both"/>
        <w:rPr>
          <w:rFonts w:ascii="Arial" w:hAnsi="Arial" w:cs="Arial"/>
          <w:sz w:val="22"/>
          <w:szCs w:val="22"/>
          <w:lang w:val="en-GB"/>
        </w:rPr>
      </w:pPr>
      <w:r>
        <w:rPr>
          <w:rFonts w:ascii="Arial" w:hAnsi="Arial" w:cs="Arial"/>
          <w:color w:val="7B7B7B" w:themeColor="accent3" w:themeShade="BF"/>
          <w:sz w:val="22"/>
          <w:szCs w:val="22"/>
          <w:lang w:val="en-GB"/>
        </w:rPr>
        <w:t xml:space="preserve">During the </w:t>
      </w:r>
      <w:r w:rsidR="00D458C5">
        <w:rPr>
          <w:rFonts w:ascii="Arial" w:hAnsi="Arial" w:cs="Arial"/>
          <w:color w:val="7B7B7B" w:themeColor="accent3" w:themeShade="BF"/>
          <w:sz w:val="22"/>
          <w:szCs w:val="22"/>
          <w:lang w:val="en-GB"/>
        </w:rPr>
        <w:t xml:space="preserve">course of the proceedings, </w:t>
      </w:r>
      <w:r w:rsidR="006467CC">
        <w:rPr>
          <w:rFonts w:ascii="Arial" w:hAnsi="Arial" w:cs="Arial"/>
          <w:color w:val="7B7B7B" w:themeColor="accent3" w:themeShade="BF"/>
          <w:sz w:val="22"/>
          <w:szCs w:val="22"/>
          <w:lang w:val="en-GB"/>
        </w:rPr>
        <w:t>addendums</w:t>
      </w:r>
      <w:r w:rsidR="00D458C5">
        <w:rPr>
          <w:rFonts w:ascii="Arial" w:hAnsi="Arial" w:cs="Arial"/>
          <w:color w:val="7B7B7B" w:themeColor="accent3" w:themeShade="BF"/>
          <w:sz w:val="22"/>
          <w:szCs w:val="22"/>
          <w:lang w:val="en-GB"/>
        </w:rPr>
        <w:t xml:space="preserve"> were made to the Agreement to address other issues </w:t>
      </w:r>
      <w:r w:rsidR="006467CC">
        <w:rPr>
          <w:rFonts w:ascii="Arial" w:hAnsi="Arial" w:cs="Arial"/>
          <w:color w:val="7B7B7B" w:themeColor="accent3" w:themeShade="BF"/>
          <w:sz w:val="22"/>
          <w:szCs w:val="22"/>
          <w:lang w:val="en-GB"/>
        </w:rPr>
        <w:t xml:space="preserve">subsequently </w:t>
      </w:r>
      <w:r w:rsidR="00D458C5">
        <w:rPr>
          <w:rFonts w:ascii="Arial" w:hAnsi="Arial" w:cs="Arial"/>
          <w:color w:val="7B7B7B" w:themeColor="accent3" w:themeShade="BF"/>
          <w:sz w:val="22"/>
          <w:szCs w:val="22"/>
          <w:lang w:val="en-GB"/>
        </w:rPr>
        <w:t>encountered such as those relating to distributions.</w:t>
      </w:r>
      <w:r w:rsidR="00D458C5">
        <w:rPr>
          <w:rStyle w:val="FootnoteReference"/>
          <w:rFonts w:ascii="Arial" w:hAnsi="Arial" w:cs="Arial"/>
          <w:color w:val="7B7B7B" w:themeColor="accent3" w:themeShade="BF"/>
          <w:sz w:val="22"/>
          <w:szCs w:val="22"/>
          <w:lang w:val="en-GB"/>
        </w:rPr>
        <w:footnoteReference w:id="7"/>
      </w:r>
      <w:r w:rsidR="00D458C5">
        <w:rPr>
          <w:rFonts w:ascii="Arial" w:hAnsi="Arial" w:cs="Arial"/>
          <w:color w:val="7B7B7B" w:themeColor="accent3" w:themeShade="BF"/>
          <w:sz w:val="22"/>
          <w:szCs w:val="22"/>
          <w:lang w:val="en-GB"/>
        </w:rPr>
        <w:t xml:space="preserve">  The case of </w:t>
      </w:r>
      <w:r w:rsidR="00D458C5">
        <w:rPr>
          <w:rFonts w:ascii="Arial" w:hAnsi="Arial" w:cs="Arial"/>
          <w:i/>
          <w:iCs/>
          <w:color w:val="7B7B7B" w:themeColor="accent3" w:themeShade="BF"/>
          <w:sz w:val="22"/>
          <w:szCs w:val="22"/>
          <w:lang w:val="en-GB"/>
        </w:rPr>
        <w:t xml:space="preserve">Maxwell Communications Corporation plc </w:t>
      </w:r>
      <w:r w:rsidR="00D458C5">
        <w:rPr>
          <w:rFonts w:ascii="Arial" w:hAnsi="Arial" w:cs="Arial"/>
          <w:color w:val="7B7B7B" w:themeColor="accent3" w:themeShade="BF"/>
          <w:sz w:val="22"/>
          <w:szCs w:val="22"/>
          <w:lang w:val="en-GB"/>
        </w:rPr>
        <w:t xml:space="preserve">therefore provided a good example of how such voluntarily agreed upon Cross-border Insolvency Agreements can greatly aid in the co-operation and co-ordination between </w:t>
      </w:r>
      <w:r w:rsidR="006467CC">
        <w:rPr>
          <w:rFonts w:ascii="Arial" w:hAnsi="Arial" w:cs="Arial"/>
          <w:color w:val="7B7B7B" w:themeColor="accent3" w:themeShade="BF"/>
          <w:sz w:val="22"/>
          <w:szCs w:val="22"/>
          <w:lang w:val="en-GB"/>
        </w:rPr>
        <w:t xml:space="preserve">parallel </w:t>
      </w:r>
      <w:r w:rsidR="00D458C5">
        <w:rPr>
          <w:rFonts w:ascii="Arial" w:hAnsi="Arial" w:cs="Arial"/>
          <w:color w:val="7B7B7B" w:themeColor="accent3" w:themeShade="BF"/>
          <w:sz w:val="22"/>
          <w:szCs w:val="22"/>
          <w:lang w:val="en-GB"/>
        </w:rPr>
        <w:t xml:space="preserve">insolvency </w:t>
      </w:r>
      <w:r w:rsidR="006467CC">
        <w:rPr>
          <w:rFonts w:ascii="Arial" w:hAnsi="Arial" w:cs="Arial"/>
          <w:color w:val="7B7B7B" w:themeColor="accent3" w:themeShade="BF"/>
          <w:sz w:val="22"/>
          <w:szCs w:val="22"/>
          <w:lang w:val="en-GB"/>
        </w:rPr>
        <w:t>proceedings</w:t>
      </w:r>
      <w:r w:rsidR="00D458C5">
        <w:rPr>
          <w:rFonts w:ascii="Arial" w:hAnsi="Arial" w:cs="Arial"/>
          <w:color w:val="7B7B7B" w:themeColor="accent3" w:themeShade="BF"/>
          <w:sz w:val="22"/>
          <w:szCs w:val="22"/>
          <w:lang w:val="en-GB"/>
        </w:rPr>
        <w:t xml:space="preserve"> in separate</w:t>
      </w:r>
      <w:r w:rsidR="006467CC">
        <w:rPr>
          <w:rFonts w:ascii="Arial" w:hAnsi="Arial" w:cs="Arial"/>
          <w:color w:val="7B7B7B" w:themeColor="accent3" w:themeShade="BF"/>
          <w:sz w:val="22"/>
          <w:szCs w:val="22"/>
          <w:lang w:val="en-GB"/>
        </w:rPr>
        <w:t xml:space="preserve"> jurisdictions</w:t>
      </w:r>
      <w:r w:rsidR="00D458C5">
        <w:rPr>
          <w:rFonts w:ascii="Arial" w:hAnsi="Arial" w:cs="Arial"/>
          <w:color w:val="7B7B7B" w:themeColor="accent3" w:themeShade="BF"/>
          <w:sz w:val="22"/>
          <w:szCs w:val="22"/>
          <w:lang w:val="en-GB"/>
        </w:rPr>
        <w:t>.</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EBFEEBE" w14:textId="77777777" w:rsidR="00AE0DFA" w:rsidRDefault="003264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w:t>
      </w:r>
      <w:r>
        <w:rPr>
          <w:rFonts w:ascii="Arial" w:hAnsi="Arial" w:cs="Arial"/>
          <w:b/>
          <w:bCs/>
          <w:color w:val="7B7B7B" w:themeColor="accent3" w:themeShade="BF"/>
          <w:sz w:val="22"/>
          <w:szCs w:val="22"/>
          <w:lang w:val="en-GB"/>
        </w:rPr>
        <w:t>EIR Recast</w:t>
      </w:r>
      <w:r>
        <w:rPr>
          <w:rFonts w:ascii="Arial" w:hAnsi="Arial" w:cs="Arial"/>
          <w:color w:val="7B7B7B" w:themeColor="accent3" w:themeShade="BF"/>
          <w:sz w:val="22"/>
          <w:szCs w:val="22"/>
          <w:lang w:val="en-GB"/>
        </w:rPr>
        <w:t>)</w:t>
      </w:r>
      <w:r w:rsidR="00E308A9">
        <w:rPr>
          <w:rFonts w:ascii="Arial" w:hAnsi="Arial" w:cs="Arial"/>
          <w:color w:val="7B7B7B" w:themeColor="accent3" w:themeShade="BF"/>
          <w:sz w:val="22"/>
          <w:szCs w:val="22"/>
          <w:lang w:val="en-GB"/>
        </w:rPr>
        <w:t xml:space="preserve"> applied to the UK up until 11pm on 31 December 2020 following its exit from the European Union</w:t>
      </w:r>
      <w:r w:rsidR="00AE0DFA">
        <w:rPr>
          <w:rFonts w:ascii="Arial" w:hAnsi="Arial" w:cs="Arial"/>
          <w:color w:val="7B7B7B" w:themeColor="accent3" w:themeShade="BF"/>
          <w:sz w:val="22"/>
          <w:szCs w:val="22"/>
          <w:lang w:val="en-GB"/>
        </w:rPr>
        <w:t xml:space="preserve"> (</w:t>
      </w:r>
      <w:r w:rsidR="00AE0DFA">
        <w:rPr>
          <w:rFonts w:ascii="Arial" w:hAnsi="Arial" w:cs="Arial"/>
          <w:b/>
          <w:bCs/>
          <w:color w:val="7B7B7B" w:themeColor="accent3" w:themeShade="BF"/>
          <w:sz w:val="22"/>
          <w:szCs w:val="22"/>
          <w:lang w:val="en-GB"/>
        </w:rPr>
        <w:t>EU</w:t>
      </w:r>
      <w:r w:rsidR="00AE0DFA">
        <w:rPr>
          <w:rFonts w:ascii="Arial" w:hAnsi="Arial" w:cs="Arial"/>
          <w:color w:val="7B7B7B" w:themeColor="accent3" w:themeShade="BF"/>
          <w:sz w:val="22"/>
          <w:szCs w:val="22"/>
          <w:lang w:val="en-GB"/>
        </w:rPr>
        <w:t>)</w:t>
      </w:r>
      <w:r w:rsidR="00E308A9">
        <w:rPr>
          <w:rFonts w:ascii="Arial" w:hAnsi="Arial" w:cs="Arial"/>
          <w:color w:val="7B7B7B" w:themeColor="accent3" w:themeShade="BF"/>
          <w:sz w:val="22"/>
          <w:szCs w:val="22"/>
          <w:lang w:val="en-GB"/>
        </w:rPr>
        <w:t xml:space="preserve">.  As such the EIR Recast would apply to insolvency proceedings </w:t>
      </w:r>
      <w:r w:rsidR="006F5C5E">
        <w:rPr>
          <w:rFonts w:ascii="Arial" w:hAnsi="Arial" w:cs="Arial"/>
          <w:color w:val="7B7B7B" w:themeColor="accent3" w:themeShade="BF"/>
          <w:sz w:val="22"/>
          <w:szCs w:val="22"/>
          <w:lang w:val="en-GB"/>
        </w:rPr>
        <w:t xml:space="preserve">commenced in the </w:t>
      </w:r>
      <w:r w:rsidR="00E308A9">
        <w:rPr>
          <w:rFonts w:ascii="Arial" w:hAnsi="Arial" w:cs="Arial"/>
          <w:color w:val="7B7B7B" w:themeColor="accent3" w:themeShade="BF"/>
          <w:sz w:val="22"/>
          <w:szCs w:val="22"/>
          <w:lang w:val="en-GB"/>
        </w:rPr>
        <w:t>UK prior to then.  In this scenario, the insolvency proceeding against Rydell was opened in the UK on 18 June 2020 which would result in the EIR Recast applying.</w:t>
      </w:r>
      <w:r w:rsidR="007973A7">
        <w:rPr>
          <w:rFonts w:ascii="Arial" w:hAnsi="Arial" w:cs="Arial"/>
          <w:color w:val="7B7B7B" w:themeColor="accent3" w:themeShade="BF"/>
          <w:sz w:val="22"/>
          <w:szCs w:val="22"/>
          <w:lang w:val="en-GB"/>
        </w:rPr>
        <w:t xml:space="preserve">  </w:t>
      </w:r>
    </w:p>
    <w:p w14:paraId="69C0DE9C" w14:textId="77777777" w:rsidR="00AE0DFA" w:rsidRDefault="00AE0DFA" w:rsidP="00B7193E">
      <w:pPr>
        <w:jc w:val="both"/>
        <w:rPr>
          <w:rFonts w:ascii="Arial" w:hAnsi="Arial" w:cs="Arial"/>
          <w:color w:val="7B7B7B" w:themeColor="accent3" w:themeShade="BF"/>
          <w:sz w:val="22"/>
          <w:szCs w:val="22"/>
          <w:lang w:val="en-GB"/>
        </w:rPr>
      </w:pPr>
    </w:p>
    <w:p w14:paraId="0D37BBBB" w14:textId="6BEB23CC" w:rsidR="002F75A3" w:rsidRDefault="007973A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would be referred to if the question of recognition and enforcement of </w:t>
      </w:r>
      <w:r w:rsidR="00AE0DFA">
        <w:rPr>
          <w:rFonts w:ascii="Arial" w:hAnsi="Arial" w:cs="Arial"/>
          <w:color w:val="7B7B7B" w:themeColor="accent3" w:themeShade="BF"/>
          <w:sz w:val="22"/>
          <w:szCs w:val="22"/>
          <w:lang w:val="en-GB"/>
        </w:rPr>
        <w:t>insolvency related matters (such as judgments) between the UK and other member States of the EU arose.  In other words, the EIR Recast would assist in the co-ordination and co-operation between member States of the EU as it relates to the insolvency proceedings of Rydell.</w:t>
      </w:r>
    </w:p>
    <w:p w14:paraId="60A5D2FA" w14:textId="549BA573" w:rsidR="00E308A9" w:rsidRDefault="00E308A9" w:rsidP="00B7193E">
      <w:pPr>
        <w:jc w:val="both"/>
        <w:rPr>
          <w:rFonts w:ascii="Arial" w:hAnsi="Arial" w:cs="Arial"/>
          <w:color w:val="7B7B7B" w:themeColor="accent3" w:themeShade="BF"/>
          <w:sz w:val="22"/>
          <w:szCs w:val="22"/>
          <w:lang w:val="en-GB"/>
        </w:rPr>
      </w:pPr>
    </w:p>
    <w:p w14:paraId="72270471" w14:textId="29256277" w:rsidR="00E308A9" w:rsidRDefault="00E308A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Rydell’s centre of main interest is in the UK.  </w:t>
      </w:r>
      <w:r w:rsidR="00594F6F">
        <w:rPr>
          <w:rFonts w:ascii="Arial" w:hAnsi="Arial" w:cs="Arial"/>
          <w:color w:val="7B7B7B" w:themeColor="accent3" w:themeShade="BF"/>
          <w:sz w:val="22"/>
          <w:szCs w:val="22"/>
          <w:lang w:val="en-GB"/>
        </w:rPr>
        <w:t>The EIR Recast would therefore designate the UK as the primary jurisdiction as it relates to the insolvency proceedings.</w:t>
      </w:r>
      <w:r w:rsidR="006F5C5E">
        <w:rPr>
          <w:rFonts w:ascii="Arial" w:hAnsi="Arial" w:cs="Arial"/>
          <w:color w:val="7B7B7B" w:themeColor="accent3" w:themeShade="BF"/>
          <w:sz w:val="22"/>
          <w:szCs w:val="22"/>
          <w:lang w:val="en-GB"/>
        </w:rPr>
        <w:t xml:space="preserve">  This is also known as the main insolvency proceedings.</w:t>
      </w:r>
      <w:r w:rsidR="00742156">
        <w:rPr>
          <w:rFonts w:ascii="Arial" w:hAnsi="Arial" w:cs="Arial"/>
          <w:color w:val="7B7B7B" w:themeColor="accent3" w:themeShade="BF"/>
          <w:sz w:val="22"/>
          <w:szCs w:val="22"/>
          <w:lang w:val="en-GB"/>
        </w:rPr>
        <w:t xml:space="preserve">  According to the EIR Recast, “[main insolvency] proceedings have universal scope and are aimed at encompassing all the debtor’s assets</w:t>
      </w:r>
      <w:r w:rsidR="007973A7">
        <w:rPr>
          <w:rFonts w:ascii="Arial" w:hAnsi="Arial" w:cs="Arial"/>
          <w:color w:val="7B7B7B" w:themeColor="accent3" w:themeShade="BF"/>
          <w:sz w:val="22"/>
          <w:szCs w:val="22"/>
          <w:lang w:val="en-GB"/>
        </w:rPr>
        <w:t>.”</w:t>
      </w:r>
    </w:p>
    <w:p w14:paraId="10F01D27" w14:textId="669B0894" w:rsidR="00594F6F" w:rsidRDefault="00594F6F" w:rsidP="00B7193E">
      <w:pPr>
        <w:jc w:val="both"/>
        <w:rPr>
          <w:rFonts w:ascii="Arial" w:hAnsi="Arial" w:cs="Arial"/>
          <w:color w:val="7B7B7B" w:themeColor="accent3" w:themeShade="BF"/>
          <w:sz w:val="22"/>
          <w:szCs w:val="22"/>
          <w:lang w:val="en-GB"/>
        </w:rPr>
      </w:pPr>
    </w:p>
    <w:p w14:paraId="2DF52F13" w14:textId="5E915863" w:rsidR="00F63799" w:rsidRDefault="00594F6F" w:rsidP="00F637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allows for secondary insolvency proceedings to be opened </w:t>
      </w:r>
      <w:r w:rsidR="006F5C5E">
        <w:rPr>
          <w:rFonts w:ascii="Arial" w:hAnsi="Arial" w:cs="Arial"/>
          <w:color w:val="7B7B7B" w:themeColor="accent3" w:themeShade="BF"/>
          <w:sz w:val="22"/>
          <w:szCs w:val="22"/>
          <w:lang w:val="en-GB"/>
        </w:rPr>
        <w:t xml:space="preserve">after the commencement of the main insolvency proceedings </w:t>
      </w:r>
      <w:r>
        <w:rPr>
          <w:rFonts w:ascii="Arial" w:hAnsi="Arial" w:cs="Arial"/>
          <w:color w:val="7B7B7B" w:themeColor="accent3" w:themeShade="BF"/>
          <w:sz w:val="22"/>
          <w:szCs w:val="22"/>
          <w:lang w:val="en-GB"/>
        </w:rPr>
        <w:t xml:space="preserve">in another country in Europe which is a member of the EU.  However, the relevant court within that </w:t>
      </w:r>
      <w:r w:rsidR="00773770">
        <w:rPr>
          <w:rFonts w:ascii="Arial" w:hAnsi="Arial" w:cs="Arial"/>
          <w:color w:val="7B7B7B" w:themeColor="accent3" w:themeShade="BF"/>
          <w:sz w:val="22"/>
          <w:szCs w:val="22"/>
          <w:lang w:val="en-GB"/>
        </w:rPr>
        <w:t>member State</w:t>
      </w:r>
      <w:r>
        <w:rPr>
          <w:rFonts w:ascii="Arial" w:hAnsi="Arial" w:cs="Arial"/>
          <w:color w:val="7B7B7B" w:themeColor="accent3" w:themeShade="BF"/>
          <w:sz w:val="22"/>
          <w:szCs w:val="22"/>
          <w:lang w:val="en-GB"/>
        </w:rPr>
        <w:t xml:space="preserve"> would have to </w:t>
      </w:r>
      <w:r w:rsidR="00F63799">
        <w:rPr>
          <w:rFonts w:ascii="Arial" w:hAnsi="Arial" w:cs="Arial"/>
          <w:color w:val="7B7B7B" w:themeColor="accent3" w:themeShade="BF"/>
          <w:sz w:val="22"/>
          <w:szCs w:val="22"/>
          <w:lang w:val="en-GB"/>
        </w:rPr>
        <w:t>determine a number of items in accordance with the EIR Recast including</w:t>
      </w:r>
      <w:r w:rsidR="00F63799" w:rsidRPr="006F5C5E">
        <w:rPr>
          <w:rFonts w:ascii="Arial" w:hAnsi="Arial" w:cs="Arial"/>
          <w:color w:val="7B7B7B" w:themeColor="accent3" w:themeShade="BF"/>
          <w:sz w:val="22"/>
          <w:szCs w:val="22"/>
          <w:lang w:val="en-GB"/>
        </w:rPr>
        <w:t xml:space="preserve"> whether Rydell</w:t>
      </w:r>
      <w:r w:rsidR="00773770">
        <w:rPr>
          <w:rFonts w:ascii="Arial" w:hAnsi="Arial" w:cs="Arial"/>
          <w:color w:val="7B7B7B" w:themeColor="accent3" w:themeShade="BF"/>
          <w:sz w:val="22"/>
          <w:szCs w:val="22"/>
          <w:lang w:val="en-GB"/>
        </w:rPr>
        <w:t xml:space="preserve"> has an </w:t>
      </w:r>
      <w:r w:rsidR="00F63799" w:rsidRPr="006F5C5E">
        <w:rPr>
          <w:rFonts w:ascii="Arial" w:hAnsi="Arial" w:cs="Arial"/>
          <w:color w:val="7B7B7B" w:themeColor="accent3" w:themeShade="BF"/>
          <w:sz w:val="22"/>
          <w:szCs w:val="22"/>
          <w:lang w:val="en-GB"/>
        </w:rPr>
        <w:t>establishment located within its jurisdiction. According to Article 2.10 of the EIR Recast, establishment means “any place of operations where a debtor carries out or has carried out in the 3-month period prior to the request to open main insolvency proceedings a non-transitory economic activity with human means and assets.”</w:t>
      </w:r>
      <w:r w:rsidR="007973A7">
        <w:rPr>
          <w:rFonts w:ascii="Arial" w:hAnsi="Arial" w:cs="Arial"/>
          <w:color w:val="7B7B7B" w:themeColor="accent3" w:themeShade="BF"/>
          <w:sz w:val="22"/>
          <w:szCs w:val="22"/>
          <w:lang w:val="en-GB"/>
        </w:rPr>
        <w:t xml:space="preserve">  The EIR Recast clarifies that, “[the] effects of secondary insolvency proceedings are limited to the assets located in the State.”</w:t>
      </w:r>
    </w:p>
    <w:p w14:paraId="08F8C508" w14:textId="4AAB6912" w:rsidR="00773770" w:rsidRDefault="00773770" w:rsidP="00F63799">
      <w:pPr>
        <w:jc w:val="both"/>
        <w:rPr>
          <w:rFonts w:ascii="Arial" w:hAnsi="Arial" w:cs="Arial"/>
          <w:color w:val="7B7B7B" w:themeColor="accent3" w:themeShade="BF"/>
          <w:sz w:val="22"/>
          <w:szCs w:val="22"/>
          <w:lang w:val="en-GB"/>
        </w:rPr>
      </w:pPr>
    </w:p>
    <w:p w14:paraId="5C664DC7" w14:textId="6CD8F930" w:rsidR="006B7F4C" w:rsidRDefault="00773770" w:rsidP="00F637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 classification of a creditor as being minor (as the petitioning creditor in the UK) or major (as Fernz) does not impact on </w:t>
      </w:r>
      <w:r w:rsidR="000C0F01">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ability to </w:t>
      </w:r>
      <w:r w:rsidR="006B7F4C">
        <w:rPr>
          <w:rFonts w:ascii="Arial" w:hAnsi="Arial" w:cs="Arial"/>
          <w:color w:val="7B7B7B" w:themeColor="accent3" w:themeShade="BF"/>
          <w:sz w:val="22"/>
          <w:szCs w:val="22"/>
          <w:lang w:val="en-GB"/>
        </w:rPr>
        <w:t xml:space="preserve">petition for the opening of insolvency proceedings.  The classification of main and secondary </w:t>
      </w:r>
      <w:r w:rsidR="000C0F01">
        <w:rPr>
          <w:rFonts w:ascii="Arial" w:hAnsi="Arial" w:cs="Arial"/>
          <w:color w:val="7B7B7B" w:themeColor="accent3" w:themeShade="BF"/>
          <w:sz w:val="22"/>
          <w:szCs w:val="22"/>
          <w:lang w:val="en-GB"/>
        </w:rPr>
        <w:t xml:space="preserve">proceedings </w:t>
      </w:r>
      <w:r w:rsidR="006B7F4C">
        <w:rPr>
          <w:rFonts w:ascii="Arial" w:hAnsi="Arial" w:cs="Arial"/>
          <w:color w:val="7B7B7B" w:themeColor="accent3" w:themeShade="BF"/>
          <w:sz w:val="22"/>
          <w:szCs w:val="22"/>
          <w:lang w:val="en-GB"/>
        </w:rPr>
        <w:t xml:space="preserve">revolves around Rydell’s centre of main interest rather than the quantum of a creditor’s claim.  </w:t>
      </w:r>
    </w:p>
    <w:p w14:paraId="56375029" w14:textId="77777777" w:rsidR="006B7F4C" w:rsidRDefault="006B7F4C" w:rsidP="00F63799">
      <w:pPr>
        <w:jc w:val="both"/>
        <w:rPr>
          <w:rFonts w:ascii="Arial" w:hAnsi="Arial" w:cs="Arial"/>
          <w:color w:val="7B7B7B" w:themeColor="accent3" w:themeShade="BF"/>
          <w:sz w:val="22"/>
          <w:szCs w:val="22"/>
          <w:lang w:val="en-GB"/>
        </w:rPr>
      </w:pPr>
    </w:p>
    <w:p w14:paraId="2CEAB4FA" w14:textId="70DEDE39" w:rsidR="00773770" w:rsidRPr="00F63799" w:rsidRDefault="006B7F4C" w:rsidP="00F637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For completeness, </w:t>
      </w:r>
      <w:r w:rsidR="00773770">
        <w:rPr>
          <w:rFonts w:ascii="Arial" w:hAnsi="Arial" w:cs="Arial"/>
          <w:color w:val="7B7B7B" w:themeColor="accent3" w:themeShade="BF"/>
          <w:sz w:val="22"/>
          <w:szCs w:val="22"/>
          <w:lang w:val="en-GB"/>
        </w:rPr>
        <w:t>Article 45.1 of the EIR Recast says, “Any creditor may lodge its claim in the main insolvency proceedings and in any secondary insolvency proceedings.”</w:t>
      </w:r>
      <w:r w:rsidR="000C0F01">
        <w:rPr>
          <w:rFonts w:ascii="Arial" w:hAnsi="Arial" w:cs="Arial"/>
          <w:color w:val="7B7B7B" w:themeColor="accent3" w:themeShade="BF"/>
          <w:sz w:val="22"/>
          <w:szCs w:val="22"/>
          <w:lang w:val="en-GB"/>
        </w:rPr>
        <w:t xml:space="preserve">  Therefore, all creditors of Rydell would be able to lodge claims in the main insolvency proceedings as well as the secondary insolvency proceedings should Fernz successfully open one.</w:t>
      </w:r>
    </w:p>
    <w:p w14:paraId="764A14A5" w14:textId="2E558999" w:rsidR="00F63799" w:rsidRPr="006F5C5E" w:rsidRDefault="00F63799" w:rsidP="00F63799">
      <w:pPr>
        <w:jc w:val="both"/>
        <w:rPr>
          <w:rFonts w:ascii="Arial" w:hAnsi="Arial" w:cs="Arial"/>
          <w:color w:val="7B7B7B" w:themeColor="accent3" w:themeShade="BF"/>
          <w:sz w:val="22"/>
          <w:szCs w:val="22"/>
          <w:lang w:val="en-GB"/>
        </w:rPr>
      </w:pPr>
    </w:p>
    <w:p w14:paraId="228C8C89" w14:textId="735E1BF3" w:rsidR="00F63799" w:rsidRDefault="00F63799" w:rsidP="00F63799">
      <w:pPr>
        <w:jc w:val="both"/>
        <w:rPr>
          <w:rFonts w:ascii="Arial" w:hAnsi="Arial" w:cs="Arial"/>
          <w:color w:val="7B7B7B" w:themeColor="accent3" w:themeShade="BF"/>
          <w:sz w:val="22"/>
          <w:szCs w:val="22"/>
          <w:lang w:val="en-GB"/>
        </w:rPr>
      </w:pPr>
      <w:r w:rsidRPr="006F5C5E">
        <w:rPr>
          <w:rFonts w:ascii="Arial" w:hAnsi="Arial" w:cs="Arial"/>
          <w:color w:val="7B7B7B" w:themeColor="accent3" w:themeShade="BF"/>
          <w:sz w:val="22"/>
          <w:szCs w:val="22"/>
          <w:lang w:val="en-GB"/>
        </w:rPr>
        <w:t>Some further information that I would require to fully consider this question includes the following:</w:t>
      </w:r>
    </w:p>
    <w:p w14:paraId="7C633368" w14:textId="77777777" w:rsidR="007973A7" w:rsidRPr="006F5C5E" w:rsidRDefault="007973A7" w:rsidP="00F63799">
      <w:pPr>
        <w:jc w:val="both"/>
        <w:rPr>
          <w:rFonts w:ascii="Arial" w:hAnsi="Arial" w:cs="Arial"/>
          <w:color w:val="7B7B7B" w:themeColor="accent3" w:themeShade="BF"/>
          <w:sz w:val="22"/>
          <w:szCs w:val="22"/>
          <w:lang w:val="en-GB"/>
        </w:rPr>
      </w:pPr>
    </w:p>
    <w:p w14:paraId="00867B56" w14:textId="3C8A5E34" w:rsidR="00F63799" w:rsidRPr="006F5C5E" w:rsidRDefault="00F63799" w:rsidP="00F63799">
      <w:pPr>
        <w:pStyle w:val="ListParagraph"/>
        <w:numPr>
          <w:ilvl w:val="0"/>
          <w:numId w:val="25"/>
        </w:numPr>
        <w:jc w:val="both"/>
        <w:rPr>
          <w:rFonts w:ascii="Arial" w:hAnsi="Arial" w:cs="Arial"/>
          <w:color w:val="7B7B7B" w:themeColor="accent3" w:themeShade="BF"/>
          <w:sz w:val="22"/>
          <w:szCs w:val="22"/>
          <w:lang w:val="en-GB"/>
        </w:rPr>
      </w:pPr>
      <w:r w:rsidRPr="006F5C5E">
        <w:rPr>
          <w:rFonts w:ascii="Arial" w:hAnsi="Arial" w:cs="Arial"/>
          <w:color w:val="7B7B7B" w:themeColor="accent3" w:themeShade="BF"/>
          <w:sz w:val="22"/>
          <w:szCs w:val="22"/>
          <w:lang w:val="en-GB"/>
        </w:rPr>
        <w:t>Confirmation of whether Rydell has an establishment in the country Fernz is considering opening proceedings.  This would determine Fernz’ ability to open proceedings in such country.</w:t>
      </w:r>
    </w:p>
    <w:p w14:paraId="26AFBC1F" w14:textId="77777777" w:rsidR="007973A7" w:rsidRDefault="007973A7" w:rsidP="007973A7">
      <w:pPr>
        <w:pStyle w:val="ListParagraph"/>
        <w:jc w:val="both"/>
        <w:rPr>
          <w:rFonts w:ascii="Arial" w:hAnsi="Arial" w:cs="Arial"/>
          <w:color w:val="7B7B7B" w:themeColor="accent3" w:themeShade="BF"/>
          <w:sz w:val="22"/>
          <w:szCs w:val="22"/>
          <w:lang w:val="en-GB"/>
        </w:rPr>
      </w:pPr>
    </w:p>
    <w:p w14:paraId="317DD6E7" w14:textId="366E23D3" w:rsidR="00126A4D" w:rsidRPr="006B7F4C" w:rsidRDefault="007973A7" w:rsidP="006B7F4C">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Confirmation of whether Rydell still has assets in the country Fernz is considering opening proceedings.  This would determine whether it is worthwhile for Fernz to open proceedings in such country.  If, for example, there were no assets remaining in that jurisdiction, </w:t>
      </w:r>
      <w:r w:rsidR="000C0F0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cost benefit analysis may result in Fernz deciding against opening secondary proceedings in that jurisdiction</w:t>
      </w:r>
      <w:r w:rsidR="000C0F01">
        <w:rPr>
          <w:rFonts w:ascii="Arial" w:hAnsi="Arial" w:cs="Arial"/>
          <w:color w:val="7B7B7B" w:themeColor="accent3" w:themeShade="BF"/>
          <w:sz w:val="22"/>
          <w:szCs w:val="22"/>
          <w:lang w:val="en-GB"/>
        </w:rPr>
        <w:t xml:space="preserve"> and simply claiming in the main insolvency proceedings.</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6DF329F7" w:rsidR="00275182" w:rsidRDefault="006F59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w:t>
      </w:r>
      <w:r>
        <w:rPr>
          <w:rFonts w:ascii="Arial" w:hAnsi="Arial" w:cs="Arial"/>
          <w:b/>
          <w:bCs/>
          <w:color w:val="7B7B7B" w:themeColor="accent3" w:themeShade="BF"/>
          <w:sz w:val="22"/>
          <w:szCs w:val="22"/>
          <w:lang w:val="en-GB"/>
        </w:rPr>
        <w:t>EIR Recast</w:t>
      </w:r>
      <w:r>
        <w:rPr>
          <w:rFonts w:ascii="Arial" w:hAnsi="Arial" w:cs="Arial"/>
          <w:color w:val="7B7B7B" w:themeColor="accent3" w:themeShade="BF"/>
          <w:sz w:val="22"/>
          <w:szCs w:val="22"/>
          <w:lang w:val="en-GB"/>
        </w:rPr>
        <w:t>) applied to the UK up until 11pm on 31 December 2020 following its exit from the European Union (</w:t>
      </w:r>
      <w:r>
        <w:rPr>
          <w:rFonts w:ascii="Arial" w:hAnsi="Arial" w:cs="Arial"/>
          <w:b/>
          <w:bCs/>
          <w:color w:val="7B7B7B" w:themeColor="accent3" w:themeShade="BF"/>
          <w:sz w:val="22"/>
          <w:szCs w:val="22"/>
          <w:lang w:val="en-GB"/>
        </w:rPr>
        <w:t>EU</w:t>
      </w:r>
      <w:r>
        <w:rPr>
          <w:rFonts w:ascii="Arial" w:hAnsi="Arial" w:cs="Arial"/>
          <w:color w:val="7B7B7B" w:themeColor="accent3" w:themeShade="BF"/>
          <w:sz w:val="22"/>
          <w:szCs w:val="22"/>
          <w:lang w:val="en-GB"/>
        </w:rPr>
        <w:t>).  Therefore, if the proceedings were opened in the UK on 18 June 2021, the EIR Recast would not apply.</w:t>
      </w:r>
    </w:p>
    <w:p w14:paraId="249DE244" w14:textId="57FE1628" w:rsidR="006408DE" w:rsidRDefault="006408DE" w:rsidP="00B7193E">
      <w:pPr>
        <w:jc w:val="both"/>
        <w:rPr>
          <w:rFonts w:ascii="Arial" w:hAnsi="Arial" w:cs="Arial"/>
          <w:color w:val="7B7B7B" w:themeColor="accent3" w:themeShade="BF"/>
          <w:sz w:val="22"/>
          <w:szCs w:val="22"/>
          <w:lang w:val="en-GB"/>
        </w:rPr>
      </w:pPr>
    </w:p>
    <w:p w14:paraId="60213F3A" w14:textId="77777777" w:rsidR="000859DE" w:rsidRDefault="006408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recognition of the UK insolvency proceedings across member States of the EU that was afforded under the EIR Recast would no longer apply.  </w:t>
      </w:r>
      <w:r w:rsidR="000859DE">
        <w:rPr>
          <w:rFonts w:ascii="Arial" w:hAnsi="Arial" w:cs="Arial"/>
          <w:color w:val="7B7B7B" w:themeColor="accent3" w:themeShade="BF"/>
          <w:sz w:val="22"/>
          <w:szCs w:val="22"/>
          <w:lang w:val="en-GB"/>
        </w:rPr>
        <w:t>In addition, t</w:t>
      </w:r>
      <w:r>
        <w:rPr>
          <w:rFonts w:ascii="Arial" w:hAnsi="Arial" w:cs="Arial"/>
          <w:color w:val="7B7B7B" w:themeColor="accent3" w:themeShade="BF"/>
          <w:sz w:val="22"/>
          <w:szCs w:val="22"/>
          <w:lang w:val="en-GB"/>
        </w:rPr>
        <w:t xml:space="preserve">he UNCITRAL Model Law on Cross-Border Insolvency </w:t>
      </w:r>
      <w:r w:rsidR="000859DE">
        <w:rPr>
          <w:rFonts w:ascii="Arial" w:hAnsi="Arial" w:cs="Arial"/>
          <w:color w:val="7B7B7B" w:themeColor="accent3" w:themeShade="BF"/>
          <w:sz w:val="22"/>
          <w:szCs w:val="22"/>
          <w:lang w:val="en-GB"/>
        </w:rPr>
        <w:t>(</w:t>
      </w:r>
      <w:r w:rsidR="000859DE" w:rsidRPr="000859DE">
        <w:rPr>
          <w:rFonts w:ascii="Arial" w:hAnsi="Arial" w:cs="Arial"/>
          <w:b/>
          <w:bCs/>
          <w:color w:val="7B7B7B" w:themeColor="accent3" w:themeShade="BF"/>
          <w:sz w:val="22"/>
          <w:szCs w:val="22"/>
          <w:lang w:val="en-GB"/>
        </w:rPr>
        <w:t>MLCBI</w:t>
      </w:r>
      <w:r w:rsidR="000859DE">
        <w:rPr>
          <w:rFonts w:ascii="Arial" w:hAnsi="Arial" w:cs="Arial"/>
          <w:color w:val="7B7B7B" w:themeColor="accent3" w:themeShade="BF"/>
          <w:sz w:val="22"/>
          <w:szCs w:val="22"/>
          <w:lang w:val="en-GB"/>
        </w:rPr>
        <w:t xml:space="preserve">) </w:t>
      </w:r>
      <w:r w:rsidRPr="000859DE">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adopted by the UK in 2006 would </w:t>
      </w:r>
      <w:r w:rsidR="000859DE">
        <w:rPr>
          <w:rFonts w:ascii="Arial" w:hAnsi="Arial" w:cs="Arial"/>
          <w:color w:val="7B7B7B" w:themeColor="accent3" w:themeShade="BF"/>
          <w:sz w:val="22"/>
          <w:szCs w:val="22"/>
          <w:lang w:val="en-GB"/>
        </w:rPr>
        <w:t xml:space="preserve">apply as it relates to any proceedings Fernz may bring against the debtor in a member State of the EU.  </w:t>
      </w:r>
    </w:p>
    <w:p w14:paraId="2D60FB32" w14:textId="77777777" w:rsidR="000859DE" w:rsidRDefault="000859DE" w:rsidP="00B7193E">
      <w:pPr>
        <w:jc w:val="both"/>
        <w:rPr>
          <w:rFonts w:ascii="Arial" w:hAnsi="Arial" w:cs="Arial"/>
          <w:color w:val="7B7B7B" w:themeColor="accent3" w:themeShade="BF"/>
          <w:sz w:val="22"/>
          <w:szCs w:val="22"/>
          <w:lang w:val="en-GB"/>
        </w:rPr>
      </w:pPr>
    </w:p>
    <w:p w14:paraId="49A4D300" w14:textId="58DAEB11" w:rsidR="006408DE" w:rsidRDefault="000859DE" w:rsidP="000859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it relates to recognition principles between the UK and a member State of the EU, the local laws of the member State of the EU in which Fernz wants to open proceedings, rather than the EIR Recast, would apply.  The UK would be guided by the MLCBI as it relates to the co-ordination and co-operation with the insolvency representatives and proceedings in a member State of the EU.</w:t>
      </w:r>
    </w:p>
    <w:p w14:paraId="6178C4DD" w14:textId="71253C62" w:rsidR="000859DE" w:rsidRDefault="000859DE" w:rsidP="000859DE">
      <w:pPr>
        <w:jc w:val="both"/>
        <w:rPr>
          <w:rFonts w:ascii="Arial" w:hAnsi="Arial" w:cs="Arial"/>
          <w:color w:val="7B7B7B" w:themeColor="accent3" w:themeShade="BF"/>
          <w:sz w:val="22"/>
          <w:szCs w:val="22"/>
          <w:lang w:val="en-GB"/>
        </w:rPr>
      </w:pPr>
    </w:p>
    <w:p w14:paraId="3C8A5D3C" w14:textId="777930B4" w:rsidR="000859DE" w:rsidRPr="00205B31" w:rsidRDefault="000859DE" w:rsidP="000859DE">
      <w:pPr>
        <w:jc w:val="both"/>
        <w:rPr>
          <w:rFonts w:ascii="Arial" w:hAnsi="Arial" w:cs="Arial"/>
          <w:b/>
          <w:bCs/>
          <w:sz w:val="22"/>
          <w:szCs w:val="22"/>
          <w:lang w:val="en-GB"/>
        </w:rPr>
      </w:pPr>
      <w:r>
        <w:rPr>
          <w:rFonts w:ascii="Arial" w:hAnsi="Arial" w:cs="Arial"/>
          <w:color w:val="7B7B7B" w:themeColor="accent3" w:themeShade="BF"/>
          <w:sz w:val="22"/>
          <w:szCs w:val="22"/>
          <w:lang w:val="en-GB"/>
        </w:rPr>
        <w:t xml:space="preserve">Further information that would be relevant is confirmation of the member State of the EU in which Fernz intends to open proceedings.  The specific laws of that member State would assist in identifying </w:t>
      </w:r>
      <w:r w:rsidR="00A2544D">
        <w:rPr>
          <w:rFonts w:ascii="Arial" w:hAnsi="Arial" w:cs="Arial"/>
          <w:color w:val="7B7B7B" w:themeColor="accent3" w:themeShade="BF"/>
          <w:sz w:val="22"/>
          <w:szCs w:val="22"/>
          <w:lang w:val="en-GB"/>
        </w:rPr>
        <w:t>any conflicts that may arise in the administration of the parallel proceedings.</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9BFE8F6" w:rsidR="00015EE6" w:rsidRDefault="00916D1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Insolvency Act 1986 (</w:t>
      </w:r>
      <w:r w:rsidRPr="00916D1D">
        <w:rPr>
          <w:rFonts w:ascii="Arial" w:hAnsi="Arial" w:cs="Arial"/>
          <w:b/>
          <w:bCs/>
          <w:color w:val="7B7B7B" w:themeColor="accent3" w:themeShade="BF"/>
          <w:sz w:val="22"/>
          <w:szCs w:val="22"/>
          <w:lang w:val="en-GB"/>
        </w:rPr>
        <w:t>Act</w:t>
      </w:r>
      <w:r>
        <w:rPr>
          <w:rFonts w:ascii="Arial" w:hAnsi="Arial" w:cs="Arial"/>
          <w:color w:val="7B7B7B" w:themeColor="accent3" w:themeShade="BF"/>
          <w:sz w:val="22"/>
          <w:szCs w:val="22"/>
          <w:lang w:val="en-GB"/>
        </w:rPr>
        <w:t xml:space="preserve">) </w:t>
      </w:r>
      <w:r w:rsidRPr="00916D1D">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the relevant piece of legislation as it relates to winding up any unregistered company in the UK.  Section 220 of the Act specifically excludes any “company registered under the Companies Act 2006 in any part of the United Kingdom” as being included in the definition of “unregistered company.”</w:t>
      </w:r>
      <w:r w:rsidR="009D7591">
        <w:rPr>
          <w:rFonts w:ascii="Arial" w:hAnsi="Arial" w:cs="Arial"/>
          <w:color w:val="7B7B7B" w:themeColor="accent3" w:themeShade="BF"/>
          <w:sz w:val="22"/>
          <w:szCs w:val="22"/>
          <w:lang w:val="en-GB"/>
        </w:rPr>
        <w:t xml:space="preserve">  The English court would also refer to case law in determining whether a winding-up order should be granted.</w:t>
      </w:r>
    </w:p>
    <w:p w14:paraId="0350E46F" w14:textId="515818F1" w:rsidR="0072755A" w:rsidRDefault="0072755A"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BC1AC3F" w14:textId="34A32FE1" w:rsidR="0072755A" w:rsidRDefault="0072755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minor creditor would have to satisfy the English court that one or more of the following conditions exist as required by Section 221(5) of the Act</w:t>
      </w:r>
      <w:r w:rsidR="00BF7BA6">
        <w:rPr>
          <w:rFonts w:ascii="Arial" w:hAnsi="Arial" w:cs="Arial"/>
          <w:color w:val="7B7B7B" w:themeColor="accent3" w:themeShade="BF"/>
          <w:sz w:val="22"/>
          <w:szCs w:val="22"/>
          <w:lang w:val="en-GB"/>
        </w:rPr>
        <w:t xml:space="preserve"> in order to wind up Rydell:</w:t>
      </w:r>
    </w:p>
    <w:p w14:paraId="07D4114D" w14:textId="77777777" w:rsidR="0072755A" w:rsidRDefault="0072755A" w:rsidP="0072755A">
      <w:pPr>
        <w:pStyle w:val="ListParagraph"/>
        <w:autoSpaceDE w:val="0"/>
        <w:autoSpaceDN w:val="0"/>
        <w:adjustRightInd w:val="0"/>
        <w:spacing w:line="276" w:lineRule="auto"/>
        <w:jc w:val="both"/>
        <w:rPr>
          <w:rFonts w:ascii="Arial" w:hAnsi="Arial" w:cs="Arial"/>
          <w:sz w:val="22"/>
          <w:szCs w:val="22"/>
          <w:lang w:val="en-GB"/>
        </w:rPr>
      </w:pPr>
    </w:p>
    <w:p w14:paraId="1829FC7D" w14:textId="16CB143C" w:rsidR="0072755A" w:rsidRPr="0072755A" w:rsidRDefault="0072755A" w:rsidP="0072755A">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72755A">
        <w:rPr>
          <w:rFonts w:ascii="Arial" w:hAnsi="Arial" w:cs="Arial"/>
          <w:color w:val="7B7B7B" w:themeColor="accent3" w:themeShade="BF"/>
          <w:sz w:val="22"/>
          <w:szCs w:val="22"/>
          <w:lang w:val="en-GB"/>
        </w:rPr>
        <w:t>If the company is dissolved, or has ceased to carry on business, or is carrying on business only for the purpose of winding up its affairs;</w:t>
      </w:r>
    </w:p>
    <w:p w14:paraId="3B7BC897" w14:textId="77777777" w:rsidR="0072755A" w:rsidRPr="0072755A" w:rsidRDefault="0072755A" w:rsidP="0072755A">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256C9B32" w14:textId="5B432F55" w:rsidR="0072755A" w:rsidRPr="0072755A" w:rsidRDefault="0072755A" w:rsidP="0072755A">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72755A">
        <w:rPr>
          <w:rFonts w:ascii="Arial" w:hAnsi="Arial" w:cs="Arial"/>
          <w:color w:val="7B7B7B" w:themeColor="accent3" w:themeShade="BF"/>
          <w:sz w:val="22"/>
          <w:szCs w:val="22"/>
          <w:lang w:val="en-GB"/>
        </w:rPr>
        <w:t>If the company is unable to pay its debts;</w:t>
      </w:r>
    </w:p>
    <w:p w14:paraId="69E6EDF1" w14:textId="77777777" w:rsidR="0072755A" w:rsidRPr="0072755A" w:rsidRDefault="0072755A" w:rsidP="0072755A">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2B739C97" w:rsidR="00015EE6" w:rsidRDefault="0072755A" w:rsidP="0072755A">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72755A">
        <w:rPr>
          <w:rFonts w:ascii="Arial" w:hAnsi="Arial" w:cs="Arial"/>
          <w:color w:val="7B7B7B" w:themeColor="accent3" w:themeShade="BF"/>
          <w:sz w:val="22"/>
          <w:szCs w:val="22"/>
          <w:lang w:val="en-GB"/>
        </w:rPr>
        <w:t>If the court is of opinion that it is just and equitable that the company should be wound up.</w:t>
      </w:r>
    </w:p>
    <w:p w14:paraId="173ACAC9" w14:textId="77777777" w:rsidR="0072755A" w:rsidRPr="0072755A" w:rsidRDefault="0072755A" w:rsidP="0072755A">
      <w:pPr>
        <w:pStyle w:val="ListParagraph"/>
        <w:rPr>
          <w:rFonts w:ascii="Arial" w:hAnsi="Arial" w:cs="Arial"/>
          <w:color w:val="7B7B7B" w:themeColor="accent3" w:themeShade="BF"/>
          <w:sz w:val="22"/>
          <w:szCs w:val="22"/>
          <w:lang w:val="en-GB"/>
        </w:rPr>
      </w:pPr>
    </w:p>
    <w:p w14:paraId="2483B14C" w14:textId="262ED92F" w:rsidR="009D7591" w:rsidRDefault="009D7591" w:rsidP="0072755A">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ruling in the case of </w:t>
      </w:r>
      <w:r>
        <w:rPr>
          <w:rFonts w:ascii="Arial" w:hAnsi="Arial" w:cs="Arial"/>
          <w:i/>
          <w:iCs/>
          <w:color w:val="7B7B7B" w:themeColor="accent3" w:themeShade="BF"/>
          <w:sz w:val="22"/>
          <w:szCs w:val="22"/>
          <w:lang w:val="en-GB"/>
        </w:rPr>
        <w:t xml:space="preserve">Latreefers Inc </w:t>
      </w:r>
      <w:r>
        <w:rPr>
          <w:rFonts w:ascii="Arial" w:hAnsi="Arial" w:cs="Arial"/>
          <w:color w:val="7B7B7B" w:themeColor="accent3" w:themeShade="BF"/>
          <w:sz w:val="22"/>
          <w:szCs w:val="22"/>
          <w:lang w:val="en-GB"/>
        </w:rPr>
        <w:t xml:space="preserve">in 2001, </w:t>
      </w:r>
      <w:r w:rsidR="00BF7BA6">
        <w:rPr>
          <w:rFonts w:ascii="Arial" w:hAnsi="Arial" w:cs="Arial"/>
          <w:color w:val="7B7B7B" w:themeColor="accent3" w:themeShade="BF"/>
          <w:sz w:val="22"/>
          <w:szCs w:val="22"/>
          <w:lang w:val="en-GB"/>
        </w:rPr>
        <w:t>the English court may also consider the following principles</w:t>
      </w:r>
      <w:r>
        <w:rPr>
          <w:rFonts w:ascii="Arial" w:hAnsi="Arial" w:cs="Arial"/>
          <w:color w:val="7B7B7B" w:themeColor="accent3" w:themeShade="BF"/>
          <w:sz w:val="22"/>
          <w:szCs w:val="22"/>
          <w:lang w:val="en-GB"/>
        </w:rPr>
        <w:t xml:space="preserve"> in determining whether </w:t>
      </w:r>
      <w:r w:rsidR="00BF7BA6">
        <w:rPr>
          <w:rFonts w:ascii="Arial" w:hAnsi="Arial" w:cs="Arial"/>
          <w:color w:val="7B7B7B" w:themeColor="accent3" w:themeShade="BF"/>
          <w:sz w:val="22"/>
          <w:szCs w:val="22"/>
          <w:lang w:val="en-GB"/>
        </w:rPr>
        <w:t>it has</w:t>
      </w:r>
      <w:r>
        <w:rPr>
          <w:rFonts w:ascii="Arial" w:hAnsi="Arial" w:cs="Arial"/>
          <w:color w:val="7B7B7B" w:themeColor="accent3" w:themeShade="BF"/>
          <w:sz w:val="22"/>
          <w:szCs w:val="22"/>
          <w:lang w:val="en-GB"/>
        </w:rPr>
        <w:t xml:space="preserve"> jurisdiction to wind up </w:t>
      </w:r>
      <w:r w:rsidR="00BF7BA6">
        <w:rPr>
          <w:rFonts w:ascii="Arial" w:hAnsi="Arial" w:cs="Arial"/>
          <w:color w:val="7B7B7B" w:themeColor="accent3" w:themeShade="BF"/>
          <w:sz w:val="22"/>
          <w:szCs w:val="22"/>
          <w:lang w:val="en-GB"/>
        </w:rPr>
        <w:t>Rydell</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8"/>
      </w:r>
    </w:p>
    <w:p w14:paraId="7689A819" w14:textId="77777777" w:rsidR="009D7591" w:rsidRDefault="009D7591" w:rsidP="0072755A">
      <w:pPr>
        <w:autoSpaceDE w:val="0"/>
        <w:autoSpaceDN w:val="0"/>
        <w:adjustRightInd w:val="0"/>
        <w:spacing w:line="276" w:lineRule="auto"/>
        <w:jc w:val="both"/>
        <w:rPr>
          <w:rFonts w:ascii="Arial" w:hAnsi="Arial" w:cs="Arial"/>
          <w:color w:val="7B7B7B" w:themeColor="accent3" w:themeShade="BF"/>
          <w:sz w:val="22"/>
          <w:szCs w:val="22"/>
          <w:lang w:val="en-GB"/>
        </w:rPr>
      </w:pPr>
    </w:p>
    <w:p w14:paraId="15262835" w14:textId="755E1D21" w:rsidR="009D7591" w:rsidRDefault="009D7591" w:rsidP="009D7591">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a sufficient connection with England and Wales which may, but does not necessarily have to, consist of assets within the jurisdiction.</w:t>
      </w:r>
    </w:p>
    <w:p w14:paraId="3690708D" w14:textId="77777777" w:rsidR="009D7591" w:rsidRDefault="009D7591" w:rsidP="009D7591">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2D8A5AE2" w14:textId="77777777" w:rsidR="009D7591" w:rsidRDefault="009D7591" w:rsidP="009D7591">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a reasonable possibility, if a winding-up order is made, of benefit to those applying for the winding-up order.</w:t>
      </w:r>
    </w:p>
    <w:p w14:paraId="0BBB96BF" w14:textId="77777777" w:rsidR="009D7591" w:rsidRDefault="009D7591" w:rsidP="009D7591">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0D4B2799" w14:textId="5E3AAAE9" w:rsidR="0072755A" w:rsidRPr="009D7591" w:rsidRDefault="009D7591" w:rsidP="009D7591">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or more persons interested in the distribution of assets of the company must be persons over whom the court can exercise a jurisdiction.</w:t>
      </w:r>
      <w:r w:rsidRPr="009D7591">
        <w:rPr>
          <w:rFonts w:ascii="Arial" w:hAnsi="Arial" w:cs="Arial"/>
          <w:color w:val="7B7B7B" w:themeColor="accent3" w:themeShade="BF"/>
          <w:sz w:val="22"/>
          <w:szCs w:val="22"/>
          <w:lang w:val="en-GB"/>
        </w:rPr>
        <w:t xml:space="preserve">  </w:t>
      </w:r>
    </w:p>
    <w:p w14:paraId="620FD009" w14:textId="5DEE191D" w:rsidR="0072755A" w:rsidRDefault="0072755A" w:rsidP="006E5BC4">
      <w:pPr>
        <w:ind w:left="360"/>
        <w:rPr>
          <w:rFonts w:ascii="Arial" w:hAnsi="Arial" w:cs="Arial"/>
          <w:color w:val="7B7B7B" w:themeColor="accent3" w:themeShade="BF"/>
          <w:sz w:val="22"/>
          <w:szCs w:val="22"/>
          <w:lang w:val="en-GB"/>
        </w:rPr>
      </w:pPr>
    </w:p>
    <w:p w14:paraId="5F059774" w14:textId="40537A98" w:rsidR="0077498C" w:rsidRPr="0072755A" w:rsidRDefault="006E5BC4" w:rsidP="000316F1">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w:t>
      </w:r>
      <w:r>
        <w:rPr>
          <w:rFonts w:ascii="Arial" w:hAnsi="Arial" w:cs="Arial"/>
          <w:b/>
          <w:bCs/>
          <w:color w:val="7B7B7B" w:themeColor="accent3" w:themeShade="BF"/>
          <w:sz w:val="22"/>
          <w:szCs w:val="22"/>
          <w:lang w:val="en-GB"/>
        </w:rPr>
        <w:t>EIR Recast</w:t>
      </w:r>
      <w:r>
        <w:rPr>
          <w:rFonts w:ascii="Arial" w:hAnsi="Arial" w:cs="Arial"/>
          <w:color w:val="7B7B7B" w:themeColor="accent3" w:themeShade="BF"/>
          <w:sz w:val="22"/>
          <w:szCs w:val="22"/>
          <w:lang w:val="en-GB"/>
        </w:rPr>
        <w:t>) applied to the UK up until 11pm on 31 December 2020 following its exit from the European Union (</w:t>
      </w:r>
      <w:r>
        <w:rPr>
          <w:rFonts w:ascii="Arial" w:hAnsi="Arial" w:cs="Arial"/>
          <w:b/>
          <w:bCs/>
          <w:color w:val="7B7B7B" w:themeColor="accent3" w:themeShade="BF"/>
          <w:sz w:val="22"/>
          <w:szCs w:val="22"/>
          <w:lang w:val="en-GB"/>
        </w:rPr>
        <w:t>EU</w:t>
      </w:r>
      <w:r>
        <w:rPr>
          <w:rFonts w:ascii="Arial" w:hAnsi="Arial" w:cs="Arial"/>
          <w:color w:val="7B7B7B" w:themeColor="accent3" w:themeShade="BF"/>
          <w:sz w:val="22"/>
          <w:szCs w:val="22"/>
          <w:lang w:val="en-GB"/>
        </w:rPr>
        <w:t xml:space="preserve">).  As such, the ability of the minor creditor to gain recognition of the English proceedings in the country in Europe where Rydell’s COMI is located will </w:t>
      </w:r>
      <w:r w:rsidR="000316F1">
        <w:rPr>
          <w:rFonts w:ascii="Arial" w:hAnsi="Arial" w:cs="Arial"/>
          <w:color w:val="7B7B7B" w:themeColor="accent3" w:themeShade="BF"/>
          <w:sz w:val="22"/>
          <w:szCs w:val="22"/>
          <w:lang w:val="en-GB"/>
        </w:rPr>
        <w:t xml:space="preserve">depend on the laws of that relevant </w:t>
      </w:r>
      <w:r w:rsidR="00BF7BA6">
        <w:rPr>
          <w:rFonts w:ascii="Arial" w:hAnsi="Arial" w:cs="Arial"/>
          <w:color w:val="7B7B7B" w:themeColor="accent3" w:themeShade="BF"/>
          <w:sz w:val="22"/>
          <w:szCs w:val="22"/>
          <w:lang w:val="en-GB"/>
        </w:rPr>
        <w:t>member State</w:t>
      </w:r>
      <w:r w:rsidR="000316F1">
        <w:rPr>
          <w:rFonts w:ascii="Arial" w:hAnsi="Arial" w:cs="Arial"/>
          <w:color w:val="7B7B7B" w:themeColor="accent3" w:themeShade="BF"/>
          <w:sz w:val="22"/>
          <w:szCs w:val="22"/>
          <w:lang w:val="en-GB"/>
        </w:rPr>
        <w:t>.</w:t>
      </w:r>
      <w:r w:rsidR="000316F1">
        <w:rPr>
          <w:rStyle w:val="FootnoteReference"/>
          <w:rFonts w:ascii="Arial" w:hAnsi="Arial" w:cs="Arial"/>
          <w:color w:val="7B7B7B" w:themeColor="accent3" w:themeShade="BF"/>
          <w:sz w:val="22"/>
          <w:szCs w:val="22"/>
          <w:lang w:val="en-GB"/>
        </w:rPr>
        <w:footnoteReference w:id="9"/>
      </w:r>
      <w:r w:rsidR="000316F1">
        <w:rPr>
          <w:rFonts w:ascii="Arial" w:hAnsi="Arial" w:cs="Arial"/>
          <w:color w:val="7B7B7B" w:themeColor="accent3" w:themeShade="BF"/>
          <w:sz w:val="22"/>
          <w:szCs w:val="22"/>
          <w:lang w:val="en-GB"/>
        </w:rPr>
        <w:t xml:space="preserve"> To clarify this point we would need to know the specific </w:t>
      </w:r>
      <w:r w:rsidR="00BF7BA6">
        <w:rPr>
          <w:rFonts w:ascii="Arial" w:hAnsi="Arial" w:cs="Arial"/>
          <w:color w:val="7B7B7B" w:themeColor="accent3" w:themeShade="BF"/>
          <w:sz w:val="22"/>
          <w:szCs w:val="22"/>
          <w:lang w:val="en-GB"/>
        </w:rPr>
        <w:t>member State</w:t>
      </w:r>
      <w:r w:rsidR="000316F1">
        <w:rPr>
          <w:rFonts w:ascii="Arial" w:hAnsi="Arial" w:cs="Arial"/>
          <w:color w:val="7B7B7B" w:themeColor="accent3" w:themeShade="BF"/>
          <w:sz w:val="22"/>
          <w:szCs w:val="22"/>
          <w:lang w:val="en-GB"/>
        </w:rPr>
        <w:t xml:space="preserve"> to determine the specific legislation and guidelines in place that would impact the recognition and enforcement of the English proceedings</w:t>
      </w:r>
      <w:r w:rsidR="00493B9E">
        <w:rPr>
          <w:rFonts w:ascii="Arial" w:hAnsi="Arial" w:cs="Arial"/>
          <w:color w:val="7B7B7B" w:themeColor="accent3" w:themeShade="BF"/>
          <w:sz w:val="22"/>
          <w:szCs w:val="22"/>
          <w:lang w:val="en-GB"/>
        </w:rPr>
        <w:t>.  Should that member State also be the one where Rydell’s COMI is located, the implications of such a classification would also have to be considered.</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D856" w14:textId="77777777" w:rsidR="00302DD1" w:rsidRDefault="00302DD1" w:rsidP="00241B44">
      <w:r>
        <w:separator/>
      </w:r>
    </w:p>
  </w:endnote>
  <w:endnote w:type="continuationSeparator" w:id="0">
    <w:p w14:paraId="71CA4E15" w14:textId="77777777" w:rsidR="00302DD1" w:rsidRDefault="00302DD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0B59DFC" w:rsidR="006E1CB0" w:rsidRPr="0052732A" w:rsidRDefault="003259D2" w:rsidP="0052732A">
    <w:pPr>
      <w:pStyle w:val="Footer"/>
      <w:ind w:right="360"/>
      <w:rPr>
        <w:rFonts w:ascii="Arial" w:hAnsi="Arial" w:cs="Arial"/>
        <w:sz w:val="18"/>
        <w:szCs w:val="18"/>
      </w:rPr>
    </w:pPr>
    <w:r w:rsidRPr="003259D2">
      <w:rPr>
        <w:rFonts w:ascii="Arial" w:hAnsi="Arial" w:cs="Arial"/>
        <w:sz w:val="18"/>
        <w:szCs w:val="18"/>
      </w:rPr>
      <w:t>202122-518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B020" w14:textId="77777777" w:rsidR="00302DD1" w:rsidRDefault="00302DD1" w:rsidP="00241B44">
      <w:r>
        <w:separator/>
      </w:r>
    </w:p>
  </w:footnote>
  <w:footnote w:type="continuationSeparator" w:id="0">
    <w:p w14:paraId="2369C0DA" w14:textId="77777777" w:rsidR="00302DD1" w:rsidRDefault="00302DD1" w:rsidP="00241B44">
      <w:r>
        <w:continuationSeparator/>
      </w:r>
    </w:p>
  </w:footnote>
  <w:footnote w:id="1">
    <w:p w14:paraId="2BDA15DB" w14:textId="260F4897" w:rsidR="00B56D16" w:rsidRDefault="00B56D16">
      <w:pPr>
        <w:pStyle w:val="FootnoteText"/>
      </w:pPr>
      <w:r>
        <w:rPr>
          <w:rStyle w:val="FootnoteReference"/>
        </w:rPr>
        <w:footnoteRef/>
      </w:r>
      <w:r>
        <w:t xml:space="preserve"> Calitz, Juantitta, “Historical Overview of State Regulation of South African Insolvency Law”, at </w:t>
      </w:r>
      <w:hyperlink r:id="rId1" w:history="1">
        <w:r w:rsidRPr="00F07F87">
          <w:rPr>
            <w:rStyle w:val="Hyperlink"/>
          </w:rPr>
          <w:t>https://www.yumpu.com/en/document/read/20046071/historical-overview-of-state-regulation-of-south-african-insolvency-law</w:t>
        </w:r>
      </w:hyperlink>
      <w:r>
        <w:t xml:space="preserve">, accessed 8 November 2021. </w:t>
      </w:r>
    </w:p>
  </w:footnote>
  <w:footnote w:id="2">
    <w:p w14:paraId="4EB25821" w14:textId="62CCD4EB" w:rsidR="00E14367" w:rsidRDefault="00E14367">
      <w:pPr>
        <w:pStyle w:val="FootnoteText"/>
      </w:pPr>
      <w:r>
        <w:rPr>
          <w:rStyle w:val="FootnoteReference"/>
        </w:rPr>
        <w:footnoteRef/>
      </w:r>
      <w:r>
        <w:t xml:space="preserve"> </w:t>
      </w:r>
      <w:r w:rsidR="009651BA">
        <w:t xml:space="preserve">McCormack, Gerard, “Permanent changes to the UK’s corporate restructuring and insolvency laws in the wake of Covid-19”, at </w:t>
      </w:r>
      <w:hyperlink r:id="rId2" w:history="1">
        <w:r w:rsidR="009651BA" w:rsidRPr="00F07F87">
          <w:rPr>
            <w:rStyle w:val="Hyperlink"/>
          </w:rPr>
          <w:t>https://insol.azureedge.net/cmsstorage/insol/media/document-library/special%20reports/permanent-changes-to-the-uk's-corporate-restructuring-and-insolvency-laws-in-the-wake-of-covid-19.pdf</w:t>
        </w:r>
      </w:hyperlink>
      <w:r w:rsidR="009651BA">
        <w:t xml:space="preserve">, accessed 8 November 2021. </w:t>
      </w:r>
    </w:p>
  </w:footnote>
  <w:footnote w:id="3">
    <w:p w14:paraId="3EB2381B" w14:textId="14EC6047" w:rsidR="007D694D" w:rsidRPr="007D694D" w:rsidRDefault="007D694D">
      <w:pPr>
        <w:pStyle w:val="FootnoteText"/>
      </w:pPr>
      <w:r>
        <w:rPr>
          <w:rStyle w:val="FootnoteReference"/>
        </w:rPr>
        <w:footnoteRef/>
      </w:r>
      <w:r>
        <w:t xml:space="preserve"> </w:t>
      </w:r>
      <w:r w:rsidR="007A25B6">
        <w:t xml:space="preserve">Fletcher, Ian F, </w:t>
      </w:r>
      <w:r w:rsidR="007A25B6">
        <w:rPr>
          <w:i/>
          <w:iCs/>
        </w:rPr>
        <w:t xml:space="preserve">Insolvency in Private International Law: National and International Approaches, </w:t>
      </w:r>
      <w:r w:rsidR="007A25B6">
        <w:t>Oxford University Press (1999), p 5</w:t>
      </w:r>
      <w:r>
        <w:t>.</w:t>
      </w:r>
    </w:p>
  </w:footnote>
  <w:footnote w:id="4">
    <w:p w14:paraId="55085049" w14:textId="77777777" w:rsidR="00134B01" w:rsidRDefault="00134B01" w:rsidP="00134B01">
      <w:pPr>
        <w:pStyle w:val="FootnoteText"/>
      </w:pPr>
      <w:r>
        <w:rPr>
          <w:rStyle w:val="FootnoteReference"/>
        </w:rPr>
        <w:footnoteRef/>
      </w:r>
      <w:r>
        <w:t xml:space="preserve"> United Nations Commission on International Trade Law</w:t>
      </w:r>
      <w:r w:rsidRPr="00DB4ABF">
        <w:t>, “</w:t>
      </w:r>
      <w:r>
        <w:t>UNCITRAL Practice Guide on Cross-Border Insolvency Cooperation</w:t>
      </w:r>
      <w:r w:rsidRPr="00DB4ABF">
        <w:t xml:space="preserve">”, at </w:t>
      </w:r>
      <w:hyperlink r:id="rId3" w:history="1">
        <w:r w:rsidRPr="00F07F87">
          <w:rPr>
            <w:rStyle w:val="Hyperlink"/>
          </w:rPr>
          <w:t>https://uncitral.un.org/sites/uncitral.un.org/files/media-documents/uncitral/en/practice_guide_ebook_eng.pdf</w:t>
        </w:r>
      </w:hyperlink>
      <w:r>
        <w:t>,</w:t>
      </w:r>
      <w:r w:rsidRPr="00DB4ABF">
        <w:t xml:space="preserve"> accessed</w:t>
      </w:r>
      <w:r>
        <w:t xml:space="preserve"> 11</w:t>
      </w:r>
      <w:r w:rsidRPr="00DB4ABF">
        <w:t xml:space="preserve"> November 2021.</w:t>
      </w:r>
    </w:p>
  </w:footnote>
  <w:footnote w:id="5">
    <w:p w14:paraId="673A5885" w14:textId="153942C9" w:rsidR="00DB0529" w:rsidRPr="00134B01" w:rsidRDefault="00DB0529" w:rsidP="00DB0529">
      <w:pPr>
        <w:pStyle w:val="FootnoteText"/>
        <w:rPr>
          <w:i/>
          <w:iCs/>
        </w:rPr>
      </w:pPr>
      <w:r>
        <w:rPr>
          <w:rStyle w:val="FootnoteReference"/>
        </w:rPr>
        <w:footnoteRef/>
      </w:r>
      <w:r>
        <w:t xml:space="preserve"> </w:t>
      </w:r>
      <w:r w:rsidR="00012B7C">
        <w:rPr>
          <w:i/>
          <w:iCs/>
        </w:rPr>
        <w:t>I</w:t>
      </w:r>
      <w:r>
        <w:rPr>
          <w:i/>
          <w:iCs/>
        </w:rPr>
        <w:t>bid</w:t>
      </w:r>
      <w:r w:rsidR="00012B7C">
        <w:rPr>
          <w:i/>
          <w:iCs/>
        </w:rPr>
        <w:t>.</w:t>
      </w:r>
    </w:p>
  </w:footnote>
  <w:footnote w:id="6">
    <w:p w14:paraId="679D5ED0" w14:textId="725BCA91" w:rsidR="00134B01" w:rsidRPr="00134B01" w:rsidRDefault="00134B01">
      <w:pPr>
        <w:pStyle w:val="FootnoteText"/>
        <w:rPr>
          <w:i/>
          <w:iCs/>
        </w:rPr>
      </w:pPr>
      <w:r>
        <w:rPr>
          <w:rStyle w:val="FootnoteReference"/>
        </w:rPr>
        <w:footnoteRef/>
      </w:r>
      <w:r>
        <w:t xml:space="preserve"> </w:t>
      </w:r>
      <w:r w:rsidR="00012B7C">
        <w:rPr>
          <w:i/>
          <w:iCs/>
        </w:rPr>
        <w:t>I</w:t>
      </w:r>
      <w:r>
        <w:rPr>
          <w:i/>
          <w:iCs/>
        </w:rPr>
        <w:t>bid</w:t>
      </w:r>
      <w:r w:rsidR="00012B7C">
        <w:rPr>
          <w:i/>
          <w:iCs/>
        </w:rPr>
        <w:t>.</w:t>
      </w:r>
    </w:p>
  </w:footnote>
  <w:footnote w:id="7">
    <w:p w14:paraId="0B356D7B" w14:textId="12C83812" w:rsidR="00D458C5" w:rsidRPr="00134B01" w:rsidRDefault="00D458C5" w:rsidP="00D458C5">
      <w:pPr>
        <w:pStyle w:val="FootnoteText"/>
        <w:rPr>
          <w:i/>
          <w:iCs/>
        </w:rPr>
      </w:pPr>
      <w:r>
        <w:rPr>
          <w:rStyle w:val="FootnoteReference"/>
        </w:rPr>
        <w:footnoteRef/>
      </w:r>
      <w:r>
        <w:t xml:space="preserve"> </w:t>
      </w:r>
      <w:r w:rsidR="00012B7C">
        <w:rPr>
          <w:i/>
          <w:iCs/>
        </w:rPr>
        <w:t>I</w:t>
      </w:r>
      <w:r>
        <w:rPr>
          <w:i/>
          <w:iCs/>
        </w:rPr>
        <w:t>bid</w:t>
      </w:r>
      <w:r w:rsidR="00012B7C">
        <w:rPr>
          <w:i/>
          <w:iCs/>
        </w:rPr>
        <w:t>.</w:t>
      </w:r>
    </w:p>
  </w:footnote>
  <w:footnote w:id="8">
    <w:p w14:paraId="5143B7CC" w14:textId="7791AAEF" w:rsidR="009D7591" w:rsidRDefault="009D7591">
      <w:pPr>
        <w:pStyle w:val="FootnoteText"/>
      </w:pPr>
      <w:r>
        <w:rPr>
          <w:rStyle w:val="FootnoteReference"/>
        </w:rPr>
        <w:footnoteRef/>
      </w:r>
      <w:r>
        <w:t xml:space="preserve"> </w:t>
      </w:r>
      <w:r w:rsidR="000316F1">
        <w:rPr>
          <w:i/>
          <w:iCs/>
        </w:rPr>
        <w:t xml:space="preserve">Re Latreefers Inc </w:t>
      </w:r>
      <w:r w:rsidR="000316F1">
        <w:t xml:space="preserve">[2001] BCC 174 (CA), at </w:t>
      </w:r>
      <w:hyperlink r:id="rId4" w:history="1">
        <w:r w:rsidR="000316F1" w:rsidRPr="00F07F87">
          <w:rPr>
            <w:rStyle w:val="Hyperlink"/>
          </w:rPr>
          <w:t>https://www.casemine.com/judgement/uk/5a8ff8cd60d03e7f57ecd977</w:t>
        </w:r>
      </w:hyperlink>
      <w:r w:rsidR="000316F1">
        <w:t>, accessed 12 November 2021.</w:t>
      </w:r>
      <w:r>
        <w:t xml:space="preserve"> </w:t>
      </w:r>
    </w:p>
  </w:footnote>
  <w:footnote w:id="9">
    <w:p w14:paraId="2099DCE7" w14:textId="2D4475E8" w:rsidR="000316F1" w:rsidRDefault="000316F1" w:rsidP="000316F1">
      <w:pPr>
        <w:pStyle w:val="FootnoteText"/>
      </w:pPr>
      <w:r>
        <w:rPr>
          <w:rStyle w:val="FootnoteReference"/>
        </w:rPr>
        <w:footnoteRef/>
      </w:r>
      <w:r>
        <w:t xml:space="preserve"> Norton Rose Fulbright</w:t>
      </w:r>
      <w:r w:rsidRPr="00DB4ABF">
        <w:t>, “</w:t>
      </w:r>
      <w:r>
        <w:t>Impact of Brexit on insolvency</w:t>
      </w:r>
      <w:r w:rsidRPr="00DB4ABF">
        <w:t xml:space="preserve">”, at </w:t>
      </w:r>
      <w:hyperlink r:id="rId5" w:history="1">
        <w:r w:rsidRPr="00F07F87">
          <w:rPr>
            <w:rStyle w:val="Hyperlink"/>
          </w:rPr>
          <w:t>https://www.nortonrosefulbright.com/en/knowledge/publications/fc0fb698/impact-of-brexit-on-insolvency</w:t>
        </w:r>
      </w:hyperlink>
      <w:r>
        <w:t>, ,</w:t>
      </w:r>
      <w:r w:rsidRPr="00DB4ABF">
        <w:t xml:space="preserve"> accessed</w:t>
      </w:r>
      <w:r>
        <w:t xml:space="preserve"> 12</w:t>
      </w:r>
      <w:r w:rsidRPr="00DB4ABF">
        <w:t xml:space="preserve"> November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2F7747"/>
    <w:multiLevelType w:val="hybridMultilevel"/>
    <w:tmpl w:val="FEDE33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6952AD0"/>
    <w:multiLevelType w:val="hybridMultilevel"/>
    <w:tmpl w:val="3DA0A60E"/>
    <w:lvl w:ilvl="0" w:tplc="63808DBE">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760594"/>
    <w:multiLevelType w:val="hybridMultilevel"/>
    <w:tmpl w:val="D04A29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DF6AD7"/>
    <w:multiLevelType w:val="hybridMultilevel"/>
    <w:tmpl w:val="18C81CB8"/>
    <w:lvl w:ilvl="0" w:tplc="769E1208">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4538C3"/>
    <w:multiLevelType w:val="hybridMultilevel"/>
    <w:tmpl w:val="9AC292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C736BFF"/>
    <w:multiLevelType w:val="hybridMultilevel"/>
    <w:tmpl w:val="75A24B66"/>
    <w:lvl w:ilvl="0" w:tplc="62863B9E">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67F1B"/>
    <w:multiLevelType w:val="hybridMultilevel"/>
    <w:tmpl w:val="2D0EB94A"/>
    <w:lvl w:ilvl="0" w:tplc="225EB38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0"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6B624E46"/>
    <w:multiLevelType w:val="hybridMultilevel"/>
    <w:tmpl w:val="D6BC7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293629"/>
    <w:multiLevelType w:val="hybridMultilevel"/>
    <w:tmpl w:val="1A1E44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9310F09"/>
    <w:multiLevelType w:val="hybridMultilevel"/>
    <w:tmpl w:val="E318A47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7C186A82"/>
    <w:multiLevelType w:val="hybridMultilevel"/>
    <w:tmpl w:val="7D720A32"/>
    <w:lvl w:ilvl="0" w:tplc="956CFB18">
      <w:start w:val="1"/>
      <w:numFmt w:val="decimal"/>
      <w:lvlText w:val="%1."/>
      <w:lvlJc w:val="left"/>
      <w:pPr>
        <w:ind w:left="720" w:hanging="360"/>
      </w:pPr>
      <w:rPr>
        <w:rFonts w:hint="default"/>
        <w:color w:val="7B7B7B" w:themeColor="accent3" w:themeShade="BF"/>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3"/>
  </w:num>
  <w:num w:numId="3">
    <w:abstractNumId w:val="25"/>
  </w:num>
  <w:num w:numId="4">
    <w:abstractNumId w:val="5"/>
  </w:num>
  <w:num w:numId="5">
    <w:abstractNumId w:val="2"/>
  </w:num>
  <w:num w:numId="6">
    <w:abstractNumId w:val="20"/>
  </w:num>
  <w:num w:numId="7">
    <w:abstractNumId w:val="4"/>
  </w:num>
  <w:num w:numId="8">
    <w:abstractNumId w:val="1"/>
  </w:num>
  <w:num w:numId="9">
    <w:abstractNumId w:val="0"/>
  </w:num>
  <w:num w:numId="10">
    <w:abstractNumId w:val="6"/>
  </w:num>
  <w:num w:numId="11">
    <w:abstractNumId w:val="15"/>
  </w:num>
  <w:num w:numId="12">
    <w:abstractNumId w:val="23"/>
  </w:num>
  <w:num w:numId="13">
    <w:abstractNumId w:val="16"/>
  </w:num>
  <w:num w:numId="14">
    <w:abstractNumId w:val="7"/>
  </w:num>
  <w:num w:numId="15">
    <w:abstractNumId w:val="14"/>
  </w:num>
  <w:num w:numId="16">
    <w:abstractNumId w:val="18"/>
  </w:num>
  <w:num w:numId="17">
    <w:abstractNumId w:val="11"/>
  </w:num>
  <w:num w:numId="18">
    <w:abstractNumId w:val="24"/>
  </w:num>
  <w:num w:numId="19">
    <w:abstractNumId w:val="26"/>
  </w:num>
  <w:num w:numId="20">
    <w:abstractNumId w:val="17"/>
  </w:num>
  <w:num w:numId="21">
    <w:abstractNumId w:val="22"/>
  </w:num>
  <w:num w:numId="22">
    <w:abstractNumId w:val="21"/>
  </w:num>
  <w:num w:numId="23">
    <w:abstractNumId w:val="10"/>
  </w:num>
  <w:num w:numId="24">
    <w:abstractNumId w:val="19"/>
  </w:num>
  <w:num w:numId="25">
    <w:abstractNumId w:val="9"/>
  </w:num>
  <w:num w:numId="26">
    <w:abstractNumId w:val="8"/>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10BA0"/>
    <w:rsid w:val="00012B7C"/>
    <w:rsid w:val="00015EE6"/>
    <w:rsid w:val="00020557"/>
    <w:rsid w:val="00020E63"/>
    <w:rsid w:val="0002322B"/>
    <w:rsid w:val="000250C7"/>
    <w:rsid w:val="000316F1"/>
    <w:rsid w:val="00031918"/>
    <w:rsid w:val="000329A6"/>
    <w:rsid w:val="00034C0C"/>
    <w:rsid w:val="00037621"/>
    <w:rsid w:val="000419D4"/>
    <w:rsid w:val="00043365"/>
    <w:rsid w:val="000436F0"/>
    <w:rsid w:val="00043960"/>
    <w:rsid w:val="00044D46"/>
    <w:rsid w:val="00045088"/>
    <w:rsid w:val="00045904"/>
    <w:rsid w:val="00045DC7"/>
    <w:rsid w:val="00046789"/>
    <w:rsid w:val="00050DD2"/>
    <w:rsid w:val="00050F56"/>
    <w:rsid w:val="000521C4"/>
    <w:rsid w:val="00052A5E"/>
    <w:rsid w:val="00054EC2"/>
    <w:rsid w:val="00055EB9"/>
    <w:rsid w:val="0006130F"/>
    <w:rsid w:val="00062D42"/>
    <w:rsid w:val="00062E85"/>
    <w:rsid w:val="000649D1"/>
    <w:rsid w:val="00064C44"/>
    <w:rsid w:val="00065166"/>
    <w:rsid w:val="0007091D"/>
    <w:rsid w:val="00073F13"/>
    <w:rsid w:val="00076483"/>
    <w:rsid w:val="0008155B"/>
    <w:rsid w:val="00081A63"/>
    <w:rsid w:val="00082609"/>
    <w:rsid w:val="000851CC"/>
    <w:rsid w:val="00085349"/>
    <w:rsid w:val="000859DE"/>
    <w:rsid w:val="00085D4B"/>
    <w:rsid w:val="00086BDD"/>
    <w:rsid w:val="00090933"/>
    <w:rsid w:val="00093BE8"/>
    <w:rsid w:val="00093FE2"/>
    <w:rsid w:val="0009471C"/>
    <w:rsid w:val="000A01B9"/>
    <w:rsid w:val="000A0C1B"/>
    <w:rsid w:val="000A53C3"/>
    <w:rsid w:val="000A68ED"/>
    <w:rsid w:val="000A74CA"/>
    <w:rsid w:val="000B5B93"/>
    <w:rsid w:val="000B5FF1"/>
    <w:rsid w:val="000B609F"/>
    <w:rsid w:val="000C0F01"/>
    <w:rsid w:val="000D4821"/>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4B01"/>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4E91"/>
    <w:rsid w:val="00180548"/>
    <w:rsid w:val="00180AC4"/>
    <w:rsid w:val="00180B1E"/>
    <w:rsid w:val="00180CCE"/>
    <w:rsid w:val="00181438"/>
    <w:rsid w:val="0018267A"/>
    <w:rsid w:val="00182779"/>
    <w:rsid w:val="001830DF"/>
    <w:rsid w:val="001833C2"/>
    <w:rsid w:val="001834BF"/>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69F8"/>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2DD1"/>
    <w:rsid w:val="00303C2F"/>
    <w:rsid w:val="0030558B"/>
    <w:rsid w:val="00306E87"/>
    <w:rsid w:val="00310FC2"/>
    <w:rsid w:val="003144EF"/>
    <w:rsid w:val="003259D2"/>
    <w:rsid w:val="00326292"/>
    <w:rsid w:val="00326415"/>
    <w:rsid w:val="003264FA"/>
    <w:rsid w:val="00330937"/>
    <w:rsid w:val="00330F31"/>
    <w:rsid w:val="003326F0"/>
    <w:rsid w:val="00334648"/>
    <w:rsid w:val="00336CA6"/>
    <w:rsid w:val="0033768C"/>
    <w:rsid w:val="00337938"/>
    <w:rsid w:val="00340769"/>
    <w:rsid w:val="00341A65"/>
    <w:rsid w:val="00341AA6"/>
    <w:rsid w:val="00342E57"/>
    <w:rsid w:val="003501CF"/>
    <w:rsid w:val="00350DDA"/>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4FAA"/>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164"/>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3B9E"/>
    <w:rsid w:val="00497558"/>
    <w:rsid w:val="00497CF9"/>
    <w:rsid w:val="004A2FAD"/>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7A"/>
    <w:rsid w:val="004D2FFF"/>
    <w:rsid w:val="004D3721"/>
    <w:rsid w:val="004D64F9"/>
    <w:rsid w:val="004D687E"/>
    <w:rsid w:val="004E4224"/>
    <w:rsid w:val="004E5A14"/>
    <w:rsid w:val="004E622C"/>
    <w:rsid w:val="004E64DB"/>
    <w:rsid w:val="004F1534"/>
    <w:rsid w:val="004F2DD1"/>
    <w:rsid w:val="004F3375"/>
    <w:rsid w:val="004F55F1"/>
    <w:rsid w:val="004F5FDF"/>
    <w:rsid w:val="004F73F7"/>
    <w:rsid w:val="0050156C"/>
    <w:rsid w:val="00502EFD"/>
    <w:rsid w:val="005059A4"/>
    <w:rsid w:val="0051484F"/>
    <w:rsid w:val="00515756"/>
    <w:rsid w:val="00515F63"/>
    <w:rsid w:val="00516F46"/>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59E4"/>
    <w:rsid w:val="00560534"/>
    <w:rsid w:val="0056391B"/>
    <w:rsid w:val="005650E2"/>
    <w:rsid w:val="00565D2D"/>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F6F"/>
    <w:rsid w:val="005953ED"/>
    <w:rsid w:val="00595B58"/>
    <w:rsid w:val="0059642D"/>
    <w:rsid w:val="005966E3"/>
    <w:rsid w:val="005A0CCA"/>
    <w:rsid w:val="005A2152"/>
    <w:rsid w:val="005A2194"/>
    <w:rsid w:val="005A2628"/>
    <w:rsid w:val="005A31B4"/>
    <w:rsid w:val="005A383D"/>
    <w:rsid w:val="005A5ACB"/>
    <w:rsid w:val="005A726D"/>
    <w:rsid w:val="005B060A"/>
    <w:rsid w:val="005B2AA0"/>
    <w:rsid w:val="005B503A"/>
    <w:rsid w:val="005B67AC"/>
    <w:rsid w:val="005C01B0"/>
    <w:rsid w:val="005C2790"/>
    <w:rsid w:val="005C36E9"/>
    <w:rsid w:val="005C3B3A"/>
    <w:rsid w:val="005C4CF7"/>
    <w:rsid w:val="005C6778"/>
    <w:rsid w:val="005D01D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08DE"/>
    <w:rsid w:val="00641515"/>
    <w:rsid w:val="00643ABE"/>
    <w:rsid w:val="006467CC"/>
    <w:rsid w:val="006521CD"/>
    <w:rsid w:val="00652A22"/>
    <w:rsid w:val="00653584"/>
    <w:rsid w:val="00654C2F"/>
    <w:rsid w:val="00655438"/>
    <w:rsid w:val="00657087"/>
    <w:rsid w:val="0065715A"/>
    <w:rsid w:val="00664771"/>
    <w:rsid w:val="006654FA"/>
    <w:rsid w:val="006661EF"/>
    <w:rsid w:val="006669E3"/>
    <w:rsid w:val="006746CB"/>
    <w:rsid w:val="00677AEB"/>
    <w:rsid w:val="00680EF2"/>
    <w:rsid w:val="00681138"/>
    <w:rsid w:val="00682A3E"/>
    <w:rsid w:val="00683FB9"/>
    <w:rsid w:val="006850AE"/>
    <w:rsid w:val="00686C53"/>
    <w:rsid w:val="00687A1D"/>
    <w:rsid w:val="00697EA1"/>
    <w:rsid w:val="006A2646"/>
    <w:rsid w:val="006A6530"/>
    <w:rsid w:val="006A695F"/>
    <w:rsid w:val="006A6D1D"/>
    <w:rsid w:val="006B2893"/>
    <w:rsid w:val="006B435A"/>
    <w:rsid w:val="006B4C64"/>
    <w:rsid w:val="006B5AE8"/>
    <w:rsid w:val="006B7F4C"/>
    <w:rsid w:val="006D0529"/>
    <w:rsid w:val="006D564C"/>
    <w:rsid w:val="006D6BD5"/>
    <w:rsid w:val="006E081A"/>
    <w:rsid w:val="006E1CB0"/>
    <w:rsid w:val="006E254C"/>
    <w:rsid w:val="006E481A"/>
    <w:rsid w:val="006E5298"/>
    <w:rsid w:val="006E5BC4"/>
    <w:rsid w:val="006E6A1F"/>
    <w:rsid w:val="006E6A6A"/>
    <w:rsid w:val="006E77B0"/>
    <w:rsid w:val="006F15CB"/>
    <w:rsid w:val="006F5903"/>
    <w:rsid w:val="006F5C5E"/>
    <w:rsid w:val="006F6B2E"/>
    <w:rsid w:val="006F734A"/>
    <w:rsid w:val="00700D83"/>
    <w:rsid w:val="007034EC"/>
    <w:rsid w:val="00704852"/>
    <w:rsid w:val="00704C24"/>
    <w:rsid w:val="007074E9"/>
    <w:rsid w:val="00707954"/>
    <w:rsid w:val="00707BC5"/>
    <w:rsid w:val="00713DA4"/>
    <w:rsid w:val="007142FA"/>
    <w:rsid w:val="00714BF1"/>
    <w:rsid w:val="00721383"/>
    <w:rsid w:val="007216AD"/>
    <w:rsid w:val="00722701"/>
    <w:rsid w:val="00726E9A"/>
    <w:rsid w:val="0072755A"/>
    <w:rsid w:val="00727864"/>
    <w:rsid w:val="0073043F"/>
    <w:rsid w:val="007333CC"/>
    <w:rsid w:val="007335D8"/>
    <w:rsid w:val="0073399A"/>
    <w:rsid w:val="007369C7"/>
    <w:rsid w:val="00742156"/>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3770"/>
    <w:rsid w:val="0077498C"/>
    <w:rsid w:val="00777070"/>
    <w:rsid w:val="00777287"/>
    <w:rsid w:val="00782B3F"/>
    <w:rsid w:val="00784128"/>
    <w:rsid w:val="0078662F"/>
    <w:rsid w:val="00790B4C"/>
    <w:rsid w:val="0079206E"/>
    <w:rsid w:val="00793173"/>
    <w:rsid w:val="007958F0"/>
    <w:rsid w:val="007973A7"/>
    <w:rsid w:val="00797E1B"/>
    <w:rsid w:val="007A12A4"/>
    <w:rsid w:val="007A25B6"/>
    <w:rsid w:val="007A2ADC"/>
    <w:rsid w:val="007B1E13"/>
    <w:rsid w:val="007C0111"/>
    <w:rsid w:val="007C0663"/>
    <w:rsid w:val="007C1FCC"/>
    <w:rsid w:val="007C2831"/>
    <w:rsid w:val="007C2AA1"/>
    <w:rsid w:val="007C6201"/>
    <w:rsid w:val="007D0348"/>
    <w:rsid w:val="007D1E28"/>
    <w:rsid w:val="007D694D"/>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4FBE"/>
    <w:rsid w:val="0082483F"/>
    <w:rsid w:val="008279C0"/>
    <w:rsid w:val="00841E70"/>
    <w:rsid w:val="008450D2"/>
    <w:rsid w:val="008452C1"/>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2117"/>
    <w:rsid w:val="008926C9"/>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513D"/>
    <w:rsid w:val="008E64D3"/>
    <w:rsid w:val="008E6F11"/>
    <w:rsid w:val="008F20FC"/>
    <w:rsid w:val="008F50C4"/>
    <w:rsid w:val="008F5FFE"/>
    <w:rsid w:val="0090037B"/>
    <w:rsid w:val="00905A43"/>
    <w:rsid w:val="009078CE"/>
    <w:rsid w:val="009108EF"/>
    <w:rsid w:val="00911C23"/>
    <w:rsid w:val="00912C79"/>
    <w:rsid w:val="00913FB9"/>
    <w:rsid w:val="009144F6"/>
    <w:rsid w:val="00915010"/>
    <w:rsid w:val="0091528C"/>
    <w:rsid w:val="00916D1D"/>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51BA"/>
    <w:rsid w:val="00966E44"/>
    <w:rsid w:val="009708BB"/>
    <w:rsid w:val="009727DF"/>
    <w:rsid w:val="009729E8"/>
    <w:rsid w:val="00972C0F"/>
    <w:rsid w:val="00975640"/>
    <w:rsid w:val="00976DA5"/>
    <w:rsid w:val="009773BA"/>
    <w:rsid w:val="00981421"/>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D7591"/>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544D"/>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3BD"/>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0DFA"/>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56D16"/>
    <w:rsid w:val="00B607DF"/>
    <w:rsid w:val="00B6183D"/>
    <w:rsid w:val="00B62B18"/>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7BA6"/>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2277"/>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58C5"/>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0529"/>
    <w:rsid w:val="00DB243C"/>
    <w:rsid w:val="00DB482A"/>
    <w:rsid w:val="00DB4ABF"/>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2F7"/>
    <w:rsid w:val="00DF75F8"/>
    <w:rsid w:val="00DF7A3A"/>
    <w:rsid w:val="00DF7AD4"/>
    <w:rsid w:val="00E009E1"/>
    <w:rsid w:val="00E00C00"/>
    <w:rsid w:val="00E00E54"/>
    <w:rsid w:val="00E041F9"/>
    <w:rsid w:val="00E05837"/>
    <w:rsid w:val="00E07C5A"/>
    <w:rsid w:val="00E10A73"/>
    <w:rsid w:val="00E12C13"/>
    <w:rsid w:val="00E14367"/>
    <w:rsid w:val="00E15BA9"/>
    <w:rsid w:val="00E161D2"/>
    <w:rsid w:val="00E177E2"/>
    <w:rsid w:val="00E22DE4"/>
    <w:rsid w:val="00E26E19"/>
    <w:rsid w:val="00E308A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856"/>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3799"/>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5:docId w15:val="{10FA740C-022A-4F27-AEA5-2959FE39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96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sites/uncitral.un.org/files/media-documents/uncitral/en/practice_guide_ebook_eng.pdf" TargetMode="External"/><Relationship Id="rId2" Type="http://schemas.openxmlformats.org/officeDocument/2006/relationships/hyperlink" Target="https://insol.azureedge.net/cmsstorage/insol/media/document-library/special%20reports/permanent-changes-to-the-uk's-corporate-restructuring-and-insolvency-laws-in-the-wake-of-covid-19.pdf" TargetMode="External"/><Relationship Id="rId1" Type="http://schemas.openxmlformats.org/officeDocument/2006/relationships/hyperlink" Target="https://www.yumpu.com/en/document/read/20046071/historical-overview-of-state-regulation-of-south-african-insolvency-law" TargetMode="External"/><Relationship Id="rId5" Type="http://schemas.openxmlformats.org/officeDocument/2006/relationships/hyperlink" Target="https://www.nortonrosefulbright.com/en/knowledge/publications/fc0fb698/impact-of-brexit-on-insolvency" TargetMode="External"/><Relationship Id="rId4" Type="http://schemas.openxmlformats.org/officeDocument/2006/relationships/hyperlink" Target="https://www.casemine.com/judgement/uk/5a8ff8cd60d03e7f57ecd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5530</TotalTime>
  <Pages>13</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Pierson</cp:lastModifiedBy>
  <cp:revision>25</cp:revision>
  <cp:lastPrinted>2020-06-12T02:43:00Z</cp:lastPrinted>
  <dcterms:created xsi:type="dcterms:W3CDTF">2021-08-03T16:38:00Z</dcterms:created>
  <dcterms:modified xsi:type="dcterms:W3CDTF">2021-11-12T15:30:00Z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